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29EDA" w14:textId="77777777" w:rsidR="00D94BF3" w:rsidRDefault="00D94BF3" w:rsidP="002A2C6F">
      <w:pPr>
        <w:spacing w:after="0" w:line="240" w:lineRule="auto"/>
        <w:ind w:firstLine="708"/>
        <w:rPr>
          <w:rFonts w:ascii="Verdana" w:eastAsia="Verdana" w:hAnsi="Verdana" w:cs="Verdana"/>
          <w:b/>
          <w:sz w:val="20"/>
          <w:szCs w:val="20"/>
          <w:lang w:val="es-MX"/>
        </w:rPr>
      </w:pPr>
    </w:p>
    <w:p w14:paraId="752E7AF7" w14:textId="77777777" w:rsidR="002A2C6F" w:rsidRDefault="002A2C6F" w:rsidP="002A2C6F">
      <w:pPr>
        <w:spacing w:after="0" w:line="240" w:lineRule="auto"/>
        <w:ind w:firstLine="708"/>
        <w:rPr>
          <w:rFonts w:ascii="Verdana" w:eastAsia="Verdana" w:hAnsi="Verdana" w:cs="Verdana"/>
          <w:b/>
          <w:sz w:val="20"/>
          <w:szCs w:val="20"/>
          <w:lang w:val="es-MX"/>
        </w:rPr>
      </w:pPr>
    </w:p>
    <w:p w14:paraId="133039D6" w14:textId="77777777" w:rsidR="002A2C6F" w:rsidRDefault="002A2C6F" w:rsidP="002A2C6F">
      <w:pPr>
        <w:spacing w:after="0" w:line="240" w:lineRule="auto"/>
        <w:ind w:firstLine="708"/>
        <w:rPr>
          <w:rFonts w:ascii="Verdana" w:eastAsia="Verdana" w:hAnsi="Verdana" w:cs="Verdana"/>
          <w:b/>
          <w:sz w:val="20"/>
          <w:szCs w:val="20"/>
          <w:lang w:val="es-MX"/>
        </w:rPr>
      </w:pPr>
    </w:p>
    <w:p w14:paraId="3C2793FE" w14:textId="77777777" w:rsidR="002A2C6F" w:rsidRDefault="002A2C6F" w:rsidP="002A2C6F">
      <w:pPr>
        <w:spacing w:after="0" w:line="240" w:lineRule="auto"/>
        <w:ind w:firstLine="708"/>
        <w:rPr>
          <w:rFonts w:ascii="Verdana" w:eastAsia="Verdana" w:hAnsi="Verdana" w:cs="Verdana"/>
          <w:b/>
          <w:sz w:val="20"/>
          <w:szCs w:val="20"/>
          <w:lang w:val="es-MX"/>
        </w:rPr>
      </w:pPr>
    </w:p>
    <w:p w14:paraId="55655B87" w14:textId="77777777" w:rsidR="002A2C6F" w:rsidRDefault="002A2C6F" w:rsidP="002A2C6F">
      <w:pPr>
        <w:spacing w:after="0" w:line="240" w:lineRule="auto"/>
        <w:ind w:firstLine="708"/>
        <w:rPr>
          <w:rFonts w:ascii="Verdana" w:eastAsia="Verdana" w:hAnsi="Verdana" w:cs="Verdana"/>
          <w:b/>
          <w:sz w:val="20"/>
          <w:szCs w:val="20"/>
          <w:lang w:val="es-MX"/>
        </w:rPr>
      </w:pPr>
    </w:p>
    <w:p w14:paraId="2C75253B" w14:textId="77777777" w:rsidR="002A2C6F" w:rsidRDefault="002A2C6F" w:rsidP="002A2C6F">
      <w:pPr>
        <w:spacing w:after="0" w:line="240" w:lineRule="auto"/>
        <w:ind w:firstLine="708"/>
        <w:rPr>
          <w:rFonts w:ascii="Verdana" w:eastAsia="Verdana" w:hAnsi="Verdana" w:cs="Verdana"/>
          <w:b/>
          <w:sz w:val="20"/>
          <w:szCs w:val="20"/>
          <w:lang w:val="es-MX"/>
        </w:rPr>
      </w:pPr>
    </w:p>
    <w:p w14:paraId="25222473" w14:textId="77777777" w:rsidR="002A2C6F" w:rsidRDefault="002A2C6F" w:rsidP="002A2C6F">
      <w:pPr>
        <w:spacing w:after="0" w:line="240" w:lineRule="auto"/>
        <w:ind w:firstLine="708"/>
        <w:rPr>
          <w:rFonts w:ascii="Verdana" w:eastAsia="Verdana" w:hAnsi="Verdana" w:cs="Verdana"/>
          <w:b/>
          <w:sz w:val="20"/>
          <w:szCs w:val="20"/>
          <w:lang w:val="es-MX"/>
        </w:rPr>
      </w:pPr>
    </w:p>
    <w:p w14:paraId="29DD055A" w14:textId="77777777" w:rsidR="002A2C6F" w:rsidRDefault="002A2C6F" w:rsidP="002A2C6F">
      <w:pPr>
        <w:spacing w:after="0" w:line="240" w:lineRule="auto"/>
        <w:ind w:firstLine="708"/>
        <w:rPr>
          <w:rFonts w:ascii="Verdana" w:eastAsia="Verdana" w:hAnsi="Verdana" w:cs="Verdana"/>
          <w:b/>
          <w:sz w:val="20"/>
          <w:szCs w:val="20"/>
          <w:lang w:val="es-MX"/>
        </w:rPr>
      </w:pPr>
    </w:p>
    <w:p w14:paraId="7F1A65E9" w14:textId="7548299C" w:rsidR="0045252B" w:rsidRPr="00BB29A9" w:rsidRDefault="000C3810" w:rsidP="0045252B">
      <w:pPr>
        <w:spacing w:after="0" w:line="240" w:lineRule="auto"/>
        <w:jc w:val="center"/>
        <w:rPr>
          <w:rFonts w:ascii="Verdana" w:eastAsia="Verdana" w:hAnsi="Verdana" w:cs="Verdana"/>
          <w:b/>
          <w:sz w:val="20"/>
          <w:szCs w:val="20"/>
          <w:lang w:val="es-MX"/>
        </w:rPr>
      </w:pPr>
      <w:r>
        <w:rPr>
          <w:rFonts w:ascii="Verdana" w:eastAsia="Verdana" w:hAnsi="Verdana" w:cs="Verdana"/>
          <w:b/>
          <w:sz w:val="20"/>
          <w:szCs w:val="20"/>
          <w:lang w:val="es-MX"/>
        </w:rPr>
        <w:t>RESOLUCIÓN DE LA</w:t>
      </w:r>
    </w:p>
    <w:p w14:paraId="32C49B40" w14:textId="76B982CD" w:rsidR="0045252B" w:rsidRPr="00DF54ED" w:rsidRDefault="0045252B" w:rsidP="0045252B">
      <w:pPr>
        <w:spacing w:after="0" w:line="240" w:lineRule="auto"/>
        <w:jc w:val="center"/>
        <w:rPr>
          <w:rFonts w:ascii="Verdana" w:eastAsia="Verdana" w:hAnsi="Verdana" w:cs="Verdana"/>
          <w:b/>
          <w:smallCaps/>
          <w:sz w:val="20"/>
          <w:szCs w:val="20"/>
          <w:lang w:val="es-MX"/>
        </w:rPr>
      </w:pPr>
      <w:r w:rsidRPr="00BB29A9">
        <w:rPr>
          <w:rFonts w:ascii="Verdana" w:eastAsia="Verdana" w:hAnsi="Verdana" w:cs="Verdana"/>
          <w:b/>
          <w:sz w:val="20"/>
          <w:szCs w:val="20"/>
          <w:lang w:val="es-MX"/>
        </w:rPr>
        <w:t>CORTE INTERAMERICANA DE DERECHOS HUMANOS</w:t>
      </w:r>
      <w:r w:rsidR="00DF54ED">
        <w:rPr>
          <w:rFonts w:ascii="Verdana" w:eastAsia="Verdana" w:hAnsi="Verdana" w:cs="Verdana"/>
          <w:b/>
          <w:smallCaps/>
          <w:sz w:val="20"/>
          <w:szCs w:val="20"/>
          <w:lang w:val="es-MX"/>
        </w:rPr>
        <w:t>*</w:t>
      </w:r>
    </w:p>
    <w:p w14:paraId="3B84A69D" w14:textId="77777777" w:rsidR="0045252B" w:rsidRPr="00BB29A9" w:rsidRDefault="0045252B" w:rsidP="0045252B">
      <w:pPr>
        <w:spacing w:after="0" w:line="240" w:lineRule="auto"/>
        <w:jc w:val="center"/>
        <w:rPr>
          <w:rFonts w:ascii="Verdana" w:eastAsia="Verdana" w:hAnsi="Verdana" w:cs="Verdana"/>
          <w:b/>
          <w:sz w:val="20"/>
          <w:szCs w:val="20"/>
          <w:lang w:val="es-MX"/>
        </w:rPr>
      </w:pPr>
    </w:p>
    <w:p w14:paraId="6AF8AFFF" w14:textId="2DF2CC28" w:rsidR="0045252B" w:rsidRPr="00BB29A9" w:rsidRDefault="0045252B" w:rsidP="0045252B">
      <w:pPr>
        <w:spacing w:after="0" w:line="240" w:lineRule="auto"/>
        <w:jc w:val="center"/>
        <w:rPr>
          <w:rFonts w:ascii="Verdana" w:eastAsia="Verdana" w:hAnsi="Verdana" w:cs="Verdana"/>
          <w:b/>
          <w:sz w:val="20"/>
          <w:szCs w:val="20"/>
          <w:lang w:val="es-MX"/>
        </w:rPr>
      </w:pPr>
      <w:r w:rsidRPr="00BB29A9">
        <w:rPr>
          <w:rFonts w:ascii="Verdana" w:eastAsia="Verdana" w:hAnsi="Verdana" w:cs="Verdana"/>
          <w:b/>
          <w:sz w:val="20"/>
          <w:szCs w:val="20"/>
          <w:lang w:val="es-MX"/>
        </w:rPr>
        <w:t xml:space="preserve">DE </w:t>
      </w:r>
      <w:r w:rsidR="00DF54ED">
        <w:rPr>
          <w:rFonts w:ascii="Verdana" w:eastAsia="Verdana" w:hAnsi="Verdana" w:cs="Verdana"/>
          <w:b/>
          <w:sz w:val="20"/>
          <w:szCs w:val="20"/>
          <w:lang w:val="es-MX"/>
        </w:rPr>
        <w:t>30</w:t>
      </w:r>
      <w:r w:rsidRPr="00BB29A9">
        <w:rPr>
          <w:rFonts w:ascii="Verdana" w:eastAsia="Verdana" w:hAnsi="Verdana" w:cs="Verdana"/>
          <w:b/>
          <w:sz w:val="20"/>
          <w:szCs w:val="20"/>
          <w:lang w:val="es-MX"/>
        </w:rPr>
        <w:t xml:space="preserve"> DE </w:t>
      </w:r>
      <w:r w:rsidR="00DF25A7" w:rsidRPr="00BB29A9">
        <w:rPr>
          <w:rFonts w:ascii="Verdana" w:eastAsia="Verdana" w:hAnsi="Verdana" w:cs="Verdana"/>
          <w:b/>
          <w:sz w:val="20"/>
          <w:szCs w:val="20"/>
          <w:lang w:val="es-MX"/>
        </w:rPr>
        <w:t>ABRIL</w:t>
      </w:r>
      <w:r w:rsidRPr="00BB29A9">
        <w:rPr>
          <w:rFonts w:ascii="Verdana" w:eastAsia="Verdana" w:hAnsi="Verdana" w:cs="Verdana"/>
          <w:b/>
          <w:sz w:val="20"/>
          <w:szCs w:val="20"/>
          <w:lang w:val="es-MX"/>
        </w:rPr>
        <w:t xml:space="preserve"> DE 20</w:t>
      </w:r>
      <w:r w:rsidR="002403CB" w:rsidRPr="00BB29A9">
        <w:rPr>
          <w:rFonts w:ascii="Verdana" w:eastAsia="Verdana" w:hAnsi="Verdana" w:cs="Verdana"/>
          <w:b/>
          <w:sz w:val="20"/>
          <w:szCs w:val="20"/>
          <w:lang w:val="es-MX"/>
        </w:rPr>
        <w:t>21</w:t>
      </w:r>
    </w:p>
    <w:p w14:paraId="6184B71B" w14:textId="77777777" w:rsidR="0045252B" w:rsidRPr="00BB29A9" w:rsidRDefault="0045252B" w:rsidP="0045252B">
      <w:pPr>
        <w:spacing w:after="0" w:line="240" w:lineRule="auto"/>
        <w:jc w:val="center"/>
        <w:rPr>
          <w:rFonts w:ascii="Verdana" w:eastAsia="Verdana" w:hAnsi="Verdana" w:cs="Verdana"/>
          <w:b/>
          <w:sz w:val="20"/>
          <w:szCs w:val="20"/>
          <w:lang w:val="es-MX"/>
        </w:rPr>
      </w:pPr>
    </w:p>
    <w:p w14:paraId="3B716F2F" w14:textId="77777777" w:rsidR="0045252B" w:rsidRPr="00BB29A9" w:rsidRDefault="0045252B" w:rsidP="0045252B">
      <w:pPr>
        <w:spacing w:after="0" w:line="240" w:lineRule="auto"/>
        <w:jc w:val="center"/>
        <w:rPr>
          <w:rFonts w:ascii="Verdana" w:eastAsia="Verdana" w:hAnsi="Verdana" w:cs="Verdana"/>
          <w:b/>
          <w:i/>
          <w:sz w:val="20"/>
          <w:szCs w:val="20"/>
          <w:lang w:val="es-MX"/>
        </w:rPr>
      </w:pPr>
      <w:r w:rsidRPr="00BB29A9">
        <w:rPr>
          <w:rFonts w:ascii="Verdana" w:eastAsia="Verdana" w:hAnsi="Verdana" w:cs="Verdana"/>
          <w:b/>
          <w:i/>
          <w:sz w:val="20"/>
          <w:szCs w:val="20"/>
          <w:lang w:val="es-MX"/>
        </w:rPr>
        <w:t>CASO MASACRE DE PLAN DE SÁNCHEZ VS. GUATEMALA</w:t>
      </w:r>
    </w:p>
    <w:p w14:paraId="09C338E4" w14:textId="77777777" w:rsidR="0045252B" w:rsidRPr="00BB29A9" w:rsidRDefault="0045252B" w:rsidP="0045252B">
      <w:pPr>
        <w:spacing w:after="0" w:line="240" w:lineRule="auto"/>
        <w:jc w:val="center"/>
        <w:rPr>
          <w:rFonts w:ascii="Verdana" w:eastAsia="Verdana" w:hAnsi="Verdana" w:cs="Verdana"/>
          <w:b/>
          <w:sz w:val="20"/>
          <w:szCs w:val="20"/>
          <w:lang w:val="es-MX"/>
        </w:rPr>
      </w:pPr>
    </w:p>
    <w:p w14:paraId="216A3C00" w14:textId="77777777" w:rsidR="0045252B" w:rsidRPr="00BB29A9" w:rsidRDefault="0045252B" w:rsidP="0045252B">
      <w:pPr>
        <w:spacing w:after="0" w:line="240" w:lineRule="auto"/>
        <w:jc w:val="center"/>
        <w:rPr>
          <w:rFonts w:ascii="Verdana" w:eastAsia="Verdana" w:hAnsi="Verdana" w:cs="Verdana"/>
          <w:b/>
          <w:sz w:val="20"/>
          <w:szCs w:val="20"/>
          <w:lang w:val="es-MX"/>
        </w:rPr>
      </w:pPr>
      <w:r w:rsidRPr="00BB29A9">
        <w:rPr>
          <w:rFonts w:ascii="Verdana" w:eastAsia="Verdana" w:hAnsi="Verdana" w:cs="Verdana"/>
          <w:b/>
          <w:sz w:val="20"/>
          <w:szCs w:val="20"/>
          <w:lang w:val="es-MX"/>
        </w:rPr>
        <w:t>SUPERVISIÓN DE CUMPLIMIENTO DE SENTENCIA</w:t>
      </w:r>
    </w:p>
    <w:p w14:paraId="038C962F" w14:textId="77777777" w:rsidR="0045252B" w:rsidRPr="00BB29A9" w:rsidRDefault="0045252B" w:rsidP="0045252B">
      <w:pPr>
        <w:spacing w:after="0" w:line="240" w:lineRule="auto"/>
        <w:jc w:val="center"/>
        <w:rPr>
          <w:rFonts w:ascii="Verdana" w:eastAsia="Verdana" w:hAnsi="Verdana" w:cs="Verdana"/>
          <w:b/>
          <w:sz w:val="20"/>
          <w:szCs w:val="20"/>
          <w:lang w:val="es-MX"/>
        </w:rPr>
      </w:pPr>
    </w:p>
    <w:p w14:paraId="436A35CE" w14:textId="77777777" w:rsidR="0045252B" w:rsidRPr="00BB29A9" w:rsidRDefault="0045252B" w:rsidP="0045252B">
      <w:pPr>
        <w:spacing w:after="0" w:line="240" w:lineRule="auto"/>
        <w:rPr>
          <w:rFonts w:ascii="Verdana" w:eastAsia="Verdana" w:hAnsi="Verdana" w:cs="Verdana"/>
          <w:b/>
          <w:sz w:val="20"/>
          <w:szCs w:val="20"/>
          <w:lang w:val="es-MX"/>
        </w:rPr>
      </w:pPr>
      <w:r w:rsidRPr="00BB29A9">
        <w:rPr>
          <w:rFonts w:ascii="Verdana" w:eastAsia="Verdana" w:hAnsi="Verdana" w:cs="Verdana"/>
          <w:b/>
          <w:sz w:val="20"/>
          <w:szCs w:val="20"/>
          <w:lang w:val="es-MX"/>
        </w:rPr>
        <w:t>VISTO:</w:t>
      </w:r>
    </w:p>
    <w:p w14:paraId="5C9F0A88" w14:textId="77777777" w:rsidR="0045252B" w:rsidRPr="00BB29A9" w:rsidRDefault="0045252B" w:rsidP="0045252B">
      <w:pPr>
        <w:spacing w:after="0" w:line="240" w:lineRule="auto"/>
        <w:jc w:val="center"/>
        <w:rPr>
          <w:rFonts w:ascii="Verdana" w:eastAsia="Verdana" w:hAnsi="Verdana" w:cs="Verdana"/>
          <w:b/>
          <w:sz w:val="20"/>
          <w:szCs w:val="20"/>
          <w:lang w:val="es-MX"/>
        </w:rPr>
      </w:pPr>
    </w:p>
    <w:p w14:paraId="5C63F66B" w14:textId="5D5DFB79" w:rsidR="0045252B" w:rsidRPr="00BB29A9" w:rsidRDefault="0045252B" w:rsidP="009E7383">
      <w:pPr>
        <w:widowControl w:val="0"/>
        <w:numPr>
          <w:ilvl w:val="0"/>
          <w:numId w:val="11"/>
        </w:numPr>
        <w:spacing w:before="120" w:after="120" w:line="240" w:lineRule="auto"/>
        <w:ind w:left="0" w:firstLine="0"/>
        <w:jc w:val="both"/>
        <w:rPr>
          <w:rFonts w:ascii="Verdana" w:hAnsi="Verdana"/>
          <w:sz w:val="20"/>
          <w:szCs w:val="20"/>
          <w:lang w:val="es-MX"/>
        </w:rPr>
      </w:pPr>
      <w:bookmarkStart w:id="0" w:name="_7kdb22p9dtpc" w:colFirst="0" w:colLast="0"/>
      <w:bookmarkEnd w:id="0"/>
      <w:r w:rsidRPr="00BB29A9">
        <w:rPr>
          <w:rFonts w:ascii="Verdana" w:eastAsia="Verdana" w:hAnsi="Verdana" w:cs="Verdana"/>
          <w:sz w:val="20"/>
          <w:szCs w:val="20"/>
          <w:lang w:val="es-MX"/>
        </w:rPr>
        <w:t>La Sentencia de fondo (en adelante “la Sentencia de fondo”) emitida por la Corte Interamericana de Derechos Humanos (en adelante “la Corte Interamericana”</w:t>
      </w:r>
      <w:r w:rsidR="000C3810">
        <w:rPr>
          <w:rFonts w:ascii="Verdana" w:eastAsia="Verdana" w:hAnsi="Verdana" w:cs="Verdana"/>
          <w:sz w:val="20"/>
          <w:szCs w:val="20"/>
          <w:lang w:val="es-MX"/>
        </w:rPr>
        <w:t xml:space="preserve">, “la Corte” </w:t>
      </w:r>
      <w:r w:rsidRPr="00BB29A9">
        <w:rPr>
          <w:rFonts w:ascii="Verdana" w:eastAsia="Verdana" w:hAnsi="Verdana" w:cs="Verdana"/>
          <w:sz w:val="20"/>
          <w:szCs w:val="20"/>
          <w:lang w:val="es-MX"/>
        </w:rPr>
        <w:t>o “el Tribunal”) el 29 de abril de 200</w:t>
      </w:r>
      <w:r w:rsidR="00D03DFB" w:rsidRPr="00BB29A9">
        <w:rPr>
          <w:rFonts w:ascii="Verdana" w:eastAsia="Verdana" w:hAnsi="Verdana" w:cs="Verdana"/>
          <w:sz w:val="20"/>
          <w:szCs w:val="20"/>
          <w:lang w:val="es-MX"/>
        </w:rPr>
        <w:t>4</w:t>
      </w:r>
      <w:r w:rsidRPr="00BB29A9">
        <w:rPr>
          <w:rFonts w:ascii="Verdana" w:eastAsia="Verdana" w:hAnsi="Verdana" w:cs="Verdana"/>
          <w:sz w:val="20"/>
          <w:szCs w:val="20"/>
          <w:vertAlign w:val="superscript"/>
          <w:lang w:val="es-MX"/>
        </w:rPr>
        <w:footnoteReference w:id="1"/>
      </w:r>
      <w:r w:rsidRPr="00BB29A9">
        <w:rPr>
          <w:rFonts w:ascii="Verdana" w:eastAsia="Verdana" w:hAnsi="Verdana" w:cs="Verdana"/>
          <w:sz w:val="20"/>
          <w:szCs w:val="20"/>
          <w:lang w:val="es-MX"/>
        </w:rPr>
        <w:t xml:space="preserve"> y la Sentencia de reparaciones (en adelante “la Sentencia”) emitida por el Tribunal el 19 de noviembre de 2004</w:t>
      </w:r>
      <w:r w:rsidRPr="00BB29A9">
        <w:rPr>
          <w:rFonts w:ascii="Verdana" w:eastAsia="Verdana" w:hAnsi="Verdana" w:cs="Verdana"/>
          <w:sz w:val="20"/>
          <w:szCs w:val="20"/>
          <w:vertAlign w:val="superscript"/>
          <w:lang w:val="es-MX"/>
        </w:rPr>
        <w:footnoteReference w:id="2"/>
      </w:r>
      <w:r w:rsidRPr="00BB29A9">
        <w:rPr>
          <w:rFonts w:ascii="Verdana" w:eastAsia="Verdana" w:hAnsi="Verdana" w:cs="Verdana"/>
          <w:sz w:val="20"/>
          <w:szCs w:val="20"/>
          <w:lang w:val="es-MX"/>
        </w:rPr>
        <w:t xml:space="preserve">. El caso se refiere a </w:t>
      </w:r>
      <w:r w:rsidR="001B2106">
        <w:rPr>
          <w:rFonts w:ascii="Verdana" w:eastAsia="Verdana" w:hAnsi="Verdana" w:cs="Verdana"/>
          <w:sz w:val="20"/>
          <w:szCs w:val="20"/>
          <w:lang w:val="es-MX"/>
        </w:rPr>
        <w:t xml:space="preserve">la falta de investigación de </w:t>
      </w:r>
      <w:r w:rsidR="009969F5">
        <w:rPr>
          <w:rFonts w:ascii="Verdana" w:eastAsia="Verdana" w:hAnsi="Verdana" w:cs="Verdana"/>
          <w:sz w:val="20"/>
          <w:szCs w:val="20"/>
          <w:lang w:val="es-MX"/>
        </w:rPr>
        <w:t xml:space="preserve">la masacre </w:t>
      </w:r>
      <w:r w:rsidRPr="00BB29A9">
        <w:rPr>
          <w:rFonts w:ascii="Verdana" w:eastAsia="Verdana" w:hAnsi="Verdana" w:cs="Verdana"/>
          <w:sz w:val="20"/>
          <w:szCs w:val="20"/>
          <w:lang w:val="es-MX"/>
        </w:rPr>
        <w:t>ocurrid</w:t>
      </w:r>
      <w:r w:rsidR="009969F5">
        <w:rPr>
          <w:rFonts w:ascii="Verdana" w:eastAsia="Verdana" w:hAnsi="Verdana" w:cs="Verdana"/>
          <w:sz w:val="20"/>
          <w:szCs w:val="20"/>
          <w:lang w:val="es-MX"/>
        </w:rPr>
        <w:t>a</w:t>
      </w:r>
      <w:r w:rsidRPr="00BB29A9">
        <w:rPr>
          <w:rFonts w:ascii="Verdana" w:eastAsia="Verdana" w:hAnsi="Verdana" w:cs="Verdana"/>
          <w:sz w:val="20"/>
          <w:szCs w:val="20"/>
          <w:lang w:val="es-MX"/>
        </w:rPr>
        <w:t xml:space="preserve"> el domingo 18 de julio de 1982</w:t>
      </w:r>
      <w:r w:rsidRPr="00BB29A9">
        <w:rPr>
          <w:rFonts w:ascii="Verdana" w:eastAsia="Verdana" w:hAnsi="Verdana" w:cs="Verdana"/>
          <w:sz w:val="20"/>
          <w:szCs w:val="20"/>
          <w:vertAlign w:val="superscript"/>
        </w:rPr>
        <w:footnoteReference w:id="3"/>
      </w:r>
      <w:r w:rsidRPr="00BB29A9">
        <w:rPr>
          <w:rFonts w:ascii="Verdana" w:eastAsia="Verdana" w:hAnsi="Verdana" w:cs="Verdana"/>
          <w:sz w:val="20"/>
          <w:szCs w:val="20"/>
          <w:lang w:val="es-MX"/>
        </w:rPr>
        <w:t xml:space="preserve">, en la aldea Plan de Sánchez en el Municipio de Rabinal, Departamento de Baja Verapaz, </w:t>
      </w:r>
      <w:r w:rsidR="009969F5">
        <w:rPr>
          <w:rFonts w:ascii="Verdana" w:eastAsia="Verdana" w:hAnsi="Verdana" w:cs="Verdana"/>
          <w:sz w:val="20"/>
          <w:szCs w:val="20"/>
          <w:lang w:val="es-MX"/>
        </w:rPr>
        <w:t xml:space="preserve">así como a hechos posteriores. Ese 18 de julio </w:t>
      </w:r>
      <w:r w:rsidRPr="00BB29A9">
        <w:rPr>
          <w:rFonts w:ascii="Verdana" w:eastAsia="Verdana" w:hAnsi="Verdana" w:cs="Verdana"/>
          <w:sz w:val="20"/>
          <w:szCs w:val="20"/>
          <w:lang w:val="es-MX"/>
        </w:rPr>
        <w:t xml:space="preserve">llegó a la aldea un comando </w:t>
      </w:r>
      <w:r w:rsidR="00A93C10">
        <w:rPr>
          <w:rFonts w:ascii="Verdana" w:eastAsia="Verdana" w:hAnsi="Verdana" w:cs="Verdana"/>
          <w:sz w:val="20"/>
          <w:szCs w:val="20"/>
          <w:lang w:val="es-MX"/>
        </w:rPr>
        <w:t xml:space="preserve">compuesto por </w:t>
      </w:r>
      <w:r w:rsidRPr="00BB29A9">
        <w:rPr>
          <w:rFonts w:ascii="Verdana" w:eastAsia="Verdana" w:hAnsi="Verdana" w:cs="Verdana"/>
          <w:sz w:val="20"/>
          <w:szCs w:val="20"/>
          <w:lang w:val="es-MX"/>
        </w:rPr>
        <w:t>aproximadamente 60 integrantes</w:t>
      </w:r>
      <w:r w:rsidR="00A93C10">
        <w:rPr>
          <w:rFonts w:ascii="Verdana" w:eastAsia="Verdana" w:hAnsi="Verdana" w:cs="Verdana"/>
          <w:sz w:val="20"/>
          <w:szCs w:val="20"/>
          <w:lang w:val="es-MX"/>
        </w:rPr>
        <w:t xml:space="preserve"> (entre ellos militares</w:t>
      </w:r>
      <w:r w:rsidR="009969F5">
        <w:rPr>
          <w:rFonts w:ascii="Verdana" w:eastAsia="Verdana" w:hAnsi="Verdana" w:cs="Verdana"/>
          <w:sz w:val="20"/>
          <w:szCs w:val="20"/>
          <w:lang w:val="es-MX"/>
        </w:rPr>
        <w:t>, comisionados judiciales</w:t>
      </w:r>
      <w:r w:rsidR="00A93C10">
        <w:rPr>
          <w:rFonts w:ascii="Verdana" w:eastAsia="Verdana" w:hAnsi="Verdana" w:cs="Verdana"/>
          <w:sz w:val="20"/>
          <w:szCs w:val="20"/>
          <w:lang w:val="es-MX"/>
        </w:rPr>
        <w:t xml:space="preserve"> y miembros de las patrullas de autodefensa civil), quienes</w:t>
      </w:r>
      <w:r w:rsidRPr="00BB29A9">
        <w:rPr>
          <w:rFonts w:ascii="Verdana" w:eastAsia="Verdana" w:hAnsi="Verdana" w:cs="Verdana"/>
          <w:sz w:val="20"/>
          <w:szCs w:val="20"/>
          <w:lang w:val="es-MX"/>
        </w:rPr>
        <w:t xml:space="preserve"> perpetraron una masacre que dejó un saldo de alrededor de 268 personas muertas, en su mayoría niños, mujeres y ancianos. Las víctimas eran miembros del Pueblo indígena maya achí. “</w:t>
      </w:r>
      <w:r w:rsidRPr="00BB29A9">
        <w:rPr>
          <w:rFonts w:ascii="Verdana" w:hAnsi="Verdana"/>
          <w:bCs/>
          <w:sz w:val="20"/>
          <w:szCs w:val="20"/>
          <w:lang w:val="es-MX"/>
        </w:rPr>
        <w:t>Aproximadamente veinte niñas de entre 12 y 20 años de edad fueron llevadas a una casa donde fueron maltratadas, violadas y asesinadas”</w:t>
      </w:r>
      <w:r w:rsidRPr="00BB29A9">
        <w:rPr>
          <w:rFonts w:ascii="Verdana" w:eastAsia="Verdana" w:hAnsi="Verdana" w:cs="Verdana"/>
          <w:sz w:val="20"/>
          <w:szCs w:val="20"/>
          <w:lang w:val="es-MX"/>
        </w:rPr>
        <w:t>. Las mujeres mayores, los hombres y los niños fueron reunidos en una casa y en el patio de ésta; miembros del comando lanzaron dos granadas en el interior de la casa, dispararon indiscriminadamente y después la incendiaron. Además, al día siguiente, los residentes que no habían estado pres</w:t>
      </w:r>
      <w:r w:rsidR="00FC79C0">
        <w:rPr>
          <w:rFonts w:ascii="Verdana" w:eastAsia="Verdana" w:hAnsi="Verdana" w:cs="Verdana"/>
          <w:sz w:val="20"/>
          <w:szCs w:val="20"/>
          <w:lang w:val="es-MX"/>
        </w:rPr>
        <w:t>entes fueron obligados por las p</w:t>
      </w:r>
      <w:r w:rsidRPr="00BB29A9">
        <w:rPr>
          <w:rFonts w:ascii="Verdana" w:eastAsia="Verdana" w:hAnsi="Verdana" w:cs="Verdana"/>
          <w:sz w:val="20"/>
          <w:szCs w:val="20"/>
          <w:lang w:val="es-MX"/>
        </w:rPr>
        <w:t xml:space="preserve">atrullas de </w:t>
      </w:r>
      <w:r w:rsidR="00FC79C0">
        <w:rPr>
          <w:rFonts w:ascii="Verdana" w:eastAsia="Verdana" w:hAnsi="Verdana" w:cs="Verdana"/>
          <w:sz w:val="20"/>
          <w:szCs w:val="20"/>
          <w:lang w:val="es-MX"/>
        </w:rPr>
        <w:t>a</w:t>
      </w:r>
      <w:r w:rsidRPr="00BB29A9">
        <w:rPr>
          <w:rFonts w:ascii="Verdana" w:eastAsia="Verdana" w:hAnsi="Verdana" w:cs="Verdana"/>
          <w:sz w:val="20"/>
          <w:szCs w:val="20"/>
          <w:lang w:val="es-MX"/>
        </w:rPr>
        <w:t xml:space="preserve">utodefensa </w:t>
      </w:r>
      <w:r w:rsidR="00FC79C0">
        <w:rPr>
          <w:rFonts w:ascii="Verdana" w:eastAsia="Verdana" w:hAnsi="Verdana" w:cs="Verdana"/>
          <w:sz w:val="20"/>
          <w:szCs w:val="20"/>
          <w:lang w:val="es-MX"/>
        </w:rPr>
        <w:t>c</w:t>
      </w:r>
      <w:r w:rsidRPr="00BB29A9">
        <w:rPr>
          <w:rFonts w:ascii="Verdana" w:eastAsia="Verdana" w:hAnsi="Verdana" w:cs="Verdana"/>
          <w:sz w:val="20"/>
          <w:szCs w:val="20"/>
          <w:lang w:val="es-MX"/>
        </w:rPr>
        <w:t xml:space="preserve">ivil a enterrar rápidamente todos los cuerpos en el lugar de la masacre, contrario a las ceremonias tradicionales de la comunidad. Dos años después algunos sobrevivientes de las comunidades intentaron regresar. Sin embargo, al principio no se les permitió </w:t>
      </w:r>
      <w:r w:rsidRPr="00BB29A9">
        <w:rPr>
          <w:rFonts w:ascii="Verdana" w:eastAsia="Verdana" w:hAnsi="Verdana" w:cs="Verdana"/>
          <w:sz w:val="20"/>
          <w:szCs w:val="20"/>
          <w:lang w:val="es-MX"/>
        </w:rPr>
        <w:lastRenderedPageBreak/>
        <w:t>reconstruir sus viviendas, cultivar su tierra ni vivir en la aldea de Plan de Sánchez. En lo que respecta a las investigaciones de dichos hechos, en mayo de 1993 la Procuraduría de Derechos Humanos presentó una denuncia penal en nombre de la comunidad y se dio inicio a la causa, dentro de la cual se autorizó la realización de exhumaciones de fosas. Ningún agente del Estado, inclusive aquellos identificados por los querellantes, fue llamado siquiera a declarar y el Ministerio de la Defensa Nacional no proporcionó información alguna. Ninguna persona fue jurídicament</w:t>
      </w:r>
      <w:r w:rsidR="005D548E" w:rsidRPr="00BB29A9">
        <w:rPr>
          <w:rFonts w:ascii="Verdana" w:eastAsia="Verdana" w:hAnsi="Verdana" w:cs="Verdana"/>
          <w:sz w:val="20"/>
          <w:szCs w:val="20"/>
          <w:lang w:val="es-MX"/>
        </w:rPr>
        <w:t>e vinculada a la investigación.</w:t>
      </w:r>
      <w:r w:rsidRPr="00BB29A9">
        <w:rPr>
          <w:rFonts w:ascii="Verdana" w:eastAsia="Verdana" w:hAnsi="Verdana" w:cs="Verdana"/>
          <w:sz w:val="20"/>
          <w:szCs w:val="20"/>
          <w:lang w:val="es-MX"/>
        </w:rPr>
        <w:t xml:space="preserve"> En la Sentencia se concluye que “se desconoce el estado del proceso penal” por los hechos del presente caso. Tomando en cuenta el reconocimiento de responsabilidad internacional del Estado en el presente caso,</w:t>
      </w:r>
      <w:r w:rsidRPr="00BB29A9">
        <w:rPr>
          <w:rFonts w:ascii="Verdana" w:hAnsi="Verdana"/>
          <w:sz w:val="20"/>
          <w:szCs w:val="20"/>
          <w:lang w:val="es-MX"/>
        </w:rPr>
        <w:t xml:space="preserve"> l</w:t>
      </w:r>
      <w:r w:rsidRPr="00BB29A9">
        <w:rPr>
          <w:rFonts w:ascii="Verdana" w:eastAsia="Verdana" w:hAnsi="Verdana" w:cs="Verdana"/>
          <w:sz w:val="20"/>
          <w:szCs w:val="20"/>
          <w:lang w:val="es-MX"/>
        </w:rPr>
        <w:t>a Corte concluyó que Guatemala era responsable internacionalmente por la violación a los derechos a la integridad personal, a la protección de la honra y la dignidad, a la libertad de conciencia y de religión, a la libertad de pensamiento y de expresión, a la libertad de asociación, al derecho a la propiedad privada, y a la igualdad ante la ley consagrados en la Convención Americana sobr</w:t>
      </w:r>
      <w:r w:rsidR="00FC79C0">
        <w:rPr>
          <w:rFonts w:ascii="Verdana" w:eastAsia="Verdana" w:hAnsi="Verdana" w:cs="Verdana"/>
          <w:sz w:val="20"/>
          <w:szCs w:val="20"/>
          <w:lang w:val="es-MX"/>
        </w:rPr>
        <w:t>e Derechos Humanos (en adelante</w:t>
      </w:r>
      <w:r w:rsidRPr="00BB29A9">
        <w:rPr>
          <w:rFonts w:ascii="Verdana" w:eastAsia="Verdana" w:hAnsi="Verdana" w:cs="Verdana"/>
          <w:sz w:val="20"/>
          <w:szCs w:val="20"/>
          <w:lang w:val="es-MX"/>
        </w:rPr>
        <w:t xml:space="preserve"> la “Convención”), así como por la falta de investigación de los hechos. La Corte estableció que su Sentencia constituye por sí misma una forma de reparación y, además, ordenó al Estado determinadas medidas de reparación (</w:t>
      </w:r>
      <w:r w:rsidRPr="00BB29A9">
        <w:rPr>
          <w:rFonts w:ascii="Verdana" w:eastAsia="Verdana" w:hAnsi="Verdana" w:cs="Verdana"/>
          <w:i/>
          <w:sz w:val="20"/>
          <w:szCs w:val="20"/>
          <w:lang w:val="es-MX"/>
        </w:rPr>
        <w:t>infra</w:t>
      </w:r>
      <w:r w:rsidR="009D371B" w:rsidRPr="00BB29A9">
        <w:rPr>
          <w:rFonts w:ascii="Verdana" w:eastAsia="Verdana" w:hAnsi="Verdana" w:cs="Verdana"/>
          <w:sz w:val="20"/>
          <w:szCs w:val="20"/>
          <w:lang w:val="es-MX"/>
        </w:rPr>
        <w:t xml:space="preserve"> Considerando </w:t>
      </w:r>
      <w:r w:rsidR="000C3810">
        <w:rPr>
          <w:rFonts w:ascii="Verdana" w:eastAsia="Verdana" w:hAnsi="Verdana" w:cs="Verdana"/>
          <w:sz w:val="20"/>
          <w:szCs w:val="20"/>
          <w:lang w:val="es-MX"/>
        </w:rPr>
        <w:t>1</w:t>
      </w:r>
      <w:r w:rsidRPr="00BB29A9">
        <w:rPr>
          <w:rFonts w:ascii="Verdana" w:eastAsia="Verdana" w:hAnsi="Verdana" w:cs="Verdana"/>
          <w:sz w:val="20"/>
          <w:szCs w:val="20"/>
          <w:lang w:val="es-MX"/>
        </w:rPr>
        <w:t>).</w:t>
      </w:r>
      <w:bookmarkStart w:id="1" w:name="_4sz0jd5bdueh" w:colFirst="0" w:colLast="0"/>
      <w:bookmarkEnd w:id="1"/>
    </w:p>
    <w:p w14:paraId="01F1601C" w14:textId="77777777" w:rsidR="0045252B" w:rsidRPr="00BB29A9" w:rsidRDefault="0045252B" w:rsidP="009E7383">
      <w:pPr>
        <w:widowControl w:val="0"/>
        <w:numPr>
          <w:ilvl w:val="0"/>
          <w:numId w:val="11"/>
        </w:numPr>
        <w:spacing w:before="120" w:after="120" w:line="240" w:lineRule="auto"/>
        <w:ind w:left="0" w:firstLine="0"/>
        <w:jc w:val="both"/>
        <w:rPr>
          <w:rFonts w:ascii="Verdana" w:hAnsi="Verdana"/>
          <w:sz w:val="20"/>
          <w:szCs w:val="20"/>
          <w:lang w:val="es-MX"/>
        </w:rPr>
      </w:pPr>
      <w:bookmarkStart w:id="2" w:name="_m39kwa1f9cvo" w:colFirst="0" w:colLast="0"/>
      <w:bookmarkStart w:id="3" w:name="_Ref487562192"/>
      <w:bookmarkEnd w:id="2"/>
      <w:r w:rsidRPr="00BB29A9">
        <w:rPr>
          <w:rFonts w:ascii="Verdana" w:hAnsi="Verdana"/>
          <w:sz w:val="20"/>
          <w:szCs w:val="20"/>
          <w:lang w:val="es-MX"/>
        </w:rPr>
        <w:t xml:space="preserve">Las seis Resoluciones de supervisión de cumplimiento de sentencia emitidas por la Corte Interamericana entre noviembre </w:t>
      </w:r>
      <w:r w:rsidR="009D371B" w:rsidRPr="00BB29A9">
        <w:rPr>
          <w:rFonts w:ascii="Verdana" w:hAnsi="Verdana"/>
          <w:sz w:val="20"/>
          <w:szCs w:val="20"/>
          <w:lang w:val="es-MX"/>
        </w:rPr>
        <w:t xml:space="preserve">de </w:t>
      </w:r>
      <w:r w:rsidRPr="00BB29A9">
        <w:rPr>
          <w:rFonts w:ascii="Verdana" w:hAnsi="Verdana"/>
          <w:sz w:val="20"/>
          <w:szCs w:val="20"/>
          <w:lang w:val="es-MX"/>
        </w:rPr>
        <w:t xml:space="preserve">2007 y </w:t>
      </w:r>
      <w:r w:rsidR="009D371B" w:rsidRPr="00BB29A9">
        <w:rPr>
          <w:rFonts w:ascii="Verdana" w:hAnsi="Verdana"/>
          <w:sz w:val="20"/>
          <w:szCs w:val="20"/>
          <w:lang w:val="es-MX"/>
        </w:rPr>
        <w:t>mayo de 2017</w:t>
      </w:r>
      <w:r w:rsidRPr="00BB29A9">
        <w:rPr>
          <w:rStyle w:val="Refdenotaalpie"/>
          <w:rFonts w:ascii="Verdana" w:hAnsi="Verdana"/>
          <w:sz w:val="20"/>
          <w:szCs w:val="20"/>
          <w:lang w:val="es-MX"/>
        </w:rPr>
        <w:footnoteReference w:id="4"/>
      </w:r>
      <w:r w:rsidRPr="00BB29A9">
        <w:rPr>
          <w:rFonts w:ascii="Verdana" w:hAnsi="Verdana"/>
          <w:sz w:val="20"/>
          <w:szCs w:val="20"/>
          <w:lang w:val="es-MX"/>
        </w:rPr>
        <w:t>.</w:t>
      </w:r>
      <w:bookmarkEnd w:id="3"/>
    </w:p>
    <w:p w14:paraId="2400C19B" w14:textId="74DDE54B" w:rsidR="0045252B" w:rsidRPr="00BB29A9" w:rsidRDefault="0045252B" w:rsidP="00D26818">
      <w:pPr>
        <w:widowControl w:val="0"/>
        <w:numPr>
          <w:ilvl w:val="0"/>
          <w:numId w:val="11"/>
        </w:numPr>
        <w:spacing w:before="120" w:after="120" w:line="240" w:lineRule="auto"/>
        <w:ind w:left="0" w:firstLine="0"/>
        <w:jc w:val="both"/>
        <w:rPr>
          <w:rFonts w:ascii="Verdana" w:hAnsi="Verdana"/>
          <w:sz w:val="20"/>
          <w:szCs w:val="20"/>
          <w:lang w:val="es-MX"/>
        </w:rPr>
      </w:pPr>
      <w:r w:rsidRPr="00BB29A9">
        <w:rPr>
          <w:rFonts w:ascii="Verdana" w:eastAsia="Verdana" w:hAnsi="Verdana" w:cs="Verdana"/>
          <w:sz w:val="20"/>
          <w:szCs w:val="20"/>
          <w:lang w:val="es-MX"/>
        </w:rPr>
        <w:t xml:space="preserve">Los informes </w:t>
      </w:r>
      <w:r w:rsidR="005D548E" w:rsidRPr="00BB29A9">
        <w:rPr>
          <w:rFonts w:ascii="Verdana" w:hAnsi="Verdana"/>
          <w:sz w:val="20"/>
          <w:szCs w:val="20"/>
          <w:lang w:val="es-MX"/>
        </w:rPr>
        <w:t>presentados por el Estado entre</w:t>
      </w:r>
      <w:r w:rsidR="005D548E" w:rsidRPr="00BB29A9">
        <w:rPr>
          <w:rFonts w:ascii="Verdana" w:eastAsia="Verdana" w:hAnsi="Verdana" w:cs="Verdana"/>
          <w:sz w:val="20"/>
          <w:szCs w:val="20"/>
          <w:lang w:val="es-MX"/>
        </w:rPr>
        <w:t xml:space="preserve"> </w:t>
      </w:r>
      <w:r w:rsidR="00CD295B" w:rsidRPr="00BB29A9">
        <w:rPr>
          <w:rFonts w:ascii="Verdana" w:eastAsia="Verdana" w:hAnsi="Verdana" w:cs="Verdana"/>
          <w:sz w:val="20"/>
          <w:szCs w:val="20"/>
          <w:lang w:val="es-MX"/>
        </w:rPr>
        <w:t xml:space="preserve">junio de 2011 </w:t>
      </w:r>
      <w:r w:rsidRPr="00BB29A9">
        <w:rPr>
          <w:rFonts w:ascii="Verdana" w:eastAsia="Verdana" w:hAnsi="Verdana" w:cs="Verdana"/>
          <w:sz w:val="20"/>
          <w:szCs w:val="20"/>
          <w:lang w:val="es-MX"/>
        </w:rPr>
        <w:t>y</w:t>
      </w:r>
      <w:r w:rsidR="00535A80" w:rsidRPr="00BB29A9">
        <w:rPr>
          <w:rFonts w:ascii="Verdana" w:eastAsia="Verdana" w:hAnsi="Verdana" w:cs="Verdana"/>
          <w:sz w:val="20"/>
          <w:szCs w:val="20"/>
          <w:lang w:val="es-MX"/>
        </w:rPr>
        <w:t xml:space="preserve"> diciembre</w:t>
      </w:r>
      <w:r w:rsidRPr="00BB29A9">
        <w:rPr>
          <w:rFonts w:ascii="Verdana" w:eastAsia="Verdana" w:hAnsi="Verdana" w:cs="Verdana"/>
          <w:sz w:val="20"/>
          <w:szCs w:val="20"/>
          <w:lang w:val="es-MX"/>
        </w:rPr>
        <w:t xml:space="preserve"> de 20</w:t>
      </w:r>
      <w:r w:rsidR="00535A80" w:rsidRPr="00BB29A9">
        <w:rPr>
          <w:rFonts w:ascii="Verdana" w:eastAsia="Verdana" w:hAnsi="Verdana" w:cs="Verdana"/>
          <w:sz w:val="20"/>
          <w:szCs w:val="20"/>
          <w:lang w:val="es-MX"/>
        </w:rPr>
        <w:t>20</w:t>
      </w:r>
      <w:bookmarkStart w:id="4" w:name="_z74o46jatoqg" w:colFirst="0" w:colLast="0"/>
      <w:bookmarkStart w:id="5" w:name="_ir56k2c666qg" w:colFirst="0" w:colLast="0"/>
      <w:bookmarkEnd w:id="4"/>
      <w:bookmarkEnd w:id="5"/>
      <w:r w:rsidR="00D26818" w:rsidRPr="00BB29A9">
        <w:rPr>
          <w:rFonts w:ascii="Verdana" w:eastAsia="Verdana" w:hAnsi="Verdana" w:cs="Verdana"/>
          <w:sz w:val="20"/>
          <w:szCs w:val="20"/>
          <w:lang w:val="es-MX"/>
        </w:rPr>
        <w:t>, así como l</w:t>
      </w:r>
      <w:r w:rsidRPr="00BB29A9">
        <w:rPr>
          <w:rFonts w:ascii="Verdana" w:eastAsia="Verdana" w:hAnsi="Verdana" w:cs="Verdana"/>
          <w:sz w:val="20"/>
          <w:szCs w:val="20"/>
          <w:lang w:val="es-MX"/>
        </w:rPr>
        <w:t xml:space="preserve">os escritos de observaciones presentados </w:t>
      </w:r>
      <w:r w:rsidR="00FC79C0" w:rsidRPr="00BB29A9">
        <w:rPr>
          <w:rFonts w:ascii="Verdana" w:eastAsia="Verdana" w:hAnsi="Verdana" w:cs="Verdana"/>
          <w:sz w:val="20"/>
          <w:szCs w:val="20"/>
          <w:lang w:val="es-MX"/>
        </w:rPr>
        <w:t>entre agosto de 2011 y febrero 2021</w:t>
      </w:r>
      <w:r w:rsidR="00FC79C0">
        <w:rPr>
          <w:rFonts w:ascii="Verdana" w:eastAsia="Verdana" w:hAnsi="Verdana" w:cs="Verdana"/>
          <w:sz w:val="20"/>
          <w:szCs w:val="20"/>
          <w:lang w:val="es-MX"/>
        </w:rPr>
        <w:t xml:space="preserve"> </w:t>
      </w:r>
      <w:r w:rsidRPr="00BB29A9">
        <w:rPr>
          <w:rFonts w:ascii="Verdana" w:eastAsia="Verdana" w:hAnsi="Verdana" w:cs="Verdana"/>
          <w:sz w:val="20"/>
          <w:szCs w:val="20"/>
          <w:lang w:val="es-MX"/>
        </w:rPr>
        <w:t>por los representantes de las víctimas</w:t>
      </w:r>
      <w:r w:rsidRPr="00BB29A9">
        <w:rPr>
          <w:rStyle w:val="Refdenotaalpie"/>
          <w:rFonts w:ascii="Verdana" w:eastAsia="Verdana" w:hAnsi="Verdana" w:cs="Verdana"/>
          <w:sz w:val="20"/>
          <w:szCs w:val="20"/>
          <w:lang w:val="es-MX"/>
        </w:rPr>
        <w:footnoteReference w:id="5"/>
      </w:r>
      <w:r w:rsidRPr="00BB29A9">
        <w:rPr>
          <w:rFonts w:ascii="Verdana" w:eastAsia="Verdana" w:hAnsi="Verdana" w:cs="Verdana"/>
          <w:sz w:val="20"/>
          <w:szCs w:val="20"/>
          <w:lang w:val="es-MX"/>
        </w:rPr>
        <w:t xml:space="preserve"> (en adelante “los representantes”)</w:t>
      </w:r>
      <w:r w:rsidR="00D26818" w:rsidRPr="00BB29A9">
        <w:rPr>
          <w:rFonts w:ascii="Verdana" w:eastAsia="Verdana" w:hAnsi="Verdana" w:cs="Verdana"/>
          <w:sz w:val="20"/>
          <w:szCs w:val="20"/>
          <w:lang w:val="es-MX"/>
        </w:rPr>
        <w:t xml:space="preserve">, y </w:t>
      </w:r>
      <w:r w:rsidR="00FC79C0" w:rsidRPr="00BB29A9">
        <w:rPr>
          <w:rFonts w:ascii="Verdana" w:eastAsia="Verdana" w:hAnsi="Verdana" w:cs="Verdana"/>
          <w:sz w:val="20"/>
          <w:szCs w:val="20"/>
          <w:lang w:val="es-MX"/>
        </w:rPr>
        <w:t>entre diciembre de 2011 y diciembre de 2018</w:t>
      </w:r>
      <w:r w:rsidR="00FC79C0">
        <w:rPr>
          <w:rFonts w:ascii="Verdana" w:eastAsia="Verdana" w:hAnsi="Verdana" w:cs="Verdana"/>
          <w:sz w:val="20"/>
          <w:szCs w:val="20"/>
          <w:lang w:val="es-MX"/>
        </w:rPr>
        <w:t xml:space="preserve"> </w:t>
      </w:r>
      <w:r w:rsidRPr="00BB29A9">
        <w:rPr>
          <w:rFonts w:ascii="Verdana" w:eastAsia="Verdana" w:hAnsi="Verdana" w:cs="Verdana"/>
          <w:sz w:val="20"/>
          <w:szCs w:val="20"/>
          <w:lang w:val="es-MX"/>
        </w:rPr>
        <w:t>por la Comisión Interamericana de Derechos Humanos (en adelante “la Comisión In</w:t>
      </w:r>
      <w:r w:rsidR="009D0F04" w:rsidRPr="00BB29A9">
        <w:rPr>
          <w:rFonts w:ascii="Verdana" w:eastAsia="Verdana" w:hAnsi="Verdana" w:cs="Verdana"/>
          <w:sz w:val="20"/>
          <w:szCs w:val="20"/>
          <w:lang w:val="es-MX"/>
        </w:rPr>
        <w:t>teramericana” o “la Comisión”)</w:t>
      </w:r>
      <w:r w:rsidRPr="00BB29A9">
        <w:rPr>
          <w:rFonts w:ascii="Verdana" w:eastAsia="Verdana" w:hAnsi="Verdana" w:cs="Verdana"/>
          <w:sz w:val="20"/>
          <w:szCs w:val="20"/>
          <w:lang w:val="es-MX"/>
        </w:rPr>
        <w:t>.</w:t>
      </w:r>
    </w:p>
    <w:p w14:paraId="4C1009F6" w14:textId="77777777" w:rsidR="009D0F04" w:rsidRPr="00BB29A9" w:rsidRDefault="009D0F04" w:rsidP="009E7383">
      <w:pPr>
        <w:spacing w:before="120" w:after="120" w:line="240" w:lineRule="auto"/>
        <w:rPr>
          <w:rFonts w:ascii="Verdana" w:hAnsi="Verdana"/>
          <w:sz w:val="20"/>
          <w:szCs w:val="20"/>
          <w:lang w:val="es-MX"/>
        </w:rPr>
      </w:pPr>
    </w:p>
    <w:p w14:paraId="1E5B0B1F" w14:textId="77777777" w:rsidR="00E20531" w:rsidRPr="00BB29A9" w:rsidRDefault="00E20531" w:rsidP="009E7383">
      <w:pPr>
        <w:spacing w:before="120" w:after="120" w:line="240" w:lineRule="auto"/>
        <w:jc w:val="both"/>
        <w:rPr>
          <w:rFonts w:ascii="Verdana" w:hAnsi="Verdana"/>
          <w:b/>
          <w:sz w:val="20"/>
          <w:szCs w:val="20"/>
        </w:rPr>
      </w:pPr>
      <w:r w:rsidRPr="00BB29A9">
        <w:rPr>
          <w:rFonts w:ascii="Verdana" w:hAnsi="Verdana"/>
          <w:b/>
          <w:sz w:val="20"/>
          <w:szCs w:val="20"/>
        </w:rPr>
        <w:t>CONSIDERANDO QUE:</w:t>
      </w:r>
    </w:p>
    <w:p w14:paraId="25C65531" w14:textId="77777777" w:rsidR="00276860" w:rsidRPr="00BB29A9" w:rsidRDefault="00276860" w:rsidP="009E7383">
      <w:pPr>
        <w:spacing w:before="120" w:after="120" w:line="240" w:lineRule="auto"/>
        <w:jc w:val="both"/>
        <w:rPr>
          <w:rFonts w:ascii="Verdana" w:hAnsi="Verdana"/>
          <w:b/>
          <w:sz w:val="20"/>
          <w:szCs w:val="20"/>
        </w:rPr>
      </w:pPr>
    </w:p>
    <w:p w14:paraId="44BF03BB" w14:textId="5718C681" w:rsidR="00636549" w:rsidRPr="00BB29A9" w:rsidRDefault="00E20531" w:rsidP="00776079">
      <w:pPr>
        <w:pStyle w:val="Prrafodelista"/>
        <w:numPr>
          <w:ilvl w:val="0"/>
          <w:numId w:val="14"/>
        </w:numPr>
        <w:spacing w:before="120" w:after="120" w:line="240" w:lineRule="auto"/>
        <w:ind w:left="0" w:firstLine="0"/>
        <w:contextualSpacing w:val="0"/>
        <w:jc w:val="both"/>
        <w:rPr>
          <w:rFonts w:ascii="Verdana" w:hAnsi="Verdana"/>
          <w:sz w:val="20"/>
          <w:szCs w:val="20"/>
        </w:rPr>
      </w:pPr>
      <w:bookmarkStart w:id="6" w:name="_Ref507501099"/>
      <w:r w:rsidRPr="00BB29A9">
        <w:rPr>
          <w:rFonts w:ascii="Verdana" w:hAnsi="Verdana"/>
          <w:sz w:val="20"/>
          <w:szCs w:val="20"/>
        </w:rPr>
        <w:t>En el ejercicio de su función jurisdiccional de supervisar el cumplimiento de sus decisiones</w:t>
      </w:r>
      <w:r w:rsidRPr="00BB29A9">
        <w:rPr>
          <w:rStyle w:val="Refdenotaalpie"/>
          <w:rFonts w:ascii="Verdana" w:hAnsi="Verdana"/>
          <w:sz w:val="20"/>
          <w:szCs w:val="20"/>
        </w:rPr>
        <w:footnoteReference w:id="6"/>
      </w:r>
      <w:bookmarkEnd w:id="6"/>
      <w:r w:rsidR="00D03DFB" w:rsidRPr="00BB29A9">
        <w:rPr>
          <w:rFonts w:ascii="Verdana" w:hAnsi="Verdana"/>
          <w:sz w:val="20"/>
          <w:szCs w:val="20"/>
        </w:rPr>
        <w:t>,</w:t>
      </w:r>
      <w:r w:rsidR="00332163" w:rsidRPr="00BB29A9">
        <w:rPr>
          <w:rFonts w:ascii="Verdana" w:hAnsi="Verdana"/>
          <w:sz w:val="20"/>
          <w:szCs w:val="20"/>
        </w:rPr>
        <w:t xml:space="preserve"> la Corte ha venido supervisando la ejecución de la Sentencia emitida en el presente caso hace dieciséis años (</w:t>
      </w:r>
      <w:r w:rsidR="00332163" w:rsidRPr="00BB29A9">
        <w:rPr>
          <w:rFonts w:ascii="Verdana" w:hAnsi="Verdana"/>
          <w:i/>
          <w:sz w:val="20"/>
          <w:szCs w:val="20"/>
        </w:rPr>
        <w:t>supra</w:t>
      </w:r>
      <w:r w:rsidR="00332163" w:rsidRPr="00BB29A9">
        <w:rPr>
          <w:rFonts w:ascii="Verdana" w:hAnsi="Verdana"/>
          <w:sz w:val="20"/>
          <w:szCs w:val="20"/>
        </w:rPr>
        <w:t xml:space="preserve"> Visto 1). Este Tribunal</w:t>
      </w:r>
      <w:r w:rsidR="00D03DFB" w:rsidRPr="00BB29A9">
        <w:rPr>
          <w:rFonts w:ascii="Verdana" w:hAnsi="Verdana"/>
          <w:sz w:val="20"/>
          <w:szCs w:val="20"/>
        </w:rPr>
        <w:t xml:space="preserve"> ha emitido seis Resoluciones de supervisión de cumplimiento entre el 2007 y el 2017 (</w:t>
      </w:r>
      <w:r w:rsidR="00D03DFB" w:rsidRPr="00BB29A9">
        <w:rPr>
          <w:rFonts w:ascii="Verdana" w:hAnsi="Verdana"/>
          <w:i/>
          <w:sz w:val="20"/>
          <w:szCs w:val="20"/>
        </w:rPr>
        <w:t>supra</w:t>
      </w:r>
      <w:r w:rsidR="00D03DFB" w:rsidRPr="00BB29A9">
        <w:rPr>
          <w:rFonts w:ascii="Verdana" w:hAnsi="Verdana"/>
          <w:sz w:val="20"/>
          <w:szCs w:val="20"/>
        </w:rPr>
        <w:t xml:space="preserve"> Visto 2), </w:t>
      </w:r>
      <w:r w:rsidR="00D03DFB" w:rsidRPr="00BB29A9">
        <w:rPr>
          <w:rFonts w:ascii="Verdana" w:hAnsi="Verdana"/>
          <w:sz w:val="20"/>
          <w:szCs w:val="20"/>
        </w:rPr>
        <w:lastRenderedPageBreak/>
        <w:t>en las cuales declaró que el Estado de Guatemala ha dado cumplimiento total a ocho medidas de reparación</w:t>
      </w:r>
      <w:r w:rsidR="00D03DFB" w:rsidRPr="00BB29A9">
        <w:rPr>
          <w:rStyle w:val="Refdenotaalpie"/>
          <w:rFonts w:ascii="Verdana" w:hAnsi="Verdana"/>
          <w:sz w:val="20"/>
          <w:szCs w:val="20"/>
        </w:rPr>
        <w:footnoteReference w:id="7"/>
      </w:r>
      <w:r w:rsidR="00D03DFB" w:rsidRPr="00BB29A9">
        <w:rPr>
          <w:rFonts w:ascii="Verdana" w:hAnsi="Verdana"/>
          <w:sz w:val="20"/>
          <w:szCs w:val="20"/>
        </w:rPr>
        <w:t xml:space="preserve"> y que se encuentran pendientes de cumplimien</w:t>
      </w:r>
      <w:r w:rsidR="008F6BA1" w:rsidRPr="00BB29A9">
        <w:rPr>
          <w:rFonts w:ascii="Verdana" w:hAnsi="Verdana"/>
          <w:sz w:val="20"/>
          <w:szCs w:val="20"/>
        </w:rPr>
        <w:t>to siete medidas</w:t>
      </w:r>
      <w:r w:rsidR="00332163" w:rsidRPr="00BB29A9">
        <w:rPr>
          <w:rFonts w:ascii="Verdana" w:hAnsi="Verdana"/>
          <w:sz w:val="20"/>
          <w:szCs w:val="20"/>
        </w:rPr>
        <w:t xml:space="preserve"> (</w:t>
      </w:r>
      <w:r w:rsidR="00332163" w:rsidRPr="00BB29A9">
        <w:rPr>
          <w:rFonts w:ascii="Verdana" w:hAnsi="Verdana"/>
          <w:i/>
          <w:sz w:val="20"/>
          <w:szCs w:val="20"/>
        </w:rPr>
        <w:t>infra</w:t>
      </w:r>
      <w:r w:rsidR="00332163" w:rsidRPr="00BB29A9">
        <w:rPr>
          <w:rFonts w:ascii="Verdana" w:hAnsi="Verdana"/>
          <w:sz w:val="20"/>
          <w:szCs w:val="20"/>
        </w:rPr>
        <w:t xml:space="preserve"> </w:t>
      </w:r>
      <w:r w:rsidR="00FE03F8">
        <w:rPr>
          <w:rFonts w:ascii="Verdana" w:hAnsi="Verdana"/>
          <w:sz w:val="20"/>
          <w:szCs w:val="20"/>
        </w:rPr>
        <w:t>Considerando 3</w:t>
      </w:r>
      <w:r w:rsidR="00332163" w:rsidRPr="00BB29A9">
        <w:rPr>
          <w:rFonts w:ascii="Verdana" w:hAnsi="Verdana"/>
          <w:sz w:val="20"/>
          <w:szCs w:val="20"/>
        </w:rPr>
        <w:t>)</w:t>
      </w:r>
      <w:r w:rsidR="008F6BA1" w:rsidRPr="00BB29A9">
        <w:rPr>
          <w:rFonts w:ascii="Verdana" w:hAnsi="Verdana"/>
          <w:sz w:val="20"/>
          <w:szCs w:val="20"/>
        </w:rPr>
        <w:t>.</w:t>
      </w:r>
      <w:r w:rsidR="00636549" w:rsidRPr="00BB29A9">
        <w:rPr>
          <w:rFonts w:ascii="Verdana" w:hAnsi="Verdana"/>
          <w:sz w:val="20"/>
          <w:szCs w:val="20"/>
        </w:rPr>
        <w:t xml:space="preserve"> </w:t>
      </w:r>
      <w:r w:rsidR="00776079" w:rsidRPr="00BB29A9">
        <w:rPr>
          <w:rFonts w:ascii="Verdana" w:hAnsi="Verdana"/>
          <w:sz w:val="20"/>
          <w:szCs w:val="20"/>
        </w:rPr>
        <w:t>Al respecto, e</w:t>
      </w:r>
      <w:r w:rsidR="00597AEE" w:rsidRPr="00BB29A9">
        <w:rPr>
          <w:rFonts w:ascii="Verdana" w:hAnsi="Verdana"/>
          <w:sz w:val="20"/>
          <w:szCs w:val="20"/>
        </w:rPr>
        <w:t xml:space="preserve">n el marco de la supervisión del cumplimiento </w:t>
      </w:r>
      <w:r w:rsidR="00597AEE" w:rsidRPr="00BB29A9">
        <w:rPr>
          <w:rFonts w:ascii="Verdana" w:hAnsi="Verdana"/>
          <w:sz w:val="20"/>
          <w:szCs w:val="20"/>
          <w:lang w:val="es-ES"/>
        </w:rPr>
        <w:t>de la Sentencia</w:t>
      </w:r>
      <w:r w:rsidR="00031A7A" w:rsidRPr="00BB29A9">
        <w:rPr>
          <w:rFonts w:ascii="Verdana" w:hAnsi="Verdana"/>
          <w:sz w:val="20"/>
          <w:szCs w:val="20"/>
          <w:lang w:val="es-MX"/>
        </w:rPr>
        <w:t xml:space="preserve"> </w:t>
      </w:r>
      <w:r w:rsidR="00597AEE" w:rsidRPr="00BB29A9">
        <w:rPr>
          <w:rFonts w:ascii="Verdana" w:eastAsia="Verdana" w:hAnsi="Verdana" w:cs="Verdana"/>
          <w:sz w:val="20"/>
          <w:szCs w:val="20"/>
          <w:lang w:val="es-MX"/>
        </w:rPr>
        <w:t xml:space="preserve">una delegación de la Corte realizó una visita en terreno </w:t>
      </w:r>
      <w:r w:rsidR="00597AEE" w:rsidRPr="00BB29A9">
        <w:rPr>
          <w:rFonts w:ascii="Verdana" w:hAnsi="Verdana"/>
          <w:sz w:val="20"/>
          <w:szCs w:val="20"/>
        </w:rPr>
        <w:t>a la Aldea Plan de Sánchez</w:t>
      </w:r>
      <w:r w:rsidR="00597AEE" w:rsidRPr="00BB29A9">
        <w:rPr>
          <w:rFonts w:ascii="Verdana" w:eastAsia="Verdana" w:hAnsi="Verdana" w:cs="Verdana"/>
          <w:sz w:val="20"/>
          <w:szCs w:val="20"/>
          <w:lang w:val="es-MX"/>
        </w:rPr>
        <w:t xml:space="preserve">, ubicada en el Municipio de Rabinal, Departamento de Baja Verapaz, el 27 de marzo </w:t>
      </w:r>
      <w:r w:rsidR="00597AEE" w:rsidRPr="00F34675">
        <w:rPr>
          <w:rFonts w:ascii="Verdana" w:eastAsia="Verdana" w:hAnsi="Verdana" w:cs="Verdana"/>
          <w:sz w:val="20"/>
          <w:szCs w:val="20"/>
          <w:lang w:val="es-MX"/>
        </w:rPr>
        <w:t xml:space="preserve">de 2017, para recibir información de forma directa sobre el cumplimiento de </w:t>
      </w:r>
      <w:r w:rsidR="00BC2D95" w:rsidRPr="00F34675">
        <w:rPr>
          <w:rFonts w:ascii="Verdana" w:eastAsia="Verdana" w:hAnsi="Verdana" w:cs="Verdana"/>
          <w:sz w:val="20"/>
          <w:szCs w:val="20"/>
          <w:lang w:val="es-MX"/>
        </w:rPr>
        <w:t>c</w:t>
      </w:r>
      <w:r w:rsidR="00776079" w:rsidRPr="00F34675">
        <w:rPr>
          <w:rFonts w:ascii="Verdana" w:eastAsia="Verdana" w:hAnsi="Verdana" w:cs="Verdana"/>
          <w:sz w:val="20"/>
          <w:szCs w:val="20"/>
          <w:lang w:val="es-MX"/>
        </w:rPr>
        <w:t>inco</w:t>
      </w:r>
      <w:r w:rsidR="00597AEE" w:rsidRPr="00F34675">
        <w:rPr>
          <w:rFonts w:ascii="Verdana" w:eastAsia="Verdana" w:hAnsi="Verdana" w:cs="Verdana"/>
          <w:sz w:val="20"/>
          <w:szCs w:val="20"/>
          <w:lang w:val="es-MX"/>
        </w:rPr>
        <w:t xml:space="preserve"> medidas de</w:t>
      </w:r>
      <w:r w:rsidR="00597AEE" w:rsidRPr="00BB29A9">
        <w:rPr>
          <w:rFonts w:ascii="Verdana" w:eastAsia="Verdana" w:hAnsi="Verdana" w:cs="Verdana"/>
          <w:sz w:val="20"/>
          <w:szCs w:val="20"/>
          <w:lang w:val="es-MX"/>
        </w:rPr>
        <w:t xml:space="preserve"> reparación de carácter colectivo. La información proporcionada por las partes y la Comisión, al igual que la </w:t>
      </w:r>
      <w:r w:rsidR="00597AEE" w:rsidRPr="00BB29A9">
        <w:rPr>
          <w:rFonts w:ascii="Verdana" w:hAnsi="Verdana"/>
          <w:sz w:val="20"/>
          <w:szCs w:val="20"/>
          <w:lang w:val="es-ES"/>
        </w:rPr>
        <w:t>información</w:t>
      </w:r>
      <w:r w:rsidR="00597AEE" w:rsidRPr="00BB29A9">
        <w:rPr>
          <w:rFonts w:ascii="Verdana" w:eastAsia="Verdana" w:hAnsi="Verdana" w:cs="Verdana"/>
          <w:sz w:val="20"/>
          <w:szCs w:val="20"/>
          <w:lang w:val="es-MX"/>
        </w:rPr>
        <w:t xml:space="preserve"> recabada en dicha visita </w:t>
      </w:r>
      <w:r w:rsidR="00597AEE" w:rsidRPr="00BB29A9">
        <w:rPr>
          <w:rFonts w:ascii="Verdana" w:hAnsi="Verdana"/>
          <w:sz w:val="20"/>
          <w:szCs w:val="20"/>
        </w:rPr>
        <w:t>fue valorada por la Corte en la Resolución q</w:t>
      </w:r>
      <w:r w:rsidR="00640558" w:rsidRPr="00BB29A9">
        <w:rPr>
          <w:rFonts w:ascii="Verdana" w:hAnsi="Verdana"/>
          <w:sz w:val="20"/>
          <w:szCs w:val="20"/>
        </w:rPr>
        <w:t>ue emitió el 25 de mayo de 2017 (</w:t>
      </w:r>
      <w:r w:rsidR="00640558" w:rsidRPr="00BB29A9">
        <w:rPr>
          <w:rFonts w:ascii="Verdana" w:hAnsi="Verdana"/>
          <w:i/>
          <w:sz w:val="20"/>
          <w:szCs w:val="20"/>
        </w:rPr>
        <w:t>infra</w:t>
      </w:r>
      <w:r w:rsidR="00640558" w:rsidRPr="00BB29A9">
        <w:rPr>
          <w:rFonts w:ascii="Verdana" w:hAnsi="Verdana"/>
          <w:sz w:val="20"/>
          <w:szCs w:val="20"/>
        </w:rPr>
        <w:t xml:space="preserve"> Considerandos </w:t>
      </w:r>
      <w:r w:rsidR="00B76AF5">
        <w:rPr>
          <w:rFonts w:ascii="Verdana" w:hAnsi="Verdana"/>
          <w:sz w:val="20"/>
          <w:szCs w:val="20"/>
        </w:rPr>
        <w:t>25, 35, 43</w:t>
      </w:r>
      <w:r w:rsidR="00DC516F">
        <w:rPr>
          <w:rFonts w:ascii="Verdana" w:hAnsi="Verdana"/>
          <w:sz w:val="20"/>
          <w:szCs w:val="20"/>
        </w:rPr>
        <w:t xml:space="preserve"> y</w:t>
      </w:r>
      <w:r w:rsidR="00B76AF5">
        <w:rPr>
          <w:rFonts w:ascii="Verdana" w:hAnsi="Verdana"/>
          <w:sz w:val="20"/>
          <w:szCs w:val="20"/>
        </w:rPr>
        <w:t xml:space="preserve"> 50</w:t>
      </w:r>
      <w:r w:rsidR="00640558" w:rsidRPr="00BB29A9">
        <w:rPr>
          <w:rFonts w:ascii="Verdana" w:hAnsi="Verdana"/>
          <w:sz w:val="20"/>
          <w:szCs w:val="20"/>
        </w:rPr>
        <w:t>)</w:t>
      </w:r>
      <w:r w:rsidR="00597AEE" w:rsidRPr="00BB29A9">
        <w:rPr>
          <w:rFonts w:ascii="Verdana" w:eastAsia="Verdana" w:hAnsi="Verdana" w:cs="Verdana"/>
          <w:sz w:val="20"/>
          <w:szCs w:val="20"/>
          <w:lang w:val="es-MX"/>
        </w:rPr>
        <w:t>.</w:t>
      </w:r>
    </w:p>
    <w:p w14:paraId="6EFEE8FC" w14:textId="77777777" w:rsidR="00332163" w:rsidRPr="00BB29A9" w:rsidRDefault="00E20531" w:rsidP="009E7383">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BB29A9">
        <w:rPr>
          <w:rStyle w:val="Refdenotaalpie"/>
          <w:rFonts w:ascii="Verdana" w:hAnsi="Verdana"/>
          <w:sz w:val="20"/>
          <w:szCs w:val="20"/>
        </w:rPr>
        <w:footnoteReference w:id="8"/>
      </w:r>
      <w:r w:rsidRPr="00BB29A9">
        <w:rPr>
          <w:rFonts w:ascii="Verdana" w:hAnsi="Verdana"/>
          <w:sz w:val="20"/>
          <w:szCs w:val="20"/>
        </w:rPr>
        <w:t>. Los Estados Parte en la Convención deben garantizar el cumplimiento de las disposiciones convencionales y sus efectos propios (</w:t>
      </w:r>
      <w:proofErr w:type="spellStart"/>
      <w:r w:rsidRPr="00BB29A9">
        <w:rPr>
          <w:rFonts w:ascii="Verdana" w:hAnsi="Verdana"/>
          <w:i/>
          <w:sz w:val="20"/>
          <w:szCs w:val="20"/>
        </w:rPr>
        <w:t>effet</w:t>
      </w:r>
      <w:proofErr w:type="spellEnd"/>
      <w:r w:rsidRPr="00BB29A9">
        <w:rPr>
          <w:rFonts w:ascii="Verdana" w:hAnsi="Verdana"/>
          <w:i/>
          <w:sz w:val="20"/>
          <w:szCs w:val="20"/>
        </w:rPr>
        <w:t xml:space="preserve"> </w:t>
      </w:r>
      <w:proofErr w:type="spellStart"/>
      <w:r w:rsidRPr="00BB29A9">
        <w:rPr>
          <w:rFonts w:ascii="Verdana" w:hAnsi="Verdana"/>
          <w:i/>
          <w:sz w:val="20"/>
          <w:szCs w:val="20"/>
        </w:rPr>
        <w:t>utile</w:t>
      </w:r>
      <w:proofErr w:type="spellEnd"/>
      <w:r w:rsidRPr="00BB29A9">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BB29A9">
        <w:rPr>
          <w:rStyle w:val="Refdenotaalpie"/>
          <w:rFonts w:ascii="Verdana" w:hAnsi="Verdana"/>
          <w:sz w:val="20"/>
          <w:szCs w:val="20"/>
        </w:rPr>
        <w:footnoteReference w:id="9"/>
      </w:r>
      <w:r w:rsidRPr="00BB29A9">
        <w:rPr>
          <w:rFonts w:ascii="Verdana" w:hAnsi="Verdana"/>
          <w:sz w:val="20"/>
          <w:szCs w:val="20"/>
        </w:rPr>
        <w:t>.</w:t>
      </w:r>
    </w:p>
    <w:p w14:paraId="443CF366" w14:textId="6265EF94" w:rsidR="00332163" w:rsidRPr="009E7383" w:rsidRDefault="00332163" w:rsidP="009E7383">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eastAsia="Times" w:hAnsi="Verdana"/>
          <w:sz w:val="20"/>
          <w:szCs w:val="20"/>
          <w:lang w:val="es-MX"/>
        </w:rPr>
        <w:t>En la presente Resolución, la Corte valorará la infor</w:t>
      </w:r>
      <w:r w:rsidR="004B2424" w:rsidRPr="00BB29A9">
        <w:rPr>
          <w:rFonts w:ascii="Verdana" w:eastAsia="Times" w:hAnsi="Verdana"/>
          <w:sz w:val="20"/>
          <w:szCs w:val="20"/>
          <w:lang w:val="es-MX"/>
        </w:rPr>
        <w:t xml:space="preserve">mación presentada por el Estado, y </w:t>
      </w:r>
      <w:r w:rsidRPr="00BB29A9">
        <w:rPr>
          <w:rFonts w:ascii="Verdana" w:eastAsia="Times" w:hAnsi="Verdana"/>
          <w:sz w:val="20"/>
          <w:szCs w:val="20"/>
          <w:lang w:val="es-MX"/>
        </w:rPr>
        <w:t>las observaciones de los representantes</w:t>
      </w:r>
      <w:r w:rsidR="004B2424" w:rsidRPr="00BB29A9">
        <w:rPr>
          <w:rFonts w:ascii="Verdana" w:eastAsia="Times" w:hAnsi="Verdana"/>
          <w:sz w:val="20"/>
          <w:szCs w:val="20"/>
          <w:lang w:val="es-MX"/>
        </w:rPr>
        <w:t xml:space="preserve"> y la Comisión,</w:t>
      </w:r>
      <w:r w:rsidRPr="00BB29A9">
        <w:rPr>
          <w:rFonts w:ascii="Verdana" w:eastAsia="Times" w:hAnsi="Verdana"/>
          <w:sz w:val="20"/>
          <w:szCs w:val="20"/>
          <w:lang w:val="es-MX"/>
        </w:rPr>
        <w:t xml:space="preserve"> respecto de las medidas de reparación pendientes en este caso, y determinará el grado de cumplimiento por parte del Estado. </w:t>
      </w:r>
      <w:r w:rsidR="0046375C" w:rsidRPr="00BB29A9">
        <w:rPr>
          <w:rFonts w:ascii="Verdana" w:eastAsia="Times" w:hAnsi="Verdana"/>
          <w:sz w:val="20"/>
          <w:szCs w:val="20"/>
          <w:lang w:val="es-MX"/>
        </w:rPr>
        <w:t>La presente Resolución se estructura en el siguiente orden:</w:t>
      </w:r>
    </w:p>
    <w:p w14:paraId="7152609A" w14:textId="77777777" w:rsidR="005F4017" w:rsidRPr="002315AE" w:rsidRDefault="005F4017" w:rsidP="00D14ACD">
      <w:pPr>
        <w:pStyle w:val="Prrafodelista"/>
        <w:spacing w:after="0" w:line="240" w:lineRule="auto"/>
        <w:ind w:left="425"/>
        <w:jc w:val="both"/>
        <w:rPr>
          <w:rFonts w:ascii="Verdana" w:hAnsi="Verdana"/>
          <w:sz w:val="16"/>
          <w:szCs w:val="16"/>
        </w:rPr>
      </w:pPr>
    </w:p>
    <w:p w14:paraId="0050D7E7" w14:textId="6441B748" w:rsidR="002315AE" w:rsidRPr="002315AE" w:rsidRDefault="00F629DB">
      <w:pPr>
        <w:pStyle w:val="TDC1"/>
        <w:rPr>
          <w:rFonts w:ascii="Verdana" w:eastAsiaTheme="minorEastAsia" w:hAnsi="Verdana"/>
          <w:noProof/>
          <w:sz w:val="16"/>
          <w:szCs w:val="16"/>
          <w:lang w:eastAsia="es-CR"/>
        </w:rPr>
      </w:pPr>
      <w:r w:rsidRPr="002315AE">
        <w:rPr>
          <w:rFonts w:ascii="Verdana" w:hAnsi="Verdana"/>
          <w:sz w:val="16"/>
          <w:szCs w:val="16"/>
        </w:rPr>
        <w:fldChar w:fldCharType="begin"/>
      </w:r>
      <w:r w:rsidRPr="002315AE">
        <w:rPr>
          <w:rFonts w:ascii="Verdana" w:hAnsi="Verdana"/>
          <w:sz w:val="16"/>
          <w:szCs w:val="16"/>
        </w:rPr>
        <w:instrText xml:space="preserve"> TOC \o "1-3" \h \z \u </w:instrText>
      </w:r>
      <w:r w:rsidRPr="002315AE">
        <w:rPr>
          <w:rFonts w:ascii="Verdana" w:hAnsi="Verdana"/>
          <w:sz w:val="16"/>
          <w:szCs w:val="16"/>
        </w:rPr>
        <w:fldChar w:fldCharType="separate"/>
      </w:r>
      <w:hyperlink w:anchor="_Toc67523769" w:history="1">
        <w:r w:rsidR="002315AE" w:rsidRPr="002315AE">
          <w:rPr>
            <w:rStyle w:val="Hipervnculo"/>
            <w:rFonts w:ascii="Verdana" w:hAnsi="Verdana"/>
            <w:noProof/>
            <w:sz w:val="16"/>
            <w:szCs w:val="16"/>
            <w:lang w:val="es-MX"/>
          </w:rPr>
          <w:t>A.</w:t>
        </w:r>
        <w:r w:rsidR="002315AE" w:rsidRPr="002315AE">
          <w:rPr>
            <w:rFonts w:ascii="Verdana" w:eastAsiaTheme="minorEastAsia" w:hAnsi="Verdana"/>
            <w:noProof/>
            <w:sz w:val="16"/>
            <w:szCs w:val="16"/>
            <w:lang w:eastAsia="es-CR"/>
          </w:rPr>
          <w:tab/>
        </w:r>
        <w:r w:rsidR="002315AE" w:rsidRPr="002315AE">
          <w:rPr>
            <w:rStyle w:val="Hipervnculo"/>
            <w:rFonts w:ascii="Verdana" w:hAnsi="Verdana"/>
            <w:noProof/>
            <w:sz w:val="16"/>
            <w:szCs w:val="16"/>
            <w:lang w:val="es-MX"/>
          </w:rPr>
          <w:t>Obligación de investigar</w:t>
        </w:r>
        <w:r w:rsidR="002315AE" w:rsidRPr="002315AE">
          <w:rPr>
            <w:rStyle w:val="Hipervnculo"/>
            <w:rFonts w:ascii="Verdana" w:hAnsi="Verdana"/>
            <w:noProof/>
            <w:sz w:val="16"/>
            <w:szCs w:val="16"/>
          </w:rPr>
          <w:t>, identificar, juzgar y eventualmente sancionar</w:t>
        </w:r>
        <w:r w:rsidR="002315AE" w:rsidRPr="002315AE">
          <w:rPr>
            <w:rFonts w:ascii="Verdana" w:hAnsi="Verdana"/>
            <w:noProof/>
            <w:webHidden/>
            <w:sz w:val="16"/>
            <w:szCs w:val="16"/>
          </w:rPr>
          <w:tab/>
        </w:r>
        <w:r w:rsidR="002315AE" w:rsidRPr="002315AE">
          <w:rPr>
            <w:rFonts w:ascii="Verdana" w:hAnsi="Verdana"/>
            <w:noProof/>
            <w:webHidden/>
            <w:sz w:val="16"/>
            <w:szCs w:val="16"/>
          </w:rPr>
          <w:fldChar w:fldCharType="begin"/>
        </w:r>
        <w:r w:rsidR="002315AE" w:rsidRPr="002315AE">
          <w:rPr>
            <w:rFonts w:ascii="Verdana" w:hAnsi="Verdana"/>
            <w:noProof/>
            <w:webHidden/>
            <w:sz w:val="16"/>
            <w:szCs w:val="16"/>
          </w:rPr>
          <w:instrText xml:space="preserve"> PAGEREF _Toc67523769 \h </w:instrText>
        </w:r>
        <w:r w:rsidR="002315AE" w:rsidRPr="002315AE">
          <w:rPr>
            <w:rFonts w:ascii="Verdana" w:hAnsi="Verdana"/>
            <w:noProof/>
            <w:webHidden/>
            <w:sz w:val="16"/>
            <w:szCs w:val="16"/>
          </w:rPr>
        </w:r>
        <w:r w:rsidR="002315AE" w:rsidRPr="002315AE">
          <w:rPr>
            <w:rFonts w:ascii="Verdana" w:hAnsi="Verdana"/>
            <w:noProof/>
            <w:webHidden/>
            <w:sz w:val="16"/>
            <w:szCs w:val="16"/>
          </w:rPr>
          <w:fldChar w:fldCharType="separate"/>
        </w:r>
        <w:r w:rsidR="001D75C8">
          <w:rPr>
            <w:rFonts w:ascii="Verdana" w:hAnsi="Verdana"/>
            <w:noProof/>
            <w:webHidden/>
            <w:sz w:val="16"/>
            <w:szCs w:val="16"/>
          </w:rPr>
          <w:t>4</w:t>
        </w:r>
        <w:r w:rsidR="002315AE" w:rsidRPr="002315AE">
          <w:rPr>
            <w:rFonts w:ascii="Verdana" w:hAnsi="Verdana"/>
            <w:noProof/>
            <w:webHidden/>
            <w:sz w:val="16"/>
            <w:szCs w:val="16"/>
          </w:rPr>
          <w:fldChar w:fldCharType="end"/>
        </w:r>
      </w:hyperlink>
    </w:p>
    <w:p w14:paraId="38777862" w14:textId="34AA4228" w:rsidR="002315AE" w:rsidRPr="002315AE" w:rsidRDefault="008162D5">
      <w:pPr>
        <w:pStyle w:val="TDC1"/>
        <w:rPr>
          <w:rFonts w:ascii="Verdana" w:eastAsiaTheme="minorEastAsia" w:hAnsi="Verdana"/>
          <w:noProof/>
          <w:sz w:val="16"/>
          <w:szCs w:val="16"/>
          <w:lang w:eastAsia="es-CR"/>
        </w:rPr>
      </w:pPr>
      <w:hyperlink w:anchor="_Toc67523770" w:history="1">
        <w:r w:rsidR="002315AE" w:rsidRPr="002315AE">
          <w:rPr>
            <w:rStyle w:val="Hipervnculo"/>
            <w:rFonts w:ascii="Verdana" w:hAnsi="Verdana"/>
            <w:noProof/>
            <w:sz w:val="16"/>
            <w:szCs w:val="16"/>
            <w:lang w:val="es-MX"/>
          </w:rPr>
          <w:t>B.</w:t>
        </w:r>
        <w:r w:rsidR="002315AE" w:rsidRPr="002315AE">
          <w:rPr>
            <w:rFonts w:ascii="Verdana" w:eastAsiaTheme="minorEastAsia" w:hAnsi="Verdana"/>
            <w:noProof/>
            <w:sz w:val="16"/>
            <w:szCs w:val="16"/>
            <w:lang w:eastAsia="es-CR"/>
          </w:rPr>
          <w:tab/>
        </w:r>
        <w:r w:rsidR="002315AE" w:rsidRPr="002315AE">
          <w:rPr>
            <w:rStyle w:val="Hipervnculo"/>
            <w:rFonts w:ascii="Verdana" w:hAnsi="Verdana"/>
            <w:noProof/>
            <w:sz w:val="16"/>
            <w:szCs w:val="16"/>
            <w:lang w:val="es-MX"/>
          </w:rPr>
          <w:t>Tratamiento médico, psicológico y psiquiátrico</w:t>
        </w:r>
        <w:r w:rsidR="002315AE" w:rsidRPr="002315AE">
          <w:rPr>
            <w:rFonts w:ascii="Verdana" w:hAnsi="Verdana"/>
            <w:noProof/>
            <w:webHidden/>
            <w:sz w:val="16"/>
            <w:szCs w:val="16"/>
          </w:rPr>
          <w:tab/>
        </w:r>
        <w:r w:rsidR="002315AE" w:rsidRPr="002315AE">
          <w:rPr>
            <w:rFonts w:ascii="Verdana" w:hAnsi="Verdana"/>
            <w:noProof/>
            <w:webHidden/>
            <w:sz w:val="16"/>
            <w:szCs w:val="16"/>
          </w:rPr>
          <w:fldChar w:fldCharType="begin"/>
        </w:r>
        <w:r w:rsidR="002315AE" w:rsidRPr="002315AE">
          <w:rPr>
            <w:rFonts w:ascii="Verdana" w:hAnsi="Verdana"/>
            <w:noProof/>
            <w:webHidden/>
            <w:sz w:val="16"/>
            <w:szCs w:val="16"/>
          </w:rPr>
          <w:instrText xml:space="preserve"> PAGEREF _Toc67523770 \h </w:instrText>
        </w:r>
        <w:r w:rsidR="002315AE" w:rsidRPr="002315AE">
          <w:rPr>
            <w:rFonts w:ascii="Verdana" w:hAnsi="Verdana"/>
            <w:noProof/>
            <w:webHidden/>
            <w:sz w:val="16"/>
            <w:szCs w:val="16"/>
          </w:rPr>
        </w:r>
        <w:r w:rsidR="002315AE" w:rsidRPr="002315AE">
          <w:rPr>
            <w:rFonts w:ascii="Verdana" w:hAnsi="Verdana"/>
            <w:noProof/>
            <w:webHidden/>
            <w:sz w:val="16"/>
            <w:szCs w:val="16"/>
          </w:rPr>
          <w:fldChar w:fldCharType="separate"/>
        </w:r>
        <w:r w:rsidR="001D75C8">
          <w:rPr>
            <w:rFonts w:ascii="Verdana" w:hAnsi="Verdana"/>
            <w:noProof/>
            <w:webHidden/>
            <w:sz w:val="16"/>
            <w:szCs w:val="16"/>
          </w:rPr>
          <w:t>7</w:t>
        </w:r>
        <w:r w:rsidR="002315AE" w:rsidRPr="002315AE">
          <w:rPr>
            <w:rFonts w:ascii="Verdana" w:hAnsi="Verdana"/>
            <w:noProof/>
            <w:webHidden/>
            <w:sz w:val="16"/>
            <w:szCs w:val="16"/>
          </w:rPr>
          <w:fldChar w:fldCharType="end"/>
        </w:r>
      </w:hyperlink>
    </w:p>
    <w:p w14:paraId="5A521BAC" w14:textId="064065A3" w:rsidR="002315AE" w:rsidRPr="002315AE" w:rsidRDefault="008162D5">
      <w:pPr>
        <w:pStyle w:val="TDC1"/>
        <w:rPr>
          <w:rFonts w:ascii="Verdana" w:eastAsiaTheme="minorEastAsia" w:hAnsi="Verdana"/>
          <w:noProof/>
          <w:sz w:val="16"/>
          <w:szCs w:val="16"/>
          <w:lang w:eastAsia="es-CR"/>
        </w:rPr>
      </w:pPr>
      <w:hyperlink w:anchor="_Toc67523771" w:history="1">
        <w:r w:rsidR="002315AE" w:rsidRPr="002315AE">
          <w:rPr>
            <w:rStyle w:val="Hipervnculo"/>
            <w:rFonts w:ascii="Verdana" w:hAnsi="Verdana"/>
            <w:noProof/>
            <w:sz w:val="16"/>
            <w:szCs w:val="16"/>
            <w:lang w:val="es-MX"/>
          </w:rPr>
          <w:t>C.</w:t>
        </w:r>
        <w:r w:rsidR="002315AE" w:rsidRPr="002315AE">
          <w:rPr>
            <w:rFonts w:ascii="Verdana" w:eastAsiaTheme="minorEastAsia" w:hAnsi="Verdana"/>
            <w:noProof/>
            <w:sz w:val="16"/>
            <w:szCs w:val="16"/>
            <w:lang w:eastAsia="es-CR"/>
          </w:rPr>
          <w:tab/>
        </w:r>
        <w:r w:rsidR="002315AE" w:rsidRPr="002315AE">
          <w:rPr>
            <w:rStyle w:val="Hipervnculo"/>
            <w:rFonts w:ascii="Verdana" w:hAnsi="Verdana"/>
            <w:noProof/>
            <w:sz w:val="16"/>
            <w:szCs w:val="16"/>
          </w:rPr>
          <w:t>Proveer de vivienda adecuada a los sobrevivientes de la masacre que residan en la Aldea Plan de Sánchez</w:t>
        </w:r>
        <w:r w:rsidR="002315AE" w:rsidRPr="002315AE">
          <w:rPr>
            <w:rFonts w:ascii="Verdana" w:hAnsi="Verdana"/>
            <w:noProof/>
            <w:webHidden/>
            <w:sz w:val="16"/>
            <w:szCs w:val="16"/>
          </w:rPr>
          <w:tab/>
        </w:r>
        <w:r w:rsidR="002315AE" w:rsidRPr="002315AE">
          <w:rPr>
            <w:rFonts w:ascii="Verdana" w:hAnsi="Verdana"/>
            <w:noProof/>
            <w:webHidden/>
            <w:sz w:val="16"/>
            <w:szCs w:val="16"/>
          </w:rPr>
          <w:fldChar w:fldCharType="begin"/>
        </w:r>
        <w:r w:rsidR="002315AE" w:rsidRPr="002315AE">
          <w:rPr>
            <w:rFonts w:ascii="Verdana" w:hAnsi="Verdana"/>
            <w:noProof/>
            <w:webHidden/>
            <w:sz w:val="16"/>
            <w:szCs w:val="16"/>
          </w:rPr>
          <w:instrText xml:space="preserve"> PAGEREF _Toc67523771 \h </w:instrText>
        </w:r>
        <w:r w:rsidR="002315AE" w:rsidRPr="002315AE">
          <w:rPr>
            <w:rFonts w:ascii="Verdana" w:hAnsi="Verdana"/>
            <w:noProof/>
            <w:webHidden/>
            <w:sz w:val="16"/>
            <w:szCs w:val="16"/>
          </w:rPr>
        </w:r>
        <w:r w:rsidR="002315AE" w:rsidRPr="002315AE">
          <w:rPr>
            <w:rFonts w:ascii="Verdana" w:hAnsi="Verdana"/>
            <w:noProof/>
            <w:webHidden/>
            <w:sz w:val="16"/>
            <w:szCs w:val="16"/>
          </w:rPr>
          <w:fldChar w:fldCharType="separate"/>
        </w:r>
        <w:r w:rsidR="001D75C8">
          <w:rPr>
            <w:rFonts w:ascii="Verdana" w:hAnsi="Verdana"/>
            <w:noProof/>
            <w:webHidden/>
            <w:sz w:val="16"/>
            <w:szCs w:val="16"/>
          </w:rPr>
          <w:t>10</w:t>
        </w:r>
        <w:r w:rsidR="002315AE" w:rsidRPr="002315AE">
          <w:rPr>
            <w:rFonts w:ascii="Verdana" w:hAnsi="Verdana"/>
            <w:noProof/>
            <w:webHidden/>
            <w:sz w:val="16"/>
            <w:szCs w:val="16"/>
          </w:rPr>
          <w:fldChar w:fldCharType="end"/>
        </w:r>
      </w:hyperlink>
    </w:p>
    <w:p w14:paraId="1AFC7612" w14:textId="4970115C" w:rsidR="002315AE" w:rsidRPr="002315AE" w:rsidRDefault="008162D5">
      <w:pPr>
        <w:pStyle w:val="TDC1"/>
        <w:rPr>
          <w:rFonts w:ascii="Verdana" w:eastAsiaTheme="minorEastAsia" w:hAnsi="Verdana"/>
          <w:noProof/>
          <w:sz w:val="16"/>
          <w:szCs w:val="16"/>
          <w:lang w:eastAsia="es-CR"/>
        </w:rPr>
      </w:pPr>
      <w:hyperlink w:anchor="_Toc67523772" w:history="1">
        <w:r w:rsidR="002315AE" w:rsidRPr="002315AE">
          <w:rPr>
            <w:rStyle w:val="Hipervnculo"/>
            <w:rFonts w:ascii="Verdana" w:hAnsi="Verdana"/>
            <w:noProof/>
            <w:sz w:val="16"/>
            <w:szCs w:val="16"/>
            <w:lang w:val="es-MX"/>
          </w:rPr>
          <w:t>D.</w:t>
        </w:r>
        <w:r w:rsidR="002315AE" w:rsidRPr="002315AE">
          <w:rPr>
            <w:rFonts w:ascii="Verdana" w:eastAsiaTheme="minorEastAsia" w:hAnsi="Verdana"/>
            <w:noProof/>
            <w:sz w:val="16"/>
            <w:szCs w:val="16"/>
            <w:lang w:eastAsia="es-CR"/>
          </w:rPr>
          <w:tab/>
        </w:r>
        <w:r w:rsidR="002315AE" w:rsidRPr="002315AE">
          <w:rPr>
            <w:rStyle w:val="Hipervnculo"/>
            <w:rFonts w:ascii="Verdana" w:hAnsi="Verdana"/>
            <w:noProof/>
            <w:sz w:val="16"/>
            <w:szCs w:val="16"/>
          </w:rPr>
          <w:t>Desarrollar programas comunitarios en 13 aldeas ubicadas en el Departamento de Baja Verapaz</w:t>
        </w:r>
        <w:r w:rsidR="002315AE" w:rsidRPr="002315AE">
          <w:rPr>
            <w:rFonts w:ascii="Verdana" w:hAnsi="Verdana"/>
            <w:noProof/>
            <w:webHidden/>
            <w:sz w:val="16"/>
            <w:szCs w:val="16"/>
          </w:rPr>
          <w:tab/>
        </w:r>
        <w:r w:rsidR="002315AE" w:rsidRPr="002315AE">
          <w:rPr>
            <w:rFonts w:ascii="Verdana" w:hAnsi="Verdana"/>
            <w:noProof/>
            <w:webHidden/>
            <w:sz w:val="16"/>
            <w:szCs w:val="16"/>
          </w:rPr>
          <w:fldChar w:fldCharType="begin"/>
        </w:r>
        <w:r w:rsidR="002315AE" w:rsidRPr="002315AE">
          <w:rPr>
            <w:rFonts w:ascii="Verdana" w:hAnsi="Verdana"/>
            <w:noProof/>
            <w:webHidden/>
            <w:sz w:val="16"/>
            <w:szCs w:val="16"/>
          </w:rPr>
          <w:instrText xml:space="preserve"> PAGEREF _Toc67523772 \h </w:instrText>
        </w:r>
        <w:r w:rsidR="002315AE" w:rsidRPr="002315AE">
          <w:rPr>
            <w:rFonts w:ascii="Verdana" w:hAnsi="Verdana"/>
            <w:noProof/>
            <w:webHidden/>
            <w:sz w:val="16"/>
            <w:szCs w:val="16"/>
          </w:rPr>
        </w:r>
        <w:r w:rsidR="002315AE" w:rsidRPr="002315AE">
          <w:rPr>
            <w:rFonts w:ascii="Verdana" w:hAnsi="Verdana"/>
            <w:noProof/>
            <w:webHidden/>
            <w:sz w:val="16"/>
            <w:szCs w:val="16"/>
          </w:rPr>
          <w:fldChar w:fldCharType="separate"/>
        </w:r>
        <w:r w:rsidR="001D75C8">
          <w:rPr>
            <w:rFonts w:ascii="Verdana" w:hAnsi="Verdana"/>
            <w:noProof/>
            <w:webHidden/>
            <w:sz w:val="16"/>
            <w:szCs w:val="16"/>
          </w:rPr>
          <w:t>13</w:t>
        </w:r>
        <w:r w:rsidR="002315AE" w:rsidRPr="002315AE">
          <w:rPr>
            <w:rFonts w:ascii="Verdana" w:hAnsi="Verdana"/>
            <w:noProof/>
            <w:webHidden/>
            <w:sz w:val="16"/>
            <w:szCs w:val="16"/>
          </w:rPr>
          <w:fldChar w:fldCharType="end"/>
        </w:r>
      </w:hyperlink>
    </w:p>
    <w:p w14:paraId="624A492F" w14:textId="7FA547CC" w:rsidR="002315AE" w:rsidRPr="002315AE" w:rsidRDefault="008162D5">
      <w:pPr>
        <w:pStyle w:val="TDC2"/>
        <w:rPr>
          <w:rFonts w:ascii="Verdana" w:eastAsiaTheme="minorEastAsia" w:hAnsi="Verdana"/>
          <w:noProof/>
          <w:sz w:val="16"/>
          <w:szCs w:val="16"/>
          <w:lang w:eastAsia="es-CR"/>
        </w:rPr>
      </w:pPr>
      <w:hyperlink w:anchor="_Toc67523773" w:history="1">
        <w:r w:rsidR="002315AE" w:rsidRPr="002315AE">
          <w:rPr>
            <w:rStyle w:val="Hipervnculo"/>
            <w:rFonts w:ascii="Verdana" w:hAnsi="Verdana"/>
            <w:noProof/>
            <w:sz w:val="16"/>
            <w:szCs w:val="16"/>
          </w:rPr>
          <w:t>i.</w:t>
        </w:r>
        <w:r w:rsidR="002315AE" w:rsidRPr="002315AE">
          <w:rPr>
            <w:rFonts w:ascii="Verdana" w:eastAsiaTheme="minorEastAsia" w:hAnsi="Verdana"/>
            <w:noProof/>
            <w:sz w:val="16"/>
            <w:szCs w:val="16"/>
            <w:lang w:eastAsia="es-CR"/>
          </w:rPr>
          <w:tab/>
        </w:r>
        <w:r w:rsidR="002315AE" w:rsidRPr="002315AE">
          <w:rPr>
            <w:rStyle w:val="Hipervnculo"/>
            <w:rFonts w:ascii="Verdana" w:hAnsi="Verdana"/>
            <w:noProof/>
            <w:sz w:val="16"/>
            <w:szCs w:val="16"/>
          </w:rPr>
          <w:t>Mantenimiento y mejoras en el sistema de comunicación vial entre las comunidades indicadas y la cabecera municipal de Rabinal</w:t>
        </w:r>
        <w:r w:rsidR="002315AE" w:rsidRPr="002315AE">
          <w:rPr>
            <w:rFonts w:ascii="Verdana" w:hAnsi="Verdana"/>
            <w:noProof/>
            <w:webHidden/>
            <w:sz w:val="16"/>
            <w:szCs w:val="16"/>
          </w:rPr>
          <w:tab/>
        </w:r>
        <w:r w:rsidR="002315AE" w:rsidRPr="002315AE">
          <w:rPr>
            <w:rFonts w:ascii="Verdana" w:hAnsi="Verdana"/>
            <w:noProof/>
            <w:webHidden/>
            <w:sz w:val="16"/>
            <w:szCs w:val="16"/>
          </w:rPr>
          <w:fldChar w:fldCharType="begin"/>
        </w:r>
        <w:r w:rsidR="002315AE" w:rsidRPr="002315AE">
          <w:rPr>
            <w:rFonts w:ascii="Verdana" w:hAnsi="Verdana"/>
            <w:noProof/>
            <w:webHidden/>
            <w:sz w:val="16"/>
            <w:szCs w:val="16"/>
          </w:rPr>
          <w:instrText xml:space="preserve"> PAGEREF _Toc67523773 \h </w:instrText>
        </w:r>
        <w:r w:rsidR="002315AE" w:rsidRPr="002315AE">
          <w:rPr>
            <w:rFonts w:ascii="Verdana" w:hAnsi="Verdana"/>
            <w:noProof/>
            <w:webHidden/>
            <w:sz w:val="16"/>
            <w:szCs w:val="16"/>
          </w:rPr>
        </w:r>
        <w:r w:rsidR="002315AE" w:rsidRPr="002315AE">
          <w:rPr>
            <w:rFonts w:ascii="Verdana" w:hAnsi="Verdana"/>
            <w:noProof/>
            <w:webHidden/>
            <w:sz w:val="16"/>
            <w:szCs w:val="16"/>
          </w:rPr>
          <w:fldChar w:fldCharType="separate"/>
        </w:r>
        <w:r w:rsidR="001D75C8">
          <w:rPr>
            <w:rFonts w:ascii="Verdana" w:hAnsi="Verdana"/>
            <w:noProof/>
            <w:webHidden/>
            <w:sz w:val="16"/>
            <w:szCs w:val="16"/>
          </w:rPr>
          <w:t>14</w:t>
        </w:r>
        <w:r w:rsidR="002315AE" w:rsidRPr="002315AE">
          <w:rPr>
            <w:rFonts w:ascii="Verdana" w:hAnsi="Verdana"/>
            <w:noProof/>
            <w:webHidden/>
            <w:sz w:val="16"/>
            <w:szCs w:val="16"/>
          </w:rPr>
          <w:fldChar w:fldCharType="end"/>
        </w:r>
      </w:hyperlink>
    </w:p>
    <w:p w14:paraId="56E67633" w14:textId="284A1D80" w:rsidR="002315AE" w:rsidRPr="002315AE" w:rsidRDefault="008162D5">
      <w:pPr>
        <w:pStyle w:val="TDC2"/>
        <w:rPr>
          <w:rFonts w:ascii="Verdana" w:eastAsiaTheme="minorEastAsia" w:hAnsi="Verdana"/>
          <w:noProof/>
          <w:sz w:val="16"/>
          <w:szCs w:val="16"/>
          <w:lang w:eastAsia="es-CR"/>
        </w:rPr>
      </w:pPr>
      <w:hyperlink w:anchor="_Toc67523774" w:history="1">
        <w:r w:rsidR="002315AE" w:rsidRPr="002315AE">
          <w:rPr>
            <w:rStyle w:val="Hipervnculo"/>
            <w:rFonts w:ascii="Verdana" w:hAnsi="Verdana"/>
            <w:noProof/>
            <w:sz w:val="16"/>
            <w:szCs w:val="16"/>
          </w:rPr>
          <w:t>ii.</w:t>
        </w:r>
        <w:r w:rsidR="002315AE" w:rsidRPr="002315AE">
          <w:rPr>
            <w:rFonts w:ascii="Verdana" w:eastAsiaTheme="minorEastAsia" w:hAnsi="Verdana"/>
            <w:noProof/>
            <w:sz w:val="16"/>
            <w:szCs w:val="16"/>
            <w:lang w:eastAsia="es-CR"/>
          </w:rPr>
          <w:tab/>
        </w:r>
        <w:r w:rsidR="002315AE" w:rsidRPr="002315AE">
          <w:rPr>
            <w:rStyle w:val="Hipervnculo"/>
            <w:rFonts w:ascii="Verdana" w:hAnsi="Verdana"/>
            <w:noProof/>
            <w:sz w:val="16"/>
            <w:szCs w:val="16"/>
          </w:rPr>
          <w:t>Desarrollar un sistema de alcantarillado y suministro de agua potable</w:t>
        </w:r>
        <w:r w:rsidR="002315AE" w:rsidRPr="002315AE">
          <w:rPr>
            <w:rFonts w:ascii="Verdana" w:hAnsi="Verdana"/>
            <w:noProof/>
            <w:webHidden/>
            <w:sz w:val="16"/>
            <w:szCs w:val="16"/>
          </w:rPr>
          <w:tab/>
        </w:r>
        <w:r w:rsidR="002315AE" w:rsidRPr="002315AE">
          <w:rPr>
            <w:rFonts w:ascii="Verdana" w:hAnsi="Verdana"/>
            <w:noProof/>
            <w:webHidden/>
            <w:sz w:val="16"/>
            <w:szCs w:val="16"/>
          </w:rPr>
          <w:fldChar w:fldCharType="begin"/>
        </w:r>
        <w:r w:rsidR="002315AE" w:rsidRPr="002315AE">
          <w:rPr>
            <w:rFonts w:ascii="Verdana" w:hAnsi="Verdana"/>
            <w:noProof/>
            <w:webHidden/>
            <w:sz w:val="16"/>
            <w:szCs w:val="16"/>
          </w:rPr>
          <w:instrText xml:space="preserve"> PAGEREF _Toc67523774 \h </w:instrText>
        </w:r>
        <w:r w:rsidR="002315AE" w:rsidRPr="002315AE">
          <w:rPr>
            <w:rFonts w:ascii="Verdana" w:hAnsi="Verdana"/>
            <w:noProof/>
            <w:webHidden/>
            <w:sz w:val="16"/>
            <w:szCs w:val="16"/>
          </w:rPr>
        </w:r>
        <w:r w:rsidR="002315AE" w:rsidRPr="002315AE">
          <w:rPr>
            <w:rFonts w:ascii="Verdana" w:hAnsi="Verdana"/>
            <w:noProof/>
            <w:webHidden/>
            <w:sz w:val="16"/>
            <w:szCs w:val="16"/>
          </w:rPr>
          <w:fldChar w:fldCharType="separate"/>
        </w:r>
        <w:r w:rsidR="001D75C8">
          <w:rPr>
            <w:rFonts w:ascii="Verdana" w:hAnsi="Verdana"/>
            <w:noProof/>
            <w:webHidden/>
            <w:sz w:val="16"/>
            <w:szCs w:val="16"/>
          </w:rPr>
          <w:t>16</w:t>
        </w:r>
        <w:r w:rsidR="002315AE" w:rsidRPr="002315AE">
          <w:rPr>
            <w:rFonts w:ascii="Verdana" w:hAnsi="Verdana"/>
            <w:noProof/>
            <w:webHidden/>
            <w:sz w:val="16"/>
            <w:szCs w:val="16"/>
          </w:rPr>
          <w:fldChar w:fldCharType="end"/>
        </w:r>
      </w:hyperlink>
    </w:p>
    <w:p w14:paraId="62517278" w14:textId="32EE4623" w:rsidR="002315AE" w:rsidRPr="002315AE" w:rsidRDefault="008162D5">
      <w:pPr>
        <w:pStyle w:val="TDC2"/>
        <w:rPr>
          <w:rFonts w:ascii="Verdana" w:eastAsiaTheme="minorEastAsia" w:hAnsi="Verdana"/>
          <w:noProof/>
          <w:sz w:val="16"/>
          <w:szCs w:val="16"/>
          <w:lang w:eastAsia="es-CR"/>
        </w:rPr>
      </w:pPr>
      <w:hyperlink w:anchor="_Toc67523775" w:history="1">
        <w:r w:rsidR="002315AE" w:rsidRPr="002315AE">
          <w:rPr>
            <w:rStyle w:val="Hipervnculo"/>
            <w:rFonts w:ascii="Verdana" w:hAnsi="Verdana"/>
            <w:noProof/>
            <w:sz w:val="16"/>
            <w:szCs w:val="16"/>
          </w:rPr>
          <w:t>iii.</w:t>
        </w:r>
        <w:r w:rsidR="002315AE" w:rsidRPr="002315AE">
          <w:rPr>
            <w:rFonts w:ascii="Verdana" w:eastAsiaTheme="minorEastAsia" w:hAnsi="Verdana"/>
            <w:noProof/>
            <w:sz w:val="16"/>
            <w:szCs w:val="16"/>
            <w:lang w:eastAsia="es-CR"/>
          </w:rPr>
          <w:tab/>
        </w:r>
        <w:r w:rsidR="002315AE" w:rsidRPr="002315AE">
          <w:rPr>
            <w:rStyle w:val="Hipervnculo"/>
            <w:rFonts w:ascii="Verdana" w:hAnsi="Verdana"/>
            <w:noProof/>
            <w:sz w:val="16"/>
            <w:szCs w:val="16"/>
          </w:rPr>
          <w:t>Dotar de personal docente capacitado en enseñanza intercultural y bilingüe</w:t>
        </w:r>
        <w:r w:rsidR="002315AE" w:rsidRPr="002315AE">
          <w:rPr>
            <w:rFonts w:ascii="Verdana" w:hAnsi="Verdana"/>
            <w:noProof/>
            <w:webHidden/>
            <w:sz w:val="16"/>
            <w:szCs w:val="16"/>
          </w:rPr>
          <w:tab/>
        </w:r>
        <w:r w:rsidR="002315AE" w:rsidRPr="002315AE">
          <w:rPr>
            <w:rFonts w:ascii="Verdana" w:hAnsi="Verdana"/>
            <w:noProof/>
            <w:webHidden/>
            <w:sz w:val="16"/>
            <w:szCs w:val="16"/>
          </w:rPr>
          <w:fldChar w:fldCharType="begin"/>
        </w:r>
        <w:r w:rsidR="002315AE" w:rsidRPr="002315AE">
          <w:rPr>
            <w:rFonts w:ascii="Verdana" w:hAnsi="Verdana"/>
            <w:noProof/>
            <w:webHidden/>
            <w:sz w:val="16"/>
            <w:szCs w:val="16"/>
          </w:rPr>
          <w:instrText xml:space="preserve"> PAGEREF _Toc67523775 \h </w:instrText>
        </w:r>
        <w:r w:rsidR="002315AE" w:rsidRPr="002315AE">
          <w:rPr>
            <w:rFonts w:ascii="Verdana" w:hAnsi="Verdana"/>
            <w:noProof/>
            <w:webHidden/>
            <w:sz w:val="16"/>
            <w:szCs w:val="16"/>
          </w:rPr>
        </w:r>
        <w:r w:rsidR="002315AE" w:rsidRPr="002315AE">
          <w:rPr>
            <w:rFonts w:ascii="Verdana" w:hAnsi="Verdana"/>
            <w:noProof/>
            <w:webHidden/>
            <w:sz w:val="16"/>
            <w:szCs w:val="16"/>
          </w:rPr>
          <w:fldChar w:fldCharType="separate"/>
        </w:r>
        <w:r w:rsidR="001D75C8">
          <w:rPr>
            <w:rFonts w:ascii="Verdana" w:hAnsi="Verdana"/>
            <w:noProof/>
            <w:webHidden/>
            <w:sz w:val="16"/>
            <w:szCs w:val="16"/>
          </w:rPr>
          <w:t>18</w:t>
        </w:r>
        <w:r w:rsidR="002315AE" w:rsidRPr="002315AE">
          <w:rPr>
            <w:rFonts w:ascii="Verdana" w:hAnsi="Verdana"/>
            <w:noProof/>
            <w:webHidden/>
            <w:sz w:val="16"/>
            <w:szCs w:val="16"/>
          </w:rPr>
          <w:fldChar w:fldCharType="end"/>
        </w:r>
      </w:hyperlink>
    </w:p>
    <w:p w14:paraId="69A14DAB" w14:textId="3DD76BFD" w:rsidR="002315AE" w:rsidRPr="002315AE" w:rsidRDefault="008162D5">
      <w:pPr>
        <w:pStyle w:val="TDC1"/>
        <w:rPr>
          <w:rFonts w:ascii="Verdana" w:eastAsiaTheme="minorEastAsia" w:hAnsi="Verdana"/>
          <w:noProof/>
          <w:sz w:val="16"/>
          <w:szCs w:val="16"/>
          <w:lang w:eastAsia="es-CR"/>
        </w:rPr>
      </w:pPr>
      <w:hyperlink w:anchor="_Toc67523776" w:history="1">
        <w:r w:rsidR="002315AE" w:rsidRPr="002315AE">
          <w:rPr>
            <w:rStyle w:val="Hipervnculo"/>
            <w:rFonts w:ascii="Verdana" w:hAnsi="Verdana"/>
            <w:noProof/>
            <w:sz w:val="16"/>
            <w:szCs w:val="16"/>
            <w:lang w:val="es-MX"/>
          </w:rPr>
          <w:t>E.</w:t>
        </w:r>
        <w:r w:rsidR="002315AE" w:rsidRPr="002315AE">
          <w:rPr>
            <w:rFonts w:ascii="Verdana" w:eastAsiaTheme="minorEastAsia" w:hAnsi="Verdana"/>
            <w:noProof/>
            <w:sz w:val="16"/>
            <w:szCs w:val="16"/>
            <w:lang w:eastAsia="es-CR"/>
          </w:rPr>
          <w:tab/>
        </w:r>
        <w:r w:rsidR="002315AE" w:rsidRPr="002315AE">
          <w:rPr>
            <w:rStyle w:val="Hipervnculo"/>
            <w:rFonts w:ascii="Verdana" w:hAnsi="Verdana"/>
            <w:noProof/>
            <w:sz w:val="16"/>
            <w:szCs w:val="16"/>
          </w:rPr>
          <w:t>Pago de la indemnización por concepto de daño material e inmaterial</w:t>
        </w:r>
        <w:r w:rsidR="002315AE" w:rsidRPr="002315AE">
          <w:rPr>
            <w:rFonts w:ascii="Verdana" w:hAnsi="Verdana"/>
            <w:noProof/>
            <w:webHidden/>
            <w:sz w:val="16"/>
            <w:szCs w:val="16"/>
          </w:rPr>
          <w:tab/>
        </w:r>
        <w:r w:rsidR="002315AE" w:rsidRPr="002315AE">
          <w:rPr>
            <w:rFonts w:ascii="Verdana" w:hAnsi="Verdana"/>
            <w:noProof/>
            <w:webHidden/>
            <w:sz w:val="16"/>
            <w:szCs w:val="16"/>
          </w:rPr>
          <w:fldChar w:fldCharType="begin"/>
        </w:r>
        <w:r w:rsidR="002315AE" w:rsidRPr="002315AE">
          <w:rPr>
            <w:rFonts w:ascii="Verdana" w:hAnsi="Verdana"/>
            <w:noProof/>
            <w:webHidden/>
            <w:sz w:val="16"/>
            <w:szCs w:val="16"/>
          </w:rPr>
          <w:instrText xml:space="preserve"> PAGEREF _Toc67523776 \h </w:instrText>
        </w:r>
        <w:r w:rsidR="002315AE" w:rsidRPr="002315AE">
          <w:rPr>
            <w:rFonts w:ascii="Verdana" w:hAnsi="Verdana"/>
            <w:noProof/>
            <w:webHidden/>
            <w:sz w:val="16"/>
            <w:szCs w:val="16"/>
          </w:rPr>
        </w:r>
        <w:r w:rsidR="002315AE" w:rsidRPr="002315AE">
          <w:rPr>
            <w:rFonts w:ascii="Verdana" w:hAnsi="Verdana"/>
            <w:noProof/>
            <w:webHidden/>
            <w:sz w:val="16"/>
            <w:szCs w:val="16"/>
          </w:rPr>
          <w:fldChar w:fldCharType="separate"/>
        </w:r>
        <w:r w:rsidR="001D75C8">
          <w:rPr>
            <w:rFonts w:ascii="Verdana" w:hAnsi="Verdana"/>
            <w:noProof/>
            <w:webHidden/>
            <w:sz w:val="16"/>
            <w:szCs w:val="16"/>
          </w:rPr>
          <w:t>21</w:t>
        </w:r>
        <w:r w:rsidR="002315AE" w:rsidRPr="002315AE">
          <w:rPr>
            <w:rFonts w:ascii="Verdana" w:hAnsi="Verdana"/>
            <w:noProof/>
            <w:webHidden/>
            <w:sz w:val="16"/>
            <w:szCs w:val="16"/>
          </w:rPr>
          <w:fldChar w:fldCharType="end"/>
        </w:r>
      </w:hyperlink>
    </w:p>
    <w:p w14:paraId="6C2D7E6C" w14:textId="6FCE9287" w:rsidR="002315AE" w:rsidRPr="002315AE" w:rsidRDefault="008162D5">
      <w:pPr>
        <w:pStyle w:val="TDC1"/>
        <w:rPr>
          <w:rFonts w:ascii="Verdana" w:eastAsiaTheme="minorEastAsia" w:hAnsi="Verdana"/>
          <w:noProof/>
          <w:sz w:val="16"/>
          <w:szCs w:val="16"/>
          <w:lang w:eastAsia="es-CR"/>
        </w:rPr>
      </w:pPr>
      <w:hyperlink w:anchor="_Toc67523777" w:history="1">
        <w:r w:rsidR="002315AE" w:rsidRPr="002315AE">
          <w:rPr>
            <w:rStyle w:val="Hipervnculo"/>
            <w:rFonts w:ascii="Verdana" w:hAnsi="Verdana"/>
            <w:noProof/>
            <w:sz w:val="16"/>
            <w:szCs w:val="16"/>
            <w:lang w:val="es-MX"/>
          </w:rPr>
          <w:t>F.</w:t>
        </w:r>
        <w:r w:rsidR="002315AE" w:rsidRPr="002315AE">
          <w:rPr>
            <w:rFonts w:ascii="Verdana" w:eastAsiaTheme="minorEastAsia" w:hAnsi="Verdana"/>
            <w:noProof/>
            <w:sz w:val="16"/>
            <w:szCs w:val="16"/>
            <w:lang w:eastAsia="es-CR"/>
          </w:rPr>
          <w:tab/>
        </w:r>
        <w:r w:rsidR="002315AE" w:rsidRPr="002315AE">
          <w:rPr>
            <w:rStyle w:val="Hipervnculo"/>
            <w:rFonts w:ascii="Verdana" w:hAnsi="Verdana"/>
            <w:noProof/>
            <w:sz w:val="16"/>
            <w:szCs w:val="16"/>
          </w:rPr>
          <w:t>Convocatoria a audiencia privada de supervisión</w:t>
        </w:r>
        <w:r w:rsidR="002315AE" w:rsidRPr="002315AE">
          <w:rPr>
            <w:rFonts w:ascii="Verdana" w:hAnsi="Verdana"/>
            <w:noProof/>
            <w:webHidden/>
            <w:sz w:val="16"/>
            <w:szCs w:val="16"/>
          </w:rPr>
          <w:tab/>
        </w:r>
        <w:r w:rsidR="002315AE" w:rsidRPr="002315AE">
          <w:rPr>
            <w:rFonts w:ascii="Verdana" w:hAnsi="Verdana"/>
            <w:noProof/>
            <w:webHidden/>
            <w:sz w:val="16"/>
            <w:szCs w:val="16"/>
          </w:rPr>
          <w:fldChar w:fldCharType="begin"/>
        </w:r>
        <w:r w:rsidR="002315AE" w:rsidRPr="002315AE">
          <w:rPr>
            <w:rFonts w:ascii="Verdana" w:hAnsi="Verdana"/>
            <w:noProof/>
            <w:webHidden/>
            <w:sz w:val="16"/>
            <w:szCs w:val="16"/>
          </w:rPr>
          <w:instrText xml:space="preserve"> PAGEREF _Toc67523777 \h </w:instrText>
        </w:r>
        <w:r w:rsidR="002315AE" w:rsidRPr="002315AE">
          <w:rPr>
            <w:rFonts w:ascii="Verdana" w:hAnsi="Verdana"/>
            <w:noProof/>
            <w:webHidden/>
            <w:sz w:val="16"/>
            <w:szCs w:val="16"/>
          </w:rPr>
        </w:r>
        <w:r w:rsidR="002315AE" w:rsidRPr="002315AE">
          <w:rPr>
            <w:rFonts w:ascii="Verdana" w:hAnsi="Verdana"/>
            <w:noProof/>
            <w:webHidden/>
            <w:sz w:val="16"/>
            <w:szCs w:val="16"/>
          </w:rPr>
          <w:fldChar w:fldCharType="separate"/>
        </w:r>
        <w:r w:rsidR="001D75C8">
          <w:rPr>
            <w:rFonts w:ascii="Verdana" w:hAnsi="Verdana"/>
            <w:noProof/>
            <w:webHidden/>
            <w:sz w:val="16"/>
            <w:szCs w:val="16"/>
          </w:rPr>
          <w:t>22</w:t>
        </w:r>
        <w:r w:rsidR="002315AE" w:rsidRPr="002315AE">
          <w:rPr>
            <w:rFonts w:ascii="Verdana" w:hAnsi="Verdana"/>
            <w:noProof/>
            <w:webHidden/>
            <w:sz w:val="16"/>
            <w:szCs w:val="16"/>
          </w:rPr>
          <w:fldChar w:fldCharType="end"/>
        </w:r>
      </w:hyperlink>
    </w:p>
    <w:p w14:paraId="2857E541" w14:textId="77777777" w:rsidR="00F629DB" w:rsidRPr="002315AE" w:rsidRDefault="00F629DB" w:rsidP="00D14ACD">
      <w:pPr>
        <w:pStyle w:val="Prrafodelista"/>
        <w:spacing w:after="0" w:line="240" w:lineRule="auto"/>
        <w:ind w:left="425"/>
        <w:jc w:val="both"/>
        <w:rPr>
          <w:rFonts w:ascii="Verdana" w:hAnsi="Verdana"/>
          <w:sz w:val="16"/>
          <w:szCs w:val="16"/>
        </w:rPr>
      </w:pPr>
      <w:r w:rsidRPr="002315AE">
        <w:rPr>
          <w:rFonts w:ascii="Verdana" w:hAnsi="Verdana"/>
          <w:sz w:val="16"/>
          <w:szCs w:val="16"/>
        </w:rPr>
        <w:lastRenderedPageBreak/>
        <w:fldChar w:fldCharType="end"/>
      </w:r>
    </w:p>
    <w:p w14:paraId="4F02B75E" w14:textId="77777777" w:rsidR="00332163" w:rsidRPr="00BB29A9" w:rsidRDefault="00332163" w:rsidP="00DD17CF">
      <w:pPr>
        <w:pStyle w:val="Ttulo1"/>
        <w:spacing w:before="120" w:after="120" w:line="240" w:lineRule="auto"/>
        <w:jc w:val="both"/>
        <w:rPr>
          <w:rFonts w:ascii="Verdana" w:hAnsi="Verdana"/>
          <w:b/>
          <w:color w:val="auto"/>
          <w:sz w:val="20"/>
          <w:szCs w:val="20"/>
        </w:rPr>
      </w:pPr>
      <w:bookmarkStart w:id="7" w:name="_Toc67523769"/>
      <w:r>
        <w:rPr>
          <w:rFonts w:ascii="Verdana" w:hAnsi="Verdana"/>
          <w:b/>
          <w:color w:val="auto"/>
          <w:sz w:val="20"/>
          <w:szCs w:val="20"/>
          <w:lang w:val="es-MX"/>
        </w:rPr>
        <w:t>A.</w:t>
      </w:r>
      <w:r>
        <w:rPr>
          <w:rFonts w:ascii="Verdana" w:hAnsi="Verdana"/>
          <w:b/>
          <w:color w:val="auto"/>
          <w:sz w:val="20"/>
          <w:szCs w:val="20"/>
          <w:lang w:val="es-MX"/>
        </w:rPr>
        <w:tab/>
      </w:r>
      <w:r w:rsidR="003E7A85" w:rsidRPr="00BB29A9">
        <w:rPr>
          <w:rFonts w:ascii="Verdana" w:hAnsi="Verdana"/>
          <w:b/>
          <w:color w:val="auto"/>
          <w:sz w:val="20"/>
          <w:szCs w:val="20"/>
          <w:lang w:val="es-MX"/>
        </w:rPr>
        <w:t>Obligación de investigar</w:t>
      </w:r>
      <w:r w:rsidR="004F5E05" w:rsidRPr="00BB29A9">
        <w:rPr>
          <w:rFonts w:ascii="Verdana" w:hAnsi="Verdana"/>
          <w:b/>
          <w:color w:val="auto"/>
          <w:sz w:val="20"/>
          <w:szCs w:val="20"/>
        </w:rPr>
        <w:t>, identificar, juzgar y eventualmente sancionar</w:t>
      </w:r>
      <w:bookmarkEnd w:id="7"/>
    </w:p>
    <w:p w14:paraId="3641794D" w14:textId="77777777" w:rsidR="00890922" w:rsidRPr="00BB29A9" w:rsidRDefault="00890922" w:rsidP="009E7383">
      <w:pPr>
        <w:spacing w:before="120" w:after="120" w:line="240" w:lineRule="auto"/>
        <w:ind w:firstLine="708"/>
        <w:rPr>
          <w:rFonts w:ascii="Verdana" w:hAnsi="Verdana"/>
          <w:i/>
          <w:sz w:val="20"/>
          <w:szCs w:val="20"/>
        </w:rPr>
      </w:pPr>
      <w:r w:rsidRPr="00BB29A9">
        <w:rPr>
          <w:rFonts w:ascii="Verdana" w:hAnsi="Verdana"/>
          <w:i/>
          <w:sz w:val="20"/>
          <w:szCs w:val="20"/>
        </w:rPr>
        <w:t>A.1. Medida ordenada por la Corte</w:t>
      </w:r>
      <w:r w:rsidR="00AC15A3" w:rsidRPr="00BB29A9">
        <w:rPr>
          <w:rFonts w:ascii="Verdana" w:hAnsi="Verdana"/>
          <w:i/>
          <w:sz w:val="20"/>
          <w:szCs w:val="20"/>
        </w:rPr>
        <w:t xml:space="preserve"> y supervisión realizada en resolución anterior</w:t>
      </w:r>
    </w:p>
    <w:p w14:paraId="08D744E2" w14:textId="77777777" w:rsidR="00366C59" w:rsidRPr="00BB29A9" w:rsidRDefault="000656DE" w:rsidP="009E7383">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En el punto resolutivo primero y en los p</w:t>
      </w:r>
      <w:r w:rsidR="009016A5" w:rsidRPr="00BB29A9">
        <w:rPr>
          <w:rFonts w:ascii="Verdana" w:hAnsi="Verdana"/>
          <w:sz w:val="20"/>
          <w:szCs w:val="20"/>
        </w:rPr>
        <w:t>árrafos 94 a 99 de la Sentencia</w:t>
      </w:r>
      <w:r w:rsidRPr="00BB29A9">
        <w:rPr>
          <w:rFonts w:ascii="Verdana" w:hAnsi="Verdana"/>
          <w:sz w:val="20"/>
          <w:szCs w:val="20"/>
        </w:rPr>
        <w:t>, la Corte dispuso que el Estado deb</w:t>
      </w:r>
      <w:r w:rsidR="00AA7C69" w:rsidRPr="00BB29A9">
        <w:rPr>
          <w:rFonts w:ascii="Verdana" w:hAnsi="Verdana"/>
          <w:sz w:val="20"/>
          <w:szCs w:val="20"/>
        </w:rPr>
        <w:t>e</w:t>
      </w:r>
      <w:r w:rsidRPr="00BB29A9">
        <w:rPr>
          <w:rFonts w:ascii="Verdana" w:hAnsi="Verdana"/>
          <w:sz w:val="20"/>
          <w:szCs w:val="20"/>
        </w:rPr>
        <w:t xml:space="preserve"> “investigar efectivamente los hechos de la Masacre Plan de Sánchez con el fin de identificar, juzgar y sancionar a sus autores materiales e intelectuales”.</w:t>
      </w:r>
      <w:r w:rsidR="00294B1D" w:rsidRPr="00BB29A9">
        <w:rPr>
          <w:rFonts w:ascii="Verdana" w:hAnsi="Verdana"/>
          <w:sz w:val="20"/>
          <w:szCs w:val="20"/>
        </w:rPr>
        <w:t xml:space="preserve"> Al respecto,</w:t>
      </w:r>
      <w:r w:rsidR="00AA7C69" w:rsidRPr="00BB29A9">
        <w:rPr>
          <w:rFonts w:ascii="Verdana" w:hAnsi="Verdana"/>
          <w:sz w:val="20"/>
          <w:szCs w:val="20"/>
        </w:rPr>
        <w:t xml:space="preserve"> en el párrafo 95 de dicha Sentencia</w:t>
      </w:r>
      <w:r w:rsidR="0041351B" w:rsidRPr="00BB29A9">
        <w:rPr>
          <w:rFonts w:ascii="Verdana" w:hAnsi="Verdana"/>
          <w:sz w:val="20"/>
          <w:szCs w:val="20"/>
        </w:rPr>
        <w:t xml:space="preserve"> consideró que “[d]</w:t>
      </w:r>
      <w:proofErr w:type="spellStart"/>
      <w:r w:rsidR="00294B1D" w:rsidRPr="00BB29A9">
        <w:rPr>
          <w:rFonts w:ascii="Verdana" w:hAnsi="Verdana"/>
          <w:sz w:val="20"/>
          <w:szCs w:val="20"/>
        </w:rPr>
        <w:t>espués</w:t>
      </w:r>
      <w:proofErr w:type="spellEnd"/>
      <w:r w:rsidR="00294B1D" w:rsidRPr="00BB29A9">
        <w:rPr>
          <w:rFonts w:ascii="Verdana" w:hAnsi="Verdana"/>
          <w:sz w:val="20"/>
          <w:szCs w:val="20"/>
        </w:rPr>
        <w:t xml:space="preserve"> de más de veintidós años de la ejecución de la masacre y diez de iniciadas las investigaciones correspondientes, el Estado no ha[</w:t>
      </w:r>
      <w:proofErr w:type="spellStart"/>
      <w:r w:rsidR="00294B1D" w:rsidRPr="00BB29A9">
        <w:rPr>
          <w:rFonts w:ascii="Verdana" w:hAnsi="Verdana"/>
          <w:sz w:val="20"/>
          <w:szCs w:val="20"/>
        </w:rPr>
        <w:t>bía</w:t>
      </w:r>
      <w:proofErr w:type="spellEnd"/>
      <w:r w:rsidR="00294B1D" w:rsidRPr="00BB29A9">
        <w:rPr>
          <w:rFonts w:ascii="Verdana" w:hAnsi="Verdana"/>
          <w:sz w:val="20"/>
          <w:szCs w:val="20"/>
        </w:rPr>
        <w:t>] investigado los hechos ni identificado, juzgado y sancionado eficazmente a sus responsables. Por todo ello, se ha[</w:t>
      </w:r>
      <w:proofErr w:type="spellStart"/>
      <w:r w:rsidR="00294B1D" w:rsidRPr="00BB29A9">
        <w:rPr>
          <w:rFonts w:ascii="Verdana" w:hAnsi="Verdana"/>
          <w:sz w:val="20"/>
          <w:szCs w:val="20"/>
        </w:rPr>
        <w:t>bía</w:t>
      </w:r>
      <w:proofErr w:type="spellEnd"/>
      <w:r w:rsidR="00294B1D" w:rsidRPr="00BB29A9">
        <w:rPr>
          <w:rFonts w:ascii="Verdana" w:hAnsi="Verdana"/>
          <w:sz w:val="20"/>
          <w:szCs w:val="20"/>
        </w:rPr>
        <w:t xml:space="preserve">] configurado una situación de impunidad que </w:t>
      </w:r>
      <w:proofErr w:type="spellStart"/>
      <w:r w:rsidR="00294B1D" w:rsidRPr="00BB29A9">
        <w:rPr>
          <w:rFonts w:ascii="Verdana" w:hAnsi="Verdana"/>
          <w:sz w:val="20"/>
          <w:szCs w:val="20"/>
        </w:rPr>
        <w:t>constituy</w:t>
      </w:r>
      <w:proofErr w:type="spellEnd"/>
      <w:r w:rsidR="00AA7C69" w:rsidRPr="00BB29A9">
        <w:rPr>
          <w:rFonts w:ascii="Verdana" w:hAnsi="Verdana"/>
          <w:sz w:val="20"/>
          <w:szCs w:val="20"/>
        </w:rPr>
        <w:t>[</w:t>
      </w:r>
      <w:proofErr w:type="spellStart"/>
      <w:r w:rsidR="00AA7C69" w:rsidRPr="00BB29A9">
        <w:rPr>
          <w:rFonts w:ascii="Verdana" w:hAnsi="Verdana"/>
          <w:sz w:val="20"/>
          <w:szCs w:val="20"/>
        </w:rPr>
        <w:t>ó</w:t>
      </w:r>
      <w:proofErr w:type="spellEnd"/>
      <w:r w:rsidR="00AA7C69" w:rsidRPr="00BB29A9">
        <w:rPr>
          <w:rFonts w:ascii="Verdana" w:hAnsi="Verdana"/>
          <w:sz w:val="20"/>
          <w:szCs w:val="20"/>
        </w:rPr>
        <w:t>]</w:t>
      </w:r>
      <w:r w:rsidR="00294B1D" w:rsidRPr="00BB29A9">
        <w:rPr>
          <w:rFonts w:ascii="Verdana" w:hAnsi="Verdana"/>
          <w:sz w:val="20"/>
          <w:szCs w:val="20"/>
        </w:rPr>
        <w:t xml:space="preserve"> una infracción del deber del Estado al que se ha hecho referencia, lesiona a las víctimas y propicia la repetición crónica de las violaciones de los derechos humanos de que se trata”.</w:t>
      </w:r>
    </w:p>
    <w:p w14:paraId="457A57A3" w14:textId="3E2D5BF6" w:rsidR="00CA45D5" w:rsidRPr="00B30581" w:rsidRDefault="0022081A" w:rsidP="005170EA">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En la Resolución de 24 de noviembre de 2015, la Corte valoró positivamente la determinación de la responsabilidad penal de cinco personas (Lucas </w:t>
      </w:r>
      <w:proofErr w:type="spellStart"/>
      <w:r w:rsidRPr="00BB29A9">
        <w:rPr>
          <w:rFonts w:ascii="Verdana" w:hAnsi="Verdana"/>
          <w:sz w:val="20"/>
          <w:szCs w:val="20"/>
        </w:rPr>
        <w:t>Tecú</w:t>
      </w:r>
      <w:proofErr w:type="spellEnd"/>
      <w:r w:rsidRPr="00BB29A9">
        <w:rPr>
          <w:rFonts w:ascii="Verdana" w:hAnsi="Verdana"/>
          <w:sz w:val="20"/>
          <w:szCs w:val="20"/>
        </w:rPr>
        <w:t xml:space="preserve">, Mario </w:t>
      </w:r>
      <w:proofErr w:type="spellStart"/>
      <w:r w:rsidRPr="00BB29A9">
        <w:rPr>
          <w:rFonts w:ascii="Verdana" w:hAnsi="Verdana"/>
          <w:sz w:val="20"/>
          <w:szCs w:val="20"/>
        </w:rPr>
        <w:t>Acoj</w:t>
      </w:r>
      <w:proofErr w:type="spellEnd"/>
      <w:r w:rsidRPr="00BB29A9">
        <w:rPr>
          <w:rFonts w:ascii="Verdana" w:hAnsi="Verdana"/>
          <w:sz w:val="20"/>
          <w:szCs w:val="20"/>
        </w:rPr>
        <w:t xml:space="preserve"> Morales, Santos Rosales García, Julián </w:t>
      </w:r>
      <w:proofErr w:type="spellStart"/>
      <w:r w:rsidRPr="00BB29A9">
        <w:rPr>
          <w:rFonts w:ascii="Verdana" w:hAnsi="Verdana"/>
          <w:sz w:val="20"/>
          <w:szCs w:val="20"/>
        </w:rPr>
        <w:t>Acoj</w:t>
      </w:r>
      <w:proofErr w:type="spellEnd"/>
      <w:r w:rsidRPr="00BB29A9">
        <w:rPr>
          <w:rFonts w:ascii="Verdana" w:hAnsi="Verdana"/>
          <w:sz w:val="20"/>
          <w:szCs w:val="20"/>
        </w:rPr>
        <w:t xml:space="preserve"> Morales y Eusebio Grave Galeano), quienes fueron condenadas en el 2012 por el Tribunal Primero de Sentencia Penal, Narcoactividad y Delitos Contra el Ambiente</w:t>
      </w:r>
      <w:r w:rsidR="003C5E76">
        <w:rPr>
          <w:rFonts w:ascii="Verdana" w:hAnsi="Verdana"/>
          <w:sz w:val="20"/>
          <w:szCs w:val="20"/>
        </w:rPr>
        <w:t xml:space="preserve"> de Guatemala</w:t>
      </w:r>
      <w:r w:rsidRPr="00BB29A9">
        <w:rPr>
          <w:rFonts w:ascii="Verdana" w:hAnsi="Verdana"/>
          <w:sz w:val="20"/>
          <w:szCs w:val="20"/>
        </w:rPr>
        <w:t xml:space="preserve"> por los delitos de asesinato y delitos contra los deberes de la humanidad por los hechos correspondientes a la Masacre de Plan de Sánchez,</w:t>
      </w:r>
      <w:r w:rsidRPr="00B30581">
        <w:rPr>
          <w:rFonts w:ascii="Verdana" w:hAnsi="Verdana"/>
          <w:sz w:val="20"/>
          <w:szCs w:val="20"/>
        </w:rPr>
        <w:t xml:space="preserve"> así como las diligencias judiciales iniciadas para ejecutar las órdenes de aprehensión dictadas en contra de otros dos imputados por dicha causa, y la voluntad del Estado de continuar con la investigación para determinar a los demás autores materiales e intelectuales de los hechos. Sin perjuicio de ello, advirtió que uno de los imputados ejerció acción de amparo solicitando la aplicación de la Ley de Reconciliación Nacional, misma que fue denegada en primera instancia y estaría en etapa de apelación, </w:t>
      </w:r>
      <w:r w:rsidR="00564375">
        <w:rPr>
          <w:rFonts w:ascii="Verdana" w:hAnsi="Verdana"/>
          <w:sz w:val="20"/>
          <w:szCs w:val="20"/>
        </w:rPr>
        <w:t xml:space="preserve">pendiente de decisión por </w:t>
      </w:r>
      <w:r w:rsidRPr="00B30581">
        <w:rPr>
          <w:rFonts w:ascii="Verdana" w:hAnsi="Verdana"/>
          <w:sz w:val="20"/>
          <w:szCs w:val="20"/>
        </w:rPr>
        <w:t>la Corte de Constitucionalidad. Asimismo, consideró que se presentaron obstáculos en las investigaciones, ya que el Instituto de Previsión Militar y el Ministerio de Defensa Nacional se negaron a proporcionar información al Ministerio Público sobre las actas de supervivencia de los dos imputados con órdenes de aprehensión mencionados, y tal Ministerio también se negó a brindar información sobre el Destacamento Militar de Rabinal, indicando que “no existe información” al respecto</w:t>
      </w:r>
      <w:r w:rsidRPr="00BB29A9">
        <w:rPr>
          <w:rStyle w:val="Refdenotaalpie"/>
          <w:rFonts w:ascii="Verdana" w:hAnsi="Verdana"/>
          <w:sz w:val="20"/>
          <w:szCs w:val="20"/>
        </w:rPr>
        <w:footnoteReference w:id="10"/>
      </w:r>
      <w:r w:rsidRPr="00B30581">
        <w:rPr>
          <w:rFonts w:ascii="Verdana" w:hAnsi="Verdana"/>
          <w:sz w:val="20"/>
          <w:szCs w:val="20"/>
        </w:rPr>
        <w:t>.</w:t>
      </w:r>
    </w:p>
    <w:p w14:paraId="0180D146" w14:textId="77777777" w:rsidR="00E26D41" w:rsidRPr="00BB29A9" w:rsidRDefault="00366C59" w:rsidP="0022081A">
      <w:pPr>
        <w:spacing w:before="120" w:after="120" w:line="240" w:lineRule="auto"/>
        <w:ind w:firstLine="708"/>
        <w:rPr>
          <w:rFonts w:ascii="Verdana" w:hAnsi="Verdana"/>
          <w:i/>
          <w:sz w:val="20"/>
          <w:szCs w:val="20"/>
        </w:rPr>
      </w:pPr>
      <w:r w:rsidRPr="00BB29A9">
        <w:rPr>
          <w:rFonts w:ascii="Verdana" w:hAnsi="Verdana"/>
          <w:i/>
          <w:sz w:val="20"/>
          <w:szCs w:val="20"/>
        </w:rPr>
        <w:t>A.2. Consideraciones de la Corte</w:t>
      </w:r>
    </w:p>
    <w:p w14:paraId="45E921BA" w14:textId="5ACD0579" w:rsidR="003662A8" w:rsidRDefault="009D325F" w:rsidP="0097228C">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eastAsia="Verdana" w:hAnsi="Verdana" w:cs="Verdana"/>
          <w:sz w:val="20"/>
          <w:szCs w:val="20"/>
          <w:lang w:val="es-MX"/>
        </w:rPr>
        <w:t>Transcurrido</w:t>
      </w:r>
      <w:r w:rsidR="00564375">
        <w:rPr>
          <w:rFonts w:ascii="Verdana" w:eastAsia="Verdana" w:hAnsi="Verdana" w:cs="Verdana"/>
          <w:sz w:val="20"/>
          <w:szCs w:val="20"/>
          <w:lang w:val="es-MX"/>
        </w:rPr>
        <w:t>s</w:t>
      </w:r>
      <w:r w:rsidRPr="00BB29A9">
        <w:rPr>
          <w:rFonts w:ascii="Verdana" w:eastAsia="Verdana" w:hAnsi="Verdana" w:cs="Verdana"/>
          <w:sz w:val="20"/>
          <w:szCs w:val="20"/>
          <w:lang w:val="es-MX"/>
        </w:rPr>
        <w:t xml:space="preserve"> más de cinco años de la referida Resolución</w:t>
      </w:r>
      <w:r w:rsidRPr="00BB29A9">
        <w:rPr>
          <w:rFonts w:ascii="Verdana" w:hAnsi="Verdana"/>
          <w:sz w:val="20"/>
          <w:szCs w:val="20"/>
        </w:rPr>
        <w:t xml:space="preserve">, </w:t>
      </w:r>
      <w:r w:rsidRPr="00BB29A9">
        <w:rPr>
          <w:rFonts w:ascii="Verdana" w:eastAsia="Verdana" w:hAnsi="Verdana" w:cs="Verdana"/>
          <w:sz w:val="20"/>
          <w:szCs w:val="20"/>
          <w:lang w:val="es-MX"/>
        </w:rPr>
        <w:t>la Corte advierte que</w:t>
      </w:r>
      <w:r w:rsidRPr="00BB29A9">
        <w:rPr>
          <w:rFonts w:ascii="Verdana" w:hAnsi="Verdana"/>
          <w:sz w:val="20"/>
          <w:szCs w:val="20"/>
        </w:rPr>
        <w:t xml:space="preserve"> de </w:t>
      </w:r>
      <w:r w:rsidR="006D7E7F" w:rsidRPr="00BB29A9">
        <w:rPr>
          <w:rFonts w:ascii="Verdana" w:hAnsi="Verdana"/>
          <w:sz w:val="20"/>
          <w:szCs w:val="20"/>
        </w:rPr>
        <w:t>la información presentada por las partes no se deprende que se haya</w:t>
      </w:r>
      <w:r w:rsidR="0041351B" w:rsidRPr="00BB29A9">
        <w:rPr>
          <w:rFonts w:ascii="Verdana" w:hAnsi="Verdana"/>
          <w:sz w:val="20"/>
          <w:szCs w:val="20"/>
        </w:rPr>
        <w:t>n</w:t>
      </w:r>
      <w:r w:rsidR="006D7E7F" w:rsidRPr="00BB29A9">
        <w:rPr>
          <w:rFonts w:ascii="Verdana" w:hAnsi="Verdana"/>
          <w:sz w:val="20"/>
          <w:szCs w:val="20"/>
        </w:rPr>
        <w:t xml:space="preserve"> ejecutado las órdenes de aprehensión dictadas en contra de los dos imputados prófugos, ni que se haya permitido al Ministerio Público acceder a la información solicitada al Instituto de Previsión Militar y </w:t>
      </w:r>
      <w:r w:rsidR="00564375">
        <w:rPr>
          <w:rFonts w:ascii="Verdana" w:hAnsi="Verdana"/>
          <w:sz w:val="20"/>
          <w:szCs w:val="20"/>
        </w:rPr>
        <w:t xml:space="preserve">al </w:t>
      </w:r>
      <w:r w:rsidR="006D7E7F" w:rsidRPr="00BB29A9">
        <w:rPr>
          <w:rFonts w:ascii="Verdana" w:hAnsi="Verdana"/>
          <w:sz w:val="20"/>
          <w:szCs w:val="20"/>
        </w:rPr>
        <w:t>Ministerio de Defensa Nacional</w:t>
      </w:r>
      <w:r w:rsidR="000D242B" w:rsidRPr="00BB29A9">
        <w:rPr>
          <w:rFonts w:ascii="Verdana" w:hAnsi="Verdana"/>
          <w:sz w:val="20"/>
          <w:szCs w:val="20"/>
        </w:rPr>
        <w:t xml:space="preserve">, y tampoco que se haya resuelto la acción de amparo interpuesta por uno de los imputados. </w:t>
      </w:r>
      <w:r w:rsidR="0041351B" w:rsidRPr="00BB29A9">
        <w:rPr>
          <w:rFonts w:ascii="Verdana" w:hAnsi="Verdana"/>
          <w:sz w:val="20"/>
          <w:szCs w:val="20"/>
        </w:rPr>
        <w:t>Por ello</w:t>
      </w:r>
      <w:r w:rsidR="004F20FD" w:rsidRPr="00BB29A9">
        <w:rPr>
          <w:rFonts w:ascii="Verdana" w:hAnsi="Verdana"/>
          <w:sz w:val="20"/>
          <w:szCs w:val="20"/>
        </w:rPr>
        <w:t>, l</w:t>
      </w:r>
      <w:r w:rsidR="003662A8" w:rsidRPr="00BB29A9">
        <w:rPr>
          <w:rFonts w:ascii="Verdana" w:hAnsi="Verdana"/>
          <w:sz w:val="20"/>
          <w:szCs w:val="20"/>
        </w:rPr>
        <w:t xml:space="preserve">a Corte solicita al Estado que informe sobre las medidas que estaría llevando </w:t>
      </w:r>
      <w:r w:rsidR="00FC4C4C" w:rsidRPr="00BB29A9">
        <w:rPr>
          <w:rFonts w:ascii="Verdana" w:hAnsi="Verdana"/>
          <w:sz w:val="20"/>
          <w:szCs w:val="20"/>
        </w:rPr>
        <w:t>a cabo para superar esos obstáculos</w:t>
      </w:r>
      <w:r w:rsidR="00EA3584" w:rsidRPr="00BB29A9">
        <w:rPr>
          <w:rFonts w:ascii="Verdana" w:hAnsi="Verdana"/>
          <w:sz w:val="20"/>
          <w:szCs w:val="20"/>
        </w:rPr>
        <w:t>, obtener la información para realizar una adecuada investigación y avanzar en las etapas del proceso penal que permita identificar otras responsabilidades por las violaciones de este caso</w:t>
      </w:r>
      <w:r w:rsidR="0041351B" w:rsidRPr="00BB29A9">
        <w:rPr>
          <w:rFonts w:ascii="Verdana" w:hAnsi="Verdana"/>
          <w:sz w:val="20"/>
          <w:szCs w:val="20"/>
        </w:rPr>
        <w:t>.</w:t>
      </w:r>
      <w:r w:rsidR="00EA3584" w:rsidRPr="00BB29A9">
        <w:rPr>
          <w:rFonts w:ascii="Verdana" w:hAnsi="Verdana"/>
          <w:sz w:val="20"/>
          <w:szCs w:val="20"/>
        </w:rPr>
        <w:t xml:space="preserve"> Si bien la determinación de la responsabilidad penal de cinco personas constituyó un importante avance respecto a la situación de total impunidad constata</w:t>
      </w:r>
      <w:r w:rsidR="00207A34">
        <w:rPr>
          <w:rFonts w:ascii="Verdana" w:hAnsi="Verdana"/>
          <w:sz w:val="20"/>
          <w:szCs w:val="20"/>
        </w:rPr>
        <w:t>da</w:t>
      </w:r>
      <w:r w:rsidR="00EA3584" w:rsidRPr="00BB29A9">
        <w:rPr>
          <w:rFonts w:ascii="Verdana" w:hAnsi="Verdana"/>
          <w:sz w:val="20"/>
          <w:szCs w:val="20"/>
        </w:rPr>
        <w:t xml:space="preserve"> en la Sentencia, la Corte recuerda que tuvo por probado que el comando que </w:t>
      </w:r>
      <w:r w:rsidR="00295DC3" w:rsidRPr="00BB29A9">
        <w:rPr>
          <w:rFonts w:ascii="Verdana" w:hAnsi="Verdana"/>
          <w:sz w:val="20"/>
          <w:szCs w:val="20"/>
        </w:rPr>
        <w:t xml:space="preserve">perpetró las violaciones estuvo integrado por aproximadamente 60 </w:t>
      </w:r>
      <w:r w:rsidR="00564375">
        <w:rPr>
          <w:rFonts w:ascii="Verdana" w:hAnsi="Verdana"/>
          <w:sz w:val="20"/>
          <w:szCs w:val="20"/>
        </w:rPr>
        <w:t xml:space="preserve">personas, entre ellos </w:t>
      </w:r>
      <w:r w:rsidR="00295DC3" w:rsidRPr="00BB29A9">
        <w:rPr>
          <w:rFonts w:ascii="Verdana" w:hAnsi="Verdana"/>
          <w:sz w:val="20"/>
          <w:szCs w:val="20"/>
        </w:rPr>
        <w:t>militares</w:t>
      </w:r>
      <w:r w:rsidR="00564375">
        <w:rPr>
          <w:rFonts w:ascii="Verdana" w:hAnsi="Verdana"/>
          <w:sz w:val="20"/>
          <w:szCs w:val="20"/>
        </w:rPr>
        <w:t>,</w:t>
      </w:r>
      <w:r w:rsidR="00295DC3" w:rsidRPr="00BB29A9">
        <w:rPr>
          <w:rFonts w:ascii="Verdana" w:hAnsi="Verdana"/>
          <w:sz w:val="20"/>
          <w:szCs w:val="20"/>
        </w:rPr>
        <w:t xml:space="preserve"> y que las víctimas fueron aproximadamente 268 personas ejecutadas. Ello </w:t>
      </w:r>
      <w:r w:rsidR="00295DC3" w:rsidRPr="00BB29A9">
        <w:rPr>
          <w:rFonts w:ascii="Verdana" w:hAnsi="Verdana"/>
          <w:sz w:val="20"/>
          <w:szCs w:val="20"/>
        </w:rPr>
        <w:lastRenderedPageBreak/>
        <w:t>amerita que el Estado garantice una debida diligencia para continuar de forma pronta con el avance de la investigación y dete</w:t>
      </w:r>
      <w:r w:rsidR="00302044" w:rsidRPr="00BB29A9">
        <w:rPr>
          <w:rFonts w:ascii="Verdana" w:hAnsi="Verdana"/>
          <w:sz w:val="20"/>
          <w:szCs w:val="20"/>
        </w:rPr>
        <w:t>rminación de responsabilidades.</w:t>
      </w:r>
    </w:p>
    <w:p w14:paraId="1FBB9431" w14:textId="744D09C8" w:rsidR="00C3448D" w:rsidRPr="000A249D" w:rsidRDefault="00D93051" w:rsidP="00D93051">
      <w:pPr>
        <w:pStyle w:val="Prrafodelista"/>
        <w:numPr>
          <w:ilvl w:val="0"/>
          <w:numId w:val="14"/>
        </w:numPr>
        <w:spacing w:before="120" w:after="120" w:line="240" w:lineRule="auto"/>
        <w:ind w:left="0" w:firstLine="0"/>
        <w:contextualSpacing w:val="0"/>
        <w:jc w:val="both"/>
        <w:rPr>
          <w:rFonts w:ascii="Verdana" w:hAnsi="Verdana"/>
          <w:sz w:val="20"/>
          <w:szCs w:val="20"/>
        </w:rPr>
      </w:pPr>
      <w:r w:rsidRPr="00D93051">
        <w:rPr>
          <w:rFonts w:ascii="Verdana" w:hAnsi="Verdana"/>
          <w:sz w:val="20"/>
          <w:szCs w:val="20"/>
        </w:rPr>
        <w:t>La Corte valora positivamente que el Estado haya avanzado en la determinación</w:t>
      </w:r>
      <w:r>
        <w:rPr>
          <w:rFonts w:ascii="Verdana" w:hAnsi="Verdana"/>
          <w:sz w:val="20"/>
          <w:szCs w:val="20"/>
        </w:rPr>
        <w:t xml:space="preserve"> </w:t>
      </w:r>
      <w:r w:rsidRPr="00D93051">
        <w:rPr>
          <w:rFonts w:ascii="Verdana" w:hAnsi="Verdana"/>
          <w:sz w:val="20"/>
          <w:szCs w:val="20"/>
        </w:rPr>
        <w:t>de responsabilidad penal y condena de</w:t>
      </w:r>
      <w:r>
        <w:rPr>
          <w:rFonts w:ascii="Verdana" w:hAnsi="Verdana"/>
          <w:sz w:val="20"/>
          <w:szCs w:val="20"/>
        </w:rPr>
        <w:t xml:space="preserve"> cinco personas </w:t>
      </w:r>
      <w:r w:rsidRPr="00D93051">
        <w:rPr>
          <w:rFonts w:ascii="Verdana" w:hAnsi="Verdana"/>
          <w:sz w:val="20"/>
          <w:szCs w:val="20"/>
        </w:rPr>
        <w:t>en relación con los hechos de</w:t>
      </w:r>
      <w:r>
        <w:rPr>
          <w:rFonts w:ascii="Verdana" w:hAnsi="Verdana"/>
          <w:sz w:val="20"/>
          <w:szCs w:val="20"/>
        </w:rPr>
        <w:t xml:space="preserve"> la </w:t>
      </w:r>
      <w:r w:rsidRPr="00D93051">
        <w:rPr>
          <w:rFonts w:ascii="Verdana" w:hAnsi="Verdana"/>
          <w:sz w:val="20"/>
          <w:szCs w:val="20"/>
        </w:rPr>
        <w:t xml:space="preserve">Masacre de </w:t>
      </w:r>
      <w:r>
        <w:rPr>
          <w:rFonts w:ascii="Verdana" w:hAnsi="Verdana"/>
          <w:sz w:val="20"/>
          <w:szCs w:val="20"/>
        </w:rPr>
        <w:t>P</w:t>
      </w:r>
      <w:r w:rsidRPr="00D93051">
        <w:rPr>
          <w:rFonts w:ascii="Verdana" w:hAnsi="Verdana"/>
          <w:sz w:val="20"/>
          <w:szCs w:val="20"/>
        </w:rPr>
        <w:t xml:space="preserve">lan de </w:t>
      </w:r>
      <w:r>
        <w:rPr>
          <w:rFonts w:ascii="Verdana" w:hAnsi="Verdana"/>
          <w:sz w:val="20"/>
          <w:szCs w:val="20"/>
        </w:rPr>
        <w:t>S</w:t>
      </w:r>
      <w:r w:rsidRPr="00D93051">
        <w:rPr>
          <w:rFonts w:ascii="Verdana" w:hAnsi="Verdana"/>
          <w:sz w:val="20"/>
          <w:szCs w:val="20"/>
        </w:rPr>
        <w:t>ánchez.</w:t>
      </w:r>
      <w:r>
        <w:rPr>
          <w:rFonts w:ascii="Verdana" w:hAnsi="Verdana"/>
          <w:sz w:val="20"/>
          <w:szCs w:val="20"/>
        </w:rPr>
        <w:t xml:space="preserve"> </w:t>
      </w:r>
      <w:r w:rsidR="000A249D">
        <w:rPr>
          <w:rFonts w:ascii="Verdana" w:hAnsi="Verdana"/>
          <w:sz w:val="20"/>
          <w:szCs w:val="20"/>
        </w:rPr>
        <w:t>Sin embargo, d</w:t>
      </w:r>
      <w:r w:rsidRPr="00D93051">
        <w:rPr>
          <w:rFonts w:ascii="Verdana" w:hAnsi="Verdana"/>
          <w:sz w:val="20"/>
          <w:szCs w:val="20"/>
        </w:rPr>
        <w:t>ebido a</w:t>
      </w:r>
      <w:r>
        <w:rPr>
          <w:rFonts w:ascii="Verdana" w:hAnsi="Verdana"/>
          <w:sz w:val="20"/>
          <w:szCs w:val="20"/>
        </w:rPr>
        <w:t xml:space="preserve"> </w:t>
      </w:r>
      <w:r w:rsidRPr="00D93051">
        <w:rPr>
          <w:rFonts w:ascii="Verdana" w:hAnsi="Verdana"/>
          <w:sz w:val="20"/>
          <w:szCs w:val="20"/>
        </w:rPr>
        <w:t xml:space="preserve">que la Corte no tiene certeza sobre si </w:t>
      </w:r>
      <w:r w:rsidR="000A249D" w:rsidRPr="00D93051">
        <w:rPr>
          <w:rFonts w:ascii="Verdana" w:hAnsi="Verdana"/>
          <w:sz w:val="20"/>
          <w:szCs w:val="20"/>
        </w:rPr>
        <w:t xml:space="preserve">las condenas impuestas en el año 2012 </w:t>
      </w:r>
      <w:r w:rsidRPr="00D93051">
        <w:rPr>
          <w:rFonts w:ascii="Verdana" w:hAnsi="Verdana"/>
          <w:sz w:val="20"/>
          <w:szCs w:val="20"/>
        </w:rPr>
        <w:t>se encuentran actualmente en</w:t>
      </w:r>
      <w:r>
        <w:rPr>
          <w:rFonts w:ascii="Verdana" w:hAnsi="Verdana"/>
          <w:sz w:val="20"/>
          <w:szCs w:val="20"/>
        </w:rPr>
        <w:t xml:space="preserve"> </w:t>
      </w:r>
      <w:r w:rsidRPr="00D93051">
        <w:rPr>
          <w:rFonts w:ascii="Verdana" w:hAnsi="Verdana"/>
          <w:sz w:val="20"/>
          <w:szCs w:val="20"/>
        </w:rPr>
        <w:t>firme, ni sobre su ejecución,</w:t>
      </w:r>
      <w:r w:rsidR="000A249D">
        <w:rPr>
          <w:rFonts w:ascii="Verdana" w:hAnsi="Verdana"/>
          <w:sz w:val="20"/>
          <w:szCs w:val="20"/>
        </w:rPr>
        <w:t xml:space="preserve"> ya que</w:t>
      </w:r>
      <w:r w:rsidR="000A249D" w:rsidRPr="000A249D">
        <w:rPr>
          <w:rFonts w:ascii="Verdana" w:hAnsi="Verdana"/>
          <w:sz w:val="20"/>
          <w:szCs w:val="20"/>
        </w:rPr>
        <w:t xml:space="preserve"> la última información presentada por las partes</w:t>
      </w:r>
      <w:r w:rsidR="000A249D">
        <w:rPr>
          <w:rFonts w:ascii="Verdana" w:hAnsi="Verdana"/>
          <w:sz w:val="20"/>
          <w:szCs w:val="20"/>
        </w:rPr>
        <w:t xml:space="preserve"> indica que </w:t>
      </w:r>
      <w:r w:rsidR="007D2085">
        <w:rPr>
          <w:rFonts w:ascii="Verdana" w:hAnsi="Verdana"/>
          <w:sz w:val="20"/>
          <w:szCs w:val="20"/>
        </w:rPr>
        <w:t xml:space="preserve">se </w:t>
      </w:r>
      <w:r w:rsidR="000A249D">
        <w:rPr>
          <w:rFonts w:ascii="Verdana" w:hAnsi="Verdana"/>
          <w:sz w:val="20"/>
          <w:szCs w:val="20"/>
        </w:rPr>
        <w:t xml:space="preserve">interpusieron recursos de apelación y casación </w:t>
      </w:r>
      <w:r w:rsidR="007D2085">
        <w:rPr>
          <w:rFonts w:ascii="Verdana" w:hAnsi="Verdana"/>
          <w:sz w:val="20"/>
          <w:szCs w:val="20"/>
        </w:rPr>
        <w:t>por los condenados</w:t>
      </w:r>
      <w:r w:rsidR="007D2085">
        <w:rPr>
          <w:rStyle w:val="Refdenotaalpie"/>
          <w:rFonts w:ascii="Verdana" w:hAnsi="Verdana"/>
          <w:sz w:val="20"/>
          <w:szCs w:val="20"/>
        </w:rPr>
        <w:footnoteReference w:id="11"/>
      </w:r>
      <w:r w:rsidR="000A249D">
        <w:rPr>
          <w:rFonts w:ascii="Verdana" w:hAnsi="Verdana"/>
          <w:sz w:val="20"/>
          <w:szCs w:val="20"/>
        </w:rPr>
        <w:t xml:space="preserve">, </w:t>
      </w:r>
      <w:r w:rsidR="000A249D" w:rsidRPr="000A249D">
        <w:rPr>
          <w:rFonts w:ascii="Verdana" w:hAnsi="Verdana"/>
          <w:sz w:val="20"/>
          <w:szCs w:val="20"/>
        </w:rPr>
        <w:t>se solicita al</w:t>
      </w:r>
      <w:r w:rsidR="000A249D">
        <w:rPr>
          <w:rFonts w:ascii="Verdana" w:hAnsi="Verdana"/>
          <w:sz w:val="20"/>
          <w:szCs w:val="20"/>
        </w:rPr>
        <w:t xml:space="preserve"> Estado que presente información </w:t>
      </w:r>
      <w:r w:rsidRPr="000A249D">
        <w:rPr>
          <w:rFonts w:ascii="Verdana" w:hAnsi="Verdana"/>
          <w:sz w:val="20"/>
          <w:szCs w:val="20"/>
        </w:rPr>
        <w:t xml:space="preserve">actualizada </w:t>
      </w:r>
      <w:r w:rsidR="000A249D">
        <w:rPr>
          <w:rFonts w:ascii="Verdana" w:hAnsi="Verdana"/>
          <w:sz w:val="20"/>
          <w:szCs w:val="20"/>
        </w:rPr>
        <w:t>al respecto</w:t>
      </w:r>
      <w:r w:rsidR="00C3448D" w:rsidRPr="000A249D">
        <w:rPr>
          <w:rFonts w:ascii="Verdana" w:hAnsi="Verdana"/>
          <w:sz w:val="20"/>
          <w:szCs w:val="20"/>
        </w:rPr>
        <w:t xml:space="preserve">, así como que adopte las medidas necesarias para que sean resueltos </w:t>
      </w:r>
      <w:r w:rsidR="000A249D">
        <w:rPr>
          <w:rFonts w:ascii="Verdana" w:hAnsi="Verdana"/>
          <w:sz w:val="20"/>
          <w:szCs w:val="20"/>
        </w:rPr>
        <w:t xml:space="preserve">dichos recursos </w:t>
      </w:r>
      <w:r w:rsidR="00C3448D" w:rsidRPr="000A249D">
        <w:rPr>
          <w:rFonts w:ascii="Verdana" w:hAnsi="Verdana"/>
          <w:sz w:val="20"/>
          <w:szCs w:val="20"/>
        </w:rPr>
        <w:t>con la debida diligencia y celeridad.</w:t>
      </w:r>
    </w:p>
    <w:p w14:paraId="1BBFB85C" w14:textId="4518F0D2" w:rsidR="009E3A64" w:rsidRPr="00BB29A9" w:rsidRDefault="009E3A64" w:rsidP="009E3A64">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Por otro lado, las partes</w:t>
      </w:r>
      <w:r w:rsidRPr="00BB29A9">
        <w:rPr>
          <w:rStyle w:val="Refdenotaalpie"/>
          <w:rFonts w:ascii="Verdana" w:hAnsi="Verdana"/>
          <w:iCs/>
          <w:sz w:val="20"/>
          <w:szCs w:val="20"/>
        </w:rPr>
        <w:footnoteReference w:id="12"/>
      </w:r>
      <w:r w:rsidRPr="00BB29A9">
        <w:rPr>
          <w:rFonts w:ascii="Verdana" w:hAnsi="Verdana"/>
          <w:sz w:val="20"/>
          <w:szCs w:val="20"/>
        </w:rPr>
        <w:t xml:space="preserve"> coincidieron en informar que, derivado de que en el desarrollo del debate oral público ante el Tribunal de Mayor Riesgo, “testigos aportaron información sobre la existencia de osamentas en la Antigua Zona Militar No. 21, ahora Comando Regional de Entrenamiento de Operaciones de Mantenimiento de Paz -</w:t>
      </w:r>
      <w:proofErr w:type="spellStart"/>
      <w:r w:rsidRPr="00BB29A9">
        <w:rPr>
          <w:rFonts w:ascii="Verdana" w:hAnsi="Verdana"/>
          <w:sz w:val="20"/>
          <w:szCs w:val="20"/>
        </w:rPr>
        <w:t>Creompaz</w:t>
      </w:r>
      <w:proofErr w:type="spellEnd"/>
      <w:r w:rsidRPr="00BB29A9">
        <w:rPr>
          <w:rFonts w:ascii="Verdana" w:hAnsi="Verdana"/>
          <w:sz w:val="20"/>
          <w:szCs w:val="20"/>
        </w:rPr>
        <w:t xml:space="preserve">-, ubicada en Cobán, Alta Verapaz”, a partir del año 2016, se da seguimiento en un mismo expediente a dos casos diferentes, tanto a la Masacre de Plan de Sánchez como a </w:t>
      </w:r>
      <w:proofErr w:type="spellStart"/>
      <w:r w:rsidRPr="00BB29A9">
        <w:rPr>
          <w:rFonts w:ascii="Verdana" w:hAnsi="Verdana"/>
          <w:sz w:val="20"/>
          <w:szCs w:val="20"/>
        </w:rPr>
        <w:t>Creompaz</w:t>
      </w:r>
      <w:proofErr w:type="spellEnd"/>
      <w:r w:rsidRPr="00BB29A9">
        <w:rPr>
          <w:rFonts w:ascii="Verdana" w:hAnsi="Verdana"/>
          <w:sz w:val="20"/>
          <w:szCs w:val="20"/>
        </w:rPr>
        <w:t xml:space="preserve"> (Zona Militar 21)</w:t>
      </w:r>
      <w:r w:rsidRPr="00BB29A9">
        <w:rPr>
          <w:rStyle w:val="Refdenotaalpie"/>
          <w:rFonts w:ascii="Verdana" w:hAnsi="Verdana"/>
          <w:sz w:val="20"/>
          <w:szCs w:val="20"/>
        </w:rPr>
        <w:footnoteReference w:id="13"/>
      </w:r>
      <w:r w:rsidRPr="00BB29A9">
        <w:rPr>
          <w:rFonts w:ascii="Verdana" w:hAnsi="Verdana"/>
          <w:sz w:val="20"/>
          <w:szCs w:val="20"/>
        </w:rPr>
        <w:t>. En dicho proceso, se</w:t>
      </w:r>
      <w:r w:rsidRPr="00BB29A9">
        <w:rPr>
          <w:rFonts w:ascii="Verdana" w:hAnsi="Verdana"/>
          <w:iCs/>
          <w:sz w:val="20"/>
          <w:szCs w:val="20"/>
        </w:rPr>
        <w:t xml:space="preserve"> ordenó la aprehensión de 22 personas “ex militares” sindicados por los hechos relacionados al </w:t>
      </w:r>
      <w:r w:rsidRPr="00BB29A9">
        <w:rPr>
          <w:rFonts w:ascii="Verdana" w:hAnsi="Verdana"/>
          <w:sz w:val="20"/>
          <w:szCs w:val="20"/>
        </w:rPr>
        <w:t>caso</w:t>
      </w:r>
      <w:r w:rsidRPr="00BB29A9">
        <w:rPr>
          <w:rFonts w:ascii="Verdana" w:hAnsi="Verdana"/>
          <w:iCs/>
          <w:sz w:val="20"/>
          <w:szCs w:val="20"/>
        </w:rPr>
        <w:t xml:space="preserve"> </w:t>
      </w:r>
      <w:proofErr w:type="spellStart"/>
      <w:r w:rsidRPr="00BB29A9">
        <w:rPr>
          <w:rFonts w:ascii="Verdana" w:hAnsi="Verdana"/>
          <w:iCs/>
          <w:sz w:val="20"/>
          <w:szCs w:val="20"/>
        </w:rPr>
        <w:t>Creompaz</w:t>
      </w:r>
      <w:proofErr w:type="spellEnd"/>
      <w:r w:rsidRPr="00BB29A9">
        <w:rPr>
          <w:rFonts w:ascii="Verdana" w:hAnsi="Verdana"/>
          <w:iCs/>
          <w:sz w:val="20"/>
          <w:szCs w:val="20"/>
        </w:rPr>
        <w:t xml:space="preserve">. El 6 de enero de 2016 se llevó a cabo la captura de 14 de ellos, y </w:t>
      </w:r>
      <w:r w:rsidR="00AF6F91">
        <w:rPr>
          <w:rFonts w:ascii="Verdana" w:hAnsi="Verdana"/>
          <w:iCs/>
          <w:sz w:val="20"/>
          <w:szCs w:val="20"/>
        </w:rPr>
        <w:t>ocho</w:t>
      </w:r>
      <w:r w:rsidRPr="00BB29A9">
        <w:rPr>
          <w:rFonts w:ascii="Verdana" w:hAnsi="Verdana"/>
          <w:iCs/>
          <w:sz w:val="20"/>
          <w:szCs w:val="20"/>
        </w:rPr>
        <w:t xml:space="preserve"> </w:t>
      </w:r>
      <w:r w:rsidR="00564375">
        <w:rPr>
          <w:rFonts w:ascii="Verdana" w:hAnsi="Verdana"/>
          <w:iCs/>
          <w:sz w:val="20"/>
          <w:szCs w:val="20"/>
        </w:rPr>
        <w:t xml:space="preserve">estarían </w:t>
      </w:r>
      <w:r w:rsidRPr="00BB29A9">
        <w:rPr>
          <w:rFonts w:ascii="Verdana" w:hAnsi="Verdana"/>
          <w:iCs/>
          <w:sz w:val="20"/>
          <w:szCs w:val="20"/>
        </w:rPr>
        <w:t xml:space="preserve">prófugos. Finalmente, 11 de ellas fueron ligadas al proceso y se les dictó auto de prisión preventiva, y el 18 de abril de 2016 se presentó formal acusación en su contra, aunque actualmente </w:t>
      </w:r>
      <w:r w:rsidRPr="00BB29A9">
        <w:rPr>
          <w:rFonts w:ascii="Verdana" w:hAnsi="Verdana"/>
          <w:iCs/>
          <w:sz w:val="20"/>
          <w:szCs w:val="20"/>
        </w:rPr>
        <w:lastRenderedPageBreak/>
        <w:t>se sigue proceso únicamente en contra de ocho de ellos. Al respecto, se presentaron acciones de amparo aún pendientes de resolverse,</w:t>
      </w:r>
      <w:r w:rsidRPr="00BB29A9">
        <w:rPr>
          <w:rFonts w:ascii="Verdana" w:hAnsi="Verdana"/>
          <w:sz w:val="20"/>
          <w:szCs w:val="20"/>
        </w:rPr>
        <w:t xml:space="preserve"> </w:t>
      </w:r>
      <w:r w:rsidRPr="00BB29A9">
        <w:rPr>
          <w:rFonts w:ascii="Verdana" w:hAnsi="Verdana"/>
          <w:iCs/>
          <w:sz w:val="20"/>
          <w:szCs w:val="20"/>
        </w:rPr>
        <w:t xml:space="preserve">lo cual generó que </w:t>
      </w:r>
      <w:r w:rsidRPr="00BB29A9">
        <w:rPr>
          <w:rFonts w:ascii="Verdana" w:hAnsi="Verdana"/>
          <w:sz w:val="20"/>
          <w:szCs w:val="20"/>
        </w:rPr>
        <w:t xml:space="preserve">a partir de julio de 2016 </w:t>
      </w:r>
      <w:r w:rsidRPr="00BB29A9">
        <w:rPr>
          <w:rFonts w:ascii="Verdana" w:hAnsi="Verdana"/>
          <w:iCs/>
          <w:sz w:val="20"/>
          <w:szCs w:val="20"/>
        </w:rPr>
        <w:t xml:space="preserve">el </w:t>
      </w:r>
      <w:r w:rsidRPr="00BB29A9">
        <w:rPr>
          <w:rFonts w:ascii="Verdana" w:hAnsi="Verdana"/>
          <w:sz w:val="20"/>
          <w:szCs w:val="20"/>
        </w:rPr>
        <w:t>proceso penal</w:t>
      </w:r>
      <w:r w:rsidRPr="00BB29A9">
        <w:rPr>
          <w:rFonts w:ascii="Verdana" w:hAnsi="Verdana"/>
          <w:iCs/>
          <w:sz w:val="20"/>
          <w:szCs w:val="20"/>
        </w:rPr>
        <w:t xml:space="preserve"> se encuentre suspendido</w:t>
      </w:r>
      <w:r w:rsidRPr="00BB29A9">
        <w:rPr>
          <w:rFonts w:ascii="Verdana" w:hAnsi="Verdana"/>
          <w:sz w:val="20"/>
          <w:szCs w:val="20"/>
        </w:rPr>
        <w:t xml:space="preserve"> </w:t>
      </w:r>
      <w:r w:rsidRPr="00BB29A9">
        <w:rPr>
          <w:rFonts w:ascii="Verdana" w:hAnsi="Verdana"/>
          <w:iCs/>
          <w:sz w:val="20"/>
          <w:szCs w:val="20"/>
        </w:rPr>
        <w:t>en fase de ofrecimiento de pruebas</w:t>
      </w:r>
      <w:r w:rsidRPr="00BB29A9">
        <w:rPr>
          <w:rStyle w:val="Refdenotaalpie"/>
          <w:rFonts w:ascii="Verdana" w:hAnsi="Verdana"/>
          <w:iCs/>
          <w:sz w:val="20"/>
          <w:szCs w:val="20"/>
        </w:rPr>
        <w:footnoteReference w:id="14"/>
      </w:r>
      <w:r w:rsidRPr="00BB29A9">
        <w:rPr>
          <w:rFonts w:ascii="Verdana" w:hAnsi="Verdana"/>
          <w:iCs/>
          <w:sz w:val="20"/>
          <w:szCs w:val="20"/>
        </w:rPr>
        <w:t>.</w:t>
      </w:r>
      <w:r w:rsidRPr="00BB29A9">
        <w:rPr>
          <w:rFonts w:ascii="Verdana" w:hAnsi="Verdana"/>
          <w:sz w:val="20"/>
          <w:szCs w:val="20"/>
        </w:rPr>
        <w:t xml:space="preserve"> Adicionalmente, los representantes aclararon que muy pocas víctimas irán a juicio para testificar</w:t>
      </w:r>
      <w:r w:rsidRPr="00BB29A9">
        <w:rPr>
          <w:rStyle w:val="Refdenotaalpie"/>
          <w:rFonts w:ascii="Verdana" w:hAnsi="Verdana"/>
          <w:sz w:val="20"/>
          <w:szCs w:val="20"/>
        </w:rPr>
        <w:footnoteReference w:id="15"/>
      </w:r>
      <w:r w:rsidR="00161B27">
        <w:rPr>
          <w:rFonts w:ascii="Verdana" w:hAnsi="Verdana"/>
          <w:sz w:val="20"/>
          <w:szCs w:val="20"/>
        </w:rPr>
        <w:t>.</w:t>
      </w:r>
    </w:p>
    <w:p w14:paraId="75789274" w14:textId="77777777" w:rsidR="0030674F" w:rsidRDefault="009E3A64" w:rsidP="00A54B46">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De lo expuesto, la Corte considera preocupante que el proceso penal adelantado por los hechos ocurridos en el caso de la Masacre Plan de Sánchez actualmente también se encontraría suspendido debido a las acciones de amparo pendientes de resolver en el marco del caso </w:t>
      </w:r>
      <w:proofErr w:type="spellStart"/>
      <w:r w:rsidRPr="00BB29A9">
        <w:rPr>
          <w:rFonts w:ascii="Verdana" w:hAnsi="Verdana"/>
          <w:sz w:val="20"/>
          <w:szCs w:val="20"/>
        </w:rPr>
        <w:t>Creompaz</w:t>
      </w:r>
      <w:proofErr w:type="spellEnd"/>
      <w:r w:rsidRPr="00BB29A9">
        <w:rPr>
          <w:rFonts w:ascii="Verdana" w:hAnsi="Verdana"/>
          <w:sz w:val="20"/>
          <w:szCs w:val="20"/>
        </w:rPr>
        <w:t xml:space="preserve"> (Zona Militar 21).</w:t>
      </w:r>
      <w:r w:rsidR="00D14FFA">
        <w:rPr>
          <w:rFonts w:ascii="Verdana" w:hAnsi="Verdana"/>
          <w:sz w:val="20"/>
          <w:szCs w:val="20"/>
        </w:rPr>
        <w:t xml:space="preserve"> </w:t>
      </w:r>
      <w:r w:rsidR="00302044" w:rsidRPr="00D14FFA">
        <w:rPr>
          <w:rFonts w:ascii="Verdana" w:hAnsi="Verdana"/>
          <w:sz w:val="20"/>
          <w:szCs w:val="20"/>
        </w:rPr>
        <w:t>Por esa razón, la Corte reitera que “el Estado debe cumplir con su obligación de investigar, enjuiciar y sancionar sin permitir que el ejercicio de recursos de esta naturaleza constituya un obstáculo en el acceso a la justicia de las víctimas”</w:t>
      </w:r>
      <w:r w:rsidR="00302044" w:rsidRPr="00BB29A9">
        <w:rPr>
          <w:rStyle w:val="Refdenotaalpie"/>
          <w:rFonts w:ascii="Verdana" w:hAnsi="Verdana"/>
          <w:sz w:val="20"/>
          <w:szCs w:val="20"/>
        </w:rPr>
        <w:footnoteReference w:id="16"/>
      </w:r>
      <w:r w:rsidR="00302044" w:rsidRPr="00D14FFA">
        <w:rPr>
          <w:rFonts w:ascii="Verdana" w:hAnsi="Verdana"/>
          <w:sz w:val="20"/>
          <w:szCs w:val="20"/>
        </w:rPr>
        <w:t>.</w:t>
      </w:r>
    </w:p>
    <w:p w14:paraId="7A18A85C" w14:textId="17E3281B" w:rsidR="00A54B46" w:rsidRPr="0030674F" w:rsidRDefault="0030674F" w:rsidP="00A54B46">
      <w:pPr>
        <w:pStyle w:val="Prrafodelista"/>
        <w:numPr>
          <w:ilvl w:val="0"/>
          <w:numId w:val="14"/>
        </w:numPr>
        <w:spacing w:before="120" w:after="120" w:line="240" w:lineRule="auto"/>
        <w:ind w:left="0" w:firstLine="0"/>
        <w:contextualSpacing w:val="0"/>
        <w:jc w:val="both"/>
        <w:rPr>
          <w:rFonts w:ascii="Verdana" w:hAnsi="Verdana"/>
          <w:sz w:val="20"/>
          <w:szCs w:val="20"/>
        </w:rPr>
      </w:pPr>
      <w:r w:rsidRPr="0030674F">
        <w:rPr>
          <w:rFonts w:ascii="Verdana" w:hAnsi="Verdana" w:cs="Verdana"/>
          <w:sz w:val="20"/>
          <w:lang w:val="es-ES"/>
        </w:rPr>
        <w:t>L</w:t>
      </w:r>
      <w:r w:rsidR="00A54B46" w:rsidRPr="0030674F">
        <w:rPr>
          <w:rFonts w:ascii="Verdana" w:hAnsi="Verdana"/>
          <w:sz w:val="20"/>
          <w:szCs w:val="20"/>
          <w:lang w:val="es-ES"/>
        </w:rPr>
        <w:t>a Corte recuerda que</w:t>
      </w:r>
      <w:r w:rsidR="00365020">
        <w:rPr>
          <w:rFonts w:ascii="Verdana" w:hAnsi="Verdana"/>
          <w:sz w:val="20"/>
          <w:szCs w:val="20"/>
          <w:lang w:val="es-ES"/>
        </w:rPr>
        <w:t>,</w:t>
      </w:r>
      <w:r w:rsidR="00A54B46" w:rsidRPr="0030674F">
        <w:rPr>
          <w:rFonts w:ascii="Verdana" w:hAnsi="Verdana"/>
          <w:sz w:val="20"/>
          <w:szCs w:val="20"/>
          <w:lang w:val="es-ES"/>
        </w:rPr>
        <w:t xml:space="preserve"> en la </w:t>
      </w:r>
      <w:r w:rsidR="00A54B46" w:rsidRPr="0030674F">
        <w:rPr>
          <w:rFonts w:ascii="Verdana" w:hAnsi="Verdana"/>
          <w:sz w:val="20"/>
          <w:szCs w:val="20"/>
        </w:rPr>
        <w:t xml:space="preserve">Resolución conjunta para </w:t>
      </w:r>
      <w:r w:rsidR="00A54B46" w:rsidRPr="0030674F">
        <w:rPr>
          <w:rFonts w:ascii="Verdana" w:hAnsi="Verdana"/>
          <w:i/>
          <w:sz w:val="20"/>
          <w:szCs w:val="20"/>
        </w:rPr>
        <w:t>12 casos guatemaltecos</w:t>
      </w:r>
      <w:r w:rsidR="00A54B46" w:rsidRPr="0030674F">
        <w:rPr>
          <w:rFonts w:ascii="Verdana" w:hAnsi="Verdana"/>
          <w:sz w:val="20"/>
          <w:szCs w:val="20"/>
        </w:rPr>
        <w:t xml:space="preserve"> de 24 de noviembre de 2015</w:t>
      </w:r>
      <w:r w:rsidR="00365020">
        <w:rPr>
          <w:rFonts w:ascii="Verdana" w:hAnsi="Verdana"/>
          <w:sz w:val="20"/>
          <w:szCs w:val="20"/>
        </w:rPr>
        <w:t>,</w:t>
      </w:r>
      <w:r w:rsidR="00A54B46" w:rsidRPr="0030674F">
        <w:rPr>
          <w:rFonts w:ascii="Verdana" w:hAnsi="Verdana"/>
          <w:sz w:val="20"/>
          <w:szCs w:val="20"/>
          <w:lang w:val="es-ES"/>
        </w:rPr>
        <w:t xml:space="preserve"> </w:t>
      </w:r>
      <w:r w:rsidR="00A54B46" w:rsidRPr="0030674F">
        <w:rPr>
          <w:rFonts w:ascii="Verdana" w:hAnsi="Verdana"/>
          <w:sz w:val="20"/>
          <w:szCs w:val="20"/>
        </w:rPr>
        <w:t xml:space="preserve">valoró que la mayoría de ellos se referían a graves violaciones ocurridas durante el conflicto armado e identificó serios obstáculos estructurales (normativos, institucionales y fácticos), que estaban impactando negativamente en el avance de la investigación de los hechos, juzgamiento y, en su caso, sanción de los responsables. Debido a </w:t>
      </w:r>
      <w:r w:rsidRPr="0030674F">
        <w:rPr>
          <w:rFonts w:ascii="Verdana" w:hAnsi="Verdana"/>
          <w:sz w:val="20"/>
          <w:szCs w:val="20"/>
        </w:rPr>
        <w:t>que,</w:t>
      </w:r>
      <w:r w:rsidR="00A54B46" w:rsidRPr="0030674F">
        <w:rPr>
          <w:rFonts w:ascii="Verdana" w:hAnsi="Verdana"/>
          <w:sz w:val="20"/>
          <w:szCs w:val="20"/>
        </w:rPr>
        <w:t xml:space="preserve"> en </w:t>
      </w:r>
      <w:r>
        <w:rPr>
          <w:rFonts w:ascii="Verdana" w:hAnsi="Verdana"/>
          <w:sz w:val="20"/>
          <w:szCs w:val="20"/>
        </w:rPr>
        <w:t>el presente caso</w:t>
      </w:r>
      <w:r w:rsidR="00365020">
        <w:rPr>
          <w:rFonts w:ascii="Verdana" w:hAnsi="Verdana"/>
          <w:sz w:val="20"/>
          <w:szCs w:val="20"/>
        </w:rPr>
        <w:t>,</w:t>
      </w:r>
      <w:r w:rsidR="00A54B46" w:rsidRPr="0030674F">
        <w:rPr>
          <w:rFonts w:ascii="Verdana" w:hAnsi="Verdana"/>
          <w:sz w:val="20"/>
          <w:szCs w:val="20"/>
        </w:rPr>
        <w:t xml:space="preserve"> la Corte identificó diversos obstáculos que </w:t>
      </w:r>
      <w:r w:rsidR="00482510">
        <w:rPr>
          <w:rFonts w:ascii="Verdana" w:hAnsi="Verdana"/>
          <w:sz w:val="20"/>
          <w:szCs w:val="20"/>
        </w:rPr>
        <w:t xml:space="preserve">se </w:t>
      </w:r>
      <w:r w:rsidR="00A54B46" w:rsidRPr="0030674F">
        <w:rPr>
          <w:rFonts w:ascii="Verdana" w:hAnsi="Verdana"/>
          <w:sz w:val="20"/>
          <w:szCs w:val="20"/>
        </w:rPr>
        <w:t xml:space="preserve">mantienen en la </w:t>
      </w:r>
      <w:r w:rsidR="00482510">
        <w:rPr>
          <w:rFonts w:ascii="Verdana" w:hAnsi="Verdana"/>
          <w:sz w:val="20"/>
          <w:szCs w:val="20"/>
        </w:rPr>
        <w:t>investigación penal (</w:t>
      </w:r>
      <w:r w:rsidR="00482510" w:rsidRPr="00482510">
        <w:rPr>
          <w:rFonts w:ascii="Verdana" w:hAnsi="Verdana"/>
          <w:i/>
          <w:sz w:val="20"/>
          <w:szCs w:val="20"/>
        </w:rPr>
        <w:t>supra</w:t>
      </w:r>
      <w:r w:rsidR="00482510">
        <w:rPr>
          <w:rFonts w:ascii="Verdana" w:hAnsi="Verdana"/>
          <w:sz w:val="20"/>
          <w:szCs w:val="20"/>
        </w:rPr>
        <w:t xml:space="preserve"> Considerandos </w:t>
      </w:r>
      <w:r w:rsidR="00161B27">
        <w:rPr>
          <w:rFonts w:ascii="Verdana" w:hAnsi="Verdana"/>
          <w:sz w:val="20"/>
          <w:szCs w:val="20"/>
        </w:rPr>
        <w:t>6</w:t>
      </w:r>
      <w:r w:rsidR="00E67A7C">
        <w:rPr>
          <w:rFonts w:ascii="Verdana" w:hAnsi="Verdana"/>
          <w:sz w:val="20"/>
          <w:szCs w:val="20"/>
        </w:rPr>
        <w:t xml:space="preserve"> y</w:t>
      </w:r>
      <w:r w:rsidR="00161B27">
        <w:rPr>
          <w:rFonts w:ascii="Verdana" w:hAnsi="Verdana"/>
          <w:sz w:val="20"/>
          <w:szCs w:val="20"/>
        </w:rPr>
        <w:t xml:space="preserve"> </w:t>
      </w:r>
      <w:r w:rsidR="00E67A7C">
        <w:rPr>
          <w:rFonts w:ascii="Verdana" w:hAnsi="Verdana"/>
          <w:sz w:val="20"/>
          <w:szCs w:val="20"/>
        </w:rPr>
        <w:t>9</w:t>
      </w:r>
      <w:r w:rsidR="00482510">
        <w:rPr>
          <w:rFonts w:ascii="Verdana" w:hAnsi="Verdana"/>
          <w:sz w:val="20"/>
          <w:szCs w:val="20"/>
        </w:rPr>
        <w:t>)</w:t>
      </w:r>
      <w:r w:rsidR="00A54B46" w:rsidRPr="0030674F">
        <w:rPr>
          <w:rFonts w:ascii="Verdana" w:hAnsi="Verdana"/>
          <w:sz w:val="20"/>
          <w:szCs w:val="20"/>
        </w:rPr>
        <w:t xml:space="preserve">, este Tribunal considera relevante que el Estado tome en cuenta los criterios referidos en la citada Resolución, para dar eficaz cumplimiento a la obligación </w:t>
      </w:r>
      <w:r w:rsidR="00365020">
        <w:rPr>
          <w:rFonts w:ascii="Verdana" w:hAnsi="Verdana"/>
          <w:sz w:val="20"/>
          <w:szCs w:val="20"/>
        </w:rPr>
        <w:t xml:space="preserve">de </w:t>
      </w:r>
      <w:r w:rsidR="00A54B46" w:rsidRPr="0030674F">
        <w:rPr>
          <w:rFonts w:ascii="Verdana" w:hAnsi="Verdana"/>
          <w:sz w:val="20"/>
          <w:szCs w:val="20"/>
        </w:rPr>
        <w:t>investigar en el presente caso</w:t>
      </w:r>
      <w:r w:rsidRPr="00896600">
        <w:rPr>
          <w:rStyle w:val="Refdenotaalpie"/>
          <w:rFonts w:ascii="Verdana" w:hAnsi="Verdana"/>
          <w:sz w:val="20"/>
          <w:szCs w:val="20"/>
        </w:rPr>
        <w:footnoteReference w:id="17"/>
      </w:r>
      <w:r w:rsidR="00A54B46" w:rsidRPr="0030674F">
        <w:rPr>
          <w:rFonts w:ascii="Verdana" w:hAnsi="Verdana"/>
          <w:sz w:val="20"/>
          <w:szCs w:val="20"/>
        </w:rPr>
        <w:t>.</w:t>
      </w:r>
    </w:p>
    <w:p w14:paraId="5EFA217F" w14:textId="6599F78E" w:rsidR="00EC7A9D" w:rsidRPr="00F049B8" w:rsidRDefault="00FE742A" w:rsidP="00482510">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eastAsia="Verdana" w:hAnsi="Verdana" w:cs="Verdana"/>
          <w:sz w:val="20"/>
          <w:szCs w:val="20"/>
          <w:lang w:val="es-MX"/>
        </w:rPr>
        <w:t>Finalmente</w:t>
      </w:r>
      <w:r w:rsidR="0023197D" w:rsidRPr="00BB29A9">
        <w:rPr>
          <w:rFonts w:ascii="Verdana" w:hAnsi="Verdana"/>
          <w:sz w:val="20"/>
          <w:szCs w:val="20"/>
        </w:rPr>
        <w:t xml:space="preserve">, este Tribunal </w:t>
      </w:r>
      <w:r w:rsidR="00482510">
        <w:rPr>
          <w:rFonts w:ascii="Verdana" w:hAnsi="Verdana"/>
          <w:sz w:val="20"/>
          <w:szCs w:val="20"/>
        </w:rPr>
        <w:t>recuerda que</w:t>
      </w:r>
      <w:r w:rsidR="0023197D" w:rsidRPr="00BB29A9">
        <w:rPr>
          <w:rFonts w:ascii="Verdana" w:hAnsi="Verdana"/>
          <w:sz w:val="20"/>
          <w:szCs w:val="20"/>
        </w:rPr>
        <w:t xml:space="preserve"> las siguientes resoluciones </w:t>
      </w:r>
      <w:r w:rsidR="00482510">
        <w:rPr>
          <w:rFonts w:ascii="Verdana" w:hAnsi="Verdana"/>
          <w:sz w:val="20"/>
          <w:szCs w:val="20"/>
        </w:rPr>
        <w:t xml:space="preserve">también </w:t>
      </w:r>
      <w:r w:rsidR="0023197D" w:rsidRPr="00BB29A9">
        <w:rPr>
          <w:rFonts w:ascii="Verdana" w:hAnsi="Verdana"/>
          <w:sz w:val="20"/>
          <w:szCs w:val="20"/>
        </w:rPr>
        <w:t>tienen incidencia en la obligación de investigar en el presente caso</w:t>
      </w:r>
      <w:r w:rsidR="00482510">
        <w:rPr>
          <w:rFonts w:ascii="Verdana" w:hAnsi="Verdana"/>
          <w:sz w:val="20"/>
          <w:szCs w:val="20"/>
        </w:rPr>
        <w:t xml:space="preserve">, y </w:t>
      </w:r>
      <w:r w:rsidR="00482510" w:rsidRPr="00482510">
        <w:rPr>
          <w:rFonts w:ascii="Verdana" w:hAnsi="Verdana"/>
          <w:sz w:val="20"/>
          <w:szCs w:val="20"/>
        </w:rPr>
        <w:t xml:space="preserve">considera </w:t>
      </w:r>
      <w:r w:rsidR="00482510">
        <w:rPr>
          <w:rFonts w:ascii="Verdana" w:hAnsi="Verdana"/>
          <w:sz w:val="20"/>
          <w:szCs w:val="20"/>
        </w:rPr>
        <w:t>necesario</w:t>
      </w:r>
      <w:r w:rsidR="00482510" w:rsidRPr="00482510">
        <w:rPr>
          <w:rFonts w:ascii="Verdana" w:hAnsi="Verdana"/>
          <w:sz w:val="20"/>
          <w:szCs w:val="20"/>
        </w:rPr>
        <w:t xml:space="preserve"> que el Estado </w:t>
      </w:r>
      <w:r w:rsidR="00482510">
        <w:rPr>
          <w:rFonts w:ascii="Verdana" w:hAnsi="Verdana"/>
          <w:sz w:val="20"/>
          <w:szCs w:val="20"/>
        </w:rPr>
        <w:t xml:space="preserve">mantenga informada a la Corte sobre </w:t>
      </w:r>
      <w:r w:rsidR="00F049B8">
        <w:rPr>
          <w:rFonts w:ascii="Verdana" w:hAnsi="Verdana"/>
          <w:sz w:val="20"/>
          <w:szCs w:val="20"/>
        </w:rPr>
        <w:t xml:space="preserve">los aspectos que tratan a fin de evitar la configuración de nuevos </w:t>
      </w:r>
      <w:r w:rsidR="00F049B8" w:rsidRPr="00F049B8">
        <w:rPr>
          <w:rFonts w:ascii="Verdana" w:hAnsi="Verdana"/>
          <w:sz w:val="20"/>
          <w:szCs w:val="20"/>
        </w:rPr>
        <w:t xml:space="preserve">obstáculos </w:t>
      </w:r>
      <w:r w:rsidR="00F049B8">
        <w:rPr>
          <w:rFonts w:ascii="Verdana" w:hAnsi="Verdana"/>
          <w:sz w:val="20"/>
          <w:szCs w:val="20"/>
        </w:rPr>
        <w:t>en el</w:t>
      </w:r>
      <w:r w:rsidR="00482510" w:rsidRPr="00482510">
        <w:rPr>
          <w:rFonts w:ascii="Verdana" w:hAnsi="Verdana"/>
          <w:sz w:val="20"/>
          <w:szCs w:val="20"/>
        </w:rPr>
        <w:t xml:space="preserve"> cumplimiento a la obligación investigar en el presente caso</w:t>
      </w:r>
      <w:r w:rsidR="0023197D" w:rsidRPr="00F049B8">
        <w:rPr>
          <w:rFonts w:ascii="Verdana" w:hAnsi="Verdana"/>
          <w:sz w:val="20"/>
          <w:szCs w:val="20"/>
        </w:rPr>
        <w:t xml:space="preserve">: a) la Resolución de la Corte de 12 de marzo de 2019 respecto de la Sentencias dictadas por la Corte en </w:t>
      </w:r>
      <w:r w:rsidR="0023197D" w:rsidRPr="00F049B8">
        <w:rPr>
          <w:rFonts w:ascii="Verdana" w:hAnsi="Verdana"/>
          <w:i/>
          <w:sz w:val="20"/>
          <w:szCs w:val="20"/>
        </w:rPr>
        <w:t>14 casos contra Guatemala</w:t>
      </w:r>
      <w:r w:rsidR="0023197D" w:rsidRPr="00F049B8">
        <w:rPr>
          <w:rFonts w:ascii="Verdana" w:hAnsi="Verdana"/>
          <w:sz w:val="20"/>
          <w:szCs w:val="20"/>
        </w:rPr>
        <w:t>, incluido el presente caso, en la cual estableció que, de aprobarse la iniciativa de Ley No. 5733, el Estado incurriría en una afectación de la cosa juzgada internacional respecto a dichas Sentencias. En consecuencia, se requirió a Guatemala que “para garantizar el derecho de acceso a la justicia de las víctimas de los 14 casos […] interrumpa el trámite legislativo de la iniciativa de ley 5733 que pretende reformar la Ley de Reconciliación Nacional de 1986 concediendo una amnistía para todas las graves violaciones cometidas por el conflicto armado interno y se archive”</w:t>
      </w:r>
      <w:r w:rsidR="00D26818" w:rsidRPr="00F049B8">
        <w:rPr>
          <w:rFonts w:ascii="Verdana" w:hAnsi="Verdana"/>
          <w:sz w:val="20"/>
          <w:szCs w:val="20"/>
        </w:rPr>
        <w:t xml:space="preserve"> y se le ordenó la presentación de un informe</w:t>
      </w:r>
      <w:r w:rsidR="0023197D" w:rsidRPr="00BB29A9">
        <w:rPr>
          <w:rStyle w:val="Refdenotaalpie"/>
          <w:rFonts w:ascii="Verdana" w:hAnsi="Verdana"/>
          <w:sz w:val="20"/>
          <w:szCs w:val="20"/>
        </w:rPr>
        <w:footnoteReference w:id="18"/>
      </w:r>
      <w:r w:rsidR="0023197D" w:rsidRPr="00F049B8">
        <w:rPr>
          <w:rFonts w:ascii="Verdana" w:hAnsi="Verdana"/>
          <w:sz w:val="20"/>
          <w:szCs w:val="20"/>
        </w:rPr>
        <w:t>,</w:t>
      </w:r>
      <w:r w:rsidR="0023197D" w:rsidRPr="00F049B8">
        <w:rPr>
          <w:rFonts w:ascii="Verdana" w:hAnsi="Verdana"/>
          <w:b/>
          <w:sz w:val="20"/>
          <w:szCs w:val="20"/>
        </w:rPr>
        <w:t xml:space="preserve"> </w:t>
      </w:r>
      <w:r w:rsidR="0023197D" w:rsidRPr="00F049B8">
        <w:rPr>
          <w:rFonts w:ascii="Verdana" w:hAnsi="Verdana"/>
          <w:sz w:val="20"/>
          <w:szCs w:val="20"/>
        </w:rPr>
        <w:t xml:space="preserve">y </w:t>
      </w:r>
      <w:r w:rsidR="0023197D" w:rsidRPr="00F049B8">
        <w:rPr>
          <w:rFonts w:ascii="Verdana" w:hAnsi="Verdana"/>
          <w:sz w:val="20"/>
          <w:szCs w:val="20"/>
        </w:rPr>
        <w:lastRenderedPageBreak/>
        <w:t xml:space="preserve">b) la Resolución de 14 de octubre de 2019 </w:t>
      </w:r>
      <w:r w:rsidR="00677471" w:rsidRPr="00F049B8">
        <w:rPr>
          <w:rFonts w:ascii="Verdana" w:hAnsi="Verdana"/>
          <w:sz w:val="20"/>
          <w:szCs w:val="20"/>
        </w:rPr>
        <w:t xml:space="preserve">respecto de la Sentencias dictadas por la Corte en </w:t>
      </w:r>
      <w:r w:rsidR="00677471" w:rsidRPr="00F049B8">
        <w:rPr>
          <w:rFonts w:ascii="Verdana" w:hAnsi="Verdana"/>
          <w:i/>
          <w:sz w:val="20"/>
          <w:szCs w:val="20"/>
        </w:rPr>
        <w:t>14 casos contra Guatemala</w:t>
      </w:r>
      <w:r w:rsidR="0023197D" w:rsidRPr="00BB29A9">
        <w:rPr>
          <w:rStyle w:val="Refdenotaalpie"/>
          <w:rFonts w:ascii="Verdana" w:eastAsia="Calibri" w:hAnsi="Verdana" w:cs="Verdana"/>
          <w:i/>
          <w:sz w:val="20"/>
          <w:szCs w:val="20"/>
        </w:rPr>
        <w:footnoteReference w:id="19"/>
      </w:r>
      <w:r w:rsidR="0023197D" w:rsidRPr="00F049B8">
        <w:rPr>
          <w:rFonts w:ascii="Verdana" w:eastAsia="Calibri" w:hAnsi="Verdana" w:cs="Verdana"/>
          <w:i/>
          <w:sz w:val="20"/>
          <w:szCs w:val="20"/>
        </w:rPr>
        <w:t xml:space="preserve">, </w:t>
      </w:r>
      <w:r w:rsidR="0023197D" w:rsidRPr="00F049B8">
        <w:rPr>
          <w:rFonts w:ascii="Verdana" w:eastAsia="Calibri" w:hAnsi="Verdana" w:cs="Verdana"/>
          <w:sz w:val="20"/>
          <w:szCs w:val="20"/>
        </w:rPr>
        <w:t>en la cual este Tribunal</w:t>
      </w:r>
      <w:r w:rsidR="008E6D97" w:rsidRPr="00F049B8">
        <w:rPr>
          <w:rFonts w:ascii="Verdana" w:eastAsia="Calibri" w:hAnsi="Verdana" w:cs="Verdana"/>
          <w:sz w:val="20"/>
          <w:szCs w:val="20"/>
        </w:rPr>
        <w:t>, entre otros,</w:t>
      </w:r>
      <w:r w:rsidR="0023197D" w:rsidRPr="00F049B8">
        <w:rPr>
          <w:rFonts w:ascii="Verdana" w:eastAsia="Calibri" w:hAnsi="Verdana" w:cs="Verdana"/>
          <w:sz w:val="20"/>
          <w:szCs w:val="20"/>
        </w:rPr>
        <w:t xml:space="preserve"> </w:t>
      </w:r>
      <w:r w:rsidR="00B76137" w:rsidRPr="00F049B8">
        <w:rPr>
          <w:rFonts w:ascii="Verdana" w:hAnsi="Verdana"/>
          <w:sz w:val="20"/>
          <w:szCs w:val="20"/>
        </w:rPr>
        <w:t>supervisó tanto</w:t>
      </w:r>
      <w:r w:rsidR="0023197D" w:rsidRPr="00F049B8">
        <w:rPr>
          <w:rFonts w:ascii="Verdana" w:hAnsi="Verdana"/>
          <w:sz w:val="20"/>
          <w:szCs w:val="20"/>
        </w:rPr>
        <w:t xml:space="preserve"> lo decidido </w:t>
      </w:r>
      <w:r w:rsidR="008E6D97" w:rsidRPr="00F049B8">
        <w:rPr>
          <w:rFonts w:ascii="Verdana" w:hAnsi="Verdana"/>
          <w:sz w:val="20"/>
          <w:szCs w:val="20"/>
        </w:rPr>
        <w:t>en las medidas provisionales de</w:t>
      </w:r>
      <w:r w:rsidR="0023197D" w:rsidRPr="00F049B8">
        <w:rPr>
          <w:rFonts w:ascii="Verdana" w:hAnsi="Verdana"/>
          <w:sz w:val="20"/>
          <w:szCs w:val="20"/>
        </w:rPr>
        <w:t xml:space="preserve"> </w:t>
      </w:r>
      <w:r w:rsidR="00E13DDB" w:rsidRPr="00F049B8">
        <w:rPr>
          <w:rFonts w:ascii="Verdana" w:hAnsi="Verdana"/>
          <w:sz w:val="20"/>
          <w:szCs w:val="20"/>
        </w:rPr>
        <w:t>la referida</w:t>
      </w:r>
      <w:r w:rsidR="0023197D" w:rsidRPr="00F049B8">
        <w:rPr>
          <w:rFonts w:ascii="Verdana" w:hAnsi="Verdana"/>
          <w:sz w:val="20"/>
          <w:szCs w:val="20"/>
        </w:rPr>
        <w:t xml:space="preserve"> Resolución</w:t>
      </w:r>
      <w:r w:rsidR="00B76137" w:rsidRPr="00F049B8">
        <w:rPr>
          <w:rFonts w:ascii="Verdana" w:hAnsi="Verdana"/>
          <w:sz w:val="20"/>
          <w:szCs w:val="20"/>
        </w:rPr>
        <w:t xml:space="preserve"> de</w:t>
      </w:r>
      <w:r w:rsidR="00E13DDB" w:rsidRPr="00F049B8">
        <w:rPr>
          <w:rFonts w:ascii="Verdana" w:hAnsi="Verdana"/>
          <w:sz w:val="20"/>
          <w:szCs w:val="20"/>
        </w:rPr>
        <w:t xml:space="preserve"> 12 de marzo de 2019</w:t>
      </w:r>
      <w:r w:rsidR="00D26818" w:rsidRPr="00F049B8">
        <w:rPr>
          <w:rFonts w:ascii="Verdana" w:hAnsi="Verdana"/>
          <w:sz w:val="20"/>
          <w:szCs w:val="20"/>
        </w:rPr>
        <w:t xml:space="preserve"> </w:t>
      </w:r>
      <w:r w:rsidR="00B76137" w:rsidRPr="00F049B8">
        <w:rPr>
          <w:rFonts w:ascii="Verdana" w:hAnsi="Verdana"/>
          <w:sz w:val="20"/>
          <w:szCs w:val="20"/>
        </w:rPr>
        <w:t>como</w:t>
      </w:r>
      <w:r w:rsidR="00D26818" w:rsidRPr="00F049B8">
        <w:rPr>
          <w:rFonts w:ascii="Verdana" w:hAnsi="Verdana"/>
          <w:sz w:val="20"/>
          <w:szCs w:val="20"/>
        </w:rPr>
        <w:t xml:space="preserve"> la presentación de información al respecto</w:t>
      </w:r>
      <w:r w:rsidR="0023197D" w:rsidRPr="00F049B8">
        <w:rPr>
          <w:rFonts w:ascii="Verdana" w:hAnsi="Verdana"/>
          <w:sz w:val="20"/>
          <w:szCs w:val="20"/>
        </w:rPr>
        <w:t>.</w:t>
      </w:r>
    </w:p>
    <w:p w14:paraId="3CE3EF16" w14:textId="48FB0993" w:rsidR="00EC7A9D" w:rsidRPr="000B2F92" w:rsidRDefault="00EC7A9D" w:rsidP="00FE742A">
      <w:pPr>
        <w:pStyle w:val="Prrafodelista"/>
        <w:numPr>
          <w:ilvl w:val="0"/>
          <w:numId w:val="14"/>
        </w:numPr>
        <w:spacing w:before="120" w:after="120" w:line="240" w:lineRule="auto"/>
        <w:ind w:left="0" w:firstLine="0"/>
        <w:contextualSpacing w:val="0"/>
        <w:jc w:val="both"/>
        <w:rPr>
          <w:rFonts w:ascii="Verdana" w:hAnsi="Verdana"/>
          <w:sz w:val="20"/>
          <w:szCs w:val="20"/>
        </w:rPr>
      </w:pPr>
      <w:r w:rsidRPr="00123739">
        <w:rPr>
          <w:rFonts w:ascii="Verdana" w:hAnsi="Verdana"/>
          <w:sz w:val="20"/>
          <w:szCs w:val="20"/>
        </w:rPr>
        <w:t>En definitiva, debido a que en el año 2012 se determinó la responsabilidad penal de cinc</w:t>
      </w:r>
      <w:r w:rsidRPr="00BB29A9">
        <w:rPr>
          <w:rFonts w:ascii="Verdana" w:hAnsi="Verdana"/>
          <w:sz w:val="20"/>
          <w:szCs w:val="20"/>
        </w:rPr>
        <w:t xml:space="preserve">o personas que fueron condenadas por el Tribunal Primero de Sentencia Penal, Narcoactividad y Delitos Contra el Ambiente, de Mayor Riesgo Grupo “A”, por los delitos de asesinato y delitos contra los deberes de la humanidad por los hechos correspondientes a la Masacre de Plan de Sánchez, la Corte considera que el Estado dio cumplimiento parcial a </w:t>
      </w:r>
      <w:r w:rsidR="00FE742A" w:rsidRPr="00BB29A9">
        <w:rPr>
          <w:rFonts w:ascii="Verdana" w:hAnsi="Verdana"/>
          <w:sz w:val="20"/>
          <w:szCs w:val="20"/>
        </w:rPr>
        <w:t xml:space="preserve">la medida dispuesta </w:t>
      </w:r>
      <w:r w:rsidR="00FE742A" w:rsidRPr="00BB29A9">
        <w:rPr>
          <w:rFonts w:ascii="Verdana" w:eastAsia="Verdana" w:hAnsi="Verdana" w:cs="Verdana"/>
          <w:sz w:val="20"/>
          <w:szCs w:val="20"/>
          <w:lang w:val="es-MX"/>
        </w:rPr>
        <w:t>en el punto resolutivo primero de la Sentencia</w:t>
      </w:r>
      <w:r w:rsidRPr="00BB29A9">
        <w:rPr>
          <w:rFonts w:ascii="Verdana" w:eastAsia="Verdana" w:hAnsi="Verdana" w:cs="Verdana"/>
          <w:sz w:val="20"/>
          <w:szCs w:val="20"/>
          <w:lang w:val="es-MX"/>
        </w:rPr>
        <w:t xml:space="preserve">. </w:t>
      </w:r>
      <w:r w:rsidRPr="00BB29A9">
        <w:rPr>
          <w:rFonts w:ascii="Verdana" w:hAnsi="Verdana"/>
          <w:sz w:val="20"/>
          <w:szCs w:val="20"/>
        </w:rPr>
        <w:t xml:space="preserve">Ello constituyó un importante avance respecto a la situación </w:t>
      </w:r>
      <w:r w:rsidR="00123739">
        <w:rPr>
          <w:rFonts w:ascii="Verdana" w:hAnsi="Verdana"/>
          <w:sz w:val="20"/>
          <w:szCs w:val="20"/>
        </w:rPr>
        <w:t>de total impunidad consta</w:t>
      </w:r>
      <w:r w:rsidRPr="000B2F92">
        <w:rPr>
          <w:rFonts w:ascii="Verdana" w:hAnsi="Verdana"/>
          <w:sz w:val="20"/>
          <w:szCs w:val="20"/>
        </w:rPr>
        <w:t>ta</w:t>
      </w:r>
      <w:r w:rsidR="00123739">
        <w:rPr>
          <w:rFonts w:ascii="Verdana" w:hAnsi="Verdana"/>
          <w:sz w:val="20"/>
          <w:szCs w:val="20"/>
        </w:rPr>
        <w:t>da en la Sentenc</w:t>
      </w:r>
      <w:r w:rsidRPr="000B2F92">
        <w:rPr>
          <w:rFonts w:ascii="Verdana" w:hAnsi="Verdana"/>
          <w:sz w:val="20"/>
          <w:szCs w:val="20"/>
        </w:rPr>
        <w:t>ia dictada por la Corte hace más de dieciséis años.</w:t>
      </w:r>
    </w:p>
    <w:p w14:paraId="0F57F2B1" w14:textId="0F92377E" w:rsidR="0072468D" w:rsidRPr="00BB29A9" w:rsidRDefault="00896FC4" w:rsidP="00716B53">
      <w:pPr>
        <w:pStyle w:val="Prrafodelista"/>
        <w:numPr>
          <w:ilvl w:val="0"/>
          <w:numId w:val="14"/>
        </w:numPr>
        <w:spacing w:before="120" w:after="120" w:line="240" w:lineRule="auto"/>
        <w:ind w:left="0" w:firstLine="0"/>
        <w:contextualSpacing w:val="0"/>
        <w:jc w:val="both"/>
        <w:rPr>
          <w:rFonts w:ascii="Verdana" w:hAnsi="Verdana"/>
          <w:sz w:val="20"/>
          <w:szCs w:val="20"/>
        </w:rPr>
      </w:pPr>
      <w:r>
        <w:rPr>
          <w:rFonts w:ascii="Verdana" w:eastAsia="Verdana" w:hAnsi="Verdana" w:cs="Verdana"/>
          <w:sz w:val="20"/>
          <w:szCs w:val="20"/>
          <w:lang w:val="es-MX"/>
        </w:rPr>
        <w:t>A fin de continuar valorando los avances en el cumplimiento de la obligaci</w:t>
      </w:r>
      <w:r w:rsidR="00C10643">
        <w:rPr>
          <w:rFonts w:ascii="Verdana" w:eastAsia="Verdana" w:hAnsi="Verdana" w:cs="Verdana"/>
          <w:sz w:val="20"/>
          <w:szCs w:val="20"/>
          <w:lang w:val="es-MX"/>
        </w:rPr>
        <w:t>ón de</w:t>
      </w:r>
      <w:r w:rsidR="00EC7A9D" w:rsidRPr="000B2F92">
        <w:rPr>
          <w:rFonts w:ascii="Verdana" w:eastAsia="Verdana" w:hAnsi="Verdana" w:cs="Verdana"/>
          <w:sz w:val="20"/>
          <w:szCs w:val="20"/>
          <w:lang w:val="es-MX"/>
        </w:rPr>
        <w:t xml:space="preserve"> investigar, identificar, juzgar y</w:t>
      </w:r>
      <w:r>
        <w:rPr>
          <w:rFonts w:ascii="Verdana" w:eastAsia="Verdana" w:hAnsi="Verdana" w:cs="Verdana"/>
          <w:sz w:val="20"/>
          <w:szCs w:val="20"/>
          <w:lang w:val="es-MX"/>
        </w:rPr>
        <w:t>,</w:t>
      </w:r>
      <w:r w:rsidR="00EC7A9D" w:rsidRPr="000B2F92">
        <w:rPr>
          <w:rFonts w:ascii="Verdana" w:eastAsia="Verdana" w:hAnsi="Verdana" w:cs="Verdana"/>
          <w:sz w:val="20"/>
          <w:szCs w:val="20"/>
          <w:lang w:val="es-MX"/>
        </w:rPr>
        <w:t xml:space="preserve"> eventualmente</w:t>
      </w:r>
      <w:r>
        <w:rPr>
          <w:rFonts w:ascii="Verdana" w:eastAsia="Verdana" w:hAnsi="Verdana" w:cs="Verdana"/>
          <w:sz w:val="20"/>
          <w:szCs w:val="20"/>
          <w:lang w:val="es-MX"/>
        </w:rPr>
        <w:t>,</w:t>
      </w:r>
      <w:r w:rsidR="00EC7A9D" w:rsidRPr="000B2F92">
        <w:rPr>
          <w:rFonts w:ascii="Verdana" w:eastAsia="Verdana" w:hAnsi="Verdana" w:cs="Verdana"/>
          <w:sz w:val="20"/>
          <w:szCs w:val="20"/>
          <w:lang w:val="es-MX"/>
        </w:rPr>
        <w:t xml:space="preserve"> sancionar a los responsables de los hechos, ordenada en el punto resolutivo primero </w:t>
      </w:r>
      <w:r w:rsidR="00FE742A" w:rsidRPr="000B2F92">
        <w:rPr>
          <w:rFonts w:ascii="Verdana" w:eastAsia="Verdana" w:hAnsi="Verdana" w:cs="Verdana"/>
          <w:sz w:val="20"/>
          <w:szCs w:val="20"/>
          <w:lang w:val="es-MX"/>
        </w:rPr>
        <w:t>de la Sentencia</w:t>
      </w:r>
      <w:r>
        <w:rPr>
          <w:rFonts w:ascii="Verdana" w:eastAsia="Verdana" w:hAnsi="Verdana" w:cs="Verdana"/>
          <w:sz w:val="20"/>
          <w:szCs w:val="20"/>
          <w:lang w:val="es-MX"/>
        </w:rPr>
        <w:t>,</w:t>
      </w:r>
      <w:r w:rsidR="00C10643">
        <w:rPr>
          <w:rFonts w:ascii="Verdana" w:eastAsia="Verdana" w:hAnsi="Verdana" w:cs="Verdana"/>
          <w:sz w:val="20"/>
          <w:szCs w:val="20"/>
          <w:lang w:val="es-MX"/>
        </w:rPr>
        <w:t xml:space="preserve"> </w:t>
      </w:r>
      <w:r w:rsidR="00FE742A" w:rsidRPr="000B2F92">
        <w:rPr>
          <w:rFonts w:ascii="Verdana" w:eastAsia="Verdana" w:hAnsi="Verdana" w:cs="Verdana"/>
          <w:sz w:val="20"/>
          <w:szCs w:val="20"/>
          <w:lang w:val="es-MX"/>
        </w:rPr>
        <w:t xml:space="preserve">este Tribunal </w:t>
      </w:r>
      <w:r w:rsidR="00FE742A" w:rsidRPr="000B2F92">
        <w:rPr>
          <w:rFonts w:ascii="Verdana" w:hAnsi="Verdana"/>
          <w:sz w:val="20"/>
          <w:szCs w:val="20"/>
        </w:rPr>
        <w:t>requiere al Estado que remita inform</w:t>
      </w:r>
      <w:r w:rsidR="00FE742A" w:rsidRPr="00BB29A9">
        <w:rPr>
          <w:rFonts w:ascii="Verdana" w:hAnsi="Verdana"/>
          <w:sz w:val="20"/>
          <w:szCs w:val="20"/>
        </w:rPr>
        <w:t xml:space="preserve">ación detallada, completa y actualizada, junto con el respaldo documental correspondiente, </w:t>
      </w:r>
      <w:r>
        <w:rPr>
          <w:rFonts w:ascii="Verdana" w:hAnsi="Verdana"/>
          <w:sz w:val="20"/>
          <w:szCs w:val="20"/>
        </w:rPr>
        <w:t xml:space="preserve">que tome en cuenta lo indicado en los párrafos precedentes, </w:t>
      </w:r>
      <w:r w:rsidR="00FE742A" w:rsidRPr="00BB29A9">
        <w:rPr>
          <w:rFonts w:ascii="Verdana" w:hAnsi="Verdana"/>
          <w:sz w:val="20"/>
          <w:szCs w:val="20"/>
        </w:rPr>
        <w:t>así como que acredite que ninguna decisión judicial afecte el cumplimiento de dicha obligación.</w:t>
      </w:r>
    </w:p>
    <w:p w14:paraId="3C061FA8" w14:textId="77777777" w:rsidR="001D17D7" w:rsidRPr="00BB29A9" w:rsidRDefault="001D17D7" w:rsidP="001D17D7">
      <w:pPr>
        <w:pStyle w:val="Prrafodelista"/>
        <w:spacing w:before="120" w:after="120" w:line="240" w:lineRule="auto"/>
        <w:ind w:left="0"/>
        <w:contextualSpacing w:val="0"/>
        <w:jc w:val="both"/>
        <w:rPr>
          <w:rFonts w:ascii="Verdana" w:hAnsi="Verdana"/>
          <w:sz w:val="20"/>
          <w:szCs w:val="20"/>
        </w:rPr>
      </w:pPr>
    </w:p>
    <w:p w14:paraId="51F94214" w14:textId="77777777" w:rsidR="004F5E05" w:rsidRPr="00BB29A9" w:rsidRDefault="00CC5575" w:rsidP="00CC5575">
      <w:pPr>
        <w:pStyle w:val="Ttulo1"/>
        <w:spacing w:before="120" w:after="120" w:line="240" w:lineRule="auto"/>
        <w:rPr>
          <w:rFonts w:ascii="Verdana" w:hAnsi="Verdana"/>
          <w:b/>
          <w:color w:val="auto"/>
          <w:sz w:val="20"/>
          <w:szCs w:val="20"/>
        </w:rPr>
      </w:pPr>
      <w:bookmarkStart w:id="8" w:name="_Toc67523770"/>
      <w:r w:rsidRPr="00BB29A9">
        <w:rPr>
          <w:rFonts w:ascii="Verdana" w:hAnsi="Verdana"/>
          <w:b/>
          <w:color w:val="auto"/>
          <w:sz w:val="20"/>
          <w:szCs w:val="20"/>
          <w:lang w:val="es-MX"/>
        </w:rPr>
        <w:t>B.</w:t>
      </w:r>
      <w:r w:rsidRPr="00BB29A9">
        <w:rPr>
          <w:rFonts w:ascii="Verdana" w:hAnsi="Verdana"/>
          <w:b/>
          <w:color w:val="auto"/>
          <w:sz w:val="20"/>
          <w:szCs w:val="20"/>
          <w:lang w:val="es-MX"/>
        </w:rPr>
        <w:tab/>
      </w:r>
      <w:r w:rsidR="003E7A85" w:rsidRPr="00BB29A9">
        <w:rPr>
          <w:rFonts w:ascii="Verdana" w:hAnsi="Verdana"/>
          <w:b/>
          <w:color w:val="auto"/>
          <w:sz w:val="20"/>
          <w:szCs w:val="20"/>
          <w:lang w:val="es-MX"/>
        </w:rPr>
        <w:t>T</w:t>
      </w:r>
      <w:r w:rsidR="004F5E05" w:rsidRPr="00BB29A9">
        <w:rPr>
          <w:rFonts w:ascii="Verdana" w:hAnsi="Verdana"/>
          <w:b/>
          <w:color w:val="auto"/>
          <w:sz w:val="20"/>
          <w:szCs w:val="20"/>
          <w:lang w:val="es-MX"/>
        </w:rPr>
        <w:t xml:space="preserve">ratamiento médico, </w:t>
      </w:r>
      <w:r w:rsidR="00DC2677" w:rsidRPr="00BB29A9">
        <w:rPr>
          <w:rFonts w:ascii="Verdana" w:hAnsi="Verdana"/>
          <w:b/>
          <w:color w:val="auto"/>
          <w:sz w:val="20"/>
          <w:szCs w:val="20"/>
          <w:lang w:val="es-MX"/>
        </w:rPr>
        <w:t>psicológico y psiquiátrico</w:t>
      </w:r>
      <w:bookmarkEnd w:id="8"/>
    </w:p>
    <w:p w14:paraId="6268CF22" w14:textId="77777777" w:rsidR="00890922" w:rsidRPr="00BB29A9" w:rsidRDefault="00890922" w:rsidP="00CC5575">
      <w:pPr>
        <w:spacing w:before="120" w:after="120" w:line="240" w:lineRule="auto"/>
        <w:ind w:firstLine="708"/>
        <w:rPr>
          <w:rFonts w:ascii="Verdana" w:hAnsi="Verdana"/>
          <w:i/>
          <w:sz w:val="20"/>
          <w:szCs w:val="20"/>
        </w:rPr>
      </w:pPr>
      <w:r w:rsidRPr="00BB29A9">
        <w:rPr>
          <w:rFonts w:ascii="Verdana" w:hAnsi="Verdana"/>
          <w:i/>
          <w:sz w:val="20"/>
          <w:szCs w:val="20"/>
        </w:rPr>
        <w:t>B.1. Medida ordenada por la Corte</w:t>
      </w:r>
      <w:r w:rsidR="00A90B62" w:rsidRPr="00BB29A9">
        <w:rPr>
          <w:rFonts w:ascii="Verdana" w:hAnsi="Verdana"/>
          <w:i/>
          <w:sz w:val="20"/>
          <w:szCs w:val="20"/>
        </w:rPr>
        <w:t xml:space="preserve"> y supervisión realizada en resolución anterior</w:t>
      </w:r>
    </w:p>
    <w:p w14:paraId="69DF2B55" w14:textId="3D73CF64" w:rsidR="00416A62" w:rsidRPr="00BB29A9" w:rsidRDefault="000656DE" w:rsidP="00416A62">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En el punto resolutivo </w:t>
      </w:r>
      <w:r w:rsidR="00F30B38" w:rsidRPr="00BB29A9">
        <w:rPr>
          <w:rFonts w:ascii="Verdana" w:hAnsi="Verdana"/>
          <w:sz w:val="20"/>
          <w:szCs w:val="20"/>
        </w:rPr>
        <w:t>séptimo</w:t>
      </w:r>
      <w:r w:rsidRPr="00BB29A9">
        <w:rPr>
          <w:rFonts w:ascii="Verdana" w:hAnsi="Verdana"/>
          <w:sz w:val="20"/>
          <w:szCs w:val="20"/>
        </w:rPr>
        <w:t xml:space="preserve"> y en los párrafos 1</w:t>
      </w:r>
      <w:r w:rsidR="00F30B38" w:rsidRPr="00BB29A9">
        <w:rPr>
          <w:rFonts w:ascii="Verdana" w:hAnsi="Verdana"/>
          <w:sz w:val="20"/>
          <w:szCs w:val="20"/>
        </w:rPr>
        <w:t>06 a 108</w:t>
      </w:r>
      <w:r w:rsidRPr="00BB29A9">
        <w:rPr>
          <w:rFonts w:ascii="Verdana" w:hAnsi="Verdana"/>
          <w:sz w:val="20"/>
          <w:szCs w:val="20"/>
        </w:rPr>
        <w:t xml:space="preserve"> y 117 de la Sentencia, la Corte dispuso que el Estado deb</w:t>
      </w:r>
      <w:r w:rsidR="003F0DC6" w:rsidRPr="00BB29A9">
        <w:rPr>
          <w:rFonts w:ascii="Verdana" w:hAnsi="Verdana"/>
          <w:sz w:val="20"/>
          <w:szCs w:val="20"/>
        </w:rPr>
        <w:t>e</w:t>
      </w:r>
      <w:r w:rsidRPr="00BB29A9">
        <w:rPr>
          <w:rFonts w:ascii="Verdana" w:hAnsi="Verdana"/>
          <w:sz w:val="20"/>
          <w:szCs w:val="20"/>
        </w:rPr>
        <w:t xml:space="preserve"> “</w:t>
      </w:r>
      <w:r w:rsidR="00F30B38" w:rsidRPr="00BB29A9">
        <w:rPr>
          <w:rFonts w:ascii="Verdana" w:hAnsi="Verdana"/>
          <w:sz w:val="20"/>
          <w:szCs w:val="20"/>
        </w:rPr>
        <w:t xml:space="preserve">brindar gratuitamente, a través de sus instituciones de salud especializadas, el tratamiento médico que requieran las víctimas incluyendo, </w:t>
      </w:r>
      <w:r w:rsidR="00F30B38" w:rsidRPr="00BB29A9">
        <w:rPr>
          <w:rFonts w:ascii="Verdana" w:hAnsi="Verdana"/>
          <w:i/>
          <w:sz w:val="20"/>
          <w:szCs w:val="20"/>
        </w:rPr>
        <w:t xml:space="preserve">inter </w:t>
      </w:r>
      <w:proofErr w:type="spellStart"/>
      <w:r w:rsidR="00F30B38" w:rsidRPr="00BB29A9">
        <w:rPr>
          <w:rFonts w:ascii="Verdana" w:hAnsi="Verdana"/>
          <w:i/>
          <w:sz w:val="20"/>
          <w:szCs w:val="20"/>
        </w:rPr>
        <w:t>alia</w:t>
      </w:r>
      <w:proofErr w:type="spellEnd"/>
      <w:r w:rsidR="00F30B38" w:rsidRPr="00BB29A9">
        <w:rPr>
          <w:rFonts w:ascii="Verdana" w:hAnsi="Verdana"/>
          <w:i/>
          <w:sz w:val="20"/>
          <w:szCs w:val="20"/>
        </w:rPr>
        <w:t>,</w:t>
      </w:r>
      <w:r w:rsidR="00F30B38" w:rsidRPr="00BB29A9">
        <w:rPr>
          <w:rFonts w:ascii="Verdana" w:hAnsi="Verdana"/>
          <w:sz w:val="20"/>
          <w:szCs w:val="20"/>
        </w:rPr>
        <w:t xml:space="preserve"> los medicamentos que puedan ser necesarios. Asimismo, el Estado </w:t>
      </w:r>
      <w:r w:rsidR="003F0DC6" w:rsidRPr="00BB29A9">
        <w:rPr>
          <w:rFonts w:ascii="Verdana" w:hAnsi="Verdana"/>
          <w:sz w:val="20"/>
          <w:szCs w:val="20"/>
        </w:rPr>
        <w:t>debe</w:t>
      </w:r>
      <w:r w:rsidR="00F30B38" w:rsidRPr="00BB29A9">
        <w:rPr>
          <w:rFonts w:ascii="Verdana" w:hAnsi="Verdana"/>
          <w:sz w:val="20"/>
          <w:szCs w:val="20"/>
        </w:rPr>
        <w:t xml:space="preserve"> crear un programa especializado de tratamiento psicológico y</w:t>
      </w:r>
      <w:r w:rsidR="003F0DC6" w:rsidRPr="00BB29A9">
        <w:rPr>
          <w:rFonts w:ascii="Verdana" w:hAnsi="Verdana"/>
          <w:sz w:val="20"/>
          <w:szCs w:val="20"/>
        </w:rPr>
        <w:t xml:space="preserve"> psiquiátrico, el cual también debe</w:t>
      </w:r>
      <w:r w:rsidR="00F30B38" w:rsidRPr="00BB29A9">
        <w:rPr>
          <w:rFonts w:ascii="Verdana" w:hAnsi="Verdana"/>
          <w:sz w:val="20"/>
          <w:szCs w:val="20"/>
        </w:rPr>
        <w:t xml:space="preserve"> ser brindado en forma gratuita</w:t>
      </w:r>
      <w:r w:rsidR="00416A62" w:rsidRPr="00BB29A9">
        <w:rPr>
          <w:rFonts w:ascii="Verdana" w:hAnsi="Verdana"/>
          <w:sz w:val="20"/>
          <w:szCs w:val="20"/>
        </w:rPr>
        <w:t>.</w:t>
      </w:r>
      <w:r w:rsidR="00903D73">
        <w:rPr>
          <w:rFonts w:ascii="Verdana" w:hAnsi="Verdana"/>
          <w:sz w:val="20"/>
          <w:szCs w:val="20"/>
        </w:rPr>
        <w:t xml:space="preserve"> </w:t>
      </w:r>
      <w:r w:rsidR="00416A62" w:rsidRPr="00BB29A9">
        <w:rPr>
          <w:rFonts w:ascii="Verdana" w:hAnsi="Verdana"/>
          <w:sz w:val="20"/>
          <w:szCs w:val="20"/>
        </w:rPr>
        <w:t>Al proveer el tratamiento psicológico y psiquiátrico se deben considerar las circunstancias particulares de cada persona, las necesidades de cada una de ellas, de manera que se les brinden tratamientos colectivos, familiares e individuales. Dicho tratamiento debe desarrollarse después de una evaluación individual, según lo que se acuerde con cada una de ellas. Para estos efectos, el Estado debe crear un comité que evalúe la condición física y psíquica de las víctimas, así como las medidas que respecto de cada una habría que tomar. En este comité deberá tener una participación activa la organización no gubernamental Equipo de Estudios Comunitarios de Acción Psicosocial, y en el caso de que ésta no consienta o no se encuentre en condiciones de asumir la tarea, el Estado deberá identificar otra organización no gubernamental con experiencia en tratamiento de víctimas que pueda reemplazarla”.</w:t>
      </w:r>
    </w:p>
    <w:p w14:paraId="318E4FDE" w14:textId="77777777" w:rsidR="0022081A" w:rsidRPr="00BB29A9" w:rsidRDefault="0022081A" w:rsidP="00874A38">
      <w:pPr>
        <w:pStyle w:val="Prrafodelista"/>
        <w:numPr>
          <w:ilvl w:val="0"/>
          <w:numId w:val="14"/>
        </w:numPr>
        <w:spacing w:before="120" w:after="120" w:line="240" w:lineRule="auto"/>
        <w:ind w:left="0" w:firstLine="0"/>
        <w:contextualSpacing w:val="0"/>
        <w:jc w:val="both"/>
        <w:rPr>
          <w:rFonts w:ascii="Verdana" w:hAnsi="Verdana"/>
          <w:i/>
          <w:sz w:val="20"/>
          <w:szCs w:val="20"/>
        </w:rPr>
      </w:pPr>
      <w:r w:rsidRPr="00BB29A9">
        <w:rPr>
          <w:rFonts w:ascii="Verdana" w:hAnsi="Verdana"/>
          <w:sz w:val="20"/>
          <w:szCs w:val="20"/>
        </w:rPr>
        <w:t xml:space="preserve">En la Resolución de 21 de febrero de 2011 </w:t>
      </w:r>
      <w:r w:rsidR="00874A38" w:rsidRPr="00BB29A9">
        <w:rPr>
          <w:rFonts w:ascii="Verdana" w:hAnsi="Verdana"/>
          <w:sz w:val="20"/>
          <w:szCs w:val="20"/>
        </w:rPr>
        <w:t>y debido a que el Estado no informó de manera específica sobre la implementación de la medida a favor de las víctimas del caso,</w:t>
      </w:r>
      <w:r w:rsidR="00874A38" w:rsidRPr="00BB29A9">
        <w:rPr>
          <w:rFonts w:ascii="Verdana" w:hAnsi="Verdana"/>
          <w:i/>
          <w:sz w:val="20"/>
          <w:szCs w:val="20"/>
        </w:rPr>
        <w:t xml:space="preserve"> </w:t>
      </w:r>
      <w:r w:rsidRPr="00BB29A9">
        <w:rPr>
          <w:rFonts w:ascii="Verdana" w:hAnsi="Verdana"/>
          <w:sz w:val="20"/>
          <w:szCs w:val="20"/>
        </w:rPr>
        <w:t xml:space="preserve">la Corte solicitó a Guatemala presentar información relativa al cumplimiento de la </w:t>
      </w:r>
      <w:r w:rsidR="00DC0A3D" w:rsidRPr="00BB29A9">
        <w:rPr>
          <w:rFonts w:ascii="Verdana" w:hAnsi="Verdana"/>
          <w:sz w:val="20"/>
          <w:szCs w:val="20"/>
        </w:rPr>
        <w:t>reparación</w:t>
      </w:r>
      <w:r w:rsidRPr="00BB29A9">
        <w:rPr>
          <w:rFonts w:ascii="Verdana" w:hAnsi="Verdana"/>
          <w:sz w:val="20"/>
          <w:szCs w:val="20"/>
        </w:rPr>
        <w:t>, debiendo incluir información sobre: a) los nombres de las personas beneficiarias de la atención médica</w:t>
      </w:r>
      <w:r w:rsidR="00874A38" w:rsidRPr="00BB29A9">
        <w:rPr>
          <w:rFonts w:ascii="Verdana" w:hAnsi="Verdana"/>
          <w:sz w:val="20"/>
          <w:szCs w:val="20"/>
        </w:rPr>
        <w:t xml:space="preserve"> y</w:t>
      </w:r>
      <w:r w:rsidRPr="00BB29A9">
        <w:rPr>
          <w:rFonts w:ascii="Verdana" w:hAnsi="Verdana"/>
          <w:sz w:val="20"/>
          <w:szCs w:val="20"/>
        </w:rPr>
        <w:t xml:space="preserve"> psicológica; b) cómo ha implementado la entrega gratuita de medicamentos; c) los avances en la creación de un programa especializado de tratamiento psicológico y psiquiátrico, considerando las circunstancias particulares y </w:t>
      </w:r>
      <w:r w:rsidRPr="00BB29A9">
        <w:rPr>
          <w:rFonts w:ascii="Verdana" w:hAnsi="Verdana"/>
          <w:sz w:val="20"/>
          <w:szCs w:val="20"/>
        </w:rPr>
        <w:lastRenderedPageBreak/>
        <w:t>necesidades de cada persona; y d) las acciones realizadas para reanudar, en el caso de que no esté funcionando, el trabajo del Comité de Evaluación de la Condición Física y Psíquica de las Víctimas</w:t>
      </w:r>
      <w:r w:rsidRPr="00BB29A9">
        <w:rPr>
          <w:rStyle w:val="Refdenotaalpie"/>
          <w:rFonts w:ascii="Verdana" w:hAnsi="Verdana"/>
          <w:sz w:val="20"/>
          <w:szCs w:val="20"/>
        </w:rPr>
        <w:footnoteReference w:id="20"/>
      </w:r>
      <w:r w:rsidRPr="00BB29A9">
        <w:rPr>
          <w:rFonts w:ascii="Verdana" w:hAnsi="Verdana"/>
          <w:sz w:val="20"/>
          <w:szCs w:val="20"/>
        </w:rPr>
        <w:t xml:space="preserve">. </w:t>
      </w:r>
    </w:p>
    <w:p w14:paraId="3B9AD862" w14:textId="77777777" w:rsidR="00F71E2F" w:rsidRPr="00BB29A9" w:rsidRDefault="00890922" w:rsidP="0022081A">
      <w:pPr>
        <w:spacing w:before="120" w:after="120" w:line="240" w:lineRule="auto"/>
        <w:ind w:firstLine="708"/>
        <w:rPr>
          <w:rFonts w:ascii="Verdana" w:hAnsi="Verdana"/>
          <w:i/>
          <w:sz w:val="20"/>
          <w:szCs w:val="20"/>
        </w:rPr>
      </w:pPr>
      <w:r w:rsidRPr="00BB29A9">
        <w:rPr>
          <w:rFonts w:ascii="Verdana" w:hAnsi="Verdana"/>
          <w:i/>
          <w:sz w:val="20"/>
          <w:szCs w:val="20"/>
        </w:rPr>
        <w:t xml:space="preserve">B.2. </w:t>
      </w:r>
      <w:r w:rsidR="00235065" w:rsidRPr="00BB29A9">
        <w:rPr>
          <w:rFonts w:ascii="Verdana" w:hAnsi="Verdana"/>
          <w:i/>
          <w:sz w:val="20"/>
          <w:szCs w:val="20"/>
        </w:rPr>
        <w:t>Consideraciones de la Corte</w:t>
      </w:r>
    </w:p>
    <w:p w14:paraId="3E6BEE2F" w14:textId="77777777" w:rsidR="00852D7A" w:rsidRPr="00BB29A9" w:rsidRDefault="009A7898" w:rsidP="00852D7A">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Con posterioridad a la referida Resolución, los representantes se </w:t>
      </w:r>
      <w:r w:rsidR="00C40935" w:rsidRPr="00BB29A9">
        <w:rPr>
          <w:rFonts w:ascii="Verdana" w:hAnsi="Verdana"/>
          <w:sz w:val="20"/>
          <w:szCs w:val="20"/>
        </w:rPr>
        <w:t>refirieron</w:t>
      </w:r>
      <w:r w:rsidRPr="00BB29A9">
        <w:rPr>
          <w:rFonts w:ascii="Verdana" w:hAnsi="Verdana"/>
          <w:sz w:val="20"/>
          <w:szCs w:val="20"/>
        </w:rPr>
        <w:t xml:space="preserve"> a deficiencias que presentaría la atención médica</w:t>
      </w:r>
      <w:r w:rsidR="0028704D" w:rsidRPr="00BB29A9">
        <w:rPr>
          <w:rFonts w:ascii="Verdana" w:hAnsi="Verdana"/>
          <w:sz w:val="20"/>
          <w:szCs w:val="20"/>
        </w:rPr>
        <w:t>,</w:t>
      </w:r>
      <w:r w:rsidRPr="00BB29A9">
        <w:rPr>
          <w:rFonts w:ascii="Verdana" w:hAnsi="Verdana"/>
          <w:sz w:val="20"/>
          <w:szCs w:val="20"/>
        </w:rPr>
        <w:t xml:space="preserve"> psicológica</w:t>
      </w:r>
      <w:r w:rsidR="0028704D" w:rsidRPr="00BB29A9">
        <w:rPr>
          <w:rFonts w:ascii="Verdana" w:hAnsi="Verdana"/>
          <w:sz w:val="20"/>
          <w:szCs w:val="20"/>
        </w:rPr>
        <w:t xml:space="preserve"> y psiquiátrica</w:t>
      </w:r>
      <w:r w:rsidR="00C40935" w:rsidRPr="00BB29A9">
        <w:rPr>
          <w:rStyle w:val="Refdenotaalpie"/>
          <w:rFonts w:ascii="Verdana" w:hAnsi="Verdana"/>
          <w:sz w:val="20"/>
          <w:szCs w:val="20"/>
        </w:rPr>
        <w:footnoteReference w:id="21"/>
      </w:r>
      <w:r w:rsidRPr="00BB29A9">
        <w:rPr>
          <w:rFonts w:ascii="Verdana" w:hAnsi="Verdana"/>
          <w:sz w:val="20"/>
          <w:szCs w:val="20"/>
        </w:rPr>
        <w:t xml:space="preserve">. </w:t>
      </w:r>
      <w:r w:rsidR="00C40935" w:rsidRPr="00BB29A9">
        <w:rPr>
          <w:rFonts w:ascii="Verdana" w:hAnsi="Verdana"/>
          <w:sz w:val="20"/>
          <w:szCs w:val="20"/>
        </w:rPr>
        <w:t>En mayo de 2013,</w:t>
      </w:r>
      <w:r w:rsidR="00202F6A" w:rsidRPr="00BB29A9">
        <w:rPr>
          <w:rFonts w:ascii="Verdana" w:hAnsi="Verdana"/>
          <w:sz w:val="20"/>
          <w:szCs w:val="20"/>
        </w:rPr>
        <w:t xml:space="preserve"> indicaron que los beneficiarios de la reparación “no han recibido desde hace años la visita de médicos especialistas que les brinden tratamiento psicológico y psiquiátrico”, “no ex</w:t>
      </w:r>
      <w:r w:rsidR="0028704D" w:rsidRPr="00BB29A9">
        <w:rPr>
          <w:rFonts w:ascii="Verdana" w:hAnsi="Verdana"/>
          <w:sz w:val="20"/>
          <w:szCs w:val="20"/>
        </w:rPr>
        <w:t>iste un programa especializado”</w:t>
      </w:r>
      <w:r w:rsidR="00202F6A" w:rsidRPr="00BB29A9">
        <w:rPr>
          <w:rFonts w:ascii="Verdana" w:hAnsi="Verdana"/>
          <w:sz w:val="20"/>
          <w:szCs w:val="20"/>
        </w:rPr>
        <w:t xml:space="preserve"> y “en los centros de salud tampoco se les brindan las medicinas gratuitas (porque no las hay)”. En octubre de 2016</w:t>
      </w:r>
      <w:r w:rsidRPr="00BB29A9">
        <w:rPr>
          <w:rFonts w:ascii="Verdana" w:hAnsi="Verdana"/>
          <w:sz w:val="20"/>
          <w:szCs w:val="20"/>
        </w:rPr>
        <w:t>,</w:t>
      </w:r>
      <w:r w:rsidR="00202F6A" w:rsidRPr="00BB29A9">
        <w:rPr>
          <w:rFonts w:ascii="Verdana" w:hAnsi="Verdana"/>
          <w:sz w:val="20"/>
          <w:szCs w:val="20"/>
        </w:rPr>
        <w:t xml:space="preserve"> aclararon que el Comité de Evaluación de la Condición Física y Psíquica de las Víctimas “dejó de funcionar desde hace más de 8 años”. En </w:t>
      </w:r>
      <w:r w:rsidRPr="00BB29A9">
        <w:rPr>
          <w:rFonts w:ascii="Verdana" w:hAnsi="Verdana"/>
          <w:sz w:val="20"/>
          <w:szCs w:val="20"/>
        </w:rPr>
        <w:t>mayo de 2017</w:t>
      </w:r>
      <w:r w:rsidR="00852D7A" w:rsidRPr="00BB29A9">
        <w:rPr>
          <w:rFonts w:ascii="Verdana" w:hAnsi="Verdana"/>
          <w:sz w:val="20"/>
          <w:szCs w:val="20"/>
        </w:rPr>
        <w:t>,</w:t>
      </w:r>
      <w:r w:rsidRPr="00BB29A9">
        <w:rPr>
          <w:rFonts w:ascii="Verdana" w:hAnsi="Verdana"/>
          <w:sz w:val="20"/>
          <w:szCs w:val="20"/>
        </w:rPr>
        <w:t xml:space="preserve"> </w:t>
      </w:r>
      <w:r w:rsidR="00C40935" w:rsidRPr="00BB29A9">
        <w:rPr>
          <w:rFonts w:ascii="Verdana" w:hAnsi="Verdana"/>
          <w:sz w:val="20"/>
          <w:szCs w:val="20"/>
        </w:rPr>
        <w:t>señalaron</w:t>
      </w:r>
      <w:r w:rsidR="00202F6A" w:rsidRPr="00BB29A9">
        <w:rPr>
          <w:rFonts w:ascii="Verdana" w:hAnsi="Verdana"/>
          <w:sz w:val="20"/>
          <w:szCs w:val="20"/>
        </w:rPr>
        <w:t xml:space="preserve"> que los servicios y programas de salud que se brindan en el </w:t>
      </w:r>
      <w:r w:rsidRPr="00BB29A9">
        <w:rPr>
          <w:rFonts w:ascii="Verdana" w:hAnsi="Verdana"/>
          <w:sz w:val="20"/>
          <w:szCs w:val="20"/>
        </w:rPr>
        <w:t>P</w:t>
      </w:r>
      <w:r w:rsidR="00202F6A" w:rsidRPr="00BB29A9">
        <w:rPr>
          <w:rFonts w:ascii="Verdana" w:hAnsi="Verdana"/>
          <w:sz w:val="20"/>
          <w:szCs w:val="20"/>
        </w:rPr>
        <w:t xml:space="preserve">uesto de </w:t>
      </w:r>
      <w:r w:rsidRPr="00BB29A9">
        <w:rPr>
          <w:rFonts w:ascii="Verdana" w:hAnsi="Verdana"/>
          <w:sz w:val="20"/>
          <w:szCs w:val="20"/>
        </w:rPr>
        <w:t>S</w:t>
      </w:r>
      <w:r w:rsidR="00202F6A" w:rsidRPr="00BB29A9">
        <w:rPr>
          <w:rFonts w:ascii="Verdana" w:hAnsi="Verdana"/>
          <w:sz w:val="20"/>
          <w:szCs w:val="20"/>
        </w:rPr>
        <w:t>alud a la Comunidad de Plan de Sánchez “son de carácter general y una obligación constitucional del Estado para toda la población guatemalteca, por lo que no co</w:t>
      </w:r>
      <w:r w:rsidRPr="00BB29A9">
        <w:rPr>
          <w:rFonts w:ascii="Verdana" w:hAnsi="Verdana"/>
          <w:sz w:val="20"/>
          <w:szCs w:val="20"/>
        </w:rPr>
        <w:t xml:space="preserve">nstituyen un cumplimiento de la </w:t>
      </w:r>
      <w:r w:rsidR="00202F6A" w:rsidRPr="00BB29A9">
        <w:rPr>
          <w:rFonts w:ascii="Verdana" w:hAnsi="Verdana"/>
          <w:sz w:val="20"/>
          <w:szCs w:val="20"/>
        </w:rPr>
        <w:t>medida de reparación</w:t>
      </w:r>
      <w:r w:rsidR="00C40935" w:rsidRPr="00BB29A9">
        <w:rPr>
          <w:rFonts w:ascii="Verdana" w:hAnsi="Verdana"/>
          <w:sz w:val="20"/>
          <w:szCs w:val="20"/>
        </w:rPr>
        <w:t>”.</w:t>
      </w:r>
      <w:r w:rsidR="00852D7A" w:rsidRPr="00BB29A9">
        <w:rPr>
          <w:rFonts w:ascii="Verdana" w:hAnsi="Verdana"/>
          <w:sz w:val="20"/>
          <w:szCs w:val="20"/>
        </w:rPr>
        <w:t xml:space="preserve"> En </w:t>
      </w:r>
      <w:r w:rsidR="00852D7A" w:rsidRPr="00BB29A9">
        <w:rPr>
          <w:rFonts w:ascii="Verdana" w:hAnsi="Verdana"/>
          <w:sz w:val="20"/>
          <w:szCs w:val="20"/>
          <w:lang w:val="es-MX"/>
        </w:rPr>
        <w:t>febrero de 2021, sostuvieron que en dicho Puesto “no existen medicamentos para enfermedades más graves”, ni “personal para atender emergencias”, y si bien las comunidades Joya</w:t>
      </w:r>
      <w:r w:rsidR="00852D7A" w:rsidRPr="00BB29A9">
        <w:rPr>
          <w:rFonts w:ascii="Verdana" w:hAnsi="Verdana"/>
          <w:sz w:val="20"/>
          <w:szCs w:val="20"/>
        </w:rPr>
        <w:t xml:space="preserve"> de Ramos, </w:t>
      </w:r>
      <w:proofErr w:type="spellStart"/>
      <w:r w:rsidR="00852D7A" w:rsidRPr="00BB29A9">
        <w:rPr>
          <w:rFonts w:ascii="Verdana" w:hAnsi="Verdana"/>
          <w:sz w:val="20"/>
          <w:szCs w:val="20"/>
        </w:rPr>
        <w:t>Concul</w:t>
      </w:r>
      <w:proofErr w:type="spellEnd"/>
      <w:r w:rsidR="00852D7A" w:rsidRPr="00BB29A9">
        <w:rPr>
          <w:rFonts w:ascii="Verdana" w:hAnsi="Verdana"/>
          <w:sz w:val="20"/>
          <w:szCs w:val="20"/>
        </w:rPr>
        <w:t xml:space="preserve">, Plan de Sánchez, Ixchel y </w:t>
      </w:r>
      <w:proofErr w:type="spellStart"/>
      <w:r w:rsidR="00852D7A" w:rsidRPr="00BB29A9">
        <w:rPr>
          <w:rFonts w:ascii="Verdana" w:hAnsi="Verdana"/>
          <w:sz w:val="20"/>
          <w:szCs w:val="20"/>
        </w:rPr>
        <w:t>Chipuerta</w:t>
      </w:r>
      <w:proofErr w:type="spellEnd"/>
      <w:r w:rsidR="00852D7A" w:rsidRPr="00BB29A9">
        <w:rPr>
          <w:rFonts w:ascii="Verdana" w:hAnsi="Verdana"/>
          <w:sz w:val="20"/>
          <w:szCs w:val="20"/>
        </w:rPr>
        <w:t xml:space="preserve"> recibieron atención psicológica, a estas se les “</w:t>
      </w:r>
      <w:proofErr w:type="spellStart"/>
      <w:r w:rsidR="00852D7A" w:rsidRPr="00BB29A9">
        <w:rPr>
          <w:rFonts w:ascii="Verdana" w:hAnsi="Verdana"/>
          <w:sz w:val="20"/>
          <w:szCs w:val="20"/>
        </w:rPr>
        <w:t>abandon</w:t>
      </w:r>
      <w:proofErr w:type="spellEnd"/>
      <w:r w:rsidR="00852D7A" w:rsidRPr="00BB29A9">
        <w:rPr>
          <w:rFonts w:ascii="Verdana" w:hAnsi="Verdana"/>
          <w:sz w:val="20"/>
          <w:szCs w:val="20"/>
        </w:rPr>
        <w:t>[</w:t>
      </w:r>
      <w:proofErr w:type="spellStart"/>
      <w:r w:rsidR="00852D7A" w:rsidRPr="00BB29A9">
        <w:rPr>
          <w:rFonts w:ascii="Verdana" w:hAnsi="Verdana"/>
          <w:sz w:val="20"/>
          <w:szCs w:val="20"/>
        </w:rPr>
        <w:t>ó</w:t>
      </w:r>
      <w:proofErr w:type="spellEnd"/>
      <w:r w:rsidR="00852D7A" w:rsidRPr="00BB29A9">
        <w:rPr>
          <w:rFonts w:ascii="Verdana" w:hAnsi="Verdana"/>
          <w:sz w:val="20"/>
          <w:szCs w:val="20"/>
        </w:rPr>
        <w:t>]” hace más de cuatro años.</w:t>
      </w:r>
    </w:p>
    <w:p w14:paraId="4D9D5EF5" w14:textId="10F08026" w:rsidR="00526295" w:rsidRPr="00BB29A9" w:rsidRDefault="00C40935" w:rsidP="00EC0786">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La Corte valora que en abril de 2017 y diciembre de 2020 el Estado presentara información actualizada sobre </w:t>
      </w:r>
      <w:r w:rsidR="00852D7A" w:rsidRPr="00BB29A9">
        <w:rPr>
          <w:rFonts w:ascii="Verdana" w:hAnsi="Verdana"/>
          <w:sz w:val="20"/>
          <w:szCs w:val="20"/>
        </w:rPr>
        <w:t xml:space="preserve">una gran parte de </w:t>
      </w:r>
      <w:r w:rsidRPr="00BB29A9">
        <w:rPr>
          <w:rFonts w:ascii="Verdana" w:hAnsi="Verdana"/>
          <w:sz w:val="20"/>
          <w:szCs w:val="20"/>
        </w:rPr>
        <w:t>los aspectos mencionados por los representantes</w:t>
      </w:r>
      <w:r w:rsidR="00852D7A" w:rsidRPr="00BB29A9">
        <w:rPr>
          <w:rStyle w:val="Refdenotaalpie"/>
          <w:rFonts w:ascii="Verdana" w:hAnsi="Verdana"/>
          <w:sz w:val="20"/>
          <w:szCs w:val="20"/>
        </w:rPr>
        <w:footnoteReference w:id="22"/>
      </w:r>
      <w:r w:rsidRPr="00BB29A9">
        <w:rPr>
          <w:rFonts w:ascii="Verdana" w:hAnsi="Verdana"/>
          <w:sz w:val="20"/>
          <w:szCs w:val="20"/>
        </w:rPr>
        <w:t xml:space="preserve">. </w:t>
      </w:r>
      <w:r w:rsidR="001710CD" w:rsidRPr="00BB29A9">
        <w:rPr>
          <w:rFonts w:ascii="Verdana" w:hAnsi="Verdana"/>
          <w:sz w:val="20"/>
          <w:szCs w:val="20"/>
        </w:rPr>
        <w:t xml:space="preserve">En particular, </w:t>
      </w:r>
      <w:r w:rsidR="0028704D" w:rsidRPr="00BB29A9">
        <w:rPr>
          <w:rFonts w:ascii="Verdana" w:hAnsi="Verdana"/>
          <w:sz w:val="20"/>
          <w:szCs w:val="20"/>
        </w:rPr>
        <w:t xml:space="preserve">este Tribunal </w:t>
      </w:r>
      <w:r w:rsidRPr="00BB29A9">
        <w:rPr>
          <w:rFonts w:ascii="Verdana" w:hAnsi="Verdana"/>
          <w:sz w:val="20"/>
          <w:szCs w:val="20"/>
        </w:rPr>
        <w:t>considera positivo que</w:t>
      </w:r>
      <w:r w:rsidR="00BA2A9D">
        <w:rPr>
          <w:rFonts w:ascii="Verdana" w:hAnsi="Verdana"/>
          <w:sz w:val="20"/>
          <w:szCs w:val="20"/>
        </w:rPr>
        <w:t>, según indicó el Estado:</w:t>
      </w:r>
      <w:r w:rsidR="006B6935" w:rsidRPr="00BB29A9">
        <w:rPr>
          <w:rFonts w:ascii="Verdana" w:hAnsi="Verdana"/>
          <w:sz w:val="20"/>
          <w:szCs w:val="20"/>
        </w:rPr>
        <w:t xml:space="preserve"> (a)</w:t>
      </w:r>
      <w:r w:rsidRPr="00BB29A9">
        <w:rPr>
          <w:rFonts w:ascii="Verdana" w:hAnsi="Verdana"/>
          <w:sz w:val="20"/>
          <w:szCs w:val="20"/>
        </w:rPr>
        <w:t xml:space="preserve"> la Aldea de Plan de Sánchez cuent</w:t>
      </w:r>
      <w:r w:rsidR="004A53D4">
        <w:rPr>
          <w:rFonts w:ascii="Verdana" w:hAnsi="Verdana"/>
          <w:sz w:val="20"/>
          <w:szCs w:val="20"/>
        </w:rPr>
        <w:t>a</w:t>
      </w:r>
      <w:r w:rsidRPr="00BB29A9">
        <w:rPr>
          <w:rFonts w:ascii="Verdana" w:hAnsi="Verdana"/>
          <w:sz w:val="20"/>
          <w:szCs w:val="20"/>
        </w:rPr>
        <w:t xml:space="preserve"> con un Puesto de Salud </w:t>
      </w:r>
      <w:r w:rsidR="001710CD" w:rsidRPr="00BB29A9">
        <w:rPr>
          <w:rFonts w:ascii="Verdana" w:hAnsi="Verdana"/>
          <w:sz w:val="20"/>
          <w:szCs w:val="20"/>
        </w:rPr>
        <w:t xml:space="preserve">que brinda servicios médicos a la comunidad, el cual también </w:t>
      </w:r>
      <w:r w:rsidRPr="00BB29A9">
        <w:rPr>
          <w:rFonts w:ascii="Verdana" w:hAnsi="Verdana"/>
          <w:sz w:val="20"/>
          <w:szCs w:val="20"/>
        </w:rPr>
        <w:t>“es atendido por una psicóloga y dos auxiliares de enfermería en horario de atención de lunes a viernes de 7:00 am a 15:30 pm”</w:t>
      </w:r>
      <w:r w:rsidR="001710CD" w:rsidRPr="00BB29A9">
        <w:rPr>
          <w:rFonts w:ascii="Verdana" w:hAnsi="Verdana"/>
          <w:sz w:val="20"/>
          <w:szCs w:val="20"/>
        </w:rPr>
        <w:t>, y que las “falencias” que presentaría</w:t>
      </w:r>
      <w:r w:rsidR="006B6935" w:rsidRPr="00BB29A9">
        <w:rPr>
          <w:rFonts w:ascii="Verdana" w:hAnsi="Verdana"/>
          <w:sz w:val="20"/>
          <w:szCs w:val="20"/>
        </w:rPr>
        <w:t xml:space="preserve"> dicho </w:t>
      </w:r>
      <w:r w:rsidR="008B2C9E" w:rsidRPr="00BB29A9">
        <w:rPr>
          <w:rFonts w:ascii="Verdana" w:hAnsi="Verdana"/>
          <w:sz w:val="20"/>
          <w:szCs w:val="20"/>
        </w:rPr>
        <w:t>p</w:t>
      </w:r>
      <w:r w:rsidR="006B6935" w:rsidRPr="00BB29A9">
        <w:rPr>
          <w:rFonts w:ascii="Verdana" w:hAnsi="Verdana"/>
          <w:sz w:val="20"/>
          <w:szCs w:val="20"/>
        </w:rPr>
        <w:t>uesto</w:t>
      </w:r>
      <w:r w:rsidR="001710CD" w:rsidRPr="00BB29A9">
        <w:rPr>
          <w:rFonts w:ascii="Verdana" w:hAnsi="Verdana"/>
          <w:sz w:val="20"/>
          <w:szCs w:val="20"/>
        </w:rPr>
        <w:t xml:space="preserve"> serán tratadas “con las autoridades”</w:t>
      </w:r>
      <w:r w:rsidRPr="00BB29A9">
        <w:rPr>
          <w:rFonts w:ascii="Verdana" w:hAnsi="Verdana"/>
          <w:sz w:val="20"/>
          <w:szCs w:val="20"/>
        </w:rPr>
        <w:t xml:space="preserve">; </w:t>
      </w:r>
      <w:r w:rsidR="006B6935" w:rsidRPr="00BB29A9">
        <w:rPr>
          <w:rFonts w:ascii="Verdana" w:hAnsi="Verdana"/>
          <w:sz w:val="20"/>
          <w:szCs w:val="20"/>
        </w:rPr>
        <w:t xml:space="preserve">(b) </w:t>
      </w:r>
      <w:r w:rsidRPr="00BB29A9">
        <w:rPr>
          <w:rFonts w:ascii="Verdana" w:hAnsi="Verdana"/>
          <w:sz w:val="20"/>
          <w:szCs w:val="20"/>
        </w:rPr>
        <w:t xml:space="preserve">el 26 de agosto y 19 de noviembre de 2019 personal del Ministerio de Salud y Asistencia Social </w:t>
      </w:r>
      <w:r w:rsidR="008B2C9E" w:rsidRPr="00BB29A9">
        <w:rPr>
          <w:rFonts w:ascii="Verdana" w:hAnsi="Verdana"/>
          <w:sz w:val="20"/>
          <w:szCs w:val="20"/>
        </w:rPr>
        <w:t>brindó</w:t>
      </w:r>
      <w:r w:rsidRPr="00BB29A9">
        <w:rPr>
          <w:rFonts w:ascii="Verdana" w:hAnsi="Verdana"/>
          <w:sz w:val="20"/>
          <w:szCs w:val="20"/>
        </w:rPr>
        <w:t xml:space="preserve"> atención psicológica a cinco y seis personas, respectivamente, en e</w:t>
      </w:r>
      <w:r w:rsidR="00EC0786" w:rsidRPr="00BB29A9">
        <w:rPr>
          <w:rFonts w:ascii="Verdana" w:hAnsi="Verdana"/>
          <w:sz w:val="20"/>
          <w:szCs w:val="20"/>
        </w:rPr>
        <w:t xml:space="preserve">l Puesto de Salud de la Aldea </w:t>
      </w:r>
      <w:proofErr w:type="spellStart"/>
      <w:r w:rsidR="00EC0786" w:rsidRPr="00BB29A9">
        <w:rPr>
          <w:rFonts w:ascii="Verdana" w:hAnsi="Verdana"/>
          <w:sz w:val="20"/>
          <w:szCs w:val="20"/>
        </w:rPr>
        <w:t>Co</w:t>
      </w:r>
      <w:r w:rsidRPr="00BB29A9">
        <w:rPr>
          <w:rFonts w:ascii="Verdana" w:hAnsi="Verdana"/>
          <w:sz w:val="20"/>
          <w:szCs w:val="20"/>
        </w:rPr>
        <w:t>ncul</w:t>
      </w:r>
      <w:proofErr w:type="spellEnd"/>
      <w:r w:rsidRPr="00BB29A9">
        <w:rPr>
          <w:rFonts w:ascii="Verdana" w:hAnsi="Verdana"/>
          <w:sz w:val="20"/>
          <w:szCs w:val="20"/>
        </w:rPr>
        <w:t xml:space="preserve">; </w:t>
      </w:r>
      <w:r w:rsidR="006B6935" w:rsidRPr="00BB29A9">
        <w:rPr>
          <w:rFonts w:ascii="Verdana" w:hAnsi="Verdana"/>
          <w:sz w:val="20"/>
          <w:szCs w:val="20"/>
        </w:rPr>
        <w:t>(c)</w:t>
      </w:r>
      <w:r w:rsidRPr="00BB29A9">
        <w:rPr>
          <w:rFonts w:ascii="Verdana" w:hAnsi="Verdana"/>
          <w:sz w:val="20"/>
          <w:szCs w:val="20"/>
        </w:rPr>
        <w:t xml:space="preserve"> el 29 de enero de 2020 dicho Ministerio impartió un taller sobre salud mental y autocuidado a 27 personas en la Aldea Plan de Sánchez</w:t>
      </w:r>
      <w:r w:rsidR="009E1BD2" w:rsidRPr="00BB29A9">
        <w:rPr>
          <w:rFonts w:ascii="Verdana" w:hAnsi="Verdana"/>
          <w:sz w:val="20"/>
          <w:szCs w:val="20"/>
        </w:rPr>
        <w:t xml:space="preserve">; y (d) </w:t>
      </w:r>
      <w:r w:rsidRPr="00BB29A9">
        <w:rPr>
          <w:rFonts w:ascii="Verdana" w:hAnsi="Verdana"/>
          <w:sz w:val="20"/>
          <w:szCs w:val="20"/>
          <w:lang w:val="es-MX"/>
        </w:rPr>
        <w:t xml:space="preserve">el </w:t>
      </w:r>
      <w:r w:rsidR="00EC0786" w:rsidRPr="00BB29A9">
        <w:rPr>
          <w:rFonts w:ascii="Verdana" w:hAnsi="Verdana"/>
          <w:sz w:val="20"/>
          <w:szCs w:val="20"/>
          <w:lang w:val="es-MX"/>
        </w:rPr>
        <w:t>establecimiento de salud</w:t>
      </w:r>
      <w:r w:rsidRPr="00BB29A9">
        <w:rPr>
          <w:rFonts w:ascii="Verdana" w:hAnsi="Verdana"/>
          <w:sz w:val="20"/>
          <w:szCs w:val="20"/>
          <w:lang w:val="es-MX"/>
        </w:rPr>
        <w:t xml:space="preserve"> </w:t>
      </w:r>
      <w:r w:rsidR="0028704D" w:rsidRPr="00BB29A9">
        <w:rPr>
          <w:rFonts w:ascii="Verdana" w:hAnsi="Verdana"/>
          <w:sz w:val="20"/>
          <w:szCs w:val="20"/>
          <w:lang w:val="es-MX"/>
        </w:rPr>
        <w:t xml:space="preserve">más cercano a las comunidades </w:t>
      </w:r>
      <w:r w:rsidR="00EC0786" w:rsidRPr="00BB29A9">
        <w:rPr>
          <w:rFonts w:ascii="Verdana" w:hAnsi="Verdana"/>
          <w:sz w:val="20"/>
          <w:szCs w:val="20"/>
          <w:lang w:val="es-MX"/>
        </w:rPr>
        <w:t>que proporciona servicios de consulta médica especializada es</w:t>
      </w:r>
      <w:r w:rsidRPr="00BB29A9">
        <w:rPr>
          <w:rFonts w:ascii="Verdana" w:hAnsi="Verdana"/>
          <w:sz w:val="20"/>
          <w:szCs w:val="20"/>
          <w:lang w:val="es-MX"/>
        </w:rPr>
        <w:t xml:space="preserve"> el Centro de Atención Permanente del Municipio de Rabinal Baja Verapaz, el cual tiene establecido el </w:t>
      </w:r>
      <w:r w:rsidR="009E1BD2" w:rsidRPr="00BB29A9">
        <w:rPr>
          <w:rFonts w:ascii="Verdana" w:hAnsi="Verdana"/>
          <w:sz w:val="20"/>
          <w:szCs w:val="20"/>
          <w:lang w:val="es-MX"/>
        </w:rPr>
        <w:t>“</w:t>
      </w:r>
      <w:r w:rsidRPr="00BB29A9">
        <w:rPr>
          <w:rFonts w:ascii="Verdana" w:hAnsi="Verdana"/>
          <w:sz w:val="20"/>
          <w:szCs w:val="20"/>
          <w:lang w:val="es-MX"/>
        </w:rPr>
        <w:t>Modelo Incluyente de Salud</w:t>
      </w:r>
      <w:r w:rsidR="009E1BD2" w:rsidRPr="00BB29A9">
        <w:rPr>
          <w:rFonts w:ascii="Verdana" w:hAnsi="Verdana"/>
          <w:sz w:val="20"/>
          <w:szCs w:val="20"/>
          <w:lang w:val="es-MX"/>
        </w:rPr>
        <w:t>”</w:t>
      </w:r>
      <w:r w:rsidRPr="00BB29A9">
        <w:rPr>
          <w:rFonts w:ascii="Verdana" w:hAnsi="Verdana"/>
          <w:sz w:val="20"/>
          <w:szCs w:val="20"/>
          <w:lang w:val="es-MX"/>
        </w:rPr>
        <w:t xml:space="preserve"> y “se están analizando los mecanismos para la mejora de los servicios”.</w:t>
      </w:r>
    </w:p>
    <w:p w14:paraId="2950CDB3" w14:textId="6BFF5508" w:rsidR="00CE4183" w:rsidRPr="00BB29A9" w:rsidRDefault="00DC0A3D" w:rsidP="00CE4183">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Sobre el particular, este Tribunal considera, al igual que la Comisión</w:t>
      </w:r>
      <w:r w:rsidRPr="00BB29A9">
        <w:rPr>
          <w:rStyle w:val="Refdenotaalpie"/>
          <w:rFonts w:ascii="Verdana" w:hAnsi="Verdana"/>
          <w:sz w:val="20"/>
          <w:szCs w:val="20"/>
        </w:rPr>
        <w:footnoteReference w:id="23"/>
      </w:r>
      <w:r w:rsidRPr="00BB29A9">
        <w:rPr>
          <w:rFonts w:ascii="Verdana" w:hAnsi="Verdana"/>
          <w:sz w:val="20"/>
          <w:szCs w:val="20"/>
        </w:rPr>
        <w:t xml:space="preserve">, que el tratamiento médico, psicológico y psiquiátrico es una reparación fundamental para tratar de mitigar el daño causado a las personas de las comunidades afectadas por la Masacre </w:t>
      </w:r>
      <w:r w:rsidR="00BA2A9D">
        <w:rPr>
          <w:rFonts w:ascii="Verdana" w:hAnsi="Verdana"/>
          <w:sz w:val="20"/>
          <w:szCs w:val="20"/>
        </w:rPr>
        <w:t xml:space="preserve">de </w:t>
      </w:r>
      <w:r w:rsidRPr="00BB29A9">
        <w:rPr>
          <w:rFonts w:ascii="Verdana" w:hAnsi="Verdana"/>
          <w:sz w:val="20"/>
          <w:szCs w:val="20"/>
        </w:rPr>
        <w:t>Plan de Sanchez. Por ello, a</w:t>
      </w:r>
      <w:r w:rsidR="00622BE1" w:rsidRPr="00BB29A9">
        <w:rPr>
          <w:rFonts w:ascii="Verdana" w:hAnsi="Verdana"/>
          <w:sz w:val="20"/>
          <w:szCs w:val="20"/>
        </w:rPr>
        <w:t>un cuando la medida de reparación presenta los avances positivos mencionados</w:t>
      </w:r>
      <w:r w:rsidRPr="00BB29A9">
        <w:rPr>
          <w:rFonts w:ascii="Verdana" w:hAnsi="Verdana"/>
          <w:sz w:val="20"/>
          <w:szCs w:val="20"/>
        </w:rPr>
        <w:t xml:space="preserve"> anteriormente</w:t>
      </w:r>
      <w:r w:rsidR="00523940" w:rsidRPr="00BB29A9">
        <w:rPr>
          <w:rFonts w:ascii="Verdana" w:hAnsi="Verdana"/>
          <w:sz w:val="20"/>
          <w:szCs w:val="20"/>
        </w:rPr>
        <w:t>,</w:t>
      </w:r>
      <w:r w:rsidR="00CE4183" w:rsidRPr="00BB29A9">
        <w:rPr>
          <w:rFonts w:ascii="Verdana" w:hAnsi="Verdana"/>
          <w:sz w:val="20"/>
          <w:szCs w:val="20"/>
          <w:lang w:val="es-MX"/>
        </w:rPr>
        <w:t xml:space="preserve"> a fin que este Tribunal tenga los elementos necesarios para pronunciarse sobre </w:t>
      </w:r>
      <w:r w:rsidR="00325C21" w:rsidRPr="00BB29A9">
        <w:rPr>
          <w:rFonts w:ascii="Verdana" w:hAnsi="Verdana"/>
          <w:sz w:val="20"/>
          <w:szCs w:val="20"/>
          <w:lang w:val="es-MX"/>
        </w:rPr>
        <w:t>su</w:t>
      </w:r>
      <w:r w:rsidR="00CE4183" w:rsidRPr="00BB29A9">
        <w:rPr>
          <w:rFonts w:ascii="Verdana" w:hAnsi="Verdana"/>
          <w:sz w:val="20"/>
          <w:szCs w:val="20"/>
          <w:lang w:val="es-MX"/>
        </w:rPr>
        <w:t xml:space="preserve"> cumplimiento, </w:t>
      </w:r>
      <w:r w:rsidR="00CE4183" w:rsidRPr="00BB29A9">
        <w:rPr>
          <w:rFonts w:ascii="Verdana" w:hAnsi="Verdana"/>
          <w:sz w:val="20"/>
          <w:szCs w:val="20"/>
        </w:rPr>
        <w:t xml:space="preserve">solicita al Estado </w:t>
      </w:r>
      <w:r w:rsidR="00523940" w:rsidRPr="00BB29A9">
        <w:rPr>
          <w:rFonts w:ascii="Verdana" w:hAnsi="Verdana"/>
          <w:sz w:val="20"/>
          <w:szCs w:val="20"/>
        </w:rPr>
        <w:t>que</w:t>
      </w:r>
      <w:r w:rsidR="00CE4183" w:rsidRPr="00BB29A9">
        <w:rPr>
          <w:rFonts w:ascii="Verdana" w:hAnsi="Verdana"/>
          <w:sz w:val="20"/>
          <w:szCs w:val="20"/>
        </w:rPr>
        <w:t xml:space="preserve"> informe sobre las mejoras en la atención m</w:t>
      </w:r>
      <w:r w:rsidR="00622BE1" w:rsidRPr="00BB29A9">
        <w:rPr>
          <w:rFonts w:ascii="Verdana" w:hAnsi="Verdana"/>
          <w:sz w:val="20"/>
          <w:szCs w:val="20"/>
        </w:rPr>
        <w:t>édica</w:t>
      </w:r>
      <w:r w:rsidR="00CE4183" w:rsidRPr="00BB29A9">
        <w:rPr>
          <w:rFonts w:ascii="Verdana" w:hAnsi="Verdana"/>
          <w:sz w:val="20"/>
          <w:szCs w:val="20"/>
        </w:rPr>
        <w:t xml:space="preserve"> </w:t>
      </w:r>
      <w:r w:rsidR="00622BE1" w:rsidRPr="00BB29A9">
        <w:rPr>
          <w:rFonts w:ascii="Verdana" w:hAnsi="Verdana"/>
          <w:sz w:val="20"/>
          <w:szCs w:val="20"/>
        </w:rPr>
        <w:t xml:space="preserve">que </w:t>
      </w:r>
      <w:r w:rsidR="00CE4183" w:rsidRPr="00BB29A9">
        <w:rPr>
          <w:rFonts w:ascii="Verdana" w:hAnsi="Verdana"/>
          <w:sz w:val="20"/>
          <w:szCs w:val="20"/>
        </w:rPr>
        <w:t>estarían recibiendo las víctimas de</w:t>
      </w:r>
      <w:r w:rsidRPr="00BB29A9">
        <w:rPr>
          <w:rFonts w:ascii="Verdana" w:hAnsi="Verdana"/>
          <w:sz w:val="20"/>
          <w:szCs w:val="20"/>
        </w:rPr>
        <w:t xml:space="preserve"> este</w:t>
      </w:r>
      <w:r w:rsidR="00CE4183" w:rsidRPr="00BB29A9">
        <w:rPr>
          <w:rFonts w:ascii="Verdana" w:hAnsi="Verdana"/>
          <w:sz w:val="20"/>
          <w:szCs w:val="20"/>
        </w:rPr>
        <w:t xml:space="preserve"> caso</w:t>
      </w:r>
      <w:r w:rsidR="00622BE1" w:rsidRPr="00BB29A9">
        <w:rPr>
          <w:rFonts w:ascii="Verdana" w:hAnsi="Verdana"/>
          <w:sz w:val="20"/>
          <w:szCs w:val="20"/>
        </w:rPr>
        <w:t xml:space="preserve"> en el Puesto de Salud de la Aldea de Plan de Sánchez</w:t>
      </w:r>
      <w:r w:rsidR="00CE4183" w:rsidRPr="00BB29A9">
        <w:rPr>
          <w:rFonts w:ascii="Verdana" w:hAnsi="Verdana"/>
          <w:sz w:val="20"/>
          <w:szCs w:val="20"/>
        </w:rPr>
        <w:t xml:space="preserve">, así como que aclare si existen </w:t>
      </w:r>
      <w:r w:rsidR="00CE4183" w:rsidRPr="00BB29A9">
        <w:rPr>
          <w:rFonts w:ascii="Verdana" w:hAnsi="Verdana"/>
          <w:sz w:val="20"/>
          <w:szCs w:val="20"/>
        </w:rPr>
        <w:lastRenderedPageBreak/>
        <w:t>otros puestos de salud en las comunidades que atiendan a las víctimas, y qué medidas estaría implementando para la entrega gratuita de los medicamentos.</w:t>
      </w:r>
    </w:p>
    <w:p w14:paraId="1BF006B3" w14:textId="34BDC6C3" w:rsidR="006E40A1" w:rsidRPr="00BB29A9" w:rsidRDefault="00526295" w:rsidP="006E40A1">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eastAsia="Verdana" w:hAnsi="Verdana" w:cs="Verdana"/>
          <w:sz w:val="20"/>
          <w:szCs w:val="20"/>
          <w:lang w:val="es-MX"/>
        </w:rPr>
        <w:t>Ahora bien</w:t>
      </w:r>
      <w:r w:rsidRPr="00BB29A9">
        <w:rPr>
          <w:rFonts w:ascii="Verdana" w:hAnsi="Verdana"/>
          <w:sz w:val="20"/>
          <w:szCs w:val="20"/>
        </w:rPr>
        <w:t>, el Estado informó que, en octubre de 2018 y noviembre de 2019, respectivamente, se llevaría a cabo “una actividad [p]sicosocial”, sin que la misma se realizara. Ello debido a que el Representante del Comité de Víctimas Sobrevivientes de la Comunidad de Plan de Sánchez informó a los funcionarios del Ministerio de Salud Pública y Asistencia Social sobre los compromisos que la propia comunidad tenía establecidos con anterioridad</w:t>
      </w:r>
      <w:r w:rsidRPr="00BB29A9">
        <w:rPr>
          <w:rStyle w:val="Refdenotaalpie"/>
          <w:rFonts w:ascii="Verdana" w:hAnsi="Verdana"/>
          <w:sz w:val="20"/>
          <w:szCs w:val="20"/>
        </w:rPr>
        <w:footnoteReference w:id="24"/>
      </w:r>
      <w:r w:rsidRPr="00BB29A9">
        <w:rPr>
          <w:rFonts w:ascii="Verdana" w:hAnsi="Verdana"/>
          <w:sz w:val="20"/>
          <w:szCs w:val="20"/>
        </w:rPr>
        <w:t>. En respuesta, los representantes enfatizaron que</w:t>
      </w:r>
      <w:r w:rsidRPr="00BB29A9">
        <w:rPr>
          <w:rFonts w:ascii="Verdana" w:hAnsi="Verdana"/>
          <w:b/>
          <w:sz w:val="20"/>
          <w:szCs w:val="20"/>
        </w:rPr>
        <w:t xml:space="preserve"> </w:t>
      </w:r>
      <w:r w:rsidRPr="00BB29A9">
        <w:rPr>
          <w:rFonts w:ascii="Verdana" w:hAnsi="Verdana"/>
          <w:sz w:val="20"/>
          <w:szCs w:val="20"/>
        </w:rPr>
        <w:t>el personal de salud de dicho Ministerio debe “planificar jornadas con anticipación, con previo aviso y citación a las personas que necesitan la atención y no de manera improvisada”, se deben “establecer visitas programadas, con personas establecidas y citadas, y no de manera aleatoria, considerando que las personas de las comunidades tienen trabajo por temporadas” lo cual “se debe respetar”</w:t>
      </w:r>
      <w:r w:rsidRPr="00BB29A9">
        <w:rPr>
          <w:rStyle w:val="Refdenotaalpie"/>
          <w:rFonts w:ascii="Verdana" w:hAnsi="Verdana"/>
          <w:sz w:val="20"/>
          <w:szCs w:val="20"/>
        </w:rPr>
        <w:footnoteReference w:id="25"/>
      </w:r>
      <w:r w:rsidRPr="00BB29A9">
        <w:rPr>
          <w:rFonts w:ascii="Verdana" w:hAnsi="Verdana"/>
          <w:sz w:val="20"/>
          <w:szCs w:val="20"/>
        </w:rPr>
        <w:t>.</w:t>
      </w:r>
    </w:p>
    <w:p w14:paraId="623DBD1E" w14:textId="16521D1B" w:rsidR="00AE370A" w:rsidRPr="00BB29A9" w:rsidRDefault="00526295" w:rsidP="00526295">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Sobre el particular, la Corte </w:t>
      </w:r>
      <w:r w:rsidR="00AE370A" w:rsidRPr="00BB29A9">
        <w:rPr>
          <w:rFonts w:ascii="Verdana" w:hAnsi="Verdana"/>
          <w:sz w:val="20"/>
          <w:szCs w:val="20"/>
        </w:rPr>
        <w:t>considera que</w:t>
      </w:r>
      <w:r w:rsidR="00F378EB">
        <w:rPr>
          <w:rFonts w:ascii="Verdana" w:hAnsi="Verdana"/>
          <w:sz w:val="20"/>
          <w:szCs w:val="20"/>
        </w:rPr>
        <w:t>,</w:t>
      </w:r>
      <w:r w:rsidR="00AE370A" w:rsidRPr="00BB29A9">
        <w:rPr>
          <w:rFonts w:ascii="Verdana" w:hAnsi="Verdana"/>
          <w:sz w:val="20"/>
          <w:szCs w:val="20"/>
        </w:rPr>
        <w:t xml:space="preserve"> debido a que este es un caso con una gran cantidad de víctimas, </w:t>
      </w:r>
      <w:r w:rsidRPr="00BB29A9">
        <w:rPr>
          <w:rFonts w:ascii="Verdana" w:hAnsi="Verdana"/>
          <w:sz w:val="20"/>
          <w:szCs w:val="20"/>
        </w:rPr>
        <w:t xml:space="preserve">en el diseño e implementación del programa especializado de tratamiento psicológico y psiquiátrico dispuesto en la Sentencia, </w:t>
      </w:r>
      <w:r w:rsidR="006E40A1" w:rsidRPr="00BB29A9">
        <w:rPr>
          <w:rFonts w:ascii="Verdana" w:hAnsi="Verdana"/>
          <w:sz w:val="20"/>
          <w:szCs w:val="20"/>
        </w:rPr>
        <w:t xml:space="preserve">se requiere </w:t>
      </w:r>
      <w:r w:rsidRPr="00BB29A9">
        <w:rPr>
          <w:rFonts w:ascii="Verdana" w:hAnsi="Verdana"/>
          <w:sz w:val="20"/>
          <w:szCs w:val="20"/>
        </w:rPr>
        <w:t>la planificación anticipada y coordinada entre las instituciones estatales y las personas de las comunidades que decidan acudir</w:t>
      </w:r>
      <w:r w:rsidR="006E40A1" w:rsidRPr="00BB29A9">
        <w:rPr>
          <w:rFonts w:ascii="Verdana" w:hAnsi="Verdana"/>
          <w:sz w:val="20"/>
          <w:szCs w:val="20"/>
        </w:rPr>
        <w:t xml:space="preserve"> al mismo, así como un </w:t>
      </w:r>
      <w:r w:rsidRPr="00BB29A9">
        <w:rPr>
          <w:rFonts w:ascii="Verdana" w:hAnsi="Verdana"/>
          <w:sz w:val="20"/>
          <w:szCs w:val="20"/>
        </w:rPr>
        <w:t xml:space="preserve">ofrecimiento claro del tratamiento psicológico y psiquiátrico disponible, </w:t>
      </w:r>
      <w:r w:rsidR="00EC0786" w:rsidRPr="00BB29A9">
        <w:rPr>
          <w:rFonts w:ascii="Verdana" w:hAnsi="Verdana"/>
          <w:sz w:val="20"/>
          <w:szCs w:val="20"/>
        </w:rPr>
        <w:t>y</w:t>
      </w:r>
      <w:r w:rsidRPr="00BB29A9">
        <w:rPr>
          <w:rFonts w:ascii="Verdana" w:hAnsi="Verdana"/>
          <w:sz w:val="20"/>
          <w:szCs w:val="20"/>
        </w:rPr>
        <w:t xml:space="preserve"> </w:t>
      </w:r>
      <w:r w:rsidR="00AE370A" w:rsidRPr="00BB29A9">
        <w:rPr>
          <w:rFonts w:ascii="Verdana" w:hAnsi="Verdana"/>
          <w:sz w:val="20"/>
          <w:szCs w:val="20"/>
        </w:rPr>
        <w:t>de</w:t>
      </w:r>
      <w:r w:rsidR="006E40A1" w:rsidRPr="00BB29A9">
        <w:rPr>
          <w:rFonts w:ascii="Verdana" w:hAnsi="Verdana"/>
          <w:sz w:val="20"/>
          <w:szCs w:val="20"/>
        </w:rPr>
        <w:t>l</w:t>
      </w:r>
      <w:r w:rsidRPr="00BB29A9">
        <w:rPr>
          <w:rFonts w:ascii="Verdana" w:hAnsi="Verdana"/>
          <w:sz w:val="20"/>
          <w:szCs w:val="20"/>
        </w:rPr>
        <w:t xml:space="preserve"> personal profesional </w:t>
      </w:r>
      <w:r w:rsidR="00325C21" w:rsidRPr="00BB29A9">
        <w:rPr>
          <w:rFonts w:ascii="Verdana" w:hAnsi="Verdana"/>
          <w:sz w:val="20"/>
          <w:szCs w:val="20"/>
        </w:rPr>
        <w:t>que lo proporcione</w:t>
      </w:r>
      <w:r w:rsidRPr="00BB29A9">
        <w:rPr>
          <w:rFonts w:ascii="Verdana" w:hAnsi="Verdana"/>
          <w:sz w:val="20"/>
          <w:szCs w:val="20"/>
        </w:rPr>
        <w:t xml:space="preserve"> en las comunidades.</w:t>
      </w:r>
      <w:r w:rsidR="00622BE1" w:rsidRPr="00BB29A9">
        <w:rPr>
          <w:rFonts w:ascii="Verdana" w:hAnsi="Verdana"/>
          <w:sz w:val="20"/>
          <w:szCs w:val="20"/>
        </w:rPr>
        <w:t xml:space="preserve"> Asimismo, tal como </w:t>
      </w:r>
      <w:r w:rsidR="00756216" w:rsidRPr="00BB29A9">
        <w:rPr>
          <w:rFonts w:ascii="Verdana" w:hAnsi="Verdana"/>
          <w:sz w:val="20"/>
          <w:szCs w:val="20"/>
        </w:rPr>
        <w:t>lo ordena el Fallo</w:t>
      </w:r>
      <w:r w:rsidR="00AD721D">
        <w:rPr>
          <w:rFonts w:ascii="Verdana" w:hAnsi="Verdana"/>
          <w:sz w:val="20"/>
          <w:szCs w:val="20"/>
        </w:rPr>
        <w:t xml:space="preserve"> </w:t>
      </w:r>
      <w:r w:rsidR="00AD721D" w:rsidRPr="00BB29A9">
        <w:rPr>
          <w:rFonts w:ascii="Verdana" w:hAnsi="Verdana"/>
          <w:sz w:val="20"/>
          <w:szCs w:val="20"/>
        </w:rPr>
        <w:t>(</w:t>
      </w:r>
      <w:r w:rsidR="00AD721D" w:rsidRPr="00BB29A9">
        <w:rPr>
          <w:rFonts w:ascii="Verdana" w:hAnsi="Verdana"/>
          <w:i/>
          <w:sz w:val="20"/>
          <w:szCs w:val="20"/>
        </w:rPr>
        <w:t xml:space="preserve">supra </w:t>
      </w:r>
      <w:r w:rsidR="00AD721D" w:rsidRPr="00BB29A9">
        <w:rPr>
          <w:rFonts w:ascii="Verdana" w:hAnsi="Verdana"/>
          <w:sz w:val="20"/>
          <w:szCs w:val="20"/>
        </w:rPr>
        <w:t xml:space="preserve">Considerando </w:t>
      </w:r>
      <w:r w:rsidR="00756FFC">
        <w:rPr>
          <w:rFonts w:ascii="Verdana" w:hAnsi="Verdana"/>
          <w:sz w:val="20"/>
          <w:szCs w:val="20"/>
        </w:rPr>
        <w:t>14</w:t>
      </w:r>
      <w:r w:rsidR="00AD721D" w:rsidRPr="00BB29A9">
        <w:rPr>
          <w:rFonts w:ascii="Verdana" w:hAnsi="Verdana"/>
          <w:sz w:val="20"/>
          <w:szCs w:val="20"/>
        </w:rPr>
        <w:t>)</w:t>
      </w:r>
      <w:r w:rsidR="00622BE1" w:rsidRPr="00BB29A9">
        <w:rPr>
          <w:rFonts w:ascii="Verdana" w:hAnsi="Verdana"/>
          <w:sz w:val="20"/>
          <w:szCs w:val="20"/>
        </w:rPr>
        <w:t>, se deben considerar las circunstancias particulares de cada persona</w:t>
      </w:r>
      <w:r w:rsidR="00DC0A3D" w:rsidRPr="00BB29A9">
        <w:rPr>
          <w:rFonts w:ascii="Verdana" w:hAnsi="Verdana"/>
          <w:sz w:val="20"/>
          <w:szCs w:val="20"/>
        </w:rPr>
        <w:t xml:space="preserve"> y</w:t>
      </w:r>
      <w:r w:rsidR="00622BE1" w:rsidRPr="00BB29A9">
        <w:rPr>
          <w:rFonts w:ascii="Verdana" w:hAnsi="Verdana"/>
          <w:sz w:val="20"/>
          <w:szCs w:val="20"/>
        </w:rPr>
        <w:t xml:space="preserve"> las necesidades de cada una de ellas, de manera que se les brinden tratamientos colectivos, familiares e individuales. </w:t>
      </w:r>
      <w:r w:rsidR="00325C21" w:rsidRPr="00BB29A9">
        <w:rPr>
          <w:rFonts w:ascii="Verdana" w:hAnsi="Verdana"/>
          <w:sz w:val="20"/>
          <w:szCs w:val="20"/>
        </w:rPr>
        <w:t>Dicho tratamiento debe desarrollarse después de una evaluación individual, según lo que se acuerde con cada una de ellas.</w:t>
      </w:r>
    </w:p>
    <w:p w14:paraId="758D1BA9" w14:textId="77777777" w:rsidR="007256C0" w:rsidRPr="00BB29A9" w:rsidRDefault="00074555" w:rsidP="00756216">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Consecuentemente, e</w:t>
      </w:r>
      <w:r w:rsidR="006627C5" w:rsidRPr="00BB29A9">
        <w:rPr>
          <w:rFonts w:ascii="Verdana" w:hAnsi="Verdana"/>
          <w:sz w:val="20"/>
          <w:szCs w:val="20"/>
        </w:rPr>
        <w:t xml:space="preserve">ste Tribunal solicita al </w:t>
      </w:r>
      <w:r w:rsidRPr="00BB29A9">
        <w:rPr>
          <w:rFonts w:ascii="Verdana" w:hAnsi="Verdana"/>
          <w:sz w:val="20"/>
          <w:szCs w:val="20"/>
        </w:rPr>
        <w:t>Estado que</w:t>
      </w:r>
      <w:r w:rsidR="00756216" w:rsidRPr="00BB29A9">
        <w:rPr>
          <w:rFonts w:ascii="Verdana" w:hAnsi="Verdana"/>
          <w:sz w:val="20"/>
          <w:szCs w:val="20"/>
        </w:rPr>
        <w:t xml:space="preserve"> </w:t>
      </w:r>
      <w:r w:rsidR="006627C5" w:rsidRPr="00BB29A9">
        <w:rPr>
          <w:rFonts w:ascii="Verdana" w:hAnsi="Verdana"/>
          <w:sz w:val="20"/>
          <w:szCs w:val="20"/>
        </w:rPr>
        <w:t xml:space="preserve">presente información actualizada sobre </w:t>
      </w:r>
      <w:r w:rsidR="00756216" w:rsidRPr="00BB29A9">
        <w:rPr>
          <w:rFonts w:ascii="Verdana" w:hAnsi="Verdana"/>
          <w:sz w:val="20"/>
          <w:szCs w:val="20"/>
        </w:rPr>
        <w:t>la creación de</w:t>
      </w:r>
      <w:r w:rsidR="00B149AB" w:rsidRPr="00BB29A9">
        <w:rPr>
          <w:rFonts w:ascii="Verdana" w:hAnsi="Verdana"/>
          <w:sz w:val="20"/>
          <w:szCs w:val="20"/>
        </w:rPr>
        <w:t>l</w:t>
      </w:r>
      <w:r w:rsidR="00756216" w:rsidRPr="00BB29A9">
        <w:rPr>
          <w:rFonts w:ascii="Verdana" w:hAnsi="Verdana"/>
          <w:sz w:val="20"/>
          <w:szCs w:val="20"/>
        </w:rPr>
        <w:t xml:space="preserve"> programa especializado de tratamiento psicológico y psiquiátrico, considerando las circunstancias particulares y necesidades de cada persona, </w:t>
      </w:r>
      <w:r w:rsidR="00B149AB" w:rsidRPr="00BB29A9">
        <w:rPr>
          <w:rFonts w:ascii="Verdana" w:hAnsi="Verdana"/>
          <w:sz w:val="20"/>
          <w:szCs w:val="20"/>
        </w:rPr>
        <w:t>y que se refiera además a</w:t>
      </w:r>
      <w:r w:rsidR="00756216" w:rsidRPr="00BB29A9">
        <w:rPr>
          <w:rFonts w:ascii="Verdana" w:hAnsi="Verdana"/>
          <w:sz w:val="20"/>
          <w:szCs w:val="20"/>
        </w:rPr>
        <w:t xml:space="preserve"> las acciones realizadas para reanudar el trabajo del Comité de Evaluación de la Condición Física y Psíquica de las Víctimas.</w:t>
      </w:r>
    </w:p>
    <w:p w14:paraId="416B1496" w14:textId="30EC3343" w:rsidR="00723BBC" w:rsidRPr="00BB29A9" w:rsidRDefault="002051B5" w:rsidP="00723BBC">
      <w:pPr>
        <w:pStyle w:val="Prrafodelista"/>
        <w:numPr>
          <w:ilvl w:val="0"/>
          <w:numId w:val="14"/>
        </w:numPr>
        <w:spacing w:before="120" w:after="120" w:line="240" w:lineRule="auto"/>
        <w:ind w:left="0" w:firstLine="0"/>
        <w:contextualSpacing w:val="0"/>
        <w:jc w:val="both"/>
        <w:rPr>
          <w:rFonts w:ascii="Verdana" w:hAnsi="Verdana"/>
          <w:b/>
          <w:sz w:val="20"/>
          <w:szCs w:val="20"/>
        </w:rPr>
      </w:pPr>
      <w:r w:rsidRPr="00BB29A9">
        <w:rPr>
          <w:rFonts w:ascii="Verdana" w:hAnsi="Verdana"/>
          <w:sz w:val="20"/>
          <w:szCs w:val="20"/>
        </w:rPr>
        <w:t>Adicionalmente</w:t>
      </w:r>
      <w:r w:rsidR="00E83AAC" w:rsidRPr="00BB29A9">
        <w:rPr>
          <w:rFonts w:ascii="Verdana" w:eastAsia="Verdana" w:hAnsi="Verdana" w:cs="Verdana"/>
          <w:sz w:val="20"/>
          <w:szCs w:val="20"/>
          <w:lang w:val="es-MX"/>
        </w:rPr>
        <w:t xml:space="preserve">, la Corte destaca que </w:t>
      </w:r>
      <w:r w:rsidR="00F71E2F" w:rsidRPr="00BB29A9">
        <w:rPr>
          <w:rFonts w:ascii="Verdana" w:hAnsi="Verdana"/>
          <w:sz w:val="20"/>
          <w:szCs w:val="20"/>
        </w:rPr>
        <w:t>en agosto de 2016</w:t>
      </w:r>
      <w:r w:rsidR="004C3A61">
        <w:rPr>
          <w:rFonts w:ascii="Verdana" w:hAnsi="Verdana"/>
          <w:sz w:val="20"/>
          <w:szCs w:val="20"/>
        </w:rPr>
        <w:t xml:space="preserve"> </w:t>
      </w:r>
      <w:r w:rsidR="004C3A61" w:rsidRPr="00BB29A9">
        <w:rPr>
          <w:rFonts w:ascii="Verdana" w:hAnsi="Verdana"/>
          <w:sz w:val="20"/>
          <w:szCs w:val="20"/>
        </w:rPr>
        <w:t xml:space="preserve">el Estado informó </w:t>
      </w:r>
      <w:r w:rsidR="004C3A61">
        <w:rPr>
          <w:rFonts w:ascii="Verdana" w:hAnsi="Verdana"/>
          <w:sz w:val="20"/>
          <w:szCs w:val="20"/>
        </w:rPr>
        <w:t>que</w:t>
      </w:r>
      <w:r w:rsidR="00F71E2F" w:rsidRPr="00BB29A9">
        <w:rPr>
          <w:rFonts w:ascii="Verdana" w:hAnsi="Verdana"/>
          <w:sz w:val="20"/>
          <w:szCs w:val="20"/>
        </w:rPr>
        <w:t xml:space="preserve"> </w:t>
      </w:r>
      <w:r w:rsidR="005F2E23" w:rsidRPr="00BB29A9">
        <w:rPr>
          <w:rFonts w:ascii="Verdana" w:hAnsi="Verdana"/>
          <w:sz w:val="20"/>
          <w:szCs w:val="20"/>
        </w:rPr>
        <w:t xml:space="preserve">se estaría trabajando un </w:t>
      </w:r>
      <w:r w:rsidR="00F71E2F" w:rsidRPr="00BB29A9">
        <w:rPr>
          <w:rFonts w:ascii="Verdana" w:hAnsi="Verdana"/>
          <w:sz w:val="20"/>
          <w:szCs w:val="20"/>
        </w:rPr>
        <w:t>Convenio Interinstitucional con el Ministerio de Salud Pública y Asistencia Social</w:t>
      </w:r>
      <w:r w:rsidR="005F2E23" w:rsidRPr="00BB29A9">
        <w:rPr>
          <w:rFonts w:ascii="Verdana" w:hAnsi="Verdana"/>
          <w:sz w:val="20"/>
          <w:szCs w:val="20"/>
        </w:rPr>
        <w:t xml:space="preserve"> a efecto que se d</w:t>
      </w:r>
      <w:r w:rsidR="0061367A">
        <w:rPr>
          <w:rFonts w:ascii="Verdana" w:hAnsi="Verdana"/>
          <w:sz w:val="20"/>
          <w:szCs w:val="20"/>
        </w:rPr>
        <w:t>é</w:t>
      </w:r>
      <w:r w:rsidR="005F2E23" w:rsidRPr="00BB29A9">
        <w:rPr>
          <w:rFonts w:ascii="Verdana" w:hAnsi="Verdana"/>
          <w:sz w:val="20"/>
          <w:szCs w:val="20"/>
        </w:rPr>
        <w:t xml:space="preserve"> atención prioritaria a las personas citadas en los compromisos de</w:t>
      </w:r>
      <w:r w:rsidR="005F2E23" w:rsidRPr="00BB29A9">
        <w:rPr>
          <w:rFonts w:ascii="Verdana" w:hAnsi="Verdana"/>
          <w:b/>
          <w:sz w:val="20"/>
          <w:szCs w:val="20"/>
        </w:rPr>
        <w:t xml:space="preserve"> </w:t>
      </w:r>
      <w:r w:rsidR="005F2E23" w:rsidRPr="00BB29A9">
        <w:rPr>
          <w:rFonts w:ascii="Verdana" w:hAnsi="Verdana"/>
          <w:sz w:val="20"/>
          <w:szCs w:val="20"/>
        </w:rPr>
        <w:t>las sentencias ante el sistema interamericano</w:t>
      </w:r>
      <w:r w:rsidR="00B149AB" w:rsidRPr="00BB29A9">
        <w:rPr>
          <w:rFonts w:ascii="Verdana" w:hAnsi="Verdana"/>
          <w:sz w:val="20"/>
          <w:szCs w:val="20"/>
        </w:rPr>
        <w:t xml:space="preserve">. </w:t>
      </w:r>
      <w:r w:rsidR="00F378EB">
        <w:rPr>
          <w:rFonts w:ascii="Verdana" w:hAnsi="Verdana"/>
          <w:sz w:val="20"/>
          <w:szCs w:val="20"/>
        </w:rPr>
        <w:t>Sin embargo, c</w:t>
      </w:r>
      <w:r w:rsidR="00B149AB" w:rsidRPr="00BB29A9">
        <w:rPr>
          <w:rFonts w:ascii="Verdana" w:hAnsi="Verdana"/>
          <w:sz w:val="20"/>
          <w:szCs w:val="20"/>
        </w:rPr>
        <w:t>on posterioridad, Guatemala no presentó información relacionada con</w:t>
      </w:r>
      <w:r w:rsidR="00455A34">
        <w:rPr>
          <w:rFonts w:ascii="Verdana" w:hAnsi="Verdana"/>
          <w:sz w:val="20"/>
          <w:szCs w:val="20"/>
        </w:rPr>
        <w:t xml:space="preserve"> la celebración y firma de tal c</w:t>
      </w:r>
      <w:r w:rsidR="00B149AB" w:rsidRPr="00BB29A9">
        <w:rPr>
          <w:rFonts w:ascii="Verdana" w:hAnsi="Verdana"/>
          <w:sz w:val="20"/>
          <w:szCs w:val="20"/>
        </w:rPr>
        <w:t>onvenio. P</w:t>
      </w:r>
      <w:r w:rsidR="00723BBC" w:rsidRPr="00BB29A9">
        <w:rPr>
          <w:rFonts w:ascii="Verdana" w:hAnsi="Verdana"/>
          <w:sz w:val="20"/>
          <w:szCs w:val="20"/>
        </w:rPr>
        <w:t>or</w:t>
      </w:r>
      <w:r w:rsidR="00B149AB" w:rsidRPr="00BB29A9">
        <w:rPr>
          <w:rFonts w:ascii="Verdana" w:hAnsi="Verdana"/>
          <w:sz w:val="20"/>
          <w:szCs w:val="20"/>
        </w:rPr>
        <w:t xml:space="preserve"> ello, </w:t>
      </w:r>
      <w:r w:rsidR="00723BBC" w:rsidRPr="00BB29A9">
        <w:rPr>
          <w:rFonts w:ascii="Verdana" w:hAnsi="Verdana"/>
          <w:sz w:val="20"/>
          <w:szCs w:val="20"/>
        </w:rPr>
        <w:t>se solicita al Estado</w:t>
      </w:r>
      <w:r w:rsidR="00455A34">
        <w:rPr>
          <w:rFonts w:ascii="Verdana" w:hAnsi="Verdana"/>
          <w:sz w:val="20"/>
          <w:szCs w:val="20"/>
        </w:rPr>
        <w:t xml:space="preserve"> que aclare si dicho c</w:t>
      </w:r>
      <w:r w:rsidR="00DC4924" w:rsidRPr="00BB29A9">
        <w:rPr>
          <w:rFonts w:ascii="Verdana" w:hAnsi="Verdana"/>
          <w:sz w:val="20"/>
          <w:szCs w:val="20"/>
        </w:rPr>
        <w:t>onvenio se firmó y</w:t>
      </w:r>
      <w:r w:rsidR="00AC5DA0">
        <w:rPr>
          <w:rFonts w:ascii="Verdana" w:hAnsi="Verdana"/>
          <w:sz w:val="20"/>
          <w:szCs w:val="20"/>
        </w:rPr>
        <w:t>,</w:t>
      </w:r>
      <w:r w:rsidR="00DC4924" w:rsidRPr="00BB29A9">
        <w:rPr>
          <w:rFonts w:ascii="Verdana" w:hAnsi="Verdana"/>
          <w:sz w:val="20"/>
          <w:szCs w:val="20"/>
        </w:rPr>
        <w:t xml:space="preserve"> en ese caso</w:t>
      </w:r>
      <w:r w:rsidR="00AC5DA0">
        <w:rPr>
          <w:rFonts w:ascii="Verdana" w:hAnsi="Verdana"/>
          <w:sz w:val="20"/>
          <w:szCs w:val="20"/>
        </w:rPr>
        <w:t>,</w:t>
      </w:r>
      <w:r w:rsidR="00DC4924" w:rsidRPr="00BB29A9">
        <w:rPr>
          <w:rFonts w:ascii="Verdana" w:hAnsi="Verdana"/>
          <w:sz w:val="20"/>
          <w:szCs w:val="20"/>
        </w:rPr>
        <w:t xml:space="preserve"> </w:t>
      </w:r>
      <w:r w:rsidR="00723BBC" w:rsidRPr="00BB29A9">
        <w:rPr>
          <w:rFonts w:ascii="Verdana" w:hAnsi="Verdana"/>
          <w:sz w:val="20"/>
          <w:szCs w:val="20"/>
        </w:rPr>
        <w:t xml:space="preserve">presente información respecto a </w:t>
      </w:r>
      <w:r w:rsidR="00DC256F" w:rsidRPr="00BB29A9">
        <w:rPr>
          <w:rFonts w:ascii="Verdana" w:hAnsi="Verdana"/>
          <w:sz w:val="20"/>
          <w:szCs w:val="20"/>
        </w:rPr>
        <w:t>los términos en que se celebró,</w:t>
      </w:r>
      <w:r w:rsidR="00DC4924" w:rsidRPr="00BB29A9">
        <w:rPr>
          <w:rFonts w:ascii="Verdana" w:hAnsi="Verdana"/>
          <w:sz w:val="20"/>
          <w:szCs w:val="20"/>
        </w:rPr>
        <w:t xml:space="preserve"> y</w:t>
      </w:r>
      <w:r w:rsidR="00DC256F" w:rsidRPr="00BB29A9">
        <w:rPr>
          <w:rFonts w:ascii="Verdana" w:hAnsi="Verdana"/>
          <w:sz w:val="20"/>
          <w:szCs w:val="20"/>
        </w:rPr>
        <w:t xml:space="preserve"> </w:t>
      </w:r>
      <w:r w:rsidR="00723BBC" w:rsidRPr="00BB29A9">
        <w:rPr>
          <w:rFonts w:ascii="Verdana" w:hAnsi="Verdana"/>
          <w:sz w:val="20"/>
          <w:szCs w:val="20"/>
        </w:rPr>
        <w:t>la manera en que se estaría implementando.</w:t>
      </w:r>
    </w:p>
    <w:p w14:paraId="44019170" w14:textId="77777777" w:rsidR="00AC2940" w:rsidRPr="00BB29A9" w:rsidRDefault="001B338F" w:rsidP="00E13C5B">
      <w:pPr>
        <w:pStyle w:val="Prrafodelista"/>
        <w:numPr>
          <w:ilvl w:val="0"/>
          <w:numId w:val="14"/>
        </w:numPr>
        <w:spacing w:before="120" w:after="120" w:line="240" w:lineRule="auto"/>
        <w:ind w:left="0" w:firstLine="0"/>
        <w:contextualSpacing w:val="0"/>
        <w:jc w:val="both"/>
        <w:rPr>
          <w:rFonts w:ascii="Verdana" w:hAnsi="Verdana"/>
          <w:b/>
          <w:sz w:val="20"/>
          <w:szCs w:val="20"/>
        </w:rPr>
      </w:pPr>
      <w:r w:rsidRPr="00BB29A9">
        <w:rPr>
          <w:rFonts w:ascii="Verdana" w:eastAsia="Verdana" w:hAnsi="Verdana" w:cs="Verdana"/>
          <w:sz w:val="20"/>
          <w:szCs w:val="20"/>
          <w:lang w:val="es-MX"/>
        </w:rPr>
        <w:t xml:space="preserve">Por </w:t>
      </w:r>
      <w:r w:rsidR="00DC4924" w:rsidRPr="00BB29A9">
        <w:rPr>
          <w:rFonts w:ascii="Verdana" w:eastAsia="Verdana" w:hAnsi="Verdana" w:cs="Verdana"/>
          <w:sz w:val="20"/>
          <w:szCs w:val="20"/>
          <w:lang w:val="es-MX"/>
        </w:rPr>
        <w:t>todo lo</w:t>
      </w:r>
      <w:r w:rsidRPr="00BB29A9">
        <w:rPr>
          <w:rFonts w:ascii="Verdana" w:eastAsia="Verdana" w:hAnsi="Verdana" w:cs="Verdana"/>
          <w:sz w:val="20"/>
          <w:szCs w:val="20"/>
          <w:lang w:val="es-MX"/>
        </w:rPr>
        <w:t xml:space="preserve"> expuesto, l</w:t>
      </w:r>
      <w:r w:rsidR="00E83AAC" w:rsidRPr="00BB29A9">
        <w:rPr>
          <w:rFonts w:ascii="Verdana" w:eastAsia="Verdana" w:hAnsi="Verdana" w:cs="Verdana"/>
          <w:sz w:val="20"/>
          <w:szCs w:val="20"/>
          <w:lang w:val="es-MX"/>
        </w:rPr>
        <w:t xml:space="preserve">a Corte determina que </w:t>
      </w:r>
      <w:r w:rsidR="001B0148" w:rsidRPr="00BB29A9">
        <w:rPr>
          <w:rFonts w:ascii="Verdana" w:eastAsia="Verdana" w:hAnsi="Verdana" w:cs="Verdana"/>
          <w:sz w:val="20"/>
          <w:szCs w:val="20"/>
          <w:lang w:val="es-MX"/>
        </w:rPr>
        <w:t>se encuentra pendiente de cumpli</w:t>
      </w:r>
      <w:r w:rsidR="00756216" w:rsidRPr="00BB29A9">
        <w:rPr>
          <w:rFonts w:ascii="Verdana" w:eastAsia="Verdana" w:hAnsi="Verdana" w:cs="Verdana"/>
          <w:sz w:val="20"/>
          <w:szCs w:val="20"/>
          <w:lang w:val="es-MX"/>
        </w:rPr>
        <w:t xml:space="preserve">miento la </w:t>
      </w:r>
      <w:r w:rsidR="00DC4924" w:rsidRPr="00BB29A9">
        <w:rPr>
          <w:rFonts w:ascii="Verdana" w:eastAsia="Verdana" w:hAnsi="Verdana" w:cs="Verdana"/>
          <w:sz w:val="20"/>
          <w:szCs w:val="20"/>
          <w:lang w:val="es-MX"/>
        </w:rPr>
        <w:t>medida</w:t>
      </w:r>
      <w:r w:rsidR="00756216" w:rsidRPr="00BB29A9">
        <w:rPr>
          <w:rFonts w:ascii="Verdana" w:eastAsia="Verdana" w:hAnsi="Verdana" w:cs="Verdana"/>
          <w:sz w:val="20"/>
          <w:szCs w:val="20"/>
          <w:lang w:val="es-MX"/>
        </w:rPr>
        <w:t xml:space="preserve"> relativa a</w:t>
      </w:r>
      <w:r w:rsidR="00E83AAC" w:rsidRPr="00BB29A9">
        <w:rPr>
          <w:rFonts w:ascii="Verdana" w:hAnsi="Verdana"/>
          <w:sz w:val="20"/>
          <w:szCs w:val="20"/>
        </w:rPr>
        <w:t xml:space="preserve"> brindar gratuitamente, a través de sus instituciones de salud especializadas, el tratamiento médico que requieran las víctimas incluyendo los medicamentos que puedan ser necesarios, así como crear un programa especializado de tratamiento psicológico y psiquiátrico brindado en forma gratuita</w:t>
      </w:r>
      <w:r w:rsidR="00E83AAC" w:rsidRPr="00BB29A9">
        <w:rPr>
          <w:rFonts w:ascii="Verdana" w:eastAsia="Verdana" w:hAnsi="Verdana" w:cs="Verdana"/>
          <w:sz w:val="20"/>
          <w:szCs w:val="20"/>
          <w:lang w:val="es-MX"/>
        </w:rPr>
        <w:t>, reparación que fue ordenada en el punto resolutivo séptimo</w:t>
      </w:r>
      <w:r w:rsidR="00E83AAC" w:rsidRPr="00BB29A9">
        <w:rPr>
          <w:rFonts w:ascii="Verdana" w:hAnsi="Verdana"/>
          <w:sz w:val="20"/>
          <w:szCs w:val="20"/>
        </w:rPr>
        <w:t xml:space="preserve"> </w:t>
      </w:r>
      <w:r w:rsidR="00E83AAC" w:rsidRPr="00BB29A9">
        <w:rPr>
          <w:rFonts w:ascii="Verdana" w:eastAsia="Verdana" w:hAnsi="Verdana" w:cs="Verdana"/>
          <w:sz w:val="20"/>
          <w:szCs w:val="20"/>
          <w:lang w:val="es-MX"/>
        </w:rPr>
        <w:t>de la Sentencia</w:t>
      </w:r>
      <w:r w:rsidR="00E83AAC" w:rsidRPr="00BB29A9">
        <w:rPr>
          <w:rFonts w:ascii="Verdana" w:hAnsi="Verdana"/>
          <w:sz w:val="20"/>
          <w:szCs w:val="20"/>
        </w:rPr>
        <w:t>.</w:t>
      </w:r>
    </w:p>
    <w:p w14:paraId="0B355274" w14:textId="77777777" w:rsidR="00DC4924" w:rsidRPr="00BB29A9" w:rsidRDefault="00DC4924" w:rsidP="00DC4924">
      <w:pPr>
        <w:pStyle w:val="Prrafodelista"/>
        <w:spacing w:before="120" w:after="120" w:line="240" w:lineRule="auto"/>
        <w:ind w:left="0"/>
        <w:contextualSpacing w:val="0"/>
        <w:jc w:val="both"/>
        <w:rPr>
          <w:rFonts w:ascii="Verdana" w:hAnsi="Verdana"/>
          <w:b/>
          <w:sz w:val="20"/>
          <w:szCs w:val="20"/>
        </w:rPr>
      </w:pPr>
    </w:p>
    <w:p w14:paraId="17A8DAAD" w14:textId="77777777" w:rsidR="00F744CF" w:rsidRPr="00BB29A9" w:rsidRDefault="00B60D66" w:rsidP="00DC2677">
      <w:pPr>
        <w:pStyle w:val="Ttulo1"/>
        <w:spacing w:before="120" w:after="120" w:line="240" w:lineRule="auto"/>
        <w:jc w:val="both"/>
        <w:rPr>
          <w:rFonts w:ascii="Verdana" w:hAnsi="Verdana"/>
          <w:b/>
          <w:color w:val="auto"/>
          <w:sz w:val="20"/>
          <w:szCs w:val="20"/>
        </w:rPr>
      </w:pPr>
      <w:bookmarkStart w:id="9" w:name="_Toc67523771"/>
      <w:r w:rsidRPr="00BB29A9">
        <w:rPr>
          <w:rFonts w:ascii="Verdana" w:hAnsi="Verdana"/>
          <w:b/>
          <w:color w:val="auto"/>
          <w:sz w:val="20"/>
          <w:szCs w:val="20"/>
          <w:lang w:val="es-MX"/>
        </w:rPr>
        <w:lastRenderedPageBreak/>
        <w:t>C</w:t>
      </w:r>
      <w:r w:rsidR="00235065" w:rsidRPr="00BB29A9">
        <w:rPr>
          <w:rFonts w:ascii="Verdana" w:hAnsi="Verdana"/>
          <w:b/>
          <w:color w:val="auto"/>
          <w:sz w:val="20"/>
          <w:szCs w:val="20"/>
          <w:lang w:val="es-MX"/>
        </w:rPr>
        <w:t>.</w:t>
      </w:r>
      <w:r w:rsidR="00235065" w:rsidRPr="00BB29A9">
        <w:rPr>
          <w:rFonts w:ascii="Verdana" w:hAnsi="Verdana"/>
          <w:b/>
          <w:color w:val="auto"/>
          <w:sz w:val="20"/>
          <w:szCs w:val="20"/>
          <w:lang w:val="es-MX"/>
        </w:rPr>
        <w:tab/>
      </w:r>
      <w:r w:rsidR="00DC2677" w:rsidRPr="00BB29A9">
        <w:rPr>
          <w:rFonts w:ascii="Verdana" w:hAnsi="Verdana"/>
          <w:b/>
          <w:color w:val="auto"/>
          <w:sz w:val="20"/>
          <w:szCs w:val="20"/>
        </w:rPr>
        <w:t>P</w:t>
      </w:r>
      <w:r w:rsidR="00F744CF" w:rsidRPr="00BB29A9">
        <w:rPr>
          <w:rFonts w:ascii="Verdana" w:hAnsi="Verdana"/>
          <w:b/>
          <w:color w:val="auto"/>
          <w:sz w:val="20"/>
          <w:szCs w:val="20"/>
        </w:rPr>
        <w:t>roveer</w:t>
      </w:r>
      <w:r w:rsidR="00DC2677" w:rsidRPr="00BB29A9">
        <w:rPr>
          <w:rFonts w:ascii="Verdana" w:hAnsi="Verdana"/>
          <w:b/>
          <w:color w:val="auto"/>
          <w:sz w:val="20"/>
          <w:szCs w:val="20"/>
        </w:rPr>
        <w:t xml:space="preserve"> de</w:t>
      </w:r>
      <w:r w:rsidR="00F744CF" w:rsidRPr="00BB29A9">
        <w:rPr>
          <w:rFonts w:ascii="Verdana" w:hAnsi="Verdana"/>
          <w:b/>
          <w:color w:val="auto"/>
          <w:sz w:val="20"/>
          <w:szCs w:val="20"/>
        </w:rPr>
        <w:t xml:space="preserve"> vivienda adecuada </w:t>
      </w:r>
      <w:r w:rsidR="00DC2677" w:rsidRPr="00BB29A9">
        <w:rPr>
          <w:rFonts w:ascii="Verdana" w:hAnsi="Verdana"/>
          <w:b/>
          <w:color w:val="auto"/>
          <w:sz w:val="20"/>
          <w:szCs w:val="20"/>
        </w:rPr>
        <w:t>a los</w:t>
      </w:r>
      <w:r w:rsidR="00F744CF" w:rsidRPr="00BB29A9">
        <w:rPr>
          <w:rFonts w:ascii="Verdana" w:hAnsi="Verdana"/>
          <w:b/>
          <w:color w:val="auto"/>
          <w:sz w:val="20"/>
          <w:szCs w:val="20"/>
        </w:rPr>
        <w:t xml:space="preserve"> sobrevivientes </w:t>
      </w:r>
      <w:r w:rsidR="00DC2677" w:rsidRPr="00BB29A9">
        <w:rPr>
          <w:rFonts w:ascii="Verdana" w:hAnsi="Verdana"/>
          <w:b/>
          <w:color w:val="auto"/>
          <w:sz w:val="20"/>
          <w:szCs w:val="20"/>
        </w:rPr>
        <w:t xml:space="preserve">de la masacre </w:t>
      </w:r>
      <w:r w:rsidR="00F744CF" w:rsidRPr="00BB29A9">
        <w:rPr>
          <w:rFonts w:ascii="Verdana" w:hAnsi="Verdana"/>
          <w:b/>
          <w:color w:val="auto"/>
          <w:sz w:val="20"/>
          <w:szCs w:val="20"/>
        </w:rPr>
        <w:t>que resi</w:t>
      </w:r>
      <w:r w:rsidR="00DC2677" w:rsidRPr="00BB29A9">
        <w:rPr>
          <w:rFonts w:ascii="Verdana" w:hAnsi="Verdana"/>
          <w:b/>
          <w:color w:val="auto"/>
          <w:sz w:val="20"/>
          <w:szCs w:val="20"/>
        </w:rPr>
        <w:t>dan en la Aldea Plan de Sánchez</w:t>
      </w:r>
      <w:bookmarkEnd w:id="9"/>
    </w:p>
    <w:p w14:paraId="43D9CA9B" w14:textId="77777777" w:rsidR="00890922" w:rsidRPr="00BB29A9" w:rsidRDefault="00B60D66" w:rsidP="00E13C5B">
      <w:pPr>
        <w:spacing w:before="120" w:after="120"/>
        <w:ind w:firstLine="708"/>
        <w:rPr>
          <w:rFonts w:ascii="Verdana" w:hAnsi="Verdana"/>
          <w:i/>
          <w:sz w:val="20"/>
          <w:szCs w:val="20"/>
        </w:rPr>
      </w:pPr>
      <w:r w:rsidRPr="00BB29A9">
        <w:rPr>
          <w:rFonts w:ascii="Verdana" w:hAnsi="Verdana"/>
          <w:i/>
          <w:sz w:val="20"/>
          <w:szCs w:val="20"/>
        </w:rPr>
        <w:t>C</w:t>
      </w:r>
      <w:r w:rsidR="00890922" w:rsidRPr="00BB29A9">
        <w:rPr>
          <w:rFonts w:ascii="Verdana" w:hAnsi="Verdana"/>
          <w:i/>
          <w:sz w:val="20"/>
          <w:szCs w:val="20"/>
        </w:rPr>
        <w:t>.1. Medida ordenada por la Corte</w:t>
      </w:r>
      <w:r w:rsidR="002E551A" w:rsidRPr="00BB29A9">
        <w:rPr>
          <w:rFonts w:ascii="Verdana" w:hAnsi="Verdana"/>
          <w:i/>
          <w:sz w:val="20"/>
          <w:szCs w:val="20"/>
        </w:rPr>
        <w:t xml:space="preserve"> y supervisión realizada en resolución anterior</w:t>
      </w:r>
    </w:p>
    <w:p w14:paraId="153E7926" w14:textId="77777777" w:rsidR="00A34F91" w:rsidRPr="00777100" w:rsidRDefault="000656DE" w:rsidP="00777100">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En el punto resolutivo </w:t>
      </w:r>
      <w:r w:rsidR="00F30B38" w:rsidRPr="00BB29A9">
        <w:rPr>
          <w:rFonts w:ascii="Verdana" w:hAnsi="Verdana"/>
          <w:sz w:val="20"/>
          <w:szCs w:val="20"/>
        </w:rPr>
        <w:t>octavo</w:t>
      </w:r>
      <w:r w:rsidRPr="00BB29A9">
        <w:rPr>
          <w:rFonts w:ascii="Verdana" w:hAnsi="Verdana"/>
          <w:sz w:val="20"/>
          <w:szCs w:val="20"/>
        </w:rPr>
        <w:t xml:space="preserve"> y en los párrafos 10</w:t>
      </w:r>
      <w:r w:rsidR="00F30B38" w:rsidRPr="00BB29A9">
        <w:rPr>
          <w:rFonts w:ascii="Verdana" w:hAnsi="Verdana"/>
          <w:sz w:val="20"/>
          <w:szCs w:val="20"/>
        </w:rPr>
        <w:t>5</w:t>
      </w:r>
      <w:r w:rsidRPr="00BB29A9">
        <w:rPr>
          <w:rFonts w:ascii="Verdana" w:hAnsi="Verdana"/>
          <w:sz w:val="20"/>
          <w:szCs w:val="20"/>
        </w:rPr>
        <w:t xml:space="preserve"> y 117 de la Sentencia, la Corte dispuso que </w:t>
      </w:r>
      <w:r w:rsidR="00DD17CF" w:rsidRPr="00BB29A9">
        <w:rPr>
          <w:rFonts w:ascii="Verdana" w:hAnsi="Verdana"/>
          <w:sz w:val="20"/>
          <w:szCs w:val="20"/>
        </w:rPr>
        <w:t>“[e]l Estado debe proveer de vivienda adecuada a aquellas víctimas sobrevivientes que residan en la aldea de Plan de Sánchez y que así lo requieran”</w:t>
      </w:r>
      <w:r w:rsidR="00F30B38" w:rsidRPr="00BB29A9">
        <w:rPr>
          <w:rFonts w:ascii="Verdana" w:hAnsi="Verdana"/>
          <w:sz w:val="20"/>
          <w:szCs w:val="20"/>
        </w:rPr>
        <w:t>.</w:t>
      </w:r>
      <w:r w:rsidR="00A34F91" w:rsidRPr="00BB29A9">
        <w:rPr>
          <w:rFonts w:ascii="Verdana" w:hAnsi="Verdana"/>
          <w:sz w:val="20"/>
          <w:szCs w:val="20"/>
        </w:rPr>
        <w:t xml:space="preserve"> En</w:t>
      </w:r>
      <w:r w:rsidR="00AA7C69" w:rsidRPr="00BB29A9">
        <w:rPr>
          <w:rFonts w:ascii="Verdana" w:hAnsi="Verdana"/>
          <w:sz w:val="20"/>
          <w:szCs w:val="20"/>
        </w:rPr>
        <w:t xml:space="preserve"> los párrafos 66.a y 68.a de</w:t>
      </w:r>
      <w:r w:rsidR="00A34F91" w:rsidRPr="00BB29A9">
        <w:rPr>
          <w:rFonts w:ascii="Verdana" w:hAnsi="Verdana"/>
          <w:sz w:val="20"/>
          <w:szCs w:val="20"/>
        </w:rPr>
        <w:t xml:space="preserve"> dicha Sentencia </w:t>
      </w:r>
      <w:r w:rsidR="00294B1D" w:rsidRPr="00BB29A9">
        <w:rPr>
          <w:rFonts w:ascii="Verdana" w:hAnsi="Verdana"/>
          <w:sz w:val="20"/>
          <w:szCs w:val="20"/>
        </w:rPr>
        <w:t>se establec</w:t>
      </w:r>
      <w:r w:rsidR="00241CCE" w:rsidRPr="00BB29A9">
        <w:rPr>
          <w:rFonts w:ascii="Verdana" w:hAnsi="Verdana"/>
          <w:sz w:val="20"/>
          <w:szCs w:val="20"/>
        </w:rPr>
        <w:t>ió</w:t>
      </w:r>
      <w:r w:rsidR="00294B1D" w:rsidRPr="00BB29A9">
        <w:rPr>
          <w:rFonts w:ascii="Verdana" w:hAnsi="Verdana"/>
          <w:sz w:val="20"/>
          <w:szCs w:val="20"/>
        </w:rPr>
        <w:t xml:space="preserve"> </w:t>
      </w:r>
      <w:r w:rsidR="00241CCE" w:rsidRPr="00BB29A9">
        <w:rPr>
          <w:rFonts w:ascii="Verdana" w:hAnsi="Verdana"/>
          <w:sz w:val="20"/>
          <w:szCs w:val="20"/>
        </w:rPr>
        <w:t xml:space="preserve">un listado </w:t>
      </w:r>
      <w:r w:rsidR="00294B1D" w:rsidRPr="00BB29A9">
        <w:rPr>
          <w:rFonts w:ascii="Verdana" w:hAnsi="Verdana"/>
          <w:sz w:val="20"/>
          <w:szCs w:val="20"/>
        </w:rPr>
        <w:t>de</w:t>
      </w:r>
      <w:r w:rsidR="00241CCE" w:rsidRPr="00BB29A9">
        <w:rPr>
          <w:rFonts w:ascii="Verdana" w:hAnsi="Verdana"/>
          <w:sz w:val="20"/>
          <w:szCs w:val="20"/>
        </w:rPr>
        <w:t xml:space="preserve"> </w:t>
      </w:r>
      <w:r w:rsidR="00294B1D" w:rsidRPr="00BB29A9">
        <w:rPr>
          <w:rFonts w:ascii="Verdana" w:hAnsi="Verdana"/>
          <w:sz w:val="20"/>
          <w:szCs w:val="20"/>
        </w:rPr>
        <w:t>45 víctimas</w:t>
      </w:r>
      <w:r w:rsidR="00B148B7" w:rsidRPr="00BB29A9">
        <w:rPr>
          <w:rStyle w:val="Refdenotaalpie"/>
          <w:rFonts w:ascii="Verdana" w:hAnsi="Verdana"/>
          <w:sz w:val="20"/>
          <w:szCs w:val="20"/>
        </w:rPr>
        <w:footnoteReference w:id="26"/>
      </w:r>
      <w:r w:rsidR="00241CCE" w:rsidRPr="00BB29A9">
        <w:rPr>
          <w:rFonts w:ascii="Verdana" w:hAnsi="Verdana"/>
          <w:sz w:val="20"/>
          <w:szCs w:val="20"/>
        </w:rPr>
        <w:t xml:space="preserve"> </w:t>
      </w:r>
      <w:r w:rsidR="0049552F" w:rsidRPr="00BB29A9">
        <w:rPr>
          <w:rFonts w:ascii="Verdana" w:hAnsi="Verdana"/>
          <w:sz w:val="20"/>
          <w:szCs w:val="20"/>
        </w:rPr>
        <w:t>d</w:t>
      </w:r>
      <w:r w:rsidR="00294B1D" w:rsidRPr="00BB29A9">
        <w:rPr>
          <w:rFonts w:ascii="Verdana" w:hAnsi="Verdana"/>
          <w:sz w:val="20"/>
          <w:szCs w:val="20"/>
        </w:rPr>
        <w:t xml:space="preserve">e </w:t>
      </w:r>
      <w:r w:rsidR="0049552F" w:rsidRPr="00BB29A9">
        <w:rPr>
          <w:rFonts w:ascii="Verdana" w:hAnsi="Verdana"/>
          <w:sz w:val="20"/>
          <w:szCs w:val="20"/>
        </w:rPr>
        <w:t xml:space="preserve">la comunidad </w:t>
      </w:r>
      <w:r w:rsidR="0049552F" w:rsidRPr="00777100">
        <w:rPr>
          <w:rFonts w:ascii="Verdana" w:hAnsi="Verdana"/>
          <w:sz w:val="20"/>
          <w:szCs w:val="20"/>
        </w:rPr>
        <w:t>de Plan de Sánchez</w:t>
      </w:r>
      <w:r w:rsidR="00294B1D" w:rsidRPr="00777100">
        <w:rPr>
          <w:rFonts w:ascii="Verdana" w:hAnsi="Verdana"/>
          <w:sz w:val="20"/>
          <w:szCs w:val="20"/>
        </w:rPr>
        <w:t xml:space="preserve"> que podían presentarse “ante las</w:t>
      </w:r>
      <w:r w:rsidR="00241CCE" w:rsidRPr="00777100">
        <w:rPr>
          <w:rFonts w:ascii="Verdana" w:hAnsi="Verdana"/>
          <w:sz w:val="20"/>
          <w:szCs w:val="20"/>
        </w:rPr>
        <w:t xml:space="preserve"> </w:t>
      </w:r>
      <w:r w:rsidR="00294B1D" w:rsidRPr="00777100">
        <w:rPr>
          <w:rFonts w:ascii="Verdana" w:hAnsi="Verdana"/>
          <w:sz w:val="20"/>
          <w:szCs w:val="20"/>
        </w:rPr>
        <w:t>autoridades competentes del Estado dentro de los veinticuatro meses siguientes a la fecha</w:t>
      </w:r>
      <w:r w:rsidR="00241CCE" w:rsidRPr="00777100">
        <w:rPr>
          <w:rFonts w:ascii="Verdana" w:hAnsi="Verdana"/>
          <w:sz w:val="20"/>
          <w:szCs w:val="20"/>
        </w:rPr>
        <w:t xml:space="preserve"> </w:t>
      </w:r>
      <w:r w:rsidR="00294B1D" w:rsidRPr="00777100">
        <w:rPr>
          <w:rFonts w:ascii="Verdana" w:hAnsi="Verdana"/>
          <w:sz w:val="20"/>
          <w:szCs w:val="20"/>
        </w:rPr>
        <w:t xml:space="preserve">de notificación de [la] Sentencia y </w:t>
      </w:r>
      <w:proofErr w:type="spellStart"/>
      <w:r w:rsidR="00294B1D" w:rsidRPr="00777100">
        <w:rPr>
          <w:rFonts w:ascii="Verdana" w:hAnsi="Verdana"/>
          <w:sz w:val="20"/>
          <w:szCs w:val="20"/>
        </w:rPr>
        <w:t>aport</w:t>
      </w:r>
      <w:proofErr w:type="spellEnd"/>
      <w:r w:rsidR="00294B1D" w:rsidRPr="00777100">
        <w:rPr>
          <w:rFonts w:ascii="Verdana" w:hAnsi="Verdana"/>
          <w:sz w:val="20"/>
          <w:szCs w:val="20"/>
        </w:rPr>
        <w:t>[ar] la información necesaria para su identificación”.</w:t>
      </w:r>
      <w:r w:rsidR="00241CCE" w:rsidRPr="00777100">
        <w:rPr>
          <w:rFonts w:ascii="Verdana" w:hAnsi="Verdana"/>
          <w:sz w:val="20"/>
          <w:szCs w:val="20"/>
        </w:rPr>
        <w:t xml:space="preserve"> </w:t>
      </w:r>
      <w:r w:rsidR="00294B1D" w:rsidRPr="00777100">
        <w:rPr>
          <w:rFonts w:ascii="Verdana" w:hAnsi="Verdana"/>
          <w:sz w:val="20"/>
          <w:szCs w:val="20"/>
        </w:rPr>
        <w:t>La Corte no ordenó esta medida de reparación a favor de las víctimas de otras comunidades</w:t>
      </w:r>
      <w:r w:rsidR="00241CCE" w:rsidRPr="00777100">
        <w:rPr>
          <w:rFonts w:ascii="Verdana" w:hAnsi="Verdana"/>
          <w:sz w:val="20"/>
          <w:szCs w:val="20"/>
        </w:rPr>
        <w:t xml:space="preserve"> </w:t>
      </w:r>
      <w:r w:rsidR="00294B1D" w:rsidRPr="00777100">
        <w:rPr>
          <w:rFonts w:ascii="Verdana" w:hAnsi="Verdana"/>
          <w:sz w:val="20"/>
          <w:szCs w:val="20"/>
        </w:rPr>
        <w:t>(enlistadas en los párrafos 66.b y 68.b de la Sentencia), sólo la dispuso a favor de las de</w:t>
      </w:r>
      <w:r w:rsidR="00241CCE" w:rsidRPr="00777100">
        <w:rPr>
          <w:rFonts w:ascii="Verdana" w:hAnsi="Verdana"/>
          <w:sz w:val="20"/>
          <w:szCs w:val="20"/>
        </w:rPr>
        <w:t xml:space="preserve"> </w:t>
      </w:r>
      <w:r w:rsidR="00294B1D" w:rsidRPr="00777100">
        <w:rPr>
          <w:rFonts w:ascii="Verdana" w:hAnsi="Verdana"/>
          <w:sz w:val="20"/>
          <w:szCs w:val="20"/>
        </w:rPr>
        <w:t>Plan de Sánchez.</w:t>
      </w:r>
    </w:p>
    <w:p w14:paraId="18BA5C4E" w14:textId="0C90AD21" w:rsidR="0022081A" w:rsidRPr="00777100" w:rsidRDefault="00777100" w:rsidP="00777100">
      <w:pPr>
        <w:pStyle w:val="Prrafodelista"/>
        <w:numPr>
          <w:ilvl w:val="0"/>
          <w:numId w:val="14"/>
        </w:numPr>
        <w:spacing w:before="120" w:after="120" w:line="240" w:lineRule="auto"/>
        <w:ind w:left="0" w:firstLine="0"/>
        <w:contextualSpacing w:val="0"/>
        <w:jc w:val="both"/>
        <w:rPr>
          <w:rFonts w:ascii="Verdana" w:hAnsi="Verdana"/>
          <w:sz w:val="20"/>
          <w:szCs w:val="20"/>
        </w:rPr>
      </w:pPr>
      <w:r w:rsidRPr="00777100">
        <w:rPr>
          <w:rFonts w:ascii="Verdana" w:hAnsi="Verdana"/>
          <w:sz w:val="20"/>
          <w:szCs w:val="20"/>
          <w:shd w:val="clear" w:color="auto" w:fill="FFFFFF"/>
        </w:rPr>
        <w:t xml:space="preserve">En la Resolución de supervisión de 2011, el Tribunal valoró positivamente los esfuerzos efectuados por el Estado para plantear el desarrollo de un proyecto habitacional con el fin de dar cumplimiento a esta reparación. </w:t>
      </w:r>
      <w:r w:rsidRPr="00494B18">
        <w:rPr>
          <w:rFonts w:ascii="Verdana" w:hAnsi="Verdana"/>
          <w:sz w:val="20"/>
          <w:szCs w:val="20"/>
        </w:rPr>
        <w:t>Asimismo, la Corte indicó que “toma en cuenta que en sus observaciones de 25 de octubre de 2010 los representantes indicaron que los beneficiarios les manifestaron que las dimensiones de las viviendas a construir no son adecuadas para el número de miembros, de 8 a 10 que conforman una familia, por lo que señalaron que es posible que cuando se construyan no puedan ser utilizadas”.</w:t>
      </w:r>
      <w:r w:rsidRPr="00777100">
        <w:rPr>
          <w:rFonts w:ascii="Verdana" w:hAnsi="Verdana"/>
          <w:sz w:val="20"/>
          <w:szCs w:val="20"/>
        </w:rPr>
        <w:t xml:space="preserve"> </w:t>
      </w:r>
      <w:r w:rsidRPr="00777100">
        <w:rPr>
          <w:rFonts w:ascii="Verdana" w:hAnsi="Verdana"/>
          <w:sz w:val="20"/>
          <w:szCs w:val="20"/>
          <w:shd w:val="clear" w:color="auto" w:fill="FFFFFF"/>
        </w:rPr>
        <w:t xml:space="preserve">El Tribunal requirió al </w:t>
      </w:r>
      <w:r w:rsidRPr="00777100">
        <w:rPr>
          <w:rFonts w:ascii="Verdana" w:hAnsi="Verdana"/>
          <w:sz w:val="20"/>
          <w:szCs w:val="20"/>
        </w:rPr>
        <w:t xml:space="preserve">Estado que presentara “información actualizada y detallada sobre las diligencias que ha realizado recientemente y, de ser posible, sobre la ejecución del programa habitacional, para lo cual debe incluir, entre otros: a) una lista con el nombre de los beneficiarios a los cuales se aprobó la construcción de la vivienda; b) las características de las viviendas que se van a construir; c) una lista con el nombre de los beneficiarios cuyos expedientes se encuentran pendientes de aprobación y las razones de ello, y d) un cronograma sobre ejecución del plan habitacional correspondiente”. </w:t>
      </w:r>
      <w:r w:rsidR="00DB78DA" w:rsidRPr="00777100">
        <w:rPr>
          <w:rFonts w:ascii="Verdana" w:hAnsi="Verdana"/>
          <w:sz w:val="20"/>
          <w:szCs w:val="20"/>
        </w:rPr>
        <w:t>En la Resolución de 25 de mayo de 2017</w:t>
      </w:r>
      <w:r w:rsidR="00207D54" w:rsidRPr="00777100">
        <w:rPr>
          <w:rFonts w:ascii="Verdana" w:hAnsi="Verdana"/>
          <w:sz w:val="20"/>
          <w:szCs w:val="20"/>
        </w:rPr>
        <w:t>,</w:t>
      </w:r>
      <w:r w:rsidR="00DB78DA" w:rsidRPr="00777100">
        <w:rPr>
          <w:rFonts w:ascii="Verdana" w:hAnsi="Verdana"/>
          <w:sz w:val="20"/>
          <w:szCs w:val="20"/>
        </w:rPr>
        <w:t xml:space="preserve"> la Corte</w:t>
      </w:r>
      <w:r w:rsidR="00B148B7" w:rsidRPr="00777100">
        <w:rPr>
          <w:rFonts w:ascii="Verdana" w:hAnsi="Verdana"/>
          <w:sz w:val="20"/>
          <w:szCs w:val="20"/>
        </w:rPr>
        <w:t xml:space="preserve"> </w:t>
      </w:r>
      <w:r w:rsidR="001F2592" w:rsidRPr="00777100">
        <w:rPr>
          <w:rFonts w:ascii="Verdana" w:hAnsi="Verdana"/>
          <w:sz w:val="20"/>
          <w:szCs w:val="20"/>
        </w:rPr>
        <w:t xml:space="preserve">valoró que </w:t>
      </w:r>
      <w:r w:rsidR="00327A31" w:rsidRPr="00777100">
        <w:rPr>
          <w:rFonts w:ascii="Verdana" w:hAnsi="Verdana"/>
          <w:sz w:val="20"/>
          <w:szCs w:val="20"/>
        </w:rPr>
        <w:t>el Estado se enc</w:t>
      </w:r>
      <w:r w:rsidR="00045262" w:rsidRPr="00777100">
        <w:rPr>
          <w:rFonts w:ascii="Verdana" w:hAnsi="Verdana"/>
          <w:sz w:val="20"/>
          <w:szCs w:val="20"/>
        </w:rPr>
        <w:t>ontraba</w:t>
      </w:r>
      <w:r w:rsidR="00327A31" w:rsidRPr="00777100">
        <w:rPr>
          <w:rFonts w:ascii="Verdana" w:hAnsi="Verdana"/>
          <w:sz w:val="20"/>
          <w:szCs w:val="20"/>
        </w:rPr>
        <w:t xml:space="preserve"> desarrollando un programa habitacional </w:t>
      </w:r>
      <w:r w:rsidR="00A71C92" w:rsidRPr="00777100">
        <w:rPr>
          <w:rFonts w:ascii="Verdana" w:hAnsi="Verdana"/>
          <w:sz w:val="20"/>
          <w:szCs w:val="20"/>
        </w:rPr>
        <w:t xml:space="preserve">en ejecución de la reparación ordenada, </w:t>
      </w:r>
      <w:r w:rsidR="004A58BD" w:rsidRPr="00777100">
        <w:rPr>
          <w:rFonts w:ascii="Verdana" w:hAnsi="Verdana"/>
          <w:sz w:val="20"/>
          <w:szCs w:val="20"/>
        </w:rPr>
        <w:t xml:space="preserve">y que en una primera etapa de ejecución del programa se proveyó de vivienda a </w:t>
      </w:r>
      <w:r w:rsidR="00DC4924" w:rsidRPr="00777100">
        <w:rPr>
          <w:rFonts w:ascii="Verdana" w:hAnsi="Verdana"/>
          <w:sz w:val="20"/>
          <w:szCs w:val="20"/>
        </w:rPr>
        <w:t>seis de las 45 víctimas</w:t>
      </w:r>
      <w:r w:rsidR="00327D61" w:rsidRPr="00777100">
        <w:rPr>
          <w:rFonts w:ascii="Verdana" w:hAnsi="Verdana"/>
          <w:sz w:val="20"/>
          <w:szCs w:val="20"/>
        </w:rPr>
        <w:t xml:space="preserve">. </w:t>
      </w:r>
      <w:r w:rsidR="00045262" w:rsidRPr="00777100">
        <w:rPr>
          <w:rFonts w:ascii="Verdana" w:hAnsi="Verdana"/>
          <w:sz w:val="20"/>
          <w:szCs w:val="20"/>
        </w:rPr>
        <w:t xml:space="preserve">Asimismo, dejó constando que, según lo informado, </w:t>
      </w:r>
      <w:r w:rsidR="00DC4924" w:rsidRPr="00777100">
        <w:rPr>
          <w:rFonts w:ascii="Verdana" w:hAnsi="Verdana"/>
          <w:sz w:val="20"/>
          <w:szCs w:val="20"/>
        </w:rPr>
        <w:t>e</w:t>
      </w:r>
      <w:r w:rsidR="000B5476" w:rsidRPr="00777100">
        <w:rPr>
          <w:rFonts w:ascii="Verdana" w:hAnsi="Verdana"/>
          <w:sz w:val="20"/>
          <w:szCs w:val="20"/>
        </w:rPr>
        <w:t>n la segunda</w:t>
      </w:r>
      <w:r w:rsidR="00327D61" w:rsidRPr="00777100">
        <w:rPr>
          <w:rFonts w:ascii="Verdana" w:hAnsi="Verdana"/>
          <w:sz w:val="20"/>
          <w:szCs w:val="20"/>
        </w:rPr>
        <w:t xml:space="preserve"> etapa</w:t>
      </w:r>
      <w:r w:rsidR="000B5476" w:rsidRPr="00777100">
        <w:rPr>
          <w:rFonts w:ascii="Verdana" w:hAnsi="Verdana"/>
          <w:sz w:val="20"/>
          <w:szCs w:val="20"/>
        </w:rPr>
        <w:t xml:space="preserve">, </w:t>
      </w:r>
      <w:r w:rsidR="00301F94" w:rsidRPr="00777100">
        <w:rPr>
          <w:rFonts w:ascii="Verdana" w:hAnsi="Verdana"/>
          <w:sz w:val="20"/>
          <w:szCs w:val="20"/>
        </w:rPr>
        <w:t>se aprobaron “</w:t>
      </w:r>
      <w:r w:rsidR="000B5476" w:rsidRPr="00777100">
        <w:rPr>
          <w:rFonts w:ascii="Verdana" w:hAnsi="Verdana"/>
          <w:sz w:val="20"/>
          <w:szCs w:val="20"/>
        </w:rPr>
        <w:t>119 expedientes”, los cuales “ser[</w:t>
      </w:r>
      <w:proofErr w:type="spellStart"/>
      <w:r w:rsidR="000B5476" w:rsidRPr="00777100">
        <w:rPr>
          <w:rFonts w:ascii="Verdana" w:hAnsi="Verdana"/>
          <w:sz w:val="20"/>
          <w:szCs w:val="20"/>
        </w:rPr>
        <w:t>ía</w:t>
      </w:r>
      <w:proofErr w:type="spellEnd"/>
      <w:r w:rsidR="000B5476" w:rsidRPr="00777100">
        <w:rPr>
          <w:rFonts w:ascii="Verdana" w:hAnsi="Verdana"/>
          <w:sz w:val="20"/>
          <w:szCs w:val="20"/>
        </w:rPr>
        <w:t>]n enviados a la entidad Bancaria ‘Crédito Hipotecario Nacional’ para la elaboración de los estudios socioeconómicos y proceder a la aprobación del presupuesto para su ejecución, a través de la empresa constructor</w:t>
      </w:r>
      <w:r w:rsidR="00E55710" w:rsidRPr="00777100">
        <w:rPr>
          <w:rFonts w:ascii="Verdana" w:hAnsi="Verdana"/>
          <w:sz w:val="20"/>
          <w:szCs w:val="20"/>
        </w:rPr>
        <w:t>a que los beneficiarios elijan”</w:t>
      </w:r>
      <w:r w:rsidR="009B112A" w:rsidRPr="00777100">
        <w:rPr>
          <w:rFonts w:ascii="Verdana" w:hAnsi="Verdana"/>
          <w:sz w:val="20"/>
          <w:szCs w:val="20"/>
        </w:rPr>
        <w:t>.</w:t>
      </w:r>
      <w:r w:rsidR="00327D61" w:rsidRPr="00777100">
        <w:rPr>
          <w:rFonts w:ascii="Verdana" w:hAnsi="Verdana"/>
          <w:sz w:val="20"/>
          <w:szCs w:val="20"/>
        </w:rPr>
        <w:t xml:space="preserve"> </w:t>
      </w:r>
      <w:r w:rsidR="00301F94" w:rsidRPr="00777100">
        <w:rPr>
          <w:rFonts w:ascii="Verdana" w:hAnsi="Verdana"/>
          <w:sz w:val="20"/>
          <w:szCs w:val="20"/>
        </w:rPr>
        <w:t>La Corte consideró que la medida se encontraba pendiente de cumplimiento, d</w:t>
      </w:r>
      <w:r w:rsidR="00327D61" w:rsidRPr="00777100">
        <w:rPr>
          <w:rFonts w:ascii="Verdana" w:hAnsi="Verdana"/>
          <w:sz w:val="20"/>
          <w:szCs w:val="20"/>
        </w:rPr>
        <w:t xml:space="preserve">ado que </w:t>
      </w:r>
      <w:r w:rsidR="0049552F" w:rsidRPr="00777100">
        <w:rPr>
          <w:rFonts w:ascii="Verdana" w:hAnsi="Verdana"/>
          <w:sz w:val="20"/>
          <w:szCs w:val="20"/>
        </w:rPr>
        <w:t xml:space="preserve">no todas las </w:t>
      </w:r>
      <w:r w:rsidR="00E55710" w:rsidRPr="00777100">
        <w:rPr>
          <w:rFonts w:ascii="Verdana" w:hAnsi="Verdana"/>
          <w:sz w:val="20"/>
          <w:szCs w:val="20"/>
        </w:rPr>
        <w:t xml:space="preserve">45 </w:t>
      </w:r>
      <w:r w:rsidR="0049552F" w:rsidRPr="00777100">
        <w:rPr>
          <w:rFonts w:ascii="Verdana" w:hAnsi="Verdana"/>
          <w:sz w:val="20"/>
          <w:szCs w:val="20"/>
        </w:rPr>
        <w:t xml:space="preserve">víctimas </w:t>
      </w:r>
      <w:r w:rsidR="00DA0901" w:rsidRPr="00777100">
        <w:rPr>
          <w:rFonts w:ascii="Verdana" w:hAnsi="Verdana"/>
          <w:sz w:val="20"/>
          <w:szCs w:val="20"/>
        </w:rPr>
        <w:t>de</w:t>
      </w:r>
      <w:r w:rsidR="0049552F" w:rsidRPr="00777100">
        <w:rPr>
          <w:rFonts w:ascii="Verdana" w:hAnsi="Verdana"/>
          <w:sz w:val="20"/>
          <w:szCs w:val="20"/>
        </w:rPr>
        <w:t xml:space="preserve"> la Sentencia ha</w:t>
      </w:r>
      <w:r w:rsidR="00327D61" w:rsidRPr="00777100">
        <w:rPr>
          <w:rFonts w:ascii="Verdana" w:hAnsi="Verdana"/>
          <w:sz w:val="20"/>
          <w:szCs w:val="20"/>
        </w:rPr>
        <w:t>bían</w:t>
      </w:r>
      <w:r w:rsidR="0049552F" w:rsidRPr="00777100">
        <w:rPr>
          <w:rFonts w:ascii="Verdana" w:hAnsi="Verdana"/>
          <w:sz w:val="20"/>
          <w:szCs w:val="20"/>
        </w:rPr>
        <w:t xml:space="preserve"> recibido las viviendas</w:t>
      </w:r>
      <w:r w:rsidR="00327D61" w:rsidRPr="00777100">
        <w:rPr>
          <w:rFonts w:ascii="Verdana" w:hAnsi="Verdana"/>
          <w:sz w:val="20"/>
          <w:szCs w:val="20"/>
        </w:rPr>
        <w:t xml:space="preserve">, y </w:t>
      </w:r>
      <w:r w:rsidR="001F2592" w:rsidRPr="00777100">
        <w:rPr>
          <w:rFonts w:ascii="Verdana" w:hAnsi="Verdana"/>
          <w:sz w:val="20"/>
          <w:szCs w:val="20"/>
        </w:rPr>
        <w:t xml:space="preserve">que se recibieron observaciones de las víctimas </w:t>
      </w:r>
      <w:r w:rsidR="00DA0901" w:rsidRPr="00777100">
        <w:rPr>
          <w:rFonts w:ascii="Verdana" w:hAnsi="Verdana"/>
          <w:sz w:val="20"/>
          <w:szCs w:val="20"/>
        </w:rPr>
        <w:t xml:space="preserve">y sus representantes </w:t>
      </w:r>
      <w:r w:rsidR="00EF4723" w:rsidRPr="00777100">
        <w:rPr>
          <w:rFonts w:ascii="Verdana" w:hAnsi="Verdana"/>
          <w:sz w:val="20"/>
          <w:szCs w:val="20"/>
        </w:rPr>
        <w:t xml:space="preserve">que cuestionaron </w:t>
      </w:r>
      <w:r w:rsidR="001F2592" w:rsidRPr="00777100">
        <w:rPr>
          <w:rFonts w:ascii="Verdana" w:hAnsi="Verdana"/>
          <w:sz w:val="20"/>
          <w:szCs w:val="20"/>
        </w:rPr>
        <w:t xml:space="preserve">la </w:t>
      </w:r>
      <w:r w:rsidR="00327D61" w:rsidRPr="00777100">
        <w:rPr>
          <w:rFonts w:ascii="Verdana" w:hAnsi="Verdana"/>
          <w:sz w:val="20"/>
          <w:szCs w:val="20"/>
        </w:rPr>
        <w:t>calidad de las</w:t>
      </w:r>
      <w:r w:rsidR="001F2592" w:rsidRPr="00777100">
        <w:rPr>
          <w:rFonts w:ascii="Verdana" w:hAnsi="Verdana"/>
          <w:sz w:val="20"/>
          <w:szCs w:val="20"/>
        </w:rPr>
        <w:t xml:space="preserve"> </w:t>
      </w:r>
      <w:r w:rsidR="00327D61" w:rsidRPr="00777100">
        <w:rPr>
          <w:rFonts w:ascii="Verdana" w:hAnsi="Verdana"/>
          <w:sz w:val="20"/>
          <w:szCs w:val="20"/>
        </w:rPr>
        <w:t>viviendas</w:t>
      </w:r>
      <w:r w:rsidR="00C612F1" w:rsidRPr="00777100">
        <w:rPr>
          <w:rFonts w:ascii="Verdana" w:hAnsi="Verdana"/>
          <w:sz w:val="20"/>
          <w:szCs w:val="20"/>
        </w:rPr>
        <w:t xml:space="preserve"> entregadas</w:t>
      </w:r>
      <w:r w:rsidR="00207D54" w:rsidRPr="00BB29A9">
        <w:rPr>
          <w:rStyle w:val="Refdenotaalpie"/>
          <w:rFonts w:ascii="Verdana" w:hAnsi="Verdana"/>
          <w:sz w:val="20"/>
          <w:szCs w:val="20"/>
        </w:rPr>
        <w:footnoteReference w:id="27"/>
      </w:r>
      <w:r w:rsidR="00E55710" w:rsidRPr="00777100">
        <w:rPr>
          <w:rFonts w:ascii="Verdana" w:hAnsi="Verdana"/>
          <w:sz w:val="20"/>
          <w:szCs w:val="20"/>
        </w:rPr>
        <w:t>.</w:t>
      </w:r>
    </w:p>
    <w:p w14:paraId="4073EA56" w14:textId="77777777" w:rsidR="0022081A" w:rsidRPr="00BB29A9" w:rsidRDefault="0022081A" w:rsidP="0022081A">
      <w:pPr>
        <w:spacing w:before="120" w:after="120" w:line="240" w:lineRule="auto"/>
        <w:ind w:firstLine="708"/>
        <w:rPr>
          <w:rFonts w:ascii="Verdana" w:hAnsi="Verdana"/>
          <w:i/>
          <w:sz w:val="20"/>
          <w:szCs w:val="20"/>
        </w:rPr>
      </w:pPr>
      <w:r w:rsidRPr="00BB29A9">
        <w:rPr>
          <w:rFonts w:ascii="Verdana" w:hAnsi="Verdana"/>
          <w:i/>
          <w:sz w:val="20"/>
          <w:szCs w:val="20"/>
        </w:rPr>
        <w:lastRenderedPageBreak/>
        <w:t>C.2. Consideraciones de la Corte</w:t>
      </w:r>
    </w:p>
    <w:p w14:paraId="60860549" w14:textId="637D6405" w:rsidR="00734E5F" w:rsidRPr="00494B18" w:rsidRDefault="0015793D" w:rsidP="00F47CE5">
      <w:pPr>
        <w:pStyle w:val="Prrafodelista"/>
        <w:numPr>
          <w:ilvl w:val="0"/>
          <w:numId w:val="14"/>
        </w:numPr>
        <w:spacing w:before="120" w:after="120" w:line="240" w:lineRule="auto"/>
        <w:ind w:left="0" w:firstLine="0"/>
        <w:contextualSpacing w:val="0"/>
        <w:jc w:val="both"/>
        <w:rPr>
          <w:rFonts w:ascii="Verdana" w:hAnsi="Verdana"/>
          <w:sz w:val="20"/>
          <w:szCs w:val="20"/>
        </w:rPr>
      </w:pPr>
      <w:r w:rsidRPr="00494B18">
        <w:rPr>
          <w:rFonts w:ascii="Verdana" w:hAnsi="Verdana"/>
          <w:sz w:val="20"/>
          <w:szCs w:val="20"/>
        </w:rPr>
        <w:t xml:space="preserve">Derivado de la información presentada con posterioridad a dicha Resolución, la Corte considera que el Estado </w:t>
      </w:r>
      <w:r w:rsidR="003A53D0" w:rsidRPr="00494B18">
        <w:rPr>
          <w:rFonts w:ascii="Verdana" w:hAnsi="Verdana"/>
          <w:sz w:val="20"/>
          <w:szCs w:val="20"/>
        </w:rPr>
        <w:t>entregó viviendas en el 2013</w:t>
      </w:r>
      <w:r w:rsidRPr="00494B18">
        <w:rPr>
          <w:rFonts w:ascii="Verdana" w:hAnsi="Verdana"/>
          <w:sz w:val="20"/>
          <w:szCs w:val="20"/>
        </w:rPr>
        <w:t xml:space="preserve"> a seis de las víctimas</w:t>
      </w:r>
      <w:r w:rsidR="00EF4723" w:rsidRPr="00494B18">
        <w:rPr>
          <w:rFonts w:ascii="Verdana" w:hAnsi="Verdana"/>
          <w:sz w:val="20"/>
          <w:szCs w:val="20"/>
        </w:rPr>
        <w:t xml:space="preserve"> </w:t>
      </w:r>
      <w:r w:rsidR="00C42042" w:rsidRPr="00494B18">
        <w:rPr>
          <w:rFonts w:ascii="Verdana" w:hAnsi="Verdana"/>
          <w:sz w:val="20"/>
          <w:szCs w:val="20"/>
        </w:rPr>
        <w:t>(Marí</w:t>
      </w:r>
      <w:r w:rsidR="00DA0901" w:rsidRPr="00494B18">
        <w:rPr>
          <w:rFonts w:ascii="Verdana" w:hAnsi="Verdana"/>
          <w:sz w:val="20"/>
          <w:szCs w:val="20"/>
        </w:rPr>
        <w:t>a Cristina Reyes Álvarez, Juana Álvarez Pérez, Juan Álvarez Pérez, Cesar Augusto Reyes Álvarez, Esteban Manuel Jerónimo, y Jorge Álvarez Pérez)</w:t>
      </w:r>
      <w:r w:rsidR="00325EA9" w:rsidRPr="00494B18">
        <w:rPr>
          <w:rStyle w:val="Refdenotaalpie"/>
          <w:rFonts w:ascii="Verdana" w:hAnsi="Verdana"/>
          <w:sz w:val="20"/>
          <w:szCs w:val="20"/>
        </w:rPr>
        <w:footnoteReference w:id="28"/>
      </w:r>
      <w:r w:rsidR="00DA0901" w:rsidRPr="00494B18">
        <w:rPr>
          <w:rFonts w:ascii="Verdana" w:hAnsi="Verdana"/>
          <w:sz w:val="20"/>
          <w:szCs w:val="20"/>
        </w:rPr>
        <w:t xml:space="preserve"> </w:t>
      </w:r>
      <w:r w:rsidR="00EF4723" w:rsidRPr="00494B18">
        <w:rPr>
          <w:rFonts w:ascii="Verdana" w:hAnsi="Verdana"/>
          <w:sz w:val="20"/>
          <w:szCs w:val="20"/>
        </w:rPr>
        <w:t xml:space="preserve">de las 45 víctimas beneficiarias de la medida. </w:t>
      </w:r>
      <w:r w:rsidR="003A53D0" w:rsidRPr="00494B18">
        <w:rPr>
          <w:rFonts w:ascii="Verdana" w:hAnsi="Verdana"/>
          <w:sz w:val="20"/>
          <w:szCs w:val="20"/>
        </w:rPr>
        <w:t>Sin embargo, contin</w:t>
      </w:r>
      <w:r w:rsidR="00120060" w:rsidRPr="00494B18">
        <w:rPr>
          <w:rFonts w:ascii="Verdana" w:hAnsi="Verdana"/>
          <w:sz w:val="20"/>
          <w:szCs w:val="20"/>
        </w:rPr>
        <w:t>úa</w:t>
      </w:r>
      <w:r w:rsidR="003A53D0" w:rsidRPr="00494B18">
        <w:rPr>
          <w:rFonts w:ascii="Verdana" w:hAnsi="Verdana"/>
          <w:sz w:val="20"/>
          <w:szCs w:val="20"/>
        </w:rPr>
        <w:t xml:space="preserve"> existiendo controversia entre las partes respecto a que se trate de viviendas dignas o adecuadas. </w:t>
      </w:r>
      <w:r w:rsidR="00FA5286" w:rsidRPr="00494B18">
        <w:rPr>
          <w:rFonts w:ascii="Verdana" w:hAnsi="Verdana"/>
          <w:sz w:val="20"/>
          <w:szCs w:val="20"/>
        </w:rPr>
        <w:t>Tanto en</w:t>
      </w:r>
      <w:r w:rsidR="00CC7E1E" w:rsidRPr="00494B18">
        <w:rPr>
          <w:rFonts w:ascii="Verdana" w:hAnsi="Verdana"/>
          <w:sz w:val="20"/>
          <w:szCs w:val="20"/>
        </w:rPr>
        <w:t xml:space="preserve"> el 2010</w:t>
      </w:r>
      <w:r w:rsidR="00FA5286" w:rsidRPr="00494B18">
        <w:rPr>
          <w:rFonts w:ascii="Verdana" w:hAnsi="Verdana"/>
          <w:sz w:val="20"/>
          <w:szCs w:val="20"/>
        </w:rPr>
        <w:t xml:space="preserve"> como en el 2018</w:t>
      </w:r>
      <w:r w:rsidR="00CC7E1E" w:rsidRPr="00494B18">
        <w:rPr>
          <w:rFonts w:ascii="Verdana" w:hAnsi="Verdana"/>
          <w:sz w:val="20"/>
          <w:szCs w:val="20"/>
        </w:rPr>
        <w:t xml:space="preserve">, los representantes </w:t>
      </w:r>
      <w:r w:rsidR="00FA5286" w:rsidRPr="00494B18">
        <w:rPr>
          <w:rFonts w:ascii="Verdana" w:hAnsi="Verdana"/>
          <w:sz w:val="20"/>
          <w:szCs w:val="20"/>
        </w:rPr>
        <w:t>de las víctimas objetaron que “</w:t>
      </w:r>
      <w:r w:rsidR="00CC7E1E" w:rsidRPr="00494B18">
        <w:rPr>
          <w:rFonts w:ascii="Verdana" w:hAnsi="Verdana"/>
          <w:sz w:val="20"/>
          <w:szCs w:val="20"/>
          <w:lang w:val="es-MX"/>
        </w:rPr>
        <w:t>el tamaño de la vivienda a construir no es la adecuada para el número de miembros de las familias</w:t>
      </w:r>
      <w:r w:rsidR="00FA5286" w:rsidRPr="00494B18">
        <w:rPr>
          <w:rFonts w:ascii="Verdana" w:hAnsi="Verdana"/>
          <w:sz w:val="20"/>
          <w:szCs w:val="20"/>
          <w:lang w:val="es-MX"/>
        </w:rPr>
        <w:t xml:space="preserve"> que conforman su comunidad, es decir, una familia de 8 o 10 miembros difícilmente podrán habitar en una casa como la que se pretende construir”. Ese alegato fue realizado tanto para las viviendas ya construidas como para las que restan por construir. Al respecto, la Corte ha constatado que, de acuerdo a la información aportada por el Estado en el 2012, las viviendas de la primera etapa consistían de tan solo 36 metros cuadrados de construcción, sin diferenciar entre el número de ocupantes de las mismas</w:t>
      </w:r>
      <w:r w:rsidR="00734E5F" w:rsidRPr="00494B18">
        <w:rPr>
          <w:rFonts w:ascii="Verdana" w:hAnsi="Verdana"/>
          <w:sz w:val="20"/>
          <w:szCs w:val="20"/>
          <w:lang w:val="es-MX"/>
        </w:rPr>
        <w:t xml:space="preserve">, y por ejemplo la familia de la víctima </w:t>
      </w:r>
      <w:r w:rsidR="00734E5F" w:rsidRPr="00494B18">
        <w:rPr>
          <w:rFonts w:ascii="Verdana" w:hAnsi="Verdana"/>
          <w:sz w:val="20"/>
          <w:szCs w:val="20"/>
        </w:rPr>
        <w:t>Esteban Manuel Jerónimo estaba conformada por seis miembros</w:t>
      </w:r>
      <w:r w:rsidR="00FA5286" w:rsidRPr="00494B18">
        <w:rPr>
          <w:rFonts w:ascii="Verdana" w:hAnsi="Verdana"/>
          <w:sz w:val="20"/>
          <w:szCs w:val="20"/>
          <w:lang w:val="es-MX"/>
        </w:rPr>
        <w:t xml:space="preserve">. </w:t>
      </w:r>
      <w:r w:rsidR="00120060" w:rsidRPr="00494B18">
        <w:rPr>
          <w:rFonts w:ascii="Verdana" w:hAnsi="Verdana"/>
          <w:sz w:val="20"/>
          <w:szCs w:val="20"/>
        </w:rPr>
        <w:t xml:space="preserve">Asimismo, en los años 2017 y 2018 una víctima y los representantes, respectivamente, efectuaron un alegato general de que los materiales utilizados en la construcción son “muy sencillos” o que no son “de la mejor calidad”, sin </w:t>
      </w:r>
      <w:r w:rsidR="00FA5286" w:rsidRPr="00494B18">
        <w:rPr>
          <w:rFonts w:ascii="Verdana" w:hAnsi="Verdana"/>
          <w:sz w:val="20"/>
          <w:szCs w:val="20"/>
        </w:rPr>
        <w:t>sustentar de forma clara y específica cuál era la problemática que presentarían tales materiales.</w:t>
      </w:r>
      <w:r w:rsidR="00120060" w:rsidRPr="00494B18">
        <w:rPr>
          <w:rFonts w:ascii="Verdana" w:hAnsi="Verdana"/>
          <w:sz w:val="20"/>
          <w:szCs w:val="20"/>
        </w:rPr>
        <w:t xml:space="preserve"> </w:t>
      </w:r>
      <w:r w:rsidR="00734E5F" w:rsidRPr="00494B18">
        <w:rPr>
          <w:rFonts w:ascii="Verdana" w:hAnsi="Verdana"/>
          <w:sz w:val="20"/>
          <w:szCs w:val="20"/>
        </w:rPr>
        <w:t>La Corte considerará el grado de cumplimiento de esta reparación para esas seis víctimas después de recibir información en la audiencia privada convocada en esta Resolución (</w:t>
      </w:r>
      <w:r w:rsidR="00734E5F" w:rsidRPr="00494B18">
        <w:rPr>
          <w:rFonts w:ascii="Verdana" w:hAnsi="Verdana"/>
          <w:i/>
          <w:sz w:val="20"/>
          <w:szCs w:val="20"/>
        </w:rPr>
        <w:t xml:space="preserve">infra </w:t>
      </w:r>
      <w:r w:rsidR="00734E5F" w:rsidRPr="00494B18">
        <w:rPr>
          <w:rFonts w:ascii="Verdana" w:hAnsi="Verdana"/>
          <w:sz w:val="20"/>
          <w:szCs w:val="20"/>
        </w:rPr>
        <w:t>punto resolutivo quinto). Resulta particularmente relevante que el E</w:t>
      </w:r>
      <w:r w:rsidR="00E7435D" w:rsidRPr="00494B18">
        <w:rPr>
          <w:rFonts w:ascii="Verdana" w:hAnsi="Verdana"/>
          <w:sz w:val="20"/>
          <w:szCs w:val="20"/>
        </w:rPr>
        <w:t xml:space="preserve">stado se refiera al aspecto de la habitabilidad de las viviendas (construidas y por construir) relativo </w:t>
      </w:r>
      <w:r w:rsidR="006878AE" w:rsidRPr="00494B18">
        <w:rPr>
          <w:rFonts w:ascii="Verdana" w:hAnsi="Verdana"/>
          <w:sz w:val="20"/>
          <w:szCs w:val="20"/>
        </w:rPr>
        <w:t>a que ofrezca un espacio adecuado a sus ocupantes (tomando en cuenta e</w:t>
      </w:r>
      <w:r w:rsidR="00E7435D" w:rsidRPr="00494B18">
        <w:rPr>
          <w:rFonts w:ascii="Verdana" w:hAnsi="Verdana"/>
          <w:sz w:val="20"/>
          <w:szCs w:val="20"/>
        </w:rPr>
        <w:t xml:space="preserve">l área de construcción </w:t>
      </w:r>
      <w:r w:rsidR="006878AE" w:rsidRPr="00494B18">
        <w:rPr>
          <w:rFonts w:ascii="Verdana" w:hAnsi="Verdana"/>
          <w:sz w:val="20"/>
          <w:szCs w:val="20"/>
        </w:rPr>
        <w:t xml:space="preserve">y </w:t>
      </w:r>
      <w:r w:rsidR="00E7435D" w:rsidRPr="00494B18">
        <w:rPr>
          <w:rFonts w:ascii="Verdana" w:hAnsi="Verdana"/>
          <w:sz w:val="20"/>
          <w:szCs w:val="20"/>
        </w:rPr>
        <w:t xml:space="preserve">el número </w:t>
      </w:r>
      <w:r w:rsidR="006878AE" w:rsidRPr="00494B18">
        <w:rPr>
          <w:rFonts w:ascii="Verdana" w:hAnsi="Verdana"/>
          <w:sz w:val="20"/>
          <w:szCs w:val="20"/>
        </w:rPr>
        <w:t xml:space="preserve">y perfil </w:t>
      </w:r>
      <w:r w:rsidR="00E7435D" w:rsidRPr="00494B18">
        <w:rPr>
          <w:rFonts w:ascii="Verdana" w:hAnsi="Verdana"/>
          <w:sz w:val="20"/>
          <w:szCs w:val="20"/>
        </w:rPr>
        <w:t>de ocupantes</w:t>
      </w:r>
      <w:r w:rsidR="006878AE" w:rsidRPr="00494B18">
        <w:rPr>
          <w:rFonts w:ascii="Verdana" w:hAnsi="Verdana"/>
          <w:sz w:val="20"/>
          <w:szCs w:val="20"/>
        </w:rPr>
        <w:t>)</w:t>
      </w:r>
      <w:r w:rsidR="00E7435D" w:rsidRPr="00494B18">
        <w:rPr>
          <w:rFonts w:ascii="Verdana" w:hAnsi="Verdana"/>
          <w:sz w:val="20"/>
          <w:szCs w:val="20"/>
        </w:rPr>
        <w:t>.</w:t>
      </w:r>
      <w:r w:rsidR="00E7435D" w:rsidRPr="00494B18">
        <w:rPr>
          <w:rFonts w:ascii="Verdana" w:hAnsi="Verdana"/>
          <w:b/>
          <w:sz w:val="20"/>
          <w:szCs w:val="20"/>
        </w:rPr>
        <w:t xml:space="preserve"> </w:t>
      </w:r>
    </w:p>
    <w:p w14:paraId="39F1C274" w14:textId="1F8C1357" w:rsidR="001A0994" w:rsidRPr="00BB29A9" w:rsidRDefault="00DC0C84" w:rsidP="00F47CE5">
      <w:pPr>
        <w:pStyle w:val="Prrafodelista"/>
        <w:numPr>
          <w:ilvl w:val="0"/>
          <w:numId w:val="14"/>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En cuanto a </w:t>
      </w:r>
      <w:r w:rsidR="00F47CE5" w:rsidRPr="00BB29A9">
        <w:rPr>
          <w:rFonts w:ascii="Verdana" w:hAnsi="Verdana"/>
          <w:sz w:val="20"/>
          <w:szCs w:val="20"/>
        </w:rPr>
        <w:t xml:space="preserve">las observaciones </w:t>
      </w:r>
      <w:r w:rsidR="00494B18">
        <w:rPr>
          <w:rFonts w:ascii="Verdana" w:hAnsi="Verdana"/>
          <w:sz w:val="20"/>
          <w:szCs w:val="20"/>
        </w:rPr>
        <w:t>efectuadas por</w:t>
      </w:r>
      <w:r w:rsidR="00F47CE5" w:rsidRPr="00BB29A9">
        <w:rPr>
          <w:rFonts w:ascii="Verdana" w:hAnsi="Verdana"/>
          <w:sz w:val="20"/>
          <w:szCs w:val="20"/>
        </w:rPr>
        <w:t xml:space="preserve"> los representantes </w:t>
      </w:r>
      <w:r>
        <w:rPr>
          <w:rFonts w:ascii="Verdana" w:hAnsi="Verdana"/>
          <w:sz w:val="20"/>
          <w:szCs w:val="20"/>
        </w:rPr>
        <w:t xml:space="preserve">en el 2018 </w:t>
      </w:r>
      <w:r w:rsidR="00F47CE5" w:rsidRPr="00BB29A9">
        <w:rPr>
          <w:rFonts w:ascii="Verdana" w:hAnsi="Verdana"/>
          <w:sz w:val="20"/>
          <w:szCs w:val="20"/>
        </w:rPr>
        <w:t xml:space="preserve">relativas a que las viviendas no son dignas pues no </w:t>
      </w:r>
      <w:r w:rsidR="00DD1E1F" w:rsidRPr="00BB29A9">
        <w:rPr>
          <w:rFonts w:ascii="Verdana" w:hAnsi="Verdana"/>
          <w:sz w:val="20"/>
          <w:szCs w:val="20"/>
        </w:rPr>
        <w:t>cuentan con</w:t>
      </w:r>
      <w:r w:rsidR="00F47CE5" w:rsidRPr="00BB29A9">
        <w:rPr>
          <w:rFonts w:ascii="Verdana" w:hAnsi="Verdana"/>
          <w:sz w:val="20"/>
          <w:szCs w:val="20"/>
        </w:rPr>
        <w:t xml:space="preserve"> un sistema de agua potable y alcantarillado</w:t>
      </w:r>
      <w:r w:rsidR="00F47CE5" w:rsidRPr="00BB29A9">
        <w:rPr>
          <w:rStyle w:val="Refdenotaalpie"/>
          <w:rFonts w:ascii="Verdana" w:hAnsi="Verdana"/>
          <w:sz w:val="20"/>
          <w:szCs w:val="20"/>
        </w:rPr>
        <w:footnoteReference w:id="29"/>
      </w:r>
      <w:r w:rsidR="00F47CE5" w:rsidRPr="00BB29A9">
        <w:rPr>
          <w:rFonts w:ascii="Verdana" w:hAnsi="Verdana"/>
          <w:sz w:val="20"/>
          <w:szCs w:val="20"/>
        </w:rPr>
        <w:t>,</w:t>
      </w:r>
      <w:r w:rsidR="0063441B" w:rsidRPr="00BB29A9">
        <w:rPr>
          <w:rFonts w:ascii="Verdana" w:hAnsi="Verdana"/>
          <w:sz w:val="20"/>
          <w:szCs w:val="20"/>
        </w:rPr>
        <w:t xml:space="preserve"> </w:t>
      </w:r>
      <w:r>
        <w:rPr>
          <w:rFonts w:ascii="Verdana" w:hAnsi="Verdana"/>
          <w:sz w:val="20"/>
          <w:szCs w:val="20"/>
        </w:rPr>
        <w:t xml:space="preserve">serán analizadas al valorar el grado de cumplimiento de </w:t>
      </w:r>
      <w:r w:rsidR="0063441B" w:rsidRPr="00BB29A9">
        <w:rPr>
          <w:rFonts w:ascii="Verdana" w:hAnsi="Verdana"/>
          <w:sz w:val="20"/>
          <w:szCs w:val="20"/>
        </w:rPr>
        <w:t>la</w:t>
      </w:r>
      <w:r w:rsidR="00F33126" w:rsidRPr="00BB29A9">
        <w:rPr>
          <w:rFonts w:ascii="Verdana" w:hAnsi="Verdana"/>
          <w:sz w:val="20"/>
          <w:szCs w:val="20"/>
        </w:rPr>
        <w:t>s</w:t>
      </w:r>
      <w:r w:rsidR="0063441B" w:rsidRPr="00BB29A9">
        <w:rPr>
          <w:rFonts w:ascii="Verdana" w:hAnsi="Verdana"/>
          <w:sz w:val="20"/>
          <w:szCs w:val="20"/>
        </w:rPr>
        <w:t xml:space="preserve"> </w:t>
      </w:r>
      <w:r w:rsidR="0063441B" w:rsidRPr="00BB29A9">
        <w:rPr>
          <w:rFonts w:ascii="Verdana" w:hAnsi="Verdana"/>
          <w:sz w:val="20"/>
          <w:szCs w:val="20"/>
        </w:rPr>
        <w:lastRenderedPageBreak/>
        <w:t>medida</w:t>
      </w:r>
      <w:r w:rsidR="00F33126" w:rsidRPr="00BB29A9">
        <w:rPr>
          <w:rFonts w:ascii="Verdana" w:hAnsi="Verdana"/>
          <w:sz w:val="20"/>
          <w:szCs w:val="20"/>
        </w:rPr>
        <w:t>s</w:t>
      </w:r>
      <w:r w:rsidR="0063441B" w:rsidRPr="00BB29A9">
        <w:rPr>
          <w:rFonts w:ascii="Verdana" w:hAnsi="Verdana"/>
          <w:sz w:val="20"/>
          <w:szCs w:val="20"/>
        </w:rPr>
        <w:t xml:space="preserve"> ordenada</w:t>
      </w:r>
      <w:r>
        <w:rPr>
          <w:rFonts w:ascii="Verdana" w:hAnsi="Verdana"/>
          <w:sz w:val="20"/>
          <w:szCs w:val="20"/>
        </w:rPr>
        <w:t>s</w:t>
      </w:r>
      <w:r w:rsidR="0063441B" w:rsidRPr="00BB29A9">
        <w:rPr>
          <w:rFonts w:ascii="Verdana" w:hAnsi="Verdana"/>
          <w:sz w:val="20"/>
          <w:szCs w:val="20"/>
        </w:rPr>
        <w:t xml:space="preserve"> en el punto resolutivo noveno de la Sentencia</w:t>
      </w:r>
      <w:r w:rsidR="004441F9" w:rsidRPr="00BB29A9">
        <w:rPr>
          <w:rFonts w:ascii="Verdana" w:hAnsi="Verdana"/>
          <w:sz w:val="20"/>
          <w:szCs w:val="20"/>
        </w:rPr>
        <w:t xml:space="preserve"> </w:t>
      </w:r>
      <w:r w:rsidR="0063441B" w:rsidRPr="00BB29A9">
        <w:rPr>
          <w:rFonts w:ascii="Verdana" w:hAnsi="Verdana"/>
          <w:sz w:val="20"/>
          <w:szCs w:val="20"/>
        </w:rPr>
        <w:t xml:space="preserve">en los Considerandos </w:t>
      </w:r>
      <w:r w:rsidR="00933401">
        <w:rPr>
          <w:rFonts w:ascii="Verdana" w:hAnsi="Verdana"/>
          <w:sz w:val="20"/>
          <w:szCs w:val="20"/>
        </w:rPr>
        <w:t>44 a 50</w:t>
      </w:r>
      <w:r w:rsidR="0063441B" w:rsidRPr="00BB29A9">
        <w:rPr>
          <w:rFonts w:ascii="Verdana" w:hAnsi="Verdana"/>
          <w:sz w:val="20"/>
          <w:szCs w:val="20"/>
        </w:rPr>
        <w:t xml:space="preserve"> de esta Resolución.</w:t>
      </w:r>
    </w:p>
    <w:p w14:paraId="2AC1B272" w14:textId="61B79DDC" w:rsidR="00CF3036" w:rsidRPr="00734E5F" w:rsidRDefault="00B93001" w:rsidP="00734E5F">
      <w:pPr>
        <w:pStyle w:val="Prrafodelista"/>
        <w:numPr>
          <w:ilvl w:val="0"/>
          <w:numId w:val="14"/>
        </w:numPr>
        <w:spacing w:before="120" w:after="120" w:line="240" w:lineRule="auto"/>
        <w:ind w:left="0" w:firstLine="0"/>
        <w:contextualSpacing w:val="0"/>
        <w:jc w:val="both"/>
        <w:rPr>
          <w:rFonts w:ascii="Verdana" w:hAnsi="Verdana"/>
          <w:sz w:val="20"/>
          <w:szCs w:val="20"/>
        </w:rPr>
      </w:pPr>
      <w:r w:rsidRPr="00494B18">
        <w:rPr>
          <w:rFonts w:ascii="Verdana" w:hAnsi="Verdana"/>
          <w:sz w:val="20"/>
          <w:szCs w:val="20"/>
        </w:rPr>
        <w:t xml:space="preserve">En </w:t>
      </w:r>
      <w:r w:rsidR="00734E5F" w:rsidRPr="00494B18">
        <w:rPr>
          <w:rFonts w:ascii="Verdana" w:hAnsi="Verdana"/>
          <w:sz w:val="20"/>
          <w:szCs w:val="20"/>
        </w:rPr>
        <w:t>lo que respecta al cumplimiento de la medida para</w:t>
      </w:r>
      <w:r w:rsidR="00734E5F">
        <w:rPr>
          <w:rFonts w:ascii="Verdana" w:hAnsi="Verdana"/>
          <w:sz w:val="20"/>
          <w:szCs w:val="20"/>
        </w:rPr>
        <w:t xml:space="preserve"> </w:t>
      </w:r>
      <w:r w:rsidRPr="00BB29A9">
        <w:rPr>
          <w:rFonts w:ascii="Verdana" w:hAnsi="Verdana"/>
          <w:sz w:val="20"/>
          <w:szCs w:val="20"/>
        </w:rPr>
        <w:t>las resta</w:t>
      </w:r>
      <w:r w:rsidR="00734E5F">
        <w:rPr>
          <w:rFonts w:ascii="Verdana" w:hAnsi="Verdana"/>
          <w:sz w:val="20"/>
          <w:szCs w:val="20"/>
        </w:rPr>
        <w:t>ntes 39 víctimas beneficiarias, t</w:t>
      </w:r>
      <w:r w:rsidR="004D5550" w:rsidRPr="00734E5F">
        <w:rPr>
          <w:rFonts w:ascii="Verdana" w:hAnsi="Verdana"/>
          <w:sz w:val="20"/>
          <w:szCs w:val="20"/>
        </w:rPr>
        <w:t>anto el Estado como los representantes</w:t>
      </w:r>
      <w:r w:rsidR="004D5550" w:rsidRPr="00BB29A9">
        <w:rPr>
          <w:rStyle w:val="Refdenotaalpie"/>
          <w:rFonts w:ascii="Verdana" w:hAnsi="Verdana"/>
          <w:sz w:val="20"/>
          <w:szCs w:val="20"/>
        </w:rPr>
        <w:footnoteReference w:id="30"/>
      </w:r>
      <w:r w:rsidR="00F24F7A" w:rsidRPr="00734E5F">
        <w:rPr>
          <w:rFonts w:ascii="Verdana" w:hAnsi="Verdana"/>
          <w:sz w:val="20"/>
          <w:szCs w:val="20"/>
        </w:rPr>
        <w:t>,</w:t>
      </w:r>
      <w:r w:rsidR="0018408E" w:rsidRPr="00734E5F">
        <w:rPr>
          <w:rFonts w:ascii="Verdana" w:hAnsi="Verdana"/>
          <w:sz w:val="20"/>
          <w:szCs w:val="20"/>
        </w:rPr>
        <w:t xml:space="preserve"> informaron que </w:t>
      </w:r>
      <w:r w:rsidR="00F15920" w:rsidRPr="00734E5F">
        <w:rPr>
          <w:rFonts w:ascii="Verdana" w:hAnsi="Verdana"/>
          <w:sz w:val="20"/>
          <w:szCs w:val="20"/>
        </w:rPr>
        <w:t xml:space="preserve">el 10 de julio de 2017 la Unidad de Estudios Socioeconómicos del Fondo para la Vivienda </w:t>
      </w:r>
      <w:r w:rsidR="004B460F" w:rsidRPr="00734E5F">
        <w:rPr>
          <w:rFonts w:ascii="Verdana" w:hAnsi="Verdana"/>
          <w:sz w:val="20"/>
          <w:szCs w:val="20"/>
        </w:rPr>
        <w:t>(en adelante “</w:t>
      </w:r>
      <w:r w:rsidR="00F15920" w:rsidRPr="00734E5F">
        <w:rPr>
          <w:rFonts w:ascii="Verdana" w:hAnsi="Verdana"/>
          <w:sz w:val="20"/>
          <w:szCs w:val="20"/>
        </w:rPr>
        <w:t>FOPAVI</w:t>
      </w:r>
      <w:r w:rsidR="004B460F" w:rsidRPr="00734E5F">
        <w:rPr>
          <w:rFonts w:ascii="Verdana" w:hAnsi="Verdana"/>
          <w:sz w:val="20"/>
          <w:szCs w:val="20"/>
        </w:rPr>
        <w:t xml:space="preserve">”) </w:t>
      </w:r>
      <w:r w:rsidR="00F15920" w:rsidRPr="00734E5F">
        <w:rPr>
          <w:rFonts w:ascii="Verdana" w:hAnsi="Verdana"/>
          <w:sz w:val="20"/>
          <w:szCs w:val="20"/>
        </w:rPr>
        <w:t>remitió 119 expedientes al Banco Crédito Hipotecario</w:t>
      </w:r>
      <w:r w:rsidR="00A30955" w:rsidRPr="00734E5F">
        <w:rPr>
          <w:rFonts w:ascii="Verdana" w:hAnsi="Verdana"/>
          <w:sz w:val="20"/>
          <w:szCs w:val="20"/>
        </w:rPr>
        <w:t xml:space="preserve"> Nacional de Guatemala</w:t>
      </w:r>
      <w:r w:rsidR="004B460F" w:rsidRPr="00734E5F">
        <w:rPr>
          <w:rFonts w:ascii="Verdana" w:hAnsi="Verdana"/>
          <w:sz w:val="20"/>
          <w:szCs w:val="20"/>
        </w:rPr>
        <w:t xml:space="preserve"> (en adelante “Banco CHN”)</w:t>
      </w:r>
      <w:r w:rsidR="00A7451D" w:rsidRPr="00734E5F">
        <w:rPr>
          <w:rFonts w:ascii="Verdana" w:hAnsi="Verdana"/>
          <w:sz w:val="20"/>
          <w:szCs w:val="20"/>
        </w:rPr>
        <w:t>.</w:t>
      </w:r>
      <w:r w:rsidR="008A7DFC" w:rsidRPr="00734E5F">
        <w:rPr>
          <w:rFonts w:ascii="Verdana" w:hAnsi="Verdana"/>
          <w:sz w:val="20"/>
          <w:szCs w:val="20"/>
        </w:rPr>
        <w:t xml:space="preserve"> </w:t>
      </w:r>
      <w:r w:rsidR="00B4099F" w:rsidRPr="00734E5F">
        <w:rPr>
          <w:rFonts w:ascii="Verdana" w:hAnsi="Verdana"/>
          <w:sz w:val="20"/>
          <w:szCs w:val="20"/>
        </w:rPr>
        <w:t>Sobre el particular</w:t>
      </w:r>
      <w:r w:rsidR="00E03948" w:rsidRPr="00734E5F">
        <w:rPr>
          <w:rFonts w:ascii="Verdana" w:hAnsi="Verdana"/>
          <w:sz w:val="20"/>
          <w:szCs w:val="20"/>
        </w:rPr>
        <w:t>, l</w:t>
      </w:r>
      <w:r w:rsidR="008A7DFC" w:rsidRPr="00734E5F">
        <w:rPr>
          <w:rFonts w:ascii="Verdana" w:hAnsi="Verdana"/>
          <w:sz w:val="20"/>
          <w:szCs w:val="20"/>
        </w:rPr>
        <w:t xml:space="preserve">os representantes </w:t>
      </w:r>
      <w:r w:rsidR="00E03948" w:rsidRPr="00734E5F">
        <w:rPr>
          <w:rFonts w:ascii="Verdana" w:hAnsi="Verdana"/>
          <w:sz w:val="20"/>
          <w:szCs w:val="20"/>
        </w:rPr>
        <w:t>presentaron las siguientes aclaraciones</w:t>
      </w:r>
      <w:r w:rsidR="00B4099F" w:rsidRPr="00734E5F">
        <w:rPr>
          <w:rFonts w:ascii="Verdana" w:hAnsi="Verdana"/>
          <w:sz w:val="20"/>
          <w:szCs w:val="20"/>
        </w:rPr>
        <w:t>. E</w:t>
      </w:r>
      <w:r w:rsidR="00E03948" w:rsidRPr="00734E5F">
        <w:rPr>
          <w:rFonts w:ascii="Verdana" w:hAnsi="Verdana"/>
          <w:sz w:val="20"/>
          <w:szCs w:val="20"/>
        </w:rPr>
        <w:t>n enero de 2018 indicaron que,</w:t>
      </w:r>
      <w:r w:rsidR="00566040" w:rsidRPr="00734E5F">
        <w:rPr>
          <w:rFonts w:ascii="Verdana" w:hAnsi="Verdana"/>
          <w:sz w:val="20"/>
          <w:szCs w:val="20"/>
        </w:rPr>
        <w:t xml:space="preserve"> una vez realizadas diversas diligencias</w:t>
      </w:r>
      <w:r w:rsidR="00321773" w:rsidRPr="00734E5F">
        <w:rPr>
          <w:rFonts w:ascii="Verdana" w:hAnsi="Verdana"/>
          <w:sz w:val="20"/>
          <w:szCs w:val="20"/>
        </w:rPr>
        <w:t xml:space="preserve">, el </w:t>
      </w:r>
      <w:r w:rsidR="00566040" w:rsidRPr="00734E5F">
        <w:rPr>
          <w:rFonts w:ascii="Verdana" w:hAnsi="Verdana"/>
          <w:sz w:val="20"/>
          <w:szCs w:val="20"/>
        </w:rPr>
        <w:t>CHN</w:t>
      </w:r>
      <w:r w:rsidR="00321773" w:rsidRPr="00734E5F">
        <w:rPr>
          <w:rFonts w:ascii="Verdana" w:hAnsi="Verdana"/>
          <w:sz w:val="20"/>
          <w:szCs w:val="20"/>
        </w:rPr>
        <w:t xml:space="preserve"> elaboró los estudios socioeconómicos de 117 de los 119 expedientes</w:t>
      </w:r>
      <w:r w:rsidR="0099385A" w:rsidRPr="00BB29A9">
        <w:rPr>
          <w:rStyle w:val="Refdenotaalpie"/>
          <w:rFonts w:ascii="Verdana" w:hAnsi="Verdana"/>
          <w:sz w:val="20"/>
          <w:szCs w:val="20"/>
        </w:rPr>
        <w:footnoteReference w:id="31"/>
      </w:r>
      <w:r w:rsidR="00B4099F" w:rsidRPr="00734E5F">
        <w:rPr>
          <w:rFonts w:ascii="Verdana" w:hAnsi="Verdana"/>
          <w:sz w:val="20"/>
          <w:szCs w:val="20"/>
        </w:rPr>
        <w:t>. E</w:t>
      </w:r>
      <w:r w:rsidR="00E03948" w:rsidRPr="00734E5F">
        <w:rPr>
          <w:rFonts w:ascii="Verdana" w:hAnsi="Verdana"/>
          <w:sz w:val="20"/>
          <w:szCs w:val="20"/>
        </w:rPr>
        <w:t>n octubre de 2018 sostuvieron que desconocían si el Banco CHN había emitido los dictámenes de elegibilidad y entregado los expedientes a FOPAVI</w:t>
      </w:r>
      <w:r w:rsidR="00E03948" w:rsidRPr="00BB29A9">
        <w:rPr>
          <w:rStyle w:val="Refdenotaalpie"/>
          <w:rFonts w:ascii="Verdana" w:hAnsi="Verdana"/>
          <w:sz w:val="20"/>
          <w:szCs w:val="20"/>
        </w:rPr>
        <w:footnoteReference w:id="32"/>
      </w:r>
      <w:r w:rsidR="00B4099F" w:rsidRPr="00734E5F">
        <w:rPr>
          <w:rFonts w:ascii="Verdana" w:hAnsi="Verdana"/>
          <w:sz w:val="20"/>
          <w:szCs w:val="20"/>
        </w:rPr>
        <w:t>. E</w:t>
      </w:r>
      <w:r w:rsidR="00C94778" w:rsidRPr="00734E5F">
        <w:rPr>
          <w:rFonts w:ascii="Verdana" w:hAnsi="Verdana"/>
          <w:sz w:val="20"/>
          <w:szCs w:val="20"/>
        </w:rPr>
        <w:t>n febrero de 2021</w:t>
      </w:r>
      <w:r w:rsidR="00205390" w:rsidRPr="00734E5F">
        <w:rPr>
          <w:rFonts w:ascii="Verdana" w:hAnsi="Verdana"/>
          <w:sz w:val="20"/>
          <w:szCs w:val="20"/>
        </w:rPr>
        <w:t>,</w:t>
      </w:r>
      <w:r w:rsidR="006E23F4" w:rsidRPr="00734E5F">
        <w:rPr>
          <w:rFonts w:ascii="Verdana" w:hAnsi="Verdana"/>
          <w:sz w:val="20"/>
          <w:szCs w:val="20"/>
        </w:rPr>
        <w:t xml:space="preserve"> </w:t>
      </w:r>
      <w:r w:rsidR="00C94778" w:rsidRPr="00734E5F">
        <w:rPr>
          <w:rFonts w:ascii="Verdana" w:hAnsi="Verdana"/>
          <w:sz w:val="20"/>
          <w:szCs w:val="20"/>
        </w:rPr>
        <w:t>indicaron que</w:t>
      </w:r>
      <w:r w:rsidR="00AD721D" w:rsidRPr="00734E5F">
        <w:rPr>
          <w:rFonts w:ascii="Verdana" w:hAnsi="Verdana"/>
          <w:sz w:val="20"/>
          <w:szCs w:val="20"/>
        </w:rPr>
        <w:t>,</w:t>
      </w:r>
      <w:r w:rsidR="00C94778" w:rsidRPr="00734E5F">
        <w:rPr>
          <w:rFonts w:ascii="Verdana" w:hAnsi="Verdana"/>
          <w:sz w:val="20"/>
          <w:szCs w:val="20"/>
        </w:rPr>
        <w:t xml:space="preserve"> de 112 estudios socioeconómicos, actualmente </w:t>
      </w:r>
      <w:r w:rsidR="00622E3D" w:rsidRPr="00734E5F">
        <w:rPr>
          <w:rFonts w:ascii="Verdana" w:hAnsi="Verdana"/>
          <w:sz w:val="20"/>
          <w:szCs w:val="20"/>
        </w:rPr>
        <w:t xml:space="preserve">han vencido </w:t>
      </w:r>
      <w:r w:rsidR="00C94778" w:rsidRPr="00734E5F">
        <w:rPr>
          <w:rFonts w:ascii="Verdana" w:hAnsi="Verdana"/>
          <w:sz w:val="20"/>
          <w:szCs w:val="20"/>
        </w:rPr>
        <w:t>96 de los dictámenes que respaldan la solicitud de financiamiento</w:t>
      </w:r>
      <w:r w:rsidR="00622E3D">
        <w:rPr>
          <w:rStyle w:val="Refdenotaalpie"/>
          <w:rFonts w:ascii="Verdana" w:hAnsi="Verdana"/>
          <w:sz w:val="20"/>
          <w:szCs w:val="20"/>
        </w:rPr>
        <w:footnoteReference w:id="33"/>
      </w:r>
      <w:r w:rsidR="00C94778" w:rsidRPr="00734E5F">
        <w:rPr>
          <w:rFonts w:ascii="Verdana" w:hAnsi="Verdana"/>
          <w:sz w:val="20"/>
          <w:szCs w:val="20"/>
        </w:rPr>
        <w:t xml:space="preserve">, y que únicamente 16 de las viviendas a construir tienen dictámenes vigentes hasta el 30 de octubre de 2021. </w:t>
      </w:r>
      <w:r w:rsidR="00F33C33" w:rsidRPr="00734E5F">
        <w:rPr>
          <w:rFonts w:ascii="Verdana" w:hAnsi="Verdana"/>
          <w:sz w:val="20"/>
          <w:szCs w:val="20"/>
        </w:rPr>
        <w:t>Indicaron que esa s</w:t>
      </w:r>
      <w:r w:rsidR="00C94778" w:rsidRPr="00734E5F">
        <w:rPr>
          <w:rFonts w:ascii="Verdana" w:hAnsi="Verdana"/>
          <w:sz w:val="20"/>
          <w:szCs w:val="20"/>
        </w:rPr>
        <w:t>ituación no es responsabilidad de los beneficiarios sino del Estado “por no haber agilizado la solicitud de financiamiento en el plazo de 3 años que duraba la vigencia de los dictámenes”</w:t>
      </w:r>
      <w:r w:rsidR="006A1C43" w:rsidRPr="00BB29A9">
        <w:rPr>
          <w:rStyle w:val="Refdenotaalpie"/>
          <w:rFonts w:ascii="Verdana" w:hAnsi="Verdana"/>
          <w:sz w:val="20"/>
          <w:szCs w:val="20"/>
        </w:rPr>
        <w:footnoteReference w:id="34"/>
      </w:r>
      <w:r w:rsidR="00205390" w:rsidRPr="00734E5F">
        <w:rPr>
          <w:rFonts w:ascii="Verdana" w:hAnsi="Verdana"/>
          <w:sz w:val="20"/>
          <w:szCs w:val="20"/>
        </w:rPr>
        <w:t xml:space="preserve">. </w:t>
      </w:r>
    </w:p>
    <w:p w14:paraId="63E77822" w14:textId="67644751" w:rsidR="00790927" w:rsidRPr="00BB29A9" w:rsidRDefault="00F33C33" w:rsidP="00790927">
      <w:pPr>
        <w:pStyle w:val="Prrafodelista"/>
        <w:numPr>
          <w:ilvl w:val="0"/>
          <w:numId w:val="14"/>
        </w:numPr>
        <w:spacing w:before="120" w:after="120" w:line="240" w:lineRule="auto"/>
        <w:ind w:left="0" w:firstLine="0"/>
        <w:contextualSpacing w:val="0"/>
        <w:jc w:val="both"/>
        <w:rPr>
          <w:rFonts w:ascii="Verdana" w:hAnsi="Verdana"/>
          <w:sz w:val="20"/>
          <w:szCs w:val="20"/>
        </w:rPr>
      </w:pPr>
      <w:r>
        <w:rPr>
          <w:rFonts w:ascii="Verdana" w:hAnsi="Verdana"/>
          <w:sz w:val="20"/>
          <w:szCs w:val="20"/>
        </w:rPr>
        <w:t>L</w:t>
      </w:r>
      <w:r w:rsidR="00205390" w:rsidRPr="00BB29A9">
        <w:rPr>
          <w:rFonts w:ascii="Verdana" w:hAnsi="Verdana"/>
          <w:sz w:val="20"/>
          <w:szCs w:val="20"/>
        </w:rPr>
        <w:t xml:space="preserve">a </w:t>
      </w:r>
      <w:r w:rsidR="001F1FCC" w:rsidRPr="00BB29A9">
        <w:rPr>
          <w:rFonts w:ascii="Verdana" w:hAnsi="Verdana"/>
          <w:sz w:val="20"/>
          <w:szCs w:val="20"/>
        </w:rPr>
        <w:t xml:space="preserve">Corte considera </w:t>
      </w:r>
      <w:r>
        <w:rPr>
          <w:rFonts w:ascii="Verdana" w:hAnsi="Verdana"/>
          <w:sz w:val="20"/>
          <w:szCs w:val="20"/>
        </w:rPr>
        <w:t xml:space="preserve">grave </w:t>
      </w:r>
      <w:r w:rsidR="00205390" w:rsidRPr="00BB29A9">
        <w:rPr>
          <w:rFonts w:ascii="Verdana" w:hAnsi="Verdana"/>
          <w:sz w:val="20"/>
          <w:szCs w:val="20"/>
        </w:rPr>
        <w:t>que</w:t>
      </w:r>
      <w:r w:rsidR="00790927" w:rsidRPr="00BB29A9">
        <w:rPr>
          <w:rFonts w:ascii="Verdana" w:hAnsi="Verdana"/>
          <w:sz w:val="20"/>
          <w:szCs w:val="20"/>
        </w:rPr>
        <w:t>,</w:t>
      </w:r>
      <w:r w:rsidR="00205390" w:rsidRPr="00BB29A9">
        <w:rPr>
          <w:rFonts w:ascii="Verdana" w:hAnsi="Verdana"/>
          <w:sz w:val="20"/>
          <w:szCs w:val="20"/>
        </w:rPr>
        <w:t xml:space="preserve"> derivado de la demora</w:t>
      </w:r>
      <w:r w:rsidR="00790927" w:rsidRPr="00BB29A9">
        <w:rPr>
          <w:rFonts w:ascii="Verdana" w:hAnsi="Verdana"/>
          <w:sz w:val="20"/>
          <w:szCs w:val="20"/>
        </w:rPr>
        <w:t xml:space="preserve"> del Estado que se ha prolongado por </w:t>
      </w:r>
      <w:r w:rsidR="00205390" w:rsidRPr="00BB29A9">
        <w:rPr>
          <w:rFonts w:ascii="Verdana" w:hAnsi="Verdana"/>
          <w:sz w:val="20"/>
          <w:szCs w:val="20"/>
        </w:rPr>
        <w:t>más de tres años</w:t>
      </w:r>
      <w:r w:rsidR="00790927" w:rsidRPr="00BB29A9">
        <w:rPr>
          <w:rFonts w:ascii="Verdana" w:hAnsi="Verdana"/>
          <w:sz w:val="20"/>
          <w:szCs w:val="20"/>
        </w:rPr>
        <w:t xml:space="preserve"> contados a partir de los estudios socioeconómicos</w:t>
      </w:r>
      <w:r w:rsidR="00B4099F" w:rsidRPr="00BB29A9">
        <w:rPr>
          <w:rFonts w:ascii="Verdana" w:hAnsi="Verdana"/>
          <w:sz w:val="20"/>
          <w:szCs w:val="20"/>
        </w:rPr>
        <w:t xml:space="preserve"> elaborados en el año 2017</w:t>
      </w:r>
      <w:r w:rsidR="00790927" w:rsidRPr="00BB29A9">
        <w:rPr>
          <w:rFonts w:ascii="Verdana" w:hAnsi="Verdana"/>
          <w:sz w:val="20"/>
          <w:szCs w:val="20"/>
        </w:rPr>
        <w:t>,</w:t>
      </w:r>
      <w:r w:rsidR="00205390" w:rsidRPr="00BB29A9">
        <w:rPr>
          <w:rFonts w:ascii="Verdana" w:hAnsi="Verdana"/>
          <w:sz w:val="20"/>
          <w:szCs w:val="20"/>
        </w:rPr>
        <w:t xml:space="preserve"> </w:t>
      </w:r>
      <w:r w:rsidR="00790927" w:rsidRPr="00BB29A9">
        <w:rPr>
          <w:rFonts w:ascii="Verdana" w:hAnsi="Verdana"/>
          <w:sz w:val="20"/>
          <w:szCs w:val="20"/>
        </w:rPr>
        <w:t xml:space="preserve">los dictámenes que respaldan la solicitud de financiamiento de las viviendas se encontrarían vencidos o estarían próximos a vencer, sin que se hubieran aprobado los dictámenes de elegibilidad y </w:t>
      </w:r>
      <w:r w:rsidR="00B4099F" w:rsidRPr="00BB29A9">
        <w:rPr>
          <w:rFonts w:ascii="Verdana" w:hAnsi="Verdana"/>
          <w:sz w:val="20"/>
          <w:szCs w:val="20"/>
        </w:rPr>
        <w:t>autorizado los subsidios</w:t>
      </w:r>
      <w:r w:rsidR="00790927" w:rsidRPr="00BB29A9">
        <w:rPr>
          <w:rFonts w:ascii="Verdana" w:hAnsi="Verdana"/>
          <w:sz w:val="20"/>
          <w:szCs w:val="20"/>
        </w:rPr>
        <w:t xml:space="preserve"> correspondientes</w:t>
      </w:r>
      <w:r w:rsidR="00B4099F" w:rsidRPr="00BB29A9">
        <w:rPr>
          <w:rFonts w:ascii="Verdana" w:hAnsi="Verdana"/>
          <w:sz w:val="20"/>
          <w:szCs w:val="20"/>
        </w:rPr>
        <w:t>.</w:t>
      </w:r>
    </w:p>
    <w:p w14:paraId="41F89D73" w14:textId="775ACEFD" w:rsidR="00B4099F" w:rsidRPr="00BB29A9" w:rsidRDefault="00B4099F" w:rsidP="00790927">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Al respecto, si bien los representantes no aclararon en qué situación se encontrarían los dictámenes que respaldan la solicitud de financiamiento de las 39 víctimas del caso beneficiarias de la reparación, el Estado aclaró en diciembre de 2020 que los dictámenes de elegibilidad de 18</w:t>
      </w:r>
      <w:r w:rsidRPr="00BB29A9">
        <w:rPr>
          <w:rStyle w:val="Refdenotaalpie"/>
          <w:rFonts w:ascii="Verdana" w:hAnsi="Verdana"/>
          <w:sz w:val="20"/>
          <w:szCs w:val="20"/>
        </w:rPr>
        <w:footnoteReference w:id="35"/>
      </w:r>
      <w:r w:rsidRPr="00BB29A9">
        <w:rPr>
          <w:rFonts w:ascii="Verdana" w:hAnsi="Verdana"/>
          <w:sz w:val="20"/>
          <w:szCs w:val="20"/>
        </w:rPr>
        <w:t xml:space="preserve"> de tales víctimas “se encuentran pendientes de aprobación”, y las víctimas restantes</w:t>
      </w:r>
      <w:r w:rsidR="00346104" w:rsidRPr="00BB29A9">
        <w:rPr>
          <w:rStyle w:val="Refdenotaalpie"/>
          <w:rFonts w:ascii="Verdana" w:hAnsi="Verdana"/>
          <w:sz w:val="20"/>
          <w:szCs w:val="20"/>
        </w:rPr>
        <w:footnoteReference w:id="36"/>
      </w:r>
      <w:r w:rsidRPr="00BB29A9">
        <w:rPr>
          <w:rFonts w:ascii="Verdana" w:hAnsi="Verdana"/>
          <w:sz w:val="20"/>
          <w:szCs w:val="20"/>
        </w:rPr>
        <w:t xml:space="preserve"> “no se encuentran asignadas [a] ningún </w:t>
      </w:r>
      <w:r w:rsidRPr="00BB29A9">
        <w:rPr>
          <w:rFonts w:ascii="Verdana" w:hAnsi="Verdana"/>
          <w:sz w:val="20"/>
          <w:szCs w:val="20"/>
        </w:rPr>
        <w:lastRenderedPageBreak/>
        <w:t>proyecto, así como tampoco se encontró dictamen de elegibilidad pendiente de aprobación”, ni “se localizó el subsidio”</w:t>
      </w:r>
      <w:r w:rsidRPr="00BB29A9">
        <w:rPr>
          <w:rStyle w:val="Refdenotaalpie"/>
          <w:rFonts w:ascii="Verdana" w:hAnsi="Verdana"/>
          <w:sz w:val="20"/>
          <w:szCs w:val="20"/>
        </w:rPr>
        <w:footnoteReference w:id="37"/>
      </w:r>
      <w:r w:rsidRPr="00BB29A9">
        <w:rPr>
          <w:rFonts w:ascii="Verdana" w:hAnsi="Verdana"/>
          <w:sz w:val="20"/>
          <w:szCs w:val="20"/>
        </w:rPr>
        <w:t>.</w:t>
      </w:r>
    </w:p>
    <w:p w14:paraId="79BD0A3C" w14:textId="0D10ECAF" w:rsidR="009042D8" w:rsidRPr="00BB29A9" w:rsidRDefault="00BA2A4A" w:rsidP="00BA2A4A">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En razón de lo anterior, es </w:t>
      </w:r>
      <w:r w:rsidR="001F1FCC" w:rsidRPr="00BB29A9">
        <w:rPr>
          <w:rFonts w:ascii="Verdana" w:hAnsi="Verdana"/>
          <w:sz w:val="20"/>
          <w:szCs w:val="20"/>
        </w:rPr>
        <w:t xml:space="preserve">necesario </w:t>
      </w:r>
      <w:r w:rsidR="00981A3B" w:rsidRPr="00BB29A9">
        <w:rPr>
          <w:rFonts w:ascii="Verdana" w:hAnsi="Verdana"/>
          <w:sz w:val="20"/>
          <w:szCs w:val="20"/>
        </w:rPr>
        <w:t>que</w:t>
      </w:r>
      <w:r w:rsidR="009042D8" w:rsidRPr="00BB29A9">
        <w:rPr>
          <w:rFonts w:ascii="Verdana" w:eastAsia="Verdana" w:hAnsi="Verdana" w:cs="Verdana"/>
          <w:sz w:val="20"/>
          <w:szCs w:val="20"/>
          <w:lang w:val="es-MX"/>
        </w:rPr>
        <w:t xml:space="preserve"> </w:t>
      </w:r>
      <w:r w:rsidR="00981A3B" w:rsidRPr="00BB29A9">
        <w:rPr>
          <w:rFonts w:ascii="Verdana" w:hAnsi="Verdana"/>
          <w:sz w:val="20"/>
          <w:szCs w:val="20"/>
        </w:rPr>
        <w:t>el Estado proporcione</w:t>
      </w:r>
      <w:r w:rsidR="006939F8" w:rsidRPr="00BB29A9">
        <w:rPr>
          <w:rFonts w:ascii="Verdana" w:hAnsi="Verdana"/>
          <w:sz w:val="20"/>
          <w:szCs w:val="20"/>
        </w:rPr>
        <w:t xml:space="preserve"> información actualizada y detallada sobre la</w:t>
      </w:r>
      <w:r w:rsidR="00AD721D">
        <w:rPr>
          <w:rFonts w:ascii="Verdana" w:hAnsi="Verdana"/>
          <w:sz w:val="20"/>
          <w:szCs w:val="20"/>
        </w:rPr>
        <w:t xml:space="preserve">s diligencias que ha realizado </w:t>
      </w:r>
      <w:r w:rsidRPr="00BB29A9">
        <w:rPr>
          <w:rFonts w:ascii="Verdana" w:hAnsi="Verdana"/>
          <w:sz w:val="20"/>
          <w:szCs w:val="20"/>
        </w:rPr>
        <w:t>para cumplir la medida respecto a las 39 víctimas del caso</w:t>
      </w:r>
      <w:r w:rsidR="009042D8" w:rsidRPr="00BB29A9">
        <w:rPr>
          <w:rFonts w:ascii="Verdana" w:hAnsi="Verdana"/>
          <w:sz w:val="20"/>
          <w:szCs w:val="20"/>
        </w:rPr>
        <w:t xml:space="preserve">. Asimismo, el Estado deberá </w:t>
      </w:r>
      <w:r w:rsidR="006939F8" w:rsidRPr="00BB29A9">
        <w:rPr>
          <w:rFonts w:ascii="Verdana" w:hAnsi="Verdana"/>
          <w:sz w:val="20"/>
          <w:szCs w:val="20"/>
        </w:rPr>
        <w:t xml:space="preserve">indicar cómo está tomando en cuenta los criterios de “vivienda </w:t>
      </w:r>
      <w:r w:rsidR="00F33C33">
        <w:rPr>
          <w:rFonts w:ascii="Verdana" w:hAnsi="Verdana"/>
          <w:sz w:val="20"/>
          <w:szCs w:val="20"/>
        </w:rPr>
        <w:t>adecuada</w:t>
      </w:r>
      <w:r w:rsidR="006939F8" w:rsidRPr="00BB29A9">
        <w:rPr>
          <w:rFonts w:ascii="Verdana" w:hAnsi="Verdana"/>
          <w:sz w:val="20"/>
          <w:szCs w:val="20"/>
        </w:rPr>
        <w:t xml:space="preserve">”, de conformidad con </w:t>
      </w:r>
      <w:r w:rsidR="00F33C33" w:rsidRPr="00F33C33">
        <w:rPr>
          <w:rFonts w:ascii="Verdana" w:hAnsi="Verdana"/>
          <w:sz w:val="20"/>
          <w:szCs w:val="20"/>
        </w:rPr>
        <w:t xml:space="preserve">los criterios </w:t>
      </w:r>
      <w:r w:rsidR="00F33C33" w:rsidRPr="00F33C33">
        <w:rPr>
          <w:rFonts w:ascii="Verdana" w:hAnsi="Verdana"/>
          <w:sz w:val="20"/>
          <w:szCs w:val="20"/>
          <w:lang w:val="es-MX"/>
        </w:rPr>
        <w:t>desarrollados en la Observación General No. 4 del Comité de Derechos Económicos, Sociales y Culturales de la ONU, teniendo en cuenta</w:t>
      </w:r>
      <w:r w:rsidR="00F33C33" w:rsidRPr="00F33C33">
        <w:rPr>
          <w:rFonts w:ascii="Verdana" w:hAnsi="Verdana"/>
          <w:sz w:val="20"/>
          <w:szCs w:val="20"/>
        </w:rPr>
        <w:t xml:space="preserve"> </w:t>
      </w:r>
      <w:r w:rsidR="001F1FCC" w:rsidRPr="00BB29A9">
        <w:rPr>
          <w:rFonts w:ascii="Verdana" w:hAnsi="Verdana"/>
          <w:sz w:val="20"/>
          <w:szCs w:val="20"/>
        </w:rPr>
        <w:t xml:space="preserve">las observaciones </w:t>
      </w:r>
      <w:r w:rsidR="009042D8" w:rsidRPr="00BB29A9">
        <w:rPr>
          <w:rFonts w:ascii="Verdana" w:hAnsi="Verdana"/>
          <w:sz w:val="20"/>
          <w:szCs w:val="20"/>
        </w:rPr>
        <w:t>expuestas</w:t>
      </w:r>
      <w:r w:rsidR="001F1FCC" w:rsidRPr="00BB29A9">
        <w:rPr>
          <w:rFonts w:ascii="Verdana" w:hAnsi="Verdana"/>
          <w:sz w:val="20"/>
          <w:szCs w:val="20"/>
        </w:rPr>
        <w:t xml:space="preserve"> por los representantes </w:t>
      </w:r>
      <w:r w:rsidR="009042D8" w:rsidRPr="00BB29A9">
        <w:rPr>
          <w:rFonts w:ascii="Verdana" w:hAnsi="Verdana"/>
          <w:sz w:val="20"/>
          <w:szCs w:val="20"/>
        </w:rPr>
        <w:t>en lo que respect</w:t>
      </w:r>
      <w:r w:rsidR="00D25CE2">
        <w:rPr>
          <w:rFonts w:ascii="Verdana" w:hAnsi="Verdana"/>
          <w:sz w:val="20"/>
          <w:szCs w:val="20"/>
        </w:rPr>
        <w:t>a</w:t>
      </w:r>
      <w:r w:rsidR="009042D8" w:rsidRPr="00BB29A9">
        <w:rPr>
          <w:rFonts w:ascii="Verdana" w:hAnsi="Verdana"/>
          <w:sz w:val="20"/>
          <w:szCs w:val="20"/>
        </w:rPr>
        <w:t xml:space="preserve"> a</w:t>
      </w:r>
      <w:r w:rsidR="001F1FCC" w:rsidRPr="00BB29A9">
        <w:rPr>
          <w:rFonts w:ascii="Verdana" w:hAnsi="Verdana"/>
          <w:sz w:val="20"/>
          <w:szCs w:val="20"/>
        </w:rPr>
        <w:t xml:space="preserve"> la calidad de los materiales de construcción y el tamaño de las viviendas a construir</w:t>
      </w:r>
      <w:r w:rsidR="00F33C33" w:rsidRPr="00F33C33">
        <w:rPr>
          <w:rFonts w:ascii="Verdana" w:hAnsi="Verdana"/>
          <w:sz w:val="20"/>
          <w:szCs w:val="20"/>
        </w:rPr>
        <w:t xml:space="preserve"> </w:t>
      </w:r>
      <w:r w:rsidR="00F33C33">
        <w:rPr>
          <w:rFonts w:ascii="Verdana" w:hAnsi="Verdana"/>
          <w:sz w:val="20"/>
          <w:szCs w:val="20"/>
        </w:rPr>
        <w:t>en relación con la cantidad de ocupantes de las mismas</w:t>
      </w:r>
      <w:r w:rsidR="00F33C33" w:rsidRPr="00BB29A9">
        <w:rPr>
          <w:rStyle w:val="Refdenotaalpie"/>
          <w:rFonts w:ascii="Verdana" w:hAnsi="Verdana"/>
          <w:sz w:val="20"/>
          <w:szCs w:val="20"/>
        </w:rPr>
        <w:t xml:space="preserve"> </w:t>
      </w:r>
      <w:r w:rsidR="001F1FCC" w:rsidRPr="00BB29A9">
        <w:rPr>
          <w:rStyle w:val="Refdenotaalpie"/>
          <w:rFonts w:ascii="Verdana" w:hAnsi="Verdana"/>
          <w:sz w:val="20"/>
          <w:szCs w:val="20"/>
        </w:rPr>
        <w:footnoteReference w:id="38"/>
      </w:r>
      <w:r w:rsidR="001F1FCC" w:rsidRPr="00BB29A9">
        <w:rPr>
          <w:rFonts w:ascii="Verdana" w:hAnsi="Verdana"/>
          <w:sz w:val="20"/>
          <w:szCs w:val="20"/>
        </w:rPr>
        <w:t>.</w:t>
      </w:r>
    </w:p>
    <w:p w14:paraId="4DFDBAD1" w14:textId="478F27F2" w:rsidR="00B60D66" w:rsidRPr="00131EE1" w:rsidRDefault="00BA2A4A" w:rsidP="00494B18">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lang w:val="es-MX"/>
        </w:rPr>
        <w:t>En conclusión</w:t>
      </w:r>
      <w:r w:rsidR="009042D8" w:rsidRPr="00BB29A9">
        <w:rPr>
          <w:rFonts w:ascii="Verdana" w:hAnsi="Verdana"/>
          <w:sz w:val="20"/>
          <w:szCs w:val="20"/>
          <w:lang w:val="es-MX"/>
        </w:rPr>
        <w:t xml:space="preserve">, la Corte considera </w:t>
      </w:r>
      <w:r w:rsidR="00494B18">
        <w:rPr>
          <w:rFonts w:ascii="Verdana" w:hAnsi="Verdana"/>
          <w:sz w:val="20"/>
          <w:szCs w:val="20"/>
          <w:lang w:val="es-MX"/>
        </w:rPr>
        <w:t xml:space="preserve">como un avance </w:t>
      </w:r>
      <w:r w:rsidR="009042D8" w:rsidRPr="00BB29A9">
        <w:rPr>
          <w:rFonts w:ascii="Verdana" w:hAnsi="Verdana"/>
          <w:sz w:val="20"/>
          <w:szCs w:val="20"/>
          <w:lang w:val="es-MX"/>
        </w:rPr>
        <w:t xml:space="preserve">que el Estado </w:t>
      </w:r>
      <w:r w:rsidR="008239FB" w:rsidRPr="00494B18">
        <w:rPr>
          <w:rFonts w:ascii="Verdana" w:hAnsi="Verdana"/>
          <w:sz w:val="20"/>
          <w:szCs w:val="20"/>
        </w:rPr>
        <w:t xml:space="preserve">entregó viviendas en el 2013 a </w:t>
      </w:r>
      <w:r w:rsidR="00C42042">
        <w:rPr>
          <w:rFonts w:ascii="Verdana" w:hAnsi="Verdana"/>
          <w:sz w:val="20"/>
          <w:szCs w:val="20"/>
          <w:lang w:val="es-MX"/>
        </w:rPr>
        <w:t xml:space="preserve">seis </w:t>
      </w:r>
      <w:r w:rsidR="00C42042" w:rsidRPr="00E4128D">
        <w:rPr>
          <w:rFonts w:ascii="Verdana" w:hAnsi="Verdana"/>
          <w:sz w:val="20"/>
          <w:szCs w:val="20"/>
          <w:lang w:val="es-MX"/>
        </w:rPr>
        <w:t xml:space="preserve">víctimas </w:t>
      </w:r>
      <w:r w:rsidR="00494B18">
        <w:rPr>
          <w:rFonts w:ascii="Verdana" w:hAnsi="Verdana"/>
          <w:sz w:val="20"/>
          <w:szCs w:val="20"/>
          <w:lang w:val="es-MX"/>
        </w:rPr>
        <w:t>(</w:t>
      </w:r>
      <w:r w:rsidR="00C42042" w:rsidRPr="00E4128D">
        <w:rPr>
          <w:rFonts w:ascii="Verdana" w:hAnsi="Verdana"/>
          <w:sz w:val="20"/>
          <w:szCs w:val="20"/>
          <w:lang w:val="es-MX"/>
        </w:rPr>
        <w:t>Marí</w:t>
      </w:r>
      <w:r w:rsidR="00876994" w:rsidRPr="00E4128D">
        <w:rPr>
          <w:rFonts w:ascii="Verdana" w:hAnsi="Verdana"/>
          <w:sz w:val="20"/>
          <w:szCs w:val="20"/>
          <w:lang w:val="es-MX"/>
        </w:rPr>
        <w:t>a Cristina Reyes Álvarez, Juana Álvarez Pérez, Juan Álvarez Pérez, Cesar Augusto Reyes Álvarez, Esteb</w:t>
      </w:r>
      <w:r w:rsidR="00183B86" w:rsidRPr="00E4128D">
        <w:rPr>
          <w:rFonts w:ascii="Verdana" w:hAnsi="Verdana"/>
          <w:sz w:val="20"/>
          <w:szCs w:val="20"/>
          <w:lang w:val="es-MX"/>
        </w:rPr>
        <w:t>an Manuel Jerónimo y Jorge Ál</w:t>
      </w:r>
      <w:r w:rsidRPr="00E4128D">
        <w:rPr>
          <w:rFonts w:ascii="Verdana" w:hAnsi="Verdana"/>
          <w:sz w:val="20"/>
          <w:szCs w:val="20"/>
          <w:lang w:val="es-MX"/>
        </w:rPr>
        <w:t>varez Pérez</w:t>
      </w:r>
      <w:r w:rsidR="00494B18">
        <w:rPr>
          <w:rFonts w:ascii="Verdana" w:hAnsi="Verdana"/>
          <w:sz w:val="20"/>
          <w:szCs w:val="20"/>
          <w:lang w:val="es-MX"/>
        </w:rPr>
        <w:t>)</w:t>
      </w:r>
      <w:r w:rsidR="008239FB" w:rsidRPr="00494B18">
        <w:rPr>
          <w:rFonts w:ascii="Verdana" w:hAnsi="Verdana"/>
          <w:sz w:val="20"/>
          <w:szCs w:val="20"/>
          <w:lang w:val="es-MX"/>
        </w:rPr>
        <w:t xml:space="preserve">, </w:t>
      </w:r>
      <w:r w:rsidR="00494B18" w:rsidRPr="00494B18">
        <w:rPr>
          <w:rFonts w:ascii="Verdana" w:hAnsi="Verdana"/>
          <w:sz w:val="20"/>
          <w:szCs w:val="20"/>
          <w:lang w:val="es-MX"/>
        </w:rPr>
        <w:t xml:space="preserve">pero según lo indicado en </w:t>
      </w:r>
      <w:r w:rsidR="008239FB" w:rsidRPr="00494B18">
        <w:rPr>
          <w:rFonts w:ascii="Verdana" w:hAnsi="Verdana"/>
          <w:sz w:val="20"/>
          <w:szCs w:val="20"/>
        </w:rPr>
        <w:t>el Considerando 26 considerará el grado de cumplimiento de esta reparación después de recibir información en la audiencia privada convocada en esta Resolución (</w:t>
      </w:r>
      <w:r w:rsidR="008239FB" w:rsidRPr="00494B18">
        <w:rPr>
          <w:rFonts w:ascii="Verdana" w:hAnsi="Verdana"/>
          <w:i/>
          <w:sz w:val="20"/>
          <w:szCs w:val="20"/>
        </w:rPr>
        <w:t xml:space="preserve">infra </w:t>
      </w:r>
      <w:r w:rsidR="008239FB" w:rsidRPr="00494B18">
        <w:rPr>
          <w:rFonts w:ascii="Verdana" w:hAnsi="Verdana"/>
          <w:sz w:val="20"/>
          <w:szCs w:val="20"/>
        </w:rPr>
        <w:t>punto resolutivo quinto).</w:t>
      </w:r>
      <w:r w:rsidR="00494B18" w:rsidRPr="00494B18">
        <w:rPr>
          <w:rFonts w:ascii="Verdana" w:hAnsi="Verdana"/>
          <w:b/>
          <w:sz w:val="20"/>
          <w:szCs w:val="20"/>
          <w:lang w:val="es-MX"/>
        </w:rPr>
        <w:t xml:space="preserve"> </w:t>
      </w:r>
      <w:r w:rsidR="00494B18" w:rsidRPr="00494B18">
        <w:rPr>
          <w:rFonts w:ascii="Verdana" w:hAnsi="Verdana"/>
          <w:sz w:val="20"/>
          <w:szCs w:val="20"/>
          <w:lang w:val="es-MX"/>
        </w:rPr>
        <w:t>Asimismo,</w:t>
      </w:r>
      <w:r w:rsidR="00183B86" w:rsidRPr="00494B18">
        <w:rPr>
          <w:rFonts w:ascii="Verdana" w:hAnsi="Verdana"/>
          <w:sz w:val="20"/>
          <w:szCs w:val="20"/>
          <w:lang w:val="es-MX"/>
        </w:rPr>
        <w:t xml:space="preserve"> </w:t>
      </w:r>
      <w:r w:rsidR="00494B18" w:rsidRPr="00494B18">
        <w:rPr>
          <w:rFonts w:ascii="Verdana" w:hAnsi="Verdana"/>
          <w:sz w:val="20"/>
          <w:szCs w:val="20"/>
          <w:lang w:val="es-MX"/>
        </w:rPr>
        <w:t>se</w:t>
      </w:r>
      <w:r w:rsidR="00494B18">
        <w:rPr>
          <w:rFonts w:ascii="Verdana" w:hAnsi="Verdana"/>
          <w:sz w:val="20"/>
          <w:szCs w:val="20"/>
          <w:lang w:val="es-MX"/>
        </w:rPr>
        <w:t xml:space="preserve"> encuentra</w:t>
      </w:r>
      <w:r w:rsidR="00183B86" w:rsidRPr="00BB29A9">
        <w:rPr>
          <w:rFonts w:ascii="Verdana" w:hAnsi="Verdana"/>
          <w:sz w:val="20"/>
          <w:szCs w:val="20"/>
          <w:lang w:val="es-MX"/>
        </w:rPr>
        <w:t xml:space="preserve"> </w:t>
      </w:r>
      <w:r w:rsidR="00876994" w:rsidRPr="00BB29A9">
        <w:rPr>
          <w:rFonts w:ascii="Verdana" w:hAnsi="Verdana"/>
          <w:sz w:val="20"/>
          <w:szCs w:val="20"/>
        </w:rPr>
        <w:t>pendiente de cumplimiento proveer de vivienda adecuada a l</w:t>
      </w:r>
      <w:r w:rsidR="00183B86" w:rsidRPr="00BB29A9">
        <w:rPr>
          <w:rFonts w:ascii="Verdana" w:hAnsi="Verdana"/>
          <w:sz w:val="20"/>
          <w:szCs w:val="20"/>
        </w:rPr>
        <w:t>a</w:t>
      </w:r>
      <w:r w:rsidR="00876994" w:rsidRPr="00BB29A9">
        <w:rPr>
          <w:rFonts w:ascii="Verdana" w:hAnsi="Verdana"/>
          <w:sz w:val="20"/>
          <w:szCs w:val="20"/>
        </w:rPr>
        <w:t xml:space="preserve">s </w:t>
      </w:r>
      <w:r w:rsidR="00183B86" w:rsidRPr="00BB29A9">
        <w:rPr>
          <w:rFonts w:ascii="Verdana" w:hAnsi="Verdana"/>
          <w:sz w:val="20"/>
          <w:szCs w:val="20"/>
        </w:rPr>
        <w:t xml:space="preserve">siguientes </w:t>
      </w:r>
      <w:r w:rsidR="00876994" w:rsidRPr="00BB29A9">
        <w:rPr>
          <w:rFonts w:ascii="Verdana" w:hAnsi="Verdana"/>
          <w:sz w:val="20"/>
          <w:szCs w:val="20"/>
        </w:rPr>
        <w:t xml:space="preserve">39 </w:t>
      </w:r>
      <w:r w:rsidR="00183B86" w:rsidRPr="00BB29A9">
        <w:rPr>
          <w:rFonts w:ascii="Verdana" w:hAnsi="Verdana"/>
          <w:sz w:val="20"/>
          <w:szCs w:val="20"/>
        </w:rPr>
        <w:t xml:space="preserve">víctimas: </w:t>
      </w:r>
      <w:r w:rsidR="00876994" w:rsidRPr="00BB29A9">
        <w:rPr>
          <w:rFonts w:ascii="Verdana" w:hAnsi="Verdana"/>
          <w:sz w:val="20"/>
          <w:szCs w:val="20"/>
        </w:rPr>
        <w:t xml:space="preserve">Carmen Corazón </w:t>
      </w:r>
      <w:r w:rsidR="00876994" w:rsidRPr="005B7967">
        <w:rPr>
          <w:rFonts w:ascii="Verdana" w:hAnsi="Verdana"/>
          <w:sz w:val="20"/>
          <w:szCs w:val="20"/>
        </w:rPr>
        <w:t xml:space="preserve">Jerónimo; Narcisa Corazón Jerónimo; Margarita Grave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Tomás Grave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Valerio Grave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Eulalio Grave Ramírez; Benjamín Manuel Jerónimo; Juan Manuel Jerónimo; Buenaventura Manuel Jerónimo; Plácido Jerónimo Grave; Margarita </w:t>
      </w:r>
      <w:proofErr w:type="spellStart"/>
      <w:r w:rsidR="00876994" w:rsidRPr="00131EE1">
        <w:rPr>
          <w:rFonts w:ascii="Verdana" w:hAnsi="Verdana"/>
          <w:sz w:val="20"/>
          <w:szCs w:val="20"/>
        </w:rPr>
        <w:t>Ivoy</w:t>
      </w:r>
      <w:proofErr w:type="spellEnd"/>
      <w:r w:rsidR="00876994" w:rsidRPr="00131EE1">
        <w:rPr>
          <w:rFonts w:ascii="Verdana" w:hAnsi="Verdana"/>
          <w:sz w:val="20"/>
          <w:szCs w:val="20"/>
        </w:rPr>
        <w:t xml:space="preserve">; Salvador Jerónimo Sánchez; Juan Grave Ramírez; Andrea Ramírez; Tomás Jerónimo Sánchez; Jorge Luis Reyes Álvarez; Alejandro Grave </w:t>
      </w:r>
      <w:proofErr w:type="spellStart"/>
      <w:r w:rsidR="00876994" w:rsidRPr="00131EE1">
        <w:rPr>
          <w:rFonts w:ascii="Verdana" w:hAnsi="Verdana"/>
          <w:sz w:val="20"/>
          <w:szCs w:val="20"/>
        </w:rPr>
        <w:t>Oxlaj</w:t>
      </w:r>
      <w:proofErr w:type="spellEnd"/>
      <w:r w:rsidR="00876994" w:rsidRPr="00131EE1">
        <w:rPr>
          <w:rFonts w:ascii="Verdana" w:hAnsi="Verdana"/>
          <w:sz w:val="20"/>
          <w:szCs w:val="20"/>
        </w:rPr>
        <w:t xml:space="preserve">; Francisca Juárez Manuel; Juliana Rojas; Adrián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Jerónimo; Emiliana Grave; Eugenia </w:t>
      </w:r>
      <w:proofErr w:type="spellStart"/>
      <w:r w:rsidR="00876994" w:rsidRPr="00131EE1">
        <w:rPr>
          <w:rFonts w:ascii="Verdana" w:hAnsi="Verdana"/>
          <w:sz w:val="20"/>
          <w:szCs w:val="20"/>
        </w:rPr>
        <w:t>Ivoy</w:t>
      </w:r>
      <w:proofErr w:type="spellEnd"/>
      <w:r w:rsidR="00876994" w:rsidRPr="00131EE1">
        <w:rPr>
          <w:rFonts w:ascii="Verdana" w:hAnsi="Verdana"/>
          <w:sz w:val="20"/>
          <w:szCs w:val="20"/>
        </w:rPr>
        <w:t xml:space="preserve">; Guadalupe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Jerónimo; Luis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w:t>
      </w:r>
      <w:proofErr w:type="spellStart"/>
      <w:r w:rsidR="00876994" w:rsidRPr="00131EE1">
        <w:rPr>
          <w:rFonts w:ascii="Verdana" w:hAnsi="Verdana"/>
          <w:sz w:val="20"/>
          <w:szCs w:val="20"/>
        </w:rPr>
        <w:t>Oxlaj</w:t>
      </w:r>
      <w:proofErr w:type="spellEnd"/>
      <w:r w:rsidR="00876994" w:rsidRPr="00131EE1">
        <w:rPr>
          <w:rFonts w:ascii="Verdana" w:hAnsi="Verdana"/>
          <w:sz w:val="20"/>
          <w:szCs w:val="20"/>
        </w:rPr>
        <w:t xml:space="preserve">; Prudencia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Jerónimo; Juan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Corazón; Ezequiel Grave </w:t>
      </w:r>
      <w:proofErr w:type="spellStart"/>
      <w:r w:rsidR="00876994" w:rsidRPr="00131EE1">
        <w:rPr>
          <w:rFonts w:ascii="Verdana" w:hAnsi="Verdana"/>
          <w:sz w:val="20"/>
          <w:szCs w:val="20"/>
        </w:rPr>
        <w:t>Oxlaj</w:t>
      </w:r>
      <w:proofErr w:type="spellEnd"/>
      <w:r w:rsidR="00876994" w:rsidRPr="00131EE1">
        <w:rPr>
          <w:rFonts w:ascii="Verdana" w:hAnsi="Verdana"/>
          <w:sz w:val="20"/>
          <w:szCs w:val="20"/>
        </w:rPr>
        <w:t xml:space="preserve">; Andrés Grave </w:t>
      </w:r>
      <w:proofErr w:type="spellStart"/>
      <w:r w:rsidR="00876994" w:rsidRPr="00131EE1">
        <w:rPr>
          <w:rFonts w:ascii="Verdana" w:hAnsi="Verdana"/>
          <w:sz w:val="20"/>
          <w:szCs w:val="20"/>
        </w:rPr>
        <w:t>Valey</w:t>
      </w:r>
      <w:proofErr w:type="spellEnd"/>
      <w:r w:rsidR="00876994" w:rsidRPr="00131EE1">
        <w:rPr>
          <w:rFonts w:ascii="Verdana" w:hAnsi="Verdana"/>
          <w:sz w:val="20"/>
          <w:szCs w:val="20"/>
        </w:rPr>
        <w:t xml:space="preserve">; Faustina </w:t>
      </w:r>
      <w:proofErr w:type="spellStart"/>
      <w:r w:rsidR="00876994" w:rsidRPr="00131EE1">
        <w:rPr>
          <w:rFonts w:ascii="Verdana" w:hAnsi="Verdana"/>
          <w:sz w:val="20"/>
          <w:szCs w:val="20"/>
        </w:rPr>
        <w:t>Cojóm</w:t>
      </w:r>
      <w:proofErr w:type="spellEnd"/>
      <w:r w:rsidR="00876994" w:rsidRPr="00131EE1">
        <w:rPr>
          <w:rFonts w:ascii="Verdana" w:hAnsi="Verdana"/>
          <w:sz w:val="20"/>
          <w:szCs w:val="20"/>
        </w:rPr>
        <w:t xml:space="preserve"> Manuel; Guillermo </w:t>
      </w:r>
      <w:proofErr w:type="spellStart"/>
      <w:r w:rsidR="00876994" w:rsidRPr="00131EE1">
        <w:rPr>
          <w:rFonts w:ascii="Verdana" w:hAnsi="Verdana"/>
          <w:sz w:val="20"/>
          <w:szCs w:val="20"/>
        </w:rPr>
        <w:t>Toj</w:t>
      </w:r>
      <w:proofErr w:type="spellEnd"/>
      <w:r w:rsidR="00876994" w:rsidRPr="00131EE1">
        <w:rPr>
          <w:rFonts w:ascii="Verdana" w:hAnsi="Verdana"/>
          <w:sz w:val="20"/>
          <w:szCs w:val="20"/>
        </w:rPr>
        <w:t xml:space="preserve"> Manuel; Guillermo </w:t>
      </w:r>
      <w:proofErr w:type="spellStart"/>
      <w:r w:rsidR="00876994" w:rsidRPr="00131EE1">
        <w:rPr>
          <w:rFonts w:ascii="Verdana" w:hAnsi="Verdana"/>
          <w:sz w:val="20"/>
          <w:szCs w:val="20"/>
        </w:rPr>
        <w:t>Toj</w:t>
      </w:r>
      <w:proofErr w:type="spellEnd"/>
      <w:r w:rsidR="00876994" w:rsidRPr="00131EE1">
        <w:rPr>
          <w:rFonts w:ascii="Verdana" w:hAnsi="Verdana"/>
          <w:sz w:val="20"/>
          <w:szCs w:val="20"/>
        </w:rPr>
        <w:t xml:space="preserve"> Manuel; Víctor Manuel Reyes García; Lorenza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Grave; José María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Grave; Emilia o Emiliana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Grave; Alejandro Grave; Enrique </w:t>
      </w:r>
      <w:proofErr w:type="spellStart"/>
      <w:r w:rsidR="00876994" w:rsidRPr="00131EE1">
        <w:rPr>
          <w:rFonts w:ascii="Verdana" w:hAnsi="Verdana"/>
          <w:sz w:val="20"/>
          <w:szCs w:val="20"/>
        </w:rPr>
        <w:t>Cajbón</w:t>
      </w:r>
      <w:proofErr w:type="spellEnd"/>
      <w:r w:rsidR="00876994" w:rsidRPr="00131EE1">
        <w:rPr>
          <w:rFonts w:ascii="Verdana" w:hAnsi="Verdana"/>
          <w:sz w:val="20"/>
          <w:szCs w:val="20"/>
        </w:rPr>
        <w:t xml:space="preserve"> Jerónimo; Francisca Galeano </w:t>
      </w:r>
      <w:proofErr w:type="spellStart"/>
      <w:r w:rsidR="00876994" w:rsidRPr="00131EE1">
        <w:rPr>
          <w:rFonts w:ascii="Verdana" w:hAnsi="Verdana"/>
          <w:sz w:val="20"/>
          <w:szCs w:val="20"/>
        </w:rPr>
        <w:t>Galeano</w:t>
      </w:r>
      <w:proofErr w:type="spellEnd"/>
      <w:r w:rsidR="00876994" w:rsidRPr="00131EE1">
        <w:rPr>
          <w:rFonts w:ascii="Verdana" w:hAnsi="Verdana"/>
          <w:sz w:val="20"/>
          <w:szCs w:val="20"/>
        </w:rPr>
        <w:t>; y Plácido Jerónimo Grave.</w:t>
      </w:r>
    </w:p>
    <w:p w14:paraId="19F4CD47" w14:textId="77777777" w:rsidR="005E0926" w:rsidRPr="00BB29A9" w:rsidRDefault="005E0926" w:rsidP="005E0926">
      <w:pPr>
        <w:pStyle w:val="Prrafodelista"/>
        <w:spacing w:before="120" w:after="120" w:line="240" w:lineRule="auto"/>
        <w:ind w:left="0"/>
        <w:contextualSpacing w:val="0"/>
        <w:jc w:val="both"/>
        <w:rPr>
          <w:rFonts w:ascii="Verdana" w:hAnsi="Verdana"/>
          <w:sz w:val="20"/>
          <w:szCs w:val="20"/>
        </w:rPr>
      </w:pPr>
    </w:p>
    <w:p w14:paraId="5F73DF1A" w14:textId="77777777" w:rsidR="00F744CF" w:rsidRPr="00BB29A9" w:rsidRDefault="00B60D66" w:rsidP="00B60D66">
      <w:pPr>
        <w:pStyle w:val="Ttulo1"/>
        <w:spacing w:before="120" w:after="120" w:line="240" w:lineRule="auto"/>
        <w:jc w:val="both"/>
        <w:rPr>
          <w:rFonts w:ascii="Verdana" w:hAnsi="Verdana"/>
          <w:b/>
          <w:color w:val="auto"/>
          <w:sz w:val="20"/>
          <w:szCs w:val="20"/>
        </w:rPr>
      </w:pPr>
      <w:bookmarkStart w:id="10" w:name="_Toc67523772"/>
      <w:r w:rsidRPr="00BB29A9">
        <w:rPr>
          <w:rFonts w:ascii="Verdana" w:hAnsi="Verdana"/>
          <w:b/>
          <w:color w:val="auto"/>
          <w:sz w:val="20"/>
          <w:szCs w:val="20"/>
          <w:lang w:val="es-MX"/>
        </w:rPr>
        <w:t>D.</w:t>
      </w:r>
      <w:r w:rsidRPr="00BB29A9">
        <w:rPr>
          <w:rFonts w:ascii="Verdana" w:hAnsi="Verdana"/>
          <w:b/>
          <w:color w:val="auto"/>
          <w:sz w:val="20"/>
          <w:szCs w:val="20"/>
          <w:lang w:val="es-MX"/>
        </w:rPr>
        <w:tab/>
      </w:r>
      <w:r w:rsidR="00DC2677" w:rsidRPr="00BB29A9">
        <w:rPr>
          <w:rFonts w:ascii="Verdana" w:hAnsi="Verdana"/>
          <w:b/>
          <w:color w:val="auto"/>
          <w:sz w:val="20"/>
          <w:szCs w:val="20"/>
        </w:rPr>
        <w:t>Desarrollar programas comunitarios en 13 aldeas ubicadas en el</w:t>
      </w:r>
      <w:r w:rsidR="004F533B" w:rsidRPr="00BB29A9">
        <w:rPr>
          <w:rFonts w:ascii="Verdana" w:hAnsi="Verdana"/>
          <w:b/>
          <w:color w:val="auto"/>
          <w:sz w:val="20"/>
          <w:szCs w:val="20"/>
        </w:rPr>
        <w:t xml:space="preserve"> </w:t>
      </w:r>
      <w:r w:rsidR="00DC2677" w:rsidRPr="00BB29A9">
        <w:rPr>
          <w:rFonts w:ascii="Verdana" w:hAnsi="Verdana"/>
          <w:b/>
          <w:color w:val="auto"/>
          <w:sz w:val="20"/>
          <w:szCs w:val="20"/>
        </w:rPr>
        <w:t>Departamento de Baja Verapaz</w:t>
      </w:r>
      <w:bookmarkEnd w:id="10"/>
    </w:p>
    <w:p w14:paraId="7B42DF21" w14:textId="15C8B519" w:rsidR="00890922" w:rsidRPr="00BB29A9" w:rsidRDefault="00890922" w:rsidP="0022081A">
      <w:pPr>
        <w:spacing w:before="120" w:after="120"/>
        <w:ind w:left="708"/>
        <w:jc w:val="both"/>
        <w:rPr>
          <w:rFonts w:ascii="Verdana" w:hAnsi="Verdana"/>
          <w:i/>
          <w:sz w:val="20"/>
          <w:szCs w:val="20"/>
        </w:rPr>
      </w:pPr>
      <w:r w:rsidRPr="00BB29A9">
        <w:rPr>
          <w:rFonts w:ascii="Verdana" w:hAnsi="Verdana"/>
          <w:i/>
          <w:sz w:val="20"/>
          <w:szCs w:val="20"/>
        </w:rPr>
        <w:t>D.1. Medida</w:t>
      </w:r>
      <w:r w:rsidR="009338A8" w:rsidRPr="00BB29A9">
        <w:rPr>
          <w:rFonts w:ascii="Verdana" w:hAnsi="Verdana"/>
          <w:i/>
          <w:sz w:val="20"/>
          <w:szCs w:val="20"/>
        </w:rPr>
        <w:t>s</w:t>
      </w:r>
      <w:r w:rsidRPr="00BB29A9">
        <w:rPr>
          <w:rFonts w:ascii="Verdana" w:hAnsi="Verdana"/>
          <w:i/>
          <w:sz w:val="20"/>
          <w:szCs w:val="20"/>
        </w:rPr>
        <w:t xml:space="preserve"> ordenada</w:t>
      </w:r>
      <w:r w:rsidR="009338A8" w:rsidRPr="00BB29A9">
        <w:rPr>
          <w:rFonts w:ascii="Verdana" w:hAnsi="Verdana"/>
          <w:i/>
          <w:sz w:val="20"/>
          <w:szCs w:val="20"/>
        </w:rPr>
        <w:t>s</w:t>
      </w:r>
      <w:r w:rsidRPr="00BB29A9">
        <w:rPr>
          <w:rFonts w:ascii="Verdana" w:hAnsi="Verdana"/>
          <w:i/>
          <w:sz w:val="20"/>
          <w:szCs w:val="20"/>
        </w:rPr>
        <w:t xml:space="preserve"> por la Corte</w:t>
      </w:r>
    </w:p>
    <w:p w14:paraId="200B3D2C" w14:textId="0B828C69" w:rsidR="0096653A" w:rsidRPr="00111873" w:rsidRDefault="00F30B38" w:rsidP="00111873">
      <w:pPr>
        <w:pStyle w:val="Prrafodelista"/>
        <w:numPr>
          <w:ilvl w:val="0"/>
          <w:numId w:val="14"/>
        </w:numPr>
        <w:spacing w:before="120" w:after="120" w:line="240" w:lineRule="auto"/>
        <w:ind w:left="0" w:firstLine="0"/>
        <w:contextualSpacing w:val="0"/>
        <w:jc w:val="both"/>
        <w:rPr>
          <w:rFonts w:ascii="Verdana" w:hAnsi="Verdana"/>
          <w:i/>
          <w:sz w:val="20"/>
          <w:szCs w:val="20"/>
        </w:rPr>
      </w:pPr>
      <w:r w:rsidRPr="00BB29A9">
        <w:rPr>
          <w:rFonts w:ascii="Verdana" w:hAnsi="Verdana"/>
          <w:sz w:val="20"/>
          <w:szCs w:val="20"/>
        </w:rPr>
        <w:t xml:space="preserve">En el punto resolutivo </w:t>
      </w:r>
      <w:r w:rsidR="00EB245F" w:rsidRPr="00BB29A9">
        <w:rPr>
          <w:rFonts w:ascii="Verdana" w:hAnsi="Verdana"/>
          <w:sz w:val="20"/>
          <w:szCs w:val="20"/>
        </w:rPr>
        <w:t>noveno</w:t>
      </w:r>
      <w:r w:rsidRPr="00BB29A9">
        <w:rPr>
          <w:rFonts w:ascii="Verdana" w:hAnsi="Verdana"/>
          <w:sz w:val="20"/>
          <w:szCs w:val="20"/>
        </w:rPr>
        <w:t xml:space="preserve"> y en los párrafos 10</w:t>
      </w:r>
      <w:r w:rsidR="00EB245F" w:rsidRPr="00BB29A9">
        <w:rPr>
          <w:rFonts w:ascii="Verdana" w:hAnsi="Verdana"/>
          <w:sz w:val="20"/>
          <w:szCs w:val="20"/>
        </w:rPr>
        <w:t>9 a 111</w:t>
      </w:r>
      <w:r w:rsidRPr="00BB29A9">
        <w:rPr>
          <w:rFonts w:ascii="Verdana" w:hAnsi="Verdana"/>
          <w:sz w:val="20"/>
          <w:szCs w:val="20"/>
        </w:rPr>
        <w:t xml:space="preserve"> y 117 de la Sentencia, la C</w:t>
      </w:r>
      <w:r w:rsidR="0068250B" w:rsidRPr="00BB29A9">
        <w:rPr>
          <w:rFonts w:ascii="Verdana" w:hAnsi="Verdana"/>
          <w:sz w:val="20"/>
          <w:szCs w:val="20"/>
        </w:rPr>
        <w:t>orte dispuso que el Estado debe</w:t>
      </w:r>
      <w:r w:rsidRPr="00BB29A9">
        <w:rPr>
          <w:rFonts w:ascii="Verdana" w:hAnsi="Verdana"/>
          <w:sz w:val="20"/>
          <w:szCs w:val="20"/>
        </w:rPr>
        <w:t xml:space="preserve"> “</w:t>
      </w:r>
      <w:r w:rsidR="00EB245F" w:rsidRPr="00BB29A9">
        <w:rPr>
          <w:rFonts w:ascii="Verdana" w:hAnsi="Verdana"/>
          <w:sz w:val="20"/>
          <w:szCs w:val="20"/>
        </w:rPr>
        <w:t xml:space="preserve">desarrollar en las comunidades de Plan de Sánchez, </w:t>
      </w:r>
      <w:proofErr w:type="spellStart"/>
      <w:r w:rsidR="00EB245F" w:rsidRPr="00BB29A9">
        <w:rPr>
          <w:rFonts w:ascii="Verdana" w:hAnsi="Verdana"/>
          <w:sz w:val="20"/>
          <w:szCs w:val="20"/>
        </w:rPr>
        <w:t>Chipuerta</w:t>
      </w:r>
      <w:proofErr w:type="spellEnd"/>
      <w:r w:rsidR="00EB245F" w:rsidRPr="00BB29A9">
        <w:rPr>
          <w:rFonts w:ascii="Verdana" w:hAnsi="Verdana"/>
          <w:sz w:val="20"/>
          <w:szCs w:val="20"/>
        </w:rPr>
        <w:t xml:space="preserve">, Joya de Ramos, </w:t>
      </w:r>
      <w:proofErr w:type="spellStart"/>
      <w:r w:rsidR="00EB245F" w:rsidRPr="00BB29A9">
        <w:rPr>
          <w:rFonts w:ascii="Verdana" w:hAnsi="Verdana"/>
          <w:sz w:val="20"/>
          <w:szCs w:val="20"/>
        </w:rPr>
        <w:t>Raxjut</w:t>
      </w:r>
      <w:proofErr w:type="spellEnd"/>
      <w:r w:rsidR="00EB245F" w:rsidRPr="00BB29A9">
        <w:rPr>
          <w:rFonts w:ascii="Verdana" w:hAnsi="Verdana"/>
          <w:sz w:val="20"/>
          <w:szCs w:val="20"/>
        </w:rPr>
        <w:t xml:space="preserve">, </w:t>
      </w:r>
      <w:proofErr w:type="spellStart"/>
      <w:r w:rsidR="00EB245F" w:rsidRPr="00BB29A9">
        <w:rPr>
          <w:rFonts w:ascii="Verdana" w:hAnsi="Verdana"/>
          <w:sz w:val="20"/>
          <w:szCs w:val="20"/>
        </w:rPr>
        <w:t>Volcanillo</w:t>
      </w:r>
      <w:proofErr w:type="spellEnd"/>
      <w:r w:rsidR="00EB245F" w:rsidRPr="00BB29A9">
        <w:rPr>
          <w:rFonts w:ascii="Verdana" w:hAnsi="Verdana"/>
          <w:sz w:val="20"/>
          <w:szCs w:val="20"/>
        </w:rPr>
        <w:t xml:space="preserve">, </w:t>
      </w:r>
      <w:proofErr w:type="spellStart"/>
      <w:r w:rsidR="00EB245F" w:rsidRPr="00BB29A9">
        <w:rPr>
          <w:rFonts w:ascii="Verdana" w:hAnsi="Verdana"/>
          <w:sz w:val="20"/>
          <w:szCs w:val="20"/>
        </w:rPr>
        <w:t>Coxojabaj</w:t>
      </w:r>
      <w:proofErr w:type="spellEnd"/>
      <w:r w:rsidR="00EB245F" w:rsidRPr="00BB29A9">
        <w:rPr>
          <w:rFonts w:ascii="Verdana" w:hAnsi="Verdana"/>
          <w:sz w:val="20"/>
          <w:szCs w:val="20"/>
        </w:rPr>
        <w:t xml:space="preserve">, Las Tunas, Las Minas, Las Ventanas, Ixchel, </w:t>
      </w:r>
      <w:proofErr w:type="spellStart"/>
      <w:r w:rsidR="00EB245F" w:rsidRPr="00BB29A9">
        <w:rPr>
          <w:rFonts w:ascii="Verdana" w:hAnsi="Verdana"/>
          <w:sz w:val="20"/>
          <w:szCs w:val="20"/>
        </w:rPr>
        <w:t>Chiac</w:t>
      </w:r>
      <w:proofErr w:type="spellEnd"/>
      <w:r w:rsidR="00EB245F" w:rsidRPr="00BB29A9">
        <w:rPr>
          <w:rFonts w:ascii="Verdana" w:hAnsi="Verdana"/>
          <w:sz w:val="20"/>
          <w:szCs w:val="20"/>
        </w:rPr>
        <w:t xml:space="preserve">, </w:t>
      </w:r>
      <w:proofErr w:type="spellStart"/>
      <w:r w:rsidR="00EB245F" w:rsidRPr="00BB29A9">
        <w:rPr>
          <w:rFonts w:ascii="Verdana" w:hAnsi="Verdana"/>
          <w:sz w:val="20"/>
          <w:szCs w:val="20"/>
        </w:rPr>
        <w:t>Concul</w:t>
      </w:r>
      <w:proofErr w:type="spellEnd"/>
      <w:r w:rsidR="00EB245F" w:rsidRPr="00BB29A9">
        <w:rPr>
          <w:rFonts w:ascii="Verdana" w:hAnsi="Verdana"/>
          <w:sz w:val="20"/>
          <w:szCs w:val="20"/>
        </w:rPr>
        <w:t xml:space="preserve"> y </w:t>
      </w:r>
      <w:proofErr w:type="spellStart"/>
      <w:r w:rsidR="00EB245F" w:rsidRPr="00BB29A9">
        <w:rPr>
          <w:rFonts w:ascii="Verdana" w:hAnsi="Verdana"/>
          <w:sz w:val="20"/>
          <w:szCs w:val="20"/>
        </w:rPr>
        <w:t>Chichupac</w:t>
      </w:r>
      <w:proofErr w:type="spellEnd"/>
      <w:r w:rsidR="00EB245F" w:rsidRPr="00BB29A9">
        <w:rPr>
          <w:rFonts w:ascii="Verdana" w:hAnsi="Verdana"/>
          <w:sz w:val="20"/>
          <w:szCs w:val="20"/>
        </w:rPr>
        <w:t xml:space="preserve"> los</w:t>
      </w:r>
      <w:r w:rsidR="0068250B" w:rsidRPr="00BB29A9">
        <w:rPr>
          <w:rFonts w:ascii="Verdana" w:hAnsi="Verdana"/>
          <w:sz w:val="20"/>
          <w:szCs w:val="20"/>
        </w:rPr>
        <w:t xml:space="preserve"> siguientes</w:t>
      </w:r>
      <w:r w:rsidR="00EB245F" w:rsidRPr="00BB29A9">
        <w:rPr>
          <w:rFonts w:ascii="Verdana" w:hAnsi="Verdana"/>
          <w:sz w:val="20"/>
          <w:szCs w:val="20"/>
        </w:rPr>
        <w:t xml:space="preserve"> programas</w:t>
      </w:r>
      <w:r w:rsidR="0068250B" w:rsidRPr="00BB29A9">
        <w:rPr>
          <w:rFonts w:ascii="Verdana" w:hAnsi="Verdana"/>
          <w:sz w:val="20"/>
          <w:szCs w:val="20"/>
        </w:rPr>
        <w:t>: […]</w:t>
      </w:r>
      <w:r w:rsidR="00EB245F" w:rsidRPr="00BB29A9">
        <w:rPr>
          <w:rFonts w:ascii="Verdana" w:hAnsi="Verdana"/>
          <w:sz w:val="20"/>
          <w:szCs w:val="20"/>
        </w:rPr>
        <w:t xml:space="preserve"> </w:t>
      </w:r>
      <w:r w:rsidR="0068250B" w:rsidRPr="00BB29A9">
        <w:rPr>
          <w:rFonts w:ascii="Verdana" w:hAnsi="Verdana"/>
          <w:sz w:val="20"/>
          <w:szCs w:val="20"/>
        </w:rPr>
        <w:t>b)</w:t>
      </w:r>
      <w:r w:rsidR="00EB245F" w:rsidRPr="00BB29A9">
        <w:rPr>
          <w:rFonts w:ascii="Verdana" w:hAnsi="Verdana"/>
          <w:sz w:val="20"/>
          <w:szCs w:val="20"/>
        </w:rPr>
        <w:t xml:space="preserve"> mantenimiento y mejoras en el sistema de comunicación vial entre las indicadas comunidades y la cabecera municipal de Rabinal</w:t>
      </w:r>
      <w:r w:rsidR="0068250B" w:rsidRPr="00BB29A9">
        <w:rPr>
          <w:rFonts w:ascii="Verdana" w:hAnsi="Verdana"/>
          <w:sz w:val="20"/>
          <w:szCs w:val="20"/>
        </w:rPr>
        <w:t>;</w:t>
      </w:r>
      <w:r w:rsidR="00EB245F" w:rsidRPr="00BB29A9">
        <w:rPr>
          <w:rFonts w:ascii="Verdana" w:hAnsi="Verdana"/>
          <w:sz w:val="20"/>
          <w:szCs w:val="20"/>
        </w:rPr>
        <w:t xml:space="preserve"> </w:t>
      </w:r>
      <w:r w:rsidR="0068250B" w:rsidRPr="00BB29A9">
        <w:rPr>
          <w:rFonts w:ascii="Verdana" w:hAnsi="Verdana"/>
          <w:sz w:val="20"/>
          <w:szCs w:val="20"/>
        </w:rPr>
        <w:t>c</w:t>
      </w:r>
      <w:r w:rsidR="00EB245F" w:rsidRPr="00BB29A9">
        <w:rPr>
          <w:rFonts w:ascii="Verdana" w:hAnsi="Verdana"/>
          <w:sz w:val="20"/>
          <w:szCs w:val="20"/>
        </w:rPr>
        <w:t>) sistema de alcantarillado y suministro de agua potable</w:t>
      </w:r>
      <w:r w:rsidR="0068250B" w:rsidRPr="00BB29A9">
        <w:rPr>
          <w:rFonts w:ascii="Verdana" w:hAnsi="Verdana"/>
          <w:sz w:val="20"/>
          <w:szCs w:val="20"/>
        </w:rPr>
        <w:t>;</w:t>
      </w:r>
      <w:r w:rsidR="00981A3B" w:rsidRPr="00BB29A9">
        <w:rPr>
          <w:rFonts w:ascii="Verdana" w:hAnsi="Verdana"/>
          <w:sz w:val="20"/>
          <w:szCs w:val="20"/>
        </w:rPr>
        <w:t xml:space="preserve"> </w:t>
      </w:r>
      <w:r w:rsidR="0068250B" w:rsidRPr="00BB29A9">
        <w:rPr>
          <w:rFonts w:ascii="Verdana" w:hAnsi="Verdana"/>
          <w:sz w:val="20"/>
          <w:szCs w:val="20"/>
        </w:rPr>
        <w:t>d</w:t>
      </w:r>
      <w:r w:rsidR="00EB245F" w:rsidRPr="00BB29A9">
        <w:rPr>
          <w:rFonts w:ascii="Verdana" w:hAnsi="Verdana"/>
          <w:sz w:val="20"/>
          <w:szCs w:val="20"/>
        </w:rPr>
        <w:t xml:space="preserve">) dotación de personal docente capacitado en enseñanza </w:t>
      </w:r>
      <w:r w:rsidR="00EB245F" w:rsidRPr="00BB29A9">
        <w:rPr>
          <w:rFonts w:ascii="Verdana" w:hAnsi="Verdana"/>
          <w:sz w:val="20"/>
          <w:szCs w:val="20"/>
        </w:rPr>
        <w:lastRenderedPageBreak/>
        <w:t>intercultural y bilingüe en la educación primaria, secundaria y diversificada de di</w:t>
      </w:r>
      <w:r w:rsidR="00981A3B" w:rsidRPr="00BB29A9">
        <w:rPr>
          <w:rFonts w:ascii="Verdana" w:hAnsi="Verdana"/>
          <w:sz w:val="20"/>
          <w:szCs w:val="20"/>
        </w:rPr>
        <w:t>chas comunidades</w:t>
      </w:r>
      <w:r w:rsidR="003A4952">
        <w:rPr>
          <w:rFonts w:ascii="Verdana" w:hAnsi="Verdana"/>
          <w:sz w:val="20"/>
          <w:szCs w:val="20"/>
        </w:rPr>
        <w:t>”</w:t>
      </w:r>
      <w:r w:rsidR="00EB245F" w:rsidRPr="00BB29A9">
        <w:rPr>
          <w:rFonts w:ascii="Verdana" w:hAnsi="Verdana"/>
          <w:sz w:val="20"/>
          <w:szCs w:val="20"/>
        </w:rPr>
        <w:t>.</w:t>
      </w:r>
    </w:p>
    <w:p w14:paraId="6A368CF6" w14:textId="5816B6AF" w:rsidR="00597AEE" w:rsidRPr="00BB29A9" w:rsidRDefault="00D778B3" w:rsidP="00597AEE">
      <w:pPr>
        <w:pStyle w:val="Prrafodelista"/>
        <w:numPr>
          <w:ilvl w:val="0"/>
          <w:numId w:val="14"/>
        </w:numPr>
        <w:spacing w:before="120" w:after="120" w:line="240" w:lineRule="auto"/>
        <w:ind w:left="0" w:firstLine="0"/>
        <w:contextualSpacing w:val="0"/>
        <w:jc w:val="both"/>
        <w:rPr>
          <w:rFonts w:ascii="Verdana" w:hAnsi="Verdana"/>
          <w:i/>
          <w:sz w:val="20"/>
          <w:szCs w:val="20"/>
        </w:rPr>
      </w:pPr>
      <w:r w:rsidRPr="00BB29A9">
        <w:rPr>
          <w:rFonts w:ascii="Verdana" w:hAnsi="Verdana"/>
          <w:sz w:val="20"/>
          <w:szCs w:val="20"/>
        </w:rPr>
        <w:t>Teniendo en cuenta que, de las reparaciones ordenadas en el punto resolutivo noveno</w:t>
      </w:r>
      <w:r w:rsidR="00597AEE" w:rsidRPr="00BB29A9">
        <w:rPr>
          <w:rFonts w:ascii="Verdana" w:hAnsi="Verdana"/>
          <w:sz w:val="20"/>
          <w:szCs w:val="20"/>
        </w:rPr>
        <w:t xml:space="preserve"> de la Sentencia</w:t>
      </w:r>
      <w:r w:rsidR="00916E26" w:rsidRPr="00BB29A9">
        <w:rPr>
          <w:rFonts w:ascii="Verdana" w:hAnsi="Verdana"/>
          <w:sz w:val="20"/>
          <w:szCs w:val="20"/>
        </w:rPr>
        <w:t xml:space="preserve"> </w:t>
      </w:r>
      <w:r w:rsidRPr="00BB29A9">
        <w:rPr>
          <w:rFonts w:ascii="Verdana" w:hAnsi="Verdana"/>
          <w:sz w:val="20"/>
          <w:szCs w:val="20"/>
        </w:rPr>
        <w:t>pendientes de cumplimiento, se pueden identificar tres medidas</w:t>
      </w:r>
      <w:r w:rsidRPr="00BB29A9">
        <w:rPr>
          <w:rFonts w:ascii="Verdana" w:hAnsi="Verdana"/>
          <w:i/>
          <w:sz w:val="20"/>
          <w:szCs w:val="20"/>
        </w:rPr>
        <w:t xml:space="preserve"> </w:t>
      </w:r>
      <w:r w:rsidRPr="00BB29A9">
        <w:rPr>
          <w:rFonts w:ascii="Verdana" w:hAnsi="Verdana"/>
          <w:sz w:val="20"/>
          <w:szCs w:val="20"/>
        </w:rPr>
        <w:t>independientes</w:t>
      </w:r>
      <w:r w:rsidR="00916E26" w:rsidRPr="00BB29A9">
        <w:rPr>
          <w:rFonts w:ascii="Verdana" w:eastAsia="Verdana" w:hAnsi="Verdana" w:cs="Verdana"/>
          <w:sz w:val="20"/>
          <w:szCs w:val="20"/>
          <w:lang w:val="es-MX"/>
        </w:rPr>
        <w:t xml:space="preserve"> de carácter colectivo</w:t>
      </w:r>
      <w:r w:rsidRPr="00BB29A9">
        <w:rPr>
          <w:rFonts w:ascii="Verdana" w:hAnsi="Verdana"/>
          <w:sz w:val="20"/>
          <w:szCs w:val="20"/>
        </w:rPr>
        <w:t>,</w:t>
      </w:r>
      <w:r w:rsidR="00916E26" w:rsidRPr="00BB29A9">
        <w:rPr>
          <w:rFonts w:ascii="Verdana" w:hAnsi="Verdana"/>
          <w:sz w:val="20"/>
          <w:szCs w:val="20"/>
        </w:rPr>
        <w:t xml:space="preserve"> </w:t>
      </w:r>
      <w:r w:rsidRPr="00BB29A9">
        <w:rPr>
          <w:rFonts w:ascii="Verdana" w:hAnsi="Verdana"/>
          <w:sz w:val="20"/>
          <w:szCs w:val="20"/>
        </w:rPr>
        <w:t>las consideraciones de la Corte se referirán a cada una</w:t>
      </w:r>
      <w:r w:rsidR="00916E26" w:rsidRPr="00BB29A9">
        <w:rPr>
          <w:rFonts w:ascii="Verdana" w:hAnsi="Verdana"/>
          <w:sz w:val="20"/>
          <w:szCs w:val="20"/>
        </w:rPr>
        <w:t xml:space="preserve"> de ellas</w:t>
      </w:r>
      <w:r w:rsidRPr="00BB29A9">
        <w:rPr>
          <w:rFonts w:ascii="Verdana" w:hAnsi="Verdana"/>
          <w:sz w:val="20"/>
          <w:szCs w:val="20"/>
        </w:rPr>
        <w:t xml:space="preserve"> </w:t>
      </w:r>
      <w:r w:rsidR="00916E26" w:rsidRPr="00BB29A9">
        <w:rPr>
          <w:rFonts w:ascii="Verdana" w:hAnsi="Verdana"/>
          <w:sz w:val="20"/>
          <w:szCs w:val="20"/>
        </w:rPr>
        <w:t>en</w:t>
      </w:r>
      <w:r w:rsidRPr="00BB29A9">
        <w:rPr>
          <w:rFonts w:ascii="Verdana" w:hAnsi="Verdana"/>
          <w:sz w:val="20"/>
          <w:szCs w:val="20"/>
        </w:rPr>
        <w:t xml:space="preserve"> forma separada</w:t>
      </w:r>
      <w:r w:rsidR="00916E26" w:rsidRPr="00BB29A9">
        <w:rPr>
          <w:rFonts w:ascii="Verdana" w:hAnsi="Verdana"/>
          <w:sz w:val="20"/>
          <w:szCs w:val="20"/>
        </w:rPr>
        <w:t xml:space="preserve"> a fin de evaluar el estado de </w:t>
      </w:r>
      <w:r w:rsidR="00D41DAD">
        <w:rPr>
          <w:rFonts w:ascii="Verdana" w:hAnsi="Verdana"/>
          <w:sz w:val="20"/>
          <w:szCs w:val="20"/>
        </w:rPr>
        <w:t xml:space="preserve">su </w:t>
      </w:r>
      <w:r w:rsidR="00916E26" w:rsidRPr="00BB29A9">
        <w:rPr>
          <w:rFonts w:ascii="Verdana" w:hAnsi="Verdana"/>
          <w:sz w:val="20"/>
          <w:szCs w:val="20"/>
        </w:rPr>
        <w:t>cumplimiento</w:t>
      </w:r>
      <w:r w:rsidR="0051291E" w:rsidRPr="00BB29A9">
        <w:rPr>
          <w:rFonts w:ascii="Verdana" w:eastAsia="Verdana" w:hAnsi="Verdana" w:cs="Verdana"/>
          <w:sz w:val="20"/>
          <w:szCs w:val="20"/>
          <w:lang w:val="es-MX"/>
        </w:rPr>
        <w:t>.</w:t>
      </w:r>
    </w:p>
    <w:p w14:paraId="49CA9A40" w14:textId="77777777" w:rsidR="00890922" w:rsidRPr="00BB29A9" w:rsidRDefault="00A00074" w:rsidP="00447043">
      <w:pPr>
        <w:pStyle w:val="Ttulo2"/>
        <w:numPr>
          <w:ilvl w:val="2"/>
          <w:numId w:val="11"/>
        </w:numPr>
        <w:ind w:left="851" w:hanging="284"/>
        <w:jc w:val="both"/>
        <w:rPr>
          <w:rFonts w:ascii="Verdana" w:hAnsi="Verdana"/>
          <w:b/>
          <w:i/>
          <w:color w:val="auto"/>
          <w:sz w:val="20"/>
          <w:szCs w:val="20"/>
        </w:rPr>
      </w:pPr>
      <w:bookmarkStart w:id="11" w:name="_Toc67523773"/>
      <w:r w:rsidRPr="00BB29A9">
        <w:rPr>
          <w:rFonts w:ascii="Verdana" w:hAnsi="Verdana"/>
          <w:b/>
          <w:color w:val="auto"/>
          <w:sz w:val="20"/>
          <w:szCs w:val="20"/>
        </w:rPr>
        <w:t>Mantenimiento</w:t>
      </w:r>
      <w:r w:rsidR="00890922" w:rsidRPr="00BB29A9">
        <w:rPr>
          <w:rFonts w:ascii="Verdana" w:hAnsi="Verdana"/>
          <w:b/>
          <w:color w:val="auto"/>
          <w:sz w:val="20"/>
          <w:szCs w:val="20"/>
        </w:rPr>
        <w:t xml:space="preserve"> y mejora</w:t>
      </w:r>
      <w:r w:rsidRPr="00BB29A9">
        <w:rPr>
          <w:rFonts w:ascii="Verdana" w:hAnsi="Verdana"/>
          <w:b/>
          <w:color w:val="auto"/>
          <w:sz w:val="20"/>
          <w:szCs w:val="20"/>
        </w:rPr>
        <w:t>s en</w:t>
      </w:r>
      <w:r w:rsidR="00890922" w:rsidRPr="00BB29A9">
        <w:rPr>
          <w:rFonts w:ascii="Verdana" w:hAnsi="Verdana"/>
          <w:b/>
          <w:color w:val="auto"/>
          <w:sz w:val="20"/>
          <w:szCs w:val="20"/>
        </w:rPr>
        <w:t xml:space="preserve"> el sistema de comunicación vial entre las comunidades </w:t>
      </w:r>
      <w:r w:rsidRPr="00BB29A9">
        <w:rPr>
          <w:rFonts w:ascii="Verdana" w:hAnsi="Verdana"/>
          <w:b/>
          <w:color w:val="auto"/>
          <w:sz w:val="20"/>
          <w:szCs w:val="20"/>
        </w:rPr>
        <w:t xml:space="preserve">indicadas </w:t>
      </w:r>
      <w:r w:rsidR="00890922" w:rsidRPr="00BB29A9">
        <w:rPr>
          <w:rFonts w:ascii="Verdana" w:hAnsi="Verdana"/>
          <w:b/>
          <w:color w:val="auto"/>
          <w:sz w:val="20"/>
          <w:szCs w:val="20"/>
        </w:rPr>
        <w:t>y la cabecera municipal de Rabinal</w:t>
      </w:r>
      <w:bookmarkEnd w:id="11"/>
    </w:p>
    <w:p w14:paraId="0AB2AC00" w14:textId="6E5CD0F6" w:rsidR="00C37618" w:rsidRDefault="00C37618" w:rsidP="00C37618">
      <w:pPr>
        <w:pStyle w:val="Prrafodelista"/>
        <w:spacing w:before="120" w:after="120" w:line="240" w:lineRule="auto"/>
        <w:ind w:left="0" w:firstLine="709"/>
        <w:contextualSpacing w:val="0"/>
        <w:jc w:val="both"/>
        <w:rPr>
          <w:rFonts w:ascii="Verdana" w:hAnsi="Verdana"/>
          <w:i/>
          <w:sz w:val="20"/>
          <w:szCs w:val="20"/>
        </w:rPr>
      </w:pPr>
      <w:r>
        <w:rPr>
          <w:rFonts w:ascii="Verdana" w:hAnsi="Verdana"/>
          <w:i/>
          <w:sz w:val="20"/>
          <w:szCs w:val="20"/>
        </w:rPr>
        <w:t>D.i.1. S</w:t>
      </w:r>
      <w:r w:rsidRPr="00BB29A9">
        <w:rPr>
          <w:rFonts w:ascii="Verdana" w:hAnsi="Verdana"/>
          <w:i/>
          <w:sz w:val="20"/>
          <w:szCs w:val="20"/>
        </w:rPr>
        <w:t>upervisión realizada en resolución anterior</w:t>
      </w:r>
    </w:p>
    <w:p w14:paraId="7C8C5DC4" w14:textId="1AA6C3CF" w:rsidR="000F35C7" w:rsidRPr="00BB29A9" w:rsidRDefault="00A00074" w:rsidP="000F35C7">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En la Resolución de 25 de mayo de 2017, la Corte </w:t>
      </w:r>
      <w:r w:rsidR="00E26C07" w:rsidRPr="00BB29A9">
        <w:rPr>
          <w:rFonts w:ascii="Verdana" w:hAnsi="Verdana"/>
          <w:sz w:val="20"/>
          <w:szCs w:val="20"/>
        </w:rPr>
        <w:t xml:space="preserve">valoró positivamente el </w:t>
      </w:r>
      <w:r w:rsidR="00F451B3" w:rsidRPr="00BB29A9">
        <w:rPr>
          <w:rFonts w:ascii="Verdana" w:hAnsi="Verdana"/>
          <w:sz w:val="20"/>
          <w:szCs w:val="20"/>
        </w:rPr>
        <w:t xml:space="preserve">reciente </w:t>
      </w:r>
      <w:r w:rsidR="00E26C07" w:rsidRPr="00BB29A9">
        <w:rPr>
          <w:rFonts w:ascii="Verdana" w:hAnsi="Verdana"/>
          <w:sz w:val="20"/>
          <w:szCs w:val="20"/>
        </w:rPr>
        <w:t xml:space="preserve">mejoramiento </w:t>
      </w:r>
      <w:r w:rsidR="00117C52" w:rsidRPr="00BB29A9">
        <w:rPr>
          <w:rFonts w:ascii="Verdana" w:hAnsi="Verdana"/>
          <w:sz w:val="20"/>
          <w:szCs w:val="20"/>
        </w:rPr>
        <w:t xml:space="preserve">(cubrir huecos y retirar piedra suelta) </w:t>
      </w:r>
      <w:r w:rsidR="00E26C07" w:rsidRPr="00BB29A9">
        <w:rPr>
          <w:rFonts w:ascii="Verdana" w:hAnsi="Verdana"/>
          <w:sz w:val="20"/>
          <w:szCs w:val="20"/>
        </w:rPr>
        <w:t>de la carretera entre la cabecera del municipio Rabinal y la Aldea Plan de Sánchez</w:t>
      </w:r>
      <w:r w:rsidR="00F42F52" w:rsidRPr="00BB29A9">
        <w:rPr>
          <w:rFonts w:ascii="Verdana" w:hAnsi="Verdana"/>
          <w:sz w:val="20"/>
          <w:szCs w:val="20"/>
        </w:rPr>
        <w:t>,</w:t>
      </w:r>
      <w:r w:rsidR="00833435" w:rsidRPr="00BB29A9">
        <w:rPr>
          <w:rFonts w:ascii="Verdana" w:hAnsi="Verdana"/>
          <w:sz w:val="20"/>
          <w:szCs w:val="20"/>
        </w:rPr>
        <w:t xml:space="preserve"> </w:t>
      </w:r>
      <w:r w:rsidR="0023203B" w:rsidRPr="00BB29A9">
        <w:rPr>
          <w:rFonts w:ascii="Verdana" w:hAnsi="Verdana"/>
          <w:sz w:val="20"/>
          <w:szCs w:val="20"/>
        </w:rPr>
        <w:t xml:space="preserve">efectuado por la Alcaldía de Rabinal </w:t>
      </w:r>
      <w:r w:rsidR="0023203B">
        <w:rPr>
          <w:rFonts w:ascii="Verdana" w:hAnsi="Verdana"/>
          <w:sz w:val="20"/>
          <w:szCs w:val="20"/>
        </w:rPr>
        <w:t xml:space="preserve">y </w:t>
      </w:r>
      <w:r w:rsidR="00117C52" w:rsidRPr="00BB29A9">
        <w:rPr>
          <w:rFonts w:ascii="Verdana" w:hAnsi="Verdana"/>
          <w:sz w:val="20"/>
          <w:szCs w:val="20"/>
        </w:rPr>
        <w:t>constata</w:t>
      </w:r>
      <w:r w:rsidR="0023203B">
        <w:rPr>
          <w:rFonts w:ascii="Verdana" w:hAnsi="Verdana"/>
          <w:sz w:val="20"/>
          <w:szCs w:val="20"/>
        </w:rPr>
        <w:t>do durante la visita en terreno</w:t>
      </w:r>
      <w:r w:rsidR="00117C52" w:rsidRPr="00BB29A9">
        <w:rPr>
          <w:rFonts w:ascii="Verdana" w:hAnsi="Verdana"/>
          <w:sz w:val="20"/>
          <w:szCs w:val="20"/>
        </w:rPr>
        <w:t xml:space="preserve">. Sin embargo, se hizo notar que se trata de una carretera </w:t>
      </w:r>
      <w:r w:rsidR="00351C71" w:rsidRPr="00BB29A9">
        <w:rPr>
          <w:rFonts w:ascii="Verdana" w:hAnsi="Verdana"/>
          <w:sz w:val="20"/>
          <w:szCs w:val="20"/>
        </w:rPr>
        <w:t xml:space="preserve">en una zona montañosa y que, por </w:t>
      </w:r>
      <w:r w:rsidR="000F35C7" w:rsidRPr="00BB29A9">
        <w:rPr>
          <w:rFonts w:ascii="Verdana" w:hAnsi="Verdana"/>
          <w:sz w:val="20"/>
          <w:szCs w:val="20"/>
        </w:rPr>
        <w:t xml:space="preserve">ser </w:t>
      </w:r>
      <w:r w:rsidR="00351C71" w:rsidRPr="00BB29A9">
        <w:rPr>
          <w:rFonts w:ascii="Verdana" w:hAnsi="Verdana"/>
          <w:sz w:val="20"/>
          <w:szCs w:val="20"/>
        </w:rPr>
        <w:t xml:space="preserve">tierra sin asfaltar, </w:t>
      </w:r>
      <w:r w:rsidR="009B361E" w:rsidRPr="00BB29A9">
        <w:rPr>
          <w:rFonts w:ascii="Verdana" w:hAnsi="Verdana"/>
          <w:sz w:val="20"/>
          <w:szCs w:val="20"/>
        </w:rPr>
        <w:t>con la temporada lluviosa podría volver</w:t>
      </w:r>
      <w:r w:rsidR="00976446" w:rsidRPr="00BB29A9">
        <w:rPr>
          <w:rFonts w:ascii="Verdana" w:hAnsi="Verdana"/>
          <w:sz w:val="20"/>
          <w:szCs w:val="20"/>
        </w:rPr>
        <w:t xml:space="preserve"> a ser de trá</w:t>
      </w:r>
      <w:r w:rsidR="009B361E" w:rsidRPr="00BB29A9">
        <w:rPr>
          <w:rFonts w:ascii="Verdana" w:hAnsi="Verdana"/>
          <w:sz w:val="20"/>
          <w:szCs w:val="20"/>
        </w:rPr>
        <w:t xml:space="preserve">nsito dificultoso y que el encargado del centro de salud refirió que, por las malas condiciones de la misma, ante una emergencia </w:t>
      </w:r>
      <w:r w:rsidR="00976446" w:rsidRPr="00BB29A9">
        <w:rPr>
          <w:rFonts w:ascii="Verdana" w:hAnsi="Verdana"/>
          <w:sz w:val="20"/>
          <w:szCs w:val="20"/>
        </w:rPr>
        <w:t>no subía</w:t>
      </w:r>
      <w:r w:rsidR="009B361E" w:rsidRPr="00BB29A9">
        <w:rPr>
          <w:rFonts w:ascii="Verdana" w:hAnsi="Verdana"/>
          <w:sz w:val="20"/>
          <w:szCs w:val="20"/>
        </w:rPr>
        <w:t xml:space="preserve"> la ambulancia, sino que llega a auxiliar el camión de los bomberos. </w:t>
      </w:r>
      <w:r w:rsidR="00135422" w:rsidRPr="00BB29A9">
        <w:rPr>
          <w:rFonts w:ascii="Verdana" w:hAnsi="Verdana"/>
          <w:sz w:val="20"/>
          <w:szCs w:val="20"/>
        </w:rPr>
        <w:t xml:space="preserve">La Corte indicó que Guatemala debe </w:t>
      </w:r>
      <w:r w:rsidR="00F42F52" w:rsidRPr="00BB29A9">
        <w:rPr>
          <w:rFonts w:ascii="Verdana" w:hAnsi="Verdana"/>
          <w:sz w:val="20"/>
          <w:szCs w:val="20"/>
        </w:rPr>
        <w:t>garantizar que las carreteras sean transitables de forma segura todo el año, incluyendo la época lluviosa</w:t>
      </w:r>
      <w:r w:rsidR="00F451B3" w:rsidRPr="00BB29A9">
        <w:rPr>
          <w:rFonts w:ascii="Verdana" w:hAnsi="Verdana"/>
          <w:sz w:val="20"/>
          <w:szCs w:val="20"/>
        </w:rPr>
        <w:t>,</w:t>
      </w:r>
      <w:r w:rsidR="00E26C07" w:rsidRPr="00BB29A9">
        <w:rPr>
          <w:rFonts w:ascii="Verdana" w:hAnsi="Verdana"/>
          <w:sz w:val="20"/>
          <w:szCs w:val="20"/>
        </w:rPr>
        <w:t xml:space="preserve"> </w:t>
      </w:r>
      <w:r w:rsidR="00135422" w:rsidRPr="00BB29A9">
        <w:rPr>
          <w:rFonts w:ascii="Verdana" w:hAnsi="Verdana"/>
          <w:sz w:val="20"/>
          <w:szCs w:val="20"/>
        </w:rPr>
        <w:t xml:space="preserve">y le </w:t>
      </w:r>
      <w:r w:rsidR="00E26C07" w:rsidRPr="00BB29A9">
        <w:rPr>
          <w:rFonts w:ascii="Verdana" w:hAnsi="Verdana"/>
          <w:sz w:val="20"/>
          <w:szCs w:val="20"/>
        </w:rPr>
        <w:t xml:space="preserve">solicitó que </w:t>
      </w:r>
      <w:r w:rsidR="00291B86" w:rsidRPr="00BB29A9">
        <w:rPr>
          <w:rFonts w:ascii="Verdana" w:hAnsi="Verdana"/>
          <w:sz w:val="20"/>
          <w:szCs w:val="20"/>
        </w:rPr>
        <w:t>explique</w:t>
      </w:r>
      <w:r w:rsidR="00F42F52" w:rsidRPr="00BB29A9">
        <w:rPr>
          <w:rFonts w:ascii="Verdana" w:hAnsi="Verdana"/>
          <w:sz w:val="20"/>
          <w:szCs w:val="20"/>
        </w:rPr>
        <w:t xml:space="preserve">: </w:t>
      </w:r>
      <w:r w:rsidR="00291B86" w:rsidRPr="00BB29A9">
        <w:rPr>
          <w:rFonts w:ascii="Verdana" w:hAnsi="Verdana"/>
          <w:sz w:val="20"/>
          <w:szCs w:val="20"/>
        </w:rPr>
        <w:t>(</w:t>
      </w:r>
      <w:r w:rsidR="00F42F52" w:rsidRPr="00BB29A9">
        <w:rPr>
          <w:rFonts w:ascii="Verdana" w:hAnsi="Verdana"/>
          <w:sz w:val="20"/>
          <w:szCs w:val="20"/>
        </w:rPr>
        <w:t>i)</w:t>
      </w:r>
      <w:r w:rsidR="00E26C07" w:rsidRPr="00BB29A9">
        <w:rPr>
          <w:rFonts w:ascii="Verdana" w:hAnsi="Verdana"/>
          <w:sz w:val="20"/>
          <w:szCs w:val="20"/>
        </w:rPr>
        <w:t xml:space="preserve"> cómo atenderá estas eventualidades a corto plazo</w:t>
      </w:r>
      <w:r w:rsidR="00F42F52" w:rsidRPr="00BB29A9">
        <w:rPr>
          <w:rFonts w:ascii="Verdana" w:hAnsi="Verdana"/>
          <w:sz w:val="20"/>
          <w:szCs w:val="20"/>
        </w:rPr>
        <w:t xml:space="preserve">; </w:t>
      </w:r>
      <w:r w:rsidR="00291B86" w:rsidRPr="00BB29A9">
        <w:rPr>
          <w:rFonts w:ascii="Verdana" w:hAnsi="Verdana"/>
          <w:sz w:val="20"/>
          <w:szCs w:val="20"/>
        </w:rPr>
        <w:t>(</w:t>
      </w:r>
      <w:r w:rsidR="00F42F52" w:rsidRPr="00BB29A9">
        <w:rPr>
          <w:rFonts w:ascii="Verdana" w:hAnsi="Verdana"/>
          <w:sz w:val="20"/>
          <w:szCs w:val="20"/>
        </w:rPr>
        <w:t>ii)</w:t>
      </w:r>
      <w:r w:rsidR="00E26C07" w:rsidRPr="00BB29A9">
        <w:rPr>
          <w:rFonts w:ascii="Verdana" w:hAnsi="Verdana"/>
          <w:sz w:val="20"/>
          <w:szCs w:val="20"/>
        </w:rPr>
        <w:t xml:space="preserve"> cuáles son los trabajos </w:t>
      </w:r>
      <w:r w:rsidR="00F451B3" w:rsidRPr="00BB29A9">
        <w:rPr>
          <w:rFonts w:ascii="Verdana" w:hAnsi="Verdana"/>
          <w:sz w:val="20"/>
          <w:szCs w:val="20"/>
        </w:rPr>
        <w:t>de remozamiento</w:t>
      </w:r>
      <w:r w:rsidR="00F42F52" w:rsidRPr="00BB29A9">
        <w:rPr>
          <w:rFonts w:ascii="Verdana" w:hAnsi="Verdana"/>
          <w:sz w:val="20"/>
          <w:szCs w:val="20"/>
        </w:rPr>
        <w:t xml:space="preserve"> que</w:t>
      </w:r>
      <w:r w:rsidR="00F451B3" w:rsidRPr="00BB29A9">
        <w:rPr>
          <w:rFonts w:ascii="Verdana" w:hAnsi="Verdana"/>
          <w:sz w:val="20"/>
          <w:szCs w:val="20"/>
        </w:rPr>
        <w:t xml:space="preserve"> </w:t>
      </w:r>
      <w:r w:rsidR="00F42F52" w:rsidRPr="00BB29A9">
        <w:rPr>
          <w:rFonts w:ascii="Verdana" w:hAnsi="Verdana"/>
          <w:sz w:val="20"/>
          <w:szCs w:val="20"/>
        </w:rPr>
        <w:t xml:space="preserve">se </w:t>
      </w:r>
      <w:r w:rsidR="00E26C07" w:rsidRPr="00BB29A9">
        <w:rPr>
          <w:rFonts w:ascii="Verdana" w:hAnsi="Verdana"/>
          <w:sz w:val="20"/>
          <w:szCs w:val="20"/>
        </w:rPr>
        <w:t xml:space="preserve">habrían iniciado en mayo </w:t>
      </w:r>
      <w:r w:rsidR="00F451B3" w:rsidRPr="00BB29A9">
        <w:rPr>
          <w:rFonts w:ascii="Verdana" w:hAnsi="Verdana"/>
          <w:sz w:val="20"/>
          <w:szCs w:val="20"/>
        </w:rPr>
        <w:t>de 2017</w:t>
      </w:r>
      <w:r w:rsidR="00F42F52" w:rsidRPr="00BB29A9">
        <w:rPr>
          <w:rFonts w:ascii="Verdana" w:hAnsi="Verdana"/>
          <w:sz w:val="20"/>
          <w:szCs w:val="20"/>
        </w:rPr>
        <w:t xml:space="preserve"> </w:t>
      </w:r>
      <w:r w:rsidR="00833435" w:rsidRPr="00BB29A9">
        <w:rPr>
          <w:rFonts w:ascii="Verdana" w:hAnsi="Verdana"/>
          <w:sz w:val="20"/>
          <w:szCs w:val="20"/>
        </w:rPr>
        <w:t>por</w:t>
      </w:r>
      <w:r w:rsidR="00F42F52" w:rsidRPr="00BB29A9">
        <w:rPr>
          <w:rFonts w:ascii="Verdana" w:hAnsi="Verdana"/>
          <w:sz w:val="20"/>
          <w:szCs w:val="20"/>
        </w:rPr>
        <w:t xml:space="preserve"> el Ministerio de Comunicaciones, Infraestructura y Vivienda; </w:t>
      </w:r>
      <w:r w:rsidR="00833435" w:rsidRPr="00BB29A9">
        <w:rPr>
          <w:rFonts w:ascii="Verdana" w:hAnsi="Verdana"/>
          <w:sz w:val="20"/>
          <w:szCs w:val="20"/>
        </w:rPr>
        <w:t xml:space="preserve">y </w:t>
      </w:r>
      <w:r w:rsidR="00291B86" w:rsidRPr="00BB29A9">
        <w:rPr>
          <w:rFonts w:ascii="Verdana" w:hAnsi="Verdana"/>
          <w:sz w:val="20"/>
          <w:szCs w:val="20"/>
        </w:rPr>
        <w:t>(</w:t>
      </w:r>
      <w:r w:rsidR="00F42F52" w:rsidRPr="00BB29A9">
        <w:rPr>
          <w:rFonts w:ascii="Verdana" w:hAnsi="Verdana"/>
          <w:sz w:val="20"/>
          <w:szCs w:val="20"/>
        </w:rPr>
        <w:t xml:space="preserve">iii) </w:t>
      </w:r>
      <w:r w:rsidR="00E26C07" w:rsidRPr="00BB29A9">
        <w:rPr>
          <w:rFonts w:ascii="Verdana" w:hAnsi="Verdana"/>
          <w:sz w:val="20"/>
          <w:szCs w:val="20"/>
        </w:rPr>
        <w:t>cuál es el plan de las obras y su culminación.</w:t>
      </w:r>
    </w:p>
    <w:p w14:paraId="0A3A13CB" w14:textId="07F5591B" w:rsidR="00111873" w:rsidRPr="00111873" w:rsidRDefault="00833435" w:rsidP="00111873">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Asimismo,</w:t>
      </w:r>
      <w:r w:rsidR="00F451B3" w:rsidRPr="00BB29A9">
        <w:rPr>
          <w:rFonts w:ascii="Verdana" w:hAnsi="Verdana"/>
          <w:sz w:val="20"/>
          <w:szCs w:val="20"/>
        </w:rPr>
        <w:t xml:space="preserve"> </w:t>
      </w:r>
      <w:r w:rsidR="000C6D24" w:rsidRPr="00BB29A9">
        <w:rPr>
          <w:rFonts w:ascii="Verdana" w:hAnsi="Verdana"/>
          <w:sz w:val="20"/>
          <w:szCs w:val="20"/>
        </w:rPr>
        <w:t xml:space="preserve">este Tribunal </w:t>
      </w:r>
      <w:r w:rsidRPr="00BB29A9">
        <w:rPr>
          <w:rFonts w:ascii="Verdana" w:hAnsi="Verdana"/>
          <w:sz w:val="20"/>
          <w:szCs w:val="20"/>
        </w:rPr>
        <w:t xml:space="preserve">solicitó al Estado informar </w:t>
      </w:r>
      <w:r w:rsidR="00530DA4" w:rsidRPr="00BB29A9">
        <w:rPr>
          <w:rFonts w:ascii="Verdana" w:hAnsi="Verdana"/>
          <w:sz w:val="20"/>
          <w:szCs w:val="20"/>
        </w:rPr>
        <w:t>“sobre el programa especial de mantenimiento y mejoras en la comunicación vial que debe desarrollar en beneficio de las referidas 13 comunidades, solicitado en el párrafo 110.b) de la Sentencia</w:t>
      </w:r>
      <w:r w:rsidR="00E26C07" w:rsidRPr="00BB29A9">
        <w:rPr>
          <w:rFonts w:ascii="Verdana" w:hAnsi="Verdana"/>
          <w:sz w:val="20"/>
          <w:szCs w:val="20"/>
        </w:rPr>
        <w:t>”</w:t>
      </w:r>
      <w:r w:rsidRPr="00BB29A9">
        <w:rPr>
          <w:rFonts w:ascii="Verdana" w:hAnsi="Verdana"/>
          <w:sz w:val="20"/>
          <w:szCs w:val="20"/>
        </w:rPr>
        <w:t>, y que a</w:t>
      </w:r>
      <w:r w:rsidR="00530DA4" w:rsidRPr="00BB29A9">
        <w:rPr>
          <w:rFonts w:ascii="Verdana" w:hAnsi="Verdana"/>
          <w:sz w:val="20"/>
          <w:szCs w:val="20"/>
        </w:rPr>
        <w:t>l hacerlo deb</w:t>
      </w:r>
      <w:r w:rsidR="00E26C07" w:rsidRPr="00BB29A9">
        <w:rPr>
          <w:rFonts w:ascii="Verdana" w:hAnsi="Verdana"/>
          <w:sz w:val="20"/>
          <w:szCs w:val="20"/>
        </w:rPr>
        <w:t>ía</w:t>
      </w:r>
      <w:r w:rsidR="00530DA4" w:rsidRPr="00BB29A9">
        <w:rPr>
          <w:rFonts w:ascii="Verdana" w:hAnsi="Verdana"/>
          <w:sz w:val="20"/>
          <w:szCs w:val="20"/>
        </w:rPr>
        <w:t xml:space="preserve"> explicar al menos: </w:t>
      </w:r>
      <w:r w:rsidR="00E26C07" w:rsidRPr="00BB29A9">
        <w:rPr>
          <w:rFonts w:ascii="Verdana" w:hAnsi="Verdana"/>
          <w:sz w:val="20"/>
          <w:szCs w:val="20"/>
        </w:rPr>
        <w:t>“</w:t>
      </w:r>
      <w:r w:rsidR="00530DA4" w:rsidRPr="00BB29A9">
        <w:rPr>
          <w:rFonts w:ascii="Verdana" w:hAnsi="Verdana"/>
          <w:sz w:val="20"/>
          <w:szCs w:val="20"/>
        </w:rPr>
        <w:t>(a) el</w:t>
      </w:r>
      <w:r w:rsidR="00E26C07" w:rsidRPr="00BB29A9">
        <w:rPr>
          <w:rFonts w:ascii="Verdana" w:hAnsi="Verdana"/>
          <w:sz w:val="20"/>
          <w:szCs w:val="20"/>
        </w:rPr>
        <w:t xml:space="preserve"> </w:t>
      </w:r>
      <w:r w:rsidR="00530DA4" w:rsidRPr="00BB29A9">
        <w:rPr>
          <w:rFonts w:ascii="Verdana" w:hAnsi="Verdana"/>
          <w:sz w:val="20"/>
          <w:szCs w:val="20"/>
        </w:rPr>
        <w:t>estado de las carreteras desde cada comunidad indicada en la Sentencia hacia la cabecera</w:t>
      </w:r>
      <w:r w:rsidR="00E26C07" w:rsidRPr="00BB29A9">
        <w:rPr>
          <w:rFonts w:ascii="Verdana" w:hAnsi="Verdana"/>
          <w:sz w:val="20"/>
          <w:szCs w:val="20"/>
        </w:rPr>
        <w:t xml:space="preserve"> </w:t>
      </w:r>
      <w:r w:rsidR="00530DA4" w:rsidRPr="00BB29A9">
        <w:rPr>
          <w:rFonts w:ascii="Verdana" w:hAnsi="Verdana"/>
          <w:sz w:val="20"/>
          <w:szCs w:val="20"/>
        </w:rPr>
        <w:t>municipal de Rabinal, asegurando que sean transitables de forma segura durante</w:t>
      </w:r>
      <w:r w:rsidR="00E26C07" w:rsidRPr="00BB29A9">
        <w:rPr>
          <w:rFonts w:ascii="Verdana" w:hAnsi="Verdana"/>
          <w:sz w:val="20"/>
          <w:szCs w:val="20"/>
        </w:rPr>
        <w:t xml:space="preserve"> </w:t>
      </w:r>
      <w:r w:rsidR="00530DA4" w:rsidRPr="00BB29A9">
        <w:rPr>
          <w:rFonts w:ascii="Verdana" w:hAnsi="Verdana"/>
          <w:sz w:val="20"/>
          <w:szCs w:val="20"/>
        </w:rPr>
        <w:t>temporadas de lluvia; (b) si la carretera entre la cabecera de Rabinal y las comunidades</w:t>
      </w:r>
      <w:r w:rsidR="00E26C07" w:rsidRPr="00BB29A9">
        <w:rPr>
          <w:rFonts w:ascii="Verdana" w:hAnsi="Verdana"/>
          <w:sz w:val="20"/>
          <w:szCs w:val="20"/>
        </w:rPr>
        <w:t xml:space="preserve"> </w:t>
      </w:r>
      <w:r w:rsidR="00530DA4" w:rsidRPr="00BB29A9">
        <w:rPr>
          <w:rFonts w:ascii="Verdana" w:hAnsi="Verdana"/>
          <w:sz w:val="20"/>
          <w:szCs w:val="20"/>
        </w:rPr>
        <w:t>cuenta con demarcación y si tiene barreras a la orilla en caso de posibles derrapes, tomando</w:t>
      </w:r>
      <w:r w:rsidR="00E26C07" w:rsidRPr="00BB29A9">
        <w:rPr>
          <w:rFonts w:ascii="Verdana" w:hAnsi="Verdana"/>
          <w:sz w:val="20"/>
          <w:szCs w:val="20"/>
        </w:rPr>
        <w:t xml:space="preserve"> </w:t>
      </w:r>
      <w:r w:rsidR="00530DA4" w:rsidRPr="00BB29A9">
        <w:rPr>
          <w:rFonts w:ascii="Verdana" w:hAnsi="Verdana"/>
          <w:sz w:val="20"/>
          <w:szCs w:val="20"/>
        </w:rPr>
        <w:t>en cuenta que está en un área montañosa, y (c) si las carreteras son lo suficientemente</w:t>
      </w:r>
      <w:r w:rsidR="00E26C07" w:rsidRPr="00BB29A9">
        <w:rPr>
          <w:rFonts w:ascii="Verdana" w:hAnsi="Verdana"/>
          <w:sz w:val="20"/>
          <w:szCs w:val="20"/>
        </w:rPr>
        <w:t xml:space="preserve"> </w:t>
      </w:r>
      <w:r w:rsidR="00530DA4" w:rsidRPr="00BB29A9">
        <w:rPr>
          <w:rFonts w:ascii="Verdana" w:hAnsi="Verdana"/>
          <w:sz w:val="20"/>
          <w:szCs w:val="20"/>
        </w:rPr>
        <w:t>seguras como para que las ambulancias estén en capacidad de subir desde la cabecera de</w:t>
      </w:r>
      <w:r w:rsidR="00E26C07" w:rsidRPr="00BB29A9">
        <w:rPr>
          <w:rFonts w:ascii="Verdana" w:hAnsi="Verdana"/>
          <w:sz w:val="20"/>
          <w:szCs w:val="20"/>
        </w:rPr>
        <w:t xml:space="preserve"> </w:t>
      </w:r>
      <w:r w:rsidR="00530DA4" w:rsidRPr="00BB29A9">
        <w:rPr>
          <w:rFonts w:ascii="Verdana" w:hAnsi="Verdana"/>
          <w:sz w:val="20"/>
          <w:szCs w:val="20"/>
        </w:rPr>
        <w:t>Rabinal para atender casos de emergencia</w:t>
      </w:r>
      <w:r w:rsidR="00E26C07" w:rsidRPr="00BB29A9">
        <w:rPr>
          <w:rFonts w:ascii="Verdana" w:hAnsi="Verdana"/>
          <w:sz w:val="20"/>
          <w:szCs w:val="20"/>
        </w:rPr>
        <w:t>”</w:t>
      </w:r>
      <w:r w:rsidR="0034116B" w:rsidRPr="00BB29A9">
        <w:rPr>
          <w:rStyle w:val="Refdenotaalpie"/>
          <w:rFonts w:ascii="Verdana" w:hAnsi="Verdana"/>
          <w:sz w:val="20"/>
          <w:szCs w:val="20"/>
        </w:rPr>
        <w:footnoteReference w:id="39"/>
      </w:r>
      <w:r w:rsidR="00530DA4" w:rsidRPr="00BB29A9">
        <w:rPr>
          <w:rFonts w:ascii="Verdana" w:hAnsi="Verdana"/>
          <w:sz w:val="20"/>
          <w:szCs w:val="20"/>
        </w:rPr>
        <w:t>.</w:t>
      </w:r>
    </w:p>
    <w:p w14:paraId="2AE09120" w14:textId="0B5C200E" w:rsidR="00111873" w:rsidRPr="00111873" w:rsidRDefault="00111873" w:rsidP="00111873">
      <w:pPr>
        <w:pStyle w:val="Prrafodelista"/>
        <w:spacing w:before="120" w:after="120" w:line="240" w:lineRule="auto"/>
        <w:contextualSpacing w:val="0"/>
        <w:jc w:val="both"/>
        <w:rPr>
          <w:rFonts w:ascii="Verdana" w:hAnsi="Verdana"/>
          <w:sz w:val="20"/>
          <w:szCs w:val="20"/>
        </w:rPr>
      </w:pPr>
      <w:r>
        <w:rPr>
          <w:rFonts w:ascii="Verdana" w:hAnsi="Verdana"/>
          <w:i/>
          <w:sz w:val="20"/>
          <w:szCs w:val="20"/>
        </w:rPr>
        <w:t xml:space="preserve">D.i.2. </w:t>
      </w:r>
      <w:r w:rsidRPr="00BB29A9">
        <w:rPr>
          <w:rFonts w:ascii="Verdana" w:hAnsi="Verdana"/>
          <w:i/>
          <w:sz w:val="20"/>
          <w:szCs w:val="20"/>
        </w:rPr>
        <w:t>Consideraciones de la Corte</w:t>
      </w:r>
    </w:p>
    <w:p w14:paraId="10D7F6C6" w14:textId="77777777" w:rsidR="00263E5D" w:rsidRPr="00BB29A9" w:rsidRDefault="000F35C7" w:rsidP="00263E5D">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L</w:t>
      </w:r>
      <w:r w:rsidR="00C016B9" w:rsidRPr="00BB29A9">
        <w:rPr>
          <w:rFonts w:ascii="Verdana" w:hAnsi="Verdana"/>
          <w:sz w:val="20"/>
          <w:szCs w:val="20"/>
        </w:rPr>
        <w:t>a información proporcionada por las partes</w:t>
      </w:r>
      <w:r w:rsidR="003144AF" w:rsidRPr="00BB29A9">
        <w:rPr>
          <w:rFonts w:ascii="Verdana" w:hAnsi="Verdana"/>
          <w:sz w:val="20"/>
          <w:szCs w:val="20"/>
        </w:rPr>
        <w:t xml:space="preserve"> con posterioridad a la referida Resolución de 25 de mayo de 2017</w:t>
      </w:r>
      <w:r w:rsidR="00C016B9" w:rsidRPr="00BB29A9">
        <w:rPr>
          <w:rFonts w:ascii="Verdana" w:hAnsi="Verdana"/>
          <w:sz w:val="20"/>
          <w:szCs w:val="20"/>
        </w:rPr>
        <w:t xml:space="preserve"> indica que</w:t>
      </w:r>
      <w:r w:rsidR="003144AF" w:rsidRPr="00BB29A9">
        <w:rPr>
          <w:rFonts w:ascii="Verdana" w:hAnsi="Verdana"/>
          <w:sz w:val="20"/>
          <w:szCs w:val="20"/>
        </w:rPr>
        <w:t>,</w:t>
      </w:r>
      <w:r w:rsidR="00C016B9" w:rsidRPr="00BB29A9">
        <w:rPr>
          <w:rFonts w:ascii="Verdana" w:hAnsi="Verdana"/>
          <w:sz w:val="20"/>
          <w:szCs w:val="20"/>
        </w:rPr>
        <w:t xml:space="preserve"> aun cuando se realizaron reuniones entre los representantes de las comunidades y las autoridades estatales, y se dio seguimiento a </w:t>
      </w:r>
      <w:r w:rsidR="00795F22" w:rsidRPr="00BB29A9">
        <w:rPr>
          <w:rFonts w:ascii="Verdana" w:hAnsi="Verdana"/>
          <w:sz w:val="20"/>
          <w:szCs w:val="20"/>
        </w:rPr>
        <w:t xml:space="preserve">la ejecución de los proyectos de mantenimiento </w:t>
      </w:r>
      <w:r w:rsidR="00C016B9" w:rsidRPr="00BB29A9">
        <w:rPr>
          <w:rFonts w:ascii="Verdana" w:hAnsi="Verdana"/>
          <w:sz w:val="20"/>
          <w:szCs w:val="20"/>
        </w:rPr>
        <w:t xml:space="preserve">en la red vial </w:t>
      </w:r>
      <w:r w:rsidR="00795F22" w:rsidRPr="00BB29A9">
        <w:rPr>
          <w:rFonts w:ascii="Verdana" w:hAnsi="Verdana"/>
          <w:sz w:val="20"/>
          <w:szCs w:val="20"/>
        </w:rPr>
        <w:t xml:space="preserve">entre Rabinal y Plan de Sánchez, Joya de Ramos, las Ventanas y </w:t>
      </w:r>
      <w:proofErr w:type="spellStart"/>
      <w:r w:rsidR="00795F22" w:rsidRPr="00BB29A9">
        <w:rPr>
          <w:rFonts w:ascii="Verdana" w:hAnsi="Verdana"/>
          <w:sz w:val="20"/>
          <w:szCs w:val="20"/>
        </w:rPr>
        <w:t>Concul</w:t>
      </w:r>
      <w:proofErr w:type="spellEnd"/>
      <w:r w:rsidR="00795F22" w:rsidRPr="00BB29A9">
        <w:rPr>
          <w:rFonts w:ascii="Verdana" w:hAnsi="Verdana"/>
          <w:sz w:val="20"/>
          <w:szCs w:val="20"/>
        </w:rPr>
        <w:t xml:space="preserve">, </w:t>
      </w:r>
      <w:r w:rsidR="003144AF" w:rsidRPr="00BB29A9">
        <w:rPr>
          <w:rFonts w:ascii="Verdana" w:hAnsi="Verdana"/>
          <w:sz w:val="20"/>
          <w:szCs w:val="20"/>
        </w:rPr>
        <w:t>es una constante que</w:t>
      </w:r>
      <w:r w:rsidR="00D8165B" w:rsidRPr="00BB29A9">
        <w:rPr>
          <w:rFonts w:ascii="Verdana" w:hAnsi="Verdana"/>
          <w:sz w:val="20"/>
          <w:szCs w:val="20"/>
        </w:rPr>
        <w:t xml:space="preserve"> se reabran los hoyos y que</w:t>
      </w:r>
      <w:r w:rsidR="003144AF" w:rsidRPr="00BB29A9">
        <w:rPr>
          <w:rFonts w:ascii="Verdana" w:hAnsi="Verdana"/>
          <w:sz w:val="20"/>
          <w:szCs w:val="20"/>
        </w:rPr>
        <w:t xml:space="preserve"> </w:t>
      </w:r>
      <w:r w:rsidR="003144AF" w:rsidRPr="00BB29A9">
        <w:rPr>
          <w:rFonts w:ascii="Verdana" w:hAnsi="Verdana"/>
          <w:sz w:val="20"/>
          <w:szCs w:val="20"/>
          <w:lang w:val="es-ES"/>
        </w:rPr>
        <w:t xml:space="preserve">en la época de lluvias los caminos se tornan intransitables. </w:t>
      </w:r>
      <w:r w:rsidR="001A5327" w:rsidRPr="00BB29A9">
        <w:rPr>
          <w:rFonts w:ascii="Verdana" w:hAnsi="Verdana"/>
          <w:sz w:val="20"/>
          <w:szCs w:val="20"/>
          <w:lang w:val="es-ES"/>
        </w:rPr>
        <w:t>Sobre el particular</w:t>
      </w:r>
      <w:r w:rsidR="003144AF" w:rsidRPr="00BB29A9">
        <w:rPr>
          <w:rFonts w:ascii="Verdana" w:hAnsi="Verdana"/>
          <w:sz w:val="20"/>
          <w:szCs w:val="20"/>
          <w:lang w:val="es-ES"/>
        </w:rPr>
        <w:t xml:space="preserve">, los representantes explicaron que </w:t>
      </w:r>
      <w:r w:rsidRPr="00BB29A9">
        <w:rPr>
          <w:rFonts w:ascii="Verdana" w:hAnsi="Verdana"/>
          <w:sz w:val="20"/>
          <w:szCs w:val="20"/>
          <w:lang w:val="es-ES"/>
        </w:rPr>
        <w:t>ello deriva de</w:t>
      </w:r>
      <w:r w:rsidR="003144AF" w:rsidRPr="00BB29A9">
        <w:rPr>
          <w:rFonts w:ascii="Verdana" w:hAnsi="Verdana"/>
          <w:sz w:val="20"/>
          <w:szCs w:val="20"/>
          <w:lang w:val="es-ES"/>
        </w:rPr>
        <w:t xml:space="preserve"> que</w:t>
      </w:r>
      <w:r w:rsidR="00BB5358" w:rsidRPr="00BB29A9">
        <w:rPr>
          <w:rFonts w:ascii="Verdana" w:hAnsi="Verdana"/>
          <w:sz w:val="20"/>
          <w:szCs w:val="20"/>
          <w:lang w:val="es-ES"/>
        </w:rPr>
        <w:t xml:space="preserve"> </w:t>
      </w:r>
      <w:r w:rsidR="007C3BC0" w:rsidRPr="00BB29A9">
        <w:rPr>
          <w:rFonts w:ascii="Verdana" w:hAnsi="Verdana"/>
          <w:sz w:val="20"/>
          <w:szCs w:val="20"/>
          <w:lang w:val="es-ES"/>
        </w:rPr>
        <w:t>los</w:t>
      </w:r>
      <w:r w:rsidR="00BB5358" w:rsidRPr="00BB29A9">
        <w:rPr>
          <w:rFonts w:ascii="Verdana" w:hAnsi="Verdana"/>
          <w:sz w:val="20"/>
          <w:szCs w:val="20"/>
          <w:lang w:val="es-ES"/>
        </w:rPr>
        <w:t xml:space="preserve"> trabajo</w:t>
      </w:r>
      <w:r w:rsidR="007C3BC0" w:rsidRPr="00BB29A9">
        <w:rPr>
          <w:rFonts w:ascii="Verdana" w:hAnsi="Verdana"/>
          <w:sz w:val="20"/>
          <w:szCs w:val="20"/>
          <w:lang w:val="es-ES"/>
        </w:rPr>
        <w:t>s</w:t>
      </w:r>
      <w:r w:rsidR="00BB5358" w:rsidRPr="00BB29A9">
        <w:rPr>
          <w:rFonts w:ascii="Verdana" w:hAnsi="Verdana"/>
          <w:sz w:val="20"/>
          <w:szCs w:val="20"/>
          <w:lang w:val="es-ES"/>
        </w:rPr>
        <w:t xml:space="preserve"> de mantenimiento de la carretera </w:t>
      </w:r>
      <w:r w:rsidR="00D8165B" w:rsidRPr="00BB29A9">
        <w:rPr>
          <w:rFonts w:ascii="Verdana" w:hAnsi="Verdana"/>
          <w:sz w:val="20"/>
          <w:szCs w:val="20"/>
        </w:rPr>
        <w:t xml:space="preserve">principal que inicia en la cabecera municipal de Rabinal hasta el municipio de Granados (tramo carretero </w:t>
      </w:r>
      <w:r w:rsidR="007C3BC0" w:rsidRPr="00BB29A9">
        <w:rPr>
          <w:rFonts w:ascii="Verdana" w:hAnsi="Verdana"/>
          <w:sz w:val="20"/>
          <w:szCs w:val="20"/>
        </w:rPr>
        <w:t>en que quedan</w:t>
      </w:r>
      <w:r w:rsidR="001A5327" w:rsidRPr="00BB29A9">
        <w:rPr>
          <w:rFonts w:ascii="Verdana" w:hAnsi="Verdana"/>
          <w:sz w:val="20"/>
          <w:szCs w:val="20"/>
        </w:rPr>
        <w:t xml:space="preserve"> </w:t>
      </w:r>
      <w:r w:rsidR="00D8165B" w:rsidRPr="00BB29A9">
        <w:rPr>
          <w:rFonts w:ascii="Verdana" w:hAnsi="Verdana"/>
          <w:sz w:val="20"/>
          <w:szCs w:val="20"/>
        </w:rPr>
        <w:t xml:space="preserve">las comunidades beneficiarias de la medida de reparación) </w:t>
      </w:r>
      <w:r w:rsidR="00BB5358" w:rsidRPr="00BB29A9">
        <w:rPr>
          <w:rFonts w:ascii="Verdana" w:hAnsi="Verdana"/>
          <w:sz w:val="20"/>
          <w:szCs w:val="20"/>
          <w:lang w:val="es-ES"/>
        </w:rPr>
        <w:t>consiste</w:t>
      </w:r>
      <w:r w:rsidR="009E23D4" w:rsidRPr="00BB29A9">
        <w:rPr>
          <w:rFonts w:ascii="Verdana" w:hAnsi="Verdana"/>
          <w:sz w:val="20"/>
          <w:szCs w:val="20"/>
          <w:lang w:val="es-ES"/>
        </w:rPr>
        <w:t>n</w:t>
      </w:r>
      <w:r w:rsidR="00BB5358" w:rsidRPr="00BB29A9">
        <w:rPr>
          <w:rFonts w:ascii="Verdana" w:hAnsi="Verdana"/>
          <w:sz w:val="20"/>
          <w:szCs w:val="20"/>
          <w:lang w:val="es-ES"/>
        </w:rPr>
        <w:t xml:space="preserve"> en </w:t>
      </w:r>
      <w:r w:rsidR="00BB5358" w:rsidRPr="00BB29A9">
        <w:rPr>
          <w:rFonts w:ascii="Verdana" w:hAnsi="Verdana"/>
          <w:sz w:val="20"/>
          <w:szCs w:val="20"/>
        </w:rPr>
        <w:t xml:space="preserve">raspar, rellenar hoyos y aplanar, </w:t>
      </w:r>
      <w:r w:rsidR="00BB5358" w:rsidRPr="00BB29A9">
        <w:rPr>
          <w:rFonts w:ascii="Verdana" w:hAnsi="Verdana"/>
          <w:sz w:val="20"/>
          <w:szCs w:val="20"/>
        </w:rPr>
        <w:lastRenderedPageBreak/>
        <w:t xml:space="preserve">pero no se cubre </w:t>
      </w:r>
      <w:r w:rsidR="00E933D4" w:rsidRPr="00BB29A9">
        <w:rPr>
          <w:rFonts w:ascii="Verdana" w:hAnsi="Verdana"/>
          <w:sz w:val="20"/>
          <w:szCs w:val="20"/>
        </w:rPr>
        <w:t xml:space="preserve">la carretera </w:t>
      </w:r>
      <w:r w:rsidR="00BB5358" w:rsidRPr="00BB29A9">
        <w:rPr>
          <w:rFonts w:ascii="Verdana" w:hAnsi="Verdana"/>
          <w:sz w:val="20"/>
          <w:szCs w:val="20"/>
        </w:rPr>
        <w:t xml:space="preserve">con material </w:t>
      </w:r>
      <w:r w:rsidR="00247D46" w:rsidRPr="00BB29A9">
        <w:rPr>
          <w:rFonts w:ascii="Verdana" w:hAnsi="Verdana"/>
          <w:sz w:val="20"/>
          <w:szCs w:val="20"/>
        </w:rPr>
        <w:t>balasto</w:t>
      </w:r>
      <w:r w:rsidR="00140319" w:rsidRPr="00BB29A9">
        <w:rPr>
          <w:rFonts w:ascii="Verdana" w:hAnsi="Verdana"/>
          <w:sz w:val="20"/>
          <w:szCs w:val="20"/>
        </w:rPr>
        <w:t>, y resaltaron la necesidad de construir dos muros de contención</w:t>
      </w:r>
      <w:r w:rsidR="00247D46" w:rsidRPr="00BB29A9">
        <w:rPr>
          <w:rStyle w:val="Refdenotaalpie"/>
          <w:rFonts w:ascii="Verdana" w:hAnsi="Verdana"/>
          <w:sz w:val="20"/>
          <w:szCs w:val="20"/>
        </w:rPr>
        <w:footnoteReference w:id="40"/>
      </w:r>
      <w:r w:rsidR="00B234F7" w:rsidRPr="00BB29A9">
        <w:rPr>
          <w:rFonts w:ascii="Verdana" w:hAnsi="Verdana"/>
          <w:sz w:val="20"/>
          <w:szCs w:val="20"/>
        </w:rPr>
        <w:t>.</w:t>
      </w:r>
    </w:p>
    <w:p w14:paraId="4822C486" w14:textId="1BB5E2A4" w:rsidR="001A5327" w:rsidRPr="00BB29A9" w:rsidRDefault="001A5327" w:rsidP="00346FFB">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Cabe destacar que e</w:t>
      </w:r>
      <w:r w:rsidR="00FF0DB0" w:rsidRPr="00BB29A9">
        <w:rPr>
          <w:rFonts w:ascii="Verdana" w:hAnsi="Verdana"/>
          <w:sz w:val="20"/>
          <w:szCs w:val="20"/>
        </w:rPr>
        <w:t>l Estado</w:t>
      </w:r>
      <w:r w:rsidR="00B853B3" w:rsidRPr="00BB29A9">
        <w:rPr>
          <w:rFonts w:ascii="Verdana" w:hAnsi="Verdana"/>
          <w:sz w:val="20"/>
          <w:szCs w:val="20"/>
        </w:rPr>
        <w:t xml:space="preserve"> señaló que</w:t>
      </w:r>
      <w:r w:rsidR="001C3325" w:rsidRPr="00BB29A9">
        <w:rPr>
          <w:rFonts w:ascii="Verdana" w:hAnsi="Verdana"/>
          <w:sz w:val="20"/>
          <w:szCs w:val="20"/>
        </w:rPr>
        <w:t xml:space="preserve"> siete de</w:t>
      </w:r>
      <w:r w:rsidR="00B853B3" w:rsidRPr="00BB29A9">
        <w:rPr>
          <w:rFonts w:ascii="Verdana" w:hAnsi="Verdana"/>
          <w:sz w:val="20"/>
          <w:szCs w:val="20"/>
        </w:rPr>
        <w:t xml:space="preserve"> las comunidades</w:t>
      </w:r>
      <w:r w:rsidR="00164F3F" w:rsidRPr="00BB29A9">
        <w:rPr>
          <w:rFonts w:ascii="Verdana" w:hAnsi="Verdana"/>
          <w:sz w:val="20"/>
          <w:szCs w:val="20"/>
        </w:rPr>
        <w:t xml:space="preserve"> (</w:t>
      </w:r>
      <w:r w:rsidR="00B853B3" w:rsidRPr="00BB29A9">
        <w:rPr>
          <w:rFonts w:ascii="Verdana" w:hAnsi="Verdana"/>
          <w:iCs/>
          <w:sz w:val="20"/>
          <w:szCs w:val="20"/>
        </w:rPr>
        <w:t xml:space="preserve">Plan de Sánchez, </w:t>
      </w:r>
      <w:proofErr w:type="spellStart"/>
      <w:r w:rsidR="00B853B3" w:rsidRPr="00BB29A9">
        <w:rPr>
          <w:rFonts w:ascii="Verdana" w:hAnsi="Verdana"/>
          <w:iCs/>
          <w:sz w:val="20"/>
          <w:szCs w:val="20"/>
        </w:rPr>
        <w:t>Chipuerta</w:t>
      </w:r>
      <w:proofErr w:type="spellEnd"/>
      <w:r w:rsidR="00B853B3" w:rsidRPr="00BB29A9">
        <w:rPr>
          <w:rFonts w:ascii="Verdana" w:hAnsi="Verdana"/>
          <w:iCs/>
          <w:sz w:val="20"/>
          <w:szCs w:val="20"/>
        </w:rPr>
        <w:t xml:space="preserve">, Joya de Ramos, </w:t>
      </w:r>
      <w:proofErr w:type="spellStart"/>
      <w:r w:rsidR="00B853B3" w:rsidRPr="00BB29A9">
        <w:rPr>
          <w:rFonts w:ascii="Verdana" w:hAnsi="Verdana"/>
          <w:iCs/>
          <w:sz w:val="20"/>
          <w:szCs w:val="20"/>
        </w:rPr>
        <w:t>Raxjut</w:t>
      </w:r>
      <w:proofErr w:type="spellEnd"/>
      <w:r w:rsidR="00B853B3" w:rsidRPr="00BB29A9">
        <w:rPr>
          <w:rFonts w:ascii="Verdana" w:hAnsi="Verdana"/>
          <w:iCs/>
          <w:sz w:val="20"/>
          <w:szCs w:val="20"/>
        </w:rPr>
        <w:t xml:space="preserve">, </w:t>
      </w:r>
      <w:proofErr w:type="spellStart"/>
      <w:r w:rsidR="00B853B3" w:rsidRPr="00BB29A9">
        <w:rPr>
          <w:rFonts w:ascii="Verdana" w:hAnsi="Verdana"/>
          <w:iCs/>
          <w:sz w:val="20"/>
          <w:szCs w:val="20"/>
        </w:rPr>
        <w:t>Coxojabaj</w:t>
      </w:r>
      <w:proofErr w:type="spellEnd"/>
      <w:r w:rsidR="00B853B3" w:rsidRPr="00BB29A9">
        <w:rPr>
          <w:rFonts w:ascii="Verdana" w:hAnsi="Verdana"/>
          <w:iCs/>
          <w:sz w:val="20"/>
          <w:szCs w:val="20"/>
        </w:rPr>
        <w:t xml:space="preserve">, Las Ventanas y </w:t>
      </w:r>
      <w:proofErr w:type="spellStart"/>
      <w:r w:rsidR="00B853B3" w:rsidRPr="00BB29A9">
        <w:rPr>
          <w:rFonts w:ascii="Verdana" w:hAnsi="Verdana"/>
          <w:iCs/>
          <w:sz w:val="20"/>
          <w:szCs w:val="20"/>
        </w:rPr>
        <w:t>Concul</w:t>
      </w:r>
      <w:proofErr w:type="spellEnd"/>
      <w:r w:rsidR="00164F3F" w:rsidRPr="00BB29A9">
        <w:rPr>
          <w:rFonts w:ascii="Verdana" w:hAnsi="Verdana"/>
          <w:iCs/>
          <w:sz w:val="20"/>
          <w:szCs w:val="20"/>
        </w:rPr>
        <w:t>)</w:t>
      </w:r>
      <w:r w:rsidR="001C3325" w:rsidRPr="00BB29A9">
        <w:rPr>
          <w:rFonts w:ascii="Verdana" w:hAnsi="Verdana"/>
          <w:iCs/>
          <w:sz w:val="20"/>
          <w:szCs w:val="20"/>
        </w:rPr>
        <w:t>,</w:t>
      </w:r>
      <w:r w:rsidR="00B853B3" w:rsidRPr="00BB29A9">
        <w:rPr>
          <w:rFonts w:ascii="Verdana" w:hAnsi="Verdana"/>
          <w:sz w:val="20"/>
          <w:szCs w:val="20"/>
        </w:rPr>
        <w:t xml:space="preserve"> </w:t>
      </w:r>
      <w:r w:rsidR="0065327D" w:rsidRPr="00BB29A9">
        <w:rPr>
          <w:rFonts w:ascii="Verdana" w:hAnsi="Verdana"/>
          <w:iCs/>
          <w:sz w:val="20"/>
          <w:szCs w:val="20"/>
        </w:rPr>
        <w:t xml:space="preserve">se </w:t>
      </w:r>
      <w:r w:rsidRPr="00BB29A9">
        <w:rPr>
          <w:rFonts w:ascii="Verdana" w:hAnsi="Verdana"/>
          <w:iCs/>
          <w:sz w:val="20"/>
          <w:szCs w:val="20"/>
        </w:rPr>
        <w:t>están</w:t>
      </w:r>
      <w:r w:rsidR="0065327D" w:rsidRPr="00BB29A9">
        <w:rPr>
          <w:rFonts w:ascii="Verdana" w:hAnsi="Verdana"/>
          <w:iCs/>
          <w:sz w:val="20"/>
          <w:szCs w:val="20"/>
        </w:rPr>
        <w:t xml:space="preserve"> </w:t>
      </w:r>
      <w:r w:rsidR="00B853B3" w:rsidRPr="00BB29A9">
        <w:rPr>
          <w:rFonts w:ascii="Verdana" w:hAnsi="Verdana"/>
          <w:iCs/>
          <w:sz w:val="20"/>
          <w:szCs w:val="20"/>
        </w:rPr>
        <w:t>“</w:t>
      </w:r>
      <w:r w:rsidR="0065327D" w:rsidRPr="00BB29A9">
        <w:rPr>
          <w:rFonts w:ascii="Verdana" w:hAnsi="Verdana"/>
          <w:iCs/>
          <w:sz w:val="20"/>
          <w:szCs w:val="20"/>
        </w:rPr>
        <w:t>atendiendo directamente</w:t>
      </w:r>
      <w:r w:rsidR="00B853B3" w:rsidRPr="00BB29A9">
        <w:rPr>
          <w:rFonts w:ascii="Verdana" w:hAnsi="Verdana"/>
          <w:iCs/>
          <w:sz w:val="20"/>
          <w:szCs w:val="20"/>
        </w:rPr>
        <w:t>”</w:t>
      </w:r>
      <w:r w:rsidR="002F3CD8" w:rsidRPr="00BB29A9">
        <w:rPr>
          <w:rFonts w:ascii="Verdana" w:hAnsi="Verdana"/>
          <w:iCs/>
          <w:sz w:val="20"/>
          <w:szCs w:val="20"/>
        </w:rPr>
        <w:t>, esto es,</w:t>
      </w:r>
      <w:r w:rsidR="0065327D" w:rsidRPr="00BB29A9">
        <w:rPr>
          <w:rFonts w:ascii="Verdana" w:hAnsi="Verdana"/>
          <w:iCs/>
          <w:sz w:val="20"/>
          <w:szCs w:val="20"/>
        </w:rPr>
        <w:t xml:space="preserve"> </w:t>
      </w:r>
      <w:r w:rsidR="00EB744E" w:rsidRPr="00BB29A9">
        <w:rPr>
          <w:rFonts w:ascii="Verdana" w:hAnsi="Verdana"/>
          <w:iCs/>
          <w:sz w:val="20"/>
          <w:szCs w:val="20"/>
        </w:rPr>
        <w:t>“</w:t>
      </w:r>
      <w:r w:rsidR="0065327D" w:rsidRPr="00BB29A9">
        <w:rPr>
          <w:rFonts w:ascii="Verdana" w:hAnsi="Verdana"/>
          <w:iCs/>
          <w:sz w:val="20"/>
          <w:szCs w:val="20"/>
        </w:rPr>
        <w:t>desde la comunidad hasta la cabecera</w:t>
      </w:r>
      <w:r w:rsidR="00EB744E" w:rsidRPr="00BB29A9">
        <w:rPr>
          <w:rFonts w:ascii="Verdana" w:hAnsi="Verdana"/>
          <w:iCs/>
          <w:sz w:val="20"/>
          <w:szCs w:val="20"/>
        </w:rPr>
        <w:t>”</w:t>
      </w:r>
      <w:r w:rsidRPr="00BB29A9">
        <w:rPr>
          <w:rFonts w:ascii="Verdana" w:hAnsi="Verdana"/>
          <w:iCs/>
          <w:sz w:val="20"/>
          <w:szCs w:val="20"/>
        </w:rPr>
        <w:t xml:space="preserve"> </w:t>
      </w:r>
      <w:r w:rsidRPr="00BB29A9">
        <w:rPr>
          <w:rFonts w:ascii="Verdana" w:hAnsi="Verdana"/>
          <w:sz w:val="20"/>
          <w:szCs w:val="20"/>
        </w:rPr>
        <w:t>del municipio Rabinal</w:t>
      </w:r>
      <w:r w:rsidR="0065327D" w:rsidRPr="00BB29A9">
        <w:rPr>
          <w:rFonts w:ascii="Verdana" w:hAnsi="Verdana"/>
          <w:iCs/>
          <w:sz w:val="20"/>
          <w:szCs w:val="20"/>
        </w:rPr>
        <w:t xml:space="preserve">, </w:t>
      </w:r>
      <w:r w:rsidR="00B853B3" w:rsidRPr="00BB29A9">
        <w:rPr>
          <w:rFonts w:ascii="Verdana" w:hAnsi="Verdana"/>
          <w:iCs/>
          <w:sz w:val="20"/>
          <w:szCs w:val="20"/>
        </w:rPr>
        <w:t>y</w:t>
      </w:r>
      <w:r w:rsidR="001C3325" w:rsidRPr="00BB29A9">
        <w:rPr>
          <w:rFonts w:ascii="Verdana" w:hAnsi="Verdana"/>
          <w:iCs/>
          <w:sz w:val="20"/>
          <w:szCs w:val="20"/>
        </w:rPr>
        <w:t xml:space="preserve"> dos de</w:t>
      </w:r>
      <w:r w:rsidR="00B853B3" w:rsidRPr="00BB29A9">
        <w:rPr>
          <w:rFonts w:ascii="Verdana" w:hAnsi="Verdana"/>
          <w:iCs/>
          <w:sz w:val="20"/>
          <w:szCs w:val="20"/>
        </w:rPr>
        <w:t xml:space="preserve"> las comunidades</w:t>
      </w:r>
      <w:r w:rsidR="001C3325" w:rsidRPr="00BB29A9">
        <w:rPr>
          <w:rFonts w:ascii="Verdana" w:hAnsi="Verdana"/>
          <w:iCs/>
          <w:sz w:val="20"/>
          <w:szCs w:val="20"/>
        </w:rPr>
        <w:t>,</w:t>
      </w:r>
      <w:r w:rsidR="00B853B3" w:rsidRPr="00BB29A9">
        <w:rPr>
          <w:rFonts w:ascii="Verdana" w:hAnsi="Verdana"/>
          <w:iCs/>
          <w:sz w:val="20"/>
          <w:szCs w:val="20"/>
        </w:rPr>
        <w:t xml:space="preserve"> </w:t>
      </w:r>
      <w:proofErr w:type="spellStart"/>
      <w:r w:rsidR="0065327D" w:rsidRPr="00BB29A9">
        <w:rPr>
          <w:rFonts w:ascii="Verdana" w:hAnsi="Verdana"/>
          <w:iCs/>
          <w:sz w:val="20"/>
          <w:szCs w:val="20"/>
        </w:rPr>
        <w:t>lxchel</w:t>
      </w:r>
      <w:proofErr w:type="spellEnd"/>
      <w:r w:rsidR="00B853B3" w:rsidRPr="00BB29A9">
        <w:rPr>
          <w:rFonts w:ascii="Verdana" w:hAnsi="Verdana"/>
          <w:iCs/>
          <w:sz w:val="20"/>
          <w:szCs w:val="20"/>
        </w:rPr>
        <w:t xml:space="preserve"> y</w:t>
      </w:r>
      <w:r w:rsidR="0065327D" w:rsidRPr="00BB29A9">
        <w:rPr>
          <w:rFonts w:ascii="Verdana" w:hAnsi="Verdana"/>
          <w:iCs/>
          <w:sz w:val="20"/>
          <w:szCs w:val="20"/>
        </w:rPr>
        <w:t xml:space="preserve"> </w:t>
      </w:r>
      <w:r w:rsidR="00B71E03">
        <w:rPr>
          <w:rFonts w:ascii="Verdana" w:hAnsi="Verdana"/>
          <w:iCs/>
          <w:sz w:val="20"/>
          <w:szCs w:val="20"/>
        </w:rPr>
        <w:t xml:space="preserve">El </w:t>
      </w:r>
      <w:r w:rsidR="00B853B3" w:rsidRPr="00BB29A9">
        <w:rPr>
          <w:rFonts w:ascii="Verdana" w:hAnsi="Verdana"/>
          <w:iCs/>
          <w:sz w:val="20"/>
          <w:szCs w:val="20"/>
        </w:rPr>
        <w:t>Volcancillo</w:t>
      </w:r>
      <w:r w:rsidR="001C3325" w:rsidRPr="00BB29A9">
        <w:rPr>
          <w:rFonts w:ascii="Verdana" w:hAnsi="Verdana"/>
          <w:iCs/>
          <w:sz w:val="20"/>
          <w:szCs w:val="20"/>
        </w:rPr>
        <w:t>,</w:t>
      </w:r>
      <w:r w:rsidR="0065327D" w:rsidRPr="00BB29A9">
        <w:rPr>
          <w:rFonts w:ascii="Verdana" w:hAnsi="Verdana"/>
          <w:iCs/>
          <w:sz w:val="20"/>
          <w:szCs w:val="20"/>
        </w:rPr>
        <w:t xml:space="preserve"> </w:t>
      </w:r>
      <w:r w:rsidR="00EB744E" w:rsidRPr="00BB29A9">
        <w:rPr>
          <w:rFonts w:ascii="Verdana" w:hAnsi="Verdana"/>
          <w:iCs/>
          <w:sz w:val="20"/>
          <w:szCs w:val="20"/>
        </w:rPr>
        <w:t>“</w:t>
      </w:r>
      <w:r w:rsidR="0065327D" w:rsidRPr="00BB29A9">
        <w:rPr>
          <w:rFonts w:ascii="Verdana" w:hAnsi="Verdana"/>
          <w:iCs/>
          <w:sz w:val="20"/>
          <w:szCs w:val="20"/>
        </w:rPr>
        <w:t>se est</w:t>
      </w:r>
      <w:r w:rsidR="00EB744E" w:rsidRPr="00BB29A9">
        <w:rPr>
          <w:rFonts w:ascii="Verdana" w:hAnsi="Verdana"/>
          <w:iCs/>
          <w:sz w:val="20"/>
          <w:szCs w:val="20"/>
        </w:rPr>
        <w:t>á</w:t>
      </w:r>
      <w:r w:rsidR="00B853B3" w:rsidRPr="00BB29A9">
        <w:rPr>
          <w:rFonts w:ascii="Verdana" w:hAnsi="Verdana"/>
          <w:iCs/>
          <w:sz w:val="20"/>
          <w:szCs w:val="20"/>
        </w:rPr>
        <w:t>n atendiendo indirectamente”, esto es, “</w:t>
      </w:r>
      <w:r w:rsidR="0065327D" w:rsidRPr="00BB29A9">
        <w:rPr>
          <w:rFonts w:ascii="Verdana" w:hAnsi="Verdana"/>
          <w:iCs/>
          <w:sz w:val="20"/>
          <w:szCs w:val="20"/>
        </w:rPr>
        <w:t>se arregla la carretera principal hasta el cruce de las comunidades”</w:t>
      </w:r>
      <w:r w:rsidR="002F3CD8" w:rsidRPr="00BB29A9">
        <w:rPr>
          <w:rStyle w:val="Refdenotaalpie"/>
          <w:rFonts w:ascii="Verdana" w:hAnsi="Verdana"/>
          <w:iCs/>
          <w:sz w:val="20"/>
          <w:szCs w:val="20"/>
        </w:rPr>
        <w:footnoteReference w:id="41"/>
      </w:r>
      <w:r w:rsidR="002F3CD8" w:rsidRPr="00BB29A9">
        <w:rPr>
          <w:rFonts w:ascii="Verdana" w:hAnsi="Verdana"/>
          <w:sz w:val="20"/>
          <w:szCs w:val="20"/>
        </w:rPr>
        <w:t xml:space="preserve">. </w:t>
      </w:r>
      <w:r w:rsidR="007C3BC0" w:rsidRPr="00BB29A9">
        <w:rPr>
          <w:rFonts w:ascii="Verdana" w:hAnsi="Verdana"/>
          <w:sz w:val="20"/>
          <w:szCs w:val="20"/>
        </w:rPr>
        <w:t>No obstante, l</w:t>
      </w:r>
      <w:r w:rsidR="00346FFB" w:rsidRPr="00BB29A9">
        <w:rPr>
          <w:rFonts w:ascii="Verdana" w:hAnsi="Verdana"/>
          <w:sz w:val="20"/>
          <w:szCs w:val="20"/>
        </w:rPr>
        <w:t>os representantes aclararon</w:t>
      </w:r>
      <w:r w:rsidR="00B234F7" w:rsidRPr="00BB29A9">
        <w:rPr>
          <w:rFonts w:ascii="Verdana" w:hAnsi="Verdana"/>
          <w:sz w:val="20"/>
          <w:szCs w:val="20"/>
        </w:rPr>
        <w:t xml:space="preserve"> que en la comunidad de Ixchel “el mantenimiento llega hasta la comunidad de </w:t>
      </w:r>
      <w:proofErr w:type="spellStart"/>
      <w:r w:rsidR="00B234F7" w:rsidRPr="00BB29A9">
        <w:rPr>
          <w:rFonts w:ascii="Verdana" w:hAnsi="Verdana"/>
          <w:sz w:val="20"/>
          <w:szCs w:val="20"/>
        </w:rPr>
        <w:t>Concul</w:t>
      </w:r>
      <w:proofErr w:type="spellEnd"/>
      <w:r w:rsidR="00B234F7" w:rsidRPr="00BB29A9">
        <w:rPr>
          <w:rFonts w:ascii="Verdana" w:hAnsi="Verdana"/>
          <w:sz w:val="20"/>
          <w:szCs w:val="20"/>
        </w:rPr>
        <w:t xml:space="preserve">, dejando sin mantenimiento, de </w:t>
      </w:r>
      <w:proofErr w:type="spellStart"/>
      <w:r w:rsidR="00B234F7" w:rsidRPr="00BB29A9">
        <w:rPr>
          <w:rFonts w:ascii="Verdana" w:hAnsi="Verdana"/>
          <w:sz w:val="20"/>
          <w:szCs w:val="20"/>
        </w:rPr>
        <w:t>Concul</w:t>
      </w:r>
      <w:proofErr w:type="spellEnd"/>
      <w:r w:rsidR="00B234F7" w:rsidRPr="00BB29A9">
        <w:rPr>
          <w:rFonts w:ascii="Verdana" w:hAnsi="Verdana"/>
          <w:sz w:val="20"/>
          <w:szCs w:val="20"/>
        </w:rPr>
        <w:t xml:space="preserve"> a Ixchel, que es aún, la carretera principal hasta llegar a cabecera municipal de Granados”</w:t>
      </w:r>
      <w:r w:rsidR="005C46BE" w:rsidRPr="00BB29A9">
        <w:rPr>
          <w:rStyle w:val="Refdenotaalpie"/>
          <w:rFonts w:ascii="Verdana" w:hAnsi="Verdana"/>
          <w:sz w:val="20"/>
          <w:szCs w:val="20"/>
        </w:rPr>
        <w:footnoteReference w:id="42"/>
      </w:r>
      <w:r w:rsidR="00B234F7" w:rsidRPr="00BB29A9">
        <w:rPr>
          <w:rFonts w:ascii="Verdana" w:hAnsi="Verdana"/>
          <w:sz w:val="20"/>
          <w:szCs w:val="20"/>
        </w:rPr>
        <w:t>.</w:t>
      </w:r>
    </w:p>
    <w:p w14:paraId="78DA242A" w14:textId="77777777" w:rsidR="000C6D24" w:rsidRPr="00BB29A9" w:rsidRDefault="008E466D" w:rsidP="000C6D24">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Finalmente, el Estado también </w:t>
      </w:r>
      <w:r w:rsidR="00C016B9" w:rsidRPr="00BB29A9">
        <w:rPr>
          <w:rFonts w:ascii="Verdana" w:hAnsi="Verdana"/>
          <w:sz w:val="20"/>
          <w:szCs w:val="20"/>
        </w:rPr>
        <w:t>informó</w:t>
      </w:r>
      <w:r w:rsidRPr="00BB29A9">
        <w:rPr>
          <w:rFonts w:ascii="Verdana" w:hAnsi="Verdana"/>
          <w:sz w:val="20"/>
          <w:szCs w:val="20"/>
        </w:rPr>
        <w:t xml:space="preserve"> en diciembre de 2020</w:t>
      </w:r>
      <w:r w:rsidR="00C016B9" w:rsidRPr="00BB29A9">
        <w:rPr>
          <w:rFonts w:ascii="Verdana" w:hAnsi="Verdana"/>
          <w:sz w:val="20"/>
          <w:szCs w:val="20"/>
        </w:rPr>
        <w:t xml:space="preserve"> que la Municipalidad de Rabinal implementó, a través del Sistema Nacional de Inversión Pública, el proyecto denominado “Conservación, Mantenimiento y Mejoramiento de Carreteras del Área Rural, Rabinal, Baja Verapaz”, con el objetivo de dar mantenimiento a 75 kilómetros de carreteras de terracería del área rural en Rabinal, “a través de reacomodamiento y nivelación de la subrasante, mantenimiento y limpieza de cunetas”</w:t>
      </w:r>
      <w:r w:rsidR="00C016B9" w:rsidRPr="00BB29A9">
        <w:rPr>
          <w:rStyle w:val="Refdenotaalpie"/>
          <w:rFonts w:ascii="Verdana" w:hAnsi="Verdana"/>
          <w:sz w:val="20"/>
          <w:szCs w:val="20"/>
        </w:rPr>
        <w:footnoteReference w:id="43"/>
      </w:r>
      <w:r w:rsidR="00C016B9" w:rsidRPr="00BB29A9">
        <w:rPr>
          <w:rFonts w:ascii="Verdana" w:hAnsi="Verdana"/>
          <w:sz w:val="20"/>
          <w:szCs w:val="20"/>
        </w:rPr>
        <w:t>.</w:t>
      </w:r>
      <w:r w:rsidR="000F525C" w:rsidRPr="00BB29A9">
        <w:rPr>
          <w:rFonts w:ascii="Verdana" w:hAnsi="Verdana"/>
          <w:sz w:val="20"/>
          <w:szCs w:val="20"/>
        </w:rPr>
        <w:t xml:space="preserve"> Si bien los representantes no se refirieron a tal proyecto, </w:t>
      </w:r>
      <w:r w:rsidR="00C20B62" w:rsidRPr="00BB29A9">
        <w:rPr>
          <w:rFonts w:ascii="Verdana" w:hAnsi="Verdana"/>
          <w:sz w:val="20"/>
          <w:szCs w:val="20"/>
        </w:rPr>
        <w:t>la Corte valora que mediante el Sistema Nacional de Inversión Pública se gestionen los recursos que se requieren para el mantenimiento de la red vial que ordenó la Sentencia.</w:t>
      </w:r>
    </w:p>
    <w:p w14:paraId="63AA5724" w14:textId="7424617C" w:rsidR="000F525C" w:rsidRPr="00BB29A9" w:rsidRDefault="00C20B62" w:rsidP="000F525C">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Por todo lo expuesto, l</w:t>
      </w:r>
      <w:r w:rsidR="000F525C" w:rsidRPr="00BB29A9">
        <w:rPr>
          <w:rFonts w:ascii="Verdana" w:hAnsi="Verdana"/>
          <w:sz w:val="20"/>
          <w:szCs w:val="20"/>
        </w:rPr>
        <w:t>a Corte considera que el Estado ha dado un cumplimiento parcial a esta medida</w:t>
      </w:r>
      <w:r w:rsidR="00A03EED">
        <w:rPr>
          <w:rFonts w:ascii="Verdana" w:hAnsi="Verdana"/>
          <w:sz w:val="20"/>
          <w:szCs w:val="20"/>
        </w:rPr>
        <w:t xml:space="preserve"> de reparación debido a que en ocho</w:t>
      </w:r>
      <w:r w:rsidR="000F525C" w:rsidRPr="00BB29A9">
        <w:rPr>
          <w:rStyle w:val="Refdenotaalpie"/>
          <w:rFonts w:ascii="Verdana" w:hAnsi="Verdana"/>
          <w:sz w:val="20"/>
          <w:szCs w:val="20"/>
        </w:rPr>
        <w:footnoteReference w:id="44"/>
      </w:r>
      <w:r w:rsidR="000F525C" w:rsidRPr="00BB29A9">
        <w:rPr>
          <w:rFonts w:ascii="Verdana" w:hAnsi="Verdana"/>
          <w:sz w:val="20"/>
          <w:szCs w:val="20"/>
        </w:rPr>
        <w:t xml:space="preserve"> de las 13 comunidades beneficiarias de la reparación ordenada, se llevaron a cabo trabajos de mantenimiento en la red vial. Sin embargo, persisten los problemas de falta de durabilidad de las mejoras por el material que se utiliza (</w:t>
      </w:r>
      <w:r w:rsidR="000F525C" w:rsidRPr="00BB29A9">
        <w:rPr>
          <w:rFonts w:ascii="Verdana" w:hAnsi="Verdana"/>
          <w:i/>
          <w:sz w:val="20"/>
          <w:szCs w:val="20"/>
        </w:rPr>
        <w:t>supra</w:t>
      </w:r>
      <w:r w:rsidR="000F525C" w:rsidRPr="00BB29A9">
        <w:rPr>
          <w:rFonts w:ascii="Verdana" w:hAnsi="Verdana"/>
          <w:sz w:val="20"/>
          <w:szCs w:val="20"/>
        </w:rPr>
        <w:t xml:space="preserve"> Considerando </w:t>
      </w:r>
      <w:r w:rsidR="00B76AF5">
        <w:rPr>
          <w:rFonts w:ascii="Verdana" w:hAnsi="Verdana"/>
          <w:sz w:val="20"/>
          <w:szCs w:val="20"/>
        </w:rPr>
        <w:t>37</w:t>
      </w:r>
      <w:r w:rsidR="000F525C" w:rsidRPr="00BB29A9">
        <w:rPr>
          <w:rFonts w:ascii="Verdana" w:hAnsi="Verdana"/>
          <w:sz w:val="20"/>
          <w:szCs w:val="20"/>
        </w:rPr>
        <w:t xml:space="preserve">), lo cual repercute en que la carretera vuelva a ser peligrosa e intransitable con la temporada de lluvias y los consecuentes perjuicios para el adecuado desplazamiento de los pobladores, atención </w:t>
      </w:r>
      <w:r w:rsidR="000F525C" w:rsidRPr="00BB29A9">
        <w:rPr>
          <w:rFonts w:ascii="Verdana" w:hAnsi="Verdana"/>
          <w:sz w:val="20"/>
          <w:szCs w:val="20"/>
        </w:rPr>
        <w:lastRenderedPageBreak/>
        <w:t xml:space="preserve">de salud, comercialización de productos, etc. Por otro lado, la Corte concluye que </w:t>
      </w:r>
      <w:r w:rsidR="000F525C" w:rsidRPr="00BB29A9">
        <w:rPr>
          <w:rFonts w:ascii="Verdana" w:hAnsi="Verdana"/>
          <w:sz w:val="20"/>
          <w:szCs w:val="20"/>
          <w:lang w:val="es-ES"/>
        </w:rPr>
        <w:t xml:space="preserve">persiste la falta de trabajos de mantenimiento en el sistema de comunicación vial en las restantes cinco comunidades </w:t>
      </w:r>
      <w:r w:rsidR="000F525C" w:rsidRPr="00BB29A9">
        <w:rPr>
          <w:rFonts w:ascii="Verdana" w:hAnsi="Verdana"/>
          <w:sz w:val="20"/>
          <w:szCs w:val="20"/>
        </w:rPr>
        <w:t xml:space="preserve">(Las Tunas, Las Minas, Ixchel, </w:t>
      </w:r>
      <w:proofErr w:type="spellStart"/>
      <w:r w:rsidR="000F525C" w:rsidRPr="00BB29A9">
        <w:rPr>
          <w:rFonts w:ascii="Verdana" w:hAnsi="Verdana"/>
          <w:sz w:val="20"/>
          <w:szCs w:val="20"/>
        </w:rPr>
        <w:t>Chiac</w:t>
      </w:r>
      <w:proofErr w:type="spellEnd"/>
      <w:r w:rsidR="000F525C" w:rsidRPr="00BB29A9">
        <w:rPr>
          <w:rFonts w:ascii="Verdana" w:hAnsi="Verdana"/>
          <w:sz w:val="20"/>
          <w:szCs w:val="20"/>
        </w:rPr>
        <w:t xml:space="preserve"> y </w:t>
      </w:r>
      <w:proofErr w:type="spellStart"/>
      <w:r w:rsidR="000F525C" w:rsidRPr="00BB29A9">
        <w:rPr>
          <w:rFonts w:ascii="Verdana" w:hAnsi="Verdana"/>
          <w:sz w:val="20"/>
          <w:szCs w:val="20"/>
        </w:rPr>
        <w:t>Chichupac</w:t>
      </w:r>
      <w:proofErr w:type="spellEnd"/>
      <w:r w:rsidR="000F525C" w:rsidRPr="00BB29A9">
        <w:rPr>
          <w:rFonts w:ascii="Verdana" w:hAnsi="Verdana"/>
          <w:sz w:val="20"/>
          <w:szCs w:val="20"/>
        </w:rPr>
        <w:t>)</w:t>
      </w:r>
      <w:r w:rsidR="000F525C" w:rsidRPr="00BB29A9">
        <w:rPr>
          <w:rFonts w:ascii="Verdana" w:hAnsi="Verdana"/>
          <w:sz w:val="20"/>
          <w:szCs w:val="20"/>
          <w:lang w:val="es-ES"/>
        </w:rPr>
        <w:t>, ya que el Estado no presentó información al respecto, y los</w:t>
      </w:r>
      <w:r w:rsidR="000F525C" w:rsidRPr="00BB29A9">
        <w:rPr>
          <w:rFonts w:ascii="Verdana" w:hAnsi="Verdana"/>
          <w:sz w:val="20"/>
          <w:szCs w:val="20"/>
        </w:rPr>
        <w:t xml:space="preserve"> representantes sostuvieron que no se realizaron</w:t>
      </w:r>
      <w:r w:rsidR="000F525C" w:rsidRPr="00BB29A9">
        <w:rPr>
          <w:rStyle w:val="Refdenotaalpie"/>
          <w:rFonts w:ascii="Verdana" w:hAnsi="Verdana"/>
          <w:sz w:val="20"/>
          <w:szCs w:val="20"/>
        </w:rPr>
        <w:footnoteReference w:id="45"/>
      </w:r>
      <w:r w:rsidR="000F525C" w:rsidRPr="00BB29A9">
        <w:rPr>
          <w:rFonts w:ascii="Verdana" w:hAnsi="Verdana"/>
          <w:sz w:val="20"/>
          <w:szCs w:val="20"/>
        </w:rPr>
        <w:t>.</w:t>
      </w:r>
    </w:p>
    <w:p w14:paraId="18DDF1E6" w14:textId="77777777" w:rsidR="007C42DA" w:rsidRPr="00BB29A9" w:rsidRDefault="007C42DA" w:rsidP="00164F3F">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lang w:val="es-ES"/>
        </w:rPr>
        <w:t xml:space="preserve">Tomando en cuenta que aún persiste la falta de trabajos de mantenimiento en el sistema de comunicación vial </w:t>
      </w:r>
      <w:r w:rsidR="000C6D24" w:rsidRPr="00BB29A9">
        <w:rPr>
          <w:rFonts w:ascii="Verdana" w:hAnsi="Verdana"/>
          <w:sz w:val="20"/>
          <w:szCs w:val="20"/>
          <w:lang w:val="es-ES"/>
        </w:rPr>
        <w:t>en cinco</w:t>
      </w:r>
      <w:r w:rsidRPr="00BB29A9">
        <w:rPr>
          <w:rFonts w:ascii="Verdana" w:hAnsi="Verdana"/>
          <w:sz w:val="20"/>
          <w:szCs w:val="20"/>
          <w:lang w:val="es-ES"/>
        </w:rPr>
        <w:t xml:space="preserve"> comunidades, y que en las comunida</w:t>
      </w:r>
      <w:r w:rsidR="00FA5FBA" w:rsidRPr="00BB29A9">
        <w:rPr>
          <w:rFonts w:ascii="Verdana" w:hAnsi="Verdana"/>
          <w:sz w:val="20"/>
          <w:szCs w:val="20"/>
          <w:lang w:val="es-ES"/>
        </w:rPr>
        <w:t>des en que este se ha realizado,</w:t>
      </w:r>
      <w:r w:rsidRPr="00BB29A9">
        <w:rPr>
          <w:rFonts w:ascii="Verdana" w:hAnsi="Verdana"/>
          <w:sz w:val="20"/>
          <w:szCs w:val="20"/>
          <w:lang w:val="es-ES"/>
        </w:rPr>
        <w:t xml:space="preserve"> se continúan presentando deficiencias</w:t>
      </w:r>
      <w:r w:rsidR="00B7082D" w:rsidRPr="00BB29A9">
        <w:rPr>
          <w:rFonts w:ascii="Verdana" w:hAnsi="Verdana"/>
          <w:sz w:val="20"/>
          <w:szCs w:val="20"/>
          <w:lang w:val="es-ES"/>
        </w:rPr>
        <w:t xml:space="preserve"> en la durabilidad de los materiales</w:t>
      </w:r>
      <w:r w:rsidRPr="00BB29A9">
        <w:rPr>
          <w:rFonts w:ascii="Verdana" w:hAnsi="Verdana"/>
          <w:sz w:val="20"/>
          <w:szCs w:val="20"/>
          <w:lang w:val="es-ES"/>
        </w:rPr>
        <w:t xml:space="preserve"> que derivan en que en la época de lluvias los caminos se </w:t>
      </w:r>
      <w:r w:rsidR="000C6D24" w:rsidRPr="00BB29A9">
        <w:rPr>
          <w:rFonts w:ascii="Verdana" w:hAnsi="Verdana"/>
          <w:sz w:val="20"/>
          <w:szCs w:val="20"/>
          <w:lang w:val="es-ES"/>
        </w:rPr>
        <w:t>tornen difíciles de transitar</w:t>
      </w:r>
      <w:r w:rsidRPr="00BB29A9">
        <w:rPr>
          <w:rFonts w:ascii="Verdana" w:hAnsi="Verdana"/>
          <w:sz w:val="20"/>
          <w:szCs w:val="20"/>
          <w:lang w:val="es-ES"/>
        </w:rPr>
        <w:t xml:space="preserve">, la Corte considera que se encuentra pendiente de cumplimiento la reparación ordenada en el punto resolutivo </w:t>
      </w:r>
      <w:r w:rsidR="003B3879" w:rsidRPr="00BB29A9">
        <w:rPr>
          <w:rFonts w:ascii="Verdana" w:hAnsi="Verdana"/>
          <w:sz w:val="20"/>
          <w:szCs w:val="20"/>
          <w:lang w:val="es-ES"/>
        </w:rPr>
        <w:t xml:space="preserve">noveno, literal </w:t>
      </w:r>
      <w:r w:rsidRPr="00BB29A9">
        <w:rPr>
          <w:rFonts w:ascii="Verdana" w:hAnsi="Verdana"/>
          <w:sz w:val="20"/>
          <w:szCs w:val="20"/>
          <w:lang w:val="es-ES"/>
        </w:rPr>
        <w:t>b)</w:t>
      </w:r>
      <w:r w:rsidR="003B3879" w:rsidRPr="00BB29A9">
        <w:rPr>
          <w:rFonts w:ascii="Verdana" w:hAnsi="Verdana"/>
          <w:sz w:val="20"/>
          <w:szCs w:val="20"/>
          <w:lang w:val="es-ES"/>
        </w:rPr>
        <w:t xml:space="preserve"> de la Sentencia,</w:t>
      </w:r>
      <w:r w:rsidRPr="00BB29A9">
        <w:rPr>
          <w:rFonts w:ascii="Verdana" w:hAnsi="Verdana"/>
          <w:sz w:val="20"/>
          <w:szCs w:val="20"/>
          <w:lang w:val="es-ES"/>
        </w:rPr>
        <w:t xml:space="preserve"> relativa a </w:t>
      </w:r>
      <w:r w:rsidRPr="00BB29A9">
        <w:rPr>
          <w:rFonts w:ascii="Verdana" w:hAnsi="Verdana"/>
          <w:sz w:val="20"/>
          <w:szCs w:val="20"/>
        </w:rPr>
        <w:t>desarrollar en las comunidades un programa de mantenimiento y mejoras en el sistema de comunicación vial entre las indicadas comunidades y la cabecera municipal de Rabinal.</w:t>
      </w:r>
    </w:p>
    <w:p w14:paraId="1595B4A9" w14:textId="1E078D1B" w:rsidR="000C6D24" w:rsidRPr="00BB29A9" w:rsidRDefault="000C6D24" w:rsidP="000C6D24">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lang w:val="es-ES"/>
        </w:rPr>
        <w:t>Por ello, resulta necesario que el Estado proporcione información actualizada sobre el cumplimiento de esta medida de reparación. En específ</w:t>
      </w:r>
      <w:r w:rsidR="00AD721D">
        <w:rPr>
          <w:rFonts w:ascii="Verdana" w:hAnsi="Verdana"/>
          <w:sz w:val="20"/>
          <w:szCs w:val="20"/>
          <w:lang w:val="es-ES"/>
        </w:rPr>
        <w:t>ico, se solicita que se refiera</w:t>
      </w:r>
      <w:r w:rsidRPr="00BB29A9">
        <w:rPr>
          <w:rFonts w:ascii="Verdana" w:hAnsi="Verdana"/>
          <w:sz w:val="20"/>
          <w:szCs w:val="20"/>
          <w:lang w:val="es-ES"/>
        </w:rPr>
        <w:t xml:space="preserve"> a</w:t>
      </w:r>
      <w:r w:rsidR="000E2EB6">
        <w:rPr>
          <w:rFonts w:ascii="Verdana" w:hAnsi="Verdana"/>
          <w:sz w:val="20"/>
          <w:szCs w:val="20"/>
          <w:lang w:val="es-ES"/>
        </w:rPr>
        <w:t>:</w:t>
      </w:r>
      <w:r w:rsidRPr="00BB29A9">
        <w:rPr>
          <w:rFonts w:ascii="Verdana" w:hAnsi="Verdana"/>
          <w:sz w:val="20"/>
          <w:szCs w:val="20"/>
          <w:lang w:val="es-ES"/>
        </w:rPr>
        <w:t xml:space="preserve"> (i) las medidas que estaría implementando a fin de balastar </w:t>
      </w:r>
      <w:r w:rsidRPr="00BB29A9">
        <w:rPr>
          <w:rFonts w:ascii="Verdana" w:hAnsi="Verdana"/>
          <w:sz w:val="20"/>
          <w:szCs w:val="20"/>
        </w:rPr>
        <w:t>la carretera entre la cabecera del municipio Rabinal y las comunidades</w:t>
      </w:r>
      <w:r w:rsidR="000E2EB6">
        <w:rPr>
          <w:rFonts w:ascii="Verdana" w:hAnsi="Verdana"/>
          <w:sz w:val="20"/>
          <w:szCs w:val="20"/>
        </w:rPr>
        <w:t>;</w:t>
      </w:r>
      <w:r w:rsidRPr="00BB29A9">
        <w:rPr>
          <w:rFonts w:ascii="Verdana" w:hAnsi="Verdana"/>
          <w:sz w:val="20"/>
          <w:szCs w:val="20"/>
        </w:rPr>
        <w:t xml:space="preserve"> (ii) la durabilidad del material usado para el mantenimiento que permita una mayor seguridad de que cada época lluviosa la carretera no se volverá intransitable</w:t>
      </w:r>
      <w:r w:rsidR="000E2EB6">
        <w:rPr>
          <w:rFonts w:ascii="Verdana" w:hAnsi="Verdana"/>
          <w:sz w:val="20"/>
          <w:szCs w:val="20"/>
        </w:rPr>
        <w:t>;</w:t>
      </w:r>
      <w:r w:rsidRPr="00BB29A9">
        <w:rPr>
          <w:rFonts w:ascii="Verdana" w:hAnsi="Verdana"/>
          <w:sz w:val="20"/>
          <w:szCs w:val="20"/>
        </w:rPr>
        <w:t xml:space="preserve"> (i</w:t>
      </w:r>
      <w:r w:rsidR="00B7082D" w:rsidRPr="00BB29A9">
        <w:rPr>
          <w:rFonts w:ascii="Verdana" w:hAnsi="Verdana"/>
          <w:sz w:val="20"/>
          <w:szCs w:val="20"/>
        </w:rPr>
        <w:t>ii</w:t>
      </w:r>
      <w:r w:rsidRPr="00BB29A9">
        <w:rPr>
          <w:rFonts w:ascii="Verdana" w:hAnsi="Verdana"/>
          <w:sz w:val="20"/>
          <w:szCs w:val="20"/>
        </w:rPr>
        <w:t>) cuáles son los trabajos que se habrían iniciado a partir del proyecto de Conservación, Mantenimiento y Mejoramiento de Carreteras del Área Rural, Rabinal, Baja Verapaz</w:t>
      </w:r>
      <w:r w:rsidR="000E2EB6">
        <w:rPr>
          <w:rFonts w:ascii="Verdana" w:hAnsi="Verdana"/>
          <w:sz w:val="20"/>
          <w:szCs w:val="20"/>
        </w:rPr>
        <w:t>;</w:t>
      </w:r>
      <w:r w:rsidRPr="00BB29A9">
        <w:rPr>
          <w:rFonts w:ascii="Verdana" w:hAnsi="Verdana"/>
          <w:sz w:val="20"/>
          <w:szCs w:val="20"/>
        </w:rPr>
        <w:t xml:space="preserve"> y (</w:t>
      </w:r>
      <w:r w:rsidR="00B7082D" w:rsidRPr="00BB29A9">
        <w:rPr>
          <w:rFonts w:ascii="Verdana" w:hAnsi="Verdana"/>
          <w:sz w:val="20"/>
          <w:szCs w:val="20"/>
        </w:rPr>
        <w:t>i</w:t>
      </w:r>
      <w:r w:rsidRPr="00BB29A9">
        <w:rPr>
          <w:rFonts w:ascii="Verdana" w:hAnsi="Verdana"/>
          <w:sz w:val="20"/>
          <w:szCs w:val="20"/>
        </w:rPr>
        <w:t xml:space="preserve">v) los trabajos de </w:t>
      </w:r>
      <w:r w:rsidR="00B7082D" w:rsidRPr="00BB29A9">
        <w:rPr>
          <w:rFonts w:ascii="Verdana" w:hAnsi="Verdana"/>
          <w:sz w:val="20"/>
          <w:szCs w:val="20"/>
        </w:rPr>
        <w:t>mantenimiento y mejoras</w:t>
      </w:r>
      <w:r w:rsidRPr="00BB29A9">
        <w:rPr>
          <w:rFonts w:ascii="Verdana" w:hAnsi="Verdana"/>
          <w:sz w:val="20"/>
          <w:szCs w:val="20"/>
        </w:rPr>
        <w:t xml:space="preserve"> que se estarían llevando a cabo </w:t>
      </w:r>
      <w:r w:rsidR="00B7082D" w:rsidRPr="00BB29A9">
        <w:rPr>
          <w:rFonts w:ascii="Verdana" w:hAnsi="Verdana"/>
          <w:sz w:val="20"/>
          <w:szCs w:val="20"/>
        </w:rPr>
        <w:t>en el sistema de comunicación vial de</w:t>
      </w:r>
      <w:r w:rsidRPr="00BB29A9">
        <w:rPr>
          <w:rFonts w:ascii="Verdana" w:hAnsi="Verdana"/>
          <w:sz w:val="20"/>
          <w:szCs w:val="20"/>
        </w:rPr>
        <w:t xml:space="preserve"> las </w:t>
      </w:r>
      <w:r w:rsidR="00B7082D" w:rsidRPr="00BB29A9">
        <w:rPr>
          <w:rFonts w:ascii="Verdana" w:hAnsi="Verdana"/>
          <w:sz w:val="20"/>
          <w:szCs w:val="20"/>
        </w:rPr>
        <w:t xml:space="preserve">cinco </w:t>
      </w:r>
      <w:r w:rsidRPr="00BB29A9">
        <w:rPr>
          <w:rFonts w:ascii="Verdana" w:hAnsi="Verdana"/>
          <w:sz w:val="20"/>
          <w:szCs w:val="20"/>
        </w:rPr>
        <w:t xml:space="preserve">comunidades Las Tunas, Las Minas, Ixchel, </w:t>
      </w:r>
      <w:proofErr w:type="spellStart"/>
      <w:r w:rsidRPr="00BB29A9">
        <w:rPr>
          <w:rFonts w:ascii="Verdana" w:hAnsi="Verdana"/>
          <w:sz w:val="20"/>
          <w:szCs w:val="20"/>
        </w:rPr>
        <w:t>Chiac</w:t>
      </w:r>
      <w:proofErr w:type="spellEnd"/>
      <w:r w:rsidRPr="00BB29A9">
        <w:rPr>
          <w:rFonts w:ascii="Verdana" w:hAnsi="Verdana"/>
          <w:sz w:val="20"/>
          <w:szCs w:val="20"/>
        </w:rPr>
        <w:t xml:space="preserve"> y </w:t>
      </w:r>
      <w:proofErr w:type="spellStart"/>
      <w:r w:rsidRPr="00BB29A9">
        <w:rPr>
          <w:rFonts w:ascii="Verdana" w:hAnsi="Verdana"/>
          <w:sz w:val="20"/>
          <w:szCs w:val="20"/>
        </w:rPr>
        <w:t>Chichupac</w:t>
      </w:r>
      <w:proofErr w:type="spellEnd"/>
      <w:r w:rsidRPr="00BB29A9">
        <w:rPr>
          <w:rFonts w:ascii="Verdana" w:hAnsi="Verdana"/>
          <w:sz w:val="20"/>
          <w:szCs w:val="20"/>
        </w:rPr>
        <w:t>.</w:t>
      </w:r>
    </w:p>
    <w:p w14:paraId="2B408266" w14:textId="77777777" w:rsidR="0096653A" w:rsidRPr="00BB29A9" w:rsidRDefault="0096653A" w:rsidP="00447043">
      <w:pPr>
        <w:pStyle w:val="Ttulo2"/>
        <w:numPr>
          <w:ilvl w:val="2"/>
          <w:numId w:val="11"/>
        </w:numPr>
        <w:ind w:left="851" w:hanging="284"/>
        <w:jc w:val="both"/>
        <w:rPr>
          <w:rFonts w:ascii="Verdana" w:hAnsi="Verdana"/>
          <w:i/>
          <w:color w:val="auto"/>
          <w:sz w:val="20"/>
          <w:szCs w:val="20"/>
        </w:rPr>
      </w:pPr>
      <w:bookmarkStart w:id="12" w:name="_Toc67523774"/>
      <w:r w:rsidRPr="00BB29A9">
        <w:rPr>
          <w:rFonts w:ascii="Verdana" w:hAnsi="Verdana"/>
          <w:b/>
          <w:color w:val="auto"/>
          <w:sz w:val="20"/>
          <w:szCs w:val="20"/>
        </w:rPr>
        <w:t>Desarrollar un sistema de alcantarillado y suministro de agua potable</w:t>
      </w:r>
      <w:bookmarkEnd w:id="12"/>
    </w:p>
    <w:p w14:paraId="15552630" w14:textId="35768D1C" w:rsidR="000E2EB6" w:rsidRDefault="000E2EB6" w:rsidP="000E2EB6">
      <w:pPr>
        <w:pStyle w:val="Prrafodelista"/>
        <w:spacing w:before="120" w:after="120" w:line="240" w:lineRule="auto"/>
        <w:ind w:left="0" w:firstLine="709"/>
        <w:contextualSpacing w:val="0"/>
        <w:jc w:val="both"/>
        <w:rPr>
          <w:rFonts w:ascii="Verdana" w:hAnsi="Verdana"/>
          <w:sz w:val="20"/>
          <w:szCs w:val="20"/>
        </w:rPr>
      </w:pPr>
      <w:r>
        <w:rPr>
          <w:rFonts w:ascii="Verdana" w:hAnsi="Verdana"/>
          <w:i/>
          <w:sz w:val="20"/>
          <w:szCs w:val="20"/>
        </w:rPr>
        <w:t>D.ii.1. S</w:t>
      </w:r>
      <w:r w:rsidRPr="00BB29A9">
        <w:rPr>
          <w:rFonts w:ascii="Verdana" w:hAnsi="Verdana"/>
          <w:i/>
          <w:sz w:val="20"/>
          <w:szCs w:val="20"/>
        </w:rPr>
        <w:t>upervisión realizada en resolución anterior</w:t>
      </w:r>
    </w:p>
    <w:p w14:paraId="64D75613" w14:textId="141FD689" w:rsidR="00225598" w:rsidRDefault="0096653A" w:rsidP="009D7FDD">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En la Resolución de 25 de mayo de 2017, la Corte </w:t>
      </w:r>
      <w:r w:rsidR="0034116B" w:rsidRPr="00BB29A9">
        <w:rPr>
          <w:rFonts w:ascii="Verdana" w:hAnsi="Verdana"/>
          <w:sz w:val="20"/>
          <w:szCs w:val="20"/>
        </w:rPr>
        <w:t xml:space="preserve">solicitó al Estado </w:t>
      </w:r>
      <w:r w:rsidR="00D778B3" w:rsidRPr="00BB29A9">
        <w:rPr>
          <w:rFonts w:ascii="Verdana" w:hAnsi="Verdana"/>
          <w:sz w:val="20"/>
          <w:szCs w:val="20"/>
        </w:rPr>
        <w:t>“</w:t>
      </w:r>
      <w:r w:rsidR="0010181A" w:rsidRPr="00BB29A9">
        <w:rPr>
          <w:rFonts w:ascii="Verdana" w:hAnsi="Verdana"/>
          <w:sz w:val="20"/>
          <w:szCs w:val="20"/>
        </w:rPr>
        <w:t>informar sobre el programa de alcantarillado que debe realizar de acuerdo al párrafo 110.c)</w:t>
      </w:r>
      <w:r w:rsidR="00F44721" w:rsidRPr="00BB29A9">
        <w:rPr>
          <w:rFonts w:ascii="Verdana" w:hAnsi="Verdana"/>
          <w:sz w:val="20"/>
          <w:szCs w:val="20"/>
        </w:rPr>
        <w:t xml:space="preserve"> </w:t>
      </w:r>
      <w:r w:rsidR="0010181A" w:rsidRPr="00BB29A9">
        <w:rPr>
          <w:rFonts w:ascii="Verdana" w:hAnsi="Verdana"/>
          <w:sz w:val="20"/>
          <w:szCs w:val="20"/>
        </w:rPr>
        <w:t>de la Sentencia</w:t>
      </w:r>
      <w:r w:rsidR="000D7A8A" w:rsidRPr="00BB29A9">
        <w:rPr>
          <w:rFonts w:ascii="Verdana" w:hAnsi="Verdana"/>
          <w:sz w:val="20"/>
          <w:szCs w:val="20"/>
        </w:rPr>
        <w:t>”</w:t>
      </w:r>
      <w:r w:rsidR="0010181A" w:rsidRPr="00BB29A9">
        <w:rPr>
          <w:rFonts w:ascii="Verdana" w:hAnsi="Verdana"/>
          <w:sz w:val="20"/>
          <w:szCs w:val="20"/>
        </w:rPr>
        <w:t>,</w:t>
      </w:r>
      <w:r w:rsidR="000D7A8A" w:rsidRPr="00BB29A9">
        <w:rPr>
          <w:rFonts w:ascii="Verdana" w:hAnsi="Verdana"/>
          <w:sz w:val="20"/>
          <w:szCs w:val="20"/>
        </w:rPr>
        <w:t xml:space="preserve"> debiendo </w:t>
      </w:r>
      <w:r w:rsidR="0010181A" w:rsidRPr="00BB29A9">
        <w:rPr>
          <w:rFonts w:ascii="Verdana" w:hAnsi="Verdana"/>
          <w:sz w:val="20"/>
          <w:szCs w:val="20"/>
        </w:rPr>
        <w:t xml:space="preserve">tener en cuenta </w:t>
      </w:r>
      <w:r w:rsidR="000D7A8A" w:rsidRPr="00BB29A9">
        <w:rPr>
          <w:rFonts w:ascii="Verdana" w:hAnsi="Verdana"/>
          <w:sz w:val="20"/>
          <w:szCs w:val="20"/>
        </w:rPr>
        <w:t>(i) “</w:t>
      </w:r>
      <w:r w:rsidR="0010181A" w:rsidRPr="00BB29A9">
        <w:rPr>
          <w:rFonts w:ascii="Verdana" w:hAnsi="Verdana"/>
          <w:sz w:val="20"/>
          <w:szCs w:val="20"/>
        </w:rPr>
        <w:t>si en tiempos de lluvias se llegan a inundar</w:t>
      </w:r>
      <w:r w:rsidR="00F44721" w:rsidRPr="00BB29A9">
        <w:rPr>
          <w:rFonts w:ascii="Verdana" w:hAnsi="Verdana"/>
          <w:sz w:val="20"/>
          <w:szCs w:val="20"/>
        </w:rPr>
        <w:t xml:space="preserve"> </w:t>
      </w:r>
      <w:r w:rsidR="0010181A" w:rsidRPr="00BB29A9">
        <w:rPr>
          <w:rFonts w:ascii="Verdana" w:hAnsi="Verdana"/>
          <w:sz w:val="20"/>
          <w:szCs w:val="20"/>
        </w:rPr>
        <w:t>fácilmente las viviendas o las calles, e identificar si existen áreas propensas o habituales de</w:t>
      </w:r>
      <w:r w:rsidR="00F44721" w:rsidRPr="00BB29A9">
        <w:rPr>
          <w:rFonts w:ascii="Verdana" w:hAnsi="Verdana"/>
          <w:sz w:val="20"/>
          <w:szCs w:val="20"/>
        </w:rPr>
        <w:t xml:space="preserve"> </w:t>
      </w:r>
      <w:r w:rsidR="0010181A" w:rsidRPr="00BB29A9">
        <w:rPr>
          <w:rFonts w:ascii="Verdana" w:hAnsi="Verdana"/>
          <w:sz w:val="20"/>
          <w:szCs w:val="20"/>
        </w:rPr>
        <w:t>inundaciones</w:t>
      </w:r>
      <w:r w:rsidR="000D7A8A" w:rsidRPr="00BB29A9">
        <w:rPr>
          <w:rFonts w:ascii="Verdana" w:hAnsi="Verdana"/>
          <w:sz w:val="20"/>
          <w:szCs w:val="20"/>
        </w:rPr>
        <w:t xml:space="preserve">”, </w:t>
      </w:r>
      <w:r w:rsidR="005E0926" w:rsidRPr="00BB29A9">
        <w:rPr>
          <w:rFonts w:ascii="Verdana" w:hAnsi="Verdana"/>
          <w:sz w:val="20"/>
          <w:szCs w:val="20"/>
        </w:rPr>
        <w:t>así como</w:t>
      </w:r>
      <w:r w:rsidR="000D7A8A" w:rsidRPr="00BB29A9">
        <w:rPr>
          <w:rFonts w:ascii="Verdana" w:hAnsi="Verdana"/>
          <w:sz w:val="20"/>
          <w:szCs w:val="20"/>
        </w:rPr>
        <w:t xml:space="preserve"> (ii) “</w:t>
      </w:r>
      <w:r w:rsidR="0010181A" w:rsidRPr="00BB29A9">
        <w:rPr>
          <w:rFonts w:ascii="Verdana" w:hAnsi="Verdana"/>
          <w:sz w:val="20"/>
          <w:szCs w:val="20"/>
        </w:rPr>
        <w:t>el manejo de las aguas residuales</w:t>
      </w:r>
      <w:r w:rsidR="00F44721" w:rsidRPr="00BB29A9">
        <w:rPr>
          <w:rFonts w:ascii="Verdana" w:hAnsi="Verdana"/>
          <w:sz w:val="20"/>
          <w:szCs w:val="20"/>
        </w:rPr>
        <w:t xml:space="preserve"> </w:t>
      </w:r>
      <w:r w:rsidR="0010181A" w:rsidRPr="00BB29A9">
        <w:rPr>
          <w:rFonts w:ascii="Verdana" w:hAnsi="Verdana"/>
          <w:sz w:val="20"/>
          <w:szCs w:val="20"/>
        </w:rPr>
        <w:t>domésticas, pues un drenaje deficiente de éstas puede ocasionar espacios de estancamiento</w:t>
      </w:r>
      <w:r w:rsidR="00F44721" w:rsidRPr="00BB29A9">
        <w:rPr>
          <w:rFonts w:ascii="Verdana" w:hAnsi="Verdana"/>
          <w:sz w:val="20"/>
          <w:szCs w:val="20"/>
        </w:rPr>
        <w:t xml:space="preserve"> </w:t>
      </w:r>
      <w:r w:rsidR="0010181A" w:rsidRPr="00BB29A9">
        <w:rPr>
          <w:rFonts w:ascii="Verdana" w:hAnsi="Verdana"/>
          <w:sz w:val="20"/>
          <w:szCs w:val="20"/>
        </w:rPr>
        <w:t>del agua donde se pueden crear criaderos de insectos vectores de enfermedades</w:t>
      </w:r>
      <w:r w:rsidR="000D7A8A" w:rsidRPr="00BB29A9">
        <w:rPr>
          <w:rFonts w:ascii="Verdana" w:hAnsi="Verdana"/>
          <w:sz w:val="20"/>
          <w:szCs w:val="20"/>
        </w:rPr>
        <w:t>”</w:t>
      </w:r>
      <w:r w:rsidR="00225598" w:rsidRPr="00BB29A9">
        <w:rPr>
          <w:rStyle w:val="Refdenotaalpie"/>
          <w:rFonts w:ascii="Verdana" w:hAnsi="Verdana"/>
          <w:sz w:val="20"/>
          <w:szCs w:val="20"/>
        </w:rPr>
        <w:footnoteReference w:id="46"/>
      </w:r>
      <w:r w:rsidR="000D7A8A" w:rsidRPr="00BB29A9">
        <w:rPr>
          <w:rFonts w:ascii="Verdana" w:hAnsi="Verdana"/>
          <w:sz w:val="20"/>
          <w:szCs w:val="20"/>
        </w:rPr>
        <w:t>. Además, se solicitó al Estado que “se refiera a las deficiencias en el tratamiento de aguas del establecimiento educativo de la Aldea”</w:t>
      </w:r>
      <w:r w:rsidR="006A2ADA" w:rsidRPr="00BB29A9">
        <w:rPr>
          <w:rStyle w:val="Refdenotaalpie"/>
          <w:rFonts w:ascii="Verdana" w:hAnsi="Verdana"/>
          <w:sz w:val="20"/>
          <w:szCs w:val="20"/>
        </w:rPr>
        <w:footnoteReference w:id="47"/>
      </w:r>
      <w:r w:rsidR="000D7A8A" w:rsidRPr="00BB29A9">
        <w:rPr>
          <w:rFonts w:ascii="Verdana" w:hAnsi="Verdana"/>
          <w:sz w:val="20"/>
          <w:szCs w:val="20"/>
        </w:rPr>
        <w:t>.</w:t>
      </w:r>
      <w:r w:rsidR="00225598" w:rsidRPr="00BB29A9">
        <w:rPr>
          <w:rFonts w:ascii="Verdana" w:hAnsi="Verdana"/>
          <w:sz w:val="20"/>
          <w:szCs w:val="20"/>
        </w:rPr>
        <w:t xml:space="preserve"> </w:t>
      </w:r>
      <w:r w:rsidR="00F629DB" w:rsidRPr="00BB29A9">
        <w:rPr>
          <w:rFonts w:ascii="Verdana" w:hAnsi="Verdana"/>
          <w:sz w:val="20"/>
          <w:szCs w:val="20"/>
        </w:rPr>
        <w:t>Por otro lado</w:t>
      </w:r>
      <w:r w:rsidR="00225598" w:rsidRPr="00BB29A9">
        <w:rPr>
          <w:rFonts w:ascii="Verdana" w:hAnsi="Verdana"/>
          <w:sz w:val="20"/>
          <w:szCs w:val="20"/>
        </w:rPr>
        <w:t>,</w:t>
      </w:r>
      <w:r w:rsidR="00B05076" w:rsidRPr="00BB29A9">
        <w:rPr>
          <w:rFonts w:ascii="Verdana" w:hAnsi="Verdana"/>
          <w:sz w:val="20"/>
          <w:szCs w:val="20"/>
        </w:rPr>
        <w:t xml:space="preserve"> este Tribunal</w:t>
      </w:r>
      <w:r w:rsidR="00225598" w:rsidRPr="00BB29A9">
        <w:rPr>
          <w:rFonts w:ascii="Verdana" w:hAnsi="Verdana"/>
          <w:sz w:val="20"/>
          <w:szCs w:val="20"/>
        </w:rPr>
        <w:t xml:space="preserve"> solicitó “que el Estado informe sobre el desarrollo del programa especial para garantizar el suministro de agua potable, ordenado en el referido párrafo 110.c) de la Sentencia, en el cual se refiera en específico, a la disponibilidad, calidad y accesibilidad al agua potable”</w:t>
      </w:r>
      <w:r w:rsidR="00AC59CD" w:rsidRPr="00BB29A9">
        <w:rPr>
          <w:rStyle w:val="Refdenotaalpie"/>
          <w:rFonts w:ascii="Verdana" w:hAnsi="Verdana"/>
          <w:sz w:val="20"/>
          <w:szCs w:val="20"/>
        </w:rPr>
        <w:footnoteReference w:id="48"/>
      </w:r>
      <w:r w:rsidR="00225598" w:rsidRPr="00BB29A9">
        <w:rPr>
          <w:rFonts w:ascii="Verdana" w:hAnsi="Verdana"/>
          <w:sz w:val="20"/>
          <w:szCs w:val="20"/>
        </w:rPr>
        <w:t xml:space="preserve">, </w:t>
      </w:r>
      <w:r w:rsidR="009D7FDD" w:rsidRPr="00BB29A9">
        <w:rPr>
          <w:rFonts w:ascii="Verdana" w:hAnsi="Verdana"/>
          <w:sz w:val="20"/>
          <w:szCs w:val="20"/>
        </w:rPr>
        <w:t xml:space="preserve">dado </w:t>
      </w:r>
      <w:r w:rsidR="00B05076" w:rsidRPr="00BB29A9">
        <w:rPr>
          <w:rFonts w:ascii="Verdana" w:hAnsi="Verdana"/>
          <w:sz w:val="20"/>
          <w:szCs w:val="20"/>
        </w:rPr>
        <w:t>que</w:t>
      </w:r>
      <w:r w:rsidR="00225598" w:rsidRPr="00BB29A9">
        <w:rPr>
          <w:rFonts w:ascii="Verdana" w:hAnsi="Verdana"/>
          <w:sz w:val="20"/>
          <w:szCs w:val="20"/>
        </w:rPr>
        <w:t xml:space="preserve"> </w:t>
      </w:r>
      <w:r w:rsidR="00862F10" w:rsidRPr="00BB29A9">
        <w:rPr>
          <w:rFonts w:ascii="Verdana" w:hAnsi="Verdana"/>
          <w:sz w:val="20"/>
          <w:szCs w:val="20"/>
        </w:rPr>
        <w:t xml:space="preserve">en ese momento </w:t>
      </w:r>
      <w:r w:rsidR="00225598" w:rsidRPr="00BB29A9">
        <w:rPr>
          <w:rFonts w:ascii="Verdana" w:hAnsi="Verdana"/>
          <w:sz w:val="20"/>
          <w:szCs w:val="20"/>
        </w:rPr>
        <w:t xml:space="preserve">no se contaba con información </w:t>
      </w:r>
      <w:r w:rsidR="004E53B4">
        <w:rPr>
          <w:rFonts w:ascii="Verdana" w:hAnsi="Verdana"/>
          <w:sz w:val="20"/>
          <w:szCs w:val="20"/>
        </w:rPr>
        <w:t xml:space="preserve">sobre </w:t>
      </w:r>
      <w:r w:rsidR="00225598" w:rsidRPr="00BB29A9">
        <w:rPr>
          <w:rFonts w:ascii="Verdana" w:hAnsi="Verdana"/>
          <w:sz w:val="20"/>
          <w:szCs w:val="20"/>
        </w:rPr>
        <w:t xml:space="preserve">las medidas que el Estado estaría implementando </w:t>
      </w:r>
      <w:r w:rsidR="009D7FDD" w:rsidRPr="00BB29A9">
        <w:rPr>
          <w:rFonts w:ascii="Verdana" w:hAnsi="Verdana"/>
          <w:sz w:val="20"/>
          <w:szCs w:val="20"/>
        </w:rPr>
        <w:t>respecto a las comunidades objeto de la presente medida</w:t>
      </w:r>
      <w:r w:rsidR="00AC59CD" w:rsidRPr="00BB29A9">
        <w:rPr>
          <w:rStyle w:val="Refdenotaalpie"/>
          <w:rFonts w:ascii="Verdana" w:hAnsi="Verdana"/>
          <w:sz w:val="20"/>
          <w:szCs w:val="20"/>
        </w:rPr>
        <w:footnoteReference w:id="49"/>
      </w:r>
      <w:r w:rsidR="00225598" w:rsidRPr="00BB29A9">
        <w:rPr>
          <w:rFonts w:ascii="Verdana" w:hAnsi="Verdana"/>
          <w:sz w:val="20"/>
          <w:szCs w:val="20"/>
        </w:rPr>
        <w:t>.</w:t>
      </w:r>
    </w:p>
    <w:p w14:paraId="0462661B" w14:textId="2182689D" w:rsidR="000E2EB6" w:rsidRPr="000E2EB6" w:rsidRDefault="000E2EB6" w:rsidP="000E2EB6">
      <w:pPr>
        <w:pStyle w:val="Prrafodelista"/>
        <w:spacing w:before="120" w:after="120" w:line="240" w:lineRule="auto"/>
        <w:contextualSpacing w:val="0"/>
        <w:jc w:val="both"/>
        <w:rPr>
          <w:rFonts w:ascii="Verdana" w:hAnsi="Verdana"/>
          <w:sz w:val="20"/>
          <w:szCs w:val="20"/>
        </w:rPr>
      </w:pPr>
      <w:r>
        <w:rPr>
          <w:rFonts w:ascii="Verdana" w:hAnsi="Verdana"/>
          <w:i/>
          <w:sz w:val="20"/>
          <w:szCs w:val="20"/>
        </w:rPr>
        <w:lastRenderedPageBreak/>
        <w:t xml:space="preserve">D.ii.2. </w:t>
      </w:r>
      <w:r w:rsidRPr="00BB29A9">
        <w:rPr>
          <w:rFonts w:ascii="Verdana" w:hAnsi="Verdana"/>
          <w:i/>
          <w:sz w:val="20"/>
          <w:szCs w:val="20"/>
        </w:rPr>
        <w:t>Consideraciones de la Corte</w:t>
      </w:r>
    </w:p>
    <w:p w14:paraId="340DFAA2" w14:textId="7457459D" w:rsidR="00D20AEC" w:rsidRPr="00BB29A9" w:rsidRDefault="000E2EB6" w:rsidP="00D20AEC">
      <w:pPr>
        <w:pStyle w:val="Prrafodelista"/>
        <w:numPr>
          <w:ilvl w:val="0"/>
          <w:numId w:val="14"/>
        </w:numPr>
        <w:spacing w:before="120" w:after="120" w:line="240" w:lineRule="auto"/>
        <w:ind w:left="0" w:firstLine="0"/>
        <w:contextualSpacing w:val="0"/>
        <w:jc w:val="both"/>
        <w:rPr>
          <w:rFonts w:ascii="Verdana" w:hAnsi="Verdana"/>
          <w:sz w:val="20"/>
          <w:szCs w:val="20"/>
        </w:rPr>
      </w:pPr>
      <w:r>
        <w:rPr>
          <w:rFonts w:ascii="Verdana" w:hAnsi="Verdana"/>
          <w:sz w:val="20"/>
          <w:szCs w:val="20"/>
        </w:rPr>
        <w:t>L</w:t>
      </w:r>
      <w:r w:rsidR="003672B3" w:rsidRPr="00BB29A9">
        <w:rPr>
          <w:rFonts w:ascii="Verdana" w:hAnsi="Verdana"/>
          <w:sz w:val="20"/>
          <w:szCs w:val="20"/>
        </w:rPr>
        <w:t>as partes coincidieron en</w:t>
      </w:r>
      <w:r w:rsidR="00421107" w:rsidRPr="00BB29A9">
        <w:rPr>
          <w:rFonts w:ascii="Verdana" w:hAnsi="Verdana"/>
          <w:sz w:val="20"/>
          <w:szCs w:val="20"/>
        </w:rPr>
        <w:t xml:space="preserve"> que</w:t>
      </w:r>
      <w:r w:rsidR="00421107" w:rsidRPr="00BB29A9">
        <w:rPr>
          <w:rFonts w:ascii="Verdana" w:hAnsi="Verdana"/>
          <w:i/>
          <w:sz w:val="20"/>
          <w:szCs w:val="20"/>
        </w:rPr>
        <w:t xml:space="preserve"> </w:t>
      </w:r>
      <w:r w:rsidR="00B12F6C" w:rsidRPr="00BB29A9">
        <w:rPr>
          <w:rFonts w:ascii="Verdana" w:hAnsi="Verdana"/>
          <w:sz w:val="20"/>
          <w:szCs w:val="20"/>
        </w:rPr>
        <w:t xml:space="preserve">el </w:t>
      </w:r>
      <w:r w:rsidR="00421107" w:rsidRPr="00BB29A9">
        <w:rPr>
          <w:rFonts w:ascii="Verdana" w:hAnsi="Verdana"/>
          <w:sz w:val="20"/>
          <w:szCs w:val="20"/>
        </w:rPr>
        <w:t xml:space="preserve">15 de junio de 2017 se realizó una reunión </w:t>
      </w:r>
      <w:r w:rsidR="00F03526" w:rsidRPr="00BB29A9">
        <w:rPr>
          <w:rFonts w:ascii="Verdana" w:hAnsi="Verdana"/>
          <w:sz w:val="20"/>
          <w:szCs w:val="20"/>
        </w:rPr>
        <w:t xml:space="preserve">en la que participaron </w:t>
      </w:r>
      <w:r w:rsidR="00322245" w:rsidRPr="00BB29A9">
        <w:rPr>
          <w:rFonts w:ascii="Verdana" w:hAnsi="Verdana"/>
          <w:sz w:val="20"/>
          <w:szCs w:val="20"/>
        </w:rPr>
        <w:t xml:space="preserve">representantes </w:t>
      </w:r>
      <w:r w:rsidR="00295AA8" w:rsidRPr="00BB29A9">
        <w:rPr>
          <w:rFonts w:ascii="Verdana" w:hAnsi="Verdana"/>
          <w:sz w:val="20"/>
          <w:szCs w:val="20"/>
        </w:rPr>
        <w:t>de las comunidades</w:t>
      </w:r>
      <w:r w:rsidR="00295AA8" w:rsidRPr="00BB29A9">
        <w:rPr>
          <w:rStyle w:val="Refdenotaalpie"/>
          <w:rFonts w:ascii="Verdana" w:hAnsi="Verdana"/>
          <w:sz w:val="20"/>
          <w:szCs w:val="20"/>
        </w:rPr>
        <w:footnoteReference w:id="50"/>
      </w:r>
      <w:r w:rsidR="00295AA8" w:rsidRPr="00BB29A9">
        <w:rPr>
          <w:rFonts w:ascii="Verdana" w:hAnsi="Verdana"/>
          <w:sz w:val="20"/>
          <w:szCs w:val="20"/>
        </w:rPr>
        <w:t xml:space="preserve"> y </w:t>
      </w:r>
      <w:r w:rsidR="00322245" w:rsidRPr="00BB29A9">
        <w:rPr>
          <w:rFonts w:ascii="Verdana" w:hAnsi="Verdana"/>
          <w:sz w:val="20"/>
          <w:szCs w:val="20"/>
        </w:rPr>
        <w:t>de diversas instituciones estatales</w:t>
      </w:r>
      <w:r w:rsidR="00322245" w:rsidRPr="00BB29A9">
        <w:rPr>
          <w:rStyle w:val="Refdenotaalpie"/>
          <w:rFonts w:ascii="Verdana" w:hAnsi="Verdana"/>
          <w:sz w:val="20"/>
          <w:szCs w:val="20"/>
        </w:rPr>
        <w:footnoteReference w:id="51"/>
      </w:r>
      <w:r w:rsidR="00421107" w:rsidRPr="00BB29A9">
        <w:rPr>
          <w:rFonts w:ascii="Verdana" w:hAnsi="Verdana"/>
          <w:sz w:val="20"/>
          <w:szCs w:val="20"/>
        </w:rPr>
        <w:t>.</w:t>
      </w:r>
      <w:r w:rsidR="00322245" w:rsidRPr="00BB29A9">
        <w:rPr>
          <w:rFonts w:ascii="Verdana" w:hAnsi="Verdana"/>
          <w:sz w:val="20"/>
          <w:szCs w:val="20"/>
        </w:rPr>
        <w:t xml:space="preserve"> En dicha reunión</w:t>
      </w:r>
      <w:r w:rsidR="00BA4DF7" w:rsidRPr="00BB29A9">
        <w:rPr>
          <w:rFonts w:ascii="Verdana" w:hAnsi="Verdana"/>
          <w:sz w:val="20"/>
          <w:szCs w:val="20"/>
        </w:rPr>
        <w:t xml:space="preserve"> se acordó </w:t>
      </w:r>
      <w:r w:rsidR="00421107" w:rsidRPr="00BB29A9">
        <w:rPr>
          <w:rFonts w:ascii="Verdana" w:hAnsi="Verdana"/>
          <w:sz w:val="20"/>
          <w:szCs w:val="20"/>
        </w:rPr>
        <w:t xml:space="preserve">que </w:t>
      </w:r>
      <w:r w:rsidR="00322245" w:rsidRPr="00BB29A9">
        <w:rPr>
          <w:rFonts w:ascii="Verdana" w:hAnsi="Verdana"/>
          <w:sz w:val="20"/>
          <w:szCs w:val="20"/>
        </w:rPr>
        <w:t xml:space="preserve">la cooperación, administración y supervisión del proyecto de agua estaría a cargo de las comunidades, y que </w:t>
      </w:r>
      <w:r w:rsidR="00421107" w:rsidRPr="00BB29A9">
        <w:rPr>
          <w:rFonts w:ascii="Verdana" w:hAnsi="Verdana"/>
          <w:sz w:val="20"/>
          <w:szCs w:val="20"/>
        </w:rPr>
        <w:t>los repr</w:t>
      </w:r>
      <w:r w:rsidR="00322245" w:rsidRPr="00BB29A9">
        <w:rPr>
          <w:rFonts w:ascii="Verdana" w:hAnsi="Verdana"/>
          <w:sz w:val="20"/>
          <w:szCs w:val="20"/>
        </w:rPr>
        <w:t>esentantes de</w:t>
      </w:r>
      <w:r w:rsidR="00B435F3" w:rsidRPr="00BB29A9">
        <w:rPr>
          <w:rFonts w:ascii="Verdana" w:hAnsi="Verdana"/>
          <w:sz w:val="20"/>
          <w:szCs w:val="20"/>
        </w:rPr>
        <w:t>l Instituto de Fomento Municipal</w:t>
      </w:r>
      <w:r w:rsidR="00322245" w:rsidRPr="00BB29A9">
        <w:rPr>
          <w:rFonts w:ascii="Verdana" w:hAnsi="Verdana"/>
          <w:sz w:val="20"/>
          <w:szCs w:val="20"/>
        </w:rPr>
        <w:t xml:space="preserve"> </w:t>
      </w:r>
      <w:r w:rsidR="00B435F3" w:rsidRPr="00BB29A9">
        <w:rPr>
          <w:rFonts w:ascii="Verdana" w:hAnsi="Verdana"/>
          <w:sz w:val="20"/>
          <w:szCs w:val="20"/>
        </w:rPr>
        <w:t>(INFOM)</w:t>
      </w:r>
      <w:r w:rsidR="00322245" w:rsidRPr="00BB29A9">
        <w:rPr>
          <w:rFonts w:ascii="Verdana" w:hAnsi="Verdana"/>
          <w:sz w:val="20"/>
          <w:szCs w:val="20"/>
        </w:rPr>
        <w:t xml:space="preserve"> capacitaría</w:t>
      </w:r>
      <w:r w:rsidR="00421107" w:rsidRPr="00BB29A9">
        <w:rPr>
          <w:rFonts w:ascii="Verdana" w:hAnsi="Verdana"/>
          <w:sz w:val="20"/>
          <w:szCs w:val="20"/>
        </w:rPr>
        <w:t xml:space="preserve">n a los miembros de las comunidades </w:t>
      </w:r>
      <w:r w:rsidR="00B435F3" w:rsidRPr="00BB29A9">
        <w:rPr>
          <w:rFonts w:ascii="Verdana" w:hAnsi="Verdana"/>
          <w:sz w:val="20"/>
          <w:szCs w:val="20"/>
        </w:rPr>
        <w:t>“</w:t>
      </w:r>
      <w:r w:rsidR="00421107" w:rsidRPr="00BB29A9">
        <w:rPr>
          <w:rFonts w:ascii="Verdana" w:hAnsi="Verdana"/>
          <w:sz w:val="20"/>
          <w:szCs w:val="20"/>
        </w:rPr>
        <w:t xml:space="preserve">para que </w:t>
      </w:r>
      <w:r w:rsidR="00B435F3" w:rsidRPr="00BB29A9">
        <w:rPr>
          <w:rFonts w:ascii="Verdana" w:hAnsi="Verdana"/>
          <w:sz w:val="20"/>
          <w:szCs w:val="20"/>
        </w:rPr>
        <w:t>los proyectos como los del agua</w:t>
      </w:r>
      <w:r w:rsidR="00421107" w:rsidRPr="00BB29A9">
        <w:rPr>
          <w:rFonts w:ascii="Verdana" w:hAnsi="Verdana"/>
          <w:sz w:val="20"/>
          <w:szCs w:val="20"/>
        </w:rPr>
        <w:t xml:space="preserve"> sea</w:t>
      </w:r>
      <w:r w:rsidR="00B435F3" w:rsidRPr="00BB29A9">
        <w:rPr>
          <w:rFonts w:ascii="Verdana" w:hAnsi="Verdana"/>
          <w:sz w:val="20"/>
          <w:szCs w:val="20"/>
        </w:rPr>
        <w:t>n</w:t>
      </w:r>
      <w:r w:rsidR="00421107" w:rsidRPr="00BB29A9">
        <w:rPr>
          <w:rFonts w:ascii="Verdana" w:hAnsi="Verdana"/>
          <w:sz w:val="20"/>
          <w:szCs w:val="20"/>
        </w:rPr>
        <w:t xml:space="preserve"> </w:t>
      </w:r>
      <w:r w:rsidR="00B06920" w:rsidRPr="00BB29A9">
        <w:rPr>
          <w:rFonts w:ascii="Verdana" w:hAnsi="Verdana"/>
          <w:sz w:val="20"/>
          <w:szCs w:val="20"/>
        </w:rPr>
        <w:t>auto</w:t>
      </w:r>
      <w:r w:rsidR="003672B3" w:rsidRPr="00BB29A9">
        <w:rPr>
          <w:rFonts w:ascii="Verdana" w:hAnsi="Verdana"/>
          <w:sz w:val="20"/>
          <w:szCs w:val="20"/>
        </w:rPr>
        <w:t>sostenido</w:t>
      </w:r>
      <w:r w:rsidR="00B435F3" w:rsidRPr="00BB29A9">
        <w:rPr>
          <w:rFonts w:ascii="Verdana" w:hAnsi="Verdana"/>
          <w:sz w:val="20"/>
          <w:szCs w:val="20"/>
        </w:rPr>
        <w:t>s”</w:t>
      </w:r>
      <w:r w:rsidR="003672B3" w:rsidRPr="00BB29A9">
        <w:rPr>
          <w:rFonts w:ascii="Verdana" w:hAnsi="Verdana"/>
          <w:sz w:val="20"/>
          <w:szCs w:val="20"/>
        </w:rPr>
        <w:t xml:space="preserve">. </w:t>
      </w:r>
      <w:r w:rsidR="002D4F20" w:rsidRPr="00BB29A9">
        <w:rPr>
          <w:rFonts w:ascii="Verdana" w:hAnsi="Verdana"/>
          <w:sz w:val="20"/>
          <w:szCs w:val="20"/>
        </w:rPr>
        <w:t>L</w:t>
      </w:r>
      <w:r w:rsidR="003672B3" w:rsidRPr="00BB29A9">
        <w:rPr>
          <w:rFonts w:ascii="Verdana" w:hAnsi="Verdana"/>
          <w:sz w:val="20"/>
          <w:szCs w:val="20"/>
        </w:rPr>
        <w:t>os representantes de las víctimas aclararon que</w:t>
      </w:r>
      <w:r w:rsidR="00630075" w:rsidRPr="00BB29A9">
        <w:rPr>
          <w:rFonts w:ascii="Verdana" w:hAnsi="Verdana"/>
          <w:sz w:val="20"/>
          <w:szCs w:val="20"/>
        </w:rPr>
        <w:t xml:space="preserve"> en</w:t>
      </w:r>
      <w:r w:rsidR="002D4F20" w:rsidRPr="00BB29A9">
        <w:rPr>
          <w:rFonts w:ascii="Verdana" w:hAnsi="Verdana"/>
          <w:sz w:val="20"/>
          <w:szCs w:val="20"/>
        </w:rPr>
        <w:t xml:space="preserve"> tal</w:t>
      </w:r>
      <w:r w:rsidR="00630075" w:rsidRPr="00BB29A9">
        <w:rPr>
          <w:rFonts w:ascii="Verdana" w:hAnsi="Verdana"/>
          <w:sz w:val="20"/>
          <w:szCs w:val="20"/>
        </w:rPr>
        <w:t xml:space="preserve"> reunión</w:t>
      </w:r>
      <w:r w:rsidR="003672B3" w:rsidRPr="00BB29A9">
        <w:rPr>
          <w:rFonts w:ascii="Verdana" w:hAnsi="Verdana"/>
          <w:sz w:val="20"/>
          <w:szCs w:val="20"/>
        </w:rPr>
        <w:t xml:space="preserve"> </w:t>
      </w:r>
      <w:r w:rsidR="00D20AEC" w:rsidRPr="00BB29A9">
        <w:rPr>
          <w:rFonts w:ascii="Verdana" w:hAnsi="Verdana"/>
          <w:sz w:val="20"/>
          <w:szCs w:val="20"/>
        </w:rPr>
        <w:t xml:space="preserve">no </w:t>
      </w:r>
      <w:r w:rsidR="004F47C1" w:rsidRPr="00BB29A9">
        <w:rPr>
          <w:rFonts w:ascii="Verdana" w:hAnsi="Verdana"/>
          <w:sz w:val="20"/>
          <w:szCs w:val="20"/>
        </w:rPr>
        <w:t xml:space="preserve">se abordó el tema referente </w:t>
      </w:r>
      <w:r w:rsidR="00D20AEC" w:rsidRPr="00BB29A9">
        <w:rPr>
          <w:rFonts w:ascii="Verdana" w:hAnsi="Verdana"/>
          <w:sz w:val="20"/>
          <w:szCs w:val="20"/>
        </w:rPr>
        <w:t>a</w:t>
      </w:r>
      <w:r w:rsidR="004F47C1" w:rsidRPr="00BB29A9">
        <w:rPr>
          <w:rFonts w:ascii="Verdana" w:hAnsi="Verdana"/>
          <w:sz w:val="20"/>
          <w:szCs w:val="20"/>
        </w:rPr>
        <w:t>l</w:t>
      </w:r>
      <w:r w:rsidR="003672B3" w:rsidRPr="00BB29A9">
        <w:rPr>
          <w:rFonts w:ascii="Verdana" w:hAnsi="Verdana"/>
          <w:sz w:val="20"/>
          <w:szCs w:val="20"/>
        </w:rPr>
        <w:t xml:space="preserve"> sistema de alcantarillado</w:t>
      </w:r>
      <w:r w:rsidR="004F47C1" w:rsidRPr="00BB29A9">
        <w:rPr>
          <w:rFonts w:ascii="Verdana" w:hAnsi="Verdana"/>
          <w:sz w:val="20"/>
          <w:szCs w:val="20"/>
        </w:rPr>
        <w:t xml:space="preserve">, y que los delegados del INFOM explicaron a los representantes de las comunidades </w:t>
      </w:r>
      <w:r w:rsidR="004F7102" w:rsidRPr="00BB29A9">
        <w:rPr>
          <w:rFonts w:ascii="Verdana" w:hAnsi="Verdana"/>
          <w:sz w:val="20"/>
          <w:szCs w:val="20"/>
        </w:rPr>
        <w:t>“cuál es el proceso que llevan a cabo en los proyectos de agua potable”</w:t>
      </w:r>
      <w:r w:rsidR="004F47C1" w:rsidRPr="00BB29A9">
        <w:rPr>
          <w:rFonts w:ascii="Verdana" w:hAnsi="Verdana"/>
          <w:sz w:val="20"/>
          <w:szCs w:val="20"/>
        </w:rPr>
        <w:t>, que debía haber</w:t>
      </w:r>
      <w:r w:rsidR="004F7102" w:rsidRPr="00BB29A9">
        <w:rPr>
          <w:rFonts w:ascii="Verdana" w:hAnsi="Verdana"/>
          <w:sz w:val="20"/>
          <w:szCs w:val="20"/>
        </w:rPr>
        <w:t xml:space="preserve"> un comité “que se encargue de administrar el agua cuando esté en funcionamiento el servicio”</w:t>
      </w:r>
      <w:r w:rsidR="005C60BF" w:rsidRPr="00BB29A9">
        <w:rPr>
          <w:rFonts w:ascii="Verdana" w:hAnsi="Verdana"/>
          <w:sz w:val="20"/>
          <w:szCs w:val="20"/>
        </w:rPr>
        <w:t>,</w:t>
      </w:r>
      <w:r w:rsidR="004F47C1" w:rsidRPr="00BB29A9">
        <w:rPr>
          <w:rFonts w:ascii="Verdana" w:hAnsi="Verdana"/>
          <w:sz w:val="20"/>
          <w:szCs w:val="20"/>
        </w:rPr>
        <w:t xml:space="preserve"> y que </w:t>
      </w:r>
      <w:r w:rsidR="00B06920" w:rsidRPr="00BB29A9">
        <w:rPr>
          <w:rFonts w:ascii="Verdana" w:hAnsi="Verdana"/>
          <w:sz w:val="20"/>
          <w:szCs w:val="20"/>
        </w:rPr>
        <w:t>se realizaría</w:t>
      </w:r>
      <w:r w:rsidR="004F47C1" w:rsidRPr="00BB29A9">
        <w:rPr>
          <w:rFonts w:ascii="Verdana" w:hAnsi="Verdana"/>
          <w:sz w:val="20"/>
          <w:szCs w:val="20"/>
        </w:rPr>
        <w:t xml:space="preserve"> un estudio</w:t>
      </w:r>
      <w:r w:rsidR="004F7102" w:rsidRPr="00BB29A9">
        <w:rPr>
          <w:rFonts w:ascii="Verdana" w:hAnsi="Verdana"/>
          <w:sz w:val="20"/>
          <w:szCs w:val="20"/>
        </w:rPr>
        <w:t xml:space="preserve"> de las fuentes de agua que tienen las comunidades para determinar si el caudal es suficiente</w:t>
      </w:r>
      <w:r w:rsidR="004F47C1" w:rsidRPr="00BB29A9">
        <w:rPr>
          <w:rFonts w:ascii="Verdana" w:hAnsi="Verdana"/>
          <w:sz w:val="20"/>
          <w:szCs w:val="20"/>
        </w:rPr>
        <w:t xml:space="preserve"> y </w:t>
      </w:r>
      <w:r w:rsidR="00B06920" w:rsidRPr="00BB29A9">
        <w:rPr>
          <w:rFonts w:ascii="Verdana" w:hAnsi="Verdana"/>
          <w:sz w:val="20"/>
          <w:szCs w:val="20"/>
        </w:rPr>
        <w:t xml:space="preserve">evaluar </w:t>
      </w:r>
      <w:r w:rsidR="004F47C1" w:rsidRPr="00BB29A9">
        <w:rPr>
          <w:rFonts w:ascii="Verdana" w:hAnsi="Verdana"/>
          <w:sz w:val="20"/>
          <w:szCs w:val="20"/>
        </w:rPr>
        <w:t xml:space="preserve">si </w:t>
      </w:r>
      <w:r w:rsidR="00B06920" w:rsidRPr="00BB29A9">
        <w:rPr>
          <w:rFonts w:ascii="Verdana" w:hAnsi="Verdana"/>
          <w:sz w:val="20"/>
          <w:szCs w:val="20"/>
        </w:rPr>
        <w:t>era</w:t>
      </w:r>
      <w:r w:rsidR="004F47C1" w:rsidRPr="00BB29A9">
        <w:rPr>
          <w:rFonts w:ascii="Verdana" w:hAnsi="Verdana"/>
          <w:sz w:val="20"/>
          <w:szCs w:val="20"/>
        </w:rPr>
        <w:t xml:space="preserve"> necesaria la construcción de un tanque de captación y una bomba mecánica. En seguimiento de ello, en julio de 2017 delegados del INFOM inspeccionaron el caudal, el cual consideraron suficiente para la comunidad e indicaron que volverían en la época seca para verificar el mismo caudal</w:t>
      </w:r>
      <w:r w:rsidR="004F47C1" w:rsidRPr="00BB29A9">
        <w:rPr>
          <w:rStyle w:val="Refdenotaalpie"/>
          <w:rFonts w:ascii="Verdana" w:hAnsi="Verdana"/>
          <w:sz w:val="20"/>
          <w:szCs w:val="20"/>
        </w:rPr>
        <w:footnoteReference w:id="52"/>
      </w:r>
      <w:r w:rsidR="004F47C1" w:rsidRPr="00BB29A9">
        <w:rPr>
          <w:rFonts w:ascii="Verdana" w:hAnsi="Verdana"/>
          <w:sz w:val="20"/>
          <w:szCs w:val="20"/>
        </w:rPr>
        <w:t xml:space="preserve">, </w:t>
      </w:r>
      <w:r w:rsidR="004E53B4">
        <w:rPr>
          <w:rFonts w:ascii="Verdana" w:hAnsi="Verdana"/>
          <w:sz w:val="20"/>
          <w:szCs w:val="20"/>
        </w:rPr>
        <w:t xml:space="preserve">pero esta Corte no cuenta con </w:t>
      </w:r>
      <w:r w:rsidR="004F47C1" w:rsidRPr="00BB29A9">
        <w:rPr>
          <w:rFonts w:ascii="Verdana" w:hAnsi="Verdana"/>
          <w:sz w:val="20"/>
          <w:szCs w:val="20"/>
        </w:rPr>
        <w:t>información</w:t>
      </w:r>
      <w:r w:rsidR="0061012D" w:rsidRPr="00BB29A9">
        <w:rPr>
          <w:rFonts w:ascii="Verdana" w:hAnsi="Verdana"/>
          <w:sz w:val="20"/>
          <w:szCs w:val="20"/>
        </w:rPr>
        <w:t xml:space="preserve"> al respecto</w:t>
      </w:r>
      <w:r w:rsidR="004F47C1" w:rsidRPr="00BB29A9">
        <w:rPr>
          <w:rFonts w:ascii="Verdana" w:hAnsi="Verdana"/>
          <w:sz w:val="20"/>
          <w:szCs w:val="20"/>
        </w:rPr>
        <w:t>.</w:t>
      </w:r>
      <w:r w:rsidR="00E93C6B">
        <w:rPr>
          <w:rFonts w:ascii="Verdana" w:hAnsi="Verdana"/>
          <w:sz w:val="20"/>
          <w:szCs w:val="20"/>
        </w:rPr>
        <w:t xml:space="preserve"> En el 2018, la Comisión Interamericana resaltó en sus observaciones la importancia de que el Estado presentara una planificación y cronograma para la ejecución de ese proyecto</w:t>
      </w:r>
      <w:r w:rsidR="00E93C6B" w:rsidRPr="00BB29A9">
        <w:rPr>
          <w:rStyle w:val="Refdenotaalpie"/>
          <w:rFonts w:ascii="Verdana" w:hAnsi="Verdana"/>
          <w:sz w:val="20"/>
          <w:szCs w:val="20"/>
        </w:rPr>
        <w:footnoteReference w:id="53"/>
      </w:r>
      <w:r w:rsidR="00E93C6B">
        <w:rPr>
          <w:rFonts w:ascii="Verdana" w:hAnsi="Verdana"/>
          <w:sz w:val="20"/>
          <w:szCs w:val="20"/>
        </w:rPr>
        <w:t>.</w:t>
      </w:r>
    </w:p>
    <w:p w14:paraId="1754E9A1" w14:textId="020C385E" w:rsidR="00F7261F" w:rsidRPr="00BB29A9" w:rsidRDefault="00D20AEC" w:rsidP="00A36E50">
      <w:pPr>
        <w:pStyle w:val="Prrafodelista"/>
        <w:numPr>
          <w:ilvl w:val="0"/>
          <w:numId w:val="14"/>
        </w:numPr>
        <w:spacing w:before="120" w:after="120" w:line="240" w:lineRule="auto"/>
        <w:ind w:left="0" w:firstLine="0"/>
        <w:contextualSpacing w:val="0"/>
        <w:jc w:val="both"/>
        <w:rPr>
          <w:rFonts w:ascii="Verdana" w:hAnsi="Verdana"/>
          <w:b/>
          <w:sz w:val="20"/>
          <w:szCs w:val="20"/>
        </w:rPr>
      </w:pPr>
      <w:r w:rsidRPr="00BB29A9">
        <w:rPr>
          <w:rFonts w:ascii="Verdana" w:hAnsi="Verdana"/>
          <w:sz w:val="20"/>
          <w:szCs w:val="20"/>
        </w:rPr>
        <w:t>E</w:t>
      </w:r>
      <w:r w:rsidR="00FE404C" w:rsidRPr="00BB29A9">
        <w:rPr>
          <w:rFonts w:ascii="Verdana" w:hAnsi="Verdana"/>
          <w:sz w:val="20"/>
          <w:szCs w:val="20"/>
        </w:rPr>
        <w:t>n el año 2020</w:t>
      </w:r>
      <w:r w:rsidR="0021501F" w:rsidRPr="00BB29A9">
        <w:rPr>
          <w:rFonts w:ascii="Verdana" w:hAnsi="Verdana"/>
          <w:sz w:val="20"/>
          <w:szCs w:val="20"/>
        </w:rPr>
        <w:t xml:space="preserve"> el Estado informó que </w:t>
      </w:r>
      <w:r w:rsidR="007F2C39" w:rsidRPr="00BB29A9">
        <w:rPr>
          <w:rFonts w:ascii="Verdana" w:hAnsi="Verdana"/>
          <w:sz w:val="20"/>
          <w:szCs w:val="20"/>
        </w:rPr>
        <w:t xml:space="preserve">la Municipalidad de Rabinal registró </w:t>
      </w:r>
      <w:r w:rsidR="0061012D" w:rsidRPr="00BB29A9">
        <w:rPr>
          <w:rFonts w:ascii="Verdana" w:hAnsi="Verdana"/>
          <w:sz w:val="20"/>
          <w:szCs w:val="20"/>
        </w:rPr>
        <w:t>dos</w:t>
      </w:r>
      <w:r w:rsidR="007F2C39" w:rsidRPr="00BB29A9">
        <w:rPr>
          <w:rFonts w:ascii="Verdana" w:hAnsi="Verdana"/>
          <w:sz w:val="20"/>
          <w:szCs w:val="20"/>
        </w:rPr>
        <w:t xml:space="preserve"> proyecto</w:t>
      </w:r>
      <w:r w:rsidR="0061012D" w:rsidRPr="00BB29A9">
        <w:rPr>
          <w:rFonts w:ascii="Verdana" w:hAnsi="Verdana"/>
          <w:sz w:val="20"/>
          <w:szCs w:val="20"/>
        </w:rPr>
        <w:t>s</w:t>
      </w:r>
      <w:r w:rsidR="007F2C39" w:rsidRPr="00BB29A9">
        <w:rPr>
          <w:rFonts w:ascii="Verdana" w:hAnsi="Verdana"/>
          <w:sz w:val="20"/>
          <w:szCs w:val="20"/>
        </w:rPr>
        <w:t xml:space="preserve"> </w:t>
      </w:r>
      <w:r w:rsidR="0061012D" w:rsidRPr="00BB29A9">
        <w:rPr>
          <w:rFonts w:ascii="Verdana" w:hAnsi="Verdana"/>
          <w:sz w:val="20"/>
          <w:szCs w:val="20"/>
        </w:rPr>
        <w:t>en el Sistema Nacional de Inversión Pública. Por un lado, el de</w:t>
      </w:r>
      <w:r w:rsidR="007F2C39" w:rsidRPr="00BB29A9">
        <w:rPr>
          <w:rFonts w:ascii="Verdana" w:hAnsi="Verdana"/>
          <w:sz w:val="20"/>
          <w:szCs w:val="20"/>
        </w:rPr>
        <w:t xml:space="preserve"> “Conservación, Mantenimiento y Mejoramiento del Sistema de Alcantarillado Sanitario y de Aguas Servidas, Rabinal, Baja Verapaz</w:t>
      </w:r>
      <w:r w:rsidR="0061012D" w:rsidRPr="00BB29A9">
        <w:rPr>
          <w:rFonts w:ascii="Verdana" w:hAnsi="Verdana"/>
          <w:sz w:val="20"/>
          <w:szCs w:val="20"/>
        </w:rPr>
        <w:t>”</w:t>
      </w:r>
      <w:r w:rsidR="007F2C39" w:rsidRPr="00BB29A9">
        <w:rPr>
          <w:rFonts w:ascii="Verdana" w:hAnsi="Verdana"/>
          <w:sz w:val="20"/>
          <w:szCs w:val="20"/>
        </w:rPr>
        <w:t>, con el objetivo de dar mantenimiento a toda la red existente del sistema de alcantarillado sanitario y de aguas</w:t>
      </w:r>
      <w:r w:rsidR="00F03526" w:rsidRPr="00BB29A9">
        <w:rPr>
          <w:rFonts w:ascii="Verdana" w:hAnsi="Verdana"/>
          <w:sz w:val="20"/>
          <w:szCs w:val="20"/>
        </w:rPr>
        <w:t>, y</w:t>
      </w:r>
      <w:r w:rsidR="0021501F" w:rsidRPr="00BB29A9">
        <w:rPr>
          <w:rFonts w:ascii="Verdana" w:hAnsi="Verdana"/>
          <w:sz w:val="20"/>
          <w:szCs w:val="20"/>
        </w:rPr>
        <w:t xml:space="preserve"> que</w:t>
      </w:r>
      <w:r w:rsidR="007F2C39" w:rsidRPr="00BB29A9">
        <w:rPr>
          <w:rFonts w:ascii="Verdana" w:hAnsi="Verdana"/>
          <w:sz w:val="20"/>
          <w:szCs w:val="20"/>
        </w:rPr>
        <w:t xml:space="preserve"> se cuente con infraestructura adecuada y en funcionamiento. </w:t>
      </w:r>
      <w:r w:rsidR="0061012D" w:rsidRPr="00BB29A9">
        <w:rPr>
          <w:rFonts w:ascii="Verdana" w:hAnsi="Verdana"/>
          <w:sz w:val="20"/>
          <w:szCs w:val="20"/>
        </w:rPr>
        <w:t xml:space="preserve">Por otro lado, el de </w:t>
      </w:r>
      <w:r w:rsidR="00B46B93" w:rsidRPr="00BB29A9">
        <w:rPr>
          <w:rFonts w:ascii="Verdana" w:hAnsi="Verdana"/>
          <w:sz w:val="20"/>
          <w:szCs w:val="20"/>
        </w:rPr>
        <w:t>“Subsidio para la Conservación, Mantenimiento y Operación de los Sistemas de Agua Potable de las Comunidades Rurales, Rabinal, Baja Verapaz”, con el objetivo de dar a</w:t>
      </w:r>
      <w:r w:rsidR="00F03526" w:rsidRPr="00BB29A9">
        <w:rPr>
          <w:rFonts w:ascii="Verdana" w:hAnsi="Verdana"/>
          <w:sz w:val="20"/>
          <w:szCs w:val="20"/>
        </w:rPr>
        <w:t>portes en especie o financieros</w:t>
      </w:r>
      <w:r w:rsidR="00B46B93" w:rsidRPr="00BB29A9">
        <w:rPr>
          <w:rFonts w:ascii="Verdana" w:hAnsi="Verdana"/>
          <w:sz w:val="20"/>
          <w:szCs w:val="20"/>
        </w:rPr>
        <w:t xml:space="preserve"> para conservar</w:t>
      </w:r>
      <w:r w:rsidRPr="00BB29A9">
        <w:rPr>
          <w:rFonts w:ascii="Verdana" w:hAnsi="Verdana"/>
          <w:sz w:val="20"/>
          <w:szCs w:val="20"/>
        </w:rPr>
        <w:t xml:space="preserve"> y</w:t>
      </w:r>
      <w:r w:rsidR="0061012D" w:rsidRPr="00BB29A9">
        <w:rPr>
          <w:rFonts w:ascii="Verdana" w:hAnsi="Verdana"/>
          <w:sz w:val="20"/>
          <w:szCs w:val="20"/>
        </w:rPr>
        <w:t xml:space="preserve"> </w:t>
      </w:r>
      <w:r w:rsidR="00B46B93" w:rsidRPr="00BB29A9">
        <w:rPr>
          <w:rFonts w:ascii="Verdana" w:hAnsi="Verdana"/>
          <w:sz w:val="20"/>
          <w:szCs w:val="20"/>
        </w:rPr>
        <w:t>dar mantenimiento a los sistemas de agua potable</w:t>
      </w:r>
      <w:r w:rsidRPr="00BB29A9">
        <w:rPr>
          <w:rFonts w:ascii="Verdana" w:hAnsi="Verdana"/>
          <w:sz w:val="20"/>
          <w:szCs w:val="20"/>
        </w:rPr>
        <w:t>,</w:t>
      </w:r>
      <w:r w:rsidR="00B46B93" w:rsidRPr="00BB29A9">
        <w:rPr>
          <w:rFonts w:ascii="Verdana" w:hAnsi="Verdana"/>
          <w:sz w:val="20"/>
          <w:szCs w:val="20"/>
        </w:rPr>
        <w:t xml:space="preserve"> y garantizar el acceso al vital líquido para las comunidades del área rural de Rabinal</w:t>
      </w:r>
      <w:r w:rsidR="00F03526" w:rsidRPr="00BB29A9">
        <w:rPr>
          <w:rStyle w:val="Refdenotaalpie"/>
          <w:rFonts w:ascii="Verdana" w:hAnsi="Verdana"/>
          <w:sz w:val="20"/>
          <w:szCs w:val="20"/>
        </w:rPr>
        <w:footnoteReference w:id="54"/>
      </w:r>
      <w:r w:rsidR="008F67E6">
        <w:rPr>
          <w:rFonts w:ascii="Verdana" w:hAnsi="Verdana"/>
          <w:sz w:val="20"/>
          <w:szCs w:val="20"/>
        </w:rPr>
        <w:t>.</w:t>
      </w:r>
    </w:p>
    <w:p w14:paraId="2F93719F" w14:textId="418673F9" w:rsidR="002D4F20" w:rsidRPr="00BB29A9" w:rsidRDefault="00E93C6B" w:rsidP="003672B3">
      <w:pPr>
        <w:pStyle w:val="Prrafodelista"/>
        <w:numPr>
          <w:ilvl w:val="0"/>
          <w:numId w:val="14"/>
        </w:numPr>
        <w:spacing w:before="120" w:after="120" w:line="240" w:lineRule="auto"/>
        <w:ind w:left="0" w:firstLine="0"/>
        <w:contextualSpacing w:val="0"/>
        <w:jc w:val="both"/>
        <w:rPr>
          <w:rFonts w:ascii="Verdana" w:hAnsi="Verdana"/>
          <w:b/>
          <w:sz w:val="20"/>
          <w:szCs w:val="20"/>
        </w:rPr>
      </w:pPr>
      <w:r>
        <w:rPr>
          <w:rFonts w:ascii="Verdana" w:hAnsi="Verdana"/>
          <w:sz w:val="20"/>
          <w:szCs w:val="20"/>
        </w:rPr>
        <w:t>Sin embargo, el Tribunal resalta la importancia de atender las problemáticas hechas notar e</w:t>
      </w:r>
      <w:r w:rsidR="00D20AEC" w:rsidRPr="00BB29A9">
        <w:rPr>
          <w:rFonts w:ascii="Verdana" w:hAnsi="Verdana"/>
          <w:sz w:val="20"/>
          <w:szCs w:val="20"/>
        </w:rPr>
        <w:t>n el año 2021</w:t>
      </w:r>
      <w:r>
        <w:rPr>
          <w:rFonts w:ascii="Verdana" w:hAnsi="Verdana"/>
          <w:sz w:val="20"/>
          <w:szCs w:val="20"/>
        </w:rPr>
        <w:t xml:space="preserve"> por</w:t>
      </w:r>
      <w:r w:rsidR="00D20AEC" w:rsidRPr="00BB29A9">
        <w:rPr>
          <w:rFonts w:ascii="Verdana" w:hAnsi="Verdana"/>
          <w:sz w:val="20"/>
          <w:szCs w:val="20"/>
        </w:rPr>
        <w:t xml:space="preserve"> los representantes</w:t>
      </w:r>
      <w:r>
        <w:rPr>
          <w:rFonts w:ascii="Verdana" w:hAnsi="Verdana"/>
          <w:sz w:val="20"/>
          <w:szCs w:val="20"/>
        </w:rPr>
        <w:t>, cuando</w:t>
      </w:r>
      <w:r w:rsidR="00D20AEC" w:rsidRPr="00BB29A9">
        <w:rPr>
          <w:rFonts w:ascii="Verdana" w:hAnsi="Verdana"/>
          <w:sz w:val="20"/>
          <w:szCs w:val="20"/>
        </w:rPr>
        <w:t xml:space="preserve"> señalaron que</w:t>
      </w:r>
      <w:r>
        <w:rPr>
          <w:rFonts w:ascii="Verdana" w:hAnsi="Verdana"/>
          <w:sz w:val="20"/>
          <w:szCs w:val="20"/>
        </w:rPr>
        <w:t>:</w:t>
      </w:r>
      <w:r w:rsidR="00D20AEC" w:rsidRPr="00BB29A9">
        <w:rPr>
          <w:rFonts w:ascii="Verdana" w:hAnsi="Verdana"/>
          <w:sz w:val="20"/>
          <w:szCs w:val="20"/>
        </w:rPr>
        <w:t xml:space="preserve"> la comunidad Plan de Sánchez necesita apoyo para “la tramitación del derecho de paso para la toma y distribución de agua potable a los habitantes de la comunidad”; la comunidad Joya de Ramos “cuenta con terreno y agua, sin embargo, necesitan apoyo </w:t>
      </w:r>
      <w:r w:rsidR="00D20AEC" w:rsidRPr="00BB29A9">
        <w:rPr>
          <w:rFonts w:ascii="Verdana" w:hAnsi="Verdana"/>
          <w:sz w:val="20"/>
          <w:szCs w:val="20"/>
        </w:rPr>
        <w:lastRenderedPageBreak/>
        <w:t xml:space="preserve">de la municipalidad para la captación y distribución a los habitantes de dicha comunidad”; las comunidades de </w:t>
      </w:r>
      <w:proofErr w:type="spellStart"/>
      <w:r w:rsidR="00D20AEC" w:rsidRPr="00BB29A9">
        <w:rPr>
          <w:rFonts w:ascii="Verdana" w:hAnsi="Verdana"/>
          <w:sz w:val="20"/>
          <w:szCs w:val="20"/>
        </w:rPr>
        <w:t>Concul</w:t>
      </w:r>
      <w:proofErr w:type="spellEnd"/>
      <w:r w:rsidR="00D20AEC" w:rsidRPr="00BB29A9">
        <w:rPr>
          <w:rFonts w:ascii="Verdana" w:hAnsi="Verdana"/>
          <w:sz w:val="20"/>
          <w:szCs w:val="20"/>
        </w:rPr>
        <w:t xml:space="preserve">, Ixchel y </w:t>
      </w:r>
      <w:proofErr w:type="spellStart"/>
      <w:r w:rsidR="00D20AEC" w:rsidRPr="00BB29A9">
        <w:rPr>
          <w:rFonts w:ascii="Verdana" w:hAnsi="Verdana"/>
          <w:sz w:val="20"/>
          <w:szCs w:val="20"/>
        </w:rPr>
        <w:t>Chipuerta</w:t>
      </w:r>
      <w:proofErr w:type="spellEnd"/>
      <w:r w:rsidR="00D20AEC" w:rsidRPr="00BB29A9">
        <w:rPr>
          <w:rFonts w:ascii="Verdana" w:hAnsi="Verdana"/>
          <w:sz w:val="20"/>
          <w:szCs w:val="20"/>
        </w:rPr>
        <w:t xml:space="preserve"> “no cuentan con ninguna posibilidad de captación y distribución de agua potable a las familias”, en específico, </w:t>
      </w:r>
      <w:proofErr w:type="spellStart"/>
      <w:r w:rsidR="00D20AEC" w:rsidRPr="00BB29A9">
        <w:rPr>
          <w:rFonts w:ascii="Verdana" w:hAnsi="Verdana"/>
          <w:sz w:val="20"/>
          <w:szCs w:val="20"/>
        </w:rPr>
        <w:t>Chipuerta</w:t>
      </w:r>
      <w:proofErr w:type="spellEnd"/>
      <w:r w:rsidR="00D20AEC" w:rsidRPr="00BB29A9">
        <w:rPr>
          <w:rFonts w:ascii="Verdana" w:hAnsi="Verdana"/>
          <w:sz w:val="20"/>
          <w:szCs w:val="20"/>
        </w:rPr>
        <w:t xml:space="preserve"> no cuentan con agua potable, sino que “[s]</w:t>
      </w:r>
      <w:proofErr w:type="spellStart"/>
      <w:r w:rsidR="00D20AEC" w:rsidRPr="00BB29A9">
        <w:rPr>
          <w:rFonts w:ascii="Verdana" w:hAnsi="Verdana"/>
          <w:sz w:val="20"/>
          <w:szCs w:val="20"/>
        </w:rPr>
        <w:t>obreviven</w:t>
      </w:r>
      <w:proofErr w:type="spellEnd"/>
      <w:r w:rsidR="00D20AEC" w:rsidRPr="00BB29A9">
        <w:rPr>
          <w:rFonts w:ascii="Verdana" w:hAnsi="Verdana"/>
          <w:sz w:val="20"/>
          <w:szCs w:val="20"/>
        </w:rPr>
        <w:t xml:space="preserve"> de captación de agua de las ‘quebradas’, sin [que] sea potable”</w:t>
      </w:r>
      <w:r w:rsidR="00D20AEC" w:rsidRPr="00BB29A9">
        <w:rPr>
          <w:rStyle w:val="Refdenotaalpie"/>
          <w:rFonts w:ascii="Verdana" w:hAnsi="Verdana"/>
          <w:sz w:val="20"/>
          <w:szCs w:val="20"/>
        </w:rPr>
        <w:footnoteReference w:id="55"/>
      </w:r>
      <w:r w:rsidR="00D20AEC" w:rsidRPr="00BB29A9">
        <w:rPr>
          <w:rFonts w:ascii="Verdana" w:hAnsi="Verdana"/>
          <w:sz w:val="20"/>
          <w:szCs w:val="20"/>
        </w:rPr>
        <w:t>.</w:t>
      </w:r>
    </w:p>
    <w:p w14:paraId="467ABA14" w14:textId="20B4E252" w:rsidR="00883308" w:rsidRPr="00BB29A9" w:rsidRDefault="00391A45" w:rsidP="00883308">
      <w:pPr>
        <w:pStyle w:val="Prrafodelista"/>
        <w:numPr>
          <w:ilvl w:val="0"/>
          <w:numId w:val="14"/>
        </w:numPr>
        <w:spacing w:before="120" w:after="120" w:line="240" w:lineRule="auto"/>
        <w:ind w:left="0" w:firstLine="0"/>
        <w:contextualSpacing w:val="0"/>
        <w:jc w:val="both"/>
        <w:rPr>
          <w:rFonts w:ascii="Verdana" w:hAnsi="Verdana"/>
          <w:b/>
          <w:sz w:val="20"/>
          <w:szCs w:val="20"/>
        </w:rPr>
      </w:pPr>
      <w:r w:rsidRPr="00BB29A9">
        <w:rPr>
          <w:rFonts w:ascii="Verdana" w:hAnsi="Verdana"/>
          <w:sz w:val="20"/>
          <w:szCs w:val="20"/>
        </w:rPr>
        <w:t>L</w:t>
      </w:r>
      <w:r w:rsidR="00066359" w:rsidRPr="00BB29A9">
        <w:rPr>
          <w:rFonts w:ascii="Verdana" w:hAnsi="Verdana"/>
          <w:sz w:val="20"/>
          <w:szCs w:val="20"/>
        </w:rPr>
        <w:t>a Corte valora</w:t>
      </w:r>
      <w:r w:rsidRPr="00BB29A9">
        <w:rPr>
          <w:rFonts w:ascii="Verdana" w:hAnsi="Verdana"/>
          <w:sz w:val="20"/>
          <w:szCs w:val="20"/>
        </w:rPr>
        <w:t xml:space="preserve"> positivamente</w:t>
      </w:r>
      <w:r w:rsidR="00066359" w:rsidRPr="00BB29A9">
        <w:rPr>
          <w:rFonts w:ascii="Verdana" w:hAnsi="Verdana"/>
          <w:sz w:val="20"/>
          <w:szCs w:val="20"/>
        </w:rPr>
        <w:t xml:space="preserve"> que las partes hayan iniciado coordinaciones a nivel interno respecto a</w:t>
      </w:r>
      <w:r w:rsidRPr="00BB29A9">
        <w:rPr>
          <w:rFonts w:ascii="Verdana" w:hAnsi="Verdana"/>
          <w:sz w:val="20"/>
          <w:szCs w:val="20"/>
        </w:rPr>
        <w:t xml:space="preserve"> </w:t>
      </w:r>
      <w:r w:rsidR="00066359" w:rsidRPr="00BB29A9">
        <w:rPr>
          <w:rFonts w:ascii="Verdana" w:hAnsi="Verdana"/>
          <w:sz w:val="20"/>
          <w:szCs w:val="20"/>
        </w:rPr>
        <w:t>l</w:t>
      </w:r>
      <w:r w:rsidRPr="00BB29A9">
        <w:rPr>
          <w:rFonts w:ascii="Verdana" w:hAnsi="Verdana"/>
          <w:sz w:val="20"/>
          <w:szCs w:val="20"/>
        </w:rPr>
        <w:t>a ejecución del</w:t>
      </w:r>
      <w:r w:rsidR="00066359" w:rsidRPr="00BB29A9">
        <w:rPr>
          <w:rFonts w:ascii="Verdana" w:hAnsi="Verdana"/>
          <w:sz w:val="20"/>
          <w:szCs w:val="20"/>
        </w:rPr>
        <w:t xml:space="preserve"> proyecto de suministro de agua potable en las comunidades, así como que la Municipalidad de Rabinal tenga registrados dos proyectos en el Sistema Nacional de Inversión Pública relativos a</w:t>
      </w:r>
      <w:r w:rsidRPr="00BB29A9">
        <w:rPr>
          <w:rFonts w:ascii="Verdana" w:hAnsi="Verdana"/>
          <w:sz w:val="20"/>
          <w:szCs w:val="20"/>
        </w:rPr>
        <w:t xml:space="preserve"> lo dispuesto en</w:t>
      </w:r>
      <w:r w:rsidR="00066359" w:rsidRPr="00BB29A9">
        <w:rPr>
          <w:rFonts w:ascii="Verdana" w:hAnsi="Verdana"/>
          <w:sz w:val="20"/>
          <w:szCs w:val="20"/>
        </w:rPr>
        <w:t xml:space="preserve"> esta medida de reparación</w:t>
      </w:r>
      <w:r w:rsidRPr="00BB29A9">
        <w:rPr>
          <w:rFonts w:ascii="Verdana" w:hAnsi="Verdana"/>
          <w:sz w:val="20"/>
          <w:szCs w:val="20"/>
        </w:rPr>
        <w:t xml:space="preserve"> (</w:t>
      </w:r>
      <w:r w:rsidRPr="00BB29A9">
        <w:rPr>
          <w:rFonts w:ascii="Verdana" w:hAnsi="Verdana"/>
          <w:i/>
          <w:sz w:val="20"/>
          <w:szCs w:val="20"/>
        </w:rPr>
        <w:t xml:space="preserve">supra </w:t>
      </w:r>
      <w:r w:rsidRPr="00BB29A9">
        <w:rPr>
          <w:rFonts w:ascii="Verdana" w:hAnsi="Verdana"/>
          <w:sz w:val="20"/>
          <w:szCs w:val="20"/>
        </w:rPr>
        <w:t xml:space="preserve">Considerando </w:t>
      </w:r>
      <w:r w:rsidR="00B76AF5">
        <w:rPr>
          <w:rFonts w:ascii="Verdana" w:hAnsi="Verdana"/>
          <w:sz w:val="20"/>
          <w:szCs w:val="20"/>
        </w:rPr>
        <w:t>45</w:t>
      </w:r>
      <w:r w:rsidRPr="00BB29A9">
        <w:rPr>
          <w:rFonts w:ascii="Verdana" w:hAnsi="Verdana"/>
          <w:sz w:val="20"/>
          <w:szCs w:val="20"/>
        </w:rPr>
        <w:t>)</w:t>
      </w:r>
      <w:r w:rsidR="00066359" w:rsidRPr="00BB29A9">
        <w:rPr>
          <w:rFonts w:ascii="Verdana" w:hAnsi="Verdana"/>
          <w:sz w:val="20"/>
          <w:szCs w:val="20"/>
        </w:rPr>
        <w:t>.</w:t>
      </w:r>
      <w:r w:rsidRPr="00BB29A9">
        <w:rPr>
          <w:rFonts w:ascii="Verdana" w:hAnsi="Verdana"/>
          <w:sz w:val="20"/>
          <w:szCs w:val="20"/>
        </w:rPr>
        <w:t xml:space="preserve"> </w:t>
      </w:r>
      <w:r w:rsidR="00883308" w:rsidRPr="00BB29A9">
        <w:rPr>
          <w:rFonts w:ascii="Verdana" w:hAnsi="Verdana"/>
          <w:sz w:val="20"/>
          <w:szCs w:val="20"/>
        </w:rPr>
        <w:t>Al respecto, la Corte debe enfatizar que el derecho humano al agua es indispensable para vivir dignamente y es condición previa para la realización de otros derechos humanos. Toda persona tiene derecho a disponer de agua suficiente, salubre, aceptable, accesible y asequible para el uso personal y</w:t>
      </w:r>
      <w:r w:rsidR="00883308" w:rsidRPr="00BB29A9">
        <w:rPr>
          <w:rFonts w:ascii="Verdana" w:hAnsi="Verdana"/>
          <w:b/>
          <w:sz w:val="20"/>
          <w:szCs w:val="20"/>
        </w:rPr>
        <w:t xml:space="preserve"> </w:t>
      </w:r>
      <w:r w:rsidR="00883308" w:rsidRPr="00BB29A9">
        <w:rPr>
          <w:rFonts w:ascii="Verdana" w:hAnsi="Verdana"/>
          <w:sz w:val="20"/>
          <w:szCs w:val="20"/>
        </w:rPr>
        <w:t>doméstico</w:t>
      </w:r>
      <w:r w:rsidR="00883308" w:rsidRPr="00BB29A9">
        <w:rPr>
          <w:rStyle w:val="Refdenotaalpie"/>
          <w:rFonts w:ascii="Verdana" w:hAnsi="Verdana"/>
          <w:sz w:val="20"/>
          <w:szCs w:val="20"/>
        </w:rPr>
        <w:footnoteReference w:id="56"/>
      </w:r>
      <w:r w:rsidR="00883308" w:rsidRPr="00BB29A9">
        <w:rPr>
          <w:rFonts w:ascii="Verdana" w:hAnsi="Verdana"/>
          <w:sz w:val="20"/>
          <w:szCs w:val="20"/>
        </w:rPr>
        <w:t>.</w:t>
      </w:r>
    </w:p>
    <w:p w14:paraId="6D415885" w14:textId="5B18464E" w:rsidR="00066359" w:rsidRPr="00BB29A9" w:rsidRDefault="00D51BA0" w:rsidP="00883308">
      <w:pPr>
        <w:pStyle w:val="Prrafodelista"/>
        <w:numPr>
          <w:ilvl w:val="0"/>
          <w:numId w:val="14"/>
        </w:numPr>
        <w:spacing w:before="120" w:after="120" w:line="240" w:lineRule="auto"/>
        <w:ind w:left="0" w:firstLine="0"/>
        <w:contextualSpacing w:val="0"/>
        <w:jc w:val="both"/>
        <w:rPr>
          <w:rFonts w:ascii="Verdana" w:hAnsi="Verdana"/>
          <w:b/>
          <w:sz w:val="20"/>
          <w:szCs w:val="20"/>
        </w:rPr>
      </w:pPr>
      <w:r>
        <w:rPr>
          <w:rFonts w:ascii="Verdana" w:hAnsi="Verdana"/>
          <w:sz w:val="20"/>
          <w:szCs w:val="20"/>
        </w:rPr>
        <w:t>Sin perjuicio de lo anterior</w:t>
      </w:r>
      <w:r w:rsidR="00391A45" w:rsidRPr="00BB29A9">
        <w:rPr>
          <w:rFonts w:ascii="Verdana" w:hAnsi="Verdana"/>
          <w:sz w:val="20"/>
          <w:szCs w:val="20"/>
        </w:rPr>
        <w:t xml:space="preserve">, este Tribunal advierte con preocupación que el Estado no </w:t>
      </w:r>
      <w:r w:rsidR="001678D8" w:rsidRPr="00BB29A9">
        <w:rPr>
          <w:rFonts w:ascii="Verdana" w:hAnsi="Verdana"/>
          <w:sz w:val="20"/>
          <w:szCs w:val="20"/>
        </w:rPr>
        <w:t>presentó</w:t>
      </w:r>
      <w:r w:rsidR="00391A45" w:rsidRPr="00BB29A9">
        <w:rPr>
          <w:rFonts w:ascii="Verdana" w:hAnsi="Verdana"/>
          <w:sz w:val="20"/>
          <w:szCs w:val="20"/>
        </w:rPr>
        <w:t xml:space="preserve"> información sobre las medidas que estaría tomando para implementar el </w:t>
      </w:r>
      <w:r w:rsidR="001678D8" w:rsidRPr="00BB29A9">
        <w:rPr>
          <w:rFonts w:ascii="Verdana" w:hAnsi="Verdana"/>
          <w:sz w:val="20"/>
          <w:szCs w:val="20"/>
        </w:rPr>
        <w:t>sistema</w:t>
      </w:r>
      <w:r w:rsidR="00391A45" w:rsidRPr="00BB29A9">
        <w:rPr>
          <w:rFonts w:ascii="Verdana" w:hAnsi="Verdana"/>
          <w:sz w:val="20"/>
          <w:szCs w:val="20"/>
        </w:rPr>
        <w:t xml:space="preserve"> de alcantarillado que debe </w:t>
      </w:r>
      <w:r w:rsidR="001678D8" w:rsidRPr="00BB29A9">
        <w:rPr>
          <w:rFonts w:ascii="Verdana" w:hAnsi="Verdana"/>
          <w:sz w:val="20"/>
          <w:szCs w:val="20"/>
        </w:rPr>
        <w:t>desarrollar</w:t>
      </w:r>
      <w:r w:rsidR="00391A45" w:rsidRPr="00BB29A9">
        <w:rPr>
          <w:rFonts w:ascii="Verdana" w:hAnsi="Verdana"/>
          <w:sz w:val="20"/>
          <w:szCs w:val="20"/>
        </w:rPr>
        <w:t xml:space="preserve">, y que tampoco se </w:t>
      </w:r>
      <w:r w:rsidR="001678D8" w:rsidRPr="00BB29A9">
        <w:rPr>
          <w:rFonts w:ascii="Verdana" w:hAnsi="Verdana"/>
          <w:sz w:val="20"/>
          <w:szCs w:val="20"/>
        </w:rPr>
        <w:t>refirió</w:t>
      </w:r>
      <w:r w:rsidR="00391A45" w:rsidRPr="00BB29A9">
        <w:rPr>
          <w:rFonts w:ascii="Verdana" w:hAnsi="Verdana"/>
          <w:sz w:val="20"/>
          <w:szCs w:val="20"/>
        </w:rPr>
        <w:t xml:space="preserve"> a los puntos mencionados en la Resolución de 25 de mayo de 2017, tales como si en tiempos de lluvias se llegan a inundar fácilmente las viviendas o las calles, el manejo de las aguas residuales domésticas y el tratamiento de aguas del establecimiento educativo de la Aldea (</w:t>
      </w:r>
      <w:r w:rsidR="00391A45" w:rsidRPr="00BB29A9">
        <w:rPr>
          <w:rFonts w:ascii="Verdana" w:hAnsi="Verdana"/>
          <w:i/>
          <w:sz w:val="20"/>
          <w:szCs w:val="20"/>
        </w:rPr>
        <w:t xml:space="preserve">supra </w:t>
      </w:r>
      <w:r w:rsidR="00391A45" w:rsidRPr="00BB29A9">
        <w:rPr>
          <w:rFonts w:ascii="Verdana" w:hAnsi="Verdana"/>
          <w:sz w:val="20"/>
          <w:szCs w:val="20"/>
        </w:rPr>
        <w:t xml:space="preserve">Considerando </w:t>
      </w:r>
      <w:r w:rsidR="00B76AF5">
        <w:rPr>
          <w:rFonts w:ascii="Verdana" w:hAnsi="Verdana"/>
          <w:sz w:val="20"/>
          <w:szCs w:val="20"/>
        </w:rPr>
        <w:t>43</w:t>
      </w:r>
      <w:r w:rsidR="00391A45" w:rsidRPr="00BB29A9">
        <w:rPr>
          <w:rFonts w:ascii="Verdana" w:hAnsi="Verdana"/>
          <w:sz w:val="20"/>
          <w:szCs w:val="20"/>
        </w:rPr>
        <w:t>).</w:t>
      </w:r>
    </w:p>
    <w:p w14:paraId="7EEDDC8D" w14:textId="5F254A84" w:rsidR="003B3879" w:rsidRPr="00BB29A9" w:rsidRDefault="003B3879" w:rsidP="003B3879">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En razón de todo lo anterior, la Corte considera que se encuentra pendiente de cumplimiento la medida de reparación ordenada en el punto resolutivo </w:t>
      </w:r>
      <w:r w:rsidRPr="00BB29A9">
        <w:rPr>
          <w:rFonts w:ascii="Verdana" w:hAnsi="Verdana"/>
          <w:sz w:val="20"/>
          <w:szCs w:val="20"/>
          <w:lang w:val="es-ES"/>
        </w:rPr>
        <w:t xml:space="preserve">noveno, literal c) de la Sentencia, relativa a </w:t>
      </w:r>
      <w:r w:rsidRPr="00BB29A9">
        <w:rPr>
          <w:rFonts w:ascii="Verdana" w:hAnsi="Verdana"/>
          <w:sz w:val="20"/>
          <w:szCs w:val="20"/>
        </w:rPr>
        <w:t>desarrollar en las comunidades un sistema de alcantarillado y suministro de agua potable. Por lo tanto, requiere al Estado que presente información actualizada y detallada sobre la adopción de medidas específicamente destinadas al cumplimiento de la medida de reparación</w:t>
      </w:r>
      <w:r w:rsidR="00391A45" w:rsidRPr="00BB29A9">
        <w:rPr>
          <w:rFonts w:ascii="Verdana" w:hAnsi="Verdana"/>
          <w:sz w:val="20"/>
          <w:szCs w:val="20"/>
        </w:rPr>
        <w:t>, y que se refiera a los indicado por los rep</w:t>
      </w:r>
      <w:r w:rsidR="00F8451A">
        <w:rPr>
          <w:rFonts w:ascii="Verdana" w:hAnsi="Verdana"/>
          <w:sz w:val="20"/>
          <w:szCs w:val="20"/>
        </w:rPr>
        <w:t>r</w:t>
      </w:r>
      <w:r w:rsidR="00B76AF5">
        <w:rPr>
          <w:rFonts w:ascii="Verdana" w:hAnsi="Verdana"/>
          <w:sz w:val="20"/>
          <w:szCs w:val="20"/>
        </w:rPr>
        <w:t>esentantes en el Considerando 46</w:t>
      </w:r>
      <w:r w:rsidR="00391A45" w:rsidRPr="00BB29A9">
        <w:rPr>
          <w:rFonts w:ascii="Verdana" w:hAnsi="Verdana"/>
          <w:sz w:val="20"/>
          <w:szCs w:val="20"/>
        </w:rPr>
        <w:t xml:space="preserve"> de esta Resolución</w:t>
      </w:r>
      <w:r w:rsidRPr="00BB29A9">
        <w:rPr>
          <w:rFonts w:ascii="Verdana" w:hAnsi="Verdana"/>
          <w:sz w:val="20"/>
          <w:szCs w:val="20"/>
        </w:rPr>
        <w:t>.</w:t>
      </w:r>
    </w:p>
    <w:p w14:paraId="0632FF58" w14:textId="77777777" w:rsidR="00890922" w:rsidRPr="00BB29A9" w:rsidRDefault="00890922" w:rsidP="00447043">
      <w:pPr>
        <w:pStyle w:val="Ttulo2"/>
        <w:numPr>
          <w:ilvl w:val="2"/>
          <w:numId w:val="11"/>
        </w:numPr>
        <w:ind w:left="851" w:hanging="284"/>
        <w:jc w:val="both"/>
        <w:rPr>
          <w:rFonts w:ascii="Verdana" w:hAnsi="Verdana"/>
          <w:i/>
          <w:color w:val="auto"/>
          <w:sz w:val="20"/>
          <w:szCs w:val="20"/>
        </w:rPr>
      </w:pPr>
      <w:bookmarkStart w:id="13" w:name="_Toc67523775"/>
      <w:r w:rsidRPr="00BB29A9">
        <w:rPr>
          <w:rFonts w:ascii="Verdana" w:hAnsi="Verdana"/>
          <w:b/>
          <w:color w:val="auto"/>
          <w:sz w:val="20"/>
          <w:szCs w:val="20"/>
        </w:rPr>
        <w:t>Dotar de personal docente capacitado en ens</w:t>
      </w:r>
      <w:r w:rsidR="00C603E3" w:rsidRPr="00BB29A9">
        <w:rPr>
          <w:rFonts w:ascii="Verdana" w:hAnsi="Verdana"/>
          <w:b/>
          <w:color w:val="auto"/>
          <w:sz w:val="20"/>
          <w:szCs w:val="20"/>
        </w:rPr>
        <w:t>eñanza intercultural y bilingüe</w:t>
      </w:r>
      <w:bookmarkEnd w:id="13"/>
    </w:p>
    <w:p w14:paraId="49F43FA3" w14:textId="7C15C45C" w:rsidR="00F8451A" w:rsidRPr="00F8451A" w:rsidRDefault="00F8451A" w:rsidP="00F8451A">
      <w:pPr>
        <w:spacing w:before="120" w:after="120" w:line="240" w:lineRule="auto"/>
        <w:ind w:firstLine="567"/>
        <w:jc w:val="both"/>
        <w:rPr>
          <w:rFonts w:ascii="Verdana" w:hAnsi="Verdana"/>
          <w:sz w:val="20"/>
          <w:szCs w:val="20"/>
        </w:rPr>
      </w:pPr>
      <w:r w:rsidRPr="00F8451A">
        <w:rPr>
          <w:rFonts w:ascii="Verdana" w:hAnsi="Verdana"/>
          <w:i/>
          <w:sz w:val="20"/>
          <w:szCs w:val="20"/>
        </w:rPr>
        <w:t>D.</w:t>
      </w:r>
      <w:r>
        <w:rPr>
          <w:rFonts w:ascii="Verdana" w:hAnsi="Verdana"/>
          <w:i/>
          <w:sz w:val="20"/>
          <w:szCs w:val="20"/>
        </w:rPr>
        <w:t>i</w:t>
      </w:r>
      <w:r w:rsidRPr="00F8451A">
        <w:rPr>
          <w:rFonts w:ascii="Verdana" w:hAnsi="Verdana"/>
          <w:i/>
          <w:sz w:val="20"/>
          <w:szCs w:val="20"/>
        </w:rPr>
        <w:t>ii.1. Supervisión realizada en resolución anterior</w:t>
      </w:r>
    </w:p>
    <w:p w14:paraId="6D7A78A8" w14:textId="1019D45A" w:rsidR="00016EE1" w:rsidRDefault="00230685" w:rsidP="00016EE1">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En la Resolución de 25 de mayo de 2017, la Corte</w:t>
      </w:r>
      <w:r w:rsidR="001D6223" w:rsidRPr="00BB29A9">
        <w:rPr>
          <w:rFonts w:ascii="Verdana" w:hAnsi="Verdana"/>
          <w:sz w:val="20"/>
          <w:szCs w:val="20"/>
        </w:rPr>
        <w:t xml:space="preserve"> </w:t>
      </w:r>
      <w:r w:rsidR="00070B3F" w:rsidRPr="00BB29A9">
        <w:rPr>
          <w:rFonts w:ascii="Verdana" w:hAnsi="Verdana"/>
          <w:sz w:val="20"/>
          <w:szCs w:val="20"/>
        </w:rPr>
        <w:t>“valor[</w:t>
      </w:r>
      <w:proofErr w:type="spellStart"/>
      <w:r w:rsidR="00070B3F" w:rsidRPr="00BB29A9">
        <w:rPr>
          <w:rFonts w:ascii="Verdana" w:hAnsi="Verdana"/>
          <w:sz w:val="20"/>
          <w:szCs w:val="20"/>
        </w:rPr>
        <w:t>ó</w:t>
      </w:r>
      <w:proofErr w:type="spellEnd"/>
      <w:r w:rsidR="00070B3F" w:rsidRPr="00BB29A9">
        <w:rPr>
          <w:rFonts w:ascii="Verdana" w:hAnsi="Verdana"/>
          <w:sz w:val="20"/>
          <w:szCs w:val="20"/>
        </w:rPr>
        <w:t xml:space="preserve">] como un cumplimiento parcial de la medida que en el establecimiento educativo de la Aldea Plan de Sánchez haya al menos dos profesores capacitados para brindar clases interculturales en la lengua maya achí”, y “para valorar declarar el cumplimiento de esta medida”, </w:t>
      </w:r>
      <w:r w:rsidR="001D6223" w:rsidRPr="00BB29A9">
        <w:rPr>
          <w:rFonts w:ascii="Verdana" w:hAnsi="Verdana"/>
          <w:sz w:val="20"/>
          <w:szCs w:val="20"/>
        </w:rPr>
        <w:t xml:space="preserve">solicitó al Estado </w:t>
      </w:r>
      <w:r w:rsidR="0057175A" w:rsidRPr="00BB29A9">
        <w:rPr>
          <w:rFonts w:ascii="Verdana" w:hAnsi="Verdana"/>
          <w:sz w:val="20"/>
          <w:szCs w:val="20"/>
        </w:rPr>
        <w:t>que</w:t>
      </w:r>
      <w:r w:rsidR="00070B3F" w:rsidRPr="00BB29A9">
        <w:rPr>
          <w:rFonts w:ascii="Verdana" w:hAnsi="Verdana"/>
          <w:sz w:val="20"/>
          <w:szCs w:val="20"/>
        </w:rPr>
        <w:t>,</w:t>
      </w:r>
      <w:r w:rsidR="0057175A" w:rsidRPr="00BB29A9">
        <w:rPr>
          <w:rFonts w:ascii="Verdana" w:hAnsi="Verdana"/>
          <w:sz w:val="20"/>
          <w:szCs w:val="20"/>
        </w:rPr>
        <w:t xml:space="preserve"> al aportar</w:t>
      </w:r>
      <w:r w:rsidR="001D6223" w:rsidRPr="00BB29A9">
        <w:rPr>
          <w:rFonts w:ascii="Verdana" w:hAnsi="Verdana"/>
          <w:sz w:val="20"/>
          <w:szCs w:val="20"/>
        </w:rPr>
        <w:t xml:space="preserve"> </w:t>
      </w:r>
      <w:r w:rsidR="0057175A" w:rsidRPr="00BB29A9">
        <w:rPr>
          <w:rFonts w:ascii="Verdana" w:hAnsi="Verdana"/>
          <w:sz w:val="20"/>
          <w:szCs w:val="20"/>
        </w:rPr>
        <w:t xml:space="preserve">“el programa de dotación de personal docente requerido en el párrafo 110.d) de la Sentencia”, </w:t>
      </w:r>
      <w:r w:rsidR="00447043" w:rsidRPr="00BB29A9">
        <w:rPr>
          <w:rFonts w:ascii="Verdana" w:hAnsi="Verdana"/>
          <w:sz w:val="20"/>
          <w:szCs w:val="20"/>
        </w:rPr>
        <w:t xml:space="preserve">debe acreditar que se está atendiendo a los </w:t>
      </w:r>
      <w:r w:rsidR="0057175A" w:rsidRPr="00BB29A9">
        <w:rPr>
          <w:rFonts w:ascii="Verdana" w:hAnsi="Verdana"/>
          <w:sz w:val="20"/>
          <w:szCs w:val="20"/>
        </w:rPr>
        <w:t xml:space="preserve">siguientes </w:t>
      </w:r>
      <w:r w:rsidR="00447043" w:rsidRPr="00BB29A9">
        <w:rPr>
          <w:rFonts w:ascii="Verdana" w:hAnsi="Verdana"/>
          <w:sz w:val="20"/>
          <w:szCs w:val="20"/>
        </w:rPr>
        <w:t>criterios</w:t>
      </w:r>
      <w:r w:rsidR="0057175A" w:rsidRPr="00BB29A9">
        <w:rPr>
          <w:rFonts w:ascii="Verdana" w:hAnsi="Verdana"/>
          <w:sz w:val="20"/>
          <w:szCs w:val="20"/>
        </w:rPr>
        <w:t>: “(i) debe brindarse un número de grados educativos acorde a los niveles de aprendizaje de los alumnos; (ii) el número de</w:t>
      </w:r>
      <w:r w:rsidR="00C562BF" w:rsidRPr="00BB29A9">
        <w:rPr>
          <w:rFonts w:ascii="Verdana" w:hAnsi="Verdana"/>
          <w:sz w:val="20"/>
          <w:szCs w:val="20"/>
        </w:rPr>
        <w:t xml:space="preserve"> </w:t>
      </w:r>
      <w:r w:rsidR="0057175A" w:rsidRPr="00BB29A9">
        <w:rPr>
          <w:rFonts w:ascii="Verdana" w:hAnsi="Verdana"/>
          <w:sz w:val="20"/>
          <w:szCs w:val="20"/>
        </w:rPr>
        <w:t>los docentes que manejen el idioma de las comunidades indígenas respectivas debe ser</w:t>
      </w:r>
      <w:r w:rsidR="00C562BF" w:rsidRPr="00BB29A9">
        <w:rPr>
          <w:rFonts w:ascii="Verdana" w:hAnsi="Verdana"/>
          <w:sz w:val="20"/>
          <w:szCs w:val="20"/>
        </w:rPr>
        <w:t xml:space="preserve"> </w:t>
      </w:r>
      <w:r w:rsidR="0057175A" w:rsidRPr="00BB29A9">
        <w:rPr>
          <w:rFonts w:ascii="Verdana" w:hAnsi="Verdana"/>
          <w:sz w:val="20"/>
          <w:szCs w:val="20"/>
        </w:rPr>
        <w:t>suficiente para brindar la educación intercultural y multilingüe requerida en todos los grados</w:t>
      </w:r>
      <w:r w:rsidR="00C562BF" w:rsidRPr="00BB29A9">
        <w:rPr>
          <w:rFonts w:ascii="Verdana" w:hAnsi="Verdana"/>
          <w:sz w:val="20"/>
          <w:szCs w:val="20"/>
        </w:rPr>
        <w:t xml:space="preserve"> </w:t>
      </w:r>
      <w:r w:rsidR="0057175A" w:rsidRPr="00BB29A9">
        <w:rPr>
          <w:rFonts w:ascii="Verdana" w:hAnsi="Verdana"/>
          <w:sz w:val="20"/>
          <w:szCs w:val="20"/>
        </w:rPr>
        <w:t>educativos; (iii) que exista un programa enfocado en la formación permanente de docentes</w:t>
      </w:r>
      <w:r w:rsidR="00C562BF" w:rsidRPr="00BB29A9">
        <w:rPr>
          <w:rFonts w:ascii="Verdana" w:hAnsi="Verdana"/>
          <w:sz w:val="20"/>
          <w:szCs w:val="20"/>
        </w:rPr>
        <w:t xml:space="preserve"> </w:t>
      </w:r>
      <w:r w:rsidR="0057175A" w:rsidRPr="00BB29A9">
        <w:rPr>
          <w:rFonts w:ascii="Verdana" w:hAnsi="Verdana"/>
          <w:sz w:val="20"/>
          <w:szCs w:val="20"/>
        </w:rPr>
        <w:t>encargados de la atención y educación de carácter intercultural de la población, tomando en</w:t>
      </w:r>
      <w:r w:rsidR="00C562BF" w:rsidRPr="00BB29A9">
        <w:rPr>
          <w:rFonts w:ascii="Verdana" w:hAnsi="Verdana"/>
          <w:sz w:val="20"/>
          <w:szCs w:val="20"/>
        </w:rPr>
        <w:t xml:space="preserve"> </w:t>
      </w:r>
      <w:r w:rsidR="0057175A" w:rsidRPr="00BB29A9">
        <w:rPr>
          <w:rFonts w:ascii="Verdana" w:hAnsi="Verdana"/>
          <w:sz w:val="20"/>
          <w:szCs w:val="20"/>
        </w:rPr>
        <w:t>cuenta sus antecedentes, como lo es su situación política, jurídica, socioeconómica,</w:t>
      </w:r>
      <w:r w:rsidR="00C562BF" w:rsidRPr="00BB29A9">
        <w:rPr>
          <w:rFonts w:ascii="Verdana" w:hAnsi="Verdana"/>
          <w:sz w:val="20"/>
          <w:szCs w:val="20"/>
        </w:rPr>
        <w:t xml:space="preserve"> </w:t>
      </w:r>
      <w:r w:rsidR="0057175A" w:rsidRPr="00BB29A9">
        <w:rPr>
          <w:rFonts w:ascii="Verdana" w:hAnsi="Verdana"/>
          <w:sz w:val="20"/>
          <w:szCs w:val="20"/>
        </w:rPr>
        <w:t>educativa y lingüística, y (iv) que se adopten medidas para que, en la medida de las</w:t>
      </w:r>
      <w:r w:rsidR="00C562BF" w:rsidRPr="00BB29A9">
        <w:rPr>
          <w:rFonts w:ascii="Verdana" w:hAnsi="Verdana"/>
          <w:sz w:val="20"/>
          <w:szCs w:val="20"/>
        </w:rPr>
        <w:t xml:space="preserve"> </w:t>
      </w:r>
      <w:r w:rsidR="0057175A" w:rsidRPr="00BB29A9">
        <w:rPr>
          <w:rFonts w:ascii="Verdana" w:hAnsi="Verdana"/>
          <w:sz w:val="20"/>
          <w:szCs w:val="20"/>
        </w:rPr>
        <w:t>posibilidades del Estado, cada grado escolar tenga un maestro propio</w:t>
      </w:r>
      <w:r w:rsidR="00C562BF" w:rsidRPr="00BB29A9">
        <w:rPr>
          <w:rFonts w:ascii="Verdana" w:hAnsi="Verdana"/>
          <w:sz w:val="20"/>
          <w:szCs w:val="20"/>
        </w:rPr>
        <w:t>”</w:t>
      </w:r>
      <w:r w:rsidR="00070B3F" w:rsidRPr="00BB29A9">
        <w:rPr>
          <w:rFonts w:ascii="Verdana" w:hAnsi="Verdana"/>
          <w:sz w:val="20"/>
          <w:szCs w:val="20"/>
        </w:rPr>
        <w:t xml:space="preserve">. Igualmente, este Tribunal </w:t>
      </w:r>
      <w:r w:rsidR="00070B3F" w:rsidRPr="00BB29A9">
        <w:rPr>
          <w:rFonts w:ascii="Verdana" w:hAnsi="Verdana"/>
          <w:sz w:val="20"/>
          <w:szCs w:val="20"/>
        </w:rPr>
        <w:lastRenderedPageBreak/>
        <w:t xml:space="preserve">solicitó al Estado que explique cómo es que la cantidad de profesores bilingües que </w:t>
      </w:r>
      <w:r w:rsidR="00091A3C" w:rsidRPr="00BB29A9">
        <w:rPr>
          <w:rFonts w:ascii="Verdana" w:hAnsi="Verdana"/>
          <w:sz w:val="20"/>
          <w:szCs w:val="20"/>
        </w:rPr>
        <w:t xml:space="preserve">se </w:t>
      </w:r>
      <w:r w:rsidR="00070B3F" w:rsidRPr="00BB29A9">
        <w:rPr>
          <w:rFonts w:ascii="Verdana" w:hAnsi="Verdana"/>
          <w:sz w:val="20"/>
          <w:szCs w:val="20"/>
        </w:rPr>
        <w:t>tendría</w:t>
      </w:r>
      <w:r w:rsidR="00091A3C" w:rsidRPr="00BB29A9">
        <w:rPr>
          <w:rFonts w:ascii="Verdana" w:hAnsi="Verdana"/>
          <w:sz w:val="20"/>
          <w:szCs w:val="20"/>
        </w:rPr>
        <w:t>n</w:t>
      </w:r>
      <w:r w:rsidR="00070B3F" w:rsidRPr="00BB29A9">
        <w:rPr>
          <w:rFonts w:ascii="Verdana" w:hAnsi="Verdana"/>
          <w:sz w:val="20"/>
          <w:szCs w:val="20"/>
        </w:rPr>
        <w:t xml:space="preserve"> “es la adecuada para las necesidades de las 13 comunidades y la cantidad de alumnos según los niveles educativos”</w:t>
      </w:r>
      <w:r w:rsidR="00091A3C" w:rsidRPr="00BB29A9">
        <w:rPr>
          <w:rStyle w:val="Refdenotaalpie"/>
          <w:rFonts w:ascii="Verdana" w:hAnsi="Verdana"/>
          <w:sz w:val="20"/>
          <w:szCs w:val="20"/>
        </w:rPr>
        <w:footnoteReference w:id="57"/>
      </w:r>
      <w:r w:rsidR="00070B3F" w:rsidRPr="00BB29A9">
        <w:rPr>
          <w:rFonts w:ascii="Verdana" w:hAnsi="Verdana"/>
          <w:sz w:val="20"/>
          <w:szCs w:val="20"/>
        </w:rPr>
        <w:t>.</w:t>
      </w:r>
    </w:p>
    <w:p w14:paraId="4537B6EE" w14:textId="5C0A35DE" w:rsidR="00F8451A" w:rsidRPr="00F8451A" w:rsidRDefault="00F8451A" w:rsidP="00F8451A">
      <w:pPr>
        <w:pStyle w:val="Prrafodelista"/>
        <w:spacing w:before="120" w:after="120" w:line="240" w:lineRule="auto"/>
        <w:contextualSpacing w:val="0"/>
        <w:jc w:val="both"/>
        <w:rPr>
          <w:rFonts w:ascii="Verdana" w:hAnsi="Verdana"/>
          <w:sz w:val="20"/>
          <w:szCs w:val="20"/>
        </w:rPr>
      </w:pPr>
      <w:r>
        <w:rPr>
          <w:rFonts w:ascii="Verdana" w:hAnsi="Verdana"/>
          <w:i/>
          <w:sz w:val="20"/>
          <w:szCs w:val="20"/>
        </w:rPr>
        <w:t xml:space="preserve">D.iii.2. </w:t>
      </w:r>
      <w:r w:rsidRPr="00BB29A9">
        <w:rPr>
          <w:rFonts w:ascii="Verdana" w:hAnsi="Verdana"/>
          <w:i/>
          <w:sz w:val="20"/>
          <w:szCs w:val="20"/>
        </w:rPr>
        <w:t>Consideraciones de la Corte</w:t>
      </w:r>
    </w:p>
    <w:p w14:paraId="0E73ACE3" w14:textId="77D98057" w:rsidR="00094A3F" w:rsidRPr="00BB29A9" w:rsidRDefault="00094A3F" w:rsidP="00094A3F">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C</w:t>
      </w:r>
      <w:r w:rsidR="00AF3D3D" w:rsidRPr="00BB29A9">
        <w:rPr>
          <w:rFonts w:ascii="Verdana" w:hAnsi="Verdana"/>
          <w:sz w:val="20"/>
          <w:szCs w:val="20"/>
        </w:rPr>
        <w:t>on posterioridad a dicha Resolución,</w:t>
      </w:r>
      <w:r w:rsidR="00421107" w:rsidRPr="00BB29A9">
        <w:rPr>
          <w:rFonts w:ascii="Verdana" w:hAnsi="Verdana"/>
          <w:sz w:val="20"/>
          <w:szCs w:val="20"/>
        </w:rPr>
        <w:t xml:space="preserve"> </w:t>
      </w:r>
      <w:r w:rsidR="00455FFC" w:rsidRPr="00BB29A9">
        <w:rPr>
          <w:rFonts w:ascii="Verdana" w:hAnsi="Verdana"/>
          <w:sz w:val="20"/>
          <w:szCs w:val="20"/>
        </w:rPr>
        <w:t xml:space="preserve">el Estado </w:t>
      </w:r>
      <w:r w:rsidR="00A7179E" w:rsidRPr="00BB29A9">
        <w:rPr>
          <w:rFonts w:ascii="Verdana" w:hAnsi="Verdana"/>
          <w:sz w:val="20"/>
          <w:szCs w:val="20"/>
        </w:rPr>
        <w:t xml:space="preserve">ha sostenido que </w:t>
      </w:r>
      <w:r w:rsidR="00455FFC" w:rsidRPr="00BB29A9">
        <w:rPr>
          <w:rFonts w:ascii="Verdana" w:hAnsi="Verdana"/>
          <w:sz w:val="20"/>
          <w:szCs w:val="20"/>
        </w:rPr>
        <w:t xml:space="preserve">cumplió con esta reparación, </w:t>
      </w:r>
      <w:r w:rsidR="00A7179E" w:rsidRPr="00BB29A9">
        <w:rPr>
          <w:rFonts w:ascii="Verdana" w:hAnsi="Verdana"/>
          <w:sz w:val="20"/>
          <w:szCs w:val="20"/>
        </w:rPr>
        <w:t xml:space="preserve">pero </w:t>
      </w:r>
      <w:r w:rsidR="00455FFC" w:rsidRPr="00BB29A9">
        <w:rPr>
          <w:rFonts w:ascii="Verdana" w:hAnsi="Verdana"/>
          <w:sz w:val="20"/>
          <w:szCs w:val="20"/>
        </w:rPr>
        <w:t xml:space="preserve">los representantes </w:t>
      </w:r>
      <w:r w:rsidR="003B523D">
        <w:rPr>
          <w:rFonts w:ascii="Verdana" w:hAnsi="Verdana"/>
          <w:sz w:val="20"/>
          <w:szCs w:val="20"/>
        </w:rPr>
        <w:t>controvierten tal cumplimiento.</w:t>
      </w:r>
    </w:p>
    <w:p w14:paraId="06BC2AA7" w14:textId="5E87CA60" w:rsidR="008744A9" w:rsidRPr="003B523D" w:rsidRDefault="00094A3F" w:rsidP="003B523D">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Primero, el Estado señaló que </w:t>
      </w:r>
      <w:r w:rsidR="002528C0" w:rsidRPr="00BB29A9">
        <w:rPr>
          <w:rFonts w:ascii="Verdana" w:hAnsi="Verdana"/>
          <w:sz w:val="20"/>
          <w:szCs w:val="20"/>
        </w:rPr>
        <w:t xml:space="preserve">en el año 2017 </w:t>
      </w:r>
      <w:r w:rsidR="00016EE1" w:rsidRPr="00BB29A9">
        <w:rPr>
          <w:rFonts w:ascii="Verdana" w:hAnsi="Verdana"/>
          <w:sz w:val="20"/>
          <w:szCs w:val="20"/>
        </w:rPr>
        <w:t>el Ministerio de Educación inició el programa de capacitación de Educación Bilingüe e Intercultural con personal docente</w:t>
      </w:r>
      <w:r w:rsidR="008744A9" w:rsidRPr="00BB29A9">
        <w:rPr>
          <w:rFonts w:ascii="Verdana" w:hAnsi="Verdana"/>
          <w:sz w:val="20"/>
          <w:szCs w:val="20"/>
        </w:rPr>
        <w:t xml:space="preserve"> y se impartió un Diplomado de Aprendizaje de Idiomas Mayas</w:t>
      </w:r>
      <w:r w:rsidR="005D0BB1" w:rsidRPr="00BB29A9">
        <w:rPr>
          <w:rStyle w:val="Refdenotaalpie"/>
          <w:rFonts w:ascii="Verdana" w:hAnsi="Verdana"/>
          <w:sz w:val="20"/>
          <w:szCs w:val="20"/>
        </w:rPr>
        <w:footnoteReference w:id="58"/>
      </w:r>
      <w:r w:rsidR="00BE1F3F" w:rsidRPr="00BB29A9">
        <w:rPr>
          <w:rFonts w:ascii="Verdana" w:hAnsi="Verdana"/>
          <w:sz w:val="20"/>
          <w:szCs w:val="20"/>
        </w:rPr>
        <w:t xml:space="preserve">. </w:t>
      </w:r>
      <w:r w:rsidR="003B523D">
        <w:rPr>
          <w:rFonts w:ascii="Verdana" w:hAnsi="Verdana"/>
          <w:sz w:val="20"/>
          <w:szCs w:val="20"/>
        </w:rPr>
        <w:t xml:space="preserve">En </w:t>
      </w:r>
      <w:r w:rsidR="003B523D" w:rsidRPr="003B523D">
        <w:rPr>
          <w:rFonts w:ascii="Verdana" w:hAnsi="Verdana"/>
          <w:sz w:val="20"/>
          <w:szCs w:val="20"/>
        </w:rPr>
        <w:t>enero de 2018</w:t>
      </w:r>
      <w:r w:rsidR="003B523D">
        <w:rPr>
          <w:rFonts w:ascii="Verdana" w:hAnsi="Verdana"/>
          <w:sz w:val="20"/>
          <w:szCs w:val="20"/>
        </w:rPr>
        <w:t xml:space="preserve"> l</w:t>
      </w:r>
      <w:r w:rsidR="008744A9" w:rsidRPr="003B523D">
        <w:rPr>
          <w:rFonts w:ascii="Verdana" w:hAnsi="Verdana"/>
          <w:sz w:val="20"/>
          <w:szCs w:val="20"/>
        </w:rPr>
        <w:t xml:space="preserve">os representantes sostuvieron </w:t>
      </w:r>
      <w:r w:rsidR="00D5282B" w:rsidRPr="003B523D">
        <w:rPr>
          <w:rFonts w:ascii="Verdana" w:hAnsi="Verdana"/>
          <w:sz w:val="20"/>
          <w:szCs w:val="20"/>
        </w:rPr>
        <w:t xml:space="preserve">que </w:t>
      </w:r>
      <w:r w:rsidR="008744A9" w:rsidRPr="003B523D">
        <w:rPr>
          <w:rFonts w:ascii="Verdana" w:hAnsi="Verdana"/>
          <w:sz w:val="20"/>
          <w:szCs w:val="20"/>
        </w:rPr>
        <w:t>tal</w:t>
      </w:r>
      <w:r w:rsidR="00D5282B" w:rsidRPr="003B523D">
        <w:rPr>
          <w:rFonts w:ascii="Verdana" w:hAnsi="Verdana"/>
          <w:sz w:val="20"/>
          <w:szCs w:val="20"/>
        </w:rPr>
        <w:t xml:space="preserve"> diplomado “</w:t>
      </w:r>
      <w:r w:rsidR="001D40C7" w:rsidRPr="003B523D">
        <w:rPr>
          <w:rFonts w:ascii="Verdana" w:hAnsi="Verdana"/>
          <w:sz w:val="20"/>
          <w:szCs w:val="20"/>
        </w:rPr>
        <w:t>no es un programa enfocado en la formación permanente de docentes encargados de la atención y educación de carácter intercultural de la población y que tome en cuenta sus antecedentes, como lo es su situación política, jurídica, socioeconómica, educativa y lingüística</w:t>
      </w:r>
      <w:r w:rsidR="00C24496" w:rsidRPr="003B523D">
        <w:rPr>
          <w:rFonts w:ascii="Verdana" w:hAnsi="Verdana"/>
          <w:sz w:val="20"/>
          <w:szCs w:val="20"/>
        </w:rPr>
        <w:t>”</w:t>
      </w:r>
      <w:r w:rsidR="001D40C7" w:rsidRPr="003B523D">
        <w:rPr>
          <w:rFonts w:ascii="Verdana" w:hAnsi="Verdana"/>
          <w:sz w:val="20"/>
          <w:szCs w:val="20"/>
        </w:rPr>
        <w:t>, tal como fue indicado en la Resolución de la Corte de 25 de mayo de 2017 (</w:t>
      </w:r>
      <w:r w:rsidR="001D40C7" w:rsidRPr="003B523D">
        <w:rPr>
          <w:rFonts w:ascii="Verdana" w:hAnsi="Verdana"/>
          <w:i/>
          <w:sz w:val="20"/>
          <w:szCs w:val="20"/>
        </w:rPr>
        <w:t>supra</w:t>
      </w:r>
      <w:r w:rsidR="001D40C7" w:rsidRPr="003B523D">
        <w:rPr>
          <w:rFonts w:ascii="Verdana" w:hAnsi="Verdana"/>
          <w:sz w:val="20"/>
          <w:szCs w:val="20"/>
        </w:rPr>
        <w:t xml:space="preserve"> Considerando </w:t>
      </w:r>
      <w:r w:rsidR="00B76AF5">
        <w:rPr>
          <w:rFonts w:ascii="Verdana" w:hAnsi="Verdana"/>
          <w:sz w:val="20"/>
          <w:szCs w:val="20"/>
        </w:rPr>
        <w:t>50</w:t>
      </w:r>
      <w:r w:rsidR="001D40C7" w:rsidRPr="003B523D">
        <w:rPr>
          <w:rFonts w:ascii="Verdana" w:hAnsi="Verdana"/>
          <w:sz w:val="20"/>
          <w:szCs w:val="20"/>
        </w:rPr>
        <w:t>)</w:t>
      </w:r>
      <w:r w:rsidR="00D5282B" w:rsidRPr="00BB29A9">
        <w:rPr>
          <w:rStyle w:val="Refdenotaalpie"/>
          <w:rFonts w:ascii="Verdana" w:hAnsi="Verdana"/>
          <w:sz w:val="20"/>
          <w:szCs w:val="20"/>
        </w:rPr>
        <w:footnoteReference w:id="59"/>
      </w:r>
      <w:r w:rsidR="008744A9" w:rsidRPr="003B523D">
        <w:rPr>
          <w:rFonts w:ascii="Verdana" w:hAnsi="Verdana"/>
          <w:sz w:val="20"/>
          <w:szCs w:val="20"/>
        </w:rPr>
        <w:t>.</w:t>
      </w:r>
    </w:p>
    <w:p w14:paraId="7BBD0641" w14:textId="61A24087" w:rsidR="00860495" w:rsidRPr="00BB29A9" w:rsidRDefault="00094A3F" w:rsidP="002528C0">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Segundo, l</w:t>
      </w:r>
      <w:r w:rsidR="00F44B39" w:rsidRPr="00BB29A9">
        <w:rPr>
          <w:rFonts w:ascii="Verdana" w:hAnsi="Verdana"/>
          <w:sz w:val="20"/>
          <w:szCs w:val="20"/>
        </w:rPr>
        <w:t xml:space="preserve">as partes coinciden en que </w:t>
      </w:r>
      <w:r w:rsidR="00421107" w:rsidRPr="00BB29A9">
        <w:rPr>
          <w:rFonts w:ascii="Verdana" w:hAnsi="Verdana"/>
          <w:sz w:val="20"/>
          <w:szCs w:val="20"/>
        </w:rPr>
        <w:t xml:space="preserve">en la comunidad Plan de Sánchez </w:t>
      </w:r>
      <w:r w:rsidR="00AF3D3D" w:rsidRPr="00BB29A9">
        <w:rPr>
          <w:rFonts w:ascii="Verdana" w:hAnsi="Verdana"/>
          <w:sz w:val="20"/>
          <w:szCs w:val="20"/>
        </w:rPr>
        <w:t>existen</w:t>
      </w:r>
      <w:r w:rsidR="00421107" w:rsidRPr="00BB29A9">
        <w:rPr>
          <w:rFonts w:ascii="Verdana" w:hAnsi="Verdana"/>
          <w:sz w:val="20"/>
          <w:szCs w:val="20"/>
        </w:rPr>
        <w:t xml:space="preserve"> </w:t>
      </w:r>
      <w:r w:rsidR="00AF3D3D" w:rsidRPr="00BB29A9">
        <w:rPr>
          <w:rFonts w:ascii="Verdana" w:hAnsi="Verdana"/>
          <w:sz w:val="20"/>
          <w:szCs w:val="20"/>
        </w:rPr>
        <w:t>los siguientes tres</w:t>
      </w:r>
      <w:r w:rsidR="00421107" w:rsidRPr="00BB29A9">
        <w:rPr>
          <w:rFonts w:ascii="Verdana" w:hAnsi="Verdana"/>
          <w:sz w:val="20"/>
          <w:szCs w:val="20"/>
        </w:rPr>
        <w:t xml:space="preserve"> centros educativos:</w:t>
      </w:r>
      <w:r w:rsidR="00AF3D3D" w:rsidRPr="00BB29A9">
        <w:rPr>
          <w:rFonts w:ascii="Verdana" w:hAnsi="Verdana"/>
          <w:sz w:val="20"/>
          <w:szCs w:val="20"/>
        </w:rPr>
        <w:t xml:space="preserve"> (i) </w:t>
      </w:r>
      <w:r w:rsidR="00421107" w:rsidRPr="00BB29A9">
        <w:rPr>
          <w:rFonts w:ascii="Verdana" w:hAnsi="Verdana"/>
          <w:sz w:val="20"/>
          <w:szCs w:val="20"/>
        </w:rPr>
        <w:t>Escuela Oficial de Párvulos</w:t>
      </w:r>
      <w:r w:rsidR="00AF3D3D" w:rsidRPr="00BB29A9">
        <w:rPr>
          <w:rFonts w:ascii="Verdana" w:hAnsi="Verdana"/>
          <w:sz w:val="20"/>
          <w:szCs w:val="20"/>
        </w:rPr>
        <w:t xml:space="preserve"> en que se imparte nivel </w:t>
      </w:r>
      <w:r w:rsidR="00CA2A96" w:rsidRPr="00BB29A9">
        <w:rPr>
          <w:rFonts w:ascii="Verdana" w:hAnsi="Verdana"/>
          <w:sz w:val="20"/>
          <w:szCs w:val="20"/>
        </w:rPr>
        <w:t>preprimario</w:t>
      </w:r>
      <w:r w:rsidR="00421107" w:rsidRPr="00BB29A9">
        <w:rPr>
          <w:rFonts w:ascii="Verdana" w:hAnsi="Verdana"/>
          <w:sz w:val="20"/>
          <w:szCs w:val="20"/>
        </w:rPr>
        <w:t>;</w:t>
      </w:r>
      <w:r w:rsidR="00AF3D3D" w:rsidRPr="00BB29A9">
        <w:rPr>
          <w:rFonts w:ascii="Verdana" w:hAnsi="Verdana"/>
          <w:sz w:val="20"/>
          <w:szCs w:val="20"/>
        </w:rPr>
        <w:t xml:space="preserve"> (</w:t>
      </w:r>
      <w:proofErr w:type="spellStart"/>
      <w:r w:rsidR="00AF3D3D" w:rsidRPr="00BB29A9">
        <w:rPr>
          <w:rFonts w:ascii="Verdana" w:hAnsi="Verdana"/>
          <w:sz w:val="20"/>
          <w:szCs w:val="20"/>
        </w:rPr>
        <w:t>ii</w:t>
      </w:r>
      <w:proofErr w:type="spellEnd"/>
      <w:r w:rsidR="00AF3D3D" w:rsidRPr="00BB29A9">
        <w:rPr>
          <w:rFonts w:ascii="Verdana" w:hAnsi="Verdana"/>
          <w:sz w:val="20"/>
          <w:szCs w:val="20"/>
        </w:rPr>
        <w:t xml:space="preserve">) </w:t>
      </w:r>
      <w:r w:rsidR="00421107" w:rsidRPr="00BB29A9">
        <w:rPr>
          <w:rFonts w:ascii="Verdana" w:hAnsi="Verdana"/>
          <w:sz w:val="20"/>
          <w:szCs w:val="20"/>
        </w:rPr>
        <w:t xml:space="preserve">Escuela </w:t>
      </w:r>
      <w:r w:rsidR="00CA2A96" w:rsidRPr="00BB29A9">
        <w:rPr>
          <w:rFonts w:ascii="Verdana" w:hAnsi="Verdana"/>
          <w:sz w:val="20"/>
          <w:szCs w:val="20"/>
        </w:rPr>
        <w:t xml:space="preserve">Oficial </w:t>
      </w:r>
      <w:r w:rsidR="00421107" w:rsidRPr="00BB29A9">
        <w:rPr>
          <w:rFonts w:ascii="Verdana" w:hAnsi="Verdana"/>
          <w:sz w:val="20"/>
          <w:szCs w:val="20"/>
        </w:rPr>
        <w:t>Rural Mixta</w:t>
      </w:r>
      <w:r w:rsidR="00AF3D3D" w:rsidRPr="00BB29A9">
        <w:rPr>
          <w:rFonts w:ascii="Verdana" w:hAnsi="Verdana"/>
          <w:sz w:val="20"/>
          <w:szCs w:val="20"/>
        </w:rPr>
        <w:t xml:space="preserve"> en que se imparte nivel primario;</w:t>
      </w:r>
      <w:r w:rsidR="00421107" w:rsidRPr="00BB29A9">
        <w:rPr>
          <w:rFonts w:ascii="Verdana" w:hAnsi="Verdana"/>
          <w:sz w:val="20"/>
          <w:szCs w:val="20"/>
        </w:rPr>
        <w:t xml:space="preserve"> </w:t>
      </w:r>
      <w:r w:rsidR="00F44B39" w:rsidRPr="00BB29A9">
        <w:rPr>
          <w:rFonts w:ascii="Verdana" w:hAnsi="Verdana"/>
          <w:sz w:val="20"/>
          <w:szCs w:val="20"/>
        </w:rPr>
        <w:t>e</w:t>
      </w:r>
      <w:r w:rsidR="00AF3D3D" w:rsidRPr="00BB29A9">
        <w:rPr>
          <w:rFonts w:ascii="Verdana" w:hAnsi="Verdana"/>
          <w:sz w:val="20"/>
          <w:szCs w:val="20"/>
        </w:rPr>
        <w:t xml:space="preserve"> (iii)</w:t>
      </w:r>
      <w:r w:rsidR="00421107" w:rsidRPr="00BB29A9">
        <w:rPr>
          <w:rFonts w:ascii="Verdana" w:hAnsi="Verdana"/>
          <w:sz w:val="20"/>
          <w:szCs w:val="20"/>
        </w:rPr>
        <w:t xml:space="preserve"> Instituto de Educación Básica con la modalidad de telesecundaria </w:t>
      </w:r>
      <w:r w:rsidR="00AF3D3D" w:rsidRPr="00BB29A9">
        <w:rPr>
          <w:rFonts w:ascii="Verdana" w:hAnsi="Verdana"/>
          <w:sz w:val="20"/>
          <w:szCs w:val="20"/>
        </w:rPr>
        <w:t>en que se imparte nivel</w:t>
      </w:r>
      <w:r w:rsidR="00AF3D3D" w:rsidRPr="00BB29A9">
        <w:rPr>
          <w:rFonts w:ascii="Verdana" w:hAnsi="Verdana"/>
          <w:b/>
          <w:sz w:val="20"/>
          <w:szCs w:val="20"/>
        </w:rPr>
        <w:t xml:space="preserve"> </w:t>
      </w:r>
      <w:r w:rsidR="00AF3D3D" w:rsidRPr="00BB29A9">
        <w:rPr>
          <w:rFonts w:ascii="Verdana" w:hAnsi="Verdana"/>
          <w:sz w:val="20"/>
          <w:szCs w:val="20"/>
        </w:rPr>
        <w:t>medio</w:t>
      </w:r>
      <w:r w:rsidR="00421107" w:rsidRPr="00BB29A9">
        <w:rPr>
          <w:rFonts w:ascii="Verdana" w:hAnsi="Verdana"/>
          <w:sz w:val="20"/>
          <w:szCs w:val="20"/>
        </w:rPr>
        <w:t>.</w:t>
      </w:r>
      <w:r w:rsidR="003A1AEC" w:rsidRPr="00BB29A9">
        <w:rPr>
          <w:rFonts w:ascii="Verdana" w:hAnsi="Verdana"/>
          <w:sz w:val="20"/>
          <w:szCs w:val="20"/>
        </w:rPr>
        <w:t xml:space="preserve"> </w:t>
      </w:r>
      <w:r w:rsidR="00F44B39" w:rsidRPr="00BB29A9">
        <w:rPr>
          <w:rFonts w:ascii="Verdana" w:hAnsi="Verdana"/>
          <w:sz w:val="20"/>
          <w:szCs w:val="20"/>
        </w:rPr>
        <w:t xml:space="preserve">No obstante, se encuentra controvertido entre las partes el número de docentes bilingües </w:t>
      </w:r>
      <w:r w:rsidRPr="00BB29A9">
        <w:rPr>
          <w:rFonts w:ascii="Verdana" w:hAnsi="Verdana"/>
          <w:sz w:val="20"/>
          <w:szCs w:val="20"/>
        </w:rPr>
        <w:t>que estos tendrían</w:t>
      </w:r>
      <w:r w:rsidR="00F44B39" w:rsidRPr="00BB29A9">
        <w:rPr>
          <w:rFonts w:ascii="Verdana" w:hAnsi="Verdana"/>
          <w:sz w:val="20"/>
          <w:szCs w:val="20"/>
        </w:rPr>
        <w:t>. En noviembre de 2017, Guatemala indicó que</w:t>
      </w:r>
      <w:r w:rsidR="0098435F" w:rsidRPr="00BB29A9">
        <w:rPr>
          <w:rFonts w:ascii="Verdana" w:hAnsi="Verdana"/>
          <w:sz w:val="20"/>
          <w:szCs w:val="20"/>
        </w:rPr>
        <w:t xml:space="preserve"> el</w:t>
      </w:r>
      <w:r w:rsidR="00F44B39" w:rsidRPr="00BB29A9">
        <w:rPr>
          <w:rFonts w:ascii="Verdana" w:hAnsi="Verdana"/>
          <w:sz w:val="20"/>
          <w:szCs w:val="20"/>
        </w:rPr>
        <w:t xml:space="preserve"> nivel </w:t>
      </w:r>
      <w:r w:rsidR="00CA2A96" w:rsidRPr="00BB29A9">
        <w:rPr>
          <w:rFonts w:ascii="Verdana" w:hAnsi="Verdana"/>
          <w:sz w:val="20"/>
          <w:szCs w:val="20"/>
        </w:rPr>
        <w:t>preprimario</w:t>
      </w:r>
      <w:r w:rsidR="0098435F" w:rsidRPr="00BB29A9">
        <w:rPr>
          <w:rFonts w:ascii="Verdana" w:hAnsi="Verdana"/>
          <w:sz w:val="20"/>
          <w:szCs w:val="20"/>
        </w:rPr>
        <w:t xml:space="preserve"> se imparte</w:t>
      </w:r>
      <w:r w:rsidR="00F44B39" w:rsidRPr="00BB29A9">
        <w:rPr>
          <w:rFonts w:ascii="Verdana" w:hAnsi="Verdana"/>
          <w:sz w:val="20"/>
          <w:szCs w:val="20"/>
        </w:rPr>
        <w:t xml:space="preserve"> </w:t>
      </w:r>
      <w:r w:rsidR="0098435F" w:rsidRPr="00BB29A9">
        <w:rPr>
          <w:rFonts w:ascii="Verdana" w:hAnsi="Verdana"/>
          <w:sz w:val="20"/>
          <w:szCs w:val="20"/>
        </w:rPr>
        <w:t xml:space="preserve">por </w:t>
      </w:r>
      <w:r w:rsidR="00F44B39" w:rsidRPr="00BB29A9">
        <w:rPr>
          <w:rFonts w:ascii="Verdana" w:hAnsi="Verdana"/>
          <w:sz w:val="20"/>
          <w:szCs w:val="20"/>
        </w:rPr>
        <w:t xml:space="preserve">1 docente bilingüe Achí </w:t>
      </w:r>
      <w:r w:rsidR="0098435F" w:rsidRPr="00BB29A9">
        <w:rPr>
          <w:rFonts w:ascii="Verdana" w:hAnsi="Verdana"/>
          <w:sz w:val="20"/>
          <w:szCs w:val="20"/>
        </w:rPr>
        <w:t>y</w:t>
      </w:r>
      <w:r w:rsidR="00F44B39" w:rsidRPr="00BB29A9">
        <w:rPr>
          <w:rFonts w:ascii="Verdana" w:hAnsi="Verdana"/>
          <w:sz w:val="20"/>
          <w:szCs w:val="20"/>
        </w:rPr>
        <w:t xml:space="preserve"> asisten 15 alumnos</w:t>
      </w:r>
      <w:r w:rsidR="0098435F" w:rsidRPr="00BB29A9">
        <w:rPr>
          <w:rFonts w:ascii="Verdana" w:hAnsi="Verdana"/>
          <w:sz w:val="20"/>
          <w:szCs w:val="20"/>
        </w:rPr>
        <w:t>,</w:t>
      </w:r>
      <w:r w:rsidR="00F44B39" w:rsidRPr="00BB29A9">
        <w:rPr>
          <w:rFonts w:ascii="Verdana" w:hAnsi="Verdana"/>
          <w:sz w:val="20"/>
          <w:szCs w:val="20"/>
        </w:rPr>
        <w:t xml:space="preserve"> </w:t>
      </w:r>
      <w:r w:rsidR="0098435F" w:rsidRPr="00BB29A9">
        <w:rPr>
          <w:rFonts w:ascii="Verdana" w:hAnsi="Verdana"/>
          <w:sz w:val="20"/>
          <w:szCs w:val="20"/>
        </w:rPr>
        <w:t>el</w:t>
      </w:r>
      <w:r w:rsidR="00F44B39" w:rsidRPr="00BB29A9">
        <w:rPr>
          <w:rFonts w:ascii="Verdana" w:hAnsi="Verdana"/>
          <w:sz w:val="20"/>
          <w:szCs w:val="20"/>
        </w:rPr>
        <w:t xml:space="preserve"> nivel primario</w:t>
      </w:r>
      <w:r w:rsidR="0098435F" w:rsidRPr="00BB29A9">
        <w:rPr>
          <w:rFonts w:ascii="Verdana" w:hAnsi="Verdana"/>
          <w:sz w:val="20"/>
          <w:szCs w:val="20"/>
        </w:rPr>
        <w:t xml:space="preserve"> se imparte</w:t>
      </w:r>
      <w:r w:rsidR="00F44B39" w:rsidRPr="00BB29A9">
        <w:rPr>
          <w:rFonts w:ascii="Verdana" w:hAnsi="Verdana"/>
          <w:sz w:val="20"/>
          <w:szCs w:val="20"/>
        </w:rPr>
        <w:t xml:space="preserve"> por 3 docentes bilingües Achí </w:t>
      </w:r>
      <w:r w:rsidR="0098435F" w:rsidRPr="00BB29A9">
        <w:rPr>
          <w:rFonts w:ascii="Verdana" w:hAnsi="Verdana"/>
          <w:sz w:val="20"/>
          <w:szCs w:val="20"/>
        </w:rPr>
        <w:t>y</w:t>
      </w:r>
      <w:r w:rsidR="00F44B39" w:rsidRPr="00BB29A9">
        <w:rPr>
          <w:rFonts w:ascii="Verdana" w:hAnsi="Verdana"/>
          <w:sz w:val="20"/>
          <w:szCs w:val="20"/>
        </w:rPr>
        <w:t xml:space="preserve"> asisten 60 estudiantes</w:t>
      </w:r>
      <w:r w:rsidR="0098435F" w:rsidRPr="00BB29A9">
        <w:rPr>
          <w:rFonts w:ascii="Verdana" w:hAnsi="Verdana"/>
          <w:sz w:val="20"/>
          <w:szCs w:val="20"/>
        </w:rPr>
        <w:t>,</w:t>
      </w:r>
      <w:r w:rsidR="00F44B39" w:rsidRPr="00BB29A9">
        <w:rPr>
          <w:rFonts w:ascii="Verdana" w:hAnsi="Verdana"/>
          <w:sz w:val="20"/>
          <w:szCs w:val="20"/>
        </w:rPr>
        <w:t xml:space="preserve"> y</w:t>
      </w:r>
      <w:r w:rsidR="0098435F" w:rsidRPr="00BB29A9">
        <w:rPr>
          <w:rFonts w:ascii="Verdana" w:hAnsi="Verdana"/>
          <w:sz w:val="20"/>
          <w:szCs w:val="20"/>
        </w:rPr>
        <w:t xml:space="preserve"> el</w:t>
      </w:r>
      <w:r w:rsidR="00F44B39" w:rsidRPr="00BB29A9">
        <w:rPr>
          <w:rFonts w:ascii="Verdana" w:hAnsi="Verdana"/>
          <w:sz w:val="20"/>
          <w:szCs w:val="20"/>
        </w:rPr>
        <w:t xml:space="preserve"> nivel</w:t>
      </w:r>
      <w:r w:rsidR="00F44B39" w:rsidRPr="00BB29A9">
        <w:rPr>
          <w:rFonts w:ascii="Verdana" w:hAnsi="Verdana"/>
          <w:b/>
          <w:sz w:val="20"/>
          <w:szCs w:val="20"/>
        </w:rPr>
        <w:t xml:space="preserve"> </w:t>
      </w:r>
      <w:r w:rsidR="00F44B39" w:rsidRPr="00BB29A9">
        <w:rPr>
          <w:rFonts w:ascii="Verdana" w:hAnsi="Verdana"/>
          <w:sz w:val="20"/>
          <w:szCs w:val="20"/>
        </w:rPr>
        <w:t xml:space="preserve">medio </w:t>
      </w:r>
      <w:r w:rsidR="0098435F" w:rsidRPr="00BB29A9">
        <w:rPr>
          <w:rFonts w:ascii="Verdana" w:hAnsi="Verdana"/>
          <w:sz w:val="20"/>
          <w:szCs w:val="20"/>
        </w:rPr>
        <w:t xml:space="preserve">se imparte </w:t>
      </w:r>
      <w:r w:rsidR="00F44B39" w:rsidRPr="00BB29A9">
        <w:rPr>
          <w:rFonts w:ascii="Verdana" w:hAnsi="Verdana"/>
          <w:sz w:val="20"/>
          <w:szCs w:val="20"/>
        </w:rPr>
        <w:t>por 5 docentes, de los cuales 2 hablan castellano y 3 son bilingües Achí, y asisten 113 estudiantes.</w:t>
      </w:r>
      <w:r w:rsidR="0098435F" w:rsidRPr="00BB29A9">
        <w:rPr>
          <w:rFonts w:ascii="Verdana" w:hAnsi="Verdana"/>
          <w:sz w:val="20"/>
          <w:szCs w:val="20"/>
        </w:rPr>
        <w:t xml:space="preserve"> En enero de 2018</w:t>
      </w:r>
      <w:r w:rsidR="00E3717F" w:rsidRPr="00BB29A9">
        <w:rPr>
          <w:rFonts w:ascii="Verdana" w:hAnsi="Verdana"/>
          <w:sz w:val="20"/>
          <w:szCs w:val="20"/>
        </w:rPr>
        <w:t>,</w:t>
      </w:r>
      <w:r w:rsidR="0098435F" w:rsidRPr="00BB29A9">
        <w:rPr>
          <w:rFonts w:ascii="Verdana" w:hAnsi="Verdana"/>
          <w:sz w:val="20"/>
          <w:szCs w:val="20"/>
        </w:rPr>
        <w:t xml:space="preserve"> </w:t>
      </w:r>
      <w:r w:rsidR="005C1AB4" w:rsidRPr="00BB29A9">
        <w:rPr>
          <w:rFonts w:ascii="Verdana" w:hAnsi="Verdana"/>
          <w:sz w:val="20"/>
          <w:szCs w:val="20"/>
        </w:rPr>
        <w:t xml:space="preserve">los representantes </w:t>
      </w:r>
      <w:r w:rsidR="002528C0" w:rsidRPr="00BB29A9">
        <w:rPr>
          <w:rFonts w:ascii="Verdana" w:hAnsi="Verdana"/>
          <w:sz w:val="20"/>
          <w:szCs w:val="20"/>
        </w:rPr>
        <w:t>aclararon</w:t>
      </w:r>
      <w:r w:rsidR="0098435F" w:rsidRPr="00BB29A9">
        <w:rPr>
          <w:rFonts w:ascii="Verdana" w:hAnsi="Verdana"/>
          <w:sz w:val="20"/>
          <w:szCs w:val="20"/>
        </w:rPr>
        <w:t xml:space="preserve"> que</w:t>
      </w:r>
      <w:r w:rsidR="005C1AB4" w:rsidRPr="00BB29A9">
        <w:rPr>
          <w:rFonts w:ascii="Verdana" w:hAnsi="Verdana"/>
          <w:sz w:val="20"/>
          <w:szCs w:val="20"/>
        </w:rPr>
        <w:t xml:space="preserve"> </w:t>
      </w:r>
      <w:r w:rsidR="0098435F" w:rsidRPr="00BB29A9">
        <w:rPr>
          <w:rFonts w:ascii="Verdana" w:hAnsi="Verdana"/>
          <w:sz w:val="20"/>
          <w:szCs w:val="20"/>
        </w:rPr>
        <w:t xml:space="preserve">en </w:t>
      </w:r>
      <w:r w:rsidR="005C1AB4" w:rsidRPr="00BB29A9">
        <w:rPr>
          <w:rFonts w:ascii="Verdana" w:hAnsi="Verdana"/>
          <w:sz w:val="20"/>
          <w:szCs w:val="20"/>
        </w:rPr>
        <w:t xml:space="preserve">el nivel </w:t>
      </w:r>
      <w:r w:rsidR="00606C68" w:rsidRPr="00BB29A9">
        <w:rPr>
          <w:rFonts w:ascii="Verdana" w:hAnsi="Verdana"/>
          <w:sz w:val="20"/>
          <w:szCs w:val="20"/>
        </w:rPr>
        <w:t>primaria</w:t>
      </w:r>
      <w:r w:rsidR="005C1AB4" w:rsidRPr="00BB29A9">
        <w:rPr>
          <w:rFonts w:ascii="Verdana" w:hAnsi="Verdana"/>
          <w:sz w:val="20"/>
          <w:szCs w:val="20"/>
        </w:rPr>
        <w:t xml:space="preserve"> sólo 1 docente</w:t>
      </w:r>
      <w:r w:rsidR="0098435F" w:rsidRPr="00BB29A9">
        <w:rPr>
          <w:rFonts w:ascii="Verdana" w:hAnsi="Verdana"/>
          <w:sz w:val="20"/>
          <w:szCs w:val="20"/>
        </w:rPr>
        <w:t xml:space="preserve"> de los</w:t>
      </w:r>
      <w:r w:rsidR="005C1AB4" w:rsidRPr="00BB29A9">
        <w:rPr>
          <w:rFonts w:ascii="Verdana" w:hAnsi="Verdana"/>
          <w:sz w:val="20"/>
          <w:szCs w:val="20"/>
        </w:rPr>
        <w:t xml:space="preserve"> indicados es bilingüe, y en el nivel medio solo 2 docentes </w:t>
      </w:r>
      <w:r w:rsidR="0098435F" w:rsidRPr="00BB29A9">
        <w:rPr>
          <w:rFonts w:ascii="Verdana" w:hAnsi="Verdana"/>
          <w:sz w:val="20"/>
          <w:szCs w:val="20"/>
        </w:rPr>
        <w:t>de los indicados son</w:t>
      </w:r>
      <w:r w:rsidR="005C1AB4" w:rsidRPr="00BB29A9">
        <w:rPr>
          <w:rFonts w:ascii="Verdana" w:hAnsi="Verdana"/>
          <w:sz w:val="20"/>
          <w:szCs w:val="20"/>
        </w:rPr>
        <w:t xml:space="preserve"> bilingüe</w:t>
      </w:r>
      <w:r w:rsidR="0098435F" w:rsidRPr="00BB29A9">
        <w:rPr>
          <w:rFonts w:ascii="Verdana" w:hAnsi="Verdana"/>
          <w:sz w:val="20"/>
          <w:szCs w:val="20"/>
        </w:rPr>
        <w:t>s, s</w:t>
      </w:r>
      <w:r w:rsidR="00F44B39" w:rsidRPr="00BB29A9">
        <w:rPr>
          <w:rFonts w:ascii="Verdana" w:hAnsi="Verdana"/>
          <w:sz w:val="20"/>
          <w:szCs w:val="20"/>
        </w:rPr>
        <w:t>in embargo</w:t>
      </w:r>
      <w:r w:rsidR="005C1AB4" w:rsidRPr="00BB29A9">
        <w:rPr>
          <w:rFonts w:ascii="Verdana" w:hAnsi="Verdana"/>
          <w:sz w:val="20"/>
          <w:szCs w:val="20"/>
        </w:rPr>
        <w:t xml:space="preserve">, los docentes bilingües imparten las clases en el idioma español, lo cual </w:t>
      </w:r>
      <w:r w:rsidR="0098435F" w:rsidRPr="00BB29A9">
        <w:rPr>
          <w:rFonts w:ascii="Verdana" w:hAnsi="Verdana"/>
          <w:sz w:val="20"/>
          <w:szCs w:val="20"/>
        </w:rPr>
        <w:t>tiene</w:t>
      </w:r>
      <w:r w:rsidR="005C1AB4" w:rsidRPr="00BB29A9">
        <w:rPr>
          <w:rFonts w:ascii="Verdana" w:hAnsi="Verdana"/>
          <w:sz w:val="20"/>
          <w:szCs w:val="20"/>
        </w:rPr>
        <w:t xml:space="preserve"> como consecuencia que los alumnos no tengan una educación que comprenda la enseñanza bilingüe e </w:t>
      </w:r>
      <w:r w:rsidR="00251DCC" w:rsidRPr="00BB29A9">
        <w:rPr>
          <w:rFonts w:ascii="Verdana" w:hAnsi="Verdana"/>
          <w:sz w:val="20"/>
          <w:szCs w:val="20"/>
        </w:rPr>
        <w:t>intercultural</w:t>
      </w:r>
      <w:r w:rsidR="005C1AB4" w:rsidRPr="00BB29A9">
        <w:rPr>
          <w:rFonts w:ascii="Verdana" w:hAnsi="Verdana"/>
          <w:sz w:val="20"/>
          <w:szCs w:val="20"/>
        </w:rPr>
        <w:t>.</w:t>
      </w:r>
      <w:r w:rsidR="00E3717F" w:rsidRPr="00BB29A9">
        <w:rPr>
          <w:rFonts w:ascii="Verdana" w:hAnsi="Verdana"/>
          <w:sz w:val="20"/>
          <w:szCs w:val="20"/>
        </w:rPr>
        <w:t xml:space="preserve"> </w:t>
      </w:r>
      <w:r w:rsidR="00251DCC" w:rsidRPr="00BB29A9">
        <w:rPr>
          <w:rFonts w:ascii="Verdana" w:hAnsi="Verdana"/>
          <w:sz w:val="20"/>
          <w:szCs w:val="20"/>
        </w:rPr>
        <w:t xml:space="preserve">En agosto de 2018, el Estado </w:t>
      </w:r>
      <w:r w:rsidR="002528C0" w:rsidRPr="00BB29A9">
        <w:rPr>
          <w:rFonts w:ascii="Verdana" w:hAnsi="Verdana"/>
          <w:sz w:val="20"/>
          <w:szCs w:val="20"/>
        </w:rPr>
        <w:t>sostuvo</w:t>
      </w:r>
      <w:r w:rsidR="00251DCC" w:rsidRPr="00BB29A9">
        <w:rPr>
          <w:rFonts w:ascii="Verdana" w:hAnsi="Verdana"/>
          <w:sz w:val="20"/>
          <w:szCs w:val="20"/>
        </w:rPr>
        <w:t xml:space="preserve"> que</w:t>
      </w:r>
      <w:r w:rsidR="002528C0" w:rsidRPr="00BB29A9">
        <w:rPr>
          <w:rFonts w:ascii="Verdana" w:hAnsi="Verdana"/>
          <w:sz w:val="20"/>
          <w:szCs w:val="20"/>
        </w:rPr>
        <w:t xml:space="preserve"> en</w:t>
      </w:r>
      <w:r w:rsidR="00251DCC" w:rsidRPr="00BB29A9">
        <w:rPr>
          <w:rFonts w:ascii="Verdana" w:hAnsi="Verdana"/>
          <w:sz w:val="20"/>
          <w:szCs w:val="20"/>
        </w:rPr>
        <w:t xml:space="preserve"> el nivel primario 2 </w:t>
      </w:r>
      <w:r w:rsidR="002528C0" w:rsidRPr="00BB29A9">
        <w:rPr>
          <w:rFonts w:ascii="Verdana" w:hAnsi="Verdana"/>
          <w:sz w:val="20"/>
          <w:szCs w:val="20"/>
        </w:rPr>
        <w:t xml:space="preserve">de los 3 </w:t>
      </w:r>
      <w:r w:rsidR="00251DCC" w:rsidRPr="00BB29A9">
        <w:rPr>
          <w:rFonts w:ascii="Verdana" w:hAnsi="Verdana"/>
          <w:sz w:val="20"/>
          <w:szCs w:val="20"/>
        </w:rPr>
        <w:t>docentes</w:t>
      </w:r>
      <w:r w:rsidR="002528C0" w:rsidRPr="00BB29A9">
        <w:rPr>
          <w:rFonts w:ascii="Verdana" w:hAnsi="Verdana"/>
          <w:sz w:val="20"/>
          <w:szCs w:val="20"/>
        </w:rPr>
        <w:t xml:space="preserve"> indicados son</w:t>
      </w:r>
      <w:r w:rsidR="00251DCC" w:rsidRPr="00BB29A9">
        <w:rPr>
          <w:rFonts w:ascii="Verdana" w:hAnsi="Verdana"/>
          <w:sz w:val="20"/>
          <w:szCs w:val="20"/>
        </w:rPr>
        <w:t xml:space="preserve"> bilingües y el nivel medio lo </w:t>
      </w:r>
      <w:r w:rsidR="00860495" w:rsidRPr="00BB29A9">
        <w:rPr>
          <w:rFonts w:ascii="Verdana" w:hAnsi="Verdana"/>
          <w:sz w:val="20"/>
          <w:szCs w:val="20"/>
        </w:rPr>
        <w:t>imparten 4 docentes monolingües</w:t>
      </w:r>
      <w:r w:rsidR="00251DCC" w:rsidRPr="00BB29A9">
        <w:rPr>
          <w:rFonts w:ascii="Verdana" w:hAnsi="Verdana"/>
          <w:sz w:val="20"/>
          <w:szCs w:val="20"/>
        </w:rPr>
        <w:t xml:space="preserve">. </w:t>
      </w:r>
      <w:r w:rsidR="00860495" w:rsidRPr="00BB29A9">
        <w:rPr>
          <w:rFonts w:ascii="Verdana" w:hAnsi="Verdana"/>
          <w:sz w:val="20"/>
          <w:szCs w:val="20"/>
        </w:rPr>
        <w:t>En febrero de 2021, los representantes indicaron que</w:t>
      </w:r>
      <w:r w:rsidRPr="00BB29A9">
        <w:rPr>
          <w:rFonts w:ascii="Verdana" w:hAnsi="Verdana"/>
          <w:sz w:val="20"/>
          <w:szCs w:val="20"/>
        </w:rPr>
        <w:t>, debido a que</w:t>
      </w:r>
      <w:r w:rsidR="00860495" w:rsidRPr="00BB29A9">
        <w:rPr>
          <w:rFonts w:ascii="Verdana" w:hAnsi="Verdana"/>
          <w:sz w:val="20"/>
          <w:szCs w:val="20"/>
        </w:rPr>
        <w:t xml:space="preserve"> </w:t>
      </w:r>
      <w:r w:rsidR="00C60369" w:rsidRPr="00BB29A9">
        <w:rPr>
          <w:rFonts w:ascii="Verdana" w:hAnsi="Verdana"/>
          <w:sz w:val="20"/>
          <w:szCs w:val="20"/>
        </w:rPr>
        <w:t>“</w:t>
      </w:r>
      <w:r w:rsidR="00860495" w:rsidRPr="00BB29A9">
        <w:rPr>
          <w:rFonts w:ascii="Verdana" w:hAnsi="Verdana"/>
          <w:sz w:val="20"/>
          <w:szCs w:val="20"/>
        </w:rPr>
        <w:t xml:space="preserve">la mayoría de los </w:t>
      </w:r>
      <w:r w:rsidR="00C60369" w:rsidRPr="00BB29A9">
        <w:rPr>
          <w:rFonts w:ascii="Verdana" w:hAnsi="Verdana"/>
          <w:sz w:val="20"/>
          <w:szCs w:val="20"/>
        </w:rPr>
        <w:t xml:space="preserve">maestros y </w:t>
      </w:r>
      <w:r w:rsidR="00860495" w:rsidRPr="00BB29A9">
        <w:rPr>
          <w:rFonts w:ascii="Verdana" w:hAnsi="Verdana"/>
          <w:sz w:val="20"/>
          <w:szCs w:val="20"/>
        </w:rPr>
        <w:t xml:space="preserve">profesores hablan el </w:t>
      </w:r>
      <w:r w:rsidR="00C60369" w:rsidRPr="00BB29A9">
        <w:rPr>
          <w:rFonts w:ascii="Verdana" w:hAnsi="Verdana"/>
          <w:sz w:val="20"/>
          <w:szCs w:val="20"/>
        </w:rPr>
        <w:t>I</w:t>
      </w:r>
      <w:r w:rsidR="00860495" w:rsidRPr="00BB29A9">
        <w:rPr>
          <w:rFonts w:ascii="Verdana" w:hAnsi="Verdana"/>
          <w:sz w:val="20"/>
          <w:szCs w:val="20"/>
        </w:rPr>
        <w:t xml:space="preserve">dioma </w:t>
      </w:r>
      <w:r w:rsidR="00C60369" w:rsidRPr="00BB29A9">
        <w:rPr>
          <w:rFonts w:ascii="Verdana" w:hAnsi="Verdana"/>
          <w:sz w:val="20"/>
          <w:szCs w:val="20"/>
        </w:rPr>
        <w:t>A</w:t>
      </w:r>
      <w:r w:rsidR="00860495" w:rsidRPr="00BB29A9">
        <w:rPr>
          <w:rFonts w:ascii="Verdana" w:hAnsi="Verdana"/>
          <w:sz w:val="20"/>
          <w:szCs w:val="20"/>
        </w:rPr>
        <w:t>chí</w:t>
      </w:r>
      <w:r w:rsidRPr="00BB29A9">
        <w:rPr>
          <w:rFonts w:ascii="Verdana" w:hAnsi="Verdana"/>
          <w:sz w:val="20"/>
          <w:szCs w:val="20"/>
        </w:rPr>
        <w:t>”, “</w:t>
      </w:r>
      <w:r w:rsidR="00860495" w:rsidRPr="00BB29A9">
        <w:rPr>
          <w:rFonts w:ascii="Verdana" w:hAnsi="Verdana"/>
          <w:sz w:val="20"/>
          <w:szCs w:val="20"/>
        </w:rPr>
        <w:t>los padres de familia deben r</w:t>
      </w:r>
      <w:r w:rsidR="00C60369" w:rsidRPr="00BB29A9">
        <w:rPr>
          <w:rFonts w:ascii="Verdana" w:hAnsi="Verdana"/>
          <w:sz w:val="20"/>
          <w:szCs w:val="20"/>
        </w:rPr>
        <w:t>ealizar la ‘</w:t>
      </w:r>
      <w:r w:rsidR="00860495" w:rsidRPr="00BB29A9">
        <w:rPr>
          <w:rFonts w:ascii="Verdana" w:hAnsi="Verdana"/>
          <w:sz w:val="20"/>
          <w:szCs w:val="20"/>
        </w:rPr>
        <w:t>auditoría social</w:t>
      </w:r>
      <w:r w:rsidR="00C60369" w:rsidRPr="00BB29A9">
        <w:rPr>
          <w:rFonts w:ascii="Verdana" w:hAnsi="Verdana"/>
          <w:sz w:val="20"/>
          <w:szCs w:val="20"/>
        </w:rPr>
        <w:t>’</w:t>
      </w:r>
      <w:r w:rsidR="00860495" w:rsidRPr="00BB29A9">
        <w:rPr>
          <w:rFonts w:ascii="Verdana" w:hAnsi="Verdana"/>
          <w:sz w:val="20"/>
          <w:szCs w:val="20"/>
        </w:rPr>
        <w:t xml:space="preserve"> para que los docentes </w:t>
      </w:r>
      <w:r w:rsidR="00C60369" w:rsidRPr="00BB29A9">
        <w:rPr>
          <w:rFonts w:ascii="Verdana" w:hAnsi="Verdana"/>
          <w:sz w:val="20"/>
          <w:szCs w:val="20"/>
        </w:rPr>
        <w:t xml:space="preserve">[…] </w:t>
      </w:r>
      <w:proofErr w:type="spellStart"/>
      <w:r w:rsidR="00860495" w:rsidRPr="00BB29A9">
        <w:rPr>
          <w:rFonts w:ascii="Verdana" w:hAnsi="Verdana"/>
          <w:sz w:val="20"/>
          <w:szCs w:val="20"/>
        </w:rPr>
        <w:t>practi</w:t>
      </w:r>
      <w:proofErr w:type="spellEnd"/>
      <w:r w:rsidR="00C60369" w:rsidRPr="00BB29A9">
        <w:rPr>
          <w:rFonts w:ascii="Verdana" w:hAnsi="Verdana"/>
          <w:sz w:val="20"/>
          <w:szCs w:val="20"/>
        </w:rPr>
        <w:t>[</w:t>
      </w:r>
      <w:proofErr w:type="spellStart"/>
      <w:r w:rsidR="00C60369" w:rsidRPr="00BB29A9">
        <w:rPr>
          <w:rFonts w:ascii="Verdana" w:hAnsi="Verdana"/>
          <w:sz w:val="20"/>
          <w:szCs w:val="20"/>
        </w:rPr>
        <w:t>quen</w:t>
      </w:r>
      <w:proofErr w:type="spellEnd"/>
      <w:r w:rsidR="00C60369" w:rsidRPr="00BB29A9">
        <w:rPr>
          <w:rFonts w:ascii="Verdana" w:hAnsi="Verdana"/>
          <w:sz w:val="20"/>
          <w:szCs w:val="20"/>
        </w:rPr>
        <w:t>]</w:t>
      </w:r>
      <w:r w:rsidR="00860495" w:rsidRPr="00BB29A9">
        <w:rPr>
          <w:rFonts w:ascii="Verdana" w:hAnsi="Verdana"/>
          <w:sz w:val="20"/>
          <w:szCs w:val="20"/>
        </w:rPr>
        <w:t xml:space="preserve"> el idioma Achí con los alumnos”.</w:t>
      </w:r>
    </w:p>
    <w:p w14:paraId="1DA5F7A8" w14:textId="5A8DA6B7" w:rsidR="00BE1F3F" w:rsidRPr="00A63011" w:rsidRDefault="00094A3F" w:rsidP="00A63011">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Tercero,</w:t>
      </w:r>
      <w:r w:rsidR="00A63011">
        <w:rPr>
          <w:rFonts w:ascii="Verdana" w:hAnsi="Verdana"/>
          <w:sz w:val="20"/>
          <w:szCs w:val="20"/>
        </w:rPr>
        <w:t xml:space="preserve"> en </w:t>
      </w:r>
      <w:r w:rsidR="00A63011" w:rsidRPr="00A63011">
        <w:rPr>
          <w:rFonts w:ascii="Verdana" w:hAnsi="Verdana"/>
          <w:sz w:val="20"/>
          <w:szCs w:val="20"/>
        </w:rPr>
        <w:t>enero y octubre de 2018</w:t>
      </w:r>
      <w:r w:rsidRPr="00A63011">
        <w:rPr>
          <w:rFonts w:ascii="Verdana" w:hAnsi="Verdana"/>
          <w:sz w:val="20"/>
          <w:szCs w:val="20"/>
        </w:rPr>
        <w:t xml:space="preserve"> l</w:t>
      </w:r>
      <w:r w:rsidR="00251DCC" w:rsidRPr="00A63011">
        <w:rPr>
          <w:rFonts w:ascii="Verdana" w:hAnsi="Verdana"/>
          <w:sz w:val="20"/>
          <w:szCs w:val="20"/>
        </w:rPr>
        <w:t xml:space="preserve">os representantes </w:t>
      </w:r>
      <w:r w:rsidR="00D93EF2" w:rsidRPr="00A63011">
        <w:rPr>
          <w:rFonts w:ascii="Verdana" w:hAnsi="Verdana"/>
          <w:sz w:val="20"/>
          <w:szCs w:val="20"/>
        </w:rPr>
        <w:t>alegaron</w:t>
      </w:r>
      <w:r w:rsidR="00251DCC" w:rsidRPr="00A63011">
        <w:rPr>
          <w:rFonts w:ascii="Verdana" w:hAnsi="Verdana"/>
          <w:sz w:val="20"/>
          <w:szCs w:val="20"/>
        </w:rPr>
        <w:t xml:space="preserve"> que el </w:t>
      </w:r>
      <w:r w:rsidR="00A63011">
        <w:rPr>
          <w:rFonts w:ascii="Verdana" w:hAnsi="Verdana"/>
          <w:sz w:val="20"/>
          <w:szCs w:val="20"/>
        </w:rPr>
        <w:t>Estado</w:t>
      </w:r>
      <w:r w:rsidR="00251DCC" w:rsidRPr="00A63011">
        <w:rPr>
          <w:rFonts w:ascii="Verdana" w:hAnsi="Verdana"/>
          <w:sz w:val="20"/>
          <w:szCs w:val="20"/>
        </w:rPr>
        <w:t xml:space="preserve"> </w:t>
      </w:r>
      <w:r w:rsidR="00D93EF2" w:rsidRPr="00A63011">
        <w:rPr>
          <w:rFonts w:ascii="Verdana" w:hAnsi="Verdana"/>
          <w:sz w:val="20"/>
          <w:szCs w:val="20"/>
        </w:rPr>
        <w:t xml:space="preserve">no explica </w:t>
      </w:r>
      <w:r w:rsidR="00251DCC" w:rsidRPr="00A63011">
        <w:rPr>
          <w:rFonts w:ascii="Verdana" w:hAnsi="Verdana"/>
          <w:sz w:val="20"/>
          <w:szCs w:val="20"/>
        </w:rPr>
        <w:t xml:space="preserve">cómo </w:t>
      </w:r>
      <w:r w:rsidR="00993734" w:rsidRPr="00A63011">
        <w:rPr>
          <w:rFonts w:ascii="Verdana" w:hAnsi="Verdana"/>
          <w:sz w:val="20"/>
          <w:szCs w:val="20"/>
        </w:rPr>
        <w:t>la</w:t>
      </w:r>
      <w:r w:rsidR="00251DCC" w:rsidRPr="00A63011">
        <w:rPr>
          <w:rFonts w:ascii="Verdana" w:hAnsi="Verdana"/>
          <w:sz w:val="20"/>
          <w:szCs w:val="20"/>
        </w:rPr>
        <w:t xml:space="preserve"> cantidad de profesores </w:t>
      </w:r>
      <w:r w:rsidR="00A63011">
        <w:rPr>
          <w:rFonts w:ascii="Verdana" w:hAnsi="Verdana"/>
          <w:sz w:val="20"/>
          <w:szCs w:val="20"/>
        </w:rPr>
        <w:t xml:space="preserve">que </w:t>
      </w:r>
      <w:r w:rsidR="00993734" w:rsidRPr="00A63011">
        <w:rPr>
          <w:rFonts w:ascii="Verdana" w:hAnsi="Verdana"/>
          <w:sz w:val="20"/>
          <w:szCs w:val="20"/>
        </w:rPr>
        <w:t xml:space="preserve">indica, </w:t>
      </w:r>
      <w:r w:rsidR="00D93EF2" w:rsidRPr="00A63011">
        <w:rPr>
          <w:rFonts w:ascii="Verdana" w:hAnsi="Verdana"/>
          <w:sz w:val="20"/>
          <w:szCs w:val="20"/>
        </w:rPr>
        <w:t>es la adecuada para las ne</w:t>
      </w:r>
      <w:r w:rsidR="00993734" w:rsidRPr="00A63011">
        <w:rPr>
          <w:rFonts w:ascii="Verdana" w:hAnsi="Verdana"/>
          <w:sz w:val="20"/>
          <w:szCs w:val="20"/>
        </w:rPr>
        <w:t>cesidades de las 13 comunidades</w:t>
      </w:r>
      <w:r w:rsidR="00606C68" w:rsidRPr="00A63011">
        <w:rPr>
          <w:rFonts w:ascii="Verdana" w:hAnsi="Verdana"/>
          <w:sz w:val="20"/>
          <w:szCs w:val="20"/>
        </w:rPr>
        <w:t xml:space="preserve"> y la cantidad de alumnos según los niveles educativos, tal como fue requerido por la Corte en la Resolución de 25 de mayo de 2017 </w:t>
      </w:r>
      <w:r w:rsidR="00606C68" w:rsidRPr="00A63011">
        <w:rPr>
          <w:rFonts w:ascii="Verdana" w:hAnsi="Verdana"/>
          <w:sz w:val="20"/>
          <w:szCs w:val="20"/>
        </w:rPr>
        <w:lastRenderedPageBreak/>
        <w:t>(</w:t>
      </w:r>
      <w:r w:rsidR="00606C68" w:rsidRPr="00A63011">
        <w:rPr>
          <w:rFonts w:ascii="Verdana" w:hAnsi="Verdana"/>
          <w:i/>
          <w:sz w:val="20"/>
          <w:szCs w:val="20"/>
        </w:rPr>
        <w:t>supra</w:t>
      </w:r>
      <w:r w:rsidR="00606C68" w:rsidRPr="00A63011">
        <w:rPr>
          <w:rFonts w:ascii="Verdana" w:hAnsi="Verdana"/>
          <w:sz w:val="20"/>
          <w:szCs w:val="20"/>
        </w:rPr>
        <w:t xml:space="preserve"> Considerando </w:t>
      </w:r>
      <w:r w:rsidR="00B76AF5">
        <w:rPr>
          <w:rFonts w:ascii="Verdana" w:hAnsi="Verdana"/>
          <w:sz w:val="20"/>
          <w:szCs w:val="20"/>
        </w:rPr>
        <w:t>50</w:t>
      </w:r>
      <w:r w:rsidR="00606C68" w:rsidRPr="00A63011">
        <w:rPr>
          <w:rFonts w:ascii="Verdana" w:hAnsi="Verdana"/>
          <w:sz w:val="20"/>
          <w:szCs w:val="20"/>
        </w:rPr>
        <w:t>)</w:t>
      </w:r>
      <w:r w:rsidR="00251DCC" w:rsidRPr="00A63011">
        <w:rPr>
          <w:rFonts w:ascii="Verdana" w:hAnsi="Verdana"/>
          <w:sz w:val="20"/>
          <w:szCs w:val="20"/>
        </w:rPr>
        <w:t>.</w:t>
      </w:r>
      <w:r w:rsidR="00993734" w:rsidRPr="00A63011">
        <w:rPr>
          <w:rFonts w:ascii="Verdana" w:hAnsi="Verdana"/>
          <w:iCs/>
          <w:sz w:val="20"/>
          <w:szCs w:val="20"/>
        </w:rPr>
        <w:t xml:space="preserve"> En respuesta,</w:t>
      </w:r>
      <w:r w:rsidR="00A63011">
        <w:rPr>
          <w:rFonts w:ascii="Verdana" w:hAnsi="Verdana"/>
          <w:iCs/>
          <w:sz w:val="20"/>
          <w:szCs w:val="20"/>
        </w:rPr>
        <w:t xml:space="preserve"> en</w:t>
      </w:r>
      <w:r w:rsidR="00A63011">
        <w:rPr>
          <w:rFonts w:ascii="Verdana" w:hAnsi="Verdana"/>
          <w:sz w:val="20"/>
          <w:szCs w:val="20"/>
        </w:rPr>
        <w:t xml:space="preserve"> </w:t>
      </w:r>
      <w:r w:rsidR="00A63011" w:rsidRPr="00A63011">
        <w:rPr>
          <w:rFonts w:ascii="Verdana" w:hAnsi="Verdana"/>
          <w:iCs/>
          <w:sz w:val="20"/>
          <w:szCs w:val="20"/>
        </w:rPr>
        <w:t>diciembre de 2020</w:t>
      </w:r>
      <w:r w:rsidR="00993734" w:rsidRPr="00A63011">
        <w:rPr>
          <w:rFonts w:ascii="Verdana" w:hAnsi="Verdana"/>
          <w:iCs/>
          <w:sz w:val="20"/>
          <w:szCs w:val="20"/>
        </w:rPr>
        <w:t xml:space="preserve"> el Estado sostuvo que la cantidad de docentes que están atendiendo estas comunidades </w:t>
      </w:r>
      <w:r w:rsidR="00EC18C0" w:rsidRPr="00A63011">
        <w:rPr>
          <w:rFonts w:ascii="Verdana" w:hAnsi="Verdana"/>
          <w:iCs/>
          <w:sz w:val="20"/>
          <w:szCs w:val="20"/>
        </w:rPr>
        <w:t xml:space="preserve">“son suficientes, pero si hay necesidad de realizar algunos reajustes en las comunidades </w:t>
      </w:r>
      <w:proofErr w:type="spellStart"/>
      <w:r w:rsidR="00EC18C0" w:rsidRPr="00A63011">
        <w:rPr>
          <w:rFonts w:ascii="Verdana" w:hAnsi="Verdana"/>
          <w:iCs/>
          <w:sz w:val="20"/>
          <w:szCs w:val="20"/>
        </w:rPr>
        <w:t>Raxjut</w:t>
      </w:r>
      <w:proofErr w:type="spellEnd"/>
      <w:r w:rsidR="00EC18C0" w:rsidRPr="00A63011">
        <w:rPr>
          <w:rFonts w:ascii="Verdana" w:hAnsi="Verdana"/>
          <w:iCs/>
          <w:sz w:val="20"/>
          <w:szCs w:val="20"/>
        </w:rPr>
        <w:t>, Joya de Ramos y Las Ventanas donde se evidencia […] que hay algunos docentes que sobre pasan la cantidad de 30 alumnos, en este caso se estará</w:t>
      </w:r>
      <w:r w:rsidR="00EC18C0" w:rsidRPr="00A63011">
        <w:rPr>
          <w:rFonts w:ascii="Verdana" w:hAnsi="Verdana"/>
          <w:sz w:val="20"/>
          <w:szCs w:val="20"/>
        </w:rPr>
        <w:t xml:space="preserve"> </w:t>
      </w:r>
      <w:r w:rsidR="00EC18C0" w:rsidRPr="00A63011">
        <w:rPr>
          <w:rFonts w:ascii="Verdana" w:hAnsi="Verdana"/>
          <w:iCs/>
          <w:sz w:val="20"/>
          <w:szCs w:val="20"/>
        </w:rPr>
        <w:t>haciendo el requerimiento a la dirección departamental del personal necesario</w:t>
      </w:r>
      <w:r w:rsidR="00993734" w:rsidRPr="00A63011">
        <w:rPr>
          <w:rFonts w:ascii="Verdana" w:hAnsi="Verdana"/>
          <w:iCs/>
          <w:sz w:val="20"/>
          <w:szCs w:val="20"/>
        </w:rPr>
        <w:t>”.</w:t>
      </w:r>
    </w:p>
    <w:p w14:paraId="031AAE3E" w14:textId="4E6D8D6B" w:rsidR="00D70FEE" w:rsidRPr="003B523D" w:rsidRDefault="00952B1E" w:rsidP="003B523D">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Cuarto, e</w:t>
      </w:r>
      <w:r w:rsidR="00C62043" w:rsidRPr="00BB29A9">
        <w:rPr>
          <w:rFonts w:ascii="Verdana" w:hAnsi="Verdana"/>
          <w:sz w:val="20"/>
          <w:szCs w:val="20"/>
        </w:rPr>
        <w:t>n diciembre de 2020, el Estado señaló que</w:t>
      </w:r>
      <w:r w:rsidR="00E01EFC" w:rsidRPr="00BB29A9">
        <w:rPr>
          <w:rFonts w:ascii="Verdana" w:hAnsi="Verdana"/>
          <w:sz w:val="20"/>
          <w:szCs w:val="20"/>
        </w:rPr>
        <w:t xml:space="preserve"> en “</w:t>
      </w:r>
      <w:r w:rsidR="00E01EFC" w:rsidRPr="00BB29A9">
        <w:rPr>
          <w:rFonts w:ascii="Verdana" w:hAnsi="Verdana"/>
          <w:iCs/>
          <w:sz w:val="20"/>
          <w:szCs w:val="20"/>
        </w:rPr>
        <w:t xml:space="preserve">las comunidades de Plan de Sánchez, Joya de Ramos, </w:t>
      </w:r>
      <w:proofErr w:type="spellStart"/>
      <w:r w:rsidR="00E01EFC" w:rsidRPr="00BB29A9">
        <w:rPr>
          <w:rFonts w:ascii="Verdana" w:hAnsi="Verdana"/>
          <w:iCs/>
          <w:sz w:val="20"/>
          <w:szCs w:val="20"/>
        </w:rPr>
        <w:t>Raxjut</w:t>
      </w:r>
      <w:proofErr w:type="spellEnd"/>
      <w:r w:rsidR="00E01EFC" w:rsidRPr="00BB29A9">
        <w:rPr>
          <w:rFonts w:ascii="Verdana" w:hAnsi="Verdana"/>
          <w:iCs/>
          <w:sz w:val="20"/>
          <w:szCs w:val="20"/>
        </w:rPr>
        <w:t xml:space="preserve">, </w:t>
      </w:r>
      <w:proofErr w:type="spellStart"/>
      <w:r w:rsidR="00E01EFC" w:rsidRPr="00BB29A9">
        <w:rPr>
          <w:rFonts w:ascii="Verdana" w:hAnsi="Verdana"/>
          <w:iCs/>
          <w:sz w:val="20"/>
          <w:szCs w:val="20"/>
        </w:rPr>
        <w:t>Coxojabaj</w:t>
      </w:r>
      <w:proofErr w:type="spellEnd"/>
      <w:r w:rsidR="00E01EFC" w:rsidRPr="00BB29A9">
        <w:rPr>
          <w:rFonts w:ascii="Verdana" w:hAnsi="Verdana"/>
          <w:iCs/>
          <w:sz w:val="20"/>
          <w:szCs w:val="20"/>
        </w:rPr>
        <w:t xml:space="preserve">, Las Ventanas, </w:t>
      </w:r>
      <w:proofErr w:type="spellStart"/>
      <w:r w:rsidR="00E01EFC" w:rsidRPr="00BB29A9">
        <w:rPr>
          <w:rFonts w:ascii="Verdana" w:hAnsi="Verdana"/>
          <w:iCs/>
          <w:sz w:val="20"/>
          <w:szCs w:val="20"/>
        </w:rPr>
        <w:t>Chíac</w:t>
      </w:r>
      <w:proofErr w:type="spellEnd"/>
      <w:r w:rsidR="00E01EFC" w:rsidRPr="00BB29A9">
        <w:rPr>
          <w:rFonts w:ascii="Verdana" w:hAnsi="Verdana"/>
          <w:iCs/>
          <w:sz w:val="20"/>
          <w:szCs w:val="20"/>
        </w:rPr>
        <w:t xml:space="preserve">, </w:t>
      </w:r>
      <w:proofErr w:type="spellStart"/>
      <w:r w:rsidR="00E01EFC" w:rsidRPr="00BB29A9">
        <w:rPr>
          <w:rFonts w:ascii="Verdana" w:hAnsi="Verdana"/>
          <w:iCs/>
          <w:sz w:val="20"/>
          <w:szCs w:val="20"/>
        </w:rPr>
        <w:t>Concul</w:t>
      </w:r>
      <w:proofErr w:type="spellEnd"/>
      <w:r w:rsidR="00E01EFC" w:rsidRPr="00BB29A9">
        <w:rPr>
          <w:rFonts w:ascii="Verdana" w:hAnsi="Verdana"/>
          <w:iCs/>
          <w:sz w:val="20"/>
          <w:szCs w:val="20"/>
        </w:rPr>
        <w:t xml:space="preserve"> y </w:t>
      </w:r>
      <w:proofErr w:type="spellStart"/>
      <w:r w:rsidR="00E01EFC" w:rsidRPr="00BB29A9">
        <w:rPr>
          <w:rFonts w:ascii="Verdana" w:hAnsi="Verdana"/>
          <w:iCs/>
          <w:sz w:val="20"/>
          <w:szCs w:val="20"/>
        </w:rPr>
        <w:t>Chíchupac</w:t>
      </w:r>
      <w:proofErr w:type="spellEnd"/>
      <w:r w:rsidR="00E01EFC" w:rsidRPr="00BB29A9">
        <w:rPr>
          <w:rFonts w:ascii="Verdana" w:hAnsi="Verdana"/>
          <w:iCs/>
          <w:sz w:val="20"/>
          <w:szCs w:val="20"/>
        </w:rPr>
        <w:t xml:space="preserve"> </w:t>
      </w:r>
      <w:r w:rsidR="00E01EFC" w:rsidRPr="00BB29A9">
        <w:rPr>
          <w:rFonts w:ascii="Verdana" w:hAnsi="Verdana"/>
          <w:sz w:val="20"/>
          <w:szCs w:val="20"/>
        </w:rPr>
        <w:t xml:space="preserve">se </w:t>
      </w:r>
      <w:r w:rsidR="00E01EFC" w:rsidRPr="00BB29A9">
        <w:rPr>
          <w:rFonts w:ascii="Verdana" w:hAnsi="Verdana"/>
          <w:iCs/>
          <w:sz w:val="20"/>
          <w:szCs w:val="20"/>
        </w:rPr>
        <w:t>imparte la enseñanza intercultural y bi</w:t>
      </w:r>
      <w:r w:rsidR="00787AD6" w:rsidRPr="00BB29A9">
        <w:rPr>
          <w:rFonts w:ascii="Verdana" w:hAnsi="Verdana"/>
          <w:iCs/>
          <w:sz w:val="20"/>
          <w:szCs w:val="20"/>
        </w:rPr>
        <w:t>lingüe en los niveles de primari</w:t>
      </w:r>
      <w:r w:rsidR="00E01EFC" w:rsidRPr="00BB29A9">
        <w:rPr>
          <w:rFonts w:ascii="Verdana" w:hAnsi="Verdana"/>
          <w:iCs/>
          <w:sz w:val="20"/>
          <w:szCs w:val="20"/>
        </w:rPr>
        <w:t>a y preprimario”</w:t>
      </w:r>
      <w:r w:rsidR="00FE7094" w:rsidRPr="00BB29A9">
        <w:rPr>
          <w:rFonts w:ascii="Verdana" w:hAnsi="Verdana"/>
          <w:iCs/>
          <w:sz w:val="20"/>
          <w:szCs w:val="20"/>
        </w:rPr>
        <w:t>,</w:t>
      </w:r>
      <w:r w:rsidR="00E01EFC" w:rsidRPr="00BB29A9">
        <w:rPr>
          <w:rFonts w:ascii="Verdana" w:hAnsi="Verdana"/>
          <w:iCs/>
          <w:sz w:val="20"/>
          <w:szCs w:val="20"/>
        </w:rPr>
        <w:t xml:space="preserve"> y </w:t>
      </w:r>
      <w:r w:rsidR="009D3B71" w:rsidRPr="00BB29A9">
        <w:rPr>
          <w:rFonts w:ascii="Verdana" w:hAnsi="Verdana"/>
          <w:iCs/>
          <w:sz w:val="20"/>
          <w:szCs w:val="20"/>
        </w:rPr>
        <w:t>que respecto a</w:t>
      </w:r>
      <w:r w:rsidR="00FE7094" w:rsidRPr="00BB29A9">
        <w:rPr>
          <w:rFonts w:ascii="Verdana" w:hAnsi="Verdana"/>
          <w:iCs/>
          <w:sz w:val="20"/>
          <w:szCs w:val="20"/>
        </w:rPr>
        <w:t xml:space="preserve"> </w:t>
      </w:r>
      <w:r w:rsidR="00E01EFC" w:rsidRPr="00BB29A9">
        <w:rPr>
          <w:rFonts w:ascii="Verdana" w:hAnsi="Verdana"/>
          <w:sz w:val="20"/>
          <w:szCs w:val="20"/>
        </w:rPr>
        <w:t xml:space="preserve">la comunidad de </w:t>
      </w:r>
      <w:proofErr w:type="spellStart"/>
      <w:r w:rsidR="00E01EFC" w:rsidRPr="00BB29A9">
        <w:rPr>
          <w:rFonts w:ascii="Verdana" w:hAnsi="Verdana"/>
          <w:sz w:val="20"/>
          <w:szCs w:val="20"/>
        </w:rPr>
        <w:t>Chipuerta</w:t>
      </w:r>
      <w:proofErr w:type="spellEnd"/>
      <w:r w:rsidR="00E01EFC" w:rsidRPr="00BB29A9">
        <w:rPr>
          <w:rFonts w:ascii="Verdana" w:hAnsi="Verdana"/>
          <w:iCs/>
          <w:sz w:val="20"/>
          <w:szCs w:val="20"/>
        </w:rPr>
        <w:t xml:space="preserve"> </w:t>
      </w:r>
      <w:r w:rsidR="00FE7094" w:rsidRPr="00BB29A9">
        <w:rPr>
          <w:rFonts w:ascii="Verdana" w:hAnsi="Verdana"/>
          <w:iCs/>
          <w:sz w:val="20"/>
          <w:szCs w:val="20"/>
        </w:rPr>
        <w:t>“</w:t>
      </w:r>
      <w:r w:rsidR="00E01EFC" w:rsidRPr="00BB29A9">
        <w:rPr>
          <w:rFonts w:ascii="Verdana" w:hAnsi="Verdana"/>
          <w:iCs/>
          <w:sz w:val="20"/>
          <w:szCs w:val="20"/>
        </w:rPr>
        <w:t>los niños asisten en las escuelas de Plan de Sánchez, Joy</w:t>
      </w:r>
      <w:r w:rsidR="00C62043" w:rsidRPr="00BB29A9">
        <w:rPr>
          <w:rFonts w:ascii="Verdana" w:hAnsi="Verdana"/>
          <w:iCs/>
          <w:sz w:val="20"/>
          <w:szCs w:val="20"/>
        </w:rPr>
        <w:t xml:space="preserve">a de Ramos, </w:t>
      </w:r>
      <w:proofErr w:type="spellStart"/>
      <w:r w:rsidR="00C62043" w:rsidRPr="00BB29A9">
        <w:rPr>
          <w:rFonts w:ascii="Verdana" w:hAnsi="Verdana"/>
          <w:iCs/>
          <w:sz w:val="20"/>
          <w:szCs w:val="20"/>
        </w:rPr>
        <w:t>Raxjut</w:t>
      </w:r>
      <w:proofErr w:type="spellEnd"/>
      <w:r w:rsidR="00C62043" w:rsidRPr="00BB29A9">
        <w:rPr>
          <w:rFonts w:ascii="Verdana" w:hAnsi="Verdana"/>
          <w:iCs/>
          <w:sz w:val="20"/>
          <w:szCs w:val="20"/>
        </w:rPr>
        <w:t xml:space="preserve"> y </w:t>
      </w:r>
      <w:proofErr w:type="spellStart"/>
      <w:r w:rsidR="00C62043" w:rsidRPr="00BB29A9">
        <w:rPr>
          <w:rFonts w:ascii="Verdana" w:hAnsi="Verdana"/>
          <w:iCs/>
          <w:sz w:val="20"/>
          <w:szCs w:val="20"/>
        </w:rPr>
        <w:t>Coxojabaj</w:t>
      </w:r>
      <w:proofErr w:type="spellEnd"/>
      <w:r w:rsidR="00C62043" w:rsidRPr="00BB29A9">
        <w:rPr>
          <w:rFonts w:ascii="Verdana" w:hAnsi="Verdana"/>
          <w:iCs/>
          <w:sz w:val="20"/>
          <w:szCs w:val="20"/>
        </w:rPr>
        <w:t>”</w:t>
      </w:r>
      <w:r w:rsidR="00E01EFC" w:rsidRPr="00BB29A9">
        <w:rPr>
          <w:rFonts w:ascii="Verdana" w:hAnsi="Verdana"/>
          <w:iCs/>
          <w:sz w:val="20"/>
          <w:szCs w:val="20"/>
        </w:rPr>
        <w:t xml:space="preserve">. </w:t>
      </w:r>
      <w:r w:rsidR="00C62043" w:rsidRPr="00BB29A9">
        <w:rPr>
          <w:rFonts w:ascii="Verdana" w:hAnsi="Verdana"/>
          <w:sz w:val="20"/>
          <w:szCs w:val="20"/>
        </w:rPr>
        <w:t>Además, indicó que</w:t>
      </w:r>
      <w:r w:rsidR="00E01EFC" w:rsidRPr="00BB29A9">
        <w:rPr>
          <w:rFonts w:ascii="Verdana" w:hAnsi="Verdana"/>
          <w:sz w:val="20"/>
          <w:szCs w:val="20"/>
        </w:rPr>
        <w:t xml:space="preserve"> en la comunidad </w:t>
      </w:r>
      <w:r w:rsidR="00B71E03">
        <w:rPr>
          <w:rFonts w:ascii="Verdana" w:hAnsi="Verdana"/>
          <w:sz w:val="20"/>
          <w:szCs w:val="20"/>
        </w:rPr>
        <w:t>El Volcancillo y la aldea L</w:t>
      </w:r>
      <w:r w:rsidR="00E01EFC" w:rsidRPr="00BB29A9">
        <w:rPr>
          <w:rFonts w:ascii="Verdana" w:hAnsi="Verdana"/>
          <w:sz w:val="20"/>
          <w:szCs w:val="20"/>
        </w:rPr>
        <w:t xml:space="preserve">as Minas se imparte educación intercultural y bilingüe en los niveles de preprimaria, primaria y básico, pero que “en la aldea </w:t>
      </w:r>
      <w:proofErr w:type="spellStart"/>
      <w:r w:rsidR="00E01EFC" w:rsidRPr="00BB29A9">
        <w:rPr>
          <w:rFonts w:ascii="Verdana" w:hAnsi="Verdana"/>
          <w:sz w:val="20"/>
          <w:szCs w:val="20"/>
        </w:rPr>
        <w:t>lxchel</w:t>
      </w:r>
      <w:proofErr w:type="spellEnd"/>
      <w:r w:rsidR="00E01EFC" w:rsidRPr="00BB29A9">
        <w:rPr>
          <w:rFonts w:ascii="Verdana" w:hAnsi="Verdana"/>
          <w:sz w:val="20"/>
          <w:szCs w:val="20"/>
        </w:rPr>
        <w:t xml:space="preserve"> no existen profesores especializados en educación intercultural y bilingüe, toda vez que la comunidad no es bilingüe por lo que se utiliza solamente el idioma español al impartir clases”</w:t>
      </w:r>
      <w:r w:rsidR="00BE1F3F" w:rsidRPr="00BB29A9">
        <w:rPr>
          <w:rStyle w:val="Refdenotaalpie"/>
          <w:rFonts w:ascii="Verdana" w:hAnsi="Verdana"/>
          <w:iCs/>
          <w:sz w:val="20"/>
          <w:szCs w:val="20"/>
        </w:rPr>
        <w:footnoteReference w:id="60"/>
      </w:r>
      <w:r w:rsidR="00BE1F3F" w:rsidRPr="00BB29A9">
        <w:rPr>
          <w:rFonts w:ascii="Verdana" w:hAnsi="Verdana"/>
          <w:sz w:val="20"/>
          <w:szCs w:val="20"/>
        </w:rPr>
        <w:t>.</w:t>
      </w:r>
      <w:r w:rsidR="00D70FEE" w:rsidRPr="00BB29A9">
        <w:rPr>
          <w:rFonts w:ascii="Verdana" w:hAnsi="Verdana"/>
          <w:sz w:val="20"/>
          <w:szCs w:val="20"/>
        </w:rPr>
        <w:t xml:space="preserve"> </w:t>
      </w:r>
      <w:r w:rsidR="003B523D">
        <w:rPr>
          <w:rFonts w:ascii="Verdana" w:hAnsi="Verdana"/>
          <w:sz w:val="20"/>
          <w:szCs w:val="20"/>
        </w:rPr>
        <w:t xml:space="preserve">En </w:t>
      </w:r>
      <w:r w:rsidR="003B523D" w:rsidRPr="003B523D">
        <w:rPr>
          <w:rFonts w:ascii="Verdana" w:hAnsi="Verdana"/>
          <w:sz w:val="20"/>
          <w:szCs w:val="20"/>
        </w:rPr>
        <w:t>febrero de 2021</w:t>
      </w:r>
      <w:r w:rsidR="003B523D">
        <w:rPr>
          <w:rFonts w:ascii="Verdana" w:hAnsi="Verdana"/>
          <w:sz w:val="20"/>
          <w:szCs w:val="20"/>
        </w:rPr>
        <w:t xml:space="preserve"> l</w:t>
      </w:r>
      <w:r w:rsidR="003D0910" w:rsidRPr="003B523D">
        <w:rPr>
          <w:rFonts w:ascii="Verdana" w:hAnsi="Verdana"/>
          <w:sz w:val="20"/>
          <w:szCs w:val="20"/>
        </w:rPr>
        <w:t xml:space="preserve">os representantes aclararon que (a) </w:t>
      </w:r>
      <w:proofErr w:type="spellStart"/>
      <w:r w:rsidR="003D0910" w:rsidRPr="003B523D">
        <w:rPr>
          <w:rFonts w:ascii="Verdana" w:hAnsi="Verdana"/>
          <w:sz w:val="20"/>
          <w:szCs w:val="20"/>
        </w:rPr>
        <w:t>Chipu</w:t>
      </w:r>
      <w:r w:rsidR="00C60369" w:rsidRPr="003B523D">
        <w:rPr>
          <w:rFonts w:ascii="Verdana" w:hAnsi="Verdana"/>
          <w:sz w:val="20"/>
          <w:szCs w:val="20"/>
        </w:rPr>
        <w:t>erta</w:t>
      </w:r>
      <w:proofErr w:type="spellEnd"/>
      <w:r w:rsidR="00C60369" w:rsidRPr="003B523D">
        <w:rPr>
          <w:rFonts w:ascii="Verdana" w:hAnsi="Verdana"/>
          <w:sz w:val="20"/>
          <w:szCs w:val="20"/>
        </w:rPr>
        <w:t xml:space="preserve"> cuenta con los niveles pre</w:t>
      </w:r>
      <w:r w:rsidR="003D0910" w:rsidRPr="003B523D">
        <w:rPr>
          <w:rFonts w:ascii="Verdana" w:hAnsi="Verdana"/>
          <w:sz w:val="20"/>
          <w:szCs w:val="20"/>
        </w:rPr>
        <w:t>primario, primario y básico, y los adolescentes tienen acceso al nivel diversificado en otras comunidades</w:t>
      </w:r>
      <w:r w:rsidR="00C60369" w:rsidRPr="003B523D">
        <w:rPr>
          <w:rFonts w:ascii="Verdana" w:hAnsi="Verdana"/>
          <w:sz w:val="20"/>
          <w:szCs w:val="20"/>
        </w:rPr>
        <w:t xml:space="preserve"> que cuentan con este servicio</w:t>
      </w:r>
      <w:r w:rsidR="003D0910" w:rsidRPr="003B523D">
        <w:rPr>
          <w:rFonts w:ascii="Verdana" w:hAnsi="Verdana"/>
          <w:sz w:val="20"/>
          <w:szCs w:val="20"/>
        </w:rPr>
        <w:t xml:space="preserve">, (b) </w:t>
      </w:r>
      <w:proofErr w:type="spellStart"/>
      <w:r w:rsidR="003D0910" w:rsidRPr="003B523D">
        <w:rPr>
          <w:rFonts w:ascii="Verdana" w:hAnsi="Verdana"/>
          <w:sz w:val="20"/>
          <w:szCs w:val="20"/>
        </w:rPr>
        <w:t>Concul</w:t>
      </w:r>
      <w:proofErr w:type="spellEnd"/>
      <w:r w:rsidR="003D0910" w:rsidRPr="003B523D">
        <w:rPr>
          <w:rFonts w:ascii="Verdana" w:hAnsi="Verdana"/>
          <w:sz w:val="20"/>
          <w:szCs w:val="20"/>
        </w:rPr>
        <w:t xml:space="preserve"> y Plan de Sánchez cuenta con todos los niveles educativos, (c) Ixchel cuenta con todos los niveles, excepto el nivel diversificado, y (d) Joya de Ramos cuenta con los niveles preprimario y primario</w:t>
      </w:r>
      <w:r w:rsidR="00D70FEE" w:rsidRPr="003B523D">
        <w:rPr>
          <w:rFonts w:ascii="Verdana" w:hAnsi="Verdana"/>
          <w:sz w:val="20"/>
          <w:szCs w:val="20"/>
        </w:rPr>
        <w:t>.</w:t>
      </w:r>
    </w:p>
    <w:p w14:paraId="64C5ED2B" w14:textId="5CBA698A" w:rsidR="00D90C51" w:rsidRPr="00D90C51" w:rsidRDefault="00952B1E" w:rsidP="00D90C51">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Quinto, e</w:t>
      </w:r>
      <w:r w:rsidR="00D70FEE" w:rsidRPr="00BB29A9">
        <w:rPr>
          <w:rFonts w:ascii="Verdana" w:hAnsi="Verdana"/>
          <w:sz w:val="20"/>
          <w:szCs w:val="20"/>
        </w:rPr>
        <w:t xml:space="preserve">l Estado informó que </w:t>
      </w:r>
      <w:r w:rsidR="006761CA" w:rsidRPr="00BB29A9">
        <w:rPr>
          <w:rFonts w:ascii="Verdana" w:hAnsi="Verdana"/>
          <w:sz w:val="20"/>
          <w:szCs w:val="20"/>
        </w:rPr>
        <w:t xml:space="preserve">en marzo de 2018 </w:t>
      </w:r>
      <w:r w:rsidR="00D70FEE" w:rsidRPr="00BB29A9">
        <w:rPr>
          <w:rFonts w:ascii="Verdana" w:hAnsi="Verdana"/>
          <w:sz w:val="20"/>
          <w:szCs w:val="20"/>
        </w:rPr>
        <w:t>se creó el Instituto Nacional de Educación Diversificada</w:t>
      </w:r>
      <w:r w:rsidR="006761CA" w:rsidRPr="00BB29A9">
        <w:rPr>
          <w:rFonts w:ascii="Verdana" w:hAnsi="Verdana"/>
          <w:sz w:val="20"/>
          <w:szCs w:val="20"/>
        </w:rPr>
        <w:t xml:space="preserve">, Aldea </w:t>
      </w:r>
      <w:proofErr w:type="spellStart"/>
      <w:r w:rsidR="006761CA" w:rsidRPr="00BB29A9">
        <w:rPr>
          <w:rFonts w:ascii="Verdana" w:hAnsi="Verdana"/>
          <w:sz w:val="20"/>
          <w:szCs w:val="20"/>
        </w:rPr>
        <w:t>Raxjut</w:t>
      </w:r>
      <w:proofErr w:type="spellEnd"/>
      <w:r w:rsidR="006761CA" w:rsidRPr="00BB29A9">
        <w:rPr>
          <w:rFonts w:ascii="Verdana" w:hAnsi="Verdana"/>
          <w:sz w:val="20"/>
          <w:szCs w:val="20"/>
        </w:rPr>
        <w:t>, del municipio de Rabinal, Departamento de Baja Verapaz</w:t>
      </w:r>
      <w:r w:rsidR="00D70FEE" w:rsidRPr="00BB29A9">
        <w:rPr>
          <w:rStyle w:val="Refdenotaalpie"/>
          <w:rFonts w:ascii="Verdana" w:hAnsi="Verdana"/>
          <w:sz w:val="20"/>
          <w:szCs w:val="20"/>
        </w:rPr>
        <w:footnoteReference w:id="61"/>
      </w:r>
      <w:r w:rsidR="00D70FEE" w:rsidRPr="00BB29A9">
        <w:rPr>
          <w:rFonts w:ascii="Verdana" w:hAnsi="Verdana"/>
          <w:sz w:val="20"/>
          <w:szCs w:val="20"/>
        </w:rPr>
        <w:t xml:space="preserve">. </w:t>
      </w:r>
      <w:r w:rsidR="00C60369" w:rsidRPr="00BB29A9">
        <w:rPr>
          <w:rFonts w:ascii="Verdana" w:hAnsi="Verdana"/>
          <w:sz w:val="20"/>
          <w:szCs w:val="20"/>
        </w:rPr>
        <w:t>En febrero de 2021, l</w:t>
      </w:r>
      <w:r w:rsidR="00D70FEE" w:rsidRPr="00BB29A9">
        <w:rPr>
          <w:rFonts w:ascii="Verdana" w:hAnsi="Verdana"/>
          <w:sz w:val="20"/>
          <w:szCs w:val="20"/>
        </w:rPr>
        <w:t xml:space="preserve">os representantes sostuvieron que </w:t>
      </w:r>
      <w:r w:rsidR="00C60369" w:rsidRPr="00BB29A9">
        <w:rPr>
          <w:rFonts w:ascii="Verdana" w:hAnsi="Verdana"/>
          <w:sz w:val="20"/>
          <w:szCs w:val="20"/>
        </w:rPr>
        <w:t>no se ha</w:t>
      </w:r>
      <w:r w:rsidR="003D0910" w:rsidRPr="00BB29A9">
        <w:rPr>
          <w:rFonts w:ascii="Verdana" w:hAnsi="Verdana"/>
          <w:sz w:val="20"/>
          <w:szCs w:val="20"/>
        </w:rPr>
        <w:t xml:space="preserve"> finalizado</w:t>
      </w:r>
      <w:r w:rsidR="00D70FEE" w:rsidRPr="00BB29A9">
        <w:rPr>
          <w:rFonts w:ascii="Verdana" w:hAnsi="Verdana"/>
          <w:sz w:val="20"/>
          <w:szCs w:val="20"/>
        </w:rPr>
        <w:t xml:space="preserve"> la construcción de </w:t>
      </w:r>
      <w:r w:rsidR="00C60369" w:rsidRPr="00BB29A9">
        <w:rPr>
          <w:rFonts w:ascii="Verdana" w:hAnsi="Verdana"/>
          <w:sz w:val="20"/>
          <w:szCs w:val="20"/>
        </w:rPr>
        <w:t>las</w:t>
      </w:r>
      <w:r w:rsidR="00D70FEE" w:rsidRPr="00BB29A9">
        <w:rPr>
          <w:rFonts w:ascii="Verdana" w:hAnsi="Verdana"/>
          <w:sz w:val="20"/>
          <w:szCs w:val="20"/>
        </w:rPr>
        <w:t xml:space="preserve"> instalaciones</w:t>
      </w:r>
      <w:r w:rsidR="00C60369" w:rsidRPr="00BB29A9">
        <w:rPr>
          <w:rFonts w:ascii="Verdana" w:hAnsi="Verdana"/>
          <w:sz w:val="20"/>
          <w:szCs w:val="20"/>
        </w:rPr>
        <w:t xml:space="preserve"> del nivel diversificado</w:t>
      </w:r>
      <w:r w:rsidR="003D0910" w:rsidRPr="00BB29A9">
        <w:rPr>
          <w:rFonts w:ascii="Verdana" w:hAnsi="Verdana"/>
          <w:sz w:val="20"/>
          <w:szCs w:val="20"/>
        </w:rPr>
        <w:t>, por lo que las famili</w:t>
      </w:r>
      <w:r w:rsidR="00D70FEE" w:rsidRPr="00BB29A9">
        <w:rPr>
          <w:rFonts w:ascii="Verdana" w:hAnsi="Verdana"/>
          <w:sz w:val="20"/>
          <w:szCs w:val="20"/>
        </w:rPr>
        <w:t>as de la comunidad han aportado</w:t>
      </w:r>
      <w:r w:rsidR="003D0910" w:rsidRPr="00BB29A9">
        <w:rPr>
          <w:rFonts w:ascii="Verdana" w:hAnsi="Verdana"/>
          <w:sz w:val="20"/>
          <w:szCs w:val="20"/>
        </w:rPr>
        <w:t xml:space="preserve"> mano de obra y recursos económicos para fi</w:t>
      </w:r>
      <w:r w:rsidR="00D70FEE" w:rsidRPr="00BB29A9">
        <w:rPr>
          <w:rFonts w:ascii="Verdana" w:hAnsi="Verdana"/>
          <w:sz w:val="20"/>
          <w:szCs w:val="20"/>
        </w:rPr>
        <w:t>nalizar</w:t>
      </w:r>
      <w:r w:rsidR="003D0910" w:rsidRPr="00BB29A9">
        <w:rPr>
          <w:rFonts w:ascii="Verdana" w:hAnsi="Verdana"/>
          <w:sz w:val="20"/>
          <w:szCs w:val="20"/>
        </w:rPr>
        <w:t xml:space="preserve">la. Sin embargo, </w:t>
      </w:r>
      <w:r w:rsidR="00D70FEE" w:rsidRPr="00BB29A9">
        <w:rPr>
          <w:rFonts w:ascii="Verdana" w:hAnsi="Verdana"/>
          <w:sz w:val="20"/>
          <w:szCs w:val="20"/>
        </w:rPr>
        <w:t>tales</w:t>
      </w:r>
      <w:r w:rsidR="003D0910" w:rsidRPr="00BB29A9">
        <w:rPr>
          <w:rFonts w:ascii="Verdana" w:hAnsi="Verdana"/>
          <w:sz w:val="20"/>
          <w:szCs w:val="20"/>
        </w:rPr>
        <w:t xml:space="preserve"> instalaciones “no cumplen con las características que debe tener un centro educativo (circulado, ventanas, balcones, baño y drenaje)”.</w:t>
      </w:r>
    </w:p>
    <w:p w14:paraId="2BDC3ED6" w14:textId="6B8863FD" w:rsidR="003D3E2E" w:rsidRPr="00321369" w:rsidRDefault="00D2693F" w:rsidP="00321369">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eastAsia="Verdana" w:hAnsi="Verdana" w:cs="Verdana"/>
          <w:sz w:val="20"/>
          <w:szCs w:val="20"/>
          <w:lang w:val="es-MX"/>
        </w:rPr>
        <w:t xml:space="preserve">La Corte </w:t>
      </w:r>
      <w:r w:rsidR="00006609" w:rsidRPr="00BB29A9">
        <w:rPr>
          <w:rFonts w:ascii="Verdana" w:eastAsia="Verdana" w:hAnsi="Verdana" w:cs="Verdana"/>
          <w:sz w:val="20"/>
          <w:szCs w:val="20"/>
          <w:lang w:val="es-MX"/>
        </w:rPr>
        <w:t>constata</w:t>
      </w:r>
      <w:r w:rsidRPr="00BB29A9">
        <w:rPr>
          <w:rFonts w:ascii="Verdana" w:eastAsia="Verdana" w:hAnsi="Verdana" w:cs="Verdana"/>
          <w:sz w:val="20"/>
          <w:szCs w:val="20"/>
          <w:lang w:val="es-MX"/>
        </w:rPr>
        <w:t xml:space="preserve"> que, d</w:t>
      </w:r>
      <w:r w:rsidR="00761C37" w:rsidRPr="00BB29A9">
        <w:rPr>
          <w:rFonts w:ascii="Verdana" w:eastAsia="Verdana" w:hAnsi="Verdana" w:cs="Verdana"/>
          <w:sz w:val="20"/>
          <w:szCs w:val="20"/>
          <w:lang w:val="es-MX"/>
        </w:rPr>
        <w:t>e la información presentada por las partes</w:t>
      </w:r>
      <w:r w:rsidR="00EE4978">
        <w:rPr>
          <w:rFonts w:ascii="Verdana" w:eastAsia="Verdana" w:hAnsi="Verdana" w:cs="Verdana"/>
          <w:sz w:val="20"/>
          <w:szCs w:val="20"/>
          <w:lang w:val="es-MX"/>
        </w:rPr>
        <w:t>,</w:t>
      </w:r>
      <w:r w:rsidR="00761C37" w:rsidRPr="00BB29A9">
        <w:rPr>
          <w:rFonts w:ascii="Verdana" w:eastAsia="Verdana" w:hAnsi="Verdana" w:cs="Verdana"/>
          <w:sz w:val="20"/>
          <w:szCs w:val="20"/>
          <w:lang w:val="es-MX"/>
        </w:rPr>
        <w:t xml:space="preserve"> se desprende que se han dado avances sustanciales </w:t>
      </w:r>
      <w:r w:rsidR="006B569E" w:rsidRPr="00BB29A9">
        <w:rPr>
          <w:rFonts w:ascii="Verdana" w:eastAsia="Verdana" w:hAnsi="Verdana" w:cs="Verdana"/>
          <w:sz w:val="20"/>
          <w:szCs w:val="20"/>
          <w:lang w:val="es-MX"/>
        </w:rPr>
        <w:t>respecto de la situación constatada</w:t>
      </w:r>
      <w:r w:rsidR="00006609" w:rsidRPr="00BB29A9">
        <w:rPr>
          <w:rFonts w:ascii="Verdana" w:eastAsia="Verdana" w:hAnsi="Verdana" w:cs="Verdana"/>
          <w:sz w:val="20"/>
          <w:szCs w:val="20"/>
          <w:lang w:val="es-MX"/>
        </w:rPr>
        <w:t xml:space="preserve"> </w:t>
      </w:r>
      <w:r w:rsidR="006B569E" w:rsidRPr="00BB29A9">
        <w:rPr>
          <w:rFonts w:ascii="Verdana" w:eastAsia="Verdana" w:hAnsi="Verdana" w:cs="Verdana"/>
          <w:sz w:val="20"/>
          <w:szCs w:val="20"/>
          <w:lang w:val="es-MX"/>
        </w:rPr>
        <w:t xml:space="preserve">en la </w:t>
      </w:r>
      <w:r w:rsidR="00006609" w:rsidRPr="00BB29A9">
        <w:rPr>
          <w:rFonts w:ascii="Verdana" w:eastAsia="Verdana" w:hAnsi="Verdana" w:cs="Verdana"/>
          <w:sz w:val="20"/>
          <w:szCs w:val="20"/>
          <w:lang w:val="es-MX"/>
        </w:rPr>
        <w:t>Sentencia</w:t>
      </w:r>
      <w:r w:rsidR="006C65EE" w:rsidRPr="00BB29A9">
        <w:rPr>
          <w:rFonts w:ascii="Verdana" w:hAnsi="Verdana"/>
          <w:sz w:val="20"/>
          <w:szCs w:val="20"/>
        </w:rPr>
        <w:t xml:space="preserve">, y que el Estado presentó la información que le fue requerida en la referida </w:t>
      </w:r>
      <w:r w:rsidR="00B855CE" w:rsidRPr="00BB29A9">
        <w:rPr>
          <w:rFonts w:ascii="Verdana" w:hAnsi="Verdana"/>
          <w:sz w:val="20"/>
          <w:szCs w:val="20"/>
        </w:rPr>
        <w:t>Resolución de 25 de mayo de 2017</w:t>
      </w:r>
      <w:r w:rsidR="006C65EE" w:rsidRPr="00BB29A9">
        <w:rPr>
          <w:rFonts w:ascii="Verdana" w:hAnsi="Verdana"/>
          <w:sz w:val="20"/>
          <w:szCs w:val="20"/>
        </w:rPr>
        <w:t xml:space="preserve"> (</w:t>
      </w:r>
      <w:r w:rsidR="006C65EE" w:rsidRPr="00BB29A9">
        <w:rPr>
          <w:rFonts w:ascii="Verdana" w:hAnsi="Verdana"/>
          <w:i/>
          <w:sz w:val="20"/>
          <w:szCs w:val="20"/>
        </w:rPr>
        <w:t xml:space="preserve">supra </w:t>
      </w:r>
      <w:r w:rsidR="00B76AF5">
        <w:rPr>
          <w:rFonts w:ascii="Verdana" w:hAnsi="Verdana"/>
          <w:sz w:val="20"/>
          <w:szCs w:val="20"/>
        </w:rPr>
        <w:t>Considerando 50</w:t>
      </w:r>
      <w:r w:rsidR="006C65EE" w:rsidRPr="00BB29A9">
        <w:rPr>
          <w:rFonts w:ascii="Verdana" w:hAnsi="Verdana"/>
          <w:sz w:val="20"/>
          <w:szCs w:val="20"/>
        </w:rPr>
        <w:t>).</w:t>
      </w:r>
      <w:r w:rsidR="00006609" w:rsidRPr="00BB29A9">
        <w:rPr>
          <w:rFonts w:ascii="Verdana" w:hAnsi="Verdana"/>
          <w:sz w:val="20"/>
          <w:szCs w:val="20"/>
        </w:rPr>
        <w:t xml:space="preserve"> </w:t>
      </w:r>
      <w:r w:rsidR="007D23A3" w:rsidRPr="00F85FFF">
        <w:rPr>
          <w:rFonts w:ascii="Verdana" w:hAnsi="Verdana"/>
          <w:sz w:val="20"/>
          <w:szCs w:val="20"/>
        </w:rPr>
        <w:t>En este sentido, n</w:t>
      </w:r>
      <w:r w:rsidR="006C65EE" w:rsidRPr="00F85FFF">
        <w:rPr>
          <w:rFonts w:ascii="Verdana" w:hAnsi="Verdana"/>
          <w:sz w:val="20"/>
          <w:szCs w:val="20"/>
        </w:rPr>
        <w:t>o se encuentra controvertido que</w:t>
      </w:r>
      <w:r w:rsidR="00787AD6" w:rsidRPr="00F85FFF">
        <w:rPr>
          <w:rFonts w:ascii="Verdana" w:hAnsi="Verdana"/>
          <w:sz w:val="20"/>
          <w:szCs w:val="20"/>
        </w:rPr>
        <w:t xml:space="preserve"> se </w:t>
      </w:r>
      <w:r w:rsidR="006C65EE" w:rsidRPr="00F85FFF">
        <w:rPr>
          <w:rFonts w:ascii="Verdana" w:hAnsi="Verdana"/>
          <w:sz w:val="20"/>
          <w:szCs w:val="20"/>
        </w:rPr>
        <w:t xml:space="preserve">ha </w:t>
      </w:r>
      <w:r w:rsidR="00787AD6" w:rsidRPr="00F85FFF">
        <w:rPr>
          <w:rFonts w:ascii="Verdana" w:hAnsi="Verdana"/>
          <w:sz w:val="20"/>
          <w:szCs w:val="20"/>
        </w:rPr>
        <w:t>realizado la capacitación a personal docente</w:t>
      </w:r>
      <w:r w:rsidR="006C65EE" w:rsidRPr="00F85FFF">
        <w:rPr>
          <w:rFonts w:ascii="Verdana" w:hAnsi="Verdana"/>
          <w:sz w:val="20"/>
          <w:szCs w:val="20"/>
        </w:rPr>
        <w:t>,</w:t>
      </w:r>
      <w:r w:rsidR="00B855CE" w:rsidRPr="00F85FFF">
        <w:rPr>
          <w:rFonts w:ascii="Verdana" w:hAnsi="Verdana"/>
          <w:sz w:val="20"/>
          <w:szCs w:val="20"/>
        </w:rPr>
        <w:t xml:space="preserve"> </w:t>
      </w:r>
      <w:r w:rsidR="00787AD6" w:rsidRPr="00F85FFF">
        <w:rPr>
          <w:rFonts w:ascii="Verdana" w:hAnsi="Verdana"/>
          <w:sz w:val="20"/>
          <w:szCs w:val="20"/>
        </w:rPr>
        <w:t>que en las comunidades se t</w:t>
      </w:r>
      <w:r w:rsidR="007D23A3" w:rsidRPr="00F85FFF">
        <w:rPr>
          <w:rFonts w:ascii="Verdana" w:hAnsi="Verdana"/>
          <w:sz w:val="20"/>
          <w:szCs w:val="20"/>
        </w:rPr>
        <w:t>iene</w:t>
      </w:r>
      <w:r w:rsidR="00787AD6" w:rsidRPr="00F85FFF">
        <w:rPr>
          <w:rFonts w:ascii="Verdana" w:hAnsi="Verdana"/>
          <w:sz w:val="20"/>
          <w:szCs w:val="20"/>
        </w:rPr>
        <w:t xml:space="preserve"> acceso a los niveles de enseñanza de </w:t>
      </w:r>
      <w:r w:rsidR="00787AD6" w:rsidRPr="00F85FFF">
        <w:rPr>
          <w:rFonts w:ascii="Verdana" w:hAnsi="Verdana"/>
          <w:iCs/>
          <w:sz w:val="20"/>
          <w:szCs w:val="20"/>
        </w:rPr>
        <w:t>preprimaria y primaria, y</w:t>
      </w:r>
      <w:r w:rsidR="006C65EE" w:rsidRPr="00F85FFF">
        <w:rPr>
          <w:rFonts w:ascii="Verdana" w:hAnsi="Verdana"/>
          <w:iCs/>
          <w:sz w:val="20"/>
          <w:szCs w:val="20"/>
        </w:rPr>
        <w:t xml:space="preserve"> que el nivel secundario</w:t>
      </w:r>
      <w:r w:rsidR="00787AD6" w:rsidRPr="00F85FFF">
        <w:rPr>
          <w:rFonts w:ascii="Verdana" w:hAnsi="Verdana"/>
          <w:iCs/>
          <w:sz w:val="20"/>
          <w:szCs w:val="20"/>
        </w:rPr>
        <w:t xml:space="preserve"> y diversificado también se encuentra disponible al menos en las comunidades de </w:t>
      </w:r>
      <w:r w:rsidR="006C65EE" w:rsidRPr="00F85FFF">
        <w:rPr>
          <w:rFonts w:ascii="Verdana" w:hAnsi="Verdana"/>
          <w:sz w:val="20"/>
          <w:szCs w:val="20"/>
        </w:rPr>
        <w:t xml:space="preserve">Plan de Sánchez y </w:t>
      </w:r>
      <w:proofErr w:type="spellStart"/>
      <w:r w:rsidR="006C65EE" w:rsidRPr="00F85FFF">
        <w:rPr>
          <w:rFonts w:ascii="Verdana" w:hAnsi="Verdana"/>
          <w:sz w:val="20"/>
          <w:szCs w:val="20"/>
        </w:rPr>
        <w:t>Concul</w:t>
      </w:r>
      <w:proofErr w:type="spellEnd"/>
      <w:r w:rsidR="006C65EE" w:rsidRPr="00F85FFF">
        <w:rPr>
          <w:rFonts w:ascii="Verdana" w:hAnsi="Verdana"/>
          <w:sz w:val="20"/>
          <w:szCs w:val="20"/>
        </w:rPr>
        <w:t xml:space="preserve">. </w:t>
      </w:r>
      <w:r w:rsidR="00006609" w:rsidRPr="00F85FFF">
        <w:rPr>
          <w:rFonts w:ascii="Verdana" w:hAnsi="Verdana"/>
          <w:sz w:val="20"/>
          <w:szCs w:val="20"/>
        </w:rPr>
        <w:t>A</w:t>
      </w:r>
      <w:r w:rsidR="006C65EE" w:rsidRPr="00F85FFF">
        <w:rPr>
          <w:rFonts w:ascii="Verdana" w:hAnsi="Verdana"/>
          <w:sz w:val="20"/>
          <w:szCs w:val="20"/>
        </w:rPr>
        <w:t>simismo, a</w:t>
      </w:r>
      <w:r w:rsidR="00E454F5" w:rsidRPr="00F85FFF">
        <w:rPr>
          <w:rFonts w:ascii="Verdana" w:hAnsi="Verdana"/>
          <w:sz w:val="20"/>
          <w:szCs w:val="20"/>
        </w:rPr>
        <w:t>un cuando se encuentra controvertido por las partes</w:t>
      </w:r>
      <w:r w:rsidR="00006609" w:rsidRPr="00F85FFF">
        <w:rPr>
          <w:rFonts w:ascii="Verdana" w:eastAsia="Verdana" w:hAnsi="Verdana" w:cs="Verdana"/>
          <w:sz w:val="20"/>
          <w:szCs w:val="20"/>
          <w:lang w:val="es-MX"/>
        </w:rPr>
        <w:t xml:space="preserve"> el número de docentes bilingües </w:t>
      </w:r>
      <w:r w:rsidR="00006609" w:rsidRPr="00F85FFF">
        <w:rPr>
          <w:rFonts w:ascii="Verdana" w:hAnsi="Verdana"/>
          <w:sz w:val="20"/>
          <w:szCs w:val="20"/>
        </w:rPr>
        <w:t>que se tendrían, este Tribunal considera que</w:t>
      </w:r>
      <w:r w:rsidR="00E454F5" w:rsidRPr="00F85FFF">
        <w:rPr>
          <w:rFonts w:ascii="Verdana" w:hAnsi="Verdana"/>
          <w:sz w:val="20"/>
          <w:szCs w:val="20"/>
        </w:rPr>
        <w:t xml:space="preserve"> </w:t>
      </w:r>
      <w:r w:rsidR="00637097" w:rsidRPr="00F85FFF">
        <w:rPr>
          <w:rFonts w:ascii="Verdana" w:hAnsi="Verdana"/>
          <w:sz w:val="20"/>
          <w:szCs w:val="20"/>
        </w:rPr>
        <w:t>la</w:t>
      </w:r>
      <w:r w:rsidR="00E454F5" w:rsidRPr="00F85FFF">
        <w:rPr>
          <w:rFonts w:ascii="Verdana" w:hAnsi="Verdana"/>
          <w:sz w:val="20"/>
          <w:szCs w:val="20"/>
        </w:rPr>
        <w:t xml:space="preserve"> mejora no deja de ser evidente</w:t>
      </w:r>
      <w:r w:rsidR="00B855CE" w:rsidRPr="00F85FFF">
        <w:rPr>
          <w:rFonts w:ascii="Verdana" w:hAnsi="Verdana"/>
          <w:sz w:val="20"/>
          <w:szCs w:val="20"/>
        </w:rPr>
        <w:t xml:space="preserve"> (</w:t>
      </w:r>
      <w:r w:rsidR="00B855CE" w:rsidRPr="00F85FFF">
        <w:rPr>
          <w:rFonts w:ascii="Verdana" w:hAnsi="Verdana"/>
          <w:i/>
          <w:sz w:val="20"/>
          <w:szCs w:val="20"/>
        </w:rPr>
        <w:t xml:space="preserve">supra </w:t>
      </w:r>
      <w:r w:rsidR="00B76AF5">
        <w:rPr>
          <w:rFonts w:ascii="Verdana" w:hAnsi="Verdana"/>
          <w:sz w:val="20"/>
          <w:szCs w:val="20"/>
        </w:rPr>
        <w:t>Considerando 53</w:t>
      </w:r>
      <w:r w:rsidR="00B855CE" w:rsidRPr="00F85FFF">
        <w:rPr>
          <w:rFonts w:ascii="Verdana" w:hAnsi="Verdana"/>
          <w:sz w:val="20"/>
          <w:szCs w:val="20"/>
        </w:rPr>
        <w:t>)</w:t>
      </w:r>
      <w:r w:rsidR="00E454F5" w:rsidRPr="00F85FFF">
        <w:rPr>
          <w:rFonts w:ascii="Verdana" w:hAnsi="Verdana"/>
          <w:sz w:val="20"/>
          <w:szCs w:val="20"/>
        </w:rPr>
        <w:t>.</w:t>
      </w:r>
      <w:r w:rsidR="00E96AC8" w:rsidRPr="00F85FFF">
        <w:rPr>
          <w:rFonts w:ascii="Verdana" w:hAnsi="Verdana"/>
          <w:sz w:val="20"/>
          <w:szCs w:val="20"/>
        </w:rPr>
        <w:t xml:space="preserve"> </w:t>
      </w:r>
    </w:p>
    <w:p w14:paraId="0DF721EB" w14:textId="77777777" w:rsidR="00B01459" w:rsidRDefault="00637097" w:rsidP="00B01459">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lastRenderedPageBreak/>
        <w:t>La C</w:t>
      </w:r>
      <w:r w:rsidR="00B855CE" w:rsidRPr="00BB29A9">
        <w:rPr>
          <w:rFonts w:ascii="Verdana" w:hAnsi="Verdana"/>
          <w:sz w:val="20"/>
          <w:szCs w:val="20"/>
        </w:rPr>
        <w:t xml:space="preserve">orte considera que, derivado de la mejora sustancial respecto de la situación constatada en la Sentencia, </w:t>
      </w:r>
      <w:r w:rsidRPr="00BB29A9">
        <w:rPr>
          <w:rFonts w:ascii="Verdana" w:hAnsi="Verdana"/>
          <w:sz w:val="20"/>
          <w:szCs w:val="20"/>
        </w:rPr>
        <w:t xml:space="preserve">el Estado ha dado cumplimiento </w:t>
      </w:r>
      <w:r w:rsidR="00E2062B">
        <w:rPr>
          <w:rFonts w:ascii="Verdana" w:hAnsi="Verdana"/>
          <w:sz w:val="20"/>
          <w:szCs w:val="20"/>
        </w:rPr>
        <w:t>total</w:t>
      </w:r>
      <w:r w:rsidRPr="00BB29A9">
        <w:rPr>
          <w:rFonts w:ascii="Verdana" w:hAnsi="Verdana"/>
          <w:sz w:val="20"/>
          <w:szCs w:val="20"/>
        </w:rPr>
        <w:t xml:space="preserve"> a la </w:t>
      </w:r>
      <w:r w:rsidR="006B569E" w:rsidRPr="00BB29A9">
        <w:rPr>
          <w:rFonts w:ascii="Verdana" w:eastAsia="Verdana" w:hAnsi="Verdana" w:cs="Verdana"/>
          <w:sz w:val="20"/>
          <w:szCs w:val="20"/>
          <w:lang w:val="es-MX"/>
        </w:rPr>
        <w:t>medida</w:t>
      </w:r>
      <w:r w:rsidR="006B569E" w:rsidRPr="00BB29A9">
        <w:rPr>
          <w:rFonts w:ascii="Verdana" w:hAnsi="Verdana"/>
          <w:sz w:val="20"/>
          <w:szCs w:val="20"/>
        </w:rPr>
        <w:t xml:space="preserve"> de reparación ordenada en el punto resolutivo </w:t>
      </w:r>
      <w:r w:rsidR="006B569E" w:rsidRPr="00BB29A9">
        <w:rPr>
          <w:rFonts w:ascii="Verdana" w:hAnsi="Verdana"/>
          <w:sz w:val="20"/>
          <w:szCs w:val="20"/>
          <w:lang w:val="es-ES"/>
        </w:rPr>
        <w:t xml:space="preserve">noveno, literal d) de la Sentencia, relativa a desarrollar </w:t>
      </w:r>
      <w:r w:rsidR="006B569E" w:rsidRPr="00BB29A9">
        <w:rPr>
          <w:rFonts w:ascii="Verdana" w:hAnsi="Verdana"/>
          <w:sz w:val="20"/>
          <w:szCs w:val="20"/>
        </w:rPr>
        <w:t xml:space="preserve">el programa de dotación de personal docente capacitado en enseñanza intercultural y bilingüe en la educación primaria, secundaria y diversificada de </w:t>
      </w:r>
      <w:r w:rsidR="00B855CE" w:rsidRPr="00BB29A9">
        <w:rPr>
          <w:rFonts w:ascii="Verdana" w:hAnsi="Verdana"/>
          <w:sz w:val="20"/>
          <w:szCs w:val="20"/>
        </w:rPr>
        <w:t xml:space="preserve">las </w:t>
      </w:r>
      <w:r w:rsidR="006B569E" w:rsidRPr="00BB29A9">
        <w:rPr>
          <w:rFonts w:ascii="Verdana" w:hAnsi="Verdana"/>
          <w:sz w:val="20"/>
          <w:szCs w:val="20"/>
        </w:rPr>
        <w:t>comunidades</w:t>
      </w:r>
      <w:r w:rsidR="00B855CE" w:rsidRPr="00BB29A9">
        <w:rPr>
          <w:rFonts w:ascii="Verdana" w:hAnsi="Verdana"/>
          <w:sz w:val="20"/>
          <w:szCs w:val="20"/>
        </w:rPr>
        <w:t xml:space="preserve"> beneficiarias de las medidas.</w:t>
      </w:r>
    </w:p>
    <w:p w14:paraId="4DED475F" w14:textId="0BDAC5A2" w:rsidR="00321369" w:rsidRPr="008B5680" w:rsidRDefault="00B01459" w:rsidP="008B5680">
      <w:pPr>
        <w:pStyle w:val="Prrafodelista"/>
        <w:numPr>
          <w:ilvl w:val="0"/>
          <w:numId w:val="14"/>
        </w:numPr>
        <w:spacing w:before="120" w:after="120" w:line="240" w:lineRule="auto"/>
        <w:ind w:left="0" w:firstLine="0"/>
        <w:contextualSpacing w:val="0"/>
        <w:jc w:val="both"/>
        <w:rPr>
          <w:rFonts w:ascii="Verdana" w:hAnsi="Verdana"/>
          <w:sz w:val="20"/>
          <w:szCs w:val="20"/>
        </w:rPr>
      </w:pPr>
      <w:r w:rsidRPr="00B01459">
        <w:rPr>
          <w:rFonts w:ascii="Verdana" w:hAnsi="Verdana"/>
          <w:sz w:val="20"/>
          <w:szCs w:val="20"/>
        </w:rPr>
        <w:t>Finalmente, la Corte destaca la importancia de que los docentes bilingües impart</w:t>
      </w:r>
      <w:r w:rsidR="00EE4978">
        <w:rPr>
          <w:rFonts w:ascii="Verdana" w:hAnsi="Verdana"/>
          <w:sz w:val="20"/>
          <w:szCs w:val="20"/>
        </w:rPr>
        <w:t>a</w:t>
      </w:r>
      <w:r w:rsidRPr="00B01459">
        <w:rPr>
          <w:rFonts w:ascii="Verdana" w:hAnsi="Verdana"/>
          <w:sz w:val="20"/>
          <w:szCs w:val="20"/>
        </w:rPr>
        <w:t>n las clases en el idioma Achí y practiquen con los alumnos el idioma, que la capacitación de Educación Bilingüe e Intercultural c</w:t>
      </w:r>
      <w:r w:rsidR="00640E46">
        <w:rPr>
          <w:rFonts w:ascii="Verdana" w:hAnsi="Verdana"/>
          <w:sz w:val="20"/>
          <w:szCs w:val="20"/>
        </w:rPr>
        <w:t>on personal docente se mantenga</w:t>
      </w:r>
      <w:r w:rsidRPr="00B01459">
        <w:rPr>
          <w:rFonts w:ascii="Verdana" w:hAnsi="Verdana"/>
          <w:sz w:val="20"/>
          <w:szCs w:val="20"/>
        </w:rPr>
        <w:t xml:space="preserve"> de manera continua, </w:t>
      </w:r>
      <w:r w:rsidR="00640E46">
        <w:rPr>
          <w:rFonts w:ascii="Verdana" w:hAnsi="Verdana"/>
          <w:sz w:val="20"/>
          <w:szCs w:val="20"/>
        </w:rPr>
        <w:t xml:space="preserve">y </w:t>
      </w:r>
      <w:r w:rsidRPr="00B01459">
        <w:rPr>
          <w:rFonts w:ascii="Verdana" w:hAnsi="Verdana"/>
          <w:sz w:val="20"/>
          <w:szCs w:val="20"/>
        </w:rPr>
        <w:t>que se realicen los reajustes mencionado</w:t>
      </w:r>
      <w:r w:rsidR="00EE4978">
        <w:rPr>
          <w:rFonts w:ascii="Verdana" w:hAnsi="Verdana"/>
          <w:sz w:val="20"/>
          <w:szCs w:val="20"/>
        </w:rPr>
        <w:t>s</w:t>
      </w:r>
      <w:r w:rsidRPr="00B01459">
        <w:rPr>
          <w:rFonts w:ascii="Verdana" w:hAnsi="Verdana"/>
          <w:sz w:val="20"/>
          <w:szCs w:val="20"/>
        </w:rPr>
        <w:t xml:space="preserve"> por el Estado en las comunidades de </w:t>
      </w:r>
      <w:proofErr w:type="spellStart"/>
      <w:r w:rsidRPr="00B01459">
        <w:rPr>
          <w:rFonts w:ascii="Verdana" w:hAnsi="Verdana"/>
          <w:sz w:val="20"/>
          <w:szCs w:val="20"/>
        </w:rPr>
        <w:t>Raxjut</w:t>
      </w:r>
      <w:proofErr w:type="spellEnd"/>
      <w:r w:rsidRPr="00B01459">
        <w:rPr>
          <w:rFonts w:ascii="Verdana" w:hAnsi="Verdana"/>
          <w:sz w:val="20"/>
          <w:szCs w:val="20"/>
        </w:rPr>
        <w:t>, Joya de Ramos y Las Ventanas</w:t>
      </w:r>
      <w:r w:rsidR="00640E46">
        <w:rPr>
          <w:rFonts w:ascii="Verdana" w:hAnsi="Verdana"/>
          <w:sz w:val="20"/>
          <w:szCs w:val="20"/>
        </w:rPr>
        <w:t>, así como</w:t>
      </w:r>
      <w:r w:rsidRPr="00B01459">
        <w:rPr>
          <w:rFonts w:ascii="Verdana" w:hAnsi="Verdana"/>
          <w:sz w:val="20"/>
          <w:szCs w:val="20"/>
        </w:rPr>
        <w:t xml:space="preserve"> </w:t>
      </w:r>
      <w:r w:rsidR="00EE4978">
        <w:rPr>
          <w:rFonts w:ascii="Verdana" w:hAnsi="Verdana"/>
          <w:sz w:val="20"/>
          <w:szCs w:val="20"/>
        </w:rPr>
        <w:t xml:space="preserve">que </w:t>
      </w:r>
      <w:r w:rsidRPr="00B01459">
        <w:rPr>
          <w:rFonts w:ascii="Verdana" w:hAnsi="Verdana"/>
          <w:sz w:val="20"/>
          <w:szCs w:val="20"/>
        </w:rPr>
        <w:t>se concluya la construcción de las instalaciones del nivel diversificado, en caso que aún no se haya hecho</w:t>
      </w:r>
      <w:r w:rsidR="008B5680">
        <w:rPr>
          <w:rFonts w:ascii="Verdana" w:hAnsi="Verdana"/>
          <w:sz w:val="20"/>
          <w:szCs w:val="20"/>
        </w:rPr>
        <w:t xml:space="preserve">. </w:t>
      </w:r>
      <w:r w:rsidR="008B5680" w:rsidRPr="008B5680">
        <w:rPr>
          <w:rFonts w:ascii="Verdana" w:hAnsi="Verdana"/>
          <w:sz w:val="20"/>
          <w:szCs w:val="20"/>
        </w:rPr>
        <w:t xml:space="preserve">En razón de </w:t>
      </w:r>
      <w:r w:rsidR="008B5680">
        <w:rPr>
          <w:rFonts w:ascii="Verdana" w:hAnsi="Verdana"/>
          <w:sz w:val="20"/>
          <w:szCs w:val="20"/>
        </w:rPr>
        <w:t xml:space="preserve">que </w:t>
      </w:r>
      <w:r w:rsidR="008B5680" w:rsidRPr="008B5680">
        <w:rPr>
          <w:rFonts w:ascii="Verdana" w:hAnsi="Verdana"/>
          <w:sz w:val="20"/>
          <w:szCs w:val="20"/>
        </w:rPr>
        <w:t>las particularidades de est</w:t>
      </w:r>
      <w:r w:rsidR="008B5680">
        <w:rPr>
          <w:rFonts w:ascii="Verdana" w:hAnsi="Verdana"/>
          <w:sz w:val="20"/>
          <w:szCs w:val="20"/>
        </w:rPr>
        <w:t xml:space="preserve">os </w:t>
      </w:r>
      <w:r w:rsidR="00996DAE">
        <w:rPr>
          <w:rFonts w:ascii="Verdana" w:hAnsi="Verdana"/>
          <w:sz w:val="20"/>
          <w:szCs w:val="20"/>
        </w:rPr>
        <w:t>aspectos</w:t>
      </w:r>
      <w:r w:rsidR="008B5680">
        <w:rPr>
          <w:rFonts w:ascii="Verdana" w:hAnsi="Verdana"/>
          <w:sz w:val="20"/>
          <w:szCs w:val="20"/>
        </w:rPr>
        <w:t xml:space="preserve"> exceden a la medida ordenada en la Sentencia, </w:t>
      </w:r>
      <w:r w:rsidR="008B5680" w:rsidRPr="008B5680">
        <w:rPr>
          <w:rFonts w:ascii="Verdana" w:hAnsi="Verdana"/>
          <w:sz w:val="20"/>
          <w:szCs w:val="20"/>
        </w:rPr>
        <w:t xml:space="preserve">la Corte no supervisará </w:t>
      </w:r>
      <w:r w:rsidR="008B5680">
        <w:rPr>
          <w:rFonts w:ascii="Verdana" w:hAnsi="Verdana"/>
          <w:sz w:val="20"/>
          <w:szCs w:val="20"/>
        </w:rPr>
        <w:t>su</w:t>
      </w:r>
      <w:r w:rsidR="008B5680" w:rsidRPr="008B5680">
        <w:rPr>
          <w:rFonts w:ascii="Verdana" w:hAnsi="Verdana"/>
          <w:sz w:val="20"/>
          <w:szCs w:val="20"/>
        </w:rPr>
        <w:t xml:space="preserve"> cumplimiento</w:t>
      </w:r>
      <w:r w:rsidR="008B5680">
        <w:rPr>
          <w:rFonts w:ascii="Verdana" w:hAnsi="Verdana"/>
          <w:sz w:val="20"/>
          <w:szCs w:val="20"/>
        </w:rPr>
        <w:t>.</w:t>
      </w:r>
    </w:p>
    <w:p w14:paraId="6DDBB766" w14:textId="77777777" w:rsidR="00B855CE" w:rsidRPr="00BB29A9" w:rsidRDefault="00B855CE" w:rsidP="00B855CE">
      <w:pPr>
        <w:pStyle w:val="Prrafodelista"/>
        <w:spacing w:before="120" w:after="120" w:line="240" w:lineRule="auto"/>
        <w:ind w:left="0"/>
        <w:contextualSpacing w:val="0"/>
        <w:jc w:val="both"/>
        <w:rPr>
          <w:rFonts w:ascii="Verdana" w:hAnsi="Verdana"/>
          <w:sz w:val="20"/>
          <w:szCs w:val="20"/>
        </w:rPr>
      </w:pPr>
    </w:p>
    <w:p w14:paraId="2117ACCF" w14:textId="77777777" w:rsidR="008744A9" w:rsidRPr="00BB29A9" w:rsidRDefault="002315AE" w:rsidP="00AD741B">
      <w:pPr>
        <w:pStyle w:val="Ttulo1"/>
        <w:spacing w:before="120" w:after="120" w:line="240" w:lineRule="auto"/>
        <w:jc w:val="both"/>
        <w:rPr>
          <w:rFonts w:ascii="Verdana" w:hAnsi="Verdana"/>
          <w:b/>
          <w:color w:val="auto"/>
          <w:sz w:val="20"/>
          <w:szCs w:val="20"/>
        </w:rPr>
      </w:pPr>
      <w:bookmarkStart w:id="14" w:name="_Toc67523776"/>
      <w:r>
        <w:rPr>
          <w:rFonts w:ascii="Verdana" w:hAnsi="Verdana"/>
          <w:b/>
          <w:color w:val="auto"/>
          <w:sz w:val="20"/>
          <w:szCs w:val="20"/>
          <w:lang w:val="es-MX"/>
        </w:rPr>
        <w:t>E</w:t>
      </w:r>
      <w:r w:rsidR="003D0F77" w:rsidRPr="00BB29A9">
        <w:rPr>
          <w:rFonts w:ascii="Verdana" w:hAnsi="Verdana"/>
          <w:b/>
          <w:color w:val="auto"/>
          <w:sz w:val="20"/>
          <w:szCs w:val="20"/>
          <w:lang w:val="es-MX"/>
        </w:rPr>
        <w:t>.</w:t>
      </w:r>
      <w:r w:rsidR="003D0F77" w:rsidRPr="00BB29A9">
        <w:rPr>
          <w:rFonts w:ascii="Verdana" w:hAnsi="Verdana"/>
          <w:b/>
          <w:color w:val="auto"/>
          <w:sz w:val="20"/>
          <w:szCs w:val="20"/>
          <w:lang w:val="es-MX"/>
        </w:rPr>
        <w:tab/>
      </w:r>
      <w:r w:rsidR="00AD741B" w:rsidRPr="00BB29A9">
        <w:rPr>
          <w:rFonts w:ascii="Verdana" w:hAnsi="Verdana"/>
          <w:b/>
          <w:color w:val="auto"/>
          <w:sz w:val="20"/>
          <w:szCs w:val="20"/>
        </w:rPr>
        <w:t>Pago de la indemnización por concepto de daño material e inmaterial</w:t>
      </w:r>
      <w:bookmarkEnd w:id="14"/>
    </w:p>
    <w:p w14:paraId="244D3247" w14:textId="654E15E0" w:rsidR="00AD741B" w:rsidRPr="00BB29A9" w:rsidRDefault="00D41DAD" w:rsidP="00AD741B">
      <w:pPr>
        <w:spacing w:before="120" w:after="120" w:line="240" w:lineRule="auto"/>
        <w:ind w:firstLine="708"/>
        <w:rPr>
          <w:rFonts w:ascii="Verdana" w:hAnsi="Verdana"/>
          <w:i/>
          <w:sz w:val="20"/>
          <w:szCs w:val="20"/>
        </w:rPr>
      </w:pPr>
      <w:r>
        <w:rPr>
          <w:rFonts w:ascii="Verdana" w:hAnsi="Verdana"/>
          <w:i/>
          <w:sz w:val="20"/>
          <w:szCs w:val="20"/>
        </w:rPr>
        <w:t>E</w:t>
      </w:r>
      <w:r w:rsidR="00AD741B" w:rsidRPr="00BB29A9">
        <w:rPr>
          <w:rFonts w:ascii="Verdana" w:hAnsi="Verdana"/>
          <w:i/>
          <w:sz w:val="20"/>
          <w:szCs w:val="20"/>
        </w:rPr>
        <w:t>.1. Medida ordenada por la Corte</w:t>
      </w:r>
      <w:r w:rsidR="00FF05DD" w:rsidRPr="00BB29A9">
        <w:rPr>
          <w:rFonts w:ascii="Verdana" w:hAnsi="Verdana"/>
          <w:i/>
          <w:sz w:val="20"/>
          <w:szCs w:val="20"/>
        </w:rPr>
        <w:t xml:space="preserve"> y supervisión realizada en resolución anterior</w:t>
      </w:r>
    </w:p>
    <w:p w14:paraId="408EA6A9" w14:textId="126DE2FE" w:rsidR="00AD741B" w:rsidRPr="00BB29A9" w:rsidRDefault="00AD741B" w:rsidP="0073543F">
      <w:pPr>
        <w:pStyle w:val="Prrafodelista"/>
        <w:numPr>
          <w:ilvl w:val="0"/>
          <w:numId w:val="14"/>
        </w:numPr>
        <w:spacing w:before="120" w:after="120" w:line="240" w:lineRule="auto"/>
        <w:ind w:left="0" w:firstLine="0"/>
        <w:contextualSpacing w:val="0"/>
        <w:jc w:val="both"/>
        <w:rPr>
          <w:rFonts w:ascii="Verdana" w:hAnsi="Verdana"/>
          <w:i/>
          <w:sz w:val="20"/>
          <w:szCs w:val="20"/>
        </w:rPr>
      </w:pPr>
      <w:r w:rsidRPr="00BB29A9">
        <w:rPr>
          <w:rFonts w:ascii="Verdana" w:hAnsi="Verdana"/>
          <w:sz w:val="20"/>
          <w:szCs w:val="20"/>
        </w:rPr>
        <w:t xml:space="preserve">En los puntos resolutivos </w:t>
      </w:r>
      <w:r w:rsidR="0073543F" w:rsidRPr="00BB29A9">
        <w:rPr>
          <w:rFonts w:ascii="Verdana" w:hAnsi="Verdana"/>
          <w:sz w:val="20"/>
          <w:szCs w:val="20"/>
        </w:rPr>
        <w:t xml:space="preserve">décimo y undécimo, </w:t>
      </w:r>
      <w:r w:rsidRPr="00BB29A9">
        <w:rPr>
          <w:rFonts w:ascii="Verdana" w:hAnsi="Verdana"/>
          <w:sz w:val="20"/>
          <w:szCs w:val="20"/>
        </w:rPr>
        <w:t xml:space="preserve">y en los párrafos 72 a 76, 80 a 89 y 117 de la Sentencia, la Corte dispuso que el Estado debía hacer los pagos por concepto de </w:t>
      </w:r>
      <w:r w:rsidR="00A438C8">
        <w:rPr>
          <w:rFonts w:ascii="Verdana" w:hAnsi="Verdana"/>
          <w:sz w:val="20"/>
          <w:szCs w:val="20"/>
        </w:rPr>
        <w:t xml:space="preserve">indemnización de los </w:t>
      </w:r>
      <w:r w:rsidRPr="00BB29A9">
        <w:rPr>
          <w:rFonts w:ascii="Verdana" w:hAnsi="Verdana"/>
          <w:sz w:val="20"/>
          <w:szCs w:val="20"/>
        </w:rPr>
        <w:t>daño</w:t>
      </w:r>
      <w:r w:rsidR="00A438C8">
        <w:rPr>
          <w:rFonts w:ascii="Verdana" w:hAnsi="Verdana"/>
          <w:sz w:val="20"/>
          <w:szCs w:val="20"/>
        </w:rPr>
        <w:t>s</w:t>
      </w:r>
      <w:r w:rsidRPr="00BB29A9">
        <w:rPr>
          <w:rFonts w:ascii="Verdana" w:hAnsi="Verdana"/>
          <w:sz w:val="20"/>
          <w:szCs w:val="20"/>
        </w:rPr>
        <w:t xml:space="preserve"> material e inmaterial a cada una de víctimas del presente caso</w:t>
      </w:r>
      <w:r w:rsidR="0073543F" w:rsidRPr="00BB29A9">
        <w:rPr>
          <w:rFonts w:ascii="Verdana" w:hAnsi="Verdana"/>
          <w:sz w:val="20"/>
          <w:szCs w:val="20"/>
        </w:rPr>
        <w:t>. Asimismo, en el párrafo 121 de la Sentencia se dispuso que “[s]i por causas atribuibles a los beneficiarios de las indemnizaciones no fuese posible que las reciban dentro de los indicados plazos de un año o veinticuatro meses, contados a partir de la notificación de la presente Sentencia, el Estado consignará dichos montos a su favor en una cuenta o certificado de depósito en una institución bancaria guatemalteca solvente, en dólares estadounidenses y en las condiciones financieras más favorables que permitan la legislación y la práctica bancaria. Si al cabo de diez años la indemnización no ha sido reclamada, la cantidad</w:t>
      </w:r>
      <w:r w:rsidR="0073543F" w:rsidRPr="00BB29A9">
        <w:rPr>
          <w:rFonts w:ascii="Verdana" w:hAnsi="Verdana"/>
          <w:i/>
          <w:sz w:val="20"/>
          <w:szCs w:val="20"/>
        </w:rPr>
        <w:t xml:space="preserve"> </w:t>
      </w:r>
      <w:r w:rsidR="0073543F" w:rsidRPr="00BB29A9">
        <w:rPr>
          <w:rFonts w:ascii="Verdana" w:hAnsi="Verdana"/>
          <w:sz w:val="20"/>
          <w:szCs w:val="20"/>
        </w:rPr>
        <w:t>será devuelta al Estado con los intereses devengados”.</w:t>
      </w:r>
    </w:p>
    <w:p w14:paraId="50234F51" w14:textId="21F258A0" w:rsidR="00094596" w:rsidRPr="00910275" w:rsidRDefault="00745DA9" w:rsidP="00094596">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En relación a los pagos pendientes, e</w:t>
      </w:r>
      <w:r w:rsidR="00AD741B" w:rsidRPr="00BB29A9">
        <w:rPr>
          <w:rFonts w:ascii="Verdana" w:hAnsi="Verdana"/>
          <w:sz w:val="20"/>
          <w:szCs w:val="20"/>
        </w:rPr>
        <w:t>n la Resolución de 21 de febrero de 2011</w:t>
      </w:r>
      <w:r w:rsidRPr="00BB29A9">
        <w:rPr>
          <w:rFonts w:ascii="Verdana" w:hAnsi="Verdana"/>
          <w:sz w:val="20"/>
          <w:szCs w:val="20"/>
        </w:rPr>
        <w:t xml:space="preserve"> la Corte consideró que </w:t>
      </w:r>
      <w:r w:rsidR="008243D0" w:rsidRPr="00BB29A9">
        <w:rPr>
          <w:rFonts w:ascii="Verdana" w:hAnsi="Verdana"/>
          <w:sz w:val="20"/>
          <w:szCs w:val="20"/>
        </w:rPr>
        <w:t xml:space="preserve">la información </w:t>
      </w:r>
      <w:r w:rsidR="00A438C8">
        <w:rPr>
          <w:rFonts w:ascii="Verdana" w:hAnsi="Verdana"/>
          <w:sz w:val="20"/>
          <w:szCs w:val="20"/>
        </w:rPr>
        <w:t>aportada</w:t>
      </w:r>
      <w:r w:rsidR="008243D0" w:rsidRPr="00BB29A9">
        <w:rPr>
          <w:rFonts w:ascii="Verdana" w:hAnsi="Verdana"/>
          <w:sz w:val="20"/>
          <w:szCs w:val="20"/>
        </w:rPr>
        <w:t xml:space="preserve"> hasta ese momento por las partes indicaba </w:t>
      </w:r>
      <w:r w:rsidRPr="00BB29A9">
        <w:rPr>
          <w:rFonts w:ascii="Verdana" w:hAnsi="Verdana"/>
          <w:sz w:val="20"/>
          <w:szCs w:val="20"/>
        </w:rPr>
        <w:t>que un grupo de</w:t>
      </w:r>
      <w:r w:rsidR="008E6AED" w:rsidRPr="00BB29A9">
        <w:rPr>
          <w:rFonts w:ascii="Verdana" w:hAnsi="Verdana"/>
          <w:sz w:val="20"/>
          <w:szCs w:val="20"/>
        </w:rPr>
        <w:t xml:space="preserve"> personas</w:t>
      </w:r>
      <w:r w:rsidR="00021114" w:rsidRPr="00BB29A9">
        <w:rPr>
          <w:rFonts w:ascii="Verdana" w:hAnsi="Verdana"/>
          <w:sz w:val="20"/>
          <w:szCs w:val="20"/>
        </w:rPr>
        <w:t xml:space="preserve"> “</w:t>
      </w:r>
      <w:r w:rsidR="008243D0" w:rsidRPr="00BB29A9">
        <w:rPr>
          <w:rFonts w:ascii="Verdana" w:hAnsi="Verdana"/>
          <w:sz w:val="20"/>
          <w:szCs w:val="20"/>
        </w:rPr>
        <w:t>todavía</w:t>
      </w:r>
      <w:r w:rsidR="008243D0" w:rsidRPr="00BB29A9">
        <w:rPr>
          <w:rFonts w:ascii="Verdana" w:hAnsi="Verdana"/>
          <w:i/>
          <w:sz w:val="20"/>
          <w:szCs w:val="20"/>
        </w:rPr>
        <w:t xml:space="preserve"> </w:t>
      </w:r>
      <w:r w:rsidR="008243D0" w:rsidRPr="00BB29A9">
        <w:rPr>
          <w:rFonts w:ascii="Verdana" w:hAnsi="Verdana"/>
          <w:sz w:val="20"/>
          <w:szCs w:val="20"/>
        </w:rPr>
        <w:t>no se ha</w:t>
      </w:r>
      <w:r w:rsidR="00021114" w:rsidRPr="00BB29A9">
        <w:rPr>
          <w:rFonts w:ascii="Verdana" w:hAnsi="Verdana"/>
          <w:sz w:val="20"/>
          <w:szCs w:val="20"/>
        </w:rPr>
        <w:t>[</w:t>
      </w:r>
      <w:proofErr w:type="spellStart"/>
      <w:r w:rsidR="00021114" w:rsidRPr="00BB29A9">
        <w:rPr>
          <w:rFonts w:ascii="Verdana" w:hAnsi="Verdana"/>
          <w:sz w:val="20"/>
          <w:szCs w:val="20"/>
        </w:rPr>
        <w:t>bían</w:t>
      </w:r>
      <w:proofErr w:type="spellEnd"/>
      <w:r w:rsidR="00021114" w:rsidRPr="00BB29A9">
        <w:rPr>
          <w:rFonts w:ascii="Verdana" w:hAnsi="Verdana"/>
          <w:sz w:val="20"/>
          <w:szCs w:val="20"/>
        </w:rPr>
        <w:t>]</w:t>
      </w:r>
      <w:r w:rsidR="008243D0" w:rsidRPr="00BB29A9">
        <w:rPr>
          <w:rFonts w:ascii="Verdana" w:hAnsi="Verdana"/>
          <w:sz w:val="20"/>
          <w:szCs w:val="20"/>
        </w:rPr>
        <w:t xml:space="preserve"> presentado ante las autoridades competentes para recibir la indemnización</w:t>
      </w:r>
      <w:r w:rsidR="008243D0" w:rsidRPr="00BB29A9">
        <w:rPr>
          <w:rFonts w:ascii="Verdana" w:hAnsi="Verdana"/>
          <w:i/>
          <w:sz w:val="20"/>
          <w:szCs w:val="20"/>
        </w:rPr>
        <w:t xml:space="preserve"> </w:t>
      </w:r>
      <w:r w:rsidR="008243D0" w:rsidRPr="00BB29A9">
        <w:rPr>
          <w:rFonts w:ascii="Verdana" w:hAnsi="Verdana"/>
          <w:sz w:val="20"/>
          <w:szCs w:val="20"/>
        </w:rPr>
        <w:t>correspondiente</w:t>
      </w:r>
      <w:r w:rsidR="00021114" w:rsidRPr="00BB29A9">
        <w:rPr>
          <w:rFonts w:ascii="Verdana" w:hAnsi="Verdana"/>
          <w:sz w:val="20"/>
          <w:szCs w:val="20"/>
        </w:rPr>
        <w:t>”</w:t>
      </w:r>
      <w:r w:rsidR="008243D0" w:rsidRPr="00BB29A9">
        <w:rPr>
          <w:rFonts w:ascii="Verdana" w:hAnsi="Verdana"/>
          <w:sz w:val="20"/>
          <w:szCs w:val="20"/>
        </w:rPr>
        <w:t>,</w:t>
      </w:r>
      <w:r w:rsidR="00021114" w:rsidRPr="00BB29A9">
        <w:rPr>
          <w:rFonts w:ascii="Verdana" w:hAnsi="Verdana"/>
          <w:sz w:val="20"/>
          <w:szCs w:val="20"/>
        </w:rPr>
        <w:t xml:space="preserve"> y que existían personas </w:t>
      </w:r>
      <w:r w:rsidR="008243D0" w:rsidRPr="00BB29A9">
        <w:rPr>
          <w:rFonts w:ascii="Verdana" w:hAnsi="Verdana"/>
          <w:sz w:val="20"/>
          <w:szCs w:val="20"/>
        </w:rPr>
        <w:t>con nombres similares</w:t>
      </w:r>
      <w:r w:rsidR="00021114" w:rsidRPr="00BB29A9">
        <w:rPr>
          <w:rFonts w:ascii="Verdana" w:hAnsi="Verdana"/>
          <w:sz w:val="20"/>
          <w:szCs w:val="20"/>
        </w:rPr>
        <w:t xml:space="preserve"> </w:t>
      </w:r>
      <w:r w:rsidR="008E6AED" w:rsidRPr="00BB29A9">
        <w:rPr>
          <w:rFonts w:ascii="Verdana" w:hAnsi="Verdana"/>
          <w:sz w:val="20"/>
          <w:szCs w:val="20"/>
        </w:rPr>
        <w:t xml:space="preserve">o iguales </w:t>
      </w:r>
      <w:r w:rsidR="00021114" w:rsidRPr="00BB29A9">
        <w:rPr>
          <w:rFonts w:ascii="Verdana" w:hAnsi="Verdana"/>
          <w:sz w:val="20"/>
          <w:szCs w:val="20"/>
        </w:rPr>
        <w:t xml:space="preserve">respecto de las cuales </w:t>
      </w:r>
      <w:r w:rsidRPr="00BB29A9">
        <w:rPr>
          <w:rFonts w:ascii="Verdana" w:hAnsi="Verdana"/>
          <w:sz w:val="20"/>
          <w:szCs w:val="20"/>
        </w:rPr>
        <w:t>no se informó</w:t>
      </w:r>
      <w:r w:rsidR="00021114" w:rsidRPr="00BB29A9">
        <w:rPr>
          <w:rFonts w:ascii="Verdana" w:hAnsi="Verdana"/>
          <w:sz w:val="20"/>
          <w:szCs w:val="20"/>
        </w:rPr>
        <w:t xml:space="preserve"> “el estado del pago”</w:t>
      </w:r>
      <w:r w:rsidR="008E6AED" w:rsidRPr="00BB29A9">
        <w:rPr>
          <w:rFonts w:ascii="Verdana" w:hAnsi="Verdana"/>
          <w:sz w:val="20"/>
          <w:szCs w:val="20"/>
        </w:rPr>
        <w:t>, y tampoco que se ha</w:t>
      </w:r>
      <w:r w:rsidR="00A438C8">
        <w:rPr>
          <w:rFonts w:ascii="Verdana" w:hAnsi="Verdana"/>
          <w:sz w:val="20"/>
          <w:szCs w:val="20"/>
        </w:rPr>
        <w:t>bían</w:t>
      </w:r>
      <w:r w:rsidR="008E6AED" w:rsidRPr="00BB29A9">
        <w:rPr>
          <w:rFonts w:ascii="Verdana" w:hAnsi="Verdana"/>
          <w:sz w:val="20"/>
          <w:szCs w:val="20"/>
        </w:rPr>
        <w:t xml:space="preserve"> presentado ante las autoridades para identificarse </w:t>
      </w:r>
      <w:r w:rsidR="00D11D98" w:rsidRPr="00BB29A9">
        <w:rPr>
          <w:rFonts w:ascii="Verdana" w:hAnsi="Verdana"/>
          <w:sz w:val="20"/>
          <w:szCs w:val="20"/>
        </w:rPr>
        <w:t xml:space="preserve">a fin de </w:t>
      </w:r>
      <w:r w:rsidR="008E6AED" w:rsidRPr="00BB29A9">
        <w:rPr>
          <w:rFonts w:ascii="Verdana" w:hAnsi="Verdana"/>
          <w:sz w:val="20"/>
          <w:szCs w:val="20"/>
        </w:rPr>
        <w:t>recibir</w:t>
      </w:r>
      <w:r w:rsidRPr="00BB29A9">
        <w:rPr>
          <w:rFonts w:ascii="Verdana" w:hAnsi="Verdana"/>
          <w:sz w:val="20"/>
          <w:szCs w:val="20"/>
        </w:rPr>
        <w:t>lo</w:t>
      </w:r>
      <w:r w:rsidR="00021114" w:rsidRPr="00BB29A9">
        <w:rPr>
          <w:rFonts w:ascii="Verdana" w:hAnsi="Verdana"/>
          <w:sz w:val="20"/>
          <w:szCs w:val="20"/>
        </w:rPr>
        <w:t>. Asimismo</w:t>
      </w:r>
      <w:r w:rsidR="008243D0" w:rsidRPr="00BB29A9">
        <w:rPr>
          <w:rFonts w:ascii="Verdana" w:hAnsi="Verdana"/>
          <w:sz w:val="20"/>
          <w:szCs w:val="20"/>
        </w:rPr>
        <w:t xml:space="preserve">, el Estado </w:t>
      </w:r>
      <w:r w:rsidR="00021114" w:rsidRPr="00BB29A9">
        <w:rPr>
          <w:rFonts w:ascii="Verdana" w:hAnsi="Verdana"/>
          <w:sz w:val="20"/>
          <w:szCs w:val="20"/>
        </w:rPr>
        <w:t>“</w:t>
      </w:r>
      <w:r w:rsidR="008243D0" w:rsidRPr="00BB29A9">
        <w:rPr>
          <w:rFonts w:ascii="Verdana" w:hAnsi="Verdana"/>
          <w:sz w:val="20"/>
          <w:szCs w:val="20"/>
        </w:rPr>
        <w:t>no ha</w:t>
      </w:r>
      <w:r w:rsidR="00021114" w:rsidRPr="00BB29A9">
        <w:rPr>
          <w:rFonts w:ascii="Verdana" w:hAnsi="Verdana"/>
          <w:sz w:val="20"/>
          <w:szCs w:val="20"/>
        </w:rPr>
        <w:t>[</w:t>
      </w:r>
      <w:proofErr w:type="spellStart"/>
      <w:r w:rsidR="00021114" w:rsidRPr="00BB29A9">
        <w:rPr>
          <w:rFonts w:ascii="Verdana" w:hAnsi="Verdana"/>
          <w:sz w:val="20"/>
          <w:szCs w:val="20"/>
        </w:rPr>
        <w:t>bía</w:t>
      </w:r>
      <w:proofErr w:type="spellEnd"/>
      <w:r w:rsidR="00021114" w:rsidRPr="00BB29A9">
        <w:rPr>
          <w:rFonts w:ascii="Verdana" w:hAnsi="Verdana"/>
          <w:sz w:val="20"/>
          <w:szCs w:val="20"/>
        </w:rPr>
        <w:t>]</w:t>
      </w:r>
      <w:r w:rsidR="008243D0" w:rsidRPr="00BB29A9">
        <w:rPr>
          <w:rFonts w:ascii="Verdana" w:hAnsi="Verdana"/>
          <w:sz w:val="20"/>
          <w:szCs w:val="20"/>
        </w:rPr>
        <w:t xml:space="preserve"> informado sobre la constitución de</w:t>
      </w:r>
      <w:r w:rsidR="008243D0" w:rsidRPr="00BB29A9">
        <w:rPr>
          <w:rFonts w:ascii="Verdana" w:hAnsi="Verdana"/>
          <w:i/>
          <w:sz w:val="20"/>
          <w:szCs w:val="20"/>
        </w:rPr>
        <w:t xml:space="preserve"> </w:t>
      </w:r>
      <w:r w:rsidR="008243D0" w:rsidRPr="00BB29A9">
        <w:rPr>
          <w:rFonts w:ascii="Verdana" w:hAnsi="Verdana"/>
          <w:sz w:val="20"/>
          <w:szCs w:val="20"/>
        </w:rPr>
        <w:t>cuenta o certificado de depósito en institución bancaria a fin de asegurar el pago a las</w:t>
      </w:r>
      <w:r w:rsidR="008243D0" w:rsidRPr="00BB29A9">
        <w:rPr>
          <w:rFonts w:ascii="Verdana" w:hAnsi="Verdana"/>
          <w:i/>
          <w:sz w:val="20"/>
          <w:szCs w:val="20"/>
        </w:rPr>
        <w:t xml:space="preserve"> </w:t>
      </w:r>
      <w:r w:rsidR="008243D0" w:rsidRPr="00BB29A9">
        <w:rPr>
          <w:rFonts w:ascii="Verdana" w:hAnsi="Verdana"/>
          <w:sz w:val="20"/>
          <w:szCs w:val="20"/>
        </w:rPr>
        <w:t>personas bajo el supuesto señalado en el párrafo 121 de la Sentencia</w:t>
      </w:r>
      <w:r w:rsidR="00021114" w:rsidRPr="00BB29A9">
        <w:rPr>
          <w:rFonts w:ascii="Verdana" w:hAnsi="Verdana"/>
          <w:sz w:val="20"/>
          <w:szCs w:val="20"/>
        </w:rPr>
        <w:t>”</w:t>
      </w:r>
      <w:r w:rsidR="008243D0" w:rsidRPr="00BB29A9">
        <w:rPr>
          <w:rFonts w:ascii="Verdana" w:hAnsi="Verdana"/>
          <w:sz w:val="20"/>
          <w:szCs w:val="20"/>
        </w:rPr>
        <w:t>.</w:t>
      </w:r>
    </w:p>
    <w:p w14:paraId="79E3647D" w14:textId="230ED162" w:rsidR="0022081A" w:rsidRPr="00BB29A9" w:rsidRDefault="00D41DAD" w:rsidP="0022081A">
      <w:pPr>
        <w:pStyle w:val="Prrafodelista"/>
        <w:spacing w:before="120" w:after="120" w:line="240" w:lineRule="auto"/>
        <w:contextualSpacing w:val="0"/>
        <w:rPr>
          <w:rFonts w:ascii="Verdana" w:hAnsi="Verdana"/>
          <w:i/>
          <w:sz w:val="20"/>
          <w:szCs w:val="20"/>
        </w:rPr>
      </w:pPr>
      <w:r>
        <w:rPr>
          <w:rFonts w:ascii="Verdana" w:hAnsi="Verdana"/>
          <w:i/>
          <w:sz w:val="20"/>
          <w:szCs w:val="20"/>
        </w:rPr>
        <w:t>E</w:t>
      </w:r>
      <w:r w:rsidR="0022081A" w:rsidRPr="00BB29A9">
        <w:rPr>
          <w:rFonts w:ascii="Verdana" w:hAnsi="Verdana"/>
          <w:i/>
          <w:sz w:val="20"/>
          <w:szCs w:val="20"/>
        </w:rPr>
        <w:t>.2. Consideraciones de la Corte</w:t>
      </w:r>
    </w:p>
    <w:p w14:paraId="2392FF21" w14:textId="77777777" w:rsidR="008417BF" w:rsidRPr="00BB29A9" w:rsidRDefault="00371E1E" w:rsidP="008417BF">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 xml:space="preserve">La Corte recuerda que en la Sentencia </w:t>
      </w:r>
      <w:r w:rsidR="008417BF" w:rsidRPr="00BB29A9">
        <w:rPr>
          <w:rFonts w:ascii="Verdana" w:hAnsi="Verdana"/>
          <w:sz w:val="20"/>
          <w:szCs w:val="20"/>
        </w:rPr>
        <w:t xml:space="preserve">de 2004 </w:t>
      </w:r>
      <w:r w:rsidRPr="00BB29A9">
        <w:rPr>
          <w:rFonts w:ascii="Verdana" w:hAnsi="Verdana"/>
          <w:sz w:val="20"/>
          <w:szCs w:val="20"/>
        </w:rPr>
        <w:t>observ</w:t>
      </w:r>
      <w:r w:rsidR="00114282" w:rsidRPr="00BB29A9">
        <w:rPr>
          <w:rFonts w:ascii="Verdana" w:hAnsi="Verdana"/>
          <w:sz w:val="20"/>
          <w:szCs w:val="20"/>
        </w:rPr>
        <w:t xml:space="preserve">ó </w:t>
      </w:r>
      <w:r w:rsidRPr="00BB29A9">
        <w:rPr>
          <w:rFonts w:ascii="Verdana" w:hAnsi="Verdana"/>
          <w:sz w:val="20"/>
          <w:szCs w:val="20"/>
        </w:rPr>
        <w:t xml:space="preserve">que en la lista de víctimas </w:t>
      </w:r>
      <w:r w:rsidR="00114282" w:rsidRPr="00BB29A9">
        <w:rPr>
          <w:rFonts w:ascii="Verdana" w:hAnsi="Verdana"/>
          <w:sz w:val="20"/>
          <w:szCs w:val="20"/>
        </w:rPr>
        <w:t xml:space="preserve">aparecían 17 </w:t>
      </w:r>
      <w:r w:rsidRPr="00BB29A9">
        <w:rPr>
          <w:rFonts w:ascii="Verdana" w:hAnsi="Verdana"/>
          <w:sz w:val="20"/>
          <w:szCs w:val="20"/>
        </w:rPr>
        <w:t>personas con nombres</w:t>
      </w:r>
      <w:r w:rsidR="00114282" w:rsidRPr="00BB29A9">
        <w:rPr>
          <w:rFonts w:ascii="Verdana" w:hAnsi="Verdana"/>
          <w:sz w:val="20"/>
          <w:szCs w:val="20"/>
        </w:rPr>
        <w:t xml:space="preserve"> </w:t>
      </w:r>
      <w:r w:rsidRPr="00BB29A9">
        <w:rPr>
          <w:rFonts w:ascii="Verdana" w:hAnsi="Verdana"/>
          <w:sz w:val="20"/>
          <w:szCs w:val="20"/>
        </w:rPr>
        <w:t>iguales o similares</w:t>
      </w:r>
      <w:r w:rsidR="00114282" w:rsidRPr="00BB29A9">
        <w:rPr>
          <w:rFonts w:ascii="Verdana" w:hAnsi="Verdana"/>
          <w:sz w:val="20"/>
          <w:szCs w:val="20"/>
        </w:rPr>
        <w:t xml:space="preserve">, </w:t>
      </w:r>
      <w:r w:rsidR="008417BF" w:rsidRPr="00BB29A9">
        <w:rPr>
          <w:rFonts w:ascii="Verdana" w:hAnsi="Verdana"/>
          <w:sz w:val="20"/>
          <w:szCs w:val="20"/>
        </w:rPr>
        <w:t>no obstante,</w:t>
      </w:r>
      <w:r w:rsidR="00114282" w:rsidRPr="00BB29A9">
        <w:rPr>
          <w:rFonts w:ascii="Verdana" w:hAnsi="Verdana"/>
          <w:sz w:val="20"/>
          <w:szCs w:val="20"/>
        </w:rPr>
        <w:t xml:space="preserve"> “[e]</w:t>
      </w:r>
      <w:r w:rsidRPr="00BB29A9">
        <w:rPr>
          <w:rFonts w:ascii="Verdana" w:hAnsi="Verdana"/>
          <w:sz w:val="20"/>
          <w:szCs w:val="20"/>
        </w:rPr>
        <w:t>n atención a las dificultades en la identificación</w:t>
      </w:r>
      <w:r w:rsidR="00114282" w:rsidRPr="00BB29A9">
        <w:rPr>
          <w:rFonts w:ascii="Verdana" w:hAnsi="Verdana"/>
          <w:sz w:val="20"/>
          <w:szCs w:val="20"/>
        </w:rPr>
        <w:t xml:space="preserve"> </w:t>
      </w:r>
      <w:r w:rsidRPr="00BB29A9">
        <w:rPr>
          <w:rFonts w:ascii="Verdana" w:hAnsi="Verdana"/>
          <w:sz w:val="20"/>
          <w:szCs w:val="20"/>
        </w:rPr>
        <w:t>de las víctimas del presente caso</w:t>
      </w:r>
      <w:r w:rsidR="00114282" w:rsidRPr="00BB29A9">
        <w:rPr>
          <w:rFonts w:ascii="Verdana" w:hAnsi="Verdana"/>
          <w:sz w:val="20"/>
          <w:szCs w:val="20"/>
        </w:rPr>
        <w:t>”</w:t>
      </w:r>
      <w:r w:rsidRPr="00BB29A9">
        <w:rPr>
          <w:rFonts w:ascii="Verdana" w:hAnsi="Verdana"/>
          <w:sz w:val="20"/>
          <w:szCs w:val="20"/>
        </w:rPr>
        <w:t xml:space="preserve">, </w:t>
      </w:r>
      <w:r w:rsidR="00114282" w:rsidRPr="00BB29A9">
        <w:rPr>
          <w:rFonts w:ascii="Verdana" w:hAnsi="Verdana"/>
          <w:sz w:val="20"/>
          <w:szCs w:val="20"/>
        </w:rPr>
        <w:t>consideró</w:t>
      </w:r>
      <w:r w:rsidRPr="00BB29A9">
        <w:rPr>
          <w:rFonts w:ascii="Verdana" w:hAnsi="Verdana"/>
          <w:sz w:val="20"/>
          <w:szCs w:val="20"/>
        </w:rPr>
        <w:t xml:space="preserve"> oportuno </w:t>
      </w:r>
      <w:r w:rsidR="00114282" w:rsidRPr="00BB29A9">
        <w:rPr>
          <w:rFonts w:ascii="Verdana" w:hAnsi="Verdana"/>
          <w:sz w:val="20"/>
          <w:szCs w:val="20"/>
        </w:rPr>
        <w:t>“</w:t>
      </w:r>
      <w:r w:rsidRPr="00BB29A9">
        <w:rPr>
          <w:rFonts w:ascii="Verdana" w:hAnsi="Verdana"/>
          <w:sz w:val="20"/>
          <w:szCs w:val="20"/>
        </w:rPr>
        <w:t>mantener sus</w:t>
      </w:r>
      <w:r w:rsidR="00114282" w:rsidRPr="00BB29A9">
        <w:rPr>
          <w:rFonts w:ascii="Verdana" w:hAnsi="Verdana"/>
          <w:sz w:val="20"/>
          <w:szCs w:val="20"/>
        </w:rPr>
        <w:t xml:space="preserve"> </w:t>
      </w:r>
      <w:r w:rsidRPr="00BB29A9">
        <w:rPr>
          <w:rFonts w:ascii="Verdana" w:hAnsi="Verdana"/>
          <w:sz w:val="20"/>
          <w:szCs w:val="20"/>
        </w:rPr>
        <w:t>nombres como víctimas distintas, sin perjuicio de que al momento del reclamo de la</w:t>
      </w:r>
      <w:r w:rsidR="00114282" w:rsidRPr="00BB29A9">
        <w:rPr>
          <w:rFonts w:ascii="Verdana" w:hAnsi="Verdana"/>
          <w:sz w:val="20"/>
          <w:szCs w:val="20"/>
        </w:rPr>
        <w:t xml:space="preserve"> </w:t>
      </w:r>
      <w:r w:rsidRPr="00BB29A9">
        <w:rPr>
          <w:rFonts w:ascii="Verdana" w:hAnsi="Verdana"/>
          <w:sz w:val="20"/>
          <w:szCs w:val="20"/>
        </w:rPr>
        <w:t>indemnización correspondiente se pueda establecer lo contrario, esto es, que se trata</w:t>
      </w:r>
      <w:r w:rsidR="00114282" w:rsidRPr="00BB29A9">
        <w:rPr>
          <w:rFonts w:ascii="Verdana" w:hAnsi="Verdana"/>
          <w:sz w:val="20"/>
          <w:szCs w:val="20"/>
        </w:rPr>
        <w:t xml:space="preserve"> </w:t>
      </w:r>
      <w:r w:rsidRPr="00BB29A9">
        <w:rPr>
          <w:rFonts w:ascii="Verdana" w:hAnsi="Verdana"/>
          <w:sz w:val="20"/>
          <w:szCs w:val="20"/>
        </w:rPr>
        <w:t>de la misma persona</w:t>
      </w:r>
      <w:r w:rsidR="00114282" w:rsidRPr="00BB29A9">
        <w:rPr>
          <w:rFonts w:ascii="Verdana" w:hAnsi="Verdana"/>
          <w:sz w:val="20"/>
          <w:szCs w:val="20"/>
        </w:rPr>
        <w:t>”</w:t>
      </w:r>
      <w:r w:rsidR="00114282" w:rsidRPr="00BB29A9">
        <w:rPr>
          <w:rStyle w:val="Refdenotaalpie"/>
          <w:rFonts w:ascii="Verdana" w:hAnsi="Verdana"/>
          <w:sz w:val="20"/>
          <w:szCs w:val="20"/>
        </w:rPr>
        <w:footnoteReference w:id="62"/>
      </w:r>
      <w:r w:rsidR="00114282" w:rsidRPr="00BB29A9">
        <w:rPr>
          <w:rFonts w:ascii="Verdana" w:hAnsi="Verdana"/>
          <w:sz w:val="20"/>
          <w:szCs w:val="20"/>
        </w:rPr>
        <w:t xml:space="preserve">. </w:t>
      </w:r>
      <w:r w:rsidR="008417BF" w:rsidRPr="00BB29A9">
        <w:rPr>
          <w:rFonts w:ascii="Verdana" w:hAnsi="Verdana"/>
          <w:sz w:val="20"/>
          <w:szCs w:val="20"/>
        </w:rPr>
        <w:t>A partir de mayo de 2013</w:t>
      </w:r>
      <w:r w:rsidR="00CF0A04" w:rsidRPr="00BB29A9">
        <w:rPr>
          <w:rFonts w:ascii="Verdana" w:hAnsi="Verdana"/>
          <w:sz w:val="20"/>
          <w:szCs w:val="20"/>
        </w:rPr>
        <w:t xml:space="preserve"> los representantes aclararon que </w:t>
      </w:r>
      <w:r w:rsidR="00114282" w:rsidRPr="00BB29A9">
        <w:rPr>
          <w:rFonts w:ascii="Verdana" w:hAnsi="Verdana"/>
          <w:sz w:val="20"/>
          <w:szCs w:val="20"/>
        </w:rPr>
        <w:t>las 17 víctimas “son las mismas” personas</w:t>
      </w:r>
      <w:r w:rsidR="008417BF" w:rsidRPr="00BB29A9">
        <w:rPr>
          <w:rFonts w:ascii="Verdana" w:hAnsi="Verdana"/>
          <w:sz w:val="20"/>
          <w:szCs w:val="20"/>
        </w:rPr>
        <w:t xml:space="preserve"> que recibieron el pago anteriormente, por ello es que sus nombres son iguales o similares</w:t>
      </w:r>
      <w:r w:rsidR="00114282" w:rsidRPr="00BB29A9">
        <w:rPr>
          <w:rFonts w:ascii="Verdana" w:hAnsi="Verdana"/>
          <w:sz w:val="20"/>
          <w:szCs w:val="20"/>
        </w:rPr>
        <w:t xml:space="preserve">. </w:t>
      </w:r>
      <w:r w:rsidR="00CF0A04" w:rsidRPr="00BB29A9">
        <w:rPr>
          <w:rFonts w:ascii="Verdana" w:hAnsi="Verdana"/>
          <w:sz w:val="20"/>
          <w:szCs w:val="20"/>
        </w:rPr>
        <w:t>Es así que las partes coincidieron</w:t>
      </w:r>
      <w:r w:rsidR="00114282" w:rsidRPr="00BB29A9">
        <w:rPr>
          <w:rFonts w:ascii="Verdana" w:hAnsi="Verdana"/>
          <w:sz w:val="20"/>
          <w:szCs w:val="20"/>
        </w:rPr>
        <w:t xml:space="preserve"> en que estaría cumplida la obligación del Estado en lo relativo a estas </w:t>
      </w:r>
      <w:r w:rsidR="00114282" w:rsidRPr="00BB29A9">
        <w:rPr>
          <w:rFonts w:ascii="Verdana" w:hAnsi="Verdana"/>
          <w:sz w:val="20"/>
          <w:szCs w:val="20"/>
        </w:rPr>
        <w:lastRenderedPageBreak/>
        <w:t>víctimas</w:t>
      </w:r>
      <w:r w:rsidR="00114282" w:rsidRPr="00BB29A9">
        <w:rPr>
          <w:rStyle w:val="Refdenotaalpie"/>
          <w:rFonts w:ascii="Verdana" w:hAnsi="Verdana"/>
          <w:sz w:val="20"/>
          <w:szCs w:val="20"/>
        </w:rPr>
        <w:footnoteReference w:id="63"/>
      </w:r>
      <w:r w:rsidR="00114282" w:rsidRPr="00BB29A9">
        <w:rPr>
          <w:rFonts w:ascii="Verdana" w:hAnsi="Verdana"/>
          <w:sz w:val="20"/>
          <w:szCs w:val="20"/>
        </w:rPr>
        <w:t xml:space="preserve">. </w:t>
      </w:r>
      <w:r w:rsidRPr="00BB29A9">
        <w:rPr>
          <w:rFonts w:ascii="Verdana" w:hAnsi="Verdana"/>
          <w:sz w:val="20"/>
          <w:szCs w:val="20"/>
        </w:rPr>
        <w:t>Por ello, la Corte considera que el Estado cumplió con realizar los pagos de indemnizaciones por daño material e inmaterial respecto a este grupo de</w:t>
      </w:r>
      <w:r w:rsidR="00114282" w:rsidRPr="00BB29A9">
        <w:rPr>
          <w:rFonts w:ascii="Verdana" w:hAnsi="Verdana"/>
          <w:sz w:val="20"/>
          <w:szCs w:val="20"/>
        </w:rPr>
        <w:t xml:space="preserve"> </w:t>
      </w:r>
      <w:r w:rsidR="008417BF" w:rsidRPr="00BB29A9">
        <w:rPr>
          <w:rFonts w:ascii="Verdana" w:hAnsi="Verdana"/>
          <w:sz w:val="20"/>
          <w:szCs w:val="20"/>
        </w:rPr>
        <w:t xml:space="preserve">17 </w:t>
      </w:r>
      <w:r w:rsidRPr="00BB29A9">
        <w:rPr>
          <w:rFonts w:ascii="Verdana" w:hAnsi="Verdana"/>
          <w:sz w:val="20"/>
          <w:szCs w:val="20"/>
        </w:rPr>
        <w:t>víctimas.</w:t>
      </w:r>
    </w:p>
    <w:p w14:paraId="5E5A6543" w14:textId="2DD820EC" w:rsidR="002220F1" w:rsidRPr="002220F1" w:rsidRDefault="002D52C1" w:rsidP="002220F1">
      <w:pPr>
        <w:pStyle w:val="Prrafodelista"/>
        <w:numPr>
          <w:ilvl w:val="0"/>
          <w:numId w:val="14"/>
        </w:numPr>
        <w:spacing w:before="120" w:after="120" w:line="240" w:lineRule="auto"/>
        <w:ind w:left="0" w:firstLine="0"/>
        <w:contextualSpacing w:val="0"/>
        <w:jc w:val="both"/>
        <w:rPr>
          <w:rFonts w:ascii="Verdana" w:hAnsi="Verdana"/>
          <w:sz w:val="20"/>
          <w:szCs w:val="20"/>
        </w:rPr>
      </w:pPr>
      <w:r w:rsidRPr="00BB29A9">
        <w:rPr>
          <w:rFonts w:ascii="Verdana" w:hAnsi="Verdana"/>
          <w:sz w:val="20"/>
          <w:szCs w:val="20"/>
        </w:rPr>
        <w:t>Por otro lado,</w:t>
      </w:r>
      <w:r w:rsidR="00FC1F3C" w:rsidRPr="00BB29A9">
        <w:rPr>
          <w:rFonts w:ascii="Verdana" w:hAnsi="Verdana"/>
          <w:sz w:val="20"/>
          <w:szCs w:val="20"/>
        </w:rPr>
        <w:t xml:space="preserve"> </w:t>
      </w:r>
      <w:r w:rsidR="000957EB" w:rsidRPr="00BB29A9">
        <w:rPr>
          <w:rFonts w:ascii="Verdana" w:hAnsi="Verdana"/>
          <w:sz w:val="20"/>
          <w:szCs w:val="20"/>
        </w:rPr>
        <w:t>a la luz del párrafo 121 de la Sentencia (</w:t>
      </w:r>
      <w:r w:rsidR="000957EB" w:rsidRPr="00BB29A9">
        <w:rPr>
          <w:rFonts w:ascii="Verdana" w:hAnsi="Verdana"/>
          <w:i/>
          <w:sz w:val="20"/>
          <w:szCs w:val="20"/>
        </w:rPr>
        <w:t>supra</w:t>
      </w:r>
      <w:r w:rsidR="00B76AF5">
        <w:rPr>
          <w:rFonts w:ascii="Verdana" w:hAnsi="Verdana"/>
          <w:sz w:val="20"/>
          <w:szCs w:val="20"/>
        </w:rPr>
        <w:t xml:space="preserve"> Considerando 60</w:t>
      </w:r>
      <w:r w:rsidR="000957EB" w:rsidRPr="00BB29A9">
        <w:rPr>
          <w:rFonts w:ascii="Verdana" w:hAnsi="Verdana"/>
          <w:sz w:val="20"/>
          <w:szCs w:val="20"/>
        </w:rPr>
        <w:t xml:space="preserve">), </w:t>
      </w:r>
      <w:r w:rsidR="00D36C7C" w:rsidRPr="00BB29A9">
        <w:rPr>
          <w:rFonts w:ascii="Verdana" w:hAnsi="Verdana"/>
          <w:sz w:val="20"/>
          <w:szCs w:val="20"/>
        </w:rPr>
        <w:t xml:space="preserve">en </w:t>
      </w:r>
      <w:r w:rsidR="00D36C7C" w:rsidRPr="00BB29A9">
        <w:rPr>
          <w:rFonts w:ascii="Verdana" w:hAnsi="Verdana"/>
          <w:sz w:val="20"/>
          <w:szCs w:val="20"/>
          <w:lang w:val="es-MX"/>
        </w:rPr>
        <w:t xml:space="preserve">junio de 2012 </w:t>
      </w:r>
      <w:r w:rsidR="00A51278" w:rsidRPr="00BB29A9">
        <w:rPr>
          <w:rFonts w:ascii="Verdana" w:hAnsi="Verdana"/>
          <w:sz w:val="20"/>
          <w:szCs w:val="20"/>
        </w:rPr>
        <w:t>el Estado informó</w:t>
      </w:r>
      <w:r w:rsidR="0064730F" w:rsidRPr="00BB29A9">
        <w:rPr>
          <w:rFonts w:ascii="Verdana" w:hAnsi="Verdana"/>
          <w:sz w:val="20"/>
          <w:szCs w:val="20"/>
        </w:rPr>
        <w:t xml:space="preserve"> </w:t>
      </w:r>
      <w:r w:rsidR="00A51278" w:rsidRPr="00BB29A9">
        <w:rPr>
          <w:rFonts w:ascii="Verdana" w:hAnsi="Verdana"/>
          <w:sz w:val="20"/>
          <w:szCs w:val="20"/>
        </w:rPr>
        <w:t>sobre la existencia de</w:t>
      </w:r>
      <w:r w:rsidR="001A1756" w:rsidRPr="00BB29A9">
        <w:rPr>
          <w:rFonts w:ascii="Verdana" w:hAnsi="Verdana"/>
          <w:sz w:val="20"/>
          <w:szCs w:val="20"/>
        </w:rPr>
        <w:t xml:space="preserve"> una cuenta constituida en el Banco Crédito Hipotecario Nacional destinada al pago de las indemnizaciones económicas derivadas de la Sentencia</w:t>
      </w:r>
      <w:r w:rsidR="00A51278" w:rsidRPr="00BB29A9">
        <w:rPr>
          <w:rFonts w:ascii="Verdana" w:hAnsi="Verdana"/>
          <w:sz w:val="20"/>
          <w:szCs w:val="20"/>
        </w:rPr>
        <w:t>,</w:t>
      </w:r>
      <w:r w:rsidR="001A1756" w:rsidRPr="00BB29A9">
        <w:rPr>
          <w:rFonts w:ascii="Verdana" w:hAnsi="Verdana"/>
          <w:sz w:val="20"/>
          <w:szCs w:val="20"/>
        </w:rPr>
        <w:t xml:space="preserve"> y</w:t>
      </w:r>
      <w:r w:rsidR="00A51278" w:rsidRPr="00BB29A9">
        <w:rPr>
          <w:rFonts w:ascii="Verdana" w:hAnsi="Verdana"/>
          <w:sz w:val="20"/>
          <w:szCs w:val="20"/>
        </w:rPr>
        <w:t xml:space="preserve"> explicó</w:t>
      </w:r>
      <w:r w:rsidR="001A1756" w:rsidRPr="00BB29A9">
        <w:rPr>
          <w:rFonts w:ascii="Verdana" w:hAnsi="Verdana"/>
          <w:sz w:val="20"/>
          <w:szCs w:val="20"/>
        </w:rPr>
        <w:t xml:space="preserve"> que los fondos se gestionan cada año para los beneficiarios que comparezcan a solicitar el cobro y presenten los documentos que los identifiquen y acrediten como beneficiario de dichas indemnizaciones</w:t>
      </w:r>
      <w:r w:rsidR="00AA2BFD" w:rsidRPr="00BB29A9">
        <w:rPr>
          <w:rFonts w:ascii="Verdana" w:hAnsi="Verdana"/>
          <w:sz w:val="20"/>
          <w:szCs w:val="20"/>
        </w:rPr>
        <w:t>. En respuesta, en mayo de 2013</w:t>
      </w:r>
      <w:r w:rsidR="005A102E" w:rsidRPr="00BB29A9">
        <w:rPr>
          <w:rFonts w:ascii="Verdana" w:hAnsi="Verdana"/>
          <w:sz w:val="20"/>
          <w:szCs w:val="20"/>
        </w:rPr>
        <w:t xml:space="preserve"> </w:t>
      </w:r>
      <w:r w:rsidR="00D36C7C" w:rsidRPr="00BB29A9">
        <w:rPr>
          <w:rFonts w:ascii="Verdana" w:hAnsi="Verdana"/>
          <w:sz w:val="20"/>
          <w:szCs w:val="20"/>
        </w:rPr>
        <w:t>l</w:t>
      </w:r>
      <w:r w:rsidR="000D07A4" w:rsidRPr="00BB29A9">
        <w:rPr>
          <w:rFonts w:ascii="Verdana" w:hAnsi="Verdana"/>
          <w:sz w:val="20"/>
          <w:szCs w:val="20"/>
        </w:rPr>
        <w:t xml:space="preserve">os representantes </w:t>
      </w:r>
      <w:r w:rsidR="00A51278" w:rsidRPr="00BB29A9">
        <w:rPr>
          <w:rFonts w:ascii="Verdana" w:hAnsi="Verdana"/>
          <w:sz w:val="20"/>
          <w:szCs w:val="20"/>
        </w:rPr>
        <w:t xml:space="preserve">valoraron “como </w:t>
      </w:r>
      <w:proofErr w:type="spellStart"/>
      <w:r w:rsidR="00A51278" w:rsidRPr="00BB29A9">
        <w:rPr>
          <w:rFonts w:ascii="Verdana" w:hAnsi="Verdana"/>
          <w:sz w:val="20"/>
          <w:szCs w:val="20"/>
        </w:rPr>
        <w:t>positiv</w:t>
      </w:r>
      <w:proofErr w:type="spellEnd"/>
      <w:r w:rsidR="00AA2BFD" w:rsidRPr="00BB29A9">
        <w:rPr>
          <w:rFonts w:ascii="Verdana" w:hAnsi="Verdana"/>
          <w:sz w:val="20"/>
          <w:szCs w:val="20"/>
        </w:rPr>
        <w:t>[a]</w:t>
      </w:r>
      <w:r w:rsidR="00A51278" w:rsidRPr="00BB29A9">
        <w:rPr>
          <w:rFonts w:ascii="Verdana" w:hAnsi="Verdana"/>
          <w:sz w:val="20"/>
          <w:szCs w:val="20"/>
        </w:rPr>
        <w:t xml:space="preserve"> y adecuad</w:t>
      </w:r>
      <w:r w:rsidR="00AA2BFD" w:rsidRPr="00BB29A9">
        <w:rPr>
          <w:rFonts w:ascii="Verdana" w:hAnsi="Verdana"/>
          <w:sz w:val="20"/>
          <w:szCs w:val="20"/>
        </w:rPr>
        <w:t>[a]</w:t>
      </w:r>
      <w:r w:rsidR="00D36C7C" w:rsidRPr="00BB29A9">
        <w:rPr>
          <w:rFonts w:ascii="Verdana" w:hAnsi="Verdana"/>
          <w:sz w:val="20"/>
          <w:szCs w:val="20"/>
        </w:rPr>
        <w:t>”</w:t>
      </w:r>
      <w:r w:rsidR="00AA2BFD" w:rsidRPr="00BB29A9">
        <w:rPr>
          <w:rFonts w:ascii="Verdana" w:hAnsi="Verdana"/>
          <w:sz w:val="20"/>
          <w:szCs w:val="20"/>
        </w:rPr>
        <w:t xml:space="preserve"> la medida adoptada por el Estado</w:t>
      </w:r>
      <w:r w:rsidR="0064730F" w:rsidRPr="00BB29A9">
        <w:rPr>
          <w:rStyle w:val="Refdenotaalpie"/>
          <w:rFonts w:ascii="Verdana" w:hAnsi="Verdana"/>
          <w:sz w:val="20"/>
          <w:szCs w:val="20"/>
        </w:rPr>
        <w:footnoteReference w:id="64"/>
      </w:r>
      <w:r w:rsidR="000D07A4" w:rsidRPr="00BB29A9">
        <w:rPr>
          <w:rFonts w:ascii="Verdana" w:hAnsi="Verdana"/>
          <w:sz w:val="20"/>
          <w:szCs w:val="20"/>
        </w:rPr>
        <w:t>.</w:t>
      </w:r>
      <w:r w:rsidR="008417BF" w:rsidRPr="00BB29A9">
        <w:rPr>
          <w:rFonts w:ascii="Verdana" w:hAnsi="Verdana"/>
          <w:sz w:val="20"/>
          <w:szCs w:val="20"/>
        </w:rPr>
        <w:t xml:space="preserve"> </w:t>
      </w:r>
      <w:r w:rsidR="002220F1">
        <w:rPr>
          <w:rFonts w:ascii="Verdana" w:hAnsi="Verdana"/>
          <w:sz w:val="20"/>
          <w:szCs w:val="20"/>
        </w:rPr>
        <w:t>Al respecto,</w:t>
      </w:r>
      <w:r w:rsidR="002220F1" w:rsidRPr="002220F1">
        <w:rPr>
          <w:rFonts w:ascii="Verdana" w:hAnsi="Verdana"/>
          <w:sz w:val="20"/>
          <w:szCs w:val="20"/>
        </w:rPr>
        <w:t xml:space="preserve"> la Corte valora la disposición del Estado de realizar </w:t>
      </w:r>
      <w:r w:rsidR="002220F1" w:rsidRPr="002220F1">
        <w:rPr>
          <w:rFonts w:ascii="Verdana" w:hAnsi="Verdana" w:cs="Times New Roman"/>
          <w:sz w:val="20"/>
          <w:szCs w:val="20"/>
        </w:rPr>
        <w:t>los pagos de las indemnizaciones por concepto de daño material e inmaterial a cada una de las víctimas beneficiarias enlistadas en la Sentencia.</w:t>
      </w:r>
    </w:p>
    <w:p w14:paraId="5952683B" w14:textId="55088E1E" w:rsidR="00AA2BFD" w:rsidRPr="00BB29A9" w:rsidRDefault="002220F1" w:rsidP="00AA2BFD">
      <w:pPr>
        <w:pStyle w:val="Prrafodelista"/>
        <w:numPr>
          <w:ilvl w:val="0"/>
          <w:numId w:val="14"/>
        </w:numPr>
        <w:spacing w:before="120" w:after="120" w:line="240" w:lineRule="auto"/>
        <w:ind w:left="0" w:firstLine="0"/>
        <w:contextualSpacing w:val="0"/>
        <w:jc w:val="both"/>
        <w:rPr>
          <w:rFonts w:ascii="Verdana" w:hAnsi="Verdana"/>
          <w:sz w:val="20"/>
          <w:szCs w:val="20"/>
        </w:rPr>
      </w:pPr>
      <w:r>
        <w:rPr>
          <w:rFonts w:ascii="Verdana" w:hAnsi="Verdana"/>
          <w:sz w:val="20"/>
          <w:szCs w:val="20"/>
        </w:rPr>
        <w:t>Finalmente, m</w:t>
      </w:r>
      <w:r w:rsidR="00F433A5" w:rsidRPr="00BB29A9">
        <w:rPr>
          <w:rFonts w:ascii="Verdana" w:hAnsi="Verdana"/>
          <w:sz w:val="20"/>
          <w:szCs w:val="20"/>
        </w:rPr>
        <w:t>ediante nota de Secretaría de 9 de noviembre de 2016</w:t>
      </w:r>
      <w:r w:rsidR="004E2944">
        <w:rPr>
          <w:rFonts w:ascii="Verdana" w:hAnsi="Verdana"/>
          <w:sz w:val="20"/>
          <w:szCs w:val="20"/>
        </w:rPr>
        <w:t>,</w:t>
      </w:r>
      <w:r w:rsidR="00F433A5" w:rsidRPr="00BB29A9">
        <w:rPr>
          <w:rFonts w:ascii="Verdana" w:hAnsi="Verdana"/>
          <w:sz w:val="20"/>
          <w:szCs w:val="20"/>
        </w:rPr>
        <w:t xml:space="preserve"> se hizo notar que las partes </w:t>
      </w:r>
      <w:r w:rsidR="004E2944">
        <w:rPr>
          <w:rFonts w:ascii="Verdana" w:hAnsi="Verdana"/>
          <w:sz w:val="20"/>
          <w:szCs w:val="20"/>
        </w:rPr>
        <w:t xml:space="preserve">parecían concordar </w:t>
      </w:r>
      <w:r w:rsidR="00F433A5" w:rsidRPr="00BB29A9">
        <w:rPr>
          <w:rFonts w:ascii="Verdana" w:hAnsi="Verdana"/>
          <w:sz w:val="20"/>
          <w:szCs w:val="20"/>
        </w:rPr>
        <w:t xml:space="preserve">en que la indemnización por concepto de daño material e inmaterial “fue pagada a 273 víctimas, y que los pagos a las restantes 27 víctimas no se han podido realizar debido a que no ha sido posible localizarlas”, por </w:t>
      </w:r>
      <w:r w:rsidR="00CF0A04" w:rsidRPr="00BB29A9">
        <w:rPr>
          <w:rFonts w:ascii="Verdana" w:hAnsi="Verdana"/>
          <w:sz w:val="20"/>
          <w:szCs w:val="20"/>
        </w:rPr>
        <w:t>lo tanto</w:t>
      </w:r>
      <w:r w:rsidR="00F433A5" w:rsidRPr="00BB29A9">
        <w:rPr>
          <w:rFonts w:ascii="Verdana" w:hAnsi="Verdana"/>
          <w:sz w:val="20"/>
          <w:szCs w:val="20"/>
        </w:rPr>
        <w:t xml:space="preserve">, “siguiendo instrucciones del Presidente del Tribunal, se </w:t>
      </w:r>
      <w:proofErr w:type="spellStart"/>
      <w:r w:rsidR="00F433A5" w:rsidRPr="00BB29A9">
        <w:rPr>
          <w:rFonts w:ascii="Verdana" w:hAnsi="Verdana"/>
          <w:sz w:val="20"/>
          <w:szCs w:val="20"/>
        </w:rPr>
        <w:t>solicit</w:t>
      </w:r>
      <w:proofErr w:type="spellEnd"/>
      <w:r w:rsidR="00F433A5" w:rsidRPr="00BB29A9">
        <w:rPr>
          <w:rFonts w:ascii="Verdana" w:hAnsi="Verdana"/>
          <w:sz w:val="20"/>
          <w:szCs w:val="20"/>
        </w:rPr>
        <w:t>[</w:t>
      </w:r>
      <w:proofErr w:type="spellStart"/>
      <w:r w:rsidR="00F433A5" w:rsidRPr="00BB29A9">
        <w:rPr>
          <w:rFonts w:ascii="Verdana" w:hAnsi="Verdana"/>
          <w:sz w:val="20"/>
          <w:szCs w:val="20"/>
        </w:rPr>
        <w:t>ó</w:t>
      </w:r>
      <w:proofErr w:type="spellEnd"/>
      <w:r w:rsidR="00F433A5" w:rsidRPr="00BB29A9">
        <w:rPr>
          <w:rFonts w:ascii="Verdana" w:hAnsi="Verdana"/>
          <w:sz w:val="20"/>
          <w:szCs w:val="20"/>
        </w:rPr>
        <w:t xml:space="preserve">] a las partes que, a más tardar el 8 de diciembre de 2016, </w:t>
      </w:r>
      <w:proofErr w:type="spellStart"/>
      <w:r w:rsidR="00F433A5" w:rsidRPr="00BB29A9">
        <w:rPr>
          <w:rFonts w:ascii="Verdana" w:hAnsi="Verdana"/>
          <w:sz w:val="20"/>
          <w:szCs w:val="20"/>
        </w:rPr>
        <w:t>indi</w:t>
      </w:r>
      <w:proofErr w:type="spellEnd"/>
      <w:r w:rsidR="00F433A5" w:rsidRPr="00BB29A9">
        <w:rPr>
          <w:rFonts w:ascii="Verdana" w:hAnsi="Verdana"/>
          <w:sz w:val="20"/>
          <w:szCs w:val="20"/>
        </w:rPr>
        <w:t>[</w:t>
      </w:r>
      <w:proofErr w:type="spellStart"/>
      <w:r w:rsidR="00F433A5" w:rsidRPr="00BB29A9">
        <w:rPr>
          <w:rFonts w:ascii="Verdana" w:hAnsi="Verdana"/>
          <w:sz w:val="20"/>
          <w:szCs w:val="20"/>
        </w:rPr>
        <w:t>caran</w:t>
      </w:r>
      <w:proofErr w:type="spellEnd"/>
      <w:r w:rsidR="00F433A5" w:rsidRPr="00BB29A9">
        <w:rPr>
          <w:rFonts w:ascii="Verdana" w:hAnsi="Verdana"/>
          <w:sz w:val="20"/>
          <w:szCs w:val="20"/>
        </w:rPr>
        <w:t>] su posición con relación al cumplimiento de dicha medida”</w:t>
      </w:r>
      <w:r w:rsidR="00B57F8B" w:rsidRPr="00BB29A9">
        <w:rPr>
          <w:rStyle w:val="Refdenotaalpie"/>
          <w:rFonts w:ascii="Verdana" w:hAnsi="Verdana" w:cs="Times New Roman"/>
          <w:sz w:val="20"/>
          <w:szCs w:val="20"/>
        </w:rPr>
        <w:footnoteReference w:id="65"/>
      </w:r>
      <w:r w:rsidR="00AA2BFD" w:rsidRPr="00BB29A9">
        <w:rPr>
          <w:rFonts w:ascii="Verdana" w:hAnsi="Verdana"/>
          <w:sz w:val="20"/>
          <w:szCs w:val="20"/>
        </w:rPr>
        <w:t>; sin embargo, las partes no presentaron posición alguna</w:t>
      </w:r>
      <w:r w:rsidR="00F433A5" w:rsidRPr="00BB29A9">
        <w:rPr>
          <w:rFonts w:ascii="Verdana" w:hAnsi="Verdana"/>
          <w:sz w:val="20"/>
          <w:szCs w:val="20"/>
        </w:rPr>
        <w:t xml:space="preserve"> al respecto en el plazo establecido</w:t>
      </w:r>
      <w:r w:rsidR="00AA2BFD" w:rsidRPr="00BB29A9">
        <w:rPr>
          <w:rFonts w:ascii="Verdana" w:hAnsi="Verdana"/>
          <w:sz w:val="20"/>
          <w:szCs w:val="20"/>
        </w:rPr>
        <w:t>.</w:t>
      </w:r>
    </w:p>
    <w:p w14:paraId="089F9A7B" w14:textId="1D9AC2CF" w:rsidR="002220F1" w:rsidRPr="002220F1" w:rsidRDefault="00B830DE" w:rsidP="002220F1">
      <w:pPr>
        <w:pStyle w:val="Prrafodelista"/>
        <w:numPr>
          <w:ilvl w:val="0"/>
          <w:numId w:val="14"/>
        </w:numPr>
        <w:spacing w:before="120" w:after="120" w:line="240" w:lineRule="auto"/>
        <w:ind w:left="0" w:firstLine="0"/>
        <w:contextualSpacing w:val="0"/>
        <w:jc w:val="both"/>
        <w:rPr>
          <w:rFonts w:ascii="Verdana" w:hAnsi="Verdana" w:cs="Times New Roman"/>
          <w:sz w:val="20"/>
          <w:szCs w:val="20"/>
        </w:rPr>
      </w:pPr>
      <w:r w:rsidRPr="00BB29A9">
        <w:rPr>
          <w:rFonts w:ascii="Verdana" w:hAnsi="Verdana"/>
          <w:sz w:val="20"/>
          <w:szCs w:val="20"/>
        </w:rPr>
        <w:t xml:space="preserve">En razón </w:t>
      </w:r>
      <w:r w:rsidR="007170F0" w:rsidRPr="00BB29A9">
        <w:rPr>
          <w:rFonts w:ascii="Verdana" w:hAnsi="Verdana" w:cs="Times New Roman"/>
          <w:sz w:val="20"/>
          <w:szCs w:val="20"/>
        </w:rPr>
        <w:t xml:space="preserve">que </w:t>
      </w:r>
      <w:r w:rsidR="007170F0" w:rsidRPr="00BB29A9">
        <w:rPr>
          <w:rFonts w:ascii="Verdana" w:hAnsi="Verdana"/>
          <w:sz w:val="20"/>
          <w:szCs w:val="20"/>
        </w:rPr>
        <w:t xml:space="preserve">el Estado cumplió con la obligación dispuesta en el párrafo 121 de la Sentencia, y </w:t>
      </w:r>
      <w:r w:rsidR="007170F0" w:rsidRPr="00BB29A9">
        <w:rPr>
          <w:rFonts w:ascii="Verdana" w:hAnsi="Verdana" w:cs="Times New Roman"/>
          <w:sz w:val="20"/>
          <w:szCs w:val="20"/>
        </w:rPr>
        <w:t xml:space="preserve">que han </w:t>
      </w:r>
      <w:r w:rsidR="007170F0" w:rsidRPr="00BB29A9">
        <w:rPr>
          <w:rFonts w:ascii="Verdana" w:hAnsi="Verdana"/>
          <w:sz w:val="20"/>
          <w:szCs w:val="20"/>
        </w:rPr>
        <w:t xml:space="preserve">transcurridos más de dieciséis años desde la notificación de la Sentencia sin que los pagos a las 27 víctimas restantes se hayan podido realizar </w:t>
      </w:r>
      <w:r w:rsidR="00CF0A04" w:rsidRPr="00BB29A9">
        <w:rPr>
          <w:rFonts w:ascii="Verdana" w:hAnsi="Verdana"/>
          <w:sz w:val="20"/>
          <w:szCs w:val="20"/>
        </w:rPr>
        <w:t>ya</w:t>
      </w:r>
      <w:r w:rsidR="007170F0" w:rsidRPr="00BB29A9">
        <w:rPr>
          <w:rFonts w:ascii="Verdana" w:hAnsi="Verdana"/>
          <w:sz w:val="20"/>
          <w:szCs w:val="20"/>
        </w:rPr>
        <w:t xml:space="preserve"> que no ha sido</w:t>
      </w:r>
      <w:r w:rsidR="007170F0" w:rsidRPr="00BB29A9">
        <w:rPr>
          <w:rFonts w:ascii="Verdana" w:hAnsi="Verdana" w:cs="Times New Roman"/>
          <w:sz w:val="20"/>
          <w:szCs w:val="20"/>
        </w:rPr>
        <w:t xml:space="preserve"> </w:t>
      </w:r>
      <w:r w:rsidR="007170F0" w:rsidRPr="00BB29A9">
        <w:rPr>
          <w:rFonts w:ascii="Verdana" w:hAnsi="Verdana"/>
          <w:sz w:val="20"/>
          <w:szCs w:val="20"/>
        </w:rPr>
        <w:t xml:space="preserve">posible </w:t>
      </w:r>
      <w:r w:rsidR="000957EB" w:rsidRPr="00BB29A9">
        <w:rPr>
          <w:rFonts w:ascii="Verdana" w:hAnsi="Verdana"/>
          <w:sz w:val="20"/>
          <w:szCs w:val="20"/>
        </w:rPr>
        <w:t>su</w:t>
      </w:r>
      <w:r w:rsidR="00CF0A04" w:rsidRPr="00BB29A9">
        <w:rPr>
          <w:rFonts w:ascii="Verdana" w:hAnsi="Verdana"/>
          <w:sz w:val="20"/>
          <w:szCs w:val="20"/>
        </w:rPr>
        <w:t xml:space="preserve"> </w:t>
      </w:r>
      <w:r w:rsidR="007170F0" w:rsidRPr="00BB29A9">
        <w:rPr>
          <w:rFonts w:ascii="Verdana" w:hAnsi="Verdana"/>
          <w:sz w:val="20"/>
          <w:szCs w:val="20"/>
        </w:rPr>
        <w:t>localiza</w:t>
      </w:r>
      <w:r w:rsidR="00CF0A04" w:rsidRPr="00BB29A9">
        <w:rPr>
          <w:rFonts w:ascii="Verdana" w:hAnsi="Verdana"/>
          <w:sz w:val="20"/>
          <w:szCs w:val="20"/>
        </w:rPr>
        <w:t>ción</w:t>
      </w:r>
      <w:r w:rsidR="000957EB" w:rsidRPr="00BB29A9">
        <w:rPr>
          <w:rFonts w:ascii="Verdana" w:hAnsi="Verdana"/>
          <w:sz w:val="20"/>
          <w:szCs w:val="20"/>
        </w:rPr>
        <w:t>, ni la de sus beneficiarios, l</w:t>
      </w:r>
      <w:r w:rsidR="000957EB" w:rsidRPr="00BB29A9">
        <w:rPr>
          <w:rFonts w:ascii="Verdana" w:hAnsi="Verdana" w:cs="Times New Roman"/>
          <w:sz w:val="20"/>
          <w:szCs w:val="20"/>
        </w:rPr>
        <w:t>a Corte considera que el Estado dio cumplimiento total a la medida de reparación dispuesta en los puntos resolutivos décimo y undécimo de la Sentencia.</w:t>
      </w:r>
    </w:p>
    <w:p w14:paraId="394B9487" w14:textId="68D62A79" w:rsidR="00094596" w:rsidRPr="00BB29A9" w:rsidRDefault="00094596" w:rsidP="00D36C7C">
      <w:pPr>
        <w:pStyle w:val="Prrafodelista"/>
        <w:spacing w:before="120" w:after="120" w:line="240" w:lineRule="auto"/>
        <w:ind w:left="0"/>
        <w:jc w:val="both"/>
        <w:rPr>
          <w:rFonts w:ascii="Verdana" w:hAnsi="Verdana"/>
          <w:b/>
          <w:sz w:val="20"/>
          <w:szCs w:val="20"/>
        </w:rPr>
      </w:pPr>
    </w:p>
    <w:p w14:paraId="146E0D4F" w14:textId="77777777" w:rsidR="008231F5" w:rsidRPr="00BB29A9" w:rsidRDefault="002315AE" w:rsidP="00D36C7C">
      <w:pPr>
        <w:pStyle w:val="Ttulo1"/>
        <w:spacing w:before="120" w:after="120" w:line="240" w:lineRule="auto"/>
        <w:contextualSpacing/>
        <w:jc w:val="both"/>
        <w:rPr>
          <w:rFonts w:ascii="Verdana" w:hAnsi="Verdana"/>
          <w:b/>
          <w:color w:val="auto"/>
          <w:sz w:val="20"/>
          <w:szCs w:val="20"/>
        </w:rPr>
      </w:pPr>
      <w:bookmarkStart w:id="15" w:name="_Toc67523777"/>
      <w:r>
        <w:rPr>
          <w:rFonts w:ascii="Verdana" w:hAnsi="Verdana"/>
          <w:b/>
          <w:color w:val="auto"/>
          <w:sz w:val="20"/>
          <w:szCs w:val="20"/>
          <w:lang w:val="es-MX"/>
        </w:rPr>
        <w:t>F</w:t>
      </w:r>
      <w:r w:rsidR="008231F5" w:rsidRPr="00BB29A9">
        <w:rPr>
          <w:rFonts w:ascii="Verdana" w:hAnsi="Verdana"/>
          <w:b/>
          <w:color w:val="auto"/>
          <w:sz w:val="20"/>
          <w:szCs w:val="20"/>
          <w:lang w:val="es-MX"/>
        </w:rPr>
        <w:t>.</w:t>
      </w:r>
      <w:r w:rsidR="008231F5" w:rsidRPr="00BB29A9">
        <w:rPr>
          <w:rFonts w:ascii="Verdana" w:hAnsi="Verdana"/>
          <w:b/>
          <w:color w:val="auto"/>
          <w:sz w:val="20"/>
          <w:szCs w:val="20"/>
          <w:lang w:val="es-MX"/>
        </w:rPr>
        <w:tab/>
      </w:r>
      <w:r w:rsidR="008231F5" w:rsidRPr="00BB29A9">
        <w:rPr>
          <w:rFonts w:ascii="Verdana" w:hAnsi="Verdana"/>
          <w:b/>
          <w:color w:val="auto"/>
          <w:sz w:val="20"/>
          <w:szCs w:val="20"/>
        </w:rPr>
        <w:t>Convocatoria a audiencia privada de supervisión</w:t>
      </w:r>
      <w:bookmarkEnd w:id="15"/>
    </w:p>
    <w:p w14:paraId="5D013F81" w14:textId="77777777" w:rsidR="008231F5" w:rsidRPr="00BB29A9" w:rsidRDefault="008231F5" w:rsidP="00D36C7C">
      <w:pPr>
        <w:pStyle w:val="Prrafodelista"/>
        <w:pBdr>
          <w:top w:val="nil"/>
          <w:left w:val="nil"/>
          <w:bottom w:val="nil"/>
          <w:right w:val="nil"/>
          <w:between w:val="nil"/>
          <w:bar w:val="nil"/>
        </w:pBdr>
        <w:spacing w:before="120" w:after="120" w:line="240" w:lineRule="auto"/>
        <w:ind w:left="780"/>
        <w:jc w:val="both"/>
        <w:rPr>
          <w:rFonts w:ascii="Verdana" w:hAnsi="Verdana"/>
          <w:b/>
          <w:i/>
          <w:sz w:val="20"/>
          <w:szCs w:val="20"/>
        </w:rPr>
      </w:pPr>
    </w:p>
    <w:p w14:paraId="13EE0D5C" w14:textId="35718377" w:rsidR="00AF06A8" w:rsidRPr="00B57F8B" w:rsidRDefault="008231F5" w:rsidP="00B57F8B">
      <w:pPr>
        <w:pStyle w:val="Prrafodelista"/>
        <w:numPr>
          <w:ilvl w:val="0"/>
          <w:numId w:val="14"/>
        </w:numPr>
        <w:spacing w:before="120" w:after="120" w:line="240" w:lineRule="auto"/>
        <w:ind w:left="0" w:firstLine="0"/>
        <w:jc w:val="both"/>
        <w:rPr>
          <w:rFonts w:ascii="Verdana" w:hAnsi="Verdana"/>
          <w:sz w:val="20"/>
          <w:szCs w:val="20"/>
        </w:rPr>
      </w:pPr>
      <w:r w:rsidRPr="00BB29A9">
        <w:rPr>
          <w:rFonts w:ascii="Verdana" w:hAnsi="Verdana"/>
          <w:sz w:val="20"/>
          <w:szCs w:val="20"/>
        </w:rPr>
        <w:t xml:space="preserve">Tomando en cuenta las medidas que se encuentran pendientes de cumplimiento y en aras de propiciar su pronto cumplimiento, este Tribunal considera pertinente convocar a las partes y a la Comisión a una audiencia privada de supervisión de cumplimiento de las medidas de reparación, </w:t>
      </w:r>
      <w:r w:rsidR="00B57F8B">
        <w:rPr>
          <w:rFonts w:ascii="Verdana" w:hAnsi="Verdana"/>
          <w:sz w:val="20"/>
          <w:szCs w:val="20"/>
        </w:rPr>
        <w:t>a</w:t>
      </w:r>
      <w:r w:rsidR="00B57F8B" w:rsidRPr="00B57F8B">
        <w:rPr>
          <w:rFonts w:ascii="Verdana" w:hAnsi="Verdana"/>
          <w:sz w:val="20"/>
          <w:szCs w:val="20"/>
        </w:rPr>
        <w:t xml:space="preserve"> celebrarse de for</w:t>
      </w:r>
      <w:r w:rsidR="00B57F8B">
        <w:rPr>
          <w:rFonts w:ascii="Verdana" w:hAnsi="Verdana"/>
          <w:sz w:val="20"/>
          <w:szCs w:val="20"/>
        </w:rPr>
        <w:t xml:space="preserve">ma virtual </w:t>
      </w:r>
      <w:r w:rsidRPr="00B57F8B">
        <w:rPr>
          <w:rFonts w:ascii="Verdana" w:hAnsi="Verdana"/>
          <w:sz w:val="20"/>
          <w:szCs w:val="20"/>
        </w:rPr>
        <w:t xml:space="preserve">el 14 de octubre de 2021 de las </w:t>
      </w:r>
      <w:r w:rsidR="00AF06A8" w:rsidRPr="00B57F8B">
        <w:rPr>
          <w:rFonts w:ascii="Verdana" w:hAnsi="Verdana"/>
          <w:sz w:val="20"/>
          <w:szCs w:val="20"/>
        </w:rPr>
        <w:t>11</w:t>
      </w:r>
      <w:r w:rsidRPr="00B57F8B">
        <w:rPr>
          <w:rFonts w:ascii="Verdana" w:hAnsi="Verdana"/>
          <w:sz w:val="20"/>
          <w:szCs w:val="20"/>
        </w:rPr>
        <w:t xml:space="preserve">:00 a las </w:t>
      </w:r>
      <w:r w:rsidR="00AF06A8" w:rsidRPr="00B57F8B">
        <w:rPr>
          <w:rFonts w:ascii="Verdana" w:hAnsi="Verdana"/>
          <w:sz w:val="20"/>
          <w:szCs w:val="20"/>
        </w:rPr>
        <w:t>12</w:t>
      </w:r>
      <w:r w:rsidRPr="00B57F8B">
        <w:rPr>
          <w:rFonts w:ascii="Verdana" w:hAnsi="Verdana"/>
          <w:sz w:val="20"/>
          <w:szCs w:val="20"/>
        </w:rPr>
        <w:t>:</w:t>
      </w:r>
      <w:r w:rsidR="00AF06A8" w:rsidRPr="00B57F8B">
        <w:rPr>
          <w:rFonts w:ascii="Verdana" w:hAnsi="Verdana"/>
          <w:sz w:val="20"/>
          <w:szCs w:val="20"/>
        </w:rPr>
        <w:t>3</w:t>
      </w:r>
      <w:r w:rsidRPr="00B57F8B">
        <w:rPr>
          <w:rFonts w:ascii="Verdana" w:hAnsi="Verdana"/>
          <w:sz w:val="20"/>
          <w:szCs w:val="20"/>
        </w:rPr>
        <w:t>0 horas de Costa Rica, durante el 144</w:t>
      </w:r>
      <w:r w:rsidR="00B57F8B">
        <w:rPr>
          <w:rFonts w:ascii="Verdana" w:hAnsi="Verdana"/>
          <w:sz w:val="20"/>
          <w:szCs w:val="20"/>
        </w:rPr>
        <w:t xml:space="preserve"> Periodo O</w:t>
      </w:r>
      <w:r w:rsidRPr="00B57F8B">
        <w:rPr>
          <w:rFonts w:ascii="Verdana" w:hAnsi="Verdana"/>
          <w:sz w:val="20"/>
          <w:szCs w:val="20"/>
        </w:rPr>
        <w:t xml:space="preserve">rdinario de </w:t>
      </w:r>
      <w:r w:rsidR="00B57F8B">
        <w:rPr>
          <w:rFonts w:ascii="Verdana" w:hAnsi="Verdana"/>
          <w:sz w:val="20"/>
          <w:szCs w:val="20"/>
        </w:rPr>
        <w:t>Sesiones del Tribunal.</w:t>
      </w:r>
    </w:p>
    <w:p w14:paraId="667552EE" w14:textId="6BDB3AD9" w:rsidR="00494B18" w:rsidRDefault="00494B18" w:rsidP="00AF06A8">
      <w:pPr>
        <w:pStyle w:val="Prrafodelista"/>
        <w:spacing w:before="120" w:after="120" w:line="240" w:lineRule="auto"/>
        <w:ind w:left="0"/>
        <w:contextualSpacing w:val="0"/>
        <w:jc w:val="both"/>
        <w:rPr>
          <w:rFonts w:ascii="Verdana" w:hAnsi="Verdana"/>
          <w:sz w:val="20"/>
          <w:szCs w:val="20"/>
        </w:rPr>
      </w:pPr>
    </w:p>
    <w:p w14:paraId="546D93A9" w14:textId="77777777" w:rsidR="00494B18" w:rsidRPr="00BB29A9" w:rsidRDefault="00494B18" w:rsidP="002A2C6F">
      <w:pPr>
        <w:pStyle w:val="Prrafodelista"/>
        <w:spacing w:before="80" w:after="0" w:line="240" w:lineRule="auto"/>
        <w:ind w:left="0"/>
        <w:contextualSpacing w:val="0"/>
        <w:jc w:val="both"/>
        <w:rPr>
          <w:rFonts w:ascii="Verdana" w:hAnsi="Verdana"/>
          <w:sz w:val="20"/>
          <w:szCs w:val="20"/>
        </w:rPr>
      </w:pPr>
    </w:p>
    <w:p w14:paraId="7AF51FE2" w14:textId="77777777" w:rsidR="00283592" w:rsidRPr="00BB29A9" w:rsidRDefault="00283592" w:rsidP="002A2C6F">
      <w:pPr>
        <w:spacing w:before="80" w:after="0" w:line="240" w:lineRule="auto"/>
        <w:jc w:val="both"/>
        <w:rPr>
          <w:rFonts w:ascii="Verdana" w:hAnsi="Verdana"/>
          <w:b/>
          <w:sz w:val="20"/>
          <w:szCs w:val="20"/>
        </w:rPr>
      </w:pPr>
      <w:r w:rsidRPr="00BB29A9">
        <w:rPr>
          <w:rFonts w:ascii="Verdana" w:hAnsi="Verdana"/>
          <w:b/>
          <w:sz w:val="20"/>
          <w:szCs w:val="20"/>
        </w:rPr>
        <w:t>POR TANTO:</w:t>
      </w:r>
    </w:p>
    <w:p w14:paraId="28D52D85" w14:textId="77777777" w:rsidR="00283592" w:rsidRPr="00BB29A9" w:rsidRDefault="00283592" w:rsidP="002A2C6F">
      <w:pPr>
        <w:spacing w:before="80" w:after="0" w:line="240" w:lineRule="auto"/>
        <w:jc w:val="both"/>
        <w:rPr>
          <w:rFonts w:ascii="Verdana" w:hAnsi="Verdana"/>
          <w:b/>
          <w:sz w:val="20"/>
          <w:szCs w:val="20"/>
        </w:rPr>
      </w:pPr>
      <w:r w:rsidRPr="00BB29A9">
        <w:rPr>
          <w:rFonts w:ascii="Verdana" w:hAnsi="Verdana"/>
          <w:b/>
          <w:sz w:val="20"/>
          <w:szCs w:val="20"/>
        </w:rPr>
        <w:t xml:space="preserve">LA CORTE INTERAMERICANA DE DERECHOS HUMANOS, </w:t>
      </w:r>
    </w:p>
    <w:p w14:paraId="15400A15" w14:textId="77777777" w:rsidR="00283592" w:rsidRPr="00BB29A9" w:rsidRDefault="00283592" w:rsidP="002A2C6F">
      <w:pPr>
        <w:spacing w:before="80" w:after="0" w:line="240" w:lineRule="auto"/>
        <w:jc w:val="both"/>
        <w:rPr>
          <w:rFonts w:ascii="Verdana" w:hAnsi="Verdana"/>
          <w:sz w:val="20"/>
          <w:szCs w:val="20"/>
        </w:rPr>
      </w:pPr>
      <w:r w:rsidRPr="00BB29A9">
        <w:rPr>
          <w:rFonts w:ascii="Verdana" w:hAnsi="Verdana"/>
          <w:sz w:val="20"/>
          <w:szCs w:val="20"/>
        </w:rPr>
        <w:lastRenderedPageBreak/>
        <w:t>en el ejercicio de sus atribuciones de supervisión del cumplimiento de sus decisiones, de conformidad con los artículos 33, 62.1, 62.3, 65, 67 y 68.1 de la Convención Americana sobre Derechos Humanos, 24, 25 y 30 del Estatuto, y 31.2 y 69 de su Reglamento,</w:t>
      </w:r>
    </w:p>
    <w:p w14:paraId="58821761" w14:textId="15FD26EB" w:rsidR="00E666D8" w:rsidRPr="00BB29A9" w:rsidRDefault="00E666D8" w:rsidP="002A2C6F">
      <w:pPr>
        <w:spacing w:before="80" w:after="0" w:line="240" w:lineRule="auto"/>
        <w:jc w:val="both"/>
        <w:rPr>
          <w:rFonts w:ascii="Verdana" w:hAnsi="Verdana"/>
          <w:sz w:val="20"/>
          <w:szCs w:val="20"/>
        </w:rPr>
      </w:pPr>
    </w:p>
    <w:p w14:paraId="35C9B6F5" w14:textId="77777777" w:rsidR="00CB474B" w:rsidRPr="00BB29A9" w:rsidRDefault="00283592" w:rsidP="002A2C6F">
      <w:pPr>
        <w:spacing w:before="80" w:after="0" w:line="240" w:lineRule="auto"/>
        <w:jc w:val="both"/>
        <w:rPr>
          <w:rFonts w:ascii="Verdana" w:hAnsi="Verdana"/>
          <w:b/>
          <w:sz w:val="20"/>
          <w:szCs w:val="20"/>
        </w:rPr>
      </w:pPr>
      <w:r w:rsidRPr="00BB29A9">
        <w:rPr>
          <w:rFonts w:ascii="Verdana" w:hAnsi="Verdana"/>
          <w:b/>
          <w:sz w:val="20"/>
          <w:szCs w:val="20"/>
        </w:rPr>
        <w:t>RESUELVE:</w:t>
      </w:r>
    </w:p>
    <w:p w14:paraId="20596086" w14:textId="14E5FB9A" w:rsidR="00640E46" w:rsidRDefault="0017739D" w:rsidP="002A2C6F">
      <w:pPr>
        <w:pStyle w:val="Prrafodelista"/>
        <w:numPr>
          <w:ilvl w:val="3"/>
          <w:numId w:val="11"/>
        </w:numPr>
        <w:spacing w:before="80" w:after="0" w:line="240" w:lineRule="auto"/>
        <w:ind w:left="0" w:firstLine="0"/>
        <w:contextualSpacing w:val="0"/>
        <w:jc w:val="both"/>
        <w:rPr>
          <w:rFonts w:ascii="Verdana" w:eastAsia="Verdana" w:hAnsi="Verdana" w:cs="Verdana"/>
          <w:spacing w:val="1"/>
          <w:sz w:val="20"/>
          <w:szCs w:val="20"/>
          <w:lang w:val="es-MX"/>
        </w:rPr>
      </w:pPr>
      <w:r w:rsidRPr="00BB29A9">
        <w:rPr>
          <w:rFonts w:ascii="Verdana" w:eastAsia="Verdana" w:hAnsi="Verdana" w:cs="Verdana"/>
          <w:spacing w:val="1"/>
          <w:sz w:val="20"/>
          <w:szCs w:val="20"/>
          <w:lang w:val="es-MX"/>
        </w:rPr>
        <w:t xml:space="preserve">Declarar, de conformidad con lo señalado en los Considerandos </w:t>
      </w:r>
      <w:r w:rsidR="009306A6">
        <w:rPr>
          <w:rFonts w:ascii="Verdana" w:eastAsia="Verdana" w:hAnsi="Verdana" w:cs="Verdana"/>
          <w:spacing w:val="1"/>
          <w:sz w:val="20"/>
          <w:szCs w:val="20"/>
          <w:lang w:val="es-MX"/>
        </w:rPr>
        <w:t>59</w:t>
      </w:r>
      <w:r w:rsidR="00494B18">
        <w:rPr>
          <w:rFonts w:ascii="Verdana" w:eastAsia="Verdana" w:hAnsi="Verdana" w:cs="Verdana"/>
          <w:spacing w:val="1"/>
          <w:sz w:val="20"/>
          <w:szCs w:val="20"/>
          <w:lang w:val="es-MX"/>
        </w:rPr>
        <w:t>, 62</w:t>
      </w:r>
      <w:r w:rsidR="00B57F8B">
        <w:rPr>
          <w:rFonts w:ascii="Verdana" w:eastAsia="Verdana" w:hAnsi="Verdana" w:cs="Verdana"/>
          <w:spacing w:val="1"/>
          <w:sz w:val="20"/>
          <w:szCs w:val="20"/>
          <w:lang w:val="es-MX"/>
        </w:rPr>
        <w:t xml:space="preserve"> y 6</w:t>
      </w:r>
      <w:r w:rsidR="00494B18">
        <w:rPr>
          <w:rFonts w:ascii="Verdana" w:eastAsia="Verdana" w:hAnsi="Verdana" w:cs="Verdana"/>
          <w:spacing w:val="1"/>
          <w:sz w:val="20"/>
          <w:szCs w:val="20"/>
          <w:lang w:val="es-MX"/>
        </w:rPr>
        <w:t>5</w:t>
      </w:r>
      <w:r w:rsidRPr="00BB29A9">
        <w:rPr>
          <w:rFonts w:ascii="Verdana" w:eastAsia="Verdana" w:hAnsi="Verdana" w:cs="Verdana"/>
          <w:spacing w:val="1"/>
          <w:sz w:val="20"/>
          <w:szCs w:val="20"/>
          <w:lang w:val="es-MX"/>
        </w:rPr>
        <w:t xml:space="preserve"> de la presente Resolución, que el Estado </w:t>
      </w:r>
      <w:r w:rsidR="008D622D" w:rsidRPr="00BB29A9">
        <w:rPr>
          <w:rFonts w:ascii="Verdana" w:eastAsia="Verdana" w:hAnsi="Verdana" w:cs="Verdana"/>
          <w:spacing w:val="1"/>
          <w:sz w:val="20"/>
          <w:szCs w:val="20"/>
          <w:lang w:val="es-MX"/>
        </w:rPr>
        <w:t xml:space="preserve">ha dado cumplimiento total </w:t>
      </w:r>
      <w:r w:rsidR="00640E46" w:rsidRPr="00BB29A9">
        <w:rPr>
          <w:rFonts w:ascii="Verdana" w:eastAsia="Verdana" w:hAnsi="Verdana" w:cs="Verdana"/>
          <w:spacing w:val="1"/>
          <w:sz w:val="20"/>
          <w:szCs w:val="20"/>
          <w:lang w:val="es-MX"/>
        </w:rPr>
        <w:t>a las medidas relativas a:</w:t>
      </w:r>
    </w:p>
    <w:p w14:paraId="167CA2EF" w14:textId="3A6658D7" w:rsidR="008D622D" w:rsidRPr="00A22014" w:rsidRDefault="008D622D" w:rsidP="002A2C6F">
      <w:pPr>
        <w:pStyle w:val="Prrafodelista"/>
        <w:numPr>
          <w:ilvl w:val="0"/>
          <w:numId w:val="25"/>
        </w:numPr>
        <w:spacing w:before="80" w:after="0" w:line="240" w:lineRule="auto"/>
        <w:ind w:hanging="294"/>
        <w:contextualSpacing w:val="0"/>
        <w:jc w:val="both"/>
        <w:rPr>
          <w:rFonts w:ascii="Verdana" w:eastAsia="Verdana" w:hAnsi="Verdana" w:cs="Verdana"/>
          <w:spacing w:val="1"/>
          <w:sz w:val="20"/>
          <w:szCs w:val="20"/>
          <w:lang w:val="es-MX"/>
        </w:rPr>
      </w:pPr>
      <w:r w:rsidRPr="00BB29A9">
        <w:rPr>
          <w:rFonts w:ascii="Verdana" w:hAnsi="Verdana"/>
          <w:sz w:val="20"/>
          <w:szCs w:val="20"/>
        </w:rPr>
        <w:t>pagar la</w:t>
      </w:r>
      <w:r w:rsidR="00640E46">
        <w:rPr>
          <w:rFonts w:ascii="Verdana" w:hAnsi="Verdana"/>
          <w:sz w:val="20"/>
          <w:szCs w:val="20"/>
        </w:rPr>
        <w:t>s indemnizacio</w:t>
      </w:r>
      <w:r w:rsidRPr="00BB29A9">
        <w:rPr>
          <w:rFonts w:ascii="Verdana" w:hAnsi="Verdana"/>
          <w:sz w:val="20"/>
          <w:szCs w:val="20"/>
        </w:rPr>
        <w:t>n</w:t>
      </w:r>
      <w:r w:rsidR="00640E46">
        <w:rPr>
          <w:rFonts w:ascii="Verdana" w:hAnsi="Verdana"/>
          <w:sz w:val="20"/>
          <w:szCs w:val="20"/>
        </w:rPr>
        <w:t>es</w:t>
      </w:r>
      <w:r w:rsidRPr="00BB29A9">
        <w:rPr>
          <w:rFonts w:ascii="Verdana" w:hAnsi="Verdana"/>
          <w:sz w:val="20"/>
          <w:szCs w:val="20"/>
        </w:rPr>
        <w:t xml:space="preserve"> fijada</w:t>
      </w:r>
      <w:r w:rsidR="00640E46">
        <w:rPr>
          <w:rFonts w:ascii="Verdana" w:hAnsi="Verdana"/>
          <w:sz w:val="20"/>
          <w:szCs w:val="20"/>
        </w:rPr>
        <w:t>s</w:t>
      </w:r>
      <w:r w:rsidRPr="00BB29A9">
        <w:rPr>
          <w:rFonts w:ascii="Verdana" w:hAnsi="Verdana"/>
          <w:sz w:val="20"/>
          <w:szCs w:val="20"/>
        </w:rPr>
        <w:t xml:space="preserve"> en la Sentencia por concepto de daño material e inmaterial a las personas declaradas víctimas (</w:t>
      </w:r>
      <w:r w:rsidRPr="00BB29A9">
        <w:rPr>
          <w:rFonts w:ascii="Verdana" w:hAnsi="Verdana"/>
          <w:i/>
          <w:sz w:val="20"/>
          <w:szCs w:val="20"/>
        </w:rPr>
        <w:t>puntos resolutivos décimo, undécimo, decimotercero, decimocuarto y decimoquinto de la Sentencia de Reparaciones</w:t>
      </w:r>
      <w:r w:rsidRPr="00BB29A9">
        <w:rPr>
          <w:rFonts w:ascii="Verdana" w:hAnsi="Verdana"/>
          <w:sz w:val="20"/>
          <w:szCs w:val="20"/>
        </w:rPr>
        <w:t>)</w:t>
      </w:r>
      <w:r w:rsidR="00C66BB1">
        <w:rPr>
          <w:rFonts w:ascii="Verdana" w:hAnsi="Verdana"/>
          <w:sz w:val="20"/>
          <w:szCs w:val="20"/>
        </w:rPr>
        <w:t>, y</w:t>
      </w:r>
    </w:p>
    <w:p w14:paraId="461C42E9" w14:textId="7902C7D1" w:rsidR="00640E46" w:rsidRPr="00C42042" w:rsidRDefault="00C42042" w:rsidP="002A2C6F">
      <w:pPr>
        <w:pStyle w:val="Prrafodelista"/>
        <w:numPr>
          <w:ilvl w:val="0"/>
          <w:numId w:val="25"/>
        </w:numPr>
        <w:spacing w:before="80" w:after="0" w:line="240" w:lineRule="auto"/>
        <w:ind w:hanging="294"/>
        <w:contextualSpacing w:val="0"/>
        <w:jc w:val="both"/>
        <w:rPr>
          <w:rFonts w:ascii="Verdana" w:eastAsia="Verdana" w:hAnsi="Verdana" w:cs="Verdana"/>
          <w:spacing w:val="1"/>
          <w:sz w:val="20"/>
          <w:szCs w:val="20"/>
          <w:lang w:val="es-MX"/>
        </w:rPr>
      </w:pPr>
      <w:r w:rsidRPr="00C42042">
        <w:rPr>
          <w:rFonts w:ascii="Verdana" w:hAnsi="Verdana"/>
          <w:sz w:val="20"/>
          <w:szCs w:val="20"/>
        </w:rPr>
        <w:t>desarrollar en las 13 comunidades indicadas en el párrafo 110 de la Sentencia</w:t>
      </w:r>
      <w:r>
        <w:rPr>
          <w:rFonts w:ascii="Verdana" w:hAnsi="Verdana"/>
          <w:sz w:val="20"/>
          <w:szCs w:val="20"/>
        </w:rPr>
        <w:t xml:space="preserve"> </w:t>
      </w:r>
      <w:r w:rsidR="00C66BB1" w:rsidRPr="00C42042">
        <w:rPr>
          <w:rFonts w:ascii="Verdana" w:hAnsi="Verdana"/>
          <w:sz w:val="20"/>
          <w:szCs w:val="20"/>
        </w:rPr>
        <w:t xml:space="preserve">un programa de </w:t>
      </w:r>
      <w:r w:rsidR="00640E46" w:rsidRPr="00C42042">
        <w:rPr>
          <w:rFonts w:ascii="Verdana" w:hAnsi="Verdana"/>
          <w:sz w:val="20"/>
          <w:szCs w:val="20"/>
        </w:rPr>
        <w:t>dotación de personal docente capacitado en enseñanza intercultural y bilingüe en la educación primaria,</w:t>
      </w:r>
      <w:r w:rsidR="00C66BB1" w:rsidRPr="00C42042">
        <w:rPr>
          <w:rFonts w:ascii="Verdana" w:hAnsi="Verdana"/>
          <w:sz w:val="20"/>
          <w:szCs w:val="20"/>
        </w:rPr>
        <w:t xml:space="preserve"> secundaria y diversificada </w:t>
      </w:r>
      <w:r w:rsidR="00640E46" w:rsidRPr="00C42042">
        <w:rPr>
          <w:rFonts w:ascii="Verdana" w:eastAsia="Verdana" w:hAnsi="Verdana" w:cs="Verdana"/>
          <w:spacing w:val="1"/>
          <w:sz w:val="20"/>
          <w:szCs w:val="20"/>
          <w:lang w:val="es-MX"/>
        </w:rPr>
        <w:t>(</w:t>
      </w:r>
      <w:r w:rsidR="00640E46" w:rsidRPr="00C42042">
        <w:rPr>
          <w:rFonts w:ascii="Verdana" w:eastAsia="Verdana" w:hAnsi="Verdana" w:cs="Verdana"/>
          <w:i/>
          <w:spacing w:val="1"/>
          <w:sz w:val="20"/>
          <w:szCs w:val="20"/>
          <w:lang w:val="es-MX"/>
        </w:rPr>
        <w:t>punto resolutivo noveno inciso d) de la Sentencia de Reparaciones</w:t>
      </w:r>
      <w:r w:rsidR="00640E46" w:rsidRPr="00C42042">
        <w:rPr>
          <w:rFonts w:ascii="Verdana" w:eastAsia="Verdana" w:hAnsi="Verdana" w:cs="Verdana"/>
          <w:spacing w:val="1"/>
          <w:sz w:val="20"/>
          <w:szCs w:val="20"/>
          <w:lang w:val="es-MX"/>
        </w:rPr>
        <w:t>).</w:t>
      </w:r>
    </w:p>
    <w:p w14:paraId="46835AB4" w14:textId="720114D5" w:rsidR="0073127E" w:rsidRPr="00BB29A9" w:rsidRDefault="0073127E" w:rsidP="002A2C6F">
      <w:pPr>
        <w:pStyle w:val="Prrafodelista"/>
        <w:numPr>
          <w:ilvl w:val="3"/>
          <w:numId w:val="11"/>
        </w:numPr>
        <w:spacing w:before="80" w:after="0" w:line="240" w:lineRule="auto"/>
        <w:ind w:left="0" w:firstLine="0"/>
        <w:contextualSpacing w:val="0"/>
        <w:jc w:val="both"/>
        <w:rPr>
          <w:rFonts w:ascii="Verdana" w:eastAsia="Verdana" w:hAnsi="Verdana" w:cs="Verdana"/>
          <w:spacing w:val="1"/>
          <w:sz w:val="20"/>
          <w:szCs w:val="20"/>
          <w:lang w:val="es-MX"/>
        </w:rPr>
      </w:pPr>
      <w:r w:rsidRPr="00BB29A9">
        <w:rPr>
          <w:rFonts w:ascii="Verdana" w:eastAsia="Verdana" w:hAnsi="Verdana" w:cs="Verdana"/>
          <w:spacing w:val="1"/>
          <w:sz w:val="20"/>
          <w:szCs w:val="20"/>
          <w:lang w:val="es-MX"/>
        </w:rPr>
        <w:t>Declarar, de conformidad con l</w:t>
      </w:r>
      <w:r w:rsidR="00F8451A">
        <w:rPr>
          <w:rFonts w:ascii="Verdana" w:eastAsia="Verdana" w:hAnsi="Verdana" w:cs="Verdana"/>
          <w:spacing w:val="1"/>
          <w:sz w:val="20"/>
          <w:szCs w:val="20"/>
          <w:lang w:val="es-MX"/>
        </w:rPr>
        <w:t>o señalado en los Considerandos</w:t>
      </w:r>
      <w:r w:rsidR="00D25CE2">
        <w:rPr>
          <w:rFonts w:ascii="Verdana" w:eastAsia="Verdana" w:hAnsi="Verdana" w:cs="Verdana"/>
          <w:spacing w:val="1"/>
          <w:sz w:val="20"/>
          <w:szCs w:val="20"/>
          <w:lang w:val="es-MX"/>
        </w:rPr>
        <w:t xml:space="preserve"> </w:t>
      </w:r>
      <w:r w:rsidR="00123739">
        <w:rPr>
          <w:rFonts w:ascii="Verdana" w:eastAsia="Verdana" w:hAnsi="Verdana" w:cs="Verdana"/>
          <w:spacing w:val="1"/>
          <w:sz w:val="20"/>
          <w:szCs w:val="20"/>
          <w:lang w:val="es-MX"/>
        </w:rPr>
        <w:t>12</w:t>
      </w:r>
      <w:r w:rsidR="00494B18" w:rsidRPr="00494B18">
        <w:rPr>
          <w:rFonts w:ascii="Verdana" w:eastAsia="Verdana" w:hAnsi="Verdana" w:cs="Verdana"/>
          <w:spacing w:val="1"/>
          <w:sz w:val="20"/>
          <w:szCs w:val="20"/>
          <w:lang w:val="es-MX"/>
        </w:rPr>
        <w:t xml:space="preserve"> </w:t>
      </w:r>
      <w:r w:rsidR="00F8451A">
        <w:rPr>
          <w:rFonts w:ascii="Verdana" w:eastAsia="Verdana" w:hAnsi="Verdana" w:cs="Verdana"/>
          <w:spacing w:val="1"/>
          <w:sz w:val="20"/>
          <w:szCs w:val="20"/>
          <w:lang w:val="es-MX"/>
        </w:rPr>
        <w:t>y</w:t>
      </w:r>
      <w:r w:rsidR="00494B18">
        <w:rPr>
          <w:rFonts w:ascii="Verdana" w:eastAsia="Verdana" w:hAnsi="Verdana" w:cs="Verdana"/>
          <w:spacing w:val="1"/>
          <w:sz w:val="20"/>
          <w:szCs w:val="20"/>
          <w:lang w:val="es-MX"/>
        </w:rPr>
        <w:t xml:space="preserve"> 40</w:t>
      </w:r>
      <w:r w:rsidRPr="00BB29A9">
        <w:rPr>
          <w:rFonts w:ascii="Verdana" w:eastAsia="Verdana" w:hAnsi="Verdana" w:cs="Verdana"/>
          <w:spacing w:val="1"/>
          <w:sz w:val="20"/>
          <w:szCs w:val="20"/>
          <w:lang w:val="es-MX"/>
        </w:rPr>
        <w:t xml:space="preserve"> de la presente Resolución, que el Estado ha dado cumplimiento parcial a las medidas relativas a:</w:t>
      </w:r>
    </w:p>
    <w:p w14:paraId="383B87DA" w14:textId="18A4A3AE" w:rsidR="0097228C" w:rsidRPr="00C32B19" w:rsidRDefault="0097228C" w:rsidP="002A2C6F">
      <w:pPr>
        <w:pStyle w:val="Prrafodelista"/>
        <w:numPr>
          <w:ilvl w:val="0"/>
          <w:numId w:val="21"/>
        </w:numPr>
        <w:spacing w:before="80" w:after="0" w:line="240" w:lineRule="auto"/>
        <w:ind w:hanging="294"/>
        <w:contextualSpacing w:val="0"/>
        <w:jc w:val="both"/>
        <w:rPr>
          <w:rFonts w:ascii="Verdana" w:eastAsia="Verdana" w:hAnsi="Verdana" w:cs="Verdana"/>
          <w:spacing w:val="1"/>
          <w:sz w:val="20"/>
          <w:szCs w:val="20"/>
          <w:lang w:val="es-MX"/>
        </w:rPr>
      </w:pPr>
      <w:r w:rsidRPr="00BB29A9">
        <w:rPr>
          <w:rFonts w:ascii="Verdana" w:hAnsi="Verdana"/>
          <w:sz w:val="20"/>
          <w:szCs w:val="20"/>
        </w:rPr>
        <w:t>investigar, identificar y eventualmente sancionar a los autores materiales e intelectuales de la Masacre de Plan de Sánchez</w:t>
      </w:r>
      <w:r w:rsidR="004E2944">
        <w:rPr>
          <w:rFonts w:ascii="Verdana" w:hAnsi="Verdana"/>
          <w:sz w:val="20"/>
          <w:szCs w:val="20"/>
        </w:rPr>
        <w:t xml:space="preserve"> </w:t>
      </w:r>
      <w:r w:rsidRPr="00C32B19">
        <w:rPr>
          <w:rFonts w:ascii="Verdana" w:hAnsi="Verdana"/>
          <w:sz w:val="20"/>
          <w:szCs w:val="20"/>
        </w:rPr>
        <w:t>(</w:t>
      </w:r>
      <w:r w:rsidRPr="00C32B19">
        <w:rPr>
          <w:rFonts w:ascii="Verdana" w:hAnsi="Verdana"/>
          <w:i/>
          <w:sz w:val="20"/>
          <w:szCs w:val="20"/>
        </w:rPr>
        <w:t>punto resolutivo primero de la Sentencia de Reparaciones</w:t>
      </w:r>
      <w:r w:rsidRPr="00C32B19">
        <w:rPr>
          <w:rFonts w:ascii="Verdana" w:hAnsi="Verdana"/>
          <w:sz w:val="20"/>
          <w:szCs w:val="20"/>
        </w:rPr>
        <w:t>);</w:t>
      </w:r>
    </w:p>
    <w:p w14:paraId="767CE4D9" w14:textId="2117B073" w:rsidR="0073127E" w:rsidRPr="0042679B" w:rsidRDefault="00C42042" w:rsidP="002A2C6F">
      <w:pPr>
        <w:pStyle w:val="Prrafodelista"/>
        <w:numPr>
          <w:ilvl w:val="0"/>
          <w:numId w:val="21"/>
        </w:numPr>
        <w:spacing w:before="80" w:after="0" w:line="240" w:lineRule="auto"/>
        <w:ind w:hanging="294"/>
        <w:contextualSpacing w:val="0"/>
        <w:jc w:val="both"/>
        <w:rPr>
          <w:rFonts w:ascii="Verdana" w:eastAsia="Verdana" w:hAnsi="Verdana" w:cs="Verdana"/>
          <w:spacing w:val="1"/>
          <w:sz w:val="20"/>
          <w:szCs w:val="20"/>
          <w:lang w:val="es-MX"/>
        </w:rPr>
      </w:pPr>
      <w:r w:rsidRPr="00C42042">
        <w:rPr>
          <w:rFonts w:ascii="Verdana" w:hAnsi="Verdana"/>
          <w:sz w:val="20"/>
          <w:szCs w:val="20"/>
        </w:rPr>
        <w:t>desarrollar en las 13 comunidades indicadas en el párrafo 110 de la Sentencia</w:t>
      </w:r>
      <w:r>
        <w:rPr>
          <w:rFonts w:ascii="Verdana" w:hAnsi="Verdana"/>
          <w:sz w:val="20"/>
          <w:szCs w:val="20"/>
        </w:rPr>
        <w:t xml:space="preserve"> </w:t>
      </w:r>
      <w:r w:rsidR="00D538DD">
        <w:rPr>
          <w:rFonts w:ascii="Verdana" w:hAnsi="Verdana"/>
          <w:sz w:val="20"/>
          <w:szCs w:val="20"/>
        </w:rPr>
        <w:t>un</w:t>
      </w:r>
      <w:r w:rsidR="00D538DD" w:rsidRPr="00C66BB1">
        <w:rPr>
          <w:rFonts w:ascii="Verdana" w:hAnsi="Verdana"/>
          <w:sz w:val="20"/>
          <w:szCs w:val="20"/>
        </w:rPr>
        <w:t xml:space="preserve"> programa</w:t>
      </w:r>
      <w:r w:rsidR="00D538DD">
        <w:rPr>
          <w:rFonts w:ascii="Verdana" w:hAnsi="Verdana"/>
          <w:sz w:val="20"/>
          <w:szCs w:val="20"/>
        </w:rPr>
        <w:t xml:space="preserve"> de </w:t>
      </w:r>
      <w:r w:rsidR="00BB29A9" w:rsidRPr="00BB29A9">
        <w:rPr>
          <w:rFonts w:ascii="Verdana" w:hAnsi="Verdana"/>
          <w:sz w:val="20"/>
          <w:szCs w:val="20"/>
        </w:rPr>
        <w:t>mantenimiento y mejoras en el sistema de comunicación vial entre las comunidades indicadas y la cabecera municipal de Rabinal</w:t>
      </w:r>
      <w:r w:rsidR="0042679B">
        <w:rPr>
          <w:rFonts w:ascii="Verdana" w:hAnsi="Verdana"/>
          <w:sz w:val="20"/>
          <w:szCs w:val="20"/>
        </w:rPr>
        <w:t xml:space="preserve">, </w:t>
      </w:r>
      <w:r w:rsidR="0042679B" w:rsidRPr="00494B18">
        <w:rPr>
          <w:rFonts w:ascii="Verdana" w:hAnsi="Verdana"/>
          <w:sz w:val="20"/>
          <w:szCs w:val="20"/>
        </w:rPr>
        <w:t>debido a que en ocho de las comunidades se llevaron a cabo trabajos de mantenimiento en la red vial; y queda pendiente el cumplimiento de la medida dado que persisten los problemas de falta de durabilidad de las mejoras por el material que se utiliza, así como la falta de trabajos de mantenimiento en la red vial en las restantes cinco comunidades</w:t>
      </w:r>
      <w:r w:rsidR="00BB29A9" w:rsidRPr="0042679B">
        <w:rPr>
          <w:rFonts w:ascii="Verdana" w:hAnsi="Verdana"/>
          <w:sz w:val="20"/>
          <w:szCs w:val="20"/>
        </w:rPr>
        <w:t xml:space="preserve"> (</w:t>
      </w:r>
      <w:r w:rsidR="00BB29A9" w:rsidRPr="0042679B">
        <w:rPr>
          <w:rFonts w:ascii="Verdana" w:eastAsia="Verdana" w:hAnsi="Verdana" w:cs="Verdana"/>
          <w:i/>
          <w:spacing w:val="1"/>
          <w:sz w:val="20"/>
          <w:szCs w:val="20"/>
          <w:lang w:val="es-MX"/>
        </w:rPr>
        <w:t>punto resolutivo noveno inciso b) de la Sentencia de Reparaciones</w:t>
      </w:r>
      <w:r w:rsidR="00640E46" w:rsidRPr="0042679B">
        <w:rPr>
          <w:rFonts w:ascii="Verdana" w:hAnsi="Verdana"/>
          <w:sz w:val="20"/>
          <w:szCs w:val="20"/>
        </w:rPr>
        <w:t>).</w:t>
      </w:r>
    </w:p>
    <w:p w14:paraId="306442C8" w14:textId="1FEF0290" w:rsidR="0073127E" w:rsidRPr="00C42042" w:rsidRDefault="0073127E" w:rsidP="002A2C6F">
      <w:pPr>
        <w:pStyle w:val="Prrafodelista"/>
        <w:numPr>
          <w:ilvl w:val="3"/>
          <w:numId w:val="11"/>
        </w:numPr>
        <w:spacing w:before="80" w:after="0" w:line="240" w:lineRule="auto"/>
        <w:ind w:left="0" w:firstLine="0"/>
        <w:contextualSpacing w:val="0"/>
        <w:jc w:val="both"/>
        <w:rPr>
          <w:rFonts w:ascii="Verdana" w:hAnsi="Verdana"/>
          <w:sz w:val="20"/>
          <w:szCs w:val="20"/>
        </w:rPr>
      </w:pPr>
      <w:r w:rsidRPr="00C42042">
        <w:rPr>
          <w:rFonts w:ascii="Verdana" w:hAnsi="Verdana"/>
          <w:sz w:val="20"/>
          <w:szCs w:val="20"/>
        </w:rPr>
        <w:t>Mantener abierto el procedimiento de supervisión de cumplimiento respecto de las medidas de reparación relativas a:</w:t>
      </w:r>
      <w:r w:rsidR="00C628E6" w:rsidRPr="00C42042">
        <w:rPr>
          <w:rFonts w:ascii="Verdana" w:hAnsi="Verdana"/>
          <w:sz w:val="20"/>
          <w:szCs w:val="20"/>
        </w:rPr>
        <w:t xml:space="preserve"> </w:t>
      </w:r>
    </w:p>
    <w:p w14:paraId="1162C681" w14:textId="77777777" w:rsidR="0073127E" w:rsidRPr="00BB29A9" w:rsidRDefault="0073127E" w:rsidP="002A2C6F">
      <w:pPr>
        <w:pStyle w:val="Prrafodelista"/>
        <w:numPr>
          <w:ilvl w:val="0"/>
          <w:numId w:val="20"/>
        </w:numPr>
        <w:spacing w:before="80" w:after="0" w:line="240" w:lineRule="auto"/>
        <w:ind w:left="709" w:hanging="283"/>
        <w:contextualSpacing w:val="0"/>
        <w:jc w:val="both"/>
        <w:rPr>
          <w:rFonts w:ascii="Verdana" w:hAnsi="Verdana"/>
          <w:sz w:val="20"/>
          <w:szCs w:val="20"/>
        </w:rPr>
      </w:pPr>
      <w:r w:rsidRPr="00BB29A9">
        <w:rPr>
          <w:rFonts w:ascii="Verdana" w:hAnsi="Verdana"/>
          <w:sz w:val="20"/>
          <w:szCs w:val="20"/>
        </w:rPr>
        <w:t>investigar, identificar y eventualmente sancionar a los autores materiales e intelectuales de la Masacre de Plan de Sánchez (</w:t>
      </w:r>
      <w:r w:rsidRPr="00BB29A9">
        <w:rPr>
          <w:rFonts w:ascii="Verdana" w:hAnsi="Verdana"/>
          <w:i/>
          <w:sz w:val="20"/>
          <w:szCs w:val="20"/>
        </w:rPr>
        <w:t>punto resolutivo primero de la Sentencia de Reparaciones</w:t>
      </w:r>
      <w:r w:rsidRPr="00BB29A9">
        <w:rPr>
          <w:rFonts w:ascii="Verdana" w:hAnsi="Verdana"/>
          <w:sz w:val="20"/>
          <w:szCs w:val="20"/>
        </w:rPr>
        <w:t>);</w:t>
      </w:r>
    </w:p>
    <w:p w14:paraId="15660028" w14:textId="6D1E7021" w:rsidR="0073127E" w:rsidRPr="00D538DD" w:rsidRDefault="0073127E" w:rsidP="002A2C6F">
      <w:pPr>
        <w:pStyle w:val="Prrafodelista"/>
        <w:numPr>
          <w:ilvl w:val="0"/>
          <w:numId w:val="20"/>
        </w:numPr>
        <w:spacing w:before="80" w:after="0" w:line="240" w:lineRule="auto"/>
        <w:ind w:left="709" w:hanging="283"/>
        <w:contextualSpacing w:val="0"/>
        <w:jc w:val="both"/>
        <w:rPr>
          <w:rFonts w:ascii="Verdana" w:hAnsi="Verdana"/>
          <w:sz w:val="20"/>
          <w:szCs w:val="20"/>
        </w:rPr>
      </w:pPr>
      <w:r w:rsidRPr="00BB29A9">
        <w:rPr>
          <w:rFonts w:ascii="Verdana" w:hAnsi="Verdana"/>
          <w:sz w:val="20"/>
          <w:szCs w:val="20"/>
        </w:rPr>
        <w:t xml:space="preserve">brindar </w:t>
      </w:r>
      <w:r w:rsidR="00D538DD" w:rsidRPr="00D538DD">
        <w:rPr>
          <w:rFonts w:ascii="Verdana" w:hAnsi="Verdana"/>
          <w:sz w:val="20"/>
          <w:szCs w:val="20"/>
        </w:rPr>
        <w:t>gratuitamente, a través de sus instituciones de salud</w:t>
      </w:r>
      <w:r w:rsidR="00D538DD">
        <w:rPr>
          <w:rFonts w:ascii="Verdana" w:hAnsi="Verdana"/>
          <w:sz w:val="20"/>
          <w:szCs w:val="20"/>
        </w:rPr>
        <w:t xml:space="preserve"> </w:t>
      </w:r>
      <w:r w:rsidR="00D538DD" w:rsidRPr="00D538DD">
        <w:rPr>
          <w:rFonts w:ascii="Verdana" w:hAnsi="Verdana"/>
          <w:sz w:val="20"/>
          <w:szCs w:val="20"/>
        </w:rPr>
        <w:t xml:space="preserve">especializadas, el tratamiento médico que requieran las víctimas incluyendo, </w:t>
      </w:r>
      <w:r w:rsidR="00D538DD" w:rsidRPr="00D538DD">
        <w:rPr>
          <w:rFonts w:ascii="Verdana" w:hAnsi="Verdana"/>
          <w:i/>
          <w:sz w:val="20"/>
          <w:szCs w:val="20"/>
        </w:rPr>
        <w:t xml:space="preserve">inter </w:t>
      </w:r>
      <w:proofErr w:type="spellStart"/>
      <w:r w:rsidR="00D538DD" w:rsidRPr="00D538DD">
        <w:rPr>
          <w:rFonts w:ascii="Verdana" w:hAnsi="Verdana"/>
          <w:i/>
          <w:sz w:val="20"/>
          <w:szCs w:val="20"/>
        </w:rPr>
        <w:t>alia</w:t>
      </w:r>
      <w:proofErr w:type="spellEnd"/>
      <w:r w:rsidR="00D538DD" w:rsidRPr="00D538DD">
        <w:rPr>
          <w:rFonts w:ascii="Verdana" w:hAnsi="Verdana"/>
          <w:sz w:val="20"/>
          <w:szCs w:val="20"/>
        </w:rPr>
        <w:t>, los medicamentos que puedan ser necesarios. Asimismo, el Estado debe crear</w:t>
      </w:r>
      <w:r w:rsidR="00D538DD">
        <w:rPr>
          <w:rFonts w:ascii="Verdana" w:hAnsi="Verdana"/>
          <w:sz w:val="20"/>
          <w:szCs w:val="20"/>
        </w:rPr>
        <w:t xml:space="preserve"> </w:t>
      </w:r>
      <w:r w:rsidR="00D538DD" w:rsidRPr="00D538DD">
        <w:rPr>
          <w:rFonts w:ascii="Verdana" w:hAnsi="Verdana"/>
          <w:sz w:val="20"/>
          <w:szCs w:val="20"/>
        </w:rPr>
        <w:t>un programa especializado de tratamiento psicológico y psiquiátrico, el cual también</w:t>
      </w:r>
      <w:r w:rsidR="00D538DD">
        <w:rPr>
          <w:rFonts w:ascii="Verdana" w:hAnsi="Verdana"/>
          <w:sz w:val="20"/>
          <w:szCs w:val="20"/>
        </w:rPr>
        <w:t xml:space="preserve"> </w:t>
      </w:r>
      <w:r w:rsidR="00D538DD" w:rsidRPr="00D538DD">
        <w:rPr>
          <w:rFonts w:ascii="Verdana" w:hAnsi="Verdana"/>
          <w:sz w:val="20"/>
          <w:szCs w:val="20"/>
        </w:rPr>
        <w:t>debe ser brindado en forma gratuita</w:t>
      </w:r>
      <w:r w:rsidR="00D538DD">
        <w:rPr>
          <w:rFonts w:ascii="Verdana" w:hAnsi="Verdana"/>
          <w:sz w:val="20"/>
          <w:szCs w:val="20"/>
        </w:rPr>
        <w:t xml:space="preserve"> </w:t>
      </w:r>
      <w:r w:rsidRPr="00D538DD">
        <w:rPr>
          <w:rFonts w:ascii="Verdana" w:hAnsi="Verdana"/>
          <w:sz w:val="20"/>
          <w:szCs w:val="20"/>
        </w:rPr>
        <w:t>(</w:t>
      </w:r>
      <w:r w:rsidRPr="00D538DD">
        <w:rPr>
          <w:rFonts w:ascii="Verdana" w:hAnsi="Verdana"/>
          <w:i/>
          <w:sz w:val="20"/>
          <w:szCs w:val="20"/>
        </w:rPr>
        <w:t>punto resolutivo séptimo de la Sentencia de Reparaciones</w:t>
      </w:r>
      <w:r w:rsidRPr="00D538DD">
        <w:rPr>
          <w:rFonts w:ascii="Verdana" w:hAnsi="Verdana"/>
          <w:sz w:val="20"/>
          <w:szCs w:val="20"/>
        </w:rPr>
        <w:t>);</w:t>
      </w:r>
    </w:p>
    <w:p w14:paraId="0520C857" w14:textId="02EA9744" w:rsidR="0073127E" w:rsidRPr="00BB29A9" w:rsidRDefault="00C42042" w:rsidP="002A2C6F">
      <w:pPr>
        <w:pStyle w:val="Prrafodelista"/>
        <w:numPr>
          <w:ilvl w:val="0"/>
          <w:numId w:val="20"/>
        </w:numPr>
        <w:spacing w:before="80" w:after="0" w:line="240" w:lineRule="auto"/>
        <w:ind w:left="709" w:hanging="283"/>
        <w:contextualSpacing w:val="0"/>
        <w:jc w:val="both"/>
        <w:rPr>
          <w:rFonts w:ascii="Verdana" w:hAnsi="Verdana"/>
          <w:sz w:val="20"/>
          <w:szCs w:val="20"/>
        </w:rPr>
      </w:pPr>
      <w:r w:rsidRPr="00C628E6">
        <w:rPr>
          <w:rFonts w:ascii="Verdana" w:hAnsi="Verdana"/>
          <w:sz w:val="20"/>
          <w:szCs w:val="20"/>
        </w:rPr>
        <w:t>implementar un programa habitacional para proveer vivienda adecuada a</w:t>
      </w:r>
      <w:r>
        <w:rPr>
          <w:rFonts w:ascii="Verdana" w:hAnsi="Verdana"/>
          <w:sz w:val="20"/>
          <w:szCs w:val="20"/>
        </w:rPr>
        <w:t xml:space="preserve"> </w:t>
      </w:r>
      <w:r w:rsidR="00E666D8">
        <w:rPr>
          <w:rFonts w:ascii="Verdana" w:hAnsi="Verdana"/>
          <w:sz w:val="20"/>
          <w:szCs w:val="20"/>
        </w:rPr>
        <w:t xml:space="preserve">las </w:t>
      </w:r>
      <w:r w:rsidRPr="00C628E6">
        <w:rPr>
          <w:rFonts w:ascii="Verdana" w:hAnsi="Verdana"/>
          <w:sz w:val="20"/>
          <w:szCs w:val="20"/>
        </w:rPr>
        <w:t>víctimas sobrevivientes que residan en la aldea Plan de Sánchez y que así lo</w:t>
      </w:r>
      <w:r>
        <w:rPr>
          <w:rFonts w:ascii="Verdana" w:hAnsi="Verdana"/>
          <w:sz w:val="20"/>
          <w:szCs w:val="20"/>
        </w:rPr>
        <w:t xml:space="preserve"> </w:t>
      </w:r>
      <w:r w:rsidRPr="00C628E6">
        <w:rPr>
          <w:rFonts w:ascii="Verdana" w:hAnsi="Verdana"/>
          <w:sz w:val="20"/>
          <w:szCs w:val="20"/>
        </w:rPr>
        <w:t>requieran</w:t>
      </w:r>
      <w:r w:rsidRPr="00BB29A9">
        <w:rPr>
          <w:rFonts w:ascii="Verdana" w:hAnsi="Verdana"/>
          <w:sz w:val="20"/>
          <w:szCs w:val="20"/>
        </w:rPr>
        <w:t xml:space="preserve"> </w:t>
      </w:r>
      <w:r w:rsidR="0073127E" w:rsidRPr="00BB29A9">
        <w:rPr>
          <w:rFonts w:ascii="Verdana" w:hAnsi="Verdana"/>
          <w:sz w:val="20"/>
          <w:szCs w:val="20"/>
        </w:rPr>
        <w:t>(</w:t>
      </w:r>
      <w:r w:rsidR="0073127E" w:rsidRPr="00BB29A9">
        <w:rPr>
          <w:rFonts w:ascii="Verdana" w:hAnsi="Verdana"/>
          <w:i/>
          <w:sz w:val="20"/>
          <w:szCs w:val="20"/>
        </w:rPr>
        <w:t>punto resolutivo octavo de la Sentencia de Reparaciones</w:t>
      </w:r>
      <w:r w:rsidR="00D538DD">
        <w:rPr>
          <w:rFonts w:ascii="Verdana" w:hAnsi="Verdana"/>
          <w:sz w:val="20"/>
          <w:szCs w:val="20"/>
        </w:rPr>
        <w:t>)</w:t>
      </w:r>
      <w:r w:rsidR="00D623B9">
        <w:rPr>
          <w:rFonts w:ascii="Verdana" w:hAnsi="Verdana"/>
          <w:sz w:val="20"/>
          <w:szCs w:val="20"/>
        </w:rPr>
        <w:t>;</w:t>
      </w:r>
    </w:p>
    <w:p w14:paraId="60DED4B2" w14:textId="58E54A9B" w:rsidR="00D623B9" w:rsidRDefault="00C42042" w:rsidP="002A2C6F">
      <w:pPr>
        <w:pStyle w:val="Prrafodelista"/>
        <w:numPr>
          <w:ilvl w:val="0"/>
          <w:numId w:val="20"/>
        </w:numPr>
        <w:spacing w:before="80" w:after="0" w:line="240" w:lineRule="auto"/>
        <w:ind w:left="709" w:hanging="283"/>
        <w:contextualSpacing w:val="0"/>
        <w:jc w:val="both"/>
        <w:rPr>
          <w:rFonts w:ascii="Verdana" w:hAnsi="Verdana"/>
          <w:sz w:val="20"/>
          <w:szCs w:val="20"/>
        </w:rPr>
      </w:pPr>
      <w:r w:rsidRPr="00C42042">
        <w:rPr>
          <w:rFonts w:ascii="Verdana" w:hAnsi="Verdana"/>
          <w:sz w:val="20"/>
          <w:szCs w:val="20"/>
        </w:rPr>
        <w:t>desarrollar en las 13 comunidades indicadas en el párrafo 110 de la Sentencia</w:t>
      </w:r>
      <w:r>
        <w:rPr>
          <w:rFonts w:ascii="Verdana" w:hAnsi="Verdana"/>
          <w:sz w:val="20"/>
          <w:szCs w:val="20"/>
        </w:rPr>
        <w:t xml:space="preserve"> </w:t>
      </w:r>
      <w:r w:rsidR="00D623B9" w:rsidRPr="00D623B9">
        <w:rPr>
          <w:rFonts w:ascii="Verdana" w:hAnsi="Verdana"/>
          <w:sz w:val="20"/>
          <w:szCs w:val="20"/>
        </w:rPr>
        <w:t>un programa de mantenimiento y mejoras en el sistema de comunicación vial entre las comunidades indicadas y la cabecera municipal de Rabinal (</w:t>
      </w:r>
      <w:r w:rsidR="00D623B9" w:rsidRPr="00D623B9">
        <w:rPr>
          <w:rFonts w:ascii="Verdana" w:hAnsi="Verdana"/>
          <w:i/>
          <w:sz w:val="20"/>
          <w:szCs w:val="20"/>
        </w:rPr>
        <w:t>punto resolutivo noveno inciso b) de la Sentencia de Reparaciones</w:t>
      </w:r>
      <w:r w:rsidR="00D623B9">
        <w:rPr>
          <w:rFonts w:ascii="Verdana" w:hAnsi="Verdana"/>
          <w:sz w:val="20"/>
          <w:szCs w:val="20"/>
        </w:rPr>
        <w:t>), y</w:t>
      </w:r>
    </w:p>
    <w:p w14:paraId="55B261DC" w14:textId="18A962C0" w:rsidR="00221747" w:rsidRPr="00D623B9" w:rsidRDefault="00C42042" w:rsidP="002A2C6F">
      <w:pPr>
        <w:pStyle w:val="Prrafodelista"/>
        <w:numPr>
          <w:ilvl w:val="0"/>
          <w:numId w:val="20"/>
        </w:numPr>
        <w:spacing w:before="80" w:after="0" w:line="240" w:lineRule="auto"/>
        <w:ind w:left="709" w:hanging="283"/>
        <w:contextualSpacing w:val="0"/>
        <w:jc w:val="both"/>
        <w:rPr>
          <w:rFonts w:ascii="Verdana" w:hAnsi="Verdana"/>
          <w:sz w:val="20"/>
          <w:szCs w:val="20"/>
        </w:rPr>
      </w:pPr>
      <w:r w:rsidRPr="00C42042">
        <w:rPr>
          <w:rFonts w:ascii="Verdana" w:hAnsi="Verdana"/>
          <w:sz w:val="20"/>
          <w:szCs w:val="20"/>
        </w:rPr>
        <w:lastRenderedPageBreak/>
        <w:t>desarrollar en las 13 comunidades indicadas en el párrafo 110 de la Sentencia</w:t>
      </w:r>
      <w:r>
        <w:rPr>
          <w:rFonts w:ascii="Verdana" w:hAnsi="Verdana"/>
          <w:sz w:val="20"/>
          <w:szCs w:val="20"/>
        </w:rPr>
        <w:t xml:space="preserve"> </w:t>
      </w:r>
      <w:r w:rsidR="00D623B9" w:rsidRPr="00D623B9">
        <w:rPr>
          <w:rFonts w:ascii="Verdana" w:hAnsi="Verdana"/>
          <w:sz w:val="20"/>
          <w:szCs w:val="20"/>
        </w:rPr>
        <w:t>un programa de</w:t>
      </w:r>
      <w:r w:rsidR="00D623B9">
        <w:rPr>
          <w:rFonts w:ascii="Verdana" w:hAnsi="Verdana"/>
          <w:sz w:val="20"/>
          <w:szCs w:val="20"/>
        </w:rPr>
        <w:t xml:space="preserve"> </w:t>
      </w:r>
      <w:r w:rsidR="0073127E" w:rsidRPr="00D623B9">
        <w:rPr>
          <w:rFonts w:ascii="Verdana" w:hAnsi="Verdana"/>
          <w:sz w:val="20"/>
          <w:szCs w:val="20"/>
        </w:rPr>
        <w:t>dotación de un sistema de alcantarillado y suministro de agua potable (</w:t>
      </w:r>
      <w:r w:rsidR="00D623B9">
        <w:rPr>
          <w:rFonts w:ascii="Verdana" w:hAnsi="Verdana"/>
          <w:i/>
          <w:sz w:val="20"/>
          <w:szCs w:val="20"/>
        </w:rPr>
        <w:t>punto resolutivo noveno inciso c</w:t>
      </w:r>
      <w:r w:rsidR="00D623B9" w:rsidRPr="00D623B9">
        <w:rPr>
          <w:rFonts w:ascii="Verdana" w:hAnsi="Verdana"/>
          <w:i/>
          <w:sz w:val="20"/>
          <w:szCs w:val="20"/>
        </w:rPr>
        <w:t>) de la Sentencia de Reparaciones</w:t>
      </w:r>
      <w:r w:rsidR="008D622D" w:rsidRPr="00D623B9">
        <w:rPr>
          <w:rFonts w:ascii="Verdana" w:hAnsi="Verdana"/>
          <w:sz w:val="20"/>
          <w:szCs w:val="20"/>
        </w:rPr>
        <w:t>).</w:t>
      </w:r>
    </w:p>
    <w:p w14:paraId="37610DDD" w14:textId="77777777" w:rsidR="00221747" w:rsidRPr="00BB29A9" w:rsidRDefault="00221747" w:rsidP="002A2C6F">
      <w:pPr>
        <w:pStyle w:val="Prrafodelista"/>
        <w:numPr>
          <w:ilvl w:val="3"/>
          <w:numId w:val="11"/>
        </w:numPr>
        <w:spacing w:before="80" w:after="0" w:line="240" w:lineRule="auto"/>
        <w:ind w:left="0" w:firstLine="0"/>
        <w:contextualSpacing w:val="0"/>
        <w:jc w:val="both"/>
        <w:rPr>
          <w:rFonts w:ascii="Verdana" w:hAnsi="Verdana"/>
          <w:sz w:val="20"/>
          <w:szCs w:val="20"/>
        </w:rPr>
      </w:pPr>
      <w:r w:rsidRPr="00BB29A9">
        <w:rPr>
          <w:rFonts w:ascii="Verdana" w:hAnsi="Verdana"/>
          <w:sz w:val="20"/>
          <w:szCs w:val="20"/>
        </w:rPr>
        <w:t>Disponer que el Estado de Guatemala adopte, en definitiva y a la mayor brevedad posible, las medidas que sean necesarias para dar efectivo y pronto cumplimiento a las reparaciones indicadas en el punto resolutivo anterior, de acuerdo con lo considerado en la presente Resolución, y con lo estipulado en el artículo 68.1 de la Convención Americana sobre Derechos Humanos.</w:t>
      </w:r>
    </w:p>
    <w:p w14:paraId="215DA211" w14:textId="4CA4719B" w:rsidR="00AF06A8" w:rsidRPr="00F34675" w:rsidRDefault="00AF06A8" w:rsidP="002A2C6F">
      <w:pPr>
        <w:pStyle w:val="Prrafodelista"/>
        <w:numPr>
          <w:ilvl w:val="3"/>
          <w:numId w:val="11"/>
        </w:numPr>
        <w:spacing w:before="80" w:after="0" w:line="240" w:lineRule="auto"/>
        <w:ind w:left="0" w:firstLine="0"/>
        <w:contextualSpacing w:val="0"/>
        <w:jc w:val="both"/>
        <w:rPr>
          <w:rFonts w:ascii="Verdana" w:hAnsi="Verdana"/>
          <w:sz w:val="20"/>
          <w:szCs w:val="20"/>
        </w:rPr>
      </w:pPr>
      <w:r w:rsidRPr="00BB29A9">
        <w:rPr>
          <w:rFonts w:ascii="Verdana" w:hAnsi="Verdana"/>
          <w:sz w:val="20"/>
          <w:szCs w:val="20"/>
        </w:rPr>
        <w:t xml:space="preserve">Convocar al Estado, a los </w:t>
      </w:r>
      <w:r w:rsidRPr="008662A6">
        <w:rPr>
          <w:rFonts w:ascii="Verdana" w:hAnsi="Verdana"/>
          <w:sz w:val="20"/>
          <w:szCs w:val="20"/>
        </w:rPr>
        <w:t>representantes de las víctimas y a la Comisión Interamericana de Derechos Humanos a una audiencia privada de supervisión de cumplimiento de Sentencia, que se cel</w:t>
      </w:r>
      <w:r w:rsidR="00F34675">
        <w:rPr>
          <w:rFonts w:ascii="Verdana" w:hAnsi="Verdana"/>
          <w:sz w:val="20"/>
          <w:szCs w:val="20"/>
        </w:rPr>
        <w:t xml:space="preserve">ebrará el 14 de octubre de 2021 </w:t>
      </w:r>
      <w:r w:rsidR="00F34675" w:rsidRPr="00F34675">
        <w:rPr>
          <w:rFonts w:ascii="Verdana" w:hAnsi="Verdana"/>
          <w:sz w:val="20"/>
          <w:szCs w:val="20"/>
        </w:rPr>
        <w:t>de forma virtual</w:t>
      </w:r>
      <w:r w:rsidR="00F34675">
        <w:rPr>
          <w:rFonts w:ascii="Verdana" w:hAnsi="Verdana"/>
          <w:sz w:val="20"/>
          <w:szCs w:val="20"/>
        </w:rPr>
        <w:t xml:space="preserve"> </w:t>
      </w:r>
      <w:r w:rsidRPr="00F34675">
        <w:rPr>
          <w:rFonts w:ascii="Verdana" w:hAnsi="Verdana"/>
          <w:sz w:val="20"/>
          <w:szCs w:val="20"/>
        </w:rPr>
        <w:t>de las 11:00 a las 12:30 horas de Costa Rica, durante el 144 Periodo Ordi</w:t>
      </w:r>
      <w:r w:rsidR="00F34675">
        <w:rPr>
          <w:rFonts w:ascii="Verdana" w:hAnsi="Verdana"/>
          <w:sz w:val="20"/>
          <w:szCs w:val="20"/>
        </w:rPr>
        <w:t>nario de Sesiones del Tribunal.</w:t>
      </w:r>
    </w:p>
    <w:p w14:paraId="15D7B879" w14:textId="33FF9C29" w:rsidR="009D0F04" w:rsidRDefault="00221747" w:rsidP="002A2C6F">
      <w:pPr>
        <w:pStyle w:val="Prrafodelista"/>
        <w:numPr>
          <w:ilvl w:val="3"/>
          <w:numId w:val="11"/>
        </w:numPr>
        <w:spacing w:before="80" w:after="120" w:line="240" w:lineRule="auto"/>
        <w:ind w:left="0" w:firstLine="0"/>
        <w:contextualSpacing w:val="0"/>
        <w:jc w:val="both"/>
        <w:rPr>
          <w:rFonts w:ascii="Verdana" w:hAnsi="Verdana"/>
          <w:sz w:val="20"/>
          <w:szCs w:val="20"/>
        </w:rPr>
      </w:pPr>
      <w:r w:rsidRPr="00BB29A9">
        <w:rPr>
          <w:rFonts w:ascii="Verdana" w:hAnsi="Verdana"/>
          <w:sz w:val="20"/>
          <w:szCs w:val="20"/>
        </w:rPr>
        <w:t>Disponer que la Secretaría de la Corte Interamericana de Derechos Humanos notifique la presente Resolución al Estado de Guatemala, a las representantes de las víctimas y a la Comisión Interamericana de Derechos Humanos.</w:t>
      </w:r>
    </w:p>
    <w:p w14:paraId="7016B140" w14:textId="5FB452E3" w:rsidR="00764200" w:rsidRDefault="00764200" w:rsidP="00764200">
      <w:pPr>
        <w:spacing w:before="80" w:after="120" w:line="240" w:lineRule="auto"/>
        <w:jc w:val="both"/>
        <w:rPr>
          <w:rFonts w:ascii="Verdana" w:hAnsi="Verdana"/>
          <w:sz w:val="20"/>
          <w:szCs w:val="20"/>
        </w:rPr>
      </w:pPr>
    </w:p>
    <w:p w14:paraId="23DCA83B" w14:textId="64C90649" w:rsidR="00764200" w:rsidRDefault="00764200" w:rsidP="00764200">
      <w:pPr>
        <w:spacing w:before="80" w:after="120" w:line="240" w:lineRule="auto"/>
        <w:jc w:val="both"/>
        <w:rPr>
          <w:rFonts w:ascii="Verdana" w:hAnsi="Verdana"/>
          <w:sz w:val="20"/>
          <w:szCs w:val="20"/>
        </w:rPr>
      </w:pPr>
    </w:p>
    <w:p w14:paraId="0F0303D3" w14:textId="7A9C81FB" w:rsidR="00764200" w:rsidRDefault="00764200" w:rsidP="00764200">
      <w:pPr>
        <w:spacing w:before="80" w:after="120" w:line="240" w:lineRule="auto"/>
        <w:jc w:val="both"/>
        <w:rPr>
          <w:rFonts w:ascii="Verdana" w:hAnsi="Verdana"/>
          <w:sz w:val="20"/>
          <w:szCs w:val="20"/>
        </w:rPr>
      </w:pPr>
    </w:p>
    <w:p w14:paraId="613360D5" w14:textId="395F4C7F" w:rsidR="00764200" w:rsidRDefault="00764200" w:rsidP="00764200">
      <w:pPr>
        <w:spacing w:before="80" w:after="120" w:line="240" w:lineRule="auto"/>
        <w:jc w:val="both"/>
        <w:rPr>
          <w:rFonts w:ascii="Verdana" w:hAnsi="Verdana"/>
          <w:sz w:val="20"/>
          <w:szCs w:val="20"/>
        </w:rPr>
      </w:pPr>
    </w:p>
    <w:p w14:paraId="1806804D" w14:textId="2AF20AA3" w:rsidR="00764200" w:rsidRDefault="00764200" w:rsidP="00764200">
      <w:pPr>
        <w:spacing w:before="80" w:after="120" w:line="240" w:lineRule="auto"/>
        <w:jc w:val="both"/>
        <w:rPr>
          <w:rFonts w:ascii="Verdana" w:hAnsi="Verdana"/>
          <w:sz w:val="20"/>
          <w:szCs w:val="20"/>
        </w:rPr>
      </w:pPr>
    </w:p>
    <w:p w14:paraId="228ECB4F" w14:textId="388457C6" w:rsidR="00764200" w:rsidRDefault="00764200" w:rsidP="00764200">
      <w:pPr>
        <w:spacing w:before="80" w:after="120" w:line="240" w:lineRule="auto"/>
        <w:jc w:val="both"/>
        <w:rPr>
          <w:rFonts w:ascii="Verdana" w:hAnsi="Verdana"/>
          <w:sz w:val="20"/>
          <w:szCs w:val="20"/>
        </w:rPr>
      </w:pPr>
    </w:p>
    <w:p w14:paraId="48282424" w14:textId="64081E21" w:rsidR="00764200" w:rsidRDefault="00764200" w:rsidP="00764200">
      <w:pPr>
        <w:spacing w:before="80" w:after="120" w:line="240" w:lineRule="auto"/>
        <w:jc w:val="both"/>
        <w:rPr>
          <w:rFonts w:ascii="Verdana" w:hAnsi="Verdana"/>
          <w:sz w:val="20"/>
          <w:szCs w:val="20"/>
        </w:rPr>
      </w:pPr>
    </w:p>
    <w:p w14:paraId="2678C9CE" w14:textId="71A50BD9" w:rsidR="00764200" w:rsidRDefault="00764200" w:rsidP="00764200">
      <w:pPr>
        <w:spacing w:before="80" w:after="120" w:line="240" w:lineRule="auto"/>
        <w:jc w:val="both"/>
        <w:rPr>
          <w:rFonts w:ascii="Verdana" w:hAnsi="Verdana"/>
          <w:sz w:val="20"/>
          <w:szCs w:val="20"/>
        </w:rPr>
      </w:pPr>
    </w:p>
    <w:p w14:paraId="63C46E74" w14:textId="5B543E3A" w:rsidR="00764200" w:rsidRDefault="00764200" w:rsidP="00764200">
      <w:pPr>
        <w:spacing w:before="80" w:after="120" w:line="240" w:lineRule="auto"/>
        <w:jc w:val="both"/>
        <w:rPr>
          <w:rFonts w:ascii="Verdana" w:hAnsi="Verdana"/>
          <w:sz w:val="20"/>
          <w:szCs w:val="20"/>
        </w:rPr>
      </w:pPr>
    </w:p>
    <w:p w14:paraId="49E417A7" w14:textId="2FC454B5" w:rsidR="00764200" w:rsidRDefault="00764200" w:rsidP="00764200">
      <w:pPr>
        <w:spacing w:before="80" w:after="120" w:line="240" w:lineRule="auto"/>
        <w:jc w:val="both"/>
        <w:rPr>
          <w:rFonts w:ascii="Verdana" w:hAnsi="Verdana"/>
          <w:sz w:val="20"/>
          <w:szCs w:val="20"/>
        </w:rPr>
      </w:pPr>
    </w:p>
    <w:p w14:paraId="19F26039" w14:textId="657440F6" w:rsidR="00764200" w:rsidRDefault="00764200" w:rsidP="00764200">
      <w:pPr>
        <w:spacing w:before="80" w:after="120" w:line="240" w:lineRule="auto"/>
        <w:jc w:val="both"/>
        <w:rPr>
          <w:rFonts w:ascii="Verdana" w:hAnsi="Verdana"/>
          <w:sz w:val="20"/>
          <w:szCs w:val="20"/>
        </w:rPr>
      </w:pPr>
    </w:p>
    <w:p w14:paraId="37ED0153" w14:textId="0DEB0464" w:rsidR="00764200" w:rsidRDefault="00764200" w:rsidP="00764200">
      <w:pPr>
        <w:spacing w:before="80" w:after="120" w:line="240" w:lineRule="auto"/>
        <w:jc w:val="both"/>
        <w:rPr>
          <w:rFonts w:ascii="Verdana" w:hAnsi="Verdana"/>
          <w:sz w:val="20"/>
          <w:szCs w:val="20"/>
        </w:rPr>
      </w:pPr>
    </w:p>
    <w:p w14:paraId="0C142741" w14:textId="29B65861" w:rsidR="00764200" w:rsidRDefault="00764200" w:rsidP="00764200">
      <w:pPr>
        <w:spacing w:before="80" w:after="120" w:line="240" w:lineRule="auto"/>
        <w:jc w:val="both"/>
        <w:rPr>
          <w:rFonts w:ascii="Verdana" w:hAnsi="Verdana"/>
          <w:sz w:val="20"/>
          <w:szCs w:val="20"/>
        </w:rPr>
      </w:pPr>
    </w:p>
    <w:p w14:paraId="5369571B" w14:textId="3B8648E0" w:rsidR="00764200" w:rsidRDefault="00764200" w:rsidP="00764200">
      <w:pPr>
        <w:spacing w:before="80" w:after="120" w:line="240" w:lineRule="auto"/>
        <w:jc w:val="both"/>
        <w:rPr>
          <w:rFonts w:ascii="Verdana" w:hAnsi="Verdana"/>
          <w:sz w:val="20"/>
          <w:szCs w:val="20"/>
        </w:rPr>
      </w:pPr>
    </w:p>
    <w:p w14:paraId="29A699F6" w14:textId="7DD48178" w:rsidR="00764200" w:rsidRDefault="00764200" w:rsidP="00764200">
      <w:pPr>
        <w:spacing w:before="80" w:after="120" w:line="240" w:lineRule="auto"/>
        <w:jc w:val="both"/>
        <w:rPr>
          <w:rFonts w:ascii="Verdana" w:hAnsi="Verdana"/>
          <w:sz w:val="20"/>
          <w:szCs w:val="20"/>
        </w:rPr>
      </w:pPr>
    </w:p>
    <w:p w14:paraId="5C77E455" w14:textId="5009A1C6" w:rsidR="00764200" w:rsidRDefault="00764200" w:rsidP="00764200">
      <w:pPr>
        <w:spacing w:before="80" w:after="120" w:line="240" w:lineRule="auto"/>
        <w:jc w:val="both"/>
        <w:rPr>
          <w:rFonts w:ascii="Verdana" w:hAnsi="Verdana"/>
          <w:sz w:val="20"/>
          <w:szCs w:val="20"/>
        </w:rPr>
      </w:pPr>
    </w:p>
    <w:p w14:paraId="1C900C5D" w14:textId="1F31E3B9" w:rsidR="00764200" w:rsidRDefault="00764200" w:rsidP="00764200">
      <w:pPr>
        <w:spacing w:before="80" w:after="120" w:line="240" w:lineRule="auto"/>
        <w:jc w:val="both"/>
        <w:rPr>
          <w:rFonts w:ascii="Verdana" w:hAnsi="Verdana"/>
          <w:sz w:val="20"/>
          <w:szCs w:val="20"/>
        </w:rPr>
      </w:pPr>
    </w:p>
    <w:p w14:paraId="57F9ED6C" w14:textId="4F96B43A" w:rsidR="00764200" w:rsidRDefault="00764200" w:rsidP="00764200">
      <w:pPr>
        <w:spacing w:before="80" w:after="120" w:line="240" w:lineRule="auto"/>
        <w:jc w:val="both"/>
        <w:rPr>
          <w:rFonts w:ascii="Verdana" w:hAnsi="Verdana"/>
          <w:sz w:val="20"/>
          <w:szCs w:val="20"/>
        </w:rPr>
      </w:pPr>
    </w:p>
    <w:p w14:paraId="638CFF18" w14:textId="059CCA29" w:rsidR="00764200" w:rsidRDefault="00764200" w:rsidP="00764200">
      <w:pPr>
        <w:spacing w:before="80" w:after="120" w:line="240" w:lineRule="auto"/>
        <w:jc w:val="both"/>
        <w:rPr>
          <w:rFonts w:ascii="Verdana" w:hAnsi="Verdana"/>
          <w:sz w:val="20"/>
          <w:szCs w:val="20"/>
        </w:rPr>
      </w:pPr>
    </w:p>
    <w:p w14:paraId="6B04442F" w14:textId="0D5663A3" w:rsidR="00764200" w:rsidRDefault="00764200" w:rsidP="00764200">
      <w:pPr>
        <w:spacing w:before="80" w:after="120" w:line="240" w:lineRule="auto"/>
        <w:jc w:val="both"/>
        <w:rPr>
          <w:rFonts w:ascii="Verdana" w:hAnsi="Verdana"/>
          <w:sz w:val="20"/>
          <w:szCs w:val="20"/>
        </w:rPr>
      </w:pPr>
    </w:p>
    <w:p w14:paraId="46391D4F" w14:textId="11CFE5C3" w:rsidR="00764200" w:rsidRDefault="00764200" w:rsidP="00764200">
      <w:pPr>
        <w:spacing w:before="80" w:after="120" w:line="240" w:lineRule="auto"/>
        <w:jc w:val="both"/>
        <w:rPr>
          <w:rFonts w:ascii="Verdana" w:hAnsi="Verdana"/>
          <w:sz w:val="20"/>
          <w:szCs w:val="20"/>
        </w:rPr>
      </w:pPr>
    </w:p>
    <w:p w14:paraId="6FAE18E4" w14:textId="77777777" w:rsidR="00764200" w:rsidRPr="00764200" w:rsidRDefault="00764200" w:rsidP="00764200">
      <w:pPr>
        <w:spacing w:before="80" w:after="120" w:line="240" w:lineRule="auto"/>
        <w:jc w:val="both"/>
        <w:rPr>
          <w:rFonts w:ascii="Verdana" w:hAnsi="Verdana"/>
          <w:sz w:val="20"/>
          <w:szCs w:val="20"/>
        </w:rPr>
      </w:pPr>
    </w:p>
    <w:p w14:paraId="2B224C95" w14:textId="77777777" w:rsidR="002A2C6F" w:rsidRDefault="002A2C6F" w:rsidP="002A2C6F">
      <w:pPr>
        <w:spacing w:before="120" w:after="120" w:line="240" w:lineRule="auto"/>
        <w:jc w:val="both"/>
        <w:rPr>
          <w:rFonts w:ascii="Verdana" w:hAnsi="Verdana"/>
          <w:sz w:val="20"/>
          <w:szCs w:val="20"/>
        </w:rPr>
      </w:pPr>
    </w:p>
    <w:p w14:paraId="6352D622" w14:textId="77777777" w:rsidR="002A2C6F" w:rsidRDefault="002A2C6F" w:rsidP="002A2C6F">
      <w:pPr>
        <w:spacing w:after="0" w:line="240" w:lineRule="auto"/>
        <w:jc w:val="both"/>
        <w:rPr>
          <w:rFonts w:ascii="Verdana" w:hAnsi="Verdana"/>
          <w:sz w:val="20"/>
          <w:lang w:val="es-ES"/>
        </w:rPr>
      </w:pPr>
      <w:r>
        <w:rPr>
          <w:rFonts w:ascii="Verdana" w:eastAsia="Calibri" w:hAnsi="Verdana" w:cs="Times"/>
          <w:sz w:val="20"/>
          <w:szCs w:val="20"/>
          <w:lang w:val="es-ES_tradnl" w:eastAsia="es-ES"/>
        </w:rPr>
        <w:lastRenderedPageBreak/>
        <w:t xml:space="preserve">Corte IDH. </w:t>
      </w:r>
      <w:r>
        <w:rPr>
          <w:rFonts w:ascii="Verdana" w:eastAsia="MS Mincho" w:hAnsi="Verdana" w:cs="Times New Roman"/>
          <w:i/>
          <w:sz w:val="20"/>
          <w:szCs w:val="20"/>
          <w:lang w:val="pt-BR"/>
        </w:rPr>
        <w:t xml:space="preserve">Caso </w:t>
      </w:r>
      <w:proofErr w:type="spellStart"/>
      <w:r>
        <w:rPr>
          <w:rFonts w:ascii="Verdana" w:eastAsia="MS Mincho" w:hAnsi="Verdana" w:cs="Times New Roman"/>
          <w:i/>
          <w:sz w:val="20"/>
          <w:szCs w:val="20"/>
          <w:lang w:val="pt-BR"/>
        </w:rPr>
        <w:t>Masacre</w:t>
      </w:r>
      <w:proofErr w:type="spellEnd"/>
      <w:r>
        <w:rPr>
          <w:rFonts w:ascii="Verdana" w:eastAsia="MS Mincho" w:hAnsi="Verdana" w:cs="Times New Roman"/>
          <w:i/>
          <w:sz w:val="20"/>
          <w:szCs w:val="20"/>
          <w:lang w:val="pt-BR"/>
        </w:rPr>
        <w:t xml:space="preserve"> </w:t>
      </w:r>
      <w:proofErr w:type="spellStart"/>
      <w:r>
        <w:rPr>
          <w:rFonts w:ascii="Verdana" w:eastAsia="MS Mincho" w:hAnsi="Verdana" w:cs="Times New Roman"/>
          <w:i/>
          <w:sz w:val="20"/>
          <w:szCs w:val="20"/>
          <w:lang w:val="pt-BR"/>
        </w:rPr>
        <w:t>Plan</w:t>
      </w:r>
      <w:proofErr w:type="spellEnd"/>
      <w:r>
        <w:rPr>
          <w:rFonts w:ascii="Verdana" w:eastAsia="MS Mincho" w:hAnsi="Verdana" w:cs="Times New Roman"/>
          <w:i/>
          <w:sz w:val="20"/>
          <w:szCs w:val="20"/>
          <w:lang w:val="pt-BR"/>
        </w:rPr>
        <w:t xml:space="preserve"> de Sánchez Vs. Guatemala</w:t>
      </w:r>
      <w:r>
        <w:rPr>
          <w:rFonts w:ascii="Verdana" w:eastAsia="Times" w:hAnsi="Verdana" w:cs="Times New Roman"/>
          <w:bCs/>
          <w:i/>
          <w:sz w:val="20"/>
          <w:szCs w:val="20"/>
          <w:lang w:val="es-ES_tradnl"/>
        </w:rPr>
        <w:t xml:space="preserve"> </w:t>
      </w:r>
      <w:r>
        <w:rPr>
          <w:rFonts w:ascii="Verdana" w:hAnsi="Verdana" w:cs="Arial"/>
          <w:sz w:val="20"/>
        </w:rPr>
        <w:t xml:space="preserve">Supervisión de Cumplimiento de Sentencia. </w:t>
      </w:r>
      <w:r>
        <w:rPr>
          <w:rFonts w:ascii="Verdana" w:hAnsi="Verdana"/>
          <w:sz w:val="20"/>
          <w:lang w:val="es-ES"/>
        </w:rPr>
        <w:t>Resolución de la Corte Interamericana de Derechos Humanos de 30 de abril</w:t>
      </w:r>
      <w:r>
        <w:rPr>
          <w:rFonts w:ascii="Verdana" w:hAnsi="Verdana"/>
          <w:sz w:val="20"/>
        </w:rPr>
        <w:t xml:space="preserve"> de 2021</w:t>
      </w:r>
      <w:r>
        <w:rPr>
          <w:rFonts w:ascii="Verdana" w:hAnsi="Verdana"/>
          <w:sz w:val="20"/>
          <w:lang w:val="es-ES"/>
        </w:rPr>
        <w:t xml:space="preserve">. </w:t>
      </w:r>
      <w:r>
        <w:rPr>
          <w:rFonts w:ascii="Verdana" w:hAnsi="Verdana"/>
          <w:iCs/>
          <w:sz w:val="20"/>
        </w:rPr>
        <w:t>Resolución adoptada en San José de Costa Rica por medio de sesión virtual.</w:t>
      </w:r>
    </w:p>
    <w:p w14:paraId="7BEDD128" w14:textId="690F74D8" w:rsidR="002A2C6F" w:rsidRDefault="002A2C6F" w:rsidP="002A2C6F">
      <w:pPr>
        <w:spacing w:after="0" w:line="240" w:lineRule="auto"/>
        <w:jc w:val="center"/>
        <w:rPr>
          <w:rFonts w:ascii="Verdana" w:eastAsia="Times" w:hAnsi="Verdana" w:cs="Times New Roman"/>
          <w:sz w:val="20"/>
          <w:szCs w:val="20"/>
          <w:lang w:val="es-ES"/>
        </w:rPr>
      </w:pPr>
    </w:p>
    <w:p w14:paraId="6D7DE091" w14:textId="77777777" w:rsidR="002A2C6F" w:rsidRDefault="002A2C6F" w:rsidP="002A2C6F">
      <w:pPr>
        <w:spacing w:after="0" w:line="240" w:lineRule="auto"/>
        <w:jc w:val="center"/>
        <w:rPr>
          <w:rFonts w:ascii="Verdana" w:eastAsia="Times" w:hAnsi="Verdana" w:cs="Times New Roman"/>
          <w:sz w:val="20"/>
          <w:szCs w:val="20"/>
          <w:lang w:val="es-ES"/>
        </w:rPr>
      </w:pPr>
    </w:p>
    <w:p w14:paraId="111D103E" w14:textId="77777777" w:rsidR="002A2C6F" w:rsidRDefault="002A2C6F" w:rsidP="002A2C6F">
      <w:pPr>
        <w:spacing w:after="0" w:line="240" w:lineRule="auto"/>
        <w:jc w:val="center"/>
        <w:rPr>
          <w:rFonts w:ascii="Verdana" w:eastAsia="Times" w:hAnsi="Verdana" w:cs="Times New Roman"/>
          <w:sz w:val="20"/>
          <w:szCs w:val="20"/>
          <w:lang w:val="es-ES"/>
        </w:rPr>
      </w:pPr>
    </w:p>
    <w:p w14:paraId="2304CDDA" w14:textId="77777777" w:rsidR="002A2C6F" w:rsidRDefault="002A2C6F" w:rsidP="002A2C6F">
      <w:pPr>
        <w:spacing w:after="0" w:line="240" w:lineRule="auto"/>
        <w:jc w:val="center"/>
        <w:rPr>
          <w:rFonts w:ascii="Verdana" w:eastAsia="Times" w:hAnsi="Verdana" w:cs="Times New Roman"/>
          <w:sz w:val="20"/>
          <w:szCs w:val="20"/>
          <w:lang w:val="es-ES"/>
        </w:rPr>
      </w:pPr>
    </w:p>
    <w:p w14:paraId="0A59E7EF" w14:textId="77777777" w:rsidR="002A2C6F" w:rsidRDefault="002A2C6F" w:rsidP="002A2C6F">
      <w:pPr>
        <w:spacing w:after="0" w:line="240" w:lineRule="auto"/>
        <w:jc w:val="center"/>
        <w:rPr>
          <w:rFonts w:ascii="Verdana" w:eastAsia="Times" w:hAnsi="Verdana" w:cs="Times New Roman"/>
          <w:sz w:val="20"/>
          <w:szCs w:val="20"/>
          <w:lang w:val="es-ES"/>
        </w:rPr>
      </w:pPr>
    </w:p>
    <w:p w14:paraId="36237718" w14:textId="70D1BAEF" w:rsidR="002A2C6F" w:rsidRDefault="002A2C6F" w:rsidP="002A2C6F">
      <w:pPr>
        <w:spacing w:after="0" w:line="240" w:lineRule="auto"/>
        <w:jc w:val="center"/>
        <w:rPr>
          <w:rFonts w:ascii="Verdana" w:hAnsi="Verdana"/>
          <w:sz w:val="20"/>
          <w:szCs w:val="20"/>
          <w:lang w:val="pt-BR"/>
        </w:rPr>
      </w:pPr>
      <w:r>
        <w:rPr>
          <w:rFonts w:ascii="Verdana" w:hAnsi="Verdana"/>
          <w:sz w:val="20"/>
          <w:szCs w:val="20"/>
          <w:lang w:val="pt-BR"/>
        </w:rPr>
        <w:t>Elizabeth Odio Benito</w:t>
      </w:r>
    </w:p>
    <w:p w14:paraId="099CA133" w14:textId="38FD50BF" w:rsidR="002A2C6F" w:rsidRDefault="002A2C6F" w:rsidP="002A2C6F">
      <w:pPr>
        <w:spacing w:after="0" w:line="240" w:lineRule="auto"/>
        <w:jc w:val="center"/>
        <w:rPr>
          <w:rFonts w:ascii="Verdana" w:hAnsi="Verdana"/>
          <w:sz w:val="20"/>
          <w:szCs w:val="20"/>
          <w:lang w:val="pt-BR"/>
        </w:rPr>
      </w:pPr>
      <w:r>
        <w:rPr>
          <w:rFonts w:ascii="Verdana" w:hAnsi="Verdana"/>
          <w:sz w:val="20"/>
          <w:szCs w:val="20"/>
          <w:lang w:val="pt-BR"/>
        </w:rPr>
        <w:t>Presidenta</w:t>
      </w:r>
    </w:p>
    <w:p w14:paraId="58E0CDF5" w14:textId="77777777" w:rsidR="002A2C6F" w:rsidRDefault="002A2C6F" w:rsidP="002A2C6F">
      <w:pPr>
        <w:spacing w:after="0" w:line="240" w:lineRule="auto"/>
        <w:jc w:val="both"/>
        <w:rPr>
          <w:rFonts w:ascii="Verdana" w:hAnsi="Verdana"/>
          <w:sz w:val="20"/>
          <w:szCs w:val="20"/>
          <w:lang w:val="pt-BR"/>
        </w:rPr>
      </w:pPr>
    </w:p>
    <w:p w14:paraId="434A2531" w14:textId="77777777" w:rsidR="002A2C6F" w:rsidRDefault="002A2C6F" w:rsidP="002A2C6F">
      <w:pPr>
        <w:spacing w:after="0" w:line="240" w:lineRule="auto"/>
        <w:jc w:val="both"/>
        <w:rPr>
          <w:rFonts w:ascii="Verdana" w:hAnsi="Verdana"/>
          <w:sz w:val="20"/>
          <w:szCs w:val="20"/>
          <w:lang w:val="pt-BR"/>
        </w:rPr>
      </w:pPr>
    </w:p>
    <w:p w14:paraId="0E81A5F1" w14:textId="77777777" w:rsidR="002A2C6F" w:rsidRDefault="002A2C6F" w:rsidP="002A2C6F">
      <w:pPr>
        <w:spacing w:after="0" w:line="240" w:lineRule="auto"/>
        <w:jc w:val="both"/>
        <w:rPr>
          <w:rFonts w:ascii="Verdana" w:hAnsi="Verdana"/>
          <w:sz w:val="20"/>
          <w:szCs w:val="20"/>
          <w:lang w:val="pt-BR"/>
        </w:rPr>
      </w:pPr>
    </w:p>
    <w:p w14:paraId="1EC7B990" w14:textId="77777777" w:rsidR="002A2C6F" w:rsidRDefault="002A2C6F" w:rsidP="002A2C6F">
      <w:pPr>
        <w:spacing w:after="0" w:line="240" w:lineRule="auto"/>
        <w:jc w:val="both"/>
        <w:rPr>
          <w:rFonts w:ascii="Verdana" w:hAnsi="Verdana"/>
          <w:sz w:val="20"/>
          <w:szCs w:val="20"/>
          <w:lang w:val="pt-BR"/>
        </w:rPr>
      </w:pPr>
    </w:p>
    <w:p w14:paraId="6F2686D3" w14:textId="77777777" w:rsidR="002A2C6F" w:rsidRDefault="002A2C6F" w:rsidP="002A2C6F">
      <w:pPr>
        <w:spacing w:after="0" w:line="240" w:lineRule="auto"/>
        <w:jc w:val="both"/>
        <w:rPr>
          <w:rFonts w:ascii="Verdana" w:hAnsi="Verdana"/>
          <w:sz w:val="20"/>
          <w:szCs w:val="20"/>
          <w:lang w:val="pt-BR"/>
        </w:rPr>
      </w:pPr>
    </w:p>
    <w:p w14:paraId="340F51BA" w14:textId="77777777" w:rsidR="002A2C6F" w:rsidRDefault="002A2C6F" w:rsidP="002A2C6F">
      <w:pPr>
        <w:spacing w:after="0" w:line="240" w:lineRule="auto"/>
        <w:jc w:val="both"/>
        <w:rPr>
          <w:rFonts w:ascii="Verdana" w:hAnsi="Verdana"/>
          <w:sz w:val="20"/>
          <w:szCs w:val="20"/>
          <w:lang w:val="pt-BR"/>
        </w:rPr>
      </w:pPr>
      <w:r>
        <w:rPr>
          <w:rFonts w:ascii="Verdana" w:hAnsi="Verdana"/>
          <w:sz w:val="20"/>
          <w:szCs w:val="20"/>
          <w:lang w:val="pt-BR"/>
        </w:rPr>
        <w:t xml:space="preserve">L. </w:t>
      </w:r>
      <w:proofErr w:type="spellStart"/>
      <w:r>
        <w:rPr>
          <w:rFonts w:ascii="Verdana" w:hAnsi="Verdana"/>
          <w:sz w:val="20"/>
          <w:szCs w:val="20"/>
          <w:lang w:val="pt-BR"/>
        </w:rPr>
        <w:t>Patricio</w:t>
      </w:r>
      <w:proofErr w:type="spellEnd"/>
      <w:r>
        <w:rPr>
          <w:rFonts w:ascii="Verdana" w:hAnsi="Verdana"/>
          <w:sz w:val="20"/>
          <w:szCs w:val="20"/>
          <w:lang w:val="pt-BR"/>
        </w:rPr>
        <w:t xml:space="preserve"> </w:t>
      </w:r>
      <w:proofErr w:type="spellStart"/>
      <w:r>
        <w:rPr>
          <w:rFonts w:ascii="Verdana" w:hAnsi="Verdana"/>
          <w:sz w:val="20"/>
          <w:szCs w:val="20"/>
          <w:lang w:val="pt-BR"/>
        </w:rPr>
        <w:t>Pazmiño</w:t>
      </w:r>
      <w:proofErr w:type="spellEnd"/>
      <w:r>
        <w:rPr>
          <w:rFonts w:ascii="Verdana" w:hAnsi="Verdana"/>
          <w:sz w:val="20"/>
          <w:szCs w:val="20"/>
          <w:lang w:val="pt-BR"/>
        </w:rPr>
        <w:t xml:space="preserve">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eastAsia="Times" w:hAnsi="Verdana" w:cs="Times New Roman"/>
          <w:sz w:val="20"/>
          <w:szCs w:val="20"/>
          <w:lang w:val="pt-BR"/>
        </w:rPr>
        <w:t xml:space="preserve">Humberto </w:t>
      </w:r>
      <w:proofErr w:type="spellStart"/>
      <w:r>
        <w:rPr>
          <w:rFonts w:ascii="Verdana" w:eastAsia="Times" w:hAnsi="Verdana" w:cs="Times New Roman"/>
          <w:sz w:val="20"/>
          <w:szCs w:val="20"/>
          <w:lang w:val="pt-BR"/>
        </w:rPr>
        <w:t>Antonio</w:t>
      </w:r>
      <w:proofErr w:type="spellEnd"/>
      <w:r>
        <w:rPr>
          <w:rFonts w:ascii="Verdana" w:eastAsia="Times" w:hAnsi="Verdana" w:cs="Times New Roman"/>
          <w:sz w:val="20"/>
          <w:szCs w:val="20"/>
          <w:lang w:val="pt-BR"/>
        </w:rPr>
        <w:t xml:space="preserve"> </w:t>
      </w:r>
      <w:proofErr w:type="spellStart"/>
      <w:r>
        <w:rPr>
          <w:rFonts w:ascii="Verdana" w:eastAsia="Times" w:hAnsi="Verdana" w:cs="Times New Roman"/>
          <w:sz w:val="20"/>
          <w:szCs w:val="20"/>
          <w:lang w:val="pt-BR"/>
        </w:rPr>
        <w:t>Sierra</w:t>
      </w:r>
      <w:proofErr w:type="spellEnd"/>
      <w:r>
        <w:rPr>
          <w:rFonts w:ascii="Verdana" w:eastAsia="Times" w:hAnsi="Verdana" w:cs="Times New Roman"/>
          <w:sz w:val="20"/>
          <w:szCs w:val="20"/>
          <w:lang w:val="pt-BR"/>
        </w:rPr>
        <w:t xml:space="preserve"> Porto</w:t>
      </w:r>
    </w:p>
    <w:p w14:paraId="4ABF16D3" w14:textId="77777777" w:rsidR="002A2C6F" w:rsidRDefault="002A2C6F" w:rsidP="002A2C6F">
      <w:pPr>
        <w:spacing w:after="0" w:line="240" w:lineRule="auto"/>
        <w:jc w:val="both"/>
        <w:rPr>
          <w:rFonts w:ascii="Verdana" w:hAnsi="Verdana"/>
          <w:sz w:val="20"/>
          <w:szCs w:val="20"/>
          <w:lang w:val="pt-BR"/>
        </w:rPr>
      </w:pPr>
    </w:p>
    <w:p w14:paraId="1FDB76B8" w14:textId="77777777" w:rsidR="002A2C6F" w:rsidRDefault="002A2C6F" w:rsidP="002A2C6F">
      <w:pPr>
        <w:spacing w:after="0" w:line="240" w:lineRule="auto"/>
        <w:jc w:val="both"/>
        <w:rPr>
          <w:rFonts w:ascii="Verdana" w:hAnsi="Verdana"/>
          <w:sz w:val="20"/>
          <w:szCs w:val="20"/>
          <w:lang w:val="pt-BR"/>
        </w:rPr>
      </w:pPr>
    </w:p>
    <w:p w14:paraId="4166310F" w14:textId="77777777" w:rsidR="002A2C6F" w:rsidRDefault="002A2C6F" w:rsidP="002A2C6F">
      <w:pPr>
        <w:spacing w:after="0" w:line="240" w:lineRule="auto"/>
        <w:jc w:val="both"/>
        <w:rPr>
          <w:rFonts w:ascii="Verdana" w:hAnsi="Verdana"/>
          <w:sz w:val="20"/>
          <w:szCs w:val="20"/>
          <w:lang w:val="pt-BR"/>
        </w:rPr>
      </w:pPr>
    </w:p>
    <w:p w14:paraId="0874D97B" w14:textId="4B255775" w:rsidR="002A2C6F" w:rsidRDefault="002A2C6F" w:rsidP="002A2C6F">
      <w:pPr>
        <w:spacing w:after="0" w:line="240" w:lineRule="auto"/>
        <w:jc w:val="both"/>
        <w:rPr>
          <w:rFonts w:ascii="Verdana" w:hAnsi="Verdana"/>
          <w:sz w:val="20"/>
          <w:szCs w:val="20"/>
          <w:lang w:val="pt-BR"/>
        </w:rPr>
      </w:pPr>
    </w:p>
    <w:p w14:paraId="05C7ECAC" w14:textId="7298F3E6" w:rsidR="002A2C6F" w:rsidRDefault="002A2C6F" w:rsidP="002A2C6F">
      <w:pPr>
        <w:spacing w:after="0" w:line="240" w:lineRule="auto"/>
        <w:jc w:val="both"/>
        <w:rPr>
          <w:rFonts w:ascii="Verdana" w:hAnsi="Verdana"/>
          <w:sz w:val="20"/>
          <w:szCs w:val="20"/>
          <w:lang w:val="pt-BR"/>
        </w:rPr>
      </w:pPr>
    </w:p>
    <w:p w14:paraId="61CF43AC" w14:textId="77777777" w:rsidR="002A2C6F" w:rsidRDefault="002A2C6F" w:rsidP="002A2C6F">
      <w:pPr>
        <w:spacing w:after="0" w:line="240" w:lineRule="auto"/>
        <w:jc w:val="both"/>
        <w:rPr>
          <w:rFonts w:ascii="Verdana" w:hAnsi="Verdana"/>
          <w:sz w:val="20"/>
          <w:szCs w:val="20"/>
          <w:lang w:val="pt-BR"/>
        </w:rPr>
      </w:pPr>
    </w:p>
    <w:p w14:paraId="6763F85F" w14:textId="77777777" w:rsidR="002A2C6F" w:rsidRDefault="002A2C6F" w:rsidP="002A2C6F">
      <w:pPr>
        <w:spacing w:after="0" w:line="240" w:lineRule="auto"/>
        <w:jc w:val="both"/>
        <w:rPr>
          <w:rFonts w:ascii="Verdana" w:hAnsi="Verdana"/>
          <w:sz w:val="20"/>
          <w:szCs w:val="20"/>
          <w:lang w:val="pt-BR"/>
        </w:rPr>
      </w:pPr>
    </w:p>
    <w:p w14:paraId="013C3B05" w14:textId="77F69E57" w:rsidR="002A2C6F" w:rsidRDefault="002A2C6F" w:rsidP="002A2C6F">
      <w:pPr>
        <w:spacing w:after="0" w:line="240" w:lineRule="auto"/>
        <w:jc w:val="both"/>
        <w:rPr>
          <w:rFonts w:ascii="Verdana" w:hAnsi="Verdana"/>
          <w:sz w:val="20"/>
          <w:szCs w:val="20"/>
          <w:lang w:val="pt-BR"/>
        </w:rPr>
      </w:pPr>
      <w:r>
        <w:rPr>
          <w:rFonts w:ascii="Verdana" w:hAnsi="Verdana"/>
          <w:sz w:val="20"/>
          <w:szCs w:val="20"/>
          <w:lang w:val="pt-BR"/>
        </w:rPr>
        <w:t xml:space="preserve">Eugenio </w:t>
      </w:r>
      <w:proofErr w:type="spellStart"/>
      <w:r>
        <w:rPr>
          <w:rFonts w:ascii="Verdana" w:hAnsi="Verdana"/>
          <w:sz w:val="20"/>
          <w:szCs w:val="20"/>
          <w:lang w:val="pt-BR"/>
        </w:rPr>
        <w:t>Raúl</w:t>
      </w:r>
      <w:proofErr w:type="spellEnd"/>
      <w:r>
        <w:rPr>
          <w:rFonts w:ascii="Verdana" w:hAnsi="Verdana"/>
          <w:sz w:val="20"/>
          <w:szCs w:val="20"/>
          <w:lang w:val="pt-BR"/>
        </w:rPr>
        <w:t xml:space="preserve"> </w:t>
      </w:r>
      <w:proofErr w:type="spellStart"/>
      <w:r>
        <w:rPr>
          <w:rFonts w:ascii="Verdana" w:hAnsi="Verdana"/>
          <w:sz w:val="20"/>
          <w:szCs w:val="20"/>
          <w:lang w:val="pt-BR"/>
        </w:rPr>
        <w:t>Zaffaroni</w:t>
      </w:r>
      <w:proofErr w:type="spellEnd"/>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Ricardo C. Pérez </w:t>
      </w:r>
      <w:proofErr w:type="spellStart"/>
      <w:r>
        <w:rPr>
          <w:rFonts w:ascii="Verdana" w:hAnsi="Verdana"/>
          <w:sz w:val="20"/>
          <w:szCs w:val="20"/>
          <w:lang w:val="pt-BR"/>
        </w:rPr>
        <w:t>Manrique</w:t>
      </w:r>
      <w:proofErr w:type="spellEnd"/>
    </w:p>
    <w:p w14:paraId="7EB0CE82" w14:textId="77777777" w:rsidR="002A2C6F" w:rsidRDefault="002A2C6F" w:rsidP="002A2C6F">
      <w:pPr>
        <w:spacing w:after="0" w:line="240" w:lineRule="auto"/>
        <w:jc w:val="both"/>
        <w:rPr>
          <w:rFonts w:ascii="Verdana" w:hAnsi="Verdana"/>
          <w:sz w:val="20"/>
          <w:szCs w:val="20"/>
          <w:lang w:val="pt-BR"/>
        </w:rPr>
      </w:pPr>
    </w:p>
    <w:p w14:paraId="5FEF4B0F" w14:textId="77777777" w:rsidR="002A2C6F" w:rsidRDefault="002A2C6F" w:rsidP="002A2C6F">
      <w:pPr>
        <w:spacing w:after="0" w:line="240" w:lineRule="auto"/>
        <w:jc w:val="both"/>
        <w:rPr>
          <w:rFonts w:ascii="Verdana" w:hAnsi="Verdana"/>
          <w:sz w:val="20"/>
          <w:szCs w:val="20"/>
          <w:lang w:val="pt-BR"/>
        </w:rPr>
      </w:pPr>
    </w:p>
    <w:p w14:paraId="7A1F7129" w14:textId="77777777" w:rsidR="002A2C6F" w:rsidRDefault="002A2C6F" w:rsidP="002A2C6F">
      <w:pPr>
        <w:spacing w:after="0" w:line="240" w:lineRule="auto"/>
        <w:rPr>
          <w:rFonts w:ascii="Verdana" w:eastAsia="Times" w:hAnsi="Verdana" w:cs="Times New Roman"/>
          <w:sz w:val="20"/>
          <w:szCs w:val="20"/>
          <w:lang w:val="pt-BR"/>
        </w:rPr>
      </w:pPr>
    </w:p>
    <w:p w14:paraId="2345359F" w14:textId="77777777" w:rsidR="002A2C6F" w:rsidRDefault="002A2C6F" w:rsidP="002A2C6F">
      <w:pPr>
        <w:spacing w:after="0" w:line="240" w:lineRule="auto"/>
        <w:jc w:val="both"/>
        <w:rPr>
          <w:rFonts w:ascii="Verdana" w:eastAsia="Times" w:hAnsi="Verdana" w:cs="Times New Roman"/>
          <w:sz w:val="20"/>
          <w:szCs w:val="20"/>
          <w:lang w:val="pt-BR"/>
        </w:rPr>
      </w:pPr>
    </w:p>
    <w:p w14:paraId="3126D4AD" w14:textId="77777777" w:rsidR="002A2C6F" w:rsidRDefault="002A2C6F" w:rsidP="002A2C6F">
      <w:pPr>
        <w:spacing w:after="0" w:line="240" w:lineRule="auto"/>
        <w:jc w:val="both"/>
        <w:rPr>
          <w:rFonts w:ascii="Verdana" w:eastAsia="Times" w:hAnsi="Verdana" w:cs="Times New Roman"/>
          <w:sz w:val="20"/>
          <w:szCs w:val="20"/>
          <w:lang w:val="pt-BR"/>
        </w:rPr>
      </w:pPr>
    </w:p>
    <w:p w14:paraId="39B9C85D" w14:textId="77777777" w:rsidR="002A2C6F" w:rsidRDefault="002A2C6F" w:rsidP="002A2C6F">
      <w:pPr>
        <w:spacing w:after="0" w:line="240" w:lineRule="auto"/>
        <w:jc w:val="both"/>
        <w:rPr>
          <w:rFonts w:ascii="Verdana" w:eastAsia="Times" w:hAnsi="Verdana" w:cs="Times New Roman"/>
          <w:sz w:val="20"/>
          <w:szCs w:val="20"/>
          <w:lang w:val="pt-BR"/>
        </w:rPr>
      </w:pPr>
    </w:p>
    <w:p w14:paraId="2748779F" w14:textId="77777777" w:rsidR="002A2C6F" w:rsidRDefault="002A2C6F" w:rsidP="002A2C6F">
      <w:pPr>
        <w:spacing w:after="0" w:line="240" w:lineRule="auto"/>
        <w:jc w:val="center"/>
        <w:rPr>
          <w:rFonts w:ascii="Verdana" w:eastAsia="Times" w:hAnsi="Verdana" w:cs="Times New Roman"/>
          <w:sz w:val="20"/>
          <w:szCs w:val="20"/>
          <w:lang w:val="pt-BR"/>
        </w:rPr>
      </w:pPr>
      <w:r>
        <w:rPr>
          <w:rFonts w:ascii="Verdana" w:eastAsia="Times" w:hAnsi="Verdana" w:cs="Times New Roman"/>
          <w:sz w:val="20"/>
          <w:szCs w:val="20"/>
          <w:lang w:val="pt-BR"/>
        </w:rPr>
        <w:t>Pablo Saavedra Alessandri</w:t>
      </w:r>
    </w:p>
    <w:p w14:paraId="2221CE74" w14:textId="77777777" w:rsidR="002A2C6F" w:rsidRDefault="002A2C6F" w:rsidP="002A2C6F">
      <w:pPr>
        <w:spacing w:after="0" w:line="240" w:lineRule="auto"/>
        <w:jc w:val="center"/>
        <w:rPr>
          <w:rFonts w:ascii="Verdana" w:eastAsia="Times" w:hAnsi="Verdana" w:cs="Times New Roman"/>
          <w:sz w:val="20"/>
          <w:szCs w:val="20"/>
          <w:lang w:val="pt-BR"/>
        </w:rPr>
      </w:pPr>
      <w:r>
        <w:rPr>
          <w:rFonts w:ascii="Verdana" w:eastAsia="Times" w:hAnsi="Verdana" w:cs="Times New Roman"/>
          <w:sz w:val="20"/>
          <w:szCs w:val="20"/>
          <w:lang w:val="pt-BR"/>
        </w:rPr>
        <w:t>Secretario</w:t>
      </w:r>
    </w:p>
    <w:p w14:paraId="05F9FAC1" w14:textId="77777777" w:rsidR="002A2C6F" w:rsidRDefault="002A2C6F" w:rsidP="002A2C6F">
      <w:pPr>
        <w:spacing w:after="0" w:line="240" w:lineRule="auto"/>
        <w:jc w:val="both"/>
        <w:rPr>
          <w:rFonts w:ascii="Verdana" w:eastAsia="Times" w:hAnsi="Verdana" w:cs="Times New Roman"/>
          <w:sz w:val="20"/>
          <w:szCs w:val="20"/>
          <w:lang w:val="pt-BR"/>
        </w:rPr>
      </w:pPr>
    </w:p>
    <w:p w14:paraId="621583F2" w14:textId="77777777" w:rsidR="002A2C6F" w:rsidRDefault="002A2C6F" w:rsidP="002A2C6F">
      <w:pPr>
        <w:spacing w:after="0" w:line="240" w:lineRule="auto"/>
        <w:jc w:val="both"/>
        <w:rPr>
          <w:rFonts w:ascii="Verdana" w:eastAsia="Times" w:hAnsi="Verdana" w:cs="Times New Roman"/>
          <w:sz w:val="20"/>
          <w:szCs w:val="20"/>
          <w:lang w:val="pt-BR"/>
        </w:rPr>
      </w:pPr>
      <w:proofErr w:type="spellStart"/>
      <w:r>
        <w:rPr>
          <w:rFonts w:ascii="Verdana" w:eastAsia="Times" w:hAnsi="Verdana" w:cs="Times New Roman"/>
          <w:sz w:val="20"/>
          <w:szCs w:val="20"/>
          <w:lang w:val="pt-BR"/>
        </w:rPr>
        <w:t>Comuníquese</w:t>
      </w:r>
      <w:proofErr w:type="spellEnd"/>
      <w:r>
        <w:rPr>
          <w:rFonts w:ascii="Verdana" w:eastAsia="Times" w:hAnsi="Verdana" w:cs="Times New Roman"/>
          <w:sz w:val="20"/>
          <w:szCs w:val="20"/>
          <w:lang w:val="pt-BR"/>
        </w:rPr>
        <w:t xml:space="preserve"> y </w:t>
      </w:r>
      <w:proofErr w:type="spellStart"/>
      <w:r>
        <w:rPr>
          <w:rFonts w:ascii="Verdana" w:eastAsia="Times" w:hAnsi="Verdana" w:cs="Times New Roman"/>
          <w:sz w:val="20"/>
          <w:szCs w:val="20"/>
          <w:lang w:val="pt-BR"/>
        </w:rPr>
        <w:t>ejecútese</w:t>
      </w:r>
      <w:proofErr w:type="spellEnd"/>
      <w:r>
        <w:rPr>
          <w:rFonts w:ascii="Verdana" w:eastAsia="Times" w:hAnsi="Verdana" w:cs="Times New Roman"/>
          <w:sz w:val="20"/>
          <w:szCs w:val="20"/>
          <w:lang w:val="pt-BR"/>
        </w:rPr>
        <w:t>,</w:t>
      </w:r>
    </w:p>
    <w:p w14:paraId="6E73BFD7" w14:textId="6648F133" w:rsidR="002A2C6F" w:rsidRDefault="002A2C6F" w:rsidP="002A2C6F">
      <w:pPr>
        <w:spacing w:after="0" w:line="240" w:lineRule="auto"/>
        <w:jc w:val="both"/>
        <w:rPr>
          <w:rFonts w:ascii="Verdana" w:eastAsia="Times" w:hAnsi="Verdana" w:cs="Times New Roman"/>
          <w:sz w:val="20"/>
          <w:szCs w:val="20"/>
          <w:lang w:val="pt-BR"/>
        </w:rPr>
      </w:pPr>
    </w:p>
    <w:p w14:paraId="69938EA5" w14:textId="77777777" w:rsidR="002A2C6F" w:rsidRDefault="002A2C6F" w:rsidP="002A2C6F">
      <w:pPr>
        <w:spacing w:after="0" w:line="240" w:lineRule="auto"/>
        <w:jc w:val="both"/>
        <w:rPr>
          <w:rFonts w:ascii="Verdana" w:eastAsia="Times" w:hAnsi="Verdana" w:cs="Times New Roman"/>
          <w:sz w:val="20"/>
          <w:szCs w:val="20"/>
          <w:lang w:val="pt-BR"/>
        </w:rPr>
      </w:pPr>
    </w:p>
    <w:p w14:paraId="5CD42D3A" w14:textId="77777777" w:rsidR="002A2C6F" w:rsidRDefault="002A2C6F" w:rsidP="002A2C6F">
      <w:pPr>
        <w:spacing w:after="0" w:line="240" w:lineRule="auto"/>
        <w:jc w:val="both"/>
        <w:rPr>
          <w:rFonts w:ascii="Verdana" w:eastAsia="Times" w:hAnsi="Verdana" w:cs="Times New Roman"/>
          <w:sz w:val="20"/>
          <w:szCs w:val="20"/>
          <w:lang w:val="pt-BR"/>
        </w:rPr>
      </w:pPr>
    </w:p>
    <w:p w14:paraId="52D7E961" w14:textId="77777777" w:rsidR="002A2C6F" w:rsidRDefault="002A2C6F" w:rsidP="002A2C6F">
      <w:pPr>
        <w:spacing w:after="0" w:line="240" w:lineRule="auto"/>
        <w:jc w:val="both"/>
        <w:rPr>
          <w:rFonts w:ascii="Verdana" w:eastAsia="Times" w:hAnsi="Verdana" w:cs="Times New Roman"/>
          <w:sz w:val="20"/>
          <w:szCs w:val="20"/>
          <w:lang w:val="pt-BR"/>
        </w:rPr>
      </w:pPr>
    </w:p>
    <w:p w14:paraId="402109E0" w14:textId="175A22D2" w:rsidR="002A2C6F" w:rsidRDefault="002A2C6F" w:rsidP="002A2C6F">
      <w:pPr>
        <w:spacing w:after="0" w:line="240" w:lineRule="auto"/>
        <w:jc w:val="both"/>
        <w:rPr>
          <w:rFonts w:ascii="Verdana" w:eastAsia="Times" w:hAnsi="Verdana" w:cs="Times New Roman"/>
          <w:sz w:val="20"/>
          <w:szCs w:val="20"/>
          <w:lang w:val="pt-BR"/>
        </w:rPr>
      </w:pPr>
    </w:p>
    <w:p w14:paraId="4E84B5D5" w14:textId="77777777" w:rsidR="002A2C6F" w:rsidRDefault="002A2C6F" w:rsidP="002A2C6F">
      <w:pPr>
        <w:spacing w:after="0" w:line="240" w:lineRule="auto"/>
        <w:ind w:left="4248" w:firstLine="708"/>
        <w:jc w:val="center"/>
        <w:rPr>
          <w:rFonts w:ascii="Verdana" w:eastAsia="Times" w:hAnsi="Verdana" w:cs="Times New Roman"/>
          <w:sz w:val="20"/>
          <w:szCs w:val="20"/>
          <w:lang w:val="es-CO"/>
        </w:rPr>
      </w:pPr>
      <w:r>
        <w:rPr>
          <w:rFonts w:ascii="Verdana" w:eastAsia="Times" w:hAnsi="Verdana" w:cs="Times New Roman"/>
          <w:sz w:val="20"/>
          <w:szCs w:val="20"/>
          <w:lang w:val="pt-BR"/>
        </w:rPr>
        <w:t>Elizabeth Odio Benito</w:t>
      </w:r>
    </w:p>
    <w:p w14:paraId="544095F4" w14:textId="77777777" w:rsidR="002A2C6F" w:rsidRDefault="002A2C6F" w:rsidP="002A2C6F">
      <w:pPr>
        <w:spacing w:after="0" w:line="240" w:lineRule="auto"/>
        <w:ind w:left="4248" w:firstLine="708"/>
        <w:jc w:val="center"/>
        <w:rPr>
          <w:rFonts w:ascii="Verdana" w:eastAsia="Times" w:hAnsi="Verdana" w:cs="Times New Roman"/>
          <w:sz w:val="20"/>
          <w:szCs w:val="20"/>
          <w:lang w:val="pt-BR"/>
        </w:rPr>
      </w:pPr>
      <w:r>
        <w:rPr>
          <w:rFonts w:ascii="Verdana" w:eastAsia="Times" w:hAnsi="Verdana" w:cs="Times New Roman"/>
          <w:sz w:val="20"/>
          <w:szCs w:val="20"/>
          <w:lang w:val="pt-BR"/>
        </w:rPr>
        <w:t>Presidenta</w:t>
      </w:r>
    </w:p>
    <w:p w14:paraId="4CC588DB" w14:textId="77777777" w:rsidR="002A2C6F" w:rsidRDefault="002A2C6F" w:rsidP="002A2C6F">
      <w:pPr>
        <w:spacing w:after="0" w:line="240" w:lineRule="auto"/>
        <w:jc w:val="both"/>
        <w:rPr>
          <w:rFonts w:ascii="Verdana" w:eastAsia="Times" w:hAnsi="Verdana" w:cs="Times New Roman"/>
          <w:sz w:val="20"/>
          <w:szCs w:val="20"/>
          <w:lang w:val="pt-BR"/>
        </w:rPr>
      </w:pPr>
    </w:p>
    <w:p w14:paraId="512023E2" w14:textId="77777777" w:rsidR="002A2C6F" w:rsidRDefault="002A2C6F" w:rsidP="002A2C6F">
      <w:pPr>
        <w:spacing w:after="0" w:line="240" w:lineRule="auto"/>
        <w:jc w:val="both"/>
        <w:rPr>
          <w:rFonts w:ascii="Verdana" w:eastAsia="Times" w:hAnsi="Verdana" w:cs="Times New Roman"/>
          <w:sz w:val="20"/>
          <w:szCs w:val="20"/>
          <w:lang w:val="pt-BR"/>
        </w:rPr>
      </w:pPr>
    </w:p>
    <w:p w14:paraId="590D6546" w14:textId="77777777" w:rsidR="002A2C6F" w:rsidRDefault="002A2C6F" w:rsidP="002A2C6F">
      <w:pPr>
        <w:spacing w:after="0" w:line="240" w:lineRule="auto"/>
        <w:jc w:val="both"/>
        <w:rPr>
          <w:rFonts w:ascii="Verdana" w:eastAsia="Times" w:hAnsi="Verdana" w:cs="Times New Roman"/>
          <w:sz w:val="20"/>
          <w:szCs w:val="20"/>
          <w:lang w:val="pt-BR"/>
        </w:rPr>
      </w:pPr>
    </w:p>
    <w:p w14:paraId="71F315E7" w14:textId="77777777" w:rsidR="002A2C6F" w:rsidRDefault="002A2C6F" w:rsidP="002A2C6F">
      <w:pPr>
        <w:spacing w:after="0" w:line="240" w:lineRule="auto"/>
        <w:jc w:val="both"/>
        <w:rPr>
          <w:rFonts w:ascii="Verdana" w:eastAsia="Times" w:hAnsi="Verdana" w:cs="Times New Roman"/>
          <w:sz w:val="20"/>
          <w:szCs w:val="20"/>
          <w:lang w:val="pt-BR"/>
        </w:rPr>
      </w:pPr>
    </w:p>
    <w:p w14:paraId="159C3934" w14:textId="77777777" w:rsidR="002A2C6F" w:rsidRDefault="002A2C6F" w:rsidP="002A2C6F">
      <w:pPr>
        <w:spacing w:after="0" w:line="240" w:lineRule="auto"/>
        <w:jc w:val="both"/>
        <w:rPr>
          <w:rFonts w:ascii="Verdana" w:eastAsia="Times" w:hAnsi="Verdana" w:cs="Times New Roman"/>
          <w:sz w:val="20"/>
          <w:szCs w:val="20"/>
          <w:lang w:val="es-ES"/>
        </w:rPr>
      </w:pPr>
      <w:r>
        <w:rPr>
          <w:rFonts w:ascii="Verdana" w:eastAsia="Times" w:hAnsi="Verdana" w:cs="Times New Roman"/>
          <w:sz w:val="20"/>
          <w:szCs w:val="20"/>
          <w:lang w:val="es-ES"/>
        </w:rPr>
        <w:t>Pablo Saavedra Alessandri</w:t>
      </w:r>
    </w:p>
    <w:p w14:paraId="254B4427" w14:textId="77777777" w:rsidR="002A2C6F" w:rsidRDefault="002A2C6F" w:rsidP="002A2C6F">
      <w:pPr>
        <w:spacing w:after="0" w:line="240" w:lineRule="auto"/>
        <w:rPr>
          <w:lang w:val="es-419"/>
        </w:rPr>
      </w:pPr>
      <w:r>
        <w:rPr>
          <w:rFonts w:ascii="Verdana" w:eastAsia="Times" w:hAnsi="Verdana" w:cs="Times New Roman"/>
          <w:sz w:val="20"/>
          <w:szCs w:val="20"/>
          <w:lang w:val="es-ES"/>
        </w:rPr>
        <w:tab/>
      </w:r>
      <w:r>
        <w:rPr>
          <w:rFonts w:ascii="Verdana" w:eastAsia="Times" w:hAnsi="Verdana" w:cs="Times New Roman"/>
          <w:sz w:val="20"/>
          <w:szCs w:val="20"/>
        </w:rPr>
        <w:t>Secretario</w:t>
      </w:r>
    </w:p>
    <w:p w14:paraId="1F5B8329" w14:textId="77777777" w:rsidR="002A2C6F" w:rsidRPr="002A2C6F" w:rsidRDefault="002A2C6F" w:rsidP="002A2C6F">
      <w:pPr>
        <w:spacing w:before="120" w:after="120" w:line="240" w:lineRule="auto"/>
        <w:jc w:val="both"/>
        <w:rPr>
          <w:rFonts w:ascii="Verdana" w:hAnsi="Verdana"/>
          <w:sz w:val="20"/>
          <w:szCs w:val="20"/>
        </w:rPr>
      </w:pPr>
    </w:p>
    <w:sectPr w:rsidR="002A2C6F" w:rsidRPr="002A2C6F" w:rsidSect="00DF54ED">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D1EF1" w14:textId="77777777" w:rsidR="008162D5" w:rsidRDefault="008162D5" w:rsidP="0045252B">
      <w:pPr>
        <w:spacing w:after="0" w:line="240" w:lineRule="auto"/>
      </w:pPr>
      <w:r>
        <w:separator/>
      </w:r>
    </w:p>
  </w:endnote>
  <w:endnote w:type="continuationSeparator" w:id="0">
    <w:p w14:paraId="5F01B153" w14:textId="77777777" w:rsidR="008162D5" w:rsidRDefault="008162D5" w:rsidP="0045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90CB" w14:textId="249C327B" w:rsidR="00E93C6B" w:rsidRPr="0063192E" w:rsidRDefault="00E93C6B">
    <w:pPr>
      <w:pStyle w:val="Piedepgina"/>
      <w:jc w:val="center"/>
      <w:rPr>
        <w:caps/>
      </w:rPr>
    </w:pPr>
    <w:r w:rsidRPr="0063192E">
      <w:rPr>
        <w:caps/>
      </w:rPr>
      <w:t>-</w:t>
    </w:r>
    <w:r w:rsidRPr="0063192E">
      <w:rPr>
        <w:caps/>
      </w:rPr>
      <w:fldChar w:fldCharType="begin"/>
    </w:r>
    <w:r w:rsidRPr="0063192E">
      <w:rPr>
        <w:caps/>
      </w:rPr>
      <w:instrText>PAGE   \* MERGEFORMAT</w:instrText>
    </w:r>
    <w:r w:rsidRPr="0063192E">
      <w:rPr>
        <w:caps/>
      </w:rPr>
      <w:fldChar w:fldCharType="separate"/>
    </w:r>
    <w:r w:rsidR="001D75C8" w:rsidRPr="001D75C8">
      <w:rPr>
        <w:caps/>
        <w:noProof/>
        <w:lang w:val="es-ES"/>
      </w:rPr>
      <w:t>23</w:t>
    </w:r>
    <w:r w:rsidRPr="0063192E">
      <w:rPr>
        <w:caps/>
      </w:rPr>
      <w:fldChar w:fldCharType="end"/>
    </w:r>
    <w:r w:rsidRPr="0063192E">
      <w:rPr>
        <w:caps/>
      </w:rPr>
      <w:t>-</w:t>
    </w:r>
  </w:p>
  <w:p w14:paraId="2F7DAEFD" w14:textId="77777777" w:rsidR="00E93C6B" w:rsidRDefault="00E93C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6C0AF" w14:textId="77777777" w:rsidR="008162D5" w:rsidRDefault="008162D5" w:rsidP="0045252B">
      <w:pPr>
        <w:spacing w:after="0" w:line="240" w:lineRule="auto"/>
      </w:pPr>
      <w:r>
        <w:separator/>
      </w:r>
    </w:p>
  </w:footnote>
  <w:footnote w:type="continuationSeparator" w:id="0">
    <w:p w14:paraId="10132554" w14:textId="77777777" w:rsidR="008162D5" w:rsidRDefault="008162D5" w:rsidP="0045252B">
      <w:pPr>
        <w:spacing w:after="0" w:line="240" w:lineRule="auto"/>
      </w:pPr>
      <w:r>
        <w:continuationSeparator/>
      </w:r>
    </w:p>
  </w:footnote>
  <w:footnote w:id="1">
    <w:p w14:paraId="55D74E14" w14:textId="490DCCA8" w:rsidR="00E93C6B" w:rsidRPr="00D36B1C" w:rsidRDefault="00E93C6B" w:rsidP="002540FA">
      <w:pPr>
        <w:spacing w:after="0" w:line="240" w:lineRule="auto"/>
        <w:contextualSpacing/>
        <w:jc w:val="both"/>
        <w:rPr>
          <w:rFonts w:ascii="Verdana" w:hAnsi="Verdana"/>
          <w:sz w:val="16"/>
          <w:szCs w:val="16"/>
        </w:rPr>
      </w:pPr>
      <w:r w:rsidRPr="00D36B1C">
        <w:rPr>
          <w:rFonts w:ascii="Verdana" w:hAnsi="Verdana"/>
          <w:sz w:val="16"/>
          <w:szCs w:val="16"/>
        </w:rPr>
        <w:t xml:space="preserve">* </w:t>
      </w:r>
      <w:r w:rsidRPr="00D36B1C">
        <w:rPr>
          <w:rFonts w:ascii="Verdana" w:hAnsi="Verdana"/>
          <w:sz w:val="16"/>
          <w:szCs w:val="16"/>
        </w:rPr>
        <w:tab/>
        <w:t>Debido a las circunstancias excepcionales ocasionadas por la pandemia COVID-19, esta Resolución fue deliberada y aprobada durante el 141 Período Ordinario de Sesiones, el cual se llevó a cabo de forma no presencial utilizando medios tecnológicos de conformidad con lo establecido en el Reglamento de la Corte. Los Jueces Eduardo Vio Grossi y Eduardo Ferrer Mac-</w:t>
      </w:r>
      <w:proofErr w:type="spellStart"/>
      <w:r w:rsidRPr="00D36B1C">
        <w:rPr>
          <w:rFonts w:ascii="Verdana" w:hAnsi="Verdana"/>
          <w:sz w:val="16"/>
          <w:szCs w:val="16"/>
        </w:rPr>
        <w:t>Gregor</w:t>
      </w:r>
      <w:proofErr w:type="spellEnd"/>
      <w:r w:rsidRPr="00D36B1C">
        <w:rPr>
          <w:rFonts w:ascii="Verdana" w:hAnsi="Verdana"/>
          <w:sz w:val="16"/>
          <w:szCs w:val="16"/>
        </w:rPr>
        <w:t xml:space="preserve"> </w:t>
      </w:r>
      <w:proofErr w:type="spellStart"/>
      <w:r w:rsidRPr="00D36B1C">
        <w:rPr>
          <w:rFonts w:ascii="Verdana" w:hAnsi="Verdana"/>
          <w:sz w:val="16"/>
          <w:szCs w:val="16"/>
        </w:rPr>
        <w:t>Poisot</w:t>
      </w:r>
      <w:proofErr w:type="spellEnd"/>
      <w:r w:rsidRPr="00D36B1C">
        <w:rPr>
          <w:rFonts w:ascii="Verdana" w:hAnsi="Verdana"/>
          <w:sz w:val="16"/>
          <w:szCs w:val="16"/>
        </w:rPr>
        <w:t xml:space="preserve"> no participaron en la deliberación y firma de la presente Resolución por razones de fuerza mayor.</w:t>
      </w:r>
    </w:p>
    <w:p w14:paraId="112E8C45" w14:textId="6DB1B771" w:rsidR="00E93C6B" w:rsidRPr="00D36B1C" w:rsidRDefault="00E93C6B" w:rsidP="002540FA">
      <w:pPr>
        <w:spacing w:after="0" w:line="240" w:lineRule="auto"/>
        <w:contextualSpacing/>
        <w:jc w:val="both"/>
        <w:rPr>
          <w:rFonts w:ascii="Verdana" w:hAnsi="Verdana"/>
          <w:sz w:val="16"/>
          <w:szCs w:val="16"/>
          <w:lang w:val="es-MX"/>
        </w:rPr>
      </w:pPr>
      <w:r w:rsidRPr="00D36B1C">
        <w:rPr>
          <w:rFonts w:ascii="Verdana" w:hAnsi="Verdana"/>
          <w:sz w:val="16"/>
          <w:szCs w:val="16"/>
          <w:vertAlign w:val="superscript"/>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w:t>
      </w:r>
      <w:r w:rsidRPr="00D36B1C">
        <w:rPr>
          <w:rFonts w:ascii="Verdana" w:hAnsi="Verdana"/>
          <w:i/>
          <w:sz w:val="16"/>
          <w:szCs w:val="16"/>
          <w:lang w:val="es-MX"/>
        </w:rPr>
        <w:t>Caso Masacre Plan de Sánchez Vs. Guatemala. Fondo</w:t>
      </w:r>
      <w:r w:rsidRPr="00D36B1C">
        <w:rPr>
          <w:rFonts w:ascii="Verdana" w:hAnsi="Verdana"/>
          <w:sz w:val="16"/>
          <w:szCs w:val="16"/>
          <w:lang w:val="es-MX"/>
        </w:rPr>
        <w:t xml:space="preserve">. Sentencia de 29 de abril de 2004. Serie C No. 105. Disponible en: </w:t>
      </w:r>
      <w:hyperlink r:id="rId1" w:history="1">
        <w:r w:rsidRPr="00D36B1C">
          <w:rPr>
            <w:rStyle w:val="Hipervnculo"/>
            <w:rFonts w:ascii="Verdana" w:hAnsi="Verdana"/>
            <w:sz w:val="16"/>
            <w:szCs w:val="16"/>
            <w:lang w:val="es-MX"/>
          </w:rPr>
          <w:t>http://www.corteidh.or.cr/docs/casos/articulos/seriec_105_esp.pdf</w:t>
        </w:r>
      </w:hyperlink>
      <w:r w:rsidRPr="00D36B1C">
        <w:rPr>
          <w:rFonts w:ascii="Verdana" w:hAnsi="Verdana"/>
          <w:sz w:val="16"/>
          <w:szCs w:val="16"/>
          <w:lang w:val="es-MX"/>
        </w:rPr>
        <w:t>. La Sentencia fue notificada al Estado el 4 de junio de 2004.</w:t>
      </w:r>
    </w:p>
  </w:footnote>
  <w:footnote w:id="2">
    <w:p w14:paraId="41C7FA40" w14:textId="77777777" w:rsidR="00E93C6B" w:rsidRPr="00D36B1C" w:rsidRDefault="00E93C6B" w:rsidP="002540FA">
      <w:pPr>
        <w:spacing w:after="0" w:line="240" w:lineRule="auto"/>
        <w:contextualSpacing/>
        <w:jc w:val="both"/>
        <w:rPr>
          <w:rFonts w:ascii="Verdana" w:hAnsi="Verdana"/>
          <w:sz w:val="16"/>
          <w:szCs w:val="16"/>
          <w:lang w:val="es-MX"/>
        </w:rPr>
      </w:pPr>
      <w:r w:rsidRPr="00D36B1C">
        <w:rPr>
          <w:rFonts w:ascii="Verdana" w:hAnsi="Verdana"/>
          <w:sz w:val="16"/>
          <w:szCs w:val="16"/>
          <w:vertAlign w:val="superscript"/>
          <w:lang w:val="es-MX"/>
        </w:rPr>
        <w:footnoteRef/>
      </w:r>
      <w:r w:rsidRPr="00D36B1C">
        <w:rPr>
          <w:rFonts w:ascii="Verdana" w:hAnsi="Verdana"/>
          <w:sz w:val="16"/>
          <w:szCs w:val="16"/>
          <w:lang w:val="es-MX"/>
        </w:rPr>
        <w:t xml:space="preserve"> </w:t>
      </w:r>
      <w:r w:rsidRPr="00D36B1C">
        <w:rPr>
          <w:rFonts w:ascii="Verdana" w:hAnsi="Verdana"/>
          <w:b/>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w:t>
      </w:r>
      <w:r w:rsidRPr="00D36B1C">
        <w:rPr>
          <w:rFonts w:ascii="Verdana" w:eastAsia="Verdana" w:hAnsi="Verdana" w:cs="Verdana"/>
          <w:i/>
          <w:sz w:val="16"/>
          <w:szCs w:val="16"/>
          <w:lang w:val="es-MX"/>
        </w:rPr>
        <w:t>Caso Masacre Plan de Sánchez Vs. Guatemala. Reparaciones</w:t>
      </w:r>
      <w:r w:rsidRPr="00D36B1C">
        <w:rPr>
          <w:rFonts w:ascii="Verdana" w:eastAsia="Verdana" w:hAnsi="Verdana" w:cs="Verdana"/>
          <w:sz w:val="16"/>
          <w:szCs w:val="16"/>
          <w:lang w:val="es-MX"/>
        </w:rPr>
        <w:t xml:space="preserve">. Sentencia de 19 de noviembre 2004. Serie C No. 116. Disponible en: </w:t>
      </w:r>
      <w:hyperlink r:id="rId2" w:history="1">
        <w:r w:rsidRPr="00D36B1C">
          <w:rPr>
            <w:rStyle w:val="Hipervnculo"/>
            <w:rFonts w:ascii="Verdana" w:eastAsia="Verdana" w:hAnsi="Verdana" w:cs="Verdana"/>
            <w:sz w:val="16"/>
            <w:szCs w:val="16"/>
            <w:lang w:val="es-MX"/>
          </w:rPr>
          <w:t>http://www.corteidh.or.cr/docs/casos/articulos/seriec_116_esp.pdf</w:t>
        </w:r>
      </w:hyperlink>
      <w:r w:rsidRPr="00D36B1C">
        <w:rPr>
          <w:rFonts w:ascii="Verdana" w:eastAsia="Verdana" w:hAnsi="Verdana" w:cs="Verdana"/>
          <w:sz w:val="16"/>
          <w:szCs w:val="16"/>
          <w:lang w:val="es-MX"/>
        </w:rPr>
        <w:t>. La Sentencia fue notificada al Estado el 7 de diciembre de 2004.</w:t>
      </w:r>
    </w:p>
  </w:footnote>
  <w:footnote w:id="3">
    <w:p w14:paraId="2FD83228" w14:textId="77777777" w:rsidR="00E93C6B" w:rsidRPr="00D36B1C" w:rsidRDefault="00E93C6B" w:rsidP="002540FA">
      <w:pPr>
        <w:spacing w:after="0" w:line="240" w:lineRule="auto"/>
        <w:contextualSpacing/>
        <w:jc w:val="both"/>
        <w:rPr>
          <w:rFonts w:ascii="Verdana" w:eastAsia="Verdana" w:hAnsi="Verdana" w:cs="Verdana"/>
          <w:sz w:val="16"/>
          <w:szCs w:val="16"/>
          <w:lang w:val="es-MX"/>
        </w:rPr>
      </w:pPr>
      <w:r w:rsidRPr="00D36B1C">
        <w:rPr>
          <w:rFonts w:ascii="Verdana" w:hAnsi="Verdana"/>
          <w:sz w:val="16"/>
          <w:szCs w:val="16"/>
          <w:vertAlign w:val="superscript"/>
          <w:lang w:val="es-MX"/>
        </w:rPr>
        <w:footnoteRef/>
      </w:r>
      <w:r w:rsidRPr="00D36B1C">
        <w:rPr>
          <w:rFonts w:ascii="Verdana" w:eastAsia="Verdana" w:hAnsi="Verdana" w:cs="Verdana"/>
          <w:sz w:val="16"/>
          <w:szCs w:val="16"/>
          <w:lang w:val="es-MX"/>
        </w:rPr>
        <w:t xml:space="preserve"> </w:t>
      </w:r>
      <w:r w:rsidRPr="00D36B1C">
        <w:rPr>
          <w:rFonts w:ascii="Verdana" w:eastAsia="Verdana" w:hAnsi="Verdana" w:cs="Verdana"/>
          <w:sz w:val="16"/>
          <w:szCs w:val="16"/>
          <w:lang w:val="es-MX"/>
        </w:rPr>
        <w:tab/>
        <w:t>Debido a que los habitantes de Plan de Sánchez se negaban a participar en las Patrullas de Autodefensa Civil, eran acusados por los militares de pertenecer a la guerrilla. El 15 de julio de 1982 una unidad del ejército instaló en dicha aldea un campamento temporal, con el objeto de inspeccionar las casas, preguntar por el paradero de los hombres de la comunidad y amenazar a sus habitantes.</w:t>
      </w:r>
    </w:p>
  </w:footnote>
  <w:footnote w:id="4">
    <w:p w14:paraId="1408F842" w14:textId="77777777"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w:t>
      </w:r>
      <w:r w:rsidRPr="00D36B1C">
        <w:rPr>
          <w:rFonts w:ascii="Verdana" w:hAnsi="Verdana"/>
          <w:i/>
          <w:sz w:val="16"/>
          <w:szCs w:val="16"/>
          <w:lang w:val="es-MX"/>
        </w:rPr>
        <w:t>Caso Masacre de Plan de Sánchez Vs. Guatemala</w:t>
      </w:r>
      <w:r w:rsidRPr="00D36B1C">
        <w:rPr>
          <w:rFonts w:ascii="Verdana" w:hAnsi="Verdana"/>
          <w:sz w:val="16"/>
          <w:szCs w:val="16"/>
          <w:lang w:val="es-MX"/>
        </w:rPr>
        <w:t xml:space="preserve">. </w:t>
      </w:r>
      <w:r w:rsidRPr="00D36B1C">
        <w:rPr>
          <w:rFonts w:ascii="Verdana" w:hAnsi="Verdana"/>
          <w:i/>
          <w:sz w:val="16"/>
          <w:szCs w:val="16"/>
          <w:lang w:val="es-MX"/>
        </w:rPr>
        <w:t>Supervisión de Cumplimiento de Sentencia</w:t>
      </w:r>
      <w:r w:rsidRPr="00D36B1C">
        <w:rPr>
          <w:rFonts w:ascii="Verdana" w:hAnsi="Verdana"/>
          <w:sz w:val="16"/>
          <w:szCs w:val="16"/>
          <w:lang w:val="es-MX"/>
        </w:rPr>
        <w:t xml:space="preserve">. Resolución de la Corte Interamericana de Derechos Humanos de 28 de noviembre de 2007. Disponible en: </w:t>
      </w:r>
      <w:hyperlink r:id="rId3" w:history="1">
        <w:r w:rsidRPr="00D36B1C">
          <w:rPr>
            <w:rStyle w:val="Hipervnculo"/>
            <w:rFonts w:ascii="Verdana" w:hAnsi="Verdana"/>
            <w:sz w:val="16"/>
            <w:szCs w:val="16"/>
            <w:lang w:val="es-MX"/>
          </w:rPr>
          <w:t>http://www.corteidh.or.cr/docs/supervisiones/sanchez_28_11_07.pdf</w:t>
        </w:r>
      </w:hyperlink>
      <w:r w:rsidRPr="00D36B1C">
        <w:rPr>
          <w:rFonts w:ascii="Verdana" w:hAnsi="Verdana"/>
          <w:sz w:val="16"/>
          <w:szCs w:val="16"/>
          <w:lang w:val="es-MX"/>
        </w:rPr>
        <w:t xml:space="preserve">; </w:t>
      </w:r>
      <w:r w:rsidRPr="00D36B1C">
        <w:rPr>
          <w:rFonts w:ascii="Verdana" w:hAnsi="Verdana"/>
          <w:i/>
          <w:sz w:val="16"/>
          <w:szCs w:val="16"/>
          <w:lang w:val="es-MX"/>
        </w:rPr>
        <w:t>Caso Masacre de Plan de Sánchez Vs. Guatemala</w:t>
      </w:r>
      <w:r w:rsidRPr="00D36B1C">
        <w:rPr>
          <w:rFonts w:ascii="Verdana" w:hAnsi="Verdana"/>
          <w:sz w:val="16"/>
          <w:szCs w:val="16"/>
          <w:lang w:val="es-MX"/>
        </w:rPr>
        <w:t xml:space="preserve">. </w:t>
      </w:r>
      <w:r w:rsidRPr="00D36B1C">
        <w:rPr>
          <w:rFonts w:ascii="Verdana" w:hAnsi="Verdana"/>
          <w:i/>
          <w:sz w:val="16"/>
          <w:szCs w:val="16"/>
          <w:lang w:val="es-MX"/>
        </w:rPr>
        <w:t>Supervisión de Cumplimiento de Sentencia</w:t>
      </w:r>
      <w:r w:rsidRPr="00D36B1C">
        <w:rPr>
          <w:rFonts w:ascii="Verdana" w:hAnsi="Verdana"/>
          <w:sz w:val="16"/>
          <w:szCs w:val="16"/>
          <w:lang w:val="es-MX"/>
        </w:rPr>
        <w:t xml:space="preserve">. Resolución de la Corte Interamericana de Derechos Humanos de 5 de agosto de 2008. Disponible en: </w:t>
      </w:r>
      <w:hyperlink r:id="rId4" w:history="1">
        <w:r w:rsidRPr="00D36B1C">
          <w:rPr>
            <w:rStyle w:val="Hipervnculo"/>
            <w:rFonts w:ascii="Verdana" w:hAnsi="Verdana"/>
            <w:sz w:val="16"/>
            <w:szCs w:val="16"/>
            <w:lang w:val="es-MX"/>
          </w:rPr>
          <w:t>http://corteidh.or.cr/docs/supervisiones/sanchez_05_08_08.pdf</w:t>
        </w:r>
      </w:hyperlink>
      <w:r w:rsidRPr="00D36B1C">
        <w:rPr>
          <w:rFonts w:ascii="Verdana" w:hAnsi="Verdana"/>
          <w:sz w:val="16"/>
          <w:szCs w:val="16"/>
          <w:lang w:val="es-MX"/>
        </w:rPr>
        <w:t xml:space="preserve">; </w:t>
      </w:r>
      <w:r w:rsidRPr="00D36B1C">
        <w:rPr>
          <w:rFonts w:ascii="Verdana" w:hAnsi="Verdana"/>
          <w:i/>
          <w:sz w:val="16"/>
          <w:szCs w:val="16"/>
          <w:lang w:val="es-MX"/>
        </w:rPr>
        <w:t>Caso</w:t>
      </w:r>
      <w:r w:rsidRPr="00D36B1C">
        <w:rPr>
          <w:rFonts w:ascii="Verdana" w:hAnsi="Verdana"/>
          <w:sz w:val="16"/>
          <w:szCs w:val="16"/>
          <w:lang w:val="es-MX"/>
        </w:rPr>
        <w:t xml:space="preserve"> </w:t>
      </w:r>
      <w:r w:rsidRPr="00D36B1C">
        <w:rPr>
          <w:rFonts w:ascii="Verdana" w:hAnsi="Verdana"/>
          <w:i/>
          <w:sz w:val="16"/>
          <w:szCs w:val="16"/>
          <w:lang w:val="es-MX"/>
        </w:rPr>
        <w:t>Masacre de Plan de Sánchez Vs. Guatemala</w:t>
      </w:r>
      <w:r w:rsidRPr="00D36B1C">
        <w:rPr>
          <w:rFonts w:ascii="Verdana" w:hAnsi="Verdana"/>
          <w:sz w:val="16"/>
          <w:szCs w:val="16"/>
          <w:lang w:val="es-MX"/>
        </w:rPr>
        <w:t xml:space="preserve">. </w:t>
      </w:r>
      <w:r w:rsidRPr="00D36B1C">
        <w:rPr>
          <w:rFonts w:ascii="Verdana" w:hAnsi="Verdana"/>
          <w:i/>
          <w:sz w:val="16"/>
          <w:szCs w:val="16"/>
          <w:lang w:val="es-MX"/>
        </w:rPr>
        <w:t>Supervisión de Cumplimiento de Sentencia</w:t>
      </w:r>
      <w:r w:rsidRPr="00D36B1C">
        <w:rPr>
          <w:rFonts w:ascii="Verdana" w:hAnsi="Verdana"/>
          <w:sz w:val="16"/>
          <w:szCs w:val="16"/>
          <w:lang w:val="es-MX"/>
        </w:rPr>
        <w:t xml:space="preserve">. Resolución de la Corte Interamericana de Derechos Humanos de 1 de julio de 2009. Disponible en: </w:t>
      </w:r>
      <w:hyperlink r:id="rId5" w:history="1">
        <w:r w:rsidRPr="00D36B1C">
          <w:rPr>
            <w:rStyle w:val="Hipervnculo"/>
            <w:rFonts w:ascii="Verdana" w:hAnsi="Verdana"/>
            <w:sz w:val="16"/>
            <w:szCs w:val="16"/>
            <w:lang w:val="es-MX"/>
          </w:rPr>
          <w:t>http://www.corteidh.or.cr/docs/supervisiones/sanchez_01_07_09.pdf</w:t>
        </w:r>
      </w:hyperlink>
      <w:r w:rsidRPr="00D36B1C">
        <w:rPr>
          <w:rFonts w:ascii="Verdana" w:hAnsi="Verdana"/>
          <w:sz w:val="16"/>
          <w:szCs w:val="16"/>
          <w:lang w:val="es-MX"/>
        </w:rPr>
        <w:t xml:space="preserve">; </w:t>
      </w:r>
      <w:r w:rsidRPr="00D36B1C">
        <w:rPr>
          <w:rFonts w:ascii="Verdana" w:hAnsi="Verdana"/>
          <w:i/>
          <w:sz w:val="16"/>
          <w:szCs w:val="16"/>
          <w:lang w:val="es-MX"/>
        </w:rPr>
        <w:t>Caso Masacre de Plan de Sánchez Vs. Guatemala. Supervisión de Cumplimiento de Sentencia</w:t>
      </w:r>
      <w:r w:rsidRPr="00D36B1C">
        <w:rPr>
          <w:rFonts w:ascii="Verdana" w:hAnsi="Verdana"/>
          <w:sz w:val="16"/>
          <w:szCs w:val="16"/>
          <w:lang w:val="es-MX"/>
        </w:rPr>
        <w:t xml:space="preserve">. Resolución de la Corte Interamericana de Derechos Humanos de 21 de febrero de 2011. Disponible en: </w:t>
      </w:r>
      <w:hyperlink r:id="rId6" w:history="1">
        <w:r w:rsidRPr="00D36B1C">
          <w:rPr>
            <w:rStyle w:val="Hipervnculo"/>
            <w:rFonts w:ascii="Verdana" w:hAnsi="Verdana"/>
            <w:sz w:val="16"/>
            <w:szCs w:val="16"/>
            <w:lang w:val="es-MX"/>
          </w:rPr>
          <w:t>http://www.corteidh.or.cr/docs/supervisiones/sanchez_21_02_11.pdf</w:t>
        </w:r>
      </w:hyperlink>
      <w:r w:rsidRPr="00D36B1C">
        <w:rPr>
          <w:rFonts w:ascii="Verdana" w:hAnsi="Verdana"/>
          <w:sz w:val="16"/>
          <w:szCs w:val="16"/>
          <w:lang w:val="es-MX"/>
        </w:rPr>
        <w:t xml:space="preserve">; </w:t>
      </w:r>
      <w:r w:rsidRPr="00D36B1C">
        <w:rPr>
          <w:rFonts w:ascii="Verdana" w:hAnsi="Verdana"/>
          <w:i/>
          <w:sz w:val="16"/>
          <w:szCs w:val="16"/>
          <w:lang w:val="es-MX"/>
        </w:rPr>
        <w:t>Caso Masacre de Plan de Sánchez Vs. Guatemala. Supervisión de Cumplimiento de Sentencia</w:t>
      </w:r>
      <w:r w:rsidRPr="00D36B1C">
        <w:rPr>
          <w:rFonts w:ascii="Verdana" w:hAnsi="Verdana"/>
          <w:sz w:val="16"/>
          <w:szCs w:val="16"/>
          <w:lang w:val="es-MX"/>
        </w:rPr>
        <w:t xml:space="preserve">. Resolución de la Corte Interamericana de Derechos Humanos de 24 de noviembre de 2015. Disponible en: </w:t>
      </w:r>
      <w:hyperlink r:id="rId7" w:history="1">
        <w:r w:rsidRPr="00D36B1C">
          <w:rPr>
            <w:rStyle w:val="Hipervnculo"/>
            <w:rFonts w:ascii="Verdana" w:hAnsi="Verdana"/>
            <w:sz w:val="16"/>
            <w:szCs w:val="16"/>
            <w:lang w:val="es-MX"/>
          </w:rPr>
          <w:t>http://www.corteidh.or.cr/docs/supervisiones/12_casos_24_11_15.pdf</w:t>
        </w:r>
      </w:hyperlink>
      <w:r w:rsidRPr="00D36B1C">
        <w:rPr>
          <w:rFonts w:ascii="Verdana" w:hAnsi="Verdana"/>
          <w:sz w:val="16"/>
          <w:szCs w:val="16"/>
          <w:lang w:val="es-MX"/>
        </w:rPr>
        <w:t xml:space="preserve">; y </w:t>
      </w:r>
      <w:r w:rsidRPr="00D36B1C">
        <w:rPr>
          <w:rFonts w:ascii="Verdana" w:hAnsi="Verdana"/>
          <w:i/>
          <w:sz w:val="16"/>
          <w:szCs w:val="16"/>
          <w:lang w:val="es-MX"/>
        </w:rPr>
        <w:t>Caso Masacre de Plan de Sánchez Vs. Guatemala. Supervisión de Cumplimiento de Sentencia</w:t>
      </w:r>
      <w:r w:rsidRPr="00D36B1C">
        <w:rPr>
          <w:rFonts w:ascii="Verdana" w:hAnsi="Verdana"/>
          <w:sz w:val="16"/>
          <w:szCs w:val="16"/>
          <w:lang w:val="es-MX"/>
        </w:rPr>
        <w:t xml:space="preserve">. Resolución de la Corte Interamericana de Derechos Humanos de 25 de mayo de 2017. Disponible en: </w:t>
      </w:r>
      <w:hyperlink r:id="rId8" w:history="1">
        <w:r w:rsidRPr="00D36B1C">
          <w:rPr>
            <w:rStyle w:val="Hipervnculo"/>
            <w:rFonts w:ascii="Verdana" w:hAnsi="Verdana"/>
            <w:sz w:val="16"/>
            <w:szCs w:val="16"/>
            <w:lang w:val="es-MX"/>
          </w:rPr>
          <w:t>http://www.corteidh.or.cr/docs/supervisiones/plandesanchez_25_05_17.pdf</w:t>
        </w:r>
      </w:hyperlink>
    </w:p>
  </w:footnote>
  <w:footnote w:id="5">
    <w:p w14:paraId="3728B9A5" w14:textId="77777777"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El Centro para la Acción Legal en Derechos Humanos (CALDH).</w:t>
      </w:r>
    </w:p>
  </w:footnote>
  <w:footnote w:id="6">
    <w:p w14:paraId="3066B53A" w14:textId="4DF28840"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Facultad que además se desprende de lo dispuesto en los artículos 33, 62.1, 62.3 y 65 de la Convención Americana y 30 de su Estatuto, y se encuentra regulada en el artículo 69 de su Reglamento.</w:t>
      </w:r>
    </w:p>
  </w:footnote>
  <w:footnote w:id="7">
    <w:p w14:paraId="6F433414" w14:textId="6194AF75" w:rsidR="00E93C6B" w:rsidRPr="00D36B1C" w:rsidRDefault="00E93C6B" w:rsidP="002540FA">
      <w:pPr>
        <w:pStyle w:val="Textonotapie"/>
        <w:contextualSpacing/>
        <w:jc w:val="both"/>
        <w:rPr>
          <w:rFonts w:ascii="Verdana" w:hAnsi="Verdana"/>
          <w:color w:val="auto"/>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Guatemala ha dado cumplimiento total a las siguientes medidas de reparación: i) realizar un acto público de reconocimiento de su responsabilidad por los hechos ocurridos en este caso (punto resolutivo segundo); ii) honrar públicamente la memoria de las personas ejecutadas en la Masacre Plan de Sánchez (punto resolutivo tercero); iii) traducir al idioma maya achí la Convención Americana sobre Derechos Humanos y la sentencia de fondo y la de reparaciones, y divulgarla en el Municipio de Rabinal (punto resolutivo cuarto); iv) realizar las publicaciones ordenadas en la Sentencia (punto resolutivo quinto); v) establecer un centro de salud en la aldea de Plan de Sánchez dotado de personal y formar a personal del centro de salud de Rabinal para que pueda brindar atención psicológica (puntos resolutivos séptimo y noveno de la Sentencia); vi) desarrollar programas referentes al estudio y difusión de la cultura maya achí en las comunidades afectadas a través de la Academia de Lenguas Mayas de Guatemala u otra organización similar (punto resolutivo noveno inciso a) de la Sentencia); vii) pagar la cantidad para el mantenimiento y mejoras en la infraestructura de la capilla en la cual las víctimas rinden tributo a las personas ejecutadas en la Masacre (punto resolutivo sexto); y viii) reintegro de costas y gastos (punto </w:t>
      </w:r>
      <w:r w:rsidRPr="00D36B1C">
        <w:rPr>
          <w:rFonts w:ascii="Verdana" w:hAnsi="Verdana"/>
          <w:color w:val="auto"/>
          <w:sz w:val="16"/>
          <w:szCs w:val="16"/>
          <w:lang w:val="es-MX"/>
        </w:rPr>
        <w:t xml:space="preserve">resolutivo décimo segundo). </w:t>
      </w:r>
      <w:r w:rsidRPr="00D36B1C">
        <w:rPr>
          <w:rFonts w:ascii="Verdana" w:hAnsi="Verdana"/>
          <w:i/>
          <w:color w:val="auto"/>
          <w:sz w:val="16"/>
          <w:szCs w:val="16"/>
          <w:lang w:val="es-MX"/>
        </w:rPr>
        <w:t xml:space="preserve">Cfr. Caso Masacre de Plan de Sánchez Vs. Guatemala. </w:t>
      </w:r>
      <w:r w:rsidRPr="00D36B1C">
        <w:rPr>
          <w:rFonts w:ascii="Verdana" w:hAnsi="Verdana"/>
          <w:color w:val="auto"/>
          <w:sz w:val="16"/>
          <w:szCs w:val="16"/>
          <w:lang w:val="es-MX"/>
        </w:rPr>
        <w:t>Resolución de la Corte de 25 de mayo de 2017</w:t>
      </w:r>
      <w:r w:rsidRPr="00D36B1C">
        <w:rPr>
          <w:rFonts w:ascii="Verdana" w:hAnsi="Verdana"/>
          <w:sz w:val="16"/>
          <w:szCs w:val="16"/>
          <w:lang w:val="es-MX"/>
        </w:rPr>
        <w:t xml:space="preserve">, </w:t>
      </w:r>
      <w:r w:rsidRPr="00D36B1C">
        <w:rPr>
          <w:rFonts w:ascii="Verdana" w:hAnsi="Verdana"/>
          <w:i/>
          <w:sz w:val="16"/>
          <w:szCs w:val="16"/>
          <w:lang w:val="es-MX"/>
        </w:rPr>
        <w:t xml:space="preserve">supra </w:t>
      </w:r>
      <w:r w:rsidRPr="00D36B1C">
        <w:rPr>
          <w:rFonts w:ascii="Verdana" w:hAnsi="Verdana"/>
          <w:sz w:val="16"/>
          <w:szCs w:val="16"/>
          <w:lang w:val="es-MX"/>
        </w:rPr>
        <w:t xml:space="preserve">nota 4, </w:t>
      </w:r>
      <w:r w:rsidRPr="00D36B1C">
        <w:rPr>
          <w:rFonts w:ascii="Verdana" w:hAnsi="Verdana"/>
          <w:color w:val="auto"/>
          <w:sz w:val="16"/>
          <w:szCs w:val="16"/>
          <w:lang w:val="es-MX"/>
        </w:rPr>
        <w:t>Considerando 1 y nota al pie 10.</w:t>
      </w:r>
    </w:p>
  </w:footnote>
  <w:footnote w:id="8">
    <w:p w14:paraId="0031E472" w14:textId="1D56CD98"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 Caso Cinco Pensionistas Vs. Perú. Supervisión de Cumplimiento de Sentencia.</w:t>
      </w:r>
      <w:r w:rsidRPr="00D36B1C">
        <w:rPr>
          <w:rFonts w:ascii="Verdana" w:hAnsi="Verdana"/>
          <w:sz w:val="16"/>
          <w:szCs w:val="16"/>
          <w:lang w:val="es-MX"/>
        </w:rPr>
        <w:t xml:space="preserve"> Resolución de la Corte Interamericana de Derechos Humanos de 17 de noviembre de 2004, Considerando 5, y </w:t>
      </w:r>
      <w:r w:rsidRPr="00D36B1C">
        <w:rPr>
          <w:rFonts w:ascii="Verdana" w:hAnsi="Verdana"/>
          <w:i/>
          <w:sz w:val="16"/>
          <w:szCs w:val="16"/>
          <w:lang w:val="es-MX"/>
        </w:rPr>
        <w:t xml:space="preserve">Caso </w:t>
      </w:r>
      <w:proofErr w:type="spellStart"/>
      <w:r w:rsidRPr="00D36B1C">
        <w:rPr>
          <w:rFonts w:ascii="Verdana" w:hAnsi="Verdana"/>
          <w:i/>
          <w:sz w:val="16"/>
          <w:szCs w:val="16"/>
          <w:lang w:val="es-MX"/>
        </w:rPr>
        <w:t>Gorigoitía</w:t>
      </w:r>
      <w:proofErr w:type="spellEnd"/>
      <w:r w:rsidRPr="00D36B1C">
        <w:rPr>
          <w:rFonts w:ascii="Verdana" w:hAnsi="Verdana"/>
          <w:i/>
          <w:sz w:val="16"/>
          <w:szCs w:val="16"/>
          <w:lang w:val="es-MX"/>
        </w:rPr>
        <w:t xml:space="preserve"> Vs. Argentina. Supervisión de Cumplimiento de Sentencia</w:t>
      </w:r>
      <w:r w:rsidRPr="00D36B1C">
        <w:rPr>
          <w:rFonts w:ascii="Verdana" w:hAnsi="Verdana"/>
          <w:sz w:val="16"/>
          <w:szCs w:val="16"/>
          <w:lang w:val="es-MX"/>
        </w:rPr>
        <w:t>. Resolución de la Corte Interamericana de Derechos Humanos de 22 de abril de 2021, Considerando 2.</w:t>
      </w:r>
    </w:p>
  </w:footnote>
  <w:footnote w:id="9">
    <w:p w14:paraId="1515A296" w14:textId="55D27796"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Caso </w:t>
      </w:r>
      <w:proofErr w:type="spellStart"/>
      <w:r w:rsidRPr="00D36B1C">
        <w:rPr>
          <w:rFonts w:ascii="Verdana" w:hAnsi="Verdana"/>
          <w:i/>
          <w:sz w:val="16"/>
          <w:szCs w:val="16"/>
          <w:lang w:val="es-MX"/>
        </w:rPr>
        <w:t>Ivcher</w:t>
      </w:r>
      <w:proofErr w:type="spellEnd"/>
      <w:r w:rsidRPr="00D36B1C">
        <w:rPr>
          <w:rFonts w:ascii="Verdana" w:hAnsi="Verdana"/>
          <w:i/>
          <w:sz w:val="16"/>
          <w:szCs w:val="16"/>
          <w:lang w:val="es-MX"/>
        </w:rPr>
        <w:t xml:space="preserve"> </w:t>
      </w:r>
      <w:proofErr w:type="spellStart"/>
      <w:r w:rsidRPr="00D36B1C">
        <w:rPr>
          <w:rFonts w:ascii="Verdana" w:hAnsi="Verdana"/>
          <w:i/>
          <w:sz w:val="16"/>
          <w:szCs w:val="16"/>
          <w:lang w:val="es-MX"/>
        </w:rPr>
        <w:t>Bronstein</w:t>
      </w:r>
      <w:proofErr w:type="spellEnd"/>
      <w:r w:rsidRPr="00D36B1C">
        <w:rPr>
          <w:rFonts w:ascii="Verdana" w:hAnsi="Verdana"/>
          <w:i/>
          <w:sz w:val="16"/>
          <w:szCs w:val="16"/>
          <w:lang w:val="es-MX"/>
        </w:rPr>
        <w:t xml:space="preserve"> Vs. Perú. Competencia.</w:t>
      </w:r>
      <w:r w:rsidRPr="00D36B1C">
        <w:rPr>
          <w:rFonts w:ascii="Verdana" w:hAnsi="Verdana"/>
          <w:sz w:val="16"/>
          <w:szCs w:val="16"/>
          <w:lang w:val="es-MX"/>
        </w:rPr>
        <w:t xml:space="preserve"> Sentencia de la Corte Interamericana de Derechos Humanos de 24 de septiembre de 1999. Serie C No. 54, párr. 37, y </w:t>
      </w:r>
      <w:r w:rsidRPr="00D36B1C">
        <w:rPr>
          <w:rFonts w:ascii="Verdana" w:hAnsi="Verdana"/>
          <w:i/>
          <w:sz w:val="16"/>
          <w:szCs w:val="16"/>
          <w:lang w:val="es-MX"/>
        </w:rPr>
        <w:t xml:space="preserve">Caso </w:t>
      </w:r>
      <w:proofErr w:type="spellStart"/>
      <w:r w:rsidRPr="00D36B1C">
        <w:rPr>
          <w:rFonts w:ascii="Verdana" w:hAnsi="Verdana"/>
          <w:i/>
          <w:sz w:val="16"/>
          <w:szCs w:val="16"/>
          <w:lang w:val="es-MX"/>
        </w:rPr>
        <w:t>Gorigoitía</w:t>
      </w:r>
      <w:proofErr w:type="spellEnd"/>
      <w:r w:rsidRPr="00D36B1C">
        <w:rPr>
          <w:rFonts w:ascii="Verdana" w:hAnsi="Verdana"/>
          <w:i/>
          <w:sz w:val="16"/>
          <w:szCs w:val="16"/>
          <w:lang w:val="es-MX"/>
        </w:rPr>
        <w:t xml:space="preserve"> Vs. Argentina, supra </w:t>
      </w:r>
      <w:r w:rsidRPr="00D36B1C">
        <w:rPr>
          <w:rFonts w:ascii="Verdana" w:hAnsi="Verdana"/>
          <w:sz w:val="16"/>
          <w:szCs w:val="16"/>
          <w:lang w:val="es-MX"/>
        </w:rPr>
        <w:t>nota 8, Considerando 2.</w:t>
      </w:r>
    </w:p>
  </w:footnote>
  <w:footnote w:id="10">
    <w:p w14:paraId="17A48DF3" w14:textId="6A7A02BD"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w:t>
      </w:r>
      <w:r w:rsidRPr="00D36B1C">
        <w:rPr>
          <w:rFonts w:ascii="Verdana" w:hAnsi="Verdana"/>
          <w:i/>
          <w:sz w:val="16"/>
          <w:szCs w:val="16"/>
          <w:lang w:val="es-MX"/>
        </w:rPr>
        <w:t xml:space="preserve">Caso Masacre de Plan de Sánchez Vs. Guatemala. </w:t>
      </w:r>
      <w:r w:rsidRPr="00D36B1C">
        <w:rPr>
          <w:rFonts w:ascii="Verdana" w:hAnsi="Verdana"/>
          <w:sz w:val="16"/>
          <w:szCs w:val="16"/>
          <w:lang w:val="es-MX"/>
        </w:rPr>
        <w:t xml:space="preserve">Resolución de la Corte de 24 de noviembre de 2015, </w:t>
      </w:r>
      <w:r w:rsidRPr="00D36B1C">
        <w:rPr>
          <w:rFonts w:ascii="Verdana" w:hAnsi="Verdana"/>
          <w:i/>
          <w:sz w:val="16"/>
          <w:szCs w:val="16"/>
          <w:lang w:val="es-MX"/>
        </w:rPr>
        <w:t xml:space="preserve">supra </w:t>
      </w:r>
      <w:r w:rsidRPr="00D36B1C">
        <w:rPr>
          <w:rFonts w:ascii="Verdana" w:hAnsi="Verdana"/>
          <w:sz w:val="16"/>
          <w:szCs w:val="16"/>
          <w:lang w:val="es-MX"/>
        </w:rPr>
        <w:t>nota 4, Considerandos 91 a 94.</w:t>
      </w:r>
    </w:p>
  </w:footnote>
  <w:footnote w:id="11">
    <w:p w14:paraId="751AEEB1" w14:textId="0ADF28ED" w:rsidR="00E93C6B" w:rsidRPr="00D36B1C" w:rsidRDefault="00E93C6B" w:rsidP="002540FA">
      <w:pPr>
        <w:pStyle w:val="Textonotapie"/>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De conformidad con lo informado por las partes, el Tribunal Primero de Sentencia Penal, Narcoactividad y Delitos Contra el Ambiente, de Mayor Riesgo Grupo “A”, dictó sentencia condenatoria el 20 de marzo de 2012 contra Lucas </w:t>
      </w:r>
      <w:proofErr w:type="spellStart"/>
      <w:r w:rsidRPr="00D36B1C">
        <w:rPr>
          <w:rFonts w:ascii="Verdana" w:hAnsi="Verdana"/>
          <w:sz w:val="16"/>
          <w:szCs w:val="16"/>
          <w:lang w:val="es-MX"/>
        </w:rPr>
        <w:t>Tecú</w:t>
      </w:r>
      <w:proofErr w:type="spellEnd"/>
      <w:r w:rsidRPr="00D36B1C">
        <w:rPr>
          <w:rFonts w:ascii="Verdana" w:hAnsi="Verdana"/>
          <w:sz w:val="16"/>
          <w:szCs w:val="16"/>
          <w:lang w:val="es-MX"/>
        </w:rPr>
        <w:t xml:space="preserve">, Eusebio Grave Galeano, Santos Rosales García, Mario </w:t>
      </w:r>
      <w:proofErr w:type="spellStart"/>
      <w:r w:rsidRPr="00D36B1C">
        <w:rPr>
          <w:rFonts w:ascii="Verdana" w:hAnsi="Verdana"/>
          <w:sz w:val="16"/>
          <w:szCs w:val="16"/>
          <w:lang w:val="es-MX"/>
        </w:rPr>
        <w:t>Acoj</w:t>
      </w:r>
      <w:proofErr w:type="spellEnd"/>
      <w:r w:rsidRPr="00D36B1C">
        <w:rPr>
          <w:rFonts w:ascii="Verdana" w:hAnsi="Verdana"/>
          <w:sz w:val="16"/>
          <w:szCs w:val="16"/>
          <w:lang w:val="es-MX"/>
        </w:rPr>
        <w:t xml:space="preserve"> Morales y Julián </w:t>
      </w:r>
      <w:proofErr w:type="spellStart"/>
      <w:r w:rsidRPr="00D36B1C">
        <w:rPr>
          <w:rFonts w:ascii="Verdana" w:hAnsi="Verdana"/>
          <w:sz w:val="16"/>
          <w:szCs w:val="16"/>
          <w:lang w:val="es-MX"/>
        </w:rPr>
        <w:t>Acoj</w:t>
      </w:r>
      <w:proofErr w:type="spellEnd"/>
      <w:r w:rsidRPr="00D36B1C">
        <w:rPr>
          <w:rFonts w:ascii="Verdana" w:hAnsi="Verdana"/>
          <w:sz w:val="16"/>
          <w:szCs w:val="16"/>
          <w:lang w:val="es-MX"/>
        </w:rPr>
        <w:t xml:space="preserve"> Morales (quienes eran: Comisionado Militar de Plan de Sánchez, miembro del ejército, miembro de inteligencia del Ejército y miembros de las patrullas de Autodefensa civil, respectivamente). Lo anterior, por los delitos de asesinato cometido en contra de la vida e integridad de los pobladores de Plan de Sánchez, y delitos contra los deberes de humanidad, imponiendo una condena de 30 años de prisión para cada uno de los asesinatos cometidos, que suman 256 personas en total identificadas en la sentencia interna. Por lo que se impuso a cada uno de los acusados un total de 7,680 años de prisión inconmutables. El Estado aclaró que, en contra de tal decisión, todos los acusados interpusieron recurso de apelación especial el 7 de mayo de 2012 ante la Sala Primera de la Corte de Apelaciones del Ramo Penal, Narcoactividad y Delitos contra el Ambiente, y que uno de los cinco condenados “falleció en el Centro de Detención Preventiva para Hombres Zona 18, el día 11 de junio de 2013 a causa de neumonía bilateral”. Por su parte, los representantes explicaron que, “la Corte de Constitucionalidad, en sentencia de 16 de enero de 2014 declaró con lugar un amparo interpuesto por los condenados en contra de una resolución que denegó darle trámite al recurso de casación y ordenó a la Corte Suprema de Justicia darle trámite a dicho recurso”. Al respecto, transcurridos más de nueve años desde que se emitió la condena penal interna en el año 2012, las partes no han informado a la Corte que se haya declarado procedente recurso alguno de apelación o casación interpuesto en contra de la misma, y tampoco que se haya revocado las condenas impuestas a los responsables. </w:t>
      </w:r>
      <w:r w:rsidRPr="00D36B1C">
        <w:rPr>
          <w:rFonts w:ascii="Verdana" w:hAnsi="Verdana"/>
          <w:i/>
          <w:sz w:val="16"/>
          <w:szCs w:val="16"/>
          <w:lang w:val="es-MX"/>
        </w:rPr>
        <w:t>Cfr.</w:t>
      </w:r>
      <w:r w:rsidRPr="00D36B1C">
        <w:rPr>
          <w:rFonts w:ascii="Verdana" w:hAnsi="Verdana"/>
          <w:sz w:val="16"/>
          <w:szCs w:val="16"/>
          <w:lang w:val="es-MX"/>
        </w:rPr>
        <w:t xml:space="preserve"> Informe de 18 de noviembre de 2020 emitido por la Agencia 02 de Casos Especiales del Conflicto Armado Interno de la Fiscalía de Derechos Humanos del Ministerio Público (anexo al Informe del Estado de 4 de diciembre de 2020); Sentencia condenatoria de 20 de marzo de 2012 (anexo al Informe del Estado de 29 de junio de 2012); Informe del Estado de 29 de junio de 2012, y escrito de observaciones de los representantes de 12 de junio de 2014.</w:t>
      </w:r>
    </w:p>
  </w:footnote>
  <w:footnote w:id="12">
    <w:p w14:paraId="1EE66AB0" w14:textId="3F73049F"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Informe del Estado de 4 de diciembre de 2020, y escrito de observaciones de los representantes de 13 de febrero de 2021.</w:t>
      </w:r>
    </w:p>
  </w:footnote>
  <w:footnote w:id="13">
    <w:p w14:paraId="08979963" w14:textId="4489C9D1"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En la información presentada por el Estado consta que, una vez practicadas las diligencias de allanamiento, inspección y registro en </w:t>
      </w:r>
      <w:proofErr w:type="spellStart"/>
      <w:r w:rsidRPr="00D36B1C">
        <w:rPr>
          <w:rFonts w:ascii="Verdana" w:hAnsi="Verdana"/>
          <w:sz w:val="16"/>
          <w:szCs w:val="16"/>
          <w:lang w:val="es-MX"/>
        </w:rPr>
        <w:t>Creompaz</w:t>
      </w:r>
      <w:proofErr w:type="spellEnd"/>
      <w:r w:rsidRPr="00D36B1C">
        <w:rPr>
          <w:rFonts w:ascii="Verdana" w:hAnsi="Verdana"/>
          <w:sz w:val="16"/>
          <w:szCs w:val="16"/>
          <w:lang w:val="es-MX"/>
        </w:rPr>
        <w:t xml:space="preserve">, “entre el 21 de febrero de 2012 al 18 de diciembre de 2015, en coordinación con la Fundación de Antropología Forense de Guatemala” se lograron “recuperar 565 osamentas humanas, [y] a la fecha 148 han sido identificadas por medio de ADN”, mediante labor de tal Fundación. Durante la investigación, “el Ministerio Público ha logrado recabar medios de prueba para establecer la responsabilidad de la cúpula militar de la época[,] así como de quienes formaban la cadena de mando de la Antigua Zona Militar No. 21, el área territorial afectada identificada, [la cual] abarca los departamentos de Baja Verapaz, Alta Verapaz e </w:t>
      </w:r>
      <w:proofErr w:type="spellStart"/>
      <w:r w:rsidRPr="00D36B1C">
        <w:rPr>
          <w:rFonts w:ascii="Verdana" w:hAnsi="Verdana"/>
          <w:sz w:val="16"/>
          <w:szCs w:val="16"/>
          <w:lang w:val="es-MX"/>
        </w:rPr>
        <w:t>lzabal</w:t>
      </w:r>
      <w:proofErr w:type="spellEnd"/>
      <w:r w:rsidRPr="00D36B1C">
        <w:rPr>
          <w:rFonts w:ascii="Verdana" w:hAnsi="Verdana"/>
          <w:sz w:val="16"/>
          <w:szCs w:val="16"/>
          <w:lang w:val="es-MX"/>
        </w:rPr>
        <w:t xml:space="preserve">; la composición étnica de la violencia abarca a por lo menos las etnias achí, </w:t>
      </w:r>
      <w:proofErr w:type="spellStart"/>
      <w:r w:rsidRPr="00D36B1C">
        <w:rPr>
          <w:rFonts w:ascii="Verdana" w:hAnsi="Verdana"/>
          <w:sz w:val="16"/>
          <w:szCs w:val="16"/>
          <w:lang w:val="es-MX"/>
        </w:rPr>
        <w:t>poqomchí</w:t>
      </w:r>
      <w:proofErr w:type="spellEnd"/>
      <w:r w:rsidRPr="00D36B1C">
        <w:rPr>
          <w:rFonts w:ascii="Verdana" w:hAnsi="Verdana"/>
          <w:sz w:val="16"/>
          <w:szCs w:val="16"/>
          <w:lang w:val="es-MX"/>
        </w:rPr>
        <w:t xml:space="preserve">, </w:t>
      </w:r>
      <w:proofErr w:type="spellStart"/>
      <w:r w:rsidRPr="00D36B1C">
        <w:rPr>
          <w:rFonts w:ascii="Verdana" w:hAnsi="Verdana"/>
          <w:sz w:val="16"/>
          <w:szCs w:val="16"/>
          <w:lang w:val="es-MX"/>
        </w:rPr>
        <w:t>qeqchí</w:t>
      </w:r>
      <w:proofErr w:type="spellEnd"/>
      <w:r w:rsidRPr="00D36B1C">
        <w:rPr>
          <w:rFonts w:ascii="Verdana" w:hAnsi="Verdana"/>
          <w:sz w:val="16"/>
          <w:szCs w:val="16"/>
          <w:lang w:val="es-MX"/>
        </w:rPr>
        <w:t xml:space="preserve">, ixil, </w:t>
      </w:r>
      <w:proofErr w:type="spellStart"/>
      <w:r w:rsidRPr="00D36B1C">
        <w:rPr>
          <w:rFonts w:ascii="Verdana" w:hAnsi="Verdana"/>
          <w:sz w:val="16"/>
          <w:szCs w:val="16"/>
          <w:lang w:val="es-MX"/>
        </w:rPr>
        <w:t>kiché</w:t>
      </w:r>
      <w:proofErr w:type="spellEnd"/>
      <w:r w:rsidRPr="00D36B1C">
        <w:rPr>
          <w:rFonts w:ascii="Verdana" w:hAnsi="Verdana"/>
          <w:sz w:val="16"/>
          <w:szCs w:val="16"/>
          <w:lang w:val="es-MX"/>
        </w:rPr>
        <w:t xml:space="preserve"> y ladina, asimismo[, y] a través del Peritaje Antropológico Forense se ha logrado determinar la presencia de osamentas humanas correspondientes a 94 menores de edad”. </w:t>
      </w:r>
      <w:r w:rsidRPr="00D36B1C">
        <w:rPr>
          <w:rFonts w:ascii="Verdana" w:hAnsi="Verdana"/>
          <w:i/>
          <w:sz w:val="16"/>
          <w:szCs w:val="16"/>
          <w:lang w:val="es-MX"/>
        </w:rPr>
        <w:t>Cfr.</w:t>
      </w:r>
      <w:r w:rsidRPr="00D36B1C">
        <w:rPr>
          <w:rFonts w:ascii="Verdana" w:hAnsi="Verdana"/>
          <w:sz w:val="16"/>
          <w:szCs w:val="16"/>
          <w:lang w:val="es-MX"/>
        </w:rPr>
        <w:t xml:space="preserve"> Informe de 18 de noviembre de 2020 emitido por la Agencia 02 de Casos Especiales del Conflicto Armado Interno de la Fiscalía de Derechos Humanos (anexo al Informe del Estado de 4 de diciembre de 2020).</w:t>
      </w:r>
    </w:p>
  </w:footnote>
  <w:footnote w:id="14">
    <w:p w14:paraId="3AE42E53" w14:textId="0C8E0DB9"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De la información presentada por el Estado se desprende que, </w:t>
      </w:r>
      <w:r w:rsidRPr="00D36B1C">
        <w:rPr>
          <w:rFonts w:ascii="Verdana" w:hAnsi="Verdana"/>
          <w:iCs/>
          <w:sz w:val="16"/>
          <w:szCs w:val="16"/>
          <w:lang w:val="es-MX"/>
        </w:rPr>
        <w:t xml:space="preserve">el 7 de junio de 2016 la jueza contralora dictó auto de apertura a juicio respecto a ocho procesados. En contra de tal decisión, se presentaron “múltiples amparos e impugnaciones […] por el Ministerio Público, querellantes adhesivos y la defensa de los acusados”. Actualmente, aún se encontraría pendiente de resolverse tres acciones de amparo planteadas bajo el presupuesto “de una ley de amnistía, tachando de ilegal el proceso instruido en contra de los sindicados”, las cuales se declararon sin lugar, pero que fueron apeladas por la defensa ante la Corte de Constitucionalidad, encontrándose en espera de las sentencias. Asimismo, se encontraría en trámite una acción de amparo interpuesta en contra de la medida de coerción de prisión preventiva. </w:t>
      </w:r>
      <w:r w:rsidRPr="00D36B1C">
        <w:rPr>
          <w:rFonts w:ascii="Verdana" w:hAnsi="Verdana"/>
          <w:i/>
          <w:sz w:val="16"/>
          <w:szCs w:val="16"/>
          <w:lang w:val="es-MX"/>
        </w:rPr>
        <w:t>Cfr.</w:t>
      </w:r>
      <w:r w:rsidRPr="00D36B1C">
        <w:rPr>
          <w:rFonts w:ascii="Verdana" w:hAnsi="Verdana"/>
          <w:sz w:val="16"/>
          <w:szCs w:val="16"/>
          <w:lang w:val="es-MX"/>
        </w:rPr>
        <w:t xml:space="preserve"> Informe de 18 de noviembre de 2020 emitido por la Agencia 02 de Casos Especiales del Conflicto Armado Interno de la Fiscalía de Derechos Humanos del Ministerio Público (anexo al Informe del Estado de 4 de diciembre de 2020).</w:t>
      </w:r>
    </w:p>
  </w:footnote>
  <w:footnote w:id="15">
    <w:p w14:paraId="5ED20B4E" w14:textId="626205E9"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Escrito de observaciones de los representantes de 13 de febrero de 2021.</w:t>
      </w:r>
    </w:p>
  </w:footnote>
  <w:footnote w:id="16">
    <w:p w14:paraId="52BF86CB" w14:textId="6A0A5E41"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Caso Masacre de Plan de Sánchez Vs. Guatemala. </w:t>
      </w:r>
      <w:r w:rsidRPr="00D36B1C">
        <w:rPr>
          <w:rFonts w:ascii="Verdana" w:hAnsi="Verdana"/>
          <w:sz w:val="16"/>
          <w:szCs w:val="16"/>
          <w:lang w:val="es-MX"/>
        </w:rPr>
        <w:t xml:space="preserve">Resolución de la Corte de 24 de noviembre de 2015, </w:t>
      </w:r>
      <w:r w:rsidRPr="00D36B1C">
        <w:rPr>
          <w:rFonts w:ascii="Verdana" w:hAnsi="Verdana"/>
          <w:i/>
          <w:sz w:val="16"/>
          <w:szCs w:val="16"/>
          <w:lang w:val="es-MX"/>
        </w:rPr>
        <w:t xml:space="preserve">supra </w:t>
      </w:r>
      <w:r w:rsidRPr="00D36B1C">
        <w:rPr>
          <w:rFonts w:ascii="Verdana" w:hAnsi="Verdana"/>
          <w:sz w:val="16"/>
          <w:szCs w:val="16"/>
          <w:lang w:val="es-MX"/>
        </w:rPr>
        <w:t>nota 4, Considerando 136.</w:t>
      </w:r>
    </w:p>
  </w:footnote>
  <w:footnote w:id="17">
    <w:p w14:paraId="37F071C4" w14:textId="19A4188E" w:rsidR="00E93C6B" w:rsidRPr="00D36B1C" w:rsidRDefault="00E93C6B" w:rsidP="002540FA">
      <w:pPr>
        <w:pStyle w:val="Textonotapie"/>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w:t>
      </w:r>
      <w:r w:rsidRPr="00D36B1C">
        <w:rPr>
          <w:rFonts w:ascii="Verdana" w:hAnsi="Verdana"/>
          <w:i/>
          <w:sz w:val="16"/>
          <w:szCs w:val="16"/>
          <w:lang w:val="es-MX"/>
        </w:rPr>
        <w:t xml:space="preserve">Caso Masacre de Plan de Sánchez Vs. Guatemala. </w:t>
      </w:r>
      <w:r w:rsidRPr="00D36B1C">
        <w:rPr>
          <w:rFonts w:ascii="Verdana" w:hAnsi="Verdana"/>
          <w:sz w:val="16"/>
          <w:szCs w:val="16"/>
          <w:lang w:val="es-MX"/>
        </w:rPr>
        <w:t xml:space="preserve">Resolución de la Corte de 24 de noviembre de 2015, </w:t>
      </w:r>
      <w:r w:rsidRPr="00D36B1C">
        <w:rPr>
          <w:rFonts w:ascii="Verdana" w:hAnsi="Verdana"/>
          <w:i/>
          <w:sz w:val="16"/>
          <w:szCs w:val="16"/>
          <w:lang w:val="es-MX"/>
        </w:rPr>
        <w:t xml:space="preserve">supra </w:t>
      </w:r>
      <w:r w:rsidRPr="00D36B1C">
        <w:rPr>
          <w:rFonts w:ascii="Verdana" w:hAnsi="Verdana"/>
          <w:sz w:val="16"/>
          <w:szCs w:val="16"/>
          <w:lang w:val="es-MX"/>
        </w:rPr>
        <w:t>nota 4, Considerandos 18, 126, 127, 129, 131, 150 y 155.</w:t>
      </w:r>
    </w:p>
  </w:footnote>
  <w:footnote w:id="18">
    <w:p w14:paraId="0EB9F207" w14:textId="77777777"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Caso de los Miembros de la Aldea </w:t>
      </w:r>
      <w:proofErr w:type="spellStart"/>
      <w:r w:rsidRPr="00D36B1C">
        <w:rPr>
          <w:rFonts w:ascii="Verdana" w:hAnsi="Verdana"/>
          <w:i/>
          <w:sz w:val="16"/>
          <w:szCs w:val="16"/>
          <w:lang w:val="es-MX"/>
        </w:rPr>
        <w:t>Chichupac</w:t>
      </w:r>
      <w:proofErr w:type="spellEnd"/>
      <w:r w:rsidRPr="00D36B1C">
        <w:rPr>
          <w:rFonts w:ascii="Verdana" w:hAnsi="Verdana"/>
          <w:i/>
          <w:sz w:val="16"/>
          <w:szCs w:val="16"/>
          <w:lang w:val="es-MX"/>
        </w:rPr>
        <w:t xml:space="preserve"> y Comunidades Vecinas del Municipio de Rabinal, Caso Molina </w:t>
      </w:r>
      <w:proofErr w:type="spellStart"/>
      <w:r w:rsidRPr="00D36B1C">
        <w:rPr>
          <w:rFonts w:ascii="Verdana" w:hAnsi="Verdana"/>
          <w:i/>
          <w:sz w:val="16"/>
          <w:szCs w:val="16"/>
          <w:lang w:val="es-MX"/>
        </w:rPr>
        <w:t>Theissen</w:t>
      </w:r>
      <w:proofErr w:type="spellEnd"/>
      <w:r w:rsidRPr="00D36B1C">
        <w:rPr>
          <w:rFonts w:ascii="Verdana" w:hAnsi="Verdana"/>
          <w:i/>
          <w:sz w:val="16"/>
          <w:szCs w:val="16"/>
          <w:lang w:val="es-MX"/>
        </w:rPr>
        <w:t xml:space="preserve"> y otros 12 casos contra Guatemala. Medidas Provisionales y Supervisión de Cumplimiento</w:t>
      </w:r>
      <w:r w:rsidRPr="00D36B1C">
        <w:rPr>
          <w:rFonts w:ascii="Verdana" w:hAnsi="Verdana"/>
          <w:sz w:val="16"/>
          <w:szCs w:val="16"/>
          <w:lang w:val="es-MX"/>
        </w:rPr>
        <w:t xml:space="preserve"> de Sentencia Resolución de la Corte Interamericana de Derechos Humanos de 12 de marzo de 2019, Considerando 50 y Punto Resolutivo 2.</w:t>
      </w:r>
    </w:p>
  </w:footnote>
  <w:footnote w:id="19">
    <w:p w14:paraId="0E86BF60" w14:textId="77777777"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Caso de los Miembros de la Aldea </w:t>
      </w:r>
      <w:proofErr w:type="spellStart"/>
      <w:r w:rsidRPr="00D36B1C">
        <w:rPr>
          <w:rFonts w:ascii="Verdana" w:hAnsi="Verdana"/>
          <w:i/>
          <w:sz w:val="16"/>
          <w:szCs w:val="16"/>
          <w:lang w:val="es-MX"/>
        </w:rPr>
        <w:t>Chichupac</w:t>
      </w:r>
      <w:proofErr w:type="spellEnd"/>
      <w:r w:rsidRPr="00D36B1C">
        <w:rPr>
          <w:rFonts w:ascii="Verdana" w:hAnsi="Verdana"/>
          <w:i/>
          <w:sz w:val="16"/>
          <w:szCs w:val="16"/>
          <w:lang w:val="es-MX"/>
        </w:rPr>
        <w:t xml:space="preserve"> y Comunidades Vecinas del Municipio de Rabinal, Caso Molina </w:t>
      </w:r>
      <w:proofErr w:type="spellStart"/>
      <w:r w:rsidRPr="00D36B1C">
        <w:rPr>
          <w:rFonts w:ascii="Verdana" w:hAnsi="Verdana"/>
          <w:i/>
          <w:sz w:val="16"/>
          <w:szCs w:val="16"/>
          <w:lang w:val="es-MX"/>
        </w:rPr>
        <w:t>Theissen</w:t>
      </w:r>
      <w:proofErr w:type="spellEnd"/>
      <w:r w:rsidRPr="00D36B1C">
        <w:rPr>
          <w:rFonts w:ascii="Verdana" w:hAnsi="Verdana"/>
          <w:i/>
          <w:sz w:val="16"/>
          <w:szCs w:val="16"/>
          <w:lang w:val="es-MX"/>
        </w:rPr>
        <w:t xml:space="preserve"> y otros 12 casos contra Guatemala. Medidas Provisionales y Supervisión de Cumplimiento</w:t>
      </w:r>
      <w:r w:rsidRPr="00D36B1C">
        <w:rPr>
          <w:rFonts w:ascii="Verdana" w:hAnsi="Verdana"/>
          <w:sz w:val="16"/>
          <w:szCs w:val="16"/>
          <w:lang w:val="es-MX"/>
        </w:rPr>
        <w:t xml:space="preserve"> de Sentencia Resolución de la Corte Interamericana de Derechos Humanos de 14 de octubre de 2019, Considerandos 13 a 17 y Puntos Resolutivos 2 y 3.</w:t>
      </w:r>
    </w:p>
  </w:footnote>
  <w:footnote w:id="20">
    <w:p w14:paraId="62688EA1" w14:textId="1C0634D4"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w:t>
      </w:r>
      <w:r w:rsidRPr="00D36B1C">
        <w:rPr>
          <w:rFonts w:ascii="Verdana" w:hAnsi="Verdana"/>
          <w:i/>
          <w:sz w:val="16"/>
          <w:szCs w:val="16"/>
          <w:lang w:val="es-MX"/>
        </w:rPr>
        <w:t xml:space="preserve">Caso Masacre de Plan de Sánchez Vs. Guatemala. </w:t>
      </w:r>
      <w:r w:rsidRPr="00D36B1C">
        <w:rPr>
          <w:rFonts w:ascii="Verdana" w:hAnsi="Verdana"/>
          <w:sz w:val="16"/>
          <w:szCs w:val="16"/>
          <w:lang w:val="es-MX"/>
        </w:rPr>
        <w:t xml:space="preserve">Resolución de la Corte de 21 de febrero de 2011, </w:t>
      </w:r>
      <w:r w:rsidRPr="00D36B1C">
        <w:rPr>
          <w:rFonts w:ascii="Verdana" w:hAnsi="Verdana"/>
          <w:i/>
          <w:sz w:val="16"/>
          <w:szCs w:val="16"/>
          <w:lang w:val="es-MX"/>
        </w:rPr>
        <w:t xml:space="preserve">supra </w:t>
      </w:r>
      <w:r w:rsidRPr="00D36B1C">
        <w:rPr>
          <w:rFonts w:ascii="Verdana" w:hAnsi="Verdana"/>
          <w:sz w:val="16"/>
          <w:szCs w:val="16"/>
          <w:lang w:val="es-MX"/>
        </w:rPr>
        <w:t>nota 4, Considerando 19.</w:t>
      </w:r>
    </w:p>
  </w:footnote>
  <w:footnote w:id="21">
    <w:p w14:paraId="60349EA3" w14:textId="73016726" w:rsidR="00E93C6B" w:rsidRPr="00D36B1C" w:rsidRDefault="00E93C6B" w:rsidP="002540FA">
      <w:pPr>
        <w:pStyle w:val="Prrafodelista"/>
        <w:spacing w:after="0" w:line="240" w:lineRule="auto"/>
        <w:ind w:left="0"/>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Escritos de observaciones de los representantes de 13 de mayo de 2013, 12 de octubre de 2016, 9 de mayo de 2017 y 13 de febrero de 2021.</w:t>
      </w:r>
    </w:p>
  </w:footnote>
  <w:footnote w:id="22">
    <w:p w14:paraId="5DB6BF7C" w14:textId="2E12FD90"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Informes del Estado de 7 de abril de 2017 y 4 de diciembre de 2020.</w:t>
      </w:r>
    </w:p>
  </w:footnote>
  <w:footnote w:id="23">
    <w:p w14:paraId="46DCE3F2" w14:textId="09718FCE"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La Comisión observó con preocupación la falta de información sobre el cumplimiento de este punto, y recordó que el tratamiento médico y psicológico, realizado con el consentimiento y en consenso con los beneficiarios, es una reparación fundamental para tratar de mitigar el daño causado. </w:t>
      </w:r>
      <w:r w:rsidRPr="00D36B1C">
        <w:rPr>
          <w:rFonts w:ascii="Verdana" w:hAnsi="Verdana"/>
          <w:i/>
          <w:sz w:val="16"/>
          <w:szCs w:val="16"/>
          <w:lang w:val="es-MX"/>
        </w:rPr>
        <w:t>Cfr.</w:t>
      </w:r>
      <w:r w:rsidRPr="00D36B1C">
        <w:rPr>
          <w:rFonts w:ascii="Verdana" w:hAnsi="Verdana"/>
          <w:sz w:val="16"/>
          <w:szCs w:val="16"/>
          <w:lang w:val="es-MX"/>
        </w:rPr>
        <w:t xml:space="preserve"> Escrito de observaciones de la Comisión de 8 de diciembre de 2011, 3 de septiembre de 2012 y 28 de octubre de 2016.</w:t>
      </w:r>
    </w:p>
  </w:footnote>
  <w:footnote w:id="24">
    <w:p w14:paraId="232183F9" w14:textId="05E652B5"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Informe del Estado de 4 de diciembre de 2020.</w:t>
      </w:r>
    </w:p>
  </w:footnote>
  <w:footnote w:id="25">
    <w:p w14:paraId="57D09EC1" w14:textId="09F24534"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Los representantes precisaron que el Ministerio de Salud Pública y Asistencia Social “debe diseñar un plan anual de atención psicológica y psiquiátrica a las víctimas que aparecen en la sentencia de la Corte IDH y dicho plan debe contener acciones concretas y de manera paulatina y constante, en base a un diagnóstico situacional de las personas y familias que necesitan dichas atenciones”. </w:t>
      </w:r>
      <w:r w:rsidRPr="00D36B1C">
        <w:rPr>
          <w:rFonts w:ascii="Verdana" w:hAnsi="Verdana"/>
          <w:i/>
          <w:sz w:val="16"/>
          <w:szCs w:val="16"/>
          <w:lang w:val="es-MX"/>
        </w:rPr>
        <w:t>Cfr.</w:t>
      </w:r>
      <w:r w:rsidRPr="00D36B1C">
        <w:rPr>
          <w:rFonts w:ascii="Verdana" w:hAnsi="Verdana"/>
          <w:sz w:val="16"/>
          <w:szCs w:val="16"/>
          <w:lang w:val="es-MX"/>
        </w:rPr>
        <w:t xml:space="preserve"> Escrito de observaciones de los representantes de 13 de febrero de 2021.</w:t>
      </w:r>
    </w:p>
  </w:footnote>
  <w:footnote w:id="26">
    <w:p w14:paraId="0658BDF4" w14:textId="61FC1AF6"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Las víctimas son: 1. Carmen Corazón Jerónimo; 2. Narcisa Corazón Jerónimo; 3. Margarita Grave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4. Tomás Grave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5. Valerio Grave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6. Eulalio Grave Ramírez; 7. Benjamín Manuel Jerónimo; 8. Juan Manuel Jerónimo; 9. Esteban Manuel Jerónimo; 10. Buenaventura Manuel Jerónimo; 11. Plácido Jerónimo Grave; 12. Margarita </w:t>
      </w:r>
      <w:proofErr w:type="spellStart"/>
      <w:r w:rsidRPr="00D36B1C">
        <w:rPr>
          <w:rFonts w:ascii="Verdana" w:hAnsi="Verdana"/>
          <w:sz w:val="16"/>
          <w:szCs w:val="16"/>
          <w:lang w:val="es-MX"/>
        </w:rPr>
        <w:t>Ivoy</w:t>
      </w:r>
      <w:proofErr w:type="spellEnd"/>
      <w:r w:rsidRPr="00D36B1C">
        <w:rPr>
          <w:rFonts w:ascii="Verdana" w:hAnsi="Verdana"/>
          <w:sz w:val="16"/>
          <w:szCs w:val="16"/>
          <w:lang w:val="es-MX"/>
        </w:rPr>
        <w:t xml:space="preserve">; 13. Salvador Jerónimo Sánchez; 14. Juan Grave Ramírez; 15. Andrea Ramírez; 16. Tomás Jerónimo Sánchez; 17. María Cristina Reyes Álvarez; 18. Jorge Luis Reyes Álvarez; 19. César Augusto Reyes Álvarez; 20. Juan Álvarez Pérez; 21. Alejandro Grave </w:t>
      </w:r>
      <w:proofErr w:type="spellStart"/>
      <w:r w:rsidRPr="00D36B1C">
        <w:rPr>
          <w:rFonts w:ascii="Verdana" w:hAnsi="Verdana"/>
          <w:sz w:val="16"/>
          <w:szCs w:val="16"/>
          <w:lang w:val="es-MX"/>
        </w:rPr>
        <w:t>Oxlaj</w:t>
      </w:r>
      <w:proofErr w:type="spellEnd"/>
      <w:r w:rsidRPr="00D36B1C">
        <w:rPr>
          <w:rFonts w:ascii="Verdana" w:hAnsi="Verdana"/>
          <w:sz w:val="16"/>
          <w:szCs w:val="16"/>
          <w:lang w:val="es-MX"/>
        </w:rPr>
        <w:t xml:space="preserve">; 22. Francisca Juárez Manuel; 23. Juliana Rojas; 24. Adrián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Jerónimo; 25. Emiliana Grave; 26. Eugenia </w:t>
      </w:r>
      <w:proofErr w:type="spellStart"/>
      <w:r w:rsidRPr="00D36B1C">
        <w:rPr>
          <w:rFonts w:ascii="Verdana" w:hAnsi="Verdana"/>
          <w:sz w:val="16"/>
          <w:szCs w:val="16"/>
          <w:lang w:val="es-MX"/>
        </w:rPr>
        <w:t>Ivoy</w:t>
      </w:r>
      <w:proofErr w:type="spellEnd"/>
      <w:r w:rsidRPr="00D36B1C">
        <w:rPr>
          <w:rFonts w:ascii="Verdana" w:hAnsi="Verdana"/>
          <w:sz w:val="16"/>
          <w:szCs w:val="16"/>
          <w:lang w:val="es-MX"/>
        </w:rPr>
        <w:t xml:space="preserve">; 27. Guadalupe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Jerónimo; 28. Luis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w:t>
      </w:r>
      <w:proofErr w:type="spellStart"/>
      <w:r w:rsidRPr="00D36B1C">
        <w:rPr>
          <w:rFonts w:ascii="Verdana" w:hAnsi="Verdana"/>
          <w:sz w:val="16"/>
          <w:szCs w:val="16"/>
          <w:lang w:val="es-MX"/>
        </w:rPr>
        <w:t>Oxlaj</w:t>
      </w:r>
      <w:proofErr w:type="spellEnd"/>
      <w:r w:rsidRPr="00D36B1C">
        <w:rPr>
          <w:rFonts w:ascii="Verdana" w:hAnsi="Verdana"/>
          <w:sz w:val="16"/>
          <w:szCs w:val="16"/>
          <w:lang w:val="es-MX"/>
        </w:rPr>
        <w:t xml:space="preserve">; 29. Prudencia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Jerónimo; 30. Juan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Corazón; 31. Ezequiel Grave </w:t>
      </w:r>
      <w:proofErr w:type="spellStart"/>
      <w:r w:rsidRPr="00D36B1C">
        <w:rPr>
          <w:rFonts w:ascii="Verdana" w:hAnsi="Verdana"/>
          <w:sz w:val="16"/>
          <w:szCs w:val="16"/>
          <w:lang w:val="es-MX"/>
        </w:rPr>
        <w:t>Oxlaj</w:t>
      </w:r>
      <w:proofErr w:type="spellEnd"/>
      <w:r w:rsidRPr="00D36B1C">
        <w:rPr>
          <w:rFonts w:ascii="Verdana" w:hAnsi="Verdana"/>
          <w:sz w:val="16"/>
          <w:szCs w:val="16"/>
          <w:lang w:val="es-MX"/>
        </w:rPr>
        <w:t xml:space="preserve">; 32. Andrés Grave </w:t>
      </w:r>
      <w:proofErr w:type="spellStart"/>
      <w:r w:rsidRPr="00D36B1C">
        <w:rPr>
          <w:rFonts w:ascii="Verdana" w:hAnsi="Verdana"/>
          <w:sz w:val="16"/>
          <w:szCs w:val="16"/>
          <w:lang w:val="es-MX"/>
        </w:rPr>
        <w:t>Valey</w:t>
      </w:r>
      <w:proofErr w:type="spellEnd"/>
      <w:r w:rsidRPr="00D36B1C">
        <w:rPr>
          <w:rFonts w:ascii="Verdana" w:hAnsi="Verdana"/>
          <w:sz w:val="16"/>
          <w:szCs w:val="16"/>
          <w:lang w:val="es-MX"/>
        </w:rPr>
        <w:t xml:space="preserve">; 33. Faustina </w:t>
      </w:r>
      <w:proofErr w:type="spellStart"/>
      <w:r w:rsidRPr="00D36B1C">
        <w:rPr>
          <w:rFonts w:ascii="Verdana" w:hAnsi="Verdana"/>
          <w:sz w:val="16"/>
          <w:szCs w:val="16"/>
          <w:lang w:val="es-MX"/>
        </w:rPr>
        <w:t>Cojóm</w:t>
      </w:r>
      <w:proofErr w:type="spellEnd"/>
      <w:r w:rsidRPr="00D36B1C">
        <w:rPr>
          <w:rFonts w:ascii="Verdana" w:hAnsi="Verdana"/>
          <w:sz w:val="16"/>
          <w:szCs w:val="16"/>
          <w:lang w:val="es-MX"/>
        </w:rPr>
        <w:t xml:space="preserve"> Manuel; 34. Guillermo </w:t>
      </w:r>
      <w:proofErr w:type="spellStart"/>
      <w:r w:rsidRPr="00D36B1C">
        <w:rPr>
          <w:rFonts w:ascii="Verdana" w:hAnsi="Verdana"/>
          <w:sz w:val="16"/>
          <w:szCs w:val="16"/>
          <w:lang w:val="es-MX"/>
        </w:rPr>
        <w:t>Toj</w:t>
      </w:r>
      <w:proofErr w:type="spellEnd"/>
      <w:r w:rsidRPr="00D36B1C">
        <w:rPr>
          <w:rFonts w:ascii="Verdana" w:hAnsi="Verdana"/>
          <w:sz w:val="16"/>
          <w:szCs w:val="16"/>
          <w:lang w:val="es-MX"/>
        </w:rPr>
        <w:t xml:space="preserve"> Manuel; 35. Guillermo </w:t>
      </w:r>
      <w:proofErr w:type="spellStart"/>
      <w:r w:rsidRPr="00D36B1C">
        <w:rPr>
          <w:rFonts w:ascii="Verdana" w:hAnsi="Verdana"/>
          <w:sz w:val="16"/>
          <w:szCs w:val="16"/>
          <w:lang w:val="es-MX"/>
        </w:rPr>
        <w:t>Toj</w:t>
      </w:r>
      <w:proofErr w:type="spellEnd"/>
      <w:r w:rsidRPr="00D36B1C">
        <w:rPr>
          <w:rFonts w:ascii="Verdana" w:hAnsi="Verdana"/>
          <w:sz w:val="16"/>
          <w:szCs w:val="16"/>
          <w:lang w:val="es-MX"/>
        </w:rPr>
        <w:t xml:space="preserve"> Manuel; 36. Juana Álvarez Pérez; 37. Jorge Álvarez Pérez; 38. Víctor Manuel Reyes García; 39. Lorenza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Grave; 40. José María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Grave; 41. Emilia o Emiliana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Grave; 42. Alejandro Grave; 43. Enrique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Jerónimo; 44. Francisca Galeano </w:t>
      </w:r>
      <w:proofErr w:type="spellStart"/>
      <w:r w:rsidRPr="00D36B1C">
        <w:rPr>
          <w:rFonts w:ascii="Verdana" w:hAnsi="Verdana"/>
          <w:sz w:val="16"/>
          <w:szCs w:val="16"/>
          <w:lang w:val="es-MX"/>
        </w:rPr>
        <w:t>Galeano</w:t>
      </w:r>
      <w:proofErr w:type="spellEnd"/>
      <w:r w:rsidRPr="00D36B1C">
        <w:rPr>
          <w:rFonts w:ascii="Verdana" w:hAnsi="Verdana"/>
          <w:sz w:val="16"/>
          <w:szCs w:val="16"/>
          <w:lang w:val="es-MX"/>
        </w:rPr>
        <w:t>; y 45. Plácido Jerónimo Grave.</w:t>
      </w:r>
    </w:p>
  </w:footnote>
  <w:footnote w:id="27">
    <w:p w14:paraId="157BF49D" w14:textId="07E266D6"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003A53D0">
        <w:rPr>
          <w:rFonts w:ascii="Verdana" w:hAnsi="Verdana"/>
          <w:sz w:val="16"/>
          <w:szCs w:val="16"/>
          <w:lang w:val="es-MX"/>
        </w:rPr>
        <w:t xml:space="preserve"> </w:t>
      </w:r>
      <w:r w:rsidR="003A53D0">
        <w:rPr>
          <w:rFonts w:ascii="Verdana" w:hAnsi="Verdana"/>
          <w:sz w:val="16"/>
          <w:szCs w:val="16"/>
          <w:lang w:val="es-MX"/>
        </w:rPr>
        <w:tab/>
        <w:t>Durante la visita en</w:t>
      </w:r>
      <w:r w:rsidRPr="00D36B1C">
        <w:rPr>
          <w:rFonts w:ascii="Verdana" w:hAnsi="Verdana"/>
          <w:sz w:val="16"/>
          <w:szCs w:val="16"/>
          <w:lang w:val="es-MX"/>
        </w:rPr>
        <w:t xml:space="preserve"> terreno de la Corte de 27 de marzo de 2017 la señora Marta Galeano indicó que “la vivienda que les dieron no es una casa digna y que les dieron materiales muy sencillos”. </w:t>
      </w:r>
      <w:r w:rsidRPr="00D36B1C">
        <w:rPr>
          <w:rFonts w:ascii="Verdana" w:hAnsi="Verdana"/>
          <w:i/>
          <w:sz w:val="16"/>
          <w:szCs w:val="16"/>
          <w:lang w:val="es-MX"/>
        </w:rPr>
        <w:t xml:space="preserve">Cfr. Caso Masacre de Plan de Sánchez Vs. Guatemala. </w:t>
      </w:r>
      <w:r w:rsidRPr="00D36B1C">
        <w:rPr>
          <w:rFonts w:ascii="Verdana" w:hAnsi="Verdana"/>
          <w:sz w:val="16"/>
          <w:szCs w:val="16"/>
          <w:lang w:val="es-MX"/>
        </w:rPr>
        <w:t xml:space="preserve">Resolución de la Corte de 25 de mayo de 2017, </w:t>
      </w:r>
      <w:r w:rsidRPr="00D36B1C">
        <w:rPr>
          <w:rFonts w:ascii="Verdana" w:hAnsi="Verdana"/>
          <w:i/>
          <w:sz w:val="16"/>
          <w:szCs w:val="16"/>
          <w:lang w:val="es-MX"/>
        </w:rPr>
        <w:t xml:space="preserve">supra </w:t>
      </w:r>
      <w:r w:rsidRPr="00D36B1C">
        <w:rPr>
          <w:rFonts w:ascii="Verdana" w:hAnsi="Verdana"/>
          <w:sz w:val="16"/>
          <w:szCs w:val="16"/>
          <w:lang w:val="es-MX"/>
        </w:rPr>
        <w:t>nota 4, Considerandos 14 a 18.</w:t>
      </w:r>
    </w:p>
  </w:footnote>
  <w:footnote w:id="28">
    <w:p w14:paraId="4F63DCA3" w14:textId="4B399542" w:rsidR="00E93C6B" w:rsidRPr="00502689" w:rsidRDefault="00E93C6B" w:rsidP="002540FA">
      <w:pPr>
        <w:pStyle w:val="Textonotapie"/>
        <w:contextualSpacing/>
        <w:jc w:val="both"/>
        <w:rPr>
          <w:rFonts w:ascii="Verdana" w:hAnsi="Verdana"/>
          <w:sz w:val="16"/>
          <w:szCs w:val="16"/>
          <w:highlight w:val="yellow"/>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3A53D0">
        <w:rPr>
          <w:rFonts w:ascii="Verdana" w:hAnsi="Verdana"/>
          <w:sz w:val="16"/>
          <w:szCs w:val="16"/>
          <w:lang w:val="es-MX"/>
        </w:rPr>
        <w:t>De conformidad con un Oficio del Departamento Técnico del Fondo para la Vivienda FOPAVI dirigido a la Directora Ejecutiva del FOPAVI de 24 de noviembre de 2020, las señoras</w:t>
      </w:r>
      <w:r w:rsidR="00502689" w:rsidRPr="003A53D0">
        <w:rPr>
          <w:rFonts w:ascii="Verdana" w:hAnsi="Verdana"/>
          <w:sz w:val="16"/>
          <w:szCs w:val="16"/>
          <w:lang w:val="es-MX"/>
        </w:rPr>
        <w:t xml:space="preserve"> y señores</w:t>
      </w:r>
      <w:r w:rsidRPr="003A53D0">
        <w:rPr>
          <w:rFonts w:ascii="Verdana" w:hAnsi="Verdana"/>
          <w:sz w:val="16"/>
          <w:szCs w:val="16"/>
          <w:lang w:val="es-MX"/>
        </w:rPr>
        <w:t xml:space="preserve"> María Cristina Reyes Álvarez</w:t>
      </w:r>
      <w:r w:rsidR="00502689" w:rsidRPr="003A53D0">
        <w:rPr>
          <w:rFonts w:ascii="Verdana" w:hAnsi="Verdana"/>
          <w:sz w:val="16"/>
          <w:szCs w:val="16"/>
          <w:lang w:val="es-MX"/>
        </w:rPr>
        <w:t>,</w:t>
      </w:r>
      <w:r w:rsidRPr="003A53D0">
        <w:rPr>
          <w:rFonts w:ascii="Verdana" w:hAnsi="Verdana"/>
          <w:sz w:val="16"/>
          <w:szCs w:val="16"/>
          <w:lang w:val="es-MX"/>
        </w:rPr>
        <w:t xml:space="preserve"> Juana Álvarez Pérez, Juan Álvarez Pérez, Cesar Augusto Reyes Á</w:t>
      </w:r>
      <w:r w:rsidR="00502689" w:rsidRPr="003A53D0">
        <w:rPr>
          <w:rFonts w:ascii="Verdana" w:hAnsi="Verdana"/>
          <w:sz w:val="16"/>
          <w:szCs w:val="16"/>
          <w:lang w:val="es-MX"/>
        </w:rPr>
        <w:t>lvarez, Esteban Manuel Jerónimo</w:t>
      </w:r>
      <w:r w:rsidRPr="003A53D0">
        <w:rPr>
          <w:rFonts w:ascii="Verdana" w:hAnsi="Verdana"/>
          <w:sz w:val="16"/>
          <w:szCs w:val="16"/>
          <w:lang w:val="es-MX"/>
        </w:rPr>
        <w:t xml:space="preserve"> y Jorge Álvarez Pérez se encontraban ubicados en un proyecto de construcción de vivienda con “avance físico” y “avance financiero” del “100%”. Tal proyecto se encuentra “finalizado y </w:t>
      </w:r>
      <w:proofErr w:type="spellStart"/>
      <w:r w:rsidRPr="003A53D0">
        <w:rPr>
          <w:rFonts w:ascii="Verdana" w:hAnsi="Verdana"/>
          <w:sz w:val="16"/>
          <w:szCs w:val="16"/>
          <w:lang w:val="es-MX"/>
        </w:rPr>
        <w:t>recepcionado</w:t>
      </w:r>
      <w:proofErr w:type="spellEnd"/>
      <w:r w:rsidRPr="003A53D0">
        <w:rPr>
          <w:rFonts w:ascii="Verdana" w:hAnsi="Verdana"/>
          <w:sz w:val="16"/>
          <w:szCs w:val="16"/>
          <w:lang w:val="es-MX"/>
        </w:rPr>
        <w:t xml:space="preserve">” en Acta de 15 de octubre de 2013, y las referidas víctimas “cuentan con su vivienda finalizada al 100.00%”. </w:t>
      </w:r>
      <w:r w:rsidRPr="003A53D0">
        <w:rPr>
          <w:rFonts w:ascii="Verdana" w:hAnsi="Verdana"/>
          <w:i/>
          <w:sz w:val="16"/>
          <w:szCs w:val="16"/>
          <w:lang w:val="es-MX"/>
        </w:rPr>
        <w:t>Cfr.</w:t>
      </w:r>
      <w:r w:rsidRPr="003A53D0">
        <w:rPr>
          <w:rFonts w:ascii="Verdana" w:hAnsi="Verdana"/>
          <w:sz w:val="16"/>
          <w:szCs w:val="16"/>
          <w:lang w:val="es-MX"/>
        </w:rPr>
        <w:t xml:space="preserve"> Oficio del Departamento Técnico del Fondo para la Vivienda FOPAVI de 24 de noviembre de 2020 (anexo al informe del Estado de 4 de diciembre de 2020)</w:t>
      </w:r>
      <w:r w:rsidR="00502689" w:rsidRPr="003A53D0">
        <w:rPr>
          <w:rFonts w:ascii="Verdana" w:hAnsi="Verdana"/>
          <w:sz w:val="16"/>
          <w:szCs w:val="16"/>
          <w:lang w:val="es-MX"/>
        </w:rPr>
        <w:t xml:space="preserve">. El Estado también proporcionó copia de cada uno de los </w:t>
      </w:r>
      <w:r w:rsidR="00E4128D" w:rsidRPr="003A53D0">
        <w:rPr>
          <w:rFonts w:ascii="Verdana" w:hAnsi="Verdana"/>
          <w:sz w:val="16"/>
          <w:szCs w:val="16"/>
          <w:lang w:val="es-MX"/>
        </w:rPr>
        <w:t xml:space="preserve">“Finiquito de solución habitacional. Aldea </w:t>
      </w:r>
      <w:proofErr w:type="spellStart"/>
      <w:r w:rsidR="00E4128D" w:rsidRPr="003A53D0">
        <w:rPr>
          <w:rFonts w:ascii="Verdana" w:hAnsi="Verdana"/>
          <w:sz w:val="16"/>
          <w:szCs w:val="16"/>
          <w:lang w:val="es-MX"/>
        </w:rPr>
        <w:t>Concul</w:t>
      </w:r>
      <w:proofErr w:type="spellEnd"/>
      <w:r w:rsidR="00E4128D" w:rsidRPr="003A53D0">
        <w:rPr>
          <w:rFonts w:ascii="Verdana" w:hAnsi="Verdana"/>
          <w:sz w:val="16"/>
          <w:szCs w:val="16"/>
          <w:lang w:val="es-MX"/>
        </w:rPr>
        <w:t>, Municipio de Rabinal, Departamento de Baja Verapaz” de 25 de agosto de 2013 elaborados por las señoras y señores</w:t>
      </w:r>
      <w:r w:rsidR="00502689" w:rsidRPr="003A53D0">
        <w:rPr>
          <w:rFonts w:ascii="Verdana" w:hAnsi="Verdana"/>
          <w:sz w:val="16"/>
          <w:szCs w:val="16"/>
          <w:lang w:val="es-MX"/>
        </w:rPr>
        <w:t xml:space="preserve"> María Cristina Reyes Álvarez, Juana Álvarez Pérez, Juan Álvarez Pérez, Cesar Augusto Reyes Álvarez, Esteban Manuel Jer</w:t>
      </w:r>
      <w:r w:rsidR="00E4128D" w:rsidRPr="003A53D0">
        <w:rPr>
          <w:rFonts w:ascii="Verdana" w:hAnsi="Verdana"/>
          <w:sz w:val="16"/>
          <w:szCs w:val="16"/>
          <w:lang w:val="es-MX"/>
        </w:rPr>
        <w:t>ónimo</w:t>
      </w:r>
      <w:r w:rsidR="00502689" w:rsidRPr="003A53D0">
        <w:rPr>
          <w:rFonts w:ascii="Verdana" w:hAnsi="Verdana"/>
          <w:sz w:val="16"/>
          <w:szCs w:val="16"/>
          <w:lang w:val="es-MX"/>
        </w:rPr>
        <w:t xml:space="preserve"> y Jorge Álvarez Pérez (anexos al informe del Estado de 13 de noviembre de 2017).</w:t>
      </w:r>
      <w:r w:rsidR="00502689">
        <w:rPr>
          <w:rFonts w:ascii="Verdana" w:hAnsi="Verdana"/>
          <w:sz w:val="16"/>
          <w:szCs w:val="16"/>
          <w:lang w:val="es-MX"/>
        </w:rPr>
        <w:t xml:space="preserve"> </w:t>
      </w:r>
      <w:r w:rsidRPr="00D36B1C">
        <w:rPr>
          <w:rFonts w:ascii="Verdana" w:hAnsi="Verdana"/>
          <w:sz w:val="16"/>
          <w:szCs w:val="16"/>
          <w:lang w:val="es-MX"/>
        </w:rPr>
        <w:t xml:space="preserve">Los representantes indicaron que lo informado por el Estado “no significa que los materiales utilizados en la construcción de las viviendas hayan sido de la mejor calidad y que las mismas sean dignas, particularmente porque dichas viviendas […] son muy pequeñas […] para el número de miembros de las familias que conforman su comunidad, es decir, una familia de 8 o 10 miembros”. </w:t>
      </w:r>
      <w:r w:rsidRPr="00D36B1C">
        <w:rPr>
          <w:rFonts w:ascii="Verdana" w:hAnsi="Verdana"/>
          <w:i/>
          <w:sz w:val="16"/>
          <w:szCs w:val="16"/>
          <w:lang w:val="es-MX"/>
        </w:rPr>
        <w:t>Cfr.</w:t>
      </w:r>
      <w:r w:rsidRPr="00D36B1C">
        <w:rPr>
          <w:rFonts w:ascii="Verdana" w:hAnsi="Verdana"/>
          <w:sz w:val="16"/>
          <w:szCs w:val="16"/>
          <w:lang w:val="es-MX"/>
        </w:rPr>
        <w:t xml:space="preserve"> Escrito de observaciones de los representantes de 16 de enero de 2018. En respuesta, el Estado argumentó que “ha cumplido” con lo fijado en la</w:t>
      </w:r>
      <w:r w:rsidRPr="00D36B1C">
        <w:rPr>
          <w:rFonts w:ascii="Verdana" w:hAnsi="Verdana"/>
          <w:b/>
          <w:sz w:val="16"/>
          <w:szCs w:val="16"/>
          <w:lang w:val="es-MX"/>
        </w:rPr>
        <w:t xml:space="preserve"> </w:t>
      </w:r>
      <w:r w:rsidRPr="00D36B1C">
        <w:rPr>
          <w:rFonts w:ascii="Verdana" w:hAnsi="Verdana"/>
          <w:sz w:val="16"/>
          <w:szCs w:val="16"/>
          <w:lang w:val="es-MX"/>
        </w:rPr>
        <w:t xml:space="preserve">Observación General No. 4 del Comité de Derechos Económicos, Sociales y Culturales de la ONU, debido a que las dichas personas </w:t>
      </w:r>
      <w:r w:rsidRPr="00D36B1C">
        <w:rPr>
          <w:rFonts w:ascii="Verdana" w:hAnsi="Verdana"/>
          <w:b/>
          <w:sz w:val="16"/>
          <w:szCs w:val="16"/>
          <w:lang w:val="es-MX"/>
        </w:rPr>
        <w:t>“</w:t>
      </w:r>
      <w:r w:rsidRPr="00D36B1C">
        <w:rPr>
          <w:rFonts w:ascii="Verdana" w:hAnsi="Verdana"/>
          <w:sz w:val="16"/>
          <w:szCs w:val="16"/>
          <w:lang w:val="es-MX"/>
        </w:rPr>
        <w:t>son propietarias o</w:t>
      </w:r>
      <w:r w:rsidRPr="00D36B1C">
        <w:rPr>
          <w:rFonts w:ascii="Verdana" w:hAnsi="Verdana"/>
          <w:b/>
          <w:sz w:val="16"/>
          <w:szCs w:val="16"/>
          <w:lang w:val="es-MX"/>
        </w:rPr>
        <w:t xml:space="preserve"> </w:t>
      </w:r>
      <w:r w:rsidRPr="00D36B1C">
        <w:rPr>
          <w:rFonts w:ascii="Verdana" w:hAnsi="Verdana"/>
          <w:sz w:val="16"/>
          <w:szCs w:val="16"/>
          <w:lang w:val="es-MX"/>
        </w:rPr>
        <w:t xml:space="preserve">tienen la posesión del inmueble”, y se aprobaron “97 subsidios para la construcción de igual cantidad de viviendas mínimas”. Asimismo, el proyecto en mención consistió “en la construcción de 97 soluciones habitacionales en la modalidad de vivienda en lote propio, tipo ‘B’ cuyas características son las siguientes: poseen una distribución de dos habitaciones individuales y un ambiente compartido para sala comedor y cocina, el diseño incluye una letrina en la parte exterior, para los casos en que no se cuente con servicios básicos de drenaje. Cada casa cuenta con 4 ventanas, dos puertas (una al frente y una posterior), un levantado de block y cubierta de lámina con costanera metálica”, entre otros. </w:t>
      </w:r>
      <w:r w:rsidRPr="00D36B1C">
        <w:rPr>
          <w:rFonts w:ascii="Verdana" w:hAnsi="Verdana"/>
          <w:i/>
          <w:sz w:val="16"/>
          <w:szCs w:val="16"/>
          <w:lang w:val="es-MX"/>
        </w:rPr>
        <w:t>Cfr.</w:t>
      </w:r>
      <w:r w:rsidRPr="00D36B1C">
        <w:rPr>
          <w:rFonts w:ascii="Verdana" w:hAnsi="Verdana"/>
          <w:sz w:val="16"/>
          <w:szCs w:val="16"/>
          <w:lang w:val="es-MX"/>
        </w:rPr>
        <w:t xml:space="preserve"> Informe del Estado de 4 de diciembre de 2020.</w:t>
      </w:r>
    </w:p>
  </w:footnote>
  <w:footnote w:id="29">
    <w:p w14:paraId="3461A177" w14:textId="2C86F579"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Escrito de observaciones de los representantes de 16 de enero de 2018.</w:t>
      </w:r>
    </w:p>
  </w:footnote>
  <w:footnote w:id="30">
    <w:p w14:paraId="207C1718" w14:textId="2D8A72BA"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Informes del Estado de 13 de noviembre de 2017 y 31 de agosto de 2018, y escrito de observaciones de los representantes de 16 de enero de 2018.</w:t>
      </w:r>
    </w:p>
  </w:footnote>
  <w:footnote w:id="31">
    <w:p w14:paraId="538EA46C" w14:textId="53F260B7"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No se realizaron los estudios socioeconómicos de dos personas ya que “no se encontraron en sus residencias”. </w:t>
      </w:r>
      <w:r w:rsidRPr="00D36B1C">
        <w:rPr>
          <w:rFonts w:ascii="Verdana" w:hAnsi="Verdana"/>
          <w:i/>
          <w:sz w:val="16"/>
          <w:szCs w:val="16"/>
          <w:lang w:val="es-MX"/>
        </w:rPr>
        <w:t>Cfr.</w:t>
      </w:r>
      <w:r w:rsidRPr="00D36B1C">
        <w:rPr>
          <w:rFonts w:ascii="Verdana" w:hAnsi="Verdana"/>
          <w:sz w:val="16"/>
          <w:szCs w:val="16"/>
          <w:lang w:val="es-MX"/>
        </w:rPr>
        <w:t xml:space="preserve"> Escrito de observaciones de los representantes de 16 de enero de 2018.</w:t>
      </w:r>
    </w:p>
  </w:footnote>
  <w:footnote w:id="32">
    <w:p w14:paraId="22469FA0" w14:textId="17590ED6"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Los representantes indicaron que FOPAVI les habría informado que el Banco CHN tenía pendiente entregar 348 dictámenes de elegibilidad, sin embargo, en febrero de 2018 la mencionada entidad bancaria había alegado que FOPAVI “le adeudaba un millón y medio de quetzales” y que, de no pagarlos, “no remitirían los expedientes con los dictámenes de elegibilidad”, por lo que los expedientes “no serían aprobados por la Junta Directiva en el 2018 ya que no ha[</w:t>
      </w:r>
      <w:proofErr w:type="spellStart"/>
      <w:r w:rsidRPr="00D36B1C">
        <w:rPr>
          <w:rFonts w:ascii="Verdana" w:hAnsi="Verdana"/>
          <w:sz w:val="16"/>
          <w:szCs w:val="16"/>
          <w:lang w:val="es-MX"/>
        </w:rPr>
        <w:t>bría</w:t>
      </w:r>
      <w:proofErr w:type="spellEnd"/>
      <w:r w:rsidRPr="00D36B1C">
        <w:rPr>
          <w:rFonts w:ascii="Verdana" w:hAnsi="Verdana"/>
          <w:sz w:val="16"/>
          <w:szCs w:val="16"/>
          <w:lang w:val="es-MX"/>
        </w:rPr>
        <w:t xml:space="preserve">] presupuesto disponible”. </w:t>
      </w:r>
      <w:r w:rsidRPr="00D36B1C">
        <w:rPr>
          <w:rFonts w:ascii="Verdana" w:hAnsi="Verdana"/>
          <w:i/>
          <w:sz w:val="16"/>
          <w:szCs w:val="16"/>
          <w:lang w:val="es-MX"/>
        </w:rPr>
        <w:t xml:space="preserve">Cfr. </w:t>
      </w:r>
      <w:r w:rsidRPr="00D36B1C">
        <w:rPr>
          <w:rFonts w:ascii="Verdana" w:hAnsi="Verdana"/>
          <w:sz w:val="16"/>
          <w:szCs w:val="16"/>
          <w:lang w:val="es-MX"/>
        </w:rPr>
        <w:t>Escrito de observaciones de los representantes de 11 de octubre de 2018.</w:t>
      </w:r>
    </w:p>
  </w:footnote>
  <w:footnote w:id="33">
    <w:p w14:paraId="1A2E561D" w14:textId="0BBB9658" w:rsidR="00E93C6B" w:rsidRPr="00C16A29" w:rsidRDefault="00E93C6B">
      <w:pPr>
        <w:pStyle w:val="Textonotapie"/>
        <w:rPr>
          <w:rFonts w:ascii="Verdana" w:hAnsi="Verdana"/>
          <w:sz w:val="16"/>
          <w:szCs w:val="16"/>
          <w:lang w:val="es-ES"/>
        </w:rPr>
      </w:pPr>
      <w:r w:rsidRPr="00C16A29">
        <w:rPr>
          <w:rStyle w:val="Refdenotaalpie"/>
          <w:rFonts w:ascii="Verdana" w:hAnsi="Verdana"/>
          <w:sz w:val="16"/>
          <w:szCs w:val="16"/>
        </w:rPr>
        <w:footnoteRef/>
      </w:r>
      <w:r w:rsidRPr="00C16A29">
        <w:rPr>
          <w:rFonts w:ascii="Verdana" w:hAnsi="Verdana"/>
          <w:sz w:val="16"/>
          <w:szCs w:val="16"/>
          <w:lang w:val="es-ES"/>
        </w:rPr>
        <w:t xml:space="preserve"> </w:t>
      </w:r>
      <w:r w:rsidRPr="00C16A29">
        <w:rPr>
          <w:rFonts w:ascii="Verdana" w:hAnsi="Verdana"/>
          <w:sz w:val="16"/>
          <w:szCs w:val="16"/>
          <w:lang w:val="es-ES"/>
        </w:rPr>
        <w:tab/>
        <w:t>Vencidos desde el 24 de enero de 2021</w:t>
      </w:r>
      <w:r w:rsidR="00C16A29">
        <w:rPr>
          <w:rFonts w:ascii="Verdana" w:hAnsi="Verdana"/>
          <w:sz w:val="16"/>
          <w:szCs w:val="16"/>
          <w:lang w:val="es-ES"/>
        </w:rPr>
        <w:t>.</w:t>
      </w:r>
    </w:p>
  </w:footnote>
  <w:footnote w:id="34">
    <w:p w14:paraId="0A666F2E" w14:textId="64445385"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w:t>
      </w:r>
      <w:r w:rsidRPr="00D36B1C">
        <w:rPr>
          <w:rFonts w:ascii="Verdana" w:hAnsi="Verdana"/>
          <w:sz w:val="16"/>
          <w:szCs w:val="16"/>
          <w:lang w:val="es-MX"/>
        </w:rPr>
        <w:t>Escrito de observaciones de los representantes de 13 de febrero de 2021.</w:t>
      </w:r>
    </w:p>
  </w:footnote>
  <w:footnote w:id="35">
    <w:p w14:paraId="16C3F814" w14:textId="68236125"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Según el Estado, las 18 personas son: 1. Carmen Corazón Jerónimo; 2. Tomás Grave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3. Eulalio Grave Ramírez; 4. Benjamín Manuel Jerónimo; 5. Juan Manuel Jerónimo; 6. Buenaventura Manuel Jerónimo; 7. Plácido Jerónimo Grave; 8. Margarita </w:t>
      </w:r>
      <w:proofErr w:type="spellStart"/>
      <w:r w:rsidRPr="00D36B1C">
        <w:rPr>
          <w:rFonts w:ascii="Verdana" w:hAnsi="Verdana"/>
          <w:sz w:val="16"/>
          <w:szCs w:val="16"/>
          <w:lang w:val="es-MX"/>
        </w:rPr>
        <w:t>Ivoy</w:t>
      </w:r>
      <w:proofErr w:type="spellEnd"/>
      <w:r w:rsidRPr="00D36B1C">
        <w:rPr>
          <w:rFonts w:ascii="Verdana" w:hAnsi="Verdana"/>
          <w:sz w:val="16"/>
          <w:szCs w:val="16"/>
          <w:lang w:val="es-MX"/>
        </w:rPr>
        <w:t xml:space="preserve">; 9. Salvador Jerónimo Sánchez; 10. Juan Grave Ramírez; 11. Tomás Jerónimo Sánchez; 12. Adrián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Jerónimo; 13. Guadalupe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Jerónimo; 14. Luis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Corazón (</w:t>
      </w:r>
      <w:r w:rsidRPr="00D36B1C">
        <w:rPr>
          <w:rFonts w:ascii="Verdana" w:hAnsi="Verdana"/>
          <w:i/>
          <w:sz w:val="16"/>
          <w:szCs w:val="16"/>
          <w:lang w:val="es-MX"/>
        </w:rPr>
        <w:t>sic</w:t>
      </w:r>
      <w:r w:rsidRPr="00D36B1C">
        <w:rPr>
          <w:rFonts w:ascii="Verdana" w:hAnsi="Verdana"/>
          <w:sz w:val="16"/>
          <w:szCs w:val="16"/>
          <w:lang w:val="es-MX"/>
        </w:rPr>
        <w:t xml:space="preserve">) (en la Sentencia de la Corte el nombre de la víctima es Luis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w:t>
      </w:r>
      <w:proofErr w:type="spellStart"/>
      <w:r w:rsidRPr="00D36B1C">
        <w:rPr>
          <w:rFonts w:ascii="Verdana" w:hAnsi="Verdana"/>
          <w:sz w:val="16"/>
          <w:szCs w:val="16"/>
          <w:lang w:val="es-MX"/>
        </w:rPr>
        <w:t>Oxlaj</w:t>
      </w:r>
      <w:proofErr w:type="spellEnd"/>
      <w:r w:rsidRPr="00D36B1C">
        <w:rPr>
          <w:rFonts w:ascii="Verdana" w:hAnsi="Verdana"/>
          <w:sz w:val="16"/>
          <w:szCs w:val="16"/>
          <w:lang w:val="es-MX"/>
        </w:rPr>
        <w:t xml:space="preserve">); 15. Ezequiel Grave </w:t>
      </w:r>
      <w:proofErr w:type="spellStart"/>
      <w:r w:rsidRPr="00D36B1C">
        <w:rPr>
          <w:rFonts w:ascii="Verdana" w:hAnsi="Verdana"/>
          <w:sz w:val="16"/>
          <w:szCs w:val="16"/>
          <w:lang w:val="es-MX"/>
        </w:rPr>
        <w:t>Oxlaj</w:t>
      </w:r>
      <w:proofErr w:type="spellEnd"/>
      <w:r w:rsidRPr="00D36B1C">
        <w:rPr>
          <w:rFonts w:ascii="Verdana" w:hAnsi="Verdana"/>
          <w:sz w:val="16"/>
          <w:szCs w:val="16"/>
          <w:lang w:val="es-MX"/>
        </w:rPr>
        <w:t xml:space="preserve">; 16. Andrés Grave </w:t>
      </w:r>
      <w:proofErr w:type="spellStart"/>
      <w:r w:rsidRPr="00D36B1C">
        <w:rPr>
          <w:rFonts w:ascii="Verdana" w:hAnsi="Verdana"/>
          <w:sz w:val="16"/>
          <w:szCs w:val="16"/>
          <w:lang w:val="es-MX"/>
        </w:rPr>
        <w:t>Valey</w:t>
      </w:r>
      <w:proofErr w:type="spellEnd"/>
      <w:r w:rsidRPr="00D36B1C">
        <w:rPr>
          <w:rFonts w:ascii="Verdana" w:hAnsi="Verdana"/>
          <w:sz w:val="16"/>
          <w:szCs w:val="16"/>
          <w:lang w:val="es-MX"/>
        </w:rPr>
        <w:t xml:space="preserve">; 17. Guillermo </w:t>
      </w:r>
      <w:proofErr w:type="spellStart"/>
      <w:r w:rsidRPr="00D36B1C">
        <w:rPr>
          <w:rFonts w:ascii="Verdana" w:hAnsi="Verdana"/>
          <w:sz w:val="16"/>
          <w:szCs w:val="16"/>
          <w:lang w:val="es-MX"/>
        </w:rPr>
        <w:t>Toj</w:t>
      </w:r>
      <w:proofErr w:type="spellEnd"/>
      <w:r w:rsidRPr="00D36B1C">
        <w:rPr>
          <w:rFonts w:ascii="Verdana" w:hAnsi="Verdana"/>
          <w:sz w:val="16"/>
          <w:szCs w:val="16"/>
          <w:lang w:val="es-MX"/>
        </w:rPr>
        <w:t xml:space="preserve"> Manuel, y 18. Enrique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Jerónimo.</w:t>
      </w:r>
    </w:p>
  </w:footnote>
  <w:footnote w:id="36">
    <w:p w14:paraId="2526AF0C" w14:textId="3A2BE820" w:rsidR="00E93C6B" w:rsidRPr="00D36B1C" w:rsidRDefault="00E93C6B" w:rsidP="00346104">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Según el Estado, las personas son: 1. Narcisa Corazón Jerónimo; 2. Margarita Grave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3. Valerio Grave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4. Andrea Ramírez; 5. Jorge Luis Reyes Álvarez; 6. Alejandro Grave </w:t>
      </w:r>
      <w:proofErr w:type="spellStart"/>
      <w:r w:rsidRPr="00D36B1C">
        <w:rPr>
          <w:rFonts w:ascii="Verdana" w:hAnsi="Verdana"/>
          <w:sz w:val="16"/>
          <w:szCs w:val="16"/>
          <w:lang w:val="es-MX"/>
        </w:rPr>
        <w:t>Oxlaj</w:t>
      </w:r>
      <w:proofErr w:type="spellEnd"/>
      <w:r w:rsidRPr="00D36B1C">
        <w:rPr>
          <w:rFonts w:ascii="Verdana" w:hAnsi="Verdana"/>
          <w:sz w:val="16"/>
          <w:szCs w:val="16"/>
          <w:lang w:val="es-MX"/>
        </w:rPr>
        <w:t xml:space="preserve">; 7. Francisca Juárez Manuel; 8. Juliana Rojas; 9. Emiliana Grave; 10. Eugenia </w:t>
      </w:r>
      <w:proofErr w:type="spellStart"/>
      <w:r w:rsidRPr="00D36B1C">
        <w:rPr>
          <w:rFonts w:ascii="Verdana" w:hAnsi="Verdana"/>
          <w:sz w:val="16"/>
          <w:szCs w:val="16"/>
          <w:lang w:val="es-MX"/>
        </w:rPr>
        <w:t>Ivoy</w:t>
      </w:r>
      <w:proofErr w:type="spellEnd"/>
      <w:r w:rsidRPr="00D36B1C">
        <w:rPr>
          <w:rFonts w:ascii="Verdana" w:hAnsi="Verdana"/>
          <w:sz w:val="16"/>
          <w:szCs w:val="16"/>
          <w:lang w:val="es-MX"/>
        </w:rPr>
        <w:t xml:space="preserve">; 11. Prudencia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Jerónimo; 12. Juan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Corazón; 13. Faustina </w:t>
      </w:r>
      <w:proofErr w:type="spellStart"/>
      <w:r w:rsidRPr="00D36B1C">
        <w:rPr>
          <w:rFonts w:ascii="Verdana" w:hAnsi="Verdana"/>
          <w:sz w:val="16"/>
          <w:szCs w:val="16"/>
          <w:lang w:val="es-MX"/>
        </w:rPr>
        <w:t>Cojóm</w:t>
      </w:r>
      <w:proofErr w:type="spellEnd"/>
      <w:r w:rsidRPr="00D36B1C">
        <w:rPr>
          <w:rFonts w:ascii="Verdana" w:hAnsi="Verdana"/>
          <w:sz w:val="16"/>
          <w:szCs w:val="16"/>
          <w:lang w:val="es-MX"/>
        </w:rPr>
        <w:t xml:space="preserve"> Manuel; 14. Guillermo </w:t>
      </w:r>
      <w:proofErr w:type="spellStart"/>
      <w:r w:rsidRPr="00D36B1C">
        <w:rPr>
          <w:rFonts w:ascii="Verdana" w:hAnsi="Verdana"/>
          <w:sz w:val="16"/>
          <w:szCs w:val="16"/>
          <w:lang w:val="es-MX"/>
        </w:rPr>
        <w:t>Toj</w:t>
      </w:r>
      <w:proofErr w:type="spellEnd"/>
      <w:r w:rsidRPr="00D36B1C">
        <w:rPr>
          <w:rFonts w:ascii="Verdana" w:hAnsi="Verdana"/>
          <w:sz w:val="16"/>
          <w:szCs w:val="16"/>
          <w:lang w:val="es-MX"/>
        </w:rPr>
        <w:t xml:space="preserve"> Manuel; 15. Víctor Manuel Reyes García; 16. Lorenza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Grave; 17. José María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Grave; 18. Emilia o Emiliana </w:t>
      </w:r>
      <w:proofErr w:type="spellStart"/>
      <w:r w:rsidRPr="00D36B1C">
        <w:rPr>
          <w:rFonts w:ascii="Verdana" w:hAnsi="Verdana"/>
          <w:sz w:val="16"/>
          <w:szCs w:val="16"/>
          <w:lang w:val="es-MX"/>
        </w:rPr>
        <w:t>Cajbón</w:t>
      </w:r>
      <w:proofErr w:type="spellEnd"/>
      <w:r w:rsidRPr="00D36B1C">
        <w:rPr>
          <w:rFonts w:ascii="Verdana" w:hAnsi="Verdana"/>
          <w:sz w:val="16"/>
          <w:szCs w:val="16"/>
          <w:lang w:val="es-MX"/>
        </w:rPr>
        <w:t xml:space="preserve"> Grave; 19. Alejandro Grave; 20. Francisca Galeano </w:t>
      </w:r>
      <w:proofErr w:type="spellStart"/>
      <w:r w:rsidRPr="00D36B1C">
        <w:rPr>
          <w:rFonts w:ascii="Verdana" w:hAnsi="Verdana"/>
          <w:sz w:val="16"/>
          <w:szCs w:val="16"/>
          <w:lang w:val="es-MX"/>
        </w:rPr>
        <w:t>Galeano</w:t>
      </w:r>
      <w:proofErr w:type="spellEnd"/>
      <w:r w:rsidRPr="00D36B1C">
        <w:rPr>
          <w:rFonts w:ascii="Verdana" w:hAnsi="Verdana"/>
          <w:sz w:val="16"/>
          <w:szCs w:val="16"/>
          <w:lang w:val="es-MX"/>
        </w:rPr>
        <w:t xml:space="preserve">, y 21. Plácido Jerónimo </w:t>
      </w:r>
      <w:r w:rsidRPr="00E666D8">
        <w:rPr>
          <w:rFonts w:ascii="Verdana" w:hAnsi="Verdana"/>
          <w:sz w:val="16"/>
          <w:szCs w:val="16"/>
          <w:lang w:val="es-MX"/>
        </w:rPr>
        <w:t xml:space="preserve">Grave. Aun cuando el Estado indicó que en este grupo de víctimas se encontraría el señor Juan Álvarez Pérez, la Corte advierte que el Estado </w:t>
      </w:r>
      <w:r w:rsidR="00E666D8" w:rsidRPr="00E666D8">
        <w:rPr>
          <w:rFonts w:ascii="Verdana" w:hAnsi="Verdana"/>
          <w:sz w:val="16"/>
          <w:szCs w:val="16"/>
          <w:lang w:val="es-MX"/>
        </w:rPr>
        <w:t xml:space="preserve">le entregó una vivienda </w:t>
      </w:r>
      <w:r w:rsidRPr="00E666D8">
        <w:rPr>
          <w:rFonts w:ascii="Verdana" w:hAnsi="Verdana"/>
          <w:sz w:val="16"/>
          <w:szCs w:val="16"/>
          <w:lang w:val="es-MX"/>
        </w:rPr>
        <w:t>(</w:t>
      </w:r>
      <w:r w:rsidRPr="00E666D8">
        <w:rPr>
          <w:rFonts w:ascii="Verdana" w:hAnsi="Verdana"/>
          <w:i/>
          <w:sz w:val="16"/>
          <w:szCs w:val="16"/>
          <w:lang w:val="es-MX"/>
        </w:rPr>
        <w:t>supra</w:t>
      </w:r>
      <w:r w:rsidRPr="00E666D8">
        <w:rPr>
          <w:rFonts w:ascii="Verdana" w:hAnsi="Verdana"/>
          <w:sz w:val="16"/>
          <w:szCs w:val="16"/>
          <w:lang w:val="es-MX"/>
        </w:rPr>
        <w:t xml:space="preserve"> Considerando 26 y nota al pie 28). Ver también, </w:t>
      </w:r>
      <w:r w:rsidRPr="00E666D8">
        <w:rPr>
          <w:rFonts w:ascii="Verdana" w:hAnsi="Verdana"/>
          <w:i/>
          <w:sz w:val="16"/>
          <w:szCs w:val="16"/>
          <w:lang w:val="es-MX"/>
        </w:rPr>
        <w:t xml:space="preserve">Caso Masacre de Plan de Sánchez Vs. Guatemala. </w:t>
      </w:r>
      <w:r w:rsidRPr="00E666D8">
        <w:rPr>
          <w:rFonts w:ascii="Verdana" w:hAnsi="Verdana"/>
          <w:sz w:val="16"/>
          <w:szCs w:val="16"/>
          <w:lang w:val="es-MX"/>
        </w:rPr>
        <w:t xml:space="preserve">Resolución de la Corte de 25 de mayo de 2017, </w:t>
      </w:r>
      <w:r w:rsidRPr="00E666D8">
        <w:rPr>
          <w:rFonts w:ascii="Verdana" w:hAnsi="Verdana"/>
          <w:i/>
          <w:sz w:val="16"/>
          <w:szCs w:val="16"/>
          <w:lang w:val="es-MX"/>
        </w:rPr>
        <w:t xml:space="preserve">supra </w:t>
      </w:r>
      <w:r w:rsidRPr="00E666D8">
        <w:rPr>
          <w:rFonts w:ascii="Verdana" w:hAnsi="Verdana"/>
          <w:sz w:val="16"/>
          <w:szCs w:val="16"/>
          <w:lang w:val="es-MX"/>
        </w:rPr>
        <w:t>nota 4, Considerando 14.</w:t>
      </w:r>
    </w:p>
  </w:footnote>
  <w:footnote w:id="37">
    <w:p w14:paraId="5A69CAC1" w14:textId="5245DD97"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Informe del Estado de 4 de diciembre de 2020.</w:t>
      </w:r>
    </w:p>
  </w:footnote>
  <w:footnote w:id="38">
    <w:p w14:paraId="2794367D" w14:textId="16DCCFF1"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Los representantes alegaron que el Estado “no indica cómo el mencionado programa habitacional está tomando en cuenta los criterios de ‘vivienda digna’ desarrollados en la Observación General No. 4 del Comité de Derechos Económicos, Sociales y Culturales de la ONU, tal como fue requerido por la Corte en el Considerando 18 de la Resolución de 25 de mayo de 2017, que los materiales de construcción no son de la mejor calidad, y que “el tamaño de la vivienda a construir no es la adecuada para el número de miembros de las familias que conforman su comunidad, es decir, una familia de 8 o 10 miembros”. </w:t>
      </w:r>
      <w:r w:rsidRPr="00D36B1C">
        <w:rPr>
          <w:rFonts w:ascii="Verdana" w:hAnsi="Verdana"/>
          <w:i/>
          <w:sz w:val="16"/>
          <w:szCs w:val="16"/>
          <w:lang w:val="es-MX"/>
        </w:rPr>
        <w:t xml:space="preserve">Cfr. </w:t>
      </w:r>
      <w:r w:rsidRPr="00D36B1C">
        <w:rPr>
          <w:rFonts w:ascii="Verdana" w:hAnsi="Verdana"/>
          <w:sz w:val="16"/>
          <w:szCs w:val="16"/>
          <w:lang w:val="es-MX"/>
        </w:rPr>
        <w:t xml:space="preserve">Escrito de observaciones de los representantes de 16 de enero de 2018. Al respecto, la Comisión expresó su preocupación por “la supuesta falta de adecuación de las viviendas al tamaño de las familias beneficiarias”. </w:t>
      </w:r>
      <w:r w:rsidRPr="00D36B1C">
        <w:rPr>
          <w:rFonts w:ascii="Verdana" w:hAnsi="Verdana"/>
          <w:i/>
          <w:sz w:val="16"/>
          <w:szCs w:val="16"/>
          <w:lang w:val="es-MX"/>
        </w:rPr>
        <w:t>Cfr.</w:t>
      </w:r>
      <w:r w:rsidRPr="00D36B1C">
        <w:rPr>
          <w:rFonts w:ascii="Verdana" w:hAnsi="Verdana"/>
          <w:sz w:val="16"/>
          <w:szCs w:val="16"/>
          <w:lang w:val="es-MX"/>
        </w:rPr>
        <w:t xml:space="preserve"> Escrito de observaciones de la Comisión de 15 de mayo de 2018.</w:t>
      </w:r>
    </w:p>
  </w:footnote>
  <w:footnote w:id="39">
    <w:p w14:paraId="7BFB3438" w14:textId="536BC1F9"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Caso Masacre de Plan de Sánchez Vs. Guatemala. </w:t>
      </w:r>
      <w:r w:rsidRPr="00D36B1C">
        <w:rPr>
          <w:rFonts w:ascii="Verdana" w:hAnsi="Verdana"/>
          <w:sz w:val="16"/>
          <w:szCs w:val="16"/>
          <w:lang w:val="es-MX"/>
        </w:rPr>
        <w:t xml:space="preserve">Resolución de la Corte de 25 de mayo de 2017, </w:t>
      </w:r>
      <w:r w:rsidRPr="00D36B1C">
        <w:rPr>
          <w:rFonts w:ascii="Verdana" w:hAnsi="Verdana"/>
          <w:i/>
          <w:sz w:val="16"/>
          <w:szCs w:val="16"/>
          <w:lang w:val="es-MX"/>
        </w:rPr>
        <w:t xml:space="preserve">supra </w:t>
      </w:r>
      <w:r w:rsidRPr="00D36B1C">
        <w:rPr>
          <w:rFonts w:ascii="Verdana" w:hAnsi="Verdana"/>
          <w:sz w:val="16"/>
          <w:szCs w:val="16"/>
          <w:lang w:val="es-MX"/>
        </w:rPr>
        <w:t>nota 4, Considerandos 24 y 25.</w:t>
      </w:r>
    </w:p>
  </w:footnote>
  <w:footnote w:id="40">
    <w:p w14:paraId="6F0F4E3D" w14:textId="713399BC"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Las partes coincidieron en que</w:t>
      </w:r>
      <w:r w:rsidRPr="00D36B1C">
        <w:rPr>
          <w:rFonts w:ascii="Verdana" w:hAnsi="Verdana"/>
          <w:i/>
          <w:sz w:val="16"/>
          <w:szCs w:val="16"/>
          <w:lang w:val="es-MX"/>
        </w:rPr>
        <w:t xml:space="preserve"> </w:t>
      </w:r>
      <w:r w:rsidRPr="00D36B1C">
        <w:rPr>
          <w:rFonts w:ascii="Verdana" w:hAnsi="Verdana"/>
          <w:sz w:val="16"/>
          <w:szCs w:val="16"/>
          <w:lang w:val="es-MX"/>
        </w:rPr>
        <w:t xml:space="preserve">el 15 de junio de 2017 se realizó una reunión en la que participaron representantes de las comunidades y autoridades estatales en que “se abordó lo referente al mantenimiento y mejoras en el sistema de comunicación vial”. Los representantes explicaron que, en seguimiento a dicha reunión, en octubre de 2017 se aplanaron algunos tramos de la carretera entre Rabinal y Plan de Sánchez, Joya de Ramos, las Ventanas y </w:t>
      </w:r>
      <w:proofErr w:type="spellStart"/>
      <w:r w:rsidRPr="00D36B1C">
        <w:rPr>
          <w:rFonts w:ascii="Verdana" w:hAnsi="Verdana"/>
          <w:sz w:val="16"/>
          <w:szCs w:val="16"/>
          <w:lang w:val="es-MX"/>
        </w:rPr>
        <w:t>Concul</w:t>
      </w:r>
      <w:proofErr w:type="spellEnd"/>
      <w:r w:rsidRPr="00D36B1C">
        <w:rPr>
          <w:rFonts w:ascii="Verdana" w:hAnsi="Verdana"/>
          <w:sz w:val="16"/>
          <w:szCs w:val="16"/>
          <w:lang w:val="es-MX"/>
        </w:rPr>
        <w:t xml:space="preserve">, sin embargo, “no se </w:t>
      </w:r>
      <w:proofErr w:type="spellStart"/>
      <w:r w:rsidRPr="00D36B1C">
        <w:rPr>
          <w:rFonts w:ascii="Verdana" w:hAnsi="Verdana"/>
          <w:sz w:val="16"/>
          <w:szCs w:val="16"/>
          <w:lang w:val="es-MX"/>
        </w:rPr>
        <w:t>balastr</w:t>
      </w:r>
      <w:r>
        <w:rPr>
          <w:rFonts w:ascii="Verdana" w:hAnsi="Verdana"/>
          <w:sz w:val="16"/>
          <w:szCs w:val="16"/>
          <w:lang w:val="es-MX"/>
        </w:rPr>
        <w:t>ó</w:t>
      </w:r>
      <w:proofErr w:type="spellEnd"/>
      <w:r w:rsidRPr="00D36B1C">
        <w:rPr>
          <w:rFonts w:ascii="Verdana" w:hAnsi="Verdana"/>
          <w:sz w:val="16"/>
          <w:szCs w:val="16"/>
          <w:lang w:val="es-MX"/>
        </w:rPr>
        <w:t xml:space="preserve"> toda la carretera”, lo que provocó que se reabrieran los hoyos. De igual modo, en el año 2018 las partes coincidieron en que, debido al proyecto aprobado por el Ministro de Comunicaciones, Infraestructura y Vivienda, a través de la Dirección General de Caminos, Unidad Ejecutora de Conservación Vial (COVIAL) se continuaba con la ejecución de los trabajos de mantenimiento en la red vial no pavimentadas de Plan de Sánchez, Tres Cruces y </w:t>
      </w:r>
      <w:proofErr w:type="spellStart"/>
      <w:r w:rsidRPr="00D36B1C">
        <w:rPr>
          <w:rFonts w:ascii="Verdana" w:hAnsi="Verdana"/>
          <w:sz w:val="16"/>
          <w:szCs w:val="16"/>
          <w:lang w:val="es-MX"/>
        </w:rPr>
        <w:t>Consul</w:t>
      </w:r>
      <w:proofErr w:type="spellEnd"/>
      <w:r w:rsidRPr="00D36B1C">
        <w:rPr>
          <w:rFonts w:ascii="Verdana" w:hAnsi="Verdana"/>
          <w:sz w:val="16"/>
          <w:szCs w:val="16"/>
          <w:lang w:val="es-MX"/>
        </w:rPr>
        <w:t xml:space="preserve">. Sin embargo, los representantes aclararon que los trabajos no fueron adecuados, pues “con la entrada del invierno nuevamente los caminos se tornaron intransitables, no solo para las personas sino para los vehículos, lo cual les dificulta movilizarse y sacar sus productos agrícolas”, y que en las restantes comunidades no se realizaron trabajos de mantenimiento. En el año 2020 los representantes explicaron que “la carretera principal inicia de la cabecera municipal de Rabinal hasta el municipio de Granados, quedando entre este tramo carretero, todas las comunidades beneficiarias de [la medida de reparación]”. Dicha carretera principal “se encuentra en mal estado, agravándose más a finales del año 2020 por las tormentas ETA E IOTA”, y aunque en noviembre de 2020 COVIAL inició su reparación, las labores se suspendieron hasta el 20 de enero de 2021. Respecto al mantenimiento de la carretera, indicaron que “el trabajo que realiza COVIAL es raspar y rellenar hoyos y no cubre con material […] balastro para mejorar la vía”, por lo que “[e]n tiempo de lluvia, la carretera se vuelve intransitable”. Señalaron que en “dos puntos de la carretera principal” se requiere “construir 2 muros de contención para la protección de la carretera”. Al respecto, la Comisión consideró necesario que el Estado presente información concreta y actualizada sobre el plan de obras para garantizar que la vía sea transitable de manera segura durante todo el año en las 13 comunidades. </w:t>
      </w:r>
      <w:r w:rsidRPr="00D36B1C">
        <w:rPr>
          <w:rFonts w:ascii="Verdana" w:hAnsi="Verdana"/>
          <w:i/>
          <w:sz w:val="16"/>
          <w:szCs w:val="16"/>
          <w:lang w:val="es-MX"/>
        </w:rPr>
        <w:t>Cfr.</w:t>
      </w:r>
      <w:r w:rsidRPr="00D36B1C">
        <w:rPr>
          <w:rFonts w:ascii="Verdana" w:hAnsi="Verdana"/>
          <w:sz w:val="16"/>
          <w:szCs w:val="16"/>
          <w:lang w:val="es-MX"/>
        </w:rPr>
        <w:t xml:space="preserve"> Informes del Estado de 13 de noviembre de 2017 y 31 de agosto de 2018; escritos de observaciones de los representantes de 16 de enero y 11 de octubre de 2018 y 13 de febrero de 2021; y escrito de observaciones de la Comisión de 15 de mayo de 2018.</w:t>
      </w:r>
    </w:p>
  </w:footnote>
  <w:footnote w:id="41">
    <w:p w14:paraId="39396AC7" w14:textId="4675E5B0"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Informe del Estado de 4 de diciembre de 2020.</w:t>
      </w:r>
    </w:p>
  </w:footnote>
  <w:footnote w:id="42">
    <w:p w14:paraId="6AC22E6E" w14:textId="75AF2F46"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Escrito de observaciones de los representantes de 13 de febrero de 2021.</w:t>
      </w:r>
    </w:p>
  </w:footnote>
  <w:footnote w:id="43">
    <w:p w14:paraId="367C1F82" w14:textId="2337AD52"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Informe del Estado de 4 de diciembre de 2020.</w:t>
      </w:r>
    </w:p>
  </w:footnote>
  <w:footnote w:id="44">
    <w:p w14:paraId="52D18722" w14:textId="77777777"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Plan de Sánchez, </w:t>
      </w:r>
      <w:proofErr w:type="spellStart"/>
      <w:r w:rsidRPr="00D36B1C">
        <w:rPr>
          <w:rFonts w:ascii="Verdana" w:hAnsi="Verdana"/>
          <w:sz w:val="16"/>
          <w:szCs w:val="16"/>
          <w:lang w:val="es-MX"/>
        </w:rPr>
        <w:t>Chipuerta</w:t>
      </w:r>
      <w:proofErr w:type="spellEnd"/>
      <w:r w:rsidRPr="00D36B1C">
        <w:rPr>
          <w:rFonts w:ascii="Verdana" w:hAnsi="Verdana"/>
          <w:sz w:val="16"/>
          <w:szCs w:val="16"/>
          <w:lang w:val="es-MX"/>
        </w:rPr>
        <w:t xml:space="preserve">, Joya de Ramos, </w:t>
      </w:r>
      <w:proofErr w:type="spellStart"/>
      <w:r w:rsidRPr="00D36B1C">
        <w:rPr>
          <w:rFonts w:ascii="Verdana" w:hAnsi="Verdana"/>
          <w:sz w:val="16"/>
          <w:szCs w:val="16"/>
          <w:lang w:val="es-MX"/>
        </w:rPr>
        <w:t>Raxjut</w:t>
      </w:r>
      <w:proofErr w:type="spellEnd"/>
      <w:r w:rsidRPr="00D36B1C">
        <w:rPr>
          <w:rFonts w:ascii="Verdana" w:hAnsi="Verdana"/>
          <w:sz w:val="16"/>
          <w:szCs w:val="16"/>
          <w:lang w:val="es-MX"/>
        </w:rPr>
        <w:t xml:space="preserve">, </w:t>
      </w:r>
      <w:proofErr w:type="spellStart"/>
      <w:r w:rsidRPr="00D36B1C">
        <w:rPr>
          <w:rFonts w:ascii="Verdana" w:hAnsi="Verdana"/>
          <w:sz w:val="16"/>
          <w:szCs w:val="16"/>
          <w:lang w:val="es-MX"/>
        </w:rPr>
        <w:t>Volcanillo</w:t>
      </w:r>
      <w:proofErr w:type="spellEnd"/>
      <w:r w:rsidRPr="00D36B1C">
        <w:rPr>
          <w:rFonts w:ascii="Verdana" w:hAnsi="Verdana"/>
          <w:sz w:val="16"/>
          <w:szCs w:val="16"/>
          <w:lang w:val="es-MX"/>
        </w:rPr>
        <w:t xml:space="preserve">, </w:t>
      </w:r>
      <w:proofErr w:type="spellStart"/>
      <w:r w:rsidRPr="00D36B1C">
        <w:rPr>
          <w:rFonts w:ascii="Verdana" w:hAnsi="Verdana"/>
          <w:sz w:val="16"/>
          <w:szCs w:val="16"/>
          <w:lang w:val="es-MX"/>
        </w:rPr>
        <w:t>Coxojabaj</w:t>
      </w:r>
      <w:proofErr w:type="spellEnd"/>
      <w:r w:rsidRPr="00D36B1C">
        <w:rPr>
          <w:rFonts w:ascii="Verdana" w:hAnsi="Verdana"/>
          <w:sz w:val="16"/>
          <w:szCs w:val="16"/>
          <w:lang w:val="es-MX"/>
        </w:rPr>
        <w:t xml:space="preserve">, Las Ventanas y </w:t>
      </w:r>
      <w:proofErr w:type="spellStart"/>
      <w:r w:rsidRPr="00D36B1C">
        <w:rPr>
          <w:rFonts w:ascii="Verdana" w:hAnsi="Verdana"/>
          <w:sz w:val="16"/>
          <w:szCs w:val="16"/>
          <w:lang w:val="es-MX"/>
        </w:rPr>
        <w:t>Concul</w:t>
      </w:r>
      <w:proofErr w:type="spellEnd"/>
      <w:r w:rsidRPr="00D36B1C">
        <w:rPr>
          <w:rFonts w:ascii="Verdana" w:hAnsi="Verdana"/>
          <w:sz w:val="16"/>
          <w:szCs w:val="16"/>
          <w:lang w:val="es-MX"/>
        </w:rPr>
        <w:t>.</w:t>
      </w:r>
    </w:p>
  </w:footnote>
  <w:footnote w:id="45">
    <w:p w14:paraId="4B39F313" w14:textId="72BFBB81"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w:t>
      </w:r>
      <w:r w:rsidRPr="00D36B1C">
        <w:rPr>
          <w:rFonts w:ascii="Verdana" w:hAnsi="Verdana"/>
          <w:sz w:val="16"/>
          <w:szCs w:val="16"/>
          <w:lang w:val="es-MX"/>
        </w:rPr>
        <w:t>Escrito de observaciones de los representantes de 11 de octubre de 2018.</w:t>
      </w:r>
    </w:p>
  </w:footnote>
  <w:footnote w:id="46">
    <w:p w14:paraId="092F03EF" w14:textId="1CBBEC6D"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Caso Masacre de Plan de Sánchez Vs. Guatemala. </w:t>
      </w:r>
      <w:r w:rsidRPr="00D36B1C">
        <w:rPr>
          <w:rFonts w:ascii="Verdana" w:hAnsi="Verdana"/>
          <w:sz w:val="16"/>
          <w:szCs w:val="16"/>
          <w:lang w:val="es-MX"/>
        </w:rPr>
        <w:t xml:space="preserve">Resolución de la Corte de 25 de mayo de 2017, </w:t>
      </w:r>
      <w:r w:rsidRPr="00D36B1C">
        <w:rPr>
          <w:rFonts w:ascii="Verdana" w:hAnsi="Verdana"/>
          <w:i/>
          <w:sz w:val="16"/>
          <w:szCs w:val="16"/>
          <w:lang w:val="es-MX"/>
        </w:rPr>
        <w:t xml:space="preserve">supra </w:t>
      </w:r>
      <w:r w:rsidRPr="00D36B1C">
        <w:rPr>
          <w:rFonts w:ascii="Verdana" w:hAnsi="Verdana"/>
          <w:sz w:val="16"/>
          <w:szCs w:val="16"/>
          <w:lang w:val="es-MX"/>
        </w:rPr>
        <w:t>nota 4, Considerando 28.</w:t>
      </w:r>
    </w:p>
  </w:footnote>
  <w:footnote w:id="47">
    <w:p w14:paraId="6BB6AE1B" w14:textId="6EB25BF8"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Debido a que “el Director del establecimiento de educación de la comunidad indicó que el deficiente tratamiento de las aguas estaría generando un riesgo por el lugar donde está ubicado el servicio sanitario de dicha institución y su desagüe, lo cual puede ocasionar un deslizamiento de tierras”.</w:t>
      </w:r>
      <w:r w:rsidRPr="00D36B1C">
        <w:rPr>
          <w:rFonts w:ascii="Verdana" w:hAnsi="Verdana"/>
          <w:i/>
          <w:sz w:val="16"/>
          <w:szCs w:val="16"/>
          <w:lang w:val="es-MX"/>
        </w:rPr>
        <w:t xml:space="preserve"> Cfr. Caso Masacre de Plan de Sánchez Vs. Guatemala. </w:t>
      </w:r>
      <w:r w:rsidRPr="00D36B1C">
        <w:rPr>
          <w:rFonts w:ascii="Verdana" w:hAnsi="Verdana"/>
          <w:sz w:val="16"/>
          <w:szCs w:val="16"/>
          <w:lang w:val="es-MX"/>
        </w:rPr>
        <w:t xml:space="preserve">Resolución de la Corte de 25 de mayo de 2017, </w:t>
      </w:r>
      <w:r w:rsidRPr="00D36B1C">
        <w:rPr>
          <w:rFonts w:ascii="Verdana" w:hAnsi="Verdana"/>
          <w:i/>
          <w:sz w:val="16"/>
          <w:szCs w:val="16"/>
          <w:lang w:val="es-MX"/>
        </w:rPr>
        <w:t xml:space="preserve">supra </w:t>
      </w:r>
      <w:r w:rsidRPr="00D36B1C">
        <w:rPr>
          <w:rFonts w:ascii="Verdana" w:hAnsi="Verdana"/>
          <w:sz w:val="16"/>
          <w:szCs w:val="16"/>
          <w:lang w:val="es-MX"/>
        </w:rPr>
        <w:t>nota 4, Considerando 27.</w:t>
      </w:r>
    </w:p>
  </w:footnote>
  <w:footnote w:id="48">
    <w:p w14:paraId="5A422A2F" w14:textId="7C1F26D8"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Caso Masacre de Plan de Sánchez Vs. Guatemala. </w:t>
      </w:r>
      <w:r w:rsidRPr="00D36B1C">
        <w:rPr>
          <w:rFonts w:ascii="Verdana" w:hAnsi="Verdana"/>
          <w:sz w:val="16"/>
          <w:szCs w:val="16"/>
          <w:lang w:val="es-MX"/>
        </w:rPr>
        <w:t xml:space="preserve">Resolución de la Corte de 25 de mayo de 2017, </w:t>
      </w:r>
      <w:r w:rsidRPr="00D36B1C">
        <w:rPr>
          <w:rFonts w:ascii="Verdana" w:hAnsi="Verdana"/>
          <w:i/>
          <w:sz w:val="16"/>
          <w:szCs w:val="16"/>
          <w:lang w:val="es-MX"/>
        </w:rPr>
        <w:t xml:space="preserve">supra </w:t>
      </w:r>
      <w:r w:rsidRPr="00D36B1C">
        <w:rPr>
          <w:rFonts w:ascii="Verdana" w:hAnsi="Verdana"/>
          <w:sz w:val="16"/>
          <w:szCs w:val="16"/>
          <w:lang w:val="es-MX"/>
        </w:rPr>
        <w:t>nota 4, Considerando 33.</w:t>
      </w:r>
    </w:p>
  </w:footnote>
  <w:footnote w:id="49">
    <w:p w14:paraId="375927F7" w14:textId="0027518F" w:rsidR="00E93C6B" w:rsidRPr="00D36B1C" w:rsidRDefault="00E93C6B" w:rsidP="002540FA">
      <w:pPr>
        <w:pStyle w:val="Textonotapie"/>
        <w:contextualSpacing/>
        <w:jc w:val="both"/>
        <w:rPr>
          <w:rFonts w:ascii="Verdana" w:hAnsi="Verdana"/>
          <w:i/>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La Corte constató las dificultades de los integrantes de la Aldea Plan de Sánchez en el acceso al agua potable, las cuales “no son conformes a los estándares indicados relativos a la disponibilidad y accesibilidad del agua en esta comunidad” ya que, tan solo a través de “esfuerzos comunitarios”, “existe una pequeña tubería que permite subir una cantidad extremadamente pequeña de agua por día […] desde la base de la montaña hacia la Aldea”. Además, advirtió que “no se cuenta con información alguna con respecto a las medidas que el Estado estaría implementando para satisfacer esta obligación con relación a las otras doce comunidades”. </w:t>
      </w:r>
      <w:r w:rsidRPr="00D36B1C">
        <w:rPr>
          <w:rFonts w:ascii="Verdana" w:hAnsi="Verdana"/>
          <w:i/>
          <w:sz w:val="16"/>
          <w:szCs w:val="16"/>
          <w:lang w:val="es-MX"/>
        </w:rPr>
        <w:t xml:space="preserve">Cfr. Caso Masacre de Plan de Sánchez Vs. Guatemala. </w:t>
      </w:r>
      <w:r w:rsidRPr="00D36B1C">
        <w:rPr>
          <w:rFonts w:ascii="Verdana" w:hAnsi="Verdana"/>
          <w:sz w:val="16"/>
          <w:szCs w:val="16"/>
          <w:lang w:val="es-MX"/>
        </w:rPr>
        <w:t xml:space="preserve">Resolución de la Corte de 25 de mayo de 2017, </w:t>
      </w:r>
      <w:r w:rsidRPr="00D36B1C">
        <w:rPr>
          <w:rFonts w:ascii="Verdana" w:hAnsi="Verdana"/>
          <w:i/>
          <w:sz w:val="16"/>
          <w:szCs w:val="16"/>
          <w:lang w:val="es-MX"/>
        </w:rPr>
        <w:t xml:space="preserve">supra </w:t>
      </w:r>
      <w:r w:rsidRPr="00D36B1C">
        <w:rPr>
          <w:rFonts w:ascii="Verdana" w:hAnsi="Verdana"/>
          <w:sz w:val="16"/>
          <w:szCs w:val="16"/>
          <w:lang w:val="es-MX"/>
        </w:rPr>
        <w:t>nota 4, Considerandos 29 y 32.</w:t>
      </w:r>
    </w:p>
  </w:footnote>
  <w:footnote w:id="50">
    <w:p w14:paraId="725EEEDE" w14:textId="1468CB5E"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Informes del Estado de 13 de noviembre de 2017 y 31 de agosto de 2018, y escrito de observaciones de los representantes de 16 de enero de 2018.</w:t>
      </w:r>
    </w:p>
  </w:footnote>
  <w:footnote w:id="51">
    <w:p w14:paraId="3EFEA712" w14:textId="7902129B"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El Estado sostuvo que en dicha reunión estuvieron presente los representantes de la COPREDEH, la Unidad Ejecutora de Conservación Vial (</w:t>
      </w:r>
      <w:proofErr w:type="spellStart"/>
      <w:r w:rsidRPr="00D36B1C">
        <w:rPr>
          <w:rFonts w:ascii="Verdana" w:hAnsi="Verdana"/>
          <w:sz w:val="16"/>
          <w:szCs w:val="16"/>
          <w:lang w:val="es-MX"/>
        </w:rPr>
        <w:t>COVlAL</w:t>
      </w:r>
      <w:proofErr w:type="spellEnd"/>
      <w:r w:rsidRPr="00D36B1C">
        <w:rPr>
          <w:rFonts w:ascii="Verdana" w:hAnsi="Verdana"/>
          <w:sz w:val="16"/>
          <w:szCs w:val="16"/>
          <w:lang w:val="es-MX"/>
        </w:rPr>
        <w:t xml:space="preserve">), la Municipalidad de Rabinal, el Instituto de Fomento Municipal (INFOM), el Centro para la Acción Legal en Derechos Humanos (CALDH), la Unidad Ejecutora de Programas de Acueductos Rurales (UNEPAR), el Consejo Comunitario de Desarrollo (COCODES), así como representantes de las Comunidades de </w:t>
      </w:r>
      <w:proofErr w:type="spellStart"/>
      <w:r w:rsidRPr="00D36B1C">
        <w:rPr>
          <w:rFonts w:ascii="Verdana" w:hAnsi="Verdana"/>
          <w:sz w:val="16"/>
          <w:szCs w:val="16"/>
          <w:lang w:val="es-MX"/>
        </w:rPr>
        <w:t>lxchel</w:t>
      </w:r>
      <w:proofErr w:type="spellEnd"/>
      <w:r w:rsidRPr="00D36B1C">
        <w:rPr>
          <w:rFonts w:ascii="Verdana" w:hAnsi="Verdana"/>
          <w:sz w:val="16"/>
          <w:szCs w:val="16"/>
          <w:lang w:val="es-MX"/>
        </w:rPr>
        <w:t xml:space="preserve"> Granados, la Ventanas, </w:t>
      </w:r>
      <w:proofErr w:type="spellStart"/>
      <w:r w:rsidRPr="00D36B1C">
        <w:rPr>
          <w:rFonts w:ascii="Verdana" w:hAnsi="Verdana"/>
          <w:sz w:val="16"/>
          <w:szCs w:val="16"/>
          <w:lang w:val="es-MX"/>
        </w:rPr>
        <w:t>Concul</w:t>
      </w:r>
      <w:proofErr w:type="spellEnd"/>
      <w:r w:rsidRPr="00D36B1C">
        <w:rPr>
          <w:rFonts w:ascii="Verdana" w:hAnsi="Verdana"/>
          <w:sz w:val="16"/>
          <w:szCs w:val="16"/>
          <w:lang w:val="es-MX"/>
        </w:rPr>
        <w:t xml:space="preserve"> y Plan de Sánchez. Los representantes de las víctimas aclararon que en dicha reunión no participaron los representantes de la UNEPAR y el COCODES.</w:t>
      </w:r>
    </w:p>
  </w:footnote>
  <w:footnote w:id="52">
    <w:p w14:paraId="4A5C3115" w14:textId="4DC864C1"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w:t>
      </w:r>
      <w:r w:rsidRPr="00D36B1C">
        <w:rPr>
          <w:rFonts w:ascii="Verdana" w:hAnsi="Verdana"/>
          <w:sz w:val="16"/>
          <w:szCs w:val="16"/>
          <w:lang w:val="es-MX"/>
        </w:rPr>
        <w:t>Escrito de observaciones de los representantes de 16 de enero de 2018.</w:t>
      </w:r>
    </w:p>
  </w:footnote>
  <w:footnote w:id="53">
    <w:p w14:paraId="6C6B4576" w14:textId="77777777" w:rsidR="00E93C6B" w:rsidRPr="00D36B1C" w:rsidRDefault="00E93C6B" w:rsidP="00E93C6B">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La Comisión consideró “necesario que el Estado presente la planificación y el cronograma para la ejecución del proyecto”, y observó que “el informe del Estado no presenta la incorporación de las medidas a adoptar para brindar de manera adecuada y suficiente agua potable a las comunidades durante todo el año”. </w:t>
      </w:r>
      <w:r w:rsidRPr="00D36B1C">
        <w:rPr>
          <w:rFonts w:ascii="Verdana" w:hAnsi="Verdana"/>
          <w:i/>
          <w:sz w:val="16"/>
          <w:szCs w:val="16"/>
          <w:lang w:val="es-MX"/>
        </w:rPr>
        <w:t>Cfr.</w:t>
      </w:r>
      <w:r w:rsidRPr="00D36B1C">
        <w:rPr>
          <w:rFonts w:ascii="Verdana" w:hAnsi="Verdana"/>
          <w:sz w:val="16"/>
          <w:szCs w:val="16"/>
          <w:lang w:val="es-MX"/>
        </w:rPr>
        <w:t xml:space="preserve"> Escrito de observaciones de la Comisión de 15 de mayo de 2018.</w:t>
      </w:r>
    </w:p>
  </w:footnote>
  <w:footnote w:id="54">
    <w:p w14:paraId="5462E638" w14:textId="3ED0D50E"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Informe del Estado de 4 de diciembre de 2020.</w:t>
      </w:r>
    </w:p>
  </w:footnote>
  <w:footnote w:id="55">
    <w:p w14:paraId="7126C776" w14:textId="20A26ECE"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w:t>
      </w:r>
      <w:r w:rsidRPr="00D36B1C">
        <w:rPr>
          <w:rFonts w:ascii="Verdana" w:hAnsi="Verdana"/>
          <w:sz w:val="16"/>
          <w:szCs w:val="16"/>
          <w:lang w:val="es-MX"/>
        </w:rPr>
        <w:t>Escrito de observaciones de los representantes de 13 de febrero de 2021.</w:t>
      </w:r>
    </w:p>
  </w:footnote>
  <w:footnote w:id="56">
    <w:p w14:paraId="77BEE0E4" w14:textId="05313F40"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Caso Masacre de Plan de Sánchez Vs. Guatemala. </w:t>
      </w:r>
      <w:r w:rsidRPr="00D36B1C">
        <w:rPr>
          <w:rFonts w:ascii="Verdana" w:hAnsi="Verdana"/>
          <w:sz w:val="16"/>
          <w:szCs w:val="16"/>
          <w:lang w:val="es-MX"/>
        </w:rPr>
        <w:t xml:space="preserve">Resolución de la Corte de 25 de mayo de 2017, </w:t>
      </w:r>
      <w:r w:rsidRPr="00D36B1C">
        <w:rPr>
          <w:rFonts w:ascii="Verdana" w:hAnsi="Verdana"/>
          <w:i/>
          <w:sz w:val="16"/>
          <w:szCs w:val="16"/>
          <w:lang w:val="es-MX"/>
        </w:rPr>
        <w:t xml:space="preserve">supra </w:t>
      </w:r>
      <w:r w:rsidRPr="00D36B1C">
        <w:rPr>
          <w:rFonts w:ascii="Verdana" w:hAnsi="Verdana"/>
          <w:sz w:val="16"/>
          <w:szCs w:val="16"/>
          <w:lang w:val="es-MX"/>
        </w:rPr>
        <w:t>nota 4, Considerando 30. Citando a Naciones Unidas, Consejo Económico y Social, Comité de Derechos Económicos, Sociales y Culturales. Observación General Número 15, CESCR. 20/01/03, 20 de enero de 2003, párr.1.</w:t>
      </w:r>
    </w:p>
  </w:footnote>
  <w:footnote w:id="57">
    <w:p w14:paraId="70C681BD" w14:textId="2A9AA478"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 xml:space="preserve">Cfr. Caso Masacre de Plan de Sánchez Vs. Guatemala. </w:t>
      </w:r>
      <w:r w:rsidRPr="00D36B1C">
        <w:rPr>
          <w:rFonts w:ascii="Verdana" w:hAnsi="Verdana"/>
          <w:sz w:val="16"/>
          <w:szCs w:val="16"/>
          <w:lang w:val="es-MX"/>
        </w:rPr>
        <w:t xml:space="preserve">Resolución de la Corte de 25 de mayo de 2017, </w:t>
      </w:r>
      <w:r w:rsidRPr="00D36B1C">
        <w:rPr>
          <w:rFonts w:ascii="Verdana" w:hAnsi="Verdana"/>
          <w:i/>
          <w:sz w:val="16"/>
          <w:szCs w:val="16"/>
          <w:lang w:val="es-MX"/>
        </w:rPr>
        <w:t xml:space="preserve">supra </w:t>
      </w:r>
      <w:r w:rsidRPr="00D36B1C">
        <w:rPr>
          <w:rFonts w:ascii="Verdana" w:hAnsi="Verdana"/>
          <w:sz w:val="16"/>
          <w:szCs w:val="16"/>
          <w:lang w:val="es-MX"/>
        </w:rPr>
        <w:t>nota 4, Considerandos 38 a 39.</w:t>
      </w:r>
    </w:p>
  </w:footnote>
  <w:footnote w:id="58">
    <w:p w14:paraId="0A6C13B1" w14:textId="04598CF4"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Previamente, en el año 2012 el Estado informó que el Departamento Técnico Pedagógico Bilingüe Intercultural de la Dirección Departamental de Educación, del Departamento de Baja Verapaz (que abarca el municipio de Rabinal), “ha impartido recientemente a los docentes de las escuelas numeradas los siguientes talleres de capacitación: [i] Metodología de </w:t>
      </w:r>
      <w:proofErr w:type="spellStart"/>
      <w:r w:rsidRPr="00D36B1C">
        <w:rPr>
          <w:rFonts w:ascii="Verdana" w:hAnsi="Verdana"/>
          <w:sz w:val="16"/>
          <w:szCs w:val="16"/>
          <w:lang w:val="es-MX"/>
        </w:rPr>
        <w:t>Guatemática</w:t>
      </w:r>
      <w:proofErr w:type="spellEnd"/>
      <w:r w:rsidRPr="00D36B1C">
        <w:rPr>
          <w:rFonts w:ascii="Verdana" w:hAnsi="Verdana"/>
          <w:sz w:val="16"/>
          <w:szCs w:val="16"/>
          <w:lang w:val="es-MX"/>
        </w:rPr>
        <w:t>, [</w:t>
      </w:r>
      <w:proofErr w:type="spellStart"/>
      <w:r w:rsidRPr="00D36B1C">
        <w:rPr>
          <w:rFonts w:ascii="Verdana" w:hAnsi="Verdana"/>
          <w:sz w:val="16"/>
          <w:szCs w:val="16"/>
          <w:lang w:val="es-MX"/>
        </w:rPr>
        <w:t>ii</w:t>
      </w:r>
      <w:proofErr w:type="spellEnd"/>
      <w:r w:rsidRPr="00D36B1C">
        <w:rPr>
          <w:rFonts w:ascii="Verdana" w:hAnsi="Verdana"/>
          <w:sz w:val="16"/>
          <w:szCs w:val="16"/>
          <w:lang w:val="es-MX"/>
        </w:rPr>
        <w:t xml:space="preserve">] Aprendizaje desde el idioma materno: L1 y L2 con la metodología, comunicativo funcional, [iii] El método aprender sin miedo [y, iv] El uso y aplicación del modelo de Educación Bilingüe Intercultural”. Posteriormente, en el año 2017, señaló que se impartió un Diplomado de Aprendizaje de Idiomas Mayas, el cual se realizó en coordinación entre la comunidad lingüística Achí de la Academia de Lenguas Mayas de Guatemala y la Dirección Departamental de Educación de Baja Verapaz, y participaron 489 docentes. Dicho Diplomado debía desarrollarse en etapas, la primera, de marzo a agosto de 2017 en 6 jornadas de trabajo, y las siguientes dos etapas se debían desarrollar en el 2018 y 2019. </w:t>
      </w:r>
      <w:r w:rsidRPr="00D36B1C">
        <w:rPr>
          <w:rFonts w:ascii="Verdana" w:hAnsi="Verdana"/>
          <w:i/>
          <w:sz w:val="16"/>
          <w:szCs w:val="16"/>
          <w:lang w:val="es-MX"/>
        </w:rPr>
        <w:t>Cfr.</w:t>
      </w:r>
      <w:r w:rsidRPr="00D36B1C">
        <w:rPr>
          <w:rFonts w:ascii="Verdana" w:hAnsi="Verdana"/>
          <w:sz w:val="16"/>
          <w:szCs w:val="16"/>
          <w:lang w:val="es-MX"/>
        </w:rPr>
        <w:t xml:space="preserve"> Informes del Estado de 29 de junio de 2012 y 13 de noviembre de 2017.</w:t>
      </w:r>
    </w:p>
  </w:footnote>
  <w:footnote w:id="59">
    <w:p w14:paraId="6F3C33A8" w14:textId="7931ED55"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Al respecto, la Comisión coincidió con los representantes al señalar que tal diplomado “no forma parte de un programa de formación permanente para los docentes encargados de la atención y educación de carácter intercultural”. </w:t>
      </w:r>
      <w:r w:rsidRPr="00D36B1C">
        <w:rPr>
          <w:rFonts w:ascii="Verdana" w:hAnsi="Verdana"/>
          <w:i/>
          <w:sz w:val="16"/>
          <w:szCs w:val="16"/>
          <w:lang w:val="es-MX"/>
        </w:rPr>
        <w:t>Cfr.</w:t>
      </w:r>
      <w:r w:rsidRPr="00D36B1C">
        <w:rPr>
          <w:rFonts w:ascii="Verdana" w:hAnsi="Verdana"/>
          <w:sz w:val="16"/>
          <w:szCs w:val="16"/>
          <w:lang w:val="es-MX"/>
        </w:rPr>
        <w:t xml:space="preserve"> Escrito de observaciones de la Comisión de 15 de mayo de 2018.</w:t>
      </w:r>
    </w:p>
  </w:footnote>
  <w:footnote w:id="60">
    <w:p w14:paraId="48A42CBD" w14:textId="586746BB"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El Estado remitió un oficio de 26 de noviembre de 2020 del</w:t>
      </w:r>
      <w:r w:rsidRPr="00D36B1C">
        <w:rPr>
          <w:rFonts w:ascii="Verdana" w:hAnsi="Verdana"/>
          <w:i/>
          <w:sz w:val="16"/>
          <w:szCs w:val="16"/>
          <w:lang w:val="es-MX"/>
        </w:rPr>
        <w:t xml:space="preserve"> </w:t>
      </w:r>
      <w:r w:rsidRPr="00D36B1C">
        <w:rPr>
          <w:rFonts w:ascii="Verdana" w:hAnsi="Verdana"/>
          <w:sz w:val="16"/>
          <w:szCs w:val="16"/>
          <w:lang w:val="es-MX"/>
        </w:rPr>
        <w:t xml:space="preserve">Viceministro de Educación Bilingüe e Intercultural del Ministerio de Educación, en el cual se adjuntan diversos oficios de 20 y 23 de noviembre de 2020 remitidos por la Dirección Departamental de Educación de Baja Verapaz, que contienen: a) el listado de los nombres de los docentes que atienden en las comunidades Plan de Sánchez, Joya de Ramos, </w:t>
      </w:r>
      <w:proofErr w:type="spellStart"/>
      <w:r w:rsidRPr="00D36B1C">
        <w:rPr>
          <w:rFonts w:ascii="Verdana" w:hAnsi="Verdana"/>
          <w:sz w:val="16"/>
          <w:szCs w:val="16"/>
          <w:lang w:val="es-MX"/>
        </w:rPr>
        <w:t>Raxjut</w:t>
      </w:r>
      <w:proofErr w:type="spellEnd"/>
      <w:r w:rsidRPr="00D36B1C">
        <w:rPr>
          <w:rFonts w:ascii="Verdana" w:hAnsi="Verdana"/>
          <w:sz w:val="16"/>
          <w:szCs w:val="16"/>
          <w:lang w:val="es-MX"/>
        </w:rPr>
        <w:t xml:space="preserve">, </w:t>
      </w:r>
      <w:proofErr w:type="spellStart"/>
      <w:r w:rsidRPr="00D36B1C">
        <w:rPr>
          <w:rFonts w:ascii="Verdana" w:hAnsi="Verdana"/>
          <w:sz w:val="16"/>
          <w:szCs w:val="16"/>
          <w:lang w:val="es-MX"/>
        </w:rPr>
        <w:t>Chíac</w:t>
      </w:r>
      <w:proofErr w:type="spellEnd"/>
      <w:r w:rsidRPr="00D36B1C">
        <w:rPr>
          <w:rFonts w:ascii="Verdana" w:hAnsi="Verdana"/>
          <w:sz w:val="16"/>
          <w:szCs w:val="16"/>
          <w:lang w:val="es-MX"/>
        </w:rPr>
        <w:t xml:space="preserve">, Las Ventanas, </w:t>
      </w:r>
      <w:proofErr w:type="spellStart"/>
      <w:r w:rsidRPr="00D36B1C">
        <w:rPr>
          <w:rFonts w:ascii="Verdana" w:hAnsi="Verdana"/>
          <w:sz w:val="16"/>
          <w:szCs w:val="16"/>
          <w:lang w:val="es-MX"/>
        </w:rPr>
        <w:t>Concul</w:t>
      </w:r>
      <w:proofErr w:type="spellEnd"/>
      <w:r w:rsidRPr="00D36B1C">
        <w:rPr>
          <w:rFonts w:ascii="Verdana" w:hAnsi="Verdana"/>
          <w:sz w:val="16"/>
          <w:szCs w:val="16"/>
          <w:lang w:val="es-MX"/>
        </w:rPr>
        <w:t xml:space="preserve">, </w:t>
      </w:r>
      <w:proofErr w:type="spellStart"/>
      <w:r w:rsidRPr="00D36B1C">
        <w:rPr>
          <w:rFonts w:ascii="Verdana" w:hAnsi="Verdana"/>
          <w:sz w:val="16"/>
          <w:szCs w:val="16"/>
          <w:lang w:val="es-MX"/>
        </w:rPr>
        <w:t>Coxojabaj</w:t>
      </w:r>
      <w:proofErr w:type="spellEnd"/>
      <w:r w:rsidRPr="00D36B1C">
        <w:rPr>
          <w:rFonts w:ascii="Verdana" w:hAnsi="Verdana"/>
          <w:sz w:val="16"/>
          <w:szCs w:val="16"/>
          <w:lang w:val="es-MX"/>
        </w:rPr>
        <w:t xml:space="preserve"> y </w:t>
      </w:r>
      <w:proofErr w:type="spellStart"/>
      <w:r w:rsidRPr="00D36B1C">
        <w:rPr>
          <w:rFonts w:ascii="Verdana" w:hAnsi="Verdana"/>
          <w:sz w:val="16"/>
          <w:szCs w:val="16"/>
          <w:lang w:val="es-MX"/>
        </w:rPr>
        <w:t>Chíchupac</w:t>
      </w:r>
      <w:proofErr w:type="spellEnd"/>
      <w:r w:rsidRPr="00D36B1C">
        <w:rPr>
          <w:rFonts w:ascii="Verdana" w:hAnsi="Verdana"/>
          <w:sz w:val="16"/>
          <w:szCs w:val="16"/>
          <w:lang w:val="es-MX"/>
        </w:rPr>
        <w:t xml:space="preserve">, en el nivel preprimaria y primaria, así como el grado escolar y la cantidad de niñas y niños que atienden. Al respecto, se indica que “el fenómeno de la pandemia COVID 19 si afectó el proceso educativo en estas comunidades por cuanto se suspendieron las actividades presenciales con los estudiantes. Se adoptaron algunas estrategias para seguir el proceso educativo, pero disminuyó la efectividad del proceso de enseñanza-aprendizaje”; y b) el listado de los nombres de los docentes que atienden en la comunidad El Volcancillo y la Aldea Las Minas, en el nivel preprimaria, primaria y básico, el grado escolar y la cantidad de niñas y niños que atienden. Se indica que en El Volcancillo “no fue afectada por la pandemia de COVID-19, tampoco de los fenómenos naturales que han afectado al país recientemente”. </w:t>
      </w:r>
      <w:r w:rsidRPr="00D36B1C">
        <w:rPr>
          <w:rFonts w:ascii="Verdana" w:hAnsi="Verdana"/>
          <w:i/>
          <w:sz w:val="16"/>
          <w:szCs w:val="16"/>
          <w:lang w:val="es-MX"/>
        </w:rPr>
        <w:t xml:space="preserve">Cfr. </w:t>
      </w:r>
      <w:r w:rsidRPr="00D36B1C">
        <w:rPr>
          <w:rFonts w:ascii="Verdana" w:hAnsi="Verdana"/>
          <w:sz w:val="16"/>
          <w:szCs w:val="16"/>
          <w:lang w:val="es-MX"/>
        </w:rPr>
        <w:t>Oficio de 26 de noviembre de 2020 del</w:t>
      </w:r>
      <w:r w:rsidRPr="00D36B1C">
        <w:rPr>
          <w:rFonts w:ascii="Verdana" w:hAnsi="Verdana"/>
          <w:i/>
          <w:sz w:val="16"/>
          <w:szCs w:val="16"/>
          <w:lang w:val="es-MX"/>
        </w:rPr>
        <w:t xml:space="preserve"> </w:t>
      </w:r>
      <w:r w:rsidRPr="00D36B1C">
        <w:rPr>
          <w:rFonts w:ascii="Verdana" w:hAnsi="Verdana"/>
          <w:sz w:val="16"/>
          <w:szCs w:val="16"/>
          <w:lang w:val="es-MX"/>
        </w:rPr>
        <w:t>Viceministro de Educación Bilingüe e Intercultural del Ministerio de Educación (anexo al Informe del Estado de 4 de diciembre de 2020).</w:t>
      </w:r>
    </w:p>
  </w:footnote>
  <w:footnote w:id="61">
    <w:p w14:paraId="24B5228E" w14:textId="141713A9"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Informe del Estado de 31 de agosto de 2018.</w:t>
      </w:r>
    </w:p>
  </w:footnote>
  <w:footnote w:id="62">
    <w:p w14:paraId="712B1CBC" w14:textId="2ABBE41E"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w:t>
      </w:r>
      <w:r w:rsidRPr="00D36B1C">
        <w:rPr>
          <w:rFonts w:ascii="Verdana" w:eastAsia="Verdana" w:hAnsi="Verdana" w:cs="Verdana"/>
          <w:i/>
          <w:sz w:val="16"/>
          <w:szCs w:val="16"/>
          <w:lang w:val="es-MX"/>
        </w:rPr>
        <w:t xml:space="preserve">Caso Masacre Plan de Sánchez Vs. Guatemala, </w:t>
      </w:r>
      <w:r w:rsidRPr="00D36B1C">
        <w:rPr>
          <w:rFonts w:ascii="Verdana" w:hAnsi="Verdana"/>
          <w:i/>
          <w:sz w:val="16"/>
          <w:szCs w:val="16"/>
          <w:lang w:val="es-MX"/>
        </w:rPr>
        <w:t xml:space="preserve">supra </w:t>
      </w:r>
      <w:r w:rsidRPr="00D36B1C">
        <w:rPr>
          <w:rFonts w:ascii="Verdana" w:hAnsi="Verdana"/>
          <w:sz w:val="16"/>
          <w:szCs w:val="16"/>
          <w:lang w:val="es-MX"/>
        </w:rPr>
        <w:t>nota 2</w:t>
      </w:r>
      <w:r w:rsidRPr="00D36B1C">
        <w:rPr>
          <w:rFonts w:ascii="Verdana" w:eastAsia="Verdana" w:hAnsi="Verdana" w:cs="Verdana"/>
          <w:sz w:val="16"/>
          <w:szCs w:val="16"/>
          <w:lang w:val="es-MX"/>
        </w:rPr>
        <w:t>, párrafo 64.</w:t>
      </w:r>
    </w:p>
  </w:footnote>
  <w:footnote w:id="63">
    <w:p w14:paraId="1DFA3FED" w14:textId="4EB9F45E"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i/>
          <w:sz w:val="16"/>
          <w:szCs w:val="16"/>
          <w:lang w:val="es-MX"/>
        </w:rPr>
        <w:t>Cfr.</w:t>
      </w:r>
      <w:r w:rsidRPr="00D36B1C">
        <w:rPr>
          <w:rFonts w:ascii="Verdana" w:hAnsi="Verdana"/>
          <w:sz w:val="16"/>
          <w:szCs w:val="16"/>
          <w:lang w:val="es-MX"/>
        </w:rPr>
        <w:t xml:space="preserve"> Escrito de observaciones de los representantes de 13 de mayo y 14 de junio de 2013, y 9 de mayo de 2017, e informes del Estado de 7 de abril de 2017 y 31 de agosto de 2018. Al respecto, la Comisión tomó nota que los representantes informaron que coincidían con lo afirmado por el Estado. </w:t>
      </w:r>
      <w:r w:rsidRPr="00D36B1C">
        <w:rPr>
          <w:rFonts w:ascii="Verdana" w:hAnsi="Verdana"/>
          <w:i/>
          <w:sz w:val="16"/>
          <w:szCs w:val="16"/>
          <w:lang w:val="es-MX"/>
        </w:rPr>
        <w:t>Cfr.</w:t>
      </w:r>
      <w:r w:rsidRPr="00D36B1C">
        <w:rPr>
          <w:rFonts w:ascii="Verdana" w:hAnsi="Verdana"/>
          <w:sz w:val="16"/>
          <w:szCs w:val="16"/>
          <w:lang w:val="es-MX"/>
        </w:rPr>
        <w:t xml:space="preserve"> Escrito de observaciones de la Comisión de 28 de octubre de 2016.</w:t>
      </w:r>
    </w:p>
  </w:footnote>
  <w:footnote w:id="64">
    <w:p w14:paraId="7005BD1B" w14:textId="26C53124" w:rsidR="00E93C6B" w:rsidRPr="00D36B1C" w:rsidRDefault="00E93C6B" w:rsidP="002540FA">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t xml:space="preserve">Al respecto, los representantes solicitaron que el Estado informara “el número de cuenta y la cantidad de dinero que tiene disponible”, a fin de garantizar que los fondos de dicha cuenta permitan que los beneficiarios “no tendrían ningún inconveniente para el cobro de la indemnización que les corresponda”. </w:t>
      </w:r>
      <w:r w:rsidRPr="00D36B1C">
        <w:rPr>
          <w:rFonts w:ascii="Verdana" w:hAnsi="Verdana"/>
          <w:i/>
          <w:sz w:val="16"/>
          <w:szCs w:val="16"/>
          <w:lang w:val="es-MX"/>
        </w:rPr>
        <w:t>Cfr.</w:t>
      </w:r>
      <w:r w:rsidRPr="00D36B1C">
        <w:rPr>
          <w:rFonts w:ascii="Verdana" w:hAnsi="Verdana"/>
          <w:sz w:val="16"/>
          <w:szCs w:val="16"/>
          <w:lang w:val="es-MX"/>
        </w:rPr>
        <w:t xml:space="preserve"> Escrito de observaciones de los representantes de 13 de mayo de 2013.</w:t>
      </w:r>
    </w:p>
  </w:footnote>
  <w:footnote w:id="65">
    <w:p w14:paraId="568652BE" w14:textId="77777777" w:rsidR="00E93C6B" w:rsidRPr="00D36B1C" w:rsidRDefault="00E93C6B" w:rsidP="00B57F8B">
      <w:pPr>
        <w:pStyle w:val="Textonotapie"/>
        <w:contextualSpacing/>
        <w:jc w:val="both"/>
        <w:rPr>
          <w:rFonts w:ascii="Verdana" w:hAnsi="Verdana"/>
          <w:sz w:val="16"/>
          <w:szCs w:val="16"/>
          <w:lang w:val="es-MX"/>
        </w:rPr>
      </w:pPr>
      <w:r w:rsidRPr="00D36B1C">
        <w:rPr>
          <w:rStyle w:val="Refdenotaalpie"/>
          <w:rFonts w:ascii="Verdana" w:hAnsi="Verdana"/>
          <w:sz w:val="16"/>
          <w:szCs w:val="16"/>
          <w:lang w:val="es-MX"/>
        </w:rPr>
        <w:footnoteRef/>
      </w:r>
      <w:r w:rsidRPr="00D36B1C">
        <w:rPr>
          <w:rFonts w:ascii="Verdana" w:hAnsi="Verdana"/>
          <w:sz w:val="16"/>
          <w:szCs w:val="16"/>
          <w:lang w:val="es-MX"/>
        </w:rPr>
        <w:t xml:space="preserve"> </w:t>
      </w:r>
      <w:r w:rsidRPr="00D36B1C">
        <w:rPr>
          <w:rFonts w:ascii="Verdana" w:hAnsi="Verdana"/>
          <w:sz w:val="16"/>
          <w:szCs w:val="16"/>
          <w:lang w:val="es-MX"/>
        </w:rPr>
        <w:tab/>
      </w:r>
      <w:r w:rsidRPr="00D36B1C">
        <w:rPr>
          <w:rFonts w:ascii="Verdana" w:hAnsi="Verdana" w:cs="Times New Roman"/>
          <w:i/>
          <w:sz w:val="16"/>
          <w:szCs w:val="16"/>
          <w:lang w:val="es-MX"/>
        </w:rPr>
        <w:t>Cfr</w:t>
      </w:r>
      <w:r w:rsidRPr="00D36B1C">
        <w:rPr>
          <w:rFonts w:ascii="Verdana" w:hAnsi="Verdana" w:cs="Times New Roman"/>
          <w:sz w:val="16"/>
          <w:szCs w:val="16"/>
          <w:lang w:val="es-MX"/>
        </w:rPr>
        <w:t>. N</w:t>
      </w:r>
      <w:r w:rsidRPr="00D36B1C">
        <w:rPr>
          <w:rFonts w:ascii="Verdana" w:hAnsi="Verdana" w:cs="Times New Roman"/>
          <w:color w:val="auto"/>
          <w:sz w:val="16"/>
          <w:szCs w:val="16"/>
          <w:lang w:val="es-MX"/>
        </w:rPr>
        <w:t>ota de Secretaría de 9 de noviembre de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72AC"/>
    <w:multiLevelType w:val="hybridMultilevel"/>
    <w:tmpl w:val="4D0ACB16"/>
    <w:lvl w:ilvl="0" w:tplc="9FFC36B8">
      <w:start w:val="1"/>
      <w:numFmt w:val="decimal"/>
      <w:lvlText w:val="%1."/>
      <w:lvlJc w:val="left"/>
      <w:pPr>
        <w:ind w:left="720" w:hanging="360"/>
      </w:pPr>
      <w:rPr>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5460B6B"/>
    <w:multiLevelType w:val="hybridMultilevel"/>
    <w:tmpl w:val="0414D64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0885EAB"/>
    <w:multiLevelType w:val="hybridMultilevel"/>
    <w:tmpl w:val="A72847D2"/>
    <w:lvl w:ilvl="0" w:tplc="9B4E6D28">
      <w:start w:val="1"/>
      <w:numFmt w:val="decimal"/>
      <w:lvlText w:val="%1."/>
      <w:lvlJc w:val="left"/>
      <w:pPr>
        <w:ind w:left="720" w:hanging="360"/>
      </w:pPr>
      <w:rPr>
        <w:b w:val="0"/>
        <w:i w:val="0"/>
        <w:color w:val="auto"/>
      </w:rPr>
    </w:lvl>
    <w:lvl w:ilvl="1" w:tplc="1DE66678">
      <w:start w:val="1"/>
      <w:numFmt w:val="upperLetter"/>
      <w:lvlText w:val="%2."/>
      <w:lvlJc w:val="left"/>
      <w:pPr>
        <w:ind w:left="1440" w:hanging="360"/>
      </w:pPr>
      <w:rPr>
        <w:rFonts w:ascii="Verdana" w:hAnsi="Verdana"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1D96E5F"/>
    <w:multiLevelType w:val="hybridMultilevel"/>
    <w:tmpl w:val="27181B3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49A1D04"/>
    <w:multiLevelType w:val="hybridMultilevel"/>
    <w:tmpl w:val="699A8F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5D63F75"/>
    <w:multiLevelType w:val="hybridMultilevel"/>
    <w:tmpl w:val="7E8891F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84F1F02"/>
    <w:multiLevelType w:val="hybridMultilevel"/>
    <w:tmpl w:val="37E6D754"/>
    <w:lvl w:ilvl="0" w:tplc="6E66D3E2">
      <w:start w:val="3"/>
      <w:numFmt w:val="decimal"/>
      <w:lvlText w:val="%1."/>
      <w:lvlJc w:val="left"/>
      <w:pPr>
        <w:ind w:left="72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3DB1A47"/>
    <w:multiLevelType w:val="hybridMultilevel"/>
    <w:tmpl w:val="A5F8906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4543D32"/>
    <w:multiLevelType w:val="hybridMultilevel"/>
    <w:tmpl w:val="B3400AF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4A26A32"/>
    <w:multiLevelType w:val="hybridMultilevel"/>
    <w:tmpl w:val="4FFE1E3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7C127B2"/>
    <w:multiLevelType w:val="hybridMultilevel"/>
    <w:tmpl w:val="45EE4D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B783BD6"/>
    <w:multiLevelType w:val="hybridMultilevel"/>
    <w:tmpl w:val="7484749E"/>
    <w:lvl w:ilvl="0" w:tplc="140A000F">
      <w:start w:val="1"/>
      <w:numFmt w:val="decimal"/>
      <w:lvlText w:val="%1."/>
      <w:lvlJc w:val="left"/>
      <w:pPr>
        <w:ind w:left="6120" w:hanging="360"/>
      </w:pPr>
      <w:rPr>
        <w:rFonts w:hint="default"/>
      </w:rPr>
    </w:lvl>
    <w:lvl w:ilvl="1" w:tplc="140A0019" w:tentative="1">
      <w:start w:val="1"/>
      <w:numFmt w:val="lowerLetter"/>
      <w:lvlText w:val="%2."/>
      <w:lvlJc w:val="left"/>
      <w:pPr>
        <w:ind w:left="6840" w:hanging="360"/>
      </w:pPr>
    </w:lvl>
    <w:lvl w:ilvl="2" w:tplc="140A001B" w:tentative="1">
      <w:start w:val="1"/>
      <w:numFmt w:val="lowerRoman"/>
      <w:lvlText w:val="%3."/>
      <w:lvlJc w:val="right"/>
      <w:pPr>
        <w:ind w:left="7560" w:hanging="180"/>
      </w:pPr>
    </w:lvl>
    <w:lvl w:ilvl="3" w:tplc="140A000F" w:tentative="1">
      <w:start w:val="1"/>
      <w:numFmt w:val="decimal"/>
      <w:lvlText w:val="%4."/>
      <w:lvlJc w:val="left"/>
      <w:pPr>
        <w:ind w:left="8280" w:hanging="360"/>
      </w:pPr>
    </w:lvl>
    <w:lvl w:ilvl="4" w:tplc="140A0019" w:tentative="1">
      <w:start w:val="1"/>
      <w:numFmt w:val="lowerLetter"/>
      <w:lvlText w:val="%5."/>
      <w:lvlJc w:val="left"/>
      <w:pPr>
        <w:ind w:left="9000" w:hanging="360"/>
      </w:pPr>
    </w:lvl>
    <w:lvl w:ilvl="5" w:tplc="140A001B" w:tentative="1">
      <w:start w:val="1"/>
      <w:numFmt w:val="lowerRoman"/>
      <w:lvlText w:val="%6."/>
      <w:lvlJc w:val="right"/>
      <w:pPr>
        <w:ind w:left="9720" w:hanging="180"/>
      </w:pPr>
    </w:lvl>
    <w:lvl w:ilvl="6" w:tplc="140A000F" w:tentative="1">
      <w:start w:val="1"/>
      <w:numFmt w:val="decimal"/>
      <w:lvlText w:val="%7."/>
      <w:lvlJc w:val="left"/>
      <w:pPr>
        <w:ind w:left="10440" w:hanging="360"/>
      </w:pPr>
    </w:lvl>
    <w:lvl w:ilvl="7" w:tplc="140A0019" w:tentative="1">
      <w:start w:val="1"/>
      <w:numFmt w:val="lowerLetter"/>
      <w:lvlText w:val="%8."/>
      <w:lvlJc w:val="left"/>
      <w:pPr>
        <w:ind w:left="11160" w:hanging="360"/>
      </w:pPr>
    </w:lvl>
    <w:lvl w:ilvl="8" w:tplc="140A001B" w:tentative="1">
      <w:start w:val="1"/>
      <w:numFmt w:val="lowerRoman"/>
      <w:lvlText w:val="%9."/>
      <w:lvlJc w:val="right"/>
      <w:pPr>
        <w:ind w:left="11880" w:hanging="180"/>
      </w:pPr>
    </w:lvl>
  </w:abstractNum>
  <w:abstractNum w:abstractNumId="12" w15:restartNumberingAfterBreak="0">
    <w:nsid w:val="3CCA4268"/>
    <w:multiLevelType w:val="hybridMultilevel"/>
    <w:tmpl w:val="2FE48E3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D082067"/>
    <w:multiLevelType w:val="multilevel"/>
    <w:tmpl w:val="68FC1404"/>
    <w:lvl w:ilvl="0">
      <w:start w:val="1"/>
      <w:numFmt w:val="decimal"/>
      <w:lvlText w:val="%1."/>
      <w:lvlJc w:val="left"/>
      <w:pPr>
        <w:ind w:left="720" w:firstLine="360"/>
      </w:pPr>
      <w:rPr>
        <w:rFonts w:ascii="Verdana" w:eastAsia="Verdana" w:hAnsi="Verdana" w:cs="Verdana"/>
        <w:b w:val="0"/>
        <w:color w:val="000000"/>
      </w:rPr>
    </w:lvl>
    <w:lvl w:ilvl="1">
      <w:start w:val="1"/>
      <w:numFmt w:val="lowerLetter"/>
      <w:lvlText w:val="%2."/>
      <w:lvlJc w:val="left"/>
      <w:pPr>
        <w:ind w:left="1440" w:firstLine="1080"/>
      </w:pPr>
    </w:lvl>
    <w:lvl w:ilvl="2">
      <w:start w:val="1"/>
      <w:numFmt w:val="lowerRoman"/>
      <w:lvlText w:val="%3."/>
      <w:lvlJc w:val="right"/>
      <w:pPr>
        <w:ind w:left="2160" w:firstLine="1980"/>
      </w:pPr>
      <w:rPr>
        <w:b/>
        <w:i w:val="0"/>
      </w:r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3EE45F1F"/>
    <w:multiLevelType w:val="hybridMultilevel"/>
    <w:tmpl w:val="98BCD8E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6C24C18"/>
    <w:multiLevelType w:val="hybridMultilevel"/>
    <w:tmpl w:val="CB5ACDEC"/>
    <w:lvl w:ilvl="0" w:tplc="140A0015">
      <w:start w:val="1"/>
      <w:numFmt w:val="upperLetter"/>
      <w:lvlText w:val="%1."/>
      <w:lvlJc w:val="left"/>
      <w:pPr>
        <w:ind w:left="720" w:hanging="360"/>
      </w:pPr>
    </w:lvl>
    <w:lvl w:ilvl="1" w:tplc="140A000F">
      <w:start w:val="1"/>
      <w:numFmt w:val="decimal"/>
      <w:lvlText w:val="%2."/>
      <w:lvlJc w:val="left"/>
      <w:pPr>
        <w:ind w:left="1440" w:hanging="360"/>
      </w:pPr>
    </w:lvl>
    <w:lvl w:ilvl="2" w:tplc="140A000F">
      <w:start w:val="1"/>
      <w:numFmt w:val="decimal"/>
      <w:lvlText w:val="%3."/>
      <w:lvlJc w:val="left"/>
      <w:pPr>
        <w:ind w:left="2160" w:hanging="180"/>
      </w:pPr>
    </w:lvl>
    <w:lvl w:ilvl="3" w:tplc="4B5C6FF8">
      <w:start w:val="2"/>
      <w:numFmt w:val="lowerRoman"/>
      <w:lvlText w:val="%4)"/>
      <w:lvlJc w:val="left"/>
      <w:pPr>
        <w:ind w:left="3240" w:hanging="720"/>
      </w:pPr>
      <w:rPr>
        <w:rFonts w:hint="default"/>
        <w:b/>
        <w:i w:val="0"/>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B122987"/>
    <w:multiLevelType w:val="hybridMultilevel"/>
    <w:tmpl w:val="8F78695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2AC4BA2"/>
    <w:multiLevelType w:val="hybridMultilevel"/>
    <w:tmpl w:val="C72C81F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6094F37"/>
    <w:multiLevelType w:val="hybridMultilevel"/>
    <w:tmpl w:val="536CBBC4"/>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6D9092F"/>
    <w:multiLevelType w:val="hybridMultilevel"/>
    <w:tmpl w:val="AF2239E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75635BD"/>
    <w:multiLevelType w:val="hybridMultilevel"/>
    <w:tmpl w:val="868C268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022458A"/>
    <w:multiLevelType w:val="hybridMultilevel"/>
    <w:tmpl w:val="604CD4EE"/>
    <w:lvl w:ilvl="0" w:tplc="5AC0D2E2">
      <w:start w:val="1"/>
      <w:numFmt w:val="lowerLetter"/>
      <w:lvlText w:val="%1)"/>
      <w:lvlJc w:val="left"/>
      <w:pPr>
        <w:ind w:left="735" w:hanging="375"/>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3B5617B"/>
    <w:multiLevelType w:val="hybridMultilevel"/>
    <w:tmpl w:val="D594224C"/>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3" w15:restartNumberingAfterBreak="0">
    <w:nsid w:val="67403F8B"/>
    <w:multiLevelType w:val="hybridMultilevel"/>
    <w:tmpl w:val="98BCD8E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8142226"/>
    <w:multiLevelType w:val="hybridMultilevel"/>
    <w:tmpl w:val="2C08A46E"/>
    <w:lvl w:ilvl="0" w:tplc="140A0015">
      <w:start w:val="1"/>
      <w:numFmt w:val="upperLetter"/>
      <w:lvlText w:val="%1."/>
      <w:lvlJc w:val="left"/>
      <w:pPr>
        <w:ind w:left="720" w:hanging="360"/>
      </w:pPr>
    </w:lvl>
    <w:lvl w:ilvl="1" w:tplc="140A000F">
      <w:start w:val="1"/>
      <w:numFmt w:val="decimal"/>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D843214"/>
    <w:multiLevelType w:val="hybridMultilevel"/>
    <w:tmpl w:val="572A385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B2B7E39"/>
    <w:multiLevelType w:val="hybridMultilevel"/>
    <w:tmpl w:val="6F8E168E"/>
    <w:lvl w:ilvl="0" w:tplc="8D80C84E">
      <w:start w:val="4"/>
      <w:numFmt w:val="upperLetter"/>
      <w:lvlText w:val="%1."/>
      <w:lvlJc w:val="left"/>
      <w:pPr>
        <w:ind w:left="1440" w:hanging="360"/>
      </w:pPr>
      <w:rPr>
        <w:rFonts w:ascii="Verdana" w:hAnsi="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7"/>
  </w:num>
  <w:num w:numId="2">
    <w:abstractNumId w:val="25"/>
  </w:num>
  <w:num w:numId="3">
    <w:abstractNumId w:val="5"/>
  </w:num>
  <w:num w:numId="4">
    <w:abstractNumId w:val="10"/>
  </w:num>
  <w:num w:numId="5">
    <w:abstractNumId w:val="12"/>
  </w:num>
  <w:num w:numId="6">
    <w:abstractNumId w:val="8"/>
  </w:num>
  <w:num w:numId="7">
    <w:abstractNumId w:val="14"/>
  </w:num>
  <w:num w:numId="8">
    <w:abstractNumId w:val="23"/>
  </w:num>
  <w:num w:numId="9">
    <w:abstractNumId w:val="1"/>
  </w:num>
  <w:num w:numId="10">
    <w:abstractNumId w:val="9"/>
  </w:num>
  <w:num w:numId="11">
    <w:abstractNumId w:val="13"/>
  </w:num>
  <w:num w:numId="12">
    <w:abstractNumId w:val="24"/>
  </w:num>
  <w:num w:numId="13">
    <w:abstractNumId w:val="3"/>
  </w:num>
  <w:num w:numId="14">
    <w:abstractNumId w:val="2"/>
  </w:num>
  <w:num w:numId="15">
    <w:abstractNumId w:val="15"/>
  </w:num>
  <w:num w:numId="16">
    <w:abstractNumId w:val="0"/>
  </w:num>
  <w:num w:numId="17">
    <w:abstractNumId w:val="26"/>
  </w:num>
  <w:num w:numId="18">
    <w:abstractNumId w:val="22"/>
  </w:num>
  <w:num w:numId="19">
    <w:abstractNumId w:val="4"/>
  </w:num>
  <w:num w:numId="20">
    <w:abstractNumId w:val="21"/>
  </w:num>
  <w:num w:numId="21">
    <w:abstractNumId w:val="20"/>
  </w:num>
  <w:num w:numId="22">
    <w:abstractNumId w:val="6"/>
  </w:num>
  <w:num w:numId="23">
    <w:abstractNumId w:val="11"/>
  </w:num>
  <w:num w:numId="24">
    <w:abstractNumId w:val="16"/>
  </w:num>
  <w:num w:numId="25">
    <w:abstractNumId w:val="17"/>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3F"/>
    <w:rsid w:val="00006609"/>
    <w:rsid w:val="00013557"/>
    <w:rsid w:val="00016EE1"/>
    <w:rsid w:val="00021114"/>
    <w:rsid w:val="000217C7"/>
    <w:rsid w:val="0002654A"/>
    <w:rsid w:val="00031A7A"/>
    <w:rsid w:val="000431D2"/>
    <w:rsid w:val="00045262"/>
    <w:rsid w:val="00052E12"/>
    <w:rsid w:val="0006013F"/>
    <w:rsid w:val="0006134A"/>
    <w:rsid w:val="00062550"/>
    <w:rsid w:val="00062D16"/>
    <w:rsid w:val="00063ECB"/>
    <w:rsid w:val="00065685"/>
    <w:rsid w:val="000656DE"/>
    <w:rsid w:val="00066359"/>
    <w:rsid w:val="00070B3F"/>
    <w:rsid w:val="000715F0"/>
    <w:rsid w:val="00072513"/>
    <w:rsid w:val="00074555"/>
    <w:rsid w:val="00074CB2"/>
    <w:rsid w:val="00075891"/>
    <w:rsid w:val="00077B02"/>
    <w:rsid w:val="00082108"/>
    <w:rsid w:val="00082DBB"/>
    <w:rsid w:val="00091A3C"/>
    <w:rsid w:val="00094596"/>
    <w:rsid w:val="00094A3F"/>
    <w:rsid w:val="000957EB"/>
    <w:rsid w:val="00096DDF"/>
    <w:rsid w:val="00097CA5"/>
    <w:rsid w:val="00097DF4"/>
    <w:rsid w:val="000A249D"/>
    <w:rsid w:val="000A3E74"/>
    <w:rsid w:val="000A4CC4"/>
    <w:rsid w:val="000A5D8E"/>
    <w:rsid w:val="000B0459"/>
    <w:rsid w:val="000B2F92"/>
    <w:rsid w:val="000B35B5"/>
    <w:rsid w:val="000B3A60"/>
    <w:rsid w:val="000B5476"/>
    <w:rsid w:val="000B73F6"/>
    <w:rsid w:val="000C31ED"/>
    <w:rsid w:val="000C3810"/>
    <w:rsid w:val="000C6D24"/>
    <w:rsid w:val="000D042A"/>
    <w:rsid w:val="000D07A4"/>
    <w:rsid w:val="000D242B"/>
    <w:rsid w:val="000D5772"/>
    <w:rsid w:val="000D7A8A"/>
    <w:rsid w:val="000E1F0F"/>
    <w:rsid w:val="000E2116"/>
    <w:rsid w:val="000E2EB6"/>
    <w:rsid w:val="000E483A"/>
    <w:rsid w:val="000F026A"/>
    <w:rsid w:val="000F1AF2"/>
    <w:rsid w:val="000F35C7"/>
    <w:rsid w:val="000F39AB"/>
    <w:rsid w:val="000F525C"/>
    <w:rsid w:val="000F7D46"/>
    <w:rsid w:val="0010181A"/>
    <w:rsid w:val="00101B56"/>
    <w:rsid w:val="0010409C"/>
    <w:rsid w:val="00106E90"/>
    <w:rsid w:val="001073F3"/>
    <w:rsid w:val="00107DA7"/>
    <w:rsid w:val="00111873"/>
    <w:rsid w:val="00113A57"/>
    <w:rsid w:val="00114282"/>
    <w:rsid w:val="00117C52"/>
    <w:rsid w:val="00120060"/>
    <w:rsid w:val="00120509"/>
    <w:rsid w:val="00120DA6"/>
    <w:rsid w:val="00121DCD"/>
    <w:rsid w:val="001220CD"/>
    <w:rsid w:val="00123739"/>
    <w:rsid w:val="001241B6"/>
    <w:rsid w:val="00126A6D"/>
    <w:rsid w:val="00126BB6"/>
    <w:rsid w:val="00131EE1"/>
    <w:rsid w:val="00133D31"/>
    <w:rsid w:val="00135422"/>
    <w:rsid w:val="00135974"/>
    <w:rsid w:val="00136FBE"/>
    <w:rsid w:val="00140093"/>
    <w:rsid w:val="00140319"/>
    <w:rsid w:val="001419E1"/>
    <w:rsid w:val="00141E32"/>
    <w:rsid w:val="00143316"/>
    <w:rsid w:val="00144A0E"/>
    <w:rsid w:val="001513A8"/>
    <w:rsid w:val="00151729"/>
    <w:rsid w:val="00152BA3"/>
    <w:rsid w:val="00155589"/>
    <w:rsid w:val="0015793D"/>
    <w:rsid w:val="00157A31"/>
    <w:rsid w:val="00161B27"/>
    <w:rsid w:val="001645F1"/>
    <w:rsid w:val="00164F3F"/>
    <w:rsid w:val="00165F64"/>
    <w:rsid w:val="001678D8"/>
    <w:rsid w:val="00170B46"/>
    <w:rsid w:val="001710CD"/>
    <w:rsid w:val="0017163D"/>
    <w:rsid w:val="00171A3F"/>
    <w:rsid w:val="00172226"/>
    <w:rsid w:val="0017608C"/>
    <w:rsid w:val="00176218"/>
    <w:rsid w:val="0017739D"/>
    <w:rsid w:val="00181061"/>
    <w:rsid w:val="00182CE1"/>
    <w:rsid w:val="00183B86"/>
    <w:rsid w:val="0018408E"/>
    <w:rsid w:val="001851D2"/>
    <w:rsid w:val="001875B4"/>
    <w:rsid w:val="00190307"/>
    <w:rsid w:val="001A0994"/>
    <w:rsid w:val="001A1756"/>
    <w:rsid w:val="001A5327"/>
    <w:rsid w:val="001B0148"/>
    <w:rsid w:val="001B2106"/>
    <w:rsid w:val="001B22D4"/>
    <w:rsid w:val="001B338F"/>
    <w:rsid w:val="001C2140"/>
    <w:rsid w:val="001C3325"/>
    <w:rsid w:val="001D0739"/>
    <w:rsid w:val="001D17D7"/>
    <w:rsid w:val="001D40C7"/>
    <w:rsid w:val="001D6223"/>
    <w:rsid w:val="001D75C8"/>
    <w:rsid w:val="001E163A"/>
    <w:rsid w:val="001E1918"/>
    <w:rsid w:val="001E2E7A"/>
    <w:rsid w:val="001E4CB9"/>
    <w:rsid w:val="001E5FC7"/>
    <w:rsid w:val="001F1FCC"/>
    <w:rsid w:val="001F20D3"/>
    <w:rsid w:val="001F2592"/>
    <w:rsid w:val="001F4B66"/>
    <w:rsid w:val="001F74CF"/>
    <w:rsid w:val="002019EA"/>
    <w:rsid w:val="00202F6A"/>
    <w:rsid w:val="00204CCB"/>
    <w:rsid w:val="002051B5"/>
    <w:rsid w:val="002051D9"/>
    <w:rsid w:val="00205390"/>
    <w:rsid w:val="00205BF5"/>
    <w:rsid w:val="00207A34"/>
    <w:rsid w:val="00207D54"/>
    <w:rsid w:val="0021501F"/>
    <w:rsid w:val="0021610A"/>
    <w:rsid w:val="0021725E"/>
    <w:rsid w:val="0022081A"/>
    <w:rsid w:val="00221747"/>
    <w:rsid w:val="00221EC9"/>
    <w:rsid w:val="002220F1"/>
    <w:rsid w:val="002227F0"/>
    <w:rsid w:val="0022425D"/>
    <w:rsid w:val="00224AF2"/>
    <w:rsid w:val="00225598"/>
    <w:rsid w:val="002268A8"/>
    <w:rsid w:val="00230685"/>
    <w:rsid w:val="0023143F"/>
    <w:rsid w:val="002315AE"/>
    <w:rsid w:val="0023197D"/>
    <w:rsid w:val="0023203B"/>
    <w:rsid w:val="00235065"/>
    <w:rsid w:val="002403CB"/>
    <w:rsid w:val="00241CCE"/>
    <w:rsid w:val="00243A05"/>
    <w:rsid w:val="00247D46"/>
    <w:rsid w:val="00251DCC"/>
    <w:rsid w:val="002528C0"/>
    <w:rsid w:val="002540FA"/>
    <w:rsid w:val="00262EF7"/>
    <w:rsid w:val="00263038"/>
    <w:rsid w:val="00263E5D"/>
    <w:rsid w:val="00266FE3"/>
    <w:rsid w:val="002722F1"/>
    <w:rsid w:val="002730CB"/>
    <w:rsid w:val="00276860"/>
    <w:rsid w:val="00283592"/>
    <w:rsid w:val="002862B0"/>
    <w:rsid w:val="0028704D"/>
    <w:rsid w:val="00291B86"/>
    <w:rsid w:val="00293A41"/>
    <w:rsid w:val="00294B1D"/>
    <w:rsid w:val="00295AA8"/>
    <w:rsid w:val="00295DC3"/>
    <w:rsid w:val="002A2C6F"/>
    <w:rsid w:val="002A5406"/>
    <w:rsid w:val="002A722F"/>
    <w:rsid w:val="002B0719"/>
    <w:rsid w:val="002B60E7"/>
    <w:rsid w:val="002C33CC"/>
    <w:rsid w:val="002C4C49"/>
    <w:rsid w:val="002C6C85"/>
    <w:rsid w:val="002D4F20"/>
    <w:rsid w:val="002D52C1"/>
    <w:rsid w:val="002D535E"/>
    <w:rsid w:val="002D5B55"/>
    <w:rsid w:val="002E22F2"/>
    <w:rsid w:val="002E2F5E"/>
    <w:rsid w:val="002E3041"/>
    <w:rsid w:val="002E37D7"/>
    <w:rsid w:val="002E551A"/>
    <w:rsid w:val="002E6438"/>
    <w:rsid w:val="002F1222"/>
    <w:rsid w:val="002F3CD8"/>
    <w:rsid w:val="002F7912"/>
    <w:rsid w:val="00301F94"/>
    <w:rsid w:val="00302044"/>
    <w:rsid w:val="00303939"/>
    <w:rsid w:val="00305BA8"/>
    <w:rsid w:val="0030674F"/>
    <w:rsid w:val="00311B55"/>
    <w:rsid w:val="003144AF"/>
    <w:rsid w:val="00315BB8"/>
    <w:rsid w:val="00321044"/>
    <w:rsid w:val="00321369"/>
    <w:rsid w:val="00321414"/>
    <w:rsid w:val="00321773"/>
    <w:rsid w:val="00322245"/>
    <w:rsid w:val="00325C21"/>
    <w:rsid w:val="00325EA9"/>
    <w:rsid w:val="003270D8"/>
    <w:rsid w:val="003277F4"/>
    <w:rsid w:val="00327A31"/>
    <w:rsid w:val="00327D61"/>
    <w:rsid w:val="00332163"/>
    <w:rsid w:val="0033797F"/>
    <w:rsid w:val="0034116B"/>
    <w:rsid w:val="0034232D"/>
    <w:rsid w:val="00346104"/>
    <w:rsid w:val="00346FFB"/>
    <w:rsid w:val="003477F9"/>
    <w:rsid w:val="00351401"/>
    <w:rsid w:val="00351C71"/>
    <w:rsid w:val="003551F8"/>
    <w:rsid w:val="003560AE"/>
    <w:rsid w:val="003566C0"/>
    <w:rsid w:val="0036295A"/>
    <w:rsid w:val="00363234"/>
    <w:rsid w:val="00365020"/>
    <w:rsid w:val="00365DE5"/>
    <w:rsid w:val="003662A8"/>
    <w:rsid w:val="00366C59"/>
    <w:rsid w:val="003672B3"/>
    <w:rsid w:val="003676A8"/>
    <w:rsid w:val="00371E1E"/>
    <w:rsid w:val="003814CA"/>
    <w:rsid w:val="00384D2C"/>
    <w:rsid w:val="00391085"/>
    <w:rsid w:val="00391532"/>
    <w:rsid w:val="00391A45"/>
    <w:rsid w:val="00393D95"/>
    <w:rsid w:val="003A0CEF"/>
    <w:rsid w:val="003A1AEC"/>
    <w:rsid w:val="003A3E03"/>
    <w:rsid w:val="003A4952"/>
    <w:rsid w:val="003A4BCA"/>
    <w:rsid w:val="003A53D0"/>
    <w:rsid w:val="003B3879"/>
    <w:rsid w:val="003B523D"/>
    <w:rsid w:val="003C3F1C"/>
    <w:rsid w:val="003C5E76"/>
    <w:rsid w:val="003D0910"/>
    <w:rsid w:val="003D0F77"/>
    <w:rsid w:val="003D3E2E"/>
    <w:rsid w:val="003E0B4A"/>
    <w:rsid w:val="003E2343"/>
    <w:rsid w:val="003E7A85"/>
    <w:rsid w:val="003F04A6"/>
    <w:rsid w:val="003F0DC6"/>
    <w:rsid w:val="003F32F4"/>
    <w:rsid w:val="003F6B3A"/>
    <w:rsid w:val="003F775C"/>
    <w:rsid w:val="00404783"/>
    <w:rsid w:val="0041351B"/>
    <w:rsid w:val="004160DA"/>
    <w:rsid w:val="00416A62"/>
    <w:rsid w:val="00421107"/>
    <w:rsid w:val="00421431"/>
    <w:rsid w:val="00422277"/>
    <w:rsid w:val="0042679B"/>
    <w:rsid w:val="00437AD1"/>
    <w:rsid w:val="004423DC"/>
    <w:rsid w:val="004441F9"/>
    <w:rsid w:val="00446F01"/>
    <w:rsid w:val="00447043"/>
    <w:rsid w:val="004477C2"/>
    <w:rsid w:val="0045252B"/>
    <w:rsid w:val="00452BA1"/>
    <w:rsid w:val="00453074"/>
    <w:rsid w:val="00455542"/>
    <w:rsid w:val="00455A34"/>
    <w:rsid w:val="00455FFC"/>
    <w:rsid w:val="00457316"/>
    <w:rsid w:val="0046375C"/>
    <w:rsid w:val="00465E2E"/>
    <w:rsid w:val="004663BC"/>
    <w:rsid w:val="00472858"/>
    <w:rsid w:val="0047612F"/>
    <w:rsid w:val="00476D01"/>
    <w:rsid w:val="00482510"/>
    <w:rsid w:val="0048740C"/>
    <w:rsid w:val="00494B18"/>
    <w:rsid w:val="0049552F"/>
    <w:rsid w:val="0049588E"/>
    <w:rsid w:val="00496850"/>
    <w:rsid w:val="004A0107"/>
    <w:rsid w:val="004A4F89"/>
    <w:rsid w:val="004A53D4"/>
    <w:rsid w:val="004A58BD"/>
    <w:rsid w:val="004A75DB"/>
    <w:rsid w:val="004B0083"/>
    <w:rsid w:val="004B2424"/>
    <w:rsid w:val="004B460F"/>
    <w:rsid w:val="004B70BA"/>
    <w:rsid w:val="004C0C57"/>
    <w:rsid w:val="004C10CD"/>
    <w:rsid w:val="004C3A61"/>
    <w:rsid w:val="004C4713"/>
    <w:rsid w:val="004C5AFC"/>
    <w:rsid w:val="004D43DD"/>
    <w:rsid w:val="004D5550"/>
    <w:rsid w:val="004E0080"/>
    <w:rsid w:val="004E0C6E"/>
    <w:rsid w:val="004E2944"/>
    <w:rsid w:val="004E53B4"/>
    <w:rsid w:val="004E7C0F"/>
    <w:rsid w:val="004F06D2"/>
    <w:rsid w:val="004F09EB"/>
    <w:rsid w:val="004F20FD"/>
    <w:rsid w:val="004F33C0"/>
    <w:rsid w:val="004F47C1"/>
    <w:rsid w:val="004F4E17"/>
    <w:rsid w:val="004F533B"/>
    <w:rsid w:val="004F5E05"/>
    <w:rsid w:val="004F7102"/>
    <w:rsid w:val="00500337"/>
    <w:rsid w:val="00502689"/>
    <w:rsid w:val="00506C30"/>
    <w:rsid w:val="005115D2"/>
    <w:rsid w:val="0051291E"/>
    <w:rsid w:val="00513DD4"/>
    <w:rsid w:val="00514F4A"/>
    <w:rsid w:val="005170EA"/>
    <w:rsid w:val="00520ABC"/>
    <w:rsid w:val="00520AFD"/>
    <w:rsid w:val="00521B35"/>
    <w:rsid w:val="0052296D"/>
    <w:rsid w:val="00523940"/>
    <w:rsid w:val="00526295"/>
    <w:rsid w:val="0052645D"/>
    <w:rsid w:val="00530DA4"/>
    <w:rsid w:val="00531B7A"/>
    <w:rsid w:val="00535A80"/>
    <w:rsid w:val="0054167B"/>
    <w:rsid w:val="00555681"/>
    <w:rsid w:val="005626B6"/>
    <w:rsid w:val="0056343D"/>
    <w:rsid w:val="00564375"/>
    <w:rsid w:val="005644D1"/>
    <w:rsid w:val="0056490F"/>
    <w:rsid w:val="00566040"/>
    <w:rsid w:val="005670F1"/>
    <w:rsid w:val="005706C3"/>
    <w:rsid w:val="0057175A"/>
    <w:rsid w:val="005727BC"/>
    <w:rsid w:val="0057579B"/>
    <w:rsid w:val="00575B5E"/>
    <w:rsid w:val="0059640E"/>
    <w:rsid w:val="005967BC"/>
    <w:rsid w:val="00597AEE"/>
    <w:rsid w:val="005A102E"/>
    <w:rsid w:val="005A529F"/>
    <w:rsid w:val="005A584E"/>
    <w:rsid w:val="005A643A"/>
    <w:rsid w:val="005B1F49"/>
    <w:rsid w:val="005B5DA4"/>
    <w:rsid w:val="005B7967"/>
    <w:rsid w:val="005C1AB4"/>
    <w:rsid w:val="005C42DC"/>
    <w:rsid w:val="005C46BE"/>
    <w:rsid w:val="005C60BF"/>
    <w:rsid w:val="005C7DD3"/>
    <w:rsid w:val="005C7DFF"/>
    <w:rsid w:val="005D0BB1"/>
    <w:rsid w:val="005D548E"/>
    <w:rsid w:val="005D7083"/>
    <w:rsid w:val="005E0045"/>
    <w:rsid w:val="005E0926"/>
    <w:rsid w:val="005E0D39"/>
    <w:rsid w:val="005E1B0D"/>
    <w:rsid w:val="005E3E23"/>
    <w:rsid w:val="005E7720"/>
    <w:rsid w:val="005F1E08"/>
    <w:rsid w:val="005F2B59"/>
    <w:rsid w:val="005F2E23"/>
    <w:rsid w:val="005F4017"/>
    <w:rsid w:val="00603798"/>
    <w:rsid w:val="00604347"/>
    <w:rsid w:val="00605203"/>
    <w:rsid w:val="00605C99"/>
    <w:rsid w:val="00606C68"/>
    <w:rsid w:val="00610094"/>
    <w:rsid w:val="0061012D"/>
    <w:rsid w:val="00611920"/>
    <w:rsid w:val="0061367A"/>
    <w:rsid w:val="0062090C"/>
    <w:rsid w:val="00620C69"/>
    <w:rsid w:val="00622BE1"/>
    <w:rsid w:val="00622E3D"/>
    <w:rsid w:val="00630075"/>
    <w:rsid w:val="0063192E"/>
    <w:rsid w:val="0063441B"/>
    <w:rsid w:val="00636549"/>
    <w:rsid w:val="00637097"/>
    <w:rsid w:val="00640558"/>
    <w:rsid w:val="006405DF"/>
    <w:rsid w:val="00640E46"/>
    <w:rsid w:val="00645AFE"/>
    <w:rsid w:val="0064730F"/>
    <w:rsid w:val="0065327D"/>
    <w:rsid w:val="006558AA"/>
    <w:rsid w:val="006614F6"/>
    <w:rsid w:val="00661521"/>
    <w:rsid w:val="006627C5"/>
    <w:rsid w:val="006632C2"/>
    <w:rsid w:val="00663679"/>
    <w:rsid w:val="00663C66"/>
    <w:rsid w:val="0066553C"/>
    <w:rsid w:val="00665ABE"/>
    <w:rsid w:val="006677D9"/>
    <w:rsid w:val="006761CA"/>
    <w:rsid w:val="00677471"/>
    <w:rsid w:val="0068250B"/>
    <w:rsid w:val="00685093"/>
    <w:rsid w:val="006878AE"/>
    <w:rsid w:val="00691D6C"/>
    <w:rsid w:val="006939F8"/>
    <w:rsid w:val="0069433B"/>
    <w:rsid w:val="006959AB"/>
    <w:rsid w:val="00697708"/>
    <w:rsid w:val="00697B39"/>
    <w:rsid w:val="006A1C43"/>
    <w:rsid w:val="006A2ADA"/>
    <w:rsid w:val="006A31C2"/>
    <w:rsid w:val="006A3BEA"/>
    <w:rsid w:val="006A3C9A"/>
    <w:rsid w:val="006A5524"/>
    <w:rsid w:val="006B569E"/>
    <w:rsid w:val="006B6935"/>
    <w:rsid w:val="006C0DC0"/>
    <w:rsid w:val="006C1754"/>
    <w:rsid w:val="006C4EDC"/>
    <w:rsid w:val="006C65EE"/>
    <w:rsid w:val="006D7E7F"/>
    <w:rsid w:val="006E23F4"/>
    <w:rsid w:val="006E2D02"/>
    <w:rsid w:val="006E3232"/>
    <w:rsid w:val="006E40A1"/>
    <w:rsid w:val="006E75D9"/>
    <w:rsid w:val="006F297C"/>
    <w:rsid w:val="006F2A60"/>
    <w:rsid w:val="006F4B96"/>
    <w:rsid w:val="006F6121"/>
    <w:rsid w:val="007037A3"/>
    <w:rsid w:val="0070593A"/>
    <w:rsid w:val="00706A0E"/>
    <w:rsid w:val="00716B53"/>
    <w:rsid w:val="007170F0"/>
    <w:rsid w:val="00717FAC"/>
    <w:rsid w:val="00720637"/>
    <w:rsid w:val="00720EA8"/>
    <w:rsid w:val="00723158"/>
    <w:rsid w:val="00723BBC"/>
    <w:rsid w:val="0072468D"/>
    <w:rsid w:val="007256C0"/>
    <w:rsid w:val="00726CA6"/>
    <w:rsid w:val="00730BEA"/>
    <w:rsid w:val="0073127E"/>
    <w:rsid w:val="00731543"/>
    <w:rsid w:val="00734E5F"/>
    <w:rsid w:val="0073543F"/>
    <w:rsid w:val="00736001"/>
    <w:rsid w:val="0073676B"/>
    <w:rsid w:val="00745DA9"/>
    <w:rsid w:val="00746B77"/>
    <w:rsid w:val="00755110"/>
    <w:rsid w:val="00756216"/>
    <w:rsid w:val="00756FFC"/>
    <w:rsid w:val="007578EA"/>
    <w:rsid w:val="007606F2"/>
    <w:rsid w:val="007614E9"/>
    <w:rsid w:val="00761638"/>
    <w:rsid w:val="00761C37"/>
    <w:rsid w:val="00762A06"/>
    <w:rsid w:val="00764200"/>
    <w:rsid w:val="00767CD7"/>
    <w:rsid w:val="00770A95"/>
    <w:rsid w:val="00776079"/>
    <w:rsid w:val="00777100"/>
    <w:rsid w:val="0077797F"/>
    <w:rsid w:val="007827A1"/>
    <w:rsid w:val="00787AD6"/>
    <w:rsid w:val="00790927"/>
    <w:rsid w:val="00791326"/>
    <w:rsid w:val="00793B74"/>
    <w:rsid w:val="007945B6"/>
    <w:rsid w:val="00794C11"/>
    <w:rsid w:val="00795F22"/>
    <w:rsid w:val="007B150E"/>
    <w:rsid w:val="007B5EAB"/>
    <w:rsid w:val="007C3BC0"/>
    <w:rsid w:val="007C42DA"/>
    <w:rsid w:val="007C4D44"/>
    <w:rsid w:val="007D2085"/>
    <w:rsid w:val="007D23A3"/>
    <w:rsid w:val="007D6EB8"/>
    <w:rsid w:val="007E0408"/>
    <w:rsid w:val="007E3F66"/>
    <w:rsid w:val="007E65C8"/>
    <w:rsid w:val="007F2C39"/>
    <w:rsid w:val="007F3266"/>
    <w:rsid w:val="007F4F35"/>
    <w:rsid w:val="007F5617"/>
    <w:rsid w:val="007F5EA8"/>
    <w:rsid w:val="00804BE3"/>
    <w:rsid w:val="00805EA0"/>
    <w:rsid w:val="00806CB5"/>
    <w:rsid w:val="00814296"/>
    <w:rsid w:val="008162D5"/>
    <w:rsid w:val="008231F5"/>
    <w:rsid w:val="008239FB"/>
    <w:rsid w:val="00823F59"/>
    <w:rsid w:val="008243D0"/>
    <w:rsid w:val="00831871"/>
    <w:rsid w:val="00832816"/>
    <w:rsid w:val="00833435"/>
    <w:rsid w:val="008417BF"/>
    <w:rsid w:val="0084334B"/>
    <w:rsid w:val="00852D7A"/>
    <w:rsid w:val="00854196"/>
    <w:rsid w:val="008558D4"/>
    <w:rsid w:val="00860495"/>
    <w:rsid w:val="00862F10"/>
    <w:rsid w:val="00865713"/>
    <w:rsid w:val="00865F73"/>
    <w:rsid w:val="008662A6"/>
    <w:rsid w:val="008743F4"/>
    <w:rsid w:val="008744A9"/>
    <w:rsid w:val="00874A38"/>
    <w:rsid w:val="00876994"/>
    <w:rsid w:val="00876F11"/>
    <w:rsid w:val="00883308"/>
    <w:rsid w:val="008904FD"/>
    <w:rsid w:val="00890922"/>
    <w:rsid w:val="00890A92"/>
    <w:rsid w:val="00890CB6"/>
    <w:rsid w:val="008937AD"/>
    <w:rsid w:val="008946EA"/>
    <w:rsid w:val="00895E9A"/>
    <w:rsid w:val="00896FC4"/>
    <w:rsid w:val="008A10F6"/>
    <w:rsid w:val="008A1B74"/>
    <w:rsid w:val="008A3B03"/>
    <w:rsid w:val="008A7DFC"/>
    <w:rsid w:val="008B2C9E"/>
    <w:rsid w:val="008B5680"/>
    <w:rsid w:val="008B58DB"/>
    <w:rsid w:val="008B714D"/>
    <w:rsid w:val="008C1238"/>
    <w:rsid w:val="008C419B"/>
    <w:rsid w:val="008C4D6E"/>
    <w:rsid w:val="008C5954"/>
    <w:rsid w:val="008D1CA6"/>
    <w:rsid w:val="008D2028"/>
    <w:rsid w:val="008D622D"/>
    <w:rsid w:val="008E03F8"/>
    <w:rsid w:val="008E0811"/>
    <w:rsid w:val="008E466D"/>
    <w:rsid w:val="008E6AED"/>
    <w:rsid w:val="008E6D97"/>
    <w:rsid w:val="008F0FE5"/>
    <w:rsid w:val="008F67E6"/>
    <w:rsid w:val="008F6BA1"/>
    <w:rsid w:val="009016A5"/>
    <w:rsid w:val="00903D73"/>
    <w:rsid w:val="0090421E"/>
    <w:rsid w:val="009042D8"/>
    <w:rsid w:val="00910275"/>
    <w:rsid w:val="00916E26"/>
    <w:rsid w:val="00916F76"/>
    <w:rsid w:val="009172BE"/>
    <w:rsid w:val="009306A6"/>
    <w:rsid w:val="00931F86"/>
    <w:rsid w:val="00933401"/>
    <w:rsid w:val="00933578"/>
    <w:rsid w:val="009338A8"/>
    <w:rsid w:val="00935E43"/>
    <w:rsid w:val="00936CDE"/>
    <w:rsid w:val="00943701"/>
    <w:rsid w:val="009438C4"/>
    <w:rsid w:val="00950966"/>
    <w:rsid w:val="00951F2F"/>
    <w:rsid w:val="00952B1E"/>
    <w:rsid w:val="00954DD3"/>
    <w:rsid w:val="009556AB"/>
    <w:rsid w:val="0096653A"/>
    <w:rsid w:val="00967DBD"/>
    <w:rsid w:val="0097228C"/>
    <w:rsid w:val="009732CB"/>
    <w:rsid w:val="00973315"/>
    <w:rsid w:val="00975C83"/>
    <w:rsid w:val="00976446"/>
    <w:rsid w:val="00981A2E"/>
    <w:rsid w:val="00981A3B"/>
    <w:rsid w:val="0098435F"/>
    <w:rsid w:val="00984D94"/>
    <w:rsid w:val="00987DA8"/>
    <w:rsid w:val="00990AD9"/>
    <w:rsid w:val="00993734"/>
    <w:rsid w:val="0099385A"/>
    <w:rsid w:val="00995BB7"/>
    <w:rsid w:val="0099601A"/>
    <w:rsid w:val="009969F5"/>
    <w:rsid w:val="00996DAE"/>
    <w:rsid w:val="009A7898"/>
    <w:rsid w:val="009B014D"/>
    <w:rsid w:val="009B112A"/>
    <w:rsid w:val="009B361E"/>
    <w:rsid w:val="009B44AC"/>
    <w:rsid w:val="009B4D57"/>
    <w:rsid w:val="009B6D68"/>
    <w:rsid w:val="009C380A"/>
    <w:rsid w:val="009C66AC"/>
    <w:rsid w:val="009D07EE"/>
    <w:rsid w:val="009D0F04"/>
    <w:rsid w:val="009D325F"/>
    <w:rsid w:val="009D371B"/>
    <w:rsid w:val="009D399D"/>
    <w:rsid w:val="009D3B71"/>
    <w:rsid w:val="009D7FDD"/>
    <w:rsid w:val="009E0EB1"/>
    <w:rsid w:val="009E10A0"/>
    <w:rsid w:val="009E1B71"/>
    <w:rsid w:val="009E1BD2"/>
    <w:rsid w:val="009E23D4"/>
    <w:rsid w:val="009E3A64"/>
    <w:rsid w:val="009E7383"/>
    <w:rsid w:val="00A00074"/>
    <w:rsid w:val="00A00408"/>
    <w:rsid w:val="00A02708"/>
    <w:rsid w:val="00A03EED"/>
    <w:rsid w:val="00A06137"/>
    <w:rsid w:val="00A0683D"/>
    <w:rsid w:val="00A10FDC"/>
    <w:rsid w:val="00A11057"/>
    <w:rsid w:val="00A17841"/>
    <w:rsid w:val="00A22014"/>
    <w:rsid w:val="00A241B4"/>
    <w:rsid w:val="00A252EE"/>
    <w:rsid w:val="00A305B3"/>
    <w:rsid w:val="00A30955"/>
    <w:rsid w:val="00A31606"/>
    <w:rsid w:val="00A336F6"/>
    <w:rsid w:val="00A34F91"/>
    <w:rsid w:val="00A36AC9"/>
    <w:rsid w:val="00A36E50"/>
    <w:rsid w:val="00A401D7"/>
    <w:rsid w:val="00A430FC"/>
    <w:rsid w:val="00A438C8"/>
    <w:rsid w:val="00A51278"/>
    <w:rsid w:val="00A54B46"/>
    <w:rsid w:val="00A61773"/>
    <w:rsid w:val="00A62073"/>
    <w:rsid w:val="00A63011"/>
    <w:rsid w:val="00A63120"/>
    <w:rsid w:val="00A67E87"/>
    <w:rsid w:val="00A7179E"/>
    <w:rsid w:val="00A71A2A"/>
    <w:rsid w:val="00A71C92"/>
    <w:rsid w:val="00A7451D"/>
    <w:rsid w:val="00A80490"/>
    <w:rsid w:val="00A82BE5"/>
    <w:rsid w:val="00A84DBF"/>
    <w:rsid w:val="00A8590F"/>
    <w:rsid w:val="00A90B62"/>
    <w:rsid w:val="00A93C10"/>
    <w:rsid w:val="00A95F9D"/>
    <w:rsid w:val="00AA2BFD"/>
    <w:rsid w:val="00AA4AF6"/>
    <w:rsid w:val="00AA7C69"/>
    <w:rsid w:val="00AB6C0D"/>
    <w:rsid w:val="00AC15A3"/>
    <w:rsid w:val="00AC15DD"/>
    <w:rsid w:val="00AC2940"/>
    <w:rsid w:val="00AC3864"/>
    <w:rsid w:val="00AC59CD"/>
    <w:rsid w:val="00AC5DA0"/>
    <w:rsid w:val="00AC5DA9"/>
    <w:rsid w:val="00AC7B3D"/>
    <w:rsid w:val="00AD1EC7"/>
    <w:rsid w:val="00AD721D"/>
    <w:rsid w:val="00AD741B"/>
    <w:rsid w:val="00AE02C4"/>
    <w:rsid w:val="00AE370A"/>
    <w:rsid w:val="00AE7C1E"/>
    <w:rsid w:val="00AF0176"/>
    <w:rsid w:val="00AF06A8"/>
    <w:rsid w:val="00AF09DB"/>
    <w:rsid w:val="00AF3D3D"/>
    <w:rsid w:val="00AF3FC2"/>
    <w:rsid w:val="00AF6F91"/>
    <w:rsid w:val="00B01459"/>
    <w:rsid w:val="00B0275D"/>
    <w:rsid w:val="00B05076"/>
    <w:rsid w:val="00B06920"/>
    <w:rsid w:val="00B107AA"/>
    <w:rsid w:val="00B11E3C"/>
    <w:rsid w:val="00B12F6C"/>
    <w:rsid w:val="00B1337C"/>
    <w:rsid w:val="00B148B7"/>
    <w:rsid w:val="00B149AB"/>
    <w:rsid w:val="00B232F5"/>
    <w:rsid w:val="00B234F7"/>
    <w:rsid w:val="00B23BF2"/>
    <w:rsid w:val="00B273CB"/>
    <w:rsid w:val="00B30115"/>
    <w:rsid w:val="00B30581"/>
    <w:rsid w:val="00B3067F"/>
    <w:rsid w:val="00B36973"/>
    <w:rsid w:val="00B4099F"/>
    <w:rsid w:val="00B435F3"/>
    <w:rsid w:val="00B45819"/>
    <w:rsid w:val="00B46B93"/>
    <w:rsid w:val="00B51546"/>
    <w:rsid w:val="00B56B13"/>
    <w:rsid w:val="00B57F8B"/>
    <w:rsid w:val="00B60D66"/>
    <w:rsid w:val="00B6210E"/>
    <w:rsid w:val="00B624E6"/>
    <w:rsid w:val="00B668C0"/>
    <w:rsid w:val="00B675A1"/>
    <w:rsid w:val="00B7082D"/>
    <w:rsid w:val="00B71E03"/>
    <w:rsid w:val="00B7461E"/>
    <w:rsid w:val="00B76137"/>
    <w:rsid w:val="00B76AF5"/>
    <w:rsid w:val="00B830DE"/>
    <w:rsid w:val="00B853B3"/>
    <w:rsid w:val="00B855CE"/>
    <w:rsid w:val="00B85E3A"/>
    <w:rsid w:val="00B86632"/>
    <w:rsid w:val="00B86737"/>
    <w:rsid w:val="00B87808"/>
    <w:rsid w:val="00B913E2"/>
    <w:rsid w:val="00B93001"/>
    <w:rsid w:val="00B93D6B"/>
    <w:rsid w:val="00B941C3"/>
    <w:rsid w:val="00B9439C"/>
    <w:rsid w:val="00B97402"/>
    <w:rsid w:val="00BA1EE8"/>
    <w:rsid w:val="00BA1F66"/>
    <w:rsid w:val="00BA2A4A"/>
    <w:rsid w:val="00BA2A9D"/>
    <w:rsid w:val="00BA4DF7"/>
    <w:rsid w:val="00BB29A9"/>
    <w:rsid w:val="00BB5358"/>
    <w:rsid w:val="00BB665E"/>
    <w:rsid w:val="00BB6BFE"/>
    <w:rsid w:val="00BB76A4"/>
    <w:rsid w:val="00BC2D95"/>
    <w:rsid w:val="00BC3C2A"/>
    <w:rsid w:val="00BC7CB8"/>
    <w:rsid w:val="00BD4294"/>
    <w:rsid w:val="00BD451A"/>
    <w:rsid w:val="00BD46B1"/>
    <w:rsid w:val="00BD62DD"/>
    <w:rsid w:val="00BE1B50"/>
    <w:rsid w:val="00BE1F3F"/>
    <w:rsid w:val="00BF2EAC"/>
    <w:rsid w:val="00BF7B06"/>
    <w:rsid w:val="00C016B9"/>
    <w:rsid w:val="00C04218"/>
    <w:rsid w:val="00C10643"/>
    <w:rsid w:val="00C118E3"/>
    <w:rsid w:val="00C1324E"/>
    <w:rsid w:val="00C1450A"/>
    <w:rsid w:val="00C14D6A"/>
    <w:rsid w:val="00C16A29"/>
    <w:rsid w:val="00C20B62"/>
    <w:rsid w:val="00C2186E"/>
    <w:rsid w:val="00C2216F"/>
    <w:rsid w:val="00C22AB1"/>
    <w:rsid w:val="00C24496"/>
    <w:rsid w:val="00C26DB0"/>
    <w:rsid w:val="00C3051B"/>
    <w:rsid w:val="00C31E74"/>
    <w:rsid w:val="00C32B19"/>
    <w:rsid w:val="00C3448D"/>
    <w:rsid w:val="00C37618"/>
    <w:rsid w:val="00C40935"/>
    <w:rsid w:val="00C41D76"/>
    <w:rsid w:val="00C42042"/>
    <w:rsid w:val="00C44A6B"/>
    <w:rsid w:val="00C512D7"/>
    <w:rsid w:val="00C5384E"/>
    <w:rsid w:val="00C54B7D"/>
    <w:rsid w:val="00C562BF"/>
    <w:rsid w:val="00C57808"/>
    <w:rsid w:val="00C60369"/>
    <w:rsid w:val="00C603E3"/>
    <w:rsid w:val="00C603F0"/>
    <w:rsid w:val="00C612F1"/>
    <w:rsid w:val="00C62043"/>
    <w:rsid w:val="00C628E6"/>
    <w:rsid w:val="00C62B16"/>
    <w:rsid w:val="00C66BB1"/>
    <w:rsid w:val="00C81513"/>
    <w:rsid w:val="00C84C12"/>
    <w:rsid w:val="00C86639"/>
    <w:rsid w:val="00C90B4A"/>
    <w:rsid w:val="00C92077"/>
    <w:rsid w:val="00C9345B"/>
    <w:rsid w:val="00C93D82"/>
    <w:rsid w:val="00C94778"/>
    <w:rsid w:val="00C95D66"/>
    <w:rsid w:val="00CA2936"/>
    <w:rsid w:val="00CA2A96"/>
    <w:rsid w:val="00CA45D5"/>
    <w:rsid w:val="00CA4CFA"/>
    <w:rsid w:val="00CA74C6"/>
    <w:rsid w:val="00CB0ABE"/>
    <w:rsid w:val="00CB474B"/>
    <w:rsid w:val="00CC2053"/>
    <w:rsid w:val="00CC2142"/>
    <w:rsid w:val="00CC37D1"/>
    <w:rsid w:val="00CC5575"/>
    <w:rsid w:val="00CC7468"/>
    <w:rsid w:val="00CC7E1E"/>
    <w:rsid w:val="00CD2008"/>
    <w:rsid w:val="00CD295B"/>
    <w:rsid w:val="00CD6B7D"/>
    <w:rsid w:val="00CE38E2"/>
    <w:rsid w:val="00CE4183"/>
    <w:rsid w:val="00CF0A04"/>
    <w:rsid w:val="00CF3036"/>
    <w:rsid w:val="00CF4980"/>
    <w:rsid w:val="00CF5D26"/>
    <w:rsid w:val="00CF6E24"/>
    <w:rsid w:val="00D000DC"/>
    <w:rsid w:val="00D006B5"/>
    <w:rsid w:val="00D014E2"/>
    <w:rsid w:val="00D023FD"/>
    <w:rsid w:val="00D03DFB"/>
    <w:rsid w:val="00D043A4"/>
    <w:rsid w:val="00D05DBD"/>
    <w:rsid w:val="00D07C02"/>
    <w:rsid w:val="00D1007F"/>
    <w:rsid w:val="00D11D98"/>
    <w:rsid w:val="00D1471C"/>
    <w:rsid w:val="00D14ACD"/>
    <w:rsid w:val="00D14FFA"/>
    <w:rsid w:val="00D15651"/>
    <w:rsid w:val="00D20AEC"/>
    <w:rsid w:val="00D22EB7"/>
    <w:rsid w:val="00D25CE2"/>
    <w:rsid w:val="00D26818"/>
    <w:rsid w:val="00D2693F"/>
    <w:rsid w:val="00D322D5"/>
    <w:rsid w:val="00D34E9E"/>
    <w:rsid w:val="00D36B1C"/>
    <w:rsid w:val="00D36C7C"/>
    <w:rsid w:val="00D40F6D"/>
    <w:rsid w:val="00D41DAD"/>
    <w:rsid w:val="00D4220A"/>
    <w:rsid w:val="00D42F30"/>
    <w:rsid w:val="00D46BF9"/>
    <w:rsid w:val="00D50398"/>
    <w:rsid w:val="00D51BA0"/>
    <w:rsid w:val="00D5282B"/>
    <w:rsid w:val="00D53755"/>
    <w:rsid w:val="00D538DD"/>
    <w:rsid w:val="00D541EB"/>
    <w:rsid w:val="00D56B5B"/>
    <w:rsid w:val="00D623B9"/>
    <w:rsid w:val="00D70FEE"/>
    <w:rsid w:val="00D72FC1"/>
    <w:rsid w:val="00D73B8E"/>
    <w:rsid w:val="00D767E4"/>
    <w:rsid w:val="00D76D08"/>
    <w:rsid w:val="00D778B3"/>
    <w:rsid w:val="00D8165B"/>
    <w:rsid w:val="00D83155"/>
    <w:rsid w:val="00D90C51"/>
    <w:rsid w:val="00D914E0"/>
    <w:rsid w:val="00D93051"/>
    <w:rsid w:val="00D93EF2"/>
    <w:rsid w:val="00D94BF3"/>
    <w:rsid w:val="00D96A6A"/>
    <w:rsid w:val="00D96A94"/>
    <w:rsid w:val="00D9785B"/>
    <w:rsid w:val="00DA0901"/>
    <w:rsid w:val="00DA3A33"/>
    <w:rsid w:val="00DB4BA2"/>
    <w:rsid w:val="00DB526D"/>
    <w:rsid w:val="00DB5972"/>
    <w:rsid w:val="00DB78DA"/>
    <w:rsid w:val="00DC0A3D"/>
    <w:rsid w:val="00DC0C84"/>
    <w:rsid w:val="00DC256F"/>
    <w:rsid w:val="00DC2677"/>
    <w:rsid w:val="00DC3997"/>
    <w:rsid w:val="00DC4924"/>
    <w:rsid w:val="00DC516F"/>
    <w:rsid w:val="00DC5E1E"/>
    <w:rsid w:val="00DC6839"/>
    <w:rsid w:val="00DD0A8C"/>
    <w:rsid w:val="00DD17CF"/>
    <w:rsid w:val="00DD1E1F"/>
    <w:rsid w:val="00DD7B18"/>
    <w:rsid w:val="00DE19E1"/>
    <w:rsid w:val="00DE5D10"/>
    <w:rsid w:val="00DF1CFB"/>
    <w:rsid w:val="00DF25A7"/>
    <w:rsid w:val="00DF302D"/>
    <w:rsid w:val="00DF54ED"/>
    <w:rsid w:val="00E00553"/>
    <w:rsid w:val="00E01EFC"/>
    <w:rsid w:val="00E038DA"/>
    <w:rsid w:val="00E03948"/>
    <w:rsid w:val="00E13C5B"/>
    <w:rsid w:val="00E13DDB"/>
    <w:rsid w:val="00E151C1"/>
    <w:rsid w:val="00E17450"/>
    <w:rsid w:val="00E20531"/>
    <w:rsid w:val="00E2062B"/>
    <w:rsid w:val="00E20655"/>
    <w:rsid w:val="00E220FE"/>
    <w:rsid w:val="00E25417"/>
    <w:rsid w:val="00E258D9"/>
    <w:rsid w:val="00E26C07"/>
    <w:rsid w:val="00E26D41"/>
    <w:rsid w:val="00E31E7E"/>
    <w:rsid w:val="00E36821"/>
    <w:rsid w:val="00E3717F"/>
    <w:rsid w:val="00E4128D"/>
    <w:rsid w:val="00E414BC"/>
    <w:rsid w:val="00E44D10"/>
    <w:rsid w:val="00E454F5"/>
    <w:rsid w:val="00E45FAA"/>
    <w:rsid w:val="00E51EA9"/>
    <w:rsid w:val="00E52180"/>
    <w:rsid w:val="00E55710"/>
    <w:rsid w:val="00E57FFD"/>
    <w:rsid w:val="00E60796"/>
    <w:rsid w:val="00E6417B"/>
    <w:rsid w:val="00E666D8"/>
    <w:rsid w:val="00E67A7C"/>
    <w:rsid w:val="00E7435D"/>
    <w:rsid w:val="00E7477D"/>
    <w:rsid w:val="00E75617"/>
    <w:rsid w:val="00E81405"/>
    <w:rsid w:val="00E83AAC"/>
    <w:rsid w:val="00E83B0D"/>
    <w:rsid w:val="00E85187"/>
    <w:rsid w:val="00E86FED"/>
    <w:rsid w:val="00E933D4"/>
    <w:rsid w:val="00E93C6B"/>
    <w:rsid w:val="00E959FA"/>
    <w:rsid w:val="00E96AC8"/>
    <w:rsid w:val="00E96B09"/>
    <w:rsid w:val="00E971AD"/>
    <w:rsid w:val="00EA3584"/>
    <w:rsid w:val="00EA4FC6"/>
    <w:rsid w:val="00EA7179"/>
    <w:rsid w:val="00EB0811"/>
    <w:rsid w:val="00EB245F"/>
    <w:rsid w:val="00EB2676"/>
    <w:rsid w:val="00EB4782"/>
    <w:rsid w:val="00EB4C26"/>
    <w:rsid w:val="00EB744E"/>
    <w:rsid w:val="00EB7EBB"/>
    <w:rsid w:val="00EC0786"/>
    <w:rsid w:val="00EC13DA"/>
    <w:rsid w:val="00EC18C0"/>
    <w:rsid w:val="00EC2D27"/>
    <w:rsid w:val="00EC7A9D"/>
    <w:rsid w:val="00EE4978"/>
    <w:rsid w:val="00EE58AA"/>
    <w:rsid w:val="00EE5BC2"/>
    <w:rsid w:val="00EE6779"/>
    <w:rsid w:val="00EF3EB5"/>
    <w:rsid w:val="00EF4723"/>
    <w:rsid w:val="00F03526"/>
    <w:rsid w:val="00F049B8"/>
    <w:rsid w:val="00F04BAA"/>
    <w:rsid w:val="00F15920"/>
    <w:rsid w:val="00F16A34"/>
    <w:rsid w:val="00F24F7A"/>
    <w:rsid w:val="00F262C9"/>
    <w:rsid w:val="00F27A30"/>
    <w:rsid w:val="00F30B38"/>
    <w:rsid w:val="00F30C9E"/>
    <w:rsid w:val="00F33126"/>
    <w:rsid w:val="00F3340C"/>
    <w:rsid w:val="00F33C33"/>
    <w:rsid w:val="00F34675"/>
    <w:rsid w:val="00F378EB"/>
    <w:rsid w:val="00F37A15"/>
    <w:rsid w:val="00F41500"/>
    <w:rsid w:val="00F42F52"/>
    <w:rsid w:val="00F433A5"/>
    <w:rsid w:val="00F4468B"/>
    <w:rsid w:val="00F44721"/>
    <w:rsid w:val="00F44B39"/>
    <w:rsid w:val="00F451B3"/>
    <w:rsid w:val="00F45D5A"/>
    <w:rsid w:val="00F47CE5"/>
    <w:rsid w:val="00F53400"/>
    <w:rsid w:val="00F57116"/>
    <w:rsid w:val="00F57F8F"/>
    <w:rsid w:val="00F60426"/>
    <w:rsid w:val="00F629DB"/>
    <w:rsid w:val="00F6397B"/>
    <w:rsid w:val="00F7132B"/>
    <w:rsid w:val="00F71E2F"/>
    <w:rsid w:val="00F7261F"/>
    <w:rsid w:val="00F744CF"/>
    <w:rsid w:val="00F74AE3"/>
    <w:rsid w:val="00F753CE"/>
    <w:rsid w:val="00F802BB"/>
    <w:rsid w:val="00F82095"/>
    <w:rsid w:val="00F83DF3"/>
    <w:rsid w:val="00F8451A"/>
    <w:rsid w:val="00F84D88"/>
    <w:rsid w:val="00F84E27"/>
    <w:rsid w:val="00F85FFF"/>
    <w:rsid w:val="00F91DF2"/>
    <w:rsid w:val="00F96C4E"/>
    <w:rsid w:val="00FA0360"/>
    <w:rsid w:val="00FA073C"/>
    <w:rsid w:val="00FA293C"/>
    <w:rsid w:val="00FA4B0E"/>
    <w:rsid w:val="00FA5286"/>
    <w:rsid w:val="00FA5FBA"/>
    <w:rsid w:val="00FB0D56"/>
    <w:rsid w:val="00FB1753"/>
    <w:rsid w:val="00FB1B5E"/>
    <w:rsid w:val="00FB2110"/>
    <w:rsid w:val="00FB3B9A"/>
    <w:rsid w:val="00FB71EA"/>
    <w:rsid w:val="00FC1F3C"/>
    <w:rsid w:val="00FC4501"/>
    <w:rsid w:val="00FC4C4C"/>
    <w:rsid w:val="00FC7055"/>
    <w:rsid w:val="00FC7177"/>
    <w:rsid w:val="00FC79C0"/>
    <w:rsid w:val="00FD3825"/>
    <w:rsid w:val="00FD520A"/>
    <w:rsid w:val="00FD609F"/>
    <w:rsid w:val="00FD620B"/>
    <w:rsid w:val="00FE03F8"/>
    <w:rsid w:val="00FE2919"/>
    <w:rsid w:val="00FE404C"/>
    <w:rsid w:val="00FE7094"/>
    <w:rsid w:val="00FE742A"/>
    <w:rsid w:val="00FF05DD"/>
    <w:rsid w:val="00FF0DB0"/>
    <w:rsid w:val="00FF4BE6"/>
    <w:rsid w:val="00FF7BE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26E1"/>
  <w15:docId w15:val="{6174A717-64C7-42E0-9264-033697C9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13F"/>
  </w:style>
  <w:style w:type="paragraph" w:styleId="Ttulo1">
    <w:name w:val="heading 1"/>
    <w:basedOn w:val="Normal"/>
    <w:next w:val="Normal"/>
    <w:link w:val="Ttulo1Car"/>
    <w:uiPriority w:val="9"/>
    <w:qFormat/>
    <w:rsid w:val="003321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470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6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otnote,Párrafo de lista1,Colorful List - Accent 11,List Paragraph1,Cuadrícula clara - Énfasis 31,List Paragraph2,Lista vistosa - Énfasis 11"/>
    <w:basedOn w:val="Normal"/>
    <w:link w:val="PrrafodelistaCar"/>
    <w:uiPriority w:val="34"/>
    <w:qFormat/>
    <w:rsid w:val="00AC5DA9"/>
    <w:pPr>
      <w:ind w:left="720"/>
      <w:contextualSpacing/>
    </w:pPr>
  </w:style>
  <w:style w:type="paragraph" w:styleId="Encabezado">
    <w:name w:val="header"/>
    <w:basedOn w:val="Normal"/>
    <w:link w:val="EncabezadoCar"/>
    <w:uiPriority w:val="99"/>
    <w:unhideWhenUsed/>
    <w:rsid w:val="004525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252B"/>
  </w:style>
  <w:style w:type="paragraph" w:styleId="Piedepgina">
    <w:name w:val="footer"/>
    <w:basedOn w:val="Normal"/>
    <w:link w:val="PiedepginaCar"/>
    <w:uiPriority w:val="99"/>
    <w:unhideWhenUsed/>
    <w:rsid w:val="004525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252B"/>
  </w:style>
  <w:style w:type="character" w:styleId="Hipervnculo">
    <w:name w:val="Hyperlink"/>
    <w:basedOn w:val="Fuentedeprrafopredeter"/>
    <w:uiPriority w:val="99"/>
    <w:unhideWhenUsed/>
    <w:rsid w:val="0045252B"/>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45252B"/>
    <w:pPr>
      <w:widowControl w:val="0"/>
      <w:spacing w:after="0" w:line="240" w:lineRule="auto"/>
    </w:pPr>
    <w:rPr>
      <w:rFonts w:ascii="Calibri" w:eastAsia="Calibri" w:hAnsi="Calibri" w:cs="Calibri"/>
      <w:color w:val="000000"/>
      <w:sz w:val="20"/>
      <w:szCs w:val="20"/>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45252B"/>
    <w:rPr>
      <w:rFonts w:ascii="Calibri" w:eastAsia="Calibri" w:hAnsi="Calibri" w:cs="Calibri"/>
      <w:color w:val="000000"/>
      <w:sz w:val="20"/>
      <w:szCs w:val="20"/>
      <w:lang w:val="en-U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link w:val="4GChar"/>
    <w:unhideWhenUsed/>
    <w:qFormat/>
    <w:rsid w:val="0045252B"/>
    <w:rPr>
      <w:vertAlign w:val="superscript"/>
    </w:rPr>
  </w:style>
  <w:style w:type="character" w:styleId="Refdecomentario">
    <w:name w:val="annotation reference"/>
    <w:basedOn w:val="Fuentedeprrafopredeter"/>
    <w:uiPriority w:val="99"/>
    <w:semiHidden/>
    <w:unhideWhenUsed/>
    <w:rsid w:val="0049588E"/>
    <w:rPr>
      <w:sz w:val="16"/>
      <w:szCs w:val="16"/>
    </w:rPr>
  </w:style>
  <w:style w:type="paragraph" w:styleId="Textocomentario">
    <w:name w:val="annotation text"/>
    <w:basedOn w:val="Normal"/>
    <w:link w:val="TextocomentarioCar"/>
    <w:uiPriority w:val="99"/>
    <w:unhideWhenUsed/>
    <w:rsid w:val="0049588E"/>
    <w:pPr>
      <w:spacing w:line="240" w:lineRule="auto"/>
    </w:pPr>
    <w:rPr>
      <w:sz w:val="20"/>
      <w:szCs w:val="20"/>
    </w:rPr>
  </w:style>
  <w:style w:type="character" w:customStyle="1" w:styleId="TextocomentarioCar">
    <w:name w:val="Texto comentario Car"/>
    <w:basedOn w:val="Fuentedeprrafopredeter"/>
    <w:link w:val="Textocomentario"/>
    <w:uiPriority w:val="99"/>
    <w:rsid w:val="0049588E"/>
    <w:rPr>
      <w:sz w:val="20"/>
      <w:szCs w:val="20"/>
    </w:rPr>
  </w:style>
  <w:style w:type="paragraph" w:styleId="Asuntodelcomentario">
    <w:name w:val="annotation subject"/>
    <w:basedOn w:val="Textocomentario"/>
    <w:next w:val="Textocomentario"/>
    <w:link w:val="AsuntodelcomentarioCar"/>
    <w:uiPriority w:val="99"/>
    <w:semiHidden/>
    <w:unhideWhenUsed/>
    <w:rsid w:val="0049588E"/>
    <w:rPr>
      <w:b/>
      <w:bCs/>
    </w:rPr>
  </w:style>
  <w:style w:type="character" w:customStyle="1" w:styleId="AsuntodelcomentarioCar">
    <w:name w:val="Asunto del comentario Car"/>
    <w:basedOn w:val="TextocomentarioCar"/>
    <w:link w:val="Asuntodelcomentario"/>
    <w:uiPriority w:val="99"/>
    <w:semiHidden/>
    <w:rsid w:val="0049588E"/>
    <w:rPr>
      <w:b/>
      <w:bCs/>
      <w:sz w:val="20"/>
      <w:szCs w:val="20"/>
    </w:rPr>
  </w:style>
  <w:style w:type="paragraph" w:styleId="Textodeglobo">
    <w:name w:val="Balloon Text"/>
    <w:basedOn w:val="Normal"/>
    <w:link w:val="TextodegloboCar"/>
    <w:uiPriority w:val="99"/>
    <w:semiHidden/>
    <w:unhideWhenUsed/>
    <w:rsid w:val="004958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588E"/>
    <w:rPr>
      <w:rFonts w:ascii="Segoe UI" w:hAnsi="Segoe UI" w:cs="Segoe UI"/>
      <w:sz w:val="18"/>
      <w:szCs w:val="18"/>
    </w:rPr>
  </w:style>
  <w:style w:type="character" w:customStyle="1" w:styleId="Ttulo1Car">
    <w:name w:val="Título 1 Car"/>
    <w:basedOn w:val="Fuentedeprrafopredeter"/>
    <w:link w:val="Ttulo1"/>
    <w:uiPriority w:val="9"/>
    <w:rsid w:val="00332163"/>
    <w:rPr>
      <w:rFonts w:asciiTheme="majorHAnsi" w:eastAsiaTheme="majorEastAsia" w:hAnsiTheme="majorHAnsi" w:cstheme="majorBidi"/>
      <w:color w:val="2E74B5" w:themeColor="accent1" w:themeShade="BF"/>
      <w:sz w:val="32"/>
      <w:szCs w:val="32"/>
    </w:rPr>
  </w:style>
  <w:style w:type="paragraph" w:styleId="TDC1">
    <w:name w:val="toc 1"/>
    <w:basedOn w:val="Normal"/>
    <w:next w:val="Normal"/>
    <w:autoRedefine/>
    <w:uiPriority w:val="39"/>
    <w:unhideWhenUsed/>
    <w:rsid w:val="00D14ACD"/>
    <w:pPr>
      <w:tabs>
        <w:tab w:val="left" w:pos="660"/>
        <w:tab w:val="right" w:leader="dot" w:pos="8828"/>
      </w:tabs>
      <w:spacing w:after="0" w:line="240" w:lineRule="auto"/>
      <w:ind w:left="284"/>
    </w:pPr>
  </w:style>
  <w:style w:type="character" w:customStyle="1" w:styleId="Ttulo2Car">
    <w:name w:val="Título 2 Car"/>
    <w:basedOn w:val="Fuentedeprrafopredeter"/>
    <w:link w:val="Ttulo2"/>
    <w:uiPriority w:val="9"/>
    <w:rsid w:val="00447043"/>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D14ACD"/>
    <w:pPr>
      <w:tabs>
        <w:tab w:val="left" w:pos="880"/>
        <w:tab w:val="right" w:leader="dot" w:pos="8828"/>
      </w:tabs>
      <w:spacing w:after="0" w:line="240" w:lineRule="auto"/>
      <w:ind w:left="567"/>
    </w:pPr>
  </w:style>
  <w:style w:type="paragraph" w:styleId="Sinespaciado">
    <w:name w:val="No Spacing"/>
    <w:uiPriority w:val="1"/>
    <w:qFormat/>
    <w:rsid w:val="0073127E"/>
    <w:pPr>
      <w:spacing w:after="0" w:line="240" w:lineRule="auto"/>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83AAC"/>
    <w:pPr>
      <w:spacing w:after="0" w:line="240" w:lineRule="auto"/>
      <w:jc w:val="both"/>
    </w:pPr>
    <w:rPr>
      <w:vertAlign w:val="superscript"/>
    </w:rPr>
  </w:style>
  <w:style w:type="character" w:customStyle="1" w:styleId="PrrafodelistaCar">
    <w:name w:val="Párrafo de lista Car"/>
    <w:aliases w:val="Footnote Car,Párrafo de lista1 Car,Colorful List - Accent 11 Car,List Paragraph1 Car,Cuadrícula clara - Énfasis 31 Car,List Paragraph2 Car,Lista vistosa - Énfasis 11 Car"/>
    <w:link w:val="Prrafodelista"/>
    <w:uiPriority w:val="34"/>
    <w:locked/>
    <w:rsid w:val="009D325F"/>
  </w:style>
  <w:style w:type="character" w:styleId="Nmerodelnea">
    <w:name w:val="line number"/>
    <w:basedOn w:val="Fuentedeprrafopredeter"/>
    <w:uiPriority w:val="99"/>
    <w:semiHidden/>
    <w:unhideWhenUsed/>
    <w:rsid w:val="00D94BF3"/>
  </w:style>
  <w:style w:type="paragraph" w:styleId="Revisin">
    <w:name w:val="Revision"/>
    <w:hidden/>
    <w:uiPriority w:val="99"/>
    <w:semiHidden/>
    <w:rsid w:val="00C16A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7464">
      <w:bodyDiv w:val="1"/>
      <w:marLeft w:val="0"/>
      <w:marRight w:val="0"/>
      <w:marTop w:val="0"/>
      <w:marBottom w:val="0"/>
      <w:divBdr>
        <w:top w:val="none" w:sz="0" w:space="0" w:color="auto"/>
        <w:left w:val="none" w:sz="0" w:space="0" w:color="auto"/>
        <w:bottom w:val="none" w:sz="0" w:space="0" w:color="auto"/>
        <w:right w:val="none" w:sz="0" w:space="0" w:color="auto"/>
      </w:divBdr>
    </w:div>
    <w:div w:id="782922320">
      <w:bodyDiv w:val="1"/>
      <w:marLeft w:val="0"/>
      <w:marRight w:val="0"/>
      <w:marTop w:val="0"/>
      <w:marBottom w:val="0"/>
      <w:divBdr>
        <w:top w:val="none" w:sz="0" w:space="0" w:color="auto"/>
        <w:left w:val="none" w:sz="0" w:space="0" w:color="auto"/>
        <w:bottom w:val="none" w:sz="0" w:space="0" w:color="auto"/>
        <w:right w:val="none" w:sz="0" w:space="0" w:color="auto"/>
      </w:divBdr>
    </w:div>
    <w:div w:id="960377170">
      <w:bodyDiv w:val="1"/>
      <w:marLeft w:val="0"/>
      <w:marRight w:val="0"/>
      <w:marTop w:val="0"/>
      <w:marBottom w:val="0"/>
      <w:divBdr>
        <w:top w:val="none" w:sz="0" w:space="0" w:color="auto"/>
        <w:left w:val="none" w:sz="0" w:space="0" w:color="auto"/>
        <w:bottom w:val="none" w:sz="0" w:space="0" w:color="auto"/>
        <w:right w:val="none" w:sz="0" w:space="0" w:color="auto"/>
      </w:divBdr>
    </w:div>
    <w:div w:id="1204714215">
      <w:bodyDiv w:val="1"/>
      <w:marLeft w:val="0"/>
      <w:marRight w:val="0"/>
      <w:marTop w:val="0"/>
      <w:marBottom w:val="0"/>
      <w:divBdr>
        <w:top w:val="none" w:sz="0" w:space="0" w:color="auto"/>
        <w:left w:val="none" w:sz="0" w:space="0" w:color="auto"/>
        <w:bottom w:val="none" w:sz="0" w:space="0" w:color="auto"/>
        <w:right w:val="none" w:sz="0" w:space="0" w:color="auto"/>
      </w:divBdr>
    </w:div>
    <w:div w:id="137620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orteidh.or.cr/docs/supervisiones/plandesanchez_25_05_17.pdf" TargetMode="External"/><Relationship Id="rId3" Type="http://schemas.openxmlformats.org/officeDocument/2006/relationships/hyperlink" Target="http://www.corteidh.or.cr/docs/supervisiones/sanchez_28_11_07.pdf" TargetMode="External"/><Relationship Id="rId7" Type="http://schemas.openxmlformats.org/officeDocument/2006/relationships/hyperlink" Target="http://www.corteidh.or.cr/docs/supervisiones/12_casos_24_11_15.pdf" TargetMode="External"/><Relationship Id="rId2" Type="http://schemas.openxmlformats.org/officeDocument/2006/relationships/hyperlink" Target="http://www.corteidh.or.cr/docs/casos/articulos/seriec_116_esp.pdf" TargetMode="External"/><Relationship Id="rId1" Type="http://schemas.openxmlformats.org/officeDocument/2006/relationships/hyperlink" Target="http://www.corteidh.or.cr/docs/casos/articulos/seriec_105_esp.pdf" TargetMode="External"/><Relationship Id="rId6" Type="http://schemas.openxmlformats.org/officeDocument/2006/relationships/hyperlink" Target="http://www.corteidh.or.cr/docs/supervisiones/sanchez_21_02_11.pdf" TargetMode="External"/><Relationship Id="rId5" Type="http://schemas.openxmlformats.org/officeDocument/2006/relationships/hyperlink" Target="http://www.corteidh.or.cr/docs/supervisiones/sanchez_01_07_09.pdf" TargetMode="External"/><Relationship Id="rId4" Type="http://schemas.openxmlformats.org/officeDocument/2006/relationships/hyperlink" Target="http://corteidh.or.cr/docs/supervisiones/sanchez_05_08_0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392E5-AD05-42B4-81BF-1DFFD96F9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10690</Words>
  <Characters>58797</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2021-07-20T20:16:00Z</cp:lastPrinted>
  <dcterms:created xsi:type="dcterms:W3CDTF">2022-01-03T19:40:00Z</dcterms:created>
  <dcterms:modified xsi:type="dcterms:W3CDTF">2022-01-03T19:40:00Z</dcterms:modified>
</cp:coreProperties>
</file>