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EE90E" w14:textId="77777777" w:rsidR="00290285" w:rsidRDefault="00290285"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p>
    <w:p w14:paraId="5BDF92D4" w14:textId="77777777" w:rsidR="00290285" w:rsidRDefault="00290285"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p>
    <w:p w14:paraId="2B10B991" w14:textId="77777777" w:rsidR="00290285" w:rsidRDefault="00290285"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p>
    <w:p w14:paraId="3BABAE64" w14:textId="77777777" w:rsidR="00290285" w:rsidRDefault="00290285"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p>
    <w:p w14:paraId="444E0D71" w14:textId="77777777" w:rsidR="00290285" w:rsidRDefault="00290285"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p>
    <w:p w14:paraId="01667D19" w14:textId="77777777" w:rsidR="00290285" w:rsidRDefault="00290285"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p>
    <w:p w14:paraId="53D9E1C7" w14:textId="77777777" w:rsidR="00A03DC4" w:rsidRPr="008B77C7" w:rsidRDefault="00A03DC4"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r w:rsidRPr="008B77C7">
        <w:rPr>
          <w:rFonts w:ascii="Verdana" w:eastAsia="Calibri" w:hAnsi="Verdana" w:cs="Calibri"/>
          <w:b/>
          <w:color w:val="000000"/>
          <w:sz w:val="20"/>
          <w:szCs w:val="20"/>
        </w:rPr>
        <w:t>RESOLUCIÓN DE LA</w:t>
      </w:r>
    </w:p>
    <w:p w14:paraId="68B763E3" w14:textId="77777777" w:rsidR="00A03DC4" w:rsidRPr="008B77C7" w:rsidRDefault="00A03DC4"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r w:rsidRPr="008B77C7">
        <w:rPr>
          <w:rFonts w:ascii="Verdana" w:eastAsia="Calibri" w:hAnsi="Verdana" w:cs="Calibri"/>
          <w:b/>
          <w:color w:val="000000"/>
          <w:sz w:val="20"/>
          <w:szCs w:val="20"/>
        </w:rPr>
        <w:t xml:space="preserve">CORTE INTERAMERICANA DE DERECHOS </w:t>
      </w:r>
      <w:r w:rsidR="00793AF2" w:rsidRPr="008B77C7">
        <w:rPr>
          <w:rFonts w:ascii="Verdana" w:eastAsia="Calibri" w:hAnsi="Verdana" w:cs="Calibri"/>
          <w:b/>
          <w:color w:val="000000"/>
          <w:sz w:val="20"/>
          <w:szCs w:val="20"/>
        </w:rPr>
        <w:t>HUMANOS*</w:t>
      </w:r>
    </w:p>
    <w:p w14:paraId="5E7FE38A" w14:textId="77777777" w:rsidR="00C0603A" w:rsidRPr="008B77C7" w:rsidRDefault="00C0603A"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p>
    <w:p w14:paraId="6B490A6F" w14:textId="77777777" w:rsidR="00A03DC4" w:rsidRPr="008B77C7" w:rsidRDefault="00907ADF"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r w:rsidRPr="008B77C7">
        <w:rPr>
          <w:rFonts w:ascii="Verdana" w:eastAsia="Calibri" w:hAnsi="Verdana" w:cs="Calibri"/>
          <w:b/>
          <w:color w:val="000000"/>
          <w:sz w:val="20"/>
          <w:szCs w:val="20"/>
        </w:rPr>
        <w:t xml:space="preserve">DE </w:t>
      </w:r>
      <w:r w:rsidR="00981EEC">
        <w:rPr>
          <w:rFonts w:ascii="Verdana" w:eastAsia="Calibri" w:hAnsi="Verdana" w:cs="Calibri"/>
          <w:b/>
          <w:color w:val="000000"/>
          <w:sz w:val="20"/>
          <w:szCs w:val="20"/>
        </w:rPr>
        <w:t>17</w:t>
      </w:r>
      <w:r w:rsidR="00981EEC" w:rsidRPr="008B77C7">
        <w:rPr>
          <w:rFonts w:ascii="Verdana" w:eastAsia="Calibri" w:hAnsi="Verdana" w:cs="Calibri"/>
          <w:b/>
          <w:color w:val="000000"/>
          <w:sz w:val="20"/>
          <w:szCs w:val="20"/>
        </w:rPr>
        <w:t xml:space="preserve"> </w:t>
      </w:r>
      <w:r w:rsidRPr="008B77C7">
        <w:rPr>
          <w:rFonts w:ascii="Verdana" w:eastAsia="Calibri" w:hAnsi="Verdana" w:cs="Calibri"/>
          <w:b/>
          <w:color w:val="000000"/>
          <w:sz w:val="20"/>
          <w:szCs w:val="20"/>
        </w:rPr>
        <w:t xml:space="preserve">DE </w:t>
      </w:r>
      <w:r w:rsidR="00DA62E3">
        <w:rPr>
          <w:rFonts w:ascii="Verdana" w:eastAsia="Calibri" w:hAnsi="Verdana" w:cs="Calibri"/>
          <w:b/>
          <w:color w:val="000000"/>
          <w:sz w:val="20"/>
          <w:szCs w:val="20"/>
        </w:rPr>
        <w:t>NOVIEMBRE</w:t>
      </w:r>
      <w:r w:rsidR="001267D0" w:rsidRPr="008B77C7">
        <w:rPr>
          <w:rFonts w:ascii="Verdana" w:eastAsia="Calibri" w:hAnsi="Verdana" w:cs="Calibri"/>
          <w:b/>
          <w:color w:val="000000"/>
          <w:sz w:val="20"/>
          <w:szCs w:val="20"/>
        </w:rPr>
        <w:t xml:space="preserve"> </w:t>
      </w:r>
      <w:r w:rsidR="00324C03">
        <w:rPr>
          <w:rFonts w:ascii="Verdana" w:eastAsia="Calibri" w:hAnsi="Verdana" w:cs="Calibri"/>
          <w:b/>
          <w:color w:val="000000"/>
          <w:sz w:val="20"/>
          <w:szCs w:val="20"/>
        </w:rPr>
        <w:t xml:space="preserve">DE </w:t>
      </w:r>
      <w:r w:rsidR="00F73F18" w:rsidRPr="008B77C7">
        <w:rPr>
          <w:rFonts w:ascii="Verdana" w:eastAsia="Calibri" w:hAnsi="Verdana" w:cs="Calibri"/>
          <w:b/>
          <w:color w:val="000000"/>
          <w:sz w:val="20"/>
          <w:szCs w:val="20"/>
        </w:rPr>
        <w:t>2021</w:t>
      </w:r>
    </w:p>
    <w:p w14:paraId="6C223457" w14:textId="77777777" w:rsidR="00C0603A" w:rsidRPr="008B77C7" w:rsidRDefault="00C0603A"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p>
    <w:p w14:paraId="773EDCB9" w14:textId="77777777" w:rsidR="005068D8" w:rsidRPr="008B77C7" w:rsidRDefault="001267D0" w:rsidP="00B11F2A">
      <w:pPr>
        <w:pStyle w:val="NormalWeb"/>
        <w:suppressLineNumbers/>
        <w:spacing w:before="0" w:beforeAutospacing="0" w:after="0" w:afterAutospacing="0"/>
        <w:ind w:right="49"/>
        <w:jc w:val="center"/>
        <w:rPr>
          <w:rFonts w:ascii="Verdana" w:eastAsia="Calibri" w:hAnsi="Verdana" w:cs="Calibri"/>
          <w:b/>
          <w:i/>
          <w:color w:val="000000"/>
          <w:sz w:val="20"/>
          <w:szCs w:val="20"/>
        </w:rPr>
      </w:pPr>
      <w:r w:rsidRPr="008B77C7">
        <w:rPr>
          <w:rFonts w:ascii="Verdana" w:eastAsia="Calibri" w:hAnsi="Verdana" w:cs="Calibri"/>
          <w:b/>
          <w:i/>
          <w:color w:val="000000"/>
          <w:sz w:val="20"/>
          <w:szCs w:val="20"/>
        </w:rPr>
        <w:t xml:space="preserve">CASO </w:t>
      </w:r>
      <w:r w:rsidR="00F73F18" w:rsidRPr="008B77C7">
        <w:rPr>
          <w:rFonts w:ascii="Verdana" w:eastAsia="Calibri" w:hAnsi="Verdana" w:cs="Calibri"/>
          <w:b/>
          <w:i/>
          <w:color w:val="000000"/>
          <w:sz w:val="20"/>
          <w:szCs w:val="20"/>
        </w:rPr>
        <w:t>ORTIZ HERNÁNDEZ</w:t>
      </w:r>
      <w:r w:rsidRPr="008B77C7">
        <w:rPr>
          <w:rFonts w:ascii="Verdana" w:eastAsia="Calibri" w:hAnsi="Verdana" w:cs="Calibri"/>
          <w:b/>
          <w:i/>
          <w:color w:val="000000"/>
          <w:sz w:val="20"/>
          <w:szCs w:val="20"/>
        </w:rPr>
        <w:t xml:space="preserve"> Y OTROS VS</w:t>
      </w:r>
      <w:r w:rsidR="00E36975" w:rsidRPr="008B77C7">
        <w:rPr>
          <w:rFonts w:ascii="Verdana" w:eastAsia="Calibri" w:hAnsi="Verdana" w:cs="Calibri"/>
          <w:b/>
          <w:i/>
          <w:color w:val="000000"/>
          <w:sz w:val="20"/>
          <w:szCs w:val="20"/>
        </w:rPr>
        <w:t>.</w:t>
      </w:r>
      <w:r w:rsidRPr="008B77C7">
        <w:rPr>
          <w:rFonts w:ascii="Verdana" w:eastAsia="Calibri" w:hAnsi="Verdana" w:cs="Calibri"/>
          <w:b/>
          <w:i/>
          <w:color w:val="000000"/>
          <w:sz w:val="20"/>
          <w:szCs w:val="20"/>
        </w:rPr>
        <w:t xml:space="preserve"> VENEZUELA</w:t>
      </w:r>
    </w:p>
    <w:p w14:paraId="41A68D6F" w14:textId="77777777" w:rsidR="00C0603A" w:rsidRPr="008B77C7" w:rsidRDefault="00C0603A"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p>
    <w:p w14:paraId="2D8CA847" w14:textId="77777777" w:rsidR="00A03DC4" w:rsidRPr="008B77C7" w:rsidRDefault="00A03DC4" w:rsidP="00B11F2A">
      <w:pPr>
        <w:pStyle w:val="NormalWeb"/>
        <w:suppressLineNumbers/>
        <w:spacing w:before="0" w:beforeAutospacing="0" w:after="0" w:afterAutospacing="0"/>
        <w:ind w:right="49"/>
        <w:jc w:val="center"/>
        <w:rPr>
          <w:rFonts w:ascii="Verdana" w:eastAsia="Calibri" w:hAnsi="Verdana" w:cs="Calibri"/>
          <w:b/>
          <w:color w:val="000000"/>
          <w:sz w:val="20"/>
          <w:szCs w:val="20"/>
        </w:rPr>
      </w:pPr>
      <w:r w:rsidRPr="008B77C7">
        <w:rPr>
          <w:rFonts w:ascii="Verdana" w:eastAsia="Calibri" w:hAnsi="Verdana" w:cs="Calibri"/>
          <w:b/>
          <w:color w:val="000000"/>
          <w:sz w:val="20"/>
          <w:szCs w:val="20"/>
        </w:rPr>
        <w:t>SUPERVISIÓ</w:t>
      </w:r>
      <w:r w:rsidR="005068D8" w:rsidRPr="008B77C7">
        <w:rPr>
          <w:rFonts w:ascii="Verdana" w:eastAsia="Calibri" w:hAnsi="Verdana" w:cs="Calibri"/>
          <w:b/>
          <w:color w:val="000000"/>
          <w:sz w:val="20"/>
          <w:szCs w:val="20"/>
        </w:rPr>
        <w:t>N</w:t>
      </w:r>
      <w:r w:rsidR="00823D2E" w:rsidRPr="008B77C7">
        <w:rPr>
          <w:rFonts w:ascii="Verdana" w:eastAsia="Calibri" w:hAnsi="Verdana" w:cs="Calibri"/>
          <w:b/>
          <w:color w:val="000000"/>
          <w:sz w:val="20"/>
          <w:szCs w:val="20"/>
        </w:rPr>
        <w:t xml:space="preserve"> </w:t>
      </w:r>
      <w:r w:rsidR="001267D0" w:rsidRPr="008B77C7">
        <w:rPr>
          <w:rFonts w:ascii="Verdana" w:eastAsia="Calibri" w:hAnsi="Verdana" w:cs="Calibri"/>
          <w:b/>
          <w:color w:val="000000"/>
          <w:sz w:val="20"/>
          <w:szCs w:val="20"/>
        </w:rPr>
        <w:t>DE CUMPLIMIENTO DE SENTENCIA</w:t>
      </w:r>
    </w:p>
    <w:p w14:paraId="0820742D" w14:textId="77777777" w:rsidR="005068D8" w:rsidRDefault="005068D8" w:rsidP="00B11F2A">
      <w:pPr>
        <w:suppressLineNumbers/>
        <w:spacing w:after="0" w:line="240" w:lineRule="auto"/>
        <w:ind w:right="49"/>
        <w:rPr>
          <w:rFonts w:ascii="Verdana" w:hAnsi="Verdana" w:cs="Verdana"/>
          <w:b/>
          <w:bCs/>
          <w:sz w:val="20"/>
          <w:szCs w:val="20"/>
          <w:lang w:val="es-ES"/>
        </w:rPr>
      </w:pPr>
    </w:p>
    <w:p w14:paraId="6015A7A8" w14:textId="77777777" w:rsidR="001E2C33" w:rsidRPr="00C35435" w:rsidRDefault="001E2C33" w:rsidP="00B11F2A">
      <w:pPr>
        <w:suppressLineNumbers/>
        <w:spacing w:after="0" w:line="240" w:lineRule="auto"/>
        <w:ind w:right="49"/>
        <w:rPr>
          <w:rFonts w:ascii="Verdana" w:hAnsi="Verdana" w:cs="Verdana"/>
          <w:b/>
          <w:bCs/>
          <w:sz w:val="20"/>
          <w:szCs w:val="20"/>
          <w:lang w:val="es-ES"/>
        </w:rPr>
      </w:pPr>
    </w:p>
    <w:p w14:paraId="39CDB28C" w14:textId="77777777" w:rsidR="00A03DC4" w:rsidRPr="00AE58CC" w:rsidRDefault="00A03DC4" w:rsidP="00B11F2A">
      <w:pPr>
        <w:suppressLineNumbers/>
        <w:spacing w:before="120" w:after="120" w:line="240" w:lineRule="auto"/>
        <w:ind w:right="49"/>
        <w:jc w:val="both"/>
        <w:rPr>
          <w:rFonts w:ascii="Verdana" w:hAnsi="Verdana"/>
          <w:b/>
          <w:sz w:val="20"/>
          <w:szCs w:val="20"/>
        </w:rPr>
      </w:pPr>
      <w:r w:rsidRPr="00AE58CC">
        <w:rPr>
          <w:rFonts w:ascii="Verdana" w:hAnsi="Verdana"/>
          <w:b/>
          <w:sz w:val="20"/>
          <w:szCs w:val="20"/>
        </w:rPr>
        <w:t xml:space="preserve">VISTO: </w:t>
      </w:r>
    </w:p>
    <w:p w14:paraId="23476886" w14:textId="77777777" w:rsidR="00C0603A" w:rsidRPr="00C837BF" w:rsidRDefault="001267D0" w:rsidP="00B11F2A">
      <w:pPr>
        <w:pStyle w:val="Prrafodelista"/>
        <w:numPr>
          <w:ilvl w:val="0"/>
          <w:numId w:val="1"/>
        </w:numPr>
        <w:suppressLineNumbers/>
        <w:spacing w:before="120" w:after="120" w:line="240" w:lineRule="auto"/>
        <w:ind w:left="0" w:right="49" w:firstLine="0"/>
        <w:contextualSpacing w:val="0"/>
        <w:jc w:val="both"/>
        <w:rPr>
          <w:rFonts w:ascii="Verdana" w:hAnsi="Verdana"/>
          <w:sz w:val="20"/>
          <w:szCs w:val="20"/>
        </w:rPr>
      </w:pPr>
      <w:r w:rsidRPr="00AE58CC">
        <w:rPr>
          <w:rFonts w:ascii="Verdana" w:hAnsi="Verdana"/>
          <w:sz w:val="20"/>
          <w:szCs w:val="20"/>
        </w:rPr>
        <w:t>La</w:t>
      </w:r>
      <w:r w:rsidR="00F77FF4" w:rsidRPr="00AE58CC">
        <w:rPr>
          <w:rFonts w:ascii="Verdana" w:hAnsi="Verdana"/>
          <w:sz w:val="20"/>
          <w:szCs w:val="20"/>
        </w:rPr>
        <w:t xml:space="preserve"> Sentencia</w:t>
      </w:r>
      <w:r w:rsidR="009C6A9C" w:rsidRPr="00AE58CC">
        <w:rPr>
          <w:rFonts w:ascii="Verdana" w:hAnsi="Verdana"/>
          <w:sz w:val="20"/>
          <w:szCs w:val="20"/>
        </w:rPr>
        <w:t xml:space="preserve"> de fondo, reparaciones y costas (en adelante </w:t>
      </w:r>
      <w:r w:rsidR="00981EEC">
        <w:rPr>
          <w:rFonts w:ascii="Verdana" w:hAnsi="Verdana"/>
          <w:sz w:val="20"/>
          <w:szCs w:val="20"/>
        </w:rPr>
        <w:t>“</w:t>
      </w:r>
      <w:r w:rsidR="009C6A9C" w:rsidRPr="00AE58CC">
        <w:rPr>
          <w:rFonts w:ascii="Verdana" w:hAnsi="Verdana"/>
          <w:sz w:val="20"/>
          <w:szCs w:val="20"/>
        </w:rPr>
        <w:t>la Sentencia</w:t>
      </w:r>
      <w:r w:rsidR="00981EEC">
        <w:rPr>
          <w:rFonts w:ascii="Verdana" w:hAnsi="Verdana"/>
          <w:sz w:val="20"/>
          <w:szCs w:val="20"/>
        </w:rPr>
        <w:t>” o “el Fallo”</w:t>
      </w:r>
      <w:r w:rsidR="009C6A9C" w:rsidRPr="00AE58CC">
        <w:rPr>
          <w:rFonts w:ascii="Verdana" w:hAnsi="Verdana"/>
          <w:sz w:val="20"/>
          <w:szCs w:val="20"/>
        </w:rPr>
        <w:t>)</w:t>
      </w:r>
      <w:r w:rsidR="00F77FF4" w:rsidRPr="00AE58CC">
        <w:rPr>
          <w:rFonts w:ascii="Verdana" w:hAnsi="Verdana"/>
          <w:sz w:val="20"/>
          <w:szCs w:val="20"/>
        </w:rPr>
        <w:t xml:space="preserve"> emitida por la </w:t>
      </w:r>
      <w:r w:rsidR="00F77FF4" w:rsidRPr="00AE58CC">
        <w:rPr>
          <w:rFonts w:ascii="Verdana" w:hAnsi="Verdana" w:cs="Arial"/>
          <w:sz w:val="20"/>
          <w:szCs w:val="20"/>
        </w:rPr>
        <w:t>Corte</w:t>
      </w:r>
      <w:r w:rsidR="00F77FF4" w:rsidRPr="00A30887">
        <w:rPr>
          <w:rFonts w:ascii="Verdana" w:hAnsi="Verdana" w:cs="Arial"/>
          <w:sz w:val="20"/>
          <w:szCs w:val="20"/>
        </w:rPr>
        <w:t xml:space="preserve"> Interamericana de Derechos H</w:t>
      </w:r>
      <w:r w:rsidR="00BE23AB" w:rsidRPr="00A30887">
        <w:rPr>
          <w:rFonts w:ascii="Verdana" w:hAnsi="Verdana" w:cs="Arial"/>
          <w:sz w:val="20"/>
          <w:szCs w:val="20"/>
        </w:rPr>
        <w:t xml:space="preserve">umanos (en adelante </w:t>
      </w:r>
      <w:r w:rsidR="00E36975" w:rsidRPr="00A30887">
        <w:rPr>
          <w:rFonts w:ascii="Verdana" w:hAnsi="Verdana" w:cs="Arial"/>
          <w:sz w:val="20"/>
          <w:szCs w:val="20"/>
        </w:rPr>
        <w:t xml:space="preserve">“la Corte Interamericana”, “la </w:t>
      </w:r>
      <w:r w:rsidR="00BE23AB" w:rsidRPr="00A30887">
        <w:rPr>
          <w:rFonts w:ascii="Verdana" w:hAnsi="Verdana" w:cs="Arial"/>
          <w:sz w:val="20"/>
          <w:szCs w:val="20"/>
        </w:rPr>
        <w:t xml:space="preserve">Corte” </w:t>
      </w:r>
      <w:r w:rsidR="00F77FF4" w:rsidRPr="00A30887">
        <w:rPr>
          <w:rFonts w:ascii="Verdana" w:hAnsi="Verdana" w:cs="Arial"/>
          <w:sz w:val="20"/>
          <w:szCs w:val="20"/>
        </w:rPr>
        <w:t xml:space="preserve">o “el Tribunal”) </w:t>
      </w:r>
      <w:r w:rsidR="00C609B0" w:rsidRPr="00A30887">
        <w:rPr>
          <w:rFonts w:ascii="Verdana" w:hAnsi="Verdana" w:cs="Arial"/>
          <w:sz w:val="20"/>
          <w:szCs w:val="20"/>
        </w:rPr>
        <w:t xml:space="preserve">el </w:t>
      </w:r>
      <w:r w:rsidR="00793AF2" w:rsidRPr="00A30887">
        <w:rPr>
          <w:rFonts w:ascii="Verdana" w:hAnsi="Verdana" w:cs="Arial"/>
          <w:sz w:val="20"/>
          <w:szCs w:val="20"/>
        </w:rPr>
        <w:t>22</w:t>
      </w:r>
      <w:r w:rsidRPr="00A30887">
        <w:rPr>
          <w:rFonts w:ascii="Verdana" w:hAnsi="Verdana" w:cs="Arial"/>
          <w:sz w:val="20"/>
          <w:szCs w:val="20"/>
        </w:rPr>
        <w:t xml:space="preserve"> de agosto de 20</w:t>
      </w:r>
      <w:r w:rsidR="00793AF2" w:rsidRPr="00A30887">
        <w:rPr>
          <w:rFonts w:ascii="Verdana" w:hAnsi="Verdana" w:cs="Arial"/>
          <w:sz w:val="20"/>
          <w:szCs w:val="20"/>
        </w:rPr>
        <w:t>17</w:t>
      </w:r>
      <w:r w:rsidR="00227FB3">
        <w:rPr>
          <w:rStyle w:val="Refdenotaalpie"/>
          <w:rFonts w:ascii="Verdana" w:hAnsi="Verdana" w:cs="Arial"/>
          <w:sz w:val="20"/>
          <w:szCs w:val="20"/>
        </w:rPr>
        <w:footnoteReference w:id="1"/>
      </w:r>
      <w:r w:rsidR="00441ABC" w:rsidRPr="00A30887">
        <w:rPr>
          <w:rFonts w:ascii="Verdana" w:hAnsi="Verdana" w:cs="Arial"/>
          <w:sz w:val="20"/>
          <w:szCs w:val="20"/>
        </w:rPr>
        <w:t xml:space="preserve">. </w:t>
      </w:r>
      <w:r w:rsidR="00C837BF" w:rsidRPr="00095202">
        <w:rPr>
          <w:rFonts w:ascii="Verdana" w:hAnsi="Verdana" w:cs="Arial"/>
          <w:sz w:val="20"/>
          <w:szCs w:val="20"/>
        </w:rPr>
        <w:t>La Corte, tomando en cuenta el reconocimiento parcial de responsabilidad internacional efectuado por la República Bolivariana de Venezuela (en adelante “el Estado” o “Venezuela”)</w:t>
      </w:r>
      <w:r w:rsidR="00C837BF">
        <w:rPr>
          <w:rFonts w:ascii="Verdana" w:hAnsi="Verdana" w:cs="Arial"/>
          <w:sz w:val="20"/>
          <w:szCs w:val="20"/>
        </w:rPr>
        <w:t xml:space="preserve">, declaró al Estado responsable </w:t>
      </w:r>
      <w:r w:rsidR="00BE5BEF">
        <w:rPr>
          <w:rFonts w:ascii="Verdana" w:hAnsi="Verdana" w:cs="Arial"/>
          <w:sz w:val="20"/>
          <w:szCs w:val="20"/>
        </w:rPr>
        <w:t>de la violación de</w:t>
      </w:r>
      <w:r w:rsidR="00F26D04">
        <w:rPr>
          <w:rFonts w:ascii="Verdana" w:hAnsi="Verdana" w:cs="Arial"/>
          <w:sz w:val="20"/>
          <w:szCs w:val="20"/>
        </w:rPr>
        <w:t xml:space="preserve"> </w:t>
      </w:r>
      <w:r w:rsidR="00BE5BEF">
        <w:rPr>
          <w:rFonts w:ascii="Verdana" w:hAnsi="Verdana" w:cs="Arial"/>
          <w:sz w:val="20"/>
          <w:szCs w:val="20"/>
        </w:rPr>
        <w:t>l</w:t>
      </w:r>
      <w:r w:rsidR="00F26D04">
        <w:rPr>
          <w:rFonts w:ascii="Verdana" w:hAnsi="Verdana" w:cs="Arial"/>
          <w:sz w:val="20"/>
          <w:szCs w:val="20"/>
        </w:rPr>
        <w:t>os</w:t>
      </w:r>
      <w:r w:rsidR="00BE5BEF">
        <w:rPr>
          <w:rFonts w:ascii="Verdana" w:hAnsi="Verdana" w:cs="Arial"/>
          <w:sz w:val="20"/>
          <w:szCs w:val="20"/>
        </w:rPr>
        <w:t xml:space="preserve"> derecho</w:t>
      </w:r>
      <w:r w:rsidR="00F26D04">
        <w:rPr>
          <w:rFonts w:ascii="Verdana" w:hAnsi="Verdana" w:cs="Arial"/>
          <w:sz w:val="20"/>
          <w:szCs w:val="20"/>
        </w:rPr>
        <w:t>s</w:t>
      </w:r>
      <w:r w:rsidR="00BE5BEF">
        <w:rPr>
          <w:rFonts w:ascii="Verdana" w:hAnsi="Verdana" w:cs="Arial"/>
          <w:sz w:val="20"/>
          <w:szCs w:val="20"/>
        </w:rPr>
        <w:t xml:space="preserve"> a la </w:t>
      </w:r>
      <w:r w:rsidR="00F26D04">
        <w:rPr>
          <w:rFonts w:ascii="Verdana" w:hAnsi="Verdana" w:cs="Arial"/>
          <w:sz w:val="20"/>
          <w:szCs w:val="20"/>
        </w:rPr>
        <w:t>integridad</w:t>
      </w:r>
      <w:r w:rsidR="00981EEC">
        <w:rPr>
          <w:rFonts w:ascii="Verdana" w:hAnsi="Verdana" w:cs="Arial"/>
          <w:sz w:val="20"/>
          <w:szCs w:val="20"/>
        </w:rPr>
        <w:t xml:space="preserve"> personal</w:t>
      </w:r>
      <w:r w:rsidR="00F26D04">
        <w:rPr>
          <w:rFonts w:ascii="Verdana" w:hAnsi="Verdana" w:cs="Arial"/>
          <w:sz w:val="20"/>
          <w:szCs w:val="20"/>
        </w:rPr>
        <w:t xml:space="preserve"> y a la </w:t>
      </w:r>
      <w:r w:rsidR="00BE5BEF">
        <w:rPr>
          <w:rFonts w:ascii="Verdana" w:hAnsi="Verdana" w:cs="Arial"/>
          <w:sz w:val="20"/>
          <w:szCs w:val="20"/>
        </w:rPr>
        <w:t xml:space="preserve">vida </w:t>
      </w:r>
      <w:r w:rsidR="00F26D04">
        <w:rPr>
          <w:rFonts w:ascii="Verdana" w:hAnsi="Verdana" w:cs="Arial"/>
          <w:sz w:val="20"/>
          <w:szCs w:val="20"/>
        </w:rPr>
        <w:t>en perjuicio de</w:t>
      </w:r>
      <w:r w:rsidR="00BE5BEF">
        <w:rPr>
          <w:rFonts w:ascii="Verdana" w:hAnsi="Verdana" w:cs="Arial"/>
          <w:sz w:val="20"/>
          <w:szCs w:val="20"/>
        </w:rPr>
        <w:t xml:space="preserve"> </w:t>
      </w:r>
      <w:r w:rsidR="008255BA" w:rsidRPr="00C837BF">
        <w:rPr>
          <w:rFonts w:ascii="Verdana" w:hAnsi="Verdana" w:cs="Arial"/>
          <w:sz w:val="20"/>
          <w:szCs w:val="20"/>
        </w:rPr>
        <w:t xml:space="preserve">Johan Alexis Ortiz Hernández, </w:t>
      </w:r>
      <w:r w:rsidR="00F26D04">
        <w:rPr>
          <w:rFonts w:ascii="Verdana" w:hAnsi="Verdana" w:cs="Arial"/>
          <w:sz w:val="20"/>
          <w:szCs w:val="20"/>
        </w:rPr>
        <w:t xml:space="preserve">quien falleció como consecuencia de </w:t>
      </w:r>
      <w:r w:rsidR="008255BA" w:rsidRPr="00C837BF">
        <w:rPr>
          <w:rFonts w:ascii="Verdana" w:hAnsi="Verdana" w:cs="Arial"/>
          <w:sz w:val="20"/>
          <w:szCs w:val="20"/>
        </w:rPr>
        <w:t xml:space="preserve">heridas </w:t>
      </w:r>
      <w:r w:rsidR="00341FD2">
        <w:rPr>
          <w:rFonts w:ascii="Verdana" w:hAnsi="Verdana" w:cs="Arial"/>
          <w:sz w:val="20"/>
          <w:szCs w:val="20"/>
        </w:rPr>
        <w:t xml:space="preserve">provocadas por impactos </w:t>
      </w:r>
      <w:r w:rsidR="008255BA" w:rsidRPr="00C837BF">
        <w:rPr>
          <w:rFonts w:ascii="Verdana" w:hAnsi="Verdana" w:cs="Arial"/>
          <w:sz w:val="20"/>
          <w:szCs w:val="20"/>
        </w:rPr>
        <w:t>de arma de fuego</w:t>
      </w:r>
      <w:r w:rsidR="00BE5BEF">
        <w:rPr>
          <w:rFonts w:ascii="Verdana" w:hAnsi="Verdana" w:cs="Arial"/>
          <w:sz w:val="20"/>
          <w:szCs w:val="20"/>
        </w:rPr>
        <w:t xml:space="preserve"> que </w:t>
      </w:r>
      <w:r w:rsidR="008255BA" w:rsidRPr="00C837BF">
        <w:rPr>
          <w:rFonts w:ascii="Verdana" w:hAnsi="Verdana" w:cs="Arial"/>
          <w:sz w:val="20"/>
          <w:szCs w:val="20"/>
        </w:rPr>
        <w:t xml:space="preserve">sufrió </w:t>
      </w:r>
      <w:r w:rsidR="00BE5BEF">
        <w:rPr>
          <w:rFonts w:ascii="Verdana" w:hAnsi="Verdana" w:cs="Arial"/>
          <w:sz w:val="20"/>
          <w:szCs w:val="20"/>
        </w:rPr>
        <w:t xml:space="preserve">el 15 de febrero de 1998 </w:t>
      </w:r>
      <w:r w:rsidR="00341FD2">
        <w:rPr>
          <w:rFonts w:ascii="Verdana" w:hAnsi="Verdana" w:cs="Arial"/>
          <w:sz w:val="20"/>
          <w:szCs w:val="20"/>
        </w:rPr>
        <w:t xml:space="preserve">durante </w:t>
      </w:r>
      <w:r w:rsidR="008255BA" w:rsidRPr="00C837BF">
        <w:rPr>
          <w:rFonts w:ascii="Verdana" w:hAnsi="Verdana" w:cs="Arial"/>
          <w:sz w:val="20"/>
          <w:szCs w:val="20"/>
        </w:rPr>
        <w:t>un ejercicio o práctica militar</w:t>
      </w:r>
      <w:r w:rsidR="00E15873">
        <w:rPr>
          <w:rStyle w:val="Refdenotaalpie"/>
          <w:rFonts w:ascii="Verdana" w:hAnsi="Verdana" w:cs="Arial"/>
          <w:sz w:val="20"/>
          <w:szCs w:val="20"/>
        </w:rPr>
        <w:footnoteReference w:id="2"/>
      </w:r>
      <w:r w:rsidR="00BE5BEF">
        <w:rPr>
          <w:rFonts w:ascii="Verdana" w:hAnsi="Verdana" w:cs="Arial"/>
          <w:sz w:val="20"/>
          <w:szCs w:val="20"/>
        </w:rPr>
        <w:t xml:space="preserve">. </w:t>
      </w:r>
      <w:r w:rsidR="00E27693">
        <w:rPr>
          <w:rFonts w:ascii="Verdana" w:hAnsi="Verdana" w:cs="Arial"/>
          <w:sz w:val="20"/>
          <w:szCs w:val="20"/>
        </w:rPr>
        <w:t>Al momento de los hechos, e</w:t>
      </w:r>
      <w:r w:rsidR="00BE5BEF">
        <w:rPr>
          <w:rFonts w:ascii="Verdana" w:hAnsi="Verdana" w:cs="Arial"/>
          <w:sz w:val="20"/>
          <w:szCs w:val="20"/>
        </w:rPr>
        <w:t xml:space="preserve">l joven Ortiz Hernández tenía 19 </w:t>
      </w:r>
      <w:proofErr w:type="gramStart"/>
      <w:r w:rsidR="00BE5BEF">
        <w:rPr>
          <w:rFonts w:ascii="Verdana" w:hAnsi="Verdana" w:cs="Arial"/>
          <w:sz w:val="20"/>
          <w:szCs w:val="20"/>
        </w:rPr>
        <w:t>años de edad</w:t>
      </w:r>
      <w:proofErr w:type="gramEnd"/>
      <w:r w:rsidR="00E15873">
        <w:rPr>
          <w:rFonts w:ascii="Verdana" w:hAnsi="Verdana" w:cs="Arial"/>
          <w:sz w:val="20"/>
          <w:szCs w:val="20"/>
        </w:rPr>
        <w:t xml:space="preserve">, </w:t>
      </w:r>
      <w:r w:rsidR="00341FD2">
        <w:rPr>
          <w:rFonts w:ascii="Verdana" w:hAnsi="Verdana" w:cs="Arial"/>
          <w:sz w:val="20"/>
          <w:szCs w:val="20"/>
        </w:rPr>
        <w:t>era estudiante</w:t>
      </w:r>
      <w:r w:rsidR="00E15873">
        <w:rPr>
          <w:rFonts w:ascii="Verdana" w:hAnsi="Verdana" w:cs="Arial"/>
          <w:sz w:val="20"/>
          <w:szCs w:val="20"/>
        </w:rPr>
        <w:t xml:space="preserve"> de la Escuela de Formación de Guardias Nacionales de Cordero y </w:t>
      </w:r>
      <w:r w:rsidR="00E15873" w:rsidRPr="00C837BF">
        <w:rPr>
          <w:rFonts w:ascii="Verdana" w:hAnsi="Verdana" w:cs="Arial"/>
          <w:sz w:val="20"/>
          <w:szCs w:val="20"/>
        </w:rPr>
        <w:t>cursaba el último año de preparación</w:t>
      </w:r>
      <w:r w:rsidR="008255BA" w:rsidRPr="00C837BF">
        <w:rPr>
          <w:rFonts w:ascii="Verdana" w:hAnsi="Verdana" w:cs="Arial"/>
          <w:sz w:val="20"/>
          <w:szCs w:val="20"/>
        </w:rPr>
        <w:t xml:space="preserve">. </w:t>
      </w:r>
      <w:r w:rsidR="00126AEC" w:rsidRPr="00C837BF">
        <w:rPr>
          <w:rFonts w:ascii="Verdana" w:hAnsi="Verdana" w:cs="Arial"/>
          <w:sz w:val="20"/>
          <w:szCs w:val="20"/>
        </w:rPr>
        <w:t xml:space="preserve">El Tribunal </w:t>
      </w:r>
      <w:r w:rsidR="003573D1" w:rsidRPr="00926455">
        <w:rPr>
          <w:rFonts w:ascii="Verdana" w:hAnsi="Verdana" w:cs="Arial"/>
          <w:sz w:val="20"/>
          <w:szCs w:val="20"/>
        </w:rPr>
        <w:t xml:space="preserve">determinó que el Estado incurrió en una </w:t>
      </w:r>
      <w:r w:rsidR="003573D1" w:rsidRPr="001F0573">
        <w:rPr>
          <w:rFonts w:ascii="Verdana" w:hAnsi="Verdana" w:cs="Arial"/>
          <w:sz w:val="20"/>
          <w:szCs w:val="20"/>
        </w:rPr>
        <w:t xml:space="preserve">violación </w:t>
      </w:r>
      <w:r w:rsidR="003573D1" w:rsidRPr="00AD2B98">
        <w:rPr>
          <w:rFonts w:ascii="Verdana" w:hAnsi="Verdana" w:cs="Arial"/>
          <w:sz w:val="20"/>
          <w:szCs w:val="20"/>
        </w:rPr>
        <w:t xml:space="preserve">del derecho a la vida </w:t>
      </w:r>
      <w:r w:rsidR="00926455" w:rsidRPr="00AD2B98">
        <w:rPr>
          <w:rFonts w:ascii="Verdana" w:hAnsi="Verdana" w:cs="Arial"/>
          <w:sz w:val="20"/>
          <w:szCs w:val="20"/>
        </w:rPr>
        <w:t xml:space="preserve">del joven Ortiz Hernández </w:t>
      </w:r>
      <w:r w:rsidR="003573D1" w:rsidRPr="00921D80">
        <w:rPr>
          <w:rFonts w:ascii="Verdana" w:hAnsi="Verdana" w:cs="Arial"/>
          <w:sz w:val="20"/>
          <w:szCs w:val="20"/>
        </w:rPr>
        <w:t>tanto porque incumpli</w:t>
      </w:r>
      <w:r w:rsidR="003573D1" w:rsidRPr="00587A0C">
        <w:rPr>
          <w:rFonts w:ascii="Verdana" w:hAnsi="Verdana" w:cs="Arial"/>
          <w:sz w:val="20"/>
          <w:szCs w:val="20"/>
        </w:rPr>
        <w:t xml:space="preserve">ó el deber de respeto, tomando en cuenta que la muerte se produjo bajo la custodia del Estado y no se investigó la hipótesis </w:t>
      </w:r>
      <w:r w:rsidR="003573D1" w:rsidRPr="00A45814">
        <w:rPr>
          <w:rFonts w:ascii="Verdana" w:hAnsi="Verdana"/>
          <w:sz w:val="20"/>
          <w:szCs w:val="20"/>
        </w:rPr>
        <w:t xml:space="preserve">plausible de que pudo tratarse de un homicidio doloso, como también porque </w:t>
      </w:r>
      <w:r w:rsidR="00926455" w:rsidRPr="00A45814">
        <w:rPr>
          <w:rFonts w:ascii="Verdana" w:hAnsi="Verdana"/>
          <w:sz w:val="20"/>
          <w:szCs w:val="20"/>
        </w:rPr>
        <w:t>incumpli</w:t>
      </w:r>
      <w:r w:rsidR="00D8272F">
        <w:rPr>
          <w:rFonts w:ascii="Verdana" w:hAnsi="Verdana"/>
          <w:sz w:val="20"/>
          <w:szCs w:val="20"/>
        </w:rPr>
        <w:t>ó</w:t>
      </w:r>
      <w:r w:rsidR="00926455" w:rsidRPr="00A45814">
        <w:rPr>
          <w:rFonts w:ascii="Verdana" w:hAnsi="Verdana"/>
          <w:sz w:val="20"/>
          <w:szCs w:val="20"/>
        </w:rPr>
        <w:t xml:space="preserve"> el deber de garantía por</w:t>
      </w:r>
      <w:r w:rsidR="00926455">
        <w:t xml:space="preserve"> </w:t>
      </w:r>
      <w:r w:rsidR="00126AEC" w:rsidRPr="00C837BF">
        <w:rPr>
          <w:rFonts w:ascii="Verdana" w:hAnsi="Verdana" w:cs="Arial"/>
          <w:sz w:val="20"/>
          <w:szCs w:val="20"/>
        </w:rPr>
        <w:t xml:space="preserve">no </w:t>
      </w:r>
      <w:r w:rsidR="00926455">
        <w:rPr>
          <w:rFonts w:ascii="Verdana" w:hAnsi="Verdana" w:cs="Arial"/>
          <w:sz w:val="20"/>
          <w:szCs w:val="20"/>
        </w:rPr>
        <w:t xml:space="preserve">haber </w:t>
      </w:r>
      <w:r w:rsidR="00126AEC" w:rsidRPr="00C837BF">
        <w:rPr>
          <w:rFonts w:ascii="Verdana" w:hAnsi="Verdana" w:cs="Arial"/>
          <w:sz w:val="20"/>
          <w:szCs w:val="20"/>
        </w:rPr>
        <w:t>adopta</w:t>
      </w:r>
      <w:r w:rsidR="00926455">
        <w:rPr>
          <w:rFonts w:ascii="Verdana" w:hAnsi="Verdana" w:cs="Arial"/>
          <w:sz w:val="20"/>
          <w:szCs w:val="20"/>
        </w:rPr>
        <w:t>do</w:t>
      </w:r>
      <w:r w:rsidR="00126AEC" w:rsidRPr="00C837BF">
        <w:rPr>
          <w:rFonts w:ascii="Verdana" w:hAnsi="Verdana" w:cs="Arial"/>
          <w:sz w:val="20"/>
          <w:szCs w:val="20"/>
        </w:rPr>
        <w:t xml:space="preserve"> las medidas de seguridad necesarias en el marco de </w:t>
      </w:r>
      <w:r w:rsidR="00926455">
        <w:rPr>
          <w:rFonts w:ascii="Verdana" w:hAnsi="Verdana" w:cs="Arial"/>
          <w:sz w:val="20"/>
          <w:szCs w:val="20"/>
        </w:rPr>
        <w:t>dicha</w:t>
      </w:r>
      <w:r w:rsidR="00126AEC" w:rsidRPr="00C837BF">
        <w:rPr>
          <w:rFonts w:ascii="Verdana" w:hAnsi="Verdana" w:cs="Arial"/>
          <w:sz w:val="20"/>
          <w:szCs w:val="20"/>
        </w:rPr>
        <w:t xml:space="preserve"> formación</w:t>
      </w:r>
      <w:r w:rsidR="00126AEC" w:rsidRPr="009D099F">
        <w:rPr>
          <w:rFonts w:ascii="Verdana" w:hAnsi="Verdana" w:cs="Arial"/>
          <w:sz w:val="20"/>
          <w:szCs w:val="20"/>
        </w:rPr>
        <w:t xml:space="preserve">, </w:t>
      </w:r>
      <w:r w:rsidR="00926455">
        <w:rPr>
          <w:rFonts w:ascii="Verdana" w:hAnsi="Verdana" w:cs="Arial"/>
          <w:sz w:val="20"/>
          <w:szCs w:val="20"/>
        </w:rPr>
        <w:t xml:space="preserve">y </w:t>
      </w:r>
      <w:r w:rsidR="003573D1">
        <w:rPr>
          <w:rFonts w:ascii="Verdana" w:hAnsi="Verdana" w:cs="Arial"/>
          <w:sz w:val="20"/>
          <w:szCs w:val="20"/>
        </w:rPr>
        <w:t xml:space="preserve">porque no se le brindó </w:t>
      </w:r>
      <w:r w:rsidR="00126AEC" w:rsidRPr="009D099F">
        <w:rPr>
          <w:rFonts w:ascii="Verdana" w:hAnsi="Verdana" w:cs="Arial"/>
          <w:sz w:val="20"/>
          <w:szCs w:val="20"/>
        </w:rPr>
        <w:t xml:space="preserve">atención médica </w:t>
      </w:r>
      <w:r w:rsidR="003573D1">
        <w:rPr>
          <w:rFonts w:ascii="Verdana" w:hAnsi="Verdana" w:cs="Arial"/>
          <w:sz w:val="20"/>
          <w:szCs w:val="20"/>
        </w:rPr>
        <w:t xml:space="preserve">oportuna y </w:t>
      </w:r>
      <w:r w:rsidR="00126AEC" w:rsidRPr="009D099F">
        <w:rPr>
          <w:rFonts w:ascii="Verdana" w:hAnsi="Verdana" w:cs="Arial"/>
          <w:sz w:val="20"/>
          <w:szCs w:val="20"/>
        </w:rPr>
        <w:t>adecuada. Además, la Corte destacó que los órg</w:t>
      </w:r>
      <w:r w:rsidR="00126AEC" w:rsidRPr="00C837BF">
        <w:rPr>
          <w:rFonts w:ascii="Verdana" w:hAnsi="Verdana" w:cs="Arial"/>
          <w:sz w:val="20"/>
          <w:szCs w:val="20"/>
        </w:rPr>
        <w:t>anos encargados de conducir la investigación, tanto en la jurisdicción militar como en la ordinaria, se apegaron en su línea investigativa a la versión rendida por las autoridades de la Guardia Nacional, que señalaban que lo ocurrido fue un “trágico accidente”, sin descartar otra hipótesis sustentad</w:t>
      </w:r>
      <w:r w:rsidR="00095202" w:rsidRPr="00C837BF">
        <w:rPr>
          <w:rFonts w:ascii="Verdana" w:hAnsi="Verdana" w:cs="Arial"/>
          <w:sz w:val="20"/>
          <w:szCs w:val="20"/>
        </w:rPr>
        <w:t xml:space="preserve">a en diversos medios de prueba. El Tribunal observó que, si bien durante el transcurso de la investigación se llevaron a cabo una multiplicidad de diligencias, el Estado omitió </w:t>
      </w:r>
      <w:r w:rsidR="00E66B1C">
        <w:rPr>
          <w:rFonts w:ascii="Verdana" w:hAnsi="Verdana" w:cs="Arial"/>
          <w:sz w:val="20"/>
          <w:szCs w:val="20"/>
        </w:rPr>
        <w:t>adoptar</w:t>
      </w:r>
      <w:r w:rsidR="00E66B1C" w:rsidRPr="00C837BF">
        <w:rPr>
          <w:rFonts w:ascii="Verdana" w:hAnsi="Verdana" w:cs="Arial"/>
          <w:sz w:val="20"/>
          <w:szCs w:val="20"/>
        </w:rPr>
        <w:t xml:space="preserve"> </w:t>
      </w:r>
      <w:r w:rsidR="00095202" w:rsidRPr="00C837BF">
        <w:rPr>
          <w:rFonts w:ascii="Verdana" w:hAnsi="Verdana" w:cs="Arial"/>
          <w:sz w:val="20"/>
          <w:szCs w:val="20"/>
        </w:rPr>
        <w:t xml:space="preserve">debidamente algunas </w:t>
      </w:r>
      <w:r w:rsidR="00E66B1C">
        <w:rPr>
          <w:rFonts w:ascii="Verdana" w:hAnsi="Verdana" w:cs="Arial"/>
          <w:sz w:val="20"/>
          <w:szCs w:val="20"/>
        </w:rPr>
        <w:t>medidas</w:t>
      </w:r>
      <w:r w:rsidR="00E66B1C" w:rsidRPr="00C837BF">
        <w:rPr>
          <w:rFonts w:ascii="Verdana" w:hAnsi="Verdana" w:cs="Arial"/>
          <w:sz w:val="20"/>
          <w:szCs w:val="20"/>
        </w:rPr>
        <w:t xml:space="preserve"> </w:t>
      </w:r>
      <w:r w:rsidR="00095202" w:rsidRPr="00C837BF">
        <w:rPr>
          <w:rFonts w:ascii="Verdana" w:hAnsi="Verdana" w:cs="Arial"/>
          <w:sz w:val="20"/>
          <w:szCs w:val="20"/>
        </w:rPr>
        <w:t xml:space="preserve">indispensables para la determinación de las circunstancias en que ocurrieron los hechos. </w:t>
      </w:r>
      <w:r w:rsidR="008255BA" w:rsidRPr="00C837BF">
        <w:rPr>
          <w:rFonts w:ascii="Verdana" w:hAnsi="Verdana" w:cs="Arial"/>
          <w:sz w:val="20"/>
          <w:szCs w:val="20"/>
        </w:rPr>
        <w:t xml:space="preserve">Asimismo, encontró al Estado responsable </w:t>
      </w:r>
      <w:r w:rsidR="008255BA" w:rsidRPr="00C837BF">
        <w:rPr>
          <w:rFonts w:ascii="Verdana" w:hAnsi="Verdana" w:cs="Arial"/>
          <w:sz w:val="20"/>
          <w:szCs w:val="20"/>
        </w:rPr>
        <w:lastRenderedPageBreak/>
        <w:t>por la</w:t>
      </w:r>
      <w:r w:rsidR="00D4788F">
        <w:rPr>
          <w:rFonts w:ascii="Verdana" w:hAnsi="Verdana" w:cs="Arial"/>
          <w:sz w:val="20"/>
          <w:szCs w:val="20"/>
        </w:rPr>
        <w:t>s</w:t>
      </w:r>
      <w:r w:rsidR="008255BA" w:rsidRPr="00C837BF">
        <w:rPr>
          <w:rFonts w:ascii="Verdana" w:hAnsi="Verdana" w:cs="Arial"/>
          <w:sz w:val="20"/>
          <w:szCs w:val="20"/>
        </w:rPr>
        <w:t xml:space="preserve"> violaci</w:t>
      </w:r>
      <w:r w:rsidR="00D4788F">
        <w:rPr>
          <w:rFonts w:ascii="Verdana" w:hAnsi="Verdana" w:cs="Arial"/>
          <w:sz w:val="20"/>
          <w:szCs w:val="20"/>
        </w:rPr>
        <w:t>ones</w:t>
      </w:r>
      <w:r w:rsidR="008255BA" w:rsidRPr="00C837BF">
        <w:rPr>
          <w:rFonts w:ascii="Verdana" w:hAnsi="Verdana" w:cs="Arial"/>
          <w:sz w:val="20"/>
          <w:szCs w:val="20"/>
        </w:rPr>
        <w:t xml:space="preserve"> </w:t>
      </w:r>
      <w:r w:rsidR="00D4788F">
        <w:rPr>
          <w:rFonts w:ascii="Verdana" w:hAnsi="Verdana" w:cs="Arial"/>
          <w:sz w:val="20"/>
          <w:szCs w:val="20"/>
        </w:rPr>
        <w:t>a</w:t>
      </w:r>
      <w:r w:rsidR="008255BA" w:rsidRPr="00C837BF">
        <w:rPr>
          <w:rFonts w:ascii="Verdana" w:hAnsi="Verdana" w:cs="Arial"/>
          <w:sz w:val="20"/>
          <w:szCs w:val="20"/>
        </w:rPr>
        <w:t xml:space="preserve"> la garantía de juez natural, las </w:t>
      </w:r>
      <w:proofErr w:type="gramStart"/>
      <w:r w:rsidR="008255BA" w:rsidRPr="00C837BF">
        <w:rPr>
          <w:rFonts w:ascii="Verdana" w:hAnsi="Verdana" w:cs="Arial"/>
          <w:sz w:val="20"/>
          <w:szCs w:val="20"/>
        </w:rPr>
        <w:t>garantías judiciales y la protección judicial</w:t>
      </w:r>
      <w:proofErr w:type="gramEnd"/>
      <w:r w:rsidR="008255BA" w:rsidRPr="00C837BF">
        <w:rPr>
          <w:rFonts w:ascii="Verdana" w:hAnsi="Verdana" w:cs="Arial"/>
          <w:sz w:val="20"/>
          <w:szCs w:val="20"/>
        </w:rPr>
        <w:t xml:space="preserve"> en perjuicio de </w:t>
      </w:r>
      <w:r w:rsidR="00D4788F">
        <w:rPr>
          <w:rFonts w:ascii="Verdana" w:hAnsi="Verdana" w:cs="Arial"/>
          <w:sz w:val="20"/>
          <w:szCs w:val="20"/>
        </w:rPr>
        <w:t>los</w:t>
      </w:r>
      <w:r w:rsidR="008255BA" w:rsidRPr="00C837BF">
        <w:rPr>
          <w:rFonts w:ascii="Verdana" w:hAnsi="Verdana" w:cs="Arial"/>
          <w:sz w:val="20"/>
          <w:szCs w:val="20"/>
        </w:rPr>
        <w:t xml:space="preserve"> progenitores</w:t>
      </w:r>
      <w:r w:rsidR="00D4788F">
        <w:rPr>
          <w:rFonts w:ascii="Verdana" w:hAnsi="Verdana" w:cs="Arial"/>
          <w:sz w:val="20"/>
          <w:szCs w:val="20"/>
        </w:rPr>
        <w:t xml:space="preserve"> de </w:t>
      </w:r>
      <w:r w:rsidR="00D4788F" w:rsidRPr="00C837BF">
        <w:rPr>
          <w:rFonts w:ascii="Verdana" w:hAnsi="Verdana" w:cs="Arial"/>
          <w:sz w:val="20"/>
          <w:szCs w:val="20"/>
        </w:rPr>
        <w:t>Johan Alexis Ortiz Hernández</w:t>
      </w:r>
      <w:r w:rsidR="00D4788F">
        <w:rPr>
          <w:rStyle w:val="Refdenotaalpie"/>
          <w:rFonts w:ascii="Verdana" w:hAnsi="Verdana" w:cs="Arial"/>
          <w:sz w:val="20"/>
          <w:szCs w:val="20"/>
        </w:rPr>
        <w:t xml:space="preserve"> </w:t>
      </w:r>
      <w:r w:rsidR="008255BA">
        <w:rPr>
          <w:rStyle w:val="Refdenotaalpie"/>
          <w:rFonts w:ascii="Verdana" w:hAnsi="Verdana" w:cs="Arial"/>
          <w:sz w:val="20"/>
          <w:szCs w:val="20"/>
        </w:rPr>
        <w:footnoteReference w:id="3"/>
      </w:r>
      <w:r w:rsidR="00126AEC" w:rsidRPr="00C837BF">
        <w:rPr>
          <w:rFonts w:ascii="Verdana" w:hAnsi="Verdana" w:cs="Arial"/>
          <w:sz w:val="20"/>
          <w:szCs w:val="20"/>
        </w:rPr>
        <w:t xml:space="preserve">, ante </w:t>
      </w:r>
      <w:r w:rsidR="00095202" w:rsidRPr="00C837BF">
        <w:rPr>
          <w:rFonts w:ascii="Verdana" w:hAnsi="Verdana" w:cs="Arial"/>
          <w:sz w:val="20"/>
          <w:szCs w:val="20"/>
        </w:rPr>
        <w:t xml:space="preserve">la falta de debida diligencia en la investigación y </w:t>
      </w:r>
      <w:r w:rsidR="00126AEC" w:rsidRPr="00C837BF">
        <w:rPr>
          <w:rFonts w:ascii="Verdana" w:hAnsi="Verdana" w:cs="Arial"/>
          <w:sz w:val="20"/>
          <w:szCs w:val="20"/>
        </w:rPr>
        <w:t>l</w:t>
      </w:r>
      <w:r w:rsidR="00095202" w:rsidRPr="00C837BF">
        <w:rPr>
          <w:rFonts w:ascii="Verdana" w:hAnsi="Verdana" w:cs="Arial"/>
          <w:sz w:val="20"/>
          <w:szCs w:val="20"/>
        </w:rPr>
        <w:t>a decisión de sostener</w:t>
      </w:r>
      <w:r w:rsidR="00126AEC" w:rsidRPr="00C837BF">
        <w:rPr>
          <w:rFonts w:ascii="Verdana" w:hAnsi="Verdana" w:cs="Arial"/>
          <w:sz w:val="20"/>
          <w:szCs w:val="20"/>
        </w:rPr>
        <w:t xml:space="preserve"> la competen</w:t>
      </w:r>
      <w:r w:rsidR="00095202" w:rsidRPr="00C837BF">
        <w:rPr>
          <w:rFonts w:ascii="Verdana" w:hAnsi="Verdana" w:cs="Arial"/>
          <w:sz w:val="20"/>
          <w:szCs w:val="20"/>
        </w:rPr>
        <w:t xml:space="preserve">cia de la jurisdicción militar </w:t>
      </w:r>
      <w:r w:rsidR="00126AEC" w:rsidRPr="00C837BF">
        <w:rPr>
          <w:rFonts w:ascii="Verdana" w:hAnsi="Verdana" w:cs="Arial"/>
          <w:sz w:val="20"/>
          <w:szCs w:val="20"/>
        </w:rPr>
        <w:t>entre los años 1998 y 2002</w:t>
      </w:r>
      <w:r w:rsidR="008255BA" w:rsidRPr="00C837BF">
        <w:rPr>
          <w:rFonts w:ascii="Verdana" w:hAnsi="Verdana" w:cs="Arial"/>
          <w:sz w:val="20"/>
          <w:szCs w:val="20"/>
        </w:rPr>
        <w:t xml:space="preserve">. Finalmente, la Corte declaró la responsabilidad del Estado por la violación del derecho a la integridad personal, en perjuicio de los familiares del </w:t>
      </w:r>
      <w:r w:rsidR="00024317" w:rsidRPr="00C837BF">
        <w:rPr>
          <w:rFonts w:ascii="Verdana" w:hAnsi="Verdana" w:cs="Arial"/>
          <w:sz w:val="20"/>
          <w:szCs w:val="20"/>
        </w:rPr>
        <w:t>joven</w:t>
      </w:r>
      <w:r w:rsidR="008255BA" w:rsidRPr="00C837BF">
        <w:rPr>
          <w:rFonts w:ascii="Verdana" w:hAnsi="Verdana" w:cs="Arial"/>
          <w:sz w:val="20"/>
          <w:szCs w:val="20"/>
        </w:rPr>
        <w:t xml:space="preserve"> Ortiz Hernández</w:t>
      </w:r>
      <w:r w:rsidR="008255BA">
        <w:rPr>
          <w:rStyle w:val="Refdenotaalpie"/>
          <w:rFonts w:ascii="Verdana" w:hAnsi="Verdana" w:cs="Arial"/>
          <w:sz w:val="20"/>
          <w:szCs w:val="20"/>
        </w:rPr>
        <w:footnoteReference w:id="4"/>
      </w:r>
      <w:r w:rsidR="008255BA" w:rsidRPr="00C837BF">
        <w:rPr>
          <w:rFonts w:ascii="Verdana" w:hAnsi="Verdana" w:cs="Arial"/>
          <w:sz w:val="20"/>
          <w:szCs w:val="20"/>
        </w:rPr>
        <w:t xml:space="preserve">. </w:t>
      </w:r>
      <w:r w:rsidR="00E36975" w:rsidRPr="00C837BF">
        <w:rPr>
          <w:rFonts w:ascii="Verdana" w:hAnsi="Verdana" w:cs="Verdana"/>
          <w:sz w:val="20"/>
          <w:szCs w:val="20"/>
        </w:rPr>
        <w:t xml:space="preserve">La Corte estableció que su </w:t>
      </w:r>
      <w:r w:rsidR="00E36975" w:rsidRPr="00C837BF">
        <w:rPr>
          <w:rFonts w:ascii="Verdana" w:hAnsi="Verdana"/>
          <w:sz w:val="20"/>
          <w:szCs w:val="20"/>
        </w:rPr>
        <w:t xml:space="preserve">Sentencia constituye </w:t>
      </w:r>
      <w:r w:rsidR="00E36975" w:rsidRPr="00C837BF">
        <w:rPr>
          <w:rFonts w:ascii="Verdana" w:hAnsi="Verdana"/>
          <w:iCs/>
          <w:sz w:val="20"/>
          <w:szCs w:val="20"/>
        </w:rPr>
        <w:t>por sí misma</w:t>
      </w:r>
      <w:r w:rsidR="00E36975" w:rsidRPr="00C837BF">
        <w:rPr>
          <w:rFonts w:ascii="Verdana" w:hAnsi="Verdana"/>
          <w:i/>
          <w:iCs/>
          <w:sz w:val="20"/>
          <w:szCs w:val="20"/>
        </w:rPr>
        <w:t xml:space="preserve"> </w:t>
      </w:r>
      <w:r w:rsidR="00E36975" w:rsidRPr="00C837BF">
        <w:rPr>
          <w:rFonts w:ascii="Verdana" w:hAnsi="Verdana"/>
          <w:sz w:val="20"/>
          <w:szCs w:val="20"/>
        </w:rPr>
        <w:t>una forma de reparación y, adicionalmente, ordenó al Estado determinadas medidas de reparación (</w:t>
      </w:r>
      <w:r w:rsidR="00E36975" w:rsidRPr="00C837BF">
        <w:rPr>
          <w:rFonts w:ascii="Verdana" w:hAnsi="Verdana"/>
          <w:i/>
          <w:iCs/>
          <w:sz w:val="20"/>
          <w:szCs w:val="20"/>
        </w:rPr>
        <w:t xml:space="preserve">infra </w:t>
      </w:r>
      <w:r w:rsidR="00E36975" w:rsidRPr="00C837BF">
        <w:rPr>
          <w:rFonts w:ascii="Verdana" w:hAnsi="Verdana"/>
          <w:sz w:val="20"/>
          <w:szCs w:val="20"/>
        </w:rPr>
        <w:t xml:space="preserve">Considerando 1). </w:t>
      </w:r>
    </w:p>
    <w:p w14:paraId="058190FC" w14:textId="77777777" w:rsidR="00F92F9A" w:rsidRPr="007D7BFE" w:rsidRDefault="002951FE" w:rsidP="00B11F2A">
      <w:pPr>
        <w:pStyle w:val="Prrafodelista"/>
        <w:numPr>
          <w:ilvl w:val="0"/>
          <w:numId w:val="1"/>
        </w:numPr>
        <w:suppressLineNumbers/>
        <w:spacing w:before="120" w:after="120" w:line="240" w:lineRule="auto"/>
        <w:ind w:left="0" w:right="49" w:firstLine="0"/>
        <w:contextualSpacing w:val="0"/>
        <w:jc w:val="both"/>
        <w:rPr>
          <w:rFonts w:ascii="Verdana" w:hAnsi="Verdana"/>
          <w:i/>
          <w:sz w:val="20"/>
          <w:szCs w:val="20"/>
        </w:rPr>
      </w:pPr>
      <w:r>
        <w:rPr>
          <w:rFonts w:ascii="Verdana" w:hAnsi="Verdana"/>
          <w:sz w:val="20"/>
          <w:szCs w:val="20"/>
        </w:rPr>
        <w:t>Los</w:t>
      </w:r>
      <w:r w:rsidR="00C77D12" w:rsidRPr="00C77D12">
        <w:rPr>
          <w:rFonts w:ascii="Verdana" w:hAnsi="Verdana"/>
          <w:sz w:val="20"/>
          <w:szCs w:val="20"/>
        </w:rPr>
        <w:t xml:space="preserve"> escrito</w:t>
      </w:r>
      <w:r>
        <w:rPr>
          <w:rFonts w:ascii="Verdana" w:hAnsi="Verdana"/>
          <w:sz w:val="20"/>
          <w:szCs w:val="20"/>
        </w:rPr>
        <w:t>s</w:t>
      </w:r>
      <w:r w:rsidR="00C77D12" w:rsidRPr="00C77D12">
        <w:rPr>
          <w:rFonts w:ascii="Verdana" w:hAnsi="Verdana"/>
          <w:sz w:val="20"/>
          <w:szCs w:val="20"/>
        </w:rPr>
        <w:t xml:space="preserve"> </w:t>
      </w:r>
      <w:r w:rsidR="000D0704">
        <w:rPr>
          <w:rFonts w:ascii="Verdana" w:hAnsi="Verdana"/>
          <w:sz w:val="20"/>
          <w:szCs w:val="20"/>
        </w:rPr>
        <w:t>presentado</w:t>
      </w:r>
      <w:r>
        <w:rPr>
          <w:rFonts w:ascii="Verdana" w:hAnsi="Verdana"/>
          <w:sz w:val="20"/>
          <w:szCs w:val="20"/>
        </w:rPr>
        <w:t>s</w:t>
      </w:r>
      <w:r w:rsidR="000D0704">
        <w:rPr>
          <w:rFonts w:ascii="Verdana" w:hAnsi="Verdana"/>
          <w:sz w:val="20"/>
          <w:szCs w:val="20"/>
        </w:rPr>
        <w:t xml:space="preserve"> por la</w:t>
      </w:r>
      <w:r w:rsidR="00C77D12" w:rsidRPr="00C77D12">
        <w:rPr>
          <w:rFonts w:ascii="Verdana" w:hAnsi="Verdana"/>
          <w:sz w:val="20"/>
          <w:szCs w:val="20"/>
        </w:rPr>
        <w:t>s representantes de las víctimas (</w:t>
      </w:r>
      <w:r w:rsidR="000D0704">
        <w:rPr>
          <w:rFonts w:ascii="Verdana" w:hAnsi="Verdana"/>
          <w:sz w:val="20"/>
          <w:szCs w:val="20"/>
        </w:rPr>
        <w:t>en adelante “la</w:t>
      </w:r>
      <w:r w:rsidR="00C77D12" w:rsidRPr="00C77D12">
        <w:rPr>
          <w:rFonts w:ascii="Verdana" w:hAnsi="Verdana"/>
          <w:sz w:val="20"/>
          <w:szCs w:val="20"/>
        </w:rPr>
        <w:t>s representantes”)</w:t>
      </w:r>
      <w:r w:rsidR="00C77D12" w:rsidRPr="00C77D12">
        <w:rPr>
          <w:rFonts w:ascii="Verdana" w:hAnsi="Verdana"/>
          <w:sz w:val="20"/>
          <w:szCs w:val="20"/>
          <w:vertAlign w:val="superscript"/>
        </w:rPr>
        <w:footnoteReference w:id="5"/>
      </w:r>
      <w:r w:rsidR="00C77D12" w:rsidRPr="00C77D12">
        <w:rPr>
          <w:rFonts w:ascii="Verdana" w:hAnsi="Verdana"/>
          <w:sz w:val="20"/>
          <w:szCs w:val="20"/>
        </w:rPr>
        <w:t xml:space="preserve"> </w:t>
      </w:r>
      <w:r w:rsidR="000641CE">
        <w:rPr>
          <w:rFonts w:ascii="Verdana" w:hAnsi="Verdana"/>
          <w:sz w:val="20"/>
          <w:szCs w:val="20"/>
        </w:rPr>
        <w:t>los días</w:t>
      </w:r>
      <w:r w:rsidR="00C77D12">
        <w:rPr>
          <w:rFonts w:ascii="Verdana" w:hAnsi="Verdana"/>
          <w:sz w:val="20"/>
          <w:szCs w:val="20"/>
        </w:rPr>
        <w:t xml:space="preserve"> 21 de febrero de 2019</w:t>
      </w:r>
      <w:r>
        <w:rPr>
          <w:rFonts w:ascii="Verdana" w:hAnsi="Verdana"/>
          <w:sz w:val="20"/>
          <w:szCs w:val="20"/>
        </w:rPr>
        <w:t xml:space="preserve"> y 27 de octubre de 2021</w:t>
      </w:r>
      <w:r w:rsidR="000D0704">
        <w:rPr>
          <w:rFonts w:ascii="Verdana" w:hAnsi="Verdana"/>
          <w:sz w:val="20"/>
          <w:szCs w:val="20"/>
        </w:rPr>
        <w:t xml:space="preserve">, </w:t>
      </w:r>
      <w:r>
        <w:rPr>
          <w:rFonts w:ascii="Verdana" w:hAnsi="Verdana"/>
          <w:sz w:val="20"/>
          <w:szCs w:val="20"/>
        </w:rPr>
        <w:t>mediante los cuales</w:t>
      </w:r>
      <w:r w:rsidR="000D0704">
        <w:rPr>
          <w:rFonts w:ascii="Verdana" w:hAnsi="Verdana"/>
          <w:sz w:val="20"/>
          <w:szCs w:val="20"/>
        </w:rPr>
        <w:t xml:space="preserve"> se refirieron al cumplimiento de lo ordenado en la Sentencia</w:t>
      </w:r>
      <w:r w:rsidR="00C77D12">
        <w:rPr>
          <w:rFonts w:ascii="Verdana" w:hAnsi="Verdana"/>
          <w:sz w:val="20"/>
          <w:szCs w:val="20"/>
        </w:rPr>
        <w:t>.</w:t>
      </w:r>
      <w:r w:rsidR="00D204B1">
        <w:rPr>
          <w:rFonts w:ascii="Verdana" w:hAnsi="Verdana"/>
          <w:sz w:val="20"/>
          <w:szCs w:val="20"/>
        </w:rPr>
        <w:t xml:space="preserve"> </w:t>
      </w:r>
      <w:r w:rsidR="00142D83">
        <w:rPr>
          <w:rFonts w:ascii="Verdana" w:hAnsi="Verdana"/>
          <w:sz w:val="20"/>
          <w:szCs w:val="20"/>
        </w:rPr>
        <w:t xml:space="preserve">En este último escrito también solicitaron que la Corte convoque una audiencia de supervisión de cumplimiento. </w:t>
      </w:r>
    </w:p>
    <w:p w14:paraId="56A3BEC8" w14:textId="77777777" w:rsidR="007D7BFE" w:rsidRPr="007D7BFE" w:rsidRDefault="007D7BFE" w:rsidP="00B11F2A">
      <w:pPr>
        <w:pStyle w:val="Prrafodelista"/>
        <w:numPr>
          <w:ilvl w:val="0"/>
          <w:numId w:val="1"/>
        </w:numPr>
        <w:suppressLineNumbers/>
        <w:spacing w:before="120" w:after="120" w:line="240" w:lineRule="auto"/>
        <w:ind w:left="0" w:right="49" w:firstLine="0"/>
        <w:contextualSpacing w:val="0"/>
        <w:jc w:val="both"/>
        <w:rPr>
          <w:rFonts w:ascii="Verdana" w:hAnsi="Verdana" w:cs="Arial"/>
          <w:b/>
          <w:bCs/>
          <w:sz w:val="20"/>
          <w:szCs w:val="20"/>
        </w:rPr>
      </w:pPr>
      <w:r w:rsidRPr="00C837BF">
        <w:rPr>
          <w:rFonts w:ascii="Verdana" w:hAnsi="Verdana" w:cs="Arial"/>
          <w:sz w:val="20"/>
          <w:szCs w:val="20"/>
        </w:rPr>
        <w:t>Las notas de la Secretaría de la Corte</w:t>
      </w:r>
      <w:r w:rsidR="007C7B86">
        <w:rPr>
          <w:rFonts w:ascii="Verdana" w:hAnsi="Verdana" w:cs="Arial"/>
          <w:sz w:val="20"/>
          <w:szCs w:val="20"/>
        </w:rPr>
        <w:t xml:space="preserve"> (en adelante “la Secretaría”)</w:t>
      </w:r>
      <w:r w:rsidRPr="00C837BF">
        <w:rPr>
          <w:rFonts w:ascii="Verdana" w:hAnsi="Verdana" w:cs="Arial"/>
          <w:sz w:val="20"/>
          <w:szCs w:val="20"/>
        </w:rPr>
        <w:t xml:space="preserve"> </w:t>
      </w:r>
      <w:r w:rsidR="001F0573">
        <w:rPr>
          <w:rFonts w:ascii="Verdana" w:hAnsi="Verdana" w:cs="Arial"/>
          <w:sz w:val="20"/>
          <w:szCs w:val="20"/>
        </w:rPr>
        <w:t xml:space="preserve">de </w:t>
      </w:r>
      <w:r>
        <w:rPr>
          <w:rFonts w:ascii="Verdana" w:hAnsi="Verdana" w:cs="Arial"/>
          <w:sz w:val="20"/>
          <w:szCs w:val="20"/>
        </w:rPr>
        <w:t>21</w:t>
      </w:r>
      <w:r w:rsidRPr="00C837BF">
        <w:rPr>
          <w:rFonts w:ascii="Verdana" w:hAnsi="Verdana" w:cs="Arial"/>
          <w:sz w:val="20"/>
          <w:szCs w:val="20"/>
        </w:rPr>
        <w:t xml:space="preserve"> de </w:t>
      </w:r>
      <w:r>
        <w:rPr>
          <w:rFonts w:ascii="Verdana" w:hAnsi="Verdana" w:cs="Arial"/>
          <w:sz w:val="20"/>
          <w:szCs w:val="20"/>
        </w:rPr>
        <w:t>diciembre</w:t>
      </w:r>
      <w:r w:rsidRPr="00C837BF">
        <w:rPr>
          <w:rFonts w:ascii="Verdana" w:hAnsi="Verdana" w:cs="Arial"/>
          <w:sz w:val="20"/>
          <w:szCs w:val="20"/>
        </w:rPr>
        <w:t xml:space="preserve"> de 2018, </w:t>
      </w:r>
      <w:r>
        <w:rPr>
          <w:rFonts w:ascii="Verdana" w:hAnsi="Verdana" w:cs="Arial"/>
          <w:sz w:val="20"/>
          <w:szCs w:val="20"/>
        </w:rPr>
        <w:t>20 de marzo y 2 de abril de 2019</w:t>
      </w:r>
      <w:r w:rsidRPr="00C837BF">
        <w:rPr>
          <w:rFonts w:ascii="Verdana" w:hAnsi="Verdana" w:cs="Arial"/>
          <w:sz w:val="20"/>
          <w:szCs w:val="20"/>
        </w:rPr>
        <w:t xml:space="preserve">, </w:t>
      </w:r>
      <w:r>
        <w:rPr>
          <w:rFonts w:ascii="Verdana" w:hAnsi="Verdana" w:cs="Arial"/>
          <w:sz w:val="20"/>
          <w:szCs w:val="20"/>
        </w:rPr>
        <w:t>13 de agosto de 2020</w:t>
      </w:r>
      <w:r w:rsidR="008C1FD2">
        <w:rPr>
          <w:rFonts w:ascii="Verdana" w:hAnsi="Verdana" w:cs="Arial"/>
          <w:sz w:val="20"/>
          <w:szCs w:val="20"/>
        </w:rPr>
        <w:t xml:space="preserve"> y 2 de noviembre de 2021</w:t>
      </w:r>
      <w:r w:rsidRPr="00C837BF">
        <w:rPr>
          <w:rFonts w:ascii="Verdana" w:hAnsi="Verdana" w:cs="Arial"/>
          <w:sz w:val="20"/>
          <w:szCs w:val="20"/>
        </w:rPr>
        <w:t xml:space="preserve">, mediante las cuales, siguiendo instrucciones de la Presidencia del Tribunal, </w:t>
      </w:r>
      <w:r w:rsidRPr="00DE5F80">
        <w:rPr>
          <w:rFonts w:ascii="Verdana" w:hAnsi="Verdana" w:cs="Arial"/>
          <w:sz w:val="20"/>
          <w:szCs w:val="20"/>
        </w:rPr>
        <w:t xml:space="preserve">se </w:t>
      </w:r>
      <w:r>
        <w:rPr>
          <w:rFonts w:ascii="Verdana" w:hAnsi="Verdana" w:cs="Arial"/>
          <w:sz w:val="20"/>
          <w:szCs w:val="20"/>
        </w:rPr>
        <w:t xml:space="preserve">recordó </w:t>
      </w:r>
      <w:r w:rsidRPr="00DE5F80">
        <w:rPr>
          <w:rFonts w:ascii="Verdana" w:hAnsi="Verdana" w:cs="Arial"/>
          <w:sz w:val="20"/>
          <w:szCs w:val="20"/>
        </w:rPr>
        <w:t>al Estado que</w:t>
      </w:r>
      <w:r w:rsidR="007C7B86">
        <w:rPr>
          <w:rFonts w:ascii="Verdana" w:hAnsi="Verdana" w:cs="Arial"/>
          <w:sz w:val="20"/>
          <w:szCs w:val="20"/>
        </w:rPr>
        <w:t xml:space="preserve"> el </w:t>
      </w:r>
      <w:r w:rsidR="000641CE">
        <w:rPr>
          <w:rFonts w:ascii="Verdana" w:hAnsi="Verdana" w:cs="Arial"/>
          <w:sz w:val="20"/>
          <w:szCs w:val="20"/>
        </w:rPr>
        <w:t xml:space="preserve">día </w:t>
      </w:r>
      <w:r w:rsidR="007C7B86">
        <w:rPr>
          <w:rFonts w:ascii="Verdana" w:hAnsi="Verdana" w:cs="Arial"/>
          <w:sz w:val="20"/>
          <w:szCs w:val="20"/>
        </w:rPr>
        <w:t>16 de octubre de 2018 venció el plazo para que</w:t>
      </w:r>
      <w:r w:rsidRPr="00DE5F80">
        <w:rPr>
          <w:rFonts w:ascii="Verdana" w:hAnsi="Verdana" w:cs="Arial"/>
          <w:sz w:val="20"/>
          <w:szCs w:val="20"/>
        </w:rPr>
        <w:t xml:space="preserve"> presentara el</w:t>
      </w:r>
      <w:r w:rsidR="00C348DE">
        <w:rPr>
          <w:rFonts w:ascii="Verdana" w:hAnsi="Verdana" w:cs="Arial"/>
          <w:sz w:val="20"/>
          <w:szCs w:val="20"/>
        </w:rPr>
        <w:t xml:space="preserve"> primer</w:t>
      </w:r>
      <w:r w:rsidRPr="00DE5F80">
        <w:rPr>
          <w:rFonts w:ascii="Verdana" w:hAnsi="Verdana" w:cs="Arial"/>
          <w:sz w:val="20"/>
          <w:szCs w:val="20"/>
        </w:rPr>
        <w:t xml:space="preserve"> informe sobre el cumplimiento de las reparaciones, requerido en el punto </w:t>
      </w:r>
      <w:r>
        <w:rPr>
          <w:rFonts w:ascii="Verdana" w:hAnsi="Verdana" w:cs="Arial"/>
          <w:sz w:val="20"/>
          <w:szCs w:val="20"/>
        </w:rPr>
        <w:t>resolutivo décimo séptimo</w:t>
      </w:r>
      <w:r w:rsidRPr="00DE5F80">
        <w:rPr>
          <w:rFonts w:ascii="Verdana" w:hAnsi="Verdana" w:cs="Arial"/>
          <w:sz w:val="20"/>
          <w:szCs w:val="20"/>
        </w:rPr>
        <w:t xml:space="preserve"> de la Sentencia (</w:t>
      </w:r>
      <w:r w:rsidRPr="00DE5F80">
        <w:rPr>
          <w:rFonts w:ascii="Verdana" w:hAnsi="Verdana" w:cs="Arial"/>
          <w:i/>
          <w:sz w:val="20"/>
          <w:szCs w:val="20"/>
        </w:rPr>
        <w:t>infra</w:t>
      </w:r>
      <w:r w:rsidRPr="00DE5F80">
        <w:rPr>
          <w:rFonts w:ascii="Verdana" w:hAnsi="Verdana" w:cs="Arial"/>
          <w:sz w:val="20"/>
          <w:szCs w:val="20"/>
        </w:rPr>
        <w:t xml:space="preserve"> Considerando 2), </w:t>
      </w:r>
      <w:r w:rsidR="007C7B86">
        <w:rPr>
          <w:rFonts w:ascii="Verdana" w:hAnsi="Verdana" w:cs="Arial"/>
          <w:sz w:val="20"/>
          <w:szCs w:val="20"/>
        </w:rPr>
        <w:t>y se le solicitó su presentación</w:t>
      </w:r>
      <w:r w:rsidR="008408C7">
        <w:rPr>
          <w:rStyle w:val="Refdenotaalpie"/>
          <w:rFonts w:ascii="Verdana" w:hAnsi="Verdana" w:cs="Arial"/>
          <w:sz w:val="20"/>
          <w:szCs w:val="20"/>
        </w:rPr>
        <w:footnoteReference w:id="6"/>
      </w:r>
      <w:r w:rsidR="004B23D8">
        <w:rPr>
          <w:rFonts w:ascii="Verdana" w:hAnsi="Verdana" w:cs="Arial"/>
          <w:sz w:val="20"/>
          <w:szCs w:val="20"/>
        </w:rPr>
        <w:t>, sin que hasta el momento haya recibido el mismo</w:t>
      </w:r>
      <w:r w:rsidR="001A6D7C">
        <w:rPr>
          <w:rFonts w:ascii="Verdana" w:hAnsi="Verdana" w:cs="Arial"/>
          <w:sz w:val="20"/>
          <w:szCs w:val="20"/>
        </w:rPr>
        <w:t xml:space="preserve">. </w:t>
      </w:r>
    </w:p>
    <w:p w14:paraId="62DAD113" w14:textId="77777777" w:rsidR="00962F79" w:rsidRPr="00FF18D7" w:rsidRDefault="00962F79" w:rsidP="00B11F2A">
      <w:pPr>
        <w:pStyle w:val="Prrafodelista"/>
        <w:suppressLineNumbers/>
        <w:spacing w:before="120" w:after="120" w:line="240" w:lineRule="auto"/>
        <w:ind w:left="0" w:right="49"/>
        <w:jc w:val="both"/>
        <w:rPr>
          <w:rFonts w:ascii="Verdana" w:hAnsi="Verdana"/>
          <w:b/>
          <w:sz w:val="20"/>
          <w:szCs w:val="20"/>
        </w:rPr>
      </w:pPr>
    </w:p>
    <w:p w14:paraId="7F93BE9C" w14:textId="77777777" w:rsidR="00FF3893" w:rsidRPr="00FF18D7" w:rsidRDefault="00FF3893" w:rsidP="00B11F2A">
      <w:pPr>
        <w:suppressLineNumbers/>
        <w:spacing w:before="120" w:after="120" w:line="240" w:lineRule="auto"/>
        <w:ind w:right="49"/>
        <w:jc w:val="both"/>
        <w:rPr>
          <w:rFonts w:ascii="Verdana" w:hAnsi="Verdana"/>
          <w:b/>
          <w:sz w:val="20"/>
          <w:szCs w:val="20"/>
        </w:rPr>
      </w:pPr>
      <w:r w:rsidRPr="00FF18D7">
        <w:rPr>
          <w:rFonts w:ascii="Verdana" w:hAnsi="Verdana"/>
          <w:b/>
          <w:sz w:val="20"/>
          <w:szCs w:val="20"/>
        </w:rPr>
        <w:t>CONSIDERANDO QUE:</w:t>
      </w:r>
    </w:p>
    <w:p w14:paraId="62045869" w14:textId="77777777" w:rsidR="00005110" w:rsidRPr="00113810" w:rsidRDefault="00797528" w:rsidP="00B11F2A">
      <w:pPr>
        <w:pStyle w:val="Prrafodelista"/>
        <w:numPr>
          <w:ilvl w:val="0"/>
          <w:numId w:val="4"/>
        </w:numPr>
        <w:suppressLineNumbers/>
        <w:spacing w:before="120" w:after="120" w:line="240" w:lineRule="auto"/>
        <w:ind w:left="0" w:right="49" w:firstLine="0"/>
        <w:contextualSpacing w:val="0"/>
        <w:jc w:val="both"/>
        <w:rPr>
          <w:rFonts w:ascii="Verdana" w:hAnsi="Verdana"/>
          <w:sz w:val="20"/>
          <w:szCs w:val="20"/>
        </w:rPr>
      </w:pPr>
      <w:r w:rsidRPr="009C0E88">
        <w:rPr>
          <w:rFonts w:ascii="Verdana" w:hAnsi="Verdana"/>
          <w:sz w:val="20"/>
          <w:szCs w:val="20"/>
          <w:lang w:val="es-ES"/>
        </w:rPr>
        <w:t>En el ejercicio de su función jurisdiccional de supervisar el cumplimiento de sus decisiones</w:t>
      </w:r>
      <w:r w:rsidRPr="00C76300">
        <w:rPr>
          <w:rFonts w:ascii="Verdana" w:hAnsi="Verdana"/>
          <w:sz w:val="20"/>
          <w:szCs w:val="20"/>
          <w:vertAlign w:val="superscript"/>
        </w:rPr>
        <w:footnoteReference w:id="7"/>
      </w:r>
      <w:r w:rsidRPr="009C0E88">
        <w:rPr>
          <w:rFonts w:ascii="Verdana" w:hAnsi="Verdana"/>
          <w:sz w:val="20"/>
          <w:szCs w:val="20"/>
          <w:lang w:val="es-ES"/>
        </w:rPr>
        <w:t xml:space="preserve"> la Corte ha venido </w:t>
      </w:r>
      <w:r w:rsidR="0096058C" w:rsidRPr="009C0E88">
        <w:rPr>
          <w:rFonts w:ascii="Verdana" w:hAnsi="Verdana"/>
          <w:sz w:val="20"/>
          <w:szCs w:val="20"/>
          <w:lang w:val="es-ES"/>
        </w:rPr>
        <w:t xml:space="preserve">considerando </w:t>
      </w:r>
      <w:r w:rsidR="004C4767" w:rsidRPr="009C0E88">
        <w:rPr>
          <w:rFonts w:ascii="Verdana" w:hAnsi="Verdana"/>
          <w:sz w:val="20"/>
          <w:szCs w:val="20"/>
          <w:lang w:val="es-ES"/>
        </w:rPr>
        <w:t>la ejecución de la</w:t>
      </w:r>
      <w:r w:rsidRPr="009C0E88">
        <w:rPr>
          <w:rFonts w:ascii="Verdana" w:hAnsi="Verdana"/>
          <w:sz w:val="20"/>
          <w:szCs w:val="20"/>
          <w:lang w:val="es-ES"/>
        </w:rPr>
        <w:t xml:space="preserve"> Sentenc</w:t>
      </w:r>
      <w:r w:rsidRPr="00841211">
        <w:rPr>
          <w:rFonts w:ascii="Verdana" w:hAnsi="Verdana"/>
          <w:sz w:val="20"/>
          <w:szCs w:val="20"/>
          <w:lang w:val="es-ES"/>
        </w:rPr>
        <w:t xml:space="preserve">ia emitida </w:t>
      </w:r>
      <w:r w:rsidRPr="00841211">
        <w:rPr>
          <w:rFonts w:ascii="Verdana" w:hAnsi="Verdana"/>
          <w:sz w:val="20"/>
          <w:szCs w:val="20"/>
          <w:lang w:val="es-MX"/>
        </w:rPr>
        <w:t xml:space="preserve">en </w:t>
      </w:r>
      <w:r w:rsidR="0096058C" w:rsidRPr="00841211">
        <w:rPr>
          <w:rFonts w:ascii="Verdana" w:hAnsi="Verdana"/>
          <w:sz w:val="20"/>
          <w:szCs w:val="20"/>
          <w:lang w:val="es-MX"/>
        </w:rPr>
        <w:t>est</w:t>
      </w:r>
      <w:r w:rsidR="004C4767" w:rsidRPr="00841211">
        <w:rPr>
          <w:rFonts w:ascii="Verdana" w:hAnsi="Verdana"/>
          <w:sz w:val="20"/>
          <w:szCs w:val="20"/>
          <w:lang w:val="es-MX"/>
        </w:rPr>
        <w:t>e</w:t>
      </w:r>
      <w:r w:rsidR="0096058C" w:rsidRPr="00841211">
        <w:rPr>
          <w:rFonts w:ascii="Verdana" w:hAnsi="Verdana"/>
          <w:sz w:val="20"/>
          <w:szCs w:val="20"/>
          <w:lang w:val="es-MX"/>
        </w:rPr>
        <w:t xml:space="preserve"> c</w:t>
      </w:r>
      <w:r w:rsidRPr="00841211">
        <w:rPr>
          <w:rFonts w:ascii="Verdana" w:hAnsi="Verdana"/>
          <w:sz w:val="20"/>
          <w:szCs w:val="20"/>
          <w:lang w:val="es-MX"/>
        </w:rPr>
        <w:t>aso</w:t>
      </w:r>
      <w:r w:rsidR="00F87659" w:rsidRPr="00841211">
        <w:rPr>
          <w:rFonts w:ascii="Verdana" w:hAnsi="Verdana"/>
          <w:sz w:val="20"/>
          <w:szCs w:val="20"/>
          <w:lang w:val="es-MX"/>
        </w:rPr>
        <w:t xml:space="preserve"> </w:t>
      </w:r>
      <w:r w:rsidR="004F04A8" w:rsidRPr="00841211">
        <w:rPr>
          <w:rFonts w:ascii="Verdana" w:hAnsi="Verdana"/>
          <w:sz w:val="20"/>
          <w:szCs w:val="20"/>
          <w:lang w:val="es-MX"/>
        </w:rPr>
        <w:t xml:space="preserve">hace más de </w:t>
      </w:r>
      <w:r w:rsidR="00C560A0" w:rsidRPr="00841211">
        <w:rPr>
          <w:rFonts w:ascii="Verdana" w:hAnsi="Verdana"/>
          <w:sz w:val="20"/>
          <w:szCs w:val="20"/>
          <w:lang w:val="es-MX"/>
        </w:rPr>
        <w:t xml:space="preserve">cuatro </w:t>
      </w:r>
      <w:r w:rsidR="004F04A8" w:rsidRPr="00841211">
        <w:rPr>
          <w:rFonts w:ascii="Verdana" w:hAnsi="Verdana"/>
          <w:sz w:val="20"/>
          <w:szCs w:val="20"/>
          <w:lang w:val="es-MX"/>
        </w:rPr>
        <w:t>años</w:t>
      </w:r>
      <w:r w:rsidRPr="00841211">
        <w:rPr>
          <w:rFonts w:ascii="Verdana" w:hAnsi="Verdana"/>
          <w:sz w:val="20"/>
          <w:szCs w:val="20"/>
          <w:lang w:val="es-MX"/>
        </w:rPr>
        <w:t xml:space="preserve"> (</w:t>
      </w:r>
      <w:r w:rsidRPr="00841211">
        <w:rPr>
          <w:rFonts w:ascii="Verdana" w:hAnsi="Verdana"/>
          <w:i/>
          <w:sz w:val="20"/>
          <w:szCs w:val="20"/>
          <w:lang w:val="es-MX"/>
        </w:rPr>
        <w:t>supra</w:t>
      </w:r>
      <w:r w:rsidRPr="00841211">
        <w:rPr>
          <w:rFonts w:ascii="Verdana" w:hAnsi="Verdana"/>
          <w:sz w:val="20"/>
          <w:szCs w:val="20"/>
          <w:lang w:val="es-MX"/>
        </w:rPr>
        <w:t xml:space="preserve"> Visto 1)</w:t>
      </w:r>
      <w:r w:rsidR="006B672F" w:rsidRPr="00841211">
        <w:rPr>
          <w:rFonts w:ascii="Verdana" w:hAnsi="Verdana"/>
          <w:sz w:val="20"/>
          <w:szCs w:val="20"/>
          <w:lang w:val="es-MX"/>
        </w:rPr>
        <w:t>.</w:t>
      </w:r>
      <w:r w:rsidR="008441DB" w:rsidRPr="00841211">
        <w:rPr>
          <w:rFonts w:ascii="Verdana" w:hAnsi="Verdana"/>
          <w:sz w:val="20"/>
          <w:szCs w:val="20"/>
          <w:lang w:val="es-MX"/>
        </w:rPr>
        <w:t xml:space="preserve"> </w:t>
      </w:r>
      <w:r w:rsidR="0081078E" w:rsidRPr="00841211">
        <w:rPr>
          <w:rFonts w:ascii="Verdana" w:hAnsi="Verdana"/>
          <w:sz w:val="20"/>
          <w:szCs w:val="20"/>
        </w:rPr>
        <w:t xml:space="preserve">En </w:t>
      </w:r>
      <w:r w:rsidR="00D85B0A" w:rsidRPr="00841211">
        <w:rPr>
          <w:rFonts w:ascii="Verdana" w:hAnsi="Verdana"/>
          <w:sz w:val="20"/>
          <w:szCs w:val="20"/>
        </w:rPr>
        <w:t>el Fallo</w:t>
      </w:r>
      <w:r w:rsidR="0081078E" w:rsidRPr="00841211">
        <w:rPr>
          <w:rFonts w:ascii="Verdana" w:hAnsi="Verdana"/>
          <w:sz w:val="20"/>
          <w:szCs w:val="20"/>
        </w:rPr>
        <w:t xml:space="preserve">, el Tribunal dispuso diez medidas de </w:t>
      </w:r>
      <w:r w:rsidR="0081078E" w:rsidRPr="000754AF">
        <w:rPr>
          <w:rFonts w:ascii="Verdana" w:hAnsi="Verdana"/>
          <w:sz w:val="20"/>
          <w:szCs w:val="20"/>
        </w:rPr>
        <w:t>reparación</w:t>
      </w:r>
      <w:r w:rsidR="00AF2107" w:rsidRPr="000754AF">
        <w:rPr>
          <w:rFonts w:ascii="Verdana" w:hAnsi="Verdana"/>
          <w:sz w:val="20"/>
          <w:szCs w:val="20"/>
        </w:rPr>
        <w:t xml:space="preserve"> (</w:t>
      </w:r>
      <w:r w:rsidR="00AF2107" w:rsidRPr="000754AF">
        <w:rPr>
          <w:rFonts w:ascii="Verdana" w:hAnsi="Verdana"/>
          <w:i/>
          <w:sz w:val="20"/>
          <w:szCs w:val="20"/>
        </w:rPr>
        <w:t>infra</w:t>
      </w:r>
      <w:r w:rsidR="000754AF" w:rsidRPr="000754AF">
        <w:rPr>
          <w:rFonts w:ascii="Verdana" w:hAnsi="Verdana"/>
          <w:sz w:val="20"/>
          <w:szCs w:val="20"/>
        </w:rPr>
        <w:t xml:space="preserve"> puntos resolutivos </w:t>
      </w:r>
      <w:r w:rsidR="00AF2107" w:rsidRPr="000754AF">
        <w:rPr>
          <w:rFonts w:ascii="Verdana" w:hAnsi="Verdana"/>
          <w:sz w:val="20"/>
          <w:szCs w:val="20"/>
        </w:rPr>
        <w:t xml:space="preserve">4 y </w:t>
      </w:r>
      <w:r w:rsidR="000754AF" w:rsidRPr="000754AF">
        <w:rPr>
          <w:rFonts w:ascii="Verdana" w:hAnsi="Verdana"/>
          <w:sz w:val="20"/>
          <w:szCs w:val="20"/>
        </w:rPr>
        <w:t>5</w:t>
      </w:r>
      <w:r w:rsidR="00AF2107" w:rsidRPr="000754AF">
        <w:rPr>
          <w:rFonts w:ascii="Verdana" w:hAnsi="Verdana"/>
          <w:sz w:val="20"/>
          <w:szCs w:val="20"/>
        </w:rPr>
        <w:t>)</w:t>
      </w:r>
      <w:r w:rsidR="0081078E" w:rsidRPr="000754AF">
        <w:rPr>
          <w:rFonts w:ascii="Verdana" w:hAnsi="Verdana"/>
          <w:sz w:val="20"/>
          <w:szCs w:val="20"/>
        </w:rPr>
        <w:t xml:space="preserve"> y el</w:t>
      </w:r>
      <w:r w:rsidR="0081078E" w:rsidRPr="00841211">
        <w:rPr>
          <w:rFonts w:ascii="Verdana" w:hAnsi="Verdana"/>
          <w:sz w:val="20"/>
          <w:szCs w:val="20"/>
        </w:rPr>
        <w:t xml:space="preserve"> reintegr</w:t>
      </w:r>
      <w:r w:rsidR="00841211">
        <w:rPr>
          <w:rFonts w:ascii="Verdana" w:hAnsi="Verdana"/>
          <w:sz w:val="20"/>
          <w:szCs w:val="20"/>
        </w:rPr>
        <w:t>o</w:t>
      </w:r>
      <w:r w:rsidR="0081078E" w:rsidRPr="00841211">
        <w:rPr>
          <w:rFonts w:ascii="Verdana" w:hAnsi="Verdana"/>
          <w:sz w:val="20"/>
          <w:szCs w:val="20"/>
        </w:rPr>
        <w:t xml:space="preserve"> al Fondo de Asistencia Legal de Víctimas de la Corte Interamericana</w:t>
      </w:r>
      <w:r w:rsidR="00841211">
        <w:rPr>
          <w:rFonts w:ascii="Verdana" w:hAnsi="Verdana"/>
          <w:sz w:val="20"/>
          <w:szCs w:val="20"/>
        </w:rPr>
        <w:t xml:space="preserve"> de</w:t>
      </w:r>
      <w:r w:rsidR="0081078E" w:rsidRPr="00841211">
        <w:rPr>
          <w:rFonts w:ascii="Verdana" w:hAnsi="Verdana"/>
          <w:sz w:val="20"/>
          <w:szCs w:val="20"/>
        </w:rPr>
        <w:t xml:space="preserve"> </w:t>
      </w:r>
      <w:r w:rsidR="00D85B0A" w:rsidRPr="00841211">
        <w:rPr>
          <w:rFonts w:ascii="Verdana" w:hAnsi="Verdana"/>
          <w:sz w:val="20"/>
          <w:szCs w:val="20"/>
        </w:rPr>
        <w:t xml:space="preserve">la cantidad </w:t>
      </w:r>
      <w:r w:rsidR="0081078E" w:rsidRPr="00841211">
        <w:rPr>
          <w:rFonts w:ascii="Verdana" w:hAnsi="Verdana"/>
          <w:sz w:val="20"/>
          <w:szCs w:val="20"/>
        </w:rPr>
        <w:t>correspondiente a los gastos realizados durante la etapa de fondo</w:t>
      </w:r>
      <w:r w:rsidR="00D85B0A">
        <w:rPr>
          <w:rStyle w:val="Refdenotaalpie"/>
          <w:rFonts w:ascii="Verdana" w:hAnsi="Verdana"/>
          <w:sz w:val="20"/>
          <w:szCs w:val="20"/>
        </w:rPr>
        <w:footnoteReference w:id="8"/>
      </w:r>
      <w:r w:rsidR="0081078E" w:rsidRPr="009C0E88">
        <w:rPr>
          <w:rFonts w:ascii="Verdana" w:hAnsi="Verdana"/>
          <w:sz w:val="20"/>
          <w:szCs w:val="20"/>
        </w:rPr>
        <w:t xml:space="preserve"> (</w:t>
      </w:r>
      <w:r w:rsidR="0081078E" w:rsidRPr="009C0E88">
        <w:rPr>
          <w:rFonts w:ascii="Verdana" w:hAnsi="Verdana"/>
          <w:i/>
          <w:sz w:val="20"/>
          <w:szCs w:val="20"/>
        </w:rPr>
        <w:t>infra</w:t>
      </w:r>
      <w:r w:rsidR="0081078E" w:rsidRPr="009C0E88">
        <w:rPr>
          <w:rFonts w:ascii="Verdana" w:hAnsi="Verdana"/>
          <w:sz w:val="20"/>
          <w:szCs w:val="20"/>
        </w:rPr>
        <w:t xml:space="preserve"> punto resolutivo </w:t>
      </w:r>
      <w:r w:rsidR="00A2556A">
        <w:rPr>
          <w:rFonts w:ascii="Verdana" w:hAnsi="Verdana"/>
          <w:sz w:val="20"/>
          <w:szCs w:val="20"/>
        </w:rPr>
        <w:t>7</w:t>
      </w:r>
      <w:r w:rsidR="0081078E" w:rsidRPr="009C0E88">
        <w:rPr>
          <w:rFonts w:ascii="Verdana" w:hAnsi="Verdana"/>
          <w:sz w:val="20"/>
          <w:szCs w:val="20"/>
        </w:rPr>
        <w:t>)</w:t>
      </w:r>
      <w:r w:rsidR="001820C6" w:rsidRPr="00841211">
        <w:rPr>
          <w:rFonts w:ascii="Verdana" w:hAnsi="Verdana"/>
          <w:sz w:val="20"/>
          <w:szCs w:val="20"/>
          <w:lang w:val="es-MX"/>
        </w:rPr>
        <w:t>.</w:t>
      </w:r>
      <w:r w:rsidR="000766A2" w:rsidRPr="00841211">
        <w:rPr>
          <w:rFonts w:ascii="Verdana" w:hAnsi="Verdana"/>
          <w:sz w:val="20"/>
          <w:szCs w:val="20"/>
          <w:lang w:val="es-MX"/>
        </w:rPr>
        <w:t xml:space="preserve"> </w:t>
      </w:r>
    </w:p>
    <w:p w14:paraId="5BC0AA28" w14:textId="77777777" w:rsidR="00AD2B98" w:rsidRPr="007B4071" w:rsidRDefault="00AD2B98" w:rsidP="00B11F2A">
      <w:pPr>
        <w:pStyle w:val="Prrafodelista"/>
        <w:numPr>
          <w:ilvl w:val="0"/>
          <w:numId w:val="4"/>
        </w:numPr>
        <w:suppressLineNumbers/>
        <w:spacing w:before="120" w:after="120" w:line="240" w:lineRule="auto"/>
        <w:ind w:left="0" w:right="49" w:firstLine="0"/>
        <w:contextualSpacing w:val="0"/>
        <w:jc w:val="both"/>
        <w:rPr>
          <w:rFonts w:ascii="Verdana" w:hAnsi="Verdana"/>
          <w:sz w:val="20"/>
          <w:szCs w:val="20"/>
        </w:rPr>
      </w:pPr>
      <w:r>
        <w:rPr>
          <w:rFonts w:ascii="Verdana" w:hAnsi="Verdana"/>
          <w:sz w:val="20"/>
          <w:szCs w:val="20"/>
          <w:lang w:val="es-MX"/>
        </w:rPr>
        <w:t>La Corte se pronunciará primeramente sobre la falta de presentación por parte del Estado del informe sobre el cumplimiento de la Sente</w:t>
      </w:r>
      <w:r w:rsidR="00113810">
        <w:rPr>
          <w:rFonts w:ascii="Verdana" w:hAnsi="Verdana"/>
          <w:sz w:val="20"/>
          <w:szCs w:val="20"/>
          <w:lang w:val="es-MX"/>
        </w:rPr>
        <w:t>n</w:t>
      </w:r>
      <w:r>
        <w:rPr>
          <w:rFonts w:ascii="Verdana" w:hAnsi="Verdana"/>
          <w:sz w:val="20"/>
          <w:szCs w:val="20"/>
          <w:lang w:val="es-MX"/>
        </w:rPr>
        <w:t>cia que le fue requerido en la misma</w:t>
      </w:r>
      <w:r w:rsidR="00113810">
        <w:rPr>
          <w:rFonts w:ascii="Verdana" w:hAnsi="Verdana"/>
          <w:sz w:val="20"/>
          <w:szCs w:val="20"/>
          <w:lang w:val="es-MX"/>
        </w:rPr>
        <w:t xml:space="preserve">. En segundo lugar, valorará la </w:t>
      </w:r>
      <w:r>
        <w:rPr>
          <w:rFonts w:ascii="Verdana" w:hAnsi="Verdana"/>
          <w:sz w:val="20"/>
          <w:szCs w:val="20"/>
          <w:lang w:val="es-MX"/>
        </w:rPr>
        <w:t xml:space="preserve">información aportada por las representantes de las víctimas respecto a </w:t>
      </w:r>
      <w:r w:rsidR="00D152A3">
        <w:rPr>
          <w:rFonts w:ascii="Verdana" w:hAnsi="Verdana"/>
          <w:sz w:val="20"/>
          <w:szCs w:val="20"/>
          <w:lang w:val="es-MX"/>
        </w:rPr>
        <w:t>tres</w:t>
      </w:r>
      <w:r>
        <w:rPr>
          <w:rFonts w:ascii="Verdana" w:hAnsi="Verdana"/>
          <w:sz w:val="20"/>
          <w:szCs w:val="20"/>
          <w:lang w:val="es-MX"/>
        </w:rPr>
        <w:t xml:space="preserve"> de las reparaciones</w:t>
      </w:r>
      <w:r w:rsidR="00113810">
        <w:rPr>
          <w:rFonts w:ascii="Verdana" w:hAnsi="Verdana"/>
          <w:sz w:val="20"/>
          <w:szCs w:val="20"/>
          <w:lang w:val="es-MX"/>
        </w:rPr>
        <w:t>. Finalmente, el Tribunal requerirá</w:t>
      </w:r>
      <w:r>
        <w:rPr>
          <w:rFonts w:ascii="Verdana" w:hAnsi="Verdana"/>
          <w:sz w:val="20"/>
          <w:szCs w:val="20"/>
          <w:lang w:val="es-MX"/>
        </w:rPr>
        <w:t xml:space="preserve"> al Estado la presentación de información sobre el cumplimiento de la Sentencia.</w:t>
      </w:r>
      <w:r w:rsidR="00113810">
        <w:rPr>
          <w:rFonts w:ascii="Verdana" w:hAnsi="Verdana"/>
          <w:sz w:val="20"/>
          <w:szCs w:val="20"/>
          <w:lang w:val="es-MX"/>
        </w:rPr>
        <w:t xml:space="preserve"> </w:t>
      </w:r>
    </w:p>
    <w:p w14:paraId="094C9D99" w14:textId="77777777" w:rsidR="00113810" w:rsidRPr="00587A0C" w:rsidRDefault="00113810" w:rsidP="00B11F2A">
      <w:pPr>
        <w:pStyle w:val="Prrafodelista"/>
        <w:numPr>
          <w:ilvl w:val="0"/>
          <w:numId w:val="4"/>
        </w:numPr>
        <w:suppressLineNumbers/>
        <w:spacing w:before="120" w:after="120" w:line="240" w:lineRule="auto"/>
        <w:ind w:left="0" w:right="49" w:firstLine="0"/>
        <w:contextualSpacing w:val="0"/>
        <w:jc w:val="both"/>
        <w:rPr>
          <w:rFonts w:ascii="Verdana" w:hAnsi="Verdana"/>
          <w:sz w:val="20"/>
          <w:szCs w:val="20"/>
        </w:rPr>
      </w:pPr>
      <w:r>
        <w:rPr>
          <w:rFonts w:ascii="Verdana" w:hAnsi="Verdana"/>
          <w:sz w:val="20"/>
          <w:szCs w:val="20"/>
        </w:rPr>
        <w:t xml:space="preserve">La Corte </w:t>
      </w:r>
      <w:proofErr w:type="spellStart"/>
      <w:r>
        <w:rPr>
          <w:rFonts w:ascii="Verdana" w:hAnsi="Verdana"/>
          <w:sz w:val="20"/>
          <w:szCs w:val="20"/>
        </w:rPr>
        <w:t>estructurá</w:t>
      </w:r>
      <w:proofErr w:type="spellEnd"/>
      <w:r>
        <w:rPr>
          <w:rFonts w:ascii="Verdana" w:hAnsi="Verdana"/>
          <w:sz w:val="20"/>
          <w:szCs w:val="20"/>
        </w:rPr>
        <w:t xml:space="preserve"> sus consideraciones en el siguiente orden: </w:t>
      </w:r>
    </w:p>
    <w:p w14:paraId="5B469A9F" w14:textId="77777777" w:rsidR="00113810" w:rsidRPr="00296FA2" w:rsidRDefault="00113810" w:rsidP="00B11F2A">
      <w:pPr>
        <w:pStyle w:val="TtulodeTDC"/>
        <w:numPr>
          <w:ilvl w:val="0"/>
          <w:numId w:val="0"/>
        </w:numPr>
        <w:suppressLineNumbers/>
        <w:ind w:left="720" w:right="49" w:hanging="360"/>
        <w:rPr>
          <w:b w:val="0"/>
        </w:rPr>
      </w:pPr>
    </w:p>
    <w:p w14:paraId="3EA6ADC3" w14:textId="453AA19E" w:rsidR="00CF2E11" w:rsidRPr="00296FA2" w:rsidRDefault="00113810" w:rsidP="00B11F2A">
      <w:pPr>
        <w:pStyle w:val="TDC1"/>
        <w:suppressLineNumbers/>
        <w:ind w:right="49"/>
        <w:rPr>
          <w:rFonts w:ascii="Calibri" w:eastAsia="Times New Roman" w:hAnsi="Calibri"/>
          <w:b w:val="0"/>
          <w:sz w:val="22"/>
          <w:szCs w:val="22"/>
        </w:rPr>
      </w:pPr>
      <w:r w:rsidRPr="00296FA2">
        <w:rPr>
          <w:b w:val="0"/>
          <w:sz w:val="16"/>
          <w:szCs w:val="16"/>
        </w:rPr>
        <w:fldChar w:fldCharType="begin"/>
      </w:r>
      <w:r w:rsidRPr="00296FA2">
        <w:rPr>
          <w:b w:val="0"/>
          <w:sz w:val="16"/>
          <w:szCs w:val="16"/>
        </w:rPr>
        <w:instrText xml:space="preserve"> TOC \o "1-3" \h \z \u </w:instrText>
      </w:r>
      <w:r w:rsidRPr="00296FA2">
        <w:rPr>
          <w:b w:val="0"/>
          <w:sz w:val="16"/>
          <w:szCs w:val="16"/>
        </w:rPr>
        <w:fldChar w:fldCharType="separate"/>
      </w:r>
      <w:hyperlink w:anchor="_Toc88815242" w:history="1">
        <w:r w:rsidR="00CF2E11" w:rsidRPr="00296FA2">
          <w:rPr>
            <w:rStyle w:val="Hipervnculo"/>
            <w:b w:val="0"/>
            <w:i/>
            <w:lang w:val="es-MX"/>
          </w:rPr>
          <w:t>A.</w:t>
        </w:r>
        <w:r w:rsidR="00CF2E11" w:rsidRPr="00296FA2">
          <w:rPr>
            <w:rFonts w:ascii="Calibri" w:eastAsia="Times New Roman" w:hAnsi="Calibri"/>
            <w:b w:val="0"/>
            <w:sz w:val="22"/>
            <w:szCs w:val="22"/>
          </w:rPr>
          <w:tab/>
        </w:r>
        <w:r w:rsidR="00CF2E11" w:rsidRPr="00296FA2">
          <w:rPr>
            <w:rStyle w:val="Hipervnculo"/>
            <w:b w:val="0"/>
            <w:i/>
            <w:lang w:val="es-MX"/>
          </w:rPr>
          <w:t>Incumplimiento estatal del deber de informar</w:t>
        </w:r>
        <w:r w:rsidR="00CF2E11" w:rsidRPr="00296FA2">
          <w:rPr>
            <w:b w:val="0"/>
            <w:webHidden/>
          </w:rPr>
          <w:tab/>
        </w:r>
        <w:r w:rsidR="00CF2E11" w:rsidRPr="00296FA2">
          <w:rPr>
            <w:b w:val="0"/>
            <w:webHidden/>
          </w:rPr>
          <w:fldChar w:fldCharType="begin"/>
        </w:r>
        <w:r w:rsidR="00CF2E11" w:rsidRPr="00296FA2">
          <w:rPr>
            <w:b w:val="0"/>
            <w:webHidden/>
          </w:rPr>
          <w:instrText xml:space="preserve"> PAGEREF _Toc88815242 \h </w:instrText>
        </w:r>
        <w:r w:rsidR="00CF2E11" w:rsidRPr="00296FA2">
          <w:rPr>
            <w:b w:val="0"/>
            <w:webHidden/>
          </w:rPr>
        </w:r>
        <w:r w:rsidR="00CF2E11" w:rsidRPr="00296FA2">
          <w:rPr>
            <w:b w:val="0"/>
            <w:webHidden/>
          </w:rPr>
          <w:fldChar w:fldCharType="separate"/>
        </w:r>
        <w:r w:rsidR="003E3E88">
          <w:rPr>
            <w:b w:val="0"/>
            <w:webHidden/>
          </w:rPr>
          <w:t>3</w:t>
        </w:r>
        <w:r w:rsidR="00CF2E11" w:rsidRPr="00296FA2">
          <w:rPr>
            <w:b w:val="0"/>
            <w:webHidden/>
          </w:rPr>
          <w:fldChar w:fldCharType="end"/>
        </w:r>
      </w:hyperlink>
    </w:p>
    <w:p w14:paraId="1B64F02D" w14:textId="707F1069" w:rsidR="00CF2E11" w:rsidRPr="00296FA2" w:rsidRDefault="00CF2E11" w:rsidP="00B11F2A">
      <w:pPr>
        <w:pStyle w:val="TDC1"/>
        <w:suppressLineNumbers/>
        <w:ind w:right="49"/>
        <w:rPr>
          <w:rFonts w:ascii="Calibri" w:eastAsia="Times New Roman" w:hAnsi="Calibri"/>
          <w:b w:val="0"/>
          <w:sz w:val="22"/>
          <w:szCs w:val="22"/>
        </w:rPr>
      </w:pPr>
      <w:hyperlink w:anchor="_Toc88815243" w:history="1">
        <w:r w:rsidRPr="00296FA2">
          <w:rPr>
            <w:rStyle w:val="Hipervnculo"/>
            <w:b w:val="0"/>
          </w:rPr>
          <w:t xml:space="preserve">B. </w:t>
        </w:r>
        <w:r w:rsidRPr="00296FA2">
          <w:rPr>
            <w:rFonts w:ascii="Calibri" w:eastAsia="Times New Roman" w:hAnsi="Calibri"/>
            <w:b w:val="0"/>
            <w:sz w:val="22"/>
            <w:szCs w:val="22"/>
          </w:rPr>
          <w:tab/>
        </w:r>
        <w:r w:rsidRPr="00296FA2">
          <w:rPr>
            <w:rStyle w:val="Hipervnculo"/>
            <w:b w:val="0"/>
            <w:i/>
          </w:rPr>
          <w:t>Obligación de investigar, identificar, juzgar y eventualmente sancionar</w:t>
        </w:r>
        <w:r w:rsidRPr="00296FA2">
          <w:rPr>
            <w:b w:val="0"/>
            <w:webHidden/>
          </w:rPr>
          <w:tab/>
        </w:r>
        <w:r w:rsidRPr="00296FA2">
          <w:rPr>
            <w:b w:val="0"/>
            <w:webHidden/>
          </w:rPr>
          <w:fldChar w:fldCharType="begin"/>
        </w:r>
        <w:r w:rsidRPr="00296FA2">
          <w:rPr>
            <w:b w:val="0"/>
            <w:webHidden/>
          </w:rPr>
          <w:instrText xml:space="preserve"> PAGEREF _Toc88815243 \h </w:instrText>
        </w:r>
        <w:r w:rsidRPr="00296FA2">
          <w:rPr>
            <w:b w:val="0"/>
            <w:webHidden/>
          </w:rPr>
        </w:r>
        <w:r w:rsidRPr="00296FA2">
          <w:rPr>
            <w:b w:val="0"/>
            <w:webHidden/>
          </w:rPr>
          <w:fldChar w:fldCharType="separate"/>
        </w:r>
        <w:r w:rsidR="003E3E88">
          <w:rPr>
            <w:b w:val="0"/>
            <w:webHidden/>
          </w:rPr>
          <w:t>5</w:t>
        </w:r>
        <w:r w:rsidRPr="00296FA2">
          <w:rPr>
            <w:b w:val="0"/>
            <w:webHidden/>
          </w:rPr>
          <w:fldChar w:fldCharType="end"/>
        </w:r>
      </w:hyperlink>
    </w:p>
    <w:p w14:paraId="0A5EBC20" w14:textId="49459841" w:rsidR="00CF2E11" w:rsidRPr="00296FA2" w:rsidRDefault="00CF2E11" w:rsidP="00B11F2A">
      <w:pPr>
        <w:pStyle w:val="TDC1"/>
        <w:suppressLineNumbers/>
        <w:ind w:right="49"/>
        <w:rPr>
          <w:rFonts w:ascii="Calibri" w:eastAsia="Times New Roman" w:hAnsi="Calibri"/>
          <w:b w:val="0"/>
          <w:sz w:val="22"/>
          <w:szCs w:val="22"/>
        </w:rPr>
      </w:pPr>
      <w:hyperlink w:anchor="_Toc88815244" w:history="1">
        <w:r w:rsidRPr="00296FA2">
          <w:rPr>
            <w:rStyle w:val="Hipervnculo"/>
            <w:rFonts w:eastAsia="Times New Roman"/>
            <w:b w:val="0"/>
            <w:i/>
            <w:lang w:val="es-CO" w:eastAsia="en-US"/>
          </w:rPr>
          <w:t>C.</w:t>
        </w:r>
        <w:r w:rsidRPr="00296FA2">
          <w:rPr>
            <w:rFonts w:ascii="Calibri" w:eastAsia="Times New Roman" w:hAnsi="Calibri"/>
            <w:b w:val="0"/>
            <w:sz w:val="22"/>
            <w:szCs w:val="22"/>
          </w:rPr>
          <w:tab/>
        </w:r>
        <w:r w:rsidRPr="00296FA2">
          <w:rPr>
            <w:rStyle w:val="Hipervnculo"/>
            <w:rFonts w:eastAsia="Times New Roman"/>
            <w:b w:val="0"/>
            <w:bCs/>
            <w:i/>
            <w:kern w:val="32"/>
            <w:lang w:val="es-CO" w:eastAsia="en-US"/>
          </w:rPr>
          <w:t>Publicación y difusión de la Sentencia</w:t>
        </w:r>
        <w:r w:rsidRPr="00296FA2">
          <w:rPr>
            <w:b w:val="0"/>
            <w:webHidden/>
          </w:rPr>
          <w:tab/>
        </w:r>
        <w:r w:rsidRPr="00296FA2">
          <w:rPr>
            <w:b w:val="0"/>
            <w:webHidden/>
          </w:rPr>
          <w:fldChar w:fldCharType="begin"/>
        </w:r>
        <w:r w:rsidRPr="00296FA2">
          <w:rPr>
            <w:b w:val="0"/>
            <w:webHidden/>
          </w:rPr>
          <w:instrText xml:space="preserve"> PAGEREF _Toc88815244 \h </w:instrText>
        </w:r>
        <w:r w:rsidRPr="00296FA2">
          <w:rPr>
            <w:b w:val="0"/>
            <w:webHidden/>
          </w:rPr>
        </w:r>
        <w:r w:rsidRPr="00296FA2">
          <w:rPr>
            <w:b w:val="0"/>
            <w:webHidden/>
          </w:rPr>
          <w:fldChar w:fldCharType="separate"/>
        </w:r>
        <w:r w:rsidR="003E3E88">
          <w:rPr>
            <w:b w:val="0"/>
            <w:webHidden/>
          </w:rPr>
          <w:t>7</w:t>
        </w:r>
        <w:r w:rsidRPr="00296FA2">
          <w:rPr>
            <w:b w:val="0"/>
            <w:webHidden/>
          </w:rPr>
          <w:fldChar w:fldCharType="end"/>
        </w:r>
      </w:hyperlink>
    </w:p>
    <w:p w14:paraId="6F63DFEE" w14:textId="1D2F0B9A" w:rsidR="00CF2E11" w:rsidRPr="00296FA2" w:rsidRDefault="00CF2E11" w:rsidP="00B11F2A">
      <w:pPr>
        <w:pStyle w:val="TDC1"/>
        <w:suppressLineNumbers/>
        <w:ind w:right="49"/>
        <w:rPr>
          <w:rFonts w:ascii="Calibri" w:eastAsia="Times New Roman" w:hAnsi="Calibri"/>
          <w:b w:val="0"/>
          <w:sz w:val="22"/>
          <w:szCs w:val="22"/>
        </w:rPr>
      </w:pPr>
      <w:hyperlink w:anchor="_Toc88815245" w:history="1">
        <w:r w:rsidRPr="00296FA2">
          <w:rPr>
            <w:rStyle w:val="Hipervnculo"/>
            <w:rFonts w:eastAsia="Times New Roman"/>
            <w:b w:val="0"/>
            <w:bCs/>
            <w:i/>
            <w:kern w:val="32"/>
            <w:lang w:eastAsia="en-US"/>
          </w:rPr>
          <w:t>D.</w:t>
        </w:r>
        <w:r w:rsidRPr="00296FA2">
          <w:rPr>
            <w:rFonts w:ascii="Calibri" w:eastAsia="Times New Roman" w:hAnsi="Calibri"/>
            <w:b w:val="0"/>
            <w:sz w:val="22"/>
            <w:szCs w:val="22"/>
          </w:rPr>
          <w:tab/>
        </w:r>
        <w:r w:rsidRPr="00296FA2">
          <w:rPr>
            <w:rStyle w:val="Hipervnculo"/>
            <w:rFonts w:eastAsia="Times New Roman"/>
            <w:b w:val="0"/>
            <w:bCs/>
            <w:i/>
            <w:kern w:val="32"/>
            <w:lang w:eastAsia="en-US"/>
          </w:rPr>
          <w:t>Designación de una promoción de egresados de la Escuela de Formación de Guardias Nacionales con el nombre de la víctima</w:t>
        </w:r>
        <w:r w:rsidRPr="00296FA2">
          <w:rPr>
            <w:b w:val="0"/>
            <w:webHidden/>
          </w:rPr>
          <w:tab/>
        </w:r>
        <w:r w:rsidRPr="00296FA2">
          <w:rPr>
            <w:b w:val="0"/>
            <w:webHidden/>
          </w:rPr>
          <w:fldChar w:fldCharType="begin"/>
        </w:r>
        <w:r w:rsidRPr="00296FA2">
          <w:rPr>
            <w:b w:val="0"/>
            <w:webHidden/>
          </w:rPr>
          <w:instrText xml:space="preserve"> PAGEREF _Toc88815245 \h </w:instrText>
        </w:r>
        <w:r w:rsidRPr="00296FA2">
          <w:rPr>
            <w:b w:val="0"/>
            <w:webHidden/>
          </w:rPr>
        </w:r>
        <w:r w:rsidRPr="00296FA2">
          <w:rPr>
            <w:b w:val="0"/>
            <w:webHidden/>
          </w:rPr>
          <w:fldChar w:fldCharType="separate"/>
        </w:r>
        <w:r w:rsidR="003E3E88">
          <w:rPr>
            <w:b w:val="0"/>
            <w:webHidden/>
          </w:rPr>
          <w:t>8</w:t>
        </w:r>
        <w:r w:rsidRPr="00296FA2">
          <w:rPr>
            <w:b w:val="0"/>
            <w:webHidden/>
          </w:rPr>
          <w:fldChar w:fldCharType="end"/>
        </w:r>
      </w:hyperlink>
    </w:p>
    <w:p w14:paraId="6592922A" w14:textId="77777777" w:rsidR="00921D80" w:rsidRDefault="00113810" w:rsidP="00B11F2A">
      <w:pPr>
        <w:suppressLineNumbers/>
        <w:ind w:right="49"/>
        <w:rPr>
          <w:rFonts w:ascii="Verdana" w:hAnsi="Verdana"/>
          <w:sz w:val="20"/>
          <w:szCs w:val="20"/>
          <w:lang w:val="es-MX"/>
        </w:rPr>
      </w:pPr>
      <w:r w:rsidRPr="00296FA2">
        <w:rPr>
          <w:rFonts w:ascii="Verdana" w:hAnsi="Verdana"/>
          <w:bCs/>
          <w:sz w:val="16"/>
          <w:szCs w:val="16"/>
          <w:lang w:val="es-ES"/>
        </w:rPr>
        <w:fldChar w:fldCharType="end"/>
      </w:r>
    </w:p>
    <w:p w14:paraId="42FE33E4" w14:textId="77777777" w:rsidR="00921D80" w:rsidRPr="00113810" w:rsidRDefault="00921D80" w:rsidP="00B11F2A">
      <w:pPr>
        <w:pStyle w:val="Prrafodelista"/>
        <w:suppressLineNumbers/>
        <w:spacing w:before="120" w:after="120" w:line="240" w:lineRule="auto"/>
        <w:ind w:left="0" w:right="49" w:firstLine="720"/>
        <w:contextualSpacing w:val="0"/>
        <w:jc w:val="both"/>
        <w:outlineLvl w:val="0"/>
        <w:rPr>
          <w:rFonts w:ascii="Verdana" w:hAnsi="Verdana"/>
          <w:b/>
          <w:i/>
          <w:sz w:val="20"/>
          <w:szCs w:val="20"/>
        </w:rPr>
      </w:pPr>
      <w:bookmarkStart w:id="0" w:name="_Toc88815242"/>
      <w:r w:rsidRPr="00113810">
        <w:rPr>
          <w:rFonts w:ascii="Verdana" w:hAnsi="Verdana"/>
          <w:b/>
          <w:i/>
          <w:sz w:val="20"/>
          <w:szCs w:val="20"/>
          <w:lang w:val="es-MX"/>
        </w:rPr>
        <w:t>A</w:t>
      </w:r>
      <w:r w:rsidR="00113810" w:rsidRPr="00113810">
        <w:rPr>
          <w:rFonts w:ascii="Verdana" w:hAnsi="Verdana"/>
          <w:b/>
          <w:i/>
          <w:sz w:val="20"/>
          <w:szCs w:val="20"/>
          <w:lang w:val="es-MX"/>
        </w:rPr>
        <w:t>.</w:t>
      </w:r>
      <w:r w:rsidRPr="00113810">
        <w:rPr>
          <w:rFonts w:ascii="Verdana" w:hAnsi="Verdana"/>
          <w:b/>
          <w:i/>
          <w:sz w:val="20"/>
          <w:szCs w:val="20"/>
          <w:lang w:val="es-MX"/>
        </w:rPr>
        <w:tab/>
        <w:t>Incumplimiento estatal del deber de informar</w:t>
      </w:r>
      <w:bookmarkEnd w:id="0"/>
      <w:r w:rsidRPr="00113810">
        <w:rPr>
          <w:rFonts w:ascii="Verdana" w:hAnsi="Verdana"/>
          <w:b/>
          <w:i/>
          <w:sz w:val="20"/>
          <w:szCs w:val="20"/>
          <w:lang w:val="es-MX"/>
        </w:rPr>
        <w:t xml:space="preserve"> </w:t>
      </w:r>
    </w:p>
    <w:p w14:paraId="2D199B7A" w14:textId="77777777" w:rsidR="00D85B0A" w:rsidRPr="006E08CA" w:rsidRDefault="00587A0C" w:rsidP="00B11F2A">
      <w:pPr>
        <w:pStyle w:val="Prrafodelista"/>
        <w:numPr>
          <w:ilvl w:val="0"/>
          <w:numId w:val="4"/>
        </w:numPr>
        <w:suppressLineNumbers/>
        <w:spacing w:before="120" w:after="120" w:line="240" w:lineRule="auto"/>
        <w:ind w:left="0" w:right="49" w:firstLine="0"/>
        <w:contextualSpacing w:val="0"/>
        <w:jc w:val="both"/>
        <w:rPr>
          <w:rFonts w:ascii="Verdana" w:hAnsi="Verdana"/>
          <w:sz w:val="20"/>
          <w:szCs w:val="20"/>
        </w:rPr>
      </w:pPr>
      <w:r>
        <w:rPr>
          <w:rFonts w:ascii="Verdana" w:hAnsi="Verdana" w:cs="Arial"/>
          <w:sz w:val="20"/>
          <w:szCs w:val="20"/>
        </w:rPr>
        <w:t>E</w:t>
      </w:r>
      <w:r w:rsidR="00D85B0A" w:rsidRPr="00FF18D7">
        <w:rPr>
          <w:rFonts w:ascii="Verdana" w:hAnsi="Verdana" w:cs="Arial"/>
          <w:sz w:val="20"/>
          <w:szCs w:val="20"/>
        </w:rPr>
        <w:t xml:space="preserve">n </w:t>
      </w:r>
      <w:r w:rsidR="00D85B0A">
        <w:rPr>
          <w:rFonts w:ascii="Verdana" w:hAnsi="Verdana" w:cs="Arial"/>
          <w:sz w:val="20"/>
          <w:szCs w:val="20"/>
        </w:rPr>
        <w:t xml:space="preserve">el punto resolutivo décimo séptimo de la Sentencia </w:t>
      </w:r>
      <w:r>
        <w:rPr>
          <w:rFonts w:ascii="Verdana" w:hAnsi="Verdana" w:cs="Arial"/>
          <w:sz w:val="20"/>
          <w:szCs w:val="20"/>
        </w:rPr>
        <w:t xml:space="preserve">se </w:t>
      </w:r>
      <w:r w:rsidR="00D85B0A">
        <w:rPr>
          <w:rFonts w:ascii="Verdana" w:hAnsi="Verdana" w:cs="Arial"/>
          <w:sz w:val="20"/>
          <w:szCs w:val="20"/>
        </w:rPr>
        <w:t xml:space="preserve">dispuso que “[e]l Estado </w:t>
      </w:r>
      <w:proofErr w:type="spellStart"/>
      <w:r w:rsidR="00D85B0A">
        <w:rPr>
          <w:rFonts w:ascii="Verdana" w:hAnsi="Verdana" w:cs="Arial"/>
          <w:sz w:val="20"/>
          <w:szCs w:val="20"/>
        </w:rPr>
        <w:t>deb</w:t>
      </w:r>
      <w:proofErr w:type="spellEnd"/>
      <w:r w:rsidR="00D85B0A">
        <w:rPr>
          <w:rFonts w:ascii="Verdana" w:hAnsi="Verdana" w:cs="Arial"/>
          <w:sz w:val="20"/>
          <w:szCs w:val="20"/>
        </w:rPr>
        <w:t>[</w:t>
      </w:r>
      <w:proofErr w:type="spellStart"/>
      <w:r w:rsidR="00D85B0A">
        <w:rPr>
          <w:rFonts w:ascii="Verdana" w:hAnsi="Verdana" w:cs="Arial"/>
          <w:sz w:val="20"/>
          <w:szCs w:val="20"/>
        </w:rPr>
        <w:t>ía</w:t>
      </w:r>
      <w:proofErr w:type="spellEnd"/>
      <w:r w:rsidR="00142D83">
        <w:rPr>
          <w:rFonts w:ascii="Verdana" w:hAnsi="Verdana" w:cs="Arial"/>
          <w:sz w:val="20"/>
          <w:szCs w:val="20"/>
        </w:rPr>
        <w:t>,</w:t>
      </w:r>
      <w:r w:rsidR="00D85B0A">
        <w:rPr>
          <w:rFonts w:ascii="Verdana" w:hAnsi="Verdana" w:cs="Arial"/>
          <w:sz w:val="20"/>
          <w:szCs w:val="20"/>
        </w:rPr>
        <w:t xml:space="preserve">] dentro del plazo de un año contado a partir de </w:t>
      </w:r>
      <w:r w:rsidR="00841211">
        <w:rPr>
          <w:rFonts w:ascii="Verdana" w:hAnsi="Verdana" w:cs="Arial"/>
          <w:sz w:val="20"/>
          <w:szCs w:val="20"/>
        </w:rPr>
        <w:t>[su]</w:t>
      </w:r>
      <w:r w:rsidR="00D85B0A">
        <w:rPr>
          <w:rFonts w:ascii="Verdana" w:hAnsi="Verdana" w:cs="Arial"/>
          <w:sz w:val="20"/>
          <w:szCs w:val="20"/>
        </w:rPr>
        <w:t xml:space="preserve"> notificació</w:t>
      </w:r>
      <w:r w:rsidR="00841211">
        <w:rPr>
          <w:rFonts w:ascii="Verdana" w:hAnsi="Verdana" w:cs="Arial"/>
          <w:sz w:val="20"/>
          <w:szCs w:val="20"/>
        </w:rPr>
        <w:t xml:space="preserve">n </w:t>
      </w:r>
      <w:r w:rsidR="00D85B0A">
        <w:rPr>
          <w:rFonts w:ascii="Verdana" w:hAnsi="Verdana" w:cs="Arial"/>
          <w:sz w:val="20"/>
          <w:szCs w:val="20"/>
        </w:rPr>
        <w:t>[</w:t>
      </w:r>
      <w:r w:rsidR="00841211">
        <w:rPr>
          <w:rFonts w:ascii="Verdana" w:hAnsi="Verdana" w:cs="Arial"/>
          <w:sz w:val="20"/>
          <w:szCs w:val="20"/>
        </w:rPr>
        <w:t>…],</w:t>
      </w:r>
      <w:r w:rsidR="00D85B0A">
        <w:rPr>
          <w:rFonts w:ascii="Verdana" w:hAnsi="Verdana" w:cs="Arial"/>
          <w:sz w:val="20"/>
          <w:szCs w:val="20"/>
        </w:rPr>
        <w:t xml:space="preserve"> rendir al […] Tribunal un informe sobre las medidas adoptadas para cumplir con la misma”. </w:t>
      </w:r>
      <w:r>
        <w:rPr>
          <w:rFonts w:ascii="Verdana" w:hAnsi="Verdana" w:cs="Arial"/>
          <w:sz w:val="20"/>
          <w:szCs w:val="20"/>
        </w:rPr>
        <w:t xml:space="preserve">Dicho plazo venció el </w:t>
      </w:r>
      <w:r w:rsidR="00113810">
        <w:rPr>
          <w:rFonts w:ascii="Verdana" w:hAnsi="Verdana" w:cs="Arial"/>
          <w:sz w:val="20"/>
          <w:szCs w:val="20"/>
        </w:rPr>
        <w:t>16 de octubre de 2018</w:t>
      </w:r>
      <w:r>
        <w:rPr>
          <w:rFonts w:ascii="Verdana" w:hAnsi="Verdana" w:cs="Arial"/>
          <w:sz w:val="20"/>
          <w:szCs w:val="20"/>
        </w:rPr>
        <w:t>. Ant</w:t>
      </w:r>
      <w:r w:rsidR="00113810">
        <w:rPr>
          <w:rFonts w:ascii="Verdana" w:hAnsi="Verdana" w:cs="Arial"/>
          <w:sz w:val="20"/>
          <w:szCs w:val="20"/>
        </w:rPr>
        <w:t xml:space="preserve">e la falta de presentación del </w:t>
      </w:r>
      <w:r w:rsidR="00D85B0A">
        <w:rPr>
          <w:rFonts w:ascii="Verdana" w:hAnsi="Verdana" w:cs="Arial"/>
          <w:sz w:val="20"/>
          <w:szCs w:val="20"/>
        </w:rPr>
        <w:t xml:space="preserve">informe requerido, </w:t>
      </w:r>
      <w:r w:rsidR="00113810">
        <w:rPr>
          <w:rFonts w:ascii="Verdana" w:hAnsi="Verdana" w:cs="Arial"/>
          <w:sz w:val="20"/>
          <w:szCs w:val="20"/>
        </w:rPr>
        <w:t xml:space="preserve">la </w:t>
      </w:r>
      <w:r w:rsidR="00841211">
        <w:rPr>
          <w:rFonts w:ascii="Verdana" w:hAnsi="Verdana" w:cs="Arial"/>
          <w:sz w:val="20"/>
          <w:szCs w:val="20"/>
        </w:rPr>
        <w:t>Presidencia del Tribunal</w:t>
      </w:r>
      <w:r w:rsidR="00D85B0A">
        <w:rPr>
          <w:rFonts w:ascii="Verdana" w:hAnsi="Verdana" w:cs="Arial"/>
          <w:sz w:val="20"/>
          <w:szCs w:val="20"/>
        </w:rPr>
        <w:t xml:space="preserve"> le reiteró en </w:t>
      </w:r>
      <w:r w:rsidR="008C1FD2">
        <w:rPr>
          <w:rFonts w:ascii="Verdana" w:hAnsi="Verdana" w:cs="Arial"/>
          <w:sz w:val="20"/>
          <w:szCs w:val="20"/>
        </w:rPr>
        <w:t>cinc</w:t>
      </w:r>
      <w:r w:rsidR="00D85B0A">
        <w:rPr>
          <w:rFonts w:ascii="Verdana" w:hAnsi="Verdana" w:cs="Arial"/>
          <w:sz w:val="20"/>
          <w:szCs w:val="20"/>
        </w:rPr>
        <w:t>o ocasiones</w:t>
      </w:r>
      <w:r w:rsidR="00D204B1">
        <w:rPr>
          <w:rFonts w:ascii="Verdana" w:hAnsi="Verdana" w:cs="Arial"/>
          <w:sz w:val="20"/>
          <w:szCs w:val="20"/>
        </w:rPr>
        <w:t>, mediante notas de Secretaría enviadas en</w:t>
      </w:r>
      <w:r w:rsidR="00142D83">
        <w:rPr>
          <w:rFonts w:ascii="Verdana" w:hAnsi="Verdana" w:cs="Arial"/>
          <w:sz w:val="20"/>
          <w:szCs w:val="20"/>
        </w:rPr>
        <w:t>tre</w:t>
      </w:r>
      <w:r w:rsidR="00D204B1">
        <w:rPr>
          <w:rFonts w:ascii="Verdana" w:hAnsi="Verdana" w:cs="Arial"/>
          <w:sz w:val="20"/>
          <w:szCs w:val="20"/>
        </w:rPr>
        <w:t xml:space="preserve"> diciembre</w:t>
      </w:r>
      <w:r w:rsidR="00D204B1" w:rsidRPr="00C837BF">
        <w:rPr>
          <w:rFonts w:ascii="Verdana" w:hAnsi="Verdana" w:cs="Arial"/>
          <w:sz w:val="20"/>
          <w:szCs w:val="20"/>
        </w:rPr>
        <w:t xml:space="preserve"> de 2018</w:t>
      </w:r>
      <w:r w:rsidR="00142D83">
        <w:rPr>
          <w:rFonts w:ascii="Verdana" w:hAnsi="Verdana" w:cs="Arial"/>
          <w:sz w:val="20"/>
          <w:szCs w:val="20"/>
        </w:rPr>
        <w:t xml:space="preserve"> </w:t>
      </w:r>
      <w:r w:rsidR="008C1FD2">
        <w:rPr>
          <w:rFonts w:ascii="Verdana" w:hAnsi="Verdana" w:cs="Arial"/>
          <w:sz w:val="20"/>
          <w:szCs w:val="20"/>
        </w:rPr>
        <w:t>y noviembre de 2021</w:t>
      </w:r>
      <w:r w:rsidR="00D204B1">
        <w:rPr>
          <w:rFonts w:ascii="Verdana" w:hAnsi="Verdana" w:cs="Arial"/>
          <w:sz w:val="20"/>
          <w:szCs w:val="20"/>
        </w:rPr>
        <w:t>,</w:t>
      </w:r>
      <w:r w:rsidR="00841211">
        <w:rPr>
          <w:rFonts w:ascii="Verdana" w:hAnsi="Verdana" w:cs="Arial"/>
          <w:sz w:val="20"/>
          <w:szCs w:val="20"/>
        </w:rPr>
        <w:t xml:space="preserve"> la solicitud de</w:t>
      </w:r>
      <w:r w:rsidR="00D85B0A">
        <w:rPr>
          <w:rFonts w:ascii="Verdana" w:hAnsi="Verdana" w:cs="Arial"/>
          <w:sz w:val="20"/>
          <w:szCs w:val="20"/>
        </w:rPr>
        <w:t xml:space="preserve"> remisión </w:t>
      </w:r>
      <w:proofErr w:type="gramStart"/>
      <w:r w:rsidR="00D85B0A">
        <w:rPr>
          <w:rFonts w:ascii="Verdana" w:hAnsi="Verdana" w:cs="Arial"/>
          <w:sz w:val="20"/>
          <w:szCs w:val="20"/>
        </w:rPr>
        <w:t>del mismo</w:t>
      </w:r>
      <w:proofErr w:type="gramEnd"/>
      <w:r w:rsidR="00D85B0A">
        <w:rPr>
          <w:rFonts w:ascii="Verdana" w:hAnsi="Verdana" w:cs="Arial"/>
          <w:sz w:val="20"/>
          <w:szCs w:val="20"/>
        </w:rPr>
        <w:t xml:space="preserve"> (</w:t>
      </w:r>
      <w:r w:rsidR="00D85B0A" w:rsidRPr="009B35F3">
        <w:rPr>
          <w:rFonts w:ascii="Verdana" w:hAnsi="Verdana" w:cs="Arial"/>
          <w:i/>
          <w:sz w:val="20"/>
          <w:szCs w:val="20"/>
        </w:rPr>
        <w:t xml:space="preserve">supra </w:t>
      </w:r>
      <w:r w:rsidR="00D85B0A">
        <w:rPr>
          <w:rFonts w:ascii="Verdana" w:hAnsi="Verdana" w:cs="Arial"/>
          <w:sz w:val="20"/>
          <w:szCs w:val="20"/>
        </w:rPr>
        <w:t xml:space="preserve">Visto 3), lo cual no fue cumplido por Venezuela. </w:t>
      </w:r>
      <w:r w:rsidR="00D0181C" w:rsidRPr="00173240">
        <w:rPr>
          <w:rFonts w:ascii="Verdana" w:hAnsi="Verdana" w:cs="Arial"/>
          <w:sz w:val="20"/>
          <w:szCs w:val="20"/>
        </w:rPr>
        <w:t xml:space="preserve">La Corte </w:t>
      </w:r>
      <w:r w:rsidR="00D0181C">
        <w:rPr>
          <w:rFonts w:ascii="Verdana" w:hAnsi="Verdana" w:cs="Arial"/>
          <w:sz w:val="20"/>
          <w:szCs w:val="20"/>
        </w:rPr>
        <w:t>nota con preocupación</w:t>
      </w:r>
      <w:r w:rsidR="00D0181C" w:rsidRPr="00173240">
        <w:rPr>
          <w:rFonts w:ascii="Verdana" w:hAnsi="Verdana" w:cs="Arial"/>
          <w:sz w:val="20"/>
          <w:szCs w:val="20"/>
        </w:rPr>
        <w:t xml:space="preserve"> que, a pesar de </w:t>
      </w:r>
      <w:r w:rsidR="00D0181C">
        <w:rPr>
          <w:rFonts w:ascii="Verdana" w:hAnsi="Verdana" w:cs="Arial"/>
          <w:sz w:val="20"/>
          <w:szCs w:val="20"/>
        </w:rPr>
        <w:t>que han transcurrido más de tres años desde el vencimiento del plazo para la presentación del informe</w:t>
      </w:r>
      <w:r w:rsidR="00D0181C" w:rsidRPr="00173240">
        <w:rPr>
          <w:rFonts w:ascii="Verdana" w:hAnsi="Verdana" w:cs="Arial"/>
          <w:sz w:val="20"/>
          <w:szCs w:val="20"/>
        </w:rPr>
        <w:t xml:space="preserve"> y de los requerimientos realizados por la Presidencia de la Corte, a la fecha de la presente Resolución, Venezuela </w:t>
      </w:r>
      <w:r w:rsidR="00D0181C">
        <w:rPr>
          <w:rFonts w:ascii="Verdana" w:hAnsi="Verdana" w:cs="Arial"/>
          <w:sz w:val="20"/>
          <w:szCs w:val="20"/>
        </w:rPr>
        <w:t xml:space="preserve">no informó </w:t>
      </w:r>
      <w:r w:rsidR="00D0181C" w:rsidRPr="00173240">
        <w:rPr>
          <w:rFonts w:ascii="Verdana" w:hAnsi="Verdana" w:cs="Arial"/>
          <w:sz w:val="20"/>
          <w:szCs w:val="20"/>
        </w:rPr>
        <w:t>respecto de</w:t>
      </w:r>
      <w:r w:rsidR="0009055E">
        <w:rPr>
          <w:rFonts w:ascii="Verdana" w:hAnsi="Verdana" w:cs="Arial"/>
          <w:sz w:val="20"/>
          <w:szCs w:val="20"/>
        </w:rPr>
        <w:t>l cumplimiento de</w:t>
      </w:r>
      <w:r w:rsidR="00D0181C" w:rsidRPr="00173240">
        <w:rPr>
          <w:rFonts w:ascii="Verdana" w:hAnsi="Verdana" w:cs="Arial"/>
          <w:sz w:val="20"/>
          <w:szCs w:val="20"/>
        </w:rPr>
        <w:t xml:space="preserve"> las medidas ordenadas en la misma ni remitió escrito alguno al Tribunal. </w:t>
      </w:r>
    </w:p>
    <w:p w14:paraId="4A6E7581" w14:textId="77777777" w:rsidR="00D85B0A" w:rsidRPr="00173240" w:rsidRDefault="00D85B0A" w:rsidP="00B11F2A">
      <w:pPr>
        <w:pStyle w:val="Prrafodelista"/>
        <w:numPr>
          <w:ilvl w:val="0"/>
          <w:numId w:val="4"/>
        </w:numPr>
        <w:suppressLineNumbers/>
        <w:spacing w:before="120" w:after="120" w:line="240" w:lineRule="auto"/>
        <w:ind w:left="0" w:right="49" w:firstLine="0"/>
        <w:contextualSpacing w:val="0"/>
        <w:jc w:val="both"/>
        <w:rPr>
          <w:rFonts w:ascii="Verdana" w:hAnsi="Verdana"/>
          <w:sz w:val="20"/>
          <w:szCs w:val="20"/>
        </w:rPr>
      </w:pPr>
      <w:r w:rsidRPr="00173240">
        <w:rPr>
          <w:rFonts w:ascii="Verdana" w:hAnsi="Verdana" w:cs="Arial"/>
          <w:sz w:val="20"/>
          <w:szCs w:val="20"/>
        </w:rPr>
        <w:t xml:space="preserve">Por su parte, las </w:t>
      </w:r>
      <w:r w:rsidRPr="00113810">
        <w:rPr>
          <w:rFonts w:ascii="Verdana" w:hAnsi="Verdana" w:cs="Arial"/>
          <w:i/>
          <w:sz w:val="20"/>
          <w:szCs w:val="20"/>
        </w:rPr>
        <w:t>representantes</w:t>
      </w:r>
      <w:r w:rsidRPr="002043A4">
        <w:rPr>
          <w:rFonts w:ascii="Verdana" w:hAnsi="Verdana" w:cs="Arial"/>
          <w:i/>
          <w:sz w:val="20"/>
          <w:szCs w:val="20"/>
        </w:rPr>
        <w:t xml:space="preserve"> </w:t>
      </w:r>
      <w:r w:rsidRPr="00113810">
        <w:rPr>
          <w:rFonts w:ascii="Verdana" w:hAnsi="Verdana" w:cs="Arial"/>
          <w:i/>
          <w:sz w:val="20"/>
          <w:szCs w:val="20"/>
        </w:rPr>
        <w:t>de las víctimas</w:t>
      </w:r>
      <w:r w:rsidRPr="00173240">
        <w:rPr>
          <w:rFonts w:ascii="Verdana" w:hAnsi="Verdana" w:cs="Arial"/>
          <w:sz w:val="20"/>
          <w:szCs w:val="20"/>
        </w:rPr>
        <w:t xml:space="preserve"> </w:t>
      </w:r>
      <w:r w:rsidR="00C07565" w:rsidRPr="00173240">
        <w:rPr>
          <w:rFonts w:ascii="Verdana" w:hAnsi="Verdana" w:cs="Arial"/>
          <w:sz w:val="20"/>
          <w:szCs w:val="20"/>
        </w:rPr>
        <w:t xml:space="preserve">señalaron </w:t>
      </w:r>
      <w:r w:rsidR="002043A4">
        <w:rPr>
          <w:rFonts w:ascii="Verdana" w:hAnsi="Verdana" w:cs="Arial"/>
          <w:sz w:val="20"/>
          <w:szCs w:val="20"/>
        </w:rPr>
        <w:t>que</w:t>
      </w:r>
      <w:r w:rsidR="002043A4" w:rsidRPr="00173240">
        <w:rPr>
          <w:rFonts w:ascii="Verdana" w:hAnsi="Verdana" w:cs="Arial"/>
          <w:sz w:val="20"/>
          <w:szCs w:val="20"/>
        </w:rPr>
        <w:t xml:space="preserve"> el Estado “no ha cumplido la mayoría de las reparaciones declaradas en la Sentencia”</w:t>
      </w:r>
      <w:r w:rsidR="002043A4">
        <w:rPr>
          <w:rFonts w:ascii="Verdana" w:hAnsi="Verdana" w:cs="Arial"/>
          <w:sz w:val="20"/>
          <w:szCs w:val="20"/>
        </w:rPr>
        <w:t xml:space="preserve"> y se han referido a </w:t>
      </w:r>
      <w:r w:rsidR="00C07565" w:rsidRPr="00173240">
        <w:rPr>
          <w:rFonts w:ascii="Verdana" w:hAnsi="Verdana" w:cs="Arial"/>
          <w:sz w:val="20"/>
          <w:szCs w:val="20"/>
        </w:rPr>
        <w:t xml:space="preserve">las múltiples gestiones realizadas por </w:t>
      </w:r>
      <w:r w:rsidR="002043A4">
        <w:rPr>
          <w:rFonts w:ascii="Verdana" w:hAnsi="Verdana" w:cs="Arial"/>
          <w:sz w:val="20"/>
          <w:szCs w:val="20"/>
        </w:rPr>
        <w:t xml:space="preserve">la madre y el padre </w:t>
      </w:r>
      <w:r w:rsidR="00C07565" w:rsidRPr="00173240">
        <w:rPr>
          <w:rFonts w:ascii="Verdana" w:hAnsi="Verdana" w:cs="Arial"/>
          <w:sz w:val="20"/>
          <w:szCs w:val="20"/>
        </w:rPr>
        <w:t xml:space="preserve">del joven </w:t>
      </w:r>
      <w:r w:rsidR="00173240">
        <w:rPr>
          <w:rFonts w:ascii="Verdana" w:hAnsi="Verdana" w:cs="Arial"/>
          <w:sz w:val="20"/>
          <w:szCs w:val="20"/>
        </w:rPr>
        <w:t xml:space="preserve">Johan Alexis </w:t>
      </w:r>
      <w:r w:rsidR="00C07565" w:rsidRPr="00173240">
        <w:rPr>
          <w:rFonts w:ascii="Verdana" w:hAnsi="Verdana" w:cs="Arial"/>
          <w:sz w:val="20"/>
          <w:szCs w:val="20"/>
        </w:rPr>
        <w:t>Ort</w:t>
      </w:r>
      <w:r w:rsidR="00315082">
        <w:rPr>
          <w:rFonts w:ascii="Verdana" w:hAnsi="Verdana" w:cs="Arial"/>
          <w:sz w:val="20"/>
          <w:szCs w:val="20"/>
        </w:rPr>
        <w:t>iz</w:t>
      </w:r>
      <w:r w:rsidR="00C07565" w:rsidRPr="00173240">
        <w:rPr>
          <w:rFonts w:ascii="Verdana" w:hAnsi="Verdana" w:cs="Arial"/>
          <w:sz w:val="20"/>
          <w:szCs w:val="20"/>
        </w:rPr>
        <w:t xml:space="preserve"> Hernández</w:t>
      </w:r>
      <w:r w:rsidR="00173240">
        <w:rPr>
          <w:rFonts w:ascii="Verdana" w:hAnsi="Verdana" w:cs="Arial"/>
          <w:sz w:val="20"/>
          <w:szCs w:val="20"/>
        </w:rPr>
        <w:t xml:space="preserve"> para solicitar el cumplimiento de </w:t>
      </w:r>
      <w:proofErr w:type="gramStart"/>
      <w:r w:rsidR="00173240">
        <w:rPr>
          <w:rFonts w:ascii="Verdana" w:hAnsi="Verdana" w:cs="Arial"/>
          <w:sz w:val="20"/>
          <w:szCs w:val="20"/>
        </w:rPr>
        <w:t xml:space="preserve">las </w:t>
      </w:r>
      <w:r w:rsidR="00690A8C">
        <w:rPr>
          <w:rFonts w:ascii="Verdana" w:hAnsi="Verdana" w:cs="Arial"/>
          <w:sz w:val="20"/>
          <w:szCs w:val="20"/>
        </w:rPr>
        <w:t>mismas</w:t>
      </w:r>
      <w:proofErr w:type="gramEnd"/>
      <w:r w:rsidR="00113810">
        <w:rPr>
          <w:rFonts w:ascii="Verdana" w:hAnsi="Verdana" w:cs="Arial"/>
          <w:sz w:val="20"/>
          <w:szCs w:val="20"/>
        </w:rPr>
        <w:t>. E</w:t>
      </w:r>
      <w:r w:rsidR="00C07565" w:rsidRPr="00173240">
        <w:rPr>
          <w:rFonts w:ascii="Verdana" w:hAnsi="Verdana" w:cs="Arial"/>
          <w:sz w:val="20"/>
          <w:szCs w:val="20"/>
        </w:rPr>
        <w:t>n particular</w:t>
      </w:r>
      <w:r w:rsidR="001C455E">
        <w:rPr>
          <w:rFonts w:ascii="Verdana" w:hAnsi="Verdana" w:cs="Arial"/>
          <w:sz w:val="20"/>
          <w:szCs w:val="20"/>
        </w:rPr>
        <w:t>,</w:t>
      </w:r>
      <w:r w:rsidR="00C07565" w:rsidRPr="00173240">
        <w:rPr>
          <w:rFonts w:ascii="Verdana" w:hAnsi="Verdana" w:cs="Arial"/>
          <w:sz w:val="20"/>
          <w:szCs w:val="20"/>
        </w:rPr>
        <w:t xml:space="preserve"> se refirieron a aquellas </w:t>
      </w:r>
      <w:r w:rsidR="00173240" w:rsidRPr="00173240">
        <w:rPr>
          <w:rFonts w:ascii="Verdana" w:hAnsi="Verdana" w:cs="Arial"/>
          <w:sz w:val="20"/>
          <w:szCs w:val="20"/>
        </w:rPr>
        <w:t xml:space="preserve">dirigidas a “activar la investigación” para conocer “quiénes son los verdaderos responsables de su fallecimiento”, </w:t>
      </w:r>
      <w:r w:rsidR="00D27477">
        <w:rPr>
          <w:rFonts w:ascii="Verdana" w:hAnsi="Verdana" w:cs="Arial"/>
          <w:sz w:val="20"/>
          <w:szCs w:val="20"/>
        </w:rPr>
        <w:t>y enfatizaron la importancia de que se esclarezcan los hechos</w:t>
      </w:r>
      <w:r w:rsidR="00A91FD0">
        <w:rPr>
          <w:rFonts w:ascii="Verdana" w:hAnsi="Verdana" w:cs="Arial"/>
          <w:sz w:val="20"/>
          <w:szCs w:val="20"/>
        </w:rPr>
        <w:t xml:space="preserve"> (</w:t>
      </w:r>
      <w:r w:rsidR="00A91FD0" w:rsidRPr="00A91FD0">
        <w:rPr>
          <w:rFonts w:ascii="Verdana" w:hAnsi="Verdana" w:cs="Arial"/>
          <w:i/>
          <w:sz w:val="20"/>
          <w:szCs w:val="20"/>
        </w:rPr>
        <w:t xml:space="preserve">infra </w:t>
      </w:r>
      <w:r w:rsidR="00A91FD0">
        <w:rPr>
          <w:rFonts w:ascii="Verdana" w:hAnsi="Verdana" w:cs="Arial"/>
          <w:sz w:val="20"/>
          <w:szCs w:val="20"/>
        </w:rPr>
        <w:t>Considerando 13)</w:t>
      </w:r>
      <w:r w:rsidR="00173240" w:rsidRPr="00173240">
        <w:rPr>
          <w:rFonts w:ascii="Verdana" w:hAnsi="Verdana" w:cs="Arial"/>
          <w:sz w:val="20"/>
          <w:szCs w:val="20"/>
        </w:rPr>
        <w:t xml:space="preserve">. Sin embargo, </w:t>
      </w:r>
      <w:r w:rsidR="00173240">
        <w:rPr>
          <w:rFonts w:ascii="Verdana" w:hAnsi="Verdana" w:cs="Arial"/>
          <w:sz w:val="20"/>
          <w:szCs w:val="20"/>
        </w:rPr>
        <w:t>so</w:t>
      </w:r>
      <w:r w:rsidRPr="00173240">
        <w:rPr>
          <w:rFonts w:ascii="Verdana" w:hAnsi="Verdana" w:cs="Arial"/>
          <w:sz w:val="20"/>
          <w:szCs w:val="20"/>
        </w:rPr>
        <w:t>stuvieron que</w:t>
      </w:r>
      <w:r w:rsidR="00173240">
        <w:rPr>
          <w:rFonts w:ascii="Verdana" w:hAnsi="Verdana" w:cs="Arial"/>
          <w:sz w:val="20"/>
          <w:szCs w:val="20"/>
        </w:rPr>
        <w:t xml:space="preserve"> las referidas </w:t>
      </w:r>
      <w:r w:rsidR="00113810">
        <w:rPr>
          <w:rFonts w:ascii="Verdana" w:hAnsi="Verdana" w:cs="Arial"/>
          <w:sz w:val="20"/>
          <w:szCs w:val="20"/>
        </w:rPr>
        <w:t>gestiones fueron “infructuosas”</w:t>
      </w:r>
      <w:r w:rsidRPr="009D099F">
        <w:rPr>
          <w:rStyle w:val="Refdenotaalpie"/>
          <w:rFonts w:ascii="Verdana" w:hAnsi="Verdana" w:cs="Arial"/>
          <w:sz w:val="20"/>
          <w:szCs w:val="20"/>
        </w:rPr>
        <w:footnoteReference w:id="9"/>
      </w:r>
      <w:r w:rsidRPr="00173240">
        <w:rPr>
          <w:rFonts w:ascii="Verdana" w:hAnsi="Verdana"/>
          <w:sz w:val="20"/>
          <w:szCs w:val="20"/>
        </w:rPr>
        <w:t>.</w:t>
      </w:r>
      <w:r w:rsidR="00525075" w:rsidRPr="00525075">
        <w:rPr>
          <w:rFonts w:ascii="Verdana" w:hAnsi="Verdana"/>
          <w:sz w:val="20"/>
          <w:szCs w:val="16"/>
        </w:rPr>
        <w:t xml:space="preserve"> </w:t>
      </w:r>
      <w:r w:rsidR="00B61EE2" w:rsidRPr="00B61EE2">
        <w:rPr>
          <w:rFonts w:ascii="Verdana" w:hAnsi="Verdana"/>
          <w:sz w:val="20"/>
          <w:szCs w:val="16"/>
        </w:rPr>
        <w:t xml:space="preserve">Los representantes se refirieron al avance en la ejecución de </w:t>
      </w:r>
      <w:r w:rsidR="00B01249">
        <w:rPr>
          <w:rFonts w:ascii="Verdana" w:hAnsi="Verdana"/>
          <w:sz w:val="20"/>
          <w:szCs w:val="16"/>
        </w:rPr>
        <w:t>d</w:t>
      </w:r>
      <w:r w:rsidR="00B61EE2" w:rsidRPr="00B61EE2">
        <w:rPr>
          <w:rFonts w:ascii="Verdana" w:hAnsi="Verdana"/>
          <w:sz w:val="20"/>
          <w:szCs w:val="16"/>
        </w:rPr>
        <w:t>os de las diez reparaciones ordenadas</w:t>
      </w:r>
      <w:r w:rsidR="00B61EE2">
        <w:rPr>
          <w:rFonts w:ascii="Verdana" w:hAnsi="Verdana"/>
          <w:sz w:val="20"/>
          <w:szCs w:val="16"/>
        </w:rPr>
        <w:t xml:space="preserve">, lo cual será valorado por este Tribunal </w:t>
      </w:r>
      <w:r w:rsidR="00B61EE2" w:rsidRPr="000754AF">
        <w:rPr>
          <w:rFonts w:ascii="Verdana" w:hAnsi="Verdana"/>
          <w:sz w:val="20"/>
          <w:szCs w:val="16"/>
        </w:rPr>
        <w:t>(</w:t>
      </w:r>
      <w:r w:rsidR="00B61EE2" w:rsidRPr="000754AF">
        <w:rPr>
          <w:rFonts w:ascii="Verdana" w:hAnsi="Verdana"/>
          <w:i/>
          <w:sz w:val="20"/>
          <w:szCs w:val="16"/>
        </w:rPr>
        <w:t>infra</w:t>
      </w:r>
      <w:r w:rsidR="00B61EE2" w:rsidRPr="000754AF">
        <w:rPr>
          <w:rFonts w:ascii="Verdana" w:hAnsi="Verdana"/>
          <w:sz w:val="20"/>
          <w:szCs w:val="16"/>
        </w:rPr>
        <w:t xml:space="preserve"> Considerandos </w:t>
      </w:r>
      <w:r w:rsidR="000754AF" w:rsidRPr="000754AF">
        <w:rPr>
          <w:rFonts w:ascii="Verdana" w:hAnsi="Verdana"/>
          <w:sz w:val="20"/>
          <w:szCs w:val="16"/>
        </w:rPr>
        <w:t>1</w:t>
      </w:r>
      <w:r w:rsidR="00B01249">
        <w:rPr>
          <w:rFonts w:ascii="Verdana" w:hAnsi="Verdana"/>
          <w:sz w:val="20"/>
          <w:szCs w:val="16"/>
        </w:rPr>
        <w:t>6</w:t>
      </w:r>
      <w:r w:rsidR="000754AF" w:rsidRPr="000754AF">
        <w:rPr>
          <w:rFonts w:ascii="Verdana" w:hAnsi="Verdana"/>
          <w:sz w:val="20"/>
          <w:szCs w:val="16"/>
        </w:rPr>
        <w:t xml:space="preserve"> a 2</w:t>
      </w:r>
      <w:r w:rsidR="00B01249">
        <w:rPr>
          <w:rFonts w:ascii="Verdana" w:hAnsi="Verdana"/>
          <w:sz w:val="20"/>
          <w:szCs w:val="16"/>
        </w:rPr>
        <w:t>3</w:t>
      </w:r>
      <w:r w:rsidR="00B61EE2" w:rsidRPr="000754AF">
        <w:rPr>
          <w:rFonts w:ascii="Verdana" w:hAnsi="Verdana"/>
          <w:sz w:val="20"/>
          <w:szCs w:val="16"/>
        </w:rPr>
        <w:t>).</w:t>
      </w:r>
      <w:r w:rsidR="00B61EE2" w:rsidRPr="000754AF">
        <w:rPr>
          <w:rFonts w:ascii="Verdana" w:hAnsi="Verdana"/>
          <w:b/>
          <w:sz w:val="20"/>
          <w:szCs w:val="16"/>
        </w:rPr>
        <w:t xml:space="preserve"> </w:t>
      </w:r>
    </w:p>
    <w:p w14:paraId="0A9EBC12" w14:textId="77777777" w:rsidR="00D85B0A" w:rsidRPr="00841211" w:rsidRDefault="00D85B0A" w:rsidP="00B11F2A">
      <w:pPr>
        <w:pStyle w:val="Prrafodelista"/>
        <w:numPr>
          <w:ilvl w:val="0"/>
          <w:numId w:val="4"/>
        </w:numPr>
        <w:suppressLineNumbers/>
        <w:spacing w:before="120" w:after="120" w:line="240" w:lineRule="auto"/>
        <w:ind w:left="0" w:right="49" w:firstLine="0"/>
        <w:contextualSpacing w:val="0"/>
        <w:jc w:val="both"/>
        <w:rPr>
          <w:rFonts w:ascii="Verdana" w:hAnsi="Verdana"/>
          <w:sz w:val="20"/>
          <w:szCs w:val="20"/>
        </w:rPr>
      </w:pPr>
      <w:r w:rsidRPr="00841211">
        <w:rPr>
          <w:rFonts w:ascii="Verdana" w:hAnsi="Verdana"/>
          <w:sz w:val="20"/>
          <w:szCs w:val="20"/>
        </w:rPr>
        <w:t xml:space="preserve">Conforme a lo dispuesto en el artículo 68.1 de la Convención Americana y tal como ha indicado este Tribunal, “[l]os </w:t>
      </w:r>
      <w:proofErr w:type="gramStart"/>
      <w:r w:rsidRPr="00841211">
        <w:rPr>
          <w:rFonts w:ascii="Verdana" w:hAnsi="Verdana"/>
          <w:sz w:val="20"/>
          <w:szCs w:val="20"/>
        </w:rPr>
        <w:t>Estados Partes</w:t>
      </w:r>
      <w:proofErr w:type="gramEnd"/>
      <w:r w:rsidRPr="00841211">
        <w:rPr>
          <w:rFonts w:ascii="Verdana" w:hAnsi="Verdana"/>
          <w:sz w:val="20"/>
          <w:szCs w:val="20"/>
        </w:rPr>
        <w:t xml:space="preserve"> en la Convención se comprometen a cumplir la decisión de la Corte en todo caso en que sean partes”. Esta obligación incluye el deber del Estado de informar sobre las medidas adoptadas para cumplir cada uno de los puntos ordenados por éste, lo cual es fundamental para evaluar el estado de cumplimiento de la Sentencia en su conjunto</w:t>
      </w:r>
      <w:r w:rsidRPr="00FF18D7">
        <w:rPr>
          <w:rStyle w:val="Refdenotaalpie"/>
          <w:rFonts w:ascii="Verdana" w:hAnsi="Verdana"/>
          <w:sz w:val="20"/>
          <w:szCs w:val="20"/>
        </w:rPr>
        <w:footnoteReference w:id="10"/>
      </w:r>
      <w:r w:rsidRPr="00841211">
        <w:rPr>
          <w:rFonts w:ascii="Verdana" w:hAnsi="Verdana"/>
          <w:sz w:val="20"/>
          <w:szCs w:val="20"/>
        </w:rPr>
        <w:t xml:space="preserve">. </w:t>
      </w:r>
      <w:r w:rsidR="00841211" w:rsidRPr="00841211">
        <w:rPr>
          <w:rFonts w:ascii="Verdana" w:hAnsi="Verdana"/>
          <w:sz w:val="20"/>
        </w:rPr>
        <w:t>Los Estados Parte en la Convención deben garantizar el cumplimiento de las disposiciones convencionales y sus efectos propios (</w:t>
      </w:r>
      <w:proofErr w:type="spellStart"/>
      <w:r w:rsidR="00841211" w:rsidRPr="00841211">
        <w:rPr>
          <w:rFonts w:ascii="Verdana" w:hAnsi="Verdana"/>
          <w:i/>
          <w:sz w:val="20"/>
        </w:rPr>
        <w:t>effet</w:t>
      </w:r>
      <w:proofErr w:type="spellEnd"/>
      <w:r w:rsidR="00841211" w:rsidRPr="00841211">
        <w:rPr>
          <w:rFonts w:ascii="Verdana" w:hAnsi="Verdana"/>
          <w:i/>
          <w:sz w:val="20"/>
        </w:rPr>
        <w:t xml:space="preserve"> </w:t>
      </w:r>
      <w:proofErr w:type="spellStart"/>
      <w:r w:rsidR="00841211" w:rsidRPr="00841211">
        <w:rPr>
          <w:rFonts w:ascii="Verdana" w:hAnsi="Verdana"/>
          <w:i/>
          <w:sz w:val="20"/>
        </w:rPr>
        <w:t>utile</w:t>
      </w:r>
      <w:proofErr w:type="spellEnd"/>
      <w:r w:rsidR="00841211" w:rsidRPr="00841211">
        <w:rPr>
          <w:rFonts w:ascii="Verdana" w:hAnsi="Verdana"/>
          <w:sz w:val="20"/>
        </w:rPr>
        <w:t xml:space="preserve">) en el plano de sus respectivos derechos internos. Estas obligaciones deben ser interpretadas y aplicadas de manera que la garantía protegida sea verdaderamente práctica y eficaz, teniendo presente la naturaleza especial de los </w:t>
      </w:r>
      <w:r w:rsidR="00841211" w:rsidRPr="00841211">
        <w:rPr>
          <w:rFonts w:ascii="Verdana" w:hAnsi="Verdana"/>
          <w:sz w:val="20"/>
        </w:rPr>
        <w:lastRenderedPageBreak/>
        <w:t>tratados de derechos humanos</w:t>
      </w:r>
      <w:r w:rsidR="00841211">
        <w:rPr>
          <w:rStyle w:val="Refdenotaalpie"/>
          <w:rFonts w:ascii="Verdana" w:hAnsi="Verdana"/>
          <w:sz w:val="20"/>
        </w:rPr>
        <w:footnoteReference w:id="11"/>
      </w:r>
      <w:r w:rsidR="00841211" w:rsidRPr="00841211">
        <w:rPr>
          <w:rFonts w:ascii="Verdana" w:hAnsi="Verdana"/>
          <w:sz w:val="20"/>
        </w:rPr>
        <w:t xml:space="preserve">. </w:t>
      </w:r>
      <w:r w:rsidRPr="00841211">
        <w:rPr>
          <w:rFonts w:ascii="Verdana" w:eastAsia="Times New Roman" w:hAnsi="Verdana"/>
          <w:sz w:val="20"/>
          <w:szCs w:val="20"/>
          <w:shd w:val="clear" w:color="auto" w:fill="FFFFFF"/>
        </w:rPr>
        <w:t>Al efecto, cabe tener presente, además, que, según el artículo 67 de la Convención Americana, “[e]</w:t>
      </w:r>
      <w:r w:rsidRPr="00841211">
        <w:rPr>
          <w:rFonts w:ascii="Verdana" w:eastAsia="Calibri" w:hAnsi="Verdana" w:cs="Tahoma"/>
          <w:sz w:val="20"/>
          <w:szCs w:val="20"/>
          <w:lang w:val="es-CL"/>
        </w:rPr>
        <w:t xml:space="preserve">l fallo de la Corte será definitivo e inapelable”, de manera que, </w:t>
      </w:r>
      <w:r w:rsidRPr="00841211">
        <w:rPr>
          <w:rFonts w:ascii="Verdana" w:eastAsia="Times New Roman" w:hAnsi="Verdana"/>
          <w:sz w:val="20"/>
          <w:szCs w:val="20"/>
          <w:shd w:val="clear" w:color="auto" w:fill="FFFFFF"/>
        </w:rPr>
        <w:t>una</w:t>
      </w:r>
      <w:r w:rsidRPr="00841211">
        <w:rPr>
          <w:rFonts w:ascii="Verdana" w:eastAsia="Times New Roman" w:hAnsi="Verdana"/>
          <w:sz w:val="20"/>
          <w:szCs w:val="20"/>
          <w:lang w:val="es-CO"/>
        </w:rPr>
        <w:t xml:space="preserve"> vez que este Tribunal dicta sentencia, ella produce los efectos de cosa juzgada</w:t>
      </w:r>
      <w:r w:rsidRPr="00FC4C9D">
        <w:rPr>
          <w:rFonts w:ascii="Verdana" w:eastAsia="Times New Roman" w:hAnsi="Verdana"/>
          <w:sz w:val="20"/>
          <w:szCs w:val="20"/>
        </w:rPr>
        <w:t xml:space="preserve"> y</w:t>
      </w:r>
      <w:r w:rsidRPr="00FC4C9D">
        <w:rPr>
          <w:rFonts w:ascii="Verdana" w:eastAsia="Times New Roman" w:hAnsi="Verdana"/>
          <w:sz w:val="20"/>
          <w:szCs w:val="20"/>
          <w:shd w:val="clear" w:color="auto" w:fill="FFFFFF"/>
        </w:rPr>
        <w:t xml:space="preserve"> debe ser prontamente cumplida por el Estado en forma íntegra</w:t>
      </w:r>
      <w:r>
        <w:rPr>
          <w:rStyle w:val="Refdenotaalpie"/>
          <w:rFonts w:ascii="Verdana" w:eastAsia="Times New Roman" w:hAnsi="Verdana"/>
          <w:sz w:val="20"/>
          <w:szCs w:val="20"/>
          <w:shd w:val="clear" w:color="auto" w:fill="FFFFFF"/>
        </w:rPr>
        <w:footnoteReference w:id="12"/>
      </w:r>
      <w:r w:rsidRPr="00841211">
        <w:rPr>
          <w:rFonts w:ascii="Verdana" w:eastAsia="Times New Roman" w:hAnsi="Verdana"/>
          <w:sz w:val="20"/>
          <w:szCs w:val="20"/>
          <w:shd w:val="clear" w:color="auto" w:fill="FFFFFF"/>
        </w:rPr>
        <w:t>.</w:t>
      </w:r>
    </w:p>
    <w:p w14:paraId="06A1A8BA" w14:textId="77777777" w:rsidR="00D85B0A" w:rsidRPr="00FF18D7" w:rsidRDefault="007F31FC" w:rsidP="00B11F2A">
      <w:pPr>
        <w:pStyle w:val="Prrafodelista"/>
        <w:numPr>
          <w:ilvl w:val="0"/>
          <w:numId w:val="4"/>
        </w:numPr>
        <w:suppressLineNumbers/>
        <w:spacing w:before="120" w:after="120" w:line="240" w:lineRule="auto"/>
        <w:ind w:left="0" w:right="49" w:firstLine="0"/>
        <w:contextualSpacing w:val="0"/>
        <w:jc w:val="both"/>
        <w:rPr>
          <w:rFonts w:ascii="Verdana" w:hAnsi="Verdana"/>
          <w:sz w:val="20"/>
          <w:szCs w:val="20"/>
        </w:rPr>
      </w:pPr>
      <w:r>
        <w:rPr>
          <w:rFonts w:ascii="Verdana" w:eastAsia="Times New Roman" w:hAnsi="Verdana"/>
          <w:color w:val="000000"/>
          <w:sz w:val="20"/>
          <w:szCs w:val="20"/>
          <w:lang w:val="es-CO"/>
        </w:rPr>
        <w:t>Por consiguiente,</w:t>
      </w:r>
      <w:r w:rsidR="00841211">
        <w:rPr>
          <w:rFonts w:ascii="Verdana" w:eastAsia="Times New Roman" w:hAnsi="Verdana"/>
          <w:color w:val="000000"/>
          <w:sz w:val="20"/>
          <w:szCs w:val="20"/>
          <w:lang w:val="es-CO"/>
        </w:rPr>
        <w:t xml:space="preserve"> </w:t>
      </w:r>
      <w:r w:rsidR="00D85B0A" w:rsidRPr="00FF18D7">
        <w:rPr>
          <w:rFonts w:ascii="Verdana" w:eastAsia="Times New Roman" w:hAnsi="Verdana"/>
          <w:color w:val="000000"/>
          <w:sz w:val="20"/>
          <w:szCs w:val="20"/>
          <w:lang w:val="es-CO"/>
        </w:rPr>
        <w:t xml:space="preserve">los </w:t>
      </w:r>
      <w:proofErr w:type="gramStart"/>
      <w:r w:rsidR="00D85B0A" w:rsidRPr="00FF18D7">
        <w:rPr>
          <w:rFonts w:ascii="Verdana" w:eastAsia="Times New Roman" w:hAnsi="Verdana"/>
          <w:color w:val="000000"/>
          <w:sz w:val="20"/>
          <w:szCs w:val="20"/>
          <w:lang w:val="es-CO"/>
        </w:rPr>
        <w:t>Estados Partes</w:t>
      </w:r>
      <w:proofErr w:type="gramEnd"/>
      <w:r w:rsidR="00D85B0A" w:rsidRPr="00FF18D7">
        <w:rPr>
          <w:rFonts w:ascii="Verdana" w:eastAsia="Times New Roman" w:hAnsi="Verdana"/>
          <w:color w:val="000000"/>
          <w:sz w:val="20"/>
          <w:szCs w:val="20"/>
          <w:lang w:val="es-CO"/>
        </w:rPr>
        <w:t xml:space="preserve"> de la Convención Americana tienen la obligación convencional de implementar </w:t>
      </w:r>
      <w:r w:rsidR="00D85B0A" w:rsidRPr="00FF18D7">
        <w:rPr>
          <w:rFonts w:ascii="Verdana" w:eastAsia="Times New Roman" w:hAnsi="Verdana"/>
          <w:color w:val="000000"/>
          <w:sz w:val="20"/>
          <w:szCs w:val="20"/>
        </w:rPr>
        <w:t xml:space="preserve">de forma pronta e íntegra, lo </w:t>
      </w:r>
      <w:r w:rsidR="00D85B0A" w:rsidRPr="00FF18D7">
        <w:rPr>
          <w:rFonts w:ascii="Verdana" w:eastAsia="Times New Roman" w:hAnsi="Verdana"/>
          <w:color w:val="000000"/>
          <w:sz w:val="20"/>
          <w:szCs w:val="20"/>
          <w:lang w:val="es-CO"/>
        </w:rPr>
        <w:t>dispuesto por el Tribunal en las Sentencias que a ellos conciernan</w:t>
      </w:r>
      <w:r w:rsidR="00841211">
        <w:rPr>
          <w:rFonts w:ascii="Verdana" w:eastAsia="Times New Roman" w:hAnsi="Verdana"/>
          <w:color w:val="000000"/>
          <w:sz w:val="20"/>
          <w:szCs w:val="20"/>
          <w:lang w:val="es-CO"/>
        </w:rPr>
        <w:t>. Dicha obligación</w:t>
      </w:r>
      <w:r w:rsidR="00D85B0A" w:rsidRPr="00FF18D7">
        <w:rPr>
          <w:rFonts w:ascii="Verdana" w:eastAsia="Times New Roman" w:hAnsi="Verdana"/>
          <w:color w:val="000000"/>
          <w:sz w:val="20"/>
          <w:szCs w:val="20"/>
          <w:lang w:val="es-CO"/>
        </w:rPr>
        <w:t xml:space="preserve">, como lo señala el derecho internacional consuetudinario y lo ha recordado la Corte, vincula a todos los poderes y órganos </w:t>
      </w:r>
      <w:r w:rsidR="00D85B0A" w:rsidRPr="00BF06AC">
        <w:rPr>
          <w:rFonts w:ascii="Verdana" w:eastAsia="Times New Roman" w:hAnsi="Verdana"/>
          <w:color w:val="000000"/>
          <w:sz w:val="20"/>
          <w:szCs w:val="20"/>
          <w:lang w:val="es-CO"/>
        </w:rPr>
        <w:t>estatales</w:t>
      </w:r>
      <w:r w:rsidR="006E60B1">
        <w:rPr>
          <w:rStyle w:val="Refdenotaalpie"/>
          <w:rFonts w:ascii="Verdana" w:eastAsia="Times New Roman" w:hAnsi="Verdana"/>
          <w:color w:val="000000"/>
          <w:sz w:val="20"/>
          <w:szCs w:val="20"/>
          <w:lang w:val="es-CO"/>
        </w:rPr>
        <w:footnoteReference w:id="13"/>
      </w:r>
      <w:r w:rsidR="00D85B0A">
        <w:rPr>
          <w:rFonts w:ascii="Verdana" w:eastAsia="Times New Roman" w:hAnsi="Verdana"/>
          <w:color w:val="000000"/>
          <w:sz w:val="20"/>
          <w:szCs w:val="20"/>
          <w:lang w:val="es-CO"/>
        </w:rPr>
        <w:t xml:space="preserve"> </w:t>
      </w:r>
      <w:r w:rsidR="00D85B0A" w:rsidRPr="00BF06AC">
        <w:rPr>
          <w:rFonts w:ascii="Verdana" w:eastAsia="Times New Roman" w:hAnsi="Verdana"/>
          <w:color w:val="000000"/>
          <w:sz w:val="20"/>
          <w:szCs w:val="20"/>
        </w:rPr>
        <w:t>y</w:t>
      </w:r>
      <w:r w:rsidR="00D85B0A" w:rsidRPr="00FF18D7">
        <w:rPr>
          <w:rFonts w:ascii="Verdana" w:eastAsia="Times New Roman" w:hAnsi="Verdana"/>
          <w:color w:val="000000"/>
          <w:sz w:val="20"/>
          <w:szCs w:val="20"/>
        </w:rPr>
        <w:t>, de no cumplirse, se incurre en un ilícito internacional</w:t>
      </w:r>
      <w:r w:rsidR="00D85B0A" w:rsidRPr="00BF06AC">
        <w:rPr>
          <w:rStyle w:val="Refdenotaalpie"/>
          <w:rFonts w:ascii="Verdana" w:hAnsi="Verdana" w:cs="Verdana"/>
          <w:sz w:val="20"/>
          <w:szCs w:val="20"/>
        </w:rPr>
        <w:footnoteReference w:id="14"/>
      </w:r>
      <w:r w:rsidR="00D85B0A" w:rsidRPr="00FF18D7">
        <w:rPr>
          <w:rFonts w:ascii="Verdana" w:eastAsia="Times New Roman" w:hAnsi="Verdana"/>
          <w:color w:val="000000"/>
          <w:sz w:val="20"/>
          <w:szCs w:val="20"/>
          <w:lang w:val="pl-PL"/>
        </w:rPr>
        <w:t>. Al respecto, es menester añadir que siempre, según el derecho internacional consuetudinario y lo afirmado por la Corte, al producirse un hecho ilícito atribuible a un Estado, surge la responsabilidad internacional de éste por violación de una norma internacional, dándose así origen a una relación jurídica nueva que consiste en la obligación de reparar</w:t>
      </w:r>
      <w:r w:rsidR="00D85B0A" w:rsidRPr="00FF18D7">
        <w:rPr>
          <w:rStyle w:val="Refdenotaalpie"/>
          <w:rFonts w:ascii="Verdana" w:hAnsi="Verdana"/>
          <w:sz w:val="20"/>
          <w:szCs w:val="20"/>
        </w:rPr>
        <w:footnoteReference w:id="15"/>
      </w:r>
      <w:r w:rsidR="00D85B0A" w:rsidRPr="00FF18D7">
        <w:rPr>
          <w:rFonts w:ascii="Verdana" w:eastAsia="Times New Roman" w:hAnsi="Verdana"/>
          <w:color w:val="000000"/>
          <w:sz w:val="20"/>
          <w:szCs w:val="20"/>
          <w:lang w:val="pl-PL"/>
        </w:rPr>
        <w:t xml:space="preserve">. </w:t>
      </w:r>
      <w:r w:rsidR="00D85B0A" w:rsidRPr="00FF18D7">
        <w:rPr>
          <w:rFonts w:ascii="Verdana" w:hAnsi="Verdana"/>
          <w:sz w:val="20"/>
          <w:szCs w:val="20"/>
          <w:lang w:val="pl-PL"/>
        </w:rPr>
        <w:t>Tal como ha indicado la Corte</w:t>
      </w:r>
      <w:r w:rsidR="00D85B0A" w:rsidRPr="00FF18D7">
        <w:rPr>
          <w:rStyle w:val="Refdenotaalpie"/>
          <w:rFonts w:ascii="Verdana" w:hAnsi="Verdana"/>
          <w:sz w:val="20"/>
          <w:szCs w:val="20"/>
        </w:rPr>
        <w:footnoteReference w:id="16"/>
      </w:r>
      <w:r w:rsidR="00D85B0A" w:rsidRPr="00FF18D7">
        <w:rPr>
          <w:rFonts w:ascii="Verdana" w:hAnsi="Verdana"/>
          <w:sz w:val="20"/>
          <w:szCs w:val="20"/>
          <w:lang w:val="pl-PL"/>
        </w:rPr>
        <w:t>, el artículo 63.1 de la Convención reproduce el texto de una norma consuetudinaria que constituye uno de los principios fundamentales del derecho de la responsabilidad internacional de los Estados</w:t>
      </w:r>
      <w:r w:rsidR="00D85B0A" w:rsidRPr="00FF18D7">
        <w:rPr>
          <w:rStyle w:val="Refdenotaalpie"/>
          <w:rFonts w:ascii="Verdana" w:hAnsi="Verdana"/>
          <w:sz w:val="20"/>
          <w:szCs w:val="20"/>
        </w:rPr>
        <w:footnoteReference w:id="17"/>
      </w:r>
      <w:r w:rsidR="00D85B0A" w:rsidRPr="00FF18D7">
        <w:rPr>
          <w:rFonts w:ascii="Verdana" w:hAnsi="Verdana"/>
          <w:sz w:val="20"/>
          <w:szCs w:val="20"/>
          <w:lang w:val="pl-PL"/>
        </w:rPr>
        <w:t>.</w:t>
      </w:r>
      <w:r w:rsidR="00D85B0A">
        <w:rPr>
          <w:rFonts w:ascii="Verdana" w:hAnsi="Verdana"/>
          <w:sz w:val="20"/>
          <w:szCs w:val="20"/>
          <w:lang w:val="pl-PL"/>
        </w:rPr>
        <w:t xml:space="preserve"> La falta de ejecución de las reparaciones en el ámbito interno implica la negación al </w:t>
      </w:r>
      <w:r w:rsidR="00D85B0A" w:rsidRPr="00FF18D7">
        <w:rPr>
          <w:rFonts w:ascii="Verdana" w:eastAsia="Calibri" w:hAnsi="Verdana" w:cs="Verdana"/>
          <w:sz w:val="20"/>
          <w:szCs w:val="20"/>
        </w:rPr>
        <w:t>derecho de acceso a la justicia internacional</w:t>
      </w:r>
      <w:r w:rsidR="00D85B0A" w:rsidRPr="00FF18D7">
        <w:rPr>
          <w:rStyle w:val="Refdenotaalpie"/>
          <w:rFonts w:ascii="Verdana" w:eastAsia="Calibri" w:hAnsi="Verdana" w:cs="Verdana"/>
          <w:sz w:val="20"/>
          <w:szCs w:val="20"/>
        </w:rPr>
        <w:footnoteReference w:id="18"/>
      </w:r>
      <w:r w:rsidR="00D85B0A" w:rsidRPr="00FF18D7">
        <w:rPr>
          <w:rFonts w:ascii="Verdana" w:eastAsia="Calibri" w:hAnsi="Verdana" w:cs="Verdana"/>
          <w:sz w:val="20"/>
          <w:szCs w:val="20"/>
        </w:rPr>
        <w:t>.</w:t>
      </w:r>
    </w:p>
    <w:p w14:paraId="02D2A52A" w14:textId="77777777" w:rsidR="00D85B0A" w:rsidRPr="009D099F" w:rsidRDefault="00D85B0A" w:rsidP="00B11F2A">
      <w:pPr>
        <w:pStyle w:val="Prrafodelista"/>
        <w:numPr>
          <w:ilvl w:val="0"/>
          <w:numId w:val="4"/>
        </w:numPr>
        <w:suppressLineNumbers/>
        <w:spacing w:before="120" w:after="120" w:line="240" w:lineRule="auto"/>
        <w:ind w:left="0" w:right="49" w:firstLine="0"/>
        <w:contextualSpacing w:val="0"/>
        <w:jc w:val="both"/>
        <w:rPr>
          <w:rFonts w:ascii="Verdana" w:hAnsi="Verdana"/>
          <w:sz w:val="20"/>
          <w:szCs w:val="20"/>
        </w:rPr>
      </w:pPr>
      <w:r>
        <w:rPr>
          <w:rFonts w:ascii="Verdana" w:hAnsi="Verdana"/>
          <w:sz w:val="20"/>
          <w:szCs w:val="20"/>
        </w:rPr>
        <w:t>L</w:t>
      </w:r>
      <w:r w:rsidRPr="00FF18D7">
        <w:rPr>
          <w:rFonts w:ascii="Verdana" w:eastAsia="Calibri" w:hAnsi="Verdana" w:cs="Verdana"/>
          <w:sz w:val="20"/>
          <w:szCs w:val="20"/>
        </w:rPr>
        <w:t>a falta de presentación de</w:t>
      </w:r>
      <w:r>
        <w:rPr>
          <w:rFonts w:ascii="Verdana" w:eastAsia="Calibri" w:hAnsi="Verdana" w:cs="Verdana"/>
          <w:sz w:val="20"/>
          <w:szCs w:val="20"/>
        </w:rPr>
        <w:t>l</w:t>
      </w:r>
      <w:r w:rsidRPr="00FF18D7">
        <w:rPr>
          <w:rFonts w:ascii="Verdana" w:eastAsia="Calibri" w:hAnsi="Verdana" w:cs="Verdana"/>
          <w:sz w:val="20"/>
          <w:szCs w:val="20"/>
        </w:rPr>
        <w:t xml:space="preserve"> informe</w:t>
      </w:r>
      <w:r>
        <w:rPr>
          <w:rFonts w:ascii="Verdana" w:eastAsia="Calibri" w:hAnsi="Verdana" w:cs="Verdana"/>
          <w:sz w:val="20"/>
          <w:szCs w:val="20"/>
        </w:rPr>
        <w:t xml:space="preserve"> de cumplimiento citado,</w:t>
      </w:r>
      <w:r w:rsidRPr="00FF18D7">
        <w:rPr>
          <w:rFonts w:ascii="Verdana" w:eastAsia="Calibri" w:hAnsi="Verdana" w:cs="Verdana"/>
          <w:sz w:val="20"/>
          <w:szCs w:val="20"/>
        </w:rPr>
        <w:t xml:space="preserve"> </w:t>
      </w:r>
      <w:r>
        <w:rPr>
          <w:rFonts w:ascii="Verdana" w:eastAsia="Calibri" w:hAnsi="Verdana" w:cs="Verdana"/>
          <w:sz w:val="20"/>
          <w:szCs w:val="20"/>
        </w:rPr>
        <w:t>habiendo transcurrido un prolongado tiempo desde el vencimiento del plazo dispuesto en la Sentencia</w:t>
      </w:r>
      <w:r w:rsidRPr="00FF18D7">
        <w:rPr>
          <w:rFonts w:ascii="Verdana" w:hAnsi="Verdana"/>
          <w:sz w:val="20"/>
          <w:szCs w:val="20"/>
          <w:lang w:val="es-MX"/>
        </w:rPr>
        <w:t xml:space="preserve">, sumado a la falta de respuesta del Estado ante </w:t>
      </w:r>
      <w:r>
        <w:rPr>
          <w:rFonts w:ascii="Verdana" w:hAnsi="Verdana"/>
          <w:sz w:val="20"/>
          <w:szCs w:val="20"/>
          <w:lang w:val="es-MX"/>
        </w:rPr>
        <w:t xml:space="preserve">los </w:t>
      </w:r>
      <w:r w:rsidR="00FC4C9D">
        <w:rPr>
          <w:rFonts w:ascii="Verdana" w:hAnsi="Verdana"/>
          <w:sz w:val="20"/>
          <w:szCs w:val="20"/>
          <w:lang w:val="es-MX"/>
        </w:rPr>
        <w:t xml:space="preserve">múltiples </w:t>
      </w:r>
      <w:r>
        <w:rPr>
          <w:rFonts w:ascii="Verdana" w:hAnsi="Verdana"/>
          <w:sz w:val="20"/>
          <w:szCs w:val="20"/>
          <w:lang w:val="es-MX"/>
        </w:rPr>
        <w:t>requerimientos</w:t>
      </w:r>
      <w:r w:rsidRPr="00FF18D7">
        <w:rPr>
          <w:rFonts w:ascii="Verdana" w:hAnsi="Verdana"/>
          <w:sz w:val="20"/>
          <w:szCs w:val="20"/>
          <w:lang w:val="es-MX"/>
        </w:rPr>
        <w:t xml:space="preserve"> de la Presidencia</w:t>
      </w:r>
      <w:r>
        <w:rPr>
          <w:rFonts w:ascii="Verdana" w:hAnsi="Verdana"/>
          <w:sz w:val="20"/>
          <w:szCs w:val="20"/>
          <w:lang w:val="es-MX"/>
        </w:rPr>
        <w:t xml:space="preserve"> de la Corte </w:t>
      </w:r>
      <w:r>
        <w:rPr>
          <w:rFonts w:ascii="Verdana" w:eastAsia="Calibri" w:hAnsi="Verdana" w:cs="Verdana"/>
          <w:sz w:val="20"/>
          <w:szCs w:val="20"/>
        </w:rPr>
        <w:t>(</w:t>
      </w:r>
      <w:r w:rsidRPr="008F6DF3">
        <w:rPr>
          <w:rFonts w:ascii="Verdana" w:eastAsia="Calibri" w:hAnsi="Verdana" w:cs="Verdana"/>
          <w:i/>
          <w:sz w:val="20"/>
          <w:szCs w:val="20"/>
        </w:rPr>
        <w:t>supra</w:t>
      </w:r>
      <w:r w:rsidR="00841211">
        <w:rPr>
          <w:rFonts w:ascii="Verdana" w:eastAsia="Calibri" w:hAnsi="Verdana" w:cs="Verdana"/>
          <w:i/>
          <w:sz w:val="20"/>
          <w:szCs w:val="20"/>
        </w:rPr>
        <w:t xml:space="preserve"> </w:t>
      </w:r>
      <w:r w:rsidR="00841211" w:rsidRPr="00841211">
        <w:rPr>
          <w:rFonts w:ascii="Verdana" w:eastAsia="Calibri" w:hAnsi="Verdana" w:cs="Verdana"/>
          <w:sz w:val="20"/>
          <w:szCs w:val="20"/>
        </w:rPr>
        <w:t xml:space="preserve">Visto </w:t>
      </w:r>
      <w:r w:rsidR="0096741D">
        <w:rPr>
          <w:rFonts w:ascii="Verdana" w:eastAsia="Calibri" w:hAnsi="Verdana" w:cs="Verdana"/>
          <w:sz w:val="20"/>
          <w:szCs w:val="20"/>
        </w:rPr>
        <w:t>3</w:t>
      </w:r>
      <w:r w:rsidR="00841211" w:rsidRPr="00841211">
        <w:rPr>
          <w:rFonts w:ascii="Verdana" w:eastAsia="Calibri" w:hAnsi="Verdana" w:cs="Verdana"/>
          <w:sz w:val="20"/>
          <w:szCs w:val="20"/>
        </w:rPr>
        <w:t xml:space="preserve"> y</w:t>
      </w:r>
      <w:r w:rsidRPr="008F6DF3">
        <w:rPr>
          <w:rFonts w:ascii="Verdana" w:eastAsia="Calibri" w:hAnsi="Verdana" w:cs="Verdana"/>
          <w:i/>
          <w:sz w:val="20"/>
          <w:szCs w:val="20"/>
        </w:rPr>
        <w:t xml:space="preserve"> </w:t>
      </w:r>
      <w:r w:rsidRPr="008F6DF3">
        <w:rPr>
          <w:rFonts w:ascii="Verdana" w:eastAsia="Calibri" w:hAnsi="Verdana" w:cs="Verdana"/>
          <w:sz w:val="20"/>
          <w:szCs w:val="20"/>
        </w:rPr>
        <w:t>Considerando</w:t>
      </w:r>
      <w:r>
        <w:rPr>
          <w:rFonts w:ascii="Verdana" w:eastAsia="Calibri" w:hAnsi="Verdana" w:cs="Verdana"/>
          <w:sz w:val="20"/>
          <w:szCs w:val="20"/>
        </w:rPr>
        <w:t>s</w:t>
      </w:r>
      <w:r w:rsidRPr="008F6DF3">
        <w:rPr>
          <w:rFonts w:ascii="Verdana" w:eastAsia="Calibri" w:hAnsi="Verdana" w:cs="Verdana"/>
          <w:sz w:val="20"/>
          <w:szCs w:val="20"/>
        </w:rPr>
        <w:t xml:space="preserve"> </w:t>
      </w:r>
      <w:r w:rsidR="0096741D">
        <w:rPr>
          <w:rFonts w:ascii="Verdana" w:eastAsia="Calibri" w:hAnsi="Verdana" w:cs="Verdana"/>
          <w:sz w:val="20"/>
          <w:szCs w:val="20"/>
        </w:rPr>
        <w:t xml:space="preserve">2 y </w:t>
      </w:r>
      <w:r w:rsidR="00574FCA">
        <w:rPr>
          <w:rFonts w:ascii="Verdana" w:eastAsia="Calibri" w:hAnsi="Verdana" w:cs="Verdana"/>
          <w:sz w:val="20"/>
          <w:szCs w:val="20"/>
        </w:rPr>
        <w:t>4</w:t>
      </w:r>
      <w:r>
        <w:rPr>
          <w:rFonts w:ascii="Verdana" w:eastAsia="Calibri" w:hAnsi="Verdana" w:cs="Verdana"/>
          <w:sz w:val="20"/>
          <w:szCs w:val="20"/>
        </w:rPr>
        <w:t>)</w:t>
      </w:r>
      <w:r w:rsidRPr="00FF18D7">
        <w:rPr>
          <w:rFonts w:ascii="Verdana" w:hAnsi="Verdana"/>
          <w:sz w:val="20"/>
          <w:szCs w:val="20"/>
          <w:lang w:val="es-MX"/>
        </w:rPr>
        <w:t xml:space="preserve">, configuran un incumplimiento de Venezuela de la obligación de informar al Tribunal. </w:t>
      </w:r>
      <w:r>
        <w:rPr>
          <w:rFonts w:ascii="Verdana" w:hAnsi="Verdana"/>
          <w:sz w:val="20"/>
          <w:szCs w:val="20"/>
          <w:lang w:val="es-MX"/>
        </w:rPr>
        <w:t>La Corte</w:t>
      </w:r>
      <w:r w:rsidRPr="00FF18D7">
        <w:rPr>
          <w:rFonts w:ascii="Verdana" w:hAnsi="Verdana"/>
          <w:sz w:val="20"/>
          <w:szCs w:val="20"/>
          <w:lang w:val="es-MX"/>
        </w:rPr>
        <w:t xml:space="preserve"> reitera</w:t>
      </w:r>
      <w:r w:rsidRPr="00FF18D7">
        <w:rPr>
          <w:rFonts w:ascii="Verdana" w:hAnsi="Verdana" w:cs="Arial"/>
          <w:sz w:val="20"/>
          <w:szCs w:val="20"/>
          <w:lang w:val="es-ES"/>
        </w:rPr>
        <w:t xml:space="preserve"> que la inactividad de un Estado ante una jurisdicción internacional de derechos humanos es contraria al objetivo, fin y espíritu de la Convención Americana</w:t>
      </w:r>
      <w:r w:rsidRPr="00FF18D7">
        <w:rPr>
          <w:rStyle w:val="Refdenotaalpie"/>
          <w:rFonts w:ascii="Verdana" w:hAnsi="Verdana" w:cs="Arial"/>
          <w:sz w:val="20"/>
          <w:szCs w:val="20"/>
          <w:lang w:val="es-ES"/>
        </w:rPr>
        <w:footnoteReference w:id="19"/>
      </w:r>
      <w:r w:rsidRPr="00FF18D7">
        <w:rPr>
          <w:rFonts w:ascii="Verdana" w:hAnsi="Verdana" w:cs="Arial"/>
          <w:sz w:val="20"/>
          <w:szCs w:val="20"/>
          <w:lang w:val="es-ES"/>
        </w:rPr>
        <w:t>.</w:t>
      </w:r>
      <w:r>
        <w:rPr>
          <w:rFonts w:ascii="Verdana" w:hAnsi="Verdana"/>
          <w:sz w:val="20"/>
          <w:szCs w:val="20"/>
        </w:rPr>
        <w:t xml:space="preserve"> </w:t>
      </w:r>
      <w:r w:rsidRPr="00786DA7">
        <w:rPr>
          <w:rFonts w:ascii="Verdana" w:hAnsi="Verdana"/>
          <w:sz w:val="20"/>
          <w:szCs w:val="20"/>
          <w:lang w:val="es-MX"/>
        </w:rPr>
        <w:t xml:space="preserve">En este sentido, en </w:t>
      </w:r>
      <w:r w:rsidRPr="00786DA7">
        <w:rPr>
          <w:rFonts w:ascii="Verdana" w:hAnsi="Verdana"/>
          <w:sz w:val="20"/>
          <w:szCs w:val="20"/>
          <w:lang w:val="es-MX"/>
        </w:rPr>
        <w:lastRenderedPageBreak/>
        <w:t>la etapa de supervisión de cumplimiento de Sentencia de otros casos</w:t>
      </w:r>
      <w:r w:rsidRPr="00FF18D7">
        <w:rPr>
          <w:rStyle w:val="Refdenotaalpie"/>
          <w:rFonts w:ascii="Verdana" w:hAnsi="Verdana"/>
          <w:sz w:val="20"/>
          <w:szCs w:val="20"/>
          <w:lang w:val="es-MX"/>
        </w:rPr>
        <w:footnoteReference w:id="20"/>
      </w:r>
      <w:r w:rsidRPr="00786DA7">
        <w:rPr>
          <w:rFonts w:ascii="Verdana" w:hAnsi="Verdana"/>
          <w:sz w:val="20"/>
          <w:szCs w:val="20"/>
          <w:lang w:val="es-MX"/>
        </w:rPr>
        <w:t xml:space="preserve">, la Corte ha </w:t>
      </w:r>
      <w:r w:rsidRPr="009D099F">
        <w:rPr>
          <w:rFonts w:ascii="Verdana" w:hAnsi="Verdana"/>
          <w:sz w:val="20"/>
          <w:szCs w:val="20"/>
          <w:lang w:val="es-MX"/>
        </w:rPr>
        <w:t>establecido que la falta del Estado a su deber de informar constituye un incumplimiento de las obligaciones convencionales establecidas en los artículos 67 y 68.1 de la Convención Americana (</w:t>
      </w:r>
      <w:r w:rsidRPr="009D099F">
        <w:rPr>
          <w:rFonts w:ascii="Verdana" w:hAnsi="Verdana"/>
          <w:i/>
          <w:sz w:val="20"/>
          <w:szCs w:val="20"/>
          <w:lang w:val="es-MX"/>
        </w:rPr>
        <w:t>supra</w:t>
      </w:r>
      <w:r w:rsidRPr="009D099F">
        <w:rPr>
          <w:rFonts w:ascii="Verdana" w:hAnsi="Verdana"/>
          <w:sz w:val="20"/>
          <w:szCs w:val="20"/>
          <w:lang w:val="es-MX"/>
        </w:rPr>
        <w:t xml:space="preserve"> Considerando</w:t>
      </w:r>
      <w:r w:rsidR="0096741D">
        <w:rPr>
          <w:rFonts w:ascii="Verdana" w:hAnsi="Verdana"/>
          <w:sz w:val="20"/>
          <w:szCs w:val="20"/>
          <w:lang w:val="es-MX"/>
        </w:rPr>
        <w:t xml:space="preserve">s </w:t>
      </w:r>
      <w:r w:rsidR="006C05B1">
        <w:rPr>
          <w:rFonts w:ascii="Verdana" w:hAnsi="Verdana"/>
          <w:sz w:val="20"/>
          <w:szCs w:val="20"/>
          <w:lang w:val="es-MX"/>
        </w:rPr>
        <w:t>6 y 7</w:t>
      </w:r>
      <w:r w:rsidRPr="009D099F">
        <w:rPr>
          <w:rFonts w:ascii="Verdana" w:hAnsi="Verdana"/>
          <w:sz w:val="20"/>
          <w:szCs w:val="20"/>
          <w:lang w:val="es-MX"/>
        </w:rPr>
        <w:t>).</w:t>
      </w:r>
    </w:p>
    <w:p w14:paraId="6616FB92" w14:textId="77777777" w:rsidR="00E506E8" w:rsidRPr="002275D0" w:rsidRDefault="00D85B0A" w:rsidP="00B11F2A">
      <w:pPr>
        <w:pStyle w:val="Prrafodelista"/>
        <w:numPr>
          <w:ilvl w:val="0"/>
          <w:numId w:val="4"/>
        </w:numPr>
        <w:suppressLineNumbers/>
        <w:spacing w:after="0" w:line="240" w:lineRule="auto"/>
        <w:ind w:left="0" w:right="49" w:firstLine="0"/>
        <w:contextualSpacing w:val="0"/>
        <w:jc w:val="both"/>
        <w:rPr>
          <w:rFonts w:ascii="Verdana" w:hAnsi="Verdana"/>
          <w:b/>
          <w:sz w:val="20"/>
          <w:szCs w:val="20"/>
        </w:rPr>
      </w:pPr>
      <w:r w:rsidRPr="009D099F">
        <w:rPr>
          <w:rFonts w:ascii="Verdana" w:hAnsi="Verdana"/>
          <w:sz w:val="20"/>
          <w:szCs w:val="20"/>
          <w:lang w:val="es-MX"/>
        </w:rPr>
        <w:t>Teniendo en cuenta dicho incumplimiento del Estado</w:t>
      </w:r>
      <w:r w:rsidR="007D2815">
        <w:rPr>
          <w:rFonts w:ascii="Verdana" w:hAnsi="Verdana"/>
          <w:sz w:val="20"/>
          <w:szCs w:val="20"/>
          <w:lang w:val="es-MX"/>
        </w:rPr>
        <w:t xml:space="preserve">, </w:t>
      </w:r>
      <w:r w:rsidR="00275B30">
        <w:rPr>
          <w:rFonts w:ascii="Verdana" w:hAnsi="Verdana"/>
          <w:sz w:val="20"/>
          <w:szCs w:val="20"/>
          <w:lang w:val="es-MX"/>
        </w:rPr>
        <w:t>la Corte</w:t>
      </w:r>
      <w:r w:rsidR="007D2815">
        <w:rPr>
          <w:rFonts w:ascii="Verdana" w:hAnsi="Verdana"/>
          <w:sz w:val="20"/>
          <w:szCs w:val="20"/>
          <w:lang w:val="es-MX"/>
        </w:rPr>
        <w:t xml:space="preserve"> </w:t>
      </w:r>
      <w:r w:rsidR="00D26E1A">
        <w:rPr>
          <w:rFonts w:ascii="Verdana" w:hAnsi="Verdana"/>
          <w:sz w:val="20"/>
          <w:szCs w:val="20"/>
          <w:lang w:val="es-MX"/>
        </w:rPr>
        <w:t>colige</w:t>
      </w:r>
      <w:r w:rsidR="00476EAF">
        <w:rPr>
          <w:rFonts w:ascii="Verdana" w:hAnsi="Verdana"/>
          <w:sz w:val="20"/>
          <w:szCs w:val="20"/>
          <w:lang w:val="es-MX"/>
        </w:rPr>
        <w:t xml:space="preserve"> </w:t>
      </w:r>
      <w:r w:rsidR="007D2815">
        <w:rPr>
          <w:rFonts w:ascii="Verdana" w:hAnsi="Verdana"/>
          <w:sz w:val="20"/>
          <w:szCs w:val="20"/>
          <w:lang w:val="es-MX"/>
        </w:rPr>
        <w:t>que</w:t>
      </w:r>
      <w:r w:rsidRPr="009D099F">
        <w:rPr>
          <w:rFonts w:ascii="Verdana" w:hAnsi="Verdana"/>
          <w:sz w:val="20"/>
          <w:szCs w:val="20"/>
          <w:lang w:val="es-MX"/>
        </w:rPr>
        <w:t xml:space="preserve"> </w:t>
      </w:r>
      <w:r w:rsidR="00E506E8">
        <w:rPr>
          <w:rFonts w:ascii="Verdana" w:hAnsi="Verdana"/>
          <w:sz w:val="20"/>
          <w:szCs w:val="20"/>
          <w:lang w:val="es-MX"/>
        </w:rPr>
        <w:t xml:space="preserve">la mayoría de </w:t>
      </w:r>
      <w:r w:rsidRPr="009D099F">
        <w:rPr>
          <w:rFonts w:ascii="Verdana" w:hAnsi="Verdana"/>
          <w:sz w:val="20"/>
          <w:szCs w:val="20"/>
          <w:lang w:val="es-MX"/>
        </w:rPr>
        <w:t>l</w:t>
      </w:r>
      <w:r w:rsidR="008408C7" w:rsidRPr="009D099F">
        <w:rPr>
          <w:rFonts w:ascii="Verdana" w:hAnsi="Verdana"/>
          <w:sz w:val="20"/>
          <w:szCs w:val="20"/>
          <w:lang w:val="es-MX"/>
        </w:rPr>
        <w:t xml:space="preserve">as reparaciones </w:t>
      </w:r>
      <w:r w:rsidR="007D2815">
        <w:rPr>
          <w:rFonts w:ascii="Verdana" w:hAnsi="Verdana"/>
          <w:sz w:val="20"/>
          <w:szCs w:val="20"/>
          <w:lang w:val="es-MX"/>
        </w:rPr>
        <w:t xml:space="preserve">no </w:t>
      </w:r>
      <w:r w:rsidR="00275B30">
        <w:rPr>
          <w:rFonts w:ascii="Verdana" w:hAnsi="Verdana"/>
          <w:sz w:val="20"/>
          <w:szCs w:val="20"/>
          <w:lang w:val="es-MX"/>
        </w:rPr>
        <w:t>han</w:t>
      </w:r>
      <w:r w:rsidR="007D2815">
        <w:rPr>
          <w:rFonts w:ascii="Verdana" w:hAnsi="Verdana"/>
          <w:sz w:val="20"/>
          <w:szCs w:val="20"/>
          <w:lang w:val="es-MX"/>
        </w:rPr>
        <w:t xml:space="preserve"> sido implementadas hasta el momento</w:t>
      </w:r>
      <w:r w:rsidRPr="009D099F">
        <w:rPr>
          <w:rFonts w:ascii="Verdana" w:hAnsi="Verdana"/>
          <w:sz w:val="20"/>
          <w:szCs w:val="20"/>
          <w:lang w:val="es-MX"/>
        </w:rPr>
        <w:t xml:space="preserve">. </w:t>
      </w:r>
      <w:r w:rsidR="009A7118">
        <w:rPr>
          <w:rFonts w:ascii="Verdana" w:hAnsi="Verdana"/>
          <w:sz w:val="20"/>
          <w:szCs w:val="20"/>
        </w:rPr>
        <w:t>E</w:t>
      </w:r>
      <w:r w:rsidR="009A7118" w:rsidRPr="00173240">
        <w:rPr>
          <w:rFonts w:ascii="Verdana" w:hAnsi="Verdana"/>
          <w:sz w:val="20"/>
          <w:szCs w:val="20"/>
        </w:rPr>
        <w:t>l Estado tampoco ha cumplido con realizar el reintegro al Fondo de Asistencia Legal de Víctimas</w:t>
      </w:r>
      <w:r w:rsidR="00D26E1A">
        <w:rPr>
          <w:rFonts w:ascii="Verdana" w:hAnsi="Verdana"/>
          <w:sz w:val="20"/>
          <w:szCs w:val="20"/>
        </w:rPr>
        <w:t>, con lo cual también deberá pagar intereses moratorios</w:t>
      </w:r>
      <w:r w:rsidR="009A7118">
        <w:rPr>
          <w:rFonts w:ascii="Verdana" w:hAnsi="Verdana"/>
          <w:sz w:val="20"/>
          <w:szCs w:val="20"/>
        </w:rPr>
        <w:t xml:space="preserve"> devengados</w:t>
      </w:r>
      <w:r w:rsidR="009A7118" w:rsidRPr="00173240">
        <w:rPr>
          <w:rFonts w:ascii="Verdana" w:hAnsi="Verdana"/>
          <w:sz w:val="20"/>
          <w:szCs w:val="20"/>
        </w:rPr>
        <w:t xml:space="preserve"> (</w:t>
      </w:r>
      <w:r w:rsidR="009A7118" w:rsidRPr="00173240">
        <w:rPr>
          <w:rFonts w:ascii="Verdana" w:hAnsi="Verdana"/>
          <w:i/>
          <w:sz w:val="20"/>
          <w:szCs w:val="20"/>
        </w:rPr>
        <w:t>supra</w:t>
      </w:r>
      <w:r w:rsidR="009A7118" w:rsidRPr="00173240">
        <w:rPr>
          <w:rFonts w:ascii="Verdana" w:hAnsi="Verdana"/>
          <w:sz w:val="20"/>
          <w:szCs w:val="20"/>
        </w:rPr>
        <w:t xml:space="preserve"> nota al pie </w:t>
      </w:r>
      <w:r w:rsidR="009A7118">
        <w:rPr>
          <w:rFonts w:ascii="Verdana" w:hAnsi="Verdana"/>
          <w:sz w:val="20"/>
          <w:szCs w:val="20"/>
        </w:rPr>
        <w:t>6</w:t>
      </w:r>
      <w:r w:rsidR="009A7118" w:rsidRPr="00173240">
        <w:rPr>
          <w:rFonts w:ascii="Verdana" w:hAnsi="Verdana"/>
          <w:sz w:val="20"/>
          <w:szCs w:val="20"/>
        </w:rPr>
        <w:t>)</w:t>
      </w:r>
      <w:r w:rsidR="009A7118" w:rsidRPr="009D099F">
        <w:rPr>
          <w:rStyle w:val="Refdenotaalpie"/>
          <w:rFonts w:ascii="Verdana" w:hAnsi="Verdana"/>
          <w:sz w:val="20"/>
          <w:szCs w:val="20"/>
        </w:rPr>
        <w:footnoteReference w:id="21"/>
      </w:r>
      <w:r w:rsidR="009A7118" w:rsidRPr="00173240">
        <w:rPr>
          <w:rFonts w:ascii="Verdana" w:hAnsi="Verdana"/>
          <w:sz w:val="20"/>
          <w:szCs w:val="20"/>
        </w:rPr>
        <w:t>.</w:t>
      </w:r>
      <w:r w:rsidR="009A7118">
        <w:rPr>
          <w:rFonts w:ascii="Verdana" w:hAnsi="Verdana"/>
          <w:sz w:val="20"/>
          <w:szCs w:val="20"/>
        </w:rPr>
        <w:t xml:space="preserve"> </w:t>
      </w:r>
      <w:r w:rsidR="00C35D3E">
        <w:rPr>
          <w:rFonts w:ascii="Verdana" w:hAnsi="Verdana"/>
          <w:sz w:val="20"/>
          <w:szCs w:val="20"/>
          <w:lang w:val="es-MX"/>
        </w:rPr>
        <w:t xml:space="preserve">Esta falta de cumplimiento del deber de </w:t>
      </w:r>
      <w:r w:rsidR="00E60BB8">
        <w:rPr>
          <w:rFonts w:ascii="Verdana" w:hAnsi="Verdana"/>
          <w:sz w:val="20"/>
          <w:szCs w:val="20"/>
          <w:lang w:val="es-MX"/>
        </w:rPr>
        <w:t>reparar</w:t>
      </w:r>
      <w:r w:rsidR="00C35D3E">
        <w:rPr>
          <w:rFonts w:ascii="Verdana" w:hAnsi="Verdana"/>
          <w:sz w:val="20"/>
          <w:szCs w:val="20"/>
          <w:lang w:val="es-MX"/>
        </w:rPr>
        <w:t xml:space="preserve"> resulta particularmente grave teniendo en cuenta que el propio Estado efectuó un reconocimiento pa</w:t>
      </w:r>
      <w:r w:rsidR="00E60BB8">
        <w:rPr>
          <w:rFonts w:ascii="Verdana" w:hAnsi="Verdana"/>
          <w:sz w:val="20"/>
          <w:szCs w:val="20"/>
          <w:lang w:val="es-MX"/>
        </w:rPr>
        <w:t>r</w:t>
      </w:r>
      <w:r w:rsidR="00C35D3E">
        <w:rPr>
          <w:rFonts w:ascii="Verdana" w:hAnsi="Verdana"/>
          <w:sz w:val="20"/>
          <w:szCs w:val="20"/>
          <w:lang w:val="es-MX"/>
        </w:rPr>
        <w:t>cial de responsabilidad internacional en el presente caso</w:t>
      </w:r>
      <w:r w:rsidR="00E60BB8">
        <w:rPr>
          <w:rFonts w:ascii="Verdana" w:hAnsi="Verdana"/>
          <w:sz w:val="20"/>
          <w:szCs w:val="20"/>
          <w:lang w:val="es-MX"/>
        </w:rPr>
        <w:t xml:space="preserve"> y que, al valo</w:t>
      </w:r>
      <w:r w:rsidR="00113810">
        <w:rPr>
          <w:rFonts w:ascii="Verdana" w:hAnsi="Verdana"/>
          <w:sz w:val="20"/>
          <w:szCs w:val="20"/>
          <w:lang w:val="es-MX"/>
        </w:rPr>
        <w:t>rar</w:t>
      </w:r>
      <w:r w:rsidR="00E60BB8">
        <w:rPr>
          <w:rFonts w:ascii="Verdana" w:hAnsi="Verdana"/>
          <w:sz w:val="20"/>
          <w:szCs w:val="20"/>
          <w:lang w:val="es-MX"/>
        </w:rPr>
        <w:t xml:space="preserve">lo, la </w:t>
      </w:r>
      <w:r w:rsidR="00113810">
        <w:rPr>
          <w:rFonts w:ascii="Verdana" w:hAnsi="Verdana"/>
          <w:sz w:val="20"/>
          <w:szCs w:val="20"/>
          <w:lang w:val="es-MX"/>
        </w:rPr>
        <w:t>C</w:t>
      </w:r>
      <w:r w:rsidR="00E60BB8">
        <w:rPr>
          <w:rFonts w:ascii="Verdana" w:hAnsi="Verdana"/>
          <w:sz w:val="20"/>
          <w:szCs w:val="20"/>
          <w:lang w:val="es-MX"/>
        </w:rPr>
        <w:t xml:space="preserve">orte destacó </w:t>
      </w:r>
      <w:r w:rsidR="00E60BB8" w:rsidRPr="00E60BB8">
        <w:rPr>
          <w:rFonts w:ascii="Verdana" w:hAnsi="Verdana"/>
          <w:sz w:val="20"/>
          <w:szCs w:val="20"/>
        </w:rPr>
        <w:t>como positivo “el compromiso manifestado por el Estado relativo a impulsar las medidas de reparación necesarias bajo los criterios que establezca la Corte”</w:t>
      </w:r>
      <w:r w:rsidR="00C35D3E" w:rsidRPr="00E60BB8">
        <w:rPr>
          <w:rStyle w:val="Refdenotaalpie"/>
          <w:rFonts w:ascii="Verdana" w:hAnsi="Verdana"/>
          <w:sz w:val="20"/>
          <w:szCs w:val="20"/>
          <w:lang w:val="es-MX"/>
        </w:rPr>
        <w:footnoteReference w:id="22"/>
      </w:r>
      <w:r w:rsidR="00C35D3E" w:rsidRPr="00E60BB8">
        <w:rPr>
          <w:rFonts w:ascii="Verdana" w:hAnsi="Verdana"/>
          <w:sz w:val="20"/>
          <w:szCs w:val="20"/>
          <w:lang w:val="es-MX"/>
        </w:rPr>
        <w:t>.</w:t>
      </w:r>
      <w:r w:rsidR="00C35D3E">
        <w:rPr>
          <w:rFonts w:ascii="Verdana" w:hAnsi="Verdana"/>
          <w:sz w:val="20"/>
          <w:szCs w:val="20"/>
          <w:lang w:val="es-MX"/>
        </w:rPr>
        <w:t xml:space="preserve"> </w:t>
      </w:r>
    </w:p>
    <w:p w14:paraId="1ABDFC8A" w14:textId="77777777" w:rsidR="00FE3ECA" w:rsidRPr="00D063F3" w:rsidRDefault="00FE3ECA" w:rsidP="00B11F2A">
      <w:pPr>
        <w:pStyle w:val="Prrafodelista"/>
        <w:suppressLineNumbers/>
        <w:spacing w:after="0" w:line="240" w:lineRule="auto"/>
        <w:ind w:left="0" w:right="49"/>
        <w:contextualSpacing w:val="0"/>
        <w:jc w:val="both"/>
        <w:rPr>
          <w:rFonts w:ascii="Verdana" w:hAnsi="Verdana"/>
          <w:sz w:val="18"/>
          <w:szCs w:val="18"/>
        </w:rPr>
      </w:pPr>
    </w:p>
    <w:p w14:paraId="058E0537" w14:textId="77777777" w:rsidR="002275D0" w:rsidRDefault="00D063F3" w:rsidP="00B11F2A">
      <w:pPr>
        <w:pStyle w:val="Prrafodelista"/>
        <w:numPr>
          <w:ilvl w:val="0"/>
          <w:numId w:val="4"/>
        </w:numPr>
        <w:suppressLineNumbers/>
        <w:spacing w:after="0" w:line="240" w:lineRule="auto"/>
        <w:ind w:left="0" w:right="49" w:firstLine="0"/>
        <w:contextualSpacing w:val="0"/>
        <w:jc w:val="both"/>
        <w:rPr>
          <w:rFonts w:ascii="Verdana" w:hAnsi="Verdana"/>
          <w:sz w:val="20"/>
          <w:szCs w:val="20"/>
        </w:rPr>
      </w:pPr>
      <w:r>
        <w:rPr>
          <w:rFonts w:ascii="Verdana" w:hAnsi="Verdana"/>
          <w:sz w:val="20"/>
          <w:szCs w:val="20"/>
          <w:lang w:val="es-MX"/>
        </w:rPr>
        <w:t xml:space="preserve">En cuanto a </w:t>
      </w:r>
      <w:r w:rsidR="006455B0" w:rsidRPr="00B84A1A">
        <w:rPr>
          <w:rFonts w:ascii="Verdana" w:hAnsi="Verdana"/>
          <w:sz w:val="20"/>
          <w:szCs w:val="20"/>
          <w:lang w:val="es-MX"/>
        </w:rPr>
        <w:t>la solic</w:t>
      </w:r>
      <w:r w:rsidR="006455B0">
        <w:rPr>
          <w:rFonts w:ascii="Verdana" w:hAnsi="Verdana"/>
          <w:sz w:val="20"/>
          <w:szCs w:val="20"/>
          <w:lang w:val="es-MX"/>
        </w:rPr>
        <w:t>itud de la</w:t>
      </w:r>
      <w:r w:rsidR="006455B0" w:rsidRPr="00B84A1A">
        <w:rPr>
          <w:rFonts w:ascii="Verdana" w:hAnsi="Verdana"/>
          <w:sz w:val="20"/>
          <w:szCs w:val="20"/>
          <w:lang w:val="es-MX"/>
        </w:rPr>
        <w:t xml:space="preserve">s representantes de </w:t>
      </w:r>
      <w:r>
        <w:rPr>
          <w:rFonts w:ascii="Verdana" w:hAnsi="Verdana"/>
          <w:sz w:val="20"/>
          <w:szCs w:val="20"/>
          <w:lang w:val="es-MX"/>
        </w:rPr>
        <w:t xml:space="preserve">que se realice </w:t>
      </w:r>
      <w:r w:rsidR="006455B0" w:rsidRPr="00B84A1A">
        <w:rPr>
          <w:rFonts w:ascii="Verdana" w:hAnsi="Verdana"/>
          <w:sz w:val="20"/>
          <w:szCs w:val="20"/>
          <w:lang w:val="es-MX"/>
        </w:rPr>
        <w:t xml:space="preserve">una audiencia </w:t>
      </w:r>
      <w:r>
        <w:rPr>
          <w:rFonts w:ascii="Verdana" w:hAnsi="Verdana"/>
          <w:sz w:val="20"/>
          <w:szCs w:val="20"/>
          <w:lang w:val="es-MX"/>
        </w:rPr>
        <w:t xml:space="preserve">de supervisión de cumplimiento </w:t>
      </w:r>
      <w:r w:rsidR="001826B6">
        <w:rPr>
          <w:rFonts w:ascii="Verdana" w:hAnsi="Verdana"/>
          <w:sz w:val="20"/>
          <w:szCs w:val="20"/>
          <w:lang w:val="es-MX"/>
        </w:rPr>
        <w:t>(</w:t>
      </w:r>
      <w:r w:rsidR="001826B6" w:rsidRPr="001826B6">
        <w:rPr>
          <w:rFonts w:ascii="Verdana" w:hAnsi="Verdana"/>
          <w:i/>
          <w:sz w:val="20"/>
          <w:szCs w:val="20"/>
          <w:lang w:val="es-MX"/>
        </w:rPr>
        <w:t>supra</w:t>
      </w:r>
      <w:r w:rsidR="001826B6">
        <w:rPr>
          <w:rFonts w:ascii="Verdana" w:hAnsi="Verdana"/>
          <w:sz w:val="20"/>
          <w:szCs w:val="20"/>
          <w:lang w:val="es-MX"/>
        </w:rPr>
        <w:t xml:space="preserve"> Visto 2)</w:t>
      </w:r>
      <w:r>
        <w:rPr>
          <w:rFonts w:ascii="Verdana" w:hAnsi="Verdana"/>
          <w:sz w:val="20"/>
          <w:szCs w:val="20"/>
          <w:lang w:val="es-MX"/>
        </w:rPr>
        <w:t xml:space="preserve">, </w:t>
      </w:r>
      <w:r w:rsidR="006455B0" w:rsidRPr="00B84A1A">
        <w:rPr>
          <w:rFonts w:ascii="Verdana" w:hAnsi="Verdana"/>
          <w:sz w:val="20"/>
          <w:szCs w:val="20"/>
          <w:lang w:val="es-MX"/>
        </w:rPr>
        <w:t xml:space="preserve">el Tribunal </w:t>
      </w:r>
      <w:r w:rsidR="00AD6099">
        <w:rPr>
          <w:rFonts w:ascii="Verdana" w:hAnsi="Verdana"/>
          <w:sz w:val="20"/>
          <w:szCs w:val="20"/>
          <w:lang w:val="es-MX"/>
        </w:rPr>
        <w:t>evaluará convocar</w:t>
      </w:r>
      <w:r w:rsidR="0009055E">
        <w:rPr>
          <w:rFonts w:ascii="Verdana" w:hAnsi="Verdana"/>
          <w:sz w:val="20"/>
          <w:szCs w:val="20"/>
          <w:lang w:val="es-MX"/>
        </w:rPr>
        <w:t>la</w:t>
      </w:r>
      <w:r w:rsidR="00AD6099">
        <w:rPr>
          <w:rFonts w:ascii="Verdana" w:hAnsi="Verdana"/>
          <w:sz w:val="20"/>
          <w:szCs w:val="20"/>
          <w:lang w:val="es-MX"/>
        </w:rPr>
        <w:t xml:space="preserve"> a futuro</w:t>
      </w:r>
      <w:r w:rsidR="006455B0" w:rsidRPr="00B84A1A">
        <w:rPr>
          <w:rFonts w:ascii="Verdana" w:hAnsi="Verdana"/>
          <w:sz w:val="20"/>
          <w:szCs w:val="20"/>
          <w:lang w:val="es-MX"/>
        </w:rPr>
        <w:t>.</w:t>
      </w:r>
      <w:r w:rsidR="006455B0">
        <w:rPr>
          <w:rFonts w:ascii="Verdana" w:hAnsi="Verdana"/>
          <w:sz w:val="20"/>
          <w:szCs w:val="20"/>
          <w:lang w:val="es-MX"/>
        </w:rPr>
        <w:t xml:space="preserve"> </w:t>
      </w:r>
      <w:r w:rsidR="00AD6099">
        <w:rPr>
          <w:rFonts w:ascii="Verdana" w:hAnsi="Verdana"/>
          <w:sz w:val="20"/>
          <w:szCs w:val="20"/>
          <w:lang w:val="es-MX"/>
        </w:rPr>
        <w:t>Asimismo</w:t>
      </w:r>
      <w:r w:rsidR="00150A72" w:rsidRPr="00150A72">
        <w:rPr>
          <w:rFonts w:ascii="Verdana" w:hAnsi="Verdana"/>
          <w:sz w:val="20"/>
          <w:szCs w:val="20"/>
        </w:rPr>
        <w:t>, la Corte reitera al Estado su obligación de presentar un informe escrito (</w:t>
      </w:r>
      <w:r w:rsidR="00150A72" w:rsidRPr="00D27477">
        <w:rPr>
          <w:rFonts w:ascii="Verdana" w:hAnsi="Verdana"/>
          <w:i/>
          <w:sz w:val="20"/>
          <w:szCs w:val="20"/>
        </w:rPr>
        <w:t>infra</w:t>
      </w:r>
      <w:r w:rsidR="00150A72" w:rsidRPr="00D27477">
        <w:rPr>
          <w:rFonts w:ascii="Verdana" w:hAnsi="Verdana"/>
          <w:sz w:val="20"/>
          <w:szCs w:val="20"/>
        </w:rPr>
        <w:t xml:space="preserve"> punto resolutivo </w:t>
      </w:r>
      <w:r w:rsidR="00905D21" w:rsidRPr="00D27477">
        <w:rPr>
          <w:rFonts w:ascii="Verdana" w:hAnsi="Verdana"/>
          <w:sz w:val="20"/>
          <w:szCs w:val="20"/>
        </w:rPr>
        <w:t>9</w:t>
      </w:r>
      <w:r w:rsidR="00150A72" w:rsidRPr="00D27477">
        <w:rPr>
          <w:rFonts w:ascii="Verdana" w:hAnsi="Verdana"/>
          <w:sz w:val="20"/>
          <w:szCs w:val="20"/>
        </w:rPr>
        <w:t>).</w:t>
      </w:r>
      <w:r w:rsidR="00150A72" w:rsidRPr="00150A72">
        <w:rPr>
          <w:rFonts w:ascii="Verdana" w:hAnsi="Verdana"/>
          <w:sz w:val="20"/>
          <w:szCs w:val="20"/>
        </w:rPr>
        <w:t xml:space="preserve"> </w:t>
      </w:r>
    </w:p>
    <w:p w14:paraId="346AC29B" w14:textId="77777777" w:rsidR="006455B0" w:rsidRDefault="006455B0" w:rsidP="00B11F2A">
      <w:pPr>
        <w:pStyle w:val="Prrafodelista"/>
        <w:suppressLineNumbers/>
        <w:ind w:right="49"/>
        <w:rPr>
          <w:rFonts w:ascii="Verdana" w:hAnsi="Verdana"/>
          <w:b/>
          <w:sz w:val="20"/>
          <w:szCs w:val="20"/>
        </w:rPr>
      </w:pPr>
    </w:p>
    <w:p w14:paraId="7EB893EA" w14:textId="77777777" w:rsidR="007B4071" w:rsidRPr="00D152A3" w:rsidRDefault="007B4071" w:rsidP="00B11F2A">
      <w:pPr>
        <w:pStyle w:val="Prrafodelista"/>
        <w:suppressLineNumbers/>
        <w:ind w:right="49"/>
        <w:rPr>
          <w:rFonts w:ascii="Verdana" w:hAnsi="Verdana"/>
          <w:b/>
          <w:sz w:val="20"/>
          <w:szCs w:val="20"/>
        </w:rPr>
      </w:pPr>
    </w:p>
    <w:p w14:paraId="0A0F6F86" w14:textId="77777777" w:rsidR="00D152A3" w:rsidRPr="00D152A3" w:rsidRDefault="00D152A3" w:rsidP="00B11F2A">
      <w:pPr>
        <w:pStyle w:val="Prrafodelista"/>
        <w:suppressLineNumbers/>
        <w:ind w:right="49"/>
        <w:outlineLvl w:val="0"/>
        <w:rPr>
          <w:rFonts w:ascii="Verdana" w:hAnsi="Verdana"/>
          <w:b/>
          <w:sz w:val="20"/>
          <w:szCs w:val="20"/>
        </w:rPr>
      </w:pPr>
      <w:bookmarkStart w:id="1" w:name="_Toc88815243"/>
      <w:r w:rsidRPr="00D152A3">
        <w:rPr>
          <w:rFonts w:ascii="Verdana" w:hAnsi="Verdana"/>
          <w:b/>
          <w:sz w:val="20"/>
          <w:szCs w:val="20"/>
        </w:rPr>
        <w:t xml:space="preserve">B. </w:t>
      </w:r>
      <w:r w:rsidR="001826B6">
        <w:rPr>
          <w:rFonts w:ascii="Verdana" w:hAnsi="Verdana"/>
          <w:b/>
          <w:sz w:val="20"/>
          <w:szCs w:val="20"/>
        </w:rPr>
        <w:tab/>
      </w:r>
      <w:r w:rsidRPr="00315082">
        <w:rPr>
          <w:rFonts w:ascii="Verdana" w:hAnsi="Verdana"/>
          <w:b/>
          <w:i/>
          <w:sz w:val="20"/>
          <w:szCs w:val="20"/>
        </w:rPr>
        <w:t>Obligación de investigar, identificar, juzgar y eventualmente sancionar</w:t>
      </w:r>
      <w:bookmarkEnd w:id="1"/>
    </w:p>
    <w:p w14:paraId="0D36105F" w14:textId="77777777" w:rsidR="00D152A3" w:rsidRDefault="00D152A3" w:rsidP="00B11F2A">
      <w:pPr>
        <w:pStyle w:val="Prrafodelista"/>
        <w:suppressLineNumbers/>
        <w:ind w:right="49"/>
        <w:rPr>
          <w:rFonts w:ascii="Verdana" w:hAnsi="Verdana"/>
          <w:sz w:val="20"/>
          <w:szCs w:val="20"/>
        </w:rPr>
      </w:pPr>
    </w:p>
    <w:p w14:paraId="6E1EB1D3" w14:textId="77777777" w:rsidR="00D152A3" w:rsidRPr="00D152A3" w:rsidRDefault="00D152A3" w:rsidP="00B11F2A">
      <w:pPr>
        <w:pStyle w:val="Prrafodelista"/>
        <w:suppressLineNumbers/>
        <w:ind w:right="49"/>
        <w:rPr>
          <w:rFonts w:ascii="Verdana" w:hAnsi="Verdana"/>
          <w:i/>
          <w:sz w:val="20"/>
          <w:szCs w:val="20"/>
        </w:rPr>
      </w:pPr>
      <w:r w:rsidRPr="00D152A3">
        <w:rPr>
          <w:rFonts w:ascii="Verdana" w:hAnsi="Verdana"/>
          <w:i/>
          <w:sz w:val="20"/>
          <w:szCs w:val="20"/>
        </w:rPr>
        <w:t>B.1. Medida ordenada por la Corte</w:t>
      </w:r>
    </w:p>
    <w:p w14:paraId="2A98D707" w14:textId="77777777" w:rsidR="00D152A3" w:rsidRDefault="00D152A3" w:rsidP="00B11F2A">
      <w:pPr>
        <w:pStyle w:val="Prrafodelista"/>
        <w:suppressLineNumbers/>
        <w:spacing w:after="0"/>
        <w:ind w:right="49"/>
        <w:rPr>
          <w:rFonts w:ascii="Verdana" w:hAnsi="Verdana"/>
          <w:sz w:val="20"/>
          <w:szCs w:val="20"/>
        </w:rPr>
      </w:pPr>
    </w:p>
    <w:p w14:paraId="447DE642" w14:textId="77777777" w:rsidR="002B2A71" w:rsidRDefault="002B2A71" w:rsidP="00B11F2A">
      <w:pPr>
        <w:numPr>
          <w:ilvl w:val="0"/>
          <w:numId w:val="4"/>
        </w:numPr>
        <w:suppressLineNumbers/>
        <w:spacing w:after="0" w:line="240" w:lineRule="auto"/>
        <w:ind w:left="0" w:right="49" w:firstLine="0"/>
        <w:jc w:val="both"/>
        <w:rPr>
          <w:rFonts w:ascii="Verdana" w:hAnsi="Verdana"/>
          <w:sz w:val="20"/>
          <w:szCs w:val="20"/>
          <w:lang w:val="es-ES"/>
        </w:rPr>
      </w:pPr>
      <w:r w:rsidRPr="00D32208">
        <w:rPr>
          <w:rFonts w:ascii="Verdana" w:hAnsi="Verdana"/>
          <w:sz w:val="20"/>
          <w:szCs w:val="20"/>
        </w:rPr>
        <w:t>En la Sentencia, la Corte constató que</w:t>
      </w:r>
      <w:r w:rsidR="00D32208" w:rsidRPr="00D32208">
        <w:rPr>
          <w:rFonts w:ascii="Verdana" w:hAnsi="Verdana"/>
          <w:sz w:val="20"/>
          <w:szCs w:val="20"/>
          <w:lang w:val="es-ES"/>
        </w:rPr>
        <w:t xml:space="preserve">, a pesar de que los hechos y tipos penales conexos aplicables en el presente caso no guardan relación con la disciplina o la misión castrense, el 5 de marzo de 1998 se inició una investigación en el fuero militar sobre la muerte del señor Ortiz Hernández. La jurisdicción militar conservó su competencia hasta el </w:t>
      </w:r>
      <w:r w:rsidR="004865BA">
        <w:rPr>
          <w:rFonts w:ascii="Verdana" w:hAnsi="Verdana"/>
          <w:sz w:val="20"/>
          <w:szCs w:val="20"/>
          <w:lang w:val="es-ES"/>
        </w:rPr>
        <w:t>11</w:t>
      </w:r>
      <w:r w:rsidR="00D32208" w:rsidRPr="00D32208">
        <w:rPr>
          <w:rFonts w:ascii="Verdana" w:hAnsi="Verdana"/>
          <w:sz w:val="20"/>
          <w:szCs w:val="20"/>
          <w:lang w:val="es-ES"/>
        </w:rPr>
        <w:t xml:space="preserve"> de junio de 2002</w:t>
      </w:r>
      <w:r w:rsidR="007B4071">
        <w:rPr>
          <w:rFonts w:ascii="Verdana" w:hAnsi="Verdana"/>
          <w:sz w:val="20"/>
          <w:szCs w:val="20"/>
          <w:lang w:val="es-ES"/>
        </w:rPr>
        <w:t>,</w:t>
      </w:r>
      <w:r w:rsidR="00D32208" w:rsidRPr="00D32208">
        <w:rPr>
          <w:rFonts w:ascii="Verdana" w:hAnsi="Verdana"/>
          <w:sz w:val="20"/>
          <w:szCs w:val="20"/>
          <w:lang w:val="es-ES"/>
        </w:rPr>
        <w:t xml:space="preserve"> cuando la Sala Constitucional del Tribunal Supremo de Justicia ordenó remitir el caso a la justicia ordinaria. Asimismo, el Tribunal resaltó que el Estado omitió realizar debidamente diligencias indispensables para la determinación de las circunstancias en que se produjo el hecho que concluyera luego con la muerte del señor Ortiz Hernández, tales como la preservación de la escena del crimen y de la cadena de custodia de la evidencia recolectada en dicho lugar, así como las acciones debidas para dar con el paradero del único imputado contumaz. Además, la Corte destacó que los órganos fiscales orientaron las investigaciones solamente bajo la tesis del accidente, sin evacuar los elementos probatorios que se contradecían con ella </w:t>
      </w:r>
      <w:r w:rsidR="007B4071">
        <w:rPr>
          <w:rFonts w:ascii="Verdana" w:hAnsi="Verdana"/>
          <w:sz w:val="20"/>
          <w:szCs w:val="20"/>
          <w:lang w:val="es-ES"/>
        </w:rPr>
        <w:t xml:space="preserve">y </w:t>
      </w:r>
      <w:r w:rsidR="00D32208" w:rsidRPr="00D32208">
        <w:rPr>
          <w:rFonts w:ascii="Verdana" w:hAnsi="Verdana"/>
          <w:sz w:val="20"/>
          <w:szCs w:val="20"/>
          <w:lang w:val="es-ES"/>
        </w:rPr>
        <w:t xml:space="preserve">que permitirían </w:t>
      </w:r>
      <w:r w:rsidR="00D32208" w:rsidRPr="00D32208">
        <w:rPr>
          <w:rFonts w:ascii="Verdana" w:hAnsi="Verdana"/>
          <w:sz w:val="20"/>
          <w:szCs w:val="20"/>
          <w:lang w:val="es-ES"/>
        </w:rPr>
        <w:lastRenderedPageBreak/>
        <w:t>sustentar una versión de los hechos diferente, que</w:t>
      </w:r>
      <w:r w:rsidR="00421C80">
        <w:rPr>
          <w:rFonts w:ascii="Verdana" w:hAnsi="Verdana"/>
          <w:sz w:val="20"/>
          <w:szCs w:val="20"/>
          <w:lang w:val="es-ES"/>
        </w:rPr>
        <w:t xml:space="preserve"> considerara que se trató de una muerte violenta</w:t>
      </w:r>
      <w:r w:rsidR="00D32208" w:rsidRPr="00D32208">
        <w:rPr>
          <w:rFonts w:ascii="Verdana" w:hAnsi="Verdana"/>
          <w:sz w:val="20"/>
          <w:szCs w:val="20"/>
          <w:lang w:val="es-ES"/>
        </w:rPr>
        <w:t xml:space="preserve"> bajo custodia de agentes estatales. Con base en lo anterior, la Corte concluyó que el Estado no procuró genuinamente el esclarecimiento de la verdad de todo lo ocurrido</w:t>
      </w:r>
      <w:r w:rsidR="0014164B">
        <w:rPr>
          <w:rStyle w:val="Refdenotaalpie"/>
          <w:rFonts w:ascii="Verdana" w:hAnsi="Verdana"/>
          <w:sz w:val="20"/>
          <w:szCs w:val="20"/>
          <w:lang w:val="es-ES"/>
        </w:rPr>
        <w:footnoteReference w:id="23"/>
      </w:r>
      <w:r w:rsidR="00D32208" w:rsidRPr="00D32208">
        <w:rPr>
          <w:rFonts w:ascii="Verdana" w:hAnsi="Verdana"/>
          <w:sz w:val="20"/>
          <w:szCs w:val="20"/>
          <w:lang w:val="es-ES"/>
        </w:rPr>
        <w:t xml:space="preserve">. </w:t>
      </w:r>
    </w:p>
    <w:p w14:paraId="2CF74D17" w14:textId="77777777" w:rsidR="001826B6" w:rsidRPr="00D32208" w:rsidRDefault="001826B6" w:rsidP="00B11F2A">
      <w:pPr>
        <w:suppressLineNumbers/>
        <w:spacing w:after="0" w:line="240" w:lineRule="auto"/>
        <w:ind w:right="49"/>
        <w:jc w:val="both"/>
        <w:rPr>
          <w:rFonts w:ascii="Verdana" w:hAnsi="Verdana"/>
          <w:sz w:val="20"/>
          <w:szCs w:val="20"/>
          <w:lang w:val="es-ES"/>
        </w:rPr>
      </w:pPr>
    </w:p>
    <w:p w14:paraId="26554067" w14:textId="77777777" w:rsidR="00CA6686" w:rsidRDefault="00D152A3" w:rsidP="00B11F2A">
      <w:pPr>
        <w:pStyle w:val="Prrafodelista"/>
        <w:numPr>
          <w:ilvl w:val="0"/>
          <w:numId w:val="4"/>
        </w:numPr>
        <w:suppressLineNumbers/>
        <w:spacing w:after="0" w:line="240" w:lineRule="auto"/>
        <w:ind w:left="0" w:right="49" w:firstLine="0"/>
        <w:contextualSpacing w:val="0"/>
        <w:jc w:val="both"/>
        <w:rPr>
          <w:rFonts w:ascii="Verdana" w:hAnsi="Verdana"/>
          <w:sz w:val="20"/>
          <w:szCs w:val="20"/>
        </w:rPr>
      </w:pPr>
      <w:r w:rsidRPr="00FB5DAF">
        <w:rPr>
          <w:rFonts w:ascii="Verdana" w:hAnsi="Verdana"/>
          <w:sz w:val="20"/>
          <w:szCs w:val="20"/>
        </w:rPr>
        <w:t>En</w:t>
      </w:r>
      <w:r w:rsidR="006706D8">
        <w:rPr>
          <w:rFonts w:ascii="Verdana" w:hAnsi="Verdana"/>
          <w:sz w:val="20"/>
          <w:szCs w:val="20"/>
        </w:rPr>
        <w:t xml:space="preserve"> consecuencia, en</w:t>
      </w:r>
      <w:r w:rsidRPr="00FB5DAF">
        <w:rPr>
          <w:rFonts w:ascii="Verdana" w:hAnsi="Verdana"/>
          <w:sz w:val="20"/>
          <w:szCs w:val="20"/>
        </w:rPr>
        <w:t xml:space="preserve"> el punto resolutivo </w:t>
      </w:r>
      <w:r w:rsidR="001826B6">
        <w:rPr>
          <w:rFonts w:ascii="Verdana" w:hAnsi="Verdana"/>
          <w:sz w:val="20"/>
          <w:szCs w:val="20"/>
        </w:rPr>
        <w:t>séptimo</w:t>
      </w:r>
      <w:r w:rsidRPr="00FB5DAF">
        <w:rPr>
          <w:rFonts w:ascii="Verdana" w:hAnsi="Verdana"/>
          <w:sz w:val="20"/>
          <w:szCs w:val="20"/>
        </w:rPr>
        <w:t xml:space="preserve"> y en los párrafos 192 y 193 de la Sentencia, la Corte dispuso que el Estad</w:t>
      </w:r>
      <w:r w:rsidR="00421C80">
        <w:rPr>
          <w:rFonts w:ascii="Verdana" w:hAnsi="Verdana"/>
          <w:sz w:val="20"/>
          <w:szCs w:val="20"/>
        </w:rPr>
        <w:t xml:space="preserve">o debe “continuar </w:t>
      </w:r>
      <w:r w:rsidR="00AD6099">
        <w:rPr>
          <w:rFonts w:ascii="Verdana" w:hAnsi="Verdana"/>
          <w:sz w:val="20"/>
          <w:szCs w:val="20"/>
        </w:rPr>
        <w:t>eficazmente y con la mayor diligencia las</w:t>
      </w:r>
      <w:r w:rsidRPr="00FB5DAF">
        <w:rPr>
          <w:rFonts w:ascii="Verdana" w:hAnsi="Verdana"/>
          <w:sz w:val="20"/>
          <w:szCs w:val="20"/>
        </w:rPr>
        <w:t xml:space="preserve"> invest</w:t>
      </w:r>
      <w:r w:rsidR="00AD6099">
        <w:rPr>
          <w:rFonts w:ascii="Verdana" w:hAnsi="Verdana"/>
          <w:sz w:val="20"/>
          <w:szCs w:val="20"/>
        </w:rPr>
        <w:t xml:space="preserve">igaciones y el proceso penal en curso, así como abrir las investigaciones </w:t>
      </w:r>
      <w:r w:rsidR="00421C80">
        <w:rPr>
          <w:rFonts w:ascii="Verdana" w:hAnsi="Verdana"/>
          <w:sz w:val="20"/>
          <w:szCs w:val="20"/>
        </w:rPr>
        <w:t xml:space="preserve">que sean </w:t>
      </w:r>
      <w:r w:rsidR="00AD6099">
        <w:rPr>
          <w:rFonts w:ascii="Verdana" w:hAnsi="Verdana"/>
          <w:sz w:val="20"/>
          <w:szCs w:val="20"/>
        </w:rPr>
        <w:t xml:space="preserve">necesarias con el fin de identificar, </w:t>
      </w:r>
      <w:r w:rsidRPr="00FB5DAF">
        <w:rPr>
          <w:rFonts w:ascii="Verdana" w:hAnsi="Verdana"/>
          <w:sz w:val="20"/>
          <w:szCs w:val="20"/>
        </w:rPr>
        <w:t>juzgar</w:t>
      </w:r>
      <w:r w:rsidR="00AD6099">
        <w:rPr>
          <w:rFonts w:ascii="Verdana" w:hAnsi="Verdana"/>
          <w:sz w:val="20"/>
          <w:szCs w:val="20"/>
        </w:rPr>
        <w:t xml:space="preserve"> y, en su caso, sancionar a</w:t>
      </w:r>
      <w:r w:rsidRPr="00FB5DAF">
        <w:rPr>
          <w:rFonts w:ascii="Verdana" w:hAnsi="Verdana"/>
          <w:sz w:val="20"/>
          <w:szCs w:val="20"/>
        </w:rPr>
        <w:t xml:space="preserve"> todos</w:t>
      </w:r>
      <w:r w:rsidR="00AD6099">
        <w:rPr>
          <w:rFonts w:ascii="Verdana" w:hAnsi="Verdana"/>
          <w:sz w:val="20"/>
          <w:szCs w:val="20"/>
        </w:rPr>
        <w:t xml:space="preserve"> los responsables de la muerte </w:t>
      </w:r>
      <w:r w:rsidR="00421C80">
        <w:rPr>
          <w:rFonts w:ascii="Verdana" w:hAnsi="Verdana"/>
          <w:sz w:val="20"/>
          <w:szCs w:val="20"/>
        </w:rPr>
        <w:t xml:space="preserve">de </w:t>
      </w:r>
      <w:r w:rsidR="00AD6099">
        <w:rPr>
          <w:rFonts w:ascii="Verdana" w:hAnsi="Verdana"/>
          <w:sz w:val="20"/>
          <w:szCs w:val="20"/>
        </w:rPr>
        <w:t xml:space="preserve">Johan Alexis Ortiz Hernández en un </w:t>
      </w:r>
      <w:r w:rsidRPr="00FB5DAF">
        <w:rPr>
          <w:rFonts w:ascii="Verdana" w:hAnsi="Verdana"/>
          <w:sz w:val="20"/>
          <w:szCs w:val="20"/>
        </w:rPr>
        <w:t>plazo razonable</w:t>
      </w:r>
      <w:r w:rsidR="00AD6099">
        <w:rPr>
          <w:rFonts w:ascii="Verdana" w:hAnsi="Verdana"/>
          <w:sz w:val="20"/>
          <w:szCs w:val="20"/>
        </w:rPr>
        <w:t>, a los efectos de establece</w:t>
      </w:r>
      <w:r w:rsidR="00657450">
        <w:rPr>
          <w:rFonts w:ascii="Verdana" w:hAnsi="Verdana"/>
          <w:sz w:val="20"/>
          <w:szCs w:val="20"/>
        </w:rPr>
        <w:t>r</w:t>
      </w:r>
      <w:r w:rsidR="00AD6099">
        <w:rPr>
          <w:rFonts w:ascii="Verdana" w:hAnsi="Verdana"/>
          <w:sz w:val="20"/>
          <w:szCs w:val="20"/>
        </w:rPr>
        <w:t xml:space="preserve"> toda la verdad de los hechos</w:t>
      </w:r>
      <w:r w:rsidR="00CA6686" w:rsidRPr="00FB5DAF">
        <w:rPr>
          <w:rFonts w:ascii="Verdana" w:hAnsi="Verdana"/>
          <w:sz w:val="20"/>
          <w:szCs w:val="20"/>
        </w:rPr>
        <w:t xml:space="preserve"> y rem</w:t>
      </w:r>
      <w:r w:rsidR="00AD6099">
        <w:rPr>
          <w:rFonts w:ascii="Verdana" w:hAnsi="Verdana"/>
          <w:sz w:val="20"/>
          <w:szCs w:val="20"/>
        </w:rPr>
        <w:t xml:space="preserve">oviendo todos los obstáculos que </w:t>
      </w:r>
      <w:r w:rsidR="00CA6686" w:rsidRPr="00FB5DAF">
        <w:rPr>
          <w:rFonts w:ascii="Verdana" w:hAnsi="Verdana"/>
          <w:sz w:val="20"/>
          <w:szCs w:val="20"/>
        </w:rPr>
        <w:t xml:space="preserve">mantienen la impunidad en este caso”. Asimismo, el Tribunal </w:t>
      </w:r>
      <w:r w:rsidR="00FB5DAF" w:rsidRPr="00FB5DAF">
        <w:rPr>
          <w:rFonts w:ascii="Verdana" w:hAnsi="Verdana"/>
          <w:sz w:val="20"/>
          <w:szCs w:val="20"/>
        </w:rPr>
        <w:t>determinó que el Estado debía “</w:t>
      </w:r>
      <w:proofErr w:type="spellStart"/>
      <w:r w:rsidR="00FB5DAF" w:rsidRPr="00FB5DAF">
        <w:rPr>
          <w:rFonts w:ascii="Verdana" w:hAnsi="Verdana"/>
          <w:sz w:val="20"/>
          <w:szCs w:val="20"/>
        </w:rPr>
        <w:t>adopt</w:t>
      </w:r>
      <w:proofErr w:type="spellEnd"/>
      <w:r w:rsidR="00FB5DAF" w:rsidRPr="00FB5DAF">
        <w:rPr>
          <w:rFonts w:ascii="Verdana" w:hAnsi="Verdana"/>
          <w:sz w:val="20"/>
          <w:szCs w:val="20"/>
        </w:rPr>
        <w:t xml:space="preserve">[ar] </w:t>
      </w:r>
      <w:r w:rsidR="00AD6099">
        <w:rPr>
          <w:rFonts w:ascii="Verdana" w:hAnsi="Verdana"/>
          <w:sz w:val="20"/>
          <w:szCs w:val="20"/>
        </w:rPr>
        <w:t>todas las medidas</w:t>
      </w:r>
      <w:r w:rsidR="00CA6686" w:rsidRPr="00FB5DAF">
        <w:rPr>
          <w:rFonts w:ascii="Verdana" w:hAnsi="Verdana"/>
          <w:sz w:val="20"/>
          <w:szCs w:val="20"/>
        </w:rPr>
        <w:t xml:space="preserve"> necesarias </w:t>
      </w:r>
      <w:r w:rsidR="00FB5DAF">
        <w:rPr>
          <w:rFonts w:ascii="Verdana" w:hAnsi="Verdana"/>
          <w:sz w:val="20"/>
          <w:szCs w:val="20"/>
        </w:rPr>
        <w:t xml:space="preserve">[…] </w:t>
      </w:r>
      <w:r w:rsidR="00AD6099">
        <w:rPr>
          <w:rFonts w:ascii="Verdana" w:hAnsi="Verdana"/>
          <w:sz w:val="20"/>
          <w:szCs w:val="20"/>
        </w:rPr>
        <w:t>para</w:t>
      </w:r>
      <w:r w:rsidR="00CA6686" w:rsidRPr="00FB5DAF">
        <w:rPr>
          <w:rFonts w:ascii="Verdana" w:hAnsi="Verdana"/>
          <w:sz w:val="20"/>
          <w:szCs w:val="20"/>
        </w:rPr>
        <w:t xml:space="preserve"> log</w:t>
      </w:r>
      <w:r w:rsidR="00AD6099">
        <w:rPr>
          <w:rFonts w:ascii="Verdana" w:hAnsi="Verdana"/>
          <w:sz w:val="20"/>
          <w:szCs w:val="20"/>
        </w:rPr>
        <w:t xml:space="preserve">rar ubicar al imputado en el </w:t>
      </w:r>
      <w:r w:rsidR="00421C80">
        <w:rPr>
          <w:rFonts w:ascii="Verdana" w:hAnsi="Verdana"/>
          <w:sz w:val="20"/>
          <w:szCs w:val="20"/>
        </w:rPr>
        <w:t>proceso penal</w:t>
      </w:r>
      <w:r w:rsidR="00CA6686" w:rsidRPr="00FB5DAF">
        <w:rPr>
          <w:rFonts w:ascii="Verdana" w:hAnsi="Verdana"/>
          <w:sz w:val="20"/>
          <w:szCs w:val="20"/>
        </w:rPr>
        <w:t xml:space="preserve"> abiert</w:t>
      </w:r>
      <w:r w:rsidR="00AD6099">
        <w:rPr>
          <w:rFonts w:ascii="Verdana" w:hAnsi="Verdana"/>
          <w:sz w:val="20"/>
          <w:szCs w:val="20"/>
        </w:rPr>
        <w:t>o, con el objeto de que se</w:t>
      </w:r>
      <w:r w:rsidR="00CA6686" w:rsidRPr="00FB5DAF">
        <w:rPr>
          <w:rFonts w:ascii="Verdana" w:hAnsi="Verdana"/>
          <w:sz w:val="20"/>
          <w:szCs w:val="20"/>
        </w:rPr>
        <w:t xml:space="preserve"> logre </w:t>
      </w:r>
      <w:r w:rsidR="00AD6099">
        <w:rPr>
          <w:rFonts w:ascii="Verdana" w:hAnsi="Verdana"/>
          <w:sz w:val="20"/>
          <w:szCs w:val="20"/>
        </w:rPr>
        <w:t xml:space="preserve">su aprehensión y puesta a disposición de la </w:t>
      </w:r>
      <w:r w:rsidR="00CA6686" w:rsidRPr="00FB5DAF">
        <w:rPr>
          <w:rFonts w:ascii="Verdana" w:hAnsi="Verdana"/>
          <w:sz w:val="20"/>
          <w:szCs w:val="20"/>
        </w:rPr>
        <w:t>justicia</w:t>
      </w:r>
      <w:r w:rsidR="00FB5DAF">
        <w:rPr>
          <w:rFonts w:ascii="Verdana" w:hAnsi="Verdana"/>
          <w:sz w:val="20"/>
          <w:szCs w:val="20"/>
        </w:rPr>
        <w:t>”</w:t>
      </w:r>
      <w:r w:rsidR="00CA6686" w:rsidRPr="00FB5DAF">
        <w:rPr>
          <w:rFonts w:ascii="Verdana" w:hAnsi="Verdana"/>
          <w:sz w:val="20"/>
          <w:szCs w:val="20"/>
        </w:rPr>
        <w:t xml:space="preserve">. </w:t>
      </w:r>
      <w:r w:rsidR="00FB5DAF">
        <w:rPr>
          <w:rFonts w:ascii="Verdana" w:hAnsi="Verdana"/>
          <w:sz w:val="20"/>
          <w:szCs w:val="20"/>
        </w:rPr>
        <w:t>Además, indicó que “</w:t>
      </w:r>
      <w:r w:rsidR="00AD6099">
        <w:rPr>
          <w:rFonts w:ascii="Verdana" w:hAnsi="Verdana"/>
          <w:sz w:val="20"/>
          <w:szCs w:val="20"/>
        </w:rPr>
        <w:t xml:space="preserve">el Estado debe asegurar el pleno acceso y capacidad de actuar de las víctimas o sus familiares en todas las </w:t>
      </w:r>
      <w:r w:rsidR="00CA6686" w:rsidRPr="00FB5DAF">
        <w:rPr>
          <w:rFonts w:ascii="Verdana" w:hAnsi="Verdana"/>
          <w:sz w:val="20"/>
          <w:szCs w:val="20"/>
        </w:rPr>
        <w:t>e</w:t>
      </w:r>
      <w:r w:rsidR="00AD6099">
        <w:rPr>
          <w:rFonts w:ascii="Verdana" w:hAnsi="Verdana"/>
          <w:sz w:val="20"/>
          <w:szCs w:val="20"/>
        </w:rPr>
        <w:t>tapas de la investigación y</w:t>
      </w:r>
      <w:r w:rsidR="00CA6686" w:rsidRPr="00FB5DAF">
        <w:rPr>
          <w:rFonts w:ascii="Verdana" w:hAnsi="Verdana"/>
          <w:sz w:val="20"/>
          <w:szCs w:val="20"/>
        </w:rPr>
        <w:t xml:space="preserve"> el juzga</w:t>
      </w:r>
      <w:r w:rsidR="00AD6099">
        <w:rPr>
          <w:rFonts w:ascii="Verdana" w:hAnsi="Verdana"/>
          <w:sz w:val="20"/>
          <w:szCs w:val="20"/>
        </w:rPr>
        <w:t xml:space="preserve">miento de los responsables, </w:t>
      </w:r>
      <w:r w:rsidR="00CA6686" w:rsidRPr="00FB5DAF">
        <w:rPr>
          <w:rFonts w:ascii="Verdana" w:hAnsi="Verdana"/>
          <w:sz w:val="20"/>
          <w:szCs w:val="20"/>
        </w:rPr>
        <w:t>l</w:t>
      </w:r>
      <w:r w:rsidR="00AD6099">
        <w:rPr>
          <w:rFonts w:ascii="Verdana" w:hAnsi="Verdana"/>
          <w:sz w:val="20"/>
          <w:szCs w:val="20"/>
        </w:rPr>
        <w:t>o cual incluye el acceso a</w:t>
      </w:r>
      <w:r w:rsidR="00CA6686" w:rsidRPr="00FB5DAF">
        <w:rPr>
          <w:rFonts w:ascii="Verdana" w:hAnsi="Verdana"/>
          <w:sz w:val="20"/>
          <w:szCs w:val="20"/>
        </w:rPr>
        <w:t xml:space="preserve"> l</w:t>
      </w:r>
      <w:r w:rsidR="00AD6099">
        <w:rPr>
          <w:rFonts w:ascii="Verdana" w:hAnsi="Verdana"/>
          <w:sz w:val="20"/>
          <w:szCs w:val="20"/>
        </w:rPr>
        <w:t>a información del</w:t>
      </w:r>
      <w:r w:rsidR="00CA6686" w:rsidRPr="00FB5DAF">
        <w:rPr>
          <w:rFonts w:ascii="Verdana" w:hAnsi="Verdana"/>
          <w:sz w:val="20"/>
          <w:szCs w:val="20"/>
        </w:rPr>
        <w:t xml:space="preserve"> expediente </w:t>
      </w:r>
      <w:r w:rsidR="00AD6099">
        <w:rPr>
          <w:rFonts w:ascii="Verdana" w:hAnsi="Verdana"/>
          <w:sz w:val="20"/>
          <w:szCs w:val="20"/>
        </w:rPr>
        <w:t xml:space="preserve">del caso. Dicha participación </w:t>
      </w:r>
      <w:r w:rsidR="00657450">
        <w:rPr>
          <w:rFonts w:ascii="Verdana" w:hAnsi="Verdana"/>
          <w:sz w:val="20"/>
          <w:szCs w:val="20"/>
        </w:rPr>
        <w:t xml:space="preserve">[debe] </w:t>
      </w:r>
      <w:r w:rsidR="00AD6099">
        <w:rPr>
          <w:rFonts w:ascii="Verdana" w:hAnsi="Verdana"/>
          <w:sz w:val="20"/>
          <w:szCs w:val="20"/>
        </w:rPr>
        <w:t xml:space="preserve">tener como finalidad el acceso a la justicia y </w:t>
      </w:r>
      <w:proofErr w:type="gramStart"/>
      <w:r w:rsidR="00AD6099">
        <w:rPr>
          <w:rFonts w:ascii="Verdana" w:hAnsi="Verdana"/>
          <w:sz w:val="20"/>
          <w:szCs w:val="20"/>
        </w:rPr>
        <w:t>el  conocimiento</w:t>
      </w:r>
      <w:proofErr w:type="gramEnd"/>
      <w:r w:rsidR="00AD6099">
        <w:rPr>
          <w:rFonts w:ascii="Verdana" w:hAnsi="Verdana"/>
          <w:sz w:val="20"/>
          <w:szCs w:val="20"/>
        </w:rPr>
        <w:t xml:space="preserve"> de la verdad de lo</w:t>
      </w:r>
      <w:r w:rsidR="00CA6686" w:rsidRPr="00FB5DAF">
        <w:rPr>
          <w:rFonts w:ascii="Verdana" w:hAnsi="Verdana"/>
          <w:sz w:val="20"/>
          <w:szCs w:val="20"/>
        </w:rPr>
        <w:t xml:space="preserve"> ocurrido</w:t>
      </w:r>
      <w:r w:rsidR="00FB5DAF">
        <w:rPr>
          <w:rFonts w:ascii="Verdana" w:hAnsi="Verdana"/>
          <w:sz w:val="20"/>
          <w:szCs w:val="20"/>
        </w:rPr>
        <w:t>”</w:t>
      </w:r>
      <w:r w:rsidR="00CA6686" w:rsidRPr="00FB5DAF">
        <w:rPr>
          <w:rFonts w:ascii="Verdana" w:hAnsi="Verdana"/>
          <w:sz w:val="20"/>
          <w:szCs w:val="20"/>
        </w:rPr>
        <w:t>.</w:t>
      </w:r>
      <w:r w:rsidR="00657450">
        <w:rPr>
          <w:rFonts w:ascii="Verdana" w:hAnsi="Verdana"/>
          <w:sz w:val="20"/>
          <w:szCs w:val="20"/>
        </w:rPr>
        <w:t xml:space="preserve"> </w:t>
      </w:r>
    </w:p>
    <w:p w14:paraId="2F94691D" w14:textId="77777777" w:rsidR="00D32208" w:rsidRDefault="00D32208" w:rsidP="00B11F2A">
      <w:pPr>
        <w:pStyle w:val="Prrafodelista"/>
        <w:suppressLineNumbers/>
        <w:spacing w:after="0" w:line="240" w:lineRule="auto"/>
        <w:ind w:left="0" w:right="49"/>
        <w:contextualSpacing w:val="0"/>
        <w:jc w:val="both"/>
        <w:rPr>
          <w:rFonts w:ascii="Verdana" w:hAnsi="Verdana"/>
          <w:sz w:val="20"/>
          <w:szCs w:val="20"/>
        </w:rPr>
      </w:pPr>
    </w:p>
    <w:p w14:paraId="6B915220" w14:textId="77777777" w:rsidR="007B4071" w:rsidRDefault="007B4071" w:rsidP="00B11F2A">
      <w:pPr>
        <w:pStyle w:val="Prrafodelista"/>
        <w:suppressLineNumbers/>
        <w:spacing w:after="0" w:line="240" w:lineRule="auto"/>
        <w:ind w:left="0" w:right="49"/>
        <w:contextualSpacing w:val="0"/>
        <w:jc w:val="both"/>
        <w:rPr>
          <w:rFonts w:ascii="Verdana" w:hAnsi="Verdana"/>
          <w:sz w:val="20"/>
          <w:szCs w:val="20"/>
        </w:rPr>
      </w:pPr>
    </w:p>
    <w:p w14:paraId="4108989A" w14:textId="77777777" w:rsidR="00D32208" w:rsidRPr="00D32208" w:rsidRDefault="00D32208" w:rsidP="00B11F2A">
      <w:pPr>
        <w:pStyle w:val="Prrafodelista"/>
        <w:suppressLineNumbers/>
        <w:spacing w:after="0" w:line="240" w:lineRule="auto"/>
        <w:ind w:left="0" w:right="49" w:firstLine="720"/>
        <w:contextualSpacing w:val="0"/>
        <w:jc w:val="both"/>
        <w:rPr>
          <w:rFonts w:ascii="Verdana" w:hAnsi="Verdana"/>
          <w:i/>
          <w:sz w:val="20"/>
          <w:szCs w:val="20"/>
        </w:rPr>
      </w:pPr>
      <w:r w:rsidRPr="00D32208">
        <w:rPr>
          <w:rFonts w:ascii="Verdana" w:hAnsi="Verdana"/>
          <w:i/>
          <w:sz w:val="20"/>
          <w:szCs w:val="20"/>
        </w:rPr>
        <w:t>B.2. Consideraciones de la Corte</w:t>
      </w:r>
    </w:p>
    <w:p w14:paraId="01D312E8" w14:textId="77777777" w:rsidR="00007A89" w:rsidRPr="00007A89" w:rsidRDefault="00007A89" w:rsidP="00B11F2A">
      <w:pPr>
        <w:pStyle w:val="Prrafodelista"/>
        <w:suppressLineNumbers/>
        <w:spacing w:after="0" w:line="240" w:lineRule="auto"/>
        <w:ind w:left="0" w:right="49"/>
        <w:contextualSpacing w:val="0"/>
        <w:jc w:val="both"/>
        <w:rPr>
          <w:rFonts w:ascii="Verdana" w:hAnsi="Verdana"/>
          <w:sz w:val="24"/>
          <w:szCs w:val="20"/>
        </w:rPr>
      </w:pPr>
    </w:p>
    <w:p w14:paraId="19890249" w14:textId="77777777" w:rsidR="00007A89" w:rsidRPr="008D2871" w:rsidRDefault="00D27477" w:rsidP="00B11F2A">
      <w:pPr>
        <w:numPr>
          <w:ilvl w:val="0"/>
          <w:numId w:val="4"/>
        </w:numPr>
        <w:suppressLineNumbers/>
        <w:autoSpaceDE w:val="0"/>
        <w:autoSpaceDN w:val="0"/>
        <w:adjustRightInd w:val="0"/>
        <w:spacing w:after="0" w:line="240" w:lineRule="auto"/>
        <w:ind w:left="0" w:right="49" w:firstLine="0"/>
        <w:jc w:val="both"/>
        <w:rPr>
          <w:rFonts w:ascii="Verdana" w:hAnsi="Verdana"/>
          <w:sz w:val="20"/>
          <w:szCs w:val="16"/>
        </w:rPr>
      </w:pPr>
      <w:r w:rsidRPr="008D2871">
        <w:rPr>
          <w:rFonts w:ascii="Verdana" w:hAnsi="Verdana"/>
          <w:sz w:val="20"/>
          <w:szCs w:val="16"/>
        </w:rPr>
        <w:t xml:space="preserve">Las </w:t>
      </w:r>
      <w:r w:rsidRPr="00296FA2">
        <w:rPr>
          <w:rFonts w:ascii="Verdana" w:hAnsi="Verdana"/>
          <w:i/>
          <w:sz w:val="20"/>
          <w:szCs w:val="16"/>
        </w:rPr>
        <w:t xml:space="preserve">representantes </w:t>
      </w:r>
      <w:r w:rsidRPr="008D2871">
        <w:rPr>
          <w:rFonts w:ascii="Verdana" w:hAnsi="Verdana"/>
          <w:sz w:val="20"/>
          <w:szCs w:val="16"/>
        </w:rPr>
        <w:t xml:space="preserve">señalaron que, a casi veinticuatro años de ocurridos los hechos, </w:t>
      </w:r>
      <w:r w:rsidR="008D2871" w:rsidRPr="008D2871">
        <w:rPr>
          <w:rFonts w:ascii="Verdana" w:hAnsi="Verdana"/>
          <w:sz w:val="20"/>
          <w:szCs w:val="16"/>
        </w:rPr>
        <w:t xml:space="preserve">“aún no conocen quienes son los verdaderos responsables de[l] fallecimiento [de </w:t>
      </w:r>
      <w:r w:rsidR="008D2871">
        <w:rPr>
          <w:rFonts w:ascii="Verdana" w:hAnsi="Verdana"/>
          <w:sz w:val="20"/>
          <w:szCs w:val="16"/>
        </w:rPr>
        <w:t>Johan Ale</w:t>
      </w:r>
      <w:r w:rsidR="008D2871" w:rsidRPr="008D2871">
        <w:rPr>
          <w:rFonts w:ascii="Verdana" w:hAnsi="Verdana"/>
          <w:sz w:val="20"/>
          <w:szCs w:val="16"/>
        </w:rPr>
        <w:t>xis Ort</w:t>
      </w:r>
      <w:r w:rsidR="00BA70C9">
        <w:rPr>
          <w:rFonts w:ascii="Verdana" w:hAnsi="Verdana"/>
          <w:sz w:val="20"/>
          <w:szCs w:val="16"/>
        </w:rPr>
        <w:t>i</w:t>
      </w:r>
      <w:r w:rsidR="008D2871" w:rsidRPr="008D2871">
        <w:rPr>
          <w:rFonts w:ascii="Verdana" w:hAnsi="Verdana"/>
          <w:sz w:val="20"/>
          <w:szCs w:val="16"/>
        </w:rPr>
        <w:t>z Hernández], lo que es una vulneración flagrante del derecho a la verdad, por la falta de ejecución de una investigación seria, efectiva y oportuna</w:t>
      </w:r>
      <w:r w:rsidR="008D2871">
        <w:rPr>
          <w:rFonts w:ascii="Verdana" w:hAnsi="Verdana"/>
          <w:sz w:val="20"/>
          <w:szCs w:val="16"/>
        </w:rPr>
        <w:t>”. Además, expresaron que tampoco ha sido capturada la única persona imputada en el proceso penal (</w:t>
      </w:r>
      <w:r w:rsidR="008D2871" w:rsidRPr="008D2871">
        <w:rPr>
          <w:rFonts w:ascii="Verdana" w:hAnsi="Verdana"/>
          <w:i/>
          <w:sz w:val="20"/>
          <w:szCs w:val="16"/>
        </w:rPr>
        <w:t xml:space="preserve">supra </w:t>
      </w:r>
      <w:r w:rsidR="008D2871">
        <w:rPr>
          <w:rFonts w:ascii="Verdana" w:hAnsi="Verdana"/>
          <w:sz w:val="20"/>
          <w:szCs w:val="16"/>
        </w:rPr>
        <w:t>Considerando</w:t>
      </w:r>
      <w:r w:rsidR="0025705E">
        <w:rPr>
          <w:rFonts w:ascii="Verdana" w:hAnsi="Verdana"/>
          <w:sz w:val="20"/>
          <w:szCs w:val="16"/>
        </w:rPr>
        <w:t>s</w:t>
      </w:r>
      <w:r w:rsidR="008D2871">
        <w:rPr>
          <w:rFonts w:ascii="Verdana" w:hAnsi="Verdana"/>
          <w:sz w:val="20"/>
          <w:szCs w:val="16"/>
        </w:rPr>
        <w:t xml:space="preserve"> 11</w:t>
      </w:r>
      <w:r w:rsidR="0025705E">
        <w:rPr>
          <w:rFonts w:ascii="Verdana" w:hAnsi="Verdana"/>
          <w:sz w:val="20"/>
          <w:szCs w:val="16"/>
        </w:rPr>
        <w:t xml:space="preserve"> y 12</w:t>
      </w:r>
      <w:r w:rsidR="008D2871">
        <w:rPr>
          <w:rFonts w:ascii="Verdana" w:hAnsi="Verdana"/>
          <w:sz w:val="20"/>
          <w:szCs w:val="16"/>
        </w:rPr>
        <w:t xml:space="preserve">) ni se han iniciado investigaciones adicionales para “comprobar la existencia o no de responsabilidad penal </w:t>
      </w:r>
      <w:proofErr w:type="gramStart"/>
      <w:r w:rsidR="008D2871">
        <w:rPr>
          <w:rFonts w:ascii="Verdana" w:hAnsi="Verdana"/>
          <w:sz w:val="20"/>
          <w:szCs w:val="16"/>
        </w:rPr>
        <w:t>en relación a</w:t>
      </w:r>
      <w:proofErr w:type="gramEnd"/>
      <w:r w:rsidR="008D2871">
        <w:rPr>
          <w:rFonts w:ascii="Verdana" w:hAnsi="Verdana"/>
          <w:sz w:val="20"/>
          <w:szCs w:val="16"/>
        </w:rPr>
        <w:t xml:space="preserve"> personas que fungieran en la cadena de mando y en los distintos niveles de responsabilidad en el diseño y la ejecución de la práctica” en la que se produjo el deceso. </w:t>
      </w:r>
      <w:r w:rsidR="00421C80">
        <w:rPr>
          <w:rFonts w:ascii="Verdana" w:hAnsi="Verdana"/>
          <w:sz w:val="20"/>
          <w:szCs w:val="16"/>
        </w:rPr>
        <w:t xml:space="preserve">También detallaron </w:t>
      </w:r>
      <w:r w:rsidR="008D2871">
        <w:rPr>
          <w:rFonts w:ascii="Verdana" w:hAnsi="Verdana"/>
          <w:sz w:val="20"/>
          <w:szCs w:val="16"/>
        </w:rPr>
        <w:t xml:space="preserve">las múltiples gestiones realizadas por los progenitores de la víctima para impulsar la investigación, </w:t>
      </w:r>
      <w:r w:rsidR="00421C80">
        <w:rPr>
          <w:rFonts w:ascii="Verdana" w:hAnsi="Verdana"/>
          <w:sz w:val="20"/>
          <w:szCs w:val="16"/>
        </w:rPr>
        <w:t xml:space="preserve">entre ellas </w:t>
      </w:r>
      <w:r w:rsidR="00007A89" w:rsidRPr="008D2871">
        <w:rPr>
          <w:rFonts w:ascii="Verdana" w:hAnsi="Verdana"/>
          <w:sz w:val="20"/>
          <w:szCs w:val="16"/>
        </w:rPr>
        <w:t xml:space="preserve">que el señor Ortiz Ruiz “llamó a la Fiscalía 20, […] a fin de que le fuera informado algún avance en las investigaciones” y </w:t>
      </w:r>
      <w:r w:rsidR="009F3349">
        <w:rPr>
          <w:rFonts w:ascii="Verdana" w:hAnsi="Verdana"/>
          <w:sz w:val="20"/>
          <w:szCs w:val="16"/>
        </w:rPr>
        <w:t>realizó solicitudes de información a</w:t>
      </w:r>
      <w:r w:rsidR="00007A89" w:rsidRPr="008D2871">
        <w:rPr>
          <w:rFonts w:ascii="Verdana" w:hAnsi="Verdana"/>
          <w:sz w:val="20"/>
          <w:szCs w:val="16"/>
        </w:rPr>
        <w:t xml:space="preserve">l Departamento de Derechos Fundamentales de la Fiscalía General, </w:t>
      </w:r>
      <w:r w:rsidR="00AA45AC">
        <w:rPr>
          <w:rFonts w:ascii="Verdana" w:hAnsi="Verdana"/>
          <w:sz w:val="20"/>
          <w:szCs w:val="16"/>
        </w:rPr>
        <w:t xml:space="preserve">a </w:t>
      </w:r>
      <w:r w:rsidR="00007A89" w:rsidRPr="008D2871">
        <w:rPr>
          <w:rFonts w:ascii="Verdana" w:hAnsi="Verdana"/>
          <w:sz w:val="20"/>
          <w:szCs w:val="16"/>
        </w:rPr>
        <w:t xml:space="preserve">la Dirección de Derechos Internacionales, </w:t>
      </w:r>
      <w:r w:rsidR="00AA45AC">
        <w:rPr>
          <w:rFonts w:ascii="Verdana" w:hAnsi="Verdana"/>
          <w:sz w:val="20"/>
          <w:szCs w:val="16"/>
        </w:rPr>
        <w:t xml:space="preserve">a </w:t>
      </w:r>
      <w:r w:rsidR="00007A89" w:rsidRPr="008D2871">
        <w:rPr>
          <w:rFonts w:ascii="Verdana" w:hAnsi="Verdana"/>
          <w:sz w:val="20"/>
          <w:szCs w:val="16"/>
        </w:rPr>
        <w:t xml:space="preserve">varios despachos de la Cancillería y </w:t>
      </w:r>
      <w:r w:rsidR="00AA45AC">
        <w:rPr>
          <w:rFonts w:ascii="Verdana" w:hAnsi="Verdana"/>
          <w:sz w:val="20"/>
          <w:szCs w:val="16"/>
        </w:rPr>
        <w:t>a</w:t>
      </w:r>
      <w:r w:rsidR="00007A89" w:rsidRPr="008D2871">
        <w:rPr>
          <w:rFonts w:ascii="Verdana" w:hAnsi="Verdana"/>
          <w:sz w:val="20"/>
          <w:szCs w:val="16"/>
        </w:rPr>
        <w:t xml:space="preserve"> la Agencia del Estado ante el Sistema Internacional de Derechos Humanos, </w:t>
      </w:r>
      <w:r w:rsidR="00421C80">
        <w:rPr>
          <w:rFonts w:ascii="Verdana" w:hAnsi="Verdana"/>
          <w:sz w:val="20"/>
          <w:szCs w:val="16"/>
        </w:rPr>
        <w:t>todas las cuales</w:t>
      </w:r>
      <w:r w:rsidR="00007A89" w:rsidRPr="008D2871">
        <w:rPr>
          <w:rFonts w:ascii="Verdana" w:hAnsi="Verdana"/>
          <w:sz w:val="20"/>
          <w:szCs w:val="16"/>
        </w:rPr>
        <w:t xml:space="preserve"> “fueron infructuosas”. Asimismo, señalaron que la señora Hernández de Arellano “se presentó a la Fiscalía 20 del Estado de Táchira, requiriendo informaciones sobre las gestiones nuevas que habían realizado </w:t>
      </w:r>
      <w:r w:rsidR="00AA45AC">
        <w:rPr>
          <w:rFonts w:ascii="Verdana" w:hAnsi="Verdana"/>
          <w:sz w:val="20"/>
          <w:szCs w:val="16"/>
        </w:rPr>
        <w:t xml:space="preserve">[las autoridades] </w:t>
      </w:r>
      <w:r w:rsidR="00007A89" w:rsidRPr="008D2871">
        <w:rPr>
          <w:rFonts w:ascii="Verdana" w:hAnsi="Verdana"/>
          <w:sz w:val="20"/>
          <w:szCs w:val="16"/>
        </w:rPr>
        <w:t>sobre el caso de su hijo, […] habiéndole respondido que no se había tomado ninguna medida […] y que no podían darle ninguna otra información”</w:t>
      </w:r>
      <w:r w:rsidR="00AA45AC">
        <w:rPr>
          <w:rFonts w:ascii="Verdana" w:hAnsi="Verdana"/>
          <w:sz w:val="20"/>
          <w:szCs w:val="16"/>
        </w:rPr>
        <w:t>. Por otra parte</w:t>
      </w:r>
      <w:r w:rsidR="00007A89" w:rsidRPr="008D2871">
        <w:rPr>
          <w:rFonts w:ascii="Verdana" w:hAnsi="Verdana"/>
          <w:sz w:val="20"/>
          <w:szCs w:val="16"/>
        </w:rPr>
        <w:t>, en sus intentos de comunicarse con el agente del Estado, “le informaron que éste no se encontraba” y</w:t>
      </w:r>
      <w:r w:rsidR="009F3349">
        <w:rPr>
          <w:rFonts w:ascii="Verdana" w:hAnsi="Verdana"/>
          <w:sz w:val="20"/>
          <w:szCs w:val="16"/>
        </w:rPr>
        <w:t>,</w:t>
      </w:r>
      <w:r w:rsidR="00007A89" w:rsidRPr="008D2871">
        <w:rPr>
          <w:rFonts w:ascii="Verdana" w:hAnsi="Verdana"/>
          <w:sz w:val="20"/>
          <w:szCs w:val="16"/>
        </w:rPr>
        <w:t xml:space="preserve"> tras varios intentos de comunicación</w:t>
      </w:r>
      <w:r w:rsidR="009F3349">
        <w:rPr>
          <w:rFonts w:ascii="Verdana" w:hAnsi="Verdana"/>
          <w:sz w:val="20"/>
          <w:szCs w:val="16"/>
        </w:rPr>
        <w:t>, éstos</w:t>
      </w:r>
      <w:r w:rsidR="00007A89" w:rsidRPr="008D2871">
        <w:rPr>
          <w:rFonts w:ascii="Verdana" w:hAnsi="Verdana"/>
          <w:sz w:val="20"/>
          <w:szCs w:val="16"/>
        </w:rPr>
        <w:t xml:space="preserve"> “tampoco </w:t>
      </w:r>
      <w:proofErr w:type="spellStart"/>
      <w:r w:rsidR="00007A89" w:rsidRPr="008D2871">
        <w:rPr>
          <w:rFonts w:ascii="Verdana" w:hAnsi="Verdana"/>
          <w:sz w:val="20"/>
          <w:szCs w:val="16"/>
        </w:rPr>
        <w:t>prosper</w:t>
      </w:r>
      <w:proofErr w:type="spellEnd"/>
      <w:r w:rsidR="009F3349">
        <w:rPr>
          <w:rFonts w:ascii="Verdana" w:hAnsi="Verdana"/>
          <w:sz w:val="20"/>
          <w:szCs w:val="16"/>
        </w:rPr>
        <w:t>[aron]</w:t>
      </w:r>
      <w:r w:rsidR="00007A89" w:rsidRPr="008D2871">
        <w:rPr>
          <w:rFonts w:ascii="Verdana" w:hAnsi="Verdana"/>
          <w:sz w:val="20"/>
          <w:szCs w:val="16"/>
        </w:rPr>
        <w:t xml:space="preserve">”. </w:t>
      </w:r>
      <w:r w:rsidR="00421C80">
        <w:rPr>
          <w:rFonts w:ascii="Verdana" w:hAnsi="Verdana"/>
          <w:sz w:val="20"/>
          <w:szCs w:val="16"/>
        </w:rPr>
        <w:t>L</w:t>
      </w:r>
      <w:r w:rsidR="000420E2">
        <w:rPr>
          <w:rFonts w:ascii="Verdana" w:hAnsi="Verdana"/>
          <w:sz w:val="20"/>
          <w:szCs w:val="16"/>
        </w:rPr>
        <w:t>a</w:t>
      </w:r>
      <w:r w:rsidR="00421C80">
        <w:rPr>
          <w:rFonts w:ascii="Verdana" w:hAnsi="Verdana"/>
          <w:sz w:val="20"/>
          <w:szCs w:val="16"/>
        </w:rPr>
        <w:t>s representantes también afirmaron que, f</w:t>
      </w:r>
      <w:r w:rsidR="00007A89" w:rsidRPr="008D2871">
        <w:rPr>
          <w:rFonts w:ascii="Verdana" w:hAnsi="Verdana"/>
          <w:sz w:val="20"/>
          <w:szCs w:val="16"/>
        </w:rPr>
        <w:t>inalmente, el señor Ortiz</w:t>
      </w:r>
      <w:r w:rsidR="00AA45AC">
        <w:rPr>
          <w:rFonts w:ascii="Verdana" w:hAnsi="Verdana"/>
          <w:sz w:val="20"/>
          <w:szCs w:val="16"/>
        </w:rPr>
        <w:t xml:space="preserve"> Ruiz</w:t>
      </w:r>
      <w:r w:rsidR="00007A89" w:rsidRPr="008D2871">
        <w:rPr>
          <w:rFonts w:ascii="Verdana" w:hAnsi="Verdana"/>
          <w:sz w:val="20"/>
          <w:szCs w:val="16"/>
        </w:rPr>
        <w:t xml:space="preserve"> y la señora Hern</w:t>
      </w:r>
      <w:r w:rsidR="00AA45AC">
        <w:rPr>
          <w:rFonts w:ascii="Verdana" w:hAnsi="Verdana"/>
          <w:sz w:val="20"/>
          <w:szCs w:val="16"/>
        </w:rPr>
        <w:t>án</w:t>
      </w:r>
      <w:r w:rsidR="00007A89" w:rsidRPr="008D2871">
        <w:rPr>
          <w:rFonts w:ascii="Verdana" w:hAnsi="Verdana"/>
          <w:sz w:val="20"/>
          <w:szCs w:val="16"/>
        </w:rPr>
        <w:t>dez</w:t>
      </w:r>
      <w:r w:rsidR="00AA45AC">
        <w:rPr>
          <w:rFonts w:ascii="Verdana" w:hAnsi="Verdana"/>
          <w:sz w:val="20"/>
          <w:szCs w:val="16"/>
        </w:rPr>
        <w:t xml:space="preserve"> de Arellano</w:t>
      </w:r>
      <w:r w:rsidR="00007A89" w:rsidRPr="008D2871">
        <w:rPr>
          <w:rFonts w:ascii="Verdana" w:hAnsi="Verdana"/>
          <w:sz w:val="20"/>
          <w:szCs w:val="16"/>
        </w:rPr>
        <w:t xml:space="preserve"> solicitaron “una entrevista con el </w:t>
      </w:r>
      <w:proofErr w:type="gramStart"/>
      <w:r w:rsidR="00007A89" w:rsidRPr="008D2871">
        <w:rPr>
          <w:rFonts w:ascii="Verdana" w:hAnsi="Verdana"/>
          <w:sz w:val="20"/>
          <w:szCs w:val="16"/>
        </w:rPr>
        <w:t>Ministro</w:t>
      </w:r>
      <w:proofErr w:type="gramEnd"/>
      <w:r w:rsidR="00007A89" w:rsidRPr="008D2871">
        <w:rPr>
          <w:rFonts w:ascii="Verdana" w:hAnsi="Verdana"/>
          <w:sz w:val="20"/>
          <w:szCs w:val="16"/>
        </w:rPr>
        <w:t xml:space="preserve"> de Defensa, Seguridad y Paz, […] quien les indicó que se comprometía a reabrir el caso, así como </w:t>
      </w:r>
      <w:r w:rsidR="00AA45AC">
        <w:rPr>
          <w:rFonts w:ascii="Verdana" w:hAnsi="Verdana"/>
          <w:sz w:val="20"/>
          <w:szCs w:val="16"/>
        </w:rPr>
        <w:t xml:space="preserve">[a] </w:t>
      </w:r>
      <w:r w:rsidR="00007A89" w:rsidRPr="008D2871">
        <w:rPr>
          <w:rFonts w:ascii="Verdana" w:hAnsi="Verdana"/>
          <w:sz w:val="20"/>
          <w:szCs w:val="16"/>
        </w:rPr>
        <w:t xml:space="preserve">tomar las acciones necesarias, incluso comunicarse con el Fiscal General </w:t>
      </w:r>
      <w:r w:rsidR="009F3349">
        <w:rPr>
          <w:rFonts w:ascii="Verdana" w:hAnsi="Verdana"/>
          <w:sz w:val="20"/>
          <w:szCs w:val="16"/>
        </w:rPr>
        <w:t>[…]</w:t>
      </w:r>
      <w:r w:rsidR="00007A89" w:rsidRPr="008D2871">
        <w:rPr>
          <w:rFonts w:ascii="Verdana" w:hAnsi="Verdana"/>
          <w:sz w:val="20"/>
          <w:szCs w:val="16"/>
        </w:rPr>
        <w:t xml:space="preserve">, para lograr someter a los responsables </w:t>
      </w:r>
      <w:r w:rsidR="00007A89" w:rsidRPr="008D2871">
        <w:rPr>
          <w:rFonts w:ascii="Verdana" w:hAnsi="Verdana"/>
          <w:sz w:val="20"/>
          <w:szCs w:val="16"/>
        </w:rPr>
        <w:lastRenderedPageBreak/>
        <w:t>de lo acontecido, sin embargo, […] no le[s] ha sido comunicada ninguna nueva gestión para lograr lo prometido”</w:t>
      </w:r>
      <w:r w:rsidR="00007A89">
        <w:rPr>
          <w:rStyle w:val="Refdenotaalpie"/>
          <w:rFonts w:ascii="Verdana" w:hAnsi="Verdana"/>
          <w:sz w:val="20"/>
          <w:szCs w:val="16"/>
        </w:rPr>
        <w:footnoteReference w:id="24"/>
      </w:r>
      <w:r w:rsidR="00007A89" w:rsidRPr="008D2871">
        <w:rPr>
          <w:rFonts w:ascii="Verdana" w:hAnsi="Verdana"/>
          <w:sz w:val="20"/>
          <w:szCs w:val="16"/>
        </w:rPr>
        <w:t xml:space="preserve">. </w:t>
      </w:r>
    </w:p>
    <w:p w14:paraId="3829603F" w14:textId="77777777" w:rsidR="00D152A3" w:rsidRPr="00D152A3" w:rsidRDefault="00D152A3" w:rsidP="00B11F2A">
      <w:pPr>
        <w:pStyle w:val="Prrafodelista"/>
        <w:suppressLineNumbers/>
        <w:spacing w:after="0" w:line="240" w:lineRule="auto"/>
        <w:ind w:left="0" w:right="49"/>
        <w:contextualSpacing w:val="0"/>
        <w:jc w:val="both"/>
        <w:rPr>
          <w:rFonts w:ascii="Verdana" w:hAnsi="Verdana"/>
          <w:b/>
          <w:sz w:val="20"/>
          <w:szCs w:val="20"/>
        </w:rPr>
      </w:pPr>
    </w:p>
    <w:p w14:paraId="265E246F" w14:textId="77777777" w:rsidR="00FC4C9D" w:rsidRPr="00D152A3" w:rsidRDefault="00725965" w:rsidP="00B11F2A">
      <w:pPr>
        <w:pStyle w:val="Prrafodelista"/>
        <w:numPr>
          <w:ilvl w:val="0"/>
          <w:numId w:val="4"/>
        </w:numPr>
        <w:suppressLineNumbers/>
        <w:spacing w:after="0" w:line="240" w:lineRule="auto"/>
        <w:ind w:left="0" w:right="49" w:firstLine="0"/>
        <w:contextualSpacing w:val="0"/>
        <w:jc w:val="both"/>
        <w:rPr>
          <w:rFonts w:ascii="Verdana" w:hAnsi="Verdana"/>
          <w:b/>
          <w:sz w:val="20"/>
          <w:szCs w:val="20"/>
        </w:rPr>
      </w:pPr>
      <w:r w:rsidRPr="00D152A3">
        <w:rPr>
          <w:rFonts w:ascii="Verdana" w:hAnsi="Verdana"/>
          <w:sz w:val="20"/>
          <w:szCs w:val="20"/>
          <w:lang w:val="es-MX"/>
        </w:rPr>
        <w:t xml:space="preserve">Teniendo en cuenta lo manifestado por </w:t>
      </w:r>
      <w:r w:rsidR="007B4071">
        <w:rPr>
          <w:rFonts w:ascii="Verdana" w:hAnsi="Verdana"/>
          <w:sz w:val="20"/>
          <w:szCs w:val="20"/>
          <w:lang w:val="es-MX"/>
        </w:rPr>
        <w:t xml:space="preserve">la madre y padre </w:t>
      </w:r>
      <w:r w:rsidRPr="00D152A3">
        <w:rPr>
          <w:rFonts w:ascii="Verdana" w:hAnsi="Verdana"/>
          <w:sz w:val="20"/>
          <w:szCs w:val="20"/>
          <w:lang w:val="es-MX"/>
        </w:rPr>
        <w:t>de Johan Alexis Ortiz Hernández</w:t>
      </w:r>
      <w:r w:rsidR="00150A72" w:rsidRPr="00D152A3">
        <w:rPr>
          <w:rFonts w:ascii="Verdana" w:hAnsi="Verdana"/>
          <w:sz w:val="20"/>
          <w:szCs w:val="20"/>
          <w:lang w:val="es-MX"/>
        </w:rPr>
        <w:t>,</w:t>
      </w:r>
      <w:r w:rsidRPr="00D152A3">
        <w:rPr>
          <w:rFonts w:ascii="Verdana" w:hAnsi="Verdana"/>
          <w:sz w:val="20"/>
          <w:szCs w:val="20"/>
          <w:lang w:val="es-MX"/>
        </w:rPr>
        <w:t xml:space="preserve"> la Corte</w:t>
      </w:r>
      <w:r w:rsidR="004C612F" w:rsidRPr="00D152A3">
        <w:rPr>
          <w:rFonts w:ascii="Verdana" w:hAnsi="Verdana"/>
          <w:sz w:val="20"/>
          <w:szCs w:val="20"/>
          <w:lang w:val="es-MX"/>
        </w:rPr>
        <w:t xml:space="preserve"> requiere al Estado que, en el plazo de </w:t>
      </w:r>
      <w:r w:rsidR="00C300D3" w:rsidRPr="00D152A3">
        <w:rPr>
          <w:rFonts w:ascii="Verdana" w:hAnsi="Verdana"/>
          <w:sz w:val="20"/>
          <w:szCs w:val="20"/>
          <w:lang w:val="es-MX"/>
        </w:rPr>
        <w:t xml:space="preserve">un </w:t>
      </w:r>
      <w:r w:rsidR="004C612F" w:rsidRPr="00D152A3">
        <w:rPr>
          <w:rFonts w:ascii="Verdana" w:hAnsi="Verdana"/>
          <w:sz w:val="20"/>
          <w:szCs w:val="20"/>
          <w:lang w:val="es-MX"/>
        </w:rPr>
        <w:t>mes, contado a partir de la notificación de la presente Resolución, estable</w:t>
      </w:r>
      <w:r w:rsidR="00C300D3" w:rsidRPr="00D152A3">
        <w:rPr>
          <w:rFonts w:ascii="Verdana" w:hAnsi="Verdana"/>
          <w:sz w:val="20"/>
          <w:szCs w:val="20"/>
          <w:lang w:val="es-MX"/>
        </w:rPr>
        <w:t>zca</w:t>
      </w:r>
      <w:r w:rsidR="004C612F" w:rsidRPr="00D152A3">
        <w:rPr>
          <w:rFonts w:ascii="Verdana" w:hAnsi="Verdana"/>
          <w:sz w:val="20"/>
          <w:szCs w:val="20"/>
          <w:lang w:val="es-MX"/>
        </w:rPr>
        <w:t xml:space="preserve"> un espacio de diálogo con las víctimas y sus representantes, utilizando los medios que resulten más adecuados, </w:t>
      </w:r>
      <w:r w:rsidR="00D9476A" w:rsidRPr="00D152A3">
        <w:rPr>
          <w:rFonts w:ascii="Verdana" w:hAnsi="Verdana"/>
          <w:sz w:val="20"/>
          <w:szCs w:val="20"/>
          <w:lang w:val="es-MX"/>
        </w:rPr>
        <w:t>en aras de</w:t>
      </w:r>
      <w:r w:rsidR="004C612F" w:rsidRPr="00D152A3">
        <w:rPr>
          <w:rFonts w:ascii="Verdana" w:hAnsi="Verdana"/>
          <w:sz w:val="20"/>
          <w:szCs w:val="20"/>
          <w:lang w:val="es-MX"/>
        </w:rPr>
        <w:t xml:space="preserve"> avanzar en la implementación de las medidas de reparación pendientes de cumplimiento</w:t>
      </w:r>
      <w:r w:rsidR="00D9476A" w:rsidRPr="00D152A3">
        <w:rPr>
          <w:rFonts w:ascii="Verdana" w:hAnsi="Verdana"/>
          <w:sz w:val="20"/>
          <w:szCs w:val="20"/>
          <w:lang w:val="es-MX"/>
        </w:rPr>
        <w:t>,</w:t>
      </w:r>
      <w:r w:rsidR="00C300D3" w:rsidRPr="00D152A3">
        <w:rPr>
          <w:rFonts w:ascii="Verdana" w:hAnsi="Verdana"/>
          <w:sz w:val="20"/>
          <w:szCs w:val="20"/>
          <w:lang w:val="es-MX"/>
        </w:rPr>
        <w:t xml:space="preserve"> resultando particularmente importante que les comunique sobre los avances en la obligación de investigar, juzgar y, en su caso, sancionar a los responsables de </w:t>
      </w:r>
      <w:r w:rsidR="00C300D3" w:rsidRPr="00D152A3">
        <w:rPr>
          <w:rFonts w:ascii="Verdana" w:hAnsi="Verdana"/>
          <w:sz w:val="20"/>
          <w:szCs w:val="20"/>
        </w:rPr>
        <w:t>la muerte de Johan Alexis Ortiz Hernández</w:t>
      </w:r>
      <w:r w:rsidR="00B84A1A" w:rsidRPr="00D152A3">
        <w:rPr>
          <w:rFonts w:ascii="Verdana" w:hAnsi="Verdana"/>
          <w:sz w:val="20"/>
          <w:szCs w:val="20"/>
          <w:lang w:val="es-MX"/>
        </w:rPr>
        <w:t>.</w:t>
      </w:r>
    </w:p>
    <w:p w14:paraId="04A87E1C" w14:textId="77777777" w:rsidR="00967CA9" w:rsidRDefault="00967CA9" w:rsidP="00B11F2A">
      <w:pPr>
        <w:pStyle w:val="Prrafodelista"/>
        <w:suppressLineNumbers/>
        <w:ind w:right="49"/>
        <w:rPr>
          <w:rFonts w:ascii="Verdana" w:hAnsi="Verdana"/>
          <w:b/>
          <w:sz w:val="20"/>
          <w:szCs w:val="20"/>
        </w:rPr>
      </w:pPr>
    </w:p>
    <w:p w14:paraId="4EFAAC19" w14:textId="77777777" w:rsidR="00967CA9" w:rsidRDefault="009F3349" w:rsidP="00B11F2A">
      <w:pPr>
        <w:pStyle w:val="Prrafodelista"/>
        <w:numPr>
          <w:ilvl w:val="0"/>
          <w:numId w:val="4"/>
        </w:numPr>
        <w:suppressLineNumbers/>
        <w:spacing w:after="0" w:line="240" w:lineRule="auto"/>
        <w:ind w:left="0" w:right="49" w:firstLine="0"/>
        <w:contextualSpacing w:val="0"/>
        <w:jc w:val="both"/>
        <w:rPr>
          <w:rFonts w:ascii="Verdana" w:hAnsi="Verdana"/>
          <w:sz w:val="20"/>
          <w:szCs w:val="20"/>
        </w:rPr>
      </w:pPr>
      <w:r>
        <w:rPr>
          <w:rFonts w:ascii="Verdana" w:hAnsi="Verdana"/>
          <w:sz w:val="20"/>
          <w:szCs w:val="20"/>
        </w:rPr>
        <w:t>Adicionalmente, t</w:t>
      </w:r>
      <w:r w:rsidR="00967CA9" w:rsidRPr="001C58CA">
        <w:rPr>
          <w:rFonts w:ascii="Verdana" w:hAnsi="Verdana"/>
          <w:sz w:val="20"/>
          <w:szCs w:val="20"/>
        </w:rPr>
        <w:t xml:space="preserve">omando en </w:t>
      </w:r>
      <w:r w:rsidR="00967CA9">
        <w:rPr>
          <w:rFonts w:ascii="Verdana" w:hAnsi="Verdana"/>
          <w:sz w:val="20"/>
          <w:szCs w:val="20"/>
        </w:rPr>
        <w:t>consideración</w:t>
      </w:r>
      <w:r w:rsidR="00967CA9" w:rsidRPr="001C58CA">
        <w:rPr>
          <w:rFonts w:ascii="Verdana" w:hAnsi="Verdana"/>
          <w:sz w:val="20"/>
          <w:szCs w:val="20"/>
        </w:rPr>
        <w:t xml:space="preserve"> l</w:t>
      </w:r>
      <w:r w:rsidR="00967CA9">
        <w:rPr>
          <w:rFonts w:ascii="Verdana" w:hAnsi="Verdana"/>
          <w:sz w:val="20"/>
          <w:szCs w:val="20"/>
        </w:rPr>
        <w:t xml:space="preserve">o </w:t>
      </w:r>
      <w:r w:rsidR="00967CA9" w:rsidRPr="001C58CA">
        <w:rPr>
          <w:rFonts w:ascii="Verdana" w:hAnsi="Verdana"/>
          <w:sz w:val="20"/>
          <w:szCs w:val="20"/>
        </w:rPr>
        <w:t>informad</w:t>
      </w:r>
      <w:r w:rsidR="00967CA9">
        <w:rPr>
          <w:rFonts w:ascii="Verdana" w:hAnsi="Verdana"/>
          <w:sz w:val="20"/>
          <w:szCs w:val="20"/>
        </w:rPr>
        <w:t xml:space="preserve">o </w:t>
      </w:r>
      <w:r w:rsidR="00967CA9" w:rsidRPr="001C58CA">
        <w:rPr>
          <w:rFonts w:ascii="Verdana" w:hAnsi="Verdana"/>
          <w:sz w:val="20"/>
          <w:szCs w:val="20"/>
        </w:rPr>
        <w:t xml:space="preserve">por las representantes </w:t>
      </w:r>
      <w:r w:rsidR="00967CA9">
        <w:rPr>
          <w:rFonts w:ascii="Verdana" w:hAnsi="Verdana"/>
          <w:sz w:val="20"/>
          <w:szCs w:val="20"/>
        </w:rPr>
        <w:t xml:space="preserve">en cuanto a las gestiones infructuosas realizadas por la madre y el padre </w:t>
      </w:r>
      <w:r w:rsidR="007B4071">
        <w:rPr>
          <w:rFonts w:ascii="Verdana" w:hAnsi="Verdana"/>
          <w:sz w:val="20"/>
          <w:szCs w:val="20"/>
        </w:rPr>
        <w:t xml:space="preserve">de </w:t>
      </w:r>
      <w:r w:rsidR="00967CA9">
        <w:rPr>
          <w:rFonts w:ascii="Verdana" w:hAnsi="Verdana"/>
          <w:sz w:val="20"/>
          <w:szCs w:val="20"/>
        </w:rPr>
        <w:t>Johan Alexis Ort</w:t>
      </w:r>
      <w:r w:rsidR="00BA70C9">
        <w:rPr>
          <w:rFonts w:ascii="Verdana" w:hAnsi="Verdana"/>
          <w:sz w:val="20"/>
          <w:szCs w:val="20"/>
        </w:rPr>
        <w:t>i</w:t>
      </w:r>
      <w:r w:rsidR="00967CA9">
        <w:rPr>
          <w:rFonts w:ascii="Verdana" w:hAnsi="Verdana"/>
          <w:sz w:val="20"/>
          <w:szCs w:val="20"/>
        </w:rPr>
        <w:t>z Hernández para averiguar si hay avances en la investigación penal (</w:t>
      </w:r>
      <w:r w:rsidR="00967CA9" w:rsidRPr="00F97953">
        <w:rPr>
          <w:rFonts w:ascii="Verdana" w:hAnsi="Verdana"/>
          <w:i/>
          <w:sz w:val="20"/>
          <w:szCs w:val="20"/>
        </w:rPr>
        <w:t>supra</w:t>
      </w:r>
      <w:r w:rsidR="00967CA9">
        <w:rPr>
          <w:rFonts w:ascii="Verdana" w:hAnsi="Verdana"/>
          <w:sz w:val="20"/>
          <w:szCs w:val="20"/>
        </w:rPr>
        <w:t xml:space="preserve"> </w:t>
      </w:r>
      <w:r>
        <w:rPr>
          <w:rFonts w:ascii="Verdana" w:hAnsi="Verdana"/>
          <w:sz w:val="20"/>
          <w:szCs w:val="20"/>
        </w:rPr>
        <w:t>Considerando 13</w:t>
      </w:r>
      <w:r w:rsidR="00967CA9">
        <w:rPr>
          <w:rFonts w:ascii="Verdana" w:hAnsi="Verdana"/>
          <w:sz w:val="20"/>
          <w:szCs w:val="20"/>
        </w:rPr>
        <w:t>)</w:t>
      </w:r>
      <w:r w:rsidR="00967CA9" w:rsidRPr="001C58CA">
        <w:rPr>
          <w:rFonts w:ascii="Verdana" w:hAnsi="Verdana"/>
          <w:sz w:val="20"/>
          <w:szCs w:val="20"/>
        </w:rPr>
        <w:t>, de conformidad con el artículo 69.2 de su Reglamento, el Tribun</w:t>
      </w:r>
      <w:r w:rsidR="00F30B5A">
        <w:rPr>
          <w:rFonts w:ascii="Verdana" w:hAnsi="Verdana"/>
          <w:sz w:val="20"/>
          <w:szCs w:val="20"/>
        </w:rPr>
        <w:t>al considera oportuno solicitar</w:t>
      </w:r>
      <w:r w:rsidR="00967CA9" w:rsidRPr="001C58CA">
        <w:rPr>
          <w:rFonts w:ascii="Verdana" w:hAnsi="Verdana"/>
          <w:sz w:val="20"/>
          <w:szCs w:val="20"/>
        </w:rPr>
        <w:t xml:space="preserve"> a</w:t>
      </w:r>
      <w:r w:rsidR="00967CA9">
        <w:rPr>
          <w:rFonts w:ascii="Verdana" w:hAnsi="Verdana"/>
          <w:sz w:val="20"/>
          <w:szCs w:val="20"/>
        </w:rPr>
        <w:t>l</w:t>
      </w:r>
      <w:r w:rsidR="00967CA9" w:rsidRPr="001C58CA">
        <w:rPr>
          <w:rFonts w:ascii="Verdana" w:hAnsi="Verdana"/>
          <w:sz w:val="20"/>
          <w:szCs w:val="20"/>
        </w:rPr>
        <w:t xml:space="preserve"> Fiscal General de</w:t>
      </w:r>
      <w:r w:rsidR="00967CA9">
        <w:rPr>
          <w:rFonts w:ascii="Verdana" w:hAnsi="Verdana"/>
          <w:sz w:val="20"/>
          <w:szCs w:val="20"/>
        </w:rPr>
        <w:t xml:space="preserve"> la República de</w:t>
      </w:r>
      <w:r w:rsidR="00967CA9" w:rsidRPr="001C58CA">
        <w:rPr>
          <w:rFonts w:ascii="Verdana" w:hAnsi="Verdana"/>
          <w:sz w:val="20"/>
          <w:szCs w:val="20"/>
        </w:rPr>
        <w:t xml:space="preserve"> Venezuela</w:t>
      </w:r>
      <w:r w:rsidR="00967CA9">
        <w:rPr>
          <w:rFonts w:ascii="Verdana" w:hAnsi="Verdana"/>
          <w:sz w:val="20"/>
          <w:szCs w:val="20"/>
        </w:rPr>
        <w:t>, o quien este designe,</w:t>
      </w:r>
      <w:r w:rsidR="00F30B5A">
        <w:rPr>
          <w:rFonts w:ascii="Verdana" w:hAnsi="Verdana"/>
          <w:sz w:val="20"/>
          <w:szCs w:val="20"/>
        </w:rPr>
        <w:t xml:space="preserve"> que presente, dentro </w:t>
      </w:r>
      <w:r w:rsidR="00967CA9" w:rsidRPr="001C58CA">
        <w:rPr>
          <w:rFonts w:ascii="Verdana" w:hAnsi="Verdana"/>
          <w:sz w:val="20"/>
          <w:szCs w:val="20"/>
        </w:rPr>
        <w:t>del plazo establec</w:t>
      </w:r>
      <w:r w:rsidR="00967CA9">
        <w:rPr>
          <w:rFonts w:ascii="Verdana" w:hAnsi="Verdana"/>
          <w:sz w:val="20"/>
          <w:szCs w:val="20"/>
        </w:rPr>
        <w:t xml:space="preserve">ido en el punto resolutivo </w:t>
      </w:r>
      <w:r w:rsidR="00412719">
        <w:rPr>
          <w:rFonts w:ascii="Verdana" w:hAnsi="Verdana"/>
          <w:sz w:val="20"/>
          <w:szCs w:val="20"/>
        </w:rPr>
        <w:t>un</w:t>
      </w:r>
      <w:r w:rsidR="00967CA9">
        <w:rPr>
          <w:rFonts w:ascii="Verdana" w:hAnsi="Verdana"/>
          <w:sz w:val="20"/>
          <w:szCs w:val="20"/>
        </w:rPr>
        <w:t xml:space="preserve">décimo </w:t>
      </w:r>
      <w:r w:rsidR="00967CA9" w:rsidRPr="001C58CA">
        <w:rPr>
          <w:rFonts w:ascii="Verdana" w:hAnsi="Verdana"/>
          <w:sz w:val="20"/>
          <w:szCs w:val="20"/>
        </w:rPr>
        <w:t>de la</w:t>
      </w:r>
      <w:r w:rsidR="00967CA9">
        <w:rPr>
          <w:rFonts w:ascii="Verdana" w:hAnsi="Verdana"/>
          <w:sz w:val="20"/>
          <w:szCs w:val="20"/>
        </w:rPr>
        <w:t xml:space="preserve"> presente</w:t>
      </w:r>
      <w:r w:rsidR="00967CA9" w:rsidRPr="001C58CA">
        <w:rPr>
          <w:rFonts w:ascii="Verdana" w:hAnsi="Verdana"/>
          <w:sz w:val="20"/>
          <w:szCs w:val="20"/>
        </w:rPr>
        <w:t xml:space="preserve"> Resolución, </w:t>
      </w:r>
      <w:r w:rsidR="00967CA9">
        <w:rPr>
          <w:rFonts w:ascii="Verdana" w:hAnsi="Verdana"/>
          <w:sz w:val="20"/>
          <w:szCs w:val="20"/>
        </w:rPr>
        <w:t>un informe</w:t>
      </w:r>
      <w:r w:rsidR="00967CA9" w:rsidRPr="001C58CA">
        <w:rPr>
          <w:rFonts w:ascii="Verdana" w:hAnsi="Verdana"/>
          <w:sz w:val="20"/>
          <w:szCs w:val="20"/>
        </w:rPr>
        <w:t xml:space="preserve"> </w:t>
      </w:r>
      <w:r w:rsidR="00967CA9">
        <w:rPr>
          <w:rFonts w:ascii="Verdana" w:hAnsi="Verdana"/>
          <w:sz w:val="20"/>
          <w:szCs w:val="20"/>
        </w:rPr>
        <w:t xml:space="preserve">detallado sobre el avance en el cumplimiento de la obligación de investigar, </w:t>
      </w:r>
      <w:r w:rsidR="00967CA9" w:rsidRPr="0080743C">
        <w:rPr>
          <w:rFonts w:ascii="Verdana" w:hAnsi="Verdana"/>
          <w:sz w:val="20"/>
          <w:szCs w:val="20"/>
        </w:rPr>
        <w:t>identificar, juzgar y, en su caso, sancionar a todos los responsables de la muerte de Johan Alexis Ortiz Hernández</w:t>
      </w:r>
      <w:r w:rsidR="00967CA9" w:rsidRPr="00D70024">
        <w:rPr>
          <w:rFonts w:ascii="Verdana" w:hAnsi="Verdana"/>
          <w:sz w:val="20"/>
          <w:szCs w:val="20"/>
        </w:rPr>
        <w:t xml:space="preserve">. </w:t>
      </w:r>
      <w:r w:rsidR="00967CA9">
        <w:rPr>
          <w:rFonts w:ascii="Verdana" w:hAnsi="Verdana"/>
          <w:sz w:val="20"/>
          <w:szCs w:val="20"/>
        </w:rPr>
        <w:t>Una vez aportado dicho</w:t>
      </w:r>
      <w:r w:rsidR="00967CA9" w:rsidRPr="001C58CA">
        <w:rPr>
          <w:rFonts w:ascii="Verdana" w:hAnsi="Verdana"/>
          <w:sz w:val="20"/>
          <w:szCs w:val="20"/>
        </w:rPr>
        <w:t xml:space="preserve"> informe, se solicitará al</w:t>
      </w:r>
      <w:r w:rsidR="009153B4">
        <w:rPr>
          <w:rFonts w:ascii="Verdana" w:hAnsi="Verdana"/>
          <w:sz w:val="20"/>
          <w:szCs w:val="20"/>
        </w:rPr>
        <w:t xml:space="preserve"> Estado su opinión</w:t>
      </w:r>
      <w:r w:rsidR="00967CA9">
        <w:rPr>
          <w:rFonts w:ascii="Verdana" w:hAnsi="Verdana"/>
          <w:sz w:val="20"/>
          <w:szCs w:val="20"/>
        </w:rPr>
        <w:t xml:space="preserve"> al respecto y</w:t>
      </w:r>
      <w:r w:rsidR="00967CA9" w:rsidRPr="001C58CA">
        <w:rPr>
          <w:rFonts w:ascii="Verdana" w:hAnsi="Verdana"/>
          <w:sz w:val="20"/>
          <w:szCs w:val="20"/>
        </w:rPr>
        <w:t xml:space="preserve"> también se otorgarán plazos a las representant</w:t>
      </w:r>
      <w:r w:rsidR="00F30B5A">
        <w:rPr>
          <w:rFonts w:ascii="Verdana" w:hAnsi="Verdana"/>
          <w:sz w:val="20"/>
          <w:szCs w:val="20"/>
        </w:rPr>
        <w:t xml:space="preserve">es de las víctimas </w:t>
      </w:r>
      <w:r w:rsidR="00967CA9">
        <w:rPr>
          <w:rFonts w:ascii="Verdana" w:hAnsi="Verdana"/>
          <w:sz w:val="20"/>
          <w:szCs w:val="20"/>
        </w:rPr>
        <w:t>y a la</w:t>
      </w:r>
      <w:r w:rsidR="00967CA9" w:rsidRPr="001C58CA">
        <w:rPr>
          <w:rFonts w:ascii="Verdana" w:hAnsi="Verdana"/>
          <w:sz w:val="20"/>
          <w:szCs w:val="20"/>
        </w:rPr>
        <w:t xml:space="preserve"> Comisió</w:t>
      </w:r>
      <w:r w:rsidR="00967CA9">
        <w:rPr>
          <w:rFonts w:ascii="Verdana" w:hAnsi="Verdana"/>
          <w:sz w:val="20"/>
          <w:szCs w:val="20"/>
        </w:rPr>
        <w:t>n Interamericana de Derechos</w:t>
      </w:r>
      <w:r w:rsidR="00967CA9" w:rsidRPr="001C58CA">
        <w:rPr>
          <w:rFonts w:ascii="Verdana" w:hAnsi="Verdana"/>
          <w:sz w:val="20"/>
          <w:szCs w:val="20"/>
        </w:rPr>
        <w:t xml:space="preserve"> Humanos </w:t>
      </w:r>
      <w:r w:rsidR="00967CA9">
        <w:rPr>
          <w:rFonts w:ascii="Verdana" w:hAnsi="Verdana"/>
          <w:sz w:val="20"/>
          <w:szCs w:val="20"/>
        </w:rPr>
        <w:t>para que presenten</w:t>
      </w:r>
      <w:r w:rsidR="00F30B5A">
        <w:rPr>
          <w:rFonts w:ascii="Verdana" w:hAnsi="Verdana"/>
          <w:sz w:val="20"/>
          <w:szCs w:val="20"/>
        </w:rPr>
        <w:t xml:space="preserve"> las observaciones que</w:t>
      </w:r>
      <w:r w:rsidR="00967CA9" w:rsidRPr="001C58CA">
        <w:rPr>
          <w:rFonts w:ascii="Verdana" w:hAnsi="Verdana"/>
          <w:sz w:val="20"/>
          <w:szCs w:val="20"/>
        </w:rPr>
        <w:t xml:space="preserve"> estimen pertinentes.</w:t>
      </w:r>
      <w:r w:rsidR="00967CA9" w:rsidRPr="00802902">
        <w:rPr>
          <w:rFonts w:ascii="Verdana" w:hAnsi="Verdana"/>
          <w:sz w:val="20"/>
          <w:szCs w:val="20"/>
        </w:rPr>
        <w:t xml:space="preserve"> </w:t>
      </w:r>
    </w:p>
    <w:p w14:paraId="01A91034" w14:textId="77777777" w:rsidR="007B4071" w:rsidRPr="00005110" w:rsidRDefault="007B4071" w:rsidP="00B11F2A">
      <w:pPr>
        <w:suppressLineNumbers/>
        <w:tabs>
          <w:tab w:val="left" w:pos="660"/>
          <w:tab w:val="right" w:pos="8828"/>
        </w:tabs>
        <w:spacing w:after="100" w:line="259" w:lineRule="auto"/>
        <w:ind w:right="49"/>
        <w:jc w:val="both"/>
        <w:rPr>
          <w:rFonts w:eastAsia="Calibri"/>
          <w:noProof/>
          <w:lang w:eastAsia="en-US"/>
        </w:rPr>
      </w:pPr>
    </w:p>
    <w:p w14:paraId="4DDF5B8E" w14:textId="77777777" w:rsidR="00005110" w:rsidRPr="00005110" w:rsidRDefault="00005110" w:rsidP="00B11F2A">
      <w:pPr>
        <w:widowControl w:val="0"/>
        <w:numPr>
          <w:ilvl w:val="0"/>
          <w:numId w:val="34"/>
        </w:numPr>
        <w:suppressLineNumbers/>
        <w:spacing w:before="120" w:after="240" w:line="240" w:lineRule="auto"/>
        <w:ind w:right="49"/>
        <w:jc w:val="both"/>
        <w:outlineLvl w:val="0"/>
        <w:rPr>
          <w:rFonts w:ascii="Verdana" w:eastAsia="Times" w:hAnsi="Verdana"/>
          <w:i/>
          <w:sz w:val="20"/>
          <w:szCs w:val="24"/>
          <w:lang w:val="es-CO" w:eastAsia="en-US"/>
        </w:rPr>
      </w:pPr>
      <w:bookmarkStart w:id="2" w:name="_Toc85647955"/>
      <w:bookmarkStart w:id="3" w:name="_Toc88815244"/>
      <w:r>
        <w:rPr>
          <w:rFonts w:ascii="Verdana" w:eastAsia="Times New Roman" w:hAnsi="Verdana"/>
          <w:b/>
          <w:bCs/>
          <w:i/>
          <w:kern w:val="32"/>
          <w:sz w:val="20"/>
          <w:szCs w:val="32"/>
          <w:lang w:val="es-CO" w:eastAsia="en-US"/>
        </w:rPr>
        <w:t>Publicación y difusión de la Sentencia</w:t>
      </w:r>
      <w:bookmarkEnd w:id="2"/>
      <w:bookmarkEnd w:id="3"/>
    </w:p>
    <w:p w14:paraId="0CC82710" w14:textId="77777777" w:rsidR="00005110" w:rsidRDefault="00D152A3" w:rsidP="00B11F2A">
      <w:pPr>
        <w:suppressLineNumbers/>
        <w:ind w:right="49" w:firstLine="720"/>
        <w:rPr>
          <w:rFonts w:ascii="Verdana" w:eastAsia="Times" w:hAnsi="Verdana"/>
          <w:i/>
          <w:sz w:val="20"/>
          <w:szCs w:val="24"/>
          <w:lang w:val="es-CO" w:eastAsia="en-US"/>
        </w:rPr>
      </w:pPr>
      <w:bookmarkStart w:id="4" w:name="_Toc83318078"/>
      <w:bookmarkStart w:id="5" w:name="_Toc83318207"/>
      <w:bookmarkStart w:id="6" w:name="_Toc83318899"/>
      <w:bookmarkStart w:id="7" w:name="_Toc83319579"/>
      <w:bookmarkStart w:id="8" w:name="_Toc83320068"/>
      <w:bookmarkStart w:id="9" w:name="_Toc84505711"/>
      <w:bookmarkStart w:id="10" w:name="_Toc84505895"/>
      <w:r>
        <w:rPr>
          <w:rFonts w:ascii="Verdana" w:eastAsia="Times" w:hAnsi="Verdana"/>
          <w:i/>
          <w:sz w:val="20"/>
          <w:szCs w:val="24"/>
          <w:lang w:val="es-CO" w:eastAsia="en-US"/>
        </w:rPr>
        <w:t>C</w:t>
      </w:r>
      <w:r w:rsidR="00005110" w:rsidRPr="00005110">
        <w:rPr>
          <w:rFonts w:ascii="Verdana" w:eastAsia="Times" w:hAnsi="Verdana"/>
          <w:i/>
          <w:sz w:val="20"/>
          <w:szCs w:val="24"/>
          <w:lang w:val="es-CO" w:eastAsia="en-US"/>
        </w:rPr>
        <w:t>.1. Medida</w:t>
      </w:r>
      <w:r w:rsidR="00C300D3">
        <w:rPr>
          <w:rFonts w:ascii="Verdana" w:eastAsia="Times" w:hAnsi="Verdana"/>
          <w:i/>
          <w:sz w:val="20"/>
          <w:szCs w:val="24"/>
          <w:lang w:val="es-CO" w:eastAsia="en-US"/>
        </w:rPr>
        <w:t>s</w:t>
      </w:r>
      <w:r w:rsidR="00005110" w:rsidRPr="00005110">
        <w:rPr>
          <w:rFonts w:ascii="Verdana" w:eastAsia="Times" w:hAnsi="Verdana"/>
          <w:i/>
          <w:sz w:val="20"/>
          <w:szCs w:val="24"/>
          <w:lang w:val="es-CO" w:eastAsia="en-US"/>
        </w:rPr>
        <w:t xml:space="preserve"> ordenada</w:t>
      </w:r>
      <w:r w:rsidR="00C300D3">
        <w:rPr>
          <w:rFonts w:ascii="Verdana" w:eastAsia="Times" w:hAnsi="Verdana"/>
          <w:i/>
          <w:sz w:val="20"/>
          <w:szCs w:val="24"/>
          <w:lang w:val="es-CO" w:eastAsia="en-US"/>
        </w:rPr>
        <w:t>s</w:t>
      </w:r>
      <w:r w:rsidR="00005110" w:rsidRPr="00005110">
        <w:rPr>
          <w:rFonts w:ascii="Verdana" w:eastAsia="Times" w:hAnsi="Verdana"/>
          <w:i/>
          <w:sz w:val="20"/>
          <w:szCs w:val="24"/>
          <w:lang w:val="es-CO" w:eastAsia="en-US"/>
        </w:rPr>
        <w:t xml:space="preserve"> por la Corte</w:t>
      </w:r>
      <w:bookmarkEnd w:id="4"/>
      <w:bookmarkEnd w:id="5"/>
      <w:bookmarkEnd w:id="6"/>
      <w:bookmarkEnd w:id="9"/>
      <w:bookmarkEnd w:id="10"/>
      <w:r w:rsidR="00005110" w:rsidRPr="00005110">
        <w:rPr>
          <w:rFonts w:ascii="Verdana" w:eastAsia="Times" w:hAnsi="Verdana"/>
          <w:i/>
          <w:sz w:val="20"/>
          <w:szCs w:val="24"/>
          <w:lang w:val="es-CO" w:eastAsia="en-US"/>
        </w:rPr>
        <w:t xml:space="preserve"> </w:t>
      </w:r>
      <w:bookmarkEnd w:id="7"/>
      <w:bookmarkEnd w:id="8"/>
    </w:p>
    <w:p w14:paraId="758F52E5" w14:textId="77777777" w:rsidR="00C41A78" w:rsidRPr="00835F65" w:rsidRDefault="00C41A78" w:rsidP="00B11F2A">
      <w:pPr>
        <w:pStyle w:val="Prrafodelista"/>
        <w:numPr>
          <w:ilvl w:val="0"/>
          <w:numId w:val="4"/>
        </w:numPr>
        <w:suppressLineNumbers/>
        <w:spacing w:before="120" w:after="120" w:line="240" w:lineRule="auto"/>
        <w:ind w:left="0" w:right="49" w:firstLine="0"/>
        <w:contextualSpacing w:val="0"/>
        <w:jc w:val="both"/>
        <w:rPr>
          <w:rFonts w:ascii="Verdana" w:eastAsia="Times" w:hAnsi="Verdana"/>
          <w:sz w:val="20"/>
          <w:szCs w:val="24"/>
          <w:lang w:val="es-CO" w:eastAsia="en-US"/>
        </w:rPr>
      </w:pPr>
      <w:r w:rsidRPr="00C41A78">
        <w:rPr>
          <w:rFonts w:ascii="Verdana" w:eastAsia="Times" w:hAnsi="Verdana"/>
          <w:sz w:val="20"/>
          <w:szCs w:val="24"/>
          <w:lang w:eastAsia="en-US"/>
        </w:rPr>
        <w:t xml:space="preserve">En el punto resolutivo </w:t>
      </w:r>
      <w:r w:rsidR="007C2231">
        <w:rPr>
          <w:rFonts w:ascii="Verdana" w:eastAsia="Times" w:hAnsi="Verdana"/>
          <w:sz w:val="20"/>
          <w:szCs w:val="24"/>
          <w:lang w:eastAsia="en-US"/>
        </w:rPr>
        <w:t>un</w:t>
      </w:r>
      <w:r w:rsidR="00411B07">
        <w:rPr>
          <w:rFonts w:ascii="Verdana" w:eastAsia="Times" w:hAnsi="Verdana"/>
          <w:sz w:val="20"/>
          <w:szCs w:val="24"/>
          <w:lang w:eastAsia="en-US"/>
        </w:rPr>
        <w:t xml:space="preserve">décimo </w:t>
      </w:r>
      <w:r w:rsidRPr="00C41A78">
        <w:rPr>
          <w:rFonts w:ascii="Verdana" w:eastAsia="Times" w:hAnsi="Verdana"/>
          <w:sz w:val="20"/>
          <w:szCs w:val="24"/>
          <w:lang w:eastAsia="en-US"/>
        </w:rPr>
        <w:t xml:space="preserve">y en </w:t>
      </w:r>
      <w:r>
        <w:rPr>
          <w:rFonts w:ascii="Verdana" w:eastAsia="Times" w:hAnsi="Verdana"/>
          <w:sz w:val="20"/>
          <w:szCs w:val="24"/>
          <w:lang w:eastAsia="en-US"/>
        </w:rPr>
        <w:t>los párrafos 203 a 205</w:t>
      </w:r>
      <w:r w:rsidRPr="00C41A78">
        <w:rPr>
          <w:rFonts w:ascii="Verdana" w:eastAsia="Times" w:hAnsi="Verdana"/>
          <w:sz w:val="20"/>
          <w:szCs w:val="24"/>
          <w:lang w:eastAsia="en-US"/>
        </w:rPr>
        <w:t xml:space="preserve"> de la Sentencia, la Corte dispuso que el Estado</w:t>
      </w:r>
      <w:r>
        <w:rPr>
          <w:rFonts w:ascii="Verdana" w:eastAsia="Times" w:hAnsi="Verdana"/>
          <w:sz w:val="20"/>
          <w:szCs w:val="24"/>
          <w:lang w:eastAsia="en-US"/>
        </w:rPr>
        <w:t xml:space="preserve"> </w:t>
      </w:r>
      <w:r w:rsidR="00835F65">
        <w:rPr>
          <w:rFonts w:ascii="Verdana" w:eastAsia="Times" w:hAnsi="Verdana"/>
          <w:sz w:val="20"/>
          <w:szCs w:val="24"/>
          <w:lang w:eastAsia="en-US"/>
        </w:rPr>
        <w:t>publicara en el plazo de seis meses, contado a partir de la notificación de la Sentencia: “</w:t>
      </w:r>
      <w:r w:rsidR="00835F65" w:rsidRPr="00835F65">
        <w:rPr>
          <w:rFonts w:ascii="Verdana" w:eastAsia="Times" w:hAnsi="Verdana"/>
          <w:sz w:val="20"/>
          <w:szCs w:val="24"/>
          <w:lang w:eastAsia="en-US"/>
        </w:rPr>
        <w:t xml:space="preserve">a) el </w:t>
      </w:r>
      <w:r w:rsidR="00835F65" w:rsidRPr="00835F65">
        <w:rPr>
          <w:rFonts w:ascii="Verdana" w:hAnsi="Verdana"/>
          <w:sz w:val="20"/>
          <w:szCs w:val="20"/>
        </w:rPr>
        <w:t>resumen</w:t>
      </w:r>
      <w:r w:rsidR="00835F65" w:rsidRPr="00835F65">
        <w:rPr>
          <w:rFonts w:ascii="Verdana" w:eastAsia="Times" w:hAnsi="Verdana"/>
          <w:sz w:val="20"/>
          <w:szCs w:val="24"/>
          <w:lang w:eastAsia="en-US"/>
        </w:rPr>
        <w:t xml:space="preserve"> oficial de la </w:t>
      </w:r>
      <w:r w:rsidR="00835F65">
        <w:rPr>
          <w:rFonts w:ascii="Verdana" w:eastAsia="Times" w:hAnsi="Verdana"/>
          <w:sz w:val="20"/>
          <w:szCs w:val="24"/>
          <w:lang w:eastAsia="en-US"/>
        </w:rPr>
        <w:t>[…]</w:t>
      </w:r>
      <w:r w:rsidR="00835F65" w:rsidRPr="00835F65">
        <w:rPr>
          <w:rFonts w:ascii="Verdana" w:eastAsia="Times" w:hAnsi="Verdana"/>
          <w:sz w:val="20"/>
          <w:szCs w:val="24"/>
          <w:lang w:eastAsia="en-US"/>
        </w:rPr>
        <w:t xml:space="preserve"> Sentencia elaborado por la </w:t>
      </w:r>
      <w:r w:rsidR="00835F65" w:rsidRPr="00835F65">
        <w:rPr>
          <w:rFonts w:ascii="Verdana" w:eastAsia="Times New Roman" w:hAnsi="Verdana"/>
          <w:bCs/>
          <w:kern w:val="32"/>
          <w:sz w:val="20"/>
          <w:szCs w:val="32"/>
          <w:lang w:eastAsia="en-US"/>
        </w:rPr>
        <w:t>Corte</w:t>
      </w:r>
      <w:r w:rsidR="00835F65" w:rsidRPr="00835F65">
        <w:rPr>
          <w:rFonts w:ascii="Verdana" w:eastAsia="Times" w:hAnsi="Verdana"/>
          <w:sz w:val="20"/>
          <w:szCs w:val="24"/>
          <w:lang w:eastAsia="en-US"/>
        </w:rPr>
        <w:t xml:space="preserve">, por una sola vez, en el Diario Oficial en un tamaño de letra legible y adecuado; b) el resumen oficial de la </w:t>
      </w:r>
      <w:r w:rsidR="00835F65">
        <w:rPr>
          <w:rFonts w:ascii="Verdana" w:eastAsia="Times" w:hAnsi="Verdana"/>
          <w:sz w:val="20"/>
          <w:szCs w:val="24"/>
          <w:lang w:eastAsia="en-US"/>
        </w:rPr>
        <w:t>[…]</w:t>
      </w:r>
      <w:r w:rsidR="00835F65" w:rsidRPr="00835F65">
        <w:rPr>
          <w:rFonts w:ascii="Verdana" w:eastAsia="Times" w:hAnsi="Verdana"/>
          <w:sz w:val="20"/>
          <w:szCs w:val="24"/>
          <w:lang w:eastAsia="en-US"/>
        </w:rPr>
        <w:t xml:space="preserve"> Sentencia elaborado por la</w:t>
      </w:r>
      <w:r w:rsidR="00835F65">
        <w:rPr>
          <w:rFonts w:ascii="Verdana" w:eastAsia="Times" w:hAnsi="Verdana"/>
          <w:sz w:val="20"/>
          <w:szCs w:val="24"/>
          <w:lang w:eastAsia="en-US"/>
        </w:rPr>
        <w:t xml:space="preserve"> </w:t>
      </w:r>
      <w:r w:rsidR="00835F65" w:rsidRPr="00835F65">
        <w:rPr>
          <w:rFonts w:ascii="Verdana" w:eastAsia="Times" w:hAnsi="Verdana"/>
          <w:sz w:val="20"/>
          <w:szCs w:val="24"/>
          <w:lang w:eastAsia="en-US"/>
        </w:rPr>
        <w:t xml:space="preserve">Corte, por una sola vez, en un diario de amplia circulación nacional en un tamaño de letra legible y adecuado, y c) la </w:t>
      </w:r>
      <w:r w:rsidR="00835F65">
        <w:rPr>
          <w:rFonts w:ascii="Verdana" w:eastAsia="Times" w:hAnsi="Verdana"/>
          <w:sz w:val="20"/>
          <w:szCs w:val="24"/>
          <w:lang w:eastAsia="en-US"/>
        </w:rPr>
        <w:t>[…]</w:t>
      </w:r>
      <w:r w:rsidR="00835F65" w:rsidRPr="00835F65">
        <w:rPr>
          <w:rFonts w:ascii="Verdana" w:eastAsia="Times" w:hAnsi="Verdana"/>
          <w:sz w:val="20"/>
          <w:szCs w:val="24"/>
          <w:lang w:eastAsia="en-US"/>
        </w:rPr>
        <w:t xml:space="preserve"> Sentencia en su integridad, disponible por un período de un año, en un sitio web oficial del Estado, de manera accesible al pú</w:t>
      </w:r>
      <w:r w:rsidR="00835F65">
        <w:rPr>
          <w:rFonts w:ascii="Verdana" w:eastAsia="Times" w:hAnsi="Verdana"/>
          <w:sz w:val="20"/>
          <w:szCs w:val="24"/>
          <w:lang w:eastAsia="en-US"/>
        </w:rPr>
        <w:t xml:space="preserve">blico desde su página de inicio”. A su vez, dispuso que el Estado, en </w:t>
      </w:r>
      <w:r w:rsidR="00AA45AC">
        <w:rPr>
          <w:rFonts w:ascii="Verdana" w:eastAsia="Times" w:hAnsi="Verdana"/>
          <w:sz w:val="20"/>
          <w:szCs w:val="24"/>
          <w:lang w:eastAsia="en-US"/>
        </w:rPr>
        <w:t>el mismo</w:t>
      </w:r>
      <w:r w:rsidR="00835F65">
        <w:rPr>
          <w:rFonts w:ascii="Verdana" w:eastAsia="Times" w:hAnsi="Verdana"/>
          <w:sz w:val="20"/>
          <w:szCs w:val="24"/>
          <w:lang w:eastAsia="en-US"/>
        </w:rPr>
        <w:t xml:space="preserve"> plazo, diera “</w:t>
      </w:r>
      <w:r w:rsidR="00835F65" w:rsidRPr="00835F65">
        <w:rPr>
          <w:rFonts w:ascii="Verdana" w:eastAsia="Times" w:hAnsi="Verdana"/>
          <w:sz w:val="20"/>
          <w:szCs w:val="24"/>
          <w:lang w:eastAsia="en-US"/>
        </w:rPr>
        <w:t>publicidad al resumen oficial de la Sentencia, a través de la radiodifusión en una emisora radial de amplia cobertura nacional, en horario de alta audiencia, por una única vez</w:t>
      </w:r>
      <w:r w:rsidR="00835F65">
        <w:rPr>
          <w:rFonts w:ascii="Verdana" w:eastAsia="Times" w:hAnsi="Verdana"/>
          <w:sz w:val="20"/>
          <w:szCs w:val="24"/>
          <w:lang w:eastAsia="en-US"/>
        </w:rPr>
        <w:t>”, para lo cual “</w:t>
      </w:r>
      <w:proofErr w:type="spellStart"/>
      <w:r w:rsidR="00835F65">
        <w:rPr>
          <w:rFonts w:ascii="Verdana" w:eastAsia="Times" w:hAnsi="Verdana"/>
          <w:sz w:val="20"/>
          <w:szCs w:val="24"/>
          <w:lang w:eastAsia="en-US"/>
        </w:rPr>
        <w:t>deb</w:t>
      </w:r>
      <w:proofErr w:type="spellEnd"/>
      <w:r w:rsidR="00835F65">
        <w:rPr>
          <w:rFonts w:ascii="Verdana" w:eastAsia="Times" w:hAnsi="Verdana"/>
          <w:sz w:val="20"/>
          <w:szCs w:val="24"/>
          <w:lang w:eastAsia="en-US"/>
        </w:rPr>
        <w:t>[</w:t>
      </w:r>
      <w:proofErr w:type="spellStart"/>
      <w:r w:rsidR="00835F65">
        <w:rPr>
          <w:rFonts w:ascii="Verdana" w:eastAsia="Times" w:hAnsi="Verdana"/>
          <w:sz w:val="20"/>
          <w:szCs w:val="24"/>
          <w:lang w:eastAsia="en-US"/>
        </w:rPr>
        <w:t>ía</w:t>
      </w:r>
      <w:proofErr w:type="spellEnd"/>
      <w:r w:rsidR="00835F65">
        <w:rPr>
          <w:rFonts w:ascii="Verdana" w:eastAsia="Times" w:hAnsi="Verdana"/>
          <w:sz w:val="20"/>
          <w:szCs w:val="24"/>
          <w:lang w:eastAsia="en-US"/>
        </w:rPr>
        <w:t xml:space="preserve">] </w:t>
      </w:r>
      <w:r w:rsidR="00835F65" w:rsidRPr="00835F65">
        <w:rPr>
          <w:rFonts w:ascii="Verdana" w:eastAsia="Times" w:hAnsi="Verdana"/>
          <w:sz w:val="20"/>
          <w:szCs w:val="24"/>
          <w:lang w:eastAsia="en-US"/>
        </w:rPr>
        <w:t>comunicar previamente a las representantes y a las víctimas, al menos con dos semanas de anticipación, la fecha, horario y emisora en que efectuar</w:t>
      </w:r>
      <w:r w:rsidR="00022460">
        <w:rPr>
          <w:rFonts w:ascii="Verdana" w:eastAsia="Times" w:hAnsi="Verdana"/>
          <w:sz w:val="20"/>
          <w:szCs w:val="24"/>
          <w:lang w:eastAsia="en-US"/>
        </w:rPr>
        <w:t>[</w:t>
      </w:r>
      <w:proofErr w:type="spellStart"/>
      <w:r w:rsidR="00AA45AC">
        <w:rPr>
          <w:rFonts w:ascii="Verdana" w:eastAsia="Times" w:hAnsi="Verdana"/>
          <w:sz w:val="20"/>
          <w:szCs w:val="24"/>
          <w:lang w:eastAsia="en-US"/>
        </w:rPr>
        <w:t>í</w:t>
      </w:r>
      <w:r w:rsidR="00022460">
        <w:rPr>
          <w:rFonts w:ascii="Verdana" w:eastAsia="Times" w:hAnsi="Verdana"/>
          <w:sz w:val="20"/>
          <w:szCs w:val="24"/>
          <w:lang w:eastAsia="en-US"/>
        </w:rPr>
        <w:t>a</w:t>
      </w:r>
      <w:proofErr w:type="spellEnd"/>
      <w:r w:rsidR="00022460">
        <w:rPr>
          <w:rFonts w:ascii="Verdana" w:eastAsia="Times" w:hAnsi="Verdana"/>
          <w:sz w:val="20"/>
          <w:szCs w:val="24"/>
          <w:lang w:eastAsia="en-US"/>
        </w:rPr>
        <w:t>]</w:t>
      </w:r>
      <w:r w:rsidR="00835F65" w:rsidRPr="00835F65">
        <w:rPr>
          <w:rFonts w:ascii="Verdana" w:eastAsia="Times" w:hAnsi="Verdana"/>
          <w:sz w:val="20"/>
          <w:szCs w:val="24"/>
          <w:lang w:eastAsia="en-US"/>
        </w:rPr>
        <w:t xml:space="preserve"> tal radiodifusión</w:t>
      </w:r>
      <w:r w:rsidR="00411B07">
        <w:rPr>
          <w:rFonts w:ascii="Verdana" w:eastAsia="Times" w:hAnsi="Verdana"/>
          <w:sz w:val="20"/>
          <w:szCs w:val="24"/>
          <w:lang w:eastAsia="en-US"/>
        </w:rPr>
        <w:t>”</w:t>
      </w:r>
      <w:r w:rsidR="00835F65" w:rsidRPr="00835F65">
        <w:rPr>
          <w:rFonts w:ascii="Verdana" w:eastAsia="Times" w:hAnsi="Verdana"/>
          <w:sz w:val="20"/>
          <w:szCs w:val="24"/>
          <w:lang w:eastAsia="en-US"/>
        </w:rPr>
        <w:t>.</w:t>
      </w:r>
    </w:p>
    <w:p w14:paraId="166C2357" w14:textId="77777777" w:rsidR="00835F65" w:rsidRDefault="00835F65" w:rsidP="00B11F2A">
      <w:pPr>
        <w:pStyle w:val="Prrafodelista"/>
        <w:suppressLineNumbers/>
        <w:spacing w:before="120" w:after="0" w:line="240" w:lineRule="auto"/>
        <w:ind w:left="0" w:right="49"/>
        <w:contextualSpacing w:val="0"/>
        <w:jc w:val="both"/>
        <w:rPr>
          <w:rFonts w:ascii="Verdana" w:eastAsia="Times" w:hAnsi="Verdana"/>
          <w:sz w:val="20"/>
          <w:szCs w:val="24"/>
          <w:lang w:val="es-CO" w:eastAsia="en-US"/>
        </w:rPr>
      </w:pPr>
    </w:p>
    <w:p w14:paraId="4D9475BB" w14:textId="77777777" w:rsidR="007B4071" w:rsidRPr="00C41A78" w:rsidRDefault="007B4071" w:rsidP="00B11F2A">
      <w:pPr>
        <w:pStyle w:val="Prrafodelista"/>
        <w:suppressLineNumbers/>
        <w:spacing w:before="120" w:after="0" w:line="240" w:lineRule="auto"/>
        <w:ind w:left="0" w:right="49"/>
        <w:contextualSpacing w:val="0"/>
        <w:jc w:val="both"/>
        <w:rPr>
          <w:rFonts w:ascii="Verdana" w:eastAsia="Times" w:hAnsi="Verdana"/>
          <w:sz w:val="20"/>
          <w:szCs w:val="24"/>
          <w:lang w:val="es-CO" w:eastAsia="en-US"/>
        </w:rPr>
      </w:pPr>
    </w:p>
    <w:p w14:paraId="53755874" w14:textId="77777777" w:rsidR="00005110" w:rsidRPr="00005110" w:rsidRDefault="00CA6686" w:rsidP="00B11F2A">
      <w:pPr>
        <w:suppressLineNumbers/>
        <w:ind w:right="49" w:firstLine="720"/>
        <w:rPr>
          <w:rFonts w:ascii="Verdana" w:eastAsia="Times" w:hAnsi="Verdana"/>
          <w:i/>
          <w:sz w:val="20"/>
          <w:szCs w:val="24"/>
          <w:lang w:val="es-CO" w:eastAsia="en-US"/>
        </w:rPr>
      </w:pPr>
      <w:r>
        <w:rPr>
          <w:rFonts w:ascii="Verdana" w:eastAsia="Times" w:hAnsi="Verdana"/>
          <w:i/>
          <w:sz w:val="20"/>
          <w:szCs w:val="24"/>
          <w:lang w:val="es-CO" w:eastAsia="en-US"/>
        </w:rPr>
        <w:t>C</w:t>
      </w:r>
      <w:r w:rsidR="00005110" w:rsidRPr="00005110">
        <w:rPr>
          <w:rFonts w:ascii="Verdana" w:eastAsia="Times" w:hAnsi="Verdana"/>
          <w:i/>
          <w:sz w:val="20"/>
          <w:szCs w:val="24"/>
          <w:lang w:val="es-CO" w:eastAsia="en-US"/>
        </w:rPr>
        <w:t>.2. Consideraciones de la Corte</w:t>
      </w:r>
    </w:p>
    <w:p w14:paraId="57CF4BF5" w14:textId="77777777" w:rsidR="00005110" w:rsidRPr="00EA1080" w:rsidRDefault="00F100F0" w:rsidP="00B11F2A">
      <w:pPr>
        <w:pStyle w:val="Prrafodelista"/>
        <w:numPr>
          <w:ilvl w:val="0"/>
          <w:numId w:val="4"/>
        </w:numPr>
        <w:suppressLineNumbers/>
        <w:spacing w:before="120" w:line="240" w:lineRule="auto"/>
        <w:ind w:left="0" w:right="49" w:firstLine="0"/>
        <w:contextualSpacing w:val="0"/>
        <w:jc w:val="both"/>
        <w:rPr>
          <w:rFonts w:ascii="Verdana" w:eastAsia="Times" w:hAnsi="Verdana"/>
          <w:sz w:val="20"/>
          <w:szCs w:val="24"/>
          <w:lang w:eastAsia="en-US"/>
        </w:rPr>
      </w:pPr>
      <w:r>
        <w:rPr>
          <w:rFonts w:ascii="Verdana" w:eastAsia="Times" w:hAnsi="Verdana"/>
          <w:sz w:val="20"/>
          <w:szCs w:val="24"/>
          <w:lang w:eastAsia="en-US"/>
        </w:rPr>
        <w:t>Esta Corte observa que la</w:t>
      </w:r>
      <w:r w:rsidR="00835F65" w:rsidRPr="00835F65">
        <w:rPr>
          <w:rFonts w:ascii="Verdana" w:eastAsia="Times" w:hAnsi="Verdana"/>
          <w:sz w:val="20"/>
          <w:szCs w:val="24"/>
          <w:lang w:eastAsia="en-US"/>
        </w:rPr>
        <w:t xml:space="preserve">s </w:t>
      </w:r>
      <w:r w:rsidR="00835F65" w:rsidRPr="00E840A1">
        <w:rPr>
          <w:rFonts w:ascii="Verdana" w:eastAsia="Times" w:hAnsi="Verdana"/>
          <w:i/>
          <w:sz w:val="20"/>
          <w:szCs w:val="24"/>
          <w:lang w:eastAsia="en-US"/>
        </w:rPr>
        <w:t>representantes de las víctimas</w:t>
      </w:r>
      <w:r w:rsidR="00835F65" w:rsidRPr="00835F65">
        <w:rPr>
          <w:rFonts w:ascii="Verdana" w:eastAsia="Times" w:hAnsi="Verdana"/>
          <w:sz w:val="20"/>
          <w:szCs w:val="24"/>
          <w:lang w:eastAsia="en-US"/>
        </w:rPr>
        <w:t xml:space="preserve"> </w:t>
      </w:r>
      <w:r>
        <w:rPr>
          <w:rFonts w:ascii="Verdana" w:eastAsia="Times" w:hAnsi="Verdana"/>
          <w:sz w:val="20"/>
          <w:szCs w:val="24"/>
          <w:lang w:eastAsia="en-US"/>
        </w:rPr>
        <w:t>indica</w:t>
      </w:r>
      <w:r w:rsidR="008408C7">
        <w:rPr>
          <w:rFonts w:ascii="Verdana" w:eastAsia="Times" w:hAnsi="Verdana"/>
          <w:sz w:val="20"/>
          <w:szCs w:val="24"/>
          <w:lang w:eastAsia="en-US"/>
        </w:rPr>
        <w:t>ron</w:t>
      </w:r>
      <w:r>
        <w:rPr>
          <w:rFonts w:ascii="Verdana" w:eastAsia="Times" w:hAnsi="Verdana"/>
          <w:sz w:val="20"/>
          <w:szCs w:val="24"/>
          <w:lang w:eastAsia="en-US"/>
        </w:rPr>
        <w:t xml:space="preserve"> que</w:t>
      </w:r>
      <w:r w:rsidR="00FF1D52">
        <w:rPr>
          <w:rFonts w:ascii="Verdana" w:eastAsia="Times" w:hAnsi="Verdana"/>
          <w:sz w:val="20"/>
          <w:szCs w:val="24"/>
          <w:lang w:eastAsia="en-US"/>
        </w:rPr>
        <w:t xml:space="preserve"> el Estado</w:t>
      </w:r>
      <w:r>
        <w:rPr>
          <w:rFonts w:ascii="Verdana" w:eastAsia="Times" w:hAnsi="Verdana"/>
          <w:sz w:val="20"/>
          <w:szCs w:val="24"/>
          <w:lang w:eastAsia="en-US"/>
        </w:rPr>
        <w:t xml:space="preserve"> </w:t>
      </w:r>
      <w:r w:rsidR="00E840A1" w:rsidRPr="00E840A1">
        <w:rPr>
          <w:rFonts w:ascii="Verdana" w:eastAsia="Times" w:hAnsi="Verdana"/>
          <w:sz w:val="20"/>
          <w:szCs w:val="20"/>
          <w:lang w:eastAsia="en-US"/>
        </w:rPr>
        <w:t>no ha dado cumplimiento</w:t>
      </w:r>
      <w:r w:rsidR="0009506F">
        <w:rPr>
          <w:rFonts w:ascii="Verdana" w:eastAsia="Times" w:hAnsi="Verdana"/>
          <w:sz w:val="20"/>
          <w:szCs w:val="20"/>
          <w:lang w:eastAsia="en-US"/>
        </w:rPr>
        <w:t xml:space="preserve"> aún</w:t>
      </w:r>
      <w:r w:rsidR="00E840A1" w:rsidRPr="00E840A1">
        <w:rPr>
          <w:rFonts w:ascii="Verdana" w:eastAsia="Times" w:hAnsi="Verdana"/>
          <w:sz w:val="20"/>
          <w:szCs w:val="20"/>
          <w:lang w:eastAsia="en-US"/>
        </w:rPr>
        <w:t xml:space="preserve"> a las tres medidas relativas a </w:t>
      </w:r>
      <w:r w:rsidR="00E840A1" w:rsidRPr="00E840A1">
        <w:rPr>
          <w:rFonts w:ascii="Verdana" w:hAnsi="Verdana"/>
          <w:sz w:val="20"/>
          <w:szCs w:val="20"/>
        </w:rPr>
        <w:t xml:space="preserve">publicar la Sentencia y su resumen oficial en una página web oficial, en el Diario oficial y en un diario de amplia </w:t>
      </w:r>
      <w:r w:rsidR="00E840A1" w:rsidRPr="00E840A1">
        <w:rPr>
          <w:rFonts w:ascii="Verdana" w:hAnsi="Verdana"/>
          <w:sz w:val="20"/>
          <w:szCs w:val="20"/>
        </w:rPr>
        <w:lastRenderedPageBreak/>
        <w:t>circulación nacional</w:t>
      </w:r>
      <w:r w:rsidR="00E840A1" w:rsidRPr="00E840A1">
        <w:rPr>
          <w:rFonts w:ascii="Verdana" w:eastAsia="Times" w:hAnsi="Verdana"/>
          <w:sz w:val="20"/>
          <w:szCs w:val="20"/>
          <w:lang w:eastAsia="en-US"/>
        </w:rPr>
        <w:t xml:space="preserve"> (</w:t>
      </w:r>
      <w:r w:rsidR="00E840A1" w:rsidRPr="00E840A1">
        <w:rPr>
          <w:rFonts w:ascii="Verdana" w:eastAsia="Times" w:hAnsi="Verdana"/>
          <w:i/>
          <w:sz w:val="20"/>
          <w:szCs w:val="20"/>
          <w:lang w:eastAsia="en-US"/>
        </w:rPr>
        <w:t>supra</w:t>
      </w:r>
      <w:r w:rsidR="00E840A1" w:rsidRPr="00E840A1">
        <w:rPr>
          <w:rFonts w:ascii="Verdana" w:eastAsia="Times" w:hAnsi="Verdana"/>
          <w:sz w:val="20"/>
          <w:szCs w:val="20"/>
          <w:lang w:eastAsia="en-US"/>
        </w:rPr>
        <w:t xml:space="preserve"> Considerando 1</w:t>
      </w:r>
      <w:r w:rsidR="001826B6">
        <w:rPr>
          <w:rFonts w:ascii="Verdana" w:eastAsia="Times" w:hAnsi="Verdana"/>
          <w:sz w:val="20"/>
          <w:szCs w:val="20"/>
          <w:lang w:eastAsia="en-US"/>
        </w:rPr>
        <w:t>6</w:t>
      </w:r>
      <w:r w:rsidR="00E840A1" w:rsidRPr="00E840A1">
        <w:rPr>
          <w:rFonts w:ascii="Verdana" w:eastAsia="Times" w:hAnsi="Verdana"/>
          <w:sz w:val="20"/>
          <w:szCs w:val="20"/>
          <w:lang w:eastAsia="en-US"/>
        </w:rPr>
        <w:t>)</w:t>
      </w:r>
      <w:r w:rsidR="0009506F">
        <w:rPr>
          <w:rFonts w:ascii="Verdana" w:eastAsia="Times" w:hAnsi="Verdana"/>
          <w:sz w:val="20"/>
          <w:szCs w:val="20"/>
          <w:lang w:eastAsia="en-US"/>
        </w:rPr>
        <w:t>. Por otra parte</w:t>
      </w:r>
      <w:r w:rsidR="00E840A1">
        <w:rPr>
          <w:rFonts w:ascii="Verdana" w:eastAsia="Times" w:hAnsi="Verdana"/>
          <w:sz w:val="20"/>
          <w:szCs w:val="20"/>
          <w:lang w:eastAsia="en-US"/>
        </w:rPr>
        <w:t xml:space="preserve">, </w:t>
      </w:r>
      <w:r w:rsidR="0009506F">
        <w:rPr>
          <w:rFonts w:ascii="Verdana" w:eastAsia="Times" w:hAnsi="Verdana"/>
          <w:sz w:val="20"/>
          <w:szCs w:val="20"/>
          <w:lang w:eastAsia="en-US"/>
        </w:rPr>
        <w:t>informaron que</w:t>
      </w:r>
      <w:r w:rsidR="00AA45AC">
        <w:rPr>
          <w:rFonts w:ascii="Verdana" w:eastAsia="Times" w:hAnsi="Verdana"/>
          <w:sz w:val="20"/>
          <w:szCs w:val="20"/>
          <w:lang w:eastAsia="en-US"/>
        </w:rPr>
        <w:t xml:space="preserve"> el</w:t>
      </w:r>
      <w:r w:rsidR="0009506F">
        <w:rPr>
          <w:rFonts w:ascii="Verdana" w:eastAsia="Times" w:hAnsi="Verdana"/>
          <w:sz w:val="20"/>
          <w:szCs w:val="20"/>
          <w:lang w:eastAsia="en-US"/>
        </w:rPr>
        <w:t xml:space="preserve"> </w:t>
      </w:r>
      <w:r w:rsidR="00AA45AC">
        <w:rPr>
          <w:rFonts w:ascii="Verdana" w:eastAsia="Times" w:hAnsi="Verdana"/>
          <w:sz w:val="20"/>
          <w:szCs w:val="24"/>
          <w:lang w:eastAsia="en-US"/>
        </w:rPr>
        <w:t xml:space="preserve">13 de diciembre de 2018 </w:t>
      </w:r>
      <w:r w:rsidR="0009506F">
        <w:rPr>
          <w:rFonts w:ascii="Verdana" w:eastAsia="Times" w:hAnsi="Verdana"/>
          <w:sz w:val="20"/>
          <w:szCs w:val="20"/>
          <w:lang w:eastAsia="en-US"/>
        </w:rPr>
        <w:t xml:space="preserve">se llevó a cabo </w:t>
      </w:r>
      <w:r w:rsidR="007B4071">
        <w:rPr>
          <w:rFonts w:ascii="Verdana" w:eastAsia="Times" w:hAnsi="Verdana"/>
          <w:sz w:val="20"/>
          <w:szCs w:val="24"/>
          <w:lang w:eastAsia="en-US"/>
        </w:rPr>
        <w:t>una</w:t>
      </w:r>
      <w:r>
        <w:rPr>
          <w:rFonts w:ascii="Verdana" w:eastAsia="Times" w:hAnsi="Verdana"/>
          <w:sz w:val="20"/>
          <w:szCs w:val="24"/>
          <w:lang w:eastAsia="en-US"/>
        </w:rPr>
        <w:t xml:space="preserve"> radiodifusión del resumen oficial de la decisión </w:t>
      </w:r>
      <w:r w:rsidR="00AA45AC">
        <w:rPr>
          <w:rFonts w:ascii="Verdana" w:eastAsia="Times" w:hAnsi="Verdana"/>
          <w:sz w:val="20"/>
          <w:szCs w:val="24"/>
          <w:lang w:eastAsia="en-US"/>
        </w:rPr>
        <w:t>“</w:t>
      </w:r>
      <w:r>
        <w:rPr>
          <w:rFonts w:ascii="Verdana" w:eastAsia="Times" w:hAnsi="Verdana"/>
          <w:sz w:val="20"/>
          <w:szCs w:val="24"/>
          <w:lang w:eastAsia="en-US"/>
        </w:rPr>
        <w:t>a través de la emisora Tiuna 101.9 FM, así como a través de cuatro diales</w:t>
      </w:r>
      <w:r w:rsidR="00F97953">
        <w:rPr>
          <w:rFonts w:ascii="Verdana" w:eastAsia="Times" w:hAnsi="Verdana"/>
          <w:sz w:val="20"/>
          <w:szCs w:val="24"/>
          <w:lang w:eastAsia="en-US"/>
        </w:rPr>
        <w:t xml:space="preserve"> [emisoras]</w:t>
      </w:r>
      <w:r>
        <w:rPr>
          <w:rFonts w:ascii="Verdana" w:eastAsia="Times" w:hAnsi="Verdana"/>
          <w:sz w:val="20"/>
          <w:szCs w:val="24"/>
          <w:lang w:eastAsia="en-US"/>
        </w:rPr>
        <w:t>”</w:t>
      </w:r>
      <w:r>
        <w:rPr>
          <w:rStyle w:val="Refdenotaalpie"/>
          <w:rFonts w:ascii="Verdana" w:eastAsia="Times" w:hAnsi="Verdana"/>
          <w:sz w:val="20"/>
          <w:szCs w:val="24"/>
          <w:lang w:eastAsia="en-US"/>
        </w:rPr>
        <w:footnoteReference w:id="25"/>
      </w:r>
      <w:r>
        <w:rPr>
          <w:rFonts w:ascii="Verdana" w:eastAsia="Times" w:hAnsi="Verdana"/>
          <w:sz w:val="20"/>
          <w:szCs w:val="24"/>
          <w:lang w:eastAsia="en-US"/>
        </w:rPr>
        <w:t xml:space="preserve">. Sin embargo, </w:t>
      </w:r>
      <w:r w:rsidR="007D7290">
        <w:rPr>
          <w:rFonts w:ascii="Verdana" w:eastAsia="Times" w:hAnsi="Verdana"/>
          <w:sz w:val="20"/>
          <w:szCs w:val="24"/>
          <w:lang w:eastAsia="en-US"/>
        </w:rPr>
        <w:t>el señor Edgar Humberto Ort</w:t>
      </w:r>
      <w:r w:rsidR="00BA70C9">
        <w:rPr>
          <w:rFonts w:ascii="Verdana" w:eastAsia="Times" w:hAnsi="Verdana"/>
          <w:sz w:val="20"/>
          <w:szCs w:val="24"/>
          <w:lang w:eastAsia="en-US"/>
        </w:rPr>
        <w:t>i</w:t>
      </w:r>
      <w:r w:rsidR="007D7290">
        <w:rPr>
          <w:rFonts w:ascii="Verdana" w:eastAsia="Times" w:hAnsi="Verdana"/>
          <w:sz w:val="20"/>
          <w:szCs w:val="24"/>
          <w:lang w:eastAsia="en-US"/>
        </w:rPr>
        <w:t xml:space="preserve">z Ruiz </w:t>
      </w:r>
      <w:r w:rsidR="00E840A1">
        <w:rPr>
          <w:rFonts w:ascii="Verdana" w:eastAsia="Times" w:hAnsi="Verdana"/>
          <w:sz w:val="20"/>
          <w:szCs w:val="24"/>
          <w:lang w:eastAsia="en-US"/>
        </w:rPr>
        <w:t>manifest</w:t>
      </w:r>
      <w:r w:rsidR="007D7290">
        <w:rPr>
          <w:rFonts w:ascii="Verdana" w:eastAsia="Times" w:hAnsi="Verdana"/>
          <w:sz w:val="20"/>
          <w:szCs w:val="24"/>
          <w:lang w:eastAsia="en-US"/>
        </w:rPr>
        <w:t>ó</w:t>
      </w:r>
      <w:r w:rsidR="00E840A1">
        <w:rPr>
          <w:rFonts w:ascii="Verdana" w:eastAsia="Times" w:hAnsi="Verdana"/>
          <w:sz w:val="20"/>
          <w:szCs w:val="24"/>
          <w:lang w:eastAsia="en-US"/>
        </w:rPr>
        <w:t xml:space="preserve"> </w:t>
      </w:r>
      <w:r>
        <w:rPr>
          <w:rFonts w:ascii="Verdana" w:eastAsia="Times" w:hAnsi="Verdana"/>
          <w:sz w:val="20"/>
          <w:szCs w:val="24"/>
          <w:lang w:eastAsia="en-US"/>
        </w:rPr>
        <w:t xml:space="preserve">“su desacuerdo con las emisoras elegidas para dicha radiodifusión por considerar que existían emisoras con cobertura nacional, que no necesitaban utilizar otras </w:t>
      </w:r>
      <w:r w:rsidR="008408C7">
        <w:rPr>
          <w:rFonts w:ascii="Verdana" w:eastAsia="Times" w:hAnsi="Verdana"/>
          <w:sz w:val="20"/>
          <w:szCs w:val="24"/>
          <w:lang w:eastAsia="en-US"/>
        </w:rPr>
        <w:t xml:space="preserve">[estaciones de radio] </w:t>
      </w:r>
      <w:r>
        <w:rPr>
          <w:rFonts w:ascii="Verdana" w:eastAsia="Times" w:hAnsi="Verdana"/>
          <w:sz w:val="20"/>
          <w:szCs w:val="24"/>
          <w:lang w:eastAsia="en-US"/>
        </w:rPr>
        <w:t xml:space="preserve">para ser escuchadas en San </w:t>
      </w:r>
      <w:proofErr w:type="spellStart"/>
      <w:r>
        <w:rPr>
          <w:rFonts w:ascii="Verdana" w:eastAsia="Times" w:hAnsi="Verdana"/>
          <w:sz w:val="20"/>
          <w:szCs w:val="24"/>
          <w:lang w:eastAsia="en-US"/>
        </w:rPr>
        <w:t>Cristobal</w:t>
      </w:r>
      <w:proofErr w:type="spellEnd"/>
      <w:r>
        <w:rPr>
          <w:rFonts w:ascii="Verdana" w:eastAsia="Times" w:hAnsi="Verdana"/>
          <w:sz w:val="20"/>
          <w:szCs w:val="24"/>
          <w:lang w:eastAsia="en-US"/>
        </w:rPr>
        <w:t>, además de tener un mayor nivel de audiencia”</w:t>
      </w:r>
      <w:r>
        <w:rPr>
          <w:rStyle w:val="Refdenotaalpie"/>
          <w:rFonts w:ascii="Verdana" w:eastAsia="Times" w:hAnsi="Verdana"/>
          <w:sz w:val="20"/>
          <w:szCs w:val="24"/>
          <w:lang w:eastAsia="en-US"/>
        </w:rPr>
        <w:footnoteReference w:id="26"/>
      </w:r>
      <w:r>
        <w:rPr>
          <w:rFonts w:ascii="Verdana" w:eastAsia="Times" w:hAnsi="Verdana"/>
          <w:sz w:val="20"/>
          <w:szCs w:val="24"/>
          <w:lang w:eastAsia="en-US"/>
        </w:rPr>
        <w:t xml:space="preserve">. </w:t>
      </w:r>
      <w:r w:rsidR="00EA1080">
        <w:rPr>
          <w:rFonts w:ascii="Verdana" w:eastAsia="Times" w:hAnsi="Verdana"/>
          <w:sz w:val="20"/>
          <w:szCs w:val="24"/>
          <w:lang w:eastAsia="en-US"/>
        </w:rPr>
        <w:t xml:space="preserve">Adicionalmente, </w:t>
      </w:r>
      <w:r w:rsidR="007D7290" w:rsidRPr="007D7290">
        <w:rPr>
          <w:rFonts w:ascii="Verdana" w:eastAsia="Times" w:hAnsi="Verdana"/>
          <w:i/>
          <w:sz w:val="20"/>
          <w:szCs w:val="24"/>
          <w:lang w:eastAsia="en-US"/>
        </w:rPr>
        <w:t xml:space="preserve">las representantes </w:t>
      </w:r>
      <w:r w:rsidR="007D7290">
        <w:rPr>
          <w:rFonts w:ascii="Verdana" w:eastAsia="Times" w:hAnsi="Verdana"/>
          <w:sz w:val="20"/>
          <w:szCs w:val="24"/>
          <w:lang w:eastAsia="en-US"/>
        </w:rPr>
        <w:t>señalaron</w:t>
      </w:r>
      <w:r w:rsidR="00EA1080">
        <w:rPr>
          <w:rFonts w:ascii="Verdana" w:eastAsia="Times" w:hAnsi="Verdana"/>
          <w:sz w:val="20"/>
          <w:szCs w:val="24"/>
          <w:lang w:eastAsia="en-US"/>
        </w:rPr>
        <w:t xml:space="preserve"> que, con posterioridad a dicha emisión, el señor Edgar Ortiz solicitó una copia del audio a personal que labora en la oficina del Agente del Estado, sin haberla recibido. </w:t>
      </w:r>
    </w:p>
    <w:p w14:paraId="46A1CC79" w14:textId="77777777" w:rsidR="000B0D35" w:rsidRDefault="00E840A1" w:rsidP="00B11F2A">
      <w:pPr>
        <w:pStyle w:val="Prrafodelista"/>
        <w:numPr>
          <w:ilvl w:val="0"/>
          <w:numId w:val="4"/>
        </w:numPr>
        <w:suppressLineNumbers/>
        <w:spacing w:before="120" w:line="240" w:lineRule="auto"/>
        <w:ind w:left="0" w:right="49" w:firstLine="0"/>
        <w:contextualSpacing w:val="0"/>
        <w:jc w:val="both"/>
        <w:rPr>
          <w:rFonts w:ascii="Verdana" w:eastAsia="Times" w:hAnsi="Verdana"/>
          <w:sz w:val="20"/>
          <w:szCs w:val="24"/>
          <w:lang w:eastAsia="en-US"/>
        </w:rPr>
      </w:pPr>
      <w:r>
        <w:rPr>
          <w:rFonts w:ascii="Verdana" w:eastAsia="Times" w:hAnsi="Verdana"/>
          <w:sz w:val="20"/>
          <w:szCs w:val="24"/>
          <w:lang w:eastAsia="en-US"/>
        </w:rPr>
        <w:t xml:space="preserve">Ante tal objeción de las representantes y debido a que el Estado no ha </w:t>
      </w:r>
      <w:r w:rsidR="00E20C49">
        <w:rPr>
          <w:rFonts w:ascii="Verdana" w:eastAsia="Times" w:hAnsi="Verdana"/>
          <w:sz w:val="20"/>
          <w:szCs w:val="24"/>
          <w:lang w:eastAsia="en-US"/>
        </w:rPr>
        <w:t xml:space="preserve">presentado </w:t>
      </w:r>
      <w:r>
        <w:rPr>
          <w:rFonts w:ascii="Verdana" w:eastAsia="Times" w:hAnsi="Verdana"/>
          <w:sz w:val="20"/>
          <w:szCs w:val="24"/>
          <w:lang w:eastAsia="en-US"/>
        </w:rPr>
        <w:t>informa</w:t>
      </w:r>
      <w:r w:rsidR="00E20C49">
        <w:rPr>
          <w:rFonts w:ascii="Verdana" w:eastAsia="Times" w:hAnsi="Verdana"/>
          <w:sz w:val="20"/>
          <w:szCs w:val="24"/>
          <w:lang w:eastAsia="en-US"/>
        </w:rPr>
        <w:t xml:space="preserve">ción y soporte de respaldo </w:t>
      </w:r>
      <w:r>
        <w:rPr>
          <w:rFonts w:ascii="Verdana" w:eastAsia="Times" w:hAnsi="Verdana"/>
          <w:sz w:val="20"/>
          <w:szCs w:val="24"/>
          <w:lang w:eastAsia="en-US"/>
        </w:rPr>
        <w:t xml:space="preserve">sobre el cumplimiento de la referida medida relativa a la difusión radial, </w:t>
      </w:r>
      <w:r w:rsidR="000B0D35">
        <w:rPr>
          <w:rFonts w:ascii="Verdana" w:eastAsia="Times" w:hAnsi="Verdana"/>
          <w:sz w:val="20"/>
          <w:szCs w:val="24"/>
          <w:lang w:eastAsia="en-US"/>
        </w:rPr>
        <w:t xml:space="preserve">el Tribunal </w:t>
      </w:r>
      <w:r w:rsidR="000754AF">
        <w:rPr>
          <w:rFonts w:ascii="Verdana" w:eastAsia="Times" w:hAnsi="Verdana"/>
          <w:sz w:val="20"/>
          <w:szCs w:val="24"/>
          <w:lang w:eastAsia="en-US"/>
        </w:rPr>
        <w:t>requiere que Venezuela aclare dicho extremo de la implementación de la medida</w:t>
      </w:r>
      <w:r w:rsidR="0065435E">
        <w:rPr>
          <w:rFonts w:ascii="Verdana" w:eastAsia="Times" w:hAnsi="Verdana"/>
          <w:sz w:val="20"/>
          <w:szCs w:val="24"/>
          <w:lang w:eastAsia="en-US"/>
        </w:rPr>
        <w:t xml:space="preserve"> y acompañe una copia del audio de la </w:t>
      </w:r>
      <w:proofErr w:type="spellStart"/>
      <w:r w:rsidR="0065435E">
        <w:rPr>
          <w:rFonts w:ascii="Verdana" w:eastAsia="Times" w:hAnsi="Verdana"/>
          <w:sz w:val="20"/>
          <w:szCs w:val="24"/>
          <w:lang w:eastAsia="en-US"/>
        </w:rPr>
        <w:t>radiofusión</w:t>
      </w:r>
      <w:proofErr w:type="spellEnd"/>
      <w:r w:rsidR="0065435E">
        <w:rPr>
          <w:rFonts w:ascii="Verdana" w:eastAsia="Times" w:hAnsi="Verdana"/>
          <w:sz w:val="20"/>
          <w:szCs w:val="24"/>
          <w:lang w:eastAsia="en-US"/>
        </w:rPr>
        <w:t xml:space="preserve"> del resumen de la Sentencia a los fines de valorar el cumplimiento de esta medida</w:t>
      </w:r>
      <w:r w:rsidR="000754AF">
        <w:rPr>
          <w:rFonts w:ascii="Verdana" w:eastAsia="Times" w:hAnsi="Verdana"/>
          <w:sz w:val="20"/>
          <w:szCs w:val="24"/>
          <w:lang w:eastAsia="en-US"/>
        </w:rPr>
        <w:t xml:space="preserve">. </w:t>
      </w:r>
    </w:p>
    <w:p w14:paraId="482E08F6" w14:textId="77777777" w:rsidR="000754AF" w:rsidRDefault="000754AF" w:rsidP="00B11F2A">
      <w:pPr>
        <w:pStyle w:val="Prrafodelista"/>
        <w:numPr>
          <w:ilvl w:val="0"/>
          <w:numId w:val="4"/>
        </w:numPr>
        <w:suppressLineNumbers/>
        <w:spacing w:before="120" w:line="240" w:lineRule="auto"/>
        <w:ind w:left="0" w:right="49" w:firstLine="0"/>
        <w:contextualSpacing w:val="0"/>
        <w:jc w:val="both"/>
        <w:rPr>
          <w:rFonts w:ascii="Verdana" w:eastAsia="Times" w:hAnsi="Verdana"/>
          <w:sz w:val="20"/>
          <w:szCs w:val="24"/>
          <w:lang w:eastAsia="en-US"/>
        </w:rPr>
      </w:pPr>
      <w:r>
        <w:rPr>
          <w:rFonts w:ascii="Verdana" w:eastAsia="Times" w:hAnsi="Verdana"/>
          <w:sz w:val="20"/>
          <w:szCs w:val="24"/>
          <w:lang w:eastAsia="en-US"/>
        </w:rPr>
        <w:t>Con base en lo expuesto, la Corte considera que se encuentra</w:t>
      </w:r>
      <w:r w:rsidR="005B5CF2">
        <w:rPr>
          <w:rFonts w:ascii="Verdana" w:eastAsia="Times" w:hAnsi="Verdana"/>
          <w:sz w:val="20"/>
          <w:szCs w:val="24"/>
          <w:lang w:eastAsia="en-US"/>
        </w:rPr>
        <w:t>n</w:t>
      </w:r>
      <w:r>
        <w:rPr>
          <w:rFonts w:ascii="Verdana" w:eastAsia="Times" w:hAnsi="Verdana"/>
          <w:sz w:val="20"/>
          <w:szCs w:val="24"/>
          <w:lang w:eastAsia="en-US"/>
        </w:rPr>
        <w:t xml:space="preserve"> pendiente</w:t>
      </w:r>
      <w:r w:rsidR="005B5CF2">
        <w:rPr>
          <w:rFonts w:ascii="Verdana" w:eastAsia="Times" w:hAnsi="Verdana"/>
          <w:sz w:val="20"/>
          <w:szCs w:val="24"/>
          <w:lang w:eastAsia="en-US"/>
        </w:rPr>
        <w:t>s</w:t>
      </w:r>
      <w:r>
        <w:rPr>
          <w:rFonts w:ascii="Verdana" w:eastAsia="Times" w:hAnsi="Verdana"/>
          <w:sz w:val="20"/>
          <w:szCs w:val="24"/>
          <w:lang w:eastAsia="en-US"/>
        </w:rPr>
        <w:t xml:space="preserve"> de cumplimiento </w:t>
      </w:r>
      <w:r w:rsidR="005B5CF2">
        <w:rPr>
          <w:rFonts w:ascii="Verdana" w:eastAsia="Times" w:hAnsi="Verdana"/>
          <w:sz w:val="20"/>
          <w:szCs w:val="24"/>
          <w:lang w:eastAsia="en-US"/>
        </w:rPr>
        <w:t>todas las</w:t>
      </w:r>
      <w:r>
        <w:rPr>
          <w:rFonts w:ascii="Verdana" w:eastAsia="Times" w:hAnsi="Verdana"/>
          <w:sz w:val="20"/>
          <w:szCs w:val="24"/>
          <w:lang w:eastAsia="en-US"/>
        </w:rPr>
        <w:t xml:space="preserve"> medida</w:t>
      </w:r>
      <w:r w:rsidR="005B5CF2">
        <w:rPr>
          <w:rFonts w:ascii="Verdana" w:eastAsia="Times" w:hAnsi="Verdana"/>
          <w:sz w:val="20"/>
          <w:szCs w:val="24"/>
          <w:lang w:eastAsia="en-US"/>
        </w:rPr>
        <w:t>s</w:t>
      </w:r>
      <w:r>
        <w:rPr>
          <w:rFonts w:ascii="Verdana" w:eastAsia="Times" w:hAnsi="Verdana"/>
          <w:sz w:val="20"/>
          <w:szCs w:val="24"/>
          <w:lang w:eastAsia="en-US"/>
        </w:rPr>
        <w:t xml:space="preserve"> de reparación dispuesta</w:t>
      </w:r>
      <w:r w:rsidR="005B5CF2">
        <w:rPr>
          <w:rFonts w:ascii="Verdana" w:eastAsia="Times" w:hAnsi="Verdana"/>
          <w:sz w:val="20"/>
          <w:szCs w:val="24"/>
          <w:lang w:eastAsia="en-US"/>
        </w:rPr>
        <w:t>s</w:t>
      </w:r>
      <w:r>
        <w:rPr>
          <w:rFonts w:ascii="Verdana" w:eastAsia="Times" w:hAnsi="Verdana"/>
          <w:sz w:val="20"/>
          <w:szCs w:val="24"/>
          <w:lang w:eastAsia="en-US"/>
        </w:rPr>
        <w:t xml:space="preserve"> en el punto resolutivo </w:t>
      </w:r>
      <w:r w:rsidR="007C2231">
        <w:rPr>
          <w:rFonts w:ascii="Verdana" w:eastAsia="Times" w:hAnsi="Verdana"/>
          <w:sz w:val="20"/>
          <w:szCs w:val="24"/>
          <w:lang w:eastAsia="en-US"/>
        </w:rPr>
        <w:t>un</w:t>
      </w:r>
      <w:r>
        <w:rPr>
          <w:rFonts w:ascii="Verdana" w:eastAsia="Times" w:hAnsi="Verdana"/>
          <w:sz w:val="20"/>
          <w:szCs w:val="24"/>
          <w:lang w:eastAsia="en-US"/>
        </w:rPr>
        <w:t>décimo de la Sentencia relativ</w:t>
      </w:r>
      <w:r w:rsidR="005B5CF2">
        <w:rPr>
          <w:rFonts w:ascii="Verdana" w:eastAsia="Times" w:hAnsi="Verdana"/>
          <w:sz w:val="20"/>
          <w:szCs w:val="24"/>
          <w:lang w:eastAsia="en-US"/>
        </w:rPr>
        <w:t>as</w:t>
      </w:r>
      <w:r>
        <w:rPr>
          <w:rFonts w:ascii="Verdana" w:eastAsia="Times" w:hAnsi="Verdana"/>
          <w:sz w:val="20"/>
          <w:szCs w:val="24"/>
          <w:lang w:eastAsia="en-US"/>
        </w:rPr>
        <w:t xml:space="preserve"> a la publicación y </w:t>
      </w:r>
      <w:r w:rsidR="00E87BFF">
        <w:rPr>
          <w:rFonts w:ascii="Verdana" w:eastAsia="Times" w:hAnsi="Verdana"/>
          <w:sz w:val="20"/>
          <w:szCs w:val="24"/>
          <w:lang w:eastAsia="en-US"/>
        </w:rPr>
        <w:t>radio</w:t>
      </w:r>
      <w:r>
        <w:rPr>
          <w:rFonts w:ascii="Verdana" w:eastAsia="Times" w:hAnsi="Verdana"/>
          <w:sz w:val="20"/>
          <w:szCs w:val="24"/>
          <w:lang w:eastAsia="en-US"/>
        </w:rPr>
        <w:t xml:space="preserve">difusión de </w:t>
      </w:r>
      <w:proofErr w:type="gramStart"/>
      <w:r>
        <w:rPr>
          <w:rFonts w:ascii="Verdana" w:eastAsia="Times" w:hAnsi="Verdana"/>
          <w:sz w:val="20"/>
          <w:szCs w:val="24"/>
          <w:lang w:eastAsia="en-US"/>
        </w:rPr>
        <w:t>la misma</w:t>
      </w:r>
      <w:proofErr w:type="gramEnd"/>
      <w:r>
        <w:rPr>
          <w:rFonts w:ascii="Verdana" w:eastAsia="Times" w:hAnsi="Verdana"/>
          <w:sz w:val="20"/>
          <w:szCs w:val="24"/>
          <w:lang w:eastAsia="en-US"/>
        </w:rPr>
        <w:t xml:space="preserve"> y del resumen oficial. </w:t>
      </w:r>
    </w:p>
    <w:p w14:paraId="291A9864" w14:textId="77777777" w:rsidR="009153B4" w:rsidRDefault="009153B4" w:rsidP="00B11F2A">
      <w:pPr>
        <w:pStyle w:val="Prrafodelista"/>
        <w:suppressLineNumbers/>
        <w:spacing w:before="120" w:line="240" w:lineRule="auto"/>
        <w:ind w:left="0" w:right="49"/>
        <w:contextualSpacing w:val="0"/>
        <w:jc w:val="both"/>
        <w:rPr>
          <w:rFonts w:ascii="Verdana" w:eastAsia="Times" w:hAnsi="Verdana"/>
          <w:sz w:val="20"/>
          <w:szCs w:val="24"/>
          <w:lang w:eastAsia="en-US"/>
        </w:rPr>
      </w:pPr>
    </w:p>
    <w:p w14:paraId="7C54F1B1" w14:textId="77777777" w:rsidR="00005110" w:rsidRPr="00005110" w:rsidRDefault="00005110" w:rsidP="00B11F2A">
      <w:pPr>
        <w:pStyle w:val="Prrafodelista"/>
        <w:widowControl w:val="0"/>
        <w:numPr>
          <w:ilvl w:val="0"/>
          <w:numId w:val="35"/>
        </w:numPr>
        <w:suppressLineNumbers/>
        <w:spacing w:before="120" w:after="240" w:line="240" w:lineRule="auto"/>
        <w:ind w:right="49"/>
        <w:contextualSpacing w:val="0"/>
        <w:jc w:val="both"/>
        <w:outlineLvl w:val="0"/>
        <w:rPr>
          <w:rFonts w:ascii="Verdana" w:eastAsia="Times New Roman" w:hAnsi="Verdana"/>
          <w:bCs/>
          <w:i/>
          <w:kern w:val="32"/>
          <w:sz w:val="20"/>
          <w:szCs w:val="32"/>
          <w:lang w:eastAsia="en-US"/>
        </w:rPr>
      </w:pPr>
      <w:bookmarkStart w:id="11" w:name="_Toc83318901"/>
      <w:bookmarkStart w:id="12" w:name="_Toc83319581"/>
      <w:bookmarkStart w:id="13" w:name="_Toc83320070"/>
      <w:bookmarkStart w:id="14" w:name="_Toc85647956"/>
      <w:bookmarkStart w:id="15" w:name="_Toc88815245"/>
      <w:r>
        <w:rPr>
          <w:rFonts w:ascii="Verdana" w:eastAsia="Times New Roman" w:hAnsi="Verdana"/>
          <w:b/>
          <w:bCs/>
          <w:i/>
          <w:kern w:val="32"/>
          <w:sz w:val="20"/>
          <w:szCs w:val="32"/>
          <w:lang w:eastAsia="en-US"/>
        </w:rPr>
        <w:t>Designación de una promoción de egresados de la Escuela de Formación de Guardias Nacionales con el nombre de la víctima</w:t>
      </w:r>
      <w:bookmarkEnd w:id="14"/>
      <w:bookmarkEnd w:id="15"/>
    </w:p>
    <w:p w14:paraId="61C90A6F" w14:textId="77777777" w:rsidR="00005110" w:rsidRDefault="00D152A3" w:rsidP="00B11F2A">
      <w:pPr>
        <w:pStyle w:val="Prrafodelista"/>
        <w:widowControl w:val="0"/>
        <w:suppressLineNumbers/>
        <w:spacing w:before="120" w:after="240" w:line="240" w:lineRule="auto"/>
        <w:ind w:right="49"/>
        <w:contextualSpacing w:val="0"/>
        <w:jc w:val="both"/>
        <w:rPr>
          <w:rFonts w:ascii="Verdana" w:eastAsia="Times New Roman" w:hAnsi="Verdana"/>
          <w:bCs/>
          <w:i/>
          <w:kern w:val="32"/>
          <w:sz w:val="20"/>
          <w:szCs w:val="32"/>
          <w:lang w:eastAsia="en-US"/>
        </w:rPr>
      </w:pPr>
      <w:bookmarkStart w:id="16" w:name="_Toc84505713"/>
      <w:bookmarkStart w:id="17" w:name="_Toc84505897"/>
      <w:r>
        <w:rPr>
          <w:rFonts w:ascii="Verdana" w:eastAsia="Times New Roman" w:hAnsi="Verdana"/>
          <w:bCs/>
          <w:i/>
          <w:kern w:val="32"/>
          <w:sz w:val="20"/>
          <w:szCs w:val="32"/>
          <w:lang w:eastAsia="en-US"/>
        </w:rPr>
        <w:t>D</w:t>
      </w:r>
      <w:r w:rsidR="00005110" w:rsidRPr="00005110">
        <w:rPr>
          <w:rFonts w:ascii="Verdana" w:eastAsia="Times New Roman" w:hAnsi="Verdana"/>
          <w:bCs/>
          <w:i/>
          <w:kern w:val="32"/>
          <w:sz w:val="20"/>
          <w:szCs w:val="32"/>
          <w:lang w:eastAsia="en-US"/>
        </w:rPr>
        <w:t>.1. Medida ordenada por la Corte</w:t>
      </w:r>
      <w:bookmarkEnd w:id="11"/>
      <w:bookmarkEnd w:id="16"/>
      <w:bookmarkEnd w:id="17"/>
      <w:r w:rsidR="00005110" w:rsidRPr="00005110">
        <w:rPr>
          <w:rFonts w:ascii="Verdana" w:eastAsia="Times New Roman" w:hAnsi="Verdana"/>
          <w:bCs/>
          <w:i/>
          <w:kern w:val="32"/>
          <w:sz w:val="20"/>
          <w:szCs w:val="32"/>
          <w:lang w:eastAsia="en-US"/>
        </w:rPr>
        <w:t xml:space="preserve"> </w:t>
      </w:r>
      <w:bookmarkEnd w:id="12"/>
      <w:bookmarkEnd w:id="13"/>
    </w:p>
    <w:p w14:paraId="78A23D55" w14:textId="77777777" w:rsidR="00F100F0" w:rsidRDefault="00835F65" w:rsidP="00B11F2A">
      <w:pPr>
        <w:pStyle w:val="Prrafodelista"/>
        <w:numPr>
          <w:ilvl w:val="0"/>
          <w:numId w:val="4"/>
        </w:numPr>
        <w:suppressLineNumbers/>
        <w:spacing w:before="120" w:after="0" w:line="240" w:lineRule="auto"/>
        <w:ind w:left="0" w:right="49" w:firstLine="0"/>
        <w:contextualSpacing w:val="0"/>
        <w:jc w:val="both"/>
        <w:rPr>
          <w:rFonts w:ascii="Verdana" w:eastAsia="Times New Roman" w:hAnsi="Verdana"/>
          <w:bCs/>
          <w:kern w:val="32"/>
          <w:sz w:val="20"/>
          <w:szCs w:val="32"/>
          <w:lang w:eastAsia="en-US"/>
        </w:rPr>
      </w:pPr>
      <w:r>
        <w:rPr>
          <w:rFonts w:ascii="Verdana" w:eastAsia="Times New Roman" w:hAnsi="Verdana"/>
          <w:bCs/>
          <w:kern w:val="32"/>
          <w:sz w:val="20"/>
          <w:szCs w:val="32"/>
          <w:lang w:eastAsia="en-US"/>
        </w:rPr>
        <w:t xml:space="preserve">En el punto resolutivo décimo tercero y en el párrafo 212 de la Sentencia, la Corte dispuso, </w:t>
      </w:r>
      <w:r w:rsidR="00920AB7">
        <w:rPr>
          <w:rFonts w:ascii="Verdana" w:eastAsia="Times New Roman" w:hAnsi="Verdana"/>
          <w:bCs/>
          <w:kern w:val="32"/>
          <w:sz w:val="20"/>
          <w:szCs w:val="32"/>
          <w:lang w:eastAsia="en-US"/>
        </w:rPr>
        <w:t xml:space="preserve">tomando en cuenta </w:t>
      </w:r>
      <w:r>
        <w:rPr>
          <w:rFonts w:ascii="Verdana" w:eastAsia="Times New Roman" w:hAnsi="Verdana"/>
          <w:bCs/>
          <w:kern w:val="32"/>
          <w:sz w:val="20"/>
          <w:szCs w:val="32"/>
          <w:lang w:eastAsia="en-US"/>
        </w:rPr>
        <w:t>la propuesta realizada por el Estado</w:t>
      </w:r>
      <w:r w:rsidR="00E57796">
        <w:rPr>
          <w:rFonts w:ascii="Verdana" w:eastAsia="Times New Roman" w:hAnsi="Verdana"/>
          <w:bCs/>
          <w:kern w:val="32"/>
          <w:sz w:val="20"/>
          <w:szCs w:val="32"/>
          <w:lang w:eastAsia="en-US"/>
        </w:rPr>
        <w:t>,</w:t>
      </w:r>
      <w:r>
        <w:rPr>
          <w:rFonts w:ascii="Verdana" w:eastAsia="Times New Roman" w:hAnsi="Verdana"/>
          <w:bCs/>
          <w:kern w:val="32"/>
          <w:sz w:val="20"/>
          <w:szCs w:val="32"/>
          <w:lang w:eastAsia="en-US"/>
        </w:rPr>
        <w:t xml:space="preserve"> que </w:t>
      </w:r>
      <w:r w:rsidR="00920AB7">
        <w:rPr>
          <w:rFonts w:ascii="Verdana" w:eastAsia="Times New Roman" w:hAnsi="Verdana"/>
          <w:bCs/>
          <w:kern w:val="32"/>
          <w:sz w:val="20"/>
          <w:szCs w:val="32"/>
          <w:lang w:eastAsia="en-US"/>
        </w:rPr>
        <w:t xml:space="preserve">aquel </w:t>
      </w:r>
      <w:r>
        <w:rPr>
          <w:rFonts w:ascii="Verdana" w:eastAsia="Times New Roman" w:hAnsi="Verdana"/>
          <w:bCs/>
          <w:kern w:val="32"/>
          <w:sz w:val="20"/>
          <w:szCs w:val="32"/>
          <w:lang w:eastAsia="en-US"/>
        </w:rPr>
        <w:t>debía “</w:t>
      </w:r>
      <w:r w:rsidRPr="00835F65">
        <w:rPr>
          <w:rFonts w:ascii="Verdana" w:eastAsia="Times New Roman" w:hAnsi="Verdana"/>
          <w:bCs/>
          <w:kern w:val="32"/>
          <w:sz w:val="20"/>
          <w:szCs w:val="32"/>
          <w:lang w:eastAsia="en-US"/>
        </w:rPr>
        <w:t>en el plazo de dos años, designar con el nombre de Johan Alexis Ortiz Hernández una promoción de egresados de la Escuela de Formación de Guardias Nacionales</w:t>
      </w:r>
      <w:r>
        <w:rPr>
          <w:rFonts w:ascii="Verdana" w:eastAsia="Times New Roman" w:hAnsi="Verdana"/>
          <w:bCs/>
          <w:kern w:val="32"/>
          <w:sz w:val="20"/>
          <w:szCs w:val="32"/>
          <w:lang w:eastAsia="en-US"/>
        </w:rPr>
        <w:t>”.</w:t>
      </w:r>
      <w:r w:rsidR="008408C7">
        <w:rPr>
          <w:rFonts w:ascii="Verdana" w:eastAsia="Times New Roman" w:hAnsi="Verdana"/>
          <w:bCs/>
          <w:kern w:val="32"/>
          <w:sz w:val="20"/>
          <w:szCs w:val="32"/>
          <w:lang w:eastAsia="en-US"/>
        </w:rPr>
        <w:t xml:space="preserve"> </w:t>
      </w:r>
      <w:r w:rsidR="00E57796">
        <w:rPr>
          <w:rFonts w:ascii="Verdana" w:eastAsia="Times New Roman" w:hAnsi="Verdana"/>
          <w:bCs/>
          <w:kern w:val="32"/>
          <w:sz w:val="20"/>
          <w:szCs w:val="32"/>
          <w:lang w:eastAsia="en-US"/>
        </w:rPr>
        <w:t xml:space="preserve">Ni la Comisión ni los representantes “se opusieron ni objetaron la referida propuesta”. </w:t>
      </w:r>
      <w:r w:rsidR="008408C7">
        <w:rPr>
          <w:rFonts w:ascii="Verdana" w:eastAsia="Times New Roman" w:hAnsi="Verdana"/>
          <w:bCs/>
          <w:kern w:val="32"/>
          <w:sz w:val="20"/>
          <w:szCs w:val="32"/>
          <w:lang w:eastAsia="en-US"/>
        </w:rPr>
        <w:t>La Corte resaltó que dicha medida de satisfacción tendría “como efecto la recuperación de la memoria de la víctima y brindar[</w:t>
      </w:r>
      <w:proofErr w:type="spellStart"/>
      <w:r w:rsidR="008408C7">
        <w:rPr>
          <w:rFonts w:ascii="Verdana" w:eastAsia="Times New Roman" w:hAnsi="Verdana"/>
          <w:bCs/>
          <w:kern w:val="32"/>
          <w:sz w:val="20"/>
          <w:szCs w:val="32"/>
          <w:lang w:eastAsia="en-US"/>
        </w:rPr>
        <w:t>ía</w:t>
      </w:r>
      <w:proofErr w:type="spellEnd"/>
      <w:r w:rsidR="008408C7">
        <w:rPr>
          <w:rFonts w:ascii="Verdana" w:eastAsia="Times New Roman" w:hAnsi="Verdana"/>
          <w:bCs/>
          <w:kern w:val="32"/>
          <w:sz w:val="20"/>
          <w:szCs w:val="32"/>
          <w:lang w:eastAsia="en-US"/>
        </w:rPr>
        <w:t xml:space="preserve">] satisfacción a sus deudos”. </w:t>
      </w:r>
    </w:p>
    <w:p w14:paraId="0317CD22" w14:textId="77777777" w:rsidR="00F100F0" w:rsidRPr="00005110" w:rsidRDefault="00F100F0" w:rsidP="00B11F2A">
      <w:pPr>
        <w:pStyle w:val="Prrafodelista"/>
        <w:suppressLineNumbers/>
        <w:spacing w:before="120" w:after="0" w:line="240" w:lineRule="auto"/>
        <w:ind w:left="0" w:right="49"/>
        <w:contextualSpacing w:val="0"/>
        <w:jc w:val="both"/>
        <w:rPr>
          <w:rFonts w:ascii="Verdana" w:eastAsia="Times New Roman" w:hAnsi="Verdana"/>
          <w:bCs/>
          <w:kern w:val="32"/>
          <w:sz w:val="20"/>
          <w:szCs w:val="32"/>
          <w:lang w:eastAsia="en-US"/>
        </w:rPr>
      </w:pPr>
    </w:p>
    <w:p w14:paraId="43255084" w14:textId="77777777" w:rsidR="00005110" w:rsidRDefault="00CA6686" w:rsidP="00B11F2A">
      <w:pPr>
        <w:widowControl w:val="0"/>
        <w:suppressLineNumbers/>
        <w:spacing w:after="240" w:line="240" w:lineRule="auto"/>
        <w:ind w:left="720" w:right="49"/>
        <w:jc w:val="both"/>
        <w:rPr>
          <w:rFonts w:ascii="Verdana" w:eastAsia="Times New Roman" w:hAnsi="Verdana"/>
          <w:bCs/>
          <w:i/>
          <w:kern w:val="32"/>
          <w:sz w:val="20"/>
          <w:szCs w:val="32"/>
          <w:lang w:eastAsia="en-US"/>
        </w:rPr>
      </w:pPr>
      <w:bookmarkStart w:id="18" w:name="_Toc83318902"/>
      <w:bookmarkStart w:id="19" w:name="_Toc83319582"/>
      <w:bookmarkStart w:id="20" w:name="_Toc83320071"/>
      <w:bookmarkStart w:id="21" w:name="_Toc84505714"/>
      <w:bookmarkStart w:id="22" w:name="_Toc84505898"/>
      <w:r>
        <w:rPr>
          <w:rFonts w:ascii="Verdana" w:eastAsia="Times New Roman" w:hAnsi="Verdana"/>
          <w:bCs/>
          <w:i/>
          <w:kern w:val="32"/>
          <w:sz w:val="20"/>
          <w:szCs w:val="32"/>
          <w:lang w:eastAsia="en-US"/>
        </w:rPr>
        <w:t>D</w:t>
      </w:r>
      <w:r w:rsidR="00005110" w:rsidRPr="00005110">
        <w:rPr>
          <w:rFonts w:ascii="Verdana" w:eastAsia="Times New Roman" w:hAnsi="Verdana"/>
          <w:bCs/>
          <w:i/>
          <w:kern w:val="32"/>
          <w:sz w:val="20"/>
          <w:szCs w:val="32"/>
          <w:lang w:eastAsia="en-US"/>
        </w:rPr>
        <w:t>.2. Consideraciones de la Corte</w:t>
      </w:r>
      <w:bookmarkEnd w:id="18"/>
      <w:bookmarkEnd w:id="19"/>
      <w:bookmarkEnd w:id="20"/>
      <w:bookmarkEnd w:id="21"/>
      <w:bookmarkEnd w:id="22"/>
    </w:p>
    <w:p w14:paraId="098EB685" w14:textId="77777777" w:rsidR="00835F65" w:rsidRPr="00943EBC" w:rsidRDefault="00E96ED2" w:rsidP="00B11F2A">
      <w:pPr>
        <w:pStyle w:val="Prrafodelista"/>
        <w:numPr>
          <w:ilvl w:val="0"/>
          <w:numId w:val="4"/>
        </w:numPr>
        <w:suppressLineNumbers/>
        <w:spacing w:before="120" w:after="120" w:line="240" w:lineRule="auto"/>
        <w:ind w:left="0" w:right="49" w:firstLine="0"/>
        <w:contextualSpacing w:val="0"/>
        <w:jc w:val="both"/>
        <w:rPr>
          <w:rFonts w:ascii="Verdana" w:eastAsia="Times New Roman" w:hAnsi="Verdana"/>
          <w:bCs/>
          <w:i/>
          <w:kern w:val="32"/>
          <w:sz w:val="20"/>
          <w:szCs w:val="32"/>
          <w:lang w:eastAsia="en-US"/>
        </w:rPr>
      </w:pPr>
      <w:r>
        <w:rPr>
          <w:rFonts w:ascii="Verdana" w:eastAsia="Times New Roman" w:hAnsi="Verdana"/>
          <w:bCs/>
          <w:kern w:val="32"/>
          <w:sz w:val="20"/>
          <w:szCs w:val="32"/>
          <w:lang w:eastAsia="en-US"/>
        </w:rPr>
        <w:t>L</w:t>
      </w:r>
      <w:r w:rsidR="00767244">
        <w:rPr>
          <w:rFonts w:ascii="Verdana" w:eastAsia="Times New Roman" w:hAnsi="Verdana"/>
          <w:bCs/>
          <w:kern w:val="32"/>
          <w:sz w:val="20"/>
          <w:szCs w:val="32"/>
          <w:lang w:eastAsia="en-US"/>
        </w:rPr>
        <w:t>a</w:t>
      </w:r>
      <w:r>
        <w:rPr>
          <w:rFonts w:ascii="Verdana" w:eastAsia="Times New Roman" w:hAnsi="Verdana"/>
          <w:bCs/>
          <w:kern w:val="32"/>
          <w:sz w:val="20"/>
          <w:szCs w:val="32"/>
          <w:lang w:eastAsia="en-US"/>
        </w:rPr>
        <w:t xml:space="preserve">s </w:t>
      </w:r>
      <w:r w:rsidRPr="00E57796">
        <w:rPr>
          <w:rFonts w:ascii="Verdana" w:eastAsia="Times New Roman" w:hAnsi="Verdana"/>
          <w:bCs/>
          <w:i/>
          <w:kern w:val="32"/>
          <w:sz w:val="20"/>
          <w:szCs w:val="32"/>
          <w:lang w:eastAsia="en-US"/>
        </w:rPr>
        <w:t>representantes</w:t>
      </w:r>
      <w:r>
        <w:rPr>
          <w:rFonts w:ascii="Verdana" w:eastAsia="Times New Roman" w:hAnsi="Verdana"/>
          <w:bCs/>
          <w:kern w:val="32"/>
          <w:sz w:val="20"/>
          <w:szCs w:val="32"/>
          <w:lang w:eastAsia="en-US"/>
        </w:rPr>
        <w:t xml:space="preserve"> informaron que </w:t>
      </w:r>
      <w:r w:rsidR="00D062A9">
        <w:rPr>
          <w:rFonts w:ascii="Verdana" w:eastAsia="Times New Roman" w:hAnsi="Verdana"/>
          <w:bCs/>
          <w:kern w:val="32"/>
          <w:sz w:val="20"/>
          <w:szCs w:val="32"/>
          <w:lang w:eastAsia="en-US"/>
        </w:rPr>
        <w:t>“el Estado Venezolano cu</w:t>
      </w:r>
      <w:r w:rsidR="009D099F">
        <w:rPr>
          <w:rFonts w:ascii="Verdana" w:eastAsia="Times New Roman" w:hAnsi="Verdana"/>
          <w:bCs/>
          <w:kern w:val="32"/>
          <w:sz w:val="20"/>
          <w:szCs w:val="32"/>
          <w:lang w:eastAsia="en-US"/>
        </w:rPr>
        <w:t>mplió parcialmente la medida […</w:t>
      </w:r>
      <w:r w:rsidR="00C84A0B">
        <w:rPr>
          <w:rFonts w:ascii="Verdana" w:eastAsia="Times New Roman" w:hAnsi="Verdana"/>
          <w:bCs/>
          <w:kern w:val="32"/>
          <w:sz w:val="20"/>
          <w:szCs w:val="32"/>
          <w:lang w:eastAsia="en-US"/>
        </w:rPr>
        <w:t xml:space="preserve"> </w:t>
      </w:r>
      <w:r w:rsidR="0088142B">
        <w:rPr>
          <w:rFonts w:ascii="Verdana" w:eastAsia="Times New Roman" w:hAnsi="Verdana"/>
          <w:bCs/>
          <w:kern w:val="32"/>
          <w:sz w:val="20"/>
          <w:szCs w:val="32"/>
          <w:lang w:eastAsia="en-US"/>
        </w:rPr>
        <w:t xml:space="preserve">pues] </w:t>
      </w:r>
      <w:r w:rsidR="00D062A9">
        <w:rPr>
          <w:rFonts w:ascii="Verdana" w:eastAsia="Times New Roman" w:hAnsi="Verdana"/>
          <w:bCs/>
          <w:kern w:val="32"/>
          <w:sz w:val="20"/>
          <w:szCs w:val="32"/>
          <w:lang w:eastAsia="en-US"/>
        </w:rPr>
        <w:t>en fecha 19 de octubre de 2018, a través de la Orden Administrativa no. 42373, emitida po</w:t>
      </w:r>
      <w:r w:rsidR="00A42BA7">
        <w:rPr>
          <w:rFonts w:ascii="Verdana" w:eastAsia="Times New Roman" w:hAnsi="Verdana"/>
          <w:bCs/>
          <w:kern w:val="32"/>
          <w:sz w:val="20"/>
          <w:szCs w:val="32"/>
          <w:lang w:eastAsia="en-US"/>
        </w:rPr>
        <w:t>r el Mayor General de la Guardi</w:t>
      </w:r>
      <w:r w:rsidR="00D062A9">
        <w:rPr>
          <w:rFonts w:ascii="Verdana" w:eastAsia="Times New Roman" w:hAnsi="Verdana"/>
          <w:bCs/>
          <w:kern w:val="32"/>
          <w:sz w:val="20"/>
          <w:szCs w:val="32"/>
          <w:lang w:eastAsia="en-US"/>
        </w:rPr>
        <w:t>a Nacional Bolivariana</w:t>
      </w:r>
      <w:r w:rsidR="00D3612D">
        <w:rPr>
          <w:rFonts w:ascii="Verdana" w:eastAsia="Times New Roman" w:hAnsi="Verdana"/>
          <w:bCs/>
          <w:kern w:val="32"/>
          <w:sz w:val="20"/>
          <w:szCs w:val="32"/>
          <w:lang w:eastAsia="en-US"/>
        </w:rPr>
        <w:t>, […]</w:t>
      </w:r>
      <w:r w:rsidR="000E6803">
        <w:rPr>
          <w:rFonts w:ascii="Verdana" w:eastAsia="Times New Roman" w:hAnsi="Verdana"/>
          <w:bCs/>
          <w:kern w:val="32"/>
          <w:sz w:val="20"/>
          <w:szCs w:val="32"/>
          <w:lang w:eastAsia="en-US"/>
        </w:rPr>
        <w:t xml:space="preserve"> </w:t>
      </w:r>
      <w:r w:rsidR="00D3612D">
        <w:rPr>
          <w:rFonts w:ascii="Verdana" w:eastAsia="Times New Roman" w:hAnsi="Verdana"/>
          <w:bCs/>
          <w:kern w:val="32"/>
          <w:sz w:val="20"/>
          <w:szCs w:val="32"/>
          <w:lang w:eastAsia="en-US"/>
        </w:rPr>
        <w:t xml:space="preserve">se estableció la designación como ‘epónimo’ de la Promoción no. 108 de Guardias Nacionales Bolivarianos al ‘Ciudadano Johan Alexis Ortiz Hernández’, en donde tuvieron la oportunidad de </w:t>
      </w:r>
      <w:r w:rsidR="00D3612D" w:rsidRPr="00121E09">
        <w:rPr>
          <w:rFonts w:ascii="Verdana" w:eastAsia="Times New Roman" w:hAnsi="Verdana"/>
          <w:bCs/>
          <w:kern w:val="32"/>
          <w:sz w:val="20"/>
          <w:szCs w:val="32"/>
          <w:lang w:eastAsia="en-US"/>
        </w:rPr>
        <w:t xml:space="preserve">participar </w:t>
      </w:r>
      <w:r w:rsidR="00121E09" w:rsidRPr="00121E09">
        <w:rPr>
          <w:rFonts w:ascii="Verdana" w:eastAsia="Times New Roman" w:hAnsi="Verdana"/>
          <w:bCs/>
          <w:kern w:val="32"/>
          <w:sz w:val="20"/>
          <w:szCs w:val="32"/>
          <w:lang w:eastAsia="en-US"/>
        </w:rPr>
        <w:t>[l]</w:t>
      </w:r>
      <w:r w:rsidR="00D3612D" w:rsidRPr="00121E09">
        <w:rPr>
          <w:rFonts w:ascii="Verdana" w:eastAsia="Times New Roman" w:hAnsi="Verdana"/>
          <w:bCs/>
          <w:kern w:val="32"/>
          <w:sz w:val="20"/>
          <w:szCs w:val="32"/>
          <w:lang w:eastAsia="en-US"/>
        </w:rPr>
        <w:t>o</w:t>
      </w:r>
      <w:r w:rsidR="00C84A0B">
        <w:rPr>
          <w:rFonts w:ascii="Verdana" w:eastAsia="Times New Roman" w:hAnsi="Verdana"/>
          <w:bCs/>
          <w:kern w:val="32"/>
          <w:sz w:val="20"/>
          <w:szCs w:val="32"/>
          <w:lang w:eastAsia="en-US"/>
        </w:rPr>
        <w:t>s</w:t>
      </w:r>
      <w:r w:rsidR="00D3612D">
        <w:rPr>
          <w:rFonts w:ascii="Verdana" w:eastAsia="Times New Roman" w:hAnsi="Verdana"/>
          <w:bCs/>
          <w:kern w:val="32"/>
          <w:sz w:val="20"/>
          <w:szCs w:val="32"/>
          <w:lang w:eastAsia="en-US"/>
        </w:rPr>
        <w:t xml:space="preserve"> padres del joven Ortiz”. Sin embargo, objetaron que </w:t>
      </w:r>
      <w:r w:rsidR="00C87A29">
        <w:rPr>
          <w:rFonts w:ascii="Verdana" w:eastAsia="Times New Roman" w:hAnsi="Verdana"/>
          <w:bCs/>
          <w:kern w:val="32"/>
          <w:sz w:val="20"/>
          <w:szCs w:val="32"/>
          <w:lang w:eastAsia="en-US"/>
        </w:rPr>
        <w:t xml:space="preserve">“en ningún lugar de la </w:t>
      </w:r>
      <w:r w:rsidR="002C02EC">
        <w:rPr>
          <w:rFonts w:ascii="Verdana" w:eastAsia="Times New Roman" w:hAnsi="Verdana"/>
          <w:bCs/>
          <w:kern w:val="32"/>
          <w:sz w:val="20"/>
          <w:szCs w:val="32"/>
          <w:lang w:eastAsia="en-US"/>
        </w:rPr>
        <w:t xml:space="preserve">[…] </w:t>
      </w:r>
      <w:r w:rsidR="00C87A29">
        <w:rPr>
          <w:rFonts w:ascii="Verdana" w:eastAsia="Times New Roman" w:hAnsi="Verdana"/>
          <w:bCs/>
          <w:kern w:val="32"/>
          <w:sz w:val="20"/>
          <w:szCs w:val="32"/>
          <w:lang w:eastAsia="en-US"/>
        </w:rPr>
        <w:t xml:space="preserve">orden administrativa se hace constar su calidad de estudiante”, por lo que “desean que dicha orden sea corregida, a fin de que sea </w:t>
      </w:r>
      <w:r w:rsidR="00C87A29">
        <w:rPr>
          <w:rFonts w:ascii="Verdana" w:eastAsia="Times New Roman" w:hAnsi="Verdana"/>
          <w:bCs/>
          <w:kern w:val="32"/>
          <w:sz w:val="20"/>
          <w:szCs w:val="32"/>
          <w:lang w:eastAsia="en-US"/>
        </w:rPr>
        <w:lastRenderedPageBreak/>
        <w:t>modificado el término ‘ciudadano’, por el de ‘estudiante’, y de esta forma considerar por cumplida la […] medida”</w:t>
      </w:r>
      <w:r w:rsidR="00C87A29">
        <w:rPr>
          <w:rStyle w:val="Refdenotaalpie"/>
          <w:rFonts w:ascii="Verdana" w:eastAsia="Times New Roman" w:hAnsi="Verdana"/>
          <w:bCs/>
          <w:kern w:val="32"/>
          <w:sz w:val="20"/>
          <w:szCs w:val="32"/>
          <w:lang w:eastAsia="en-US"/>
        </w:rPr>
        <w:footnoteReference w:id="27"/>
      </w:r>
      <w:r w:rsidR="00C87A29">
        <w:rPr>
          <w:rFonts w:ascii="Verdana" w:eastAsia="Times New Roman" w:hAnsi="Verdana"/>
          <w:bCs/>
          <w:kern w:val="32"/>
          <w:sz w:val="20"/>
          <w:szCs w:val="32"/>
          <w:lang w:eastAsia="en-US"/>
        </w:rPr>
        <w:t xml:space="preserve">. </w:t>
      </w:r>
    </w:p>
    <w:p w14:paraId="42FCB946" w14:textId="77777777" w:rsidR="00943EBC" w:rsidRPr="004443E9" w:rsidRDefault="00943EBC" w:rsidP="00B11F2A">
      <w:pPr>
        <w:pStyle w:val="Prrafodelista"/>
        <w:numPr>
          <w:ilvl w:val="0"/>
          <w:numId w:val="4"/>
        </w:numPr>
        <w:suppressLineNumbers/>
        <w:spacing w:before="120" w:after="120" w:line="240" w:lineRule="auto"/>
        <w:ind w:left="0" w:right="49" w:firstLine="0"/>
        <w:contextualSpacing w:val="0"/>
        <w:jc w:val="both"/>
        <w:rPr>
          <w:rFonts w:ascii="Verdana" w:eastAsia="Times New Roman" w:hAnsi="Verdana"/>
          <w:bCs/>
          <w:i/>
          <w:kern w:val="32"/>
          <w:sz w:val="20"/>
          <w:szCs w:val="32"/>
          <w:lang w:eastAsia="en-US"/>
        </w:rPr>
      </w:pPr>
      <w:r>
        <w:rPr>
          <w:rFonts w:ascii="Verdana" w:eastAsia="Times New Roman" w:hAnsi="Verdana"/>
          <w:bCs/>
          <w:kern w:val="32"/>
          <w:sz w:val="20"/>
          <w:szCs w:val="32"/>
          <w:lang w:eastAsia="en-US"/>
        </w:rPr>
        <w:t xml:space="preserve">Al respecto, </w:t>
      </w:r>
      <w:r w:rsidR="004443E9">
        <w:rPr>
          <w:rFonts w:ascii="Verdana" w:eastAsia="Times New Roman" w:hAnsi="Verdana"/>
          <w:bCs/>
          <w:kern w:val="32"/>
          <w:sz w:val="20"/>
          <w:szCs w:val="32"/>
          <w:lang w:eastAsia="en-US"/>
        </w:rPr>
        <w:t>es oportuno recordar que en la Sentencia no se dispuso que el Estado debiera especificar las calidades de la víctima a la h</w:t>
      </w:r>
      <w:r w:rsidR="009A5A10">
        <w:rPr>
          <w:rFonts w:ascii="Verdana" w:eastAsia="Times New Roman" w:hAnsi="Verdana"/>
          <w:bCs/>
          <w:kern w:val="32"/>
          <w:sz w:val="20"/>
          <w:szCs w:val="32"/>
          <w:lang w:eastAsia="en-US"/>
        </w:rPr>
        <w:t xml:space="preserve">ora de cumplir con la </w:t>
      </w:r>
      <w:r w:rsidR="004A2A24">
        <w:rPr>
          <w:rFonts w:ascii="Verdana" w:eastAsia="Times New Roman" w:hAnsi="Verdana"/>
          <w:bCs/>
          <w:kern w:val="32"/>
          <w:sz w:val="20"/>
          <w:szCs w:val="32"/>
          <w:lang w:eastAsia="en-US"/>
        </w:rPr>
        <w:t>reparación</w:t>
      </w:r>
      <w:r w:rsidR="00E57796">
        <w:rPr>
          <w:rFonts w:ascii="Verdana" w:eastAsia="Times New Roman" w:hAnsi="Verdana"/>
          <w:bCs/>
          <w:kern w:val="32"/>
          <w:sz w:val="20"/>
          <w:szCs w:val="32"/>
          <w:lang w:eastAsia="en-US"/>
        </w:rPr>
        <w:t xml:space="preserve">. Debido a ello, </w:t>
      </w:r>
      <w:r w:rsidR="004443E9" w:rsidRPr="004443E9">
        <w:rPr>
          <w:rFonts w:ascii="Verdana" w:eastAsia="Times New Roman" w:hAnsi="Verdana"/>
          <w:bCs/>
          <w:kern w:val="32"/>
          <w:sz w:val="20"/>
          <w:szCs w:val="32"/>
          <w:lang w:eastAsia="en-US"/>
        </w:rPr>
        <w:t xml:space="preserve">para </w:t>
      </w:r>
      <w:r w:rsidR="00B854F7">
        <w:rPr>
          <w:rFonts w:ascii="Verdana" w:eastAsia="Times New Roman" w:hAnsi="Verdana"/>
          <w:bCs/>
          <w:kern w:val="32"/>
          <w:sz w:val="20"/>
          <w:szCs w:val="32"/>
          <w:lang w:eastAsia="en-US"/>
        </w:rPr>
        <w:t xml:space="preserve">los </w:t>
      </w:r>
      <w:r w:rsidR="004443E9" w:rsidRPr="004443E9">
        <w:rPr>
          <w:rFonts w:ascii="Verdana" w:eastAsia="Times New Roman" w:hAnsi="Verdana"/>
          <w:bCs/>
          <w:kern w:val="32"/>
          <w:sz w:val="20"/>
          <w:szCs w:val="32"/>
          <w:lang w:eastAsia="en-US"/>
        </w:rPr>
        <w:t>efectos de la supervisión que realiza este Tribunal</w:t>
      </w:r>
      <w:r w:rsidR="004443E9">
        <w:rPr>
          <w:rFonts w:ascii="Verdana" w:eastAsia="Times New Roman" w:hAnsi="Verdana"/>
          <w:bCs/>
          <w:kern w:val="32"/>
          <w:sz w:val="20"/>
          <w:szCs w:val="32"/>
          <w:lang w:eastAsia="en-US"/>
        </w:rPr>
        <w:t xml:space="preserve">, </w:t>
      </w:r>
      <w:r w:rsidR="00121E09">
        <w:rPr>
          <w:rFonts w:ascii="Verdana" w:eastAsia="Times New Roman" w:hAnsi="Verdana"/>
          <w:bCs/>
          <w:kern w:val="32"/>
          <w:sz w:val="20"/>
          <w:szCs w:val="32"/>
          <w:lang w:eastAsia="en-US"/>
        </w:rPr>
        <w:t xml:space="preserve">estima </w:t>
      </w:r>
      <w:r w:rsidR="004443E9">
        <w:rPr>
          <w:rFonts w:ascii="Verdana" w:eastAsia="Times New Roman" w:hAnsi="Verdana"/>
          <w:bCs/>
          <w:kern w:val="32"/>
          <w:sz w:val="20"/>
          <w:szCs w:val="32"/>
          <w:lang w:eastAsia="en-US"/>
        </w:rPr>
        <w:t>que la designación que realizó el Estado a la Promoción no. 108 de Guardias Nacionales Bolivarianos (</w:t>
      </w:r>
      <w:r w:rsidR="004443E9">
        <w:rPr>
          <w:rFonts w:ascii="Verdana" w:eastAsia="Times New Roman" w:hAnsi="Verdana"/>
          <w:bCs/>
          <w:i/>
          <w:kern w:val="32"/>
          <w:sz w:val="20"/>
          <w:szCs w:val="32"/>
          <w:lang w:eastAsia="en-US"/>
        </w:rPr>
        <w:t xml:space="preserve">supra </w:t>
      </w:r>
      <w:r w:rsidR="001826B6">
        <w:rPr>
          <w:rFonts w:ascii="Verdana" w:eastAsia="Times New Roman" w:hAnsi="Verdana"/>
          <w:bCs/>
          <w:kern w:val="32"/>
          <w:sz w:val="20"/>
          <w:szCs w:val="32"/>
          <w:lang w:eastAsia="en-US"/>
        </w:rPr>
        <w:t>Considerando 21</w:t>
      </w:r>
      <w:r w:rsidR="004443E9">
        <w:rPr>
          <w:rFonts w:ascii="Verdana" w:eastAsia="Times New Roman" w:hAnsi="Verdana"/>
          <w:bCs/>
          <w:kern w:val="32"/>
          <w:sz w:val="20"/>
          <w:szCs w:val="32"/>
          <w:lang w:eastAsia="en-US"/>
        </w:rPr>
        <w:t xml:space="preserve">) resulta suficiente para valorar el cumplimiento total de la medida. </w:t>
      </w:r>
    </w:p>
    <w:p w14:paraId="745C8BAB" w14:textId="77777777" w:rsidR="004443E9" w:rsidRPr="004443E9" w:rsidRDefault="001E0CB2" w:rsidP="00B11F2A">
      <w:pPr>
        <w:pStyle w:val="Prrafodelista"/>
        <w:numPr>
          <w:ilvl w:val="0"/>
          <w:numId w:val="4"/>
        </w:numPr>
        <w:suppressLineNumbers/>
        <w:spacing w:before="120" w:after="120" w:line="240" w:lineRule="auto"/>
        <w:ind w:left="0" w:right="49" w:firstLine="0"/>
        <w:contextualSpacing w:val="0"/>
        <w:jc w:val="both"/>
        <w:rPr>
          <w:rFonts w:ascii="Verdana" w:eastAsia="Times New Roman" w:hAnsi="Verdana"/>
          <w:bCs/>
          <w:kern w:val="32"/>
          <w:sz w:val="20"/>
          <w:szCs w:val="32"/>
          <w:lang w:eastAsia="en-US"/>
        </w:rPr>
      </w:pPr>
      <w:r>
        <w:rPr>
          <w:rFonts w:ascii="Verdana" w:eastAsia="Times New Roman" w:hAnsi="Verdana"/>
          <w:bCs/>
          <w:kern w:val="32"/>
          <w:sz w:val="20"/>
          <w:szCs w:val="32"/>
          <w:lang w:eastAsia="en-US"/>
        </w:rPr>
        <w:t>Con base en lo expuesto</w:t>
      </w:r>
      <w:r w:rsidR="004443E9" w:rsidRPr="004443E9">
        <w:rPr>
          <w:rFonts w:ascii="Verdana" w:eastAsia="Times New Roman" w:hAnsi="Verdana"/>
          <w:bCs/>
          <w:kern w:val="32"/>
          <w:sz w:val="20"/>
          <w:szCs w:val="32"/>
          <w:lang w:eastAsia="en-US"/>
        </w:rPr>
        <w:t xml:space="preserve">, la Corte considera que el Estado ha dado cumplimiento total a </w:t>
      </w:r>
      <w:r w:rsidR="004443E9">
        <w:rPr>
          <w:rFonts w:ascii="Verdana" w:eastAsia="Times New Roman" w:hAnsi="Verdana"/>
          <w:bCs/>
          <w:kern w:val="32"/>
          <w:sz w:val="20"/>
          <w:szCs w:val="32"/>
          <w:lang w:eastAsia="en-US"/>
        </w:rPr>
        <w:t>la medida relativa a la d</w:t>
      </w:r>
      <w:r w:rsidR="004443E9" w:rsidRPr="004443E9">
        <w:rPr>
          <w:rFonts w:ascii="Verdana" w:eastAsia="Times New Roman" w:hAnsi="Verdana"/>
          <w:bCs/>
          <w:kern w:val="32"/>
          <w:sz w:val="20"/>
          <w:szCs w:val="32"/>
          <w:lang w:eastAsia="en-US"/>
        </w:rPr>
        <w:t>esignación de una promoción de egresados de la Escuela de Formación de Guardias Nacionales con el nombre de la víctima</w:t>
      </w:r>
      <w:r w:rsidR="004443E9">
        <w:rPr>
          <w:rFonts w:ascii="Verdana" w:eastAsia="Times New Roman" w:hAnsi="Verdana"/>
          <w:bCs/>
          <w:kern w:val="32"/>
          <w:sz w:val="20"/>
          <w:szCs w:val="32"/>
          <w:lang w:eastAsia="en-US"/>
        </w:rPr>
        <w:t>, ordenada</w:t>
      </w:r>
      <w:r w:rsidR="004443E9" w:rsidRPr="004443E9">
        <w:rPr>
          <w:rFonts w:ascii="Verdana" w:eastAsia="Times New Roman" w:hAnsi="Verdana"/>
          <w:bCs/>
          <w:kern w:val="32"/>
          <w:sz w:val="20"/>
          <w:szCs w:val="32"/>
          <w:lang w:eastAsia="en-US"/>
        </w:rPr>
        <w:t xml:space="preserve"> en el punto resolutivo décimo </w:t>
      </w:r>
      <w:r w:rsidR="004443E9">
        <w:rPr>
          <w:rFonts w:ascii="Verdana" w:eastAsia="Times New Roman" w:hAnsi="Verdana"/>
          <w:bCs/>
          <w:kern w:val="32"/>
          <w:sz w:val="20"/>
          <w:szCs w:val="32"/>
          <w:lang w:eastAsia="en-US"/>
        </w:rPr>
        <w:t>tercero</w:t>
      </w:r>
      <w:r w:rsidR="004443E9" w:rsidRPr="004443E9">
        <w:rPr>
          <w:rFonts w:ascii="Verdana" w:eastAsia="Times New Roman" w:hAnsi="Verdana"/>
          <w:bCs/>
          <w:kern w:val="32"/>
          <w:sz w:val="20"/>
          <w:szCs w:val="32"/>
          <w:lang w:eastAsia="en-US"/>
        </w:rPr>
        <w:t xml:space="preserve"> de la </w:t>
      </w:r>
      <w:r w:rsidR="004443E9">
        <w:rPr>
          <w:rFonts w:ascii="Verdana" w:eastAsia="Times New Roman" w:hAnsi="Verdana"/>
          <w:bCs/>
          <w:kern w:val="32"/>
          <w:sz w:val="20"/>
          <w:szCs w:val="32"/>
          <w:lang w:eastAsia="en-US"/>
        </w:rPr>
        <w:t>Sentencia</w:t>
      </w:r>
      <w:r w:rsidR="004443E9" w:rsidRPr="004443E9">
        <w:rPr>
          <w:rFonts w:ascii="Verdana" w:eastAsia="Times New Roman" w:hAnsi="Verdana"/>
          <w:bCs/>
          <w:kern w:val="32"/>
          <w:sz w:val="20"/>
          <w:szCs w:val="32"/>
          <w:lang w:eastAsia="en-US"/>
        </w:rPr>
        <w:t>.</w:t>
      </w:r>
    </w:p>
    <w:p w14:paraId="1D6705C6" w14:textId="77777777" w:rsidR="00CF41AE" w:rsidRDefault="00CF41AE" w:rsidP="00B11F2A">
      <w:pPr>
        <w:pStyle w:val="Prrafodelista"/>
        <w:suppressLineNumbers/>
        <w:spacing w:before="120" w:line="240" w:lineRule="auto"/>
        <w:ind w:left="0" w:right="49"/>
        <w:contextualSpacing w:val="0"/>
        <w:jc w:val="both"/>
        <w:rPr>
          <w:rFonts w:ascii="Verdana" w:hAnsi="Verdana"/>
          <w:b/>
          <w:sz w:val="20"/>
          <w:szCs w:val="20"/>
        </w:rPr>
      </w:pPr>
    </w:p>
    <w:p w14:paraId="14555114" w14:textId="77777777" w:rsidR="009D33E6" w:rsidRDefault="009D33E6" w:rsidP="00B11F2A">
      <w:pPr>
        <w:suppressLineNumbers/>
        <w:spacing w:before="240"/>
        <w:ind w:right="49"/>
        <w:jc w:val="both"/>
        <w:rPr>
          <w:rFonts w:ascii="Verdana" w:hAnsi="Verdana"/>
          <w:b/>
          <w:sz w:val="20"/>
          <w:lang w:val="es-MX"/>
        </w:rPr>
      </w:pPr>
      <w:r>
        <w:rPr>
          <w:rFonts w:ascii="Verdana" w:hAnsi="Verdana"/>
          <w:b/>
          <w:sz w:val="20"/>
          <w:lang w:val="es-MX"/>
        </w:rPr>
        <w:t>POR TANTO</w:t>
      </w:r>
    </w:p>
    <w:p w14:paraId="28141F12" w14:textId="77777777" w:rsidR="009D33E6" w:rsidRDefault="009D33E6" w:rsidP="00B11F2A">
      <w:pPr>
        <w:suppressLineNumbers/>
        <w:ind w:right="49"/>
        <w:jc w:val="both"/>
        <w:rPr>
          <w:rFonts w:ascii="Verdana" w:hAnsi="Verdana"/>
          <w:b/>
          <w:sz w:val="20"/>
          <w:lang w:val="es-MX"/>
        </w:rPr>
      </w:pPr>
      <w:r>
        <w:rPr>
          <w:rFonts w:ascii="Verdana" w:hAnsi="Verdana"/>
          <w:b/>
          <w:sz w:val="20"/>
          <w:lang w:val="es-MX"/>
        </w:rPr>
        <w:t>LA CORTE INTERAMERICANA DE DERECHOS HUMANOS,</w:t>
      </w:r>
    </w:p>
    <w:p w14:paraId="26F8AEDC" w14:textId="77777777" w:rsidR="009153B4" w:rsidRDefault="00C07A27" w:rsidP="00B11F2A">
      <w:pPr>
        <w:pStyle w:val="Prrafodelista"/>
        <w:suppressLineNumbers/>
        <w:spacing w:before="120" w:after="120" w:line="240" w:lineRule="auto"/>
        <w:ind w:left="0" w:right="49"/>
        <w:contextualSpacing w:val="0"/>
        <w:jc w:val="both"/>
        <w:rPr>
          <w:rFonts w:ascii="Verdana" w:hAnsi="Verdana"/>
          <w:sz w:val="20"/>
          <w:lang w:val="es-MX"/>
        </w:rPr>
      </w:pPr>
      <w:r>
        <w:rPr>
          <w:rFonts w:ascii="Verdana" w:hAnsi="Verdana"/>
          <w:sz w:val="20"/>
          <w:lang w:val="es-MX"/>
        </w:rPr>
        <w:t xml:space="preserve">En el ejercicio de sus atribuciones de supervisión del cumplimiento de sus decisiones, de conformidad con los artículos 33, 62.1, 62.3, </w:t>
      </w:r>
      <w:r w:rsidR="006160DA">
        <w:rPr>
          <w:rFonts w:ascii="Verdana" w:hAnsi="Verdana"/>
          <w:sz w:val="20"/>
          <w:lang w:val="es-MX"/>
        </w:rPr>
        <w:t xml:space="preserve">65, </w:t>
      </w:r>
      <w:r>
        <w:rPr>
          <w:rFonts w:ascii="Verdana" w:hAnsi="Verdana"/>
          <w:sz w:val="20"/>
          <w:lang w:val="es-MX"/>
        </w:rPr>
        <w:t xml:space="preserve">67 y 68.1 de la Convención Americana sobre Derechos Humanos, </w:t>
      </w:r>
      <w:r w:rsidR="00D75F39">
        <w:rPr>
          <w:rFonts w:ascii="Verdana" w:hAnsi="Verdana"/>
          <w:sz w:val="20"/>
          <w:lang w:val="es-MX"/>
        </w:rPr>
        <w:t>24</w:t>
      </w:r>
      <w:r w:rsidR="006F374A">
        <w:rPr>
          <w:rFonts w:ascii="Verdana" w:hAnsi="Verdana"/>
          <w:sz w:val="20"/>
          <w:lang w:val="es-MX"/>
        </w:rPr>
        <w:t>, 25</w:t>
      </w:r>
      <w:r>
        <w:rPr>
          <w:rFonts w:ascii="Verdana" w:hAnsi="Verdana"/>
          <w:sz w:val="20"/>
          <w:lang w:val="es-MX"/>
        </w:rPr>
        <w:t xml:space="preserve"> y 30 del Estatuto y 31</w:t>
      </w:r>
      <w:r w:rsidR="00D75F39">
        <w:rPr>
          <w:rFonts w:ascii="Verdana" w:hAnsi="Verdana"/>
          <w:sz w:val="20"/>
          <w:lang w:val="es-MX"/>
        </w:rPr>
        <w:t>.2</w:t>
      </w:r>
      <w:r>
        <w:rPr>
          <w:rFonts w:ascii="Verdana" w:hAnsi="Verdana"/>
          <w:sz w:val="20"/>
          <w:lang w:val="es-MX"/>
        </w:rPr>
        <w:t xml:space="preserve"> y 69 de su Reglamento,</w:t>
      </w:r>
    </w:p>
    <w:p w14:paraId="2D59060A" w14:textId="77777777" w:rsidR="009153B4" w:rsidRDefault="009153B4" w:rsidP="00B11F2A">
      <w:pPr>
        <w:pStyle w:val="Prrafodelista"/>
        <w:suppressLineNumbers/>
        <w:spacing w:before="120" w:after="120" w:line="240" w:lineRule="auto"/>
        <w:ind w:left="0" w:right="49"/>
        <w:contextualSpacing w:val="0"/>
        <w:jc w:val="both"/>
        <w:rPr>
          <w:rFonts w:ascii="Verdana" w:hAnsi="Verdana"/>
          <w:sz w:val="20"/>
          <w:lang w:val="es-MX"/>
        </w:rPr>
      </w:pPr>
    </w:p>
    <w:p w14:paraId="4B49787C" w14:textId="77777777" w:rsidR="003B6DB5" w:rsidRDefault="003B6DB5" w:rsidP="00020685">
      <w:pPr>
        <w:suppressLineNumbers/>
        <w:spacing w:before="360" w:after="240" w:line="240" w:lineRule="auto"/>
        <w:ind w:right="49"/>
        <w:jc w:val="both"/>
        <w:rPr>
          <w:rFonts w:ascii="Verdana" w:hAnsi="Verdana"/>
          <w:b/>
          <w:sz w:val="20"/>
          <w:szCs w:val="20"/>
          <w:lang w:val="es-MX"/>
        </w:rPr>
      </w:pPr>
      <w:r w:rsidRPr="00FF18D7">
        <w:rPr>
          <w:rFonts w:ascii="Verdana" w:hAnsi="Verdana"/>
          <w:b/>
          <w:sz w:val="20"/>
          <w:szCs w:val="20"/>
          <w:lang w:val="es-MX"/>
        </w:rPr>
        <w:t>DECLARA QUE:</w:t>
      </w:r>
    </w:p>
    <w:p w14:paraId="5CA0187E" w14:textId="77777777" w:rsidR="003B6DB5" w:rsidRDefault="003B6DB5" w:rsidP="00020685">
      <w:pPr>
        <w:numPr>
          <w:ilvl w:val="0"/>
          <w:numId w:val="7"/>
        </w:numPr>
        <w:suppressLineNumbers/>
        <w:spacing w:before="360" w:after="240" w:line="240" w:lineRule="auto"/>
        <w:ind w:left="0" w:right="49" w:hanging="11"/>
        <w:jc w:val="both"/>
        <w:rPr>
          <w:rFonts w:ascii="Verdana" w:hAnsi="Verdana"/>
          <w:sz w:val="20"/>
          <w:szCs w:val="20"/>
          <w:lang w:val="es-MX"/>
        </w:rPr>
      </w:pPr>
      <w:r w:rsidRPr="00FF18D7">
        <w:rPr>
          <w:rFonts w:ascii="Verdana" w:hAnsi="Verdana"/>
          <w:sz w:val="20"/>
          <w:szCs w:val="20"/>
        </w:rPr>
        <w:t xml:space="preserve">El Estado ha incumplido </w:t>
      </w:r>
      <w:r w:rsidR="00786DA7">
        <w:rPr>
          <w:rFonts w:ascii="Verdana" w:hAnsi="Verdana"/>
          <w:sz w:val="20"/>
          <w:szCs w:val="20"/>
        </w:rPr>
        <w:t xml:space="preserve">durante más de </w:t>
      </w:r>
      <w:r w:rsidR="000865EB">
        <w:rPr>
          <w:rFonts w:ascii="Verdana" w:hAnsi="Verdana"/>
          <w:sz w:val="20"/>
          <w:szCs w:val="20"/>
        </w:rPr>
        <w:t>tres</w:t>
      </w:r>
      <w:r w:rsidR="00786DA7">
        <w:rPr>
          <w:rFonts w:ascii="Verdana" w:hAnsi="Verdana"/>
          <w:sz w:val="20"/>
          <w:szCs w:val="20"/>
        </w:rPr>
        <w:t xml:space="preserve"> años </w:t>
      </w:r>
      <w:r w:rsidR="00C07A27">
        <w:rPr>
          <w:rFonts w:ascii="Verdana" w:hAnsi="Verdana"/>
          <w:sz w:val="20"/>
          <w:szCs w:val="20"/>
        </w:rPr>
        <w:t>con</w:t>
      </w:r>
      <w:r w:rsidRPr="00FF18D7">
        <w:rPr>
          <w:rFonts w:ascii="Verdana" w:hAnsi="Verdana"/>
          <w:sz w:val="20"/>
          <w:szCs w:val="20"/>
        </w:rPr>
        <w:t xml:space="preserve"> su obligación de informar a esta Corte </w:t>
      </w:r>
      <w:r w:rsidRPr="00FF18D7">
        <w:rPr>
          <w:rFonts w:ascii="Verdana" w:hAnsi="Verdana"/>
          <w:sz w:val="20"/>
          <w:szCs w:val="20"/>
          <w:lang w:val="es-MX"/>
        </w:rPr>
        <w:t xml:space="preserve">sobre las medidas adoptadas para dar </w:t>
      </w:r>
      <w:r w:rsidR="0096741D">
        <w:rPr>
          <w:rFonts w:ascii="Verdana" w:hAnsi="Verdana"/>
          <w:sz w:val="20"/>
          <w:szCs w:val="20"/>
          <w:lang w:val="es-MX"/>
        </w:rPr>
        <w:t xml:space="preserve">integral </w:t>
      </w:r>
      <w:r w:rsidRPr="00FF18D7">
        <w:rPr>
          <w:rFonts w:ascii="Verdana" w:hAnsi="Verdana"/>
          <w:sz w:val="20"/>
          <w:szCs w:val="20"/>
          <w:lang w:val="es-MX"/>
        </w:rPr>
        <w:t xml:space="preserve">cumplimiento a las reparaciones </w:t>
      </w:r>
      <w:r w:rsidR="006160DA">
        <w:rPr>
          <w:rFonts w:ascii="Verdana" w:hAnsi="Verdana"/>
          <w:sz w:val="20"/>
          <w:szCs w:val="20"/>
          <w:lang w:val="es-MX"/>
        </w:rPr>
        <w:t>ordenadas</w:t>
      </w:r>
      <w:r w:rsidR="006160DA" w:rsidRPr="00FF18D7">
        <w:rPr>
          <w:rFonts w:ascii="Verdana" w:hAnsi="Verdana"/>
          <w:sz w:val="20"/>
          <w:szCs w:val="20"/>
          <w:lang w:val="es-MX"/>
        </w:rPr>
        <w:t xml:space="preserve"> </w:t>
      </w:r>
      <w:r w:rsidR="00CA776E">
        <w:rPr>
          <w:rFonts w:ascii="Verdana" w:hAnsi="Verdana"/>
          <w:sz w:val="20"/>
          <w:szCs w:val="20"/>
          <w:lang w:val="es-MX"/>
        </w:rPr>
        <w:t>en la</w:t>
      </w:r>
      <w:r w:rsidRPr="00FF18D7">
        <w:rPr>
          <w:rFonts w:ascii="Verdana" w:hAnsi="Verdana"/>
          <w:sz w:val="20"/>
          <w:szCs w:val="20"/>
          <w:lang w:val="es-MX"/>
        </w:rPr>
        <w:t xml:space="preserve"> Sentencia </w:t>
      </w:r>
      <w:r w:rsidR="00E564C6">
        <w:rPr>
          <w:rFonts w:ascii="Verdana" w:hAnsi="Verdana"/>
          <w:sz w:val="20"/>
          <w:szCs w:val="20"/>
          <w:lang w:val="es-MX"/>
        </w:rPr>
        <w:t xml:space="preserve">del caso </w:t>
      </w:r>
      <w:r w:rsidR="00E564C6" w:rsidRPr="00E564C6">
        <w:rPr>
          <w:rFonts w:ascii="Verdana" w:hAnsi="Verdana"/>
          <w:i/>
          <w:sz w:val="20"/>
          <w:szCs w:val="20"/>
          <w:lang w:val="es-MX"/>
        </w:rPr>
        <w:t>Ort</w:t>
      </w:r>
      <w:r w:rsidR="00BA70C9">
        <w:rPr>
          <w:rFonts w:ascii="Verdana" w:hAnsi="Verdana"/>
          <w:i/>
          <w:sz w:val="20"/>
          <w:szCs w:val="20"/>
          <w:lang w:val="es-MX"/>
        </w:rPr>
        <w:t>i</w:t>
      </w:r>
      <w:r w:rsidR="00E564C6" w:rsidRPr="00E564C6">
        <w:rPr>
          <w:rFonts w:ascii="Verdana" w:hAnsi="Verdana"/>
          <w:i/>
          <w:sz w:val="20"/>
          <w:szCs w:val="20"/>
          <w:lang w:val="es-MX"/>
        </w:rPr>
        <w:t>z Hernández y otros</w:t>
      </w:r>
      <w:r w:rsidR="00A25807" w:rsidRPr="00FF18D7">
        <w:rPr>
          <w:rFonts w:ascii="Verdana" w:hAnsi="Verdana" w:cs="Arial"/>
          <w:i/>
          <w:sz w:val="20"/>
          <w:szCs w:val="20"/>
        </w:rPr>
        <w:t>,</w:t>
      </w:r>
      <w:r w:rsidR="002D15D9" w:rsidRPr="00FF18D7">
        <w:rPr>
          <w:rFonts w:ascii="Verdana" w:hAnsi="Verdana"/>
          <w:sz w:val="20"/>
          <w:szCs w:val="20"/>
          <w:lang w:val="es-MX"/>
        </w:rPr>
        <w:t xml:space="preserve"> </w:t>
      </w:r>
      <w:r w:rsidRPr="00FF18D7">
        <w:rPr>
          <w:rFonts w:ascii="Verdana" w:hAnsi="Verdana"/>
          <w:sz w:val="20"/>
          <w:szCs w:val="20"/>
          <w:lang w:val="es-MX"/>
        </w:rPr>
        <w:t xml:space="preserve">de conformidad con lo indicado en </w:t>
      </w:r>
      <w:r w:rsidR="000865EB">
        <w:rPr>
          <w:rFonts w:ascii="Verdana" w:hAnsi="Verdana"/>
          <w:sz w:val="20"/>
          <w:szCs w:val="20"/>
          <w:lang w:val="es-MX"/>
        </w:rPr>
        <w:t xml:space="preserve">los Considerados </w:t>
      </w:r>
      <w:r w:rsidR="00815034">
        <w:rPr>
          <w:rFonts w:ascii="Verdana" w:hAnsi="Verdana"/>
          <w:sz w:val="20"/>
          <w:szCs w:val="20"/>
          <w:lang w:val="es-MX"/>
        </w:rPr>
        <w:t>4 a 10</w:t>
      </w:r>
      <w:r w:rsidRPr="00FF18D7">
        <w:rPr>
          <w:rFonts w:ascii="Verdana" w:hAnsi="Verdana"/>
          <w:sz w:val="20"/>
          <w:szCs w:val="20"/>
          <w:lang w:val="es-MX"/>
        </w:rPr>
        <w:t xml:space="preserve"> de la presente Resolución.</w:t>
      </w:r>
    </w:p>
    <w:p w14:paraId="04D885C0" w14:textId="77777777" w:rsidR="00334D1A" w:rsidRPr="002C54D5" w:rsidRDefault="00334D1A" w:rsidP="00020685">
      <w:pPr>
        <w:numPr>
          <w:ilvl w:val="0"/>
          <w:numId w:val="7"/>
        </w:numPr>
        <w:suppressLineNumbers/>
        <w:spacing w:before="360" w:after="240" w:line="240" w:lineRule="auto"/>
        <w:ind w:left="0" w:right="49" w:firstLine="0"/>
        <w:jc w:val="both"/>
        <w:rPr>
          <w:rFonts w:ascii="Verdana" w:hAnsi="Verdana"/>
          <w:b/>
          <w:sz w:val="20"/>
          <w:szCs w:val="20"/>
          <w:lang w:val="es-ES"/>
        </w:rPr>
      </w:pPr>
      <w:r w:rsidRPr="005F5D8C">
        <w:rPr>
          <w:rFonts w:ascii="Verdana" w:hAnsi="Verdana"/>
          <w:sz w:val="20"/>
          <w:szCs w:val="20"/>
          <w:lang w:val="es-MX"/>
        </w:rPr>
        <w:t xml:space="preserve">El Estado </w:t>
      </w:r>
      <w:r w:rsidR="00096E30">
        <w:rPr>
          <w:rFonts w:ascii="Verdana" w:hAnsi="Verdana"/>
          <w:sz w:val="20"/>
          <w:szCs w:val="20"/>
          <w:lang w:val="es-MX"/>
        </w:rPr>
        <w:t xml:space="preserve">no ha </w:t>
      </w:r>
      <w:r w:rsidRPr="005F5D8C">
        <w:rPr>
          <w:rFonts w:ascii="Verdana" w:hAnsi="Verdana"/>
          <w:sz w:val="20"/>
          <w:szCs w:val="20"/>
          <w:lang w:val="es-MX"/>
        </w:rPr>
        <w:t xml:space="preserve">cumplido con su obligación de reintegrar al Fondo de Asistencia Legal de Víctimas de la Corte Interamericana la cantidad </w:t>
      </w:r>
      <w:r w:rsidR="00096E30" w:rsidRPr="00096E30">
        <w:rPr>
          <w:rFonts w:ascii="Verdana" w:hAnsi="Verdana"/>
          <w:sz w:val="20"/>
          <w:szCs w:val="20"/>
        </w:rPr>
        <w:t>erogada en la tramitación del presente caso, de conformidad con lo indicado en el Consideran</w:t>
      </w:r>
      <w:r w:rsidR="009D099F">
        <w:rPr>
          <w:rFonts w:ascii="Verdana" w:hAnsi="Verdana"/>
          <w:sz w:val="20"/>
          <w:szCs w:val="20"/>
        </w:rPr>
        <w:t xml:space="preserve">do </w:t>
      </w:r>
      <w:r w:rsidR="00815034">
        <w:rPr>
          <w:rFonts w:ascii="Verdana" w:hAnsi="Verdana"/>
          <w:sz w:val="20"/>
          <w:szCs w:val="20"/>
        </w:rPr>
        <w:t>9</w:t>
      </w:r>
      <w:r w:rsidR="00096E30">
        <w:rPr>
          <w:rFonts w:ascii="Verdana" w:hAnsi="Verdana"/>
          <w:sz w:val="20"/>
          <w:szCs w:val="20"/>
        </w:rPr>
        <w:t xml:space="preserve"> de la presente Resolución </w:t>
      </w:r>
      <w:r w:rsidRPr="005F5D8C">
        <w:rPr>
          <w:rFonts w:ascii="Verdana" w:hAnsi="Verdana"/>
          <w:i/>
          <w:sz w:val="20"/>
          <w:szCs w:val="20"/>
          <w:lang w:val="es-MX"/>
        </w:rPr>
        <w:t xml:space="preserve">(punto resolutivo décimo </w:t>
      </w:r>
      <w:r w:rsidR="00096E30">
        <w:rPr>
          <w:rFonts w:ascii="Verdana" w:hAnsi="Verdana"/>
          <w:i/>
          <w:sz w:val="20"/>
          <w:szCs w:val="20"/>
          <w:lang w:val="es-MX"/>
        </w:rPr>
        <w:t>sexto</w:t>
      </w:r>
      <w:r w:rsidRPr="005F5D8C">
        <w:rPr>
          <w:rFonts w:ascii="Verdana" w:hAnsi="Verdana"/>
          <w:i/>
          <w:sz w:val="20"/>
          <w:szCs w:val="20"/>
          <w:lang w:val="es-MX"/>
        </w:rPr>
        <w:t xml:space="preserve"> de la Sentencia)</w:t>
      </w:r>
      <w:r w:rsidRPr="005F5D8C">
        <w:rPr>
          <w:rFonts w:ascii="Verdana" w:hAnsi="Verdana"/>
          <w:sz w:val="20"/>
          <w:szCs w:val="20"/>
          <w:lang w:val="es-MX"/>
        </w:rPr>
        <w:t xml:space="preserve">. </w:t>
      </w:r>
    </w:p>
    <w:p w14:paraId="018FC06A" w14:textId="77777777" w:rsidR="002C54D5" w:rsidRPr="005F5D8C" w:rsidRDefault="002C54D5" w:rsidP="00020685">
      <w:pPr>
        <w:suppressLineNumbers/>
        <w:spacing w:before="360" w:after="240" w:line="240" w:lineRule="auto"/>
        <w:ind w:right="49"/>
        <w:jc w:val="both"/>
        <w:rPr>
          <w:rFonts w:ascii="Verdana" w:hAnsi="Verdana"/>
          <w:b/>
          <w:sz w:val="20"/>
          <w:szCs w:val="20"/>
          <w:lang w:val="es-ES"/>
        </w:rPr>
      </w:pPr>
    </w:p>
    <w:p w14:paraId="02D555B0" w14:textId="77777777" w:rsidR="00674C3F" w:rsidRPr="005F5D8C" w:rsidRDefault="00A25807" w:rsidP="00020685">
      <w:pPr>
        <w:suppressLineNumbers/>
        <w:spacing w:before="360" w:after="240" w:line="240" w:lineRule="auto"/>
        <w:ind w:right="49"/>
        <w:jc w:val="both"/>
        <w:rPr>
          <w:rFonts w:ascii="Verdana" w:hAnsi="Verdana"/>
          <w:b/>
          <w:sz w:val="20"/>
          <w:szCs w:val="20"/>
          <w:lang w:val="es-ES"/>
        </w:rPr>
      </w:pPr>
      <w:r w:rsidRPr="005F5D8C">
        <w:rPr>
          <w:rFonts w:ascii="Verdana" w:hAnsi="Verdana"/>
          <w:b/>
          <w:sz w:val="20"/>
          <w:szCs w:val="20"/>
          <w:lang w:val="es-ES"/>
        </w:rPr>
        <w:t xml:space="preserve">Y </w:t>
      </w:r>
      <w:r w:rsidR="00674C3F" w:rsidRPr="005F5D8C">
        <w:rPr>
          <w:rFonts w:ascii="Verdana" w:hAnsi="Verdana"/>
          <w:b/>
          <w:sz w:val="20"/>
          <w:szCs w:val="20"/>
          <w:lang w:val="es-ES"/>
        </w:rPr>
        <w:t>RESUELVE:</w:t>
      </w:r>
    </w:p>
    <w:p w14:paraId="4D44F6BD" w14:textId="77777777" w:rsidR="00A2556A" w:rsidRDefault="00A2556A" w:rsidP="00020685">
      <w:pPr>
        <w:numPr>
          <w:ilvl w:val="0"/>
          <w:numId w:val="7"/>
        </w:numPr>
        <w:suppressLineNumbers/>
        <w:spacing w:before="360" w:after="240" w:line="240" w:lineRule="auto"/>
        <w:ind w:left="0" w:right="49" w:hanging="11"/>
        <w:jc w:val="both"/>
        <w:rPr>
          <w:rFonts w:ascii="Verdana" w:hAnsi="Verdana"/>
          <w:sz w:val="20"/>
          <w:szCs w:val="20"/>
          <w:lang w:val="es-ES"/>
        </w:rPr>
      </w:pPr>
      <w:r>
        <w:rPr>
          <w:rFonts w:ascii="Verdana" w:hAnsi="Verdana"/>
          <w:sz w:val="20"/>
          <w:szCs w:val="20"/>
          <w:lang w:val="es-ES"/>
        </w:rPr>
        <w:t xml:space="preserve">Expresar su preocupación por el incumplimiento estatal del deber de informar sobre el cumplimiento de la Sentencia y la falta de </w:t>
      </w:r>
      <w:r w:rsidR="00604E12">
        <w:rPr>
          <w:rFonts w:ascii="Verdana" w:hAnsi="Verdana"/>
          <w:sz w:val="20"/>
          <w:szCs w:val="20"/>
          <w:lang w:val="es-ES"/>
        </w:rPr>
        <w:t>implementación de la mayoría de las</w:t>
      </w:r>
      <w:r>
        <w:rPr>
          <w:rFonts w:ascii="Verdana" w:hAnsi="Verdana"/>
          <w:sz w:val="20"/>
          <w:szCs w:val="20"/>
          <w:lang w:val="es-ES"/>
        </w:rPr>
        <w:t xml:space="preserve"> reparaciones. </w:t>
      </w:r>
    </w:p>
    <w:p w14:paraId="69BA7FAB" w14:textId="77777777" w:rsidR="00F2477E" w:rsidRDefault="00F2477E" w:rsidP="00020685">
      <w:pPr>
        <w:numPr>
          <w:ilvl w:val="0"/>
          <w:numId w:val="7"/>
        </w:numPr>
        <w:suppressLineNumbers/>
        <w:spacing w:before="360" w:after="240" w:line="240" w:lineRule="auto"/>
        <w:ind w:left="0" w:right="49" w:hanging="11"/>
        <w:jc w:val="both"/>
        <w:rPr>
          <w:rFonts w:ascii="Verdana" w:hAnsi="Verdana"/>
          <w:sz w:val="20"/>
          <w:szCs w:val="20"/>
          <w:lang w:val="es-ES"/>
        </w:rPr>
      </w:pPr>
      <w:r>
        <w:rPr>
          <w:rFonts w:ascii="Verdana" w:hAnsi="Verdana"/>
          <w:sz w:val="20"/>
          <w:szCs w:val="20"/>
          <w:lang w:val="es-ES"/>
        </w:rPr>
        <w:t xml:space="preserve">Declarar, de conformidad con lo </w:t>
      </w:r>
      <w:r w:rsidR="005B5CF2">
        <w:rPr>
          <w:rFonts w:ascii="Verdana" w:hAnsi="Verdana"/>
          <w:sz w:val="20"/>
          <w:szCs w:val="20"/>
          <w:lang w:val="es-ES"/>
        </w:rPr>
        <w:t xml:space="preserve">informado por las representantes de las víctimas y </w:t>
      </w:r>
      <w:r>
        <w:rPr>
          <w:rFonts w:ascii="Verdana" w:hAnsi="Verdana"/>
          <w:sz w:val="20"/>
          <w:szCs w:val="20"/>
          <w:lang w:val="es-ES"/>
        </w:rPr>
        <w:t xml:space="preserve">señalado en el Considerando </w:t>
      </w:r>
      <w:r w:rsidR="000754AF">
        <w:rPr>
          <w:rFonts w:ascii="Verdana" w:hAnsi="Verdana"/>
          <w:sz w:val="20"/>
          <w:szCs w:val="20"/>
          <w:lang w:val="es-ES"/>
        </w:rPr>
        <w:t>2</w:t>
      </w:r>
      <w:r w:rsidR="001826B6">
        <w:rPr>
          <w:rFonts w:ascii="Verdana" w:hAnsi="Verdana"/>
          <w:sz w:val="20"/>
          <w:szCs w:val="20"/>
          <w:lang w:val="es-ES"/>
        </w:rPr>
        <w:t>3</w:t>
      </w:r>
      <w:r>
        <w:rPr>
          <w:rFonts w:ascii="Verdana" w:hAnsi="Verdana"/>
          <w:sz w:val="20"/>
          <w:szCs w:val="20"/>
          <w:lang w:val="es-ES"/>
        </w:rPr>
        <w:t xml:space="preserve"> de la presente resolución, que el Estado ha dado </w:t>
      </w:r>
      <w:r>
        <w:rPr>
          <w:rFonts w:ascii="Verdana" w:hAnsi="Verdana"/>
          <w:sz w:val="20"/>
          <w:szCs w:val="20"/>
          <w:lang w:val="es-ES"/>
        </w:rPr>
        <w:lastRenderedPageBreak/>
        <w:t xml:space="preserve">cumplimiento total a la medida relativa a </w:t>
      </w:r>
      <w:r w:rsidRPr="00835F65">
        <w:rPr>
          <w:rFonts w:ascii="Verdana" w:eastAsia="Times New Roman" w:hAnsi="Verdana"/>
          <w:bCs/>
          <w:kern w:val="32"/>
          <w:sz w:val="20"/>
          <w:szCs w:val="32"/>
          <w:lang w:eastAsia="en-US"/>
        </w:rPr>
        <w:t xml:space="preserve">designar con el nombre de Johan Alexis Ortiz Hernández </w:t>
      </w:r>
      <w:r w:rsidR="00C15F8B">
        <w:rPr>
          <w:rFonts w:ascii="Verdana" w:eastAsia="Times New Roman" w:hAnsi="Verdana"/>
          <w:bCs/>
          <w:kern w:val="32"/>
          <w:sz w:val="20"/>
          <w:szCs w:val="32"/>
          <w:lang w:eastAsia="en-US"/>
        </w:rPr>
        <w:t xml:space="preserve">a </w:t>
      </w:r>
      <w:r w:rsidRPr="00835F65">
        <w:rPr>
          <w:rFonts w:ascii="Verdana" w:eastAsia="Times New Roman" w:hAnsi="Verdana"/>
          <w:bCs/>
          <w:kern w:val="32"/>
          <w:sz w:val="20"/>
          <w:szCs w:val="32"/>
          <w:lang w:eastAsia="en-US"/>
        </w:rPr>
        <w:t>una promoción de egresados de la Escuela de Formación de Guardias Nacionales</w:t>
      </w:r>
      <w:r>
        <w:rPr>
          <w:rFonts w:ascii="Verdana" w:eastAsia="Times New Roman" w:hAnsi="Verdana"/>
          <w:bCs/>
          <w:kern w:val="32"/>
          <w:sz w:val="20"/>
          <w:szCs w:val="32"/>
          <w:lang w:eastAsia="en-US"/>
        </w:rPr>
        <w:t xml:space="preserve"> (</w:t>
      </w:r>
      <w:r>
        <w:rPr>
          <w:rFonts w:ascii="Verdana" w:eastAsia="Times New Roman" w:hAnsi="Verdana"/>
          <w:bCs/>
          <w:i/>
          <w:kern w:val="32"/>
          <w:sz w:val="20"/>
          <w:szCs w:val="32"/>
          <w:lang w:eastAsia="en-US"/>
        </w:rPr>
        <w:t>punto resolutivo décimo tercero de la Sentencia).</w:t>
      </w:r>
    </w:p>
    <w:p w14:paraId="32C0ADE5" w14:textId="77777777" w:rsidR="006160DA" w:rsidRDefault="006160DA" w:rsidP="00020685">
      <w:pPr>
        <w:numPr>
          <w:ilvl w:val="0"/>
          <w:numId w:val="7"/>
        </w:numPr>
        <w:suppressLineNumbers/>
        <w:spacing w:before="360" w:after="240" w:line="240" w:lineRule="auto"/>
        <w:ind w:left="0" w:right="49" w:hanging="11"/>
        <w:jc w:val="both"/>
        <w:rPr>
          <w:rFonts w:ascii="Verdana" w:hAnsi="Verdana"/>
          <w:sz w:val="20"/>
          <w:szCs w:val="20"/>
          <w:lang w:val="es-ES"/>
        </w:rPr>
      </w:pPr>
      <w:r w:rsidRPr="005F5D8C">
        <w:rPr>
          <w:rFonts w:ascii="Verdana" w:hAnsi="Verdana"/>
          <w:sz w:val="20"/>
          <w:szCs w:val="20"/>
          <w:lang w:val="es-ES"/>
        </w:rPr>
        <w:t xml:space="preserve">Mantener abierto el procedimiento de supervisión de cumplimiento respecto de las </w:t>
      </w:r>
      <w:r w:rsidR="0080743C">
        <w:rPr>
          <w:rFonts w:ascii="Verdana" w:hAnsi="Verdana"/>
          <w:sz w:val="20"/>
          <w:szCs w:val="20"/>
          <w:lang w:val="es-ES"/>
        </w:rPr>
        <w:t xml:space="preserve">siguientes </w:t>
      </w:r>
      <w:r w:rsidRPr="005F5D8C">
        <w:rPr>
          <w:rFonts w:ascii="Verdana" w:hAnsi="Verdana"/>
          <w:sz w:val="20"/>
          <w:szCs w:val="20"/>
          <w:lang w:val="es-ES"/>
        </w:rPr>
        <w:t>medidas de reparación</w:t>
      </w:r>
      <w:r w:rsidR="0080743C">
        <w:rPr>
          <w:rFonts w:ascii="Verdana" w:hAnsi="Verdana"/>
          <w:sz w:val="20"/>
          <w:szCs w:val="20"/>
          <w:lang w:val="es-ES"/>
        </w:rPr>
        <w:t>:</w:t>
      </w:r>
    </w:p>
    <w:p w14:paraId="24DBFDD0" w14:textId="77777777" w:rsidR="0080743C" w:rsidRPr="0080743C" w:rsidRDefault="0080743C" w:rsidP="00020685">
      <w:pPr>
        <w:pStyle w:val="NormalWeb"/>
        <w:numPr>
          <w:ilvl w:val="1"/>
          <w:numId w:val="7"/>
        </w:numPr>
        <w:suppressLineNumbers/>
        <w:spacing w:before="360" w:beforeAutospacing="0" w:after="240" w:afterAutospacing="0"/>
        <w:ind w:left="720" w:right="51" w:hanging="360"/>
        <w:jc w:val="both"/>
        <w:rPr>
          <w:rFonts w:ascii="Verdana" w:hAnsi="Verdana"/>
          <w:sz w:val="20"/>
          <w:szCs w:val="20"/>
          <w:lang w:val="es-ES"/>
        </w:rPr>
      </w:pPr>
      <w:r w:rsidRPr="0080743C">
        <w:rPr>
          <w:rFonts w:ascii="Verdana" w:eastAsia="Calibri" w:hAnsi="Verdana"/>
          <w:sz w:val="20"/>
          <w:szCs w:val="20"/>
          <w:lang w:val="es-ES" w:eastAsia="en-US"/>
        </w:rPr>
        <w:t>continuar</w:t>
      </w:r>
      <w:r w:rsidRPr="0080743C">
        <w:rPr>
          <w:rFonts w:ascii="Verdana" w:hAnsi="Verdana"/>
          <w:sz w:val="20"/>
          <w:szCs w:val="20"/>
        </w:rPr>
        <w:t xml:space="preserve"> eficazmente y con la mayor diligencia las investigaciones y el proceso penal en curso, así como abrir las investigaciones que sean necesarias con el fin de identificar, juzgar y, en su caso, sancionar a todos los responsables de la muerte de Johan Alexis Ortiz Hernández en un plazo razonable</w:t>
      </w:r>
      <w:r>
        <w:rPr>
          <w:rFonts w:ascii="Verdana" w:hAnsi="Verdana"/>
          <w:sz w:val="20"/>
          <w:szCs w:val="20"/>
        </w:rPr>
        <w:t xml:space="preserve"> (</w:t>
      </w:r>
      <w:r>
        <w:rPr>
          <w:rFonts w:ascii="Verdana" w:hAnsi="Verdana"/>
          <w:i/>
          <w:sz w:val="20"/>
          <w:szCs w:val="20"/>
        </w:rPr>
        <w:t>punto resolutivo séptimo de la Sentencia)</w:t>
      </w:r>
      <w:r w:rsidR="009D099F">
        <w:rPr>
          <w:rFonts w:ascii="Verdana" w:hAnsi="Verdana"/>
          <w:i/>
          <w:sz w:val="20"/>
          <w:szCs w:val="20"/>
        </w:rPr>
        <w:t>;</w:t>
      </w:r>
    </w:p>
    <w:p w14:paraId="26A4E350" w14:textId="77777777" w:rsidR="0080743C" w:rsidRPr="0080743C" w:rsidRDefault="0080743C" w:rsidP="00020685">
      <w:pPr>
        <w:pStyle w:val="NormalWeb"/>
        <w:numPr>
          <w:ilvl w:val="1"/>
          <w:numId w:val="7"/>
        </w:numPr>
        <w:suppressLineNumbers/>
        <w:spacing w:before="360" w:beforeAutospacing="0" w:after="240" w:afterAutospacing="0"/>
        <w:ind w:left="720" w:right="51" w:hanging="360"/>
        <w:jc w:val="both"/>
        <w:rPr>
          <w:rFonts w:ascii="Verdana" w:hAnsi="Verdana"/>
          <w:sz w:val="20"/>
          <w:szCs w:val="20"/>
          <w:lang w:val="es-ES"/>
        </w:rPr>
      </w:pPr>
      <w:r w:rsidRPr="0080743C">
        <w:rPr>
          <w:rFonts w:ascii="Verdana" w:hAnsi="Verdana"/>
          <w:sz w:val="20"/>
          <w:szCs w:val="20"/>
        </w:rPr>
        <w:t>determinar, por intermedio de las instituciones públicas competentes, las eventuales responsabilidades de los funcionarios que contribuyeron con su actuación a la demora del proceso y a la denegación de justicia y, en la medida que corresponda, aplicar las consecuencias que la ley prevea</w:t>
      </w:r>
      <w:r>
        <w:rPr>
          <w:rFonts w:ascii="Verdana" w:hAnsi="Verdana"/>
          <w:sz w:val="20"/>
          <w:szCs w:val="20"/>
        </w:rPr>
        <w:t xml:space="preserve"> (</w:t>
      </w:r>
      <w:r>
        <w:rPr>
          <w:rFonts w:ascii="Verdana" w:hAnsi="Verdana"/>
          <w:i/>
          <w:sz w:val="20"/>
          <w:szCs w:val="20"/>
        </w:rPr>
        <w:t>punto resolutivo octavo de la Sentencia)</w:t>
      </w:r>
      <w:r w:rsidR="009D099F">
        <w:rPr>
          <w:rFonts w:ascii="Verdana" w:hAnsi="Verdana"/>
          <w:i/>
          <w:sz w:val="20"/>
          <w:szCs w:val="20"/>
        </w:rPr>
        <w:t>;</w:t>
      </w:r>
    </w:p>
    <w:p w14:paraId="1EB14A3B" w14:textId="77777777" w:rsidR="0080743C" w:rsidRPr="000754AF" w:rsidRDefault="0080743C" w:rsidP="00020685">
      <w:pPr>
        <w:pStyle w:val="NormalWeb"/>
        <w:numPr>
          <w:ilvl w:val="1"/>
          <w:numId w:val="7"/>
        </w:numPr>
        <w:suppressLineNumbers/>
        <w:spacing w:before="360" w:beforeAutospacing="0" w:after="240" w:afterAutospacing="0"/>
        <w:ind w:left="720" w:right="51" w:hanging="360"/>
        <w:jc w:val="both"/>
        <w:rPr>
          <w:rFonts w:ascii="Verdana" w:hAnsi="Verdana"/>
          <w:sz w:val="20"/>
          <w:szCs w:val="20"/>
          <w:lang w:val="es-ES"/>
        </w:rPr>
      </w:pPr>
      <w:r w:rsidRPr="0080743C">
        <w:rPr>
          <w:rFonts w:ascii="Verdana" w:hAnsi="Verdana"/>
          <w:sz w:val="20"/>
          <w:szCs w:val="20"/>
        </w:rPr>
        <w:t>adoptar todas las medidas necesarias para que las víctimas o sus representantes, en particular el señor Edgar Humberto Ortiz Ruiz y la señora Zaida Hernández de Arellano, cuenten con las debidas garantías de seguridad para continuar con su búsqueda de justicia, en acuerdo y coordinación con las mismas</w:t>
      </w:r>
      <w:r>
        <w:rPr>
          <w:rFonts w:ascii="Verdana" w:hAnsi="Verdana"/>
          <w:sz w:val="20"/>
          <w:szCs w:val="20"/>
        </w:rPr>
        <w:t xml:space="preserve"> (</w:t>
      </w:r>
      <w:r>
        <w:rPr>
          <w:rFonts w:ascii="Verdana" w:hAnsi="Verdana"/>
          <w:i/>
          <w:sz w:val="20"/>
          <w:szCs w:val="20"/>
        </w:rPr>
        <w:t>punto res</w:t>
      </w:r>
      <w:r w:rsidR="009D099F">
        <w:rPr>
          <w:rFonts w:ascii="Verdana" w:hAnsi="Verdana"/>
          <w:i/>
          <w:sz w:val="20"/>
          <w:szCs w:val="20"/>
        </w:rPr>
        <w:t>olutivo noveno de la Sentencia);</w:t>
      </w:r>
    </w:p>
    <w:p w14:paraId="12798EEE" w14:textId="77777777" w:rsidR="0080743C" w:rsidRPr="0080743C" w:rsidRDefault="0080743C" w:rsidP="00020685">
      <w:pPr>
        <w:pStyle w:val="NormalWeb"/>
        <w:numPr>
          <w:ilvl w:val="1"/>
          <w:numId w:val="7"/>
        </w:numPr>
        <w:suppressLineNumbers/>
        <w:spacing w:before="360" w:beforeAutospacing="0" w:after="240" w:afterAutospacing="0"/>
        <w:ind w:left="720" w:right="51" w:hanging="360"/>
        <w:jc w:val="both"/>
        <w:rPr>
          <w:rFonts w:ascii="Verdana" w:hAnsi="Verdana"/>
          <w:sz w:val="20"/>
          <w:szCs w:val="20"/>
          <w:lang w:val="es-ES"/>
        </w:rPr>
      </w:pPr>
      <w:r w:rsidRPr="0080743C">
        <w:rPr>
          <w:rFonts w:ascii="Verdana" w:hAnsi="Verdana"/>
          <w:sz w:val="20"/>
          <w:szCs w:val="20"/>
        </w:rPr>
        <w:t>brindar gratuitamente, a través de sus instituciones de salud especializadas, y de forma inmediata, adecuada y efectiva, el tratamiento psicológico y/o psiquiátrico, a las víctimas que así lo soliciten</w:t>
      </w:r>
      <w:r>
        <w:rPr>
          <w:rFonts w:ascii="Verdana" w:hAnsi="Verdana"/>
          <w:sz w:val="20"/>
          <w:szCs w:val="20"/>
        </w:rPr>
        <w:t xml:space="preserve"> (</w:t>
      </w:r>
      <w:r>
        <w:rPr>
          <w:rFonts w:ascii="Verdana" w:hAnsi="Verdana"/>
          <w:i/>
          <w:sz w:val="20"/>
          <w:szCs w:val="20"/>
        </w:rPr>
        <w:t>punto resolutivo décimo de la Sentencia)</w:t>
      </w:r>
      <w:r w:rsidR="009D099F">
        <w:rPr>
          <w:rFonts w:ascii="Verdana" w:hAnsi="Verdana"/>
          <w:i/>
          <w:sz w:val="20"/>
          <w:szCs w:val="20"/>
        </w:rPr>
        <w:t>;</w:t>
      </w:r>
    </w:p>
    <w:p w14:paraId="5C6CFD9A" w14:textId="77777777" w:rsidR="000754AF" w:rsidRPr="0080743C" w:rsidRDefault="000754AF" w:rsidP="00020685">
      <w:pPr>
        <w:pStyle w:val="NormalWeb"/>
        <w:numPr>
          <w:ilvl w:val="1"/>
          <w:numId w:val="7"/>
        </w:numPr>
        <w:suppressLineNumbers/>
        <w:spacing w:before="360" w:beforeAutospacing="0" w:after="240" w:afterAutospacing="0"/>
        <w:ind w:left="720" w:right="51" w:hanging="360"/>
        <w:jc w:val="both"/>
        <w:rPr>
          <w:rFonts w:ascii="Verdana" w:hAnsi="Verdana"/>
          <w:sz w:val="20"/>
          <w:szCs w:val="20"/>
          <w:lang w:val="es-ES"/>
        </w:rPr>
      </w:pPr>
      <w:r w:rsidRPr="000754AF">
        <w:rPr>
          <w:rFonts w:ascii="Verdana" w:hAnsi="Verdana"/>
          <w:sz w:val="20"/>
          <w:szCs w:val="20"/>
        </w:rPr>
        <w:t>realizar las publicaciones y radiodifusión de la Sentencia y de su resumen oficial</w:t>
      </w:r>
      <w:r>
        <w:rPr>
          <w:rFonts w:ascii="Verdana" w:hAnsi="Verdana"/>
          <w:i/>
          <w:sz w:val="20"/>
          <w:szCs w:val="20"/>
        </w:rPr>
        <w:t xml:space="preserve"> (punto resolutivo décimo primero de la Sentencia); </w:t>
      </w:r>
    </w:p>
    <w:p w14:paraId="5C49DF2D" w14:textId="77777777" w:rsidR="0080743C" w:rsidRPr="0080743C" w:rsidRDefault="0080743C" w:rsidP="00020685">
      <w:pPr>
        <w:pStyle w:val="NormalWeb"/>
        <w:numPr>
          <w:ilvl w:val="1"/>
          <w:numId w:val="7"/>
        </w:numPr>
        <w:suppressLineNumbers/>
        <w:spacing w:before="360" w:beforeAutospacing="0" w:after="240" w:afterAutospacing="0"/>
        <w:ind w:left="720" w:right="51" w:hanging="360"/>
        <w:jc w:val="both"/>
        <w:rPr>
          <w:rFonts w:ascii="Verdana" w:hAnsi="Verdana"/>
          <w:sz w:val="20"/>
          <w:szCs w:val="20"/>
          <w:lang w:val="es-ES"/>
        </w:rPr>
      </w:pPr>
      <w:r w:rsidRPr="0080743C">
        <w:rPr>
          <w:rFonts w:ascii="Verdana" w:hAnsi="Verdana"/>
          <w:sz w:val="20"/>
          <w:szCs w:val="20"/>
        </w:rPr>
        <w:t>realizar un acto público de reconocimiento de responsabilidad internacional por los hechos del presente caso</w:t>
      </w:r>
      <w:r>
        <w:rPr>
          <w:rFonts w:ascii="Verdana" w:hAnsi="Verdana"/>
          <w:sz w:val="20"/>
          <w:szCs w:val="20"/>
        </w:rPr>
        <w:t xml:space="preserve"> (</w:t>
      </w:r>
      <w:r>
        <w:rPr>
          <w:rFonts w:ascii="Verdana" w:hAnsi="Verdana"/>
          <w:i/>
          <w:sz w:val="20"/>
          <w:szCs w:val="20"/>
        </w:rPr>
        <w:t xml:space="preserve">punto resolutivo </w:t>
      </w:r>
      <w:r w:rsidR="009D099F">
        <w:rPr>
          <w:rFonts w:ascii="Verdana" w:hAnsi="Verdana"/>
          <w:i/>
          <w:sz w:val="20"/>
          <w:szCs w:val="20"/>
        </w:rPr>
        <w:t>décimo segundo de la Sentencia);</w:t>
      </w:r>
    </w:p>
    <w:p w14:paraId="1903A036" w14:textId="77777777" w:rsidR="0080743C" w:rsidRPr="0080743C" w:rsidRDefault="0080743C" w:rsidP="00020685">
      <w:pPr>
        <w:pStyle w:val="NormalWeb"/>
        <w:numPr>
          <w:ilvl w:val="1"/>
          <w:numId w:val="7"/>
        </w:numPr>
        <w:suppressLineNumbers/>
        <w:spacing w:before="360" w:beforeAutospacing="0" w:after="240" w:afterAutospacing="0"/>
        <w:ind w:left="720" w:right="51" w:hanging="360"/>
        <w:jc w:val="both"/>
        <w:rPr>
          <w:rFonts w:ascii="Verdana" w:hAnsi="Verdana"/>
          <w:sz w:val="20"/>
          <w:szCs w:val="20"/>
          <w:lang w:val="es-ES"/>
        </w:rPr>
      </w:pPr>
      <w:proofErr w:type="gramStart"/>
      <w:r w:rsidRPr="0080743C">
        <w:rPr>
          <w:rFonts w:ascii="Verdana" w:hAnsi="Verdana"/>
          <w:sz w:val="20"/>
          <w:szCs w:val="20"/>
        </w:rPr>
        <w:t>de acuerdo a</w:t>
      </w:r>
      <w:proofErr w:type="gramEnd"/>
      <w:r w:rsidRPr="0080743C">
        <w:rPr>
          <w:rFonts w:ascii="Verdana" w:hAnsi="Verdana"/>
          <w:sz w:val="20"/>
          <w:szCs w:val="20"/>
        </w:rPr>
        <w:t xml:space="preserve"> la naturaleza y finalidad de cada ejercicio en el ámbito de la instrucción militar de los estudiantes de la Escuela de Formación de Guardias Nacionales, establecer de forma expresa el tipo de municiones a utilizarse y, en su caso, justificar de forma estricta la necesidad militar de utilizar balas reales en un ejercicio en concreto</w:t>
      </w:r>
      <w:r>
        <w:rPr>
          <w:rFonts w:ascii="Verdana" w:hAnsi="Verdana"/>
          <w:sz w:val="20"/>
          <w:szCs w:val="20"/>
        </w:rPr>
        <w:t xml:space="preserve"> (</w:t>
      </w:r>
      <w:r>
        <w:rPr>
          <w:rFonts w:ascii="Verdana" w:hAnsi="Verdana"/>
          <w:i/>
          <w:sz w:val="20"/>
          <w:szCs w:val="20"/>
        </w:rPr>
        <w:t xml:space="preserve">punto resolutivo </w:t>
      </w:r>
      <w:r w:rsidR="009D099F">
        <w:rPr>
          <w:rFonts w:ascii="Verdana" w:hAnsi="Verdana"/>
          <w:i/>
          <w:sz w:val="20"/>
          <w:szCs w:val="20"/>
        </w:rPr>
        <w:t xml:space="preserve">décimo </w:t>
      </w:r>
      <w:r w:rsidR="003C1D95">
        <w:rPr>
          <w:rFonts w:ascii="Verdana" w:hAnsi="Verdana"/>
          <w:i/>
          <w:sz w:val="20"/>
          <w:szCs w:val="20"/>
        </w:rPr>
        <w:t xml:space="preserve">cuarto </w:t>
      </w:r>
      <w:r w:rsidR="009D099F">
        <w:rPr>
          <w:rFonts w:ascii="Verdana" w:hAnsi="Verdana"/>
          <w:i/>
          <w:sz w:val="20"/>
          <w:szCs w:val="20"/>
        </w:rPr>
        <w:t>de la Sentencia);</w:t>
      </w:r>
    </w:p>
    <w:p w14:paraId="3B25E972" w14:textId="77777777" w:rsidR="0080743C" w:rsidRPr="0080743C" w:rsidRDefault="0080743C" w:rsidP="00020685">
      <w:pPr>
        <w:pStyle w:val="NormalWeb"/>
        <w:numPr>
          <w:ilvl w:val="1"/>
          <w:numId w:val="7"/>
        </w:numPr>
        <w:suppressLineNumbers/>
        <w:spacing w:before="360" w:beforeAutospacing="0" w:after="240" w:afterAutospacing="0"/>
        <w:ind w:left="720" w:right="51" w:hanging="360"/>
        <w:jc w:val="both"/>
        <w:rPr>
          <w:rFonts w:ascii="Verdana" w:hAnsi="Verdana"/>
          <w:sz w:val="20"/>
          <w:szCs w:val="20"/>
          <w:lang w:val="es-ES"/>
        </w:rPr>
      </w:pPr>
      <w:r w:rsidRPr="0080743C">
        <w:rPr>
          <w:rFonts w:ascii="Verdana" w:hAnsi="Verdana"/>
          <w:sz w:val="20"/>
          <w:szCs w:val="20"/>
        </w:rPr>
        <w:t>pagar las cantidades fijadas en la Sentencia por concepto de indemnizaciones por daño material e inmaterial</w:t>
      </w:r>
      <w:r>
        <w:rPr>
          <w:rFonts w:ascii="Verdana" w:hAnsi="Verdana"/>
          <w:sz w:val="20"/>
          <w:szCs w:val="20"/>
        </w:rPr>
        <w:t xml:space="preserve"> (</w:t>
      </w:r>
      <w:r>
        <w:rPr>
          <w:rFonts w:ascii="Verdana" w:hAnsi="Verdana"/>
          <w:i/>
          <w:sz w:val="20"/>
          <w:szCs w:val="20"/>
        </w:rPr>
        <w:t>punto resolutivo</w:t>
      </w:r>
      <w:r w:rsidR="009D099F">
        <w:rPr>
          <w:rFonts w:ascii="Verdana" w:hAnsi="Verdana"/>
          <w:i/>
          <w:sz w:val="20"/>
          <w:szCs w:val="20"/>
        </w:rPr>
        <w:t xml:space="preserve"> décimo </w:t>
      </w:r>
      <w:r w:rsidR="003C1D95">
        <w:rPr>
          <w:rFonts w:ascii="Verdana" w:hAnsi="Verdana"/>
          <w:i/>
          <w:sz w:val="20"/>
          <w:szCs w:val="20"/>
        </w:rPr>
        <w:t xml:space="preserve">quinto </w:t>
      </w:r>
      <w:r w:rsidR="009D099F">
        <w:rPr>
          <w:rFonts w:ascii="Verdana" w:hAnsi="Verdana"/>
          <w:i/>
          <w:sz w:val="20"/>
          <w:szCs w:val="20"/>
        </w:rPr>
        <w:t xml:space="preserve">de la Sentencia), </w:t>
      </w:r>
      <w:r w:rsidR="009D099F" w:rsidRPr="009D099F">
        <w:rPr>
          <w:rFonts w:ascii="Verdana" w:hAnsi="Verdana"/>
          <w:sz w:val="20"/>
          <w:szCs w:val="20"/>
        </w:rPr>
        <w:t>y</w:t>
      </w:r>
    </w:p>
    <w:p w14:paraId="38798C3D" w14:textId="77777777" w:rsidR="0080743C" w:rsidRPr="0080743C" w:rsidRDefault="0080743C" w:rsidP="00020685">
      <w:pPr>
        <w:pStyle w:val="NormalWeb"/>
        <w:numPr>
          <w:ilvl w:val="1"/>
          <w:numId w:val="7"/>
        </w:numPr>
        <w:suppressLineNumbers/>
        <w:spacing w:before="360" w:beforeAutospacing="0" w:after="240" w:afterAutospacing="0"/>
        <w:ind w:left="720" w:right="51" w:hanging="360"/>
        <w:jc w:val="both"/>
        <w:rPr>
          <w:rFonts w:ascii="Verdana" w:hAnsi="Verdana"/>
          <w:sz w:val="20"/>
          <w:szCs w:val="20"/>
          <w:lang w:val="es-ES"/>
        </w:rPr>
      </w:pPr>
      <w:r w:rsidRPr="0080743C">
        <w:rPr>
          <w:rFonts w:ascii="Verdana" w:hAnsi="Verdana"/>
          <w:sz w:val="20"/>
          <w:szCs w:val="20"/>
        </w:rPr>
        <w:t xml:space="preserve">pagar </w:t>
      </w:r>
      <w:r w:rsidR="008D11C0">
        <w:rPr>
          <w:rFonts w:ascii="Verdana" w:hAnsi="Verdana"/>
          <w:sz w:val="20"/>
          <w:szCs w:val="20"/>
        </w:rPr>
        <w:t>la cantidad dispuesta en la Sentencia por con</w:t>
      </w:r>
      <w:r w:rsidR="00113810">
        <w:rPr>
          <w:rFonts w:ascii="Verdana" w:hAnsi="Verdana"/>
          <w:sz w:val="20"/>
          <w:szCs w:val="20"/>
        </w:rPr>
        <w:t>cepto de</w:t>
      </w:r>
      <w:r>
        <w:rPr>
          <w:rFonts w:ascii="Verdana" w:hAnsi="Verdana"/>
          <w:sz w:val="20"/>
          <w:szCs w:val="20"/>
        </w:rPr>
        <w:t xml:space="preserve"> reintegro de costas y gastos (</w:t>
      </w:r>
      <w:r>
        <w:rPr>
          <w:rFonts w:ascii="Verdana" w:hAnsi="Verdana"/>
          <w:i/>
          <w:sz w:val="20"/>
          <w:szCs w:val="20"/>
        </w:rPr>
        <w:t>punto resolutivo décimo quinto de la Sentencia).</w:t>
      </w:r>
    </w:p>
    <w:p w14:paraId="2A05C120" w14:textId="77777777" w:rsidR="00F77433" w:rsidRPr="005F5D8C" w:rsidRDefault="00F77433" w:rsidP="00020685">
      <w:pPr>
        <w:numPr>
          <w:ilvl w:val="0"/>
          <w:numId w:val="7"/>
        </w:numPr>
        <w:suppressLineNumbers/>
        <w:spacing w:before="360" w:after="240" w:line="240" w:lineRule="auto"/>
        <w:ind w:left="0" w:right="51" w:hanging="11"/>
        <w:jc w:val="both"/>
        <w:rPr>
          <w:rFonts w:ascii="Verdana" w:hAnsi="Verdana"/>
          <w:sz w:val="20"/>
          <w:szCs w:val="20"/>
          <w:lang w:val="es-ES"/>
        </w:rPr>
      </w:pPr>
      <w:r w:rsidRPr="005F5D8C">
        <w:rPr>
          <w:rFonts w:ascii="Verdana" w:hAnsi="Verdana"/>
          <w:sz w:val="20"/>
          <w:szCs w:val="20"/>
          <w:lang w:val="es-ES"/>
        </w:rPr>
        <w:lastRenderedPageBreak/>
        <w:t>Disponer</w:t>
      </w:r>
      <w:r w:rsidRPr="005F5D8C">
        <w:rPr>
          <w:rFonts w:ascii="Verdana" w:hAnsi="Verdana"/>
          <w:sz w:val="20"/>
          <w:szCs w:val="20"/>
        </w:rPr>
        <w:t xml:space="preserve"> que Venezuela adopte, en definitiva y a la mayor brevedad posible, las medidas que sean necesarias para d</w:t>
      </w:r>
      <w:r w:rsidR="00B15B7A" w:rsidRPr="005F5D8C">
        <w:rPr>
          <w:rFonts w:ascii="Verdana" w:hAnsi="Verdana"/>
          <w:sz w:val="20"/>
          <w:szCs w:val="20"/>
        </w:rPr>
        <w:t>ar efectivo y pronto cumplimiento</w:t>
      </w:r>
      <w:r w:rsidRPr="005F5D8C">
        <w:rPr>
          <w:rFonts w:ascii="Verdana" w:hAnsi="Verdana"/>
          <w:sz w:val="20"/>
          <w:szCs w:val="20"/>
        </w:rPr>
        <w:t xml:space="preserve"> a </w:t>
      </w:r>
      <w:r w:rsidR="00B15B7A" w:rsidRPr="005F5D8C">
        <w:rPr>
          <w:rFonts w:ascii="Verdana" w:hAnsi="Verdana"/>
          <w:sz w:val="20"/>
          <w:szCs w:val="20"/>
        </w:rPr>
        <w:t>l</w:t>
      </w:r>
      <w:r w:rsidR="00AF134F" w:rsidRPr="005F5D8C">
        <w:rPr>
          <w:rFonts w:ascii="Verdana" w:hAnsi="Verdana"/>
          <w:sz w:val="20"/>
          <w:szCs w:val="20"/>
        </w:rPr>
        <w:t>as reparaciones ordenadas en la</w:t>
      </w:r>
      <w:r w:rsidR="00B15B7A" w:rsidRPr="005F5D8C">
        <w:rPr>
          <w:rFonts w:ascii="Verdana" w:hAnsi="Verdana"/>
          <w:sz w:val="20"/>
          <w:szCs w:val="20"/>
        </w:rPr>
        <w:t xml:space="preserve"> </w:t>
      </w:r>
      <w:r w:rsidR="00AF134F" w:rsidRPr="005F5D8C">
        <w:rPr>
          <w:rFonts w:ascii="Verdana" w:hAnsi="Verdana"/>
          <w:sz w:val="20"/>
          <w:szCs w:val="20"/>
        </w:rPr>
        <w:t xml:space="preserve">referida </w:t>
      </w:r>
      <w:r w:rsidR="00B15B7A" w:rsidRPr="005F5D8C">
        <w:rPr>
          <w:rFonts w:ascii="Verdana" w:hAnsi="Verdana"/>
          <w:sz w:val="20"/>
          <w:szCs w:val="20"/>
        </w:rPr>
        <w:t>Sentencia</w:t>
      </w:r>
      <w:r w:rsidRPr="005F5D8C">
        <w:rPr>
          <w:rFonts w:ascii="Verdana" w:hAnsi="Verdana"/>
          <w:sz w:val="20"/>
          <w:szCs w:val="20"/>
        </w:rPr>
        <w:t xml:space="preserve">, de acuerdo con lo considerado en la presente Resolución, y con lo estipulado en el artículo 68.1 de la Convención Americana </w:t>
      </w:r>
      <w:r w:rsidR="00927CA5" w:rsidRPr="005F5D8C">
        <w:rPr>
          <w:rFonts w:ascii="Verdana" w:hAnsi="Verdana"/>
          <w:sz w:val="20"/>
          <w:szCs w:val="20"/>
        </w:rPr>
        <w:t>sobre</w:t>
      </w:r>
      <w:r w:rsidRPr="005F5D8C">
        <w:rPr>
          <w:rFonts w:ascii="Verdana" w:hAnsi="Verdana"/>
          <w:sz w:val="20"/>
          <w:szCs w:val="20"/>
        </w:rPr>
        <w:t xml:space="preserve"> Derechos Humanos.</w:t>
      </w:r>
    </w:p>
    <w:p w14:paraId="39CEAE9C" w14:textId="77777777" w:rsidR="00334D1A" w:rsidRDefault="00334D1A" w:rsidP="00020685">
      <w:pPr>
        <w:numPr>
          <w:ilvl w:val="0"/>
          <w:numId w:val="7"/>
        </w:numPr>
        <w:suppressLineNumbers/>
        <w:spacing w:before="360" w:after="240" w:line="240" w:lineRule="auto"/>
        <w:ind w:left="0" w:right="51" w:hanging="11"/>
        <w:jc w:val="both"/>
        <w:rPr>
          <w:rFonts w:ascii="Verdana" w:hAnsi="Verdana"/>
          <w:sz w:val="20"/>
          <w:szCs w:val="20"/>
        </w:rPr>
      </w:pPr>
      <w:r w:rsidRPr="005F5D8C">
        <w:rPr>
          <w:rFonts w:ascii="Verdana" w:hAnsi="Verdana"/>
          <w:sz w:val="20"/>
          <w:szCs w:val="20"/>
        </w:rPr>
        <w:t xml:space="preserve">Reiterar la obligación del Estado de reintegrar al Fondo de Asistencia Legal de Víctimas de la Corte Interamericana de Derechos Humanos la cantidad indicada en el párrafo </w:t>
      </w:r>
      <w:r w:rsidR="00015620">
        <w:rPr>
          <w:rFonts w:ascii="Verdana" w:hAnsi="Verdana"/>
          <w:sz w:val="20"/>
          <w:szCs w:val="20"/>
        </w:rPr>
        <w:t>259</w:t>
      </w:r>
      <w:r w:rsidRPr="005F5D8C">
        <w:rPr>
          <w:rFonts w:ascii="Verdana" w:hAnsi="Verdana"/>
          <w:sz w:val="20"/>
          <w:szCs w:val="20"/>
        </w:rPr>
        <w:t xml:space="preserve"> de la Sentencia</w:t>
      </w:r>
      <w:r w:rsidR="00604E12">
        <w:rPr>
          <w:rFonts w:ascii="Verdana" w:hAnsi="Verdana"/>
          <w:sz w:val="20"/>
          <w:szCs w:val="20"/>
        </w:rPr>
        <w:t>, así como los correspondientes intereses moratorios</w:t>
      </w:r>
      <w:r w:rsidRPr="005F5D8C">
        <w:rPr>
          <w:rFonts w:ascii="Verdana" w:hAnsi="Verdana"/>
          <w:sz w:val="20"/>
          <w:szCs w:val="20"/>
        </w:rPr>
        <w:t>.</w:t>
      </w:r>
    </w:p>
    <w:p w14:paraId="490D632C" w14:textId="77777777" w:rsidR="004C612F" w:rsidRPr="005F5D8C" w:rsidRDefault="004C612F" w:rsidP="00020685">
      <w:pPr>
        <w:numPr>
          <w:ilvl w:val="0"/>
          <w:numId w:val="7"/>
        </w:numPr>
        <w:suppressLineNumbers/>
        <w:spacing w:before="360" w:after="240" w:line="240" w:lineRule="auto"/>
        <w:ind w:left="0" w:right="51" w:firstLine="0"/>
        <w:jc w:val="both"/>
        <w:rPr>
          <w:rFonts w:ascii="Verdana" w:hAnsi="Verdana"/>
          <w:sz w:val="20"/>
          <w:szCs w:val="20"/>
        </w:rPr>
      </w:pPr>
      <w:r w:rsidRPr="004C612F">
        <w:rPr>
          <w:rFonts w:ascii="Verdana" w:hAnsi="Verdana"/>
          <w:sz w:val="20"/>
          <w:szCs w:val="20"/>
        </w:rPr>
        <w:t xml:space="preserve">Disponer que el Estado realice, en el plazo de </w:t>
      </w:r>
      <w:r w:rsidR="00790D76">
        <w:rPr>
          <w:rFonts w:ascii="Verdana" w:hAnsi="Verdana"/>
          <w:sz w:val="20"/>
          <w:szCs w:val="20"/>
        </w:rPr>
        <w:t>un</w:t>
      </w:r>
      <w:r w:rsidRPr="004C612F">
        <w:rPr>
          <w:rFonts w:ascii="Verdana" w:hAnsi="Verdana"/>
          <w:sz w:val="20"/>
          <w:szCs w:val="20"/>
        </w:rPr>
        <w:t xml:space="preserve"> mes, contado a partir de la notificación de la presente Resolución, una reunión con las víctimas y sus representantes respecto de la</w:t>
      </w:r>
      <w:r>
        <w:rPr>
          <w:rFonts w:ascii="Verdana" w:hAnsi="Verdana"/>
          <w:sz w:val="20"/>
          <w:szCs w:val="20"/>
        </w:rPr>
        <w:t>s</w:t>
      </w:r>
      <w:r w:rsidRPr="004C612F">
        <w:rPr>
          <w:rFonts w:ascii="Verdana" w:hAnsi="Verdana"/>
          <w:sz w:val="20"/>
          <w:szCs w:val="20"/>
        </w:rPr>
        <w:t xml:space="preserve"> medida</w:t>
      </w:r>
      <w:r>
        <w:rPr>
          <w:rFonts w:ascii="Verdana" w:hAnsi="Verdana"/>
          <w:sz w:val="20"/>
          <w:szCs w:val="20"/>
        </w:rPr>
        <w:t>s</w:t>
      </w:r>
      <w:r w:rsidRPr="004C612F">
        <w:rPr>
          <w:rFonts w:ascii="Verdana" w:hAnsi="Verdana"/>
          <w:sz w:val="20"/>
          <w:szCs w:val="20"/>
        </w:rPr>
        <w:t xml:space="preserve"> </w:t>
      </w:r>
      <w:r>
        <w:rPr>
          <w:rFonts w:ascii="Verdana" w:hAnsi="Verdana"/>
          <w:sz w:val="20"/>
          <w:szCs w:val="20"/>
        </w:rPr>
        <w:t xml:space="preserve">de reparación pendientes de cumplimiento, </w:t>
      </w:r>
      <w:r w:rsidR="00604E12">
        <w:rPr>
          <w:rFonts w:ascii="Verdana" w:hAnsi="Verdana"/>
          <w:sz w:val="20"/>
          <w:szCs w:val="20"/>
        </w:rPr>
        <w:t xml:space="preserve">en la cual les informe fundamentalmente sobre los avances en la obligación de investigar, </w:t>
      </w:r>
      <w:proofErr w:type="gramStart"/>
      <w:r w:rsidRPr="004C612F">
        <w:rPr>
          <w:rFonts w:ascii="Verdana" w:hAnsi="Verdana"/>
          <w:sz w:val="20"/>
          <w:szCs w:val="20"/>
        </w:rPr>
        <w:t>de acuerdo a</w:t>
      </w:r>
      <w:proofErr w:type="gramEnd"/>
      <w:r w:rsidRPr="004C612F">
        <w:rPr>
          <w:rFonts w:ascii="Verdana" w:hAnsi="Verdana"/>
          <w:sz w:val="20"/>
          <w:szCs w:val="20"/>
        </w:rPr>
        <w:t xml:space="preserve"> l</w:t>
      </w:r>
      <w:r w:rsidR="006C05B1">
        <w:rPr>
          <w:rFonts w:ascii="Verdana" w:hAnsi="Verdana"/>
          <w:sz w:val="20"/>
          <w:szCs w:val="20"/>
        </w:rPr>
        <w:t>o</w:t>
      </w:r>
      <w:r w:rsidR="00A2556A">
        <w:rPr>
          <w:rFonts w:ascii="Verdana" w:hAnsi="Verdana"/>
          <w:sz w:val="20"/>
          <w:szCs w:val="20"/>
        </w:rPr>
        <w:t xml:space="preserve"> requerido en el Considerando 1</w:t>
      </w:r>
      <w:r w:rsidR="001826B6">
        <w:rPr>
          <w:rFonts w:ascii="Verdana" w:hAnsi="Verdana"/>
          <w:sz w:val="20"/>
          <w:szCs w:val="20"/>
        </w:rPr>
        <w:t>4</w:t>
      </w:r>
      <w:r w:rsidRPr="004C612F">
        <w:rPr>
          <w:rFonts w:ascii="Verdana" w:hAnsi="Verdana"/>
          <w:sz w:val="20"/>
          <w:szCs w:val="20"/>
        </w:rPr>
        <w:t xml:space="preserve"> de la presente Resolución.  </w:t>
      </w:r>
    </w:p>
    <w:p w14:paraId="21A27A49" w14:textId="77777777" w:rsidR="00F77433" w:rsidRPr="00396608" w:rsidRDefault="002D15D9" w:rsidP="00020685">
      <w:pPr>
        <w:numPr>
          <w:ilvl w:val="0"/>
          <w:numId w:val="7"/>
        </w:numPr>
        <w:suppressLineNumbers/>
        <w:spacing w:before="360" w:after="240" w:line="240" w:lineRule="auto"/>
        <w:ind w:left="0" w:right="51" w:hanging="11"/>
        <w:jc w:val="both"/>
        <w:rPr>
          <w:rFonts w:ascii="Verdana" w:hAnsi="Verdana"/>
          <w:sz w:val="20"/>
          <w:szCs w:val="20"/>
          <w:lang w:val="es-MX"/>
        </w:rPr>
      </w:pPr>
      <w:r>
        <w:rPr>
          <w:rFonts w:ascii="Verdana" w:hAnsi="Verdana"/>
          <w:sz w:val="20"/>
          <w:szCs w:val="20"/>
          <w:lang w:val="es-CL"/>
        </w:rPr>
        <w:t>Disponer que el Estado presente a la Corte Interamericana de Derechos Humanos, a m</w:t>
      </w:r>
      <w:r w:rsidR="00D75F39">
        <w:rPr>
          <w:rFonts w:ascii="Verdana" w:hAnsi="Verdana"/>
          <w:sz w:val="20"/>
          <w:szCs w:val="20"/>
          <w:lang w:val="es-CL"/>
        </w:rPr>
        <w:t xml:space="preserve">ás tardar el </w:t>
      </w:r>
      <w:r w:rsidR="0014164B">
        <w:rPr>
          <w:rFonts w:ascii="Verdana" w:hAnsi="Verdana"/>
          <w:sz w:val="20"/>
          <w:szCs w:val="20"/>
          <w:lang w:val="es-CL"/>
        </w:rPr>
        <w:t>1</w:t>
      </w:r>
      <w:r w:rsidR="009D099F">
        <w:rPr>
          <w:rFonts w:ascii="Verdana" w:hAnsi="Verdana"/>
          <w:sz w:val="20"/>
          <w:szCs w:val="20"/>
          <w:lang w:val="es-CL"/>
        </w:rPr>
        <w:t xml:space="preserve"> de abril de 2022</w:t>
      </w:r>
      <w:r w:rsidRPr="006160DA">
        <w:rPr>
          <w:rFonts w:ascii="Verdana" w:hAnsi="Verdana"/>
          <w:sz w:val="20"/>
          <w:szCs w:val="20"/>
          <w:lang w:val="es-CL"/>
        </w:rPr>
        <w:t>,</w:t>
      </w:r>
      <w:r>
        <w:rPr>
          <w:rFonts w:ascii="Verdana" w:hAnsi="Verdana"/>
          <w:sz w:val="20"/>
          <w:szCs w:val="20"/>
          <w:lang w:val="es-CL"/>
        </w:rPr>
        <w:t xml:space="preserve"> un informe</w:t>
      </w:r>
      <w:r w:rsidR="00D75F39">
        <w:rPr>
          <w:rFonts w:ascii="Verdana" w:hAnsi="Verdana"/>
          <w:sz w:val="20"/>
          <w:szCs w:val="20"/>
          <w:lang w:val="es-CL"/>
        </w:rPr>
        <w:t xml:space="preserve"> </w:t>
      </w:r>
      <w:r>
        <w:rPr>
          <w:rFonts w:ascii="Verdana" w:hAnsi="Verdana"/>
          <w:sz w:val="20"/>
          <w:szCs w:val="20"/>
          <w:lang w:val="es-CL"/>
        </w:rPr>
        <w:t xml:space="preserve">en </w:t>
      </w:r>
      <w:r w:rsidR="00AF134F">
        <w:rPr>
          <w:rFonts w:ascii="Verdana" w:hAnsi="Verdana"/>
          <w:sz w:val="20"/>
          <w:szCs w:val="20"/>
          <w:lang w:val="es-CL"/>
        </w:rPr>
        <w:t>e</w:t>
      </w:r>
      <w:r w:rsidR="00D75F39">
        <w:rPr>
          <w:rFonts w:ascii="Verdana" w:hAnsi="Verdana"/>
          <w:sz w:val="20"/>
          <w:szCs w:val="20"/>
          <w:lang w:val="es-CL"/>
        </w:rPr>
        <w:t xml:space="preserve">l </w:t>
      </w:r>
      <w:r>
        <w:rPr>
          <w:rFonts w:ascii="Verdana" w:hAnsi="Verdana"/>
          <w:sz w:val="20"/>
          <w:szCs w:val="20"/>
          <w:lang w:val="es-CL"/>
        </w:rPr>
        <w:t>cual indique las medidas adoptadas para cumplir con las reparaciones ordenadas por esta Corte</w:t>
      </w:r>
      <w:r w:rsidR="00880658">
        <w:rPr>
          <w:rFonts w:ascii="Verdana" w:hAnsi="Verdana"/>
          <w:sz w:val="20"/>
          <w:szCs w:val="20"/>
          <w:lang w:val="es-CL"/>
        </w:rPr>
        <w:t xml:space="preserve"> y con el reintegro al Fondo de Asistencia Legal de Víctimas</w:t>
      </w:r>
      <w:r>
        <w:rPr>
          <w:rFonts w:ascii="Verdana" w:hAnsi="Verdana"/>
          <w:sz w:val="20"/>
          <w:szCs w:val="20"/>
          <w:lang w:val="es-CL"/>
        </w:rPr>
        <w:t>, de conformidad con la parte considerativa de esta Resolución.</w:t>
      </w:r>
    </w:p>
    <w:p w14:paraId="7139FA30" w14:textId="77777777" w:rsidR="002D15D9" w:rsidRDefault="002D15D9" w:rsidP="00020685">
      <w:pPr>
        <w:numPr>
          <w:ilvl w:val="0"/>
          <w:numId w:val="7"/>
        </w:numPr>
        <w:suppressLineNumbers/>
        <w:spacing w:before="360" w:after="240" w:line="240" w:lineRule="auto"/>
        <w:ind w:left="0" w:right="51" w:hanging="11"/>
        <w:jc w:val="both"/>
        <w:rPr>
          <w:rFonts w:ascii="Verdana" w:hAnsi="Verdana"/>
          <w:sz w:val="20"/>
          <w:szCs w:val="20"/>
          <w:lang w:val="es-MX"/>
        </w:rPr>
      </w:pPr>
      <w:r>
        <w:rPr>
          <w:rFonts w:ascii="Verdana" w:hAnsi="Verdana"/>
          <w:sz w:val="20"/>
          <w:szCs w:val="20"/>
          <w:lang w:val="es-MX"/>
        </w:rPr>
        <w:t>Disponer que l</w:t>
      </w:r>
      <w:r w:rsidR="008408C7">
        <w:rPr>
          <w:rFonts w:ascii="Verdana" w:hAnsi="Verdana"/>
          <w:sz w:val="20"/>
          <w:szCs w:val="20"/>
          <w:lang w:val="es-MX"/>
        </w:rPr>
        <w:t>a</w:t>
      </w:r>
      <w:r>
        <w:rPr>
          <w:rFonts w:ascii="Verdana" w:hAnsi="Verdana"/>
          <w:sz w:val="20"/>
          <w:szCs w:val="20"/>
          <w:lang w:val="es-MX"/>
        </w:rPr>
        <w:t>s representantes de las víctimas</w:t>
      </w:r>
      <w:r w:rsidR="00AF134F">
        <w:rPr>
          <w:rFonts w:ascii="Verdana" w:hAnsi="Verdana"/>
          <w:sz w:val="20"/>
          <w:szCs w:val="20"/>
          <w:lang w:val="es-MX"/>
        </w:rPr>
        <w:t xml:space="preserve"> </w:t>
      </w:r>
      <w:r>
        <w:rPr>
          <w:rFonts w:ascii="Verdana" w:hAnsi="Verdana"/>
          <w:sz w:val="20"/>
          <w:szCs w:val="20"/>
          <w:lang w:val="es-MX"/>
        </w:rPr>
        <w:t>y la Comisión Interamericana de Derechos Humanos presenten observaciones a</w:t>
      </w:r>
      <w:r w:rsidR="00CF4FCC">
        <w:rPr>
          <w:rFonts w:ascii="Verdana" w:hAnsi="Verdana"/>
          <w:sz w:val="20"/>
          <w:szCs w:val="20"/>
          <w:lang w:val="es-MX"/>
        </w:rPr>
        <w:t>l</w:t>
      </w:r>
      <w:r>
        <w:rPr>
          <w:rFonts w:ascii="Verdana" w:hAnsi="Verdana"/>
          <w:sz w:val="20"/>
          <w:szCs w:val="20"/>
          <w:lang w:val="es-MX"/>
        </w:rPr>
        <w:t xml:space="preserve"> informe del Estado mencionado en el punto resolutivo anterior, en los plazos de cuatro y seis semanas, respectivamente, contados a partir de la recepción de</w:t>
      </w:r>
      <w:r w:rsidR="00D75F39">
        <w:rPr>
          <w:rFonts w:ascii="Verdana" w:hAnsi="Verdana"/>
          <w:sz w:val="20"/>
          <w:szCs w:val="20"/>
          <w:lang w:val="es-MX"/>
        </w:rPr>
        <w:t xml:space="preserve"> </w:t>
      </w:r>
      <w:r>
        <w:rPr>
          <w:rFonts w:ascii="Verdana" w:hAnsi="Verdana"/>
          <w:sz w:val="20"/>
          <w:szCs w:val="20"/>
          <w:lang w:val="es-MX"/>
        </w:rPr>
        <w:t>l</w:t>
      </w:r>
      <w:r w:rsidR="00D75F39">
        <w:rPr>
          <w:rFonts w:ascii="Verdana" w:hAnsi="Verdana"/>
          <w:sz w:val="20"/>
          <w:szCs w:val="20"/>
          <w:lang w:val="es-MX"/>
        </w:rPr>
        <w:t>os respectivos</w:t>
      </w:r>
      <w:r>
        <w:rPr>
          <w:rFonts w:ascii="Verdana" w:hAnsi="Verdana"/>
          <w:sz w:val="20"/>
          <w:szCs w:val="20"/>
          <w:lang w:val="es-MX"/>
        </w:rPr>
        <w:t xml:space="preserve"> informe</w:t>
      </w:r>
      <w:r w:rsidR="00D75F39">
        <w:rPr>
          <w:rFonts w:ascii="Verdana" w:hAnsi="Verdana"/>
          <w:sz w:val="20"/>
          <w:szCs w:val="20"/>
          <w:lang w:val="es-MX"/>
        </w:rPr>
        <w:t>s</w:t>
      </w:r>
      <w:r w:rsidR="00396608">
        <w:rPr>
          <w:rFonts w:ascii="Verdana" w:hAnsi="Verdana"/>
          <w:sz w:val="20"/>
          <w:szCs w:val="20"/>
          <w:lang w:val="es-MX"/>
        </w:rPr>
        <w:t>.</w:t>
      </w:r>
    </w:p>
    <w:p w14:paraId="58400211" w14:textId="77777777" w:rsidR="001C58CA" w:rsidRDefault="001C58CA" w:rsidP="00020685">
      <w:pPr>
        <w:numPr>
          <w:ilvl w:val="0"/>
          <w:numId w:val="7"/>
        </w:numPr>
        <w:suppressLineNumbers/>
        <w:spacing w:before="360" w:after="240" w:line="240" w:lineRule="auto"/>
        <w:ind w:left="0" w:right="51" w:firstLine="0"/>
        <w:jc w:val="both"/>
        <w:rPr>
          <w:rFonts w:ascii="Verdana" w:hAnsi="Verdana"/>
          <w:sz w:val="20"/>
          <w:szCs w:val="20"/>
          <w:lang w:val="es-MX"/>
        </w:rPr>
      </w:pPr>
      <w:r w:rsidRPr="001C58CA">
        <w:rPr>
          <w:rFonts w:ascii="Verdana" w:hAnsi="Verdana"/>
          <w:sz w:val="20"/>
          <w:szCs w:val="20"/>
          <w:lang w:val="es-MX"/>
        </w:rPr>
        <w:t xml:space="preserve">En aplicación del artículo 69.2 del Reglamento de la Corte Interamericana, solicitar </w:t>
      </w:r>
      <w:r>
        <w:rPr>
          <w:rFonts w:ascii="Verdana" w:hAnsi="Verdana"/>
          <w:sz w:val="20"/>
          <w:szCs w:val="20"/>
          <w:lang w:val="es-MX"/>
        </w:rPr>
        <w:t>a</w:t>
      </w:r>
      <w:r w:rsidR="0042234B">
        <w:rPr>
          <w:rFonts w:ascii="Verdana" w:hAnsi="Verdana"/>
          <w:sz w:val="20"/>
          <w:szCs w:val="20"/>
          <w:lang w:val="es-MX"/>
        </w:rPr>
        <w:t>l</w:t>
      </w:r>
      <w:r>
        <w:rPr>
          <w:rFonts w:ascii="Verdana" w:hAnsi="Verdana"/>
          <w:sz w:val="20"/>
          <w:szCs w:val="20"/>
          <w:lang w:val="es-MX"/>
        </w:rPr>
        <w:t xml:space="preserve"> </w:t>
      </w:r>
      <w:proofErr w:type="gramStart"/>
      <w:r>
        <w:rPr>
          <w:rFonts w:ascii="Verdana" w:hAnsi="Verdana"/>
          <w:sz w:val="20"/>
          <w:szCs w:val="20"/>
          <w:lang w:val="es-MX"/>
        </w:rPr>
        <w:t>Fiscal General</w:t>
      </w:r>
      <w:proofErr w:type="gramEnd"/>
      <w:r>
        <w:rPr>
          <w:rFonts w:ascii="Verdana" w:hAnsi="Verdana"/>
          <w:sz w:val="20"/>
          <w:szCs w:val="20"/>
          <w:lang w:val="es-MX"/>
        </w:rPr>
        <w:t xml:space="preserve"> </w:t>
      </w:r>
      <w:r w:rsidR="0042234B">
        <w:rPr>
          <w:rFonts w:ascii="Verdana" w:hAnsi="Verdana"/>
          <w:sz w:val="20"/>
          <w:szCs w:val="20"/>
          <w:lang w:val="es-MX"/>
        </w:rPr>
        <w:t xml:space="preserve">de la República </w:t>
      </w:r>
      <w:r>
        <w:rPr>
          <w:rFonts w:ascii="Verdana" w:hAnsi="Verdana"/>
          <w:sz w:val="20"/>
          <w:szCs w:val="20"/>
          <w:lang w:val="es-MX"/>
        </w:rPr>
        <w:t>de Venezuela</w:t>
      </w:r>
      <w:r w:rsidR="0042234B">
        <w:rPr>
          <w:rFonts w:ascii="Verdana" w:hAnsi="Verdana"/>
          <w:sz w:val="20"/>
          <w:szCs w:val="20"/>
          <w:lang w:val="es-MX"/>
        </w:rPr>
        <w:t xml:space="preserve">, o quien </w:t>
      </w:r>
      <w:r w:rsidR="00967CA9">
        <w:rPr>
          <w:rFonts w:ascii="Verdana" w:hAnsi="Verdana"/>
          <w:sz w:val="20"/>
          <w:szCs w:val="20"/>
          <w:lang w:val="es-MX"/>
        </w:rPr>
        <w:t>é</w:t>
      </w:r>
      <w:r w:rsidR="0042234B">
        <w:rPr>
          <w:rFonts w:ascii="Verdana" w:hAnsi="Verdana"/>
          <w:sz w:val="20"/>
          <w:szCs w:val="20"/>
          <w:lang w:val="es-MX"/>
        </w:rPr>
        <w:t>ste designe,</w:t>
      </w:r>
      <w:r w:rsidR="00604E12">
        <w:rPr>
          <w:rFonts w:ascii="Verdana" w:hAnsi="Verdana"/>
          <w:sz w:val="20"/>
          <w:szCs w:val="20"/>
          <w:lang w:val="es-MX"/>
        </w:rPr>
        <w:t xml:space="preserve"> que, en el plazo de </w:t>
      </w:r>
      <w:r w:rsidRPr="001C58CA">
        <w:rPr>
          <w:rFonts w:ascii="Verdana" w:hAnsi="Verdana"/>
          <w:sz w:val="20"/>
          <w:szCs w:val="20"/>
          <w:lang w:val="es-MX"/>
        </w:rPr>
        <w:t>dos meses, remita</w:t>
      </w:r>
      <w:r w:rsidR="00A2556A">
        <w:rPr>
          <w:rFonts w:ascii="Verdana" w:hAnsi="Verdana"/>
          <w:sz w:val="20"/>
          <w:szCs w:val="20"/>
          <w:lang w:val="es-MX"/>
        </w:rPr>
        <w:t xml:space="preserve"> el informe </w:t>
      </w:r>
      <w:r w:rsidRPr="001C58CA">
        <w:rPr>
          <w:rFonts w:ascii="Verdana" w:hAnsi="Verdana"/>
          <w:sz w:val="20"/>
          <w:szCs w:val="20"/>
          <w:lang w:val="es-MX"/>
        </w:rPr>
        <w:t>se</w:t>
      </w:r>
      <w:r>
        <w:rPr>
          <w:rFonts w:ascii="Verdana" w:hAnsi="Verdana"/>
          <w:sz w:val="20"/>
          <w:szCs w:val="20"/>
          <w:lang w:val="es-MX"/>
        </w:rPr>
        <w:t>ñalado en</w:t>
      </w:r>
      <w:r w:rsidR="001826B6">
        <w:rPr>
          <w:rFonts w:ascii="Verdana" w:hAnsi="Verdana"/>
          <w:sz w:val="20"/>
          <w:szCs w:val="20"/>
          <w:lang w:val="es-MX"/>
        </w:rPr>
        <w:t xml:space="preserve"> el Considerando 15</w:t>
      </w:r>
      <w:r w:rsidRPr="001C58CA">
        <w:rPr>
          <w:rFonts w:ascii="Verdana" w:hAnsi="Verdana"/>
          <w:sz w:val="20"/>
          <w:szCs w:val="20"/>
          <w:lang w:val="es-MX"/>
        </w:rPr>
        <w:t xml:space="preserve"> de la presente Resolución</w:t>
      </w:r>
      <w:r w:rsidR="00A2556A">
        <w:rPr>
          <w:rFonts w:ascii="Verdana" w:hAnsi="Verdana"/>
          <w:sz w:val="20"/>
          <w:szCs w:val="20"/>
          <w:lang w:val="es-MX"/>
        </w:rPr>
        <w:t xml:space="preserve"> </w:t>
      </w:r>
      <w:r w:rsidR="0042234B">
        <w:rPr>
          <w:rFonts w:ascii="Verdana" w:hAnsi="Verdana"/>
          <w:sz w:val="20"/>
          <w:szCs w:val="20"/>
          <w:lang w:val="es-MX"/>
        </w:rPr>
        <w:t>sobre el cumplimiento de</w:t>
      </w:r>
      <w:r w:rsidR="00A2556A">
        <w:rPr>
          <w:rFonts w:ascii="Verdana" w:hAnsi="Verdana"/>
          <w:sz w:val="20"/>
          <w:szCs w:val="20"/>
          <w:lang w:val="es-MX"/>
        </w:rPr>
        <w:t xml:space="preserve"> </w:t>
      </w:r>
      <w:r w:rsidR="00A2556A">
        <w:rPr>
          <w:rFonts w:ascii="Verdana" w:hAnsi="Verdana"/>
          <w:sz w:val="20"/>
          <w:szCs w:val="20"/>
        </w:rPr>
        <w:t xml:space="preserve">la obligación de investigar, </w:t>
      </w:r>
      <w:r w:rsidR="00A2556A" w:rsidRPr="0080743C">
        <w:rPr>
          <w:rFonts w:ascii="Verdana" w:hAnsi="Verdana"/>
          <w:sz w:val="20"/>
          <w:szCs w:val="20"/>
        </w:rPr>
        <w:t>identificar, juzgar y, en su caso, sancionar a todos los responsables de la muerte de Johan Alexis Ortiz Hernández</w:t>
      </w:r>
      <w:r w:rsidR="00A2556A">
        <w:rPr>
          <w:rFonts w:ascii="Verdana" w:hAnsi="Verdana"/>
          <w:sz w:val="20"/>
          <w:szCs w:val="20"/>
        </w:rPr>
        <w:t xml:space="preserve">. </w:t>
      </w:r>
    </w:p>
    <w:p w14:paraId="2A9C1F1E" w14:textId="77777777" w:rsidR="001C58CA" w:rsidRDefault="00604E12" w:rsidP="00020685">
      <w:pPr>
        <w:numPr>
          <w:ilvl w:val="0"/>
          <w:numId w:val="7"/>
        </w:numPr>
        <w:suppressLineNumbers/>
        <w:spacing w:before="360" w:after="240" w:line="240" w:lineRule="auto"/>
        <w:ind w:left="0" w:right="51" w:firstLine="0"/>
        <w:jc w:val="both"/>
        <w:rPr>
          <w:rFonts w:ascii="Verdana" w:hAnsi="Verdana"/>
          <w:sz w:val="20"/>
          <w:szCs w:val="20"/>
          <w:lang w:val="es-MX"/>
        </w:rPr>
      </w:pPr>
      <w:r>
        <w:rPr>
          <w:rFonts w:ascii="Verdana" w:hAnsi="Verdana"/>
          <w:sz w:val="20"/>
          <w:szCs w:val="20"/>
          <w:lang w:val="es-MX"/>
        </w:rPr>
        <w:t>Disponer que, cuando</w:t>
      </w:r>
      <w:r w:rsidR="001C58CA" w:rsidRPr="001C58CA">
        <w:rPr>
          <w:rFonts w:ascii="Verdana" w:hAnsi="Verdana"/>
          <w:sz w:val="20"/>
          <w:szCs w:val="20"/>
          <w:lang w:val="es-MX"/>
        </w:rPr>
        <w:t xml:space="preserve"> </w:t>
      </w:r>
      <w:r w:rsidR="001C58CA">
        <w:rPr>
          <w:rFonts w:ascii="Verdana" w:hAnsi="Verdana"/>
          <w:sz w:val="20"/>
          <w:szCs w:val="20"/>
          <w:lang w:val="es-MX"/>
        </w:rPr>
        <w:t xml:space="preserve">la </w:t>
      </w:r>
      <w:proofErr w:type="gramStart"/>
      <w:r w:rsidR="001C58CA">
        <w:rPr>
          <w:rFonts w:ascii="Verdana" w:hAnsi="Verdana"/>
          <w:sz w:val="20"/>
          <w:szCs w:val="20"/>
          <w:lang w:val="es-MX"/>
        </w:rPr>
        <w:t>Fiscalía General</w:t>
      </w:r>
      <w:proofErr w:type="gramEnd"/>
      <w:r w:rsidR="001C58CA">
        <w:rPr>
          <w:rFonts w:ascii="Verdana" w:hAnsi="Verdana"/>
          <w:sz w:val="20"/>
          <w:szCs w:val="20"/>
          <w:lang w:val="es-MX"/>
        </w:rPr>
        <w:t xml:space="preserve"> del Estado de Venezuela</w:t>
      </w:r>
      <w:r>
        <w:rPr>
          <w:rFonts w:ascii="Verdana" w:hAnsi="Verdana"/>
          <w:sz w:val="20"/>
          <w:szCs w:val="20"/>
          <w:lang w:val="es-MX"/>
        </w:rPr>
        <w:t xml:space="preserve"> aporte</w:t>
      </w:r>
      <w:r w:rsidR="001C58CA" w:rsidRPr="001C58CA">
        <w:rPr>
          <w:rFonts w:ascii="Verdana" w:hAnsi="Verdana"/>
          <w:sz w:val="20"/>
          <w:szCs w:val="20"/>
          <w:lang w:val="es-MX"/>
        </w:rPr>
        <w:t xml:space="preserve"> el informe </w:t>
      </w:r>
      <w:r>
        <w:rPr>
          <w:rFonts w:ascii="Verdana" w:hAnsi="Verdana"/>
          <w:sz w:val="20"/>
          <w:szCs w:val="20"/>
          <w:lang w:val="es-MX"/>
        </w:rPr>
        <w:t>referido en el</w:t>
      </w:r>
      <w:r w:rsidR="001C58CA" w:rsidRPr="001C58CA">
        <w:rPr>
          <w:rFonts w:ascii="Verdana" w:hAnsi="Verdana"/>
          <w:sz w:val="20"/>
          <w:szCs w:val="20"/>
          <w:lang w:val="es-MX"/>
        </w:rPr>
        <w:t xml:space="preserve"> punto res</w:t>
      </w:r>
      <w:r>
        <w:rPr>
          <w:rFonts w:ascii="Verdana" w:hAnsi="Verdana"/>
          <w:sz w:val="20"/>
          <w:szCs w:val="20"/>
          <w:lang w:val="es-MX"/>
        </w:rPr>
        <w:t xml:space="preserve">olutivo anterior, la </w:t>
      </w:r>
      <w:r w:rsidR="001C58CA">
        <w:rPr>
          <w:rFonts w:ascii="Verdana" w:hAnsi="Verdana"/>
          <w:sz w:val="20"/>
          <w:szCs w:val="20"/>
          <w:lang w:val="es-MX"/>
        </w:rPr>
        <w:t>Presidencia</w:t>
      </w:r>
      <w:r>
        <w:rPr>
          <w:rFonts w:ascii="Verdana" w:hAnsi="Verdana"/>
          <w:sz w:val="20"/>
          <w:szCs w:val="20"/>
          <w:lang w:val="es-MX"/>
        </w:rPr>
        <w:t xml:space="preserve"> del Tribunal otorgue un plazo al Estado</w:t>
      </w:r>
      <w:r w:rsidR="001C58CA" w:rsidRPr="001C58CA">
        <w:rPr>
          <w:rFonts w:ascii="Verdana" w:hAnsi="Verdana"/>
          <w:sz w:val="20"/>
          <w:szCs w:val="20"/>
          <w:lang w:val="es-MX"/>
        </w:rPr>
        <w:t xml:space="preserve"> para</w:t>
      </w:r>
      <w:r>
        <w:rPr>
          <w:rFonts w:ascii="Verdana" w:hAnsi="Verdana"/>
          <w:sz w:val="20"/>
          <w:szCs w:val="20"/>
          <w:lang w:val="es-MX"/>
        </w:rPr>
        <w:t xml:space="preserve"> que brinde su opinión al respecto, y plazos</w:t>
      </w:r>
      <w:r w:rsidR="001C58CA" w:rsidRPr="001C58CA">
        <w:rPr>
          <w:rFonts w:ascii="Verdana" w:hAnsi="Verdana"/>
          <w:sz w:val="20"/>
          <w:szCs w:val="20"/>
          <w:lang w:val="es-MX"/>
        </w:rPr>
        <w:t xml:space="preserve"> </w:t>
      </w:r>
      <w:r w:rsidR="001C58CA">
        <w:rPr>
          <w:rFonts w:ascii="Verdana" w:hAnsi="Verdana"/>
          <w:sz w:val="20"/>
          <w:szCs w:val="20"/>
          <w:lang w:val="es-MX"/>
        </w:rPr>
        <w:t>a las</w:t>
      </w:r>
      <w:r>
        <w:rPr>
          <w:rFonts w:ascii="Verdana" w:hAnsi="Verdana"/>
          <w:sz w:val="20"/>
          <w:szCs w:val="20"/>
          <w:lang w:val="es-MX"/>
        </w:rPr>
        <w:t xml:space="preserve"> representantes de las víctimas y a la Comisión Interamericana de</w:t>
      </w:r>
      <w:r w:rsidR="001C58CA" w:rsidRPr="001C58CA">
        <w:rPr>
          <w:rFonts w:ascii="Verdana" w:hAnsi="Verdana"/>
          <w:sz w:val="20"/>
          <w:szCs w:val="20"/>
          <w:lang w:val="es-MX"/>
        </w:rPr>
        <w:t xml:space="preserve"> Derecho</w:t>
      </w:r>
      <w:r>
        <w:rPr>
          <w:rFonts w:ascii="Verdana" w:hAnsi="Verdana"/>
          <w:sz w:val="20"/>
          <w:szCs w:val="20"/>
          <w:lang w:val="es-MX"/>
        </w:rPr>
        <w:t xml:space="preserve">s Humanos para que presenten las observaciones que estimen </w:t>
      </w:r>
      <w:r w:rsidR="001C58CA" w:rsidRPr="001C58CA">
        <w:rPr>
          <w:rFonts w:ascii="Verdana" w:hAnsi="Verdana"/>
          <w:sz w:val="20"/>
          <w:szCs w:val="20"/>
          <w:lang w:val="es-MX"/>
        </w:rPr>
        <w:t>pertinentes.</w:t>
      </w:r>
    </w:p>
    <w:p w14:paraId="42628CAD" w14:textId="77777777" w:rsidR="00B11F2A" w:rsidRDefault="002D15D9" w:rsidP="00020685">
      <w:pPr>
        <w:numPr>
          <w:ilvl w:val="0"/>
          <w:numId w:val="7"/>
        </w:numPr>
        <w:suppressLineNumbers/>
        <w:spacing w:before="360" w:after="240" w:line="240" w:lineRule="auto"/>
        <w:ind w:left="0" w:right="51" w:firstLine="0"/>
        <w:jc w:val="both"/>
        <w:rPr>
          <w:rFonts w:ascii="Verdana" w:hAnsi="Verdana"/>
          <w:sz w:val="20"/>
          <w:szCs w:val="20"/>
          <w:lang w:val="es-MX"/>
        </w:rPr>
      </w:pPr>
      <w:r>
        <w:rPr>
          <w:rFonts w:ascii="Verdana" w:hAnsi="Verdana"/>
          <w:sz w:val="20"/>
          <w:szCs w:val="20"/>
          <w:lang w:val="es-MX"/>
        </w:rPr>
        <w:t>Disponer que la Secretaría de la Corte notifique la presente Resolución al Estado, a l</w:t>
      </w:r>
      <w:r w:rsidR="008408C7">
        <w:rPr>
          <w:rFonts w:ascii="Verdana" w:hAnsi="Verdana"/>
          <w:sz w:val="20"/>
          <w:szCs w:val="20"/>
          <w:lang w:val="es-MX"/>
        </w:rPr>
        <w:t>a</w:t>
      </w:r>
      <w:r>
        <w:rPr>
          <w:rFonts w:ascii="Verdana" w:hAnsi="Verdana"/>
          <w:sz w:val="20"/>
          <w:szCs w:val="20"/>
          <w:lang w:val="es-MX"/>
        </w:rPr>
        <w:t>s representantes de las víctimas</w:t>
      </w:r>
      <w:r w:rsidR="001C58CA">
        <w:rPr>
          <w:rFonts w:ascii="Verdana" w:hAnsi="Verdana"/>
          <w:sz w:val="20"/>
          <w:szCs w:val="20"/>
          <w:lang w:val="es-MX"/>
        </w:rPr>
        <w:t>,</w:t>
      </w:r>
      <w:r>
        <w:rPr>
          <w:rFonts w:ascii="Verdana" w:hAnsi="Verdana"/>
          <w:sz w:val="20"/>
          <w:szCs w:val="20"/>
          <w:lang w:val="es-MX"/>
        </w:rPr>
        <w:t xml:space="preserve"> a la Comisión Interamericana de Derechos Humanos</w:t>
      </w:r>
      <w:r w:rsidR="001C58CA">
        <w:rPr>
          <w:rFonts w:ascii="Verdana" w:hAnsi="Verdana"/>
          <w:sz w:val="20"/>
          <w:szCs w:val="20"/>
          <w:lang w:val="es-MX"/>
        </w:rPr>
        <w:t xml:space="preserve"> y a</w:t>
      </w:r>
      <w:r w:rsidR="00A2556A">
        <w:rPr>
          <w:rFonts w:ascii="Verdana" w:hAnsi="Verdana"/>
          <w:sz w:val="20"/>
          <w:szCs w:val="20"/>
          <w:lang w:val="es-MX"/>
        </w:rPr>
        <w:t>l</w:t>
      </w:r>
      <w:r w:rsidR="001C58CA">
        <w:rPr>
          <w:rFonts w:ascii="Verdana" w:hAnsi="Verdana"/>
          <w:sz w:val="20"/>
          <w:szCs w:val="20"/>
          <w:lang w:val="es-MX"/>
        </w:rPr>
        <w:t xml:space="preserve"> </w:t>
      </w:r>
      <w:proofErr w:type="gramStart"/>
      <w:r w:rsidR="001C58CA">
        <w:rPr>
          <w:rFonts w:ascii="Verdana" w:hAnsi="Verdana"/>
          <w:sz w:val="20"/>
          <w:szCs w:val="20"/>
          <w:lang w:val="es-MX"/>
        </w:rPr>
        <w:t>Fiscal General</w:t>
      </w:r>
      <w:proofErr w:type="gramEnd"/>
      <w:r w:rsidR="001C58CA">
        <w:rPr>
          <w:rFonts w:ascii="Verdana" w:hAnsi="Verdana"/>
          <w:sz w:val="20"/>
          <w:szCs w:val="20"/>
          <w:lang w:val="es-MX"/>
        </w:rPr>
        <w:t xml:space="preserve"> de</w:t>
      </w:r>
      <w:r w:rsidR="00A2556A">
        <w:rPr>
          <w:rFonts w:ascii="Verdana" w:hAnsi="Verdana"/>
          <w:sz w:val="20"/>
          <w:szCs w:val="20"/>
          <w:lang w:val="es-MX"/>
        </w:rPr>
        <w:t xml:space="preserve"> </w:t>
      </w:r>
      <w:r w:rsidR="001C58CA">
        <w:rPr>
          <w:rFonts w:ascii="Verdana" w:hAnsi="Verdana"/>
          <w:sz w:val="20"/>
          <w:szCs w:val="20"/>
          <w:lang w:val="es-MX"/>
        </w:rPr>
        <w:t>l</w:t>
      </w:r>
      <w:r w:rsidR="00A2556A">
        <w:rPr>
          <w:rFonts w:ascii="Verdana" w:hAnsi="Verdana"/>
          <w:sz w:val="20"/>
          <w:szCs w:val="20"/>
          <w:lang w:val="es-MX"/>
        </w:rPr>
        <w:t xml:space="preserve">a República </w:t>
      </w:r>
      <w:r w:rsidR="001C58CA">
        <w:rPr>
          <w:rFonts w:ascii="Verdana" w:hAnsi="Verdana"/>
          <w:sz w:val="20"/>
          <w:szCs w:val="20"/>
          <w:lang w:val="es-MX"/>
        </w:rPr>
        <w:t>de Venezuela</w:t>
      </w:r>
      <w:r>
        <w:rPr>
          <w:rFonts w:ascii="Verdana" w:hAnsi="Verdana"/>
          <w:sz w:val="20"/>
          <w:szCs w:val="20"/>
          <w:lang w:val="es-MX"/>
        </w:rPr>
        <w:t xml:space="preserve">. </w:t>
      </w:r>
    </w:p>
    <w:p w14:paraId="59BBAD53" w14:textId="77777777" w:rsidR="00B11F2A" w:rsidRDefault="00B11F2A" w:rsidP="00B11F2A">
      <w:pPr>
        <w:spacing w:after="0" w:line="240" w:lineRule="auto"/>
        <w:ind w:right="49"/>
        <w:jc w:val="both"/>
        <w:rPr>
          <w:rFonts w:ascii="Verdana" w:hAnsi="Verdana"/>
          <w:sz w:val="20"/>
          <w:lang w:val="es-ES"/>
        </w:rPr>
      </w:pPr>
      <w:r>
        <w:rPr>
          <w:rFonts w:ascii="Verdana" w:hAnsi="Verdana"/>
          <w:sz w:val="20"/>
          <w:szCs w:val="20"/>
          <w:lang w:val="es-MX"/>
        </w:rPr>
        <w:br w:type="page"/>
      </w:r>
      <w:r>
        <w:rPr>
          <w:rFonts w:ascii="Verdana" w:eastAsia="Calibri" w:hAnsi="Verdana" w:cs="Times"/>
          <w:sz w:val="20"/>
          <w:szCs w:val="20"/>
          <w:lang w:val="es-ES_tradnl" w:eastAsia="es-ES"/>
        </w:rPr>
        <w:lastRenderedPageBreak/>
        <w:t xml:space="preserve">Corte IDH. </w:t>
      </w:r>
      <w:r w:rsidRPr="000C32C5">
        <w:rPr>
          <w:rFonts w:ascii="Verdana" w:hAnsi="Verdana"/>
          <w:i/>
          <w:sz w:val="20"/>
          <w:szCs w:val="20"/>
          <w:lang w:val="pt-BR"/>
        </w:rPr>
        <w:t>Caso Ortiz Hernández Vs. Venezuela</w:t>
      </w:r>
      <w:r>
        <w:rPr>
          <w:rFonts w:ascii="Verdana" w:hAnsi="Verdana"/>
          <w:i/>
          <w:sz w:val="20"/>
          <w:szCs w:val="20"/>
          <w:lang w:val="pt-BR"/>
        </w:rPr>
        <w:t>.</w:t>
      </w:r>
      <w:r>
        <w:rPr>
          <w:rFonts w:ascii="Verdana" w:eastAsia="Times" w:hAnsi="Verdana"/>
          <w:bCs/>
          <w:i/>
          <w:sz w:val="20"/>
          <w:szCs w:val="20"/>
          <w:lang w:val="es-ES_tradnl"/>
        </w:rPr>
        <w:t xml:space="preserve"> </w:t>
      </w:r>
      <w:r>
        <w:rPr>
          <w:rFonts w:ascii="Verdana" w:hAnsi="Verdana" w:cs="Arial"/>
          <w:sz w:val="20"/>
        </w:rPr>
        <w:t xml:space="preserve">Supervisión de Cumplimiento de Sentencia. </w:t>
      </w:r>
      <w:r>
        <w:rPr>
          <w:rFonts w:ascii="Verdana" w:hAnsi="Verdana"/>
          <w:sz w:val="20"/>
          <w:lang w:val="es-ES"/>
        </w:rPr>
        <w:t>Resolución de la Corte Interamericana de Derechos Humanos de 17 de noviembre</w:t>
      </w:r>
      <w:r>
        <w:rPr>
          <w:rFonts w:ascii="Verdana" w:hAnsi="Verdana"/>
          <w:sz w:val="20"/>
        </w:rPr>
        <w:t xml:space="preserve"> de 2021</w:t>
      </w:r>
      <w:r>
        <w:rPr>
          <w:rFonts w:ascii="Verdana" w:hAnsi="Verdana"/>
          <w:sz w:val="20"/>
          <w:lang w:val="es-ES"/>
        </w:rPr>
        <w:t xml:space="preserve">. </w:t>
      </w:r>
      <w:r>
        <w:rPr>
          <w:rFonts w:ascii="Verdana" w:hAnsi="Verdana"/>
          <w:iCs/>
          <w:sz w:val="20"/>
        </w:rPr>
        <w:t>Resolución adoptada en San José de Costa Rica por medio de sesión virtual.</w:t>
      </w:r>
    </w:p>
    <w:p w14:paraId="0FF53940" w14:textId="77777777" w:rsidR="00B11F2A" w:rsidRDefault="00B11F2A" w:rsidP="00B11F2A">
      <w:pPr>
        <w:spacing w:after="0" w:line="240" w:lineRule="auto"/>
        <w:ind w:right="49"/>
        <w:jc w:val="center"/>
        <w:rPr>
          <w:rFonts w:ascii="Verdana" w:eastAsia="Times" w:hAnsi="Verdana"/>
          <w:sz w:val="20"/>
          <w:szCs w:val="20"/>
          <w:lang w:val="es-ES"/>
        </w:rPr>
      </w:pPr>
    </w:p>
    <w:p w14:paraId="4DA1F589" w14:textId="77777777" w:rsidR="00B11F2A" w:rsidRDefault="00B11F2A" w:rsidP="00B11F2A">
      <w:pPr>
        <w:spacing w:after="0" w:line="240" w:lineRule="auto"/>
        <w:ind w:right="49"/>
        <w:jc w:val="center"/>
        <w:rPr>
          <w:rFonts w:ascii="Verdana" w:eastAsia="Times" w:hAnsi="Verdana"/>
          <w:sz w:val="20"/>
          <w:szCs w:val="20"/>
          <w:lang w:val="es-ES"/>
        </w:rPr>
      </w:pPr>
    </w:p>
    <w:p w14:paraId="595565D4" w14:textId="77777777" w:rsidR="00B11F2A" w:rsidRDefault="00B11F2A" w:rsidP="00B11F2A">
      <w:pPr>
        <w:spacing w:after="0" w:line="240" w:lineRule="auto"/>
        <w:ind w:right="49"/>
        <w:jc w:val="center"/>
        <w:rPr>
          <w:rFonts w:ascii="Verdana" w:eastAsia="Times" w:hAnsi="Verdana"/>
          <w:sz w:val="20"/>
          <w:szCs w:val="20"/>
          <w:lang w:val="es-ES"/>
        </w:rPr>
      </w:pPr>
    </w:p>
    <w:p w14:paraId="3C3066C9" w14:textId="77777777" w:rsidR="00B11F2A" w:rsidRDefault="00B11F2A" w:rsidP="00B11F2A">
      <w:pPr>
        <w:snapToGrid w:val="0"/>
        <w:spacing w:after="0" w:line="240" w:lineRule="auto"/>
        <w:ind w:right="49"/>
        <w:jc w:val="center"/>
        <w:rPr>
          <w:rFonts w:ascii="Verdana" w:hAnsi="Verdana"/>
          <w:sz w:val="20"/>
          <w:szCs w:val="20"/>
          <w:lang w:val="pt-BR"/>
        </w:rPr>
      </w:pPr>
    </w:p>
    <w:p w14:paraId="27E3EEA9" w14:textId="77777777" w:rsidR="00B11F2A" w:rsidRPr="008D6226" w:rsidRDefault="00B11F2A" w:rsidP="00B11F2A">
      <w:pPr>
        <w:snapToGrid w:val="0"/>
        <w:spacing w:after="0" w:line="240" w:lineRule="auto"/>
        <w:ind w:right="49"/>
        <w:jc w:val="center"/>
        <w:rPr>
          <w:rFonts w:ascii="Verdana" w:hAnsi="Verdana"/>
          <w:sz w:val="20"/>
          <w:szCs w:val="20"/>
          <w:lang w:val="pt-BR"/>
        </w:rPr>
      </w:pPr>
      <w:r w:rsidRPr="008D6226">
        <w:rPr>
          <w:rFonts w:ascii="Verdana" w:hAnsi="Verdana"/>
          <w:sz w:val="20"/>
          <w:szCs w:val="20"/>
          <w:lang w:val="pt-BR"/>
        </w:rPr>
        <w:t xml:space="preserve">Elizabeth </w:t>
      </w:r>
      <w:proofErr w:type="spellStart"/>
      <w:r w:rsidRPr="008D6226">
        <w:rPr>
          <w:rFonts w:ascii="Verdana" w:hAnsi="Verdana"/>
          <w:sz w:val="20"/>
          <w:szCs w:val="20"/>
          <w:lang w:val="pt-BR"/>
        </w:rPr>
        <w:t>Odio</w:t>
      </w:r>
      <w:proofErr w:type="spellEnd"/>
      <w:r w:rsidRPr="008D6226">
        <w:rPr>
          <w:rFonts w:ascii="Verdana" w:hAnsi="Verdana"/>
          <w:sz w:val="20"/>
          <w:szCs w:val="20"/>
          <w:lang w:val="pt-BR"/>
        </w:rPr>
        <w:t xml:space="preserve"> Benito</w:t>
      </w:r>
    </w:p>
    <w:p w14:paraId="6E47815D" w14:textId="77777777" w:rsidR="00B11F2A" w:rsidRPr="008D6226" w:rsidRDefault="00B11F2A" w:rsidP="00B11F2A">
      <w:pPr>
        <w:snapToGrid w:val="0"/>
        <w:spacing w:after="0" w:line="240" w:lineRule="auto"/>
        <w:ind w:right="49"/>
        <w:jc w:val="center"/>
        <w:rPr>
          <w:rFonts w:ascii="Verdana" w:hAnsi="Verdana"/>
          <w:sz w:val="20"/>
          <w:szCs w:val="20"/>
          <w:lang w:val="pt-BR"/>
        </w:rPr>
      </w:pPr>
      <w:r w:rsidRPr="008D6226">
        <w:rPr>
          <w:rFonts w:ascii="Verdana" w:hAnsi="Verdana"/>
          <w:sz w:val="20"/>
          <w:szCs w:val="20"/>
          <w:lang w:val="pt-BR"/>
        </w:rPr>
        <w:t>Presidenta</w:t>
      </w:r>
    </w:p>
    <w:p w14:paraId="483AC0ED"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11080C8E"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7CD66FDC"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498E47AD"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7260A251" w14:textId="77777777" w:rsidR="00B11F2A" w:rsidRPr="008D6226" w:rsidRDefault="00B11F2A" w:rsidP="00B11F2A">
      <w:pPr>
        <w:snapToGrid w:val="0"/>
        <w:spacing w:after="0" w:line="240" w:lineRule="auto"/>
        <w:ind w:right="49"/>
        <w:jc w:val="both"/>
        <w:rPr>
          <w:rFonts w:ascii="Verdana" w:hAnsi="Verdana"/>
          <w:sz w:val="20"/>
          <w:szCs w:val="20"/>
          <w:lang w:val="pt-BR"/>
        </w:rPr>
      </w:pPr>
      <w:r w:rsidRPr="008D6226">
        <w:rPr>
          <w:rFonts w:ascii="Verdana" w:hAnsi="Verdana"/>
          <w:sz w:val="20"/>
          <w:szCs w:val="20"/>
          <w:lang w:val="pt-BR"/>
        </w:rPr>
        <w:t xml:space="preserve">L. </w:t>
      </w:r>
      <w:proofErr w:type="spellStart"/>
      <w:r w:rsidRPr="008D6226">
        <w:rPr>
          <w:rFonts w:ascii="Verdana" w:hAnsi="Verdana"/>
          <w:sz w:val="20"/>
          <w:szCs w:val="20"/>
          <w:lang w:val="pt-BR"/>
        </w:rPr>
        <w:t>Patricio</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Pazmiño</w:t>
      </w:r>
      <w:proofErr w:type="spellEnd"/>
      <w:r w:rsidRPr="008D6226">
        <w:rPr>
          <w:rFonts w:ascii="Verdana" w:hAnsi="Verdana"/>
          <w:sz w:val="20"/>
          <w:szCs w:val="20"/>
          <w:lang w:val="pt-BR"/>
        </w:rPr>
        <w:t xml:space="preserve">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sidRPr="008D6226">
        <w:rPr>
          <w:rFonts w:ascii="Verdana" w:eastAsia="Times" w:hAnsi="Verdana"/>
          <w:sz w:val="20"/>
          <w:szCs w:val="20"/>
          <w:lang w:val="pt-BR"/>
        </w:rPr>
        <w:t xml:space="preserve">Humberto </w:t>
      </w:r>
      <w:proofErr w:type="spellStart"/>
      <w:r w:rsidRPr="008D6226">
        <w:rPr>
          <w:rFonts w:ascii="Verdana" w:eastAsia="Times" w:hAnsi="Verdana"/>
          <w:sz w:val="20"/>
          <w:szCs w:val="20"/>
          <w:lang w:val="pt-BR"/>
        </w:rPr>
        <w:t>Antonio</w:t>
      </w:r>
      <w:proofErr w:type="spellEnd"/>
      <w:r w:rsidRPr="008D6226">
        <w:rPr>
          <w:rFonts w:ascii="Verdana" w:eastAsia="Times" w:hAnsi="Verdana"/>
          <w:sz w:val="20"/>
          <w:szCs w:val="20"/>
          <w:lang w:val="pt-BR"/>
        </w:rPr>
        <w:t xml:space="preserve"> </w:t>
      </w:r>
      <w:proofErr w:type="spellStart"/>
      <w:r w:rsidRPr="008D6226">
        <w:rPr>
          <w:rFonts w:ascii="Verdana" w:eastAsia="Times" w:hAnsi="Verdana"/>
          <w:sz w:val="20"/>
          <w:szCs w:val="20"/>
          <w:lang w:val="pt-BR"/>
        </w:rPr>
        <w:t>Sierra</w:t>
      </w:r>
      <w:proofErr w:type="spellEnd"/>
      <w:r w:rsidRPr="008D6226">
        <w:rPr>
          <w:rFonts w:ascii="Verdana" w:eastAsia="Times" w:hAnsi="Verdana"/>
          <w:sz w:val="20"/>
          <w:szCs w:val="20"/>
          <w:lang w:val="pt-BR"/>
        </w:rPr>
        <w:t xml:space="preserve"> Porto</w:t>
      </w:r>
      <w:r w:rsidRPr="008D6226">
        <w:rPr>
          <w:rFonts w:ascii="Verdana" w:hAnsi="Verdana"/>
          <w:sz w:val="20"/>
          <w:szCs w:val="20"/>
          <w:lang w:val="pt-BR"/>
        </w:rPr>
        <w:t xml:space="preserve">         </w:t>
      </w:r>
    </w:p>
    <w:p w14:paraId="004001E7"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3295B3CA"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341F210E"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2943E1B1"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2C360158"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2EDE4FBB" w14:textId="77777777" w:rsidR="00B11F2A" w:rsidRPr="008D6226" w:rsidRDefault="00B11F2A" w:rsidP="00B11F2A">
      <w:pPr>
        <w:snapToGrid w:val="0"/>
        <w:spacing w:after="0" w:line="240" w:lineRule="auto"/>
        <w:ind w:right="49"/>
        <w:jc w:val="both"/>
        <w:rPr>
          <w:rFonts w:ascii="Verdana" w:hAnsi="Verdana"/>
          <w:sz w:val="20"/>
          <w:szCs w:val="20"/>
          <w:lang w:val="pt-BR"/>
        </w:rPr>
      </w:pPr>
      <w:r w:rsidRPr="008D6226">
        <w:rPr>
          <w:rFonts w:ascii="Verdana" w:hAnsi="Verdana"/>
          <w:sz w:val="20"/>
          <w:szCs w:val="20"/>
          <w:lang w:val="pt-BR"/>
        </w:rPr>
        <w:t xml:space="preserve">Eduardo Ferrer </w:t>
      </w:r>
      <w:proofErr w:type="spellStart"/>
      <w:r w:rsidRPr="008D6226">
        <w:rPr>
          <w:rFonts w:ascii="Verdana" w:hAnsi="Verdana"/>
          <w:sz w:val="20"/>
          <w:szCs w:val="20"/>
          <w:lang w:val="pt-BR"/>
        </w:rPr>
        <w:t>Mac-Gregor</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Poisot</w:t>
      </w:r>
      <w:proofErr w:type="spellEnd"/>
      <w:r w:rsidRPr="008B1697">
        <w:rPr>
          <w:rFonts w:ascii="Verdana" w:hAnsi="Verdana"/>
          <w:sz w:val="20"/>
          <w:szCs w:val="20"/>
          <w:lang w:val="pt-BR"/>
        </w:rPr>
        <w:t xml:space="preserve"> </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sidRPr="008D6226">
        <w:rPr>
          <w:rFonts w:ascii="Verdana" w:hAnsi="Verdana"/>
          <w:sz w:val="20"/>
          <w:szCs w:val="20"/>
          <w:lang w:val="pt-BR"/>
        </w:rPr>
        <w:t xml:space="preserve">Eugenio </w:t>
      </w:r>
      <w:proofErr w:type="spellStart"/>
      <w:r w:rsidRPr="008D6226">
        <w:rPr>
          <w:rFonts w:ascii="Verdana" w:hAnsi="Verdana"/>
          <w:sz w:val="20"/>
          <w:szCs w:val="20"/>
          <w:lang w:val="pt-BR"/>
        </w:rPr>
        <w:t>Raúl</w:t>
      </w:r>
      <w:proofErr w:type="spellEnd"/>
      <w:r w:rsidRPr="008D6226">
        <w:rPr>
          <w:rFonts w:ascii="Verdana" w:hAnsi="Verdana"/>
          <w:sz w:val="20"/>
          <w:szCs w:val="20"/>
          <w:lang w:val="pt-BR"/>
        </w:rPr>
        <w:t xml:space="preserve"> </w:t>
      </w:r>
      <w:proofErr w:type="spellStart"/>
      <w:r w:rsidRPr="008D6226">
        <w:rPr>
          <w:rFonts w:ascii="Verdana" w:hAnsi="Verdana"/>
          <w:sz w:val="20"/>
          <w:szCs w:val="20"/>
          <w:lang w:val="pt-BR"/>
        </w:rPr>
        <w:t>Zaffaroni</w:t>
      </w:r>
      <w:proofErr w:type="spellEnd"/>
    </w:p>
    <w:p w14:paraId="21A58CB5"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6713B213"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79A37730"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0F20690C" w14:textId="77777777" w:rsidR="00B11F2A" w:rsidRPr="008D6226" w:rsidRDefault="00B11F2A" w:rsidP="00B11F2A">
      <w:pPr>
        <w:snapToGrid w:val="0"/>
        <w:spacing w:after="0" w:line="240" w:lineRule="auto"/>
        <w:ind w:right="49"/>
        <w:jc w:val="both"/>
        <w:rPr>
          <w:rFonts w:ascii="Verdana" w:hAnsi="Verdana"/>
          <w:sz w:val="20"/>
          <w:szCs w:val="20"/>
          <w:lang w:val="pt-BR"/>
        </w:rPr>
      </w:pPr>
    </w:p>
    <w:p w14:paraId="696AA788" w14:textId="77777777" w:rsidR="00B11F2A" w:rsidRPr="008D6226" w:rsidRDefault="00B11F2A" w:rsidP="00B11F2A">
      <w:pPr>
        <w:snapToGrid w:val="0"/>
        <w:spacing w:after="0" w:line="240" w:lineRule="auto"/>
        <w:ind w:right="49"/>
        <w:jc w:val="center"/>
        <w:rPr>
          <w:rFonts w:ascii="Verdana" w:hAnsi="Verdana"/>
          <w:sz w:val="20"/>
          <w:szCs w:val="20"/>
          <w:lang w:val="pt-BR"/>
        </w:rPr>
      </w:pPr>
      <w:r w:rsidRPr="008D6226">
        <w:rPr>
          <w:rFonts w:ascii="Verdana" w:hAnsi="Verdana"/>
          <w:sz w:val="20"/>
          <w:szCs w:val="20"/>
          <w:lang w:val="pt-BR"/>
        </w:rPr>
        <w:t xml:space="preserve">Ricardo C. Pérez </w:t>
      </w:r>
      <w:proofErr w:type="spellStart"/>
      <w:r w:rsidRPr="008D6226">
        <w:rPr>
          <w:rFonts w:ascii="Verdana" w:hAnsi="Verdana"/>
          <w:sz w:val="20"/>
          <w:szCs w:val="20"/>
          <w:lang w:val="pt-BR"/>
        </w:rPr>
        <w:t>Manrique</w:t>
      </w:r>
      <w:proofErr w:type="spellEnd"/>
    </w:p>
    <w:p w14:paraId="3BA9F2C2" w14:textId="77777777" w:rsidR="00B11F2A" w:rsidRDefault="00B11F2A" w:rsidP="00B11F2A">
      <w:pPr>
        <w:spacing w:after="0" w:line="240" w:lineRule="auto"/>
        <w:ind w:right="49"/>
        <w:jc w:val="center"/>
        <w:rPr>
          <w:rFonts w:ascii="Verdana" w:hAnsi="Verdana"/>
          <w:sz w:val="20"/>
          <w:szCs w:val="20"/>
          <w:lang w:val="pt-BR"/>
        </w:rPr>
      </w:pPr>
    </w:p>
    <w:p w14:paraId="01D2DAF7" w14:textId="77777777" w:rsidR="00B11F2A" w:rsidRPr="00D95C10" w:rsidRDefault="00B11F2A" w:rsidP="00B11F2A">
      <w:pPr>
        <w:spacing w:after="0" w:line="240" w:lineRule="auto"/>
        <w:ind w:right="49"/>
        <w:jc w:val="center"/>
        <w:rPr>
          <w:rFonts w:ascii="Verdana" w:eastAsia="Times" w:hAnsi="Verdana"/>
          <w:sz w:val="20"/>
          <w:szCs w:val="20"/>
          <w:lang w:val="pt-BR"/>
        </w:rPr>
      </w:pPr>
    </w:p>
    <w:p w14:paraId="1126EB15" w14:textId="77777777" w:rsidR="00B11F2A" w:rsidRDefault="00B11F2A" w:rsidP="00B11F2A">
      <w:pPr>
        <w:spacing w:after="0" w:line="240" w:lineRule="auto"/>
        <w:ind w:right="49"/>
        <w:jc w:val="center"/>
        <w:rPr>
          <w:rFonts w:ascii="Verdana" w:eastAsia="Times" w:hAnsi="Verdana"/>
          <w:sz w:val="20"/>
          <w:szCs w:val="20"/>
          <w:lang w:val="pt-BR"/>
        </w:rPr>
      </w:pPr>
    </w:p>
    <w:p w14:paraId="1D1544B3" w14:textId="77777777" w:rsidR="00B11F2A" w:rsidRDefault="00B11F2A" w:rsidP="00B11F2A">
      <w:pPr>
        <w:spacing w:after="0" w:line="240" w:lineRule="auto"/>
        <w:ind w:right="49"/>
        <w:jc w:val="center"/>
        <w:rPr>
          <w:rFonts w:ascii="Verdana" w:eastAsia="Times" w:hAnsi="Verdana"/>
          <w:sz w:val="20"/>
          <w:szCs w:val="20"/>
          <w:lang w:val="pt-BR"/>
        </w:rPr>
      </w:pPr>
    </w:p>
    <w:p w14:paraId="53F936C1" w14:textId="77777777" w:rsidR="00B11F2A" w:rsidRDefault="00B11F2A" w:rsidP="00B11F2A">
      <w:pPr>
        <w:spacing w:after="0" w:line="240" w:lineRule="auto"/>
        <w:ind w:right="49"/>
        <w:jc w:val="center"/>
        <w:rPr>
          <w:rFonts w:ascii="Verdana" w:eastAsia="Times" w:hAnsi="Verdana"/>
          <w:sz w:val="20"/>
          <w:szCs w:val="20"/>
          <w:lang w:val="pt-BR"/>
        </w:rPr>
      </w:pPr>
    </w:p>
    <w:p w14:paraId="1AB67F01" w14:textId="77777777" w:rsidR="00B11F2A" w:rsidRDefault="00B11F2A" w:rsidP="00B11F2A">
      <w:pPr>
        <w:spacing w:after="0" w:line="240" w:lineRule="auto"/>
        <w:ind w:right="49"/>
        <w:jc w:val="center"/>
        <w:rPr>
          <w:rFonts w:ascii="Verdana" w:eastAsia="Times" w:hAnsi="Verdana"/>
          <w:sz w:val="20"/>
          <w:szCs w:val="20"/>
          <w:lang w:val="pt-BR"/>
        </w:rPr>
      </w:pPr>
    </w:p>
    <w:p w14:paraId="66330AA0" w14:textId="77777777" w:rsidR="00B11F2A" w:rsidRDefault="00B11F2A" w:rsidP="00B11F2A">
      <w:pPr>
        <w:spacing w:after="0" w:line="240" w:lineRule="auto"/>
        <w:ind w:right="49"/>
        <w:jc w:val="center"/>
        <w:rPr>
          <w:rFonts w:ascii="Verdana" w:eastAsia="Times" w:hAnsi="Verdana"/>
          <w:sz w:val="20"/>
          <w:szCs w:val="20"/>
          <w:lang w:val="pt-BR"/>
        </w:rPr>
      </w:pPr>
    </w:p>
    <w:p w14:paraId="4F2B7DFB" w14:textId="77777777" w:rsidR="00B11F2A" w:rsidRDefault="00B11F2A" w:rsidP="00B11F2A">
      <w:pPr>
        <w:spacing w:after="0" w:line="240" w:lineRule="auto"/>
        <w:ind w:right="49"/>
        <w:jc w:val="center"/>
        <w:rPr>
          <w:rFonts w:ascii="Verdana" w:eastAsia="Times" w:hAnsi="Verdana"/>
          <w:sz w:val="20"/>
          <w:szCs w:val="20"/>
          <w:lang w:val="pt-BR"/>
        </w:rPr>
      </w:pPr>
      <w:r>
        <w:rPr>
          <w:rFonts w:ascii="Verdana" w:eastAsia="Times" w:hAnsi="Verdana"/>
          <w:sz w:val="20"/>
          <w:szCs w:val="20"/>
          <w:lang w:val="pt-BR"/>
        </w:rPr>
        <w:t>Pablo Saavedra Alessandri</w:t>
      </w:r>
    </w:p>
    <w:p w14:paraId="528CE890" w14:textId="77777777" w:rsidR="00B11F2A" w:rsidRDefault="00B11F2A" w:rsidP="00B11F2A">
      <w:pPr>
        <w:spacing w:after="0" w:line="240" w:lineRule="auto"/>
        <w:ind w:right="49"/>
        <w:jc w:val="center"/>
        <w:rPr>
          <w:rFonts w:ascii="Verdana" w:eastAsia="Times" w:hAnsi="Verdana"/>
          <w:sz w:val="20"/>
          <w:szCs w:val="20"/>
          <w:lang w:val="pt-BR"/>
        </w:rPr>
      </w:pPr>
      <w:r>
        <w:rPr>
          <w:rFonts w:ascii="Verdana" w:eastAsia="Times" w:hAnsi="Verdana"/>
          <w:sz w:val="20"/>
          <w:szCs w:val="20"/>
          <w:lang w:val="pt-BR"/>
        </w:rPr>
        <w:t>Secretario</w:t>
      </w:r>
    </w:p>
    <w:p w14:paraId="02C2C91D" w14:textId="77777777" w:rsidR="00B11F2A" w:rsidRPr="00F154FF" w:rsidRDefault="00B11F2A" w:rsidP="00B11F2A">
      <w:pPr>
        <w:spacing w:after="0" w:line="240" w:lineRule="auto"/>
        <w:ind w:right="49"/>
        <w:jc w:val="both"/>
        <w:rPr>
          <w:rFonts w:ascii="Verdana" w:eastAsia="Times" w:hAnsi="Verdana"/>
          <w:sz w:val="20"/>
          <w:szCs w:val="20"/>
          <w:lang w:val="pt-BR"/>
        </w:rPr>
      </w:pPr>
    </w:p>
    <w:p w14:paraId="05AA0720" w14:textId="77777777" w:rsidR="00B11F2A" w:rsidRPr="00F154FF" w:rsidRDefault="00B11F2A" w:rsidP="00B11F2A">
      <w:pPr>
        <w:spacing w:after="0" w:line="240" w:lineRule="auto"/>
        <w:ind w:right="49"/>
        <w:jc w:val="both"/>
        <w:rPr>
          <w:rFonts w:ascii="Verdana" w:eastAsia="Times" w:hAnsi="Verdana"/>
          <w:sz w:val="20"/>
          <w:szCs w:val="20"/>
          <w:lang w:val="pt-BR"/>
        </w:rPr>
      </w:pPr>
      <w:proofErr w:type="spellStart"/>
      <w:r w:rsidRPr="00F154FF">
        <w:rPr>
          <w:rFonts w:ascii="Verdana" w:eastAsia="Times" w:hAnsi="Verdana"/>
          <w:sz w:val="20"/>
          <w:szCs w:val="20"/>
          <w:lang w:val="pt-BR"/>
        </w:rPr>
        <w:t>Comuníquese</w:t>
      </w:r>
      <w:proofErr w:type="spellEnd"/>
      <w:r w:rsidRPr="00F154FF">
        <w:rPr>
          <w:rFonts w:ascii="Verdana" w:eastAsia="Times" w:hAnsi="Verdana"/>
          <w:sz w:val="20"/>
          <w:szCs w:val="20"/>
          <w:lang w:val="pt-BR"/>
        </w:rPr>
        <w:t xml:space="preserve"> y </w:t>
      </w:r>
      <w:proofErr w:type="spellStart"/>
      <w:r w:rsidRPr="00F154FF">
        <w:rPr>
          <w:rFonts w:ascii="Verdana" w:eastAsia="Times" w:hAnsi="Verdana"/>
          <w:sz w:val="20"/>
          <w:szCs w:val="20"/>
          <w:lang w:val="pt-BR"/>
        </w:rPr>
        <w:t>ejecútese</w:t>
      </w:r>
      <w:proofErr w:type="spellEnd"/>
      <w:r w:rsidRPr="00F154FF">
        <w:rPr>
          <w:rFonts w:ascii="Verdana" w:eastAsia="Times" w:hAnsi="Verdana"/>
          <w:sz w:val="20"/>
          <w:szCs w:val="20"/>
          <w:lang w:val="pt-BR"/>
        </w:rPr>
        <w:t>,</w:t>
      </w:r>
    </w:p>
    <w:p w14:paraId="66E002D5" w14:textId="77777777" w:rsidR="00B11F2A" w:rsidRPr="00F154FF" w:rsidRDefault="00B11F2A" w:rsidP="00B11F2A">
      <w:pPr>
        <w:spacing w:after="0" w:line="240" w:lineRule="auto"/>
        <w:ind w:right="49"/>
        <w:jc w:val="both"/>
        <w:rPr>
          <w:rFonts w:ascii="Verdana" w:eastAsia="Times" w:hAnsi="Verdana"/>
          <w:sz w:val="20"/>
          <w:szCs w:val="20"/>
          <w:lang w:val="pt-BR"/>
        </w:rPr>
      </w:pPr>
    </w:p>
    <w:p w14:paraId="3AD99CA8" w14:textId="77777777" w:rsidR="00B11F2A" w:rsidRPr="00F154FF" w:rsidRDefault="00B11F2A" w:rsidP="00B11F2A">
      <w:pPr>
        <w:spacing w:after="0" w:line="240" w:lineRule="auto"/>
        <w:ind w:right="49"/>
        <w:jc w:val="both"/>
        <w:rPr>
          <w:rFonts w:ascii="Verdana" w:eastAsia="Times" w:hAnsi="Verdana"/>
          <w:sz w:val="20"/>
          <w:szCs w:val="20"/>
          <w:lang w:val="pt-BR"/>
        </w:rPr>
      </w:pPr>
    </w:p>
    <w:p w14:paraId="495BAA2E" w14:textId="77777777" w:rsidR="00B11F2A" w:rsidRPr="00F154FF" w:rsidRDefault="00B11F2A" w:rsidP="00B11F2A">
      <w:pPr>
        <w:spacing w:after="0" w:line="240" w:lineRule="auto"/>
        <w:ind w:right="49"/>
        <w:jc w:val="both"/>
        <w:rPr>
          <w:rFonts w:ascii="Verdana" w:eastAsia="Times" w:hAnsi="Verdana"/>
          <w:sz w:val="20"/>
          <w:szCs w:val="20"/>
          <w:lang w:val="pt-BR"/>
        </w:rPr>
      </w:pPr>
    </w:p>
    <w:p w14:paraId="5C9C75AF" w14:textId="77777777" w:rsidR="00B11F2A" w:rsidRDefault="00B11F2A" w:rsidP="00B11F2A">
      <w:pPr>
        <w:spacing w:after="0" w:line="240" w:lineRule="auto"/>
        <w:ind w:right="49"/>
        <w:jc w:val="both"/>
        <w:rPr>
          <w:rFonts w:ascii="Verdana" w:eastAsia="Times" w:hAnsi="Verdana"/>
          <w:sz w:val="20"/>
          <w:szCs w:val="20"/>
          <w:lang w:val="pt-BR"/>
        </w:rPr>
      </w:pPr>
    </w:p>
    <w:p w14:paraId="795BA5A5" w14:textId="77777777" w:rsidR="00B11F2A" w:rsidRPr="00F154FF" w:rsidRDefault="00B11F2A" w:rsidP="00B11F2A">
      <w:pPr>
        <w:spacing w:after="0" w:line="240" w:lineRule="auto"/>
        <w:ind w:right="49"/>
        <w:jc w:val="both"/>
        <w:rPr>
          <w:rFonts w:ascii="Verdana" w:eastAsia="Times" w:hAnsi="Verdana"/>
          <w:sz w:val="20"/>
          <w:szCs w:val="20"/>
          <w:lang w:val="pt-BR"/>
        </w:rPr>
      </w:pPr>
    </w:p>
    <w:p w14:paraId="4BEE9A6F" w14:textId="77777777" w:rsidR="00B11F2A" w:rsidRPr="00F154FF" w:rsidRDefault="00B11F2A" w:rsidP="00B11F2A">
      <w:pPr>
        <w:spacing w:after="0" w:line="240" w:lineRule="auto"/>
        <w:ind w:left="4248" w:right="49" w:firstLine="708"/>
        <w:jc w:val="center"/>
        <w:rPr>
          <w:rFonts w:ascii="Verdana" w:eastAsia="Times" w:hAnsi="Verdana"/>
          <w:sz w:val="20"/>
          <w:szCs w:val="20"/>
          <w:lang w:val="es-CO"/>
        </w:rPr>
      </w:pPr>
      <w:r w:rsidRPr="00F154FF">
        <w:rPr>
          <w:rFonts w:ascii="Verdana" w:eastAsia="Times" w:hAnsi="Verdana"/>
          <w:sz w:val="20"/>
          <w:szCs w:val="20"/>
          <w:lang w:val="pt-BR"/>
        </w:rPr>
        <w:t xml:space="preserve">Elizabeth </w:t>
      </w:r>
      <w:proofErr w:type="spellStart"/>
      <w:r w:rsidRPr="00F154FF">
        <w:rPr>
          <w:rFonts w:ascii="Verdana" w:eastAsia="Times" w:hAnsi="Verdana"/>
          <w:sz w:val="20"/>
          <w:szCs w:val="20"/>
          <w:lang w:val="pt-BR"/>
        </w:rPr>
        <w:t>Odio</w:t>
      </w:r>
      <w:proofErr w:type="spellEnd"/>
      <w:r w:rsidRPr="00F154FF">
        <w:rPr>
          <w:rFonts w:ascii="Verdana" w:eastAsia="Times" w:hAnsi="Verdana"/>
          <w:sz w:val="20"/>
          <w:szCs w:val="20"/>
          <w:lang w:val="pt-BR"/>
        </w:rPr>
        <w:t xml:space="preserve"> Benito</w:t>
      </w:r>
    </w:p>
    <w:p w14:paraId="1BA778F5" w14:textId="77777777" w:rsidR="00B11F2A" w:rsidRPr="00F154FF" w:rsidRDefault="00B11F2A" w:rsidP="00B11F2A">
      <w:pPr>
        <w:spacing w:after="0" w:line="240" w:lineRule="auto"/>
        <w:ind w:left="4248" w:right="49" w:firstLine="708"/>
        <w:jc w:val="center"/>
        <w:rPr>
          <w:rFonts w:ascii="Verdana" w:eastAsia="Times" w:hAnsi="Verdana"/>
          <w:sz w:val="20"/>
          <w:szCs w:val="20"/>
          <w:lang w:val="pt-BR"/>
        </w:rPr>
      </w:pPr>
      <w:r>
        <w:rPr>
          <w:rFonts w:ascii="Verdana" w:eastAsia="Times" w:hAnsi="Verdana"/>
          <w:sz w:val="20"/>
          <w:szCs w:val="20"/>
          <w:lang w:val="pt-BR"/>
        </w:rPr>
        <w:t>Presidenta</w:t>
      </w:r>
    </w:p>
    <w:p w14:paraId="02D80050" w14:textId="77777777" w:rsidR="00B11F2A" w:rsidRPr="00F154FF" w:rsidRDefault="00B11F2A" w:rsidP="00B11F2A">
      <w:pPr>
        <w:spacing w:after="0" w:line="240" w:lineRule="auto"/>
        <w:ind w:right="49"/>
        <w:jc w:val="both"/>
        <w:rPr>
          <w:rFonts w:ascii="Verdana" w:eastAsia="Times" w:hAnsi="Verdana"/>
          <w:sz w:val="20"/>
          <w:szCs w:val="20"/>
          <w:lang w:val="pt-BR"/>
        </w:rPr>
      </w:pPr>
    </w:p>
    <w:p w14:paraId="33909E1B" w14:textId="77777777" w:rsidR="00B11F2A" w:rsidRPr="00F154FF" w:rsidRDefault="00B11F2A" w:rsidP="00B11F2A">
      <w:pPr>
        <w:spacing w:after="0" w:line="240" w:lineRule="auto"/>
        <w:ind w:right="49"/>
        <w:jc w:val="both"/>
        <w:rPr>
          <w:rFonts w:ascii="Verdana" w:eastAsia="Times" w:hAnsi="Verdana"/>
          <w:sz w:val="20"/>
          <w:szCs w:val="20"/>
          <w:lang w:val="pt-BR"/>
        </w:rPr>
      </w:pPr>
    </w:p>
    <w:p w14:paraId="4E0E4F9F" w14:textId="77777777" w:rsidR="00B11F2A" w:rsidRDefault="00B11F2A" w:rsidP="00B11F2A">
      <w:pPr>
        <w:spacing w:after="0" w:line="240" w:lineRule="auto"/>
        <w:ind w:right="49"/>
        <w:jc w:val="both"/>
        <w:rPr>
          <w:rFonts w:ascii="Verdana" w:eastAsia="Times" w:hAnsi="Verdana"/>
          <w:sz w:val="20"/>
          <w:szCs w:val="20"/>
          <w:lang w:val="pt-BR"/>
        </w:rPr>
      </w:pPr>
    </w:p>
    <w:p w14:paraId="16116121" w14:textId="77777777" w:rsidR="00B11F2A" w:rsidRPr="00F154FF" w:rsidRDefault="00B11F2A" w:rsidP="00B11F2A">
      <w:pPr>
        <w:spacing w:after="0" w:line="240" w:lineRule="auto"/>
        <w:ind w:right="49"/>
        <w:jc w:val="both"/>
        <w:rPr>
          <w:rFonts w:ascii="Verdana" w:eastAsia="Times" w:hAnsi="Verdana"/>
          <w:sz w:val="20"/>
          <w:szCs w:val="20"/>
          <w:lang w:val="pt-BR"/>
        </w:rPr>
      </w:pPr>
    </w:p>
    <w:p w14:paraId="33C7E4B7" w14:textId="77777777" w:rsidR="00B11F2A" w:rsidRPr="00F154FF" w:rsidRDefault="00B11F2A" w:rsidP="00B11F2A">
      <w:pPr>
        <w:spacing w:after="0" w:line="240" w:lineRule="auto"/>
        <w:ind w:right="49"/>
        <w:jc w:val="both"/>
        <w:rPr>
          <w:rFonts w:ascii="Verdana" w:eastAsia="Times" w:hAnsi="Verdana"/>
          <w:sz w:val="20"/>
          <w:szCs w:val="20"/>
          <w:lang w:val="es-ES"/>
        </w:rPr>
      </w:pPr>
      <w:r w:rsidRPr="00F154FF">
        <w:rPr>
          <w:rFonts w:ascii="Verdana" w:eastAsia="Times" w:hAnsi="Verdana"/>
          <w:sz w:val="20"/>
          <w:szCs w:val="20"/>
          <w:lang w:val="es-ES"/>
        </w:rPr>
        <w:t>Pablo Saavedra Alessandri</w:t>
      </w:r>
    </w:p>
    <w:p w14:paraId="169DFD06" w14:textId="77777777" w:rsidR="00B11F2A" w:rsidRPr="00514C91" w:rsidRDefault="00B11F2A" w:rsidP="00B11F2A">
      <w:pPr>
        <w:spacing w:after="0" w:line="240" w:lineRule="auto"/>
        <w:ind w:right="49"/>
      </w:pPr>
      <w:r w:rsidRPr="00F154FF">
        <w:rPr>
          <w:rFonts w:ascii="Verdana" w:eastAsia="Times" w:hAnsi="Verdana"/>
          <w:sz w:val="20"/>
          <w:szCs w:val="20"/>
          <w:lang w:val="es-ES"/>
        </w:rPr>
        <w:tab/>
      </w:r>
      <w:r w:rsidRPr="00F154FF">
        <w:rPr>
          <w:rFonts w:ascii="Verdana" w:eastAsia="Times" w:hAnsi="Verdana"/>
          <w:sz w:val="20"/>
          <w:szCs w:val="20"/>
        </w:rPr>
        <w:t>Secretario</w:t>
      </w:r>
    </w:p>
    <w:sectPr w:rsidR="00B11F2A" w:rsidRPr="00514C91" w:rsidSect="00B11F2A">
      <w:headerReference w:type="even" r:id="rId8"/>
      <w:headerReference w:type="default" r:id="rId9"/>
      <w:footerReference w:type="even" r:id="rId10"/>
      <w:footerReference w:type="default" r:id="rId11"/>
      <w:headerReference w:type="first" r:id="rId12"/>
      <w:pgSz w:w="12240" w:h="15840"/>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D4D42" w14:textId="77777777" w:rsidR="00F62547" w:rsidRDefault="00F62547" w:rsidP="0052428B">
      <w:pPr>
        <w:spacing w:after="0" w:line="240" w:lineRule="auto"/>
      </w:pPr>
      <w:r>
        <w:separator/>
      </w:r>
    </w:p>
  </w:endnote>
  <w:endnote w:type="continuationSeparator" w:id="0">
    <w:p w14:paraId="489AD9E9" w14:textId="77777777" w:rsidR="00F62547" w:rsidRDefault="00F62547" w:rsidP="0052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C905" w14:textId="77777777" w:rsidR="00B11F2A" w:rsidRPr="00B11F2A" w:rsidRDefault="00B11F2A" w:rsidP="00B11F2A">
    <w:pPr>
      <w:pStyle w:val="Piedepgina"/>
      <w:ind w:right="49"/>
      <w:rPr>
        <w:sz w:val="18"/>
      </w:rPr>
    </w:pPr>
  </w:p>
  <w:p w14:paraId="2741B536" w14:textId="77777777" w:rsidR="002246DB" w:rsidRPr="00B11F2A" w:rsidRDefault="002246DB" w:rsidP="00B11F2A">
    <w:pPr>
      <w:ind w:right="49"/>
      <w:rPr>
        <w:sz w:val="18"/>
      </w:rPr>
    </w:pPr>
  </w:p>
  <w:p w14:paraId="1ED19DC7" w14:textId="77777777" w:rsidR="002246DB" w:rsidRPr="00B11F2A" w:rsidRDefault="002246DB" w:rsidP="00B11F2A">
    <w:pPr>
      <w:ind w:right="49"/>
      <w:rPr>
        <w:sz w:val="18"/>
      </w:rPr>
    </w:pPr>
  </w:p>
  <w:p w14:paraId="6A9EA7DE" w14:textId="77777777" w:rsidR="002246DB" w:rsidRPr="00B11F2A" w:rsidRDefault="002246DB" w:rsidP="00B11F2A">
    <w:pPr>
      <w:ind w:right="49"/>
      <w:rPr>
        <w:sz w:val="18"/>
      </w:rPr>
    </w:pPr>
  </w:p>
  <w:p w14:paraId="639AE1EA" w14:textId="77777777" w:rsidR="002246DB" w:rsidRPr="00B11F2A" w:rsidRDefault="002246DB" w:rsidP="00B11F2A">
    <w:pPr>
      <w:ind w:right="49"/>
      <w:rPr>
        <w:sz w:val="18"/>
      </w:rPr>
    </w:pPr>
  </w:p>
  <w:p w14:paraId="47D9A7EC" w14:textId="77777777" w:rsidR="002246DB" w:rsidRPr="00B11F2A" w:rsidRDefault="002246DB" w:rsidP="00B11F2A">
    <w:pPr>
      <w:ind w:right="49"/>
      <w:rPr>
        <w:sz w:val="18"/>
      </w:rPr>
    </w:pPr>
  </w:p>
  <w:p w14:paraId="040BE161" w14:textId="77777777" w:rsidR="002246DB" w:rsidRPr="00B11F2A" w:rsidRDefault="002246DB" w:rsidP="00B11F2A">
    <w:pPr>
      <w:ind w:right="49"/>
      <w:rPr>
        <w:sz w:val="18"/>
      </w:rPr>
    </w:pPr>
  </w:p>
  <w:p w14:paraId="56D1F524" w14:textId="77777777" w:rsidR="002246DB" w:rsidRPr="00B11F2A" w:rsidRDefault="002246DB" w:rsidP="00B11F2A">
    <w:pPr>
      <w:ind w:right="49"/>
      <w:rPr>
        <w:sz w:val="18"/>
      </w:rPr>
    </w:pPr>
  </w:p>
  <w:p w14:paraId="4FB65B0A" w14:textId="77777777" w:rsidR="002246DB" w:rsidRPr="00B11F2A" w:rsidRDefault="002246DB" w:rsidP="00B11F2A">
    <w:pPr>
      <w:ind w:right="49"/>
      <w:rPr>
        <w:sz w:val="18"/>
      </w:rPr>
    </w:pPr>
  </w:p>
  <w:p w14:paraId="21CF7D3B" w14:textId="77777777" w:rsidR="002246DB" w:rsidRPr="00B11F2A" w:rsidRDefault="002246DB" w:rsidP="00B11F2A">
    <w:pPr>
      <w:ind w:right="49"/>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7C98" w14:textId="77777777" w:rsidR="0096741D" w:rsidRPr="00B11F2A" w:rsidRDefault="0096741D" w:rsidP="00B11F2A">
    <w:pPr>
      <w:pStyle w:val="Piedepgina"/>
      <w:ind w:right="49"/>
      <w:jc w:val="center"/>
      <w:rPr>
        <w:rFonts w:ascii="Verdana" w:hAnsi="Verdana"/>
        <w:sz w:val="16"/>
        <w:szCs w:val="20"/>
      </w:rPr>
    </w:pPr>
    <w:r w:rsidRPr="00B11F2A">
      <w:rPr>
        <w:rFonts w:ascii="Verdana" w:hAnsi="Verdana"/>
        <w:sz w:val="16"/>
        <w:szCs w:val="20"/>
      </w:rPr>
      <w:t>-</w:t>
    </w:r>
    <w:r w:rsidRPr="00B11F2A">
      <w:rPr>
        <w:rFonts w:ascii="Verdana" w:hAnsi="Verdana"/>
        <w:sz w:val="16"/>
        <w:szCs w:val="20"/>
      </w:rPr>
      <w:fldChar w:fldCharType="begin"/>
    </w:r>
    <w:r w:rsidRPr="00B11F2A">
      <w:rPr>
        <w:rFonts w:ascii="Verdana" w:hAnsi="Verdana"/>
        <w:sz w:val="16"/>
        <w:szCs w:val="20"/>
      </w:rPr>
      <w:instrText>PAGE   \* MERGEFORMAT</w:instrText>
    </w:r>
    <w:r w:rsidRPr="00B11F2A">
      <w:rPr>
        <w:rFonts w:ascii="Verdana" w:hAnsi="Verdana"/>
        <w:sz w:val="16"/>
        <w:szCs w:val="20"/>
      </w:rPr>
      <w:fldChar w:fldCharType="separate"/>
    </w:r>
    <w:r w:rsidR="00631648" w:rsidRPr="00631648">
      <w:rPr>
        <w:rFonts w:ascii="Verdana" w:hAnsi="Verdana"/>
        <w:noProof/>
        <w:sz w:val="16"/>
        <w:szCs w:val="20"/>
        <w:lang w:val="es-ES"/>
      </w:rPr>
      <w:t>2</w:t>
    </w:r>
    <w:r w:rsidRPr="00B11F2A">
      <w:rPr>
        <w:rFonts w:ascii="Verdana" w:hAnsi="Verdana"/>
        <w:sz w:val="16"/>
        <w:szCs w:val="20"/>
      </w:rPr>
      <w:fldChar w:fldCharType="end"/>
    </w:r>
    <w:r w:rsidRPr="00B11F2A">
      <w:rPr>
        <w:rFonts w:ascii="Verdana" w:hAnsi="Verdana"/>
        <w:sz w:val="16"/>
        <w:szCs w:val="20"/>
      </w:rPr>
      <w:t>-</w:t>
    </w:r>
  </w:p>
  <w:p w14:paraId="62269621" w14:textId="77777777" w:rsidR="0096741D" w:rsidRDefault="009674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BE5EF" w14:textId="77777777" w:rsidR="00F62547" w:rsidRDefault="00F62547" w:rsidP="0052428B">
      <w:pPr>
        <w:spacing w:after="0" w:line="240" w:lineRule="auto"/>
      </w:pPr>
      <w:r>
        <w:separator/>
      </w:r>
    </w:p>
  </w:footnote>
  <w:footnote w:type="continuationSeparator" w:id="0">
    <w:p w14:paraId="1F3C0A15" w14:textId="77777777" w:rsidR="00F62547" w:rsidRDefault="00F62547" w:rsidP="0052428B">
      <w:pPr>
        <w:spacing w:after="0" w:line="240" w:lineRule="auto"/>
      </w:pPr>
      <w:r>
        <w:continuationSeparator/>
      </w:r>
    </w:p>
  </w:footnote>
  <w:footnote w:id="1">
    <w:p w14:paraId="6F7FBFB9" w14:textId="77777777" w:rsidR="0096741D" w:rsidRPr="00F915E3" w:rsidRDefault="0096741D" w:rsidP="00B11F2A">
      <w:pPr>
        <w:pStyle w:val="Textonotapie"/>
        <w:ind w:right="49"/>
        <w:jc w:val="both"/>
        <w:rPr>
          <w:rFonts w:ascii="Verdana" w:hAnsi="Verdana"/>
          <w:sz w:val="16"/>
          <w:szCs w:val="16"/>
          <w:lang w:val="es-CR"/>
        </w:rPr>
      </w:pPr>
      <w:r w:rsidRPr="00F915E3">
        <w:rPr>
          <w:rFonts w:ascii="Verdana" w:hAnsi="Verdana"/>
          <w:sz w:val="16"/>
          <w:szCs w:val="16"/>
          <w:vertAlign w:val="superscript"/>
          <w:lang w:val="es-CR"/>
        </w:rPr>
        <w:t>*</w:t>
      </w:r>
      <w:r w:rsidRPr="00F915E3">
        <w:rPr>
          <w:rFonts w:ascii="Verdana" w:hAnsi="Verdana"/>
          <w:sz w:val="16"/>
          <w:szCs w:val="16"/>
          <w:lang w:val="es-CR"/>
        </w:rPr>
        <w:tab/>
      </w:r>
      <w:r w:rsidR="00981EEC" w:rsidRPr="002E084A">
        <w:rPr>
          <w:rFonts w:ascii="Verdana" w:hAnsi="Verdana"/>
          <w:sz w:val="16"/>
          <w:szCs w:val="16"/>
          <w:lang w:val="es-CR"/>
        </w:rPr>
        <w:t xml:space="preserve">El Juez Eduardo Vio Grossi, por razones de fuerza mayor, no participó en la deliberación y firma de la presente Resolución. </w:t>
      </w:r>
      <w:r w:rsidRPr="00981EEC">
        <w:rPr>
          <w:rFonts w:ascii="Verdana" w:hAnsi="Verdana"/>
          <w:sz w:val="16"/>
          <w:szCs w:val="16"/>
          <w:lang w:val="es-CR"/>
        </w:rPr>
        <w:t xml:space="preserve">Debido a las circunstancias excepcionales ocasionadas por la pandemia COVID-19, esta </w:t>
      </w:r>
      <w:proofErr w:type="spellStart"/>
      <w:r w:rsidRPr="00981EEC">
        <w:rPr>
          <w:rFonts w:ascii="Verdana" w:hAnsi="Verdana"/>
          <w:sz w:val="16"/>
          <w:szCs w:val="16"/>
          <w:lang w:val="es-CR"/>
        </w:rPr>
        <w:t>Resolución</w:t>
      </w:r>
      <w:proofErr w:type="spellEnd"/>
      <w:r w:rsidRPr="00981EEC">
        <w:rPr>
          <w:rFonts w:ascii="Verdana" w:hAnsi="Verdana"/>
          <w:sz w:val="16"/>
          <w:szCs w:val="16"/>
          <w:lang w:val="es-CR"/>
        </w:rPr>
        <w:t xml:space="preserve"> fue deliberada y aprobada durante el 145 </w:t>
      </w:r>
      <w:proofErr w:type="spellStart"/>
      <w:r w:rsidRPr="00981EEC">
        <w:rPr>
          <w:rFonts w:ascii="Verdana" w:hAnsi="Verdana"/>
          <w:sz w:val="16"/>
          <w:szCs w:val="16"/>
          <w:lang w:val="es-CR"/>
        </w:rPr>
        <w:t>Período</w:t>
      </w:r>
      <w:proofErr w:type="spellEnd"/>
      <w:r w:rsidRPr="00981EEC">
        <w:rPr>
          <w:rFonts w:ascii="Verdana" w:hAnsi="Verdana"/>
          <w:sz w:val="16"/>
          <w:szCs w:val="16"/>
          <w:lang w:val="es-CR"/>
        </w:rPr>
        <w:t xml:space="preserve"> Ordinario de Sesiones, el cual se </w:t>
      </w:r>
      <w:proofErr w:type="spellStart"/>
      <w:r w:rsidRPr="00981EEC">
        <w:rPr>
          <w:rFonts w:ascii="Verdana" w:hAnsi="Verdana"/>
          <w:sz w:val="16"/>
          <w:szCs w:val="16"/>
          <w:lang w:val="es-CR"/>
        </w:rPr>
        <w:t>llevo</w:t>
      </w:r>
      <w:proofErr w:type="spellEnd"/>
      <w:r w:rsidRPr="00981EEC">
        <w:rPr>
          <w:rFonts w:ascii="Verdana" w:hAnsi="Verdana"/>
          <w:sz w:val="16"/>
          <w:szCs w:val="16"/>
          <w:lang w:val="es-CR"/>
        </w:rPr>
        <w:t xml:space="preserve">́ a cabo de forma no presencial utilizando medios </w:t>
      </w:r>
      <w:proofErr w:type="spellStart"/>
      <w:r w:rsidRPr="00981EEC">
        <w:rPr>
          <w:rFonts w:ascii="Verdana" w:hAnsi="Verdana"/>
          <w:sz w:val="16"/>
          <w:szCs w:val="16"/>
          <w:lang w:val="es-CR"/>
        </w:rPr>
        <w:t>tecnológicos</w:t>
      </w:r>
      <w:proofErr w:type="spellEnd"/>
      <w:r w:rsidRPr="00981EEC">
        <w:rPr>
          <w:rFonts w:ascii="Verdana" w:hAnsi="Verdana"/>
          <w:sz w:val="16"/>
          <w:szCs w:val="16"/>
          <w:lang w:val="es-CR"/>
        </w:rPr>
        <w:t xml:space="preserve"> de conformidad con lo establecido en el Reglamento de la Corte.</w:t>
      </w:r>
    </w:p>
    <w:p w14:paraId="12EB057C" w14:textId="77777777" w:rsidR="0096741D" w:rsidRPr="00F915E3" w:rsidRDefault="0096741D" w:rsidP="00B11F2A">
      <w:pPr>
        <w:pStyle w:val="Textonotapie"/>
        <w:ind w:right="49"/>
        <w:jc w:val="both"/>
        <w:rPr>
          <w:rFonts w:ascii="Verdana" w:hAnsi="Verdana"/>
          <w:sz w:val="16"/>
          <w:szCs w:val="16"/>
          <w:lang w:val="es-CR"/>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lang w:val="es-CR"/>
        </w:rPr>
        <w:tab/>
      </w:r>
      <w:r w:rsidRPr="00F915E3">
        <w:rPr>
          <w:rFonts w:ascii="Verdana" w:hAnsi="Verdana"/>
          <w:i/>
          <w:sz w:val="16"/>
          <w:szCs w:val="16"/>
          <w:lang w:val="es-CR"/>
        </w:rPr>
        <w:t xml:space="preserve">Cfr. Caso Ortiz Hernández y otros Vs. Venezuela. Fondo, Reparaciones y Costas. </w:t>
      </w:r>
      <w:r w:rsidRPr="00F915E3">
        <w:rPr>
          <w:rFonts w:ascii="Verdana" w:hAnsi="Verdana"/>
          <w:sz w:val="16"/>
          <w:szCs w:val="16"/>
          <w:lang w:val="es-CR"/>
        </w:rPr>
        <w:t xml:space="preserve">Sentencia de 22 de agosto de 2017. Serie C No. 388. El texto íntegro de la Sentencia se encuentra disponible en: </w:t>
      </w:r>
      <w:hyperlink r:id="rId1" w:history="1">
        <w:r w:rsidRPr="00F915E3">
          <w:rPr>
            <w:rStyle w:val="Hipervnculo"/>
            <w:rFonts w:ascii="Verdana" w:hAnsi="Verdana"/>
            <w:sz w:val="16"/>
            <w:szCs w:val="16"/>
            <w:lang w:val="es-CR"/>
          </w:rPr>
          <w:t>http://www.corteidh.or.cr/docs/casos/articulos/seriec_338_esp.pdf</w:t>
        </w:r>
      </w:hyperlink>
      <w:r w:rsidRPr="00F915E3">
        <w:rPr>
          <w:rFonts w:ascii="Verdana" w:hAnsi="Verdana"/>
          <w:sz w:val="16"/>
          <w:szCs w:val="16"/>
          <w:lang w:val="es-CR"/>
        </w:rPr>
        <w:t xml:space="preserve">. La Sentencia se notificó el 13 de octubre de 2017. </w:t>
      </w:r>
    </w:p>
  </w:footnote>
  <w:footnote w:id="2">
    <w:p w14:paraId="5D3E2177" w14:textId="77777777" w:rsidR="00E15873" w:rsidRPr="00E15873" w:rsidRDefault="00E15873" w:rsidP="00B11F2A">
      <w:pPr>
        <w:pStyle w:val="Textonotapie"/>
        <w:ind w:right="49"/>
        <w:jc w:val="both"/>
        <w:rPr>
          <w:rFonts w:ascii="Verdana" w:hAnsi="Verdana"/>
          <w:sz w:val="16"/>
          <w:szCs w:val="16"/>
        </w:rPr>
      </w:pPr>
      <w:r w:rsidRPr="00E15873">
        <w:rPr>
          <w:rStyle w:val="Refdenotaalpie"/>
          <w:rFonts w:ascii="Verdana" w:hAnsi="Verdana"/>
          <w:sz w:val="16"/>
          <w:szCs w:val="16"/>
        </w:rPr>
        <w:footnoteRef/>
      </w:r>
      <w:r w:rsidRPr="00E15873">
        <w:rPr>
          <w:rFonts w:ascii="Verdana" w:hAnsi="Verdana"/>
          <w:sz w:val="16"/>
          <w:szCs w:val="16"/>
        </w:rPr>
        <w:t xml:space="preserve"> </w:t>
      </w:r>
      <w:r w:rsidRPr="00E15873">
        <w:rPr>
          <w:rFonts w:ascii="Verdana" w:hAnsi="Verdana"/>
          <w:sz w:val="16"/>
          <w:szCs w:val="16"/>
        </w:rPr>
        <w:tab/>
        <w:t xml:space="preserve">En el marco del </w:t>
      </w:r>
      <w:r w:rsidRPr="00E15873">
        <w:rPr>
          <w:rFonts w:ascii="Verdana" w:hAnsi="Verdana" w:cs="Arial"/>
          <w:sz w:val="16"/>
          <w:szCs w:val="16"/>
        </w:rPr>
        <w:t>“I Curso Anti-Subversivo”, que se realizaba en las instalaciones del Destacamento N° 19 de los Comandos Rurales de Caño Negro, Municipio Fernández Feo del estado de Táchira, Venezuela.</w:t>
      </w:r>
    </w:p>
  </w:footnote>
  <w:footnote w:id="3">
    <w:p w14:paraId="3396ADA5" w14:textId="77777777" w:rsidR="0096741D" w:rsidRPr="00F915E3" w:rsidRDefault="0096741D" w:rsidP="00B11F2A">
      <w:pPr>
        <w:pStyle w:val="Textonotapie"/>
        <w:ind w:right="49"/>
        <w:jc w:val="both"/>
        <w:rPr>
          <w:rFonts w:ascii="Verdana" w:hAnsi="Verdana"/>
          <w:sz w:val="16"/>
          <w:szCs w:val="16"/>
          <w:lang w:val="es-ES"/>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lang w:val="es-ES"/>
        </w:rPr>
        <w:tab/>
      </w:r>
      <w:r w:rsidR="00D93815">
        <w:rPr>
          <w:rFonts w:ascii="Verdana" w:hAnsi="Verdana"/>
          <w:sz w:val="16"/>
          <w:szCs w:val="16"/>
          <w:lang w:val="es-ES"/>
        </w:rPr>
        <w:t>L</w:t>
      </w:r>
      <w:r w:rsidR="004D3E87">
        <w:rPr>
          <w:rFonts w:ascii="Verdana" w:hAnsi="Verdana"/>
          <w:sz w:val="16"/>
          <w:szCs w:val="16"/>
          <w:lang w:val="es-ES"/>
        </w:rPr>
        <w:t xml:space="preserve">a señora </w:t>
      </w:r>
      <w:r w:rsidRPr="00F915E3">
        <w:rPr>
          <w:rFonts w:ascii="Verdana" w:hAnsi="Verdana"/>
          <w:sz w:val="16"/>
          <w:szCs w:val="16"/>
          <w:lang w:val="es-CR"/>
        </w:rPr>
        <w:t>Zaida Hernández de Arellano</w:t>
      </w:r>
      <w:r w:rsidR="00D93815">
        <w:rPr>
          <w:rFonts w:ascii="Verdana" w:hAnsi="Verdana"/>
          <w:sz w:val="16"/>
          <w:szCs w:val="16"/>
          <w:lang w:val="es-CR"/>
        </w:rPr>
        <w:t xml:space="preserve"> (madre) y </w:t>
      </w:r>
      <w:r w:rsidR="004D3E87">
        <w:rPr>
          <w:rFonts w:ascii="Verdana" w:hAnsi="Verdana"/>
          <w:sz w:val="16"/>
          <w:szCs w:val="16"/>
          <w:lang w:val="es-CR"/>
        </w:rPr>
        <w:t xml:space="preserve">el señor </w:t>
      </w:r>
      <w:r w:rsidR="00D93815">
        <w:rPr>
          <w:rFonts w:ascii="Verdana" w:hAnsi="Verdana"/>
          <w:sz w:val="16"/>
          <w:szCs w:val="16"/>
          <w:lang w:val="es-CR"/>
        </w:rPr>
        <w:t>Edgar Humberto Ortiz Ruiz (padre)</w:t>
      </w:r>
      <w:r w:rsidR="002E084A">
        <w:rPr>
          <w:rFonts w:ascii="Verdana" w:hAnsi="Verdana"/>
          <w:sz w:val="16"/>
          <w:szCs w:val="16"/>
          <w:lang w:val="es-CR"/>
        </w:rPr>
        <w:t>.</w:t>
      </w:r>
      <w:r w:rsidRPr="00F915E3">
        <w:rPr>
          <w:rFonts w:ascii="Verdana" w:hAnsi="Verdana"/>
          <w:sz w:val="16"/>
          <w:szCs w:val="16"/>
          <w:lang w:val="es-CR"/>
        </w:rPr>
        <w:t xml:space="preserve"> </w:t>
      </w:r>
    </w:p>
  </w:footnote>
  <w:footnote w:id="4">
    <w:p w14:paraId="36905D7F" w14:textId="77777777" w:rsidR="0096741D" w:rsidRPr="00F915E3" w:rsidRDefault="0096741D" w:rsidP="00B11F2A">
      <w:pPr>
        <w:pStyle w:val="Textonotapie"/>
        <w:ind w:right="49"/>
        <w:jc w:val="both"/>
        <w:rPr>
          <w:rFonts w:ascii="Verdana" w:hAnsi="Verdana"/>
          <w:sz w:val="16"/>
          <w:szCs w:val="16"/>
          <w:lang w:val="es-ES"/>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lang w:val="es-ES"/>
        </w:rPr>
        <w:tab/>
      </w:r>
      <w:r w:rsidR="00D93815">
        <w:rPr>
          <w:rFonts w:ascii="Verdana" w:hAnsi="Verdana"/>
          <w:sz w:val="16"/>
          <w:szCs w:val="16"/>
          <w:lang w:val="es-ES"/>
        </w:rPr>
        <w:t>Sus padres, sus hermanos</w:t>
      </w:r>
      <w:r w:rsidR="006C05B1">
        <w:rPr>
          <w:rFonts w:ascii="Verdana" w:hAnsi="Verdana"/>
          <w:sz w:val="16"/>
          <w:szCs w:val="16"/>
          <w:lang w:val="es-ES"/>
        </w:rPr>
        <w:t xml:space="preserve">: </w:t>
      </w:r>
      <w:r w:rsidR="00D93815" w:rsidRPr="00F915E3">
        <w:rPr>
          <w:rFonts w:ascii="Verdana" w:hAnsi="Verdana"/>
          <w:sz w:val="16"/>
          <w:szCs w:val="16"/>
          <w:lang w:val="es-CR"/>
        </w:rPr>
        <w:t>Zaida Dariana Arellano Hernández</w:t>
      </w:r>
      <w:r w:rsidR="00D93815">
        <w:rPr>
          <w:rFonts w:ascii="Verdana" w:hAnsi="Verdana"/>
          <w:sz w:val="16"/>
          <w:szCs w:val="16"/>
          <w:lang w:val="es-CR"/>
        </w:rPr>
        <w:t xml:space="preserve">, </w:t>
      </w:r>
      <w:r w:rsidR="00D93815" w:rsidRPr="00F915E3">
        <w:rPr>
          <w:rFonts w:ascii="Verdana" w:hAnsi="Verdana"/>
          <w:sz w:val="16"/>
          <w:szCs w:val="16"/>
          <w:lang w:val="es-CR"/>
        </w:rPr>
        <w:t>Saúl Johan Arellano Hernández</w:t>
      </w:r>
      <w:r w:rsidR="00D93815">
        <w:rPr>
          <w:rFonts w:ascii="Verdana" w:hAnsi="Verdana"/>
          <w:sz w:val="16"/>
          <w:szCs w:val="16"/>
          <w:lang w:val="es-CR"/>
        </w:rPr>
        <w:t xml:space="preserve">, </w:t>
      </w:r>
      <w:proofErr w:type="spellStart"/>
      <w:r w:rsidR="00D93815" w:rsidRPr="00F915E3">
        <w:rPr>
          <w:rFonts w:ascii="Verdana" w:hAnsi="Verdana"/>
          <w:sz w:val="16"/>
          <w:szCs w:val="16"/>
          <w:lang w:val="es-CR"/>
        </w:rPr>
        <w:t>Jeckson</w:t>
      </w:r>
      <w:proofErr w:type="spellEnd"/>
      <w:r w:rsidR="00D93815" w:rsidRPr="00F915E3">
        <w:rPr>
          <w:rFonts w:ascii="Verdana" w:hAnsi="Verdana"/>
          <w:sz w:val="16"/>
          <w:szCs w:val="16"/>
          <w:lang w:val="es-CR"/>
        </w:rPr>
        <w:t xml:space="preserve"> Edgardo Ortiz González, </w:t>
      </w:r>
      <w:proofErr w:type="spellStart"/>
      <w:r w:rsidR="00D93815" w:rsidRPr="00F915E3">
        <w:rPr>
          <w:rFonts w:ascii="Verdana" w:hAnsi="Verdana"/>
          <w:sz w:val="16"/>
          <w:szCs w:val="16"/>
          <w:lang w:val="es-CR"/>
        </w:rPr>
        <w:t>Greyssi</w:t>
      </w:r>
      <w:proofErr w:type="spellEnd"/>
      <w:r w:rsidR="00D93815" w:rsidRPr="00F915E3">
        <w:rPr>
          <w:rFonts w:ascii="Verdana" w:hAnsi="Verdana"/>
          <w:sz w:val="16"/>
          <w:szCs w:val="16"/>
          <w:lang w:val="es-CR"/>
        </w:rPr>
        <w:t xml:space="preserve"> </w:t>
      </w:r>
      <w:proofErr w:type="spellStart"/>
      <w:r w:rsidR="00D93815" w:rsidRPr="00F915E3">
        <w:rPr>
          <w:rFonts w:ascii="Verdana" w:hAnsi="Verdana"/>
          <w:sz w:val="16"/>
          <w:szCs w:val="16"/>
          <w:lang w:val="es-CR"/>
        </w:rPr>
        <w:t>Maried</w:t>
      </w:r>
      <w:proofErr w:type="spellEnd"/>
      <w:r w:rsidR="00D93815" w:rsidRPr="00F915E3">
        <w:rPr>
          <w:rFonts w:ascii="Verdana" w:hAnsi="Verdana"/>
          <w:sz w:val="16"/>
          <w:szCs w:val="16"/>
          <w:lang w:val="es-CR"/>
        </w:rPr>
        <w:t xml:space="preserve"> Ortiz González, Gregory Leonardo Ortiz González</w:t>
      </w:r>
      <w:r w:rsidR="006C05B1">
        <w:rPr>
          <w:rFonts w:ascii="Verdana" w:hAnsi="Verdana"/>
          <w:sz w:val="16"/>
          <w:szCs w:val="16"/>
          <w:lang w:val="es-CR"/>
        </w:rPr>
        <w:t xml:space="preserve">; </w:t>
      </w:r>
      <w:r w:rsidR="006C05B1" w:rsidRPr="00F915E3">
        <w:rPr>
          <w:rFonts w:ascii="Verdana" w:hAnsi="Verdana"/>
          <w:sz w:val="16"/>
          <w:szCs w:val="16"/>
          <w:lang w:val="es-CR"/>
        </w:rPr>
        <w:t>Saúl Arellano Mora</w:t>
      </w:r>
      <w:r w:rsidR="006C05B1">
        <w:rPr>
          <w:rFonts w:ascii="Verdana" w:hAnsi="Verdana"/>
          <w:sz w:val="16"/>
          <w:szCs w:val="16"/>
          <w:lang w:val="es-CR"/>
        </w:rPr>
        <w:t xml:space="preserve"> (</w:t>
      </w:r>
      <w:r w:rsidR="00D93815">
        <w:rPr>
          <w:rFonts w:ascii="Verdana" w:hAnsi="Verdana"/>
          <w:sz w:val="16"/>
          <w:szCs w:val="16"/>
          <w:lang w:val="es-CR"/>
        </w:rPr>
        <w:t>esposo de la señora Zaida Hernández de Arellano</w:t>
      </w:r>
      <w:r w:rsidR="006C05B1">
        <w:rPr>
          <w:rFonts w:ascii="Verdana" w:hAnsi="Verdana"/>
          <w:sz w:val="16"/>
          <w:szCs w:val="16"/>
          <w:lang w:val="es-CR"/>
        </w:rPr>
        <w:t xml:space="preserve">) y </w:t>
      </w:r>
      <w:r w:rsidR="006C05B1" w:rsidRPr="00F915E3">
        <w:rPr>
          <w:rFonts w:ascii="Verdana" w:hAnsi="Verdana"/>
          <w:sz w:val="16"/>
          <w:szCs w:val="16"/>
          <w:lang w:val="es-CR"/>
        </w:rPr>
        <w:t>Maritza González Cordero</w:t>
      </w:r>
      <w:r w:rsidR="006C05B1">
        <w:rPr>
          <w:rFonts w:ascii="Verdana" w:hAnsi="Verdana"/>
          <w:sz w:val="16"/>
          <w:szCs w:val="16"/>
          <w:lang w:val="es-CR"/>
        </w:rPr>
        <w:t xml:space="preserve"> (</w:t>
      </w:r>
      <w:r w:rsidR="00D93815">
        <w:rPr>
          <w:rFonts w:ascii="Verdana" w:hAnsi="Verdana"/>
          <w:sz w:val="16"/>
          <w:szCs w:val="16"/>
          <w:lang w:val="es-CR"/>
        </w:rPr>
        <w:t>compañera del señor Edgar Humberto Ort</w:t>
      </w:r>
      <w:r w:rsidR="00BA70C9">
        <w:rPr>
          <w:rFonts w:ascii="Verdana" w:hAnsi="Verdana"/>
          <w:sz w:val="16"/>
          <w:szCs w:val="16"/>
          <w:lang w:val="es-CR"/>
        </w:rPr>
        <w:t>i</w:t>
      </w:r>
      <w:r w:rsidR="006C05B1">
        <w:rPr>
          <w:rFonts w:ascii="Verdana" w:hAnsi="Verdana"/>
          <w:sz w:val="16"/>
          <w:szCs w:val="16"/>
          <w:lang w:val="es-CR"/>
        </w:rPr>
        <w:t>z Ruiz</w:t>
      </w:r>
      <w:r w:rsidR="00113810">
        <w:rPr>
          <w:rFonts w:ascii="Verdana" w:hAnsi="Verdana"/>
          <w:sz w:val="16"/>
          <w:szCs w:val="16"/>
          <w:lang w:val="es-CR"/>
        </w:rPr>
        <w:t xml:space="preserve">). </w:t>
      </w:r>
      <w:r w:rsidRPr="00F915E3">
        <w:rPr>
          <w:rFonts w:ascii="Verdana" w:hAnsi="Verdana"/>
          <w:sz w:val="16"/>
          <w:szCs w:val="16"/>
          <w:lang w:val="es-CR"/>
        </w:rPr>
        <w:t xml:space="preserve"> </w:t>
      </w:r>
    </w:p>
  </w:footnote>
  <w:footnote w:id="5">
    <w:p w14:paraId="5B5FA0B6" w14:textId="77777777" w:rsidR="0096741D" w:rsidRPr="00F915E3" w:rsidRDefault="0096741D" w:rsidP="00B11F2A">
      <w:pPr>
        <w:pStyle w:val="Textonotapie"/>
        <w:ind w:right="49"/>
        <w:jc w:val="both"/>
        <w:rPr>
          <w:rFonts w:ascii="Verdana" w:hAnsi="Verdana"/>
          <w:sz w:val="16"/>
          <w:szCs w:val="16"/>
          <w:lang w:val="es-ES"/>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lang w:val="es-ES"/>
        </w:rPr>
        <w:tab/>
      </w:r>
      <w:r w:rsidR="00F915E3" w:rsidRPr="00F915E3">
        <w:rPr>
          <w:rFonts w:ascii="Verdana" w:hAnsi="Verdana"/>
          <w:sz w:val="16"/>
          <w:szCs w:val="16"/>
          <w:lang w:val="es-ES"/>
        </w:rPr>
        <w:t xml:space="preserve">Las víctimas del presente caso son representadas por las Defensoras Interamericanas </w:t>
      </w:r>
      <w:proofErr w:type="spellStart"/>
      <w:r w:rsidR="00F915E3" w:rsidRPr="00F915E3">
        <w:rPr>
          <w:rFonts w:ascii="Verdana" w:hAnsi="Verdana"/>
          <w:sz w:val="16"/>
          <w:szCs w:val="16"/>
          <w:lang w:val="es-ES"/>
        </w:rPr>
        <w:t>Gustava</w:t>
      </w:r>
      <w:proofErr w:type="spellEnd"/>
      <w:r w:rsidR="00F915E3" w:rsidRPr="00F915E3">
        <w:rPr>
          <w:rFonts w:ascii="Verdana" w:hAnsi="Verdana"/>
          <w:sz w:val="16"/>
          <w:szCs w:val="16"/>
          <w:lang w:val="es-ES"/>
        </w:rPr>
        <w:t xml:space="preserve"> Aguilar Moraga y María Cristina Meneses Sotomayor. El 15 de marzo de 2021 se designó a María Cristina Meneses Sotomayor en reemplazo de Johanny Elizabeth Castillo </w:t>
      </w:r>
      <w:proofErr w:type="spellStart"/>
      <w:r w:rsidR="00F915E3" w:rsidRPr="00F915E3">
        <w:rPr>
          <w:rFonts w:ascii="Verdana" w:hAnsi="Verdana"/>
          <w:sz w:val="16"/>
          <w:szCs w:val="16"/>
          <w:lang w:val="es-ES"/>
        </w:rPr>
        <w:t>Sabari</w:t>
      </w:r>
      <w:proofErr w:type="spellEnd"/>
      <w:r w:rsidR="00F915E3" w:rsidRPr="00F915E3">
        <w:rPr>
          <w:rFonts w:ascii="Verdana" w:hAnsi="Verdana"/>
          <w:sz w:val="16"/>
          <w:szCs w:val="16"/>
          <w:lang w:val="es-ES"/>
        </w:rPr>
        <w:t>.</w:t>
      </w:r>
      <w:r w:rsidR="00F915E3" w:rsidRPr="00F915E3">
        <w:rPr>
          <w:rFonts w:ascii="Verdana" w:hAnsi="Verdana"/>
          <w:b/>
          <w:sz w:val="16"/>
          <w:szCs w:val="16"/>
          <w:lang w:val="es-ES"/>
        </w:rPr>
        <w:t xml:space="preserve"> </w:t>
      </w:r>
    </w:p>
  </w:footnote>
  <w:footnote w:id="6">
    <w:p w14:paraId="7EA53C35" w14:textId="77777777" w:rsidR="0096741D" w:rsidRPr="00F915E3" w:rsidRDefault="0096741D" w:rsidP="00B11F2A">
      <w:pPr>
        <w:pStyle w:val="Prrafodelista"/>
        <w:tabs>
          <w:tab w:val="left" w:pos="0"/>
        </w:tabs>
        <w:spacing w:after="0" w:line="240" w:lineRule="auto"/>
        <w:ind w:left="0" w:right="49"/>
        <w:contextualSpacing w:val="0"/>
        <w:jc w:val="both"/>
        <w:rPr>
          <w:rFonts w:ascii="Verdana" w:hAnsi="Verdana"/>
          <w:sz w:val="16"/>
          <w:szCs w:val="16"/>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rPr>
        <w:tab/>
      </w:r>
      <w:r w:rsidRPr="00F915E3">
        <w:rPr>
          <w:rFonts w:ascii="Verdana" w:hAnsi="Verdana" w:cs="Arial"/>
          <w:sz w:val="16"/>
          <w:szCs w:val="16"/>
        </w:rPr>
        <w:t xml:space="preserve">Además, en cada oportunidad se recordó al Estado que venció el plazo de </w:t>
      </w:r>
      <w:proofErr w:type="spellStart"/>
      <w:r w:rsidRPr="00F915E3">
        <w:rPr>
          <w:rFonts w:ascii="Verdana" w:hAnsi="Verdana" w:cs="Arial"/>
          <w:sz w:val="16"/>
          <w:szCs w:val="16"/>
        </w:rPr>
        <w:t>seís</w:t>
      </w:r>
      <w:proofErr w:type="spellEnd"/>
      <w:r w:rsidRPr="00F915E3">
        <w:rPr>
          <w:rFonts w:ascii="Verdana" w:hAnsi="Verdana" w:cs="Arial"/>
          <w:sz w:val="16"/>
          <w:szCs w:val="16"/>
        </w:rPr>
        <w:t xml:space="preserve"> meses, contado a partir de la notificación de la Sentencia y dispuesto en la misma para realizar el reintegro al Fondo de Asistencia Legal de Víctimas de </w:t>
      </w:r>
      <w:r w:rsidR="00F915E3" w:rsidRPr="00F915E3">
        <w:rPr>
          <w:rFonts w:ascii="Verdana" w:hAnsi="Verdana" w:cs="Arial"/>
          <w:sz w:val="16"/>
          <w:szCs w:val="16"/>
        </w:rPr>
        <w:t>la Corte Interamericana de la cantidad indicada en el párrafo 259 de la Sentencia junto con los correspondientes intereses moratorios</w:t>
      </w:r>
      <w:r w:rsidR="0065435E">
        <w:rPr>
          <w:rFonts w:ascii="Verdana" w:hAnsi="Verdana" w:cs="Arial"/>
          <w:sz w:val="16"/>
          <w:szCs w:val="16"/>
        </w:rPr>
        <w:t>, de conformidad con lo establecido en el párrafo 265 de la misma</w:t>
      </w:r>
      <w:r w:rsidR="00F915E3" w:rsidRPr="00F915E3">
        <w:rPr>
          <w:rFonts w:ascii="Verdana" w:hAnsi="Verdana" w:cs="Arial"/>
          <w:sz w:val="16"/>
          <w:szCs w:val="16"/>
        </w:rPr>
        <w:t xml:space="preserve">. </w:t>
      </w:r>
    </w:p>
  </w:footnote>
  <w:footnote w:id="7">
    <w:p w14:paraId="2403B225" w14:textId="77777777" w:rsidR="0096741D" w:rsidRPr="00F915E3" w:rsidRDefault="0096741D" w:rsidP="00B11F2A">
      <w:pPr>
        <w:pStyle w:val="Textonotapie"/>
        <w:ind w:right="49"/>
        <w:jc w:val="both"/>
        <w:rPr>
          <w:rFonts w:ascii="Verdana" w:hAnsi="Verdana"/>
          <w:sz w:val="16"/>
          <w:szCs w:val="16"/>
          <w:lang w:val="es-CR"/>
        </w:rPr>
      </w:pPr>
      <w:r w:rsidRPr="00F915E3">
        <w:rPr>
          <w:rStyle w:val="Refdenotaalpie"/>
          <w:rFonts w:ascii="Verdana" w:hAnsi="Verdana"/>
          <w:sz w:val="16"/>
          <w:szCs w:val="16"/>
        </w:rPr>
        <w:footnoteRef/>
      </w:r>
      <w:r w:rsidRPr="00F915E3">
        <w:rPr>
          <w:rFonts w:ascii="Verdana" w:hAnsi="Verdana"/>
          <w:sz w:val="16"/>
          <w:szCs w:val="16"/>
          <w:lang w:val="es-CR"/>
        </w:rPr>
        <w:t xml:space="preserve"> </w:t>
      </w:r>
      <w:r w:rsidRPr="00F915E3">
        <w:rPr>
          <w:rFonts w:ascii="Verdana" w:hAnsi="Verdana"/>
          <w:sz w:val="16"/>
          <w:szCs w:val="16"/>
          <w:lang w:val="es-CR"/>
        </w:rPr>
        <w:tab/>
        <w:t xml:space="preserve">Facultad que además </w:t>
      </w:r>
      <w:r w:rsidRPr="00F915E3">
        <w:rPr>
          <w:rFonts w:ascii="Verdana" w:hAnsi="Verdana"/>
          <w:sz w:val="16"/>
          <w:szCs w:val="16"/>
          <w:lang w:val="es-ES"/>
        </w:rPr>
        <w:t xml:space="preserve">se desprende de lo dispuesto en los artículos 33, 62.1, 62.3 y 65 de la Convención Americana y </w:t>
      </w:r>
      <w:r w:rsidRPr="00F915E3">
        <w:rPr>
          <w:rFonts w:ascii="Verdana" w:hAnsi="Verdana"/>
          <w:sz w:val="16"/>
          <w:szCs w:val="16"/>
          <w:lang w:val="es-CR"/>
        </w:rPr>
        <w:t>30 de su Estatuto y se encuentra regulada en el artículo 69 de su Reglamento.</w:t>
      </w:r>
    </w:p>
  </w:footnote>
  <w:footnote w:id="8">
    <w:p w14:paraId="3CD5F6B4" w14:textId="77777777" w:rsidR="0096741D" w:rsidRPr="00F915E3" w:rsidRDefault="0096741D" w:rsidP="00B11F2A">
      <w:pPr>
        <w:pStyle w:val="Textonotapie"/>
        <w:ind w:right="49"/>
        <w:jc w:val="both"/>
        <w:rPr>
          <w:rFonts w:ascii="Verdana" w:hAnsi="Verdana"/>
          <w:sz w:val="16"/>
          <w:szCs w:val="16"/>
          <w:lang w:val="es-ES"/>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rPr>
        <w:tab/>
      </w:r>
      <w:r w:rsidRPr="00F915E3">
        <w:rPr>
          <w:rFonts w:ascii="Verdana" w:hAnsi="Verdana"/>
          <w:i/>
          <w:sz w:val="16"/>
          <w:szCs w:val="16"/>
          <w:lang w:val="es-ES"/>
        </w:rPr>
        <w:t>Cfr.</w:t>
      </w:r>
      <w:r w:rsidRPr="00F915E3">
        <w:rPr>
          <w:rFonts w:ascii="Verdana" w:hAnsi="Verdana"/>
          <w:sz w:val="16"/>
          <w:szCs w:val="16"/>
          <w:lang w:val="es-ES"/>
        </w:rPr>
        <w:t xml:space="preserve"> </w:t>
      </w:r>
      <w:r w:rsidRPr="00F915E3">
        <w:rPr>
          <w:rFonts w:ascii="Verdana" w:hAnsi="Verdana"/>
          <w:i/>
          <w:sz w:val="16"/>
          <w:szCs w:val="16"/>
          <w:lang w:val="es-CR"/>
        </w:rPr>
        <w:t xml:space="preserve">Caso Ortiz Hernández y otros Vs. Venezuela, supra </w:t>
      </w:r>
      <w:r w:rsidRPr="00F915E3">
        <w:rPr>
          <w:rFonts w:ascii="Verdana" w:hAnsi="Verdana"/>
          <w:sz w:val="16"/>
          <w:szCs w:val="16"/>
          <w:lang w:val="es-CR"/>
        </w:rPr>
        <w:t xml:space="preserve">nota 1, </w:t>
      </w:r>
      <w:proofErr w:type="spellStart"/>
      <w:r w:rsidRPr="00F915E3">
        <w:rPr>
          <w:rFonts w:ascii="Verdana" w:hAnsi="Verdana"/>
          <w:sz w:val="16"/>
          <w:szCs w:val="16"/>
          <w:lang w:val="es-CR"/>
        </w:rPr>
        <w:t>párrs</w:t>
      </w:r>
      <w:proofErr w:type="spellEnd"/>
      <w:r w:rsidRPr="00F915E3">
        <w:rPr>
          <w:rFonts w:ascii="Verdana" w:hAnsi="Verdana"/>
          <w:sz w:val="16"/>
          <w:szCs w:val="16"/>
          <w:lang w:val="es-CR"/>
        </w:rPr>
        <w:t xml:space="preserve">. 259 y 265 y punto resolutivo 16. </w:t>
      </w:r>
    </w:p>
  </w:footnote>
  <w:footnote w:id="9">
    <w:p w14:paraId="7766393E" w14:textId="77777777" w:rsidR="0096741D" w:rsidRPr="00F915E3" w:rsidRDefault="0096741D" w:rsidP="00B11F2A">
      <w:pPr>
        <w:pStyle w:val="Textonotapie"/>
        <w:ind w:right="49"/>
        <w:jc w:val="both"/>
        <w:rPr>
          <w:rFonts w:ascii="Verdana" w:hAnsi="Verdana"/>
          <w:sz w:val="16"/>
          <w:szCs w:val="16"/>
          <w:lang w:val="es-ES"/>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lang w:val="es-ES"/>
        </w:rPr>
        <w:tab/>
      </w:r>
      <w:r w:rsidRPr="00F915E3">
        <w:rPr>
          <w:rFonts w:ascii="Verdana" w:hAnsi="Verdana"/>
          <w:i/>
          <w:sz w:val="16"/>
          <w:szCs w:val="16"/>
          <w:lang w:val="es-ES"/>
        </w:rPr>
        <w:t>Cfr</w:t>
      </w:r>
      <w:r w:rsidRPr="00F915E3">
        <w:rPr>
          <w:rFonts w:ascii="Verdana" w:hAnsi="Verdana"/>
          <w:sz w:val="16"/>
          <w:szCs w:val="16"/>
          <w:lang w:val="es-ES"/>
        </w:rPr>
        <w:t>. Escrito</w:t>
      </w:r>
      <w:r w:rsidR="00356061">
        <w:rPr>
          <w:rFonts w:ascii="Verdana" w:hAnsi="Verdana"/>
          <w:sz w:val="16"/>
          <w:szCs w:val="16"/>
          <w:lang w:val="es-ES"/>
        </w:rPr>
        <w:t>s</w:t>
      </w:r>
      <w:r w:rsidRPr="00F915E3">
        <w:rPr>
          <w:rFonts w:ascii="Verdana" w:hAnsi="Verdana"/>
          <w:sz w:val="16"/>
          <w:szCs w:val="16"/>
          <w:lang w:val="es-ES"/>
        </w:rPr>
        <w:t xml:space="preserve"> de observaciones de las representantes de 21 de febrero de 2019</w:t>
      </w:r>
      <w:r w:rsidR="00356061">
        <w:rPr>
          <w:rFonts w:ascii="Verdana" w:hAnsi="Verdana"/>
          <w:sz w:val="16"/>
          <w:szCs w:val="16"/>
          <w:lang w:val="es-ES"/>
        </w:rPr>
        <w:t xml:space="preserve"> y 27 de octubre de 2021</w:t>
      </w:r>
      <w:r w:rsidRPr="00F915E3">
        <w:rPr>
          <w:rFonts w:ascii="Verdana" w:hAnsi="Verdana"/>
          <w:sz w:val="16"/>
          <w:szCs w:val="16"/>
          <w:lang w:val="es-ES"/>
        </w:rPr>
        <w:t>.</w:t>
      </w:r>
    </w:p>
  </w:footnote>
  <w:footnote w:id="10">
    <w:p w14:paraId="27AF0845" w14:textId="77777777" w:rsidR="0096741D" w:rsidRPr="00F915E3" w:rsidRDefault="0096741D" w:rsidP="00B11F2A">
      <w:pPr>
        <w:pStyle w:val="Textonotapie"/>
        <w:ind w:right="49"/>
        <w:jc w:val="both"/>
        <w:rPr>
          <w:rFonts w:ascii="Verdana" w:hAnsi="Verdana"/>
          <w:b/>
          <w:sz w:val="16"/>
          <w:szCs w:val="16"/>
          <w:lang w:val="es-CR"/>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rPr>
        <w:tab/>
      </w:r>
      <w:r w:rsidRPr="00F915E3">
        <w:rPr>
          <w:rFonts w:ascii="Verdana" w:hAnsi="Verdana"/>
          <w:i/>
          <w:sz w:val="16"/>
          <w:szCs w:val="16"/>
        </w:rPr>
        <w:t>Cfr. Caso Cinco Pensionistas Vs. Perú.</w:t>
      </w:r>
      <w:r w:rsidRPr="00F915E3">
        <w:rPr>
          <w:rFonts w:ascii="Verdana" w:hAnsi="Verdana"/>
          <w:sz w:val="16"/>
          <w:szCs w:val="16"/>
        </w:rPr>
        <w:t xml:space="preserve"> Supervisión de Cumplimiento de Sentencia. Resolución de la Corte de 17 de noviembre de 2004, Considerando </w:t>
      </w:r>
      <w:r w:rsidR="00117E27">
        <w:rPr>
          <w:rFonts w:ascii="Verdana" w:hAnsi="Verdana"/>
          <w:sz w:val="16"/>
          <w:szCs w:val="16"/>
        </w:rPr>
        <w:t>5</w:t>
      </w:r>
      <w:r w:rsidRPr="00F915E3">
        <w:rPr>
          <w:rFonts w:ascii="Verdana" w:hAnsi="Verdana"/>
          <w:sz w:val="16"/>
          <w:szCs w:val="16"/>
        </w:rPr>
        <w:t xml:space="preserve">, y </w:t>
      </w:r>
      <w:r w:rsidRPr="00F915E3">
        <w:rPr>
          <w:rStyle w:val="Textoennegrita"/>
          <w:rFonts w:ascii="Verdana" w:hAnsi="Verdana"/>
          <w:b w:val="0"/>
          <w:i/>
          <w:color w:val="000000"/>
          <w:sz w:val="16"/>
          <w:szCs w:val="16"/>
          <w:shd w:val="clear" w:color="auto" w:fill="FFFFFF"/>
        </w:rPr>
        <w:t xml:space="preserve">Caso </w:t>
      </w:r>
      <w:r w:rsidR="00117E27">
        <w:rPr>
          <w:rStyle w:val="Textoennegrita"/>
          <w:rFonts w:ascii="Verdana" w:hAnsi="Verdana"/>
          <w:b w:val="0"/>
          <w:i/>
          <w:color w:val="000000"/>
          <w:sz w:val="16"/>
          <w:szCs w:val="16"/>
          <w:shd w:val="clear" w:color="auto" w:fill="FFFFFF"/>
        </w:rPr>
        <w:t>Guzmán Albarracín y otras</w:t>
      </w:r>
      <w:r w:rsidRPr="00F915E3">
        <w:rPr>
          <w:rStyle w:val="Textoennegrita"/>
          <w:rFonts w:ascii="Verdana" w:hAnsi="Verdana"/>
          <w:b w:val="0"/>
          <w:i/>
          <w:color w:val="000000"/>
          <w:sz w:val="16"/>
          <w:szCs w:val="16"/>
          <w:shd w:val="clear" w:color="auto" w:fill="FFFFFF"/>
        </w:rPr>
        <w:t xml:space="preserve"> Vs. </w:t>
      </w:r>
      <w:r w:rsidR="00117E27">
        <w:rPr>
          <w:rStyle w:val="Textoennegrita"/>
          <w:rFonts w:ascii="Verdana" w:hAnsi="Verdana"/>
          <w:b w:val="0"/>
          <w:i/>
          <w:color w:val="000000"/>
          <w:sz w:val="16"/>
          <w:szCs w:val="16"/>
          <w:shd w:val="clear" w:color="auto" w:fill="FFFFFF"/>
        </w:rPr>
        <w:t>Ecuador</w:t>
      </w:r>
      <w:r w:rsidRPr="00F915E3">
        <w:rPr>
          <w:rStyle w:val="Textoennegrita"/>
          <w:rFonts w:ascii="Verdana" w:hAnsi="Verdana"/>
          <w:b w:val="0"/>
          <w:i/>
          <w:color w:val="000000"/>
          <w:sz w:val="16"/>
          <w:szCs w:val="16"/>
          <w:shd w:val="clear" w:color="auto" w:fill="FFFFFF"/>
        </w:rPr>
        <w:t>. Supervisión de Cumplimiento de Sentencia</w:t>
      </w:r>
      <w:r w:rsidRPr="00F915E3">
        <w:rPr>
          <w:rStyle w:val="Textoennegrita"/>
          <w:rFonts w:ascii="Verdana" w:hAnsi="Verdana"/>
          <w:b w:val="0"/>
          <w:color w:val="000000"/>
          <w:sz w:val="16"/>
          <w:szCs w:val="16"/>
          <w:shd w:val="clear" w:color="auto" w:fill="FFFFFF"/>
        </w:rPr>
        <w:t xml:space="preserve">. Resolución de la Corte Interamericana de Derechos Humanos de </w:t>
      </w:r>
      <w:r w:rsidR="00117E27">
        <w:rPr>
          <w:rStyle w:val="Textoennegrita"/>
          <w:rFonts w:ascii="Verdana" w:hAnsi="Verdana"/>
          <w:b w:val="0"/>
          <w:color w:val="000000"/>
          <w:sz w:val="16"/>
          <w:szCs w:val="16"/>
          <w:shd w:val="clear" w:color="auto" w:fill="FFFFFF"/>
        </w:rPr>
        <w:t>23</w:t>
      </w:r>
      <w:r w:rsidR="00117E27" w:rsidRPr="00F915E3">
        <w:rPr>
          <w:rStyle w:val="Textoennegrita"/>
          <w:rFonts w:ascii="Verdana" w:hAnsi="Verdana"/>
          <w:b w:val="0"/>
          <w:color w:val="000000"/>
          <w:sz w:val="16"/>
          <w:szCs w:val="16"/>
          <w:shd w:val="clear" w:color="auto" w:fill="FFFFFF"/>
        </w:rPr>
        <w:t xml:space="preserve"> </w:t>
      </w:r>
      <w:r w:rsidRPr="00F915E3">
        <w:rPr>
          <w:rStyle w:val="Textoennegrita"/>
          <w:rFonts w:ascii="Verdana" w:hAnsi="Verdana"/>
          <w:b w:val="0"/>
          <w:color w:val="000000"/>
          <w:sz w:val="16"/>
          <w:szCs w:val="16"/>
          <w:shd w:val="clear" w:color="auto" w:fill="FFFFFF"/>
        </w:rPr>
        <w:t xml:space="preserve">de </w:t>
      </w:r>
      <w:r w:rsidR="00117E27">
        <w:rPr>
          <w:rStyle w:val="Textoennegrita"/>
          <w:rFonts w:ascii="Verdana" w:hAnsi="Verdana"/>
          <w:b w:val="0"/>
          <w:color w:val="000000"/>
          <w:sz w:val="16"/>
          <w:szCs w:val="16"/>
          <w:shd w:val="clear" w:color="auto" w:fill="FFFFFF"/>
        </w:rPr>
        <w:t>septiembre</w:t>
      </w:r>
      <w:r w:rsidR="00117E27" w:rsidRPr="00F915E3">
        <w:rPr>
          <w:rStyle w:val="Textoennegrita"/>
          <w:rFonts w:ascii="Verdana" w:hAnsi="Verdana"/>
          <w:b w:val="0"/>
          <w:color w:val="000000"/>
          <w:sz w:val="16"/>
          <w:szCs w:val="16"/>
          <w:shd w:val="clear" w:color="auto" w:fill="FFFFFF"/>
        </w:rPr>
        <w:t xml:space="preserve"> </w:t>
      </w:r>
      <w:r w:rsidRPr="00F915E3">
        <w:rPr>
          <w:rStyle w:val="Textoennegrita"/>
          <w:rFonts w:ascii="Verdana" w:hAnsi="Verdana"/>
          <w:b w:val="0"/>
          <w:color w:val="000000"/>
          <w:sz w:val="16"/>
          <w:szCs w:val="16"/>
          <w:shd w:val="clear" w:color="auto" w:fill="FFFFFF"/>
        </w:rPr>
        <w:t>de 202</w:t>
      </w:r>
      <w:r w:rsidR="00117E27">
        <w:rPr>
          <w:rStyle w:val="Textoennegrita"/>
          <w:rFonts w:ascii="Verdana" w:hAnsi="Verdana"/>
          <w:b w:val="0"/>
          <w:color w:val="000000"/>
          <w:sz w:val="16"/>
          <w:szCs w:val="16"/>
          <w:shd w:val="clear" w:color="auto" w:fill="FFFFFF"/>
        </w:rPr>
        <w:t>1</w:t>
      </w:r>
      <w:r w:rsidRPr="00F915E3">
        <w:rPr>
          <w:rStyle w:val="Textoennegrita"/>
          <w:rFonts w:ascii="Verdana" w:hAnsi="Verdana"/>
          <w:b w:val="0"/>
          <w:color w:val="000000"/>
          <w:sz w:val="16"/>
          <w:szCs w:val="16"/>
          <w:shd w:val="clear" w:color="auto" w:fill="FFFFFF"/>
        </w:rPr>
        <w:t xml:space="preserve">, Considerando </w:t>
      </w:r>
      <w:r w:rsidR="00117E27">
        <w:rPr>
          <w:rStyle w:val="Textoennegrita"/>
          <w:rFonts w:ascii="Verdana" w:hAnsi="Verdana"/>
          <w:b w:val="0"/>
          <w:color w:val="000000"/>
          <w:sz w:val="16"/>
          <w:szCs w:val="16"/>
          <w:shd w:val="clear" w:color="auto" w:fill="FFFFFF"/>
        </w:rPr>
        <w:t>2</w:t>
      </w:r>
      <w:r w:rsidRPr="00F915E3">
        <w:rPr>
          <w:rStyle w:val="Textoennegrita"/>
          <w:rFonts w:ascii="Verdana" w:hAnsi="Verdana"/>
          <w:b w:val="0"/>
          <w:color w:val="000000"/>
          <w:sz w:val="16"/>
          <w:szCs w:val="16"/>
          <w:shd w:val="clear" w:color="auto" w:fill="FFFFFF"/>
        </w:rPr>
        <w:t>.</w:t>
      </w:r>
      <w:r w:rsidRPr="00F915E3">
        <w:rPr>
          <w:rFonts w:ascii="Verdana" w:hAnsi="Verdana"/>
          <w:b/>
          <w:sz w:val="16"/>
          <w:szCs w:val="16"/>
          <w:lang w:val="es-CR"/>
        </w:rPr>
        <w:t xml:space="preserve"> </w:t>
      </w:r>
    </w:p>
  </w:footnote>
  <w:footnote w:id="11">
    <w:p w14:paraId="00DD0594" w14:textId="77777777" w:rsidR="0096741D" w:rsidRPr="00F915E3" w:rsidRDefault="0096741D" w:rsidP="00B11F2A">
      <w:pPr>
        <w:pStyle w:val="Textonotapie"/>
        <w:ind w:right="49"/>
        <w:jc w:val="both"/>
        <w:rPr>
          <w:rFonts w:ascii="Verdana" w:hAnsi="Verdana"/>
          <w:sz w:val="16"/>
          <w:szCs w:val="16"/>
        </w:rPr>
      </w:pPr>
      <w:r w:rsidRPr="00F915E3">
        <w:rPr>
          <w:rFonts w:ascii="Verdana" w:hAnsi="Verdana"/>
          <w:sz w:val="16"/>
          <w:szCs w:val="16"/>
          <w:vertAlign w:val="subscript"/>
          <w:lang w:val="es-CR"/>
        </w:rPr>
        <w:footnoteRef/>
      </w:r>
      <w:r w:rsidRPr="00F915E3">
        <w:rPr>
          <w:rFonts w:ascii="Verdana" w:hAnsi="Verdana"/>
          <w:sz w:val="16"/>
          <w:szCs w:val="16"/>
          <w:vertAlign w:val="subscript"/>
          <w:lang w:val="es-CR"/>
        </w:rPr>
        <w:t xml:space="preserve"> </w:t>
      </w:r>
      <w:r w:rsidRPr="00F915E3">
        <w:rPr>
          <w:rFonts w:ascii="Verdana" w:hAnsi="Verdana"/>
          <w:sz w:val="16"/>
          <w:szCs w:val="16"/>
          <w:lang w:val="es-CR"/>
        </w:rPr>
        <w:tab/>
      </w:r>
      <w:r w:rsidRPr="00F915E3">
        <w:rPr>
          <w:rFonts w:ascii="Verdana" w:hAnsi="Verdana"/>
          <w:i/>
          <w:sz w:val="16"/>
          <w:szCs w:val="16"/>
          <w:lang w:val="es-CR"/>
        </w:rPr>
        <w:t>Cfr.</w:t>
      </w:r>
      <w:r w:rsidRPr="00F915E3">
        <w:rPr>
          <w:rFonts w:ascii="Verdana" w:hAnsi="Verdana"/>
          <w:sz w:val="16"/>
          <w:szCs w:val="16"/>
          <w:lang w:val="es-CR"/>
        </w:rPr>
        <w:t xml:space="preserve"> </w:t>
      </w:r>
      <w:r w:rsidRPr="00F915E3">
        <w:rPr>
          <w:rFonts w:ascii="Verdana" w:hAnsi="Verdana"/>
          <w:i/>
          <w:sz w:val="16"/>
          <w:szCs w:val="16"/>
          <w:lang w:val="es-CR"/>
        </w:rPr>
        <w:t xml:space="preserve">Caso </w:t>
      </w:r>
      <w:proofErr w:type="spellStart"/>
      <w:r w:rsidRPr="00F915E3">
        <w:rPr>
          <w:rFonts w:ascii="Verdana" w:hAnsi="Verdana"/>
          <w:i/>
          <w:sz w:val="16"/>
          <w:szCs w:val="16"/>
          <w:lang w:val="es-CR"/>
        </w:rPr>
        <w:t>Ivcher</w:t>
      </w:r>
      <w:proofErr w:type="spellEnd"/>
      <w:r w:rsidRPr="00F915E3">
        <w:rPr>
          <w:rFonts w:ascii="Verdana" w:hAnsi="Verdana"/>
          <w:i/>
          <w:sz w:val="16"/>
          <w:szCs w:val="16"/>
          <w:lang w:val="es-CR"/>
        </w:rPr>
        <w:t xml:space="preserve"> </w:t>
      </w:r>
      <w:proofErr w:type="spellStart"/>
      <w:r w:rsidRPr="00F915E3">
        <w:rPr>
          <w:rFonts w:ascii="Verdana" w:hAnsi="Verdana"/>
          <w:i/>
          <w:sz w:val="16"/>
          <w:szCs w:val="16"/>
          <w:lang w:val="es-CR"/>
        </w:rPr>
        <w:t>Bronstein</w:t>
      </w:r>
      <w:proofErr w:type="spellEnd"/>
      <w:r w:rsidRPr="00F915E3">
        <w:rPr>
          <w:rFonts w:ascii="Verdana" w:hAnsi="Verdana"/>
          <w:i/>
          <w:sz w:val="16"/>
          <w:szCs w:val="16"/>
          <w:lang w:val="es-CR"/>
        </w:rPr>
        <w:t xml:space="preserve"> Vs. Perú. Competencia</w:t>
      </w:r>
      <w:r w:rsidRPr="00F915E3">
        <w:rPr>
          <w:rFonts w:ascii="Verdana" w:hAnsi="Verdana"/>
          <w:sz w:val="16"/>
          <w:szCs w:val="16"/>
          <w:lang w:val="es-CR"/>
        </w:rPr>
        <w:t xml:space="preserve">. Sentencia de la Corte Interamericana de Derechos Humanos de 24 de septiembre de 1999. Serie C No. 54, párr. 37, y </w:t>
      </w:r>
      <w:r w:rsidRPr="00F915E3">
        <w:rPr>
          <w:rFonts w:ascii="Verdana" w:hAnsi="Verdana"/>
          <w:i/>
          <w:sz w:val="16"/>
          <w:szCs w:val="16"/>
          <w:lang w:val="es-CR"/>
        </w:rPr>
        <w:t xml:space="preserve">Caso </w:t>
      </w:r>
      <w:r w:rsidR="00117E27">
        <w:rPr>
          <w:rStyle w:val="Textoennegrita"/>
          <w:rFonts w:ascii="Verdana" w:hAnsi="Verdana"/>
          <w:b w:val="0"/>
          <w:i/>
          <w:color w:val="000000"/>
          <w:sz w:val="16"/>
          <w:szCs w:val="16"/>
          <w:shd w:val="clear" w:color="auto" w:fill="FFFFFF"/>
        </w:rPr>
        <w:t>Guzmán Albarracín y otras</w:t>
      </w:r>
      <w:r w:rsidR="00117E27" w:rsidRPr="00F915E3">
        <w:rPr>
          <w:rStyle w:val="Textoennegrita"/>
          <w:rFonts w:ascii="Verdana" w:hAnsi="Verdana"/>
          <w:b w:val="0"/>
          <w:i/>
          <w:color w:val="000000"/>
          <w:sz w:val="16"/>
          <w:szCs w:val="16"/>
          <w:shd w:val="clear" w:color="auto" w:fill="FFFFFF"/>
        </w:rPr>
        <w:t xml:space="preserve"> </w:t>
      </w:r>
      <w:r w:rsidRPr="00F915E3">
        <w:rPr>
          <w:rFonts w:ascii="Verdana" w:hAnsi="Verdana"/>
          <w:i/>
          <w:sz w:val="16"/>
          <w:szCs w:val="16"/>
          <w:lang w:val="es-CR"/>
        </w:rPr>
        <w:t xml:space="preserve">Vs. </w:t>
      </w:r>
      <w:r w:rsidR="00117E27">
        <w:rPr>
          <w:rFonts w:ascii="Verdana" w:hAnsi="Verdana"/>
          <w:i/>
          <w:sz w:val="16"/>
          <w:szCs w:val="16"/>
          <w:lang w:val="es-CR"/>
        </w:rPr>
        <w:t xml:space="preserve">Ecuador, supra </w:t>
      </w:r>
      <w:r w:rsidR="00117E27">
        <w:rPr>
          <w:rFonts w:ascii="Verdana" w:hAnsi="Verdana"/>
          <w:sz w:val="16"/>
          <w:szCs w:val="16"/>
          <w:lang w:val="es-CR"/>
        </w:rPr>
        <w:t>nota 10</w:t>
      </w:r>
      <w:r w:rsidRPr="00F915E3">
        <w:rPr>
          <w:rFonts w:ascii="Verdana" w:hAnsi="Verdana"/>
          <w:i/>
          <w:sz w:val="16"/>
          <w:szCs w:val="16"/>
          <w:lang w:val="es-CR"/>
        </w:rPr>
        <w:t xml:space="preserve">, </w:t>
      </w:r>
      <w:r w:rsidRPr="00F915E3">
        <w:rPr>
          <w:rFonts w:ascii="Verdana" w:hAnsi="Verdana"/>
          <w:sz w:val="16"/>
          <w:szCs w:val="16"/>
        </w:rPr>
        <w:t xml:space="preserve">Considerando 2. </w:t>
      </w:r>
    </w:p>
  </w:footnote>
  <w:footnote w:id="12">
    <w:p w14:paraId="3A2BAF52" w14:textId="77777777" w:rsidR="0096741D" w:rsidRPr="00F915E3" w:rsidRDefault="0096741D" w:rsidP="00B11F2A">
      <w:pPr>
        <w:pStyle w:val="Textonotapie"/>
        <w:ind w:right="49"/>
        <w:jc w:val="both"/>
        <w:rPr>
          <w:rFonts w:ascii="Verdana" w:hAnsi="Verdana"/>
          <w:sz w:val="16"/>
          <w:szCs w:val="16"/>
          <w:lang w:val="es-ES"/>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lang w:val="es-ES"/>
        </w:rPr>
        <w:tab/>
      </w:r>
      <w:r w:rsidRPr="00F915E3">
        <w:rPr>
          <w:rFonts w:ascii="Verdana" w:hAnsi="Verdana"/>
          <w:i/>
          <w:sz w:val="16"/>
          <w:szCs w:val="16"/>
          <w:lang w:val="it-IT"/>
        </w:rPr>
        <w:t xml:space="preserve">Cfr. Caso Gelman Vs. </w:t>
      </w:r>
      <w:r w:rsidRPr="00F915E3">
        <w:rPr>
          <w:rFonts w:ascii="Verdana" w:hAnsi="Verdana"/>
          <w:i/>
          <w:sz w:val="16"/>
          <w:szCs w:val="16"/>
        </w:rPr>
        <w:t>Uruguay. Supervisión de Cumplimiento de Sentencia.</w:t>
      </w:r>
      <w:r w:rsidRPr="00F915E3">
        <w:rPr>
          <w:rFonts w:ascii="Verdana" w:hAnsi="Verdana"/>
          <w:sz w:val="16"/>
          <w:szCs w:val="16"/>
        </w:rPr>
        <w:t xml:space="preserve"> Resolución de la Corte Interamericana de Derechos Humanos de 20 de marzo de 2013, Considerandos 61 y 68, y </w:t>
      </w:r>
      <w:r w:rsidRPr="00F915E3">
        <w:rPr>
          <w:rFonts w:ascii="Verdana" w:hAnsi="Verdana"/>
          <w:bCs/>
          <w:i/>
          <w:color w:val="000000"/>
          <w:sz w:val="16"/>
          <w:szCs w:val="16"/>
          <w:shd w:val="clear" w:color="auto" w:fill="FFFFFF"/>
        </w:rPr>
        <w:t xml:space="preserve">Caso Granier y otros (Radio Caracas Televisión) Vs. Venezuela, </w:t>
      </w:r>
      <w:r w:rsidR="006E60B1" w:rsidRPr="00F915E3">
        <w:rPr>
          <w:rFonts w:ascii="Verdana" w:hAnsi="Verdana"/>
          <w:i/>
          <w:sz w:val="16"/>
          <w:szCs w:val="16"/>
        </w:rPr>
        <w:t>Supervisión de Cumplimiento de Sentencia.</w:t>
      </w:r>
      <w:r w:rsidR="006E60B1" w:rsidRPr="00F915E3">
        <w:rPr>
          <w:rFonts w:ascii="Verdana" w:hAnsi="Verdana"/>
          <w:sz w:val="16"/>
          <w:szCs w:val="16"/>
        </w:rPr>
        <w:t xml:space="preserve"> Resolución de la Corte Interamericana de Derechos Humanos de </w:t>
      </w:r>
      <w:r w:rsidR="006E60B1">
        <w:rPr>
          <w:rFonts w:ascii="Verdana" w:hAnsi="Verdana"/>
          <w:sz w:val="16"/>
          <w:szCs w:val="16"/>
        </w:rPr>
        <w:t>18</w:t>
      </w:r>
      <w:r w:rsidR="006E60B1" w:rsidRPr="00F915E3">
        <w:rPr>
          <w:rFonts w:ascii="Verdana" w:hAnsi="Verdana"/>
          <w:sz w:val="16"/>
          <w:szCs w:val="16"/>
        </w:rPr>
        <w:t xml:space="preserve"> de </w:t>
      </w:r>
      <w:r w:rsidR="006E60B1">
        <w:rPr>
          <w:rFonts w:ascii="Verdana" w:hAnsi="Verdana"/>
          <w:sz w:val="16"/>
          <w:szCs w:val="16"/>
        </w:rPr>
        <w:t>noviembre</w:t>
      </w:r>
      <w:r w:rsidR="006E60B1" w:rsidRPr="00F915E3">
        <w:rPr>
          <w:rFonts w:ascii="Verdana" w:hAnsi="Verdana"/>
          <w:sz w:val="16"/>
          <w:szCs w:val="16"/>
        </w:rPr>
        <w:t xml:space="preserve"> de </w:t>
      </w:r>
      <w:r w:rsidR="00151345">
        <w:rPr>
          <w:rFonts w:ascii="Verdana" w:hAnsi="Verdana"/>
          <w:sz w:val="16"/>
          <w:szCs w:val="16"/>
        </w:rPr>
        <w:t>2020</w:t>
      </w:r>
      <w:r w:rsidRPr="00F915E3">
        <w:rPr>
          <w:rFonts w:ascii="Verdana" w:hAnsi="Verdana"/>
          <w:bCs/>
          <w:i/>
          <w:color w:val="000000"/>
          <w:sz w:val="16"/>
          <w:szCs w:val="16"/>
          <w:shd w:val="clear" w:color="auto" w:fill="FFFFFF"/>
        </w:rPr>
        <w:t xml:space="preserve">, </w:t>
      </w:r>
      <w:r w:rsidRPr="00F915E3">
        <w:rPr>
          <w:rFonts w:ascii="Verdana" w:hAnsi="Verdana"/>
          <w:bCs/>
          <w:color w:val="000000"/>
          <w:sz w:val="16"/>
          <w:szCs w:val="16"/>
          <w:shd w:val="clear" w:color="auto" w:fill="FFFFFF"/>
        </w:rPr>
        <w:t>Considerando 5</w:t>
      </w:r>
      <w:r w:rsidRPr="00F915E3">
        <w:rPr>
          <w:rStyle w:val="Textoennegrita"/>
          <w:rFonts w:ascii="Verdana" w:hAnsi="Verdana"/>
          <w:color w:val="000000"/>
          <w:sz w:val="16"/>
          <w:szCs w:val="16"/>
          <w:shd w:val="clear" w:color="auto" w:fill="FFFFFF"/>
        </w:rPr>
        <w:t xml:space="preserve">. </w:t>
      </w:r>
    </w:p>
  </w:footnote>
  <w:footnote w:id="13">
    <w:p w14:paraId="38F1AB3E" w14:textId="77777777" w:rsidR="006E60B1" w:rsidRPr="00436D3B" w:rsidRDefault="006E60B1" w:rsidP="00B11F2A">
      <w:pPr>
        <w:pStyle w:val="Textonotapie"/>
        <w:tabs>
          <w:tab w:val="left" w:pos="709"/>
        </w:tabs>
        <w:ind w:right="49"/>
        <w:jc w:val="both"/>
        <w:rPr>
          <w:rFonts w:ascii="Verdana" w:hAnsi="Verdana"/>
          <w:sz w:val="16"/>
          <w:szCs w:val="16"/>
          <w:lang w:val="es-ES"/>
        </w:rPr>
      </w:pPr>
      <w:r w:rsidRPr="00436D3B">
        <w:rPr>
          <w:rStyle w:val="Refdenotaalpie"/>
          <w:rFonts w:ascii="Verdana" w:hAnsi="Verdana"/>
          <w:sz w:val="16"/>
          <w:szCs w:val="16"/>
        </w:rPr>
        <w:footnoteRef/>
      </w:r>
      <w:r w:rsidRPr="00436D3B">
        <w:rPr>
          <w:rFonts w:ascii="Verdana" w:hAnsi="Verdana"/>
          <w:sz w:val="16"/>
          <w:szCs w:val="16"/>
        </w:rPr>
        <w:t xml:space="preserve"> </w:t>
      </w:r>
      <w:r w:rsidRPr="00436D3B">
        <w:rPr>
          <w:rFonts w:ascii="Verdana" w:hAnsi="Verdana"/>
          <w:sz w:val="16"/>
          <w:szCs w:val="16"/>
        </w:rPr>
        <w:tab/>
      </w:r>
      <w:r w:rsidRPr="006E60B1">
        <w:rPr>
          <w:rFonts w:ascii="Verdana" w:hAnsi="Verdana"/>
          <w:i/>
          <w:sz w:val="16"/>
          <w:szCs w:val="16"/>
          <w:lang w:val="es-MX"/>
        </w:rPr>
        <w:t xml:space="preserve">Cfr. </w:t>
      </w:r>
      <w:r w:rsidRPr="006E60B1">
        <w:rPr>
          <w:rFonts w:ascii="Verdana" w:hAnsi="Verdana"/>
          <w:i/>
          <w:sz w:val="16"/>
          <w:szCs w:val="16"/>
        </w:rPr>
        <w:t xml:space="preserve">Caso Castillo </w:t>
      </w:r>
      <w:proofErr w:type="spellStart"/>
      <w:r w:rsidRPr="006E60B1">
        <w:rPr>
          <w:rFonts w:ascii="Verdana" w:hAnsi="Verdana"/>
          <w:i/>
          <w:sz w:val="16"/>
          <w:szCs w:val="16"/>
        </w:rPr>
        <w:t>Petruzzi</w:t>
      </w:r>
      <w:proofErr w:type="spellEnd"/>
      <w:r w:rsidRPr="006E60B1">
        <w:rPr>
          <w:rFonts w:ascii="Verdana" w:hAnsi="Verdana"/>
          <w:i/>
          <w:sz w:val="16"/>
          <w:szCs w:val="16"/>
        </w:rPr>
        <w:t xml:space="preserve"> y otros Vs. Perú. Supervisión de Cumplimiento de Sentencia. </w:t>
      </w:r>
      <w:r w:rsidRPr="006E60B1">
        <w:rPr>
          <w:rFonts w:ascii="Verdana" w:hAnsi="Verdana"/>
          <w:sz w:val="16"/>
          <w:szCs w:val="16"/>
        </w:rPr>
        <w:t xml:space="preserve">Resolución de la Corte Interamericana de Derechos Humanos de 17 de noviembre de 1999, </w:t>
      </w:r>
      <w:r w:rsidRPr="007851DD">
        <w:rPr>
          <w:rFonts w:ascii="Verdana" w:hAnsi="Verdana"/>
          <w:sz w:val="16"/>
          <w:szCs w:val="16"/>
          <w:lang w:val="es-MX"/>
        </w:rPr>
        <w:t>Considerando 6, y</w:t>
      </w:r>
      <w:r w:rsidRPr="007851DD">
        <w:rPr>
          <w:rFonts w:ascii="Verdana" w:hAnsi="Verdana"/>
          <w:sz w:val="16"/>
          <w:szCs w:val="16"/>
          <w:lang w:val="es-AR"/>
        </w:rPr>
        <w:t xml:space="preserve"> </w:t>
      </w:r>
      <w:r w:rsidRPr="007851DD">
        <w:rPr>
          <w:rFonts w:ascii="Verdana" w:hAnsi="Verdana"/>
          <w:bCs/>
          <w:i/>
          <w:color w:val="000000"/>
          <w:sz w:val="16"/>
          <w:szCs w:val="16"/>
          <w:shd w:val="clear" w:color="auto" w:fill="FFFFFF"/>
        </w:rPr>
        <w:t xml:space="preserve">Caso Granier y otros (Radio Caracas Televisión) Vs. Venezuela, supra </w:t>
      </w:r>
      <w:r w:rsidRPr="007851DD">
        <w:rPr>
          <w:rFonts w:ascii="Verdana" w:hAnsi="Verdana"/>
          <w:bCs/>
          <w:color w:val="000000"/>
          <w:sz w:val="16"/>
          <w:szCs w:val="16"/>
          <w:shd w:val="clear" w:color="auto" w:fill="FFFFFF"/>
        </w:rPr>
        <w:t>nota 12</w:t>
      </w:r>
      <w:r w:rsidRPr="007851DD">
        <w:rPr>
          <w:rFonts w:ascii="Verdana" w:hAnsi="Verdana"/>
          <w:bCs/>
          <w:i/>
          <w:color w:val="000000"/>
          <w:sz w:val="16"/>
          <w:szCs w:val="16"/>
          <w:shd w:val="clear" w:color="auto" w:fill="FFFFFF"/>
        </w:rPr>
        <w:t xml:space="preserve">, </w:t>
      </w:r>
      <w:r w:rsidRPr="007851DD">
        <w:rPr>
          <w:rFonts w:ascii="Verdana" w:hAnsi="Verdana"/>
          <w:bCs/>
          <w:color w:val="000000"/>
          <w:sz w:val="16"/>
          <w:szCs w:val="16"/>
          <w:shd w:val="clear" w:color="auto" w:fill="FFFFFF"/>
        </w:rPr>
        <w:t>Considerando 6</w:t>
      </w:r>
      <w:r w:rsidRPr="007851DD">
        <w:rPr>
          <w:rFonts w:ascii="Verdana" w:hAnsi="Verdana"/>
          <w:sz w:val="16"/>
          <w:szCs w:val="16"/>
          <w:lang w:val="es-AR"/>
        </w:rPr>
        <w:t>.</w:t>
      </w:r>
    </w:p>
  </w:footnote>
  <w:footnote w:id="14">
    <w:p w14:paraId="2A432F49" w14:textId="77777777" w:rsidR="0096741D" w:rsidRPr="00F915E3" w:rsidRDefault="0096741D" w:rsidP="00B11F2A">
      <w:pPr>
        <w:pStyle w:val="Textonotapie"/>
        <w:tabs>
          <w:tab w:val="left" w:pos="709"/>
        </w:tabs>
        <w:ind w:right="49"/>
        <w:jc w:val="both"/>
        <w:rPr>
          <w:rFonts w:ascii="Verdana" w:eastAsia="Calibri" w:hAnsi="Verdana"/>
          <w:sz w:val="16"/>
          <w:szCs w:val="16"/>
          <w:lang w:val="es-ES" w:eastAsia="en-US"/>
        </w:rPr>
      </w:pPr>
      <w:r w:rsidRPr="00F915E3">
        <w:rPr>
          <w:rStyle w:val="Refdenotaalpie"/>
          <w:rFonts w:ascii="Verdana" w:hAnsi="Verdana"/>
          <w:sz w:val="16"/>
          <w:szCs w:val="16"/>
        </w:rPr>
        <w:footnoteRef/>
      </w:r>
      <w:r w:rsidRPr="00F915E3">
        <w:rPr>
          <w:rFonts w:ascii="Verdana" w:hAnsi="Verdana"/>
          <w:sz w:val="16"/>
          <w:szCs w:val="16"/>
          <w:lang w:val="es-CR"/>
        </w:rPr>
        <w:t xml:space="preserve"> </w:t>
      </w:r>
      <w:r w:rsidRPr="00F915E3">
        <w:rPr>
          <w:rFonts w:ascii="Verdana" w:hAnsi="Verdana"/>
          <w:sz w:val="16"/>
          <w:szCs w:val="16"/>
          <w:lang w:val="es-CR"/>
        </w:rPr>
        <w:tab/>
      </w:r>
      <w:r w:rsidRPr="00F915E3">
        <w:rPr>
          <w:rFonts w:ascii="Verdana" w:hAnsi="Verdana"/>
          <w:i/>
          <w:sz w:val="16"/>
          <w:szCs w:val="16"/>
          <w:lang w:val="es-MX"/>
        </w:rPr>
        <w:t xml:space="preserve">Cfr. </w:t>
      </w:r>
      <w:r w:rsidRPr="00F915E3">
        <w:rPr>
          <w:rFonts w:ascii="Verdana" w:hAnsi="Verdana"/>
          <w:i/>
          <w:sz w:val="16"/>
          <w:szCs w:val="16"/>
        </w:rPr>
        <w:t xml:space="preserve">Caso Castillo </w:t>
      </w:r>
      <w:proofErr w:type="spellStart"/>
      <w:r w:rsidRPr="00F915E3">
        <w:rPr>
          <w:rFonts w:ascii="Verdana" w:hAnsi="Verdana"/>
          <w:i/>
          <w:sz w:val="16"/>
          <w:szCs w:val="16"/>
        </w:rPr>
        <w:t>Petruzzi</w:t>
      </w:r>
      <w:proofErr w:type="spellEnd"/>
      <w:r w:rsidRPr="00F915E3">
        <w:rPr>
          <w:rFonts w:ascii="Verdana" w:hAnsi="Verdana"/>
          <w:i/>
          <w:sz w:val="16"/>
          <w:szCs w:val="16"/>
        </w:rPr>
        <w:t xml:space="preserve"> y otros Vs. Perú. Supervisión de Cumplimiento de Sentencia. </w:t>
      </w:r>
      <w:r w:rsidRPr="00F915E3">
        <w:rPr>
          <w:rFonts w:ascii="Verdana" w:hAnsi="Verdana"/>
          <w:sz w:val="16"/>
          <w:szCs w:val="16"/>
        </w:rPr>
        <w:t xml:space="preserve">Resolución de la Corte Interamericana de Derechos Humanos de 17 de noviembre de 1999, </w:t>
      </w:r>
      <w:r w:rsidRPr="00F915E3">
        <w:rPr>
          <w:rFonts w:ascii="Verdana" w:hAnsi="Verdana"/>
          <w:sz w:val="16"/>
          <w:szCs w:val="16"/>
          <w:lang w:val="es-MX"/>
        </w:rPr>
        <w:t xml:space="preserve">Considerando </w:t>
      </w:r>
      <w:r w:rsidR="006E60B1">
        <w:rPr>
          <w:rFonts w:ascii="Verdana" w:hAnsi="Verdana"/>
          <w:sz w:val="16"/>
          <w:szCs w:val="16"/>
          <w:lang w:val="es-MX"/>
        </w:rPr>
        <w:t>3</w:t>
      </w:r>
      <w:r w:rsidR="00151345">
        <w:rPr>
          <w:rFonts w:ascii="Verdana" w:hAnsi="Verdana"/>
          <w:sz w:val="16"/>
          <w:szCs w:val="16"/>
          <w:lang w:val="es-MX"/>
        </w:rPr>
        <w:t xml:space="preserve"> </w:t>
      </w:r>
      <w:r w:rsidRPr="00F915E3">
        <w:rPr>
          <w:rFonts w:ascii="Verdana" w:hAnsi="Verdana"/>
          <w:sz w:val="16"/>
          <w:szCs w:val="16"/>
          <w:lang w:val="es-MX"/>
        </w:rPr>
        <w:t>y</w:t>
      </w:r>
      <w:r w:rsidRPr="00F915E3">
        <w:rPr>
          <w:rFonts w:ascii="Verdana" w:hAnsi="Verdana"/>
          <w:sz w:val="16"/>
          <w:szCs w:val="16"/>
          <w:lang w:val="es-AR"/>
        </w:rPr>
        <w:t xml:space="preserve"> </w:t>
      </w:r>
      <w:r w:rsidR="006E60B1" w:rsidRPr="00F915E3">
        <w:rPr>
          <w:rFonts w:ascii="Verdana" w:hAnsi="Verdana"/>
          <w:i/>
          <w:sz w:val="16"/>
          <w:szCs w:val="16"/>
        </w:rPr>
        <w:t>Caso Acosta y otros Vs. Nicaragua</w:t>
      </w:r>
      <w:r w:rsidR="006E60B1">
        <w:rPr>
          <w:rFonts w:ascii="Verdana" w:hAnsi="Verdana"/>
          <w:bCs/>
          <w:i/>
          <w:color w:val="000000"/>
          <w:sz w:val="16"/>
          <w:szCs w:val="16"/>
          <w:shd w:val="clear" w:color="auto" w:fill="FFFFFF"/>
        </w:rPr>
        <w:t xml:space="preserve">. Supervisión de Cumplimiento de Sentencia. </w:t>
      </w:r>
      <w:r w:rsidR="006E60B1">
        <w:rPr>
          <w:rFonts w:ascii="Verdana" w:hAnsi="Verdana"/>
          <w:bCs/>
          <w:color w:val="000000"/>
          <w:sz w:val="16"/>
          <w:szCs w:val="16"/>
          <w:shd w:val="clear" w:color="auto" w:fill="FFFFFF"/>
        </w:rPr>
        <w:t xml:space="preserve">Resolución de la Corte Interamericana de Derechos Humanos de 16 de marzo de 2021, Considerando 6. </w:t>
      </w:r>
    </w:p>
  </w:footnote>
  <w:footnote w:id="15">
    <w:p w14:paraId="6E79BB1D" w14:textId="77777777" w:rsidR="0096741D" w:rsidRPr="00F915E3" w:rsidRDefault="0096741D" w:rsidP="00B11F2A">
      <w:pPr>
        <w:pStyle w:val="Textonotapie"/>
        <w:tabs>
          <w:tab w:val="left" w:pos="709"/>
        </w:tabs>
        <w:ind w:right="49"/>
        <w:jc w:val="both"/>
        <w:rPr>
          <w:rFonts w:ascii="Verdana" w:eastAsia="Calibri" w:hAnsi="Verdana"/>
          <w:sz w:val="16"/>
          <w:szCs w:val="16"/>
          <w:lang w:eastAsia="en-US"/>
        </w:rPr>
      </w:pPr>
      <w:r w:rsidRPr="00F915E3">
        <w:rPr>
          <w:rStyle w:val="Refdenotaalpie"/>
          <w:rFonts w:ascii="Verdana" w:hAnsi="Verdana"/>
          <w:sz w:val="16"/>
          <w:szCs w:val="16"/>
        </w:rPr>
        <w:footnoteRef/>
      </w:r>
      <w:r w:rsidRPr="00F915E3">
        <w:rPr>
          <w:rFonts w:ascii="Verdana" w:hAnsi="Verdana"/>
          <w:sz w:val="16"/>
          <w:szCs w:val="16"/>
          <w:lang w:val="es-CR"/>
        </w:rPr>
        <w:t xml:space="preserve"> </w:t>
      </w:r>
      <w:r w:rsidRPr="00F915E3">
        <w:rPr>
          <w:rFonts w:ascii="Verdana" w:hAnsi="Verdana"/>
          <w:sz w:val="16"/>
          <w:szCs w:val="16"/>
          <w:lang w:val="es-CR"/>
        </w:rPr>
        <w:tab/>
      </w:r>
      <w:r w:rsidRPr="00F915E3">
        <w:rPr>
          <w:rFonts w:ascii="Verdana" w:eastAsia="Calibri" w:hAnsi="Verdana"/>
          <w:i/>
          <w:sz w:val="16"/>
          <w:szCs w:val="16"/>
          <w:lang w:eastAsia="en-US"/>
        </w:rPr>
        <w:t xml:space="preserve">Cfr. Caso Garrido y Baigorria Vs. Argentina. Reparaciones y costas. </w:t>
      </w:r>
      <w:r w:rsidRPr="00F915E3">
        <w:rPr>
          <w:rFonts w:ascii="Verdana" w:eastAsia="Calibri" w:hAnsi="Verdana"/>
          <w:sz w:val="16"/>
          <w:szCs w:val="16"/>
          <w:lang w:eastAsia="en-US"/>
        </w:rPr>
        <w:t xml:space="preserve">Sentencia de 27 de agosto de 1998. Serie C No. 39, párr. 40, y </w:t>
      </w:r>
      <w:r w:rsidRPr="00F915E3">
        <w:rPr>
          <w:rFonts w:ascii="Verdana" w:eastAsia="Calibri" w:hAnsi="Verdana"/>
          <w:i/>
          <w:sz w:val="16"/>
          <w:szCs w:val="16"/>
          <w:lang w:eastAsia="en-US"/>
        </w:rPr>
        <w:t xml:space="preserve">Caso </w:t>
      </w:r>
      <w:proofErr w:type="spellStart"/>
      <w:r w:rsidRPr="00F915E3">
        <w:rPr>
          <w:rFonts w:ascii="Verdana" w:eastAsia="Calibri" w:hAnsi="Verdana"/>
          <w:i/>
          <w:sz w:val="16"/>
          <w:szCs w:val="16"/>
          <w:lang w:eastAsia="en-US"/>
        </w:rPr>
        <w:t>Nadege</w:t>
      </w:r>
      <w:proofErr w:type="spellEnd"/>
      <w:r w:rsidRPr="00F915E3">
        <w:rPr>
          <w:rFonts w:ascii="Verdana" w:eastAsia="Calibri" w:hAnsi="Verdana"/>
          <w:i/>
          <w:sz w:val="16"/>
          <w:szCs w:val="16"/>
          <w:lang w:eastAsia="en-US"/>
        </w:rPr>
        <w:t xml:space="preserve"> </w:t>
      </w:r>
      <w:proofErr w:type="spellStart"/>
      <w:r w:rsidRPr="00F915E3">
        <w:rPr>
          <w:rFonts w:ascii="Verdana" w:eastAsia="Calibri" w:hAnsi="Verdana"/>
          <w:i/>
          <w:sz w:val="16"/>
          <w:szCs w:val="16"/>
          <w:lang w:eastAsia="en-US"/>
        </w:rPr>
        <w:t>Dorzema</w:t>
      </w:r>
      <w:proofErr w:type="spellEnd"/>
      <w:r w:rsidRPr="00F915E3">
        <w:rPr>
          <w:rFonts w:ascii="Verdana" w:eastAsia="Calibri" w:hAnsi="Verdana"/>
          <w:i/>
          <w:sz w:val="16"/>
          <w:szCs w:val="16"/>
          <w:lang w:eastAsia="en-US"/>
        </w:rPr>
        <w:t xml:space="preserve"> y otros Vs. República Dominicana. Supervisión de Cumplimiento de Sentencia. </w:t>
      </w:r>
      <w:r w:rsidRPr="00F915E3">
        <w:rPr>
          <w:rFonts w:ascii="Verdana" w:eastAsia="Calibri" w:hAnsi="Verdana"/>
          <w:sz w:val="16"/>
          <w:szCs w:val="16"/>
          <w:lang w:eastAsia="en-US"/>
        </w:rPr>
        <w:t>Resolución de la Corte Interamericana de Derechos Humanos de 22 de noviembre de 2019, Considerando 5</w:t>
      </w:r>
      <w:r w:rsidRPr="00F915E3">
        <w:rPr>
          <w:rFonts w:ascii="Verdana" w:hAnsi="Verdana"/>
          <w:sz w:val="16"/>
          <w:szCs w:val="16"/>
          <w:lang w:val="es-AR"/>
        </w:rPr>
        <w:t>.</w:t>
      </w:r>
    </w:p>
  </w:footnote>
  <w:footnote w:id="16">
    <w:p w14:paraId="4F0C3F32" w14:textId="77777777" w:rsidR="0096741D" w:rsidRPr="00F915E3" w:rsidRDefault="0096741D" w:rsidP="00B11F2A">
      <w:pPr>
        <w:pStyle w:val="Textonotapie"/>
        <w:tabs>
          <w:tab w:val="left" w:pos="709"/>
        </w:tabs>
        <w:ind w:right="49"/>
        <w:jc w:val="both"/>
        <w:rPr>
          <w:rFonts w:ascii="Verdana" w:hAnsi="Verdana"/>
          <w:sz w:val="16"/>
          <w:szCs w:val="16"/>
        </w:rPr>
      </w:pPr>
      <w:r w:rsidRPr="00F915E3">
        <w:rPr>
          <w:rStyle w:val="Refdenotaalpie"/>
          <w:rFonts w:ascii="Verdana" w:hAnsi="Verdana"/>
          <w:sz w:val="16"/>
          <w:szCs w:val="16"/>
        </w:rPr>
        <w:footnoteRef/>
      </w:r>
      <w:r w:rsidRPr="00F915E3">
        <w:rPr>
          <w:rFonts w:ascii="Verdana" w:hAnsi="Verdana"/>
          <w:sz w:val="16"/>
          <w:szCs w:val="16"/>
          <w:lang w:val="es-CR"/>
        </w:rPr>
        <w:t xml:space="preserve"> </w:t>
      </w:r>
      <w:r w:rsidRPr="00F915E3">
        <w:rPr>
          <w:rFonts w:ascii="Verdana" w:hAnsi="Verdana"/>
          <w:sz w:val="16"/>
          <w:szCs w:val="16"/>
          <w:lang w:val="es-CR"/>
        </w:rPr>
        <w:tab/>
      </w:r>
      <w:r w:rsidRPr="00F915E3">
        <w:rPr>
          <w:rFonts w:ascii="Verdana" w:hAnsi="Verdana"/>
          <w:i/>
          <w:sz w:val="16"/>
          <w:szCs w:val="16"/>
        </w:rPr>
        <w:t>Cfr. Caso Castillo Páez Vs. Perú. Reparaciones y Costas</w:t>
      </w:r>
      <w:r w:rsidRPr="00F915E3">
        <w:rPr>
          <w:rFonts w:ascii="Verdana" w:hAnsi="Verdana"/>
          <w:sz w:val="16"/>
          <w:szCs w:val="16"/>
        </w:rPr>
        <w:t xml:space="preserve">. Sentencia de 27 de noviembre de 1998. Serie C No. 43, párr. 50 y </w:t>
      </w:r>
      <w:r w:rsidRPr="00F915E3">
        <w:rPr>
          <w:rFonts w:ascii="Verdana" w:hAnsi="Verdana"/>
          <w:i/>
          <w:sz w:val="16"/>
          <w:szCs w:val="16"/>
        </w:rPr>
        <w:t xml:space="preserve">Caso </w:t>
      </w:r>
      <w:proofErr w:type="spellStart"/>
      <w:r w:rsidRPr="00F915E3">
        <w:rPr>
          <w:rFonts w:ascii="Verdana" w:hAnsi="Verdana"/>
          <w:i/>
          <w:sz w:val="16"/>
          <w:szCs w:val="16"/>
        </w:rPr>
        <w:t>Nadege</w:t>
      </w:r>
      <w:proofErr w:type="spellEnd"/>
      <w:r w:rsidRPr="00F915E3">
        <w:rPr>
          <w:rFonts w:ascii="Verdana" w:hAnsi="Verdana"/>
          <w:i/>
          <w:sz w:val="16"/>
          <w:szCs w:val="16"/>
        </w:rPr>
        <w:t xml:space="preserve"> </w:t>
      </w:r>
      <w:proofErr w:type="spellStart"/>
      <w:r w:rsidRPr="00F915E3">
        <w:rPr>
          <w:rFonts w:ascii="Verdana" w:hAnsi="Verdana"/>
          <w:i/>
          <w:sz w:val="16"/>
          <w:szCs w:val="16"/>
        </w:rPr>
        <w:t>Dorzema</w:t>
      </w:r>
      <w:proofErr w:type="spellEnd"/>
      <w:r w:rsidRPr="00F915E3">
        <w:rPr>
          <w:rFonts w:ascii="Verdana" w:hAnsi="Verdana"/>
          <w:i/>
          <w:sz w:val="16"/>
          <w:szCs w:val="16"/>
        </w:rPr>
        <w:t xml:space="preserve"> y otros Vs. República Dominicana, supra </w:t>
      </w:r>
      <w:r w:rsidRPr="00F915E3">
        <w:rPr>
          <w:rFonts w:ascii="Verdana" w:hAnsi="Verdana"/>
          <w:sz w:val="16"/>
          <w:szCs w:val="16"/>
        </w:rPr>
        <w:t>nota 1</w:t>
      </w:r>
      <w:r w:rsidR="007851DD">
        <w:rPr>
          <w:rFonts w:ascii="Verdana" w:hAnsi="Verdana"/>
          <w:sz w:val="16"/>
          <w:szCs w:val="16"/>
        </w:rPr>
        <w:t>5</w:t>
      </w:r>
      <w:r w:rsidRPr="00F915E3">
        <w:rPr>
          <w:rFonts w:ascii="Verdana" w:hAnsi="Verdana"/>
          <w:sz w:val="16"/>
          <w:szCs w:val="16"/>
        </w:rPr>
        <w:t>,</w:t>
      </w:r>
      <w:r w:rsidRPr="00F915E3">
        <w:rPr>
          <w:rFonts w:ascii="Verdana" w:hAnsi="Verdana"/>
          <w:i/>
          <w:sz w:val="16"/>
          <w:szCs w:val="16"/>
        </w:rPr>
        <w:t xml:space="preserve"> </w:t>
      </w:r>
      <w:r w:rsidRPr="00F915E3">
        <w:rPr>
          <w:rFonts w:ascii="Verdana" w:hAnsi="Verdana"/>
          <w:sz w:val="16"/>
          <w:szCs w:val="16"/>
        </w:rPr>
        <w:t>Considerando 5</w:t>
      </w:r>
      <w:r w:rsidRPr="00F915E3">
        <w:rPr>
          <w:rFonts w:ascii="Verdana" w:hAnsi="Verdana"/>
          <w:sz w:val="16"/>
          <w:szCs w:val="16"/>
          <w:lang w:val="es-AR"/>
        </w:rPr>
        <w:t>.</w:t>
      </w:r>
    </w:p>
  </w:footnote>
  <w:footnote w:id="17">
    <w:p w14:paraId="23E13E27" w14:textId="77777777" w:rsidR="0096741D" w:rsidRPr="00F915E3" w:rsidRDefault="0096741D" w:rsidP="00B11F2A">
      <w:pPr>
        <w:pStyle w:val="Textonotapie"/>
        <w:tabs>
          <w:tab w:val="left" w:pos="709"/>
        </w:tabs>
        <w:ind w:right="49"/>
        <w:jc w:val="both"/>
        <w:rPr>
          <w:rFonts w:ascii="Verdana" w:hAnsi="Verdana"/>
          <w:sz w:val="16"/>
          <w:szCs w:val="16"/>
          <w:lang w:val="es-CR"/>
        </w:rPr>
      </w:pPr>
      <w:r w:rsidRPr="00F915E3">
        <w:rPr>
          <w:rStyle w:val="Refdenotaalpie"/>
          <w:rFonts w:ascii="Verdana" w:hAnsi="Verdana"/>
          <w:sz w:val="16"/>
          <w:szCs w:val="16"/>
        </w:rPr>
        <w:footnoteRef/>
      </w:r>
      <w:r w:rsidRPr="00F915E3">
        <w:rPr>
          <w:rFonts w:ascii="Verdana" w:hAnsi="Verdana"/>
          <w:sz w:val="16"/>
          <w:szCs w:val="16"/>
          <w:lang w:val="es-CR"/>
        </w:rPr>
        <w:t xml:space="preserve"> </w:t>
      </w:r>
      <w:r w:rsidRPr="00F915E3">
        <w:rPr>
          <w:rFonts w:ascii="Verdana" w:hAnsi="Verdana"/>
          <w:sz w:val="16"/>
          <w:szCs w:val="16"/>
          <w:lang w:val="es-CR"/>
        </w:rPr>
        <w:tab/>
      </w:r>
      <w:r w:rsidRPr="00F915E3">
        <w:rPr>
          <w:rFonts w:ascii="Verdana" w:hAnsi="Verdana"/>
          <w:i/>
          <w:sz w:val="16"/>
          <w:szCs w:val="16"/>
        </w:rPr>
        <w:t xml:space="preserve">Cfr. Caso Barrios Altos Vs. Perú. </w:t>
      </w:r>
      <w:r w:rsidRPr="00F915E3">
        <w:rPr>
          <w:rFonts w:ascii="Verdana" w:hAnsi="Verdana"/>
          <w:i/>
          <w:color w:val="000000"/>
          <w:sz w:val="16"/>
          <w:szCs w:val="16"/>
        </w:rPr>
        <w:t>Supervisión de Cumplimiento de Sentencia</w:t>
      </w:r>
      <w:r w:rsidRPr="00F915E3">
        <w:rPr>
          <w:rFonts w:ascii="Verdana" w:hAnsi="Verdana"/>
          <w:color w:val="000000"/>
          <w:sz w:val="16"/>
          <w:szCs w:val="16"/>
        </w:rPr>
        <w:t>.</w:t>
      </w:r>
      <w:r w:rsidRPr="00F915E3">
        <w:rPr>
          <w:rFonts w:ascii="Verdana" w:hAnsi="Verdana"/>
          <w:i/>
          <w:sz w:val="16"/>
          <w:szCs w:val="16"/>
        </w:rPr>
        <w:t xml:space="preserve"> </w:t>
      </w:r>
      <w:r w:rsidRPr="00F915E3">
        <w:rPr>
          <w:rFonts w:ascii="Verdana" w:hAnsi="Verdana"/>
          <w:sz w:val="16"/>
          <w:szCs w:val="16"/>
        </w:rPr>
        <w:t>Resolución de la Corte Interamericana de Derechos Humanos de 22 de septiembre de 2005,</w:t>
      </w:r>
      <w:r w:rsidRPr="00F915E3">
        <w:rPr>
          <w:rFonts w:ascii="Verdana" w:hAnsi="Verdana"/>
          <w:i/>
          <w:sz w:val="16"/>
          <w:szCs w:val="16"/>
        </w:rPr>
        <w:t xml:space="preserve"> </w:t>
      </w:r>
      <w:r w:rsidRPr="00F915E3">
        <w:rPr>
          <w:rFonts w:ascii="Verdana" w:hAnsi="Verdana"/>
          <w:sz w:val="16"/>
          <w:szCs w:val="16"/>
        </w:rPr>
        <w:t>Considerando 7 y</w:t>
      </w:r>
      <w:r w:rsidRPr="00F915E3">
        <w:rPr>
          <w:rFonts w:ascii="Verdana" w:hAnsi="Verdana"/>
          <w:i/>
          <w:sz w:val="16"/>
          <w:szCs w:val="16"/>
        </w:rPr>
        <w:t xml:space="preserve"> </w:t>
      </w:r>
      <w:r w:rsidR="007851DD" w:rsidRPr="00F915E3">
        <w:rPr>
          <w:rFonts w:ascii="Verdana" w:hAnsi="Verdana"/>
          <w:i/>
          <w:sz w:val="16"/>
          <w:szCs w:val="16"/>
        </w:rPr>
        <w:t xml:space="preserve">Caso </w:t>
      </w:r>
      <w:proofErr w:type="spellStart"/>
      <w:r w:rsidR="007851DD" w:rsidRPr="00F915E3">
        <w:rPr>
          <w:rFonts w:ascii="Verdana" w:hAnsi="Verdana"/>
          <w:i/>
          <w:sz w:val="16"/>
          <w:szCs w:val="16"/>
        </w:rPr>
        <w:t>Nadege</w:t>
      </w:r>
      <w:proofErr w:type="spellEnd"/>
      <w:r w:rsidR="007851DD" w:rsidRPr="00F915E3">
        <w:rPr>
          <w:rFonts w:ascii="Verdana" w:hAnsi="Verdana"/>
          <w:i/>
          <w:sz w:val="16"/>
          <w:szCs w:val="16"/>
        </w:rPr>
        <w:t xml:space="preserve"> </w:t>
      </w:r>
      <w:proofErr w:type="spellStart"/>
      <w:r w:rsidR="007851DD" w:rsidRPr="00F915E3">
        <w:rPr>
          <w:rFonts w:ascii="Verdana" w:hAnsi="Verdana"/>
          <w:i/>
          <w:sz w:val="16"/>
          <w:szCs w:val="16"/>
        </w:rPr>
        <w:t>Dorzema</w:t>
      </w:r>
      <w:proofErr w:type="spellEnd"/>
      <w:r w:rsidR="007851DD" w:rsidRPr="00F915E3">
        <w:rPr>
          <w:rFonts w:ascii="Verdana" w:hAnsi="Verdana"/>
          <w:i/>
          <w:sz w:val="16"/>
          <w:szCs w:val="16"/>
        </w:rPr>
        <w:t xml:space="preserve"> y otros Vs. República Dominicana, supra </w:t>
      </w:r>
      <w:r w:rsidR="007851DD" w:rsidRPr="00F915E3">
        <w:rPr>
          <w:rFonts w:ascii="Verdana" w:hAnsi="Verdana"/>
          <w:sz w:val="16"/>
          <w:szCs w:val="16"/>
        </w:rPr>
        <w:t>nota 1</w:t>
      </w:r>
      <w:r w:rsidR="007851DD">
        <w:rPr>
          <w:rFonts w:ascii="Verdana" w:hAnsi="Verdana"/>
          <w:sz w:val="16"/>
          <w:szCs w:val="16"/>
        </w:rPr>
        <w:t>5</w:t>
      </w:r>
      <w:r w:rsidR="007851DD" w:rsidRPr="00F915E3">
        <w:rPr>
          <w:rFonts w:ascii="Verdana" w:hAnsi="Verdana"/>
          <w:sz w:val="16"/>
          <w:szCs w:val="16"/>
        </w:rPr>
        <w:t>,</w:t>
      </w:r>
      <w:r w:rsidR="007851DD" w:rsidRPr="00F915E3">
        <w:rPr>
          <w:rFonts w:ascii="Verdana" w:hAnsi="Verdana"/>
          <w:i/>
          <w:sz w:val="16"/>
          <w:szCs w:val="16"/>
        </w:rPr>
        <w:t xml:space="preserve"> </w:t>
      </w:r>
      <w:r w:rsidR="007851DD" w:rsidRPr="00F915E3">
        <w:rPr>
          <w:rFonts w:ascii="Verdana" w:hAnsi="Verdana"/>
          <w:sz w:val="16"/>
          <w:szCs w:val="16"/>
        </w:rPr>
        <w:t>Considerando 5</w:t>
      </w:r>
      <w:r w:rsidR="007851DD" w:rsidRPr="00F915E3">
        <w:rPr>
          <w:rFonts w:ascii="Verdana" w:hAnsi="Verdana"/>
          <w:sz w:val="16"/>
          <w:szCs w:val="16"/>
          <w:lang w:val="es-AR"/>
        </w:rPr>
        <w:t>.</w:t>
      </w:r>
      <w:r w:rsidRPr="00F915E3">
        <w:rPr>
          <w:rFonts w:ascii="Verdana" w:hAnsi="Verdana"/>
          <w:sz w:val="16"/>
          <w:szCs w:val="16"/>
          <w:lang w:val="es-CR"/>
        </w:rPr>
        <w:t xml:space="preserve"> </w:t>
      </w:r>
    </w:p>
  </w:footnote>
  <w:footnote w:id="18">
    <w:p w14:paraId="131A219B" w14:textId="77777777" w:rsidR="0096741D" w:rsidRPr="00F915E3" w:rsidRDefault="0096741D" w:rsidP="00B11F2A">
      <w:pPr>
        <w:pStyle w:val="Textoindependiente"/>
        <w:spacing w:after="0" w:line="240" w:lineRule="auto"/>
        <w:ind w:right="49"/>
        <w:jc w:val="both"/>
        <w:rPr>
          <w:rFonts w:ascii="Verdana" w:hAnsi="Verdana"/>
          <w:bCs/>
          <w:sz w:val="16"/>
          <w:szCs w:val="16"/>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rPr>
        <w:tab/>
      </w:r>
      <w:r w:rsidRPr="00F915E3">
        <w:rPr>
          <w:rFonts w:ascii="Verdana" w:hAnsi="Verdana"/>
          <w:i/>
          <w:sz w:val="16"/>
          <w:szCs w:val="16"/>
        </w:rPr>
        <w:t>Cfr. Caso Baena Ricardo y otros Vs. Panamá. Competencia</w:t>
      </w:r>
      <w:r w:rsidRPr="00F915E3">
        <w:rPr>
          <w:rFonts w:ascii="Verdana" w:hAnsi="Verdana"/>
          <w:sz w:val="16"/>
          <w:szCs w:val="16"/>
        </w:rPr>
        <w:t xml:space="preserve">. Sentencia de 28 de noviembre de 2003. Serie C No. 104, párr. </w:t>
      </w:r>
      <w:r w:rsidR="00AA1562">
        <w:rPr>
          <w:rFonts w:ascii="Verdana" w:hAnsi="Verdana"/>
          <w:sz w:val="16"/>
          <w:szCs w:val="16"/>
        </w:rPr>
        <w:t>83</w:t>
      </w:r>
      <w:r w:rsidRPr="00F915E3">
        <w:rPr>
          <w:rFonts w:ascii="Verdana" w:hAnsi="Verdana"/>
          <w:sz w:val="16"/>
          <w:szCs w:val="16"/>
        </w:rPr>
        <w:t xml:space="preserve">, y </w:t>
      </w:r>
      <w:r w:rsidRPr="00F915E3">
        <w:rPr>
          <w:rFonts w:ascii="Verdana" w:hAnsi="Verdana" w:cs="Arial"/>
          <w:i/>
          <w:sz w:val="16"/>
          <w:szCs w:val="16"/>
          <w:lang w:val="es-ES"/>
        </w:rPr>
        <w:t>Caso</w:t>
      </w:r>
      <w:r w:rsidRPr="00F915E3">
        <w:rPr>
          <w:rFonts w:ascii="Verdana" w:hAnsi="Verdana" w:cs="Arial"/>
          <w:i/>
          <w:sz w:val="16"/>
          <w:szCs w:val="16"/>
        </w:rPr>
        <w:t xml:space="preserve"> </w:t>
      </w:r>
      <w:r w:rsidR="00AA1562" w:rsidRPr="007851DD">
        <w:rPr>
          <w:rFonts w:ascii="Verdana" w:hAnsi="Verdana"/>
          <w:bCs/>
          <w:i/>
          <w:color w:val="000000"/>
          <w:sz w:val="16"/>
          <w:szCs w:val="16"/>
          <w:shd w:val="clear" w:color="auto" w:fill="FFFFFF"/>
        </w:rPr>
        <w:t xml:space="preserve">Caso Granier y otros (Radio Caracas Televisión) Vs. Venezuela, supra </w:t>
      </w:r>
      <w:r w:rsidR="00AA1562" w:rsidRPr="007851DD">
        <w:rPr>
          <w:rFonts w:ascii="Verdana" w:hAnsi="Verdana"/>
          <w:bCs/>
          <w:color w:val="000000"/>
          <w:sz w:val="16"/>
          <w:szCs w:val="16"/>
          <w:shd w:val="clear" w:color="auto" w:fill="FFFFFF"/>
        </w:rPr>
        <w:t>nota 12</w:t>
      </w:r>
      <w:r w:rsidR="00AA1562" w:rsidRPr="007851DD">
        <w:rPr>
          <w:rFonts w:ascii="Verdana" w:hAnsi="Verdana"/>
          <w:bCs/>
          <w:i/>
          <w:color w:val="000000"/>
          <w:sz w:val="16"/>
          <w:szCs w:val="16"/>
          <w:shd w:val="clear" w:color="auto" w:fill="FFFFFF"/>
        </w:rPr>
        <w:t xml:space="preserve">, </w:t>
      </w:r>
      <w:r w:rsidR="00AA1562" w:rsidRPr="007851DD">
        <w:rPr>
          <w:rFonts w:ascii="Verdana" w:hAnsi="Verdana"/>
          <w:bCs/>
          <w:color w:val="000000"/>
          <w:sz w:val="16"/>
          <w:szCs w:val="16"/>
          <w:shd w:val="clear" w:color="auto" w:fill="FFFFFF"/>
        </w:rPr>
        <w:t>Considerando 6</w:t>
      </w:r>
      <w:r w:rsidR="00AA1562" w:rsidRPr="007851DD">
        <w:rPr>
          <w:rFonts w:ascii="Verdana" w:hAnsi="Verdana"/>
          <w:sz w:val="16"/>
          <w:szCs w:val="16"/>
          <w:lang w:val="es-AR"/>
        </w:rPr>
        <w:t>.</w:t>
      </w:r>
    </w:p>
  </w:footnote>
  <w:footnote w:id="19">
    <w:p w14:paraId="6C87FD10" w14:textId="77777777" w:rsidR="0096741D" w:rsidRPr="00F915E3" w:rsidRDefault="0096741D" w:rsidP="00B11F2A">
      <w:pPr>
        <w:pStyle w:val="Textoindependiente"/>
        <w:spacing w:after="0" w:line="240" w:lineRule="auto"/>
        <w:ind w:right="49"/>
        <w:jc w:val="both"/>
        <w:rPr>
          <w:rFonts w:ascii="Verdana" w:hAnsi="Verdana"/>
          <w:sz w:val="16"/>
          <w:szCs w:val="16"/>
          <w:lang w:val="es-ES_tradnl"/>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rPr>
        <w:tab/>
      </w:r>
      <w:r w:rsidRPr="00F915E3">
        <w:rPr>
          <w:rFonts w:ascii="Verdana" w:hAnsi="Verdana"/>
          <w:i/>
          <w:sz w:val="16"/>
          <w:szCs w:val="16"/>
        </w:rPr>
        <w:t xml:space="preserve">Cfr. Caso </w:t>
      </w:r>
      <w:proofErr w:type="spellStart"/>
      <w:r w:rsidRPr="00F915E3">
        <w:rPr>
          <w:rFonts w:ascii="Verdana" w:hAnsi="Verdana"/>
          <w:i/>
          <w:sz w:val="16"/>
          <w:szCs w:val="16"/>
        </w:rPr>
        <w:t>Caesar</w:t>
      </w:r>
      <w:proofErr w:type="spellEnd"/>
      <w:r w:rsidRPr="00F915E3">
        <w:rPr>
          <w:rFonts w:ascii="Verdana" w:hAnsi="Verdana"/>
          <w:i/>
          <w:sz w:val="16"/>
          <w:szCs w:val="16"/>
        </w:rPr>
        <w:t xml:space="preserve"> Vs. Trinidad y Tobago. Fondo, Reparaciones y Costas.</w:t>
      </w:r>
      <w:r w:rsidRPr="00F915E3">
        <w:rPr>
          <w:rFonts w:ascii="Verdana" w:hAnsi="Verdana"/>
          <w:sz w:val="16"/>
          <w:szCs w:val="16"/>
        </w:rPr>
        <w:t xml:space="preserve"> Sentencia de 11 de marzo de 2005. Serie C No. 123, párr. 38, y</w:t>
      </w:r>
      <w:r w:rsidRPr="00F915E3">
        <w:rPr>
          <w:rFonts w:ascii="Verdana" w:hAnsi="Verdana"/>
          <w:i/>
          <w:sz w:val="16"/>
          <w:szCs w:val="16"/>
        </w:rPr>
        <w:t xml:space="preserve"> </w:t>
      </w:r>
      <w:r w:rsidR="00574FCA" w:rsidRPr="007851DD">
        <w:rPr>
          <w:rFonts w:ascii="Verdana" w:hAnsi="Verdana"/>
          <w:bCs/>
          <w:i/>
          <w:color w:val="000000"/>
          <w:sz w:val="16"/>
          <w:szCs w:val="16"/>
          <w:shd w:val="clear" w:color="auto" w:fill="FFFFFF"/>
        </w:rPr>
        <w:t xml:space="preserve">Caso Granier y otros (Radio Caracas Televisión) Vs. Venezuela, supra </w:t>
      </w:r>
      <w:r w:rsidR="00574FCA" w:rsidRPr="007851DD">
        <w:rPr>
          <w:rFonts w:ascii="Verdana" w:hAnsi="Verdana"/>
          <w:bCs/>
          <w:color w:val="000000"/>
          <w:sz w:val="16"/>
          <w:szCs w:val="16"/>
          <w:shd w:val="clear" w:color="auto" w:fill="FFFFFF"/>
        </w:rPr>
        <w:t>nota 12</w:t>
      </w:r>
      <w:r w:rsidR="00574FCA" w:rsidRPr="007851DD">
        <w:rPr>
          <w:rFonts w:ascii="Verdana" w:hAnsi="Verdana"/>
          <w:bCs/>
          <w:i/>
          <w:color w:val="000000"/>
          <w:sz w:val="16"/>
          <w:szCs w:val="16"/>
          <w:shd w:val="clear" w:color="auto" w:fill="FFFFFF"/>
        </w:rPr>
        <w:t xml:space="preserve">, </w:t>
      </w:r>
      <w:r w:rsidR="00574FCA">
        <w:rPr>
          <w:rFonts w:ascii="Verdana" w:hAnsi="Verdana"/>
          <w:bCs/>
          <w:color w:val="000000"/>
          <w:sz w:val="16"/>
          <w:szCs w:val="16"/>
          <w:shd w:val="clear" w:color="auto" w:fill="FFFFFF"/>
        </w:rPr>
        <w:t>Considerando 8</w:t>
      </w:r>
      <w:r w:rsidR="00574FCA" w:rsidRPr="007851DD">
        <w:rPr>
          <w:rFonts w:ascii="Verdana" w:hAnsi="Verdana"/>
          <w:sz w:val="16"/>
          <w:szCs w:val="16"/>
          <w:lang w:val="es-AR"/>
        </w:rPr>
        <w:t>.</w:t>
      </w:r>
    </w:p>
  </w:footnote>
  <w:footnote w:id="20">
    <w:p w14:paraId="38045323" w14:textId="77777777" w:rsidR="0096741D" w:rsidRPr="00F915E3" w:rsidRDefault="0096741D" w:rsidP="00B11F2A">
      <w:pPr>
        <w:tabs>
          <w:tab w:val="left" w:pos="567"/>
          <w:tab w:val="left" w:pos="720"/>
          <w:tab w:val="left" w:pos="1440"/>
          <w:tab w:val="left" w:pos="2160"/>
        </w:tabs>
        <w:spacing w:after="0" w:line="240" w:lineRule="auto"/>
        <w:ind w:right="49"/>
        <w:jc w:val="both"/>
        <w:rPr>
          <w:rFonts w:ascii="Verdana" w:hAnsi="Verdana"/>
          <w:sz w:val="16"/>
          <w:szCs w:val="16"/>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rPr>
        <w:tab/>
      </w:r>
      <w:r w:rsidRPr="00F915E3">
        <w:rPr>
          <w:rFonts w:ascii="Verdana" w:hAnsi="Verdana"/>
          <w:sz w:val="16"/>
          <w:szCs w:val="16"/>
        </w:rPr>
        <w:tab/>
      </w:r>
      <w:r w:rsidRPr="00F915E3">
        <w:rPr>
          <w:rFonts w:ascii="Verdana" w:hAnsi="Verdana"/>
          <w:i/>
          <w:sz w:val="16"/>
          <w:szCs w:val="16"/>
        </w:rPr>
        <w:t xml:space="preserve">Cfr. Caso </w:t>
      </w:r>
      <w:proofErr w:type="spellStart"/>
      <w:r w:rsidRPr="00F915E3">
        <w:rPr>
          <w:rFonts w:ascii="Verdana" w:hAnsi="Verdana"/>
          <w:i/>
          <w:sz w:val="16"/>
          <w:szCs w:val="16"/>
        </w:rPr>
        <w:t>Caesar</w:t>
      </w:r>
      <w:proofErr w:type="spellEnd"/>
      <w:r w:rsidRPr="00F915E3">
        <w:rPr>
          <w:rFonts w:ascii="Verdana" w:hAnsi="Verdana"/>
          <w:i/>
          <w:sz w:val="16"/>
          <w:szCs w:val="16"/>
        </w:rPr>
        <w:t xml:space="preserve"> Vs. Trinidad y Tobago. Supervisión de Cumplimiento de Sentencia</w:t>
      </w:r>
      <w:r w:rsidRPr="00436D3B">
        <w:rPr>
          <w:rFonts w:ascii="Verdana" w:hAnsi="Verdana"/>
          <w:sz w:val="16"/>
          <w:szCs w:val="16"/>
        </w:rPr>
        <w:t>. Resolución de la Corte Interamericana de Derechos Humanos de 21 de noviembre de 2007, Considerando 11</w:t>
      </w:r>
      <w:r w:rsidRPr="00F915E3">
        <w:rPr>
          <w:rFonts w:ascii="Verdana" w:hAnsi="Verdana"/>
          <w:i/>
          <w:sz w:val="16"/>
          <w:szCs w:val="16"/>
        </w:rPr>
        <w:t xml:space="preserve"> y </w:t>
      </w:r>
      <w:r w:rsidRPr="00F915E3">
        <w:rPr>
          <w:rFonts w:ascii="Verdana" w:hAnsi="Verdana"/>
          <w:bCs/>
          <w:i/>
          <w:sz w:val="16"/>
          <w:szCs w:val="16"/>
        </w:rPr>
        <w:t xml:space="preserve">Caso Granier y otros (Radio Caracas Televisión) Vs. Venezuela, supra </w:t>
      </w:r>
      <w:r w:rsidR="006C05B1">
        <w:rPr>
          <w:rFonts w:ascii="Verdana" w:hAnsi="Verdana"/>
          <w:bCs/>
          <w:sz w:val="16"/>
          <w:szCs w:val="16"/>
        </w:rPr>
        <w:t>nota 12</w:t>
      </w:r>
      <w:r w:rsidRPr="00F915E3">
        <w:rPr>
          <w:rFonts w:ascii="Verdana" w:hAnsi="Verdana"/>
          <w:bCs/>
          <w:sz w:val="16"/>
          <w:szCs w:val="16"/>
        </w:rPr>
        <w:t>, Considerando 9</w:t>
      </w:r>
      <w:r w:rsidRPr="00F915E3">
        <w:rPr>
          <w:rFonts w:ascii="Verdana" w:hAnsi="Verdana"/>
          <w:sz w:val="16"/>
          <w:szCs w:val="16"/>
          <w:lang w:val="es-AR"/>
        </w:rPr>
        <w:t>.</w:t>
      </w:r>
      <w:r w:rsidRPr="00F915E3">
        <w:rPr>
          <w:rFonts w:ascii="Verdana" w:hAnsi="Verdana"/>
          <w:sz w:val="16"/>
          <w:szCs w:val="16"/>
        </w:rPr>
        <w:t xml:space="preserve"> </w:t>
      </w:r>
    </w:p>
  </w:footnote>
  <w:footnote w:id="21">
    <w:p w14:paraId="18F6372A" w14:textId="77777777" w:rsidR="009A7118" w:rsidRPr="00F915E3" w:rsidRDefault="009A7118" w:rsidP="00B11F2A">
      <w:pPr>
        <w:pStyle w:val="Textonotapie"/>
        <w:ind w:right="49"/>
        <w:jc w:val="both"/>
        <w:rPr>
          <w:rFonts w:ascii="Verdana" w:hAnsi="Verdana"/>
          <w:sz w:val="16"/>
          <w:szCs w:val="16"/>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rPr>
        <w:tab/>
        <w:t xml:space="preserve">La Corte reitera la importancia de que los Estados cumplan con realizar los reintegros correspondientes a dicho Fondo, ya que los recursos disponibles actualmente en el mismo dependen de los aportes de capital voluntarios de fuentes cooperantes y del aporte de un Estado miembro de la OEA, así como de los reintegros que realicen los Estados responsables. Su adecuado funcionamiento y la disponibilidad de sus recursos tienen como propósito garantizar el acceso a la justicia interamericana de aquellas presuntas víctimas que carezcan de recursos económicos para ello. En consecuencia, la falta de cumplimiento oportuno de los Estados del reintegro al Fondo afecta de forma directa su sostenibilidad y, sobre todo, el acceso a la justicia de las presuntas víctimas y, de ser el caso, víctimas ante este Tribunal. </w:t>
      </w:r>
      <w:r w:rsidRPr="00F915E3">
        <w:rPr>
          <w:rFonts w:ascii="Verdana" w:hAnsi="Verdana"/>
          <w:i/>
          <w:sz w:val="16"/>
          <w:szCs w:val="16"/>
        </w:rPr>
        <w:t>Cfr.</w:t>
      </w:r>
      <w:r w:rsidRPr="00F915E3">
        <w:rPr>
          <w:rFonts w:ascii="Verdana" w:hAnsi="Verdana"/>
          <w:sz w:val="16"/>
          <w:szCs w:val="16"/>
        </w:rPr>
        <w:t xml:space="preserve"> </w:t>
      </w:r>
      <w:r w:rsidRPr="00F915E3">
        <w:rPr>
          <w:rStyle w:val="Textoennegrita"/>
          <w:rFonts w:ascii="Verdana" w:hAnsi="Verdana"/>
          <w:b w:val="0"/>
          <w:i/>
          <w:color w:val="000000"/>
          <w:sz w:val="16"/>
          <w:szCs w:val="16"/>
          <w:shd w:val="clear" w:color="auto" w:fill="FFFFFF"/>
        </w:rPr>
        <w:t xml:space="preserve">Caso Familia Barrios Vs. Venezuela. Supervisión de Cumplimiento de Sentencia. </w:t>
      </w:r>
      <w:r w:rsidRPr="00F915E3">
        <w:rPr>
          <w:rStyle w:val="Textoennegrita"/>
          <w:rFonts w:ascii="Verdana" w:hAnsi="Verdana"/>
          <w:b w:val="0"/>
          <w:color w:val="000000"/>
          <w:sz w:val="16"/>
          <w:szCs w:val="16"/>
          <w:shd w:val="clear" w:color="auto" w:fill="FFFFFF"/>
        </w:rPr>
        <w:t>Resolución de la Corte Interamericana de Derechos Humanos de 23 de febrero de 2016, Considerando 6</w:t>
      </w:r>
      <w:r w:rsidR="0014164B">
        <w:rPr>
          <w:rStyle w:val="Textoennegrita"/>
          <w:rFonts w:ascii="Verdana" w:hAnsi="Verdana"/>
          <w:b w:val="0"/>
          <w:color w:val="000000"/>
          <w:sz w:val="16"/>
          <w:szCs w:val="16"/>
          <w:shd w:val="clear" w:color="auto" w:fill="FFFFFF"/>
        </w:rPr>
        <w:t>,</w:t>
      </w:r>
      <w:r w:rsidRPr="00F915E3">
        <w:rPr>
          <w:rStyle w:val="Textoennegrita"/>
          <w:rFonts w:ascii="Verdana" w:hAnsi="Verdana"/>
          <w:b w:val="0"/>
          <w:color w:val="000000"/>
          <w:sz w:val="16"/>
          <w:szCs w:val="16"/>
          <w:shd w:val="clear" w:color="auto" w:fill="FFFFFF"/>
        </w:rPr>
        <w:t xml:space="preserve"> y </w:t>
      </w:r>
      <w:r w:rsidRPr="00F915E3">
        <w:rPr>
          <w:rFonts w:ascii="Verdana" w:hAnsi="Verdana"/>
          <w:i/>
          <w:sz w:val="16"/>
          <w:szCs w:val="16"/>
        </w:rPr>
        <w:t xml:space="preserve">Caso Acosta y otros Vs. Nicaragua. Supervisión de Cumplimiento de Sentencia. </w:t>
      </w:r>
      <w:r w:rsidRPr="00F915E3">
        <w:rPr>
          <w:rFonts w:ascii="Verdana" w:hAnsi="Verdana"/>
          <w:sz w:val="16"/>
          <w:szCs w:val="16"/>
        </w:rPr>
        <w:t xml:space="preserve">Resolución de la Corte Interamericana de Derechos Humanos de </w:t>
      </w:r>
      <w:r w:rsidR="0065113B">
        <w:rPr>
          <w:rFonts w:ascii="Verdana" w:hAnsi="Verdana"/>
          <w:sz w:val="16"/>
          <w:szCs w:val="16"/>
        </w:rPr>
        <w:t>16</w:t>
      </w:r>
      <w:r w:rsidR="0065113B" w:rsidRPr="00F915E3">
        <w:rPr>
          <w:rFonts w:ascii="Verdana" w:hAnsi="Verdana"/>
          <w:sz w:val="16"/>
          <w:szCs w:val="16"/>
        </w:rPr>
        <w:t xml:space="preserve"> </w:t>
      </w:r>
      <w:r w:rsidRPr="00F915E3">
        <w:rPr>
          <w:rFonts w:ascii="Verdana" w:hAnsi="Verdana"/>
          <w:sz w:val="16"/>
          <w:szCs w:val="16"/>
        </w:rPr>
        <w:t xml:space="preserve">de </w:t>
      </w:r>
      <w:r w:rsidR="0065113B">
        <w:rPr>
          <w:rFonts w:ascii="Verdana" w:hAnsi="Verdana"/>
          <w:sz w:val="16"/>
          <w:szCs w:val="16"/>
        </w:rPr>
        <w:t>marzo</w:t>
      </w:r>
      <w:r w:rsidR="0065113B" w:rsidRPr="00F915E3">
        <w:rPr>
          <w:rFonts w:ascii="Verdana" w:hAnsi="Verdana"/>
          <w:sz w:val="16"/>
          <w:szCs w:val="16"/>
        </w:rPr>
        <w:t xml:space="preserve"> </w:t>
      </w:r>
      <w:r w:rsidRPr="00F915E3">
        <w:rPr>
          <w:rFonts w:ascii="Verdana" w:hAnsi="Verdana"/>
          <w:sz w:val="16"/>
          <w:szCs w:val="16"/>
        </w:rPr>
        <w:t xml:space="preserve">de </w:t>
      </w:r>
      <w:r w:rsidR="0065113B">
        <w:rPr>
          <w:rFonts w:ascii="Verdana" w:hAnsi="Verdana"/>
          <w:sz w:val="16"/>
          <w:szCs w:val="16"/>
        </w:rPr>
        <w:t>2021</w:t>
      </w:r>
      <w:r w:rsidRPr="00F915E3">
        <w:rPr>
          <w:rFonts w:ascii="Verdana" w:hAnsi="Verdana"/>
          <w:sz w:val="16"/>
          <w:szCs w:val="16"/>
        </w:rPr>
        <w:t xml:space="preserve">, Considerando </w:t>
      </w:r>
      <w:r w:rsidR="0065113B">
        <w:rPr>
          <w:rFonts w:ascii="Verdana" w:hAnsi="Verdana"/>
          <w:sz w:val="16"/>
          <w:szCs w:val="16"/>
        </w:rPr>
        <w:t>19</w:t>
      </w:r>
      <w:r w:rsidRPr="00F915E3">
        <w:rPr>
          <w:rStyle w:val="Textoennegrita"/>
          <w:rFonts w:ascii="Verdana" w:hAnsi="Verdana"/>
          <w:b w:val="0"/>
          <w:color w:val="000000"/>
          <w:sz w:val="16"/>
          <w:szCs w:val="16"/>
          <w:shd w:val="clear" w:color="auto" w:fill="FFFFFF"/>
        </w:rPr>
        <w:t xml:space="preserve">. </w:t>
      </w:r>
    </w:p>
  </w:footnote>
  <w:footnote w:id="22">
    <w:p w14:paraId="38AF0ABE" w14:textId="77777777" w:rsidR="00C35D3E" w:rsidRPr="00945187" w:rsidRDefault="00C35D3E" w:rsidP="00B11F2A">
      <w:pPr>
        <w:pStyle w:val="Textonotapie"/>
        <w:ind w:right="49"/>
        <w:jc w:val="both"/>
        <w:rPr>
          <w:rFonts w:ascii="Verdana" w:hAnsi="Verdana"/>
          <w:sz w:val="16"/>
          <w:szCs w:val="16"/>
        </w:rPr>
      </w:pPr>
      <w:r w:rsidRPr="00945187">
        <w:rPr>
          <w:rStyle w:val="Refdenotaalpie"/>
          <w:rFonts w:ascii="Verdana" w:hAnsi="Verdana"/>
          <w:sz w:val="16"/>
          <w:szCs w:val="16"/>
        </w:rPr>
        <w:footnoteRef/>
      </w:r>
      <w:r w:rsidRPr="00945187">
        <w:rPr>
          <w:rFonts w:ascii="Verdana" w:hAnsi="Verdana"/>
          <w:sz w:val="16"/>
          <w:szCs w:val="16"/>
        </w:rPr>
        <w:t xml:space="preserve"> </w:t>
      </w:r>
      <w:r w:rsidRPr="00945187">
        <w:rPr>
          <w:rFonts w:ascii="Verdana" w:hAnsi="Verdana"/>
          <w:sz w:val="16"/>
          <w:szCs w:val="16"/>
        </w:rPr>
        <w:tab/>
      </w:r>
      <w:r w:rsidR="00945187" w:rsidRPr="00945187">
        <w:rPr>
          <w:rFonts w:ascii="Verdana" w:hAnsi="Verdana"/>
          <w:i/>
          <w:sz w:val="16"/>
          <w:szCs w:val="16"/>
          <w:lang w:val="es-CR"/>
        </w:rPr>
        <w:t xml:space="preserve">Cfr. Caso Ortiz Hernández y otros Vs. Venezuela, supra </w:t>
      </w:r>
      <w:r w:rsidR="00945187" w:rsidRPr="00945187">
        <w:rPr>
          <w:rFonts w:ascii="Verdana" w:hAnsi="Verdana"/>
          <w:sz w:val="16"/>
          <w:szCs w:val="16"/>
          <w:lang w:val="es-CR"/>
        </w:rPr>
        <w:t xml:space="preserve">nota 1, </w:t>
      </w:r>
      <w:proofErr w:type="spellStart"/>
      <w:r w:rsidR="00E60BB8" w:rsidRPr="00945187">
        <w:rPr>
          <w:rFonts w:ascii="Verdana" w:hAnsi="Verdana"/>
          <w:sz w:val="16"/>
          <w:szCs w:val="16"/>
        </w:rPr>
        <w:t>párr</w:t>
      </w:r>
      <w:r w:rsidR="00945187" w:rsidRPr="00945187">
        <w:rPr>
          <w:rFonts w:ascii="Verdana" w:hAnsi="Verdana"/>
          <w:sz w:val="16"/>
          <w:szCs w:val="16"/>
        </w:rPr>
        <w:t>s</w:t>
      </w:r>
      <w:proofErr w:type="spellEnd"/>
      <w:r w:rsidR="00E60BB8" w:rsidRPr="00945187">
        <w:rPr>
          <w:rFonts w:ascii="Verdana" w:hAnsi="Verdana"/>
          <w:sz w:val="16"/>
          <w:szCs w:val="16"/>
        </w:rPr>
        <w:t>.</w:t>
      </w:r>
      <w:r w:rsidR="00945187" w:rsidRPr="00945187">
        <w:rPr>
          <w:rFonts w:ascii="Verdana" w:hAnsi="Verdana"/>
          <w:sz w:val="16"/>
          <w:szCs w:val="16"/>
        </w:rPr>
        <w:t xml:space="preserve"> 14 y</w:t>
      </w:r>
      <w:r w:rsidR="00E60BB8" w:rsidRPr="00945187">
        <w:rPr>
          <w:rFonts w:ascii="Verdana" w:hAnsi="Verdana"/>
          <w:sz w:val="16"/>
          <w:szCs w:val="16"/>
        </w:rPr>
        <w:t xml:space="preserve"> 36</w:t>
      </w:r>
      <w:r w:rsidRPr="00945187">
        <w:rPr>
          <w:rFonts w:ascii="Verdana" w:hAnsi="Verdana"/>
          <w:sz w:val="16"/>
          <w:szCs w:val="16"/>
        </w:rPr>
        <w:t>.</w:t>
      </w:r>
    </w:p>
  </w:footnote>
  <w:footnote w:id="23">
    <w:p w14:paraId="2E3BF59D" w14:textId="77777777" w:rsidR="0014164B" w:rsidRPr="0014164B" w:rsidRDefault="0014164B" w:rsidP="00B11F2A">
      <w:pPr>
        <w:pStyle w:val="Textonotapie"/>
        <w:ind w:right="49"/>
        <w:jc w:val="both"/>
      </w:pPr>
      <w:r w:rsidRPr="00315082">
        <w:rPr>
          <w:rStyle w:val="Refdenotaalpie"/>
          <w:rFonts w:ascii="Verdana" w:hAnsi="Verdana"/>
          <w:sz w:val="16"/>
        </w:rPr>
        <w:footnoteRef/>
      </w:r>
      <w:r w:rsidRPr="00315082">
        <w:rPr>
          <w:rFonts w:ascii="Verdana" w:hAnsi="Verdana"/>
          <w:sz w:val="16"/>
          <w:vertAlign w:val="superscript"/>
        </w:rPr>
        <w:t xml:space="preserve"> </w:t>
      </w:r>
      <w:r>
        <w:tab/>
      </w:r>
      <w:r w:rsidRPr="00945187">
        <w:rPr>
          <w:rFonts w:ascii="Verdana" w:hAnsi="Verdana"/>
          <w:i/>
          <w:sz w:val="16"/>
          <w:szCs w:val="16"/>
          <w:lang w:val="es-CR"/>
        </w:rPr>
        <w:t xml:space="preserve">Cfr. Caso Ortiz Hernández y otros Vs. Venezuela, supra </w:t>
      </w:r>
      <w:r w:rsidRPr="00945187">
        <w:rPr>
          <w:rFonts w:ascii="Verdana" w:hAnsi="Verdana"/>
          <w:sz w:val="16"/>
          <w:szCs w:val="16"/>
          <w:lang w:val="es-CR"/>
        </w:rPr>
        <w:t xml:space="preserve">nota 1, </w:t>
      </w:r>
      <w:r>
        <w:rPr>
          <w:rFonts w:ascii="Verdana" w:hAnsi="Verdana"/>
          <w:sz w:val="16"/>
          <w:szCs w:val="16"/>
        </w:rPr>
        <w:t>párr. 170.</w:t>
      </w:r>
    </w:p>
  </w:footnote>
  <w:footnote w:id="24">
    <w:p w14:paraId="4D4A52AA" w14:textId="77777777" w:rsidR="00007A89" w:rsidRPr="00AA45AC" w:rsidRDefault="00007A89" w:rsidP="00B11F2A">
      <w:pPr>
        <w:pStyle w:val="Textonotapie"/>
        <w:ind w:right="49"/>
        <w:jc w:val="both"/>
        <w:rPr>
          <w:rFonts w:ascii="Verdana" w:hAnsi="Verdana"/>
          <w:sz w:val="16"/>
          <w:szCs w:val="16"/>
        </w:rPr>
      </w:pPr>
      <w:r w:rsidRPr="00AA45AC">
        <w:rPr>
          <w:rStyle w:val="Refdenotaalpie"/>
          <w:rFonts w:ascii="Verdana" w:hAnsi="Verdana"/>
          <w:sz w:val="16"/>
          <w:szCs w:val="16"/>
        </w:rPr>
        <w:footnoteRef/>
      </w:r>
      <w:r w:rsidRPr="00AA45AC">
        <w:rPr>
          <w:rFonts w:ascii="Verdana" w:hAnsi="Verdana"/>
          <w:sz w:val="16"/>
          <w:szCs w:val="16"/>
        </w:rPr>
        <w:t xml:space="preserve"> </w:t>
      </w:r>
      <w:r w:rsidRPr="00AA45AC">
        <w:rPr>
          <w:rFonts w:ascii="Verdana" w:hAnsi="Verdana"/>
          <w:sz w:val="16"/>
          <w:szCs w:val="16"/>
        </w:rPr>
        <w:tab/>
      </w:r>
      <w:r w:rsidRPr="000401DF">
        <w:rPr>
          <w:rFonts w:ascii="Verdana" w:hAnsi="Verdana"/>
          <w:i/>
          <w:sz w:val="16"/>
          <w:szCs w:val="16"/>
        </w:rPr>
        <w:t>Cfr.</w:t>
      </w:r>
      <w:r w:rsidRPr="000401DF">
        <w:rPr>
          <w:rFonts w:ascii="Verdana" w:hAnsi="Verdana"/>
          <w:sz w:val="16"/>
          <w:szCs w:val="16"/>
        </w:rPr>
        <w:t xml:space="preserve"> Escritos de observaciones de l</w:t>
      </w:r>
      <w:r w:rsidR="007C2231">
        <w:rPr>
          <w:rFonts w:ascii="Verdana" w:hAnsi="Verdana"/>
          <w:sz w:val="16"/>
          <w:szCs w:val="16"/>
        </w:rPr>
        <w:t>a</w:t>
      </w:r>
      <w:r w:rsidRPr="000401DF">
        <w:rPr>
          <w:rFonts w:ascii="Verdana" w:hAnsi="Verdana"/>
          <w:sz w:val="16"/>
          <w:szCs w:val="16"/>
        </w:rPr>
        <w:t>s representantes de 21 de febrero de 2019 y 27 de octubre de 2021.</w:t>
      </w:r>
    </w:p>
  </w:footnote>
  <w:footnote w:id="25">
    <w:p w14:paraId="37521A4D" w14:textId="77777777" w:rsidR="0096741D" w:rsidRPr="00F915E3" w:rsidRDefault="0096741D" w:rsidP="00B11F2A">
      <w:pPr>
        <w:pStyle w:val="Textonotapie"/>
        <w:ind w:right="49"/>
        <w:jc w:val="both"/>
        <w:rPr>
          <w:rFonts w:ascii="Verdana" w:hAnsi="Verdana"/>
          <w:sz w:val="16"/>
          <w:szCs w:val="16"/>
          <w:lang w:val="es-ES"/>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lang w:val="es-ES"/>
        </w:rPr>
        <w:tab/>
      </w:r>
      <w:r w:rsidRPr="00F915E3">
        <w:rPr>
          <w:rFonts w:ascii="Verdana" w:hAnsi="Verdana"/>
          <w:i/>
          <w:sz w:val="16"/>
          <w:szCs w:val="16"/>
          <w:lang w:val="es-ES"/>
        </w:rPr>
        <w:t>Cfr</w:t>
      </w:r>
      <w:r w:rsidRPr="00F915E3">
        <w:rPr>
          <w:rFonts w:ascii="Verdana" w:hAnsi="Verdana"/>
          <w:sz w:val="16"/>
          <w:szCs w:val="16"/>
          <w:lang w:val="es-ES"/>
        </w:rPr>
        <w:t xml:space="preserve">. Escrito de observaciones de las representantes de 21 de febrero de 2019. </w:t>
      </w:r>
    </w:p>
  </w:footnote>
  <w:footnote w:id="26">
    <w:p w14:paraId="63C7CDF1" w14:textId="77777777" w:rsidR="0096741D" w:rsidRPr="00F915E3" w:rsidRDefault="0096741D" w:rsidP="00B11F2A">
      <w:pPr>
        <w:pStyle w:val="Textonotapie"/>
        <w:ind w:right="49"/>
        <w:jc w:val="both"/>
        <w:rPr>
          <w:rFonts w:ascii="Verdana" w:hAnsi="Verdana"/>
          <w:sz w:val="16"/>
          <w:szCs w:val="16"/>
          <w:lang w:val="es-ES"/>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rPr>
        <w:tab/>
      </w:r>
      <w:r w:rsidRPr="00F915E3">
        <w:rPr>
          <w:rFonts w:ascii="Verdana" w:hAnsi="Verdana"/>
          <w:i/>
          <w:sz w:val="16"/>
          <w:szCs w:val="16"/>
          <w:lang w:val="es-ES"/>
        </w:rPr>
        <w:t>Cfr</w:t>
      </w:r>
      <w:r w:rsidRPr="00F915E3">
        <w:rPr>
          <w:rFonts w:ascii="Verdana" w:hAnsi="Verdana"/>
          <w:sz w:val="16"/>
          <w:szCs w:val="16"/>
          <w:lang w:val="es-ES"/>
        </w:rPr>
        <w:t>. Escrito de observaciones de las representantes de 21 de febrero de 2019.</w:t>
      </w:r>
    </w:p>
  </w:footnote>
  <w:footnote w:id="27">
    <w:p w14:paraId="03348BD1" w14:textId="77777777" w:rsidR="0096741D" w:rsidRPr="00F915E3" w:rsidRDefault="0096741D" w:rsidP="00B11F2A">
      <w:pPr>
        <w:pStyle w:val="Textonotapie"/>
        <w:ind w:right="49"/>
        <w:jc w:val="both"/>
        <w:rPr>
          <w:rFonts w:ascii="Verdana" w:hAnsi="Verdana"/>
          <w:sz w:val="16"/>
          <w:szCs w:val="16"/>
          <w:lang w:val="es-ES"/>
        </w:rPr>
      </w:pPr>
      <w:r w:rsidRPr="00F915E3">
        <w:rPr>
          <w:rStyle w:val="Refdenotaalpie"/>
          <w:rFonts w:ascii="Verdana" w:hAnsi="Verdana"/>
          <w:sz w:val="16"/>
          <w:szCs w:val="16"/>
        </w:rPr>
        <w:footnoteRef/>
      </w:r>
      <w:r w:rsidRPr="00F915E3">
        <w:rPr>
          <w:rFonts w:ascii="Verdana" w:hAnsi="Verdana"/>
          <w:sz w:val="16"/>
          <w:szCs w:val="16"/>
        </w:rPr>
        <w:t xml:space="preserve"> </w:t>
      </w:r>
      <w:r w:rsidRPr="00F915E3">
        <w:rPr>
          <w:rFonts w:ascii="Verdana" w:hAnsi="Verdana"/>
          <w:sz w:val="16"/>
          <w:szCs w:val="16"/>
          <w:lang w:val="es-ES"/>
        </w:rPr>
        <w:tab/>
      </w:r>
      <w:r w:rsidRPr="00F915E3">
        <w:rPr>
          <w:rFonts w:ascii="Verdana" w:hAnsi="Verdana"/>
          <w:i/>
          <w:sz w:val="16"/>
          <w:szCs w:val="16"/>
          <w:lang w:val="es-ES"/>
        </w:rPr>
        <w:t>Cfr</w:t>
      </w:r>
      <w:r w:rsidRPr="00F915E3">
        <w:rPr>
          <w:rFonts w:ascii="Verdana" w:hAnsi="Verdana"/>
          <w:sz w:val="16"/>
          <w:szCs w:val="16"/>
          <w:lang w:val="es-ES"/>
        </w:rPr>
        <w:t>. Escrito de observaciones de las representantes de 21 de febrero de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290D4" w14:textId="77777777" w:rsidR="00905D21" w:rsidRDefault="00BE0AD4">
    <w:pPr>
      <w:pStyle w:val="Encabezado"/>
    </w:pPr>
    <w:r>
      <w:rPr>
        <w:noProof/>
      </w:rPr>
      <w:pict w14:anchorId="757DA0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7111001" o:spid="_x0000_s1026" type="#_x0000_t136" style="position:absolute;margin-left:0;margin-top:0;width:553.7pt;height:207.65pt;rotation:315;z-index:-251658752;mso-position-horizontal:center;mso-position-horizontal-relative:margin;mso-position-vertical:center;mso-position-vertical-relative:margin" o:allowincell="f" fillcolor="silver" stroked="f">
          <v:fill opacity=".5"/>
          <v:textpath style="font-family:&quot;Calibri&quot;;font-size:1pt" string="BORRADO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8419" w14:textId="77777777" w:rsidR="0096741D" w:rsidRPr="005358C0" w:rsidRDefault="0096741D" w:rsidP="00B11F2A">
    <w:pPr>
      <w:pStyle w:val="Encabezado"/>
      <w:ind w:right="49"/>
      <w:jc w:val="right"/>
      <w:rPr>
        <w:rFonts w:ascii="Verdana" w:hAnsi="Verdana"/>
        <w:b/>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EE1D" w14:textId="77777777" w:rsidR="004C5EAB" w:rsidRPr="00F66DEB" w:rsidRDefault="004C5EAB" w:rsidP="00F66DEB">
    <w:pPr>
      <w:pStyle w:val="Encabezado"/>
      <w:ind w:right="144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6D9"/>
    <w:multiLevelType w:val="hybridMultilevel"/>
    <w:tmpl w:val="E06C2D2A"/>
    <w:lvl w:ilvl="0" w:tplc="163ECF7C">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5A2AE6"/>
    <w:multiLevelType w:val="multilevel"/>
    <w:tmpl w:val="17E4FE7E"/>
    <w:lvl w:ilvl="0">
      <w:start w:val="1"/>
      <w:numFmt w:val="decimal"/>
      <w:lvlText w:val="%1."/>
      <w:lvlJc w:val="left"/>
      <w:pPr>
        <w:ind w:left="720" w:hanging="360"/>
      </w:pPr>
      <w:rPr>
        <w:rFonts w:hint="default"/>
        <w:b w:val="0"/>
      </w:rPr>
    </w:lvl>
    <w:lvl w:ilvl="1">
      <w:start w:val="1"/>
      <w:numFmt w:val="lowerLetter"/>
      <w:lvlText w:val="%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2040" w:hanging="144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940" w:hanging="2160"/>
      </w:pPr>
      <w:rPr>
        <w:rFonts w:hint="default"/>
      </w:rPr>
    </w:lvl>
    <w:lvl w:ilvl="8">
      <w:start w:val="1"/>
      <w:numFmt w:val="decimal"/>
      <w:isLgl/>
      <w:lvlText w:val="%1.%2.%3.%4.%5.%6.%7.%8.%9."/>
      <w:lvlJc w:val="left"/>
      <w:pPr>
        <w:ind w:left="3000" w:hanging="2160"/>
      </w:pPr>
      <w:rPr>
        <w:rFonts w:hint="default"/>
      </w:rPr>
    </w:lvl>
  </w:abstractNum>
  <w:abstractNum w:abstractNumId="2" w15:restartNumberingAfterBreak="0">
    <w:nsid w:val="079225B6"/>
    <w:multiLevelType w:val="hybridMultilevel"/>
    <w:tmpl w:val="9620B0DE"/>
    <w:lvl w:ilvl="0" w:tplc="5DAE6F50">
      <w:start w:val="1"/>
      <w:numFmt w:val="decimal"/>
      <w:lvlText w:val="%1."/>
      <w:lvlJc w:val="left"/>
      <w:pPr>
        <w:ind w:left="72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8D056DA"/>
    <w:multiLevelType w:val="hybridMultilevel"/>
    <w:tmpl w:val="8B34C6B4"/>
    <w:lvl w:ilvl="0" w:tplc="140A0015">
      <w:start w:val="1"/>
      <w:numFmt w:val="upp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11C868A7"/>
    <w:multiLevelType w:val="hybridMultilevel"/>
    <w:tmpl w:val="CE321372"/>
    <w:lvl w:ilvl="0" w:tplc="FFEA5628">
      <w:start w:val="1"/>
      <w:numFmt w:val="decimal"/>
      <w:lvlText w:val="%1."/>
      <w:lvlJc w:val="left"/>
      <w:pPr>
        <w:ind w:left="3621" w:hanging="360"/>
      </w:pPr>
      <w:rPr>
        <w:rFonts w:ascii="Verdana" w:hAnsi="Verdana"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40252D2"/>
    <w:multiLevelType w:val="hybridMultilevel"/>
    <w:tmpl w:val="F63ACB0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6933EC1"/>
    <w:multiLevelType w:val="hybridMultilevel"/>
    <w:tmpl w:val="8424FDEA"/>
    <w:lvl w:ilvl="0" w:tplc="463E0552">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64C4D"/>
    <w:multiLevelType w:val="hybridMultilevel"/>
    <w:tmpl w:val="4282E71E"/>
    <w:lvl w:ilvl="0" w:tplc="414ECA8E">
      <w:start w:val="3"/>
      <w:numFmt w:val="upperLetter"/>
      <w:lvlText w:val="%1."/>
      <w:lvlJc w:val="left"/>
      <w:pPr>
        <w:ind w:left="720" w:hanging="360"/>
      </w:pPr>
      <w:rPr>
        <w:rFonts w:eastAsia="Times New Roman"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11F5241"/>
    <w:multiLevelType w:val="hybridMultilevel"/>
    <w:tmpl w:val="1DC20B9E"/>
    <w:lvl w:ilvl="0" w:tplc="4CBAD036">
      <w:start w:val="4"/>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31E7EB4"/>
    <w:multiLevelType w:val="hybridMultilevel"/>
    <w:tmpl w:val="23561C6C"/>
    <w:lvl w:ilvl="0" w:tplc="87F2D4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0392D"/>
    <w:multiLevelType w:val="hybridMultilevel"/>
    <w:tmpl w:val="47C4B1BE"/>
    <w:lvl w:ilvl="0" w:tplc="44166D3C">
      <w:start w:val="1"/>
      <w:numFmt w:val="decimal"/>
      <w:lvlText w:val="%1."/>
      <w:lvlJc w:val="left"/>
      <w:pPr>
        <w:ind w:left="540" w:hanging="360"/>
      </w:pPr>
      <w:rPr>
        <w:rFonts w:ascii="Verdana" w:hAnsi="Verdana" w:hint="default"/>
        <w:b w:val="0"/>
        <w:i w:val="0"/>
        <w:color w:val="auto"/>
        <w:sz w:val="20"/>
        <w:szCs w:val="20"/>
        <w:lang w:val="es-ES"/>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tentative="1">
      <w:start w:val="1"/>
      <w:numFmt w:val="decimal"/>
      <w:lvlText w:val="%4."/>
      <w:lvlJc w:val="left"/>
      <w:pPr>
        <w:ind w:left="-6476" w:hanging="360"/>
      </w:pPr>
    </w:lvl>
    <w:lvl w:ilvl="4" w:tplc="140A0019" w:tentative="1">
      <w:start w:val="1"/>
      <w:numFmt w:val="lowerLetter"/>
      <w:lvlText w:val="%5."/>
      <w:lvlJc w:val="left"/>
      <w:pPr>
        <w:ind w:left="-5756" w:hanging="360"/>
      </w:pPr>
    </w:lvl>
    <w:lvl w:ilvl="5" w:tplc="140A001B" w:tentative="1">
      <w:start w:val="1"/>
      <w:numFmt w:val="lowerRoman"/>
      <w:lvlText w:val="%6."/>
      <w:lvlJc w:val="right"/>
      <w:pPr>
        <w:ind w:left="-5036" w:hanging="180"/>
      </w:pPr>
    </w:lvl>
    <w:lvl w:ilvl="6" w:tplc="140A000F" w:tentative="1">
      <w:start w:val="1"/>
      <w:numFmt w:val="decimal"/>
      <w:lvlText w:val="%7."/>
      <w:lvlJc w:val="left"/>
      <w:pPr>
        <w:ind w:left="-4316" w:hanging="360"/>
      </w:pPr>
    </w:lvl>
    <w:lvl w:ilvl="7" w:tplc="140A0019" w:tentative="1">
      <w:start w:val="1"/>
      <w:numFmt w:val="lowerLetter"/>
      <w:lvlText w:val="%8."/>
      <w:lvlJc w:val="left"/>
      <w:pPr>
        <w:ind w:left="-3596" w:hanging="360"/>
      </w:pPr>
    </w:lvl>
    <w:lvl w:ilvl="8" w:tplc="140A001B" w:tentative="1">
      <w:start w:val="1"/>
      <w:numFmt w:val="lowerRoman"/>
      <w:lvlText w:val="%9."/>
      <w:lvlJc w:val="right"/>
      <w:pPr>
        <w:ind w:left="-2876" w:hanging="180"/>
      </w:pPr>
    </w:lvl>
  </w:abstractNum>
  <w:abstractNum w:abstractNumId="11" w15:restartNumberingAfterBreak="0">
    <w:nsid w:val="256B24E0"/>
    <w:multiLevelType w:val="hybridMultilevel"/>
    <w:tmpl w:val="C1964B86"/>
    <w:lvl w:ilvl="0" w:tplc="D20EFACA">
      <w:start w:val="5"/>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66619"/>
    <w:multiLevelType w:val="hybridMultilevel"/>
    <w:tmpl w:val="892839AE"/>
    <w:lvl w:ilvl="0" w:tplc="33941E8E">
      <w:start w:val="2"/>
      <w:numFmt w:val="upperLetter"/>
      <w:lvlText w:val="%1."/>
      <w:lvlJc w:val="left"/>
      <w:pPr>
        <w:ind w:left="720" w:hanging="360"/>
      </w:pPr>
      <w:rPr>
        <w:rFonts w:eastAsia="Times New Roman"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71B67C5"/>
    <w:multiLevelType w:val="hybridMultilevel"/>
    <w:tmpl w:val="991EAD8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A524C"/>
    <w:multiLevelType w:val="hybridMultilevel"/>
    <w:tmpl w:val="5F56C960"/>
    <w:lvl w:ilvl="0" w:tplc="DB028CCA">
      <w:start w:val="1"/>
      <w:numFmt w:val="decimal"/>
      <w:lvlText w:val="%1."/>
      <w:lvlJc w:val="left"/>
      <w:pPr>
        <w:ind w:left="360" w:hanging="360"/>
      </w:pPr>
      <w:rPr>
        <w:color w:val="auto"/>
        <w:sz w:val="20"/>
        <w:szCs w:val="2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5" w15:restartNumberingAfterBreak="0">
    <w:nsid w:val="2E0B13B7"/>
    <w:multiLevelType w:val="hybridMultilevel"/>
    <w:tmpl w:val="3EDCCA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E1B26"/>
    <w:multiLevelType w:val="hybridMultilevel"/>
    <w:tmpl w:val="4E462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F25FF"/>
    <w:multiLevelType w:val="hybridMultilevel"/>
    <w:tmpl w:val="EC204A16"/>
    <w:lvl w:ilvl="0" w:tplc="D6F2BA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8B6D8D"/>
    <w:multiLevelType w:val="hybridMultilevel"/>
    <w:tmpl w:val="5B843B2A"/>
    <w:lvl w:ilvl="0" w:tplc="9926C9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176A19"/>
    <w:multiLevelType w:val="hybridMultilevel"/>
    <w:tmpl w:val="18503D08"/>
    <w:lvl w:ilvl="0" w:tplc="C6485BB2">
      <w:start w:val="1"/>
      <w:numFmt w:val="decimal"/>
      <w:lvlText w:val="%1."/>
      <w:lvlJc w:val="left"/>
      <w:pPr>
        <w:tabs>
          <w:tab w:val="num" w:pos="360"/>
        </w:tabs>
        <w:ind w:left="360" w:hanging="360"/>
      </w:pPr>
      <w:rPr>
        <w:b w:val="0"/>
        <w:sz w:val="20"/>
        <w:lang w:val="es-ES_tradnl"/>
      </w:rPr>
    </w:lvl>
    <w:lvl w:ilvl="1" w:tplc="00190409">
      <w:start w:val="1"/>
      <w:numFmt w:val="lowerLetter"/>
      <w:lvlText w:val="%2."/>
      <w:lvlJc w:val="left"/>
      <w:pPr>
        <w:tabs>
          <w:tab w:val="num" w:pos="-720"/>
        </w:tabs>
        <w:ind w:left="-720" w:hanging="360"/>
      </w:pPr>
    </w:lvl>
    <w:lvl w:ilvl="2" w:tplc="001B0409">
      <w:start w:val="1"/>
      <w:numFmt w:val="lowerRoman"/>
      <w:lvlText w:val="%3."/>
      <w:lvlJc w:val="right"/>
      <w:pPr>
        <w:tabs>
          <w:tab w:val="num" w:pos="0"/>
        </w:tabs>
        <w:ind w:left="0" w:hanging="180"/>
      </w:pPr>
    </w:lvl>
    <w:lvl w:ilvl="3" w:tplc="000F0409">
      <w:start w:val="1"/>
      <w:numFmt w:val="decimal"/>
      <w:lvlText w:val="%4."/>
      <w:lvlJc w:val="left"/>
      <w:pPr>
        <w:tabs>
          <w:tab w:val="num" w:pos="720"/>
        </w:tabs>
        <w:ind w:left="720" w:hanging="360"/>
      </w:pPr>
    </w:lvl>
    <w:lvl w:ilvl="4" w:tplc="00190409">
      <w:start w:val="1"/>
      <w:numFmt w:val="lowerLetter"/>
      <w:lvlText w:val="%5."/>
      <w:lvlJc w:val="left"/>
      <w:pPr>
        <w:tabs>
          <w:tab w:val="num" w:pos="1440"/>
        </w:tabs>
        <w:ind w:left="1440" w:hanging="360"/>
      </w:pPr>
    </w:lvl>
    <w:lvl w:ilvl="5" w:tplc="001B0409">
      <w:start w:val="1"/>
      <w:numFmt w:val="lowerRoman"/>
      <w:lvlText w:val="%6."/>
      <w:lvlJc w:val="right"/>
      <w:pPr>
        <w:tabs>
          <w:tab w:val="num" w:pos="2160"/>
        </w:tabs>
        <w:ind w:left="2160" w:hanging="180"/>
      </w:pPr>
    </w:lvl>
    <w:lvl w:ilvl="6" w:tplc="000F0409">
      <w:start w:val="1"/>
      <w:numFmt w:val="decimal"/>
      <w:lvlText w:val="%7."/>
      <w:lvlJc w:val="left"/>
      <w:pPr>
        <w:tabs>
          <w:tab w:val="num" w:pos="2880"/>
        </w:tabs>
        <w:ind w:left="2880" w:hanging="360"/>
      </w:pPr>
    </w:lvl>
    <w:lvl w:ilvl="7" w:tplc="00190409">
      <w:start w:val="1"/>
      <w:numFmt w:val="lowerLetter"/>
      <w:lvlText w:val="%8."/>
      <w:lvlJc w:val="left"/>
      <w:pPr>
        <w:tabs>
          <w:tab w:val="num" w:pos="3600"/>
        </w:tabs>
        <w:ind w:left="3600" w:hanging="360"/>
      </w:pPr>
    </w:lvl>
    <w:lvl w:ilvl="8" w:tplc="001B0409">
      <w:start w:val="1"/>
      <w:numFmt w:val="lowerRoman"/>
      <w:lvlText w:val="%9."/>
      <w:lvlJc w:val="right"/>
      <w:pPr>
        <w:tabs>
          <w:tab w:val="num" w:pos="4320"/>
        </w:tabs>
        <w:ind w:left="4320" w:hanging="180"/>
      </w:pPr>
    </w:lvl>
  </w:abstractNum>
  <w:abstractNum w:abstractNumId="20" w15:restartNumberingAfterBreak="0">
    <w:nsid w:val="3B311878"/>
    <w:multiLevelType w:val="hybridMultilevel"/>
    <w:tmpl w:val="12A80894"/>
    <w:lvl w:ilvl="0" w:tplc="15FE39DC">
      <w:start w:val="1"/>
      <w:numFmt w:val="upperRoman"/>
      <w:lvlText w:val="%1)"/>
      <w:lvlJc w:val="left"/>
      <w:pPr>
        <w:ind w:left="1080" w:hanging="72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C93FC8"/>
    <w:multiLevelType w:val="hybridMultilevel"/>
    <w:tmpl w:val="10B0A5D4"/>
    <w:lvl w:ilvl="0" w:tplc="9900014C">
      <w:start w:val="1"/>
      <w:numFmt w:val="decimal"/>
      <w:lvlText w:val="%1."/>
      <w:lvlJc w:val="left"/>
      <w:pPr>
        <w:ind w:left="1065" w:hanging="705"/>
      </w:pPr>
      <w:rPr>
        <w:rFonts w:hint="default"/>
        <w:b w:val="0"/>
        <w:i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323FBC"/>
    <w:multiLevelType w:val="hybridMultilevel"/>
    <w:tmpl w:val="0F688AE4"/>
    <w:lvl w:ilvl="0" w:tplc="22B0319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5A17CAE"/>
    <w:multiLevelType w:val="hybridMultilevel"/>
    <w:tmpl w:val="D7AA289E"/>
    <w:lvl w:ilvl="0" w:tplc="B67EA96E">
      <w:start w:val="1"/>
      <w:numFmt w:val="upperRoman"/>
      <w:pStyle w:val="Ttulo1"/>
      <w:lvlText w:val="%1."/>
      <w:lvlJc w:val="righ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70E275F"/>
    <w:multiLevelType w:val="hybridMultilevel"/>
    <w:tmpl w:val="54D8422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AB24847"/>
    <w:multiLevelType w:val="hybridMultilevel"/>
    <w:tmpl w:val="223E292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F263D28"/>
    <w:multiLevelType w:val="hybridMultilevel"/>
    <w:tmpl w:val="53D21BB8"/>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8980657"/>
    <w:multiLevelType w:val="hybridMultilevel"/>
    <w:tmpl w:val="B07AEDA2"/>
    <w:lvl w:ilvl="0" w:tplc="07D6DFD2">
      <w:start w:val="1"/>
      <w:numFmt w:val="upperLetter"/>
      <w:lvlText w:val="%1."/>
      <w:lvlJc w:val="left"/>
      <w:pPr>
        <w:ind w:left="720" w:hanging="360"/>
      </w:pPr>
      <w:rPr>
        <w:rFonts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E6A4F2C"/>
    <w:multiLevelType w:val="hybridMultilevel"/>
    <w:tmpl w:val="10B0A5D4"/>
    <w:lvl w:ilvl="0" w:tplc="9900014C">
      <w:start w:val="1"/>
      <w:numFmt w:val="decimal"/>
      <w:lvlText w:val="%1."/>
      <w:lvlJc w:val="left"/>
      <w:pPr>
        <w:ind w:left="1065" w:hanging="705"/>
      </w:pPr>
      <w:rPr>
        <w:rFonts w:hint="default"/>
        <w:b w:val="0"/>
        <w:i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DC284E"/>
    <w:multiLevelType w:val="hybridMultilevel"/>
    <w:tmpl w:val="D978934E"/>
    <w:lvl w:ilvl="0" w:tplc="7EB6AED2">
      <w:start w:val="1"/>
      <w:numFmt w:val="decimal"/>
      <w:lvlText w:val="%1."/>
      <w:lvlJc w:val="left"/>
      <w:pPr>
        <w:ind w:left="1065" w:hanging="705"/>
      </w:pPr>
      <w:rPr>
        <w:rFonts w:ascii="Verdana" w:eastAsia="MS Mincho" w:hAnsi="Verdana" w:cs="Arial"/>
        <w:b w:val="0"/>
        <w:i w:val="0"/>
        <w:strike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B023B6"/>
    <w:multiLevelType w:val="hybridMultilevel"/>
    <w:tmpl w:val="7652C500"/>
    <w:lvl w:ilvl="0" w:tplc="4D68EACA">
      <w:start w:val="6"/>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49856D1"/>
    <w:multiLevelType w:val="hybridMultilevel"/>
    <w:tmpl w:val="46385E82"/>
    <w:lvl w:ilvl="0" w:tplc="2DE4FE4C">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0E5633"/>
    <w:multiLevelType w:val="hybridMultilevel"/>
    <w:tmpl w:val="5B64775E"/>
    <w:lvl w:ilvl="0" w:tplc="A958223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631D71"/>
    <w:multiLevelType w:val="hybridMultilevel"/>
    <w:tmpl w:val="C06C9684"/>
    <w:lvl w:ilvl="0" w:tplc="E3C47DCA">
      <w:start w:val="1"/>
      <w:numFmt w:val="upp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5A642E0"/>
    <w:multiLevelType w:val="hybridMultilevel"/>
    <w:tmpl w:val="CEC4C490"/>
    <w:lvl w:ilvl="0" w:tplc="BCD6E60A">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5" w15:restartNumberingAfterBreak="0">
    <w:nsid w:val="7CC67F60"/>
    <w:multiLevelType w:val="hybridMultilevel"/>
    <w:tmpl w:val="F0D81B7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0"/>
  </w:num>
  <w:num w:numId="3">
    <w:abstractNumId w:val="23"/>
  </w:num>
  <w:num w:numId="4">
    <w:abstractNumId w:val="28"/>
  </w:num>
  <w:num w:numId="5">
    <w:abstractNumId w:val="17"/>
  </w:num>
  <w:num w:numId="6">
    <w:abstractNumId w:val="9"/>
  </w:num>
  <w:num w:numId="7">
    <w:abstractNumId w:val="1"/>
  </w:num>
  <w:num w:numId="8">
    <w:abstractNumId w:val="0"/>
  </w:num>
  <w:num w:numId="9">
    <w:abstractNumId w:val="24"/>
  </w:num>
  <w:num w:numId="10">
    <w:abstractNumId w:val="3"/>
  </w:num>
  <w:num w:numId="11">
    <w:abstractNumId w:val="27"/>
  </w:num>
  <w:num w:numId="12">
    <w:abstractNumId w:val="13"/>
  </w:num>
  <w:num w:numId="13">
    <w:abstractNumId w:val="35"/>
  </w:num>
  <w:num w:numId="14">
    <w:abstractNumId w:val="22"/>
  </w:num>
  <w:num w:numId="15">
    <w:abstractNumId w:val="20"/>
  </w:num>
  <w:num w:numId="16">
    <w:abstractNumId w:val="18"/>
  </w:num>
  <w:num w:numId="17">
    <w:abstractNumId w:val="6"/>
  </w:num>
  <w:num w:numId="18">
    <w:abstractNumId w:val="31"/>
  </w:num>
  <w:num w:numId="19">
    <w:abstractNumId w:val="11"/>
  </w:num>
  <w:num w:numId="20">
    <w:abstractNumId w:val="16"/>
  </w:num>
  <w:num w:numId="21">
    <w:abstractNumId w:val="32"/>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4"/>
  </w:num>
  <w:num w:numId="27">
    <w:abstractNumId w:val="2"/>
  </w:num>
  <w:num w:numId="28">
    <w:abstractNumId w:val="33"/>
  </w:num>
  <w:num w:numId="29">
    <w:abstractNumId w:val="30"/>
  </w:num>
  <w:num w:numId="30">
    <w:abstractNumId w:val="12"/>
  </w:num>
  <w:num w:numId="31">
    <w:abstractNumId w:val="21"/>
  </w:num>
  <w:num w:numId="32">
    <w:abstractNumId w:val="15"/>
  </w:num>
  <w:num w:numId="33">
    <w:abstractNumId w:val="26"/>
  </w:num>
  <w:num w:numId="34">
    <w:abstractNumId w:val="7"/>
  </w:num>
  <w:num w:numId="35">
    <w:abstractNumId w:val="8"/>
  </w:num>
  <w:num w:numId="36">
    <w:abstractNumId w:val="25"/>
  </w:num>
  <w:num w:numId="3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8B"/>
    <w:rsid w:val="000014C7"/>
    <w:rsid w:val="000016C3"/>
    <w:rsid w:val="00001D18"/>
    <w:rsid w:val="00004B91"/>
    <w:rsid w:val="00005110"/>
    <w:rsid w:val="00005DE0"/>
    <w:rsid w:val="00005E72"/>
    <w:rsid w:val="00007A89"/>
    <w:rsid w:val="00007D4B"/>
    <w:rsid w:val="00010026"/>
    <w:rsid w:val="00010162"/>
    <w:rsid w:val="0001151C"/>
    <w:rsid w:val="00013A85"/>
    <w:rsid w:val="0001503F"/>
    <w:rsid w:val="000151DF"/>
    <w:rsid w:val="00015345"/>
    <w:rsid w:val="000154A3"/>
    <w:rsid w:val="00015620"/>
    <w:rsid w:val="00016EA5"/>
    <w:rsid w:val="0001729A"/>
    <w:rsid w:val="00020685"/>
    <w:rsid w:val="00020ABC"/>
    <w:rsid w:val="00021BFF"/>
    <w:rsid w:val="000221F1"/>
    <w:rsid w:val="000222BF"/>
    <w:rsid w:val="0002240C"/>
    <w:rsid w:val="00022460"/>
    <w:rsid w:val="00022856"/>
    <w:rsid w:val="00022A85"/>
    <w:rsid w:val="00022CD1"/>
    <w:rsid w:val="00022D86"/>
    <w:rsid w:val="000234F6"/>
    <w:rsid w:val="00023B81"/>
    <w:rsid w:val="00024317"/>
    <w:rsid w:val="00024326"/>
    <w:rsid w:val="000246D5"/>
    <w:rsid w:val="00024A6C"/>
    <w:rsid w:val="00025041"/>
    <w:rsid w:val="00025FCA"/>
    <w:rsid w:val="0002612D"/>
    <w:rsid w:val="000273BA"/>
    <w:rsid w:val="000273E2"/>
    <w:rsid w:val="0002795F"/>
    <w:rsid w:val="00030E31"/>
    <w:rsid w:val="00030FB8"/>
    <w:rsid w:val="00030FD6"/>
    <w:rsid w:val="0003178F"/>
    <w:rsid w:val="000323FD"/>
    <w:rsid w:val="00032438"/>
    <w:rsid w:val="000337BE"/>
    <w:rsid w:val="00034B99"/>
    <w:rsid w:val="0003600E"/>
    <w:rsid w:val="0003671D"/>
    <w:rsid w:val="000374A8"/>
    <w:rsid w:val="000401DF"/>
    <w:rsid w:val="0004020E"/>
    <w:rsid w:val="000403C2"/>
    <w:rsid w:val="00041A2A"/>
    <w:rsid w:val="000420CA"/>
    <w:rsid w:val="000420E2"/>
    <w:rsid w:val="00042B5D"/>
    <w:rsid w:val="000439E5"/>
    <w:rsid w:val="00044832"/>
    <w:rsid w:val="000448FC"/>
    <w:rsid w:val="000458DD"/>
    <w:rsid w:val="00045F44"/>
    <w:rsid w:val="00046FE7"/>
    <w:rsid w:val="000473DC"/>
    <w:rsid w:val="00047622"/>
    <w:rsid w:val="000507DE"/>
    <w:rsid w:val="000515C8"/>
    <w:rsid w:val="000519A7"/>
    <w:rsid w:val="0005211D"/>
    <w:rsid w:val="00053130"/>
    <w:rsid w:val="0005340B"/>
    <w:rsid w:val="000536D3"/>
    <w:rsid w:val="000541BB"/>
    <w:rsid w:val="000543F1"/>
    <w:rsid w:val="00054C3A"/>
    <w:rsid w:val="00054C92"/>
    <w:rsid w:val="00054D2D"/>
    <w:rsid w:val="00054EE1"/>
    <w:rsid w:val="000552EC"/>
    <w:rsid w:val="00055452"/>
    <w:rsid w:val="000572FD"/>
    <w:rsid w:val="0005757C"/>
    <w:rsid w:val="0006170D"/>
    <w:rsid w:val="00061B28"/>
    <w:rsid w:val="000622E0"/>
    <w:rsid w:val="00062500"/>
    <w:rsid w:val="00062B47"/>
    <w:rsid w:val="0006358C"/>
    <w:rsid w:val="000636BE"/>
    <w:rsid w:val="00063B99"/>
    <w:rsid w:val="000641CE"/>
    <w:rsid w:val="00065A08"/>
    <w:rsid w:val="000660A0"/>
    <w:rsid w:val="00066369"/>
    <w:rsid w:val="00066726"/>
    <w:rsid w:val="000668C8"/>
    <w:rsid w:val="00066B51"/>
    <w:rsid w:val="00066EAC"/>
    <w:rsid w:val="0006766F"/>
    <w:rsid w:val="0006793C"/>
    <w:rsid w:val="00067F70"/>
    <w:rsid w:val="00071650"/>
    <w:rsid w:val="00072298"/>
    <w:rsid w:val="000727B8"/>
    <w:rsid w:val="00072925"/>
    <w:rsid w:val="00072FFE"/>
    <w:rsid w:val="000737BE"/>
    <w:rsid w:val="00075021"/>
    <w:rsid w:val="000754AF"/>
    <w:rsid w:val="00075893"/>
    <w:rsid w:val="0007598C"/>
    <w:rsid w:val="00076263"/>
    <w:rsid w:val="000766A2"/>
    <w:rsid w:val="00076C8A"/>
    <w:rsid w:val="0007758B"/>
    <w:rsid w:val="0008020F"/>
    <w:rsid w:val="00080EEB"/>
    <w:rsid w:val="00080F50"/>
    <w:rsid w:val="000812F3"/>
    <w:rsid w:val="000814DF"/>
    <w:rsid w:val="00082D1F"/>
    <w:rsid w:val="00083525"/>
    <w:rsid w:val="00083A32"/>
    <w:rsid w:val="00083CFA"/>
    <w:rsid w:val="000849E1"/>
    <w:rsid w:val="00085E89"/>
    <w:rsid w:val="000865EB"/>
    <w:rsid w:val="000866F7"/>
    <w:rsid w:val="00086FD6"/>
    <w:rsid w:val="00087B63"/>
    <w:rsid w:val="00087D31"/>
    <w:rsid w:val="0009055E"/>
    <w:rsid w:val="00090848"/>
    <w:rsid w:val="00092655"/>
    <w:rsid w:val="00093107"/>
    <w:rsid w:val="00093ABA"/>
    <w:rsid w:val="00094685"/>
    <w:rsid w:val="00094A76"/>
    <w:rsid w:val="0009506F"/>
    <w:rsid w:val="00095202"/>
    <w:rsid w:val="00095D5B"/>
    <w:rsid w:val="000961BF"/>
    <w:rsid w:val="000966B1"/>
    <w:rsid w:val="00096E10"/>
    <w:rsid w:val="00096E30"/>
    <w:rsid w:val="00097219"/>
    <w:rsid w:val="000973D3"/>
    <w:rsid w:val="000978A5"/>
    <w:rsid w:val="000A0029"/>
    <w:rsid w:val="000A0E1B"/>
    <w:rsid w:val="000A168E"/>
    <w:rsid w:val="000A19F9"/>
    <w:rsid w:val="000A1E44"/>
    <w:rsid w:val="000A22F0"/>
    <w:rsid w:val="000A24C0"/>
    <w:rsid w:val="000A3A73"/>
    <w:rsid w:val="000A3DD6"/>
    <w:rsid w:val="000A429F"/>
    <w:rsid w:val="000A4BBC"/>
    <w:rsid w:val="000A565C"/>
    <w:rsid w:val="000A6382"/>
    <w:rsid w:val="000A6781"/>
    <w:rsid w:val="000A6B18"/>
    <w:rsid w:val="000A7D20"/>
    <w:rsid w:val="000B0069"/>
    <w:rsid w:val="000B026D"/>
    <w:rsid w:val="000B06F8"/>
    <w:rsid w:val="000B0727"/>
    <w:rsid w:val="000B0D35"/>
    <w:rsid w:val="000B1890"/>
    <w:rsid w:val="000B20F1"/>
    <w:rsid w:val="000B4126"/>
    <w:rsid w:val="000B41CB"/>
    <w:rsid w:val="000B560C"/>
    <w:rsid w:val="000B562B"/>
    <w:rsid w:val="000B5CD2"/>
    <w:rsid w:val="000B5D9E"/>
    <w:rsid w:val="000B60C5"/>
    <w:rsid w:val="000B6D07"/>
    <w:rsid w:val="000B7580"/>
    <w:rsid w:val="000C026C"/>
    <w:rsid w:val="000C1081"/>
    <w:rsid w:val="000C1576"/>
    <w:rsid w:val="000C1769"/>
    <w:rsid w:val="000C17B9"/>
    <w:rsid w:val="000C3463"/>
    <w:rsid w:val="000C3935"/>
    <w:rsid w:val="000C3985"/>
    <w:rsid w:val="000C39C4"/>
    <w:rsid w:val="000C4F7A"/>
    <w:rsid w:val="000C55EF"/>
    <w:rsid w:val="000C5E2B"/>
    <w:rsid w:val="000C63B8"/>
    <w:rsid w:val="000C64A1"/>
    <w:rsid w:val="000C6BF9"/>
    <w:rsid w:val="000C7F71"/>
    <w:rsid w:val="000D0704"/>
    <w:rsid w:val="000D084E"/>
    <w:rsid w:val="000D19BB"/>
    <w:rsid w:val="000D20C8"/>
    <w:rsid w:val="000D2B58"/>
    <w:rsid w:val="000D2E48"/>
    <w:rsid w:val="000D374C"/>
    <w:rsid w:val="000D5EE5"/>
    <w:rsid w:val="000D5F11"/>
    <w:rsid w:val="000D69CB"/>
    <w:rsid w:val="000D7747"/>
    <w:rsid w:val="000E0282"/>
    <w:rsid w:val="000E03B4"/>
    <w:rsid w:val="000E04FA"/>
    <w:rsid w:val="000E06FF"/>
    <w:rsid w:val="000E0B5D"/>
    <w:rsid w:val="000E0E09"/>
    <w:rsid w:val="000E1113"/>
    <w:rsid w:val="000E14B7"/>
    <w:rsid w:val="000E1544"/>
    <w:rsid w:val="000E1577"/>
    <w:rsid w:val="000E1721"/>
    <w:rsid w:val="000E1C1B"/>
    <w:rsid w:val="000E1FD6"/>
    <w:rsid w:val="000E2D03"/>
    <w:rsid w:val="000E2D17"/>
    <w:rsid w:val="000E33BE"/>
    <w:rsid w:val="000E4277"/>
    <w:rsid w:val="000E59A2"/>
    <w:rsid w:val="000E5ACA"/>
    <w:rsid w:val="000E6803"/>
    <w:rsid w:val="000E71F6"/>
    <w:rsid w:val="000E7275"/>
    <w:rsid w:val="000E75EE"/>
    <w:rsid w:val="000F0E3F"/>
    <w:rsid w:val="000F123C"/>
    <w:rsid w:val="000F1D4B"/>
    <w:rsid w:val="000F21F4"/>
    <w:rsid w:val="000F36EB"/>
    <w:rsid w:val="000F4029"/>
    <w:rsid w:val="000F40F0"/>
    <w:rsid w:val="000F41E3"/>
    <w:rsid w:val="000F493E"/>
    <w:rsid w:val="000F4957"/>
    <w:rsid w:val="000F53AE"/>
    <w:rsid w:val="000F57F4"/>
    <w:rsid w:val="000F5AE8"/>
    <w:rsid w:val="000F5B08"/>
    <w:rsid w:val="000F5D82"/>
    <w:rsid w:val="000F5ECD"/>
    <w:rsid w:val="000F62F1"/>
    <w:rsid w:val="000F6E72"/>
    <w:rsid w:val="000F761D"/>
    <w:rsid w:val="00100BBA"/>
    <w:rsid w:val="00100CA7"/>
    <w:rsid w:val="0010129D"/>
    <w:rsid w:val="001015F2"/>
    <w:rsid w:val="0010176D"/>
    <w:rsid w:val="00101909"/>
    <w:rsid w:val="00102118"/>
    <w:rsid w:val="0010215B"/>
    <w:rsid w:val="00103EB3"/>
    <w:rsid w:val="0010501D"/>
    <w:rsid w:val="00105E3D"/>
    <w:rsid w:val="001061DD"/>
    <w:rsid w:val="001063F6"/>
    <w:rsid w:val="00107699"/>
    <w:rsid w:val="0011042A"/>
    <w:rsid w:val="001106B4"/>
    <w:rsid w:val="001108BA"/>
    <w:rsid w:val="00110E3E"/>
    <w:rsid w:val="00110E40"/>
    <w:rsid w:val="00111F35"/>
    <w:rsid w:val="00112515"/>
    <w:rsid w:val="00112560"/>
    <w:rsid w:val="00112A2B"/>
    <w:rsid w:val="00112CCE"/>
    <w:rsid w:val="00112FBA"/>
    <w:rsid w:val="001132FA"/>
    <w:rsid w:val="001135E4"/>
    <w:rsid w:val="00113810"/>
    <w:rsid w:val="00113F78"/>
    <w:rsid w:val="0011433F"/>
    <w:rsid w:val="00117E27"/>
    <w:rsid w:val="00117F5C"/>
    <w:rsid w:val="00120781"/>
    <w:rsid w:val="00120901"/>
    <w:rsid w:val="00121113"/>
    <w:rsid w:val="001212D6"/>
    <w:rsid w:val="001214C2"/>
    <w:rsid w:val="00121E09"/>
    <w:rsid w:val="001224FC"/>
    <w:rsid w:val="001225B6"/>
    <w:rsid w:val="0012304A"/>
    <w:rsid w:val="001242DE"/>
    <w:rsid w:val="00124C8B"/>
    <w:rsid w:val="00124FDF"/>
    <w:rsid w:val="001258A4"/>
    <w:rsid w:val="00126092"/>
    <w:rsid w:val="001267D0"/>
    <w:rsid w:val="00126AEC"/>
    <w:rsid w:val="00127E07"/>
    <w:rsid w:val="00130044"/>
    <w:rsid w:val="001300C7"/>
    <w:rsid w:val="00131F13"/>
    <w:rsid w:val="00133069"/>
    <w:rsid w:val="00133D70"/>
    <w:rsid w:val="0013433F"/>
    <w:rsid w:val="00135DCE"/>
    <w:rsid w:val="001363EF"/>
    <w:rsid w:val="001365C0"/>
    <w:rsid w:val="00137E67"/>
    <w:rsid w:val="00137F95"/>
    <w:rsid w:val="00141250"/>
    <w:rsid w:val="0014164B"/>
    <w:rsid w:val="001418EE"/>
    <w:rsid w:val="00141D50"/>
    <w:rsid w:val="00142672"/>
    <w:rsid w:val="001426AE"/>
    <w:rsid w:val="00142B07"/>
    <w:rsid w:val="00142BAA"/>
    <w:rsid w:val="00142D37"/>
    <w:rsid w:val="00142D83"/>
    <w:rsid w:val="00144012"/>
    <w:rsid w:val="001441FF"/>
    <w:rsid w:val="001442C6"/>
    <w:rsid w:val="0014481F"/>
    <w:rsid w:val="00144ED0"/>
    <w:rsid w:val="00144ED7"/>
    <w:rsid w:val="0014594D"/>
    <w:rsid w:val="00145C00"/>
    <w:rsid w:val="0015001E"/>
    <w:rsid w:val="0015053A"/>
    <w:rsid w:val="00150A72"/>
    <w:rsid w:val="00151345"/>
    <w:rsid w:val="00151419"/>
    <w:rsid w:val="00151FC7"/>
    <w:rsid w:val="0015290F"/>
    <w:rsid w:val="00152C64"/>
    <w:rsid w:val="00153BBA"/>
    <w:rsid w:val="00153DA1"/>
    <w:rsid w:val="00154833"/>
    <w:rsid w:val="00154C47"/>
    <w:rsid w:val="00154F96"/>
    <w:rsid w:val="00155135"/>
    <w:rsid w:val="0015540D"/>
    <w:rsid w:val="0015549C"/>
    <w:rsid w:val="00155623"/>
    <w:rsid w:val="00155FBF"/>
    <w:rsid w:val="00156872"/>
    <w:rsid w:val="001568BC"/>
    <w:rsid w:val="00156EA2"/>
    <w:rsid w:val="00161189"/>
    <w:rsid w:val="00161FB5"/>
    <w:rsid w:val="00162DFE"/>
    <w:rsid w:val="00162F25"/>
    <w:rsid w:val="00164180"/>
    <w:rsid w:val="00164B37"/>
    <w:rsid w:val="00165408"/>
    <w:rsid w:val="00166020"/>
    <w:rsid w:val="001663B5"/>
    <w:rsid w:val="00166691"/>
    <w:rsid w:val="00166766"/>
    <w:rsid w:val="001669AD"/>
    <w:rsid w:val="00167174"/>
    <w:rsid w:val="00170332"/>
    <w:rsid w:val="0017108C"/>
    <w:rsid w:val="0017118F"/>
    <w:rsid w:val="001714C1"/>
    <w:rsid w:val="00172400"/>
    <w:rsid w:val="001729D1"/>
    <w:rsid w:val="00172AD3"/>
    <w:rsid w:val="00173066"/>
    <w:rsid w:val="00173240"/>
    <w:rsid w:val="0017326F"/>
    <w:rsid w:val="00174E04"/>
    <w:rsid w:val="001750D6"/>
    <w:rsid w:val="0017570A"/>
    <w:rsid w:val="00175853"/>
    <w:rsid w:val="001761AB"/>
    <w:rsid w:val="001801DA"/>
    <w:rsid w:val="001802D2"/>
    <w:rsid w:val="0018042E"/>
    <w:rsid w:val="00180A38"/>
    <w:rsid w:val="00180AD8"/>
    <w:rsid w:val="00181EB7"/>
    <w:rsid w:val="001820C6"/>
    <w:rsid w:val="001823F1"/>
    <w:rsid w:val="001826B5"/>
    <w:rsid w:val="001826B6"/>
    <w:rsid w:val="001835B5"/>
    <w:rsid w:val="00183F28"/>
    <w:rsid w:val="0018457F"/>
    <w:rsid w:val="00184D55"/>
    <w:rsid w:val="001861B0"/>
    <w:rsid w:val="0018620F"/>
    <w:rsid w:val="00186D69"/>
    <w:rsid w:val="00187039"/>
    <w:rsid w:val="0018776E"/>
    <w:rsid w:val="001905A1"/>
    <w:rsid w:val="00192640"/>
    <w:rsid w:val="0019284C"/>
    <w:rsid w:val="00192A42"/>
    <w:rsid w:val="00192F06"/>
    <w:rsid w:val="0019360E"/>
    <w:rsid w:val="001946E6"/>
    <w:rsid w:val="00194E5F"/>
    <w:rsid w:val="00194EA2"/>
    <w:rsid w:val="00195914"/>
    <w:rsid w:val="00195CF2"/>
    <w:rsid w:val="00195ED3"/>
    <w:rsid w:val="00197443"/>
    <w:rsid w:val="00197553"/>
    <w:rsid w:val="001A0A0C"/>
    <w:rsid w:val="001A1B5F"/>
    <w:rsid w:val="001A219C"/>
    <w:rsid w:val="001A5D15"/>
    <w:rsid w:val="001A5D69"/>
    <w:rsid w:val="001A615C"/>
    <w:rsid w:val="001A63B2"/>
    <w:rsid w:val="001A6D7C"/>
    <w:rsid w:val="001A6D9C"/>
    <w:rsid w:val="001A6DD7"/>
    <w:rsid w:val="001A713E"/>
    <w:rsid w:val="001A71C7"/>
    <w:rsid w:val="001A747B"/>
    <w:rsid w:val="001A7752"/>
    <w:rsid w:val="001A7781"/>
    <w:rsid w:val="001A7796"/>
    <w:rsid w:val="001B0500"/>
    <w:rsid w:val="001B0D9F"/>
    <w:rsid w:val="001B15AC"/>
    <w:rsid w:val="001B1D58"/>
    <w:rsid w:val="001B2BD6"/>
    <w:rsid w:val="001B398E"/>
    <w:rsid w:val="001B4132"/>
    <w:rsid w:val="001B5C99"/>
    <w:rsid w:val="001B63F4"/>
    <w:rsid w:val="001C04F9"/>
    <w:rsid w:val="001C06B6"/>
    <w:rsid w:val="001C10D7"/>
    <w:rsid w:val="001C1D82"/>
    <w:rsid w:val="001C2647"/>
    <w:rsid w:val="001C2959"/>
    <w:rsid w:val="001C2BF7"/>
    <w:rsid w:val="001C2F7F"/>
    <w:rsid w:val="001C455E"/>
    <w:rsid w:val="001C46B1"/>
    <w:rsid w:val="001C58CA"/>
    <w:rsid w:val="001C59CE"/>
    <w:rsid w:val="001C5BE2"/>
    <w:rsid w:val="001C6621"/>
    <w:rsid w:val="001C6BDE"/>
    <w:rsid w:val="001C6E88"/>
    <w:rsid w:val="001C70BC"/>
    <w:rsid w:val="001C7142"/>
    <w:rsid w:val="001C769E"/>
    <w:rsid w:val="001C76BE"/>
    <w:rsid w:val="001C7C19"/>
    <w:rsid w:val="001C7CBE"/>
    <w:rsid w:val="001D057A"/>
    <w:rsid w:val="001D0684"/>
    <w:rsid w:val="001D080A"/>
    <w:rsid w:val="001D0A5D"/>
    <w:rsid w:val="001D143C"/>
    <w:rsid w:val="001D1A7E"/>
    <w:rsid w:val="001D21D1"/>
    <w:rsid w:val="001D239A"/>
    <w:rsid w:val="001D3B1B"/>
    <w:rsid w:val="001D40B5"/>
    <w:rsid w:val="001D5F96"/>
    <w:rsid w:val="001D604E"/>
    <w:rsid w:val="001D62C5"/>
    <w:rsid w:val="001D776C"/>
    <w:rsid w:val="001D791A"/>
    <w:rsid w:val="001E007E"/>
    <w:rsid w:val="001E04B4"/>
    <w:rsid w:val="001E0CB2"/>
    <w:rsid w:val="001E0CE7"/>
    <w:rsid w:val="001E16B0"/>
    <w:rsid w:val="001E193E"/>
    <w:rsid w:val="001E1B4D"/>
    <w:rsid w:val="001E1F56"/>
    <w:rsid w:val="001E22C3"/>
    <w:rsid w:val="001E27DA"/>
    <w:rsid w:val="001E29F3"/>
    <w:rsid w:val="001E2C33"/>
    <w:rsid w:val="001E3395"/>
    <w:rsid w:val="001E3618"/>
    <w:rsid w:val="001E37A6"/>
    <w:rsid w:val="001E3D09"/>
    <w:rsid w:val="001E3EB7"/>
    <w:rsid w:val="001E4752"/>
    <w:rsid w:val="001E4F61"/>
    <w:rsid w:val="001E51E2"/>
    <w:rsid w:val="001E591E"/>
    <w:rsid w:val="001E5A27"/>
    <w:rsid w:val="001E6378"/>
    <w:rsid w:val="001E6ADC"/>
    <w:rsid w:val="001E7004"/>
    <w:rsid w:val="001E7B0D"/>
    <w:rsid w:val="001E7CFB"/>
    <w:rsid w:val="001F00FD"/>
    <w:rsid w:val="001F0573"/>
    <w:rsid w:val="001F1668"/>
    <w:rsid w:val="001F19A2"/>
    <w:rsid w:val="001F2DD0"/>
    <w:rsid w:val="001F2E5C"/>
    <w:rsid w:val="001F3B5D"/>
    <w:rsid w:val="001F4225"/>
    <w:rsid w:val="001F4A49"/>
    <w:rsid w:val="001F52A6"/>
    <w:rsid w:val="001F5EF3"/>
    <w:rsid w:val="001F61E5"/>
    <w:rsid w:val="001F65D7"/>
    <w:rsid w:val="001F6B5F"/>
    <w:rsid w:val="0020116B"/>
    <w:rsid w:val="00202135"/>
    <w:rsid w:val="00202288"/>
    <w:rsid w:val="00202566"/>
    <w:rsid w:val="00202B01"/>
    <w:rsid w:val="00202B8F"/>
    <w:rsid w:val="00203610"/>
    <w:rsid w:val="002043A4"/>
    <w:rsid w:val="00207738"/>
    <w:rsid w:val="00207D5B"/>
    <w:rsid w:val="00210EF0"/>
    <w:rsid w:val="00211063"/>
    <w:rsid w:val="0021168D"/>
    <w:rsid w:val="002120CB"/>
    <w:rsid w:val="00212438"/>
    <w:rsid w:val="00212A1C"/>
    <w:rsid w:val="00212D40"/>
    <w:rsid w:val="00212D9C"/>
    <w:rsid w:val="002135BD"/>
    <w:rsid w:val="00213F8A"/>
    <w:rsid w:val="00215846"/>
    <w:rsid w:val="002160F5"/>
    <w:rsid w:val="002160FE"/>
    <w:rsid w:val="00216D8A"/>
    <w:rsid w:val="0021747F"/>
    <w:rsid w:val="00221431"/>
    <w:rsid w:val="00221AA3"/>
    <w:rsid w:val="002224BF"/>
    <w:rsid w:val="00222CFE"/>
    <w:rsid w:val="0022386F"/>
    <w:rsid w:val="002245E4"/>
    <w:rsid w:val="002246DB"/>
    <w:rsid w:val="00224709"/>
    <w:rsid w:val="002250A8"/>
    <w:rsid w:val="00225FCC"/>
    <w:rsid w:val="002263C2"/>
    <w:rsid w:val="00226C38"/>
    <w:rsid w:val="002275D0"/>
    <w:rsid w:val="00227FB3"/>
    <w:rsid w:val="002307CA"/>
    <w:rsid w:val="00230B75"/>
    <w:rsid w:val="00230FC3"/>
    <w:rsid w:val="002312AD"/>
    <w:rsid w:val="00231DC9"/>
    <w:rsid w:val="00233342"/>
    <w:rsid w:val="00233617"/>
    <w:rsid w:val="0023377A"/>
    <w:rsid w:val="00233AF2"/>
    <w:rsid w:val="00235016"/>
    <w:rsid w:val="00235FD5"/>
    <w:rsid w:val="00236204"/>
    <w:rsid w:val="0023627D"/>
    <w:rsid w:val="002402E2"/>
    <w:rsid w:val="002410CF"/>
    <w:rsid w:val="0024112B"/>
    <w:rsid w:val="00241505"/>
    <w:rsid w:val="00241E6C"/>
    <w:rsid w:val="00242F73"/>
    <w:rsid w:val="002434EE"/>
    <w:rsid w:val="0024373C"/>
    <w:rsid w:val="002438E3"/>
    <w:rsid w:val="00243A6D"/>
    <w:rsid w:val="00244BE6"/>
    <w:rsid w:val="0024591C"/>
    <w:rsid w:val="0024593B"/>
    <w:rsid w:val="00245F9A"/>
    <w:rsid w:val="00246EDA"/>
    <w:rsid w:val="0024797D"/>
    <w:rsid w:val="00247F1A"/>
    <w:rsid w:val="002500BA"/>
    <w:rsid w:val="00250251"/>
    <w:rsid w:val="00251187"/>
    <w:rsid w:val="00252A9D"/>
    <w:rsid w:val="00253128"/>
    <w:rsid w:val="00253CF6"/>
    <w:rsid w:val="00255624"/>
    <w:rsid w:val="002566F0"/>
    <w:rsid w:val="0025705E"/>
    <w:rsid w:val="0025759D"/>
    <w:rsid w:val="002600B3"/>
    <w:rsid w:val="002602ED"/>
    <w:rsid w:val="00260A85"/>
    <w:rsid w:val="00260B7E"/>
    <w:rsid w:val="00260F54"/>
    <w:rsid w:val="00261D47"/>
    <w:rsid w:val="002624FD"/>
    <w:rsid w:val="00262B5D"/>
    <w:rsid w:val="00262CFA"/>
    <w:rsid w:val="00262D8D"/>
    <w:rsid w:val="00264AB4"/>
    <w:rsid w:val="00264C7C"/>
    <w:rsid w:val="00264F41"/>
    <w:rsid w:val="002655B9"/>
    <w:rsid w:val="00266065"/>
    <w:rsid w:val="0026691A"/>
    <w:rsid w:val="00266D80"/>
    <w:rsid w:val="00270214"/>
    <w:rsid w:val="00270523"/>
    <w:rsid w:val="00271FCC"/>
    <w:rsid w:val="0027279F"/>
    <w:rsid w:val="00273030"/>
    <w:rsid w:val="00273A86"/>
    <w:rsid w:val="00273E29"/>
    <w:rsid w:val="0027466F"/>
    <w:rsid w:val="00274DAA"/>
    <w:rsid w:val="00275608"/>
    <w:rsid w:val="00275856"/>
    <w:rsid w:val="00275B30"/>
    <w:rsid w:val="00276539"/>
    <w:rsid w:val="00276601"/>
    <w:rsid w:val="0028007F"/>
    <w:rsid w:val="00283826"/>
    <w:rsid w:val="00284094"/>
    <w:rsid w:val="00284434"/>
    <w:rsid w:val="00285BBC"/>
    <w:rsid w:val="00285D75"/>
    <w:rsid w:val="00285DAA"/>
    <w:rsid w:val="002863D4"/>
    <w:rsid w:val="00286CE9"/>
    <w:rsid w:val="00286EAD"/>
    <w:rsid w:val="00287C58"/>
    <w:rsid w:val="00290120"/>
    <w:rsid w:val="00290285"/>
    <w:rsid w:val="00292D54"/>
    <w:rsid w:val="00293B02"/>
    <w:rsid w:val="0029472D"/>
    <w:rsid w:val="00294AD2"/>
    <w:rsid w:val="002951FE"/>
    <w:rsid w:val="002958A1"/>
    <w:rsid w:val="0029594D"/>
    <w:rsid w:val="00295CCA"/>
    <w:rsid w:val="00295D53"/>
    <w:rsid w:val="00295F88"/>
    <w:rsid w:val="00296FA2"/>
    <w:rsid w:val="00297491"/>
    <w:rsid w:val="00297540"/>
    <w:rsid w:val="0029792B"/>
    <w:rsid w:val="00297E7E"/>
    <w:rsid w:val="002A0083"/>
    <w:rsid w:val="002A0358"/>
    <w:rsid w:val="002A288C"/>
    <w:rsid w:val="002A31CB"/>
    <w:rsid w:val="002A3320"/>
    <w:rsid w:val="002A3430"/>
    <w:rsid w:val="002A3FAA"/>
    <w:rsid w:val="002A4796"/>
    <w:rsid w:val="002A4B2F"/>
    <w:rsid w:val="002A4DD6"/>
    <w:rsid w:val="002A5A9E"/>
    <w:rsid w:val="002A6E15"/>
    <w:rsid w:val="002A78DE"/>
    <w:rsid w:val="002A795A"/>
    <w:rsid w:val="002A7C91"/>
    <w:rsid w:val="002A7DEE"/>
    <w:rsid w:val="002B0075"/>
    <w:rsid w:val="002B00A1"/>
    <w:rsid w:val="002B068C"/>
    <w:rsid w:val="002B0914"/>
    <w:rsid w:val="002B0F69"/>
    <w:rsid w:val="002B1587"/>
    <w:rsid w:val="002B1D3F"/>
    <w:rsid w:val="002B24D6"/>
    <w:rsid w:val="002B2A71"/>
    <w:rsid w:val="002B3343"/>
    <w:rsid w:val="002B3F69"/>
    <w:rsid w:val="002B5441"/>
    <w:rsid w:val="002B6E44"/>
    <w:rsid w:val="002B7245"/>
    <w:rsid w:val="002C0176"/>
    <w:rsid w:val="002C02EC"/>
    <w:rsid w:val="002C0C85"/>
    <w:rsid w:val="002C1CC2"/>
    <w:rsid w:val="002C295D"/>
    <w:rsid w:val="002C36BC"/>
    <w:rsid w:val="002C51A5"/>
    <w:rsid w:val="002C54D5"/>
    <w:rsid w:val="002C5DFC"/>
    <w:rsid w:val="002C67F0"/>
    <w:rsid w:val="002C6C6C"/>
    <w:rsid w:val="002C707E"/>
    <w:rsid w:val="002C769D"/>
    <w:rsid w:val="002D0BCD"/>
    <w:rsid w:val="002D15D9"/>
    <w:rsid w:val="002D22A2"/>
    <w:rsid w:val="002D23E7"/>
    <w:rsid w:val="002D2F79"/>
    <w:rsid w:val="002D3F27"/>
    <w:rsid w:val="002D40BA"/>
    <w:rsid w:val="002D40D2"/>
    <w:rsid w:val="002D4432"/>
    <w:rsid w:val="002D4A4B"/>
    <w:rsid w:val="002D5331"/>
    <w:rsid w:val="002D59B8"/>
    <w:rsid w:val="002D5A59"/>
    <w:rsid w:val="002D7331"/>
    <w:rsid w:val="002E084A"/>
    <w:rsid w:val="002E0B1D"/>
    <w:rsid w:val="002E0B59"/>
    <w:rsid w:val="002E0F27"/>
    <w:rsid w:val="002E10BA"/>
    <w:rsid w:val="002E1181"/>
    <w:rsid w:val="002E134E"/>
    <w:rsid w:val="002E1413"/>
    <w:rsid w:val="002E1836"/>
    <w:rsid w:val="002E1A5B"/>
    <w:rsid w:val="002E2172"/>
    <w:rsid w:val="002E2978"/>
    <w:rsid w:val="002E38C2"/>
    <w:rsid w:val="002E3EA4"/>
    <w:rsid w:val="002E44A9"/>
    <w:rsid w:val="002E55EE"/>
    <w:rsid w:val="002E5A12"/>
    <w:rsid w:val="002E5A8E"/>
    <w:rsid w:val="002E5D3D"/>
    <w:rsid w:val="002E68B9"/>
    <w:rsid w:val="002E6CC1"/>
    <w:rsid w:val="002E7188"/>
    <w:rsid w:val="002E7638"/>
    <w:rsid w:val="002E7D77"/>
    <w:rsid w:val="002E7E6C"/>
    <w:rsid w:val="002F0031"/>
    <w:rsid w:val="002F02F8"/>
    <w:rsid w:val="002F0949"/>
    <w:rsid w:val="002F14A6"/>
    <w:rsid w:val="002F19E5"/>
    <w:rsid w:val="002F21E1"/>
    <w:rsid w:val="002F22EB"/>
    <w:rsid w:val="002F26AF"/>
    <w:rsid w:val="002F2FDE"/>
    <w:rsid w:val="002F353E"/>
    <w:rsid w:val="002F3DA1"/>
    <w:rsid w:val="002F463A"/>
    <w:rsid w:val="002F4CAF"/>
    <w:rsid w:val="002F5269"/>
    <w:rsid w:val="002F585B"/>
    <w:rsid w:val="002F5CA3"/>
    <w:rsid w:val="002F6221"/>
    <w:rsid w:val="002F641F"/>
    <w:rsid w:val="002F6764"/>
    <w:rsid w:val="002F7284"/>
    <w:rsid w:val="002F7576"/>
    <w:rsid w:val="002F7CAF"/>
    <w:rsid w:val="00301E05"/>
    <w:rsid w:val="00301FD3"/>
    <w:rsid w:val="00302A43"/>
    <w:rsid w:val="0030334C"/>
    <w:rsid w:val="00303623"/>
    <w:rsid w:val="003038BE"/>
    <w:rsid w:val="00303E60"/>
    <w:rsid w:val="003048D9"/>
    <w:rsid w:val="00305B05"/>
    <w:rsid w:val="00305B6E"/>
    <w:rsid w:val="00306065"/>
    <w:rsid w:val="00306A78"/>
    <w:rsid w:val="00306F2D"/>
    <w:rsid w:val="00307B79"/>
    <w:rsid w:val="00307DAA"/>
    <w:rsid w:val="00310534"/>
    <w:rsid w:val="00310A4A"/>
    <w:rsid w:val="00310AFD"/>
    <w:rsid w:val="00310F3E"/>
    <w:rsid w:val="003115BE"/>
    <w:rsid w:val="00312F48"/>
    <w:rsid w:val="003133BC"/>
    <w:rsid w:val="00313AD8"/>
    <w:rsid w:val="00314049"/>
    <w:rsid w:val="003143DA"/>
    <w:rsid w:val="00315082"/>
    <w:rsid w:val="00315482"/>
    <w:rsid w:val="00315ACB"/>
    <w:rsid w:val="003167ED"/>
    <w:rsid w:val="00317079"/>
    <w:rsid w:val="003202C7"/>
    <w:rsid w:val="003209CA"/>
    <w:rsid w:val="00320E9C"/>
    <w:rsid w:val="00321351"/>
    <w:rsid w:val="00321669"/>
    <w:rsid w:val="003220EE"/>
    <w:rsid w:val="0032354D"/>
    <w:rsid w:val="00324978"/>
    <w:rsid w:val="00324C03"/>
    <w:rsid w:val="00324C8F"/>
    <w:rsid w:val="0032626C"/>
    <w:rsid w:val="0032658C"/>
    <w:rsid w:val="00326BCE"/>
    <w:rsid w:val="00327069"/>
    <w:rsid w:val="00327373"/>
    <w:rsid w:val="003279F4"/>
    <w:rsid w:val="00327C45"/>
    <w:rsid w:val="00330037"/>
    <w:rsid w:val="00331281"/>
    <w:rsid w:val="003313FF"/>
    <w:rsid w:val="0033143F"/>
    <w:rsid w:val="003315C8"/>
    <w:rsid w:val="0033178E"/>
    <w:rsid w:val="003323AE"/>
    <w:rsid w:val="003326A6"/>
    <w:rsid w:val="00334A73"/>
    <w:rsid w:val="00334D1A"/>
    <w:rsid w:val="00335ECC"/>
    <w:rsid w:val="00336CC0"/>
    <w:rsid w:val="0033717B"/>
    <w:rsid w:val="0033743B"/>
    <w:rsid w:val="00337C00"/>
    <w:rsid w:val="003411B7"/>
    <w:rsid w:val="00341619"/>
    <w:rsid w:val="00341D17"/>
    <w:rsid w:val="00341FD2"/>
    <w:rsid w:val="003420D6"/>
    <w:rsid w:val="003421ED"/>
    <w:rsid w:val="0034272E"/>
    <w:rsid w:val="00342832"/>
    <w:rsid w:val="00342D0C"/>
    <w:rsid w:val="00342D89"/>
    <w:rsid w:val="0034397A"/>
    <w:rsid w:val="00344007"/>
    <w:rsid w:val="00344068"/>
    <w:rsid w:val="003443FA"/>
    <w:rsid w:val="003447E3"/>
    <w:rsid w:val="0034480A"/>
    <w:rsid w:val="00344DB0"/>
    <w:rsid w:val="003450F5"/>
    <w:rsid w:val="00346B3F"/>
    <w:rsid w:val="003476B9"/>
    <w:rsid w:val="00347AA2"/>
    <w:rsid w:val="00350912"/>
    <w:rsid w:val="00350DF7"/>
    <w:rsid w:val="00351AFB"/>
    <w:rsid w:val="00351B24"/>
    <w:rsid w:val="00351FD1"/>
    <w:rsid w:val="00352C32"/>
    <w:rsid w:val="00353214"/>
    <w:rsid w:val="00353A9B"/>
    <w:rsid w:val="00353AF3"/>
    <w:rsid w:val="00353CDE"/>
    <w:rsid w:val="00353E61"/>
    <w:rsid w:val="00354C4D"/>
    <w:rsid w:val="003554E7"/>
    <w:rsid w:val="00355A57"/>
    <w:rsid w:val="00355C37"/>
    <w:rsid w:val="00356061"/>
    <w:rsid w:val="003562A0"/>
    <w:rsid w:val="00356C49"/>
    <w:rsid w:val="00356FF9"/>
    <w:rsid w:val="003573D1"/>
    <w:rsid w:val="0036056F"/>
    <w:rsid w:val="00360B84"/>
    <w:rsid w:val="003616AE"/>
    <w:rsid w:val="00362808"/>
    <w:rsid w:val="00362E03"/>
    <w:rsid w:val="003633C4"/>
    <w:rsid w:val="0036344C"/>
    <w:rsid w:val="003636BA"/>
    <w:rsid w:val="00364109"/>
    <w:rsid w:val="003649C6"/>
    <w:rsid w:val="00365796"/>
    <w:rsid w:val="003657F9"/>
    <w:rsid w:val="00366FDD"/>
    <w:rsid w:val="00367333"/>
    <w:rsid w:val="00370237"/>
    <w:rsid w:val="003716A7"/>
    <w:rsid w:val="00371E45"/>
    <w:rsid w:val="003725C3"/>
    <w:rsid w:val="00372761"/>
    <w:rsid w:val="00373E44"/>
    <w:rsid w:val="0037474E"/>
    <w:rsid w:val="00374865"/>
    <w:rsid w:val="003752D3"/>
    <w:rsid w:val="00375561"/>
    <w:rsid w:val="00376015"/>
    <w:rsid w:val="003761D6"/>
    <w:rsid w:val="00376A40"/>
    <w:rsid w:val="00377F59"/>
    <w:rsid w:val="00383762"/>
    <w:rsid w:val="00383DF1"/>
    <w:rsid w:val="00383E9E"/>
    <w:rsid w:val="0038446E"/>
    <w:rsid w:val="00384D4A"/>
    <w:rsid w:val="00385AE6"/>
    <w:rsid w:val="00386721"/>
    <w:rsid w:val="00386BEB"/>
    <w:rsid w:val="00386C56"/>
    <w:rsid w:val="0038735F"/>
    <w:rsid w:val="00387615"/>
    <w:rsid w:val="00387CEF"/>
    <w:rsid w:val="00390109"/>
    <w:rsid w:val="0039100C"/>
    <w:rsid w:val="003914D5"/>
    <w:rsid w:val="00391547"/>
    <w:rsid w:val="003915F7"/>
    <w:rsid w:val="00391610"/>
    <w:rsid w:val="00391F5A"/>
    <w:rsid w:val="00392247"/>
    <w:rsid w:val="00392326"/>
    <w:rsid w:val="00392762"/>
    <w:rsid w:val="0039326B"/>
    <w:rsid w:val="00393571"/>
    <w:rsid w:val="00393D2E"/>
    <w:rsid w:val="00393F99"/>
    <w:rsid w:val="00395674"/>
    <w:rsid w:val="00395D83"/>
    <w:rsid w:val="00396608"/>
    <w:rsid w:val="00396A97"/>
    <w:rsid w:val="00396B29"/>
    <w:rsid w:val="00396C27"/>
    <w:rsid w:val="003978C5"/>
    <w:rsid w:val="003A0762"/>
    <w:rsid w:val="003A0BD9"/>
    <w:rsid w:val="003A1462"/>
    <w:rsid w:val="003A1B86"/>
    <w:rsid w:val="003A1E05"/>
    <w:rsid w:val="003A1FCF"/>
    <w:rsid w:val="003A232F"/>
    <w:rsid w:val="003A27C6"/>
    <w:rsid w:val="003A2984"/>
    <w:rsid w:val="003A33ED"/>
    <w:rsid w:val="003A3A06"/>
    <w:rsid w:val="003A41A5"/>
    <w:rsid w:val="003A4D5E"/>
    <w:rsid w:val="003A51B7"/>
    <w:rsid w:val="003A531B"/>
    <w:rsid w:val="003A568D"/>
    <w:rsid w:val="003A56BC"/>
    <w:rsid w:val="003A5DF8"/>
    <w:rsid w:val="003A61D4"/>
    <w:rsid w:val="003A62F0"/>
    <w:rsid w:val="003A6370"/>
    <w:rsid w:val="003A6825"/>
    <w:rsid w:val="003A69C7"/>
    <w:rsid w:val="003A6A94"/>
    <w:rsid w:val="003A6AD5"/>
    <w:rsid w:val="003A763B"/>
    <w:rsid w:val="003A7C08"/>
    <w:rsid w:val="003A7C2E"/>
    <w:rsid w:val="003B0756"/>
    <w:rsid w:val="003B0976"/>
    <w:rsid w:val="003B0F27"/>
    <w:rsid w:val="003B1A0B"/>
    <w:rsid w:val="003B1D94"/>
    <w:rsid w:val="003B2074"/>
    <w:rsid w:val="003B2D6C"/>
    <w:rsid w:val="003B34A5"/>
    <w:rsid w:val="003B367B"/>
    <w:rsid w:val="003B3C6C"/>
    <w:rsid w:val="003B3EB0"/>
    <w:rsid w:val="003B4179"/>
    <w:rsid w:val="003B4D3F"/>
    <w:rsid w:val="003B4F71"/>
    <w:rsid w:val="003B5B2E"/>
    <w:rsid w:val="003B6930"/>
    <w:rsid w:val="003B6B55"/>
    <w:rsid w:val="003B6B88"/>
    <w:rsid w:val="003B6DB5"/>
    <w:rsid w:val="003C009B"/>
    <w:rsid w:val="003C09B6"/>
    <w:rsid w:val="003C1D95"/>
    <w:rsid w:val="003C2D88"/>
    <w:rsid w:val="003C2EB1"/>
    <w:rsid w:val="003C386F"/>
    <w:rsid w:val="003C48A7"/>
    <w:rsid w:val="003C5075"/>
    <w:rsid w:val="003C54BB"/>
    <w:rsid w:val="003C5E4C"/>
    <w:rsid w:val="003C62BD"/>
    <w:rsid w:val="003C63E1"/>
    <w:rsid w:val="003C6845"/>
    <w:rsid w:val="003C6EBA"/>
    <w:rsid w:val="003C7044"/>
    <w:rsid w:val="003C78FC"/>
    <w:rsid w:val="003D086C"/>
    <w:rsid w:val="003D097B"/>
    <w:rsid w:val="003D0B4B"/>
    <w:rsid w:val="003D0CC8"/>
    <w:rsid w:val="003D0DB6"/>
    <w:rsid w:val="003D10F0"/>
    <w:rsid w:val="003D416D"/>
    <w:rsid w:val="003D4290"/>
    <w:rsid w:val="003D5BFF"/>
    <w:rsid w:val="003D5C90"/>
    <w:rsid w:val="003D62B1"/>
    <w:rsid w:val="003D6A52"/>
    <w:rsid w:val="003D6C76"/>
    <w:rsid w:val="003D711C"/>
    <w:rsid w:val="003E05DF"/>
    <w:rsid w:val="003E0634"/>
    <w:rsid w:val="003E0FE6"/>
    <w:rsid w:val="003E1314"/>
    <w:rsid w:val="003E2482"/>
    <w:rsid w:val="003E3838"/>
    <w:rsid w:val="003E3E63"/>
    <w:rsid w:val="003E3E88"/>
    <w:rsid w:val="003E4210"/>
    <w:rsid w:val="003E4C44"/>
    <w:rsid w:val="003E4F98"/>
    <w:rsid w:val="003E5A70"/>
    <w:rsid w:val="003E6881"/>
    <w:rsid w:val="003E6B75"/>
    <w:rsid w:val="003E74FD"/>
    <w:rsid w:val="003F013F"/>
    <w:rsid w:val="003F03CE"/>
    <w:rsid w:val="003F09FE"/>
    <w:rsid w:val="003F1231"/>
    <w:rsid w:val="003F18AE"/>
    <w:rsid w:val="003F21D4"/>
    <w:rsid w:val="003F2875"/>
    <w:rsid w:val="003F28D0"/>
    <w:rsid w:val="003F38BC"/>
    <w:rsid w:val="003F3EC6"/>
    <w:rsid w:val="003F5328"/>
    <w:rsid w:val="003F58F2"/>
    <w:rsid w:val="003F74B2"/>
    <w:rsid w:val="003F75A6"/>
    <w:rsid w:val="004010C3"/>
    <w:rsid w:val="00402216"/>
    <w:rsid w:val="0040275B"/>
    <w:rsid w:val="00403A3B"/>
    <w:rsid w:val="00403F23"/>
    <w:rsid w:val="004049CC"/>
    <w:rsid w:val="00405F0A"/>
    <w:rsid w:val="00405F41"/>
    <w:rsid w:val="0040664C"/>
    <w:rsid w:val="00406E26"/>
    <w:rsid w:val="004072E1"/>
    <w:rsid w:val="00407BA7"/>
    <w:rsid w:val="004118AB"/>
    <w:rsid w:val="00411B07"/>
    <w:rsid w:val="00412182"/>
    <w:rsid w:val="00412719"/>
    <w:rsid w:val="00412F1A"/>
    <w:rsid w:val="004142C7"/>
    <w:rsid w:val="00414B8C"/>
    <w:rsid w:val="00414C21"/>
    <w:rsid w:val="00414E75"/>
    <w:rsid w:val="00415208"/>
    <w:rsid w:val="00415642"/>
    <w:rsid w:val="00415F85"/>
    <w:rsid w:val="00416095"/>
    <w:rsid w:val="0041621B"/>
    <w:rsid w:val="00416B89"/>
    <w:rsid w:val="004179C3"/>
    <w:rsid w:val="0042011F"/>
    <w:rsid w:val="00420644"/>
    <w:rsid w:val="004209E3"/>
    <w:rsid w:val="00420D5C"/>
    <w:rsid w:val="00421047"/>
    <w:rsid w:val="004218FF"/>
    <w:rsid w:val="00421C80"/>
    <w:rsid w:val="00421F42"/>
    <w:rsid w:val="0042234B"/>
    <w:rsid w:val="0042248B"/>
    <w:rsid w:val="0042325A"/>
    <w:rsid w:val="0042403C"/>
    <w:rsid w:val="00424154"/>
    <w:rsid w:val="004249EC"/>
    <w:rsid w:val="004253AE"/>
    <w:rsid w:val="00425C05"/>
    <w:rsid w:val="00426277"/>
    <w:rsid w:val="004269B6"/>
    <w:rsid w:val="00426CD9"/>
    <w:rsid w:val="00426F80"/>
    <w:rsid w:val="00427C9C"/>
    <w:rsid w:val="00427DE0"/>
    <w:rsid w:val="004300E7"/>
    <w:rsid w:val="004308BB"/>
    <w:rsid w:val="0043130C"/>
    <w:rsid w:val="00431905"/>
    <w:rsid w:val="00433626"/>
    <w:rsid w:val="0043420E"/>
    <w:rsid w:val="0043472E"/>
    <w:rsid w:val="004350D8"/>
    <w:rsid w:val="00435A0D"/>
    <w:rsid w:val="00435A46"/>
    <w:rsid w:val="00435C67"/>
    <w:rsid w:val="00435F1F"/>
    <w:rsid w:val="00436D3B"/>
    <w:rsid w:val="004404B0"/>
    <w:rsid w:val="00440E0D"/>
    <w:rsid w:val="00441ABC"/>
    <w:rsid w:val="00442088"/>
    <w:rsid w:val="004427D5"/>
    <w:rsid w:val="00443160"/>
    <w:rsid w:val="00444160"/>
    <w:rsid w:val="004443E9"/>
    <w:rsid w:val="00444835"/>
    <w:rsid w:val="004459A3"/>
    <w:rsid w:val="004459B1"/>
    <w:rsid w:val="0044653A"/>
    <w:rsid w:val="0045004D"/>
    <w:rsid w:val="004500BA"/>
    <w:rsid w:val="0045068D"/>
    <w:rsid w:val="00450FA6"/>
    <w:rsid w:val="00451732"/>
    <w:rsid w:val="00451B08"/>
    <w:rsid w:val="004522A6"/>
    <w:rsid w:val="0045235D"/>
    <w:rsid w:val="004527AF"/>
    <w:rsid w:val="00452A02"/>
    <w:rsid w:val="00452E95"/>
    <w:rsid w:val="00453940"/>
    <w:rsid w:val="00453961"/>
    <w:rsid w:val="00453B47"/>
    <w:rsid w:val="00454166"/>
    <w:rsid w:val="00454210"/>
    <w:rsid w:val="00454B3D"/>
    <w:rsid w:val="004564EE"/>
    <w:rsid w:val="00456A88"/>
    <w:rsid w:val="00456DEF"/>
    <w:rsid w:val="004575F9"/>
    <w:rsid w:val="004602E9"/>
    <w:rsid w:val="00461CEB"/>
    <w:rsid w:val="0046233B"/>
    <w:rsid w:val="00462724"/>
    <w:rsid w:val="00462BB7"/>
    <w:rsid w:val="00463267"/>
    <w:rsid w:val="00463318"/>
    <w:rsid w:val="00463BF2"/>
    <w:rsid w:val="004647C4"/>
    <w:rsid w:val="004654C1"/>
    <w:rsid w:val="00465794"/>
    <w:rsid w:val="004666E8"/>
    <w:rsid w:val="00466D87"/>
    <w:rsid w:val="004675C2"/>
    <w:rsid w:val="00467B73"/>
    <w:rsid w:val="00470053"/>
    <w:rsid w:val="004703E2"/>
    <w:rsid w:val="00471C68"/>
    <w:rsid w:val="0047262A"/>
    <w:rsid w:val="0047264A"/>
    <w:rsid w:val="004727D5"/>
    <w:rsid w:val="00472F4D"/>
    <w:rsid w:val="00473946"/>
    <w:rsid w:val="00474011"/>
    <w:rsid w:val="00474686"/>
    <w:rsid w:val="00474A4A"/>
    <w:rsid w:val="00475243"/>
    <w:rsid w:val="00475A66"/>
    <w:rsid w:val="00476EAF"/>
    <w:rsid w:val="0047721A"/>
    <w:rsid w:val="004774B6"/>
    <w:rsid w:val="004776CD"/>
    <w:rsid w:val="0048066D"/>
    <w:rsid w:val="00480C0B"/>
    <w:rsid w:val="00481EB3"/>
    <w:rsid w:val="004820C7"/>
    <w:rsid w:val="00483349"/>
    <w:rsid w:val="00484682"/>
    <w:rsid w:val="00484685"/>
    <w:rsid w:val="004865BA"/>
    <w:rsid w:val="00486611"/>
    <w:rsid w:val="00486DF0"/>
    <w:rsid w:val="00487FBB"/>
    <w:rsid w:val="004905B1"/>
    <w:rsid w:val="00490A69"/>
    <w:rsid w:val="00492549"/>
    <w:rsid w:val="00492876"/>
    <w:rsid w:val="00493635"/>
    <w:rsid w:val="00493D4B"/>
    <w:rsid w:val="00494191"/>
    <w:rsid w:val="00494BAC"/>
    <w:rsid w:val="004952E0"/>
    <w:rsid w:val="0049538B"/>
    <w:rsid w:val="0049619C"/>
    <w:rsid w:val="00497080"/>
    <w:rsid w:val="004976E2"/>
    <w:rsid w:val="004A06D9"/>
    <w:rsid w:val="004A100F"/>
    <w:rsid w:val="004A10DF"/>
    <w:rsid w:val="004A1B0A"/>
    <w:rsid w:val="004A1B5F"/>
    <w:rsid w:val="004A2581"/>
    <w:rsid w:val="004A295B"/>
    <w:rsid w:val="004A2A24"/>
    <w:rsid w:val="004A2DA8"/>
    <w:rsid w:val="004A37BF"/>
    <w:rsid w:val="004A4151"/>
    <w:rsid w:val="004A4B2C"/>
    <w:rsid w:val="004A5321"/>
    <w:rsid w:val="004A5F74"/>
    <w:rsid w:val="004A6020"/>
    <w:rsid w:val="004A74D4"/>
    <w:rsid w:val="004A759E"/>
    <w:rsid w:val="004B0EE7"/>
    <w:rsid w:val="004B12FF"/>
    <w:rsid w:val="004B1C51"/>
    <w:rsid w:val="004B1E8D"/>
    <w:rsid w:val="004B23D8"/>
    <w:rsid w:val="004B263B"/>
    <w:rsid w:val="004B276F"/>
    <w:rsid w:val="004B2B88"/>
    <w:rsid w:val="004B2D85"/>
    <w:rsid w:val="004B2E97"/>
    <w:rsid w:val="004B3398"/>
    <w:rsid w:val="004B3BA9"/>
    <w:rsid w:val="004B431B"/>
    <w:rsid w:val="004B4FDD"/>
    <w:rsid w:val="004B6C32"/>
    <w:rsid w:val="004B74D8"/>
    <w:rsid w:val="004B7716"/>
    <w:rsid w:val="004B7B76"/>
    <w:rsid w:val="004C0487"/>
    <w:rsid w:val="004C0579"/>
    <w:rsid w:val="004C0B0D"/>
    <w:rsid w:val="004C0F48"/>
    <w:rsid w:val="004C1650"/>
    <w:rsid w:val="004C28F8"/>
    <w:rsid w:val="004C3019"/>
    <w:rsid w:val="004C3D4F"/>
    <w:rsid w:val="004C3FE1"/>
    <w:rsid w:val="004C46DC"/>
    <w:rsid w:val="004C4767"/>
    <w:rsid w:val="004C4B5E"/>
    <w:rsid w:val="004C5498"/>
    <w:rsid w:val="004C5682"/>
    <w:rsid w:val="004C5EAB"/>
    <w:rsid w:val="004C612F"/>
    <w:rsid w:val="004C7270"/>
    <w:rsid w:val="004C7B28"/>
    <w:rsid w:val="004C7B98"/>
    <w:rsid w:val="004D2425"/>
    <w:rsid w:val="004D3244"/>
    <w:rsid w:val="004D33D2"/>
    <w:rsid w:val="004D3C7C"/>
    <w:rsid w:val="004D3E87"/>
    <w:rsid w:val="004D5923"/>
    <w:rsid w:val="004E06E2"/>
    <w:rsid w:val="004E0BB8"/>
    <w:rsid w:val="004E1AB1"/>
    <w:rsid w:val="004E1F93"/>
    <w:rsid w:val="004E208B"/>
    <w:rsid w:val="004E22FF"/>
    <w:rsid w:val="004E238B"/>
    <w:rsid w:val="004E364C"/>
    <w:rsid w:val="004E458D"/>
    <w:rsid w:val="004E4933"/>
    <w:rsid w:val="004E498C"/>
    <w:rsid w:val="004E4B09"/>
    <w:rsid w:val="004E639D"/>
    <w:rsid w:val="004E6863"/>
    <w:rsid w:val="004E6CFE"/>
    <w:rsid w:val="004E7486"/>
    <w:rsid w:val="004E7671"/>
    <w:rsid w:val="004E7BA6"/>
    <w:rsid w:val="004F02AC"/>
    <w:rsid w:val="004F04A8"/>
    <w:rsid w:val="004F066A"/>
    <w:rsid w:val="004F0713"/>
    <w:rsid w:val="004F0DC6"/>
    <w:rsid w:val="004F1543"/>
    <w:rsid w:val="004F170A"/>
    <w:rsid w:val="004F2657"/>
    <w:rsid w:val="004F32FF"/>
    <w:rsid w:val="004F3B30"/>
    <w:rsid w:val="004F3B4D"/>
    <w:rsid w:val="004F3D3A"/>
    <w:rsid w:val="004F3E85"/>
    <w:rsid w:val="004F531D"/>
    <w:rsid w:val="004F5B21"/>
    <w:rsid w:val="004F6D17"/>
    <w:rsid w:val="004F6DA1"/>
    <w:rsid w:val="004F7B2E"/>
    <w:rsid w:val="00500A49"/>
    <w:rsid w:val="00502320"/>
    <w:rsid w:val="00503A29"/>
    <w:rsid w:val="00504977"/>
    <w:rsid w:val="00504C0D"/>
    <w:rsid w:val="00504DAF"/>
    <w:rsid w:val="00505DB3"/>
    <w:rsid w:val="005062F7"/>
    <w:rsid w:val="005064A7"/>
    <w:rsid w:val="00506539"/>
    <w:rsid w:val="005068D8"/>
    <w:rsid w:val="00506ADA"/>
    <w:rsid w:val="00507109"/>
    <w:rsid w:val="0050737A"/>
    <w:rsid w:val="00507889"/>
    <w:rsid w:val="00507CDA"/>
    <w:rsid w:val="005100D4"/>
    <w:rsid w:val="005111B3"/>
    <w:rsid w:val="0051139E"/>
    <w:rsid w:val="005119D5"/>
    <w:rsid w:val="00512810"/>
    <w:rsid w:val="00512BBD"/>
    <w:rsid w:val="005131D3"/>
    <w:rsid w:val="00513CC0"/>
    <w:rsid w:val="00513DAA"/>
    <w:rsid w:val="00514316"/>
    <w:rsid w:val="0051534A"/>
    <w:rsid w:val="005153B0"/>
    <w:rsid w:val="00515542"/>
    <w:rsid w:val="00515941"/>
    <w:rsid w:val="0051643A"/>
    <w:rsid w:val="005172D4"/>
    <w:rsid w:val="00517AA7"/>
    <w:rsid w:val="00517C46"/>
    <w:rsid w:val="00520D24"/>
    <w:rsid w:val="0052116C"/>
    <w:rsid w:val="00521349"/>
    <w:rsid w:val="0052197F"/>
    <w:rsid w:val="00522034"/>
    <w:rsid w:val="00523080"/>
    <w:rsid w:val="00523140"/>
    <w:rsid w:val="005233A5"/>
    <w:rsid w:val="00523F93"/>
    <w:rsid w:val="0052428B"/>
    <w:rsid w:val="005246F7"/>
    <w:rsid w:val="00524C60"/>
    <w:rsid w:val="00524D9D"/>
    <w:rsid w:val="00524E40"/>
    <w:rsid w:val="00525075"/>
    <w:rsid w:val="005257B1"/>
    <w:rsid w:val="00525D4E"/>
    <w:rsid w:val="00525E4E"/>
    <w:rsid w:val="00526692"/>
    <w:rsid w:val="00527B9E"/>
    <w:rsid w:val="00531B22"/>
    <w:rsid w:val="00532828"/>
    <w:rsid w:val="00533D4E"/>
    <w:rsid w:val="005354BD"/>
    <w:rsid w:val="005358C0"/>
    <w:rsid w:val="00535FF6"/>
    <w:rsid w:val="00536A57"/>
    <w:rsid w:val="00536C07"/>
    <w:rsid w:val="00536E9C"/>
    <w:rsid w:val="005376A6"/>
    <w:rsid w:val="005376E8"/>
    <w:rsid w:val="005405CF"/>
    <w:rsid w:val="005415C5"/>
    <w:rsid w:val="0054263D"/>
    <w:rsid w:val="005438DB"/>
    <w:rsid w:val="0054539A"/>
    <w:rsid w:val="0054559D"/>
    <w:rsid w:val="00545F28"/>
    <w:rsid w:val="00546398"/>
    <w:rsid w:val="00547880"/>
    <w:rsid w:val="00547B55"/>
    <w:rsid w:val="00550BF7"/>
    <w:rsid w:val="005515BB"/>
    <w:rsid w:val="00552C24"/>
    <w:rsid w:val="00552F0E"/>
    <w:rsid w:val="00552F44"/>
    <w:rsid w:val="00553231"/>
    <w:rsid w:val="005539C1"/>
    <w:rsid w:val="00554053"/>
    <w:rsid w:val="00555973"/>
    <w:rsid w:val="005575A4"/>
    <w:rsid w:val="00557C30"/>
    <w:rsid w:val="00557D50"/>
    <w:rsid w:val="0056079A"/>
    <w:rsid w:val="00560D6D"/>
    <w:rsid w:val="00560FF4"/>
    <w:rsid w:val="00561F7D"/>
    <w:rsid w:val="00562618"/>
    <w:rsid w:val="00563909"/>
    <w:rsid w:val="005642A1"/>
    <w:rsid w:val="00565DF8"/>
    <w:rsid w:val="00565FEF"/>
    <w:rsid w:val="00567733"/>
    <w:rsid w:val="0056782D"/>
    <w:rsid w:val="005700BF"/>
    <w:rsid w:val="00572A5C"/>
    <w:rsid w:val="00572DDF"/>
    <w:rsid w:val="00572EC5"/>
    <w:rsid w:val="005737D7"/>
    <w:rsid w:val="00574408"/>
    <w:rsid w:val="00574727"/>
    <w:rsid w:val="005748CD"/>
    <w:rsid w:val="00574FCA"/>
    <w:rsid w:val="005762FB"/>
    <w:rsid w:val="005764E2"/>
    <w:rsid w:val="00576AE9"/>
    <w:rsid w:val="0057700D"/>
    <w:rsid w:val="00577B19"/>
    <w:rsid w:val="00580E5A"/>
    <w:rsid w:val="005814AB"/>
    <w:rsid w:val="00582ACA"/>
    <w:rsid w:val="00583960"/>
    <w:rsid w:val="00583A07"/>
    <w:rsid w:val="00583FBB"/>
    <w:rsid w:val="00584148"/>
    <w:rsid w:val="00584230"/>
    <w:rsid w:val="00584FA4"/>
    <w:rsid w:val="005856BA"/>
    <w:rsid w:val="005857F3"/>
    <w:rsid w:val="00585B00"/>
    <w:rsid w:val="00586005"/>
    <w:rsid w:val="00586E03"/>
    <w:rsid w:val="00587A0C"/>
    <w:rsid w:val="00587D0C"/>
    <w:rsid w:val="005902F7"/>
    <w:rsid w:val="00590C2A"/>
    <w:rsid w:val="00591742"/>
    <w:rsid w:val="00591BF0"/>
    <w:rsid w:val="00592EAB"/>
    <w:rsid w:val="00594705"/>
    <w:rsid w:val="00594DA6"/>
    <w:rsid w:val="00594E3F"/>
    <w:rsid w:val="00595932"/>
    <w:rsid w:val="005979B7"/>
    <w:rsid w:val="00597D2A"/>
    <w:rsid w:val="005A00E2"/>
    <w:rsid w:val="005A0A27"/>
    <w:rsid w:val="005A0C94"/>
    <w:rsid w:val="005A126D"/>
    <w:rsid w:val="005A187C"/>
    <w:rsid w:val="005A509E"/>
    <w:rsid w:val="005A5AF5"/>
    <w:rsid w:val="005A5B45"/>
    <w:rsid w:val="005A6208"/>
    <w:rsid w:val="005A660B"/>
    <w:rsid w:val="005A6718"/>
    <w:rsid w:val="005A6931"/>
    <w:rsid w:val="005B0194"/>
    <w:rsid w:val="005B14DB"/>
    <w:rsid w:val="005B2980"/>
    <w:rsid w:val="005B2A93"/>
    <w:rsid w:val="005B38DA"/>
    <w:rsid w:val="005B483D"/>
    <w:rsid w:val="005B4BB9"/>
    <w:rsid w:val="005B4E6D"/>
    <w:rsid w:val="005B5229"/>
    <w:rsid w:val="005B552D"/>
    <w:rsid w:val="005B5CF2"/>
    <w:rsid w:val="005B60C6"/>
    <w:rsid w:val="005B76BF"/>
    <w:rsid w:val="005B7DF3"/>
    <w:rsid w:val="005B7F3B"/>
    <w:rsid w:val="005C068F"/>
    <w:rsid w:val="005C086E"/>
    <w:rsid w:val="005C0FA4"/>
    <w:rsid w:val="005C295D"/>
    <w:rsid w:val="005C2B7F"/>
    <w:rsid w:val="005C2BFD"/>
    <w:rsid w:val="005C2CA5"/>
    <w:rsid w:val="005C32BF"/>
    <w:rsid w:val="005C3360"/>
    <w:rsid w:val="005C4648"/>
    <w:rsid w:val="005C49A7"/>
    <w:rsid w:val="005C4EC0"/>
    <w:rsid w:val="005C4EF6"/>
    <w:rsid w:val="005C4F49"/>
    <w:rsid w:val="005C62C2"/>
    <w:rsid w:val="005C69F3"/>
    <w:rsid w:val="005C6BAE"/>
    <w:rsid w:val="005C70C2"/>
    <w:rsid w:val="005D024B"/>
    <w:rsid w:val="005D06DB"/>
    <w:rsid w:val="005D0A59"/>
    <w:rsid w:val="005D14B8"/>
    <w:rsid w:val="005D165B"/>
    <w:rsid w:val="005D18CE"/>
    <w:rsid w:val="005D1BAC"/>
    <w:rsid w:val="005D1C08"/>
    <w:rsid w:val="005D1D64"/>
    <w:rsid w:val="005D1F8F"/>
    <w:rsid w:val="005D2619"/>
    <w:rsid w:val="005D3098"/>
    <w:rsid w:val="005D325A"/>
    <w:rsid w:val="005D5628"/>
    <w:rsid w:val="005D70F5"/>
    <w:rsid w:val="005D75B8"/>
    <w:rsid w:val="005D768C"/>
    <w:rsid w:val="005D7D63"/>
    <w:rsid w:val="005E0920"/>
    <w:rsid w:val="005E104A"/>
    <w:rsid w:val="005E1E88"/>
    <w:rsid w:val="005E2070"/>
    <w:rsid w:val="005E20FB"/>
    <w:rsid w:val="005E2354"/>
    <w:rsid w:val="005E246A"/>
    <w:rsid w:val="005E333C"/>
    <w:rsid w:val="005E3A8A"/>
    <w:rsid w:val="005E5A03"/>
    <w:rsid w:val="005E6F46"/>
    <w:rsid w:val="005E7806"/>
    <w:rsid w:val="005F050F"/>
    <w:rsid w:val="005F10B2"/>
    <w:rsid w:val="005F118B"/>
    <w:rsid w:val="005F155D"/>
    <w:rsid w:val="005F1801"/>
    <w:rsid w:val="005F1BAA"/>
    <w:rsid w:val="005F1F07"/>
    <w:rsid w:val="005F2BE2"/>
    <w:rsid w:val="005F362E"/>
    <w:rsid w:val="005F5905"/>
    <w:rsid w:val="005F5D8C"/>
    <w:rsid w:val="005F7E2F"/>
    <w:rsid w:val="00600B1C"/>
    <w:rsid w:val="00600EA4"/>
    <w:rsid w:val="006011BD"/>
    <w:rsid w:val="006014A6"/>
    <w:rsid w:val="00601FB2"/>
    <w:rsid w:val="006020CA"/>
    <w:rsid w:val="00602C13"/>
    <w:rsid w:val="00602F8E"/>
    <w:rsid w:val="00603278"/>
    <w:rsid w:val="00603814"/>
    <w:rsid w:val="00603D40"/>
    <w:rsid w:val="00604E12"/>
    <w:rsid w:val="00610206"/>
    <w:rsid w:val="0061028C"/>
    <w:rsid w:val="00610756"/>
    <w:rsid w:val="00611000"/>
    <w:rsid w:val="0061106B"/>
    <w:rsid w:val="0061125A"/>
    <w:rsid w:val="00613435"/>
    <w:rsid w:val="00613C37"/>
    <w:rsid w:val="00614926"/>
    <w:rsid w:val="0061507C"/>
    <w:rsid w:val="006160DA"/>
    <w:rsid w:val="0061676B"/>
    <w:rsid w:val="0061741F"/>
    <w:rsid w:val="00617588"/>
    <w:rsid w:val="00617932"/>
    <w:rsid w:val="00617BA7"/>
    <w:rsid w:val="006202BD"/>
    <w:rsid w:val="006214E8"/>
    <w:rsid w:val="0062279D"/>
    <w:rsid w:val="00622E0F"/>
    <w:rsid w:val="00622FD4"/>
    <w:rsid w:val="00623148"/>
    <w:rsid w:val="00623896"/>
    <w:rsid w:val="00623E67"/>
    <w:rsid w:val="00624A60"/>
    <w:rsid w:val="00625852"/>
    <w:rsid w:val="00625989"/>
    <w:rsid w:val="0062606F"/>
    <w:rsid w:val="00626175"/>
    <w:rsid w:val="00626433"/>
    <w:rsid w:val="00626505"/>
    <w:rsid w:val="006267D7"/>
    <w:rsid w:val="00626EF5"/>
    <w:rsid w:val="006277B6"/>
    <w:rsid w:val="00627B13"/>
    <w:rsid w:val="00627B4E"/>
    <w:rsid w:val="0063054C"/>
    <w:rsid w:val="0063119A"/>
    <w:rsid w:val="006312E8"/>
    <w:rsid w:val="00631648"/>
    <w:rsid w:val="00631975"/>
    <w:rsid w:val="006320EB"/>
    <w:rsid w:val="006323D7"/>
    <w:rsid w:val="00632434"/>
    <w:rsid w:val="00632FAB"/>
    <w:rsid w:val="0063445E"/>
    <w:rsid w:val="00634B7F"/>
    <w:rsid w:val="00634BFB"/>
    <w:rsid w:val="006351AD"/>
    <w:rsid w:val="00635509"/>
    <w:rsid w:val="00635685"/>
    <w:rsid w:val="006363A3"/>
    <w:rsid w:val="006364E2"/>
    <w:rsid w:val="00637D40"/>
    <w:rsid w:val="00640479"/>
    <w:rsid w:val="006405A2"/>
    <w:rsid w:val="0064079C"/>
    <w:rsid w:val="00640D62"/>
    <w:rsid w:val="0064135F"/>
    <w:rsid w:val="00641467"/>
    <w:rsid w:val="006422AF"/>
    <w:rsid w:val="00642C8A"/>
    <w:rsid w:val="00644B6D"/>
    <w:rsid w:val="006454C2"/>
    <w:rsid w:val="006455B0"/>
    <w:rsid w:val="006457C7"/>
    <w:rsid w:val="006457EE"/>
    <w:rsid w:val="00645D73"/>
    <w:rsid w:val="0064662D"/>
    <w:rsid w:val="00646A89"/>
    <w:rsid w:val="0065113B"/>
    <w:rsid w:val="00651E8E"/>
    <w:rsid w:val="00652E97"/>
    <w:rsid w:val="00652ED6"/>
    <w:rsid w:val="00653823"/>
    <w:rsid w:val="00653CF4"/>
    <w:rsid w:val="00654297"/>
    <w:rsid w:val="0065435E"/>
    <w:rsid w:val="00655232"/>
    <w:rsid w:val="00657431"/>
    <w:rsid w:val="00657450"/>
    <w:rsid w:val="00657875"/>
    <w:rsid w:val="006579A7"/>
    <w:rsid w:val="00657C3F"/>
    <w:rsid w:val="00660050"/>
    <w:rsid w:val="0066104E"/>
    <w:rsid w:val="00661576"/>
    <w:rsid w:val="00661B1A"/>
    <w:rsid w:val="00662B29"/>
    <w:rsid w:val="00662B77"/>
    <w:rsid w:val="00662F8E"/>
    <w:rsid w:val="00663513"/>
    <w:rsid w:val="006640CF"/>
    <w:rsid w:val="006646C1"/>
    <w:rsid w:val="00664F0E"/>
    <w:rsid w:val="006656C8"/>
    <w:rsid w:val="00665ADD"/>
    <w:rsid w:val="00666B7E"/>
    <w:rsid w:val="00666BFE"/>
    <w:rsid w:val="00666D12"/>
    <w:rsid w:val="00666E03"/>
    <w:rsid w:val="00666F22"/>
    <w:rsid w:val="00666FC6"/>
    <w:rsid w:val="00666FF2"/>
    <w:rsid w:val="006673C0"/>
    <w:rsid w:val="006678E8"/>
    <w:rsid w:val="006701FB"/>
    <w:rsid w:val="00670348"/>
    <w:rsid w:val="006706D8"/>
    <w:rsid w:val="00671179"/>
    <w:rsid w:val="006712F8"/>
    <w:rsid w:val="00671BA2"/>
    <w:rsid w:val="00671CF0"/>
    <w:rsid w:val="0067241E"/>
    <w:rsid w:val="0067289C"/>
    <w:rsid w:val="00673418"/>
    <w:rsid w:val="006739A1"/>
    <w:rsid w:val="006739ED"/>
    <w:rsid w:val="0067432C"/>
    <w:rsid w:val="00674C3F"/>
    <w:rsid w:val="00675453"/>
    <w:rsid w:val="00675D06"/>
    <w:rsid w:val="0067608D"/>
    <w:rsid w:val="00676765"/>
    <w:rsid w:val="00676785"/>
    <w:rsid w:val="006778C1"/>
    <w:rsid w:val="00680237"/>
    <w:rsid w:val="00680512"/>
    <w:rsid w:val="00681311"/>
    <w:rsid w:val="006822CD"/>
    <w:rsid w:val="00683175"/>
    <w:rsid w:val="00683BF9"/>
    <w:rsid w:val="00683FAF"/>
    <w:rsid w:val="0068441F"/>
    <w:rsid w:val="00684AE0"/>
    <w:rsid w:val="006851F1"/>
    <w:rsid w:val="006861A3"/>
    <w:rsid w:val="0068663A"/>
    <w:rsid w:val="00687E1C"/>
    <w:rsid w:val="00690A8C"/>
    <w:rsid w:val="00691F16"/>
    <w:rsid w:val="00692541"/>
    <w:rsid w:val="006934B2"/>
    <w:rsid w:val="00693A07"/>
    <w:rsid w:val="00693BAD"/>
    <w:rsid w:val="006967BC"/>
    <w:rsid w:val="0069685E"/>
    <w:rsid w:val="00696AC3"/>
    <w:rsid w:val="006A2C5C"/>
    <w:rsid w:val="006A3CC9"/>
    <w:rsid w:val="006A5477"/>
    <w:rsid w:val="006A5D2C"/>
    <w:rsid w:val="006A66FC"/>
    <w:rsid w:val="006A7C54"/>
    <w:rsid w:val="006B0F1D"/>
    <w:rsid w:val="006B1639"/>
    <w:rsid w:val="006B24D2"/>
    <w:rsid w:val="006B352F"/>
    <w:rsid w:val="006B35C6"/>
    <w:rsid w:val="006B384B"/>
    <w:rsid w:val="006B3D29"/>
    <w:rsid w:val="006B423B"/>
    <w:rsid w:val="006B4867"/>
    <w:rsid w:val="006B4908"/>
    <w:rsid w:val="006B672F"/>
    <w:rsid w:val="006B780F"/>
    <w:rsid w:val="006B7D95"/>
    <w:rsid w:val="006B7FDC"/>
    <w:rsid w:val="006C05B1"/>
    <w:rsid w:val="006C1282"/>
    <w:rsid w:val="006C33A9"/>
    <w:rsid w:val="006C35F6"/>
    <w:rsid w:val="006C366F"/>
    <w:rsid w:val="006C3F33"/>
    <w:rsid w:val="006C4501"/>
    <w:rsid w:val="006C4543"/>
    <w:rsid w:val="006C4591"/>
    <w:rsid w:val="006C4C6A"/>
    <w:rsid w:val="006C5051"/>
    <w:rsid w:val="006C586E"/>
    <w:rsid w:val="006C608F"/>
    <w:rsid w:val="006C6432"/>
    <w:rsid w:val="006C6594"/>
    <w:rsid w:val="006C6D75"/>
    <w:rsid w:val="006C7CA9"/>
    <w:rsid w:val="006C7E86"/>
    <w:rsid w:val="006D15A4"/>
    <w:rsid w:val="006D16B5"/>
    <w:rsid w:val="006D2E2F"/>
    <w:rsid w:val="006D31EE"/>
    <w:rsid w:val="006D41E1"/>
    <w:rsid w:val="006D49BD"/>
    <w:rsid w:val="006D4AB4"/>
    <w:rsid w:val="006D5AF0"/>
    <w:rsid w:val="006D5DBC"/>
    <w:rsid w:val="006D72FD"/>
    <w:rsid w:val="006D7361"/>
    <w:rsid w:val="006D7565"/>
    <w:rsid w:val="006D7B49"/>
    <w:rsid w:val="006D7D46"/>
    <w:rsid w:val="006E060C"/>
    <w:rsid w:val="006E08CA"/>
    <w:rsid w:val="006E1056"/>
    <w:rsid w:val="006E14BA"/>
    <w:rsid w:val="006E1786"/>
    <w:rsid w:val="006E1C83"/>
    <w:rsid w:val="006E2984"/>
    <w:rsid w:val="006E2DD7"/>
    <w:rsid w:val="006E2F0D"/>
    <w:rsid w:val="006E2F5F"/>
    <w:rsid w:val="006E308C"/>
    <w:rsid w:val="006E355E"/>
    <w:rsid w:val="006E412F"/>
    <w:rsid w:val="006E433D"/>
    <w:rsid w:val="006E4E73"/>
    <w:rsid w:val="006E4E7D"/>
    <w:rsid w:val="006E5DEC"/>
    <w:rsid w:val="006E60B1"/>
    <w:rsid w:val="006E6661"/>
    <w:rsid w:val="006E6929"/>
    <w:rsid w:val="006E74BE"/>
    <w:rsid w:val="006E7BB1"/>
    <w:rsid w:val="006E7CBD"/>
    <w:rsid w:val="006F01F4"/>
    <w:rsid w:val="006F05E7"/>
    <w:rsid w:val="006F1B53"/>
    <w:rsid w:val="006F24BA"/>
    <w:rsid w:val="006F374A"/>
    <w:rsid w:val="006F4C23"/>
    <w:rsid w:val="006F53EA"/>
    <w:rsid w:val="006F558C"/>
    <w:rsid w:val="006F56B0"/>
    <w:rsid w:val="006F5CF8"/>
    <w:rsid w:val="006F65DB"/>
    <w:rsid w:val="006F67DC"/>
    <w:rsid w:val="006F6919"/>
    <w:rsid w:val="006F6B96"/>
    <w:rsid w:val="006F6C87"/>
    <w:rsid w:val="006F772F"/>
    <w:rsid w:val="006F78FF"/>
    <w:rsid w:val="00700BE6"/>
    <w:rsid w:val="0070149B"/>
    <w:rsid w:val="0070199C"/>
    <w:rsid w:val="0070222E"/>
    <w:rsid w:val="007049F7"/>
    <w:rsid w:val="00704EC2"/>
    <w:rsid w:val="0070584E"/>
    <w:rsid w:val="0070679D"/>
    <w:rsid w:val="00707676"/>
    <w:rsid w:val="00710798"/>
    <w:rsid w:val="0071178F"/>
    <w:rsid w:val="00711EFE"/>
    <w:rsid w:val="00712643"/>
    <w:rsid w:val="00713502"/>
    <w:rsid w:val="00713BCD"/>
    <w:rsid w:val="0071433E"/>
    <w:rsid w:val="0071441C"/>
    <w:rsid w:val="00714BEB"/>
    <w:rsid w:val="00714D8B"/>
    <w:rsid w:val="007152D8"/>
    <w:rsid w:val="007153C7"/>
    <w:rsid w:val="00715E09"/>
    <w:rsid w:val="00716CF1"/>
    <w:rsid w:val="007171B9"/>
    <w:rsid w:val="0071752D"/>
    <w:rsid w:val="00717700"/>
    <w:rsid w:val="007200C1"/>
    <w:rsid w:val="007204BE"/>
    <w:rsid w:val="007209ED"/>
    <w:rsid w:val="00721C2F"/>
    <w:rsid w:val="00721E43"/>
    <w:rsid w:val="00722B98"/>
    <w:rsid w:val="007230C3"/>
    <w:rsid w:val="00723AC8"/>
    <w:rsid w:val="007249A1"/>
    <w:rsid w:val="00724A3E"/>
    <w:rsid w:val="00725547"/>
    <w:rsid w:val="007255D2"/>
    <w:rsid w:val="00725942"/>
    <w:rsid w:val="00725965"/>
    <w:rsid w:val="00726D39"/>
    <w:rsid w:val="00726FE5"/>
    <w:rsid w:val="00727BE4"/>
    <w:rsid w:val="00727E2C"/>
    <w:rsid w:val="00727E45"/>
    <w:rsid w:val="00731AAC"/>
    <w:rsid w:val="007326D8"/>
    <w:rsid w:val="00732A42"/>
    <w:rsid w:val="00732C06"/>
    <w:rsid w:val="00732E9E"/>
    <w:rsid w:val="00733993"/>
    <w:rsid w:val="00733DB1"/>
    <w:rsid w:val="00733E34"/>
    <w:rsid w:val="00733E79"/>
    <w:rsid w:val="00734E12"/>
    <w:rsid w:val="00734EA3"/>
    <w:rsid w:val="007351C1"/>
    <w:rsid w:val="00736DF4"/>
    <w:rsid w:val="00737E91"/>
    <w:rsid w:val="0074017E"/>
    <w:rsid w:val="00741616"/>
    <w:rsid w:val="00741696"/>
    <w:rsid w:val="00741E48"/>
    <w:rsid w:val="00741F16"/>
    <w:rsid w:val="00741FBB"/>
    <w:rsid w:val="00743076"/>
    <w:rsid w:val="00744155"/>
    <w:rsid w:val="00744F0A"/>
    <w:rsid w:val="0074545E"/>
    <w:rsid w:val="007455A5"/>
    <w:rsid w:val="0074618D"/>
    <w:rsid w:val="007504ED"/>
    <w:rsid w:val="007510E6"/>
    <w:rsid w:val="0075158E"/>
    <w:rsid w:val="00751F77"/>
    <w:rsid w:val="00753130"/>
    <w:rsid w:val="00753167"/>
    <w:rsid w:val="00753703"/>
    <w:rsid w:val="0075405D"/>
    <w:rsid w:val="0075436D"/>
    <w:rsid w:val="00754695"/>
    <w:rsid w:val="007547B5"/>
    <w:rsid w:val="007553B6"/>
    <w:rsid w:val="00755589"/>
    <w:rsid w:val="00755925"/>
    <w:rsid w:val="00755EDA"/>
    <w:rsid w:val="00756BAF"/>
    <w:rsid w:val="00756BDA"/>
    <w:rsid w:val="007574E5"/>
    <w:rsid w:val="0076016D"/>
    <w:rsid w:val="00760424"/>
    <w:rsid w:val="00760BDE"/>
    <w:rsid w:val="0076110B"/>
    <w:rsid w:val="007629B2"/>
    <w:rsid w:val="00763362"/>
    <w:rsid w:val="0076338B"/>
    <w:rsid w:val="00764A49"/>
    <w:rsid w:val="00765299"/>
    <w:rsid w:val="00766854"/>
    <w:rsid w:val="00767244"/>
    <w:rsid w:val="00767CFE"/>
    <w:rsid w:val="007709E1"/>
    <w:rsid w:val="007713E1"/>
    <w:rsid w:val="0077214F"/>
    <w:rsid w:val="0077280F"/>
    <w:rsid w:val="00772967"/>
    <w:rsid w:val="00772FA6"/>
    <w:rsid w:val="0077327F"/>
    <w:rsid w:val="007736DC"/>
    <w:rsid w:val="00774543"/>
    <w:rsid w:val="007748E5"/>
    <w:rsid w:val="00774E33"/>
    <w:rsid w:val="00774F4F"/>
    <w:rsid w:val="0077563F"/>
    <w:rsid w:val="00775742"/>
    <w:rsid w:val="007758C0"/>
    <w:rsid w:val="0077678E"/>
    <w:rsid w:val="007770FD"/>
    <w:rsid w:val="0077771D"/>
    <w:rsid w:val="00777C7E"/>
    <w:rsid w:val="007800B7"/>
    <w:rsid w:val="007808C6"/>
    <w:rsid w:val="00780A38"/>
    <w:rsid w:val="00781530"/>
    <w:rsid w:val="00782462"/>
    <w:rsid w:val="00782BAE"/>
    <w:rsid w:val="00783921"/>
    <w:rsid w:val="00784124"/>
    <w:rsid w:val="00784D13"/>
    <w:rsid w:val="007851DD"/>
    <w:rsid w:val="0078563E"/>
    <w:rsid w:val="00785B88"/>
    <w:rsid w:val="00785C6B"/>
    <w:rsid w:val="00785F3E"/>
    <w:rsid w:val="0078679F"/>
    <w:rsid w:val="00786AE0"/>
    <w:rsid w:val="00786B29"/>
    <w:rsid w:val="00786DA7"/>
    <w:rsid w:val="00790544"/>
    <w:rsid w:val="007906B0"/>
    <w:rsid w:val="00790D76"/>
    <w:rsid w:val="00790FCA"/>
    <w:rsid w:val="00791250"/>
    <w:rsid w:val="007919B5"/>
    <w:rsid w:val="00791A36"/>
    <w:rsid w:val="00792F9A"/>
    <w:rsid w:val="0079331F"/>
    <w:rsid w:val="007935BA"/>
    <w:rsid w:val="0079365E"/>
    <w:rsid w:val="00793849"/>
    <w:rsid w:val="00793AF2"/>
    <w:rsid w:val="00794161"/>
    <w:rsid w:val="007942B4"/>
    <w:rsid w:val="00796037"/>
    <w:rsid w:val="007961B8"/>
    <w:rsid w:val="0079671E"/>
    <w:rsid w:val="00797411"/>
    <w:rsid w:val="00797528"/>
    <w:rsid w:val="00797677"/>
    <w:rsid w:val="007A01EF"/>
    <w:rsid w:val="007A0686"/>
    <w:rsid w:val="007A07F4"/>
    <w:rsid w:val="007A1135"/>
    <w:rsid w:val="007A2CB7"/>
    <w:rsid w:val="007A35CA"/>
    <w:rsid w:val="007A38F8"/>
    <w:rsid w:val="007A4F1C"/>
    <w:rsid w:val="007A5118"/>
    <w:rsid w:val="007A541E"/>
    <w:rsid w:val="007A5D57"/>
    <w:rsid w:val="007B00FC"/>
    <w:rsid w:val="007B034C"/>
    <w:rsid w:val="007B08EA"/>
    <w:rsid w:val="007B0DDE"/>
    <w:rsid w:val="007B1DE1"/>
    <w:rsid w:val="007B2107"/>
    <w:rsid w:val="007B2D47"/>
    <w:rsid w:val="007B3D6C"/>
    <w:rsid w:val="007B4071"/>
    <w:rsid w:val="007B434E"/>
    <w:rsid w:val="007B6008"/>
    <w:rsid w:val="007B6115"/>
    <w:rsid w:val="007B6C6D"/>
    <w:rsid w:val="007B7AE0"/>
    <w:rsid w:val="007C0522"/>
    <w:rsid w:val="007C0EFF"/>
    <w:rsid w:val="007C13D5"/>
    <w:rsid w:val="007C1633"/>
    <w:rsid w:val="007C1D17"/>
    <w:rsid w:val="007C2231"/>
    <w:rsid w:val="007C26C8"/>
    <w:rsid w:val="007C3350"/>
    <w:rsid w:val="007C3B2C"/>
    <w:rsid w:val="007C3E73"/>
    <w:rsid w:val="007C5EBC"/>
    <w:rsid w:val="007C6039"/>
    <w:rsid w:val="007C6EA9"/>
    <w:rsid w:val="007C7203"/>
    <w:rsid w:val="007C790D"/>
    <w:rsid w:val="007C791F"/>
    <w:rsid w:val="007C7B86"/>
    <w:rsid w:val="007D0D59"/>
    <w:rsid w:val="007D0FCA"/>
    <w:rsid w:val="007D1181"/>
    <w:rsid w:val="007D14B5"/>
    <w:rsid w:val="007D24FC"/>
    <w:rsid w:val="007D2815"/>
    <w:rsid w:val="007D2E43"/>
    <w:rsid w:val="007D2ED9"/>
    <w:rsid w:val="007D3AEF"/>
    <w:rsid w:val="007D427F"/>
    <w:rsid w:val="007D432B"/>
    <w:rsid w:val="007D446A"/>
    <w:rsid w:val="007D5158"/>
    <w:rsid w:val="007D544F"/>
    <w:rsid w:val="007D64E2"/>
    <w:rsid w:val="007D7290"/>
    <w:rsid w:val="007D7BFE"/>
    <w:rsid w:val="007D7F65"/>
    <w:rsid w:val="007E03C5"/>
    <w:rsid w:val="007E04D8"/>
    <w:rsid w:val="007E1337"/>
    <w:rsid w:val="007E153E"/>
    <w:rsid w:val="007E16EC"/>
    <w:rsid w:val="007E3A46"/>
    <w:rsid w:val="007E45ED"/>
    <w:rsid w:val="007E494D"/>
    <w:rsid w:val="007E5035"/>
    <w:rsid w:val="007E5869"/>
    <w:rsid w:val="007E6C87"/>
    <w:rsid w:val="007E74C2"/>
    <w:rsid w:val="007F04F7"/>
    <w:rsid w:val="007F066D"/>
    <w:rsid w:val="007F15C8"/>
    <w:rsid w:val="007F1D2A"/>
    <w:rsid w:val="007F2051"/>
    <w:rsid w:val="007F22FC"/>
    <w:rsid w:val="007F2A73"/>
    <w:rsid w:val="007F31FC"/>
    <w:rsid w:val="007F3310"/>
    <w:rsid w:val="007F347D"/>
    <w:rsid w:val="007F56AC"/>
    <w:rsid w:val="007F597C"/>
    <w:rsid w:val="007F7468"/>
    <w:rsid w:val="007F7FAC"/>
    <w:rsid w:val="008002F0"/>
    <w:rsid w:val="00800C30"/>
    <w:rsid w:val="00800C69"/>
    <w:rsid w:val="0080123B"/>
    <w:rsid w:val="00801700"/>
    <w:rsid w:val="00802609"/>
    <w:rsid w:val="00802902"/>
    <w:rsid w:val="008029B6"/>
    <w:rsid w:val="00802B35"/>
    <w:rsid w:val="008048E3"/>
    <w:rsid w:val="008050C6"/>
    <w:rsid w:val="008058EF"/>
    <w:rsid w:val="00805D0F"/>
    <w:rsid w:val="00806489"/>
    <w:rsid w:val="00806A46"/>
    <w:rsid w:val="00807110"/>
    <w:rsid w:val="0080743C"/>
    <w:rsid w:val="008074C1"/>
    <w:rsid w:val="0081021D"/>
    <w:rsid w:val="00810454"/>
    <w:rsid w:val="0081078E"/>
    <w:rsid w:val="0081079D"/>
    <w:rsid w:val="00810DC1"/>
    <w:rsid w:val="00810EE2"/>
    <w:rsid w:val="008111DC"/>
    <w:rsid w:val="008125D7"/>
    <w:rsid w:val="00812F9A"/>
    <w:rsid w:val="00814938"/>
    <w:rsid w:val="00814961"/>
    <w:rsid w:val="00814B47"/>
    <w:rsid w:val="00815034"/>
    <w:rsid w:val="008150F0"/>
    <w:rsid w:val="00815194"/>
    <w:rsid w:val="00815737"/>
    <w:rsid w:val="00815CEB"/>
    <w:rsid w:val="00815F60"/>
    <w:rsid w:val="008161F2"/>
    <w:rsid w:val="0082056B"/>
    <w:rsid w:val="00820BA6"/>
    <w:rsid w:val="00821237"/>
    <w:rsid w:val="00822B37"/>
    <w:rsid w:val="00822C59"/>
    <w:rsid w:val="00822E96"/>
    <w:rsid w:val="00823D2E"/>
    <w:rsid w:val="008241C2"/>
    <w:rsid w:val="00824321"/>
    <w:rsid w:val="008255BA"/>
    <w:rsid w:val="008258C1"/>
    <w:rsid w:val="00826966"/>
    <w:rsid w:val="00826F28"/>
    <w:rsid w:val="00827080"/>
    <w:rsid w:val="00831B23"/>
    <w:rsid w:val="00831D33"/>
    <w:rsid w:val="00832DA3"/>
    <w:rsid w:val="008348A1"/>
    <w:rsid w:val="008354EC"/>
    <w:rsid w:val="00835A7D"/>
    <w:rsid w:val="00835F65"/>
    <w:rsid w:val="008403AC"/>
    <w:rsid w:val="008407C7"/>
    <w:rsid w:val="008408C7"/>
    <w:rsid w:val="00841211"/>
    <w:rsid w:val="00841305"/>
    <w:rsid w:val="008416D3"/>
    <w:rsid w:val="00841CAE"/>
    <w:rsid w:val="00841E21"/>
    <w:rsid w:val="00841F64"/>
    <w:rsid w:val="0084244D"/>
    <w:rsid w:val="00842485"/>
    <w:rsid w:val="00842623"/>
    <w:rsid w:val="008428BC"/>
    <w:rsid w:val="008429E3"/>
    <w:rsid w:val="00842AAC"/>
    <w:rsid w:val="00842CDD"/>
    <w:rsid w:val="0084327E"/>
    <w:rsid w:val="00843C69"/>
    <w:rsid w:val="008441DB"/>
    <w:rsid w:val="00844216"/>
    <w:rsid w:val="00844D33"/>
    <w:rsid w:val="00844E2E"/>
    <w:rsid w:val="0084709B"/>
    <w:rsid w:val="0084741A"/>
    <w:rsid w:val="0084772F"/>
    <w:rsid w:val="00847F59"/>
    <w:rsid w:val="00850365"/>
    <w:rsid w:val="0085230C"/>
    <w:rsid w:val="00852AFF"/>
    <w:rsid w:val="0085462D"/>
    <w:rsid w:val="008549B8"/>
    <w:rsid w:val="0085561A"/>
    <w:rsid w:val="008556D9"/>
    <w:rsid w:val="00855A45"/>
    <w:rsid w:val="00856165"/>
    <w:rsid w:val="008562FE"/>
    <w:rsid w:val="00856E3A"/>
    <w:rsid w:val="0086042A"/>
    <w:rsid w:val="00860A14"/>
    <w:rsid w:val="00860E3D"/>
    <w:rsid w:val="0086186B"/>
    <w:rsid w:val="00861C43"/>
    <w:rsid w:val="008628D0"/>
    <w:rsid w:val="00862CF0"/>
    <w:rsid w:val="00862E57"/>
    <w:rsid w:val="00862FA0"/>
    <w:rsid w:val="00863372"/>
    <w:rsid w:val="00863536"/>
    <w:rsid w:val="008640E9"/>
    <w:rsid w:val="0086430C"/>
    <w:rsid w:val="00865716"/>
    <w:rsid w:val="0086592D"/>
    <w:rsid w:val="00866E2C"/>
    <w:rsid w:val="00867209"/>
    <w:rsid w:val="0087014F"/>
    <w:rsid w:val="008704EE"/>
    <w:rsid w:val="00870EB5"/>
    <w:rsid w:val="00871765"/>
    <w:rsid w:val="00872740"/>
    <w:rsid w:val="00872FE1"/>
    <w:rsid w:val="00873010"/>
    <w:rsid w:val="00873099"/>
    <w:rsid w:val="0087422A"/>
    <w:rsid w:val="00874C01"/>
    <w:rsid w:val="00875081"/>
    <w:rsid w:val="00875EF6"/>
    <w:rsid w:val="0087605F"/>
    <w:rsid w:val="008760E6"/>
    <w:rsid w:val="008762D8"/>
    <w:rsid w:val="008766D9"/>
    <w:rsid w:val="00876A69"/>
    <w:rsid w:val="00876AC2"/>
    <w:rsid w:val="00877AD0"/>
    <w:rsid w:val="00877AEE"/>
    <w:rsid w:val="00877D86"/>
    <w:rsid w:val="008805B9"/>
    <w:rsid w:val="00880658"/>
    <w:rsid w:val="00880813"/>
    <w:rsid w:val="00881121"/>
    <w:rsid w:val="0088142B"/>
    <w:rsid w:val="00881A4C"/>
    <w:rsid w:val="00881AFF"/>
    <w:rsid w:val="0088288F"/>
    <w:rsid w:val="00882B0B"/>
    <w:rsid w:val="00883564"/>
    <w:rsid w:val="00883593"/>
    <w:rsid w:val="008836B7"/>
    <w:rsid w:val="00883A50"/>
    <w:rsid w:val="008841E8"/>
    <w:rsid w:val="00884FD9"/>
    <w:rsid w:val="00886231"/>
    <w:rsid w:val="008862D5"/>
    <w:rsid w:val="00887F49"/>
    <w:rsid w:val="00890496"/>
    <w:rsid w:val="00890501"/>
    <w:rsid w:val="00890733"/>
    <w:rsid w:val="0089099C"/>
    <w:rsid w:val="00891014"/>
    <w:rsid w:val="008912F4"/>
    <w:rsid w:val="00891409"/>
    <w:rsid w:val="00891606"/>
    <w:rsid w:val="008917BA"/>
    <w:rsid w:val="00891CBF"/>
    <w:rsid w:val="00893403"/>
    <w:rsid w:val="008939B9"/>
    <w:rsid w:val="00893A47"/>
    <w:rsid w:val="00894024"/>
    <w:rsid w:val="00894038"/>
    <w:rsid w:val="0089433F"/>
    <w:rsid w:val="008943CD"/>
    <w:rsid w:val="00894D39"/>
    <w:rsid w:val="008957D6"/>
    <w:rsid w:val="00896293"/>
    <w:rsid w:val="00896A93"/>
    <w:rsid w:val="0089741B"/>
    <w:rsid w:val="00897C04"/>
    <w:rsid w:val="008A05CE"/>
    <w:rsid w:val="008A12F4"/>
    <w:rsid w:val="008A1650"/>
    <w:rsid w:val="008A2CA9"/>
    <w:rsid w:val="008A2DF4"/>
    <w:rsid w:val="008A3228"/>
    <w:rsid w:val="008A38E0"/>
    <w:rsid w:val="008A41B9"/>
    <w:rsid w:val="008A4BCC"/>
    <w:rsid w:val="008A4F08"/>
    <w:rsid w:val="008A4F77"/>
    <w:rsid w:val="008A5FFB"/>
    <w:rsid w:val="008A6229"/>
    <w:rsid w:val="008A69AC"/>
    <w:rsid w:val="008A7582"/>
    <w:rsid w:val="008A783C"/>
    <w:rsid w:val="008A7DD9"/>
    <w:rsid w:val="008B0A36"/>
    <w:rsid w:val="008B1AAF"/>
    <w:rsid w:val="008B1D70"/>
    <w:rsid w:val="008B34FF"/>
    <w:rsid w:val="008B481F"/>
    <w:rsid w:val="008B53A4"/>
    <w:rsid w:val="008B5826"/>
    <w:rsid w:val="008B649D"/>
    <w:rsid w:val="008B6778"/>
    <w:rsid w:val="008B7207"/>
    <w:rsid w:val="008B77C7"/>
    <w:rsid w:val="008B7B09"/>
    <w:rsid w:val="008C07AA"/>
    <w:rsid w:val="008C1FD2"/>
    <w:rsid w:val="008C2087"/>
    <w:rsid w:val="008C2EEA"/>
    <w:rsid w:val="008C3026"/>
    <w:rsid w:val="008C3781"/>
    <w:rsid w:val="008C41CF"/>
    <w:rsid w:val="008C5029"/>
    <w:rsid w:val="008C5422"/>
    <w:rsid w:val="008C5B7F"/>
    <w:rsid w:val="008C6024"/>
    <w:rsid w:val="008C6115"/>
    <w:rsid w:val="008C627B"/>
    <w:rsid w:val="008C62E2"/>
    <w:rsid w:val="008C638E"/>
    <w:rsid w:val="008C6727"/>
    <w:rsid w:val="008C730C"/>
    <w:rsid w:val="008C7DB2"/>
    <w:rsid w:val="008D11C0"/>
    <w:rsid w:val="008D234D"/>
    <w:rsid w:val="008D2871"/>
    <w:rsid w:val="008D30B4"/>
    <w:rsid w:val="008D31AB"/>
    <w:rsid w:val="008D32E3"/>
    <w:rsid w:val="008D332E"/>
    <w:rsid w:val="008D4037"/>
    <w:rsid w:val="008D41FC"/>
    <w:rsid w:val="008D42C0"/>
    <w:rsid w:val="008D4306"/>
    <w:rsid w:val="008D48B9"/>
    <w:rsid w:val="008D4908"/>
    <w:rsid w:val="008D519E"/>
    <w:rsid w:val="008D58D1"/>
    <w:rsid w:val="008D6554"/>
    <w:rsid w:val="008D6C26"/>
    <w:rsid w:val="008D7A49"/>
    <w:rsid w:val="008D7DBA"/>
    <w:rsid w:val="008E0067"/>
    <w:rsid w:val="008E0D30"/>
    <w:rsid w:val="008E10EB"/>
    <w:rsid w:val="008E176C"/>
    <w:rsid w:val="008E17A0"/>
    <w:rsid w:val="008E1B87"/>
    <w:rsid w:val="008E1E75"/>
    <w:rsid w:val="008E20F9"/>
    <w:rsid w:val="008E23B4"/>
    <w:rsid w:val="008E2B1B"/>
    <w:rsid w:val="008E2EB1"/>
    <w:rsid w:val="008E3239"/>
    <w:rsid w:val="008E3249"/>
    <w:rsid w:val="008E3848"/>
    <w:rsid w:val="008E64A9"/>
    <w:rsid w:val="008E6F05"/>
    <w:rsid w:val="008E7022"/>
    <w:rsid w:val="008E7ADB"/>
    <w:rsid w:val="008E7B3C"/>
    <w:rsid w:val="008F0D03"/>
    <w:rsid w:val="008F0D3F"/>
    <w:rsid w:val="008F112F"/>
    <w:rsid w:val="008F11C5"/>
    <w:rsid w:val="008F139B"/>
    <w:rsid w:val="008F1C3E"/>
    <w:rsid w:val="008F228D"/>
    <w:rsid w:val="008F2A4F"/>
    <w:rsid w:val="008F2CAB"/>
    <w:rsid w:val="008F3526"/>
    <w:rsid w:val="008F41A0"/>
    <w:rsid w:val="008F5307"/>
    <w:rsid w:val="008F5369"/>
    <w:rsid w:val="008F613F"/>
    <w:rsid w:val="008F6924"/>
    <w:rsid w:val="008F6DF3"/>
    <w:rsid w:val="008F728A"/>
    <w:rsid w:val="00900156"/>
    <w:rsid w:val="009001B8"/>
    <w:rsid w:val="009006A7"/>
    <w:rsid w:val="00900AAB"/>
    <w:rsid w:val="00900DE8"/>
    <w:rsid w:val="00901ADF"/>
    <w:rsid w:val="00901BCD"/>
    <w:rsid w:val="00901E96"/>
    <w:rsid w:val="009024D5"/>
    <w:rsid w:val="0090284D"/>
    <w:rsid w:val="00902DEC"/>
    <w:rsid w:val="009047B1"/>
    <w:rsid w:val="00904C2A"/>
    <w:rsid w:val="00904E47"/>
    <w:rsid w:val="00905943"/>
    <w:rsid w:val="00905D21"/>
    <w:rsid w:val="00906090"/>
    <w:rsid w:val="00907ADF"/>
    <w:rsid w:val="009101FE"/>
    <w:rsid w:val="009105AE"/>
    <w:rsid w:val="00910B40"/>
    <w:rsid w:val="00911711"/>
    <w:rsid w:val="00912EA3"/>
    <w:rsid w:val="009131EE"/>
    <w:rsid w:val="00914248"/>
    <w:rsid w:val="009145C9"/>
    <w:rsid w:val="0091481B"/>
    <w:rsid w:val="0091523C"/>
    <w:rsid w:val="009153B4"/>
    <w:rsid w:val="009159F2"/>
    <w:rsid w:val="00915CED"/>
    <w:rsid w:val="009169F4"/>
    <w:rsid w:val="00916A11"/>
    <w:rsid w:val="00916D64"/>
    <w:rsid w:val="00916E2E"/>
    <w:rsid w:val="0092081E"/>
    <w:rsid w:val="00920AB7"/>
    <w:rsid w:val="00920C22"/>
    <w:rsid w:val="00921576"/>
    <w:rsid w:val="00921D80"/>
    <w:rsid w:val="00922B29"/>
    <w:rsid w:val="009237C3"/>
    <w:rsid w:val="00924F1A"/>
    <w:rsid w:val="0092633A"/>
    <w:rsid w:val="00926455"/>
    <w:rsid w:val="00926D15"/>
    <w:rsid w:val="00926F41"/>
    <w:rsid w:val="00927093"/>
    <w:rsid w:val="0092714F"/>
    <w:rsid w:val="00927CA5"/>
    <w:rsid w:val="0093087C"/>
    <w:rsid w:val="009310A0"/>
    <w:rsid w:val="00931E6E"/>
    <w:rsid w:val="00932197"/>
    <w:rsid w:val="0093237C"/>
    <w:rsid w:val="00932C34"/>
    <w:rsid w:val="00932C8F"/>
    <w:rsid w:val="0093313E"/>
    <w:rsid w:val="009334AE"/>
    <w:rsid w:val="009342E1"/>
    <w:rsid w:val="009346B3"/>
    <w:rsid w:val="009348B2"/>
    <w:rsid w:val="00934EDE"/>
    <w:rsid w:val="00935206"/>
    <w:rsid w:val="009361BC"/>
    <w:rsid w:val="00936222"/>
    <w:rsid w:val="00936977"/>
    <w:rsid w:val="00936AB8"/>
    <w:rsid w:val="00936AF6"/>
    <w:rsid w:val="009377F5"/>
    <w:rsid w:val="0093785A"/>
    <w:rsid w:val="00937873"/>
    <w:rsid w:val="0094003A"/>
    <w:rsid w:val="00940959"/>
    <w:rsid w:val="00940A70"/>
    <w:rsid w:val="00940BD4"/>
    <w:rsid w:val="00941FA9"/>
    <w:rsid w:val="00942DBF"/>
    <w:rsid w:val="009432EC"/>
    <w:rsid w:val="00943772"/>
    <w:rsid w:val="00943EBC"/>
    <w:rsid w:val="00943F59"/>
    <w:rsid w:val="00944059"/>
    <w:rsid w:val="00944E69"/>
    <w:rsid w:val="00944E8E"/>
    <w:rsid w:val="00945187"/>
    <w:rsid w:val="00945568"/>
    <w:rsid w:val="0094649A"/>
    <w:rsid w:val="0094662D"/>
    <w:rsid w:val="00950064"/>
    <w:rsid w:val="00950177"/>
    <w:rsid w:val="00950F04"/>
    <w:rsid w:val="0095114B"/>
    <w:rsid w:val="009513BC"/>
    <w:rsid w:val="00951AA6"/>
    <w:rsid w:val="00952C36"/>
    <w:rsid w:val="00952D58"/>
    <w:rsid w:val="00953F54"/>
    <w:rsid w:val="00954867"/>
    <w:rsid w:val="009550A6"/>
    <w:rsid w:val="009557BC"/>
    <w:rsid w:val="00955970"/>
    <w:rsid w:val="00957081"/>
    <w:rsid w:val="0095726F"/>
    <w:rsid w:val="009575CF"/>
    <w:rsid w:val="00957761"/>
    <w:rsid w:val="0096058C"/>
    <w:rsid w:val="009605AA"/>
    <w:rsid w:val="00960730"/>
    <w:rsid w:val="00962B85"/>
    <w:rsid w:val="00962BF8"/>
    <w:rsid w:val="00962F79"/>
    <w:rsid w:val="00963050"/>
    <w:rsid w:val="009630CE"/>
    <w:rsid w:val="00964858"/>
    <w:rsid w:val="00964BAA"/>
    <w:rsid w:val="00965A2A"/>
    <w:rsid w:val="009662DF"/>
    <w:rsid w:val="0096741D"/>
    <w:rsid w:val="009674DB"/>
    <w:rsid w:val="0096772A"/>
    <w:rsid w:val="009677B3"/>
    <w:rsid w:val="009678CE"/>
    <w:rsid w:val="00967B44"/>
    <w:rsid w:val="00967CA9"/>
    <w:rsid w:val="009716C9"/>
    <w:rsid w:val="00971D57"/>
    <w:rsid w:val="00972838"/>
    <w:rsid w:val="00972F77"/>
    <w:rsid w:val="00973834"/>
    <w:rsid w:val="00973874"/>
    <w:rsid w:val="00973DB3"/>
    <w:rsid w:val="009745DE"/>
    <w:rsid w:val="00974AE6"/>
    <w:rsid w:val="00974B2E"/>
    <w:rsid w:val="0097565D"/>
    <w:rsid w:val="009769EF"/>
    <w:rsid w:val="00977113"/>
    <w:rsid w:val="009804B5"/>
    <w:rsid w:val="00980A82"/>
    <w:rsid w:val="00980F60"/>
    <w:rsid w:val="00981B74"/>
    <w:rsid w:val="00981EEC"/>
    <w:rsid w:val="00982D37"/>
    <w:rsid w:val="009832E1"/>
    <w:rsid w:val="009837CA"/>
    <w:rsid w:val="00983852"/>
    <w:rsid w:val="00983E5B"/>
    <w:rsid w:val="00985AB1"/>
    <w:rsid w:val="0098600A"/>
    <w:rsid w:val="00986FB5"/>
    <w:rsid w:val="009874D3"/>
    <w:rsid w:val="0098776D"/>
    <w:rsid w:val="009879D3"/>
    <w:rsid w:val="00987AF5"/>
    <w:rsid w:val="00990BAF"/>
    <w:rsid w:val="009913AA"/>
    <w:rsid w:val="00991D65"/>
    <w:rsid w:val="0099312D"/>
    <w:rsid w:val="00993370"/>
    <w:rsid w:val="0099421E"/>
    <w:rsid w:val="00994D72"/>
    <w:rsid w:val="009953EF"/>
    <w:rsid w:val="009958CE"/>
    <w:rsid w:val="00995BFF"/>
    <w:rsid w:val="00995E7A"/>
    <w:rsid w:val="0099663D"/>
    <w:rsid w:val="00996BDB"/>
    <w:rsid w:val="00996C63"/>
    <w:rsid w:val="00996D2A"/>
    <w:rsid w:val="009A03D2"/>
    <w:rsid w:val="009A0A15"/>
    <w:rsid w:val="009A2A68"/>
    <w:rsid w:val="009A388B"/>
    <w:rsid w:val="009A472B"/>
    <w:rsid w:val="009A493E"/>
    <w:rsid w:val="009A5A10"/>
    <w:rsid w:val="009A7118"/>
    <w:rsid w:val="009A76C9"/>
    <w:rsid w:val="009B029B"/>
    <w:rsid w:val="009B0383"/>
    <w:rsid w:val="009B0CBE"/>
    <w:rsid w:val="009B15C0"/>
    <w:rsid w:val="009B2AE8"/>
    <w:rsid w:val="009B2BA3"/>
    <w:rsid w:val="009B3062"/>
    <w:rsid w:val="009B35F3"/>
    <w:rsid w:val="009B47A5"/>
    <w:rsid w:val="009B54A1"/>
    <w:rsid w:val="009B6252"/>
    <w:rsid w:val="009B6569"/>
    <w:rsid w:val="009B69B0"/>
    <w:rsid w:val="009B6AFD"/>
    <w:rsid w:val="009B6DF5"/>
    <w:rsid w:val="009C08EF"/>
    <w:rsid w:val="009C099C"/>
    <w:rsid w:val="009C09D4"/>
    <w:rsid w:val="009C0E88"/>
    <w:rsid w:val="009C1442"/>
    <w:rsid w:val="009C2A14"/>
    <w:rsid w:val="009C2A8E"/>
    <w:rsid w:val="009C2DF9"/>
    <w:rsid w:val="009C3677"/>
    <w:rsid w:val="009C3DB6"/>
    <w:rsid w:val="009C4B0E"/>
    <w:rsid w:val="009C4CC6"/>
    <w:rsid w:val="009C4D33"/>
    <w:rsid w:val="009C59F9"/>
    <w:rsid w:val="009C5C52"/>
    <w:rsid w:val="009C658A"/>
    <w:rsid w:val="009C6A5F"/>
    <w:rsid w:val="009C6A9C"/>
    <w:rsid w:val="009C7293"/>
    <w:rsid w:val="009C7DC0"/>
    <w:rsid w:val="009D099F"/>
    <w:rsid w:val="009D2015"/>
    <w:rsid w:val="009D28BC"/>
    <w:rsid w:val="009D33E6"/>
    <w:rsid w:val="009D54F9"/>
    <w:rsid w:val="009D5904"/>
    <w:rsid w:val="009D5BA5"/>
    <w:rsid w:val="009D7166"/>
    <w:rsid w:val="009D7947"/>
    <w:rsid w:val="009E0465"/>
    <w:rsid w:val="009E149C"/>
    <w:rsid w:val="009E17C8"/>
    <w:rsid w:val="009E2011"/>
    <w:rsid w:val="009E2117"/>
    <w:rsid w:val="009E28C6"/>
    <w:rsid w:val="009E300F"/>
    <w:rsid w:val="009E3B3D"/>
    <w:rsid w:val="009E51EE"/>
    <w:rsid w:val="009E5753"/>
    <w:rsid w:val="009E5CBF"/>
    <w:rsid w:val="009E6BEC"/>
    <w:rsid w:val="009E7E9B"/>
    <w:rsid w:val="009F0450"/>
    <w:rsid w:val="009F0E67"/>
    <w:rsid w:val="009F1F27"/>
    <w:rsid w:val="009F299C"/>
    <w:rsid w:val="009F2DCC"/>
    <w:rsid w:val="009F3349"/>
    <w:rsid w:val="009F385B"/>
    <w:rsid w:val="009F3937"/>
    <w:rsid w:val="009F42BD"/>
    <w:rsid w:val="009F432D"/>
    <w:rsid w:val="009F446F"/>
    <w:rsid w:val="009F506B"/>
    <w:rsid w:val="009F5076"/>
    <w:rsid w:val="009F544D"/>
    <w:rsid w:val="009F54FB"/>
    <w:rsid w:val="009F6ED8"/>
    <w:rsid w:val="009F7689"/>
    <w:rsid w:val="009F7973"/>
    <w:rsid w:val="00A003AB"/>
    <w:rsid w:val="00A004A2"/>
    <w:rsid w:val="00A019B3"/>
    <w:rsid w:val="00A02517"/>
    <w:rsid w:val="00A0270A"/>
    <w:rsid w:val="00A02B11"/>
    <w:rsid w:val="00A02EEB"/>
    <w:rsid w:val="00A03095"/>
    <w:rsid w:val="00A0335D"/>
    <w:rsid w:val="00A03DC4"/>
    <w:rsid w:val="00A044C2"/>
    <w:rsid w:val="00A05BD4"/>
    <w:rsid w:val="00A0676C"/>
    <w:rsid w:val="00A06800"/>
    <w:rsid w:val="00A069CC"/>
    <w:rsid w:val="00A10929"/>
    <w:rsid w:val="00A10C1E"/>
    <w:rsid w:val="00A11547"/>
    <w:rsid w:val="00A11BA9"/>
    <w:rsid w:val="00A12157"/>
    <w:rsid w:val="00A12A36"/>
    <w:rsid w:val="00A12D6F"/>
    <w:rsid w:val="00A136BF"/>
    <w:rsid w:val="00A1399C"/>
    <w:rsid w:val="00A13C26"/>
    <w:rsid w:val="00A14252"/>
    <w:rsid w:val="00A145FC"/>
    <w:rsid w:val="00A14B08"/>
    <w:rsid w:val="00A150B9"/>
    <w:rsid w:val="00A16467"/>
    <w:rsid w:val="00A1648B"/>
    <w:rsid w:val="00A16F43"/>
    <w:rsid w:val="00A176B6"/>
    <w:rsid w:val="00A20355"/>
    <w:rsid w:val="00A21591"/>
    <w:rsid w:val="00A2169D"/>
    <w:rsid w:val="00A21FD7"/>
    <w:rsid w:val="00A223DC"/>
    <w:rsid w:val="00A22C7C"/>
    <w:rsid w:val="00A2344F"/>
    <w:rsid w:val="00A24C9B"/>
    <w:rsid w:val="00A2556A"/>
    <w:rsid w:val="00A25807"/>
    <w:rsid w:val="00A262D2"/>
    <w:rsid w:val="00A26EB2"/>
    <w:rsid w:val="00A2706E"/>
    <w:rsid w:val="00A30046"/>
    <w:rsid w:val="00A303D1"/>
    <w:rsid w:val="00A30887"/>
    <w:rsid w:val="00A32AF8"/>
    <w:rsid w:val="00A33363"/>
    <w:rsid w:val="00A33625"/>
    <w:rsid w:val="00A338BD"/>
    <w:rsid w:val="00A34010"/>
    <w:rsid w:val="00A34C67"/>
    <w:rsid w:val="00A364F0"/>
    <w:rsid w:val="00A36648"/>
    <w:rsid w:val="00A3720C"/>
    <w:rsid w:val="00A372F0"/>
    <w:rsid w:val="00A375C3"/>
    <w:rsid w:val="00A37700"/>
    <w:rsid w:val="00A37FA0"/>
    <w:rsid w:val="00A40C47"/>
    <w:rsid w:val="00A40F3A"/>
    <w:rsid w:val="00A41888"/>
    <w:rsid w:val="00A41BF0"/>
    <w:rsid w:val="00A41CAA"/>
    <w:rsid w:val="00A42BA7"/>
    <w:rsid w:val="00A43099"/>
    <w:rsid w:val="00A4334E"/>
    <w:rsid w:val="00A4356D"/>
    <w:rsid w:val="00A43779"/>
    <w:rsid w:val="00A43E9F"/>
    <w:rsid w:val="00A442B7"/>
    <w:rsid w:val="00A44A25"/>
    <w:rsid w:val="00A44F0E"/>
    <w:rsid w:val="00A4523A"/>
    <w:rsid w:val="00A454FB"/>
    <w:rsid w:val="00A45814"/>
    <w:rsid w:val="00A46826"/>
    <w:rsid w:val="00A46967"/>
    <w:rsid w:val="00A46A42"/>
    <w:rsid w:val="00A46C24"/>
    <w:rsid w:val="00A47C75"/>
    <w:rsid w:val="00A47DE2"/>
    <w:rsid w:val="00A50E0B"/>
    <w:rsid w:val="00A52039"/>
    <w:rsid w:val="00A5225D"/>
    <w:rsid w:val="00A5247B"/>
    <w:rsid w:val="00A52644"/>
    <w:rsid w:val="00A52727"/>
    <w:rsid w:val="00A52CAD"/>
    <w:rsid w:val="00A52E10"/>
    <w:rsid w:val="00A53232"/>
    <w:rsid w:val="00A53912"/>
    <w:rsid w:val="00A547C9"/>
    <w:rsid w:val="00A547FF"/>
    <w:rsid w:val="00A549C2"/>
    <w:rsid w:val="00A551AD"/>
    <w:rsid w:val="00A56376"/>
    <w:rsid w:val="00A576B3"/>
    <w:rsid w:val="00A577B6"/>
    <w:rsid w:val="00A57DBA"/>
    <w:rsid w:val="00A608E5"/>
    <w:rsid w:val="00A62039"/>
    <w:rsid w:val="00A644AF"/>
    <w:rsid w:val="00A647B3"/>
    <w:rsid w:val="00A651E6"/>
    <w:rsid w:val="00A656D5"/>
    <w:rsid w:val="00A65869"/>
    <w:rsid w:val="00A6596D"/>
    <w:rsid w:val="00A66268"/>
    <w:rsid w:val="00A6637C"/>
    <w:rsid w:val="00A668D1"/>
    <w:rsid w:val="00A66ADB"/>
    <w:rsid w:val="00A67252"/>
    <w:rsid w:val="00A67524"/>
    <w:rsid w:val="00A67AD3"/>
    <w:rsid w:val="00A70661"/>
    <w:rsid w:val="00A70ADF"/>
    <w:rsid w:val="00A70BDA"/>
    <w:rsid w:val="00A71902"/>
    <w:rsid w:val="00A7214A"/>
    <w:rsid w:val="00A72A31"/>
    <w:rsid w:val="00A73204"/>
    <w:rsid w:val="00A73AD3"/>
    <w:rsid w:val="00A73B32"/>
    <w:rsid w:val="00A747C3"/>
    <w:rsid w:val="00A748EA"/>
    <w:rsid w:val="00A76005"/>
    <w:rsid w:val="00A765DE"/>
    <w:rsid w:val="00A775B3"/>
    <w:rsid w:val="00A77C85"/>
    <w:rsid w:val="00A80DCE"/>
    <w:rsid w:val="00A80FFF"/>
    <w:rsid w:val="00A81357"/>
    <w:rsid w:val="00A825E4"/>
    <w:rsid w:val="00A828CF"/>
    <w:rsid w:val="00A829B3"/>
    <w:rsid w:val="00A82AA3"/>
    <w:rsid w:val="00A83D89"/>
    <w:rsid w:val="00A847C7"/>
    <w:rsid w:val="00A84E31"/>
    <w:rsid w:val="00A8547C"/>
    <w:rsid w:val="00A855E2"/>
    <w:rsid w:val="00A85D45"/>
    <w:rsid w:val="00A85EB8"/>
    <w:rsid w:val="00A86735"/>
    <w:rsid w:val="00A8723E"/>
    <w:rsid w:val="00A873AA"/>
    <w:rsid w:val="00A8795A"/>
    <w:rsid w:val="00A87D15"/>
    <w:rsid w:val="00A919DC"/>
    <w:rsid w:val="00A91FD0"/>
    <w:rsid w:val="00A92709"/>
    <w:rsid w:val="00A92D1B"/>
    <w:rsid w:val="00A92E48"/>
    <w:rsid w:val="00A93BD5"/>
    <w:rsid w:val="00A943D0"/>
    <w:rsid w:val="00A94DCB"/>
    <w:rsid w:val="00A9579F"/>
    <w:rsid w:val="00A9642C"/>
    <w:rsid w:val="00A964C2"/>
    <w:rsid w:val="00A97876"/>
    <w:rsid w:val="00AA0AB8"/>
    <w:rsid w:val="00AA12B3"/>
    <w:rsid w:val="00AA1562"/>
    <w:rsid w:val="00AA25D4"/>
    <w:rsid w:val="00AA2970"/>
    <w:rsid w:val="00AA41F3"/>
    <w:rsid w:val="00AA45AC"/>
    <w:rsid w:val="00AA46D9"/>
    <w:rsid w:val="00AA4985"/>
    <w:rsid w:val="00AA5715"/>
    <w:rsid w:val="00AA57F6"/>
    <w:rsid w:val="00AA5BAD"/>
    <w:rsid w:val="00AA67A2"/>
    <w:rsid w:val="00AA69D4"/>
    <w:rsid w:val="00AA73C1"/>
    <w:rsid w:val="00AA7B82"/>
    <w:rsid w:val="00AB0057"/>
    <w:rsid w:val="00AB0D62"/>
    <w:rsid w:val="00AB0FFC"/>
    <w:rsid w:val="00AB1B42"/>
    <w:rsid w:val="00AB1E97"/>
    <w:rsid w:val="00AB27C6"/>
    <w:rsid w:val="00AB2A48"/>
    <w:rsid w:val="00AB2BDE"/>
    <w:rsid w:val="00AB2C5F"/>
    <w:rsid w:val="00AB3141"/>
    <w:rsid w:val="00AB3A52"/>
    <w:rsid w:val="00AB3D9E"/>
    <w:rsid w:val="00AB4166"/>
    <w:rsid w:val="00AB4D93"/>
    <w:rsid w:val="00AB5CA1"/>
    <w:rsid w:val="00AB62E3"/>
    <w:rsid w:val="00AB71A4"/>
    <w:rsid w:val="00AB74FD"/>
    <w:rsid w:val="00AB7E3A"/>
    <w:rsid w:val="00AC0307"/>
    <w:rsid w:val="00AC0488"/>
    <w:rsid w:val="00AC074D"/>
    <w:rsid w:val="00AC1480"/>
    <w:rsid w:val="00AC15BF"/>
    <w:rsid w:val="00AC17B6"/>
    <w:rsid w:val="00AC1B6C"/>
    <w:rsid w:val="00AC1C9D"/>
    <w:rsid w:val="00AC1E7B"/>
    <w:rsid w:val="00AC41C5"/>
    <w:rsid w:val="00AC41D6"/>
    <w:rsid w:val="00AC505D"/>
    <w:rsid w:val="00AC5BDE"/>
    <w:rsid w:val="00AC6B67"/>
    <w:rsid w:val="00AC6E0A"/>
    <w:rsid w:val="00AC78A5"/>
    <w:rsid w:val="00AC7F7F"/>
    <w:rsid w:val="00AD0533"/>
    <w:rsid w:val="00AD0913"/>
    <w:rsid w:val="00AD17EF"/>
    <w:rsid w:val="00AD1936"/>
    <w:rsid w:val="00AD27DF"/>
    <w:rsid w:val="00AD2B98"/>
    <w:rsid w:val="00AD2D95"/>
    <w:rsid w:val="00AD30B7"/>
    <w:rsid w:val="00AD3742"/>
    <w:rsid w:val="00AD39E0"/>
    <w:rsid w:val="00AD3F7C"/>
    <w:rsid w:val="00AD428A"/>
    <w:rsid w:val="00AD4A03"/>
    <w:rsid w:val="00AD52F2"/>
    <w:rsid w:val="00AD5962"/>
    <w:rsid w:val="00AD6099"/>
    <w:rsid w:val="00AD7147"/>
    <w:rsid w:val="00AD73FD"/>
    <w:rsid w:val="00AE052F"/>
    <w:rsid w:val="00AE07B4"/>
    <w:rsid w:val="00AE0F9D"/>
    <w:rsid w:val="00AE0FAB"/>
    <w:rsid w:val="00AE14B9"/>
    <w:rsid w:val="00AE16E6"/>
    <w:rsid w:val="00AE16FB"/>
    <w:rsid w:val="00AE2375"/>
    <w:rsid w:val="00AE3482"/>
    <w:rsid w:val="00AE3B2A"/>
    <w:rsid w:val="00AE3EA2"/>
    <w:rsid w:val="00AE493E"/>
    <w:rsid w:val="00AE58CC"/>
    <w:rsid w:val="00AE63D7"/>
    <w:rsid w:val="00AE70BB"/>
    <w:rsid w:val="00AE715A"/>
    <w:rsid w:val="00AE79F2"/>
    <w:rsid w:val="00AF034C"/>
    <w:rsid w:val="00AF0DEB"/>
    <w:rsid w:val="00AF134F"/>
    <w:rsid w:val="00AF1C93"/>
    <w:rsid w:val="00AF2107"/>
    <w:rsid w:val="00AF2354"/>
    <w:rsid w:val="00AF23B0"/>
    <w:rsid w:val="00AF4616"/>
    <w:rsid w:val="00AF504A"/>
    <w:rsid w:val="00AF51FA"/>
    <w:rsid w:val="00AF537F"/>
    <w:rsid w:val="00AF5512"/>
    <w:rsid w:val="00AF5531"/>
    <w:rsid w:val="00AF5682"/>
    <w:rsid w:val="00AF65FB"/>
    <w:rsid w:val="00AF6763"/>
    <w:rsid w:val="00AF6D02"/>
    <w:rsid w:val="00AF74FD"/>
    <w:rsid w:val="00AF765C"/>
    <w:rsid w:val="00AF77C0"/>
    <w:rsid w:val="00AF79E4"/>
    <w:rsid w:val="00B01249"/>
    <w:rsid w:val="00B01728"/>
    <w:rsid w:val="00B01C63"/>
    <w:rsid w:val="00B0519C"/>
    <w:rsid w:val="00B057C2"/>
    <w:rsid w:val="00B05E11"/>
    <w:rsid w:val="00B06855"/>
    <w:rsid w:val="00B100B4"/>
    <w:rsid w:val="00B1019C"/>
    <w:rsid w:val="00B11831"/>
    <w:rsid w:val="00B11A54"/>
    <w:rsid w:val="00B11F2A"/>
    <w:rsid w:val="00B12061"/>
    <w:rsid w:val="00B12EB0"/>
    <w:rsid w:val="00B13187"/>
    <w:rsid w:val="00B132A3"/>
    <w:rsid w:val="00B14059"/>
    <w:rsid w:val="00B14260"/>
    <w:rsid w:val="00B14410"/>
    <w:rsid w:val="00B1461A"/>
    <w:rsid w:val="00B1527B"/>
    <w:rsid w:val="00B15B7A"/>
    <w:rsid w:val="00B168F3"/>
    <w:rsid w:val="00B16DC5"/>
    <w:rsid w:val="00B17121"/>
    <w:rsid w:val="00B172B2"/>
    <w:rsid w:val="00B17BAE"/>
    <w:rsid w:val="00B17D7A"/>
    <w:rsid w:val="00B2079F"/>
    <w:rsid w:val="00B209D4"/>
    <w:rsid w:val="00B214BC"/>
    <w:rsid w:val="00B21BEF"/>
    <w:rsid w:val="00B22A2D"/>
    <w:rsid w:val="00B2487C"/>
    <w:rsid w:val="00B24AFD"/>
    <w:rsid w:val="00B24D8B"/>
    <w:rsid w:val="00B25C08"/>
    <w:rsid w:val="00B263AA"/>
    <w:rsid w:val="00B26E1C"/>
    <w:rsid w:val="00B26EB5"/>
    <w:rsid w:val="00B30BF4"/>
    <w:rsid w:val="00B30F9D"/>
    <w:rsid w:val="00B3114D"/>
    <w:rsid w:val="00B314AA"/>
    <w:rsid w:val="00B33146"/>
    <w:rsid w:val="00B33A56"/>
    <w:rsid w:val="00B33B78"/>
    <w:rsid w:val="00B368B6"/>
    <w:rsid w:val="00B372E9"/>
    <w:rsid w:val="00B373B4"/>
    <w:rsid w:val="00B37620"/>
    <w:rsid w:val="00B40739"/>
    <w:rsid w:val="00B409C8"/>
    <w:rsid w:val="00B4115D"/>
    <w:rsid w:val="00B41218"/>
    <w:rsid w:val="00B43BBB"/>
    <w:rsid w:val="00B44327"/>
    <w:rsid w:val="00B44560"/>
    <w:rsid w:val="00B44DBF"/>
    <w:rsid w:val="00B458B1"/>
    <w:rsid w:val="00B45B2F"/>
    <w:rsid w:val="00B45F98"/>
    <w:rsid w:val="00B46623"/>
    <w:rsid w:val="00B46AAF"/>
    <w:rsid w:val="00B46B7C"/>
    <w:rsid w:val="00B47012"/>
    <w:rsid w:val="00B479E0"/>
    <w:rsid w:val="00B47CA6"/>
    <w:rsid w:val="00B5052A"/>
    <w:rsid w:val="00B5186B"/>
    <w:rsid w:val="00B5298F"/>
    <w:rsid w:val="00B52AC0"/>
    <w:rsid w:val="00B5427A"/>
    <w:rsid w:val="00B54430"/>
    <w:rsid w:val="00B54B99"/>
    <w:rsid w:val="00B555BA"/>
    <w:rsid w:val="00B56C8B"/>
    <w:rsid w:val="00B56D65"/>
    <w:rsid w:val="00B57710"/>
    <w:rsid w:val="00B57769"/>
    <w:rsid w:val="00B602B6"/>
    <w:rsid w:val="00B60DFA"/>
    <w:rsid w:val="00B61EE2"/>
    <w:rsid w:val="00B629FB"/>
    <w:rsid w:val="00B62C83"/>
    <w:rsid w:val="00B63600"/>
    <w:rsid w:val="00B6361A"/>
    <w:rsid w:val="00B63F3E"/>
    <w:rsid w:val="00B64024"/>
    <w:rsid w:val="00B64702"/>
    <w:rsid w:val="00B653F8"/>
    <w:rsid w:val="00B663D1"/>
    <w:rsid w:val="00B666C9"/>
    <w:rsid w:val="00B6683E"/>
    <w:rsid w:val="00B67603"/>
    <w:rsid w:val="00B67921"/>
    <w:rsid w:val="00B67FB6"/>
    <w:rsid w:val="00B7000D"/>
    <w:rsid w:val="00B70713"/>
    <w:rsid w:val="00B70721"/>
    <w:rsid w:val="00B708D4"/>
    <w:rsid w:val="00B70ECD"/>
    <w:rsid w:val="00B710E0"/>
    <w:rsid w:val="00B71C46"/>
    <w:rsid w:val="00B722EC"/>
    <w:rsid w:val="00B7260A"/>
    <w:rsid w:val="00B72692"/>
    <w:rsid w:val="00B727AD"/>
    <w:rsid w:val="00B73201"/>
    <w:rsid w:val="00B73264"/>
    <w:rsid w:val="00B73305"/>
    <w:rsid w:val="00B73CC0"/>
    <w:rsid w:val="00B7488E"/>
    <w:rsid w:val="00B749FC"/>
    <w:rsid w:val="00B75584"/>
    <w:rsid w:val="00B75A3A"/>
    <w:rsid w:val="00B75AB1"/>
    <w:rsid w:val="00B75DEA"/>
    <w:rsid w:val="00B76DC5"/>
    <w:rsid w:val="00B77662"/>
    <w:rsid w:val="00B77871"/>
    <w:rsid w:val="00B77934"/>
    <w:rsid w:val="00B77C32"/>
    <w:rsid w:val="00B8082D"/>
    <w:rsid w:val="00B809DC"/>
    <w:rsid w:val="00B80B1F"/>
    <w:rsid w:val="00B8120E"/>
    <w:rsid w:val="00B812C2"/>
    <w:rsid w:val="00B81AEC"/>
    <w:rsid w:val="00B826A7"/>
    <w:rsid w:val="00B8340E"/>
    <w:rsid w:val="00B83E7C"/>
    <w:rsid w:val="00B84000"/>
    <w:rsid w:val="00B84A1A"/>
    <w:rsid w:val="00B854F7"/>
    <w:rsid w:val="00B858C7"/>
    <w:rsid w:val="00B8615A"/>
    <w:rsid w:val="00B86755"/>
    <w:rsid w:val="00B903FA"/>
    <w:rsid w:val="00B9088F"/>
    <w:rsid w:val="00B909E9"/>
    <w:rsid w:val="00B90B00"/>
    <w:rsid w:val="00B90BB2"/>
    <w:rsid w:val="00B90D58"/>
    <w:rsid w:val="00B91BE3"/>
    <w:rsid w:val="00B9201A"/>
    <w:rsid w:val="00B9229F"/>
    <w:rsid w:val="00B923C3"/>
    <w:rsid w:val="00B9270B"/>
    <w:rsid w:val="00B929D7"/>
    <w:rsid w:val="00B92AC3"/>
    <w:rsid w:val="00B93968"/>
    <w:rsid w:val="00B93B75"/>
    <w:rsid w:val="00B93E89"/>
    <w:rsid w:val="00B9412E"/>
    <w:rsid w:val="00B94167"/>
    <w:rsid w:val="00B94F15"/>
    <w:rsid w:val="00B95819"/>
    <w:rsid w:val="00B95A1A"/>
    <w:rsid w:val="00B973A0"/>
    <w:rsid w:val="00B97754"/>
    <w:rsid w:val="00B97A31"/>
    <w:rsid w:val="00BA0BF0"/>
    <w:rsid w:val="00BA1558"/>
    <w:rsid w:val="00BA1CCA"/>
    <w:rsid w:val="00BA200B"/>
    <w:rsid w:val="00BA2A62"/>
    <w:rsid w:val="00BA2C90"/>
    <w:rsid w:val="00BA3484"/>
    <w:rsid w:val="00BA398D"/>
    <w:rsid w:val="00BA4638"/>
    <w:rsid w:val="00BA50A8"/>
    <w:rsid w:val="00BA5C05"/>
    <w:rsid w:val="00BA6341"/>
    <w:rsid w:val="00BA65B7"/>
    <w:rsid w:val="00BA680E"/>
    <w:rsid w:val="00BA6DB4"/>
    <w:rsid w:val="00BA70C9"/>
    <w:rsid w:val="00BA743A"/>
    <w:rsid w:val="00BA74F3"/>
    <w:rsid w:val="00BA7DAB"/>
    <w:rsid w:val="00BB0CD3"/>
    <w:rsid w:val="00BB0D28"/>
    <w:rsid w:val="00BB0D9E"/>
    <w:rsid w:val="00BB1F04"/>
    <w:rsid w:val="00BB2353"/>
    <w:rsid w:val="00BB2E53"/>
    <w:rsid w:val="00BB30C2"/>
    <w:rsid w:val="00BB41C4"/>
    <w:rsid w:val="00BB51F0"/>
    <w:rsid w:val="00BB54D8"/>
    <w:rsid w:val="00BB5EE0"/>
    <w:rsid w:val="00BB636C"/>
    <w:rsid w:val="00BB65FB"/>
    <w:rsid w:val="00BB769E"/>
    <w:rsid w:val="00BC08BB"/>
    <w:rsid w:val="00BC0DDD"/>
    <w:rsid w:val="00BC0E32"/>
    <w:rsid w:val="00BC163D"/>
    <w:rsid w:val="00BC177F"/>
    <w:rsid w:val="00BC227D"/>
    <w:rsid w:val="00BC2380"/>
    <w:rsid w:val="00BC2D57"/>
    <w:rsid w:val="00BC315D"/>
    <w:rsid w:val="00BC3AE0"/>
    <w:rsid w:val="00BC3C5D"/>
    <w:rsid w:val="00BC3DA5"/>
    <w:rsid w:val="00BC3DB5"/>
    <w:rsid w:val="00BC52DB"/>
    <w:rsid w:val="00BC56B7"/>
    <w:rsid w:val="00BC64CC"/>
    <w:rsid w:val="00BC76A2"/>
    <w:rsid w:val="00BC7750"/>
    <w:rsid w:val="00BC7D2C"/>
    <w:rsid w:val="00BD01BE"/>
    <w:rsid w:val="00BD07DC"/>
    <w:rsid w:val="00BD08F6"/>
    <w:rsid w:val="00BD0AA0"/>
    <w:rsid w:val="00BD142B"/>
    <w:rsid w:val="00BD14C8"/>
    <w:rsid w:val="00BD163C"/>
    <w:rsid w:val="00BD1763"/>
    <w:rsid w:val="00BD2352"/>
    <w:rsid w:val="00BD3A87"/>
    <w:rsid w:val="00BD4065"/>
    <w:rsid w:val="00BD4173"/>
    <w:rsid w:val="00BD4309"/>
    <w:rsid w:val="00BD46CE"/>
    <w:rsid w:val="00BD4DE0"/>
    <w:rsid w:val="00BD4E05"/>
    <w:rsid w:val="00BD662D"/>
    <w:rsid w:val="00BD6AC3"/>
    <w:rsid w:val="00BD7125"/>
    <w:rsid w:val="00BD753F"/>
    <w:rsid w:val="00BD7BE2"/>
    <w:rsid w:val="00BE0AD4"/>
    <w:rsid w:val="00BE1062"/>
    <w:rsid w:val="00BE1C87"/>
    <w:rsid w:val="00BE1DA7"/>
    <w:rsid w:val="00BE23AB"/>
    <w:rsid w:val="00BE29D3"/>
    <w:rsid w:val="00BE327E"/>
    <w:rsid w:val="00BE5BEF"/>
    <w:rsid w:val="00BE6563"/>
    <w:rsid w:val="00BE6B49"/>
    <w:rsid w:val="00BF008E"/>
    <w:rsid w:val="00BF00A3"/>
    <w:rsid w:val="00BF06AC"/>
    <w:rsid w:val="00BF0F49"/>
    <w:rsid w:val="00BF10F5"/>
    <w:rsid w:val="00BF1316"/>
    <w:rsid w:val="00BF243B"/>
    <w:rsid w:val="00BF245E"/>
    <w:rsid w:val="00BF31E6"/>
    <w:rsid w:val="00BF3C9C"/>
    <w:rsid w:val="00BF43CD"/>
    <w:rsid w:val="00BF44B8"/>
    <w:rsid w:val="00BF4C9D"/>
    <w:rsid w:val="00BF6F79"/>
    <w:rsid w:val="00BF7C2C"/>
    <w:rsid w:val="00BF7D77"/>
    <w:rsid w:val="00C009A8"/>
    <w:rsid w:val="00C00AD0"/>
    <w:rsid w:val="00C0126F"/>
    <w:rsid w:val="00C02526"/>
    <w:rsid w:val="00C02A57"/>
    <w:rsid w:val="00C02D06"/>
    <w:rsid w:val="00C03EFD"/>
    <w:rsid w:val="00C043BF"/>
    <w:rsid w:val="00C04509"/>
    <w:rsid w:val="00C056D6"/>
    <w:rsid w:val="00C05FB5"/>
    <w:rsid w:val="00C0603A"/>
    <w:rsid w:val="00C063C1"/>
    <w:rsid w:val="00C063C6"/>
    <w:rsid w:val="00C063DE"/>
    <w:rsid w:val="00C06B39"/>
    <w:rsid w:val="00C06BE7"/>
    <w:rsid w:val="00C07030"/>
    <w:rsid w:val="00C07565"/>
    <w:rsid w:val="00C07A27"/>
    <w:rsid w:val="00C103F4"/>
    <w:rsid w:val="00C11241"/>
    <w:rsid w:val="00C11857"/>
    <w:rsid w:val="00C11A64"/>
    <w:rsid w:val="00C1248F"/>
    <w:rsid w:val="00C13471"/>
    <w:rsid w:val="00C13686"/>
    <w:rsid w:val="00C13A4B"/>
    <w:rsid w:val="00C14630"/>
    <w:rsid w:val="00C14A05"/>
    <w:rsid w:val="00C14A9C"/>
    <w:rsid w:val="00C14CAA"/>
    <w:rsid w:val="00C156E7"/>
    <w:rsid w:val="00C15F8B"/>
    <w:rsid w:val="00C16070"/>
    <w:rsid w:val="00C16F11"/>
    <w:rsid w:val="00C17C60"/>
    <w:rsid w:val="00C17D34"/>
    <w:rsid w:val="00C2037E"/>
    <w:rsid w:val="00C20759"/>
    <w:rsid w:val="00C20DAB"/>
    <w:rsid w:val="00C21083"/>
    <w:rsid w:val="00C21FC2"/>
    <w:rsid w:val="00C229E6"/>
    <w:rsid w:val="00C2312A"/>
    <w:rsid w:val="00C23C3C"/>
    <w:rsid w:val="00C300D3"/>
    <w:rsid w:val="00C30514"/>
    <w:rsid w:val="00C31243"/>
    <w:rsid w:val="00C318F4"/>
    <w:rsid w:val="00C31CC4"/>
    <w:rsid w:val="00C32AE5"/>
    <w:rsid w:val="00C334E7"/>
    <w:rsid w:val="00C33EB2"/>
    <w:rsid w:val="00C345B3"/>
    <w:rsid w:val="00C348DE"/>
    <w:rsid w:val="00C35435"/>
    <w:rsid w:val="00C359E9"/>
    <w:rsid w:val="00C35D3E"/>
    <w:rsid w:val="00C366E1"/>
    <w:rsid w:val="00C379DB"/>
    <w:rsid w:val="00C37B44"/>
    <w:rsid w:val="00C40619"/>
    <w:rsid w:val="00C40646"/>
    <w:rsid w:val="00C40B21"/>
    <w:rsid w:val="00C40E10"/>
    <w:rsid w:val="00C41A78"/>
    <w:rsid w:val="00C41C58"/>
    <w:rsid w:val="00C42883"/>
    <w:rsid w:val="00C42FD9"/>
    <w:rsid w:val="00C4379D"/>
    <w:rsid w:val="00C44796"/>
    <w:rsid w:val="00C44FA1"/>
    <w:rsid w:val="00C45684"/>
    <w:rsid w:val="00C45772"/>
    <w:rsid w:val="00C45DD7"/>
    <w:rsid w:val="00C50551"/>
    <w:rsid w:val="00C50C5A"/>
    <w:rsid w:val="00C51FBE"/>
    <w:rsid w:val="00C52231"/>
    <w:rsid w:val="00C52304"/>
    <w:rsid w:val="00C53035"/>
    <w:rsid w:val="00C5472B"/>
    <w:rsid w:val="00C54F3C"/>
    <w:rsid w:val="00C558DF"/>
    <w:rsid w:val="00C55A14"/>
    <w:rsid w:val="00C560A0"/>
    <w:rsid w:val="00C56101"/>
    <w:rsid w:val="00C5656E"/>
    <w:rsid w:val="00C56F09"/>
    <w:rsid w:val="00C56F92"/>
    <w:rsid w:val="00C57A87"/>
    <w:rsid w:val="00C6017F"/>
    <w:rsid w:val="00C6094A"/>
    <w:rsid w:val="00C609B0"/>
    <w:rsid w:val="00C60DA3"/>
    <w:rsid w:val="00C61232"/>
    <w:rsid w:val="00C6146E"/>
    <w:rsid w:val="00C61BC9"/>
    <w:rsid w:val="00C639C5"/>
    <w:rsid w:val="00C63F1D"/>
    <w:rsid w:val="00C64248"/>
    <w:rsid w:val="00C64BD1"/>
    <w:rsid w:val="00C6515F"/>
    <w:rsid w:val="00C65999"/>
    <w:rsid w:val="00C659F8"/>
    <w:rsid w:val="00C66E12"/>
    <w:rsid w:val="00C67B3D"/>
    <w:rsid w:val="00C67BDD"/>
    <w:rsid w:val="00C7083B"/>
    <w:rsid w:val="00C70F42"/>
    <w:rsid w:val="00C7119C"/>
    <w:rsid w:val="00C72025"/>
    <w:rsid w:val="00C72B79"/>
    <w:rsid w:val="00C72BA1"/>
    <w:rsid w:val="00C72EE2"/>
    <w:rsid w:val="00C73F10"/>
    <w:rsid w:val="00C757AF"/>
    <w:rsid w:val="00C75DB5"/>
    <w:rsid w:val="00C75EFB"/>
    <w:rsid w:val="00C76300"/>
    <w:rsid w:val="00C77200"/>
    <w:rsid w:val="00C77D12"/>
    <w:rsid w:val="00C80020"/>
    <w:rsid w:val="00C801C5"/>
    <w:rsid w:val="00C809BD"/>
    <w:rsid w:val="00C80B58"/>
    <w:rsid w:val="00C80F2D"/>
    <w:rsid w:val="00C818D9"/>
    <w:rsid w:val="00C819DE"/>
    <w:rsid w:val="00C82303"/>
    <w:rsid w:val="00C82A4F"/>
    <w:rsid w:val="00C835FF"/>
    <w:rsid w:val="00C837BF"/>
    <w:rsid w:val="00C84683"/>
    <w:rsid w:val="00C846B7"/>
    <w:rsid w:val="00C84A0B"/>
    <w:rsid w:val="00C85C5F"/>
    <w:rsid w:val="00C85DF5"/>
    <w:rsid w:val="00C86AA5"/>
    <w:rsid w:val="00C86C5D"/>
    <w:rsid w:val="00C871B9"/>
    <w:rsid w:val="00C87A29"/>
    <w:rsid w:val="00C901BB"/>
    <w:rsid w:val="00C90289"/>
    <w:rsid w:val="00C907BB"/>
    <w:rsid w:val="00C90B5A"/>
    <w:rsid w:val="00C91820"/>
    <w:rsid w:val="00C91B8B"/>
    <w:rsid w:val="00C91D40"/>
    <w:rsid w:val="00C92244"/>
    <w:rsid w:val="00C92705"/>
    <w:rsid w:val="00C93182"/>
    <w:rsid w:val="00C9319B"/>
    <w:rsid w:val="00C93496"/>
    <w:rsid w:val="00C94219"/>
    <w:rsid w:val="00C947F8"/>
    <w:rsid w:val="00C94C85"/>
    <w:rsid w:val="00C951EF"/>
    <w:rsid w:val="00C95EB2"/>
    <w:rsid w:val="00C9656D"/>
    <w:rsid w:val="00C97551"/>
    <w:rsid w:val="00C97764"/>
    <w:rsid w:val="00CA0919"/>
    <w:rsid w:val="00CA0BBD"/>
    <w:rsid w:val="00CA0D38"/>
    <w:rsid w:val="00CA1B06"/>
    <w:rsid w:val="00CA2B38"/>
    <w:rsid w:val="00CA324E"/>
    <w:rsid w:val="00CA3B7C"/>
    <w:rsid w:val="00CA3BAE"/>
    <w:rsid w:val="00CA3F4A"/>
    <w:rsid w:val="00CA6686"/>
    <w:rsid w:val="00CA67DF"/>
    <w:rsid w:val="00CA7160"/>
    <w:rsid w:val="00CA776E"/>
    <w:rsid w:val="00CA783B"/>
    <w:rsid w:val="00CB00E8"/>
    <w:rsid w:val="00CB0652"/>
    <w:rsid w:val="00CB086C"/>
    <w:rsid w:val="00CB0B13"/>
    <w:rsid w:val="00CB12E6"/>
    <w:rsid w:val="00CB1E9E"/>
    <w:rsid w:val="00CB2012"/>
    <w:rsid w:val="00CB32AD"/>
    <w:rsid w:val="00CB42A6"/>
    <w:rsid w:val="00CB557E"/>
    <w:rsid w:val="00CB5CEE"/>
    <w:rsid w:val="00CB6A9D"/>
    <w:rsid w:val="00CB6DA1"/>
    <w:rsid w:val="00CB6DDA"/>
    <w:rsid w:val="00CB6F1A"/>
    <w:rsid w:val="00CB72CC"/>
    <w:rsid w:val="00CB7B3E"/>
    <w:rsid w:val="00CB7FC9"/>
    <w:rsid w:val="00CC0649"/>
    <w:rsid w:val="00CC1553"/>
    <w:rsid w:val="00CC2AFE"/>
    <w:rsid w:val="00CC34C1"/>
    <w:rsid w:val="00CC379D"/>
    <w:rsid w:val="00CC40BB"/>
    <w:rsid w:val="00CC4433"/>
    <w:rsid w:val="00CC4892"/>
    <w:rsid w:val="00CC56A4"/>
    <w:rsid w:val="00CC5DA9"/>
    <w:rsid w:val="00CC5EEF"/>
    <w:rsid w:val="00CC701B"/>
    <w:rsid w:val="00CC70E5"/>
    <w:rsid w:val="00CC76C0"/>
    <w:rsid w:val="00CC7D91"/>
    <w:rsid w:val="00CD005D"/>
    <w:rsid w:val="00CD040D"/>
    <w:rsid w:val="00CD06C4"/>
    <w:rsid w:val="00CD0926"/>
    <w:rsid w:val="00CD0CCE"/>
    <w:rsid w:val="00CD1784"/>
    <w:rsid w:val="00CD1E29"/>
    <w:rsid w:val="00CD2ADD"/>
    <w:rsid w:val="00CD312F"/>
    <w:rsid w:val="00CD46A5"/>
    <w:rsid w:val="00CD475D"/>
    <w:rsid w:val="00CD4863"/>
    <w:rsid w:val="00CD4C41"/>
    <w:rsid w:val="00CD67C1"/>
    <w:rsid w:val="00CD6BEE"/>
    <w:rsid w:val="00CD74A2"/>
    <w:rsid w:val="00CD7CA5"/>
    <w:rsid w:val="00CE0F40"/>
    <w:rsid w:val="00CE1A0E"/>
    <w:rsid w:val="00CE2D1C"/>
    <w:rsid w:val="00CE30EA"/>
    <w:rsid w:val="00CE3A66"/>
    <w:rsid w:val="00CE4A91"/>
    <w:rsid w:val="00CE52B8"/>
    <w:rsid w:val="00CE59E2"/>
    <w:rsid w:val="00CE61BF"/>
    <w:rsid w:val="00CE6468"/>
    <w:rsid w:val="00CE6544"/>
    <w:rsid w:val="00CE6CD9"/>
    <w:rsid w:val="00CE7776"/>
    <w:rsid w:val="00CF066D"/>
    <w:rsid w:val="00CF0CC3"/>
    <w:rsid w:val="00CF1294"/>
    <w:rsid w:val="00CF1353"/>
    <w:rsid w:val="00CF18D6"/>
    <w:rsid w:val="00CF2E11"/>
    <w:rsid w:val="00CF3648"/>
    <w:rsid w:val="00CF41AE"/>
    <w:rsid w:val="00CF4705"/>
    <w:rsid w:val="00CF4826"/>
    <w:rsid w:val="00CF4FCC"/>
    <w:rsid w:val="00CF5B92"/>
    <w:rsid w:val="00CF5D20"/>
    <w:rsid w:val="00CF6E8F"/>
    <w:rsid w:val="00CF794E"/>
    <w:rsid w:val="00D003FC"/>
    <w:rsid w:val="00D0084A"/>
    <w:rsid w:val="00D01027"/>
    <w:rsid w:val="00D0181C"/>
    <w:rsid w:val="00D025C3"/>
    <w:rsid w:val="00D02740"/>
    <w:rsid w:val="00D02885"/>
    <w:rsid w:val="00D02CAA"/>
    <w:rsid w:val="00D0334B"/>
    <w:rsid w:val="00D03A2C"/>
    <w:rsid w:val="00D03EA7"/>
    <w:rsid w:val="00D03EFC"/>
    <w:rsid w:val="00D0408E"/>
    <w:rsid w:val="00D0504C"/>
    <w:rsid w:val="00D05929"/>
    <w:rsid w:val="00D05C9C"/>
    <w:rsid w:val="00D062A1"/>
    <w:rsid w:val="00D062A9"/>
    <w:rsid w:val="00D063F3"/>
    <w:rsid w:val="00D066D3"/>
    <w:rsid w:val="00D06BB9"/>
    <w:rsid w:val="00D0709D"/>
    <w:rsid w:val="00D105BF"/>
    <w:rsid w:val="00D10D45"/>
    <w:rsid w:val="00D1113F"/>
    <w:rsid w:val="00D12358"/>
    <w:rsid w:val="00D12A07"/>
    <w:rsid w:val="00D13691"/>
    <w:rsid w:val="00D13E7C"/>
    <w:rsid w:val="00D149F2"/>
    <w:rsid w:val="00D14A43"/>
    <w:rsid w:val="00D152A3"/>
    <w:rsid w:val="00D16786"/>
    <w:rsid w:val="00D169E1"/>
    <w:rsid w:val="00D169EF"/>
    <w:rsid w:val="00D17C2A"/>
    <w:rsid w:val="00D202FB"/>
    <w:rsid w:val="00D20370"/>
    <w:rsid w:val="00D204B1"/>
    <w:rsid w:val="00D20A85"/>
    <w:rsid w:val="00D2225A"/>
    <w:rsid w:val="00D228BA"/>
    <w:rsid w:val="00D22D44"/>
    <w:rsid w:val="00D23ADC"/>
    <w:rsid w:val="00D23F72"/>
    <w:rsid w:val="00D2437F"/>
    <w:rsid w:val="00D256F5"/>
    <w:rsid w:val="00D25870"/>
    <w:rsid w:val="00D258AF"/>
    <w:rsid w:val="00D25906"/>
    <w:rsid w:val="00D25EE1"/>
    <w:rsid w:val="00D267B5"/>
    <w:rsid w:val="00D26E1A"/>
    <w:rsid w:val="00D27477"/>
    <w:rsid w:val="00D2773C"/>
    <w:rsid w:val="00D278A9"/>
    <w:rsid w:val="00D27EB0"/>
    <w:rsid w:val="00D30244"/>
    <w:rsid w:val="00D313F9"/>
    <w:rsid w:val="00D314F6"/>
    <w:rsid w:val="00D31784"/>
    <w:rsid w:val="00D3179E"/>
    <w:rsid w:val="00D31AD1"/>
    <w:rsid w:val="00D321DB"/>
    <w:rsid w:val="00D32208"/>
    <w:rsid w:val="00D32937"/>
    <w:rsid w:val="00D32BC9"/>
    <w:rsid w:val="00D34B81"/>
    <w:rsid w:val="00D34C6B"/>
    <w:rsid w:val="00D35E2A"/>
    <w:rsid w:val="00D35EED"/>
    <w:rsid w:val="00D3612D"/>
    <w:rsid w:val="00D362B9"/>
    <w:rsid w:val="00D36677"/>
    <w:rsid w:val="00D367A5"/>
    <w:rsid w:val="00D367C1"/>
    <w:rsid w:val="00D36F47"/>
    <w:rsid w:val="00D37689"/>
    <w:rsid w:val="00D41780"/>
    <w:rsid w:val="00D41F2F"/>
    <w:rsid w:val="00D42377"/>
    <w:rsid w:val="00D424DB"/>
    <w:rsid w:val="00D43255"/>
    <w:rsid w:val="00D433BB"/>
    <w:rsid w:val="00D441A8"/>
    <w:rsid w:val="00D44448"/>
    <w:rsid w:val="00D4483B"/>
    <w:rsid w:val="00D44F47"/>
    <w:rsid w:val="00D45514"/>
    <w:rsid w:val="00D457A8"/>
    <w:rsid w:val="00D45F9C"/>
    <w:rsid w:val="00D45FF2"/>
    <w:rsid w:val="00D467D3"/>
    <w:rsid w:val="00D46A82"/>
    <w:rsid w:val="00D46BD4"/>
    <w:rsid w:val="00D46D08"/>
    <w:rsid w:val="00D46F64"/>
    <w:rsid w:val="00D4788F"/>
    <w:rsid w:val="00D5070C"/>
    <w:rsid w:val="00D521F4"/>
    <w:rsid w:val="00D528E9"/>
    <w:rsid w:val="00D52FA3"/>
    <w:rsid w:val="00D530C2"/>
    <w:rsid w:val="00D5423D"/>
    <w:rsid w:val="00D545E3"/>
    <w:rsid w:val="00D558C1"/>
    <w:rsid w:val="00D559A3"/>
    <w:rsid w:val="00D55CFE"/>
    <w:rsid w:val="00D57412"/>
    <w:rsid w:val="00D57485"/>
    <w:rsid w:val="00D57DA0"/>
    <w:rsid w:val="00D60505"/>
    <w:rsid w:val="00D6056B"/>
    <w:rsid w:val="00D6264A"/>
    <w:rsid w:val="00D63155"/>
    <w:rsid w:val="00D63503"/>
    <w:rsid w:val="00D63CBC"/>
    <w:rsid w:val="00D63D54"/>
    <w:rsid w:val="00D63DCF"/>
    <w:rsid w:val="00D64C19"/>
    <w:rsid w:val="00D65862"/>
    <w:rsid w:val="00D65CB3"/>
    <w:rsid w:val="00D65E03"/>
    <w:rsid w:val="00D65E0D"/>
    <w:rsid w:val="00D661FE"/>
    <w:rsid w:val="00D66261"/>
    <w:rsid w:val="00D671B1"/>
    <w:rsid w:val="00D67F98"/>
    <w:rsid w:val="00D70024"/>
    <w:rsid w:val="00D702F8"/>
    <w:rsid w:val="00D709F1"/>
    <w:rsid w:val="00D71110"/>
    <w:rsid w:val="00D72E26"/>
    <w:rsid w:val="00D74741"/>
    <w:rsid w:val="00D7480A"/>
    <w:rsid w:val="00D74E27"/>
    <w:rsid w:val="00D755C1"/>
    <w:rsid w:val="00D75F39"/>
    <w:rsid w:val="00D76DA0"/>
    <w:rsid w:val="00D76EFD"/>
    <w:rsid w:val="00D76F0F"/>
    <w:rsid w:val="00D77B82"/>
    <w:rsid w:val="00D77D55"/>
    <w:rsid w:val="00D80E53"/>
    <w:rsid w:val="00D81026"/>
    <w:rsid w:val="00D815C8"/>
    <w:rsid w:val="00D818F2"/>
    <w:rsid w:val="00D8272F"/>
    <w:rsid w:val="00D84240"/>
    <w:rsid w:val="00D842EA"/>
    <w:rsid w:val="00D8454A"/>
    <w:rsid w:val="00D8460E"/>
    <w:rsid w:val="00D8508A"/>
    <w:rsid w:val="00D85409"/>
    <w:rsid w:val="00D85B0A"/>
    <w:rsid w:val="00D85E12"/>
    <w:rsid w:val="00D86611"/>
    <w:rsid w:val="00D8739E"/>
    <w:rsid w:val="00D87AAB"/>
    <w:rsid w:val="00D9322E"/>
    <w:rsid w:val="00D93556"/>
    <w:rsid w:val="00D93815"/>
    <w:rsid w:val="00D939FC"/>
    <w:rsid w:val="00D93C8A"/>
    <w:rsid w:val="00D94028"/>
    <w:rsid w:val="00D94534"/>
    <w:rsid w:val="00D9476A"/>
    <w:rsid w:val="00D94C0D"/>
    <w:rsid w:val="00D95020"/>
    <w:rsid w:val="00D95FA1"/>
    <w:rsid w:val="00D96A27"/>
    <w:rsid w:val="00D9723D"/>
    <w:rsid w:val="00D97290"/>
    <w:rsid w:val="00D97F15"/>
    <w:rsid w:val="00DA1F41"/>
    <w:rsid w:val="00DA1FB7"/>
    <w:rsid w:val="00DA27F6"/>
    <w:rsid w:val="00DA2900"/>
    <w:rsid w:val="00DA2DDE"/>
    <w:rsid w:val="00DA469A"/>
    <w:rsid w:val="00DA53CA"/>
    <w:rsid w:val="00DA5543"/>
    <w:rsid w:val="00DA62E3"/>
    <w:rsid w:val="00DA62EE"/>
    <w:rsid w:val="00DA6339"/>
    <w:rsid w:val="00DA641C"/>
    <w:rsid w:val="00DA6A96"/>
    <w:rsid w:val="00DA7265"/>
    <w:rsid w:val="00DA73B9"/>
    <w:rsid w:val="00DA7A54"/>
    <w:rsid w:val="00DA7D8D"/>
    <w:rsid w:val="00DB01E3"/>
    <w:rsid w:val="00DB0E8E"/>
    <w:rsid w:val="00DB1DE7"/>
    <w:rsid w:val="00DB3D18"/>
    <w:rsid w:val="00DB5438"/>
    <w:rsid w:val="00DB5631"/>
    <w:rsid w:val="00DB58A1"/>
    <w:rsid w:val="00DB71CC"/>
    <w:rsid w:val="00DB7C37"/>
    <w:rsid w:val="00DB7C3D"/>
    <w:rsid w:val="00DB7FB2"/>
    <w:rsid w:val="00DC110A"/>
    <w:rsid w:val="00DC2E5D"/>
    <w:rsid w:val="00DC3007"/>
    <w:rsid w:val="00DC3837"/>
    <w:rsid w:val="00DC3E05"/>
    <w:rsid w:val="00DC50BE"/>
    <w:rsid w:val="00DC5EEE"/>
    <w:rsid w:val="00DC698E"/>
    <w:rsid w:val="00DC6DBD"/>
    <w:rsid w:val="00DC78A2"/>
    <w:rsid w:val="00DC7B72"/>
    <w:rsid w:val="00DD0010"/>
    <w:rsid w:val="00DD0A6E"/>
    <w:rsid w:val="00DD10C2"/>
    <w:rsid w:val="00DD146A"/>
    <w:rsid w:val="00DD202A"/>
    <w:rsid w:val="00DD397C"/>
    <w:rsid w:val="00DD3BCF"/>
    <w:rsid w:val="00DD3D78"/>
    <w:rsid w:val="00DD54C1"/>
    <w:rsid w:val="00DD645A"/>
    <w:rsid w:val="00DD6511"/>
    <w:rsid w:val="00DD7BDA"/>
    <w:rsid w:val="00DE01FA"/>
    <w:rsid w:val="00DE0939"/>
    <w:rsid w:val="00DE0AA1"/>
    <w:rsid w:val="00DE1137"/>
    <w:rsid w:val="00DE1A14"/>
    <w:rsid w:val="00DE1D5D"/>
    <w:rsid w:val="00DE1E37"/>
    <w:rsid w:val="00DE25C9"/>
    <w:rsid w:val="00DE261B"/>
    <w:rsid w:val="00DE3505"/>
    <w:rsid w:val="00DE49AA"/>
    <w:rsid w:val="00DE5BCD"/>
    <w:rsid w:val="00DE5CA7"/>
    <w:rsid w:val="00DE5F80"/>
    <w:rsid w:val="00DE61C2"/>
    <w:rsid w:val="00DE6440"/>
    <w:rsid w:val="00DE6BB7"/>
    <w:rsid w:val="00DE7BC0"/>
    <w:rsid w:val="00DE7C31"/>
    <w:rsid w:val="00DF1048"/>
    <w:rsid w:val="00DF1144"/>
    <w:rsid w:val="00DF23A6"/>
    <w:rsid w:val="00DF2BFB"/>
    <w:rsid w:val="00DF2C2D"/>
    <w:rsid w:val="00DF36A9"/>
    <w:rsid w:val="00DF4175"/>
    <w:rsid w:val="00DF4418"/>
    <w:rsid w:val="00DF4725"/>
    <w:rsid w:val="00DF5CEA"/>
    <w:rsid w:val="00DF5E12"/>
    <w:rsid w:val="00DF6BAA"/>
    <w:rsid w:val="00DF74AB"/>
    <w:rsid w:val="00DF7A51"/>
    <w:rsid w:val="00E001D9"/>
    <w:rsid w:val="00E00AFB"/>
    <w:rsid w:val="00E0192E"/>
    <w:rsid w:val="00E020ED"/>
    <w:rsid w:val="00E0224E"/>
    <w:rsid w:val="00E04C57"/>
    <w:rsid w:val="00E05B58"/>
    <w:rsid w:val="00E05F29"/>
    <w:rsid w:val="00E06705"/>
    <w:rsid w:val="00E06A38"/>
    <w:rsid w:val="00E06B70"/>
    <w:rsid w:val="00E06FDC"/>
    <w:rsid w:val="00E07435"/>
    <w:rsid w:val="00E07E97"/>
    <w:rsid w:val="00E112DE"/>
    <w:rsid w:val="00E11915"/>
    <w:rsid w:val="00E124E8"/>
    <w:rsid w:val="00E141E7"/>
    <w:rsid w:val="00E1468B"/>
    <w:rsid w:val="00E14793"/>
    <w:rsid w:val="00E14DE0"/>
    <w:rsid w:val="00E154AC"/>
    <w:rsid w:val="00E15873"/>
    <w:rsid w:val="00E15E98"/>
    <w:rsid w:val="00E15EA4"/>
    <w:rsid w:val="00E1608B"/>
    <w:rsid w:val="00E16562"/>
    <w:rsid w:val="00E16B9B"/>
    <w:rsid w:val="00E1777B"/>
    <w:rsid w:val="00E2040C"/>
    <w:rsid w:val="00E204AE"/>
    <w:rsid w:val="00E206DE"/>
    <w:rsid w:val="00E20C49"/>
    <w:rsid w:val="00E22E2C"/>
    <w:rsid w:val="00E22EB7"/>
    <w:rsid w:val="00E22F02"/>
    <w:rsid w:val="00E2325B"/>
    <w:rsid w:val="00E23636"/>
    <w:rsid w:val="00E237B3"/>
    <w:rsid w:val="00E23AF0"/>
    <w:rsid w:val="00E23BB8"/>
    <w:rsid w:val="00E25D00"/>
    <w:rsid w:val="00E25D6B"/>
    <w:rsid w:val="00E25D8D"/>
    <w:rsid w:val="00E26E4A"/>
    <w:rsid w:val="00E27693"/>
    <w:rsid w:val="00E30A51"/>
    <w:rsid w:val="00E30BA2"/>
    <w:rsid w:val="00E30D6E"/>
    <w:rsid w:val="00E31DD8"/>
    <w:rsid w:val="00E32223"/>
    <w:rsid w:val="00E323D4"/>
    <w:rsid w:val="00E328B9"/>
    <w:rsid w:val="00E32DDC"/>
    <w:rsid w:val="00E33B00"/>
    <w:rsid w:val="00E355B1"/>
    <w:rsid w:val="00E36975"/>
    <w:rsid w:val="00E36B71"/>
    <w:rsid w:val="00E36CA4"/>
    <w:rsid w:val="00E36FF2"/>
    <w:rsid w:val="00E3707F"/>
    <w:rsid w:val="00E37202"/>
    <w:rsid w:val="00E37EF0"/>
    <w:rsid w:val="00E40969"/>
    <w:rsid w:val="00E415C0"/>
    <w:rsid w:val="00E41AD2"/>
    <w:rsid w:val="00E41AD8"/>
    <w:rsid w:val="00E41C36"/>
    <w:rsid w:val="00E41F2D"/>
    <w:rsid w:val="00E42437"/>
    <w:rsid w:val="00E43691"/>
    <w:rsid w:val="00E442EE"/>
    <w:rsid w:val="00E44A93"/>
    <w:rsid w:val="00E45FF0"/>
    <w:rsid w:val="00E46614"/>
    <w:rsid w:val="00E506E8"/>
    <w:rsid w:val="00E50741"/>
    <w:rsid w:val="00E51FF3"/>
    <w:rsid w:val="00E52483"/>
    <w:rsid w:val="00E52BBD"/>
    <w:rsid w:val="00E52D1B"/>
    <w:rsid w:val="00E52F3D"/>
    <w:rsid w:val="00E53B01"/>
    <w:rsid w:val="00E54B4C"/>
    <w:rsid w:val="00E54E24"/>
    <w:rsid w:val="00E552A5"/>
    <w:rsid w:val="00E5539A"/>
    <w:rsid w:val="00E55C04"/>
    <w:rsid w:val="00E55E77"/>
    <w:rsid w:val="00E5626E"/>
    <w:rsid w:val="00E56411"/>
    <w:rsid w:val="00E564C6"/>
    <w:rsid w:val="00E56CCE"/>
    <w:rsid w:val="00E5728A"/>
    <w:rsid w:val="00E57796"/>
    <w:rsid w:val="00E57ABD"/>
    <w:rsid w:val="00E60917"/>
    <w:rsid w:val="00E60BB8"/>
    <w:rsid w:val="00E60CAD"/>
    <w:rsid w:val="00E63243"/>
    <w:rsid w:val="00E635FF"/>
    <w:rsid w:val="00E64EAE"/>
    <w:rsid w:val="00E65A4D"/>
    <w:rsid w:val="00E65B8C"/>
    <w:rsid w:val="00E65B9D"/>
    <w:rsid w:val="00E66B1C"/>
    <w:rsid w:val="00E70762"/>
    <w:rsid w:val="00E70B3F"/>
    <w:rsid w:val="00E7184E"/>
    <w:rsid w:val="00E72496"/>
    <w:rsid w:val="00E73EC9"/>
    <w:rsid w:val="00E74047"/>
    <w:rsid w:val="00E75B9D"/>
    <w:rsid w:val="00E767A8"/>
    <w:rsid w:val="00E76996"/>
    <w:rsid w:val="00E76FC0"/>
    <w:rsid w:val="00E775B2"/>
    <w:rsid w:val="00E80A88"/>
    <w:rsid w:val="00E81531"/>
    <w:rsid w:val="00E81EE6"/>
    <w:rsid w:val="00E81FEA"/>
    <w:rsid w:val="00E83332"/>
    <w:rsid w:val="00E839BC"/>
    <w:rsid w:val="00E83DEE"/>
    <w:rsid w:val="00E840A1"/>
    <w:rsid w:val="00E84310"/>
    <w:rsid w:val="00E867A5"/>
    <w:rsid w:val="00E86E09"/>
    <w:rsid w:val="00E87B2E"/>
    <w:rsid w:val="00E87BFF"/>
    <w:rsid w:val="00E87C33"/>
    <w:rsid w:val="00E90155"/>
    <w:rsid w:val="00E906D7"/>
    <w:rsid w:val="00E90B9A"/>
    <w:rsid w:val="00E923F3"/>
    <w:rsid w:val="00E933AC"/>
    <w:rsid w:val="00E93760"/>
    <w:rsid w:val="00E939CE"/>
    <w:rsid w:val="00E93C9A"/>
    <w:rsid w:val="00E93E90"/>
    <w:rsid w:val="00E93FA1"/>
    <w:rsid w:val="00E95161"/>
    <w:rsid w:val="00E960CE"/>
    <w:rsid w:val="00E963CD"/>
    <w:rsid w:val="00E96D31"/>
    <w:rsid w:val="00E96ED2"/>
    <w:rsid w:val="00E9727C"/>
    <w:rsid w:val="00E97576"/>
    <w:rsid w:val="00E979CB"/>
    <w:rsid w:val="00EA0A09"/>
    <w:rsid w:val="00EA0AFF"/>
    <w:rsid w:val="00EA0D98"/>
    <w:rsid w:val="00EA1080"/>
    <w:rsid w:val="00EA279C"/>
    <w:rsid w:val="00EA32F6"/>
    <w:rsid w:val="00EA3CC0"/>
    <w:rsid w:val="00EA5F55"/>
    <w:rsid w:val="00EA61E4"/>
    <w:rsid w:val="00EA6C2B"/>
    <w:rsid w:val="00EA7F84"/>
    <w:rsid w:val="00EB05D1"/>
    <w:rsid w:val="00EB108C"/>
    <w:rsid w:val="00EB16B5"/>
    <w:rsid w:val="00EB19B2"/>
    <w:rsid w:val="00EB1E4D"/>
    <w:rsid w:val="00EB2051"/>
    <w:rsid w:val="00EB2196"/>
    <w:rsid w:val="00EB2838"/>
    <w:rsid w:val="00EB41EF"/>
    <w:rsid w:val="00EB4871"/>
    <w:rsid w:val="00EC15F9"/>
    <w:rsid w:val="00EC16EE"/>
    <w:rsid w:val="00EC1890"/>
    <w:rsid w:val="00EC1B25"/>
    <w:rsid w:val="00EC22A3"/>
    <w:rsid w:val="00EC4A64"/>
    <w:rsid w:val="00EC62D5"/>
    <w:rsid w:val="00EC680D"/>
    <w:rsid w:val="00EC7681"/>
    <w:rsid w:val="00ED031A"/>
    <w:rsid w:val="00ED0ADC"/>
    <w:rsid w:val="00ED0D86"/>
    <w:rsid w:val="00ED23D7"/>
    <w:rsid w:val="00ED2526"/>
    <w:rsid w:val="00ED27A6"/>
    <w:rsid w:val="00ED2B05"/>
    <w:rsid w:val="00ED3141"/>
    <w:rsid w:val="00ED34DF"/>
    <w:rsid w:val="00ED3B57"/>
    <w:rsid w:val="00ED3FCF"/>
    <w:rsid w:val="00ED4346"/>
    <w:rsid w:val="00ED4FFC"/>
    <w:rsid w:val="00ED571C"/>
    <w:rsid w:val="00ED5BC2"/>
    <w:rsid w:val="00ED6047"/>
    <w:rsid w:val="00ED6452"/>
    <w:rsid w:val="00ED6A34"/>
    <w:rsid w:val="00ED6E47"/>
    <w:rsid w:val="00ED7716"/>
    <w:rsid w:val="00ED78D6"/>
    <w:rsid w:val="00ED7D34"/>
    <w:rsid w:val="00ED7D4D"/>
    <w:rsid w:val="00ED7FF0"/>
    <w:rsid w:val="00EE09CE"/>
    <w:rsid w:val="00EE1EA8"/>
    <w:rsid w:val="00EE2054"/>
    <w:rsid w:val="00EE3321"/>
    <w:rsid w:val="00EE33D9"/>
    <w:rsid w:val="00EE37F8"/>
    <w:rsid w:val="00EE39E3"/>
    <w:rsid w:val="00EE415D"/>
    <w:rsid w:val="00EE55AC"/>
    <w:rsid w:val="00EE5C05"/>
    <w:rsid w:val="00EE5EFB"/>
    <w:rsid w:val="00EE6153"/>
    <w:rsid w:val="00EE63AE"/>
    <w:rsid w:val="00EE6C44"/>
    <w:rsid w:val="00EE6D25"/>
    <w:rsid w:val="00EE7226"/>
    <w:rsid w:val="00EE75D7"/>
    <w:rsid w:val="00EE7BDD"/>
    <w:rsid w:val="00EE7D22"/>
    <w:rsid w:val="00EF0320"/>
    <w:rsid w:val="00EF0B86"/>
    <w:rsid w:val="00EF0F22"/>
    <w:rsid w:val="00EF1CED"/>
    <w:rsid w:val="00EF5105"/>
    <w:rsid w:val="00EF5F8A"/>
    <w:rsid w:val="00EF7E08"/>
    <w:rsid w:val="00F00B16"/>
    <w:rsid w:val="00F01B20"/>
    <w:rsid w:val="00F01C93"/>
    <w:rsid w:val="00F023A9"/>
    <w:rsid w:val="00F0296C"/>
    <w:rsid w:val="00F034F1"/>
    <w:rsid w:val="00F04568"/>
    <w:rsid w:val="00F04F5E"/>
    <w:rsid w:val="00F05C68"/>
    <w:rsid w:val="00F06095"/>
    <w:rsid w:val="00F06C5F"/>
    <w:rsid w:val="00F073D3"/>
    <w:rsid w:val="00F079BE"/>
    <w:rsid w:val="00F07AD1"/>
    <w:rsid w:val="00F100F0"/>
    <w:rsid w:val="00F111A8"/>
    <w:rsid w:val="00F127B4"/>
    <w:rsid w:val="00F12969"/>
    <w:rsid w:val="00F12E27"/>
    <w:rsid w:val="00F136D7"/>
    <w:rsid w:val="00F13BB8"/>
    <w:rsid w:val="00F14E36"/>
    <w:rsid w:val="00F1599F"/>
    <w:rsid w:val="00F15ACD"/>
    <w:rsid w:val="00F15AFF"/>
    <w:rsid w:val="00F1653F"/>
    <w:rsid w:val="00F16A38"/>
    <w:rsid w:val="00F16DBD"/>
    <w:rsid w:val="00F17101"/>
    <w:rsid w:val="00F21910"/>
    <w:rsid w:val="00F21B6A"/>
    <w:rsid w:val="00F21D79"/>
    <w:rsid w:val="00F21E22"/>
    <w:rsid w:val="00F22474"/>
    <w:rsid w:val="00F22658"/>
    <w:rsid w:val="00F23202"/>
    <w:rsid w:val="00F239FA"/>
    <w:rsid w:val="00F23CA1"/>
    <w:rsid w:val="00F2477E"/>
    <w:rsid w:val="00F250C7"/>
    <w:rsid w:val="00F254B2"/>
    <w:rsid w:val="00F2661C"/>
    <w:rsid w:val="00F2681A"/>
    <w:rsid w:val="00F26D04"/>
    <w:rsid w:val="00F30064"/>
    <w:rsid w:val="00F30B5A"/>
    <w:rsid w:val="00F310FA"/>
    <w:rsid w:val="00F31613"/>
    <w:rsid w:val="00F3198D"/>
    <w:rsid w:val="00F31BF8"/>
    <w:rsid w:val="00F31BFE"/>
    <w:rsid w:val="00F33C4C"/>
    <w:rsid w:val="00F33ED3"/>
    <w:rsid w:val="00F37432"/>
    <w:rsid w:val="00F41066"/>
    <w:rsid w:val="00F41B25"/>
    <w:rsid w:val="00F422ED"/>
    <w:rsid w:val="00F42642"/>
    <w:rsid w:val="00F4329F"/>
    <w:rsid w:val="00F437EF"/>
    <w:rsid w:val="00F43AD5"/>
    <w:rsid w:val="00F43E3D"/>
    <w:rsid w:val="00F44575"/>
    <w:rsid w:val="00F44B75"/>
    <w:rsid w:val="00F45055"/>
    <w:rsid w:val="00F453B0"/>
    <w:rsid w:val="00F4576C"/>
    <w:rsid w:val="00F4582D"/>
    <w:rsid w:val="00F458DC"/>
    <w:rsid w:val="00F45C89"/>
    <w:rsid w:val="00F45F98"/>
    <w:rsid w:val="00F463CB"/>
    <w:rsid w:val="00F4663C"/>
    <w:rsid w:val="00F4681C"/>
    <w:rsid w:val="00F471B1"/>
    <w:rsid w:val="00F47C4C"/>
    <w:rsid w:val="00F47C95"/>
    <w:rsid w:val="00F501F1"/>
    <w:rsid w:val="00F5200A"/>
    <w:rsid w:val="00F520CE"/>
    <w:rsid w:val="00F52C5C"/>
    <w:rsid w:val="00F52D14"/>
    <w:rsid w:val="00F538F3"/>
    <w:rsid w:val="00F54DBD"/>
    <w:rsid w:val="00F551A8"/>
    <w:rsid w:val="00F56B55"/>
    <w:rsid w:val="00F578D3"/>
    <w:rsid w:val="00F60229"/>
    <w:rsid w:val="00F607CE"/>
    <w:rsid w:val="00F6099D"/>
    <w:rsid w:val="00F610E9"/>
    <w:rsid w:val="00F612D5"/>
    <w:rsid w:val="00F62110"/>
    <w:rsid w:val="00F62480"/>
    <w:rsid w:val="00F62547"/>
    <w:rsid w:val="00F62DDF"/>
    <w:rsid w:val="00F63304"/>
    <w:rsid w:val="00F63B85"/>
    <w:rsid w:val="00F63C58"/>
    <w:rsid w:val="00F653BC"/>
    <w:rsid w:val="00F6658C"/>
    <w:rsid w:val="00F669E7"/>
    <w:rsid w:val="00F66DEB"/>
    <w:rsid w:val="00F673F6"/>
    <w:rsid w:val="00F70004"/>
    <w:rsid w:val="00F7010F"/>
    <w:rsid w:val="00F7060C"/>
    <w:rsid w:val="00F71E08"/>
    <w:rsid w:val="00F7246A"/>
    <w:rsid w:val="00F72581"/>
    <w:rsid w:val="00F72AA7"/>
    <w:rsid w:val="00F733F0"/>
    <w:rsid w:val="00F7379A"/>
    <w:rsid w:val="00F73F18"/>
    <w:rsid w:val="00F743CC"/>
    <w:rsid w:val="00F74876"/>
    <w:rsid w:val="00F75273"/>
    <w:rsid w:val="00F75530"/>
    <w:rsid w:val="00F75FBB"/>
    <w:rsid w:val="00F77433"/>
    <w:rsid w:val="00F77FF4"/>
    <w:rsid w:val="00F80109"/>
    <w:rsid w:val="00F80294"/>
    <w:rsid w:val="00F812FD"/>
    <w:rsid w:val="00F81A01"/>
    <w:rsid w:val="00F81B0E"/>
    <w:rsid w:val="00F82579"/>
    <w:rsid w:val="00F83A8E"/>
    <w:rsid w:val="00F84596"/>
    <w:rsid w:val="00F85873"/>
    <w:rsid w:val="00F87185"/>
    <w:rsid w:val="00F87659"/>
    <w:rsid w:val="00F87922"/>
    <w:rsid w:val="00F8798B"/>
    <w:rsid w:val="00F9111C"/>
    <w:rsid w:val="00F9117D"/>
    <w:rsid w:val="00F9120C"/>
    <w:rsid w:val="00F915E3"/>
    <w:rsid w:val="00F91EFD"/>
    <w:rsid w:val="00F92122"/>
    <w:rsid w:val="00F9294A"/>
    <w:rsid w:val="00F92F9A"/>
    <w:rsid w:val="00F938A4"/>
    <w:rsid w:val="00F93A39"/>
    <w:rsid w:val="00F94D74"/>
    <w:rsid w:val="00F95ABF"/>
    <w:rsid w:val="00F95B63"/>
    <w:rsid w:val="00F96860"/>
    <w:rsid w:val="00F96AA3"/>
    <w:rsid w:val="00F972A2"/>
    <w:rsid w:val="00F973F1"/>
    <w:rsid w:val="00F97953"/>
    <w:rsid w:val="00FA0045"/>
    <w:rsid w:val="00FA0A15"/>
    <w:rsid w:val="00FA1455"/>
    <w:rsid w:val="00FA2A4F"/>
    <w:rsid w:val="00FA3B47"/>
    <w:rsid w:val="00FA4457"/>
    <w:rsid w:val="00FA451C"/>
    <w:rsid w:val="00FA5CDC"/>
    <w:rsid w:val="00FA5E89"/>
    <w:rsid w:val="00FA6F88"/>
    <w:rsid w:val="00FA76F3"/>
    <w:rsid w:val="00FB0B18"/>
    <w:rsid w:val="00FB0C24"/>
    <w:rsid w:val="00FB0C8A"/>
    <w:rsid w:val="00FB1E24"/>
    <w:rsid w:val="00FB205D"/>
    <w:rsid w:val="00FB3203"/>
    <w:rsid w:val="00FB346E"/>
    <w:rsid w:val="00FB4B81"/>
    <w:rsid w:val="00FB5DAF"/>
    <w:rsid w:val="00FB6E6C"/>
    <w:rsid w:val="00FB6F46"/>
    <w:rsid w:val="00FC03CA"/>
    <w:rsid w:val="00FC0A32"/>
    <w:rsid w:val="00FC1095"/>
    <w:rsid w:val="00FC11BC"/>
    <w:rsid w:val="00FC1512"/>
    <w:rsid w:val="00FC217B"/>
    <w:rsid w:val="00FC29BB"/>
    <w:rsid w:val="00FC2AA9"/>
    <w:rsid w:val="00FC3B64"/>
    <w:rsid w:val="00FC44D9"/>
    <w:rsid w:val="00FC482F"/>
    <w:rsid w:val="00FC4C9D"/>
    <w:rsid w:val="00FC4F84"/>
    <w:rsid w:val="00FC500B"/>
    <w:rsid w:val="00FC5E81"/>
    <w:rsid w:val="00FC6B43"/>
    <w:rsid w:val="00FC6ED4"/>
    <w:rsid w:val="00FC7659"/>
    <w:rsid w:val="00FD029E"/>
    <w:rsid w:val="00FD0737"/>
    <w:rsid w:val="00FD0CAB"/>
    <w:rsid w:val="00FD1430"/>
    <w:rsid w:val="00FD14F6"/>
    <w:rsid w:val="00FD26A3"/>
    <w:rsid w:val="00FD292D"/>
    <w:rsid w:val="00FD2AD5"/>
    <w:rsid w:val="00FD3309"/>
    <w:rsid w:val="00FD3D5E"/>
    <w:rsid w:val="00FD3E45"/>
    <w:rsid w:val="00FD5659"/>
    <w:rsid w:val="00FD6BA9"/>
    <w:rsid w:val="00FD6C40"/>
    <w:rsid w:val="00FD6ED2"/>
    <w:rsid w:val="00FD6F50"/>
    <w:rsid w:val="00FE019D"/>
    <w:rsid w:val="00FE0E01"/>
    <w:rsid w:val="00FE1489"/>
    <w:rsid w:val="00FE1EAB"/>
    <w:rsid w:val="00FE3083"/>
    <w:rsid w:val="00FE3ECA"/>
    <w:rsid w:val="00FE4681"/>
    <w:rsid w:val="00FE484D"/>
    <w:rsid w:val="00FE4B7B"/>
    <w:rsid w:val="00FE5B44"/>
    <w:rsid w:val="00FE6B99"/>
    <w:rsid w:val="00FE76E2"/>
    <w:rsid w:val="00FE771A"/>
    <w:rsid w:val="00FF034F"/>
    <w:rsid w:val="00FF12DB"/>
    <w:rsid w:val="00FF18D7"/>
    <w:rsid w:val="00FF1A7A"/>
    <w:rsid w:val="00FF1D52"/>
    <w:rsid w:val="00FF2490"/>
    <w:rsid w:val="00FF27C5"/>
    <w:rsid w:val="00FF3893"/>
    <w:rsid w:val="00FF3F51"/>
    <w:rsid w:val="00FF50AC"/>
    <w:rsid w:val="00FF5B86"/>
    <w:rsid w:val="00FF653B"/>
    <w:rsid w:val="00FF6F96"/>
    <w:rsid w:val="00FF7032"/>
    <w:rsid w:val="00FF76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884EC4"/>
  <w15:chartTrackingRefBased/>
  <w15:docId w15:val="{CED76202-3EF3-46C3-9DEE-8D4A0B2C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s-CR" w:eastAsia="es-CR"/>
    </w:rPr>
  </w:style>
  <w:style w:type="paragraph" w:styleId="Ttulo1">
    <w:name w:val="heading 1"/>
    <w:basedOn w:val="Prrafodelista"/>
    <w:next w:val="Normal"/>
    <w:link w:val="Ttulo1Car"/>
    <w:uiPriority w:val="9"/>
    <w:qFormat/>
    <w:rsid w:val="0062279D"/>
    <w:pPr>
      <w:numPr>
        <w:numId w:val="3"/>
      </w:numPr>
      <w:spacing w:after="0" w:line="240" w:lineRule="auto"/>
      <w:ind w:right="1444"/>
      <w:jc w:val="both"/>
      <w:outlineLvl w:val="0"/>
    </w:pPr>
    <w:rPr>
      <w:rFonts w:ascii="Verdana" w:hAnsi="Verdana" w:cs="Verdana"/>
      <w:b/>
      <w:sz w:val="20"/>
      <w:szCs w:val="20"/>
      <w:lang w:val="es-ES"/>
    </w:rPr>
  </w:style>
  <w:style w:type="paragraph" w:styleId="Ttulo2">
    <w:name w:val="heading 2"/>
    <w:basedOn w:val="Normal"/>
    <w:next w:val="Normal"/>
    <w:link w:val="Ttulo2Car"/>
    <w:uiPriority w:val="9"/>
    <w:unhideWhenUsed/>
    <w:qFormat/>
    <w:rsid w:val="001A713E"/>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52428B"/>
    <w:rPr>
      <w:vertAlign w:val="superscript"/>
    </w:rPr>
  </w:style>
  <w:style w:type="paragraph" w:styleId="Sinespaciado">
    <w:name w:val="No Spacing"/>
    <w:uiPriority w:val="1"/>
    <w:qFormat/>
    <w:rsid w:val="0052428B"/>
    <w:rPr>
      <w:sz w:val="22"/>
      <w:szCs w:val="22"/>
      <w:lang w:val="es-CR" w:eastAsia="es-CR"/>
    </w:rPr>
  </w:style>
  <w:style w:type="paragraph" w:styleId="Prrafodelista">
    <w:name w:val="List Paragraph"/>
    <w:aliases w:val="Footnote,Párrafo de lista1"/>
    <w:basedOn w:val="Normal"/>
    <w:link w:val="PrrafodelistaCar"/>
    <w:uiPriority w:val="34"/>
    <w:qFormat/>
    <w:rsid w:val="0052428B"/>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qFormat/>
    <w:rsid w:val="0052428B"/>
    <w:pPr>
      <w:spacing w:after="0" w:line="240" w:lineRule="auto"/>
    </w:pPr>
    <w:rPr>
      <w:rFonts w:ascii="Times" w:eastAsia="Times" w:hAnsi="Times"/>
      <w:sz w:val="24"/>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uiPriority w:val="99"/>
    <w:qFormat/>
    <w:rsid w:val="0052428B"/>
    <w:rPr>
      <w:rFonts w:ascii="Times" w:eastAsia="Times" w:hAnsi="Times" w:cs="Times New Roman"/>
      <w:sz w:val="24"/>
      <w:szCs w:val="20"/>
      <w:lang w:val="es-ES_tradnl"/>
    </w:rPr>
  </w:style>
  <w:style w:type="character" w:customStyle="1" w:styleId="PrrafodelistaCar">
    <w:name w:val="Párrafo de lista Car"/>
    <w:aliases w:val="Footnote Car,Párrafo de lista1 Car"/>
    <w:link w:val="Prrafodelista"/>
    <w:uiPriority w:val="34"/>
    <w:rsid w:val="0052428B"/>
  </w:style>
  <w:style w:type="paragraph" w:styleId="Textodeglobo">
    <w:name w:val="Balloon Text"/>
    <w:basedOn w:val="Normal"/>
    <w:link w:val="TextodegloboCar"/>
    <w:uiPriority w:val="99"/>
    <w:semiHidden/>
    <w:unhideWhenUsed/>
    <w:rsid w:val="00D4483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4483B"/>
    <w:rPr>
      <w:rFonts w:ascii="Tahoma" w:hAnsi="Tahoma" w:cs="Tahoma"/>
      <w:sz w:val="16"/>
      <w:szCs w:val="16"/>
    </w:rPr>
  </w:style>
  <w:style w:type="paragraph" w:styleId="Mapadeldocumento">
    <w:name w:val="Document Map"/>
    <w:basedOn w:val="Normal"/>
    <w:link w:val="MapadeldocumentoCar"/>
    <w:uiPriority w:val="99"/>
    <w:semiHidden/>
    <w:unhideWhenUsed/>
    <w:rsid w:val="00625989"/>
    <w:pPr>
      <w:spacing w:after="0" w:line="240" w:lineRule="auto"/>
    </w:pPr>
    <w:rPr>
      <w:rFonts w:ascii="Tahoma" w:hAnsi="Tahoma" w:cs="Tahoma"/>
      <w:sz w:val="16"/>
      <w:szCs w:val="16"/>
    </w:rPr>
  </w:style>
  <w:style w:type="character" w:customStyle="1" w:styleId="MapadeldocumentoCar">
    <w:name w:val="Mapa del documento Car"/>
    <w:link w:val="Mapadeldocumento"/>
    <w:uiPriority w:val="99"/>
    <w:semiHidden/>
    <w:rsid w:val="00625989"/>
    <w:rPr>
      <w:rFonts w:ascii="Tahoma" w:hAnsi="Tahoma" w:cs="Tahoma"/>
      <w:sz w:val="16"/>
      <w:szCs w:val="16"/>
    </w:rPr>
  </w:style>
  <w:style w:type="character" w:styleId="Refdecomentario">
    <w:name w:val="annotation reference"/>
    <w:uiPriority w:val="99"/>
    <w:semiHidden/>
    <w:unhideWhenUsed/>
    <w:rsid w:val="009D5904"/>
    <w:rPr>
      <w:sz w:val="16"/>
      <w:szCs w:val="16"/>
    </w:rPr>
  </w:style>
  <w:style w:type="paragraph" w:styleId="Textocomentario">
    <w:name w:val="annotation text"/>
    <w:basedOn w:val="Normal"/>
    <w:link w:val="TextocomentarioCar"/>
    <w:uiPriority w:val="99"/>
    <w:semiHidden/>
    <w:unhideWhenUsed/>
    <w:rsid w:val="009D5904"/>
    <w:pPr>
      <w:spacing w:line="240" w:lineRule="auto"/>
    </w:pPr>
    <w:rPr>
      <w:sz w:val="20"/>
      <w:szCs w:val="20"/>
    </w:rPr>
  </w:style>
  <w:style w:type="character" w:customStyle="1" w:styleId="TextocomentarioCar">
    <w:name w:val="Texto comentario Car"/>
    <w:link w:val="Textocomentario"/>
    <w:uiPriority w:val="99"/>
    <w:semiHidden/>
    <w:rsid w:val="009D5904"/>
    <w:rPr>
      <w:sz w:val="20"/>
      <w:szCs w:val="20"/>
    </w:rPr>
  </w:style>
  <w:style w:type="paragraph" w:styleId="Asuntodelcomentario">
    <w:name w:val="annotation subject"/>
    <w:basedOn w:val="Textocomentario"/>
    <w:next w:val="Textocomentario"/>
    <w:link w:val="AsuntodelcomentarioCar"/>
    <w:uiPriority w:val="99"/>
    <w:semiHidden/>
    <w:unhideWhenUsed/>
    <w:rsid w:val="009D5904"/>
    <w:rPr>
      <w:b/>
      <w:bCs/>
    </w:rPr>
  </w:style>
  <w:style w:type="character" w:customStyle="1" w:styleId="AsuntodelcomentarioCar">
    <w:name w:val="Asunto del comentario Car"/>
    <w:link w:val="Asuntodelcomentario"/>
    <w:uiPriority w:val="99"/>
    <w:semiHidden/>
    <w:rsid w:val="009D5904"/>
    <w:rPr>
      <w:b/>
      <w:bCs/>
      <w:sz w:val="20"/>
      <w:szCs w:val="20"/>
    </w:rPr>
  </w:style>
  <w:style w:type="paragraph" w:styleId="Revisin">
    <w:name w:val="Revision"/>
    <w:hidden/>
    <w:uiPriority w:val="99"/>
    <w:semiHidden/>
    <w:rsid w:val="009D5904"/>
    <w:rPr>
      <w:sz w:val="22"/>
      <w:szCs w:val="22"/>
      <w:lang w:val="es-CR" w:eastAsia="es-CR"/>
    </w:rPr>
  </w:style>
  <w:style w:type="paragraph" w:styleId="Encabezado">
    <w:name w:val="header"/>
    <w:basedOn w:val="Normal"/>
    <w:link w:val="EncabezadoCar"/>
    <w:uiPriority w:val="99"/>
    <w:unhideWhenUsed/>
    <w:rsid w:val="00E112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12DE"/>
  </w:style>
  <w:style w:type="paragraph" w:styleId="Piedepgina">
    <w:name w:val="footer"/>
    <w:basedOn w:val="Normal"/>
    <w:link w:val="PiedepginaCar"/>
    <w:uiPriority w:val="99"/>
    <w:unhideWhenUsed/>
    <w:rsid w:val="00E112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12DE"/>
  </w:style>
  <w:style w:type="character" w:styleId="Hipervnculo">
    <w:name w:val="Hyperlink"/>
    <w:uiPriority w:val="99"/>
    <w:unhideWhenUsed/>
    <w:rsid w:val="00E25D8D"/>
    <w:rPr>
      <w:color w:val="0000FF"/>
      <w:u w:val="single"/>
    </w:rPr>
  </w:style>
  <w:style w:type="paragraph" w:styleId="Textoindependiente2">
    <w:name w:val="Body Text 2"/>
    <w:basedOn w:val="Normal"/>
    <w:link w:val="Textoindependiente2Car"/>
    <w:rsid w:val="00653CF4"/>
    <w:pPr>
      <w:spacing w:after="0" w:line="240" w:lineRule="auto"/>
      <w:jc w:val="both"/>
    </w:pPr>
    <w:rPr>
      <w:rFonts w:ascii="Verdana" w:eastAsia="Times" w:hAnsi="Verdana"/>
      <w:sz w:val="20"/>
      <w:szCs w:val="20"/>
      <w:lang w:val="es-ES_tradnl"/>
    </w:rPr>
  </w:style>
  <w:style w:type="character" w:customStyle="1" w:styleId="Textoindependiente2Car">
    <w:name w:val="Texto independiente 2 Car"/>
    <w:link w:val="Textoindependiente2"/>
    <w:rsid w:val="00653CF4"/>
    <w:rPr>
      <w:rFonts w:ascii="Verdana" w:eastAsia="Times" w:hAnsi="Verdana" w:cs="Times New Roman"/>
      <w:sz w:val="20"/>
      <w:szCs w:val="20"/>
      <w:lang w:val="es-ES_tradnl"/>
    </w:rPr>
  </w:style>
  <w:style w:type="character" w:customStyle="1" w:styleId="Ttulo1Car">
    <w:name w:val="Título 1 Car"/>
    <w:link w:val="Ttulo1"/>
    <w:uiPriority w:val="9"/>
    <w:rsid w:val="0062279D"/>
    <w:rPr>
      <w:rFonts w:ascii="Verdana" w:hAnsi="Verdana" w:cs="Verdana"/>
      <w:b/>
      <w:sz w:val="20"/>
      <w:szCs w:val="20"/>
      <w:lang w:val="es-ES"/>
    </w:rPr>
  </w:style>
  <w:style w:type="paragraph" w:styleId="TtulodeTDC">
    <w:name w:val="Título de TDC"/>
    <w:basedOn w:val="Ttulo1"/>
    <w:next w:val="Normal"/>
    <w:uiPriority w:val="39"/>
    <w:unhideWhenUsed/>
    <w:qFormat/>
    <w:rsid w:val="005D325A"/>
    <w:pPr>
      <w:outlineLvl w:val="9"/>
    </w:pPr>
  </w:style>
  <w:style w:type="paragraph" w:styleId="TDC1">
    <w:name w:val="toc 1"/>
    <w:basedOn w:val="Normal"/>
    <w:next w:val="Normal"/>
    <w:autoRedefine/>
    <w:uiPriority w:val="39"/>
    <w:unhideWhenUsed/>
    <w:rsid w:val="00507889"/>
    <w:pPr>
      <w:tabs>
        <w:tab w:val="left" w:pos="660"/>
        <w:tab w:val="right" w:leader="dot" w:pos="9350"/>
      </w:tabs>
      <w:spacing w:after="100"/>
      <w:ind w:right="1444"/>
      <w:jc w:val="both"/>
    </w:pPr>
    <w:rPr>
      <w:rFonts w:ascii="Verdana" w:hAnsi="Verdana"/>
      <w:b/>
      <w:noProof/>
      <w:sz w:val="20"/>
      <w:szCs w:val="20"/>
    </w:rPr>
  </w:style>
  <w:style w:type="character" w:styleId="Nmerodelnea">
    <w:name w:val="line number"/>
    <w:basedOn w:val="Fuentedeprrafopredeter"/>
    <w:uiPriority w:val="99"/>
    <w:semiHidden/>
    <w:unhideWhenUsed/>
    <w:rsid w:val="00D362B9"/>
  </w:style>
  <w:style w:type="character" w:styleId="Textoennegrita">
    <w:name w:val="Strong"/>
    <w:aliases w:val="Heading 2.1"/>
    <w:uiPriority w:val="22"/>
    <w:qFormat/>
    <w:rsid w:val="00C14CAA"/>
    <w:rPr>
      <w:b/>
      <w:bCs/>
    </w:rPr>
  </w:style>
  <w:style w:type="paragraph" w:styleId="Textoindependiente">
    <w:name w:val="Body Text"/>
    <w:basedOn w:val="Normal"/>
    <w:link w:val="TextoindependienteCar"/>
    <w:uiPriority w:val="99"/>
    <w:semiHidden/>
    <w:unhideWhenUsed/>
    <w:rsid w:val="0015290F"/>
    <w:pPr>
      <w:spacing w:after="120"/>
    </w:pPr>
  </w:style>
  <w:style w:type="character" w:customStyle="1" w:styleId="TextoindependienteCar">
    <w:name w:val="Texto independiente Car"/>
    <w:basedOn w:val="Fuentedeprrafopredeter"/>
    <w:link w:val="Textoindependiente"/>
    <w:uiPriority w:val="99"/>
    <w:semiHidden/>
    <w:rsid w:val="0015290F"/>
  </w:style>
  <w:style w:type="paragraph" w:styleId="NormalWeb">
    <w:name w:val="Normal (Web)"/>
    <w:basedOn w:val="Normal"/>
    <w:uiPriority w:val="99"/>
    <w:unhideWhenUsed/>
    <w:rsid w:val="00B56D65"/>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Fuentedeprrafopredeter"/>
    <w:rsid w:val="00C14630"/>
  </w:style>
  <w:style w:type="character" w:customStyle="1" w:styleId="PrrafodelistaCar1">
    <w:name w:val="Párrafo de lista Car1"/>
    <w:aliases w:val="Footnote Car1,Párrafo de lista1 Car1"/>
    <w:uiPriority w:val="34"/>
    <w:rsid w:val="00C17D34"/>
    <w:rPr>
      <w:lang w:val="es-CR"/>
    </w:rPr>
  </w:style>
  <w:style w:type="paragraph" w:customStyle="1" w:styleId="Sangradetindependiente">
    <w:name w:val="SangrÌa de t. independiente"/>
    <w:basedOn w:val="Normal"/>
    <w:rsid w:val="008549B8"/>
    <w:pPr>
      <w:spacing w:after="0" w:line="240" w:lineRule="auto"/>
      <w:ind w:right="12"/>
      <w:jc w:val="both"/>
    </w:pPr>
    <w:rPr>
      <w:rFonts w:ascii="Garamond" w:eastAsia="Times New Roman" w:hAnsi="Garamond"/>
      <w:sz w:val="20"/>
      <w:szCs w:val="20"/>
      <w:lang w:val="es-ES_tradnl" w:eastAsia="es-ES"/>
    </w:rPr>
  </w:style>
  <w:style w:type="character" w:customStyle="1" w:styleId="Cuadrculamedia1-nfasis2Car">
    <w:name w:val="Cuadrícula media 1 - Énfasis 2 Car"/>
    <w:link w:val="Cuadrculamedia1-nfasis2"/>
    <w:uiPriority w:val="34"/>
    <w:rsid w:val="008549B8"/>
    <w:rPr>
      <w:rFonts w:ascii="Garamond" w:eastAsia="Times" w:hAnsi="Garamond"/>
      <w:sz w:val="24"/>
      <w:lang w:val="es-ES_tradnl" w:eastAsia="en-US"/>
    </w:rPr>
  </w:style>
  <w:style w:type="table" w:styleId="Cuadrculamedia1-nfasis2">
    <w:name w:val="Medium Grid 1 Accent 2"/>
    <w:basedOn w:val="Tablanormal"/>
    <w:link w:val="Cuadrculamedia1-nfasis2Car"/>
    <w:uiPriority w:val="34"/>
    <w:rsid w:val="008549B8"/>
    <w:rPr>
      <w:rFonts w:ascii="Garamond" w:eastAsia="Times" w:hAnsi="Garamond"/>
      <w:sz w:val="24"/>
      <w:lang w:val="es-ES_tradn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s6b621b36">
    <w:name w:val="s6b621b36"/>
    <w:basedOn w:val="Fuentedeprrafopredeter"/>
    <w:rsid w:val="0074545E"/>
  </w:style>
  <w:style w:type="table" w:styleId="Tablaconcuadrcula">
    <w:name w:val="Table Grid"/>
    <w:basedOn w:val="Tablanormal"/>
    <w:uiPriority w:val="59"/>
    <w:rsid w:val="00AE2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FB6E6C"/>
    <w:rPr>
      <w:color w:val="800080"/>
      <w:u w:val="single"/>
    </w:rPr>
  </w:style>
  <w:style w:type="character" w:customStyle="1" w:styleId="Ttulo2Car">
    <w:name w:val="Título 2 Car"/>
    <w:link w:val="Ttulo2"/>
    <w:uiPriority w:val="9"/>
    <w:rsid w:val="001A713E"/>
    <w:rPr>
      <w:rFonts w:ascii="Cambria" w:eastAsia="Times New Roman" w:hAnsi="Cambria" w:cs="Times New Roman"/>
      <w:b/>
      <w:bCs/>
      <w:i/>
      <w:iCs/>
      <w:sz w:val="28"/>
      <w:szCs w:val="28"/>
      <w:lang w:val="es-CR"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250A8"/>
    <w:pPr>
      <w:spacing w:after="0" w:line="240" w:lineRule="auto"/>
      <w:jc w:val="both"/>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0720">
      <w:bodyDiv w:val="1"/>
      <w:marLeft w:val="0"/>
      <w:marRight w:val="0"/>
      <w:marTop w:val="0"/>
      <w:marBottom w:val="0"/>
      <w:divBdr>
        <w:top w:val="none" w:sz="0" w:space="0" w:color="auto"/>
        <w:left w:val="none" w:sz="0" w:space="0" w:color="auto"/>
        <w:bottom w:val="none" w:sz="0" w:space="0" w:color="auto"/>
        <w:right w:val="none" w:sz="0" w:space="0" w:color="auto"/>
      </w:divBdr>
    </w:div>
    <w:div w:id="176358561">
      <w:bodyDiv w:val="1"/>
      <w:marLeft w:val="0"/>
      <w:marRight w:val="0"/>
      <w:marTop w:val="0"/>
      <w:marBottom w:val="0"/>
      <w:divBdr>
        <w:top w:val="none" w:sz="0" w:space="0" w:color="auto"/>
        <w:left w:val="none" w:sz="0" w:space="0" w:color="auto"/>
        <w:bottom w:val="none" w:sz="0" w:space="0" w:color="auto"/>
        <w:right w:val="none" w:sz="0" w:space="0" w:color="auto"/>
      </w:divBdr>
    </w:div>
    <w:div w:id="334772806">
      <w:bodyDiv w:val="1"/>
      <w:marLeft w:val="0"/>
      <w:marRight w:val="0"/>
      <w:marTop w:val="0"/>
      <w:marBottom w:val="0"/>
      <w:divBdr>
        <w:top w:val="none" w:sz="0" w:space="0" w:color="auto"/>
        <w:left w:val="none" w:sz="0" w:space="0" w:color="auto"/>
        <w:bottom w:val="none" w:sz="0" w:space="0" w:color="auto"/>
        <w:right w:val="none" w:sz="0" w:space="0" w:color="auto"/>
      </w:divBdr>
    </w:div>
    <w:div w:id="401102982">
      <w:bodyDiv w:val="1"/>
      <w:marLeft w:val="0"/>
      <w:marRight w:val="0"/>
      <w:marTop w:val="0"/>
      <w:marBottom w:val="0"/>
      <w:divBdr>
        <w:top w:val="none" w:sz="0" w:space="0" w:color="auto"/>
        <w:left w:val="none" w:sz="0" w:space="0" w:color="auto"/>
        <w:bottom w:val="none" w:sz="0" w:space="0" w:color="auto"/>
        <w:right w:val="none" w:sz="0" w:space="0" w:color="auto"/>
      </w:divBdr>
    </w:div>
    <w:div w:id="408385065">
      <w:bodyDiv w:val="1"/>
      <w:marLeft w:val="0"/>
      <w:marRight w:val="0"/>
      <w:marTop w:val="0"/>
      <w:marBottom w:val="0"/>
      <w:divBdr>
        <w:top w:val="none" w:sz="0" w:space="0" w:color="auto"/>
        <w:left w:val="none" w:sz="0" w:space="0" w:color="auto"/>
        <w:bottom w:val="none" w:sz="0" w:space="0" w:color="auto"/>
        <w:right w:val="none" w:sz="0" w:space="0" w:color="auto"/>
      </w:divBdr>
    </w:div>
    <w:div w:id="509098772">
      <w:bodyDiv w:val="1"/>
      <w:marLeft w:val="0"/>
      <w:marRight w:val="0"/>
      <w:marTop w:val="0"/>
      <w:marBottom w:val="0"/>
      <w:divBdr>
        <w:top w:val="none" w:sz="0" w:space="0" w:color="auto"/>
        <w:left w:val="none" w:sz="0" w:space="0" w:color="auto"/>
        <w:bottom w:val="none" w:sz="0" w:space="0" w:color="auto"/>
        <w:right w:val="none" w:sz="0" w:space="0" w:color="auto"/>
      </w:divBdr>
    </w:div>
    <w:div w:id="621303439">
      <w:bodyDiv w:val="1"/>
      <w:marLeft w:val="0"/>
      <w:marRight w:val="0"/>
      <w:marTop w:val="0"/>
      <w:marBottom w:val="0"/>
      <w:divBdr>
        <w:top w:val="none" w:sz="0" w:space="0" w:color="auto"/>
        <w:left w:val="none" w:sz="0" w:space="0" w:color="auto"/>
        <w:bottom w:val="none" w:sz="0" w:space="0" w:color="auto"/>
        <w:right w:val="none" w:sz="0" w:space="0" w:color="auto"/>
      </w:divBdr>
    </w:div>
    <w:div w:id="623855440">
      <w:bodyDiv w:val="1"/>
      <w:marLeft w:val="0"/>
      <w:marRight w:val="0"/>
      <w:marTop w:val="0"/>
      <w:marBottom w:val="0"/>
      <w:divBdr>
        <w:top w:val="none" w:sz="0" w:space="0" w:color="auto"/>
        <w:left w:val="none" w:sz="0" w:space="0" w:color="auto"/>
        <w:bottom w:val="none" w:sz="0" w:space="0" w:color="auto"/>
        <w:right w:val="none" w:sz="0" w:space="0" w:color="auto"/>
      </w:divBdr>
    </w:div>
    <w:div w:id="806170170">
      <w:bodyDiv w:val="1"/>
      <w:marLeft w:val="0"/>
      <w:marRight w:val="0"/>
      <w:marTop w:val="0"/>
      <w:marBottom w:val="0"/>
      <w:divBdr>
        <w:top w:val="none" w:sz="0" w:space="0" w:color="auto"/>
        <w:left w:val="none" w:sz="0" w:space="0" w:color="auto"/>
        <w:bottom w:val="none" w:sz="0" w:space="0" w:color="auto"/>
        <w:right w:val="none" w:sz="0" w:space="0" w:color="auto"/>
      </w:divBdr>
    </w:div>
    <w:div w:id="901329178">
      <w:bodyDiv w:val="1"/>
      <w:marLeft w:val="0"/>
      <w:marRight w:val="0"/>
      <w:marTop w:val="0"/>
      <w:marBottom w:val="0"/>
      <w:divBdr>
        <w:top w:val="none" w:sz="0" w:space="0" w:color="auto"/>
        <w:left w:val="none" w:sz="0" w:space="0" w:color="auto"/>
        <w:bottom w:val="none" w:sz="0" w:space="0" w:color="auto"/>
        <w:right w:val="none" w:sz="0" w:space="0" w:color="auto"/>
      </w:divBdr>
    </w:div>
    <w:div w:id="1015888045">
      <w:bodyDiv w:val="1"/>
      <w:marLeft w:val="0"/>
      <w:marRight w:val="0"/>
      <w:marTop w:val="0"/>
      <w:marBottom w:val="0"/>
      <w:divBdr>
        <w:top w:val="none" w:sz="0" w:space="0" w:color="auto"/>
        <w:left w:val="none" w:sz="0" w:space="0" w:color="auto"/>
        <w:bottom w:val="none" w:sz="0" w:space="0" w:color="auto"/>
        <w:right w:val="none" w:sz="0" w:space="0" w:color="auto"/>
      </w:divBdr>
    </w:div>
    <w:div w:id="1143502332">
      <w:bodyDiv w:val="1"/>
      <w:marLeft w:val="0"/>
      <w:marRight w:val="0"/>
      <w:marTop w:val="0"/>
      <w:marBottom w:val="0"/>
      <w:divBdr>
        <w:top w:val="none" w:sz="0" w:space="0" w:color="auto"/>
        <w:left w:val="none" w:sz="0" w:space="0" w:color="auto"/>
        <w:bottom w:val="none" w:sz="0" w:space="0" w:color="auto"/>
        <w:right w:val="none" w:sz="0" w:space="0" w:color="auto"/>
      </w:divBdr>
    </w:div>
    <w:div w:id="1255020569">
      <w:bodyDiv w:val="1"/>
      <w:marLeft w:val="0"/>
      <w:marRight w:val="0"/>
      <w:marTop w:val="0"/>
      <w:marBottom w:val="0"/>
      <w:divBdr>
        <w:top w:val="none" w:sz="0" w:space="0" w:color="auto"/>
        <w:left w:val="none" w:sz="0" w:space="0" w:color="auto"/>
        <w:bottom w:val="none" w:sz="0" w:space="0" w:color="auto"/>
        <w:right w:val="none" w:sz="0" w:space="0" w:color="auto"/>
      </w:divBdr>
    </w:div>
    <w:div w:id="1276719917">
      <w:bodyDiv w:val="1"/>
      <w:marLeft w:val="0"/>
      <w:marRight w:val="0"/>
      <w:marTop w:val="0"/>
      <w:marBottom w:val="0"/>
      <w:divBdr>
        <w:top w:val="none" w:sz="0" w:space="0" w:color="auto"/>
        <w:left w:val="none" w:sz="0" w:space="0" w:color="auto"/>
        <w:bottom w:val="none" w:sz="0" w:space="0" w:color="auto"/>
        <w:right w:val="none" w:sz="0" w:space="0" w:color="auto"/>
      </w:divBdr>
    </w:div>
    <w:div w:id="1309550747">
      <w:bodyDiv w:val="1"/>
      <w:marLeft w:val="0"/>
      <w:marRight w:val="0"/>
      <w:marTop w:val="0"/>
      <w:marBottom w:val="0"/>
      <w:divBdr>
        <w:top w:val="none" w:sz="0" w:space="0" w:color="auto"/>
        <w:left w:val="none" w:sz="0" w:space="0" w:color="auto"/>
        <w:bottom w:val="none" w:sz="0" w:space="0" w:color="auto"/>
        <w:right w:val="none" w:sz="0" w:space="0" w:color="auto"/>
      </w:divBdr>
    </w:div>
    <w:div w:id="1428499957">
      <w:bodyDiv w:val="1"/>
      <w:marLeft w:val="0"/>
      <w:marRight w:val="0"/>
      <w:marTop w:val="0"/>
      <w:marBottom w:val="0"/>
      <w:divBdr>
        <w:top w:val="none" w:sz="0" w:space="0" w:color="auto"/>
        <w:left w:val="none" w:sz="0" w:space="0" w:color="auto"/>
        <w:bottom w:val="none" w:sz="0" w:space="0" w:color="auto"/>
        <w:right w:val="none" w:sz="0" w:space="0" w:color="auto"/>
      </w:divBdr>
    </w:div>
    <w:div w:id="1474055447">
      <w:bodyDiv w:val="1"/>
      <w:marLeft w:val="0"/>
      <w:marRight w:val="0"/>
      <w:marTop w:val="0"/>
      <w:marBottom w:val="0"/>
      <w:divBdr>
        <w:top w:val="none" w:sz="0" w:space="0" w:color="auto"/>
        <w:left w:val="none" w:sz="0" w:space="0" w:color="auto"/>
        <w:bottom w:val="none" w:sz="0" w:space="0" w:color="auto"/>
        <w:right w:val="none" w:sz="0" w:space="0" w:color="auto"/>
      </w:divBdr>
    </w:div>
    <w:div w:id="1531188702">
      <w:bodyDiv w:val="1"/>
      <w:marLeft w:val="0"/>
      <w:marRight w:val="0"/>
      <w:marTop w:val="0"/>
      <w:marBottom w:val="0"/>
      <w:divBdr>
        <w:top w:val="none" w:sz="0" w:space="0" w:color="auto"/>
        <w:left w:val="none" w:sz="0" w:space="0" w:color="auto"/>
        <w:bottom w:val="none" w:sz="0" w:space="0" w:color="auto"/>
        <w:right w:val="none" w:sz="0" w:space="0" w:color="auto"/>
      </w:divBdr>
    </w:div>
    <w:div w:id="1581787283">
      <w:bodyDiv w:val="1"/>
      <w:marLeft w:val="0"/>
      <w:marRight w:val="0"/>
      <w:marTop w:val="0"/>
      <w:marBottom w:val="0"/>
      <w:divBdr>
        <w:top w:val="none" w:sz="0" w:space="0" w:color="auto"/>
        <w:left w:val="none" w:sz="0" w:space="0" w:color="auto"/>
        <w:bottom w:val="none" w:sz="0" w:space="0" w:color="auto"/>
        <w:right w:val="none" w:sz="0" w:space="0" w:color="auto"/>
      </w:divBdr>
    </w:div>
    <w:div w:id="1716395321">
      <w:bodyDiv w:val="1"/>
      <w:marLeft w:val="0"/>
      <w:marRight w:val="0"/>
      <w:marTop w:val="0"/>
      <w:marBottom w:val="0"/>
      <w:divBdr>
        <w:top w:val="none" w:sz="0" w:space="0" w:color="auto"/>
        <w:left w:val="none" w:sz="0" w:space="0" w:color="auto"/>
        <w:bottom w:val="none" w:sz="0" w:space="0" w:color="auto"/>
        <w:right w:val="none" w:sz="0" w:space="0" w:color="auto"/>
      </w:divBdr>
    </w:div>
    <w:div w:id="2110536927">
      <w:bodyDiv w:val="1"/>
      <w:marLeft w:val="0"/>
      <w:marRight w:val="0"/>
      <w:marTop w:val="0"/>
      <w:marBottom w:val="0"/>
      <w:divBdr>
        <w:top w:val="none" w:sz="0" w:space="0" w:color="auto"/>
        <w:left w:val="none" w:sz="0" w:space="0" w:color="auto"/>
        <w:bottom w:val="none" w:sz="0" w:space="0" w:color="auto"/>
        <w:right w:val="none" w:sz="0" w:space="0" w:color="auto"/>
      </w:divBdr>
    </w:div>
    <w:div w:id="211170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338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0D6565-2F08-48F6-9D61-7AD5F93B5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4713</Words>
  <Characters>25926</Characters>
  <Application>Microsoft Office Word</Application>
  <DocSecurity>0</DocSecurity>
  <Lines>216</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30578</CharactersWithSpaces>
  <SharedDoc>false</SharedDoc>
  <HLinks>
    <vt:vector size="30" baseType="variant">
      <vt:variant>
        <vt:i4>1638449</vt:i4>
      </vt:variant>
      <vt:variant>
        <vt:i4>20</vt:i4>
      </vt:variant>
      <vt:variant>
        <vt:i4>0</vt:i4>
      </vt:variant>
      <vt:variant>
        <vt:i4>5</vt:i4>
      </vt:variant>
      <vt:variant>
        <vt:lpwstr/>
      </vt:variant>
      <vt:variant>
        <vt:lpwstr>_Toc88815245</vt:lpwstr>
      </vt:variant>
      <vt:variant>
        <vt:i4>1572913</vt:i4>
      </vt:variant>
      <vt:variant>
        <vt:i4>14</vt:i4>
      </vt:variant>
      <vt:variant>
        <vt:i4>0</vt:i4>
      </vt:variant>
      <vt:variant>
        <vt:i4>5</vt:i4>
      </vt:variant>
      <vt:variant>
        <vt:lpwstr/>
      </vt:variant>
      <vt:variant>
        <vt:lpwstr>_Toc88815244</vt:lpwstr>
      </vt:variant>
      <vt:variant>
        <vt:i4>2031665</vt:i4>
      </vt:variant>
      <vt:variant>
        <vt:i4>8</vt:i4>
      </vt:variant>
      <vt:variant>
        <vt:i4>0</vt:i4>
      </vt:variant>
      <vt:variant>
        <vt:i4>5</vt:i4>
      </vt:variant>
      <vt:variant>
        <vt:lpwstr/>
      </vt:variant>
      <vt:variant>
        <vt:lpwstr>_Toc88815243</vt:lpwstr>
      </vt:variant>
      <vt:variant>
        <vt:i4>1966129</vt:i4>
      </vt:variant>
      <vt:variant>
        <vt:i4>2</vt:i4>
      </vt:variant>
      <vt:variant>
        <vt:i4>0</vt:i4>
      </vt:variant>
      <vt:variant>
        <vt:i4>5</vt:i4>
      </vt:variant>
      <vt:variant>
        <vt:lpwstr/>
      </vt:variant>
      <vt:variant>
        <vt:lpwstr>_Toc88815242</vt:lpwstr>
      </vt:variant>
      <vt:variant>
        <vt:i4>5439583</vt:i4>
      </vt:variant>
      <vt:variant>
        <vt:i4>0</vt:i4>
      </vt:variant>
      <vt:variant>
        <vt:i4>0</vt:i4>
      </vt:variant>
      <vt:variant>
        <vt:i4>5</vt:i4>
      </vt:variant>
      <vt:variant>
        <vt:lpwstr>http://www.corteidh.or.cr/docs/casos/articulos/seriec_338_esp.pdf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cp:lastModifiedBy>Liliana Tojo</cp:lastModifiedBy>
  <cp:revision>4</cp:revision>
  <cp:lastPrinted>2022-01-03T17:54:00Z</cp:lastPrinted>
  <dcterms:created xsi:type="dcterms:W3CDTF">2022-01-03T17:54:00Z</dcterms:created>
  <dcterms:modified xsi:type="dcterms:W3CDTF">2022-01-03T17:54:00Z</dcterms:modified>
</cp:coreProperties>
</file>