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B634B" w14:textId="77777777" w:rsidR="00524687" w:rsidRDefault="00524687" w:rsidP="002026AD"/>
    <w:p w14:paraId="0FAD0911" w14:textId="77777777" w:rsidR="00524687" w:rsidRDefault="00524687" w:rsidP="002026AD"/>
    <w:p w14:paraId="7C419C53" w14:textId="77777777" w:rsidR="00524687" w:rsidRDefault="00524687" w:rsidP="002026AD"/>
    <w:p w14:paraId="609AA403" w14:textId="060AF7A7" w:rsidR="00C26AFC" w:rsidRPr="00596A47" w:rsidRDefault="00C26AFC" w:rsidP="002026AD">
      <w:pPr>
        <w:jc w:val="center"/>
        <w:rPr>
          <w:b/>
        </w:rPr>
      </w:pPr>
      <w:r w:rsidRPr="00596A47">
        <w:rPr>
          <w:b/>
        </w:rPr>
        <w:t xml:space="preserve">RESOLUCIÓN </w:t>
      </w:r>
      <w:r w:rsidR="00D32693" w:rsidRPr="00596A47">
        <w:rPr>
          <w:b/>
        </w:rPr>
        <w:t>DEL PRESIDENTE</w:t>
      </w:r>
      <w:r w:rsidRPr="00596A47">
        <w:rPr>
          <w:b/>
        </w:rPr>
        <w:t xml:space="preserve"> DE LA</w:t>
      </w:r>
    </w:p>
    <w:p w14:paraId="2793014D" w14:textId="77777777" w:rsidR="009376EC" w:rsidRPr="00596A47" w:rsidRDefault="00C26AFC" w:rsidP="002026AD">
      <w:pPr>
        <w:jc w:val="center"/>
        <w:rPr>
          <w:b/>
        </w:rPr>
      </w:pPr>
      <w:r w:rsidRPr="00596A47">
        <w:rPr>
          <w:b/>
        </w:rPr>
        <w:t>CORTE INTERAMERICANA DE DERECHOS HUMANOS</w:t>
      </w:r>
    </w:p>
    <w:p w14:paraId="4DA5A443" w14:textId="77777777" w:rsidR="00C26AFC" w:rsidRPr="00596A47" w:rsidRDefault="00C26AFC" w:rsidP="002026AD">
      <w:pPr>
        <w:jc w:val="center"/>
        <w:rPr>
          <w:b/>
        </w:rPr>
      </w:pPr>
    </w:p>
    <w:p w14:paraId="669B8E81" w14:textId="3B2CC662" w:rsidR="00C26AFC" w:rsidRPr="00596A47" w:rsidRDefault="00A52CF8" w:rsidP="002026AD">
      <w:pPr>
        <w:jc w:val="center"/>
        <w:rPr>
          <w:b/>
        </w:rPr>
      </w:pPr>
      <w:r w:rsidRPr="002026AD">
        <w:rPr>
          <w:b/>
        </w:rPr>
        <w:t xml:space="preserve">17 </w:t>
      </w:r>
      <w:r w:rsidR="00B54B53" w:rsidRPr="002026AD">
        <w:rPr>
          <w:b/>
        </w:rPr>
        <w:t xml:space="preserve">DE </w:t>
      </w:r>
      <w:r w:rsidR="008C0EEA" w:rsidRPr="002026AD">
        <w:rPr>
          <w:b/>
        </w:rPr>
        <w:t>FEBRERO</w:t>
      </w:r>
      <w:r w:rsidR="00D32693" w:rsidRPr="002026AD">
        <w:rPr>
          <w:b/>
        </w:rPr>
        <w:t xml:space="preserve"> </w:t>
      </w:r>
      <w:r w:rsidR="00C26AFC" w:rsidRPr="002026AD">
        <w:rPr>
          <w:b/>
        </w:rPr>
        <w:t xml:space="preserve">DE </w:t>
      </w:r>
      <w:r w:rsidR="00D32693" w:rsidRPr="002026AD">
        <w:rPr>
          <w:b/>
        </w:rPr>
        <w:t>2022</w:t>
      </w:r>
    </w:p>
    <w:p w14:paraId="78B6E7D7" w14:textId="77777777" w:rsidR="00C26AFC" w:rsidRPr="00596A47" w:rsidRDefault="00C26AFC" w:rsidP="002026AD">
      <w:pPr>
        <w:jc w:val="center"/>
        <w:rPr>
          <w:b/>
        </w:rPr>
      </w:pPr>
    </w:p>
    <w:p w14:paraId="1BE92269" w14:textId="1D79D9CB" w:rsidR="00C26AFC" w:rsidRPr="00596A47" w:rsidRDefault="00C26AFC" w:rsidP="002026AD">
      <w:pPr>
        <w:jc w:val="center"/>
        <w:rPr>
          <w:b/>
        </w:rPr>
      </w:pPr>
      <w:r w:rsidRPr="00596A47">
        <w:rPr>
          <w:b/>
        </w:rPr>
        <w:t xml:space="preserve">CASO </w:t>
      </w:r>
      <w:r w:rsidR="002631A3" w:rsidRPr="00596A47">
        <w:rPr>
          <w:b/>
        </w:rPr>
        <w:t>LEGUIZAMÓN ZAVÁN Y OTROS VS. PARAGUAY</w:t>
      </w:r>
    </w:p>
    <w:p w14:paraId="59D9E0FF" w14:textId="77777777" w:rsidR="00C26AFC" w:rsidRPr="00596A47" w:rsidRDefault="00C26AFC" w:rsidP="002026AD">
      <w:pPr>
        <w:rPr>
          <w:b/>
        </w:rPr>
      </w:pPr>
    </w:p>
    <w:p w14:paraId="16998216" w14:textId="61C90393" w:rsidR="00C26AFC" w:rsidRDefault="00C26AFC" w:rsidP="002026AD">
      <w:pPr>
        <w:rPr>
          <w:b/>
        </w:rPr>
      </w:pPr>
      <w:r w:rsidRPr="00596A47">
        <w:rPr>
          <w:b/>
        </w:rPr>
        <w:t>VISTO:</w:t>
      </w:r>
    </w:p>
    <w:p w14:paraId="779AFCA9" w14:textId="77777777" w:rsidR="002C6451" w:rsidRPr="00596A47" w:rsidRDefault="002C6451" w:rsidP="002026AD">
      <w:pPr>
        <w:rPr>
          <w:b/>
        </w:rPr>
      </w:pPr>
    </w:p>
    <w:p w14:paraId="1A204B9A" w14:textId="21E62613" w:rsidR="00B1646C" w:rsidRPr="00B1646C" w:rsidRDefault="00B1646C" w:rsidP="002026AD">
      <w:pPr>
        <w:pStyle w:val="Prrafodelista"/>
        <w:numPr>
          <w:ilvl w:val="0"/>
          <w:numId w:val="4"/>
        </w:numPr>
        <w:tabs>
          <w:tab w:val="clear" w:pos="720"/>
          <w:tab w:val="clear" w:pos="810"/>
          <w:tab w:val="left" w:pos="567"/>
        </w:tabs>
        <w:ind w:left="0" w:firstLine="0"/>
      </w:pPr>
      <w:bookmarkStart w:id="0" w:name="_Ref393297742"/>
      <w:bookmarkStart w:id="1" w:name="_Ref352676460"/>
      <w:r w:rsidRPr="00B1646C">
        <w:t>El escrito de sometimiento del caso y el Informe de Fondo de la Comisión Interamericana de Derechos Humanos (en adelante “la Comisión Interamericana” o “la Comisión”); el escrito de solicitudes, argumentos y pruebas (en adelante, “escrito de solicitudes y argumentos”) de los representantes de la</w:t>
      </w:r>
      <w:r w:rsidR="002631A3">
        <w:t>s</w:t>
      </w:r>
      <w:r w:rsidRPr="00B1646C">
        <w:t xml:space="preserve"> presunta</w:t>
      </w:r>
      <w:r w:rsidR="002631A3">
        <w:t>s</w:t>
      </w:r>
      <w:r w:rsidRPr="00B1646C">
        <w:t xml:space="preserve"> víctima</w:t>
      </w:r>
      <w:r w:rsidR="002631A3">
        <w:t>s</w:t>
      </w:r>
      <w:r w:rsidRPr="00B1646C">
        <w:t xml:space="preserve"> (en adelante “los representantes”)</w:t>
      </w:r>
      <w:r w:rsidR="00B54B53">
        <w:rPr>
          <w:rStyle w:val="Refdenotaalpie"/>
        </w:rPr>
        <w:footnoteReference w:id="1"/>
      </w:r>
      <w:r w:rsidRPr="00B1646C">
        <w:t>; el escrito de contestación al sometimiento del caso y al escrito de solicitudes y argumentos</w:t>
      </w:r>
      <w:r w:rsidRPr="00B1646C">
        <w:rPr>
          <w:color w:val="FF0000"/>
        </w:rPr>
        <w:t xml:space="preserve"> </w:t>
      </w:r>
      <w:r w:rsidRPr="00B1646C">
        <w:t>(en adelante “escrito de contestación”) de</w:t>
      </w:r>
      <w:r w:rsidR="008C618F">
        <w:t xml:space="preserve"> </w:t>
      </w:r>
      <w:r w:rsidRPr="00B1646C">
        <w:t>l</w:t>
      </w:r>
      <w:r w:rsidR="008C618F">
        <w:t>a República</w:t>
      </w:r>
      <w:r w:rsidRPr="00B1646C">
        <w:t xml:space="preserve">  </w:t>
      </w:r>
      <w:r w:rsidR="00D32693">
        <w:t>del Paraguay</w:t>
      </w:r>
      <w:r w:rsidR="00D32693" w:rsidRPr="00B1646C">
        <w:rPr>
          <w:b/>
        </w:rPr>
        <w:t xml:space="preserve"> </w:t>
      </w:r>
      <w:r w:rsidRPr="00B1646C">
        <w:t>(en adelante “</w:t>
      </w:r>
      <w:r w:rsidR="00D32693">
        <w:t>Paraguay</w:t>
      </w:r>
      <w:r w:rsidRPr="00B1646C">
        <w:t>” o “el Estado”)</w:t>
      </w:r>
      <w:r w:rsidR="00FE0D4E">
        <w:t>, en el que reconoció su responsabilidad internacional en este caso,</w:t>
      </w:r>
      <w:r w:rsidRPr="00B1646C">
        <w:t xml:space="preserve"> así como los escritos de observaciones al  reconocimiento  de responsabilidad del Estado presentados por la Comisión y por los representantes.</w:t>
      </w:r>
      <w:bookmarkEnd w:id="0"/>
      <w:bookmarkEnd w:id="1"/>
    </w:p>
    <w:p w14:paraId="640122F8" w14:textId="43B34AA9" w:rsidR="00B1646C" w:rsidRDefault="00B1646C" w:rsidP="002026AD">
      <w:pPr>
        <w:pStyle w:val="Prrafodelista"/>
        <w:tabs>
          <w:tab w:val="clear" w:pos="720"/>
          <w:tab w:val="clear" w:pos="810"/>
          <w:tab w:val="left" w:pos="567"/>
        </w:tabs>
        <w:ind w:left="0"/>
      </w:pPr>
    </w:p>
    <w:p w14:paraId="5FDDCD63" w14:textId="0BC8EDF5" w:rsidR="00277CA1" w:rsidRPr="00DF2844" w:rsidRDefault="00277CA1" w:rsidP="002026AD">
      <w:pPr>
        <w:pStyle w:val="Prrafodelista"/>
        <w:widowControl w:val="0"/>
        <w:numPr>
          <w:ilvl w:val="0"/>
          <w:numId w:val="4"/>
        </w:numPr>
        <w:tabs>
          <w:tab w:val="clear" w:pos="720"/>
          <w:tab w:val="clear" w:pos="810"/>
          <w:tab w:val="left" w:pos="567"/>
        </w:tabs>
        <w:autoSpaceDE/>
        <w:autoSpaceDN/>
        <w:adjustRightInd/>
        <w:ind w:left="0" w:right="65" w:firstLine="0"/>
      </w:pPr>
      <w:r w:rsidRPr="00DF2844">
        <w:t>La solicitud de las presuntas víctimas, por medio de su</w:t>
      </w:r>
      <w:r w:rsidR="005B3D0E" w:rsidRPr="00DF2844">
        <w:t>s</w:t>
      </w:r>
      <w:r w:rsidRPr="00DF2844">
        <w:t xml:space="preserve"> representante</w:t>
      </w:r>
      <w:r w:rsidR="005B3D0E" w:rsidRPr="00DF2844">
        <w:t>s</w:t>
      </w:r>
      <w:r w:rsidRPr="00DF2844">
        <w:t>, de acogerse al Fondo de Asistencia Legal de Víctimas de la Corte Interamericana de Derechos Humanos (en adelante también “Fondo” o “Fondo de Asistencia Legal de Víctimas”), presentada en el escrito de solicitudes y argumentos.</w:t>
      </w:r>
    </w:p>
    <w:p w14:paraId="5B1D3B29" w14:textId="77777777" w:rsidR="00277CA1" w:rsidRPr="00DF2844" w:rsidRDefault="00277CA1" w:rsidP="002026AD">
      <w:pPr>
        <w:pStyle w:val="Prrafodelista"/>
        <w:tabs>
          <w:tab w:val="left" w:pos="567"/>
        </w:tabs>
      </w:pPr>
    </w:p>
    <w:p w14:paraId="0B7378D4" w14:textId="2F931F71" w:rsidR="00277CA1" w:rsidRPr="00DF2844" w:rsidRDefault="00277CA1" w:rsidP="002026AD">
      <w:pPr>
        <w:pStyle w:val="Prrafodelista"/>
        <w:widowControl w:val="0"/>
        <w:numPr>
          <w:ilvl w:val="0"/>
          <w:numId w:val="4"/>
        </w:numPr>
        <w:tabs>
          <w:tab w:val="clear" w:pos="720"/>
          <w:tab w:val="clear" w:pos="810"/>
          <w:tab w:val="left" w:pos="567"/>
        </w:tabs>
        <w:autoSpaceDE/>
        <w:autoSpaceDN/>
        <w:adjustRightInd/>
        <w:ind w:left="0" w:right="65" w:firstLine="0"/>
      </w:pPr>
      <w:r w:rsidRPr="00DF2844">
        <w:t>Las comunicaciones d</w:t>
      </w:r>
      <w:r w:rsidRPr="00AD654E">
        <w:t>e 1 de octubre de 2021 de la</w:t>
      </w:r>
      <w:r w:rsidRPr="00DF2844">
        <w:t xml:space="preserve"> Secretaría de la Corte Interamericana de Derechos Humanos (en adelante “la Secretaría”), mediante las cuales, </w:t>
      </w:r>
      <w:r w:rsidR="008C0EEA" w:rsidRPr="00DF2844">
        <w:t>por</w:t>
      </w:r>
      <w:r w:rsidRPr="00DF2844">
        <w:t xml:space="preserve"> instrucciones de la </w:t>
      </w:r>
      <w:r w:rsidR="008C0EEA" w:rsidRPr="00DF2844">
        <w:t xml:space="preserve">entonces </w:t>
      </w:r>
      <w:proofErr w:type="gramStart"/>
      <w:r w:rsidRPr="00DF2844">
        <w:t>Presidenta</w:t>
      </w:r>
      <w:proofErr w:type="gramEnd"/>
      <w:r w:rsidRPr="00DF2844">
        <w:t xml:space="preserve"> de la Corte, se informó que era procedente la solicitud de acogerse al Fondo de Asistencia Legal de Víctimas.</w:t>
      </w:r>
    </w:p>
    <w:p w14:paraId="31D140E4" w14:textId="77777777" w:rsidR="00277CA1" w:rsidRPr="00DF2844" w:rsidRDefault="00277CA1" w:rsidP="002026AD">
      <w:pPr>
        <w:pStyle w:val="Prrafodelista"/>
        <w:tabs>
          <w:tab w:val="clear" w:pos="720"/>
          <w:tab w:val="clear" w:pos="810"/>
          <w:tab w:val="left" w:pos="567"/>
        </w:tabs>
        <w:ind w:left="0"/>
      </w:pPr>
    </w:p>
    <w:p w14:paraId="1AA75DA3" w14:textId="1F1A6943" w:rsidR="00B1646C" w:rsidRPr="00596A47" w:rsidRDefault="00C26AFC" w:rsidP="002026AD">
      <w:pPr>
        <w:pStyle w:val="Prrafodelista"/>
        <w:numPr>
          <w:ilvl w:val="0"/>
          <w:numId w:val="4"/>
        </w:numPr>
        <w:tabs>
          <w:tab w:val="clear" w:pos="720"/>
          <w:tab w:val="clear" w:pos="810"/>
          <w:tab w:val="left" w:pos="567"/>
        </w:tabs>
        <w:ind w:left="0" w:firstLine="0"/>
      </w:pPr>
      <w:r w:rsidRPr="00DF2844">
        <w:t>La</w:t>
      </w:r>
      <w:r w:rsidR="00BF5F53" w:rsidRPr="00DF2844">
        <w:t>s</w:t>
      </w:r>
      <w:r w:rsidRPr="00DF2844">
        <w:t xml:space="preserve"> lista</w:t>
      </w:r>
      <w:r w:rsidR="00BF5F53" w:rsidRPr="00AD654E">
        <w:t>s</w:t>
      </w:r>
      <w:r w:rsidRPr="00AD654E">
        <w:t xml:space="preserve"> definitiva</w:t>
      </w:r>
      <w:r w:rsidR="00BF5F53" w:rsidRPr="00AD654E">
        <w:t>s</w:t>
      </w:r>
      <w:r w:rsidRPr="00AD654E">
        <w:t xml:space="preserve"> de declarantes presentada</w:t>
      </w:r>
      <w:r w:rsidR="00BF5F53" w:rsidRPr="00AD654E">
        <w:t xml:space="preserve">s por </w:t>
      </w:r>
      <w:r w:rsidR="002631A3" w:rsidRPr="00AD654E">
        <w:t>los representantes</w:t>
      </w:r>
      <w:r w:rsidR="00D32693" w:rsidRPr="00AD654E">
        <w:t xml:space="preserve"> y por la Comisión </w:t>
      </w:r>
      <w:r w:rsidR="002631A3" w:rsidRPr="00AD654E">
        <w:t xml:space="preserve">el </w:t>
      </w:r>
      <w:r w:rsidR="00D32693" w:rsidRPr="00AD654E">
        <w:t>14 y 15 de octubre de 2021, respectivamente</w:t>
      </w:r>
      <w:r w:rsidR="00534225" w:rsidRPr="00AD654E">
        <w:t>.</w:t>
      </w:r>
      <w:r w:rsidR="00D32693" w:rsidRPr="00AD654E">
        <w:t xml:space="preserve"> El Estado, mediante comunicación de 11 de octubre de 2021 mani</w:t>
      </w:r>
      <w:r w:rsidR="00D32693" w:rsidRPr="00596A47">
        <w:t xml:space="preserve">festó a la Corte </w:t>
      </w:r>
      <w:r w:rsidR="0036194B">
        <w:t xml:space="preserve">Interamericana de Derechos Humanos </w:t>
      </w:r>
      <w:r w:rsidR="0036194B" w:rsidRPr="0036194B">
        <w:t>(en adelante, “la Corte Interamericana”, “la Corte” o “el Tribunal”)</w:t>
      </w:r>
      <w:r w:rsidR="0036194B">
        <w:t xml:space="preserve"> </w:t>
      </w:r>
      <w:r w:rsidR="00D32693" w:rsidRPr="00596A47">
        <w:t xml:space="preserve">que no ofrecería pruebas testimoniales o periciales. </w:t>
      </w:r>
    </w:p>
    <w:p w14:paraId="21BFEC04" w14:textId="77777777" w:rsidR="00B1646C" w:rsidRPr="00A16B85" w:rsidRDefault="00B1646C" w:rsidP="002026AD">
      <w:pPr>
        <w:pStyle w:val="Prrafodelista"/>
        <w:tabs>
          <w:tab w:val="clear" w:pos="720"/>
          <w:tab w:val="clear" w:pos="810"/>
          <w:tab w:val="left" w:pos="567"/>
        </w:tabs>
        <w:ind w:left="0"/>
      </w:pPr>
    </w:p>
    <w:p w14:paraId="01D5691A" w14:textId="7FE815BA" w:rsidR="00B54B53" w:rsidRPr="00596A47" w:rsidRDefault="007A4BF0" w:rsidP="002026AD">
      <w:pPr>
        <w:pStyle w:val="Prrafodelista"/>
        <w:numPr>
          <w:ilvl w:val="0"/>
          <w:numId w:val="4"/>
        </w:numPr>
        <w:tabs>
          <w:tab w:val="clear" w:pos="720"/>
          <w:tab w:val="clear" w:pos="810"/>
          <w:tab w:val="left" w:pos="567"/>
        </w:tabs>
        <w:ind w:left="0" w:firstLine="0"/>
      </w:pPr>
      <w:r w:rsidRPr="00596A47">
        <w:t xml:space="preserve">Los escritos remitidos el </w:t>
      </w:r>
      <w:r w:rsidRPr="00AD654E">
        <w:t>29 de octubre de 2021 mediante los cuales el Estado y la Comisión manifestaron que no tenían observaciones qu</w:t>
      </w:r>
      <w:r w:rsidRPr="00596A47">
        <w:t xml:space="preserve">e formular </w:t>
      </w:r>
      <w:r w:rsidR="00D32693" w:rsidRPr="00596A47">
        <w:t xml:space="preserve">a las listas </w:t>
      </w:r>
      <w:r w:rsidRPr="00596A47">
        <w:t xml:space="preserve">definitivas de </w:t>
      </w:r>
      <w:r w:rsidR="00D32693" w:rsidRPr="00596A47">
        <w:t>declarantes ofrecidas.</w:t>
      </w:r>
      <w:r w:rsidRPr="00596A47">
        <w:t xml:space="preserve"> En su escrit</w:t>
      </w:r>
      <w:r w:rsidRPr="00AD654E">
        <w:t>o, la Comisión solicitó</w:t>
      </w:r>
      <w:r w:rsidR="00AB392A" w:rsidRPr="00AD654E">
        <w:t>,</w:t>
      </w:r>
      <w:r w:rsidRPr="00AD654E">
        <w:t xml:space="preserve"> además</w:t>
      </w:r>
      <w:r w:rsidR="00AB392A" w:rsidRPr="00AD654E">
        <w:t>,</w:t>
      </w:r>
      <w:r w:rsidRPr="00AD654E">
        <w:t xml:space="preserve"> la oportunidad de formular preguntas a los peritos ofrecidos</w:t>
      </w:r>
      <w:r w:rsidRPr="00596A47">
        <w:t xml:space="preserve"> por los representantes de las presuntas víctimas. Los representantes de las presuntas víctimas no presentaron observaciones a las listas definitivas de declarantes. </w:t>
      </w:r>
    </w:p>
    <w:p w14:paraId="732DC004" w14:textId="77777777" w:rsidR="00B54B53" w:rsidRPr="00B54B53" w:rsidRDefault="00B54B53" w:rsidP="002026AD">
      <w:pPr>
        <w:pStyle w:val="Prrafodelista"/>
      </w:pPr>
    </w:p>
    <w:p w14:paraId="3C9FCA58" w14:textId="4C403723" w:rsidR="00834F03" w:rsidRDefault="00834F03" w:rsidP="002026AD">
      <w:pPr>
        <w:rPr>
          <w:b/>
        </w:rPr>
      </w:pPr>
      <w:r w:rsidRPr="00596A47">
        <w:rPr>
          <w:b/>
        </w:rPr>
        <w:t>CONSIDERANDO QUE:</w:t>
      </w:r>
    </w:p>
    <w:p w14:paraId="5690223D" w14:textId="77777777" w:rsidR="002C6451" w:rsidRPr="00596A47" w:rsidRDefault="002C6451" w:rsidP="002026AD">
      <w:pPr>
        <w:rPr>
          <w:b/>
        </w:rPr>
      </w:pPr>
    </w:p>
    <w:p w14:paraId="592263A4" w14:textId="0873A924" w:rsidR="00834F03" w:rsidRDefault="00C26AFC" w:rsidP="002026AD">
      <w:pPr>
        <w:pStyle w:val="Prrafodelista"/>
        <w:numPr>
          <w:ilvl w:val="0"/>
          <w:numId w:val="20"/>
        </w:numPr>
        <w:tabs>
          <w:tab w:val="clear" w:pos="720"/>
          <w:tab w:val="clear" w:pos="810"/>
          <w:tab w:val="left" w:pos="567"/>
        </w:tabs>
        <w:ind w:left="0" w:firstLine="0"/>
      </w:pPr>
      <w:r w:rsidRPr="00834F03">
        <w:t xml:space="preserve">El ofrecimiento y la admisión de la prueba, así como la citación de presuntas víctimas, testigos y peritos se encuentran regulados en los artículos 35.1.f, 40.2.c, </w:t>
      </w:r>
      <w:r w:rsidRPr="00834F03">
        <w:lastRenderedPageBreak/>
        <w:t>41.1.c, 46, 47, 48, 50, 52.3 y 57 del Reglamento de la Corte Interamericana de Derechos Humanos.</w:t>
      </w:r>
    </w:p>
    <w:p w14:paraId="175563F8" w14:textId="77777777" w:rsidR="00834F03" w:rsidRDefault="00834F03" w:rsidP="002026AD">
      <w:pPr>
        <w:pStyle w:val="Prrafodelista"/>
        <w:tabs>
          <w:tab w:val="clear" w:pos="720"/>
          <w:tab w:val="clear" w:pos="810"/>
          <w:tab w:val="left" w:pos="567"/>
        </w:tabs>
        <w:ind w:left="0"/>
      </w:pPr>
    </w:p>
    <w:p w14:paraId="41E8EF52" w14:textId="272A529C" w:rsidR="00834F03" w:rsidRDefault="00737FCA" w:rsidP="002026AD">
      <w:pPr>
        <w:pStyle w:val="Prrafodelista"/>
        <w:numPr>
          <w:ilvl w:val="0"/>
          <w:numId w:val="20"/>
        </w:numPr>
        <w:tabs>
          <w:tab w:val="clear" w:pos="720"/>
          <w:tab w:val="clear" w:pos="810"/>
          <w:tab w:val="left" w:pos="567"/>
        </w:tabs>
        <w:ind w:left="0" w:firstLine="0"/>
      </w:pPr>
      <w:r w:rsidRPr="00834F03">
        <w:t xml:space="preserve">La Comisión ofreció como prueba </w:t>
      </w:r>
      <w:r w:rsidR="00C802C6" w:rsidRPr="00FF118C">
        <w:t>un dictamen</w:t>
      </w:r>
      <w:r w:rsidRPr="00FF118C">
        <w:t xml:space="preserve"> pericial</w:t>
      </w:r>
      <w:r w:rsidR="000D38A7" w:rsidRPr="00FF118C">
        <w:t>; l</w:t>
      </w:r>
      <w:r w:rsidR="000D38A7">
        <w:t>os representantes</w:t>
      </w:r>
      <w:r w:rsidR="00C802C6" w:rsidRPr="00834F03">
        <w:t xml:space="preserve"> ofrecieron</w:t>
      </w:r>
      <w:r w:rsidR="000D38A7">
        <w:t xml:space="preserve"> </w:t>
      </w:r>
      <w:r w:rsidR="000D38A7" w:rsidRPr="00FF118C">
        <w:t xml:space="preserve">cinco declaraciones de presuntas víctimas, doce declaraciones testimoniales y </w:t>
      </w:r>
      <w:r w:rsidR="00915D36" w:rsidRPr="00FF118C">
        <w:t>una declaración</w:t>
      </w:r>
      <w:r w:rsidR="000D38A7" w:rsidRPr="00FF118C">
        <w:t xml:space="preserve"> pericial</w:t>
      </w:r>
      <w:r w:rsidR="00AB392A" w:rsidRPr="00FF118C">
        <w:t>. E</w:t>
      </w:r>
      <w:r w:rsidR="00C802C6" w:rsidRPr="00834F03">
        <w:t xml:space="preserve">l Estado </w:t>
      </w:r>
      <w:r w:rsidR="000D38A7">
        <w:t xml:space="preserve">no </w:t>
      </w:r>
      <w:r w:rsidR="00C802C6" w:rsidRPr="00834F03">
        <w:t>ofreció</w:t>
      </w:r>
      <w:r w:rsidR="000D38A7">
        <w:t xml:space="preserve"> </w:t>
      </w:r>
      <w:r w:rsidR="007A4BF0">
        <w:t>ninguna declaración</w:t>
      </w:r>
      <w:r w:rsidR="008D6875" w:rsidRPr="00834F03">
        <w:t>.</w:t>
      </w:r>
    </w:p>
    <w:p w14:paraId="2031E88B" w14:textId="77777777" w:rsidR="00834F03" w:rsidRPr="00834F03" w:rsidRDefault="00834F03" w:rsidP="002026AD">
      <w:pPr>
        <w:pStyle w:val="Prrafodelista"/>
        <w:tabs>
          <w:tab w:val="clear" w:pos="720"/>
          <w:tab w:val="clear" w:pos="810"/>
          <w:tab w:val="left" w:pos="567"/>
        </w:tabs>
        <w:ind w:left="0"/>
      </w:pPr>
    </w:p>
    <w:p w14:paraId="61DB45C4" w14:textId="550DD66C" w:rsidR="00467A47" w:rsidRPr="008C0EEA" w:rsidRDefault="006A0F20" w:rsidP="002026AD">
      <w:pPr>
        <w:pStyle w:val="Prrafodelista"/>
        <w:numPr>
          <w:ilvl w:val="0"/>
          <w:numId w:val="20"/>
        </w:numPr>
        <w:tabs>
          <w:tab w:val="clear" w:pos="720"/>
          <w:tab w:val="clear" w:pos="810"/>
          <w:tab w:val="left" w:pos="567"/>
        </w:tabs>
        <w:ind w:left="0" w:firstLine="0"/>
      </w:pPr>
      <w:r w:rsidRPr="008C0EEA">
        <w:t>La Comisión, en su lista defi</w:t>
      </w:r>
      <w:r w:rsidRPr="00FF118C">
        <w:t>nitiva, reiteró el ofrecimiento de</w:t>
      </w:r>
      <w:r w:rsidRPr="008C0EEA">
        <w:t xml:space="preserve"> prueba pericial </w:t>
      </w:r>
      <w:r w:rsidR="00AB392A" w:rsidRPr="008C0EEA">
        <w:t xml:space="preserve">hecho </w:t>
      </w:r>
      <w:r w:rsidRPr="008C0EEA">
        <w:t xml:space="preserve">al someter el caso ante la Corte y solicitó que sea recibida </w:t>
      </w:r>
      <w:r w:rsidR="00A16B85" w:rsidRPr="008C0EEA">
        <w:t>en audiencia pública</w:t>
      </w:r>
      <w:r w:rsidRPr="008C0EEA">
        <w:t>.</w:t>
      </w:r>
      <w:r w:rsidR="0013026C" w:rsidRPr="008C0EEA">
        <w:t xml:space="preserve"> </w:t>
      </w:r>
      <w:r w:rsidR="00A16B85" w:rsidRPr="008C0EEA">
        <w:t xml:space="preserve">Luego, </w:t>
      </w:r>
      <w:r w:rsidR="005A714B" w:rsidRPr="008C0EEA">
        <w:t>en sus observaciones a la</w:t>
      </w:r>
      <w:r w:rsidR="00A16B85" w:rsidRPr="008C0EEA">
        <w:t>s</w:t>
      </w:r>
      <w:r w:rsidR="005A714B" w:rsidRPr="008C0EEA">
        <w:t xml:space="preserve"> lista</w:t>
      </w:r>
      <w:r w:rsidR="00A16B85" w:rsidRPr="008C0EEA">
        <w:t>s</w:t>
      </w:r>
      <w:r w:rsidR="005A714B" w:rsidRPr="008C0EEA">
        <w:t xml:space="preserve"> definitiva</w:t>
      </w:r>
      <w:r w:rsidR="00A16B85" w:rsidRPr="008C0EEA">
        <w:t>s de los representantes</w:t>
      </w:r>
      <w:r w:rsidR="005A714B" w:rsidRPr="008C0EEA">
        <w:t xml:space="preserve">, solicitó la oportunidad de formular preguntas a </w:t>
      </w:r>
      <w:r w:rsidR="007A4BF0" w:rsidRPr="008C0EEA">
        <w:t>los peritos Iván Velásquez</w:t>
      </w:r>
      <w:r w:rsidR="003C6FE2">
        <w:t xml:space="preserve"> Gómez</w:t>
      </w:r>
      <w:r w:rsidR="007A4BF0" w:rsidRPr="008C0EEA">
        <w:t xml:space="preserve"> y Luz Adriana Camargo</w:t>
      </w:r>
      <w:r w:rsidR="003C6FE2">
        <w:t xml:space="preserve"> Garzón</w:t>
      </w:r>
      <w:r w:rsidR="005A714B" w:rsidRPr="008C0EEA">
        <w:t>.</w:t>
      </w:r>
    </w:p>
    <w:p w14:paraId="341061A5" w14:textId="77777777" w:rsidR="00467A47" w:rsidRDefault="00467A47" w:rsidP="002026AD">
      <w:pPr>
        <w:pStyle w:val="Prrafodelista"/>
        <w:tabs>
          <w:tab w:val="clear" w:pos="720"/>
          <w:tab w:val="clear" w:pos="810"/>
          <w:tab w:val="left" w:pos="567"/>
        </w:tabs>
        <w:ind w:left="0"/>
      </w:pPr>
    </w:p>
    <w:p w14:paraId="092B1C09" w14:textId="3F33B706" w:rsidR="00915D36" w:rsidRPr="00915D36" w:rsidRDefault="008A00E3" w:rsidP="002026AD">
      <w:pPr>
        <w:pStyle w:val="Prrafodelista"/>
        <w:numPr>
          <w:ilvl w:val="0"/>
          <w:numId w:val="20"/>
        </w:numPr>
        <w:tabs>
          <w:tab w:val="clear" w:pos="720"/>
          <w:tab w:val="clear" w:pos="810"/>
          <w:tab w:val="left" w:pos="567"/>
        </w:tabs>
        <w:ind w:left="0" w:firstLine="0"/>
      </w:pPr>
      <w:r>
        <w:t>El Presidente</w:t>
      </w:r>
      <w:r w:rsidR="00467A47" w:rsidRPr="00915D36">
        <w:t xml:space="preserve"> de la Corte (en adelante “</w:t>
      </w:r>
      <w:r>
        <w:t>el</w:t>
      </w:r>
      <w:r w:rsidRPr="00915D36">
        <w:t xml:space="preserve"> President</w:t>
      </w:r>
      <w:r>
        <w:t>e</w:t>
      </w:r>
      <w:r w:rsidR="00467A47" w:rsidRPr="00915D36">
        <w:t>” o “esta Presidencia”) considera procedente recabar las declaraciones ofrecidas por las partes que no han sido objetadas. Por consiguiente, se admite</w:t>
      </w:r>
      <w:r w:rsidR="00915D36" w:rsidRPr="00915D36">
        <w:t>n:</w:t>
      </w:r>
      <w:r w:rsidR="00467A47" w:rsidRPr="00915D36">
        <w:t xml:space="preserve"> </w:t>
      </w:r>
      <w:r>
        <w:t xml:space="preserve">(i) </w:t>
      </w:r>
      <w:r w:rsidR="00467A47" w:rsidRPr="00915D36">
        <w:t>el peritaje de</w:t>
      </w:r>
      <w:r w:rsidR="00915D36" w:rsidRPr="00915D36">
        <w:t xml:space="preserve"> </w:t>
      </w:r>
      <w:r w:rsidR="00915D36" w:rsidRPr="00915D36">
        <w:rPr>
          <w:bCs/>
        </w:rPr>
        <w:t xml:space="preserve">Miguel Emilio La Rota y </w:t>
      </w:r>
      <w:r>
        <w:rPr>
          <w:bCs/>
        </w:rPr>
        <w:t>(</w:t>
      </w:r>
      <w:proofErr w:type="spellStart"/>
      <w:r>
        <w:rPr>
          <w:bCs/>
        </w:rPr>
        <w:t>ii</w:t>
      </w:r>
      <w:proofErr w:type="spellEnd"/>
      <w:r>
        <w:rPr>
          <w:bCs/>
        </w:rPr>
        <w:t xml:space="preserve">) </w:t>
      </w:r>
      <w:r w:rsidR="00915D36" w:rsidRPr="00915D36">
        <w:rPr>
          <w:bCs/>
        </w:rPr>
        <w:t>el p</w:t>
      </w:r>
      <w:r w:rsidR="00915D36" w:rsidRPr="00915D36">
        <w:t>eritaje</w:t>
      </w:r>
      <w:r w:rsidR="00C3555B">
        <w:t xml:space="preserve"> conjunto</w:t>
      </w:r>
      <w:r w:rsidR="00915D36" w:rsidRPr="00915D36">
        <w:t xml:space="preserve"> de Iván Velásquez</w:t>
      </w:r>
      <w:r w:rsidR="003C6FE2">
        <w:t xml:space="preserve"> Gómez</w:t>
      </w:r>
      <w:r w:rsidR="00915D36" w:rsidRPr="00915D36">
        <w:t xml:space="preserve"> y </w:t>
      </w:r>
      <w:r w:rsidR="00FF118C">
        <w:t xml:space="preserve">Luz </w:t>
      </w:r>
      <w:r w:rsidR="00915D36" w:rsidRPr="00915D36">
        <w:t>Adriana Camargo</w:t>
      </w:r>
      <w:r w:rsidR="003C6FE2">
        <w:t xml:space="preserve"> Garzón</w:t>
      </w:r>
      <w:r w:rsidR="00915D36" w:rsidRPr="00915D36">
        <w:t>;</w:t>
      </w:r>
      <w:r>
        <w:t xml:space="preserve"> </w:t>
      </w:r>
      <w:r w:rsidR="00915D36" w:rsidRPr="00915D36">
        <w:t xml:space="preserve">las declaraciones de las presuntas víctimas </w:t>
      </w:r>
      <w:r>
        <w:t xml:space="preserve">(i) </w:t>
      </w:r>
      <w:r w:rsidR="00915D36" w:rsidRPr="00915D36">
        <w:t xml:space="preserve">Ana María Margarita Morra y de </w:t>
      </w:r>
      <w:r>
        <w:t>(</w:t>
      </w:r>
      <w:proofErr w:type="spellStart"/>
      <w:r>
        <w:t>ii</w:t>
      </w:r>
      <w:proofErr w:type="spellEnd"/>
      <w:r>
        <w:t xml:space="preserve">) </w:t>
      </w:r>
      <w:r w:rsidR="00FF118C">
        <w:t xml:space="preserve">María </w:t>
      </w:r>
      <w:r w:rsidR="00915D36" w:rsidRPr="00915D36">
        <w:t xml:space="preserve">Raquel, </w:t>
      </w:r>
      <w:r>
        <w:t>(</w:t>
      </w:r>
      <w:proofErr w:type="spellStart"/>
      <w:r>
        <w:t>iii</w:t>
      </w:r>
      <w:proofErr w:type="spellEnd"/>
      <w:r>
        <w:t xml:space="preserve">) </w:t>
      </w:r>
      <w:r w:rsidR="00915D36" w:rsidRPr="00915D36">
        <w:t>Dante</w:t>
      </w:r>
      <w:r w:rsidR="00FF118C">
        <w:t xml:space="preserve"> Ariel</w:t>
      </w:r>
      <w:r w:rsidR="00915D36" w:rsidRPr="00915D36">
        <w:t xml:space="preserve">, </w:t>
      </w:r>
      <w:r>
        <w:t>(</w:t>
      </w:r>
      <w:proofErr w:type="spellStart"/>
      <w:r>
        <w:t>iv</w:t>
      </w:r>
      <w:proofErr w:type="spellEnd"/>
      <w:r>
        <w:t xml:space="preserve">) </w:t>
      </w:r>
      <w:r w:rsidR="00915D36" w:rsidRPr="00915D36">
        <w:t xml:space="preserve">Sebastián y </w:t>
      </w:r>
      <w:r>
        <w:t xml:space="preserve">(v) </w:t>
      </w:r>
      <w:r w:rsidR="00915D36" w:rsidRPr="00915D36">
        <w:t>Fernando</w:t>
      </w:r>
      <w:r w:rsidR="00FF118C">
        <w:t xml:space="preserve"> Javier</w:t>
      </w:r>
      <w:r w:rsidR="00915D36" w:rsidRPr="00915D36">
        <w:t xml:space="preserve"> Leguizamón Morra, esposa, hija e hijos de Santiago Leguizamón </w:t>
      </w:r>
      <w:proofErr w:type="spellStart"/>
      <w:r w:rsidR="00915D36" w:rsidRPr="00915D36">
        <w:t>Zaván</w:t>
      </w:r>
      <w:proofErr w:type="spellEnd"/>
      <w:r w:rsidR="00915D36" w:rsidRPr="00915D36">
        <w:t xml:space="preserve">, respectivamente, </w:t>
      </w:r>
      <w:r w:rsidR="00A16B85">
        <w:t>así como</w:t>
      </w:r>
      <w:r w:rsidR="00A16B85" w:rsidRPr="00915D36">
        <w:t xml:space="preserve"> </w:t>
      </w:r>
      <w:r w:rsidR="00915D36" w:rsidRPr="00915D36">
        <w:t xml:space="preserve">las declaraciones testimoniales de </w:t>
      </w:r>
      <w:r>
        <w:t xml:space="preserve">(i) </w:t>
      </w:r>
      <w:r w:rsidR="00915D36" w:rsidRPr="00915D36">
        <w:t xml:space="preserve">Andrés Colman Gutiérrez, </w:t>
      </w:r>
      <w:r>
        <w:t>(</w:t>
      </w:r>
      <w:proofErr w:type="spellStart"/>
      <w:r>
        <w:t>ii</w:t>
      </w:r>
      <w:proofErr w:type="spellEnd"/>
      <w:r>
        <w:t xml:space="preserve">) </w:t>
      </w:r>
      <w:r w:rsidR="00915D36" w:rsidRPr="00915D36">
        <w:t xml:space="preserve">Aníbal Gómez Caballero, </w:t>
      </w:r>
      <w:r>
        <w:t>(</w:t>
      </w:r>
      <w:proofErr w:type="spellStart"/>
      <w:r>
        <w:t>iii</w:t>
      </w:r>
      <w:proofErr w:type="spellEnd"/>
      <w:r>
        <w:t xml:space="preserve">) </w:t>
      </w:r>
      <w:r w:rsidR="00915D36" w:rsidRPr="00915D36">
        <w:t xml:space="preserve">Baldomero Cabral, </w:t>
      </w:r>
      <w:r>
        <w:t>(</w:t>
      </w:r>
      <w:proofErr w:type="spellStart"/>
      <w:r>
        <w:t>iv</w:t>
      </w:r>
      <w:proofErr w:type="spellEnd"/>
      <w:r>
        <w:t xml:space="preserve">) </w:t>
      </w:r>
      <w:r w:rsidR="00915D36" w:rsidRPr="00915D36">
        <w:t xml:space="preserve">Cándido Figueredo, </w:t>
      </w:r>
      <w:r>
        <w:t xml:space="preserve">(v) </w:t>
      </w:r>
      <w:r w:rsidR="00915D36" w:rsidRPr="00915D36">
        <w:t xml:space="preserve">Marciano Candia, </w:t>
      </w:r>
      <w:r>
        <w:t xml:space="preserve">(vi) </w:t>
      </w:r>
      <w:r w:rsidR="00915D36" w:rsidRPr="00915D36">
        <w:t xml:space="preserve">Eder Rivas, </w:t>
      </w:r>
      <w:r>
        <w:t>(</w:t>
      </w:r>
      <w:proofErr w:type="spellStart"/>
      <w:r>
        <w:t>vii</w:t>
      </w:r>
      <w:proofErr w:type="spellEnd"/>
      <w:r>
        <w:t xml:space="preserve">) </w:t>
      </w:r>
      <w:r w:rsidR="00915D36" w:rsidRPr="00915D36">
        <w:t xml:space="preserve">Humberto Rubín, </w:t>
      </w:r>
      <w:r>
        <w:t>(</w:t>
      </w:r>
      <w:proofErr w:type="spellStart"/>
      <w:r>
        <w:t>viii</w:t>
      </w:r>
      <w:proofErr w:type="spellEnd"/>
      <w:r>
        <w:t xml:space="preserve">) </w:t>
      </w:r>
      <w:r w:rsidR="00FF118C">
        <w:t>O</w:t>
      </w:r>
      <w:r w:rsidRPr="00915D36">
        <w:t xml:space="preserve">scar </w:t>
      </w:r>
      <w:r w:rsidR="00915D36" w:rsidRPr="00915D36">
        <w:t xml:space="preserve">Acosta, </w:t>
      </w:r>
      <w:r>
        <w:t>(</w:t>
      </w:r>
      <w:proofErr w:type="spellStart"/>
      <w:r>
        <w:t>ix</w:t>
      </w:r>
      <w:proofErr w:type="spellEnd"/>
      <w:r>
        <w:t xml:space="preserve">) </w:t>
      </w:r>
      <w:r w:rsidR="00915D36" w:rsidRPr="00915D36">
        <w:t xml:space="preserve">Mercedes </w:t>
      </w:r>
      <w:proofErr w:type="spellStart"/>
      <w:r w:rsidR="00915D36" w:rsidRPr="00915D36">
        <w:t>Barriocanal</w:t>
      </w:r>
      <w:proofErr w:type="spellEnd"/>
      <w:r w:rsidR="00915D36" w:rsidRPr="00915D36">
        <w:t xml:space="preserve"> </w:t>
      </w:r>
      <w:proofErr w:type="spellStart"/>
      <w:r w:rsidR="00915D36" w:rsidRPr="00915D36">
        <w:t>Perasso</w:t>
      </w:r>
      <w:proofErr w:type="spellEnd"/>
      <w:r w:rsidR="00915D36" w:rsidRPr="00915D36">
        <w:t xml:space="preserve">, </w:t>
      </w:r>
      <w:r>
        <w:t xml:space="preserve">(x) </w:t>
      </w:r>
      <w:proofErr w:type="spellStart"/>
      <w:r w:rsidR="00915D36" w:rsidRPr="00915D36">
        <w:t>Alcibiades</w:t>
      </w:r>
      <w:proofErr w:type="spellEnd"/>
      <w:r w:rsidR="00915D36" w:rsidRPr="00915D36">
        <w:t xml:space="preserve"> González Delvalle, </w:t>
      </w:r>
      <w:r>
        <w:t xml:space="preserve">(xi) </w:t>
      </w:r>
      <w:r w:rsidR="00915D36" w:rsidRPr="00915D36">
        <w:t xml:space="preserve">Santiago Ortiz y </w:t>
      </w:r>
      <w:r>
        <w:t>(</w:t>
      </w:r>
      <w:proofErr w:type="spellStart"/>
      <w:r>
        <w:t>xii</w:t>
      </w:r>
      <w:proofErr w:type="spellEnd"/>
      <w:r>
        <w:t xml:space="preserve">) </w:t>
      </w:r>
      <w:r w:rsidR="00915D36" w:rsidRPr="00915D36">
        <w:t xml:space="preserve">Noelia Díaz Esquivel. </w:t>
      </w:r>
      <w:r w:rsidR="00915D36">
        <w:t>El objeto y modalidad de cada</w:t>
      </w:r>
      <w:r w:rsidR="00DF2844">
        <w:t xml:space="preserve"> declaración se determinará</w:t>
      </w:r>
      <w:r w:rsidR="00915D36" w:rsidRPr="00915D36">
        <w:t xml:space="preserve"> en la parte resolutiva de la presente </w:t>
      </w:r>
      <w:r w:rsidR="00915D36" w:rsidRPr="007D2669">
        <w:t>Resolución (</w:t>
      </w:r>
      <w:r w:rsidR="00915D36" w:rsidRPr="007D2669">
        <w:rPr>
          <w:i/>
        </w:rPr>
        <w:t>infra</w:t>
      </w:r>
      <w:r w:rsidR="00915D36" w:rsidRPr="007D2669">
        <w:t xml:space="preserve"> punto</w:t>
      </w:r>
      <w:r w:rsidRPr="007D2669">
        <w:t>s</w:t>
      </w:r>
      <w:r w:rsidR="00915D36" w:rsidRPr="007D2669">
        <w:t xml:space="preserve"> resolutivo</w:t>
      </w:r>
      <w:r w:rsidRPr="007D2669">
        <w:t>s</w:t>
      </w:r>
      <w:r w:rsidR="00915D36" w:rsidRPr="007D2669">
        <w:t xml:space="preserve"> </w:t>
      </w:r>
      <w:r w:rsidR="00A75E59" w:rsidRPr="007D2669">
        <w:t xml:space="preserve">1 y </w:t>
      </w:r>
      <w:r w:rsidR="00915D36" w:rsidRPr="007D2669">
        <w:t>2).</w:t>
      </w:r>
    </w:p>
    <w:p w14:paraId="26342FEA" w14:textId="0AB2A344" w:rsidR="00834F03" w:rsidRPr="00534225" w:rsidRDefault="00834F03" w:rsidP="002026AD">
      <w:pPr>
        <w:tabs>
          <w:tab w:val="clear" w:pos="720"/>
          <w:tab w:val="clear" w:pos="810"/>
          <w:tab w:val="left" w:pos="567"/>
        </w:tabs>
      </w:pPr>
    </w:p>
    <w:p w14:paraId="3B1EE8B8" w14:textId="0AA0DC16" w:rsidR="00834F03" w:rsidRPr="00DF2844" w:rsidRDefault="00DF2844" w:rsidP="002026AD">
      <w:pPr>
        <w:pStyle w:val="Prrafodelista"/>
        <w:numPr>
          <w:ilvl w:val="0"/>
          <w:numId w:val="20"/>
        </w:numPr>
        <w:tabs>
          <w:tab w:val="clear" w:pos="720"/>
          <w:tab w:val="clear" w:pos="810"/>
          <w:tab w:val="left" w:pos="567"/>
        </w:tabs>
        <w:ind w:left="0" w:firstLine="0"/>
      </w:pPr>
      <w:r w:rsidRPr="00DF2844">
        <w:t>Además, esta Presidencia procederá a examinar</w:t>
      </w:r>
      <w:r w:rsidR="00B1646C" w:rsidRPr="00DF2844">
        <w:t xml:space="preserve"> en forma particular a) </w:t>
      </w:r>
      <w:r w:rsidR="00834F03" w:rsidRPr="00DF2844">
        <w:t>la necesidad de realizar una Audienc</w:t>
      </w:r>
      <w:r w:rsidR="00915D36" w:rsidRPr="00DF2844">
        <w:t>ia Pública en el presente caso</w:t>
      </w:r>
      <w:r w:rsidR="00D97B0E" w:rsidRPr="00DF2844">
        <w:t>;</w:t>
      </w:r>
      <w:r w:rsidR="002E2C33" w:rsidRPr="00DF2844">
        <w:t xml:space="preserve"> </w:t>
      </w:r>
      <w:r w:rsidR="00915D36" w:rsidRPr="00DF2844">
        <w:t>b</w:t>
      </w:r>
      <w:r w:rsidR="00B2735E" w:rsidRPr="00DF2844">
        <w:t xml:space="preserve">) la </w:t>
      </w:r>
      <w:r w:rsidR="008A00E3" w:rsidRPr="00DF2844">
        <w:t>solicitud de la Comisión Interamericana de formular preguntas a los peritos ofrecidos por los representantes</w:t>
      </w:r>
      <w:r w:rsidR="005B3D0E" w:rsidRPr="00DF2844">
        <w:t>;</w:t>
      </w:r>
      <w:r w:rsidR="00D97B0E" w:rsidRPr="00DF2844">
        <w:t xml:space="preserve"> c) la solicitud de los representantes de que la Corte cite a las presuntas víctimas a rendir su declaración</w:t>
      </w:r>
      <w:r w:rsidR="005B3D0E" w:rsidRPr="00DF2844">
        <w:t xml:space="preserve"> y</w:t>
      </w:r>
      <w:r w:rsidR="00DB4699">
        <w:t>,</w:t>
      </w:r>
      <w:r w:rsidR="005B3D0E" w:rsidRPr="00DF2844">
        <w:t xml:space="preserve"> d) el uso del Fondo de Asistencia Legal de Víctimas.</w:t>
      </w:r>
    </w:p>
    <w:p w14:paraId="2BD2A3FA" w14:textId="77777777" w:rsidR="00834F03" w:rsidRDefault="00834F03" w:rsidP="002026AD">
      <w:pPr>
        <w:pStyle w:val="Prrafodelista"/>
      </w:pPr>
    </w:p>
    <w:p w14:paraId="4AE96C16" w14:textId="77777777" w:rsidR="00834F03" w:rsidRPr="00915D05" w:rsidRDefault="00834F03" w:rsidP="002026AD">
      <w:pPr>
        <w:pStyle w:val="Ttulo1"/>
      </w:pPr>
      <w:r w:rsidRPr="00915D05">
        <w:t xml:space="preserve">Sobre la necesidad de convocar a una </w:t>
      </w:r>
      <w:r w:rsidR="006F13BA" w:rsidRPr="00915D05">
        <w:t>audiencia pública en el presente</w:t>
      </w:r>
      <w:r w:rsidRPr="00915D05">
        <w:t xml:space="preserve"> caso</w:t>
      </w:r>
    </w:p>
    <w:p w14:paraId="77E45FA8" w14:textId="77777777" w:rsidR="00834F03" w:rsidRDefault="00834F03" w:rsidP="002026AD"/>
    <w:p w14:paraId="0F369DCE" w14:textId="3CEF4E8D" w:rsidR="00834F03" w:rsidRDefault="00B1646C" w:rsidP="002026AD">
      <w:pPr>
        <w:pStyle w:val="Prrafodelista"/>
        <w:numPr>
          <w:ilvl w:val="0"/>
          <w:numId w:val="20"/>
        </w:numPr>
        <w:tabs>
          <w:tab w:val="clear" w:pos="720"/>
          <w:tab w:val="clear" w:pos="810"/>
          <w:tab w:val="left" w:pos="567"/>
        </w:tabs>
        <w:ind w:left="0" w:firstLine="0"/>
      </w:pPr>
      <w:r w:rsidRPr="00834F03">
        <w:t xml:space="preserve"> </w:t>
      </w:r>
      <w:r w:rsidR="008A00E3">
        <w:t>El</w:t>
      </w:r>
      <w:r w:rsidR="00834F03">
        <w:t xml:space="preserve"> President</w:t>
      </w:r>
      <w:r w:rsidR="008A00E3">
        <w:t>e</w:t>
      </w:r>
      <w:r w:rsidR="00834F03">
        <w:t xml:space="preserve"> recuerda que el artículo 15</w:t>
      </w:r>
      <w:r w:rsidR="00DF2844">
        <w:t>.1</w:t>
      </w:r>
      <w:r w:rsidR="00834F03">
        <w:t xml:space="preserve"> del Reglamento </w:t>
      </w:r>
      <w:r w:rsidR="00DF2844">
        <w:t>de este</w:t>
      </w:r>
      <w:r w:rsidR="00834F03">
        <w:t xml:space="preserve"> Tribunal señala que “la Corte celebrará audiencias cuando lo estime pertinente”. Así, los art</w:t>
      </w:r>
      <w:r w:rsidR="006F13BA">
        <w:t>ículos 45 y 50.1 del Reglamento facultan a la Corte o su Presidencia a convocar a audiencias cuando lo estimen necesario. Lo anterior expresa una facultad de la Corte o su Presidencia, que ejercerán motivadamente y de manera consecuente con las características del caso, los requerimientos procesales que deriven de ellas y la debida preservación de los derechos de las partes</w:t>
      </w:r>
      <w:r w:rsidR="006F13BA">
        <w:rPr>
          <w:rStyle w:val="Refdenotaalpie"/>
        </w:rPr>
        <w:footnoteReference w:id="2"/>
      </w:r>
      <w:r w:rsidR="006F13BA">
        <w:t>.</w:t>
      </w:r>
    </w:p>
    <w:p w14:paraId="3D509F5C" w14:textId="77777777" w:rsidR="006F13BA" w:rsidRDefault="006F13BA" w:rsidP="002026AD">
      <w:pPr>
        <w:pStyle w:val="Prrafodelista"/>
        <w:tabs>
          <w:tab w:val="clear" w:pos="720"/>
          <w:tab w:val="clear" w:pos="810"/>
          <w:tab w:val="left" w:pos="567"/>
        </w:tabs>
        <w:ind w:left="0"/>
      </w:pPr>
    </w:p>
    <w:p w14:paraId="06C2115B" w14:textId="4D5D881E" w:rsidR="00772A88" w:rsidRPr="00772A88" w:rsidRDefault="00A16B85" w:rsidP="002026AD">
      <w:pPr>
        <w:pStyle w:val="Prrafodelista"/>
        <w:numPr>
          <w:ilvl w:val="0"/>
          <w:numId w:val="20"/>
        </w:numPr>
        <w:tabs>
          <w:tab w:val="clear" w:pos="720"/>
          <w:tab w:val="clear" w:pos="810"/>
          <w:tab w:val="left" w:pos="567"/>
        </w:tabs>
        <w:ind w:left="0" w:firstLine="0"/>
      </w:pPr>
      <w:r>
        <w:t>En este caso, l</w:t>
      </w:r>
      <w:r w:rsidR="008A00E3">
        <w:t xml:space="preserve">uego </w:t>
      </w:r>
      <w:r w:rsidR="006F13BA">
        <w:t xml:space="preserve">de evaluar el Informe de Fondo presentado por la Comisión, el </w:t>
      </w:r>
      <w:r w:rsidR="00AD339C">
        <w:t>e</w:t>
      </w:r>
      <w:r w:rsidR="006F13BA">
        <w:t>scrito de solicitudes y argumentos y la contestación del Estado</w:t>
      </w:r>
      <w:r w:rsidR="00963992">
        <w:t>,</w:t>
      </w:r>
      <w:r w:rsidR="006F13BA">
        <w:t xml:space="preserve"> en </w:t>
      </w:r>
      <w:r w:rsidR="00963992">
        <w:t xml:space="preserve">la que </w:t>
      </w:r>
      <w:r w:rsidR="006F13BA">
        <w:t>reconoce su responsabilidad por la totalidad de los hechos</w:t>
      </w:r>
      <w:r w:rsidR="00B848D0">
        <w:t xml:space="preserve"> narrados en el Informe de Fondo,</w:t>
      </w:r>
      <w:r w:rsidR="006F13BA">
        <w:t xml:space="preserve"> </w:t>
      </w:r>
      <w:r w:rsidR="00963992">
        <w:t xml:space="preserve">el Presidente </w:t>
      </w:r>
      <w:r w:rsidR="006F13BA">
        <w:t xml:space="preserve">advierte que </w:t>
      </w:r>
      <w:r w:rsidR="00963992">
        <w:t xml:space="preserve">en este caso </w:t>
      </w:r>
      <w:r w:rsidR="006F13BA" w:rsidRPr="00947A22">
        <w:t>subsisten únicamente controversias jurídicas</w:t>
      </w:r>
      <w:r w:rsidR="006F13BA">
        <w:t xml:space="preserve">. </w:t>
      </w:r>
      <w:r w:rsidR="006F13BA">
        <w:lastRenderedPageBreak/>
        <w:t>Asimismo</w:t>
      </w:r>
      <w:r w:rsidR="00B848D0">
        <w:t>,</w:t>
      </w:r>
      <w:r w:rsidR="006F13BA">
        <w:t xml:space="preserve"> </w:t>
      </w:r>
      <w:r w:rsidR="00534225">
        <w:t>la</w:t>
      </w:r>
      <w:r w:rsidR="00963992">
        <w:t xml:space="preserve"> mayoría de la</w:t>
      </w:r>
      <w:r w:rsidR="00534225">
        <w:t>s declaraciones ofrecidas pueden ser evacuadas</w:t>
      </w:r>
      <w:r w:rsidR="006F13BA">
        <w:t xml:space="preserve"> de forma escrita </w:t>
      </w:r>
      <w:r w:rsidR="00B44FBA">
        <w:t>mediante</w:t>
      </w:r>
      <w:r w:rsidR="006F13BA">
        <w:t xml:space="preserve"> </w:t>
      </w:r>
      <w:r w:rsidR="00963992" w:rsidRPr="00596A47">
        <w:t>afidávit</w:t>
      </w:r>
      <w:r w:rsidR="006F13BA">
        <w:t xml:space="preserve">. </w:t>
      </w:r>
    </w:p>
    <w:p w14:paraId="5D9675BA" w14:textId="77777777" w:rsidR="00772A88" w:rsidRPr="00772A88" w:rsidRDefault="00772A88" w:rsidP="002026AD">
      <w:pPr>
        <w:tabs>
          <w:tab w:val="clear" w:pos="720"/>
          <w:tab w:val="clear" w:pos="810"/>
          <w:tab w:val="left" w:pos="567"/>
        </w:tabs>
      </w:pPr>
    </w:p>
    <w:p w14:paraId="771FAF1C" w14:textId="3F25FE99" w:rsidR="00E80360" w:rsidRPr="00772A88" w:rsidRDefault="00E80360" w:rsidP="002026AD">
      <w:pPr>
        <w:pStyle w:val="Prrafodelista"/>
        <w:numPr>
          <w:ilvl w:val="0"/>
          <w:numId w:val="20"/>
        </w:numPr>
        <w:tabs>
          <w:tab w:val="clear" w:pos="720"/>
          <w:tab w:val="clear" w:pos="810"/>
          <w:tab w:val="left" w:pos="567"/>
        </w:tabs>
        <w:ind w:left="0" w:firstLine="0"/>
      </w:pPr>
      <w:r w:rsidRPr="00772A88">
        <w:t xml:space="preserve">En virtud de lo anterior, </w:t>
      </w:r>
      <w:r w:rsidR="00963992">
        <w:t>el Presidente</w:t>
      </w:r>
      <w:r w:rsidR="00534225" w:rsidRPr="00772A88">
        <w:t xml:space="preserve">, en consulta con el </w:t>
      </w:r>
      <w:r w:rsidR="00AD339C">
        <w:t>P</w:t>
      </w:r>
      <w:r w:rsidR="00534225" w:rsidRPr="00772A88">
        <w:t xml:space="preserve">leno de la Corte, </w:t>
      </w:r>
      <w:r w:rsidR="00D97B0E">
        <w:t xml:space="preserve">ha decidido </w:t>
      </w:r>
      <w:r w:rsidR="00534225" w:rsidRPr="00772A88">
        <w:t>que no es necesario convocar a una audiencia pública en este caso</w:t>
      </w:r>
      <w:r w:rsidR="00963992">
        <w:t xml:space="preserve">. </w:t>
      </w:r>
      <w:r w:rsidR="005A714B" w:rsidRPr="00772A88">
        <w:t xml:space="preserve">Las declaraciones ofrecidas serán recibidas </w:t>
      </w:r>
      <w:r w:rsidR="00D97B0E">
        <w:t xml:space="preserve">en dos modalidades: (i) </w:t>
      </w:r>
      <w:r w:rsidR="00963992">
        <w:t xml:space="preserve">en una diligencia </w:t>
      </w:r>
      <w:r w:rsidR="00C3555B">
        <w:t>pública</w:t>
      </w:r>
      <w:r w:rsidR="00963992">
        <w:t xml:space="preserve">, destinada a tal efecto y </w:t>
      </w:r>
      <w:r w:rsidR="00D97B0E">
        <w:t>(</w:t>
      </w:r>
      <w:proofErr w:type="spellStart"/>
      <w:r w:rsidR="00D97B0E">
        <w:t>ii</w:t>
      </w:r>
      <w:proofErr w:type="spellEnd"/>
      <w:r w:rsidR="00D97B0E">
        <w:t xml:space="preserve">) </w:t>
      </w:r>
      <w:r w:rsidR="005A714B" w:rsidRPr="00772A88">
        <w:t xml:space="preserve">por escrito, de conformidad </w:t>
      </w:r>
      <w:r w:rsidR="002553F7">
        <w:t>con</w:t>
      </w:r>
      <w:r w:rsidR="005A714B" w:rsidRPr="00772A88">
        <w:t xml:space="preserve"> lo </w:t>
      </w:r>
      <w:r w:rsidR="00963992">
        <w:t>indicado</w:t>
      </w:r>
      <w:r w:rsidR="005A714B" w:rsidRPr="00772A88">
        <w:t xml:space="preserve"> en la parte resolutiva.</w:t>
      </w:r>
      <w:r w:rsidR="00CD2E13" w:rsidRPr="00772A88">
        <w:t xml:space="preserve"> </w:t>
      </w:r>
    </w:p>
    <w:p w14:paraId="158DB8F0" w14:textId="77777777" w:rsidR="00B1012D" w:rsidRDefault="00B1012D" w:rsidP="002026AD">
      <w:pPr>
        <w:pStyle w:val="Prrafodelista"/>
      </w:pPr>
    </w:p>
    <w:p w14:paraId="31A34D1C" w14:textId="471A12DE" w:rsidR="00D97B0E" w:rsidRDefault="00D97B0E" w:rsidP="002026AD">
      <w:pPr>
        <w:pStyle w:val="Ttulo1"/>
      </w:pPr>
      <w:r>
        <w:t xml:space="preserve">Sobre la </w:t>
      </w:r>
      <w:r w:rsidRPr="00D97B0E">
        <w:t>solicitud de la Comisión Interamericana de formular preguntas a los peritos ofrecidos por los representantes</w:t>
      </w:r>
    </w:p>
    <w:p w14:paraId="4E529BC0" w14:textId="63F75223" w:rsidR="00D97B0E" w:rsidRDefault="00D97B0E" w:rsidP="002026AD"/>
    <w:p w14:paraId="1A10777F" w14:textId="13EB3B92" w:rsidR="00F66D68" w:rsidRDefault="00D97B0E" w:rsidP="002026AD">
      <w:pPr>
        <w:pStyle w:val="Prrafodelista"/>
        <w:numPr>
          <w:ilvl w:val="0"/>
          <w:numId w:val="20"/>
        </w:numPr>
        <w:tabs>
          <w:tab w:val="clear" w:pos="720"/>
          <w:tab w:val="clear" w:pos="810"/>
          <w:tab w:val="left" w:pos="567"/>
        </w:tabs>
        <w:ind w:left="0" w:firstLine="0"/>
      </w:pPr>
      <w:r w:rsidRPr="00596A47">
        <w:t xml:space="preserve">La </w:t>
      </w:r>
      <w:r w:rsidRPr="00596A47">
        <w:rPr>
          <w:b/>
          <w:i/>
        </w:rPr>
        <w:t>Comisión</w:t>
      </w:r>
      <w:r w:rsidRPr="00596A47">
        <w:t xml:space="preserve"> </w:t>
      </w:r>
      <w:r w:rsidR="00F66D68" w:rsidRPr="00915D05">
        <w:t xml:space="preserve">solicitó que, en virtud de lo establecido en los artículos 50.5 </w:t>
      </w:r>
      <w:r w:rsidR="00B1317C">
        <w:t>y 52.3</w:t>
      </w:r>
      <w:r w:rsidR="00B1317C" w:rsidRPr="001B500D">
        <w:t xml:space="preserve"> </w:t>
      </w:r>
      <w:r w:rsidR="00F66D68" w:rsidRPr="00915D05">
        <w:t>del Reglamento de la Corte, se le permita formular preguntas a los peritos Iván Velásquez</w:t>
      </w:r>
      <w:r w:rsidR="003C6FE2">
        <w:t xml:space="preserve"> Gómez</w:t>
      </w:r>
      <w:r w:rsidR="00F66D68" w:rsidRPr="00915D05">
        <w:t xml:space="preserve"> y Luz Adriana Camargo</w:t>
      </w:r>
      <w:r w:rsidR="003C6FE2">
        <w:t xml:space="preserve"> Garzón</w:t>
      </w:r>
      <w:r w:rsidR="00F66D68" w:rsidRPr="00F66D68">
        <w:t>,</w:t>
      </w:r>
      <w:r w:rsidR="00216C46">
        <w:t xml:space="preserve"> ofrecidos por los representantes,</w:t>
      </w:r>
      <w:r w:rsidR="00F66D68" w:rsidRPr="00F66D68">
        <w:t xml:space="preserve"> debido a que</w:t>
      </w:r>
      <w:r w:rsidR="00216C46">
        <w:t xml:space="preserve"> el objeto de su peritaje</w:t>
      </w:r>
      <w:r w:rsidR="00317C72">
        <w:t xml:space="preserve"> conjunto</w:t>
      </w:r>
      <w:r w:rsidR="00F66D68" w:rsidRPr="00F66D68">
        <w:t xml:space="preserve"> se relaciona tanto con el orden público interamericano</w:t>
      </w:r>
      <w:r w:rsidR="00A16B85">
        <w:t>,</w:t>
      </w:r>
      <w:r w:rsidR="00F66D68" w:rsidRPr="00F66D68">
        <w:t xml:space="preserve"> como con el peritaje ofrecido por la</w:t>
      </w:r>
      <w:r w:rsidR="00F66D68">
        <w:t xml:space="preserve"> misma</w:t>
      </w:r>
      <w:r w:rsidR="00F66D68" w:rsidRPr="00915D05">
        <w:t xml:space="preserve"> Comisión</w:t>
      </w:r>
      <w:r w:rsidR="00F66D68">
        <w:t xml:space="preserve">. </w:t>
      </w:r>
      <w:r w:rsidR="002553F7" w:rsidRPr="008879C8">
        <w:t>La Comisión destacó</w:t>
      </w:r>
      <w:r w:rsidR="00F66D68" w:rsidRPr="008879C8">
        <w:t xml:space="preserve"> “</w:t>
      </w:r>
      <w:r w:rsidR="00F66D68" w:rsidRPr="00AC19F1">
        <w:t>la importancia de permitir que las declaraciones periciales que se relacionan entre sí ofrezcan una variedad de perspectivas –distintas o complementarias- sobre los temas que pretenden desarrollar, a fin de enriquecer los elementos de información con los cuales contará el Tribunal al momento de decidir el presente caso</w:t>
      </w:r>
      <w:r w:rsidR="00F66D68" w:rsidRPr="008879C8">
        <w:t>”</w:t>
      </w:r>
      <w:r w:rsidR="00F66D68">
        <w:t>.</w:t>
      </w:r>
      <w:r w:rsidR="00B1317C">
        <w:t xml:space="preserve"> El </w:t>
      </w:r>
      <w:r w:rsidR="00B1317C" w:rsidRPr="00596A47">
        <w:rPr>
          <w:b/>
          <w:i/>
        </w:rPr>
        <w:t>Estado</w:t>
      </w:r>
      <w:r w:rsidR="00B1317C">
        <w:t xml:space="preserve"> </w:t>
      </w:r>
      <w:r w:rsidR="00C7473E">
        <w:t xml:space="preserve">y los </w:t>
      </w:r>
      <w:r w:rsidR="00C7473E" w:rsidRPr="00596A47">
        <w:rPr>
          <w:b/>
          <w:i/>
        </w:rPr>
        <w:t>representantes</w:t>
      </w:r>
      <w:r w:rsidR="00C7473E">
        <w:t xml:space="preserve"> </w:t>
      </w:r>
      <w:r w:rsidR="00B1317C">
        <w:t>no present</w:t>
      </w:r>
      <w:r w:rsidR="00C7473E">
        <w:t>aron</w:t>
      </w:r>
      <w:r w:rsidR="00B1317C">
        <w:t xml:space="preserve"> </w:t>
      </w:r>
      <w:r w:rsidR="002553F7">
        <w:t>ninguna consideración sobre</w:t>
      </w:r>
      <w:r w:rsidR="00B1317C">
        <w:t xml:space="preserve"> la solicitud hecha por la Comisión. </w:t>
      </w:r>
    </w:p>
    <w:p w14:paraId="16CD8D53" w14:textId="77777777" w:rsidR="00F66D68" w:rsidRDefault="00F66D68" w:rsidP="002026AD">
      <w:pPr>
        <w:pStyle w:val="Prrafodelista"/>
        <w:tabs>
          <w:tab w:val="clear" w:pos="720"/>
          <w:tab w:val="clear" w:pos="810"/>
          <w:tab w:val="left" w:pos="567"/>
        </w:tabs>
        <w:ind w:left="0"/>
      </w:pPr>
    </w:p>
    <w:p w14:paraId="220E67A5" w14:textId="52B1936B" w:rsidR="00D97B0E" w:rsidRPr="00596A47" w:rsidRDefault="00B1317C" w:rsidP="002026AD">
      <w:pPr>
        <w:pStyle w:val="Prrafodelista"/>
        <w:numPr>
          <w:ilvl w:val="0"/>
          <w:numId w:val="20"/>
        </w:numPr>
        <w:tabs>
          <w:tab w:val="clear" w:pos="720"/>
          <w:tab w:val="clear" w:pos="810"/>
          <w:tab w:val="left" w:pos="567"/>
        </w:tabs>
        <w:ind w:left="0" w:firstLine="0"/>
      </w:pPr>
      <w:r>
        <w:t>E</w:t>
      </w:r>
      <w:r w:rsidR="00F66D68">
        <w:t>l</w:t>
      </w:r>
      <w:r w:rsidR="00F66D68" w:rsidRPr="00915D05">
        <w:t xml:space="preserve"> Presidente</w:t>
      </w:r>
      <w:r w:rsidR="00D97B0E" w:rsidRPr="00596A47">
        <w:t xml:space="preserve"> considera que el objeto </w:t>
      </w:r>
      <w:r w:rsidR="00F66D68">
        <w:t>del</w:t>
      </w:r>
      <w:r w:rsidR="00D97B0E" w:rsidRPr="00596A47">
        <w:t xml:space="preserve"> dictamen</w:t>
      </w:r>
      <w:r w:rsidR="00F66D68">
        <w:t xml:space="preserve"> ofrecido por los representantes</w:t>
      </w:r>
      <w:r w:rsidR="00C7473E">
        <w:rPr>
          <w:rStyle w:val="Refdenotaalpie"/>
        </w:rPr>
        <w:footnoteReference w:id="3"/>
      </w:r>
      <w:r w:rsidR="00F66D68">
        <w:t>, en efecto,</w:t>
      </w:r>
      <w:r w:rsidR="00D97B0E" w:rsidRPr="00596A47">
        <w:t xml:space="preserve"> tiene relación con el pe</w:t>
      </w:r>
      <w:r w:rsidR="00F66D68" w:rsidRPr="00915D05">
        <w:t>ritaje ofrecido por la Comisión</w:t>
      </w:r>
      <w:r w:rsidR="00F66D68">
        <w:rPr>
          <w:rStyle w:val="Refdenotaalpie"/>
        </w:rPr>
        <w:footnoteReference w:id="4"/>
      </w:r>
      <w:r w:rsidR="007430CA">
        <w:t xml:space="preserve">, en la medida en que </w:t>
      </w:r>
      <w:r w:rsidR="00FE0D4E">
        <w:t>el primero se refiere</w:t>
      </w:r>
      <w:r w:rsidR="007430CA">
        <w:t xml:space="preserve"> a los alegados patrones </w:t>
      </w:r>
      <w:r w:rsidR="00B44FBA">
        <w:t>de</w:t>
      </w:r>
      <w:r w:rsidR="007430CA">
        <w:t xml:space="preserve"> la violencia </w:t>
      </w:r>
      <w:r w:rsidR="00B44FBA">
        <w:t xml:space="preserve">cometida </w:t>
      </w:r>
      <w:r w:rsidR="007430CA">
        <w:t xml:space="preserve">contra periodistas, sus causas y consecuencias, mientras que el </w:t>
      </w:r>
      <w:r w:rsidR="00FE0D4E">
        <w:t>segundo</w:t>
      </w:r>
      <w:r w:rsidR="007430CA">
        <w:t xml:space="preserve"> </w:t>
      </w:r>
      <w:r w:rsidR="00FE0D4E">
        <w:t>tratará las obligaciones estatales en relación con la investigación de dicha violencia. Además,</w:t>
      </w:r>
      <w:r w:rsidR="00D97B0E" w:rsidRPr="00596A47">
        <w:t xml:space="preserve"> </w:t>
      </w:r>
      <w:r w:rsidR="00B44FBA">
        <w:t>el P</w:t>
      </w:r>
      <w:r w:rsidR="00FE0D4E">
        <w:t xml:space="preserve">residente encuentra que la posibilidad de que la Comisión formule preguntas a los peritos Velásquez </w:t>
      </w:r>
      <w:r w:rsidR="003C6FE2">
        <w:t xml:space="preserve">Gómez </w:t>
      </w:r>
      <w:r w:rsidR="00FE0D4E">
        <w:t xml:space="preserve">y Camargo </w:t>
      </w:r>
      <w:r w:rsidR="003C6FE2">
        <w:t>Garzón</w:t>
      </w:r>
      <w:r w:rsidR="003C6FE2" w:rsidRPr="00596A47">
        <w:t xml:space="preserve"> </w:t>
      </w:r>
      <w:r w:rsidR="00D97B0E" w:rsidRPr="00596A47">
        <w:t>resulta de importancia para el orden público interamericano</w:t>
      </w:r>
      <w:r w:rsidR="00A16B85">
        <w:t xml:space="preserve">, en la medida en que </w:t>
      </w:r>
      <w:r w:rsidR="00B44FBA">
        <w:t>dicho peritaje</w:t>
      </w:r>
      <w:r w:rsidR="00FE0D4E">
        <w:t xml:space="preserve"> </w:t>
      </w:r>
      <w:r w:rsidR="00A16B85">
        <w:t xml:space="preserve">se refiere a asuntos </w:t>
      </w:r>
      <w:r w:rsidR="00B44FBA">
        <w:t>que trascienden</w:t>
      </w:r>
      <w:r w:rsidR="00A16B85">
        <w:t xml:space="preserve"> el interés de las partes en el caso concreto</w:t>
      </w:r>
      <w:r w:rsidR="00B44FBA">
        <w:t xml:space="preserve"> y, dichas preguntas, podrían permitir a la Corte </w:t>
      </w:r>
      <w:r w:rsidR="00A16B85">
        <w:t xml:space="preserve">desarrollar y consolidar su jurisprudencia </w:t>
      </w:r>
      <w:r w:rsidR="00B44FBA">
        <w:t xml:space="preserve">en relación con la violencia cometida </w:t>
      </w:r>
      <w:r w:rsidR="00A16B85">
        <w:t>contra periodistas</w:t>
      </w:r>
      <w:r w:rsidR="00D97B0E" w:rsidRPr="00596A47">
        <w:t xml:space="preserve">. </w:t>
      </w:r>
      <w:r w:rsidR="00FE0D4E">
        <w:t>Finalmente</w:t>
      </w:r>
      <w:r w:rsidR="00D97B0E" w:rsidRPr="00596A47">
        <w:t xml:space="preserve">, </w:t>
      </w:r>
      <w:r w:rsidR="000A5F00">
        <w:t>esta P</w:t>
      </w:r>
      <w:r w:rsidR="00FE0D4E">
        <w:t>residencia</w:t>
      </w:r>
      <w:r w:rsidR="00D97B0E" w:rsidRPr="00596A47">
        <w:t xml:space="preserve"> encuentra que un adecuado contradictorio le permitirá contar con mayores elementos e información al momento de decidir el presente caso, por lo que resulta procedente, conforme a los artículos 50.5 y 52.3 del Reglamento, </w:t>
      </w:r>
      <w:r w:rsidR="00D97B0E" w:rsidRPr="00596A47">
        <w:lastRenderedPageBreak/>
        <w:t xml:space="preserve">conceder </w:t>
      </w:r>
      <w:r w:rsidR="00B44FBA">
        <w:t xml:space="preserve">la </w:t>
      </w:r>
      <w:r w:rsidR="00D97B0E" w:rsidRPr="00596A47">
        <w:t>oportunidad a la Comisión para formular preguntas a</w:t>
      </w:r>
      <w:r w:rsidR="005336C0">
        <w:t xml:space="preserve"> </w:t>
      </w:r>
      <w:r w:rsidR="00D97B0E" w:rsidRPr="00596A47">
        <w:t>l</w:t>
      </w:r>
      <w:r w:rsidR="005336C0">
        <w:t>os</w:t>
      </w:r>
      <w:r w:rsidR="00D97B0E" w:rsidRPr="00596A47">
        <w:t xml:space="preserve"> perito</w:t>
      </w:r>
      <w:r w:rsidR="005336C0">
        <w:t>s</w:t>
      </w:r>
      <w:r w:rsidR="00D97B0E" w:rsidRPr="00596A47">
        <w:t xml:space="preserve"> </w:t>
      </w:r>
      <w:r w:rsidR="005336C0" w:rsidRPr="00915D05">
        <w:t xml:space="preserve">Iván Velásquez </w:t>
      </w:r>
      <w:r w:rsidR="003C6FE2">
        <w:t>Gómez</w:t>
      </w:r>
      <w:r w:rsidR="003C6FE2" w:rsidRPr="00915D05">
        <w:t xml:space="preserve"> </w:t>
      </w:r>
      <w:r w:rsidR="005336C0" w:rsidRPr="00915D05">
        <w:t>y Luz Adriana Camargo</w:t>
      </w:r>
      <w:r w:rsidR="003C6FE2">
        <w:t xml:space="preserve"> Garzón</w:t>
      </w:r>
      <w:r w:rsidR="00D97B0E" w:rsidRPr="00596A47">
        <w:t>.</w:t>
      </w:r>
    </w:p>
    <w:p w14:paraId="47B43BA0" w14:textId="77777777" w:rsidR="00D97B0E" w:rsidRPr="00915D05" w:rsidRDefault="00D97B0E" w:rsidP="002026AD"/>
    <w:p w14:paraId="5634B71F" w14:textId="099CC839" w:rsidR="00B2735E" w:rsidRPr="00B2735E" w:rsidRDefault="00A75E59" w:rsidP="002026AD">
      <w:pPr>
        <w:pStyle w:val="Ttulo1"/>
      </w:pPr>
      <w:r w:rsidRPr="00A75E59">
        <w:t>Sobr</w:t>
      </w:r>
      <w:r>
        <w:t>e</w:t>
      </w:r>
      <w:r w:rsidR="00C03AC5">
        <w:t xml:space="preserve"> la</w:t>
      </w:r>
      <w:r>
        <w:t xml:space="preserve"> </w:t>
      </w:r>
      <w:r w:rsidR="00D97B0E" w:rsidRPr="00D97B0E">
        <w:t>solicitud de los representantes de que la Corte cite a las presuntas víctimas a rendir su declaración</w:t>
      </w:r>
      <w:r w:rsidR="00D97B0E" w:rsidRPr="00D97B0E" w:rsidDel="00D97B0E">
        <w:t xml:space="preserve"> </w:t>
      </w:r>
    </w:p>
    <w:p w14:paraId="320F297B" w14:textId="3E1FBDEE" w:rsidR="00A75E59" w:rsidRPr="00596A47" w:rsidRDefault="00A75E59" w:rsidP="002026AD">
      <w:pPr>
        <w:rPr>
          <w:lang w:val="es-CR"/>
        </w:rPr>
      </w:pPr>
    </w:p>
    <w:p w14:paraId="608AF644" w14:textId="3EB03406" w:rsidR="00915D05" w:rsidRDefault="00A75E59" w:rsidP="002026AD">
      <w:pPr>
        <w:pStyle w:val="Prrafodelista"/>
        <w:numPr>
          <w:ilvl w:val="0"/>
          <w:numId w:val="20"/>
        </w:numPr>
        <w:tabs>
          <w:tab w:val="clear" w:pos="720"/>
          <w:tab w:val="clear" w:pos="810"/>
          <w:tab w:val="left" w:pos="567"/>
        </w:tabs>
        <w:ind w:left="0" w:firstLine="0"/>
      </w:pPr>
      <w:r w:rsidRPr="00E178B4">
        <w:t xml:space="preserve">Los </w:t>
      </w:r>
      <w:r w:rsidRPr="00596A47">
        <w:rPr>
          <w:b/>
          <w:i/>
        </w:rPr>
        <w:t>representantes</w:t>
      </w:r>
      <w:r w:rsidR="00E178B4" w:rsidRPr="00E178B4">
        <w:t xml:space="preserve"> </w:t>
      </w:r>
      <w:r w:rsidR="00D4222D">
        <w:t>solicitaron a la Corte</w:t>
      </w:r>
      <w:r w:rsidR="00E178B4" w:rsidRPr="00E178B4">
        <w:t xml:space="preserve">, en su escrito de observaciones al reconocimiento de responsabilidad </w:t>
      </w:r>
      <w:r w:rsidR="00166402">
        <w:t>estatal</w:t>
      </w:r>
      <w:r w:rsidR="00E178B4" w:rsidRPr="00E178B4">
        <w:t>,</w:t>
      </w:r>
      <w:r w:rsidRPr="00E178B4">
        <w:t xml:space="preserve"> </w:t>
      </w:r>
      <w:r w:rsidR="00E178B4" w:rsidRPr="00E178B4">
        <w:t xml:space="preserve">que </w:t>
      </w:r>
      <w:r w:rsidR="00D4222D">
        <w:t xml:space="preserve">cite a </w:t>
      </w:r>
      <w:r w:rsidR="00D97E19">
        <w:t>los familiares de Santiago Leguizamón</w:t>
      </w:r>
      <w:r w:rsidR="00D4222D">
        <w:t xml:space="preserve"> </w:t>
      </w:r>
      <w:proofErr w:type="spellStart"/>
      <w:r w:rsidR="00D4222D" w:rsidRPr="0081190E">
        <w:t>Zaván</w:t>
      </w:r>
      <w:proofErr w:type="spellEnd"/>
      <w:r w:rsidR="00D4222D" w:rsidRPr="0081190E">
        <w:t>,</w:t>
      </w:r>
      <w:r w:rsidR="00D97E19" w:rsidRPr="0081190E">
        <w:t xml:space="preserve"> “</w:t>
      </w:r>
      <w:r w:rsidR="00D4222D" w:rsidRPr="0081190E">
        <w:t xml:space="preserve">quienes </w:t>
      </w:r>
      <w:r w:rsidR="00D97E19" w:rsidRPr="0081190E">
        <w:t>tienen la expectativa de ser oídos en audiencia ante la Corte IDH, por el efecto reparador y sanador que la propia audiencia y el ejercicio del derecho a ser oídos por el Tribunal tendrá sobre su experiencia como víctimas en el caso”.</w:t>
      </w:r>
    </w:p>
    <w:p w14:paraId="6DAC86EF" w14:textId="77777777" w:rsidR="00915D05" w:rsidRDefault="00915D05" w:rsidP="002026AD">
      <w:pPr>
        <w:pStyle w:val="Prrafodelista"/>
        <w:tabs>
          <w:tab w:val="clear" w:pos="720"/>
          <w:tab w:val="clear" w:pos="810"/>
          <w:tab w:val="left" w:pos="567"/>
        </w:tabs>
        <w:ind w:left="0"/>
      </w:pPr>
    </w:p>
    <w:p w14:paraId="47CDAFC0" w14:textId="1DEB5AA8" w:rsidR="00E33950" w:rsidRDefault="000A5F00" w:rsidP="002026AD">
      <w:pPr>
        <w:pStyle w:val="Prrafodelista"/>
        <w:numPr>
          <w:ilvl w:val="0"/>
          <w:numId w:val="20"/>
        </w:numPr>
        <w:tabs>
          <w:tab w:val="clear" w:pos="720"/>
          <w:tab w:val="clear" w:pos="810"/>
          <w:tab w:val="left" w:pos="567"/>
        </w:tabs>
        <w:ind w:left="0" w:firstLine="0"/>
      </w:pPr>
      <w:r>
        <w:t>Esta P</w:t>
      </w:r>
      <w:r w:rsidR="00D4222D" w:rsidRPr="00915D05">
        <w:t>residencia</w:t>
      </w:r>
      <w:r w:rsidR="00A75E59" w:rsidRPr="00915D05">
        <w:t xml:space="preserve"> advierte</w:t>
      </w:r>
      <w:r w:rsidR="00D97E19" w:rsidRPr="00915D05">
        <w:t xml:space="preserve"> que,</w:t>
      </w:r>
      <w:r w:rsidR="00A75E59" w:rsidRPr="00915D05">
        <w:t xml:space="preserve"> de las disposiciones contenidas en el Reglamento</w:t>
      </w:r>
      <w:r w:rsidR="00D4222D" w:rsidRPr="00915D05">
        <w:t xml:space="preserve"> de la Corte y de una interpretación</w:t>
      </w:r>
      <w:r w:rsidR="00A75E59" w:rsidRPr="002C6451">
        <w:t xml:space="preserve"> dirigida a hacer eficaz los fines de la jurisdicción interamericana</w:t>
      </w:r>
      <w:r w:rsidR="00166402">
        <w:t>,</w:t>
      </w:r>
      <w:r w:rsidR="00A75E59" w:rsidRPr="002C6451">
        <w:t xml:space="preserve"> con plena observancia de los derechos de las partes, se concluye que no existe limitante normativa que impida disponer la recepción de una declaración, sea esta testimonial, pericial o de presuntas víctimas</w:t>
      </w:r>
      <w:r w:rsidR="002C6451" w:rsidRPr="002C6451">
        <w:t>,</w:t>
      </w:r>
      <w:r w:rsidR="00D4222D" w:rsidRPr="002C6451">
        <w:t xml:space="preserve"> </w:t>
      </w:r>
      <w:r w:rsidR="00A75E59" w:rsidRPr="002C6451">
        <w:t>a</w:t>
      </w:r>
      <w:r w:rsidR="00623CA1">
        <w:t>u</w:t>
      </w:r>
      <w:r w:rsidR="00A75E59" w:rsidRPr="002C6451">
        <w:t>n en el supuesto de que se haya decidido no celebrar</w:t>
      </w:r>
      <w:r w:rsidR="002C6451" w:rsidRPr="002C6451">
        <w:t xml:space="preserve"> una</w:t>
      </w:r>
      <w:r w:rsidR="00A75E59" w:rsidRPr="002C6451">
        <w:t xml:space="preserve"> audiencia pública, como </w:t>
      </w:r>
      <w:r w:rsidR="00D4222D" w:rsidRPr="002C6451">
        <w:t xml:space="preserve">ocurre </w:t>
      </w:r>
      <w:r w:rsidR="00A75E59" w:rsidRPr="002C6451">
        <w:t>en el presente caso. En tal sentido, lo esencial es que en el desarrollo de la diligencia respectiva se garantice el contradictorio</w:t>
      </w:r>
      <w:r w:rsidR="00166402">
        <w:rPr>
          <w:rStyle w:val="Refdenotaalpie"/>
        </w:rPr>
        <w:footnoteReference w:id="5"/>
      </w:r>
      <w:r w:rsidR="00A75E59" w:rsidRPr="002C6451">
        <w:t>.</w:t>
      </w:r>
    </w:p>
    <w:p w14:paraId="38DC3DC1" w14:textId="77777777" w:rsidR="00E33950" w:rsidRDefault="00E33950" w:rsidP="002026AD">
      <w:pPr>
        <w:pStyle w:val="Prrafodelista"/>
      </w:pPr>
    </w:p>
    <w:p w14:paraId="486958F8" w14:textId="3E7BCB4B" w:rsidR="005B3D0E" w:rsidRDefault="00D4222D" w:rsidP="002026AD">
      <w:pPr>
        <w:pStyle w:val="Prrafodelista"/>
        <w:widowControl w:val="0"/>
        <w:numPr>
          <w:ilvl w:val="0"/>
          <w:numId w:val="20"/>
        </w:numPr>
        <w:tabs>
          <w:tab w:val="clear" w:pos="720"/>
          <w:tab w:val="clear" w:pos="810"/>
          <w:tab w:val="left" w:pos="567"/>
        </w:tabs>
        <w:ind w:left="0" w:right="65" w:firstLine="0"/>
      </w:pPr>
      <w:r>
        <w:t>Además, l</w:t>
      </w:r>
      <w:r w:rsidRPr="00D4222D">
        <w:t xml:space="preserve">a </w:t>
      </w:r>
      <w:r w:rsidR="00A75E59" w:rsidRPr="00D4222D">
        <w:t>Corte advierte la importancia que tienen las declaraciones de las presuntas víctimas en los procesos que se siguen ante el Tribunal</w:t>
      </w:r>
      <w:r w:rsidR="00166402">
        <w:rPr>
          <w:rStyle w:val="Refdenotaalpie"/>
        </w:rPr>
        <w:footnoteReference w:id="6"/>
      </w:r>
      <w:r w:rsidRPr="00F51065">
        <w:t>.</w:t>
      </w:r>
      <w:r w:rsidR="002C6451">
        <w:t xml:space="preserve"> Por</w:t>
      </w:r>
      <w:r>
        <w:t xml:space="preserve"> lo anterior</w:t>
      </w:r>
      <w:r w:rsidR="00A75E59" w:rsidRPr="00D97E19">
        <w:t xml:space="preserve">, </w:t>
      </w:r>
      <w:r>
        <w:t>esta Presidencia</w:t>
      </w:r>
      <w:r w:rsidR="00A75E59" w:rsidRPr="00D97E19">
        <w:t xml:space="preserve"> estima procedente </w:t>
      </w:r>
      <w:r w:rsidR="00D97E19" w:rsidRPr="00D97E19">
        <w:t xml:space="preserve">admitir la declaración de </w:t>
      </w:r>
      <w:r w:rsidR="00D97E19" w:rsidRPr="00FF118C">
        <w:t xml:space="preserve">Ana María Margarita Morra y Dante Ariel Leguizamón Morra, esposa e hijo de Santiago Leguizamón </w:t>
      </w:r>
      <w:proofErr w:type="spellStart"/>
      <w:r w:rsidR="00D97E19" w:rsidRPr="00FF118C">
        <w:t>Zaván</w:t>
      </w:r>
      <w:proofErr w:type="spellEnd"/>
      <w:r w:rsidR="00A75E59" w:rsidRPr="00FF118C">
        <w:t>,</w:t>
      </w:r>
      <w:r w:rsidR="00A75E59" w:rsidRPr="00D97E19">
        <w:t xml:space="preserve"> </w:t>
      </w:r>
      <w:r w:rsidRPr="00D97E19">
        <w:t>respectivamente,</w:t>
      </w:r>
      <w:r w:rsidR="00A75E59" w:rsidRPr="00D97E19">
        <w:t xml:space="preserve"> </w:t>
      </w:r>
      <w:r>
        <w:t>en una diligencia</w:t>
      </w:r>
      <w:r w:rsidR="005336C0">
        <w:t xml:space="preserve"> </w:t>
      </w:r>
      <w:r w:rsidR="00E33950" w:rsidRPr="00AC19F1">
        <w:t xml:space="preserve">virtual </w:t>
      </w:r>
      <w:r>
        <w:t>destinada a tal fin, la cual contará</w:t>
      </w:r>
      <w:r w:rsidR="00A75E59" w:rsidRPr="00D97E19">
        <w:t xml:space="preserve"> con </w:t>
      </w:r>
      <w:r>
        <w:t xml:space="preserve">la </w:t>
      </w:r>
      <w:r w:rsidR="00A75E59" w:rsidRPr="00D97E19">
        <w:t>participación de las partes y la Comisión</w:t>
      </w:r>
      <w:r>
        <w:t xml:space="preserve">. En dicha diligencia, </w:t>
      </w:r>
      <w:r w:rsidR="00A75E59" w:rsidRPr="00D97E19">
        <w:t>los representantes y el Estado podrá</w:t>
      </w:r>
      <w:r w:rsidR="002C6451">
        <w:t>n</w:t>
      </w:r>
      <w:r w:rsidR="00A75E59" w:rsidRPr="00D97E19">
        <w:t xml:space="preserve"> formular preguntas de conformidad con </w:t>
      </w:r>
      <w:r>
        <w:t>dispuesto en</w:t>
      </w:r>
      <w:r w:rsidR="00A75E59" w:rsidRPr="00D97E19">
        <w:t xml:space="preserve"> el artículo 52.2 del Reglamento. Para el efecto, se especificará lo pertinente en la parte resolutiva de la presente Resolución (</w:t>
      </w:r>
      <w:r w:rsidR="00A75E59" w:rsidRPr="00E33950">
        <w:rPr>
          <w:i/>
        </w:rPr>
        <w:t>infra</w:t>
      </w:r>
      <w:r w:rsidR="00A75E59" w:rsidRPr="00D97E19">
        <w:t xml:space="preserve"> </w:t>
      </w:r>
      <w:r w:rsidR="00D97E19" w:rsidRPr="00D97E19">
        <w:t>punto resolutivo 1</w:t>
      </w:r>
      <w:r w:rsidR="00A75E59" w:rsidRPr="00D97E19">
        <w:t>).</w:t>
      </w:r>
      <w:r w:rsidR="00E33950">
        <w:t xml:space="preserve"> </w:t>
      </w:r>
    </w:p>
    <w:p w14:paraId="165F0641" w14:textId="1EFC8C94" w:rsidR="00E33950" w:rsidRDefault="00E33950" w:rsidP="002026AD">
      <w:pPr>
        <w:pStyle w:val="Prrafodelista"/>
        <w:widowControl w:val="0"/>
        <w:tabs>
          <w:tab w:val="clear" w:pos="720"/>
          <w:tab w:val="clear" w:pos="810"/>
          <w:tab w:val="left" w:pos="567"/>
        </w:tabs>
        <w:ind w:left="0" w:right="65"/>
      </w:pPr>
    </w:p>
    <w:p w14:paraId="0C87006F" w14:textId="77777777" w:rsidR="005B3D0E" w:rsidRPr="00466B97" w:rsidRDefault="005B3D0E" w:rsidP="002026AD">
      <w:pPr>
        <w:pStyle w:val="Ttulo1"/>
        <w:rPr>
          <w:color w:val="auto"/>
        </w:rPr>
      </w:pPr>
      <w:r w:rsidRPr="00466B97">
        <w:rPr>
          <w:color w:val="auto"/>
        </w:rPr>
        <w:t>Sobre el uso del Fondo de Asistencia Legal de Víctimas</w:t>
      </w:r>
    </w:p>
    <w:p w14:paraId="322849BD" w14:textId="77777777" w:rsidR="005B3D0E" w:rsidRPr="008575A3" w:rsidRDefault="005B3D0E" w:rsidP="002026AD"/>
    <w:p w14:paraId="3AA06D1B" w14:textId="0BA50F2D" w:rsidR="00E33950" w:rsidRDefault="005B3D0E" w:rsidP="002026AD">
      <w:pPr>
        <w:pStyle w:val="Prrafodelista"/>
        <w:widowControl w:val="0"/>
        <w:numPr>
          <w:ilvl w:val="0"/>
          <w:numId w:val="20"/>
        </w:numPr>
        <w:tabs>
          <w:tab w:val="clear" w:pos="720"/>
          <w:tab w:val="clear" w:pos="810"/>
        </w:tabs>
        <w:autoSpaceDE/>
        <w:autoSpaceDN/>
        <w:adjustRightInd/>
        <w:ind w:left="0" w:right="65" w:firstLine="0"/>
      </w:pPr>
      <w:r w:rsidRPr="00E826C9">
        <w:t xml:space="preserve">Mediante comunicaciones de </w:t>
      </w:r>
      <w:r w:rsidRPr="00466B97">
        <w:t xml:space="preserve">1 de octubre de 2021, la Secretaría, </w:t>
      </w:r>
      <w:r w:rsidR="00E33950">
        <w:t>por</w:t>
      </w:r>
      <w:r w:rsidRPr="00466B97">
        <w:t xml:space="preserve"> instrucciones de la</w:t>
      </w:r>
      <w:r w:rsidR="00466B97">
        <w:t xml:space="preserve"> entonces</w:t>
      </w:r>
      <w:r w:rsidRPr="00466B97">
        <w:t xml:space="preserve"> Presiden</w:t>
      </w:r>
      <w:r w:rsidR="00466B97">
        <w:t>ta de la Corte</w:t>
      </w:r>
      <w:r w:rsidRPr="00466B97">
        <w:t xml:space="preserve">, informó que era procedente la solicitud de las presuntas víctimas de acogerse al Fondo de Asistencia Legal de Víctimas </w:t>
      </w:r>
      <w:r w:rsidRPr="00E826C9">
        <w:t>(</w:t>
      </w:r>
      <w:r w:rsidRPr="00466B97">
        <w:rPr>
          <w:i/>
        </w:rPr>
        <w:t>supra</w:t>
      </w:r>
      <w:r w:rsidR="00466B97">
        <w:t xml:space="preserve"> Visto 3). S</w:t>
      </w:r>
      <w:r w:rsidRPr="00E826C9">
        <w:t xml:space="preserve">egún se indicó en </w:t>
      </w:r>
      <w:r w:rsidR="00466B97">
        <w:t>esa</w:t>
      </w:r>
      <w:r w:rsidRPr="00E826C9">
        <w:t xml:space="preserve"> oportunidad, se otorgaría el apoyo económico necesario, con cargo al Fondo, para solventar los gastos derivados de la tramitación de este proceso</w:t>
      </w:r>
      <w:r w:rsidR="005F5576">
        <w:t xml:space="preserve"> y se indicó además que, “[e]l monto, destino y objeto específicos de dicha asistencia ser[</w:t>
      </w:r>
      <w:proofErr w:type="spellStart"/>
      <w:r w:rsidR="005F5576">
        <w:t>ía</w:t>
      </w:r>
      <w:proofErr w:type="spellEnd"/>
      <w:r w:rsidR="005F5576">
        <w:t>]n precisados en el momento procesal oportuno”</w:t>
      </w:r>
      <w:r w:rsidRPr="00E826C9">
        <w:t xml:space="preserve">. </w:t>
      </w:r>
    </w:p>
    <w:p w14:paraId="3D53BC60" w14:textId="77777777" w:rsidR="00E33950" w:rsidRDefault="00E33950" w:rsidP="002026AD">
      <w:pPr>
        <w:pStyle w:val="Prrafodelista"/>
        <w:widowControl w:val="0"/>
        <w:tabs>
          <w:tab w:val="clear" w:pos="720"/>
          <w:tab w:val="clear" w:pos="810"/>
        </w:tabs>
        <w:autoSpaceDE/>
        <w:autoSpaceDN/>
        <w:adjustRightInd/>
        <w:ind w:left="0" w:right="65"/>
      </w:pPr>
    </w:p>
    <w:p w14:paraId="75CBC086" w14:textId="170CC4DD" w:rsidR="00DB5F4D" w:rsidRDefault="00466B97" w:rsidP="002026AD">
      <w:pPr>
        <w:pStyle w:val="Prrafodelista"/>
        <w:widowControl w:val="0"/>
        <w:numPr>
          <w:ilvl w:val="0"/>
          <w:numId w:val="20"/>
        </w:numPr>
        <w:tabs>
          <w:tab w:val="clear" w:pos="720"/>
          <w:tab w:val="clear" w:pos="810"/>
        </w:tabs>
        <w:autoSpaceDE/>
        <w:autoSpaceDN/>
        <w:adjustRightInd/>
        <w:ind w:left="0" w:right="65" w:firstLine="0"/>
      </w:pPr>
      <w:r>
        <w:t>Por</w:t>
      </w:r>
      <w:r w:rsidR="005B3D0E" w:rsidRPr="00E826C9">
        <w:t xml:space="preserve"> lo anterior, </w:t>
      </w:r>
      <w:r w:rsidR="00E33950">
        <w:t>teniendo</w:t>
      </w:r>
      <w:r w:rsidR="00E33950" w:rsidRPr="00E33950">
        <w:t xml:space="preserve"> en cuenta que la </w:t>
      </w:r>
      <w:r w:rsidR="00E33950">
        <w:t xml:space="preserve">diligencia de recepción de dos testimonios de presuntas víctimas </w:t>
      </w:r>
      <w:r w:rsidR="0038658A" w:rsidRPr="000E1EBE">
        <w:t>se realizará</w:t>
      </w:r>
      <w:r w:rsidR="00E33950" w:rsidRPr="000E1EBE">
        <w:t xml:space="preserve"> de forma virtual</w:t>
      </w:r>
      <w:r w:rsidR="00E33950">
        <w:t xml:space="preserve"> (</w:t>
      </w:r>
      <w:r w:rsidR="00E33950" w:rsidRPr="00E33950">
        <w:rPr>
          <w:i/>
        </w:rPr>
        <w:t>supra</w:t>
      </w:r>
      <w:r w:rsidR="00E33950">
        <w:t xml:space="preserve"> párr. 1</w:t>
      </w:r>
      <w:r w:rsidR="007F477B">
        <w:t>3</w:t>
      </w:r>
      <w:r w:rsidR="00E33950">
        <w:t>)</w:t>
      </w:r>
      <w:r w:rsidR="00E33950" w:rsidRPr="00E33950">
        <w:t xml:space="preserve">, esta Presidencia dispone que la asistencia económica </w:t>
      </w:r>
      <w:r w:rsidR="00E33950">
        <w:t>sea</w:t>
      </w:r>
      <w:r w:rsidR="00E33950" w:rsidRPr="00E33950">
        <w:t xml:space="preserve"> asignada para cubrir </w:t>
      </w:r>
      <w:r w:rsidR="005B3D0E" w:rsidRPr="00E826C9">
        <w:t xml:space="preserve">los gastos razonables </w:t>
      </w:r>
      <w:r w:rsidR="00421F39">
        <w:t>de</w:t>
      </w:r>
      <w:r w:rsidR="005B3D0E" w:rsidRPr="00E826C9">
        <w:t xml:space="preserve"> </w:t>
      </w:r>
      <w:r w:rsidR="00421F39">
        <w:t>formalización</w:t>
      </w:r>
      <w:r w:rsidR="005B3D0E" w:rsidRPr="00E826C9">
        <w:t xml:space="preserve"> y en</w:t>
      </w:r>
      <w:r>
        <w:t xml:space="preserve">vío de </w:t>
      </w:r>
      <w:r w:rsidR="005F5576">
        <w:t xml:space="preserve">un máximo de cinco de las </w:t>
      </w:r>
      <w:r>
        <w:t xml:space="preserve">declaraciones por </w:t>
      </w:r>
      <w:r>
        <w:lastRenderedPageBreak/>
        <w:t>af</w:t>
      </w:r>
      <w:r w:rsidR="005B3D0E" w:rsidRPr="00E826C9">
        <w:t xml:space="preserve">idávit de </w:t>
      </w:r>
      <w:r w:rsidR="005B3D0E">
        <w:t xml:space="preserve">las presuntas víctimas, </w:t>
      </w:r>
      <w:r w:rsidR="0038658A">
        <w:t xml:space="preserve">testigos y peritos </w:t>
      </w:r>
      <w:r>
        <w:t>propuesto</w:t>
      </w:r>
      <w:r w:rsidR="0038658A">
        <w:t>s</w:t>
      </w:r>
      <w:r>
        <w:t xml:space="preserve"> por los representantes</w:t>
      </w:r>
      <w:r w:rsidR="004548EB">
        <w:t>,</w:t>
      </w:r>
      <w:r w:rsidR="005F5576">
        <w:t xml:space="preserve"> según sea determinado por </w:t>
      </w:r>
      <w:r w:rsidR="004548EB">
        <w:t>estos</w:t>
      </w:r>
      <w:r w:rsidR="005F5576">
        <w:rPr>
          <w:rStyle w:val="Refdenotaalpie"/>
        </w:rPr>
        <w:footnoteReference w:id="7"/>
      </w:r>
      <w:r w:rsidR="005B3D0E" w:rsidRPr="00E826C9">
        <w:t>. Para el efecto, en el plazo dispuesto en la parte r</w:t>
      </w:r>
      <w:r w:rsidR="005B3D0E">
        <w:t>esolutiva, los</w:t>
      </w:r>
      <w:r w:rsidR="005B3D0E" w:rsidRPr="00E826C9">
        <w:t xml:space="preserve"> representante</w:t>
      </w:r>
      <w:r w:rsidR="005B3D0E">
        <w:t>s</w:t>
      </w:r>
      <w:r w:rsidR="005B3D0E" w:rsidRPr="00E826C9">
        <w:t xml:space="preserve"> deberá</w:t>
      </w:r>
      <w:r w:rsidR="005B3D0E">
        <w:t>n</w:t>
      </w:r>
      <w:r w:rsidR="005B3D0E" w:rsidRPr="00E826C9">
        <w:t xml:space="preserve"> remitir al Tribunal una cotización </w:t>
      </w:r>
      <w:r w:rsidR="00421F39">
        <w:t>de los gastos en que incurrirán</w:t>
      </w:r>
      <w:r w:rsidR="0038658A">
        <w:t>,</w:t>
      </w:r>
      <w:r w:rsidR="00421F39">
        <w:t xml:space="preserve"> </w:t>
      </w:r>
      <w:r w:rsidR="00E33950">
        <w:t>en dólares d</w:t>
      </w:r>
      <w:r w:rsidR="000A5F00">
        <w:t>e los Estados Unidos de América</w:t>
      </w:r>
      <w:r w:rsidR="00FA760B">
        <w:t>,</w:t>
      </w:r>
      <w:r w:rsidR="005F5576">
        <w:t xml:space="preserve"> indicando el nombre de los declarantes cuyo afidávit será cubierto por el Fondo de Asistencia</w:t>
      </w:r>
      <w:r w:rsidR="00E33950">
        <w:t xml:space="preserve"> </w:t>
      </w:r>
      <w:r w:rsidR="005B3D0E" w:rsidRPr="00E826C9">
        <w:t>y, a más tardar con los alegatos finales escritos, presentar los comprobantes que acrediten los gastos efect</w:t>
      </w:r>
      <w:r w:rsidR="005B3D0E">
        <w:t>uados (</w:t>
      </w:r>
      <w:r w:rsidR="005B3D0E" w:rsidRPr="00E33950">
        <w:rPr>
          <w:i/>
        </w:rPr>
        <w:t>infra</w:t>
      </w:r>
      <w:r w:rsidR="005B3D0E">
        <w:t xml:space="preserve"> punto resolutivo </w:t>
      </w:r>
      <w:r w:rsidR="007D2669">
        <w:t>7</w:t>
      </w:r>
      <w:r w:rsidR="005B3D0E" w:rsidRPr="00E826C9">
        <w:t xml:space="preserve">). </w:t>
      </w:r>
      <w:r w:rsidR="00DB5F4D">
        <w:t xml:space="preserve">Los representantes, al remitir la </w:t>
      </w:r>
      <w:r w:rsidR="000A5F00">
        <w:t>respectiva cotización,</w:t>
      </w:r>
      <w:r w:rsidR="00DB5F4D">
        <w:t xml:space="preserve"> deberán </w:t>
      </w:r>
      <w:r w:rsidR="00DB5F4D" w:rsidRPr="00DB5F4D">
        <w:t xml:space="preserve">establecer el criterio de referencia utilizado para </w:t>
      </w:r>
      <w:r w:rsidR="00FA760B">
        <w:t>definir</w:t>
      </w:r>
      <w:r w:rsidR="00DB5F4D">
        <w:t xml:space="preserve"> </w:t>
      </w:r>
      <w:r w:rsidR="0038658A">
        <w:t xml:space="preserve">los valores que sean indicados </w:t>
      </w:r>
      <w:r w:rsidR="00DB5F4D">
        <w:t xml:space="preserve">a la Corte. </w:t>
      </w:r>
    </w:p>
    <w:p w14:paraId="7AC063A6" w14:textId="77777777" w:rsidR="005B3D0E" w:rsidRPr="00E826C9" w:rsidRDefault="005B3D0E" w:rsidP="002026AD">
      <w:pPr>
        <w:pStyle w:val="Prrafodelista"/>
      </w:pPr>
    </w:p>
    <w:p w14:paraId="41BBDBDA" w14:textId="301F9EA3" w:rsidR="005B3D0E" w:rsidRDefault="005B3D0E" w:rsidP="002026AD">
      <w:pPr>
        <w:pStyle w:val="Prrafodelista"/>
        <w:widowControl w:val="0"/>
        <w:numPr>
          <w:ilvl w:val="0"/>
          <w:numId w:val="20"/>
        </w:numPr>
        <w:tabs>
          <w:tab w:val="clear" w:pos="720"/>
          <w:tab w:val="clear" w:pos="810"/>
        </w:tabs>
        <w:autoSpaceDE/>
        <w:autoSpaceDN/>
        <w:adjustRightInd/>
        <w:ind w:left="0" w:right="65" w:firstLine="0"/>
      </w:pPr>
      <w:r w:rsidRPr="00E826C9">
        <w:t xml:space="preserve">De conformidad con lo previsto en el artículo 4 del Reglamento de la Corte sobre el Funcionamiento del Fondo, se dispone que la Secretaría abra un expediente de gastos a fines de llevar la contabilidad, en el </w:t>
      </w:r>
      <w:r w:rsidR="00623CA1">
        <w:t>que</w:t>
      </w:r>
      <w:r w:rsidRPr="00E826C9">
        <w:t xml:space="preserve"> se documentará cada una de las erogaciones que realice el referido Fondo. </w:t>
      </w:r>
    </w:p>
    <w:p w14:paraId="5EEE2079" w14:textId="77777777" w:rsidR="005B3D0E" w:rsidRPr="00E826C9" w:rsidRDefault="005B3D0E" w:rsidP="002026AD">
      <w:pPr>
        <w:pStyle w:val="Prrafodelista"/>
      </w:pPr>
    </w:p>
    <w:p w14:paraId="70609978" w14:textId="16BCEF44" w:rsidR="005B3D0E" w:rsidRPr="00E826C9" w:rsidRDefault="005B3D0E" w:rsidP="002026AD">
      <w:pPr>
        <w:pStyle w:val="Prrafodelista"/>
        <w:widowControl w:val="0"/>
        <w:numPr>
          <w:ilvl w:val="0"/>
          <w:numId w:val="20"/>
        </w:numPr>
        <w:tabs>
          <w:tab w:val="clear" w:pos="720"/>
          <w:tab w:val="clear" w:pos="810"/>
        </w:tabs>
        <w:autoSpaceDE/>
        <w:autoSpaceDN/>
        <w:adjustRightInd/>
        <w:ind w:left="0" w:right="65" w:firstLine="0"/>
      </w:pPr>
      <w:r w:rsidRPr="00E826C9">
        <w:t xml:space="preserve">Por último, </w:t>
      </w:r>
      <w:r w:rsidR="000A5F00">
        <w:t>esta</w:t>
      </w:r>
      <w:r w:rsidRPr="00E826C9">
        <w:t xml:space="preserve"> Presidencia recuerda que, </w:t>
      </w:r>
      <w:r w:rsidR="000A5F00">
        <w:t>de acuerdo con</w:t>
      </w:r>
      <w:r w:rsidRPr="00E826C9">
        <w:t xml:space="preserve"> el artículo 5 del Reglamento de la Corte sobre el Funcionamiento del Fondo, se informará oportunamente al Estado</w:t>
      </w:r>
      <w:r w:rsidR="00623CA1">
        <w:t xml:space="preserve"> sobre</w:t>
      </w:r>
      <w:r w:rsidRPr="00E826C9">
        <w:t xml:space="preserve"> las erogaciones realizadas en aplicación del Fondo de Asistencia Legal de Víctimas, para que presente sus observaciones, si así lo estimare conveniente, dentro del plazo que se establezca </w:t>
      </w:r>
      <w:r w:rsidR="000A5F00">
        <w:t>para tal</w:t>
      </w:r>
      <w:r w:rsidRPr="00E826C9">
        <w:t xml:space="preserve"> efecto.</w:t>
      </w:r>
    </w:p>
    <w:p w14:paraId="44EC96CA" w14:textId="77777777" w:rsidR="005B3D0E" w:rsidRDefault="005B3D0E" w:rsidP="002026AD">
      <w:pPr>
        <w:pStyle w:val="Prrafodelista"/>
        <w:widowControl w:val="0"/>
        <w:ind w:left="0" w:right="65"/>
      </w:pPr>
    </w:p>
    <w:p w14:paraId="704D5476" w14:textId="77777777" w:rsidR="00560889" w:rsidRPr="00596A47" w:rsidRDefault="009B6EF5" w:rsidP="002026AD">
      <w:pPr>
        <w:rPr>
          <w:b/>
        </w:rPr>
      </w:pPr>
      <w:r w:rsidRPr="00596A47">
        <w:rPr>
          <w:b/>
        </w:rPr>
        <w:t>POR TANTO</w:t>
      </w:r>
    </w:p>
    <w:p w14:paraId="61AE1E8A" w14:textId="77777777" w:rsidR="009B6EF5" w:rsidRPr="00596A47" w:rsidRDefault="009B6EF5" w:rsidP="002026AD">
      <w:pPr>
        <w:rPr>
          <w:b/>
        </w:rPr>
      </w:pPr>
    </w:p>
    <w:p w14:paraId="6FD66EB8" w14:textId="4447B77C" w:rsidR="009B6EF5" w:rsidRPr="00596A47" w:rsidRDefault="00D4222D" w:rsidP="002026AD">
      <w:pPr>
        <w:rPr>
          <w:b/>
        </w:rPr>
      </w:pPr>
      <w:r w:rsidRPr="00596A47">
        <w:rPr>
          <w:b/>
        </w:rPr>
        <w:t>EL PRESIDENTE</w:t>
      </w:r>
      <w:r w:rsidR="009B6EF5" w:rsidRPr="00596A47">
        <w:rPr>
          <w:b/>
        </w:rPr>
        <w:t xml:space="preserve"> DE LA CORTE INTERAMERICANA DE DERECHOS HUMANOS</w:t>
      </w:r>
    </w:p>
    <w:p w14:paraId="106279D7" w14:textId="77777777" w:rsidR="00835B03" w:rsidRDefault="00835B03" w:rsidP="002026AD"/>
    <w:p w14:paraId="2CE8DD49" w14:textId="20BDD321" w:rsidR="00835B03" w:rsidRPr="00C3555B" w:rsidRDefault="00835B03" w:rsidP="002026AD">
      <w:r w:rsidRPr="00C3555B">
        <w:rPr>
          <w:spacing w:val="1"/>
        </w:rPr>
        <w:t>d</w:t>
      </w:r>
      <w:r w:rsidRPr="00C3555B">
        <w:t>e</w:t>
      </w:r>
      <w:r w:rsidRPr="00C3555B">
        <w:rPr>
          <w:spacing w:val="-3"/>
        </w:rPr>
        <w:t xml:space="preserve"> </w:t>
      </w:r>
      <w:r w:rsidRPr="00C3555B">
        <w:rPr>
          <w:spacing w:val="1"/>
        </w:rPr>
        <w:t>c</w:t>
      </w:r>
      <w:r w:rsidRPr="00C3555B">
        <w:rPr>
          <w:spacing w:val="-1"/>
        </w:rPr>
        <w:t>o</w:t>
      </w:r>
      <w:r w:rsidRPr="00C3555B">
        <w:rPr>
          <w:spacing w:val="1"/>
        </w:rPr>
        <w:t>n</w:t>
      </w:r>
      <w:r w:rsidRPr="00C3555B">
        <w:t>f</w:t>
      </w:r>
      <w:r w:rsidRPr="00C3555B">
        <w:rPr>
          <w:spacing w:val="1"/>
        </w:rPr>
        <w:t>o</w:t>
      </w:r>
      <w:r w:rsidRPr="00C3555B">
        <w:rPr>
          <w:spacing w:val="-1"/>
        </w:rPr>
        <w:t>r</w:t>
      </w:r>
      <w:r w:rsidRPr="00C3555B">
        <w:t>m</w:t>
      </w:r>
      <w:r w:rsidRPr="00C3555B">
        <w:rPr>
          <w:spacing w:val="3"/>
        </w:rPr>
        <w:t>i</w:t>
      </w:r>
      <w:r w:rsidRPr="00C3555B">
        <w:rPr>
          <w:spacing w:val="1"/>
        </w:rPr>
        <w:t>d</w:t>
      </w:r>
      <w:r w:rsidRPr="00C3555B">
        <w:t>ad</w:t>
      </w:r>
      <w:r w:rsidRPr="00C3555B">
        <w:rPr>
          <w:spacing w:val="-12"/>
        </w:rPr>
        <w:t xml:space="preserve"> </w:t>
      </w:r>
      <w:r w:rsidRPr="00C3555B">
        <w:rPr>
          <w:spacing w:val="-1"/>
        </w:rPr>
        <w:t>co</w:t>
      </w:r>
      <w:r w:rsidRPr="00C3555B">
        <w:t>n</w:t>
      </w:r>
      <w:r w:rsidRPr="00C3555B">
        <w:rPr>
          <w:spacing w:val="-3"/>
        </w:rPr>
        <w:t xml:space="preserve"> </w:t>
      </w:r>
      <w:r w:rsidRPr="00C3555B">
        <w:rPr>
          <w:spacing w:val="2"/>
        </w:rPr>
        <w:t>l</w:t>
      </w:r>
      <w:r w:rsidRPr="00C3555B">
        <w:rPr>
          <w:spacing w:val="-1"/>
        </w:rPr>
        <w:t>o</w:t>
      </w:r>
      <w:r w:rsidRPr="00C3555B">
        <w:t>s</w:t>
      </w:r>
      <w:r w:rsidRPr="00C3555B">
        <w:rPr>
          <w:spacing w:val="-2"/>
        </w:rPr>
        <w:t xml:space="preserve"> </w:t>
      </w:r>
      <w:r w:rsidRPr="00C3555B">
        <w:t>a</w:t>
      </w:r>
      <w:r w:rsidRPr="00C3555B">
        <w:rPr>
          <w:spacing w:val="-1"/>
        </w:rPr>
        <w:t>r</w:t>
      </w:r>
      <w:r w:rsidRPr="00C3555B">
        <w:rPr>
          <w:spacing w:val="1"/>
        </w:rPr>
        <w:t>t</w:t>
      </w:r>
      <w:r w:rsidRPr="00C3555B">
        <w:rPr>
          <w:spacing w:val="3"/>
        </w:rPr>
        <w:t>í</w:t>
      </w:r>
      <w:r w:rsidRPr="00C3555B">
        <w:t>c</w:t>
      </w:r>
      <w:r w:rsidRPr="00C3555B">
        <w:rPr>
          <w:spacing w:val="-2"/>
        </w:rPr>
        <w:t>u</w:t>
      </w:r>
      <w:r w:rsidRPr="00C3555B">
        <w:rPr>
          <w:spacing w:val="3"/>
        </w:rPr>
        <w:t>l</w:t>
      </w:r>
      <w:r w:rsidRPr="00C3555B">
        <w:rPr>
          <w:spacing w:val="-1"/>
        </w:rPr>
        <w:t>o</w:t>
      </w:r>
      <w:r w:rsidRPr="00C3555B">
        <w:t>s</w:t>
      </w:r>
      <w:r w:rsidRPr="00C3555B">
        <w:rPr>
          <w:spacing w:val="-9"/>
        </w:rPr>
        <w:t xml:space="preserve"> </w:t>
      </w:r>
      <w:r w:rsidRPr="00C3555B">
        <w:t>2</w:t>
      </w:r>
      <w:r w:rsidRPr="00C3555B">
        <w:rPr>
          <w:spacing w:val="1"/>
        </w:rPr>
        <w:t>4</w:t>
      </w:r>
      <w:r w:rsidRPr="00C3555B">
        <w:t>.1</w:t>
      </w:r>
      <w:r w:rsidRPr="00C3555B">
        <w:rPr>
          <w:spacing w:val="-4"/>
        </w:rPr>
        <w:t xml:space="preserve"> </w:t>
      </w:r>
      <w:r w:rsidRPr="00C3555B">
        <w:t>y</w:t>
      </w:r>
      <w:r w:rsidRPr="00C3555B">
        <w:rPr>
          <w:spacing w:val="-2"/>
        </w:rPr>
        <w:t xml:space="preserve"> </w:t>
      </w:r>
      <w:r w:rsidRPr="00C3555B">
        <w:t>2</w:t>
      </w:r>
      <w:r w:rsidRPr="00C3555B">
        <w:rPr>
          <w:spacing w:val="1"/>
        </w:rPr>
        <w:t>5</w:t>
      </w:r>
      <w:r w:rsidRPr="00C3555B">
        <w:t>.2</w:t>
      </w:r>
      <w:r w:rsidRPr="00C3555B">
        <w:rPr>
          <w:spacing w:val="-5"/>
        </w:rPr>
        <w:t xml:space="preserve"> </w:t>
      </w:r>
      <w:r w:rsidRPr="00C3555B">
        <w:rPr>
          <w:spacing w:val="2"/>
        </w:rPr>
        <w:t>d</w:t>
      </w:r>
      <w:r w:rsidRPr="00C3555B">
        <w:rPr>
          <w:spacing w:val="1"/>
        </w:rPr>
        <w:t>e</w:t>
      </w:r>
      <w:r w:rsidRPr="00C3555B">
        <w:t>l</w:t>
      </w:r>
      <w:r w:rsidRPr="00C3555B">
        <w:rPr>
          <w:spacing w:val="-1"/>
        </w:rPr>
        <w:t xml:space="preserve"> </w:t>
      </w:r>
      <w:r w:rsidRPr="00C3555B">
        <w:rPr>
          <w:spacing w:val="-2"/>
        </w:rPr>
        <w:t>E</w:t>
      </w:r>
      <w:r w:rsidRPr="00C3555B">
        <w:t>sta</w:t>
      </w:r>
      <w:r w:rsidRPr="00C3555B">
        <w:rPr>
          <w:spacing w:val="1"/>
        </w:rPr>
        <w:t>tut</w:t>
      </w:r>
      <w:r w:rsidRPr="00C3555B">
        <w:t>o</w:t>
      </w:r>
      <w:r w:rsidRPr="00C3555B">
        <w:rPr>
          <w:spacing w:val="-9"/>
        </w:rPr>
        <w:t xml:space="preserve"> </w:t>
      </w:r>
      <w:r w:rsidRPr="00C3555B">
        <w:t>de</w:t>
      </w:r>
      <w:r w:rsidRPr="00C3555B">
        <w:rPr>
          <w:spacing w:val="-3"/>
        </w:rPr>
        <w:t xml:space="preserve"> </w:t>
      </w:r>
      <w:r w:rsidRPr="00C3555B">
        <w:rPr>
          <w:spacing w:val="2"/>
        </w:rPr>
        <w:t>l</w:t>
      </w:r>
      <w:r w:rsidRPr="00C3555B">
        <w:t>a</w:t>
      </w:r>
      <w:r w:rsidRPr="00C3555B">
        <w:rPr>
          <w:spacing w:val="-2"/>
        </w:rPr>
        <w:t xml:space="preserve"> </w:t>
      </w:r>
      <w:r w:rsidRPr="00C3555B">
        <w:t>C</w:t>
      </w:r>
      <w:r w:rsidRPr="00C3555B">
        <w:rPr>
          <w:spacing w:val="1"/>
        </w:rPr>
        <w:t>o</w:t>
      </w:r>
      <w:r w:rsidRPr="00C3555B">
        <w:rPr>
          <w:spacing w:val="-1"/>
        </w:rPr>
        <w:t>r</w:t>
      </w:r>
      <w:r w:rsidRPr="00C3555B">
        <w:rPr>
          <w:spacing w:val="1"/>
        </w:rPr>
        <w:t>t</w:t>
      </w:r>
      <w:r w:rsidRPr="00C3555B">
        <w:t>e</w:t>
      </w:r>
      <w:r w:rsidRPr="00C3555B">
        <w:rPr>
          <w:spacing w:val="-4"/>
        </w:rPr>
        <w:t xml:space="preserve"> </w:t>
      </w:r>
      <w:r w:rsidRPr="00C3555B">
        <w:t>y</w:t>
      </w:r>
      <w:r w:rsidRPr="00C3555B">
        <w:rPr>
          <w:spacing w:val="-1"/>
        </w:rPr>
        <w:t xml:space="preserve"> </w:t>
      </w:r>
      <w:r w:rsidRPr="00C3555B">
        <w:t>c</w:t>
      </w:r>
      <w:r w:rsidRPr="00C3555B">
        <w:rPr>
          <w:spacing w:val="-2"/>
        </w:rPr>
        <w:t>o</w:t>
      </w:r>
      <w:r w:rsidRPr="00C3555B">
        <w:t>n</w:t>
      </w:r>
      <w:r w:rsidRPr="00C3555B">
        <w:rPr>
          <w:spacing w:val="-3"/>
        </w:rPr>
        <w:t xml:space="preserve"> </w:t>
      </w:r>
      <w:r w:rsidRPr="00C3555B">
        <w:rPr>
          <w:spacing w:val="2"/>
        </w:rPr>
        <w:t>l</w:t>
      </w:r>
      <w:r w:rsidRPr="00C3555B">
        <w:rPr>
          <w:spacing w:val="-1"/>
        </w:rPr>
        <w:t>o</w:t>
      </w:r>
      <w:r w:rsidRPr="00C3555B">
        <w:t>s</w:t>
      </w:r>
      <w:r w:rsidRPr="00C3555B">
        <w:rPr>
          <w:spacing w:val="-4"/>
        </w:rPr>
        <w:t xml:space="preserve"> </w:t>
      </w:r>
      <w:r w:rsidRPr="00C3555B">
        <w:rPr>
          <w:spacing w:val="2"/>
        </w:rPr>
        <w:t>a</w:t>
      </w:r>
      <w:r w:rsidRPr="00C3555B">
        <w:rPr>
          <w:spacing w:val="-1"/>
        </w:rPr>
        <w:t>r</w:t>
      </w:r>
      <w:r w:rsidRPr="00C3555B">
        <w:rPr>
          <w:spacing w:val="1"/>
        </w:rPr>
        <w:t>t</w:t>
      </w:r>
      <w:r w:rsidRPr="00C3555B">
        <w:rPr>
          <w:spacing w:val="3"/>
        </w:rPr>
        <w:t>í</w:t>
      </w:r>
      <w:r w:rsidRPr="00C3555B">
        <w:t>cu</w:t>
      </w:r>
      <w:r w:rsidRPr="00C3555B">
        <w:rPr>
          <w:spacing w:val="3"/>
        </w:rPr>
        <w:t>l</w:t>
      </w:r>
      <w:r w:rsidRPr="00C3555B">
        <w:rPr>
          <w:spacing w:val="-1"/>
        </w:rPr>
        <w:t>o</w:t>
      </w:r>
      <w:r w:rsidRPr="00C3555B">
        <w:t>s</w:t>
      </w:r>
      <w:r w:rsidRPr="00C3555B">
        <w:rPr>
          <w:spacing w:val="-9"/>
        </w:rPr>
        <w:t xml:space="preserve"> </w:t>
      </w:r>
      <w:r w:rsidRPr="00C3555B">
        <w:t>4, 1</w:t>
      </w:r>
      <w:r w:rsidRPr="00C3555B">
        <w:rPr>
          <w:spacing w:val="1"/>
        </w:rPr>
        <w:t>5</w:t>
      </w:r>
      <w:r w:rsidRPr="00C3555B">
        <w:t>.1,</w:t>
      </w:r>
      <w:r w:rsidRPr="00C3555B">
        <w:rPr>
          <w:spacing w:val="-6"/>
        </w:rPr>
        <w:t xml:space="preserve"> </w:t>
      </w:r>
      <w:r w:rsidRPr="00C3555B">
        <w:t>2</w:t>
      </w:r>
      <w:r w:rsidRPr="00C3555B">
        <w:rPr>
          <w:spacing w:val="1"/>
        </w:rPr>
        <w:t>6</w:t>
      </w:r>
      <w:r w:rsidRPr="00C3555B">
        <w:t>.1,</w:t>
      </w:r>
      <w:r w:rsidRPr="00C3555B">
        <w:rPr>
          <w:spacing w:val="-4"/>
        </w:rPr>
        <w:t xml:space="preserve"> </w:t>
      </w:r>
      <w:r w:rsidRPr="00C3555B">
        <w:t>31.2,</w:t>
      </w:r>
      <w:r w:rsidRPr="00C3555B">
        <w:rPr>
          <w:spacing w:val="-3"/>
        </w:rPr>
        <w:t xml:space="preserve"> </w:t>
      </w:r>
      <w:r w:rsidRPr="00C3555B">
        <w:t>35.1,</w:t>
      </w:r>
      <w:r w:rsidRPr="00C3555B">
        <w:rPr>
          <w:spacing w:val="-1"/>
        </w:rPr>
        <w:t xml:space="preserve"> </w:t>
      </w:r>
      <w:r w:rsidRPr="00C3555B">
        <w:t>4</w:t>
      </w:r>
      <w:r w:rsidRPr="00C3555B">
        <w:rPr>
          <w:spacing w:val="1"/>
        </w:rPr>
        <w:t>0</w:t>
      </w:r>
      <w:r w:rsidRPr="00C3555B">
        <w:t>.2,</w:t>
      </w:r>
      <w:r w:rsidRPr="00C3555B">
        <w:rPr>
          <w:spacing w:val="-6"/>
        </w:rPr>
        <w:t xml:space="preserve"> </w:t>
      </w:r>
      <w:r w:rsidRPr="00C3555B">
        <w:t>4</w:t>
      </w:r>
      <w:r w:rsidRPr="00C3555B">
        <w:rPr>
          <w:spacing w:val="1"/>
        </w:rPr>
        <w:t>1</w:t>
      </w:r>
      <w:r w:rsidRPr="00C3555B">
        <w:t>.1,</w:t>
      </w:r>
      <w:r w:rsidRPr="00C3555B">
        <w:rPr>
          <w:spacing w:val="-4"/>
        </w:rPr>
        <w:t xml:space="preserve"> </w:t>
      </w:r>
      <w:r w:rsidRPr="00C3555B">
        <w:t>45</w:t>
      </w:r>
      <w:r w:rsidRPr="00C3555B">
        <w:rPr>
          <w:spacing w:val="-3"/>
        </w:rPr>
        <w:t xml:space="preserve"> </w:t>
      </w:r>
      <w:r w:rsidRPr="00C3555B">
        <w:t>a</w:t>
      </w:r>
      <w:r w:rsidRPr="00C3555B">
        <w:rPr>
          <w:spacing w:val="-1"/>
        </w:rPr>
        <w:t xml:space="preserve"> </w:t>
      </w:r>
      <w:r w:rsidRPr="00C3555B">
        <w:t>4</w:t>
      </w:r>
      <w:r w:rsidRPr="00C3555B">
        <w:rPr>
          <w:spacing w:val="3"/>
        </w:rPr>
        <w:t>8</w:t>
      </w:r>
      <w:r w:rsidRPr="00C3555B">
        <w:t>,</w:t>
      </w:r>
      <w:r w:rsidRPr="00C3555B">
        <w:rPr>
          <w:spacing w:val="-4"/>
        </w:rPr>
        <w:t xml:space="preserve"> </w:t>
      </w:r>
      <w:r w:rsidRPr="00C3555B">
        <w:t>50</w:t>
      </w:r>
      <w:r w:rsidRPr="00C3555B">
        <w:rPr>
          <w:spacing w:val="-1"/>
        </w:rPr>
        <w:t xml:space="preserve"> </w:t>
      </w:r>
      <w:r w:rsidRPr="00C3555B">
        <w:t>a</w:t>
      </w:r>
      <w:r w:rsidRPr="00C3555B">
        <w:rPr>
          <w:spacing w:val="-1"/>
        </w:rPr>
        <w:t xml:space="preserve"> </w:t>
      </w:r>
      <w:r w:rsidRPr="00C3555B">
        <w:t>56</w:t>
      </w:r>
      <w:r w:rsidR="0093779B" w:rsidRPr="00C3555B">
        <w:t>, 58</w:t>
      </w:r>
      <w:r w:rsidRPr="00C3555B">
        <w:rPr>
          <w:spacing w:val="-3"/>
        </w:rPr>
        <w:t xml:space="preserve"> </w:t>
      </w:r>
      <w:r w:rsidRPr="00C3555B">
        <w:t>y</w:t>
      </w:r>
      <w:r w:rsidRPr="00C3555B">
        <w:rPr>
          <w:spacing w:val="-2"/>
        </w:rPr>
        <w:t xml:space="preserve"> </w:t>
      </w:r>
      <w:r w:rsidRPr="00C3555B">
        <w:t>60 d</w:t>
      </w:r>
      <w:r w:rsidRPr="00C3555B">
        <w:rPr>
          <w:spacing w:val="-1"/>
        </w:rPr>
        <w:t>e</w:t>
      </w:r>
      <w:r w:rsidRPr="00C3555B">
        <w:t>l</w:t>
      </w:r>
      <w:r w:rsidRPr="00C3555B">
        <w:rPr>
          <w:spacing w:val="-1"/>
        </w:rPr>
        <w:t xml:space="preserve"> </w:t>
      </w:r>
      <w:r w:rsidRPr="00C3555B">
        <w:t>R</w:t>
      </w:r>
      <w:r w:rsidRPr="00C3555B">
        <w:rPr>
          <w:spacing w:val="-1"/>
        </w:rPr>
        <w:t>e</w:t>
      </w:r>
      <w:r w:rsidRPr="00C3555B">
        <w:rPr>
          <w:spacing w:val="1"/>
        </w:rPr>
        <w:t>g</w:t>
      </w:r>
      <w:r w:rsidRPr="00C3555B">
        <w:rPr>
          <w:spacing w:val="3"/>
        </w:rPr>
        <w:t>l</w:t>
      </w:r>
      <w:r w:rsidRPr="00C3555B">
        <w:t>a</w:t>
      </w:r>
      <w:r w:rsidRPr="00C3555B">
        <w:rPr>
          <w:spacing w:val="1"/>
        </w:rPr>
        <w:t>m</w:t>
      </w:r>
      <w:r w:rsidRPr="00C3555B">
        <w:rPr>
          <w:spacing w:val="-1"/>
        </w:rPr>
        <w:t>e</w:t>
      </w:r>
      <w:r w:rsidRPr="00C3555B">
        <w:rPr>
          <w:spacing w:val="1"/>
        </w:rPr>
        <w:t>nt</w:t>
      </w:r>
      <w:r w:rsidRPr="00C3555B">
        <w:rPr>
          <w:spacing w:val="-1"/>
        </w:rPr>
        <w:t>o</w:t>
      </w:r>
      <w:r w:rsidRPr="00C3555B">
        <w:t>,</w:t>
      </w:r>
    </w:p>
    <w:p w14:paraId="7C7E0B7D" w14:textId="77777777" w:rsidR="00835B03" w:rsidRPr="00C3555B" w:rsidRDefault="00835B03" w:rsidP="002026AD"/>
    <w:p w14:paraId="0A8BAFAD" w14:textId="1C8F1E3C" w:rsidR="00835B03" w:rsidRPr="00C3555B" w:rsidRDefault="00835B03" w:rsidP="002026AD">
      <w:pPr>
        <w:rPr>
          <w:b/>
        </w:rPr>
      </w:pPr>
      <w:r w:rsidRPr="00C3555B">
        <w:rPr>
          <w:b/>
        </w:rPr>
        <w:t>RESUELVE</w:t>
      </w:r>
      <w:r w:rsidR="00CD2E13" w:rsidRPr="00C3555B">
        <w:rPr>
          <w:b/>
        </w:rPr>
        <w:t xml:space="preserve"> </w:t>
      </w:r>
    </w:p>
    <w:p w14:paraId="2BDF3DAA" w14:textId="77777777" w:rsidR="00835B03" w:rsidRPr="00C3555B" w:rsidRDefault="00835B03" w:rsidP="002026AD"/>
    <w:p w14:paraId="5E6D4D0E" w14:textId="2AA023AA" w:rsidR="00F24818" w:rsidRPr="00C3555B" w:rsidRDefault="00F24818" w:rsidP="002026AD">
      <w:pPr>
        <w:pStyle w:val="Prrafodelista"/>
        <w:numPr>
          <w:ilvl w:val="0"/>
          <w:numId w:val="17"/>
        </w:numPr>
        <w:tabs>
          <w:tab w:val="clear" w:pos="720"/>
          <w:tab w:val="clear" w:pos="810"/>
          <w:tab w:val="left" w:pos="567"/>
        </w:tabs>
        <w:ind w:left="0" w:firstLine="0"/>
      </w:pPr>
      <w:r w:rsidRPr="00C3555B">
        <w:t xml:space="preserve">Convocar al Estado de Paraguay, a los representantes y a la Comisión Interamericana de Derechos Humanos a una diligencia </w:t>
      </w:r>
      <w:r w:rsidR="00C3555B" w:rsidRPr="00C3555B">
        <w:t>pública</w:t>
      </w:r>
      <w:r w:rsidR="005324A2" w:rsidRPr="00C3555B">
        <w:t xml:space="preserve"> </w:t>
      </w:r>
      <w:r w:rsidR="00E7243C" w:rsidRPr="00C3555B">
        <w:t xml:space="preserve">virtual </w:t>
      </w:r>
      <w:r w:rsidRPr="00C3555B">
        <w:t xml:space="preserve">que se celebrará </w:t>
      </w:r>
      <w:r w:rsidR="005324A2" w:rsidRPr="00C3555B">
        <w:t>el día 2</w:t>
      </w:r>
      <w:r w:rsidR="006B7D8F" w:rsidRPr="00C3555B">
        <w:t>5</w:t>
      </w:r>
      <w:r w:rsidR="005324A2" w:rsidRPr="00C3555B">
        <w:t xml:space="preserve"> marzo de 2022 a partir de las </w:t>
      </w:r>
      <w:r w:rsidR="00050BDB">
        <w:t>08</w:t>
      </w:r>
      <w:r w:rsidR="005324A2" w:rsidRPr="00C3555B">
        <w:t>:00 horas</w:t>
      </w:r>
      <w:r w:rsidR="00C3555B" w:rsidRPr="00C3555B">
        <w:t xml:space="preserve"> de Costa Rica</w:t>
      </w:r>
      <w:r w:rsidR="005324A2" w:rsidRPr="00C3555B">
        <w:t xml:space="preserve">, </w:t>
      </w:r>
      <w:r w:rsidRPr="00C3555B">
        <w:t xml:space="preserve">durante el </w:t>
      </w:r>
      <w:r w:rsidR="005324A2" w:rsidRPr="00C3555B">
        <w:t xml:space="preserve">147 </w:t>
      </w:r>
      <w:r w:rsidRPr="00C3555B">
        <w:t>Período Ordinario de Sesiones</w:t>
      </w:r>
      <w:r w:rsidR="005324A2" w:rsidRPr="00C3555B">
        <w:t xml:space="preserve">, </w:t>
      </w:r>
      <w:r w:rsidRPr="00C3555B">
        <w:t>para recibir las declaraciones de las siguientes personas:</w:t>
      </w:r>
    </w:p>
    <w:p w14:paraId="6CDA34F3" w14:textId="77777777" w:rsidR="00835B03" w:rsidRPr="00C3555B" w:rsidRDefault="00835B03" w:rsidP="002026AD">
      <w:pPr>
        <w:pStyle w:val="Prrafodelista"/>
        <w:numPr>
          <w:ilvl w:val="0"/>
          <w:numId w:val="6"/>
        </w:numPr>
      </w:pPr>
    </w:p>
    <w:p w14:paraId="66F102C6" w14:textId="72918BF3" w:rsidR="00F420AD" w:rsidRPr="00C3555B" w:rsidRDefault="00F420AD" w:rsidP="002026AD">
      <w:pPr>
        <w:pStyle w:val="Ttulo1"/>
        <w:numPr>
          <w:ilvl w:val="0"/>
          <w:numId w:val="18"/>
        </w:numPr>
      </w:pPr>
      <w:r w:rsidRPr="00C3555B">
        <w:t>Presunta</w:t>
      </w:r>
      <w:r w:rsidR="00F24818" w:rsidRPr="00C3555B">
        <w:t>s</w:t>
      </w:r>
      <w:r w:rsidRPr="00C3555B">
        <w:t xml:space="preserve"> víctima</w:t>
      </w:r>
      <w:r w:rsidR="00F24818" w:rsidRPr="00C3555B">
        <w:t>s</w:t>
      </w:r>
      <w:r w:rsidR="00034089" w:rsidRPr="00C3555B">
        <w:t>,</w:t>
      </w:r>
      <w:r w:rsidR="00FC308A" w:rsidRPr="00C3555B">
        <w:t xml:space="preserve"> </w:t>
      </w:r>
      <w:r w:rsidR="00FC308A" w:rsidRPr="00C3555B">
        <w:rPr>
          <w:i/>
        </w:rPr>
        <w:t>propuesta por los representantes</w:t>
      </w:r>
    </w:p>
    <w:p w14:paraId="7AE641C3" w14:textId="77777777" w:rsidR="007237F8" w:rsidRPr="00C3555B" w:rsidRDefault="007237F8" w:rsidP="002026AD"/>
    <w:p w14:paraId="50A34474" w14:textId="42781D58" w:rsidR="00F24818" w:rsidRPr="00C3555B" w:rsidRDefault="00F24818" w:rsidP="002026AD">
      <w:pPr>
        <w:pStyle w:val="Prrafodelista"/>
        <w:numPr>
          <w:ilvl w:val="0"/>
          <w:numId w:val="13"/>
        </w:numPr>
        <w:tabs>
          <w:tab w:val="clear" w:pos="720"/>
          <w:tab w:val="left" w:pos="851"/>
        </w:tabs>
        <w:ind w:left="1134" w:hanging="283"/>
      </w:pPr>
      <w:r w:rsidRPr="00C3555B">
        <w:rPr>
          <w:i/>
        </w:rPr>
        <w:t>Ana María Margarita Morra Viuda de Leguizamón</w:t>
      </w:r>
      <w:r w:rsidRPr="00C3555B">
        <w:t xml:space="preserve">, </w:t>
      </w:r>
      <w:r w:rsidR="00C04D18" w:rsidRPr="00C3555B">
        <w:t xml:space="preserve">esposa </w:t>
      </w:r>
      <w:r w:rsidRPr="00C3555B">
        <w:t>de Santiago Leguizamón</w:t>
      </w:r>
      <w:r w:rsidR="00C04D18" w:rsidRPr="00C3555B">
        <w:t xml:space="preserve"> </w:t>
      </w:r>
      <w:proofErr w:type="spellStart"/>
      <w:r w:rsidR="00C04D18" w:rsidRPr="00C3555B">
        <w:t>Zaván</w:t>
      </w:r>
      <w:proofErr w:type="spellEnd"/>
      <w:r w:rsidRPr="00C3555B">
        <w:t xml:space="preserve">, a fin de que declare sobre el trabajo </w:t>
      </w:r>
      <w:r w:rsidR="00C04D18" w:rsidRPr="00C3555B">
        <w:t xml:space="preserve">del señor Leguizamón </w:t>
      </w:r>
      <w:proofErr w:type="spellStart"/>
      <w:r w:rsidR="00C04D18" w:rsidRPr="00C3555B">
        <w:t>Zaván</w:t>
      </w:r>
      <w:proofErr w:type="spellEnd"/>
      <w:r w:rsidR="00C04D18" w:rsidRPr="00C3555B">
        <w:t xml:space="preserve"> y</w:t>
      </w:r>
      <w:r w:rsidRPr="00C3555B">
        <w:t xml:space="preserve"> las </w:t>
      </w:r>
      <w:r w:rsidR="00C04D18" w:rsidRPr="00C3555B">
        <w:t xml:space="preserve">alegadas </w:t>
      </w:r>
      <w:r w:rsidRPr="00C3555B">
        <w:t>presiones, amenazas y falta de protección estatal</w:t>
      </w:r>
      <w:r w:rsidR="005324A2" w:rsidRPr="00C3555B">
        <w:t xml:space="preserve"> de las que habría sido víctima</w:t>
      </w:r>
      <w:r w:rsidRPr="00C3555B">
        <w:t xml:space="preserve">. También </w:t>
      </w:r>
      <w:r w:rsidR="00034089" w:rsidRPr="00C3555B">
        <w:t>se referirá a</w:t>
      </w:r>
      <w:r w:rsidRPr="00C3555B">
        <w:t xml:space="preserve"> la investigación penal</w:t>
      </w:r>
      <w:r w:rsidR="00034089" w:rsidRPr="00C3555B">
        <w:t xml:space="preserve">, </w:t>
      </w:r>
      <w:r w:rsidRPr="00C3555B">
        <w:t xml:space="preserve">la </w:t>
      </w:r>
      <w:r w:rsidR="00C04D18" w:rsidRPr="00C3555B">
        <w:t xml:space="preserve">alegada </w:t>
      </w:r>
      <w:r w:rsidR="00B848D0" w:rsidRPr="00C3555B">
        <w:t xml:space="preserve">situación de </w:t>
      </w:r>
      <w:r w:rsidRPr="00C3555B">
        <w:t>impunidad</w:t>
      </w:r>
      <w:r w:rsidR="00034089" w:rsidRPr="00C3555B">
        <w:t xml:space="preserve"> </w:t>
      </w:r>
      <w:r w:rsidR="00B848D0" w:rsidRPr="00C3555B">
        <w:t xml:space="preserve">del homicidio del señor Leguizamón </w:t>
      </w:r>
      <w:proofErr w:type="spellStart"/>
      <w:r w:rsidR="00B848D0" w:rsidRPr="00C3555B">
        <w:t>Zaván</w:t>
      </w:r>
      <w:proofErr w:type="spellEnd"/>
      <w:r w:rsidR="00B848D0" w:rsidRPr="00C3555B">
        <w:t xml:space="preserve"> </w:t>
      </w:r>
      <w:r w:rsidR="00034089" w:rsidRPr="00C3555B">
        <w:t>y</w:t>
      </w:r>
      <w:r w:rsidRPr="00C3555B">
        <w:t xml:space="preserve"> </w:t>
      </w:r>
      <w:r w:rsidR="00C04D18" w:rsidRPr="00C3555B">
        <w:t>los</w:t>
      </w:r>
      <w:r w:rsidRPr="00C3555B">
        <w:t xml:space="preserve"> impactos </w:t>
      </w:r>
      <w:r w:rsidR="00C04D18" w:rsidRPr="00C3555B">
        <w:t>de esta última en su vida familiar</w:t>
      </w:r>
      <w:r w:rsidR="002C6451" w:rsidRPr="00C3555B">
        <w:rPr>
          <w:bCs/>
        </w:rPr>
        <w:t>.</w:t>
      </w:r>
    </w:p>
    <w:p w14:paraId="20DA91FA" w14:textId="77777777" w:rsidR="002C6451" w:rsidRPr="00C3555B" w:rsidRDefault="002C6451" w:rsidP="002026AD">
      <w:pPr>
        <w:pStyle w:val="Prrafodelista"/>
        <w:tabs>
          <w:tab w:val="clear" w:pos="720"/>
          <w:tab w:val="left" w:pos="851"/>
        </w:tabs>
        <w:ind w:left="1134" w:hanging="283"/>
      </w:pPr>
    </w:p>
    <w:p w14:paraId="46B6D159" w14:textId="323B69E5" w:rsidR="00F24818" w:rsidRPr="00C3555B" w:rsidRDefault="00C04D18" w:rsidP="002026AD">
      <w:pPr>
        <w:pStyle w:val="Prrafodelista"/>
        <w:numPr>
          <w:ilvl w:val="0"/>
          <w:numId w:val="13"/>
        </w:numPr>
        <w:tabs>
          <w:tab w:val="clear" w:pos="720"/>
          <w:tab w:val="left" w:pos="851"/>
        </w:tabs>
        <w:ind w:left="1134" w:hanging="283"/>
      </w:pPr>
      <w:r w:rsidRPr="00C3555B">
        <w:rPr>
          <w:i/>
        </w:rPr>
        <w:t xml:space="preserve">Dante </w:t>
      </w:r>
      <w:r w:rsidR="00F24818" w:rsidRPr="00C3555B">
        <w:rPr>
          <w:i/>
        </w:rPr>
        <w:t>Ariel Leguizamón Morra</w:t>
      </w:r>
      <w:r w:rsidR="00F24818" w:rsidRPr="00C3555B">
        <w:t>, hijo de Santiago Leguizamón</w:t>
      </w:r>
      <w:r w:rsidRPr="00C3555B">
        <w:t xml:space="preserve"> </w:t>
      </w:r>
      <w:proofErr w:type="spellStart"/>
      <w:r w:rsidRPr="00C3555B">
        <w:t>Zaván</w:t>
      </w:r>
      <w:proofErr w:type="spellEnd"/>
      <w:r w:rsidR="00F24818" w:rsidRPr="00C3555B">
        <w:t xml:space="preserve">, a fin de que declare sobre </w:t>
      </w:r>
      <w:r w:rsidR="00F51065" w:rsidRPr="00C3555B">
        <w:t>los efectos del homicidio de su padre en su vida personal y familiar</w:t>
      </w:r>
      <w:r w:rsidR="00F24818" w:rsidRPr="00C3555B">
        <w:t xml:space="preserve">. Asimismo, </w:t>
      </w:r>
      <w:r w:rsidRPr="00C3555B">
        <w:t xml:space="preserve">se referirá a la alegada </w:t>
      </w:r>
      <w:r w:rsidR="00F24818" w:rsidRPr="00C3555B">
        <w:t xml:space="preserve">situación de impunidad </w:t>
      </w:r>
      <w:r w:rsidR="002F0741" w:rsidRPr="00C3555B">
        <w:t xml:space="preserve">del </w:t>
      </w:r>
      <w:r w:rsidR="002F0741" w:rsidRPr="00C3555B">
        <w:lastRenderedPageBreak/>
        <w:t xml:space="preserve">homicidio de su padre </w:t>
      </w:r>
      <w:r w:rsidR="00F24818" w:rsidRPr="00C3555B">
        <w:t>y</w:t>
      </w:r>
      <w:r w:rsidRPr="00C3555B">
        <w:t xml:space="preserve"> los alegados </w:t>
      </w:r>
      <w:r w:rsidR="00F24818" w:rsidRPr="00C3555B">
        <w:t xml:space="preserve">impactos </w:t>
      </w:r>
      <w:r w:rsidRPr="00C3555B">
        <w:t xml:space="preserve">de ésta </w:t>
      </w:r>
      <w:r w:rsidR="00F24818" w:rsidRPr="00C3555B">
        <w:t>en la libertad de expresión en Paraguay y en Amambay.</w:t>
      </w:r>
      <w:r w:rsidR="002120EA" w:rsidRPr="00C3555B">
        <w:t xml:space="preserve"> </w:t>
      </w:r>
    </w:p>
    <w:p w14:paraId="1F069C30" w14:textId="07CD6D27" w:rsidR="00835B03" w:rsidRPr="00C3555B" w:rsidRDefault="00835B03" w:rsidP="002026AD"/>
    <w:p w14:paraId="476B0E08" w14:textId="762E76DB" w:rsidR="005372FA" w:rsidRPr="00C3555B" w:rsidRDefault="005372FA" w:rsidP="002026AD">
      <w:pPr>
        <w:pStyle w:val="Prrafodelista"/>
        <w:numPr>
          <w:ilvl w:val="0"/>
          <w:numId w:val="17"/>
        </w:numPr>
        <w:tabs>
          <w:tab w:val="clear" w:pos="720"/>
          <w:tab w:val="clear" w:pos="810"/>
          <w:tab w:val="left" w:pos="567"/>
        </w:tabs>
        <w:ind w:left="0" w:firstLine="0"/>
      </w:pPr>
      <w:r w:rsidRPr="00C3555B">
        <w:t xml:space="preserve">Requerir, por las razones expuestas en la presente Resolución, de conformidad con el principio de economía procesal y de la facultad que le otorga el artículo 50.1 del Reglamento de la Corte, que las siguientes personas presenten sus </w:t>
      </w:r>
      <w:r w:rsidR="00C04D18" w:rsidRPr="00C3555B">
        <w:t xml:space="preserve">declaraciones </w:t>
      </w:r>
      <w:r w:rsidRPr="00C3555B">
        <w:t>ante fedatario público (afidávit):</w:t>
      </w:r>
    </w:p>
    <w:p w14:paraId="6700DEE8" w14:textId="5EBE1BB0" w:rsidR="00FC308A" w:rsidRPr="00C3555B" w:rsidRDefault="00FC308A" w:rsidP="002026AD"/>
    <w:p w14:paraId="3323E266" w14:textId="58CE94D3" w:rsidR="00FC308A" w:rsidRPr="00C3555B" w:rsidRDefault="00FC308A" w:rsidP="002026AD">
      <w:pPr>
        <w:pStyle w:val="Ttulo1"/>
      </w:pPr>
      <w:r w:rsidRPr="00C3555B">
        <w:t>Presuntas víctimas</w:t>
      </w:r>
      <w:r w:rsidR="002C6451" w:rsidRPr="00C3555B">
        <w:t xml:space="preserve">, </w:t>
      </w:r>
      <w:r w:rsidRPr="00C3555B">
        <w:rPr>
          <w:i/>
        </w:rPr>
        <w:t>propuestas por los representantes</w:t>
      </w:r>
    </w:p>
    <w:p w14:paraId="779240F3" w14:textId="77777777" w:rsidR="002C6451" w:rsidRPr="00C3555B" w:rsidRDefault="002C6451" w:rsidP="002026AD">
      <w:pPr>
        <w:pStyle w:val="Prrafodelista"/>
      </w:pPr>
    </w:p>
    <w:p w14:paraId="4E7FEB5D" w14:textId="7DD3E969" w:rsidR="00FC308A" w:rsidRPr="00C3555B" w:rsidRDefault="002120EA" w:rsidP="002026AD">
      <w:pPr>
        <w:pStyle w:val="Prrafodelista"/>
        <w:numPr>
          <w:ilvl w:val="0"/>
          <w:numId w:val="21"/>
        </w:numPr>
        <w:ind w:left="1134"/>
      </w:pPr>
      <w:r w:rsidRPr="00C3555B">
        <w:rPr>
          <w:i/>
        </w:rPr>
        <w:t>María Raquel Leguizamón Morra</w:t>
      </w:r>
      <w:r w:rsidRPr="00C3555B">
        <w:t>,</w:t>
      </w:r>
      <w:r w:rsidR="00226FBA" w:rsidRPr="00C3555B">
        <w:t xml:space="preserve"> </w:t>
      </w:r>
      <w:r w:rsidR="00FA760B" w:rsidRPr="00C3555B">
        <w:rPr>
          <w:i/>
        </w:rPr>
        <w:t>Sebastián</w:t>
      </w:r>
      <w:r w:rsidR="00226FBA" w:rsidRPr="00C3555B">
        <w:rPr>
          <w:i/>
        </w:rPr>
        <w:t xml:space="preserve"> Leguizamón Morra </w:t>
      </w:r>
      <w:r w:rsidR="0002567D" w:rsidRPr="00C3555B">
        <w:rPr>
          <w:i/>
        </w:rPr>
        <w:t xml:space="preserve">y </w:t>
      </w:r>
      <w:r w:rsidR="0002567D" w:rsidRPr="00C3555B">
        <w:t>Fernando</w:t>
      </w:r>
      <w:r w:rsidR="00226FBA" w:rsidRPr="00C3555B">
        <w:rPr>
          <w:i/>
        </w:rPr>
        <w:t xml:space="preserve"> Javier Leguizamón Morra,</w:t>
      </w:r>
      <w:r w:rsidR="00226FBA" w:rsidRPr="00C3555B">
        <w:t xml:space="preserve"> </w:t>
      </w:r>
      <w:r w:rsidRPr="00C3555B">
        <w:t>hija</w:t>
      </w:r>
      <w:r w:rsidR="00226FBA" w:rsidRPr="00C3555B">
        <w:t xml:space="preserve"> e hijos</w:t>
      </w:r>
      <w:r w:rsidRPr="00C3555B">
        <w:t xml:space="preserve"> de Santiago Leguizamón</w:t>
      </w:r>
      <w:r w:rsidR="00034089" w:rsidRPr="00C3555B">
        <w:t xml:space="preserve"> </w:t>
      </w:r>
      <w:proofErr w:type="spellStart"/>
      <w:r w:rsidR="00034089" w:rsidRPr="00C3555B">
        <w:t>Zaván</w:t>
      </w:r>
      <w:proofErr w:type="spellEnd"/>
      <w:r w:rsidRPr="00C3555B">
        <w:t>, a fin de que declare</w:t>
      </w:r>
      <w:r w:rsidR="00226FBA" w:rsidRPr="00C3555B">
        <w:t>n</w:t>
      </w:r>
      <w:r w:rsidR="0002567D" w:rsidRPr="00C3555B">
        <w:t>,</w:t>
      </w:r>
      <w:r w:rsidRPr="00C3555B">
        <w:t xml:space="preserve"> </w:t>
      </w:r>
      <w:r w:rsidR="00226FBA" w:rsidRPr="00C3555B">
        <w:t>cada uno</w:t>
      </w:r>
      <w:r w:rsidR="0002567D" w:rsidRPr="00C3555B">
        <w:t>,</w:t>
      </w:r>
      <w:r w:rsidR="00226FBA" w:rsidRPr="00C3555B">
        <w:t xml:space="preserve"> </w:t>
      </w:r>
      <w:r w:rsidRPr="00C3555B">
        <w:t>sobre</w:t>
      </w:r>
      <w:r w:rsidR="00F51065" w:rsidRPr="00C3555B">
        <w:t xml:space="preserve"> los </w:t>
      </w:r>
      <w:r w:rsidR="00F13C8F" w:rsidRPr="00C3555B">
        <w:t>alegados impactos</w:t>
      </w:r>
      <w:r w:rsidR="00F51065" w:rsidRPr="00C3555B">
        <w:t xml:space="preserve"> del homicidio de su padre en su vida personal y familiar</w:t>
      </w:r>
      <w:r w:rsidR="00F13C8F" w:rsidRPr="00C3555B">
        <w:t xml:space="preserve"> y sobre</w:t>
      </w:r>
      <w:r w:rsidRPr="00C3555B">
        <w:t xml:space="preserve"> los impactos </w:t>
      </w:r>
      <w:r w:rsidR="000A5F00" w:rsidRPr="00C3555B">
        <w:t xml:space="preserve">de </w:t>
      </w:r>
      <w:r w:rsidRPr="00C3555B">
        <w:t>la</w:t>
      </w:r>
      <w:r w:rsidR="00C04D18" w:rsidRPr="00C3555B">
        <w:t xml:space="preserve"> alegada</w:t>
      </w:r>
      <w:r w:rsidRPr="00C3555B">
        <w:t xml:space="preserve"> impunidad </w:t>
      </w:r>
      <w:r w:rsidR="00F13C8F" w:rsidRPr="00C3555B">
        <w:t xml:space="preserve">en la investigación </w:t>
      </w:r>
      <w:r w:rsidR="002F0741" w:rsidRPr="00C3555B">
        <w:t xml:space="preserve">del </w:t>
      </w:r>
      <w:r w:rsidR="00F13C8F" w:rsidRPr="00C3555B">
        <w:t xml:space="preserve">homicidio del señor Leguizamón </w:t>
      </w:r>
      <w:proofErr w:type="spellStart"/>
      <w:r w:rsidR="00F13C8F" w:rsidRPr="00C3555B">
        <w:t>Zaván</w:t>
      </w:r>
      <w:proofErr w:type="spellEnd"/>
      <w:r w:rsidR="002F0741" w:rsidRPr="00C3555B">
        <w:t xml:space="preserve"> </w:t>
      </w:r>
      <w:r w:rsidRPr="00C3555B">
        <w:t>en su</w:t>
      </w:r>
      <w:r w:rsidR="00226FBA" w:rsidRPr="00C3555B">
        <w:t>s</w:t>
      </w:r>
      <w:r w:rsidRPr="00C3555B">
        <w:t xml:space="preserve"> vida</w:t>
      </w:r>
      <w:r w:rsidR="00226FBA" w:rsidRPr="00C3555B">
        <w:t>s</w:t>
      </w:r>
      <w:r w:rsidRPr="00C3555B">
        <w:t xml:space="preserve">. </w:t>
      </w:r>
    </w:p>
    <w:p w14:paraId="079A6557" w14:textId="77777777" w:rsidR="00961DE3" w:rsidRPr="00C3555B" w:rsidRDefault="00961DE3" w:rsidP="002026AD">
      <w:pPr>
        <w:pStyle w:val="Prrafodelista"/>
        <w:numPr>
          <w:ilvl w:val="0"/>
          <w:numId w:val="6"/>
        </w:numPr>
        <w:ind w:left="1134" w:hanging="283"/>
      </w:pPr>
    </w:p>
    <w:p w14:paraId="1C752089" w14:textId="5694A1F7" w:rsidR="00FC308A" w:rsidRPr="00C3555B" w:rsidRDefault="002120EA" w:rsidP="002026AD">
      <w:pPr>
        <w:pStyle w:val="Ttulo1"/>
      </w:pPr>
      <w:r w:rsidRPr="00C3555B">
        <w:t>Testigos</w:t>
      </w:r>
      <w:r w:rsidR="002C6451" w:rsidRPr="00C3555B">
        <w:t xml:space="preserve">, </w:t>
      </w:r>
      <w:r w:rsidRPr="00C3555B">
        <w:rPr>
          <w:i/>
        </w:rPr>
        <w:t>propuestos por los representantes</w:t>
      </w:r>
    </w:p>
    <w:p w14:paraId="546DE1C3" w14:textId="77777777" w:rsidR="00FC308A" w:rsidRPr="00C3555B" w:rsidRDefault="00FC308A" w:rsidP="002026AD">
      <w:pPr>
        <w:ind w:left="1134" w:hanging="283"/>
      </w:pPr>
    </w:p>
    <w:p w14:paraId="7C5A7DF4" w14:textId="492E811D" w:rsidR="009C3C93" w:rsidRPr="00C3555B" w:rsidRDefault="009C3C93" w:rsidP="002026AD">
      <w:pPr>
        <w:pStyle w:val="Prrafodelista"/>
        <w:numPr>
          <w:ilvl w:val="0"/>
          <w:numId w:val="13"/>
        </w:numPr>
        <w:ind w:left="1134" w:hanging="283"/>
      </w:pPr>
      <w:r w:rsidRPr="00C3555B">
        <w:rPr>
          <w:i/>
        </w:rPr>
        <w:t>Andrés Colman Gutiérrez</w:t>
      </w:r>
      <w:r w:rsidRPr="00C3555B">
        <w:t>,</w:t>
      </w:r>
      <w:r w:rsidR="003244DD" w:rsidRPr="00C3555B">
        <w:t xml:space="preserve"> </w:t>
      </w:r>
      <w:r w:rsidR="009035ED" w:rsidRPr="00C3555B">
        <w:t xml:space="preserve">abordará </w:t>
      </w:r>
      <w:r w:rsidRPr="00C3555B">
        <w:t>el c</w:t>
      </w:r>
      <w:r w:rsidR="009035ED" w:rsidRPr="00C3555B">
        <w:t>ontexto d</w:t>
      </w:r>
      <w:r w:rsidRPr="00C3555B">
        <w:t xml:space="preserve">el caso, la situación </w:t>
      </w:r>
      <w:r w:rsidR="000A5F00" w:rsidRPr="00C3555B">
        <w:t>de Paraguay</w:t>
      </w:r>
      <w:r w:rsidRPr="00C3555B">
        <w:t xml:space="preserve"> en </w:t>
      </w:r>
      <w:r w:rsidR="000A5F00" w:rsidRPr="00C3555B">
        <w:t>el momento de los hechos</w:t>
      </w:r>
      <w:r w:rsidRPr="00C3555B">
        <w:t xml:space="preserve"> y </w:t>
      </w:r>
      <w:r w:rsidR="003244DD" w:rsidRPr="00C3555B">
        <w:t xml:space="preserve">hará </w:t>
      </w:r>
      <w:r w:rsidR="009035ED" w:rsidRPr="00C3555B">
        <w:t>u</w:t>
      </w:r>
      <w:r w:rsidRPr="00C3555B">
        <w:t xml:space="preserve">n recorrido testimonial </w:t>
      </w:r>
      <w:r w:rsidR="003244DD" w:rsidRPr="00C3555B">
        <w:t xml:space="preserve">sobre las </w:t>
      </w:r>
      <w:r w:rsidR="009035ED" w:rsidRPr="00C3555B">
        <w:t xml:space="preserve">repercusiones </w:t>
      </w:r>
      <w:r w:rsidR="003244DD" w:rsidRPr="00C3555B">
        <w:t>de la alegada</w:t>
      </w:r>
      <w:r w:rsidRPr="00C3555B">
        <w:t xml:space="preserve"> impunidad</w:t>
      </w:r>
      <w:r w:rsidR="000A5F00" w:rsidRPr="00C3555B">
        <w:t xml:space="preserve"> en este caso</w:t>
      </w:r>
      <w:r w:rsidR="009035ED" w:rsidRPr="00C3555B">
        <w:t xml:space="preserve">. </w:t>
      </w:r>
    </w:p>
    <w:p w14:paraId="0920FBBA" w14:textId="181C0C74" w:rsidR="009035ED" w:rsidRPr="00C3555B" w:rsidRDefault="009035ED" w:rsidP="002026AD">
      <w:pPr>
        <w:pStyle w:val="Prrafodelista"/>
        <w:numPr>
          <w:ilvl w:val="0"/>
          <w:numId w:val="13"/>
        </w:numPr>
        <w:ind w:left="1134" w:hanging="283"/>
      </w:pPr>
      <w:r w:rsidRPr="00C3555B">
        <w:rPr>
          <w:i/>
        </w:rPr>
        <w:t>Aníbal Gómez Caballero</w:t>
      </w:r>
      <w:r w:rsidRPr="00C3555B">
        <w:t xml:space="preserve">, testificará sobre el trabajo periodístico radial de Santiago Leguizamón, el contexto de la zona y las </w:t>
      </w:r>
      <w:r w:rsidR="003244DD" w:rsidRPr="00C3555B">
        <w:t xml:space="preserve">alegadas </w:t>
      </w:r>
      <w:r w:rsidRPr="00C3555B">
        <w:t xml:space="preserve">condiciones previas de riesgo en las que ejercían el periodismo. </w:t>
      </w:r>
    </w:p>
    <w:p w14:paraId="5FD167E3" w14:textId="0FC5429A" w:rsidR="009035ED" w:rsidRPr="00C3555B" w:rsidRDefault="009035ED" w:rsidP="002026AD">
      <w:pPr>
        <w:pStyle w:val="Prrafodelista"/>
        <w:numPr>
          <w:ilvl w:val="0"/>
          <w:numId w:val="13"/>
        </w:numPr>
        <w:ind w:left="1134" w:hanging="283"/>
      </w:pPr>
      <w:r w:rsidRPr="00C3555B">
        <w:rPr>
          <w:i/>
        </w:rPr>
        <w:t>Baldomero Cabral</w:t>
      </w:r>
      <w:r w:rsidRPr="00C3555B">
        <w:t xml:space="preserve">, testificará sobre las </w:t>
      </w:r>
      <w:r w:rsidR="003244DD" w:rsidRPr="00C3555B">
        <w:t xml:space="preserve">alegadas </w:t>
      </w:r>
      <w:r w:rsidRPr="00C3555B">
        <w:t xml:space="preserve">condiciones de riesgo en que desempeñaban el trabajo periodístico, el </w:t>
      </w:r>
      <w:r w:rsidR="003244DD" w:rsidRPr="00C3555B">
        <w:t xml:space="preserve">alegado </w:t>
      </w:r>
      <w:r w:rsidRPr="00C3555B">
        <w:t>origen de las amenazas recibidas y sobre las</w:t>
      </w:r>
      <w:r w:rsidR="000A5F00" w:rsidRPr="00C3555B">
        <w:t xml:space="preserve"> alegadas</w:t>
      </w:r>
      <w:r w:rsidRPr="00C3555B">
        <w:t xml:space="preserve"> amenazas y falta de protección debida que sufrió al ser testigo calificado del asesinato de</w:t>
      </w:r>
      <w:r w:rsidR="003244DD" w:rsidRPr="00C3555B">
        <w:t xml:space="preserve">l señor Leguizamón </w:t>
      </w:r>
      <w:proofErr w:type="spellStart"/>
      <w:r w:rsidR="003244DD" w:rsidRPr="00C3555B">
        <w:t>Zaván</w:t>
      </w:r>
      <w:proofErr w:type="spellEnd"/>
      <w:r w:rsidRPr="00C3555B">
        <w:t xml:space="preserve">. </w:t>
      </w:r>
    </w:p>
    <w:p w14:paraId="7F8B5BF5" w14:textId="1D98B848" w:rsidR="009035ED" w:rsidRPr="00C3555B" w:rsidRDefault="009035ED" w:rsidP="002026AD">
      <w:pPr>
        <w:pStyle w:val="Prrafodelista"/>
        <w:numPr>
          <w:ilvl w:val="0"/>
          <w:numId w:val="13"/>
        </w:numPr>
        <w:ind w:left="1134" w:hanging="283"/>
      </w:pPr>
      <w:r w:rsidRPr="00C3555B">
        <w:rPr>
          <w:i/>
        </w:rPr>
        <w:t>Cándido Figueredo</w:t>
      </w:r>
      <w:r w:rsidRPr="00C3555B">
        <w:t xml:space="preserve">, </w:t>
      </w:r>
      <w:r w:rsidR="003244DD" w:rsidRPr="00C3555B">
        <w:t>a</w:t>
      </w:r>
      <w:r w:rsidRPr="00C3555B">
        <w:t>bordará las</w:t>
      </w:r>
      <w:r w:rsidR="003244DD" w:rsidRPr="00C3555B">
        <w:t xml:space="preserve"> alegadas</w:t>
      </w:r>
      <w:r w:rsidRPr="00C3555B">
        <w:t xml:space="preserve"> condiciones de riesgo del ejercicio profesional </w:t>
      </w:r>
      <w:r w:rsidR="002F0741" w:rsidRPr="00C3555B">
        <w:t xml:space="preserve">del periodismo </w:t>
      </w:r>
      <w:r w:rsidRPr="00C3555B">
        <w:t>en la frontera</w:t>
      </w:r>
      <w:r w:rsidR="002F0741" w:rsidRPr="00C3555B">
        <w:t xml:space="preserve"> entre Paraguay y Brasil</w:t>
      </w:r>
      <w:r w:rsidRPr="00C3555B">
        <w:t xml:space="preserve"> y el </w:t>
      </w:r>
      <w:r w:rsidR="003244DD" w:rsidRPr="00C3555B">
        <w:t xml:space="preserve">alegado </w:t>
      </w:r>
      <w:r w:rsidRPr="00C3555B">
        <w:t>impacto del asesinato de Santiago Leguizamón</w:t>
      </w:r>
      <w:r w:rsidR="003244DD" w:rsidRPr="00C3555B">
        <w:t xml:space="preserve"> </w:t>
      </w:r>
      <w:proofErr w:type="spellStart"/>
      <w:r w:rsidR="003244DD" w:rsidRPr="00C3555B">
        <w:t>Zaván</w:t>
      </w:r>
      <w:proofErr w:type="spellEnd"/>
      <w:r w:rsidRPr="00C3555B">
        <w:t xml:space="preserve"> para el ejercicio de la libertad de expresión de los periodistas en el Paraguay y, específicamente, en la región de la frontera norte. </w:t>
      </w:r>
    </w:p>
    <w:p w14:paraId="4C92BC51" w14:textId="27AFF6A6" w:rsidR="009035ED" w:rsidRPr="00C3555B" w:rsidRDefault="009035ED" w:rsidP="002026AD">
      <w:pPr>
        <w:pStyle w:val="Prrafodelista"/>
        <w:numPr>
          <w:ilvl w:val="0"/>
          <w:numId w:val="13"/>
        </w:numPr>
        <w:ind w:left="1134" w:hanging="283"/>
      </w:pPr>
      <w:r w:rsidRPr="00C3555B">
        <w:rPr>
          <w:i/>
        </w:rPr>
        <w:t>Marciano Candia</w:t>
      </w:r>
      <w:r w:rsidR="003244DD" w:rsidRPr="00C3555B">
        <w:rPr>
          <w:i/>
        </w:rPr>
        <w:t xml:space="preserve">, </w:t>
      </w:r>
      <w:r w:rsidR="009F5BC2" w:rsidRPr="00C3555B">
        <w:t>t</w:t>
      </w:r>
      <w:r w:rsidRPr="00C3555B">
        <w:t xml:space="preserve">estificará sobre la </w:t>
      </w:r>
      <w:r w:rsidR="003244DD" w:rsidRPr="00C3555B">
        <w:t xml:space="preserve">alegada </w:t>
      </w:r>
      <w:r w:rsidRPr="00C3555B">
        <w:t>situación de amenazas y riesgo para el ejercicio del periodismo en Amambay luego del asesinato de Santiago Leguizamón y hasta la actualidad.</w:t>
      </w:r>
      <w:r w:rsidR="009F5BC2" w:rsidRPr="00C3555B">
        <w:t xml:space="preserve"> </w:t>
      </w:r>
    </w:p>
    <w:p w14:paraId="344F4AB1" w14:textId="5FB4CE7B" w:rsidR="009035ED" w:rsidRPr="00C3555B" w:rsidRDefault="009F5BC2" w:rsidP="002026AD">
      <w:pPr>
        <w:pStyle w:val="Prrafodelista"/>
        <w:numPr>
          <w:ilvl w:val="0"/>
          <w:numId w:val="13"/>
        </w:numPr>
        <w:ind w:left="1134" w:hanging="283"/>
      </w:pPr>
      <w:r w:rsidRPr="00C3555B">
        <w:rPr>
          <w:i/>
        </w:rPr>
        <w:t>Eder Rivas</w:t>
      </w:r>
      <w:r w:rsidRPr="00C3555B">
        <w:t>, t</w:t>
      </w:r>
      <w:r w:rsidR="009035ED" w:rsidRPr="00C3555B">
        <w:t>estificará sobre cómo se ejerce el periodismo actualmente en Pedro Juan Caballero</w:t>
      </w:r>
      <w:r w:rsidR="003244DD" w:rsidRPr="00C3555B">
        <w:t>,</w:t>
      </w:r>
      <w:r w:rsidR="009035ED" w:rsidRPr="00C3555B">
        <w:t xml:space="preserve"> los </w:t>
      </w:r>
      <w:r w:rsidR="003244DD" w:rsidRPr="00C3555B">
        <w:t xml:space="preserve">alegados </w:t>
      </w:r>
      <w:r w:rsidR="009035ED" w:rsidRPr="00C3555B">
        <w:t>peligros del ejercicio del periodismo en la frontera</w:t>
      </w:r>
      <w:r w:rsidR="002F0741" w:rsidRPr="00C3555B">
        <w:t xml:space="preserve"> norte</w:t>
      </w:r>
      <w:r w:rsidR="009035ED" w:rsidRPr="00C3555B">
        <w:t xml:space="preserve"> y los</w:t>
      </w:r>
      <w:r w:rsidR="003244DD" w:rsidRPr="00C3555B">
        <w:t xml:space="preserve"> alegados</w:t>
      </w:r>
      <w:r w:rsidR="009035ED" w:rsidRPr="00C3555B">
        <w:t xml:space="preserve"> impactos del asesinato de Santiago </w:t>
      </w:r>
      <w:r w:rsidRPr="00C3555B">
        <w:t>Leguizamón</w:t>
      </w:r>
      <w:r w:rsidR="009035ED" w:rsidRPr="00C3555B">
        <w:t xml:space="preserve"> </w:t>
      </w:r>
      <w:proofErr w:type="spellStart"/>
      <w:r w:rsidR="003244DD" w:rsidRPr="00C3555B">
        <w:t>Zaván</w:t>
      </w:r>
      <w:proofErr w:type="spellEnd"/>
      <w:r w:rsidR="003244DD" w:rsidRPr="00C3555B">
        <w:t xml:space="preserve"> </w:t>
      </w:r>
      <w:r w:rsidR="009035ED" w:rsidRPr="00C3555B">
        <w:t xml:space="preserve">y </w:t>
      </w:r>
      <w:r w:rsidR="003244DD" w:rsidRPr="00C3555B">
        <w:t xml:space="preserve">de </w:t>
      </w:r>
      <w:r w:rsidR="009035ED" w:rsidRPr="00C3555B">
        <w:t>otros asesinatos en la zona.</w:t>
      </w:r>
    </w:p>
    <w:p w14:paraId="60F124EB" w14:textId="7A261E3B" w:rsidR="009035ED" w:rsidRPr="00C3555B" w:rsidRDefault="009035ED" w:rsidP="002026AD">
      <w:pPr>
        <w:pStyle w:val="Prrafodelista"/>
        <w:numPr>
          <w:ilvl w:val="0"/>
          <w:numId w:val="13"/>
        </w:numPr>
        <w:ind w:left="1134" w:hanging="283"/>
      </w:pPr>
      <w:r w:rsidRPr="00C3555B">
        <w:rPr>
          <w:i/>
        </w:rPr>
        <w:t>Humberto Rubín</w:t>
      </w:r>
      <w:r w:rsidRPr="00C3555B">
        <w:t xml:space="preserve">, </w:t>
      </w:r>
      <w:r w:rsidR="009F5BC2" w:rsidRPr="00C3555B">
        <w:t>t</w:t>
      </w:r>
      <w:r w:rsidRPr="00C3555B">
        <w:t xml:space="preserve">estificará sobre las </w:t>
      </w:r>
      <w:r w:rsidR="003244DD" w:rsidRPr="00C3555B">
        <w:t xml:space="preserve">alegadas </w:t>
      </w:r>
      <w:r w:rsidRPr="00C3555B">
        <w:t xml:space="preserve">condiciones de riesgo en las que </w:t>
      </w:r>
      <w:r w:rsidR="003244DD" w:rsidRPr="00C3555B">
        <w:t xml:space="preserve">el señor Leguizamón </w:t>
      </w:r>
      <w:proofErr w:type="spellStart"/>
      <w:r w:rsidR="003244DD" w:rsidRPr="00C3555B">
        <w:t>Zaván</w:t>
      </w:r>
      <w:proofErr w:type="spellEnd"/>
      <w:r w:rsidRPr="00C3555B">
        <w:t xml:space="preserve"> se veía </w:t>
      </w:r>
      <w:r w:rsidR="003244DD" w:rsidRPr="00C3555B">
        <w:t xml:space="preserve">obligado </w:t>
      </w:r>
      <w:r w:rsidRPr="00C3555B">
        <w:t>a ejercer la labor periodística y sobre</w:t>
      </w:r>
      <w:r w:rsidR="003244DD" w:rsidRPr="00C3555B">
        <w:t xml:space="preserve"> las alegadas amenazas que recibió</w:t>
      </w:r>
      <w:r w:rsidRPr="00C3555B">
        <w:t>.</w:t>
      </w:r>
    </w:p>
    <w:p w14:paraId="3C5BBD07" w14:textId="69165049" w:rsidR="009035ED" w:rsidRPr="00C3555B" w:rsidRDefault="00961DE3" w:rsidP="002026AD">
      <w:pPr>
        <w:pStyle w:val="Prrafodelista"/>
        <w:numPr>
          <w:ilvl w:val="0"/>
          <w:numId w:val="13"/>
        </w:numPr>
        <w:ind w:left="1134" w:hanging="283"/>
      </w:pPr>
      <w:r w:rsidRPr="00C3555B">
        <w:rPr>
          <w:i/>
        </w:rPr>
        <w:t>Ó</w:t>
      </w:r>
      <w:r w:rsidR="009035ED" w:rsidRPr="00C3555B">
        <w:rPr>
          <w:i/>
        </w:rPr>
        <w:t>scar Acosta</w:t>
      </w:r>
      <w:r w:rsidR="009035ED" w:rsidRPr="00C3555B">
        <w:t xml:space="preserve">, </w:t>
      </w:r>
      <w:r w:rsidR="009F5BC2" w:rsidRPr="00C3555B">
        <w:t>t</w:t>
      </w:r>
      <w:r w:rsidR="009035ED" w:rsidRPr="00C3555B">
        <w:t xml:space="preserve">estificará sobre las conversaciones que mantuvo con </w:t>
      </w:r>
      <w:r w:rsidR="003244DD" w:rsidRPr="00C3555B">
        <w:t xml:space="preserve">el señor Leguizamón </w:t>
      </w:r>
      <w:proofErr w:type="spellStart"/>
      <w:r w:rsidR="003244DD" w:rsidRPr="00C3555B">
        <w:t>Zaván</w:t>
      </w:r>
      <w:proofErr w:type="spellEnd"/>
      <w:r w:rsidR="009035ED" w:rsidRPr="00C3555B">
        <w:t xml:space="preserve"> unos días antes de </w:t>
      </w:r>
      <w:r w:rsidR="003244DD" w:rsidRPr="00C3555B">
        <w:t xml:space="preserve">su </w:t>
      </w:r>
      <w:r w:rsidR="009035ED" w:rsidRPr="00C3555B">
        <w:t xml:space="preserve">muerte, en las que </w:t>
      </w:r>
      <w:r w:rsidR="00E52BD1" w:rsidRPr="00C3555B">
        <w:t>este se habría referido a</w:t>
      </w:r>
      <w:r w:rsidR="009035ED" w:rsidRPr="00C3555B">
        <w:t>l origen de las amenazas que recibía.</w:t>
      </w:r>
      <w:r w:rsidR="009F5BC2" w:rsidRPr="00C3555B">
        <w:t xml:space="preserve"> Asimismo, </w:t>
      </w:r>
      <w:r w:rsidR="00E52BD1" w:rsidRPr="00C3555B">
        <w:t xml:space="preserve">se referirá a la querella interpuesta en su contra </w:t>
      </w:r>
      <w:r w:rsidR="009F5BC2" w:rsidRPr="00C3555B">
        <w:t>c</w:t>
      </w:r>
      <w:r w:rsidR="009035ED" w:rsidRPr="00C3555B">
        <w:t xml:space="preserve">omo consecuencia de sus declaraciones ante </w:t>
      </w:r>
      <w:r w:rsidR="00E52BD1" w:rsidRPr="00C3555B">
        <w:t xml:space="preserve">un </w:t>
      </w:r>
      <w:r w:rsidR="009035ED" w:rsidRPr="00C3555B">
        <w:t>juzgado y en medios de comunicación.</w:t>
      </w:r>
      <w:r w:rsidR="00033A02" w:rsidRPr="00C3555B">
        <w:t xml:space="preserve"> </w:t>
      </w:r>
    </w:p>
    <w:p w14:paraId="266F99CD" w14:textId="5653D420" w:rsidR="009035ED" w:rsidRPr="00C3555B" w:rsidRDefault="009035ED" w:rsidP="002026AD">
      <w:pPr>
        <w:pStyle w:val="Prrafodelista"/>
        <w:numPr>
          <w:ilvl w:val="0"/>
          <w:numId w:val="13"/>
        </w:numPr>
        <w:ind w:left="1134" w:hanging="283"/>
      </w:pPr>
      <w:r w:rsidRPr="00C3555B">
        <w:rPr>
          <w:i/>
        </w:rPr>
        <w:t xml:space="preserve">Mercedes </w:t>
      </w:r>
      <w:proofErr w:type="spellStart"/>
      <w:r w:rsidRPr="00C3555B">
        <w:rPr>
          <w:i/>
        </w:rPr>
        <w:t>Barriocanal</w:t>
      </w:r>
      <w:proofErr w:type="spellEnd"/>
      <w:r w:rsidRPr="00C3555B">
        <w:rPr>
          <w:i/>
        </w:rPr>
        <w:t xml:space="preserve"> </w:t>
      </w:r>
      <w:proofErr w:type="spellStart"/>
      <w:r w:rsidRPr="00C3555B">
        <w:rPr>
          <w:i/>
        </w:rPr>
        <w:t>Perasso</w:t>
      </w:r>
      <w:proofErr w:type="spellEnd"/>
      <w:r w:rsidRPr="00C3555B">
        <w:t xml:space="preserve">, </w:t>
      </w:r>
      <w:r w:rsidR="00E52BD1" w:rsidRPr="00C3555B">
        <w:t xml:space="preserve">testificará sobre las amenazas recibidas en su contra luego del homicidio del señor Leguizamón </w:t>
      </w:r>
      <w:proofErr w:type="spellStart"/>
      <w:r w:rsidR="00E52BD1" w:rsidRPr="00C3555B">
        <w:t>Zaván</w:t>
      </w:r>
      <w:proofErr w:type="spellEnd"/>
      <w:r w:rsidR="00E52BD1" w:rsidRPr="00C3555B">
        <w:t xml:space="preserve">. </w:t>
      </w:r>
      <w:r w:rsidR="009F5BC2" w:rsidRPr="00C3555B">
        <w:t xml:space="preserve">Además, </w:t>
      </w:r>
      <w:r w:rsidRPr="00C3555B">
        <w:t xml:space="preserve">sobre el contexto del ejercicio del periodismo en la región </w:t>
      </w:r>
      <w:r w:rsidR="00E52BD1" w:rsidRPr="00C3555B">
        <w:t xml:space="preserve">en </w:t>
      </w:r>
      <w:r w:rsidRPr="00C3555B">
        <w:t>la época</w:t>
      </w:r>
      <w:r w:rsidR="00E52BD1" w:rsidRPr="00C3555B">
        <w:t xml:space="preserve"> y</w:t>
      </w:r>
      <w:r w:rsidRPr="00C3555B">
        <w:t xml:space="preserve"> sobre el </w:t>
      </w:r>
      <w:r w:rsidR="00E52BD1" w:rsidRPr="00C3555B">
        <w:lastRenderedPageBreak/>
        <w:t xml:space="preserve">alegado </w:t>
      </w:r>
      <w:r w:rsidRPr="00C3555B">
        <w:t>impacto del asesinato de</w:t>
      </w:r>
      <w:r w:rsidR="00E52BD1" w:rsidRPr="00C3555B">
        <w:t xml:space="preserve">l señor </w:t>
      </w:r>
      <w:r w:rsidRPr="00C3555B">
        <w:t xml:space="preserve">Leguizamón </w:t>
      </w:r>
      <w:proofErr w:type="spellStart"/>
      <w:r w:rsidR="00E52BD1" w:rsidRPr="00C3555B">
        <w:t>Zaván</w:t>
      </w:r>
      <w:proofErr w:type="spellEnd"/>
      <w:r w:rsidR="00E52BD1" w:rsidRPr="00C3555B">
        <w:t xml:space="preserve"> </w:t>
      </w:r>
      <w:r w:rsidRPr="00C3555B">
        <w:t>en el ejercicio de la libertad de expresión en Paraguay.</w:t>
      </w:r>
      <w:r w:rsidR="00033A02" w:rsidRPr="00C3555B">
        <w:t xml:space="preserve"> </w:t>
      </w:r>
    </w:p>
    <w:p w14:paraId="226C024D" w14:textId="14978612" w:rsidR="009035ED" w:rsidRPr="00C3555B" w:rsidRDefault="009035ED" w:rsidP="002026AD">
      <w:pPr>
        <w:pStyle w:val="Prrafodelista"/>
        <w:numPr>
          <w:ilvl w:val="0"/>
          <w:numId w:val="13"/>
        </w:numPr>
        <w:ind w:left="1134" w:hanging="283"/>
      </w:pPr>
      <w:proofErr w:type="spellStart"/>
      <w:r w:rsidRPr="00C3555B">
        <w:rPr>
          <w:i/>
        </w:rPr>
        <w:t>Alcibiades</w:t>
      </w:r>
      <w:proofErr w:type="spellEnd"/>
      <w:r w:rsidRPr="00C3555B">
        <w:rPr>
          <w:i/>
        </w:rPr>
        <w:t xml:space="preserve"> González Delvalle</w:t>
      </w:r>
      <w:r w:rsidRPr="00C3555B">
        <w:t xml:space="preserve">, </w:t>
      </w:r>
      <w:r w:rsidR="009F5BC2" w:rsidRPr="00C3555B">
        <w:t>t</w:t>
      </w:r>
      <w:r w:rsidRPr="00C3555B">
        <w:t>estificará sobre el</w:t>
      </w:r>
      <w:r w:rsidR="00E52BD1" w:rsidRPr="00C3555B">
        <w:t xml:space="preserve"> alegado</w:t>
      </w:r>
      <w:r w:rsidRPr="00C3555B">
        <w:t xml:space="preserve"> impacto que tuvo e</w:t>
      </w:r>
      <w:r w:rsidR="005B28CF" w:rsidRPr="00C3555B">
        <w:t>l</w:t>
      </w:r>
      <w:r w:rsidRPr="00C3555B">
        <w:t xml:space="preserve"> asesinato de Santiago Leguizamón, y la</w:t>
      </w:r>
      <w:r w:rsidR="00E52BD1" w:rsidRPr="00C3555B">
        <w:t xml:space="preserve"> alegada</w:t>
      </w:r>
      <w:r w:rsidRPr="00C3555B">
        <w:t xml:space="preserve"> impunidad posterior del caso para el ejercicio del periodismo y de la libertad de expresión en el Paraguay.</w:t>
      </w:r>
    </w:p>
    <w:p w14:paraId="24A0F9A0" w14:textId="07C20BD2" w:rsidR="009035ED" w:rsidRPr="00C3555B" w:rsidRDefault="009035ED" w:rsidP="002026AD">
      <w:pPr>
        <w:pStyle w:val="Prrafodelista"/>
        <w:numPr>
          <w:ilvl w:val="0"/>
          <w:numId w:val="13"/>
        </w:numPr>
        <w:ind w:left="1134" w:hanging="283"/>
      </w:pPr>
      <w:r w:rsidRPr="00C3555B">
        <w:rPr>
          <w:i/>
        </w:rPr>
        <w:t>Santiago Ortiz</w:t>
      </w:r>
      <w:r w:rsidRPr="00C3555B">
        <w:t xml:space="preserve">, </w:t>
      </w:r>
      <w:r w:rsidR="009F5BC2" w:rsidRPr="00C3555B">
        <w:t>t</w:t>
      </w:r>
      <w:r w:rsidRPr="00C3555B">
        <w:t xml:space="preserve">estificará sobre las </w:t>
      </w:r>
      <w:r w:rsidR="00E52BD1" w:rsidRPr="00C3555B">
        <w:t xml:space="preserve">alegadas </w:t>
      </w:r>
      <w:r w:rsidRPr="00C3555B">
        <w:t>dificultades de implementación y la falta de eficacia de las medidas de protección para periodistas en situación de riesgo implementadas por el Estado paraguayo.</w:t>
      </w:r>
    </w:p>
    <w:p w14:paraId="49A87C15" w14:textId="75715DC4" w:rsidR="009035ED" w:rsidRPr="00C3555B" w:rsidRDefault="009035ED" w:rsidP="002026AD">
      <w:pPr>
        <w:pStyle w:val="Prrafodelista"/>
        <w:numPr>
          <w:ilvl w:val="0"/>
          <w:numId w:val="13"/>
        </w:numPr>
        <w:ind w:left="1134" w:hanging="283"/>
      </w:pPr>
      <w:r w:rsidRPr="00C3555B">
        <w:rPr>
          <w:i/>
        </w:rPr>
        <w:t>Noelia Díaz Esquivel</w:t>
      </w:r>
      <w:r w:rsidRPr="00C3555B">
        <w:t xml:space="preserve">, </w:t>
      </w:r>
      <w:r w:rsidR="009F5BC2" w:rsidRPr="00C3555B">
        <w:t>t</w:t>
      </w:r>
      <w:r w:rsidRPr="00C3555B">
        <w:t xml:space="preserve">estificará sobre </w:t>
      </w:r>
      <w:r w:rsidR="00E52BD1" w:rsidRPr="00C3555B">
        <w:t xml:space="preserve">las alegadas </w:t>
      </w:r>
      <w:r w:rsidRPr="00C3555B">
        <w:t xml:space="preserve">situaciones de riesgo que enfrentan las trabajadoras de la prensa por la específica interseccionalidad de sexo y género, así como la </w:t>
      </w:r>
      <w:r w:rsidR="00E52BD1" w:rsidRPr="00C3555B">
        <w:t xml:space="preserve">alegada </w:t>
      </w:r>
      <w:r w:rsidRPr="00C3555B">
        <w:t>falta de adaptabilidad de las medidas de protección para periodistas que se adoptaron en el Paraguay frente a los riesgos específicos que enfrentan las periodistas por razón de género.</w:t>
      </w:r>
      <w:r w:rsidR="00033A02" w:rsidRPr="00C3555B">
        <w:t xml:space="preserve"> </w:t>
      </w:r>
    </w:p>
    <w:p w14:paraId="6A6C334A" w14:textId="77777777" w:rsidR="002120EA" w:rsidRPr="00C3555B" w:rsidRDefault="002120EA" w:rsidP="002026AD">
      <w:pPr>
        <w:pStyle w:val="Prrafodelista"/>
        <w:numPr>
          <w:ilvl w:val="0"/>
          <w:numId w:val="6"/>
        </w:numPr>
        <w:ind w:left="1134" w:hanging="283"/>
      </w:pPr>
    </w:p>
    <w:p w14:paraId="1FE7293E" w14:textId="28D8ECCE" w:rsidR="00815F14" w:rsidRPr="00C3555B" w:rsidRDefault="002120EA" w:rsidP="002026AD">
      <w:pPr>
        <w:pStyle w:val="Ttulo1"/>
      </w:pPr>
      <w:r w:rsidRPr="00C3555B">
        <w:t xml:space="preserve">Peritos </w:t>
      </w:r>
    </w:p>
    <w:p w14:paraId="02DB64AB" w14:textId="77777777" w:rsidR="00815F14" w:rsidRPr="00C3555B" w:rsidRDefault="00815F14" w:rsidP="002026AD"/>
    <w:p w14:paraId="0BC0BF6C" w14:textId="2501526F" w:rsidR="002120EA" w:rsidRPr="00C3555B" w:rsidRDefault="002120EA" w:rsidP="002026AD">
      <w:pPr>
        <w:pStyle w:val="Ttulo1"/>
        <w:numPr>
          <w:ilvl w:val="0"/>
          <w:numId w:val="0"/>
        </w:numPr>
        <w:ind w:left="720"/>
        <w:rPr>
          <w:i/>
        </w:rPr>
      </w:pPr>
      <w:r w:rsidRPr="00C3555B">
        <w:rPr>
          <w:i/>
        </w:rPr>
        <w:t>Propuest</w:t>
      </w:r>
      <w:r w:rsidR="00C04D18" w:rsidRPr="00C3555B">
        <w:rPr>
          <w:i/>
        </w:rPr>
        <w:t>o</w:t>
      </w:r>
      <w:r w:rsidRPr="00C3555B">
        <w:rPr>
          <w:i/>
        </w:rPr>
        <w:t xml:space="preserve"> por la Comisión</w:t>
      </w:r>
      <w:r w:rsidR="00C04D18" w:rsidRPr="00C3555B">
        <w:rPr>
          <w:i/>
        </w:rPr>
        <w:t xml:space="preserve"> Interamericana</w:t>
      </w:r>
    </w:p>
    <w:p w14:paraId="009114C4" w14:textId="7C7C4D93" w:rsidR="002120EA" w:rsidRPr="00C3555B" w:rsidRDefault="002120EA" w:rsidP="002026AD">
      <w:pPr>
        <w:ind w:left="1134" w:hanging="283"/>
      </w:pPr>
    </w:p>
    <w:p w14:paraId="2D0CCC3A" w14:textId="461DBACC" w:rsidR="00AB3BBC" w:rsidRPr="00C3555B" w:rsidRDefault="00AB3BBC" w:rsidP="002026AD">
      <w:pPr>
        <w:pStyle w:val="Prrafodelista"/>
        <w:numPr>
          <w:ilvl w:val="0"/>
          <w:numId w:val="13"/>
        </w:numPr>
        <w:ind w:left="1134" w:hanging="283"/>
      </w:pPr>
      <w:r w:rsidRPr="00C3555B">
        <w:rPr>
          <w:i/>
        </w:rPr>
        <w:t>Miguel Emilio La Rota</w:t>
      </w:r>
      <w:r w:rsidR="002120EA" w:rsidRPr="00C3555B">
        <w:t>,</w:t>
      </w:r>
      <w:r w:rsidRPr="00C3555B">
        <w:t xml:space="preserve"> quien declarará sobre la obligación de debida diligencia en la investigación y procuración de justicia en casos de violencia contra periodistas que, en el ejercicio de su derecho a la libertad de expresión, investigan o informan hechos y noticias de interés público, en particular en zonas peligrosas. Entre otros aspectos, el perito podrá referirse a las medidas específicas que los Estados deben adoptar para que las investigaciones y procesos sean adecuados y efectivos tomando a la actividad profesional del periodista como principal línea lógica de investigación del caso; las medidas de cooperación internacional que deben adoptarse para garantizar que investigaciones de crímenes cometidos en zonas fronterizas sean efectivas; así como los insumos intermedios que pueden ser producidos por los Estados para valorar el cumplimiento de los estándares de debida diligencia en la investigación de este tipo de crímenes. En la medida de lo pertinente el perito podrá referirse </w:t>
      </w:r>
      <w:r w:rsidR="005B28CF" w:rsidRPr="00C3555B">
        <w:t xml:space="preserve">a </w:t>
      </w:r>
      <w:r w:rsidRPr="00C3555B">
        <w:t xml:space="preserve">fuentes de derecho comparado, así como a los hechos del caso a fin de ejemplificar los estándares del peritaje. </w:t>
      </w:r>
    </w:p>
    <w:p w14:paraId="552E3C33" w14:textId="21F80834" w:rsidR="002120EA" w:rsidRPr="00C3555B" w:rsidRDefault="002120EA" w:rsidP="002026AD">
      <w:pPr>
        <w:ind w:left="1134" w:hanging="283"/>
      </w:pPr>
    </w:p>
    <w:p w14:paraId="0DB8F976" w14:textId="097CD9AD" w:rsidR="002120EA" w:rsidRPr="00C3555B" w:rsidRDefault="00AA7B29" w:rsidP="002026AD">
      <w:pPr>
        <w:pStyle w:val="Ttulo1"/>
        <w:numPr>
          <w:ilvl w:val="0"/>
          <w:numId w:val="0"/>
        </w:numPr>
        <w:ind w:left="720"/>
        <w:rPr>
          <w:i/>
        </w:rPr>
      </w:pPr>
      <w:r w:rsidRPr="00C3555B">
        <w:rPr>
          <w:i/>
        </w:rPr>
        <w:t xml:space="preserve">Propuestos </w:t>
      </w:r>
      <w:r w:rsidR="002120EA" w:rsidRPr="00C3555B">
        <w:rPr>
          <w:i/>
        </w:rPr>
        <w:t>por los representantes</w:t>
      </w:r>
    </w:p>
    <w:p w14:paraId="7C793F2A" w14:textId="77777777" w:rsidR="002120EA" w:rsidRPr="00C3555B" w:rsidRDefault="002120EA" w:rsidP="002026AD">
      <w:pPr>
        <w:pStyle w:val="Prrafodelista"/>
        <w:ind w:left="1134" w:hanging="283"/>
      </w:pPr>
    </w:p>
    <w:p w14:paraId="598539A2" w14:textId="6E216D29" w:rsidR="00FC308A" w:rsidRPr="00C3555B" w:rsidRDefault="00AB3BBC" w:rsidP="002026AD">
      <w:pPr>
        <w:pStyle w:val="Prrafodelista"/>
        <w:numPr>
          <w:ilvl w:val="0"/>
          <w:numId w:val="13"/>
        </w:numPr>
        <w:ind w:left="1134" w:hanging="283"/>
      </w:pPr>
      <w:r w:rsidRPr="00C3555B">
        <w:rPr>
          <w:i/>
        </w:rPr>
        <w:t>Iván Velásquez</w:t>
      </w:r>
      <w:r w:rsidR="003C6FE2" w:rsidRPr="00C3555B">
        <w:rPr>
          <w:i/>
        </w:rPr>
        <w:t xml:space="preserve"> Gómez</w:t>
      </w:r>
      <w:r w:rsidRPr="00C3555B">
        <w:rPr>
          <w:i/>
        </w:rPr>
        <w:t xml:space="preserve"> y </w:t>
      </w:r>
      <w:r w:rsidR="00FF118C" w:rsidRPr="00C3555B">
        <w:rPr>
          <w:i/>
        </w:rPr>
        <w:t xml:space="preserve">Luz </w:t>
      </w:r>
      <w:r w:rsidRPr="00C3555B">
        <w:rPr>
          <w:i/>
        </w:rPr>
        <w:t>Adriana Camargo</w:t>
      </w:r>
      <w:r w:rsidR="003C6FE2" w:rsidRPr="00C3555B">
        <w:rPr>
          <w:i/>
        </w:rPr>
        <w:t xml:space="preserve"> Garzón</w:t>
      </w:r>
      <w:r w:rsidR="002120EA" w:rsidRPr="00C3555B">
        <w:t xml:space="preserve">, </w:t>
      </w:r>
      <w:r w:rsidRPr="00C3555B">
        <w:t xml:space="preserve">quienes proveerán </w:t>
      </w:r>
      <w:r w:rsidR="005B28CF" w:rsidRPr="00C3555B">
        <w:t xml:space="preserve">en un peritaje conjunto </w:t>
      </w:r>
      <w:r w:rsidRPr="00C3555B">
        <w:t xml:space="preserve">un análisis de los problemas regionales </w:t>
      </w:r>
      <w:r w:rsidR="00AA7B29" w:rsidRPr="00C3555B">
        <w:t>referidos a</w:t>
      </w:r>
      <w:r w:rsidRPr="00C3555B">
        <w:t xml:space="preserve"> los ataques a la prensa e ilustrarán los patrones comunes existentes </w:t>
      </w:r>
      <w:r w:rsidR="00F13C8F" w:rsidRPr="00C3555B">
        <w:t xml:space="preserve">entre </w:t>
      </w:r>
      <w:r w:rsidR="00755DD5" w:rsidRPr="00C3555B">
        <w:t xml:space="preserve">el homicidio del señor Leguizamón </w:t>
      </w:r>
      <w:proofErr w:type="spellStart"/>
      <w:r w:rsidR="00755DD5" w:rsidRPr="00C3555B">
        <w:t>Zaván</w:t>
      </w:r>
      <w:proofErr w:type="spellEnd"/>
      <w:r w:rsidR="00F13C8F" w:rsidRPr="00C3555B">
        <w:t xml:space="preserve"> y otros ocurridos en la región, en el contexto de </w:t>
      </w:r>
      <w:r w:rsidRPr="00C3555B">
        <w:t xml:space="preserve">violencia contra periodistas, sus causas y consecuencias. </w:t>
      </w:r>
    </w:p>
    <w:p w14:paraId="14BA5C30" w14:textId="77777777" w:rsidR="005372FA" w:rsidRPr="00C3555B" w:rsidRDefault="005372FA" w:rsidP="002026AD">
      <w:pPr>
        <w:tabs>
          <w:tab w:val="clear" w:pos="720"/>
          <w:tab w:val="clear" w:pos="810"/>
          <w:tab w:val="left" w:pos="567"/>
        </w:tabs>
      </w:pPr>
    </w:p>
    <w:p w14:paraId="216AF7E6" w14:textId="4E2D2DD4" w:rsidR="00815F14" w:rsidRPr="00C3555B" w:rsidRDefault="00835B03" w:rsidP="002026AD">
      <w:pPr>
        <w:pStyle w:val="Prrafodelista"/>
        <w:numPr>
          <w:ilvl w:val="0"/>
          <w:numId w:val="17"/>
        </w:numPr>
        <w:tabs>
          <w:tab w:val="clear" w:pos="720"/>
          <w:tab w:val="clear" w:pos="810"/>
          <w:tab w:val="left" w:pos="426"/>
          <w:tab w:val="left" w:pos="567"/>
        </w:tabs>
        <w:ind w:left="0" w:firstLine="0"/>
      </w:pPr>
      <w:r w:rsidRPr="00C3555B">
        <w:t>Instruir a la Comisión</w:t>
      </w:r>
      <w:r w:rsidR="00FC308A" w:rsidRPr="00C3555B">
        <w:t xml:space="preserve"> </w:t>
      </w:r>
      <w:r w:rsidR="007237F8" w:rsidRPr="00C3555B">
        <w:t>y a los representantes</w:t>
      </w:r>
      <w:r w:rsidRPr="00C3555B">
        <w:t xml:space="preserve"> </w:t>
      </w:r>
      <w:r w:rsidR="00421F39" w:rsidRPr="00C3555B">
        <w:t xml:space="preserve">para </w:t>
      </w:r>
      <w:r w:rsidR="001576D2" w:rsidRPr="00C3555B">
        <w:t>que notifique</w:t>
      </w:r>
      <w:r w:rsidR="001F620C" w:rsidRPr="00C3555B">
        <w:t>n</w:t>
      </w:r>
      <w:r w:rsidRPr="00C3555B">
        <w:t xml:space="preserve"> la presente Resolución </w:t>
      </w:r>
      <w:r w:rsidR="001F620C" w:rsidRPr="00C3555B">
        <w:t>a los peritos</w:t>
      </w:r>
      <w:r w:rsidR="007237F8" w:rsidRPr="00C3555B">
        <w:t xml:space="preserve"> convocados qu</w:t>
      </w:r>
      <w:r w:rsidR="00D97B0E" w:rsidRPr="00C3555B">
        <w:t xml:space="preserve">e fueron </w:t>
      </w:r>
      <w:r w:rsidR="007237F8" w:rsidRPr="00C3555B">
        <w:t>propuestos</w:t>
      </w:r>
      <w:r w:rsidR="00D97B0E" w:rsidRPr="00C3555B">
        <w:t xml:space="preserve"> por ellos</w:t>
      </w:r>
      <w:r w:rsidR="007237F8" w:rsidRPr="00C3555B">
        <w:t>, así como a la</w:t>
      </w:r>
      <w:r w:rsidR="00FC308A" w:rsidRPr="00C3555B">
        <w:t>s</w:t>
      </w:r>
      <w:r w:rsidR="007237F8" w:rsidRPr="00C3555B">
        <w:t xml:space="preserve"> presunta</w:t>
      </w:r>
      <w:r w:rsidR="00FC308A" w:rsidRPr="00C3555B">
        <w:t>s</w:t>
      </w:r>
      <w:r w:rsidR="007237F8" w:rsidRPr="00C3555B">
        <w:t xml:space="preserve"> víctima</w:t>
      </w:r>
      <w:r w:rsidR="00FC308A" w:rsidRPr="00C3555B">
        <w:t>s y testigos</w:t>
      </w:r>
      <w:r w:rsidR="001576D2" w:rsidRPr="00C3555B">
        <w:t xml:space="preserve">, </w:t>
      </w:r>
      <w:r w:rsidRPr="00C3555B">
        <w:t xml:space="preserve">de conformidad con lo dispuesto en los artículos 50.2 y 50.4 del Reglamento. </w:t>
      </w:r>
    </w:p>
    <w:p w14:paraId="5B69EB3B" w14:textId="77777777" w:rsidR="00815F14" w:rsidRPr="00C3555B" w:rsidRDefault="00815F14" w:rsidP="002026AD">
      <w:pPr>
        <w:pStyle w:val="Prrafodelista"/>
        <w:tabs>
          <w:tab w:val="clear" w:pos="720"/>
          <w:tab w:val="clear" w:pos="810"/>
          <w:tab w:val="left" w:pos="426"/>
          <w:tab w:val="left" w:pos="567"/>
        </w:tabs>
        <w:ind w:left="0"/>
      </w:pPr>
    </w:p>
    <w:p w14:paraId="7581DCAA" w14:textId="45AE629F" w:rsidR="002C6451" w:rsidRPr="00C3555B" w:rsidRDefault="00835B03" w:rsidP="002026AD">
      <w:pPr>
        <w:pStyle w:val="Prrafodelista"/>
        <w:numPr>
          <w:ilvl w:val="0"/>
          <w:numId w:val="17"/>
        </w:numPr>
        <w:tabs>
          <w:tab w:val="clear" w:pos="720"/>
          <w:tab w:val="clear" w:pos="810"/>
          <w:tab w:val="left" w:pos="426"/>
          <w:tab w:val="left" w:pos="567"/>
        </w:tabs>
        <w:ind w:left="0" w:firstLine="0"/>
      </w:pPr>
      <w:r w:rsidRPr="00C3555B">
        <w:t xml:space="preserve">Requerir </w:t>
      </w:r>
      <w:r w:rsidR="00226FBA" w:rsidRPr="00C3555B">
        <w:t xml:space="preserve">a las partes y a la Comisión </w:t>
      </w:r>
      <w:r w:rsidR="00DF09AF" w:rsidRPr="00C3555B">
        <w:t xml:space="preserve">para </w:t>
      </w:r>
      <w:r w:rsidRPr="00C3555B">
        <w:t xml:space="preserve">que, de considerarlo pertinente, en los términos del artículo 50.5 del Reglamento, en el plazo improrrogable que vence el </w:t>
      </w:r>
      <w:r w:rsidR="00226FBA" w:rsidRPr="00C3555B">
        <w:t>2</w:t>
      </w:r>
      <w:r w:rsidR="00A52CF8" w:rsidRPr="00C3555B">
        <w:t>5</w:t>
      </w:r>
      <w:r w:rsidR="00226FBA" w:rsidRPr="00C3555B">
        <w:t xml:space="preserve"> </w:t>
      </w:r>
      <w:r w:rsidR="00815F14" w:rsidRPr="00C3555B">
        <w:t>de febrero</w:t>
      </w:r>
      <w:r w:rsidR="002C6451" w:rsidRPr="00C3555B">
        <w:t xml:space="preserve"> </w:t>
      </w:r>
      <w:r w:rsidR="002864BB" w:rsidRPr="00C3555B">
        <w:t>de 202</w:t>
      </w:r>
      <w:r w:rsidR="002C6451" w:rsidRPr="00C3555B">
        <w:t xml:space="preserve">2, </w:t>
      </w:r>
      <w:r w:rsidR="00DF09AF" w:rsidRPr="00C3555B">
        <w:t>presente</w:t>
      </w:r>
      <w:r w:rsidR="00226FBA" w:rsidRPr="00C3555B">
        <w:t>n</w:t>
      </w:r>
      <w:r w:rsidR="00DF09AF" w:rsidRPr="00C3555B">
        <w:t xml:space="preserve"> las preguntas que estime</w:t>
      </w:r>
      <w:r w:rsidR="00FA760B">
        <w:t>n</w:t>
      </w:r>
      <w:r w:rsidRPr="00C3555B">
        <w:t xml:space="preserve"> pertinente formular</w:t>
      </w:r>
      <w:r w:rsidR="00DF09AF" w:rsidRPr="00C3555B">
        <w:t>,</w:t>
      </w:r>
      <w:r w:rsidRPr="00C3555B">
        <w:t xml:space="preserve"> a través de la Corte Interamericana</w:t>
      </w:r>
      <w:r w:rsidR="00DF09AF" w:rsidRPr="00C3555B">
        <w:t>,</w:t>
      </w:r>
      <w:r w:rsidRPr="00C3555B">
        <w:t xml:space="preserve"> </w:t>
      </w:r>
      <w:r w:rsidR="001576D2" w:rsidRPr="00C3555B">
        <w:t>a</w:t>
      </w:r>
      <w:r w:rsidR="001F620C" w:rsidRPr="00C3555B">
        <w:t xml:space="preserve"> </w:t>
      </w:r>
      <w:r w:rsidR="001576D2" w:rsidRPr="00C3555B">
        <w:t>l</w:t>
      </w:r>
      <w:r w:rsidR="001F620C" w:rsidRPr="00C3555B">
        <w:t>os</w:t>
      </w:r>
      <w:r w:rsidR="001576D2" w:rsidRPr="00C3555B">
        <w:t xml:space="preserve"> perito</w:t>
      </w:r>
      <w:r w:rsidR="001F620C" w:rsidRPr="00C3555B">
        <w:t>s</w:t>
      </w:r>
      <w:r w:rsidR="00FC308A" w:rsidRPr="00C3555B">
        <w:t>, las presuntas víctimas y los testigos</w:t>
      </w:r>
      <w:r w:rsidR="001576D2" w:rsidRPr="00C3555B">
        <w:t xml:space="preserve"> referido</w:t>
      </w:r>
      <w:r w:rsidR="001F620C" w:rsidRPr="00C3555B">
        <w:t>s</w:t>
      </w:r>
      <w:r w:rsidRPr="00C3555B">
        <w:t xml:space="preserve"> en el punto resolutivo</w:t>
      </w:r>
      <w:r w:rsidR="00FC308A" w:rsidRPr="00C3555B">
        <w:t xml:space="preserve"> 2</w:t>
      </w:r>
      <w:r w:rsidR="00226FBA" w:rsidRPr="00C3555B">
        <w:t>, según corresponda</w:t>
      </w:r>
      <w:r w:rsidRPr="00C3555B">
        <w:t xml:space="preserve">. </w:t>
      </w:r>
    </w:p>
    <w:p w14:paraId="4A2E0B2D" w14:textId="77777777" w:rsidR="00835B03" w:rsidRPr="00C3555B" w:rsidRDefault="00835B03" w:rsidP="002026AD">
      <w:pPr>
        <w:tabs>
          <w:tab w:val="clear" w:pos="720"/>
          <w:tab w:val="clear" w:pos="810"/>
          <w:tab w:val="left" w:pos="426"/>
          <w:tab w:val="left" w:pos="567"/>
        </w:tabs>
      </w:pPr>
    </w:p>
    <w:p w14:paraId="636F941D" w14:textId="4FD60B35" w:rsidR="00835B03" w:rsidRPr="00C3555B" w:rsidRDefault="00815F14" w:rsidP="002026AD">
      <w:pPr>
        <w:pStyle w:val="Prrafodelista"/>
        <w:numPr>
          <w:ilvl w:val="0"/>
          <w:numId w:val="17"/>
        </w:numPr>
        <w:tabs>
          <w:tab w:val="clear" w:pos="720"/>
          <w:tab w:val="clear" w:pos="810"/>
          <w:tab w:val="left" w:pos="426"/>
          <w:tab w:val="left" w:pos="567"/>
        </w:tabs>
        <w:ind w:left="0" w:firstLine="0"/>
      </w:pPr>
      <w:r w:rsidRPr="00C3555B">
        <w:lastRenderedPageBreak/>
        <w:t xml:space="preserve"> </w:t>
      </w:r>
      <w:r w:rsidR="00835B03" w:rsidRPr="00C3555B">
        <w:t>Requerir a la Comisión</w:t>
      </w:r>
      <w:r w:rsidR="00FC308A" w:rsidRPr="00C3555B">
        <w:t xml:space="preserve"> </w:t>
      </w:r>
      <w:r w:rsidR="007237F8" w:rsidRPr="00C3555B">
        <w:t>y a los representantes</w:t>
      </w:r>
      <w:r w:rsidR="00835B03" w:rsidRPr="00C3555B">
        <w:t xml:space="preserve"> </w:t>
      </w:r>
      <w:r w:rsidR="00DF09AF" w:rsidRPr="00C3555B">
        <w:t xml:space="preserve">para </w:t>
      </w:r>
      <w:r w:rsidR="001576D2" w:rsidRPr="00C3555B">
        <w:t>que coordine</w:t>
      </w:r>
      <w:r w:rsidR="001F620C" w:rsidRPr="00C3555B">
        <w:t>n</w:t>
      </w:r>
      <w:r w:rsidR="001576D2" w:rsidRPr="00C3555B">
        <w:t xml:space="preserve"> y realice</w:t>
      </w:r>
      <w:r w:rsidR="001F620C" w:rsidRPr="00C3555B">
        <w:t>n</w:t>
      </w:r>
      <w:r w:rsidR="00835B03" w:rsidRPr="00C3555B">
        <w:t xml:space="preserve"> las diligencias necesarias para que, una vez recibidas las p</w:t>
      </w:r>
      <w:r w:rsidR="001576D2" w:rsidRPr="00C3555B">
        <w:t xml:space="preserve">reguntas, según corresponda, </w:t>
      </w:r>
      <w:r w:rsidR="007237F8" w:rsidRPr="00C3555B">
        <w:t>la</w:t>
      </w:r>
      <w:r w:rsidR="00FC308A" w:rsidRPr="00C3555B">
        <w:t>s</w:t>
      </w:r>
      <w:r w:rsidR="007237F8" w:rsidRPr="00C3555B">
        <w:t xml:space="preserve"> </w:t>
      </w:r>
      <w:r w:rsidR="00FC308A" w:rsidRPr="00C3555B">
        <w:t>presuntas víctimas</w:t>
      </w:r>
      <w:r w:rsidR="001E4ABC" w:rsidRPr="00C3555B">
        <w:t>,</w:t>
      </w:r>
      <w:r w:rsidR="00FC308A" w:rsidRPr="00C3555B">
        <w:t xml:space="preserve"> los testigos</w:t>
      </w:r>
      <w:r w:rsidR="001E4ABC" w:rsidRPr="00C3555B">
        <w:t xml:space="preserve"> y</w:t>
      </w:r>
      <w:r w:rsidR="00FC308A" w:rsidRPr="00C3555B">
        <w:t xml:space="preserve"> </w:t>
      </w:r>
      <w:r w:rsidR="001E4ABC" w:rsidRPr="00C3555B">
        <w:t xml:space="preserve">los peritos </w:t>
      </w:r>
      <w:r w:rsidR="001576D2" w:rsidRPr="00C3555B">
        <w:t>incluya</w:t>
      </w:r>
      <w:r w:rsidR="001F620C" w:rsidRPr="00C3555B">
        <w:t>n</w:t>
      </w:r>
      <w:r w:rsidR="00835B03" w:rsidRPr="00C3555B">
        <w:t xml:space="preserve"> las respuestas en el dictamen</w:t>
      </w:r>
      <w:r w:rsidR="007237F8" w:rsidRPr="00C3555B">
        <w:t xml:space="preserve"> o declaración</w:t>
      </w:r>
      <w:r w:rsidR="00835B03" w:rsidRPr="00C3555B">
        <w:t xml:space="preserve"> que rendirán ante fedatario público, salvo que esta Presidencia disponga lo contrario, cuando la Secretaría de la Corte las transmita</w:t>
      </w:r>
      <w:r w:rsidR="007237F8" w:rsidRPr="00C3555B">
        <w:t xml:space="preserve">. </w:t>
      </w:r>
      <w:r w:rsidR="009C1651" w:rsidRPr="00C3555B">
        <w:t>Las declaraciones requeridas</w:t>
      </w:r>
      <w:r w:rsidR="00835B03" w:rsidRPr="00C3555B">
        <w:t xml:space="preserve"> en el punto resolutivo </w:t>
      </w:r>
      <w:r w:rsidR="00FC308A" w:rsidRPr="00C3555B">
        <w:t>2</w:t>
      </w:r>
      <w:r w:rsidR="00835B03" w:rsidRPr="00C3555B">
        <w:t xml:space="preserve"> deberán ser presentad</w:t>
      </w:r>
      <w:r w:rsidR="00421F39" w:rsidRPr="00C3555B">
        <w:t>a</w:t>
      </w:r>
      <w:r w:rsidR="00835B03" w:rsidRPr="00C3555B">
        <w:t xml:space="preserve">s al Tribunal a más tardar el </w:t>
      </w:r>
      <w:r w:rsidR="00A52CF8" w:rsidRPr="00C3555B">
        <w:t xml:space="preserve">17 </w:t>
      </w:r>
      <w:r w:rsidRPr="00C3555B">
        <w:t>de marzo de 2022.</w:t>
      </w:r>
    </w:p>
    <w:p w14:paraId="4A920369" w14:textId="77777777" w:rsidR="00835B03" w:rsidRPr="00C3555B" w:rsidRDefault="00835B03" w:rsidP="002026AD">
      <w:pPr>
        <w:tabs>
          <w:tab w:val="clear" w:pos="720"/>
          <w:tab w:val="clear" w:pos="810"/>
          <w:tab w:val="left" w:pos="426"/>
          <w:tab w:val="left" w:pos="567"/>
        </w:tabs>
      </w:pPr>
      <w:r w:rsidRPr="00C3555B">
        <w:t xml:space="preserve"> </w:t>
      </w:r>
    </w:p>
    <w:p w14:paraId="0C54AECA" w14:textId="77777777" w:rsidR="00E73079" w:rsidRPr="00C3555B" w:rsidRDefault="00835B03" w:rsidP="002026AD">
      <w:pPr>
        <w:pStyle w:val="Prrafodelista"/>
        <w:numPr>
          <w:ilvl w:val="0"/>
          <w:numId w:val="17"/>
        </w:numPr>
        <w:tabs>
          <w:tab w:val="clear" w:pos="720"/>
          <w:tab w:val="clear" w:pos="810"/>
          <w:tab w:val="left" w:pos="426"/>
          <w:tab w:val="left" w:pos="567"/>
        </w:tabs>
        <w:ind w:left="0" w:firstLine="0"/>
      </w:pPr>
      <w:r w:rsidRPr="00C3555B">
        <w:t>Disponer</w:t>
      </w:r>
      <w:r w:rsidR="001F620C" w:rsidRPr="00C3555B">
        <w:t>,</w:t>
      </w:r>
      <w:r w:rsidRPr="00C3555B">
        <w:t xml:space="preserve"> conforme al artículo 50.6 del Reglamento que, una vez </w:t>
      </w:r>
      <w:r w:rsidR="007237F8" w:rsidRPr="00C3555B">
        <w:t>recibidas las declaraciones</w:t>
      </w:r>
      <w:r w:rsidR="00D50CD2" w:rsidRPr="00C3555B">
        <w:t>, la Secretaría de la Corte la</w:t>
      </w:r>
      <w:r w:rsidR="001F620C" w:rsidRPr="00C3555B">
        <w:t>s</w:t>
      </w:r>
      <w:r w:rsidRPr="00C3555B">
        <w:t xml:space="preserve"> transmita</w:t>
      </w:r>
      <w:r w:rsidR="001F620C" w:rsidRPr="00C3555B">
        <w:t xml:space="preserve"> a la Comisión,</w:t>
      </w:r>
      <w:r w:rsidRPr="00C3555B">
        <w:t xml:space="preserve"> al Estado y a</w:t>
      </w:r>
      <w:r w:rsidR="002864BB" w:rsidRPr="00C3555B">
        <w:t xml:space="preserve"> </w:t>
      </w:r>
      <w:r w:rsidRPr="00C3555B">
        <w:t>l</w:t>
      </w:r>
      <w:r w:rsidR="002864BB" w:rsidRPr="00C3555B">
        <w:t>os</w:t>
      </w:r>
      <w:r w:rsidRPr="00C3555B">
        <w:t xml:space="preserve"> representante</w:t>
      </w:r>
      <w:r w:rsidR="002864BB" w:rsidRPr="00C3555B">
        <w:t>s</w:t>
      </w:r>
      <w:r w:rsidRPr="00C3555B">
        <w:t xml:space="preserve"> para que, si lo estiman pertinente, presenten sus observaciones a más tardar con sus</w:t>
      </w:r>
      <w:r w:rsidR="001F620C" w:rsidRPr="00C3555B">
        <w:t xml:space="preserve"> observaciones y</w:t>
      </w:r>
      <w:r w:rsidRPr="00C3555B">
        <w:t xml:space="preserve"> alegatos </w:t>
      </w:r>
      <w:r w:rsidR="00DB2DE3" w:rsidRPr="00C3555B">
        <w:t>finales escritos</w:t>
      </w:r>
      <w:r w:rsidR="001F620C" w:rsidRPr="00C3555B">
        <w:t>, respectivamente</w:t>
      </w:r>
      <w:r w:rsidRPr="00C3555B">
        <w:t xml:space="preserve">. </w:t>
      </w:r>
    </w:p>
    <w:p w14:paraId="27C223D9" w14:textId="77777777" w:rsidR="00E73079" w:rsidRPr="00C3555B" w:rsidRDefault="00E73079" w:rsidP="002026AD">
      <w:pPr>
        <w:pStyle w:val="Prrafodelista"/>
        <w:tabs>
          <w:tab w:val="clear" w:pos="720"/>
          <w:tab w:val="clear" w:pos="810"/>
          <w:tab w:val="left" w:pos="567"/>
        </w:tabs>
      </w:pPr>
    </w:p>
    <w:p w14:paraId="07FBEFA5" w14:textId="150B0799" w:rsidR="005B3D0E" w:rsidRPr="002026AD" w:rsidRDefault="005B3D0E" w:rsidP="002026AD">
      <w:pPr>
        <w:pStyle w:val="Prrafodelista"/>
        <w:numPr>
          <w:ilvl w:val="0"/>
          <w:numId w:val="17"/>
        </w:numPr>
        <w:tabs>
          <w:tab w:val="clear" w:pos="720"/>
          <w:tab w:val="clear" w:pos="810"/>
          <w:tab w:val="left" w:pos="426"/>
          <w:tab w:val="left" w:pos="567"/>
        </w:tabs>
        <w:ind w:left="0" w:firstLine="0"/>
      </w:pPr>
      <w:r w:rsidRPr="002026AD">
        <w:t xml:space="preserve">Requerir </w:t>
      </w:r>
      <w:r w:rsidR="008B5DFC" w:rsidRPr="002026AD">
        <w:t>a los</w:t>
      </w:r>
      <w:r w:rsidRPr="002026AD">
        <w:t xml:space="preserve"> representante</w:t>
      </w:r>
      <w:r w:rsidR="008B5DFC" w:rsidRPr="002026AD">
        <w:t>s</w:t>
      </w:r>
      <w:r w:rsidRPr="002026AD">
        <w:t xml:space="preserve"> que comunique</w:t>
      </w:r>
      <w:r w:rsidR="008B5DFC" w:rsidRPr="002026AD">
        <w:t>n</w:t>
      </w:r>
      <w:r w:rsidRPr="002026AD">
        <w:t xml:space="preserve"> y remita</w:t>
      </w:r>
      <w:r w:rsidR="008B5DFC" w:rsidRPr="002026AD">
        <w:t>n</w:t>
      </w:r>
      <w:r w:rsidRPr="002026AD">
        <w:t xml:space="preserve"> a la Corte, a más tardar el </w:t>
      </w:r>
      <w:r w:rsidR="00A52CF8" w:rsidRPr="002026AD">
        <w:t xml:space="preserve">25 </w:t>
      </w:r>
      <w:r w:rsidRPr="002026AD">
        <w:t xml:space="preserve">de </w:t>
      </w:r>
      <w:r w:rsidR="00421F39" w:rsidRPr="002026AD">
        <w:t>febrero</w:t>
      </w:r>
      <w:r w:rsidRPr="002026AD">
        <w:t xml:space="preserve"> de </w:t>
      </w:r>
      <w:r w:rsidR="00421F39" w:rsidRPr="002026AD">
        <w:t>202</w:t>
      </w:r>
      <w:r w:rsidR="00DF09AF" w:rsidRPr="002026AD">
        <w:t>2</w:t>
      </w:r>
      <w:r w:rsidRPr="002026AD">
        <w:t xml:space="preserve">, una cotización del costo de la formalización de las </w:t>
      </w:r>
      <w:r w:rsidR="00E323F7" w:rsidRPr="002026AD">
        <w:t xml:space="preserve">cinco </w:t>
      </w:r>
      <w:r w:rsidRPr="002026AD">
        <w:t xml:space="preserve">declaraciones ante fedatario público </w:t>
      </w:r>
      <w:r w:rsidR="00E323F7" w:rsidRPr="002026AD">
        <w:t xml:space="preserve">rendidas </w:t>
      </w:r>
      <w:r w:rsidRPr="002026AD">
        <w:t xml:space="preserve">en el país de residencia de los declarantes que correspondan, y de su respectivo envío, a fin de que </w:t>
      </w:r>
      <w:r w:rsidR="00E323F7" w:rsidRPr="002026AD">
        <w:t xml:space="preserve">dichos gastos </w:t>
      </w:r>
      <w:r w:rsidRPr="002026AD">
        <w:t xml:space="preserve">sean cubiertos por el Fondo de Asistencia, de conformidad con lo establecido en la presente Resolución. </w:t>
      </w:r>
      <w:r w:rsidR="00390E2B" w:rsidRPr="002026AD">
        <w:t>Los representantes</w:t>
      </w:r>
      <w:r w:rsidRPr="002026AD">
        <w:t>, a más tardar con sus alegatos finales escritos, que deben ser presentados en la fecha se</w:t>
      </w:r>
      <w:r w:rsidR="00390E2B" w:rsidRPr="002026AD">
        <w:t xml:space="preserve">ñalada en el punto resolutivo </w:t>
      </w:r>
      <w:r w:rsidR="00E323F7" w:rsidRPr="002026AD">
        <w:t>12</w:t>
      </w:r>
      <w:r w:rsidRPr="002026AD">
        <w:t>, deberá</w:t>
      </w:r>
      <w:r w:rsidR="00390E2B" w:rsidRPr="002026AD">
        <w:t>n</w:t>
      </w:r>
      <w:r w:rsidRPr="002026AD">
        <w:t xml:space="preserve"> presentar los comprobantes que acrediten debidamente los gastos efectuados. El reintegro de los gastos se efectuará luego de la recepción de los comprobantes correspondientes.</w:t>
      </w:r>
    </w:p>
    <w:p w14:paraId="5491B11D" w14:textId="0E359EAB" w:rsidR="00DF09AF" w:rsidRPr="002026AD" w:rsidRDefault="00DF09AF" w:rsidP="002026AD">
      <w:pPr>
        <w:pStyle w:val="Prrafodelista"/>
        <w:tabs>
          <w:tab w:val="clear" w:pos="720"/>
          <w:tab w:val="clear" w:pos="810"/>
          <w:tab w:val="left" w:pos="426"/>
          <w:tab w:val="left" w:pos="567"/>
        </w:tabs>
        <w:ind w:left="0"/>
      </w:pPr>
    </w:p>
    <w:p w14:paraId="22808EC2" w14:textId="1A3D9A59" w:rsidR="00835B03" w:rsidRPr="002026AD" w:rsidRDefault="00835B03" w:rsidP="002026AD">
      <w:pPr>
        <w:pStyle w:val="Prrafodelista"/>
        <w:numPr>
          <w:ilvl w:val="0"/>
          <w:numId w:val="17"/>
        </w:numPr>
        <w:tabs>
          <w:tab w:val="clear" w:pos="720"/>
          <w:tab w:val="clear" w:pos="810"/>
          <w:tab w:val="left" w:pos="426"/>
          <w:tab w:val="left" w:pos="567"/>
        </w:tabs>
        <w:ind w:left="0" w:firstLine="0"/>
      </w:pPr>
      <w:r w:rsidRPr="002026AD">
        <w:t>Informar a la Comisión</w:t>
      </w:r>
      <w:r w:rsidR="001F620C" w:rsidRPr="002026AD">
        <w:t xml:space="preserve"> </w:t>
      </w:r>
      <w:r w:rsidR="008B5DFC" w:rsidRPr="002026AD">
        <w:t xml:space="preserve">y a los representantes </w:t>
      </w:r>
      <w:r w:rsidR="00DB2DE3" w:rsidRPr="002026AD">
        <w:t>que debe</w:t>
      </w:r>
      <w:r w:rsidR="008B5DFC" w:rsidRPr="002026AD">
        <w:t>n</w:t>
      </w:r>
      <w:r w:rsidRPr="002026AD">
        <w:t xml:space="preserve"> cubrir los gastos que ocasione la aportación o rendición de la prueba propuesta por ellos, de conformidad con lo dispuesto en el artículo 60 del Reglamento. </w:t>
      </w:r>
    </w:p>
    <w:p w14:paraId="38F17547" w14:textId="77777777" w:rsidR="00835B03" w:rsidRPr="00C3555B" w:rsidRDefault="00835B03" w:rsidP="002026AD">
      <w:pPr>
        <w:tabs>
          <w:tab w:val="clear" w:pos="720"/>
          <w:tab w:val="clear" w:pos="810"/>
          <w:tab w:val="left" w:pos="426"/>
          <w:tab w:val="left" w:pos="567"/>
        </w:tabs>
      </w:pPr>
    </w:p>
    <w:p w14:paraId="222D059A" w14:textId="4FE99920" w:rsidR="00835B03" w:rsidRPr="00C3555B" w:rsidRDefault="00835B03" w:rsidP="002026AD">
      <w:pPr>
        <w:pStyle w:val="Prrafodelista"/>
        <w:numPr>
          <w:ilvl w:val="0"/>
          <w:numId w:val="17"/>
        </w:numPr>
        <w:tabs>
          <w:tab w:val="clear" w:pos="720"/>
          <w:tab w:val="clear" w:pos="810"/>
          <w:tab w:val="left" w:pos="426"/>
          <w:tab w:val="left" w:pos="567"/>
        </w:tabs>
        <w:ind w:left="0" w:firstLine="0"/>
      </w:pPr>
      <w:r w:rsidRPr="00C3555B">
        <w:t>Requerir a la Comisión</w:t>
      </w:r>
      <w:r w:rsidR="001F620C" w:rsidRPr="00C3555B">
        <w:t xml:space="preserve"> y </w:t>
      </w:r>
      <w:r w:rsidR="00F76AD6" w:rsidRPr="00C3555B">
        <w:t>a las partes</w:t>
      </w:r>
      <w:r w:rsidRPr="00C3555B">
        <w:t>,</w:t>
      </w:r>
      <w:r w:rsidR="00DB2DE3" w:rsidRPr="00C3555B">
        <w:t xml:space="preserve"> que informe</w:t>
      </w:r>
      <w:r w:rsidR="001F620C" w:rsidRPr="00C3555B">
        <w:t>n</w:t>
      </w:r>
      <w:r w:rsidRPr="00C3555B">
        <w:t xml:space="preserve"> a la</w:t>
      </w:r>
      <w:r w:rsidR="001F620C" w:rsidRPr="00C3555B">
        <w:t>s</w:t>
      </w:r>
      <w:r w:rsidR="00DB2DE3" w:rsidRPr="00C3555B">
        <w:t xml:space="preserve"> persona</w:t>
      </w:r>
      <w:r w:rsidR="001F620C" w:rsidRPr="00C3555B">
        <w:t>s</w:t>
      </w:r>
      <w:r w:rsidRPr="00C3555B">
        <w:t xml:space="preserve"> requerida</w:t>
      </w:r>
      <w:r w:rsidR="001F620C" w:rsidRPr="00C3555B">
        <w:t>s</w:t>
      </w:r>
      <w:r w:rsidRPr="00C3555B">
        <w:t xml:space="preserve"> por la Corte para declarar que, según lo dispuesto en el artículo 54 del Reglamento, el Tribunal pondrá en conocimiento del Estado el caso en que la persona requerida para compar</w:t>
      </w:r>
      <w:r w:rsidR="00DF09AF" w:rsidRPr="00C3555B">
        <w:t>ecer o declarar no compareciere</w:t>
      </w:r>
      <w:r w:rsidRPr="00C3555B">
        <w:t xml:space="preserve"> o rehusare deponer sin motivo leg</w:t>
      </w:r>
      <w:r w:rsidR="008B5DFC">
        <w:t>í</w:t>
      </w:r>
      <w:r w:rsidRPr="00C3555B">
        <w:t xml:space="preserve">timo o que, en el </w:t>
      </w:r>
      <w:r w:rsidR="00DF09AF" w:rsidRPr="00C3555B">
        <w:t>parecer de la misma Corte, haya</w:t>
      </w:r>
      <w:r w:rsidRPr="00C3555B">
        <w:t xml:space="preserve"> violado el juramento o la declaración solemne, para los fines previstos en la legislación nacional correspondiente. </w:t>
      </w:r>
    </w:p>
    <w:p w14:paraId="612CA6F1" w14:textId="77777777" w:rsidR="00C54EC9" w:rsidRPr="00C3555B" w:rsidRDefault="00C54EC9" w:rsidP="002026AD">
      <w:pPr>
        <w:pStyle w:val="Prrafodelista"/>
        <w:tabs>
          <w:tab w:val="clear" w:pos="720"/>
          <w:tab w:val="clear" w:pos="810"/>
          <w:tab w:val="left" w:pos="567"/>
        </w:tabs>
      </w:pPr>
    </w:p>
    <w:p w14:paraId="1680AAFF" w14:textId="62FFD6EF" w:rsidR="00C54EC9" w:rsidRPr="00C3555B" w:rsidRDefault="00C54EC9" w:rsidP="002026AD">
      <w:pPr>
        <w:pStyle w:val="Prrafodelista"/>
        <w:numPr>
          <w:ilvl w:val="0"/>
          <w:numId w:val="17"/>
        </w:numPr>
        <w:tabs>
          <w:tab w:val="clear" w:pos="720"/>
          <w:tab w:val="clear" w:pos="810"/>
          <w:tab w:val="left" w:pos="426"/>
          <w:tab w:val="left" w:pos="567"/>
        </w:tabs>
        <w:ind w:left="0" w:firstLine="0"/>
      </w:pPr>
      <w:r w:rsidRPr="00C3555B">
        <w:t>Solicitar a las partes y a la Comisión que, a más tardar el 1</w:t>
      </w:r>
      <w:r w:rsidR="00AB392A" w:rsidRPr="00C3555B">
        <w:t>1</w:t>
      </w:r>
      <w:r w:rsidRPr="00C3555B">
        <w:t xml:space="preserve"> de marzo de 2022, acrediten ante la Secretaría de la Corte los nombres de las personas que estarán presentes durante la diligencia. En la misma comunicación en que acrediten, deberán indicar los correos electrónicos y teléfonos de contacto de las personas que integran la delegación y de las personas convocadas a declarar. Posteriormente se comunicarán los aspectos técnicos y logísticos.</w:t>
      </w:r>
    </w:p>
    <w:p w14:paraId="474D41FB" w14:textId="77777777" w:rsidR="00C54EC9" w:rsidRPr="00C3555B" w:rsidRDefault="00C54EC9" w:rsidP="002026AD">
      <w:pPr>
        <w:tabs>
          <w:tab w:val="clear" w:pos="720"/>
          <w:tab w:val="clear" w:pos="810"/>
          <w:tab w:val="left" w:pos="567"/>
        </w:tabs>
      </w:pPr>
    </w:p>
    <w:p w14:paraId="61ACE874" w14:textId="0D9695EB" w:rsidR="00C54EC9" w:rsidRPr="00C3555B" w:rsidRDefault="00C54EC9" w:rsidP="002026AD">
      <w:pPr>
        <w:pStyle w:val="Prrafodelista"/>
        <w:numPr>
          <w:ilvl w:val="0"/>
          <w:numId w:val="17"/>
        </w:numPr>
        <w:tabs>
          <w:tab w:val="clear" w:pos="720"/>
          <w:tab w:val="clear" w:pos="810"/>
          <w:tab w:val="left" w:pos="426"/>
          <w:tab w:val="left" w:pos="567"/>
        </w:tabs>
        <w:ind w:left="0" w:firstLine="0"/>
      </w:pPr>
      <w:r w:rsidRPr="00C3555B">
        <w:t>Disponer que la Secretaría de la Corte,</w:t>
      </w:r>
      <w:r w:rsidR="00390E2B" w:rsidRPr="00C3555B">
        <w:t xml:space="preserve"> a la brevedad posible, y</w:t>
      </w:r>
      <w:r w:rsidRPr="00C3555B">
        <w:t xml:space="preserve"> de conformidad con lo dispuesto en el artículo 55.3 del Reglamento, </w:t>
      </w:r>
      <w:r w:rsidR="00390E2B" w:rsidRPr="00C3555B">
        <w:t>envíe</w:t>
      </w:r>
      <w:r w:rsidRPr="00C3555B">
        <w:t xml:space="preserve"> a las partes y a la Comisión </w:t>
      </w:r>
      <w:r w:rsidR="00390E2B" w:rsidRPr="00C3555B">
        <w:t>copia de</w:t>
      </w:r>
      <w:r w:rsidRPr="00C3555B">
        <w:t xml:space="preserve"> la grabación de la diligencia </w:t>
      </w:r>
      <w:r w:rsidR="00390E2B" w:rsidRPr="00C3555B">
        <w:t>en la que se reciban las declaraciones a las que se refiere el punto resolutivo 1</w:t>
      </w:r>
      <w:r w:rsidRPr="00C3555B">
        <w:t xml:space="preserve">. </w:t>
      </w:r>
    </w:p>
    <w:p w14:paraId="415E955D" w14:textId="77777777" w:rsidR="00C54EC9" w:rsidRPr="00C3555B" w:rsidRDefault="00C54EC9" w:rsidP="002026AD">
      <w:pPr>
        <w:pStyle w:val="Prrafodelista"/>
        <w:tabs>
          <w:tab w:val="clear" w:pos="720"/>
          <w:tab w:val="clear" w:pos="810"/>
          <w:tab w:val="left" w:pos="567"/>
        </w:tabs>
      </w:pPr>
    </w:p>
    <w:p w14:paraId="647CDB93" w14:textId="16841F3A" w:rsidR="00E73079" w:rsidRPr="00C3555B" w:rsidRDefault="00C54EC9" w:rsidP="002026AD">
      <w:pPr>
        <w:pStyle w:val="Prrafodelista"/>
        <w:numPr>
          <w:ilvl w:val="0"/>
          <w:numId w:val="17"/>
        </w:numPr>
        <w:tabs>
          <w:tab w:val="clear" w:pos="720"/>
          <w:tab w:val="clear" w:pos="810"/>
          <w:tab w:val="left" w:pos="426"/>
          <w:tab w:val="left" w:pos="567"/>
        </w:tabs>
        <w:ind w:left="0" w:firstLine="0"/>
      </w:pPr>
      <w:r w:rsidRPr="00C3555B">
        <w:t>Informar a las partes y a la Comisión</w:t>
      </w:r>
      <w:r w:rsidR="00390E2B" w:rsidRPr="00C3555B">
        <w:t xml:space="preserve"> que</w:t>
      </w:r>
      <w:r w:rsidRPr="00C3555B">
        <w:t xml:space="preserve"> cuentan con plazo hasta el </w:t>
      </w:r>
      <w:r w:rsidR="00AB392A" w:rsidRPr="00C3555B">
        <w:t>2</w:t>
      </w:r>
      <w:r w:rsidR="006B7D8F" w:rsidRPr="00C3555B">
        <w:t>5</w:t>
      </w:r>
      <w:r w:rsidRPr="00C3555B">
        <w:t xml:space="preserve"> de abril de 2022, en los términos del artículo 56 del Reglamento, para presentar sus alegatos finales escritos y observaciones finales escritas, respectivamente, en relación con </w:t>
      </w:r>
      <w:r w:rsidR="00390E2B" w:rsidRPr="00C3555B">
        <w:t>el</w:t>
      </w:r>
      <w:r w:rsidRPr="00C3555B">
        <w:t xml:space="preserve"> fondo,</w:t>
      </w:r>
      <w:r w:rsidR="00390E2B" w:rsidRPr="00C3555B">
        <w:t xml:space="preserve"> y eventuales</w:t>
      </w:r>
      <w:r w:rsidRPr="00C3555B">
        <w:t xml:space="preserve"> reparaciones y costas en el presente caso. Este plazo es improrrogable.  </w:t>
      </w:r>
    </w:p>
    <w:p w14:paraId="2500726B" w14:textId="77777777" w:rsidR="00E73079" w:rsidRPr="00C3555B" w:rsidRDefault="00E73079" w:rsidP="002026AD">
      <w:pPr>
        <w:pStyle w:val="Prrafodelista"/>
        <w:tabs>
          <w:tab w:val="clear" w:pos="720"/>
          <w:tab w:val="clear" w:pos="810"/>
          <w:tab w:val="left" w:pos="567"/>
        </w:tabs>
      </w:pPr>
    </w:p>
    <w:p w14:paraId="708DE588" w14:textId="2BD2B5E2" w:rsidR="00E73079" w:rsidRPr="00C3555B" w:rsidRDefault="00E73079" w:rsidP="002026AD">
      <w:pPr>
        <w:pStyle w:val="Prrafodelista"/>
        <w:numPr>
          <w:ilvl w:val="0"/>
          <w:numId w:val="17"/>
        </w:numPr>
        <w:tabs>
          <w:tab w:val="clear" w:pos="720"/>
          <w:tab w:val="clear" w:pos="810"/>
          <w:tab w:val="left" w:pos="426"/>
          <w:tab w:val="left" w:pos="567"/>
        </w:tabs>
        <w:ind w:left="0" w:firstLine="0"/>
      </w:pPr>
      <w:r w:rsidRPr="00C3555B">
        <w:t xml:space="preserve">Disponer, de conformidad con el artículo 4 del Reglamento de la Corte sobre el Funcionamiento del Fondo de Asistencia Legal de Víctimas, que la Secretaría del Tribunal </w:t>
      </w:r>
      <w:r w:rsidRPr="00C3555B">
        <w:lastRenderedPageBreak/>
        <w:t xml:space="preserve">abra un expediente de gastos, en el que se documentará cada una de las erogaciones que se realicen con </w:t>
      </w:r>
      <w:r w:rsidR="00390E2B" w:rsidRPr="00C3555B">
        <w:t>cargo al</w:t>
      </w:r>
      <w:r w:rsidRPr="00C3555B">
        <w:t xml:space="preserve"> Fondo de Asistencia Legal de Víctimas.</w:t>
      </w:r>
    </w:p>
    <w:p w14:paraId="647E6549" w14:textId="77777777" w:rsidR="00E73079" w:rsidRPr="00C3555B" w:rsidRDefault="00E73079" w:rsidP="002026AD">
      <w:pPr>
        <w:tabs>
          <w:tab w:val="clear" w:pos="720"/>
          <w:tab w:val="clear" w:pos="810"/>
          <w:tab w:val="left" w:pos="426"/>
          <w:tab w:val="left" w:pos="567"/>
        </w:tabs>
      </w:pPr>
    </w:p>
    <w:p w14:paraId="5F319C45" w14:textId="3A49C3A9" w:rsidR="00835B03" w:rsidRPr="00C3555B" w:rsidRDefault="00835B03" w:rsidP="002026AD">
      <w:pPr>
        <w:pStyle w:val="Prrafodelista"/>
        <w:numPr>
          <w:ilvl w:val="0"/>
          <w:numId w:val="17"/>
        </w:numPr>
        <w:tabs>
          <w:tab w:val="clear" w:pos="720"/>
          <w:tab w:val="clear" w:pos="810"/>
          <w:tab w:val="left" w:pos="426"/>
          <w:tab w:val="left" w:pos="567"/>
        </w:tabs>
        <w:ind w:left="0" w:firstLine="0"/>
      </w:pPr>
      <w:r w:rsidRPr="00C3555B">
        <w:t>Disponer que la Secretaría de la Corte Interamericana notifique la presente Resolución a la Comisión Interamericana, a</w:t>
      </w:r>
      <w:r w:rsidR="00DB2DE3" w:rsidRPr="00C3555B">
        <w:t xml:space="preserve"> </w:t>
      </w:r>
      <w:r w:rsidRPr="00C3555B">
        <w:t>l</w:t>
      </w:r>
      <w:r w:rsidR="00DB2DE3" w:rsidRPr="00C3555B">
        <w:t>os</w:t>
      </w:r>
      <w:r w:rsidRPr="00C3555B">
        <w:t xml:space="preserve"> representante</w:t>
      </w:r>
      <w:r w:rsidR="00DB2DE3" w:rsidRPr="00C3555B">
        <w:t>s</w:t>
      </w:r>
      <w:r w:rsidRPr="00C3555B">
        <w:t xml:space="preserve"> y al Estado.</w:t>
      </w:r>
    </w:p>
    <w:p w14:paraId="7213D88C" w14:textId="7E677588" w:rsidR="00D50CD2" w:rsidRDefault="00D50CD2" w:rsidP="002026AD"/>
    <w:p w14:paraId="0D44F749" w14:textId="09271EBD" w:rsidR="00567838" w:rsidRDefault="00567838">
      <w:pPr>
        <w:tabs>
          <w:tab w:val="clear" w:pos="720"/>
          <w:tab w:val="clear" w:pos="810"/>
        </w:tabs>
        <w:autoSpaceDE/>
        <w:autoSpaceDN/>
        <w:adjustRightInd/>
        <w:spacing w:after="80"/>
        <w:jc w:val="left"/>
      </w:pPr>
    </w:p>
    <w:p w14:paraId="6B29D554" w14:textId="77777777" w:rsidR="00835B03" w:rsidRDefault="00835B03" w:rsidP="002026AD"/>
    <w:p w14:paraId="7D39C1D5" w14:textId="77777777" w:rsidR="00524687" w:rsidRDefault="00524687" w:rsidP="002026AD"/>
    <w:p w14:paraId="0AAD40F9" w14:textId="37D33287" w:rsidR="00567838" w:rsidRDefault="00567838" w:rsidP="00567838">
      <w:pPr>
        <w:rPr>
          <w:rFonts w:cs="Arial"/>
          <w:lang w:val="es-CR"/>
        </w:rPr>
      </w:pPr>
      <w:r w:rsidRPr="00716EB6">
        <w:rPr>
          <w:rFonts w:cs="Arial"/>
          <w:lang w:val="es-CR"/>
        </w:rPr>
        <w:t>Corte IDH</w:t>
      </w:r>
      <w:r>
        <w:rPr>
          <w:rFonts w:cs="Arial"/>
          <w:lang w:val="es-CR"/>
        </w:rPr>
        <w:t>.</w:t>
      </w:r>
      <w:r w:rsidRPr="00567838">
        <w:t xml:space="preserve"> </w:t>
      </w:r>
      <w:r w:rsidRPr="00567838">
        <w:rPr>
          <w:i/>
          <w:iCs/>
        </w:rPr>
        <w:t xml:space="preserve">Caso Leguizamón </w:t>
      </w:r>
      <w:proofErr w:type="spellStart"/>
      <w:r w:rsidRPr="00567838">
        <w:rPr>
          <w:i/>
          <w:iCs/>
        </w:rPr>
        <w:t>Zaván</w:t>
      </w:r>
      <w:proofErr w:type="spellEnd"/>
      <w:r w:rsidRPr="00567838">
        <w:rPr>
          <w:i/>
          <w:iCs/>
        </w:rPr>
        <w:t xml:space="preserve"> y otros Vs. Paraguay</w:t>
      </w:r>
      <w:r>
        <w:t>.</w:t>
      </w:r>
      <w:r w:rsidRPr="00716EB6">
        <w:rPr>
          <w:rFonts w:cs="Arial"/>
          <w:lang w:val="es-CR"/>
        </w:rPr>
        <w:t xml:space="preserve"> </w:t>
      </w:r>
      <w:r w:rsidRPr="00716EB6">
        <w:rPr>
          <w:rFonts w:cs="Arial"/>
          <w:iCs/>
          <w:lang w:val="es-CR"/>
        </w:rPr>
        <w:t>Resolución</w:t>
      </w:r>
      <w:r w:rsidRPr="00716EB6">
        <w:rPr>
          <w:rFonts w:cs="Arial"/>
          <w:lang w:val="es-CR"/>
        </w:rPr>
        <w:t xml:space="preserve"> de</w:t>
      </w:r>
      <w:r>
        <w:rPr>
          <w:rFonts w:cs="Arial"/>
          <w:lang w:val="es-CR"/>
        </w:rPr>
        <w:t xml:space="preserve">l </w:t>
      </w:r>
      <w:proofErr w:type="gramStart"/>
      <w:r w:rsidRPr="00716EB6">
        <w:rPr>
          <w:rFonts w:cs="Arial"/>
          <w:lang w:val="es-CR"/>
        </w:rPr>
        <w:t>President</w:t>
      </w:r>
      <w:r>
        <w:rPr>
          <w:rFonts w:cs="Arial"/>
          <w:lang w:val="es-CR"/>
        </w:rPr>
        <w:t>e</w:t>
      </w:r>
      <w:proofErr w:type="gramEnd"/>
      <w:r w:rsidRPr="00716EB6">
        <w:rPr>
          <w:rFonts w:cs="Arial"/>
          <w:lang w:val="es-CR"/>
        </w:rPr>
        <w:t xml:space="preserve"> de la Corte Interamericana de Derechos Humanos de </w:t>
      </w:r>
      <w:r>
        <w:rPr>
          <w:rFonts w:cs="Arial"/>
          <w:lang w:val="es-CR"/>
        </w:rPr>
        <w:t>17 de febrero de 2022</w:t>
      </w:r>
      <w:r w:rsidRPr="00716EB6">
        <w:rPr>
          <w:rFonts w:cs="Arial"/>
          <w:lang w:val="es-CR"/>
        </w:rPr>
        <w:t>.</w:t>
      </w:r>
    </w:p>
    <w:p w14:paraId="33A246B5" w14:textId="77777777" w:rsidR="00567838" w:rsidRDefault="00567838" w:rsidP="00567838"/>
    <w:p w14:paraId="737F54B5" w14:textId="77777777" w:rsidR="00567838" w:rsidRDefault="00567838" w:rsidP="00567838"/>
    <w:p w14:paraId="76E1A47A" w14:textId="77777777" w:rsidR="00567838" w:rsidRDefault="00567838" w:rsidP="00567838"/>
    <w:p w14:paraId="496FDEEC" w14:textId="77777777" w:rsidR="00567838" w:rsidRDefault="00567838" w:rsidP="00567838"/>
    <w:p w14:paraId="63C7CE49" w14:textId="77777777" w:rsidR="00567838" w:rsidRDefault="00567838" w:rsidP="00567838"/>
    <w:p w14:paraId="0BE7AA9A" w14:textId="004474A2" w:rsidR="00567838" w:rsidRPr="00CD72B7" w:rsidRDefault="00567838" w:rsidP="00567838">
      <w:pPr>
        <w:jc w:val="right"/>
      </w:pPr>
      <w:r>
        <w:t>Ricardo C. Pérez Manrique</w:t>
      </w:r>
    </w:p>
    <w:p w14:paraId="51887E1C" w14:textId="3F3B375F" w:rsidR="00567838" w:rsidRPr="004B5595" w:rsidRDefault="00567838" w:rsidP="00567838">
      <w:pPr>
        <w:ind w:right="758"/>
        <w:jc w:val="right"/>
      </w:pPr>
      <w:proofErr w:type="spellStart"/>
      <w:r>
        <w:t>President</w:t>
      </w:r>
      <w:proofErr w:type="spellEnd"/>
      <w:r>
        <w:rPr>
          <w:lang w:val="es-CR"/>
        </w:rPr>
        <w:t>e</w:t>
      </w:r>
    </w:p>
    <w:p w14:paraId="7C5AD06D" w14:textId="77777777" w:rsidR="00567838" w:rsidRDefault="00567838" w:rsidP="00567838">
      <w:pPr>
        <w:rPr>
          <w:lang w:val="es-CR"/>
        </w:rPr>
      </w:pPr>
    </w:p>
    <w:p w14:paraId="42FAD577" w14:textId="77777777" w:rsidR="00567838" w:rsidRDefault="00567838" w:rsidP="00567838">
      <w:pPr>
        <w:rPr>
          <w:lang w:val="es-CR"/>
        </w:rPr>
      </w:pPr>
    </w:p>
    <w:p w14:paraId="2BDC176A" w14:textId="77777777" w:rsidR="00567838" w:rsidRDefault="00567838" w:rsidP="00567838">
      <w:pPr>
        <w:rPr>
          <w:lang w:val="es-CR"/>
        </w:rPr>
      </w:pPr>
    </w:p>
    <w:p w14:paraId="357B078A" w14:textId="77777777" w:rsidR="00567838" w:rsidRDefault="00567838" w:rsidP="00567838">
      <w:pPr>
        <w:tabs>
          <w:tab w:val="left" w:pos="8460"/>
          <w:tab w:val="left" w:pos="8640"/>
        </w:tabs>
        <w:rPr>
          <w:lang w:val="es-CR"/>
        </w:rPr>
      </w:pPr>
    </w:p>
    <w:p w14:paraId="4BDCFE4B" w14:textId="77777777" w:rsidR="00567838" w:rsidRPr="00274D2F" w:rsidRDefault="00567838" w:rsidP="00567838">
      <w:pPr>
        <w:tabs>
          <w:tab w:val="left" w:pos="8460"/>
          <w:tab w:val="left" w:pos="8640"/>
        </w:tabs>
        <w:jc w:val="center"/>
        <w:rPr>
          <w:lang w:val="es-CR"/>
        </w:rPr>
      </w:pPr>
    </w:p>
    <w:p w14:paraId="78144FD2" w14:textId="77777777" w:rsidR="00567838" w:rsidRDefault="00567838" w:rsidP="00567838">
      <w:pPr>
        <w:tabs>
          <w:tab w:val="left" w:pos="8460"/>
          <w:tab w:val="left" w:pos="8640"/>
        </w:tabs>
        <w:jc w:val="left"/>
      </w:pPr>
      <w:r>
        <w:t>Pablo Saavedra Alessandri</w:t>
      </w:r>
    </w:p>
    <w:p w14:paraId="3E471D8E" w14:textId="77777777" w:rsidR="00567838" w:rsidRDefault="00567838" w:rsidP="00567838">
      <w:pPr>
        <w:tabs>
          <w:tab w:val="left" w:pos="8460"/>
          <w:tab w:val="left" w:pos="8640"/>
        </w:tabs>
        <w:jc w:val="left"/>
      </w:pPr>
      <w:r>
        <w:t xml:space="preserve">           Secretario</w:t>
      </w:r>
    </w:p>
    <w:p w14:paraId="4945AA93" w14:textId="77777777" w:rsidR="00567838" w:rsidRDefault="00567838" w:rsidP="00567838"/>
    <w:p w14:paraId="10ADA904" w14:textId="77777777" w:rsidR="00567838" w:rsidRDefault="00567838" w:rsidP="00567838"/>
    <w:p w14:paraId="7139A93C" w14:textId="77777777" w:rsidR="00567838" w:rsidRDefault="00567838" w:rsidP="00567838"/>
    <w:p w14:paraId="4C1E5822" w14:textId="77777777" w:rsidR="00567838" w:rsidRDefault="00567838" w:rsidP="00567838">
      <w:pPr>
        <w:tabs>
          <w:tab w:val="left" w:pos="8460"/>
          <w:tab w:val="left" w:pos="8640"/>
        </w:tabs>
      </w:pPr>
      <w:r>
        <w:t>Comuníquese y ejecútese,</w:t>
      </w:r>
    </w:p>
    <w:p w14:paraId="4327FB93" w14:textId="77777777" w:rsidR="00567838" w:rsidRDefault="00567838" w:rsidP="00567838">
      <w:pPr>
        <w:rPr>
          <w:lang w:val="es-CR"/>
        </w:rPr>
      </w:pPr>
    </w:p>
    <w:p w14:paraId="6FEB0D77" w14:textId="77777777" w:rsidR="00567838" w:rsidRDefault="00567838" w:rsidP="00567838">
      <w:pPr>
        <w:rPr>
          <w:lang w:val="es-CR"/>
        </w:rPr>
      </w:pPr>
    </w:p>
    <w:p w14:paraId="277090FB" w14:textId="77777777" w:rsidR="00567838" w:rsidRDefault="00567838" w:rsidP="00567838">
      <w:pPr>
        <w:jc w:val="center"/>
        <w:rPr>
          <w:lang w:val="es-CR"/>
        </w:rPr>
      </w:pPr>
    </w:p>
    <w:p w14:paraId="397F8D16" w14:textId="77777777" w:rsidR="00567838" w:rsidRPr="00CD72B7" w:rsidRDefault="00567838" w:rsidP="00567838">
      <w:pPr>
        <w:jc w:val="right"/>
      </w:pPr>
      <w:r>
        <w:t>Ricardo C. Pérez Manrique</w:t>
      </w:r>
    </w:p>
    <w:p w14:paraId="6D545157" w14:textId="77777777" w:rsidR="00567838" w:rsidRPr="004B5595" w:rsidRDefault="00567838" w:rsidP="00567838">
      <w:pPr>
        <w:ind w:right="758"/>
        <w:jc w:val="right"/>
      </w:pPr>
      <w:proofErr w:type="spellStart"/>
      <w:r>
        <w:t>President</w:t>
      </w:r>
      <w:proofErr w:type="spellEnd"/>
      <w:r>
        <w:rPr>
          <w:lang w:val="es-CR"/>
        </w:rPr>
        <w:t>e</w:t>
      </w:r>
    </w:p>
    <w:p w14:paraId="028CCC8F" w14:textId="77777777" w:rsidR="00567838" w:rsidRDefault="00567838" w:rsidP="00567838">
      <w:pPr>
        <w:tabs>
          <w:tab w:val="left" w:pos="8460"/>
          <w:tab w:val="left" w:pos="8640"/>
        </w:tabs>
      </w:pPr>
    </w:p>
    <w:p w14:paraId="6E902B24" w14:textId="77777777" w:rsidR="00567838" w:rsidRDefault="00567838" w:rsidP="00567838">
      <w:pPr>
        <w:tabs>
          <w:tab w:val="left" w:pos="8460"/>
          <w:tab w:val="left" w:pos="8640"/>
        </w:tabs>
      </w:pPr>
    </w:p>
    <w:p w14:paraId="2BD3EFD4" w14:textId="77777777" w:rsidR="00567838" w:rsidRDefault="00567838" w:rsidP="00567838">
      <w:pPr>
        <w:tabs>
          <w:tab w:val="left" w:pos="8460"/>
          <w:tab w:val="left" w:pos="8640"/>
        </w:tabs>
      </w:pPr>
    </w:p>
    <w:p w14:paraId="7CA46A35" w14:textId="77777777" w:rsidR="00567838" w:rsidRDefault="00567838" w:rsidP="00567838">
      <w:pPr>
        <w:tabs>
          <w:tab w:val="left" w:pos="8460"/>
          <w:tab w:val="left" w:pos="8640"/>
        </w:tabs>
      </w:pPr>
    </w:p>
    <w:p w14:paraId="4A8B7D6C" w14:textId="77777777" w:rsidR="00567838" w:rsidRDefault="00567838" w:rsidP="00567838">
      <w:pPr>
        <w:tabs>
          <w:tab w:val="left" w:pos="8460"/>
          <w:tab w:val="left" w:pos="8640"/>
        </w:tabs>
      </w:pPr>
    </w:p>
    <w:p w14:paraId="64576FF9" w14:textId="77777777" w:rsidR="00567838" w:rsidRDefault="00567838" w:rsidP="00567838">
      <w:pPr>
        <w:tabs>
          <w:tab w:val="left" w:pos="8460"/>
          <w:tab w:val="left" w:pos="8640"/>
        </w:tabs>
      </w:pPr>
      <w:r>
        <w:t>Pablo Saavedra Alessandri</w:t>
      </w:r>
    </w:p>
    <w:p w14:paraId="096F9833" w14:textId="77777777" w:rsidR="00567838" w:rsidRDefault="00567838" w:rsidP="00567838">
      <w:pPr>
        <w:ind w:firstLine="720"/>
      </w:pPr>
      <w:r>
        <w:t xml:space="preserve">  Secretario</w:t>
      </w:r>
    </w:p>
    <w:p w14:paraId="2BCDFD0B" w14:textId="77777777" w:rsidR="00524687" w:rsidRDefault="00524687" w:rsidP="002026AD"/>
    <w:p w14:paraId="187161CB" w14:textId="77777777" w:rsidR="00524687" w:rsidRDefault="00524687" w:rsidP="002026AD"/>
    <w:p w14:paraId="1EB8B499" w14:textId="77777777" w:rsidR="00524687" w:rsidRDefault="00524687" w:rsidP="002026AD"/>
    <w:p w14:paraId="2EF50AC1" w14:textId="77777777" w:rsidR="00524687" w:rsidRPr="00524687" w:rsidRDefault="00524687" w:rsidP="002026AD"/>
    <w:p w14:paraId="2C4092D2" w14:textId="77777777" w:rsidR="00524687" w:rsidRPr="00524687" w:rsidRDefault="00524687" w:rsidP="002026AD"/>
    <w:sectPr w:rsidR="00524687" w:rsidRPr="0052468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DAA11" w14:textId="77777777" w:rsidR="00527E8C" w:rsidRDefault="00527E8C" w:rsidP="002C6451">
      <w:r>
        <w:separator/>
      </w:r>
    </w:p>
  </w:endnote>
  <w:endnote w:type="continuationSeparator" w:id="0">
    <w:p w14:paraId="19DFB2C2" w14:textId="77777777" w:rsidR="00527E8C" w:rsidRDefault="00527E8C" w:rsidP="002C6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1BDCF" w14:textId="77777777" w:rsidR="00527E8C" w:rsidRDefault="00527E8C" w:rsidP="002C6451">
      <w:r>
        <w:separator/>
      </w:r>
    </w:p>
  </w:footnote>
  <w:footnote w:type="continuationSeparator" w:id="0">
    <w:p w14:paraId="4034BF83" w14:textId="77777777" w:rsidR="00527E8C" w:rsidRDefault="00527E8C" w:rsidP="002C6451">
      <w:r>
        <w:continuationSeparator/>
      </w:r>
    </w:p>
  </w:footnote>
  <w:footnote w:id="1">
    <w:p w14:paraId="32C6102A" w14:textId="77224CF4" w:rsidR="00B54B53" w:rsidRPr="00166402" w:rsidRDefault="00B54B53" w:rsidP="005F5576">
      <w:pPr>
        <w:pStyle w:val="Textonotapie"/>
        <w:spacing w:before="100"/>
        <w:rPr>
          <w:strike/>
          <w:sz w:val="16"/>
          <w:szCs w:val="16"/>
          <w:lang w:val="es-CO"/>
        </w:rPr>
      </w:pPr>
      <w:r w:rsidRPr="00166402">
        <w:rPr>
          <w:rStyle w:val="Refdenotaalpie"/>
          <w:sz w:val="16"/>
          <w:szCs w:val="16"/>
          <w:lang w:val="es-CO"/>
        </w:rPr>
        <w:footnoteRef/>
      </w:r>
      <w:r w:rsidR="002631A3" w:rsidRPr="00166402">
        <w:rPr>
          <w:sz w:val="16"/>
          <w:szCs w:val="16"/>
          <w:lang w:val="es-CO"/>
        </w:rPr>
        <w:t xml:space="preserve"> </w:t>
      </w:r>
      <w:r w:rsidR="002631A3" w:rsidRPr="00166402">
        <w:rPr>
          <w:sz w:val="16"/>
          <w:szCs w:val="16"/>
          <w:lang w:val="es-CO"/>
        </w:rPr>
        <w:tab/>
        <w:t>Los representantes de las presuntas víctimas son Dante Ariel Leguizamón Morra, Hugo Valiente</w:t>
      </w:r>
      <w:r w:rsidR="00D32693" w:rsidRPr="00166402">
        <w:rPr>
          <w:sz w:val="16"/>
          <w:szCs w:val="16"/>
          <w:lang w:val="es-CO"/>
        </w:rPr>
        <w:t xml:space="preserve"> Rojas, Julia Cabello Alonso y </w:t>
      </w:r>
      <w:r w:rsidR="00AC19F1">
        <w:rPr>
          <w:sz w:val="16"/>
          <w:szCs w:val="16"/>
          <w:lang w:val="es-CO"/>
        </w:rPr>
        <w:t>Ó</w:t>
      </w:r>
      <w:r w:rsidR="00D32693" w:rsidRPr="00166402">
        <w:rPr>
          <w:sz w:val="16"/>
          <w:szCs w:val="16"/>
          <w:lang w:val="es-CO"/>
        </w:rPr>
        <w:t>scar Ayala Amarilla, abogada</w:t>
      </w:r>
      <w:r w:rsidR="002631A3" w:rsidRPr="00166402">
        <w:rPr>
          <w:sz w:val="16"/>
          <w:szCs w:val="16"/>
          <w:lang w:val="es-CO"/>
        </w:rPr>
        <w:t xml:space="preserve"> y abogados de la Coordinadora de Derechos Humanos del Paraguay (CODEHUPY).</w:t>
      </w:r>
    </w:p>
  </w:footnote>
  <w:footnote w:id="2">
    <w:p w14:paraId="2587A01B" w14:textId="575F4514" w:rsidR="006F13BA" w:rsidRPr="00166402" w:rsidRDefault="006F13BA" w:rsidP="005F5576">
      <w:pPr>
        <w:pStyle w:val="Textonotapie"/>
        <w:spacing w:before="100"/>
        <w:rPr>
          <w:rStyle w:val="Textoennegrita"/>
          <w:sz w:val="16"/>
          <w:szCs w:val="16"/>
          <w:shd w:val="clear" w:color="auto" w:fill="FFFFFF"/>
          <w:lang w:val="es-CO"/>
        </w:rPr>
      </w:pPr>
      <w:r w:rsidRPr="00166402">
        <w:rPr>
          <w:rStyle w:val="Refdenotaalpie"/>
          <w:sz w:val="16"/>
          <w:szCs w:val="16"/>
          <w:lang w:val="es-CO"/>
        </w:rPr>
        <w:footnoteRef/>
      </w:r>
      <w:r w:rsidRPr="00166402">
        <w:rPr>
          <w:sz w:val="16"/>
          <w:szCs w:val="16"/>
          <w:lang w:val="es-CO"/>
        </w:rPr>
        <w:t xml:space="preserve"> </w:t>
      </w:r>
      <w:r w:rsidRPr="00166402">
        <w:rPr>
          <w:sz w:val="16"/>
          <w:szCs w:val="16"/>
          <w:lang w:val="es-CO"/>
        </w:rPr>
        <w:tab/>
      </w:r>
      <w:r w:rsidRPr="00166402">
        <w:rPr>
          <w:i/>
          <w:sz w:val="16"/>
          <w:szCs w:val="16"/>
          <w:lang w:val="es-CO"/>
        </w:rPr>
        <w:t>Cfr.</w:t>
      </w:r>
      <w:r w:rsidRPr="00166402">
        <w:rPr>
          <w:sz w:val="16"/>
          <w:szCs w:val="16"/>
          <w:lang w:val="es-CO"/>
        </w:rPr>
        <w:t xml:space="preserve"> </w:t>
      </w:r>
      <w:r w:rsidRPr="00166402">
        <w:rPr>
          <w:rStyle w:val="Textoennegrita"/>
          <w:b w:val="0"/>
          <w:i/>
          <w:sz w:val="16"/>
          <w:szCs w:val="16"/>
          <w:shd w:val="clear" w:color="auto" w:fill="FFFFFF"/>
          <w:lang w:val="es-CO"/>
        </w:rPr>
        <w:t xml:space="preserve">Caso </w:t>
      </w:r>
      <w:proofErr w:type="spellStart"/>
      <w:r w:rsidRPr="00166402">
        <w:rPr>
          <w:rStyle w:val="Textoennegrita"/>
          <w:b w:val="0"/>
          <w:i/>
          <w:sz w:val="16"/>
          <w:szCs w:val="16"/>
          <w:shd w:val="clear" w:color="auto" w:fill="FFFFFF"/>
          <w:lang w:val="es-CO"/>
        </w:rPr>
        <w:t>Goiburú</w:t>
      </w:r>
      <w:proofErr w:type="spellEnd"/>
      <w:r w:rsidRPr="00166402">
        <w:rPr>
          <w:rStyle w:val="Textoennegrita"/>
          <w:b w:val="0"/>
          <w:i/>
          <w:sz w:val="16"/>
          <w:szCs w:val="16"/>
          <w:shd w:val="clear" w:color="auto" w:fill="FFFFFF"/>
          <w:lang w:val="es-CO"/>
        </w:rPr>
        <w:t xml:space="preserve"> y otros Vs. Paraguay.</w:t>
      </w:r>
      <w:r w:rsidRPr="00166402">
        <w:rPr>
          <w:rStyle w:val="Textoennegrita"/>
          <w:b w:val="0"/>
          <w:sz w:val="16"/>
          <w:szCs w:val="16"/>
          <w:shd w:val="clear" w:color="auto" w:fill="FFFFFF"/>
          <w:lang w:val="es-CO"/>
        </w:rPr>
        <w:t xml:space="preserve"> Resolución del </w:t>
      </w:r>
      <w:proofErr w:type="gramStart"/>
      <w:r w:rsidRPr="00166402">
        <w:rPr>
          <w:rStyle w:val="Textoennegrita"/>
          <w:b w:val="0"/>
          <w:sz w:val="16"/>
          <w:szCs w:val="16"/>
          <w:shd w:val="clear" w:color="auto" w:fill="FFFFFF"/>
          <w:lang w:val="es-CO"/>
        </w:rPr>
        <w:t>Presidente</w:t>
      </w:r>
      <w:proofErr w:type="gramEnd"/>
      <w:r w:rsidRPr="00166402">
        <w:rPr>
          <w:rStyle w:val="Textoennegrita"/>
          <w:b w:val="0"/>
          <w:sz w:val="16"/>
          <w:szCs w:val="16"/>
          <w:shd w:val="clear" w:color="auto" w:fill="FFFFFF"/>
          <w:lang w:val="es-CO"/>
        </w:rPr>
        <w:t xml:space="preserve"> de la Corte Interamericana de Derechos Humanos de 5 de mayo de 2006, Considerando 11, </w:t>
      </w:r>
      <w:r w:rsidRPr="00166402">
        <w:rPr>
          <w:sz w:val="16"/>
          <w:szCs w:val="16"/>
          <w:lang w:val="es-CO"/>
        </w:rPr>
        <w:t xml:space="preserve">y </w:t>
      </w:r>
      <w:r w:rsidR="00A75E59" w:rsidRPr="00166402">
        <w:rPr>
          <w:rStyle w:val="Textoennegrita"/>
          <w:b w:val="0"/>
          <w:i/>
          <w:sz w:val="16"/>
          <w:szCs w:val="16"/>
          <w:shd w:val="clear" w:color="auto" w:fill="FFFFFF"/>
          <w:lang w:val="es-CO"/>
        </w:rPr>
        <w:t>Caso Moya Solís Vs. Perú</w:t>
      </w:r>
      <w:r w:rsidR="00A75E59" w:rsidRPr="00166402">
        <w:rPr>
          <w:rStyle w:val="Textoennegrita"/>
          <w:b w:val="0"/>
          <w:sz w:val="16"/>
          <w:szCs w:val="16"/>
          <w:shd w:val="clear" w:color="auto" w:fill="FFFFFF"/>
          <w:lang w:val="es-CO"/>
        </w:rPr>
        <w:t xml:space="preserve">. Resolución de la </w:t>
      </w:r>
      <w:proofErr w:type="gramStart"/>
      <w:r w:rsidR="00A75E59" w:rsidRPr="00166402">
        <w:rPr>
          <w:rStyle w:val="Textoennegrita"/>
          <w:b w:val="0"/>
          <w:sz w:val="16"/>
          <w:szCs w:val="16"/>
          <w:shd w:val="clear" w:color="auto" w:fill="FFFFFF"/>
          <w:lang w:val="es-CO"/>
        </w:rPr>
        <w:t>Presidenta</w:t>
      </w:r>
      <w:proofErr w:type="gramEnd"/>
      <w:r w:rsidR="00A75E59" w:rsidRPr="00166402">
        <w:rPr>
          <w:rStyle w:val="Textoennegrita"/>
          <w:b w:val="0"/>
          <w:sz w:val="16"/>
          <w:szCs w:val="16"/>
          <w:shd w:val="clear" w:color="auto" w:fill="FFFFFF"/>
          <w:lang w:val="es-CO"/>
        </w:rPr>
        <w:t xml:space="preserve"> de la Corte Interamericana de Derechos Humanos de 1 de febrero de 2021, Considerando 6.</w:t>
      </w:r>
    </w:p>
  </w:footnote>
  <w:footnote w:id="3">
    <w:p w14:paraId="3A2A5233" w14:textId="0535181E" w:rsidR="00C7473E" w:rsidRPr="00166402" w:rsidRDefault="00C7473E" w:rsidP="005F5576">
      <w:pPr>
        <w:pStyle w:val="Textonotapie"/>
        <w:spacing w:before="100"/>
        <w:rPr>
          <w:sz w:val="16"/>
          <w:szCs w:val="16"/>
          <w:lang w:val="es-CO"/>
        </w:rPr>
      </w:pPr>
      <w:r w:rsidRPr="00166402">
        <w:rPr>
          <w:rStyle w:val="Refdenotaalpie"/>
          <w:sz w:val="16"/>
          <w:szCs w:val="16"/>
          <w:lang w:val="es-CO"/>
        </w:rPr>
        <w:footnoteRef/>
      </w:r>
      <w:r w:rsidRPr="00166402">
        <w:rPr>
          <w:sz w:val="16"/>
          <w:szCs w:val="16"/>
          <w:lang w:val="es-CO"/>
        </w:rPr>
        <w:t xml:space="preserve"> </w:t>
      </w:r>
      <w:r w:rsidRPr="00166402">
        <w:rPr>
          <w:sz w:val="16"/>
          <w:szCs w:val="16"/>
          <w:lang w:val="es-CO"/>
        </w:rPr>
        <w:tab/>
        <w:t xml:space="preserve">El objeto del peritaje de los señores Iván Velásquez </w:t>
      </w:r>
      <w:r w:rsidR="003C6FE2">
        <w:rPr>
          <w:sz w:val="16"/>
          <w:szCs w:val="16"/>
          <w:lang w:val="es-CO"/>
        </w:rPr>
        <w:t xml:space="preserve">Gómez </w:t>
      </w:r>
      <w:r w:rsidRPr="00166402">
        <w:rPr>
          <w:sz w:val="16"/>
          <w:szCs w:val="16"/>
          <w:lang w:val="es-CO"/>
        </w:rPr>
        <w:t xml:space="preserve">y </w:t>
      </w:r>
      <w:r w:rsidR="00FF118C">
        <w:rPr>
          <w:sz w:val="16"/>
          <w:szCs w:val="16"/>
          <w:lang w:val="es-CO"/>
        </w:rPr>
        <w:t xml:space="preserve">Luz </w:t>
      </w:r>
      <w:r w:rsidRPr="00166402">
        <w:rPr>
          <w:sz w:val="16"/>
          <w:szCs w:val="16"/>
          <w:lang w:val="es-CO"/>
        </w:rPr>
        <w:t>Adriana Camargo</w:t>
      </w:r>
      <w:r w:rsidR="003C6FE2">
        <w:rPr>
          <w:sz w:val="16"/>
          <w:szCs w:val="16"/>
          <w:lang w:val="es-CO"/>
        </w:rPr>
        <w:t xml:space="preserve"> Garzón</w:t>
      </w:r>
      <w:r w:rsidRPr="00166402">
        <w:rPr>
          <w:sz w:val="16"/>
          <w:szCs w:val="16"/>
          <w:lang w:val="es-CO"/>
        </w:rPr>
        <w:t xml:space="preserve">, </w:t>
      </w:r>
      <w:r w:rsidR="00FA760B">
        <w:rPr>
          <w:sz w:val="16"/>
          <w:szCs w:val="16"/>
          <w:lang w:val="es-CO"/>
        </w:rPr>
        <w:t xml:space="preserve">según fue </w:t>
      </w:r>
      <w:r w:rsidRPr="00166402">
        <w:rPr>
          <w:sz w:val="16"/>
          <w:szCs w:val="16"/>
          <w:lang w:val="es-CO"/>
        </w:rPr>
        <w:t>ofrecido por los representantes, se refiere a “l</w:t>
      </w:r>
      <w:r w:rsidRPr="008879C8">
        <w:rPr>
          <w:sz w:val="16"/>
          <w:szCs w:val="16"/>
          <w:lang w:val="es-CO"/>
        </w:rPr>
        <w:t>os patrones y las semejanzas del crimen de Santiago Leguizamón a la luz de los principales hallazgos y conclusiones del informe Zonas Silenciadas, elaborado por la Relatoría Especial para la Libertad de Expresión de la CIDH. Zonas silenciadas: Regiones de alta peligrosidad para ejercer l</w:t>
      </w:r>
      <w:r w:rsidRPr="008879C8">
        <w:rPr>
          <w:sz w:val="16"/>
          <w:szCs w:val="16"/>
        </w:rPr>
        <w:t xml:space="preserve">a libertad </w:t>
      </w:r>
      <w:r w:rsidR="00755DD5" w:rsidRPr="008879C8">
        <w:rPr>
          <w:sz w:val="16"/>
          <w:szCs w:val="16"/>
        </w:rPr>
        <w:t>de</w:t>
      </w:r>
      <w:r w:rsidR="00755DD5" w:rsidRPr="008879C8">
        <w:rPr>
          <w:sz w:val="16"/>
          <w:szCs w:val="16"/>
          <w:lang w:val="es-CO"/>
        </w:rPr>
        <w:t xml:space="preserve"> </w:t>
      </w:r>
      <w:r w:rsidRPr="008879C8">
        <w:rPr>
          <w:sz w:val="16"/>
          <w:szCs w:val="16"/>
          <w:lang w:val="es-CO"/>
        </w:rPr>
        <w:t xml:space="preserve">expresión </w:t>
      </w:r>
      <w:r w:rsidRPr="008879C8">
        <w:rPr>
          <w:sz w:val="16"/>
          <w:szCs w:val="16"/>
        </w:rPr>
        <w:t>[…]”</w:t>
      </w:r>
      <w:r w:rsidRPr="00166402">
        <w:rPr>
          <w:sz w:val="16"/>
          <w:szCs w:val="16"/>
        </w:rPr>
        <w:t xml:space="preserve"> Además, </w:t>
      </w:r>
      <w:r w:rsidR="007430CA" w:rsidRPr="00166402">
        <w:rPr>
          <w:sz w:val="16"/>
          <w:szCs w:val="16"/>
        </w:rPr>
        <w:t>se referirán también al</w:t>
      </w:r>
      <w:r w:rsidRPr="00166402">
        <w:rPr>
          <w:sz w:val="16"/>
          <w:szCs w:val="16"/>
        </w:rPr>
        <w:t xml:space="preserve"> “</w:t>
      </w:r>
      <w:r w:rsidRPr="008879C8">
        <w:rPr>
          <w:sz w:val="16"/>
          <w:szCs w:val="16"/>
        </w:rPr>
        <w:t>análisis de los problemas regionales con relación a l</w:t>
      </w:r>
      <w:r w:rsidRPr="008879C8">
        <w:rPr>
          <w:sz w:val="16"/>
          <w:szCs w:val="16"/>
          <w:lang w:val="es-CO"/>
        </w:rPr>
        <w:t>os</w:t>
      </w:r>
      <w:r w:rsidRPr="008879C8">
        <w:rPr>
          <w:sz w:val="16"/>
          <w:szCs w:val="16"/>
        </w:rPr>
        <w:t xml:space="preserve"> </w:t>
      </w:r>
      <w:r w:rsidRPr="008879C8">
        <w:rPr>
          <w:sz w:val="16"/>
          <w:szCs w:val="16"/>
          <w:lang w:val="es-CO"/>
        </w:rPr>
        <w:t xml:space="preserve">ataques </w:t>
      </w:r>
      <w:r w:rsidRPr="0081190E">
        <w:rPr>
          <w:sz w:val="16"/>
          <w:szCs w:val="16"/>
          <w:lang w:val="es-CO"/>
        </w:rPr>
        <w:t>a l</w:t>
      </w:r>
      <w:r w:rsidRPr="0081190E">
        <w:rPr>
          <w:sz w:val="16"/>
          <w:szCs w:val="16"/>
        </w:rPr>
        <w:t xml:space="preserve">a prensa e ilustrarán los patrones comunes existentes en la violencia </w:t>
      </w:r>
      <w:r w:rsidR="002553F7" w:rsidRPr="0081190E">
        <w:rPr>
          <w:sz w:val="16"/>
          <w:szCs w:val="16"/>
        </w:rPr>
        <w:t>contra</w:t>
      </w:r>
      <w:r w:rsidRPr="0081190E">
        <w:rPr>
          <w:sz w:val="16"/>
          <w:szCs w:val="16"/>
        </w:rPr>
        <w:t xml:space="preserve"> periodistas, </w:t>
      </w:r>
      <w:r w:rsidR="002553F7" w:rsidRPr="0081190E">
        <w:rPr>
          <w:sz w:val="16"/>
          <w:szCs w:val="16"/>
        </w:rPr>
        <w:t>sus</w:t>
      </w:r>
      <w:r w:rsidRPr="0081190E">
        <w:rPr>
          <w:sz w:val="16"/>
          <w:szCs w:val="16"/>
          <w:lang w:val="es-CO"/>
        </w:rPr>
        <w:t xml:space="preserve"> </w:t>
      </w:r>
      <w:r w:rsidR="002553F7" w:rsidRPr="0081190E">
        <w:rPr>
          <w:sz w:val="16"/>
          <w:szCs w:val="16"/>
          <w:lang w:val="es-CO"/>
        </w:rPr>
        <w:t>causas</w:t>
      </w:r>
      <w:r w:rsidR="002553F7" w:rsidRPr="0081190E">
        <w:rPr>
          <w:sz w:val="16"/>
          <w:szCs w:val="16"/>
        </w:rPr>
        <w:t xml:space="preserve"> y con</w:t>
      </w:r>
      <w:r w:rsidR="002553F7" w:rsidRPr="0081190E">
        <w:rPr>
          <w:sz w:val="16"/>
          <w:szCs w:val="16"/>
          <w:lang w:val="es-CO"/>
        </w:rPr>
        <w:t>secuencias</w:t>
      </w:r>
      <w:r w:rsidRPr="0081190E">
        <w:rPr>
          <w:sz w:val="16"/>
          <w:szCs w:val="16"/>
        </w:rPr>
        <w:t>, así como su relación con los hechos d</w:t>
      </w:r>
      <w:r w:rsidRPr="0081190E">
        <w:rPr>
          <w:sz w:val="16"/>
          <w:szCs w:val="16"/>
          <w:lang w:val="es-CO"/>
        </w:rPr>
        <w:t>el</w:t>
      </w:r>
      <w:r w:rsidRPr="0081190E">
        <w:rPr>
          <w:sz w:val="16"/>
          <w:szCs w:val="16"/>
        </w:rPr>
        <w:t xml:space="preserve"> presente c</w:t>
      </w:r>
      <w:r w:rsidRPr="0081190E">
        <w:rPr>
          <w:sz w:val="16"/>
          <w:szCs w:val="16"/>
          <w:lang w:val="es-CO"/>
        </w:rPr>
        <w:t>aso”.</w:t>
      </w:r>
      <w:r w:rsidRPr="00166402">
        <w:rPr>
          <w:sz w:val="16"/>
          <w:szCs w:val="16"/>
          <w:lang w:val="es-CO"/>
        </w:rPr>
        <w:t xml:space="preserve"> </w:t>
      </w:r>
    </w:p>
  </w:footnote>
  <w:footnote w:id="4">
    <w:p w14:paraId="13A29DD8" w14:textId="1E773E01" w:rsidR="00F66D68" w:rsidRPr="00166402" w:rsidRDefault="00F66D68" w:rsidP="005F5576">
      <w:pPr>
        <w:pStyle w:val="Textonotapie"/>
        <w:spacing w:before="100"/>
        <w:rPr>
          <w:sz w:val="16"/>
          <w:szCs w:val="16"/>
          <w:lang w:val="es-CO"/>
        </w:rPr>
      </w:pPr>
      <w:r w:rsidRPr="00166402">
        <w:rPr>
          <w:rStyle w:val="Refdenotaalpie"/>
          <w:sz w:val="16"/>
          <w:szCs w:val="16"/>
          <w:lang w:val="es-CO"/>
        </w:rPr>
        <w:footnoteRef/>
      </w:r>
      <w:r w:rsidRPr="00166402">
        <w:rPr>
          <w:sz w:val="16"/>
          <w:szCs w:val="16"/>
          <w:lang w:val="es-CO"/>
        </w:rPr>
        <w:t xml:space="preserve"> </w:t>
      </w:r>
      <w:r w:rsidR="00B1317C" w:rsidRPr="00166402">
        <w:rPr>
          <w:sz w:val="16"/>
          <w:szCs w:val="16"/>
          <w:lang w:val="es-CO"/>
        </w:rPr>
        <w:tab/>
        <w:t>El objeto del peritaje de Miguel Emilio La Rota, propuesto por l</w:t>
      </w:r>
      <w:r w:rsidR="00B1317C" w:rsidRPr="0081190E">
        <w:rPr>
          <w:sz w:val="16"/>
          <w:szCs w:val="16"/>
          <w:lang w:val="es-CO"/>
        </w:rPr>
        <w:t>a Comisión, se refiere a “la obligación de debida diligencia en la investigación y procuración de justicia en casos de violencia contra periodistas que, en el ejercicio de su derecho a la libertad de expresión, investigan y/o informan hechos y noticias de interés público, en particular en zonas peligrosas. Entre otros aspectos, el perito podrá referirse a las medidas específicas que los Estados deben adoptar para que las investigaciones y procesos sean adecuados y efectivos tomando a la actividad profesional del periodista como principal línea lógica de investigación del caso; las medidas de cooperación internacional que deben adoptarse para garantizar que investigaciones de crímenes cometidos en zonas fronterizas sean efectivas; así como los insumos intermedios que pueden ser producidos por los Estados para valorar el cumplimiento de los estándares de debida diligencia en la investigación de este tipo de crímenes. En la medida de lo pertinente el perito podrá referirse fuentes de derecho comparado, así como a los hechos del caso a fin de ejemplificar los estándares del peritaje”.</w:t>
      </w:r>
    </w:p>
  </w:footnote>
  <w:footnote w:id="5">
    <w:p w14:paraId="5F343A86" w14:textId="4E10625F" w:rsidR="00166402" w:rsidRPr="00166402" w:rsidRDefault="00166402" w:rsidP="005F5576">
      <w:pPr>
        <w:pStyle w:val="Textonotapie"/>
        <w:spacing w:before="100"/>
        <w:rPr>
          <w:sz w:val="16"/>
          <w:szCs w:val="16"/>
          <w:lang w:val="es-ES"/>
        </w:rPr>
      </w:pPr>
      <w:r w:rsidRPr="00166402">
        <w:rPr>
          <w:rStyle w:val="Refdenotaalpie"/>
          <w:sz w:val="16"/>
          <w:szCs w:val="16"/>
        </w:rPr>
        <w:footnoteRef/>
      </w:r>
      <w:r w:rsidRPr="00166402">
        <w:rPr>
          <w:sz w:val="16"/>
          <w:szCs w:val="16"/>
        </w:rPr>
        <w:t xml:space="preserve"> </w:t>
      </w:r>
      <w:r w:rsidRPr="00166402">
        <w:rPr>
          <w:sz w:val="16"/>
          <w:szCs w:val="16"/>
          <w:lang w:val="es-ES"/>
        </w:rPr>
        <w:tab/>
      </w:r>
      <w:r w:rsidRPr="00166402">
        <w:rPr>
          <w:i/>
          <w:sz w:val="16"/>
          <w:szCs w:val="16"/>
          <w:lang w:val="es-ES"/>
        </w:rPr>
        <w:t xml:space="preserve">Cfr. Caso Olivares Muñoz y otros Vs. Venezuela. </w:t>
      </w:r>
      <w:r w:rsidRPr="00166402">
        <w:rPr>
          <w:sz w:val="16"/>
          <w:szCs w:val="16"/>
          <w:lang w:val="es-ES"/>
        </w:rPr>
        <w:t>Resolución de la Corte Interamericana de Derechos Humanos de 29 de julio de 2020, Considerando 11</w:t>
      </w:r>
      <w:r w:rsidR="00600C75">
        <w:rPr>
          <w:sz w:val="16"/>
          <w:szCs w:val="16"/>
          <w:lang w:val="es-ES"/>
        </w:rPr>
        <w:t xml:space="preserve">, y </w:t>
      </w:r>
      <w:r w:rsidR="00600C75" w:rsidRPr="00AC19F1">
        <w:rPr>
          <w:i/>
          <w:iCs/>
          <w:sz w:val="16"/>
          <w:szCs w:val="16"/>
          <w:lang w:val="es-ES"/>
        </w:rPr>
        <w:t>Caso González y otros Vs. Venezuela.</w:t>
      </w:r>
      <w:r w:rsidR="00600C75" w:rsidRPr="00600C75">
        <w:rPr>
          <w:sz w:val="16"/>
          <w:szCs w:val="16"/>
          <w:lang w:val="es-ES"/>
        </w:rPr>
        <w:t xml:space="preserve"> Resolución de la Corte Interamericana de Derech</w:t>
      </w:r>
      <w:r w:rsidR="00600C75">
        <w:rPr>
          <w:sz w:val="16"/>
          <w:szCs w:val="16"/>
          <w:lang w:val="es-ES"/>
        </w:rPr>
        <w:t>os Humanos de 7 de mayo de 2021, Considerando 11.</w:t>
      </w:r>
    </w:p>
  </w:footnote>
  <w:footnote w:id="6">
    <w:p w14:paraId="2FB3EF60" w14:textId="6BF477A8" w:rsidR="00166402" w:rsidRPr="00166402" w:rsidRDefault="00166402" w:rsidP="005F5576">
      <w:pPr>
        <w:pStyle w:val="Textonotapie"/>
        <w:spacing w:before="100"/>
        <w:rPr>
          <w:sz w:val="16"/>
          <w:szCs w:val="16"/>
          <w:lang w:val="es-ES"/>
        </w:rPr>
      </w:pPr>
      <w:r w:rsidRPr="00166402">
        <w:rPr>
          <w:rStyle w:val="Refdenotaalpie"/>
          <w:sz w:val="16"/>
          <w:szCs w:val="16"/>
        </w:rPr>
        <w:footnoteRef/>
      </w:r>
      <w:r w:rsidRPr="00166402">
        <w:rPr>
          <w:sz w:val="16"/>
          <w:szCs w:val="16"/>
        </w:rPr>
        <w:t xml:space="preserve"> </w:t>
      </w:r>
      <w:r w:rsidRPr="00166402">
        <w:rPr>
          <w:sz w:val="16"/>
          <w:szCs w:val="16"/>
          <w:lang w:val="es-ES"/>
        </w:rPr>
        <w:tab/>
      </w:r>
      <w:r w:rsidRPr="00166402">
        <w:rPr>
          <w:i/>
          <w:sz w:val="16"/>
          <w:szCs w:val="16"/>
          <w:lang w:val="es-ES"/>
        </w:rPr>
        <w:t>Cfr. Caso de la “Masacre de Pueblo Bello” Vs. Colombia. Convocatoria a audiencia.</w:t>
      </w:r>
      <w:r w:rsidRPr="00166402">
        <w:rPr>
          <w:sz w:val="16"/>
          <w:szCs w:val="16"/>
          <w:lang w:val="es-ES"/>
        </w:rPr>
        <w:t xml:space="preserve"> Resolución del </w:t>
      </w:r>
      <w:proofErr w:type="gramStart"/>
      <w:r w:rsidRPr="00166402">
        <w:rPr>
          <w:sz w:val="16"/>
          <w:szCs w:val="16"/>
          <w:lang w:val="es-ES"/>
        </w:rPr>
        <w:t>Presidente</w:t>
      </w:r>
      <w:proofErr w:type="gramEnd"/>
      <w:r w:rsidRPr="00166402">
        <w:rPr>
          <w:sz w:val="16"/>
          <w:szCs w:val="16"/>
          <w:lang w:val="es-ES"/>
        </w:rPr>
        <w:t xml:space="preserve"> de la Corte Interamericana de Derechos Humanos de 29 de julio de 2005, Considerando 7, y </w:t>
      </w:r>
      <w:r w:rsidRPr="00166402">
        <w:rPr>
          <w:i/>
          <w:sz w:val="16"/>
          <w:szCs w:val="16"/>
          <w:lang w:val="es-ES"/>
        </w:rPr>
        <w:t xml:space="preserve">Caso González y otros Vs. Venezuela. </w:t>
      </w:r>
      <w:r w:rsidRPr="00166402">
        <w:rPr>
          <w:sz w:val="16"/>
          <w:szCs w:val="16"/>
          <w:lang w:val="es-ES"/>
        </w:rPr>
        <w:t>Resolución de la Corte Interamericana de Derechos Humanos de 7 de mayo de 2021, Considerando 16.</w:t>
      </w:r>
    </w:p>
  </w:footnote>
  <w:footnote w:id="7">
    <w:p w14:paraId="67345B27" w14:textId="1938182A" w:rsidR="005F5576" w:rsidRPr="005F5576" w:rsidRDefault="005F5576" w:rsidP="005F5576">
      <w:pPr>
        <w:pStyle w:val="Textonotapie"/>
        <w:spacing w:before="100"/>
        <w:rPr>
          <w:sz w:val="16"/>
          <w:szCs w:val="16"/>
          <w:lang w:val="es-ES"/>
        </w:rPr>
      </w:pPr>
      <w:r w:rsidRPr="005F5576">
        <w:rPr>
          <w:rStyle w:val="Refdenotaalpie"/>
          <w:sz w:val="16"/>
          <w:szCs w:val="16"/>
        </w:rPr>
        <w:footnoteRef/>
      </w:r>
      <w:r w:rsidRPr="005F5576">
        <w:rPr>
          <w:sz w:val="16"/>
          <w:szCs w:val="16"/>
        </w:rPr>
        <w:t xml:space="preserve"> </w:t>
      </w:r>
      <w:r w:rsidRPr="005F5576">
        <w:rPr>
          <w:sz w:val="16"/>
          <w:szCs w:val="16"/>
        </w:rPr>
        <w:tab/>
      </w:r>
      <w:r w:rsidRPr="005F5576">
        <w:rPr>
          <w:i/>
          <w:iCs/>
          <w:sz w:val="16"/>
          <w:szCs w:val="16"/>
        </w:rPr>
        <w:t>Cfr.</w:t>
      </w:r>
      <w:r w:rsidRPr="005F5576">
        <w:rPr>
          <w:sz w:val="16"/>
          <w:szCs w:val="16"/>
        </w:rPr>
        <w:t xml:space="preserve"> </w:t>
      </w:r>
      <w:r w:rsidRPr="00AC19F1">
        <w:rPr>
          <w:i/>
          <w:iCs/>
          <w:sz w:val="16"/>
          <w:szCs w:val="16"/>
        </w:rPr>
        <w:t>Caso Bedoya Lima y otra Vs. Colombia. Convocatoria a audiencia.</w:t>
      </w:r>
      <w:r w:rsidRPr="005F5576">
        <w:rPr>
          <w:sz w:val="16"/>
          <w:szCs w:val="16"/>
        </w:rPr>
        <w:t xml:space="preserve"> Resolución de la </w:t>
      </w:r>
      <w:proofErr w:type="gramStart"/>
      <w:r w:rsidRPr="005F5576">
        <w:rPr>
          <w:sz w:val="16"/>
          <w:szCs w:val="16"/>
        </w:rPr>
        <w:t>Presidenta</w:t>
      </w:r>
      <w:proofErr w:type="gramEnd"/>
      <w:r w:rsidRPr="005F5576">
        <w:rPr>
          <w:sz w:val="16"/>
          <w:szCs w:val="16"/>
        </w:rPr>
        <w:t xml:space="preserve"> de la Corte Interamericana de Derechos Humanos de 12 de febrero de 2021</w:t>
      </w:r>
      <w:r w:rsidR="004548EB">
        <w:rPr>
          <w:sz w:val="16"/>
          <w:szCs w:val="16"/>
        </w:rPr>
        <w:t>, Considerandos 52 y 53,</w:t>
      </w:r>
      <w:r w:rsidRPr="005F5576">
        <w:rPr>
          <w:sz w:val="16"/>
          <w:szCs w:val="16"/>
        </w:rPr>
        <w:t xml:space="preserve"> y </w:t>
      </w:r>
      <w:r w:rsidRPr="00AC19F1">
        <w:rPr>
          <w:i/>
          <w:iCs/>
          <w:sz w:val="16"/>
          <w:szCs w:val="16"/>
        </w:rPr>
        <w:t>Caso Familiares de Digna Ochoa y Plácido Vs. México. Convocatoria a audiencia.</w:t>
      </w:r>
      <w:r w:rsidRPr="005F5576">
        <w:rPr>
          <w:sz w:val="16"/>
          <w:szCs w:val="16"/>
        </w:rPr>
        <w:t xml:space="preserve"> Resolución de la </w:t>
      </w:r>
      <w:proofErr w:type="gramStart"/>
      <w:r w:rsidRPr="005F5576">
        <w:rPr>
          <w:sz w:val="16"/>
          <w:szCs w:val="16"/>
        </w:rPr>
        <w:t>Presidenta</w:t>
      </w:r>
      <w:proofErr w:type="gramEnd"/>
      <w:r w:rsidRPr="005F5576">
        <w:rPr>
          <w:sz w:val="16"/>
          <w:szCs w:val="16"/>
        </w:rPr>
        <w:t xml:space="preserve"> de la Corte Interamericana de Derechos Humanos de 3 de marzo de 2021</w:t>
      </w:r>
      <w:r w:rsidR="004548EB">
        <w:rPr>
          <w:sz w:val="16"/>
          <w:szCs w:val="16"/>
        </w:rPr>
        <w:t>, Considerandos 41 y 42</w:t>
      </w:r>
      <w:r w:rsidRPr="005F5576">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582B35"/>
    <w:multiLevelType w:val="hybridMultilevel"/>
    <w:tmpl w:val="1D47245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6D6407"/>
    <w:multiLevelType w:val="hybridMultilevel"/>
    <w:tmpl w:val="6BEC935A"/>
    <w:lvl w:ilvl="0" w:tplc="88FA4658">
      <w:start w:val="4"/>
      <w:numFmt w:val="bullet"/>
      <w:lvlText w:val="-"/>
      <w:lvlJc w:val="left"/>
      <w:pPr>
        <w:ind w:left="1350" w:hanging="360"/>
      </w:pPr>
      <w:rPr>
        <w:rFonts w:ascii="Verdana" w:eastAsiaTheme="minorHAnsi" w:hAnsi="Verdana" w:cs="Verdana" w:hint="default"/>
        <w:lang w:val="es-CR"/>
      </w:rPr>
    </w:lvl>
    <w:lvl w:ilvl="1" w:tplc="140A0003" w:tentative="1">
      <w:start w:val="1"/>
      <w:numFmt w:val="bullet"/>
      <w:lvlText w:val="o"/>
      <w:lvlJc w:val="left"/>
      <w:pPr>
        <w:ind w:left="2070" w:hanging="360"/>
      </w:pPr>
      <w:rPr>
        <w:rFonts w:ascii="Courier New" w:hAnsi="Courier New" w:cs="Courier New" w:hint="default"/>
      </w:rPr>
    </w:lvl>
    <w:lvl w:ilvl="2" w:tplc="140A0005" w:tentative="1">
      <w:start w:val="1"/>
      <w:numFmt w:val="bullet"/>
      <w:lvlText w:val=""/>
      <w:lvlJc w:val="left"/>
      <w:pPr>
        <w:ind w:left="2790" w:hanging="360"/>
      </w:pPr>
      <w:rPr>
        <w:rFonts w:ascii="Wingdings" w:hAnsi="Wingdings" w:hint="default"/>
      </w:rPr>
    </w:lvl>
    <w:lvl w:ilvl="3" w:tplc="140A0001" w:tentative="1">
      <w:start w:val="1"/>
      <w:numFmt w:val="bullet"/>
      <w:lvlText w:val=""/>
      <w:lvlJc w:val="left"/>
      <w:pPr>
        <w:ind w:left="3510" w:hanging="360"/>
      </w:pPr>
      <w:rPr>
        <w:rFonts w:ascii="Symbol" w:hAnsi="Symbol" w:hint="default"/>
      </w:rPr>
    </w:lvl>
    <w:lvl w:ilvl="4" w:tplc="140A0003" w:tentative="1">
      <w:start w:val="1"/>
      <w:numFmt w:val="bullet"/>
      <w:lvlText w:val="o"/>
      <w:lvlJc w:val="left"/>
      <w:pPr>
        <w:ind w:left="4230" w:hanging="360"/>
      </w:pPr>
      <w:rPr>
        <w:rFonts w:ascii="Courier New" w:hAnsi="Courier New" w:cs="Courier New" w:hint="default"/>
      </w:rPr>
    </w:lvl>
    <w:lvl w:ilvl="5" w:tplc="140A0005" w:tentative="1">
      <w:start w:val="1"/>
      <w:numFmt w:val="bullet"/>
      <w:lvlText w:val=""/>
      <w:lvlJc w:val="left"/>
      <w:pPr>
        <w:ind w:left="4950" w:hanging="360"/>
      </w:pPr>
      <w:rPr>
        <w:rFonts w:ascii="Wingdings" w:hAnsi="Wingdings" w:hint="default"/>
      </w:rPr>
    </w:lvl>
    <w:lvl w:ilvl="6" w:tplc="140A0001" w:tentative="1">
      <w:start w:val="1"/>
      <w:numFmt w:val="bullet"/>
      <w:lvlText w:val=""/>
      <w:lvlJc w:val="left"/>
      <w:pPr>
        <w:ind w:left="5670" w:hanging="360"/>
      </w:pPr>
      <w:rPr>
        <w:rFonts w:ascii="Symbol" w:hAnsi="Symbol" w:hint="default"/>
      </w:rPr>
    </w:lvl>
    <w:lvl w:ilvl="7" w:tplc="140A0003" w:tentative="1">
      <w:start w:val="1"/>
      <w:numFmt w:val="bullet"/>
      <w:lvlText w:val="o"/>
      <w:lvlJc w:val="left"/>
      <w:pPr>
        <w:ind w:left="6390" w:hanging="360"/>
      </w:pPr>
      <w:rPr>
        <w:rFonts w:ascii="Courier New" w:hAnsi="Courier New" w:cs="Courier New" w:hint="default"/>
      </w:rPr>
    </w:lvl>
    <w:lvl w:ilvl="8" w:tplc="140A0005" w:tentative="1">
      <w:start w:val="1"/>
      <w:numFmt w:val="bullet"/>
      <w:lvlText w:val=""/>
      <w:lvlJc w:val="left"/>
      <w:pPr>
        <w:ind w:left="7110" w:hanging="360"/>
      </w:pPr>
      <w:rPr>
        <w:rFonts w:ascii="Wingdings" w:hAnsi="Wingdings" w:hint="default"/>
      </w:rPr>
    </w:lvl>
  </w:abstractNum>
  <w:abstractNum w:abstractNumId="2" w15:restartNumberingAfterBreak="0">
    <w:nsid w:val="126025ED"/>
    <w:multiLevelType w:val="hybridMultilevel"/>
    <w:tmpl w:val="4254DFAC"/>
    <w:lvl w:ilvl="0" w:tplc="931E610A">
      <w:start w:val="1"/>
      <w:numFmt w:val="upperLetter"/>
      <w:lvlText w:val="%1."/>
      <w:lvlJc w:val="left"/>
      <w:pPr>
        <w:ind w:left="1350" w:hanging="360"/>
      </w:pPr>
      <w:rPr>
        <w:rFonts w:hint="default"/>
      </w:rPr>
    </w:lvl>
    <w:lvl w:ilvl="1" w:tplc="140A0019" w:tentative="1">
      <w:start w:val="1"/>
      <w:numFmt w:val="lowerLetter"/>
      <w:lvlText w:val="%2."/>
      <w:lvlJc w:val="left"/>
      <w:pPr>
        <w:ind w:left="2070" w:hanging="360"/>
      </w:pPr>
    </w:lvl>
    <w:lvl w:ilvl="2" w:tplc="140A001B" w:tentative="1">
      <w:start w:val="1"/>
      <w:numFmt w:val="lowerRoman"/>
      <w:lvlText w:val="%3."/>
      <w:lvlJc w:val="right"/>
      <w:pPr>
        <w:ind w:left="2790" w:hanging="180"/>
      </w:pPr>
    </w:lvl>
    <w:lvl w:ilvl="3" w:tplc="140A000F" w:tentative="1">
      <w:start w:val="1"/>
      <w:numFmt w:val="decimal"/>
      <w:lvlText w:val="%4."/>
      <w:lvlJc w:val="left"/>
      <w:pPr>
        <w:ind w:left="3510" w:hanging="360"/>
      </w:pPr>
    </w:lvl>
    <w:lvl w:ilvl="4" w:tplc="140A0019" w:tentative="1">
      <w:start w:val="1"/>
      <w:numFmt w:val="lowerLetter"/>
      <w:lvlText w:val="%5."/>
      <w:lvlJc w:val="left"/>
      <w:pPr>
        <w:ind w:left="4230" w:hanging="360"/>
      </w:pPr>
    </w:lvl>
    <w:lvl w:ilvl="5" w:tplc="140A001B" w:tentative="1">
      <w:start w:val="1"/>
      <w:numFmt w:val="lowerRoman"/>
      <w:lvlText w:val="%6."/>
      <w:lvlJc w:val="right"/>
      <w:pPr>
        <w:ind w:left="4950" w:hanging="180"/>
      </w:pPr>
    </w:lvl>
    <w:lvl w:ilvl="6" w:tplc="140A000F" w:tentative="1">
      <w:start w:val="1"/>
      <w:numFmt w:val="decimal"/>
      <w:lvlText w:val="%7."/>
      <w:lvlJc w:val="left"/>
      <w:pPr>
        <w:ind w:left="5670" w:hanging="360"/>
      </w:pPr>
    </w:lvl>
    <w:lvl w:ilvl="7" w:tplc="140A0019" w:tentative="1">
      <w:start w:val="1"/>
      <w:numFmt w:val="lowerLetter"/>
      <w:lvlText w:val="%8."/>
      <w:lvlJc w:val="left"/>
      <w:pPr>
        <w:ind w:left="6390" w:hanging="360"/>
      </w:pPr>
    </w:lvl>
    <w:lvl w:ilvl="8" w:tplc="140A001B" w:tentative="1">
      <w:start w:val="1"/>
      <w:numFmt w:val="lowerRoman"/>
      <w:lvlText w:val="%9."/>
      <w:lvlJc w:val="right"/>
      <w:pPr>
        <w:ind w:left="7110" w:hanging="180"/>
      </w:pPr>
    </w:lvl>
  </w:abstractNum>
  <w:abstractNum w:abstractNumId="3" w15:restartNumberingAfterBreak="0">
    <w:nsid w:val="173E621C"/>
    <w:multiLevelType w:val="hybridMultilevel"/>
    <w:tmpl w:val="C5829B0E"/>
    <w:lvl w:ilvl="0" w:tplc="B1104E40">
      <w:start w:val="1"/>
      <w:numFmt w:val="decimal"/>
      <w:lvlText w:val="%1."/>
      <w:lvlJc w:val="left"/>
      <w:pPr>
        <w:ind w:left="720" w:hanging="360"/>
      </w:pPr>
      <w:rPr>
        <w:rFonts w:ascii="Verdana" w:hAnsi="Verdana"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225513"/>
    <w:multiLevelType w:val="hybridMultilevel"/>
    <w:tmpl w:val="3C30622E"/>
    <w:lvl w:ilvl="0" w:tplc="D118455C">
      <w:start w:val="1"/>
      <w:numFmt w:val="decimal"/>
      <w:lvlText w:val="%1."/>
      <w:lvlJc w:val="left"/>
      <w:pPr>
        <w:ind w:left="1065" w:hanging="705"/>
      </w:pPr>
      <w:rPr>
        <w:rFonts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01E67A5"/>
    <w:multiLevelType w:val="hybridMultilevel"/>
    <w:tmpl w:val="7EA859F0"/>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29C82A56"/>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5722755"/>
    <w:multiLevelType w:val="hybridMultilevel"/>
    <w:tmpl w:val="4254DFAC"/>
    <w:lvl w:ilvl="0" w:tplc="931E610A">
      <w:start w:val="1"/>
      <w:numFmt w:val="upperLetter"/>
      <w:lvlText w:val="%1."/>
      <w:lvlJc w:val="left"/>
      <w:pPr>
        <w:ind w:left="1350" w:hanging="360"/>
      </w:pPr>
      <w:rPr>
        <w:rFonts w:hint="default"/>
      </w:rPr>
    </w:lvl>
    <w:lvl w:ilvl="1" w:tplc="140A0019" w:tentative="1">
      <w:start w:val="1"/>
      <w:numFmt w:val="lowerLetter"/>
      <w:lvlText w:val="%2."/>
      <w:lvlJc w:val="left"/>
      <w:pPr>
        <w:ind w:left="2070" w:hanging="360"/>
      </w:pPr>
    </w:lvl>
    <w:lvl w:ilvl="2" w:tplc="140A001B" w:tentative="1">
      <w:start w:val="1"/>
      <w:numFmt w:val="lowerRoman"/>
      <w:lvlText w:val="%3."/>
      <w:lvlJc w:val="right"/>
      <w:pPr>
        <w:ind w:left="2790" w:hanging="180"/>
      </w:pPr>
    </w:lvl>
    <w:lvl w:ilvl="3" w:tplc="140A000F" w:tentative="1">
      <w:start w:val="1"/>
      <w:numFmt w:val="decimal"/>
      <w:lvlText w:val="%4."/>
      <w:lvlJc w:val="left"/>
      <w:pPr>
        <w:ind w:left="3510" w:hanging="360"/>
      </w:pPr>
    </w:lvl>
    <w:lvl w:ilvl="4" w:tplc="140A0019" w:tentative="1">
      <w:start w:val="1"/>
      <w:numFmt w:val="lowerLetter"/>
      <w:lvlText w:val="%5."/>
      <w:lvlJc w:val="left"/>
      <w:pPr>
        <w:ind w:left="4230" w:hanging="360"/>
      </w:pPr>
    </w:lvl>
    <w:lvl w:ilvl="5" w:tplc="140A001B" w:tentative="1">
      <w:start w:val="1"/>
      <w:numFmt w:val="lowerRoman"/>
      <w:lvlText w:val="%6."/>
      <w:lvlJc w:val="right"/>
      <w:pPr>
        <w:ind w:left="4950" w:hanging="180"/>
      </w:pPr>
    </w:lvl>
    <w:lvl w:ilvl="6" w:tplc="140A000F" w:tentative="1">
      <w:start w:val="1"/>
      <w:numFmt w:val="decimal"/>
      <w:lvlText w:val="%7."/>
      <w:lvlJc w:val="left"/>
      <w:pPr>
        <w:ind w:left="5670" w:hanging="360"/>
      </w:pPr>
    </w:lvl>
    <w:lvl w:ilvl="7" w:tplc="140A0019" w:tentative="1">
      <w:start w:val="1"/>
      <w:numFmt w:val="lowerLetter"/>
      <w:lvlText w:val="%8."/>
      <w:lvlJc w:val="left"/>
      <w:pPr>
        <w:ind w:left="6390" w:hanging="360"/>
      </w:pPr>
    </w:lvl>
    <w:lvl w:ilvl="8" w:tplc="140A001B" w:tentative="1">
      <w:start w:val="1"/>
      <w:numFmt w:val="lowerRoman"/>
      <w:lvlText w:val="%9."/>
      <w:lvlJc w:val="right"/>
      <w:pPr>
        <w:ind w:left="7110" w:hanging="180"/>
      </w:pPr>
    </w:lvl>
  </w:abstractNum>
  <w:abstractNum w:abstractNumId="8" w15:restartNumberingAfterBreak="0">
    <w:nsid w:val="3BD6499A"/>
    <w:multiLevelType w:val="hybridMultilevel"/>
    <w:tmpl w:val="CC7426EA"/>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3F612FF4"/>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782135A"/>
    <w:multiLevelType w:val="hybridMultilevel"/>
    <w:tmpl w:val="86C22960"/>
    <w:lvl w:ilvl="0" w:tplc="3CFAA98C">
      <w:start w:val="1"/>
      <w:numFmt w:val="upperLetter"/>
      <w:pStyle w:val="Ttulo1"/>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E9FD7AD"/>
    <w:multiLevelType w:val="hybridMultilevel"/>
    <w:tmpl w:val="310D497D"/>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8154407"/>
    <w:multiLevelType w:val="hybridMultilevel"/>
    <w:tmpl w:val="8F16D208"/>
    <w:lvl w:ilvl="0" w:tplc="FD88E018">
      <w:start w:val="1"/>
      <w:numFmt w:val="decimal"/>
      <w:lvlText w:val="%1."/>
      <w:lvlJc w:val="left"/>
      <w:pPr>
        <w:tabs>
          <w:tab w:val="num" w:pos="680"/>
        </w:tabs>
      </w:pPr>
      <w:rPr>
        <w:rFonts w:hint="default"/>
        <w:b w:val="0"/>
        <w:bCs w:val="0"/>
        <w:i w:val="0"/>
        <w:iCs w:val="0"/>
        <w:strike w:val="0"/>
        <w:sz w:val="20"/>
        <w:szCs w:val="20"/>
        <w:lang w:val="es-C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69287BE3"/>
    <w:multiLevelType w:val="hybridMultilevel"/>
    <w:tmpl w:val="C5829B0E"/>
    <w:lvl w:ilvl="0" w:tplc="FFFFFFFF">
      <w:start w:val="1"/>
      <w:numFmt w:val="decimal"/>
      <w:lvlText w:val="%1."/>
      <w:lvlJc w:val="left"/>
      <w:pPr>
        <w:ind w:left="720" w:hanging="360"/>
      </w:pPr>
      <w:rPr>
        <w:rFonts w:ascii="Verdana" w:hAnsi="Verdana"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A83026"/>
    <w:multiLevelType w:val="hybridMultilevel"/>
    <w:tmpl w:val="F45E5DD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E922949"/>
    <w:multiLevelType w:val="hybridMultilevel"/>
    <w:tmpl w:val="12106EF6"/>
    <w:lvl w:ilvl="0" w:tplc="07A481E0">
      <w:start w:val="2"/>
      <w:numFmt w:val="bullet"/>
      <w:lvlText w:val="-"/>
      <w:lvlJc w:val="left"/>
      <w:pPr>
        <w:ind w:left="1211" w:hanging="360"/>
      </w:pPr>
      <w:rPr>
        <w:rFonts w:ascii="Verdana" w:eastAsia="Verdana" w:hAnsi="Verdana" w:cs="Verdana" w:hint="default"/>
      </w:rPr>
    </w:lvl>
    <w:lvl w:ilvl="1" w:tplc="140A0003" w:tentative="1">
      <w:start w:val="1"/>
      <w:numFmt w:val="bullet"/>
      <w:lvlText w:val="o"/>
      <w:lvlJc w:val="left"/>
      <w:pPr>
        <w:ind w:left="1931" w:hanging="360"/>
      </w:pPr>
      <w:rPr>
        <w:rFonts w:ascii="Courier New" w:hAnsi="Courier New" w:cs="Courier New" w:hint="default"/>
      </w:rPr>
    </w:lvl>
    <w:lvl w:ilvl="2" w:tplc="140A0005" w:tentative="1">
      <w:start w:val="1"/>
      <w:numFmt w:val="bullet"/>
      <w:lvlText w:val=""/>
      <w:lvlJc w:val="left"/>
      <w:pPr>
        <w:ind w:left="2651" w:hanging="360"/>
      </w:pPr>
      <w:rPr>
        <w:rFonts w:ascii="Wingdings" w:hAnsi="Wingdings" w:hint="default"/>
      </w:rPr>
    </w:lvl>
    <w:lvl w:ilvl="3" w:tplc="140A0001" w:tentative="1">
      <w:start w:val="1"/>
      <w:numFmt w:val="bullet"/>
      <w:lvlText w:val=""/>
      <w:lvlJc w:val="left"/>
      <w:pPr>
        <w:ind w:left="3371" w:hanging="360"/>
      </w:pPr>
      <w:rPr>
        <w:rFonts w:ascii="Symbol" w:hAnsi="Symbol" w:hint="default"/>
      </w:rPr>
    </w:lvl>
    <w:lvl w:ilvl="4" w:tplc="140A0003" w:tentative="1">
      <w:start w:val="1"/>
      <w:numFmt w:val="bullet"/>
      <w:lvlText w:val="o"/>
      <w:lvlJc w:val="left"/>
      <w:pPr>
        <w:ind w:left="4091" w:hanging="360"/>
      </w:pPr>
      <w:rPr>
        <w:rFonts w:ascii="Courier New" w:hAnsi="Courier New" w:cs="Courier New" w:hint="default"/>
      </w:rPr>
    </w:lvl>
    <w:lvl w:ilvl="5" w:tplc="140A0005" w:tentative="1">
      <w:start w:val="1"/>
      <w:numFmt w:val="bullet"/>
      <w:lvlText w:val=""/>
      <w:lvlJc w:val="left"/>
      <w:pPr>
        <w:ind w:left="4811" w:hanging="360"/>
      </w:pPr>
      <w:rPr>
        <w:rFonts w:ascii="Wingdings" w:hAnsi="Wingdings" w:hint="default"/>
      </w:rPr>
    </w:lvl>
    <w:lvl w:ilvl="6" w:tplc="140A0001" w:tentative="1">
      <w:start w:val="1"/>
      <w:numFmt w:val="bullet"/>
      <w:lvlText w:val=""/>
      <w:lvlJc w:val="left"/>
      <w:pPr>
        <w:ind w:left="5531" w:hanging="360"/>
      </w:pPr>
      <w:rPr>
        <w:rFonts w:ascii="Symbol" w:hAnsi="Symbol" w:hint="default"/>
      </w:rPr>
    </w:lvl>
    <w:lvl w:ilvl="7" w:tplc="140A0003" w:tentative="1">
      <w:start w:val="1"/>
      <w:numFmt w:val="bullet"/>
      <w:lvlText w:val="o"/>
      <w:lvlJc w:val="left"/>
      <w:pPr>
        <w:ind w:left="6251" w:hanging="360"/>
      </w:pPr>
      <w:rPr>
        <w:rFonts w:ascii="Courier New" w:hAnsi="Courier New" w:cs="Courier New" w:hint="default"/>
      </w:rPr>
    </w:lvl>
    <w:lvl w:ilvl="8" w:tplc="140A0005" w:tentative="1">
      <w:start w:val="1"/>
      <w:numFmt w:val="bullet"/>
      <w:lvlText w:val=""/>
      <w:lvlJc w:val="left"/>
      <w:pPr>
        <w:ind w:left="6971" w:hanging="360"/>
      </w:pPr>
      <w:rPr>
        <w:rFonts w:ascii="Wingdings" w:hAnsi="Wingdings" w:hint="default"/>
      </w:rPr>
    </w:lvl>
  </w:abstractNum>
  <w:abstractNum w:abstractNumId="16" w15:restartNumberingAfterBreak="0">
    <w:nsid w:val="74A65DC7"/>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9160185"/>
    <w:multiLevelType w:val="hybridMultilevel"/>
    <w:tmpl w:val="DFCADD40"/>
    <w:lvl w:ilvl="0" w:tplc="9C7CAFBC">
      <w:start w:val="3"/>
      <w:numFmt w:val="bullet"/>
      <w:lvlText w:val="-"/>
      <w:lvlJc w:val="left"/>
      <w:pPr>
        <w:ind w:left="1854" w:hanging="360"/>
      </w:pPr>
      <w:rPr>
        <w:rFonts w:ascii="Calibri" w:hAnsi="Calibri" w:hint="default"/>
        <w:caps w:val="0"/>
        <w:strike w:val="0"/>
        <w:dstrike w:val="0"/>
        <w:vanish w:val="0"/>
        <w:vertAlign w:val="baseline"/>
      </w:rPr>
    </w:lvl>
    <w:lvl w:ilvl="1" w:tplc="140A0003" w:tentative="1">
      <w:start w:val="1"/>
      <w:numFmt w:val="bullet"/>
      <w:lvlText w:val="o"/>
      <w:lvlJc w:val="left"/>
      <w:pPr>
        <w:ind w:left="2574" w:hanging="360"/>
      </w:pPr>
      <w:rPr>
        <w:rFonts w:ascii="Courier New" w:hAnsi="Courier New" w:cs="Courier New" w:hint="default"/>
      </w:rPr>
    </w:lvl>
    <w:lvl w:ilvl="2" w:tplc="140A0005" w:tentative="1">
      <w:start w:val="1"/>
      <w:numFmt w:val="bullet"/>
      <w:lvlText w:val=""/>
      <w:lvlJc w:val="left"/>
      <w:pPr>
        <w:ind w:left="3294" w:hanging="360"/>
      </w:pPr>
      <w:rPr>
        <w:rFonts w:ascii="Wingdings" w:hAnsi="Wingdings" w:hint="default"/>
      </w:rPr>
    </w:lvl>
    <w:lvl w:ilvl="3" w:tplc="140A0001" w:tentative="1">
      <w:start w:val="1"/>
      <w:numFmt w:val="bullet"/>
      <w:lvlText w:val=""/>
      <w:lvlJc w:val="left"/>
      <w:pPr>
        <w:ind w:left="4014" w:hanging="360"/>
      </w:pPr>
      <w:rPr>
        <w:rFonts w:ascii="Symbol" w:hAnsi="Symbol" w:hint="default"/>
      </w:rPr>
    </w:lvl>
    <w:lvl w:ilvl="4" w:tplc="140A0003" w:tentative="1">
      <w:start w:val="1"/>
      <w:numFmt w:val="bullet"/>
      <w:lvlText w:val="o"/>
      <w:lvlJc w:val="left"/>
      <w:pPr>
        <w:ind w:left="4734" w:hanging="360"/>
      </w:pPr>
      <w:rPr>
        <w:rFonts w:ascii="Courier New" w:hAnsi="Courier New" w:cs="Courier New" w:hint="default"/>
      </w:rPr>
    </w:lvl>
    <w:lvl w:ilvl="5" w:tplc="140A0005" w:tentative="1">
      <w:start w:val="1"/>
      <w:numFmt w:val="bullet"/>
      <w:lvlText w:val=""/>
      <w:lvlJc w:val="left"/>
      <w:pPr>
        <w:ind w:left="5454" w:hanging="360"/>
      </w:pPr>
      <w:rPr>
        <w:rFonts w:ascii="Wingdings" w:hAnsi="Wingdings" w:hint="default"/>
      </w:rPr>
    </w:lvl>
    <w:lvl w:ilvl="6" w:tplc="140A0001" w:tentative="1">
      <w:start w:val="1"/>
      <w:numFmt w:val="bullet"/>
      <w:lvlText w:val=""/>
      <w:lvlJc w:val="left"/>
      <w:pPr>
        <w:ind w:left="6174" w:hanging="360"/>
      </w:pPr>
      <w:rPr>
        <w:rFonts w:ascii="Symbol" w:hAnsi="Symbol" w:hint="default"/>
      </w:rPr>
    </w:lvl>
    <w:lvl w:ilvl="7" w:tplc="140A0003" w:tentative="1">
      <w:start w:val="1"/>
      <w:numFmt w:val="bullet"/>
      <w:lvlText w:val="o"/>
      <w:lvlJc w:val="left"/>
      <w:pPr>
        <w:ind w:left="6894" w:hanging="360"/>
      </w:pPr>
      <w:rPr>
        <w:rFonts w:ascii="Courier New" w:hAnsi="Courier New" w:cs="Courier New" w:hint="default"/>
      </w:rPr>
    </w:lvl>
    <w:lvl w:ilvl="8" w:tplc="140A0005" w:tentative="1">
      <w:start w:val="1"/>
      <w:numFmt w:val="bullet"/>
      <w:lvlText w:val=""/>
      <w:lvlJc w:val="left"/>
      <w:pPr>
        <w:ind w:left="7614" w:hanging="360"/>
      </w:pPr>
      <w:rPr>
        <w:rFonts w:ascii="Wingdings" w:hAnsi="Wingdings" w:hint="default"/>
      </w:rPr>
    </w:lvl>
  </w:abstractNum>
  <w:abstractNum w:abstractNumId="18" w15:restartNumberingAfterBreak="0">
    <w:nsid w:val="7FEA10E0"/>
    <w:multiLevelType w:val="hybridMultilevel"/>
    <w:tmpl w:val="C5829B0E"/>
    <w:lvl w:ilvl="0" w:tplc="B1104E40">
      <w:start w:val="1"/>
      <w:numFmt w:val="decimal"/>
      <w:lvlText w:val="%1."/>
      <w:lvlJc w:val="left"/>
      <w:pPr>
        <w:ind w:left="720" w:hanging="360"/>
      </w:pPr>
      <w:rPr>
        <w:rFonts w:ascii="Verdana" w:hAnsi="Verdana"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8"/>
  </w:num>
  <w:num w:numId="4">
    <w:abstractNumId w:val="3"/>
  </w:num>
  <w:num w:numId="5">
    <w:abstractNumId w:val="10"/>
  </w:num>
  <w:num w:numId="6">
    <w:abstractNumId w:val="0"/>
  </w:num>
  <w:num w:numId="7">
    <w:abstractNumId w:val="11"/>
  </w:num>
  <w:num w:numId="8">
    <w:abstractNumId w:val="15"/>
  </w:num>
  <w:num w:numId="9">
    <w:abstractNumId w:val="7"/>
  </w:num>
  <w:num w:numId="10">
    <w:abstractNumId w:val="16"/>
  </w:num>
  <w:num w:numId="11">
    <w:abstractNumId w:val="6"/>
  </w:num>
  <w:num w:numId="12">
    <w:abstractNumId w:val="9"/>
  </w:num>
  <w:num w:numId="13">
    <w:abstractNumId w:val="1"/>
  </w:num>
  <w:num w:numId="14">
    <w:abstractNumId w:val="12"/>
  </w:num>
  <w:num w:numId="15">
    <w:abstractNumId w:val="4"/>
  </w:num>
  <w:num w:numId="16">
    <w:abstractNumId w:val="2"/>
  </w:num>
  <w:num w:numId="17">
    <w:abstractNumId w:val="18"/>
  </w:num>
  <w:num w:numId="18">
    <w:abstractNumId w:val="10"/>
    <w:lvlOverride w:ilvl="0">
      <w:startOverride w:val="1"/>
    </w:lvlOverride>
  </w:num>
  <w:num w:numId="19">
    <w:abstractNumId w:val="10"/>
    <w:lvlOverride w:ilvl="0">
      <w:startOverride w:val="1"/>
    </w:lvlOverride>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AFC"/>
    <w:rsid w:val="0002567D"/>
    <w:rsid w:val="00033A02"/>
    <w:rsid w:val="00034089"/>
    <w:rsid w:val="00050BDB"/>
    <w:rsid w:val="000A3402"/>
    <w:rsid w:val="000A47BB"/>
    <w:rsid w:val="000A5F00"/>
    <w:rsid w:val="000B0B74"/>
    <w:rsid w:val="000B3A8F"/>
    <w:rsid w:val="000C4015"/>
    <w:rsid w:val="000D38A7"/>
    <w:rsid w:val="000E03BF"/>
    <w:rsid w:val="000E1EBE"/>
    <w:rsid w:val="000E45B8"/>
    <w:rsid w:val="0011109D"/>
    <w:rsid w:val="0013026C"/>
    <w:rsid w:val="001535F7"/>
    <w:rsid w:val="001576D2"/>
    <w:rsid w:val="00164602"/>
    <w:rsid w:val="00164B23"/>
    <w:rsid w:val="00166402"/>
    <w:rsid w:val="00184424"/>
    <w:rsid w:val="001A0895"/>
    <w:rsid w:val="001A5C52"/>
    <w:rsid w:val="001D1B23"/>
    <w:rsid w:val="001E4ABC"/>
    <w:rsid w:val="001F620C"/>
    <w:rsid w:val="002026AD"/>
    <w:rsid w:val="00203614"/>
    <w:rsid w:val="002120EA"/>
    <w:rsid w:val="00216C46"/>
    <w:rsid w:val="00225D38"/>
    <w:rsid w:val="00226FBA"/>
    <w:rsid w:val="002417E0"/>
    <w:rsid w:val="002553F7"/>
    <w:rsid w:val="002631A3"/>
    <w:rsid w:val="00277CA1"/>
    <w:rsid w:val="002864BB"/>
    <w:rsid w:val="002A3501"/>
    <w:rsid w:val="002A7C61"/>
    <w:rsid w:val="002B6199"/>
    <w:rsid w:val="002C6451"/>
    <w:rsid w:val="002E2C33"/>
    <w:rsid w:val="002F0741"/>
    <w:rsid w:val="00310CF2"/>
    <w:rsid w:val="00317C72"/>
    <w:rsid w:val="003244DD"/>
    <w:rsid w:val="00346D40"/>
    <w:rsid w:val="00351934"/>
    <w:rsid w:val="0036194B"/>
    <w:rsid w:val="0038658A"/>
    <w:rsid w:val="0039014A"/>
    <w:rsid w:val="003908FF"/>
    <w:rsid w:val="00390BEB"/>
    <w:rsid w:val="00390E2B"/>
    <w:rsid w:val="003C6FE2"/>
    <w:rsid w:val="003F2F10"/>
    <w:rsid w:val="00421F39"/>
    <w:rsid w:val="004325ED"/>
    <w:rsid w:val="004548EB"/>
    <w:rsid w:val="00460407"/>
    <w:rsid w:val="00466B97"/>
    <w:rsid w:val="00467A47"/>
    <w:rsid w:val="004C3132"/>
    <w:rsid w:val="004C706F"/>
    <w:rsid w:val="00512F12"/>
    <w:rsid w:val="00524687"/>
    <w:rsid w:val="00527E8C"/>
    <w:rsid w:val="005324A2"/>
    <w:rsid w:val="005329AC"/>
    <w:rsid w:val="005336C0"/>
    <w:rsid w:val="00534225"/>
    <w:rsid w:val="0053665D"/>
    <w:rsid w:val="005372FA"/>
    <w:rsid w:val="00560889"/>
    <w:rsid w:val="00567838"/>
    <w:rsid w:val="00596A47"/>
    <w:rsid w:val="005A714B"/>
    <w:rsid w:val="005B28CF"/>
    <w:rsid w:val="005B3D0E"/>
    <w:rsid w:val="005F5576"/>
    <w:rsid w:val="00600C75"/>
    <w:rsid w:val="00623CA1"/>
    <w:rsid w:val="00633777"/>
    <w:rsid w:val="00643A74"/>
    <w:rsid w:val="006554B9"/>
    <w:rsid w:val="0065648D"/>
    <w:rsid w:val="00671036"/>
    <w:rsid w:val="006A0F20"/>
    <w:rsid w:val="006A7516"/>
    <w:rsid w:val="006B7D8F"/>
    <w:rsid w:val="006C5056"/>
    <w:rsid w:val="006F13BA"/>
    <w:rsid w:val="007004A4"/>
    <w:rsid w:val="00705736"/>
    <w:rsid w:val="007133BA"/>
    <w:rsid w:val="00723050"/>
    <w:rsid w:val="007237F8"/>
    <w:rsid w:val="00737FCA"/>
    <w:rsid w:val="007430CA"/>
    <w:rsid w:val="00745C6E"/>
    <w:rsid w:val="00755DD5"/>
    <w:rsid w:val="00772A88"/>
    <w:rsid w:val="007A4BF0"/>
    <w:rsid w:val="007B3D2E"/>
    <w:rsid w:val="007B7B11"/>
    <w:rsid w:val="007D2669"/>
    <w:rsid w:val="007F477B"/>
    <w:rsid w:val="00802277"/>
    <w:rsid w:val="00805D6C"/>
    <w:rsid w:val="0081190E"/>
    <w:rsid w:val="00815F14"/>
    <w:rsid w:val="008247AD"/>
    <w:rsid w:val="00834F03"/>
    <w:rsid w:val="00835B03"/>
    <w:rsid w:val="0085374A"/>
    <w:rsid w:val="008559F1"/>
    <w:rsid w:val="008879C8"/>
    <w:rsid w:val="008A00E3"/>
    <w:rsid w:val="008B5DFC"/>
    <w:rsid w:val="008C0EEA"/>
    <w:rsid w:val="008C1C62"/>
    <w:rsid w:val="008C618F"/>
    <w:rsid w:val="008D46D5"/>
    <w:rsid w:val="008D6875"/>
    <w:rsid w:val="009035ED"/>
    <w:rsid w:val="00915D05"/>
    <w:rsid w:val="00915D36"/>
    <w:rsid w:val="009376EC"/>
    <w:rsid w:val="0093779B"/>
    <w:rsid w:val="00947A22"/>
    <w:rsid w:val="00961DE3"/>
    <w:rsid w:val="00963992"/>
    <w:rsid w:val="00973BD9"/>
    <w:rsid w:val="00991297"/>
    <w:rsid w:val="009B6EF5"/>
    <w:rsid w:val="009C1651"/>
    <w:rsid w:val="009C3C93"/>
    <w:rsid w:val="009F5BC2"/>
    <w:rsid w:val="00A16B85"/>
    <w:rsid w:val="00A3301A"/>
    <w:rsid w:val="00A52CF8"/>
    <w:rsid w:val="00A74424"/>
    <w:rsid w:val="00A75E59"/>
    <w:rsid w:val="00A977E7"/>
    <w:rsid w:val="00AA7B29"/>
    <w:rsid w:val="00AB392A"/>
    <w:rsid w:val="00AB3BBC"/>
    <w:rsid w:val="00AB6E2F"/>
    <w:rsid w:val="00AC19F1"/>
    <w:rsid w:val="00AC45CB"/>
    <w:rsid w:val="00AC7B18"/>
    <w:rsid w:val="00AD339C"/>
    <w:rsid w:val="00AD654E"/>
    <w:rsid w:val="00B1012D"/>
    <w:rsid w:val="00B1317C"/>
    <w:rsid w:val="00B1646C"/>
    <w:rsid w:val="00B260FD"/>
    <w:rsid w:val="00B2735E"/>
    <w:rsid w:val="00B37589"/>
    <w:rsid w:val="00B44FBA"/>
    <w:rsid w:val="00B54B53"/>
    <w:rsid w:val="00B83A35"/>
    <w:rsid w:val="00B848D0"/>
    <w:rsid w:val="00BA76C7"/>
    <w:rsid w:val="00BC1004"/>
    <w:rsid w:val="00BF5F53"/>
    <w:rsid w:val="00C03AC5"/>
    <w:rsid w:val="00C04D18"/>
    <w:rsid w:val="00C133AA"/>
    <w:rsid w:val="00C26AFC"/>
    <w:rsid w:val="00C31755"/>
    <w:rsid w:val="00C352B2"/>
    <w:rsid w:val="00C3555B"/>
    <w:rsid w:val="00C54EC9"/>
    <w:rsid w:val="00C7473E"/>
    <w:rsid w:val="00C774EB"/>
    <w:rsid w:val="00C802C6"/>
    <w:rsid w:val="00C9154F"/>
    <w:rsid w:val="00C93343"/>
    <w:rsid w:val="00CA3D95"/>
    <w:rsid w:val="00CA5CDE"/>
    <w:rsid w:val="00CC7B4E"/>
    <w:rsid w:val="00CC7EC3"/>
    <w:rsid w:val="00CD2E13"/>
    <w:rsid w:val="00CE64C9"/>
    <w:rsid w:val="00D049B7"/>
    <w:rsid w:val="00D32693"/>
    <w:rsid w:val="00D4222D"/>
    <w:rsid w:val="00D50CD2"/>
    <w:rsid w:val="00D7626A"/>
    <w:rsid w:val="00D81DB1"/>
    <w:rsid w:val="00D97B0E"/>
    <w:rsid w:val="00D97E19"/>
    <w:rsid w:val="00DB2DE3"/>
    <w:rsid w:val="00DB4699"/>
    <w:rsid w:val="00DB5F4D"/>
    <w:rsid w:val="00DC5C90"/>
    <w:rsid w:val="00DD4588"/>
    <w:rsid w:val="00DE676B"/>
    <w:rsid w:val="00DF07AE"/>
    <w:rsid w:val="00DF09AF"/>
    <w:rsid w:val="00DF2844"/>
    <w:rsid w:val="00E11D50"/>
    <w:rsid w:val="00E178B4"/>
    <w:rsid w:val="00E23189"/>
    <w:rsid w:val="00E323F7"/>
    <w:rsid w:val="00E33950"/>
    <w:rsid w:val="00E52B6E"/>
    <w:rsid w:val="00E52BD1"/>
    <w:rsid w:val="00E679E1"/>
    <w:rsid w:val="00E7243C"/>
    <w:rsid w:val="00E73079"/>
    <w:rsid w:val="00E80360"/>
    <w:rsid w:val="00EC599C"/>
    <w:rsid w:val="00ED25D5"/>
    <w:rsid w:val="00ED5BC1"/>
    <w:rsid w:val="00EE1219"/>
    <w:rsid w:val="00F13C8F"/>
    <w:rsid w:val="00F24818"/>
    <w:rsid w:val="00F307F7"/>
    <w:rsid w:val="00F420AD"/>
    <w:rsid w:val="00F51065"/>
    <w:rsid w:val="00F66D68"/>
    <w:rsid w:val="00F71464"/>
    <w:rsid w:val="00F76AD6"/>
    <w:rsid w:val="00FA46B2"/>
    <w:rsid w:val="00FA760B"/>
    <w:rsid w:val="00FC1B78"/>
    <w:rsid w:val="00FC308A"/>
    <w:rsid w:val="00FE0D4E"/>
    <w:rsid w:val="00FF118A"/>
    <w:rsid w:val="00FF118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B09E9"/>
  <w15:chartTrackingRefBased/>
  <w15:docId w15:val="{FBDA9A51-5975-4AEE-8A25-9D4B4830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838"/>
    <w:pPr>
      <w:tabs>
        <w:tab w:val="left" w:pos="720"/>
        <w:tab w:val="left" w:pos="810"/>
      </w:tabs>
      <w:autoSpaceDE w:val="0"/>
      <w:autoSpaceDN w:val="0"/>
      <w:adjustRightInd w:val="0"/>
      <w:spacing w:after="0"/>
      <w:jc w:val="both"/>
    </w:pPr>
    <w:rPr>
      <w:rFonts w:ascii="Verdana" w:hAnsi="Verdana" w:cs="Verdana"/>
      <w:color w:val="000000"/>
      <w:sz w:val="20"/>
      <w:szCs w:val="20"/>
      <w:lang w:val="es-MX"/>
    </w:rPr>
  </w:style>
  <w:style w:type="paragraph" w:styleId="Ttulo1">
    <w:name w:val="heading 1"/>
    <w:basedOn w:val="Prrafodelista"/>
    <w:next w:val="Normal"/>
    <w:link w:val="Ttulo1Car"/>
    <w:uiPriority w:val="9"/>
    <w:qFormat/>
    <w:rsid w:val="002C6451"/>
    <w:pPr>
      <w:numPr>
        <w:numId w:val="5"/>
      </w:numPr>
      <w:outlineLvl w:val="0"/>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Párrafo de lista1,List Paragraph11,Colorful List - Accent 11,Subtle Emphasis1,Footnote1,Parrafos"/>
    <w:basedOn w:val="Normal"/>
    <w:link w:val="PrrafodelistaCar"/>
    <w:uiPriority w:val="34"/>
    <w:qFormat/>
    <w:rsid w:val="00C26AFC"/>
    <w:pPr>
      <w:ind w:left="720"/>
      <w:contextualSpacing/>
    </w:pPr>
  </w:style>
  <w:style w:type="paragraph" w:styleId="Textonotapie">
    <w:name w:val="footnote text"/>
    <w:aliases w:val="Footnote Text Char Char Char Char Char,Footnote Text Char Char Char Char,Footnote reference,FA Fu,Footnote Text Char Char Char,footnote text,Footnote Text Cha,FA Fußnotentext,FA Fuﬂnotentext,Footnote Text Char Char,Car,FA Fu Car Car,Ca"/>
    <w:basedOn w:val="Normal"/>
    <w:link w:val="TextonotapieCar"/>
    <w:unhideWhenUsed/>
    <w:qFormat/>
    <w:rsid w:val="006F13BA"/>
  </w:style>
  <w:style w:type="character" w:customStyle="1" w:styleId="TextonotapieCar">
    <w:name w:val="Texto nota pie Car"/>
    <w:aliases w:val="Footnote Text Char Char Char Char Char Car1,Footnote Text Char Char Char Char Car1,Footnote reference Car1,FA Fu Car1,Footnote Text Char Char Char Car1,footnote text Car1,Footnote Text Cha Car1,FA Fußnotentext Car1,Car Car,Ca Car1"/>
    <w:basedOn w:val="Fuentedeprrafopredeter"/>
    <w:link w:val="Textonotapie"/>
    <w:rsid w:val="006F13BA"/>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6F13BA"/>
    <w:rPr>
      <w:vertAlign w:val="superscript"/>
    </w:rPr>
  </w:style>
  <w:style w:type="character" w:styleId="Textoennegrita">
    <w:name w:val="Strong"/>
    <w:uiPriority w:val="22"/>
    <w:qFormat/>
    <w:rsid w:val="006F13BA"/>
    <w:rPr>
      <w:b/>
      <w:bCs/>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Ca Car"/>
    <w:qFormat/>
    <w:rsid w:val="00512F12"/>
    <w:rPr>
      <w:rFonts w:ascii="Times New Roman" w:eastAsia="Times New Roman" w:hAnsi="Times New Roman"/>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12F12"/>
    <w:rPr>
      <w:vertAlign w:val="superscript"/>
    </w:rPr>
  </w:style>
  <w:style w:type="character" w:styleId="Refdecomentario">
    <w:name w:val="annotation reference"/>
    <w:basedOn w:val="Fuentedeprrafopredeter"/>
    <w:uiPriority w:val="99"/>
    <w:semiHidden/>
    <w:unhideWhenUsed/>
    <w:rsid w:val="00467A47"/>
    <w:rPr>
      <w:sz w:val="16"/>
      <w:szCs w:val="16"/>
    </w:rPr>
  </w:style>
  <w:style w:type="paragraph" w:styleId="Textocomentario">
    <w:name w:val="annotation text"/>
    <w:basedOn w:val="Normal"/>
    <w:link w:val="TextocomentarioCar"/>
    <w:uiPriority w:val="99"/>
    <w:semiHidden/>
    <w:unhideWhenUsed/>
    <w:rsid w:val="00467A47"/>
  </w:style>
  <w:style w:type="character" w:customStyle="1" w:styleId="TextocomentarioCar">
    <w:name w:val="Texto comentario Car"/>
    <w:basedOn w:val="Fuentedeprrafopredeter"/>
    <w:link w:val="Textocomentario"/>
    <w:uiPriority w:val="99"/>
    <w:semiHidden/>
    <w:rsid w:val="00467A47"/>
    <w:rPr>
      <w:sz w:val="20"/>
      <w:szCs w:val="20"/>
    </w:rPr>
  </w:style>
  <w:style w:type="paragraph" w:styleId="Asuntodelcomentario">
    <w:name w:val="annotation subject"/>
    <w:basedOn w:val="Textocomentario"/>
    <w:next w:val="Textocomentario"/>
    <w:link w:val="AsuntodelcomentarioCar"/>
    <w:uiPriority w:val="99"/>
    <w:semiHidden/>
    <w:unhideWhenUsed/>
    <w:rsid w:val="00467A47"/>
    <w:rPr>
      <w:b/>
      <w:bCs/>
    </w:rPr>
  </w:style>
  <w:style w:type="character" w:customStyle="1" w:styleId="AsuntodelcomentarioCar">
    <w:name w:val="Asunto del comentario Car"/>
    <w:basedOn w:val="TextocomentarioCar"/>
    <w:link w:val="Asuntodelcomentario"/>
    <w:uiPriority w:val="99"/>
    <w:semiHidden/>
    <w:rsid w:val="00467A47"/>
    <w:rPr>
      <w:b/>
      <w:bCs/>
      <w:sz w:val="20"/>
      <w:szCs w:val="20"/>
    </w:rPr>
  </w:style>
  <w:style w:type="paragraph" w:styleId="Textodeglobo">
    <w:name w:val="Balloon Text"/>
    <w:basedOn w:val="Normal"/>
    <w:link w:val="TextodegloboCar"/>
    <w:uiPriority w:val="99"/>
    <w:semiHidden/>
    <w:unhideWhenUsed/>
    <w:rsid w:val="00467A4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7A47"/>
    <w:rPr>
      <w:rFonts w:ascii="Segoe UI" w:hAnsi="Segoe UI" w:cs="Segoe UI"/>
      <w:sz w:val="18"/>
      <w:szCs w:val="18"/>
    </w:rPr>
  </w:style>
  <w:style w:type="character" w:customStyle="1" w:styleId="PrrafodelistaCar">
    <w:name w:val="Párrafo de lista Car"/>
    <w:aliases w:val="Footnote Car,List Paragraph2 Car,List Paragraph1 Car,Párrafo de lista1 Car,List Paragraph11 Car,Colorful List - Accent 11 Car,Subtle Emphasis1 Car,Footnote1 Car,Parrafos Car"/>
    <w:link w:val="Prrafodelista"/>
    <w:uiPriority w:val="34"/>
    <w:locked/>
    <w:rsid w:val="00A75E59"/>
  </w:style>
  <w:style w:type="character" w:customStyle="1" w:styleId="Ttulo1Car">
    <w:name w:val="Título 1 Car"/>
    <w:basedOn w:val="Fuentedeprrafopredeter"/>
    <w:link w:val="Ttulo1"/>
    <w:uiPriority w:val="9"/>
    <w:rsid w:val="002C6451"/>
    <w:rPr>
      <w:rFonts w:ascii="Verdana" w:hAnsi="Verdana" w:cs="Verdana"/>
      <w:b/>
      <w:color w:val="000000"/>
      <w:sz w:val="20"/>
      <w:szCs w:val="20"/>
      <w:lang w:val="es-MX"/>
    </w:rPr>
  </w:style>
  <w:style w:type="character" w:styleId="Hipervnculo">
    <w:name w:val="Hyperlink"/>
    <w:basedOn w:val="Fuentedeprrafopredeter"/>
    <w:uiPriority w:val="99"/>
    <w:unhideWhenUsed/>
    <w:rsid w:val="00460407"/>
    <w:rPr>
      <w:color w:val="0563C1" w:themeColor="hyperlink"/>
      <w:u w:val="single"/>
    </w:rPr>
  </w:style>
  <w:style w:type="paragraph" w:styleId="Revisin">
    <w:name w:val="Revision"/>
    <w:hidden/>
    <w:uiPriority w:val="99"/>
    <w:semiHidden/>
    <w:rsid w:val="001D1B23"/>
    <w:pPr>
      <w:spacing w:after="0"/>
    </w:pPr>
    <w:rPr>
      <w:rFonts w:ascii="Verdana" w:hAnsi="Verdana" w:cs="Verdana"/>
      <w:color w:val="000000"/>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178E7-FB4F-4DD2-B208-B33F830D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3761</Words>
  <Characters>20691</Characters>
  <Application>Microsoft Office Word</Application>
  <DocSecurity>0</DocSecurity>
  <Lines>172</Lines>
  <Paragraphs>48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2020-07-28T22:23:00Z</cp:lastPrinted>
  <dcterms:created xsi:type="dcterms:W3CDTF">2022-03-02T21:02:00Z</dcterms:created>
  <dcterms:modified xsi:type="dcterms:W3CDTF">2022-03-02T21:02:00Z</dcterms:modified>
</cp:coreProperties>
</file>