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EF5B00D" w14:textId="1056C2BC" w:rsidR="00290A20" w:rsidRPr="009D3921" w:rsidRDefault="00290A20" w:rsidP="00290A20">
      <w:pPr>
        <w:spacing w:before="120"/>
        <w:ind w:right="49"/>
        <w:jc w:val="center"/>
        <w:rPr>
          <w:rFonts w:ascii="Verdana" w:hAnsi="Verdana" w:cs="Verdana Bold"/>
          <w:b/>
          <w:bCs/>
          <w:caps/>
          <w:sz w:val="20"/>
          <w:szCs w:val="20"/>
        </w:rPr>
      </w:pPr>
      <w:r w:rsidRPr="009D3921">
        <w:rPr>
          <w:rFonts w:ascii="Verdana" w:hAnsi="Verdana" w:cs="Verdana Bold"/>
          <w:b/>
          <w:bCs/>
          <w:caps/>
          <w:sz w:val="20"/>
          <w:szCs w:val="20"/>
        </w:rPr>
        <w:t xml:space="preserve">Resolución </w:t>
      </w:r>
      <w:r w:rsidR="00BF03F3" w:rsidRPr="009D3921">
        <w:rPr>
          <w:rFonts w:ascii="Verdana" w:hAnsi="Verdana" w:cs="Verdana Bold"/>
          <w:b/>
          <w:bCs/>
          <w:caps/>
          <w:sz w:val="20"/>
          <w:szCs w:val="20"/>
        </w:rPr>
        <w:t>DE</w:t>
      </w:r>
      <w:r w:rsidR="00222559" w:rsidRPr="009D3921">
        <w:rPr>
          <w:rFonts w:ascii="Verdana" w:hAnsi="Verdana" w:cs="Verdana Bold"/>
          <w:b/>
          <w:bCs/>
          <w:caps/>
          <w:sz w:val="20"/>
          <w:szCs w:val="20"/>
        </w:rPr>
        <w:t>L</w:t>
      </w:r>
      <w:r w:rsidR="00BF03F3" w:rsidRPr="009D3921">
        <w:rPr>
          <w:rFonts w:ascii="Verdana" w:hAnsi="Verdana" w:cs="Verdana Bold"/>
          <w:b/>
          <w:bCs/>
          <w:caps/>
          <w:sz w:val="20"/>
          <w:szCs w:val="20"/>
        </w:rPr>
        <w:t xml:space="preserve"> </w:t>
      </w:r>
      <w:r w:rsidRPr="009D3921">
        <w:rPr>
          <w:rFonts w:ascii="Verdana" w:hAnsi="Verdana" w:cs="Verdana Bold"/>
          <w:b/>
          <w:bCs/>
          <w:caps/>
          <w:sz w:val="20"/>
          <w:szCs w:val="20"/>
        </w:rPr>
        <w:t>President</w:t>
      </w:r>
      <w:r w:rsidR="00222559" w:rsidRPr="009D3921">
        <w:rPr>
          <w:rFonts w:ascii="Verdana" w:hAnsi="Verdana" w:cs="Verdana Bold"/>
          <w:b/>
          <w:bCs/>
          <w:caps/>
          <w:sz w:val="20"/>
          <w:szCs w:val="20"/>
        </w:rPr>
        <w:t>E</w:t>
      </w:r>
      <w:r w:rsidRPr="009D3921">
        <w:rPr>
          <w:rFonts w:ascii="Verdana" w:hAnsi="Verdana" w:cs="Verdana Bold"/>
          <w:b/>
          <w:bCs/>
          <w:caps/>
          <w:sz w:val="20"/>
          <w:szCs w:val="20"/>
        </w:rPr>
        <w:t xml:space="preserve"> de lA</w:t>
      </w:r>
    </w:p>
    <w:p w14:paraId="726FA6FB" w14:textId="77777777" w:rsidR="00290A20" w:rsidRPr="009D3921" w:rsidRDefault="00290A20" w:rsidP="00290A20">
      <w:pPr>
        <w:spacing w:before="120"/>
        <w:ind w:right="-316"/>
        <w:jc w:val="center"/>
        <w:rPr>
          <w:rFonts w:ascii="Verdana" w:hAnsi="Verdana" w:cs="Verdana Bold"/>
          <w:b/>
          <w:bCs/>
          <w:caps/>
          <w:sz w:val="20"/>
          <w:szCs w:val="20"/>
        </w:rPr>
      </w:pPr>
      <w:r w:rsidRPr="009D3921">
        <w:rPr>
          <w:rFonts w:ascii="Verdana" w:hAnsi="Verdana" w:cs="Verdana Bold"/>
          <w:b/>
          <w:bCs/>
          <w:caps/>
          <w:sz w:val="20"/>
          <w:szCs w:val="20"/>
        </w:rPr>
        <w:t>Corte Interamericana de Derechos Humanos</w:t>
      </w:r>
    </w:p>
    <w:p w14:paraId="4065D73B" w14:textId="77777777" w:rsidR="00290A20" w:rsidRPr="009D3921" w:rsidRDefault="00290A20" w:rsidP="00290A20">
      <w:pPr>
        <w:spacing w:before="120"/>
        <w:ind w:right="-316"/>
        <w:rPr>
          <w:rFonts w:ascii="Verdana" w:hAnsi="Verdana" w:cs="Verdana Bold"/>
          <w:b/>
          <w:bCs/>
          <w:caps/>
          <w:sz w:val="20"/>
          <w:szCs w:val="20"/>
        </w:rPr>
      </w:pPr>
    </w:p>
    <w:p w14:paraId="1DFEC994" w14:textId="76EAA3A5" w:rsidR="00290A20" w:rsidRPr="009D3921" w:rsidRDefault="00290A20" w:rsidP="00290A20">
      <w:pPr>
        <w:spacing w:before="120"/>
        <w:ind w:right="49"/>
        <w:jc w:val="center"/>
        <w:rPr>
          <w:rFonts w:ascii="Verdana" w:hAnsi="Verdana" w:cs="Verdana Bold"/>
          <w:b/>
          <w:bCs/>
          <w:caps/>
          <w:sz w:val="20"/>
          <w:szCs w:val="20"/>
        </w:rPr>
      </w:pPr>
      <w:r w:rsidRPr="009D3921">
        <w:rPr>
          <w:rFonts w:ascii="Verdana" w:hAnsi="Verdana" w:cs="Verdana Bold"/>
          <w:b/>
          <w:bCs/>
          <w:caps/>
          <w:sz w:val="20"/>
          <w:szCs w:val="20"/>
        </w:rPr>
        <w:t xml:space="preserve">dE </w:t>
      </w:r>
      <w:r w:rsidR="005C7631">
        <w:rPr>
          <w:rFonts w:ascii="Verdana" w:hAnsi="Verdana" w:cs="Verdana Bold"/>
          <w:b/>
          <w:bCs/>
          <w:caps/>
          <w:sz w:val="20"/>
          <w:szCs w:val="20"/>
        </w:rPr>
        <w:t>24</w:t>
      </w:r>
      <w:r w:rsidRPr="009D3921">
        <w:rPr>
          <w:rFonts w:ascii="Verdana" w:hAnsi="Verdana" w:cs="Verdana Bold"/>
          <w:b/>
          <w:bCs/>
          <w:caps/>
          <w:sz w:val="20"/>
          <w:szCs w:val="20"/>
        </w:rPr>
        <w:t xml:space="preserve"> DE </w:t>
      </w:r>
      <w:r w:rsidR="00E1667C">
        <w:rPr>
          <w:rFonts w:ascii="Verdana" w:hAnsi="Verdana" w:cs="Verdana Bold"/>
          <w:b/>
          <w:bCs/>
          <w:caps/>
          <w:sz w:val="20"/>
          <w:szCs w:val="20"/>
        </w:rPr>
        <w:t>mayo</w:t>
      </w:r>
      <w:r w:rsidRPr="009D3921">
        <w:rPr>
          <w:rFonts w:ascii="Verdana" w:hAnsi="Verdana" w:cs="Verdana Bold"/>
          <w:b/>
          <w:bCs/>
          <w:caps/>
          <w:sz w:val="20"/>
          <w:szCs w:val="20"/>
        </w:rPr>
        <w:t xml:space="preserve"> de </w:t>
      </w:r>
      <w:r w:rsidR="00CC3E89" w:rsidRPr="009D3921">
        <w:rPr>
          <w:rFonts w:ascii="Verdana" w:hAnsi="Verdana" w:cs="Verdana Bold"/>
          <w:b/>
          <w:bCs/>
          <w:caps/>
          <w:sz w:val="20"/>
          <w:szCs w:val="20"/>
        </w:rPr>
        <w:t>20</w:t>
      </w:r>
      <w:r w:rsidR="00AE0132" w:rsidRPr="009D3921">
        <w:rPr>
          <w:rFonts w:ascii="Verdana" w:hAnsi="Verdana" w:cs="Verdana Bold"/>
          <w:b/>
          <w:bCs/>
          <w:caps/>
          <w:sz w:val="20"/>
          <w:szCs w:val="20"/>
        </w:rPr>
        <w:t>2</w:t>
      </w:r>
      <w:r w:rsidR="00915263" w:rsidRPr="009D3921">
        <w:rPr>
          <w:rFonts w:ascii="Verdana" w:hAnsi="Verdana" w:cs="Verdana Bold"/>
          <w:b/>
          <w:bCs/>
          <w:caps/>
          <w:sz w:val="20"/>
          <w:szCs w:val="20"/>
        </w:rPr>
        <w:t>2</w:t>
      </w:r>
    </w:p>
    <w:p w14:paraId="5287EFC2" w14:textId="77777777" w:rsidR="00290A20" w:rsidRPr="009D3921" w:rsidRDefault="00290A20" w:rsidP="00290A20">
      <w:pPr>
        <w:spacing w:before="120"/>
        <w:ind w:right="-316"/>
        <w:rPr>
          <w:rFonts w:ascii="Verdana" w:hAnsi="Verdana" w:cs="Verdana Bold"/>
          <w:b/>
          <w:bCs/>
          <w:caps/>
          <w:sz w:val="20"/>
          <w:szCs w:val="20"/>
        </w:rPr>
      </w:pPr>
    </w:p>
    <w:p w14:paraId="1E5218F8" w14:textId="5A490A2A" w:rsidR="007F5412" w:rsidRPr="009D3921" w:rsidRDefault="007F5412" w:rsidP="00290A20">
      <w:pPr>
        <w:spacing w:before="120"/>
        <w:ind w:right="49"/>
        <w:jc w:val="center"/>
        <w:rPr>
          <w:rFonts w:ascii="Verdana" w:hAnsi="Verdana" w:cs="Verdana Bold"/>
          <w:b/>
          <w:bCs/>
          <w:caps/>
          <w:sz w:val="20"/>
          <w:szCs w:val="20"/>
        </w:rPr>
      </w:pPr>
      <w:r w:rsidRPr="009D3921">
        <w:rPr>
          <w:rFonts w:ascii="Verdana" w:hAnsi="Verdana" w:cs="Verdana Bold"/>
          <w:b/>
          <w:bCs/>
          <w:caps/>
          <w:sz w:val="20"/>
          <w:szCs w:val="20"/>
        </w:rPr>
        <w:t xml:space="preserve">Caso </w:t>
      </w:r>
      <w:r w:rsidR="002073C2" w:rsidRPr="009D3921">
        <w:rPr>
          <w:rFonts w:ascii="Verdana" w:hAnsi="Verdana" w:cs="Verdana Bold"/>
          <w:b/>
          <w:bCs/>
          <w:caps/>
          <w:sz w:val="20"/>
          <w:szCs w:val="20"/>
        </w:rPr>
        <w:t>Tzompaxtle Tecpile y otros Vs. México</w:t>
      </w:r>
    </w:p>
    <w:p w14:paraId="2AB4A1AB" w14:textId="3DEBE8E3" w:rsidR="00290A20" w:rsidRPr="009D3921" w:rsidRDefault="00290A20" w:rsidP="00290A20">
      <w:pPr>
        <w:spacing w:before="120"/>
        <w:ind w:right="49"/>
        <w:jc w:val="center"/>
        <w:rPr>
          <w:rFonts w:ascii="Verdana" w:hAnsi="Verdana"/>
          <w:b/>
          <w:caps/>
          <w:sz w:val="20"/>
          <w:szCs w:val="20"/>
        </w:rPr>
      </w:pPr>
      <w:r w:rsidRPr="009D3921">
        <w:rPr>
          <w:rFonts w:ascii="Verdana" w:hAnsi="Verdana"/>
          <w:b/>
          <w:caps/>
          <w:sz w:val="20"/>
          <w:szCs w:val="20"/>
        </w:rPr>
        <w:t>CONVOCATORIA A AUDIENCIA</w:t>
      </w:r>
    </w:p>
    <w:p w14:paraId="68413589" w14:textId="77777777" w:rsidR="005A2461" w:rsidRPr="009D3921" w:rsidRDefault="005A2461" w:rsidP="005A2461">
      <w:pPr>
        <w:autoSpaceDE w:val="0"/>
        <w:autoSpaceDN w:val="0"/>
        <w:adjustRightInd w:val="0"/>
        <w:spacing w:before="360" w:after="360"/>
        <w:rPr>
          <w:rFonts w:ascii="Verdana" w:hAnsi="Verdana" w:cs="Verdana"/>
          <w:b/>
          <w:bCs/>
          <w:caps/>
          <w:sz w:val="20"/>
          <w:szCs w:val="20"/>
        </w:rPr>
      </w:pPr>
      <w:r w:rsidRPr="009D3921">
        <w:rPr>
          <w:rFonts w:ascii="Verdana" w:hAnsi="Verdana" w:cs="Verdana"/>
          <w:b/>
          <w:bCs/>
          <w:sz w:val="20"/>
          <w:szCs w:val="20"/>
          <w:lang w:eastAsia="en-US"/>
        </w:rPr>
        <w:t>VISTO</w:t>
      </w:r>
      <w:r w:rsidRPr="009D3921">
        <w:rPr>
          <w:rFonts w:ascii="Verdana" w:hAnsi="Verdana" w:cs="Verdana"/>
          <w:b/>
          <w:bCs/>
          <w:caps/>
          <w:sz w:val="20"/>
          <w:szCs w:val="20"/>
        </w:rPr>
        <w:t>:</w:t>
      </w:r>
    </w:p>
    <w:p w14:paraId="334F2E09" w14:textId="5197E022" w:rsidR="00C442D8" w:rsidRPr="00EB55E9" w:rsidRDefault="005A2461" w:rsidP="00C442D8">
      <w:pPr>
        <w:pStyle w:val="Prrafodelista"/>
        <w:numPr>
          <w:ilvl w:val="0"/>
          <w:numId w:val="12"/>
        </w:numPr>
        <w:spacing w:before="120"/>
        <w:ind w:left="0" w:firstLine="0"/>
        <w:contextualSpacing w:val="0"/>
        <w:rPr>
          <w:szCs w:val="20"/>
        </w:rPr>
      </w:pPr>
      <w:bookmarkStart w:id="0" w:name="_Ref393297742"/>
      <w:bookmarkStart w:id="1" w:name="_Ref352676460"/>
      <w:r w:rsidRPr="00EB55E9">
        <w:rPr>
          <w:szCs w:val="20"/>
        </w:rPr>
        <w:t>El escrito de sometimiento del caso y el Informe de Fondo de la Comisión Interamericana de Derechos Humanos (en adelante “la Comisión Interamericana” o “la Comisión”)</w:t>
      </w:r>
      <w:bookmarkEnd w:id="0"/>
      <w:r w:rsidRPr="00EB55E9">
        <w:rPr>
          <w:szCs w:val="20"/>
        </w:rPr>
        <w:t xml:space="preserve">; </w:t>
      </w:r>
      <w:bookmarkStart w:id="2" w:name="_Ref393297751"/>
      <w:bookmarkStart w:id="3" w:name="_Ref351983508"/>
      <w:bookmarkEnd w:id="1"/>
      <w:r w:rsidRPr="00EB55E9">
        <w:rPr>
          <w:szCs w:val="20"/>
        </w:rPr>
        <w:t xml:space="preserve">el escrito de solicitudes, argumentos y pruebas (en adelante el “escrito de solicitudes y argumentos”) </w:t>
      </w:r>
      <w:r w:rsidRPr="00EB55E9">
        <w:rPr>
          <w:szCs w:val="20"/>
          <w:lang w:eastAsia="en-US"/>
        </w:rPr>
        <w:t>de los representantes</w:t>
      </w:r>
      <w:r w:rsidRPr="00EB55E9">
        <w:rPr>
          <w:rStyle w:val="Refdenotaalpie"/>
          <w:szCs w:val="20"/>
          <w:lang w:eastAsia="en-US"/>
        </w:rPr>
        <w:t xml:space="preserve"> </w:t>
      </w:r>
      <w:r w:rsidRPr="00EB55E9">
        <w:rPr>
          <w:szCs w:val="20"/>
          <w:lang w:eastAsia="en-US"/>
        </w:rPr>
        <w:t>de las presuntas víctimas</w:t>
      </w:r>
      <w:r w:rsidR="00FE6634" w:rsidRPr="00EB55E9">
        <w:rPr>
          <w:rStyle w:val="Refdenotaalpie"/>
          <w:szCs w:val="20"/>
          <w:lang w:eastAsia="en-US"/>
        </w:rPr>
        <w:footnoteReference w:id="1"/>
      </w:r>
      <w:r w:rsidRPr="00EB55E9">
        <w:rPr>
          <w:szCs w:val="20"/>
        </w:rPr>
        <w:t xml:space="preserve"> (en adelante “los representantes”), y </w:t>
      </w:r>
      <w:bookmarkEnd w:id="2"/>
      <w:bookmarkEnd w:id="3"/>
      <w:r w:rsidRPr="00EB55E9">
        <w:rPr>
          <w:szCs w:val="20"/>
        </w:rPr>
        <w:t xml:space="preserve">el escrito de </w:t>
      </w:r>
      <w:r w:rsidR="00952C62" w:rsidRPr="00EB55E9">
        <w:rPr>
          <w:szCs w:val="20"/>
        </w:rPr>
        <w:t>interposición de excepci</w:t>
      </w:r>
      <w:r w:rsidR="002073C2">
        <w:rPr>
          <w:szCs w:val="20"/>
        </w:rPr>
        <w:t>ones</w:t>
      </w:r>
      <w:r w:rsidR="00952C62" w:rsidRPr="00EB55E9">
        <w:rPr>
          <w:szCs w:val="20"/>
        </w:rPr>
        <w:t xml:space="preserve"> preliminar</w:t>
      </w:r>
      <w:r w:rsidR="002073C2">
        <w:rPr>
          <w:szCs w:val="20"/>
        </w:rPr>
        <w:t>es</w:t>
      </w:r>
      <w:r w:rsidR="00952C62" w:rsidRPr="00EB55E9">
        <w:rPr>
          <w:szCs w:val="20"/>
        </w:rPr>
        <w:t xml:space="preserve"> y </w:t>
      </w:r>
      <w:r w:rsidRPr="00EB55E9">
        <w:rPr>
          <w:szCs w:val="20"/>
        </w:rPr>
        <w:t xml:space="preserve">contestación al sometimiento del caso y al escrito de solicitudes y argumentos (en adelante “escrito de contestación”) </w:t>
      </w:r>
      <w:r w:rsidR="00EE42CC" w:rsidRPr="00EB55E9">
        <w:rPr>
          <w:szCs w:val="20"/>
        </w:rPr>
        <w:t xml:space="preserve">de </w:t>
      </w:r>
      <w:r w:rsidR="00484B7D">
        <w:rPr>
          <w:szCs w:val="20"/>
        </w:rPr>
        <w:t>México</w:t>
      </w:r>
      <w:r w:rsidR="00EE42CC" w:rsidRPr="00EB55E9">
        <w:rPr>
          <w:szCs w:val="20"/>
        </w:rPr>
        <w:t xml:space="preserve"> (en adelante </w:t>
      </w:r>
      <w:r w:rsidR="00D04AE8">
        <w:rPr>
          <w:szCs w:val="20"/>
        </w:rPr>
        <w:t xml:space="preserve">también </w:t>
      </w:r>
      <w:r w:rsidR="00EE42CC" w:rsidRPr="00EB55E9">
        <w:rPr>
          <w:szCs w:val="20"/>
        </w:rPr>
        <w:t>“el Estado”</w:t>
      </w:r>
      <w:r w:rsidR="00D70C65" w:rsidRPr="00EB55E9">
        <w:rPr>
          <w:szCs w:val="20"/>
        </w:rPr>
        <w:t>)</w:t>
      </w:r>
      <w:r w:rsidR="00952C62" w:rsidRPr="00EB55E9">
        <w:rPr>
          <w:szCs w:val="20"/>
        </w:rPr>
        <w:t xml:space="preserve">, así como </w:t>
      </w:r>
      <w:r w:rsidR="002073C2">
        <w:rPr>
          <w:szCs w:val="20"/>
        </w:rPr>
        <w:t>los</w:t>
      </w:r>
      <w:r w:rsidR="002C1C02" w:rsidRPr="00EB55E9">
        <w:rPr>
          <w:szCs w:val="20"/>
        </w:rPr>
        <w:t xml:space="preserve"> </w:t>
      </w:r>
      <w:r w:rsidR="00952C62" w:rsidRPr="00EB55E9">
        <w:rPr>
          <w:szCs w:val="20"/>
        </w:rPr>
        <w:t>escrito</w:t>
      </w:r>
      <w:r w:rsidR="002073C2">
        <w:rPr>
          <w:szCs w:val="20"/>
        </w:rPr>
        <w:t>s</w:t>
      </w:r>
      <w:r w:rsidR="00952C62" w:rsidRPr="00EB55E9">
        <w:rPr>
          <w:szCs w:val="20"/>
        </w:rPr>
        <w:t xml:space="preserve"> de observaciones a la</w:t>
      </w:r>
      <w:r w:rsidR="002073C2">
        <w:rPr>
          <w:szCs w:val="20"/>
        </w:rPr>
        <w:t>s</w:t>
      </w:r>
      <w:r w:rsidR="00952C62" w:rsidRPr="00EB55E9">
        <w:rPr>
          <w:szCs w:val="20"/>
        </w:rPr>
        <w:t xml:space="preserve"> excepci</w:t>
      </w:r>
      <w:r w:rsidR="002073C2">
        <w:rPr>
          <w:szCs w:val="20"/>
        </w:rPr>
        <w:t>ones</w:t>
      </w:r>
      <w:r w:rsidR="00952C62" w:rsidRPr="00EB55E9">
        <w:rPr>
          <w:szCs w:val="20"/>
        </w:rPr>
        <w:t xml:space="preserve"> preliminar</w:t>
      </w:r>
      <w:r w:rsidR="002073C2">
        <w:rPr>
          <w:szCs w:val="20"/>
        </w:rPr>
        <w:t>es</w:t>
      </w:r>
      <w:r w:rsidR="00952C62" w:rsidRPr="00EB55E9">
        <w:rPr>
          <w:szCs w:val="20"/>
        </w:rPr>
        <w:t xml:space="preserve"> presentado</w:t>
      </w:r>
      <w:r w:rsidR="002073C2">
        <w:rPr>
          <w:szCs w:val="20"/>
        </w:rPr>
        <w:t>s</w:t>
      </w:r>
      <w:r w:rsidR="002C1C02" w:rsidRPr="00EB55E9">
        <w:rPr>
          <w:szCs w:val="20"/>
        </w:rPr>
        <w:t xml:space="preserve"> por</w:t>
      </w:r>
      <w:r w:rsidR="00952C62" w:rsidRPr="00EB55E9">
        <w:rPr>
          <w:szCs w:val="20"/>
        </w:rPr>
        <w:t xml:space="preserve"> la Comisión</w:t>
      </w:r>
      <w:r w:rsidR="002073C2">
        <w:rPr>
          <w:szCs w:val="20"/>
        </w:rPr>
        <w:t xml:space="preserve"> y los representantes</w:t>
      </w:r>
      <w:r w:rsidR="00EE42CC" w:rsidRPr="00EB55E9">
        <w:rPr>
          <w:szCs w:val="20"/>
        </w:rPr>
        <w:t>.</w:t>
      </w:r>
    </w:p>
    <w:p w14:paraId="4D7D8190" w14:textId="0F51949F" w:rsidR="00E20086" w:rsidRPr="00E20086" w:rsidRDefault="00EE42CC" w:rsidP="00E20086">
      <w:pPr>
        <w:pStyle w:val="Prrafodelista"/>
        <w:numPr>
          <w:ilvl w:val="0"/>
          <w:numId w:val="12"/>
        </w:numPr>
        <w:spacing w:before="120"/>
        <w:ind w:left="0" w:firstLine="0"/>
        <w:contextualSpacing w:val="0"/>
        <w:rPr>
          <w:szCs w:val="20"/>
        </w:rPr>
      </w:pPr>
      <w:r w:rsidRPr="00EB55E9">
        <w:rPr>
          <w:szCs w:val="20"/>
        </w:rPr>
        <w:t>Las listas definitivas de declarantes</w:t>
      </w:r>
      <w:r w:rsidR="00A55D24" w:rsidRPr="00EB55E9">
        <w:rPr>
          <w:szCs w:val="20"/>
        </w:rPr>
        <w:t xml:space="preserve">, y la ratificación a las mismas </w:t>
      </w:r>
      <w:r w:rsidRPr="00EB55E9">
        <w:rPr>
          <w:szCs w:val="20"/>
        </w:rPr>
        <w:t>presentadas por los representantes</w:t>
      </w:r>
      <w:r w:rsidR="007F5412" w:rsidRPr="00EB55E9">
        <w:rPr>
          <w:szCs w:val="20"/>
        </w:rPr>
        <w:t>, el Estado</w:t>
      </w:r>
      <w:r w:rsidR="00517382" w:rsidRPr="00EB55E9">
        <w:rPr>
          <w:szCs w:val="20"/>
        </w:rPr>
        <w:t xml:space="preserve"> </w:t>
      </w:r>
      <w:r w:rsidRPr="00EB55E9">
        <w:rPr>
          <w:szCs w:val="20"/>
        </w:rPr>
        <w:t>y la Comisió</w:t>
      </w:r>
      <w:r w:rsidR="00517382" w:rsidRPr="00EB55E9">
        <w:rPr>
          <w:szCs w:val="20"/>
        </w:rPr>
        <w:t>n</w:t>
      </w:r>
      <w:r w:rsidR="00C852D1" w:rsidRPr="00EB55E9">
        <w:rPr>
          <w:szCs w:val="20"/>
        </w:rPr>
        <w:t xml:space="preserve">, y las observaciones a las mismas presentadas por </w:t>
      </w:r>
      <w:r w:rsidR="003764A3">
        <w:rPr>
          <w:szCs w:val="20"/>
        </w:rPr>
        <w:t>los</w:t>
      </w:r>
      <w:r w:rsidR="00C852D1" w:rsidRPr="00EB55E9">
        <w:rPr>
          <w:szCs w:val="20"/>
        </w:rPr>
        <w:t xml:space="preserve"> </w:t>
      </w:r>
      <w:r w:rsidR="003764A3">
        <w:rPr>
          <w:szCs w:val="20"/>
        </w:rPr>
        <w:t>representantes</w:t>
      </w:r>
      <w:r w:rsidR="00C442D8" w:rsidRPr="00EB55E9">
        <w:rPr>
          <w:szCs w:val="20"/>
        </w:rPr>
        <w:t>.</w:t>
      </w:r>
      <w:r w:rsidR="00A55D24" w:rsidRPr="00EB55E9">
        <w:rPr>
          <w:szCs w:val="20"/>
        </w:rPr>
        <w:t xml:space="preserve"> </w:t>
      </w:r>
      <w:r w:rsidR="00466979">
        <w:rPr>
          <w:szCs w:val="20"/>
        </w:rPr>
        <w:t>El</w:t>
      </w:r>
      <w:r w:rsidR="00A55D24" w:rsidRPr="00EB55E9">
        <w:rPr>
          <w:szCs w:val="20"/>
        </w:rPr>
        <w:t xml:space="preserve"> </w:t>
      </w:r>
      <w:r w:rsidR="00466979">
        <w:rPr>
          <w:szCs w:val="20"/>
        </w:rPr>
        <w:t>Estado</w:t>
      </w:r>
      <w:r w:rsidR="00A55D24" w:rsidRPr="00EB55E9">
        <w:rPr>
          <w:szCs w:val="20"/>
        </w:rPr>
        <w:t xml:space="preserve"> y la Comisión indicaron que no tenían observaciones.</w:t>
      </w:r>
    </w:p>
    <w:p w14:paraId="72538B1D" w14:textId="77777777" w:rsidR="00F071B2" w:rsidRPr="009D3921" w:rsidRDefault="00F071B2" w:rsidP="00F071B2">
      <w:pPr>
        <w:autoSpaceDE w:val="0"/>
        <w:autoSpaceDN w:val="0"/>
        <w:adjustRightInd w:val="0"/>
        <w:spacing w:before="360" w:after="360"/>
        <w:rPr>
          <w:rFonts w:ascii="Verdana" w:hAnsi="Verdana" w:cs="Verdana"/>
          <w:b/>
          <w:bCs/>
          <w:sz w:val="20"/>
          <w:szCs w:val="20"/>
          <w:lang w:eastAsia="en-US"/>
        </w:rPr>
      </w:pPr>
      <w:r w:rsidRPr="009D3921">
        <w:rPr>
          <w:rFonts w:ascii="Verdana" w:hAnsi="Verdana" w:cs="Verdana"/>
          <w:b/>
          <w:bCs/>
          <w:sz w:val="20"/>
          <w:szCs w:val="20"/>
          <w:lang w:eastAsia="en-US"/>
        </w:rPr>
        <w:t>CONSIDERANDO QUE:</w:t>
      </w:r>
    </w:p>
    <w:p w14:paraId="3810A9EC" w14:textId="3C10364A" w:rsidR="00F071B2" w:rsidRDefault="00F071B2" w:rsidP="004E284C">
      <w:pPr>
        <w:pStyle w:val="Prrafodelista"/>
        <w:numPr>
          <w:ilvl w:val="0"/>
          <w:numId w:val="15"/>
        </w:numPr>
        <w:spacing w:before="120"/>
        <w:ind w:left="0" w:firstLine="0"/>
        <w:contextualSpacing w:val="0"/>
        <w:rPr>
          <w:szCs w:val="20"/>
        </w:rPr>
      </w:pPr>
      <w:r w:rsidRPr="00EB55E9">
        <w:rPr>
          <w:szCs w:val="20"/>
        </w:rPr>
        <w:t>El ofrecimiento y la admisión de la prueba se encuentran regulados en los artículos 35.1.f, 40.2.c, 41.1.c, 46, 48, 50, 57 y 58 del Reglamento del Tribunal.</w:t>
      </w:r>
    </w:p>
    <w:p w14:paraId="54FF99A9" w14:textId="0CBB6842" w:rsidR="00C66EE5" w:rsidRPr="00C66EE5" w:rsidRDefault="00C66EE5" w:rsidP="00C66EE5">
      <w:pPr>
        <w:pStyle w:val="Prrafodelista"/>
        <w:numPr>
          <w:ilvl w:val="0"/>
          <w:numId w:val="15"/>
        </w:numPr>
        <w:spacing w:before="120"/>
        <w:ind w:left="0" w:firstLine="0"/>
        <w:contextualSpacing w:val="0"/>
        <w:rPr>
          <w:szCs w:val="20"/>
        </w:rPr>
      </w:pPr>
      <w:r w:rsidRPr="00C66EE5">
        <w:rPr>
          <w:szCs w:val="20"/>
        </w:rPr>
        <w:t>La Comisión</w:t>
      </w:r>
      <w:r>
        <w:rPr>
          <w:szCs w:val="20"/>
        </w:rPr>
        <w:t>, el Estado</w:t>
      </w:r>
      <w:r w:rsidRPr="00C66EE5">
        <w:rPr>
          <w:szCs w:val="20"/>
        </w:rPr>
        <w:t xml:space="preserve"> y </w:t>
      </w:r>
      <w:r>
        <w:rPr>
          <w:szCs w:val="20"/>
        </w:rPr>
        <w:t>los</w:t>
      </w:r>
      <w:r w:rsidRPr="00C66EE5">
        <w:rPr>
          <w:szCs w:val="20"/>
        </w:rPr>
        <w:t xml:space="preserve"> representante</w:t>
      </w:r>
      <w:r>
        <w:rPr>
          <w:szCs w:val="20"/>
        </w:rPr>
        <w:t>s</w:t>
      </w:r>
      <w:r w:rsidRPr="00C66EE5">
        <w:rPr>
          <w:szCs w:val="20"/>
        </w:rPr>
        <w:t>, al presentar sus listas definitivas de declarantes,</w:t>
      </w:r>
      <w:r>
        <w:rPr>
          <w:szCs w:val="20"/>
        </w:rPr>
        <w:t xml:space="preserve"> </w:t>
      </w:r>
      <w:r w:rsidRPr="00C66EE5">
        <w:rPr>
          <w:szCs w:val="20"/>
        </w:rPr>
        <w:t xml:space="preserve">reiteraron los ofrecimientos de declaraciones efectuados en sus escritos de sometimiento, </w:t>
      </w:r>
      <w:r>
        <w:rPr>
          <w:szCs w:val="20"/>
        </w:rPr>
        <w:t xml:space="preserve">de contestación </w:t>
      </w:r>
      <w:r w:rsidRPr="00C66EE5">
        <w:rPr>
          <w:szCs w:val="20"/>
        </w:rPr>
        <w:t>y de solicitudes y argumentos, respectivamente</w:t>
      </w:r>
      <w:r>
        <w:rPr>
          <w:szCs w:val="20"/>
        </w:rPr>
        <w:t xml:space="preserve"> (</w:t>
      </w:r>
      <w:r w:rsidRPr="00C66EE5">
        <w:rPr>
          <w:i/>
          <w:iCs/>
          <w:szCs w:val="20"/>
        </w:rPr>
        <w:t>supra</w:t>
      </w:r>
      <w:r>
        <w:rPr>
          <w:szCs w:val="20"/>
        </w:rPr>
        <w:t xml:space="preserve"> Visto 1).</w:t>
      </w:r>
      <w:r w:rsidRPr="00C66EE5">
        <w:rPr>
          <w:szCs w:val="20"/>
        </w:rPr>
        <w:t xml:space="preserve"> </w:t>
      </w:r>
      <w:r w:rsidRPr="009346A2">
        <w:rPr>
          <w:szCs w:val="20"/>
        </w:rPr>
        <w:t>La Corte garantizó a las partes y a la Comisión el derecho de defensa respecto de los</w:t>
      </w:r>
      <w:r>
        <w:rPr>
          <w:szCs w:val="20"/>
        </w:rPr>
        <w:t xml:space="preserve"> </w:t>
      </w:r>
      <w:r w:rsidRPr="009346A2">
        <w:rPr>
          <w:szCs w:val="20"/>
        </w:rPr>
        <w:t>ofrecimientos probatorios oportunamente realizados</w:t>
      </w:r>
      <w:r>
        <w:rPr>
          <w:szCs w:val="20"/>
        </w:rPr>
        <w:t>.</w:t>
      </w:r>
    </w:p>
    <w:p w14:paraId="1803BD0D" w14:textId="789613CA" w:rsidR="00EA29E2" w:rsidRPr="009346A2" w:rsidRDefault="008D44B4" w:rsidP="009346A2">
      <w:pPr>
        <w:pStyle w:val="Prrafodelista"/>
        <w:numPr>
          <w:ilvl w:val="0"/>
          <w:numId w:val="15"/>
        </w:numPr>
        <w:spacing w:before="120"/>
        <w:ind w:left="0" w:firstLine="0"/>
        <w:contextualSpacing w:val="0"/>
        <w:rPr>
          <w:szCs w:val="20"/>
        </w:rPr>
      </w:pPr>
      <w:r w:rsidRPr="00EB55E9">
        <w:rPr>
          <w:szCs w:val="20"/>
        </w:rPr>
        <w:t xml:space="preserve">El Estado ofreció </w:t>
      </w:r>
      <w:r w:rsidR="00C0366B">
        <w:rPr>
          <w:szCs w:val="20"/>
        </w:rPr>
        <w:t>tres declaraciones periciales</w:t>
      </w:r>
      <w:r w:rsidR="00FE27F0" w:rsidRPr="00EB55E9">
        <w:rPr>
          <w:szCs w:val="20"/>
        </w:rPr>
        <w:t xml:space="preserve"> para ser rendidas durante la audiencia pública del presente caso</w:t>
      </w:r>
      <w:r w:rsidR="00F03C96">
        <w:rPr>
          <w:rStyle w:val="Refdenotaalpie"/>
          <w:szCs w:val="20"/>
        </w:rPr>
        <w:footnoteReference w:id="2"/>
      </w:r>
      <w:r w:rsidR="0089307E" w:rsidRPr="00EB55E9">
        <w:rPr>
          <w:szCs w:val="20"/>
        </w:rPr>
        <w:t>.</w:t>
      </w:r>
      <w:r w:rsidR="00AE249F">
        <w:rPr>
          <w:szCs w:val="20"/>
        </w:rPr>
        <w:t xml:space="preserve"> </w:t>
      </w:r>
      <w:r w:rsidR="00917350">
        <w:rPr>
          <w:szCs w:val="20"/>
        </w:rPr>
        <w:t>N</w:t>
      </w:r>
      <w:r w:rsidR="003707E7" w:rsidRPr="00EB55E9">
        <w:rPr>
          <w:szCs w:val="20"/>
        </w:rPr>
        <w:t xml:space="preserve">inguna de </w:t>
      </w:r>
      <w:r w:rsidR="00BF422F">
        <w:rPr>
          <w:szCs w:val="20"/>
        </w:rPr>
        <w:t>la</w:t>
      </w:r>
      <w:r w:rsidR="000D65DD">
        <w:rPr>
          <w:szCs w:val="20"/>
        </w:rPr>
        <w:t>s</w:t>
      </w:r>
      <w:r w:rsidR="003707E7" w:rsidRPr="00EB55E9">
        <w:rPr>
          <w:szCs w:val="20"/>
        </w:rPr>
        <w:t xml:space="preserve"> declaraciones </w:t>
      </w:r>
      <w:r w:rsidR="00BF422F">
        <w:rPr>
          <w:szCs w:val="20"/>
        </w:rPr>
        <w:t xml:space="preserve">periciales </w:t>
      </w:r>
      <w:r w:rsidR="00041A63">
        <w:rPr>
          <w:szCs w:val="20"/>
        </w:rPr>
        <w:t xml:space="preserve">ofrecidas por el Estado </w:t>
      </w:r>
      <w:r w:rsidR="003707E7" w:rsidRPr="00EB55E9">
        <w:rPr>
          <w:szCs w:val="20"/>
        </w:rPr>
        <w:t>fue objetada.</w:t>
      </w:r>
      <w:r w:rsidR="00B005A6" w:rsidRPr="00EB55E9">
        <w:rPr>
          <w:szCs w:val="20"/>
        </w:rPr>
        <w:t xml:space="preserve"> </w:t>
      </w:r>
      <w:r w:rsidR="00EA29E2" w:rsidRPr="00EB55E9">
        <w:rPr>
          <w:szCs w:val="20"/>
        </w:rPr>
        <w:t xml:space="preserve">Los representantes ofrecieron </w:t>
      </w:r>
      <w:r w:rsidR="000D65DD">
        <w:rPr>
          <w:szCs w:val="20"/>
        </w:rPr>
        <w:t>dos</w:t>
      </w:r>
      <w:r w:rsidR="00EA29E2" w:rsidRPr="00EB55E9">
        <w:rPr>
          <w:szCs w:val="20"/>
        </w:rPr>
        <w:t xml:space="preserve"> declaraciones testimoniales y </w:t>
      </w:r>
      <w:r w:rsidR="00C66EE5">
        <w:rPr>
          <w:szCs w:val="20"/>
        </w:rPr>
        <w:t>tres</w:t>
      </w:r>
      <w:r w:rsidR="00EA29E2" w:rsidRPr="00EB55E9">
        <w:rPr>
          <w:szCs w:val="20"/>
        </w:rPr>
        <w:t xml:space="preserve"> declaraci</w:t>
      </w:r>
      <w:r w:rsidR="000D65DD">
        <w:rPr>
          <w:szCs w:val="20"/>
        </w:rPr>
        <w:t>ones</w:t>
      </w:r>
      <w:r w:rsidR="00EA29E2" w:rsidRPr="00EB55E9">
        <w:rPr>
          <w:szCs w:val="20"/>
        </w:rPr>
        <w:t xml:space="preserve"> </w:t>
      </w:r>
      <w:r w:rsidR="00146B22" w:rsidRPr="00EB55E9">
        <w:rPr>
          <w:szCs w:val="20"/>
        </w:rPr>
        <w:t>pericial</w:t>
      </w:r>
      <w:r w:rsidR="000D65DD">
        <w:rPr>
          <w:szCs w:val="20"/>
        </w:rPr>
        <w:t>es</w:t>
      </w:r>
      <w:r w:rsidR="0076767B">
        <w:rPr>
          <w:rStyle w:val="Refdenotaalpie"/>
          <w:szCs w:val="20"/>
        </w:rPr>
        <w:footnoteReference w:id="3"/>
      </w:r>
      <w:r w:rsidR="000D65DD">
        <w:rPr>
          <w:szCs w:val="20"/>
        </w:rPr>
        <w:t xml:space="preserve">. Requirieron que </w:t>
      </w:r>
      <w:r w:rsidR="00ED715C">
        <w:rPr>
          <w:szCs w:val="20"/>
        </w:rPr>
        <w:t>una de las declaraciones periciales</w:t>
      </w:r>
      <w:r w:rsidR="004B6AC9">
        <w:rPr>
          <w:szCs w:val="20"/>
        </w:rPr>
        <w:t>,</w:t>
      </w:r>
      <w:r w:rsidR="00ED715C">
        <w:rPr>
          <w:szCs w:val="20"/>
        </w:rPr>
        <w:t xml:space="preserve"> y una declaración testimonial sean</w:t>
      </w:r>
      <w:r w:rsidR="000D65DD">
        <w:rPr>
          <w:szCs w:val="20"/>
        </w:rPr>
        <w:t xml:space="preserve"> recibid</w:t>
      </w:r>
      <w:r w:rsidR="00ED715C">
        <w:rPr>
          <w:szCs w:val="20"/>
        </w:rPr>
        <w:t>a</w:t>
      </w:r>
      <w:r w:rsidR="000D65DD">
        <w:rPr>
          <w:szCs w:val="20"/>
        </w:rPr>
        <w:t>s durante la audiencia pública</w:t>
      </w:r>
      <w:r w:rsidR="00EA29E2" w:rsidRPr="00EB55E9">
        <w:rPr>
          <w:szCs w:val="20"/>
        </w:rPr>
        <w:t>.</w:t>
      </w:r>
      <w:r w:rsidR="00466C0E" w:rsidRPr="00EB55E9">
        <w:rPr>
          <w:szCs w:val="20"/>
        </w:rPr>
        <w:t xml:space="preserve"> </w:t>
      </w:r>
      <w:r w:rsidR="00EA29E2" w:rsidRPr="00EB55E9">
        <w:rPr>
          <w:szCs w:val="20"/>
        </w:rPr>
        <w:t xml:space="preserve">El Estado no presentó objeciones a esas </w:t>
      </w:r>
      <w:r w:rsidR="00EA29E2" w:rsidRPr="00EB55E9">
        <w:rPr>
          <w:szCs w:val="20"/>
        </w:rPr>
        <w:lastRenderedPageBreak/>
        <w:t xml:space="preserve">declaraciones. </w:t>
      </w:r>
      <w:r w:rsidR="00AE249F">
        <w:rPr>
          <w:szCs w:val="20"/>
        </w:rPr>
        <w:t>La Comisión ofreció un</w:t>
      </w:r>
      <w:r w:rsidR="0001537E">
        <w:rPr>
          <w:szCs w:val="20"/>
        </w:rPr>
        <w:t>a</w:t>
      </w:r>
      <w:r w:rsidR="00AE249F">
        <w:rPr>
          <w:szCs w:val="20"/>
        </w:rPr>
        <w:t xml:space="preserve"> </w:t>
      </w:r>
      <w:r w:rsidR="00A332F5">
        <w:rPr>
          <w:szCs w:val="20"/>
        </w:rPr>
        <w:t>declaración pericial</w:t>
      </w:r>
      <w:r w:rsidR="00AE249F">
        <w:rPr>
          <w:szCs w:val="20"/>
        </w:rPr>
        <w:t xml:space="preserve"> para que sea recibid</w:t>
      </w:r>
      <w:r w:rsidR="00A332F5">
        <w:rPr>
          <w:szCs w:val="20"/>
        </w:rPr>
        <w:t>a</w:t>
      </w:r>
      <w:r w:rsidR="00AE249F">
        <w:rPr>
          <w:szCs w:val="20"/>
        </w:rPr>
        <w:t xml:space="preserve"> durante la audiencia pública.</w:t>
      </w:r>
    </w:p>
    <w:p w14:paraId="0A1F48E8" w14:textId="431836B9" w:rsidR="006A66FC" w:rsidRPr="00024E0D" w:rsidRDefault="00024E0D" w:rsidP="00C2000E">
      <w:pPr>
        <w:pStyle w:val="Prrafodelista"/>
        <w:numPr>
          <w:ilvl w:val="0"/>
          <w:numId w:val="15"/>
        </w:numPr>
        <w:spacing w:before="120"/>
        <w:ind w:left="0" w:firstLine="0"/>
        <w:contextualSpacing w:val="0"/>
        <w:rPr>
          <w:szCs w:val="20"/>
        </w:rPr>
      </w:pPr>
      <w:r w:rsidRPr="00024E0D">
        <w:rPr>
          <w:szCs w:val="20"/>
        </w:rPr>
        <w:t xml:space="preserve">El </w:t>
      </w:r>
      <w:proofErr w:type="gramStart"/>
      <w:r w:rsidRPr="00024E0D">
        <w:rPr>
          <w:szCs w:val="20"/>
        </w:rPr>
        <w:t>Presidente</w:t>
      </w:r>
      <w:proofErr w:type="gramEnd"/>
      <w:r w:rsidRPr="00024E0D">
        <w:rPr>
          <w:szCs w:val="20"/>
        </w:rPr>
        <w:t xml:space="preserve"> de la Corte (en adelante “el Presidente” o “esta Presidencia”) ha decidido que es necesario convocar a una audiencia pública durante la cual se recibirán las declaraciones que sean admitidas para tales efectos, así como los alegatos y observaciones</w:t>
      </w:r>
      <w:r>
        <w:rPr>
          <w:szCs w:val="20"/>
        </w:rPr>
        <w:t xml:space="preserve"> </w:t>
      </w:r>
      <w:r w:rsidRPr="00024E0D">
        <w:rPr>
          <w:szCs w:val="20"/>
        </w:rPr>
        <w:t>finales orales de las partes y la Comisión Interamericana, respectivamente.</w:t>
      </w:r>
      <w:r>
        <w:rPr>
          <w:szCs w:val="20"/>
        </w:rPr>
        <w:t xml:space="preserve"> </w:t>
      </w:r>
      <w:r w:rsidR="00916BFE" w:rsidRPr="00024E0D">
        <w:rPr>
          <w:szCs w:val="20"/>
        </w:rPr>
        <w:t>E</w:t>
      </w:r>
      <w:r w:rsidR="00C2765C" w:rsidRPr="00024E0D">
        <w:rPr>
          <w:szCs w:val="20"/>
        </w:rPr>
        <w:t>sta</w:t>
      </w:r>
      <w:r w:rsidR="000C421A" w:rsidRPr="00024E0D">
        <w:rPr>
          <w:szCs w:val="20"/>
        </w:rPr>
        <w:t xml:space="preserve"> Presiden</w:t>
      </w:r>
      <w:r w:rsidR="00C2765C" w:rsidRPr="00024E0D">
        <w:rPr>
          <w:szCs w:val="20"/>
        </w:rPr>
        <w:t>cia considera procedente el ofrecimiento de prueba testimonial</w:t>
      </w:r>
      <w:r w:rsidR="0001537E">
        <w:rPr>
          <w:rStyle w:val="Refdenotaalpie"/>
          <w:szCs w:val="20"/>
        </w:rPr>
        <w:footnoteReference w:id="4"/>
      </w:r>
      <w:r w:rsidR="00C2765C" w:rsidRPr="00024E0D">
        <w:rPr>
          <w:szCs w:val="20"/>
        </w:rPr>
        <w:t xml:space="preserve"> </w:t>
      </w:r>
      <w:r w:rsidR="003707E7" w:rsidRPr="00024E0D">
        <w:rPr>
          <w:szCs w:val="20"/>
        </w:rPr>
        <w:t xml:space="preserve">y </w:t>
      </w:r>
      <w:r w:rsidR="00EA29E2" w:rsidRPr="00024E0D">
        <w:rPr>
          <w:szCs w:val="20"/>
        </w:rPr>
        <w:t>pericial</w:t>
      </w:r>
      <w:r w:rsidR="0001537E">
        <w:rPr>
          <w:rStyle w:val="Refdenotaalpie"/>
          <w:szCs w:val="20"/>
        </w:rPr>
        <w:footnoteReference w:id="5"/>
      </w:r>
      <w:r w:rsidR="0001537E" w:rsidRPr="00024E0D">
        <w:rPr>
          <w:szCs w:val="20"/>
        </w:rPr>
        <w:t xml:space="preserve"> </w:t>
      </w:r>
      <w:r w:rsidR="00C2765C" w:rsidRPr="00024E0D">
        <w:rPr>
          <w:szCs w:val="20"/>
        </w:rPr>
        <w:t>por parte de los representantes</w:t>
      </w:r>
      <w:r w:rsidR="00B005A6" w:rsidRPr="00024E0D">
        <w:rPr>
          <w:szCs w:val="20"/>
        </w:rPr>
        <w:t xml:space="preserve">, y de prueba </w:t>
      </w:r>
      <w:r w:rsidR="00916BFE" w:rsidRPr="00024E0D">
        <w:rPr>
          <w:szCs w:val="20"/>
        </w:rPr>
        <w:t>pericial</w:t>
      </w:r>
      <w:r w:rsidR="0001537E">
        <w:rPr>
          <w:rStyle w:val="Refdenotaalpie"/>
          <w:szCs w:val="20"/>
        </w:rPr>
        <w:footnoteReference w:id="6"/>
      </w:r>
      <w:r w:rsidR="0001537E" w:rsidRPr="00024E0D">
        <w:rPr>
          <w:szCs w:val="20"/>
        </w:rPr>
        <w:t xml:space="preserve"> </w:t>
      </w:r>
      <w:r w:rsidR="00B005A6" w:rsidRPr="00024E0D">
        <w:rPr>
          <w:szCs w:val="20"/>
        </w:rPr>
        <w:t>por parte del Estado</w:t>
      </w:r>
      <w:r w:rsidR="00916BFE" w:rsidRPr="00024E0D">
        <w:rPr>
          <w:szCs w:val="20"/>
        </w:rPr>
        <w:t xml:space="preserve"> en la medida que ninguna de las declaraciones fue objetada. El </w:t>
      </w:r>
      <w:r w:rsidR="000C421A" w:rsidRPr="00024E0D">
        <w:rPr>
          <w:szCs w:val="20"/>
        </w:rPr>
        <w:t xml:space="preserve">objeto y modalidad </w:t>
      </w:r>
      <w:r w:rsidR="00916BFE" w:rsidRPr="00024E0D">
        <w:rPr>
          <w:szCs w:val="20"/>
        </w:rPr>
        <w:t xml:space="preserve">serán establecidos </w:t>
      </w:r>
      <w:r w:rsidR="000C421A" w:rsidRPr="00024E0D">
        <w:rPr>
          <w:szCs w:val="20"/>
        </w:rPr>
        <w:t>en la parte resolutiva de la presente Resolución</w:t>
      </w:r>
      <w:r w:rsidR="00357EBA" w:rsidRPr="00024E0D">
        <w:rPr>
          <w:szCs w:val="20"/>
        </w:rPr>
        <w:t xml:space="preserve"> (</w:t>
      </w:r>
      <w:r w:rsidR="00357EBA" w:rsidRPr="00024E0D">
        <w:rPr>
          <w:i/>
          <w:iCs/>
          <w:szCs w:val="20"/>
        </w:rPr>
        <w:t>infra</w:t>
      </w:r>
      <w:r w:rsidR="00357EBA" w:rsidRPr="00024E0D">
        <w:rPr>
          <w:szCs w:val="20"/>
        </w:rPr>
        <w:t xml:space="preserve"> puntos resolutivos 1 y </w:t>
      </w:r>
      <w:r w:rsidR="00387F8B" w:rsidRPr="00024E0D">
        <w:rPr>
          <w:szCs w:val="20"/>
        </w:rPr>
        <w:t>3</w:t>
      </w:r>
      <w:r w:rsidR="00357EBA" w:rsidRPr="00024E0D">
        <w:rPr>
          <w:szCs w:val="20"/>
        </w:rPr>
        <w:t>)</w:t>
      </w:r>
      <w:r w:rsidR="000C421A" w:rsidRPr="00024E0D">
        <w:rPr>
          <w:szCs w:val="20"/>
        </w:rPr>
        <w:t>.</w:t>
      </w:r>
    </w:p>
    <w:p w14:paraId="6444168C" w14:textId="737CDA9E" w:rsidR="00AA7326" w:rsidRPr="00EB55E9" w:rsidRDefault="00AA7326" w:rsidP="00EA206E">
      <w:pPr>
        <w:pStyle w:val="Prrafodelista"/>
        <w:widowControl w:val="0"/>
        <w:numPr>
          <w:ilvl w:val="0"/>
          <w:numId w:val="15"/>
        </w:numPr>
        <w:tabs>
          <w:tab w:val="left" w:pos="567"/>
        </w:tabs>
        <w:autoSpaceDE w:val="0"/>
        <w:autoSpaceDN w:val="0"/>
        <w:adjustRightInd w:val="0"/>
        <w:spacing w:before="120"/>
        <w:ind w:left="0" w:firstLine="0"/>
        <w:contextualSpacing w:val="0"/>
        <w:rPr>
          <w:szCs w:val="20"/>
        </w:rPr>
      </w:pPr>
      <w:r w:rsidRPr="00EB55E9">
        <w:rPr>
          <w:szCs w:val="20"/>
        </w:rPr>
        <w:t xml:space="preserve">A </w:t>
      </w:r>
      <w:r w:rsidR="00EA206E" w:rsidRPr="00EB55E9">
        <w:rPr>
          <w:szCs w:val="20"/>
        </w:rPr>
        <w:t>continuación,</w:t>
      </w:r>
      <w:r w:rsidRPr="00EB55E9">
        <w:rPr>
          <w:szCs w:val="20"/>
        </w:rPr>
        <w:t xml:space="preserve"> </w:t>
      </w:r>
      <w:r w:rsidR="00222559" w:rsidRPr="00EB55E9">
        <w:rPr>
          <w:szCs w:val="20"/>
        </w:rPr>
        <w:t>el</w:t>
      </w:r>
      <w:r w:rsidRPr="00EB55E9">
        <w:rPr>
          <w:szCs w:val="20"/>
        </w:rPr>
        <w:t xml:space="preserve"> </w:t>
      </w:r>
      <w:proofErr w:type="gramStart"/>
      <w:r w:rsidRPr="00EB55E9">
        <w:rPr>
          <w:szCs w:val="20"/>
        </w:rPr>
        <w:t>Presiden</w:t>
      </w:r>
      <w:r w:rsidR="00222559" w:rsidRPr="00EB55E9">
        <w:rPr>
          <w:szCs w:val="20"/>
        </w:rPr>
        <w:t>te</w:t>
      </w:r>
      <w:proofErr w:type="gramEnd"/>
      <w:r w:rsidRPr="00EB55E9">
        <w:rPr>
          <w:szCs w:val="20"/>
        </w:rPr>
        <w:t xml:space="preserve"> se referirá </w:t>
      </w:r>
      <w:r w:rsidR="00A26D17">
        <w:rPr>
          <w:szCs w:val="20"/>
        </w:rPr>
        <w:t>a</w:t>
      </w:r>
      <w:r w:rsidR="00A26D17" w:rsidRPr="00A26D17">
        <w:rPr>
          <w:szCs w:val="20"/>
        </w:rPr>
        <w:t xml:space="preserve"> </w:t>
      </w:r>
      <w:r w:rsidRPr="00EB55E9">
        <w:rPr>
          <w:szCs w:val="20"/>
        </w:rPr>
        <w:t xml:space="preserve">la </w:t>
      </w:r>
      <w:r w:rsidR="00041A63">
        <w:rPr>
          <w:szCs w:val="20"/>
        </w:rPr>
        <w:t>p</w:t>
      </w:r>
      <w:r w:rsidRPr="00EB55E9">
        <w:rPr>
          <w:szCs w:val="20"/>
        </w:rPr>
        <w:t xml:space="preserve">rueba </w:t>
      </w:r>
      <w:r w:rsidR="00041A63">
        <w:rPr>
          <w:szCs w:val="20"/>
        </w:rPr>
        <w:t>p</w:t>
      </w:r>
      <w:r w:rsidRPr="00EB55E9">
        <w:rPr>
          <w:szCs w:val="20"/>
        </w:rPr>
        <w:t xml:space="preserve">ericial </w:t>
      </w:r>
      <w:r w:rsidR="00041A63">
        <w:rPr>
          <w:szCs w:val="20"/>
        </w:rPr>
        <w:t>o</w:t>
      </w:r>
      <w:r w:rsidRPr="00EB55E9">
        <w:rPr>
          <w:szCs w:val="20"/>
        </w:rPr>
        <w:t>frecida por la Comisión</w:t>
      </w:r>
      <w:r w:rsidR="00916BFE">
        <w:rPr>
          <w:szCs w:val="20"/>
        </w:rPr>
        <w:t xml:space="preserve">, y a la solicitud de </w:t>
      </w:r>
      <w:r w:rsidR="00916BFE" w:rsidRPr="00916BFE">
        <w:rPr>
          <w:szCs w:val="20"/>
        </w:rPr>
        <w:t xml:space="preserve">acceso al Fondo de Asistencia Legal de Víctimas </w:t>
      </w:r>
      <w:r w:rsidR="00916BFE">
        <w:rPr>
          <w:szCs w:val="20"/>
        </w:rPr>
        <w:t>presentada por los representantes</w:t>
      </w:r>
      <w:r w:rsidRPr="00EB55E9">
        <w:rPr>
          <w:szCs w:val="20"/>
        </w:rPr>
        <w:t>.</w:t>
      </w:r>
      <w:r w:rsidR="00E20086">
        <w:rPr>
          <w:szCs w:val="20"/>
        </w:rPr>
        <w:t xml:space="preserve"> </w:t>
      </w:r>
    </w:p>
    <w:p w14:paraId="16CB682C" w14:textId="15BC0CDD" w:rsidR="00AA7326" w:rsidRPr="00EB55E9" w:rsidRDefault="00AA7326" w:rsidP="00EA206E">
      <w:pPr>
        <w:pStyle w:val="Prrafodelista"/>
        <w:numPr>
          <w:ilvl w:val="0"/>
          <w:numId w:val="22"/>
        </w:numPr>
        <w:spacing w:before="240" w:after="240"/>
        <w:ind w:left="714" w:hanging="357"/>
        <w:contextualSpacing w:val="0"/>
        <w:rPr>
          <w:b/>
          <w:bCs/>
          <w:i/>
          <w:iCs/>
          <w:szCs w:val="20"/>
        </w:rPr>
      </w:pPr>
      <w:r w:rsidRPr="00EB55E9">
        <w:rPr>
          <w:b/>
          <w:bCs/>
          <w:i/>
          <w:iCs/>
          <w:szCs w:val="20"/>
        </w:rPr>
        <w:t>Prueba pericial ofrecida por la Comisión</w:t>
      </w:r>
    </w:p>
    <w:p w14:paraId="0BB872FE" w14:textId="11498E2D" w:rsidR="00E812E0" w:rsidRDefault="00F071B2" w:rsidP="00915263">
      <w:pPr>
        <w:pStyle w:val="Prrafodelista"/>
        <w:numPr>
          <w:ilvl w:val="0"/>
          <w:numId w:val="15"/>
        </w:numPr>
        <w:spacing w:before="120"/>
        <w:ind w:left="0" w:firstLine="0"/>
        <w:contextualSpacing w:val="0"/>
        <w:rPr>
          <w:szCs w:val="20"/>
        </w:rPr>
      </w:pPr>
      <w:r w:rsidRPr="00EB55E9">
        <w:rPr>
          <w:szCs w:val="20"/>
        </w:rPr>
        <w:t xml:space="preserve">La Comisión ofreció </w:t>
      </w:r>
      <w:r w:rsidR="00E37F21" w:rsidRPr="00EB55E9">
        <w:rPr>
          <w:szCs w:val="20"/>
        </w:rPr>
        <w:t>la</w:t>
      </w:r>
      <w:r w:rsidRPr="00EB55E9">
        <w:rPr>
          <w:szCs w:val="20"/>
        </w:rPr>
        <w:t xml:space="preserve"> declaración pericial</w:t>
      </w:r>
      <w:r w:rsidR="00701066" w:rsidRPr="00EB55E9">
        <w:rPr>
          <w:szCs w:val="20"/>
        </w:rPr>
        <w:t xml:space="preserve"> </w:t>
      </w:r>
      <w:r w:rsidR="00E37F21" w:rsidRPr="00EB55E9">
        <w:rPr>
          <w:szCs w:val="20"/>
        </w:rPr>
        <w:t xml:space="preserve">de </w:t>
      </w:r>
      <w:r w:rsidR="00D65061" w:rsidRPr="00D65061">
        <w:rPr>
          <w:szCs w:val="20"/>
        </w:rPr>
        <w:t>Luis Raúl González Pérez</w:t>
      </w:r>
      <w:r w:rsidR="00B364DC" w:rsidRPr="00EB55E9">
        <w:rPr>
          <w:szCs w:val="20"/>
        </w:rPr>
        <w:t xml:space="preserve"> para que sea recibid</w:t>
      </w:r>
      <w:r w:rsidR="00F40206" w:rsidRPr="00EB55E9">
        <w:rPr>
          <w:szCs w:val="20"/>
        </w:rPr>
        <w:t>a</w:t>
      </w:r>
      <w:r w:rsidR="00B364DC" w:rsidRPr="00EB55E9">
        <w:rPr>
          <w:szCs w:val="20"/>
        </w:rPr>
        <w:t xml:space="preserve"> durante la audiencia pública</w:t>
      </w:r>
      <w:r w:rsidR="00E37F21" w:rsidRPr="00EB55E9">
        <w:rPr>
          <w:szCs w:val="20"/>
        </w:rPr>
        <w:t xml:space="preserve">. </w:t>
      </w:r>
      <w:r w:rsidR="00E812E0">
        <w:rPr>
          <w:szCs w:val="20"/>
        </w:rPr>
        <w:t>E</w:t>
      </w:r>
      <w:r w:rsidR="00E812E0" w:rsidRPr="00EB55E9">
        <w:rPr>
          <w:szCs w:val="20"/>
        </w:rPr>
        <w:t xml:space="preserve">l peritaje propuesto se referiría a: i) las obligaciones de los Estados </w:t>
      </w:r>
      <w:r w:rsidR="00E812E0" w:rsidRPr="00EF1B2C">
        <w:rPr>
          <w:szCs w:val="20"/>
        </w:rPr>
        <w:t>en materia de restricciones del derecho a la libertad personal y del derecho a la presunción de inocencia en el marco de la presunta comisión de delitos</w:t>
      </w:r>
      <w:r w:rsidR="00E812E0">
        <w:rPr>
          <w:szCs w:val="20"/>
        </w:rPr>
        <w:t xml:space="preserve">, y </w:t>
      </w:r>
      <w:proofErr w:type="spellStart"/>
      <w:r w:rsidR="00E812E0" w:rsidRPr="00EB55E9">
        <w:rPr>
          <w:szCs w:val="20"/>
        </w:rPr>
        <w:t>ii</w:t>
      </w:r>
      <w:proofErr w:type="spellEnd"/>
      <w:r w:rsidR="00E812E0" w:rsidRPr="00EB55E9">
        <w:rPr>
          <w:szCs w:val="20"/>
        </w:rPr>
        <w:t xml:space="preserve">) </w:t>
      </w:r>
      <w:r w:rsidR="00E812E0" w:rsidRPr="00EF1B2C">
        <w:rPr>
          <w:szCs w:val="20"/>
        </w:rPr>
        <w:t>la compatibilidad de la figura del “arraigo” con el derecho internacional y sus efectos en los derechos humanos de las personas sometidas a dicha figura</w:t>
      </w:r>
      <w:r w:rsidR="00E812E0">
        <w:rPr>
          <w:szCs w:val="20"/>
        </w:rPr>
        <w:t>.</w:t>
      </w:r>
    </w:p>
    <w:p w14:paraId="6A9567CD" w14:textId="2C8DF0C7" w:rsidR="00E812E0" w:rsidRPr="00E812E0" w:rsidRDefault="00E37F21" w:rsidP="00E812E0">
      <w:pPr>
        <w:pStyle w:val="Prrafodelista"/>
        <w:numPr>
          <w:ilvl w:val="0"/>
          <w:numId w:val="15"/>
        </w:numPr>
        <w:spacing w:before="120"/>
        <w:ind w:left="0" w:firstLine="0"/>
        <w:contextualSpacing w:val="0"/>
        <w:rPr>
          <w:szCs w:val="20"/>
        </w:rPr>
      </w:pPr>
      <w:r w:rsidRPr="00E812E0">
        <w:rPr>
          <w:szCs w:val="20"/>
        </w:rPr>
        <w:t xml:space="preserve">Ni los representantes ni el Estado objetaron ese ofrecimiento. </w:t>
      </w:r>
    </w:p>
    <w:p w14:paraId="39FF46F6" w14:textId="12F8382B" w:rsidR="00EF1B2C" w:rsidRPr="00D151DF" w:rsidRDefault="002A7915" w:rsidP="00EF1B2C">
      <w:pPr>
        <w:pStyle w:val="Prrafodelista"/>
        <w:numPr>
          <w:ilvl w:val="0"/>
          <w:numId w:val="15"/>
        </w:numPr>
        <w:spacing w:before="120"/>
        <w:ind w:left="0" w:firstLine="0"/>
        <w:contextualSpacing w:val="0"/>
        <w:rPr>
          <w:szCs w:val="20"/>
        </w:rPr>
      </w:pPr>
      <w:r>
        <w:rPr>
          <w:szCs w:val="20"/>
        </w:rPr>
        <w:t>En cuanto a su relación con el orden público interamericano, l</w:t>
      </w:r>
      <w:r w:rsidR="00E812E0">
        <w:rPr>
          <w:szCs w:val="20"/>
        </w:rPr>
        <w:t xml:space="preserve">a Comisión recordó que el presente caso </w:t>
      </w:r>
      <w:r w:rsidR="00E812E0" w:rsidRPr="00EF1B2C">
        <w:rPr>
          <w:szCs w:val="20"/>
        </w:rPr>
        <w:t>permitirá</w:t>
      </w:r>
      <w:r w:rsidR="00E812E0">
        <w:rPr>
          <w:szCs w:val="20"/>
        </w:rPr>
        <w:t xml:space="preserve"> a la Corte </w:t>
      </w:r>
      <w:r w:rsidR="00E812E0" w:rsidRPr="00EF1B2C">
        <w:rPr>
          <w:szCs w:val="20"/>
        </w:rPr>
        <w:t>pronunciarse sobre los estándares internacionales a efectos de analizar restringir la libertad personal de una persona cuando no exista una orden judicial ni se evidencie una situación de flagrancia</w:t>
      </w:r>
      <w:r w:rsidR="00E812E0">
        <w:rPr>
          <w:szCs w:val="20"/>
        </w:rPr>
        <w:t xml:space="preserve">, así como sobre la </w:t>
      </w:r>
      <w:r w:rsidR="00E812E0" w:rsidRPr="00EF1B2C">
        <w:rPr>
          <w:szCs w:val="20"/>
        </w:rPr>
        <w:t>compatibilidad de la figura del “arraigo” con la Convención Americana, a la luz de los requisitos de idoneidad, necesidad y proporcionalidad de una detención</w:t>
      </w:r>
      <w:r w:rsidR="00E812E0">
        <w:rPr>
          <w:szCs w:val="20"/>
        </w:rPr>
        <w:t xml:space="preserve">, </w:t>
      </w:r>
      <w:r w:rsidR="00E812E0" w:rsidRPr="00EF1B2C">
        <w:rPr>
          <w:szCs w:val="20"/>
        </w:rPr>
        <w:t>así como la garantía de la presunción de inocencia</w:t>
      </w:r>
      <w:r w:rsidR="00E812E0">
        <w:rPr>
          <w:szCs w:val="20"/>
        </w:rPr>
        <w:t xml:space="preserve">. En ese sentido, visto que el objeto del peritaje </w:t>
      </w:r>
      <w:r w:rsidR="00D151DF">
        <w:rPr>
          <w:szCs w:val="20"/>
        </w:rPr>
        <w:t xml:space="preserve">propuesto </w:t>
      </w:r>
      <w:r w:rsidR="00E812E0">
        <w:rPr>
          <w:szCs w:val="20"/>
        </w:rPr>
        <w:t>se refiere precisamente a esos temas</w:t>
      </w:r>
      <w:r w:rsidR="00D151DF">
        <w:rPr>
          <w:szCs w:val="20"/>
        </w:rPr>
        <w:t>, y que los mismos “</w:t>
      </w:r>
      <w:r w:rsidR="00D151DF" w:rsidRPr="00D151DF">
        <w:rPr>
          <w:szCs w:val="20"/>
        </w:rPr>
        <w:t>involucran determinaciones respecto del alcance de derechos reconocidos en la Convención Americana</w:t>
      </w:r>
      <w:r w:rsidR="00D151DF">
        <w:rPr>
          <w:szCs w:val="20"/>
        </w:rPr>
        <w:t xml:space="preserve">”, consideró que la prueba ofrecida </w:t>
      </w:r>
      <w:r w:rsidR="00D151DF" w:rsidRPr="00D151DF">
        <w:rPr>
          <w:szCs w:val="20"/>
        </w:rPr>
        <w:t>excede el interés de las partes en el litigio y se refieren</w:t>
      </w:r>
      <w:r w:rsidR="00D151DF">
        <w:rPr>
          <w:szCs w:val="20"/>
        </w:rPr>
        <w:t xml:space="preserve"> </w:t>
      </w:r>
      <w:r w:rsidR="00D151DF" w:rsidRPr="00D151DF">
        <w:rPr>
          <w:szCs w:val="20"/>
        </w:rPr>
        <w:t>a aspectos de orden público interamericano</w:t>
      </w:r>
      <w:r w:rsidR="00EF1B2C" w:rsidRPr="00D151DF">
        <w:rPr>
          <w:szCs w:val="20"/>
        </w:rPr>
        <w:t>.</w:t>
      </w:r>
    </w:p>
    <w:p w14:paraId="335930BC" w14:textId="7CAA8ABC" w:rsidR="0044444B" w:rsidRPr="00A11EEC" w:rsidRDefault="004E284C" w:rsidP="00C14E50">
      <w:pPr>
        <w:pStyle w:val="Prrafodelista"/>
        <w:numPr>
          <w:ilvl w:val="0"/>
          <w:numId w:val="15"/>
        </w:numPr>
        <w:spacing w:before="120"/>
        <w:ind w:left="0" w:firstLine="0"/>
        <w:contextualSpacing w:val="0"/>
        <w:rPr>
          <w:szCs w:val="20"/>
        </w:rPr>
      </w:pPr>
      <w:r w:rsidRPr="00A11EEC">
        <w:rPr>
          <w:szCs w:val="20"/>
        </w:rPr>
        <w:t xml:space="preserve">Con respecto a </w:t>
      </w:r>
      <w:r w:rsidR="00D151DF" w:rsidRPr="00A11EEC">
        <w:rPr>
          <w:szCs w:val="20"/>
        </w:rPr>
        <w:t>lo anterior</w:t>
      </w:r>
      <w:r w:rsidRPr="00A11EEC">
        <w:rPr>
          <w:szCs w:val="20"/>
        </w:rPr>
        <w:t>, esta Presidencia</w:t>
      </w:r>
      <w:r w:rsidR="00D151DF" w:rsidRPr="00A11EEC">
        <w:rPr>
          <w:szCs w:val="20"/>
        </w:rPr>
        <w:t xml:space="preserve"> </w:t>
      </w:r>
      <w:r w:rsidR="006A66FC" w:rsidRPr="00A11EEC">
        <w:rPr>
          <w:szCs w:val="20"/>
        </w:rPr>
        <w:t xml:space="preserve">entiende que el peritaje ofrecido por la Comisión resulta relevante para el orden público interamericano, </w:t>
      </w:r>
      <w:r w:rsidR="000C4563">
        <w:rPr>
          <w:szCs w:val="20"/>
        </w:rPr>
        <w:t>puesto</w:t>
      </w:r>
      <w:r w:rsidR="006A66FC" w:rsidRPr="00A11EEC">
        <w:rPr>
          <w:szCs w:val="20"/>
        </w:rPr>
        <w:t xml:space="preserve"> que </w:t>
      </w:r>
      <w:r w:rsidR="0044444B" w:rsidRPr="00A11EEC">
        <w:rPr>
          <w:szCs w:val="20"/>
        </w:rPr>
        <w:t>trasciende el interés y objeto del presente caso</w:t>
      </w:r>
      <w:r w:rsidR="006A66FC" w:rsidRPr="00A11EEC">
        <w:rPr>
          <w:szCs w:val="20"/>
        </w:rPr>
        <w:t xml:space="preserve">, </w:t>
      </w:r>
      <w:r w:rsidR="0044444B" w:rsidRPr="00A11EEC">
        <w:rPr>
          <w:szCs w:val="20"/>
        </w:rPr>
        <w:t xml:space="preserve">pues se refiere a las obligaciones </w:t>
      </w:r>
      <w:r w:rsidR="0047013B">
        <w:rPr>
          <w:szCs w:val="20"/>
        </w:rPr>
        <w:t>contenidas en la Convención Americana</w:t>
      </w:r>
      <w:r w:rsidR="0047013B" w:rsidRPr="00A11EEC">
        <w:rPr>
          <w:szCs w:val="20"/>
        </w:rPr>
        <w:t xml:space="preserve"> </w:t>
      </w:r>
      <w:r w:rsidR="00A56108" w:rsidRPr="00A11EEC">
        <w:rPr>
          <w:szCs w:val="20"/>
        </w:rPr>
        <w:t>en materia de restricciones a la libertad personal en el marco de investigaciones penales</w:t>
      </w:r>
      <w:r w:rsidR="0047013B">
        <w:rPr>
          <w:szCs w:val="20"/>
        </w:rPr>
        <w:t>.</w:t>
      </w:r>
      <w:r w:rsidR="00A11EEC" w:rsidRPr="00A11EEC">
        <w:rPr>
          <w:szCs w:val="20"/>
        </w:rPr>
        <w:t xml:space="preserve"> </w:t>
      </w:r>
      <w:r w:rsidR="00A56108" w:rsidRPr="00A11EEC">
        <w:rPr>
          <w:szCs w:val="20"/>
        </w:rPr>
        <w:t>En consecuencia, es pertinente recabar el dictamen pericial ofrecido por la Comisión. El objeto y la modalidad de dicha declaración se determinará en la parte resolutiva de la presente Resolución (</w:t>
      </w:r>
      <w:r w:rsidR="00A56108" w:rsidRPr="00FA14C4">
        <w:rPr>
          <w:i/>
          <w:iCs/>
          <w:szCs w:val="20"/>
        </w:rPr>
        <w:t>infra</w:t>
      </w:r>
      <w:r w:rsidR="00A56108" w:rsidRPr="00A11EEC">
        <w:rPr>
          <w:szCs w:val="20"/>
        </w:rPr>
        <w:t xml:space="preserve"> puntos resolutivos 1 y 3)</w:t>
      </w:r>
      <w:r w:rsidR="00A11EEC" w:rsidRPr="00A11EEC">
        <w:rPr>
          <w:szCs w:val="20"/>
        </w:rPr>
        <w:t>.</w:t>
      </w:r>
      <w:r w:rsidR="00A56108" w:rsidRPr="00A11EEC">
        <w:rPr>
          <w:szCs w:val="20"/>
        </w:rPr>
        <w:t xml:space="preserve"> </w:t>
      </w:r>
    </w:p>
    <w:p w14:paraId="183AF4DD" w14:textId="1E480734" w:rsidR="004F047E" w:rsidRPr="00EB55E9" w:rsidRDefault="005E5F6F" w:rsidP="004F047E">
      <w:pPr>
        <w:pStyle w:val="Prrafodelista"/>
        <w:numPr>
          <w:ilvl w:val="0"/>
          <w:numId w:val="22"/>
        </w:numPr>
        <w:spacing w:before="240" w:after="240"/>
        <w:ind w:left="714" w:hanging="357"/>
        <w:contextualSpacing w:val="0"/>
        <w:rPr>
          <w:b/>
          <w:bCs/>
          <w:i/>
          <w:iCs/>
          <w:szCs w:val="20"/>
        </w:rPr>
      </w:pPr>
      <w:r>
        <w:rPr>
          <w:b/>
          <w:bCs/>
          <w:i/>
          <w:iCs/>
          <w:szCs w:val="20"/>
        </w:rPr>
        <w:t>S</w:t>
      </w:r>
      <w:r w:rsidR="004002F6" w:rsidRPr="004002F6">
        <w:rPr>
          <w:b/>
          <w:bCs/>
          <w:i/>
          <w:iCs/>
          <w:szCs w:val="20"/>
        </w:rPr>
        <w:t>olicitud de acceso al Fondo de Asistencia Legal de Víctimas</w:t>
      </w:r>
    </w:p>
    <w:p w14:paraId="02546A14" w14:textId="6A2E8256" w:rsidR="00C03394" w:rsidRPr="00597F76" w:rsidRDefault="00915E53" w:rsidP="00C03394">
      <w:pPr>
        <w:pStyle w:val="Prrafodelista"/>
        <w:numPr>
          <w:ilvl w:val="0"/>
          <w:numId w:val="15"/>
        </w:numPr>
        <w:spacing w:before="120"/>
        <w:ind w:left="0" w:firstLine="0"/>
        <w:contextualSpacing w:val="0"/>
        <w:rPr>
          <w:rFonts w:cs="Verdana"/>
          <w:bCs/>
          <w:szCs w:val="20"/>
          <w:lang w:val="es-CR"/>
        </w:rPr>
      </w:pPr>
      <w:r w:rsidRPr="00E078B9">
        <w:rPr>
          <w:rFonts w:cs="Verdana"/>
          <w:bCs/>
          <w:szCs w:val="20"/>
          <w:lang w:val="es-CR"/>
        </w:rPr>
        <w:lastRenderedPageBreak/>
        <w:t>En su escrito de solicitudes</w:t>
      </w:r>
      <w:r w:rsidR="00C03394">
        <w:rPr>
          <w:rFonts w:cs="Verdana"/>
          <w:bCs/>
          <w:szCs w:val="20"/>
          <w:lang w:val="es-CR"/>
        </w:rPr>
        <w:t>,</w:t>
      </w:r>
      <w:r w:rsidRPr="00E078B9">
        <w:rPr>
          <w:rFonts w:cs="Verdana"/>
          <w:bCs/>
          <w:szCs w:val="20"/>
          <w:lang w:val="es-CR"/>
        </w:rPr>
        <w:t xml:space="preserve"> argumentos y pruebas, los representantes presentaron una solicitud de asistencia del Fondo de Asistencia Legal de </w:t>
      </w:r>
      <w:r w:rsidR="002D53E8" w:rsidRPr="00E078B9">
        <w:rPr>
          <w:rFonts w:cs="Verdana"/>
          <w:bCs/>
          <w:szCs w:val="20"/>
          <w:lang w:val="es-CR"/>
        </w:rPr>
        <w:t>Víctimas</w:t>
      </w:r>
      <w:r w:rsidRPr="00E078B9">
        <w:rPr>
          <w:rFonts w:cs="Verdana"/>
          <w:bCs/>
          <w:szCs w:val="20"/>
          <w:lang w:val="es-CR"/>
        </w:rPr>
        <w:t xml:space="preserve">. Indicaron en </w:t>
      </w:r>
      <w:r w:rsidRPr="00C03394">
        <w:rPr>
          <w:szCs w:val="22"/>
        </w:rPr>
        <w:t>particular</w:t>
      </w:r>
      <w:r w:rsidRPr="00E078B9">
        <w:rPr>
          <w:rFonts w:cs="Verdana"/>
          <w:bCs/>
          <w:szCs w:val="20"/>
          <w:lang w:val="es-CR"/>
        </w:rPr>
        <w:t xml:space="preserve"> que “</w:t>
      </w:r>
      <w:r w:rsidR="00C03394" w:rsidRPr="00C03394">
        <w:rPr>
          <w:rFonts w:cs="Verdana"/>
          <w:bCs/>
          <w:szCs w:val="20"/>
          <w:lang w:val="es-CR"/>
        </w:rPr>
        <w:t xml:space="preserve">Gerardo </w:t>
      </w:r>
      <w:proofErr w:type="spellStart"/>
      <w:r w:rsidR="00C03394" w:rsidRPr="00C03394">
        <w:rPr>
          <w:rFonts w:cs="Verdana"/>
          <w:bCs/>
          <w:szCs w:val="20"/>
          <w:lang w:val="es-CR"/>
        </w:rPr>
        <w:t>Tzompaxtle</w:t>
      </w:r>
      <w:proofErr w:type="spellEnd"/>
      <w:r w:rsidR="00C03394" w:rsidRPr="00C03394">
        <w:rPr>
          <w:rFonts w:cs="Verdana"/>
          <w:bCs/>
          <w:szCs w:val="20"/>
          <w:lang w:val="es-CR"/>
        </w:rPr>
        <w:t xml:space="preserve"> </w:t>
      </w:r>
      <w:proofErr w:type="spellStart"/>
      <w:r w:rsidR="00C03394" w:rsidRPr="00C03394">
        <w:rPr>
          <w:rFonts w:cs="Verdana"/>
          <w:bCs/>
          <w:szCs w:val="20"/>
          <w:lang w:val="es-CR"/>
        </w:rPr>
        <w:t>Tecpile</w:t>
      </w:r>
      <w:proofErr w:type="spellEnd"/>
      <w:r w:rsidR="00C03394" w:rsidRPr="00C03394">
        <w:rPr>
          <w:rFonts w:cs="Verdana"/>
          <w:bCs/>
          <w:szCs w:val="20"/>
          <w:lang w:val="es-CR"/>
        </w:rPr>
        <w:t xml:space="preserve"> y Jorge Marcial </w:t>
      </w:r>
      <w:proofErr w:type="spellStart"/>
      <w:r w:rsidR="00C03394" w:rsidRPr="00C03394">
        <w:rPr>
          <w:rFonts w:cs="Verdana"/>
          <w:bCs/>
          <w:szCs w:val="20"/>
          <w:lang w:val="es-CR"/>
        </w:rPr>
        <w:t>Tzompaxtle</w:t>
      </w:r>
      <w:proofErr w:type="spellEnd"/>
      <w:r w:rsidR="00C03394" w:rsidRPr="00C03394">
        <w:rPr>
          <w:rFonts w:cs="Verdana"/>
          <w:bCs/>
          <w:szCs w:val="20"/>
          <w:lang w:val="es-CR"/>
        </w:rPr>
        <w:t xml:space="preserve"> </w:t>
      </w:r>
      <w:proofErr w:type="spellStart"/>
      <w:r w:rsidR="00C03394" w:rsidRPr="00C03394">
        <w:rPr>
          <w:rFonts w:cs="Verdana"/>
          <w:bCs/>
          <w:szCs w:val="20"/>
          <w:lang w:val="es-CR"/>
        </w:rPr>
        <w:t>Tecpile</w:t>
      </w:r>
      <w:proofErr w:type="spellEnd"/>
      <w:r w:rsidR="00C03394" w:rsidRPr="00C03394">
        <w:rPr>
          <w:rFonts w:cs="Verdana"/>
          <w:bCs/>
          <w:szCs w:val="20"/>
          <w:lang w:val="es-CR"/>
        </w:rPr>
        <w:t xml:space="preserve"> y los familiares del señor Gustavo Robles López</w:t>
      </w:r>
      <w:r w:rsidR="00C03394">
        <w:rPr>
          <w:rFonts w:cs="Verdana"/>
          <w:bCs/>
          <w:szCs w:val="20"/>
          <w:lang w:val="es-CR"/>
        </w:rPr>
        <w:t>”</w:t>
      </w:r>
      <w:r w:rsidRPr="00E078B9">
        <w:rPr>
          <w:rFonts w:cs="Verdana"/>
          <w:bCs/>
          <w:szCs w:val="20"/>
          <w:lang w:val="es-CR"/>
        </w:rPr>
        <w:t xml:space="preserve">, </w:t>
      </w:r>
      <w:r w:rsidR="00C03394">
        <w:rPr>
          <w:rFonts w:cs="Verdana"/>
          <w:bCs/>
          <w:szCs w:val="20"/>
          <w:lang w:val="es-CR"/>
        </w:rPr>
        <w:t>informaron que deseaban</w:t>
      </w:r>
      <w:r w:rsidRPr="00E078B9">
        <w:rPr>
          <w:rFonts w:cs="Verdana"/>
          <w:bCs/>
          <w:szCs w:val="20"/>
          <w:lang w:val="es-CR"/>
        </w:rPr>
        <w:t xml:space="preserve"> acogerse al Fondo de Asistencia Legal</w:t>
      </w:r>
      <w:r w:rsidR="00C03394">
        <w:rPr>
          <w:rFonts w:cs="Verdana"/>
          <w:bCs/>
          <w:szCs w:val="20"/>
          <w:lang w:val="es-CR"/>
        </w:rPr>
        <w:t xml:space="preserve"> de Víctimas “</w:t>
      </w:r>
      <w:r w:rsidR="00C03394" w:rsidRPr="00C03394">
        <w:rPr>
          <w:rFonts w:cs="Verdana"/>
          <w:bCs/>
          <w:szCs w:val="20"/>
          <w:lang w:val="es-CR"/>
        </w:rPr>
        <w:t>por carecer de los recursos suficientes para solventar los costos del litigio interamericano</w:t>
      </w:r>
      <w:r w:rsidRPr="00E078B9">
        <w:rPr>
          <w:rFonts w:cs="Verdana"/>
          <w:bCs/>
          <w:szCs w:val="20"/>
          <w:lang w:val="es-CR"/>
        </w:rPr>
        <w:t xml:space="preserve">”. Agregaron que </w:t>
      </w:r>
      <w:r w:rsidR="00C03394">
        <w:rPr>
          <w:rFonts w:cs="Verdana"/>
          <w:bCs/>
          <w:szCs w:val="20"/>
          <w:lang w:val="es-CR"/>
        </w:rPr>
        <w:t xml:space="preserve">tal </w:t>
      </w:r>
      <w:r w:rsidR="00C03394" w:rsidRPr="00C03394">
        <w:rPr>
          <w:rFonts w:cs="Verdana"/>
          <w:bCs/>
          <w:szCs w:val="20"/>
          <w:lang w:val="es-CR"/>
        </w:rPr>
        <w:t xml:space="preserve">como se desprende de las declaraciones juradas que acompañamos al presente escrito, los señores </w:t>
      </w:r>
      <w:proofErr w:type="spellStart"/>
      <w:r w:rsidR="00C03394" w:rsidRPr="00C03394">
        <w:rPr>
          <w:rFonts w:cs="Verdana"/>
          <w:bCs/>
          <w:szCs w:val="20"/>
          <w:lang w:val="es-CR"/>
        </w:rPr>
        <w:t>Tzompaxtle</w:t>
      </w:r>
      <w:proofErr w:type="spellEnd"/>
      <w:r w:rsidR="00C03394" w:rsidRPr="00C03394">
        <w:rPr>
          <w:rFonts w:cs="Verdana"/>
          <w:bCs/>
          <w:szCs w:val="20"/>
          <w:lang w:val="es-CR"/>
        </w:rPr>
        <w:t xml:space="preserve"> </w:t>
      </w:r>
      <w:proofErr w:type="spellStart"/>
      <w:r w:rsidR="00C03394" w:rsidRPr="00C03394">
        <w:rPr>
          <w:rFonts w:cs="Verdana"/>
          <w:bCs/>
          <w:szCs w:val="20"/>
          <w:lang w:val="es-CR"/>
        </w:rPr>
        <w:t>Tecpile</w:t>
      </w:r>
      <w:proofErr w:type="spellEnd"/>
      <w:r w:rsidR="00C03394" w:rsidRPr="00C03394">
        <w:rPr>
          <w:rFonts w:cs="Verdana"/>
          <w:bCs/>
          <w:szCs w:val="20"/>
          <w:lang w:val="es-CR"/>
        </w:rPr>
        <w:t xml:space="preserve"> </w:t>
      </w:r>
      <w:r w:rsidR="00597F76">
        <w:rPr>
          <w:rFonts w:cs="Verdana"/>
          <w:bCs/>
          <w:szCs w:val="20"/>
          <w:lang w:val="es-CR"/>
        </w:rPr>
        <w:t>“</w:t>
      </w:r>
      <w:r w:rsidR="00C03394" w:rsidRPr="00C03394">
        <w:rPr>
          <w:rFonts w:cs="Verdana"/>
          <w:bCs/>
          <w:szCs w:val="20"/>
          <w:lang w:val="es-CR"/>
        </w:rPr>
        <w:t>se dedican al comercio</w:t>
      </w:r>
      <w:r w:rsidR="00597F76">
        <w:rPr>
          <w:rFonts w:cs="Verdana"/>
          <w:bCs/>
          <w:szCs w:val="20"/>
          <w:lang w:val="es-CR"/>
        </w:rPr>
        <w:t xml:space="preserve">” y </w:t>
      </w:r>
      <w:r w:rsidR="00597F76" w:rsidRPr="00C03394">
        <w:rPr>
          <w:rFonts w:cs="Verdana"/>
          <w:bCs/>
          <w:szCs w:val="20"/>
          <w:lang w:val="es-CR"/>
        </w:rPr>
        <w:t xml:space="preserve">la señora </w:t>
      </w:r>
      <w:r w:rsidR="00597F76">
        <w:rPr>
          <w:rFonts w:cs="Verdana"/>
          <w:bCs/>
          <w:szCs w:val="20"/>
          <w:lang w:val="es-CR"/>
        </w:rPr>
        <w:t>“</w:t>
      </w:r>
      <w:proofErr w:type="spellStart"/>
      <w:r w:rsidR="00597F76" w:rsidRPr="00C03394">
        <w:rPr>
          <w:rFonts w:cs="Verdana"/>
          <w:bCs/>
          <w:szCs w:val="20"/>
          <w:lang w:val="es-CR"/>
        </w:rPr>
        <w:t>Anacely</w:t>
      </w:r>
      <w:proofErr w:type="spellEnd"/>
      <w:r w:rsidR="00597F76" w:rsidRPr="00C03394">
        <w:rPr>
          <w:rFonts w:cs="Verdana"/>
          <w:bCs/>
          <w:szCs w:val="20"/>
          <w:lang w:val="es-CR"/>
        </w:rPr>
        <w:t xml:space="preserve"> Martínez García se desempeña desde hace dos años como empleada doméstica, mientras que su hijo, el señor David Martínez García</w:t>
      </w:r>
      <w:r w:rsidR="00597F76">
        <w:rPr>
          <w:rFonts w:cs="Verdana"/>
          <w:bCs/>
          <w:szCs w:val="20"/>
          <w:lang w:val="es-CR"/>
        </w:rPr>
        <w:t xml:space="preserve">, </w:t>
      </w:r>
      <w:r w:rsidR="00597F76" w:rsidRPr="00C03394">
        <w:rPr>
          <w:rFonts w:cs="Verdana"/>
          <w:bCs/>
          <w:szCs w:val="20"/>
          <w:lang w:val="es-CR"/>
        </w:rPr>
        <w:t>se encuentra estudiando su carrera universitaria</w:t>
      </w:r>
      <w:r w:rsidR="00597F76">
        <w:rPr>
          <w:rFonts w:cs="Verdana"/>
          <w:bCs/>
          <w:szCs w:val="20"/>
          <w:lang w:val="es-CR"/>
        </w:rPr>
        <w:t xml:space="preserve">”. En consecuencia, solicitaron a </w:t>
      </w:r>
      <w:r w:rsidR="00597F76" w:rsidRPr="00C03394">
        <w:rPr>
          <w:rFonts w:cs="Verdana"/>
          <w:bCs/>
          <w:szCs w:val="20"/>
          <w:lang w:val="es-CR"/>
        </w:rPr>
        <w:t xml:space="preserve">la Corte que </w:t>
      </w:r>
      <w:r w:rsidR="00597F76">
        <w:rPr>
          <w:rFonts w:cs="Verdana"/>
          <w:bCs/>
          <w:szCs w:val="20"/>
          <w:lang w:val="es-CR"/>
        </w:rPr>
        <w:t>“</w:t>
      </w:r>
      <w:r w:rsidR="00597F76" w:rsidRPr="00C03394">
        <w:rPr>
          <w:rFonts w:cs="Verdana"/>
          <w:bCs/>
          <w:szCs w:val="20"/>
          <w:lang w:val="es-CR"/>
        </w:rPr>
        <w:t>disponga que el Fondo de Asistencia cubra los gastos para la formalización y envío del affidávit o los gastos de viaje y estadía para acudir a audiencia, según corresponda, de todas las personas que admita en calidad de testigos o peritos, así como los vuelos de dos de las personas representantes que acudan a la audiencia a la que, en su caso</w:t>
      </w:r>
      <w:r w:rsidR="00597F76">
        <w:rPr>
          <w:rFonts w:cs="Verdana"/>
          <w:bCs/>
          <w:szCs w:val="20"/>
          <w:lang w:val="es-CR"/>
        </w:rPr>
        <w:t>, el Tribunal convoque”</w:t>
      </w:r>
      <w:r w:rsidR="004B6AC9">
        <w:rPr>
          <w:rFonts w:cs="Verdana"/>
          <w:bCs/>
          <w:szCs w:val="20"/>
          <w:lang w:val="es-CR"/>
        </w:rPr>
        <w:t>.</w:t>
      </w:r>
    </w:p>
    <w:p w14:paraId="21B9C18E" w14:textId="18F3DE40" w:rsidR="00915E53" w:rsidRDefault="007A2B7C" w:rsidP="007F3462">
      <w:pPr>
        <w:pStyle w:val="Prrafodelista"/>
        <w:numPr>
          <w:ilvl w:val="0"/>
          <w:numId w:val="15"/>
        </w:numPr>
        <w:spacing w:before="120"/>
        <w:ind w:left="0" w:firstLine="0"/>
        <w:contextualSpacing w:val="0"/>
        <w:rPr>
          <w:rFonts w:cs="Verdana"/>
          <w:bCs/>
          <w:szCs w:val="20"/>
          <w:lang w:val="es-CR"/>
        </w:rPr>
      </w:pPr>
      <w:r>
        <w:rPr>
          <w:rFonts w:cs="Verdana"/>
          <w:bCs/>
          <w:szCs w:val="20"/>
          <w:lang w:val="es-CR"/>
        </w:rPr>
        <w:t>E</w:t>
      </w:r>
      <w:r w:rsidR="00915E53">
        <w:rPr>
          <w:rFonts w:cs="Verdana"/>
          <w:bCs/>
          <w:szCs w:val="20"/>
          <w:lang w:val="es-CR"/>
        </w:rPr>
        <w:t xml:space="preserve">sta Presidencia estima </w:t>
      </w:r>
      <w:r w:rsidR="00915E53" w:rsidRPr="004F1C88">
        <w:rPr>
          <w:rFonts w:cs="Verdana"/>
          <w:bCs/>
          <w:szCs w:val="20"/>
          <w:lang w:val="es-CR"/>
        </w:rPr>
        <w:t>procedente la solicitud interpuesta por las presuntas víctimas, a través de sus representantes, para acogerse al Fondo de Asistencia Legal de Víctimas de la Corte Interamericana de Derechos Humanos</w:t>
      </w:r>
      <w:r w:rsidR="00915E53">
        <w:rPr>
          <w:rFonts w:cs="Verdana"/>
          <w:bCs/>
          <w:szCs w:val="20"/>
          <w:lang w:val="es-CR"/>
        </w:rPr>
        <w:t xml:space="preserve">. De ese modo, se otorga </w:t>
      </w:r>
      <w:r w:rsidR="00915E53" w:rsidRPr="004F1C88">
        <w:rPr>
          <w:rFonts w:cs="Verdana"/>
          <w:bCs/>
          <w:szCs w:val="20"/>
          <w:lang w:val="es-CR"/>
        </w:rPr>
        <w:t>el apoyo económico necesario, con cargo al Fondo, para solventar los gastos para la presentación de</w:t>
      </w:r>
      <w:r w:rsidR="00915E53">
        <w:rPr>
          <w:rFonts w:cs="Verdana"/>
          <w:bCs/>
          <w:szCs w:val="20"/>
          <w:lang w:val="es-CR"/>
        </w:rPr>
        <w:t xml:space="preserve"> </w:t>
      </w:r>
      <w:r w:rsidR="005C48FD">
        <w:rPr>
          <w:rFonts w:cs="Verdana"/>
          <w:bCs/>
          <w:szCs w:val="20"/>
          <w:lang w:val="es-CR"/>
        </w:rPr>
        <w:t xml:space="preserve">los </w:t>
      </w:r>
      <w:r w:rsidR="00744661">
        <w:rPr>
          <w:rFonts w:cs="Verdana"/>
          <w:bCs/>
          <w:szCs w:val="20"/>
          <w:lang w:val="es-CR"/>
        </w:rPr>
        <w:t>dos declarantes</w:t>
      </w:r>
      <w:r w:rsidR="005C48FD">
        <w:rPr>
          <w:rFonts w:cs="Verdana"/>
          <w:bCs/>
          <w:szCs w:val="20"/>
          <w:lang w:val="es-CR"/>
        </w:rPr>
        <w:t xml:space="preserve"> convocados para la audiencia</w:t>
      </w:r>
      <w:r w:rsidR="00915E53" w:rsidRPr="004F1C88">
        <w:rPr>
          <w:rFonts w:cs="Verdana"/>
          <w:bCs/>
          <w:szCs w:val="20"/>
          <w:lang w:val="es-CR"/>
        </w:rPr>
        <w:t xml:space="preserve"> y la comparecencia de </w:t>
      </w:r>
      <w:r w:rsidR="00744661">
        <w:rPr>
          <w:rFonts w:cs="Verdana"/>
          <w:bCs/>
          <w:szCs w:val="20"/>
          <w:lang w:val="es-CR"/>
        </w:rPr>
        <w:t xml:space="preserve">hasta </w:t>
      </w:r>
      <w:r w:rsidR="00F84F6C">
        <w:rPr>
          <w:rFonts w:cs="Verdana"/>
          <w:bCs/>
          <w:szCs w:val="20"/>
          <w:lang w:val="es-CR"/>
        </w:rPr>
        <w:t>dos</w:t>
      </w:r>
      <w:r w:rsidR="00744661" w:rsidRPr="004F1C88">
        <w:rPr>
          <w:rFonts w:cs="Verdana"/>
          <w:bCs/>
          <w:szCs w:val="20"/>
          <w:lang w:val="es-CR"/>
        </w:rPr>
        <w:t xml:space="preserve"> </w:t>
      </w:r>
      <w:r w:rsidR="00915E53" w:rsidRPr="004F1C88">
        <w:rPr>
          <w:rFonts w:cs="Verdana"/>
          <w:bCs/>
          <w:szCs w:val="20"/>
          <w:lang w:val="es-CR"/>
        </w:rPr>
        <w:t>representantes legales en la audiencia pública del presente caso</w:t>
      </w:r>
      <w:r w:rsidR="005C48FD">
        <w:rPr>
          <w:rFonts w:cs="Verdana"/>
          <w:bCs/>
          <w:szCs w:val="20"/>
          <w:lang w:val="es-CR"/>
        </w:rPr>
        <w:t>, así como</w:t>
      </w:r>
      <w:r w:rsidR="00F84F6C" w:rsidRPr="00460C53">
        <w:rPr>
          <w:szCs w:val="20"/>
        </w:rPr>
        <w:t xml:space="preserve"> para </w:t>
      </w:r>
      <w:r w:rsidR="00F84F6C">
        <w:rPr>
          <w:szCs w:val="20"/>
        </w:rPr>
        <w:t xml:space="preserve">la declaración por </w:t>
      </w:r>
      <w:r w:rsidR="00F84F6C" w:rsidRPr="00460C53">
        <w:rPr>
          <w:i/>
          <w:iCs/>
          <w:szCs w:val="20"/>
        </w:rPr>
        <w:t>af</w:t>
      </w:r>
      <w:r w:rsidR="00F84F6C">
        <w:rPr>
          <w:i/>
          <w:iCs/>
          <w:szCs w:val="20"/>
        </w:rPr>
        <w:t>f</w:t>
      </w:r>
      <w:r w:rsidR="00F84F6C" w:rsidRPr="00460C53">
        <w:rPr>
          <w:i/>
          <w:iCs/>
          <w:szCs w:val="20"/>
        </w:rPr>
        <w:t>id</w:t>
      </w:r>
      <w:r w:rsidR="00F84F6C">
        <w:rPr>
          <w:i/>
          <w:iCs/>
          <w:szCs w:val="20"/>
        </w:rPr>
        <w:t>a</w:t>
      </w:r>
      <w:r w:rsidR="00F84F6C" w:rsidRPr="00460C53">
        <w:rPr>
          <w:i/>
          <w:iCs/>
          <w:szCs w:val="20"/>
        </w:rPr>
        <w:t xml:space="preserve">vit </w:t>
      </w:r>
      <w:r w:rsidR="00F84F6C" w:rsidRPr="00460C53">
        <w:rPr>
          <w:szCs w:val="20"/>
        </w:rPr>
        <w:t xml:space="preserve">de </w:t>
      </w:r>
      <w:r w:rsidR="00F84F6C">
        <w:rPr>
          <w:szCs w:val="20"/>
        </w:rPr>
        <w:t>dos declarantes</w:t>
      </w:r>
      <w:r w:rsidR="00915E53" w:rsidRPr="004F1C88">
        <w:rPr>
          <w:rFonts w:cs="Verdana"/>
          <w:bCs/>
          <w:szCs w:val="20"/>
          <w:lang w:val="es-CR"/>
        </w:rPr>
        <w:t>.</w:t>
      </w:r>
      <w:r w:rsidR="00915E53">
        <w:rPr>
          <w:rFonts w:cs="Verdana"/>
          <w:bCs/>
          <w:szCs w:val="20"/>
          <w:lang w:val="es-CR"/>
        </w:rPr>
        <w:t xml:space="preserve"> </w:t>
      </w:r>
    </w:p>
    <w:p w14:paraId="6E431CDB" w14:textId="2C2BD391" w:rsidR="00915E53" w:rsidRDefault="007A2B7C" w:rsidP="007F3462">
      <w:pPr>
        <w:pStyle w:val="Prrafodelista"/>
        <w:numPr>
          <w:ilvl w:val="0"/>
          <w:numId w:val="15"/>
        </w:numPr>
        <w:spacing w:before="120"/>
        <w:ind w:left="0" w:firstLine="0"/>
        <w:contextualSpacing w:val="0"/>
        <w:rPr>
          <w:szCs w:val="20"/>
        </w:rPr>
      </w:pPr>
      <w:r>
        <w:rPr>
          <w:szCs w:val="20"/>
        </w:rPr>
        <w:t>De acuerdo con lo anterior, e</w:t>
      </w:r>
      <w:r w:rsidR="00915E53" w:rsidRPr="00817FA5">
        <w:rPr>
          <w:szCs w:val="20"/>
        </w:rPr>
        <w:t xml:space="preserve">l </w:t>
      </w:r>
      <w:proofErr w:type="gramStart"/>
      <w:r w:rsidR="00915E53" w:rsidRPr="00817FA5">
        <w:rPr>
          <w:szCs w:val="20"/>
        </w:rPr>
        <w:t>Presidente</w:t>
      </w:r>
      <w:proofErr w:type="gramEnd"/>
      <w:r w:rsidR="00915E53" w:rsidRPr="00817FA5">
        <w:rPr>
          <w:szCs w:val="20"/>
        </w:rPr>
        <w:t xml:space="preserve"> dispone</w:t>
      </w:r>
      <w:r w:rsidR="00915E53">
        <w:rPr>
          <w:szCs w:val="20"/>
        </w:rPr>
        <w:t xml:space="preserve"> que</w:t>
      </w:r>
      <w:r w:rsidR="00915E53" w:rsidRPr="00460C53">
        <w:rPr>
          <w:szCs w:val="20"/>
        </w:rPr>
        <w:t xml:space="preserve"> la asistencia económica del Fondo de Asistencia estará asignada para cubrir los gastos de viaje y estadía necesarios para que</w:t>
      </w:r>
      <w:r w:rsidR="004B6AC9">
        <w:rPr>
          <w:szCs w:val="20"/>
        </w:rPr>
        <w:t>,</w:t>
      </w:r>
      <w:r w:rsidR="00915E53" w:rsidRPr="00460C53">
        <w:rPr>
          <w:szCs w:val="20"/>
        </w:rPr>
        <w:t xml:space="preserve"> </w:t>
      </w:r>
      <w:r w:rsidR="007F3462">
        <w:rPr>
          <w:szCs w:val="20"/>
        </w:rPr>
        <w:t xml:space="preserve">hasta </w:t>
      </w:r>
      <w:r w:rsidR="00F84F6C">
        <w:rPr>
          <w:rFonts w:cs="Verdana"/>
          <w:bCs/>
          <w:szCs w:val="20"/>
          <w:lang w:val="es-CR"/>
        </w:rPr>
        <w:t>dos</w:t>
      </w:r>
      <w:r w:rsidR="007F3462">
        <w:rPr>
          <w:szCs w:val="20"/>
        </w:rPr>
        <w:t xml:space="preserve"> </w:t>
      </w:r>
      <w:r w:rsidR="00915E53" w:rsidRPr="00460C53">
        <w:rPr>
          <w:szCs w:val="20"/>
        </w:rPr>
        <w:t>representantes</w:t>
      </w:r>
      <w:r w:rsidR="00915E53">
        <w:rPr>
          <w:szCs w:val="20"/>
        </w:rPr>
        <w:t xml:space="preserve">, </w:t>
      </w:r>
      <w:r w:rsidR="00915E53" w:rsidRPr="00460C53">
        <w:rPr>
          <w:szCs w:val="20"/>
        </w:rPr>
        <w:t xml:space="preserve">y </w:t>
      </w:r>
      <w:r w:rsidR="005C48FD">
        <w:rPr>
          <w:szCs w:val="20"/>
        </w:rPr>
        <w:t xml:space="preserve">los </w:t>
      </w:r>
      <w:r w:rsidR="007F3462">
        <w:rPr>
          <w:szCs w:val="20"/>
        </w:rPr>
        <w:t xml:space="preserve">dos declarantes, </w:t>
      </w:r>
      <w:r w:rsidR="00915E53" w:rsidRPr="00460C53">
        <w:rPr>
          <w:szCs w:val="20"/>
        </w:rPr>
        <w:t xml:space="preserve">comparezcan ante el Tribunal </w:t>
      </w:r>
      <w:r w:rsidR="007F3462">
        <w:rPr>
          <w:szCs w:val="20"/>
        </w:rPr>
        <w:t>durante</w:t>
      </w:r>
      <w:r w:rsidR="00915E53" w:rsidRPr="00460C53">
        <w:rPr>
          <w:szCs w:val="20"/>
        </w:rPr>
        <w:t xml:space="preserve"> la audiencia pública que se celebrará en el presente caso</w:t>
      </w:r>
      <w:r w:rsidR="007F3462">
        <w:rPr>
          <w:szCs w:val="20"/>
        </w:rPr>
        <w:t>,</w:t>
      </w:r>
      <w:r w:rsidR="00915E53" w:rsidRPr="00460C53">
        <w:rPr>
          <w:szCs w:val="20"/>
        </w:rPr>
        <w:t xml:space="preserve"> y para los gastos razonables de formalización y envío </w:t>
      </w:r>
      <w:r w:rsidR="00915E53">
        <w:rPr>
          <w:szCs w:val="20"/>
        </w:rPr>
        <w:t xml:space="preserve">de la declaración por </w:t>
      </w:r>
      <w:r w:rsidR="00915E53" w:rsidRPr="00460C53">
        <w:rPr>
          <w:i/>
          <w:iCs/>
          <w:szCs w:val="20"/>
        </w:rPr>
        <w:t>af</w:t>
      </w:r>
      <w:r w:rsidR="00915E53">
        <w:rPr>
          <w:i/>
          <w:iCs/>
          <w:szCs w:val="20"/>
        </w:rPr>
        <w:t>f</w:t>
      </w:r>
      <w:r w:rsidR="00915E53" w:rsidRPr="00460C53">
        <w:rPr>
          <w:i/>
          <w:iCs/>
          <w:szCs w:val="20"/>
        </w:rPr>
        <w:t>id</w:t>
      </w:r>
      <w:r w:rsidR="00915E53">
        <w:rPr>
          <w:i/>
          <w:iCs/>
          <w:szCs w:val="20"/>
        </w:rPr>
        <w:t>a</w:t>
      </w:r>
      <w:r w:rsidR="00915E53" w:rsidRPr="00460C53">
        <w:rPr>
          <w:i/>
          <w:iCs/>
          <w:szCs w:val="20"/>
        </w:rPr>
        <w:t xml:space="preserve">vit </w:t>
      </w:r>
      <w:r w:rsidR="00915E53" w:rsidRPr="00460C53">
        <w:rPr>
          <w:szCs w:val="20"/>
        </w:rPr>
        <w:t xml:space="preserve">de </w:t>
      </w:r>
      <w:r w:rsidR="00744661">
        <w:rPr>
          <w:szCs w:val="20"/>
        </w:rPr>
        <w:t xml:space="preserve">dos </w:t>
      </w:r>
      <w:r w:rsidR="007F3462">
        <w:rPr>
          <w:szCs w:val="20"/>
        </w:rPr>
        <w:t>declarantes</w:t>
      </w:r>
      <w:r w:rsidR="00915E53">
        <w:rPr>
          <w:szCs w:val="20"/>
        </w:rPr>
        <w:t xml:space="preserve"> </w:t>
      </w:r>
      <w:r w:rsidR="00915E53" w:rsidRPr="00B72D0B">
        <w:rPr>
          <w:szCs w:val="20"/>
        </w:rPr>
        <w:t>(</w:t>
      </w:r>
      <w:r w:rsidR="00915E53" w:rsidRPr="00B72D0B">
        <w:rPr>
          <w:i/>
          <w:szCs w:val="20"/>
        </w:rPr>
        <w:t>infra</w:t>
      </w:r>
      <w:r w:rsidR="00915E53" w:rsidRPr="00B72D0B">
        <w:rPr>
          <w:szCs w:val="20"/>
        </w:rPr>
        <w:t xml:space="preserve"> punto resolutivo </w:t>
      </w:r>
      <w:r w:rsidR="007F3462">
        <w:rPr>
          <w:szCs w:val="20"/>
        </w:rPr>
        <w:t>3</w:t>
      </w:r>
      <w:r w:rsidR="00915E53" w:rsidRPr="00B72D0B">
        <w:rPr>
          <w:szCs w:val="20"/>
        </w:rPr>
        <w:t>)</w:t>
      </w:r>
      <w:r w:rsidR="00915E53">
        <w:rPr>
          <w:szCs w:val="20"/>
        </w:rPr>
        <w:t>.</w:t>
      </w:r>
    </w:p>
    <w:p w14:paraId="216E1C28" w14:textId="682F931A" w:rsidR="004F047E" w:rsidRPr="00DD56EC" w:rsidRDefault="00915E53" w:rsidP="00DD56EC">
      <w:pPr>
        <w:pStyle w:val="Prrafodelista"/>
        <w:numPr>
          <w:ilvl w:val="0"/>
          <w:numId w:val="15"/>
        </w:numPr>
        <w:spacing w:before="120"/>
        <w:ind w:left="0" w:firstLine="0"/>
        <w:contextualSpacing w:val="0"/>
        <w:rPr>
          <w:szCs w:val="20"/>
        </w:rPr>
      </w:pPr>
      <w:r w:rsidRPr="00C9239C">
        <w:rPr>
          <w:szCs w:val="20"/>
        </w:rPr>
        <w:t>La Corte realizará las gestiones pertinentes y necesarias para cubrir los costos de traslado, alojamiento y manutención de las personas comparecientes con recursos provenientes del Fondo de Asistencia. 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referido Fondo.</w:t>
      </w:r>
      <w:r>
        <w:rPr>
          <w:szCs w:val="20"/>
        </w:rPr>
        <w:t xml:space="preserve"> </w:t>
      </w:r>
      <w:r w:rsidRPr="00C9239C">
        <w:rPr>
          <w:szCs w:val="20"/>
        </w:rPr>
        <w:t xml:space="preserve">Finalmente, </w:t>
      </w:r>
      <w:r w:rsidRPr="00C9239C">
        <w:rPr>
          <w:szCs w:val="20"/>
          <w:lang w:val="es-ES"/>
        </w:rPr>
        <w:t>la Presidencia</w:t>
      </w:r>
      <w:r w:rsidRPr="00C9239C">
        <w:rPr>
          <w:szCs w:val="20"/>
        </w:rPr>
        <w:t xml:space="preserve"> recuerda que, según el artículo 5 del Reglamento del Fondo, se informará oportunamente al Estado las erogaciones realizadas en aplicación del Fondo de Asistencia Legal de Víctimas, para que presente sus observaciones, si así lo desea, dentro del plazo que se establezca al efecto.</w:t>
      </w:r>
    </w:p>
    <w:p w14:paraId="31337D83" w14:textId="77777777" w:rsidR="00593A2F" w:rsidRPr="009D3921" w:rsidRDefault="00593A2F" w:rsidP="00593A2F">
      <w:pPr>
        <w:autoSpaceDE w:val="0"/>
        <w:autoSpaceDN w:val="0"/>
        <w:adjustRightInd w:val="0"/>
        <w:spacing w:before="360" w:after="360"/>
        <w:rPr>
          <w:rFonts w:ascii="Verdana" w:hAnsi="Verdana" w:cs="Verdana"/>
          <w:b/>
          <w:bCs/>
          <w:sz w:val="20"/>
          <w:szCs w:val="20"/>
        </w:rPr>
      </w:pPr>
      <w:r w:rsidRPr="009D3921">
        <w:rPr>
          <w:rFonts w:ascii="Verdana" w:hAnsi="Verdana" w:cs="Verdana"/>
          <w:b/>
          <w:bCs/>
          <w:sz w:val="20"/>
          <w:szCs w:val="20"/>
        </w:rPr>
        <w:t xml:space="preserve">POR </w:t>
      </w:r>
      <w:r w:rsidRPr="009D3921">
        <w:rPr>
          <w:rFonts w:ascii="Verdana" w:hAnsi="Verdana" w:cs="Verdana"/>
          <w:b/>
          <w:bCs/>
          <w:sz w:val="20"/>
          <w:szCs w:val="20"/>
          <w:lang w:eastAsia="en-US"/>
        </w:rPr>
        <w:t>TANTO</w:t>
      </w:r>
      <w:r w:rsidRPr="009D3921">
        <w:rPr>
          <w:rFonts w:ascii="Verdana" w:hAnsi="Verdana" w:cs="Verdana"/>
          <w:b/>
          <w:bCs/>
          <w:sz w:val="20"/>
          <w:szCs w:val="20"/>
        </w:rPr>
        <w:t>:</w:t>
      </w:r>
    </w:p>
    <w:p w14:paraId="1F62CFC0" w14:textId="2DB3982C" w:rsidR="00593A2F" w:rsidRPr="009D3921" w:rsidRDefault="00222559" w:rsidP="00593A2F">
      <w:pPr>
        <w:autoSpaceDE w:val="0"/>
        <w:autoSpaceDN w:val="0"/>
        <w:adjustRightInd w:val="0"/>
        <w:spacing w:before="360" w:after="360"/>
        <w:rPr>
          <w:rFonts w:ascii="Verdana" w:hAnsi="Verdana" w:cs="Verdana"/>
          <w:b/>
          <w:bCs/>
          <w:sz w:val="20"/>
          <w:szCs w:val="20"/>
        </w:rPr>
      </w:pPr>
      <w:r w:rsidRPr="009D3921">
        <w:rPr>
          <w:rFonts w:ascii="Verdana" w:hAnsi="Verdana" w:cs="Verdana"/>
          <w:b/>
          <w:bCs/>
          <w:sz w:val="20"/>
          <w:szCs w:val="20"/>
        </w:rPr>
        <w:t>EL</w:t>
      </w:r>
      <w:r w:rsidR="00593A2F" w:rsidRPr="009D3921">
        <w:rPr>
          <w:rFonts w:ascii="Verdana" w:hAnsi="Verdana" w:cs="Verdana"/>
          <w:b/>
          <w:bCs/>
          <w:sz w:val="20"/>
          <w:szCs w:val="20"/>
        </w:rPr>
        <w:t xml:space="preserve"> PRESIDENT</w:t>
      </w:r>
      <w:r w:rsidRPr="009D3921">
        <w:rPr>
          <w:rFonts w:ascii="Verdana" w:hAnsi="Verdana" w:cs="Verdana"/>
          <w:b/>
          <w:bCs/>
          <w:sz w:val="20"/>
          <w:szCs w:val="20"/>
        </w:rPr>
        <w:t>E</w:t>
      </w:r>
      <w:r w:rsidR="00593A2F" w:rsidRPr="009D3921">
        <w:rPr>
          <w:rFonts w:ascii="Verdana" w:hAnsi="Verdana" w:cs="Verdana"/>
          <w:b/>
          <w:bCs/>
          <w:sz w:val="20"/>
          <w:szCs w:val="20"/>
        </w:rPr>
        <w:t xml:space="preserve"> DE LA </w:t>
      </w:r>
      <w:r w:rsidR="00593A2F" w:rsidRPr="009D3921">
        <w:rPr>
          <w:rFonts w:ascii="Verdana" w:hAnsi="Verdana" w:cs="Verdana"/>
          <w:b/>
          <w:bCs/>
          <w:sz w:val="20"/>
          <w:szCs w:val="20"/>
          <w:lang w:eastAsia="en-US"/>
        </w:rPr>
        <w:t>CORTE</w:t>
      </w:r>
      <w:r w:rsidR="00593A2F" w:rsidRPr="009D3921">
        <w:rPr>
          <w:rFonts w:ascii="Verdana" w:hAnsi="Verdana" w:cs="Verdana"/>
          <w:b/>
          <w:bCs/>
          <w:sz w:val="20"/>
          <w:szCs w:val="20"/>
        </w:rPr>
        <w:t xml:space="preserve"> INTERAMERICANA DE DERECHOS HUMANOS, </w:t>
      </w:r>
    </w:p>
    <w:p w14:paraId="2CC8C554" w14:textId="77777777" w:rsidR="00593A2F" w:rsidRPr="009D3921" w:rsidRDefault="00593A2F" w:rsidP="00593A2F">
      <w:pPr>
        <w:spacing w:before="120"/>
        <w:rPr>
          <w:rFonts w:ascii="Verdana" w:hAnsi="Verdana" w:cs="Verdana"/>
          <w:sz w:val="20"/>
          <w:szCs w:val="20"/>
        </w:rPr>
      </w:pPr>
      <w:r w:rsidRPr="009D3921">
        <w:rPr>
          <w:rFonts w:ascii="Verdana" w:hAnsi="Verdana" w:cs="Verdana"/>
          <w:sz w:val="20"/>
          <w:szCs w:val="20"/>
        </w:rPr>
        <w:t xml:space="preserve">de conformidad con los artículos 24.1 y 25.2 del Estatuto de la Corte y con los artículos 4, 15.1, 26.1, 31.2, 35.1, 40.2, 41.1, 45, 46 a 48, 50 a 58 y 60 del Reglamento, </w:t>
      </w:r>
    </w:p>
    <w:p w14:paraId="2D46F36B" w14:textId="77777777" w:rsidR="00593A2F" w:rsidRPr="009D3921" w:rsidRDefault="00593A2F" w:rsidP="00593A2F">
      <w:pPr>
        <w:autoSpaceDE w:val="0"/>
        <w:autoSpaceDN w:val="0"/>
        <w:adjustRightInd w:val="0"/>
        <w:spacing w:before="360" w:after="360" w:line="276" w:lineRule="auto"/>
        <w:rPr>
          <w:rFonts w:ascii="Verdana" w:hAnsi="Verdana" w:cs="Verdana"/>
          <w:b/>
          <w:bCs/>
          <w:sz w:val="20"/>
          <w:szCs w:val="20"/>
        </w:rPr>
      </w:pPr>
      <w:r w:rsidRPr="009D3921">
        <w:rPr>
          <w:rFonts w:ascii="Verdana" w:hAnsi="Verdana" w:cs="Verdana"/>
          <w:b/>
          <w:bCs/>
          <w:sz w:val="20"/>
          <w:szCs w:val="20"/>
          <w:lang w:eastAsia="en-US"/>
        </w:rPr>
        <w:t>RESUELVE</w:t>
      </w:r>
      <w:r w:rsidRPr="009D3921">
        <w:rPr>
          <w:rFonts w:ascii="Verdana" w:hAnsi="Verdana" w:cs="Verdana"/>
          <w:b/>
          <w:bCs/>
          <w:sz w:val="20"/>
          <w:szCs w:val="20"/>
        </w:rPr>
        <w:t>:</w:t>
      </w:r>
    </w:p>
    <w:p w14:paraId="15B4FA25" w14:textId="2DFA05B4" w:rsidR="00C817D7" w:rsidRDefault="00593A2F" w:rsidP="00820B3D">
      <w:pPr>
        <w:pStyle w:val="Prrafodelista"/>
        <w:numPr>
          <w:ilvl w:val="3"/>
          <w:numId w:val="12"/>
        </w:numPr>
        <w:spacing w:before="120"/>
        <w:ind w:left="0" w:firstLine="0"/>
        <w:contextualSpacing w:val="0"/>
        <w:rPr>
          <w:szCs w:val="20"/>
        </w:rPr>
      </w:pPr>
      <w:r w:rsidRPr="00EB55E9">
        <w:rPr>
          <w:szCs w:val="20"/>
        </w:rPr>
        <w:t>Convocar a</w:t>
      </w:r>
      <w:r w:rsidR="00AD13EF">
        <w:rPr>
          <w:szCs w:val="20"/>
        </w:rPr>
        <w:t>l Estado,</w:t>
      </w:r>
      <w:r w:rsidRPr="00EB55E9">
        <w:rPr>
          <w:szCs w:val="20"/>
        </w:rPr>
        <w:t xml:space="preserve"> a los representantes de las presuntas v</w:t>
      </w:r>
      <w:r w:rsidR="00466C0E" w:rsidRPr="00EB55E9">
        <w:rPr>
          <w:szCs w:val="20"/>
        </w:rPr>
        <w:t>í</w:t>
      </w:r>
      <w:r w:rsidRPr="00EB55E9">
        <w:rPr>
          <w:szCs w:val="20"/>
        </w:rPr>
        <w:t>ctimas y a la Comisión Interamericana de Derechos Humanos</w:t>
      </w:r>
      <w:r w:rsidR="002C3EF5" w:rsidRPr="00EB55E9">
        <w:rPr>
          <w:szCs w:val="20"/>
        </w:rPr>
        <w:t xml:space="preserve"> a una audiencia pública sobre</w:t>
      </w:r>
      <w:r w:rsidR="00952C62" w:rsidRPr="00EB55E9">
        <w:rPr>
          <w:szCs w:val="20"/>
        </w:rPr>
        <w:t xml:space="preserve"> </w:t>
      </w:r>
      <w:r w:rsidR="00AA7326" w:rsidRPr="00EB55E9">
        <w:rPr>
          <w:szCs w:val="20"/>
        </w:rPr>
        <w:t>excepci</w:t>
      </w:r>
      <w:r w:rsidR="00AD13EF">
        <w:rPr>
          <w:szCs w:val="20"/>
        </w:rPr>
        <w:t>ones</w:t>
      </w:r>
      <w:r w:rsidR="00AA7326" w:rsidRPr="00EB55E9">
        <w:rPr>
          <w:szCs w:val="20"/>
        </w:rPr>
        <w:t xml:space="preserve"> preliminar</w:t>
      </w:r>
      <w:r w:rsidR="00AD13EF">
        <w:rPr>
          <w:szCs w:val="20"/>
        </w:rPr>
        <w:t>es</w:t>
      </w:r>
      <w:r w:rsidR="00952C62" w:rsidRPr="00EB55E9">
        <w:rPr>
          <w:szCs w:val="20"/>
        </w:rPr>
        <w:t xml:space="preserve"> </w:t>
      </w:r>
      <w:r w:rsidR="00952C62" w:rsidRPr="00EB55E9">
        <w:rPr>
          <w:szCs w:val="20"/>
        </w:rPr>
        <w:lastRenderedPageBreak/>
        <w:t>y los eventuales</w:t>
      </w:r>
      <w:r w:rsidR="00273C4A">
        <w:rPr>
          <w:szCs w:val="20"/>
        </w:rPr>
        <w:t xml:space="preserve"> </w:t>
      </w:r>
      <w:r w:rsidR="002C3EF5" w:rsidRPr="00EB55E9">
        <w:rPr>
          <w:szCs w:val="20"/>
        </w:rPr>
        <w:t xml:space="preserve">fondo, reparaciones y costas que se </w:t>
      </w:r>
      <w:r w:rsidR="00B77CC7">
        <w:rPr>
          <w:szCs w:val="20"/>
        </w:rPr>
        <w:t>realizará durante el</w:t>
      </w:r>
      <w:r w:rsidR="002C3EF5" w:rsidRPr="00EB55E9">
        <w:rPr>
          <w:szCs w:val="20"/>
        </w:rPr>
        <w:t xml:space="preserve"> </w:t>
      </w:r>
      <w:r w:rsidR="00071203">
        <w:rPr>
          <w:szCs w:val="20"/>
        </w:rPr>
        <w:t>149</w:t>
      </w:r>
      <w:r w:rsidR="002C3EF5" w:rsidRPr="00EB55E9">
        <w:rPr>
          <w:szCs w:val="20"/>
        </w:rPr>
        <w:t xml:space="preserve"> Período </w:t>
      </w:r>
      <w:r w:rsidR="00A07E59" w:rsidRPr="00EB55E9">
        <w:rPr>
          <w:szCs w:val="20"/>
        </w:rPr>
        <w:t>O</w:t>
      </w:r>
      <w:r w:rsidR="002C3EF5" w:rsidRPr="00EB55E9">
        <w:rPr>
          <w:szCs w:val="20"/>
        </w:rPr>
        <w:t xml:space="preserve">rdinario de Sesiones, </w:t>
      </w:r>
      <w:r w:rsidR="007F1E97" w:rsidRPr="007F1E97">
        <w:rPr>
          <w:szCs w:val="20"/>
        </w:rPr>
        <w:t>en la sede de la Corte en San</w:t>
      </w:r>
      <w:r w:rsidR="007F1E97">
        <w:rPr>
          <w:szCs w:val="20"/>
        </w:rPr>
        <w:t xml:space="preserve"> </w:t>
      </w:r>
      <w:r w:rsidR="007F1E97" w:rsidRPr="007F1E97">
        <w:rPr>
          <w:szCs w:val="20"/>
        </w:rPr>
        <w:t>José, Costa Rica</w:t>
      </w:r>
      <w:r w:rsidR="007F1E97">
        <w:rPr>
          <w:szCs w:val="20"/>
        </w:rPr>
        <w:t xml:space="preserve">, </w:t>
      </w:r>
      <w:r w:rsidR="00582A80">
        <w:rPr>
          <w:szCs w:val="20"/>
        </w:rPr>
        <w:t>el</w:t>
      </w:r>
      <w:r w:rsidR="00832943" w:rsidRPr="00EB55E9">
        <w:rPr>
          <w:szCs w:val="20"/>
        </w:rPr>
        <w:t xml:space="preserve"> día </w:t>
      </w:r>
      <w:r w:rsidR="009D1593" w:rsidRPr="00C2000E">
        <w:rPr>
          <w:szCs w:val="20"/>
        </w:rPr>
        <w:t>23</w:t>
      </w:r>
      <w:r w:rsidR="00832943" w:rsidRPr="00C2000E">
        <w:rPr>
          <w:szCs w:val="20"/>
        </w:rPr>
        <w:t xml:space="preserve"> </w:t>
      </w:r>
      <w:r w:rsidR="006274E4" w:rsidRPr="00C2000E">
        <w:rPr>
          <w:szCs w:val="20"/>
        </w:rPr>
        <w:t xml:space="preserve">de </w:t>
      </w:r>
      <w:r w:rsidR="00B77CC7" w:rsidRPr="00C2000E">
        <w:rPr>
          <w:szCs w:val="20"/>
        </w:rPr>
        <w:t>junio</w:t>
      </w:r>
      <w:r w:rsidR="006274E4" w:rsidRPr="00C2000E">
        <w:rPr>
          <w:szCs w:val="20"/>
        </w:rPr>
        <w:t xml:space="preserve"> de 2022</w:t>
      </w:r>
      <w:r w:rsidR="00273C4A" w:rsidRPr="00C2000E">
        <w:rPr>
          <w:szCs w:val="20"/>
        </w:rPr>
        <w:t>,</w:t>
      </w:r>
      <w:r w:rsidR="006274E4" w:rsidRPr="00C2000E">
        <w:rPr>
          <w:szCs w:val="20"/>
        </w:rPr>
        <w:t xml:space="preserve"> a partir de las 0</w:t>
      </w:r>
      <w:r w:rsidR="00B77CC7" w:rsidRPr="00C2000E">
        <w:rPr>
          <w:szCs w:val="20"/>
        </w:rPr>
        <w:t>9</w:t>
      </w:r>
      <w:r w:rsidR="006274E4" w:rsidRPr="00C2000E">
        <w:rPr>
          <w:szCs w:val="20"/>
        </w:rPr>
        <w:t>:00</w:t>
      </w:r>
      <w:r w:rsidR="00832943" w:rsidRPr="00C2000E">
        <w:rPr>
          <w:szCs w:val="20"/>
        </w:rPr>
        <w:t xml:space="preserve"> horas</w:t>
      </w:r>
      <w:r w:rsidR="009D1593" w:rsidRPr="00C2000E">
        <w:rPr>
          <w:szCs w:val="20"/>
        </w:rPr>
        <w:t xml:space="preserve">, </w:t>
      </w:r>
      <w:r w:rsidR="002C3EF5" w:rsidRPr="007F1E97">
        <w:rPr>
          <w:szCs w:val="20"/>
        </w:rPr>
        <w:t>para recibir sus alegatos y observaciones finales orales, así como las declaraciones de las siguientes personas</w:t>
      </w:r>
      <w:r w:rsidR="00265A0A" w:rsidRPr="007F1E97">
        <w:rPr>
          <w:szCs w:val="20"/>
        </w:rPr>
        <w:t>:</w:t>
      </w:r>
    </w:p>
    <w:p w14:paraId="4A07DC2A" w14:textId="77777777" w:rsidR="00C2000E" w:rsidRPr="00751604" w:rsidRDefault="00C2000E" w:rsidP="00C2000E">
      <w:pPr>
        <w:pStyle w:val="Prrafodelista"/>
        <w:numPr>
          <w:ilvl w:val="0"/>
          <w:numId w:val="9"/>
        </w:numPr>
        <w:spacing w:before="240" w:after="240"/>
        <w:ind w:left="714" w:hanging="357"/>
        <w:contextualSpacing w:val="0"/>
        <w:rPr>
          <w:rFonts w:cs="Verdana"/>
          <w:bCs/>
          <w:i/>
          <w:iCs/>
        </w:rPr>
      </w:pPr>
      <w:r w:rsidRPr="00EB55E9">
        <w:rPr>
          <w:bCs/>
          <w:i/>
          <w:iCs/>
        </w:rPr>
        <w:t xml:space="preserve">Testigo </w:t>
      </w:r>
      <w:r>
        <w:rPr>
          <w:bCs/>
          <w:i/>
          <w:iCs/>
        </w:rPr>
        <w:t>p</w:t>
      </w:r>
      <w:r w:rsidRPr="00751604">
        <w:rPr>
          <w:bCs/>
          <w:i/>
          <w:iCs/>
        </w:rPr>
        <w:t>ropuesto por los representantes</w:t>
      </w:r>
      <w:r>
        <w:rPr>
          <w:bCs/>
          <w:i/>
          <w:iCs/>
        </w:rPr>
        <w:t xml:space="preserve"> </w:t>
      </w:r>
    </w:p>
    <w:p w14:paraId="2A960316" w14:textId="1E8B5C53" w:rsidR="00C2000E" w:rsidRPr="009A4BE9" w:rsidRDefault="00C2000E" w:rsidP="001728D5">
      <w:pPr>
        <w:pStyle w:val="Prrafodelista"/>
        <w:numPr>
          <w:ilvl w:val="1"/>
          <w:numId w:val="3"/>
        </w:numPr>
        <w:spacing w:before="120"/>
        <w:ind w:left="992" w:firstLine="0"/>
        <w:contextualSpacing w:val="0"/>
        <w:rPr>
          <w:rFonts w:eastAsiaTheme="minorHAnsi" w:cs="Tahoma"/>
          <w:szCs w:val="20"/>
          <w:lang w:eastAsia="en-US"/>
        </w:rPr>
      </w:pPr>
      <w:bookmarkStart w:id="4" w:name="_Hlk104368012"/>
      <w:r w:rsidRPr="00751604">
        <w:rPr>
          <w:i/>
          <w:szCs w:val="20"/>
        </w:rPr>
        <w:t xml:space="preserve">Jorge Marcial </w:t>
      </w:r>
      <w:proofErr w:type="spellStart"/>
      <w:r w:rsidRPr="00751604">
        <w:rPr>
          <w:i/>
          <w:szCs w:val="20"/>
        </w:rPr>
        <w:t>Tzompaxtle</w:t>
      </w:r>
      <w:proofErr w:type="spellEnd"/>
      <w:r w:rsidRPr="00751604">
        <w:rPr>
          <w:i/>
          <w:szCs w:val="20"/>
        </w:rPr>
        <w:t xml:space="preserve"> </w:t>
      </w:r>
      <w:proofErr w:type="spellStart"/>
      <w:r w:rsidRPr="00751604">
        <w:rPr>
          <w:i/>
          <w:szCs w:val="20"/>
        </w:rPr>
        <w:t>Tecpile</w:t>
      </w:r>
      <w:proofErr w:type="spellEnd"/>
      <w:r w:rsidRPr="00EB55E9">
        <w:rPr>
          <w:rFonts w:eastAsiaTheme="minorHAnsi" w:cs="Tahoma"/>
          <w:iCs/>
          <w:lang w:eastAsia="en-US"/>
        </w:rPr>
        <w:t>, quien prestará declaración sobre</w:t>
      </w:r>
      <w:r>
        <w:rPr>
          <w:rFonts w:eastAsiaTheme="minorHAnsi" w:cs="Tahoma"/>
          <w:iCs/>
          <w:lang w:eastAsia="en-US"/>
        </w:rPr>
        <w:t xml:space="preserve"> </w:t>
      </w:r>
      <w:r w:rsidRPr="00751604">
        <w:rPr>
          <w:rFonts w:eastAsiaTheme="minorHAnsi" w:cs="Tahoma"/>
          <w:iCs/>
          <w:lang w:eastAsia="en-US"/>
        </w:rPr>
        <w:t>los hechos del caso</w:t>
      </w:r>
      <w:r>
        <w:rPr>
          <w:rFonts w:eastAsiaTheme="minorHAnsi" w:cs="Tahoma"/>
          <w:iCs/>
          <w:lang w:eastAsia="en-US"/>
        </w:rPr>
        <w:t xml:space="preserve">, y en </w:t>
      </w:r>
      <w:r w:rsidRPr="00751604">
        <w:rPr>
          <w:rFonts w:eastAsiaTheme="minorHAnsi" w:cs="Tahoma"/>
          <w:szCs w:val="20"/>
          <w:lang w:eastAsia="en-US"/>
        </w:rPr>
        <w:t>particular sobre la</w:t>
      </w:r>
      <w:r>
        <w:rPr>
          <w:rFonts w:eastAsiaTheme="minorHAnsi" w:cs="Tahoma"/>
          <w:szCs w:val="20"/>
          <w:lang w:eastAsia="en-US"/>
        </w:rPr>
        <w:t xml:space="preserve"> alegada</w:t>
      </w:r>
      <w:r w:rsidRPr="00751604">
        <w:rPr>
          <w:rFonts w:eastAsiaTheme="minorHAnsi" w:cs="Tahoma"/>
          <w:szCs w:val="20"/>
          <w:lang w:eastAsia="en-US"/>
        </w:rPr>
        <w:t xml:space="preserve"> detención y retención ante distintas autoridades, </w:t>
      </w:r>
      <w:r w:rsidR="0026261A">
        <w:rPr>
          <w:rFonts w:eastAsiaTheme="minorHAnsi" w:cs="Tahoma"/>
          <w:szCs w:val="20"/>
          <w:lang w:eastAsia="en-US"/>
        </w:rPr>
        <w:t>el</w:t>
      </w:r>
      <w:r w:rsidRPr="00751604">
        <w:rPr>
          <w:rFonts w:eastAsiaTheme="minorHAnsi" w:cs="Tahoma"/>
          <w:szCs w:val="20"/>
          <w:lang w:eastAsia="en-US"/>
        </w:rPr>
        <w:t xml:space="preserve"> proceso de defensa de sus derechos y los </w:t>
      </w:r>
      <w:r>
        <w:rPr>
          <w:rFonts w:eastAsiaTheme="minorHAnsi" w:cs="Tahoma"/>
          <w:szCs w:val="20"/>
          <w:lang w:eastAsia="en-US"/>
        </w:rPr>
        <w:t xml:space="preserve">alegados </w:t>
      </w:r>
      <w:r w:rsidRPr="00751604">
        <w:rPr>
          <w:rFonts w:eastAsiaTheme="minorHAnsi" w:cs="Tahoma"/>
          <w:szCs w:val="20"/>
          <w:lang w:eastAsia="en-US"/>
        </w:rPr>
        <w:t>efectos que los hechos han tenido en su persona y familia cercana</w:t>
      </w:r>
      <w:bookmarkEnd w:id="4"/>
      <w:r w:rsidRPr="00EB55E9">
        <w:rPr>
          <w:rFonts w:eastAsiaTheme="minorHAnsi" w:cs="Tahoma"/>
          <w:iCs/>
          <w:lang w:eastAsia="en-US"/>
        </w:rPr>
        <w:t>.</w:t>
      </w:r>
    </w:p>
    <w:p w14:paraId="580135F0" w14:textId="5345ECC4" w:rsidR="00C2000E" w:rsidRPr="00751604" w:rsidRDefault="00C036CB" w:rsidP="00C2000E">
      <w:pPr>
        <w:pStyle w:val="Prrafodelista"/>
        <w:numPr>
          <w:ilvl w:val="0"/>
          <w:numId w:val="9"/>
        </w:numPr>
        <w:spacing w:before="240" w:after="240"/>
        <w:ind w:left="714" w:hanging="357"/>
        <w:contextualSpacing w:val="0"/>
        <w:rPr>
          <w:bCs/>
          <w:i/>
          <w:iCs/>
          <w:szCs w:val="20"/>
        </w:rPr>
      </w:pPr>
      <w:r>
        <w:rPr>
          <w:bCs/>
          <w:i/>
          <w:iCs/>
          <w:szCs w:val="20"/>
        </w:rPr>
        <w:t>Peritos</w:t>
      </w:r>
    </w:p>
    <w:p w14:paraId="417F14F3" w14:textId="77777777" w:rsidR="00C2000E" w:rsidRPr="009A4BE9" w:rsidRDefault="00C2000E" w:rsidP="00C2000E">
      <w:pPr>
        <w:pStyle w:val="Prrafodelista"/>
        <w:spacing w:before="240" w:after="240"/>
        <w:ind w:left="714"/>
        <w:contextualSpacing w:val="0"/>
        <w:rPr>
          <w:bCs/>
          <w:i/>
          <w:iCs/>
          <w:szCs w:val="20"/>
        </w:rPr>
      </w:pPr>
      <w:r>
        <w:rPr>
          <w:bCs/>
          <w:i/>
          <w:iCs/>
        </w:rPr>
        <w:t>B</w:t>
      </w:r>
      <w:r w:rsidRPr="00EB55E9">
        <w:rPr>
          <w:bCs/>
          <w:i/>
          <w:iCs/>
        </w:rPr>
        <w:t>.</w:t>
      </w:r>
      <w:r>
        <w:rPr>
          <w:bCs/>
          <w:i/>
          <w:iCs/>
        </w:rPr>
        <w:t>1</w:t>
      </w:r>
      <w:r w:rsidRPr="00EB55E9">
        <w:rPr>
          <w:bCs/>
          <w:i/>
          <w:iCs/>
        </w:rPr>
        <w:t xml:space="preserve">. </w:t>
      </w:r>
      <w:r w:rsidRPr="00EB55E9">
        <w:rPr>
          <w:bCs/>
          <w:i/>
          <w:iCs/>
          <w:szCs w:val="20"/>
        </w:rPr>
        <w:t xml:space="preserve">Perito propuesto por </w:t>
      </w:r>
      <w:r>
        <w:rPr>
          <w:bCs/>
          <w:i/>
          <w:iCs/>
          <w:szCs w:val="20"/>
        </w:rPr>
        <w:t>la Comisión</w:t>
      </w:r>
    </w:p>
    <w:p w14:paraId="4353832C" w14:textId="77777777" w:rsidR="00C2000E" w:rsidRPr="00820B3D" w:rsidRDefault="00C2000E" w:rsidP="00C2000E">
      <w:pPr>
        <w:pStyle w:val="Prrafodelista"/>
        <w:numPr>
          <w:ilvl w:val="1"/>
          <w:numId w:val="3"/>
        </w:numPr>
        <w:spacing w:before="120"/>
        <w:ind w:left="992" w:firstLine="0"/>
        <w:contextualSpacing w:val="0"/>
        <w:rPr>
          <w:szCs w:val="20"/>
        </w:rPr>
      </w:pPr>
      <w:bookmarkStart w:id="5" w:name="_Hlk104368113"/>
      <w:r w:rsidRPr="00820B3D">
        <w:rPr>
          <w:i/>
          <w:szCs w:val="20"/>
        </w:rPr>
        <w:t>Luis</w:t>
      </w:r>
      <w:r w:rsidRPr="00820B3D">
        <w:rPr>
          <w:i/>
          <w:iCs/>
          <w:szCs w:val="20"/>
        </w:rPr>
        <w:t xml:space="preserve"> Raúl González Pérez</w:t>
      </w:r>
      <w:r w:rsidRPr="00820B3D">
        <w:rPr>
          <w:szCs w:val="20"/>
        </w:rPr>
        <w:t>, quien expondrá sobre: a) las obligaciones de los Estados en materia de restricciones del derecho a la libertad personal y del derecho a la presunción de inocencia en el marco de la presunta comisión de delitos, y b) la compatibilidad de la figura del “arraigo” con el derecho internacional y sus efectos en los derechos humanos de las personas sometidas a dicha figura</w:t>
      </w:r>
      <w:bookmarkEnd w:id="5"/>
      <w:r w:rsidRPr="00820B3D">
        <w:rPr>
          <w:szCs w:val="20"/>
        </w:rPr>
        <w:t>.</w:t>
      </w:r>
    </w:p>
    <w:p w14:paraId="75DC011A" w14:textId="37E57F4D" w:rsidR="00C2000E" w:rsidRPr="009A4BE9" w:rsidRDefault="00C2000E" w:rsidP="00C2000E">
      <w:pPr>
        <w:pStyle w:val="Prrafodelista"/>
        <w:spacing w:before="240" w:after="240"/>
        <w:contextualSpacing w:val="0"/>
        <w:rPr>
          <w:bCs/>
          <w:i/>
          <w:iCs/>
          <w:szCs w:val="20"/>
        </w:rPr>
      </w:pPr>
      <w:r>
        <w:rPr>
          <w:bCs/>
          <w:i/>
          <w:iCs/>
        </w:rPr>
        <w:t>B</w:t>
      </w:r>
      <w:r w:rsidRPr="00EB55E9">
        <w:rPr>
          <w:bCs/>
          <w:i/>
          <w:iCs/>
        </w:rPr>
        <w:t>.</w:t>
      </w:r>
      <w:r>
        <w:rPr>
          <w:bCs/>
          <w:i/>
          <w:iCs/>
        </w:rPr>
        <w:t>2</w:t>
      </w:r>
      <w:r w:rsidRPr="00EB55E9">
        <w:rPr>
          <w:bCs/>
          <w:i/>
          <w:iCs/>
        </w:rPr>
        <w:t xml:space="preserve">. </w:t>
      </w:r>
      <w:r w:rsidRPr="00EB55E9">
        <w:rPr>
          <w:bCs/>
          <w:i/>
          <w:iCs/>
          <w:szCs w:val="20"/>
        </w:rPr>
        <w:t xml:space="preserve">Perito propuesto por </w:t>
      </w:r>
      <w:r>
        <w:rPr>
          <w:bCs/>
          <w:i/>
          <w:iCs/>
          <w:szCs w:val="20"/>
        </w:rPr>
        <w:t>los representantes</w:t>
      </w:r>
    </w:p>
    <w:p w14:paraId="142345A6" w14:textId="77777777" w:rsidR="00C2000E" w:rsidRDefault="00C2000E" w:rsidP="00C2000E">
      <w:pPr>
        <w:pStyle w:val="Prrafodelista"/>
        <w:numPr>
          <w:ilvl w:val="1"/>
          <w:numId w:val="3"/>
        </w:numPr>
        <w:spacing w:before="120"/>
        <w:ind w:left="992" w:firstLine="0"/>
        <w:contextualSpacing w:val="0"/>
        <w:rPr>
          <w:szCs w:val="20"/>
        </w:rPr>
      </w:pPr>
      <w:bookmarkStart w:id="6" w:name="_Hlk104368173"/>
      <w:r w:rsidRPr="009A4BE9">
        <w:rPr>
          <w:i/>
          <w:iCs/>
          <w:szCs w:val="20"/>
        </w:rPr>
        <w:t xml:space="preserve">Carlos María Pelayo </w:t>
      </w:r>
      <w:proofErr w:type="spellStart"/>
      <w:r w:rsidRPr="009A4BE9">
        <w:rPr>
          <w:i/>
          <w:iCs/>
          <w:szCs w:val="20"/>
        </w:rPr>
        <w:t>Moller</w:t>
      </w:r>
      <w:proofErr w:type="spellEnd"/>
      <w:r>
        <w:rPr>
          <w:szCs w:val="20"/>
        </w:rPr>
        <w:t xml:space="preserve">, </w:t>
      </w:r>
      <w:r w:rsidRPr="00EB55E9">
        <w:rPr>
          <w:szCs w:val="20"/>
        </w:rPr>
        <w:t>quien expondrá sobre</w:t>
      </w:r>
      <w:r>
        <w:rPr>
          <w:szCs w:val="20"/>
        </w:rPr>
        <w:t xml:space="preserve">: </w:t>
      </w:r>
      <w:r w:rsidRPr="008455F9">
        <w:rPr>
          <w:szCs w:val="20"/>
        </w:rPr>
        <w:t>a) la utilidad del juicio de amparo respecto al arraigo penal y la prisión preventiva, b) la posibilidad de controlar judicialmente normas restrictivas de derechos humanos como el arraigo penal y la prisión preventiva, y c) los precedentes y jurisprudencia de la Suprema Corte de Justicia de la Nación respecto a normas constitucionales que establezcan una restricción de derechos que resulten contrarias al derecho internacional de los derechos humanos</w:t>
      </w:r>
      <w:bookmarkEnd w:id="6"/>
      <w:r w:rsidRPr="008455F9">
        <w:rPr>
          <w:szCs w:val="20"/>
        </w:rPr>
        <w:t xml:space="preserve">. </w:t>
      </w:r>
    </w:p>
    <w:p w14:paraId="6095DAB5" w14:textId="1144A29E" w:rsidR="00C2000E" w:rsidRPr="009A4BE9" w:rsidRDefault="00C2000E" w:rsidP="00C2000E">
      <w:pPr>
        <w:pStyle w:val="Prrafodelista"/>
        <w:spacing w:before="240" w:after="240"/>
        <w:contextualSpacing w:val="0"/>
        <w:rPr>
          <w:bCs/>
          <w:i/>
          <w:iCs/>
          <w:szCs w:val="20"/>
        </w:rPr>
      </w:pPr>
      <w:r>
        <w:rPr>
          <w:bCs/>
          <w:i/>
          <w:iCs/>
        </w:rPr>
        <w:t>B</w:t>
      </w:r>
      <w:r w:rsidRPr="00EB55E9">
        <w:rPr>
          <w:bCs/>
          <w:i/>
          <w:iCs/>
        </w:rPr>
        <w:t>.</w:t>
      </w:r>
      <w:r>
        <w:rPr>
          <w:bCs/>
          <w:i/>
          <w:iCs/>
        </w:rPr>
        <w:t>3</w:t>
      </w:r>
      <w:r w:rsidRPr="00EB55E9">
        <w:rPr>
          <w:bCs/>
          <w:i/>
          <w:iCs/>
        </w:rPr>
        <w:t xml:space="preserve">. </w:t>
      </w:r>
      <w:r w:rsidRPr="00EB55E9">
        <w:rPr>
          <w:bCs/>
          <w:i/>
          <w:iCs/>
          <w:szCs w:val="20"/>
        </w:rPr>
        <w:t xml:space="preserve">Perito propuesto por </w:t>
      </w:r>
      <w:r>
        <w:rPr>
          <w:bCs/>
          <w:i/>
          <w:iCs/>
          <w:szCs w:val="20"/>
        </w:rPr>
        <w:t>el Estado</w:t>
      </w:r>
    </w:p>
    <w:p w14:paraId="6FF42AD7" w14:textId="77777777" w:rsidR="00C2000E" w:rsidRDefault="00C2000E" w:rsidP="00C2000E">
      <w:pPr>
        <w:pStyle w:val="Prrafodelista"/>
        <w:numPr>
          <w:ilvl w:val="1"/>
          <w:numId w:val="3"/>
        </w:numPr>
        <w:spacing w:before="120"/>
        <w:ind w:left="992" w:firstLine="0"/>
        <w:contextualSpacing w:val="0"/>
        <w:rPr>
          <w:szCs w:val="20"/>
        </w:rPr>
      </w:pPr>
      <w:bookmarkStart w:id="7" w:name="_Hlk104368193"/>
      <w:r w:rsidRPr="009A4BE9">
        <w:rPr>
          <w:i/>
          <w:iCs/>
          <w:szCs w:val="20"/>
        </w:rPr>
        <w:t>Esteban Gilberto Arcos Cort</w:t>
      </w:r>
      <w:r w:rsidRPr="00EA4EB0">
        <w:rPr>
          <w:szCs w:val="20"/>
        </w:rPr>
        <w:t>és</w:t>
      </w:r>
      <w:r>
        <w:rPr>
          <w:szCs w:val="20"/>
        </w:rPr>
        <w:t xml:space="preserve">, </w:t>
      </w:r>
      <w:r w:rsidRPr="00EB55E9">
        <w:rPr>
          <w:szCs w:val="20"/>
        </w:rPr>
        <w:t xml:space="preserve">quien </w:t>
      </w:r>
      <w:r>
        <w:rPr>
          <w:szCs w:val="20"/>
        </w:rPr>
        <w:t xml:space="preserve">hará una </w:t>
      </w:r>
      <w:r w:rsidRPr="008455F9">
        <w:rPr>
          <w:szCs w:val="20"/>
        </w:rPr>
        <w:t>explica</w:t>
      </w:r>
      <w:r>
        <w:rPr>
          <w:szCs w:val="20"/>
        </w:rPr>
        <w:t>ción</w:t>
      </w:r>
      <w:r w:rsidRPr="008455F9">
        <w:rPr>
          <w:szCs w:val="20"/>
        </w:rPr>
        <w:t xml:space="preserve"> y contextualiza</w:t>
      </w:r>
      <w:r>
        <w:rPr>
          <w:szCs w:val="20"/>
        </w:rPr>
        <w:t>ción sobre</w:t>
      </w:r>
      <w:r w:rsidRPr="008455F9">
        <w:rPr>
          <w:szCs w:val="20"/>
        </w:rPr>
        <w:t xml:space="preserve"> la historia normativa de la figura del arraigo, incluyendo sus mecanismos de control y restricciones, así como los procesos nacionales de revisión de la figura</w:t>
      </w:r>
      <w:r>
        <w:rPr>
          <w:szCs w:val="20"/>
        </w:rPr>
        <w:t>.</w:t>
      </w:r>
    </w:p>
    <w:bookmarkEnd w:id="7"/>
    <w:p w14:paraId="2C2856E1" w14:textId="64D1A551" w:rsidR="00E87F69" w:rsidRPr="00C2000E" w:rsidRDefault="00E1603F" w:rsidP="00C2000E">
      <w:pPr>
        <w:pStyle w:val="Prrafodelista"/>
        <w:numPr>
          <w:ilvl w:val="3"/>
          <w:numId w:val="12"/>
        </w:numPr>
        <w:spacing w:before="120"/>
        <w:ind w:left="0" w:firstLine="0"/>
        <w:contextualSpacing w:val="0"/>
        <w:rPr>
          <w:rFonts w:eastAsiaTheme="minorHAnsi" w:cs="Verdana"/>
          <w:color w:val="000000"/>
          <w:szCs w:val="20"/>
          <w:lang w:eastAsia="en-US"/>
        </w:rPr>
      </w:pPr>
      <w:r w:rsidRPr="00C2000E">
        <w:rPr>
          <w:szCs w:val="20"/>
        </w:rPr>
        <w:t>L</w:t>
      </w:r>
      <w:r w:rsidR="00BB5CC9" w:rsidRPr="00C2000E">
        <w:rPr>
          <w:szCs w:val="20"/>
        </w:rPr>
        <w:t>a</w:t>
      </w:r>
      <w:r w:rsidR="00C5461B" w:rsidRPr="00C2000E">
        <w:rPr>
          <w:szCs w:val="20"/>
        </w:rPr>
        <w:t>s</w:t>
      </w:r>
      <w:r w:rsidR="00E87F69" w:rsidRPr="00EB55E9">
        <w:rPr>
          <w:rFonts w:eastAsiaTheme="minorHAnsi" w:cs="Verdana"/>
          <w:color w:val="000000"/>
          <w:szCs w:val="20"/>
          <w:lang w:eastAsia="en-US"/>
        </w:rPr>
        <w:t xml:space="preserve"> </w:t>
      </w:r>
      <w:r w:rsidR="00BB5CC9" w:rsidRPr="00EB55E9">
        <w:rPr>
          <w:rFonts w:eastAsiaTheme="minorHAnsi" w:cs="Verdana"/>
          <w:color w:val="000000"/>
          <w:szCs w:val="20"/>
          <w:lang w:eastAsia="en-US"/>
        </w:rPr>
        <w:t>persona</w:t>
      </w:r>
      <w:r w:rsidR="00C5461B">
        <w:rPr>
          <w:rFonts w:eastAsiaTheme="minorHAnsi" w:cs="Verdana"/>
          <w:color w:val="000000"/>
          <w:szCs w:val="20"/>
          <w:lang w:eastAsia="en-US"/>
        </w:rPr>
        <w:t>s</w:t>
      </w:r>
      <w:r w:rsidR="00AD51D8" w:rsidRPr="00EB55E9">
        <w:rPr>
          <w:rFonts w:eastAsiaTheme="minorHAnsi" w:cs="Verdana"/>
          <w:color w:val="000000"/>
          <w:szCs w:val="20"/>
          <w:lang w:eastAsia="en-US"/>
        </w:rPr>
        <w:t xml:space="preserve"> </w:t>
      </w:r>
      <w:r w:rsidR="00E87F69" w:rsidRPr="00EB55E9">
        <w:rPr>
          <w:szCs w:val="20"/>
        </w:rPr>
        <w:t>convoca</w:t>
      </w:r>
      <w:r w:rsidR="00AD51D8" w:rsidRPr="00EB55E9">
        <w:rPr>
          <w:szCs w:val="20"/>
        </w:rPr>
        <w:t>da</w:t>
      </w:r>
      <w:r w:rsidR="00C5461B">
        <w:rPr>
          <w:szCs w:val="20"/>
        </w:rPr>
        <w:t>s</w:t>
      </w:r>
      <w:r w:rsidR="00E87F69" w:rsidRPr="00EB55E9">
        <w:rPr>
          <w:rFonts w:eastAsiaTheme="minorHAnsi" w:cs="Verdana"/>
          <w:color w:val="000000"/>
          <w:szCs w:val="20"/>
          <w:lang w:eastAsia="en-US"/>
        </w:rPr>
        <w:t xml:space="preserve"> </w:t>
      </w:r>
      <w:r w:rsidR="00BB5CC9" w:rsidRPr="00EB55E9">
        <w:rPr>
          <w:rFonts w:eastAsiaTheme="minorHAnsi" w:cs="Verdana"/>
          <w:color w:val="000000"/>
          <w:szCs w:val="20"/>
          <w:lang w:eastAsia="en-US"/>
        </w:rPr>
        <w:t>para rendir peritaje durante la</w:t>
      </w:r>
      <w:r w:rsidR="00E87F69" w:rsidRPr="00EB55E9">
        <w:rPr>
          <w:rFonts w:eastAsiaTheme="minorHAnsi" w:cs="Verdana"/>
          <w:color w:val="000000"/>
          <w:szCs w:val="20"/>
          <w:lang w:eastAsia="en-US"/>
        </w:rPr>
        <w:t xml:space="preserve"> </w:t>
      </w:r>
      <w:r w:rsidR="00E87F69" w:rsidRPr="00C2000E">
        <w:rPr>
          <w:szCs w:val="20"/>
        </w:rPr>
        <w:t>audiencia</w:t>
      </w:r>
      <w:r w:rsidR="00E87F69" w:rsidRPr="00EB55E9">
        <w:rPr>
          <w:rFonts w:eastAsiaTheme="minorHAnsi" w:cs="Verdana"/>
          <w:color w:val="000000"/>
          <w:szCs w:val="20"/>
          <w:lang w:eastAsia="en-US"/>
        </w:rPr>
        <w:t xml:space="preserve"> </w:t>
      </w:r>
      <w:r w:rsidR="00041A63">
        <w:rPr>
          <w:rFonts w:eastAsiaTheme="minorHAnsi" w:cs="Verdana"/>
          <w:color w:val="000000"/>
          <w:szCs w:val="20"/>
          <w:lang w:eastAsia="en-US"/>
        </w:rPr>
        <w:t>deben</w:t>
      </w:r>
      <w:r w:rsidRPr="00EB55E9">
        <w:rPr>
          <w:rFonts w:eastAsiaTheme="minorHAnsi" w:cs="Verdana"/>
          <w:color w:val="000000"/>
          <w:szCs w:val="20"/>
          <w:lang w:eastAsia="en-US"/>
        </w:rPr>
        <w:t xml:space="preserve"> aportar</w:t>
      </w:r>
      <w:r w:rsidR="00E87F69" w:rsidRPr="00EB55E9">
        <w:rPr>
          <w:rFonts w:eastAsiaTheme="minorHAnsi" w:cs="Verdana"/>
          <w:color w:val="000000"/>
          <w:szCs w:val="20"/>
          <w:lang w:eastAsia="en-US"/>
        </w:rPr>
        <w:t xml:space="preserve"> una versión escrita de su peritaje, a más </w:t>
      </w:r>
      <w:r w:rsidR="00E87F69" w:rsidRPr="00C2000E">
        <w:rPr>
          <w:rFonts w:eastAsiaTheme="minorHAnsi" w:cs="Verdana"/>
          <w:color w:val="000000"/>
          <w:szCs w:val="20"/>
          <w:lang w:eastAsia="en-US"/>
        </w:rPr>
        <w:t xml:space="preserve">tardar el </w:t>
      </w:r>
      <w:r w:rsidR="005F55AC">
        <w:rPr>
          <w:rFonts w:eastAsiaTheme="minorHAnsi" w:cs="Verdana"/>
          <w:color w:val="000000"/>
          <w:szCs w:val="20"/>
          <w:lang w:eastAsia="en-US"/>
        </w:rPr>
        <w:t>17</w:t>
      </w:r>
      <w:r w:rsidR="00E87F69" w:rsidRPr="00C2000E">
        <w:rPr>
          <w:rFonts w:eastAsiaTheme="minorHAnsi" w:cs="Verdana"/>
          <w:color w:val="000000"/>
          <w:szCs w:val="20"/>
          <w:lang w:eastAsia="en-US"/>
        </w:rPr>
        <w:t xml:space="preserve"> de </w:t>
      </w:r>
      <w:r w:rsidR="009A4BE9" w:rsidRPr="00C2000E">
        <w:rPr>
          <w:rFonts w:eastAsiaTheme="minorHAnsi" w:cs="Verdana"/>
          <w:color w:val="000000"/>
          <w:szCs w:val="20"/>
          <w:lang w:eastAsia="en-US"/>
        </w:rPr>
        <w:t>junio</w:t>
      </w:r>
      <w:r w:rsidR="00E87F69" w:rsidRPr="00C2000E">
        <w:rPr>
          <w:rFonts w:eastAsiaTheme="minorHAnsi" w:cs="Verdana"/>
          <w:color w:val="000000"/>
          <w:szCs w:val="20"/>
          <w:lang w:eastAsia="en-US"/>
        </w:rPr>
        <w:t xml:space="preserve"> de </w:t>
      </w:r>
      <w:r w:rsidRPr="00C2000E">
        <w:rPr>
          <w:color w:val="000000"/>
          <w:szCs w:val="20"/>
        </w:rPr>
        <w:t>2022</w:t>
      </w:r>
      <w:r w:rsidR="00E87F69" w:rsidRPr="00C2000E">
        <w:rPr>
          <w:rFonts w:eastAsiaTheme="minorHAnsi" w:cs="Verdana"/>
          <w:color w:val="000000"/>
          <w:szCs w:val="20"/>
          <w:lang w:eastAsia="en-US"/>
        </w:rPr>
        <w:t xml:space="preserve">. </w:t>
      </w:r>
    </w:p>
    <w:p w14:paraId="7DC68016" w14:textId="77777777" w:rsidR="00E87F69" w:rsidRPr="00EB55E9" w:rsidRDefault="00E87F69" w:rsidP="00C2000E">
      <w:pPr>
        <w:pStyle w:val="Prrafodelista"/>
        <w:numPr>
          <w:ilvl w:val="3"/>
          <w:numId w:val="12"/>
        </w:numPr>
        <w:spacing w:before="120"/>
        <w:ind w:left="0" w:firstLine="0"/>
        <w:contextualSpacing w:val="0"/>
        <w:rPr>
          <w:rFonts w:cs="Verdana"/>
          <w:szCs w:val="20"/>
        </w:rPr>
      </w:pPr>
      <w:r w:rsidRPr="00EB55E9">
        <w:rPr>
          <w:szCs w:val="20"/>
        </w:rPr>
        <w:t xml:space="preserve">Requerir, por las razones expuestas en la presente Resolución, de conformidad con el </w:t>
      </w:r>
      <w:r w:rsidRPr="00EB55E9">
        <w:rPr>
          <w:rFonts w:eastAsiaTheme="minorHAnsi" w:cs="Verdana"/>
          <w:color w:val="000000"/>
          <w:szCs w:val="20"/>
          <w:lang w:eastAsia="en-US"/>
        </w:rPr>
        <w:t>principio</w:t>
      </w:r>
      <w:r w:rsidRPr="00EB55E9">
        <w:rPr>
          <w:szCs w:val="20"/>
        </w:rPr>
        <w:t xml:space="preserve"> de economía procesal y de la facultad que le otorga el artículo 50.1 del Reglamento de la Corte, que las siguientes personas presten sus declaraciones ante fedatario público (</w:t>
      </w:r>
      <w:r w:rsidRPr="00EB55E9">
        <w:rPr>
          <w:i/>
          <w:szCs w:val="20"/>
        </w:rPr>
        <w:t>Affidavit</w:t>
      </w:r>
      <w:r w:rsidRPr="00EB55E9">
        <w:rPr>
          <w:szCs w:val="20"/>
        </w:rPr>
        <w:t>):</w:t>
      </w:r>
    </w:p>
    <w:p w14:paraId="432CC8AC" w14:textId="59ADF47D" w:rsidR="00E87F69" w:rsidRPr="009D3921" w:rsidRDefault="00E46009" w:rsidP="009A4BE9">
      <w:pPr>
        <w:pStyle w:val="Prrafodelista"/>
        <w:widowControl w:val="0"/>
        <w:numPr>
          <w:ilvl w:val="0"/>
          <w:numId w:val="5"/>
        </w:numPr>
        <w:tabs>
          <w:tab w:val="left" w:pos="708"/>
        </w:tabs>
        <w:autoSpaceDE w:val="0"/>
        <w:autoSpaceDN w:val="0"/>
        <w:adjustRightInd w:val="0"/>
        <w:spacing w:before="240" w:after="240"/>
        <w:ind w:left="714" w:hanging="357"/>
        <w:contextualSpacing w:val="0"/>
        <w:rPr>
          <w:bCs/>
          <w:i/>
          <w:iCs/>
          <w:szCs w:val="20"/>
        </w:rPr>
      </w:pPr>
      <w:r w:rsidRPr="009D3921">
        <w:rPr>
          <w:bCs/>
          <w:i/>
          <w:iCs/>
          <w:szCs w:val="20"/>
        </w:rPr>
        <w:t>Testigo</w:t>
      </w:r>
      <w:r w:rsidR="00E87F69" w:rsidRPr="009D3921">
        <w:rPr>
          <w:bCs/>
          <w:i/>
          <w:iCs/>
          <w:szCs w:val="20"/>
        </w:rPr>
        <w:t xml:space="preserve"> </w:t>
      </w:r>
      <w:r w:rsidR="009A4BE9" w:rsidRPr="009D3921">
        <w:rPr>
          <w:bCs/>
          <w:i/>
          <w:iCs/>
          <w:szCs w:val="20"/>
        </w:rPr>
        <w:t>propuesto por los representantes</w:t>
      </w:r>
    </w:p>
    <w:p w14:paraId="03AB15D0" w14:textId="151BCE6D" w:rsidR="00961A7E" w:rsidRPr="009D3921" w:rsidRDefault="009A4BE9" w:rsidP="002E77AC">
      <w:pPr>
        <w:numPr>
          <w:ilvl w:val="0"/>
          <w:numId w:val="6"/>
        </w:numPr>
        <w:autoSpaceDE w:val="0"/>
        <w:autoSpaceDN w:val="0"/>
        <w:adjustRightInd w:val="0"/>
        <w:spacing w:before="120"/>
        <w:ind w:left="992" w:firstLine="0"/>
        <w:jc w:val="both"/>
        <w:rPr>
          <w:rFonts w:ascii="Verdana" w:hAnsi="Verdana" w:cs="Verdana"/>
          <w:bCs/>
          <w:iCs/>
          <w:sz w:val="20"/>
          <w:szCs w:val="20"/>
        </w:rPr>
      </w:pPr>
      <w:r w:rsidRPr="009D3921">
        <w:rPr>
          <w:rFonts w:ascii="Verdana" w:eastAsiaTheme="minorHAnsi" w:hAnsi="Verdana" w:cs="Tahoma"/>
          <w:i/>
          <w:sz w:val="20"/>
          <w:szCs w:val="20"/>
          <w:lang w:eastAsia="en-US"/>
        </w:rPr>
        <w:t xml:space="preserve">Gerardo </w:t>
      </w:r>
      <w:proofErr w:type="spellStart"/>
      <w:r w:rsidRPr="009D3921">
        <w:rPr>
          <w:rFonts w:ascii="Verdana" w:eastAsiaTheme="minorHAnsi" w:hAnsi="Verdana" w:cs="Tahoma"/>
          <w:i/>
          <w:sz w:val="20"/>
          <w:szCs w:val="20"/>
          <w:lang w:eastAsia="en-US"/>
        </w:rPr>
        <w:t>Tzompaxtle</w:t>
      </w:r>
      <w:proofErr w:type="spellEnd"/>
      <w:r w:rsidRPr="009D3921">
        <w:rPr>
          <w:rFonts w:ascii="Verdana" w:eastAsiaTheme="minorHAnsi" w:hAnsi="Verdana" w:cs="Tahoma"/>
          <w:i/>
          <w:sz w:val="20"/>
          <w:szCs w:val="20"/>
          <w:lang w:eastAsia="en-US"/>
        </w:rPr>
        <w:t xml:space="preserve"> </w:t>
      </w:r>
      <w:proofErr w:type="spellStart"/>
      <w:r w:rsidRPr="009D3921">
        <w:rPr>
          <w:rFonts w:ascii="Verdana" w:eastAsiaTheme="minorHAnsi" w:hAnsi="Verdana" w:cs="Tahoma"/>
          <w:i/>
          <w:sz w:val="20"/>
          <w:szCs w:val="20"/>
          <w:lang w:eastAsia="en-US"/>
        </w:rPr>
        <w:t>Tecpile</w:t>
      </w:r>
      <w:proofErr w:type="spellEnd"/>
      <w:r w:rsidR="00516BA9" w:rsidRPr="009D3921">
        <w:rPr>
          <w:rFonts w:ascii="Verdana" w:eastAsiaTheme="minorHAnsi" w:hAnsi="Verdana" w:cs="Tahoma"/>
          <w:i/>
          <w:sz w:val="20"/>
          <w:szCs w:val="20"/>
          <w:lang w:eastAsia="en-US"/>
        </w:rPr>
        <w:t xml:space="preserve">, </w:t>
      </w:r>
      <w:r w:rsidRPr="009D3921">
        <w:rPr>
          <w:rFonts w:ascii="Verdana" w:eastAsiaTheme="minorHAnsi" w:hAnsi="Verdana" w:cs="Tahoma"/>
          <w:iCs/>
          <w:sz w:val="20"/>
          <w:szCs w:val="20"/>
          <w:lang w:eastAsia="en-US"/>
        </w:rPr>
        <w:t xml:space="preserve">quien prestará declaración sobre los hechos del caso, y en particular sobre </w:t>
      </w:r>
      <w:r w:rsidR="00820B3D">
        <w:rPr>
          <w:rFonts w:ascii="Verdana" w:eastAsiaTheme="minorHAnsi" w:hAnsi="Verdana" w:cs="Tahoma"/>
          <w:iCs/>
          <w:sz w:val="20"/>
          <w:szCs w:val="20"/>
          <w:lang w:eastAsia="en-US"/>
        </w:rPr>
        <w:t>su</w:t>
      </w:r>
      <w:r w:rsidR="00820B3D" w:rsidRPr="009D3921">
        <w:rPr>
          <w:rFonts w:ascii="Verdana" w:eastAsiaTheme="minorHAnsi" w:hAnsi="Verdana" w:cs="Tahoma"/>
          <w:iCs/>
          <w:sz w:val="20"/>
          <w:szCs w:val="20"/>
          <w:lang w:eastAsia="en-US"/>
        </w:rPr>
        <w:t xml:space="preserve"> </w:t>
      </w:r>
      <w:r w:rsidRPr="009D3921">
        <w:rPr>
          <w:rFonts w:ascii="Verdana" w:eastAsiaTheme="minorHAnsi" w:hAnsi="Verdana" w:cs="Tahoma"/>
          <w:iCs/>
          <w:sz w:val="20"/>
          <w:szCs w:val="20"/>
          <w:lang w:eastAsia="en-US"/>
        </w:rPr>
        <w:t xml:space="preserve">alegada detención y retención ante distintas autoridades, </w:t>
      </w:r>
      <w:r w:rsidR="00FB11ED">
        <w:rPr>
          <w:rFonts w:ascii="Verdana" w:eastAsiaTheme="minorHAnsi" w:hAnsi="Verdana" w:cs="Tahoma"/>
          <w:iCs/>
          <w:sz w:val="20"/>
          <w:szCs w:val="20"/>
          <w:lang w:eastAsia="en-US"/>
        </w:rPr>
        <w:t>el</w:t>
      </w:r>
      <w:r w:rsidRPr="009D3921">
        <w:rPr>
          <w:rFonts w:ascii="Verdana" w:eastAsiaTheme="minorHAnsi" w:hAnsi="Verdana" w:cs="Tahoma"/>
          <w:iCs/>
          <w:sz w:val="20"/>
          <w:szCs w:val="20"/>
          <w:lang w:eastAsia="en-US"/>
        </w:rPr>
        <w:t xml:space="preserve"> proceso de defensa de sus derechos y los alegados efectos que los hechos han tenido en su persona y familia cercana</w:t>
      </w:r>
      <w:r w:rsidR="00961A7E" w:rsidRPr="009D3921">
        <w:rPr>
          <w:rFonts w:ascii="Verdana" w:eastAsiaTheme="minorHAnsi" w:hAnsi="Verdana" w:cs="Tahoma"/>
          <w:iCs/>
          <w:sz w:val="20"/>
          <w:szCs w:val="20"/>
          <w:lang w:eastAsia="en-US"/>
        </w:rPr>
        <w:t>.</w:t>
      </w:r>
    </w:p>
    <w:p w14:paraId="0BDAF27D" w14:textId="36101299" w:rsidR="00A72969" w:rsidRDefault="00C036CB" w:rsidP="00016A23">
      <w:pPr>
        <w:pStyle w:val="Prrafodelista"/>
        <w:widowControl w:val="0"/>
        <w:numPr>
          <w:ilvl w:val="0"/>
          <w:numId w:val="5"/>
        </w:numPr>
        <w:tabs>
          <w:tab w:val="left" w:pos="708"/>
        </w:tabs>
        <w:autoSpaceDE w:val="0"/>
        <w:autoSpaceDN w:val="0"/>
        <w:adjustRightInd w:val="0"/>
        <w:spacing w:before="240" w:after="240"/>
        <w:ind w:left="714" w:hanging="357"/>
        <w:contextualSpacing w:val="0"/>
        <w:rPr>
          <w:bCs/>
          <w:i/>
          <w:iCs/>
          <w:szCs w:val="20"/>
        </w:rPr>
      </w:pPr>
      <w:r>
        <w:rPr>
          <w:bCs/>
          <w:i/>
          <w:iCs/>
          <w:szCs w:val="20"/>
        </w:rPr>
        <w:t>Peritas</w:t>
      </w:r>
    </w:p>
    <w:p w14:paraId="1D69D749" w14:textId="7904DDE3" w:rsidR="00016A23" w:rsidRPr="00C2000E" w:rsidRDefault="00A72969" w:rsidP="00C2000E">
      <w:pPr>
        <w:widowControl w:val="0"/>
        <w:tabs>
          <w:tab w:val="left" w:pos="708"/>
        </w:tabs>
        <w:autoSpaceDE w:val="0"/>
        <w:autoSpaceDN w:val="0"/>
        <w:adjustRightInd w:val="0"/>
        <w:spacing w:before="240" w:after="240"/>
        <w:ind w:left="720"/>
        <w:rPr>
          <w:rFonts w:ascii="Verdana" w:hAnsi="Verdana"/>
          <w:bCs/>
          <w:i/>
          <w:iCs/>
          <w:sz w:val="20"/>
          <w:szCs w:val="20"/>
        </w:rPr>
      </w:pPr>
      <w:r w:rsidRPr="00C2000E">
        <w:rPr>
          <w:rFonts w:ascii="Verdana" w:hAnsi="Verdana"/>
          <w:bCs/>
          <w:i/>
          <w:iCs/>
          <w:sz w:val="20"/>
          <w:szCs w:val="20"/>
        </w:rPr>
        <w:lastRenderedPageBreak/>
        <w:t>B.1.</w:t>
      </w:r>
      <w:r w:rsidR="00016A23" w:rsidRPr="00C2000E">
        <w:rPr>
          <w:rFonts w:ascii="Verdana" w:hAnsi="Verdana"/>
          <w:bCs/>
          <w:i/>
          <w:iCs/>
          <w:sz w:val="20"/>
          <w:szCs w:val="20"/>
        </w:rPr>
        <w:t>Perit</w:t>
      </w:r>
      <w:r w:rsidR="009B1D13">
        <w:rPr>
          <w:rFonts w:ascii="Verdana" w:hAnsi="Verdana"/>
          <w:bCs/>
          <w:i/>
          <w:iCs/>
          <w:sz w:val="20"/>
          <w:szCs w:val="20"/>
        </w:rPr>
        <w:t>os</w:t>
      </w:r>
      <w:r w:rsidR="00D0587A" w:rsidRPr="00C2000E">
        <w:rPr>
          <w:rFonts w:ascii="Verdana" w:hAnsi="Verdana"/>
          <w:bCs/>
          <w:i/>
          <w:iCs/>
          <w:sz w:val="20"/>
          <w:szCs w:val="20"/>
        </w:rPr>
        <w:t xml:space="preserve"> </w:t>
      </w:r>
      <w:r w:rsidRPr="00C2000E">
        <w:rPr>
          <w:rFonts w:ascii="Verdana" w:hAnsi="Verdana"/>
          <w:bCs/>
          <w:i/>
          <w:iCs/>
          <w:sz w:val="20"/>
          <w:szCs w:val="20"/>
        </w:rPr>
        <w:t>propuest</w:t>
      </w:r>
      <w:r w:rsidR="009B1D13">
        <w:rPr>
          <w:rFonts w:ascii="Verdana" w:hAnsi="Verdana"/>
          <w:bCs/>
          <w:i/>
          <w:iCs/>
          <w:sz w:val="20"/>
          <w:szCs w:val="20"/>
        </w:rPr>
        <w:t>os</w:t>
      </w:r>
      <w:r w:rsidRPr="00C2000E">
        <w:rPr>
          <w:rFonts w:ascii="Verdana" w:hAnsi="Verdana"/>
          <w:bCs/>
          <w:i/>
          <w:iCs/>
          <w:sz w:val="20"/>
          <w:szCs w:val="20"/>
        </w:rPr>
        <w:t xml:space="preserve"> </w:t>
      </w:r>
      <w:r w:rsidR="00D0587A" w:rsidRPr="00C2000E">
        <w:rPr>
          <w:rFonts w:ascii="Verdana" w:hAnsi="Verdana"/>
          <w:bCs/>
          <w:i/>
          <w:iCs/>
          <w:sz w:val="20"/>
          <w:szCs w:val="20"/>
        </w:rPr>
        <w:t>por los representantes</w:t>
      </w:r>
    </w:p>
    <w:p w14:paraId="35D22A2C" w14:textId="736E3730" w:rsidR="00A72969" w:rsidRPr="009B1D13" w:rsidRDefault="00A72969" w:rsidP="00A72969">
      <w:pPr>
        <w:numPr>
          <w:ilvl w:val="0"/>
          <w:numId w:val="6"/>
        </w:numPr>
        <w:autoSpaceDE w:val="0"/>
        <w:autoSpaceDN w:val="0"/>
        <w:adjustRightInd w:val="0"/>
        <w:spacing w:before="120"/>
        <w:ind w:left="1440" w:hanging="448"/>
        <w:jc w:val="both"/>
        <w:rPr>
          <w:rFonts w:ascii="Verdana" w:eastAsiaTheme="minorHAnsi" w:hAnsi="Verdana" w:cs="Tahoma"/>
          <w:i/>
          <w:sz w:val="20"/>
          <w:szCs w:val="20"/>
          <w:lang w:eastAsia="en-US"/>
        </w:rPr>
      </w:pPr>
      <w:r w:rsidRPr="00A72969">
        <w:rPr>
          <w:rFonts w:ascii="Verdana" w:eastAsiaTheme="minorHAnsi" w:hAnsi="Verdana" w:cs="Tahoma"/>
          <w:i/>
          <w:sz w:val="20"/>
          <w:szCs w:val="20"/>
          <w:lang w:eastAsia="en-US"/>
        </w:rPr>
        <w:t xml:space="preserve">Stephanie Erin </w:t>
      </w:r>
      <w:proofErr w:type="spellStart"/>
      <w:r w:rsidRPr="00A72969">
        <w:rPr>
          <w:rFonts w:ascii="Verdana" w:eastAsiaTheme="minorHAnsi" w:hAnsi="Verdana" w:cs="Tahoma"/>
          <w:i/>
          <w:sz w:val="20"/>
          <w:szCs w:val="20"/>
          <w:lang w:eastAsia="en-US"/>
        </w:rPr>
        <w:t>Brewer</w:t>
      </w:r>
      <w:proofErr w:type="spellEnd"/>
      <w:r w:rsidRPr="00A72969">
        <w:rPr>
          <w:rFonts w:ascii="Verdana" w:eastAsiaTheme="minorHAnsi" w:hAnsi="Verdana" w:cs="Tahoma"/>
          <w:i/>
          <w:sz w:val="20"/>
          <w:szCs w:val="20"/>
          <w:lang w:eastAsia="en-US"/>
        </w:rPr>
        <w:t xml:space="preserve">, </w:t>
      </w:r>
      <w:r w:rsidRPr="00A72969">
        <w:rPr>
          <w:rFonts w:ascii="Verdana" w:hAnsi="Verdana"/>
          <w:sz w:val="20"/>
          <w:szCs w:val="20"/>
        </w:rPr>
        <w:t>quien expondrá sobre: a) las alegadas violaciones de derechos humanos que devienen de la práctica de arraigo penal en México, b) el arraigo penal a la luz de los estándares internacionales de derechos humanos, y c) las recomendaciones de mecanismos internacionales sobre la materia.</w:t>
      </w:r>
    </w:p>
    <w:p w14:paraId="7AC2B74A" w14:textId="77777777" w:rsidR="009B1D13" w:rsidRPr="009B1D13" w:rsidRDefault="009B1D13" w:rsidP="009B1D13">
      <w:pPr>
        <w:numPr>
          <w:ilvl w:val="0"/>
          <w:numId w:val="6"/>
        </w:numPr>
        <w:autoSpaceDE w:val="0"/>
        <w:autoSpaceDN w:val="0"/>
        <w:adjustRightInd w:val="0"/>
        <w:spacing w:before="120"/>
        <w:ind w:left="1440" w:hanging="448"/>
        <w:jc w:val="both"/>
        <w:rPr>
          <w:rFonts w:ascii="Verdana" w:eastAsiaTheme="minorHAnsi" w:hAnsi="Verdana" w:cs="Tahoma"/>
          <w:i/>
          <w:sz w:val="20"/>
          <w:szCs w:val="20"/>
          <w:lang w:eastAsia="en-US"/>
        </w:rPr>
      </w:pPr>
      <w:r w:rsidRPr="009B1D13">
        <w:rPr>
          <w:rFonts w:ascii="Verdana" w:eastAsiaTheme="minorHAnsi" w:hAnsi="Verdana" w:cs="Tahoma"/>
          <w:i/>
          <w:sz w:val="20"/>
          <w:szCs w:val="20"/>
          <w:lang w:eastAsia="en-US"/>
        </w:rPr>
        <w:t xml:space="preserve">José Antonio Guevara Bermúdez, </w:t>
      </w:r>
      <w:r w:rsidRPr="009B1D13">
        <w:rPr>
          <w:rFonts w:ascii="Verdana" w:hAnsi="Verdana"/>
          <w:sz w:val="20"/>
          <w:szCs w:val="20"/>
        </w:rPr>
        <w:t xml:space="preserve">quien expondrá sobre: a) la historia normativa de la prisión preventiva en México, incluyendo su estatus constitucional, b) circunstancias en que es obligatorio </w:t>
      </w:r>
      <w:r w:rsidRPr="009B1D13">
        <w:rPr>
          <w:rFonts w:ascii="Verdana" w:eastAsiaTheme="minorHAnsi" w:hAnsi="Verdana" w:cs="Tahoma"/>
          <w:i/>
          <w:sz w:val="20"/>
          <w:szCs w:val="20"/>
          <w:lang w:eastAsia="en-US"/>
        </w:rPr>
        <w:t>para</w:t>
      </w:r>
      <w:r w:rsidRPr="009B1D13">
        <w:rPr>
          <w:rFonts w:ascii="Verdana" w:hAnsi="Verdana"/>
          <w:sz w:val="20"/>
          <w:szCs w:val="20"/>
        </w:rPr>
        <w:t xml:space="preserve"> los jueces penales determinar la prisión preventiva, c) la prisión preventiva a la luz de los estándares internacionales de derechos humanos, y d) las recomendaciones de mecanismos internacionales sobre la materia.</w:t>
      </w:r>
    </w:p>
    <w:p w14:paraId="04605384" w14:textId="1637C6A6" w:rsidR="00A72969" w:rsidRPr="00C2000E" w:rsidRDefault="00A72969" w:rsidP="00C2000E">
      <w:pPr>
        <w:widowControl w:val="0"/>
        <w:tabs>
          <w:tab w:val="left" w:pos="708"/>
        </w:tabs>
        <w:autoSpaceDE w:val="0"/>
        <w:autoSpaceDN w:val="0"/>
        <w:adjustRightInd w:val="0"/>
        <w:spacing w:before="240" w:after="240"/>
        <w:rPr>
          <w:rFonts w:ascii="Verdana" w:hAnsi="Verdana"/>
          <w:bCs/>
          <w:i/>
          <w:iCs/>
          <w:sz w:val="20"/>
          <w:szCs w:val="20"/>
        </w:rPr>
      </w:pPr>
      <w:r w:rsidRPr="00C2000E">
        <w:rPr>
          <w:rFonts w:ascii="Verdana" w:hAnsi="Verdana"/>
          <w:bCs/>
          <w:i/>
          <w:iCs/>
          <w:sz w:val="20"/>
          <w:szCs w:val="20"/>
        </w:rPr>
        <w:tab/>
        <w:t>B.2.Perit</w:t>
      </w:r>
      <w:r w:rsidR="00D13E51">
        <w:rPr>
          <w:rFonts w:ascii="Verdana" w:hAnsi="Verdana"/>
          <w:bCs/>
          <w:i/>
          <w:iCs/>
          <w:sz w:val="20"/>
          <w:szCs w:val="20"/>
        </w:rPr>
        <w:t>os</w:t>
      </w:r>
      <w:r w:rsidRPr="00C2000E">
        <w:rPr>
          <w:rFonts w:ascii="Verdana" w:hAnsi="Verdana"/>
          <w:bCs/>
          <w:i/>
          <w:iCs/>
          <w:sz w:val="20"/>
          <w:szCs w:val="20"/>
        </w:rPr>
        <w:t xml:space="preserve"> propuest</w:t>
      </w:r>
      <w:r w:rsidR="00D13E51">
        <w:rPr>
          <w:rFonts w:ascii="Verdana" w:hAnsi="Verdana"/>
          <w:bCs/>
          <w:i/>
          <w:iCs/>
          <w:sz w:val="20"/>
          <w:szCs w:val="20"/>
        </w:rPr>
        <w:t>os</w:t>
      </w:r>
      <w:r w:rsidRPr="00C2000E">
        <w:rPr>
          <w:rFonts w:ascii="Verdana" w:hAnsi="Verdana"/>
          <w:bCs/>
          <w:i/>
          <w:iCs/>
          <w:sz w:val="20"/>
          <w:szCs w:val="20"/>
        </w:rPr>
        <w:t xml:space="preserve"> por el Estado</w:t>
      </w:r>
    </w:p>
    <w:p w14:paraId="1C402DC7" w14:textId="68A51E11" w:rsidR="00A72969" w:rsidRDefault="00A72969" w:rsidP="00C2000E">
      <w:pPr>
        <w:numPr>
          <w:ilvl w:val="0"/>
          <w:numId w:val="6"/>
        </w:numPr>
        <w:autoSpaceDE w:val="0"/>
        <w:autoSpaceDN w:val="0"/>
        <w:adjustRightInd w:val="0"/>
        <w:spacing w:before="120"/>
        <w:ind w:left="1440" w:hanging="448"/>
        <w:jc w:val="both"/>
        <w:rPr>
          <w:rFonts w:ascii="Verdana" w:hAnsi="Verdana"/>
          <w:sz w:val="20"/>
          <w:szCs w:val="20"/>
        </w:rPr>
      </w:pPr>
      <w:r w:rsidRPr="00C2000E">
        <w:rPr>
          <w:rFonts w:ascii="Verdana" w:hAnsi="Verdana"/>
          <w:i/>
          <w:iCs/>
          <w:sz w:val="20"/>
          <w:szCs w:val="20"/>
        </w:rPr>
        <w:t>Erika Bardales Lazcano</w:t>
      </w:r>
      <w:r w:rsidRPr="00C2000E">
        <w:rPr>
          <w:rFonts w:ascii="Verdana" w:hAnsi="Verdana"/>
          <w:sz w:val="20"/>
          <w:szCs w:val="20"/>
        </w:rPr>
        <w:t>, quien hará una explicación y contextualización sobre la historia normativa de la figura de la prisión preventiva, haciendo especial énfasis en su modalidad de oficio, incluyendo sus mecanismos de control y restricciones, así como los procesos nacionales de revisión de la figura.</w:t>
      </w:r>
    </w:p>
    <w:p w14:paraId="2F45BC94" w14:textId="77777777" w:rsidR="00D13E51" w:rsidRPr="00D13E51" w:rsidRDefault="00D13E51" w:rsidP="00D13E51">
      <w:pPr>
        <w:numPr>
          <w:ilvl w:val="0"/>
          <w:numId w:val="6"/>
        </w:numPr>
        <w:autoSpaceDE w:val="0"/>
        <w:autoSpaceDN w:val="0"/>
        <w:adjustRightInd w:val="0"/>
        <w:spacing w:before="120"/>
        <w:ind w:left="1440" w:hanging="448"/>
        <w:jc w:val="both"/>
        <w:rPr>
          <w:rFonts w:ascii="Verdana" w:eastAsiaTheme="minorHAnsi" w:hAnsi="Verdana" w:cs="Tahoma"/>
          <w:i/>
          <w:sz w:val="20"/>
          <w:szCs w:val="20"/>
          <w:lang w:eastAsia="en-US"/>
        </w:rPr>
      </w:pPr>
      <w:r w:rsidRPr="00D13E51">
        <w:rPr>
          <w:rFonts w:ascii="Verdana" w:eastAsiaTheme="minorHAnsi" w:hAnsi="Verdana" w:cs="Tahoma"/>
          <w:i/>
          <w:sz w:val="20"/>
          <w:szCs w:val="20"/>
          <w:lang w:eastAsia="en-US"/>
        </w:rPr>
        <w:t>Jorge Ulises Carmona Tinoco</w:t>
      </w:r>
      <w:r w:rsidRPr="00D13E51">
        <w:rPr>
          <w:rFonts w:ascii="Verdana" w:eastAsiaTheme="minorHAnsi" w:hAnsi="Verdana" w:cs="Tahoma"/>
          <w:iCs/>
          <w:sz w:val="20"/>
          <w:szCs w:val="20"/>
          <w:lang w:eastAsia="en-US"/>
        </w:rPr>
        <w:t xml:space="preserve">, </w:t>
      </w:r>
      <w:r w:rsidRPr="00D13E51">
        <w:rPr>
          <w:rFonts w:ascii="Verdana" w:hAnsi="Verdana"/>
          <w:sz w:val="20"/>
          <w:szCs w:val="20"/>
        </w:rPr>
        <w:t>quien hará un análisis sobre la legislación de distintos Estados en la región para identificar figuras que limitan la libertad personal en el marco de investigaciones y procedimientos penales.</w:t>
      </w:r>
    </w:p>
    <w:p w14:paraId="15C7972E" w14:textId="0EE360D1" w:rsidR="00E87F69" w:rsidRPr="00EB55E9" w:rsidRDefault="00E87F69" w:rsidP="00C2000E">
      <w:pPr>
        <w:pStyle w:val="Prrafodelista"/>
        <w:numPr>
          <w:ilvl w:val="3"/>
          <w:numId w:val="12"/>
        </w:numPr>
        <w:spacing w:before="120"/>
        <w:ind w:left="0" w:firstLine="0"/>
        <w:contextualSpacing w:val="0"/>
        <w:rPr>
          <w:szCs w:val="20"/>
        </w:rPr>
      </w:pPr>
      <w:bookmarkStart w:id="8" w:name="_Ref393464381"/>
      <w:r w:rsidRPr="00A72969">
        <w:rPr>
          <w:szCs w:val="20"/>
        </w:rPr>
        <w:t>Requerir a</w:t>
      </w:r>
      <w:r w:rsidR="00081DC3" w:rsidRPr="00A72969">
        <w:rPr>
          <w:szCs w:val="20"/>
        </w:rPr>
        <w:t xml:space="preserve"> </w:t>
      </w:r>
      <w:r w:rsidR="001C4FC7" w:rsidRPr="00A72969">
        <w:rPr>
          <w:szCs w:val="20"/>
        </w:rPr>
        <w:t>los representantes</w:t>
      </w:r>
      <w:r w:rsidR="00081DC3" w:rsidRPr="00A72969">
        <w:rPr>
          <w:szCs w:val="20"/>
        </w:rPr>
        <w:t xml:space="preserve"> y al</w:t>
      </w:r>
      <w:r w:rsidRPr="00A72969">
        <w:rPr>
          <w:szCs w:val="20"/>
        </w:rPr>
        <w:t xml:space="preserve"> Estado que remita</w:t>
      </w:r>
      <w:r w:rsidR="00081DC3" w:rsidRPr="00A72969">
        <w:rPr>
          <w:szCs w:val="20"/>
        </w:rPr>
        <w:t>n</w:t>
      </w:r>
      <w:r w:rsidRPr="00A72969">
        <w:rPr>
          <w:szCs w:val="20"/>
        </w:rPr>
        <w:t>, de considerarlo pertinente, en lo que le</w:t>
      </w:r>
      <w:r w:rsidR="00081DC3" w:rsidRPr="00A72969">
        <w:rPr>
          <w:szCs w:val="20"/>
        </w:rPr>
        <w:t>s</w:t>
      </w:r>
      <w:r w:rsidRPr="00A72969">
        <w:rPr>
          <w:szCs w:val="20"/>
        </w:rPr>
        <w:t xml:space="preserve"> corresponda y en el plazo improrrogable </w:t>
      </w:r>
      <w:r w:rsidRPr="00041A63">
        <w:rPr>
          <w:szCs w:val="20"/>
        </w:rPr>
        <w:t xml:space="preserve">que vence el </w:t>
      </w:r>
      <w:r w:rsidR="0026261A">
        <w:rPr>
          <w:szCs w:val="20"/>
        </w:rPr>
        <w:t>1</w:t>
      </w:r>
      <w:r w:rsidRPr="00041A63">
        <w:rPr>
          <w:szCs w:val="20"/>
        </w:rPr>
        <w:t xml:space="preserve"> de </w:t>
      </w:r>
      <w:r w:rsidR="0026261A">
        <w:rPr>
          <w:szCs w:val="20"/>
        </w:rPr>
        <w:t>junio</w:t>
      </w:r>
      <w:r w:rsidRPr="00041A63">
        <w:rPr>
          <w:szCs w:val="20"/>
        </w:rPr>
        <w:t xml:space="preserve"> de </w:t>
      </w:r>
      <w:r w:rsidR="00E1603F" w:rsidRPr="00041A63">
        <w:rPr>
          <w:szCs w:val="20"/>
        </w:rPr>
        <w:t>2022</w:t>
      </w:r>
      <w:r w:rsidRPr="00041A63">
        <w:rPr>
          <w:szCs w:val="20"/>
        </w:rPr>
        <w:t xml:space="preserve">, las preguntas </w:t>
      </w:r>
      <w:r w:rsidRPr="00041A63">
        <w:rPr>
          <w:rFonts w:eastAsiaTheme="minorHAnsi" w:cs="Verdana"/>
          <w:color w:val="000000"/>
          <w:szCs w:val="20"/>
          <w:lang w:eastAsia="en-US"/>
        </w:rPr>
        <w:t>que</w:t>
      </w:r>
      <w:r w:rsidRPr="00041A63">
        <w:rPr>
          <w:szCs w:val="20"/>
        </w:rPr>
        <w:t xml:space="preserve"> estime</w:t>
      </w:r>
      <w:r w:rsidR="00081DC3" w:rsidRPr="00041A63">
        <w:rPr>
          <w:szCs w:val="20"/>
        </w:rPr>
        <w:t>n</w:t>
      </w:r>
      <w:r w:rsidRPr="00041A63">
        <w:rPr>
          <w:szCs w:val="20"/>
        </w:rPr>
        <w:t xml:space="preserve"> pertinentes formular a través de la Corte Interamericana a</w:t>
      </w:r>
      <w:r w:rsidR="00081DC3" w:rsidRPr="00041A63">
        <w:rPr>
          <w:szCs w:val="20"/>
        </w:rPr>
        <w:t xml:space="preserve"> </w:t>
      </w:r>
      <w:r w:rsidR="00A253D8" w:rsidRPr="00041A63">
        <w:rPr>
          <w:szCs w:val="20"/>
        </w:rPr>
        <w:t>las</w:t>
      </w:r>
      <w:r w:rsidRPr="00041A63">
        <w:rPr>
          <w:szCs w:val="20"/>
        </w:rPr>
        <w:t xml:space="preserve"> </w:t>
      </w:r>
      <w:r w:rsidR="00A253D8" w:rsidRPr="00041A63">
        <w:rPr>
          <w:szCs w:val="20"/>
        </w:rPr>
        <w:t>personas</w:t>
      </w:r>
      <w:r w:rsidRPr="00041A63">
        <w:rPr>
          <w:szCs w:val="20"/>
        </w:rPr>
        <w:t xml:space="preserve"> indicad</w:t>
      </w:r>
      <w:r w:rsidR="00A253D8" w:rsidRPr="00041A63">
        <w:rPr>
          <w:szCs w:val="20"/>
        </w:rPr>
        <w:t>a</w:t>
      </w:r>
      <w:r w:rsidRPr="00041A63">
        <w:rPr>
          <w:szCs w:val="20"/>
        </w:rPr>
        <w:t xml:space="preserve">s en el punto resolutivo </w:t>
      </w:r>
      <w:r w:rsidR="00394343" w:rsidRPr="00041A63">
        <w:rPr>
          <w:szCs w:val="20"/>
        </w:rPr>
        <w:t>3</w:t>
      </w:r>
      <w:r w:rsidRPr="00041A63">
        <w:rPr>
          <w:szCs w:val="20"/>
        </w:rPr>
        <w:t xml:space="preserve"> de la presente Resolución. Las declaraciones</w:t>
      </w:r>
      <w:r w:rsidRPr="00C2000E">
        <w:rPr>
          <w:szCs w:val="20"/>
        </w:rPr>
        <w:t xml:space="preserve"> requeridas deberán ser presentad</w:t>
      </w:r>
      <w:r w:rsidR="004E06AA" w:rsidRPr="00C2000E">
        <w:rPr>
          <w:szCs w:val="20"/>
        </w:rPr>
        <w:t>a</w:t>
      </w:r>
      <w:r w:rsidRPr="00C2000E">
        <w:rPr>
          <w:szCs w:val="20"/>
        </w:rPr>
        <w:t xml:space="preserve">s al Tribunal a más tardar el </w:t>
      </w:r>
      <w:bookmarkEnd w:id="8"/>
      <w:r w:rsidR="002E77AC" w:rsidRPr="00C2000E">
        <w:rPr>
          <w:szCs w:val="20"/>
        </w:rPr>
        <w:t>16</w:t>
      </w:r>
      <w:r w:rsidRPr="00C2000E">
        <w:rPr>
          <w:szCs w:val="20"/>
        </w:rPr>
        <w:t xml:space="preserve"> de </w:t>
      </w:r>
      <w:r w:rsidR="002E77AC" w:rsidRPr="00C2000E">
        <w:rPr>
          <w:szCs w:val="20"/>
        </w:rPr>
        <w:t>junio</w:t>
      </w:r>
      <w:r w:rsidRPr="00C2000E">
        <w:rPr>
          <w:szCs w:val="20"/>
        </w:rPr>
        <w:t xml:space="preserve"> </w:t>
      </w:r>
      <w:r w:rsidR="004E06AA" w:rsidRPr="00C2000E">
        <w:rPr>
          <w:szCs w:val="20"/>
        </w:rPr>
        <w:t xml:space="preserve">de </w:t>
      </w:r>
      <w:r w:rsidR="00E1603F" w:rsidRPr="00C2000E">
        <w:rPr>
          <w:szCs w:val="20"/>
        </w:rPr>
        <w:t>2022</w:t>
      </w:r>
      <w:r w:rsidRPr="00C2000E">
        <w:rPr>
          <w:szCs w:val="20"/>
        </w:rPr>
        <w:t>.</w:t>
      </w:r>
    </w:p>
    <w:p w14:paraId="24FF6EB1" w14:textId="2A73CBE5" w:rsidR="00E87F69" w:rsidRPr="00EB55E9" w:rsidRDefault="00E87F69" w:rsidP="00C2000E">
      <w:pPr>
        <w:pStyle w:val="Prrafodelista"/>
        <w:numPr>
          <w:ilvl w:val="3"/>
          <w:numId w:val="12"/>
        </w:numPr>
        <w:spacing w:before="120"/>
        <w:ind w:left="0" w:firstLine="0"/>
        <w:contextualSpacing w:val="0"/>
        <w:rPr>
          <w:szCs w:val="20"/>
        </w:rPr>
      </w:pPr>
      <w:r w:rsidRPr="00EB55E9">
        <w:rPr>
          <w:szCs w:val="20"/>
        </w:rPr>
        <w:t xml:space="preserve">Requerir a </w:t>
      </w:r>
      <w:r w:rsidRPr="00EB55E9">
        <w:rPr>
          <w:color w:val="000000"/>
          <w:szCs w:val="20"/>
        </w:rPr>
        <w:t>los representantes</w:t>
      </w:r>
      <w:r w:rsidR="003B5C5D" w:rsidRPr="00EB55E9">
        <w:rPr>
          <w:color w:val="000000"/>
          <w:szCs w:val="20"/>
        </w:rPr>
        <w:t xml:space="preserve">, </w:t>
      </w:r>
      <w:r w:rsidR="001C4FC7" w:rsidRPr="00EB55E9">
        <w:rPr>
          <w:color w:val="000000"/>
          <w:szCs w:val="20"/>
        </w:rPr>
        <w:t xml:space="preserve">y al Estado </w:t>
      </w:r>
      <w:r w:rsidRPr="00EB55E9">
        <w:rPr>
          <w:color w:val="000000"/>
          <w:szCs w:val="20"/>
        </w:rPr>
        <w:t>q</w:t>
      </w:r>
      <w:r w:rsidRPr="00EB55E9">
        <w:rPr>
          <w:szCs w:val="20"/>
        </w:rPr>
        <w:t xml:space="preserve">ue coordinen y realicen las diligencias necesarias para que, una vez recibidas las preguntas, si las hubiere, los declarantes propuestos incluyan las respuestas en sus respectivas declaraciones ante fedatario público, de conformidad con el punto resolutivo </w:t>
      </w:r>
      <w:r w:rsidR="00BB5CC9" w:rsidRPr="00EB55E9">
        <w:rPr>
          <w:szCs w:val="20"/>
        </w:rPr>
        <w:t>4</w:t>
      </w:r>
      <w:r w:rsidRPr="00EB55E9">
        <w:rPr>
          <w:szCs w:val="20"/>
        </w:rPr>
        <w:t xml:space="preserve"> de la presente Resolución. </w:t>
      </w:r>
    </w:p>
    <w:p w14:paraId="764651DE" w14:textId="21F1CE7F" w:rsidR="00E87F69" w:rsidRPr="00EB55E9" w:rsidRDefault="00E87F69" w:rsidP="00C2000E">
      <w:pPr>
        <w:pStyle w:val="Prrafodelista"/>
        <w:numPr>
          <w:ilvl w:val="3"/>
          <w:numId w:val="12"/>
        </w:numPr>
        <w:spacing w:before="120"/>
        <w:ind w:left="0" w:firstLine="0"/>
        <w:contextualSpacing w:val="0"/>
        <w:rPr>
          <w:szCs w:val="20"/>
        </w:rPr>
      </w:pPr>
      <w:r w:rsidRPr="00EB55E9">
        <w:rPr>
          <w:szCs w:val="20"/>
        </w:rPr>
        <w:t xml:space="preserve">Disponer que, una vez recibidos las declaraciones requeridas en el punto resolutivo </w:t>
      </w:r>
      <w:r w:rsidR="004E06AA" w:rsidRPr="00EB55E9">
        <w:rPr>
          <w:szCs w:val="20"/>
        </w:rPr>
        <w:t>3</w:t>
      </w:r>
      <w:r w:rsidRPr="00EB55E9">
        <w:rPr>
          <w:szCs w:val="20"/>
        </w:rPr>
        <w:t xml:space="preserve">, la Secretaría de la Corte Interamericana los transmita al Estado, </w:t>
      </w:r>
      <w:r w:rsidR="001C4FC7" w:rsidRPr="00EB55E9">
        <w:rPr>
          <w:szCs w:val="20"/>
        </w:rPr>
        <w:t xml:space="preserve">a los representantes </w:t>
      </w:r>
      <w:r w:rsidRPr="00EB55E9">
        <w:rPr>
          <w:szCs w:val="20"/>
        </w:rPr>
        <w:t>y a la Comisión para que, si lo estiman necesario y en lo que les corresponda, presenten sus observaciones a las mismas, a más tardar</w:t>
      </w:r>
      <w:r w:rsidR="002013D4" w:rsidRPr="00EB55E9">
        <w:rPr>
          <w:szCs w:val="20"/>
        </w:rPr>
        <w:t xml:space="preserve"> </w:t>
      </w:r>
      <w:r w:rsidRPr="00EB55E9">
        <w:rPr>
          <w:szCs w:val="20"/>
        </w:rPr>
        <w:t>con sus alegatos u observaciones finales escritas, respectivamente.</w:t>
      </w:r>
    </w:p>
    <w:p w14:paraId="02BF9C20" w14:textId="28CCC5C5" w:rsidR="00E87F69" w:rsidRPr="00EB55E9" w:rsidRDefault="00E87F69" w:rsidP="00C2000E">
      <w:pPr>
        <w:pStyle w:val="Prrafodelista"/>
        <w:numPr>
          <w:ilvl w:val="3"/>
          <w:numId w:val="12"/>
        </w:numPr>
        <w:spacing w:before="120"/>
        <w:ind w:left="0" w:firstLine="0"/>
        <w:contextualSpacing w:val="0"/>
        <w:rPr>
          <w:color w:val="000000"/>
          <w:szCs w:val="20"/>
        </w:rPr>
      </w:pPr>
      <w:r w:rsidRPr="00EB55E9">
        <w:rPr>
          <w:szCs w:val="20"/>
        </w:rPr>
        <w:t>Requerir</w:t>
      </w:r>
      <w:r w:rsidRPr="00EB55E9">
        <w:rPr>
          <w:color w:val="000000"/>
          <w:szCs w:val="20"/>
        </w:rPr>
        <w:t xml:space="preserve"> a la Comisión, </w:t>
      </w:r>
      <w:r w:rsidR="00953E0E" w:rsidRPr="00EB55E9">
        <w:rPr>
          <w:color w:val="000000"/>
          <w:szCs w:val="20"/>
        </w:rPr>
        <w:t xml:space="preserve">el Estado </w:t>
      </w:r>
      <w:r w:rsidRPr="00EB55E9">
        <w:rPr>
          <w:color w:val="000000"/>
          <w:szCs w:val="20"/>
        </w:rPr>
        <w:t>y a los representantes que notifiquen la presente Resolución a las personas por ellos propuestas, que han sido convocadas a rendir declaración, de conformidad con lo dispuesto en los artículos 50.2 y 50.4 del Reglamento.</w:t>
      </w:r>
    </w:p>
    <w:p w14:paraId="12A86E68" w14:textId="4652EC66" w:rsidR="0038340E" w:rsidRPr="00EB55E9" w:rsidRDefault="00E87F69" w:rsidP="00C2000E">
      <w:pPr>
        <w:pStyle w:val="Prrafodelista"/>
        <w:numPr>
          <w:ilvl w:val="3"/>
          <w:numId w:val="12"/>
        </w:numPr>
        <w:spacing w:before="120"/>
        <w:ind w:left="0" w:firstLine="0"/>
        <w:contextualSpacing w:val="0"/>
        <w:rPr>
          <w:color w:val="000000"/>
          <w:szCs w:val="20"/>
        </w:rPr>
      </w:pPr>
      <w:r w:rsidRPr="00EB55E9">
        <w:rPr>
          <w:color w:val="000000"/>
          <w:szCs w:val="20"/>
        </w:rPr>
        <w:t>Informar a la Comisión</w:t>
      </w:r>
      <w:r w:rsidR="00953E0E" w:rsidRPr="00EB55E9">
        <w:rPr>
          <w:color w:val="000000"/>
          <w:szCs w:val="20"/>
        </w:rPr>
        <w:t>, el Estado</w:t>
      </w:r>
      <w:r w:rsidRPr="00EB55E9">
        <w:rPr>
          <w:color w:val="000000"/>
          <w:szCs w:val="20"/>
        </w:rPr>
        <w:t xml:space="preserve"> y a los representantes que deben cubrir los gastos que </w:t>
      </w:r>
      <w:r w:rsidRPr="00EB55E9">
        <w:rPr>
          <w:szCs w:val="20"/>
        </w:rPr>
        <w:t>ocasione</w:t>
      </w:r>
      <w:r w:rsidRPr="00EB55E9">
        <w:rPr>
          <w:color w:val="000000"/>
          <w:szCs w:val="20"/>
        </w:rPr>
        <w:t xml:space="preserve"> la aportación o rendición de la prueba propuesta por ellos</w:t>
      </w:r>
      <w:r w:rsidR="00820B3D">
        <w:rPr>
          <w:color w:val="000000"/>
          <w:szCs w:val="20"/>
        </w:rPr>
        <w:t xml:space="preserve">, </w:t>
      </w:r>
      <w:r w:rsidRPr="00EB55E9">
        <w:rPr>
          <w:color w:val="000000"/>
          <w:szCs w:val="20"/>
        </w:rPr>
        <w:t>de conformidad con lo dispuesto en el artículo 60 del Reglamento</w:t>
      </w:r>
      <w:r w:rsidR="00820B3D">
        <w:rPr>
          <w:szCs w:val="20"/>
        </w:rPr>
        <w:t xml:space="preserve">, </w:t>
      </w:r>
      <w:r w:rsidR="00820B3D">
        <w:rPr>
          <w:color w:val="000000"/>
          <w:szCs w:val="20"/>
        </w:rPr>
        <w:t xml:space="preserve">sin perjuicio de lo señalado en los Considerandos </w:t>
      </w:r>
      <w:r w:rsidR="005F55AC">
        <w:rPr>
          <w:color w:val="000000"/>
          <w:szCs w:val="20"/>
        </w:rPr>
        <w:t>10</w:t>
      </w:r>
      <w:r w:rsidR="00820B3D">
        <w:rPr>
          <w:color w:val="000000"/>
          <w:szCs w:val="20"/>
        </w:rPr>
        <w:t xml:space="preserve"> a 1</w:t>
      </w:r>
      <w:r w:rsidR="005F55AC">
        <w:rPr>
          <w:color w:val="000000"/>
          <w:szCs w:val="20"/>
        </w:rPr>
        <w:t>3</w:t>
      </w:r>
      <w:r w:rsidR="00820B3D">
        <w:rPr>
          <w:color w:val="000000"/>
          <w:szCs w:val="20"/>
        </w:rPr>
        <w:t xml:space="preserve"> de la presente Resolución sobre el </w:t>
      </w:r>
      <w:r w:rsidR="00820B3D" w:rsidRPr="00820B3D">
        <w:rPr>
          <w:color w:val="000000"/>
          <w:szCs w:val="20"/>
        </w:rPr>
        <w:t>Fondo de Asistencia Legal de Víctimas</w:t>
      </w:r>
      <w:r w:rsidR="004B6AC9">
        <w:rPr>
          <w:color w:val="000000"/>
          <w:szCs w:val="20"/>
        </w:rPr>
        <w:t>.</w:t>
      </w:r>
    </w:p>
    <w:p w14:paraId="1B4CC537" w14:textId="3E36B435" w:rsidR="0038340E" w:rsidRPr="00C2000E" w:rsidRDefault="0038340E" w:rsidP="00C2000E">
      <w:pPr>
        <w:pStyle w:val="Prrafodelista"/>
        <w:numPr>
          <w:ilvl w:val="3"/>
          <w:numId w:val="12"/>
        </w:numPr>
        <w:spacing w:before="120"/>
        <w:ind w:left="0" w:firstLine="0"/>
        <w:contextualSpacing w:val="0"/>
      </w:pPr>
      <w:r w:rsidRPr="00C2000E">
        <w:t xml:space="preserve">Solicitar a la </w:t>
      </w:r>
      <w:r w:rsidRPr="00C2000E">
        <w:rPr>
          <w:szCs w:val="20"/>
        </w:rPr>
        <w:t>Comisión</w:t>
      </w:r>
      <w:r w:rsidRPr="00C2000E">
        <w:t xml:space="preserve">, al Estado y a los representantes </w:t>
      </w:r>
      <w:r w:rsidR="00915263" w:rsidRPr="00041A63">
        <w:t>que,</w:t>
      </w:r>
      <w:r w:rsidRPr="00041A63">
        <w:t xml:space="preserve"> a más tardar el </w:t>
      </w:r>
      <w:r w:rsidR="0026261A">
        <w:t>8</w:t>
      </w:r>
      <w:r w:rsidR="00146B22" w:rsidRPr="00041A63">
        <w:t xml:space="preserve"> de </w:t>
      </w:r>
      <w:r w:rsidR="0026261A">
        <w:t>junio</w:t>
      </w:r>
      <w:r w:rsidRPr="00041A63">
        <w:t xml:space="preserve"> de </w:t>
      </w:r>
      <w:r w:rsidR="00953E0E" w:rsidRPr="00041A63">
        <w:t>2022</w:t>
      </w:r>
      <w:r w:rsidRPr="00041A63">
        <w:t>, acrediten ante la Secretaría los nombres de las personas que estarán presentes durante la audiencia</w:t>
      </w:r>
      <w:r w:rsidR="00F96433" w:rsidRPr="00041A63">
        <w:t>. Al respecto, en la misma comunicación, deberán indicar los correos electrónicos y teléfonos de contacto de las personas</w:t>
      </w:r>
      <w:r w:rsidR="00F96433" w:rsidRPr="00C2000E">
        <w:t xml:space="preserve"> que integran la delegación y de las </w:t>
      </w:r>
      <w:r w:rsidR="00F96433" w:rsidRPr="00C2000E">
        <w:lastRenderedPageBreak/>
        <w:t>personas convocadas a declarar. Posteriormente se comunicarán los aspectos técnicos y logísticos</w:t>
      </w:r>
      <w:r w:rsidR="00E25BAB" w:rsidRPr="00C2000E">
        <w:t>.</w:t>
      </w:r>
    </w:p>
    <w:p w14:paraId="0C8A0E9F" w14:textId="5B5BD56B" w:rsidR="00E87F69" w:rsidRPr="00EB55E9" w:rsidRDefault="00E87F69" w:rsidP="00C2000E">
      <w:pPr>
        <w:pStyle w:val="Prrafodelista"/>
        <w:numPr>
          <w:ilvl w:val="3"/>
          <w:numId w:val="12"/>
        </w:numPr>
        <w:spacing w:before="120"/>
        <w:ind w:left="0" w:firstLine="0"/>
        <w:contextualSpacing w:val="0"/>
        <w:rPr>
          <w:color w:val="000000"/>
          <w:szCs w:val="20"/>
        </w:rPr>
      </w:pPr>
      <w:r w:rsidRPr="00EB55E9">
        <w:rPr>
          <w:szCs w:val="20"/>
        </w:rPr>
        <w:t>Requerir</w:t>
      </w:r>
      <w:r w:rsidRPr="00EB55E9">
        <w:rPr>
          <w:color w:val="000000"/>
          <w:szCs w:val="20"/>
        </w:rPr>
        <w:t xml:space="preserve"> a la Comisión, </w:t>
      </w:r>
      <w:r w:rsidR="00E33986" w:rsidRPr="00EB55E9">
        <w:rPr>
          <w:color w:val="000000"/>
          <w:szCs w:val="20"/>
        </w:rPr>
        <w:t xml:space="preserve">al Estado </w:t>
      </w:r>
      <w:r w:rsidRPr="00EB55E9">
        <w:rPr>
          <w:color w:val="000000"/>
          <w:szCs w:val="20"/>
        </w:rPr>
        <w:t xml:space="preserve">y a los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14:paraId="1C2DAB2F" w14:textId="7DC555D7" w:rsidR="00E87F69" w:rsidRPr="00EB55E9" w:rsidRDefault="00E87F69" w:rsidP="00C2000E">
      <w:pPr>
        <w:pStyle w:val="Prrafodelista"/>
        <w:numPr>
          <w:ilvl w:val="3"/>
          <w:numId w:val="12"/>
        </w:numPr>
        <w:spacing w:before="120"/>
        <w:ind w:left="0" w:firstLine="0"/>
        <w:contextualSpacing w:val="0"/>
        <w:rPr>
          <w:color w:val="000000"/>
          <w:szCs w:val="20"/>
        </w:rPr>
      </w:pPr>
      <w:r w:rsidRPr="00EB55E9">
        <w:rPr>
          <w:szCs w:val="20"/>
        </w:rPr>
        <w:t>Informar</w:t>
      </w:r>
      <w:r w:rsidRPr="00EB55E9">
        <w:rPr>
          <w:color w:val="000000"/>
          <w:szCs w:val="20"/>
        </w:rPr>
        <w:t xml:space="preserve"> a los representantes, al Estado y a la Comisión que, al término de las declaraciones rendidas en la audiencia pública, podrán presentar ante el Tribunal </w:t>
      </w:r>
      <w:r w:rsidR="002013D4" w:rsidRPr="00EB55E9">
        <w:rPr>
          <w:color w:val="000000"/>
          <w:szCs w:val="20"/>
        </w:rPr>
        <w:t>sus alegatos finales orales y observaciones finales orales, respectivamente, en relación con</w:t>
      </w:r>
      <w:r w:rsidR="00E33986" w:rsidRPr="00EB55E9">
        <w:rPr>
          <w:color w:val="000000"/>
          <w:szCs w:val="20"/>
        </w:rPr>
        <w:t xml:space="preserve"> la</w:t>
      </w:r>
      <w:r w:rsidR="002E77AC">
        <w:rPr>
          <w:color w:val="000000"/>
          <w:szCs w:val="20"/>
        </w:rPr>
        <w:t>s</w:t>
      </w:r>
      <w:r w:rsidR="00E33986" w:rsidRPr="00EB55E9">
        <w:rPr>
          <w:color w:val="000000"/>
          <w:szCs w:val="20"/>
        </w:rPr>
        <w:t xml:space="preserve"> excepci</w:t>
      </w:r>
      <w:r w:rsidR="002E77AC">
        <w:rPr>
          <w:color w:val="000000"/>
          <w:szCs w:val="20"/>
        </w:rPr>
        <w:t>ones</w:t>
      </w:r>
      <w:r w:rsidR="00E33986" w:rsidRPr="00EB55E9">
        <w:rPr>
          <w:color w:val="000000"/>
          <w:szCs w:val="20"/>
        </w:rPr>
        <w:t xml:space="preserve"> preliminar</w:t>
      </w:r>
      <w:r w:rsidR="002E77AC">
        <w:rPr>
          <w:color w:val="000000"/>
          <w:szCs w:val="20"/>
        </w:rPr>
        <w:t>es</w:t>
      </w:r>
      <w:r w:rsidR="00952C62" w:rsidRPr="00EB55E9">
        <w:rPr>
          <w:color w:val="000000"/>
          <w:szCs w:val="20"/>
        </w:rPr>
        <w:t xml:space="preserve"> y los</w:t>
      </w:r>
      <w:r w:rsidR="002013D4" w:rsidRPr="00EB55E9">
        <w:rPr>
          <w:color w:val="000000"/>
          <w:szCs w:val="20"/>
        </w:rPr>
        <w:t xml:space="preserve"> </w:t>
      </w:r>
      <w:r w:rsidR="00952C62" w:rsidRPr="00EB55E9">
        <w:rPr>
          <w:color w:val="000000"/>
          <w:szCs w:val="20"/>
        </w:rPr>
        <w:t>eventuales</w:t>
      </w:r>
      <w:r w:rsidR="00CB6D66" w:rsidRPr="00EB55E9">
        <w:rPr>
          <w:color w:val="000000"/>
          <w:szCs w:val="20"/>
        </w:rPr>
        <w:t xml:space="preserve"> </w:t>
      </w:r>
      <w:r w:rsidR="002013D4" w:rsidRPr="00EB55E9">
        <w:rPr>
          <w:color w:val="000000"/>
          <w:szCs w:val="20"/>
        </w:rPr>
        <w:t>fondo, reparaciones y costas en el presente caso</w:t>
      </w:r>
      <w:r w:rsidRPr="00EB55E9">
        <w:rPr>
          <w:color w:val="000000"/>
          <w:szCs w:val="20"/>
        </w:rPr>
        <w:t xml:space="preserve">. </w:t>
      </w:r>
    </w:p>
    <w:p w14:paraId="1F0CEF89" w14:textId="7142F07D" w:rsidR="00E87F69" w:rsidRPr="00EB55E9" w:rsidRDefault="00E87F69" w:rsidP="00C2000E">
      <w:pPr>
        <w:pStyle w:val="Prrafodelista"/>
        <w:numPr>
          <w:ilvl w:val="3"/>
          <w:numId w:val="12"/>
        </w:numPr>
        <w:spacing w:before="120"/>
        <w:ind w:left="0" w:firstLine="0"/>
        <w:contextualSpacing w:val="0"/>
        <w:rPr>
          <w:color w:val="000000"/>
          <w:szCs w:val="20"/>
        </w:rPr>
      </w:pPr>
      <w:r w:rsidRPr="00EB55E9">
        <w:rPr>
          <w:color w:val="000000"/>
          <w:szCs w:val="20"/>
        </w:rPr>
        <w:t xml:space="preserve">Disponer que la Secretaría de la Corte, de conformidad con lo dispuesto en el artículo 55.3 del Reglamento, indique a la Comisión, a los representantes y al Estado el enlace donde se </w:t>
      </w:r>
      <w:r w:rsidRPr="00EB55E9">
        <w:rPr>
          <w:szCs w:val="20"/>
        </w:rPr>
        <w:t>encontrará</w:t>
      </w:r>
      <w:r w:rsidRPr="00EB55E9">
        <w:rPr>
          <w:color w:val="000000"/>
          <w:szCs w:val="20"/>
        </w:rPr>
        <w:t xml:space="preserve"> disponible la grabación de la audiencia pública sobre </w:t>
      </w:r>
      <w:r w:rsidR="00E33986" w:rsidRPr="00EB55E9">
        <w:rPr>
          <w:color w:val="000000"/>
          <w:szCs w:val="20"/>
        </w:rPr>
        <w:t>la</w:t>
      </w:r>
      <w:r w:rsidR="002E77AC">
        <w:rPr>
          <w:color w:val="000000"/>
          <w:szCs w:val="20"/>
        </w:rPr>
        <w:t>s</w:t>
      </w:r>
      <w:r w:rsidR="00E33986" w:rsidRPr="00EB55E9">
        <w:rPr>
          <w:color w:val="000000"/>
          <w:szCs w:val="20"/>
        </w:rPr>
        <w:t xml:space="preserve"> excepci</w:t>
      </w:r>
      <w:r w:rsidR="002E77AC">
        <w:rPr>
          <w:color w:val="000000"/>
          <w:szCs w:val="20"/>
        </w:rPr>
        <w:t>ones</w:t>
      </w:r>
      <w:r w:rsidR="00E33986" w:rsidRPr="00EB55E9">
        <w:rPr>
          <w:color w:val="000000"/>
          <w:szCs w:val="20"/>
        </w:rPr>
        <w:t xml:space="preserve"> preliminar</w:t>
      </w:r>
      <w:r w:rsidR="002E77AC">
        <w:rPr>
          <w:color w:val="000000"/>
          <w:szCs w:val="20"/>
        </w:rPr>
        <w:t>es</w:t>
      </w:r>
      <w:r w:rsidR="00952C62" w:rsidRPr="00EB55E9">
        <w:rPr>
          <w:color w:val="000000"/>
          <w:szCs w:val="20"/>
        </w:rPr>
        <w:t xml:space="preserve"> y </w:t>
      </w:r>
      <w:r w:rsidR="00915263" w:rsidRPr="00EB55E9">
        <w:rPr>
          <w:color w:val="000000"/>
          <w:szCs w:val="20"/>
        </w:rPr>
        <w:t>los eventuales</w:t>
      </w:r>
      <w:r w:rsidR="00952C62" w:rsidRPr="00EB55E9">
        <w:rPr>
          <w:color w:val="000000"/>
          <w:szCs w:val="20"/>
        </w:rPr>
        <w:t xml:space="preserve"> </w:t>
      </w:r>
      <w:r w:rsidRPr="00EB55E9">
        <w:rPr>
          <w:color w:val="000000"/>
          <w:szCs w:val="20"/>
        </w:rPr>
        <w:t xml:space="preserve">fondo, reparaciones y costas, a la brevedad posible luego de la celebración de la referida audiencia. </w:t>
      </w:r>
    </w:p>
    <w:p w14:paraId="4E4E1CDB" w14:textId="6A13A059" w:rsidR="00E87F69" w:rsidRDefault="00E87F69" w:rsidP="00C2000E">
      <w:pPr>
        <w:pStyle w:val="Prrafodelista"/>
        <w:numPr>
          <w:ilvl w:val="3"/>
          <w:numId w:val="12"/>
        </w:numPr>
        <w:spacing w:before="120"/>
        <w:ind w:left="0" w:firstLine="0"/>
        <w:contextualSpacing w:val="0"/>
        <w:rPr>
          <w:color w:val="000000"/>
          <w:szCs w:val="20"/>
        </w:rPr>
      </w:pPr>
      <w:r w:rsidRPr="00EB55E9">
        <w:rPr>
          <w:color w:val="000000"/>
          <w:szCs w:val="20"/>
        </w:rPr>
        <w:t xml:space="preserve">Informar a los representantes, al Estado y a la Comisión que cuentan con un plazo hasta el </w:t>
      </w:r>
      <w:r w:rsidR="00597414">
        <w:rPr>
          <w:color w:val="000000"/>
          <w:szCs w:val="20"/>
        </w:rPr>
        <w:t>26</w:t>
      </w:r>
      <w:r w:rsidR="00136333" w:rsidRPr="00EB55E9">
        <w:rPr>
          <w:color w:val="000000"/>
          <w:szCs w:val="20"/>
        </w:rPr>
        <w:t xml:space="preserve"> </w:t>
      </w:r>
      <w:r w:rsidRPr="00EB55E9">
        <w:rPr>
          <w:color w:val="000000"/>
          <w:szCs w:val="20"/>
        </w:rPr>
        <w:t xml:space="preserve">de </w:t>
      </w:r>
      <w:r w:rsidR="00810BCF">
        <w:rPr>
          <w:color w:val="000000"/>
          <w:szCs w:val="20"/>
        </w:rPr>
        <w:t>julio</w:t>
      </w:r>
      <w:r w:rsidRPr="00EB55E9">
        <w:rPr>
          <w:color w:val="000000"/>
          <w:szCs w:val="20"/>
        </w:rPr>
        <w:t xml:space="preserve"> de </w:t>
      </w:r>
      <w:r w:rsidR="00953E0E" w:rsidRPr="00EB55E9">
        <w:rPr>
          <w:color w:val="000000"/>
          <w:szCs w:val="20"/>
        </w:rPr>
        <w:t>2022</w:t>
      </w:r>
      <w:r w:rsidR="000321E6" w:rsidRPr="00EB55E9">
        <w:rPr>
          <w:color w:val="000000"/>
          <w:szCs w:val="20"/>
        </w:rPr>
        <w:t xml:space="preserve"> </w:t>
      </w:r>
      <w:r w:rsidRPr="00EB55E9">
        <w:rPr>
          <w:color w:val="000000"/>
          <w:szCs w:val="20"/>
        </w:rPr>
        <w:t xml:space="preserve">para presentar sus alegatos finales escritos y observaciones finales escritas, respectivamente, en relación con </w:t>
      </w:r>
      <w:r w:rsidR="00810BCF">
        <w:rPr>
          <w:color w:val="000000"/>
          <w:szCs w:val="20"/>
        </w:rPr>
        <w:t>las</w:t>
      </w:r>
      <w:r w:rsidR="00E33986" w:rsidRPr="00EB55E9">
        <w:rPr>
          <w:color w:val="000000"/>
          <w:szCs w:val="20"/>
        </w:rPr>
        <w:t xml:space="preserve"> excepci</w:t>
      </w:r>
      <w:r w:rsidR="00810BCF">
        <w:rPr>
          <w:color w:val="000000"/>
          <w:szCs w:val="20"/>
        </w:rPr>
        <w:t>ones</w:t>
      </w:r>
      <w:r w:rsidR="00E33986" w:rsidRPr="00EB55E9">
        <w:rPr>
          <w:color w:val="000000"/>
          <w:szCs w:val="20"/>
        </w:rPr>
        <w:t xml:space="preserve"> preliminar</w:t>
      </w:r>
      <w:r w:rsidR="00810BCF">
        <w:rPr>
          <w:color w:val="000000"/>
          <w:szCs w:val="20"/>
        </w:rPr>
        <w:t>es</w:t>
      </w:r>
      <w:r w:rsidR="00952C62" w:rsidRPr="00EB55E9">
        <w:rPr>
          <w:color w:val="000000"/>
          <w:szCs w:val="20"/>
        </w:rPr>
        <w:t xml:space="preserve"> y los</w:t>
      </w:r>
      <w:r w:rsidR="00E33986" w:rsidRPr="00EB55E9">
        <w:rPr>
          <w:color w:val="000000"/>
          <w:szCs w:val="20"/>
        </w:rPr>
        <w:t xml:space="preserve"> </w:t>
      </w:r>
      <w:r w:rsidR="00915263" w:rsidRPr="00EB55E9">
        <w:rPr>
          <w:color w:val="000000"/>
          <w:szCs w:val="20"/>
        </w:rPr>
        <w:t xml:space="preserve">eventuales </w:t>
      </w:r>
      <w:r w:rsidR="00915263" w:rsidRPr="00EB55E9">
        <w:rPr>
          <w:szCs w:val="20"/>
        </w:rPr>
        <w:t>fondo</w:t>
      </w:r>
      <w:r w:rsidRPr="00EB55E9">
        <w:rPr>
          <w:color w:val="000000"/>
          <w:szCs w:val="20"/>
        </w:rPr>
        <w:t xml:space="preserve">, reparaciones y costas en el presente caso. Este plazo es improrrogable e independiente de la puesta a disposición de la grabación de la audiencia pública. </w:t>
      </w:r>
    </w:p>
    <w:p w14:paraId="45EC651A" w14:textId="7D90D131" w:rsidR="005466F0" w:rsidRPr="00C2000E" w:rsidRDefault="005466F0" w:rsidP="00C2000E">
      <w:pPr>
        <w:pStyle w:val="Prrafodelista"/>
        <w:numPr>
          <w:ilvl w:val="3"/>
          <w:numId w:val="12"/>
        </w:numPr>
        <w:spacing w:before="120"/>
        <w:ind w:left="0" w:firstLine="0"/>
        <w:contextualSpacing w:val="0"/>
        <w:rPr>
          <w:color w:val="000000"/>
          <w:szCs w:val="20"/>
          <w:lang w:val="es-CR"/>
        </w:rPr>
      </w:pPr>
      <w:r w:rsidRPr="00CA3399">
        <w:rPr>
          <w:szCs w:val="20"/>
        </w:rPr>
        <w:t xml:space="preserve">Declarar procedente la aplicación del Fondo de Asistencia Legal de Víctimas de la Corte Interamericana en los términos dispuestos en los párrafos </w:t>
      </w:r>
      <w:r w:rsidRPr="00C2000E">
        <w:rPr>
          <w:szCs w:val="20"/>
        </w:rPr>
        <w:t xml:space="preserve">considerativos </w:t>
      </w:r>
      <w:r w:rsidR="005F55AC">
        <w:rPr>
          <w:szCs w:val="20"/>
        </w:rPr>
        <w:t>10</w:t>
      </w:r>
      <w:r w:rsidR="00820B3D" w:rsidRPr="00C2000E">
        <w:rPr>
          <w:szCs w:val="20"/>
        </w:rPr>
        <w:t xml:space="preserve"> </w:t>
      </w:r>
      <w:r w:rsidRPr="00C2000E">
        <w:rPr>
          <w:szCs w:val="20"/>
        </w:rPr>
        <w:t xml:space="preserve">a </w:t>
      </w:r>
      <w:r w:rsidR="00820B3D" w:rsidRPr="00C2000E">
        <w:rPr>
          <w:szCs w:val="20"/>
        </w:rPr>
        <w:t>1</w:t>
      </w:r>
      <w:r w:rsidR="005F55AC">
        <w:rPr>
          <w:szCs w:val="20"/>
        </w:rPr>
        <w:t>3</w:t>
      </w:r>
      <w:r w:rsidR="00820B3D" w:rsidRPr="00C2000E">
        <w:rPr>
          <w:szCs w:val="20"/>
        </w:rPr>
        <w:t xml:space="preserve"> </w:t>
      </w:r>
      <w:r w:rsidRPr="00C2000E">
        <w:rPr>
          <w:szCs w:val="20"/>
        </w:rPr>
        <w:t>de esta Resolución.</w:t>
      </w:r>
    </w:p>
    <w:p w14:paraId="2930885F" w14:textId="7D8E4528" w:rsidR="005466F0" w:rsidRPr="00C2000E" w:rsidRDefault="005466F0" w:rsidP="00C2000E">
      <w:pPr>
        <w:pStyle w:val="Prrafodelista"/>
        <w:numPr>
          <w:ilvl w:val="3"/>
          <w:numId w:val="12"/>
        </w:numPr>
        <w:spacing w:before="120"/>
        <w:ind w:left="0" w:firstLine="0"/>
        <w:contextualSpacing w:val="0"/>
        <w:rPr>
          <w:color w:val="000000"/>
          <w:szCs w:val="20"/>
          <w:lang w:val="es-CR"/>
        </w:rPr>
      </w:pPr>
      <w:r w:rsidRPr="00C2000E">
        <w:rPr>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14:paraId="56000B03" w14:textId="5BC497D9" w:rsidR="005E229A" w:rsidRPr="00C2000E" w:rsidRDefault="005E229A" w:rsidP="00C2000E">
      <w:pPr>
        <w:pStyle w:val="Prrafodelista"/>
        <w:numPr>
          <w:ilvl w:val="3"/>
          <w:numId w:val="12"/>
        </w:numPr>
        <w:spacing w:before="120"/>
        <w:ind w:left="0" w:firstLine="0"/>
        <w:contextualSpacing w:val="0"/>
        <w:rPr>
          <w:szCs w:val="20"/>
        </w:rPr>
      </w:pPr>
      <w:r w:rsidRPr="00C2000E">
        <w:rPr>
          <w:szCs w:val="20"/>
        </w:rPr>
        <w:t>Disponer que la Secretaría de la Corte Interamericana notifique la presente Resolución a la Comisión Interamericana de Derechos Humanos, a las representaciones de las presuntas víctimas y al Estado, a la vez que comunique las medidas de bioseguridad que los asistentes a la audiencia deberán cumplir obligatoriamente para evitar el contagio por la propagación del COVID-19.</w:t>
      </w:r>
    </w:p>
    <w:p w14:paraId="25B5DF58" w14:textId="55F91E6B" w:rsidR="00E87F69" w:rsidRPr="00EB55E9" w:rsidRDefault="00E87F69" w:rsidP="00C2000E">
      <w:pPr>
        <w:pStyle w:val="Prrafodelista"/>
        <w:numPr>
          <w:ilvl w:val="3"/>
          <w:numId w:val="12"/>
        </w:numPr>
        <w:spacing w:before="120"/>
        <w:ind w:left="0" w:firstLine="0"/>
        <w:contextualSpacing w:val="0"/>
        <w:rPr>
          <w:szCs w:val="20"/>
          <w:lang w:eastAsia="en-US"/>
        </w:rPr>
      </w:pPr>
      <w:r w:rsidRPr="00EB55E9">
        <w:rPr>
          <w:color w:val="000000"/>
          <w:szCs w:val="20"/>
        </w:rPr>
        <w:t xml:space="preserve">Disponer que la Secretaría de la Corte Interamericana notifique la presente Resolución a la </w:t>
      </w:r>
      <w:r w:rsidRPr="00EB55E9">
        <w:rPr>
          <w:szCs w:val="20"/>
        </w:rPr>
        <w:t>Comisión</w:t>
      </w:r>
      <w:r w:rsidRPr="00EB55E9">
        <w:rPr>
          <w:color w:val="000000"/>
          <w:szCs w:val="20"/>
        </w:rPr>
        <w:t xml:space="preserve"> Interamericana de Derechos Humanos, a los representantes de las presuntas víctimas y </w:t>
      </w:r>
      <w:r w:rsidR="00A253D8" w:rsidRPr="00EB55E9">
        <w:rPr>
          <w:color w:val="000000"/>
          <w:szCs w:val="20"/>
        </w:rPr>
        <w:t>al</w:t>
      </w:r>
      <w:r w:rsidRPr="00EB55E9">
        <w:rPr>
          <w:color w:val="000000"/>
          <w:szCs w:val="20"/>
        </w:rPr>
        <w:t xml:space="preserve"> </w:t>
      </w:r>
      <w:r w:rsidR="00A253D8" w:rsidRPr="00EB55E9">
        <w:rPr>
          <w:color w:val="000000"/>
          <w:szCs w:val="20"/>
        </w:rPr>
        <w:t>Estado</w:t>
      </w:r>
      <w:r w:rsidRPr="00EB55E9">
        <w:rPr>
          <w:color w:val="000000"/>
          <w:szCs w:val="20"/>
        </w:rPr>
        <w:t>.</w:t>
      </w:r>
    </w:p>
    <w:p w14:paraId="6D072492" w14:textId="77777777" w:rsidR="00B737F6" w:rsidRDefault="00B737F6" w:rsidP="0093049C">
      <w:pPr>
        <w:jc w:val="both"/>
        <w:rPr>
          <w:rFonts w:ascii="Verdana" w:hAnsi="Verdana"/>
          <w:sz w:val="20"/>
          <w:szCs w:val="20"/>
        </w:rPr>
      </w:pPr>
    </w:p>
    <w:p w14:paraId="5B71D5A8" w14:textId="77777777" w:rsidR="00B737F6" w:rsidRDefault="00B737F6" w:rsidP="0093049C">
      <w:pPr>
        <w:jc w:val="both"/>
        <w:rPr>
          <w:rFonts w:ascii="Verdana" w:hAnsi="Verdana"/>
          <w:sz w:val="20"/>
          <w:szCs w:val="20"/>
        </w:rPr>
      </w:pPr>
    </w:p>
    <w:p w14:paraId="5E8C474B" w14:textId="77777777" w:rsidR="00B737F6" w:rsidRDefault="00B737F6" w:rsidP="0093049C">
      <w:pPr>
        <w:jc w:val="both"/>
        <w:rPr>
          <w:rFonts w:ascii="Verdana" w:hAnsi="Verdana"/>
          <w:sz w:val="20"/>
          <w:szCs w:val="20"/>
        </w:rPr>
      </w:pPr>
    </w:p>
    <w:p w14:paraId="4F9D6B90" w14:textId="77777777" w:rsidR="00B737F6" w:rsidRDefault="00B737F6" w:rsidP="0093049C">
      <w:pPr>
        <w:jc w:val="both"/>
        <w:rPr>
          <w:rFonts w:ascii="Verdana" w:hAnsi="Verdana"/>
          <w:sz w:val="20"/>
          <w:szCs w:val="20"/>
        </w:rPr>
      </w:pPr>
    </w:p>
    <w:p w14:paraId="248EAB2D" w14:textId="77777777" w:rsidR="00B737F6" w:rsidRDefault="00B737F6" w:rsidP="0093049C">
      <w:pPr>
        <w:jc w:val="both"/>
        <w:rPr>
          <w:rFonts w:ascii="Verdana" w:hAnsi="Verdana"/>
          <w:sz w:val="20"/>
          <w:szCs w:val="20"/>
        </w:rPr>
      </w:pPr>
    </w:p>
    <w:p w14:paraId="732B8A77" w14:textId="77777777" w:rsidR="00B737F6" w:rsidRDefault="00B737F6" w:rsidP="0093049C">
      <w:pPr>
        <w:jc w:val="both"/>
        <w:rPr>
          <w:rFonts w:ascii="Verdana" w:hAnsi="Verdana"/>
          <w:sz w:val="20"/>
          <w:szCs w:val="20"/>
        </w:rPr>
      </w:pPr>
    </w:p>
    <w:p w14:paraId="100BDA24" w14:textId="77777777" w:rsidR="00B737F6" w:rsidRDefault="00B737F6" w:rsidP="0093049C">
      <w:pPr>
        <w:jc w:val="both"/>
        <w:rPr>
          <w:rFonts w:ascii="Verdana" w:hAnsi="Verdana"/>
          <w:sz w:val="20"/>
          <w:szCs w:val="20"/>
        </w:rPr>
      </w:pPr>
    </w:p>
    <w:p w14:paraId="224AFB51" w14:textId="77777777" w:rsidR="00B737F6" w:rsidRDefault="00B737F6" w:rsidP="0093049C">
      <w:pPr>
        <w:jc w:val="both"/>
        <w:rPr>
          <w:rFonts w:ascii="Verdana" w:hAnsi="Verdana"/>
          <w:sz w:val="20"/>
          <w:szCs w:val="20"/>
        </w:rPr>
      </w:pPr>
    </w:p>
    <w:p w14:paraId="32C50275" w14:textId="77777777" w:rsidR="00B737F6" w:rsidRDefault="00B737F6" w:rsidP="0093049C">
      <w:pPr>
        <w:jc w:val="both"/>
        <w:rPr>
          <w:rFonts w:ascii="Verdana" w:hAnsi="Verdana"/>
          <w:sz w:val="20"/>
          <w:szCs w:val="20"/>
        </w:rPr>
      </w:pPr>
    </w:p>
    <w:p w14:paraId="449BD05B" w14:textId="77777777" w:rsidR="00B737F6" w:rsidRDefault="00B737F6" w:rsidP="0093049C">
      <w:pPr>
        <w:jc w:val="both"/>
        <w:rPr>
          <w:rFonts w:ascii="Verdana" w:hAnsi="Verdana"/>
          <w:sz w:val="20"/>
          <w:szCs w:val="20"/>
        </w:rPr>
      </w:pPr>
    </w:p>
    <w:p w14:paraId="7A83F50F" w14:textId="77777777" w:rsidR="00B737F6" w:rsidRDefault="00B737F6" w:rsidP="0093049C">
      <w:pPr>
        <w:jc w:val="both"/>
        <w:rPr>
          <w:rFonts w:ascii="Verdana" w:hAnsi="Verdana"/>
          <w:sz w:val="20"/>
          <w:szCs w:val="20"/>
        </w:rPr>
      </w:pPr>
    </w:p>
    <w:p w14:paraId="65D2D0E3" w14:textId="77DAA6D4" w:rsidR="005E229A" w:rsidRPr="005E229A" w:rsidRDefault="005E229A" w:rsidP="0093049C">
      <w:pPr>
        <w:jc w:val="both"/>
        <w:rPr>
          <w:rFonts w:ascii="Verdana" w:hAnsi="Verdana"/>
          <w:sz w:val="20"/>
          <w:szCs w:val="20"/>
        </w:rPr>
      </w:pPr>
      <w:r w:rsidRPr="00041A63">
        <w:rPr>
          <w:rFonts w:ascii="Verdana" w:hAnsi="Verdana"/>
          <w:sz w:val="20"/>
          <w:szCs w:val="20"/>
        </w:rPr>
        <w:lastRenderedPageBreak/>
        <w:t xml:space="preserve">Corte IDH. </w:t>
      </w:r>
      <w:proofErr w:type="spellStart"/>
      <w:r w:rsidRPr="00041A63">
        <w:rPr>
          <w:rFonts w:ascii="Verdana" w:hAnsi="Verdana"/>
          <w:i/>
          <w:iCs/>
          <w:sz w:val="20"/>
          <w:szCs w:val="20"/>
        </w:rPr>
        <w:t>Tzompaxtle</w:t>
      </w:r>
      <w:proofErr w:type="spellEnd"/>
      <w:r w:rsidRPr="00041A63">
        <w:rPr>
          <w:rFonts w:ascii="Verdana" w:hAnsi="Verdana"/>
          <w:i/>
          <w:iCs/>
          <w:sz w:val="20"/>
          <w:szCs w:val="20"/>
        </w:rPr>
        <w:t xml:space="preserve"> </w:t>
      </w:r>
      <w:proofErr w:type="spellStart"/>
      <w:r w:rsidRPr="00041A63">
        <w:rPr>
          <w:rFonts w:ascii="Verdana" w:hAnsi="Verdana"/>
          <w:i/>
          <w:iCs/>
          <w:sz w:val="20"/>
          <w:szCs w:val="20"/>
        </w:rPr>
        <w:t>Tecpile</w:t>
      </w:r>
      <w:proofErr w:type="spellEnd"/>
      <w:r w:rsidRPr="00041A63">
        <w:rPr>
          <w:rFonts w:ascii="Verdana" w:hAnsi="Verdana"/>
          <w:i/>
          <w:iCs/>
          <w:sz w:val="20"/>
          <w:szCs w:val="20"/>
        </w:rPr>
        <w:t xml:space="preserve"> y Otros Vs. México</w:t>
      </w:r>
      <w:r w:rsidRPr="00041A63">
        <w:rPr>
          <w:rFonts w:ascii="Verdana" w:hAnsi="Verdana"/>
          <w:sz w:val="20"/>
          <w:szCs w:val="20"/>
        </w:rPr>
        <w:t xml:space="preserve">. Resolución del </w:t>
      </w:r>
      <w:proofErr w:type="gramStart"/>
      <w:r w:rsidRPr="00041A63">
        <w:rPr>
          <w:rFonts w:ascii="Verdana" w:hAnsi="Verdana"/>
          <w:sz w:val="20"/>
          <w:szCs w:val="20"/>
        </w:rPr>
        <w:t>Presidente</w:t>
      </w:r>
      <w:proofErr w:type="gramEnd"/>
      <w:r w:rsidRPr="00041A63">
        <w:rPr>
          <w:rFonts w:ascii="Verdana" w:hAnsi="Verdana"/>
          <w:sz w:val="20"/>
          <w:szCs w:val="20"/>
        </w:rPr>
        <w:t xml:space="preserve"> de la Corte Interamericana de Derechos Humanos de </w:t>
      </w:r>
      <w:r w:rsidR="005F55AC">
        <w:rPr>
          <w:rFonts w:ascii="Verdana" w:hAnsi="Verdana"/>
          <w:sz w:val="20"/>
          <w:szCs w:val="20"/>
        </w:rPr>
        <w:t>24</w:t>
      </w:r>
      <w:r w:rsidRPr="00041A63">
        <w:rPr>
          <w:rFonts w:ascii="Verdana" w:hAnsi="Verdana"/>
          <w:sz w:val="20"/>
          <w:szCs w:val="20"/>
        </w:rPr>
        <w:t xml:space="preserve"> de </w:t>
      </w:r>
      <w:r w:rsidR="00A17C18" w:rsidRPr="00041A63">
        <w:rPr>
          <w:rFonts w:ascii="Verdana" w:hAnsi="Verdana"/>
          <w:sz w:val="20"/>
          <w:szCs w:val="20"/>
        </w:rPr>
        <w:t>mayo</w:t>
      </w:r>
      <w:r w:rsidRPr="00041A63">
        <w:rPr>
          <w:rFonts w:ascii="Verdana" w:hAnsi="Verdana"/>
          <w:sz w:val="20"/>
          <w:szCs w:val="20"/>
        </w:rPr>
        <w:t xml:space="preserve"> de 2022</w:t>
      </w:r>
    </w:p>
    <w:p w14:paraId="01CC6017" w14:textId="45E31DE8" w:rsidR="00E87F69" w:rsidRDefault="00E87F69" w:rsidP="00E87F69">
      <w:pPr>
        <w:ind w:left="4253"/>
        <w:jc w:val="center"/>
        <w:rPr>
          <w:rFonts w:ascii="Verdana" w:hAnsi="Verdana"/>
          <w:color w:val="000000"/>
          <w:spacing w:val="-2"/>
          <w:sz w:val="20"/>
          <w:szCs w:val="20"/>
          <w:lang w:eastAsia="es-CR"/>
        </w:rPr>
      </w:pPr>
    </w:p>
    <w:p w14:paraId="45A14D05" w14:textId="74E819F7" w:rsidR="00B737F6" w:rsidRDefault="00B737F6" w:rsidP="00E87F69">
      <w:pPr>
        <w:ind w:left="4253"/>
        <w:jc w:val="center"/>
        <w:rPr>
          <w:rFonts w:ascii="Verdana" w:hAnsi="Verdana"/>
          <w:color w:val="000000"/>
          <w:spacing w:val="-2"/>
          <w:sz w:val="20"/>
          <w:szCs w:val="20"/>
          <w:lang w:eastAsia="es-CR"/>
        </w:rPr>
      </w:pPr>
    </w:p>
    <w:p w14:paraId="2A0E5467" w14:textId="15F9F7C5" w:rsidR="00B737F6" w:rsidRDefault="009841F4" w:rsidP="009841F4">
      <w:pPr>
        <w:tabs>
          <w:tab w:val="left" w:pos="7458"/>
        </w:tabs>
        <w:ind w:left="4253"/>
        <w:rPr>
          <w:rFonts w:ascii="Verdana" w:hAnsi="Verdana"/>
          <w:color w:val="000000"/>
          <w:spacing w:val="-2"/>
          <w:sz w:val="20"/>
          <w:szCs w:val="20"/>
          <w:lang w:eastAsia="es-CR"/>
        </w:rPr>
      </w:pPr>
      <w:r>
        <w:rPr>
          <w:rFonts w:ascii="Verdana" w:hAnsi="Verdana"/>
          <w:color w:val="000000"/>
          <w:spacing w:val="-2"/>
          <w:sz w:val="20"/>
          <w:szCs w:val="20"/>
          <w:lang w:eastAsia="es-CR"/>
        </w:rPr>
        <w:tab/>
      </w:r>
    </w:p>
    <w:p w14:paraId="676C88B7" w14:textId="3D1233D6" w:rsidR="00B737F6" w:rsidRDefault="00B737F6" w:rsidP="00E87F69">
      <w:pPr>
        <w:ind w:left="4253"/>
        <w:jc w:val="center"/>
        <w:rPr>
          <w:rFonts w:ascii="Verdana" w:hAnsi="Verdana"/>
          <w:color w:val="000000"/>
          <w:spacing w:val="-2"/>
          <w:sz w:val="20"/>
          <w:szCs w:val="20"/>
          <w:lang w:eastAsia="es-CR"/>
        </w:rPr>
      </w:pPr>
    </w:p>
    <w:p w14:paraId="410239DA" w14:textId="76C3FBD4" w:rsidR="00B737F6" w:rsidRPr="005E229A" w:rsidRDefault="00B737F6" w:rsidP="00E87F69">
      <w:pPr>
        <w:ind w:left="4253"/>
        <w:jc w:val="center"/>
        <w:rPr>
          <w:rFonts w:ascii="Verdana" w:hAnsi="Verdana"/>
          <w:color w:val="000000"/>
          <w:spacing w:val="-2"/>
          <w:sz w:val="20"/>
          <w:szCs w:val="20"/>
          <w:lang w:eastAsia="es-CR"/>
        </w:rPr>
      </w:pPr>
    </w:p>
    <w:p w14:paraId="763D33DB" w14:textId="03896D77" w:rsidR="00CB6D66" w:rsidRPr="005E229A" w:rsidRDefault="00222559" w:rsidP="00E87F69">
      <w:pPr>
        <w:ind w:left="4253"/>
        <w:jc w:val="center"/>
        <w:rPr>
          <w:rFonts w:ascii="Verdana" w:hAnsi="Verdana"/>
          <w:color w:val="000000"/>
          <w:spacing w:val="-2"/>
          <w:sz w:val="20"/>
          <w:szCs w:val="20"/>
          <w:lang w:eastAsia="es-CR"/>
        </w:rPr>
      </w:pPr>
      <w:r w:rsidRPr="005E229A">
        <w:rPr>
          <w:rFonts w:ascii="Verdana" w:hAnsi="Verdana"/>
          <w:color w:val="000000"/>
          <w:spacing w:val="-2"/>
          <w:sz w:val="20"/>
          <w:szCs w:val="20"/>
          <w:lang w:eastAsia="es-CR"/>
        </w:rPr>
        <w:t xml:space="preserve">Ricardo </w:t>
      </w:r>
      <w:r w:rsidR="007B5215" w:rsidRPr="005E229A">
        <w:rPr>
          <w:rFonts w:ascii="Verdana" w:hAnsi="Verdana"/>
          <w:color w:val="000000"/>
          <w:spacing w:val="-2"/>
          <w:sz w:val="20"/>
          <w:szCs w:val="20"/>
          <w:lang w:eastAsia="es-CR"/>
        </w:rPr>
        <w:t xml:space="preserve">C. </w:t>
      </w:r>
      <w:r w:rsidRPr="005E229A">
        <w:rPr>
          <w:rFonts w:ascii="Verdana" w:hAnsi="Verdana"/>
          <w:color w:val="000000"/>
          <w:spacing w:val="-2"/>
          <w:sz w:val="20"/>
          <w:szCs w:val="20"/>
          <w:lang w:eastAsia="es-CR"/>
        </w:rPr>
        <w:t>Pérez Manrique</w:t>
      </w:r>
    </w:p>
    <w:p w14:paraId="2CD103A0" w14:textId="7BFDE715" w:rsidR="00E87F69" w:rsidRPr="005E229A" w:rsidRDefault="00E87F69" w:rsidP="00E87F69">
      <w:pPr>
        <w:ind w:left="4253"/>
        <w:jc w:val="center"/>
        <w:rPr>
          <w:rFonts w:ascii="Verdana" w:hAnsi="Verdana"/>
          <w:sz w:val="20"/>
          <w:szCs w:val="20"/>
        </w:rPr>
      </w:pPr>
      <w:r w:rsidRPr="005E229A">
        <w:rPr>
          <w:rFonts w:ascii="Verdana" w:hAnsi="Verdana"/>
          <w:sz w:val="20"/>
          <w:szCs w:val="20"/>
        </w:rPr>
        <w:t>President</w:t>
      </w:r>
      <w:r w:rsidR="00222559" w:rsidRPr="005E229A">
        <w:rPr>
          <w:rFonts w:ascii="Verdana" w:hAnsi="Verdana"/>
          <w:sz w:val="20"/>
          <w:szCs w:val="20"/>
        </w:rPr>
        <w:t>e</w:t>
      </w:r>
    </w:p>
    <w:p w14:paraId="6FF0168C" w14:textId="689DDC96" w:rsidR="00B737F6" w:rsidRDefault="00B737F6" w:rsidP="00E87F69">
      <w:pPr>
        <w:tabs>
          <w:tab w:val="left" w:pos="2835"/>
        </w:tabs>
        <w:ind w:right="6003"/>
        <w:jc w:val="center"/>
        <w:rPr>
          <w:rFonts w:ascii="Verdana" w:hAnsi="Verdana"/>
          <w:sz w:val="20"/>
          <w:szCs w:val="20"/>
        </w:rPr>
      </w:pPr>
    </w:p>
    <w:p w14:paraId="0B245DB5" w14:textId="4DCD9558" w:rsidR="00B737F6" w:rsidRDefault="00B737F6" w:rsidP="00E87F69">
      <w:pPr>
        <w:tabs>
          <w:tab w:val="left" w:pos="2835"/>
        </w:tabs>
        <w:ind w:right="6003"/>
        <w:jc w:val="center"/>
        <w:rPr>
          <w:rFonts w:ascii="Verdana" w:hAnsi="Verdana"/>
          <w:sz w:val="20"/>
          <w:szCs w:val="20"/>
        </w:rPr>
      </w:pPr>
    </w:p>
    <w:p w14:paraId="5D06F5C0" w14:textId="6F0EB4BE" w:rsidR="00B737F6" w:rsidRDefault="00B737F6" w:rsidP="00E87F69">
      <w:pPr>
        <w:tabs>
          <w:tab w:val="left" w:pos="2835"/>
        </w:tabs>
        <w:ind w:right="6003"/>
        <w:jc w:val="center"/>
        <w:rPr>
          <w:rFonts w:ascii="Verdana" w:hAnsi="Verdana"/>
          <w:sz w:val="20"/>
          <w:szCs w:val="20"/>
        </w:rPr>
      </w:pPr>
    </w:p>
    <w:p w14:paraId="2238CFBE" w14:textId="77777777" w:rsidR="00B737F6" w:rsidRPr="005E229A" w:rsidRDefault="00B737F6" w:rsidP="00E87F69">
      <w:pPr>
        <w:tabs>
          <w:tab w:val="left" w:pos="2835"/>
        </w:tabs>
        <w:ind w:right="6003"/>
        <w:jc w:val="center"/>
        <w:rPr>
          <w:rFonts w:ascii="Verdana" w:hAnsi="Verdana"/>
          <w:sz w:val="20"/>
          <w:szCs w:val="20"/>
        </w:rPr>
      </w:pPr>
    </w:p>
    <w:p w14:paraId="1A0FEB33" w14:textId="77777777" w:rsidR="00E87F69" w:rsidRPr="005E229A" w:rsidRDefault="00E87F69" w:rsidP="00E87F69">
      <w:pPr>
        <w:tabs>
          <w:tab w:val="left" w:pos="2835"/>
        </w:tabs>
        <w:ind w:right="6003"/>
        <w:jc w:val="center"/>
        <w:rPr>
          <w:rFonts w:ascii="Verdana" w:hAnsi="Verdana"/>
          <w:sz w:val="20"/>
          <w:szCs w:val="20"/>
        </w:rPr>
      </w:pPr>
      <w:r w:rsidRPr="005E229A">
        <w:rPr>
          <w:rFonts w:ascii="Verdana" w:hAnsi="Verdana"/>
          <w:sz w:val="20"/>
          <w:szCs w:val="20"/>
        </w:rPr>
        <w:t>Pablo Saavedra Alessandri</w:t>
      </w:r>
    </w:p>
    <w:p w14:paraId="6FBED32C" w14:textId="77777777" w:rsidR="00E87F69" w:rsidRPr="005E229A" w:rsidRDefault="00E87F69" w:rsidP="00E87F69">
      <w:pPr>
        <w:tabs>
          <w:tab w:val="left" w:pos="2835"/>
        </w:tabs>
        <w:ind w:right="6003"/>
        <w:jc w:val="center"/>
        <w:rPr>
          <w:rFonts w:ascii="Verdana" w:hAnsi="Verdana"/>
          <w:sz w:val="20"/>
          <w:szCs w:val="20"/>
        </w:rPr>
      </w:pPr>
      <w:r w:rsidRPr="005E229A">
        <w:rPr>
          <w:rFonts w:ascii="Verdana" w:hAnsi="Verdana"/>
          <w:sz w:val="20"/>
          <w:szCs w:val="20"/>
        </w:rPr>
        <w:t>Secretario</w:t>
      </w:r>
    </w:p>
    <w:p w14:paraId="06B8426A" w14:textId="78866318" w:rsidR="00E87F69" w:rsidRDefault="00E87F69" w:rsidP="00E87F69">
      <w:pPr>
        <w:rPr>
          <w:rFonts w:ascii="Verdana" w:hAnsi="Verdana"/>
          <w:sz w:val="20"/>
          <w:szCs w:val="20"/>
        </w:rPr>
      </w:pPr>
    </w:p>
    <w:p w14:paraId="56947CF7" w14:textId="198AE347" w:rsidR="00B737F6" w:rsidRDefault="00B737F6" w:rsidP="00E87F69">
      <w:pPr>
        <w:rPr>
          <w:rFonts w:ascii="Verdana" w:hAnsi="Verdana"/>
          <w:sz w:val="20"/>
          <w:szCs w:val="20"/>
        </w:rPr>
      </w:pPr>
    </w:p>
    <w:p w14:paraId="003DE294" w14:textId="6129FBB0" w:rsidR="00B737F6" w:rsidRDefault="00B737F6" w:rsidP="00E87F69">
      <w:pPr>
        <w:rPr>
          <w:rFonts w:ascii="Verdana" w:hAnsi="Verdana"/>
          <w:sz w:val="20"/>
          <w:szCs w:val="20"/>
        </w:rPr>
      </w:pPr>
    </w:p>
    <w:p w14:paraId="22A98A6C" w14:textId="77777777" w:rsidR="00B737F6" w:rsidRPr="005E229A" w:rsidRDefault="00B737F6" w:rsidP="00E87F69">
      <w:pPr>
        <w:rPr>
          <w:rFonts w:ascii="Verdana" w:hAnsi="Verdana"/>
          <w:sz w:val="20"/>
          <w:szCs w:val="20"/>
        </w:rPr>
      </w:pPr>
    </w:p>
    <w:p w14:paraId="3D64A028" w14:textId="3217363F" w:rsidR="00E87F69" w:rsidRPr="005E229A" w:rsidRDefault="00E87F69" w:rsidP="00E87F69">
      <w:pPr>
        <w:rPr>
          <w:rFonts w:ascii="Verdana" w:hAnsi="Verdana"/>
          <w:sz w:val="20"/>
          <w:szCs w:val="20"/>
        </w:rPr>
      </w:pPr>
      <w:r w:rsidRPr="005E229A">
        <w:rPr>
          <w:rFonts w:ascii="Verdana" w:hAnsi="Verdana"/>
          <w:sz w:val="20"/>
          <w:szCs w:val="20"/>
        </w:rPr>
        <w:t>Comuníquese y ejecútese,</w:t>
      </w:r>
      <w:r w:rsidRPr="005E229A">
        <w:rPr>
          <w:rFonts w:ascii="Verdana" w:hAnsi="Verdana"/>
          <w:sz w:val="20"/>
          <w:szCs w:val="20"/>
          <w:lang w:eastAsia="es-CR"/>
        </w:rPr>
        <w:t xml:space="preserve"> </w:t>
      </w:r>
    </w:p>
    <w:p w14:paraId="340751BD" w14:textId="1062F310" w:rsidR="00E87F69" w:rsidRDefault="00E87F69" w:rsidP="00E87F69">
      <w:pPr>
        <w:rPr>
          <w:rFonts w:ascii="Verdana" w:hAnsi="Verdana"/>
          <w:sz w:val="20"/>
          <w:szCs w:val="20"/>
        </w:rPr>
      </w:pPr>
    </w:p>
    <w:p w14:paraId="1A535C33" w14:textId="073908E7" w:rsidR="00B737F6" w:rsidRDefault="00B737F6" w:rsidP="00E87F69">
      <w:pPr>
        <w:rPr>
          <w:rFonts w:ascii="Verdana" w:hAnsi="Verdana"/>
          <w:sz w:val="20"/>
          <w:szCs w:val="20"/>
        </w:rPr>
      </w:pPr>
    </w:p>
    <w:p w14:paraId="5380CDC6" w14:textId="23F75A27" w:rsidR="00B737F6" w:rsidRDefault="00B737F6" w:rsidP="00E87F69">
      <w:pPr>
        <w:rPr>
          <w:rFonts w:ascii="Verdana" w:hAnsi="Verdana"/>
          <w:sz w:val="20"/>
          <w:szCs w:val="20"/>
        </w:rPr>
      </w:pPr>
    </w:p>
    <w:p w14:paraId="62FA2711" w14:textId="77777777" w:rsidR="00B737F6" w:rsidRPr="005E229A" w:rsidRDefault="00B737F6" w:rsidP="00E87F69">
      <w:pPr>
        <w:rPr>
          <w:rFonts w:ascii="Verdana" w:hAnsi="Verdana"/>
          <w:sz w:val="20"/>
          <w:szCs w:val="20"/>
        </w:rPr>
      </w:pPr>
    </w:p>
    <w:p w14:paraId="17D79FF2" w14:textId="4E95C149" w:rsidR="00E87F69" w:rsidRPr="005E229A" w:rsidRDefault="00222559" w:rsidP="00E87F69">
      <w:pPr>
        <w:ind w:left="4536"/>
        <w:jc w:val="center"/>
        <w:rPr>
          <w:rFonts w:ascii="Verdana" w:hAnsi="Verdana"/>
          <w:sz w:val="20"/>
          <w:szCs w:val="20"/>
        </w:rPr>
      </w:pPr>
      <w:r w:rsidRPr="005E229A">
        <w:rPr>
          <w:rFonts w:ascii="Verdana" w:hAnsi="Verdana"/>
          <w:color w:val="000000"/>
          <w:spacing w:val="-2"/>
          <w:sz w:val="20"/>
          <w:szCs w:val="20"/>
          <w:lang w:eastAsia="es-CR"/>
        </w:rPr>
        <w:t xml:space="preserve">Ricardo </w:t>
      </w:r>
      <w:r w:rsidR="004F64A1" w:rsidRPr="005E229A">
        <w:rPr>
          <w:rFonts w:ascii="Verdana" w:hAnsi="Verdana"/>
          <w:color w:val="000000"/>
          <w:spacing w:val="-2"/>
          <w:sz w:val="20"/>
          <w:szCs w:val="20"/>
          <w:lang w:eastAsia="es-CR"/>
        </w:rPr>
        <w:t xml:space="preserve">C. </w:t>
      </w:r>
      <w:r w:rsidRPr="005E229A">
        <w:rPr>
          <w:rFonts w:ascii="Verdana" w:hAnsi="Verdana"/>
          <w:color w:val="000000"/>
          <w:spacing w:val="-2"/>
          <w:sz w:val="20"/>
          <w:szCs w:val="20"/>
          <w:lang w:eastAsia="es-CR"/>
        </w:rPr>
        <w:t>Pérez Manrique</w:t>
      </w:r>
    </w:p>
    <w:p w14:paraId="461FCA0D" w14:textId="2DA0841A" w:rsidR="00E87F69" w:rsidRPr="005E229A" w:rsidRDefault="00E87F69" w:rsidP="00E87F69">
      <w:pPr>
        <w:ind w:left="4536"/>
        <w:jc w:val="center"/>
        <w:rPr>
          <w:rFonts w:ascii="Verdana" w:hAnsi="Verdana"/>
          <w:sz w:val="20"/>
          <w:szCs w:val="20"/>
        </w:rPr>
      </w:pPr>
      <w:r w:rsidRPr="005E229A">
        <w:rPr>
          <w:rFonts w:ascii="Verdana" w:hAnsi="Verdana"/>
          <w:sz w:val="20"/>
          <w:szCs w:val="20"/>
        </w:rPr>
        <w:t>President</w:t>
      </w:r>
      <w:r w:rsidR="00222559" w:rsidRPr="005E229A">
        <w:rPr>
          <w:rFonts w:ascii="Verdana" w:hAnsi="Verdana"/>
          <w:sz w:val="20"/>
          <w:szCs w:val="20"/>
        </w:rPr>
        <w:t>e</w:t>
      </w:r>
    </w:p>
    <w:p w14:paraId="4C9724F8" w14:textId="31B996DC" w:rsidR="00E87F69" w:rsidRDefault="00E87F69" w:rsidP="00E87F69">
      <w:pPr>
        <w:rPr>
          <w:rFonts w:ascii="Verdana" w:hAnsi="Verdana"/>
          <w:sz w:val="20"/>
          <w:szCs w:val="20"/>
        </w:rPr>
      </w:pPr>
    </w:p>
    <w:p w14:paraId="37DD4E0A" w14:textId="4007A07D" w:rsidR="00B737F6" w:rsidRDefault="00B737F6" w:rsidP="00E87F69">
      <w:pPr>
        <w:rPr>
          <w:rFonts w:ascii="Verdana" w:hAnsi="Verdana"/>
          <w:sz w:val="20"/>
          <w:szCs w:val="20"/>
        </w:rPr>
      </w:pPr>
    </w:p>
    <w:p w14:paraId="7FA4A07E" w14:textId="69ADEDBE" w:rsidR="00B737F6" w:rsidRDefault="00B737F6" w:rsidP="00E87F69">
      <w:pPr>
        <w:rPr>
          <w:rFonts w:ascii="Verdana" w:hAnsi="Verdana"/>
          <w:sz w:val="20"/>
          <w:szCs w:val="20"/>
        </w:rPr>
      </w:pPr>
    </w:p>
    <w:p w14:paraId="5086887C" w14:textId="77777777" w:rsidR="00B737F6" w:rsidRPr="005E229A" w:rsidRDefault="00B737F6" w:rsidP="00E87F69">
      <w:pPr>
        <w:rPr>
          <w:rFonts w:ascii="Verdana" w:hAnsi="Verdana"/>
          <w:sz w:val="20"/>
          <w:szCs w:val="20"/>
        </w:rPr>
      </w:pPr>
    </w:p>
    <w:p w14:paraId="4E426AC1" w14:textId="77777777" w:rsidR="00E87F69" w:rsidRPr="005E229A" w:rsidRDefault="00E87F69" w:rsidP="00E87F69">
      <w:pPr>
        <w:ind w:right="6003"/>
        <w:jc w:val="center"/>
        <w:rPr>
          <w:rFonts w:ascii="Verdana" w:hAnsi="Verdana"/>
          <w:sz w:val="20"/>
          <w:szCs w:val="20"/>
        </w:rPr>
      </w:pPr>
      <w:r w:rsidRPr="005E229A">
        <w:rPr>
          <w:rFonts w:ascii="Verdana" w:hAnsi="Verdana"/>
          <w:sz w:val="20"/>
          <w:szCs w:val="20"/>
        </w:rPr>
        <w:t>Pablo Saavedra Alessandri</w:t>
      </w:r>
    </w:p>
    <w:p w14:paraId="3C57BA99" w14:textId="35873B63" w:rsidR="002C3EF5" w:rsidRPr="005E229A" w:rsidRDefault="00E87F69" w:rsidP="000321E6">
      <w:pPr>
        <w:ind w:right="6003"/>
        <w:jc w:val="center"/>
        <w:rPr>
          <w:rFonts w:ascii="Verdana" w:hAnsi="Verdana"/>
          <w:sz w:val="20"/>
          <w:szCs w:val="20"/>
        </w:rPr>
      </w:pPr>
      <w:r w:rsidRPr="005E229A">
        <w:rPr>
          <w:rFonts w:ascii="Verdana" w:hAnsi="Verdana"/>
          <w:sz w:val="20"/>
          <w:szCs w:val="20"/>
        </w:rPr>
        <w:t>Secretario</w:t>
      </w:r>
    </w:p>
    <w:sectPr w:rsidR="002C3EF5" w:rsidRPr="005E229A" w:rsidSect="00A506D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2EA93" w14:textId="77777777" w:rsidR="00DC6993" w:rsidRDefault="00DC6993" w:rsidP="00534E68">
      <w:r>
        <w:separator/>
      </w:r>
    </w:p>
  </w:endnote>
  <w:endnote w:type="continuationSeparator" w:id="0">
    <w:p w14:paraId="1DFC582B" w14:textId="77777777" w:rsidR="00DC6993" w:rsidRDefault="00DC6993" w:rsidP="0053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84430836"/>
      <w:docPartObj>
        <w:docPartGallery w:val="Page Numbers (Bottom of Page)"/>
        <w:docPartUnique/>
      </w:docPartObj>
    </w:sdtPr>
    <w:sdtEndPr>
      <w:rPr>
        <w:rStyle w:val="Nmerodepgina"/>
      </w:rPr>
    </w:sdtEndPr>
    <w:sdtContent>
      <w:p w14:paraId="09B5FCBF" w14:textId="1D7071C0" w:rsidR="001238C6" w:rsidRDefault="001238C6" w:rsidP="008F259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BC1ED35" w14:textId="77777777" w:rsidR="001238C6" w:rsidRDefault="001238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3350858"/>
      <w:docPartObj>
        <w:docPartGallery w:val="Page Numbers (Bottom of Page)"/>
        <w:docPartUnique/>
      </w:docPartObj>
    </w:sdtPr>
    <w:sdtEndPr>
      <w:rPr>
        <w:rStyle w:val="Nmerodepgina"/>
      </w:rPr>
    </w:sdtEndPr>
    <w:sdtContent>
      <w:p w14:paraId="4269A91F" w14:textId="159837FF" w:rsidR="001238C6" w:rsidRDefault="001238C6" w:rsidP="008F2590">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2C1C02">
          <w:rPr>
            <w:rStyle w:val="Nmerodepgina"/>
            <w:noProof/>
          </w:rPr>
          <w:t>2</w:t>
        </w:r>
        <w:r>
          <w:rPr>
            <w:rStyle w:val="Nmerodepgina"/>
          </w:rPr>
          <w:fldChar w:fldCharType="end"/>
        </w:r>
      </w:p>
    </w:sdtContent>
  </w:sdt>
  <w:p w14:paraId="4E26D296" w14:textId="77777777" w:rsidR="001238C6" w:rsidRDefault="001238C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A56AD" w14:textId="77777777" w:rsidR="00BE5D9B" w:rsidRDefault="00BE5D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5435B" w14:textId="77777777" w:rsidR="00DC6993" w:rsidRDefault="00DC6993" w:rsidP="00534E68">
      <w:r>
        <w:separator/>
      </w:r>
    </w:p>
  </w:footnote>
  <w:footnote w:type="continuationSeparator" w:id="0">
    <w:p w14:paraId="427671B9" w14:textId="77777777" w:rsidR="00DC6993" w:rsidRDefault="00DC6993" w:rsidP="00534E68">
      <w:r>
        <w:continuationSeparator/>
      </w:r>
    </w:p>
  </w:footnote>
  <w:footnote w:id="1">
    <w:p w14:paraId="1E65ADE4" w14:textId="5CDF8062" w:rsidR="00FE6634" w:rsidRPr="008D1E6B" w:rsidRDefault="00FE6634" w:rsidP="00146B22">
      <w:pPr>
        <w:pStyle w:val="Textonotapie"/>
        <w:spacing w:before="120" w:after="120"/>
        <w:rPr>
          <w:sz w:val="16"/>
          <w:szCs w:val="16"/>
          <w:lang w:val="es-ES"/>
        </w:rPr>
      </w:pPr>
      <w:r w:rsidRPr="008D1E6B">
        <w:rPr>
          <w:rStyle w:val="Refdenotaalpie"/>
          <w:sz w:val="16"/>
          <w:szCs w:val="16"/>
        </w:rPr>
        <w:footnoteRef/>
      </w:r>
      <w:r w:rsidRPr="008D1E6B">
        <w:rPr>
          <w:sz w:val="16"/>
          <w:szCs w:val="16"/>
        </w:rPr>
        <w:t xml:space="preserve"> </w:t>
      </w:r>
      <w:r w:rsidRPr="008D1E6B">
        <w:rPr>
          <w:sz w:val="16"/>
          <w:szCs w:val="16"/>
          <w:lang w:val="es-ES"/>
        </w:rPr>
        <w:tab/>
        <w:t xml:space="preserve">Los representantes de las presuntas víctimas </w:t>
      </w:r>
      <w:r w:rsidR="007A6501" w:rsidRPr="008D1E6B">
        <w:rPr>
          <w:sz w:val="16"/>
          <w:szCs w:val="16"/>
          <w:lang w:val="es-ES"/>
        </w:rPr>
        <w:t>son</w:t>
      </w:r>
      <w:r w:rsidRPr="008D1E6B">
        <w:rPr>
          <w:sz w:val="16"/>
          <w:szCs w:val="16"/>
          <w:lang w:val="es-ES"/>
        </w:rPr>
        <w:t xml:space="preserve"> la Organización </w:t>
      </w:r>
      <w:r w:rsidR="008D1E6B" w:rsidRPr="008D1E6B">
        <w:rPr>
          <w:sz w:val="16"/>
          <w:szCs w:val="16"/>
          <w:lang w:val="es-ES"/>
        </w:rPr>
        <w:t>Red Solidaria Década Contra la Impunidad A.C</w:t>
      </w:r>
      <w:r w:rsidRPr="008D1E6B">
        <w:rPr>
          <w:sz w:val="16"/>
          <w:szCs w:val="16"/>
          <w:lang w:val="es-ES"/>
        </w:rPr>
        <w:t xml:space="preserve">, </w:t>
      </w:r>
      <w:r w:rsidR="008D1E6B" w:rsidRPr="008D1E6B">
        <w:rPr>
          <w:sz w:val="16"/>
          <w:szCs w:val="16"/>
          <w:lang w:val="es-ES"/>
        </w:rPr>
        <w:t>que interviene a través de María Magdalena López Paulino, Ernesto Rodríguez Cabrera, Julián Cruzalta Aguirre, Armando Vanegas Martínez, Deeni Rodríguez López, Sandra Salcedo González y Carlos Karim Zazueta Vargas</w:t>
      </w:r>
      <w:r w:rsidR="00A36E17" w:rsidRPr="008D1E6B">
        <w:rPr>
          <w:sz w:val="16"/>
          <w:szCs w:val="16"/>
          <w:lang w:val="es-ES"/>
        </w:rPr>
        <w:t>.</w:t>
      </w:r>
      <w:r w:rsidRPr="008D1E6B">
        <w:rPr>
          <w:sz w:val="16"/>
          <w:szCs w:val="16"/>
          <w:lang w:val="es-ES"/>
        </w:rPr>
        <w:t xml:space="preserve"> </w:t>
      </w:r>
    </w:p>
  </w:footnote>
  <w:footnote w:id="2">
    <w:p w14:paraId="32167AD0" w14:textId="22669521" w:rsidR="00F03C96" w:rsidRPr="00F03C96" w:rsidRDefault="00F03C96" w:rsidP="00F03C96">
      <w:pPr>
        <w:pStyle w:val="Textonotapie"/>
        <w:spacing w:before="120" w:after="120"/>
        <w:rPr>
          <w:sz w:val="16"/>
          <w:szCs w:val="16"/>
        </w:rPr>
      </w:pPr>
      <w:r w:rsidRPr="00F03C96">
        <w:rPr>
          <w:rStyle w:val="Refdenotaalpie"/>
          <w:sz w:val="16"/>
          <w:szCs w:val="16"/>
        </w:rPr>
        <w:footnoteRef/>
      </w:r>
      <w:r w:rsidRPr="00F03C96">
        <w:rPr>
          <w:sz w:val="16"/>
          <w:szCs w:val="16"/>
        </w:rPr>
        <w:t xml:space="preserve"> </w:t>
      </w:r>
      <w:r w:rsidRPr="00F03C96">
        <w:rPr>
          <w:sz w:val="16"/>
          <w:szCs w:val="16"/>
        </w:rPr>
        <w:tab/>
        <w:t xml:space="preserve">En su escrito </w:t>
      </w:r>
      <w:r w:rsidRPr="00F03C96">
        <w:rPr>
          <w:sz w:val="16"/>
          <w:szCs w:val="16"/>
          <w:lang w:val="es-ES"/>
        </w:rPr>
        <w:t>contestación</w:t>
      </w:r>
      <w:r w:rsidRPr="00F03C96">
        <w:rPr>
          <w:sz w:val="16"/>
          <w:szCs w:val="16"/>
        </w:rPr>
        <w:t>, así como en su lista definitiva de declarantes había ofrecido dos declaraciones testimoniales. Posteriormente, mediante comunicación de 23 de mayó de 2022, desistió de esas declaraciones.</w:t>
      </w:r>
    </w:p>
  </w:footnote>
  <w:footnote w:id="3">
    <w:p w14:paraId="619C649C" w14:textId="15FB5024" w:rsidR="0076767B" w:rsidRPr="000E23C5" w:rsidRDefault="0076767B">
      <w:pPr>
        <w:pStyle w:val="Textonotapie"/>
        <w:rPr>
          <w:sz w:val="16"/>
          <w:szCs w:val="16"/>
        </w:rPr>
      </w:pPr>
      <w:r w:rsidRPr="000E23C5">
        <w:rPr>
          <w:rStyle w:val="Refdenotaalpie"/>
          <w:sz w:val="16"/>
          <w:szCs w:val="16"/>
        </w:rPr>
        <w:footnoteRef/>
      </w:r>
      <w:r w:rsidRPr="000E23C5">
        <w:rPr>
          <w:sz w:val="16"/>
          <w:szCs w:val="16"/>
        </w:rPr>
        <w:t xml:space="preserve"> </w:t>
      </w:r>
      <w:r w:rsidRPr="000E23C5">
        <w:rPr>
          <w:sz w:val="16"/>
          <w:szCs w:val="16"/>
        </w:rPr>
        <w:tab/>
        <w:t xml:space="preserve">En su escrito de solicitudes y argumentos, así como en su lista definitiva de declarantes habían ofrecido </w:t>
      </w:r>
      <w:r w:rsidR="00973528">
        <w:rPr>
          <w:sz w:val="16"/>
          <w:szCs w:val="16"/>
        </w:rPr>
        <w:t>cuatro</w:t>
      </w:r>
      <w:r w:rsidRPr="000E23C5">
        <w:rPr>
          <w:sz w:val="16"/>
          <w:szCs w:val="16"/>
        </w:rPr>
        <w:t xml:space="preserve"> declaraciones periciales.</w:t>
      </w:r>
      <w:r w:rsidR="004D5FC7" w:rsidRPr="000E23C5">
        <w:rPr>
          <w:sz w:val="16"/>
          <w:szCs w:val="16"/>
        </w:rPr>
        <w:t xml:space="preserve"> Posteriormente, mediante comunicación de 7 de abril de 2022, desi</w:t>
      </w:r>
      <w:r w:rsidR="00847FF1">
        <w:rPr>
          <w:sz w:val="16"/>
          <w:szCs w:val="16"/>
        </w:rPr>
        <w:t>s</w:t>
      </w:r>
      <w:r w:rsidR="004D5FC7" w:rsidRPr="000E23C5">
        <w:rPr>
          <w:sz w:val="16"/>
          <w:szCs w:val="16"/>
        </w:rPr>
        <w:t xml:space="preserve">tieron de la declaración pericial de </w:t>
      </w:r>
      <w:r w:rsidR="0002638E" w:rsidRPr="000E23C5">
        <w:rPr>
          <w:sz w:val="16"/>
          <w:szCs w:val="16"/>
        </w:rPr>
        <w:t>Santiago Corcuera Cabezut</w:t>
      </w:r>
      <w:r w:rsidR="000E23C5" w:rsidRPr="000E23C5">
        <w:rPr>
          <w:sz w:val="16"/>
          <w:szCs w:val="16"/>
        </w:rPr>
        <w:t>.</w:t>
      </w:r>
    </w:p>
  </w:footnote>
  <w:footnote w:id="4">
    <w:p w14:paraId="7EC591BA" w14:textId="4C782777" w:rsidR="0001537E" w:rsidRPr="00C2000E" w:rsidRDefault="0001537E" w:rsidP="0001537E">
      <w:pPr>
        <w:pStyle w:val="Textonotapie"/>
        <w:rPr>
          <w:sz w:val="16"/>
          <w:szCs w:val="16"/>
        </w:rPr>
      </w:pPr>
      <w:r w:rsidRPr="00C2000E">
        <w:rPr>
          <w:rStyle w:val="Refdenotaalpie"/>
          <w:sz w:val="16"/>
          <w:szCs w:val="16"/>
        </w:rPr>
        <w:footnoteRef/>
      </w:r>
      <w:r w:rsidRPr="00C2000E">
        <w:rPr>
          <w:sz w:val="16"/>
          <w:szCs w:val="16"/>
        </w:rPr>
        <w:t xml:space="preserve"> </w:t>
      </w:r>
      <w:r w:rsidRPr="00C2000E">
        <w:rPr>
          <w:sz w:val="16"/>
          <w:szCs w:val="16"/>
        </w:rPr>
        <w:tab/>
      </w:r>
      <w:r>
        <w:rPr>
          <w:sz w:val="16"/>
          <w:szCs w:val="16"/>
        </w:rPr>
        <w:t>Se trataría de las declaraciones de las siguientes</w:t>
      </w:r>
      <w:r w:rsidRPr="00C2000E">
        <w:rPr>
          <w:sz w:val="16"/>
          <w:szCs w:val="16"/>
        </w:rPr>
        <w:t xml:space="preserve"> personas: Jorge Marcial Tzompaxtle Tecpile y Gerardo Tzompaxtle Tecpile.</w:t>
      </w:r>
    </w:p>
  </w:footnote>
  <w:footnote w:id="5">
    <w:p w14:paraId="65C94EFB" w14:textId="5AF738DA" w:rsidR="0001537E" w:rsidRPr="0001537E" w:rsidRDefault="0001537E" w:rsidP="0001537E">
      <w:pPr>
        <w:pStyle w:val="Textonotapie"/>
      </w:pPr>
      <w:r w:rsidRPr="00C2000E">
        <w:rPr>
          <w:rStyle w:val="Refdenotaalpie"/>
          <w:sz w:val="16"/>
          <w:szCs w:val="16"/>
        </w:rPr>
        <w:footnoteRef/>
      </w:r>
      <w:r w:rsidRPr="00C2000E">
        <w:rPr>
          <w:sz w:val="16"/>
          <w:szCs w:val="16"/>
        </w:rPr>
        <w:t xml:space="preserve"> </w:t>
      </w:r>
      <w:r w:rsidRPr="00C2000E">
        <w:rPr>
          <w:sz w:val="16"/>
          <w:szCs w:val="16"/>
        </w:rPr>
        <w:tab/>
      </w:r>
      <w:r>
        <w:rPr>
          <w:sz w:val="16"/>
          <w:szCs w:val="16"/>
        </w:rPr>
        <w:t>Se trataría de las declaraciones de las siguientes</w:t>
      </w:r>
      <w:r w:rsidRPr="00E614A5">
        <w:rPr>
          <w:sz w:val="16"/>
          <w:szCs w:val="16"/>
        </w:rPr>
        <w:t xml:space="preserve"> personas</w:t>
      </w:r>
      <w:r w:rsidRPr="00C2000E">
        <w:rPr>
          <w:sz w:val="16"/>
          <w:szCs w:val="16"/>
        </w:rPr>
        <w:t>: Carlos María Pelayo Moller,</w:t>
      </w:r>
      <w:r>
        <w:rPr>
          <w:sz w:val="16"/>
          <w:szCs w:val="16"/>
        </w:rPr>
        <w:t xml:space="preserve"> </w:t>
      </w:r>
      <w:r w:rsidRPr="00C2000E">
        <w:rPr>
          <w:sz w:val="16"/>
          <w:szCs w:val="16"/>
        </w:rPr>
        <w:t>Stephanie Erin Brewer y José Antonio Guevara Bermúdez.</w:t>
      </w:r>
    </w:p>
  </w:footnote>
  <w:footnote w:id="6">
    <w:p w14:paraId="74071719" w14:textId="4179D034" w:rsidR="0001537E" w:rsidRPr="0001537E" w:rsidRDefault="0001537E" w:rsidP="0001537E">
      <w:pPr>
        <w:pStyle w:val="Textonotapie"/>
      </w:pPr>
      <w:r w:rsidRPr="00E614A5">
        <w:rPr>
          <w:rStyle w:val="Refdenotaalpie"/>
          <w:sz w:val="16"/>
          <w:szCs w:val="16"/>
        </w:rPr>
        <w:footnoteRef/>
      </w:r>
      <w:r w:rsidRPr="00E614A5">
        <w:rPr>
          <w:sz w:val="16"/>
          <w:szCs w:val="16"/>
        </w:rPr>
        <w:t xml:space="preserve"> </w:t>
      </w:r>
      <w:r w:rsidRPr="00E614A5">
        <w:rPr>
          <w:sz w:val="16"/>
          <w:szCs w:val="16"/>
        </w:rPr>
        <w:tab/>
      </w:r>
      <w:r>
        <w:rPr>
          <w:sz w:val="16"/>
          <w:szCs w:val="16"/>
        </w:rPr>
        <w:t>Se trataría de las declaraciones de las siguientes</w:t>
      </w:r>
      <w:r w:rsidRPr="00E614A5">
        <w:rPr>
          <w:sz w:val="16"/>
          <w:szCs w:val="16"/>
        </w:rPr>
        <w:t xml:space="preserve"> personas:</w:t>
      </w:r>
      <w:r>
        <w:rPr>
          <w:sz w:val="16"/>
          <w:szCs w:val="16"/>
        </w:rPr>
        <w:t xml:space="preserve"> </w:t>
      </w:r>
      <w:r w:rsidRPr="0001537E">
        <w:rPr>
          <w:sz w:val="16"/>
          <w:szCs w:val="16"/>
        </w:rPr>
        <w:t>Esteban Gilberto Arcos Cortés</w:t>
      </w:r>
      <w:r w:rsidRPr="00E614A5">
        <w:rPr>
          <w:sz w:val="16"/>
          <w:szCs w:val="16"/>
        </w:rPr>
        <w:t>,</w:t>
      </w:r>
      <w:r>
        <w:rPr>
          <w:sz w:val="16"/>
          <w:szCs w:val="16"/>
        </w:rPr>
        <w:t xml:space="preserve"> </w:t>
      </w:r>
      <w:r w:rsidRPr="0001537E">
        <w:rPr>
          <w:sz w:val="16"/>
          <w:szCs w:val="16"/>
        </w:rPr>
        <w:t>Erika Bardales Lazcano</w:t>
      </w:r>
      <w:r w:rsidRPr="00E614A5">
        <w:rPr>
          <w:sz w:val="16"/>
          <w:szCs w:val="16"/>
        </w:rPr>
        <w:t xml:space="preserve"> y </w:t>
      </w:r>
      <w:r w:rsidRPr="0001537E">
        <w:rPr>
          <w:sz w:val="16"/>
          <w:szCs w:val="16"/>
        </w:rPr>
        <w:t>Jorge Ulises Carmona Tinoco</w:t>
      </w:r>
      <w:r w:rsidRPr="00E614A5">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3EA1" w14:textId="3CD114C7" w:rsidR="00DF3FE1" w:rsidRDefault="00DF3F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CA88F" w14:textId="77777777" w:rsidR="00A506D5" w:rsidRDefault="00A506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CBFC" w14:textId="076B5CBB" w:rsidR="00DF3FE1" w:rsidRDefault="00DF3F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BFF"/>
    <w:multiLevelType w:val="hybridMultilevel"/>
    <w:tmpl w:val="B2B2CE3A"/>
    <w:lvl w:ilvl="0" w:tplc="42E26D32">
      <w:start w:val="1"/>
      <w:numFmt w:val="upperLetter"/>
      <w:lvlText w:val="%1."/>
      <w:lvlJc w:val="left"/>
      <w:pPr>
        <w:ind w:left="720" w:hanging="360"/>
      </w:pPr>
      <w:rPr>
        <w:b w:val="0"/>
      </w:rPr>
    </w:lvl>
    <w:lvl w:ilvl="1" w:tplc="1160E910">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C83564"/>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1C994672"/>
    <w:multiLevelType w:val="hybridMultilevel"/>
    <w:tmpl w:val="9AAE98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A35A5A"/>
    <w:multiLevelType w:val="hybridMultilevel"/>
    <w:tmpl w:val="70BA0408"/>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3669BF"/>
    <w:multiLevelType w:val="multilevel"/>
    <w:tmpl w:val="33140F4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33C255AF"/>
    <w:multiLevelType w:val="hybridMultilevel"/>
    <w:tmpl w:val="EB3E47F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45A26AB"/>
    <w:multiLevelType w:val="hybridMultilevel"/>
    <w:tmpl w:val="249CD09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5A826F0"/>
    <w:multiLevelType w:val="hybridMultilevel"/>
    <w:tmpl w:val="F52C34B0"/>
    <w:lvl w:ilvl="0" w:tplc="A3C8BA86">
      <w:start w:val="1"/>
      <w:numFmt w:val="decimal"/>
      <w:lvlText w:val="%1."/>
      <w:lvlJc w:val="left"/>
      <w:pPr>
        <w:ind w:left="1080" w:hanging="720"/>
      </w:pPr>
      <w:rPr>
        <w:rFonts w:ascii="Verdana" w:hAnsi="Verdana"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757D3"/>
    <w:multiLevelType w:val="multilevel"/>
    <w:tmpl w:val="E6109F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37E228C9"/>
    <w:multiLevelType w:val="hybridMultilevel"/>
    <w:tmpl w:val="ABE4F582"/>
    <w:lvl w:ilvl="0" w:tplc="D85A9EA4">
      <w:start w:val="1"/>
      <w:numFmt w:val="decimal"/>
      <w:lvlText w:val="%1)"/>
      <w:lvlJc w:val="left"/>
      <w:pPr>
        <w:ind w:left="1440" w:hanging="360"/>
      </w:pPr>
      <w:rPr>
        <w:rFonts w:ascii="Verdana" w:eastAsia="Batang" w:hAnsi="Verdana" w:cs="Calibri"/>
        <w:b w:val="0"/>
        <w:bCs w:val="0"/>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A38404A"/>
    <w:multiLevelType w:val="hybridMultilevel"/>
    <w:tmpl w:val="1200CECC"/>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080"/>
        </w:tabs>
        <w:ind w:left="108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1" w15:restartNumberingAfterBreak="0">
    <w:nsid w:val="3C0A09FE"/>
    <w:multiLevelType w:val="hybridMultilevel"/>
    <w:tmpl w:val="F9CA78B2"/>
    <w:lvl w:ilvl="0" w:tplc="1160E910">
      <w:start w:val="1"/>
      <w:numFmt w:val="decimal"/>
      <w:lvlText w:val="%1)"/>
      <w:lvlJc w:val="left"/>
      <w:pPr>
        <w:ind w:left="1440" w:hanging="360"/>
      </w:pPr>
      <w:rPr>
        <w:rFonts w:ascii="Verdana" w:eastAsia="Batang" w:hAnsi="Verdana" w:cs="Calibri"/>
        <w:b w:val="0"/>
        <w:bCs w:val="0"/>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2E17240"/>
    <w:multiLevelType w:val="multilevel"/>
    <w:tmpl w:val="A02C437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448E317C"/>
    <w:multiLevelType w:val="hybridMultilevel"/>
    <w:tmpl w:val="65C6EB76"/>
    <w:lvl w:ilvl="0" w:tplc="C0CCC3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E0600B2"/>
    <w:multiLevelType w:val="hybridMultilevel"/>
    <w:tmpl w:val="94BECD7E"/>
    <w:lvl w:ilvl="0" w:tplc="FD72A19E">
      <w:start w:val="1"/>
      <w:numFmt w:val="decimal"/>
      <w:lvlText w:val="%1)"/>
      <w:lvlJc w:val="left"/>
      <w:pPr>
        <w:ind w:left="1419" w:hanging="360"/>
      </w:pPr>
      <w:rPr>
        <w:b w:val="0"/>
        <w:bCs/>
        <w:i w:val="0"/>
        <w:iCs w:val="0"/>
      </w:rPr>
    </w:lvl>
    <w:lvl w:ilvl="1" w:tplc="140A0019">
      <w:start w:val="1"/>
      <w:numFmt w:val="lowerLetter"/>
      <w:lvlText w:val="%2."/>
      <w:lvlJc w:val="left"/>
      <w:pPr>
        <w:ind w:left="1506" w:hanging="360"/>
      </w:pPr>
    </w:lvl>
    <w:lvl w:ilvl="2" w:tplc="140A001B">
      <w:start w:val="1"/>
      <w:numFmt w:val="lowerRoman"/>
      <w:lvlText w:val="%3."/>
      <w:lvlJc w:val="right"/>
      <w:pPr>
        <w:ind w:left="2226" w:hanging="180"/>
      </w:pPr>
    </w:lvl>
    <w:lvl w:ilvl="3" w:tplc="140A000F">
      <w:start w:val="1"/>
      <w:numFmt w:val="decimal"/>
      <w:lvlText w:val="%4."/>
      <w:lvlJc w:val="left"/>
      <w:pPr>
        <w:ind w:left="2946" w:hanging="360"/>
      </w:pPr>
    </w:lvl>
    <w:lvl w:ilvl="4" w:tplc="140A0019">
      <w:start w:val="1"/>
      <w:numFmt w:val="lowerLetter"/>
      <w:lvlText w:val="%5."/>
      <w:lvlJc w:val="left"/>
      <w:pPr>
        <w:ind w:left="3666" w:hanging="360"/>
      </w:pPr>
    </w:lvl>
    <w:lvl w:ilvl="5" w:tplc="140A001B">
      <w:start w:val="1"/>
      <w:numFmt w:val="lowerRoman"/>
      <w:lvlText w:val="%6."/>
      <w:lvlJc w:val="right"/>
      <w:pPr>
        <w:ind w:left="4386" w:hanging="180"/>
      </w:pPr>
    </w:lvl>
    <w:lvl w:ilvl="6" w:tplc="140A000F">
      <w:start w:val="1"/>
      <w:numFmt w:val="decimal"/>
      <w:lvlText w:val="%7."/>
      <w:lvlJc w:val="left"/>
      <w:pPr>
        <w:ind w:left="5106" w:hanging="360"/>
      </w:pPr>
    </w:lvl>
    <w:lvl w:ilvl="7" w:tplc="140A0019">
      <w:start w:val="1"/>
      <w:numFmt w:val="lowerLetter"/>
      <w:lvlText w:val="%8."/>
      <w:lvlJc w:val="left"/>
      <w:pPr>
        <w:ind w:left="5826" w:hanging="360"/>
      </w:pPr>
    </w:lvl>
    <w:lvl w:ilvl="8" w:tplc="140A001B">
      <w:start w:val="1"/>
      <w:numFmt w:val="lowerRoman"/>
      <w:lvlText w:val="%9."/>
      <w:lvlJc w:val="right"/>
      <w:pPr>
        <w:ind w:left="6546" w:hanging="180"/>
      </w:pPr>
    </w:lvl>
  </w:abstractNum>
  <w:abstractNum w:abstractNumId="16" w15:restartNumberingAfterBreak="0">
    <w:nsid w:val="568D3662"/>
    <w:multiLevelType w:val="hybridMultilevel"/>
    <w:tmpl w:val="18D4C62A"/>
    <w:lvl w:ilvl="0" w:tplc="C28E4588">
      <w:start w:val="4"/>
      <w:numFmt w:val="decimal"/>
      <w:lvlText w:val="%1)"/>
      <w:lvlJc w:val="left"/>
      <w:pPr>
        <w:ind w:left="720" w:hanging="360"/>
      </w:pPr>
      <w:rPr>
        <w:rFonts w:hint="default"/>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AEC5649"/>
    <w:multiLevelType w:val="hybridMultilevel"/>
    <w:tmpl w:val="19CE6F86"/>
    <w:lvl w:ilvl="0" w:tplc="42E26D32">
      <w:start w:val="1"/>
      <w:numFmt w:val="upperLetter"/>
      <w:lvlText w:val="%1."/>
      <w:lvlJc w:val="left"/>
      <w:pPr>
        <w:ind w:left="720" w:hanging="360"/>
      </w:pPr>
      <w:rPr>
        <w:b w:val="0"/>
      </w:rPr>
    </w:lvl>
    <w:lvl w:ilvl="1" w:tplc="D85A9EA4">
      <w:start w:val="1"/>
      <w:numFmt w:val="decimal"/>
      <w:lvlText w:val="%2)"/>
      <w:lvlJc w:val="left"/>
      <w:pPr>
        <w:ind w:left="1440" w:hanging="360"/>
      </w:pPr>
      <w:rPr>
        <w:rFonts w:ascii="Verdana" w:eastAsia="Batang" w:hAnsi="Verdana" w:cs="Calibri"/>
        <w:b w:val="0"/>
        <w:bCs w:val="0"/>
        <w:i w:val="0"/>
        <w:iCs w:val="0"/>
      </w:rPr>
    </w:lvl>
    <w:lvl w:ilvl="2" w:tplc="0409001B">
      <w:start w:val="1"/>
      <w:numFmt w:val="lowerRoman"/>
      <w:lvlText w:val="%3."/>
      <w:lvlJc w:val="right"/>
      <w:pPr>
        <w:ind w:left="2160" w:hanging="180"/>
      </w:pPr>
    </w:lvl>
    <w:lvl w:ilvl="3" w:tplc="50005FF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05E508E"/>
    <w:multiLevelType w:val="hybridMultilevel"/>
    <w:tmpl w:val="D4DCB2C4"/>
    <w:lvl w:ilvl="0" w:tplc="A464F936">
      <w:start w:val="2"/>
      <w:numFmt w:val="decimal"/>
      <w:lvlText w:val="%1."/>
      <w:lvlJc w:val="left"/>
      <w:pPr>
        <w:ind w:left="720" w:hanging="360"/>
      </w:pPr>
      <w:rPr>
        <w:rFonts w:ascii="Verdana" w:hAnsi="Verdana" w:hint="default"/>
        <w:color w:val="auto"/>
        <w:sz w:val="2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6BB967A1"/>
    <w:multiLevelType w:val="hybridMultilevel"/>
    <w:tmpl w:val="18D4C62A"/>
    <w:lvl w:ilvl="0" w:tplc="FFFFFFFF">
      <w:start w:val="4"/>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3E0BD7"/>
    <w:multiLevelType w:val="hybridMultilevel"/>
    <w:tmpl w:val="47A2701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63648A2"/>
    <w:multiLevelType w:val="hybridMultilevel"/>
    <w:tmpl w:val="5B9AB246"/>
    <w:lvl w:ilvl="0" w:tplc="877E7EB8">
      <w:start w:val="2"/>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A0A175A"/>
    <w:multiLevelType w:val="hybridMultilevel"/>
    <w:tmpl w:val="746015E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59341097">
    <w:abstractNumId w:val="2"/>
  </w:num>
  <w:num w:numId="2" w16cid:durableId="6086589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5151216">
    <w:abstractNumId w:val="0"/>
  </w:num>
  <w:num w:numId="4" w16cid:durableId="866790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26852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85969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0186603">
    <w:abstractNumId w:val="14"/>
  </w:num>
  <w:num w:numId="8" w16cid:durableId="959262896">
    <w:abstractNumId w:val="0"/>
  </w:num>
  <w:num w:numId="9" w16cid:durableId="1261530476">
    <w:abstractNumId w:val="17"/>
  </w:num>
  <w:num w:numId="10" w16cid:durableId="704717920">
    <w:abstractNumId w:val="21"/>
  </w:num>
  <w:num w:numId="11" w16cid:durableId="1057970155">
    <w:abstractNumId w:val="5"/>
  </w:num>
  <w:num w:numId="12" w16cid:durableId="443576289">
    <w:abstractNumId w:val="13"/>
  </w:num>
  <w:num w:numId="13" w16cid:durableId="1210924373">
    <w:abstractNumId w:val="3"/>
  </w:num>
  <w:num w:numId="14" w16cid:durableId="656155103">
    <w:abstractNumId w:val="6"/>
  </w:num>
  <w:num w:numId="15" w16cid:durableId="974213240">
    <w:abstractNumId w:val="7"/>
  </w:num>
  <w:num w:numId="16" w16cid:durableId="301926697">
    <w:abstractNumId w:val="22"/>
  </w:num>
  <w:num w:numId="17" w16cid:durableId="119080408">
    <w:abstractNumId w:val="10"/>
  </w:num>
  <w:num w:numId="18" w16cid:durableId="549465535">
    <w:abstractNumId w:val="11"/>
  </w:num>
  <w:num w:numId="19" w16cid:durableId="1737895452">
    <w:abstractNumId w:val="4"/>
  </w:num>
  <w:num w:numId="20" w16cid:durableId="291206936">
    <w:abstractNumId w:val="12"/>
  </w:num>
  <w:num w:numId="21" w16cid:durableId="1998879809">
    <w:abstractNumId w:val="18"/>
  </w:num>
  <w:num w:numId="22" w16cid:durableId="1060052241">
    <w:abstractNumId w:val="20"/>
  </w:num>
  <w:num w:numId="23" w16cid:durableId="1392122562">
    <w:abstractNumId w:val="16"/>
  </w:num>
  <w:num w:numId="24" w16cid:durableId="352802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2236355">
    <w:abstractNumId w:val="19"/>
  </w:num>
  <w:num w:numId="26" w16cid:durableId="728116920">
    <w:abstractNumId w:val="9"/>
  </w:num>
  <w:num w:numId="27" w16cid:durableId="2961106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20"/>
    <w:rsid w:val="0001537E"/>
    <w:rsid w:val="00016A23"/>
    <w:rsid w:val="0002368C"/>
    <w:rsid w:val="00024E0D"/>
    <w:rsid w:val="0002638E"/>
    <w:rsid w:val="000321E6"/>
    <w:rsid w:val="00041A63"/>
    <w:rsid w:val="000473CA"/>
    <w:rsid w:val="00052058"/>
    <w:rsid w:val="000571A6"/>
    <w:rsid w:val="0005732E"/>
    <w:rsid w:val="0007103A"/>
    <w:rsid w:val="00071203"/>
    <w:rsid w:val="00081DC3"/>
    <w:rsid w:val="0008568F"/>
    <w:rsid w:val="000A2562"/>
    <w:rsid w:val="000A6B2F"/>
    <w:rsid w:val="000B17E1"/>
    <w:rsid w:val="000C0C07"/>
    <w:rsid w:val="000C421A"/>
    <w:rsid w:val="000C4563"/>
    <w:rsid w:val="000D65DD"/>
    <w:rsid w:val="000D7B1B"/>
    <w:rsid w:val="000E23C5"/>
    <w:rsid w:val="000E357B"/>
    <w:rsid w:val="000F3E12"/>
    <w:rsid w:val="001012B4"/>
    <w:rsid w:val="00116A81"/>
    <w:rsid w:val="001238C6"/>
    <w:rsid w:val="00136333"/>
    <w:rsid w:val="00146B22"/>
    <w:rsid w:val="001522F8"/>
    <w:rsid w:val="0015497E"/>
    <w:rsid w:val="001571B8"/>
    <w:rsid w:val="00164C99"/>
    <w:rsid w:val="001728D5"/>
    <w:rsid w:val="0018107B"/>
    <w:rsid w:val="001B1BB8"/>
    <w:rsid w:val="001C4FC7"/>
    <w:rsid w:val="001E3969"/>
    <w:rsid w:val="002013D4"/>
    <w:rsid w:val="00201C02"/>
    <w:rsid w:val="00202C9B"/>
    <w:rsid w:val="00206BEB"/>
    <w:rsid w:val="002073C2"/>
    <w:rsid w:val="00211A5B"/>
    <w:rsid w:val="00222559"/>
    <w:rsid w:val="00255012"/>
    <w:rsid w:val="00257F55"/>
    <w:rsid w:val="0026261A"/>
    <w:rsid w:val="00265A0A"/>
    <w:rsid w:val="00273C4A"/>
    <w:rsid w:val="00290A20"/>
    <w:rsid w:val="00291DD5"/>
    <w:rsid w:val="002A17C0"/>
    <w:rsid w:val="002A7915"/>
    <w:rsid w:val="002B3CFC"/>
    <w:rsid w:val="002B7C7E"/>
    <w:rsid w:val="002C1C02"/>
    <w:rsid w:val="002C3EF5"/>
    <w:rsid w:val="002C4DBC"/>
    <w:rsid w:val="002D4CBD"/>
    <w:rsid w:val="002D53E8"/>
    <w:rsid w:val="002E77AC"/>
    <w:rsid w:val="002E788D"/>
    <w:rsid w:val="002F10F6"/>
    <w:rsid w:val="003044C4"/>
    <w:rsid w:val="00305B9F"/>
    <w:rsid w:val="00313562"/>
    <w:rsid w:val="00315670"/>
    <w:rsid w:val="00333243"/>
    <w:rsid w:val="00335A92"/>
    <w:rsid w:val="0034085D"/>
    <w:rsid w:val="00357EBA"/>
    <w:rsid w:val="003606A6"/>
    <w:rsid w:val="00364868"/>
    <w:rsid w:val="003707E7"/>
    <w:rsid w:val="003764A3"/>
    <w:rsid w:val="0038340E"/>
    <w:rsid w:val="00387F8B"/>
    <w:rsid w:val="00391F92"/>
    <w:rsid w:val="00394343"/>
    <w:rsid w:val="003A1A76"/>
    <w:rsid w:val="003A275F"/>
    <w:rsid w:val="003B5C5D"/>
    <w:rsid w:val="003D7677"/>
    <w:rsid w:val="003F7A92"/>
    <w:rsid w:val="004002F6"/>
    <w:rsid w:val="004053F5"/>
    <w:rsid w:val="0041131B"/>
    <w:rsid w:val="00411E9B"/>
    <w:rsid w:val="00413368"/>
    <w:rsid w:val="00441519"/>
    <w:rsid w:val="0044444B"/>
    <w:rsid w:val="004455DA"/>
    <w:rsid w:val="00451246"/>
    <w:rsid w:val="00466979"/>
    <w:rsid w:val="00466C0E"/>
    <w:rsid w:val="0047013B"/>
    <w:rsid w:val="004752A6"/>
    <w:rsid w:val="00484B7D"/>
    <w:rsid w:val="0049179B"/>
    <w:rsid w:val="00491854"/>
    <w:rsid w:val="0049381F"/>
    <w:rsid w:val="004B6AC9"/>
    <w:rsid w:val="004D5FC7"/>
    <w:rsid w:val="004E06AA"/>
    <w:rsid w:val="004E213C"/>
    <w:rsid w:val="004E284C"/>
    <w:rsid w:val="004E4172"/>
    <w:rsid w:val="004F047E"/>
    <w:rsid w:val="004F3004"/>
    <w:rsid w:val="004F64A1"/>
    <w:rsid w:val="00516BA9"/>
    <w:rsid w:val="00517382"/>
    <w:rsid w:val="0052047E"/>
    <w:rsid w:val="00532438"/>
    <w:rsid w:val="00534E68"/>
    <w:rsid w:val="00535E58"/>
    <w:rsid w:val="005466F0"/>
    <w:rsid w:val="005476DE"/>
    <w:rsid w:val="00560097"/>
    <w:rsid w:val="00582A80"/>
    <w:rsid w:val="00590415"/>
    <w:rsid w:val="00593A2F"/>
    <w:rsid w:val="00597414"/>
    <w:rsid w:val="00597F76"/>
    <w:rsid w:val="005A0BE7"/>
    <w:rsid w:val="005A2461"/>
    <w:rsid w:val="005B1098"/>
    <w:rsid w:val="005B32AE"/>
    <w:rsid w:val="005C48FD"/>
    <w:rsid w:val="005C7631"/>
    <w:rsid w:val="005D1A53"/>
    <w:rsid w:val="005D28EB"/>
    <w:rsid w:val="005D517F"/>
    <w:rsid w:val="005E229A"/>
    <w:rsid w:val="005E5F6F"/>
    <w:rsid w:val="005F2E46"/>
    <w:rsid w:val="005F55AC"/>
    <w:rsid w:val="005F6498"/>
    <w:rsid w:val="00605CEE"/>
    <w:rsid w:val="0061128A"/>
    <w:rsid w:val="006133E5"/>
    <w:rsid w:val="00614A17"/>
    <w:rsid w:val="006274E4"/>
    <w:rsid w:val="0063164E"/>
    <w:rsid w:val="00632790"/>
    <w:rsid w:val="00657938"/>
    <w:rsid w:val="00661934"/>
    <w:rsid w:val="00680048"/>
    <w:rsid w:val="00687F26"/>
    <w:rsid w:val="006A0002"/>
    <w:rsid w:val="006A20E8"/>
    <w:rsid w:val="006A66FC"/>
    <w:rsid w:val="006B7DE3"/>
    <w:rsid w:val="006F204A"/>
    <w:rsid w:val="00701066"/>
    <w:rsid w:val="00721C64"/>
    <w:rsid w:val="0072315D"/>
    <w:rsid w:val="00744661"/>
    <w:rsid w:val="0074676D"/>
    <w:rsid w:val="00751604"/>
    <w:rsid w:val="00752F86"/>
    <w:rsid w:val="00767501"/>
    <w:rsid w:val="0076767B"/>
    <w:rsid w:val="00771FD8"/>
    <w:rsid w:val="00774A4C"/>
    <w:rsid w:val="0077784E"/>
    <w:rsid w:val="00781615"/>
    <w:rsid w:val="00786E4D"/>
    <w:rsid w:val="00790411"/>
    <w:rsid w:val="0079196B"/>
    <w:rsid w:val="00791C6D"/>
    <w:rsid w:val="007A2B7C"/>
    <w:rsid w:val="007A32DD"/>
    <w:rsid w:val="007A6501"/>
    <w:rsid w:val="007B12B1"/>
    <w:rsid w:val="007B5215"/>
    <w:rsid w:val="007B58BB"/>
    <w:rsid w:val="007B7F41"/>
    <w:rsid w:val="007C07B6"/>
    <w:rsid w:val="007F1ADC"/>
    <w:rsid w:val="007F1E97"/>
    <w:rsid w:val="007F3462"/>
    <w:rsid w:val="007F5412"/>
    <w:rsid w:val="00810BCF"/>
    <w:rsid w:val="008133BD"/>
    <w:rsid w:val="00820B3D"/>
    <w:rsid w:val="00832943"/>
    <w:rsid w:val="0083528B"/>
    <w:rsid w:val="008455F9"/>
    <w:rsid w:val="00847FF1"/>
    <w:rsid w:val="00850EF6"/>
    <w:rsid w:val="008747D7"/>
    <w:rsid w:val="00875AD9"/>
    <w:rsid w:val="008852A2"/>
    <w:rsid w:val="0089307E"/>
    <w:rsid w:val="008B72C9"/>
    <w:rsid w:val="008C1BA8"/>
    <w:rsid w:val="008D1E6B"/>
    <w:rsid w:val="008D44B4"/>
    <w:rsid w:val="008D77F8"/>
    <w:rsid w:val="008E28AF"/>
    <w:rsid w:val="008E74EA"/>
    <w:rsid w:val="009006FE"/>
    <w:rsid w:val="00902AA4"/>
    <w:rsid w:val="0090535B"/>
    <w:rsid w:val="009130D6"/>
    <w:rsid w:val="00914BEB"/>
    <w:rsid w:val="00915263"/>
    <w:rsid w:val="00915E53"/>
    <w:rsid w:val="00916BFE"/>
    <w:rsid w:val="00917350"/>
    <w:rsid w:val="0092012B"/>
    <w:rsid w:val="0093049C"/>
    <w:rsid w:val="009332D9"/>
    <w:rsid w:val="009346A2"/>
    <w:rsid w:val="00935A49"/>
    <w:rsid w:val="0093763E"/>
    <w:rsid w:val="009438F9"/>
    <w:rsid w:val="00952C62"/>
    <w:rsid w:val="00953E0E"/>
    <w:rsid w:val="00961A7E"/>
    <w:rsid w:val="009625EA"/>
    <w:rsid w:val="00973528"/>
    <w:rsid w:val="00976107"/>
    <w:rsid w:val="0098197F"/>
    <w:rsid w:val="009841F4"/>
    <w:rsid w:val="009A220A"/>
    <w:rsid w:val="009A4BE9"/>
    <w:rsid w:val="009B1D13"/>
    <w:rsid w:val="009B5957"/>
    <w:rsid w:val="009B5A70"/>
    <w:rsid w:val="009D0FCA"/>
    <w:rsid w:val="009D1593"/>
    <w:rsid w:val="009D3921"/>
    <w:rsid w:val="009F69C6"/>
    <w:rsid w:val="00A07E59"/>
    <w:rsid w:val="00A107A2"/>
    <w:rsid w:val="00A11EEC"/>
    <w:rsid w:val="00A14606"/>
    <w:rsid w:val="00A17C18"/>
    <w:rsid w:val="00A253D8"/>
    <w:rsid w:val="00A265A4"/>
    <w:rsid w:val="00A26D17"/>
    <w:rsid w:val="00A323A9"/>
    <w:rsid w:val="00A332F5"/>
    <w:rsid w:val="00A34C86"/>
    <w:rsid w:val="00A34CC8"/>
    <w:rsid w:val="00A36E17"/>
    <w:rsid w:val="00A41F4E"/>
    <w:rsid w:val="00A44BAD"/>
    <w:rsid w:val="00A45FEB"/>
    <w:rsid w:val="00A502A0"/>
    <w:rsid w:val="00A506D5"/>
    <w:rsid w:val="00A54F1F"/>
    <w:rsid w:val="00A55D24"/>
    <w:rsid w:val="00A56108"/>
    <w:rsid w:val="00A70389"/>
    <w:rsid w:val="00A72969"/>
    <w:rsid w:val="00A7729B"/>
    <w:rsid w:val="00A81C63"/>
    <w:rsid w:val="00AA7326"/>
    <w:rsid w:val="00AC5E2E"/>
    <w:rsid w:val="00AD13EF"/>
    <w:rsid w:val="00AD1F28"/>
    <w:rsid w:val="00AD51D8"/>
    <w:rsid w:val="00AE0132"/>
    <w:rsid w:val="00AE1D74"/>
    <w:rsid w:val="00AE249F"/>
    <w:rsid w:val="00AF12A2"/>
    <w:rsid w:val="00AF5D67"/>
    <w:rsid w:val="00B005A6"/>
    <w:rsid w:val="00B038FE"/>
    <w:rsid w:val="00B2739E"/>
    <w:rsid w:val="00B364DC"/>
    <w:rsid w:val="00B372E7"/>
    <w:rsid w:val="00B41AE6"/>
    <w:rsid w:val="00B44173"/>
    <w:rsid w:val="00B73294"/>
    <w:rsid w:val="00B737F6"/>
    <w:rsid w:val="00B77CC7"/>
    <w:rsid w:val="00B93E44"/>
    <w:rsid w:val="00B94EB6"/>
    <w:rsid w:val="00BB5CC9"/>
    <w:rsid w:val="00BD0C7F"/>
    <w:rsid w:val="00BD66D8"/>
    <w:rsid w:val="00BE5D9B"/>
    <w:rsid w:val="00BF03F3"/>
    <w:rsid w:val="00BF422F"/>
    <w:rsid w:val="00BF42B6"/>
    <w:rsid w:val="00BF6F1F"/>
    <w:rsid w:val="00BF7C65"/>
    <w:rsid w:val="00C03394"/>
    <w:rsid w:val="00C0366B"/>
    <w:rsid w:val="00C036CB"/>
    <w:rsid w:val="00C2000E"/>
    <w:rsid w:val="00C2765C"/>
    <w:rsid w:val="00C33237"/>
    <w:rsid w:val="00C442D8"/>
    <w:rsid w:val="00C5461B"/>
    <w:rsid w:val="00C66EE5"/>
    <w:rsid w:val="00C75F40"/>
    <w:rsid w:val="00C817D7"/>
    <w:rsid w:val="00C852D1"/>
    <w:rsid w:val="00CB20D3"/>
    <w:rsid w:val="00CB4A0A"/>
    <w:rsid w:val="00CB6D66"/>
    <w:rsid w:val="00CC3E89"/>
    <w:rsid w:val="00CD13B1"/>
    <w:rsid w:val="00CD6128"/>
    <w:rsid w:val="00CE3342"/>
    <w:rsid w:val="00CF66CF"/>
    <w:rsid w:val="00D04AE8"/>
    <w:rsid w:val="00D0587A"/>
    <w:rsid w:val="00D13DCA"/>
    <w:rsid w:val="00D13E51"/>
    <w:rsid w:val="00D151DF"/>
    <w:rsid w:val="00D27E0B"/>
    <w:rsid w:val="00D36954"/>
    <w:rsid w:val="00D53AE0"/>
    <w:rsid w:val="00D60B4C"/>
    <w:rsid w:val="00D65061"/>
    <w:rsid w:val="00D70C65"/>
    <w:rsid w:val="00D73B87"/>
    <w:rsid w:val="00D85E39"/>
    <w:rsid w:val="00D94D3C"/>
    <w:rsid w:val="00DA25B0"/>
    <w:rsid w:val="00DB2C6D"/>
    <w:rsid w:val="00DB5E91"/>
    <w:rsid w:val="00DC6993"/>
    <w:rsid w:val="00DD56EC"/>
    <w:rsid w:val="00DE5639"/>
    <w:rsid w:val="00DE76EE"/>
    <w:rsid w:val="00DF1911"/>
    <w:rsid w:val="00DF3FE1"/>
    <w:rsid w:val="00DF43A7"/>
    <w:rsid w:val="00E020D0"/>
    <w:rsid w:val="00E07745"/>
    <w:rsid w:val="00E1603F"/>
    <w:rsid w:val="00E1667C"/>
    <w:rsid w:val="00E20086"/>
    <w:rsid w:val="00E25BAB"/>
    <w:rsid w:val="00E33986"/>
    <w:rsid w:val="00E33C3E"/>
    <w:rsid w:val="00E37F21"/>
    <w:rsid w:val="00E46009"/>
    <w:rsid w:val="00E555DD"/>
    <w:rsid w:val="00E6406D"/>
    <w:rsid w:val="00E812E0"/>
    <w:rsid w:val="00E84034"/>
    <w:rsid w:val="00E876E6"/>
    <w:rsid w:val="00E87F69"/>
    <w:rsid w:val="00EA206E"/>
    <w:rsid w:val="00EA29E2"/>
    <w:rsid w:val="00EA43D0"/>
    <w:rsid w:val="00EA4EB0"/>
    <w:rsid w:val="00EB55E9"/>
    <w:rsid w:val="00EC237B"/>
    <w:rsid w:val="00EC4001"/>
    <w:rsid w:val="00ED715C"/>
    <w:rsid w:val="00EE07AB"/>
    <w:rsid w:val="00EE3FB6"/>
    <w:rsid w:val="00EE42CC"/>
    <w:rsid w:val="00EF1B2C"/>
    <w:rsid w:val="00F00EE7"/>
    <w:rsid w:val="00F01318"/>
    <w:rsid w:val="00F03C96"/>
    <w:rsid w:val="00F071B2"/>
    <w:rsid w:val="00F11802"/>
    <w:rsid w:val="00F144E1"/>
    <w:rsid w:val="00F40206"/>
    <w:rsid w:val="00F84F6C"/>
    <w:rsid w:val="00F925AD"/>
    <w:rsid w:val="00F96433"/>
    <w:rsid w:val="00FA14C4"/>
    <w:rsid w:val="00FA570B"/>
    <w:rsid w:val="00FA7CC6"/>
    <w:rsid w:val="00FB11ED"/>
    <w:rsid w:val="00FC1533"/>
    <w:rsid w:val="00FD1EDA"/>
    <w:rsid w:val="00FD42D2"/>
    <w:rsid w:val="00FE1B72"/>
    <w:rsid w:val="00FE27F0"/>
    <w:rsid w:val="00FE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8A9E"/>
  <w15:chartTrackingRefBased/>
  <w15:docId w15:val="{C872AEA3-9FD7-4B57-B4FC-4AF08B0F0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29A"/>
    <w:pPr>
      <w:spacing w:after="0" w:line="240" w:lineRule="auto"/>
    </w:pPr>
    <w:rPr>
      <w:rFonts w:ascii="Times New Roman" w:eastAsia="Times New Roman" w:hAnsi="Times New Roman" w:cs="Times New Roman"/>
      <w:sz w:val="24"/>
      <w:szCs w:val="24"/>
      <w:lang w:val="es-CO"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a vistosa - Énfasis 11,Párrafo de lista1,List Paragraph11,Subtle Emphasis1,Footnote1,Parrafos"/>
    <w:basedOn w:val="Normal"/>
    <w:link w:val="PrrafodelistaCar"/>
    <w:uiPriority w:val="34"/>
    <w:qFormat/>
    <w:rsid w:val="005A2461"/>
    <w:pPr>
      <w:spacing w:after="120"/>
      <w:ind w:left="720"/>
      <w:contextualSpacing/>
      <w:jc w:val="both"/>
    </w:pPr>
    <w:rPr>
      <w:rFonts w:ascii="Verdana" w:eastAsia="Calibri" w:hAnsi="Verdana" w:cs="Times"/>
      <w:sz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5A2461"/>
    <w:rPr>
      <w:vertAlign w:val="superscript"/>
    </w:rPr>
  </w:style>
  <w:style w:type="character" w:styleId="Refdecomentario">
    <w:name w:val="annotation reference"/>
    <w:basedOn w:val="Fuentedeprrafopredeter"/>
    <w:uiPriority w:val="99"/>
    <w:semiHidden/>
    <w:unhideWhenUsed/>
    <w:rsid w:val="00265A0A"/>
    <w:rPr>
      <w:sz w:val="16"/>
      <w:szCs w:val="16"/>
    </w:rPr>
  </w:style>
  <w:style w:type="paragraph" w:styleId="Textocomentario">
    <w:name w:val="annotation text"/>
    <w:basedOn w:val="Normal"/>
    <w:link w:val="TextocomentarioCar"/>
    <w:uiPriority w:val="99"/>
    <w:unhideWhenUsed/>
    <w:rsid w:val="00265A0A"/>
    <w:pPr>
      <w:spacing w:after="120"/>
      <w:jc w:val="both"/>
    </w:pPr>
    <w:rPr>
      <w:rFonts w:ascii="Verdana" w:eastAsia="Calibri" w:hAnsi="Verdana" w:cs="Times"/>
      <w:sz w:val="20"/>
      <w:szCs w:val="20"/>
      <w:lang w:val="es-ES_tradnl" w:eastAsia="es-ES"/>
    </w:rPr>
  </w:style>
  <w:style w:type="character" w:customStyle="1" w:styleId="TextocomentarioCar">
    <w:name w:val="Texto comentario Car"/>
    <w:basedOn w:val="Fuentedeprrafopredeter"/>
    <w:link w:val="Textocomentario"/>
    <w:uiPriority w:val="99"/>
    <w:rsid w:val="00265A0A"/>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65A0A"/>
    <w:rPr>
      <w:b/>
      <w:bCs/>
    </w:rPr>
  </w:style>
  <w:style w:type="character" w:customStyle="1" w:styleId="AsuntodelcomentarioCar">
    <w:name w:val="Asunto del comentario Car"/>
    <w:basedOn w:val="TextocomentarioCar"/>
    <w:link w:val="Asuntodelcomentario"/>
    <w:uiPriority w:val="99"/>
    <w:semiHidden/>
    <w:rsid w:val="00265A0A"/>
    <w:rPr>
      <w:rFonts w:ascii="Verdana" w:eastAsia="Calibri" w:hAnsi="Verdana" w:cs="Times"/>
      <w:b/>
      <w:bCs/>
      <w:sz w:val="20"/>
      <w:szCs w:val="20"/>
      <w:lang w:val="es-ES_tradnl" w:eastAsia="es-ES"/>
    </w:rPr>
  </w:style>
  <w:style w:type="paragraph" w:styleId="Textodeglobo">
    <w:name w:val="Balloon Text"/>
    <w:basedOn w:val="Normal"/>
    <w:link w:val="TextodegloboCar"/>
    <w:uiPriority w:val="99"/>
    <w:semiHidden/>
    <w:unhideWhenUsed/>
    <w:rsid w:val="00265A0A"/>
    <w:pPr>
      <w:jc w:val="both"/>
    </w:pPr>
    <w:rPr>
      <w:rFonts w:ascii="Segoe UI" w:eastAsia="Calibri" w:hAnsi="Segoe UI" w:cs="Segoe UI"/>
      <w:sz w:val="18"/>
      <w:szCs w:val="18"/>
      <w:lang w:val="es-ES_tradnl" w:eastAsia="es-ES"/>
    </w:rPr>
  </w:style>
  <w:style w:type="character" w:customStyle="1" w:styleId="TextodegloboCar">
    <w:name w:val="Texto de globo Car"/>
    <w:basedOn w:val="Fuentedeprrafopredeter"/>
    <w:link w:val="Textodeglobo"/>
    <w:uiPriority w:val="99"/>
    <w:semiHidden/>
    <w:rsid w:val="00265A0A"/>
    <w:rPr>
      <w:rFonts w:ascii="Segoe UI" w:eastAsia="Calibri" w:hAnsi="Segoe UI" w:cs="Segoe UI"/>
      <w:sz w:val="18"/>
      <w:szCs w:val="18"/>
      <w:lang w:val="es-ES_tradnl" w:eastAsia="es-ES"/>
    </w:rPr>
  </w:style>
  <w:style w:type="character" w:customStyle="1" w:styleId="PrrafodelistaCar">
    <w:name w:val="Párrafo de lista Car"/>
    <w:aliases w:val="Footnote Car,List Paragraph2 Car,Lista vistosa - Énfasis 11 Car,Párrafo de lista1 Car,List Paragraph11 Car,Subtle Emphasis1 Car,Footnote1 Car,Parrafos Car"/>
    <w:link w:val="Prrafodelista"/>
    <w:uiPriority w:val="34"/>
    <w:locked/>
    <w:rsid w:val="00E87F69"/>
    <w:rPr>
      <w:rFonts w:ascii="Verdana" w:eastAsia="Calibri" w:hAnsi="Verdana" w:cs="Times"/>
      <w:sz w:val="20"/>
      <w:szCs w:val="24"/>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ootnote text,Car"/>
    <w:basedOn w:val="Normal"/>
    <w:link w:val="TextonotapieCar"/>
    <w:unhideWhenUsed/>
    <w:qFormat/>
    <w:rsid w:val="00A323A9"/>
    <w:pPr>
      <w:jc w:val="both"/>
    </w:pPr>
    <w:rPr>
      <w:rFonts w:ascii="Verdana" w:eastAsia="Calibri" w:hAnsi="Verdana" w:cs="Times"/>
      <w:sz w:val="20"/>
      <w:szCs w:val="20"/>
      <w:lang w:val="es-ES_tradnl" w:eastAsia="es-ES"/>
    </w:rPr>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a Car,Car Car"/>
    <w:basedOn w:val="Fuentedeprrafopredeter"/>
    <w:link w:val="Textonotapie"/>
    <w:uiPriority w:val="99"/>
    <w:semiHidden/>
    <w:rsid w:val="00A323A9"/>
    <w:rPr>
      <w:rFonts w:ascii="Verdana" w:eastAsia="Calibri" w:hAnsi="Verdana" w:cs="Times"/>
      <w:sz w:val="20"/>
      <w:szCs w:val="20"/>
      <w:lang w:val="es-ES_tradnl" w:eastAsia="es-ES"/>
    </w:rPr>
  </w:style>
  <w:style w:type="paragraph" w:styleId="Textoindependiente">
    <w:name w:val="Body Text"/>
    <w:basedOn w:val="Normal"/>
    <w:link w:val="TextoindependienteCar"/>
    <w:rsid w:val="0038340E"/>
    <w:pPr>
      <w:spacing w:after="120"/>
    </w:pPr>
    <w:rPr>
      <w:rFonts w:ascii="Verdana" w:hAnsi="Verdana"/>
      <w:sz w:val="20"/>
      <w:szCs w:val="20"/>
      <w:lang w:val="es-ES_tradnl" w:eastAsia="en-US"/>
    </w:rPr>
  </w:style>
  <w:style w:type="character" w:customStyle="1" w:styleId="TextoindependienteCar">
    <w:name w:val="Texto independiente Car"/>
    <w:basedOn w:val="Fuentedeprrafopredeter"/>
    <w:link w:val="Textoindependiente"/>
    <w:rsid w:val="0038340E"/>
    <w:rPr>
      <w:rFonts w:ascii="Verdana" w:eastAsia="Times New Roman" w:hAnsi="Verdana" w:cs="Times New Roman"/>
      <w:sz w:val="20"/>
      <w:szCs w:val="20"/>
      <w:lang w:val="es-ES_tradnl"/>
    </w:rPr>
  </w:style>
  <w:style w:type="paragraph" w:styleId="Encabezado">
    <w:name w:val="header"/>
    <w:basedOn w:val="Normal"/>
    <w:link w:val="EncabezadoCar"/>
    <w:uiPriority w:val="99"/>
    <w:unhideWhenUsed/>
    <w:rsid w:val="00DF3FE1"/>
    <w:pPr>
      <w:tabs>
        <w:tab w:val="center" w:pos="4419"/>
        <w:tab w:val="right" w:pos="8838"/>
      </w:tabs>
      <w:jc w:val="both"/>
    </w:pPr>
    <w:rPr>
      <w:rFonts w:ascii="Verdana" w:eastAsia="Calibri" w:hAnsi="Verdana" w:cs="Times"/>
      <w:sz w:val="20"/>
      <w:lang w:val="es-ES_tradnl" w:eastAsia="es-ES"/>
    </w:rPr>
  </w:style>
  <w:style w:type="character" w:customStyle="1" w:styleId="EncabezadoCar">
    <w:name w:val="Encabezado Car"/>
    <w:basedOn w:val="Fuentedeprrafopredeter"/>
    <w:link w:val="Encabezado"/>
    <w:uiPriority w:val="99"/>
    <w:rsid w:val="00DF3FE1"/>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DF3FE1"/>
    <w:pPr>
      <w:tabs>
        <w:tab w:val="center" w:pos="4419"/>
        <w:tab w:val="right" w:pos="8838"/>
      </w:tabs>
      <w:jc w:val="both"/>
    </w:pPr>
    <w:rPr>
      <w:rFonts w:ascii="Verdana" w:eastAsia="Calibri" w:hAnsi="Verdana" w:cs="Times"/>
      <w:sz w:val="20"/>
      <w:lang w:val="es-ES_tradnl" w:eastAsia="es-ES"/>
    </w:rPr>
  </w:style>
  <w:style w:type="character" w:customStyle="1" w:styleId="PiedepginaCar">
    <w:name w:val="Pie de página Car"/>
    <w:basedOn w:val="Fuentedeprrafopredeter"/>
    <w:link w:val="Piedepgina"/>
    <w:uiPriority w:val="99"/>
    <w:rsid w:val="00DF3FE1"/>
    <w:rPr>
      <w:rFonts w:ascii="Verdana" w:eastAsia="Calibri" w:hAnsi="Verdana" w:cs="Times"/>
      <w:sz w:val="20"/>
      <w:szCs w:val="24"/>
      <w:lang w:val="es-ES_tradnl" w:eastAsia="es-E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qFormat/>
    <w:rsid w:val="006A66FC"/>
    <w:rPr>
      <w:rFonts w:ascii="Verdana" w:eastAsia="Calibri" w:hAnsi="Verdana" w:cs="Times"/>
      <w:sz w:val="16"/>
      <w:szCs w:val="20"/>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A66FC"/>
    <w:pPr>
      <w:jc w:val="both"/>
    </w:pPr>
    <w:rPr>
      <w:rFonts w:asciiTheme="minorHAnsi" w:eastAsiaTheme="minorHAnsi" w:hAnsiTheme="minorHAnsi" w:cstheme="minorBidi"/>
      <w:sz w:val="22"/>
      <w:szCs w:val="22"/>
      <w:vertAlign w:val="superscript"/>
      <w:lang w:val="en-US" w:eastAsia="en-US"/>
    </w:rPr>
  </w:style>
  <w:style w:type="paragraph" w:styleId="NormalWeb">
    <w:name w:val="Normal (Web)"/>
    <w:basedOn w:val="Normal"/>
    <w:uiPriority w:val="99"/>
    <w:unhideWhenUsed/>
    <w:rsid w:val="00E46009"/>
    <w:pPr>
      <w:spacing w:before="100" w:beforeAutospacing="1" w:after="100" w:afterAutospacing="1"/>
    </w:pPr>
  </w:style>
  <w:style w:type="paragraph" w:customStyle="1" w:styleId="ColorfulList-Accent11">
    <w:name w:val="Colorful List - Accent 11"/>
    <w:basedOn w:val="Normal"/>
    <w:uiPriority w:val="99"/>
    <w:qFormat/>
    <w:rsid w:val="00953E0E"/>
    <w:pPr>
      <w:spacing w:after="120"/>
      <w:ind w:left="720"/>
      <w:contextualSpacing/>
      <w:jc w:val="both"/>
    </w:pPr>
    <w:rPr>
      <w:rFonts w:ascii="Verdana" w:eastAsia="Calibri" w:hAnsi="Verdana" w:cs="Times"/>
      <w:sz w:val="20"/>
      <w:lang w:val="es-ES_tradnl" w:eastAsia="es-ES"/>
    </w:rPr>
  </w:style>
  <w:style w:type="character" w:styleId="Nmerodelnea">
    <w:name w:val="line number"/>
    <w:basedOn w:val="Fuentedeprrafopredeter"/>
    <w:uiPriority w:val="99"/>
    <w:semiHidden/>
    <w:unhideWhenUsed/>
    <w:rsid w:val="001238C6"/>
  </w:style>
  <w:style w:type="character" w:styleId="Nmerodepgina">
    <w:name w:val="page number"/>
    <w:basedOn w:val="Fuentedeprrafopredeter"/>
    <w:uiPriority w:val="99"/>
    <w:semiHidden/>
    <w:unhideWhenUsed/>
    <w:rsid w:val="001238C6"/>
  </w:style>
  <w:style w:type="paragraph" w:styleId="Revisin">
    <w:name w:val="Revision"/>
    <w:hidden/>
    <w:uiPriority w:val="99"/>
    <w:semiHidden/>
    <w:rsid w:val="00FE6634"/>
    <w:pPr>
      <w:spacing w:after="0" w:line="240" w:lineRule="auto"/>
    </w:pPr>
    <w:rPr>
      <w:rFonts w:ascii="Verdana" w:eastAsia="Calibri" w:hAnsi="Verdana" w:cs="Times"/>
      <w:sz w:val="20"/>
      <w:szCs w:val="24"/>
      <w:lang w:val="es-ES_tradnl" w:eastAsia="es-ES"/>
    </w:rPr>
  </w:style>
  <w:style w:type="paragraph" w:styleId="Textoindependiente2">
    <w:name w:val="Body Text 2"/>
    <w:basedOn w:val="Normal"/>
    <w:link w:val="Textoindependiente2Car"/>
    <w:uiPriority w:val="99"/>
    <w:semiHidden/>
    <w:unhideWhenUsed/>
    <w:rsid w:val="009625EA"/>
    <w:pPr>
      <w:spacing w:after="120" w:line="480" w:lineRule="auto"/>
      <w:jc w:val="both"/>
    </w:pPr>
    <w:rPr>
      <w:rFonts w:ascii="Verdana" w:eastAsia="Calibri" w:hAnsi="Verdana" w:cs="Times"/>
      <w:sz w:val="20"/>
      <w:lang w:val="es-ES_tradnl" w:eastAsia="es-ES"/>
    </w:rPr>
  </w:style>
  <w:style w:type="character" w:customStyle="1" w:styleId="Textoindependiente2Car">
    <w:name w:val="Texto independiente 2 Car"/>
    <w:basedOn w:val="Fuentedeprrafopredeter"/>
    <w:link w:val="Textoindependiente2"/>
    <w:uiPriority w:val="99"/>
    <w:semiHidden/>
    <w:rsid w:val="009625EA"/>
    <w:rPr>
      <w:rFonts w:ascii="Verdana" w:eastAsia="Calibri" w:hAnsi="Verdana" w:cs="Times"/>
      <w:sz w:val="20"/>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8630">
      <w:bodyDiv w:val="1"/>
      <w:marLeft w:val="0"/>
      <w:marRight w:val="0"/>
      <w:marTop w:val="0"/>
      <w:marBottom w:val="0"/>
      <w:divBdr>
        <w:top w:val="none" w:sz="0" w:space="0" w:color="auto"/>
        <w:left w:val="none" w:sz="0" w:space="0" w:color="auto"/>
        <w:bottom w:val="none" w:sz="0" w:space="0" w:color="auto"/>
        <w:right w:val="none" w:sz="0" w:space="0" w:color="auto"/>
      </w:divBdr>
    </w:div>
    <w:div w:id="144978081">
      <w:bodyDiv w:val="1"/>
      <w:marLeft w:val="0"/>
      <w:marRight w:val="0"/>
      <w:marTop w:val="0"/>
      <w:marBottom w:val="0"/>
      <w:divBdr>
        <w:top w:val="none" w:sz="0" w:space="0" w:color="auto"/>
        <w:left w:val="none" w:sz="0" w:space="0" w:color="auto"/>
        <w:bottom w:val="none" w:sz="0" w:space="0" w:color="auto"/>
        <w:right w:val="none" w:sz="0" w:space="0" w:color="auto"/>
      </w:divBdr>
    </w:div>
    <w:div w:id="280918175">
      <w:bodyDiv w:val="1"/>
      <w:marLeft w:val="0"/>
      <w:marRight w:val="0"/>
      <w:marTop w:val="0"/>
      <w:marBottom w:val="0"/>
      <w:divBdr>
        <w:top w:val="none" w:sz="0" w:space="0" w:color="auto"/>
        <w:left w:val="none" w:sz="0" w:space="0" w:color="auto"/>
        <w:bottom w:val="none" w:sz="0" w:space="0" w:color="auto"/>
        <w:right w:val="none" w:sz="0" w:space="0" w:color="auto"/>
      </w:divBdr>
    </w:div>
    <w:div w:id="314576843">
      <w:bodyDiv w:val="1"/>
      <w:marLeft w:val="0"/>
      <w:marRight w:val="0"/>
      <w:marTop w:val="0"/>
      <w:marBottom w:val="0"/>
      <w:divBdr>
        <w:top w:val="none" w:sz="0" w:space="0" w:color="auto"/>
        <w:left w:val="none" w:sz="0" w:space="0" w:color="auto"/>
        <w:bottom w:val="none" w:sz="0" w:space="0" w:color="auto"/>
        <w:right w:val="none" w:sz="0" w:space="0" w:color="auto"/>
      </w:divBdr>
      <w:divsChild>
        <w:div w:id="1326125725">
          <w:marLeft w:val="0"/>
          <w:marRight w:val="0"/>
          <w:marTop w:val="0"/>
          <w:marBottom w:val="0"/>
          <w:divBdr>
            <w:top w:val="none" w:sz="0" w:space="0" w:color="auto"/>
            <w:left w:val="none" w:sz="0" w:space="0" w:color="auto"/>
            <w:bottom w:val="none" w:sz="0" w:space="0" w:color="auto"/>
            <w:right w:val="none" w:sz="0" w:space="0" w:color="auto"/>
          </w:divBdr>
          <w:divsChild>
            <w:div w:id="1167943115">
              <w:marLeft w:val="0"/>
              <w:marRight w:val="0"/>
              <w:marTop w:val="0"/>
              <w:marBottom w:val="0"/>
              <w:divBdr>
                <w:top w:val="none" w:sz="0" w:space="0" w:color="auto"/>
                <w:left w:val="none" w:sz="0" w:space="0" w:color="auto"/>
                <w:bottom w:val="none" w:sz="0" w:space="0" w:color="auto"/>
                <w:right w:val="none" w:sz="0" w:space="0" w:color="auto"/>
              </w:divBdr>
              <w:divsChild>
                <w:div w:id="17125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81740">
      <w:bodyDiv w:val="1"/>
      <w:marLeft w:val="0"/>
      <w:marRight w:val="0"/>
      <w:marTop w:val="0"/>
      <w:marBottom w:val="0"/>
      <w:divBdr>
        <w:top w:val="none" w:sz="0" w:space="0" w:color="auto"/>
        <w:left w:val="none" w:sz="0" w:space="0" w:color="auto"/>
        <w:bottom w:val="none" w:sz="0" w:space="0" w:color="auto"/>
        <w:right w:val="none" w:sz="0" w:space="0" w:color="auto"/>
      </w:divBdr>
    </w:div>
    <w:div w:id="636842301">
      <w:bodyDiv w:val="1"/>
      <w:marLeft w:val="0"/>
      <w:marRight w:val="0"/>
      <w:marTop w:val="0"/>
      <w:marBottom w:val="0"/>
      <w:divBdr>
        <w:top w:val="none" w:sz="0" w:space="0" w:color="auto"/>
        <w:left w:val="none" w:sz="0" w:space="0" w:color="auto"/>
        <w:bottom w:val="none" w:sz="0" w:space="0" w:color="auto"/>
        <w:right w:val="none" w:sz="0" w:space="0" w:color="auto"/>
      </w:divBdr>
      <w:divsChild>
        <w:div w:id="1144007067">
          <w:marLeft w:val="0"/>
          <w:marRight w:val="0"/>
          <w:marTop w:val="0"/>
          <w:marBottom w:val="0"/>
          <w:divBdr>
            <w:top w:val="none" w:sz="0" w:space="0" w:color="auto"/>
            <w:left w:val="none" w:sz="0" w:space="0" w:color="auto"/>
            <w:bottom w:val="none" w:sz="0" w:space="0" w:color="auto"/>
            <w:right w:val="none" w:sz="0" w:space="0" w:color="auto"/>
          </w:divBdr>
          <w:divsChild>
            <w:div w:id="1580364303">
              <w:marLeft w:val="0"/>
              <w:marRight w:val="0"/>
              <w:marTop w:val="0"/>
              <w:marBottom w:val="0"/>
              <w:divBdr>
                <w:top w:val="none" w:sz="0" w:space="0" w:color="auto"/>
                <w:left w:val="none" w:sz="0" w:space="0" w:color="auto"/>
                <w:bottom w:val="none" w:sz="0" w:space="0" w:color="auto"/>
                <w:right w:val="none" w:sz="0" w:space="0" w:color="auto"/>
              </w:divBdr>
              <w:divsChild>
                <w:div w:id="7750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154338">
      <w:bodyDiv w:val="1"/>
      <w:marLeft w:val="0"/>
      <w:marRight w:val="0"/>
      <w:marTop w:val="0"/>
      <w:marBottom w:val="0"/>
      <w:divBdr>
        <w:top w:val="none" w:sz="0" w:space="0" w:color="auto"/>
        <w:left w:val="none" w:sz="0" w:space="0" w:color="auto"/>
        <w:bottom w:val="none" w:sz="0" w:space="0" w:color="auto"/>
        <w:right w:val="none" w:sz="0" w:space="0" w:color="auto"/>
      </w:divBdr>
      <w:divsChild>
        <w:div w:id="1253390871">
          <w:marLeft w:val="0"/>
          <w:marRight w:val="0"/>
          <w:marTop w:val="0"/>
          <w:marBottom w:val="0"/>
          <w:divBdr>
            <w:top w:val="none" w:sz="0" w:space="0" w:color="auto"/>
            <w:left w:val="none" w:sz="0" w:space="0" w:color="auto"/>
            <w:bottom w:val="none" w:sz="0" w:space="0" w:color="auto"/>
            <w:right w:val="none" w:sz="0" w:space="0" w:color="auto"/>
          </w:divBdr>
          <w:divsChild>
            <w:div w:id="1734309905">
              <w:marLeft w:val="0"/>
              <w:marRight w:val="0"/>
              <w:marTop w:val="0"/>
              <w:marBottom w:val="0"/>
              <w:divBdr>
                <w:top w:val="none" w:sz="0" w:space="0" w:color="auto"/>
                <w:left w:val="none" w:sz="0" w:space="0" w:color="auto"/>
                <w:bottom w:val="none" w:sz="0" w:space="0" w:color="auto"/>
                <w:right w:val="none" w:sz="0" w:space="0" w:color="auto"/>
              </w:divBdr>
              <w:divsChild>
                <w:div w:id="18448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049">
      <w:bodyDiv w:val="1"/>
      <w:marLeft w:val="0"/>
      <w:marRight w:val="0"/>
      <w:marTop w:val="0"/>
      <w:marBottom w:val="0"/>
      <w:divBdr>
        <w:top w:val="none" w:sz="0" w:space="0" w:color="auto"/>
        <w:left w:val="none" w:sz="0" w:space="0" w:color="auto"/>
        <w:bottom w:val="none" w:sz="0" w:space="0" w:color="auto"/>
        <w:right w:val="none" w:sz="0" w:space="0" w:color="auto"/>
      </w:divBdr>
      <w:divsChild>
        <w:div w:id="647322375">
          <w:marLeft w:val="0"/>
          <w:marRight w:val="0"/>
          <w:marTop w:val="0"/>
          <w:marBottom w:val="0"/>
          <w:divBdr>
            <w:top w:val="none" w:sz="0" w:space="0" w:color="auto"/>
            <w:left w:val="none" w:sz="0" w:space="0" w:color="auto"/>
            <w:bottom w:val="none" w:sz="0" w:space="0" w:color="auto"/>
            <w:right w:val="none" w:sz="0" w:space="0" w:color="auto"/>
          </w:divBdr>
          <w:divsChild>
            <w:div w:id="274095208">
              <w:marLeft w:val="0"/>
              <w:marRight w:val="0"/>
              <w:marTop w:val="0"/>
              <w:marBottom w:val="0"/>
              <w:divBdr>
                <w:top w:val="none" w:sz="0" w:space="0" w:color="auto"/>
                <w:left w:val="none" w:sz="0" w:space="0" w:color="auto"/>
                <w:bottom w:val="none" w:sz="0" w:space="0" w:color="auto"/>
                <w:right w:val="none" w:sz="0" w:space="0" w:color="auto"/>
              </w:divBdr>
              <w:divsChild>
                <w:div w:id="6169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10481">
      <w:bodyDiv w:val="1"/>
      <w:marLeft w:val="0"/>
      <w:marRight w:val="0"/>
      <w:marTop w:val="0"/>
      <w:marBottom w:val="0"/>
      <w:divBdr>
        <w:top w:val="none" w:sz="0" w:space="0" w:color="auto"/>
        <w:left w:val="none" w:sz="0" w:space="0" w:color="auto"/>
        <w:bottom w:val="none" w:sz="0" w:space="0" w:color="auto"/>
        <w:right w:val="none" w:sz="0" w:space="0" w:color="auto"/>
      </w:divBdr>
      <w:divsChild>
        <w:div w:id="808669892">
          <w:marLeft w:val="0"/>
          <w:marRight w:val="0"/>
          <w:marTop w:val="0"/>
          <w:marBottom w:val="0"/>
          <w:divBdr>
            <w:top w:val="none" w:sz="0" w:space="0" w:color="auto"/>
            <w:left w:val="none" w:sz="0" w:space="0" w:color="auto"/>
            <w:bottom w:val="none" w:sz="0" w:space="0" w:color="auto"/>
            <w:right w:val="none" w:sz="0" w:space="0" w:color="auto"/>
          </w:divBdr>
          <w:divsChild>
            <w:div w:id="2112125558">
              <w:marLeft w:val="0"/>
              <w:marRight w:val="0"/>
              <w:marTop w:val="0"/>
              <w:marBottom w:val="0"/>
              <w:divBdr>
                <w:top w:val="none" w:sz="0" w:space="0" w:color="auto"/>
                <w:left w:val="none" w:sz="0" w:space="0" w:color="auto"/>
                <w:bottom w:val="none" w:sz="0" w:space="0" w:color="auto"/>
                <w:right w:val="none" w:sz="0" w:space="0" w:color="auto"/>
              </w:divBdr>
              <w:divsChild>
                <w:div w:id="209882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71375-13E7-544E-BD5C-57232966F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2802</Words>
  <Characters>15413</Characters>
  <Application>Microsoft Office Word</Application>
  <DocSecurity>0</DocSecurity>
  <Lines>128</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2022-05-26T15:12:00Z</cp:lastPrinted>
  <dcterms:created xsi:type="dcterms:W3CDTF">2022-06-02T17:25:00Z</dcterms:created>
  <dcterms:modified xsi:type="dcterms:W3CDTF">2022-06-02T17:25:00Z</dcterms:modified>
</cp:coreProperties>
</file>