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938C7" w14:textId="4F8D1759" w:rsidR="00953C74" w:rsidRDefault="00953C74" w:rsidP="00953C74">
      <w:pPr>
        <w:pStyle w:val="NormalWeb"/>
        <w:jc w:val="both"/>
        <w:rPr>
          <w:rFonts w:ascii="Verdana" w:hAnsi="Verdana" w:cs="Calibri"/>
          <w:b/>
          <w:color w:val="000000"/>
          <w:sz w:val="20"/>
          <w:szCs w:val="20"/>
        </w:rPr>
      </w:pPr>
    </w:p>
    <w:p w14:paraId="72C593DC" w14:textId="683F06EE" w:rsidR="00AC143C" w:rsidRDefault="00AC143C" w:rsidP="00953C74">
      <w:pPr>
        <w:pStyle w:val="NormalWeb"/>
        <w:jc w:val="both"/>
        <w:rPr>
          <w:rFonts w:ascii="Verdana" w:hAnsi="Verdana" w:cs="Calibri"/>
          <w:b/>
          <w:color w:val="000000"/>
          <w:sz w:val="20"/>
          <w:szCs w:val="20"/>
        </w:rPr>
      </w:pPr>
    </w:p>
    <w:p w14:paraId="54F9D178" w14:textId="65F16DCC" w:rsidR="00AC143C" w:rsidRDefault="00AC143C" w:rsidP="00953C74">
      <w:pPr>
        <w:pStyle w:val="NormalWeb"/>
        <w:jc w:val="both"/>
        <w:rPr>
          <w:rFonts w:ascii="Verdana" w:hAnsi="Verdana" w:cs="Calibri"/>
          <w:b/>
          <w:color w:val="000000"/>
          <w:sz w:val="20"/>
          <w:szCs w:val="20"/>
        </w:rPr>
      </w:pPr>
    </w:p>
    <w:p w14:paraId="7A0E10B5" w14:textId="00905B7C" w:rsidR="00AC143C" w:rsidRDefault="00AC143C" w:rsidP="00953C74">
      <w:pPr>
        <w:pStyle w:val="NormalWeb"/>
        <w:jc w:val="both"/>
        <w:rPr>
          <w:rFonts w:ascii="Verdana" w:hAnsi="Verdana" w:cs="Calibri"/>
          <w:b/>
          <w:color w:val="000000"/>
          <w:sz w:val="20"/>
          <w:szCs w:val="20"/>
        </w:rPr>
      </w:pPr>
    </w:p>
    <w:p w14:paraId="3D1244DE" w14:textId="10B2A802" w:rsidR="00AC143C" w:rsidRDefault="00AC143C" w:rsidP="00953C74">
      <w:pPr>
        <w:pStyle w:val="NormalWeb"/>
        <w:jc w:val="both"/>
        <w:rPr>
          <w:rFonts w:ascii="Verdana" w:hAnsi="Verdana" w:cs="Calibri"/>
          <w:b/>
          <w:color w:val="000000"/>
          <w:sz w:val="20"/>
          <w:szCs w:val="20"/>
        </w:rPr>
      </w:pPr>
    </w:p>
    <w:p w14:paraId="30E40E7F" w14:textId="6D578812" w:rsidR="00AC143C" w:rsidRDefault="00AC143C" w:rsidP="00953C74">
      <w:pPr>
        <w:pStyle w:val="NormalWeb"/>
        <w:jc w:val="both"/>
        <w:rPr>
          <w:rFonts w:ascii="Verdana" w:hAnsi="Verdana" w:cs="Calibri"/>
          <w:b/>
          <w:color w:val="000000"/>
          <w:sz w:val="20"/>
          <w:szCs w:val="20"/>
        </w:rPr>
      </w:pPr>
    </w:p>
    <w:p w14:paraId="520C11AD" w14:textId="77777777" w:rsidR="00AC143C" w:rsidRPr="00CD3A47" w:rsidRDefault="00AC143C" w:rsidP="00953C74">
      <w:pPr>
        <w:pStyle w:val="NormalWeb"/>
        <w:jc w:val="both"/>
        <w:rPr>
          <w:rFonts w:ascii="Verdana" w:hAnsi="Verdana" w:cs="Calibri"/>
          <w:b/>
          <w:color w:val="000000"/>
          <w:sz w:val="20"/>
          <w:szCs w:val="20"/>
        </w:rPr>
      </w:pPr>
    </w:p>
    <w:p w14:paraId="0E141452" w14:textId="77777777" w:rsidR="00953C74" w:rsidRPr="00CD3A47" w:rsidRDefault="00953C74" w:rsidP="00953C74">
      <w:pPr>
        <w:pStyle w:val="NormalWeb"/>
        <w:jc w:val="center"/>
        <w:rPr>
          <w:rFonts w:ascii="Verdana" w:hAnsi="Verdana" w:cs="Calibri"/>
          <w:b/>
          <w:color w:val="000000"/>
          <w:sz w:val="20"/>
          <w:szCs w:val="20"/>
        </w:rPr>
      </w:pPr>
      <w:r w:rsidRPr="00CD3A47">
        <w:rPr>
          <w:rFonts w:ascii="Verdana" w:hAnsi="Verdana" w:cs="Calibri"/>
          <w:b/>
          <w:color w:val="000000"/>
          <w:sz w:val="20"/>
          <w:szCs w:val="20"/>
        </w:rPr>
        <w:t>RESOLUCIÓN DE LA</w:t>
      </w:r>
    </w:p>
    <w:p w14:paraId="335C4217" w14:textId="77777777" w:rsidR="00953C74" w:rsidRPr="00CD3A47" w:rsidRDefault="00953C74" w:rsidP="00953C74">
      <w:pPr>
        <w:pStyle w:val="NormalWeb"/>
        <w:jc w:val="center"/>
        <w:rPr>
          <w:rFonts w:ascii="Verdana" w:hAnsi="Verdana" w:cs="Calibri"/>
          <w:b/>
          <w:color w:val="000000"/>
          <w:sz w:val="20"/>
          <w:szCs w:val="20"/>
        </w:rPr>
      </w:pPr>
      <w:r w:rsidRPr="00CD3A47">
        <w:rPr>
          <w:rFonts w:ascii="Verdana" w:hAnsi="Verdana" w:cs="Calibri"/>
          <w:b/>
          <w:color w:val="000000"/>
          <w:sz w:val="20"/>
          <w:szCs w:val="20"/>
        </w:rPr>
        <w:t>CORTE INTERAMERICANA DE DERECHOS HUMANOS</w:t>
      </w:r>
      <w:r w:rsidRPr="00CD3A47">
        <w:rPr>
          <w:rFonts w:ascii="Verdana" w:hAnsi="Verdana" w:cs="Calibri"/>
          <w:b/>
          <w:color w:val="000000"/>
          <w:sz w:val="20"/>
          <w:szCs w:val="20"/>
          <w:vertAlign w:val="superscript"/>
        </w:rPr>
        <w:t>*</w:t>
      </w:r>
    </w:p>
    <w:p w14:paraId="75603DF3" w14:textId="77777777" w:rsidR="00953C74" w:rsidRPr="00CD3A47" w:rsidRDefault="00953C74" w:rsidP="00953C74">
      <w:pPr>
        <w:pStyle w:val="NormalWeb"/>
        <w:jc w:val="center"/>
        <w:rPr>
          <w:rFonts w:ascii="Verdana" w:hAnsi="Verdana" w:cs="Calibri"/>
          <w:b/>
          <w:color w:val="000000"/>
          <w:sz w:val="20"/>
          <w:szCs w:val="20"/>
        </w:rPr>
      </w:pPr>
    </w:p>
    <w:p w14:paraId="08358C11" w14:textId="6C46CD4B" w:rsidR="00953C74" w:rsidRPr="00CD3A47" w:rsidRDefault="00953C74" w:rsidP="00953C74">
      <w:pPr>
        <w:pStyle w:val="NormalWeb"/>
        <w:jc w:val="center"/>
        <w:rPr>
          <w:rFonts w:ascii="Verdana" w:hAnsi="Verdana" w:cs="Calibri"/>
          <w:b/>
          <w:color w:val="000000"/>
          <w:sz w:val="20"/>
          <w:szCs w:val="20"/>
        </w:rPr>
      </w:pPr>
      <w:r w:rsidRPr="00C9670C">
        <w:rPr>
          <w:rFonts w:ascii="Verdana" w:hAnsi="Verdana" w:cs="Calibri"/>
          <w:b/>
          <w:color w:val="000000"/>
          <w:sz w:val="20"/>
          <w:szCs w:val="20"/>
        </w:rPr>
        <w:t>DE</w:t>
      </w:r>
      <w:r w:rsidR="00A01049">
        <w:rPr>
          <w:rFonts w:ascii="Verdana" w:hAnsi="Verdana" w:cs="Calibri"/>
          <w:b/>
          <w:color w:val="000000"/>
          <w:sz w:val="20"/>
          <w:szCs w:val="20"/>
        </w:rPr>
        <w:t xml:space="preserve"> 5</w:t>
      </w:r>
      <w:r w:rsidRPr="000E547F">
        <w:rPr>
          <w:rFonts w:ascii="Verdana" w:hAnsi="Verdana" w:cs="Calibri"/>
          <w:b/>
          <w:color w:val="000000"/>
          <w:sz w:val="20"/>
          <w:szCs w:val="20"/>
        </w:rPr>
        <w:t xml:space="preserve"> DE ABRIL DE 2022</w:t>
      </w:r>
    </w:p>
    <w:p w14:paraId="094B142A" w14:textId="77777777" w:rsidR="00953C74" w:rsidRPr="00CD3A47" w:rsidRDefault="00953C74" w:rsidP="00953C74">
      <w:pPr>
        <w:pStyle w:val="NormalWeb"/>
        <w:jc w:val="center"/>
        <w:rPr>
          <w:rFonts w:ascii="Verdana" w:hAnsi="Verdana" w:cs="Calibri"/>
          <w:b/>
          <w:color w:val="000000"/>
          <w:sz w:val="20"/>
          <w:szCs w:val="20"/>
        </w:rPr>
      </w:pPr>
    </w:p>
    <w:p w14:paraId="20513446" w14:textId="77777777" w:rsidR="00953C74" w:rsidRPr="00CD3A47" w:rsidRDefault="00953C74" w:rsidP="00953C74">
      <w:pPr>
        <w:pStyle w:val="NormalWeb"/>
        <w:jc w:val="center"/>
        <w:rPr>
          <w:rFonts w:ascii="Verdana" w:hAnsi="Verdana" w:cs="Calibri"/>
          <w:b/>
          <w:i/>
          <w:caps/>
          <w:color w:val="000000"/>
          <w:sz w:val="20"/>
          <w:szCs w:val="20"/>
        </w:rPr>
      </w:pPr>
      <w:r w:rsidRPr="00CD3A47">
        <w:rPr>
          <w:rFonts w:ascii="Verdana" w:hAnsi="Verdana" w:cs="Calibri"/>
          <w:b/>
          <w:i/>
          <w:caps/>
          <w:color w:val="000000"/>
          <w:sz w:val="20"/>
          <w:szCs w:val="20"/>
        </w:rPr>
        <w:t>CASO Martínez Esquivia Vs. Colombia</w:t>
      </w:r>
    </w:p>
    <w:p w14:paraId="664F30ED" w14:textId="77777777" w:rsidR="00953C74" w:rsidRPr="00CD3A47" w:rsidRDefault="00953C74" w:rsidP="00953C74">
      <w:pPr>
        <w:pStyle w:val="NormalWeb"/>
        <w:jc w:val="center"/>
        <w:rPr>
          <w:rFonts w:ascii="Verdana" w:hAnsi="Verdana" w:cs="Calibri"/>
          <w:b/>
          <w:color w:val="000000"/>
          <w:sz w:val="20"/>
          <w:szCs w:val="20"/>
        </w:rPr>
      </w:pPr>
    </w:p>
    <w:p w14:paraId="0714E997" w14:textId="77777777" w:rsidR="00953C74" w:rsidRPr="00CD3A47" w:rsidRDefault="00953C74" w:rsidP="00953C74">
      <w:pPr>
        <w:pStyle w:val="NormalWeb"/>
        <w:jc w:val="center"/>
        <w:rPr>
          <w:rFonts w:ascii="Verdana" w:hAnsi="Verdana" w:cs="Calibri"/>
          <w:b/>
          <w:color w:val="000000"/>
          <w:sz w:val="20"/>
          <w:szCs w:val="20"/>
        </w:rPr>
      </w:pPr>
      <w:r w:rsidRPr="00CD3A47">
        <w:rPr>
          <w:rFonts w:ascii="Verdana" w:hAnsi="Verdana" w:cs="Calibri"/>
          <w:b/>
          <w:color w:val="000000"/>
          <w:sz w:val="20"/>
          <w:szCs w:val="20"/>
        </w:rPr>
        <w:t>SUPERVISIÓN DE CUMPLIMIENTO DE SENTENCIA</w:t>
      </w:r>
    </w:p>
    <w:p w14:paraId="4851F223" w14:textId="2D4F476A" w:rsidR="00953C74" w:rsidRDefault="00953C74" w:rsidP="00953C74">
      <w:pPr>
        <w:pStyle w:val="NormalWeb"/>
        <w:jc w:val="both"/>
        <w:rPr>
          <w:rFonts w:ascii="Verdana" w:hAnsi="Verdana" w:cs="Calibri"/>
          <w:color w:val="000000"/>
          <w:sz w:val="20"/>
          <w:szCs w:val="20"/>
        </w:rPr>
      </w:pPr>
    </w:p>
    <w:p w14:paraId="5573706B" w14:textId="416CB86C" w:rsidR="00AC143C" w:rsidRDefault="00AC143C" w:rsidP="00953C74">
      <w:pPr>
        <w:pStyle w:val="NormalWeb"/>
        <w:jc w:val="both"/>
        <w:rPr>
          <w:rFonts w:ascii="Verdana" w:hAnsi="Verdana" w:cs="Calibri"/>
          <w:color w:val="000000"/>
          <w:sz w:val="20"/>
          <w:szCs w:val="20"/>
        </w:rPr>
      </w:pPr>
    </w:p>
    <w:p w14:paraId="02EBD7A3" w14:textId="77777777" w:rsidR="00AC143C" w:rsidRPr="00CD3A47" w:rsidRDefault="00AC143C" w:rsidP="00953C74">
      <w:pPr>
        <w:pStyle w:val="NormalWeb"/>
        <w:jc w:val="both"/>
        <w:rPr>
          <w:rFonts w:ascii="Verdana" w:hAnsi="Verdana" w:cs="Calibri"/>
          <w:color w:val="000000"/>
          <w:sz w:val="20"/>
          <w:szCs w:val="20"/>
        </w:rPr>
      </w:pPr>
    </w:p>
    <w:p w14:paraId="0AC30FF8" w14:textId="77777777" w:rsidR="00953C74" w:rsidRPr="00CD3A47" w:rsidRDefault="00953C74" w:rsidP="00953C74">
      <w:pPr>
        <w:pStyle w:val="NormalWeb"/>
        <w:jc w:val="both"/>
        <w:rPr>
          <w:rFonts w:ascii="Verdana" w:hAnsi="Verdana" w:cs="Calibri"/>
          <w:b/>
          <w:color w:val="000000"/>
          <w:sz w:val="20"/>
          <w:szCs w:val="20"/>
        </w:rPr>
      </w:pPr>
      <w:r w:rsidRPr="00CD3A47">
        <w:rPr>
          <w:rFonts w:ascii="Verdana" w:hAnsi="Verdana" w:cs="Calibri"/>
          <w:b/>
          <w:color w:val="000000"/>
          <w:sz w:val="20"/>
          <w:szCs w:val="20"/>
        </w:rPr>
        <w:t xml:space="preserve">VISTO: </w:t>
      </w:r>
    </w:p>
    <w:p w14:paraId="78485C1B" w14:textId="733E9900" w:rsidR="00953C74" w:rsidRPr="00CD3A47" w:rsidRDefault="00953C74" w:rsidP="00953C74">
      <w:pPr>
        <w:pStyle w:val="Prrafodelista"/>
        <w:numPr>
          <w:ilvl w:val="0"/>
          <w:numId w:val="2"/>
        </w:numPr>
        <w:spacing w:before="120" w:after="120"/>
        <w:ind w:left="0" w:firstLine="0"/>
        <w:jc w:val="both"/>
        <w:rPr>
          <w:rFonts w:ascii="Verdana" w:hAnsi="Verdana"/>
          <w:color w:val="000000"/>
          <w:sz w:val="20"/>
          <w:szCs w:val="20"/>
        </w:rPr>
      </w:pPr>
      <w:r w:rsidRPr="00CD3A47">
        <w:rPr>
          <w:rFonts w:ascii="Verdana" w:hAnsi="Verdana"/>
          <w:sz w:val="20"/>
          <w:szCs w:val="20"/>
        </w:rPr>
        <w:t xml:space="preserve">La Sentencia de excepciones preliminares, fondo y reparaciones </w:t>
      </w:r>
      <w:r w:rsidRPr="00C92444">
        <w:rPr>
          <w:rFonts w:ascii="Verdana" w:hAnsi="Verdana"/>
          <w:bCs/>
          <w:sz w:val="20"/>
        </w:rPr>
        <w:t>(en adelante “la Sentencia”)</w:t>
      </w:r>
      <w:r w:rsidRPr="00CD3A47">
        <w:rPr>
          <w:rStyle w:val="Refdenotaalpie"/>
          <w:rFonts w:ascii="Verdana" w:hAnsi="Verdana"/>
        </w:rPr>
        <w:footnoteReference w:id="1"/>
      </w:r>
      <w:r w:rsidRPr="00CD3A47">
        <w:rPr>
          <w:rFonts w:ascii="Verdana" w:hAnsi="Verdana"/>
          <w:sz w:val="20"/>
          <w:szCs w:val="20"/>
        </w:rPr>
        <w:t xml:space="preserve"> </w:t>
      </w:r>
      <w:r>
        <w:rPr>
          <w:rFonts w:ascii="Verdana" w:hAnsi="Verdana"/>
          <w:sz w:val="20"/>
          <w:szCs w:val="20"/>
        </w:rPr>
        <w:t xml:space="preserve">y la </w:t>
      </w:r>
      <w:r w:rsidR="00A01049">
        <w:rPr>
          <w:rFonts w:ascii="Verdana" w:hAnsi="Verdana"/>
          <w:sz w:val="20"/>
          <w:szCs w:val="20"/>
        </w:rPr>
        <w:t xml:space="preserve">de </w:t>
      </w:r>
      <w:r>
        <w:rPr>
          <w:rFonts w:ascii="Verdana" w:hAnsi="Verdana"/>
          <w:sz w:val="20"/>
          <w:szCs w:val="20"/>
        </w:rPr>
        <w:t>interpretación</w:t>
      </w:r>
      <w:r w:rsidRPr="00CD3A47">
        <w:rPr>
          <w:rStyle w:val="Refdenotaalpie"/>
          <w:rFonts w:ascii="Verdana" w:hAnsi="Verdana"/>
        </w:rPr>
        <w:footnoteReference w:id="2"/>
      </w:r>
      <w:r>
        <w:rPr>
          <w:rFonts w:ascii="Verdana" w:hAnsi="Verdana"/>
          <w:sz w:val="20"/>
          <w:szCs w:val="20"/>
        </w:rPr>
        <w:t>,</w:t>
      </w:r>
      <w:r>
        <w:rPr>
          <w:rFonts w:ascii="Verdana" w:hAnsi="Verdana"/>
          <w:bCs/>
          <w:sz w:val="20"/>
        </w:rPr>
        <w:t xml:space="preserve"> </w:t>
      </w:r>
      <w:r>
        <w:rPr>
          <w:rFonts w:ascii="Verdana" w:hAnsi="Verdana"/>
          <w:sz w:val="20"/>
          <w:szCs w:val="20"/>
        </w:rPr>
        <w:t>emitidas</w:t>
      </w:r>
      <w:r w:rsidRPr="00CD3A47">
        <w:rPr>
          <w:rFonts w:ascii="Verdana" w:hAnsi="Verdana"/>
          <w:sz w:val="20"/>
          <w:szCs w:val="20"/>
        </w:rPr>
        <w:t xml:space="preserve"> por la Corte Interamericana de Derechos Humanos (en adelante “la Corte”, “la Corte Interamericana” o “el Tribunal”) el 6 de octubre de 2020 y </w:t>
      </w:r>
      <w:r>
        <w:rPr>
          <w:rFonts w:ascii="Verdana" w:hAnsi="Verdana"/>
          <w:sz w:val="20"/>
          <w:szCs w:val="20"/>
        </w:rPr>
        <w:t xml:space="preserve">el </w:t>
      </w:r>
      <w:r w:rsidRPr="00CD3A47">
        <w:rPr>
          <w:rFonts w:ascii="Verdana" w:hAnsi="Verdana"/>
          <w:sz w:val="20"/>
          <w:szCs w:val="20"/>
        </w:rPr>
        <w:t>21 de junio de 2021</w:t>
      </w:r>
      <w:r>
        <w:rPr>
          <w:rFonts w:ascii="Verdana" w:hAnsi="Verdana"/>
          <w:sz w:val="20"/>
          <w:szCs w:val="20"/>
        </w:rPr>
        <w:t>, respectivamente</w:t>
      </w:r>
      <w:r w:rsidRPr="00CD3A47">
        <w:rPr>
          <w:rFonts w:ascii="Verdana" w:hAnsi="Verdana"/>
          <w:sz w:val="20"/>
          <w:szCs w:val="20"/>
        </w:rPr>
        <w:t>.</w:t>
      </w:r>
      <w:r w:rsidRPr="00CD3A47">
        <w:rPr>
          <w:rFonts w:ascii="Verdana" w:hAnsi="Verdana"/>
          <w:color w:val="000000"/>
          <w:sz w:val="20"/>
          <w:szCs w:val="20"/>
        </w:rPr>
        <w:t xml:space="preserve"> </w:t>
      </w:r>
    </w:p>
    <w:p w14:paraId="0B026ECC" w14:textId="6E9C4136" w:rsidR="00953C74" w:rsidRPr="00C9670C" w:rsidRDefault="00953C74" w:rsidP="00953C74">
      <w:pPr>
        <w:pStyle w:val="Prrafodelista"/>
        <w:numPr>
          <w:ilvl w:val="0"/>
          <w:numId w:val="2"/>
        </w:numPr>
        <w:spacing w:before="120" w:after="120"/>
        <w:ind w:left="0" w:firstLine="0"/>
        <w:jc w:val="both"/>
        <w:rPr>
          <w:rFonts w:ascii="Verdana" w:hAnsi="Verdana"/>
          <w:color w:val="000000"/>
          <w:sz w:val="20"/>
          <w:szCs w:val="20"/>
        </w:rPr>
      </w:pPr>
      <w:r w:rsidRPr="00CD3A47">
        <w:rPr>
          <w:rFonts w:ascii="Verdana" w:hAnsi="Verdana"/>
          <w:sz w:val="20"/>
          <w:szCs w:val="20"/>
        </w:rPr>
        <w:t xml:space="preserve">Los informes presentados </w:t>
      </w:r>
      <w:r w:rsidRPr="008F1E4C">
        <w:rPr>
          <w:rFonts w:ascii="Verdana" w:hAnsi="Verdana"/>
          <w:bCs/>
          <w:sz w:val="20"/>
        </w:rPr>
        <w:t xml:space="preserve">por </w:t>
      </w:r>
      <w:r>
        <w:rPr>
          <w:rFonts w:ascii="Verdana" w:hAnsi="Verdana"/>
          <w:bCs/>
          <w:sz w:val="20"/>
        </w:rPr>
        <w:t>la República de Colombia (en adelante, “</w:t>
      </w:r>
      <w:r w:rsidRPr="00CD3A47">
        <w:rPr>
          <w:rFonts w:ascii="Verdana" w:hAnsi="Verdana"/>
          <w:sz w:val="20"/>
          <w:szCs w:val="20"/>
        </w:rPr>
        <w:t>el Estado</w:t>
      </w:r>
      <w:r>
        <w:rPr>
          <w:rFonts w:ascii="Verdana" w:hAnsi="Verdana"/>
          <w:sz w:val="20"/>
          <w:szCs w:val="20"/>
        </w:rPr>
        <w:t>”)</w:t>
      </w:r>
      <w:r w:rsidRPr="00CD3A47">
        <w:rPr>
          <w:rFonts w:ascii="Verdana" w:hAnsi="Verdana"/>
          <w:sz w:val="20"/>
          <w:szCs w:val="20"/>
        </w:rPr>
        <w:t xml:space="preserve"> entre junio y diciembre de 2021</w:t>
      </w:r>
      <w:r>
        <w:rPr>
          <w:rFonts w:ascii="Verdana" w:hAnsi="Verdana"/>
          <w:sz w:val="20"/>
          <w:szCs w:val="20"/>
        </w:rPr>
        <w:t>,</w:t>
      </w:r>
      <w:r w:rsidRPr="00CD3A47">
        <w:rPr>
          <w:rFonts w:ascii="Verdana" w:hAnsi="Verdana"/>
          <w:sz w:val="20"/>
          <w:szCs w:val="20"/>
        </w:rPr>
        <w:t xml:space="preserve"> y los escritos de observaciones presentados por </w:t>
      </w:r>
      <w:r w:rsidR="00CA104E">
        <w:rPr>
          <w:rFonts w:ascii="Verdana" w:hAnsi="Verdana"/>
          <w:sz w:val="20"/>
          <w:szCs w:val="20"/>
        </w:rPr>
        <w:t>los</w:t>
      </w:r>
      <w:r w:rsidRPr="00CD3A47">
        <w:rPr>
          <w:rFonts w:ascii="Verdana" w:hAnsi="Verdana"/>
          <w:sz w:val="20"/>
          <w:szCs w:val="20"/>
        </w:rPr>
        <w:t xml:space="preserve"> representante</w:t>
      </w:r>
      <w:r w:rsidR="00CA104E">
        <w:rPr>
          <w:rFonts w:ascii="Verdana" w:hAnsi="Verdana"/>
          <w:sz w:val="20"/>
          <w:szCs w:val="20"/>
        </w:rPr>
        <w:t>s</w:t>
      </w:r>
      <w:r w:rsidRPr="00CD3A47">
        <w:rPr>
          <w:rFonts w:ascii="Verdana" w:hAnsi="Verdana"/>
          <w:sz w:val="20"/>
          <w:szCs w:val="20"/>
        </w:rPr>
        <w:t xml:space="preserve"> de la víctima</w:t>
      </w:r>
      <w:r w:rsidRPr="00CD3A47">
        <w:rPr>
          <w:rStyle w:val="Refdenotaalpie"/>
          <w:rFonts w:ascii="Verdana" w:hAnsi="Verdana"/>
        </w:rPr>
        <w:footnoteReference w:id="3"/>
      </w:r>
      <w:r w:rsidRPr="00CD3A47">
        <w:rPr>
          <w:rFonts w:ascii="Verdana" w:hAnsi="Verdana"/>
          <w:sz w:val="20"/>
          <w:szCs w:val="20"/>
        </w:rPr>
        <w:t xml:space="preserve"> (en adelante “</w:t>
      </w:r>
      <w:r w:rsidR="00CA104E">
        <w:rPr>
          <w:rFonts w:ascii="Verdana" w:hAnsi="Verdana"/>
          <w:sz w:val="20"/>
          <w:szCs w:val="20"/>
        </w:rPr>
        <w:t>los</w:t>
      </w:r>
      <w:r w:rsidRPr="00CD3A47">
        <w:rPr>
          <w:rFonts w:ascii="Verdana" w:hAnsi="Verdana"/>
          <w:sz w:val="20"/>
          <w:szCs w:val="20"/>
        </w:rPr>
        <w:t xml:space="preserve"> representante</w:t>
      </w:r>
      <w:r w:rsidR="00CA104E">
        <w:rPr>
          <w:rFonts w:ascii="Verdana" w:hAnsi="Verdana"/>
          <w:sz w:val="20"/>
          <w:szCs w:val="20"/>
        </w:rPr>
        <w:t>s</w:t>
      </w:r>
      <w:r w:rsidRPr="00CD3A47">
        <w:rPr>
          <w:rFonts w:ascii="Verdana" w:hAnsi="Verdana"/>
          <w:sz w:val="20"/>
          <w:szCs w:val="20"/>
        </w:rPr>
        <w:t xml:space="preserve">”) entre agosto de 2021 y febrero de 2022. </w:t>
      </w:r>
    </w:p>
    <w:p w14:paraId="77614CAA" w14:textId="77777777" w:rsidR="00953C74" w:rsidRPr="00CD3A47" w:rsidRDefault="00953C74" w:rsidP="00953C74">
      <w:pPr>
        <w:pStyle w:val="Prrafodelista"/>
        <w:spacing w:before="120" w:after="120"/>
        <w:ind w:left="0"/>
        <w:jc w:val="both"/>
        <w:rPr>
          <w:rFonts w:ascii="Verdana" w:hAnsi="Verdana"/>
          <w:color w:val="000000"/>
          <w:sz w:val="20"/>
          <w:szCs w:val="20"/>
        </w:rPr>
      </w:pPr>
    </w:p>
    <w:p w14:paraId="6AC71DAD" w14:textId="77777777" w:rsidR="00953C74" w:rsidRPr="00CD3A47" w:rsidRDefault="00953C74" w:rsidP="00953C74">
      <w:pPr>
        <w:pStyle w:val="Prrafodelista"/>
        <w:spacing w:before="120" w:after="120"/>
        <w:ind w:left="0"/>
        <w:jc w:val="both"/>
        <w:rPr>
          <w:rFonts w:ascii="Verdana" w:hAnsi="Verdana"/>
          <w:b/>
          <w:sz w:val="20"/>
          <w:szCs w:val="20"/>
        </w:rPr>
      </w:pPr>
      <w:r w:rsidRPr="00CD3A47">
        <w:rPr>
          <w:rFonts w:ascii="Verdana" w:hAnsi="Verdana"/>
          <w:b/>
          <w:sz w:val="20"/>
          <w:szCs w:val="20"/>
        </w:rPr>
        <w:t xml:space="preserve">CONSIDERANDO QUE: </w:t>
      </w:r>
    </w:p>
    <w:p w14:paraId="73CA62DE" w14:textId="7043D039" w:rsidR="00953C74" w:rsidRDefault="00953C74" w:rsidP="00953C74">
      <w:pPr>
        <w:pStyle w:val="Prrafodelista"/>
        <w:numPr>
          <w:ilvl w:val="0"/>
          <w:numId w:val="4"/>
        </w:numPr>
        <w:spacing w:before="120" w:after="120"/>
        <w:ind w:left="0" w:firstLine="0"/>
        <w:jc w:val="both"/>
        <w:rPr>
          <w:rFonts w:ascii="Verdana" w:hAnsi="Verdana"/>
          <w:sz w:val="20"/>
          <w:szCs w:val="20"/>
        </w:rPr>
      </w:pPr>
      <w:r w:rsidRPr="00CD3A47">
        <w:rPr>
          <w:rFonts w:ascii="Verdana" w:hAnsi="Verdana"/>
          <w:sz w:val="20"/>
          <w:szCs w:val="20"/>
        </w:rPr>
        <w:t>La Corte ha venido supervisando la ejecución de la Sentencia</w:t>
      </w:r>
      <w:r w:rsidRPr="00CD3A47">
        <w:rPr>
          <w:rStyle w:val="Refdenotaalpie"/>
          <w:rFonts w:ascii="Verdana" w:hAnsi="Verdana"/>
          <w:color w:val="000000" w:themeColor="text1"/>
        </w:rPr>
        <w:footnoteReference w:id="4"/>
      </w:r>
      <w:r w:rsidRPr="00CD3A47">
        <w:rPr>
          <w:rFonts w:ascii="Verdana" w:hAnsi="Verdana"/>
          <w:sz w:val="20"/>
          <w:szCs w:val="20"/>
        </w:rPr>
        <w:t xml:space="preserve"> (</w:t>
      </w:r>
      <w:r w:rsidRPr="00CD3A47">
        <w:rPr>
          <w:rFonts w:ascii="Verdana" w:hAnsi="Verdana"/>
          <w:i/>
          <w:sz w:val="20"/>
          <w:szCs w:val="20"/>
        </w:rPr>
        <w:t>supra</w:t>
      </w:r>
      <w:r w:rsidRPr="00CD3A47">
        <w:rPr>
          <w:rFonts w:ascii="Verdana" w:hAnsi="Verdana"/>
          <w:sz w:val="20"/>
          <w:szCs w:val="20"/>
        </w:rPr>
        <w:t xml:space="preserve"> Visto 1), en la cual se ordenaron al Estado cuatro medidas de reparación. </w:t>
      </w:r>
      <w:r w:rsidRPr="00CD3A47">
        <w:rPr>
          <w:rFonts w:ascii="Verdana" w:hAnsi="Verdana"/>
          <w:color w:val="000000" w:themeColor="text1"/>
          <w:sz w:val="20"/>
          <w:szCs w:val="20"/>
        </w:rPr>
        <w:t xml:space="preserve">En esta Resolución </w:t>
      </w:r>
      <w:r>
        <w:rPr>
          <w:rFonts w:ascii="Verdana" w:hAnsi="Verdana"/>
          <w:color w:val="000000" w:themeColor="text1"/>
          <w:sz w:val="20"/>
          <w:szCs w:val="20"/>
        </w:rPr>
        <w:t xml:space="preserve">el </w:t>
      </w:r>
      <w:r>
        <w:rPr>
          <w:rFonts w:ascii="Verdana" w:hAnsi="Verdana"/>
          <w:color w:val="000000" w:themeColor="text1"/>
          <w:sz w:val="20"/>
          <w:szCs w:val="20"/>
        </w:rPr>
        <w:lastRenderedPageBreak/>
        <w:t xml:space="preserve">Tribunal </w:t>
      </w:r>
      <w:r w:rsidRPr="00CD3A47">
        <w:rPr>
          <w:rFonts w:ascii="Verdana" w:hAnsi="Verdana"/>
          <w:sz w:val="20"/>
          <w:szCs w:val="20"/>
        </w:rPr>
        <w:t xml:space="preserve">valorará la información respecto de las </w:t>
      </w:r>
      <w:r w:rsidRPr="00CD3A47">
        <w:rPr>
          <w:rFonts w:ascii="Verdana" w:eastAsia="Verdana" w:hAnsi="Verdana" w:cs="Verdana"/>
          <w:sz w:val="20"/>
          <w:szCs w:val="20"/>
          <w:lang w:val="es-MX"/>
        </w:rPr>
        <w:t>medidas relativas a:</w:t>
      </w:r>
      <w:r w:rsidRPr="00CD3A47">
        <w:rPr>
          <w:rFonts w:ascii="Verdana" w:hAnsi="Verdana"/>
          <w:sz w:val="20"/>
          <w:szCs w:val="20"/>
        </w:rPr>
        <w:t xml:space="preserve"> i) realizar las publicaciones de la Sentencia y su resumen oficial; </w:t>
      </w:r>
      <w:proofErr w:type="spellStart"/>
      <w:r w:rsidRPr="00CD3A47">
        <w:rPr>
          <w:rFonts w:ascii="Verdana" w:hAnsi="Verdana"/>
          <w:sz w:val="20"/>
          <w:szCs w:val="20"/>
        </w:rPr>
        <w:t>ii</w:t>
      </w:r>
      <w:proofErr w:type="spellEnd"/>
      <w:r w:rsidRPr="00CD3A47">
        <w:rPr>
          <w:rFonts w:ascii="Verdana" w:hAnsi="Verdana"/>
          <w:sz w:val="20"/>
          <w:szCs w:val="20"/>
        </w:rPr>
        <w:t xml:space="preserve">) pagar a la víctima las cantidades fijadas en la Sentencia por concepto de indemnización de daño material e inmaterial; </w:t>
      </w:r>
      <w:r>
        <w:rPr>
          <w:rFonts w:ascii="Verdana" w:hAnsi="Verdana"/>
          <w:sz w:val="20"/>
          <w:szCs w:val="20"/>
        </w:rPr>
        <w:t xml:space="preserve">y </w:t>
      </w:r>
      <w:proofErr w:type="spellStart"/>
      <w:r w:rsidRPr="00CD3A47">
        <w:rPr>
          <w:rFonts w:ascii="Verdana" w:hAnsi="Verdana"/>
          <w:sz w:val="20"/>
          <w:szCs w:val="20"/>
        </w:rPr>
        <w:t>iii</w:t>
      </w:r>
      <w:proofErr w:type="spellEnd"/>
      <w:r w:rsidRPr="00CD3A47">
        <w:rPr>
          <w:rFonts w:ascii="Verdana" w:hAnsi="Verdana"/>
          <w:sz w:val="20"/>
          <w:szCs w:val="20"/>
        </w:rPr>
        <w:t xml:space="preserve">) cubrir los aportes a la pensión de la señora </w:t>
      </w:r>
      <w:proofErr w:type="spellStart"/>
      <w:r w:rsidRPr="00CD3A47">
        <w:rPr>
          <w:rFonts w:ascii="Verdana" w:hAnsi="Verdana"/>
          <w:sz w:val="20"/>
          <w:szCs w:val="20"/>
        </w:rPr>
        <w:t>Yenina</w:t>
      </w:r>
      <w:proofErr w:type="spellEnd"/>
      <w:r w:rsidRPr="00CD3A47">
        <w:rPr>
          <w:rFonts w:ascii="Verdana" w:hAnsi="Verdana"/>
          <w:sz w:val="20"/>
          <w:szCs w:val="20"/>
        </w:rPr>
        <w:t xml:space="preserve"> Esther Martínez Esquivia. En </w:t>
      </w:r>
      <w:r>
        <w:rPr>
          <w:rFonts w:ascii="Verdana" w:hAnsi="Verdana"/>
          <w:sz w:val="20"/>
          <w:szCs w:val="20"/>
        </w:rPr>
        <w:t xml:space="preserve">una </w:t>
      </w:r>
      <w:r w:rsidRPr="00CD3A47">
        <w:rPr>
          <w:rFonts w:ascii="Verdana" w:hAnsi="Verdana"/>
          <w:sz w:val="20"/>
          <w:szCs w:val="20"/>
        </w:rPr>
        <w:t xml:space="preserve">resolución posterior se pronunciará respecto de la </w:t>
      </w:r>
      <w:r>
        <w:rPr>
          <w:rFonts w:ascii="Verdana" w:hAnsi="Verdana"/>
          <w:sz w:val="20"/>
          <w:szCs w:val="20"/>
        </w:rPr>
        <w:t xml:space="preserve">garantía de no repetición relativa a la </w:t>
      </w:r>
      <w:r w:rsidRPr="00CD3A47">
        <w:rPr>
          <w:rFonts w:ascii="Verdana" w:hAnsi="Verdana"/>
          <w:sz w:val="20"/>
          <w:szCs w:val="20"/>
        </w:rPr>
        <w:t xml:space="preserve">adecuación normativa con el fin de garantizar la estabilidad de las y los fiscales nombrados en provisionalidad </w:t>
      </w:r>
      <w:r w:rsidRPr="00CD3A47">
        <w:rPr>
          <w:rFonts w:ascii="Verdana" w:hAnsi="Verdana"/>
          <w:color w:val="000000" w:themeColor="text1"/>
          <w:sz w:val="20"/>
          <w:szCs w:val="20"/>
        </w:rPr>
        <w:t>(</w:t>
      </w:r>
      <w:r w:rsidRPr="00CD3A47">
        <w:rPr>
          <w:rFonts w:ascii="Verdana" w:hAnsi="Verdana"/>
          <w:i/>
          <w:color w:val="000000" w:themeColor="text1"/>
          <w:sz w:val="20"/>
          <w:szCs w:val="20"/>
        </w:rPr>
        <w:t xml:space="preserve">infra </w:t>
      </w:r>
      <w:r w:rsidRPr="00CD3A47">
        <w:rPr>
          <w:rFonts w:ascii="Verdana" w:hAnsi="Verdana"/>
          <w:color w:val="000000" w:themeColor="text1"/>
          <w:sz w:val="20"/>
          <w:szCs w:val="20"/>
        </w:rPr>
        <w:t xml:space="preserve">punto resolutivo </w:t>
      </w:r>
      <w:r>
        <w:rPr>
          <w:rFonts w:ascii="Verdana" w:hAnsi="Verdana"/>
          <w:color w:val="000000" w:themeColor="text1"/>
          <w:sz w:val="20"/>
          <w:szCs w:val="20"/>
        </w:rPr>
        <w:t>2</w:t>
      </w:r>
      <w:r w:rsidRPr="00CD3A47">
        <w:rPr>
          <w:rFonts w:ascii="Verdana" w:hAnsi="Verdana"/>
          <w:color w:val="000000" w:themeColor="text1"/>
          <w:sz w:val="20"/>
          <w:szCs w:val="20"/>
        </w:rPr>
        <w:t>)</w:t>
      </w:r>
      <w:r w:rsidRPr="00CD3A47">
        <w:rPr>
          <w:rFonts w:ascii="Verdana" w:hAnsi="Verdana"/>
          <w:sz w:val="20"/>
          <w:szCs w:val="20"/>
        </w:rPr>
        <w:t>.</w:t>
      </w:r>
    </w:p>
    <w:p w14:paraId="749818E2" w14:textId="77777777" w:rsidR="001808CA" w:rsidRDefault="001808CA" w:rsidP="001808CA">
      <w:pPr>
        <w:pStyle w:val="Prrafodelista"/>
        <w:spacing w:before="120" w:after="120"/>
        <w:ind w:left="0"/>
        <w:jc w:val="both"/>
        <w:rPr>
          <w:rFonts w:ascii="Verdana" w:hAnsi="Verdana"/>
          <w:sz w:val="20"/>
          <w:szCs w:val="20"/>
        </w:rPr>
      </w:pPr>
    </w:p>
    <w:p w14:paraId="363FC394" w14:textId="77777777" w:rsidR="00953C74" w:rsidRPr="00C9670C" w:rsidRDefault="00953C74" w:rsidP="00953C74">
      <w:pPr>
        <w:pStyle w:val="Prrafodelista"/>
        <w:spacing w:before="120" w:after="120"/>
        <w:ind w:left="708"/>
        <w:jc w:val="both"/>
        <w:rPr>
          <w:rFonts w:ascii="Verdana" w:hAnsi="Verdana"/>
          <w:b/>
          <w:bCs/>
          <w:i/>
          <w:iCs/>
          <w:sz w:val="20"/>
          <w:szCs w:val="20"/>
        </w:rPr>
      </w:pPr>
      <w:r w:rsidRPr="00C9670C">
        <w:rPr>
          <w:rFonts w:ascii="Verdana" w:hAnsi="Verdana"/>
          <w:b/>
          <w:bCs/>
          <w:i/>
          <w:iCs/>
          <w:sz w:val="20"/>
          <w:szCs w:val="20"/>
        </w:rPr>
        <w:t>A.</w:t>
      </w:r>
      <w:r w:rsidRPr="00C9670C">
        <w:rPr>
          <w:rFonts w:ascii="Verdana" w:hAnsi="Verdana"/>
          <w:b/>
          <w:bCs/>
          <w:i/>
          <w:iCs/>
          <w:sz w:val="20"/>
          <w:szCs w:val="20"/>
        </w:rPr>
        <w:tab/>
        <w:t>Publicación y difusión de la Sentencia</w:t>
      </w:r>
    </w:p>
    <w:p w14:paraId="473ED204" w14:textId="0D44AC82" w:rsidR="00953C74" w:rsidRDefault="00953C74" w:rsidP="00953C74">
      <w:pPr>
        <w:spacing w:before="120" w:after="120"/>
        <w:jc w:val="both"/>
      </w:pPr>
      <w:r w:rsidRPr="00CD3A47">
        <w:rPr>
          <w:rFonts w:ascii="Verdana" w:hAnsi="Verdana"/>
          <w:sz w:val="20"/>
          <w:szCs w:val="20"/>
        </w:rPr>
        <w:t>2.</w:t>
      </w:r>
      <w:r>
        <w:rPr>
          <w:rFonts w:ascii="Verdana" w:hAnsi="Verdana"/>
          <w:sz w:val="20"/>
          <w:szCs w:val="20"/>
        </w:rPr>
        <w:tab/>
        <w:t xml:space="preserve">Con base en los comprobantes aportados por el Estado, así como lo señalado por </w:t>
      </w:r>
      <w:r w:rsidR="006308F9">
        <w:rPr>
          <w:rFonts w:ascii="Verdana" w:hAnsi="Verdana"/>
          <w:sz w:val="20"/>
          <w:szCs w:val="20"/>
        </w:rPr>
        <w:t>los</w:t>
      </w:r>
      <w:r>
        <w:rPr>
          <w:rFonts w:ascii="Verdana" w:hAnsi="Verdana"/>
          <w:sz w:val="20"/>
          <w:szCs w:val="20"/>
        </w:rPr>
        <w:t xml:space="preserve"> representante</w:t>
      </w:r>
      <w:r w:rsidR="006308F9">
        <w:rPr>
          <w:rFonts w:ascii="Verdana" w:hAnsi="Verdana"/>
          <w:sz w:val="20"/>
          <w:szCs w:val="20"/>
        </w:rPr>
        <w:t>s</w:t>
      </w:r>
      <w:r>
        <w:rPr>
          <w:rStyle w:val="Refdenotaalpie"/>
          <w:rFonts w:ascii="Verdana" w:hAnsi="Verdana"/>
        </w:rPr>
        <w:footnoteReference w:id="5"/>
      </w:r>
      <w:r>
        <w:rPr>
          <w:rFonts w:ascii="Verdana" w:hAnsi="Verdana"/>
          <w:sz w:val="20"/>
          <w:szCs w:val="20"/>
        </w:rPr>
        <w:t>, l</w:t>
      </w:r>
      <w:r w:rsidRPr="00CD3A47">
        <w:rPr>
          <w:rFonts w:ascii="Verdana" w:hAnsi="Verdana"/>
          <w:sz w:val="20"/>
          <w:szCs w:val="20"/>
        </w:rPr>
        <w:t>a Corte considera que Colombia ha dado cumplimiento</w:t>
      </w:r>
      <w:r>
        <w:rPr>
          <w:rFonts w:ascii="Verdana" w:hAnsi="Verdana"/>
          <w:sz w:val="20"/>
          <w:szCs w:val="20"/>
        </w:rPr>
        <w:t>,</w:t>
      </w:r>
      <w:r w:rsidRPr="005451AD">
        <w:rPr>
          <w:rFonts w:ascii="Verdana" w:hAnsi="Verdana"/>
          <w:sz w:val="20"/>
          <w:szCs w:val="20"/>
        </w:rPr>
        <w:t xml:space="preserve"> </w:t>
      </w:r>
      <w:r w:rsidRPr="00CD3A47">
        <w:rPr>
          <w:rFonts w:ascii="Verdana" w:hAnsi="Verdana"/>
          <w:sz w:val="20"/>
          <w:szCs w:val="20"/>
        </w:rPr>
        <w:t>dentro del plazo establecido en la Sentencia</w:t>
      </w:r>
      <w:r>
        <w:rPr>
          <w:rFonts w:ascii="Verdana" w:hAnsi="Verdana"/>
          <w:sz w:val="20"/>
          <w:szCs w:val="20"/>
        </w:rPr>
        <w:t xml:space="preserve">, </w:t>
      </w:r>
      <w:r w:rsidRPr="00CD3A47">
        <w:rPr>
          <w:rFonts w:ascii="Verdana" w:hAnsi="Verdana"/>
          <w:sz w:val="20"/>
          <w:szCs w:val="20"/>
        </w:rPr>
        <w:t xml:space="preserve">a </w:t>
      </w:r>
      <w:r>
        <w:rPr>
          <w:rFonts w:ascii="Verdana" w:hAnsi="Verdana"/>
          <w:sz w:val="20"/>
          <w:szCs w:val="20"/>
        </w:rPr>
        <w:t xml:space="preserve">las </w:t>
      </w:r>
      <w:r w:rsidRPr="00CD3A47">
        <w:rPr>
          <w:rFonts w:ascii="Verdana" w:hAnsi="Verdana"/>
          <w:sz w:val="20"/>
          <w:szCs w:val="20"/>
        </w:rPr>
        <w:t>medidas</w:t>
      </w:r>
      <w:r>
        <w:rPr>
          <w:rFonts w:ascii="Verdana" w:hAnsi="Verdana"/>
          <w:sz w:val="20"/>
          <w:szCs w:val="20"/>
        </w:rPr>
        <w:t xml:space="preserve"> </w:t>
      </w:r>
      <w:r w:rsidRPr="00152CBF">
        <w:rPr>
          <w:rFonts w:ascii="Verdana" w:eastAsia="Verdana" w:hAnsi="Verdana" w:cs="Verdana"/>
          <w:color w:val="000000" w:themeColor="text1"/>
          <w:sz w:val="20"/>
          <w:szCs w:val="20"/>
          <w:lang w:val="es-MX"/>
        </w:rPr>
        <w:t xml:space="preserve">relativas a </w:t>
      </w:r>
      <w:r>
        <w:rPr>
          <w:rFonts w:ascii="Verdana" w:eastAsia="Verdana" w:hAnsi="Verdana" w:cs="Verdana"/>
          <w:color w:val="000000" w:themeColor="text1"/>
          <w:sz w:val="20"/>
          <w:szCs w:val="20"/>
          <w:lang w:val="es-MX"/>
        </w:rPr>
        <w:t>su</w:t>
      </w:r>
      <w:r w:rsidRPr="00152CBF">
        <w:rPr>
          <w:rFonts w:ascii="Verdana" w:eastAsia="Verdana" w:hAnsi="Verdana" w:cs="Verdana"/>
          <w:color w:val="000000" w:themeColor="text1"/>
          <w:sz w:val="20"/>
          <w:szCs w:val="20"/>
          <w:lang w:val="es-MX"/>
        </w:rPr>
        <w:t xml:space="preserve"> publicación y difusión</w:t>
      </w:r>
      <w:r w:rsidRPr="00CD3A47">
        <w:rPr>
          <w:rFonts w:ascii="Verdana" w:hAnsi="Verdana"/>
          <w:sz w:val="20"/>
          <w:szCs w:val="20"/>
        </w:rPr>
        <w:t xml:space="preserve">, ordenadas en </w:t>
      </w:r>
      <w:r>
        <w:rPr>
          <w:rFonts w:ascii="Verdana" w:hAnsi="Verdana"/>
          <w:sz w:val="20"/>
          <w:szCs w:val="20"/>
        </w:rPr>
        <w:t>su</w:t>
      </w:r>
      <w:r w:rsidRPr="00CD3A47">
        <w:rPr>
          <w:rFonts w:ascii="Verdana" w:hAnsi="Verdana"/>
          <w:sz w:val="20"/>
          <w:szCs w:val="20"/>
        </w:rPr>
        <w:t xml:space="preserve"> punto resolutivo octavo y en </w:t>
      </w:r>
      <w:r>
        <w:rPr>
          <w:rFonts w:ascii="Verdana" w:hAnsi="Verdana"/>
          <w:sz w:val="20"/>
          <w:szCs w:val="20"/>
        </w:rPr>
        <w:t>su</w:t>
      </w:r>
      <w:r w:rsidRPr="00CD3A47">
        <w:rPr>
          <w:rFonts w:ascii="Verdana" w:hAnsi="Verdana"/>
          <w:sz w:val="20"/>
          <w:szCs w:val="20"/>
        </w:rPr>
        <w:t xml:space="preserve"> párrafo 158, ya que ha constatado que publicó: i) el resumen oficial de la Sentencia elaborado por la Corte en </w:t>
      </w:r>
      <w:r>
        <w:rPr>
          <w:rFonts w:ascii="Verdana" w:hAnsi="Verdana"/>
          <w:sz w:val="20"/>
          <w:szCs w:val="20"/>
        </w:rPr>
        <w:t>D</w:t>
      </w:r>
      <w:r w:rsidRPr="00CD3A47">
        <w:rPr>
          <w:rFonts w:ascii="Verdana" w:hAnsi="Verdana"/>
          <w:sz w:val="20"/>
          <w:szCs w:val="20"/>
        </w:rPr>
        <w:t xml:space="preserve">iario </w:t>
      </w:r>
      <w:r>
        <w:rPr>
          <w:rFonts w:ascii="Verdana" w:hAnsi="Verdana"/>
          <w:sz w:val="20"/>
          <w:szCs w:val="20"/>
        </w:rPr>
        <w:t>O</w:t>
      </w:r>
      <w:r w:rsidRPr="00CD3A47">
        <w:rPr>
          <w:rFonts w:ascii="Verdana" w:hAnsi="Verdana"/>
          <w:sz w:val="20"/>
          <w:szCs w:val="20"/>
        </w:rPr>
        <w:t>ficial de la República de Colombia</w:t>
      </w:r>
      <w:r w:rsidRPr="00CD3A47">
        <w:rPr>
          <w:rStyle w:val="Refdenotaalpie"/>
          <w:rFonts w:ascii="Verdana" w:hAnsi="Verdana"/>
        </w:rPr>
        <w:footnoteReference w:id="6"/>
      </w:r>
      <w:r>
        <w:rPr>
          <w:rFonts w:ascii="Verdana" w:hAnsi="Verdana"/>
          <w:sz w:val="20"/>
          <w:szCs w:val="20"/>
        </w:rPr>
        <w:t xml:space="preserve"> y</w:t>
      </w:r>
      <w:r w:rsidRPr="00CD3A47">
        <w:rPr>
          <w:rFonts w:ascii="Verdana" w:hAnsi="Verdana"/>
          <w:sz w:val="20"/>
          <w:szCs w:val="20"/>
        </w:rPr>
        <w:t xml:space="preserve"> </w:t>
      </w:r>
      <w:proofErr w:type="spellStart"/>
      <w:r w:rsidRPr="00CD3A47">
        <w:rPr>
          <w:rFonts w:ascii="Verdana" w:hAnsi="Verdana"/>
          <w:sz w:val="20"/>
          <w:szCs w:val="20"/>
        </w:rPr>
        <w:t>ii</w:t>
      </w:r>
      <w:proofErr w:type="spellEnd"/>
      <w:r w:rsidRPr="00CD3A47">
        <w:rPr>
          <w:rFonts w:ascii="Verdana" w:hAnsi="Verdana"/>
          <w:sz w:val="20"/>
          <w:szCs w:val="20"/>
        </w:rPr>
        <w:t xml:space="preserve">) el texto completo de la Sentencia en la página </w:t>
      </w:r>
      <w:r w:rsidRPr="00370A9F">
        <w:rPr>
          <w:rFonts w:ascii="Verdana" w:hAnsi="Verdana"/>
          <w:i/>
          <w:iCs/>
          <w:sz w:val="20"/>
          <w:szCs w:val="20"/>
        </w:rPr>
        <w:t>web</w:t>
      </w:r>
      <w:r w:rsidRPr="00CD3A47">
        <w:rPr>
          <w:rFonts w:ascii="Verdana" w:hAnsi="Verdana"/>
          <w:sz w:val="20"/>
          <w:szCs w:val="20"/>
        </w:rPr>
        <w:t xml:space="preserve"> oficial de la Fiscalía General de la Nación</w:t>
      </w:r>
      <w:r w:rsidRPr="00CD3A47">
        <w:rPr>
          <w:rStyle w:val="Refdenotaalpie"/>
          <w:rFonts w:ascii="Verdana" w:hAnsi="Verdana"/>
        </w:rPr>
        <w:footnoteReference w:id="7"/>
      </w:r>
      <w:r w:rsidRPr="00CD3A47">
        <w:rPr>
          <w:rFonts w:ascii="Verdana" w:hAnsi="Verdana"/>
          <w:sz w:val="20"/>
          <w:szCs w:val="20"/>
        </w:rPr>
        <w:t xml:space="preserve">. </w:t>
      </w:r>
      <w:r>
        <w:rPr>
          <w:rFonts w:ascii="Verdana" w:hAnsi="Verdana"/>
          <w:sz w:val="20"/>
          <w:szCs w:val="20"/>
        </w:rPr>
        <w:t>Debido a que</w:t>
      </w:r>
      <w:r w:rsidRPr="00CD3A47">
        <w:rPr>
          <w:rFonts w:ascii="Verdana" w:hAnsi="Verdana"/>
          <w:sz w:val="20"/>
          <w:szCs w:val="20"/>
        </w:rPr>
        <w:t xml:space="preserve"> el Tribunal dispu</w:t>
      </w:r>
      <w:r>
        <w:rPr>
          <w:rFonts w:ascii="Verdana" w:hAnsi="Verdana"/>
          <w:sz w:val="20"/>
          <w:szCs w:val="20"/>
        </w:rPr>
        <w:t>so</w:t>
      </w:r>
      <w:r w:rsidRPr="00CD3A47">
        <w:rPr>
          <w:rFonts w:ascii="Verdana" w:hAnsi="Verdana"/>
          <w:sz w:val="20"/>
          <w:szCs w:val="20"/>
        </w:rPr>
        <w:t xml:space="preserve"> en la Sentencia que el Estado debe mantener la publicación del texto completo de la Sentencia en un sitio web oficial del Estado por el plazo de un año, Colombia deberá mantener disponible la refer</w:t>
      </w:r>
      <w:r>
        <w:rPr>
          <w:rFonts w:ascii="Verdana" w:hAnsi="Verdana"/>
          <w:sz w:val="20"/>
          <w:szCs w:val="20"/>
        </w:rPr>
        <w:t>ida</w:t>
      </w:r>
      <w:r w:rsidRPr="00CD3A47">
        <w:rPr>
          <w:rFonts w:ascii="Verdana" w:hAnsi="Verdana"/>
          <w:sz w:val="20"/>
          <w:szCs w:val="20"/>
        </w:rPr>
        <w:t xml:space="preserve"> publicación</w:t>
      </w:r>
      <w:r>
        <w:rPr>
          <w:rFonts w:ascii="Verdana" w:hAnsi="Verdana"/>
          <w:sz w:val="20"/>
          <w:szCs w:val="20"/>
        </w:rPr>
        <w:t xml:space="preserve"> al menos</w:t>
      </w:r>
      <w:r w:rsidRPr="00CD3A47">
        <w:rPr>
          <w:rFonts w:ascii="Verdana" w:hAnsi="Verdana"/>
          <w:sz w:val="20"/>
          <w:szCs w:val="20"/>
        </w:rPr>
        <w:t xml:space="preserve"> hasta </w:t>
      </w:r>
      <w:r w:rsidRPr="0038685C">
        <w:rPr>
          <w:rFonts w:ascii="Verdana" w:hAnsi="Verdana"/>
          <w:sz w:val="20"/>
          <w:szCs w:val="20"/>
        </w:rPr>
        <w:t>el 27 de mayo de 2022</w:t>
      </w:r>
      <w:r w:rsidRPr="00CD3A47">
        <w:rPr>
          <w:rFonts w:ascii="Verdana" w:hAnsi="Verdana"/>
          <w:sz w:val="20"/>
          <w:szCs w:val="20"/>
        </w:rPr>
        <w:t>.</w:t>
      </w:r>
      <w:r w:rsidRPr="00460356">
        <w:t xml:space="preserve"> </w:t>
      </w:r>
    </w:p>
    <w:p w14:paraId="1E9AB857" w14:textId="77777777" w:rsidR="001808CA" w:rsidRDefault="001808CA" w:rsidP="00953C74">
      <w:pPr>
        <w:spacing w:before="120" w:after="120"/>
        <w:jc w:val="both"/>
        <w:rPr>
          <w:rFonts w:ascii="Verdana" w:hAnsi="Verdana"/>
          <w:sz w:val="20"/>
          <w:szCs w:val="20"/>
        </w:rPr>
      </w:pPr>
    </w:p>
    <w:p w14:paraId="500BC7B5" w14:textId="77777777" w:rsidR="00953C74" w:rsidRPr="00C9670C" w:rsidRDefault="00953C74" w:rsidP="00953C74">
      <w:pPr>
        <w:spacing w:before="120" w:after="120"/>
        <w:jc w:val="both"/>
        <w:rPr>
          <w:rFonts w:ascii="Verdana" w:hAnsi="Verdana"/>
          <w:b/>
          <w:bCs/>
          <w:sz w:val="20"/>
          <w:szCs w:val="20"/>
        </w:rPr>
      </w:pPr>
      <w:r w:rsidRPr="00C9670C">
        <w:rPr>
          <w:rFonts w:ascii="Verdana" w:hAnsi="Verdana"/>
          <w:b/>
          <w:bCs/>
          <w:sz w:val="20"/>
          <w:szCs w:val="20"/>
        </w:rPr>
        <w:tab/>
      </w:r>
      <w:r w:rsidRPr="00C9670C">
        <w:rPr>
          <w:rFonts w:ascii="Verdana" w:hAnsi="Verdana"/>
          <w:b/>
          <w:bCs/>
          <w:i/>
          <w:iCs/>
          <w:sz w:val="20"/>
          <w:szCs w:val="20"/>
        </w:rPr>
        <w:t>B.</w:t>
      </w:r>
      <w:r w:rsidRPr="00C9670C">
        <w:rPr>
          <w:rFonts w:ascii="Verdana" w:hAnsi="Verdana"/>
          <w:b/>
          <w:bCs/>
          <w:sz w:val="20"/>
          <w:szCs w:val="20"/>
        </w:rPr>
        <w:tab/>
      </w:r>
      <w:r w:rsidRPr="00C9670C">
        <w:rPr>
          <w:rFonts w:ascii="Verdana" w:hAnsi="Verdana"/>
          <w:b/>
          <w:bCs/>
          <w:i/>
          <w:iCs/>
          <w:color w:val="000000" w:themeColor="text1"/>
          <w:sz w:val="20"/>
        </w:rPr>
        <w:t>Indemnizaciones por daños materiales e inmateriales</w:t>
      </w:r>
    </w:p>
    <w:p w14:paraId="6EF945F0" w14:textId="41589329" w:rsidR="00953C74" w:rsidRDefault="00953C74" w:rsidP="00953C74">
      <w:pPr>
        <w:spacing w:before="120" w:after="120"/>
        <w:jc w:val="both"/>
        <w:rPr>
          <w:rFonts w:ascii="Verdana" w:hAnsi="Verdana"/>
          <w:sz w:val="20"/>
          <w:szCs w:val="20"/>
        </w:rPr>
      </w:pPr>
      <w:r w:rsidRPr="00CD3A47">
        <w:rPr>
          <w:rFonts w:ascii="Verdana" w:hAnsi="Verdana"/>
          <w:sz w:val="20"/>
          <w:szCs w:val="20"/>
        </w:rPr>
        <w:t xml:space="preserve">3. </w:t>
      </w:r>
      <w:r>
        <w:rPr>
          <w:rFonts w:ascii="Verdana" w:hAnsi="Verdana"/>
          <w:sz w:val="20"/>
          <w:szCs w:val="20"/>
        </w:rPr>
        <w:tab/>
        <w:t>Con base en la información y comprobantes aportados por el Estado</w:t>
      </w:r>
      <w:r>
        <w:rPr>
          <w:rStyle w:val="Refdenotaalpie"/>
          <w:rFonts w:ascii="Verdana" w:hAnsi="Verdana"/>
        </w:rPr>
        <w:footnoteReference w:id="8"/>
      </w:r>
      <w:r>
        <w:rPr>
          <w:rFonts w:ascii="Verdana" w:hAnsi="Verdana"/>
          <w:sz w:val="20"/>
          <w:szCs w:val="20"/>
        </w:rPr>
        <w:t xml:space="preserve">, así como lo indicado por </w:t>
      </w:r>
      <w:r w:rsidR="006308F9">
        <w:rPr>
          <w:rFonts w:ascii="Verdana" w:hAnsi="Verdana"/>
          <w:sz w:val="20"/>
          <w:szCs w:val="20"/>
        </w:rPr>
        <w:t>los</w:t>
      </w:r>
      <w:r>
        <w:rPr>
          <w:rFonts w:ascii="Verdana" w:hAnsi="Verdana"/>
          <w:sz w:val="20"/>
          <w:szCs w:val="20"/>
        </w:rPr>
        <w:t xml:space="preserve"> representante</w:t>
      </w:r>
      <w:r w:rsidR="006308F9">
        <w:rPr>
          <w:rFonts w:ascii="Verdana" w:hAnsi="Verdana"/>
          <w:sz w:val="20"/>
          <w:szCs w:val="20"/>
        </w:rPr>
        <w:t>s</w:t>
      </w:r>
      <w:r>
        <w:rPr>
          <w:rStyle w:val="Refdenotaalpie"/>
          <w:rFonts w:ascii="Verdana" w:hAnsi="Verdana"/>
        </w:rPr>
        <w:footnoteReference w:id="9"/>
      </w:r>
      <w:r>
        <w:rPr>
          <w:rFonts w:ascii="Verdana" w:hAnsi="Verdana"/>
          <w:sz w:val="20"/>
          <w:szCs w:val="20"/>
        </w:rPr>
        <w:t>,</w:t>
      </w:r>
      <w:r w:rsidRPr="00CD3A47">
        <w:rPr>
          <w:rFonts w:ascii="Verdana" w:hAnsi="Verdana"/>
          <w:sz w:val="20"/>
          <w:szCs w:val="20"/>
        </w:rPr>
        <w:t xml:space="preserve"> la Corte considera que Colombia ha dado cumplimiento, dentro del plazo establecido en la Sentencia, </w:t>
      </w:r>
      <w:r>
        <w:rPr>
          <w:rFonts w:ascii="Verdana" w:hAnsi="Verdana"/>
          <w:sz w:val="20"/>
          <w:szCs w:val="20"/>
        </w:rPr>
        <w:t xml:space="preserve">al </w:t>
      </w:r>
      <w:r w:rsidRPr="00CD3A47">
        <w:rPr>
          <w:rFonts w:ascii="Verdana" w:hAnsi="Verdana"/>
          <w:sz w:val="20"/>
          <w:szCs w:val="20"/>
        </w:rPr>
        <w:t>pago a la víctima de las cantidades fijadas por concepto de indemnizaci</w:t>
      </w:r>
      <w:r>
        <w:rPr>
          <w:rFonts w:ascii="Verdana" w:hAnsi="Verdana"/>
          <w:sz w:val="20"/>
          <w:szCs w:val="20"/>
        </w:rPr>
        <w:t>ones</w:t>
      </w:r>
      <w:r w:rsidRPr="00CD3A47">
        <w:rPr>
          <w:rFonts w:ascii="Verdana" w:hAnsi="Verdana"/>
          <w:sz w:val="20"/>
          <w:szCs w:val="20"/>
        </w:rPr>
        <w:t xml:space="preserve"> de daño</w:t>
      </w:r>
      <w:r>
        <w:rPr>
          <w:rFonts w:ascii="Verdana" w:hAnsi="Verdana"/>
          <w:sz w:val="20"/>
          <w:szCs w:val="20"/>
        </w:rPr>
        <w:t>s</w:t>
      </w:r>
      <w:r w:rsidRPr="00CD3A47">
        <w:rPr>
          <w:rFonts w:ascii="Verdana" w:hAnsi="Verdana"/>
          <w:sz w:val="20"/>
          <w:szCs w:val="20"/>
        </w:rPr>
        <w:t xml:space="preserve"> material</w:t>
      </w:r>
      <w:r>
        <w:rPr>
          <w:rFonts w:ascii="Verdana" w:hAnsi="Verdana"/>
          <w:sz w:val="20"/>
          <w:szCs w:val="20"/>
        </w:rPr>
        <w:t>es</w:t>
      </w:r>
      <w:r w:rsidRPr="00CD3A47">
        <w:rPr>
          <w:rFonts w:ascii="Verdana" w:hAnsi="Verdana"/>
          <w:sz w:val="20"/>
          <w:szCs w:val="20"/>
        </w:rPr>
        <w:t xml:space="preserve"> e inmaterial</w:t>
      </w:r>
      <w:r>
        <w:rPr>
          <w:rFonts w:ascii="Verdana" w:hAnsi="Verdana"/>
          <w:sz w:val="20"/>
          <w:szCs w:val="20"/>
        </w:rPr>
        <w:t>es</w:t>
      </w:r>
      <w:r w:rsidRPr="00CD3A47">
        <w:rPr>
          <w:rFonts w:ascii="Verdana" w:hAnsi="Verdana"/>
          <w:sz w:val="20"/>
          <w:szCs w:val="20"/>
        </w:rPr>
        <w:t xml:space="preserve"> ordenada</w:t>
      </w:r>
      <w:r>
        <w:rPr>
          <w:rFonts w:ascii="Verdana" w:hAnsi="Verdana"/>
          <w:sz w:val="20"/>
          <w:szCs w:val="20"/>
        </w:rPr>
        <w:t>s</w:t>
      </w:r>
      <w:r w:rsidRPr="00CD3A47">
        <w:rPr>
          <w:rFonts w:ascii="Verdana" w:hAnsi="Verdana"/>
          <w:sz w:val="20"/>
          <w:szCs w:val="20"/>
        </w:rPr>
        <w:t xml:space="preserve"> en </w:t>
      </w:r>
      <w:r>
        <w:rPr>
          <w:rFonts w:ascii="Verdana" w:hAnsi="Verdana"/>
          <w:sz w:val="20"/>
          <w:szCs w:val="20"/>
        </w:rPr>
        <w:t>su</w:t>
      </w:r>
      <w:r w:rsidRPr="00CD3A47">
        <w:rPr>
          <w:rFonts w:ascii="Verdana" w:hAnsi="Verdana"/>
          <w:sz w:val="20"/>
          <w:szCs w:val="20"/>
        </w:rPr>
        <w:t xml:space="preserve"> punto resolutivo décimo y en </w:t>
      </w:r>
      <w:r w:rsidR="001808CA">
        <w:rPr>
          <w:rFonts w:ascii="Verdana" w:hAnsi="Verdana"/>
          <w:sz w:val="20"/>
          <w:szCs w:val="20"/>
        </w:rPr>
        <w:t>los</w:t>
      </w:r>
      <w:r w:rsidRPr="00CD3A47">
        <w:rPr>
          <w:rFonts w:ascii="Verdana" w:hAnsi="Verdana"/>
          <w:sz w:val="20"/>
          <w:szCs w:val="20"/>
        </w:rPr>
        <w:t xml:space="preserve"> párrafos 168 y 17</w:t>
      </w:r>
      <w:r>
        <w:rPr>
          <w:rFonts w:ascii="Verdana" w:hAnsi="Verdana"/>
          <w:sz w:val="20"/>
          <w:szCs w:val="20"/>
        </w:rPr>
        <w:t>0</w:t>
      </w:r>
      <w:r w:rsidR="001808CA">
        <w:rPr>
          <w:rFonts w:ascii="Verdana" w:hAnsi="Verdana"/>
          <w:sz w:val="20"/>
          <w:szCs w:val="20"/>
        </w:rPr>
        <w:t xml:space="preserve"> de la Sentencia</w:t>
      </w:r>
      <w:r>
        <w:rPr>
          <w:rFonts w:ascii="Verdana" w:hAnsi="Verdana"/>
          <w:sz w:val="20"/>
          <w:szCs w:val="20"/>
        </w:rPr>
        <w:t>.</w:t>
      </w:r>
    </w:p>
    <w:p w14:paraId="7E126C2D" w14:textId="7080907F" w:rsidR="001808CA" w:rsidRDefault="001808CA" w:rsidP="00953C74">
      <w:pPr>
        <w:spacing w:before="120" w:after="120"/>
        <w:jc w:val="both"/>
        <w:rPr>
          <w:rFonts w:ascii="Verdana" w:hAnsi="Verdana"/>
          <w:sz w:val="20"/>
          <w:szCs w:val="20"/>
        </w:rPr>
      </w:pPr>
    </w:p>
    <w:p w14:paraId="0F344CA7" w14:textId="773C615A" w:rsidR="001808CA" w:rsidRDefault="001808CA" w:rsidP="00953C74">
      <w:pPr>
        <w:spacing w:before="120" w:after="120"/>
        <w:jc w:val="both"/>
        <w:rPr>
          <w:rFonts w:ascii="Verdana" w:hAnsi="Verdana"/>
          <w:sz w:val="20"/>
          <w:szCs w:val="20"/>
        </w:rPr>
      </w:pPr>
    </w:p>
    <w:p w14:paraId="69CAE3EE" w14:textId="77777777" w:rsidR="001808CA" w:rsidRDefault="001808CA" w:rsidP="00953C74">
      <w:pPr>
        <w:spacing w:before="120" w:after="120"/>
        <w:jc w:val="both"/>
        <w:rPr>
          <w:rFonts w:ascii="Verdana" w:hAnsi="Verdana"/>
          <w:sz w:val="20"/>
          <w:szCs w:val="20"/>
        </w:rPr>
      </w:pPr>
    </w:p>
    <w:p w14:paraId="6BFD0A8F" w14:textId="3C952B78" w:rsidR="00953C74" w:rsidRPr="00C9670C" w:rsidRDefault="00953C74" w:rsidP="001808CA">
      <w:pPr>
        <w:spacing w:before="120" w:after="120"/>
        <w:ind w:left="705"/>
        <w:jc w:val="both"/>
        <w:rPr>
          <w:rFonts w:ascii="Verdana" w:hAnsi="Verdana"/>
          <w:b/>
          <w:bCs/>
          <w:i/>
          <w:iCs/>
          <w:sz w:val="20"/>
          <w:szCs w:val="20"/>
        </w:rPr>
      </w:pPr>
      <w:r w:rsidRPr="00C9670C">
        <w:rPr>
          <w:rFonts w:ascii="Verdana" w:hAnsi="Verdana"/>
          <w:b/>
          <w:bCs/>
          <w:i/>
          <w:iCs/>
          <w:sz w:val="20"/>
          <w:szCs w:val="20"/>
        </w:rPr>
        <w:lastRenderedPageBreak/>
        <w:t>C.</w:t>
      </w:r>
      <w:r w:rsidRPr="00C9670C">
        <w:rPr>
          <w:rFonts w:ascii="Verdana" w:hAnsi="Verdana"/>
          <w:b/>
          <w:bCs/>
          <w:i/>
          <w:iCs/>
          <w:sz w:val="20"/>
          <w:szCs w:val="20"/>
        </w:rPr>
        <w:tab/>
        <w:t>Cubrir los aportes a la pensión de la víctima desde su desvinculación</w:t>
      </w:r>
    </w:p>
    <w:p w14:paraId="658B123F" w14:textId="2B67B861" w:rsidR="00953C74" w:rsidRDefault="00953C74" w:rsidP="00953C74">
      <w:pPr>
        <w:spacing w:before="120" w:after="120"/>
        <w:jc w:val="both"/>
        <w:rPr>
          <w:rFonts w:ascii="Verdana" w:hAnsi="Verdana"/>
          <w:sz w:val="20"/>
          <w:szCs w:val="20"/>
        </w:rPr>
      </w:pPr>
      <w:r w:rsidRPr="00CD3A47">
        <w:rPr>
          <w:rFonts w:ascii="Verdana" w:hAnsi="Verdana"/>
          <w:sz w:val="20"/>
          <w:szCs w:val="20"/>
        </w:rPr>
        <w:t xml:space="preserve">4. </w:t>
      </w:r>
      <w:r>
        <w:rPr>
          <w:rFonts w:ascii="Verdana" w:hAnsi="Verdana"/>
          <w:sz w:val="20"/>
          <w:szCs w:val="20"/>
        </w:rPr>
        <w:tab/>
      </w:r>
      <w:r w:rsidRPr="00CD3A47">
        <w:rPr>
          <w:rFonts w:ascii="Verdana" w:hAnsi="Verdana"/>
          <w:sz w:val="20"/>
          <w:szCs w:val="20"/>
        </w:rPr>
        <w:t xml:space="preserve"> </w:t>
      </w:r>
      <w:r>
        <w:rPr>
          <w:rFonts w:ascii="Verdana" w:hAnsi="Verdana"/>
          <w:sz w:val="20"/>
          <w:szCs w:val="20"/>
        </w:rPr>
        <w:t>Con base en la información aportada por Colombia</w:t>
      </w:r>
      <w:r>
        <w:rPr>
          <w:rStyle w:val="Refdenotaalpie"/>
          <w:rFonts w:ascii="Verdana" w:hAnsi="Verdana"/>
        </w:rPr>
        <w:footnoteReference w:id="10"/>
      </w:r>
      <w:r>
        <w:rPr>
          <w:rFonts w:ascii="Verdana" w:hAnsi="Verdana"/>
          <w:sz w:val="20"/>
          <w:szCs w:val="20"/>
        </w:rPr>
        <w:t xml:space="preserve"> y lo observado por </w:t>
      </w:r>
      <w:r w:rsidR="0056580B">
        <w:rPr>
          <w:rFonts w:ascii="Verdana" w:hAnsi="Verdana"/>
          <w:sz w:val="20"/>
          <w:szCs w:val="20"/>
        </w:rPr>
        <w:t>los</w:t>
      </w:r>
      <w:r>
        <w:rPr>
          <w:rFonts w:ascii="Verdana" w:hAnsi="Verdana"/>
          <w:sz w:val="20"/>
          <w:szCs w:val="20"/>
        </w:rPr>
        <w:t xml:space="preserve"> representante</w:t>
      </w:r>
      <w:r w:rsidR="0056580B">
        <w:rPr>
          <w:rFonts w:ascii="Verdana" w:hAnsi="Verdana"/>
          <w:sz w:val="20"/>
          <w:szCs w:val="20"/>
        </w:rPr>
        <w:t>s</w:t>
      </w:r>
      <w:r>
        <w:rPr>
          <w:rStyle w:val="Refdenotaalpie"/>
          <w:rFonts w:ascii="Verdana" w:hAnsi="Verdana"/>
        </w:rPr>
        <w:footnoteReference w:id="11"/>
      </w:r>
      <w:r>
        <w:rPr>
          <w:rFonts w:ascii="Verdana" w:hAnsi="Verdana"/>
          <w:sz w:val="20"/>
          <w:szCs w:val="20"/>
        </w:rPr>
        <w:t>, la Corte</w:t>
      </w:r>
      <w:r w:rsidRPr="00CD3A47">
        <w:rPr>
          <w:rFonts w:ascii="Verdana" w:hAnsi="Verdana"/>
          <w:sz w:val="20"/>
          <w:szCs w:val="20"/>
        </w:rPr>
        <w:t xml:space="preserve"> considera que el Estado ha dado cumplimiento</w:t>
      </w:r>
      <w:r>
        <w:rPr>
          <w:rFonts w:ascii="Verdana" w:hAnsi="Verdana"/>
          <w:sz w:val="20"/>
          <w:szCs w:val="20"/>
        </w:rPr>
        <w:t xml:space="preserve">, </w:t>
      </w:r>
      <w:r w:rsidRPr="00CD3A47">
        <w:rPr>
          <w:rFonts w:ascii="Verdana" w:hAnsi="Verdana"/>
          <w:sz w:val="20"/>
          <w:szCs w:val="20"/>
        </w:rPr>
        <w:t>dentro del plazo establecido en la Sentencia</w:t>
      </w:r>
      <w:r>
        <w:rPr>
          <w:rFonts w:ascii="Verdana" w:hAnsi="Verdana"/>
          <w:sz w:val="20"/>
          <w:szCs w:val="20"/>
        </w:rPr>
        <w:t>,</w:t>
      </w:r>
      <w:r w:rsidRPr="00CD3A47">
        <w:rPr>
          <w:rFonts w:ascii="Verdana" w:hAnsi="Verdana"/>
          <w:sz w:val="20"/>
          <w:szCs w:val="20"/>
        </w:rPr>
        <w:t xml:space="preserve"> a </w:t>
      </w:r>
      <w:r>
        <w:rPr>
          <w:rFonts w:ascii="Verdana" w:hAnsi="Verdana"/>
          <w:sz w:val="20"/>
          <w:szCs w:val="20"/>
        </w:rPr>
        <w:t>la</w:t>
      </w:r>
      <w:r w:rsidRPr="00CD3A47">
        <w:rPr>
          <w:rFonts w:ascii="Verdana" w:hAnsi="Verdana"/>
          <w:sz w:val="20"/>
          <w:szCs w:val="20"/>
        </w:rPr>
        <w:t xml:space="preserve"> medida ordenada en </w:t>
      </w:r>
      <w:r>
        <w:rPr>
          <w:rFonts w:ascii="Verdana" w:hAnsi="Verdana"/>
          <w:sz w:val="20"/>
          <w:szCs w:val="20"/>
        </w:rPr>
        <w:t>su</w:t>
      </w:r>
      <w:r w:rsidRPr="00CD3A47">
        <w:rPr>
          <w:rFonts w:ascii="Verdana" w:hAnsi="Verdana"/>
          <w:sz w:val="20"/>
          <w:szCs w:val="20"/>
        </w:rPr>
        <w:t xml:space="preserve"> punto resolutivo séptimo y</w:t>
      </w:r>
      <w:r>
        <w:rPr>
          <w:rFonts w:ascii="Verdana" w:hAnsi="Verdana"/>
          <w:sz w:val="20"/>
          <w:szCs w:val="20"/>
        </w:rPr>
        <w:t xml:space="preserve"> su</w:t>
      </w:r>
      <w:r w:rsidRPr="00CD3A47">
        <w:rPr>
          <w:rFonts w:ascii="Verdana" w:hAnsi="Verdana"/>
          <w:sz w:val="20"/>
          <w:szCs w:val="20"/>
        </w:rPr>
        <w:t xml:space="preserve"> párrafo 155</w:t>
      </w:r>
      <w:r>
        <w:rPr>
          <w:rFonts w:ascii="Verdana" w:hAnsi="Verdana"/>
          <w:sz w:val="20"/>
          <w:szCs w:val="20"/>
        </w:rPr>
        <w:t>, relativa a “</w:t>
      </w:r>
      <w:r w:rsidRPr="00857541">
        <w:rPr>
          <w:rFonts w:ascii="Verdana" w:hAnsi="Verdana"/>
          <w:sz w:val="20"/>
          <w:szCs w:val="20"/>
        </w:rPr>
        <w:t xml:space="preserve">cubrir los aportes a la pensión de la señora Martínez Esquivia, desde el momento de su desvinculación </w:t>
      </w:r>
      <w:r w:rsidRPr="00DA12CD">
        <w:rPr>
          <w:rFonts w:ascii="Verdana" w:hAnsi="Verdana"/>
          <w:sz w:val="20"/>
          <w:szCs w:val="20"/>
        </w:rPr>
        <w:t>hasta el 16 de marzo de 2017, descontando los días que fueron pagados durante el período en que fue reintegrada en su puesto entre el 2 de agosto y el 15 de octubre de 2005</w:t>
      </w:r>
      <w:r>
        <w:rPr>
          <w:rFonts w:ascii="Verdana" w:hAnsi="Verdana"/>
          <w:sz w:val="20"/>
          <w:szCs w:val="20"/>
        </w:rPr>
        <w:t>”</w:t>
      </w:r>
      <w:r w:rsidRPr="00DA12CD">
        <w:rPr>
          <w:rFonts w:ascii="Verdana" w:hAnsi="Verdana"/>
          <w:sz w:val="20"/>
          <w:szCs w:val="20"/>
        </w:rPr>
        <w:t>.</w:t>
      </w:r>
      <w:r w:rsidRPr="00CD3A47">
        <w:rPr>
          <w:rFonts w:ascii="Verdana" w:hAnsi="Verdana"/>
          <w:sz w:val="20"/>
          <w:szCs w:val="20"/>
        </w:rPr>
        <w:t xml:space="preserve"> </w:t>
      </w:r>
      <w:r>
        <w:rPr>
          <w:rFonts w:ascii="Verdana" w:hAnsi="Verdana"/>
          <w:sz w:val="20"/>
          <w:szCs w:val="20"/>
        </w:rPr>
        <w:t xml:space="preserve">El Tribunal </w:t>
      </w:r>
      <w:r w:rsidRPr="00CD3A47">
        <w:rPr>
          <w:rFonts w:ascii="Verdana" w:hAnsi="Verdana"/>
          <w:sz w:val="20"/>
          <w:szCs w:val="20"/>
        </w:rPr>
        <w:t>ha constatado</w:t>
      </w:r>
      <w:r>
        <w:rPr>
          <w:rFonts w:ascii="Verdana" w:hAnsi="Verdana"/>
          <w:sz w:val="20"/>
          <w:szCs w:val="20"/>
        </w:rPr>
        <w:t xml:space="preserve"> </w:t>
      </w:r>
      <w:r w:rsidRPr="00CD3A47">
        <w:rPr>
          <w:rFonts w:ascii="Verdana" w:hAnsi="Verdana"/>
          <w:sz w:val="20"/>
          <w:szCs w:val="20"/>
        </w:rPr>
        <w:t>que</w:t>
      </w:r>
      <w:r>
        <w:rPr>
          <w:rFonts w:ascii="Verdana" w:hAnsi="Verdana"/>
          <w:sz w:val="20"/>
          <w:szCs w:val="20"/>
        </w:rPr>
        <w:t xml:space="preserve"> </w:t>
      </w:r>
      <w:r w:rsidRPr="00CD3A47">
        <w:rPr>
          <w:rFonts w:ascii="Verdana" w:hAnsi="Verdana"/>
          <w:sz w:val="20"/>
          <w:szCs w:val="20"/>
        </w:rPr>
        <w:t xml:space="preserve">el Estado ha realizado la totalidad de los aportes a </w:t>
      </w:r>
      <w:r>
        <w:rPr>
          <w:rFonts w:ascii="Verdana" w:hAnsi="Verdana"/>
          <w:sz w:val="20"/>
          <w:szCs w:val="20"/>
        </w:rPr>
        <w:t xml:space="preserve">COLPENSIONES (Administradora Colombiana de Pensiones) y corresponde a ésta última, a la mayor brevedad, </w:t>
      </w:r>
      <w:r w:rsidRPr="00CD3A47">
        <w:rPr>
          <w:rFonts w:ascii="Verdana" w:hAnsi="Verdana"/>
          <w:sz w:val="20"/>
          <w:szCs w:val="20"/>
        </w:rPr>
        <w:t>reali</w:t>
      </w:r>
      <w:r>
        <w:rPr>
          <w:rFonts w:ascii="Verdana" w:hAnsi="Verdana"/>
          <w:sz w:val="20"/>
          <w:szCs w:val="20"/>
        </w:rPr>
        <w:t>zar</w:t>
      </w:r>
      <w:r w:rsidRPr="00CD3A47">
        <w:rPr>
          <w:rFonts w:ascii="Verdana" w:hAnsi="Verdana"/>
          <w:sz w:val="20"/>
          <w:szCs w:val="20"/>
        </w:rPr>
        <w:t xml:space="preserve"> la correspondiente liquidación.</w:t>
      </w:r>
      <w:r>
        <w:rPr>
          <w:rFonts w:ascii="Verdana" w:hAnsi="Verdana"/>
          <w:sz w:val="20"/>
          <w:szCs w:val="20"/>
        </w:rPr>
        <w:t xml:space="preserve"> </w:t>
      </w:r>
    </w:p>
    <w:p w14:paraId="2347F64C" w14:textId="77777777" w:rsidR="00953C74" w:rsidRPr="00AD10AE" w:rsidRDefault="00953C74" w:rsidP="00953C74">
      <w:pPr>
        <w:spacing w:before="120" w:after="120"/>
        <w:jc w:val="center"/>
        <w:rPr>
          <w:rFonts w:ascii="Verdana" w:hAnsi="Verdana"/>
          <w:sz w:val="20"/>
          <w:szCs w:val="20"/>
        </w:rPr>
      </w:pPr>
      <w:r w:rsidRPr="00AD10AE">
        <w:rPr>
          <w:rFonts w:ascii="Verdana" w:hAnsi="Verdana"/>
          <w:sz w:val="20"/>
          <w:szCs w:val="20"/>
        </w:rPr>
        <w:t>*</w:t>
      </w:r>
    </w:p>
    <w:p w14:paraId="1AC07B4F" w14:textId="240D7C34" w:rsidR="00953C74" w:rsidRPr="0027366F" w:rsidRDefault="00953C74" w:rsidP="00953C74">
      <w:pPr>
        <w:spacing w:before="120" w:after="120"/>
        <w:jc w:val="both"/>
        <w:rPr>
          <w:rFonts w:ascii="Verdana" w:hAnsi="Verdana"/>
          <w:sz w:val="20"/>
          <w:szCs w:val="20"/>
        </w:rPr>
      </w:pPr>
      <w:r w:rsidRPr="0027366F">
        <w:rPr>
          <w:rFonts w:ascii="Verdana" w:hAnsi="Verdana"/>
          <w:sz w:val="20"/>
          <w:szCs w:val="20"/>
        </w:rPr>
        <w:t xml:space="preserve">5. </w:t>
      </w:r>
      <w:r w:rsidRPr="0027366F">
        <w:rPr>
          <w:rFonts w:ascii="Verdana" w:hAnsi="Verdana"/>
          <w:sz w:val="20"/>
          <w:szCs w:val="20"/>
        </w:rPr>
        <w:tab/>
      </w:r>
      <w:r w:rsidRPr="00A32850">
        <w:rPr>
          <w:rFonts w:ascii="Verdana" w:hAnsi="Verdana"/>
          <w:color w:val="000000"/>
          <w:sz w:val="20"/>
          <w:szCs w:val="20"/>
          <w:shd w:val="clear" w:color="auto" w:fill="FFFFFF"/>
          <w:lang w:val="es-ES"/>
        </w:rPr>
        <w:t>La Corte valora positivamente que, en el año posterior a la Sentencia, Colombia</w:t>
      </w:r>
      <w:r w:rsidR="001808CA">
        <w:rPr>
          <w:rFonts w:ascii="Verdana" w:hAnsi="Verdana"/>
          <w:color w:val="000000"/>
          <w:sz w:val="20"/>
          <w:szCs w:val="20"/>
          <w:shd w:val="clear" w:color="auto" w:fill="FFFFFF"/>
          <w:lang w:val="es-ES"/>
        </w:rPr>
        <w:t xml:space="preserve"> </w:t>
      </w:r>
      <w:r w:rsidRPr="00A32850">
        <w:rPr>
          <w:rFonts w:ascii="Verdana" w:hAnsi="Verdana"/>
          <w:color w:val="000000"/>
          <w:sz w:val="20"/>
          <w:szCs w:val="20"/>
          <w:shd w:val="clear" w:color="auto" w:fill="FFFFFF"/>
          <w:lang w:val="es-ES"/>
        </w:rPr>
        <w:t>ha dado cumplimiento total</w:t>
      </w:r>
      <w:r w:rsidR="001808CA">
        <w:rPr>
          <w:rFonts w:ascii="Verdana" w:hAnsi="Verdana"/>
          <w:color w:val="000000"/>
          <w:sz w:val="20"/>
          <w:szCs w:val="20"/>
          <w:shd w:val="clear" w:color="auto" w:fill="FFFFFF"/>
          <w:lang w:val="es-ES"/>
        </w:rPr>
        <w:t xml:space="preserve"> </w:t>
      </w:r>
      <w:r w:rsidRPr="00A32850">
        <w:rPr>
          <w:rFonts w:ascii="Verdana" w:hAnsi="Verdana"/>
          <w:color w:val="000000"/>
          <w:sz w:val="20"/>
          <w:szCs w:val="20"/>
          <w:shd w:val="clear" w:color="auto" w:fill="FFFFFF"/>
        </w:rPr>
        <w:t>a tres medidas</w:t>
      </w:r>
      <w:r w:rsidR="001808CA">
        <w:rPr>
          <w:rFonts w:ascii="Verdana" w:hAnsi="Verdana"/>
          <w:color w:val="000000"/>
          <w:sz w:val="20"/>
          <w:szCs w:val="20"/>
          <w:shd w:val="clear" w:color="auto" w:fill="FFFFFF"/>
        </w:rPr>
        <w:t xml:space="preserve"> </w:t>
      </w:r>
      <w:r w:rsidRPr="00A32850">
        <w:rPr>
          <w:rFonts w:ascii="Verdana" w:hAnsi="Verdana"/>
          <w:color w:val="000000"/>
          <w:sz w:val="20"/>
          <w:szCs w:val="20"/>
          <w:shd w:val="clear" w:color="auto" w:fill="FFFFFF"/>
        </w:rPr>
        <w:t>de reparación, restando la ejecución de la garantía de no repetición, a la que debe</w:t>
      </w:r>
      <w:r w:rsidR="001808CA">
        <w:rPr>
          <w:rFonts w:ascii="Verdana" w:hAnsi="Verdana"/>
          <w:color w:val="000000"/>
          <w:sz w:val="20"/>
          <w:szCs w:val="20"/>
          <w:shd w:val="clear" w:color="auto" w:fill="FFFFFF"/>
        </w:rPr>
        <w:t xml:space="preserve"> </w:t>
      </w:r>
      <w:r w:rsidRPr="00A32850">
        <w:rPr>
          <w:rFonts w:ascii="Verdana" w:hAnsi="Verdana"/>
          <w:color w:val="212121"/>
          <w:sz w:val="20"/>
          <w:szCs w:val="20"/>
          <w:shd w:val="clear" w:color="auto" w:fill="FFFFFF"/>
        </w:rPr>
        <w:t>dar cumplimiento en un plazo razonable</w:t>
      </w:r>
      <w:r>
        <w:rPr>
          <w:rFonts w:ascii="Verdana" w:hAnsi="Verdana"/>
          <w:color w:val="212121"/>
          <w:sz w:val="20"/>
          <w:szCs w:val="20"/>
          <w:shd w:val="clear" w:color="auto" w:fill="FFFFFF"/>
        </w:rPr>
        <w:t xml:space="preserve"> </w:t>
      </w:r>
      <w:r w:rsidRPr="00A32850">
        <w:rPr>
          <w:rFonts w:ascii="Verdana" w:hAnsi="Verdana"/>
          <w:color w:val="212121"/>
          <w:sz w:val="20"/>
          <w:szCs w:val="20"/>
          <w:shd w:val="clear" w:color="auto" w:fill="FFFFFF"/>
        </w:rPr>
        <w:t>y se supervisará en una resolución posterior.</w:t>
      </w:r>
    </w:p>
    <w:p w14:paraId="654733EE" w14:textId="77777777" w:rsidR="00953C74" w:rsidRDefault="00953C74" w:rsidP="00953C74">
      <w:pPr>
        <w:spacing w:before="120" w:after="120"/>
        <w:jc w:val="both"/>
        <w:rPr>
          <w:rFonts w:ascii="Verdana" w:hAnsi="Verdana"/>
          <w:sz w:val="20"/>
          <w:szCs w:val="20"/>
        </w:rPr>
      </w:pPr>
    </w:p>
    <w:p w14:paraId="77A00E12" w14:textId="77777777" w:rsidR="00953C74" w:rsidRPr="00CD3A47" w:rsidRDefault="00953C74" w:rsidP="00953C74">
      <w:pPr>
        <w:pStyle w:val="Prrafodelista"/>
        <w:spacing w:before="120" w:after="120"/>
        <w:ind w:left="0"/>
        <w:jc w:val="both"/>
        <w:rPr>
          <w:rFonts w:ascii="Verdana" w:hAnsi="Verdana"/>
          <w:b/>
          <w:color w:val="000000" w:themeColor="text1"/>
          <w:sz w:val="20"/>
          <w:szCs w:val="20"/>
        </w:rPr>
      </w:pPr>
      <w:r w:rsidRPr="00CD3A47">
        <w:rPr>
          <w:rFonts w:ascii="Verdana" w:hAnsi="Verdana"/>
          <w:b/>
          <w:color w:val="000000" w:themeColor="text1"/>
          <w:sz w:val="20"/>
          <w:szCs w:val="20"/>
        </w:rPr>
        <w:t>POR TANTO:</w:t>
      </w:r>
    </w:p>
    <w:p w14:paraId="5248B5DC" w14:textId="77777777" w:rsidR="00953C74" w:rsidRPr="00CD3A47" w:rsidRDefault="00953C74" w:rsidP="00953C74">
      <w:pPr>
        <w:pStyle w:val="Prrafodelista"/>
        <w:spacing w:before="120" w:after="120"/>
        <w:ind w:left="0"/>
        <w:jc w:val="both"/>
        <w:rPr>
          <w:rFonts w:ascii="Verdana" w:hAnsi="Verdana"/>
          <w:b/>
          <w:color w:val="000000" w:themeColor="text1"/>
          <w:sz w:val="20"/>
          <w:szCs w:val="20"/>
        </w:rPr>
      </w:pPr>
      <w:r w:rsidRPr="00CD3A47">
        <w:rPr>
          <w:rFonts w:ascii="Verdana" w:hAnsi="Verdana"/>
          <w:b/>
          <w:color w:val="000000" w:themeColor="text1"/>
          <w:sz w:val="20"/>
          <w:szCs w:val="20"/>
        </w:rPr>
        <w:t>LA CORTE INTERAMERICANA DE DERECHOS HUMANOS,</w:t>
      </w:r>
    </w:p>
    <w:p w14:paraId="4A75935C" w14:textId="77777777" w:rsidR="00953C74" w:rsidRDefault="00953C74" w:rsidP="00953C74">
      <w:pPr>
        <w:pStyle w:val="Prrafodelista"/>
        <w:spacing w:before="120" w:after="120"/>
        <w:ind w:left="0"/>
        <w:jc w:val="both"/>
        <w:rPr>
          <w:rFonts w:ascii="Verdana" w:hAnsi="Verdana"/>
          <w:color w:val="000000" w:themeColor="text1"/>
          <w:sz w:val="20"/>
          <w:szCs w:val="20"/>
        </w:rPr>
      </w:pPr>
      <w:r w:rsidRPr="00CD3A47">
        <w:rPr>
          <w:rFonts w:ascii="Verdana" w:hAnsi="Verdana"/>
          <w:color w:val="000000" w:themeColor="text1"/>
          <w:sz w:val="20"/>
          <w:szCs w:val="20"/>
        </w:rPr>
        <w:t>en el ejercicio de sus atribuciones de supervisión del cumplimiento de sus decisiones y de conformidad con los artículos 33, 62.1, 62.3, 65, 67 y 68.1 de la Convención Americana sobre Derechos Humanos, 24, 25 y 30 del Estatuto, y 31.2 y 69 de su Reglamento,</w:t>
      </w:r>
    </w:p>
    <w:p w14:paraId="1BA3137B" w14:textId="77777777" w:rsidR="00953C74" w:rsidRPr="00CD3A47" w:rsidRDefault="00953C74" w:rsidP="00953C74">
      <w:pPr>
        <w:pStyle w:val="Prrafodelista"/>
        <w:spacing w:before="120" w:after="120"/>
        <w:ind w:left="0"/>
        <w:jc w:val="both"/>
        <w:rPr>
          <w:rFonts w:ascii="Verdana" w:hAnsi="Verdana"/>
          <w:b/>
          <w:color w:val="000000" w:themeColor="text1"/>
          <w:sz w:val="20"/>
          <w:szCs w:val="20"/>
        </w:rPr>
      </w:pPr>
    </w:p>
    <w:p w14:paraId="5A2F0E1A" w14:textId="77777777" w:rsidR="00953C74" w:rsidRPr="00CD3A47" w:rsidRDefault="00953C74" w:rsidP="00953C74">
      <w:pPr>
        <w:pStyle w:val="Prrafodelista"/>
        <w:spacing w:before="120" w:after="120"/>
        <w:ind w:left="0"/>
        <w:jc w:val="both"/>
        <w:rPr>
          <w:rFonts w:ascii="Verdana" w:hAnsi="Verdana"/>
          <w:b/>
          <w:color w:val="000000" w:themeColor="text1"/>
          <w:sz w:val="20"/>
          <w:szCs w:val="20"/>
        </w:rPr>
      </w:pPr>
      <w:r w:rsidRPr="00CD3A47">
        <w:rPr>
          <w:rFonts w:ascii="Verdana" w:hAnsi="Verdana"/>
          <w:b/>
          <w:color w:val="000000" w:themeColor="text1"/>
          <w:sz w:val="20"/>
          <w:szCs w:val="20"/>
        </w:rPr>
        <w:t>RESUELVE:</w:t>
      </w:r>
    </w:p>
    <w:p w14:paraId="5A3CF308" w14:textId="7B0A3973" w:rsidR="00953C74" w:rsidRPr="00CD3A47" w:rsidRDefault="00953C74" w:rsidP="00953C74">
      <w:pPr>
        <w:pStyle w:val="Prrafodelista"/>
        <w:numPr>
          <w:ilvl w:val="0"/>
          <w:numId w:val="24"/>
        </w:numPr>
        <w:spacing w:before="120" w:after="120"/>
        <w:ind w:left="0" w:firstLine="0"/>
        <w:jc w:val="both"/>
        <w:rPr>
          <w:rFonts w:ascii="Verdana" w:hAnsi="Verdana"/>
          <w:sz w:val="20"/>
          <w:szCs w:val="20"/>
        </w:rPr>
      </w:pPr>
      <w:r w:rsidRPr="00CD3A47">
        <w:rPr>
          <w:rFonts w:ascii="Verdana" w:hAnsi="Verdana"/>
          <w:sz w:val="20"/>
          <w:szCs w:val="20"/>
        </w:rPr>
        <w:t xml:space="preserve">Declarar, de conformidad con lo dispuesto en </w:t>
      </w:r>
      <w:r w:rsidR="00EE308B">
        <w:rPr>
          <w:rFonts w:ascii="Verdana" w:hAnsi="Verdana"/>
          <w:sz w:val="20"/>
          <w:szCs w:val="20"/>
        </w:rPr>
        <w:t>la parte considerativa de esta decisión</w:t>
      </w:r>
      <w:r w:rsidRPr="00CD3A47">
        <w:rPr>
          <w:rFonts w:ascii="Verdana" w:hAnsi="Verdana"/>
          <w:sz w:val="20"/>
          <w:szCs w:val="20"/>
        </w:rPr>
        <w:t>, que el Estado ha dado cumplimiento total a las siguientes medidas de reparación:</w:t>
      </w:r>
    </w:p>
    <w:p w14:paraId="6F444FD9" w14:textId="77777777" w:rsidR="00953C74" w:rsidRPr="00CD3A47" w:rsidRDefault="00953C74" w:rsidP="00953C74">
      <w:pPr>
        <w:pStyle w:val="Prrafodelista"/>
        <w:numPr>
          <w:ilvl w:val="0"/>
          <w:numId w:val="45"/>
        </w:numPr>
        <w:spacing w:before="120" w:after="120"/>
        <w:jc w:val="both"/>
        <w:rPr>
          <w:rFonts w:ascii="Verdana" w:hAnsi="Verdana"/>
          <w:sz w:val="20"/>
          <w:szCs w:val="20"/>
        </w:rPr>
      </w:pPr>
      <w:r w:rsidRPr="00CD3A47">
        <w:rPr>
          <w:rFonts w:ascii="Verdana" w:hAnsi="Verdana"/>
          <w:sz w:val="20"/>
          <w:szCs w:val="20"/>
        </w:rPr>
        <w:t>realizar las publicaciones de la Sentencia y de su resumen oficial que se indican en el párrafo 158 de la misma</w:t>
      </w:r>
      <w:r w:rsidRPr="00CD3A47">
        <w:rPr>
          <w:rFonts w:ascii="Verdana" w:hAnsi="Verdana"/>
          <w:i/>
          <w:sz w:val="20"/>
          <w:szCs w:val="20"/>
        </w:rPr>
        <w:t xml:space="preserve"> (punto resolutivo octavo de la Sentencia);</w:t>
      </w:r>
    </w:p>
    <w:p w14:paraId="2AB81EC9" w14:textId="4829169E" w:rsidR="00953C74" w:rsidRPr="008B09DC" w:rsidRDefault="00953C74" w:rsidP="00953C74">
      <w:pPr>
        <w:pStyle w:val="Prrafodelista"/>
        <w:numPr>
          <w:ilvl w:val="0"/>
          <w:numId w:val="45"/>
        </w:numPr>
        <w:spacing w:before="120" w:after="120"/>
        <w:jc w:val="both"/>
        <w:rPr>
          <w:rFonts w:ascii="Verdana" w:hAnsi="Verdana"/>
          <w:sz w:val="20"/>
          <w:szCs w:val="20"/>
        </w:rPr>
      </w:pPr>
      <w:r w:rsidRPr="00CD3A47">
        <w:rPr>
          <w:rFonts w:ascii="Verdana" w:hAnsi="Verdana"/>
          <w:sz w:val="20"/>
          <w:szCs w:val="20"/>
        </w:rPr>
        <w:t>pagar la</w:t>
      </w:r>
      <w:r w:rsidR="00EE308B">
        <w:rPr>
          <w:rFonts w:ascii="Verdana" w:hAnsi="Verdana"/>
          <w:sz w:val="20"/>
          <w:szCs w:val="20"/>
        </w:rPr>
        <w:t>s</w:t>
      </w:r>
      <w:r w:rsidRPr="00CD3A47">
        <w:rPr>
          <w:rFonts w:ascii="Verdana" w:hAnsi="Verdana"/>
          <w:sz w:val="20"/>
          <w:szCs w:val="20"/>
        </w:rPr>
        <w:t xml:space="preserve"> cantidad</w:t>
      </w:r>
      <w:r w:rsidR="00EE308B">
        <w:rPr>
          <w:rFonts w:ascii="Verdana" w:hAnsi="Verdana"/>
          <w:sz w:val="20"/>
          <w:szCs w:val="20"/>
        </w:rPr>
        <w:t>es</w:t>
      </w:r>
      <w:r w:rsidRPr="00CD3A47">
        <w:rPr>
          <w:rFonts w:ascii="Verdana" w:hAnsi="Verdana"/>
          <w:sz w:val="20"/>
          <w:szCs w:val="20"/>
        </w:rPr>
        <w:t xml:space="preserve"> fijada</w:t>
      </w:r>
      <w:r w:rsidR="00EE308B">
        <w:rPr>
          <w:rFonts w:ascii="Verdana" w:hAnsi="Verdana"/>
          <w:sz w:val="20"/>
          <w:szCs w:val="20"/>
        </w:rPr>
        <w:t>s</w:t>
      </w:r>
      <w:r w:rsidRPr="00CD3A47">
        <w:rPr>
          <w:rFonts w:ascii="Verdana" w:hAnsi="Verdana"/>
          <w:sz w:val="20"/>
          <w:szCs w:val="20"/>
        </w:rPr>
        <w:t xml:space="preserve"> en los párrafos 168 y 170 de la Sentencia a favor de la </w:t>
      </w:r>
      <w:r w:rsidR="00EE308B">
        <w:rPr>
          <w:rFonts w:ascii="Verdana" w:hAnsi="Verdana"/>
          <w:sz w:val="20"/>
          <w:szCs w:val="20"/>
        </w:rPr>
        <w:t>s</w:t>
      </w:r>
      <w:r w:rsidRPr="00CD3A47">
        <w:rPr>
          <w:rFonts w:ascii="Verdana" w:hAnsi="Verdana"/>
          <w:sz w:val="20"/>
          <w:szCs w:val="20"/>
        </w:rPr>
        <w:t xml:space="preserve">eñora </w:t>
      </w:r>
      <w:proofErr w:type="spellStart"/>
      <w:r w:rsidRPr="00CD3A47">
        <w:rPr>
          <w:rFonts w:ascii="Verdana" w:hAnsi="Verdana"/>
          <w:sz w:val="20"/>
          <w:szCs w:val="20"/>
          <w:lang w:val="es-ES"/>
        </w:rPr>
        <w:t>Yenina</w:t>
      </w:r>
      <w:proofErr w:type="spellEnd"/>
      <w:r w:rsidRPr="00CD3A47">
        <w:rPr>
          <w:rFonts w:ascii="Verdana" w:hAnsi="Verdana"/>
          <w:sz w:val="20"/>
          <w:szCs w:val="20"/>
          <w:lang w:val="es-ES"/>
        </w:rPr>
        <w:t xml:space="preserve"> Esther Martínez Esquivia </w:t>
      </w:r>
      <w:r w:rsidR="00EE308B">
        <w:rPr>
          <w:rFonts w:ascii="Verdana" w:hAnsi="Verdana"/>
          <w:sz w:val="20"/>
          <w:szCs w:val="20"/>
          <w:lang w:val="es-ES"/>
        </w:rPr>
        <w:t>por</w:t>
      </w:r>
      <w:r w:rsidRPr="00CD3A47">
        <w:rPr>
          <w:rFonts w:ascii="Verdana" w:hAnsi="Verdana"/>
          <w:sz w:val="20"/>
          <w:szCs w:val="20"/>
          <w:lang w:val="es-ES"/>
        </w:rPr>
        <w:t xml:space="preserve"> concepto de indemnizaci</w:t>
      </w:r>
      <w:r w:rsidR="004A4CB1">
        <w:rPr>
          <w:rFonts w:ascii="Verdana" w:hAnsi="Verdana"/>
          <w:sz w:val="20"/>
          <w:szCs w:val="20"/>
          <w:lang w:val="es-ES"/>
        </w:rPr>
        <w:t>ones</w:t>
      </w:r>
      <w:r w:rsidRPr="00CD3A47">
        <w:rPr>
          <w:rFonts w:ascii="Verdana" w:hAnsi="Verdana"/>
          <w:sz w:val="20"/>
          <w:szCs w:val="20"/>
          <w:lang w:val="es-ES"/>
        </w:rPr>
        <w:t xml:space="preserve"> </w:t>
      </w:r>
      <w:r w:rsidR="00EE308B">
        <w:rPr>
          <w:rFonts w:ascii="Verdana" w:hAnsi="Verdana"/>
          <w:sz w:val="20"/>
          <w:szCs w:val="20"/>
          <w:lang w:val="es-ES"/>
        </w:rPr>
        <w:t xml:space="preserve">del </w:t>
      </w:r>
      <w:r w:rsidRPr="00CD3A47">
        <w:rPr>
          <w:rFonts w:ascii="Verdana" w:hAnsi="Verdana"/>
          <w:sz w:val="20"/>
          <w:szCs w:val="20"/>
          <w:lang w:val="es-ES"/>
        </w:rPr>
        <w:t>daño material e inmaterial</w:t>
      </w:r>
      <w:r w:rsidRPr="00CD3A47">
        <w:rPr>
          <w:rFonts w:ascii="Verdana" w:hAnsi="Verdana"/>
          <w:i/>
          <w:sz w:val="20"/>
          <w:szCs w:val="20"/>
        </w:rPr>
        <w:t xml:space="preserve"> (punto resolutivo décimo de la Sentencia)</w:t>
      </w:r>
      <w:r w:rsidR="00EE308B">
        <w:rPr>
          <w:rFonts w:ascii="Verdana" w:hAnsi="Verdana"/>
          <w:i/>
          <w:sz w:val="20"/>
          <w:szCs w:val="20"/>
        </w:rPr>
        <w:t xml:space="preserve">, </w:t>
      </w:r>
      <w:r w:rsidR="00EE308B" w:rsidRPr="00EE308B">
        <w:rPr>
          <w:rFonts w:ascii="Verdana" w:hAnsi="Verdana"/>
          <w:iCs/>
          <w:sz w:val="20"/>
          <w:szCs w:val="20"/>
        </w:rPr>
        <w:t>y</w:t>
      </w:r>
    </w:p>
    <w:p w14:paraId="7481CEAC" w14:textId="77777777" w:rsidR="00953C74" w:rsidRPr="008B09DC" w:rsidRDefault="00953C74" w:rsidP="00953C74">
      <w:pPr>
        <w:pStyle w:val="Prrafodelista"/>
        <w:numPr>
          <w:ilvl w:val="0"/>
          <w:numId w:val="45"/>
        </w:numPr>
        <w:spacing w:before="120" w:after="120"/>
        <w:jc w:val="both"/>
        <w:rPr>
          <w:rFonts w:ascii="Verdana" w:hAnsi="Verdana"/>
          <w:sz w:val="20"/>
          <w:szCs w:val="20"/>
        </w:rPr>
      </w:pPr>
      <w:r w:rsidRPr="008B09DC">
        <w:rPr>
          <w:rFonts w:ascii="Verdana" w:hAnsi="Verdana"/>
          <w:sz w:val="20"/>
          <w:szCs w:val="20"/>
        </w:rPr>
        <w:t xml:space="preserve">cubrir los aportes a la pensión de la señora </w:t>
      </w:r>
      <w:proofErr w:type="spellStart"/>
      <w:r w:rsidRPr="008B09DC">
        <w:rPr>
          <w:rFonts w:ascii="Verdana" w:hAnsi="Verdana"/>
          <w:sz w:val="20"/>
          <w:szCs w:val="20"/>
        </w:rPr>
        <w:t>Yenina</w:t>
      </w:r>
      <w:proofErr w:type="spellEnd"/>
      <w:r w:rsidRPr="008B09DC">
        <w:rPr>
          <w:rFonts w:ascii="Verdana" w:hAnsi="Verdana"/>
          <w:sz w:val="20"/>
          <w:szCs w:val="20"/>
        </w:rPr>
        <w:t xml:space="preserve"> Esther Martínez Esquivia (</w:t>
      </w:r>
      <w:r w:rsidRPr="008B09DC">
        <w:rPr>
          <w:rFonts w:ascii="Verdana" w:hAnsi="Verdana"/>
          <w:i/>
          <w:iCs/>
          <w:sz w:val="20"/>
          <w:szCs w:val="20"/>
        </w:rPr>
        <w:t>punto resolutivo séptimo de la Sentencia</w:t>
      </w:r>
      <w:r w:rsidRPr="008B09DC">
        <w:rPr>
          <w:rFonts w:ascii="Verdana" w:hAnsi="Verdana"/>
          <w:sz w:val="20"/>
          <w:szCs w:val="20"/>
        </w:rPr>
        <w:t xml:space="preserve">). </w:t>
      </w:r>
    </w:p>
    <w:p w14:paraId="32E28B87" w14:textId="466BEA94" w:rsidR="00953C74" w:rsidRDefault="00953C74" w:rsidP="00953C74">
      <w:pPr>
        <w:spacing w:before="120" w:after="120"/>
        <w:jc w:val="both"/>
        <w:rPr>
          <w:rFonts w:ascii="Verdana" w:hAnsi="Verdana"/>
          <w:i/>
          <w:sz w:val="20"/>
          <w:szCs w:val="20"/>
        </w:rPr>
      </w:pPr>
      <w:r>
        <w:rPr>
          <w:rFonts w:ascii="Verdana" w:hAnsi="Verdana"/>
          <w:sz w:val="20"/>
          <w:szCs w:val="20"/>
        </w:rPr>
        <w:lastRenderedPageBreak/>
        <w:t>2</w:t>
      </w:r>
      <w:r w:rsidRPr="00CD3A47">
        <w:rPr>
          <w:rFonts w:ascii="Verdana" w:hAnsi="Verdana"/>
          <w:sz w:val="20"/>
          <w:szCs w:val="20"/>
        </w:rPr>
        <w:t xml:space="preserve">. </w:t>
      </w:r>
      <w:r w:rsidRPr="00CD3A47">
        <w:rPr>
          <w:rFonts w:ascii="Verdana" w:hAnsi="Verdana"/>
          <w:sz w:val="20"/>
          <w:szCs w:val="20"/>
        </w:rPr>
        <w:tab/>
        <w:t>Mantener abierto el procedimiento de supervisión de cumplimiento respecto de la medida de reparación</w:t>
      </w:r>
      <w:r>
        <w:rPr>
          <w:rFonts w:ascii="Verdana" w:hAnsi="Verdana"/>
          <w:sz w:val="20"/>
          <w:szCs w:val="20"/>
        </w:rPr>
        <w:t xml:space="preserve"> relativa a </w:t>
      </w:r>
      <w:r w:rsidRPr="00CD3A47">
        <w:rPr>
          <w:rFonts w:ascii="Verdana" w:hAnsi="Verdana"/>
          <w:sz w:val="20"/>
          <w:szCs w:val="20"/>
        </w:rPr>
        <w:t xml:space="preserve">adecuar la normativa </w:t>
      </w:r>
      <w:r w:rsidR="004A4CB1">
        <w:rPr>
          <w:rFonts w:ascii="Verdana" w:hAnsi="Verdana"/>
          <w:sz w:val="20"/>
          <w:szCs w:val="20"/>
        </w:rPr>
        <w:t>“</w:t>
      </w:r>
      <w:r w:rsidRPr="00CD3A47">
        <w:rPr>
          <w:rFonts w:ascii="Verdana" w:hAnsi="Verdana"/>
          <w:sz w:val="20"/>
          <w:szCs w:val="20"/>
        </w:rPr>
        <w:t>con el fin de garantizar la estabilidad de las y los fiscales nombrados en provisionalidad, en los términos de los párrafos 162 y 163 de la Sentencia</w:t>
      </w:r>
      <w:r w:rsidR="004A4CB1">
        <w:rPr>
          <w:rFonts w:ascii="Verdana" w:hAnsi="Verdana"/>
          <w:sz w:val="20"/>
          <w:szCs w:val="20"/>
        </w:rPr>
        <w:t>”</w:t>
      </w:r>
      <w:r w:rsidRPr="00CD3A47">
        <w:rPr>
          <w:rFonts w:ascii="Verdana" w:hAnsi="Verdana"/>
          <w:sz w:val="20"/>
          <w:szCs w:val="20"/>
        </w:rPr>
        <w:t xml:space="preserve"> </w:t>
      </w:r>
      <w:r w:rsidRPr="00CD3A47">
        <w:rPr>
          <w:rFonts w:ascii="Verdana" w:hAnsi="Verdana"/>
          <w:i/>
          <w:sz w:val="20"/>
          <w:szCs w:val="20"/>
        </w:rPr>
        <w:t>(punto resolutivo noveno de la Sentencia).</w:t>
      </w:r>
    </w:p>
    <w:p w14:paraId="60F1F490" w14:textId="49F90563" w:rsidR="00DA78F7" w:rsidRPr="00524502" w:rsidRDefault="00DA78F7" w:rsidP="00DA78F7">
      <w:pPr>
        <w:spacing w:before="120" w:after="120"/>
        <w:jc w:val="both"/>
        <w:rPr>
          <w:rFonts w:ascii="Verdana" w:hAnsi="Verdana"/>
          <w:sz w:val="20"/>
          <w:szCs w:val="20"/>
        </w:rPr>
      </w:pPr>
      <w:r>
        <w:rPr>
          <w:rFonts w:ascii="Verdana" w:hAnsi="Verdana"/>
          <w:sz w:val="20"/>
          <w:szCs w:val="20"/>
        </w:rPr>
        <w:t>3.</w:t>
      </w:r>
      <w:r>
        <w:rPr>
          <w:rFonts w:ascii="Verdana" w:hAnsi="Verdana"/>
          <w:sz w:val="20"/>
          <w:szCs w:val="20"/>
        </w:rPr>
        <w:tab/>
      </w:r>
      <w:r w:rsidRPr="00524502">
        <w:rPr>
          <w:rFonts w:ascii="Verdana" w:hAnsi="Verdana"/>
          <w:sz w:val="20"/>
          <w:szCs w:val="20"/>
        </w:rPr>
        <w:t xml:space="preserve">Disponer que el Estado presente a la Corte Interamericana de Derechos Humanos, a más tardar el </w:t>
      </w:r>
      <w:r w:rsidR="00837970">
        <w:rPr>
          <w:rFonts w:ascii="Verdana" w:hAnsi="Verdana"/>
          <w:sz w:val="20"/>
          <w:szCs w:val="20"/>
        </w:rPr>
        <w:t>27</w:t>
      </w:r>
      <w:r>
        <w:rPr>
          <w:rFonts w:ascii="Verdana" w:hAnsi="Verdana"/>
          <w:sz w:val="20"/>
          <w:szCs w:val="20"/>
        </w:rPr>
        <w:t xml:space="preserve"> de </w:t>
      </w:r>
      <w:r w:rsidR="00837970">
        <w:rPr>
          <w:rFonts w:ascii="Verdana" w:hAnsi="Verdana"/>
          <w:sz w:val="20"/>
          <w:szCs w:val="20"/>
        </w:rPr>
        <w:t>octubre</w:t>
      </w:r>
      <w:r w:rsidRPr="00524502">
        <w:rPr>
          <w:rFonts w:ascii="Verdana" w:hAnsi="Verdana"/>
          <w:sz w:val="20"/>
          <w:szCs w:val="20"/>
        </w:rPr>
        <w:t xml:space="preserve"> de 2022, un informe en cuanto al cumplimiento de la medida indicada en el punto resolutivo segundo de la presente Resolución. </w:t>
      </w:r>
    </w:p>
    <w:p w14:paraId="3D4014A0" w14:textId="6A9C4FD3" w:rsidR="00DA78F7" w:rsidRPr="00524502" w:rsidRDefault="00795DD8" w:rsidP="00DA78F7">
      <w:pPr>
        <w:spacing w:before="120" w:after="120"/>
        <w:jc w:val="both"/>
        <w:rPr>
          <w:rFonts w:ascii="Verdana" w:hAnsi="Verdana"/>
          <w:sz w:val="20"/>
          <w:szCs w:val="20"/>
        </w:rPr>
      </w:pPr>
      <w:r>
        <w:rPr>
          <w:rFonts w:ascii="Verdana" w:hAnsi="Verdana"/>
          <w:sz w:val="20"/>
          <w:szCs w:val="20"/>
        </w:rPr>
        <w:t>4</w:t>
      </w:r>
      <w:r w:rsidR="00DA78F7">
        <w:rPr>
          <w:rFonts w:ascii="Verdana" w:hAnsi="Verdana"/>
          <w:sz w:val="20"/>
          <w:szCs w:val="20"/>
        </w:rPr>
        <w:t>.</w:t>
      </w:r>
      <w:r w:rsidR="00DA78F7">
        <w:rPr>
          <w:rFonts w:ascii="Verdana" w:hAnsi="Verdana"/>
          <w:sz w:val="20"/>
          <w:szCs w:val="20"/>
        </w:rPr>
        <w:tab/>
      </w:r>
      <w:r w:rsidR="00DA78F7" w:rsidRPr="00524502">
        <w:rPr>
          <w:rFonts w:ascii="Verdana" w:hAnsi="Verdana"/>
          <w:sz w:val="20"/>
          <w:szCs w:val="20"/>
        </w:rPr>
        <w:t>Disponer que los representantes de la víctima y la Comisión Interamericana de Derechos Humanos presenten observaciones al informe del Estado mencionado en el punto resolutivo anterior, en los plazos de cuatro y seis semanas, respectivamente, contados a partir de la recepción del informe.</w:t>
      </w:r>
    </w:p>
    <w:p w14:paraId="380F9B60" w14:textId="10359090" w:rsidR="00700830" w:rsidRDefault="00795DD8" w:rsidP="00953C74">
      <w:pPr>
        <w:spacing w:before="120" w:after="120"/>
        <w:jc w:val="both"/>
        <w:rPr>
          <w:rFonts w:ascii="Verdana" w:hAnsi="Verdana"/>
          <w:sz w:val="20"/>
          <w:szCs w:val="20"/>
        </w:rPr>
      </w:pPr>
      <w:r>
        <w:rPr>
          <w:rFonts w:ascii="Verdana" w:hAnsi="Verdana"/>
          <w:sz w:val="20"/>
          <w:szCs w:val="20"/>
        </w:rPr>
        <w:t>5</w:t>
      </w:r>
      <w:r w:rsidR="00DA78F7">
        <w:rPr>
          <w:rFonts w:ascii="Verdana" w:hAnsi="Verdana"/>
          <w:sz w:val="20"/>
          <w:szCs w:val="20"/>
        </w:rPr>
        <w:t>.</w:t>
      </w:r>
      <w:r w:rsidR="00DA78F7">
        <w:rPr>
          <w:rFonts w:ascii="Verdana" w:hAnsi="Verdana"/>
          <w:sz w:val="20"/>
          <w:szCs w:val="20"/>
        </w:rPr>
        <w:tab/>
      </w:r>
      <w:r w:rsidR="00953C74" w:rsidRPr="00CD3A47">
        <w:rPr>
          <w:rFonts w:ascii="Verdana" w:hAnsi="Verdana"/>
          <w:sz w:val="20"/>
          <w:szCs w:val="20"/>
        </w:rPr>
        <w:t>Disponer que la Secretaría de la</w:t>
      </w:r>
      <w:r w:rsidR="00953C74">
        <w:rPr>
          <w:rFonts w:ascii="Verdana" w:hAnsi="Verdana"/>
          <w:sz w:val="20"/>
          <w:szCs w:val="20"/>
        </w:rPr>
        <w:t xml:space="preserve"> </w:t>
      </w:r>
      <w:r w:rsidR="00953C74" w:rsidRPr="00CD3A47">
        <w:rPr>
          <w:rFonts w:ascii="Verdana" w:hAnsi="Verdana"/>
          <w:sz w:val="20"/>
          <w:szCs w:val="20"/>
        </w:rPr>
        <w:t>Corte Interamericana de Derechos Humanos notifique la presente Resolución al Estado, a</w:t>
      </w:r>
      <w:r w:rsidR="00DA78F7">
        <w:rPr>
          <w:rFonts w:ascii="Verdana" w:hAnsi="Verdana"/>
          <w:sz w:val="20"/>
          <w:szCs w:val="20"/>
        </w:rPr>
        <w:t xml:space="preserve"> </w:t>
      </w:r>
      <w:r w:rsidR="00953C74" w:rsidRPr="00CD3A47">
        <w:rPr>
          <w:rFonts w:ascii="Verdana" w:hAnsi="Verdana"/>
          <w:sz w:val="20"/>
          <w:szCs w:val="20"/>
        </w:rPr>
        <w:t>l</w:t>
      </w:r>
      <w:r w:rsidR="00DA78F7">
        <w:rPr>
          <w:rFonts w:ascii="Verdana" w:hAnsi="Verdana"/>
          <w:sz w:val="20"/>
          <w:szCs w:val="20"/>
        </w:rPr>
        <w:t>os</w:t>
      </w:r>
      <w:r w:rsidR="00953C74" w:rsidRPr="00CD3A47">
        <w:rPr>
          <w:rFonts w:ascii="Verdana" w:hAnsi="Verdana"/>
          <w:sz w:val="20"/>
          <w:szCs w:val="20"/>
        </w:rPr>
        <w:t xml:space="preserve"> representante</w:t>
      </w:r>
      <w:r w:rsidR="00DA78F7">
        <w:rPr>
          <w:rFonts w:ascii="Verdana" w:hAnsi="Verdana"/>
          <w:sz w:val="20"/>
          <w:szCs w:val="20"/>
        </w:rPr>
        <w:t>s</w:t>
      </w:r>
      <w:r w:rsidR="00953C74" w:rsidRPr="00CD3A47">
        <w:rPr>
          <w:rFonts w:ascii="Verdana" w:hAnsi="Verdana"/>
          <w:sz w:val="20"/>
          <w:szCs w:val="20"/>
        </w:rPr>
        <w:t xml:space="preserve"> de la víctima y a la Comisión Interamericana de Derechos Humanos.</w:t>
      </w:r>
    </w:p>
    <w:p w14:paraId="71F7AC8A" w14:textId="2D8E998F" w:rsidR="00700830" w:rsidRDefault="00700830">
      <w:pPr>
        <w:spacing w:after="160" w:line="259" w:lineRule="auto"/>
        <w:rPr>
          <w:rFonts w:ascii="Verdana" w:hAnsi="Verdana"/>
          <w:sz w:val="20"/>
          <w:szCs w:val="20"/>
        </w:rPr>
      </w:pPr>
    </w:p>
    <w:p w14:paraId="67A3A6BA" w14:textId="77777777" w:rsidR="00700830" w:rsidRPr="002D12F9" w:rsidRDefault="00700830" w:rsidP="00700830">
      <w:pPr>
        <w:jc w:val="both"/>
        <w:rPr>
          <w:rFonts w:ascii="Verdana" w:hAnsi="Verdana"/>
          <w:sz w:val="20"/>
          <w:lang w:val="es-ES"/>
        </w:rPr>
      </w:pPr>
      <w:r w:rsidRPr="00C724CB">
        <w:rPr>
          <w:rFonts w:ascii="Verdana" w:hAnsi="Verdana"/>
          <w:sz w:val="20"/>
          <w:lang w:val="pt-BR"/>
        </w:rPr>
        <w:t xml:space="preserve">Corte IDH. </w:t>
      </w:r>
      <w:r w:rsidRPr="00C724CB">
        <w:rPr>
          <w:rFonts w:ascii="Verdana" w:hAnsi="Verdana"/>
          <w:i/>
          <w:sz w:val="20"/>
          <w:lang w:val="pt-BR"/>
        </w:rPr>
        <w:t xml:space="preserve">Caso </w:t>
      </w:r>
      <w:r w:rsidRPr="00C724CB">
        <w:rPr>
          <w:rFonts w:ascii="Verdana" w:hAnsi="Verdana"/>
          <w:i/>
          <w:iCs/>
          <w:sz w:val="20"/>
          <w:lang w:val="pt-BR"/>
        </w:rPr>
        <w:t xml:space="preserve">Martínez </w:t>
      </w:r>
      <w:proofErr w:type="spellStart"/>
      <w:r w:rsidRPr="00C724CB">
        <w:rPr>
          <w:rFonts w:ascii="Verdana" w:hAnsi="Verdana"/>
          <w:i/>
          <w:iCs/>
          <w:sz w:val="20"/>
          <w:lang w:val="pt-BR"/>
        </w:rPr>
        <w:t>Esquivia</w:t>
      </w:r>
      <w:proofErr w:type="spellEnd"/>
      <w:r w:rsidRPr="00C724CB">
        <w:rPr>
          <w:rFonts w:ascii="Verdana" w:hAnsi="Verdana"/>
          <w:i/>
          <w:iCs/>
          <w:sz w:val="20"/>
          <w:lang w:val="pt-BR"/>
        </w:rPr>
        <w:t xml:space="preserve"> Vs. </w:t>
      </w:r>
      <w:r>
        <w:rPr>
          <w:rFonts w:ascii="Verdana" w:hAnsi="Verdana"/>
          <w:i/>
          <w:iCs/>
          <w:sz w:val="20"/>
        </w:rPr>
        <w:t>Colombia.</w:t>
      </w:r>
      <w:r>
        <w:rPr>
          <w:rFonts w:ascii="Verdana" w:hAnsi="Verdana"/>
          <w:iCs/>
          <w:sz w:val="20"/>
        </w:rPr>
        <w:t xml:space="preserve"> </w:t>
      </w:r>
      <w:r w:rsidRPr="00ED3A0E">
        <w:rPr>
          <w:rFonts w:ascii="Verdana" w:hAnsi="Verdana" w:cs="Arial"/>
          <w:sz w:val="20"/>
        </w:rPr>
        <w:t>Supervisión de Cumplimiento de Sentencia</w:t>
      </w:r>
      <w:r>
        <w:rPr>
          <w:rFonts w:ascii="Verdana" w:hAnsi="Verdana"/>
          <w:iCs/>
          <w:sz w:val="20"/>
        </w:rPr>
        <w:t>. Resolución de la Corte Interamericana de Derechos Humanos de 5 de abril de 2022.  Resolución adoptada en San José de Costa Rica por medio de sesión virtual.</w:t>
      </w:r>
    </w:p>
    <w:p w14:paraId="0C40210A" w14:textId="77777777" w:rsidR="00700830" w:rsidRDefault="00700830" w:rsidP="00700830">
      <w:pPr>
        <w:jc w:val="both"/>
        <w:rPr>
          <w:rFonts w:ascii="Verdana" w:hAnsi="Verdana"/>
          <w:sz w:val="20"/>
          <w:lang w:val="es-ES"/>
        </w:rPr>
      </w:pPr>
    </w:p>
    <w:p w14:paraId="13402C97" w14:textId="3603A59F" w:rsidR="00700830" w:rsidRPr="00087C89" w:rsidRDefault="00700830" w:rsidP="00700830">
      <w:pPr>
        <w:jc w:val="both"/>
        <w:rPr>
          <w:rFonts w:ascii="Verdana" w:hAnsi="Verdana"/>
          <w:strike/>
          <w:sz w:val="20"/>
          <w:lang w:val="es-ES"/>
        </w:rPr>
      </w:pPr>
    </w:p>
    <w:p w14:paraId="1FFB59ED" w14:textId="77777777" w:rsidR="00700830" w:rsidRPr="00087C89" w:rsidRDefault="00700830" w:rsidP="00700830">
      <w:pPr>
        <w:rPr>
          <w:rFonts w:ascii="Verdana" w:hAnsi="Verdana"/>
          <w:sz w:val="20"/>
        </w:rPr>
      </w:pPr>
    </w:p>
    <w:p w14:paraId="250F4F37" w14:textId="1A43149E" w:rsidR="00700830" w:rsidRPr="007B2A10" w:rsidRDefault="00700830" w:rsidP="00700830">
      <w:pPr>
        <w:jc w:val="center"/>
        <w:rPr>
          <w:rFonts w:ascii="Verdana" w:hAnsi="Verdana"/>
          <w:sz w:val="20"/>
          <w:lang w:val="pt-BR"/>
        </w:rPr>
      </w:pPr>
      <w:r w:rsidRPr="007B2A10">
        <w:rPr>
          <w:rFonts w:ascii="Verdana" w:hAnsi="Verdana"/>
          <w:sz w:val="20"/>
          <w:lang w:val="pt-BR"/>
        </w:rPr>
        <w:t xml:space="preserve">Ricardo C. Pérez </w:t>
      </w:r>
      <w:proofErr w:type="spellStart"/>
      <w:r w:rsidRPr="007B2A10">
        <w:rPr>
          <w:rFonts w:ascii="Verdana" w:hAnsi="Verdana"/>
          <w:sz w:val="20"/>
          <w:lang w:val="pt-BR"/>
        </w:rPr>
        <w:t>Manrique</w:t>
      </w:r>
      <w:proofErr w:type="spellEnd"/>
    </w:p>
    <w:p w14:paraId="575EC653" w14:textId="77777777" w:rsidR="00700830" w:rsidRPr="007B2A10" w:rsidRDefault="00700830" w:rsidP="00700830">
      <w:pPr>
        <w:jc w:val="center"/>
        <w:rPr>
          <w:rFonts w:ascii="Verdana" w:hAnsi="Verdana"/>
          <w:sz w:val="20"/>
          <w:lang w:val="pt-BR"/>
        </w:rPr>
      </w:pPr>
      <w:r w:rsidRPr="007B2A10">
        <w:rPr>
          <w:rFonts w:ascii="Verdana" w:hAnsi="Verdana"/>
          <w:sz w:val="20"/>
          <w:lang w:val="pt-BR"/>
        </w:rPr>
        <w:t>Presidente</w:t>
      </w:r>
    </w:p>
    <w:p w14:paraId="56AE7589" w14:textId="77777777" w:rsidR="00700830" w:rsidRPr="007B2A10" w:rsidRDefault="00700830" w:rsidP="00700830">
      <w:pPr>
        <w:rPr>
          <w:rFonts w:ascii="Verdana" w:hAnsi="Verdana"/>
          <w:sz w:val="20"/>
          <w:lang w:val="pt-BR"/>
        </w:rPr>
      </w:pPr>
    </w:p>
    <w:p w14:paraId="7DDFE800" w14:textId="77777777" w:rsidR="00700830" w:rsidRPr="007B2A10" w:rsidRDefault="00700830" w:rsidP="00700830">
      <w:pPr>
        <w:rPr>
          <w:rFonts w:ascii="Verdana" w:hAnsi="Verdana"/>
          <w:sz w:val="20"/>
          <w:lang w:val="pt-BR"/>
        </w:rPr>
      </w:pPr>
    </w:p>
    <w:p w14:paraId="11D44309" w14:textId="1294D4DF" w:rsidR="00700830" w:rsidRPr="007B2A10" w:rsidRDefault="00700830" w:rsidP="00700830">
      <w:pPr>
        <w:rPr>
          <w:rFonts w:ascii="Verdana" w:hAnsi="Verdana"/>
          <w:sz w:val="20"/>
          <w:lang w:val="pt-BR"/>
        </w:rPr>
      </w:pPr>
      <w:r w:rsidRPr="007B2A10">
        <w:rPr>
          <w:rFonts w:ascii="Verdana" w:hAnsi="Verdana"/>
          <w:sz w:val="20"/>
          <w:lang w:val="pt-BR"/>
        </w:rPr>
        <w:t xml:space="preserve">Eduardo Ferrer </w:t>
      </w:r>
      <w:proofErr w:type="spellStart"/>
      <w:r w:rsidRPr="007B2A10">
        <w:rPr>
          <w:rFonts w:ascii="Verdana" w:hAnsi="Verdana"/>
          <w:sz w:val="20"/>
          <w:lang w:val="pt-BR"/>
        </w:rPr>
        <w:t>Mac-Gregor</w:t>
      </w:r>
      <w:proofErr w:type="spellEnd"/>
      <w:r w:rsidRPr="007B2A10">
        <w:rPr>
          <w:rFonts w:ascii="Verdana" w:hAnsi="Verdana"/>
          <w:sz w:val="20"/>
          <w:lang w:val="pt-BR"/>
        </w:rPr>
        <w:t xml:space="preserve"> </w:t>
      </w:r>
      <w:proofErr w:type="spellStart"/>
      <w:r w:rsidRPr="007B2A10">
        <w:rPr>
          <w:rFonts w:ascii="Verdana" w:hAnsi="Verdana"/>
          <w:sz w:val="20"/>
          <w:lang w:val="pt-BR"/>
        </w:rPr>
        <w:t>Poisot</w:t>
      </w:r>
      <w:proofErr w:type="spellEnd"/>
      <w:r w:rsidRPr="007B2A10">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7B2A10">
        <w:rPr>
          <w:rFonts w:ascii="Verdana" w:hAnsi="Verdana"/>
          <w:sz w:val="20"/>
          <w:lang w:val="pt-BR"/>
        </w:rPr>
        <w:t>Nancy Hernández López</w:t>
      </w:r>
    </w:p>
    <w:p w14:paraId="171C6DA3" w14:textId="1AC01075" w:rsidR="00700830" w:rsidRPr="007B2A10" w:rsidRDefault="00700830" w:rsidP="00700830">
      <w:pPr>
        <w:rPr>
          <w:rFonts w:ascii="Verdana" w:hAnsi="Verdana"/>
          <w:sz w:val="20"/>
          <w:lang w:val="pt-BR"/>
        </w:rPr>
      </w:pPr>
    </w:p>
    <w:p w14:paraId="556EC118" w14:textId="77777777" w:rsidR="00700830" w:rsidRPr="007B2A10" w:rsidRDefault="00700830" w:rsidP="00700830">
      <w:pPr>
        <w:rPr>
          <w:rFonts w:ascii="Verdana" w:hAnsi="Verdana"/>
          <w:sz w:val="20"/>
          <w:lang w:val="pt-BR"/>
        </w:rPr>
      </w:pPr>
    </w:p>
    <w:p w14:paraId="14F2A357" w14:textId="79B88A28" w:rsidR="00700830" w:rsidRPr="007B2A10" w:rsidRDefault="00700830" w:rsidP="00700830">
      <w:pPr>
        <w:rPr>
          <w:rFonts w:ascii="Verdana" w:hAnsi="Verdana"/>
          <w:sz w:val="20"/>
          <w:lang w:val="pt-BR"/>
        </w:rPr>
      </w:pPr>
      <w:r w:rsidRPr="007B2A10">
        <w:rPr>
          <w:rFonts w:ascii="Verdana" w:hAnsi="Verdana"/>
          <w:sz w:val="20"/>
          <w:lang w:val="pt-BR"/>
        </w:rPr>
        <w:t xml:space="preserve">Verónica Gómez                                                  </w:t>
      </w:r>
      <w:r w:rsidRPr="007B2A10">
        <w:rPr>
          <w:rFonts w:ascii="Verdana" w:hAnsi="Verdana"/>
          <w:sz w:val="20"/>
          <w:lang w:val="pt-BR"/>
        </w:rPr>
        <w:tab/>
      </w:r>
      <w:r w:rsidRPr="007B2A10">
        <w:rPr>
          <w:rFonts w:ascii="Verdana" w:hAnsi="Verdana"/>
          <w:sz w:val="20"/>
          <w:lang w:val="pt-BR"/>
        </w:rPr>
        <w:tab/>
        <w:t xml:space="preserve"> </w:t>
      </w:r>
      <w:proofErr w:type="spellStart"/>
      <w:r w:rsidRPr="00AF3898">
        <w:rPr>
          <w:rFonts w:ascii="Verdana" w:hAnsi="Verdana"/>
          <w:sz w:val="20"/>
          <w:lang w:val="pt-BR"/>
        </w:rPr>
        <w:t>Patricia</w:t>
      </w:r>
      <w:proofErr w:type="spellEnd"/>
      <w:r w:rsidRPr="00AF3898">
        <w:rPr>
          <w:rFonts w:ascii="Verdana" w:hAnsi="Verdana"/>
          <w:sz w:val="20"/>
          <w:lang w:val="pt-BR"/>
        </w:rPr>
        <w:t xml:space="preserve"> Pérez Goldberg</w:t>
      </w:r>
    </w:p>
    <w:p w14:paraId="3B71107B" w14:textId="77777777" w:rsidR="00700830" w:rsidRPr="007B2A10" w:rsidRDefault="00700830" w:rsidP="00700830">
      <w:pPr>
        <w:rPr>
          <w:rFonts w:ascii="Verdana" w:hAnsi="Verdana"/>
          <w:sz w:val="20"/>
          <w:lang w:val="pt-BR"/>
        </w:rPr>
      </w:pPr>
    </w:p>
    <w:p w14:paraId="7B920A48" w14:textId="77777777" w:rsidR="00700830" w:rsidRPr="007B2A10" w:rsidRDefault="00700830" w:rsidP="00700830">
      <w:pPr>
        <w:rPr>
          <w:rFonts w:ascii="Verdana" w:hAnsi="Verdana"/>
          <w:sz w:val="20"/>
          <w:lang w:val="pt-BR"/>
        </w:rPr>
      </w:pPr>
    </w:p>
    <w:p w14:paraId="42D865FD" w14:textId="77777777" w:rsidR="00700830" w:rsidRPr="00AF3898" w:rsidRDefault="00700830" w:rsidP="00700830">
      <w:pPr>
        <w:jc w:val="center"/>
        <w:rPr>
          <w:rFonts w:ascii="Verdana" w:hAnsi="Verdana"/>
          <w:sz w:val="20"/>
          <w:lang w:val="pt-BR"/>
        </w:rPr>
      </w:pPr>
      <w:r w:rsidRPr="00700830">
        <w:rPr>
          <w:rFonts w:ascii="Verdana" w:hAnsi="Verdana" w:cs="Arial"/>
          <w:color w:val="212529"/>
          <w:sz w:val="20"/>
          <w:lang w:val="pt-BR"/>
        </w:rPr>
        <w:t xml:space="preserve">Rodrigo de Bittencourt </w:t>
      </w:r>
      <w:proofErr w:type="spellStart"/>
      <w:r w:rsidRPr="00700830">
        <w:rPr>
          <w:rFonts w:ascii="Verdana" w:hAnsi="Verdana" w:cs="Arial"/>
          <w:color w:val="212529"/>
          <w:sz w:val="20"/>
          <w:lang w:val="pt-BR"/>
        </w:rPr>
        <w:t>Mudrovitsch</w:t>
      </w:r>
      <w:proofErr w:type="spellEnd"/>
    </w:p>
    <w:p w14:paraId="063504EB" w14:textId="77777777" w:rsidR="00700830" w:rsidRPr="00AF3898" w:rsidRDefault="00700830" w:rsidP="00700830">
      <w:pPr>
        <w:jc w:val="both"/>
        <w:rPr>
          <w:rFonts w:ascii="Verdana" w:hAnsi="Verdana"/>
          <w:sz w:val="20"/>
          <w:lang w:val="pt-BR"/>
        </w:rPr>
      </w:pPr>
    </w:p>
    <w:p w14:paraId="3B0A6D76" w14:textId="77777777" w:rsidR="00700830" w:rsidRDefault="00700830" w:rsidP="00700830">
      <w:pPr>
        <w:jc w:val="center"/>
        <w:rPr>
          <w:rFonts w:ascii="Verdana" w:hAnsi="Verdana"/>
          <w:sz w:val="20"/>
        </w:rPr>
      </w:pPr>
      <w:r>
        <w:rPr>
          <w:rFonts w:ascii="Verdana" w:hAnsi="Verdana"/>
          <w:sz w:val="20"/>
        </w:rPr>
        <w:t xml:space="preserve">Romina I. </w:t>
      </w:r>
      <w:proofErr w:type="spellStart"/>
      <w:r>
        <w:rPr>
          <w:rFonts w:ascii="Verdana" w:hAnsi="Verdana"/>
          <w:sz w:val="20"/>
        </w:rPr>
        <w:t>Sijniensky</w:t>
      </w:r>
      <w:proofErr w:type="spellEnd"/>
    </w:p>
    <w:p w14:paraId="1A160EC9" w14:textId="77777777" w:rsidR="00700830" w:rsidRDefault="00700830" w:rsidP="00700830">
      <w:pPr>
        <w:jc w:val="center"/>
        <w:rPr>
          <w:rFonts w:ascii="Verdana" w:hAnsi="Verdana"/>
          <w:sz w:val="20"/>
          <w:lang w:val="es-ES_tradnl"/>
        </w:rPr>
      </w:pPr>
      <w:r>
        <w:rPr>
          <w:rFonts w:ascii="Verdana" w:hAnsi="Verdana"/>
          <w:sz w:val="20"/>
        </w:rPr>
        <w:t>Secretaria Adjunta</w:t>
      </w:r>
    </w:p>
    <w:p w14:paraId="0BCBB2F1" w14:textId="77777777" w:rsidR="00700830" w:rsidRPr="00C724CB" w:rsidRDefault="00700830" w:rsidP="00700830">
      <w:pPr>
        <w:pStyle w:val="Textonotapie"/>
        <w:rPr>
          <w:rFonts w:ascii="Verdana" w:hAnsi="Verdana"/>
        </w:rPr>
      </w:pPr>
    </w:p>
    <w:p w14:paraId="209C6D04" w14:textId="77777777" w:rsidR="00700830" w:rsidRPr="00C724CB" w:rsidRDefault="00700830" w:rsidP="00700830">
      <w:pPr>
        <w:pStyle w:val="Textonotapie"/>
        <w:rPr>
          <w:rFonts w:ascii="Verdana" w:hAnsi="Verdana"/>
        </w:rPr>
      </w:pPr>
    </w:p>
    <w:p w14:paraId="2C0F0566" w14:textId="77777777" w:rsidR="00700830" w:rsidRPr="00C724CB" w:rsidRDefault="00700830" w:rsidP="00700830">
      <w:pPr>
        <w:jc w:val="both"/>
        <w:rPr>
          <w:rFonts w:ascii="Verdana" w:hAnsi="Verdana"/>
          <w:sz w:val="20"/>
        </w:rPr>
      </w:pPr>
      <w:r w:rsidRPr="00C724CB">
        <w:rPr>
          <w:rFonts w:ascii="Verdana" w:hAnsi="Verdana"/>
          <w:sz w:val="20"/>
        </w:rPr>
        <w:t>Comuníquese y ejecútese,</w:t>
      </w:r>
    </w:p>
    <w:p w14:paraId="574EF6D1" w14:textId="2F2B6933" w:rsidR="00700830" w:rsidRPr="00C724CB" w:rsidRDefault="00700830" w:rsidP="00700830">
      <w:pPr>
        <w:rPr>
          <w:rFonts w:ascii="Verdana" w:hAnsi="Verdana"/>
          <w:sz w:val="20"/>
        </w:rPr>
      </w:pPr>
    </w:p>
    <w:p w14:paraId="0B5F84D3" w14:textId="77777777" w:rsidR="00700830" w:rsidRPr="00C724CB" w:rsidRDefault="00700830" w:rsidP="00700830">
      <w:pPr>
        <w:jc w:val="center"/>
        <w:rPr>
          <w:rFonts w:ascii="Verdana" w:hAnsi="Verdana"/>
          <w:sz w:val="20"/>
        </w:rPr>
      </w:pPr>
    </w:p>
    <w:p w14:paraId="6A773E69" w14:textId="77777777" w:rsidR="00700830" w:rsidRPr="00C724CB" w:rsidRDefault="00700830" w:rsidP="00700830">
      <w:pPr>
        <w:jc w:val="center"/>
        <w:rPr>
          <w:rFonts w:ascii="Verdana" w:hAnsi="Verdana"/>
          <w:sz w:val="20"/>
        </w:rPr>
      </w:pPr>
    </w:p>
    <w:p w14:paraId="7BA21EFA" w14:textId="77777777" w:rsidR="00700830" w:rsidRPr="00C724CB" w:rsidRDefault="00700830" w:rsidP="00700830">
      <w:pPr>
        <w:jc w:val="right"/>
        <w:rPr>
          <w:rFonts w:ascii="Verdana" w:hAnsi="Verdana"/>
          <w:sz w:val="20"/>
        </w:rPr>
      </w:pPr>
    </w:p>
    <w:p w14:paraId="158B5F0C" w14:textId="4FD9C3FF" w:rsidR="00700830" w:rsidRDefault="00700830" w:rsidP="00700830">
      <w:pPr>
        <w:jc w:val="center"/>
        <w:rPr>
          <w:rFonts w:ascii="Verdana" w:hAnsi="Verdana"/>
          <w:sz w:val="20"/>
          <w:lang w:val="pt-BR"/>
        </w:rPr>
      </w:pPr>
      <w:r w:rsidRPr="00C724CB">
        <w:rPr>
          <w:rFonts w:ascii="Verdana" w:hAnsi="Verdana"/>
          <w:sz w:val="20"/>
        </w:rPr>
        <w:t xml:space="preserve">                                                                                        </w:t>
      </w:r>
      <w:r>
        <w:rPr>
          <w:rFonts w:ascii="Verdana" w:hAnsi="Verdana"/>
          <w:sz w:val="20"/>
          <w:lang w:val="pt-BR"/>
        </w:rPr>
        <w:t xml:space="preserve">Ricardo C. Pérez </w:t>
      </w:r>
      <w:proofErr w:type="spellStart"/>
      <w:r>
        <w:rPr>
          <w:rFonts w:ascii="Verdana" w:hAnsi="Verdana"/>
          <w:sz w:val="20"/>
          <w:lang w:val="pt-BR"/>
        </w:rPr>
        <w:t>Manrique</w:t>
      </w:r>
      <w:proofErr w:type="spellEnd"/>
    </w:p>
    <w:p w14:paraId="1ECA1D83" w14:textId="3ED0C6A3" w:rsidR="00700830" w:rsidRDefault="00700830" w:rsidP="00700830">
      <w:pPr>
        <w:ind w:left="6480" w:firstLine="720"/>
        <w:rPr>
          <w:rFonts w:ascii="Verdana" w:hAnsi="Verdana"/>
          <w:sz w:val="20"/>
          <w:lang w:val="pt-BR"/>
        </w:rPr>
      </w:pPr>
      <w:r>
        <w:rPr>
          <w:rFonts w:ascii="Verdana" w:hAnsi="Verdana"/>
          <w:sz w:val="20"/>
          <w:lang w:val="pt-BR"/>
        </w:rPr>
        <w:t>Presidente</w:t>
      </w:r>
    </w:p>
    <w:p w14:paraId="4ADAEF60" w14:textId="77777777" w:rsidR="00700830" w:rsidRPr="00FC4051" w:rsidRDefault="00700830" w:rsidP="00700830">
      <w:pPr>
        <w:jc w:val="both"/>
        <w:rPr>
          <w:rFonts w:ascii="Verdana" w:hAnsi="Verdana"/>
          <w:sz w:val="20"/>
          <w:lang w:val="pt-BR"/>
        </w:rPr>
      </w:pPr>
    </w:p>
    <w:p w14:paraId="36D801F7" w14:textId="77777777" w:rsidR="00700830" w:rsidRDefault="00700830" w:rsidP="00700830">
      <w:pPr>
        <w:jc w:val="both"/>
        <w:rPr>
          <w:rFonts w:ascii="Verdana" w:hAnsi="Verdana"/>
          <w:sz w:val="20"/>
          <w:lang w:val="pt-BR"/>
        </w:rPr>
      </w:pPr>
    </w:p>
    <w:p w14:paraId="17D038C6" w14:textId="77777777" w:rsidR="00700830" w:rsidRDefault="00700830" w:rsidP="00700830">
      <w:pPr>
        <w:jc w:val="both"/>
        <w:rPr>
          <w:rFonts w:ascii="Verdana" w:hAnsi="Verdana"/>
          <w:sz w:val="20"/>
          <w:lang w:val="pt-BR"/>
        </w:rPr>
      </w:pPr>
    </w:p>
    <w:p w14:paraId="2A1EC7D1" w14:textId="77777777" w:rsidR="00700830" w:rsidRPr="00FC4051" w:rsidRDefault="00700830" w:rsidP="00700830">
      <w:pPr>
        <w:jc w:val="both"/>
        <w:rPr>
          <w:rFonts w:ascii="Verdana" w:hAnsi="Verdana"/>
          <w:sz w:val="20"/>
          <w:lang w:val="pt-BR"/>
        </w:rPr>
      </w:pPr>
    </w:p>
    <w:p w14:paraId="79E46621" w14:textId="77777777" w:rsidR="00700830" w:rsidRDefault="00700830" w:rsidP="00700830">
      <w:pPr>
        <w:rPr>
          <w:rFonts w:ascii="Verdana" w:hAnsi="Verdana"/>
          <w:sz w:val="20"/>
        </w:rPr>
      </w:pPr>
      <w:r>
        <w:rPr>
          <w:rFonts w:ascii="Verdana" w:hAnsi="Verdana"/>
          <w:sz w:val="20"/>
        </w:rPr>
        <w:t xml:space="preserve">Romina I. </w:t>
      </w:r>
      <w:proofErr w:type="spellStart"/>
      <w:r>
        <w:rPr>
          <w:rFonts w:ascii="Verdana" w:hAnsi="Verdana"/>
          <w:sz w:val="20"/>
        </w:rPr>
        <w:t>Sijniensky</w:t>
      </w:r>
      <w:proofErr w:type="spellEnd"/>
    </w:p>
    <w:p w14:paraId="4A2EEB96" w14:textId="77777777" w:rsidR="00700830" w:rsidRDefault="00700830" w:rsidP="00700830">
      <w:pPr>
        <w:rPr>
          <w:rFonts w:ascii="Verdana" w:hAnsi="Verdana"/>
          <w:sz w:val="20"/>
          <w:lang w:val="es-ES_tradnl"/>
        </w:rPr>
      </w:pPr>
      <w:r>
        <w:rPr>
          <w:rFonts w:ascii="Verdana" w:hAnsi="Verdana"/>
          <w:sz w:val="20"/>
        </w:rPr>
        <w:t>Secretaria Adjunta</w:t>
      </w:r>
    </w:p>
    <w:sectPr w:rsidR="00700830" w:rsidSect="00E1173C">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248F8" w14:textId="77777777" w:rsidR="00564937" w:rsidRDefault="00564937" w:rsidP="006D2A2E">
      <w:r>
        <w:separator/>
      </w:r>
    </w:p>
  </w:endnote>
  <w:endnote w:type="continuationSeparator" w:id="0">
    <w:p w14:paraId="02392BFB" w14:textId="77777777" w:rsidR="00564937" w:rsidRDefault="00564937" w:rsidP="006D2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65DD0" w14:textId="77777777" w:rsidR="00E1173C" w:rsidRDefault="00E1173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885870"/>
      <w:docPartObj>
        <w:docPartGallery w:val="Page Numbers (Bottom of Page)"/>
        <w:docPartUnique/>
      </w:docPartObj>
    </w:sdtPr>
    <w:sdtEndPr>
      <w:rPr>
        <w:rFonts w:ascii="Verdana" w:hAnsi="Verdana"/>
        <w:sz w:val="20"/>
        <w:szCs w:val="20"/>
      </w:rPr>
    </w:sdtEndPr>
    <w:sdtContent>
      <w:p w14:paraId="7E73CE32" w14:textId="311E9684" w:rsidR="00F70A84" w:rsidRDefault="00F70A84" w:rsidP="0037154F">
        <w:pPr>
          <w:pStyle w:val="Piedepgina"/>
          <w:jc w:val="center"/>
        </w:pPr>
        <w:r w:rsidRPr="00033B63">
          <w:rPr>
            <w:rFonts w:ascii="Verdana" w:hAnsi="Verdana"/>
            <w:sz w:val="20"/>
            <w:szCs w:val="20"/>
          </w:rPr>
          <w:t>-</w:t>
        </w:r>
        <w:r w:rsidRPr="00033B63">
          <w:rPr>
            <w:rFonts w:ascii="Verdana" w:hAnsi="Verdana"/>
            <w:sz w:val="20"/>
            <w:szCs w:val="20"/>
          </w:rPr>
          <w:fldChar w:fldCharType="begin"/>
        </w:r>
        <w:r w:rsidRPr="00033B63">
          <w:rPr>
            <w:rFonts w:ascii="Verdana" w:hAnsi="Verdana"/>
            <w:sz w:val="20"/>
            <w:szCs w:val="20"/>
          </w:rPr>
          <w:instrText>PAGE   \* MERGEFORMAT</w:instrText>
        </w:r>
        <w:r w:rsidRPr="00033B63">
          <w:rPr>
            <w:rFonts w:ascii="Verdana" w:hAnsi="Verdana"/>
            <w:sz w:val="20"/>
            <w:szCs w:val="20"/>
          </w:rPr>
          <w:fldChar w:fldCharType="separate"/>
        </w:r>
        <w:r w:rsidR="00670C90" w:rsidRPr="00670C90">
          <w:rPr>
            <w:rFonts w:ascii="Verdana" w:hAnsi="Verdana"/>
            <w:noProof/>
            <w:sz w:val="20"/>
            <w:szCs w:val="20"/>
            <w:lang w:val="es-ES"/>
          </w:rPr>
          <w:t>5</w:t>
        </w:r>
        <w:r w:rsidRPr="00033B63">
          <w:rPr>
            <w:rFonts w:ascii="Verdana" w:hAnsi="Verdana"/>
            <w:sz w:val="20"/>
            <w:szCs w:val="20"/>
          </w:rPr>
          <w:fldChar w:fldCharType="end"/>
        </w:r>
        <w:r w:rsidRPr="00033B63">
          <w:rPr>
            <w:rFonts w:ascii="Verdana" w:hAnsi="Verdana"/>
            <w:sz w:val="20"/>
            <w:szCs w:val="20"/>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79897" w14:textId="77777777" w:rsidR="00E1173C" w:rsidRDefault="00E117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1AE6A" w14:textId="77777777" w:rsidR="00564937" w:rsidRDefault="00564937" w:rsidP="006D2A2E">
      <w:r>
        <w:separator/>
      </w:r>
    </w:p>
  </w:footnote>
  <w:footnote w:type="continuationSeparator" w:id="0">
    <w:p w14:paraId="5BED009A" w14:textId="77777777" w:rsidR="00564937" w:rsidRDefault="00564937" w:rsidP="006D2A2E">
      <w:r>
        <w:continuationSeparator/>
      </w:r>
    </w:p>
  </w:footnote>
  <w:footnote w:id="1">
    <w:p w14:paraId="49C889D7" w14:textId="6D199669" w:rsidR="00953C74" w:rsidRDefault="00953C74" w:rsidP="00953C74">
      <w:pPr>
        <w:pStyle w:val="Textonotapie"/>
        <w:tabs>
          <w:tab w:val="left" w:pos="426"/>
        </w:tabs>
        <w:jc w:val="both"/>
        <w:rPr>
          <w:rFonts w:ascii="Verdana" w:hAnsi="Verdana"/>
          <w:sz w:val="16"/>
          <w:szCs w:val="16"/>
        </w:rPr>
      </w:pPr>
      <w:r w:rsidRPr="00CD3A47">
        <w:rPr>
          <w:rFonts w:ascii="Verdana" w:hAnsi="Verdana"/>
          <w:sz w:val="16"/>
          <w:szCs w:val="16"/>
          <w:vertAlign w:val="superscript"/>
        </w:rPr>
        <w:t xml:space="preserve">* </w:t>
      </w:r>
      <w:r>
        <w:rPr>
          <w:rFonts w:ascii="Verdana" w:hAnsi="Verdana"/>
          <w:sz w:val="16"/>
          <w:szCs w:val="16"/>
          <w:vertAlign w:val="superscript"/>
        </w:rPr>
        <w:tab/>
      </w:r>
      <w:r>
        <w:rPr>
          <w:rFonts w:ascii="Verdana" w:hAnsi="Verdana"/>
          <w:sz w:val="16"/>
          <w:szCs w:val="16"/>
          <w:vertAlign w:val="superscript"/>
        </w:rPr>
        <w:tab/>
      </w:r>
      <w:r w:rsidRPr="00CD3A47">
        <w:rPr>
          <w:rFonts w:ascii="Verdana" w:hAnsi="Verdana"/>
          <w:sz w:val="16"/>
          <w:szCs w:val="16"/>
        </w:rPr>
        <w:t>El Juez Humberto Antonio Sierra Porto, de nacionalidad colombiana, no participó en la deliberación y firma de la Sentencia de este caso, ni en la deliberación de la presente Resolución, de conformidad con lo dispuesto en el artículo 19.1 del Reglamento de la Corte.</w:t>
      </w:r>
    </w:p>
    <w:p w14:paraId="2D5CE063" w14:textId="77777777" w:rsidR="00953C74" w:rsidRPr="00CD3A47" w:rsidRDefault="00953C74" w:rsidP="00953C74">
      <w:pPr>
        <w:pStyle w:val="Textonotapie"/>
        <w:tabs>
          <w:tab w:val="left" w:pos="426"/>
        </w:tabs>
        <w:jc w:val="both"/>
        <w:rPr>
          <w:rFonts w:ascii="Verdana" w:hAnsi="Verdana"/>
          <w:sz w:val="16"/>
          <w:szCs w:val="16"/>
        </w:rPr>
      </w:pPr>
      <w:r>
        <w:rPr>
          <w:rFonts w:ascii="Verdana" w:hAnsi="Verdana"/>
          <w:sz w:val="16"/>
          <w:szCs w:val="16"/>
        </w:rPr>
        <w:tab/>
      </w:r>
      <w:r>
        <w:rPr>
          <w:rFonts w:ascii="Verdana" w:hAnsi="Verdana"/>
          <w:sz w:val="16"/>
          <w:szCs w:val="16"/>
        </w:rPr>
        <w:tab/>
      </w:r>
      <w:r w:rsidRPr="00CD3A47">
        <w:rPr>
          <w:rFonts w:ascii="Verdana" w:hAnsi="Verdana"/>
          <w:sz w:val="16"/>
          <w:szCs w:val="16"/>
        </w:rPr>
        <w:t>Debido a las circunstancias excepcionales ocasionadas por la pandemia COVID-19, esta Resolución fue deliberada y aprobada durante el 147 Período Ordinario de Sesiones, el cual se llevó a cabo de forma no presencial, utilizando medios tecnológicos de conformidad con lo establecido en el Reglamento de la Corte.</w:t>
      </w:r>
    </w:p>
    <w:p w14:paraId="5F19034A" w14:textId="77777777" w:rsidR="00953C74" w:rsidRPr="00CD3A47" w:rsidRDefault="00953C74" w:rsidP="00953C74">
      <w:pPr>
        <w:pStyle w:val="Textonotapie"/>
        <w:tabs>
          <w:tab w:val="left" w:pos="426"/>
        </w:tabs>
        <w:jc w:val="both"/>
        <w:rPr>
          <w:rFonts w:ascii="Verdana" w:hAnsi="Verdana"/>
          <w:sz w:val="16"/>
          <w:szCs w:val="16"/>
        </w:rPr>
      </w:pPr>
      <w:r w:rsidRPr="00CD3A47">
        <w:rPr>
          <w:rStyle w:val="Refdenotaalpie"/>
          <w:rFonts w:ascii="Verdana" w:hAnsi="Verdana"/>
          <w:sz w:val="16"/>
          <w:szCs w:val="16"/>
        </w:rPr>
        <w:footnoteRef/>
      </w:r>
      <w:r w:rsidRPr="00CD3A47">
        <w:rPr>
          <w:rFonts w:ascii="Verdana" w:hAnsi="Verdana"/>
          <w:sz w:val="16"/>
          <w:szCs w:val="16"/>
        </w:rPr>
        <w:t xml:space="preserve"> </w:t>
      </w:r>
      <w:r>
        <w:rPr>
          <w:rFonts w:ascii="Verdana" w:hAnsi="Verdana"/>
          <w:sz w:val="16"/>
          <w:szCs w:val="16"/>
        </w:rPr>
        <w:tab/>
      </w:r>
      <w:r>
        <w:rPr>
          <w:rFonts w:ascii="Verdana" w:hAnsi="Verdana"/>
          <w:sz w:val="16"/>
          <w:szCs w:val="16"/>
        </w:rPr>
        <w:tab/>
      </w:r>
      <w:r w:rsidRPr="00CD3A47">
        <w:rPr>
          <w:rFonts w:ascii="Verdana" w:hAnsi="Verdana"/>
          <w:i/>
          <w:sz w:val="16"/>
          <w:szCs w:val="16"/>
        </w:rPr>
        <w:t>Cfr.  Caso Martínez Esquivia Vs. Colombia. Excepciones preliminares, Fondo y Reparaciones. Sentencia de 6 de octubre de 2020.</w:t>
      </w:r>
      <w:r w:rsidRPr="00CD3A47">
        <w:rPr>
          <w:rFonts w:ascii="Verdana" w:hAnsi="Verdana"/>
          <w:sz w:val="16"/>
          <w:szCs w:val="16"/>
        </w:rPr>
        <w:t xml:space="preserve"> Sentencia de 06 de octubre de 2020.</w:t>
      </w:r>
      <w:r w:rsidRPr="00CD3A47">
        <w:rPr>
          <w:rFonts w:ascii="Verdana" w:hAnsi="Verdana"/>
          <w:i/>
          <w:sz w:val="16"/>
          <w:szCs w:val="16"/>
        </w:rPr>
        <w:t xml:space="preserve"> </w:t>
      </w:r>
      <w:r w:rsidRPr="00CD3A47">
        <w:rPr>
          <w:rFonts w:ascii="Verdana" w:hAnsi="Verdana"/>
          <w:iCs/>
          <w:sz w:val="16"/>
          <w:szCs w:val="16"/>
        </w:rPr>
        <w:t>Serie C No. 412</w:t>
      </w:r>
      <w:r w:rsidRPr="00CD3A47">
        <w:rPr>
          <w:rFonts w:ascii="Verdana" w:hAnsi="Verdana"/>
          <w:i/>
          <w:sz w:val="16"/>
          <w:szCs w:val="16"/>
        </w:rPr>
        <w:t>.</w:t>
      </w:r>
      <w:r w:rsidRPr="00CD3A47">
        <w:rPr>
          <w:rFonts w:ascii="Verdana" w:hAnsi="Verdana"/>
          <w:sz w:val="16"/>
          <w:szCs w:val="16"/>
        </w:rPr>
        <w:t xml:space="preserve"> El texto íntegro de la Sentencia se encuentra disponible en: </w:t>
      </w:r>
      <w:hyperlink r:id="rId1" w:history="1">
        <w:r w:rsidRPr="00CD3A47">
          <w:rPr>
            <w:rStyle w:val="Hipervnculo"/>
            <w:rFonts w:ascii="Verdana" w:hAnsi="Verdana"/>
            <w:sz w:val="16"/>
            <w:szCs w:val="16"/>
          </w:rPr>
          <w:t>https://www.corteidh.or.cr/docs/casos/articulos/seriec_412_esp.pdf</w:t>
        </w:r>
      </w:hyperlink>
      <w:r w:rsidRPr="00CD3A47">
        <w:rPr>
          <w:rFonts w:ascii="Verdana" w:hAnsi="Verdana"/>
          <w:sz w:val="16"/>
          <w:szCs w:val="16"/>
        </w:rPr>
        <w:t xml:space="preserve">. La Sentencia fue notificada el 14 de diciembre de 2020. </w:t>
      </w:r>
    </w:p>
  </w:footnote>
  <w:footnote w:id="2">
    <w:p w14:paraId="5DA0191B" w14:textId="77777777" w:rsidR="00953C74" w:rsidRPr="00CD3A47" w:rsidRDefault="00953C74" w:rsidP="00953C74">
      <w:pPr>
        <w:pStyle w:val="Textonotapie"/>
        <w:jc w:val="both"/>
        <w:rPr>
          <w:rFonts w:ascii="Verdana" w:hAnsi="Verdana"/>
          <w:sz w:val="16"/>
          <w:szCs w:val="16"/>
        </w:rPr>
      </w:pPr>
      <w:r w:rsidRPr="00CD3A47">
        <w:rPr>
          <w:rStyle w:val="Refdenotaalpie"/>
          <w:rFonts w:ascii="Verdana" w:hAnsi="Verdana"/>
          <w:sz w:val="16"/>
          <w:szCs w:val="16"/>
        </w:rPr>
        <w:footnoteRef/>
      </w:r>
      <w:r w:rsidRPr="00CD3A47">
        <w:rPr>
          <w:rFonts w:ascii="Verdana" w:hAnsi="Verdana"/>
          <w:sz w:val="16"/>
          <w:szCs w:val="16"/>
        </w:rPr>
        <w:t xml:space="preserve"> </w:t>
      </w:r>
      <w:r>
        <w:rPr>
          <w:rFonts w:ascii="Verdana" w:hAnsi="Verdana"/>
          <w:sz w:val="16"/>
          <w:szCs w:val="16"/>
        </w:rPr>
        <w:tab/>
      </w:r>
      <w:r w:rsidRPr="00CD3A47">
        <w:rPr>
          <w:rFonts w:ascii="Verdana" w:hAnsi="Verdana"/>
          <w:i/>
          <w:iCs/>
          <w:sz w:val="16"/>
          <w:szCs w:val="16"/>
        </w:rPr>
        <w:t>Cfr. Caso Martínez Esquivia Vs. Colombia. Interpretación de la Sentencia de Excepciones preliminares, Fondo y Reparaciones.</w:t>
      </w:r>
      <w:r w:rsidRPr="00CD3A47">
        <w:rPr>
          <w:rFonts w:ascii="Verdana" w:hAnsi="Verdana"/>
          <w:sz w:val="16"/>
          <w:szCs w:val="16"/>
        </w:rPr>
        <w:t xml:space="preserve"> Sentencia de 21 de junio de 2021. Serie C No. 428.  </w:t>
      </w:r>
      <w:r>
        <w:rPr>
          <w:rFonts w:ascii="Verdana" w:hAnsi="Verdana"/>
          <w:sz w:val="16"/>
          <w:szCs w:val="16"/>
        </w:rPr>
        <w:t>L</w:t>
      </w:r>
      <w:r w:rsidRPr="00CD3A47">
        <w:rPr>
          <w:rFonts w:ascii="Verdana" w:hAnsi="Verdana"/>
          <w:sz w:val="16"/>
          <w:szCs w:val="16"/>
        </w:rPr>
        <w:t>a Corte aclar</w:t>
      </w:r>
      <w:r>
        <w:rPr>
          <w:rFonts w:ascii="Verdana" w:hAnsi="Verdana"/>
          <w:sz w:val="16"/>
          <w:szCs w:val="16"/>
        </w:rPr>
        <w:t xml:space="preserve">ó el sentido de la reparación relativa a </w:t>
      </w:r>
      <w:r w:rsidRPr="00CD3A47">
        <w:rPr>
          <w:rFonts w:ascii="Verdana" w:hAnsi="Verdana"/>
          <w:sz w:val="16"/>
          <w:szCs w:val="16"/>
        </w:rPr>
        <w:t xml:space="preserve">cubrir los aportes a la pensión de la señora </w:t>
      </w:r>
      <w:proofErr w:type="spellStart"/>
      <w:r w:rsidRPr="00CD3A47">
        <w:rPr>
          <w:rFonts w:ascii="Verdana" w:hAnsi="Verdana"/>
          <w:sz w:val="16"/>
          <w:szCs w:val="16"/>
        </w:rPr>
        <w:t>Yenina</w:t>
      </w:r>
      <w:proofErr w:type="spellEnd"/>
      <w:r w:rsidRPr="00CD3A47">
        <w:rPr>
          <w:rFonts w:ascii="Verdana" w:hAnsi="Verdana"/>
          <w:sz w:val="16"/>
          <w:szCs w:val="16"/>
        </w:rPr>
        <w:t xml:space="preserve"> Esther Martínez Esquivia. Asimismo, declaró inadmisible la solicitud de</w:t>
      </w:r>
      <w:r>
        <w:rPr>
          <w:rFonts w:ascii="Verdana" w:hAnsi="Verdana"/>
          <w:sz w:val="16"/>
          <w:szCs w:val="16"/>
        </w:rPr>
        <w:t xml:space="preserve"> Colombia</w:t>
      </w:r>
      <w:r w:rsidRPr="00CD3A47">
        <w:rPr>
          <w:rFonts w:ascii="Verdana" w:hAnsi="Verdana"/>
          <w:sz w:val="16"/>
          <w:szCs w:val="16"/>
        </w:rPr>
        <w:t xml:space="preserve"> tendiente a la anulación de la sentencia por alegadas violaciones al debido proceso y equidad procesal y desestimó la solicitud de interpretación de</w:t>
      </w:r>
      <w:r>
        <w:rPr>
          <w:rFonts w:ascii="Verdana" w:hAnsi="Verdana"/>
          <w:sz w:val="16"/>
          <w:szCs w:val="16"/>
        </w:rPr>
        <w:t xml:space="preserve">l Estado </w:t>
      </w:r>
      <w:r w:rsidRPr="00CD3A47">
        <w:rPr>
          <w:rFonts w:ascii="Verdana" w:hAnsi="Verdana"/>
          <w:sz w:val="16"/>
          <w:szCs w:val="16"/>
        </w:rPr>
        <w:t xml:space="preserve">vinculada a la medida de reparación de adecuar “su normativa con el fin de garantizar la estabilidad de las y los fiscales nombrados en provisionalidad”. El texto íntegro de la Sentencia se encuentra disponible en: </w:t>
      </w:r>
      <w:hyperlink r:id="rId2" w:history="1">
        <w:r w:rsidRPr="00CD3A47">
          <w:rPr>
            <w:rStyle w:val="Hipervnculo"/>
            <w:rFonts w:ascii="Verdana" w:hAnsi="Verdana"/>
            <w:sz w:val="16"/>
            <w:szCs w:val="16"/>
          </w:rPr>
          <w:t>https://www.corteidh.or.cr/docs/casos/articulos/seriec_428_esp.pdf</w:t>
        </w:r>
      </w:hyperlink>
      <w:r w:rsidRPr="00CD3A47">
        <w:rPr>
          <w:rFonts w:ascii="Verdana" w:hAnsi="Verdana"/>
          <w:sz w:val="16"/>
          <w:szCs w:val="16"/>
        </w:rPr>
        <w:t>.</w:t>
      </w:r>
    </w:p>
  </w:footnote>
  <w:footnote w:id="3">
    <w:p w14:paraId="61EFF7E0" w14:textId="250BECFE" w:rsidR="00953C74" w:rsidRPr="00CD3A47" w:rsidRDefault="00953C74" w:rsidP="00953C74">
      <w:pPr>
        <w:pStyle w:val="Textonotapie"/>
        <w:tabs>
          <w:tab w:val="left" w:pos="426"/>
        </w:tabs>
        <w:jc w:val="both"/>
        <w:rPr>
          <w:rFonts w:ascii="Verdana" w:hAnsi="Verdana"/>
          <w:sz w:val="16"/>
          <w:szCs w:val="16"/>
        </w:rPr>
      </w:pPr>
      <w:r w:rsidRPr="00CD3A47">
        <w:rPr>
          <w:rStyle w:val="Refdenotaalpie"/>
          <w:rFonts w:ascii="Verdana" w:hAnsi="Verdana"/>
          <w:sz w:val="16"/>
          <w:szCs w:val="16"/>
        </w:rPr>
        <w:footnoteRef/>
      </w:r>
      <w:r w:rsidRPr="00CD3A47">
        <w:rPr>
          <w:rFonts w:ascii="Verdana" w:hAnsi="Verdana"/>
          <w:sz w:val="16"/>
          <w:szCs w:val="16"/>
        </w:rPr>
        <w:t xml:space="preserve"> </w:t>
      </w:r>
      <w:r w:rsidRPr="00CD3A47">
        <w:rPr>
          <w:rFonts w:ascii="Verdana" w:hAnsi="Verdana"/>
          <w:sz w:val="16"/>
          <w:szCs w:val="16"/>
        </w:rPr>
        <w:tab/>
      </w:r>
      <w:r>
        <w:rPr>
          <w:rFonts w:ascii="Verdana" w:hAnsi="Verdana"/>
          <w:sz w:val="16"/>
          <w:szCs w:val="16"/>
        </w:rPr>
        <w:tab/>
      </w:r>
      <w:r w:rsidR="00580D8C">
        <w:rPr>
          <w:rFonts w:ascii="Verdana" w:hAnsi="Verdana"/>
          <w:sz w:val="16"/>
          <w:szCs w:val="16"/>
        </w:rPr>
        <w:t>Los</w:t>
      </w:r>
      <w:r w:rsidRPr="00CD3A47">
        <w:rPr>
          <w:rFonts w:ascii="Verdana" w:hAnsi="Verdana"/>
          <w:sz w:val="16"/>
          <w:szCs w:val="16"/>
        </w:rPr>
        <w:t xml:space="preserve"> representante</w:t>
      </w:r>
      <w:r w:rsidR="00580D8C">
        <w:rPr>
          <w:rFonts w:ascii="Verdana" w:hAnsi="Verdana"/>
          <w:sz w:val="16"/>
          <w:szCs w:val="16"/>
        </w:rPr>
        <w:t>s</w:t>
      </w:r>
      <w:r w:rsidRPr="00CD3A47">
        <w:rPr>
          <w:rFonts w:ascii="Verdana" w:hAnsi="Verdana"/>
          <w:sz w:val="16"/>
          <w:szCs w:val="16"/>
        </w:rPr>
        <w:t xml:space="preserve"> </w:t>
      </w:r>
      <w:r w:rsidR="00580D8C">
        <w:rPr>
          <w:rFonts w:ascii="Verdana" w:hAnsi="Verdana"/>
          <w:sz w:val="16"/>
          <w:szCs w:val="16"/>
        </w:rPr>
        <w:t>son</w:t>
      </w:r>
      <w:r w:rsidRPr="00CD3A47">
        <w:rPr>
          <w:rFonts w:ascii="Verdana" w:hAnsi="Verdana"/>
          <w:sz w:val="16"/>
          <w:szCs w:val="16"/>
        </w:rPr>
        <w:t xml:space="preserve"> </w:t>
      </w:r>
      <w:r w:rsidR="00580D8C">
        <w:rPr>
          <w:rFonts w:ascii="Verdana" w:hAnsi="Verdana"/>
          <w:sz w:val="16"/>
          <w:szCs w:val="16"/>
        </w:rPr>
        <w:t>los</w:t>
      </w:r>
      <w:r w:rsidRPr="00CD3A47">
        <w:rPr>
          <w:rFonts w:ascii="Verdana" w:hAnsi="Verdana"/>
          <w:sz w:val="16"/>
          <w:szCs w:val="16"/>
        </w:rPr>
        <w:t xml:space="preserve"> señor</w:t>
      </w:r>
      <w:r w:rsidR="00580D8C">
        <w:rPr>
          <w:rFonts w:ascii="Verdana" w:hAnsi="Verdana"/>
          <w:sz w:val="16"/>
          <w:szCs w:val="16"/>
        </w:rPr>
        <w:t xml:space="preserve">es </w:t>
      </w:r>
      <w:r w:rsidR="001B5CA4" w:rsidRPr="001B5CA4">
        <w:rPr>
          <w:rFonts w:ascii="Verdana" w:hAnsi="Verdana"/>
          <w:sz w:val="16"/>
          <w:szCs w:val="16"/>
        </w:rPr>
        <w:t xml:space="preserve">Ciro </w:t>
      </w:r>
      <w:proofErr w:type="spellStart"/>
      <w:r w:rsidR="001B5CA4" w:rsidRPr="001B5CA4">
        <w:rPr>
          <w:rFonts w:ascii="Verdana" w:hAnsi="Verdana"/>
          <w:sz w:val="16"/>
          <w:szCs w:val="16"/>
        </w:rPr>
        <w:t>Colombara</w:t>
      </w:r>
      <w:proofErr w:type="spellEnd"/>
      <w:r w:rsidR="001B5CA4" w:rsidRPr="001B5CA4">
        <w:rPr>
          <w:rFonts w:ascii="Verdana" w:hAnsi="Verdana"/>
          <w:sz w:val="16"/>
          <w:szCs w:val="16"/>
        </w:rPr>
        <w:t xml:space="preserve"> López</w:t>
      </w:r>
      <w:r w:rsidR="001B5CA4">
        <w:rPr>
          <w:rFonts w:ascii="Verdana" w:hAnsi="Verdana"/>
          <w:sz w:val="16"/>
          <w:szCs w:val="16"/>
        </w:rPr>
        <w:t xml:space="preserve"> y</w:t>
      </w:r>
      <w:r w:rsidRPr="00CD3A47">
        <w:rPr>
          <w:rFonts w:ascii="Verdana" w:hAnsi="Verdana"/>
          <w:sz w:val="16"/>
          <w:szCs w:val="16"/>
        </w:rPr>
        <w:t xml:space="preserve"> </w:t>
      </w:r>
      <w:proofErr w:type="spellStart"/>
      <w:r w:rsidRPr="00CD3A47">
        <w:rPr>
          <w:rFonts w:ascii="Verdana" w:hAnsi="Verdana"/>
          <w:sz w:val="16"/>
          <w:szCs w:val="16"/>
        </w:rPr>
        <w:t>Branislav</w:t>
      </w:r>
      <w:proofErr w:type="spellEnd"/>
      <w:r w:rsidRPr="00CD3A47">
        <w:rPr>
          <w:rFonts w:ascii="Verdana" w:hAnsi="Verdana"/>
          <w:sz w:val="16"/>
          <w:szCs w:val="16"/>
        </w:rPr>
        <w:t xml:space="preserve"> </w:t>
      </w:r>
      <w:proofErr w:type="spellStart"/>
      <w:r w:rsidRPr="00CD3A47">
        <w:rPr>
          <w:rFonts w:ascii="Verdana" w:hAnsi="Verdana"/>
          <w:sz w:val="16"/>
          <w:szCs w:val="16"/>
        </w:rPr>
        <w:t>Marelic</w:t>
      </w:r>
      <w:proofErr w:type="spellEnd"/>
      <w:r w:rsidRPr="00CD3A47">
        <w:rPr>
          <w:rFonts w:ascii="Verdana" w:hAnsi="Verdana"/>
          <w:sz w:val="16"/>
          <w:szCs w:val="16"/>
        </w:rPr>
        <w:t xml:space="preserve"> </w:t>
      </w:r>
      <w:proofErr w:type="spellStart"/>
      <w:r w:rsidRPr="00CD3A47">
        <w:rPr>
          <w:rFonts w:ascii="Verdana" w:hAnsi="Verdana"/>
          <w:sz w:val="16"/>
          <w:szCs w:val="16"/>
        </w:rPr>
        <w:t>Rocov</w:t>
      </w:r>
      <w:proofErr w:type="spellEnd"/>
      <w:r w:rsidR="00C90021">
        <w:rPr>
          <w:rFonts w:ascii="Verdana" w:hAnsi="Verdana"/>
          <w:sz w:val="16"/>
          <w:szCs w:val="16"/>
        </w:rPr>
        <w:t xml:space="preserve"> del </w:t>
      </w:r>
      <w:r w:rsidR="00C90021" w:rsidRPr="00C90021">
        <w:rPr>
          <w:rFonts w:ascii="Verdana" w:hAnsi="Verdana"/>
          <w:sz w:val="16"/>
          <w:szCs w:val="16"/>
        </w:rPr>
        <w:t xml:space="preserve">Estudio Jurídico Rivadeneira </w:t>
      </w:r>
      <w:proofErr w:type="spellStart"/>
      <w:r w:rsidR="00C90021" w:rsidRPr="00C90021">
        <w:rPr>
          <w:rFonts w:ascii="Verdana" w:hAnsi="Verdana"/>
          <w:sz w:val="16"/>
          <w:szCs w:val="16"/>
        </w:rPr>
        <w:t>Colombara</w:t>
      </w:r>
      <w:proofErr w:type="spellEnd"/>
      <w:r w:rsidR="00C90021" w:rsidRPr="00C90021">
        <w:rPr>
          <w:rFonts w:ascii="Verdana" w:hAnsi="Verdana"/>
          <w:sz w:val="16"/>
          <w:szCs w:val="16"/>
        </w:rPr>
        <w:t xml:space="preserve"> Zegers</w:t>
      </w:r>
      <w:r w:rsidR="00C90021">
        <w:rPr>
          <w:rFonts w:ascii="Verdana" w:hAnsi="Verdana"/>
          <w:sz w:val="16"/>
          <w:szCs w:val="16"/>
        </w:rPr>
        <w:t>.</w:t>
      </w:r>
    </w:p>
  </w:footnote>
  <w:footnote w:id="4">
    <w:p w14:paraId="4E0528C3" w14:textId="2F98D472" w:rsidR="00953C74" w:rsidRPr="00CD3A47" w:rsidRDefault="00953C74" w:rsidP="00953C74">
      <w:pPr>
        <w:pStyle w:val="Textonotapie"/>
        <w:jc w:val="both"/>
        <w:rPr>
          <w:rFonts w:ascii="Verdana" w:hAnsi="Verdana"/>
          <w:sz w:val="16"/>
          <w:szCs w:val="16"/>
        </w:rPr>
      </w:pPr>
      <w:r w:rsidRPr="00CD3A47">
        <w:rPr>
          <w:rStyle w:val="Refdenotaalpie"/>
          <w:rFonts w:ascii="Verdana" w:hAnsi="Verdana"/>
          <w:sz w:val="16"/>
          <w:szCs w:val="16"/>
        </w:rPr>
        <w:footnoteRef/>
      </w:r>
      <w:bookmarkStart w:id="0" w:name="_Hlk95815613"/>
      <w:r>
        <w:rPr>
          <w:rFonts w:ascii="Verdana" w:hAnsi="Verdana"/>
          <w:sz w:val="16"/>
          <w:szCs w:val="16"/>
        </w:rPr>
        <w:tab/>
      </w:r>
      <w:r w:rsidRPr="00CD3A47">
        <w:rPr>
          <w:rFonts w:ascii="Verdana" w:hAnsi="Verdana"/>
          <w:color w:val="000000" w:themeColor="text1"/>
          <w:sz w:val="16"/>
          <w:szCs w:val="16"/>
        </w:rPr>
        <w:t>En el ejercicio de su función jurisdiccional de supervisar el cumplimiento de sus decisiones,</w:t>
      </w:r>
      <w:r w:rsidRPr="00CD3A47">
        <w:rPr>
          <w:rFonts w:ascii="Verdana" w:hAnsi="Verdana"/>
          <w:sz w:val="16"/>
          <w:szCs w:val="16"/>
        </w:rPr>
        <w:t xml:space="preserve"> facultad que además se desprende de lo dispuesto en los artículos 33, 62.1, 62.3 y 65 de la Convención Americana sobre Derechos Humanos y 30 de su Estatuto, y se encuentra regulada en el artículo 69 de su Reglamento.</w:t>
      </w:r>
      <w:bookmarkEnd w:id="0"/>
    </w:p>
  </w:footnote>
  <w:footnote w:id="5">
    <w:p w14:paraId="36F99942" w14:textId="1EA3FB34" w:rsidR="00953C74" w:rsidRPr="00C9670C" w:rsidRDefault="00953C74" w:rsidP="00953C74">
      <w:pPr>
        <w:pStyle w:val="Textonotapie"/>
        <w:rPr>
          <w:lang w:val="es-ES"/>
        </w:rPr>
      </w:pPr>
      <w:r>
        <w:rPr>
          <w:rStyle w:val="Refdenotaalpie"/>
        </w:rPr>
        <w:footnoteRef/>
      </w:r>
      <w:r>
        <w:t xml:space="preserve"> </w:t>
      </w:r>
      <w:r>
        <w:tab/>
      </w:r>
      <w:r>
        <w:rPr>
          <w:rFonts w:ascii="Verdana" w:eastAsia="Verdana" w:hAnsi="Verdana" w:cs="Verdana"/>
          <w:color w:val="000000" w:themeColor="text1"/>
          <w:spacing w:val="-1"/>
          <w:sz w:val="16"/>
          <w:szCs w:val="16"/>
          <w:lang w:val="es-MX"/>
        </w:rPr>
        <w:t>I</w:t>
      </w:r>
      <w:r w:rsidRPr="00CD3A47">
        <w:rPr>
          <w:rFonts w:ascii="Verdana" w:eastAsia="Verdana" w:hAnsi="Verdana" w:cs="Verdana"/>
          <w:color w:val="000000" w:themeColor="text1"/>
          <w:spacing w:val="-1"/>
          <w:sz w:val="16"/>
          <w:szCs w:val="16"/>
          <w:lang w:val="es-MX"/>
        </w:rPr>
        <w:t xml:space="preserve">ndicó que </w:t>
      </w:r>
      <w:r w:rsidRPr="00CD3A47">
        <w:rPr>
          <w:rFonts w:ascii="Verdana" w:hAnsi="Verdana"/>
          <w:sz w:val="16"/>
          <w:szCs w:val="16"/>
        </w:rPr>
        <w:t>Colombia ha cumplido de la “manera indicada” con la medida de publicación dispuesta en la Sentencia</w:t>
      </w:r>
      <w:r>
        <w:rPr>
          <w:rFonts w:ascii="Verdana" w:hAnsi="Verdana"/>
          <w:sz w:val="16"/>
          <w:szCs w:val="16"/>
        </w:rPr>
        <w:t>.</w:t>
      </w:r>
      <w:r>
        <w:rPr>
          <w:rFonts w:ascii="Arial" w:eastAsia="Yu Mincho" w:hAnsi="Arial" w:cs="Arial"/>
          <w:b/>
          <w:bCs/>
          <w:sz w:val="16"/>
          <w:szCs w:val="16"/>
          <w:lang w:eastAsia="ja-JP"/>
        </w:rPr>
        <w:t xml:space="preserve"> </w:t>
      </w:r>
      <w:r w:rsidRPr="00C9670C">
        <w:rPr>
          <w:rFonts w:ascii="Verdana" w:eastAsia="Yu Mincho" w:hAnsi="Verdana" w:cs="Arial"/>
          <w:i/>
          <w:iCs/>
          <w:sz w:val="16"/>
          <w:szCs w:val="16"/>
          <w:lang w:eastAsia="ja-JP"/>
        </w:rPr>
        <w:t xml:space="preserve">Cfr. </w:t>
      </w:r>
      <w:r>
        <w:rPr>
          <w:rFonts w:ascii="Verdana" w:eastAsia="Yu Mincho" w:hAnsi="Verdana" w:cs="Arial"/>
          <w:sz w:val="16"/>
          <w:szCs w:val="16"/>
          <w:lang w:eastAsia="ja-JP"/>
        </w:rPr>
        <w:t>Escrito de observaciones de 4 de agosto de 2021.</w:t>
      </w:r>
    </w:p>
  </w:footnote>
  <w:footnote w:id="6">
    <w:p w14:paraId="20793958" w14:textId="13E8CD24" w:rsidR="00953C74" w:rsidRPr="00CD3A47" w:rsidRDefault="00953C74" w:rsidP="00953C74">
      <w:pPr>
        <w:pStyle w:val="Textonotapie"/>
        <w:tabs>
          <w:tab w:val="left" w:pos="426"/>
        </w:tabs>
        <w:jc w:val="both"/>
        <w:rPr>
          <w:rFonts w:ascii="Verdana" w:hAnsi="Verdana"/>
          <w:sz w:val="16"/>
          <w:szCs w:val="16"/>
        </w:rPr>
      </w:pPr>
      <w:r w:rsidRPr="00CD3A47">
        <w:rPr>
          <w:rStyle w:val="Refdenotaalpie"/>
          <w:rFonts w:ascii="Verdana" w:hAnsi="Verdana"/>
          <w:sz w:val="16"/>
          <w:szCs w:val="16"/>
        </w:rPr>
        <w:footnoteRef/>
      </w:r>
      <w:r w:rsidRPr="00CD3A47">
        <w:rPr>
          <w:rFonts w:ascii="Verdana" w:hAnsi="Verdana"/>
          <w:sz w:val="16"/>
          <w:szCs w:val="16"/>
        </w:rPr>
        <w:t xml:space="preserve"> </w:t>
      </w:r>
      <w:r w:rsidRPr="00CD3A47">
        <w:rPr>
          <w:rFonts w:ascii="Verdana" w:hAnsi="Verdana"/>
          <w:sz w:val="16"/>
          <w:szCs w:val="16"/>
        </w:rPr>
        <w:tab/>
      </w:r>
      <w:r>
        <w:rPr>
          <w:rFonts w:ascii="Verdana" w:hAnsi="Verdana"/>
          <w:sz w:val="16"/>
          <w:szCs w:val="16"/>
        </w:rPr>
        <w:tab/>
      </w:r>
      <w:r w:rsidRPr="00360C48">
        <w:rPr>
          <w:rFonts w:ascii="Verdana" w:hAnsi="Verdana"/>
          <w:i/>
          <w:iCs/>
          <w:sz w:val="16"/>
          <w:szCs w:val="16"/>
        </w:rPr>
        <w:t>Cfr.</w:t>
      </w:r>
      <w:r>
        <w:rPr>
          <w:rFonts w:ascii="Verdana" w:hAnsi="Verdana"/>
          <w:sz w:val="16"/>
          <w:szCs w:val="16"/>
        </w:rPr>
        <w:t xml:space="preserve"> Copia de la publicación del resumen oficial de la Sentencia en el </w:t>
      </w:r>
      <w:r w:rsidRPr="00CD3A47">
        <w:rPr>
          <w:rFonts w:ascii="Verdana" w:hAnsi="Verdana"/>
          <w:sz w:val="16"/>
          <w:szCs w:val="16"/>
        </w:rPr>
        <w:t xml:space="preserve">Diario Oficial </w:t>
      </w:r>
      <w:r>
        <w:rPr>
          <w:rFonts w:ascii="Verdana" w:hAnsi="Verdana"/>
          <w:sz w:val="16"/>
          <w:szCs w:val="16"/>
        </w:rPr>
        <w:t xml:space="preserve">de la República de Colombia </w:t>
      </w:r>
      <w:r w:rsidRPr="00CD3A47">
        <w:rPr>
          <w:rFonts w:ascii="Verdana" w:hAnsi="Verdana"/>
          <w:sz w:val="16"/>
          <w:szCs w:val="16"/>
        </w:rPr>
        <w:t>No. 51.686 de 26 de mayo de 2021</w:t>
      </w:r>
      <w:r>
        <w:rPr>
          <w:rFonts w:ascii="Verdana" w:hAnsi="Verdana"/>
          <w:sz w:val="16"/>
          <w:szCs w:val="16"/>
        </w:rPr>
        <w:t>, págs. 26 y 27 (a</w:t>
      </w:r>
      <w:r w:rsidRPr="00CD3A47">
        <w:rPr>
          <w:rFonts w:ascii="Verdana" w:hAnsi="Verdana"/>
          <w:sz w:val="16"/>
          <w:szCs w:val="16"/>
        </w:rPr>
        <w:t xml:space="preserve">nexo </w:t>
      </w:r>
      <w:r>
        <w:rPr>
          <w:rFonts w:ascii="Verdana" w:hAnsi="Verdana"/>
          <w:sz w:val="16"/>
          <w:szCs w:val="16"/>
        </w:rPr>
        <w:t>a</w:t>
      </w:r>
      <w:r w:rsidRPr="00CD3A47">
        <w:rPr>
          <w:rFonts w:ascii="Verdana" w:hAnsi="Verdana"/>
          <w:sz w:val="16"/>
          <w:szCs w:val="16"/>
        </w:rPr>
        <w:t>l informe estatal de 14 de diciembre de 2021</w:t>
      </w:r>
      <w:r>
        <w:rPr>
          <w:rFonts w:ascii="Verdana" w:hAnsi="Verdana"/>
          <w:sz w:val="16"/>
          <w:szCs w:val="16"/>
        </w:rPr>
        <w:t xml:space="preserve">). </w:t>
      </w:r>
    </w:p>
  </w:footnote>
  <w:footnote w:id="7">
    <w:p w14:paraId="65999991" w14:textId="242F5EE5" w:rsidR="00953C74" w:rsidRPr="00C9670C" w:rsidRDefault="00953C74" w:rsidP="00953C74">
      <w:pPr>
        <w:pStyle w:val="Textonotapie"/>
        <w:jc w:val="both"/>
        <w:rPr>
          <w:rFonts w:ascii="Verdana" w:eastAsia="Verdana" w:hAnsi="Verdana" w:cs="Verdana"/>
          <w:color w:val="000000"/>
          <w:sz w:val="16"/>
          <w:szCs w:val="16"/>
          <w:lang w:val="es-MX"/>
        </w:rPr>
      </w:pPr>
      <w:r w:rsidRPr="00CD3A47">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iCs/>
          <w:sz w:val="16"/>
          <w:szCs w:val="16"/>
        </w:rPr>
        <w:t xml:space="preserve">Cfr. </w:t>
      </w:r>
      <w:r>
        <w:rPr>
          <w:rFonts w:ascii="Verdana" w:hAnsi="Verdana"/>
          <w:sz w:val="16"/>
          <w:szCs w:val="16"/>
        </w:rPr>
        <w:t xml:space="preserve">Copia de la captura de imagen donde se encuentra disponible la Sentencia en el sitio </w:t>
      </w:r>
      <w:r>
        <w:rPr>
          <w:rFonts w:ascii="Verdana" w:hAnsi="Verdana"/>
          <w:i/>
          <w:iCs/>
          <w:sz w:val="16"/>
          <w:szCs w:val="16"/>
        </w:rPr>
        <w:t xml:space="preserve">web </w:t>
      </w:r>
      <w:r>
        <w:rPr>
          <w:rFonts w:ascii="Verdana" w:hAnsi="Verdana"/>
          <w:sz w:val="16"/>
          <w:szCs w:val="16"/>
        </w:rPr>
        <w:t xml:space="preserve">oficial de la </w:t>
      </w:r>
      <w:proofErr w:type="gramStart"/>
      <w:r>
        <w:rPr>
          <w:rFonts w:ascii="Verdana" w:hAnsi="Verdana"/>
          <w:sz w:val="16"/>
          <w:szCs w:val="16"/>
        </w:rPr>
        <w:t>Fiscalía General</w:t>
      </w:r>
      <w:proofErr w:type="gramEnd"/>
      <w:r>
        <w:rPr>
          <w:rFonts w:ascii="Verdana" w:hAnsi="Verdana"/>
          <w:sz w:val="16"/>
          <w:szCs w:val="16"/>
        </w:rPr>
        <w:t xml:space="preserve"> de la Nación (anexo al informe estatal de 18 de junio de 2021).</w:t>
      </w:r>
      <w:r>
        <w:rPr>
          <w:rFonts w:ascii="Verdana" w:hAnsi="Verdana"/>
          <w:b/>
          <w:bCs/>
          <w:sz w:val="16"/>
          <w:szCs w:val="16"/>
        </w:rPr>
        <w:t xml:space="preserve"> </w:t>
      </w:r>
      <w:r w:rsidRPr="00CD3A47">
        <w:rPr>
          <w:rFonts w:ascii="Verdana" w:hAnsi="Verdana"/>
          <w:sz w:val="16"/>
          <w:szCs w:val="16"/>
          <w:lang w:val="es-ES"/>
        </w:rPr>
        <w:t>E</w:t>
      </w:r>
      <w:r>
        <w:rPr>
          <w:rFonts w:ascii="Verdana" w:hAnsi="Verdana"/>
          <w:sz w:val="16"/>
          <w:szCs w:val="16"/>
          <w:lang w:val="es-ES"/>
        </w:rPr>
        <w:t>n su informe de 18 de junio de 2021, el</w:t>
      </w:r>
      <w:r w:rsidRPr="00CD3A47">
        <w:rPr>
          <w:rFonts w:ascii="Verdana" w:hAnsi="Verdana"/>
          <w:sz w:val="16"/>
          <w:szCs w:val="16"/>
          <w:lang w:val="es-ES"/>
        </w:rPr>
        <w:t xml:space="preserve"> </w:t>
      </w:r>
      <w:r w:rsidRPr="00C9670C">
        <w:rPr>
          <w:rFonts w:ascii="Verdana" w:hAnsi="Verdana"/>
          <w:i/>
          <w:iCs/>
          <w:sz w:val="16"/>
          <w:szCs w:val="16"/>
          <w:lang w:val="es-ES"/>
        </w:rPr>
        <w:t>Estado</w:t>
      </w:r>
      <w:r w:rsidRPr="00CD3A47">
        <w:rPr>
          <w:rFonts w:ascii="Verdana" w:hAnsi="Verdana"/>
          <w:sz w:val="16"/>
          <w:szCs w:val="16"/>
          <w:lang w:val="es-ES"/>
        </w:rPr>
        <w:t xml:space="preserve"> informó que </w:t>
      </w:r>
      <w:r>
        <w:rPr>
          <w:rFonts w:ascii="Verdana" w:hAnsi="Verdana"/>
          <w:sz w:val="16"/>
          <w:szCs w:val="16"/>
          <w:lang w:val="es-ES"/>
        </w:rPr>
        <w:t xml:space="preserve">el texto íntegro de la Sentencia se encuentra disponible desde el 27 de mayo de 2021 -fecha que no fue controvertida por los representantes ni la Comisión- en el siguiente enlace: </w:t>
      </w:r>
      <w:hyperlink r:id="rId3" w:history="1">
        <w:r w:rsidRPr="00D36860">
          <w:rPr>
            <w:rStyle w:val="Hipervnculo"/>
            <w:rFonts w:ascii="Verdana" w:hAnsi="Verdana"/>
            <w:sz w:val="16"/>
            <w:szCs w:val="16"/>
          </w:rPr>
          <w:t>https://www.fiscalia.gov.co/colombia/wp-content/uploads/SENTENCIA-CORTE-INTERAMERICANA-CASO-MARTINEZ-ESQUIVIA.pdf</w:t>
        </w:r>
      </w:hyperlink>
      <w:r>
        <w:rPr>
          <w:rFonts w:ascii="Verdana" w:hAnsi="Verdana"/>
          <w:sz w:val="16"/>
          <w:szCs w:val="16"/>
        </w:rPr>
        <w:t>.</w:t>
      </w:r>
      <w:r w:rsidRPr="0051244F">
        <w:rPr>
          <w:rFonts w:ascii="Verdana" w:eastAsia="Verdana" w:hAnsi="Verdana" w:cs="Verdana"/>
          <w:color w:val="000000"/>
          <w:sz w:val="16"/>
          <w:szCs w:val="16"/>
          <w:lang w:val="es-MX"/>
        </w:rPr>
        <w:t xml:space="preserve"> </w:t>
      </w:r>
      <w:r w:rsidRPr="00B466D0">
        <w:rPr>
          <w:rFonts w:ascii="Verdana" w:eastAsia="Verdana" w:hAnsi="Verdana" w:cs="Verdana"/>
          <w:color w:val="000000"/>
          <w:sz w:val="16"/>
          <w:szCs w:val="16"/>
          <w:lang w:val="es-MX"/>
        </w:rPr>
        <w:t>La última vez que la Corte consultó el</w:t>
      </w:r>
      <w:r>
        <w:rPr>
          <w:rFonts w:ascii="Verdana" w:eastAsia="Verdana" w:hAnsi="Verdana" w:cs="Verdana"/>
          <w:color w:val="000000"/>
          <w:sz w:val="16"/>
          <w:szCs w:val="16"/>
          <w:lang w:val="es-MX"/>
        </w:rPr>
        <w:t xml:space="preserve"> </w:t>
      </w:r>
      <w:r w:rsidRPr="00B466D0">
        <w:rPr>
          <w:rFonts w:ascii="Verdana" w:eastAsia="Verdana" w:hAnsi="Verdana" w:cs="Verdana"/>
          <w:color w:val="000000"/>
          <w:sz w:val="16"/>
          <w:szCs w:val="16"/>
          <w:lang w:val="es-MX"/>
        </w:rPr>
        <w:t>referido enlace electrónico, se pudo constatar que la</w:t>
      </w:r>
      <w:r>
        <w:rPr>
          <w:rFonts w:ascii="Verdana" w:eastAsia="Verdana" w:hAnsi="Verdana" w:cs="Verdana"/>
          <w:color w:val="000000"/>
          <w:sz w:val="16"/>
          <w:szCs w:val="16"/>
          <w:lang w:val="es-MX"/>
        </w:rPr>
        <w:t xml:space="preserve"> </w:t>
      </w:r>
      <w:r w:rsidRPr="00B466D0">
        <w:rPr>
          <w:rFonts w:ascii="Verdana" w:eastAsia="Verdana" w:hAnsi="Verdana" w:cs="Verdana"/>
          <w:color w:val="000000"/>
          <w:sz w:val="16"/>
          <w:szCs w:val="16"/>
          <w:lang w:val="es-MX"/>
        </w:rPr>
        <w:t>Sentencia seguía disponible</w:t>
      </w:r>
      <w:r>
        <w:rPr>
          <w:rFonts w:ascii="Verdana" w:eastAsia="Verdana" w:hAnsi="Verdana" w:cs="Verdana"/>
          <w:color w:val="000000"/>
          <w:sz w:val="16"/>
          <w:szCs w:val="16"/>
          <w:lang w:val="es-MX"/>
        </w:rPr>
        <w:t xml:space="preserve"> </w:t>
      </w:r>
      <w:r w:rsidRPr="00152CBF">
        <w:rPr>
          <w:rFonts w:ascii="Verdana" w:eastAsia="Verdana" w:hAnsi="Verdana" w:cs="Verdana"/>
          <w:color w:val="000000"/>
          <w:spacing w:val="-1"/>
          <w:sz w:val="16"/>
          <w:szCs w:val="16"/>
          <w:lang w:val="es-MX"/>
        </w:rPr>
        <w:t>(</w:t>
      </w:r>
      <w:r w:rsidRPr="00152CBF">
        <w:rPr>
          <w:rFonts w:ascii="Verdana" w:eastAsia="Verdana" w:hAnsi="Verdana" w:cs="Verdana"/>
          <w:color w:val="000000"/>
          <w:spacing w:val="1"/>
          <w:sz w:val="16"/>
          <w:szCs w:val="16"/>
          <w:lang w:val="es-MX"/>
        </w:rPr>
        <w:t>v</w:t>
      </w:r>
      <w:r w:rsidRPr="00152CBF">
        <w:rPr>
          <w:rFonts w:ascii="Verdana" w:eastAsia="Verdana" w:hAnsi="Verdana" w:cs="Verdana"/>
          <w:color w:val="000000"/>
          <w:spacing w:val="-1"/>
          <w:sz w:val="16"/>
          <w:szCs w:val="16"/>
          <w:lang w:val="es-MX"/>
        </w:rPr>
        <w:t>i</w:t>
      </w:r>
      <w:r w:rsidRPr="00152CBF">
        <w:rPr>
          <w:rFonts w:ascii="Verdana" w:eastAsia="Verdana" w:hAnsi="Verdana" w:cs="Verdana"/>
          <w:color w:val="000000"/>
          <w:sz w:val="16"/>
          <w:szCs w:val="16"/>
          <w:lang w:val="es-MX"/>
        </w:rPr>
        <w:t>si</w:t>
      </w:r>
      <w:r w:rsidRPr="00152CBF">
        <w:rPr>
          <w:rFonts w:ascii="Verdana" w:eastAsia="Verdana" w:hAnsi="Verdana" w:cs="Verdana"/>
          <w:color w:val="000000"/>
          <w:spacing w:val="-2"/>
          <w:sz w:val="16"/>
          <w:szCs w:val="16"/>
          <w:lang w:val="es-MX"/>
        </w:rPr>
        <w:t>t</w:t>
      </w:r>
      <w:r w:rsidRPr="00152CBF">
        <w:rPr>
          <w:rFonts w:ascii="Verdana" w:eastAsia="Verdana" w:hAnsi="Verdana" w:cs="Verdana"/>
          <w:color w:val="000000"/>
          <w:spacing w:val="-1"/>
          <w:sz w:val="16"/>
          <w:szCs w:val="16"/>
          <w:lang w:val="es-MX"/>
        </w:rPr>
        <w:t>a</w:t>
      </w:r>
      <w:r w:rsidRPr="00152CBF">
        <w:rPr>
          <w:rFonts w:ascii="Verdana" w:eastAsia="Verdana" w:hAnsi="Verdana" w:cs="Verdana"/>
          <w:color w:val="000000"/>
          <w:sz w:val="16"/>
          <w:szCs w:val="16"/>
          <w:lang w:val="es-MX"/>
        </w:rPr>
        <w:t>do</w:t>
      </w:r>
      <w:r w:rsidRPr="00152CBF">
        <w:rPr>
          <w:rFonts w:ascii="Verdana" w:eastAsia="Verdana" w:hAnsi="Verdana" w:cs="Verdana"/>
          <w:color w:val="000000"/>
          <w:spacing w:val="-2"/>
          <w:sz w:val="16"/>
          <w:szCs w:val="16"/>
          <w:lang w:val="es-MX"/>
        </w:rPr>
        <w:t xml:space="preserve"> </w:t>
      </w:r>
      <w:r w:rsidRPr="00152CBF">
        <w:rPr>
          <w:rFonts w:ascii="Verdana" w:eastAsia="Verdana" w:hAnsi="Verdana" w:cs="Verdana"/>
          <w:color w:val="000000"/>
          <w:sz w:val="16"/>
          <w:szCs w:val="16"/>
          <w:lang w:val="es-MX"/>
        </w:rPr>
        <w:t>p</w:t>
      </w:r>
      <w:r w:rsidRPr="00152CBF">
        <w:rPr>
          <w:rFonts w:ascii="Verdana" w:eastAsia="Verdana" w:hAnsi="Verdana" w:cs="Verdana"/>
          <w:color w:val="000000"/>
          <w:spacing w:val="-2"/>
          <w:sz w:val="16"/>
          <w:szCs w:val="16"/>
          <w:lang w:val="es-MX"/>
        </w:rPr>
        <w:t>o</w:t>
      </w:r>
      <w:r w:rsidRPr="00152CBF">
        <w:rPr>
          <w:rFonts w:ascii="Verdana" w:eastAsia="Verdana" w:hAnsi="Verdana" w:cs="Verdana"/>
          <w:color w:val="000000"/>
          <w:sz w:val="16"/>
          <w:szCs w:val="16"/>
          <w:lang w:val="es-MX"/>
        </w:rPr>
        <w:t>r</w:t>
      </w:r>
      <w:r w:rsidRPr="00152CBF">
        <w:rPr>
          <w:rFonts w:ascii="Verdana" w:eastAsia="Verdana" w:hAnsi="Verdana" w:cs="Verdana"/>
          <w:color w:val="000000"/>
          <w:spacing w:val="2"/>
          <w:sz w:val="16"/>
          <w:szCs w:val="16"/>
          <w:lang w:val="es-MX"/>
        </w:rPr>
        <w:t xml:space="preserve"> </w:t>
      </w:r>
      <w:r w:rsidRPr="00152CBF">
        <w:rPr>
          <w:rFonts w:ascii="Verdana" w:eastAsia="Verdana" w:hAnsi="Verdana" w:cs="Verdana"/>
          <w:color w:val="000000"/>
          <w:spacing w:val="-1"/>
          <w:sz w:val="16"/>
          <w:szCs w:val="16"/>
          <w:lang w:val="es-MX"/>
        </w:rPr>
        <w:t>últi</w:t>
      </w:r>
      <w:r w:rsidRPr="00152CBF">
        <w:rPr>
          <w:rFonts w:ascii="Verdana" w:eastAsia="Verdana" w:hAnsi="Verdana" w:cs="Verdana"/>
          <w:color w:val="000000"/>
          <w:sz w:val="16"/>
          <w:szCs w:val="16"/>
          <w:lang w:val="es-MX"/>
        </w:rPr>
        <w:t xml:space="preserve">ma </w:t>
      </w:r>
      <w:r w:rsidRPr="00152CBF">
        <w:rPr>
          <w:rFonts w:ascii="Verdana" w:eastAsia="Verdana" w:hAnsi="Verdana" w:cs="Verdana"/>
          <w:color w:val="000000"/>
          <w:spacing w:val="-2"/>
          <w:sz w:val="16"/>
          <w:szCs w:val="16"/>
          <w:lang w:val="es-MX"/>
        </w:rPr>
        <w:t>v</w:t>
      </w:r>
      <w:r w:rsidRPr="00152CBF">
        <w:rPr>
          <w:rFonts w:ascii="Verdana" w:eastAsia="Verdana" w:hAnsi="Verdana" w:cs="Verdana"/>
          <w:color w:val="000000"/>
          <w:sz w:val="16"/>
          <w:szCs w:val="16"/>
          <w:lang w:val="es-MX"/>
        </w:rPr>
        <w:t>ez</w:t>
      </w:r>
      <w:r w:rsidRPr="00152CBF">
        <w:rPr>
          <w:rFonts w:ascii="Verdana" w:eastAsia="Verdana" w:hAnsi="Verdana" w:cs="Verdana"/>
          <w:color w:val="000000"/>
          <w:spacing w:val="1"/>
          <w:sz w:val="16"/>
          <w:szCs w:val="16"/>
          <w:lang w:val="es-MX"/>
        </w:rPr>
        <w:t xml:space="preserve"> </w:t>
      </w:r>
      <w:r w:rsidRPr="00152CBF">
        <w:rPr>
          <w:rFonts w:ascii="Verdana" w:eastAsia="Verdana" w:hAnsi="Verdana" w:cs="Verdana"/>
          <w:color w:val="000000"/>
          <w:sz w:val="16"/>
          <w:szCs w:val="16"/>
          <w:lang w:val="es-MX"/>
        </w:rPr>
        <w:t>el</w:t>
      </w:r>
      <w:r w:rsidRPr="00152CBF">
        <w:rPr>
          <w:rFonts w:ascii="Verdana" w:eastAsia="Verdana" w:hAnsi="Verdana" w:cs="Verdana"/>
          <w:color w:val="000000"/>
          <w:spacing w:val="1"/>
          <w:sz w:val="16"/>
          <w:szCs w:val="16"/>
          <w:lang w:val="es-MX"/>
        </w:rPr>
        <w:t xml:space="preserve"> </w:t>
      </w:r>
      <w:r w:rsidR="003050F2" w:rsidRPr="00370A9F">
        <w:rPr>
          <w:rFonts w:ascii="Verdana" w:eastAsia="Verdana" w:hAnsi="Verdana" w:cs="Verdana"/>
          <w:color w:val="000000"/>
          <w:spacing w:val="1"/>
          <w:sz w:val="16"/>
          <w:szCs w:val="16"/>
          <w:lang w:val="es-MX"/>
        </w:rPr>
        <w:t>5</w:t>
      </w:r>
      <w:r w:rsidRPr="00152CBF">
        <w:rPr>
          <w:rFonts w:ascii="Verdana" w:eastAsia="Verdana" w:hAnsi="Verdana" w:cs="Verdana"/>
          <w:color w:val="000000"/>
          <w:spacing w:val="1"/>
          <w:sz w:val="16"/>
          <w:szCs w:val="16"/>
          <w:lang w:val="es-MX"/>
        </w:rPr>
        <w:t xml:space="preserve"> de abril</w:t>
      </w:r>
      <w:r w:rsidRPr="00152CBF">
        <w:rPr>
          <w:rFonts w:ascii="Verdana" w:eastAsia="Verdana" w:hAnsi="Verdana" w:cs="Verdana"/>
          <w:color w:val="000000"/>
          <w:spacing w:val="-1"/>
          <w:sz w:val="16"/>
          <w:szCs w:val="16"/>
          <w:lang w:val="es-MX"/>
        </w:rPr>
        <w:t xml:space="preserve"> </w:t>
      </w:r>
      <w:r w:rsidRPr="00152CBF">
        <w:rPr>
          <w:rFonts w:ascii="Verdana" w:eastAsia="Verdana" w:hAnsi="Verdana" w:cs="Verdana"/>
          <w:color w:val="000000"/>
          <w:sz w:val="16"/>
          <w:szCs w:val="16"/>
          <w:lang w:val="es-MX"/>
        </w:rPr>
        <w:t>de</w:t>
      </w:r>
      <w:r w:rsidRPr="00152CBF">
        <w:rPr>
          <w:rFonts w:ascii="Verdana" w:eastAsia="Verdana" w:hAnsi="Verdana" w:cs="Verdana"/>
          <w:color w:val="000000"/>
          <w:spacing w:val="-1"/>
          <w:sz w:val="16"/>
          <w:szCs w:val="16"/>
          <w:lang w:val="es-MX"/>
        </w:rPr>
        <w:t xml:space="preserve"> 2022)</w:t>
      </w:r>
      <w:r w:rsidRPr="00152CBF">
        <w:rPr>
          <w:rFonts w:ascii="Verdana" w:eastAsia="Verdana" w:hAnsi="Verdana" w:cs="Verdana"/>
          <w:color w:val="000000"/>
          <w:sz w:val="16"/>
          <w:szCs w:val="16"/>
          <w:lang w:val="es-MX"/>
        </w:rPr>
        <w:t>.</w:t>
      </w:r>
      <w:r>
        <w:rPr>
          <w:rFonts w:ascii="Verdana" w:eastAsia="Verdana" w:hAnsi="Verdana" w:cs="Verdana"/>
          <w:color w:val="000000"/>
          <w:sz w:val="16"/>
          <w:szCs w:val="16"/>
          <w:lang w:val="es-MX"/>
        </w:rPr>
        <w:t xml:space="preserve"> </w:t>
      </w:r>
    </w:p>
  </w:footnote>
  <w:footnote w:id="8">
    <w:p w14:paraId="50A53D25" w14:textId="72594531" w:rsidR="00953C74" w:rsidRPr="00370A9F" w:rsidRDefault="00953C74" w:rsidP="00953C74">
      <w:pPr>
        <w:pStyle w:val="Textonotapie"/>
        <w:jc w:val="both"/>
        <w:rPr>
          <w:rFonts w:ascii="Verdana" w:hAnsi="Verdana"/>
          <w:b/>
          <w:bCs/>
          <w:sz w:val="16"/>
          <w:szCs w:val="16"/>
        </w:rPr>
      </w:pPr>
      <w:r>
        <w:rPr>
          <w:rStyle w:val="Refdenotaalpie"/>
        </w:rPr>
        <w:footnoteRef/>
      </w:r>
      <w:r>
        <w:t xml:space="preserve"> </w:t>
      </w:r>
      <w:r>
        <w:tab/>
      </w:r>
      <w:r>
        <w:rPr>
          <w:rFonts w:ascii="Verdana" w:hAnsi="Verdana"/>
          <w:sz w:val="16"/>
          <w:szCs w:val="16"/>
        </w:rPr>
        <w:t xml:space="preserve">El </w:t>
      </w:r>
      <w:r w:rsidRPr="00C9670C">
        <w:rPr>
          <w:rFonts w:ascii="Verdana" w:hAnsi="Verdana"/>
          <w:i/>
          <w:iCs/>
          <w:sz w:val="16"/>
          <w:szCs w:val="16"/>
        </w:rPr>
        <w:t>Estado</w:t>
      </w:r>
      <w:r>
        <w:rPr>
          <w:rFonts w:ascii="Verdana" w:hAnsi="Verdana"/>
          <w:sz w:val="16"/>
          <w:szCs w:val="16"/>
        </w:rPr>
        <w:t xml:space="preserve"> refirió que “</w:t>
      </w:r>
      <w:r w:rsidRPr="006D4A55">
        <w:rPr>
          <w:rFonts w:ascii="Verdana" w:hAnsi="Verdana"/>
          <w:sz w:val="16"/>
          <w:szCs w:val="16"/>
        </w:rPr>
        <w:t xml:space="preserve">mediante Resolución No. 5213 </w:t>
      </w:r>
      <w:r>
        <w:rPr>
          <w:rFonts w:ascii="Verdana" w:hAnsi="Verdana"/>
          <w:sz w:val="16"/>
          <w:szCs w:val="16"/>
        </w:rPr>
        <w:t xml:space="preserve">[de la </w:t>
      </w:r>
      <w:proofErr w:type="gramStart"/>
      <w:r>
        <w:rPr>
          <w:rFonts w:ascii="Verdana" w:hAnsi="Verdana"/>
          <w:sz w:val="16"/>
          <w:szCs w:val="16"/>
        </w:rPr>
        <w:t>Fiscalía General</w:t>
      </w:r>
      <w:proofErr w:type="gramEnd"/>
      <w:r>
        <w:rPr>
          <w:rFonts w:ascii="Verdana" w:hAnsi="Verdana"/>
          <w:sz w:val="16"/>
          <w:szCs w:val="16"/>
        </w:rPr>
        <w:t xml:space="preserve"> de la Nación] </w:t>
      </w:r>
      <w:r w:rsidRPr="006D4A55">
        <w:rPr>
          <w:rFonts w:ascii="Verdana" w:hAnsi="Verdana"/>
          <w:sz w:val="16"/>
          <w:szCs w:val="16"/>
        </w:rPr>
        <w:t>del 22 de noviembre de</w:t>
      </w:r>
      <w:r>
        <w:rPr>
          <w:rFonts w:ascii="Verdana" w:hAnsi="Verdana"/>
          <w:sz w:val="16"/>
          <w:szCs w:val="16"/>
        </w:rPr>
        <w:t xml:space="preserve"> </w:t>
      </w:r>
      <w:r w:rsidRPr="006D4A55">
        <w:rPr>
          <w:rFonts w:ascii="Verdana" w:hAnsi="Verdana"/>
          <w:sz w:val="16"/>
          <w:szCs w:val="16"/>
        </w:rPr>
        <w:t xml:space="preserve">2021, se dio cumplimiento a </w:t>
      </w:r>
      <w:r>
        <w:rPr>
          <w:rFonts w:ascii="Verdana" w:hAnsi="Verdana"/>
          <w:sz w:val="16"/>
          <w:szCs w:val="16"/>
        </w:rPr>
        <w:t>[</w:t>
      </w:r>
      <w:proofErr w:type="spellStart"/>
      <w:r>
        <w:rPr>
          <w:rFonts w:ascii="Verdana" w:hAnsi="Verdana"/>
          <w:sz w:val="16"/>
          <w:szCs w:val="16"/>
        </w:rPr>
        <w:t>est</w:t>
      </w:r>
      <w:proofErr w:type="spellEnd"/>
      <w:r>
        <w:rPr>
          <w:rFonts w:ascii="Verdana" w:hAnsi="Verdana"/>
          <w:sz w:val="16"/>
          <w:szCs w:val="16"/>
        </w:rPr>
        <w:t>]</w:t>
      </w:r>
      <w:r w:rsidRPr="006D4A55">
        <w:rPr>
          <w:rFonts w:ascii="Verdana" w:hAnsi="Verdana"/>
          <w:sz w:val="16"/>
          <w:szCs w:val="16"/>
        </w:rPr>
        <w:t xml:space="preserve">a </w:t>
      </w:r>
      <w:r>
        <w:rPr>
          <w:rFonts w:ascii="Verdana" w:hAnsi="Verdana"/>
          <w:sz w:val="16"/>
          <w:szCs w:val="16"/>
        </w:rPr>
        <w:t xml:space="preserve">[medida]” y aportó copia de dicha resolución, así como del respectivo comprobante de pago. </w:t>
      </w:r>
      <w:r>
        <w:rPr>
          <w:rFonts w:ascii="Verdana" w:hAnsi="Verdana"/>
          <w:i/>
          <w:iCs/>
          <w:sz w:val="16"/>
          <w:szCs w:val="16"/>
        </w:rPr>
        <w:t xml:space="preserve">Cfr. </w:t>
      </w:r>
      <w:r w:rsidRPr="006D4A55">
        <w:rPr>
          <w:rFonts w:ascii="Verdana" w:hAnsi="Verdana"/>
          <w:sz w:val="16"/>
          <w:szCs w:val="16"/>
        </w:rPr>
        <w:t>Resolución No. 5213 de 22 de noviembre de</w:t>
      </w:r>
      <w:r>
        <w:rPr>
          <w:rFonts w:ascii="Verdana" w:hAnsi="Verdana"/>
          <w:sz w:val="16"/>
          <w:szCs w:val="16"/>
        </w:rPr>
        <w:t xml:space="preserve"> </w:t>
      </w:r>
      <w:r w:rsidRPr="006D4A55">
        <w:rPr>
          <w:rFonts w:ascii="Verdana" w:hAnsi="Verdana"/>
          <w:sz w:val="16"/>
          <w:szCs w:val="16"/>
        </w:rPr>
        <w:t>2021</w:t>
      </w:r>
      <w:r>
        <w:rPr>
          <w:rFonts w:ascii="Verdana" w:hAnsi="Verdana"/>
          <w:sz w:val="16"/>
          <w:szCs w:val="16"/>
        </w:rPr>
        <w:t xml:space="preserve"> de la </w:t>
      </w:r>
      <w:proofErr w:type="gramStart"/>
      <w:r>
        <w:rPr>
          <w:rFonts w:ascii="Verdana" w:hAnsi="Verdana"/>
          <w:sz w:val="16"/>
          <w:szCs w:val="16"/>
        </w:rPr>
        <w:t>Fiscalía General</w:t>
      </w:r>
      <w:proofErr w:type="gramEnd"/>
      <w:r>
        <w:rPr>
          <w:rFonts w:ascii="Verdana" w:hAnsi="Verdana"/>
          <w:sz w:val="16"/>
          <w:szCs w:val="16"/>
        </w:rPr>
        <w:t xml:space="preserve"> de la Nación y Comprobante de pago de 25 de noviembre de 2021</w:t>
      </w:r>
      <w:r>
        <w:rPr>
          <w:rFonts w:ascii="Verdana" w:hAnsi="Verdana"/>
          <w:b/>
          <w:bCs/>
          <w:sz w:val="16"/>
          <w:szCs w:val="16"/>
        </w:rPr>
        <w:t xml:space="preserve"> </w:t>
      </w:r>
      <w:r>
        <w:rPr>
          <w:rFonts w:ascii="Verdana" w:hAnsi="Verdana"/>
          <w:sz w:val="16"/>
          <w:szCs w:val="16"/>
        </w:rPr>
        <w:t>(anexos al informe estatal de 14 de diciembre de 2021).</w:t>
      </w:r>
    </w:p>
  </w:footnote>
  <w:footnote w:id="9">
    <w:p w14:paraId="6E279CBD" w14:textId="4D15197E" w:rsidR="00953C74" w:rsidRPr="001808CA" w:rsidRDefault="00953C74" w:rsidP="00953C74">
      <w:pPr>
        <w:pStyle w:val="Textonotapie"/>
        <w:jc w:val="both"/>
        <w:rPr>
          <w:rFonts w:ascii="Verdana" w:hAnsi="Verdana"/>
          <w:sz w:val="16"/>
          <w:szCs w:val="16"/>
        </w:rPr>
      </w:pPr>
      <w:r w:rsidRPr="001808CA">
        <w:rPr>
          <w:rStyle w:val="Refdenotaalpie"/>
          <w:rFonts w:ascii="Verdana" w:hAnsi="Verdana"/>
          <w:sz w:val="16"/>
          <w:szCs w:val="16"/>
        </w:rPr>
        <w:footnoteRef/>
      </w:r>
      <w:r w:rsidRPr="001808CA">
        <w:rPr>
          <w:rFonts w:ascii="Verdana" w:hAnsi="Verdana"/>
          <w:sz w:val="16"/>
          <w:szCs w:val="16"/>
        </w:rPr>
        <w:t xml:space="preserve"> </w:t>
      </w:r>
      <w:r w:rsidRPr="001808CA">
        <w:rPr>
          <w:rFonts w:ascii="Verdana" w:hAnsi="Verdana"/>
          <w:sz w:val="16"/>
          <w:szCs w:val="16"/>
        </w:rPr>
        <w:tab/>
      </w:r>
      <w:r w:rsidR="00816780" w:rsidRPr="001808CA">
        <w:rPr>
          <w:rFonts w:ascii="Verdana" w:hAnsi="Verdana"/>
          <w:sz w:val="16"/>
          <w:szCs w:val="16"/>
          <w:lang w:val="es-ES"/>
        </w:rPr>
        <w:t>Los</w:t>
      </w:r>
      <w:r w:rsidRPr="001808CA">
        <w:rPr>
          <w:rFonts w:ascii="Verdana" w:hAnsi="Verdana"/>
          <w:sz w:val="16"/>
          <w:szCs w:val="16"/>
          <w:lang w:val="es-ES"/>
        </w:rPr>
        <w:t xml:space="preserve"> </w:t>
      </w:r>
      <w:r w:rsidRPr="001808CA">
        <w:rPr>
          <w:rFonts w:ascii="Verdana" w:hAnsi="Verdana"/>
          <w:i/>
          <w:iCs/>
          <w:sz w:val="16"/>
          <w:szCs w:val="16"/>
          <w:lang w:val="es-ES"/>
        </w:rPr>
        <w:t>representante</w:t>
      </w:r>
      <w:r w:rsidR="00816780" w:rsidRPr="001808CA">
        <w:rPr>
          <w:rFonts w:ascii="Verdana" w:hAnsi="Verdana"/>
          <w:i/>
          <w:iCs/>
          <w:sz w:val="16"/>
          <w:szCs w:val="16"/>
          <w:lang w:val="es-ES"/>
        </w:rPr>
        <w:t>s</w:t>
      </w:r>
      <w:r w:rsidRPr="001808CA">
        <w:rPr>
          <w:rFonts w:ascii="Verdana" w:hAnsi="Verdana" w:cs="Verdana"/>
          <w:sz w:val="16"/>
          <w:szCs w:val="16"/>
        </w:rPr>
        <w:t xml:space="preserve"> sostuv</w:t>
      </w:r>
      <w:r w:rsidR="00243828" w:rsidRPr="001808CA">
        <w:rPr>
          <w:rFonts w:ascii="Verdana" w:hAnsi="Verdana" w:cs="Verdana"/>
          <w:sz w:val="16"/>
          <w:szCs w:val="16"/>
        </w:rPr>
        <w:t>ieron</w:t>
      </w:r>
      <w:r w:rsidRPr="001808CA">
        <w:rPr>
          <w:rFonts w:ascii="Verdana" w:hAnsi="Verdana" w:cs="Verdana"/>
          <w:sz w:val="16"/>
          <w:szCs w:val="16"/>
        </w:rPr>
        <w:t xml:space="preserve"> que “</w:t>
      </w:r>
      <w:r w:rsidRPr="001808CA">
        <w:rPr>
          <w:rFonts w:ascii="Verdana" w:hAnsi="Verdana"/>
          <w:sz w:val="16"/>
          <w:szCs w:val="16"/>
        </w:rPr>
        <w:t xml:space="preserve">[d]e acuerdo a lo informado por la víctima, el pago se ha realizado efectivamente en su cuenta, </w:t>
      </w:r>
      <w:r w:rsidR="001808CA">
        <w:rPr>
          <w:rFonts w:ascii="Verdana" w:hAnsi="Verdana"/>
          <w:sz w:val="16"/>
          <w:szCs w:val="16"/>
        </w:rPr>
        <w:t>[…]</w:t>
      </w:r>
      <w:r w:rsidRPr="001808CA">
        <w:rPr>
          <w:rFonts w:ascii="Verdana" w:hAnsi="Verdana"/>
          <w:sz w:val="16"/>
          <w:szCs w:val="16"/>
        </w:rPr>
        <w:t xml:space="preserve">, correspondiendo al cumplimiento del punto resolutivo 10 sobre daño materia[l] e inmaterial” y consideró </w:t>
      </w:r>
      <w:proofErr w:type="gramStart"/>
      <w:r w:rsidRPr="001808CA">
        <w:rPr>
          <w:rFonts w:ascii="Verdana" w:hAnsi="Verdana"/>
          <w:sz w:val="16"/>
          <w:szCs w:val="16"/>
        </w:rPr>
        <w:t>que ”el</w:t>
      </w:r>
      <w:proofErr w:type="gramEnd"/>
      <w:r w:rsidRPr="001808CA">
        <w:rPr>
          <w:rFonts w:ascii="Verdana" w:hAnsi="Verdana"/>
          <w:sz w:val="16"/>
          <w:szCs w:val="16"/>
        </w:rPr>
        <w:t xml:space="preserve"> punto resolutivo 10 ha sido cumplido en su totalidad</w:t>
      </w:r>
      <w:r w:rsidRPr="001808CA">
        <w:rPr>
          <w:rFonts w:ascii="Verdana" w:hAnsi="Verdana" w:cs="Verdana"/>
          <w:sz w:val="16"/>
          <w:szCs w:val="16"/>
        </w:rPr>
        <w:t xml:space="preserve">”.  </w:t>
      </w:r>
      <w:r w:rsidRPr="001808CA">
        <w:rPr>
          <w:rFonts w:ascii="Verdana" w:hAnsi="Verdana" w:cs="Verdana"/>
          <w:i/>
          <w:iCs/>
          <w:sz w:val="16"/>
          <w:szCs w:val="16"/>
        </w:rPr>
        <w:t xml:space="preserve">Cfr. </w:t>
      </w:r>
      <w:r w:rsidRPr="001808CA">
        <w:rPr>
          <w:rFonts w:ascii="Verdana" w:hAnsi="Verdana" w:cs="Verdana"/>
          <w:sz w:val="16"/>
          <w:szCs w:val="16"/>
        </w:rPr>
        <w:t>Escrito de observaciones de 25 de febrero de 2022.</w:t>
      </w:r>
    </w:p>
  </w:footnote>
  <w:footnote w:id="10">
    <w:p w14:paraId="00B4F8DF" w14:textId="1AE8849E" w:rsidR="00953C74" w:rsidRPr="00BF7D11" w:rsidRDefault="00953C74" w:rsidP="00953C74">
      <w:pPr>
        <w:pStyle w:val="Textonotapie"/>
        <w:jc w:val="both"/>
        <w:rPr>
          <w:sz w:val="16"/>
          <w:szCs w:val="16"/>
        </w:rPr>
      </w:pPr>
      <w:r>
        <w:rPr>
          <w:rStyle w:val="Refdenotaalpie"/>
        </w:rPr>
        <w:footnoteRef/>
      </w:r>
      <w:r>
        <w:t xml:space="preserve"> </w:t>
      </w:r>
      <w:r>
        <w:tab/>
      </w:r>
      <w:r>
        <w:rPr>
          <w:rFonts w:ascii="Verdana" w:hAnsi="Verdana"/>
          <w:sz w:val="16"/>
          <w:szCs w:val="16"/>
          <w:lang w:val="es-AR"/>
        </w:rPr>
        <w:t>E</w:t>
      </w:r>
      <w:r w:rsidRPr="00CD3A47">
        <w:rPr>
          <w:rFonts w:ascii="Verdana" w:hAnsi="Verdana"/>
          <w:sz w:val="16"/>
          <w:szCs w:val="16"/>
          <w:lang w:val="es-AR"/>
        </w:rPr>
        <w:t xml:space="preserve">l </w:t>
      </w:r>
      <w:r w:rsidRPr="00C9670C">
        <w:rPr>
          <w:rFonts w:ascii="Verdana" w:hAnsi="Verdana"/>
          <w:i/>
          <w:iCs/>
          <w:sz w:val="16"/>
          <w:szCs w:val="16"/>
          <w:lang w:val="es-AR"/>
        </w:rPr>
        <w:t>Estado</w:t>
      </w:r>
      <w:r>
        <w:rPr>
          <w:rFonts w:ascii="Verdana" w:hAnsi="Verdana"/>
          <w:sz w:val="16"/>
          <w:szCs w:val="16"/>
          <w:lang w:val="es-AR"/>
        </w:rPr>
        <w:t xml:space="preserve"> informó que </w:t>
      </w:r>
      <w:r>
        <w:rPr>
          <w:rFonts w:ascii="Verdana" w:hAnsi="Verdana"/>
          <w:sz w:val="16"/>
          <w:szCs w:val="16"/>
        </w:rPr>
        <w:t xml:space="preserve">mediante </w:t>
      </w:r>
      <w:r w:rsidRPr="00CD3A47">
        <w:rPr>
          <w:rFonts w:ascii="Verdana" w:hAnsi="Verdana"/>
          <w:sz w:val="16"/>
          <w:szCs w:val="16"/>
        </w:rPr>
        <w:t>Resolución No. 5213 de 22 de noviembre de 2021</w:t>
      </w:r>
      <w:r>
        <w:rPr>
          <w:rFonts w:ascii="Verdana" w:hAnsi="Verdana"/>
          <w:sz w:val="16"/>
          <w:szCs w:val="16"/>
        </w:rPr>
        <w:t xml:space="preserve">, </w:t>
      </w:r>
      <w:r w:rsidRPr="00CD3A47">
        <w:rPr>
          <w:rFonts w:ascii="Verdana" w:hAnsi="Verdana"/>
          <w:sz w:val="16"/>
          <w:szCs w:val="16"/>
        </w:rPr>
        <w:t>procedió a liquidar</w:t>
      </w:r>
      <w:r>
        <w:rPr>
          <w:rFonts w:ascii="Verdana" w:hAnsi="Verdana"/>
          <w:sz w:val="16"/>
          <w:szCs w:val="16"/>
        </w:rPr>
        <w:t xml:space="preserve"> el monto por este concepto, siendo transferidos los correspondientes aportes a </w:t>
      </w:r>
      <w:r w:rsidRPr="00BF7D11">
        <w:rPr>
          <w:rFonts w:ascii="Verdana" w:hAnsi="Verdana"/>
          <w:sz w:val="16"/>
          <w:szCs w:val="16"/>
        </w:rPr>
        <w:t>COLPENSIONES (Administradora Colombiana de Pensiones)</w:t>
      </w:r>
      <w:r>
        <w:rPr>
          <w:rFonts w:ascii="Verdana" w:hAnsi="Verdana"/>
          <w:sz w:val="16"/>
          <w:szCs w:val="16"/>
        </w:rPr>
        <w:t xml:space="preserve">. </w:t>
      </w:r>
      <w:r>
        <w:rPr>
          <w:rFonts w:ascii="Verdana" w:hAnsi="Verdana"/>
          <w:i/>
          <w:iCs/>
          <w:sz w:val="16"/>
          <w:szCs w:val="16"/>
        </w:rPr>
        <w:t xml:space="preserve">Cfr. </w:t>
      </w:r>
      <w:r w:rsidRPr="006D4A55">
        <w:rPr>
          <w:rFonts w:ascii="Verdana" w:hAnsi="Verdana"/>
          <w:sz w:val="16"/>
          <w:szCs w:val="16"/>
        </w:rPr>
        <w:t>Resolución No. 5213 del 22 de noviembre de</w:t>
      </w:r>
      <w:r>
        <w:rPr>
          <w:rFonts w:ascii="Verdana" w:hAnsi="Verdana"/>
          <w:sz w:val="16"/>
          <w:szCs w:val="16"/>
        </w:rPr>
        <w:t xml:space="preserve"> </w:t>
      </w:r>
      <w:r w:rsidRPr="006D4A55">
        <w:rPr>
          <w:rFonts w:ascii="Verdana" w:hAnsi="Verdana"/>
          <w:sz w:val="16"/>
          <w:szCs w:val="16"/>
        </w:rPr>
        <w:t>2021</w:t>
      </w:r>
      <w:r>
        <w:rPr>
          <w:rFonts w:ascii="Verdana" w:hAnsi="Verdana"/>
          <w:sz w:val="16"/>
          <w:szCs w:val="16"/>
        </w:rPr>
        <w:t xml:space="preserve"> de la </w:t>
      </w:r>
      <w:proofErr w:type="gramStart"/>
      <w:r>
        <w:rPr>
          <w:rFonts w:ascii="Verdana" w:hAnsi="Verdana"/>
          <w:sz w:val="16"/>
          <w:szCs w:val="16"/>
        </w:rPr>
        <w:t>Fiscalía General</w:t>
      </w:r>
      <w:proofErr w:type="gramEnd"/>
      <w:r>
        <w:rPr>
          <w:rFonts w:ascii="Verdana" w:hAnsi="Verdana"/>
          <w:sz w:val="16"/>
          <w:szCs w:val="16"/>
        </w:rPr>
        <w:t xml:space="preserve"> de la Nación</w:t>
      </w:r>
      <w:r>
        <w:rPr>
          <w:rFonts w:ascii="Verdana" w:hAnsi="Verdana"/>
          <w:b/>
          <w:bCs/>
          <w:sz w:val="16"/>
          <w:szCs w:val="16"/>
        </w:rPr>
        <w:t xml:space="preserve"> </w:t>
      </w:r>
      <w:r>
        <w:rPr>
          <w:rFonts w:ascii="Verdana" w:hAnsi="Verdana"/>
          <w:sz w:val="16"/>
          <w:szCs w:val="16"/>
        </w:rPr>
        <w:t xml:space="preserve">(anexo al informe estatal de 14 de diciembre de 2021).  </w:t>
      </w:r>
    </w:p>
  </w:footnote>
  <w:footnote w:id="11">
    <w:p w14:paraId="39BC4061" w14:textId="338D43F7" w:rsidR="00953C74" w:rsidRPr="00EE308B" w:rsidRDefault="00953C74" w:rsidP="00953C74">
      <w:pPr>
        <w:pStyle w:val="Textonotapie"/>
        <w:jc w:val="both"/>
        <w:rPr>
          <w:rFonts w:ascii="Verdana" w:hAnsi="Verdana"/>
          <w:sz w:val="16"/>
          <w:szCs w:val="16"/>
        </w:rPr>
      </w:pPr>
      <w:r w:rsidRPr="00EE308B">
        <w:rPr>
          <w:rStyle w:val="Refdenotaalpie"/>
          <w:rFonts w:ascii="Verdana" w:hAnsi="Verdana"/>
          <w:sz w:val="16"/>
          <w:szCs w:val="16"/>
        </w:rPr>
        <w:footnoteRef/>
      </w:r>
      <w:r w:rsidRPr="00EE308B">
        <w:rPr>
          <w:rFonts w:ascii="Verdana" w:hAnsi="Verdana"/>
          <w:sz w:val="16"/>
          <w:szCs w:val="16"/>
        </w:rPr>
        <w:t xml:space="preserve"> </w:t>
      </w:r>
      <w:r w:rsidRPr="00EE308B">
        <w:rPr>
          <w:rFonts w:ascii="Verdana" w:hAnsi="Verdana"/>
          <w:sz w:val="16"/>
          <w:szCs w:val="16"/>
        </w:rPr>
        <w:tab/>
      </w:r>
      <w:r w:rsidR="00816780" w:rsidRPr="00EE308B">
        <w:rPr>
          <w:rFonts w:ascii="Verdana" w:hAnsi="Verdana"/>
          <w:sz w:val="16"/>
          <w:szCs w:val="16"/>
        </w:rPr>
        <w:t>Los</w:t>
      </w:r>
      <w:r w:rsidRPr="00EE308B">
        <w:rPr>
          <w:rFonts w:ascii="Verdana" w:hAnsi="Verdana"/>
          <w:sz w:val="16"/>
          <w:szCs w:val="16"/>
        </w:rPr>
        <w:t xml:space="preserve"> </w:t>
      </w:r>
      <w:r w:rsidRPr="00EE308B">
        <w:rPr>
          <w:rFonts w:ascii="Verdana" w:hAnsi="Verdana"/>
          <w:i/>
          <w:iCs/>
          <w:sz w:val="16"/>
          <w:szCs w:val="16"/>
        </w:rPr>
        <w:t>representante</w:t>
      </w:r>
      <w:r w:rsidR="00816780" w:rsidRPr="00EE308B">
        <w:rPr>
          <w:rFonts w:ascii="Verdana" w:hAnsi="Verdana"/>
          <w:i/>
          <w:iCs/>
          <w:sz w:val="16"/>
          <w:szCs w:val="16"/>
        </w:rPr>
        <w:t>s</w:t>
      </w:r>
      <w:r w:rsidRPr="00EE308B">
        <w:rPr>
          <w:rFonts w:ascii="Verdana" w:hAnsi="Verdana"/>
          <w:i/>
          <w:iCs/>
          <w:sz w:val="16"/>
          <w:szCs w:val="16"/>
        </w:rPr>
        <w:t xml:space="preserve"> </w:t>
      </w:r>
      <w:r w:rsidRPr="00EE308B">
        <w:rPr>
          <w:rFonts w:ascii="Verdana" w:hAnsi="Verdana"/>
          <w:sz w:val="16"/>
          <w:szCs w:val="16"/>
        </w:rPr>
        <w:t>afirm</w:t>
      </w:r>
      <w:r w:rsidR="00816780" w:rsidRPr="00EE308B">
        <w:rPr>
          <w:rFonts w:ascii="Verdana" w:hAnsi="Verdana"/>
          <w:sz w:val="16"/>
          <w:szCs w:val="16"/>
        </w:rPr>
        <w:t>aron</w:t>
      </w:r>
      <w:r w:rsidRPr="00EE308B">
        <w:rPr>
          <w:rFonts w:ascii="Verdana" w:hAnsi="Verdana"/>
          <w:sz w:val="16"/>
          <w:szCs w:val="16"/>
        </w:rPr>
        <w:t xml:space="preserve"> que “[d]e acuerdo a lo notificado por el Estado, se han realizado los aportes a la pensión de la víctima –COLPENSIONES- en conformidad con lo indicado en la sentencia de reparaciones y su interpretación […]Por lo tanto, y entendiendo que el Estado ha hecho las transferencias correspondientes a nivel interno de manera formal y oficial, considera[n] de buena fe que el punto resolutivo se cumplirá”. </w:t>
      </w:r>
      <w:r w:rsidRPr="00EE308B">
        <w:rPr>
          <w:rFonts w:ascii="Verdana" w:hAnsi="Verdana"/>
          <w:i/>
          <w:iCs/>
          <w:sz w:val="16"/>
          <w:szCs w:val="16"/>
        </w:rPr>
        <w:t xml:space="preserve">Cfr. </w:t>
      </w:r>
      <w:r w:rsidRPr="00EE308B">
        <w:rPr>
          <w:rFonts w:ascii="Verdana" w:hAnsi="Verdana"/>
          <w:sz w:val="16"/>
          <w:szCs w:val="16"/>
        </w:rPr>
        <w:t>Escrito de observaciones de 25 febrero de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EA6F0" w14:textId="6EDD0B52" w:rsidR="00F70A84" w:rsidRDefault="00F70A8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F5A7A" w14:textId="6FDFC17B" w:rsidR="00F70A84" w:rsidRPr="000D5C03" w:rsidRDefault="00F70A84" w:rsidP="00A97521">
    <w:pPr>
      <w:pStyle w:val="Encabezado"/>
      <w:jc w:val="right"/>
      <w:rPr>
        <w:rFonts w:ascii="Verdana" w:hAnsi="Verdana"/>
        <w:b/>
        <w:bCs/>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6E47" w14:textId="28A57743" w:rsidR="00F70A84" w:rsidRDefault="00F70A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BEF"/>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 w15:restartNumberingAfterBreak="0">
    <w:nsid w:val="079225B6"/>
    <w:multiLevelType w:val="hybridMultilevel"/>
    <w:tmpl w:val="0C94E966"/>
    <w:lvl w:ilvl="0" w:tplc="2BC22E4A">
      <w:start w:val="1"/>
      <w:numFmt w:val="decimal"/>
      <w:lvlText w:val="%1."/>
      <w:lvlJc w:val="left"/>
      <w:pPr>
        <w:ind w:left="1211"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9DA3413"/>
    <w:multiLevelType w:val="hybridMultilevel"/>
    <w:tmpl w:val="9446B23E"/>
    <w:lvl w:ilvl="0" w:tplc="5C92A2F2">
      <w:start w:val="1"/>
      <w:numFmt w:val="lowerLetter"/>
      <w:lvlText w:val="%1)"/>
      <w:lvlJc w:val="left"/>
      <w:pPr>
        <w:ind w:left="720" w:hanging="360"/>
      </w:pPr>
      <w:rPr>
        <w:rFonts w:eastAsiaTheme="minorHAnsi" w:cs="Calibr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A77285B"/>
    <w:multiLevelType w:val="hybridMultilevel"/>
    <w:tmpl w:val="14EAB56A"/>
    <w:lvl w:ilvl="0" w:tplc="26A040A2">
      <w:start w:val="1"/>
      <w:numFmt w:val="lowerLetter"/>
      <w:lvlText w:val="%1)"/>
      <w:lvlJc w:val="left"/>
      <w:pPr>
        <w:ind w:left="720" w:hanging="360"/>
      </w:pPr>
      <w:rPr>
        <w:b w:val="0"/>
        <w:sz w:val="19"/>
        <w:szCs w:val="19"/>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D68004E"/>
    <w:multiLevelType w:val="hybridMultilevel"/>
    <w:tmpl w:val="258483C0"/>
    <w:lvl w:ilvl="0" w:tplc="8E304BC4">
      <w:start w:val="1"/>
      <w:numFmt w:val="low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5" w15:restartNumberingAfterBreak="0">
    <w:nsid w:val="0F266062"/>
    <w:multiLevelType w:val="hybridMultilevel"/>
    <w:tmpl w:val="2AAC7FFC"/>
    <w:lvl w:ilvl="0" w:tplc="5C964E14">
      <w:start w:val="1"/>
      <w:numFmt w:val="lowerRoman"/>
      <w:lvlText w:val="%1)"/>
      <w:lvlJc w:val="left"/>
      <w:pPr>
        <w:ind w:left="1080" w:hanging="72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12AE41B6"/>
    <w:multiLevelType w:val="hybridMultilevel"/>
    <w:tmpl w:val="12CA46B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43162D7"/>
    <w:multiLevelType w:val="hybridMultilevel"/>
    <w:tmpl w:val="E5EAEB62"/>
    <w:lvl w:ilvl="0" w:tplc="C80E681E">
      <w:start w:val="1"/>
      <w:numFmt w:val="upp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82E6234"/>
    <w:multiLevelType w:val="hybridMultilevel"/>
    <w:tmpl w:val="42869EE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94E698D"/>
    <w:multiLevelType w:val="hybridMultilevel"/>
    <w:tmpl w:val="CA70AB2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1185F3C"/>
    <w:multiLevelType w:val="hybridMultilevel"/>
    <w:tmpl w:val="FBEE6E1C"/>
    <w:lvl w:ilvl="0" w:tplc="C42EAADE">
      <w:start w:val="1"/>
      <w:numFmt w:val="decimal"/>
      <w:lvlText w:val="%1."/>
      <w:lvlJc w:val="left"/>
      <w:pPr>
        <w:ind w:left="360" w:hanging="360"/>
      </w:pPr>
      <w:rPr>
        <w:rFonts w:hint="default"/>
        <w:b w:val="0"/>
        <w:i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28169A8"/>
    <w:multiLevelType w:val="hybridMultilevel"/>
    <w:tmpl w:val="2F74FBE0"/>
    <w:lvl w:ilvl="0" w:tplc="F484010A">
      <w:start w:val="1"/>
      <w:numFmt w:val="lowerRoman"/>
      <w:lvlText w:val="(%1)"/>
      <w:lvlJc w:val="left"/>
      <w:pPr>
        <w:ind w:left="720" w:hanging="360"/>
      </w:pPr>
      <w:rPr>
        <w:rFonts w:eastAsiaTheme="minorHAnsi" w:cs="Calibri"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89D40D0"/>
    <w:multiLevelType w:val="hybridMultilevel"/>
    <w:tmpl w:val="3134FC26"/>
    <w:lvl w:ilvl="0" w:tplc="E296564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A373F4A"/>
    <w:multiLevelType w:val="hybridMultilevel"/>
    <w:tmpl w:val="D780D138"/>
    <w:lvl w:ilvl="0" w:tplc="19AAF962">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4" w15:restartNumberingAfterBreak="0">
    <w:nsid w:val="2E9B1B9E"/>
    <w:multiLevelType w:val="hybridMultilevel"/>
    <w:tmpl w:val="68E0D99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075352E"/>
    <w:multiLevelType w:val="hybridMultilevel"/>
    <w:tmpl w:val="CB307D92"/>
    <w:lvl w:ilvl="0" w:tplc="EA36A9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7B12FA"/>
    <w:multiLevelType w:val="hybridMultilevel"/>
    <w:tmpl w:val="4DEE082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7" w15:restartNumberingAfterBreak="0">
    <w:nsid w:val="324B21DE"/>
    <w:multiLevelType w:val="hybridMultilevel"/>
    <w:tmpl w:val="F7B8FE0C"/>
    <w:lvl w:ilvl="0" w:tplc="8D3823B6">
      <w:start w:val="1"/>
      <w:numFmt w:val="decimal"/>
      <w:lvlText w:val="%1."/>
      <w:lvlJc w:val="center"/>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D800511"/>
    <w:multiLevelType w:val="hybridMultilevel"/>
    <w:tmpl w:val="BF8C01C0"/>
    <w:lvl w:ilvl="0" w:tplc="75D03326">
      <w:start w:val="1"/>
      <w:numFmt w:val="lowerLetter"/>
      <w:lvlText w:val="%1)"/>
      <w:lvlJc w:val="left"/>
      <w:pPr>
        <w:ind w:left="720" w:hanging="360"/>
      </w:pPr>
      <w:rPr>
        <w:sz w:val="19"/>
        <w:szCs w:val="19"/>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19115D4"/>
    <w:multiLevelType w:val="hybridMultilevel"/>
    <w:tmpl w:val="54EC6AC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3124C99"/>
    <w:multiLevelType w:val="hybridMultilevel"/>
    <w:tmpl w:val="92CE6B3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3962092"/>
    <w:multiLevelType w:val="hybridMultilevel"/>
    <w:tmpl w:val="D136C552"/>
    <w:lvl w:ilvl="0" w:tplc="5C964E1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8343497"/>
    <w:multiLevelType w:val="hybridMultilevel"/>
    <w:tmpl w:val="0658D498"/>
    <w:lvl w:ilvl="0" w:tplc="D02A88A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97F5E2B"/>
    <w:multiLevelType w:val="hybridMultilevel"/>
    <w:tmpl w:val="B4E8C2D6"/>
    <w:lvl w:ilvl="0" w:tplc="1DD0F9B6">
      <w:start w:val="1"/>
      <w:numFmt w:val="decimal"/>
      <w:lvlText w:val="%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B3450A0"/>
    <w:multiLevelType w:val="hybridMultilevel"/>
    <w:tmpl w:val="2116BEC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D550C3D"/>
    <w:multiLevelType w:val="hybridMultilevel"/>
    <w:tmpl w:val="6B761196"/>
    <w:lvl w:ilvl="0" w:tplc="73AE4932">
      <w:start w:val="1"/>
      <w:numFmt w:val="lowerLetter"/>
      <w:lvlText w:val="%1)"/>
      <w:lvlJc w:val="left"/>
      <w:pPr>
        <w:ind w:left="435" w:hanging="360"/>
      </w:pPr>
      <w:rPr>
        <w:rFonts w:hint="default"/>
      </w:rPr>
    </w:lvl>
    <w:lvl w:ilvl="1" w:tplc="140A0019" w:tentative="1">
      <w:start w:val="1"/>
      <w:numFmt w:val="lowerLetter"/>
      <w:lvlText w:val="%2."/>
      <w:lvlJc w:val="left"/>
      <w:pPr>
        <w:ind w:left="1155" w:hanging="360"/>
      </w:pPr>
    </w:lvl>
    <w:lvl w:ilvl="2" w:tplc="140A001B" w:tentative="1">
      <w:start w:val="1"/>
      <w:numFmt w:val="lowerRoman"/>
      <w:lvlText w:val="%3."/>
      <w:lvlJc w:val="right"/>
      <w:pPr>
        <w:ind w:left="1875" w:hanging="180"/>
      </w:pPr>
    </w:lvl>
    <w:lvl w:ilvl="3" w:tplc="140A000F" w:tentative="1">
      <w:start w:val="1"/>
      <w:numFmt w:val="decimal"/>
      <w:lvlText w:val="%4."/>
      <w:lvlJc w:val="left"/>
      <w:pPr>
        <w:ind w:left="2595" w:hanging="360"/>
      </w:pPr>
    </w:lvl>
    <w:lvl w:ilvl="4" w:tplc="140A0019" w:tentative="1">
      <w:start w:val="1"/>
      <w:numFmt w:val="lowerLetter"/>
      <w:lvlText w:val="%5."/>
      <w:lvlJc w:val="left"/>
      <w:pPr>
        <w:ind w:left="3315" w:hanging="360"/>
      </w:pPr>
    </w:lvl>
    <w:lvl w:ilvl="5" w:tplc="140A001B" w:tentative="1">
      <w:start w:val="1"/>
      <w:numFmt w:val="lowerRoman"/>
      <w:lvlText w:val="%6."/>
      <w:lvlJc w:val="right"/>
      <w:pPr>
        <w:ind w:left="4035" w:hanging="180"/>
      </w:pPr>
    </w:lvl>
    <w:lvl w:ilvl="6" w:tplc="140A000F" w:tentative="1">
      <w:start w:val="1"/>
      <w:numFmt w:val="decimal"/>
      <w:lvlText w:val="%7."/>
      <w:lvlJc w:val="left"/>
      <w:pPr>
        <w:ind w:left="4755" w:hanging="360"/>
      </w:pPr>
    </w:lvl>
    <w:lvl w:ilvl="7" w:tplc="140A0019" w:tentative="1">
      <w:start w:val="1"/>
      <w:numFmt w:val="lowerLetter"/>
      <w:lvlText w:val="%8."/>
      <w:lvlJc w:val="left"/>
      <w:pPr>
        <w:ind w:left="5475" w:hanging="360"/>
      </w:pPr>
    </w:lvl>
    <w:lvl w:ilvl="8" w:tplc="140A001B" w:tentative="1">
      <w:start w:val="1"/>
      <w:numFmt w:val="lowerRoman"/>
      <w:lvlText w:val="%9."/>
      <w:lvlJc w:val="right"/>
      <w:pPr>
        <w:ind w:left="6195" w:hanging="180"/>
      </w:pPr>
    </w:lvl>
  </w:abstractNum>
  <w:abstractNum w:abstractNumId="26" w15:restartNumberingAfterBreak="0">
    <w:nsid w:val="4E5E3430"/>
    <w:multiLevelType w:val="hybridMultilevel"/>
    <w:tmpl w:val="12CA46B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E874510"/>
    <w:multiLevelType w:val="hybridMultilevel"/>
    <w:tmpl w:val="2EE8D32E"/>
    <w:lvl w:ilvl="0" w:tplc="F484010A">
      <w:start w:val="1"/>
      <w:numFmt w:val="lowerRoman"/>
      <w:lvlText w:val="(%1)"/>
      <w:lvlJc w:val="left"/>
      <w:pPr>
        <w:ind w:left="1440" w:hanging="1080"/>
      </w:pPr>
      <w:rPr>
        <w:rFonts w:eastAsiaTheme="minorHAnsi" w:cs="Calibri"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E9909EF"/>
    <w:multiLevelType w:val="hybridMultilevel"/>
    <w:tmpl w:val="A3569E9E"/>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5770552"/>
    <w:multiLevelType w:val="hybridMultilevel"/>
    <w:tmpl w:val="3E769782"/>
    <w:lvl w:ilvl="0" w:tplc="4D6A43E6">
      <w:start w:val="1"/>
      <w:numFmt w:val="bullet"/>
      <w:lvlText w:val="-"/>
      <w:lvlJc w:val="left"/>
      <w:pPr>
        <w:ind w:left="720" w:hanging="360"/>
      </w:pPr>
      <w:rPr>
        <w:rFonts w:ascii="Verdana" w:eastAsia="Times New Roman" w:hAnsi="Verdana"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74E1079"/>
    <w:multiLevelType w:val="hybridMultilevel"/>
    <w:tmpl w:val="D01E98F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B5E7B83"/>
    <w:multiLevelType w:val="hybridMultilevel"/>
    <w:tmpl w:val="7236EC92"/>
    <w:lvl w:ilvl="0" w:tplc="95AA2276">
      <w:start w:val="1"/>
      <w:numFmt w:val="upperRoman"/>
      <w:lvlText w:val="%1."/>
      <w:lvlJc w:val="left"/>
      <w:pPr>
        <w:ind w:left="1800" w:hanging="72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2" w15:restartNumberingAfterBreak="0">
    <w:nsid w:val="5D2065B4"/>
    <w:multiLevelType w:val="hybridMultilevel"/>
    <w:tmpl w:val="C6C86EFE"/>
    <w:lvl w:ilvl="0" w:tplc="5C964E1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60557346"/>
    <w:multiLevelType w:val="hybridMultilevel"/>
    <w:tmpl w:val="12CA46B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1F71744"/>
    <w:multiLevelType w:val="hybridMultilevel"/>
    <w:tmpl w:val="6A0A8BC2"/>
    <w:lvl w:ilvl="0" w:tplc="71D0C580">
      <w:start w:val="1"/>
      <w:numFmt w:val="decimal"/>
      <w:lvlText w:val="%1."/>
      <w:lvlJc w:val="left"/>
      <w:pPr>
        <w:ind w:left="720" w:hanging="360"/>
      </w:pPr>
      <w:rPr>
        <w:rFonts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878155E"/>
    <w:multiLevelType w:val="hybridMultilevel"/>
    <w:tmpl w:val="C3B461CC"/>
    <w:lvl w:ilvl="0" w:tplc="4800A362">
      <w:start w:val="1"/>
      <w:numFmt w:val="decimal"/>
      <w:lvlText w:val="%1."/>
      <w:lvlJc w:val="left"/>
      <w:pPr>
        <w:ind w:left="100" w:hanging="720"/>
      </w:pPr>
      <w:rPr>
        <w:rFonts w:ascii="Verdana" w:eastAsia="Verdana" w:hAnsi="Verdana" w:cs="Verdana" w:hint="default"/>
        <w:w w:val="99"/>
        <w:sz w:val="20"/>
        <w:szCs w:val="20"/>
        <w:lang w:val="es-ES" w:eastAsia="en-US" w:bidi="ar-SA"/>
      </w:rPr>
    </w:lvl>
    <w:lvl w:ilvl="1" w:tplc="4E36D37A">
      <w:start w:val="1"/>
      <w:numFmt w:val="upperLetter"/>
      <w:lvlText w:val="%2."/>
      <w:lvlJc w:val="left"/>
      <w:pPr>
        <w:ind w:left="808" w:hanging="425"/>
      </w:pPr>
      <w:rPr>
        <w:rFonts w:ascii="Verdana" w:eastAsia="Verdana" w:hAnsi="Verdana" w:cs="Verdana" w:hint="default"/>
        <w:i/>
        <w:iCs/>
        <w:spacing w:val="-1"/>
        <w:w w:val="100"/>
        <w:sz w:val="18"/>
        <w:szCs w:val="18"/>
        <w:lang w:val="es-ES" w:eastAsia="en-US" w:bidi="ar-SA"/>
      </w:rPr>
    </w:lvl>
    <w:lvl w:ilvl="2" w:tplc="AE0EFA8A">
      <w:numFmt w:val="bullet"/>
      <w:lvlText w:val="•"/>
      <w:lvlJc w:val="left"/>
      <w:pPr>
        <w:ind w:left="1775" w:hanging="425"/>
      </w:pPr>
      <w:rPr>
        <w:rFonts w:hint="default"/>
        <w:lang w:val="es-ES" w:eastAsia="en-US" w:bidi="ar-SA"/>
      </w:rPr>
    </w:lvl>
    <w:lvl w:ilvl="3" w:tplc="36081EF8">
      <w:numFmt w:val="bullet"/>
      <w:lvlText w:val="•"/>
      <w:lvlJc w:val="left"/>
      <w:pPr>
        <w:ind w:left="2751" w:hanging="425"/>
      </w:pPr>
      <w:rPr>
        <w:rFonts w:hint="default"/>
        <w:lang w:val="es-ES" w:eastAsia="en-US" w:bidi="ar-SA"/>
      </w:rPr>
    </w:lvl>
    <w:lvl w:ilvl="4" w:tplc="758E6B9A">
      <w:numFmt w:val="bullet"/>
      <w:lvlText w:val="•"/>
      <w:lvlJc w:val="left"/>
      <w:pPr>
        <w:ind w:left="3726" w:hanging="425"/>
      </w:pPr>
      <w:rPr>
        <w:rFonts w:hint="default"/>
        <w:lang w:val="es-ES" w:eastAsia="en-US" w:bidi="ar-SA"/>
      </w:rPr>
    </w:lvl>
    <w:lvl w:ilvl="5" w:tplc="8D162F10">
      <w:numFmt w:val="bullet"/>
      <w:lvlText w:val="•"/>
      <w:lvlJc w:val="left"/>
      <w:pPr>
        <w:ind w:left="4702" w:hanging="425"/>
      </w:pPr>
      <w:rPr>
        <w:rFonts w:hint="default"/>
        <w:lang w:val="es-ES" w:eastAsia="en-US" w:bidi="ar-SA"/>
      </w:rPr>
    </w:lvl>
    <w:lvl w:ilvl="6" w:tplc="D5F6C5C8">
      <w:numFmt w:val="bullet"/>
      <w:lvlText w:val="•"/>
      <w:lvlJc w:val="left"/>
      <w:pPr>
        <w:ind w:left="5677" w:hanging="425"/>
      </w:pPr>
      <w:rPr>
        <w:rFonts w:hint="default"/>
        <w:lang w:val="es-ES" w:eastAsia="en-US" w:bidi="ar-SA"/>
      </w:rPr>
    </w:lvl>
    <w:lvl w:ilvl="7" w:tplc="0394AEE4">
      <w:numFmt w:val="bullet"/>
      <w:lvlText w:val="•"/>
      <w:lvlJc w:val="left"/>
      <w:pPr>
        <w:ind w:left="6653" w:hanging="425"/>
      </w:pPr>
      <w:rPr>
        <w:rFonts w:hint="default"/>
        <w:lang w:val="es-ES" w:eastAsia="en-US" w:bidi="ar-SA"/>
      </w:rPr>
    </w:lvl>
    <w:lvl w:ilvl="8" w:tplc="FCBC7816">
      <w:numFmt w:val="bullet"/>
      <w:lvlText w:val="•"/>
      <w:lvlJc w:val="left"/>
      <w:pPr>
        <w:ind w:left="7628" w:hanging="425"/>
      </w:pPr>
      <w:rPr>
        <w:rFonts w:hint="default"/>
        <w:lang w:val="es-ES" w:eastAsia="en-US" w:bidi="ar-SA"/>
      </w:rPr>
    </w:lvl>
  </w:abstractNum>
  <w:abstractNum w:abstractNumId="36" w15:restartNumberingAfterBreak="0">
    <w:nsid w:val="68D44DEC"/>
    <w:multiLevelType w:val="hybridMultilevel"/>
    <w:tmpl w:val="12CA46B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63E79CD"/>
    <w:multiLevelType w:val="hybridMultilevel"/>
    <w:tmpl w:val="B7B048E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76753A80"/>
    <w:multiLevelType w:val="hybridMultilevel"/>
    <w:tmpl w:val="D0A6F9AA"/>
    <w:lvl w:ilvl="0" w:tplc="B37AF7BC">
      <w:start w:val="1"/>
      <w:numFmt w:val="decimal"/>
      <w:lvlText w:val="%1."/>
      <w:lvlJc w:val="left"/>
      <w:pPr>
        <w:ind w:left="0" w:firstLine="0"/>
      </w:pPr>
      <w:rPr>
        <w:rFonts w:ascii="Verdana" w:hAnsi="Verdana" w:hint="default"/>
        <w:b w:val="0"/>
        <w:i w:val="0"/>
        <w:sz w:val="20"/>
        <w:szCs w:val="20"/>
      </w:rPr>
    </w:lvl>
    <w:lvl w:ilvl="1" w:tplc="080A0019">
      <w:start w:val="1"/>
      <w:numFmt w:val="lowerLetter"/>
      <w:lvlText w:val="%2."/>
      <w:lvlJc w:val="left"/>
      <w:pPr>
        <w:ind w:left="1298" w:hanging="360"/>
      </w:pPr>
      <w:rPr>
        <w:rFonts w:hint="default"/>
      </w:rPr>
    </w:lvl>
    <w:lvl w:ilvl="2" w:tplc="080A001B">
      <w:start w:val="1"/>
      <w:numFmt w:val="lowerRoman"/>
      <w:lvlText w:val="%3."/>
      <w:lvlJc w:val="right"/>
      <w:pPr>
        <w:ind w:left="2018" w:hanging="180"/>
      </w:pPr>
    </w:lvl>
    <w:lvl w:ilvl="3" w:tplc="080A000F" w:tentative="1">
      <w:start w:val="1"/>
      <w:numFmt w:val="decimal"/>
      <w:lvlText w:val="%4."/>
      <w:lvlJc w:val="left"/>
      <w:pPr>
        <w:ind w:left="2738" w:hanging="360"/>
      </w:pPr>
    </w:lvl>
    <w:lvl w:ilvl="4" w:tplc="080A0019" w:tentative="1">
      <w:start w:val="1"/>
      <w:numFmt w:val="lowerLetter"/>
      <w:lvlText w:val="%5."/>
      <w:lvlJc w:val="left"/>
      <w:pPr>
        <w:ind w:left="3458" w:hanging="360"/>
      </w:pPr>
    </w:lvl>
    <w:lvl w:ilvl="5" w:tplc="080A001B" w:tentative="1">
      <w:start w:val="1"/>
      <w:numFmt w:val="lowerRoman"/>
      <w:lvlText w:val="%6."/>
      <w:lvlJc w:val="right"/>
      <w:pPr>
        <w:ind w:left="4178" w:hanging="180"/>
      </w:pPr>
    </w:lvl>
    <w:lvl w:ilvl="6" w:tplc="080A000F" w:tentative="1">
      <w:start w:val="1"/>
      <w:numFmt w:val="decimal"/>
      <w:lvlText w:val="%7."/>
      <w:lvlJc w:val="left"/>
      <w:pPr>
        <w:ind w:left="4898" w:hanging="360"/>
      </w:pPr>
    </w:lvl>
    <w:lvl w:ilvl="7" w:tplc="080A0019" w:tentative="1">
      <w:start w:val="1"/>
      <w:numFmt w:val="lowerLetter"/>
      <w:lvlText w:val="%8."/>
      <w:lvlJc w:val="left"/>
      <w:pPr>
        <w:ind w:left="5618" w:hanging="360"/>
      </w:pPr>
    </w:lvl>
    <w:lvl w:ilvl="8" w:tplc="080A001B" w:tentative="1">
      <w:start w:val="1"/>
      <w:numFmt w:val="lowerRoman"/>
      <w:lvlText w:val="%9."/>
      <w:lvlJc w:val="right"/>
      <w:pPr>
        <w:ind w:left="6338" w:hanging="180"/>
      </w:pPr>
    </w:lvl>
  </w:abstractNum>
  <w:abstractNum w:abstractNumId="39" w15:restartNumberingAfterBreak="0">
    <w:nsid w:val="78D422CF"/>
    <w:multiLevelType w:val="hybridMultilevel"/>
    <w:tmpl w:val="27766658"/>
    <w:lvl w:ilvl="0" w:tplc="8D3823B6">
      <w:start w:val="1"/>
      <w:numFmt w:val="decimal"/>
      <w:lvlText w:val="%1."/>
      <w:lvlJc w:val="center"/>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BC626CD"/>
    <w:multiLevelType w:val="hybridMultilevel"/>
    <w:tmpl w:val="15887A02"/>
    <w:lvl w:ilvl="0" w:tplc="E296564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DF57C3C"/>
    <w:multiLevelType w:val="hybridMultilevel"/>
    <w:tmpl w:val="E28A5E7C"/>
    <w:lvl w:ilvl="0" w:tplc="F302286A">
      <w:start w:val="75"/>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960645517">
    <w:abstractNumId w:val="16"/>
  </w:num>
  <w:num w:numId="2" w16cid:durableId="1878271814">
    <w:abstractNumId w:val="34"/>
  </w:num>
  <w:num w:numId="3" w16cid:durableId="1127430850">
    <w:abstractNumId w:val="16"/>
  </w:num>
  <w:num w:numId="4" w16cid:durableId="1215047445">
    <w:abstractNumId w:val="1"/>
  </w:num>
  <w:num w:numId="5" w16cid:durableId="36899925">
    <w:abstractNumId w:val="15"/>
  </w:num>
  <w:num w:numId="6" w16cid:durableId="1561818020">
    <w:abstractNumId w:val="28"/>
  </w:num>
  <w:num w:numId="7" w16cid:durableId="2145854674">
    <w:abstractNumId w:val="25"/>
  </w:num>
  <w:num w:numId="8" w16cid:durableId="1983339857">
    <w:abstractNumId w:val="2"/>
  </w:num>
  <w:num w:numId="9" w16cid:durableId="1211768676">
    <w:abstractNumId w:val="9"/>
  </w:num>
  <w:num w:numId="10" w16cid:durableId="1378313232">
    <w:abstractNumId w:val="22"/>
  </w:num>
  <w:num w:numId="11" w16cid:durableId="1867133835">
    <w:abstractNumId w:val="31"/>
  </w:num>
  <w:num w:numId="12" w16cid:durableId="1942956920">
    <w:abstractNumId w:val="7"/>
  </w:num>
  <w:num w:numId="13" w16cid:durableId="752320049">
    <w:abstractNumId w:val="27"/>
  </w:num>
  <w:num w:numId="14" w16cid:durableId="504059408">
    <w:abstractNumId w:val="24"/>
  </w:num>
  <w:num w:numId="15" w16cid:durableId="403724381">
    <w:abstractNumId w:val="12"/>
  </w:num>
  <w:num w:numId="16" w16cid:durableId="1808888126">
    <w:abstractNumId w:val="40"/>
  </w:num>
  <w:num w:numId="17" w16cid:durableId="916944220">
    <w:abstractNumId w:val="38"/>
  </w:num>
  <w:num w:numId="18" w16cid:durableId="283467200">
    <w:abstractNumId w:val="41"/>
  </w:num>
  <w:num w:numId="19" w16cid:durableId="163984160">
    <w:abstractNumId w:val="29"/>
  </w:num>
  <w:num w:numId="20" w16cid:durableId="713429820">
    <w:abstractNumId w:val="21"/>
  </w:num>
  <w:num w:numId="21" w16cid:durableId="5635616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00413360">
    <w:abstractNumId w:val="5"/>
  </w:num>
  <w:num w:numId="23" w16cid:durableId="233904927">
    <w:abstractNumId w:val="5"/>
  </w:num>
  <w:num w:numId="24" w16cid:durableId="1520775101">
    <w:abstractNumId w:val="23"/>
  </w:num>
  <w:num w:numId="25" w16cid:durableId="973097136">
    <w:abstractNumId w:val="14"/>
  </w:num>
  <w:num w:numId="26" w16cid:durableId="1973712563">
    <w:abstractNumId w:val="32"/>
  </w:num>
  <w:num w:numId="27" w16cid:durableId="1132141284">
    <w:abstractNumId w:val="19"/>
  </w:num>
  <w:num w:numId="28" w16cid:durableId="1691951324">
    <w:abstractNumId w:val="3"/>
  </w:num>
  <w:num w:numId="29" w16cid:durableId="1557012063">
    <w:abstractNumId w:val="8"/>
  </w:num>
  <w:num w:numId="30" w16cid:durableId="116487527">
    <w:abstractNumId w:val="18"/>
  </w:num>
  <w:num w:numId="31" w16cid:durableId="771440283">
    <w:abstractNumId w:val="37"/>
  </w:num>
  <w:num w:numId="32" w16cid:durableId="1418821403">
    <w:abstractNumId w:val="13"/>
  </w:num>
  <w:num w:numId="33" w16cid:durableId="1423838407">
    <w:abstractNumId w:val="6"/>
  </w:num>
  <w:num w:numId="34" w16cid:durableId="534120802">
    <w:abstractNumId w:val="10"/>
  </w:num>
  <w:num w:numId="35" w16cid:durableId="912399911">
    <w:abstractNumId w:val="36"/>
  </w:num>
  <w:num w:numId="36" w16cid:durableId="1952084256">
    <w:abstractNumId w:val="11"/>
  </w:num>
  <w:num w:numId="37" w16cid:durableId="405880714">
    <w:abstractNumId w:val="20"/>
  </w:num>
  <w:num w:numId="38" w16cid:durableId="2124229249">
    <w:abstractNumId w:val="35"/>
  </w:num>
  <w:num w:numId="39" w16cid:durableId="1033918721">
    <w:abstractNumId w:val="17"/>
  </w:num>
  <w:num w:numId="40" w16cid:durableId="396124231">
    <w:abstractNumId w:val="39"/>
  </w:num>
  <w:num w:numId="41" w16cid:durableId="417676306">
    <w:abstractNumId w:val="26"/>
  </w:num>
  <w:num w:numId="42" w16cid:durableId="2137597188">
    <w:abstractNumId w:val="33"/>
  </w:num>
  <w:num w:numId="43" w16cid:durableId="201211614">
    <w:abstractNumId w:val="30"/>
  </w:num>
  <w:num w:numId="44" w16cid:durableId="75981099">
    <w:abstractNumId w:val="0"/>
  </w:num>
  <w:num w:numId="45" w16cid:durableId="1220363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FA4"/>
    <w:rsid w:val="00000F09"/>
    <w:rsid w:val="00001869"/>
    <w:rsid w:val="00001CAC"/>
    <w:rsid w:val="000044F7"/>
    <w:rsid w:val="00004975"/>
    <w:rsid w:val="00006E26"/>
    <w:rsid w:val="000119B3"/>
    <w:rsid w:val="0001443E"/>
    <w:rsid w:val="000151FA"/>
    <w:rsid w:val="00016DE0"/>
    <w:rsid w:val="00017000"/>
    <w:rsid w:val="00021FA4"/>
    <w:rsid w:val="00023B2C"/>
    <w:rsid w:val="00027D33"/>
    <w:rsid w:val="0003000D"/>
    <w:rsid w:val="0003051A"/>
    <w:rsid w:val="00031AB2"/>
    <w:rsid w:val="00033B63"/>
    <w:rsid w:val="00033FB4"/>
    <w:rsid w:val="00035C1B"/>
    <w:rsid w:val="000365A2"/>
    <w:rsid w:val="00040E46"/>
    <w:rsid w:val="00041546"/>
    <w:rsid w:val="000443F8"/>
    <w:rsid w:val="00045CA5"/>
    <w:rsid w:val="000468E7"/>
    <w:rsid w:val="000471EC"/>
    <w:rsid w:val="00047B47"/>
    <w:rsid w:val="00051BD3"/>
    <w:rsid w:val="00054BB1"/>
    <w:rsid w:val="00055772"/>
    <w:rsid w:val="00060651"/>
    <w:rsid w:val="000659BB"/>
    <w:rsid w:val="0006658D"/>
    <w:rsid w:val="00066B3D"/>
    <w:rsid w:val="00067B4E"/>
    <w:rsid w:val="000720F7"/>
    <w:rsid w:val="00073C8C"/>
    <w:rsid w:val="00074C26"/>
    <w:rsid w:val="00075E84"/>
    <w:rsid w:val="0007631D"/>
    <w:rsid w:val="00082B79"/>
    <w:rsid w:val="00084C4F"/>
    <w:rsid w:val="00087B5D"/>
    <w:rsid w:val="0009275C"/>
    <w:rsid w:val="0009409F"/>
    <w:rsid w:val="000975B3"/>
    <w:rsid w:val="000A0D86"/>
    <w:rsid w:val="000A18FD"/>
    <w:rsid w:val="000A37E0"/>
    <w:rsid w:val="000A3ACB"/>
    <w:rsid w:val="000B17F8"/>
    <w:rsid w:val="000B3435"/>
    <w:rsid w:val="000B5B6C"/>
    <w:rsid w:val="000C00C3"/>
    <w:rsid w:val="000D0EE3"/>
    <w:rsid w:val="000D5C03"/>
    <w:rsid w:val="000D5D39"/>
    <w:rsid w:val="000E0EF1"/>
    <w:rsid w:val="000E2B49"/>
    <w:rsid w:val="000E2F8A"/>
    <w:rsid w:val="000E6006"/>
    <w:rsid w:val="000E6A2A"/>
    <w:rsid w:val="000E76F8"/>
    <w:rsid w:val="000F00D2"/>
    <w:rsid w:val="000F0B8C"/>
    <w:rsid w:val="000F101B"/>
    <w:rsid w:val="000F2A7F"/>
    <w:rsid w:val="000F5F81"/>
    <w:rsid w:val="00100CAC"/>
    <w:rsid w:val="0010107E"/>
    <w:rsid w:val="00102159"/>
    <w:rsid w:val="00103DD6"/>
    <w:rsid w:val="001134EA"/>
    <w:rsid w:val="00113FB3"/>
    <w:rsid w:val="0011689E"/>
    <w:rsid w:val="00120547"/>
    <w:rsid w:val="00121A36"/>
    <w:rsid w:val="001235C7"/>
    <w:rsid w:val="001239C6"/>
    <w:rsid w:val="00126351"/>
    <w:rsid w:val="00126645"/>
    <w:rsid w:val="001307E6"/>
    <w:rsid w:val="0013080B"/>
    <w:rsid w:val="001319CE"/>
    <w:rsid w:val="00131F61"/>
    <w:rsid w:val="001351D2"/>
    <w:rsid w:val="00136878"/>
    <w:rsid w:val="00137513"/>
    <w:rsid w:val="00140D0E"/>
    <w:rsid w:val="00143D5D"/>
    <w:rsid w:val="00144A30"/>
    <w:rsid w:val="00146798"/>
    <w:rsid w:val="001502CF"/>
    <w:rsid w:val="00151C79"/>
    <w:rsid w:val="00156A25"/>
    <w:rsid w:val="00162B16"/>
    <w:rsid w:val="00162CFD"/>
    <w:rsid w:val="00165039"/>
    <w:rsid w:val="00165964"/>
    <w:rsid w:val="00172EB3"/>
    <w:rsid w:val="00175202"/>
    <w:rsid w:val="00175500"/>
    <w:rsid w:val="001808CA"/>
    <w:rsid w:val="00187370"/>
    <w:rsid w:val="00187FA4"/>
    <w:rsid w:val="00193393"/>
    <w:rsid w:val="001936CD"/>
    <w:rsid w:val="00194154"/>
    <w:rsid w:val="001949D1"/>
    <w:rsid w:val="00197D97"/>
    <w:rsid w:val="001A21EB"/>
    <w:rsid w:val="001A61F4"/>
    <w:rsid w:val="001A6476"/>
    <w:rsid w:val="001A6D7F"/>
    <w:rsid w:val="001B3319"/>
    <w:rsid w:val="001B4A02"/>
    <w:rsid w:val="001B5CA4"/>
    <w:rsid w:val="001B7730"/>
    <w:rsid w:val="001C03B3"/>
    <w:rsid w:val="001C0C3E"/>
    <w:rsid w:val="001C2DFA"/>
    <w:rsid w:val="001C352C"/>
    <w:rsid w:val="001C759E"/>
    <w:rsid w:val="001D0856"/>
    <w:rsid w:val="001D3ADB"/>
    <w:rsid w:val="001D5A0D"/>
    <w:rsid w:val="001D6323"/>
    <w:rsid w:val="001D78BE"/>
    <w:rsid w:val="001E0E4D"/>
    <w:rsid w:val="001E1D4F"/>
    <w:rsid w:val="001E1E04"/>
    <w:rsid w:val="001E2509"/>
    <w:rsid w:val="001E2E43"/>
    <w:rsid w:val="001E5192"/>
    <w:rsid w:val="001E5BA0"/>
    <w:rsid w:val="001E6BF4"/>
    <w:rsid w:val="001F0771"/>
    <w:rsid w:val="001F2542"/>
    <w:rsid w:val="001F745D"/>
    <w:rsid w:val="00200F3D"/>
    <w:rsid w:val="00201743"/>
    <w:rsid w:val="002018DC"/>
    <w:rsid w:val="0020356B"/>
    <w:rsid w:val="00206524"/>
    <w:rsid w:val="0022037E"/>
    <w:rsid w:val="002203E9"/>
    <w:rsid w:val="00223FE5"/>
    <w:rsid w:val="00224A81"/>
    <w:rsid w:val="002260E2"/>
    <w:rsid w:val="00226FD3"/>
    <w:rsid w:val="00232AF6"/>
    <w:rsid w:val="002333F2"/>
    <w:rsid w:val="0024075F"/>
    <w:rsid w:val="0024364D"/>
    <w:rsid w:val="00243828"/>
    <w:rsid w:val="00245453"/>
    <w:rsid w:val="00246851"/>
    <w:rsid w:val="00246BD6"/>
    <w:rsid w:val="00250026"/>
    <w:rsid w:val="00250F04"/>
    <w:rsid w:val="00252AFD"/>
    <w:rsid w:val="00254147"/>
    <w:rsid w:val="002577CE"/>
    <w:rsid w:val="00257B13"/>
    <w:rsid w:val="00260C3A"/>
    <w:rsid w:val="002646A7"/>
    <w:rsid w:val="0026591E"/>
    <w:rsid w:val="0026620C"/>
    <w:rsid w:val="002672A6"/>
    <w:rsid w:val="00270C00"/>
    <w:rsid w:val="00272291"/>
    <w:rsid w:val="0027422E"/>
    <w:rsid w:val="00276A54"/>
    <w:rsid w:val="002811FD"/>
    <w:rsid w:val="00281BB0"/>
    <w:rsid w:val="00282089"/>
    <w:rsid w:val="00282383"/>
    <w:rsid w:val="00282E23"/>
    <w:rsid w:val="0028402F"/>
    <w:rsid w:val="002853C6"/>
    <w:rsid w:val="00285DC1"/>
    <w:rsid w:val="00285F10"/>
    <w:rsid w:val="00286FB8"/>
    <w:rsid w:val="00290C23"/>
    <w:rsid w:val="00290D2A"/>
    <w:rsid w:val="00291BB1"/>
    <w:rsid w:val="00295ACE"/>
    <w:rsid w:val="00297684"/>
    <w:rsid w:val="002A0154"/>
    <w:rsid w:val="002A1A09"/>
    <w:rsid w:val="002A3C38"/>
    <w:rsid w:val="002A6787"/>
    <w:rsid w:val="002A76A3"/>
    <w:rsid w:val="002B08B5"/>
    <w:rsid w:val="002B55A5"/>
    <w:rsid w:val="002B657C"/>
    <w:rsid w:val="002B7056"/>
    <w:rsid w:val="002C07B1"/>
    <w:rsid w:val="002C08D4"/>
    <w:rsid w:val="002C090D"/>
    <w:rsid w:val="002C1289"/>
    <w:rsid w:val="002C13B0"/>
    <w:rsid w:val="002C255F"/>
    <w:rsid w:val="002C60AD"/>
    <w:rsid w:val="002C6AA9"/>
    <w:rsid w:val="002C701D"/>
    <w:rsid w:val="002C7D68"/>
    <w:rsid w:val="002D10B1"/>
    <w:rsid w:val="002D181E"/>
    <w:rsid w:val="002D3092"/>
    <w:rsid w:val="002D3CD9"/>
    <w:rsid w:val="002D6006"/>
    <w:rsid w:val="002E02CC"/>
    <w:rsid w:val="002E1641"/>
    <w:rsid w:val="002E19D5"/>
    <w:rsid w:val="002E23D8"/>
    <w:rsid w:val="002E2D26"/>
    <w:rsid w:val="002E6113"/>
    <w:rsid w:val="002E71E3"/>
    <w:rsid w:val="002F00AE"/>
    <w:rsid w:val="002F0C5D"/>
    <w:rsid w:val="002F7D54"/>
    <w:rsid w:val="00300B73"/>
    <w:rsid w:val="00302FD4"/>
    <w:rsid w:val="0030347D"/>
    <w:rsid w:val="003050F2"/>
    <w:rsid w:val="0030569D"/>
    <w:rsid w:val="00305AB1"/>
    <w:rsid w:val="00305CDC"/>
    <w:rsid w:val="00305E1A"/>
    <w:rsid w:val="003105CC"/>
    <w:rsid w:val="00310B9C"/>
    <w:rsid w:val="00317500"/>
    <w:rsid w:val="00320041"/>
    <w:rsid w:val="00322104"/>
    <w:rsid w:val="00326CA3"/>
    <w:rsid w:val="00327089"/>
    <w:rsid w:val="00331703"/>
    <w:rsid w:val="00333183"/>
    <w:rsid w:val="003354AD"/>
    <w:rsid w:val="00337648"/>
    <w:rsid w:val="003409D5"/>
    <w:rsid w:val="003420C7"/>
    <w:rsid w:val="00342330"/>
    <w:rsid w:val="00342717"/>
    <w:rsid w:val="00342EF9"/>
    <w:rsid w:val="00344800"/>
    <w:rsid w:val="00345948"/>
    <w:rsid w:val="00346DE7"/>
    <w:rsid w:val="003509E4"/>
    <w:rsid w:val="00353D9D"/>
    <w:rsid w:val="003545FB"/>
    <w:rsid w:val="003557B4"/>
    <w:rsid w:val="00355C06"/>
    <w:rsid w:val="003576F3"/>
    <w:rsid w:val="00363AE2"/>
    <w:rsid w:val="00367C92"/>
    <w:rsid w:val="00370A9F"/>
    <w:rsid w:val="00370C2E"/>
    <w:rsid w:val="0037154F"/>
    <w:rsid w:val="00375C1D"/>
    <w:rsid w:val="00377DA9"/>
    <w:rsid w:val="0038268A"/>
    <w:rsid w:val="0038479E"/>
    <w:rsid w:val="00384FD3"/>
    <w:rsid w:val="003859AC"/>
    <w:rsid w:val="00386DE6"/>
    <w:rsid w:val="003902D1"/>
    <w:rsid w:val="00390AB4"/>
    <w:rsid w:val="00391931"/>
    <w:rsid w:val="003921B8"/>
    <w:rsid w:val="003925E9"/>
    <w:rsid w:val="00395D84"/>
    <w:rsid w:val="003A4517"/>
    <w:rsid w:val="003A633B"/>
    <w:rsid w:val="003A63AE"/>
    <w:rsid w:val="003A6C7B"/>
    <w:rsid w:val="003A724D"/>
    <w:rsid w:val="003B07B2"/>
    <w:rsid w:val="003B1D5B"/>
    <w:rsid w:val="003B5C8B"/>
    <w:rsid w:val="003C15B1"/>
    <w:rsid w:val="003C3EF5"/>
    <w:rsid w:val="003C653D"/>
    <w:rsid w:val="003C6773"/>
    <w:rsid w:val="003C708F"/>
    <w:rsid w:val="003D07A7"/>
    <w:rsid w:val="003D3245"/>
    <w:rsid w:val="003E0107"/>
    <w:rsid w:val="003E1996"/>
    <w:rsid w:val="003E28E4"/>
    <w:rsid w:val="003E309D"/>
    <w:rsid w:val="003E4D12"/>
    <w:rsid w:val="003E729A"/>
    <w:rsid w:val="003E7647"/>
    <w:rsid w:val="003F04BA"/>
    <w:rsid w:val="003F17E5"/>
    <w:rsid w:val="003F383C"/>
    <w:rsid w:val="003F7A9B"/>
    <w:rsid w:val="00400496"/>
    <w:rsid w:val="004016D2"/>
    <w:rsid w:val="00401FD8"/>
    <w:rsid w:val="00403C5B"/>
    <w:rsid w:val="004105DB"/>
    <w:rsid w:val="004124C6"/>
    <w:rsid w:val="00412CF9"/>
    <w:rsid w:val="0041360A"/>
    <w:rsid w:val="00413AD3"/>
    <w:rsid w:val="00414AEA"/>
    <w:rsid w:val="00417137"/>
    <w:rsid w:val="00417733"/>
    <w:rsid w:val="00423B8D"/>
    <w:rsid w:val="00424176"/>
    <w:rsid w:val="00426849"/>
    <w:rsid w:val="00427002"/>
    <w:rsid w:val="004270A3"/>
    <w:rsid w:val="004309E7"/>
    <w:rsid w:val="00434E21"/>
    <w:rsid w:val="004374AC"/>
    <w:rsid w:val="00437707"/>
    <w:rsid w:val="00440F16"/>
    <w:rsid w:val="004419DB"/>
    <w:rsid w:val="00443538"/>
    <w:rsid w:val="004436DD"/>
    <w:rsid w:val="00444433"/>
    <w:rsid w:val="00444F47"/>
    <w:rsid w:val="00447954"/>
    <w:rsid w:val="0045028B"/>
    <w:rsid w:val="00454C43"/>
    <w:rsid w:val="0045594F"/>
    <w:rsid w:val="004569E0"/>
    <w:rsid w:val="00456B58"/>
    <w:rsid w:val="00460CCE"/>
    <w:rsid w:val="004626D3"/>
    <w:rsid w:val="00463DF1"/>
    <w:rsid w:val="00464775"/>
    <w:rsid w:val="00470D53"/>
    <w:rsid w:val="00472DB5"/>
    <w:rsid w:val="004735A2"/>
    <w:rsid w:val="00475791"/>
    <w:rsid w:val="00477423"/>
    <w:rsid w:val="00481AF5"/>
    <w:rsid w:val="00484B3F"/>
    <w:rsid w:val="00484DD1"/>
    <w:rsid w:val="0048518C"/>
    <w:rsid w:val="00485FBB"/>
    <w:rsid w:val="00486874"/>
    <w:rsid w:val="00486CB4"/>
    <w:rsid w:val="00487174"/>
    <w:rsid w:val="00487345"/>
    <w:rsid w:val="00492C1F"/>
    <w:rsid w:val="00496EA7"/>
    <w:rsid w:val="0049770E"/>
    <w:rsid w:val="004A0687"/>
    <w:rsid w:val="004A0EF2"/>
    <w:rsid w:val="004A2228"/>
    <w:rsid w:val="004A4CB1"/>
    <w:rsid w:val="004A5A00"/>
    <w:rsid w:val="004A74F2"/>
    <w:rsid w:val="004B3D67"/>
    <w:rsid w:val="004B4664"/>
    <w:rsid w:val="004B644E"/>
    <w:rsid w:val="004B70E5"/>
    <w:rsid w:val="004B7131"/>
    <w:rsid w:val="004B7400"/>
    <w:rsid w:val="004C0D89"/>
    <w:rsid w:val="004C384B"/>
    <w:rsid w:val="004C4921"/>
    <w:rsid w:val="004C4A2C"/>
    <w:rsid w:val="004C770A"/>
    <w:rsid w:val="004D146C"/>
    <w:rsid w:val="004D46E9"/>
    <w:rsid w:val="004D5431"/>
    <w:rsid w:val="004D671C"/>
    <w:rsid w:val="004E11E5"/>
    <w:rsid w:val="004E1C76"/>
    <w:rsid w:val="004E52C6"/>
    <w:rsid w:val="004E5969"/>
    <w:rsid w:val="004E5E39"/>
    <w:rsid w:val="004E67E2"/>
    <w:rsid w:val="004E70AA"/>
    <w:rsid w:val="004F0FF5"/>
    <w:rsid w:val="004F26E8"/>
    <w:rsid w:val="004F3D64"/>
    <w:rsid w:val="004F5F98"/>
    <w:rsid w:val="004F7410"/>
    <w:rsid w:val="004F7F00"/>
    <w:rsid w:val="00501D08"/>
    <w:rsid w:val="00503659"/>
    <w:rsid w:val="00505EA8"/>
    <w:rsid w:val="005066C7"/>
    <w:rsid w:val="00507C3D"/>
    <w:rsid w:val="00512B47"/>
    <w:rsid w:val="00512D5E"/>
    <w:rsid w:val="00514EDE"/>
    <w:rsid w:val="00517CDE"/>
    <w:rsid w:val="00521769"/>
    <w:rsid w:val="005253F2"/>
    <w:rsid w:val="0053674E"/>
    <w:rsid w:val="00536B32"/>
    <w:rsid w:val="005415A2"/>
    <w:rsid w:val="00544AC9"/>
    <w:rsid w:val="005452DC"/>
    <w:rsid w:val="005457BA"/>
    <w:rsid w:val="0054790F"/>
    <w:rsid w:val="0055591C"/>
    <w:rsid w:val="005609E0"/>
    <w:rsid w:val="00560C29"/>
    <w:rsid w:val="00562ABE"/>
    <w:rsid w:val="005641BE"/>
    <w:rsid w:val="00564937"/>
    <w:rsid w:val="0056580B"/>
    <w:rsid w:val="005658B0"/>
    <w:rsid w:val="00565FF7"/>
    <w:rsid w:val="005664AF"/>
    <w:rsid w:val="00566B37"/>
    <w:rsid w:val="00571817"/>
    <w:rsid w:val="005723BA"/>
    <w:rsid w:val="005723FF"/>
    <w:rsid w:val="005724C9"/>
    <w:rsid w:val="00575596"/>
    <w:rsid w:val="005758AB"/>
    <w:rsid w:val="00580D8C"/>
    <w:rsid w:val="00581372"/>
    <w:rsid w:val="005839D6"/>
    <w:rsid w:val="00584D74"/>
    <w:rsid w:val="00586EF7"/>
    <w:rsid w:val="00587BE7"/>
    <w:rsid w:val="00596462"/>
    <w:rsid w:val="00596ECD"/>
    <w:rsid w:val="005A0B33"/>
    <w:rsid w:val="005A2D2E"/>
    <w:rsid w:val="005A30A0"/>
    <w:rsid w:val="005A4B54"/>
    <w:rsid w:val="005A6280"/>
    <w:rsid w:val="005A786D"/>
    <w:rsid w:val="005B5D61"/>
    <w:rsid w:val="005B724C"/>
    <w:rsid w:val="005B766D"/>
    <w:rsid w:val="005C0AA4"/>
    <w:rsid w:val="005C2D91"/>
    <w:rsid w:val="005D0143"/>
    <w:rsid w:val="005D44CA"/>
    <w:rsid w:val="005D4C60"/>
    <w:rsid w:val="005D7A21"/>
    <w:rsid w:val="005E058A"/>
    <w:rsid w:val="005E20CA"/>
    <w:rsid w:val="005E32C2"/>
    <w:rsid w:val="005E475E"/>
    <w:rsid w:val="005E4E6E"/>
    <w:rsid w:val="005E6785"/>
    <w:rsid w:val="005E72FE"/>
    <w:rsid w:val="005F1788"/>
    <w:rsid w:val="005F24A4"/>
    <w:rsid w:val="005F3D85"/>
    <w:rsid w:val="005F3E63"/>
    <w:rsid w:val="005F55EB"/>
    <w:rsid w:val="005F5B55"/>
    <w:rsid w:val="005F5F65"/>
    <w:rsid w:val="005F7AAD"/>
    <w:rsid w:val="00602366"/>
    <w:rsid w:val="0060310C"/>
    <w:rsid w:val="00603AFF"/>
    <w:rsid w:val="006127AF"/>
    <w:rsid w:val="00613F94"/>
    <w:rsid w:val="00621B45"/>
    <w:rsid w:val="00626C38"/>
    <w:rsid w:val="006308F9"/>
    <w:rsid w:val="00632CA5"/>
    <w:rsid w:val="00634D30"/>
    <w:rsid w:val="006367BB"/>
    <w:rsid w:val="006404D7"/>
    <w:rsid w:val="00640D1F"/>
    <w:rsid w:val="00641F51"/>
    <w:rsid w:val="006425B9"/>
    <w:rsid w:val="006464AB"/>
    <w:rsid w:val="00646C8F"/>
    <w:rsid w:val="00652373"/>
    <w:rsid w:val="006532F1"/>
    <w:rsid w:val="00654705"/>
    <w:rsid w:val="00661365"/>
    <w:rsid w:val="006621C7"/>
    <w:rsid w:val="00663185"/>
    <w:rsid w:val="00664025"/>
    <w:rsid w:val="006662D7"/>
    <w:rsid w:val="00666FE9"/>
    <w:rsid w:val="00670C90"/>
    <w:rsid w:val="00673C97"/>
    <w:rsid w:val="00674973"/>
    <w:rsid w:val="00675DA9"/>
    <w:rsid w:val="006770EC"/>
    <w:rsid w:val="006803C5"/>
    <w:rsid w:val="00685E0D"/>
    <w:rsid w:val="00690AB5"/>
    <w:rsid w:val="00694503"/>
    <w:rsid w:val="00694E1E"/>
    <w:rsid w:val="00695B26"/>
    <w:rsid w:val="00697DE2"/>
    <w:rsid w:val="006A216A"/>
    <w:rsid w:val="006A31F6"/>
    <w:rsid w:val="006B2405"/>
    <w:rsid w:val="006B26CF"/>
    <w:rsid w:val="006B4186"/>
    <w:rsid w:val="006B5168"/>
    <w:rsid w:val="006C2BE3"/>
    <w:rsid w:val="006D2A2E"/>
    <w:rsid w:val="006D3001"/>
    <w:rsid w:val="006D4617"/>
    <w:rsid w:val="006D46AE"/>
    <w:rsid w:val="006D4F7A"/>
    <w:rsid w:val="006D71DC"/>
    <w:rsid w:val="006E05F5"/>
    <w:rsid w:val="006E13FA"/>
    <w:rsid w:val="006E2A40"/>
    <w:rsid w:val="006E4B30"/>
    <w:rsid w:val="006F4913"/>
    <w:rsid w:val="006F574E"/>
    <w:rsid w:val="006F6017"/>
    <w:rsid w:val="006F6727"/>
    <w:rsid w:val="006F6B1A"/>
    <w:rsid w:val="00700830"/>
    <w:rsid w:val="00702E91"/>
    <w:rsid w:val="00703CA3"/>
    <w:rsid w:val="0070435F"/>
    <w:rsid w:val="0070490E"/>
    <w:rsid w:val="00705D72"/>
    <w:rsid w:val="00707142"/>
    <w:rsid w:val="007071E0"/>
    <w:rsid w:val="00711A8B"/>
    <w:rsid w:val="00715093"/>
    <w:rsid w:val="00715A8E"/>
    <w:rsid w:val="0072063E"/>
    <w:rsid w:val="00720EB3"/>
    <w:rsid w:val="0072191D"/>
    <w:rsid w:val="00721C4B"/>
    <w:rsid w:val="007223A7"/>
    <w:rsid w:val="007224DB"/>
    <w:rsid w:val="00722810"/>
    <w:rsid w:val="007232E9"/>
    <w:rsid w:val="00725F21"/>
    <w:rsid w:val="00726A5A"/>
    <w:rsid w:val="00726F14"/>
    <w:rsid w:val="007311BB"/>
    <w:rsid w:val="00732B02"/>
    <w:rsid w:val="00742248"/>
    <w:rsid w:val="0074279E"/>
    <w:rsid w:val="00742980"/>
    <w:rsid w:val="00742BD2"/>
    <w:rsid w:val="00742CC7"/>
    <w:rsid w:val="0074400A"/>
    <w:rsid w:val="00746001"/>
    <w:rsid w:val="00746CB6"/>
    <w:rsid w:val="00747493"/>
    <w:rsid w:val="007527A3"/>
    <w:rsid w:val="0075280C"/>
    <w:rsid w:val="0075295C"/>
    <w:rsid w:val="00754ED7"/>
    <w:rsid w:val="007577BB"/>
    <w:rsid w:val="00757E07"/>
    <w:rsid w:val="007627B1"/>
    <w:rsid w:val="00764505"/>
    <w:rsid w:val="0076705A"/>
    <w:rsid w:val="00772B4B"/>
    <w:rsid w:val="00772EA0"/>
    <w:rsid w:val="007735CE"/>
    <w:rsid w:val="007755E5"/>
    <w:rsid w:val="0077681C"/>
    <w:rsid w:val="00781EBF"/>
    <w:rsid w:val="00782666"/>
    <w:rsid w:val="00784091"/>
    <w:rsid w:val="00786776"/>
    <w:rsid w:val="00792B4E"/>
    <w:rsid w:val="00795DD8"/>
    <w:rsid w:val="00795EBC"/>
    <w:rsid w:val="0079656A"/>
    <w:rsid w:val="00796574"/>
    <w:rsid w:val="00796992"/>
    <w:rsid w:val="007971E8"/>
    <w:rsid w:val="00797F29"/>
    <w:rsid w:val="007A0A52"/>
    <w:rsid w:val="007A47B4"/>
    <w:rsid w:val="007A6571"/>
    <w:rsid w:val="007B025C"/>
    <w:rsid w:val="007B04C4"/>
    <w:rsid w:val="007B7413"/>
    <w:rsid w:val="007C6318"/>
    <w:rsid w:val="007C6557"/>
    <w:rsid w:val="007C6825"/>
    <w:rsid w:val="007C7EB9"/>
    <w:rsid w:val="007D0A82"/>
    <w:rsid w:val="007D3A77"/>
    <w:rsid w:val="007D4462"/>
    <w:rsid w:val="007D51F3"/>
    <w:rsid w:val="007D5781"/>
    <w:rsid w:val="007D60B4"/>
    <w:rsid w:val="007D727A"/>
    <w:rsid w:val="007D73C7"/>
    <w:rsid w:val="007D73F6"/>
    <w:rsid w:val="007E049A"/>
    <w:rsid w:val="007E0C06"/>
    <w:rsid w:val="007E0DE1"/>
    <w:rsid w:val="007E1EA4"/>
    <w:rsid w:val="007E51C7"/>
    <w:rsid w:val="007E5BB9"/>
    <w:rsid w:val="007E68F7"/>
    <w:rsid w:val="007E7B4C"/>
    <w:rsid w:val="007F532A"/>
    <w:rsid w:val="007F5AD6"/>
    <w:rsid w:val="007F70BB"/>
    <w:rsid w:val="007F7A4C"/>
    <w:rsid w:val="00803113"/>
    <w:rsid w:val="00804A4E"/>
    <w:rsid w:val="00804B04"/>
    <w:rsid w:val="00805CA1"/>
    <w:rsid w:val="008073A9"/>
    <w:rsid w:val="008076AA"/>
    <w:rsid w:val="00813791"/>
    <w:rsid w:val="00813F36"/>
    <w:rsid w:val="00814795"/>
    <w:rsid w:val="008147D9"/>
    <w:rsid w:val="008164E5"/>
    <w:rsid w:val="00816780"/>
    <w:rsid w:val="00822248"/>
    <w:rsid w:val="008308E5"/>
    <w:rsid w:val="00831219"/>
    <w:rsid w:val="00832992"/>
    <w:rsid w:val="00833497"/>
    <w:rsid w:val="00833C7C"/>
    <w:rsid w:val="00836209"/>
    <w:rsid w:val="0083671D"/>
    <w:rsid w:val="008374F5"/>
    <w:rsid w:val="00837970"/>
    <w:rsid w:val="00837A2C"/>
    <w:rsid w:val="0084391F"/>
    <w:rsid w:val="008463AA"/>
    <w:rsid w:val="008471D7"/>
    <w:rsid w:val="00854123"/>
    <w:rsid w:val="00854872"/>
    <w:rsid w:val="00856324"/>
    <w:rsid w:val="0086150D"/>
    <w:rsid w:val="00861EC4"/>
    <w:rsid w:val="008629FE"/>
    <w:rsid w:val="00864318"/>
    <w:rsid w:val="0086625A"/>
    <w:rsid w:val="00866688"/>
    <w:rsid w:val="00870CFD"/>
    <w:rsid w:val="0087201F"/>
    <w:rsid w:val="00872F31"/>
    <w:rsid w:val="008734BE"/>
    <w:rsid w:val="00875934"/>
    <w:rsid w:val="00877C9D"/>
    <w:rsid w:val="008806A8"/>
    <w:rsid w:val="00880F7B"/>
    <w:rsid w:val="00881951"/>
    <w:rsid w:val="00884216"/>
    <w:rsid w:val="00890A53"/>
    <w:rsid w:val="00890C93"/>
    <w:rsid w:val="00891A24"/>
    <w:rsid w:val="0089255C"/>
    <w:rsid w:val="00892F49"/>
    <w:rsid w:val="0089465E"/>
    <w:rsid w:val="00894B77"/>
    <w:rsid w:val="00895FF2"/>
    <w:rsid w:val="008A5F0A"/>
    <w:rsid w:val="008B024B"/>
    <w:rsid w:val="008B2565"/>
    <w:rsid w:val="008B4BF4"/>
    <w:rsid w:val="008B6A9E"/>
    <w:rsid w:val="008B6EBD"/>
    <w:rsid w:val="008C0F6E"/>
    <w:rsid w:val="008C2253"/>
    <w:rsid w:val="008C2285"/>
    <w:rsid w:val="008C30AA"/>
    <w:rsid w:val="008C4400"/>
    <w:rsid w:val="008C4D20"/>
    <w:rsid w:val="008C6363"/>
    <w:rsid w:val="008C7B2C"/>
    <w:rsid w:val="008D11D6"/>
    <w:rsid w:val="008D147C"/>
    <w:rsid w:val="008D2300"/>
    <w:rsid w:val="008D23C3"/>
    <w:rsid w:val="008D39FA"/>
    <w:rsid w:val="008D63D5"/>
    <w:rsid w:val="008E063B"/>
    <w:rsid w:val="008E15B2"/>
    <w:rsid w:val="008E4049"/>
    <w:rsid w:val="008E40E7"/>
    <w:rsid w:val="008E4E42"/>
    <w:rsid w:val="008F1299"/>
    <w:rsid w:val="008F1E4C"/>
    <w:rsid w:val="008F5704"/>
    <w:rsid w:val="008F7B47"/>
    <w:rsid w:val="009003DB"/>
    <w:rsid w:val="00900FB7"/>
    <w:rsid w:val="00902B1F"/>
    <w:rsid w:val="009050D0"/>
    <w:rsid w:val="00906B03"/>
    <w:rsid w:val="00906E82"/>
    <w:rsid w:val="009075CD"/>
    <w:rsid w:val="00911514"/>
    <w:rsid w:val="00912A75"/>
    <w:rsid w:val="00921E27"/>
    <w:rsid w:val="00922475"/>
    <w:rsid w:val="00922550"/>
    <w:rsid w:val="00927235"/>
    <w:rsid w:val="00927296"/>
    <w:rsid w:val="009277FF"/>
    <w:rsid w:val="009316A0"/>
    <w:rsid w:val="00931DB8"/>
    <w:rsid w:val="00932B07"/>
    <w:rsid w:val="00937B15"/>
    <w:rsid w:val="00940406"/>
    <w:rsid w:val="00941466"/>
    <w:rsid w:val="00944649"/>
    <w:rsid w:val="009454FC"/>
    <w:rsid w:val="009478B1"/>
    <w:rsid w:val="0095094B"/>
    <w:rsid w:val="00950E22"/>
    <w:rsid w:val="00953C74"/>
    <w:rsid w:val="00955D05"/>
    <w:rsid w:val="0095697A"/>
    <w:rsid w:val="009602D1"/>
    <w:rsid w:val="009628C7"/>
    <w:rsid w:val="00962B82"/>
    <w:rsid w:val="009635A2"/>
    <w:rsid w:val="00970A66"/>
    <w:rsid w:val="00971B17"/>
    <w:rsid w:val="00971D71"/>
    <w:rsid w:val="00972E70"/>
    <w:rsid w:val="00976BC6"/>
    <w:rsid w:val="00980304"/>
    <w:rsid w:val="009808F5"/>
    <w:rsid w:val="00983073"/>
    <w:rsid w:val="00983584"/>
    <w:rsid w:val="00990E71"/>
    <w:rsid w:val="009916C6"/>
    <w:rsid w:val="009937F0"/>
    <w:rsid w:val="00994743"/>
    <w:rsid w:val="00995834"/>
    <w:rsid w:val="00997C40"/>
    <w:rsid w:val="009A02CC"/>
    <w:rsid w:val="009A0858"/>
    <w:rsid w:val="009A1D99"/>
    <w:rsid w:val="009A3A4C"/>
    <w:rsid w:val="009B1836"/>
    <w:rsid w:val="009B362F"/>
    <w:rsid w:val="009B5EBC"/>
    <w:rsid w:val="009C1FD2"/>
    <w:rsid w:val="009C3C32"/>
    <w:rsid w:val="009C40B9"/>
    <w:rsid w:val="009D1F10"/>
    <w:rsid w:val="009D353A"/>
    <w:rsid w:val="009D7657"/>
    <w:rsid w:val="009D786B"/>
    <w:rsid w:val="009E30A3"/>
    <w:rsid w:val="009E372F"/>
    <w:rsid w:val="009E3811"/>
    <w:rsid w:val="009E4517"/>
    <w:rsid w:val="009E5F9D"/>
    <w:rsid w:val="009E6E1E"/>
    <w:rsid w:val="009F6742"/>
    <w:rsid w:val="00A01049"/>
    <w:rsid w:val="00A012DF"/>
    <w:rsid w:val="00A064E8"/>
    <w:rsid w:val="00A07516"/>
    <w:rsid w:val="00A120EB"/>
    <w:rsid w:val="00A1412D"/>
    <w:rsid w:val="00A178FC"/>
    <w:rsid w:val="00A21E5C"/>
    <w:rsid w:val="00A2204E"/>
    <w:rsid w:val="00A220E7"/>
    <w:rsid w:val="00A26DC7"/>
    <w:rsid w:val="00A2768E"/>
    <w:rsid w:val="00A30598"/>
    <w:rsid w:val="00A316CA"/>
    <w:rsid w:val="00A31CAB"/>
    <w:rsid w:val="00A33413"/>
    <w:rsid w:val="00A366E6"/>
    <w:rsid w:val="00A367BD"/>
    <w:rsid w:val="00A37AB2"/>
    <w:rsid w:val="00A41270"/>
    <w:rsid w:val="00A419FD"/>
    <w:rsid w:val="00A41D4F"/>
    <w:rsid w:val="00A429B1"/>
    <w:rsid w:val="00A43B39"/>
    <w:rsid w:val="00A452F9"/>
    <w:rsid w:val="00A51F74"/>
    <w:rsid w:val="00A533EF"/>
    <w:rsid w:val="00A53D71"/>
    <w:rsid w:val="00A540FB"/>
    <w:rsid w:val="00A54BEF"/>
    <w:rsid w:val="00A55549"/>
    <w:rsid w:val="00A63776"/>
    <w:rsid w:val="00A64704"/>
    <w:rsid w:val="00A665A1"/>
    <w:rsid w:val="00A66A35"/>
    <w:rsid w:val="00A6770A"/>
    <w:rsid w:val="00A67863"/>
    <w:rsid w:val="00A7242F"/>
    <w:rsid w:val="00A7283D"/>
    <w:rsid w:val="00A74BA6"/>
    <w:rsid w:val="00A7605D"/>
    <w:rsid w:val="00A7641E"/>
    <w:rsid w:val="00A7702D"/>
    <w:rsid w:val="00A77111"/>
    <w:rsid w:val="00A775C7"/>
    <w:rsid w:val="00A82939"/>
    <w:rsid w:val="00A83D1E"/>
    <w:rsid w:val="00A85FFA"/>
    <w:rsid w:val="00A86F91"/>
    <w:rsid w:val="00A872A4"/>
    <w:rsid w:val="00A873C6"/>
    <w:rsid w:val="00A9646D"/>
    <w:rsid w:val="00A97269"/>
    <w:rsid w:val="00A97521"/>
    <w:rsid w:val="00AA1D6E"/>
    <w:rsid w:val="00AA32FE"/>
    <w:rsid w:val="00AA5EC0"/>
    <w:rsid w:val="00AA61E2"/>
    <w:rsid w:val="00AA7FCA"/>
    <w:rsid w:val="00AB0405"/>
    <w:rsid w:val="00AB0798"/>
    <w:rsid w:val="00AB0EE0"/>
    <w:rsid w:val="00AB308F"/>
    <w:rsid w:val="00AC0C57"/>
    <w:rsid w:val="00AC0DF5"/>
    <w:rsid w:val="00AC1119"/>
    <w:rsid w:val="00AC143C"/>
    <w:rsid w:val="00AC2E3B"/>
    <w:rsid w:val="00AC2E60"/>
    <w:rsid w:val="00AC4EFA"/>
    <w:rsid w:val="00AC599A"/>
    <w:rsid w:val="00AD09B7"/>
    <w:rsid w:val="00AD4F86"/>
    <w:rsid w:val="00AD53A7"/>
    <w:rsid w:val="00AD6561"/>
    <w:rsid w:val="00AD665C"/>
    <w:rsid w:val="00AD705C"/>
    <w:rsid w:val="00AD7DAD"/>
    <w:rsid w:val="00AE17C5"/>
    <w:rsid w:val="00AE1B7D"/>
    <w:rsid w:val="00AE29D0"/>
    <w:rsid w:val="00AE3FD5"/>
    <w:rsid w:val="00AE4D8A"/>
    <w:rsid w:val="00AE73F1"/>
    <w:rsid w:val="00AE752E"/>
    <w:rsid w:val="00AE7899"/>
    <w:rsid w:val="00AF29D7"/>
    <w:rsid w:val="00AF7390"/>
    <w:rsid w:val="00B01BCA"/>
    <w:rsid w:val="00B0393A"/>
    <w:rsid w:val="00B0686A"/>
    <w:rsid w:val="00B0708E"/>
    <w:rsid w:val="00B113CE"/>
    <w:rsid w:val="00B141D1"/>
    <w:rsid w:val="00B17738"/>
    <w:rsid w:val="00B23C2A"/>
    <w:rsid w:val="00B25AB6"/>
    <w:rsid w:val="00B25ACC"/>
    <w:rsid w:val="00B32B13"/>
    <w:rsid w:val="00B32E3E"/>
    <w:rsid w:val="00B33EEF"/>
    <w:rsid w:val="00B34694"/>
    <w:rsid w:val="00B43E78"/>
    <w:rsid w:val="00B450F0"/>
    <w:rsid w:val="00B45659"/>
    <w:rsid w:val="00B45F4F"/>
    <w:rsid w:val="00B45FE2"/>
    <w:rsid w:val="00B464F5"/>
    <w:rsid w:val="00B5334A"/>
    <w:rsid w:val="00B54127"/>
    <w:rsid w:val="00B553F1"/>
    <w:rsid w:val="00B57BDD"/>
    <w:rsid w:val="00B614B8"/>
    <w:rsid w:val="00B63CFF"/>
    <w:rsid w:val="00B64E84"/>
    <w:rsid w:val="00B67C4D"/>
    <w:rsid w:val="00B72509"/>
    <w:rsid w:val="00B74EC9"/>
    <w:rsid w:val="00B75444"/>
    <w:rsid w:val="00B8229A"/>
    <w:rsid w:val="00B83D71"/>
    <w:rsid w:val="00B84B82"/>
    <w:rsid w:val="00B953C2"/>
    <w:rsid w:val="00B95B5A"/>
    <w:rsid w:val="00B96ED8"/>
    <w:rsid w:val="00B97455"/>
    <w:rsid w:val="00BA51CE"/>
    <w:rsid w:val="00BA6BFF"/>
    <w:rsid w:val="00BA6E63"/>
    <w:rsid w:val="00BB6DCE"/>
    <w:rsid w:val="00BC271A"/>
    <w:rsid w:val="00BC29BA"/>
    <w:rsid w:val="00BD082D"/>
    <w:rsid w:val="00BD0E25"/>
    <w:rsid w:val="00BD48DC"/>
    <w:rsid w:val="00BD4E4C"/>
    <w:rsid w:val="00BD5C3E"/>
    <w:rsid w:val="00BD7776"/>
    <w:rsid w:val="00BE04C2"/>
    <w:rsid w:val="00BE23EF"/>
    <w:rsid w:val="00BE2DAE"/>
    <w:rsid w:val="00BE4CBF"/>
    <w:rsid w:val="00BE5411"/>
    <w:rsid w:val="00BE5A26"/>
    <w:rsid w:val="00BE5D59"/>
    <w:rsid w:val="00BE6534"/>
    <w:rsid w:val="00BF016A"/>
    <w:rsid w:val="00BF131D"/>
    <w:rsid w:val="00BF41E1"/>
    <w:rsid w:val="00BF6A73"/>
    <w:rsid w:val="00BF6D1F"/>
    <w:rsid w:val="00BF710A"/>
    <w:rsid w:val="00C04454"/>
    <w:rsid w:val="00C04B44"/>
    <w:rsid w:val="00C0614B"/>
    <w:rsid w:val="00C06810"/>
    <w:rsid w:val="00C10C52"/>
    <w:rsid w:val="00C11AAF"/>
    <w:rsid w:val="00C13EFC"/>
    <w:rsid w:val="00C15A5B"/>
    <w:rsid w:val="00C179A9"/>
    <w:rsid w:val="00C17CA7"/>
    <w:rsid w:val="00C23235"/>
    <w:rsid w:val="00C27659"/>
    <w:rsid w:val="00C27D1E"/>
    <w:rsid w:val="00C30B39"/>
    <w:rsid w:val="00C330B8"/>
    <w:rsid w:val="00C364DB"/>
    <w:rsid w:val="00C404CD"/>
    <w:rsid w:val="00C43261"/>
    <w:rsid w:val="00C44AEE"/>
    <w:rsid w:val="00C45684"/>
    <w:rsid w:val="00C45B08"/>
    <w:rsid w:val="00C45F95"/>
    <w:rsid w:val="00C50463"/>
    <w:rsid w:val="00C51656"/>
    <w:rsid w:val="00C5243D"/>
    <w:rsid w:val="00C529FF"/>
    <w:rsid w:val="00C54CFA"/>
    <w:rsid w:val="00C553D1"/>
    <w:rsid w:val="00C55BF6"/>
    <w:rsid w:val="00C55E30"/>
    <w:rsid w:val="00C56492"/>
    <w:rsid w:val="00C57540"/>
    <w:rsid w:val="00C6183B"/>
    <w:rsid w:val="00C634E8"/>
    <w:rsid w:val="00C67AE8"/>
    <w:rsid w:val="00C71412"/>
    <w:rsid w:val="00C71749"/>
    <w:rsid w:val="00C71D9E"/>
    <w:rsid w:val="00C72857"/>
    <w:rsid w:val="00C73239"/>
    <w:rsid w:val="00C76C4D"/>
    <w:rsid w:val="00C80028"/>
    <w:rsid w:val="00C81421"/>
    <w:rsid w:val="00C8403B"/>
    <w:rsid w:val="00C84435"/>
    <w:rsid w:val="00C84EAE"/>
    <w:rsid w:val="00C90021"/>
    <w:rsid w:val="00C90571"/>
    <w:rsid w:val="00C923AB"/>
    <w:rsid w:val="00C92444"/>
    <w:rsid w:val="00C92C26"/>
    <w:rsid w:val="00C9588D"/>
    <w:rsid w:val="00C959FF"/>
    <w:rsid w:val="00C96DE4"/>
    <w:rsid w:val="00C9755A"/>
    <w:rsid w:val="00CA104E"/>
    <w:rsid w:val="00CA14B8"/>
    <w:rsid w:val="00CA4D2A"/>
    <w:rsid w:val="00CA6E42"/>
    <w:rsid w:val="00CA7222"/>
    <w:rsid w:val="00CB024B"/>
    <w:rsid w:val="00CB2A83"/>
    <w:rsid w:val="00CB38DB"/>
    <w:rsid w:val="00CB531E"/>
    <w:rsid w:val="00CB7E45"/>
    <w:rsid w:val="00CC005D"/>
    <w:rsid w:val="00CC0548"/>
    <w:rsid w:val="00CC17B6"/>
    <w:rsid w:val="00CC1F53"/>
    <w:rsid w:val="00CC4D9A"/>
    <w:rsid w:val="00CC55BD"/>
    <w:rsid w:val="00CC7CBB"/>
    <w:rsid w:val="00CD4975"/>
    <w:rsid w:val="00CD57D5"/>
    <w:rsid w:val="00CD6793"/>
    <w:rsid w:val="00CD6803"/>
    <w:rsid w:val="00CE1D56"/>
    <w:rsid w:val="00CE332D"/>
    <w:rsid w:val="00CE6469"/>
    <w:rsid w:val="00CF02D2"/>
    <w:rsid w:val="00CF41CC"/>
    <w:rsid w:val="00D004F6"/>
    <w:rsid w:val="00D0084C"/>
    <w:rsid w:val="00D00D4A"/>
    <w:rsid w:val="00D0229C"/>
    <w:rsid w:val="00D11FE1"/>
    <w:rsid w:val="00D12239"/>
    <w:rsid w:val="00D12DD0"/>
    <w:rsid w:val="00D1319D"/>
    <w:rsid w:val="00D143CD"/>
    <w:rsid w:val="00D15791"/>
    <w:rsid w:val="00D158DC"/>
    <w:rsid w:val="00D214D4"/>
    <w:rsid w:val="00D21925"/>
    <w:rsid w:val="00D3069C"/>
    <w:rsid w:val="00D33CED"/>
    <w:rsid w:val="00D33F69"/>
    <w:rsid w:val="00D37189"/>
    <w:rsid w:val="00D40E4B"/>
    <w:rsid w:val="00D418D8"/>
    <w:rsid w:val="00D44C0D"/>
    <w:rsid w:val="00D45665"/>
    <w:rsid w:val="00D4569E"/>
    <w:rsid w:val="00D50796"/>
    <w:rsid w:val="00D51DDA"/>
    <w:rsid w:val="00D54709"/>
    <w:rsid w:val="00D54FC9"/>
    <w:rsid w:val="00D5620F"/>
    <w:rsid w:val="00D563D7"/>
    <w:rsid w:val="00D573FD"/>
    <w:rsid w:val="00D57F0D"/>
    <w:rsid w:val="00D617BB"/>
    <w:rsid w:val="00D62638"/>
    <w:rsid w:val="00D63E90"/>
    <w:rsid w:val="00D6538A"/>
    <w:rsid w:val="00D664A3"/>
    <w:rsid w:val="00D67277"/>
    <w:rsid w:val="00D71708"/>
    <w:rsid w:val="00D726D5"/>
    <w:rsid w:val="00D72CFB"/>
    <w:rsid w:val="00D8084A"/>
    <w:rsid w:val="00D8291F"/>
    <w:rsid w:val="00D83B5E"/>
    <w:rsid w:val="00D86AC3"/>
    <w:rsid w:val="00D87F46"/>
    <w:rsid w:val="00D90142"/>
    <w:rsid w:val="00D924D2"/>
    <w:rsid w:val="00D9259B"/>
    <w:rsid w:val="00D9329E"/>
    <w:rsid w:val="00D943CF"/>
    <w:rsid w:val="00D95987"/>
    <w:rsid w:val="00D96E90"/>
    <w:rsid w:val="00DA2626"/>
    <w:rsid w:val="00DA3F55"/>
    <w:rsid w:val="00DA5DE0"/>
    <w:rsid w:val="00DA5F01"/>
    <w:rsid w:val="00DA78F7"/>
    <w:rsid w:val="00DA7B16"/>
    <w:rsid w:val="00DA7DB6"/>
    <w:rsid w:val="00DB0F90"/>
    <w:rsid w:val="00DB22E3"/>
    <w:rsid w:val="00DB5F27"/>
    <w:rsid w:val="00DB79EB"/>
    <w:rsid w:val="00DC008D"/>
    <w:rsid w:val="00DC0A50"/>
    <w:rsid w:val="00DC1131"/>
    <w:rsid w:val="00DC141F"/>
    <w:rsid w:val="00DD1AA3"/>
    <w:rsid w:val="00DD2349"/>
    <w:rsid w:val="00DD2456"/>
    <w:rsid w:val="00DD3079"/>
    <w:rsid w:val="00DD560E"/>
    <w:rsid w:val="00DD6C0F"/>
    <w:rsid w:val="00DE04CF"/>
    <w:rsid w:val="00DE18BE"/>
    <w:rsid w:val="00DE3AB2"/>
    <w:rsid w:val="00DE3DD6"/>
    <w:rsid w:val="00DE7725"/>
    <w:rsid w:val="00DE7A0A"/>
    <w:rsid w:val="00DF2224"/>
    <w:rsid w:val="00DF319B"/>
    <w:rsid w:val="00DF54BF"/>
    <w:rsid w:val="00DF552A"/>
    <w:rsid w:val="00DF6077"/>
    <w:rsid w:val="00DF6DEF"/>
    <w:rsid w:val="00DF745D"/>
    <w:rsid w:val="00E00D27"/>
    <w:rsid w:val="00E03DD8"/>
    <w:rsid w:val="00E0414B"/>
    <w:rsid w:val="00E047BB"/>
    <w:rsid w:val="00E04C28"/>
    <w:rsid w:val="00E06FD1"/>
    <w:rsid w:val="00E10A6F"/>
    <w:rsid w:val="00E1173C"/>
    <w:rsid w:val="00E13DBF"/>
    <w:rsid w:val="00E1449A"/>
    <w:rsid w:val="00E14EF1"/>
    <w:rsid w:val="00E155B5"/>
    <w:rsid w:val="00E15ED0"/>
    <w:rsid w:val="00E17641"/>
    <w:rsid w:val="00E20A00"/>
    <w:rsid w:val="00E26408"/>
    <w:rsid w:val="00E264C3"/>
    <w:rsid w:val="00E30EC5"/>
    <w:rsid w:val="00E31BB7"/>
    <w:rsid w:val="00E3338A"/>
    <w:rsid w:val="00E34705"/>
    <w:rsid w:val="00E3494D"/>
    <w:rsid w:val="00E37165"/>
    <w:rsid w:val="00E40653"/>
    <w:rsid w:val="00E41AE1"/>
    <w:rsid w:val="00E429E1"/>
    <w:rsid w:val="00E45737"/>
    <w:rsid w:val="00E45814"/>
    <w:rsid w:val="00E469E5"/>
    <w:rsid w:val="00E4782E"/>
    <w:rsid w:val="00E51454"/>
    <w:rsid w:val="00E5352F"/>
    <w:rsid w:val="00E536E9"/>
    <w:rsid w:val="00E549AD"/>
    <w:rsid w:val="00E552F2"/>
    <w:rsid w:val="00E562F7"/>
    <w:rsid w:val="00E56874"/>
    <w:rsid w:val="00E571EF"/>
    <w:rsid w:val="00E57BEE"/>
    <w:rsid w:val="00E61A4C"/>
    <w:rsid w:val="00E63964"/>
    <w:rsid w:val="00E73C21"/>
    <w:rsid w:val="00E74294"/>
    <w:rsid w:val="00E80DA8"/>
    <w:rsid w:val="00E81D6A"/>
    <w:rsid w:val="00E82C15"/>
    <w:rsid w:val="00E847E5"/>
    <w:rsid w:val="00E862F9"/>
    <w:rsid w:val="00E86509"/>
    <w:rsid w:val="00E86708"/>
    <w:rsid w:val="00E868F4"/>
    <w:rsid w:val="00E8696A"/>
    <w:rsid w:val="00E872E0"/>
    <w:rsid w:val="00E90003"/>
    <w:rsid w:val="00E92B26"/>
    <w:rsid w:val="00E93DA2"/>
    <w:rsid w:val="00E96ED7"/>
    <w:rsid w:val="00E97C46"/>
    <w:rsid w:val="00EA1D1D"/>
    <w:rsid w:val="00EA2380"/>
    <w:rsid w:val="00EA787C"/>
    <w:rsid w:val="00EB0A67"/>
    <w:rsid w:val="00EB1F50"/>
    <w:rsid w:val="00EB2640"/>
    <w:rsid w:val="00EC2DF2"/>
    <w:rsid w:val="00EC423D"/>
    <w:rsid w:val="00ED0675"/>
    <w:rsid w:val="00ED0DB7"/>
    <w:rsid w:val="00ED3E3C"/>
    <w:rsid w:val="00ED4105"/>
    <w:rsid w:val="00ED410A"/>
    <w:rsid w:val="00EE0008"/>
    <w:rsid w:val="00EE1207"/>
    <w:rsid w:val="00EE17DF"/>
    <w:rsid w:val="00EE308B"/>
    <w:rsid w:val="00EE3A9F"/>
    <w:rsid w:val="00EE4D48"/>
    <w:rsid w:val="00EE6E04"/>
    <w:rsid w:val="00EE7BA0"/>
    <w:rsid w:val="00EE7E3F"/>
    <w:rsid w:val="00EF3807"/>
    <w:rsid w:val="00EF4262"/>
    <w:rsid w:val="00EF4857"/>
    <w:rsid w:val="00EF68DC"/>
    <w:rsid w:val="00F00218"/>
    <w:rsid w:val="00F025BC"/>
    <w:rsid w:val="00F026CF"/>
    <w:rsid w:val="00F03120"/>
    <w:rsid w:val="00F03467"/>
    <w:rsid w:val="00F058BA"/>
    <w:rsid w:val="00F12ECB"/>
    <w:rsid w:val="00F14274"/>
    <w:rsid w:val="00F16264"/>
    <w:rsid w:val="00F16B8E"/>
    <w:rsid w:val="00F21210"/>
    <w:rsid w:val="00F224DD"/>
    <w:rsid w:val="00F22EF5"/>
    <w:rsid w:val="00F24C8D"/>
    <w:rsid w:val="00F26E30"/>
    <w:rsid w:val="00F27DC0"/>
    <w:rsid w:val="00F313DD"/>
    <w:rsid w:val="00F32937"/>
    <w:rsid w:val="00F33F57"/>
    <w:rsid w:val="00F34149"/>
    <w:rsid w:val="00F36EEF"/>
    <w:rsid w:val="00F41CD9"/>
    <w:rsid w:val="00F43E6B"/>
    <w:rsid w:val="00F50455"/>
    <w:rsid w:val="00F50B0C"/>
    <w:rsid w:val="00F535C9"/>
    <w:rsid w:val="00F54CCF"/>
    <w:rsid w:val="00F56334"/>
    <w:rsid w:val="00F56C24"/>
    <w:rsid w:val="00F56DB8"/>
    <w:rsid w:val="00F571F9"/>
    <w:rsid w:val="00F578C1"/>
    <w:rsid w:val="00F60B39"/>
    <w:rsid w:val="00F62777"/>
    <w:rsid w:val="00F64779"/>
    <w:rsid w:val="00F651FE"/>
    <w:rsid w:val="00F70075"/>
    <w:rsid w:val="00F7007E"/>
    <w:rsid w:val="00F7036A"/>
    <w:rsid w:val="00F70A84"/>
    <w:rsid w:val="00F73610"/>
    <w:rsid w:val="00F74FE2"/>
    <w:rsid w:val="00F7544F"/>
    <w:rsid w:val="00F77E3B"/>
    <w:rsid w:val="00F8242E"/>
    <w:rsid w:val="00F82802"/>
    <w:rsid w:val="00F83C2A"/>
    <w:rsid w:val="00F86786"/>
    <w:rsid w:val="00F9306A"/>
    <w:rsid w:val="00F9381A"/>
    <w:rsid w:val="00F94007"/>
    <w:rsid w:val="00F955CB"/>
    <w:rsid w:val="00F96A43"/>
    <w:rsid w:val="00F9764B"/>
    <w:rsid w:val="00FA01E7"/>
    <w:rsid w:val="00FA2B5C"/>
    <w:rsid w:val="00FA3747"/>
    <w:rsid w:val="00FA479C"/>
    <w:rsid w:val="00FA4D17"/>
    <w:rsid w:val="00FA6D63"/>
    <w:rsid w:val="00FA757C"/>
    <w:rsid w:val="00FB0F63"/>
    <w:rsid w:val="00FB2819"/>
    <w:rsid w:val="00FB2E29"/>
    <w:rsid w:val="00FB4489"/>
    <w:rsid w:val="00FC07C8"/>
    <w:rsid w:val="00FC113D"/>
    <w:rsid w:val="00FC1194"/>
    <w:rsid w:val="00FC3A82"/>
    <w:rsid w:val="00FC49A4"/>
    <w:rsid w:val="00FC5502"/>
    <w:rsid w:val="00FD41C8"/>
    <w:rsid w:val="00FD42F9"/>
    <w:rsid w:val="00FD527E"/>
    <w:rsid w:val="00FD5E06"/>
    <w:rsid w:val="00FD6441"/>
    <w:rsid w:val="00FE1BFC"/>
    <w:rsid w:val="00FE2259"/>
    <w:rsid w:val="00FF0060"/>
    <w:rsid w:val="00FF2158"/>
    <w:rsid w:val="00FF2CC9"/>
    <w:rsid w:val="00FF30A7"/>
    <w:rsid w:val="00FF410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696C5"/>
  <w15:docId w15:val="{2585F00A-E520-4743-B36E-50DC9028C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FA4"/>
    <w:pPr>
      <w:spacing w:after="0" w:line="240" w:lineRule="auto"/>
    </w:pPr>
    <w:rPr>
      <w:rFonts w:ascii="Calibri" w:hAnsi="Calibri" w:cs="Calibri"/>
    </w:rPr>
  </w:style>
  <w:style w:type="paragraph" w:styleId="Ttulo1">
    <w:name w:val="heading 1"/>
    <w:basedOn w:val="Normal"/>
    <w:next w:val="Normal"/>
    <w:link w:val="Ttulo1Car"/>
    <w:uiPriority w:val="9"/>
    <w:qFormat/>
    <w:rsid w:val="0017550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qFormat/>
    <w:rsid w:val="00836209"/>
    <w:pPr>
      <w:keepNext/>
      <w:spacing w:before="240" w:after="60" w:line="276" w:lineRule="auto"/>
      <w:outlineLvl w:val="1"/>
    </w:pPr>
    <w:rPr>
      <w:rFonts w:ascii="Cambria" w:eastAsia="Times New Roman" w:hAnsi="Cambria" w:cs="Times New Roman"/>
      <w:b/>
      <w:bCs/>
      <w:i/>
      <w:iCs/>
      <w:sz w:val="28"/>
      <w:szCs w:val="28"/>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1,Colorful List - Accent 11,Párrafo de lista1,Cuadrícula clara - Énfasis 31,List Paragraph2,Lista vistosa - Énfasis 11,Lista clara - Énfasis 51"/>
    <w:basedOn w:val="Normal"/>
    <w:uiPriority w:val="34"/>
    <w:qFormat/>
    <w:rsid w:val="00021FA4"/>
    <w:pPr>
      <w:ind w:left="720"/>
    </w:pPr>
  </w:style>
  <w:style w:type="paragraph" w:styleId="NormalWeb">
    <w:name w:val="Normal (Web)"/>
    <w:basedOn w:val="Normal"/>
    <w:uiPriority w:val="99"/>
    <w:unhideWhenUsed/>
    <w:rsid w:val="006D2A2E"/>
    <w:rPr>
      <w:rFonts w:ascii="Times New Roman" w:hAnsi="Times New Roman" w:cs="Times New Roman"/>
      <w:sz w:val="24"/>
      <w:szCs w:val="24"/>
      <w:lang w:eastAsia="es-CR"/>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t,C,FA Fu?notente"/>
    <w:basedOn w:val="Normal"/>
    <w:link w:val="TextonotapieCar"/>
    <w:unhideWhenUsed/>
    <w:qFormat/>
    <w:rsid w:val="006D2A2E"/>
    <w:rPr>
      <w:rFonts w:asciiTheme="minorHAnsi" w:hAnsiTheme="minorHAnsi" w:cstheme="minorBidi"/>
      <w:sz w:val="20"/>
      <w:szCs w:val="20"/>
    </w:rPr>
  </w:style>
  <w:style w:type="character" w:customStyle="1" w:styleId="TextonotapieCar">
    <w:name w:val="Texto nota pie Car"/>
    <w:aliases w:val="Footnote Text Char Char Char Char Char Car1,Footnote Text Char Char Char Char Car1,Footnote reference Car1,FA Fu Car1,Footnote Text Char Char Char Car1,Footnote Text Cha Car1,FA Fußnotentext Car1,FA Fuﬂnotentext Car1,Ca Car,ft Car"/>
    <w:basedOn w:val="Fuentedeprrafopredeter"/>
    <w:link w:val="Textonotapie"/>
    <w:qFormat/>
    <w:rsid w:val="006D2A2E"/>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6D2A2E"/>
    <w:rPr>
      <w:vertAlign w:val="superscript"/>
    </w:rPr>
  </w:style>
  <w:style w:type="character" w:styleId="Hipervnculo">
    <w:name w:val="Hyperlink"/>
    <w:basedOn w:val="Fuentedeprrafopredeter"/>
    <w:uiPriority w:val="99"/>
    <w:unhideWhenUsed/>
    <w:rsid w:val="00BE04C2"/>
    <w:rPr>
      <w:color w:val="0563C1" w:themeColor="hyperlink"/>
      <w:u w:val="single"/>
    </w:rPr>
  </w:style>
  <w:style w:type="table" w:styleId="Tablaconcuadrcula">
    <w:name w:val="Table Grid"/>
    <w:basedOn w:val="Tablanormal"/>
    <w:uiPriority w:val="59"/>
    <w:rsid w:val="00746001"/>
    <w:pPr>
      <w:spacing w:after="0" w:line="240" w:lineRule="auto"/>
    </w:pPr>
    <w:rPr>
      <w:rFonts w:ascii="Calibri" w:eastAsia="Times New Roman" w:hAnsi="Calibri"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qFormat/>
    <w:rsid w:val="007D4462"/>
    <w:rPr>
      <w:rFonts w:eastAsia="Times New Roman"/>
      <w:sz w:val="20"/>
      <w:szCs w:val="20"/>
      <w:lang w:val="es-CR" w:eastAsia="es-CR"/>
    </w:rPr>
  </w:style>
  <w:style w:type="character" w:customStyle="1" w:styleId="Ttulo2Car">
    <w:name w:val="Título 2 Car"/>
    <w:basedOn w:val="Fuentedeprrafopredeter"/>
    <w:link w:val="Ttulo2"/>
    <w:uiPriority w:val="9"/>
    <w:rsid w:val="00836209"/>
    <w:rPr>
      <w:rFonts w:ascii="Cambria" w:eastAsia="Times New Roman" w:hAnsi="Cambria" w:cs="Times New Roman"/>
      <w:b/>
      <w:bCs/>
      <w:i/>
      <w:iCs/>
      <w:sz w:val="28"/>
      <w:szCs w:val="28"/>
      <w:lang w:eastAsia="es-CR"/>
    </w:rPr>
  </w:style>
  <w:style w:type="character" w:customStyle="1" w:styleId="Listavistosa-nfasis1Car">
    <w:name w:val="Lista vistosa - Énfasis 1 Car"/>
    <w:aliases w:val="Colorful List - Accent 11 Car,Párrafo de lista Car1,Footnote Car,List Paragraph1 Car,Párrafo de lista Car,Párrafo de lista1 Car,Cuadrícula clara - Énfasis 31 Car,List Paragraph2 Car,Lista vistosa - Énfasis 11 Car"/>
    <w:link w:val="Listavistosa-nfasis1"/>
    <w:uiPriority w:val="99"/>
    <w:locked/>
    <w:rsid w:val="00796574"/>
    <w:rPr>
      <w:rFonts w:eastAsia="Times New Roman"/>
      <w:sz w:val="22"/>
      <w:szCs w:val="22"/>
      <w:lang w:val="es-MX" w:eastAsia="es-MX"/>
    </w:rPr>
  </w:style>
  <w:style w:type="table" w:styleId="Listavistosa-nfasis1">
    <w:name w:val="Colorful List Accent 1"/>
    <w:basedOn w:val="Tablanormal"/>
    <w:link w:val="Listavistosa-nfasis1Car"/>
    <w:uiPriority w:val="34"/>
    <w:semiHidden/>
    <w:unhideWhenUsed/>
    <w:rsid w:val="00796574"/>
    <w:pPr>
      <w:spacing w:after="0" w:line="240" w:lineRule="auto"/>
    </w:pPr>
    <w:rPr>
      <w:rFonts w:eastAsia="Times New Roman"/>
      <w:lang w:val="es-MX" w:eastAsia="es-MX"/>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styleId="Refdecomentario">
    <w:name w:val="annotation reference"/>
    <w:basedOn w:val="Fuentedeprrafopredeter"/>
    <w:uiPriority w:val="99"/>
    <w:semiHidden/>
    <w:unhideWhenUsed/>
    <w:rsid w:val="00C06810"/>
    <w:rPr>
      <w:sz w:val="16"/>
      <w:szCs w:val="16"/>
    </w:rPr>
  </w:style>
  <w:style w:type="paragraph" w:styleId="Textocomentario">
    <w:name w:val="annotation text"/>
    <w:basedOn w:val="Normal"/>
    <w:link w:val="TextocomentarioCar"/>
    <w:uiPriority w:val="99"/>
    <w:unhideWhenUsed/>
    <w:rsid w:val="00C06810"/>
    <w:rPr>
      <w:sz w:val="20"/>
      <w:szCs w:val="20"/>
    </w:rPr>
  </w:style>
  <w:style w:type="character" w:customStyle="1" w:styleId="TextocomentarioCar">
    <w:name w:val="Texto comentario Car"/>
    <w:basedOn w:val="Fuentedeprrafopredeter"/>
    <w:link w:val="Textocomentario"/>
    <w:uiPriority w:val="99"/>
    <w:rsid w:val="00C06810"/>
    <w:rPr>
      <w:rFonts w:ascii="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C06810"/>
    <w:rPr>
      <w:b/>
      <w:bCs/>
    </w:rPr>
  </w:style>
  <w:style w:type="character" w:customStyle="1" w:styleId="AsuntodelcomentarioCar">
    <w:name w:val="Asunto del comentario Car"/>
    <w:basedOn w:val="TextocomentarioCar"/>
    <w:link w:val="Asuntodelcomentario"/>
    <w:uiPriority w:val="99"/>
    <w:semiHidden/>
    <w:rsid w:val="00C06810"/>
    <w:rPr>
      <w:rFonts w:ascii="Calibri" w:hAnsi="Calibri" w:cs="Calibri"/>
      <w:b/>
      <w:bCs/>
      <w:sz w:val="20"/>
      <w:szCs w:val="20"/>
    </w:rPr>
  </w:style>
  <w:style w:type="paragraph" w:styleId="Textodeglobo">
    <w:name w:val="Balloon Text"/>
    <w:basedOn w:val="Normal"/>
    <w:link w:val="TextodegloboCar"/>
    <w:uiPriority w:val="99"/>
    <w:semiHidden/>
    <w:unhideWhenUsed/>
    <w:rsid w:val="00C0681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6810"/>
    <w:rPr>
      <w:rFonts w:ascii="Segoe UI" w:hAnsi="Segoe UI" w:cs="Segoe UI"/>
      <w:sz w:val="18"/>
      <w:szCs w:val="18"/>
    </w:rPr>
  </w:style>
  <w:style w:type="paragraph" w:styleId="Encabezado">
    <w:name w:val="header"/>
    <w:aliases w:val="encabezado"/>
    <w:basedOn w:val="Normal"/>
    <w:link w:val="EncabezadoCar"/>
    <w:uiPriority w:val="99"/>
    <w:unhideWhenUsed/>
    <w:rsid w:val="004374AC"/>
    <w:pPr>
      <w:tabs>
        <w:tab w:val="center" w:pos="4419"/>
        <w:tab w:val="right" w:pos="8838"/>
      </w:tabs>
    </w:pPr>
  </w:style>
  <w:style w:type="character" w:customStyle="1" w:styleId="EncabezadoCar">
    <w:name w:val="Encabezado Car"/>
    <w:aliases w:val="encabezado Car"/>
    <w:basedOn w:val="Fuentedeprrafopredeter"/>
    <w:link w:val="Encabezado"/>
    <w:uiPriority w:val="99"/>
    <w:rsid w:val="004374AC"/>
    <w:rPr>
      <w:rFonts w:ascii="Calibri" w:hAnsi="Calibri" w:cs="Calibri"/>
    </w:rPr>
  </w:style>
  <w:style w:type="paragraph" w:styleId="Piedepgina">
    <w:name w:val="footer"/>
    <w:basedOn w:val="Normal"/>
    <w:link w:val="PiedepginaCar"/>
    <w:uiPriority w:val="99"/>
    <w:unhideWhenUsed/>
    <w:rsid w:val="004374AC"/>
    <w:pPr>
      <w:tabs>
        <w:tab w:val="center" w:pos="4419"/>
        <w:tab w:val="right" w:pos="8838"/>
      </w:tabs>
    </w:pPr>
  </w:style>
  <w:style w:type="character" w:customStyle="1" w:styleId="PiedepginaCar">
    <w:name w:val="Pie de página Car"/>
    <w:basedOn w:val="Fuentedeprrafopredeter"/>
    <w:link w:val="Piedepgina"/>
    <w:uiPriority w:val="99"/>
    <w:rsid w:val="004374AC"/>
    <w:rPr>
      <w:rFonts w:ascii="Calibri" w:hAnsi="Calibri" w:cs="Calibri"/>
    </w:rPr>
  </w:style>
  <w:style w:type="paragraph" w:styleId="Revisin">
    <w:name w:val="Revision"/>
    <w:hidden/>
    <w:uiPriority w:val="99"/>
    <w:semiHidden/>
    <w:rsid w:val="00711A8B"/>
    <w:pPr>
      <w:spacing w:after="0" w:line="240" w:lineRule="auto"/>
    </w:pPr>
    <w:rPr>
      <w:rFonts w:ascii="Calibri" w:hAnsi="Calibri" w:cs="Calibri"/>
    </w:rPr>
  </w:style>
  <w:style w:type="paragraph" w:styleId="TDC1">
    <w:name w:val="toc 1"/>
    <w:basedOn w:val="Normal"/>
    <w:next w:val="Normal"/>
    <w:autoRedefine/>
    <w:uiPriority w:val="39"/>
    <w:unhideWhenUsed/>
    <w:rsid w:val="00175500"/>
    <w:pPr>
      <w:spacing w:after="100"/>
    </w:pPr>
  </w:style>
  <w:style w:type="character" w:customStyle="1" w:styleId="Ttulo1Car">
    <w:name w:val="Título 1 Car"/>
    <w:basedOn w:val="Fuentedeprrafopredeter"/>
    <w:link w:val="Ttulo1"/>
    <w:uiPriority w:val="9"/>
    <w:rsid w:val="00175500"/>
    <w:rPr>
      <w:rFonts w:asciiTheme="majorHAnsi" w:eastAsiaTheme="majorEastAsia" w:hAnsiTheme="majorHAnsi" w:cstheme="majorBidi"/>
      <w:color w:val="2E74B5" w:themeColor="accent1" w:themeShade="BF"/>
      <w:sz w:val="32"/>
      <w:szCs w:val="32"/>
    </w:rPr>
  </w:style>
  <w:style w:type="character" w:styleId="Nmerodelnea">
    <w:name w:val="line number"/>
    <w:basedOn w:val="Fuentedeprrafopredeter"/>
    <w:uiPriority w:val="99"/>
    <w:semiHidden/>
    <w:unhideWhenUsed/>
    <w:rsid w:val="00D71708"/>
  </w:style>
  <w:style w:type="paragraph" w:styleId="TtuloTDC">
    <w:name w:val="TOC Heading"/>
    <w:basedOn w:val="Ttulo1"/>
    <w:next w:val="Normal"/>
    <w:uiPriority w:val="39"/>
    <w:unhideWhenUsed/>
    <w:qFormat/>
    <w:rsid w:val="00F96A43"/>
    <w:pPr>
      <w:spacing w:line="259" w:lineRule="auto"/>
      <w:outlineLvl w:val="9"/>
    </w:pPr>
    <w:rPr>
      <w:lang w:eastAsia="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C43261"/>
    <w:pPr>
      <w:jc w:val="both"/>
    </w:pPr>
    <w:rPr>
      <w:rFonts w:asciiTheme="minorHAnsi" w:hAnsiTheme="minorHAnsi" w:cstheme="minorBidi"/>
      <w:vertAlign w:val="superscript"/>
    </w:rPr>
  </w:style>
  <w:style w:type="character" w:styleId="Hipervnculovisitado">
    <w:name w:val="FollowedHyperlink"/>
    <w:basedOn w:val="Fuentedeprrafopredeter"/>
    <w:uiPriority w:val="99"/>
    <w:semiHidden/>
    <w:unhideWhenUsed/>
    <w:rsid w:val="009E45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753228">
      <w:bodyDiv w:val="1"/>
      <w:marLeft w:val="0"/>
      <w:marRight w:val="0"/>
      <w:marTop w:val="0"/>
      <w:marBottom w:val="0"/>
      <w:divBdr>
        <w:top w:val="none" w:sz="0" w:space="0" w:color="auto"/>
        <w:left w:val="none" w:sz="0" w:space="0" w:color="auto"/>
        <w:bottom w:val="none" w:sz="0" w:space="0" w:color="auto"/>
        <w:right w:val="none" w:sz="0" w:space="0" w:color="auto"/>
      </w:divBdr>
    </w:div>
    <w:div w:id="519978843">
      <w:bodyDiv w:val="1"/>
      <w:marLeft w:val="0"/>
      <w:marRight w:val="0"/>
      <w:marTop w:val="0"/>
      <w:marBottom w:val="0"/>
      <w:divBdr>
        <w:top w:val="none" w:sz="0" w:space="0" w:color="auto"/>
        <w:left w:val="none" w:sz="0" w:space="0" w:color="auto"/>
        <w:bottom w:val="none" w:sz="0" w:space="0" w:color="auto"/>
        <w:right w:val="none" w:sz="0" w:space="0" w:color="auto"/>
      </w:divBdr>
    </w:div>
    <w:div w:id="545341142">
      <w:bodyDiv w:val="1"/>
      <w:marLeft w:val="0"/>
      <w:marRight w:val="0"/>
      <w:marTop w:val="0"/>
      <w:marBottom w:val="0"/>
      <w:divBdr>
        <w:top w:val="none" w:sz="0" w:space="0" w:color="auto"/>
        <w:left w:val="none" w:sz="0" w:space="0" w:color="auto"/>
        <w:bottom w:val="none" w:sz="0" w:space="0" w:color="auto"/>
        <w:right w:val="none" w:sz="0" w:space="0" w:color="auto"/>
      </w:divBdr>
    </w:div>
    <w:div w:id="570777642">
      <w:bodyDiv w:val="1"/>
      <w:marLeft w:val="0"/>
      <w:marRight w:val="0"/>
      <w:marTop w:val="0"/>
      <w:marBottom w:val="0"/>
      <w:divBdr>
        <w:top w:val="none" w:sz="0" w:space="0" w:color="auto"/>
        <w:left w:val="none" w:sz="0" w:space="0" w:color="auto"/>
        <w:bottom w:val="none" w:sz="0" w:space="0" w:color="auto"/>
        <w:right w:val="none" w:sz="0" w:space="0" w:color="auto"/>
      </w:divBdr>
    </w:div>
    <w:div w:id="1569220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fiscalia.gov.co/colombia/wp-content/uploads/SENTENCIA-CORTE-INTERAMERICANA-CASO-MARTINEZ-ESQUIVIA.pdf" TargetMode="External"/><Relationship Id="rId2" Type="http://schemas.openxmlformats.org/officeDocument/2006/relationships/hyperlink" Target="https://www.corteidh.or.cr/docs/casos/articulos/seriec_428_esp.pdf" TargetMode="External"/><Relationship Id="rId1" Type="http://schemas.openxmlformats.org/officeDocument/2006/relationships/hyperlink" Target="https://www.corteidh.or.cr/docs/casos/articulos/seriec_412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1B227-EA09-4A79-B41E-063ADE309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1053</Words>
  <Characters>5796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Tsaitami Ordonez</dc:creator>
  <cp:keywords/>
  <dc:description/>
  <cp:lastModifiedBy>Liliana Tojo</cp:lastModifiedBy>
  <cp:revision>2</cp:revision>
  <dcterms:created xsi:type="dcterms:W3CDTF">2022-06-02T18:10:00Z</dcterms:created>
  <dcterms:modified xsi:type="dcterms:W3CDTF">2022-06-02T18:10:00Z</dcterms:modified>
</cp:coreProperties>
</file>