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1C4D3" w14:textId="0E945A64" w:rsidR="00A22598" w:rsidRDefault="00A22598" w:rsidP="00A22598">
      <w:pPr>
        <w:tabs>
          <w:tab w:val="left" w:pos="567"/>
        </w:tabs>
        <w:spacing w:after="0" w:line="240" w:lineRule="auto"/>
        <w:jc w:val="center"/>
        <w:rPr>
          <w:b/>
          <w:szCs w:val="20"/>
          <w:lang w:val="es-CR"/>
        </w:rPr>
      </w:pPr>
      <w:r>
        <w:rPr>
          <w:b/>
          <w:szCs w:val="20"/>
          <w:lang w:val="es-CR"/>
        </w:rPr>
        <w:t>RESOLUCIÓN DE LA</w:t>
      </w:r>
    </w:p>
    <w:p w14:paraId="04A8BDE1" w14:textId="77777777" w:rsidR="00A22598" w:rsidRDefault="00A22598" w:rsidP="00A22598">
      <w:pPr>
        <w:tabs>
          <w:tab w:val="left" w:pos="567"/>
        </w:tabs>
        <w:spacing w:after="0" w:line="240" w:lineRule="auto"/>
        <w:jc w:val="center"/>
        <w:rPr>
          <w:b/>
          <w:szCs w:val="20"/>
          <w:lang w:val="es-CR"/>
        </w:rPr>
      </w:pPr>
      <w:r>
        <w:rPr>
          <w:b/>
          <w:szCs w:val="20"/>
          <w:lang w:val="es-CR"/>
        </w:rPr>
        <w:t>CORTE INTERAMERICANA DE DERECHOS HUMANOS</w:t>
      </w:r>
    </w:p>
    <w:p w14:paraId="58891171" w14:textId="77777777" w:rsidR="00A22598" w:rsidRDefault="00A22598" w:rsidP="00A22598">
      <w:pPr>
        <w:tabs>
          <w:tab w:val="left" w:pos="567"/>
        </w:tabs>
        <w:spacing w:after="0" w:line="240" w:lineRule="auto"/>
        <w:jc w:val="center"/>
        <w:rPr>
          <w:b/>
          <w:szCs w:val="20"/>
          <w:lang w:val="es-CR"/>
        </w:rPr>
      </w:pPr>
    </w:p>
    <w:p w14:paraId="1D6EF871" w14:textId="4F5962FE" w:rsidR="00A22598" w:rsidRPr="00092DF3" w:rsidRDefault="00A22598" w:rsidP="00A22598">
      <w:pPr>
        <w:tabs>
          <w:tab w:val="left" w:pos="567"/>
        </w:tabs>
        <w:spacing w:after="0" w:line="240" w:lineRule="auto"/>
        <w:jc w:val="center"/>
        <w:rPr>
          <w:b/>
          <w:szCs w:val="20"/>
          <w:lang w:val="pt-BR"/>
        </w:rPr>
      </w:pPr>
      <w:r w:rsidRPr="00092DF3">
        <w:rPr>
          <w:b/>
          <w:szCs w:val="20"/>
          <w:lang w:val="pt-BR"/>
        </w:rPr>
        <w:t xml:space="preserve">DE </w:t>
      </w:r>
      <w:r w:rsidR="00105C61" w:rsidRPr="00092DF3">
        <w:rPr>
          <w:b/>
          <w:szCs w:val="20"/>
          <w:lang w:val="pt-BR"/>
        </w:rPr>
        <w:t>28</w:t>
      </w:r>
      <w:r w:rsidRPr="00092DF3">
        <w:rPr>
          <w:b/>
          <w:szCs w:val="20"/>
          <w:lang w:val="pt-BR"/>
        </w:rPr>
        <w:t xml:space="preserve"> DE </w:t>
      </w:r>
      <w:r w:rsidR="00367378" w:rsidRPr="00092DF3">
        <w:rPr>
          <w:b/>
          <w:szCs w:val="20"/>
          <w:lang w:val="pt-BR"/>
        </w:rPr>
        <w:t>ABRIL</w:t>
      </w:r>
      <w:r w:rsidRPr="00092DF3">
        <w:rPr>
          <w:b/>
          <w:szCs w:val="20"/>
          <w:lang w:val="pt-BR"/>
        </w:rPr>
        <w:t xml:space="preserve"> DE 2022</w:t>
      </w:r>
    </w:p>
    <w:p w14:paraId="453DB91A" w14:textId="77777777" w:rsidR="00A22598" w:rsidRPr="00092DF3" w:rsidRDefault="00A22598" w:rsidP="00A22598">
      <w:pPr>
        <w:tabs>
          <w:tab w:val="left" w:pos="567"/>
        </w:tabs>
        <w:spacing w:after="0" w:line="240" w:lineRule="auto"/>
        <w:jc w:val="center"/>
        <w:rPr>
          <w:b/>
          <w:szCs w:val="20"/>
          <w:lang w:val="pt-BR"/>
        </w:rPr>
      </w:pPr>
    </w:p>
    <w:p w14:paraId="6BF3012B" w14:textId="55B96048" w:rsidR="00A22598" w:rsidRPr="008226E9" w:rsidRDefault="00A22598" w:rsidP="00A22598">
      <w:pPr>
        <w:tabs>
          <w:tab w:val="left" w:pos="567"/>
        </w:tabs>
        <w:spacing w:after="0" w:line="240" w:lineRule="auto"/>
        <w:jc w:val="center"/>
        <w:rPr>
          <w:szCs w:val="20"/>
          <w:lang w:val="pt-BR"/>
        </w:rPr>
      </w:pPr>
      <w:r w:rsidRPr="008226E9">
        <w:rPr>
          <w:b/>
          <w:szCs w:val="20"/>
          <w:lang w:val="pt-BR"/>
        </w:rPr>
        <w:t>CASO NISSEN PESSOLANI VS. PARAGUAY</w:t>
      </w:r>
    </w:p>
    <w:p w14:paraId="6480CFF2" w14:textId="77777777" w:rsidR="00A22598" w:rsidRPr="008226E9" w:rsidRDefault="00A22598" w:rsidP="00A22598">
      <w:pPr>
        <w:tabs>
          <w:tab w:val="left" w:pos="567"/>
        </w:tabs>
        <w:spacing w:after="0" w:line="240" w:lineRule="auto"/>
        <w:rPr>
          <w:szCs w:val="20"/>
          <w:lang w:val="pt-BR"/>
        </w:rPr>
      </w:pPr>
    </w:p>
    <w:p w14:paraId="3C3BABA5" w14:textId="71295B9C" w:rsidR="00A22598" w:rsidRPr="008226E9" w:rsidRDefault="00A22598" w:rsidP="00A22598">
      <w:pPr>
        <w:tabs>
          <w:tab w:val="left" w:pos="567"/>
        </w:tabs>
        <w:spacing w:after="0" w:line="240" w:lineRule="auto"/>
        <w:rPr>
          <w:b/>
          <w:szCs w:val="20"/>
          <w:lang w:val="pt-BR"/>
        </w:rPr>
      </w:pPr>
      <w:r w:rsidRPr="008226E9">
        <w:rPr>
          <w:b/>
          <w:szCs w:val="20"/>
          <w:lang w:val="pt-BR"/>
        </w:rPr>
        <w:t>VISTO:</w:t>
      </w:r>
    </w:p>
    <w:p w14:paraId="426EEFD2" w14:textId="49DA9B81" w:rsidR="007A4A3D" w:rsidRPr="002B2D77" w:rsidRDefault="00A22598" w:rsidP="007A4A3D">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bookmarkStart w:id="0" w:name="_Ref393297742"/>
      <w:bookmarkStart w:id="1" w:name="_Ref352676460"/>
      <w:r>
        <w:rPr>
          <w:lang w:val="es-CR"/>
        </w:rPr>
        <w:t>El escrito de sometimiento del caso y el Informe de Fondo de la Comisión Interamericana de Derechos Humanos (en adelante “la Comisión Interamericana” o “la Comisión”)</w:t>
      </w:r>
      <w:bookmarkEnd w:id="0"/>
      <w:r>
        <w:rPr>
          <w:lang w:val="es-CR"/>
        </w:rPr>
        <w:t xml:space="preserve">; </w:t>
      </w:r>
      <w:bookmarkStart w:id="2" w:name="_Ref351983508"/>
      <w:bookmarkStart w:id="3" w:name="_Ref393297751"/>
      <w:bookmarkEnd w:id="1"/>
      <w:r>
        <w:rPr>
          <w:lang w:val="es-CR"/>
        </w:rPr>
        <w:t>el escrito de solicitudes, argumentos y pruebas (en adelante, el “escrito de solicitudes y argumentos”) del representante de la presunta víctima</w:t>
      </w:r>
      <w:r w:rsidR="00E04312">
        <w:rPr>
          <w:rStyle w:val="Refdenotaalpie"/>
          <w:lang w:val="es-CR"/>
        </w:rPr>
        <w:footnoteReference w:id="1"/>
      </w:r>
      <w:r>
        <w:rPr>
          <w:lang w:val="es-CR"/>
        </w:rPr>
        <w:t xml:space="preserve"> (en adelante “el representante”); </w:t>
      </w:r>
      <w:bookmarkStart w:id="4" w:name="_Ref352676532"/>
      <w:bookmarkEnd w:id="2"/>
      <w:bookmarkEnd w:id="3"/>
      <w:r>
        <w:rPr>
          <w:lang w:val="es-CR"/>
        </w:rPr>
        <w:t>el escrito de contestación al sometimiento del caso y al escrito de solicitudes y argumentos</w:t>
      </w:r>
      <w:r>
        <w:rPr>
          <w:color w:val="FF0000"/>
          <w:lang w:val="es-CR"/>
        </w:rPr>
        <w:t xml:space="preserve"> </w:t>
      </w:r>
      <w:r>
        <w:rPr>
          <w:lang w:val="es-CR"/>
        </w:rPr>
        <w:t xml:space="preserve">(en adelante “escrito de contestación”) del Estado </w:t>
      </w:r>
      <w:bookmarkEnd w:id="4"/>
      <w:r>
        <w:t xml:space="preserve">de </w:t>
      </w:r>
      <w:r w:rsidR="00EA7735">
        <w:t>Paraguay</w:t>
      </w:r>
      <w:r>
        <w:rPr>
          <w:b/>
          <w:lang w:val="es-CR"/>
        </w:rPr>
        <w:t xml:space="preserve"> </w:t>
      </w:r>
      <w:r>
        <w:t>(en adelante “</w:t>
      </w:r>
      <w:r w:rsidR="00EA7735">
        <w:rPr>
          <w:lang w:val="es-CR"/>
        </w:rPr>
        <w:t>Paraguay</w:t>
      </w:r>
      <w:r>
        <w:t>” o “el Estado”).</w:t>
      </w:r>
    </w:p>
    <w:p w14:paraId="628C826C" w14:textId="3163635C" w:rsidR="00E83563" w:rsidRPr="002B2D77" w:rsidRDefault="00367378" w:rsidP="007A4A3D">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La Resolución del Presidente de la Corte Interamericana de Derechos Humanos (en adelante “</w:t>
      </w:r>
      <w:r w:rsidR="00051FCF">
        <w:t xml:space="preserve">la </w:t>
      </w:r>
      <w:r>
        <w:t>Corte Interamericana”, “</w:t>
      </w:r>
      <w:r w:rsidR="00051FCF">
        <w:t xml:space="preserve">la </w:t>
      </w:r>
      <w:r>
        <w:t>Corte” o “</w:t>
      </w:r>
      <w:r w:rsidR="00051FCF">
        <w:t xml:space="preserve">el </w:t>
      </w:r>
      <w:r>
        <w:t xml:space="preserve">Tribunal”) de 29 de marzo de 2022 por medio de la cual, entre otros, se acordó convocar al Estado, al representante de la presunta víctima y la Comisión Interamericana a una audiencia pública sobre </w:t>
      </w:r>
      <w:r w:rsidR="00D300EB">
        <w:t xml:space="preserve">el fondo y las eventuales reparaciones y costas que se celebrará de manera presencial en la Sede de la Corte Interamericana en San José de Costa Rica durante el 148 Período Ordinario de Sesiones los días 9 de mayo </w:t>
      </w:r>
      <w:r w:rsidR="00DC7A9C">
        <w:t>a partir de las 14:30 horas y 10 de mayo a partir de las 9:00</w:t>
      </w:r>
      <w:r w:rsidR="00051FCF">
        <w:t xml:space="preserve"> horas</w:t>
      </w:r>
      <w:r w:rsidR="00DC7A9C">
        <w:t>, para recibir sus alegatos y observaciones finales orales, así como las declaraciones de tres testigos propuestos por la representación de la presunta víctima</w:t>
      </w:r>
      <w:r w:rsidR="00DC7A9C">
        <w:rPr>
          <w:rStyle w:val="Refdenotaalpie"/>
        </w:rPr>
        <w:footnoteReference w:id="2"/>
      </w:r>
      <w:r w:rsidR="00DC7A9C">
        <w:t xml:space="preserve"> y un perito propuesto por el Estado</w:t>
      </w:r>
      <w:r w:rsidR="00510E03">
        <w:rPr>
          <w:rStyle w:val="Refdenotaalpie"/>
        </w:rPr>
        <w:footnoteReference w:id="3"/>
      </w:r>
      <w:r w:rsidR="00DC7A9C">
        <w:t>.</w:t>
      </w:r>
    </w:p>
    <w:p w14:paraId="53212D00" w14:textId="23A5272A" w:rsidR="00E83563" w:rsidRPr="00510E03" w:rsidRDefault="00510E03" w:rsidP="002D28EF">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 xml:space="preserve">El escrito de 4 de abril de 2022, por medio del cual el Estado presentó un recurso de reconsideración en contra de la </w:t>
      </w:r>
      <w:r w:rsidR="00BA48BD">
        <w:t>R</w:t>
      </w:r>
      <w:r>
        <w:t xml:space="preserve">esolución de la Presidencia de la Corte Interamericana de 29 de marzo de 2022, en donde solicitó que se admitiera la declaración de la testigo Matilde Elena Moreno </w:t>
      </w:r>
      <w:proofErr w:type="spellStart"/>
      <w:r>
        <w:t>Irigoitia</w:t>
      </w:r>
      <w:proofErr w:type="spellEnd"/>
      <w:r>
        <w:t xml:space="preserve"> durante la audiencia pública y no ante fedatario público, como fue establecido en la referida Resolución de Presidencia.</w:t>
      </w:r>
    </w:p>
    <w:p w14:paraId="0E89A047" w14:textId="0744844A" w:rsidR="00510E03" w:rsidRPr="002D28EF" w:rsidRDefault="00510E03" w:rsidP="002D28EF">
      <w:pPr>
        <w:widowControl w:val="0"/>
        <w:numPr>
          <w:ilvl w:val="0"/>
          <w:numId w:val="1"/>
        </w:numPr>
        <w:tabs>
          <w:tab w:val="left" w:pos="567"/>
        </w:tabs>
        <w:autoSpaceDE w:val="0"/>
        <w:autoSpaceDN w:val="0"/>
        <w:adjustRightInd w:val="0"/>
        <w:spacing w:before="240" w:after="240" w:line="240" w:lineRule="auto"/>
        <w:ind w:left="0" w:right="22" w:firstLine="0"/>
        <w:jc w:val="both"/>
        <w:rPr>
          <w:lang w:val="es-CR"/>
        </w:rPr>
      </w:pPr>
      <w:r>
        <w:t xml:space="preserve">La nota de Secretaría de </w:t>
      </w:r>
      <w:r w:rsidR="0038629B">
        <w:t>5 de abril de 2022, por medio de la cual se dio traslado al representante de la presunta víctima y a la Comisión Interamericana del recurso de reconsideración planteado por el Estado, otorgándoles plazo hasta el 12 de abril de 2022 para que remitieran las observaciones pertinentes.</w:t>
      </w:r>
    </w:p>
    <w:p w14:paraId="6A9C75F4" w14:textId="1DDB608A" w:rsidR="007A4A3D" w:rsidRPr="007A4A3D" w:rsidRDefault="00E87871" w:rsidP="007A4A3D">
      <w:pPr>
        <w:widowControl w:val="0"/>
        <w:numPr>
          <w:ilvl w:val="0"/>
          <w:numId w:val="1"/>
        </w:numPr>
        <w:tabs>
          <w:tab w:val="left" w:pos="567"/>
        </w:tabs>
        <w:autoSpaceDE w:val="0"/>
        <w:autoSpaceDN w:val="0"/>
        <w:adjustRightInd w:val="0"/>
        <w:spacing w:before="240" w:after="240" w:line="240" w:lineRule="auto"/>
        <w:ind w:left="0" w:right="22" w:firstLine="0"/>
        <w:jc w:val="both"/>
        <w:rPr>
          <w:b/>
          <w:lang w:val="es-CR"/>
        </w:rPr>
      </w:pPr>
      <w:r>
        <w:rPr>
          <w:lang w:val="es-CR"/>
        </w:rPr>
        <w:t>Las comunicaciones de 8</w:t>
      </w:r>
      <w:r w:rsidR="003372A5">
        <w:rPr>
          <w:lang w:val="es-CR"/>
        </w:rPr>
        <w:t xml:space="preserve"> y 12</w:t>
      </w:r>
      <w:r>
        <w:rPr>
          <w:lang w:val="es-CR"/>
        </w:rPr>
        <w:t xml:space="preserve"> de abril de 2022 </w:t>
      </w:r>
      <w:r w:rsidR="003372A5">
        <w:rPr>
          <w:lang w:val="es-CR"/>
        </w:rPr>
        <w:t>mediante las cuales la representación de la presunta víctima y la Comisión, respectivamente, presentaron sus observaciones.</w:t>
      </w:r>
    </w:p>
    <w:p w14:paraId="7178AF2F" w14:textId="4AC48B85" w:rsidR="00A22598" w:rsidRPr="00A761F2" w:rsidRDefault="00A22598" w:rsidP="00A761F2">
      <w:pPr>
        <w:tabs>
          <w:tab w:val="left" w:pos="567"/>
        </w:tabs>
        <w:spacing w:after="0" w:line="240" w:lineRule="auto"/>
        <w:rPr>
          <w:b/>
          <w:szCs w:val="20"/>
          <w:lang w:val="es-CR"/>
        </w:rPr>
      </w:pPr>
      <w:r>
        <w:rPr>
          <w:b/>
          <w:szCs w:val="20"/>
          <w:lang w:val="es-CR"/>
        </w:rPr>
        <w:t>CONSIDERANDO QUE:</w:t>
      </w:r>
    </w:p>
    <w:p w14:paraId="6E7B0F08" w14:textId="11DC3F77" w:rsidR="007A4A3D" w:rsidRPr="00A761F2" w:rsidRDefault="003372A5"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lang w:val="es-CR"/>
        </w:rPr>
      </w:pPr>
      <w:r>
        <w:rPr>
          <w:lang w:val="es-CR"/>
        </w:rPr>
        <w:t xml:space="preserve">Las decisiones de la Presidencia de la Corte que no sean de mero trámite son recurribles ante la Corte Interamericana de Derechos Humanos, en los términos del artículo 31.2 del Reglamento de este Tribunal (en adelante “el Reglamento”). El </w:t>
      </w:r>
      <w:r>
        <w:rPr>
          <w:lang w:val="es-CR"/>
        </w:rPr>
        <w:lastRenderedPageBreak/>
        <w:t>ofrecimiento y la admisión de la prueba, así como la citación de testigos y peritos se encuentran regulados en los artículos 35.1.f, 40.2.c, 41.1.c, 46 a 50, 52.3, 57 y 58 del Reglamento.</w:t>
      </w:r>
    </w:p>
    <w:p w14:paraId="2CA1E157" w14:textId="5456DEAD" w:rsidR="00A04EED" w:rsidRPr="00A04EED" w:rsidRDefault="003372A5"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t>A continuación</w:t>
      </w:r>
      <w:r w:rsidR="00EC1669">
        <w:t>,</w:t>
      </w:r>
      <w:r>
        <w:t xml:space="preserve"> el Tribunal procederá a (i) recapitular lo establecido en la Resolución del </w:t>
      </w:r>
      <w:proofErr w:type="gramStart"/>
      <w:r>
        <w:t>Presidente</w:t>
      </w:r>
      <w:proofErr w:type="gramEnd"/>
      <w:r>
        <w:t xml:space="preserve"> de 29 de marzo de 2022</w:t>
      </w:r>
      <w:r w:rsidR="00EC1669">
        <w:t>; (</w:t>
      </w:r>
      <w:proofErr w:type="spellStart"/>
      <w:r w:rsidR="00EC1669">
        <w:t>ii</w:t>
      </w:r>
      <w:proofErr w:type="spellEnd"/>
      <w:r w:rsidR="00EC1669">
        <w:t>) resumir los alegatos presentados por el Estado en su recurso de reconsideración, así como las observaciones de la representación de la presunta víctima y la Comisión, para posteriormente (</w:t>
      </w:r>
      <w:proofErr w:type="spellStart"/>
      <w:r w:rsidR="00EC1669">
        <w:t>iii</w:t>
      </w:r>
      <w:proofErr w:type="spellEnd"/>
      <w:r w:rsidR="00EC1669">
        <w:t>) resolver las cuestiones planteadas.</w:t>
      </w:r>
      <w:r w:rsidR="00A22598">
        <w:t xml:space="preserve"> </w:t>
      </w:r>
    </w:p>
    <w:p w14:paraId="2D6B0F86" w14:textId="14A95673" w:rsidR="007A4A3D" w:rsidRPr="00C74A82" w:rsidRDefault="00EC1669"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rFonts w:eastAsia="Times New Roman"/>
          <w:lang w:val="es-CL"/>
        </w:rPr>
        <w:t xml:space="preserve">En </w:t>
      </w:r>
      <w:r w:rsidR="00374654">
        <w:rPr>
          <w:rFonts w:eastAsia="Times New Roman"/>
          <w:lang w:val="es-CL"/>
        </w:rPr>
        <w:t xml:space="preserve">virtud de la Resolución del </w:t>
      </w:r>
      <w:proofErr w:type="gramStart"/>
      <w:r w:rsidR="00374654">
        <w:rPr>
          <w:rFonts w:eastAsia="Times New Roman"/>
          <w:lang w:val="es-CL"/>
        </w:rPr>
        <w:t>Presidente</w:t>
      </w:r>
      <w:proofErr w:type="gramEnd"/>
      <w:r w:rsidR="00374654">
        <w:rPr>
          <w:rFonts w:eastAsia="Times New Roman"/>
          <w:lang w:val="es-CL"/>
        </w:rPr>
        <w:t xml:space="preserve"> de 29 de marzo de 2022</w:t>
      </w:r>
      <w:r w:rsidR="00837EF9">
        <w:rPr>
          <w:rFonts w:eastAsia="Times New Roman"/>
          <w:lang w:val="es-CL"/>
        </w:rPr>
        <w:t>, se admitió la totalidad de las declaraciones ofrecidas por el Estado, con el objetivo de que el Tribunal aprecie su valor en la debida oportunidad procesal. De esta forma, la Presidencia rechazó las objeciones presentadas por la representación de la presunta víctima a la forma de recibir la declaración del testigo Oscar Germán Latorre, y aprobó</w:t>
      </w:r>
      <w:r w:rsidR="00D11A7C">
        <w:rPr>
          <w:rFonts w:eastAsia="Times New Roman"/>
          <w:lang w:val="es-CL"/>
        </w:rPr>
        <w:t xml:space="preserve"> recibir</w:t>
      </w:r>
      <w:r w:rsidR="00837EF9">
        <w:rPr>
          <w:rFonts w:eastAsia="Times New Roman"/>
          <w:lang w:val="es-CL"/>
        </w:rPr>
        <w:t xml:space="preserve"> las declaraciones de los testigos Matilde Elena Moreno </w:t>
      </w:r>
      <w:proofErr w:type="spellStart"/>
      <w:r w:rsidR="00837EF9">
        <w:rPr>
          <w:rFonts w:eastAsia="Times New Roman"/>
          <w:lang w:val="es-CL"/>
        </w:rPr>
        <w:t>Irigotia</w:t>
      </w:r>
      <w:proofErr w:type="spellEnd"/>
      <w:r w:rsidR="00837EF9">
        <w:rPr>
          <w:rFonts w:eastAsia="Times New Roman"/>
          <w:lang w:val="es-CL"/>
        </w:rPr>
        <w:t xml:space="preserve"> y Enrique Antonio Sosa Elizeche, así como el peritaje de Osvaldo Alfredo </w:t>
      </w:r>
      <w:proofErr w:type="spellStart"/>
      <w:r w:rsidR="00837EF9">
        <w:rPr>
          <w:rFonts w:eastAsia="Times New Roman"/>
          <w:lang w:val="es-CL"/>
        </w:rPr>
        <w:t>Gozaíni</w:t>
      </w:r>
      <w:proofErr w:type="spellEnd"/>
      <w:r w:rsidR="00837EF9">
        <w:rPr>
          <w:rFonts w:eastAsia="Times New Roman"/>
          <w:lang w:val="es-CL"/>
        </w:rPr>
        <w:t>, por no haber sido objetad</w:t>
      </w:r>
      <w:r w:rsidR="00D11A7C">
        <w:rPr>
          <w:rFonts w:eastAsia="Times New Roman"/>
          <w:lang w:val="es-CL"/>
        </w:rPr>
        <w:t>a</w:t>
      </w:r>
      <w:r w:rsidR="00837EF9">
        <w:rPr>
          <w:rFonts w:eastAsia="Times New Roman"/>
          <w:lang w:val="es-CL"/>
        </w:rPr>
        <w:t>s</w:t>
      </w:r>
      <w:r w:rsidR="00A329D8">
        <w:rPr>
          <w:rFonts w:eastAsia="Times New Roman"/>
          <w:lang w:val="es-CL"/>
        </w:rPr>
        <w:t xml:space="preserve">. En cuanto a la modalidad de recepción de estas declaraciones, la Presidencia determinó que el peritaje de Osvaldo Alfredo </w:t>
      </w:r>
      <w:proofErr w:type="spellStart"/>
      <w:r w:rsidR="00A329D8">
        <w:rPr>
          <w:rFonts w:eastAsia="Times New Roman"/>
          <w:lang w:val="es-CL"/>
        </w:rPr>
        <w:t>Gozaíni</w:t>
      </w:r>
      <w:proofErr w:type="spellEnd"/>
      <w:r w:rsidR="00A329D8">
        <w:rPr>
          <w:rFonts w:eastAsia="Times New Roman"/>
          <w:lang w:val="es-CL"/>
        </w:rPr>
        <w:t xml:space="preserve"> sería rendido en audiencia pública, mientas que las declaraciones testimoniales de Oscar Germán Lat</w:t>
      </w:r>
      <w:r w:rsidR="00B76D3E">
        <w:rPr>
          <w:rFonts w:eastAsia="Times New Roman"/>
          <w:lang w:val="es-CL"/>
        </w:rPr>
        <w:t>o</w:t>
      </w:r>
      <w:r w:rsidR="00A329D8">
        <w:rPr>
          <w:rFonts w:eastAsia="Times New Roman"/>
          <w:lang w:val="es-CL"/>
        </w:rPr>
        <w:t>rr</w:t>
      </w:r>
      <w:r w:rsidR="00B76D3E">
        <w:rPr>
          <w:rFonts w:eastAsia="Times New Roman"/>
          <w:lang w:val="es-CL"/>
        </w:rPr>
        <w:t>e</w:t>
      </w:r>
      <w:r w:rsidR="00A329D8">
        <w:rPr>
          <w:rFonts w:eastAsia="Times New Roman"/>
          <w:lang w:val="es-CL"/>
        </w:rPr>
        <w:t xml:space="preserve">, Elena Moreno </w:t>
      </w:r>
      <w:proofErr w:type="spellStart"/>
      <w:r w:rsidR="00A329D8">
        <w:rPr>
          <w:rFonts w:eastAsia="Times New Roman"/>
          <w:lang w:val="es-CL"/>
        </w:rPr>
        <w:t>Irigotia</w:t>
      </w:r>
      <w:proofErr w:type="spellEnd"/>
      <w:r w:rsidR="00A329D8">
        <w:rPr>
          <w:rFonts w:eastAsia="Times New Roman"/>
          <w:lang w:val="es-CL"/>
        </w:rPr>
        <w:t xml:space="preserve"> y Enrique Antonio Sosa Elizech</w:t>
      </w:r>
      <w:r w:rsidR="00B76D3E">
        <w:rPr>
          <w:rFonts w:eastAsia="Times New Roman"/>
          <w:lang w:val="es-CL"/>
        </w:rPr>
        <w:t>e</w:t>
      </w:r>
      <w:r w:rsidR="00A329D8">
        <w:rPr>
          <w:rFonts w:eastAsia="Times New Roman"/>
          <w:lang w:val="es-CL"/>
        </w:rPr>
        <w:t xml:space="preserve"> serían rendidas ante fedatario público.</w:t>
      </w:r>
      <w:r w:rsidR="008D1357">
        <w:rPr>
          <w:rFonts w:eastAsia="Times New Roman"/>
          <w:lang w:val="es-CL"/>
        </w:rPr>
        <w:t xml:space="preserve"> La Presidencia también resolvió recibir las declaraciones de tres testigos</w:t>
      </w:r>
      <w:r w:rsidR="008D1357">
        <w:rPr>
          <w:rStyle w:val="Refdenotaalpie"/>
          <w:rFonts w:eastAsia="Times New Roman"/>
          <w:lang w:val="es-CL"/>
        </w:rPr>
        <w:footnoteReference w:id="4"/>
      </w:r>
      <w:r w:rsidR="008D1357">
        <w:rPr>
          <w:rFonts w:eastAsia="Times New Roman"/>
          <w:lang w:val="es-CL"/>
        </w:rPr>
        <w:t xml:space="preserve"> ofrecidos por la representación de la presunta víctima durante la audiencia oral y pública.</w:t>
      </w:r>
    </w:p>
    <w:p w14:paraId="609C493E" w14:textId="76497C5A" w:rsidR="00C74A82" w:rsidRPr="007A0BEA" w:rsidRDefault="00A329D8"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El </w:t>
      </w:r>
      <w:r>
        <w:rPr>
          <w:b/>
          <w:bCs/>
          <w:i/>
          <w:iCs/>
          <w:lang w:val="es-CR"/>
        </w:rPr>
        <w:t>Estado</w:t>
      </w:r>
      <w:r>
        <w:rPr>
          <w:lang w:val="es-CR"/>
        </w:rPr>
        <w:t xml:space="preserve"> solicitó la reconsideración de la admisión de la declaración testimonial de Elena Moreno </w:t>
      </w:r>
      <w:proofErr w:type="spellStart"/>
      <w:r>
        <w:rPr>
          <w:lang w:val="es-CR"/>
        </w:rPr>
        <w:t>Irigot</w:t>
      </w:r>
      <w:r w:rsidR="00663030">
        <w:rPr>
          <w:lang w:val="es-CR"/>
        </w:rPr>
        <w:t>i</w:t>
      </w:r>
      <w:r>
        <w:rPr>
          <w:lang w:val="es-CR"/>
        </w:rPr>
        <w:t>a</w:t>
      </w:r>
      <w:proofErr w:type="spellEnd"/>
      <w:r>
        <w:rPr>
          <w:lang w:val="es-CR"/>
        </w:rPr>
        <w:t xml:space="preserve"> ante fedatario público y solicitó que ésta fuera recibida en audiencia. Alegó </w:t>
      </w:r>
      <w:r w:rsidR="008D1357">
        <w:rPr>
          <w:lang w:val="es-CR"/>
        </w:rPr>
        <w:t xml:space="preserve">que “[l]a recepción oral de esta declaración es sumamente importante debido a que la testigo propuesta fue designada como agente fiscal encargada de despacho, en reemplazo del señor Nissen </w:t>
      </w:r>
      <w:proofErr w:type="spellStart"/>
      <w:r w:rsidR="008D1357">
        <w:rPr>
          <w:lang w:val="es-CR"/>
        </w:rPr>
        <w:t>Pessolani</w:t>
      </w:r>
      <w:proofErr w:type="spellEnd"/>
      <w:r w:rsidR="00C74A82">
        <w:rPr>
          <w:lang w:val="es-CR"/>
        </w:rPr>
        <w:t>.</w:t>
      </w:r>
      <w:r w:rsidR="008D1357">
        <w:rPr>
          <w:lang w:val="es-CR"/>
        </w:rPr>
        <w:t xml:space="preserve"> Así, la declaración de esta testigo, en un contradictorio amplio, podrá referirse a la tarea que le fuera encomendada por el entonces fiscal general del Estado y al estado de las causas que encontró en su despacho”. Indicó además que podría, además, explicar el procedimiento interno en el Ministerio Público para que se asigne a un fiscal la investigación de un caso concreto. Solicitó que, en caso de que no se aceptara la declaración de la testigo durante la audiencia, se recibiera vía telemática </w:t>
      </w:r>
      <w:r w:rsidR="00050DD9">
        <w:rPr>
          <w:lang w:val="es-CR"/>
        </w:rPr>
        <w:t>“</w:t>
      </w:r>
      <w:r w:rsidR="008D1357">
        <w:rPr>
          <w:lang w:val="es-CR"/>
        </w:rPr>
        <w:t>acortando la brecha de las condiciones desiguales establecidas por la Presidencia de la Corte IDH”.</w:t>
      </w:r>
    </w:p>
    <w:p w14:paraId="56C3E7C2" w14:textId="497B7D77" w:rsidR="007A0BEA" w:rsidRPr="00D32A80" w:rsidRDefault="00050DD9"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El </w:t>
      </w:r>
      <w:r>
        <w:rPr>
          <w:b/>
          <w:bCs/>
          <w:i/>
          <w:iCs/>
          <w:lang w:val="es-CR"/>
        </w:rPr>
        <w:t>representante</w:t>
      </w:r>
      <w:r>
        <w:rPr>
          <w:lang w:val="es-CR"/>
        </w:rPr>
        <w:t xml:space="preserve"> de la presunta víctima observó que la resolución</w:t>
      </w:r>
      <w:r w:rsidR="0015553C">
        <w:rPr>
          <w:lang w:val="es-CR"/>
        </w:rPr>
        <w:t xml:space="preserve"> de la Presidencia</w:t>
      </w:r>
      <w:r>
        <w:rPr>
          <w:lang w:val="es-CR"/>
        </w:rPr>
        <w:t xml:space="preserve"> aceptó todas las declaraciones propuestas por el Estado, por lo que no se ha privado de ninguna de sus pruebas. Subrayó que la decisión sobre la modalidad de las declaraciones es una atribución de la Corte. Asimismo, alegó que la declaración de la testigo Matilde Moreno no tiene</w:t>
      </w:r>
      <w:r w:rsidR="0015553C">
        <w:rPr>
          <w:lang w:val="es-CR"/>
        </w:rPr>
        <w:t xml:space="preserve"> especial</w:t>
      </w:r>
      <w:r>
        <w:rPr>
          <w:lang w:val="es-CR"/>
        </w:rPr>
        <w:t xml:space="preserve"> relevancia para el caso, ya que </w:t>
      </w:r>
      <w:r w:rsidR="00D32A80">
        <w:rPr>
          <w:lang w:val="es-CR"/>
        </w:rPr>
        <w:t xml:space="preserve">su objeto no corresponde al marco fáctico </w:t>
      </w:r>
      <w:r w:rsidR="00987D3D">
        <w:rPr>
          <w:lang w:val="es-CR"/>
        </w:rPr>
        <w:t xml:space="preserve">establecido por la Comisión en su Informe de </w:t>
      </w:r>
      <w:r w:rsidR="00D04432">
        <w:rPr>
          <w:lang w:val="es-CR"/>
        </w:rPr>
        <w:t>F</w:t>
      </w:r>
      <w:r w:rsidR="00987D3D">
        <w:rPr>
          <w:lang w:val="es-CR"/>
        </w:rPr>
        <w:t>ondo</w:t>
      </w:r>
      <w:r w:rsidR="00D32A80">
        <w:rPr>
          <w:lang w:val="es-CR"/>
        </w:rPr>
        <w:t xml:space="preserve">. Finalmente, consideró que el hecho de que la testigo declare por affidavit no afectaría la posibilidad de que el Estado pueda alegar y probar sus posiciones. Por consiguiente, solicitó que se desestimara el pedido de reconsideración presentado por el Estado. </w:t>
      </w:r>
    </w:p>
    <w:p w14:paraId="512C6C49" w14:textId="7DF69CF1" w:rsidR="00D32A80" w:rsidRPr="008D51C7" w:rsidRDefault="00D32A80" w:rsidP="00A761F2">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La </w:t>
      </w:r>
      <w:r>
        <w:rPr>
          <w:b/>
          <w:bCs/>
          <w:i/>
          <w:iCs/>
          <w:lang w:val="es-CR"/>
        </w:rPr>
        <w:t xml:space="preserve">Comisión, </w:t>
      </w:r>
      <w:r>
        <w:rPr>
          <w:lang w:val="es-CR"/>
        </w:rPr>
        <w:t>por su parte, manifestó que</w:t>
      </w:r>
      <w:r w:rsidR="004D3F82">
        <w:rPr>
          <w:lang w:val="es-CR"/>
        </w:rPr>
        <w:t xml:space="preserve"> el argumento consistente en que se habrían aceptado los testigos de los representantes y no así los del Estado para ser escuchados en la audiencia no resulta en sí mismo procedente a efectos de considerar que las modalidades de recepción de las pruebas afecten el contradictorio o la igualdad </w:t>
      </w:r>
      <w:r w:rsidR="004D3F82">
        <w:rPr>
          <w:lang w:val="es-CR"/>
        </w:rPr>
        <w:lastRenderedPageBreak/>
        <w:t xml:space="preserve">de armas entre las partes. Alegó que el sustento dado por el Estado para solicitar el cambio de modalidad no es suficiente y se basa en elementos que no están contemplados en el objeto de la declaración de la testigo. Consideró, además, que el objeto de su declaración puede ser igualmente alcanzado a través de la prueba rendida por affidávit. De esta forma, consideró que no encuentra </w:t>
      </w:r>
      <w:r w:rsidR="00B76D3E">
        <w:rPr>
          <w:lang w:val="es-CR"/>
        </w:rPr>
        <w:t>razones para apartarse de la valoración hecha en la resolución de la Presidencia de la Corte.</w:t>
      </w:r>
    </w:p>
    <w:p w14:paraId="2C808261" w14:textId="03269B87" w:rsidR="00A22598" w:rsidRPr="00971681" w:rsidRDefault="00EC29F7" w:rsidP="00A2259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En primer lugar, la </w:t>
      </w:r>
      <w:r>
        <w:rPr>
          <w:b/>
          <w:bCs/>
          <w:i/>
          <w:iCs/>
          <w:lang w:val="es-CR"/>
        </w:rPr>
        <w:t>Corte</w:t>
      </w:r>
      <w:r>
        <w:rPr>
          <w:lang w:val="es-CR"/>
        </w:rPr>
        <w:t xml:space="preserve"> destaca que posee amplias facultades en cuanto a la admisión y modalidad de recepción de la prueba, de conformidad con los artículos 46, 48, 49, 50, 57 y 58 del Reglamento</w:t>
      </w:r>
      <w:r w:rsidR="002C2E6F">
        <w:rPr>
          <w:rStyle w:val="Refdenotaalpie"/>
          <w:lang w:val="es-CR"/>
        </w:rPr>
        <w:footnoteReference w:id="5"/>
      </w:r>
      <w:r>
        <w:rPr>
          <w:lang w:val="es-CR"/>
        </w:rPr>
        <w:t>, atendiendo en todo caso al principio de economía procesal, al equilibrio procesal y al derecho de defensa</w:t>
      </w:r>
      <w:r w:rsidR="002C2E6F">
        <w:rPr>
          <w:rStyle w:val="Refdenotaalpie"/>
          <w:lang w:val="es-CR"/>
        </w:rPr>
        <w:footnoteReference w:id="6"/>
      </w:r>
      <w:r>
        <w:rPr>
          <w:lang w:val="es-CR"/>
        </w:rPr>
        <w:t xml:space="preserve">. </w:t>
      </w:r>
      <w:r w:rsidR="00663030">
        <w:rPr>
          <w:lang w:val="es-CR"/>
        </w:rPr>
        <w:t xml:space="preserve">Asimismo, la Corte advierte la importancia que, para la parte que lo propone, representa el testimonio de Elena Moreno </w:t>
      </w:r>
      <w:proofErr w:type="spellStart"/>
      <w:r w:rsidR="00663030">
        <w:rPr>
          <w:lang w:val="es-CR"/>
        </w:rPr>
        <w:t>Irigotia</w:t>
      </w:r>
      <w:proofErr w:type="spellEnd"/>
      <w:r w:rsidR="00663030">
        <w:rPr>
          <w:lang w:val="es-CR"/>
        </w:rPr>
        <w:t>, al igual que el resto de la prueba ofrecida por quienes intervienen en el proceso. En tal sentido, los distintos elemento</w:t>
      </w:r>
      <w:r w:rsidR="00971681">
        <w:rPr>
          <w:lang w:val="es-CR"/>
        </w:rPr>
        <w:t>s</w:t>
      </w:r>
      <w:r w:rsidR="00663030">
        <w:rPr>
          <w:lang w:val="es-CR"/>
        </w:rPr>
        <w:t xml:space="preserve"> señalados por el Estado pueden ser adecuadamente desarrollados por la testigo en su declaración ante fedatario público.</w:t>
      </w:r>
    </w:p>
    <w:p w14:paraId="4781C802" w14:textId="21747FE9" w:rsidR="00971681" w:rsidRPr="00971681" w:rsidRDefault="00971681" w:rsidP="00A2259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Por otro lado, el Tribunal considera que, en atención al principio de economía procesal, derivado del tiempo dispuesto para el eficaz desarrollo de la audiencia, se considera inviable tanto la pretensión principal del Estado como la pretensión subsidiaria de recibir la declaración de la testigo por medio telemáticos. </w:t>
      </w:r>
    </w:p>
    <w:p w14:paraId="0D5BD25B" w14:textId="73ED3E1E" w:rsidR="00971681" w:rsidRPr="003038B3" w:rsidRDefault="00971681" w:rsidP="00A22598">
      <w:pPr>
        <w:widowControl w:val="0"/>
        <w:numPr>
          <w:ilvl w:val="0"/>
          <w:numId w:val="2"/>
        </w:numPr>
        <w:tabs>
          <w:tab w:val="left" w:pos="567"/>
          <w:tab w:val="left" w:pos="810"/>
        </w:tabs>
        <w:autoSpaceDE w:val="0"/>
        <w:autoSpaceDN w:val="0"/>
        <w:adjustRightInd w:val="0"/>
        <w:spacing w:before="240" w:after="240" w:line="240" w:lineRule="auto"/>
        <w:ind w:left="0" w:right="22" w:firstLine="0"/>
        <w:jc w:val="both"/>
        <w:rPr>
          <w:rFonts w:eastAsia="Times New Roman"/>
          <w:lang w:val="es-CL"/>
        </w:rPr>
      </w:pPr>
      <w:r>
        <w:rPr>
          <w:lang w:val="es-CR"/>
        </w:rPr>
        <w:t xml:space="preserve">De esa cuenta, la decisión de no acceder a lo solicitado no afecta el equilibrio procesal entre las partes intervinientes, en tanto la referida declaración fue admitida y será debidamente valorada en su oportunidad. </w:t>
      </w:r>
    </w:p>
    <w:p w14:paraId="27ECBBF7" w14:textId="77777777" w:rsidR="00A22598" w:rsidRDefault="00A22598" w:rsidP="00A22598">
      <w:pPr>
        <w:tabs>
          <w:tab w:val="left" w:pos="567"/>
        </w:tabs>
        <w:spacing w:after="0" w:line="240" w:lineRule="auto"/>
        <w:jc w:val="both"/>
        <w:rPr>
          <w:rFonts w:cs="Verdana"/>
          <w:b/>
          <w:bCs/>
          <w:szCs w:val="20"/>
          <w:lang w:val="es-CR"/>
        </w:rPr>
      </w:pPr>
      <w:r>
        <w:rPr>
          <w:rFonts w:cs="Verdana"/>
          <w:b/>
          <w:bCs/>
          <w:szCs w:val="20"/>
          <w:lang w:val="es-CR"/>
        </w:rPr>
        <w:t>POR TANTO:</w:t>
      </w:r>
    </w:p>
    <w:p w14:paraId="3FF3C1A1" w14:textId="77777777" w:rsidR="00A22598" w:rsidRDefault="00A22598" w:rsidP="00A22598">
      <w:pPr>
        <w:tabs>
          <w:tab w:val="left" w:pos="567"/>
        </w:tabs>
        <w:spacing w:after="0" w:line="240" w:lineRule="auto"/>
        <w:jc w:val="both"/>
        <w:rPr>
          <w:rFonts w:cs="Verdana"/>
          <w:b/>
          <w:bCs/>
          <w:szCs w:val="20"/>
          <w:lang w:val="es-CR"/>
        </w:rPr>
      </w:pPr>
    </w:p>
    <w:p w14:paraId="05582199" w14:textId="77777777" w:rsidR="00A22598" w:rsidRDefault="00A22598" w:rsidP="00A22598">
      <w:pPr>
        <w:tabs>
          <w:tab w:val="left" w:pos="567"/>
        </w:tabs>
        <w:spacing w:after="0" w:line="240" w:lineRule="auto"/>
        <w:jc w:val="both"/>
        <w:rPr>
          <w:rFonts w:cs="Verdana"/>
          <w:b/>
          <w:bCs/>
          <w:szCs w:val="20"/>
          <w:lang w:val="es-CR"/>
        </w:rPr>
      </w:pPr>
    </w:p>
    <w:p w14:paraId="210D9179" w14:textId="6F74EDCC" w:rsidR="00A22598" w:rsidRDefault="00A22598" w:rsidP="00A22598">
      <w:pPr>
        <w:tabs>
          <w:tab w:val="left" w:pos="567"/>
        </w:tabs>
        <w:spacing w:after="0" w:line="240" w:lineRule="auto"/>
        <w:jc w:val="both"/>
        <w:rPr>
          <w:rFonts w:cs="Verdana"/>
          <w:b/>
          <w:bCs/>
          <w:szCs w:val="20"/>
          <w:lang w:val="es-CR"/>
        </w:rPr>
      </w:pPr>
      <w:r>
        <w:rPr>
          <w:rFonts w:cs="Verdana"/>
          <w:b/>
          <w:bCs/>
          <w:szCs w:val="20"/>
          <w:lang w:val="es-CR"/>
        </w:rPr>
        <w:t xml:space="preserve">LA CORTE INTERAMERICANA DE DERECHOS HUMANOS, </w:t>
      </w:r>
    </w:p>
    <w:p w14:paraId="31323C05" w14:textId="77777777" w:rsidR="00A22598" w:rsidRDefault="00A22598" w:rsidP="00A22598">
      <w:pPr>
        <w:tabs>
          <w:tab w:val="left" w:pos="567"/>
        </w:tabs>
        <w:spacing w:after="0" w:line="240" w:lineRule="auto"/>
        <w:jc w:val="both"/>
        <w:rPr>
          <w:rFonts w:cs="Verdana"/>
          <w:b/>
          <w:bCs/>
          <w:szCs w:val="20"/>
          <w:lang w:val="es-CR"/>
        </w:rPr>
      </w:pPr>
    </w:p>
    <w:p w14:paraId="6F3567D3" w14:textId="33543290" w:rsidR="00A22598" w:rsidRDefault="00971681" w:rsidP="00A22598">
      <w:pPr>
        <w:tabs>
          <w:tab w:val="left" w:pos="567"/>
        </w:tabs>
        <w:spacing w:after="0" w:line="240" w:lineRule="auto"/>
        <w:jc w:val="both"/>
        <w:rPr>
          <w:rFonts w:cs="Verdana"/>
          <w:szCs w:val="20"/>
          <w:lang w:val="es-CR"/>
        </w:rPr>
      </w:pPr>
      <w:r>
        <w:t xml:space="preserve">de conformidad con el artículo 25.2 del Estatuto de la Corte y con </w:t>
      </w:r>
      <w:r w:rsidR="00931421">
        <w:t>el artículo</w:t>
      </w:r>
      <w:r>
        <w:t xml:space="preserve"> 31.2</w:t>
      </w:r>
      <w:r w:rsidR="00931421">
        <w:t xml:space="preserve"> </w:t>
      </w:r>
      <w:r>
        <w:t>del Reglamento</w:t>
      </w:r>
      <w:r w:rsidR="00A22598">
        <w:rPr>
          <w:rFonts w:cs="Verdana"/>
          <w:szCs w:val="20"/>
          <w:lang w:val="es-CR"/>
        </w:rPr>
        <w:t xml:space="preserve">, </w:t>
      </w:r>
    </w:p>
    <w:p w14:paraId="6EDD0BF3" w14:textId="77777777" w:rsidR="00A22598" w:rsidRDefault="00A22598" w:rsidP="00A22598">
      <w:pPr>
        <w:tabs>
          <w:tab w:val="left" w:pos="567"/>
        </w:tabs>
        <w:spacing w:after="0" w:line="240" w:lineRule="auto"/>
        <w:jc w:val="both"/>
        <w:rPr>
          <w:rFonts w:cs="Verdana"/>
          <w:szCs w:val="20"/>
          <w:lang w:val="es-CR"/>
        </w:rPr>
      </w:pPr>
      <w:r>
        <w:rPr>
          <w:rFonts w:cs="Verdana"/>
          <w:szCs w:val="20"/>
          <w:lang w:val="es-CR"/>
        </w:rPr>
        <w:t xml:space="preserve"> </w:t>
      </w:r>
    </w:p>
    <w:p w14:paraId="312064AF" w14:textId="77777777" w:rsidR="00A22598" w:rsidRDefault="00A22598" w:rsidP="00A22598">
      <w:pPr>
        <w:tabs>
          <w:tab w:val="left" w:pos="567"/>
        </w:tabs>
        <w:spacing w:after="0" w:line="240" w:lineRule="auto"/>
        <w:jc w:val="both"/>
        <w:rPr>
          <w:rFonts w:cs="Verdana"/>
          <w:szCs w:val="20"/>
          <w:lang w:val="es-CR"/>
        </w:rPr>
      </w:pPr>
    </w:p>
    <w:p w14:paraId="42C36DB5" w14:textId="4024899E" w:rsidR="00A22598" w:rsidRDefault="00A22598" w:rsidP="00A22598">
      <w:pPr>
        <w:tabs>
          <w:tab w:val="left" w:pos="567"/>
        </w:tabs>
        <w:spacing w:after="0" w:line="240" w:lineRule="auto"/>
        <w:jc w:val="both"/>
        <w:rPr>
          <w:rFonts w:cs="Verdana"/>
          <w:b/>
          <w:bCs/>
          <w:szCs w:val="20"/>
          <w:lang w:val="es-CR"/>
        </w:rPr>
      </w:pPr>
      <w:r>
        <w:rPr>
          <w:rFonts w:cs="Verdana"/>
          <w:b/>
          <w:bCs/>
          <w:szCs w:val="20"/>
          <w:lang w:val="es-CR"/>
        </w:rPr>
        <w:t>RESUELVE:</w:t>
      </w:r>
    </w:p>
    <w:p w14:paraId="54C03AEE" w14:textId="6DA18FB4" w:rsidR="00931421" w:rsidRDefault="00931421" w:rsidP="00A22598">
      <w:pPr>
        <w:tabs>
          <w:tab w:val="left" w:pos="567"/>
        </w:tabs>
        <w:spacing w:after="0" w:line="240" w:lineRule="auto"/>
        <w:jc w:val="both"/>
        <w:rPr>
          <w:rFonts w:cs="Verdana"/>
          <w:b/>
          <w:bCs/>
          <w:szCs w:val="20"/>
          <w:lang w:val="es-CR"/>
        </w:rPr>
      </w:pPr>
    </w:p>
    <w:p w14:paraId="6A12E506" w14:textId="1D0625BF" w:rsidR="00931421" w:rsidRPr="00931421" w:rsidRDefault="00931421" w:rsidP="00A22598">
      <w:pPr>
        <w:tabs>
          <w:tab w:val="left" w:pos="567"/>
        </w:tabs>
        <w:spacing w:after="0" w:line="240" w:lineRule="auto"/>
        <w:jc w:val="both"/>
        <w:rPr>
          <w:rFonts w:cs="Verdana"/>
          <w:szCs w:val="20"/>
          <w:lang w:val="es-CR"/>
        </w:rPr>
      </w:pPr>
      <w:r>
        <w:rPr>
          <w:rFonts w:cs="Verdana"/>
          <w:szCs w:val="20"/>
          <w:lang w:val="es-CR"/>
        </w:rPr>
        <w:t>Por unanimidad,</w:t>
      </w:r>
    </w:p>
    <w:p w14:paraId="5B538286" w14:textId="77777777" w:rsidR="00866E74" w:rsidRDefault="00866E74" w:rsidP="00866E74">
      <w:pPr>
        <w:tabs>
          <w:tab w:val="left" w:pos="567"/>
        </w:tabs>
        <w:spacing w:after="0" w:line="240" w:lineRule="auto"/>
        <w:jc w:val="both"/>
        <w:rPr>
          <w:rFonts w:cs="Verdana"/>
          <w:color w:val="000000"/>
          <w:szCs w:val="20"/>
          <w:lang w:val="es-CR" w:eastAsia="es-ES"/>
        </w:rPr>
      </w:pPr>
      <w:bookmarkStart w:id="5" w:name="_Ref230577466"/>
    </w:p>
    <w:p w14:paraId="6DCABFEA" w14:textId="7B293C8B" w:rsidR="00A22598" w:rsidRDefault="00866E74" w:rsidP="00866E74">
      <w:pPr>
        <w:tabs>
          <w:tab w:val="left" w:pos="567"/>
        </w:tabs>
        <w:spacing w:after="0" w:line="240" w:lineRule="auto"/>
        <w:jc w:val="both"/>
        <w:rPr>
          <w:rFonts w:eastAsia="MS Mincho" w:cs="Times"/>
          <w:szCs w:val="20"/>
          <w:lang w:val="es-CR"/>
        </w:rPr>
      </w:pPr>
      <w:r>
        <w:rPr>
          <w:szCs w:val="20"/>
          <w:lang w:val="es-CR"/>
        </w:rPr>
        <w:t xml:space="preserve">1. </w:t>
      </w:r>
      <w:bookmarkEnd w:id="5"/>
      <w:r w:rsidR="00931421">
        <w:rPr>
          <w:rFonts w:cs="Verdana"/>
          <w:color w:val="000000"/>
          <w:szCs w:val="20"/>
          <w:lang w:val="es-CR" w:eastAsia="es-ES"/>
        </w:rPr>
        <w:t xml:space="preserve">Declarar improcedente la solicitud de </w:t>
      </w:r>
      <w:r w:rsidR="00931421">
        <w:rPr>
          <w:rFonts w:eastAsia="MS Mincho" w:cs="Times"/>
          <w:szCs w:val="20"/>
          <w:lang w:val="es-CR"/>
        </w:rPr>
        <w:t xml:space="preserve">reconsideración formulada por el Estado respecto a la modalidad de recepción del testimonio de la señora Matilde Elena Moreno </w:t>
      </w:r>
      <w:proofErr w:type="spellStart"/>
      <w:r w:rsidR="00931421">
        <w:rPr>
          <w:rFonts w:eastAsia="MS Mincho" w:cs="Times"/>
          <w:szCs w:val="20"/>
          <w:lang w:val="es-CR"/>
        </w:rPr>
        <w:t>Irigotia</w:t>
      </w:r>
      <w:proofErr w:type="spellEnd"/>
      <w:r w:rsidR="00931421">
        <w:rPr>
          <w:rFonts w:eastAsia="MS Mincho" w:cs="Times"/>
          <w:szCs w:val="20"/>
          <w:lang w:val="es-CR"/>
        </w:rPr>
        <w:t>.</w:t>
      </w:r>
    </w:p>
    <w:p w14:paraId="560CAB2E" w14:textId="77777777" w:rsidR="00A22598" w:rsidRDefault="00A22598" w:rsidP="00A22598">
      <w:pPr>
        <w:tabs>
          <w:tab w:val="left" w:pos="567"/>
        </w:tabs>
        <w:spacing w:after="0" w:line="240" w:lineRule="auto"/>
        <w:jc w:val="both"/>
        <w:rPr>
          <w:szCs w:val="20"/>
          <w:lang w:val="es-CR"/>
        </w:rPr>
      </w:pPr>
    </w:p>
    <w:p w14:paraId="3F0FDFE0" w14:textId="65F00AD8" w:rsidR="00A22598" w:rsidRDefault="00931421" w:rsidP="00A22598">
      <w:pPr>
        <w:numPr>
          <w:ilvl w:val="0"/>
          <w:numId w:val="7"/>
        </w:numPr>
        <w:tabs>
          <w:tab w:val="left" w:pos="567"/>
        </w:tabs>
        <w:spacing w:after="0" w:line="240" w:lineRule="auto"/>
        <w:jc w:val="both"/>
        <w:rPr>
          <w:szCs w:val="20"/>
          <w:lang w:val="es-CR"/>
        </w:rPr>
      </w:pPr>
      <w:r>
        <w:rPr>
          <w:szCs w:val="20"/>
          <w:lang w:val="es-CR"/>
        </w:rPr>
        <w:t>Disponer que la Secretaría de la Corte Interamericana de Derechos Humanos notifique la presente Resolución a la Comisión Interamericana de Derechos Humanos, a la representación de la presunta víctima y al Estado.</w:t>
      </w:r>
    </w:p>
    <w:p w14:paraId="584B2B08" w14:textId="797C4E90" w:rsidR="00A22598" w:rsidRPr="00A84D21" w:rsidRDefault="00931421" w:rsidP="00F33A5B">
      <w:pPr>
        <w:tabs>
          <w:tab w:val="left" w:pos="567"/>
        </w:tabs>
        <w:spacing w:before="240" w:after="240" w:line="240" w:lineRule="auto"/>
        <w:jc w:val="both"/>
        <w:rPr>
          <w:rFonts w:cs="Verdana"/>
          <w:bCs/>
          <w:szCs w:val="20"/>
          <w:lang w:val="es-ES"/>
        </w:rPr>
      </w:pPr>
      <w:bookmarkStart w:id="6" w:name="_Hlk102988562"/>
      <w:r w:rsidRPr="00A84D21">
        <w:rPr>
          <w:rFonts w:cs="Verdana"/>
          <w:bCs/>
          <w:szCs w:val="20"/>
          <w:lang w:val="pt-BR"/>
        </w:rPr>
        <w:lastRenderedPageBreak/>
        <w:t xml:space="preserve">Corte IDH. </w:t>
      </w:r>
      <w:r w:rsidRPr="00A84D21">
        <w:rPr>
          <w:rFonts w:cs="Verdana"/>
          <w:bCs/>
          <w:i/>
          <w:iCs/>
          <w:szCs w:val="20"/>
          <w:lang w:val="pt-BR"/>
        </w:rPr>
        <w:t xml:space="preserve">Caso Nissen </w:t>
      </w:r>
      <w:proofErr w:type="spellStart"/>
      <w:r w:rsidRPr="00A84D21">
        <w:rPr>
          <w:rFonts w:cs="Verdana"/>
          <w:bCs/>
          <w:i/>
          <w:iCs/>
          <w:szCs w:val="20"/>
          <w:lang w:val="pt-BR"/>
        </w:rPr>
        <w:t>Pessolani</w:t>
      </w:r>
      <w:proofErr w:type="spellEnd"/>
      <w:r w:rsidRPr="00A84D21">
        <w:rPr>
          <w:rFonts w:cs="Verdana"/>
          <w:bCs/>
          <w:i/>
          <w:iCs/>
          <w:szCs w:val="20"/>
          <w:lang w:val="pt-BR"/>
        </w:rPr>
        <w:t xml:space="preserve"> vs. Paraguay. </w:t>
      </w:r>
      <w:r w:rsidRPr="00A84D21">
        <w:rPr>
          <w:rFonts w:cs="Verdana"/>
          <w:bCs/>
          <w:szCs w:val="20"/>
          <w:lang w:val="es-ES"/>
        </w:rPr>
        <w:t xml:space="preserve">Resolución de la Corte Interamericana de Derechos Humanos de </w:t>
      </w:r>
      <w:r w:rsidR="00960BBA" w:rsidRPr="00A84D21">
        <w:rPr>
          <w:rFonts w:cs="Verdana"/>
          <w:bCs/>
          <w:szCs w:val="20"/>
          <w:lang w:val="es-ES"/>
        </w:rPr>
        <w:t>28</w:t>
      </w:r>
      <w:r w:rsidRPr="00A84D21">
        <w:rPr>
          <w:rFonts w:cs="Verdana"/>
          <w:bCs/>
          <w:szCs w:val="20"/>
          <w:lang w:val="es-ES"/>
        </w:rPr>
        <w:t xml:space="preserve"> de abril de 202</w:t>
      </w:r>
      <w:r w:rsidR="009F123A">
        <w:rPr>
          <w:rFonts w:cs="Verdana"/>
          <w:bCs/>
          <w:szCs w:val="20"/>
          <w:lang w:val="es-ES"/>
        </w:rPr>
        <w:t>2</w:t>
      </w:r>
      <w:r w:rsidRPr="00A84D21">
        <w:rPr>
          <w:rFonts w:cs="Verdana"/>
          <w:bCs/>
          <w:szCs w:val="20"/>
          <w:lang w:val="es-ES"/>
        </w:rPr>
        <w:t xml:space="preserve">. Resolución adoptada en San José de </w:t>
      </w:r>
      <w:r w:rsidR="00327619" w:rsidRPr="00A84D21">
        <w:rPr>
          <w:rFonts w:cs="Verdana"/>
          <w:bCs/>
          <w:szCs w:val="20"/>
          <w:lang w:val="es-ES"/>
        </w:rPr>
        <w:t>Costa Rica por medio de sesión virtual.</w:t>
      </w:r>
    </w:p>
    <w:p w14:paraId="5C8EB77E" w14:textId="77777777" w:rsidR="00A84D21" w:rsidRDefault="00A84D21" w:rsidP="00A84D21">
      <w:pPr>
        <w:spacing w:after="0" w:line="240" w:lineRule="auto"/>
        <w:jc w:val="center"/>
        <w:rPr>
          <w:rFonts w:eastAsia="Batang" w:cs="Times"/>
          <w:szCs w:val="20"/>
          <w:lang w:val="es-ES"/>
        </w:rPr>
      </w:pPr>
    </w:p>
    <w:p w14:paraId="40E310AF" w14:textId="3130FCF2" w:rsidR="00A84D21" w:rsidRPr="002F07A2" w:rsidRDefault="00A84D21" w:rsidP="00A84D21">
      <w:pPr>
        <w:spacing w:after="0" w:line="240" w:lineRule="auto"/>
        <w:jc w:val="center"/>
        <w:rPr>
          <w:rFonts w:eastAsia="Batang" w:cs="Times"/>
          <w:szCs w:val="20"/>
          <w:lang w:val="es-ES"/>
        </w:rPr>
      </w:pPr>
    </w:p>
    <w:p w14:paraId="4C8E1048" w14:textId="13C9AA8E" w:rsidR="00A84D21" w:rsidRDefault="00A84D21" w:rsidP="00A84D21">
      <w:pPr>
        <w:spacing w:after="0" w:line="240" w:lineRule="auto"/>
        <w:jc w:val="center"/>
        <w:rPr>
          <w:rFonts w:eastAsia="Batang" w:cs="Times"/>
          <w:szCs w:val="20"/>
          <w:lang w:val="es-ES"/>
        </w:rPr>
      </w:pPr>
    </w:p>
    <w:p w14:paraId="604AA6D8" w14:textId="30AAA8EF" w:rsidR="00A84D21" w:rsidRDefault="00A84D21" w:rsidP="00A84D21">
      <w:pPr>
        <w:spacing w:after="0" w:line="240" w:lineRule="auto"/>
        <w:jc w:val="center"/>
        <w:rPr>
          <w:rFonts w:eastAsia="Batang" w:cs="Times"/>
          <w:szCs w:val="20"/>
          <w:lang w:val="es-ES"/>
        </w:rPr>
      </w:pPr>
    </w:p>
    <w:p w14:paraId="4519BE24" w14:textId="195B311A" w:rsidR="00A84D21" w:rsidRDefault="00A84D21" w:rsidP="00A84D21">
      <w:pPr>
        <w:spacing w:after="0" w:line="240" w:lineRule="auto"/>
        <w:jc w:val="center"/>
        <w:rPr>
          <w:rFonts w:eastAsia="Batang" w:cs="Times"/>
          <w:szCs w:val="20"/>
          <w:lang w:val="es-ES"/>
        </w:rPr>
      </w:pPr>
    </w:p>
    <w:p w14:paraId="52D95FF0" w14:textId="282DFA5A" w:rsidR="00A84D21" w:rsidRPr="00A84D21" w:rsidRDefault="00A84D21" w:rsidP="00A84D21">
      <w:pPr>
        <w:spacing w:after="0" w:line="240" w:lineRule="auto"/>
        <w:jc w:val="center"/>
        <w:rPr>
          <w:rFonts w:eastAsia="Batang" w:cs="Times"/>
          <w:szCs w:val="20"/>
          <w:lang w:val="es-ES"/>
        </w:rPr>
      </w:pPr>
      <w:r w:rsidRPr="00A84D21">
        <w:rPr>
          <w:rFonts w:eastAsia="Batang" w:cs="Times"/>
          <w:szCs w:val="20"/>
          <w:lang w:val="es-ES"/>
        </w:rPr>
        <w:t>Ricardo Pérez Manrique</w:t>
      </w:r>
    </w:p>
    <w:p w14:paraId="78426A34" w14:textId="040FC011" w:rsidR="00A84D21" w:rsidRPr="00A84D21" w:rsidRDefault="00A84D21" w:rsidP="00A84D21">
      <w:pPr>
        <w:spacing w:after="0" w:line="240" w:lineRule="auto"/>
        <w:jc w:val="center"/>
        <w:rPr>
          <w:rFonts w:eastAsia="Batang" w:cs="Times"/>
          <w:szCs w:val="20"/>
          <w:lang w:val="es-ES"/>
        </w:rPr>
      </w:pPr>
      <w:r w:rsidRPr="00A84D21">
        <w:rPr>
          <w:rFonts w:eastAsia="Batang" w:cs="Times"/>
          <w:szCs w:val="20"/>
          <w:lang w:val="es-ES"/>
        </w:rPr>
        <w:t>Presidente</w:t>
      </w:r>
    </w:p>
    <w:p w14:paraId="26F13BF0" w14:textId="4B82BEA4" w:rsidR="00A84D21" w:rsidRPr="00A84D21" w:rsidRDefault="00A84D21" w:rsidP="00A84D21">
      <w:pPr>
        <w:spacing w:after="0" w:line="240" w:lineRule="auto"/>
        <w:jc w:val="both"/>
        <w:rPr>
          <w:rFonts w:eastAsia="Batang" w:cs="Times"/>
          <w:szCs w:val="20"/>
          <w:lang w:val="es-ES"/>
        </w:rPr>
      </w:pPr>
    </w:p>
    <w:p w14:paraId="0F952129" w14:textId="62578AE9" w:rsidR="00A84D21" w:rsidRPr="00A84D21" w:rsidRDefault="00A84D21" w:rsidP="00A84D21">
      <w:pPr>
        <w:spacing w:after="0" w:line="240" w:lineRule="auto"/>
        <w:jc w:val="both"/>
        <w:rPr>
          <w:rFonts w:eastAsia="Batang" w:cs="Times"/>
          <w:szCs w:val="20"/>
          <w:lang w:val="es-ES"/>
        </w:rPr>
      </w:pPr>
    </w:p>
    <w:p w14:paraId="6725D37F" w14:textId="596AC7FB" w:rsidR="00A84D21" w:rsidRPr="00A84D21" w:rsidRDefault="00A84D21" w:rsidP="00A84D21">
      <w:pPr>
        <w:spacing w:after="0" w:line="240" w:lineRule="auto"/>
        <w:jc w:val="both"/>
        <w:rPr>
          <w:rFonts w:eastAsia="Batang" w:cs="Times"/>
          <w:szCs w:val="20"/>
          <w:lang w:val="es-ES"/>
        </w:rPr>
      </w:pPr>
    </w:p>
    <w:p w14:paraId="312F926B" w14:textId="6AEBA11F" w:rsidR="00A84D21" w:rsidRPr="00A84D21" w:rsidRDefault="00A84D21" w:rsidP="00A84D21">
      <w:pPr>
        <w:spacing w:after="0" w:line="240" w:lineRule="auto"/>
        <w:jc w:val="both"/>
        <w:rPr>
          <w:rFonts w:eastAsia="Batang" w:cs="Times"/>
          <w:szCs w:val="20"/>
          <w:lang w:val="es-ES"/>
        </w:rPr>
      </w:pPr>
    </w:p>
    <w:p w14:paraId="0910E033" w14:textId="77777777" w:rsidR="00A84D21" w:rsidRPr="00A84D21" w:rsidRDefault="00A84D21" w:rsidP="00A84D21">
      <w:pPr>
        <w:spacing w:after="0" w:line="240" w:lineRule="auto"/>
        <w:jc w:val="both"/>
        <w:rPr>
          <w:rFonts w:eastAsia="Batang" w:cs="Times"/>
          <w:szCs w:val="20"/>
          <w:lang w:val="es-ES"/>
        </w:rPr>
      </w:pPr>
    </w:p>
    <w:p w14:paraId="6775C962" w14:textId="0B391F97" w:rsidR="00A84D21" w:rsidRPr="002F07A2" w:rsidRDefault="00A84D21" w:rsidP="00A84D21">
      <w:pPr>
        <w:spacing w:after="0" w:line="240" w:lineRule="auto"/>
        <w:jc w:val="both"/>
        <w:rPr>
          <w:rFonts w:eastAsia="Batang" w:cs="Times"/>
          <w:szCs w:val="20"/>
          <w:lang w:val="es-ES"/>
        </w:rPr>
      </w:pPr>
      <w:r w:rsidRPr="002F07A2">
        <w:rPr>
          <w:rFonts w:eastAsia="Batang" w:cs="Times"/>
          <w:szCs w:val="20"/>
          <w:lang w:val="es-ES"/>
        </w:rPr>
        <w:t>Humberto Antonio Sierra Porto</w:t>
      </w:r>
      <w:r w:rsidRPr="002F07A2">
        <w:rPr>
          <w:rFonts w:eastAsia="Batang" w:cs="Times"/>
          <w:szCs w:val="20"/>
          <w:lang w:val="es-ES"/>
        </w:rPr>
        <w:tab/>
      </w:r>
      <w:r w:rsidRPr="002F07A2">
        <w:rPr>
          <w:rFonts w:eastAsia="Batang" w:cs="Times"/>
          <w:szCs w:val="20"/>
          <w:lang w:val="es-ES"/>
        </w:rPr>
        <w:tab/>
      </w:r>
      <w:r w:rsidRPr="002F07A2">
        <w:rPr>
          <w:rFonts w:eastAsia="Batang" w:cs="Times"/>
          <w:szCs w:val="20"/>
          <w:lang w:val="es-ES"/>
        </w:rPr>
        <w:tab/>
        <w:t xml:space="preserve">       Eduardo Ferrer Mac-</w:t>
      </w:r>
      <w:proofErr w:type="spellStart"/>
      <w:r w:rsidRPr="002F07A2">
        <w:rPr>
          <w:rFonts w:eastAsia="Batang" w:cs="Times"/>
          <w:szCs w:val="20"/>
          <w:lang w:val="es-ES"/>
        </w:rPr>
        <w:t>Gregor</w:t>
      </w:r>
      <w:proofErr w:type="spellEnd"/>
      <w:r w:rsidRPr="002F07A2">
        <w:rPr>
          <w:rFonts w:eastAsia="Batang" w:cs="Times"/>
          <w:szCs w:val="20"/>
          <w:lang w:val="es-ES"/>
        </w:rPr>
        <w:t xml:space="preserve"> </w:t>
      </w:r>
      <w:proofErr w:type="spellStart"/>
      <w:r w:rsidRPr="002F07A2">
        <w:rPr>
          <w:rFonts w:eastAsia="Batang" w:cs="Times"/>
          <w:szCs w:val="20"/>
          <w:lang w:val="es-ES"/>
        </w:rPr>
        <w:t>Poisot</w:t>
      </w:r>
      <w:proofErr w:type="spellEnd"/>
    </w:p>
    <w:p w14:paraId="2CBBB208" w14:textId="71D878CF" w:rsidR="00A84D21" w:rsidRPr="002F07A2" w:rsidRDefault="00A84D21" w:rsidP="00A84D21">
      <w:pPr>
        <w:spacing w:after="0" w:line="240" w:lineRule="auto"/>
        <w:jc w:val="both"/>
        <w:rPr>
          <w:rFonts w:eastAsia="Batang" w:cs="Times"/>
          <w:szCs w:val="20"/>
          <w:lang w:val="es-ES"/>
        </w:rPr>
      </w:pPr>
    </w:p>
    <w:p w14:paraId="37A9B94B" w14:textId="189F983C" w:rsidR="00A84D21" w:rsidRPr="002F07A2" w:rsidRDefault="00A84D21" w:rsidP="00A84D21">
      <w:pPr>
        <w:spacing w:after="0" w:line="240" w:lineRule="auto"/>
        <w:jc w:val="both"/>
        <w:rPr>
          <w:rFonts w:eastAsia="Batang" w:cs="Times"/>
          <w:szCs w:val="20"/>
          <w:lang w:val="es-ES"/>
        </w:rPr>
      </w:pPr>
    </w:p>
    <w:p w14:paraId="05364AAA" w14:textId="525437CC" w:rsidR="00A84D21" w:rsidRPr="002F07A2" w:rsidRDefault="00A84D21" w:rsidP="00A84D21">
      <w:pPr>
        <w:spacing w:after="0" w:line="240" w:lineRule="auto"/>
        <w:jc w:val="both"/>
        <w:rPr>
          <w:rFonts w:eastAsia="Batang" w:cs="Times"/>
          <w:szCs w:val="20"/>
          <w:lang w:val="es-ES"/>
        </w:rPr>
      </w:pPr>
    </w:p>
    <w:p w14:paraId="0EDB1C20" w14:textId="052B4CB1" w:rsidR="00A84D21" w:rsidRPr="002F07A2" w:rsidRDefault="00A84D21" w:rsidP="00A84D21">
      <w:pPr>
        <w:spacing w:after="0" w:line="240" w:lineRule="auto"/>
        <w:jc w:val="both"/>
        <w:rPr>
          <w:rFonts w:eastAsia="Batang" w:cs="Times"/>
          <w:szCs w:val="20"/>
          <w:lang w:val="es-ES"/>
        </w:rPr>
      </w:pPr>
    </w:p>
    <w:p w14:paraId="06D2AC3A" w14:textId="46F8E7C0" w:rsidR="00A84D21" w:rsidRPr="002F07A2" w:rsidRDefault="00A84D21" w:rsidP="00A84D21">
      <w:pPr>
        <w:spacing w:after="0" w:line="240" w:lineRule="auto"/>
        <w:jc w:val="both"/>
        <w:rPr>
          <w:rFonts w:eastAsia="Batang" w:cs="Times"/>
          <w:szCs w:val="20"/>
          <w:lang w:val="es-ES"/>
        </w:rPr>
      </w:pPr>
    </w:p>
    <w:p w14:paraId="5B25F42D" w14:textId="3C406308" w:rsidR="00A84D21" w:rsidRPr="00A84D21" w:rsidRDefault="00A84D21" w:rsidP="00A84D21">
      <w:pPr>
        <w:spacing w:after="0" w:line="240" w:lineRule="auto"/>
        <w:jc w:val="both"/>
        <w:rPr>
          <w:rFonts w:eastAsia="Batang" w:cs="Times"/>
          <w:szCs w:val="20"/>
          <w:lang w:val="es-CR"/>
        </w:rPr>
      </w:pPr>
      <w:r w:rsidRPr="00A84D21">
        <w:rPr>
          <w:rFonts w:eastAsia="Times" w:cs="Times"/>
          <w:szCs w:val="20"/>
          <w:lang w:val="es-CR"/>
        </w:rPr>
        <w:t>Nancy Hernández López</w:t>
      </w:r>
      <w:r w:rsidRPr="00A84D21">
        <w:rPr>
          <w:rFonts w:eastAsia="Batang" w:cs="Times"/>
          <w:szCs w:val="20"/>
          <w:lang w:val="es-CR"/>
        </w:rPr>
        <w:tab/>
      </w:r>
      <w:r w:rsidRPr="00A84D21">
        <w:rPr>
          <w:rFonts w:eastAsia="Batang" w:cs="Times"/>
          <w:szCs w:val="20"/>
          <w:lang w:val="es-CR"/>
        </w:rPr>
        <w:tab/>
      </w:r>
      <w:r w:rsidRPr="00A84D21">
        <w:rPr>
          <w:rFonts w:eastAsia="Batang" w:cs="Times"/>
          <w:szCs w:val="20"/>
          <w:lang w:val="es-CR"/>
        </w:rPr>
        <w:tab/>
      </w:r>
      <w:r w:rsidRPr="00A84D21">
        <w:rPr>
          <w:rFonts w:eastAsia="Batang" w:cs="Times"/>
          <w:szCs w:val="20"/>
          <w:lang w:val="es-CR"/>
        </w:rPr>
        <w:tab/>
      </w:r>
      <w:r w:rsidRPr="00A84D21">
        <w:rPr>
          <w:rFonts w:eastAsia="Batang" w:cs="Times"/>
          <w:szCs w:val="20"/>
          <w:lang w:val="es-CR"/>
        </w:rPr>
        <w:tab/>
      </w:r>
      <w:r w:rsidR="00324883">
        <w:rPr>
          <w:rFonts w:eastAsia="Batang" w:cs="Times"/>
          <w:szCs w:val="20"/>
          <w:lang w:val="es-CR"/>
        </w:rPr>
        <w:tab/>
      </w:r>
      <w:proofErr w:type="gramStart"/>
      <w:r w:rsidR="00324883">
        <w:rPr>
          <w:rFonts w:eastAsia="Batang" w:cs="Times"/>
          <w:szCs w:val="20"/>
          <w:lang w:val="es-CR"/>
        </w:rPr>
        <w:tab/>
        <w:t xml:space="preserve">  Verónica</w:t>
      </w:r>
      <w:proofErr w:type="gramEnd"/>
      <w:r>
        <w:rPr>
          <w:rFonts w:eastAsia="Batang" w:cs="Times"/>
          <w:szCs w:val="20"/>
          <w:lang w:val="es-CR"/>
        </w:rPr>
        <w:t xml:space="preserve"> Gómez</w:t>
      </w:r>
    </w:p>
    <w:p w14:paraId="5A154AA6" w14:textId="368A5D95" w:rsidR="00A84D21" w:rsidRPr="00A84D21" w:rsidRDefault="00A84D21" w:rsidP="00A84D21">
      <w:pPr>
        <w:spacing w:after="0" w:line="240" w:lineRule="auto"/>
        <w:jc w:val="both"/>
        <w:rPr>
          <w:rFonts w:eastAsia="Batang" w:cs="Times"/>
          <w:szCs w:val="20"/>
          <w:lang w:val="es-CR"/>
        </w:rPr>
      </w:pPr>
    </w:p>
    <w:p w14:paraId="7DDD9625" w14:textId="3D9FF32A" w:rsidR="00A84D21" w:rsidRPr="00A84D21" w:rsidRDefault="00A84D21" w:rsidP="00A84D21">
      <w:pPr>
        <w:spacing w:after="0" w:line="240" w:lineRule="auto"/>
        <w:jc w:val="both"/>
        <w:rPr>
          <w:rFonts w:eastAsia="Batang" w:cs="Times"/>
          <w:szCs w:val="20"/>
          <w:lang w:val="es-CR"/>
        </w:rPr>
      </w:pPr>
    </w:p>
    <w:p w14:paraId="38D61376" w14:textId="0D23FC68" w:rsidR="00A84D21" w:rsidRPr="00A84D21" w:rsidRDefault="00A84D21" w:rsidP="00A84D21">
      <w:pPr>
        <w:spacing w:after="0" w:line="240" w:lineRule="auto"/>
        <w:jc w:val="both"/>
        <w:rPr>
          <w:rFonts w:eastAsia="Batang" w:cs="Times"/>
          <w:szCs w:val="20"/>
          <w:lang w:val="es-CR"/>
        </w:rPr>
      </w:pPr>
    </w:p>
    <w:p w14:paraId="07B55FD3" w14:textId="58AE5B21" w:rsidR="00A84D21" w:rsidRPr="00A84D21" w:rsidRDefault="00A84D21" w:rsidP="00A84D21">
      <w:pPr>
        <w:spacing w:after="0" w:line="240" w:lineRule="auto"/>
        <w:jc w:val="both"/>
        <w:rPr>
          <w:rFonts w:eastAsia="Batang" w:cs="Times"/>
          <w:szCs w:val="20"/>
          <w:lang w:val="es-CR"/>
        </w:rPr>
      </w:pPr>
    </w:p>
    <w:p w14:paraId="5429DFD8" w14:textId="667105E5" w:rsidR="00A84D21" w:rsidRPr="00A84D21" w:rsidRDefault="00A84D21" w:rsidP="00A84D21">
      <w:pPr>
        <w:spacing w:after="0" w:line="240" w:lineRule="auto"/>
        <w:jc w:val="both"/>
        <w:rPr>
          <w:rFonts w:eastAsia="Batang" w:cs="Times"/>
          <w:szCs w:val="20"/>
          <w:lang w:val="es-CR"/>
        </w:rPr>
      </w:pPr>
    </w:p>
    <w:p w14:paraId="657D322A" w14:textId="6647CF28" w:rsidR="00A84D21" w:rsidRPr="002F07A2" w:rsidRDefault="00324883" w:rsidP="00324883">
      <w:pPr>
        <w:tabs>
          <w:tab w:val="center" w:pos="4419"/>
        </w:tabs>
        <w:spacing w:after="0" w:line="240" w:lineRule="auto"/>
        <w:rPr>
          <w:rFonts w:eastAsia="Batang" w:cs="Times"/>
          <w:szCs w:val="20"/>
          <w:lang w:val="es-ES"/>
        </w:rPr>
      </w:pPr>
      <w:r w:rsidRPr="00324883">
        <w:rPr>
          <w:rFonts w:eastAsia="Batang" w:cs="Times"/>
          <w:szCs w:val="20"/>
          <w:lang w:val="es-CR"/>
        </w:rPr>
        <w:t>Patricia Pérez Goldberg</w:t>
      </w:r>
      <w:r w:rsidRPr="002F07A2">
        <w:rPr>
          <w:rFonts w:eastAsia="Batang" w:cs="Times"/>
          <w:szCs w:val="20"/>
          <w:lang w:val="es-ES"/>
        </w:rPr>
        <w:tab/>
      </w:r>
      <w:r w:rsidRPr="002F07A2">
        <w:rPr>
          <w:rFonts w:eastAsia="Batang" w:cs="Times"/>
          <w:szCs w:val="20"/>
          <w:lang w:val="es-ES"/>
        </w:rPr>
        <w:tab/>
        <w:t xml:space="preserve">    </w:t>
      </w:r>
      <w:r w:rsidR="00A84D21" w:rsidRPr="002F07A2">
        <w:rPr>
          <w:rFonts w:eastAsia="Batang" w:cs="Times"/>
          <w:szCs w:val="20"/>
          <w:lang w:val="es-ES"/>
        </w:rPr>
        <w:t xml:space="preserve">Rodrigo de </w:t>
      </w:r>
      <w:proofErr w:type="spellStart"/>
      <w:r w:rsidR="00A84D21" w:rsidRPr="002F07A2">
        <w:rPr>
          <w:rFonts w:eastAsia="Batang" w:cs="Times"/>
          <w:szCs w:val="20"/>
          <w:lang w:val="es-ES"/>
        </w:rPr>
        <w:t>Bittencourt</w:t>
      </w:r>
      <w:proofErr w:type="spellEnd"/>
      <w:r w:rsidR="00A84D21" w:rsidRPr="002F07A2">
        <w:rPr>
          <w:rFonts w:eastAsia="Batang" w:cs="Times"/>
          <w:szCs w:val="20"/>
          <w:lang w:val="es-ES"/>
        </w:rPr>
        <w:t xml:space="preserve"> </w:t>
      </w:r>
      <w:proofErr w:type="spellStart"/>
      <w:r w:rsidR="00A84D21" w:rsidRPr="002F07A2">
        <w:rPr>
          <w:rFonts w:eastAsia="Batang" w:cs="Times"/>
          <w:szCs w:val="20"/>
          <w:lang w:val="es-ES"/>
        </w:rPr>
        <w:t>Mudrovitsch</w:t>
      </w:r>
      <w:proofErr w:type="spellEnd"/>
    </w:p>
    <w:p w14:paraId="0EFA6727" w14:textId="211CF12D" w:rsidR="00A84D21" w:rsidRPr="002F07A2" w:rsidRDefault="00A84D21" w:rsidP="00A84D21">
      <w:pPr>
        <w:spacing w:after="0" w:line="240" w:lineRule="auto"/>
        <w:jc w:val="both"/>
        <w:rPr>
          <w:rFonts w:eastAsia="Batang" w:cs="Times"/>
          <w:szCs w:val="20"/>
          <w:lang w:val="es-ES"/>
        </w:rPr>
      </w:pPr>
    </w:p>
    <w:p w14:paraId="3753FA3E" w14:textId="77777777" w:rsidR="00A84D21" w:rsidRPr="002F07A2" w:rsidRDefault="00A84D21" w:rsidP="00A84D21">
      <w:pPr>
        <w:spacing w:after="0" w:line="240" w:lineRule="auto"/>
        <w:jc w:val="both"/>
        <w:rPr>
          <w:rFonts w:eastAsia="Batang" w:cs="Times"/>
          <w:szCs w:val="20"/>
          <w:lang w:val="es-ES"/>
        </w:rPr>
      </w:pPr>
    </w:p>
    <w:p w14:paraId="2BB3E368" w14:textId="7468578A" w:rsidR="00A84D21" w:rsidRPr="002F07A2" w:rsidRDefault="00A84D21" w:rsidP="00A84D21">
      <w:pPr>
        <w:spacing w:after="0" w:line="240" w:lineRule="auto"/>
        <w:jc w:val="both"/>
        <w:rPr>
          <w:rFonts w:eastAsia="Times" w:cs="Times"/>
          <w:szCs w:val="20"/>
          <w:lang w:val="es-ES"/>
        </w:rPr>
      </w:pPr>
    </w:p>
    <w:p w14:paraId="2F27E02E" w14:textId="76C919F5" w:rsidR="00A84D21" w:rsidRPr="002F07A2" w:rsidRDefault="00A84D21" w:rsidP="00A84D21">
      <w:pPr>
        <w:spacing w:after="0" w:line="240" w:lineRule="auto"/>
        <w:jc w:val="both"/>
        <w:rPr>
          <w:rFonts w:eastAsia="Times" w:cs="Times"/>
          <w:szCs w:val="20"/>
          <w:lang w:val="es-ES"/>
        </w:rPr>
      </w:pPr>
    </w:p>
    <w:p w14:paraId="27CFFE8F" w14:textId="77777777" w:rsidR="00A84D21" w:rsidRPr="002F07A2" w:rsidRDefault="00A84D21" w:rsidP="00A84D21">
      <w:pPr>
        <w:spacing w:after="0" w:line="240" w:lineRule="auto"/>
        <w:jc w:val="both"/>
        <w:rPr>
          <w:rFonts w:eastAsia="Times" w:cs="Times"/>
          <w:szCs w:val="20"/>
          <w:lang w:val="es-ES"/>
        </w:rPr>
      </w:pPr>
    </w:p>
    <w:p w14:paraId="7165701D" w14:textId="77777777" w:rsidR="00A84D21" w:rsidRPr="00A84D21" w:rsidRDefault="00A84D21" w:rsidP="00A84D21">
      <w:pPr>
        <w:spacing w:after="0" w:line="240" w:lineRule="auto"/>
        <w:jc w:val="center"/>
        <w:rPr>
          <w:rFonts w:eastAsia="Times" w:cs="Times"/>
          <w:szCs w:val="20"/>
          <w:lang w:val="es-CR"/>
        </w:rPr>
      </w:pPr>
      <w:r w:rsidRPr="00A84D21">
        <w:rPr>
          <w:rFonts w:eastAsia="Times" w:cs="Times"/>
          <w:szCs w:val="20"/>
          <w:lang w:val="es-CR"/>
        </w:rPr>
        <w:t>Pablo Saavedra Alessandri</w:t>
      </w:r>
    </w:p>
    <w:p w14:paraId="5B8B0344" w14:textId="77777777" w:rsidR="00A84D21" w:rsidRPr="00A84D21" w:rsidRDefault="00A84D21" w:rsidP="00A84D21">
      <w:pPr>
        <w:spacing w:after="0" w:line="240" w:lineRule="auto"/>
        <w:jc w:val="center"/>
        <w:rPr>
          <w:rFonts w:eastAsia="Times" w:cs="Times"/>
          <w:szCs w:val="20"/>
          <w:lang w:val="es-CR"/>
        </w:rPr>
      </w:pPr>
      <w:r w:rsidRPr="00A84D21">
        <w:rPr>
          <w:rFonts w:eastAsia="Times" w:cs="Times"/>
          <w:szCs w:val="20"/>
          <w:lang w:val="es-CR"/>
        </w:rPr>
        <w:t>Secretario</w:t>
      </w:r>
    </w:p>
    <w:p w14:paraId="1F667FFE" w14:textId="77777777" w:rsidR="00A84D21" w:rsidRPr="00A84D21" w:rsidRDefault="00A84D21" w:rsidP="00A84D21">
      <w:pPr>
        <w:spacing w:after="0" w:line="240" w:lineRule="auto"/>
        <w:jc w:val="both"/>
        <w:rPr>
          <w:rFonts w:eastAsia="Times" w:cs="Times"/>
          <w:szCs w:val="20"/>
          <w:lang w:val="es-CR"/>
        </w:rPr>
      </w:pPr>
    </w:p>
    <w:p w14:paraId="3A49046C" w14:textId="77777777" w:rsidR="00A84D21" w:rsidRPr="00A84D21" w:rsidRDefault="00A84D21" w:rsidP="00A84D21">
      <w:pPr>
        <w:spacing w:after="0" w:line="240" w:lineRule="auto"/>
        <w:jc w:val="both"/>
        <w:rPr>
          <w:rFonts w:eastAsia="Times" w:cs="Times"/>
          <w:szCs w:val="20"/>
          <w:lang w:val="es-CR"/>
        </w:rPr>
      </w:pPr>
    </w:p>
    <w:p w14:paraId="1E3B7236" w14:textId="32CD0137" w:rsidR="00A84D21" w:rsidRPr="00A84D21" w:rsidRDefault="00A84D21" w:rsidP="00A84D21">
      <w:pPr>
        <w:spacing w:after="0" w:line="240" w:lineRule="auto"/>
        <w:jc w:val="both"/>
        <w:rPr>
          <w:rFonts w:eastAsia="Times" w:cs="Times"/>
          <w:szCs w:val="20"/>
          <w:lang w:val="es-CR"/>
        </w:rPr>
      </w:pPr>
    </w:p>
    <w:p w14:paraId="69994653" w14:textId="60092297" w:rsidR="00A84D21" w:rsidRPr="00A84D21" w:rsidRDefault="00A84D21" w:rsidP="00A84D21">
      <w:pPr>
        <w:spacing w:after="0" w:line="240" w:lineRule="auto"/>
        <w:jc w:val="both"/>
        <w:rPr>
          <w:rFonts w:eastAsia="Times" w:cs="Times"/>
          <w:szCs w:val="20"/>
          <w:lang w:val="es-CR"/>
        </w:rPr>
      </w:pPr>
    </w:p>
    <w:p w14:paraId="382BCDA5" w14:textId="458B8561" w:rsidR="00A84D21" w:rsidRPr="00A84D21" w:rsidRDefault="00A84D21" w:rsidP="00A84D21">
      <w:pPr>
        <w:spacing w:after="0" w:line="240" w:lineRule="auto"/>
        <w:jc w:val="both"/>
        <w:rPr>
          <w:rFonts w:eastAsia="Times" w:cs="Times"/>
          <w:szCs w:val="20"/>
          <w:lang w:val="es-CR"/>
        </w:rPr>
      </w:pPr>
      <w:r w:rsidRPr="00A84D21">
        <w:rPr>
          <w:rFonts w:eastAsia="Times" w:cs="Times"/>
          <w:szCs w:val="20"/>
          <w:lang w:val="es-CR"/>
        </w:rPr>
        <w:t>Comuníquese y ejecútese,</w:t>
      </w:r>
    </w:p>
    <w:p w14:paraId="037D1793" w14:textId="0D6BF78F" w:rsidR="00A84D21" w:rsidRPr="00A84D21" w:rsidRDefault="00A84D21" w:rsidP="00A84D21">
      <w:pPr>
        <w:spacing w:after="0" w:line="240" w:lineRule="auto"/>
        <w:jc w:val="both"/>
        <w:rPr>
          <w:rFonts w:eastAsia="Times" w:cs="Times"/>
          <w:szCs w:val="20"/>
          <w:lang w:val="es-CR"/>
        </w:rPr>
      </w:pPr>
    </w:p>
    <w:p w14:paraId="70FE13B4" w14:textId="63BDEC2D" w:rsidR="00A84D21" w:rsidRPr="00A84D21" w:rsidRDefault="00A84D21" w:rsidP="00A84D21">
      <w:pPr>
        <w:spacing w:after="0" w:line="240" w:lineRule="auto"/>
        <w:jc w:val="both"/>
        <w:rPr>
          <w:rFonts w:eastAsia="Times" w:cs="Times"/>
          <w:szCs w:val="20"/>
          <w:lang w:val="es-CR"/>
        </w:rPr>
      </w:pPr>
    </w:p>
    <w:p w14:paraId="5E46CE29" w14:textId="4B3FE10E" w:rsidR="00A84D21" w:rsidRPr="00A84D21" w:rsidRDefault="00A84D21" w:rsidP="00A84D21">
      <w:pPr>
        <w:spacing w:after="0" w:line="240" w:lineRule="auto"/>
        <w:jc w:val="both"/>
        <w:rPr>
          <w:rFonts w:eastAsia="Times" w:cs="Times"/>
          <w:szCs w:val="20"/>
          <w:lang w:val="es-CR"/>
        </w:rPr>
      </w:pPr>
    </w:p>
    <w:p w14:paraId="5D5FD8C7" w14:textId="4C4EDF28" w:rsidR="00A84D21" w:rsidRPr="00A84D21" w:rsidRDefault="00A84D21" w:rsidP="00A84D21">
      <w:pPr>
        <w:spacing w:after="0" w:line="240" w:lineRule="auto"/>
        <w:jc w:val="both"/>
        <w:rPr>
          <w:rFonts w:eastAsia="Times" w:cs="Times"/>
          <w:szCs w:val="20"/>
          <w:lang w:val="es-CR"/>
        </w:rPr>
      </w:pPr>
    </w:p>
    <w:p w14:paraId="410C3AFC" w14:textId="77777777" w:rsidR="00A84D21" w:rsidRPr="00A84D21" w:rsidRDefault="00A84D21" w:rsidP="00A84D21">
      <w:pPr>
        <w:spacing w:after="0" w:line="240" w:lineRule="auto"/>
        <w:ind w:left="6372"/>
        <w:jc w:val="center"/>
        <w:rPr>
          <w:rFonts w:eastAsia="Batang" w:cs="Times"/>
          <w:szCs w:val="20"/>
          <w:lang w:val="es-CR"/>
        </w:rPr>
      </w:pPr>
      <w:r w:rsidRPr="00A84D21">
        <w:rPr>
          <w:rFonts w:eastAsia="Batang" w:cs="Times"/>
          <w:szCs w:val="20"/>
          <w:lang w:val="es-CR"/>
        </w:rPr>
        <w:t>Ricardo Pérez Manrique</w:t>
      </w:r>
    </w:p>
    <w:p w14:paraId="0D3FB695" w14:textId="77777777" w:rsidR="00A84D21" w:rsidRPr="00A84D21" w:rsidRDefault="00A84D21" w:rsidP="00A84D21">
      <w:pPr>
        <w:spacing w:after="0" w:line="240" w:lineRule="auto"/>
        <w:ind w:left="6372"/>
        <w:jc w:val="center"/>
        <w:rPr>
          <w:rFonts w:eastAsia="Batang" w:cs="Times"/>
          <w:szCs w:val="20"/>
          <w:lang w:val="es-CR"/>
        </w:rPr>
      </w:pPr>
      <w:r w:rsidRPr="00A84D21">
        <w:rPr>
          <w:rFonts w:eastAsia="Batang" w:cs="Times"/>
          <w:szCs w:val="20"/>
          <w:lang w:val="es-CR"/>
        </w:rPr>
        <w:t>Presidente</w:t>
      </w:r>
    </w:p>
    <w:p w14:paraId="604C2E38" w14:textId="7650ED5F" w:rsidR="00A84D21" w:rsidRPr="00A84D21" w:rsidRDefault="00A84D21" w:rsidP="00A84D21">
      <w:pPr>
        <w:spacing w:after="0" w:line="240" w:lineRule="auto"/>
        <w:jc w:val="both"/>
        <w:rPr>
          <w:rFonts w:eastAsia="Times" w:cs="Times"/>
          <w:szCs w:val="20"/>
          <w:lang w:val="es-CR"/>
        </w:rPr>
      </w:pPr>
    </w:p>
    <w:p w14:paraId="65960E1B" w14:textId="77777777" w:rsidR="00A84D21" w:rsidRPr="00A84D21" w:rsidRDefault="00A84D21" w:rsidP="00A84D21">
      <w:pPr>
        <w:spacing w:after="0" w:line="240" w:lineRule="auto"/>
        <w:jc w:val="both"/>
        <w:rPr>
          <w:rFonts w:eastAsia="Times" w:cs="Times"/>
          <w:szCs w:val="20"/>
          <w:lang w:val="es-CR"/>
        </w:rPr>
      </w:pPr>
    </w:p>
    <w:p w14:paraId="48A81400" w14:textId="531ABF7B" w:rsidR="00A84D21" w:rsidRDefault="00A84D21" w:rsidP="00A84D21">
      <w:pPr>
        <w:spacing w:after="0" w:line="240" w:lineRule="auto"/>
        <w:jc w:val="both"/>
        <w:rPr>
          <w:rFonts w:eastAsia="Times" w:cs="Times"/>
          <w:szCs w:val="20"/>
          <w:lang w:val="es-CR"/>
        </w:rPr>
      </w:pPr>
    </w:p>
    <w:p w14:paraId="731416F1" w14:textId="77777777" w:rsidR="00A84D21" w:rsidRPr="00A84D21" w:rsidRDefault="00A84D21" w:rsidP="00A84D21">
      <w:pPr>
        <w:spacing w:after="0" w:line="240" w:lineRule="auto"/>
        <w:jc w:val="both"/>
        <w:rPr>
          <w:rFonts w:eastAsia="Times" w:cs="Times"/>
          <w:szCs w:val="20"/>
          <w:lang w:val="es-CR"/>
        </w:rPr>
      </w:pPr>
    </w:p>
    <w:p w14:paraId="64C11EAC" w14:textId="77777777" w:rsidR="00A84D21" w:rsidRPr="00A84D21" w:rsidRDefault="00A84D21" w:rsidP="00A84D21">
      <w:pPr>
        <w:spacing w:after="0" w:line="240" w:lineRule="auto"/>
        <w:jc w:val="both"/>
        <w:rPr>
          <w:rFonts w:eastAsia="Times" w:cs="Times"/>
          <w:szCs w:val="20"/>
          <w:lang w:val="es-CR"/>
        </w:rPr>
      </w:pPr>
      <w:r w:rsidRPr="00A84D21">
        <w:rPr>
          <w:rFonts w:eastAsia="Times" w:cs="Times"/>
          <w:szCs w:val="20"/>
          <w:lang w:val="es-CR"/>
        </w:rPr>
        <w:t>Pablo Saavedra Alessandri</w:t>
      </w:r>
    </w:p>
    <w:p w14:paraId="5FC2A7E4" w14:textId="77777777" w:rsidR="00A84D21" w:rsidRPr="00A84D21" w:rsidRDefault="00A84D21" w:rsidP="00A84D21">
      <w:pPr>
        <w:spacing w:after="0" w:line="240" w:lineRule="auto"/>
        <w:jc w:val="both"/>
        <w:rPr>
          <w:rFonts w:eastAsia="Batang" w:cs="Times"/>
          <w:szCs w:val="20"/>
          <w:lang w:val="es-ES_tradnl"/>
        </w:rPr>
      </w:pPr>
      <w:r w:rsidRPr="00A84D21">
        <w:rPr>
          <w:rFonts w:eastAsia="Times" w:cs="Times"/>
          <w:szCs w:val="20"/>
          <w:lang w:val="es-CR"/>
        </w:rPr>
        <w:tab/>
        <w:t>Secretario</w:t>
      </w:r>
      <w:bookmarkEnd w:id="6"/>
    </w:p>
    <w:sectPr w:rsidR="00A84D21" w:rsidRPr="00A84D21" w:rsidSect="00AC79D1">
      <w:headerReference w:type="default" r:id="rId8"/>
      <w:type w:val="continuous"/>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82B0E" w14:textId="77777777" w:rsidR="008F5755" w:rsidRDefault="008F5755" w:rsidP="00A22598">
      <w:pPr>
        <w:spacing w:after="0" w:line="240" w:lineRule="auto"/>
      </w:pPr>
      <w:r>
        <w:separator/>
      </w:r>
    </w:p>
  </w:endnote>
  <w:endnote w:type="continuationSeparator" w:id="0">
    <w:p w14:paraId="347B93BB" w14:textId="77777777" w:rsidR="008F5755" w:rsidRDefault="008F5755" w:rsidP="00A2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79CFD" w14:textId="77777777" w:rsidR="008F5755" w:rsidRDefault="008F5755" w:rsidP="00A22598">
      <w:pPr>
        <w:spacing w:after="0" w:line="240" w:lineRule="auto"/>
      </w:pPr>
      <w:r>
        <w:separator/>
      </w:r>
    </w:p>
  </w:footnote>
  <w:footnote w:type="continuationSeparator" w:id="0">
    <w:p w14:paraId="638AE734" w14:textId="77777777" w:rsidR="008F5755" w:rsidRDefault="008F5755" w:rsidP="00A22598">
      <w:pPr>
        <w:spacing w:after="0" w:line="240" w:lineRule="auto"/>
      </w:pPr>
      <w:r>
        <w:continuationSeparator/>
      </w:r>
    </w:p>
  </w:footnote>
  <w:footnote w:id="1">
    <w:p w14:paraId="4DA88664" w14:textId="2864D237" w:rsidR="00E04312" w:rsidRPr="00E04312" w:rsidRDefault="00E04312" w:rsidP="00CB5396">
      <w:pPr>
        <w:pStyle w:val="Textonotapie"/>
      </w:pPr>
      <w:r>
        <w:rPr>
          <w:rStyle w:val="Refdenotaalpie"/>
        </w:rPr>
        <w:footnoteRef/>
      </w:r>
      <w:r>
        <w:t xml:space="preserve"> </w:t>
      </w:r>
      <w:r w:rsidR="000D1F62">
        <w:tab/>
      </w:r>
      <w:r>
        <w:t>La representación de la presunta víctima es ejercida por el abogado Jacinto Santa María.</w:t>
      </w:r>
    </w:p>
  </w:footnote>
  <w:footnote w:id="2">
    <w:p w14:paraId="6B4B4488" w14:textId="3B061617" w:rsidR="00DC7A9C" w:rsidRPr="00DC7A9C" w:rsidRDefault="00DC7A9C">
      <w:pPr>
        <w:pStyle w:val="Textonotapie"/>
      </w:pPr>
      <w:r>
        <w:rPr>
          <w:rStyle w:val="Refdenotaalpie"/>
        </w:rPr>
        <w:footnoteRef/>
      </w:r>
      <w:r>
        <w:t xml:space="preserve"> </w:t>
      </w:r>
      <w:r>
        <w:tab/>
      </w:r>
      <w:r w:rsidR="00510E03">
        <w:t xml:space="preserve">La señora Margarita </w:t>
      </w:r>
      <w:proofErr w:type="spellStart"/>
      <w:r w:rsidR="00510E03">
        <w:t>Ostertag</w:t>
      </w:r>
      <w:proofErr w:type="spellEnd"/>
      <w:r w:rsidR="00510E03">
        <w:t xml:space="preserve"> de Nissen, y los señores Luis Bareiro y Luis Talavera Alegre.</w:t>
      </w:r>
    </w:p>
  </w:footnote>
  <w:footnote w:id="3">
    <w:p w14:paraId="648FFD91" w14:textId="4DDE2766" w:rsidR="00510E03" w:rsidRPr="00510E03" w:rsidRDefault="00510E03">
      <w:pPr>
        <w:pStyle w:val="Textonotapie"/>
      </w:pPr>
      <w:r>
        <w:rPr>
          <w:rStyle w:val="Refdenotaalpie"/>
        </w:rPr>
        <w:footnoteRef/>
      </w:r>
      <w:r>
        <w:t xml:space="preserve"> </w:t>
      </w:r>
      <w:r>
        <w:tab/>
        <w:t xml:space="preserve">El señor Osvaldo Alfredo </w:t>
      </w:r>
      <w:proofErr w:type="spellStart"/>
      <w:r>
        <w:t>Gozaíni</w:t>
      </w:r>
      <w:proofErr w:type="spellEnd"/>
      <w:r>
        <w:t>.</w:t>
      </w:r>
    </w:p>
  </w:footnote>
  <w:footnote w:id="4">
    <w:p w14:paraId="3E130681" w14:textId="522BFBF0" w:rsidR="008D1357" w:rsidRPr="008D1357" w:rsidRDefault="008D1357">
      <w:pPr>
        <w:pStyle w:val="Textonotapie"/>
      </w:pPr>
      <w:r>
        <w:rPr>
          <w:rStyle w:val="Refdenotaalpie"/>
        </w:rPr>
        <w:footnoteRef/>
      </w:r>
      <w:r>
        <w:t xml:space="preserve"> </w:t>
      </w:r>
      <w:r>
        <w:tab/>
        <w:t>L</w:t>
      </w:r>
      <w:r w:rsidR="00050DD9">
        <w:t xml:space="preserve">a señora Margarita </w:t>
      </w:r>
      <w:proofErr w:type="spellStart"/>
      <w:r w:rsidR="00050DD9">
        <w:t>Ostertag</w:t>
      </w:r>
      <w:proofErr w:type="spellEnd"/>
      <w:r w:rsidR="00050DD9">
        <w:t xml:space="preserve"> de Nissen y los señores Luis Bareiro y Luis Talavera Alegre.</w:t>
      </w:r>
    </w:p>
  </w:footnote>
  <w:footnote w:id="5">
    <w:p w14:paraId="063F5986" w14:textId="6AA80E9D" w:rsidR="002C2E6F" w:rsidRPr="002C2E6F" w:rsidRDefault="002C2E6F">
      <w:pPr>
        <w:pStyle w:val="Textonotapie"/>
      </w:pPr>
      <w:r>
        <w:rPr>
          <w:rStyle w:val="Refdenotaalpie"/>
        </w:rPr>
        <w:footnoteRef/>
      </w:r>
      <w:r>
        <w:t xml:space="preserve"> </w:t>
      </w:r>
      <w:r>
        <w:tab/>
      </w:r>
      <w:r w:rsidRPr="002C2E6F">
        <w:rPr>
          <w:i/>
          <w:iCs/>
        </w:rPr>
        <w:t>Cfr.</w:t>
      </w:r>
      <w:r>
        <w:t xml:space="preserve"> en el mismo sentido, </w:t>
      </w:r>
      <w:r w:rsidRPr="002C2E6F">
        <w:rPr>
          <w:i/>
          <w:iCs/>
        </w:rPr>
        <w:t xml:space="preserve">Caso Mota </w:t>
      </w:r>
      <w:proofErr w:type="spellStart"/>
      <w:r w:rsidRPr="002C2E6F">
        <w:rPr>
          <w:i/>
          <w:iCs/>
        </w:rPr>
        <w:t>Abarullo</w:t>
      </w:r>
      <w:proofErr w:type="spellEnd"/>
      <w:r w:rsidRPr="002C2E6F">
        <w:rPr>
          <w:i/>
          <w:iCs/>
        </w:rPr>
        <w:t xml:space="preserve"> y otros Vs. Venezuela</w:t>
      </w:r>
      <w:r>
        <w:t>. Resolución de la Corte Interamericana de Derechos Humanos de 24 de agosto de 2020, Considerando 3</w:t>
      </w:r>
      <w:r w:rsidR="0098318F">
        <w:t>,</w:t>
      </w:r>
      <w:r>
        <w:t xml:space="preserve"> y </w:t>
      </w:r>
      <w:r>
        <w:rPr>
          <w:i/>
          <w:iCs/>
        </w:rPr>
        <w:t xml:space="preserve">Caso Federación Nacional de Trabajadores Marítimos y Portuarios (FEMAPOR) Vs. Perú. </w:t>
      </w:r>
      <w:r>
        <w:t>Resolución de la Corte Interamericana de Derechos Humanos de 31 de mayo de 2021, Considerando 6.</w:t>
      </w:r>
    </w:p>
  </w:footnote>
  <w:footnote w:id="6">
    <w:p w14:paraId="07475DB1" w14:textId="4C45937F" w:rsidR="002C2E6F" w:rsidRPr="00663030" w:rsidRDefault="002C2E6F">
      <w:pPr>
        <w:pStyle w:val="Textonotapie"/>
      </w:pPr>
      <w:r>
        <w:rPr>
          <w:rStyle w:val="Refdenotaalpie"/>
        </w:rPr>
        <w:footnoteRef/>
      </w:r>
      <w:r>
        <w:t xml:space="preserve"> </w:t>
      </w:r>
      <w:r>
        <w:tab/>
      </w:r>
      <w:r w:rsidR="00663030" w:rsidRPr="00663030">
        <w:rPr>
          <w:i/>
          <w:iCs/>
        </w:rPr>
        <w:t>Cfr. Caso Salvador Chiriboga Vs. Ecuador.</w:t>
      </w:r>
      <w:r w:rsidR="00663030">
        <w:t xml:space="preserve"> Resolución del </w:t>
      </w:r>
      <w:proofErr w:type="gramStart"/>
      <w:r w:rsidR="00663030">
        <w:t>Presidente</w:t>
      </w:r>
      <w:proofErr w:type="gramEnd"/>
      <w:r w:rsidR="00663030">
        <w:t xml:space="preserve"> de la Corte Interamericana de Derechos Humanos de 2 de octubre de 2007, Considerando 2</w:t>
      </w:r>
      <w:r w:rsidR="0098318F">
        <w:t>,</w:t>
      </w:r>
      <w:r w:rsidR="00663030">
        <w:t xml:space="preserve"> y </w:t>
      </w:r>
      <w:r w:rsidR="00663030">
        <w:rPr>
          <w:i/>
          <w:iCs/>
        </w:rPr>
        <w:t xml:space="preserve">Caso Federación Nacional de Trabajadores Marítimos y Portuarios (FEMAPOR) Vs. Perú, supra, </w:t>
      </w:r>
      <w:r w:rsidR="00663030">
        <w:t>Considerando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769102"/>
      <w:docPartObj>
        <w:docPartGallery w:val="Page Numbers (Top of Page)"/>
        <w:docPartUnique/>
      </w:docPartObj>
    </w:sdtPr>
    <w:sdtEndPr/>
    <w:sdtContent>
      <w:p w14:paraId="4E254936" w14:textId="677FEE9B" w:rsidR="0007472A" w:rsidRDefault="0007472A">
        <w:pPr>
          <w:pStyle w:val="Encabezado"/>
          <w:jc w:val="center"/>
        </w:pPr>
        <w:r>
          <w:fldChar w:fldCharType="begin"/>
        </w:r>
        <w:r>
          <w:instrText>PAGE   \* MERGEFORMAT</w:instrText>
        </w:r>
        <w:r>
          <w:fldChar w:fldCharType="separate"/>
        </w:r>
        <w:r>
          <w:rPr>
            <w:lang w:val="es-ES"/>
          </w:rPr>
          <w:t>2</w:t>
        </w:r>
        <w:r>
          <w:fldChar w:fldCharType="end"/>
        </w:r>
      </w:p>
    </w:sdtContent>
  </w:sdt>
  <w:p w14:paraId="1D8A0B56" w14:textId="77777777" w:rsidR="0007472A" w:rsidRDefault="00074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BFF"/>
    <w:multiLevelType w:val="hybridMultilevel"/>
    <w:tmpl w:val="1C80CF6E"/>
    <w:lvl w:ilvl="0" w:tplc="04090015">
      <w:start w:val="1"/>
      <w:numFmt w:val="upperLetter"/>
      <w:lvlText w:val="%1."/>
      <w:lvlJc w:val="left"/>
      <w:pPr>
        <w:ind w:left="720" w:hanging="360"/>
      </w:p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4AC25A3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7E59A7"/>
    <w:multiLevelType w:val="hybridMultilevel"/>
    <w:tmpl w:val="61C679B4"/>
    <w:lvl w:ilvl="0" w:tplc="140A0011">
      <w:start w:val="1"/>
      <w:numFmt w:val="decimal"/>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 w15:restartNumberingAfterBreak="0">
    <w:nsid w:val="21283FE2"/>
    <w:multiLevelType w:val="hybridMultilevel"/>
    <w:tmpl w:val="EE66510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start w:val="1"/>
      <w:numFmt w:val="lowerRoman"/>
      <w:lvlText w:val="%3."/>
      <w:lvlJc w:val="right"/>
      <w:pPr>
        <w:ind w:left="2869" w:hanging="180"/>
      </w:pPr>
    </w:lvl>
    <w:lvl w:ilvl="3" w:tplc="140A000F">
      <w:start w:val="1"/>
      <w:numFmt w:val="decimal"/>
      <w:lvlText w:val="%4."/>
      <w:lvlJc w:val="left"/>
      <w:pPr>
        <w:ind w:left="3589" w:hanging="360"/>
      </w:pPr>
    </w:lvl>
    <w:lvl w:ilvl="4" w:tplc="140A0019">
      <w:start w:val="1"/>
      <w:numFmt w:val="lowerLetter"/>
      <w:lvlText w:val="%5."/>
      <w:lvlJc w:val="left"/>
      <w:pPr>
        <w:ind w:left="4309" w:hanging="360"/>
      </w:pPr>
    </w:lvl>
    <w:lvl w:ilvl="5" w:tplc="140A001B">
      <w:start w:val="1"/>
      <w:numFmt w:val="lowerRoman"/>
      <w:lvlText w:val="%6."/>
      <w:lvlJc w:val="right"/>
      <w:pPr>
        <w:ind w:left="5029" w:hanging="180"/>
      </w:pPr>
    </w:lvl>
    <w:lvl w:ilvl="6" w:tplc="140A000F">
      <w:start w:val="1"/>
      <w:numFmt w:val="decimal"/>
      <w:lvlText w:val="%7."/>
      <w:lvlJc w:val="left"/>
      <w:pPr>
        <w:ind w:left="5749" w:hanging="360"/>
      </w:pPr>
    </w:lvl>
    <w:lvl w:ilvl="7" w:tplc="140A0019">
      <w:start w:val="1"/>
      <w:numFmt w:val="lowerLetter"/>
      <w:lvlText w:val="%8."/>
      <w:lvlJc w:val="left"/>
      <w:pPr>
        <w:ind w:left="6469" w:hanging="360"/>
      </w:pPr>
    </w:lvl>
    <w:lvl w:ilvl="8" w:tplc="140A001B">
      <w:start w:val="1"/>
      <w:numFmt w:val="lowerRoman"/>
      <w:lvlText w:val="%9."/>
      <w:lvlJc w:val="right"/>
      <w:pPr>
        <w:ind w:left="7189" w:hanging="180"/>
      </w:pPr>
    </w:lvl>
  </w:abstractNum>
  <w:abstractNum w:abstractNumId="3" w15:restartNumberingAfterBreak="0">
    <w:nsid w:val="2837058D"/>
    <w:multiLevelType w:val="hybridMultilevel"/>
    <w:tmpl w:val="617C3A24"/>
    <w:lvl w:ilvl="0" w:tplc="565A301C">
      <w:start w:val="1"/>
      <w:numFmt w:val="decimal"/>
      <w:lvlText w:val="%1)"/>
      <w:lvlJc w:val="left"/>
      <w:pPr>
        <w:ind w:left="1440" w:hanging="360"/>
      </w:pPr>
      <w:rPr>
        <w:rFonts w:hint="default"/>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A780770"/>
    <w:multiLevelType w:val="hybridMultilevel"/>
    <w:tmpl w:val="3DC8A7FE"/>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C754BB"/>
    <w:multiLevelType w:val="hybridMultilevel"/>
    <w:tmpl w:val="0A108CAE"/>
    <w:lvl w:ilvl="0" w:tplc="04090015">
      <w:start w:val="1"/>
      <w:numFmt w:val="upperLetter"/>
      <w:lvlText w:val="%1."/>
      <w:lvlJc w:val="left"/>
      <w:pPr>
        <w:ind w:left="720" w:hanging="360"/>
      </w:pPr>
    </w:lvl>
    <w:lvl w:ilvl="1" w:tplc="565A301C">
      <w:start w:val="1"/>
      <w:numFmt w:val="decimal"/>
      <w:lvlText w:val="%2)"/>
      <w:lvlJc w:val="left"/>
      <w:pPr>
        <w:ind w:left="1440" w:hanging="360"/>
      </w:pPr>
      <w:rPr>
        <w:rFonts w:hint="default"/>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2D67737"/>
    <w:multiLevelType w:val="hybridMultilevel"/>
    <w:tmpl w:val="947A89D8"/>
    <w:lvl w:ilvl="0" w:tplc="834EAAA2">
      <w:start w:val="1"/>
      <w:numFmt w:val="upperLetter"/>
      <w:lvlText w:val="%1."/>
      <w:lvlJc w:val="left"/>
      <w:pPr>
        <w:ind w:left="930" w:hanging="360"/>
      </w:pPr>
      <w:rPr>
        <w:rFonts w:hint="default"/>
        <w:b/>
        <w:i w:val="0"/>
      </w:rPr>
    </w:lvl>
    <w:lvl w:ilvl="1" w:tplc="140A0019">
      <w:start w:val="1"/>
      <w:numFmt w:val="lowerLetter"/>
      <w:lvlText w:val="%2."/>
      <w:lvlJc w:val="left"/>
      <w:pPr>
        <w:ind w:left="1650" w:hanging="360"/>
      </w:pPr>
    </w:lvl>
    <w:lvl w:ilvl="2" w:tplc="140A001B">
      <w:start w:val="1"/>
      <w:numFmt w:val="lowerRoman"/>
      <w:lvlText w:val="%3."/>
      <w:lvlJc w:val="right"/>
      <w:pPr>
        <w:ind w:left="2370" w:hanging="180"/>
      </w:pPr>
    </w:lvl>
    <w:lvl w:ilvl="3" w:tplc="140A000F">
      <w:start w:val="1"/>
      <w:numFmt w:val="decimal"/>
      <w:lvlText w:val="%4."/>
      <w:lvlJc w:val="left"/>
      <w:pPr>
        <w:ind w:left="3090" w:hanging="360"/>
      </w:pPr>
    </w:lvl>
    <w:lvl w:ilvl="4" w:tplc="140A0019">
      <w:start w:val="1"/>
      <w:numFmt w:val="lowerLetter"/>
      <w:lvlText w:val="%5."/>
      <w:lvlJc w:val="left"/>
      <w:pPr>
        <w:ind w:left="3810" w:hanging="360"/>
      </w:pPr>
    </w:lvl>
    <w:lvl w:ilvl="5" w:tplc="140A001B">
      <w:start w:val="1"/>
      <w:numFmt w:val="lowerRoman"/>
      <w:lvlText w:val="%6."/>
      <w:lvlJc w:val="right"/>
      <w:pPr>
        <w:ind w:left="4530" w:hanging="180"/>
      </w:pPr>
    </w:lvl>
    <w:lvl w:ilvl="6" w:tplc="140A000F">
      <w:start w:val="1"/>
      <w:numFmt w:val="decimal"/>
      <w:lvlText w:val="%7."/>
      <w:lvlJc w:val="left"/>
      <w:pPr>
        <w:ind w:left="5250" w:hanging="360"/>
      </w:pPr>
    </w:lvl>
    <w:lvl w:ilvl="7" w:tplc="140A0019">
      <w:start w:val="1"/>
      <w:numFmt w:val="lowerLetter"/>
      <w:lvlText w:val="%8."/>
      <w:lvlJc w:val="left"/>
      <w:pPr>
        <w:ind w:left="5970" w:hanging="360"/>
      </w:pPr>
    </w:lvl>
    <w:lvl w:ilvl="8" w:tplc="140A001B">
      <w:start w:val="1"/>
      <w:numFmt w:val="lowerRoman"/>
      <w:lvlText w:val="%9."/>
      <w:lvlJc w:val="right"/>
      <w:pPr>
        <w:ind w:left="6690" w:hanging="180"/>
      </w:pPr>
    </w:lvl>
  </w:abstractNum>
  <w:abstractNum w:abstractNumId="8" w15:restartNumberingAfterBreak="0">
    <w:nsid w:val="644167C5"/>
    <w:multiLevelType w:val="hybridMultilevel"/>
    <w:tmpl w:val="56E2A2AE"/>
    <w:lvl w:ilvl="0" w:tplc="0FD0E226">
      <w:start w:val="2"/>
      <w:numFmt w:val="decimal"/>
      <w:lvlText w:val="%1."/>
      <w:lvlJc w:val="left"/>
      <w:pPr>
        <w:tabs>
          <w:tab w:val="num" w:pos="3600"/>
        </w:tabs>
        <w:ind w:left="0" w:firstLine="0"/>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start w:val="1"/>
      <w:numFmt w:val="lowerLetter"/>
      <w:lvlText w:val="%8."/>
      <w:lvlJc w:val="left"/>
      <w:pPr>
        <w:tabs>
          <w:tab w:val="num" w:pos="7920"/>
        </w:tabs>
        <w:ind w:left="7920" w:hanging="360"/>
      </w:pPr>
      <w:rPr>
        <w:rFonts w:cs="Times New Roman"/>
      </w:rPr>
    </w:lvl>
    <w:lvl w:ilvl="8" w:tplc="0409001B">
      <w:start w:val="1"/>
      <w:numFmt w:val="lowerRoman"/>
      <w:lvlText w:val="%9."/>
      <w:lvlJc w:val="right"/>
      <w:pPr>
        <w:tabs>
          <w:tab w:val="num" w:pos="8640"/>
        </w:tabs>
        <w:ind w:left="8640" w:hanging="180"/>
      </w:pPr>
      <w:rPr>
        <w:rFonts w:cs="Times New Roman"/>
      </w:rPr>
    </w:lvl>
  </w:abstractNum>
  <w:abstractNum w:abstractNumId="9" w15:restartNumberingAfterBreak="0">
    <w:nsid w:val="6EDD6D79"/>
    <w:multiLevelType w:val="hybridMultilevel"/>
    <w:tmpl w:val="2822E2FE"/>
    <w:lvl w:ilvl="0" w:tplc="140A0011">
      <w:start w:val="1"/>
      <w:numFmt w:val="decimal"/>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0"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60365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57545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5944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1225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6353423">
    <w:abstractNumId w:val="7"/>
  </w:num>
  <w:num w:numId="6" w16cid:durableId="930163750">
    <w:abstractNumId w:val="5"/>
  </w:num>
  <w:num w:numId="7" w16cid:durableId="117742878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9382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9799008">
    <w:abstractNumId w:val="0"/>
  </w:num>
  <w:num w:numId="10" w16cid:durableId="44761138">
    <w:abstractNumId w:val="2"/>
  </w:num>
  <w:num w:numId="11" w16cid:durableId="1996297181">
    <w:abstractNumId w:val="7"/>
  </w:num>
  <w:num w:numId="12" w16cid:durableId="2121215473">
    <w:abstractNumId w:val="3"/>
  </w:num>
  <w:num w:numId="13" w16cid:durableId="607128187">
    <w:abstractNumId w:val="5"/>
    <w:lvlOverride w:ilvl="0">
      <w:lvl w:ilvl="0" w:tplc="04090015">
        <w:start w:val="1"/>
        <w:numFmt w:val="decimal"/>
        <w:lvlText w:val="%1)"/>
        <w:lvlJc w:val="left"/>
        <w:pPr>
          <w:ind w:left="1440" w:hanging="360"/>
        </w:pPr>
        <w:rPr>
          <w:rFonts w:hint="default"/>
          <w:b w:val="0"/>
          <w:bCs/>
          <w:i w:val="0"/>
          <w:iCs w:val="0"/>
        </w:rPr>
      </w:lvl>
    </w:lvlOverride>
    <w:lvlOverride w:ilvl="1">
      <w:lvl w:ilvl="1" w:tplc="565A301C">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4" w16cid:durableId="91948">
    <w:abstractNumId w:val="1"/>
  </w:num>
  <w:num w:numId="15" w16cid:durableId="394859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98"/>
    <w:rsid w:val="00011263"/>
    <w:rsid w:val="00033A51"/>
    <w:rsid w:val="000439F9"/>
    <w:rsid w:val="00050DD9"/>
    <w:rsid w:val="00051FCF"/>
    <w:rsid w:val="00072FF1"/>
    <w:rsid w:val="0007472A"/>
    <w:rsid w:val="00083A57"/>
    <w:rsid w:val="00087559"/>
    <w:rsid w:val="00092DF3"/>
    <w:rsid w:val="000C2A69"/>
    <w:rsid w:val="000C351C"/>
    <w:rsid w:val="000D1F62"/>
    <w:rsid w:val="000F1241"/>
    <w:rsid w:val="00105C61"/>
    <w:rsid w:val="00105DFC"/>
    <w:rsid w:val="00133894"/>
    <w:rsid w:val="00142D30"/>
    <w:rsid w:val="00144DBB"/>
    <w:rsid w:val="001501DF"/>
    <w:rsid w:val="0015553C"/>
    <w:rsid w:val="00173BD4"/>
    <w:rsid w:val="00183368"/>
    <w:rsid w:val="001C26FD"/>
    <w:rsid w:val="001D5FD1"/>
    <w:rsid w:val="001F14C1"/>
    <w:rsid w:val="00200779"/>
    <w:rsid w:val="00221B4E"/>
    <w:rsid w:val="00240B11"/>
    <w:rsid w:val="00250FA4"/>
    <w:rsid w:val="00280A59"/>
    <w:rsid w:val="002A0CF6"/>
    <w:rsid w:val="002A5DCE"/>
    <w:rsid w:val="002B2D77"/>
    <w:rsid w:val="002C2E6F"/>
    <w:rsid w:val="002C657C"/>
    <w:rsid w:val="002D07C2"/>
    <w:rsid w:val="002D28EF"/>
    <w:rsid w:val="002F05D8"/>
    <w:rsid w:val="002F07A2"/>
    <w:rsid w:val="003038B3"/>
    <w:rsid w:val="0030430B"/>
    <w:rsid w:val="00304635"/>
    <w:rsid w:val="00321152"/>
    <w:rsid w:val="00324883"/>
    <w:rsid w:val="003259EB"/>
    <w:rsid w:val="00327619"/>
    <w:rsid w:val="00333290"/>
    <w:rsid w:val="003372A5"/>
    <w:rsid w:val="00350B6B"/>
    <w:rsid w:val="003546A3"/>
    <w:rsid w:val="00356966"/>
    <w:rsid w:val="00357B28"/>
    <w:rsid w:val="003601EF"/>
    <w:rsid w:val="00364C74"/>
    <w:rsid w:val="00367378"/>
    <w:rsid w:val="00374654"/>
    <w:rsid w:val="00377520"/>
    <w:rsid w:val="003828DC"/>
    <w:rsid w:val="0038629B"/>
    <w:rsid w:val="003A4403"/>
    <w:rsid w:val="003C033C"/>
    <w:rsid w:val="003C1332"/>
    <w:rsid w:val="003E4716"/>
    <w:rsid w:val="003E5818"/>
    <w:rsid w:val="003F3C45"/>
    <w:rsid w:val="004050F6"/>
    <w:rsid w:val="00423443"/>
    <w:rsid w:val="004240D3"/>
    <w:rsid w:val="00427C7D"/>
    <w:rsid w:val="00432413"/>
    <w:rsid w:val="004716D9"/>
    <w:rsid w:val="004B4A72"/>
    <w:rsid w:val="004D3F82"/>
    <w:rsid w:val="004D7C24"/>
    <w:rsid w:val="004F0185"/>
    <w:rsid w:val="004F520F"/>
    <w:rsid w:val="00510E03"/>
    <w:rsid w:val="00515CC9"/>
    <w:rsid w:val="00533972"/>
    <w:rsid w:val="005416DB"/>
    <w:rsid w:val="00562AF2"/>
    <w:rsid w:val="00586C88"/>
    <w:rsid w:val="005B4583"/>
    <w:rsid w:val="005D05FF"/>
    <w:rsid w:val="005E3408"/>
    <w:rsid w:val="005F5B01"/>
    <w:rsid w:val="00602133"/>
    <w:rsid w:val="00616365"/>
    <w:rsid w:val="006453C9"/>
    <w:rsid w:val="00663030"/>
    <w:rsid w:val="0067043D"/>
    <w:rsid w:val="00677456"/>
    <w:rsid w:val="006B568B"/>
    <w:rsid w:val="006C20F0"/>
    <w:rsid w:val="006C3863"/>
    <w:rsid w:val="006D16DD"/>
    <w:rsid w:val="006F7DCB"/>
    <w:rsid w:val="007054A9"/>
    <w:rsid w:val="007413A4"/>
    <w:rsid w:val="00762BEF"/>
    <w:rsid w:val="007721C4"/>
    <w:rsid w:val="00774322"/>
    <w:rsid w:val="007A0BEA"/>
    <w:rsid w:val="007A4A3D"/>
    <w:rsid w:val="00807677"/>
    <w:rsid w:val="00817A6D"/>
    <w:rsid w:val="008226E9"/>
    <w:rsid w:val="00837EF9"/>
    <w:rsid w:val="00844A97"/>
    <w:rsid w:val="00856F10"/>
    <w:rsid w:val="00864612"/>
    <w:rsid w:val="00866E74"/>
    <w:rsid w:val="00867E14"/>
    <w:rsid w:val="00877E74"/>
    <w:rsid w:val="00881FAE"/>
    <w:rsid w:val="00887615"/>
    <w:rsid w:val="00893417"/>
    <w:rsid w:val="008B4194"/>
    <w:rsid w:val="008D1357"/>
    <w:rsid w:val="008D2E47"/>
    <w:rsid w:val="008D51C7"/>
    <w:rsid w:val="008D7351"/>
    <w:rsid w:val="008E1AAC"/>
    <w:rsid w:val="008F5755"/>
    <w:rsid w:val="008F781A"/>
    <w:rsid w:val="00931421"/>
    <w:rsid w:val="00932465"/>
    <w:rsid w:val="00945AF6"/>
    <w:rsid w:val="00954C51"/>
    <w:rsid w:val="00960BBA"/>
    <w:rsid w:val="00971681"/>
    <w:rsid w:val="0098318F"/>
    <w:rsid w:val="00987D3D"/>
    <w:rsid w:val="009905BD"/>
    <w:rsid w:val="009A7116"/>
    <w:rsid w:val="009F123A"/>
    <w:rsid w:val="009F1EEF"/>
    <w:rsid w:val="00A02343"/>
    <w:rsid w:val="00A04EED"/>
    <w:rsid w:val="00A22598"/>
    <w:rsid w:val="00A25473"/>
    <w:rsid w:val="00A264CF"/>
    <w:rsid w:val="00A329D8"/>
    <w:rsid w:val="00A51E92"/>
    <w:rsid w:val="00A6361D"/>
    <w:rsid w:val="00A761F2"/>
    <w:rsid w:val="00A84D21"/>
    <w:rsid w:val="00A862ED"/>
    <w:rsid w:val="00A90712"/>
    <w:rsid w:val="00A97E75"/>
    <w:rsid w:val="00AA6AAE"/>
    <w:rsid w:val="00AC2604"/>
    <w:rsid w:val="00AC4232"/>
    <w:rsid w:val="00AC4819"/>
    <w:rsid w:val="00AC79D1"/>
    <w:rsid w:val="00AC7E01"/>
    <w:rsid w:val="00AE74B5"/>
    <w:rsid w:val="00AF3870"/>
    <w:rsid w:val="00B06277"/>
    <w:rsid w:val="00B31338"/>
    <w:rsid w:val="00B32D24"/>
    <w:rsid w:val="00B37D69"/>
    <w:rsid w:val="00B40228"/>
    <w:rsid w:val="00B512AF"/>
    <w:rsid w:val="00B76D3E"/>
    <w:rsid w:val="00B91749"/>
    <w:rsid w:val="00BA2B38"/>
    <w:rsid w:val="00BA40A9"/>
    <w:rsid w:val="00BA48BD"/>
    <w:rsid w:val="00BC0F85"/>
    <w:rsid w:val="00BE55FB"/>
    <w:rsid w:val="00C0256D"/>
    <w:rsid w:val="00C34ACB"/>
    <w:rsid w:val="00C42D05"/>
    <w:rsid w:val="00C50D94"/>
    <w:rsid w:val="00C74A82"/>
    <w:rsid w:val="00C76EB9"/>
    <w:rsid w:val="00C91B7B"/>
    <w:rsid w:val="00CB3F23"/>
    <w:rsid w:val="00CB5396"/>
    <w:rsid w:val="00CD3867"/>
    <w:rsid w:val="00CD683A"/>
    <w:rsid w:val="00CD7302"/>
    <w:rsid w:val="00D04432"/>
    <w:rsid w:val="00D06234"/>
    <w:rsid w:val="00D11A7C"/>
    <w:rsid w:val="00D300EB"/>
    <w:rsid w:val="00D32A80"/>
    <w:rsid w:val="00D35526"/>
    <w:rsid w:val="00D4074D"/>
    <w:rsid w:val="00D5072B"/>
    <w:rsid w:val="00D555C6"/>
    <w:rsid w:val="00D577D0"/>
    <w:rsid w:val="00D6145B"/>
    <w:rsid w:val="00D658B6"/>
    <w:rsid w:val="00D85C3E"/>
    <w:rsid w:val="00D91219"/>
    <w:rsid w:val="00D93239"/>
    <w:rsid w:val="00DA6BEF"/>
    <w:rsid w:val="00DB1230"/>
    <w:rsid w:val="00DB260F"/>
    <w:rsid w:val="00DC7A9C"/>
    <w:rsid w:val="00DD710C"/>
    <w:rsid w:val="00DE3999"/>
    <w:rsid w:val="00DF1B11"/>
    <w:rsid w:val="00DF5124"/>
    <w:rsid w:val="00E03A96"/>
    <w:rsid w:val="00E04312"/>
    <w:rsid w:val="00E05689"/>
    <w:rsid w:val="00E45F7B"/>
    <w:rsid w:val="00E51EE8"/>
    <w:rsid w:val="00E55FDB"/>
    <w:rsid w:val="00E76022"/>
    <w:rsid w:val="00E82FC5"/>
    <w:rsid w:val="00E83563"/>
    <w:rsid w:val="00E83673"/>
    <w:rsid w:val="00E87871"/>
    <w:rsid w:val="00E92E6C"/>
    <w:rsid w:val="00EA7735"/>
    <w:rsid w:val="00EB671E"/>
    <w:rsid w:val="00EC1669"/>
    <w:rsid w:val="00EC29F7"/>
    <w:rsid w:val="00ED0FE8"/>
    <w:rsid w:val="00F33A5B"/>
    <w:rsid w:val="00F36C27"/>
    <w:rsid w:val="00F57A65"/>
    <w:rsid w:val="00F637D2"/>
    <w:rsid w:val="00F72762"/>
    <w:rsid w:val="00F9202F"/>
    <w:rsid w:val="00FA249B"/>
    <w:rsid w:val="00FC67B0"/>
    <w:rsid w:val="00FD461D"/>
    <w:rsid w:val="00FF5307"/>
    <w:rsid w:val="00FF7C8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877B7"/>
  <w15:chartTrackingRefBased/>
  <w15:docId w15:val="{B0FAE6CD-D458-4AD1-BED3-61CA1456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49"/>
    <w:pPr>
      <w:spacing w:after="200" w:line="276" w:lineRule="auto"/>
    </w:pPr>
    <w:rPr>
      <w:rFonts w:ascii="Verdana" w:eastAsia="Calibri" w:hAnsi="Verdana" w:cs="Calibri"/>
      <w:sz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Ca Car"/>
    <w:link w:val="Textonotapie"/>
    <w:locked/>
    <w:rsid w:val="00CB5396"/>
    <w:rPr>
      <w:rFonts w:ascii="Verdana" w:hAnsi="Verdana"/>
      <w:sz w:val="16"/>
      <w:szCs w:val="16"/>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
    <w:basedOn w:val="Normal"/>
    <w:link w:val="TextonotapieCar1"/>
    <w:autoRedefine/>
    <w:unhideWhenUsed/>
    <w:qFormat/>
    <w:rsid w:val="00CB5396"/>
    <w:pPr>
      <w:spacing w:before="120" w:after="120" w:line="240" w:lineRule="auto"/>
      <w:jc w:val="both"/>
    </w:pPr>
    <w:rPr>
      <w:rFonts w:eastAsiaTheme="minorHAnsi" w:cstheme="minorBidi"/>
      <w:sz w:val="16"/>
      <w:szCs w:val="16"/>
      <w:lang w:val="es-ES_tradnl" w:eastAsia="es-ES"/>
    </w:rPr>
  </w:style>
  <w:style w:type="character" w:customStyle="1" w:styleId="TextonotapieCar">
    <w:name w:val="Texto nota pie Car"/>
    <w:basedOn w:val="Fuentedeprrafopredeter"/>
    <w:uiPriority w:val="99"/>
    <w:semiHidden/>
    <w:rsid w:val="00A22598"/>
    <w:rPr>
      <w:rFonts w:ascii="Verdana" w:eastAsia="Calibri" w:hAnsi="Verdana" w:cs="Calibri"/>
      <w:sz w:val="20"/>
      <w:szCs w:val="20"/>
      <w:lang w:val="es-MX"/>
    </w:rPr>
  </w:style>
  <w:style w:type="paragraph" w:styleId="Prrafodelista">
    <w:name w:val="List Paragraph"/>
    <w:basedOn w:val="Normal"/>
    <w:uiPriority w:val="34"/>
    <w:qFormat/>
    <w:rsid w:val="00A22598"/>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unhideWhenUsed/>
    <w:qFormat/>
    <w:rsid w:val="00A22598"/>
    <w:rPr>
      <w:rFonts w:ascii="Verdana" w:hAnsi="Verdana" w:cs="Verdana"/>
      <w:sz w:val="16"/>
      <w:szCs w:val="16"/>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A22598"/>
    <w:pPr>
      <w:spacing w:after="0" w:line="240" w:lineRule="auto"/>
      <w:jc w:val="both"/>
    </w:pPr>
    <w:rPr>
      <w:rFonts w:eastAsiaTheme="minorHAnsi" w:cs="Verdana"/>
      <w:sz w:val="16"/>
      <w:szCs w:val="16"/>
      <w:vertAlign w:val="superscript"/>
      <w:lang w:val="es-CR"/>
    </w:rPr>
  </w:style>
  <w:style w:type="character" w:styleId="Textoennegrita">
    <w:name w:val="Strong"/>
    <w:basedOn w:val="Fuentedeprrafopredeter"/>
    <w:uiPriority w:val="22"/>
    <w:qFormat/>
    <w:rsid w:val="00A22598"/>
    <w:rPr>
      <w:b/>
      <w:bCs/>
    </w:rPr>
  </w:style>
  <w:style w:type="character" w:styleId="Refdecomentario">
    <w:name w:val="annotation reference"/>
    <w:basedOn w:val="Fuentedeprrafopredeter"/>
    <w:uiPriority w:val="99"/>
    <w:semiHidden/>
    <w:unhideWhenUsed/>
    <w:rsid w:val="00616365"/>
    <w:rPr>
      <w:sz w:val="16"/>
      <w:szCs w:val="16"/>
    </w:rPr>
  </w:style>
  <w:style w:type="paragraph" w:styleId="Textocomentario">
    <w:name w:val="annotation text"/>
    <w:basedOn w:val="Normal"/>
    <w:link w:val="TextocomentarioCar"/>
    <w:uiPriority w:val="99"/>
    <w:unhideWhenUsed/>
    <w:rsid w:val="00616365"/>
    <w:pPr>
      <w:spacing w:line="240" w:lineRule="auto"/>
    </w:pPr>
    <w:rPr>
      <w:szCs w:val="20"/>
    </w:rPr>
  </w:style>
  <w:style w:type="character" w:customStyle="1" w:styleId="TextocomentarioCar">
    <w:name w:val="Texto comentario Car"/>
    <w:basedOn w:val="Fuentedeprrafopredeter"/>
    <w:link w:val="Textocomentario"/>
    <w:uiPriority w:val="99"/>
    <w:rsid w:val="00616365"/>
    <w:rPr>
      <w:rFonts w:ascii="Verdana" w:eastAsia="Calibri" w:hAnsi="Verdana"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616365"/>
    <w:rPr>
      <w:b/>
      <w:bCs/>
    </w:rPr>
  </w:style>
  <w:style w:type="character" w:customStyle="1" w:styleId="AsuntodelcomentarioCar">
    <w:name w:val="Asunto del comentario Car"/>
    <w:basedOn w:val="TextocomentarioCar"/>
    <w:link w:val="Asuntodelcomentario"/>
    <w:uiPriority w:val="99"/>
    <w:semiHidden/>
    <w:rsid w:val="00616365"/>
    <w:rPr>
      <w:rFonts w:ascii="Verdana" w:eastAsia="Calibri" w:hAnsi="Verdana" w:cs="Calibri"/>
      <w:b/>
      <w:bCs/>
      <w:sz w:val="20"/>
      <w:szCs w:val="20"/>
      <w:lang w:val="es-MX"/>
    </w:rPr>
  </w:style>
  <w:style w:type="paragraph" w:styleId="Revisin">
    <w:name w:val="Revision"/>
    <w:hidden/>
    <w:uiPriority w:val="99"/>
    <w:semiHidden/>
    <w:rsid w:val="00FF7C88"/>
    <w:pPr>
      <w:spacing w:after="0" w:line="240" w:lineRule="auto"/>
    </w:pPr>
    <w:rPr>
      <w:rFonts w:ascii="Verdana" w:eastAsia="Calibri" w:hAnsi="Verdana" w:cs="Calibri"/>
      <w:sz w:val="20"/>
      <w:lang w:val="es-MX"/>
    </w:rPr>
  </w:style>
  <w:style w:type="paragraph" w:styleId="Encabezado">
    <w:name w:val="header"/>
    <w:basedOn w:val="Normal"/>
    <w:link w:val="EncabezadoCar"/>
    <w:uiPriority w:val="99"/>
    <w:unhideWhenUsed/>
    <w:rsid w:val="00074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472A"/>
    <w:rPr>
      <w:rFonts w:ascii="Verdana" w:eastAsia="Calibri" w:hAnsi="Verdana" w:cs="Calibri"/>
      <w:sz w:val="20"/>
      <w:lang w:val="es-MX"/>
    </w:rPr>
  </w:style>
  <w:style w:type="paragraph" w:styleId="Piedepgina">
    <w:name w:val="footer"/>
    <w:basedOn w:val="Normal"/>
    <w:link w:val="PiedepginaCar"/>
    <w:uiPriority w:val="99"/>
    <w:unhideWhenUsed/>
    <w:rsid w:val="00074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472A"/>
    <w:rPr>
      <w:rFonts w:ascii="Verdana" w:eastAsia="Calibri" w:hAnsi="Verdana" w:cs="Calibri"/>
      <w:sz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4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0B30F-7CC4-4EDC-8192-4D955669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1419</Words>
  <Characters>7806</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2022-05-09T16:27:00Z</cp:lastPrinted>
  <dcterms:created xsi:type="dcterms:W3CDTF">2022-06-02T17:58:00Z</dcterms:created>
  <dcterms:modified xsi:type="dcterms:W3CDTF">2022-06-02T17:58:00Z</dcterms:modified>
</cp:coreProperties>
</file>