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A9C8A" w14:textId="77777777" w:rsidR="00E60373" w:rsidRPr="008E74AA" w:rsidRDefault="00E60373" w:rsidP="00BE0EFF">
      <w:pPr>
        <w:tabs>
          <w:tab w:val="left" w:pos="720"/>
        </w:tabs>
        <w:jc w:val="center"/>
        <w:rPr>
          <w:rFonts w:ascii="Verdana" w:hAnsi="Verdana"/>
          <w:b/>
          <w:sz w:val="20"/>
          <w:szCs w:val="20"/>
          <w:lang w:val="es-ES"/>
        </w:rPr>
      </w:pPr>
    </w:p>
    <w:p w14:paraId="0BC4553E" w14:textId="0BBC4034" w:rsidR="00B53EF0" w:rsidRDefault="00B53EF0" w:rsidP="00BE0EFF">
      <w:pPr>
        <w:tabs>
          <w:tab w:val="left" w:pos="720"/>
        </w:tabs>
        <w:jc w:val="center"/>
        <w:rPr>
          <w:rFonts w:ascii="Verdana" w:hAnsi="Verdana"/>
          <w:b/>
          <w:sz w:val="20"/>
          <w:szCs w:val="20"/>
          <w:lang w:val="es-ES"/>
        </w:rPr>
      </w:pPr>
    </w:p>
    <w:p w14:paraId="4FF7CFAD" w14:textId="70E6EFF1" w:rsidR="00930560" w:rsidRDefault="00930560" w:rsidP="00BE0EFF">
      <w:pPr>
        <w:tabs>
          <w:tab w:val="left" w:pos="720"/>
        </w:tabs>
        <w:jc w:val="center"/>
        <w:rPr>
          <w:rFonts w:ascii="Verdana" w:hAnsi="Verdana"/>
          <w:b/>
          <w:sz w:val="20"/>
          <w:szCs w:val="20"/>
          <w:lang w:val="es-ES"/>
        </w:rPr>
      </w:pPr>
    </w:p>
    <w:p w14:paraId="668FF76B" w14:textId="77777777" w:rsidR="00930560" w:rsidRPr="008E74AA" w:rsidRDefault="00930560" w:rsidP="00BE0EFF">
      <w:pPr>
        <w:tabs>
          <w:tab w:val="left" w:pos="720"/>
        </w:tabs>
        <w:jc w:val="center"/>
        <w:rPr>
          <w:rFonts w:ascii="Verdana" w:hAnsi="Verdana"/>
          <w:b/>
          <w:sz w:val="20"/>
          <w:szCs w:val="20"/>
          <w:lang w:val="es-ES"/>
        </w:rPr>
      </w:pPr>
    </w:p>
    <w:p w14:paraId="0606EFB6" w14:textId="22F0C1AB" w:rsidR="00B53EF0" w:rsidRPr="008E74AA" w:rsidRDefault="00B53EF0" w:rsidP="00BE0EFF">
      <w:pPr>
        <w:tabs>
          <w:tab w:val="left" w:pos="720"/>
        </w:tabs>
        <w:jc w:val="center"/>
        <w:rPr>
          <w:rFonts w:ascii="Verdana" w:hAnsi="Verdana"/>
          <w:b/>
          <w:sz w:val="20"/>
          <w:szCs w:val="20"/>
          <w:lang w:val="es-ES"/>
        </w:rPr>
      </w:pPr>
      <w:r w:rsidRPr="008E74AA">
        <w:rPr>
          <w:rFonts w:ascii="Verdana" w:hAnsi="Verdana"/>
          <w:b/>
          <w:sz w:val="20"/>
          <w:szCs w:val="20"/>
          <w:lang w:val="es-ES"/>
        </w:rPr>
        <w:t>RESOLUCIÓN DE</w:t>
      </w:r>
      <w:r w:rsidR="00B46E09" w:rsidRPr="008E74AA">
        <w:rPr>
          <w:rFonts w:ascii="Verdana" w:hAnsi="Verdana"/>
          <w:b/>
          <w:sz w:val="20"/>
          <w:szCs w:val="20"/>
          <w:lang w:val="es-ES"/>
        </w:rPr>
        <w:t>L PRESIDENTE DE</w:t>
      </w:r>
      <w:r w:rsidRPr="008E74AA">
        <w:rPr>
          <w:rFonts w:ascii="Verdana" w:hAnsi="Verdana"/>
          <w:b/>
          <w:sz w:val="20"/>
          <w:szCs w:val="20"/>
          <w:lang w:val="es-ES"/>
        </w:rPr>
        <w:t xml:space="preserve"> LA</w:t>
      </w:r>
    </w:p>
    <w:p w14:paraId="5326D7D5" w14:textId="05660F9D" w:rsidR="00B53EF0" w:rsidRPr="008E74AA" w:rsidRDefault="00B53EF0" w:rsidP="00BE0EFF">
      <w:pPr>
        <w:tabs>
          <w:tab w:val="left" w:pos="720"/>
        </w:tabs>
        <w:jc w:val="center"/>
        <w:rPr>
          <w:rFonts w:ascii="Verdana" w:hAnsi="Verdana"/>
          <w:b/>
          <w:sz w:val="20"/>
          <w:szCs w:val="20"/>
          <w:lang w:val="es-ES"/>
        </w:rPr>
      </w:pPr>
      <w:r w:rsidRPr="008E74AA">
        <w:rPr>
          <w:rFonts w:ascii="Verdana" w:hAnsi="Verdana"/>
          <w:b/>
          <w:sz w:val="20"/>
          <w:szCs w:val="20"/>
          <w:lang w:val="es-ES"/>
        </w:rPr>
        <w:t>CORTE INTERAMERICANA DE DERECHOS HUMANOS</w:t>
      </w:r>
    </w:p>
    <w:p w14:paraId="1432E17F" w14:textId="77777777" w:rsidR="00B53EF0" w:rsidRPr="008E74AA" w:rsidRDefault="00B53EF0" w:rsidP="00BE0EFF">
      <w:pPr>
        <w:tabs>
          <w:tab w:val="left" w:pos="720"/>
        </w:tabs>
        <w:jc w:val="center"/>
        <w:rPr>
          <w:rFonts w:ascii="Verdana" w:hAnsi="Verdana"/>
          <w:b/>
          <w:sz w:val="20"/>
          <w:szCs w:val="20"/>
          <w:lang w:val="es-ES"/>
        </w:rPr>
      </w:pPr>
    </w:p>
    <w:p w14:paraId="7F0173D0" w14:textId="14E8775D" w:rsidR="00B53EF0" w:rsidRPr="008E74AA" w:rsidRDefault="00B53EF0" w:rsidP="00BE0EFF">
      <w:pPr>
        <w:tabs>
          <w:tab w:val="left" w:pos="720"/>
        </w:tabs>
        <w:jc w:val="center"/>
        <w:rPr>
          <w:rFonts w:ascii="Verdana" w:hAnsi="Verdana"/>
          <w:b/>
          <w:sz w:val="20"/>
          <w:szCs w:val="20"/>
          <w:lang w:val="es-ES"/>
        </w:rPr>
      </w:pPr>
      <w:r w:rsidRPr="008E74AA">
        <w:rPr>
          <w:rFonts w:ascii="Verdana" w:hAnsi="Verdana"/>
          <w:b/>
          <w:sz w:val="20"/>
          <w:szCs w:val="20"/>
          <w:lang w:val="es-ES"/>
        </w:rPr>
        <w:t xml:space="preserve">DE </w:t>
      </w:r>
      <w:r w:rsidR="00C2279C">
        <w:rPr>
          <w:rFonts w:ascii="Verdana" w:hAnsi="Verdana"/>
          <w:b/>
          <w:sz w:val="20"/>
          <w:szCs w:val="20"/>
          <w:lang w:val="es-ES"/>
        </w:rPr>
        <w:t>8</w:t>
      </w:r>
      <w:r w:rsidRPr="008E74AA">
        <w:rPr>
          <w:rFonts w:ascii="Verdana" w:hAnsi="Verdana"/>
          <w:b/>
          <w:sz w:val="20"/>
          <w:szCs w:val="20"/>
          <w:lang w:val="es-ES"/>
        </w:rPr>
        <w:t xml:space="preserve"> DE </w:t>
      </w:r>
      <w:r w:rsidR="00447C35" w:rsidRPr="008E74AA">
        <w:rPr>
          <w:rFonts w:ascii="Verdana" w:hAnsi="Verdana"/>
          <w:b/>
          <w:sz w:val="20"/>
          <w:szCs w:val="20"/>
          <w:lang w:val="es-ES"/>
        </w:rPr>
        <w:t>JU</w:t>
      </w:r>
      <w:r w:rsidR="0080565E" w:rsidRPr="008E74AA">
        <w:rPr>
          <w:rFonts w:ascii="Verdana" w:hAnsi="Verdana"/>
          <w:b/>
          <w:sz w:val="20"/>
          <w:szCs w:val="20"/>
          <w:lang w:val="es-ES"/>
        </w:rPr>
        <w:t>L</w:t>
      </w:r>
      <w:r w:rsidR="00447C35" w:rsidRPr="008E74AA">
        <w:rPr>
          <w:rFonts w:ascii="Verdana" w:hAnsi="Verdana"/>
          <w:b/>
          <w:sz w:val="20"/>
          <w:szCs w:val="20"/>
          <w:lang w:val="es-ES"/>
        </w:rPr>
        <w:t>IO</w:t>
      </w:r>
      <w:r w:rsidRPr="008E74AA">
        <w:rPr>
          <w:rFonts w:ascii="Verdana" w:hAnsi="Verdana"/>
          <w:b/>
          <w:sz w:val="20"/>
          <w:szCs w:val="20"/>
          <w:lang w:val="es-ES"/>
        </w:rPr>
        <w:t xml:space="preserve"> DE 202</w:t>
      </w:r>
      <w:r w:rsidR="00447C35" w:rsidRPr="008E74AA">
        <w:rPr>
          <w:rFonts w:ascii="Verdana" w:hAnsi="Verdana"/>
          <w:b/>
          <w:sz w:val="20"/>
          <w:szCs w:val="20"/>
          <w:lang w:val="es-ES"/>
        </w:rPr>
        <w:t>2</w:t>
      </w:r>
    </w:p>
    <w:p w14:paraId="75C4F8FB" w14:textId="77777777" w:rsidR="00B53EF0" w:rsidRPr="008E74AA" w:rsidRDefault="00B53EF0" w:rsidP="00BE0EFF">
      <w:pPr>
        <w:tabs>
          <w:tab w:val="left" w:pos="720"/>
        </w:tabs>
        <w:jc w:val="center"/>
        <w:rPr>
          <w:rFonts w:ascii="Verdana" w:hAnsi="Verdana"/>
          <w:b/>
          <w:sz w:val="20"/>
          <w:szCs w:val="20"/>
          <w:lang w:val="es-ES"/>
        </w:rPr>
      </w:pPr>
    </w:p>
    <w:p w14:paraId="69C7F181" w14:textId="562F9146" w:rsidR="00B53EF0" w:rsidRPr="008E74AA" w:rsidRDefault="00B46E09" w:rsidP="00BE0EFF">
      <w:pPr>
        <w:tabs>
          <w:tab w:val="left" w:pos="720"/>
        </w:tabs>
        <w:jc w:val="center"/>
        <w:rPr>
          <w:rFonts w:ascii="Verdana" w:hAnsi="Verdana"/>
          <w:b/>
          <w:sz w:val="20"/>
          <w:szCs w:val="20"/>
          <w:u w:val="single"/>
          <w:lang w:val="es-ES"/>
        </w:rPr>
      </w:pPr>
      <w:r w:rsidRPr="008E74AA">
        <w:rPr>
          <w:rFonts w:ascii="Verdana" w:hAnsi="Verdana"/>
          <w:b/>
          <w:sz w:val="20"/>
          <w:szCs w:val="20"/>
          <w:lang w:val="es-ES"/>
        </w:rPr>
        <w:t>ADOPCIÓN DE MEDIDAS URGENTES</w:t>
      </w:r>
    </w:p>
    <w:p w14:paraId="3688CDE9" w14:textId="77777777" w:rsidR="00B53EF0" w:rsidRPr="008E74AA" w:rsidRDefault="00B53EF0" w:rsidP="00BE0EFF">
      <w:pPr>
        <w:tabs>
          <w:tab w:val="left" w:pos="720"/>
        </w:tabs>
        <w:jc w:val="center"/>
        <w:rPr>
          <w:rFonts w:ascii="Verdana" w:hAnsi="Verdana"/>
          <w:b/>
          <w:sz w:val="20"/>
          <w:szCs w:val="20"/>
          <w:lang w:val="es-ES"/>
        </w:rPr>
      </w:pPr>
    </w:p>
    <w:p w14:paraId="39503AA3" w14:textId="192DF097" w:rsidR="00B53EF0" w:rsidRPr="008E74AA" w:rsidRDefault="00447C35" w:rsidP="00447C35">
      <w:pPr>
        <w:jc w:val="center"/>
        <w:rPr>
          <w:rFonts w:ascii="Verdana" w:hAnsi="Verdana"/>
          <w:b/>
          <w:i/>
          <w:sz w:val="20"/>
          <w:szCs w:val="20"/>
          <w:lang w:val="es-MX"/>
        </w:rPr>
      </w:pPr>
      <w:r w:rsidRPr="008E74AA">
        <w:rPr>
          <w:rFonts w:ascii="Verdana" w:hAnsi="Verdana"/>
          <w:b/>
          <w:i/>
          <w:sz w:val="20"/>
          <w:szCs w:val="20"/>
          <w:lang w:val="es-CR"/>
        </w:rPr>
        <w:t>CASO GUDIEL ÁLVAREZ Y OTROS (</w:t>
      </w:r>
      <w:r w:rsidRPr="008E74AA">
        <w:rPr>
          <w:rStyle w:val="Textoennegrita"/>
          <w:rFonts w:ascii="Verdana" w:hAnsi="Verdana"/>
          <w:i/>
          <w:color w:val="000000"/>
          <w:sz w:val="20"/>
          <w:szCs w:val="20"/>
          <w:shd w:val="clear" w:color="auto" w:fill="FFFFFF"/>
        </w:rPr>
        <w:t xml:space="preserve">"DIARIO MILITAR") </w:t>
      </w:r>
      <w:r w:rsidRPr="008E74AA">
        <w:rPr>
          <w:rFonts w:ascii="Verdana" w:hAnsi="Verdana"/>
          <w:b/>
          <w:i/>
          <w:sz w:val="20"/>
          <w:szCs w:val="20"/>
          <w:lang w:val="es-CR"/>
        </w:rPr>
        <w:t xml:space="preserve">VS. </w:t>
      </w:r>
      <w:r w:rsidRPr="008E74AA">
        <w:rPr>
          <w:rFonts w:ascii="Verdana" w:hAnsi="Verdana"/>
          <w:b/>
          <w:i/>
          <w:sz w:val="20"/>
          <w:szCs w:val="20"/>
          <w:lang w:val="es-MX"/>
        </w:rPr>
        <w:t>GUATEMALA</w:t>
      </w:r>
    </w:p>
    <w:p w14:paraId="0049A764" w14:textId="3C13C247" w:rsidR="00B53EF0" w:rsidRDefault="00B53EF0" w:rsidP="00BE0EFF">
      <w:pPr>
        <w:jc w:val="both"/>
        <w:rPr>
          <w:rFonts w:ascii="Verdana" w:hAnsi="Verdana"/>
          <w:b/>
          <w:caps/>
          <w:sz w:val="20"/>
          <w:szCs w:val="20"/>
          <w:lang w:val="pt-BR"/>
        </w:rPr>
      </w:pPr>
    </w:p>
    <w:p w14:paraId="5D10E1AD" w14:textId="77777777" w:rsidR="00930560" w:rsidRPr="008E74AA" w:rsidRDefault="00930560" w:rsidP="00BE0EFF">
      <w:pPr>
        <w:jc w:val="both"/>
        <w:rPr>
          <w:rFonts w:ascii="Verdana" w:hAnsi="Verdana"/>
          <w:b/>
          <w:caps/>
          <w:sz w:val="20"/>
          <w:szCs w:val="20"/>
          <w:lang w:val="pt-BR"/>
        </w:rPr>
      </w:pPr>
    </w:p>
    <w:p w14:paraId="24A76752" w14:textId="77777777" w:rsidR="00B53EF0" w:rsidRPr="008E74AA" w:rsidRDefault="00B53EF0" w:rsidP="00BE0EFF">
      <w:pPr>
        <w:spacing w:before="120" w:after="120"/>
        <w:jc w:val="both"/>
        <w:rPr>
          <w:rFonts w:ascii="Verdana" w:hAnsi="Verdana"/>
          <w:b/>
          <w:smallCaps/>
          <w:sz w:val="20"/>
          <w:szCs w:val="20"/>
          <w:lang w:val="es-ES"/>
        </w:rPr>
      </w:pPr>
      <w:r w:rsidRPr="008E74AA">
        <w:rPr>
          <w:rFonts w:ascii="Verdana" w:hAnsi="Verdana"/>
          <w:b/>
          <w:caps/>
          <w:sz w:val="20"/>
          <w:szCs w:val="20"/>
          <w:lang w:val="es-ES"/>
        </w:rPr>
        <w:t>Visto</w:t>
      </w:r>
      <w:r w:rsidR="00BE0EFF" w:rsidRPr="008E74AA">
        <w:rPr>
          <w:rFonts w:ascii="Verdana" w:hAnsi="Verdana"/>
          <w:b/>
          <w:smallCaps/>
          <w:sz w:val="20"/>
          <w:szCs w:val="20"/>
          <w:lang w:val="es-ES"/>
        </w:rPr>
        <w:t xml:space="preserve">: </w:t>
      </w:r>
    </w:p>
    <w:p w14:paraId="751D2AA7" w14:textId="05B57925" w:rsidR="00B53EF0" w:rsidRPr="008544D6" w:rsidRDefault="00447C35" w:rsidP="008544D6">
      <w:pPr>
        <w:numPr>
          <w:ilvl w:val="0"/>
          <w:numId w:val="1"/>
        </w:numPr>
        <w:ind w:left="0" w:firstLine="0"/>
        <w:jc w:val="both"/>
        <w:rPr>
          <w:rFonts w:ascii="Verdana" w:eastAsia="Calibri" w:hAnsi="Verdana" w:cs="Verdana"/>
          <w:color w:val="000000"/>
          <w:sz w:val="20"/>
          <w:szCs w:val="20"/>
          <w:lang w:val="es-CR"/>
        </w:rPr>
      </w:pPr>
      <w:r w:rsidRPr="008E74AA">
        <w:rPr>
          <w:rFonts w:ascii="Verdana" w:hAnsi="Verdana"/>
          <w:sz w:val="20"/>
          <w:szCs w:val="20"/>
          <w:lang w:val="es-MX"/>
        </w:rPr>
        <w:t xml:space="preserve">La Sentencia </w:t>
      </w:r>
      <w:r w:rsidRPr="008E74AA">
        <w:rPr>
          <w:rFonts w:ascii="Verdana" w:hAnsi="Verdana"/>
          <w:sz w:val="20"/>
          <w:szCs w:val="20"/>
          <w:lang w:val="es-CR"/>
        </w:rPr>
        <w:t>de fondo, reparaciones y costas (en adelante “la Sentencia”) dictada por la Corte Interamericana de Derechos Humanos (en adelante “la Corte Interamericana”, “la Corte” o “el Tribunal”) el 20 de noviembre de 2012</w:t>
      </w:r>
      <w:r w:rsidRPr="008E74AA">
        <w:rPr>
          <w:rStyle w:val="Refdenotaalpie"/>
          <w:sz w:val="20"/>
          <w:szCs w:val="20"/>
          <w:lang w:val="es-CR"/>
        </w:rPr>
        <w:footnoteReference w:id="1"/>
      </w:r>
      <w:r w:rsidRPr="008E74AA">
        <w:rPr>
          <w:rFonts w:ascii="Verdana" w:hAnsi="Verdana"/>
          <w:sz w:val="20"/>
          <w:szCs w:val="20"/>
          <w:lang w:val="es-CR"/>
        </w:rPr>
        <w:t>, y</w:t>
      </w:r>
      <w:r w:rsidR="00A657A5" w:rsidRPr="008E74AA">
        <w:rPr>
          <w:rFonts w:ascii="Verdana" w:eastAsia="Calibri" w:hAnsi="Verdana" w:cs="Verdana"/>
          <w:color w:val="000000"/>
          <w:sz w:val="20"/>
          <w:szCs w:val="20"/>
          <w:lang w:val="es-CR"/>
        </w:rPr>
        <w:t xml:space="preserve"> </w:t>
      </w:r>
      <w:r w:rsidR="00A657A5" w:rsidRPr="008E74AA">
        <w:rPr>
          <w:rFonts w:ascii="Verdana" w:hAnsi="Verdana"/>
          <w:color w:val="000000" w:themeColor="text1"/>
          <w:sz w:val="20"/>
          <w:szCs w:val="20"/>
          <w:shd w:val="clear" w:color="auto" w:fill="FFFFFF" w:themeFill="background1"/>
        </w:rPr>
        <w:t>la Sentencia de</w:t>
      </w:r>
      <w:r w:rsidR="00A657A5" w:rsidRPr="008E74AA">
        <w:rPr>
          <w:rFonts w:ascii="Verdana" w:hAnsi="Verdana"/>
          <w:b/>
          <w:bCs/>
          <w:color w:val="000000"/>
          <w:sz w:val="20"/>
          <w:szCs w:val="20"/>
          <w:shd w:val="clear" w:color="auto" w:fill="FFFFFF"/>
        </w:rPr>
        <w:t xml:space="preserve"> </w:t>
      </w:r>
      <w:r w:rsidR="00A657A5" w:rsidRPr="008E74AA">
        <w:rPr>
          <w:rFonts w:ascii="Verdana" w:hAnsi="Verdana"/>
          <w:bCs/>
          <w:color w:val="000000" w:themeColor="text1"/>
          <w:sz w:val="20"/>
          <w:szCs w:val="20"/>
          <w:shd w:val="clear" w:color="auto" w:fill="FFFFFF" w:themeFill="background1"/>
        </w:rPr>
        <w:t xml:space="preserve">interpretación </w:t>
      </w:r>
      <w:r w:rsidR="00A657A5" w:rsidRPr="008E74AA">
        <w:rPr>
          <w:rFonts w:ascii="Verdana" w:hAnsi="Verdana"/>
          <w:color w:val="000000" w:themeColor="text1"/>
          <w:sz w:val="20"/>
          <w:szCs w:val="20"/>
          <w:shd w:val="clear" w:color="auto" w:fill="FFFFFF" w:themeFill="background1"/>
        </w:rPr>
        <w:t>emitida por la Corte el 19 de agosto de 2013</w:t>
      </w:r>
      <w:r w:rsidR="00A657A5" w:rsidRPr="008E74AA">
        <w:rPr>
          <w:rStyle w:val="Refdenotaalpie"/>
          <w:color w:val="000000" w:themeColor="text1"/>
          <w:sz w:val="20"/>
          <w:szCs w:val="20"/>
          <w:shd w:val="clear" w:color="auto" w:fill="FFFFFF" w:themeFill="background1"/>
        </w:rPr>
        <w:footnoteReference w:id="2"/>
      </w:r>
      <w:r w:rsidR="00A657A5" w:rsidRPr="008E74AA">
        <w:rPr>
          <w:rFonts w:ascii="Verdana" w:hAnsi="Verdana"/>
          <w:color w:val="000000" w:themeColor="text1"/>
          <w:sz w:val="20"/>
          <w:szCs w:val="20"/>
          <w:shd w:val="clear" w:color="auto" w:fill="FFFFFF" w:themeFill="background1"/>
        </w:rPr>
        <w:t>.</w:t>
      </w:r>
    </w:p>
    <w:p w14:paraId="1DF54561" w14:textId="77777777" w:rsidR="008544D6" w:rsidRPr="008E74AA" w:rsidRDefault="008544D6" w:rsidP="008544D6">
      <w:pPr>
        <w:jc w:val="both"/>
        <w:rPr>
          <w:rFonts w:ascii="Verdana" w:eastAsia="Calibri" w:hAnsi="Verdana" w:cs="Verdana"/>
          <w:color w:val="000000"/>
          <w:sz w:val="20"/>
          <w:szCs w:val="20"/>
          <w:lang w:val="es-CR"/>
        </w:rPr>
      </w:pPr>
    </w:p>
    <w:p w14:paraId="7AFA3C81" w14:textId="657351E8" w:rsidR="00B53EF0" w:rsidRPr="008544D6" w:rsidRDefault="00B53EF0" w:rsidP="008544D6">
      <w:pPr>
        <w:numPr>
          <w:ilvl w:val="0"/>
          <w:numId w:val="1"/>
        </w:numPr>
        <w:ind w:left="0" w:firstLine="0"/>
        <w:jc w:val="both"/>
        <w:rPr>
          <w:rFonts w:ascii="Verdana" w:eastAsia="Calibri" w:hAnsi="Verdana" w:cs="Verdana"/>
          <w:color w:val="000000"/>
          <w:sz w:val="20"/>
          <w:szCs w:val="20"/>
          <w:lang w:val="es-CR"/>
        </w:rPr>
      </w:pPr>
      <w:r w:rsidRPr="008E74AA">
        <w:rPr>
          <w:rFonts w:ascii="Verdana" w:eastAsia="Calibri" w:hAnsi="Verdana" w:cs="Verdana"/>
          <w:color w:val="000000"/>
          <w:sz w:val="20"/>
          <w:szCs w:val="20"/>
          <w:lang w:val="es-CR"/>
        </w:rPr>
        <w:t>El escrito de l</w:t>
      </w:r>
      <w:r w:rsidR="00090019" w:rsidRPr="008E74AA">
        <w:rPr>
          <w:rFonts w:ascii="Verdana" w:eastAsia="Calibri" w:hAnsi="Verdana" w:cs="Verdana"/>
          <w:color w:val="000000"/>
          <w:sz w:val="20"/>
          <w:szCs w:val="20"/>
          <w:lang w:val="es-CR"/>
        </w:rPr>
        <w:t>o</w:t>
      </w:r>
      <w:r w:rsidRPr="008E74AA">
        <w:rPr>
          <w:rFonts w:ascii="Verdana" w:eastAsia="Calibri" w:hAnsi="Verdana" w:cs="Verdana"/>
          <w:color w:val="000000"/>
          <w:sz w:val="20"/>
          <w:szCs w:val="20"/>
          <w:lang w:val="es-CR"/>
        </w:rPr>
        <w:t>s representantes de las víctimas</w:t>
      </w:r>
      <w:r w:rsidRPr="008E74AA">
        <w:rPr>
          <w:rStyle w:val="Refdenotaalpie"/>
          <w:sz w:val="20"/>
          <w:szCs w:val="20"/>
        </w:rPr>
        <w:footnoteReference w:id="3"/>
      </w:r>
      <w:r w:rsidRPr="008E74AA">
        <w:rPr>
          <w:rFonts w:ascii="Verdana" w:eastAsia="Calibri" w:hAnsi="Verdana" w:cs="Verdana"/>
          <w:color w:val="000000"/>
          <w:sz w:val="20"/>
          <w:szCs w:val="20"/>
          <w:lang w:val="es-CR"/>
        </w:rPr>
        <w:t xml:space="preserve"> (en adelante “l</w:t>
      </w:r>
      <w:r w:rsidR="00090019" w:rsidRPr="008E74AA">
        <w:rPr>
          <w:rFonts w:ascii="Verdana" w:eastAsia="Calibri" w:hAnsi="Verdana" w:cs="Verdana"/>
          <w:color w:val="000000"/>
          <w:sz w:val="20"/>
          <w:szCs w:val="20"/>
          <w:lang w:val="es-CR"/>
        </w:rPr>
        <w:t>o</w:t>
      </w:r>
      <w:r w:rsidRPr="008E74AA">
        <w:rPr>
          <w:rFonts w:ascii="Verdana" w:eastAsia="Calibri" w:hAnsi="Verdana" w:cs="Verdana"/>
          <w:color w:val="000000"/>
          <w:sz w:val="20"/>
          <w:szCs w:val="20"/>
          <w:lang w:val="es-CR"/>
        </w:rPr>
        <w:t>s representantes</w:t>
      </w:r>
      <w:r w:rsidR="00090019" w:rsidRPr="008E74AA">
        <w:rPr>
          <w:rFonts w:ascii="Verdana" w:hAnsi="Verdana"/>
          <w:sz w:val="20"/>
          <w:szCs w:val="20"/>
        </w:rPr>
        <w:t>”</w:t>
      </w:r>
      <w:r w:rsidRPr="008E74AA">
        <w:rPr>
          <w:rFonts w:ascii="Verdana" w:eastAsia="Calibri" w:hAnsi="Verdana" w:cs="Verdana"/>
          <w:color w:val="000000"/>
          <w:sz w:val="20"/>
          <w:szCs w:val="20"/>
          <w:lang w:val="es-CR"/>
        </w:rPr>
        <w:t xml:space="preserve">) presentado el </w:t>
      </w:r>
      <w:r w:rsidR="00F141A4" w:rsidRPr="008E74AA">
        <w:rPr>
          <w:rFonts w:ascii="Verdana" w:eastAsia="Calibri" w:hAnsi="Verdana" w:cs="Verdana"/>
          <w:color w:val="000000"/>
          <w:sz w:val="20"/>
          <w:szCs w:val="20"/>
          <w:lang w:val="es-CR"/>
        </w:rPr>
        <w:t>14 de junio de 2022</w:t>
      </w:r>
      <w:r w:rsidRPr="008E74AA">
        <w:rPr>
          <w:rFonts w:ascii="Verdana" w:eastAsia="Calibri" w:hAnsi="Verdana" w:cs="Verdana"/>
          <w:color w:val="000000"/>
          <w:sz w:val="20"/>
          <w:szCs w:val="20"/>
          <w:lang w:val="es-CR"/>
        </w:rPr>
        <w:t xml:space="preserve">, mediante el cual sometieron a la Corte una solicitud de medidas provisionales, de conformidad con los artículos 63.2 de la Convención Americana sobre Derechos Humanos (en adelante “la Convención Americana” o “la Convención”) y 27.3 del Reglamento de la Corte (en adelante “el Reglamento”), con el propósito de que el Tribunal requiera </w:t>
      </w:r>
      <w:r w:rsidR="009B1E1F" w:rsidRPr="008E74AA">
        <w:rPr>
          <w:rFonts w:ascii="Verdana" w:eastAsia="Calibri" w:hAnsi="Verdana" w:cs="Verdana"/>
          <w:color w:val="000000"/>
          <w:sz w:val="20"/>
          <w:szCs w:val="20"/>
          <w:lang w:val="es-CR"/>
        </w:rPr>
        <w:t xml:space="preserve">a </w:t>
      </w:r>
      <w:r w:rsidR="009B1E1F" w:rsidRPr="008E74AA">
        <w:rPr>
          <w:rFonts w:ascii="Verdana" w:hAnsi="Verdana"/>
          <w:sz w:val="20"/>
          <w:szCs w:val="20"/>
        </w:rPr>
        <w:t xml:space="preserve">la República de Guatemala (en adelante “el Estado” o “Guatemala”) </w:t>
      </w:r>
      <w:r w:rsidRPr="008E74AA">
        <w:rPr>
          <w:rFonts w:ascii="Verdana" w:eastAsia="Calibri" w:hAnsi="Verdana" w:cs="Verdana"/>
          <w:color w:val="000000"/>
          <w:sz w:val="20"/>
          <w:szCs w:val="20"/>
          <w:lang w:val="es-CR"/>
        </w:rPr>
        <w:t>implement</w:t>
      </w:r>
      <w:r w:rsidR="0090356D" w:rsidRPr="008E74AA">
        <w:rPr>
          <w:rFonts w:ascii="Verdana" w:eastAsia="Calibri" w:hAnsi="Verdana" w:cs="Verdana"/>
          <w:color w:val="000000"/>
          <w:sz w:val="20"/>
          <w:szCs w:val="20"/>
          <w:lang w:val="es-CR"/>
        </w:rPr>
        <w:t>ar</w:t>
      </w:r>
      <w:r w:rsidRPr="008E74AA">
        <w:rPr>
          <w:rFonts w:ascii="Verdana" w:eastAsia="Calibri" w:hAnsi="Verdana" w:cs="Verdana"/>
          <w:color w:val="000000"/>
          <w:sz w:val="20"/>
          <w:szCs w:val="20"/>
          <w:lang w:val="es-CR"/>
        </w:rPr>
        <w:t xml:space="preserve"> medidas de protección</w:t>
      </w:r>
      <w:r w:rsidR="00F141A4" w:rsidRPr="008E74AA">
        <w:rPr>
          <w:rFonts w:ascii="Verdana" w:eastAsia="Calibri" w:hAnsi="Verdana" w:cs="Verdana"/>
          <w:color w:val="000000"/>
          <w:sz w:val="20"/>
          <w:szCs w:val="20"/>
          <w:lang w:val="es-CR"/>
        </w:rPr>
        <w:t xml:space="preserve"> </w:t>
      </w:r>
      <w:r w:rsidR="00F141A4" w:rsidRPr="008E74AA">
        <w:rPr>
          <w:rFonts w:ascii="Verdana" w:eastAsiaTheme="minorHAnsi" w:hAnsi="Verdana" w:cs="Verdana"/>
          <w:color w:val="000000"/>
          <w:sz w:val="20"/>
          <w:szCs w:val="20"/>
          <w:lang w:val="es-CR"/>
        </w:rPr>
        <w:t xml:space="preserve">“a favor del Juez Miguel </w:t>
      </w:r>
      <w:r w:rsidR="00A0024B" w:rsidRPr="008E74AA">
        <w:rPr>
          <w:rFonts w:ascii="Verdana" w:eastAsiaTheme="minorHAnsi" w:hAnsi="Verdana" w:cs="Verdana"/>
          <w:color w:val="000000"/>
          <w:sz w:val="20"/>
          <w:szCs w:val="20"/>
          <w:lang w:val="es-CR"/>
        </w:rPr>
        <w:t>Á</w:t>
      </w:r>
      <w:r w:rsidR="00F141A4" w:rsidRPr="008E74AA">
        <w:rPr>
          <w:rFonts w:ascii="Verdana" w:eastAsiaTheme="minorHAnsi" w:hAnsi="Verdana" w:cs="Verdana"/>
          <w:color w:val="000000"/>
          <w:sz w:val="20"/>
          <w:szCs w:val="20"/>
          <w:lang w:val="es-CR"/>
        </w:rPr>
        <w:t>ngel Gálvez Aguilar, titular del Juzgado B de Mayor Riesgo del Organismo Judicial de Guatemala</w:t>
      </w:r>
      <w:r w:rsidR="00633A1A" w:rsidRPr="008E74AA">
        <w:rPr>
          <w:rFonts w:ascii="Verdana" w:eastAsiaTheme="minorHAnsi" w:hAnsi="Verdana" w:cs="Verdana"/>
          <w:color w:val="000000"/>
          <w:sz w:val="20"/>
          <w:szCs w:val="20"/>
          <w:lang w:val="es-CR"/>
        </w:rPr>
        <w:t>”</w:t>
      </w:r>
      <w:r w:rsidR="0092627A">
        <w:rPr>
          <w:rFonts w:ascii="Verdana" w:eastAsiaTheme="minorHAnsi" w:hAnsi="Verdana" w:cs="Verdana"/>
          <w:color w:val="000000"/>
          <w:sz w:val="20"/>
          <w:szCs w:val="20"/>
          <w:lang w:val="es-CR"/>
        </w:rPr>
        <w:t xml:space="preserve"> (</w:t>
      </w:r>
      <w:r w:rsidR="0092627A" w:rsidRPr="0092627A">
        <w:rPr>
          <w:rFonts w:ascii="Verdana" w:eastAsiaTheme="minorHAnsi" w:hAnsi="Verdana" w:cs="Verdana"/>
          <w:i/>
          <w:iCs/>
          <w:color w:val="000000"/>
          <w:sz w:val="20"/>
          <w:szCs w:val="20"/>
          <w:lang w:val="es-CR"/>
        </w:rPr>
        <w:t>infra</w:t>
      </w:r>
      <w:r w:rsidR="0092627A">
        <w:rPr>
          <w:rFonts w:ascii="Verdana" w:eastAsiaTheme="minorHAnsi" w:hAnsi="Verdana" w:cs="Verdana"/>
          <w:color w:val="000000"/>
          <w:sz w:val="20"/>
          <w:szCs w:val="20"/>
          <w:lang w:val="es-CR"/>
        </w:rPr>
        <w:t xml:space="preserve"> Considerando 5)</w:t>
      </w:r>
      <w:r w:rsidR="00F141A4" w:rsidRPr="008E74AA">
        <w:rPr>
          <w:rFonts w:ascii="Verdana" w:eastAsiaTheme="minorHAnsi" w:hAnsi="Verdana" w:cs="Verdana"/>
          <w:color w:val="000000"/>
          <w:sz w:val="20"/>
          <w:szCs w:val="20"/>
          <w:lang w:val="es-CR"/>
        </w:rPr>
        <w:t>.</w:t>
      </w:r>
    </w:p>
    <w:p w14:paraId="141A2FEA" w14:textId="77777777" w:rsidR="008544D6" w:rsidRPr="008E74AA" w:rsidRDefault="008544D6" w:rsidP="008544D6">
      <w:pPr>
        <w:jc w:val="both"/>
        <w:rPr>
          <w:rFonts w:ascii="Verdana" w:eastAsia="Calibri" w:hAnsi="Verdana" w:cs="Verdana"/>
          <w:color w:val="000000"/>
          <w:sz w:val="20"/>
          <w:szCs w:val="20"/>
          <w:lang w:val="es-CR"/>
        </w:rPr>
      </w:pPr>
    </w:p>
    <w:p w14:paraId="6CF01A2B" w14:textId="40AB4388" w:rsidR="00B53EF0" w:rsidRPr="008544D6" w:rsidRDefault="00B53EF0" w:rsidP="008544D6">
      <w:pPr>
        <w:numPr>
          <w:ilvl w:val="0"/>
          <w:numId w:val="1"/>
        </w:numPr>
        <w:ind w:left="0" w:firstLine="0"/>
        <w:jc w:val="both"/>
        <w:rPr>
          <w:rFonts w:ascii="Verdana" w:eastAsia="Calibri" w:hAnsi="Verdana" w:cs="Verdana"/>
          <w:color w:val="000000"/>
          <w:sz w:val="20"/>
          <w:szCs w:val="20"/>
          <w:lang w:val="es-CR"/>
        </w:rPr>
      </w:pPr>
      <w:r w:rsidRPr="008E74AA">
        <w:rPr>
          <w:rFonts w:ascii="Verdana" w:hAnsi="Verdana"/>
          <w:sz w:val="20"/>
          <w:szCs w:val="20"/>
        </w:rPr>
        <w:t>La nota de la Secretaría de la Corte</w:t>
      </w:r>
      <w:r w:rsidRPr="008E74AA">
        <w:rPr>
          <w:rFonts w:ascii="Verdana" w:eastAsia="Calibri" w:hAnsi="Verdana" w:cs="Verdana"/>
          <w:color w:val="000000"/>
          <w:sz w:val="20"/>
          <w:szCs w:val="20"/>
          <w:lang w:val="es-CR"/>
        </w:rPr>
        <w:t xml:space="preserve"> </w:t>
      </w:r>
      <w:r w:rsidRPr="008E74AA">
        <w:rPr>
          <w:rFonts w:ascii="Verdana" w:hAnsi="Verdana"/>
          <w:sz w:val="20"/>
          <w:szCs w:val="20"/>
        </w:rPr>
        <w:t>de</w:t>
      </w:r>
      <w:r w:rsidRPr="008E74AA">
        <w:rPr>
          <w:rFonts w:ascii="Verdana" w:eastAsiaTheme="minorHAnsi" w:hAnsi="Verdana" w:cs="Verdana"/>
          <w:sz w:val="20"/>
          <w:szCs w:val="20"/>
          <w:lang w:val="es-CR"/>
        </w:rPr>
        <w:t xml:space="preserve"> </w:t>
      </w:r>
      <w:r w:rsidR="00F141A4" w:rsidRPr="008E74AA">
        <w:rPr>
          <w:rFonts w:ascii="Verdana" w:eastAsiaTheme="minorHAnsi" w:hAnsi="Verdana" w:cs="Verdana"/>
          <w:sz w:val="20"/>
          <w:szCs w:val="20"/>
          <w:lang w:val="es-CR"/>
        </w:rPr>
        <w:t>16 de junio de 2022</w:t>
      </w:r>
      <w:r w:rsidRPr="008E74AA">
        <w:rPr>
          <w:rFonts w:ascii="Verdana" w:hAnsi="Verdana"/>
          <w:sz w:val="20"/>
          <w:szCs w:val="20"/>
        </w:rPr>
        <w:t>, mediante la cual, de conformidad con el artículo 27.5 del Reglamento y siguiendo</w:t>
      </w:r>
      <w:r w:rsidRPr="008E74AA">
        <w:rPr>
          <w:rFonts w:ascii="Verdana" w:eastAsia="Calibri" w:hAnsi="Verdana" w:cs="Verdana"/>
          <w:color w:val="000000"/>
          <w:sz w:val="20"/>
          <w:szCs w:val="20"/>
          <w:lang w:val="es-CR"/>
        </w:rPr>
        <w:t xml:space="preserve"> </w:t>
      </w:r>
      <w:r w:rsidRPr="008E74AA">
        <w:rPr>
          <w:rFonts w:ascii="Verdana" w:hAnsi="Verdana"/>
          <w:sz w:val="20"/>
          <w:szCs w:val="20"/>
        </w:rPr>
        <w:t>instrucciones de</w:t>
      </w:r>
      <w:r w:rsidR="00F141A4" w:rsidRPr="008E74AA">
        <w:rPr>
          <w:rFonts w:ascii="Verdana" w:hAnsi="Verdana"/>
          <w:sz w:val="20"/>
          <w:szCs w:val="20"/>
        </w:rPr>
        <w:t>l</w:t>
      </w:r>
      <w:r w:rsidRPr="008E74AA">
        <w:rPr>
          <w:rFonts w:ascii="Verdana" w:hAnsi="Verdana"/>
          <w:sz w:val="20"/>
          <w:szCs w:val="20"/>
        </w:rPr>
        <w:t xml:space="preserve"> </w:t>
      </w:r>
      <w:proofErr w:type="gramStart"/>
      <w:r w:rsidRPr="008E74AA">
        <w:rPr>
          <w:rFonts w:ascii="Verdana" w:hAnsi="Verdana"/>
          <w:sz w:val="20"/>
          <w:szCs w:val="20"/>
        </w:rPr>
        <w:t>President</w:t>
      </w:r>
      <w:r w:rsidR="00F141A4" w:rsidRPr="008E74AA">
        <w:rPr>
          <w:rFonts w:ascii="Verdana" w:hAnsi="Verdana"/>
          <w:sz w:val="20"/>
          <w:szCs w:val="20"/>
        </w:rPr>
        <w:t>e</w:t>
      </w:r>
      <w:proofErr w:type="gramEnd"/>
      <w:r w:rsidRPr="008E74AA">
        <w:rPr>
          <w:rFonts w:ascii="Verdana" w:hAnsi="Verdana"/>
          <w:sz w:val="20"/>
          <w:szCs w:val="20"/>
        </w:rPr>
        <w:t xml:space="preserve"> de</w:t>
      </w:r>
      <w:r w:rsidR="00F141A4" w:rsidRPr="008E74AA">
        <w:rPr>
          <w:rFonts w:ascii="Verdana" w:hAnsi="Verdana"/>
          <w:sz w:val="20"/>
          <w:szCs w:val="20"/>
        </w:rPr>
        <w:t>l Tribunal</w:t>
      </w:r>
      <w:r w:rsidRPr="008E74AA">
        <w:rPr>
          <w:rFonts w:ascii="Verdana" w:hAnsi="Verdana"/>
          <w:sz w:val="20"/>
          <w:szCs w:val="20"/>
        </w:rPr>
        <w:t xml:space="preserve">, se solicitó </w:t>
      </w:r>
      <w:r w:rsidR="00B947AD" w:rsidRPr="008E74AA">
        <w:rPr>
          <w:rFonts w:ascii="Verdana" w:eastAsia="Calibri" w:hAnsi="Verdana" w:cs="Verdana"/>
          <w:color w:val="000000"/>
          <w:sz w:val="20"/>
          <w:szCs w:val="20"/>
          <w:lang w:val="es-CR"/>
        </w:rPr>
        <w:t>a</w:t>
      </w:r>
      <w:r w:rsidR="009B1E1F" w:rsidRPr="008E74AA">
        <w:rPr>
          <w:rFonts w:ascii="Verdana" w:eastAsia="Calibri" w:hAnsi="Verdana" w:cs="Verdana"/>
          <w:color w:val="000000"/>
          <w:sz w:val="20"/>
          <w:szCs w:val="20"/>
          <w:lang w:val="es-CR"/>
        </w:rPr>
        <w:t>l</w:t>
      </w:r>
      <w:r w:rsidR="009B1E1F" w:rsidRPr="008E74AA">
        <w:rPr>
          <w:rFonts w:ascii="Verdana" w:hAnsi="Verdana"/>
          <w:sz w:val="20"/>
          <w:szCs w:val="20"/>
        </w:rPr>
        <w:t xml:space="preserve"> </w:t>
      </w:r>
      <w:r w:rsidR="00B947AD" w:rsidRPr="008E74AA">
        <w:rPr>
          <w:rFonts w:ascii="Verdana" w:hAnsi="Verdana"/>
          <w:sz w:val="20"/>
          <w:szCs w:val="20"/>
        </w:rPr>
        <w:t>Estado</w:t>
      </w:r>
      <w:r w:rsidRPr="008E74AA">
        <w:rPr>
          <w:rFonts w:ascii="Verdana" w:hAnsi="Verdana"/>
          <w:sz w:val="20"/>
          <w:szCs w:val="20"/>
        </w:rPr>
        <w:t xml:space="preserve"> que, a más tardar el </w:t>
      </w:r>
      <w:r w:rsidR="00B947AD" w:rsidRPr="008E74AA">
        <w:rPr>
          <w:rFonts w:ascii="Verdana" w:hAnsi="Verdana"/>
          <w:sz w:val="20"/>
          <w:szCs w:val="20"/>
        </w:rPr>
        <w:t>22 de junio de 2022</w:t>
      </w:r>
      <w:r w:rsidRPr="008E74AA">
        <w:rPr>
          <w:rFonts w:ascii="Verdana" w:hAnsi="Verdana"/>
          <w:sz w:val="20"/>
          <w:szCs w:val="20"/>
        </w:rPr>
        <w:t>, remitiera sus observaciones sobre la</w:t>
      </w:r>
      <w:r w:rsidRPr="008E74AA">
        <w:rPr>
          <w:rFonts w:ascii="Verdana" w:eastAsia="Calibri" w:hAnsi="Verdana" w:cs="Verdana"/>
          <w:color w:val="000000"/>
          <w:sz w:val="20"/>
          <w:szCs w:val="20"/>
          <w:lang w:val="es-CR"/>
        </w:rPr>
        <w:t xml:space="preserve"> </w:t>
      </w:r>
      <w:r w:rsidR="009B1E1F" w:rsidRPr="008E74AA">
        <w:rPr>
          <w:rFonts w:ascii="Verdana" w:eastAsia="Calibri" w:hAnsi="Verdana" w:cs="Verdana"/>
          <w:color w:val="000000"/>
          <w:sz w:val="20"/>
          <w:szCs w:val="20"/>
          <w:lang w:val="es-CR"/>
        </w:rPr>
        <w:t xml:space="preserve">referida </w:t>
      </w:r>
      <w:r w:rsidRPr="008E74AA">
        <w:rPr>
          <w:rFonts w:ascii="Verdana" w:hAnsi="Verdana"/>
          <w:sz w:val="20"/>
          <w:szCs w:val="20"/>
        </w:rPr>
        <w:t>solicitud de medidas provisiona</w:t>
      </w:r>
      <w:r w:rsidR="00483D66" w:rsidRPr="008E74AA">
        <w:rPr>
          <w:rFonts w:ascii="Verdana" w:hAnsi="Verdana"/>
          <w:sz w:val="20"/>
          <w:szCs w:val="20"/>
        </w:rPr>
        <w:t>les</w:t>
      </w:r>
      <w:r w:rsidRPr="008E74AA">
        <w:rPr>
          <w:rFonts w:ascii="Verdana" w:hAnsi="Verdana"/>
          <w:sz w:val="20"/>
          <w:szCs w:val="20"/>
        </w:rPr>
        <w:t xml:space="preserve"> (</w:t>
      </w:r>
      <w:r w:rsidRPr="008E74AA">
        <w:rPr>
          <w:rFonts w:ascii="Verdana" w:hAnsi="Verdana"/>
          <w:i/>
          <w:sz w:val="20"/>
          <w:szCs w:val="20"/>
        </w:rPr>
        <w:t>supra</w:t>
      </w:r>
      <w:r w:rsidRPr="008E74AA">
        <w:rPr>
          <w:rFonts w:ascii="Verdana" w:hAnsi="Verdana"/>
          <w:sz w:val="20"/>
          <w:szCs w:val="20"/>
        </w:rPr>
        <w:t xml:space="preserve"> Visto </w:t>
      </w:r>
      <w:r w:rsidR="00B947AD" w:rsidRPr="008E74AA">
        <w:rPr>
          <w:rFonts w:ascii="Verdana" w:hAnsi="Verdana"/>
          <w:sz w:val="20"/>
          <w:szCs w:val="20"/>
        </w:rPr>
        <w:t>2</w:t>
      </w:r>
      <w:r w:rsidRPr="008E74AA">
        <w:rPr>
          <w:rFonts w:ascii="Verdana" w:hAnsi="Verdana"/>
          <w:sz w:val="20"/>
          <w:szCs w:val="20"/>
        </w:rPr>
        <w:t>).</w:t>
      </w:r>
    </w:p>
    <w:p w14:paraId="054A7EC5" w14:textId="77777777" w:rsidR="008544D6" w:rsidRPr="008E74AA" w:rsidRDefault="008544D6" w:rsidP="008544D6">
      <w:pPr>
        <w:jc w:val="both"/>
        <w:rPr>
          <w:rFonts w:ascii="Verdana" w:eastAsia="Calibri" w:hAnsi="Verdana" w:cs="Verdana"/>
          <w:color w:val="000000"/>
          <w:sz w:val="20"/>
          <w:szCs w:val="20"/>
          <w:lang w:val="es-CR"/>
        </w:rPr>
      </w:pPr>
    </w:p>
    <w:p w14:paraId="1E1679D5" w14:textId="77777777" w:rsidR="008544D6" w:rsidRDefault="00B947AD" w:rsidP="008544D6">
      <w:pPr>
        <w:numPr>
          <w:ilvl w:val="0"/>
          <w:numId w:val="1"/>
        </w:numPr>
        <w:ind w:left="0" w:firstLine="0"/>
        <w:jc w:val="both"/>
        <w:rPr>
          <w:rFonts w:ascii="Verdana" w:eastAsia="Calibri" w:hAnsi="Verdana" w:cs="Verdana"/>
          <w:color w:val="000000"/>
          <w:sz w:val="20"/>
          <w:szCs w:val="20"/>
          <w:lang w:val="es-CR"/>
        </w:rPr>
      </w:pPr>
      <w:r w:rsidRPr="008E74AA">
        <w:rPr>
          <w:rFonts w:ascii="Verdana" w:hAnsi="Verdana"/>
          <w:sz w:val="20"/>
          <w:szCs w:val="20"/>
        </w:rPr>
        <w:t>El</w:t>
      </w:r>
      <w:r w:rsidR="00B53EF0" w:rsidRPr="008E74AA">
        <w:rPr>
          <w:rFonts w:ascii="Verdana" w:hAnsi="Verdana"/>
          <w:sz w:val="20"/>
          <w:szCs w:val="20"/>
        </w:rPr>
        <w:t xml:space="preserve"> escrito presentado </w:t>
      </w:r>
      <w:r w:rsidR="0028276B" w:rsidRPr="008E74AA">
        <w:rPr>
          <w:rFonts w:ascii="Verdana" w:hAnsi="Verdana"/>
          <w:sz w:val="20"/>
          <w:szCs w:val="20"/>
        </w:rPr>
        <w:t xml:space="preserve">el </w:t>
      </w:r>
      <w:r w:rsidRPr="008E74AA">
        <w:rPr>
          <w:rFonts w:ascii="Verdana" w:eastAsiaTheme="minorHAnsi" w:hAnsi="Verdana" w:cs="Verdana"/>
          <w:sz w:val="20"/>
          <w:szCs w:val="20"/>
          <w:lang w:val="es-CR"/>
        </w:rPr>
        <w:t>22 de junio de 2022</w:t>
      </w:r>
      <w:r w:rsidR="00B53EF0" w:rsidRPr="008E74AA">
        <w:rPr>
          <w:rFonts w:ascii="Verdana" w:hAnsi="Verdana"/>
          <w:sz w:val="20"/>
          <w:szCs w:val="20"/>
        </w:rPr>
        <w:t xml:space="preserve">, </w:t>
      </w:r>
      <w:r w:rsidR="0028276B" w:rsidRPr="008E74AA">
        <w:rPr>
          <w:rFonts w:ascii="Verdana" w:hAnsi="Verdana"/>
          <w:sz w:val="20"/>
          <w:szCs w:val="20"/>
        </w:rPr>
        <w:t xml:space="preserve">mediante </w:t>
      </w:r>
      <w:r w:rsidRPr="008E74AA">
        <w:rPr>
          <w:rFonts w:ascii="Verdana" w:hAnsi="Verdana"/>
          <w:sz w:val="20"/>
          <w:szCs w:val="20"/>
        </w:rPr>
        <w:t>el</w:t>
      </w:r>
      <w:r w:rsidR="0028276B" w:rsidRPr="008E74AA">
        <w:rPr>
          <w:rFonts w:ascii="Verdana" w:hAnsi="Verdana"/>
          <w:sz w:val="20"/>
          <w:szCs w:val="20"/>
        </w:rPr>
        <w:t xml:space="preserve"> cual el Estado </w:t>
      </w:r>
      <w:r w:rsidRPr="008E74AA">
        <w:rPr>
          <w:rFonts w:ascii="Verdana" w:hAnsi="Verdana"/>
          <w:sz w:val="20"/>
          <w:szCs w:val="20"/>
        </w:rPr>
        <w:t>remitió</w:t>
      </w:r>
      <w:r w:rsidR="0028276B" w:rsidRPr="008E74AA">
        <w:rPr>
          <w:rFonts w:ascii="Verdana" w:hAnsi="Verdana"/>
          <w:sz w:val="20"/>
          <w:szCs w:val="20"/>
        </w:rPr>
        <w:t xml:space="preserve"> </w:t>
      </w:r>
      <w:r w:rsidR="00B53EF0" w:rsidRPr="008E74AA">
        <w:rPr>
          <w:rFonts w:ascii="Verdana" w:hAnsi="Verdana"/>
          <w:sz w:val="20"/>
          <w:szCs w:val="20"/>
        </w:rPr>
        <w:t>sus observaciones a la solicitud de medidas provisionales (</w:t>
      </w:r>
      <w:r w:rsidR="00B53EF0" w:rsidRPr="008E74AA">
        <w:rPr>
          <w:rFonts w:ascii="Verdana" w:hAnsi="Verdana"/>
          <w:i/>
          <w:sz w:val="20"/>
          <w:szCs w:val="20"/>
        </w:rPr>
        <w:t>supra</w:t>
      </w:r>
      <w:r w:rsidR="0028276B" w:rsidRPr="008E74AA">
        <w:rPr>
          <w:rFonts w:ascii="Verdana" w:hAnsi="Verdana"/>
          <w:sz w:val="20"/>
          <w:szCs w:val="20"/>
        </w:rPr>
        <w:t xml:space="preserve"> Visto </w:t>
      </w:r>
      <w:r w:rsidRPr="008E74AA">
        <w:rPr>
          <w:rFonts w:ascii="Verdana" w:hAnsi="Verdana"/>
          <w:sz w:val="20"/>
          <w:szCs w:val="20"/>
        </w:rPr>
        <w:t>2</w:t>
      </w:r>
      <w:r w:rsidR="00B53EF0" w:rsidRPr="008E74AA">
        <w:rPr>
          <w:rFonts w:ascii="Verdana" w:hAnsi="Verdana"/>
          <w:sz w:val="20"/>
          <w:szCs w:val="20"/>
        </w:rPr>
        <w:t>)</w:t>
      </w:r>
      <w:r w:rsidR="001B2EFC">
        <w:rPr>
          <w:rFonts w:ascii="Verdana" w:hAnsi="Verdana"/>
          <w:sz w:val="20"/>
          <w:szCs w:val="20"/>
        </w:rPr>
        <w:t>.</w:t>
      </w:r>
    </w:p>
    <w:p w14:paraId="5F4CAE14" w14:textId="77777777" w:rsidR="008544D6" w:rsidRDefault="008544D6" w:rsidP="008544D6">
      <w:pPr>
        <w:pStyle w:val="Prrafodelista"/>
        <w:rPr>
          <w:rFonts w:ascii="Verdana" w:hAnsi="Verdana"/>
          <w:sz w:val="20"/>
          <w:szCs w:val="20"/>
        </w:rPr>
      </w:pPr>
    </w:p>
    <w:p w14:paraId="32695917" w14:textId="1BBF1CF8" w:rsidR="003A7228" w:rsidRDefault="001B2EFC" w:rsidP="008544D6">
      <w:pPr>
        <w:numPr>
          <w:ilvl w:val="0"/>
          <w:numId w:val="1"/>
        </w:numPr>
        <w:ind w:left="0" w:firstLine="0"/>
        <w:jc w:val="both"/>
        <w:rPr>
          <w:rFonts w:ascii="Verdana" w:eastAsia="Calibri" w:hAnsi="Verdana" w:cs="Verdana"/>
          <w:color w:val="000000"/>
          <w:sz w:val="20"/>
          <w:szCs w:val="20"/>
          <w:lang w:val="es-CR"/>
        </w:rPr>
      </w:pPr>
      <w:r w:rsidRPr="008544D6">
        <w:rPr>
          <w:rFonts w:ascii="Verdana" w:hAnsi="Verdana"/>
          <w:sz w:val="20"/>
          <w:szCs w:val="20"/>
        </w:rPr>
        <w:t xml:space="preserve">El escrito presentado el </w:t>
      </w:r>
      <w:r w:rsidRPr="008544D6">
        <w:rPr>
          <w:rFonts w:ascii="Verdana" w:eastAsiaTheme="minorHAnsi" w:hAnsi="Verdana" w:cs="Verdana"/>
          <w:sz w:val="20"/>
          <w:szCs w:val="20"/>
          <w:lang w:val="es-CR"/>
        </w:rPr>
        <w:t>22 de junio de 2022</w:t>
      </w:r>
      <w:r w:rsidRPr="008544D6">
        <w:rPr>
          <w:rFonts w:ascii="Verdana" w:hAnsi="Verdana"/>
          <w:sz w:val="20"/>
          <w:szCs w:val="20"/>
        </w:rPr>
        <w:t xml:space="preserve">, mediante el cual </w:t>
      </w:r>
      <w:r w:rsidR="00B55A3F" w:rsidRPr="008544D6">
        <w:rPr>
          <w:rFonts w:ascii="Verdana" w:eastAsia="Calibri" w:hAnsi="Verdana" w:cs="Verdana"/>
          <w:color w:val="000000"/>
          <w:sz w:val="20"/>
          <w:szCs w:val="20"/>
          <w:lang w:val="es-CR"/>
        </w:rPr>
        <w:t>l</w:t>
      </w:r>
      <w:r w:rsidR="0047378F" w:rsidRPr="008544D6">
        <w:rPr>
          <w:rFonts w:ascii="Verdana" w:eastAsia="Calibri" w:hAnsi="Verdana" w:cs="Verdana"/>
          <w:color w:val="000000"/>
          <w:sz w:val="20"/>
          <w:szCs w:val="20"/>
          <w:lang w:val="es-CR"/>
        </w:rPr>
        <w:t>o</w:t>
      </w:r>
      <w:r w:rsidR="00B55A3F" w:rsidRPr="008544D6">
        <w:rPr>
          <w:rFonts w:ascii="Verdana" w:eastAsia="Calibri" w:hAnsi="Verdana" w:cs="Verdana"/>
          <w:color w:val="000000"/>
          <w:sz w:val="20"/>
          <w:szCs w:val="20"/>
          <w:lang w:val="es-CR"/>
        </w:rPr>
        <w:t>s representantes presentaron “información actualizada” sobre la solicitud de medidas provisionales.</w:t>
      </w:r>
    </w:p>
    <w:p w14:paraId="0DC7188F" w14:textId="77777777" w:rsidR="008544D6" w:rsidRPr="008544D6" w:rsidRDefault="008544D6" w:rsidP="008544D6">
      <w:pPr>
        <w:jc w:val="both"/>
        <w:rPr>
          <w:rFonts w:ascii="Verdana" w:eastAsia="Calibri" w:hAnsi="Verdana" w:cs="Verdana"/>
          <w:color w:val="000000"/>
          <w:sz w:val="20"/>
          <w:szCs w:val="20"/>
          <w:lang w:val="es-CR"/>
        </w:rPr>
      </w:pPr>
    </w:p>
    <w:p w14:paraId="371FE355" w14:textId="3E1C94A4" w:rsidR="009E4CE6" w:rsidRDefault="003A7228" w:rsidP="008544D6">
      <w:pPr>
        <w:numPr>
          <w:ilvl w:val="0"/>
          <w:numId w:val="1"/>
        </w:numPr>
        <w:ind w:left="0" w:firstLine="0"/>
        <w:jc w:val="both"/>
        <w:rPr>
          <w:rFonts w:ascii="Verdana" w:eastAsia="Calibri" w:hAnsi="Verdana" w:cs="Verdana"/>
          <w:color w:val="000000"/>
          <w:sz w:val="20"/>
          <w:szCs w:val="20"/>
          <w:lang w:val="es-CR"/>
        </w:rPr>
      </w:pPr>
      <w:r w:rsidRPr="008E74AA">
        <w:rPr>
          <w:rFonts w:ascii="Verdana" w:hAnsi="Verdana"/>
          <w:sz w:val="20"/>
          <w:szCs w:val="20"/>
        </w:rPr>
        <w:t>La nota de la Secretaría de la Corte</w:t>
      </w:r>
      <w:r w:rsidRPr="008E74AA">
        <w:rPr>
          <w:rFonts w:ascii="Verdana" w:eastAsia="Calibri" w:hAnsi="Verdana" w:cs="Verdana"/>
          <w:color w:val="000000"/>
          <w:sz w:val="20"/>
          <w:szCs w:val="20"/>
          <w:lang w:val="es-CR"/>
        </w:rPr>
        <w:t xml:space="preserve"> </w:t>
      </w:r>
      <w:r w:rsidRPr="008E74AA">
        <w:rPr>
          <w:rFonts w:ascii="Verdana" w:hAnsi="Verdana"/>
          <w:sz w:val="20"/>
          <w:szCs w:val="20"/>
        </w:rPr>
        <w:t>de</w:t>
      </w:r>
      <w:r w:rsidRPr="008E74AA">
        <w:rPr>
          <w:rFonts w:ascii="Verdana" w:eastAsiaTheme="minorHAnsi" w:hAnsi="Verdana" w:cs="Verdana"/>
          <w:sz w:val="20"/>
          <w:szCs w:val="20"/>
          <w:lang w:val="es-CR"/>
        </w:rPr>
        <w:t xml:space="preserve"> </w:t>
      </w:r>
      <w:r w:rsidRPr="008E74AA">
        <w:rPr>
          <w:rFonts w:ascii="Verdana" w:eastAsia="Times" w:hAnsi="Verdana"/>
          <w:sz w:val="20"/>
          <w:szCs w:val="20"/>
          <w:lang w:val="es-ES"/>
        </w:rPr>
        <w:t>23 de junio de 2022</w:t>
      </w:r>
      <w:r w:rsidRPr="008E74AA">
        <w:rPr>
          <w:rFonts w:ascii="Verdana" w:hAnsi="Verdana"/>
          <w:sz w:val="20"/>
          <w:szCs w:val="20"/>
        </w:rPr>
        <w:t>, mediante la cual</w:t>
      </w:r>
      <w:r w:rsidRPr="008E74AA">
        <w:rPr>
          <w:rFonts w:ascii="Verdana" w:eastAsia="Calibri" w:hAnsi="Verdana" w:cs="Verdana"/>
          <w:color w:val="000000"/>
          <w:sz w:val="20"/>
          <w:szCs w:val="20"/>
          <w:lang w:val="es-CR"/>
        </w:rPr>
        <w:t>, siguiendo</w:t>
      </w:r>
      <w:r w:rsidRPr="008E74AA">
        <w:rPr>
          <w:rFonts w:ascii="Verdana" w:hAnsi="Verdana"/>
          <w:sz w:val="20"/>
          <w:szCs w:val="20"/>
        </w:rPr>
        <w:t xml:space="preserve"> instrucciones del Presidente de la Corte, se otorgó un plazo hasta el 1 de julio de 2022 para que el Estado y l</w:t>
      </w:r>
      <w:r w:rsidR="0047378F" w:rsidRPr="008E74AA">
        <w:rPr>
          <w:rFonts w:ascii="Verdana" w:hAnsi="Verdana"/>
          <w:sz w:val="20"/>
          <w:szCs w:val="20"/>
        </w:rPr>
        <w:t>o</w:t>
      </w:r>
      <w:r w:rsidRPr="008E74AA">
        <w:rPr>
          <w:rFonts w:ascii="Verdana" w:hAnsi="Verdana"/>
          <w:sz w:val="20"/>
          <w:szCs w:val="20"/>
        </w:rPr>
        <w:t>s</w:t>
      </w:r>
      <w:r w:rsidRPr="008E74AA">
        <w:rPr>
          <w:rFonts w:ascii="Verdana" w:eastAsia="Calibri" w:hAnsi="Verdana" w:cs="Verdana"/>
          <w:color w:val="000000"/>
          <w:sz w:val="20"/>
          <w:szCs w:val="20"/>
          <w:lang w:val="es-CR"/>
        </w:rPr>
        <w:t xml:space="preserve"> </w:t>
      </w:r>
      <w:r w:rsidRPr="008E74AA">
        <w:rPr>
          <w:rFonts w:ascii="Verdana" w:hAnsi="Verdana"/>
          <w:sz w:val="20"/>
          <w:szCs w:val="20"/>
        </w:rPr>
        <w:t xml:space="preserve">representantes </w:t>
      </w:r>
      <w:r w:rsidR="00BB46E1">
        <w:rPr>
          <w:rFonts w:ascii="Verdana" w:hAnsi="Verdana"/>
          <w:sz w:val="20"/>
          <w:szCs w:val="20"/>
        </w:rPr>
        <w:t>remitieran</w:t>
      </w:r>
      <w:r w:rsidRPr="008E74AA">
        <w:rPr>
          <w:rFonts w:ascii="Verdana" w:hAnsi="Verdana"/>
          <w:sz w:val="20"/>
          <w:szCs w:val="20"/>
        </w:rPr>
        <w:t xml:space="preserve"> sus respectivas observaciones a los escritos presentados el 22 de junio (</w:t>
      </w:r>
      <w:r w:rsidRPr="008E74AA">
        <w:rPr>
          <w:rFonts w:ascii="Verdana" w:hAnsi="Verdana"/>
          <w:i/>
          <w:sz w:val="20"/>
          <w:szCs w:val="20"/>
        </w:rPr>
        <w:t>supra</w:t>
      </w:r>
      <w:r w:rsidRPr="008E74AA">
        <w:rPr>
          <w:rFonts w:ascii="Verdana" w:hAnsi="Verdana"/>
          <w:sz w:val="20"/>
          <w:szCs w:val="20"/>
        </w:rPr>
        <w:t xml:space="preserve"> Visto</w:t>
      </w:r>
      <w:r w:rsidR="00BB46E1">
        <w:rPr>
          <w:rFonts w:ascii="Verdana" w:hAnsi="Verdana"/>
          <w:sz w:val="20"/>
          <w:szCs w:val="20"/>
        </w:rPr>
        <w:t>s</w:t>
      </w:r>
      <w:r w:rsidRPr="008E74AA">
        <w:rPr>
          <w:rFonts w:ascii="Verdana" w:hAnsi="Verdana"/>
          <w:sz w:val="20"/>
          <w:szCs w:val="20"/>
        </w:rPr>
        <w:t xml:space="preserve"> 4</w:t>
      </w:r>
      <w:r w:rsidR="00BB46E1">
        <w:rPr>
          <w:rFonts w:ascii="Verdana" w:hAnsi="Verdana"/>
          <w:sz w:val="20"/>
          <w:szCs w:val="20"/>
        </w:rPr>
        <w:t xml:space="preserve"> y 5</w:t>
      </w:r>
      <w:r w:rsidRPr="008E74AA">
        <w:rPr>
          <w:rFonts w:ascii="Verdana" w:hAnsi="Verdana"/>
          <w:sz w:val="20"/>
          <w:szCs w:val="20"/>
        </w:rPr>
        <w:t xml:space="preserve">), </w:t>
      </w:r>
      <w:r w:rsidR="009E4CE6" w:rsidRPr="008E74AA">
        <w:rPr>
          <w:rFonts w:ascii="Verdana" w:hAnsi="Verdana"/>
          <w:sz w:val="20"/>
          <w:szCs w:val="20"/>
        </w:rPr>
        <w:t>así como</w:t>
      </w:r>
      <w:r w:rsidRPr="008E74AA">
        <w:rPr>
          <w:rFonts w:ascii="Verdana" w:hAnsi="Verdana"/>
          <w:sz w:val="20"/>
          <w:szCs w:val="20"/>
        </w:rPr>
        <w:t xml:space="preserve"> </w:t>
      </w:r>
      <w:r w:rsidRPr="008E74AA">
        <w:rPr>
          <w:rFonts w:ascii="Verdana" w:hAnsi="Verdana"/>
          <w:sz w:val="20"/>
          <w:szCs w:val="20"/>
        </w:rPr>
        <w:lastRenderedPageBreak/>
        <w:t>para</w:t>
      </w:r>
      <w:r w:rsidRPr="008E74AA">
        <w:rPr>
          <w:rFonts w:ascii="Verdana" w:eastAsia="Calibri" w:hAnsi="Verdana" w:cs="Verdana"/>
          <w:color w:val="000000"/>
          <w:sz w:val="20"/>
          <w:szCs w:val="20"/>
          <w:lang w:val="es-CR"/>
        </w:rPr>
        <w:t xml:space="preserve"> </w:t>
      </w:r>
      <w:r w:rsidRPr="008E74AA">
        <w:rPr>
          <w:rFonts w:ascii="Verdana" w:hAnsi="Verdana"/>
          <w:sz w:val="20"/>
          <w:szCs w:val="20"/>
        </w:rPr>
        <w:t>que la Comisión Interamericana</w:t>
      </w:r>
      <w:r w:rsidR="009E4CE6" w:rsidRPr="008E74AA">
        <w:rPr>
          <w:rFonts w:ascii="Verdana" w:hAnsi="Verdana"/>
          <w:sz w:val="20"/>
          <w:szCs w:val="20"/>
        </w:rPr>
        <w:t xml:space="preserve"> </w:t>
      </w:r>
      <w:r w:rsidR="009E4CE6" w:rsidRPr="008E74AA">
        <w:rPr>
          <w:rFonts w:ascii="Verdana" w:hAnsi="Verdana"/>
          <w:sz w:val="20"/>
          <w:szCs w:val="20"/>
          <w:lang w:val="es-CR"/>
        </w:rPr>
        <w:t>de Derechos Humanos (en adelante “la Comisión Interamericana” o “la Comisión”)</w:t>
      </w:r>
      <w:r w:rsidRPr="008E74AA">
        <w:rPr>
          <w:rFonts w:ascii="Verdana" w:hAnsi="Verdana"/>
          <w:sz w:val="20"/>
          <w:szCs w:val="20"/>
        </w:rPr>
        <w:t xml:space="preserve"> </w:t>
      </w:r>
      <w:proofErr w:type="spellStart"/>
      <w:r w:rsidRPr="008E74AA">
        <w:rPr>
          <w:rFonts w:ascii="Verdana" w:hAnsi="Verdana"/>
          <w:sz w:val="20"/>
          <w:szCs w:val="20"/>
        </w:rPr>
        <w:t>presentara</w:t>
      </w:r>
      <w:proofErr w:type="spellEnd"/>
      <w:r w:rsidRPr="008E74AA">
        <w:rPr>
          <w:rFonts w:ascii="Verdana" w:hAnsi="Verdana"/>
          <w:sz w:val="20"/>
          <w:szCs w:val="20"/>
        </w:rPr>
        <w:t xml:space="preserve"> observaciones a todos los escritos de las partes</w:t>
      </w:r>
      <w:r w:rsidR="009E4CE6" w:rsidRPr="008E74AA">
        <w:rPr>
          <w:rFonts w:ascii="Verdana" w:hAnsi="Verdana"/>
          <w:sz w:val="20"/>
          <w:szCs w:val="20"/>
        </w:rPr>
        <w:t xml:space="preserve"> </w:t>
      </w:r>
      <w:r w:rsidR="009E4CE6" w:rsidRPr="008E74AA">
        <w:rPr>
          <w:rFonts w:ascii="Verdana" w:eastAsia="Calibri" w:hAnsi="Verdana" w:cs="Verdana"/>
          <w:color w:val="000000"/>
          <w:sz w:val="20"/>
          <w:szCs w:val="20"/>
          <w:lang w:val="es-CR"/>
        </w:rPr>
        <w:t>y, particularmente, se refi</w:t>
      </w:r>
      <w:r w:rsidR="00BB46E1">
        <w:rPr>
          <w:rFonts w:ascii="Verdana" w:eastAsia="Calibri" w:hAnsi="Verdana" w:cs="Verdana"/>
          <w:color w:val="000000"/>
          <w:sz w:val="20"/>
          <w:szCs w:val="20"/>
          <w:lang w:val="es-CR"/>
        </w:rPr>
        <w:t>ri</w:t>
      </w:r>
      <w:r w:rsidR="009E4CE6" w:rsidRPr="008E74AA">
        <w:rPr>
          <w:rFonts w:ascii="Verdana" w:eastAsia="Calibri" w:hAnsi="Verdana" w:cs="Verdana"/>
          <w:color w:val="000000"/>
          <w:sz w:val="20"/>
          <w:szCs w:val="20"/>
          <w:lang w:val="es-CR"/>
        </w:rPr>
        <w:t xml:space="preserve">era a lo alegado por el Estado respecto a que el </w:t>
      </w:r>
      <w:r w:rsidR="00BB46E1">
        <w:rPr>
          <w:rFonts w:ascii="Verdana" w:eastAsia="Calibri" w:hAnsi="Verdana" w:cs="Verdana"/>
          <w:color w:val="000000"/>
          <w:sz w:val="20"/>
          <w:szCs w:val="20"/>
          <w:lang w:val="es-CR"/>
        </w:rPr>
        <w:t>j</w:t>
      </w:r>
      <w:r w:rsidR="009E4CE6" w:rsidRPr="008E74AA">
        <w:rPr>
          <w:rFonts w:ascii="Verdana" w:eastAsia="Calibri" w:hAnsi="Verdana" w:cs="Verdana"/>
          <w:color w:val="000000"/>
          <w:sz w:val="20"/>
          <w:szCs w:val="20"/>
          <w:lang w:val="es-CR"/>
        </w:rPr>
        <w:t>uez Gálvez Aguilar es beneficiario de medidas cautelares ante la Comisión.</w:t>
      </w:r>
    </w:p>
    <w:p w14:paraId="697F2401" w14:textId="77777777" w:rsidR="008544D6" w:rsidRPr="008E74AA" w:rsidRDefault="008544D6" w:rsidP="008544D6">
      <w:pPr>
        <w:jc w:val="both"/>
        <w:rPr>
          <w:rFonts w:ascii="Verdana" w:eastAsia="Calibri" w:hAnsi="Verdana" w:cs="Verdana"/>
          <w:color w:val="000000"/>
          <w:sz w:val="20"/>
          <w:szCs w:val="20"/>
          <w:lang w:val="es-CR"/>
        </w:rPr>
      </w:pPr>
    </w:p>
    <w:p w14:paraId="6D68EA58" w14:textId="5B5AB634" w:rsidR="003A7228" w:rsidRPr="008E74AA" w:rsidRDefault="008A0F7F" w:rsidP="00930560">
      <w:pPr>
        <w:numPr>
          <w:ilvl w:val="0"/>
          <w:numId w:val="1"/>
        </w:numPr>
        <w:ind w:left="0" w:firstLine="0"/>
        <w:jc w:val="both"/>
        <w:rPr>
          <w:rFonts w:ascii="Verdana" w:eastAsia="Calibri" w:hAnsi="Verdana" w:cs="Verdana"/>
          <w:color w:val="000000"/>
          <w:sz w:val="20"/>
          <w:szCs w:val="20"/>
          <w:lang w:val="es-CR"/>
        </w:rPr>
      </w:pPr>
      <w:r w:rsidRPr="008E74AA">
        <w:rPr>
          <w:rFonts w:ascii="Verdana" w:hAnsi="Verdana"/>
          <w:sz w:val="20"/>
          <w:szCs w:val="20"/>
        </w:rPr>
        <w:t xml:space="preserve">Los escritos presentados el </w:t>
      </w:r>
      <w:r w:rsidRPr="008E74AA">
        <w:rPr>
          <w:rFonts w:ascii="Verdana" w:eastAsiaTheme="minorHAnsi" w:hAnsi="Verdana" w:cs="Verdana"/>
          <w:sz w:val="20"/>
          <w:szCs w:val="20"/>
          <w:lang w:val="es-CR"/>
        </w:rPr>
        <w:t>1 de julio de 2022</w:t>
      </w:r>
      <w:r w:rsidRPr="008E74AA">
        <w:rPr>
          <w:rFonts w:ascii="Verdana" w:hAnsi="Verdana"/>
          <w:sz w:val="20"/>
          <w:szCs w:val="20"/>
        </w:rPr>
        <w:t xml:space="preserve"> por </w:t>
      </w:r>
      <w:r w:rsidR="000F19A1" w:rsidRPr="008E74AA">
        <w:rPr>
          <w:rFonts w:ascii="Verdana" w:hAnsi="Verdana"/>
          <w:sz w:val="20"/>
          <w:szCs w:val="20"/>
        </w:rPr>
        <w:t>las partes</w:t>
      </w:r>
      <w:r w:rsidRPr="008E74AA">
        <w:rPr>
          <w:rFonts w:ascii="Verdana" w:hAnsi="Verdana"/>
          <w:sz w:val="20"/>
          <w:szCs w:val="20"/>
        </w:rPr>
        <w:t xml:space="preserve"> y la Comisión, mediante los cuales remitieron sus</w:t>
      </w:r>
      <w:r w:rsidR="0080565E" w:rsidRPr="008E74AA">
        <w:rPr>
          <w:rFonts w:ascii="Verdana" w:hAnsi="Verdana"/>
          <w:sz w:val="20"/>
          <w:szCs w:val="20"/>
        </w:rPr>
        <w:t xml:space="preserve"> respectivas</w:t>
      </w:r>
      <w:r w:rsidR="009E4CE6" w:rsidRPr="008E74AA">
        <w:rPr>
          <w:rFonts w:ascii="Verdana" w:hAnsi="Verdana"/>
          <w:sz w:val="20"/>
          <w:szCs w:val="20"/>
        </w:rPr>
        <w:t xml:space="preserve"> </w:t>
      </w:r>
      <w:r w:rsidRPr="008E74AA">
        <w:rPr>
          <w:rFonts w:ascii="Verdana" w:hAnsi="Verdana"/>
          <w:sz w:val="20"/>
          <w:szCs w:val="20"/>
        </w:rPr>
        <w:t>observaciones</w:t>
      </w:r>
      <w:r w:rsidR="000F19A1" w:rsidRPr="008E74AA">
        <w:rPr>
          <w:rFonts w:ascii="Verdana" w:hAnsi="Verdana"/>
          <w:sz w:val="20"/>
          <w:szCs w:val="20"/>
        </w:rPr>
        <w:t xml:space="preserve"> solicitadas</w:t>
      </w:r>
      <w:r w:rsidRPr="008E74AA">
        <w:rPr>
          <w:rFonts w:ascii="Verdana" w:hAnsi="Verdana"/>
          <w:sz w:val="20"/>
          <w:szCs w:val="20"/>
        </w:rPr>
        <w:t xml:space="preserve"> </w:t>
      </w:r>
      <w:r w:rsidR="00BB46E1">
        <w:rPr>
          <w:rFonts w:ascii="Verdana" w:hAnsi="Verdana"/>
          <w:sz w:val="20"/>
          <w:szCs w:val="20"/>
        </w:rPr>
        <w:t xml:space="preserve">mediante nota de 23 de junio </w:t>
      </w:r>
      <w:r w:rsidRPr="008E74AA">
        <w:rPr>
          <w:rFonts w:ascii="Verdana" w:hAnsi="Verdana"/>
          <w:sz w:val="20"/>
          <w:szCs w:val="20"/>
        </w:rPr>
        <w:t>(</w:t>
      </w:r>
      <w:r w:rsidRPr="008E74AA">
        <w:rPr>
          <w:rFonts w:ascii="Verdana" w:hAnsi="Verdana"/>
          <w:i/>
          <w:sz w:val="20"/>
          <w:szCs w:val="20"/>
        </w:rPr>
        <w:t>supra</w:t>
      </w:r>
      <w:r w:rsidRPr="008E74AA">
        <w:rPr>
          <w:rFonts w:ascii="Verdana" w:hAnsi="Verdana"/>
          <w:sz w:val="20"/>
          <w:szCs w:val="20"/>
        </w:rPr>
        <w:t xml:space="preserve"> Visto </w:t>
      </w:r>
      <w:r w:rsidR="00BB46E1">
        <w:rPr>
          <w:rFonts w:ascii="Verdana" w:hAnsi="Verdana"/>
          <w:sz w:val="20"/>
          <w:szCs w:val="20"/>
        </w:rPr>
        <w:t>6</w:t>
      </w:r>
      <w:r w:rsidRPr="008E74AA">
        <w:rPr>
          <w:rFonts w:ascii="Verdana" w:hAnsi="Verdana"/>
          <w:sz w:val="20"/>
          <w:szCs w:val="20"/>
        </w:rPr>
        <w:t>)</w:t>
      </w:r>
      <w:r w:rsidRPr="008E74AA">
        <w:rPr>
          <w:rFonts w:ascii="Verdana" w:eastAsia="Calibri" w:hAnsi="Verdana" w:cs="Verdana"/>
          <w:color w:val="000000"/>
          <w:sz w:val="20"/>
          <w:szCs w:val="20"/>
          <w:lang w:val="es-CR"/>
        </w:rPr>
        <w:t>.</w:t>
      </w:r>
    </w:p>
    <w:p w14:paraId="1C541391" w14:textId="77777777" w:rsidR="008A0F7F" w:rsidRPr="008E74AA" w:rsidRDefault="008A0F7F" w:rsidP="00930560">
      <w:pPr>
        <w:jc w:val="both"/>
        <w:rPr>
          <w:rFonts w:ascii="Verdana" w:eastAsia="Calibri" w:hAnsi="Verdana" w:cs="Verdana"/>
          <w:color w:val="000000"/>
          <w:sz w:val="20"/>
          <w:szCs w:val="20"/>
          <w:lang w:val="es-CR"/>
        </w:rPr>
      </w:pPr>
    </w:p>
    <w:p w14:paraId="5AF9F122" w14:textId="77777777" w:rsidR="00B53EF0" w:rsidRPr="008E74AA" w:rsidRDefault="00BE0EFF" w:rsidP="00930560">
      <w:pPr>
        <w:jc w:val="both"/>
        <w:rPr>
          <w:rFonts w:ascii="Verdana" w:eastAsia="Verdana" w:hAnsi="Verdana" w:cs="Verdana"/>
          <w:b/>
          <w:bCs/>
          <w:sz w:val="20"/>
          <w:szCs w:val="20"/>
          <w:lang w:val="es-ES"/>
        </w:rPr>
      </w:pPr>
      <w:r w:rsidRPr="008E74AA">
        <w:rPr>
          <w:rFonts w:ascii="Verdana" w:eastAsia="Verdana" w:hAnsi="Verdana" w:cs="Verdana"/>
          <w:b/>
          <w:bCs/>
          <w:sz w:val="20"/>
          <w:szCs w:val="20"/>
          <w:lang w:val="es-ES"/>
        </w:rPr>
        <w:t>CONSIDERANDO QUE:</w:t>
      </w:r>
    </w:p>
    <w:p w14:paraId="41A4984B" w14:textId="7ACC645D" w:rsidR="00B53EF0" w:rsidRPr="008E74AA" w:rsidRDefault="00B53EF0" w:rsidP="00BE0EFF">
      <w:pPr>
        <w:numPr>
          <w:ilvl w:val="0"/>
          <w:numId w:val="2"/>
        </w:numPr>
        <w:spacing w:before="120" w:after="120"/>
        <w:ind w:left="0" w:firstLine="0"/>
        <w:jc w:val="both"/>
        <w:rPr>
          <w:rFonts w:ascii="Verdana" w:hAnsi="Verdana"/>
          <w:sz w:val="20"/>
          <w:szCs w:val="20"/>
        </w:rPr>
      </w:pPr>
      <w:r w:rsidRPr="008E74AA">
        <w:rPr>
          <w:rFonts w:ascii="Verdana" w:hAnsi="Verdana"/>
          <w:sz w:val="20"/>
          <w:szCs w:val="20"/>
          <w:lang w:val="es-CR"/>
        </w:rPr>
        <w:t>El artículo 63.2 de la Convención Americana sobre Derechos Humanos dispone que, “[e]n casos de extrema gravedad y urgencia, y cuando se haga necesario evitar daños irreparables a las personas, la Corte, en los asuntos que esté conociendo, podrá tomar las medidas provisionales que considere pertinentes”.</w:t>
      </w:r>
      <w:r w:rsidRPr="008E74AA">
        <w:rPr>
          <w:rFonts w:ascii="Verdana" w:hAnsi="Verdana"/>
          <w:sz w:val="20"/>
          <w:szCs w:val="20"/>
        </w:rPr>
        <w:t xml:space="preserve"> Asimismo, el artículo 27.3 del Reglamento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w:t>
      </w:r>
    </w:p>
    <w:p w14:paraId="0E334317" w14:textId="7819F68C" w:rsidR="00133CF4" w:rsidRPr="008E74AA" w:rsidRDefault="00133CF4" w:rsidP="00BE0EFF">
      <w:pPr>
        <w:numPr>
          <w:ilvl w:val="0"/>
          <w:numId w:val="2"/>
        </w:numPr>
        <w:spacing w:before="120" w:after="120"/>
        <w:ind w:left="0" w:firstLine="0"/>
        <w:jc w:val="both"/>
        <w:rPr>
          <w:rFonts w:ascii="Verdana" w:hAnsi="Verdana"/>
          <w:sz w:val="20"/>
          <w:szCs w:val="20"/>
        </w:rPr>
      </w:pPr>
      <w:r w:rsidRPr="008E74AA">
        <w:rPr>
          <w:rFonts w:ascii="Verdana" w:hAnsi="Verdana"/>
          <w:sz w:val="20"/>
          <w:szCs w:val="20"/>
        </w:rPr>
        <w:t xml:space="preserve">También, de </w:t>
      </w:r>
      <w:r w:rsidRPr="008E74AA">
        <w:rPr>
          <w:rFonts w:ascii="Verdana" w:hAnsi="Verdana"/>
          <w:sz w:val="20"/>
          <w:szCs w:val="20"/>
          <w:lang w:val="es-ES"/>
        </w:rPr>
        <w:t>acuerdo</w:t>
      </w:r>
      <w:r w:rsidRPr="008E74AA">
        <w:rPr>
          <w:rFonts w:ascii="Verdana" w:hAnsi="Verdana"/>
          <w:sz w:val="20"/>
          <w:szCs w:val="20"/>
        </w:rPr>
        <w:t xml:space="preserve"> con lo establecido en el artículo 27.6 del Reglamento, si la Corte no se </w:t>
      </w:r>
      <w:r w:rsidRPr="008E74AA">
        <w:rPr>
          <w:rFonts w:ascii="Verdana" w:hAnsi="Verdana"/>
          <w:sz w:val="20"/>
          <w:szCs w:val="20"/>
          <w:lang w:val="es-ES"/>
        </w:rPr>
        <w:t>encontrare</w:t>
      </w:r>
      <w:r w:rsidRPr="008E74AA">
        <w:rPr>
          <w:rFonts w:ascii="Verdana" w:hAnsi="Verdana"/>
          <w:sz w:val="20"/>
          <w:szCs w:val="20"/>
        </w:rPr>
        <w:t xml:space="preserve"> reunida, la Presidencia puede requerir al Estado respectivo que dicte </w:t>
      </w:r>
      <w:r w:rsidR="00044C8D">
        <w:rPr>
          <w:rFonts w:ascii="Verdana" w:hAnsi="Verdana"/>
          <w:sz w:val="20"/>
          <w:szCs w:val="20"/>
        </w:rPr>
        <w:t>“</w:t>
      </w:r>
      <w:r w:rsidRPr="008E74AA">
        <w:rPr>
          <w:rFonts w:ascii="Verdana" w:hAnsi="Verdana"/>
          <w:sz w:val="20"/>
          <w:szCs w:val="20"/>
        </w:rPr>
        <w:t>las providencias urgentes necesarias</w:t>
      </w:r>
      <w:r w:rsidR="00044C8D" w:rsidRPr="00044C8D">
        <w:t xml:space="preserve"> </w:t>
      </w:r>
      <w:r w:rsidR="00044C8D" w:rsidRPr="00044C8D">
        <w:rPr>
          <w:rFonts w:ascii="Verdana" w:hAnsi="Verdana"/>
          <w:sz w:val="20"/>
          <w:szCs w:val="20"/>
        </w:rPr>
        <w:t>a fin de asegurar la eficacia de las medidas provisionales que después pueda tomar la Corte en su próximo período de sesiones”</w:t>
      </w:r>
      <w:r w:rsidRPr="008E74AA">
        <w:rPr>
          <w:rFonts w:ascii="Verdana" w:hAnsi="Verdana"/>
          <w:sz w:val="20"/>
          <w:szCs w:val="20"/>
        </w:rPr>
        <w:t>.</w:t>
      </w:r>
    </w:p>
    <w:p w14:paraId="210C52EE" w14:textId="31ED87FA" w:rsidR="00F6654E" w:rsidRPr="00F6654E" w:rsidRDefault="00F6654E" w:rsidP="00C25120">
      <w:pPr>
        <w:numPr>
          <w:ilvl w:val="0"/>
          <w:numId w:val="2"/>
        </w:numPr>
        <w:spacing w:before="120" w:after="120"/>
        <w:ind w:left="0" w:firstLine="0"/>
        <w:jc w:val="both"/>
        <w:rPr>
          <w:rFonts w:ascii="Verdana" w:hAnsi="Verdana"/>
          <w:sz w:val="20"/>
          <w:szCs w:val="20"/>
          <w:lang w:val="es-CR"/>
        </w:rPr>
      </w:pPr>
      <w:r w:rsidRPr="00F6654E">
        <w:rPr>
          <w:rFonts w:ascii="Verdana" w:hAnsi="Verdana"/>
          <w:sz w:val="20"/>
          <w:szCs w:val="20"/>
        </w:rPr>
        <w:t>La solicitud de medidas provisionales fue presentada por l</w:t>
      </w:r>
      <w:r w:rsidR="0092627A">
        <w:rPr>
          <w:rFonts w:ascii="Verdana" w:hAnsi="Verdana"/>
          <w:sz w:val="20"/>
          <w:szCs w:val="20"/>
        </w:rPr>
        <w:t>o</w:t>
      </w:r>
      <w:r w:rsidRPr="00F6654E">
        <w:rPr>
          <w:rFonts w:ascii="Verdana" w:hAnsi="Verdana"/>
          <w:sz w:val="20"/>
          <w:szCs w:val="20"/>
        </w:rPr>
        <w:t>s representantes de las víctimas de</w:t>
      </w:r>
      <w:r w:rsidR="0092627A">
        <w:rPr>
          <w:rFonts w:ascii="Verdana" w:hAnsi="Verdana"/>
          <w:sz w:val="20"/>
          <w:szCs w:val="20"/>
        </w:rPr>
        <w:t>l caso Diario Militar</w:t>
      </w:r>
      <w:r w:rsidRPr="00F6654E">
        <w:rPr>
          <w:rFonts w:ascii="Verdana" w:hAnsi="Verdana"/>
          <w:sz w:val="20"/>
          <w:szCs w:val="20"/>
        </w:rPr>
        <w:t xml:space="preserve">, </w:t>
      </w:r>
      <w:r w:rsidR="0092627A">
        <w:rPr>
          <w:rFonts w:ascii="Verdana" w:hAnsi="Verdana"/>
          <w:sz w:val="20"/>
          <w:szCs w:val="20"/>
        </w:rPr>
        <w:t>el</w:t>
      </w:r>
      <w:r w:rsidRPr="00F6654E">
        <w:rPr>
          <w:rFonts w:ascii="Verdana" w:hAnsi="Verdana"/>
          <w:sz w:val="20"/>
          <w:szCs w:val="20"/>
        </w:rPr>
        <w:t xml:space="preserve"> cua</w:t>
      </w:r>
      <w:r w:rsidR="0092627A">
        <w:rPr>
          <w:rFonts w:ascii="Verdana" w:hAnsi="Verdana"/>
          <w:sz w:val="20"/>
          <w:szCs w:val="20"/>
        </w:rPr>
        <w:t>l</w:t>
      </w:r>
      <w:r w:rsidRPr="00F6654E">
        <w:rPr>
          <w:rFonts w:ascii="Verdana" w:hAnsi="Verdana"/>
          <w:sz w:val="20"/>
          <w:szCs w:val="20"/>
        </w:rPr>
        <w:t xml:space="preserve"> se encuentra actualmente en etapa de supervisión de cumplimiento de sentencia, con lo cual se cumple con lo requerido en dicho artículo 27.3 en lo que respecta a la legitimación para presentar la solicitud.</w:t>
      </w:r>
    </w:p>
    <w:p w14:paraId="11A3DEEF" w14:textId="2EDC3558" w:rsidR="00C5547A" w:rsidRPr="000E45A4" w:rsidRDefault="0028276B" w:rsidP="00C5547A">
      <w:pPr>
        <w:numPr>
          <w:ilvl w:val="0"/>
          <w:numId w:val="2"/>
        </w:numPr>
        <w:spacing w:before="120" w:after="120"/>
        <w:ind w:left="0" w:firstLine="0"/>
        <w:jc w:val="both"/>
        <w:rPr>
          <w:rFonts w:ascii="Verdana" w:hAnsi="Verdana"/>
          <w:sz w:val="20"/>
          <w:szCs w:val="20"/>
          <w:lang w:val="es-CR"/>
        </w:rPr>
      </w:pPr>
      <w:r w:rsidRPr="008E74AA">
        <w:rPr>
          <w:rFonts w:ascii="Verdana" w:hAnsi="Verdana"/>
          <w:sz w:val="20"/>
          <w:szCs w:val="20"/>
          <w:lang w:val="es-CR"/>
        </w:rPr>
        <w:t>Seguidamente, se resumen los principales argumentos expuestos por l</w:t>
      </w:r>
      <w:r w:rsidR="00791DFD" w:rsidRPr="008E74AA">
        <w:rPr>
          <w:rFonts w:ascii="Verdana" w:hAnsi="Verdana"/>
          <w:sz w:val="20"/>
          <w:szCs w:val="20"/>
          <w:lang w:val="es-CR"/>
        </w:rPr>
        <w:t>o</w:t>
      </w:r>
      <w:r w:rsidRPr="008E74AA">
        <w:rPr>
          <w:rFonts w:ascii="Verdana" w:hAnsi="Verdana"/>
          <w:sz w:val="20"/>
          <w:szCs w:val="20"/>
          <w:lang w:val="es-CR"/>
        </w:rPr>
        <w:t>s</w:t>
      </w:r>
      <w:r w:rsidR="000E6041" w:rsidRPr="008E74AA">
        <w:rPr>
          <w:rFonts w:ascii="Verdana" w:hAnsi="Verdana"/>
          <w:sz w:val="20"/>
          <w:szCs w:val="20"/>
          <w:lang w:val="es-CR"/>
        </w:rPr>
        <w:t xml:space="preserve"> representantes </w:t>
      </w:r>
      <w:r w:rsidRPr="008E74AA">
        <w:rPr>
          <w:rFonts w:ascii="Verdana" w:hAnsi="Verdana"/>
          <w:sz w:val="20"/>
          <w:szCs w:val="20"/>
          <w:lang w:val="es-CR"/>
        </w:rPr>
        <w:t>en la solicitud de medidas provisionales</w:t>
      </w:r>
      <w:r w:rsidR="000E6041" w:rsidRPr="008E74AA">
        <w:rPr>
          <w:rFonts w:ascii="Verdana" w:hAnsi="Verdana"/>
          <w:sz w:val="20"/>
          <w:szCs w:val="20"/>
          <w:lang w:val="es-CR"/>
        </w:rPr>
        <w:t xml:space="preserve"> </w:t>
      </w:r>
      <w:r w:rsidRPr="008E74AA">
        <w:rPr>
          <w:rFonts w:ascii="Verdana" w:hAnsi="Verdana"/>
          <w:sz w:val="20"/>
          <w:szCs w:val="20"/>
          <w:lang w:val="es-CR"/>
        </w:rPr>
        <w:t>(</w:t>
      </w:r>
      <w:r w:rsidRPr="008E74AA">
        <w:rPr>
          <w:rFonts w:ascii="Verdana" w:hAnsi="Verdana"/>
          <w:i/>
          <w:sz w:val="20"/>
          <w:szCs w:val="20"/>
          <w:lang w:val="es-CR"/>
        </w:rPr>
        <w:t>infra</w:t>
      </w:r>
      <w:r w:rsidRPr="008E74AA">
        <w:rPr>
          <w:rFonts w:ascii="Verdana" w:hAnsi="Verdana"/>
          <w:sz w:val="20"/>
          <w:szCs w:val="20"/>
          <w:lang w:val="es-CR"/>
        </w:rPr>
        <w:t xml:space="preserve"> Considerandos </w:t>
      </w:r>
      <w:r w:rsidR="000D704D">
        <w:rPr>
          <w:rFonts w:ascii="Verdana" w:hAnsi="Verdana"/>
          <w:sz w:val="20"/>
          <w:szCs w:val="20"/>
          <w:lang w:val="es-CR"/>
        </w:rPr>
        <w:t>5</w:t>
      </w:r>
      <w:r w:rsidR="00E951F7" w:rsidRPr="008E74AA">
        <w:rPr>
          <w:rFonts w:ascii="Verdana" w:hAnsi="Verdana"/>
          <w:sz w:val="20"/>
          <w:szCs w:val="20"/>
          <w:lang w:val="es-CR"/>
        </w:rPr>
        <w:t xml:space="preserve"> a </w:t>
      </w:r>
      <w:r w:rsidR="000D704D">
        <w:rPr>
          <w:rFonts w:ascii="Verdana" w:hAnsi="Verdana"/>
          <w:sz w:val="20"/>
          <w:szCs w:val="20"/>
          <w:lang w:val="es-CR"/>
        </w:rPr>
        <w:t>12</w:t>
      </w:r>
      <w:r w:rsidRPr="008E74AA">
        <w:rPr>
          <w:rFonts w:ascii="Verdana" w:hAnsi="Verdana"/>
          <w:sz w:val="20"/>
          <w:szCs w:val="20"/>
          <w:lang w:val="es-CR"/>
        </w:rPr>
        <w:t>)</w:t>
      </w:r>
      <w:r w:rsidR="00DC2ECC" w:rsidRPr="008E74AA">
        <w:rPr>
          <w:rFonts w:ascii="Verdana" w:hAnsi="Verdana"/>
          <w:sz w:val="20"/>
          <w:szCs w:val="20"/>
          <w:lang w:val="es-CR"/>
        </w:rPr>
        <w:t>,</w:t>
      </w:r>
      <w:r w:rsidR="00C25120" w:rsidRPr="008E74AA">
        <w:rPr>
          <w:rFonts w:ascii="Verdana" w:hAnsi="Verdana"/>
          <w:sz w:val="20"/>
          <w:szCs w:val="20"/>
          <w:lang w:val="es-CR"/>
        </w:rPr>
        <w:t xml:space="preserve"> los argumentos efectuados en sus observaciones</w:t>
      </w:r>
      <w:r w:rsidR="00DC2ECC" w:rsidRPr="008E74AA">
        <w:rPr>
          <w:rFonts w:ascii="Verdana" w:hAnsi="Verdana"/>
          <w:sz w:val="20"/>
          <w:szCs w:val="20"/>
          <w:lang w:val="es-CR"/>
        </w:rPr>
        <w:t xml:space="preserve"> por el Estado </w:t>
      </w:r>
      <w:r w:rsidR="000D704D" w:rsidRPr="008E74AA">
        <w:rPr>
          <w:rFonts w:ascii="Verdana" w:hAnsi="Verdana"/>
          <w:sz w:val="20"/>
          <w:szCs w:val="20"/>
          <w:lang w:val="es-CR"/>
        </w:rPr>
        <w:t>(</w:t>
      </w:r>
      <w:r w:rsidR="000D704D" w:rsidRPr="008E74AA">
        <w:rPr>
          <w:rFonts w:ascii="Verdana" w:hAnsi="Verdana"/>
          <w:i/>
          <w:sz w:val="20"/>
          <w:szCs w:val="20"/>
          <w:lang w:val="es-CR"/>
        </w:rPr>
        <w:t>infra</w:t>
      </w:r>
      <w:r w:rsidR="000D704D" w:rsidRPr="008E74AA">
        <w:rPr>
          <w:rFonts w:ascii="Verdana" w:hAnsi="Verdana"/>
          <w:sz w:val="20"/>
          <w:szCs w:val="20"/>
          <w:lang w:val="es-CR"/>
        </w:rPr>
        <w:t xml:space="preserve"> </w:t>
      </w:r>
      <w:r w:rsidR="000D704D" w:rsidRPr="000D704D">
        <w:rPr>
          <w:rFonts w:ascii="Verdana" w:hAnsi="Verdana"/>
          <w:sz w:val="20"/>
          <w:szCs w:val="20"/>
          <w:lang w:val="es-CR"/>
        </w:rPr>
        <w:t>Considerandos 13 a 15)</w:t>
      </w:r>
      <w:r w:rsidR="00DC2ECC" w:rsidRPr="000D704D">
        <w:rPr>
          <w:rFonts w:ascii="Verdana" w:hAnsi="Verdana"/>
          <w:sz w:val="20"/>
          <w:szCs w:val="20"/>
          <w:lang w:val="es-CR"/>
        </w:rPr>
        <w:t xml:space="preserve"> y la Comisión Interamericana</w:t>
      </w:r>
      <w:r w:rsidR="00C25120" w:rsidRPr="000D704D">
        <w:rPr>
          <w:rFonts w:ascii="Verdana" w:hAnsi="Verdana"/>
          <w:sz w:val="20"/>
          <w:szCs w:val="20"/>
          <w:lang w:val="es-CR"/>
        </w:rPr>
        <w:t xml:space="preserve"> </w:t>
      </w:r>
      <w:r w:rsidR="000D704D" w:rsidRPr="008E74AA">
        <w:rPr>
          <w:rFonts w:ascii="Verdana" w:hAnsi="Verdana"/>
          <w:sz w:val="20"/>
          <w:szCs w:val="20"/>
          <w:lang w:val="es-CR"/>
        </w:rPr>
        <w:t>(</w:t>
      </w:r>
      <w:r w:rsidR="000D704D" w:rsidRPr="000D704D">
        <w:rPr>
          <w:rFonts w:ascii="Verdana" w:hAnsi="Verdana"/>
          <w:i/>
          <w:sz w:val="20"/>
          <w:szCs w:val="20"/>
          <w:lang w:val="es-CR"/>
        </w:rPr>
        <w:t>infra</w:t>
      </w:r>
      <w:r w:rsidR="000D704D" w:rsidRPr="000D704D">
        <w:rPr>
          <w:rFonts w:ascii="Verdana" w:hAnsi="Verdana"/>
          <w:sz w:val="20"/>
          <w:szCs w:val="20"/>
          <w:lang w:val="es-CR"/>
        </w:rPr>
        <w:t xml:space="preserve"> Considerandos 16 y 17)</w:t>
      </w:r>
      <w:r w:rsidR="007A5628">
        <w:rPr>
          <w:rFonts w:ascii="Verdana" w:hAnsi="Verdana"/>
          <w:sz w:val="20"/>
          <w:szCs w:val="20"/>
          <w:lang w:val="es-CR"/>
        </w:rPr>
        <w:t xml:space="preserve">. </w:t>
      </w:r>
      <w:r w:rsidRPr="008E74AA">
        <w:rPr>
          <w:rFonts w:ascii="Verdana" w:hAnsi="Verdana"/>
          <w:sz w:val="20"/>
          <w:szCs w:val="20"/>
          <w:lang w:val="es-CR"/>
        </w:rPr>
        <w:t>Luego de ello, se pasará a examinar si se configuran los requisitos</w:t>
      </w:r>
      <w:r w:rsidR="000E6041" w:rsidRPr="008E74AA">
        <w:rPr>
          <w:rFonts w:ascii="Verdana" w:hAnsi="Verdana"/>
          <w:sz w:val="20"/>
          <w:szCs w:val="20"/>
          <w:lang w:val="es-CR"/>
        </w:rPr>
        <w:t xml:space="preserve"> </w:t>
      </w:r>
      <w:r w:rsidRPr="008E74AA">
        <w:rPr>
          <w:rFonts w:ascii="Verdana" w:hAnsi="Verdana"/>
          <w:sz w:val="20"/>
          <w:szCs w:val="20"/>
          <w:lang w:val="es-CR"/>
        </w:rPr>
        <w:t xml:space="preserve">convencionales y reglamentarios para la adopción de medidas provisionales </w:t>
      </w:r>
      <w:r w:rsidR="000D704D" w:rsidRPr="008E74AA">
        <w:rPr>
          <w:rFonts w:ascii="Verdana" w:hAnsi="Verdana"/>
          <w:sz w:val="20"/>
          <w:szCs w:val="20"/>
          <w:lang w:val="es-CR"/>
        </w:rPr>
        <w:t>(</w:t>
      </w:r>
      <w:r w:rsidR="000D704D" w:rsidRPr="008E74AA">
        <w:rPr>
          <w:rFonts w:ascii="Verdana" w:hAnsi="Verdana"/>
          <w:i/>
          <w:sz w:val="20"/>
          <w:szCs w:val="20"/>
          <w:lang w:val="es-CR"/>
        </w:rPr>
        <w:t>infra</w:t>
      </w:r>
      <w:r w:rsidR="000D704D" w:rsidRPr="008E74AA">
        <w:rPr>
          <w:rFonts w:ascii="Verdana" w:hAnsi="Verdana"/>
          <w:sz w:val="20"/>
          <w:szCs w:val="20"/>
          <w:lang w:val="es-CR"/>
        </w:rPr>
        <w:t xml:space="preserve"> </w:t>
      </w:r>
      <w:r w:rsidR="000D704D" w:rsidRPr="000D704D">
        <w:rPr>
          <w:rFonts w:ascii="Verdana" w:hAnsi="Verdana"/>
          <w:sz w:val="20"/>
          <w:szCs w:val="20"/>
          <w:lang w:val="es-CR"/>
        </w:rPr>
        <w:t xml:space="preserve">Considerandos </w:t>
      </w:r>
      <w:r w:rsidR="007A5628">
        <w:rPr>
          <w:rFonts w:ascii="Verdana" w:hAnsi="Verdana"/>
          <w:sz w:val="20"/>
          <w:szCs w:val="20"/>
          <w:lang w:val="es-CR"/>
        </w:rPr>
        <w:t>18</w:t>
      </w:r>
      <w:r w:rsidR="000D704D" w:rsidRPr="000D704D">
        <w:rPr>
          <w:rFonts w:ascii="Verdana" w:hAnsi="Verdana"/>
          <w:sz w:val="20"/>
          <w:szCs w:val="20"/>
          <w:lang w:val="es-CR"/>
        </w:rPr>
        <w:t xml:space="preserve"> a </w:t>
      </w:r>
      <w:r w:rsidR="007A5628">
        <w:rPr>
          <w:rFonts w:ascii="Verdana" w:hAnsi="Verdana"/>
          <w:sz w:val="20"/>
          <w:szCs w:val="20"/>
          <w:lang w:val="es-CR"/>
        </w:rPr>
        <w:t>33</w:t>
      </w:r>
      <w:r w:rsidR="000D704D" w:rsidRPr="000D704D">
        <w:rPr>
          <w:rFonts w:ascii="Verdana" w:hAnsi="Verdana"/>
          <w:sz w:val="20"/>
          <w:szCs w:val="20"/>
          <w:lang w:val="es-CR"/>
        </w:rPr>
        <w:t>).</w:t>
      </w:r>
    </w:p>
    <w:p w14:paraId="29E6B164" w14:textId="3606216F" w:rsidR="00FB50B7" w:rsidRPr="008E74AA" w:rsidRDefault="00F71713" w:rsidP="00C84368">
      <w:pPr>
        <w:spacing w:before="120" w:after="120"/>
        <w:ind w:left="567"/>
        <w:jc w:val="both"/>
        <w:rPr>
          <w:rFonts w:ascii="Verdana" w:eastAsia="Calibri" w:hAnsi="Verdana"/>
          <w:b/>
          <w:i/>
          <w:sz w:val="20"/>
          <w:szCs w:val="20"/>
        </w:rPr>
      </w:pPr>
      <w:bookmarkStart w:id="0" w:name="_Toc80273243"/>
      <w:r w:rsidRPr="008E74AA">
        <w:rPr>
          <w:rFonts w:ascii="Verdana" w:eastAsia="Calibri" w:hAnsi="Verdana"/>
          <w:b/>
          <w:i/>
          <w:sz w:val="20"/>
          <w:szCs w:val="20"/>
        </w:rPr>
        <w:t>A) Solicitud presentada</w:t>
      </w:r>
      <w:r w:rsidR="00B53EF0" w:rsidRPr="008E74AA">
        <w:rPr>
          <w:rFonts w:ascii="Verdana" w:eastAsia="Calibri" w:hAnsi="Verdana"/>
          <w:b/>
          <w:i/>
          <w:sz w:val="20"/>
          <w:szCs w:val="20"/>
        </w:rPr>
        <w:t xml:space="preserve"> por l</w:t>
      </w:r>
      <w:r w:rsidR="00C84368" w:rsidRPr="008E74AA">
        <w:rPr>
          <w:rFonts w:ascii="Verdana" w:eastAsia="Calibri" w:hAnsi="Verdana"/>
          <w:b/>
          <w:i/>
          <w:sz w:val="20"/>
          <w:szCs w:val="20"/>
        </w:rPr>
        <w:t>o</w:t>
      </w:r>
      <w:r w:rsidR="00B53EF0" w:rsidRPr="008E74AA">
        <w:rPr>
          <w:rFonts w:ascii="Verdana" w:eastAsia="Calibri" w:hAnsi="Verdana"/>
          <w:b/>
          <w:i/>
          <w:sz w:val="20"/>
          <w:szCs w:val="20"/>
        </w:rPr>
        <w:t xml:space="preserve">s </w:t>
      </w:r>
      <w:r w:rsidRPr="008E74AA">
        <w:rPr>
          <w:rFonts w:ascii="Verdana" w:eastAsia="Calibri" w:hAnsi="Verdana"/>
          <w:b/>
          <w:i/>
          <w:sz w:val="20"/>
          <w:szCs w:val="20"/>
        </w:rPr>
        <w:t>representantes</w:t>
      </w:r>
      <w:bookmarkEnd w:id="0"/>
    </w:p>
    <w:p w14:paraId="1D5BF7C6" w14:textId="2366175B" w:rsidR="002244DA" w:rsidRPr="008E74AA" w:rsidRDefault="00B758BA" w:rsidP="00633A1A">
      <w:pPr>
        <w:numPr>
          <w:ilvl w:val="0"/>
          <w:numId w:val="2"/>
        </w:numPr>
        <w:spacing w:before="120" w:after="120"/>
        <w:ind w:left="0" w:firstLine="0"/>
        <w:jc w:val="both"/>
        <w:rPr>
          <w:rFonts w:ascii="Verdana" w:eastAsia="Calibri" w:hAnsi="Verdana" w:cs="Verdana"/>
          <w:color w:val="000000"/>
          <w:sz w:val="20"/>
          <w:szCs w:val="20"/>
          <w:lang w:val="es-CR"/>
        </w:rPr>
      </w:pPr>
      <w:r w:rsidRPr="008E74AA">
        <w:rPr>
          <w:rFonts w:ascii="Verdana" w:hAnsi="Verdana"/>
          <w:sz w:val="20"/>
          <w:szCs w:val="20"/>
        </w:rPr>
        <w:t xml:space="preserve">El </w:t>
      </w:r>
      <w:r w:rsidRPr="008E74AA">
        <w:rPr>
          <w:rFonts w:ascii="Verdana" w:eastAsia="Calibri" w:hAnsi="Verdana" w:cs="Verdana"/>
          <w:color w:val="000000"/>
          <w:sz w:val="20"/>
          <w:szCs w:val="20"/>
          <w:lang w:val="es-CR"/>
        </w:rPr>
        <w:t>14 de junio de 2022</w:t>
      </w:r>
      <w:r w:rsidRPr="008E74AA">
        <w:rPr>
          <w:rFonts w:ascii="Verdana" w:hAnsi="Verdana"/>
          <w:sz w:val="20"/>
          <w:szCs w:val="20"/>
        </w:rPr>
        <w:t xml:space="preserve"> l</w:t>
      </w:r>
      <w:r w:rsidR="003511AD" w:rsidRPr="008E74AA">
        <w:rPr>
          <w:rFonts w:ascii="Verdana" w:hAnsi="Verdana"/>
          <w:sz w:val="20"/>
          <w:szCs w:val="20"/>
        </w:rPr>
        <w:t>os</w:t>
      </w:r>
      <w:r w:rsidR="00B53EF0" w:rsidRPr="008E74AA">
        <w:rPr>
          <w:rFonts w:ascii="Verdana" w:hAnsi="Verdana"/>
          <w:sz w:val="20"/>
          <w:szCs w:val="20"/>
        </w:rPr>
        <w:t xml:space="preserve"> representantes solicitaron la adopción de medidas provisionales </w:t>
      </w:r>
      <w:r w:rsidR="0019622D" w:rsidRPr="008E74AA">
        <w:rPr>
          <w:rFonts w:ascii="Verdana" w:hAnsi="Verdana"/>
          <w:sz w:val="20"/>
          <w:szCs w:val="20"/>
        </w:rPr>
        <w:t xml:space="preserve">en </w:t>
      </w:r>
      <w:r w:rsidR="0019622D" w:rsidRPr="008E74AA">
        <w:rPr>
          <w:rFonts w:ascii="Verdana" w:eastAsia="Calibri" w:hAnsi="Verdana" w:cs="Verdana"/>
          <w:color w:val="000000"/>
          <w:sz w:val="20"/>
          <w:szCs w:val="20"/>
          <w:lang w:val="es-CR"/>
        </w:rPr>
        <w:t xml:space="preserve">favor </w:t>
      </w:r>
      <w:r w:rsidR="0019622D" w:rsidRPr="008E74AA">
        <w:rPr>
          <w:rFonts w:ascii="Verdana" w:eastAsiaTheme="minorHAnsi" w:hAnsi="Verdana" w:cs="Verdana"/>
          <w:color w:val="000000"/>
          <w:sz w:val="20"/>
          <w:szCs w:val="20"/>
          <w:lang w:val="es-CR"/>
        </w:rPr>
        <w:t xml:space="preserve">del </w:t>
      </w:r>
      <w:bookmarkStart w:id="1" w:name="_Hlk106872439"/>
      <w:r w:rsidR="00F264E9">
        <w:rPr>
          <w:rFonts w:ascii="Verdana" w:eastAsiaTheme="minorHAnsi" w:hAnsi="Verdana" w:cs="Verdana"/>
          <w:color w:val="000000"/>
          <w:sz w:val="20"/>
          <w:szCs w:val="20"/>
          <w:lang w:val="es-CR"/>
        </w:rPr>
        <w:t>j</w:t>
      </w:r>
      <w:r w:rsidR="0019622D" w:rsidRPr="008E74AA">
        <w:rPr>
          <w:rFonts w:ascii="Verdana" w:eastAsiaTheme="minorHAnsi" w:hAnsi="Verdana" w:cs="Verdana"/>
          <w:color w:val="000000"/>
          <w:sz w:val="20"/>
          <w:szCs w:val="20"/>
          <w:lang w:val="es-CR"/>
        </w:rPr>
        <w:t xml:space="preserve">uez Miguel </w:t>
      </w:r>
      <w:r w:rsidR="00A0024B" w:rsidRPr="008E74AA">
        <w:rPr>
          <w:rFonts w:ascii="Verdana" w:eastAsiaTheme="minorHAnsi" w:hAnsi="Verdana" w:cs="Verdana"/>
          <w:color w:val="000000"/>
          <w:sz w:val="20"/>
          <w:szCs w:val="20"/>
          <w:lang w:val="es-CR"/>
        </w:rPr>
        <w:t>Á</w:t>
      </w:r>
      <w:r w:rsidR="0019622D" w:rsidRPr="008E74AA">
        <w:rPr>
          <w:rFonts w:ascii="Verdana" w:eastAsiaTheme="minorHAnsi" w:hAnsi="Verdana" w:cs="Verdana"/>
          <w:color w:val="000000"/>
          <w:sz w:val="20"/>
          <w:szCs w:val="20"/>
          <w:lang w:val="es-CR"/>
        </w:rPr>
        <w:t>ngel Gálvez Aguilar</w:t>
      </w:r>
      <w:bookmarkEnd w:id="1"/>
      <w:r w:rsidR="0019622D" w:rsidRPr="008E74AA">
        <w:rPr>
          <w:rFonts w:ascii="Verdana" w:eastAsiaTheme="minorHAnsi" w:hAnsi="Verdana" w:cs="Verdana"/>
          <w:color w:val="000000"/>
          <w:sz w:val="20"/>
          <w:szCs w:val="20"/>
          <w:lang w:val="es-CR"/>
        </w:rPr>
        <w:t xml:space="preserve">, titular del Juzgado B de Mayor Riesgo del Organismo Judicial de Guatemala, a fin de evitar que se produzcan daños irreparables a sus </w:t>
      </w:r>
      <w:r w:rsidR="00633A1A" w:rsidRPr="008E74AA">
        <w:rPr>
          <w:rFonts w:ascii="Verdana" w:eastAsiaTheme="minorHAnsi" w:hAnsi="Verdana" w:cs="Verdana"/>
          <w:color w:val="000000"/>
          <w:sz w:val="20"/>
          <w:szCs w:val="20"/>
          <w:lang w:val="es-CR"/>
        </w:rPr>
        <w:t>derechos a la vida e integridad personal</w:t>
      </w:r>
      <w:r w:rsidR="00633A1A" w:rsidRPr="008E74AA">
        <w:rPr>
          <w:rFonts w:ascii="Verdana" w:eastAsia="Calibri" w:hAnsi="Verdana" w:cs="Verdana"/>
          <w:color w:val="000000"/>
          <w:sz w:val="20"/>
          <w:szCs w:val="20"/>
          <w:lang w:val="es-CR"/>
        </w:rPr>
        <w:t xml:space="preserve"> </w:t>
      </w:r>
      <w:r w:rsidR="00633A1A" w:rsidRPr="008E74AA">
        <w:rPr>
          <w:rFonts w:ascii="Verdana" w:eastAsiaTheme="minorHAnsi" w:hAnsi="Verdana" w:cs="Verdana"/>
          <w:color w:val="000000"/>
          <w:sz w:val="20"/>
          <w:szCs w:val="20"/>
          <w:lang w:val="es-CR"/>
        </w:rPr>
        <w:t xml:space="preserve">y a </w:t>
      </w:r>
      <w:r w:rsidR="00FB2472" w:rsidRPr="008E74AA">
        <w:rPr>
          <w:rFonts w:ascii="Verdana" w:eastAsiaTheme="minorHAnsi" w:hAnsi="Verdana" w:cs="Verdana"/>
          <w:color w:val="000000"/>
          <w:sz w:val="20"/>
          <w:szCs w:val="20"/>
          <w:lang w:val="es-CR"/>
        </w:rPr>
        <w:t>su</w:t>
      </w:r>
      <w:r w:rsidR="00633A1A" w:rsidRPr="008E74AA">
        <w:rPr>
          <w:rFonts w:ascii="Verdana" w:eastAsia="Calibri" w:hAnsi="Verdana" w:cs="Verdana"/>
          <w:color w:val="000000"/>
          <w:sz w:val="20"/>
          <w:szCs w:val="20"/>
          <w:lang w:val="es-CR"/>
        </w:rPr>
        <w:t xml:space="preserve"> </w:t>
      </w:r>
      <w:r w:rsidR="00633A1A" w:rsidRPr="008E74AA">
        <w:rPr>
          <w:rFonts w:ascii="Verdana" w:eastAsiaTheme="minorHAnsi" w:hAnsi="Verdana" w:cs="Verdana"/>
          <w:color w:val="000000"/>
          <w:sz w:val="20"/>
          <w:szCs w:val="20"/>
          <w:lang w:val="es-CR"/>
        </w:rPr>
        <w:t>independencia judicial</w:t>
      </w:r>
      <w:r w:rsidR="0019622D" w:rsidRPr="008E74AA">
        <w:rPr>
          <w:rFonts w:ascii="Verdana" w:eastAsiaTheme="minorHAnsi" w:hAnsi="Verdana" w:cs="Verdana"/>
          <w:color w:val="000000"/>
          <w:sz w:val="20"/>
          <w:szCs w:val="20"/>
          <w:lang w:val="es-CR"/>
        </w:rPr>
        <w:t xml:space="preserve">, </w:t>
      </w:r>
      <w:r w:rsidR="00FB2472" w:rsidRPr="008E74AA">
        <w:rPr>
          <w:rFonts w:ascii="Verdana" w:eastAsiaTheme="minorHAnsi" w:hAnsi="Verdana" w:cs="Verdana"/>
          <w:color w:val="000000"/>
          <w:sz w:val="20"/>
          <w:szCs w:val="20"/>
          <w:lang w:val="es-CR"/>
        </w:rPr>
        <w:t>así como</w:t>
      </w:r>
      <w:r w:rsidRPr="008E74AA">
        <w:rPr>
          <w:rFonts w:ascii="Verdana" w:eastAsiaTheme="minorHAnsi" w:hAnsi="Verdana" w:cs="Verdana"/>
          <w:color w:val="000000"/>
          <w:sz w:val="20"/>
          <w:szCs w:val="20"/>
          <w:lang w:val="es-CR"/>
        </w:rPr>
        <w:t xml:space="preserve"> a</w:t>
      </w:r>
      <w:r w:rsidR="0019622D" w:rsidRPr="008E74AA">
        <w:rPr>
          <w:rFonts w:ascii="Verdana" w:eastAsiaTheme="minorHAnsi" w:hAnsi="Verdana" w:cs="Verdana"/>
          <w:color w:val="000000"/>
          <w:sz w:val="20"/>
          <w:szCs w:val="20"/>
          <w:lang w:val="es-CR"/>
        </w:rPr>
        <w:t xml:space="preserve">l derecho al acceso a la justicia de las víctimas del presente caso. </w:t>
      </w:r>
      <w:r w:rsidR="00F6654E">
        <w:rPr>
          <w:rFonts w:ascii="Verdana" w:eastAsiaTheme="minorHAnsi" w:hAnsi="Verdana" w:cs="Verdana"/>
          <w:color w:val="000000"/>
          <w:sz w:val="20"/>
          <w:szCs w:val="20"/>
          <w:lang w:val="es-CR"/>
        </w:rPr>
        <w:t>Indicaron que d</w:t>
      </w:r>
      <w:r w:rsidR="0019622D" w:rsidRPr="008E74AA">
        <w:rPr>
          <w:rFonts w:ascii="Verdana" w:eastAsiaTheme="minorHAnsi" w:hAnsi="Verdana" w:cs="Verdana"/>
          <w:color w:val="000000"/>
          <w:sz w:val="20"/>
          <w:szCs w:val="20"/>
          <w:lang w:val="es-CR"/>
        </w:rPr>
        <w:t>icho juzgador</w:t>
      </w:r>
      <w:r w:rsidR="0019622D" w:rsidRPr="008E74AA">
        <w:rPr>
          <w:rFonts w:ascii="Verdana" w:eastAsia="Calibri" w:hAnsi="Verdana" w:cs="Verdana"/>
          <w:color w:val="000000"/>
          <w:sz w:val="20"/>
          <w:szCs w:val="20"/>
          <w:lang w:val="es-CR"/>
        </w:rPr>
        <w:t xml:space="preserve"> “interviene durante la etapa preparatoria e intermedia del caso Diario Militar” y, </w:t>
      </w:r>
      <w:r w:rsidR="0091466D" w:rsidRPr="008E74AA">
        <w:rPr>
          <w:rFonts w:ascii="Verdana" w:eastAsia="Calibri" w:hAnsi="Verdana" w:cs="Verdana"/>
          <w:color w:val="000000"/>
          <w:sz w:val="20"/>
          <w:szCs w:val="20"/>
          <w:lang w:val="es-CR"/>
        </w:rPr>
        <w:t>recientemente, “ha enviado a juicio a nueve exmilitares y expolicías”, y decidirá sobre la situación jurídica de otros seis sindicados.</w:t>
      </w:r>
      <w:r w:rsidR="002244DA" w:rsidRPr="008E74AA">
        <w:rPr>
          <w:rFonts w:ascii="Verdana" w:eastAsia="Calibri" w:hAnsi="Verdana" w:cs="Verdana"/>
          <w:color w:val="000000"/>
          <w:sz w:val="20"/>
          <w:szCs w:val="20"/>
          <w:lang w:val="es-CR"/>
        </w:rPr>
        <w:t xml:space="preserve"> </w:t>
      </w:r>
      <w:r w:rsidRPr="008E74AA">
        <w:rPr>
          <w:rFonts w:ascii="Verdana" w:hAnsi="Verdana"/>
          <w:sz w:val="20"/>
          <w:szCs w:val="20"/>
        </w:rPr>
        <w:t>S</w:t>
      </w:r>
      <w:r w:rsidR="00B53EF0" w:rsidRPr="008E74AA">
        <w:rPr>
          <w:rFonts w:ascii="Verdana" w:hAnsi="Verdana"/>
          <w:sz w:val="20"/>
          <w:szCs w:val="20"/>
        </w:rPr>
        <w:t>olicitaron a la Corte que ordene las siguientes “medidas de protección”:</w:t>
      </w:r>
    </w:p>
    <w:p w14:paraId="52E4DD0C" w14:textId="18F5903A" w:rsidR="001F7740" w:rsidRPr="001F7740" w:rsidRDefault="002244DA" w:rsidP="001F7740">
      <w:pPr>
        <w:pStyle w:val="Prrafodelista"/>
        <w:numPr>
          <w:ilvl w:val="0"/>
          <w:numId w:val="32"/>
        </w:numPr>
        <w:tabs>
          <w:tab w:val="left" w:pos="993"/>
        </w:tabs>
        <w:jc w:val="both"/>
        <w:rPr>
          <w:rFonts w:ascii="Verdana" w:eastAsiaTheme="minorHAnsi" w:hAnsi="Verdana" w:cs="Verdana"/>
          <w:color w:val="000000"/>
          <w:sz w:val="16"/>
          <w:szCs w:val="16"/>
          <w:lang w:val="es-CR"/>
        </w:rPr>
      </w:pPr>
      <w:r w:rsidRPr="00340065">
        <w:rPr>
          <w:rFonts w:ascii="Verdana" w:eastAsiaTheme="minorHAnsi" w:hAnsi="Verdana" w:cs="Verdana"/>
          <w:color w:val="000000"/>
          <w:sz w:val="16"/>
          <w:szCs w:val="16"/>
          <w:lang w:val="es-CR"/>
        </w:rPr>
        <w:t>Se revise el esquema de seguridad asignado al Juez Miguel Ángel Gálvez y se adecúe a la gravedad de los hechos expuestos y al rol que este continuará teniendo en el proceso interno de este caso</w:t>
      </w:r>
      <w:r w:rsidR="001F7740" w:rsidRPr="001F7740">
        <w:rPr>
          <w:rFonts w:ascii="Verdana" w:eastAsiaTheme="minorHAnsi" w:hAnsi="Verdana" w:cs="Verdana"/>
          <w:color w:val="000000"/>
          <w:sz w:val="16"/>
          <w:szCs w:val="16"/>
          <w:lang w:val="es-CR"/>
        </w:rPr>
        <w:t>, incluyendo que el mismo no sea</w:t>
      </w:r>
      <w:r w:rsidR="001F7740">
        <w:rPr>
          <w:rFonts w:ascii="Verdana" w:eastAsiaTheme="minorHAnsi" w:hAnsi="Verdana" w:cs="Verdana"/>
          <w:color w:val="000000"/>
          <w:sz w:val="16"/>
          <w:szCs w:val="16"/>
          <w:lang w:val="es-CR"/>
        </w:rPr>
        <w:t xml:space="preserve"> </w:t>
      </w:r>
      <w:r w:rsidR="001F7740" w:rsidRPr="001F7740">
        <w:rPr>
          <w:rFonts w:ascii="Verdana" w:eastAsiaTheme="minorHAnsi" w:hAnsi="Verdana" w:cs="Verdana"/>
          <w:color w:val="000000"/>
          <w:sz w:val="16"/>
          <w:szCs w:val="16"/>
          <w:lang w:val="es-CR"/>
        </w:rPr>
        <w:t>implementado por agentes de</w:t>
      </w:r>
      <w:r w:rsidR="001F7740">
        <w:rPr>
          <w:rFonts w:ascii="Verdana" w:eastAsiaTheme="minorHAnsi" w:hAnsi="Verdana" w:cs="Verdana"/>
          <w:color w:val="000000"/>
          <w:sz w:val="16"/>
          <w:szCs w:val="16"/>
          <w:lang w:val="es-CR"/>
        </w:rPr>
        <w:t xml:space="preserve"> l</w:t>
      </w:r>
      <w:r w:rsidR="001F7740" w:rsidRPr="001F7740">
        <w:rPr>
          <w:rFonts w:ascii="Verdana" w:eastAsiaTheme="minorHAnsi" w:hAnsi="Verdana" w:cs="Verdana"/>
          <w:color w:val="000000"/>
          <w:sz w:val="16"/>
          <w:szCs w:val="16"/>
          <w:lang w:val="es-CR"/>
        </w:rPr>
        <w:t>a P</w:t>
      </w:r>
      <w:r w:rsidR="001F7740">
        <w:rPr>
          <w:rFonts w:ascii="Verdana" w:eastAsiaTheme="minorHAnsi" w:hAnsi="Verdana" w:cs="Verdana"/>
          <w:color w:val="000000"/>
          <w:sz w:val="16"/>
          <w:szCs w:val="16"/>
          <w:lang w:val="es-CR"/>
        </w:rPr>
        <w:t xml:space="preserve">olicía </w:t>
      </w:r>
      <w:r w:rsidR="001F7740" w:rsidRPr="001F7740">
        <w:rPr>
          <w:rFonts w:ascii="Verdana" w:eastAsiaTheme="minorHAnsi" w:hAnsi="Verdana" w:cs="Verdana"/>
          <w:color w:val="000000"/>
          <w:sz w:val="16"/>
          <w:szCs w:val="16"/>
          <w:lang w:val="es-CR"/>
        </w:rPr>
        <w:t>N</w:t>
      </w:r>
      <w:r w:rsidR="001F7740">
        <w:rPr>
          <w:rFonts w:ascii="Verdana" w:eastAsiaTheme="minorHAnsi" w:hAnsi="Verdana" w:cs="Verdana"/>
          <w:color w:val="000000"/>
          <w:sz w:val="16"/>
          <w:szCs w:val="16"/>
          <w:lang w:val="es-CR"/>
        </w:rPr>
        <w:t xml:space="preserve">acional </w:t>
      </w:r>
      <w:r w:rsidR="001F7740" w:rsidRPr="001F7740">
        <w:rPr>
          <w:rFonts w:ascii="Verdana" w:eastAsiaTheme="minorHAnsi" w:hAnsi="Verdana" w:cs="Verdana"/>
          <w:color w:val="000000"/>
          <w:sz w:val="16"/>
          <w:szCs w:val="16"/>
          <w:lang w:val="es-CR"/>
        </w:rPr>
        <w:t>C</w:t>
      </w:r>
      <w:r w:rsidR="001F7740">
        <w:rPr>
          <w:rFonts w:ascii="Verdana" w:eastAsiaTheme="minorHAnsi" w:hAnsi="Verdana" w:cs="Verdana"/>
          <w:color w:val="000000"/>
          <w:sz w:val="16"/>
          <w:szCs w:val="16"/>
          <w:lang w:val="es-CR"/>
        </w:rPr>
        <w:t>ivil</w:t>
      </w:r>
      <w:r w:rsidR="001F7740" w:rsidRPr="001F7740">
        <w:rPr>
          <w:rFonts w:ascii="Verdana" w:eastAsiaTheme="minorHAnsi" w:hAnsi="Verdana" w:cs="Verdana"/>
          <w:color w:val="000000"/>
          <w:sz w:val="16"/>
          <w:szCs w:val="16"/>
          <w:lang w:val="es-CR"/>
        </w:rPr>
        <w:t>, sino por agentes de seguridad de</w:t>
      </w:r>
      <w:r w:rsidR="001F7740">
        <w:rPr>
          <w:rFonts w:ascii="Verdana" w:eastAsiaTheme="minorHAnsi" w:hAnsi="Verdana" w:cs="Verdana"/>
          <w:color w:val="000000"/>
          <w:sz w:val="16"/>
          <w:szCs w:val="16"/>
          <w:lang w:val="es-CR"/>
        </w:rPr>
        <w:t xml:space="preserve">l </w:t>
      </w:r>
      <w:r w:rsidR="001F7740" w:rsidRPr="001F7740">
        <w:rPr>
          <w:rFonts w:ascii="Verdana" w:eastAsiaTheme="minorHAnsi" w:hAnsi="Verdana" w:cs="Verdana"/>
          <w:color w:val="000000"/>
          <w:sz w:val="16"/>
          <w:szCs w:val="16"/>
          <w:lang w:val="es-CR"/>
        </w:rPr>
        <w:t>organismo judicial.</w:t>
      </w:r>
    </w:p>
    <w:p w14:paraId="1B5BBD27" w14:textId="77777777" w:rsidR="00340065" w:rsidRDefault="002244DA" w:rsidP="00340065">
      <w:pPr>
        <w:pStyle w:val="Prrafodelista"/>
        <w:numPr>
          <w:ilvl w:val="0"/>
          <w:numId w:val="32"/>
        </w:numPr>
        <w:tabs>
          <w:tab w:val="left" w:pos="993"/>
        </w:tabs>
        <w:jc w:val="both"/>
        <w:rPr>
          <w:rFonts w:ascii="Verdana" w:eastAsiaTheme="minorHAnsi" w:hAnsi="Verdana" w:cs="Verdana"/>
          <w:color w:val="000000"/>
          <w:sz w:val="16"/>
          <w:szCs w:val="16"/>
          <w:lang w:val="es-CR"/>
        </w:rPr>
      </w:pPr>
      <w:r w:rsidRPr="00340065">
        <w:rPr>
          <w:rFonts w:ascii="Verdana" w:eastAsiaTheme="minorHAnsi" w:hAnsi="Verdana" w:cs="Verdana"/>
          <w:color w:val="000000"/>
          <w:sz w:val="16"/>
          <w:szCs w:val="16"/>
          <w:lang w:val="es-CR"/>
        </w:rPr>
        <w:t>Se investiguen adecuadamente los hechos que fundamentan la presente solicitud, así como cualquier otro posible hecho que pueda constituir una amenaza a la vida e integridad del propuesto beneficiario.</w:t>
      </w:r>
    </w:p>
    <w:p w14:paraId="76602686" w14:textId="77777777" w:rsidR="00340065" w:rsidRDefault="002244DA" w:rsidP="00340065">
      <w:pPr>
        <w:pStyle w:val="Prrafodelista"/>
        <w:numPr>
          <w:ilvl w:val="0"/>
          <w:numId w:val="32"/>
        </w:numPr>
        <w:tabs>
          <w:tab w:val="left" w:pos="993"/>
        </w:tabs>
        <w:jc w:val="both"/>
        <w:rPr>
          <w:rFonts w:ascii="Verdana" w:eastAsiaTheme="minorHAnsi" w:hAnsi="Verdana" w:cs="Verdana"/>
          <w:color w:val="000000"/>
          <w:sz w:val="16"/>
          <w:szCs w:val="16"/>
          <w:lang w:val="es-CR"/>
        </w:rPr>
      </w:pPr>
      <w:bookmarkStart w:id="2" w:name="_Hlk108079223"/>
      <w:r w:rsidRPr="00340065">
        <w:rPr>
          <w:rFonts w:ascii="Verdana" w:eastAsiaTheme="minorHAnsi" w:hAnsi="Verdana" w:cs="Verdana"/>
          <w:color w:val="000000"/>
          <w:sz w:val="16"/>
          <w:szCs w:val="16"/>
          <w:lang w:val="es-CR"/>
        </w:rPr>
        <w:t>Cese cualquier posibilidad de criminalización del Juez Gálvez por el ejercicio de su rol en el contexto de este caso</w:t>
      </w:r>
      <w:bookmarkEnd w:id="2"/>
      <w:r w:rsidRPr="00340065">
        <w:rPr>
          <w:rFonts w:ascii="Verdana" w:eastAsiaTheme="minorHAnsi" w:hAnsi="Verdana" w:cs="Verdana"/>
          <w:color w:val="000000"/>
          <w:sz w:val="16"/>
          <w:szCs w:val="16"/>
          <w:lang w:val="es-CR"/>
        </w:rPr>
        <w:t>.</w:t>
      </w:r>
    </w:p>
    <w:p w14:paraId="215065C7" w14:textId="2C43991A" w:rsidR="001F7740" w:rsidRDefault="001F7740" w:rsidP="00340065">
      <w:pPr>
        <w:pStyle w:val="Prrafodelista"/>
        <w:numPr>
          <w:ilvl w:val="0"/>
          <w:numId w:val="32"/>
        </w:numPr>
        <w:jc w:val="both"/>
        <w:rPr>
          <w:rFonts w:ascii="Verdana" w:eastAsiaTheme="minorHAnsi" w:hAnsi="Verdana" w:cs="Verdana"/>
          <w:color w:val="000000"/>
          <w:sz w:val="16"/>
          <w:szCs w:val="16"/>
          <w:lang w:val="es-CR"/>
        </w:rPr>
      </w:pPr>
      <w:r>
        <w:rPr>
          <w:rFonts w:ascii="Verdana" w:eastAsiaTheme="minorHAnsi" w:hAnsi="Verdana" w:cs="Verdana"/>
          <w:color w:val="000000"/>
          <w:sz w:val="16"/>
          <w:szCs w:val="16"/>
          <w:lang w:val="es-CR"/>
        </w:rPr>
        <w:lastRenderedPageBreak/>
        <w:t>S</w:t>
      </w:r>
      <w:r w:rsidRPr="001F7740">
        <w:rPr>
          <w:rFonts w:ascii="Verdana" w:eastAsiaTheme="minorHAnsi" w:hAnsi="Verdana" w:cs="Verdana"/>
          <w:color w:val="000000"/>
          <w:sz w:val="16"/>
          <w:szCs w:val="16"/>
          <w:lang w:val="es-CR"/>
        </w:rPr>
        <w:t>e garantice la estabilidad en el cargo del propuesto beneficiario</w:t>
      </w:r>
      <w:r>
        <w:rPr>
          <w:rStyle w:val="Refdenotaalpie"/>
          <w:rFonts w:eastAsiaTheme="minorHAnsi" w:cs="Verdana"/>
          <w:color w:val="000000"/>
          <w:szCs w:val="16"/>
          <w:lang w:val="es-CR"/>
        </w:rPr>
        <w:footnoteReference w:id="4"/>
      </w:r>
      <w:r w:rsidRPr="001F7740">
        <w:rPr>
          <w:rFonts w:ascii="Verdana" w:eastAsiaTheme="minorHAnsi" w:hAnsi="Verdana" w:cs="Verdana"/>
          <w:color w:val="000000"/>
          <w:sz w:val="16"/>
          <w:szCs w:val="16"/>
          <w:lang w:val="es-CR"/>
        </w:rPr>
        <w:t>.</w:t>
      </w:r>
    </w:p>
    <w:p w14:paraId="71EEE085" w14:textId="208B7691" w:rsidR="00340065" w:rsidRDefault="002244DA" w:rsidP="00340065">
      <w:pPr>
        <w:pStyle w:val="Prrafodelista"/>
        <w:numPr>
          <w:ilvl w:val="0"/>
          <w:numId w:val="32"/>
        </w:numPr>
        <w:jc w:val="both"/>
        <w:rPr>
          <w:rFonts w:ascii="Verdana" w:eastAsiaTheme="minorHAnsi" w:hAnsi="Verdana" w:cs="Verdana"/>
          <w:color w:val="000000"/>
          <w:sz w:val="16"/>
          <w:szCs w:val="16"/>
          <w:lang w:val="es-CR"/>
        </w:rPr>
      </w:pPr>
      <w:r w:rsidRPr="00340065">
        <w:rPr>
          <w:rFonts w:ascii="Verdana" w:eastAsiaTheme="minorHAnsi" w:hAnsi="Verdana" w:cs="Verdana"/>
          <w:color w:val="000000"/>
          <w:sz w:val="16"/>
          <w:szCs w:val="16"/>
          <w:lang w:val="es-CR"/>
        </w:rPr>
        <w:t>Se garantice el ejercicio de la independencia judicial que le asiste al propuesto beneficiario, actividad jurisdiccional que debe desarrollar libre de cualquier amenaza, hostigamiento o intimidación.</w:t>
      </w:r>
    </w:p>
    <w:p w14:paraId="30D19EA4" w14:textId="67242D68" w:rsidR="00B53EF0" w:rsidRPr="00340065" w:rsidRDefault="002244DA" w:rsidP="00340065">
      <w:pPr>
        <w:pStyle w:val="Prrafodelista"/>
        <w:numPr>
          <w:ilvl w:val="0"/>
          <w:numId w:val="32"/>
        </w:numPr>
        <w:tabs>
          <w:tab w:val="left" w:pos="993"/>
        </w:tabs>
        <w:jc w:val="both"/>
        <w:rPr>
          <w:rFonts w:ascii="Verdana" w:eastAsiaTheme="minorHAnsi" w:hAnsi="Verdana" w:cs="Verdana"/>
          <w:color w:val="000000"/>
          <w:sz w:val="16"/>
          <w:szCs w:val="16"/>
          <w:lang w:val="es-CR"/>
        </w:rPr>
      </w:pPr>
      <w:r w:rsidRPr="00340065">
        <w:rPr>
          <w:rFonts w:ascii="Verdana" w:eastAsiaTheme="minorHAnsi" w:hAnsi="Verdana" w:cs="Verdana"/>
          <w:color w:val="000000"/>
          <w:sz w:val="16"/>
          <w:szCs w:val="16"/>
          <w:lang w:val="es-CR"/>
        </w:rPr>
        <w:t>Todas las medidas adoptadas en el marco de estas medidas provisionales sean previamente acordadas con los beneficiarios y sus representantes.</w:t>
      </w:r>
    </w:p>
    <w:p w14:paraId="5FA258BE" w14:textId="74316FE6" w:rsidR="00FB2472" w:rsidRPr="008E74AA" w:rsidRDefault="00B53EF0" w:rsidP="00FB2472">
      <w:pPr>
        <w:numPr>
          <w:ilvl w:val="0"/>
          <w:numId w:val="2"/>
        </w:numPr>
        <w:spacing w:before="120" w:after="120"/>
        <w:ind w:left="0" w:firstLine="0"/>
        <w:jc w:val="both"/>
        <w:rPr>
          <w:rFonts w:ascii="Verdana" w:eastAsia="Times" w:hAnsi="Verdana"/>
          <w:sz w:val="20"/>
          <w:szCs w:val="20"/>
          <w:lang w:val="es-CR"/>
        </w:rPr>
      </w:pPr>
      <w:r w:rsidRPr="008E74AA">
        <w:rPr>
          <w:rFonts w:ascii="Verdana" w:hAnsi="Verdana"/>
          <w:sz w:val="20"/>
          <w:szCs w:val="20"/>
          <w:lang w:val="es-CR"/>
        </w:rPr>
        <w:t>A</w:t>
      </w:r>
      <w:r w:rsidR="009179E9" w:rsidRPr="008E74AA">
        <w:rPr>
          <w:rFonts w:ascii="Verdana" w:hAnsi="Verdana"/>
          <w:sz w:val="20"/>
          <w:szCs w:val="20"/>
          <w:lang w:val="es-CR"/>
        </w:rPr>
        <w:t>rgumentaron que la referida solicitud guarda relación con el objeto del caso</w:t>
      </w:r>
      <w:r w:rsidR="00EE0ADC" w:rsidRPr="008E74AA">
        <w:rPr>
          <w:rFonts w:ascii="Verdana" w:hAnsi="Verdana"/>
          <w:sz w:val="20"/>
          <w:szCs w:val="20"/>
          <w:lang w:val="es-CR"/>
        </w:rPr>
        <w:t>,</w:t>
      </w:r>
      <w:r w:rsidR="009179E9" w:rsidRPr="008E74AA">
        <w:rPr>
          <w:rFonts w:ascii="Verdana" w:hAnsi="Verdana"/>
          <w:sz w:val="20"/>
          <w:szCs w:val="20"/>
          <w:lang w:val="es-CR"/>
        </w:rPr>
        <w:t xml:space="preserve"> ya que </w:t>
      </w:r>
      <w:r w:rsidR="002C5B5B" w:rsidRPr="008E74AA">
        <w:rPr>
          <w:rFonts w:ascii="Verdana" w:hAnsi="Verdana"/>
          <w:sz w:val="20"/>
          <w:szCs w:val="20"/>
          <w:lang w:val="es-CR"/>
        </w:rPr>
        <w:t>en l</w:t>
      </w:r>
      <w:r w:rsidR="009179E9" w:rsidRPr="008E74AA">
        <w:rPr>
          <w:rFonts w:ascii="Verdana" w:hAnsi="Verdana"/>
          <w:sz w:val="20"/>
          <w:szCs w:val="20"/>
          <w:lang w:val="es-CR"/>
        </w:rPr>
        <w:t>a Sentencia</w:t>
      </w:r>
      <w:r w:rsidR="002C5B5B" w:rsidRPr="008E74AA">
        <w:rPr>
          <w:rFonts w:ascii="Verdana" w:hAnsi="Verdana"/>
          <w:sz w:val="20"/>
          <w:szCs w:val="20"/>
          <w:lang w:val="es-CR"/>
        </w:rPr>
        <w:t xml:space="preserve"> la Corte ordenó al Estado </w:t>
      </w:r>
      <w:r w:rsidR="002C5B5B" w:rsidRPr="008E74AA">
        <w:rPr>
          <w:rFonts w:ascii="Verdana" w:eastAsiaTheme="minorHAnsi" w:hAnsi="Verdana" w:cs="Verdana"/>
          <w:color w:val="000000"/>
          <w:sz w:val="20"/>
          <w:szCs w:val="20"/>
          <w:lang w:val="es-CR"/>
        </w:rPr>
        <w:t>investigar, juzgar y, en su caso, sancionar a los responsables</w:t>
      </w:r>
      <w:r w:rsidR="00FB2472" w:rsidRPr="008E74AA">
        <w:rPr>
          <w:rFonts w:ascii="Verdana" w:eastAsiaTheme="minorHAnsi" w:hAnsi="Verdana" w:cs="Verdana"/>
          <w:color w:val="000000"/>
          <w:sz w:val="20"/>
          <w:szCs w:val="20"/>
          <w:lang w:val="es-CR"/>
        </w:rPr>
        <w:t xml:space="preserve"> de los hechos del caso, para lo cual debía</w:t>
      </w:r>
      <w:r w:rsidR="002C5B5B" w:rsidRPr="008E74AA">
        <w:rPr>
          <w:rFonts w:ascii="Verdana" w:eastAsiaTheme="minorHAnsi" w:hAnsi="Verdana" w:cs="Verdana"/>
          <w:color w:val="000000"/>
          <w:sz w:val="20"/>
          <w:szCs w:val="20"/>
          <w:lang w:val="es-CR"/>
        </w:rPr>
        <w:t xml:space="preserve"> asegurarse “que los distintos órganos del sistema de justicia involucrados en el caso cuenten con los recursos humanos y materiales necesarios para desempeñar sus tareas de manera adecuada, independiente e imparcial, y que las personas que participen en la investigación, entre ellas […] operadores de justicia, cuenten con las debidas garantías de seguridad”.</w:t>
      </w:r>
      <w:r w:rsidR="00FB2472" w:rsidRPr="008E74AA">
        <w:rPr>
          <w:rFonts w:ascii="Verdana" w:eastAsia="Times" w:hAnsi="Verdana"/>
          <w:sz w:val="20"/>
          <w:szCs w:val="20"/>
          <w:lang w:val="es-CR"/>
        </w:rPr>
        <w:t xml:space="preserve"> </w:t>
      </w:r>
      <w:r w:rsidRPr="008E74AA">
        <w:rPr>
          <w:rFonts w:ascii="Verdana" w:hAnsi="Verdana"/>
          <w:sz w:val="20"/>
          <w:szCs w:val="20"/>
          <w:lang w:val="es-CR"/>
        </w:rPr>
        <w:t xml:space="preserve">Fundamentaron la solicitud de medidas provisionales </w:t>
      </w:r>
      <w:r w:rsidR="002C5B5B" w:rsidRPr="008E74AA">
        <w:rPr>
          <w:rFonts w:ascii="Verdana" w:hAnsi="Verdana"/>
          <w:sz w:val="20"/>
          <w:szCs w:val="20"/>
          <w:lang w:val="es-CR"/>
        </w:rPr>
        <w:t xml:space="preserve">en un contexto </w:t>
      </w:r>
      <w:r w:rsidR="004B4A63" w:rsidRPr="008E74AA">
        <w:rPr>
          <w:rFonts w:ascii="Verdana" w:eastAsia="Calibri" w:hAnsi="Verdana" w:cs="Verdana"/>
          <w:color w:val="000000"/>
          <w:sz w:val="20"/>
          <w:szCs w:val="20"/>
          <w:lang w:val="es-CR"/>
        </w:rPr>
        <w:t>en el que se enmarcarían los hechos de riesgo</w:t>
      </w:r>
      <w:r w:rsidR="00EF4134" w:rsidRPr="008E74AA">
        <w:rPr>
          <w:rFonts w:ascii="Verdana" w:eastAsia="Calibri" w:hAnsi="Verdana" w:cs="Verdana"/>
          <w:color w:val="000000"/>
          <w:sz w:val="20"/>
          <w:szCs w:val="20"/>
          <w:lang w:val="es-CR"/>
        </w:rPr>
        <w:t xml:space="preserve"> y</w:t>
      </w:r>
      <w:r w:rsidR="004B4A63" w:rsidRPr="008E74AA">
        <w:rPr>
          <w:rFonts w:ascii="Verdana" w:eastAsia="Calibri" w:hAnsi="Verdana" w:cs="Verdana"/>
          <w:color w:val="000000"/>
          <w:sz w:val="20"/>
          <w:szCs w:val="20"/>
          <w:lang w:val="es-CR"/>
        </w:rPr>
        <w:t xml:space="preserve"> en hechos específicos de riesgo sufridos por el </w:t>
      </w:r>
      <w:r w:rsidR="00221AF8">
        <w:rPr>
          <w:rFonts w:ascii="Verdana" w:eastAsiaTheme="minorHAnsi" w:hAnsi="Verdana" w:cs="Verdana"/>
          <w:color w:val="000000"/>
          <w:sz w:val="20"/>
          <w:szCs w:val="20"/>
          <w:lang w:val="es-CR"/>
        </w:rPr>
        <w:t>j</w:t>
      </w:r>
      <w:r w:rsidR="004B4A63" w:rsidRPr="008E74AA">
        <w:rPr>
          <w:rFonts w:ascii="Verdana" w:eastAsiaTheme="minorHAnsi" w:hAnsi="Verdana" w:cs="Verdana"/>
          <w:color w:val="000000"/>
          <w:sz w:val="20"/>
          <w:szCs w:val="20"/>
          <w:lang w:val="es-CR"/>
        </w:rPr>
        <w:t xml:space="preserve">uez Miguel </w:t>
      </w:r>
      <w:r w:rsidR="00EF4134" w:rsidRPr="008E74AA">
        <w:rPr>
          <w:rFonts w:ascii="Verdana" w:eastAsiaTheme="minorHAnsi" w:hAnsi="Verdana" w:cs="Verdana"/>
          <w:color w:val="000000"/>
          <w:sz w:val="20"/>
          <w:szCs w:val="20"/>
          <w:lang w:val="es-CR"/>
        </w:rPr>
        <w:t>Ángel</w:t>
      </w:r>
      <w:r w:rsidR="004B4A63" w:rsidRPr="008E74AA">
        <w:rPr>
          <w:rFonts w:ascii="Verdana" w:eastAsiaTheme="minorHAnsi" w:hAnsi="Verdana" w:cs="Verdana"/>
          <w:color w:val="000000"/>
          <w:sz w:val="20"/>
          <w:szCs w:val="20"/>
          <w:lang w:val="es-CR"/>
        </w:rPr>
        <w:t xml:space="preserve"> Gálvez Aguilar</w:t>
      </w:r>
      <w:r w:rsidR="004B4A63" w:rsidRPr="008E74AA">
        <w:rPr>
          <w:rFonts w:ascii="Verdana" w:eastAsia="Calibri" w:hAnsi="Verdana" w:cs="Verdana"/>
          <w:color w:val="000000"/>
          <w:sz w:val="20"/>
          <w:szCs w:val="20"/>
          <w:lang w:val="es-CR"/>
        </w:rPr>
        <w:t xml:space="preserve">, en relación con la investigación penal en </w:t>
      </w:r>
      <w:r w:rsidR="00FB2472" w:rsidRPr="008E74AA">
        <w:rPr>
          <w:rFonts w:ascii="Verdana" w:eastAsia="Calibri" w:hAnsi="Verdana" w:cs="Verdana"/>
          <w:color w:val="000000"/>
          <w:sz w:val="20"/>
          <w:szCs w:val="20"/>
          <w:lang w:val="es-CR"/>
        </w:rPr>
        <w:t>el presente caso</w:t>
      </w:r>
      <w:r w:rsidR="00FB50B7" w:rsidRPr="008E74AA">
        <w:rPr>
          <w:rFonts w:ascii="Verdana" w:hAnsi="Verdana"/>
          <w:sz w:val="20"/>
          <w:szCs w:val="20"/>
          <w:lang w:val="es-CR"/>
        </w:rPr>
        <w:t>.</w:t>
      </w:r>
    </w:p>
    <w:p w14:paraId="3EB20A06" w14:textId="3A9D47F8" w:rsidR="00F743A0" w:rsidRPr="008E74AA" w:rsidRDefault="00F743A0" w:rsidP="00F743A0">
      <w:pPr>
        <w:numPr>
          <w:ilvl w:val="0"/>
          <w:numId w:val="2"/>
        </w:numPr>
        <w:spacing w:before="120" w:after="120"/>
        <w:ind w:left="0" w:firstLine="0"/>
        <w:jc w:val="both"/>
        <w:rPr>
          <w:rFonts w:ascii="Verdana" w:hAnsi="Verdana"/>
          <w:sz w:val="20"/>
          <w:szCs w:val="20"/>
          <w:lang w:val="es-CR"/>
        </w:rPr>
      </w:pPr>
      <w:r w:rsidRPr="008E74AA">
        <w:rPr>
          <w:rFonts w:ascii="Verdana" w:hAnsi="Verdana"/>
          <w:sz w:val="20"/>
          <w:szCs w:val="20"/>
          <w:lang w:val="es-CR"/>
        </w:rPr>
        <w:t>Respecto al “Contexto de riesgo en el que desempeñan sus labores los operadores de justicia en Guatemala”, los representantes señalaron que:</w:t>
      </w:r>
    </w:p>
    <w:p w14:paraId="4F37659D" w14:textId="4F25750E" w:rsidR="00F743A0" w:rsidRPr="008E74AA" w:rsidRDefault="00F743A0" w:rsidP="00F743A0">
      <w:pPr>
        <w:pStyle w:val="Prrafodelista"/>
        <w:numPr>
          <w:ilvl w:val="0"/>
          <w:numId w:val="31"/>
        </w:numPr>
        <w:autoSpaceDE w:val="0"/>
        <w:autoSpaceDN w:val="0"/>
        <w:adjustRightInd w:val="0"/>
        <w:spacing w:before="120" w:after="120"/>
        <w:contextualSpacing w:val="0"/>
        <w:jc w:val="both"/>
        <w:rPr>
          <w:rFonts w:ascii="Verdana" w:eastAsiaTheme="minorHAnsi" w:hAnsi="Verdana" w:cs="Verdana"/>
          <w:color w:val="000000"/>
          <w:sz w:val="20"/>
          <w:szCs w:val="20"/>
          <w:lang w:val="es-CR"/>
        </w:rPr>
      </w:pPr>
      <w:r w:rsidRPr="008E74AA">
        <w:rPr>
          <w:rFonts w:ascii="Verdana" w:eastAsiaTheme="minorHAnsi" w:hAnsi="Verdana" w:cs="Verdana"/>
          <w:color w:val="000000"/>
          <w:sz w:val="20"/>
          <w:szCs w:val="20"/>
          <w:lang w:val="es-CR"/>
        </w:rPr>
        <w:t xml:space="preserve">Los juzgados y tribunales de Mayor Riesgo </w:t>
      </w:r>
      <w:r w:rsidR="0051309A">
        <w:rPr>
          <w:rFonts w:ascii="Verdana" w:eastAsiaTheme="minorHAnsi" w:hAnsi="Verdana" w:cs="Verdana"/>
          <w:color w:val="000000"/>
          <w:sz w:val="20"/>
          <w:szCs w:val="20"/>
          <w:lang w:val="es-CR"/>
        </w:rPr>
        <w:t xml:space="preserve">tienen a cargo </w:t>
      </w:r>
      <w:r w:rsidRPr="008E74AA">
        <w:rPr>
          <w:rFonts w:ascii="Verdana" w:eastAsiaTheme="minorHAnsi" w:hAnsi="Verdana" w:cs="Verdana"/>
          <w:color w:val="000000"/>
          <w:sz w:val="20"/>
          <w:szCs w:val="20"/>
          <w:lang w:val="es-CR"/>
        </w:rPr>
        <w:t>delitos de crimen organizado, delitos de violaciones de derechos humanos, y delitos relacionados a la corrupción</w:t>
      </w:r>
      <w:r w:rsidR="0092627A">
        <w:rPr>
          <w:rFonts w:ascii="Verdana" w:eastAsiaTheme="minorHAnsi" w:hAnsi="Verdana" w:cs="Verdana"/>
          <w:color w:val="000000"/>
          <w:sz w:val="20"/>
          <w:szCs w:val="20"/>
          <w:lang w:val="es-CR"/>
        </w:rPr>
        <w:t xml:space="preserve">, cuyos </w:t>
      </w:r>
      <w:r w:rsidRPr="008E74AA">
        <w:rPr>
          <w:rFonts w:ascii="Verdana" w:eastAsiaTheme="minorHAnsi" w:hAnsi="Verdana" w:cs="Verdana"/>
          <w:color w:val="000000"/>
          <w:sz w:val="20"/>
          <w:szCs w:val="20"/>
          <w:lang w:val="es-CR"/>
        </w:rPr>
        <w:t xml:space="preserve">casos </w:t>
      </w:r>
      <w:r w:rsidR="0092627A">
        <w:rPr>
          <w:rFonts w:ascii="Verdana" w:eastAsiaTheme="minorHAnsi" w:hAnsi="Verdana" w:cs="Verdana"/>
          <w:color w:val="000000"/>
          <w:sz w:val="20"/>
          <w:szCs w:val="20"/>
          <w:lang w:val="es-CR"/>
        </w:rPr>
        <w:t>“</w:t>
      </w:r>
      <w:r w:rsidRPr="008E74AA">
        <w:rPr>
          <w:rFonts w:ascii="Verdana" w:eastAsiaTheme="minorHAnsi" w:hAnsi="Verdana" w:cs="Verdana"/>
          <w:color w:val="000000"/>
          <w:sz w:val="20"/>
          <w:szCs w:val="20"/>
          <w:lang w:val="es-CR"/>
        </w:rPr>
        <w:t>involucran a funcionarios públicos en todas las esferas y grupos criminales organizados”, y “han fallado casos emblemáticos”</w:t>
      </w:r>
      <w:r w:rsidR="00A0024B" w:rsidRPr="008E74AA">
        <w:rPr>
          <w:rFonts w:ascii="Verdana" w:eastAsiaTheme="minorHAnsi" w:hAnsi="Verdana" w:cs="Verdana"/>
          <w:color w:val="000000"/>
          <w:sz w:val="20"/>
          <w:szCs w:val="20"/>
          <w:lang w:val="es-CR"/>
        </w:rPr>
        <w:t>.</w:t>
      </w:r>
    </w:p>
    <w:p w14:paraId="5325E2FD" w14:textId="65EA7BB5" w:rsidR="009F7EE1" w:rsidRPr="00650B08" w:rsidRDefault="00F743A0" w:rsidP="003861DD">
      <w:pPr>
        <w:pStyle w:val="Prrafodelista"/>
        <w:numPr>
          <w:ilvl w:val="0"/>
          <w:numId w:val="31"/>
        </w:numPr>
        <w:autoSpaceDE w:val="0"/>
        <w:autoSpaceDN w:val="0"/>
        <w:adjustRightInd w:val="0"/>
        <w:spacing w:before="120" w:after="120"/>
        <w:contextualSpacing w:val="0"/>
        <w:jc w:val="both"/>
        <w:rPr>
          <w:rFonts w:ascii="Verdana" w:eastAsiaTheme="minorHAnsi" w:hAnsi="Verdana" w:cs="Verdana"/>
          <w:color w:val="000000"/>
          <w:sz w:val="18"/>
          <w:szCs w:val="18"/>
          <w:lang w:val="es-CR"/>
        </w:rPr>
      </w:pPr>
      <w:r w:rsidRPr="008E74AA">
        <w:rPr>
          <w:rFonts w:ascii="Verdana" w:eastAsiaTheme="minorHAnsi" w:hAnsi="Verdana" w:cs="Verdana"/>
          <w:color w:val="000000"/>
          <w:sz w:val="20"/>
          <w:szCs w:val="20"/>
          <w:lang w:val="es-CR"/>
        </w:rPr>
        <w:t xml:space="preserve">En Guatemala “sigue existiendo un contexto de riesgo constante para los operadores de justicia, incluyendo fiscales, magistrados, magistradas, </w:t>
      </w:r>
      <w:proofErr w:type="gramStart"/>
      <w:r w:rsidRPr="008E74AA">
        <w:rPr>
          <w:rFonts w:ascii="Verdana" w:eastAsiaTheme="minorHAnsi" w:hAnsi="Verdana" w:cs="Verdana"/>
          <w:color w:val="000000"/>
          <w:sz w:val="20"/>
          <w:szCs w:val="20"/>
          <w:lang w:val="es-CR"/>
        </w:rPr>
        <w:t>jueces y juezas</w:t>
      </w:r>
      <w:proofErr w:type="gramEnd"/>
      <w:r w:rsidRPr="008E74AA">
        <w:rPr>
          <w:rFonts w:ascii="Verdana" w:eastAsiaTheme="minorHAnsi" w:hAnsi="Verdana" w:cs="Verdana"/>
          <w:color w:val="000000"/>
          <w:sz w:val="20"/>
          <w:szCs w:val="20"/>
          <w:lang w:val="es-CR"/>
        </w:rPr>
        <w:t xml:space="preserve">, que ven amenazadas sus vidas, se ven expuestos a procesos de criminalización y en algunos casos se han visto obligados a salir del país por el solo hecho de cumplir con sus funciones”. </w:t>
      </w:r>
      <w:bookmarkStart w:id="3" w:name="_Hlk106183370"/>
      <w:r w:rsidRPr="008E74AA">
        <w:rPr>
          <w:rFonts w:ascii="Verdana" w:eastAsiaTheme="minorHAnsi" w:hAnsi="Verdana" w:cs="Verdana"/>
          <w:color w:val="000000"/>
          <w:sz w:val="20"/>
          <w:szCs w:val="20"/>
          <w:lang w:val="es-CR"/>
        </w:rPr>
        <w:t>En agosto de 20</w:t>
      </w:r>
      <w:r w:rsidR="00363825" w:rsidRPr="008E74AA">
        <w:rPr>
          <w:rFonts w:ascii="Verdana" w:eastAsiaTheme="minorHAnsi" w:hAnsi="Verdana" w:cs="Verdana"/>
          <w:color w:val="000000"/>
          <w:sz w:val="20"/>
          <w:szCs w:val="20"/>
          <w:lang w:val="es-CR"/>
        </w:rPr>
        <w:t>21</w:t>
      </w:r>
      <w:r w:rsidRPr="008E74AA">
        <w:rPr>
          <w:rFonts w:ascii="Verdana" w:eastAsiaTheme="minorHAnsi" w:hAnsi="Verdana" w:cs="Verdana"/>
          <w:color w:val="000000"/>
          <w:sz w:val="20"/>
          <w:szCs w:val="20"/>
          <w:lang w:val="es-CR"/>
        </w:rPr>
        <w:t>, la C</w:t>
      </w:r>
      <w:r w:rsidR="00430E8D" w:rsidRPr="008E74AA">
        <w:rPr>
          <w:rFonts w:ascii="Verdana" w:eastAsiaTheme="minorHAnsi" w:hAnsi="Verdana" w:cs="Verdana"/>
          <w:color w:val="000000"/>
          <w:sz w:val="20"/>
          <w:szCs w:val="20"/>
          <w:lang w:val="es-CR"/>
        </w:rPr>
        <w:t xml:space="preserve">omisión Interamericana </w:t>
      </w:r>
      <w:r w:rsidRPr="008E74AA">
        <w:rPr>
          <w:rFonts w:ascii="Verdana" w:eastAsiaTheme="minorHAnsi" w:hAnsi="Verdana" w:cs="Verdana"/>
          <w:color w:val="000000"/>
          <w:sz w:val="20"/>
          <w:szCs w:val="20"/>
          <w:lang w:val="es-CR"/>
        </w:rPr>
        <w:t xml:space="preserve">“destacó su preocupación </w:t>
      </w:r>
      <w:r w:rsidR="00707813" w:rsidRPr="008E74AA">
        <w:rPr>
          <w:rFonts w:ascii="Verdana" w:eastAsiaTheme="minorHAnsi" w:hAnsi="Verdana" w:cs="Verdana"/>
          <w:color w:val="000000"/>
          <w:sz w:val="20"/>
          <w:szCs w:val="20"/>
          <w:lang w:val="es-CR"/>
        </w:rPr>
        <w:t>[…]</w:t>
      </w:r>
      <w:r w:rsidRPr="008E74AA">
        <w:rPr>
          <w:rFonts w:ascii="Verdana" w:eastAsiaTheme="minorHAnsi" w:hAnsi="Verdana" w:cs="Verdana"/>
          <w:color w:val="000000"/>
          <w:sz w:val="20"/>
          <w:szCs w:val="20"/>
          <w:lang w:val="es-CR"/>
        </w:rPr>
        <w:t xml:space="preserve"> por la criminalización</w:t>
      </w:r>
      <w:r w:rsidR="009F7EE1">
        <w:rPr>
          <w:rFonts w:ascii="Verdana" w:eastAsiaTheme="minorHAnsi" w:hAnsi="Verdana" w:cs="Verdana"/>
          <w:color w:val="000000"/>
          <w:sz w:val="20"/>
          <w:szCs w:val="20"/>
          <w:lang w:val="es-CR"/>
        </w:rPr>
        <w:t>”</w:t>
      </w:r>
      <w:r w:rsidRPr="008E74AA">
        <w:rPr>
          <w:rFonts w:ascii="Verdana" w:eastAsiaTheme="minorHAnsi" w:hAnsi="Verdana" w:cs="Verdana"/>
          <w:color w:val="000000"/>
          <w:sz w:val="20"/>
          <w:szCs w:val="20"/>
          <w:lang w:val="es-CR"/>
        </w:rPr>
        <w:t xml:space="preserve"> de </w:t>
      </w:r>
      <w:r w:rsidR="009F7EE1" w:rsidRPr="008E74AA">
        <w:rPr>
          <w:rFonts w:ascii="Verdana" w:eastAsiaTheme="minorHAnsi" w:hAnsi="Verdana" w:cs="Verdana"/>
          <w:color w:val="000000"/>
          <w:sz w:val="20"/>
          <w:szCs w:val="20"/>
          <w:lang w:val="es-CR"/>
        </w:rPr>
        <w:t xml:space="preserve">cuatro jueces de Mayor Riesgo, entre ellos el </w:t>
      </w:r>
      <w:r w:rsidR="00135E48">
        <w:rPr>
          <w:rFonts w:ascii="Verdana" w:eastAsiaTheme="minorHAnsi" w:hAnsi="Verdana" w:cs="Verdana"/>
          <w:color w:val="000000"/>
          <w:sz w:val="20"/>
          <w:szCs w:val="20"/>
          <w:lang w:val="es-CR"/>
        </w:rPr>
        <w:t>j</w:t>
      </w:r>
      <w:r w:rsidR="009F7EE1" w:rsidRPr="008E74AA">
        <w:rPr>
          <w:rFonts w:ascii="Verdana" w:eastAsiaTheme="minorHAnsi" w:hAnsi="Verdana" w:cs="Verdana"/>
          <w:color w:val="000000"/>
          <w:sz w:val="20"/>
          <w:szCs w:val="20"/>
          <w:lang w:val="es-CR"/>
        </w:rPr>
        <w:t>uez Miguel Ángel Gálvez Aguilar</w:t>
      </w:r>
      <w:r w:rsidRPr="008E74AA">
        <w:rPr>
          <w:rFonts w:ascii="Verdana" w:eastAsiaTheme="minorHAnsi" w:hAnsi="Verdana" w:cs="Verdana"/>
          <w:color w:val="000000"/>
          <w:sz w:val="20"/>
          <w:szCs w:val="20"/>
          <w:lang w:val="es-CR"/>
        </w:rPr>
        <w:t xml:space="preserve">, </w:t>
      </w:r>
      <w:r w:rsidR="00E35AAE" w:rsidRPr="008E74AA">
        <w:rPr>
          <w:rFonts w:ascii="Verdana" w:eastAsiaTheme="minorHAnsi" w:hAnsi="Verdana" w:cs="Verdana"/>
          <w:color w:val="000000"/>
          <w:sz w:val="20"/>
          <w:szCs w:val="20"/>
          <w:lang w:val="es-CR"/>
        </w:rPr>
        <w:t>“</w:t>
      </w:r>
      <w:r w:rsidRPr="008E74AA">
        <w:rPr>
          <w:rFonts w:ascii="Verdana" w:eastAsiaTheme="minorHAnsi" w:hAnsi="Verdana" w:cs="Verdana"/>
          <w:color w:val="000000"/>
          <w:sz w:val="20"/>
          <w:szCs w:val="20"/>
          <w:lang w:val="es-CR"/>
        </w:rPr>
        <w:t>todos beneficiarios de medidas cautelares”, y señaló que “estas acciones buscan retroceder los logros conseguidos en contra de la corrupción y la impunidad”</w:t>
      </w:r>
      <w:bookmarkEnd w:id="3"/>
      <w:r w:rsidRPr="008E74AA">
        <w:rPr>
          <w:rStyle w:val="Refdenotaalpie"/>
          <w:rFonts w:eastAsiaTheme="minorHAnsi" w:cs="Verdana"/>
          <w:color w:val="000000"/>
          <w:sz w:val="20"/>
          <w:szCs w:val="20"/>
          <w:lang w:val="es-CR"/>
        </w:rPr>
        <w:footnoteReference w:id="5"/>
      </w:r>
      <w:r w:rsidRPr="008E74AA">
        <w:rPr>
          <w:rFonts w:ascii="Verdana" w:eastAsiaTheme="minorHAnsi" w:hAnsi="Verdana" w:cs="Verdana"/>
          <w:color w:val="000000"/>
          <w:sz w:val="20"/>
          <w:szCs w:val="20"/>
          <w:lang w:val="es-CR"/>
        </w:rPr>
        <w:t>.</w:t>
      </w:r>
    </w:p>
    <w:p w14:paraId="539D0E8D" w14:textId="2C743C14" w:rsidR="00F743A0" w:rsidRPr="008E74AA" w:rsidRDefault="008957AE" w:rsidP="004B7778">
      <w:pPr>
        <w:pStyle w:val="Prrafodelista"/>
        <w:numPr>
          <w:ilvl w:val="0"/>
          <w:numId w:val="31"/>
        </w:numPr>
        <w:autoSpaceDE w:val="0"/>
        <w:autoSpaceDN w:val="0"/>
        <w:adjustRightInd w:val="0"/>
        <w:spacing w:before="120" w:after="120"/>
        <w:contextualSpacing w:val="0"/>
        <w:jc w:val="both"/>
        <w:rPr>
          <w:rFonts w:ascii="Verdana" w:eastAsiaTheme="minorHAnsi" w:hAnsi="Verdana" w:cs="Verdana"/>
          <w:color w:val="000000"/>
          <w:sz w:val="20"/>
          <w:szCs w:val="20"/>
          <w:lang w:val="es-CR"/>
        </w:rPr>
      </w:pPr>
      <w:r w:rsidRPr="008E74AA">
        <w:rPr>
          <w:rFonts w:ascii="Verdana" w:eastAsiaTheme="minorHAnsi" w:hAnsi="Verdana" w:cs="Verdana"/>
          <w:color w:val="000000"/>
          <w:sz w:val="20"/>
          <w:szCs w:val="20"/>
          <w:lang w:val="es-CR"/>
        </w:rPr>
        <w:t>A</w:t>
      </w:r>
      <w:r w:rsidR="00F743A0" w:rsidRPr="008E74AA">
        <w:rPr>
          <w:rFonts w:ascii="Verdana" w:eastAsiaTheme="minorHAnsi" w:hAnsi="Verdana" w:cs="Verdana"/>
          <w:color w:val="000000"/>
          <w:sz w:val="20"/>
          <w:szCs w:val="20"/>
          <w:lang w:val="es-CR"/>
        </w:rPr>
        <w:t>l menos 15 operadores de justicia</w:t>
      </w:r>
      <w:r w:rsidR="001F336F" w:rsidRPr="008E74AA">
        <w:rPr>
          <w:rFonts w:ascii="Verdana" w:eastAsiaTheme="minorHAnsi" w:hAnsi="Verdana" w:cs="Verdana"/>
          <w:color w:val="000000"/>
          <w:sz w:val="20"/>
          <w:szCs w:val="20"/>
          <w:lang w:val="es-CR"/>
        </w:rPr>
        <w:t xml:space="preserve">, </w:t>
      </w:r>
      <w:r w:rsidR="00152D41" w:rsidRPr="008E74AA">
        <w:rPr>
          <w:rFonts w:ascii="Verdana" w:eastAsiaTheme="minorHAnsi" w:hAnsi="Verdana" w:cs="Verdana"/>
          <w:color w:val="000000"/>
          <w:sz w:val="20"/>
          <w:szCs w:val="20"/>
          <w:lang w:val="es-CR"/>
        </w:rPr>
        <w:t>entre</w:t>
      </w:r>
      <w:r w:rsidR="004B7778" w:rsidRPr="008E74AA">
        <w:rPr>
          <w:rFonts w:ascii="Verdana" w:eastAsiaTheme="minorHAnsi" w:hAnsi="Verdana" w:cs="Verdana"/>
          <w:color w:val="000000"/>
          <w:sz w:val="20"/>
          <w:szCs w:val="20"/>
          <w:lang w:val="es-CR"/>
        </w:rPr>
        <w:t xml:space="preserve"> jueces y fiscales</w:t>
      </w:r>
      <w:r w:rsidR="001F336F" w:rsidRPr="008E74AA">
        <w:rPr>
          <w:rFonts w:ascii="Verdana" w:eastAsiaTheme="minorHAnsi" w:hAnsi="Verdana" w:cs="Verdana"/>
          <w:color w:val="000000"/>
          <w:sz w:val="20"/>
          <w:szCs w:val="20"/>
          <w:lang w:val="es-CR"/>
        </w:rPr>
        <w:t>,</w:t>
      </w:r>
      <w:r w:rsidR="00F743A0" w:rsidRPr="008E74AA">
        <w:rPr>
          <w:rFonts w:ascii="Verdana" w:eastAsiaTheme="minorHAnsi" w:hAnsi="Verdana" w:cs="Verdana"/>
          <w:color w:val="000000"/>
          <w:sz w:val="20"/>
          <w:szCs w:val="20"/>
          <w:lang w:val="es-CR"/>
        </w:rPr>
        <w:t xml:space="preserve"> </w:t>
      </w:r>
      <w:r w:rsidR="001F336F" w:rsidRPr="008E74AA">
        <w:rPr>
          <w:rFonts w:ascii="Verdana" w:eastAsiaTheme="minorHAnsi" w:hAnsi="Verdana" w:cs="Verdana"/>
          <w:color w:val="000000"/>
          <w:sz w:val="20"/>
          <w:szCs w:val="20"/>
          <w:lang w:val="es-CR"/>
        </w:rPr>
        <w:t>“</w:t>
      </w:r>
      <w:r w:rsidR="00F743A0" w:rsidRPr="008E74AA">
        <w:rPr>
          <w:rFonts w:ascii="Verdana" w:eastAsiaTheme="minorHAnsi" w:hAnsi="Verdana" w:cs="Verdana"/>
          <w:color w:val="000000"/>
          <w:sz w:val="20"/>
          <w:szCs w:val="20"/>
          <w:lang w:val="es-CR"/>
        </w:rPr>
        <w:t>han salido de Guatemala y se han exiliado por temor a ser denunciados o encarcelados</w:t>
      </w:r>
      <w:r w:rsidR="004B7778" w:rsidRPr="008E74AA">
        <w:rPr>
          <w:rFonts w:ascii="Verdana" w:eastAsiaTheme="minorHAnsi" w:hAnsi="Verdana" w:cs="Verdana"/>
          <w:color w:val="000000"/>
          <w:sz w:val="20"/>
          <w:szCs w:val="20"/>
          <w:lang w:val="es-CR"/>
        </w:rPr>
        <w:t>”</w:t>
      </w:r>
      <w:r w:rsidR="00F743A0" w:rsidRPr="008E74AA">
        <w:rPr>
          <w:rFonts w:ascii="Verdana" w:eastAsiaTheme="minorHAnsi" w:hAnsi="Verdana" w:cs="Verdana"/>
          <w:color w:val="000000"/>
          <w:sz w:val="20"/>
          <w:szCs w:val="20"/>
          <w:lang w:val="es-CR"/>
        </w:rPr>
        <w:t xml:space="preserve">. </w:t>
      </w:r>
      <w:r w:rsidR="004B7778" w:rsidRPr="008E74AA">
        <w:rPr>
          <w:rFonts w:ascii="Verdana" w:eastAsiaTheme="minorHAnsi" w:hAnsi="Verdana" w:cs="Verdana"/>
          <w:color w:val="000000"/>
          <w:sz w:val="20"/>
          <w:szCs w:val="20"/>
          <w:lang w:val="es-CR"/>
        </w:rPr>
        <w:t>E</w:t>
      </w:r>
      <w:r w:rsidR="00F743A0" w:rsidRPr="008E74AA">
        <w:rPr>
          <w:rFonts w:ascii="Verdana" w:eastAsiaTheme="minorHAnsi" w:hAnsi="Verdana" w:cs="Verdana"/>
          <w:color w:val="000000"/>
          <w:sz w:val="20"/>
          <w:szCs w:val="20"/>
          <w:lang w:val="es-CR"/>
        </w:rPr>
        <w:t xml:space="preserve">n febrero de 2022 siete fiscales de la Fiscalía Especial Contra la Impunidad fueron objeto de actos de persecución penal arbitraria y se solicitó orden de aprehensión </w:t>
      </w:r>
      <w:r w:rsidR="001F336F" w:rsidRPr="008E74AA">
        <w:rPr>
          <w:rFonts w:ascii="Verdana" w:eastAsiaTheme="minorHAnsi" w:hAnsi="Verdana" w:cs="Verdana"/>
          <w:color w:val="000000"/>
          <w:sz w:val="20"/>
          <w:szCs w:val="20"/>
          <w:lang w:val="es-CR"/>
        </w:rPr>
        <w:t xml:space="preserve">en </w:t>
      </w:r>
      <w:r w:rsidR="00F743A0" w:rsidRPr="008E74AA">
        <w:rPr>
          <w:rFonts w:ascii="Verdana" w:eastAsiaTheme="minorHAnsi" w:hAnsi="Verdana" w:cs="Verdana"/>
          <w:color w:val="000000"/>
          <w:sz w:val="20"/>
          <w:szCs w:val="20"/>
          <w:lang w:val="es-CR"/>
        </w:rPr>
        <w:t xml:space="preserve">contra </w:t>
      </w:r>
      <w:r w:rsidR="001F336F" w:rsidRPr="008E74AA">
        <w:rPr>
          <w:rFonts w:ascii="Verdana" w:eastAsiaTheme="minorHAnsi" w:hAnsi="Verdana" w:cs="Verdana"/>
          <w:color w:val="000000"/>
          <w:sz w:val="20"/>
          <w:szCs w:val="20"/>
          <w:lang w:val="es-CR"/>
        </w:rPr>
        <w:t xml:space="preserve">de </w:t>
      </w:r>
      <w:r w:rsidR="00F743A0" w:rsidRPr="008E74AA">
        <w:rPr>
          <w:rFonts w:ascii="Verdana" w:eastAsiaTheme="minorHAnsi" w:hAnsi="Verdana" w:cs="Verdana"/>
          <w:color w:val="000000"/>
          <w:sz w:val="20"/>
          <w:szCs w:val="20"/>
          <w:lang w:val="es-CR"/>
        </w:rPr>
        <w:t xml:space="preserve">exfiscales y exmiembros de </w:t>
      </w:r>
      <w:r w:rsidR="001F336F" w:rsidRPr="008E74AA">
        <w:rPr>
          <w:rFonts w:ascii="Verdana" w:eastAsiaTheme="minorHAnsi" w:hAnsi="Verdana" w:cs="Verdana"/>
          <w:color w:val="000000"/>
          <w:sz w:val="20"/>
          <w:szCs w:val="20"/>
          <w:lang w:val="es-CR"/>
        </w:rPr>
        <w:t xml:space="preserve">la </w:t>
      </w:r>
      <w:r w:rsidR="004B7778" w:rsidRPr="008E74AA">
        <w:rPr>
          <w:rFonts w:ascii="Verdana" w:eastAsiaTheme="minorHAnsi" w:hAnsi="Verdana" w:cs="Verdana"/>
          <w:color w:val="000000"/>
          <w:sz w:val="20"/>
          <w:szCs w:val="20"/>
          <w:lang w:val="es-CR"/>
        </w:rPr>
        <w:t>Comisión Internacional contra la Impunidad en Guatemala</w:t>
      </w:r>
      <w:r w:rsidR="001F336F" w:rsidRPr="008E74AA">
        <w:rPr>
          <w:rFonts w:ascii="Verdana" w:eastAsiaTheme="minorHAnsi" w:hAnsi="Verdana" w:cs="Verdana"/>
          <w:color w:val="000000"/>
          <w:sz w:val="20"/>
          <w:szCs w:val="20"/>
          <w:lang w:val="es-CR"/>
        </w:rPr>
        <w:t xml:space="preserve"> (CICIG)</w:t>
      </w:r>
      <w:r w:rsidR="00F743A0" w:rsidRPr="008E74AA">
        <w:rPr>
          <w:rFonts w:ascii="Verdana" w:eastAsiaTheme="minorHAnsi" w:hAnsi="Verdana" w:cs="Verdana"/>
          <w:color w:val="000000"/>
          <w:sz w:val="20"/>
          <w:szCs w:val="20"/>
          <w:lang w:val="es-CR"/>
        </w:rPr>
        <w:t>.</w:t>
      </w:r>
    </w:p>
    <w:p w14:paraId="4B44176E" w14:textId="3DEE5E55" w:rsidR="00F743A0" w:rsidRPr="008E74AA" w:rsidRDefault="00F743A0" w:rsidP="00D100AB">
      <w:pPr>
        <w:numPr>
          <w:ilvl w:val="0"/>
          <w:numId w:val="2"/>
        </w:numPr>
        <w:spacing w:before="120" w:after="120"/>
        <w:ind w:left="0" w:firstLine="0"/>
        <w:jc w:val="both"/>
        <w:rPr>
          <w:rFonts w:ascii="Verdana" w:eastAsiaTheme="minorHAnsi" w:hAnsi="Verdana" w:cs="Verdana"/>
          <w:color w:val="000000"/>
          <w:sz w:val="20"/>
          <w:szCs w:val="20"/>
          <w:lang w:val="es-CR"/>
        </w:rPr>
      </w:pPr>
      <w:r w:rsidRPr="008E74AA">
        <w:rPr>
          <w:rFonts w:ascii="Verdana" w:eastAsiaTheme="minorHAnsi" w:hAnsi="Verdana" w:cs="Verdana"/>
          <w:color w:val="000000"/>
          <w:sz w:val="20"/>
          <w:szCs w:val="20"/>
          <w:lang w:val="es-CR"/>
        </w:rPr>
        <w:t>En lo que se refiere a los “Hechos que sustentan esta solicitud de medidas provisionales”, los representantes</w:t>
      </w:r>
      <w:r w:rsidR="00A22D16" w:rsidRPr="008E74AA">
        <w:rPr>
          <w:rFonts w:ascii="Verdana" w:eastAsiaTheme="minorHAnsi" w:hAnsi="Verdana" w:cs="Verdana"/>
          <w:color w:val="000000"/>
          <w:sz w:val="20"/>
          <w:szCs w:val="20"/>
          <w:lang w:val="es-CR"/>
        </w:rPr>
        <w:t xml:space="preserve"> </w:t>
      </w:r>
      <w:r w:rsidR="00D100AB" w:rsidRPr="008E74AA">
        <w:rPr>
          <w:rFonts w:ascii="Verdana" w:eastAsiaTheme="minorHAnsi" w:hAnsi="Verdana" w:cs="Verdana"/>
          <w:color w:val="000000"/>
          <w:sz w:val="20"/>
          <w:szCs w:val="20"/>
          <w:lang w:val="es-CR"/>
        </w:rPr>
        <w:t>se refirieron a</w:t>
      </w:r>
      <w:r w:rsidR="00D62A99" w:rsidRPr="008E74AA">
        <w:rPr>
          <w:rFonts w:ascii="Verdana" w:eastAsiaTheme="minorHAnsi" w:hAnsi="Verdana" w:cs="Verdana"/>
          <w:color w:val="000000"/>
          <w:sz w:val="20"/>
          <w:szCs w:val="20"/>
          <w:lang w:val="es-CR"/>
        </w:rPr>
        <w:t>l</w:t>
      </w:r>
      <w:r w:rsidR="00D23621" w:rsidRPr="008E74AA">
        <w:rPr>
          <w:rFonts w:ascii="Verdana" w:eastAsiaTheme="minorHAnsi" w:hAnsi="Verdana" w:cs="Verdana"/>
          <w:color w:val="000000"/>
          <w:sz w:val="20"/>
          <w:szCs w:val="20"/>
          <w:lang w:val="es-CR"/>
        </w:rPr>
        <w:t xml:space="preserve"> proceso penal</w:t>
      </w:r>
      <w:r w:rsidR="005C28FF">
        <w:rPr>
          <w:rFonts w:ascii="Verdana" w:eastAsiaTheme="minorHAnsi" w:hAnsi="Verdana" w:cs="Verdana"/>
          <w:color w:val="000000"/>
          <w:sz w:val="20"/>
          <w:szCs w:val="20"/>
          <w:lang w:val="es-CR"/>
        </w:rPr>
        <w:t xml:space="preserve"> </w:t>
      </w:r>
      <w:r w:rsidR="00D23621" w:rsidRPr="008E74AA">
        <w:rPr>
          <w:rFonts w:ascii="Verdana" w:eastAsiaTheme="minorHAnsi" w:hAnsi="Verdana" w:cs="Verdana"/>
          <w:color w:val="000000"/>
          <w:sz w:val="20"/>
          <w:szCs w:val="20"/>
          <w:lang w:val="es-CR"/>
        </w:rPr>
        <w:t>seguido por los hechos del</w:t>
      </w:r>
      <w:r w:rsidR="005C28FF">
        <w:rPr>
          <w:rFonts w:ascii="Verdana" w:eastAsiaTheme="minorHAnsi" w:hAnsi="Verdana" w:cs="Verdana"/>
          <w:color w:val="000000"/>
          <w:sz w:val="20"/>
          <w:szCs w:val="20"/>
          <w:lang w:val="es-CR"/>
        </w:rPr>
        <w:t xml:space="preserve"> presente</w:t>
      </w:r>
      <w:r w:rsidR="00D23621" w:rsidRPr="008E74AA">
        <w:rPr>
          <w:rFonts w:ascii="Verdana" w:eastAsiaTheme="minorHAnsi" w:hAnsi="Verdana" w:cs="Verdana"/>
          <w:color w:val="000000"/>
          <w:sz w:val="20"/>
          <w:szCs w:val="20"/>
          <w:lang w:val="es-CR"/>
        </w:rPr>
        <w:t xml:space="preserve"> caso </w:t>
      </w:r>
      <w:r w:rsidR="00D62A99" w:rsidRPr="008E74AA">
        <w:rPr>
          <w:rFonts w:ascii="Verdana" w:eastAsiaTheme="minorHAnsi" w:hAnsi="Verdana" w:cs="Verdana"/>
          <w:color w:val="000000"/>
          <w:sz w:val="20"/>
          <w:szCs w:val="20"/>
          <w:lang w:val="es-CR"/>
        </w:rPr>
        <w:t>y</w:t>
      </w:r>
      <w:r w:rsidR="003E575C" w:rsidRPr="008E74AA">
        <w:rPr>
          <w:rFonts w:ascii="Verdana" w:eastAsiaTheme="minorHAnsi" w:hAnsi="Verdana" w:cs="Verdana"/>
          <w:color w:val="000000"/>
          <w:sz w:val="20"/>
          <w:szCs w:val="20"/>
          <w:lang w:val="es-CR"/>
        </w:rPr>
        <w:t xml:space="preserve"> a “recientes hechos de riesgo</w:t>
      </w:r>
      <w:r w:rsidR="003861DD">
        <w:rPr>
          <w:rFonts w:ascii="Verdana" w:eastAsiaTheme="minorHAnsi" w:hAnsi="Verdana" w:cs="Verdana"/>
          <w:color w:val="000000"/>
          <w:sz w:val="20"/>
          <w:szCs w:val="20"/>
          <w:lang w:val="es-CR"/>
        </w:rPr>
        <w:t>”</w:t>
      </w:r>
      <w:r w:rsidR="003E575C" w:rsidRPr="008E74AA">
        <w:rPr>
          <w:rFonts w:ascii="Verdana" w:eastAsiaTheme="minorHAnsi" w:hAnsi="Verdana" w:cs="Verdana"/>
          <w:color w:val="000000"/>
          <w:sz w:val="20"/>
          <w:szCs w:val="20"/>
          <w:lang w:val="es-CR"/>
        </w:rPr>
        <w:t xml:space="preserve"> </w:t>
      </w:r>
      <w:r w:rsidR="001617CC" w:rsidRPr="008E74AA">
        <w:rPr>
          <w:rFonts w:ascii="Verdana" w:eastAsiaTheme="minorHAnsi" w:hAnsi="Verdana" w:cs="Verdana"/>
          <w:color w:val="000000"/>
          <w:sz w:val="20"/>
          <w:szCs w:val="20"/>
          <w:lang w:val="es-CR"/>
        </w:rPr>
        <w:t xml:space="preserve">sufridos por el </w:t>
      </w:r>
      <w:r w:rsidR="007952DF">
        <w:rPr>
          <w:rFonts w:ascii="Verdana" w:eastAsiaTheme="minorHAnsi" w:hAnsi="Verdana" w:cs="Verdana"/>
          <w:color w:val="000000"/>
          <w:sz w:val="20"/>
          <w:szCs w:val="20"/>
          <w:lang w:val="es-CR"/>
        </w:rPr>
        <w:t>j</w:t>
      </w:r>
      <w:r w:rsidR="001617CC" w:rsidRPr="008E74AA">
        <w:rPr>
          <w:rFonts w:ascii="Verdana" w:eastAsiaTheme="minorHAnsi" w:hAnsi="Verdana" w:cs="Verdana"/>
          <w:color w:val="000000"/>
          <w:sz w:val="20"/>
          <w:szCs w:val="20"/>
          <w:lang w:val="es-CR"/>
        </w:rPr>
        <w:t xml:space="preserve">uez Miguel Ángel Gálvez </w:t>
      </w:r>
      <w:r w:rsidR="003861DD">
        <w:rPr>
          <w:rFonts w:ascii="Verdana" w:eastAsiaTheme="minorHAnsi" w:hAnsi="Verdana" w:cs="Verdana"/>
          <w:color w:val="000000"/>
          <w:sz w:val="20"/>
          <w:szCs w:val="20"/>
          <w:lang w:val="es-CR"/>
        </w:rPr>
        <w:t>“</w:t>
      </w:r>
      <w:r w:rsidR="003E575C" w:rsidRPr="008E74AA">
        <w:rPr>
          <w:rFonts w:ascii="Verdana" w:eastAsiaTheme="minorHAnsi" w:hAnsi="Verdana" w:cs="Verdana"/>
          <w:color w:val="000000"/>
          <w:sz w:val="20"/>
          <w:szCs w:val="20"/>
          <w:lang w:val="es-CR"/>
        </w:rPr>
        <w:t>que justifican la adopción de medidas provisionales”</w:t>
      </w:r>
      <w:r w:rsidR="00D100AB" w:rsidRPr="008E74AA">
        <w:rPr>
          <w:rFonts w:ascii="Verdana" w:eastAsiaTheme="minorHAnsi" w:hAnsi="Verdana" w:cs="Verdana"/>
          <w:color w:val="000000"/>
          <w:sz w:val="20"/>
          <w:szCs w:val="20"/>
          <w:lang w:val="es-CR"/>
        </w:rPr>
        <w:t xml:space="preserve">. </w:t>
      </w:r>
      <w:r w:rsidR="00135E48">
        <w:rPr>
          <w:rFonts w:ascii="Verdana" w:eastAsiaTheme="minorHAnsi" w:hAnsi="Verdana" w:cs="Verdana"/>
          <w:color w:val="000000"/>
          <w:sz w:val="20"/>
          <w:szCs w:val="20"/>
          <w:lang w:val="es-CR"/>
        </w:rPr>
        <w:t>Indicaron que t</w:t>
      </w:r>
      <w:r w:rsidR="003E575C" w:rsidRPr="008E74AA">
        <w:rPr>
          <w:rFonts w:ascii="Verdana" w:eastAsiaTheme="minorHAnsi" w:hAnsi="Verdana" w:cs="Verdana"/>
          <w:color w:val="000000"/>
          <w:sz w:val="20"/>
          <w:szCs w:val="20"/>
          <w:lang w:val="es-CR"/>
        </w:rPr>
        <w:t>ales</w:t>
      </w:r>
      <w:r w:rsidR="00D100AB" w:rsidRPr="008E74AA">
        <w:rPr>
          <w:rFonts w:ascii="Verdana" w:eastAsiaTheme="minorHAnsi" w:hAnsi="Verdana" w:cs="Verdana"/>
          <w:color w:val="000000"/>
          <w:sz w:val="20"/>
          <w:szCs w:val="20"/>
          <w:lang w:val="es-CR"/>
        </w:rPr>
        <w:t xml:space="preserve"> hechos </w:t>
      </w:r>
      <w:r w:rsidR="00135E48">
        <w:rPr>
          <w:rFonts w:ascii="Verdana" w:eastAsiaTheme="minorHAnsi" w:hAnsi="Verdana" w:cs="Verdana"/>
          <w:color w:val="000000"/>
          <w:sz w:val="20"/>
          <w:szCs w:val="20"/>
          <w:lang w:val="es-CR"/>
        </w:rPr>
        <w:t xml:space="preserve">se refieren a </w:t>
      </w:r>
      <w:r w:rsidR="00D100AB" w:rsidRPr="008E74AA">
        <w:rPr>
          <w:rFonts w:ascii="Verdana" w:eastAsiaTheme="minorHAnsi" w:hAnsi="Verdana" w:cs="Verdana"/>
          <w:color w:val="000000"/>
          <w:sz w:val="20"/>
          <w:szCs w:val="20"/>
          <w:lang w:val="es-CR"/>
        </w:rPr>
        <w:t>“actos de vigilancia y acoso sistemático</w:t>
      </w:r>
      <w:r w:rsidR="003861DD">
        <w:rPr>
          <w:rFonts w:ascii="Verdana" w:eastAsiaTheme="minorHAnsi" w:hAnsi="Verdana" w:cs="Verdana"/>
          <w:color w:val="000000"/>
          <w:sz w:val="20"/>
          <w:szCs w:val="20"/>
          <w:lang w:val="es-CR"/>
        </w:rPr>
        <w:t>”</w:t>
      </w:r>
      <w:r w:rsidR="00D100AB" w:rsidRPr="008E74AA">
        <w:rPr>
          <w:rFonts w:ascii="Verdana" w:eastAsiaTheme="minorHAnsi" w:hAnsi="Verdana" w:cs="Verdana"/>
          <w:color w:val="000000"/>
          <w:sz w:val="20"/>
          <w:szCs w:val="20"/>
          <w:lang w:val="es-CR"/>
        </w:rPr>
        <w:t xml:space="preserve"> </w:t>
      </w:r>
      <w:r w:rsidR="003861DD">
        <w:rPr>
          <w:rFonts w:ascii="Verdana" w:eastAsiaTheme="minorHAnsi" w:hAnsi="Verdana" w:cs="Verdana"/>
          <w:color w:val="000000"/>
          <w:sz w:val="20"/>
          <w:szCs w:val="20"/>
          <w:lang w:val="es-CR"/>
        </w:rPr>
        <w:t>en</w:t>
      </w:r>
      <w:r w:rsidR="00D100AB" w:rsidRPr="008E74AA">
        <w:rPr>
          <w:rFonts w:ascii="Verdana" w:eastAsiaTheme="minorHAnsi" w:hAnsi="Verdana" w:cs="Verdana"/>
          <w:color w:val="000000"/>
          <w:sz w:val="20"/>
          <w:szCs w:val="20"/>
          <w:lang w:val="es-CR"/>
        </w:rPr>
        <w:t xml:space="preserve"> redes sociales</w:t>
      </w:r>
      <w:r w:rsidR="003100E6">
        <w:rPr>
          <w:rFonts w:ascii="Verdana" w:eastAsiaTheme="minorHAnsi" w:hAnsi="Verdana" w:cs="Verdana"/>
          <w:color w:val="000000"/>
          <w:sz w:val="20"/>
          <w:szCs w:val="20"/>
          <w:lang w:val="es-CR"/>
        </w:rPr>
        <w:t xml:space="preserve">, </w:t>
      </w:r>
      <w:r w:rsidR="00D100AB" w:rsidRPr="008E74AA">
        <w:rPr>
          <w:rFonts w:ascii="Verdana" w:eastAsiaTheme="minorHAnsi" w:hAnsi="Verdana" w:cs="Verdana"/>
          <w:color w:val="000000"/>
          <w:sz w:val="20"/>
          <w:szCs w:val="20"/>
          <w:lang w:val="es-CR"/>
        </w:rPr>
        <w:t xml:space="preserve">denuncias </w:t>
      </w:r>
      <w:r w:rsidR="003100E6">
        <w:rPr>
          <w:rFonts w:ascii="Verdana" w:eastAsiaTheme="minorHAnsi" w:hAnsi="Verdana" w:cs="Verdana"/>
          <w:color w:val="000000"/>
          <w:sz w:val="20"/>
          <w:szCs w:val="20"/>
          <w:lang w:val="es-CR"/>
        </w:rPr>
        <w:t xml:space="preserve">penales </w:t>
      </w:r>
      <w:r w:rsidR="00D100AB" w:rsidRPr="008E74AA">
        <w:rPr>
          <w:rFonts w:ascii="Verdana" w:eastAsiaTheme="minorHAnsi" w:hAnsi="Verdana" w:cs="Verdana"/>
          <w:color w:val="000000"/>
          <w:sz w:val="20"/>
          <w:szCs w:val="20"/>
          <w:lang w:val="es-CR"/>
        </w:rPr>
        <w:t xml:space="preserve">interpuestas en </w:t>
      </w:r>
      <w:r w:rsidR="00D62A99" w:rsidRPr="008E74AA">
        <w:rPr>
          <w:rFonts w:ascii="Verdana" w:eastAsiaTheme="minorHAnsi" w:hAnsi="Verdana" w:cs="Verdana"/>
          <w:color w:val="000000"/>
          <w:sz w:val="20"/>
          <w:szCs w:val="20"/>
          <w:lang w:val="es-CR"/>
        </w:rPr>
        <w:t xml:space="preserve">su </w:t>
      </w:r>
      <w:r w:rsidR="00D100AB" w:rsidRPr="008E74AA">
        <w:rPr>
          <w:rFonts w:ascii="Verdana" w:eastAsiaTheme="minorHAnsi" w:hAnsi="Verdana" w:cs="Verdana"/>
          <w:color w:val="000000"/>
          <w:sz w:val="20"/>
          <w:szCs w:val="20"/>
          <w:lang w:val="es-CR"/>
        </w:rPr>
        <w:t xml:space="preserve">contra </w:t>
      </w:r>
      <w:r w:rsidR="005C28FF">
        <w:rPr>
          <w:rFonts w:ascii="Verdana" w:eastAsiaTheme="minorHAnsi" w:hAnsi="Verdana" w:cs="Verdana"/>
          <w:color w:val="000000"/>
          <w:sz w:val="20"/>
          <w:szCs w:val="20"/>
          <w:lang w:val="es-CR"/>
        </w:rPr>
        <w:t xml:space="preserve">y </w:t>
      </w:r>
      <w:r w:rsidR="003100E6">
        <w:rPr>
          <w:rFonts w:ascii="Verdana" w:eastAsiaTheme="minorHAnsi" w:hAnsi="Verdana" w:cs="Verdana"/>
          <w:color w:val="000000"/>
          <w:sz w:val="20"/>
          <w:szCs w:val="20"/>
          <w:lang w:val="es-CR"/>
        </w:rPr>
        <w:t xml:space="preserve">un </w:t>
      </w:r>
      <w:r w:rsidR="003861DD">
        <w:rPr>
          <w:rFonts w:ascii="Verdana" w:eastAsiaTheme="minorHAnsi" w:hAnsi="Verdana" w:cs="Verdana"/>
          <w:color w:val="000000"/>
          <w:sz w:val="20"/>
          <w:szCs w:val="20"/>
          <w:lang w:val="es-CR"/>
        </w:rPr>
        <w:t>proceso de antejuicio</w:t>
      </w:r>
      <w:r w:rsidR="005C28FF">
        <w:rPr>
          <w:rFonts w:ascii="Verdana" w:eastAsiaTheme="minorHAnsi" w:hAnsi="Verdana" w:cs="Verdana"/>
          <w:color w:val="000000"/>
          <w:sz w:val="20"/>
          <w:szCs w:val="20"/>
          <w:lang w:val="es-CR"/>
        </w:rPr>
        <w:t xml:space="preserve"> seguido en su contra</w:t>
      </w:r>
      <w:r w:rsidR="00135E48">
        <w:rPr>
          <w:rFonts w:ascii="Verdana" w:eastAsiaTheme="minorHAnsi" w:hAnsi="Verdana" w:cs="Verdana"/>
          <w:color w:val="000000"/>
          <w:sz w:val="20"/>
          <w:szCs w:val="20"/>
          <w:lang w:val="es-CR"/>
        </w:rPr>
        <w:t>. Al respecto</w:t>
      </w:r>
      <w:r w:rsidR="003E575C" w:rsidRPr="008E74AA">
        <w:rPr>
          <w:rFonts w:ascii="Verdana" w:eastAsiaTheme="minorHAnsi" w:hAnsi="Verdana" w:cs="Verdana"/>
          <w:color w:val="000000"/>
          <w:sz w:val="20"/>
          <w:szCs w:val="20"/>
          <w:lang w:val="es-CR"/>
        </w:rPr>
        <w:t xml:space="preserve">, </w:t>
      </w:r>
      <w:r w:rsidR="00135E48">
        <w:rPr>
          <w:rFonts w:ascii="Verdana" w:eastAsiaTheme="minorHAnsi" w:hAnsi="Verdana" w:cs="Verdana"/>
          <w:color w:val="000000"/>
          <w:sz w:val="20"/>
          <w:szCs w:val="20"/>
          <w:lang w:val="es-CR"/>
        </w:rPr>
        <w:t xml:space="preserve">indicaron, </w:t>
      </w:r>
      <w:r w:rsidR="00135E48" w:rsidRPr="00135E48">
        <w:rPr>
          <w:rFonts w:ascii="Verdana" w:eastAsiaTheme="minorHAnsi" w:hAnsi="Verdana" w:cs="Verdana"/>
          <w:i/>
          <w:iCs/>
          <w:color w:val="000000"/>
          <w:sz w:val="20"/>
          <w:szCs w:val="20"/>
          <w:lang w:val="es-CR"/>
        </w:rPr>
        <w:t xml:space="preserve">inter </w:t>
      </w:r>
      <w:proofErr w:type="spellStart"/>
      <w:r w:rsidR="00135E48" w:rsidRPr="00135E48">
        <w:rPr>
          <w:rFonts w:ascii="Verdana" w:eastAsiaTheme="minorHAnsi" w:hAnsi="Verdana" w:cs="Verdana"/>
          <w:i/>
          <w:iCs/>
          <w:color w:val="000000"/>
          <w:sz w:val="20"/>
          <w:szCs w:val="20"/>
          <w:lang w:val="es-CR"/>
        </w:rPr>
        <w:t>alia</w:t>
      </w:r>
      <w:proofErr w:type="spellEnd"/>
      <w:r w:rsidR="00D100AB" w:rsidRPr="008E74AA">
        <w:rPr>
          <w:rFonts w:ascii="Verdana" w:eastAsiaTheme="minorHAnsi" w:hAnsi="Verdana" w:cs="Verdana"/>
          <w:color w:val="000000"/>
          <w:sz w:val="20"/>
          <w:szCs w:val="20"/>
          <w:lang w:val="es-CR"/>
        </w:rPr>
        <w:t>:</w:t>
      </w:r>
    </w:p>
    <w:p w14:paraId="118F1237" w14:textId="6C051BBD" w:rsidR="00650E69" w:rsidRPr="00555310" w:rsidRDefault="00EB25F2" w:rsidP="00555310">
      <w:pPr>
        <w:pStyle w:val="Prrafodelista"/>
        <w:numPr>
          <w:ilvl w:val="0"/>
          <w:numId w:val="33"/>
        </w:numPr>
        <w:autoSpaceDE w:val="0"/>
        <w:autoSpaceDN w:val="0"/>
        <w:adjustRightInd w:val="0"/>
        <w:spacing w:before="120" w:after="120"/>
        <w:ind w:left="714" w:hanging="357"/>
        <w:contextualSpacing w:val="0"/>
        <w:jc w:val="both"/>
        <w:rPr>
          <w:rFonts w:ascii="Verdana" w:eastAsiaTheme="minorHAnsi" w:hAnsi="Verdana" w:cs="Verdana"/>
          <w:color w:val="000000"/>
          <w:sz w:val="20"/>
          <w:szCs w:val="20"/>
          <w:lang w:val="es-CR"/>
        </w:rPr>
      </w:pPr>
      <w:r>
        <w:rPr>
          <w:rFonts w:ascii="Verdana" w:eastAsiaTheme="minorHAnsi" w:hAnsi="Verdana" w:cs="Verdana"/>
          <w:color w:val="000000"/>
          <w:sz w:val="20"/>
          <w:szCs w:val="20"/>
          <w:lang w:val="es-CR"/>
        </w:rPr>
        <w:t>Respecto del</w:t>
      </w:r>
      <w:r w:rsidR="00F743A0" w:rsidRPr="008E74AA">
        <w:rPr>
          <w:rFonts w:ascii="Verdana" w:eastAsiaTheme="minorHAnsi" w:hAnsi="Verdana" w:cs="Verdana"/>
          <w:color w:val="000000"/>
          <w:sz w:val="20"/>
          <w:szCs w:val="20"/>
          <w:lang w:val="es-CR"/>
        </w:rPr>
        <w:t xml:space="preserve"> proceso penal</w:t>
      </w:r>
      <w:r>
        <w:rPr>
          <w:rFonts w:ascii="Verdana" w:eastAsiaTheme="minorHAnsi" w:hAnsi="Verdana" w:cs="Verdana"/>
          <w:color w:val="000000"/>
          <w:sz w:val="20"/>
          <w:szCs w:val="20"/>
          <w:lang w:val="es-CR"/>
        </w:rPr>
        <w:t xml:space="preserve">: </w:t>
      </w:r>
      <w:r w:rsidR="00F743A0" w:rsidRPr="008E74AA">
        <w:rPr>
          <w:rFonts w:ascii="Verdana" w:eastAsiaTheme="minorHAnsi" w:hAnsi="Verdana" w:cs="Verdana"/>
          <w:color w:val="000000"/>
          <w:sz w:val="20"/>
          <w:szCs w:val="20"/>
          <w:lang w:val="es-CR"/>
        </w:rPr>
        <w:t xml:space="preserve">el 27 de marzo de 2021 nueve exoficiales militares y policiales fueron detenidos </w:t>
      </w:r>
      <w:r w:rsidR="00FC5AA8" w:rsidRPr="008E74AA">
        <w:rPr>
          <w:rFonts w:ascii="Verdana" w:eastAsiaTheme="minorHAnsi" w:hAnsi="Verdana" w:cs="Verdana"/>
          <w:color w:val="000000"/>
          <w:sz w:val="20"/>
          <w:szCs w:val="20"/>
          <w:lang w:val="es-CR"/>
        </w:rPr>
        <w:t>“</w:t>
      </w:r>
      <w:r w:rsidR="00F743A0" w:rsidRPr="008E74AA">
        <w:rPr>
          <w:rFonts w:ascii="Verdana" w:eastAsiaTheme="minorHAnsi" w:hAnsi="Verdana" w:cs="Verdana"/>
          <w:color w:val="000000"/>
          <w:sz w:val="20"/>
          <w:szCs w:val="20"/>
          <w:lang w:val="es-CR"/>
        </w:rPr>
        <w:t>por su participación en el caso</w:t>
      </w:r>
      <w:r w:rsidR="00CA1B2F" w:rsidRPr="008E74AA">
        <w:rPr>
          <w:rFonts w:ascii="Verdana" w:eastAsiaTheme="minorHAnsi" w:hAnsi="Verdana" w:cs="Verdana"/>
          <w:color w:val="000000"/>
          <w:sz w:val="20"/>
          <w:szCs w:val="20"/>
          <w:lang w:val="es-CR"/>
        </w:rPr>
        <w:t xml:space="preserve">”. </w:t>
      </w:r>
      <w:r w:rsidR="00EB50F0">
        <w:rPr>
          <w:rFonts w:ascii="Verdana" w:eastAsiaTheme="minorHAnsi" w:hAnsi="Verdana" w:cs="Verdana"/>
          <w:color w:val="000000"/>
          <w:sz w:val="20"/>
          <w:szCs w:val="20"/>
          <w:lang w:val="es-CR"/>
        </w:rPr>
        <w:t>A partir de que iniciaron l</w:t>
      </w:r>
      <w:r w:rsidR="00F743A0" w:rsidRPr="008E74AA">
        <w:rPr>
          <w:rFonts w:ascii="Verdana" w:eastAsiaTheme="minorHAnsi" w:hAnsi="Verdana" w:cs="Verdana"/>
          <w:color w:val="000000"/>
          <w:sz w:val="20"/>
          <w:szCs w:val="20"/>
          <w:lang w:val="es-CR"/>
        </w:rPr>
        <w:t>as audiencias de primera declaración el 31 de mayo de 2021</w:t>
      </w:r>
      <w:r w:rsidR="00CA1B2F" w:rsidRPr="008E74AA">
        <w:rPr>
          <w:rFonts w:ascii="Verdana" w:eastAsiaTheme="minorHAnsi" w:hAnsi="Verdana" w:cs="Verdana"/>
          <w:color w:val="000000"/>
          <w:sz w:val="20"/>
          <w:szCs w:val="20"/>
          <w:lang w:val="es-CR"/>
        </w:rPr>
        <w:t>,</w:t>
      </w:r>
      <w:r w:rsidR="00F743A0" w:rsidRPr="008E74AA">
        <w:rPr>
          <w:rFonts w:ascii="Verdana" w:eastAsiaTheme="minorHAnsi" w:hAnsi="Verdana" w:cs="Verdana"/>
          <w:color w:val="000000"/>
          <w:sz w:val="20"/>
          <w:szCs w:val="20"/>
          <w:lang w:val="es-CR"/>
        </w:rPr>
        <w:t xml:space="preserve"> </w:t>
      </w:r>
      <w:r w:rsidR="00CA1B2F" w:rsidRPr="008E74AA">
        <w:rPr>
          <w:rFonts w:ascii="Verdana" w:eastAsiaTheme="minorHAnsi" w:hAnsi="Verdana" w:cs="Verdana"/>
          <w:color w:val="000000"/>
          <w:sz w:val="20"/>
          <w:szCs w:val="20"/>
          <w:lang w:val="es-CR"/>
        </w:rPr>
        <w:t>el</w:t>
      </w:r>
      <w:r w:rsidR="00F743A0" w:rsidRPr="008E74AA">
        <w:rPr>
          <w:rFonts w:ascii="Verdana" w:eastAsiaTheme="minorHAnsi" w:hAnsi="Verdana" w:cs="Verdana"/>
          <w:color w:val="000000"/>
          <w:sz w:val="20"/>
          <w:szCs w:val="20"/>
          <w:lang w:val="es-CR"/>
        </w:rPr>
        <w:t xml:space="preserve"> </w:t>
      </w:r>
      <w:r w:rsidR="00EB50F0">
        <w:rPr>
          <w:rFonts w:ascii="Verdana" w:eastAsiaTheme="minorHAnsi" w:hAnsi="Verdana" w:cs="Verdana"/>
          <w:color w:val="000000"/>
          <w:sz w:val="20"/>
          <w:szCs w:val="20"/>
          <w:lang w:val="es-CR"/>
        </w:rPr>
        <w:t>j</w:t>
      </w:r>
      <w:r w:rsidR="00CA1B2F" w:rsidRPr="008E74AA">
        <w:rPr>
          <w:rFonts w:ascii="Verdana" w:eastAsiaTheme="minorHAnsi" w:hAnsi="Verdana" w:cs="Verdana"/>
          <w:color w:val="000000"/>
          <w:sz w:val="20"/>
          <w:szCs w:val="20"/>
          <w:lang w:val="es-CR"/>
        </w:rPr>
        <w:t xml:space="preserve">uez </w:t>
      </w:r>
      <w:r w:rsidR="00CA1B2F" w:rsidRPr="008E74AA">
        <w:rPr>
          <w:rFonts w:ascii="Verdana" w:eastAsiaTheme="minorHAnsi" w:hAnsi="Verdana" w:cs="Verdana"/>
          <w:color w:val="000000"/>
          <w:sz w:val="20"/>
          <w:szCs w:val="20"/>
          <w:lang w:val="es-CR"/>
        </w:rPr>
        <w:lastRenderedPageBreak/>
        <w:t>Ángel Gálvez Aguilar</w:t>
      </w:r>
      <w:r w:rsidR="00E62277">
        <w:rPr>
          <w:rFonts w:ascii="Verdana" w:eastAsiaTheme="minorHAnsi" w:hAnsi="Verdana" w:cs="Verdana"/>
          <w:color w:val="000000"/>
          <w:sz w:val="20"/>
          <w:szCs w:val="20"/>
          <w:lang w:val="es-CR"/>
        </w:rPr>
        <w:t xml:space="preserve"> </w:t>
      </w:r>
      <w:r w:rsidR="00CA1B2F" w:rsidRPr="008E74AA">
        <w:rPr>
          <w:rFonts w:ascii="Verdana" w:eastAsiaTheme="minorHAnsi" w:hAnsi="Verdana" w:cs="Verdana"/>
          <w:color w:val="000000"/>
          <w:sz w:val="20"/>
          <w:szCs w:val="20"/>
          <w:lang w:val="es-CR"/>
        </w:rPr>
        <w:t>“</w:t>
      </w:r>
      <w:r w:rsidR="00F743A0" w:rsidRPr="008E74AA">
        <w:rPr>
          <w:rFonts w:ascii="Verdana" w:eastAsiaTheme="minorHAnsi" w:hAnsi="Verdana" w:cs="Verdana"/>
          <w:color w:val="000000"/>
          <w:sz w:val="20"/>
          <w:szCs w:val="20"/>
          <w:lang w:val="es-CR"/>
        </w:rPr>
        <w:t>empezó a sufrir seguimientos de vehículos sin placas”.</w:t>
      </w:r>
      <w:r w:rsidR="008A3FE3" w:rsidRPr="008A3FE3">
        <w:rPr>
          <w:rFonts w:ascii="Verdana" w:eastAsiaTheme="minorHAnsi" w:hAnsi="Verdana" w:cs="Verdana"/>
          <w:color w:val="000000"/>
          <w:sz w:val="20"/>
          <w:szCs w:val="20"/>
          <w:lang w:val="es-CR"/>
        </w:rPr>
        <w:t xml:space="preserve"> </w:t>
      </w:r>
      <w:r w:rsidR="00F743A0" w:rsidRPr="00E62277">
        <w:rPr>
          <w:rFonts w:ascii="Verdana" w:eastAsiaTheme="minorHAnsi" w:hAnsi="Verdana" w:cs="Verdana"/>
          <w:color w:val="000000"/>
          <w:sz w:val="20"/>
          <w:szCs w:val="20"/>
          <w:lang w:val="es-CR"/>
        </w:rPr>
        <w:t>El 28 de marzo de 2022 inició la etapa intermedia del proceso</w:t>
      </w:r>
      <w:r w:rsidRPr="00E62277">
        <w:rPr>
          <w:rFonts w:ascii="Verdana" w:eastAsiaTheme="minorHAnsi" w:hAnsi="Verdana" w:cs="Verdana"/>
          <w:color w:val="000000"/>
          <w:sz w:val="20"/>
          <w:szCs w:val="20"/>
          <w:lang w:val="es-CR"/>
        </w:rPr>
        <w:t xml:space="preserve"> y l</w:t>
      </w:r>
      <w:r w:rsidR="00F743A0" w:rsidRPr="00E62277">
        <w:rPr>
          <w:rFonts w:ascii="Verdana" w:eastAsiaTheme="minorHAnsi" w:hAnsi="Verdana" w:cs="Verdana"/>
          <w:color w:val="000000"/>
          <w:sz w:val="20"/>
          <w:szCs w:val="20"/>
          <w:lang w:val="es-CR"/>
        </w:rPr>
        <w:t xml:space="preserve">os ataques contra </w:t>
      </w:r>
      <w:r w:rsidR="00B41981" w:rsidRPr="00E62277">
        <w:rPr>
          <w:rFonts w:ascii="Verdana" w:eastAsiaTheme="minorHAnsi" w:hAnsi="Verdana" w:cs="Verdana"/>
          <w:color w:val="000000"/>
          <w:sz w:val="20"/>
          <w:szCs w:val="20"/>
          <w:lang w:val="es-CR"/>
        </w:rPr>
        <w:t xml:space="preserve">el </w:t>
      </w:r>
      <w:r w:rsidRPr="00E62277">
        <w:rPr>
          <w:rFonts w:ascii="Verdana" w:eastAsiaTheme="minorHAnsi" w:hAnsi="Verdana" w:cs="Verdana"/>
          <w:color w:val="000000"/>
          <w:sz w:val="20"/>
          <w:szCs w:val="20"/>
          <w:lang w:val="es-CR"/>
        </w:rPr>
        <w:t>j</w:t>
      </w:r>
      <w:r w:rsidR="00B41981" w:rsidRPr="00E62277">
        <w:rPr>
          <w:rFonts w:ascii="Verdana" w:eastAsiaTheme="minorHAnsi" w:hAnsi="Verdana" w:cs="Verdana"/>
          <w:color w:val="000000"/>
          <w:sz w:val="20"/>
          <w:szCs w:val="20"/>
          <w:lang w:val="es-CR"/>
        </w:rPr>
        <w:t xml:space="preserve">uez Gálvez Aguilar </w:t>
      </w:r>
      <w:r w:rsidR="00F743A0" w:rsidRPr="00E62277">
        <w:rPr>
          <w:rFonts w:ascii="Verdana" w:eastAsiaTheme="minorHAnsi" w:hAnsi="Verdana" w:cs="Verdana"/>
          <w:color w:val="000000"/>
          <w:sz w:val="20"/>
          <w:szCs w:val="20"/>
          <w:lang w:val="es-CR"/>
        </w:rPr>
        <w:t xml:space="preserve">se intensificaron el 6 de mayo de 2022 cuando </w:t>
      </w:r>
      <w:r w:rsidR="00720160" w:rsidRPr="00E62277">
        <w:rPr>
          <w:rFonts w:ascii="Verdana" w:eastAsiaTheme="minorHAnsi" w:hAnsi="Verdana" w:cs="Verdana"/>
          <w:color w:val="000000"/>
          <w:sz w:val="20"/>
          <w:szCs w:val="20"/>
          <w:lang w:val="es-CR"/>
        </w:rPr>
        <w:t>“</w:t>
      </w:r>
      <w:r w:rsidR="00F743A0" w:rsidRPr="00E62277">
        <w:rPr>
          <w:rFonts w:ascii="Verdana" w:eastAsiaTheme="minorHAnsi" w:hAnsi="Verdana" w:cs="Verdana"/>
          <w:color w:val="000000"/>
          <w:sz w:val="20"/>
          <w:szCs w:val="20"/>
          <w:lang w:val="es-CR"/>
        </w:rPr>
        <w:t xml:space="preserve">decidió ligar a proceso a nueve ex altos mandos militares y policiales acusados de crímenes contra la humanidad, desaparición forzada, asesinato y tentativa de asesinato por los hechos del Diario Militar”. En </w:t>
      </w:r>
      <w:r w:rsidR="00720160" w:rsidRPr="00E62277">
        <w:rPr>
          <w:rFonts w:ascii="Verdana" w:eastAsiaTheme="minorHAnsi" w:hAnsi="Verdana" w:cs="Verdana"/>
          <w:color w:val="000000"/>
          <w:sz w:val="20"/>
          <w:szCs w:val="20"/>
          <w:lang w:val="es-CR"/>
        </w:rPr>
        <w:t>su</w:t>
      </w:r>
      <w:r w:rsidR="00F743A0" w:rsidRPr="00E62277">
        <w:rPr>
          <w:rFonts w:ascii="Verdana" w:eastAsiaTheme="minorHAnsi" w:hAnsi="Verdana" w:cs="Verdana"/>
          <w:color w:val="000000"/>
          <w:sz w:val="20"/>
          <w:szCs w:val="20"/>
          <w:lang w:val="es-CR"/>
        </w:rPr>
        <w:t xml:space="preserve"> decisión, </w:t>
      </w:r>
      <w:r w:rsidR="00720160" w:rsidRPr="00E62277">
        <w:rPr>
          <w:rFonts w:ascii="Verdana" w:eastAsiaTheme="minorHAnsi" w:hAnsi="Verdana" w:cs="Verdana"/>
          <w:color w:val="000000"/>
          <w:sz w:val="20"/>
          <w:szCs w:val="20"/>
          <w:lang w:val="es-CR"/>
        </w:rPr>
        <w:t>“</w:t>
      </w:r>
      <w:r w:rsidR="00F743A0" w:rsidRPr="00E62277">
        <w:rPr>
          <w:rFonts w:ascii="Verdana" w:eastAsiaTheme="minorHAnsi" w:hAnsi="Verdana" w:cs="Verdana"/>
          <w:color w:val="000000"/>
          <w:sz w:val="20"/>
          <w:szCs w:val="20"/>
          <w:lang w:val="es-CR"/>
        </w:rPr>
        <w:t>señaló que existió una estructura militar y policial encargada de capturar, torturar y desaparecer a personas consideradas por el gobierno como subversivos”</w:t>
      </w:r>
      <w:r w:rsidR="00720160" w:rsidRPr="00E62277">
        <w:rPr>
          <w:rFonts w:ascii="Verdana" w:eastAsiaTheme="minorHAnsi" w:hAnsi="Verdana" w:cs="Verdana"/>
          <w:color w:val="000000"/>
          <w:sz w:val="20"/>
          <w:szCs w:val="20"/>
          <w:lang w:val="es-CR"/>
        </w:rPr>
        <w:t>, y</w:t>
      </w:r>
      <w:r w:rsidR="00F743A0" w:rsidRPr="00E62277">
        <w:rPr>
          <w:rFonts w:ascii="Verdana" w:eastAsiaTheme="minorHAnsi" w:hAnsi="Verdana" w:cs="Verdana"/>
          <w:color w:val="000000"/>
          <w:sz w:val="20"/>
          <w:szCs w:val="20"/>
          <w:lang w:val="es-CR"/>
        </w:rPr>
        <w:t xml:space="preserve"> aceptó la participación definitiva </w:t>
      </w:r>
      <w:r w:rsidR="00B41981" w:rsidRPr="00E62277">
        <w:rPr>
          <w:rFonts w:ascii="Verdana" w:eastAsiaTheme="minorHAnsi" w:hAnsi="Verdana" w:cs="Verdana"/>
          <w:color w:val="000000"/>
          <w:sz w:val="20"/>
          <w:szCs w:val="20"/>
          <w:lang w:val="es-CR"/>
        </w:rPr>
        <w:t>de los</w:t>
      </w:r>
      <w:r w:rsidR="00720160" w:rsidRPr="00E62277">
        <w:rPr>
          <w:rFonts w:ascii="Verdana" w:eastAsiaTheme="minorHAnsi" w:hAnsi="Verdana" w:cs="Verdana"/>
          <w:color w:val="000000"/>
          <w:sz w:val="20"/>
          <w:szCs w:val="20"/>
          <w:lang w:val="es-CR"/>
        </w:rPr>
        <w:t xml:space="preserve"> </w:t>
      </w:r>
      <w:r w:rsidR="00F743A0" w:rsidRPr="00E62277">
        <w:rPr>
          <w:rFonts w:ascii="Verdana" w:eastAsiaTheme="minorHAnsi" w:hAnsi="Verdana" w:cs="Verdana"/>
          <w:color w:val="000000"/>
          <w:sz w:val="20"/>
          <w:szCs w:val="20"/>
          <w:lang w:val="es-CR"/>
        </w:rPr>
        <w:t>querellantes</w:t>
      </w:r>
      <w:r w:rsidR="00B41981" w:rsidRPr="008E74AA">
        <w:rPr>
          <w:rStyle w:val="Refdenotaalpie"/>
          <w:rFonts w:eastAsiaTheme="minorHAnsi" w:cs="Verdana"/>
          <w:color w:val="000000"/>
          <w:sz w:val="20"/>
          <w:szCs w:val="20"/>
          <w:lang w:val="es-CR"/>
        </w:rPr>
        <w:footnoteReference w:id="6"/>
      </w:r>
      <w:r w:rsidR="00F743A0" w:rsidRPr="00E62277">
        <w:rPr>
          <w:rFonts w:ascii="Verdana" w:eastAsiaTheme="minorHAnsi" w:hAnsi="Verdana" w:cs="Verdana"/>
          <w:color w:val="000000"/>
          <w:sz w:val="20"/>
          <w:szCs w:val="20"/>
          <w:lang w:val="es-CR"/>
        </w:rPr>
        <w:t xml:space="preserve">. A partir de tal decisión, el proceso se trasladó al </w:t>
      </w:r>
      <w:r w:rsidR="00ED282E">
        <w:rPr>
          <w:rFonts w:ascii="Verdana" w:eastAsiaTheme="minorHAnsi" w:hAnsi="Verdana" w:cs="Verdana"/>
          <w:color w:val="000000"/>
          <w:sz w:val="20"/>
          <w:szCs w:val="20"/>
          <w:lang w:val="es-CR"/>
        </w:rPr>
        <w:t>Tribunal</w:t>
      </w:r>
      <w:r w:rsidR="00E62277" w:rsidRPr="00E62277">
        <w:rPr>
          <w:rFonts w:ascii="Verdana" w:eastAsiaTheme="minorHAnsi" w:hAnsi="Verdana" w:cs="Verdana"/>
          <w:color w:val="000000"/>
          <w:sz w:val="20"/>
          <w:szCs w:val="20"/>
          <w:lang w:val="es-CR"/>
        </w:rPr>
        <w:t xml:space="preserve"> </w:t>
      </w:r>
      <w:r w:rsidR="00555310" w:rsidRPr="00555310">
        <w:rPr>
          <w:rFonts w:ascii="Verdana" w:eastAsiaTheme="minorHAnsi" w:hAnsi="Verdana" w:cs="Verdana"/>
          <w:color w:val="000000"/>
          <w:sz w:val="20"/>
          <w:szCs w:val="20"/>
          <w:lang w:val="es-CR"/>
        </w:rPr>
        <w:t>a cargo del juicio oral y público en el caso Diario Militar</w:t>
      </w:r>
      <w:r w:rsidR="00720160" w:rsidRPr="00555310">
        <w:rPr>
          <w:rFonts w:ascii="Verdana" w:eastAsiaTheme="minorHAnsi" w:hAnsi="Verdana" w:cs="Verdana"/>
          <w:color w:val="000000"/>
          <w:sz w:val="20"/>
          <w:szCs w:val="20"/>
          <w:lang w:val="es-CR"/>
        </w:rPr>
        <w:t>.</w:t>
      </w:r>
      <w:r w:rsidR="008A3FE3" w:rsidRPr="00555310">
        <w:rPr>
          <w:rFonts w:ascii="Verdana" w:eastAsiaTheme="minorHAnsi" w:hAnsi="Verdana" w:cs="Verdana"/>
          <w:color w:val="000000"/>
          <w:sz w:val="20"/>
          <w:szCs w:val="20"/>
          <w:lang w:val="es-CR"/>
        </w:rPr>
        <w:t xml:space="preserve"> Se encuentra pendiente que </w:t>
      </w:r>
      <w:r w:rsidR="000679D6" w:rsidRPr="00555310">
        <w:rPr>
          <w:rFonts w:ascii="Verdana" w:eastAsiaTheme="minorHAnsi" w:hAnsi="Verdana" w:cs="Verdana"/>
          <w:color w:val="000000"/>
          <w:sz w:val="20"/>
          <w:szCs w:val="20"/>
          <w:lang w:val="es-CR"/>
        </w:rPr>
        <w:t>el</w:t>
      </w:r>
      <w:r w:rsidR="008A3FE3" w:rsidRPr="00555310">
        <w:rPr>
          <w:rFonts w:ascii="Verdana" w:eastAsiaTheme="minorHAnsi" w:hAnsi="Verdana" w:cs="Verdana"/>
          <w:color w:val="000000"/>
          <w:sz w:val="20"/>
          <w:szCs w:val="20"/>
          <w:lang w:val="es-CR"/>
        </w:rPr>
        <w:t xml:space="preserve"> </w:t>
      </w:r>
      <w:r w:rsidR="00F264E9" w:rsidRPr="00555310">
        <w:rPr>
          <w:rFonts w:ascii="Verdana" w:eastAsiaTheme="minorHAnsi" w:hAnsi="Verdana" w:cs="Verdana"/>
          <w:color w:val="000000"/>
          <w:sz w:val="20"/>
          <w:szCs w:val="20"/>
          <w:lang w:val="es-CR"/>
        </w:rPr>
        <w:t>j</w:t>
      </w:r>
      <w:r w:rsidR="008A3FE3" w:rsidRPr="00555310">
        <w:rPr>
          <w:rFonts w:ascii="Verdana" w:eastAsiaTheme="minorHAnsi" w:hAnsi="Verdana" w:cs="Verdana"/>
          <w:color w:val="000000"/>
          <w:sz w:val="20"/>
          <w:szCs w:val="20"/>
          <w:lang w:val="es-CR"/>
        </w:rPr>
        <w:t>uez</w:t>
      </w:r>
      <w:r w:rsidR="000679D6" w:rsidRPr="00555310">
        <w:rPr>
          <w:rFonts w:ascii="Verdana" w:eastAsiaTheme="minorHAnsi" w:hAnsi="Verdana" w:cs="Verdana"/>
          <w:color w:val="000000"/>
          <w:sz w:val="20"/>
          <w:szCs w:val="20"/>
          <w:lang w:val="es-CR"/>
        </w:rPr>
        <w:t xml:space="preserve"> Gálvez</w:t>
      </w:r>
      <w:r w:rsidR="008A3FE3" w:rsidRPr="00555310">
        <w:rPr>
          <w:rFonts w:ascii="Verdana" w:eastAsiaTheme="minorHAnsi" w:hAnsi="Verdana" w:cs="Verdana"/>
          <w:color w:val="000000"/>
          <w:sz w:val="20"/>
          <w:szCs w:val="20"/>
          <w:lang w:val="es-CR"/>
        </w:rPr>
        <w:t xml:space="preserve"> resuelva la situación procesal de otros seis imputados.</w:t>
      </w:r>
    </w:p>
    <w:p w14:paraId="3EE4820D" w14:textId="639DC34A" w:rsidR="00F36960" w:rsidRPr="00F60C56" w:rsidRDefault="00F940CB" w:rsidP="00650E69">
      <w:pPr>
        <w:pStyle w:val="Prrafodelista"/>
        <w:numPr>
          <w:ilvl w:val="0"/>
          <w:numId w:val="33"/>
        </w:numPr>
        <w:autoSpaceDE w:val="0"/>
        <w:autoSpaceDN w:val="0"/>
        <w:adjustRightInd w:val="0"/>
        <w:spacing w:before="120" w:after="120"/>
        <w:ind w:left="714" w:hanging="357"/>
        <w:contextualSpacing w:val="0"/>
        <w:jc w:val="both"/>
        <w:rPr>
          <w:rFonts w:ascii="Verdana" w:eastAsiaTheme="minorHAnsi" w:hAnsi="Verdana" w:cs="Verdana"/>
          <w:color w:val="000000"/>
          <w:sz w:val="20"/>
          <w:szCs w:val="20"/>
          <w:lang w:val="es-CR"/>
        </w:rPr>
      </w:pPr>
      <w:r w:rsidRPr="00650E69">
        <w:rPr>
          <w:rFonts w:ascii="Verdana" w:eastAsiaTheme="minorHAnsi" w:hAnsi="Verdana" w:cs="Verdana"/>
          <w:color w:val="000000"/>
          <w:sz w:val="20"/>
          <w:szCs w:val="20"/>
          <w:lang w:val="es-CR"/>
        </w:rPr>
        <w:t>A</w:t>
      </w:r>
      <w:r w:rsidR="00F743A0" w:rsidRPr="00650E69">
        <w:rPr>
          <w:rFonts w:ascii="Verdana" w:eastAsiaTheme="minorHAnsi" w:hAnsi="Verdana" w:cs="Verdana"/>
          <w:color w:val="000000"/>
          <w:sz w:val="20"/>
          <w:szCs w:val="20"/>
          <w:lang w:val="es-CR"/>
        </w:rPr>
        <w:t xml:space="preserve"> raíz de su intervención judicial en el caso Diario Militar,</w:t>
      </w:r>
      <w:r w:rsidRPr="00650E69">
        <w:rPr>
          <w:rFonts w:ascii="Verdana" w:eastAsiaTheme="minorHAnsi" w:hAnsi="Verdana" w:cs="Verdana"/>
          <w:color w:val="000000"/>
          <w:sz w:val="20"/>
          <w:szCs w:val="20"/>
          <w:lang w:val="es-CR"/>
        </w:rPr>
        <w:t xml:space="preserve"> el </w:t>
      </w:r>
      <w:r w:rsidR="00543FD5" w:rsidRPr="00650E69">
        <w:rPr>
          <w:rFonts w:ascii="Verdana" w:eastAsiaTheme="minorHAnsi" w:hAnsi="Verdana" w:cs="Verdana"/>
          <w:color w:val="000000"/>
          <w:sz w:val="20"/>
          <w:szCs w:val="20"/>
          <w:lang w:val="es-CR"/>
        </w:rPr>
        <w:t>j</w:t>
      </w:r>
      <w:r w:rsidRPr="00650E69">
        <w:rPr>
          <w:rFonts w:ascii="Verdana" w:eastAsiaTheme="minorHAnsi" w:hAnsi="Verdana" w:cs="Verdana"/>
          <w:color w:val="000000"/>
          <w:sz w:val="20"/>
          <w:szCs w:val="20"/>
          <w:lang w:val="es-CR"/>
        </w:rPr>
        <w:t>uez Gálvez</w:t>
      </w:r>
      <w:r w:rsidR="00F743A0" w:rsidRPr="00650E69">
        <w:rPr>
          <w:rFonts w:ascii="Verdana" w:eastAsiaTheme="minorHAnsi" w:hAnsi="Verdana" w:cs="Verdana"/>
          <w:color w:val="000000"/>
          <w:sz w:val="20"/>
          <w:szCs w:val="20"/>
          <w:lang w:val="es-CR"/>
        </w:rPr>
        <w:t xml:space="preserve"> “ha recibido mensajes y llamadas telefónicas amenazantes, así como ha sufrido seguimientos por vehículos sospechosos”. </w:t>
      </w:r>
      <w:r w:rsidR="000C2656" w:rsidRPr="00650E69">
        <w:rPr>
          <w:rFonts w:ascii="Verdana" w:eastAsiaTheme="minorHAnsi" w:hAnsi="Verdana" w:cs="Verdana"/>
          <w:color w:val="000000"/>
          <w:sz w:val="20"/>
          <w:szCs w:val="20"/>
          <w:lang w:val="es-CR"/>
        </w:rPr>
        <w:t>D</w:t>
      </w:r>
      <w:r w:rsidR="00F743A0" w:rsidRPr="00650E69">
        <w:rPr>
          <w:rFonts w:ascii="Verdana" w:eastAsiaTheme="minorHAnsi" w:hAnsi="Verdana" w:cs="Verdana"/>
          <w:color w:val="000000"/>
          <w:sz w:val="20"/>
          <w:szCs w:val="20"/>
          <w:lang w:val="es-CR"/>
        </w:rPr>
        <w:t>urante una de las audiencias del</w:t>
      </w:r>
      <w:r w:rsidR="0085757D" w:rsidRPr="00650E69">
        <w:rPr>
          <w:rFonts w:ascii="Verdana" w:eastAsiaTheme="minorHAnsi" w:hAnsi="Verdana" w:cs="Verdana"/>
          <w:color w:val="000000"/>
          <w:sz w:val="20"/>
          <w:szCs w:val="20"/>
          <w:lang w:val="es-CR"/>
        </w:rPr>
        <w:t xml:space="preserve"> caso</w:t>
      </w:r>
      <w:r w:rsidR="00F743A0" w:rsidRPr="00650E69">
        <w:rPr>
          <w:rFonts w:ascii="Verdana" w:eastAsiaTheme="minorHAnsi" w:hAnsi="Verdana" w:cs="Verdana"/>
          <w:color w:val="000000"/>
          <w:sz w:val="20"/>
          <w:szCs w:val="20"/>
          <w:lang w:val="es-CR"/>
        </w:rPr>
        <w:t xml:space="preserve"> Diario Militar</w:t>
      </w:r>
      <w:r w:rsidR="0085757D" w:rsidRPr="00650E69">
        <w:rPr>
          <w:rFonts w:ascii="Verdana" w:eastAsiaTheme="minorHAnsi" w:hAnsi="Verdana" w:cs="Verdana"/>
          <w:color w:val="000000"/>
          <w:sz w:val="20"/>
          <w:szCs w:val="20"/>
          <w:lang w:val="es-CR"/>
        </w:rPr>
        <w:t xml:space="preserve"> “recibió al menos 20 llamadas provenientes de un número desconocido</w:t>
      </w:r>
      <w:r w:rsidR="00F743A0" w:rsidRPr="00650E69">
        <w:rPr>
          <w:rFonts w:ascii="Verdana" w:eastAsiaTheme="minorHAnsi" w:hAnsi="Verdana" w:cs="Verdana"/>
          <w:color w:val="000000"/>
          <w:sz w:val="20"/>
          <w:szCs w:val="20"/>
          <w:lang w:val="es-CR"/>
        </w:rPr>
        <w:t>”.</w:t>
      </w:r>
      <w:r w:rsidR="0085757D" w:rsidRPr="00650E69">
        <w:rPr>
          <w:rFonts w:ascii="Verdana" w:eastAsiaTheme="minorHAnsi" w:hAnsi="Verdana" w:cs="Verdana"/>
          <w:color w:val="000000"/>
          <w:sz w:val="20"/>
          <w:szCs w:val="20"/>
          <w:lang w:val="es-CR"/>
        </w:rPr>
        <w:t xml:space="preserve"> También, “individuos se han presentado a las audiencias y le han tomado fotografías”. </w:t>
      </w:r>
      <w:r w:rsidR="00F743A0" w:rsidRPr="00650E69">
        <w:rPr>
          <w:rFonts w:ascii="Verdana" w:eastAsiaTheme="minorHAnsi" w:hAnsi="Verdana" w:cs="Verdana"/>
          <w:color w:val="000000"/>
          <w:sz w:val="20"/>
          <w:szCs w:val="20"/>
          <w:lang w:val="es-CR"/>
        </w:rPr>
        <w:t>Entre el 3 y 5 de mayo de 2022 notó que un pick-up y una camioneta sin placas lo seguían.</w:t>
      </w:r>
      <w:r w:rsidR="00F36960" w:rsidRPr="00650E69">
        <w:rPr>
          <w:rFonts w:ascii="Verdana" w:eastAsiaTheme="minorHAnsi" w:hAnsi="Verdana" w:cs="Verdana"/>
          <w:color w:val="000000"/>
          <w:sz w:val="20"/>
          <w:szCs w:val="20"/>
          <w:lang w:val="es-CR"/>
        </w:rPr>
        <w:t xml:space="preserve"> </w:t>
      </w:r>
      <w:r w:rsidR="00F743A0" w:rsidRPr="00650E69">
        <w:rPr>
          <w:rFonts w:ascii="Verdana" w:eastAsiaTheme="minorHAnsi" w:hAnsi="Verdana" w:cs="Verdana"/>
          <w:color w:val="000000"/>
          <w:sz w:val="20"/>
          <w:szCs w:val="20"/>
          <w:lang w:val="es-CR"/>
        </w:rPr>
        <w:t>El 6 de mayo de 2022</w:t>
      </w:r>
      <w:r w:rsidR="000977C9" w:rsidRPr="00650E69">
        <w:rPr>
          <w:rFonts w:ascii="Verdana" w:eastAsiaTheme="minorHAnsi" w:hAnsi="Verdana" w:cs="Verdana"/>
          <w:color w:val="000000"/>
          <w:sz w:val="20"/>
          <w:szCs w:val="20"/>
          <w:lang w:val="es-CR"/>
        </w:rPr>
        <w:t>, cerca de las 8</w:t>
      </w:r>
      <w:r w:rsidR="00543FD5" w:rsidRPr="00650E69">
        <w:rPr>
          <w:rFonts w:ascii="Verdana" w:eastAsiaTheme="minorHAnsi" w:hAnsi="Verdana" w:cs="Verdana"/>
          <w:color w:val="000000"/>
          <w:sz w:val="20"/>
          <w:szCs w:val="20"/>
          <w:lang w:val="es-CR"/>
        </w:rPr>
        <w:t>:00pm</w:t>
      </w:r>
      <w:r w:rsidR="000977C9" w:rsidRPr="00650E69">
        <w:rPr>
          <w:rFonts w:ascii="Verdana" w:eastAsiaTheme="minorHAnsi" w:hAnsi="Verdana" w:cs="Verdana"/>
          <w:color w:val="000000"/>
          <w:sz w:val="20"/>
          <w:szCs w:val="20"/>
          <w:lang w:val="es-CR"/>
        </w:rPr>
        <w:t>,</w:t>
      </w:r>
      <w:r w:rsidR="00F743A0" w:rsidRPr="00650E69">
        <w:rPr>
          <w:rFonts w:ascii="Verdana" w:eastAsiaTheme="minorHAnsi" w:hAnsi="Verdana" w:cs="Verdana"/>
          <w:color w:val="000000"/>
          <w:sz w:val="20"/>
          <w:szCs w:val="20"/>
          <w:lang w:val="es-CR"/>
        </w:rPr>
        <w:t xml:space="preserve"> </w:t>
      </w:r>
      <w:r w:rsidR="000977C9" w:rsidRPr="00650E69">
        <w:rPr>
          <w:rFonts w:ascii="Verdana" w:eastAsiaTheme="minorHAnsi" w:hAnsi="Verdana" w:cs="Verdana"/>
          <w:color w:val="000000"/>
          <w:sz w:val="20"/>
          <w:szCs w:val="20"/>
          <w:lang w:val="es-CR"/>
        </w:rPr>
        <w:t xml:space="preserve">observó </w:t>
      </w:r>
      <w:r w:rsidR="00F743A0" w:rsidRPr="00650E69">
        <w:rPr>
          <w:rFonts w:ascii="Verdana" w:eastAsiaTheme="minorHAnsi" w:hAnsi="Verdana" w:cs="Verdana"/>
          <w:color w:val="000000"/>
          <w:sz w:val="20"/>
          <w:szCs w:val="20"/>
          <w:lang w:val="es-CR"/>
        </w:rPr>
        <w:t xml:space="preserve">que al “fondo de la calle que da a su residencia [… una] persona sin identificar […] cargaba una pistola”, </w:t>
      </w:r>
      <w:r w:rsidR="004B7FDE" w:rsidRPr="00650E69">
        <w:rPr>
          <w:rFonts w:ascii="Verdana" w:eastAsiaTheme="minorHAnsi" w:hAnsi="Verdana" w:cs="Verdana"/>
          <w:color w:val="000000"/>
          <w:sz w:val="20"/>
          <w:szCs w:val="20"/>
          <w:lang w:val="es-CR"/>
        </w:rPr>
        <w:t xml:space="preserve">pero cuando </w:t>
      </w:r>
      <w:r w:rsidR="00F743A0" w:rsidRPr="00650E69">
        <w:rPr>
          <w:rFonts w:ascii="Verdana" w:eastAsiaTheme="minorHAnsi" w:hAnsi="Verdana" w:cs="Verdana"/>
          <w:color w:val="000000"/>
          <w:sz w:val="20"/>
          <w:szCs w:val="20"/>
          <w:lang w:val="es-CR"/>
        </w:rPr>
        <w:t xml:space="preserve">el personal encargado de su </w:t>
      </w:r>
      <w:r w:rsidR="00F743A0" w:rsidRPr="00F60C56">
        <w:rPr>
          <w:rFonts w:ascii="Verdana" w:eastAsiaTheme="minorHAnsi" w:hAnsi="Verdana" w:cs="Verdana"/>
          <w:color w:val="000000"/>
          <w:sz w:val="20"/>
          <w:szCs w:val="20"/>
          <w:lang w:val="es-CR"/>
        </w:rPr>
        <w:t xml:space="preserve">seguridad salió a revisar “la persona ya se había retirado”. </w:t>
      </w:r>
    </w:p>
    <w:p w14:paraId="2261AEC1" w14:textId="6CC74E74" w:rsidR="00046F73" w:rsidRPr="00F60C56" w:rsidRDefault="000977C9" w:rsidP="00650E69">
      <w:pPr>
        <w:pStyle w:val="Prrafodelista"/>
        <w:numPr>
          <w:ilvl w:val="0"/>
          <w:numId w:val="33"/>
        </w:numPr>
        <w:autoSpaceDE w:val="0"/>
        <w:autoSpaceDN w:val="0"/>
        <w:adjustRightInd w:val="0"/>
        <w:spacing w:before="120" w:after="120"/>
        <w:ind w:left="714" w:hanging="357"/>
        <w:contextualSpacing w:val="0"/>
        <w:jc w:val="both"/>
        <w:rPr>
          <w:rFonts w:ascii="Verdana" w:eastAsiaTheme="minorHAnsi" w:hAnsi="Verdana" w:cs="Verdana"/>
          <w:color w:val="000000"/>
          <w:sz w:val="20"/>
          <w:szCs w:val="20"/>
          <w:lang w:val="es-CR"/>
        </w:rPr>
      </w:pPr>
      <w:r w:rsidRPr="00F60C56">
        <w:rPr>
          <w:rFonts w:ascii="Verdana" w:eastAsiaTheme="minorHAnsi" w:hAnsi="Verdana" w:cs="Verdana"/>
          <w:color w:val="000000"/>
          <w:sz w:val="20"/>
          <w:szCs w:val="20"/>
          <w:lang w:val="es-CR"/>
        </w:rPr>
        <w:t>E</w:t>
      </w:r>
      <w:r w:rsidR="00F743A0" w:rsidRPr="00F60C56">
        <w:rPr>
          <w:rFonts w:ascii="Verdana" w:eastAsiaTheme="minorHAnsi" w:hAnsi="Verdana" w:cs="Verdana"/>
          <w:color w:val="000000"/>
          <w:sz w:val="20"/>
          <w:szCs w:val="20"/>
          <w:lang w:val="es-CR"/>
        </w:rPr>
        <w:t xml:space="preserve">n distintas publicaciones de </w:t>
      </w:r>
      <w:r w:rsidR="00846D49" w:rsidRPr="00F60C56">
        <w:rPr>
          <w:rFonts w:ascii="Verdana" w:eastAsiaTheme="minorHAnsi" w:hAnsi="Verdana" w:cs="Verdana"/>
          <w:color w:val="000000"/>
          <w:sz w:val="20"/>
          <w:szCs w:val="20"/>
          <w:lang w:val="es-CR"/>
        </w:rPr>
        <w:t>redes sociales</w:t>
      </w:r>
      <w:r w:rsidR="0081060B" w:rsidRPr="00F60C56">
        <w:rPr>
          <w:rStyle w:val="Refdenotaalpie"/>
          <w:rFonts w:eastAsiaTheme="minorHAnsi" w:cs="Verdana"/>
          <w:color w:val="000000"/>
          <w:sz w:val="20"/>
          <w:szCs w:val="20"/>
          <w:lang w:val="es-CR"/>
        </w:rPr>
        <w:footnoteReference w:id="7"/>
      </w:r>
      <w:r w:rsidR="00F743A0" w:rsidRPr="00F60C56">
        <w:rPr>
          <w:rFonts w:ascii="Verdana" w:eastAsiaTheme="minorHAnsi" w:hAnsi="Verdana" w:cs="Verdana"/>
          <w:color w:val="000000"/>
          <w:sz w:val="20"/>
          <w:szCs w:val="20"/>
          <w:lang w:val="es-CR"/>
        </w:rPr>
        <w:t xml:space="preserve"> se ha calificado al </w:t>
      </w:r>
      <w:r w:rsidR="00650B08">
        <w:rPr>
          <w:rFonts w:ascii="Verdana" w:eastAsiaTheme="minorHAnsi" w:hAnsi="Verdana" w:cs="Verdana"/>
          <w:color w:val="000000"/>
          <w:sz w:val="20"/>
          <w:szCs w:val="20"/>
          <w:lang w:val="es-CR"/>
        </w:rPr>
        <w:t>j</w:t>
      </w:r>
      <w:r w:rsidR="00D5667A" w:rsidRPr="00F60C56">
        <w:rPr>
          <w:rFonts w:ascii="Verdana" w:eastAsiaTheme="minorHAnsi" w:hAnsi="Verdana" w:cs="Verdana"/>
          <w:color w:val="000000"/>
          <w:sz w:val="20"/>
          <w:szCs w:val="20"/>
          <w:lang w:val="es-CR"/>
        </w:rPr>
        <w:t>uez Gálvez</w:t>
      </w:r>
      <w:r w:rsidR="00F743A0" w:rsidRPr="00F60C56">
        <w:rPr>
          <w:rFonts w:ascii="Verdana" w:eastAsiaTheme="minorHAnsi" w:hAnsi="Verdana" w:cs="Verdana"/>
          <w:color w:val="000000"/>
          <w:sz w:val="20"/>
          <w:szCs w:val="20"/>
          <w:lang w:val="es-CR"/>
        </w:rPr>
        <w:t xml:space="preserve"> de “prevaricador por el supuesto desconocimiento de la Ley de Reconciliación”. Además, se </w:t>
      </w:r>
      <w:r w:rsidR="000679D6" w:rsidRPr="00F60C56">
        <w:rPr>
          <w:rFonts w:ascii="Verdana" w:eastAsiaTheme="minorHAnsi" w:hAnsi="Verdana" w:cs="Verdana"/>
          <w:color w:val="000000"/>
          <w:sz w:val="20"/>
          <w:szCs w:val="20"/>
          <w:lang w:val="es-CR"/>
        </w:rPr>
        <w:t>publicó</w:t>
      </w:r>
      <w:r w:rsidR="00F743A0" w:rsidRPr="00F60C56">
        <w:rPr>
          <w:rFonts w:ascii="Verdana" w:eastAsiaTheme="minorHAnsi" w:hAnsi="Verdana" w:cs="Verdana"/>
          <w:color w:val="000000"/>
          <w:sz w:val="20"/>
          <w:szCs w:val="20"/>
          <w:lang w:val="es-CR"/>
        </w:rPr>
        <w:t xml:space="preserve"> que “el caso Diario Militar fue armado artificiosamente […] para obtener resarcimiento”, “se sugirió que el juez Gálvez recibiría dinero por su desempeño </w:t>
      </w:r>
      <w:r w:rsidR="000679D6" w:rsidRPr="00F60C56">
        <w:rPr>
          <w:rFonts w:ascii="Verdana" w:eastAsiaTheme="minorHAnsi" w:hAnsi="Verdana" w:cs="Verdana"/>
          <w:color w:val="000000"/>
          <w:sz w:val="20"/>
          <w:szCs w:val="20"/>
          <w:lang w:val="es-CR"/>
        </w:rPr>
        <w:t>[…]</w:t>
      </w:r>
      <w:r w:rsidR="00F743A0" w:rsidRPr="00F60C56">
        <w:rPr>
          <w:rFonts w:ascii="Verdana" w:eastAsiaTheme="minorHAnsi" w:hAnsi="Verdana" w:cs="Verdana"/>
          <w:color w:val="000000"/>
          <w:sz w:val="20"/>
          <w:szCs w:val="20"/>
          <w:lang w:val="es-CR"/>
        </w:rPr>
        <w:t xml:space="preserve"> por parte de </w:t>
      </w:r>
      <w:proofErr w:type="spellStart"/>
      <w:r w:rsidR="00F743A0" w:rsidRPr="00F60C56">
        <w:rPr>
          <w:rFonts w:ascii="Verdana" w:eastAsiaTheme="minorHAnsi" w:hAnsi="Verdana" w:cs="Verdana"/>
          <w:color w:val="000000"/>
          <w:sz w:val="20"/>
          <w:szCs w:val="20"/>
          <w:lang w:val="es-CR"/>
        </w:rPr>
        <w:t>ONGs</w:t>
      </w:r>
      <w:proofErr w:type="spellEnd"/>
      <w:r w:rsidR="00F743A0" w:rsidRPr="00F60C56">
        <w:rPr>
          <w:rFonts w:ascii="Verdana" w:eastAsiaTheme="minorHAnsi" w:hAnsi="Verdana" w:cs="Verdana"/>
          <w:color w:val="000000"/>
          <w:sz w:val="20"/>
          <w:szCs w:val="20"/>
          <w:lang w:val="es-CR"/>
        </w:rPr>
        <w:t xml:space="preserve"> extranjeras”,</w:t>
      </w:r>
      <w:r w:rsidR="009B0E3D" w:rsidRPr="00F60C56">
        <w:rPr>
          <w:rFonts w:ascii="Verdana" w:eastAsiaTheme="minorHAnsi" w:hAnsi="Verdana" w:cs="Verdana"/>
          <w:color w:val="000000"/>
          <w:sz w:val="20"/>
          <w:szCs w:val="20"/>
          <w:lang w:val="es-CR"/>
        </w:rPr>
        <w:t xml:space="preserve"> s</w:t>
      </w:r>
      <w:r w:rsidR="000679D6" w:rsidRPr="00F60C56">
        <w:rPr>
          <w:rFonts w:ascii="Verdana" w:eastAsiaTheme="minorHAnsi" w:hAnsi="Verdana" w:cs="Verdana"/>
          <w:color w:val="000000"/>
          <w:sz w:val="20"/>
          <w:szCs w:val="20"/>
          <w:lang w:val="es-CR"/>
        </w:rPr>
        <w:t xml:space="preserve">e </w:t>
      </w:r>
      <w:r w:rsidR="006A7F33" w:rsidRPr="00F60C56">
        <w:rPr>
          <w:rFonts w:ascii="Verdana" w:eastAsiaTheme="minorHAnsi" w:hAnsi="Verdana" w:cs="Verdana"/>
          <w:color w:val="000000"/>
          <w:sz w:val="20"/>
          <w:szCs w:val="20"/>
          <w:lang w:val="es-CR"/>
        </w:rPr>
        <w:t xml:space="preserve">“descalificó </w:t>
      </w:r>
      <w:r w:rsidR="009B0E3D" w:rsidRPr="00F60C56">
        <w:rPr>
          <w:rFonts w:ascii="Verdana" w:eastAsiaTheme="minorHAnsi" w:hAnsi="Verdana" w:cs="Verdana"/>
          <w:color w:val="000000"/>
          <w:sz w:val="20"/>
          <w:szCs w:val="20"/>
          <w:lang w:val="es-CR"/>
        </w:rPr>
        <w:t>[su]</w:t>
      </w:r>
      <w:r w:rsidR="006A7F33" w:rsidRPr="00F60C56">
        <w:rPr>
          <w:rFonts w:ascii="Verdana" w:eastAsiaTheme="minorHAnsi" w:hAnsi="Verdana" w:cs="Verdana"/>
          <w:color w:val="000000"/>
          <w:sz w:val="20"/>
          <w:szCs w:val="20"/>
          <w:lang w:val="es-CR"/>
        </w:rPr>
        <w:t xml:space="preserve"> imparcialidad </w:t>
      </w:r>
      <w:r w:rsidR="009B0E3D" w:rsidRPr="00F60C56">
        <w:rPr>
          <w:rFonts w:ascii="Verdana" w:eastAsiaTheme="minorHAnsi" w:hAnsi="Verdana" w:cs="Verdana"/>
          <w:color w:val="000000"/>
          <w:sz w:val="20"/>
          <w:szCs w:val="20"/>
          <w:lang w:val="es-CR"/>
        </w:rPr>
        <w:t>[…]</w:t>
      </w:r>
      <w:r w:rsidR="006A7F33" w:rsidRPr="00F60C56">
        <w:rPr>
          <w:rFonts w:ascii="Verdana" w:eastAsiaTheme="minorHAnsi" w:hAnsi="Verdana" w:cs="Verdana"/>
          <w:color w:val="000000"/>
          <w:sz w:val="20"/>
          <w:szCs w:val="20"/>
          <w:lang w:val="es-CR"/>
        </w:rPr>
        <w:t xml:space="preserve"> al señalar que estaría actuando en conjunto con la fiscal del caso”</w:t>
      </w:r>
      <w:r w:rsidR="000679D6" w:rsidRPr="00F60C56">
        <w:rPr>
          <w:rFonts w:ascii="Verdana" w:eastAsiaTheme="minorHAnsi" w:hAnsi="Verdana" w:cs="Verdana"/>
          <w:color w:val="000000"/>
          <w:sz w:val="20"/>
          <w:szCs w:val="20"/>
          <w:lang w:val="es-CR"/>
        </w:rPr>
        <w:t>,</w:t>
      </w:r>
      <w:r w:rsidR="009B0E3D" w:rsidRPr="00F60C56">
        <w:rPr>
          <w:rFonts w:ascii="Verdana" w:eastAsiaTheme="minorHAnsi" w:hAnsi="Verdana" w:cs="Verdana"/>
          <w:color w:val="000000"/>
          <w:sz w:val="20"/>
          <w:szCs w:val="20"/>
          <w:lang w:val="es-CR"/>
        </w:rPr>
        <w:t xml:space="preserve"> se le catalogó de “sicario” porque “quiere mucho dinero y notoriedad”, </w:t>
      </w:r>
      <w:r w:rsidR="000679D6" w:rsidRPr="00F60C56">
        <w:rPr>
          <w:rFonts w:ascii="Verdana" w:eastAsiaTheme="minorHAnsi" w:hAnsi="Verdana" w:cs="Verdana"/>
          <w:color w:val="000000"/>
          <w:sz w:val="20"/>
          <w:szCs w:val="20"/>
          <w:lang w:val="es-CR"/>
        </w:rPr>
        <w:t>se</w:t>
      </w:r>
      <w:r w:rsidR="00D543FB" w:rsidRPr="00F60C56">
        <w:rPr>
          <w:rFonts w:ascii="Verdana" w:eastAsiaTheme="minorHAnsi" w:hAnsi="Verdana" w:cs="Verdana"/>
          <w:color w:val="000000"/>
          <w:sz w:val="20"/>
          <w:szCs w:val="20"/>
          <w:lang w:val="es-CR"/>
        </w:rPr>
        <w:t xml:space="preserve"> indic</w:t>
      </w:r>
      <w:r w:rsidR="009B0E3D" w:rsidRPr="00F60C56">
        <w:rPr>
          <w:rFonts w:ascii="Verdana" w:eastAsiaTheme="minorHAnsi" w:hAnsi="Verdana" w:cs="Verdana"/>
          <w:color w:val="000000"/>
          <w:sz w:val="20"/>
          <w:szCs w:val="20"/>
          <w:lang w:val="es-CR"/>
        </w:rPr>
        <w:t>ó</w:t>
      </w:r>
      <w:r w:rsidR="00D543FB" w:rsidRPr="00F60C56">
        <w:rPr>
          <w:rFonts w:ascii="Verdana" w:eastAsiaTheme="minorHAnsi" w:hAnsi="Verdana" w:cs="Verdana"/>
          <w:color w:val="000000"/>
          <w:sz w:val="20"/>
          <w:szCs w:val="20"/>
          <w:lang w:val="es-CR"/>
        </w:rPr>
        <w:t xml:space="preserve"> </w:t>
      </w:r>
      <w:r w:rsidR="00C36FB0" w:rsidRPr="00F60C56">
        <w:rPr>
          <w:rFonts w:ascii="Verdana" w:eastAsiaTheme="minorHAnsi" w:hAnsi="Verdana" w:cs="Verdana"/>
          <w:color w:val="000000"/>
          <w:sz w:val="20"/>
          <w:szCs w:val="20"/>
          <w:lang w:val="es-CR"/>
        </w:rPr>
        <w:t>que</w:t>
      </w:r>
      <w:r w:rsidR="00D543FB" w:rsidRPr="00F60C56">
        <w:rPr>
          <w:rFonts w:ascii="Verdana" w:eastAsiaTheme="minorHAnsi" w:hAnsi="Verdana" w:cs="Verdana"/>
          <w:color w:val="000000"/>
          <w:sz w:val="20"/>
          <w:szCs w:val="20"/>
          <w:lang w:val="es-CR"/>
        </w:rPr>
        <w:t xml:space="preserve"> es “</w:t>
      </w:r>
      <w:r w:rsidR="00C36FB0" w:rsidRPr="00F60C56">
        <w:rPr>
          <w:rFonts w:ascii="Verdana" w:eastAsiaTheme="minorHAnsi" w:hAnsi="Verdana" w:cs="Verdana"/>
          <w:color w:val="000000"/>
          <w:sz w:val="20"/>
          <w:szCs w:val="20"/>
          <w:lang w:val="es-CR"/>
        </w:rPr>
        <w:t>un juicio injusto</w:t>
      </w:r>
      <w:r w:rsidR="00D543FB" w:rsidRPr="00F60C56">
        <w:rPr>
          <w:rFonts w:ascii="Verdana" w:eastAsiaTheme="minorHAnsi" w:hAnsi="Verdana" w:cs="Verdana"/>
          <w:color w:val="000000"/>
          <w:sz w:val="20"/>
          <w:szCs w:val="20"/>
          <w:lang w:val="es-CR"/>
        </w:rPr>
        <w:t>”</w:t>
      </w:r>
      <w:r w:rsidR="009B0E3D" w:rsidRPr="00F60C56">
        <w:rPr>
          <w:rFonts w:ascii="Verdana" w:eastAsiaTheme="minorHAnsi" w:hAnsi="Verdana" w:cs="Verdana"/>
          <w:color w:val="000000"/>
          <w:sz w:val="20"/>
          <w:szCs w:val="20"/>
          <w:lang w:val="es-CR"/>
        </w:rPr>
        <w:t xml:space="preserve"> y </w:t>
      </w:r>
      <w:r w:rsidR="001C7498">
        <w:rPr>
          <w:rFonts w:ascii="Verdana" w:eastAsiaTheme="minorHAnsi" w:hAnsi="Verdana" w:cs="Verdana"/>
          <w:color w:val="000000"/>
          <w:sz w:val="20"/>
          <w:szCs w:val="20"/>
          <w:lang w:val="es-CR"/>
        </w:rPr>
        <w:t xml:space="preserve">se </w:t>
      </w:r>
      <w:r w:rsidR="009B0E3D" w:rsidRPr="00F60C56">
        <w:rPr>
          <w:rFonts w:ascii="Verdana" w:eastAsiaTheme="minorHAnsi" w:hAnsi="Verdana" w:cs="Verdana"/>
          <w:color w:val="000000"/>
          <w:sz w:val="20"/>
          <w:szCs w:val="20"/>
          <w:lang w:val="es-CR"/>
        </w:rPr>
        <w:t>cuestionó el uso de la prisión preventiva de los acusados</w:t>
      </w:r>
      <w:r w:rsidR="00F743A0" w:rsidRPr="00F60C56">
        <w:rPr>
          <w:rFonts w:ascii="Verdana" w:eastAsiaTheme="minorHAnsi" w:hAnsi="Verdana" w:cs="Verdana"/>
          <w:color w:val="000000"/>
          <w:sz w:val="20"/>
          <w:szCs w:val="20"/>
          <w:lang w:val="es-CR"/>
        </w:rPr>
        <w:t xml:space="preserve">. </w:t>
      </w:r>
      <w:r w:rsidR="0011090F" w:rsidRPr="00F60C56">
        <w:rPr>
          <w:rFonts w:ascii="Verdana" w:eastAsiaTheme="minorHAnsi" w:hAnsi="Verdana" w:cs="Verdana"/>
          <w:color w:val="000000"/>
          <w:sz w:val="20"/>
          <w:szCs w:val="20"/>
          <w:lang w:val="es-CR"/>
        </w:rPr>
        <w:t>C</w:t>
      </w:r>
      <w:r w:rsidR="00F743A0" w:rsidRPr="00F60C56">
        <w:rPr>
          <w:rFonts w:ascii="Verdana" w:eastAsiaTheme="minorHAnsi" w:hAnsi="Verdana" w:cs="Verdana"/>
          <w:color w:val="000000"/>
          <w:sz w:val="20"/>
          <w:szCs w:val="20"/>
          <w:lang w:val="es-CR"/>
        </w:rPr>
        <w:t>onforme el proceso avanz</w:t>
      </w:r>
      <w:r w:rsidR="005E4D9C" w:rsidRPr="00F60C56">
        <w:rPr>
          <w:rFonts w:ascii="Verdana" w:eastAsiaTheme="minorHAnsi" w:hAnsi="Verdana" w:cs="Verdana"/>
          <w:color w:val="000000"/>
          <w:sz w:val="20"/>
          <w:szCs w:val="20"/>
          <w:lang w:val="es-CR"/>
        </w:rPr>
        <w:t>a</w:t>
      </w:r>
      <w:r w:rsidR="008C221B" w:rsidRPr="00F60C56">
        <w:rPr>
          <w:rFonts w:ascii="Verdana" w:eastAsiaTheme="minorHAnsi" w:hAnsi="Verdana" w:cs="Verdana"/>
          <w:color w:val="000000"/>
          <w:sz w:val="20"/>
          <w:szCs w:val="20"/>
          <w:lang w:val="es-CR"/>
        </w:rPr>
        <w:t xml:space="preserve"> </w:t>
      </w:r>
      <w:r w:rsidR="001C7498">
        <w:rPr>
          <w:rFonts w:ascii="Verdana" w:eastAsiaTheme="minorHAnsi" w:hAnsi="Verdana" w:cs="Verdana"/>
          <w:color w:val="000000"/>
          <w:sz w:val="20"/>
          <w:szCs w:val="20"/>
          <w:lang w:val="es-CR"/>
        </w:rPr>
        <w:t xml:space="preserve">ha aumentado la agresividad de </w:t>
      </w:r>
      <w:r w:rsidR="008C221B" w:rsidRPr="00F60C56">
        <w:rPr>
          <w:rFonts w:ascii="Verdana" w:eastAsiaTheme="minorHAnsi" w:hAnsi="Verdana" w:cs="Verdana"/>
          <w:color w:val="000000"/>
          <w:sz w:val="20"/>
          <w:szCs w:val="20"/>
          <w:lang w:val="es-CR"/>
        </w:rPr>
        <w:t>estos</w:t>
      </w:r>
      <w:r w:rsidR="0011090F" w:rsidRPr="00F60C56">
        <w:rPr>
          <w:rFonts w:ascii="Verdana" w:eastAsiaTheme="minorHAnsi" w:hAnsi="Verdana" w:cs="Verdana"/>
          <w:color w:val="000000"/>
          <w:sz w:val="20"/>
          <w:szCs w:val="20"/>
          <w:lang w:val="es-CR"/>
        </w:rPr>
        <w:t xml:space="preserve"> mensajes</w:t>
      </w:r>
      <w:r w:rsidR="009B0E3D" w:rsidRPr="00F60C56">
        <w:rPr>
          <w:rStyle w:val="Refdenotaalpie"/>
          <w:rFonts w:eastAsiaTheme="minorHAnsi" w:cs="Verdana"/>
          <w:color w:val="000000"/>
          <w:sz w:val="20"/>
          <w:szCs w:val="20"/>
          <w:lang w:val="es-CR"/>
        </w:rPr>
        <w:footnoteReference w:id="8"/>
      </w:r>
      <w:r w:rsidR="00F743A0" w:rsidRPr="00F60C56">
        <w:rPr>
          <w:rFonts w:ascii="Verdana" w:eastAsiaTheme="minorHAnsi" w:hAnsi="Verdana" w:cs="Verdana"/>
          <w:color w:val="000000"/>
          <w:sz w:val="20"/>
          <w:szCs w:val="20"/>
          <w:lang w:val="es-CR"/>
        </w:rPr>
        <w:t>.</w:t>
      </w:r>
      <w:r w:rsidR="00046F73" w:rsidRPr="00F60C56">
        <w:rPr>
          <w:rFonts w:ascii="Verdana" w:eastAsiaTheme="minorHAnsi" w:hAnsi="Verdana" w:cs="Verdana"/>
          <w:color w:val="000000"/>
          <w:sz w:val="20"/>
          <w:szCs w:val="20"/>
          <w:lang w:val="es-CR"/>
        </w:rPr>
        <w:t xml:space="preserve"> Sostuvieron </w:t>
      </w:r>
      <w:r w:rsidR="00046F73" w:rsidRPr="00F60C56">
        <w:rPr>
          <w:rFonts w:ascii="Verdana" w:hAnsi="Verdana" w:cs="ArialMT"/>
          <w:color w:val="000000"/>
          <w:sz w:val="20"/>
          <w:szCs w:val="20"/>
          <w:lang w:val="es-CR"/>
        </w:rPr>
        <w:t>que, a partir de que falleció uno de los imputados el 14 de junio de 2022</w:t>
      </w:r>
      <w:r w:rsidR="00F60C56" w:rsidRPr="00F60C56">
        <w:rPr>
          <w:rStyle w:val="Refdenotaalpie"/>
          <w:rFonts w:cs="ArialMT"/>
          <w:sz w:val="20"/>
          <w:szCs w:val="20"/>
          <w:lang w:val="es-CR"/>
        </w:rPr>
        <w:footnoteReference w:id="9"/>
      </w:r>
      <w:r w:rsidR="00046F73" w:rsidRPr="00F60C56">
        <w:rPr>
          <w:rFonts w:ascii="Verdana" w:eastAsiaTheme="minorHAnsi" w:hAnsi="Verdana" w:cs="Verdana"/>
          <w:color w:val="000000"/>
          <w:sz w:val="20"/>
          <w:szCs w:val="20"/>
          <w:lang w:val="es-CR"/>
        </w:rPr>
        <w:t xml:space="preserve">, </w:t>
      </w:r>
      <w:r w:rsidR="00046F73" w:rsidRPr="00F60C56">
        <w:rPr>
          <w:rFonts w:ascii="Verdana" w:hAnsi="Verdana" w:cs="ArialMT"/>
          <w:color w:val="000000"/>
          <w:sz w:val="20"/>
          <w:szCs w:val="20"/>
          <w:lang w:val="es-CR"/>
        </w:rPr>
        <w:t xml:space="preserve">el juez Gálvez ha recibido una “nueva oleada de amenazas” </w:t>
      </w:r>
      <w:r w:rsidR="00046F73" w:rsidRPr="00F60C56">
        <w:rPr>
          <w:rFonts w:ascii="Verdana" w:hAnsi="Verdana" w:cs="ArialMT"/>
          <w:sz w:val="20"/>
          <w:szCs w:val="20"/>
          <w:lang w:val="es-CR"/>
        </w:rPr>
        <w:t>y “ataques” en que lo tildaron de “asesino”, “torturador y violador de derechos”, y una abogada hizo pública “la decisión de denunciar[lo]”, por considerar que “habría retardado de forma maliciosa la autorización para entregar el cuerpo del ex militar”. También, se habría presentado una nueva denuncia en contra del juez Gálvez por prevaricato.</w:t>
      </w:r>
    </w:p>
    <w:p w14:paraId="78FD2D94" w14:textId="77777777" w:rsidR="008634A1" w:rsidRDefault="001D4225" w:rsidP="008634A1">
      <w:pPr>
        <w:pStyle w:val="Prrafodelista"/>
        <w:numPr>
          <w:ilvl w:val="0"/>
          <w:numId w:val="33"/>
        </w:numPr>
        <w:autoSpaceDE w:val="0"/>
        <w:autoSpaceDN w:val="0"/>
        <w:adjustRightInd w:val="0"/>
        <w:spacing w:before="120" w:after="120"/>
        <w:ind w:left="714" w:hanging="357"/>
        <w:contextualSpacing w:val="0"/>
        <w:jc w:val="both"/>
        <w:rPr>
          <w:rFonts w:ascii="Verdana" w:eastAsiaTheme="minorHAnsi" w:hAnsi="Verdana" w:cs="Verdana"/>
          <w:color w:val="000000"/>
          <w:sz w:val="20"/>
          <w:szCs w:val="20"/>
          <w:lang w:val="es-CR"/>
        </w:rPr>
      </w:pPr>
      <w:r w:rsidRPr="00F60C56">
        <w:rPr>
          <w:rFonts w:ascii="Verdana" w:eastAsiaTheme="minorHAnsi" w:hAnsi="Verdana" w:cs="Verdana"/>
          <w:color w:val="000000"/>
          <w:sz w:val="20"/>
          <w:szCs w:val="20"/>
          <w:lang w:val="es-CR"/>
        </w:rPr>
        <w:t>E</w:t>
      </w:r>
      <w:r w:rsidR="00F743A0" w:rsidRPr="00F60C56">
        <w:rPr>
          <w:rFonts w:ascii="Verdana" w:eastAsiaTheme="minorHAnsi" w:hAnsi="Verdana" w:cs="Verdana"/>
          <w:color w:val="000000"/>
          <w:sz w:val="20"/>
          <w:szCs w:val="20"/>
          <w:lang w:val="es-CR"/>
        </w:rPr>
        <w:t>l 16 de mayo de 2022</w:t>
      </w:r>
      <w:r w:rsidR="00F743A0" w:rsidRPr="00F60C56">
        <w:rPr>
          <w:rStyle w:val="Refdenotaalpie"/>
          <w:rFonts w:eastAsiaTheme="minorHAnsi" w:cs="Verdana"/>
          <w:color w:val="000000"/>
          <w:sz w:val="20"/>
          <w:szCs w:val="20"/>
          <w:lang w:val="es-CR"/>
        </w:rPr>
        <w:footnoteReference w:id="10"/>
      </w:r>
      <w:r w:rsidR="00F743A0" w:rsidRPr="00F60C56">
        <w:rPr>
          <w:rFonts w:ascii="Verdana" w:eastAsiaTheme="minorHAnsi" w:hAnsi="Verdana" w:cs="Verdana"/>
          <w:color w:val="000000"/>
          <w:sz w:val="20"/>
          <w:szCs w:val="20"/>
          <w:lang w:val="es-CR"/>
        </w:rPr>
        <w:t xml:space="preserve"> </w:t>
      </w:r>
      <w:r w:rsidR="000C2656" w:rsidRPr="00F60C56">
        <w:rPr>
          <w:rFonts w:ascii="Verdana" w:eastAsiaTheme="minorHAnsi" w:hAnsi="Verdana" w:cs="Verdana"/>
          <w:color w:val="000000"/>
          <w:sz w:val="20"/>
          <w:szCs w:val="20"/>
          <w:lang w:val="es-CR"/>
        </w:rPr>
        <w:t xml:space="preserve">el </w:t>
      </w:r>
      <w:r w:rsidR="00543FD5" w:rsidRPr="00F60C56">
        <w:rPr>
          <w:rFonts w:ascii="Verdana" w:eastAsiaTheme="minorHAnsi" w:hAnsi="Verdana" w:cs="Verdana"/>
          <w:color w:val="000000"/>
          <w:sz w:val="20"/>
          <w:szCs w:val="20"/>
          <w:lang w:val="es-CR"/>
        </w:rPr>
        <w:t>j</w:t>
      </w:r>
      <w:r w:rsidR="000C2656" w:rsidRPr="00F60C56">
        <w:rPr>
          <w:rFonts w:ascii="Verdana" w:eastAsiaTheme="minorHAnsi" w:hAnsi="Verdana" w:cs="Verdana"/>
          <w:color w:val="000000"/>
          <w:sz w:val="20"/>
          <w:szCs w:val="20"/>
          <w:lang w:val="es-CR"/>
        </w:rPr>
        <w:t>uez</w:t>
      </w:r>
      <w:r w:rsidR="000C2656" w:rsidRPr="00650E69">
        <w:rPr>
          <w:rFonts w:ascii="Verdana" w:eastAsiaTheme="minorHAnsi" w:hAnsi="Verdana" w:cs="Verdana"/>
          <w:color w:val="000000"/>
          <w:sz w:val="20"/>
          <w:szCs w:val="20"/>
          <w:lang w:val="es-CR"/>
        </w:rPr>
        <w:t xml:space="preserve"> Gálvez </w:t>
      </w:r>
      <w:r w:rsidRPr="00650E69">
        <w:rPr>
          <w:rFonts w:ascii="Verdana" w:eastAsiaTheme="minorHAnsi" w:hAnsi="Verdana" w:cs="Verdana"/>
          <w:color w:val="000000"/>
          <w:sz w:val="20"/>
          <w:szCs w:val="20"/>
          <w:lang w:val="es-CR"/>
        </w:rPr>
        <w:t xml:space="preserve">solicitó </w:t>
      </w:r>
      <w:r w:rsidR="00F743A0" w:rsidRPr="00650E69">
        <w:rPr>
          <w:rFonts w:ascii="Verdana" w:eastAsiaTheme="minorHAnsi" w:hAnsi="Verdana" w:cs="Verdana"/>
          <w:color w:val="000000"/>
          <w:sz w:val="20"/>
          <w:szCs w:val="20"/>
          <w:lang w:val="es-CR"/>
        </w:rPr>
        <w:t xml:space="preserve">que la Corte Suprema de Justicia se pronunciara sobre estos hechos, por haberse dado en el ejercicio de su función jurisdiccional, requirió medidas de protección y </w:t>
      </w:r>
      <w:r w:rsidRPr="00650E69">
        <w:rPr>
          <w:rFonts w:ascii="Verdana" w:eastAsiaTheme="minorHAnsi" w:hAnsi="Verdana" w:cs="Verdana"/>
          <w:color w:val="000000"/>
          <w:sz w:val="20"/>
          <w:szCs w:val="20"/>
          <w:lang w:val="es-CR"/>
        </w:rPr>
        <w:t xml:space="preserve">que </w:t>
      </w:r>
      <w:r w:rsidR="00F743A0" w:rsidRPr="00650E69">
        <w:rPr>
          <w:rFonts w:ascii="Verdana" w:eastAsiaTheme="minorHAnsi" w:hAnsi="Verdana" w:cs="Verdana"/>
          <w:color w:val="000000"/>
          <w:sz w:val="20"/>
          <w:szCs w:val="20"/>
          <w:lang w:val="es-CR"/>
        </w:rPr>
        <w:t xml:space="preserve">se garantice su independencia judicial. </w:t>
      </w:r>
      <w:r w:rsidR="001F336F" w:rsidRPr="00650E69">
        <w:rPr>
          <w:rFonts w:ascii="Verdana" w:eastAsiaTheme="minorHAnsi" w:hAnsi="Verdana" w:cs="Verdana"/>
          <w:color w:val="000000"/>
          <w:sz w:val="20"/>
          <w:szCs w:val="20"/>
          <w:lang w:val="es-CR"/>
        </w:rPr>
        <w:t>L</w:t>
      </w:r>
      <w:r w:rsidR="00F743A0" w:rsidRPr="00650E69">
        <w:rPr>
          <w:rFonts w:ascii="Verdana" w:eastAsiaTheme="minorHAnsi" w:hAnsi="Verdana" w:cs="Verdana"/>
          <w:color w:val="000000"/>
          <w:sz w:val="20"/>
          <w:szCs w:val="20"/>
          <w:lang w:val="es-CR"/>
        </w:rPr>
        <w:t xml:space="preserve">a Corte Suprema </w:t>
      </w:r>
      <w:r w:rsidR="00155BAE" w:rsidRPr="00650E69">
        <w:rPr>
          <w:rFonts w:ascii="Verdana" w:eastAsiaTheme="minorHAnsi" w:hAnsi="Verdana" w:cs="Verdana"/>
          <w:color w:val="000000"/>
          <w:sz w:val="20"/>
          <w:szCs w:val="20"/>
          <w:lang w:val="es-CR"/>
        </w:rPr>
        <w:t xml:space="preserve">requirió, de forma urgente, que los </w:t>
      </w:r>
      <w:r w:rsidR="00155BAE" w:rsidRPr="00650E69">
        <w:rPr>
          <w:rFonts w:ascii="Verdana" w:eastAsiaTheme="minorHAnsi" w:hAnsi="Verdana" w:cs="Verdana"/>
          <w:color w:val="000000"/>
          <w:sz w:val="20"/>
          <w:szCs w:val="20"/>
          <w:lang w:val="es-CR"/>
        </w:rPr>
        <w:lastRenderedPageBreak/>
        <w:t>encargados de seguridad del Organismo Judicial re</w:t>
      </w:r>
      <w:r w:rsidR="00543FD5" w:rsidRPr="00650E69">
        <w:rPr>
          <w:rFonts w:ascii="Verdana" w:eastAsiaTheme="minorHAnsi" w:hAnsi="Verdana" w:cs="Verdana"/>
          <w:color w:val="000000"/>
          <w:sz w:val="20"/>
          <w:szCs w:val="20"/>
          <w:lang w:val="es-CR"/>
        </w:rPr>
        <w:t>e</w:t>
      </w:r>
      <w:r w:rsidR="00155BAE" w:rsidRPr="00650E69">
        <w:rPr>
          <w:rFonts w:ascii="Verdana" w:eastAsiaTheme="minorHAnsi" w:hAnsi="Verdana" w:cs="Verdana"/>
          <w:color w:val="000000"/>
          <w:sz w:val="20"/>
          <w:szCs w:val="20"/>
          <w:lang w:val="es-CR"/>
        </w:rPr>
        <w:t xml:space="preserve">valuaran el esquema de seguridad del </w:t>
      </w:r>
      <w:r w:rsidR="00543FD5" w:rsidRPr="00650E69">
        <w:rPr>
          <w:rFonts w:ascii="Verdana" w:eastAsiaTheme="minorHAnsi" w:hAnsi="Verdana" w:cs="Verdana"/>
          <w:color w:val="000000"/>
          <w:sz w:val="20"/>
          <w:szCs w:val="20"/>
          <w:lang w:val="es-CR"/>
        </w:rPr>
        <w:t>j</w:t>
      </w:r>
      <w:r w:rsidR="00155BAE" w:rsidRPr="00650E69">
        <w:rPr>
          <w:rFonts w:ascii="Verdana" w:eastAsiaTheme="minorHAnsi" w:hAnsi="Verdana" w:cs="Verdana"/>
          <w:color w:val="000000"/>
          <w:sz w:val="20"/>
          <w:szCs w:val="20"/>
          <w:lang w:val="es-CR"/>
        </w:rPr>
        <w:t xml:space="preserve">uez, </w:t>
      </w:r>
      <w:r w:rsidR="008634A1">
        <w:rPr>
          <w:rFonts w:ascii="Verdana" w:eastAsiaTheme="minorHAnsi" w:hAnsi="Verdana" w:cs="Verdana"/>
          <w:color w:val="000000"/>
          <w:sz w:val="20"/>
          <w:szCs w:val="20"/>
          <w:lang w:val="es-CR"/>
        </w:rPr>
        <w:t xml:space="preserve">sin </w:t>
      </w:r>
      <w:r w:rsidR="00155BAE" w:rsidRPr="00650E69">
        <w:rPr>
          <w:rFonts w:ascii="Verdana" w:eastAsiaTheme="minorHAnsi" w:hAnsi="Verdana" w:cs="Verdana"/>
          <w:color w:val="000000"/>
          <w:sz w:val="20"/>
          <w:szCs w:val="20"/>
          <w:lang w:val="es-CR"/>
        </w:rPr>
        <w:t xml:space="preserve">“condenar los ataques </w:t>
      </w:r>
      <w:r w:rsidR="008634A1">
        <w:rPr>
          <w:rFonts w:ascii="Verdana" w:eastAsiaTheme="minorHAnsi" w:hAnsi="Verdana" w:cs="Verdana"/>
          <w:color w:val="000000"/>
          <w:sz w:val="20"/>
          <w:szCs w:val="20"/>
          <w:lang w:val="es-CR"/>
        </w:rPr>
        <w:t>[… a]</w:t>
      </w:r>
      <w:r w:rsidR="00155BAE" w:rsidRPr="00650E69">
        <w:rPr>
          <w:rFonts w:ascii="Verdana" w:eastAsiaTheme="minorHAnsi" w:hAnsi="Verdana" w:cs="Verdana"/>
          <w:color w:val="000000"/>
          <w:sz w:val="20"/>
          <w:szCs w:val="20"/>
          <w:lang w:val="es-CR"/>
        </w:rPr>
        <w:t xml:space="preserve"> la independencia judicial”.</w:t>
      </w:r>
    </w:p>
    <w:p w14:paraId="13DEE879" w14:textId="352F7736" w:rsidR="00F85658" w:rsidRPr="008634A1" w:rsidRDefault="007653B6" w:rsidP="008634A1">
      <w:pPr>
        <w:pStyle w:val="Prrafodelista"/>
        <w:numPr>
          <w:ilvl w:val="0"/>
          <w:numId w:val="33"/>
        </w:numPr>
        <w:autoSpaceDE w:val="0"/>
        <w:autoSpaceDN w:val="0"/>
        <w:adjustRightInd w:val="0"/>
        <w:spacing w:before="120" w:after="120"/>
        <w:ind w:left="714" w:hanging="357"/>
        <w:contextualSpacing w:val="0"/>
        <w:jc w:val="both"/>
        <w:rPr>
          <w:rFonts w:ascii="Verdana" w:eastAsiaTheme="minorHAnsi" w:hAnsi="Verdana" w:cs="Verdana"/>
          <w:color w:val="000000"/>
          <w:sz w:val="20"/>
          <w:szCs w:val="20"/>
          <w:lang w:val="es-CR"/>
        </w:rPr>
      </w:pPr>
      <w:r w:rsidRPr="008634A1">
        <w:rPr>
          <w:rFonts w:ascii="Verdana" w:eastAsiaTheme="minorHAnsi" w:hAnsi="Verdana" w:cs="Verdana"/>
          <w:color w:val="000000"/>
          <w:sz w:val="20"/>
          <w:szCs w:val="20"/>
          <w:lang w:val="es-CR"/>
        </w:rPr>
        <w:t xml:space="preserve">Tan solo cinco días después de la decisión </w:t>
      </w:r>
      <w:r w:rsidR="00DD3C8F" w:rsidRPr="008634A1">
        <w:rPr>
          <w:rFonts w:ascii="Verdana" w:eastAsiaTheme="minorHAnsi" w:hAnsi="Verdana" w:cs="Verdana"/>
          <w:color w:val="000000"/>
          <w:sz w:val="20"/>
          <w:szCs w:val="20"/>
          <w:lang w:val="es-CR"/>
        </w:rPr>
        <w:t>de</w:t>
      </w:r>
      <w:r w:rsidRPr="008634A1">
        <w:rPr>
          <w:rFonts w:ascii="Verdana" w:eastAsiaTheme="minorHAnsi" w:hAnsi="Verdana" w:cs="Verdana"/>
          <w:color w:val="000000"/>
          <w:sz w:val="20"/>
          <w:szCs w:val="20"/>
          <w:lang w:val="es-CR"/>
        </w:rPr>
        <w:t xml:space="preserve"> 6 de mayo de 2022 (</w:t>
      </w:r>
      <w:r w:rsidRPr="008634A1">
        <w:rPr>
          <w:rFonts w:ascii="Verdana" w:eastAsiaTheme="minorHAnsi" w:hAnsi="Verdana" w:cs="Verdana"/>
          <w:i/>
          <w:iCs/>
          <w:color w:val="000000"/>
          <w:sz w:val="20"/>
          <w:szCs w:val="20"/>
          <w:lang w:val="es-CR"/>
        </w:rPr>
        <w:t>supra</w:t>
      </w:r>
      <w:r w:rsidRPr="008634A1">
        <w:rPr>
          <w:rFonts w:ascii="Verdana" w:eastAsiaTheme="minorHAnsi" w:hAnsi="Verdana" w:cs="Verdana"/>
          <w:color w:val="000000"/>
          <w:sz w:val="20"/>
          <w:szCs w:val="20"/>
          <w:lang w:val="es-CR"/>
        </w:rPr>
        <w:t xml:space="preserve"> Considerando *), e</w:t>
      </w:r>
      <w:r w:rsidR="00F743A0" w:rsidRPr="008634A1">
        <w:rPr>
          <w:rFonts w:ascii="Verdana" w:eastAsiaTheme="minorHAnsi" w:hAnsi="Verdana" w:cs="Verdana"/>
          <w:color w:val="000000"/>
          <w:sz w:val="20"/>
          <w:szCs w:val="20"/>
          <w:lang w:val="es-CR"/>
        </w:rPr>
        <w:t xml:space="preserve">l 11 de mayo de 2022 la </w:t>
      </w:r>
      <w:r w:rsidR="00543FD5" w:rsidRPr="008634A1">
        <w:rPr>
          <w:rFonts w:ascii="Verdana" w:eastAsiaTheme="minorHAnsi" w:hAnsi="Verdana" w:cs="Verdana"/>
          <w:color w:val="000000"/>
          <w:sz w:val="20"/>
          <w:szCs w:val="20"/>
          <w:lang w:val="es-CR"/>
        </w:rPr>
        <w:t>agrupación denominada “</w:t>
      </w:r>
      <w:r w:rsidR="00F743A0" w:rsidRPr="008634A1">
        <w:rPr>
          <w:rFonts w:ascii="Verdana" w:eastAsiaTheme="minorHAnsi" w:hAnsi="Verdana" w:cs="Verdana"/>
          <w:color w:val="000000"/>
          <w:sz w:val="20"/>
          <w:szCs w:val="20"/>
          <w:lang w:val="es-CR"/>
        </w:rPr>
        <w:t xml:space="preserve">Fundación </w:t>
      </w:r>
      <w:r w:rsidR="00D43A52" w:rsidRPr="008634A1">
        <w:rPr>
          <w:rFonts w:ascii="Verdana" w:eastAsiaTheme="minorHAnsi" w:hAnsi="Verdana" w:cs="Verdana"/>
          <w:color w:val="000000"/>
          <w:sz w:val="20"/>
          <w:szCs w:val="20"/>
          <w:lang w:val="es-CR"/>
        </w:rPr>
        <w:t>c</w:t>
      </w:r>
      <w:r w:rsidR="00F743A0" w:rsidRPr="008634A1">
        <w:rPr>
          <w:rFonts w:ascii="Verdana" w:eastAsiaTheme="minorHAnsi" w:hAnsi="Verdana" w:cs="Verdana"/>
          <w:color w:val="000000"/>
          <w:sz w:val="20"/>
          <w:szCs w:val="20"/>
          <w:lang w:val="es-CR"/>
        </w:rPr>
        <w:t xml:space="preserve">ontra el </w:t>
      </w:r>
      <w:r w:rsidR="00D43A52" w:rsidRPr="008634A1">
        <w:rPr>
          <w:rFonts w:ascii="Verdana" w:eastAsiaTheme="minorHAnsi" w:hAnsi="Verdana" w:cs="Verdana"/>
          <w:color w:val="000000"/>
          <w:sz w:val="20"/>
          <w:szCs w:val="20"/>
          <w:lang w:val="es-CR"/>
        </w:rPr>
        <w:t>T</w:t>
      </w:r>
      <w:r w:rsidR="00F743A0" w:rsidRPr="008634A1">
        <w:rPr>
          <w:rFonts w:ascii="Verdana" w:eastAsiaTheme="minorHAnsi" w:hAnsi="Verdana" w:cs="Verdana"/>
          <w:color w:val="000000"/>
          <w:sz w:val="20"/>
          <w:szCs w:val="20"/>
          <w:lang w:val="es-CR"/>
        </w:rPr>
        <w:t>errorismo</w:t>
      </w:r>
      <w:r w:rsidR="00543FD5" w:rsidRPr="008634A1">
        <w:rPr>
          <w:rFonts w:ascii="Verdana" w:eastAsiaTheme="minorHAnsi" w:hAnsi="Verdana" w:cs="Verdana"/>
          <w:color w:val="000000"/>
          <w:sz w:val="20"/>
          <w:szCs w:val="20"/>
          <w:lang w:val="es-CR"/>
        </w:rPr>
        <w:t>”</w:t>
      </w:r>
      <w:r w:rsidR="00E464DF" w:rsidRPr="008E74AA">
        <w:rPr>
          <w:rStyle w:val="Refdenotaalpie"/>
          <w:rFonts w:eastAsiaTheme="minorHAnsi" w:cs="Verdana"/>
          <w:color w:val="000000"/>
          <w:sz w:val="20"/>
          <w:szCs w:val="20"/>
          <w:lang w:val="es-CR"/>
        </w:rPr>
        <w:footnoteReference w:id="11"/>
      </w:r>
      <w:r w:rsidR="00B51697" w:rsidRPr="008634A1">
        <w:rPr>
          <w:rFonts w:ascii="Verdana" w:eastAsiaTheme="minorHAnsi" w:hAnsi="Verdana" w:cs="Verdana"/>
          <w:color w:val="000000"/>
          <w:sz w:val="20"/>
          <w:szCs w:val="20"/>
          <w:lang w:val="es-CR"/>
        </w:rPr>
        <w:t xml:space="preserve"> y </w:t>
      </w:r>
      <w:r w:rsidR="00E464DF" w:rsidRPr="008634A1">
        <w:rPr>
          <w:rFonts w:ascii="Verdana" w:eastAsiaTheme="minorHAnsi" w:hAnsi="Verdana" w:cs="Verdana"/>
          <w:color w:val="000000"/>
          <w:sz w:val="20"/>
          <w:szCs w:val="20"/>
          <w:lang w:val="es-CR"/>
        </w:rPr>
        <w:t>el abogado de uno de los procesados por el caso Diario Milita</w:t>
      </w:r>
      <w:r w:rsidR="00DD3C8F" w:rsidRPr="008634A1">
        <w:rPr>
          <w:rFonts w:ascii="Verdana" w:eastAsiaTheme="minorHAnsi" w:hAnsi="Verdana" w:cs="Verdana"/>
          <w:color w:val="000000"/>
          <w:sz w:val="20"/>
          <w:szCs w:val="20"/>
          <w:lang w:val="es-CR"/>
        </w:rPr>
        <w:t>,</w:t>
      </w:r>
      <w:r w:rsidR="00E464DF" w:rsidRPr="008634A1">
        <w:rPr>
          <w:rFonts w:ascii="Verdana" w:eastAsiaTheme="minorHAnsi" w:hAnsi="Verdana" w:cs="Verdana"/>
          <w:color w:val="000000"/>
          <w:sz w:val="20"/>
          <w:szCs w:val="20"/>
          <w:lang w:val="es-CR"/>
        </w:rPr>
        <w:t xml:space="preserve"> </w:t>
      </w:r>
      <w:r w:rsidR="00EE2B48" w:rsidRPr="008634A1">
        <w:rPr>
          <w:rFonts w:ascii="Verdana" w:eastAsiaTheme="minorHAnsi" w:hAnsi="Verdana" w:cs="Verdana"/>
          <w:color w:val="000000"/>
          <w:sz w:val="20"/>
          <w:szCs w:val="20"/>
          <w:lang w:val="es-CR"/>
        </w:rPr>
        <w:t>“</w:t>
      </w:r>
      <w:r w:rsidR="00F743A0" w:rsidRPr="008634A1">
        <w:rPr>
          <w:rFonts w:ascii="Verdana" w:eastAsiaTheme="minorHAnsi" w:hAnsi="Verdana" w:cs="Verdana"/>
          <w:color w:val="000000"/>
          <w:sz w:val="20"/>
          <w:szCs w:val="20"/>
          <w:lang w:val="es-CR"/>
        </w:rPr>
        <w:t>presentaron diversas solicitudes de antejuicio en contra</w:t>
      </w:r>
      <w:r w:rsidR="00DD3C8F" w:rsidRPr="008634A1">
        <w:rPr>
          <w:rFonts w:ascii="Verdana" w:eastAsiaTheme="minorHAnsi" w:hAnsi="Verdana" w:cs="Verdana"/>
          <w:color w:val="000000"/>
          <w:sz w:val="20"/>
          <w:szCs w:val="20"/>
          <w:lang w:val="es-CR"/>
        </w:rPr>
        <w:t xml:space="preserve"> del </w:t>
      </w:r>
      <w:r w:rsidR="00F264E9" w:rsidRPr="008634A1">
        <w:rPr>
          <w:rFonts w:ascii="Verdana" w:eastAsiaTheme="minorHAnsi" w:hAnsi="Verdana" w:cs="Verdana"/>
          <w:color w:val="000000"/>
          <w:sz w:val="20"/>
          <w:szCs w:val="20"/>
          <w:lang w:val="es-CR"/>
        </w:rPr>
        <w:t>j</w:t>
      </w:r>
      <w:r w:rsidR="00DD3C8F" w:rsidRPr="008634A1">
        <w:rPr>
          <w:rFonts w:ascii="Verdana" w:eastAsiaTheme="minorHAnsi" w:hAnsi="Verdana" w:cs="Verdana"/>
          <w:color w:val="000000"/>
          <w:sz w:val="20"/>
          <w:szCs w:val="20"/>
          <w:lang w:val="es-CR"/>
        </w:rPr>
        <w:t>uez</w:t>
      </w:r>
      <w:r w:rsidR="00F743A0" w:rsidRPr="008634A1">
        <w:rPr>
          <w:rFonts w:ascii="Verdana" w:eastAsiaTheme="minorHAnsi" w:hAnsi="Verdana" w:cs="Verdana"/>
          <w:color w:val="000000"/>
          <w:sz w:val="20"/>
          <w:szCs w:val="20"/>
          <w:lang w:val="es-CR"/>
        </w:rPr>
        <w:t xml:space="preserve"> </w:t>
      </w:r>
      <w:r w:rsidR="00DD3C8F" w:rsidRPr="008634A1">
        <w:rPr>
          <w:rFonts w:ascii="Verdana" w:eastAsiaTheme="minorHAnsi" w:hAnsi="Verdana" w:cs="Verdana"/>
          <w:color w:val="000000"/>
          <w:sz w:val="20"/>
          <w:szCs w:val="20"/>
          <w:lang w:val="es-CR"/>
        </w:rPr>
        <w:t xml:space="preserve">Gálvez </w:t>
      </w:r>
      <w:r w:rsidR="00F743A0" w:rsidRPr="008634A1">
        <w:rPr>
          <w:rFonts w:ascii="Verdana" w:eastAsiaTheme="minorHAnsi" w:hAnsi="Verdana" w:cs="Verdana"/>
          <w:color w:val="000000"/>
          <w:sz w:val="20"/>
          <w:szCs w:val="20"/>
          <w:lang w:val="es-CR"/>
        </w:rPr>
        <w:t>asegurando que sus resoluciones no han sido apegadas a derecho”</w:t>
      </w:r>
      <w:r w:rsidR="0066589A" w:rsidRPr="008634A1">
        <w:rPr>
          <w:rFonts w:ascii="Verdana" w:eastAsiaTheme="minorHAnsi" w:hAnsi="Verdana" w:cs="Verdana"/>
          <w:color w:val="000000"/>
          <w:sz w:val="20"/>
          <w:szCs w:val="20"/>
          <w:lang w:val="es-CR"/>
        </w:rPr>
        <w:t xml:space="preserve">. </w:t>
      </w:r>
      <w:r w:rsidRPr="008634A1">
        <w:rPr>
          <w:rFonts w:ascii="Verdana" w:eastAsiaTheme="minorHAnsi" w:hAnsi="Verdana" w:cs="Verdana"/>
          <w:color w:val="000000"/>
          <w:sz w:val="20"/>
          <w:szCs w:val="20"/>
          <w:lang w:val="es-CR"/>
        </w:rPr>
        <w:t>El 16 de mayo de</w:t>
      </w:r>
      <w:r w:rsidR="0066589A" w:rsidRPr="008634A1">
        <w:rPr>
          <w:rFonts w:ascii="Verdana" w:eastAsiaTheme="minorHAnsi" w:hAnsi="Verdana" w:cs="Verdana"/>
          <w:color w:val="000000"/>
          <w:sz w:val="20"/>
          <w:szCs w:val="20"/>
          <w:lang w:val="es-CR"/>
        </w:rPr>
        <w:t xml:space="preserve"> </w:t>
      </w:r>
      <w:r w:rsidRPr="008634A1">
        <w:rPr>
          <w:rFonts w:ascii="Verdana" w:eastAsiaTheme="minorHAnsi" w:hAnsi="Verdana" w:cs="Verdana"/>
          <w:color w:val="000000"/>
          <w:sz w:val="20"/>
          <w:szCs w:val="20"/>
          <w:lang w:val="es-CR"/>
        </w:rPr>
        <w:t xml:space="preserve">2022 </w:t>
      </w:r>
      <w:r w:rsidR="0066589A" w:rsidRPr="008634A1">
        <w:rPr>
          <w:rFonts w:ascii="Verdana" w:eastAsiaTheme="minorHAnsi" w:hAnsi="Verdana" w:cs="Verdana"/>
          <w:color w:val="000000"/>
          <w:sz w:val="20"/>
          <w:szCs w:val="20"/>
          <w:lang w:val="es-CR"/>
        </w:rPr>
        <w:t>se</w:t>
      </w:r>
      <w:r w:rsidRPr="008634A1">
        <w:rPr>
          <w:rFonts w:ascii="Verdana" w:eastAsiaTheme="minorHAnsi" w:hAnsi="Verdana" w:cs="Verdana"/>
          <w:color w:val="000000"/>
          <w:sz w:val="20"/>
          <w:szCs w:val="20"/>
          <w:lang w:val="es-CR"/>
        </w:rPr>
        <w:t xml:space="preserve"> </w:t>
      </w:r>
      <w:r w:rsidR="0066589A" w:rsidRPr="008634A1">
        <w:rPr>
          <w:rFonts w:ascii="Verdana" w:eastAsiaTheme="minorHAnsi" w:hAnsi="Verdana" w:cs="Verdana"/>
          <w:color w:val="000000"/>
          <w:sz w:val="20"/>
          <w:szCs w:val="20"/>
          <w:lang w:val="es-CR"/>
        </w:rPr>
        <w:t>“</w:t>
      </w:r>
      <w:r w:rsidRPr="008634A1">
        <w:rPr>
          <w:rFonts w:ascii="Verdana" w:eastAsiaTheme="minorHAnsi" w:hAnsi="Verdana" w:cs="Verdana"/>
          <w:color w:val="000000"/>
          <w:sz w:val="20"/>
          <w:szCs w:val="20"/>
          <w:lang w:val="es-CR"/>
        </w:rPr>
        <w:t>trasladó la querella al Ministerio Público</w:t>
      </w:r>
      <w:r w:rsidR="00F85658" w:rsidRPr="008634A1">
        <w:rPr>
          <w:rFonts w:ascii="Verdana" w:eastAsiaTheme="minorHAnsi" w:hAnsi="Verdana" w:cs="Verdana"/>
          <w:color w:val="000000"/>
          <w:sz w:val="20"/>
          <w:szCs w:val="20"/>
          <w:lang w:val="es-CR"/>
        </w:rPr>
        <w:t>”.</w:t>
      </w:r>
      <w:r w:rsidR="00046F73" w:rsidRPr="008634A1">
        <w:rPr>
          <w:rFonts w:ascii="Verdana" w:eastAsiaTheme="minorHAnsi" w:hAnsi="Verdana" w:cs="Verdana"/>
          <w:color w:val="000000"/>
          <w:sz w:val="20"/>
          <w:szCs w:val="20"/>
          <w:lang w:val="es-CR"/>
        </w:rPr>
        <w:t xml:space="preserve"> </w:t>
      </w:r>
      <w:r w:rsidR="00046F73" w:rsidRPr="008634A1">
        <w:rPr>
          <w:rFonts w:ascii="Verdana" w:hAnsi="Verdana" w:cs="ArialMT"/>
          <w:sz w:val="20"/>
          <w:szCs w:val="20"/>
          <w:lang w:val="es-CR"/>
        </w:rPr>
        <w:t xml:space="preserve">El 15 de junio de 2022 la Corte Suprema de Justicia resolvió por mayoría la admisibilidad para trámite de la solicitud de antejuicio </w:t>
      </w:r>
      <w:r w:rsidR="00046F73" w:rsidRPr="008634A1">
        <w:rPr>
          <w:rFonts w:ascii="Verdana" w:eastAsiaTheme="minorHAnsi" w:hAnsi="Verdana" w:cs="Verdana"/>
          <w:color w:val="000000"/>
          <w:sz w:val="20"/>
          <w:szCs w:val="20"/>
          <w:lang w:val="es-CR"/>
        </w:rPr>
        <w:t>“</w:t>
      </w:r>
      <w:r w:rsidR="00046F73" w:rsidRPr="008634A1">
        <w:rPr>
          <w:rFonts w:ascii="Verdana" w:hAnsi="Verdana"/>
          <w:sz w:val="20"/>
          <w:szCs w:val="20"/>
          <w:lang w:val="es-ES"/>
        </w:rPr>
        <w:t>sin</w:t>
      </w:r>
      <w:r w:rsidR="00046F73" w:rsidRPr="008634A1">
        <w:rPr>
          <w:rFonts w:ascii="Verdana" w:eastAsiaTheme="minorHAnsi" w:hAnsi="Verdana" w:cs="Verdana"/>
          <w:color w:val="000000"/>
          <w:sz w:val="20"/>
          <w:szCs w:val="20"/>
          <w:lang w:val="es-CR"/>
        </w:rPr>
        <w:t xml:space="preserve"> </w:t>
      </w:r>
      <w:r w:rsidR="00046F73" w:rsidRPr="008634A1">
        <w:rPr>
          <w:rFonts w:ascii="Verdana" w:hAnsi="Verdana"/>
          <w:sz w:val="20"/>
          <w:szCs w:val="20"/>
          <w:lang w:val="es-ES"/>
        </w:rPr>
        <w:t>realizar un adecuado examen sobre los elementos de razonabilidad suficientes</w:t>
      </w:r>
      <w:r w:rsidR="00046F73" w:rsidRPr="008634A1">
        <w:rPr>
          <w:rFonts w:ascii="Verdana" w:eastAsiaTheme="minorHAnsi" w:hAnsi="Verdana" w:cs="Verdana"/>
          <w:color w:val="000000"/>
          <w:sz w:val="20"/>
          <w:szCs w:val="20"/>
          <w:lang w:val="es-CR"/>
        </w:rPr>
        <w:t xml:space="preserve"> </w:t>
      </w:r>
      <w:r w:rsidR="00046F73" w:rsidRPr="008634A1">
        <w:rPr>
          <w:rFonts w:ascii="Verdana" w:hAnsi="Verdana"/>
          <w:sz w:val="20"/>
          <w:szCs w:val="20"/>
          <w:lang w:val="es-ES"/>
        </w:rPr>
        <w:t>que sustentan la querella en su contra”</w:t>
      </w:r>
      <w:r w:rsidR="00046F73" w:rsidRPr="008634A1">
        <w:rPr>
          <w:rFonts w:ascii="Verdana" w:hAnsi="Verdana" w:cs="ArialMT"/>
          <w:color w:val="000000"/>
          <w:sz w:val="20"/>
          <w:szCs w:val="20"/>
          <w:lang w:val="es-CR"/>
        </w:rPr>
        <w:t>, y</w:t>
      </w:r>
      <w:r w:rsidR="00046F73" w:rsidRPr="008634A1">
        <w:rPr>
          <w:rFonts w:ascii="Verdana" w:hAnsi="Verdana" w:cs="ArialMT"/>
          <w:b/>
          <w:bCs/>
          <w:sz w:val="20"/>
          <w:szCs w:val="20"/>
          <w:lang w:val="es-CR"/>
        </w:rPr>
        <w:t xml:space="preserve"> </w:t>
      </w:r>
      <w:r w:rsidR="00046F73" w:rsidRPr="008634A1">
        <w:rPr>
          <w:rFonts w:ascii="Verdana" w:hAnsi="Verdana" w:cs="ArialMT"/>
          <w:sz w:val="20"/>
          <w:szCs w:val="20"/>
          <w:lang w:val="es-CR"/>
        </w:rPr>
        <w:t xml:space="preserve">designó </w:t>
      </w:r>
      <w:r w:rsidR="00046F73" w:rsidRPr="008634A1">
        <w:rPr>
          <w:rFonts w:ascii="Verdana" w:hAnsi="Verdana" w:cs="ArialMT"/>
          <w:color w:val="000000"/>
          <w:sz w:val="20"/>
          <w:szCs w:val="20"/>
          <w:lang w:val="es-CR"/>
        </w:rPr>
        <w:t xml:space="preserve">a una </w:t>
      </w:r>
      <w:r w:rsidR="00F264E9" w:rsidRPr="008634A1">
        <w:rPr>
          <w:rFonts w:ascii="Verdana" w:hAnsi="Verdana" w:cs="ArialMT"/>
          <w:color w:val="000000"/>
          <w:sz w:val="20"/>
          <w:szCs w:val="20"/>
          <w:lang w:val="es-CR"/>
        </w:rPr>
        <w:t>j</w:t>
      </w:r>
      <w:r w:rsidR="00046F73" w:rsidRPr="008634A1">
        <w:rPr>
          <w:rFonts w:ascii="Verdana" w:hAnsi="Verdana" w:cs="ArialMT"/>
          <w:color w:val="000000"/>
          <w:sz w:val="20"/>
          <w:szCs w:val="20"/>
          <w:lang w:val="es-CR"/>
        </w:rPr>
        <w:t>ueza Pesquisidora</w:t>
      </w:r>
      <w:r w:rsidR="00046F73" w:rsidRPr="008E74AA">
        <w:rPr>
          <w:rStyle w:val="Refdenotaalpie"/>
          <w:rFonts w:cs="ArialMT"/>
          <w:color w:val="000000"/>
          <w:sz w:val="20"/>
          <w:szCs w:val="20"/>
          <w:lang w:val="es-CR"/>
        </w:rPr>
        <w:footnoteReference w:id="12"/>
      </w:r>
      <w:r w:rsidR="00046F73" w:rsidRPr="008634A1">
        <w:rPr>
          <w:rFonts w:ascii="Verdana" w:hAnsi="Verdana" w:cs="ArialMT"/>
          <w:color w:val="000000"/>
          <w:sz w:val="20"/>
          <w:szCs w:val="20"/>
          <w:lang w:val="es-CR"/>
        </w:rPr>
        <w:t xml:space="preserve">. </w:t>
      </w:r>
      <w:r w:rsidR="00046F73" w:rsidRPr="008634A1">
        <w:rPr>
          <w:rFonts w:ascii="Verdana" w:hAnsi="Verdana"/>
          <w:sz w:val="20"/>
          <w:szCs w:val="20"/>
          <w:lang w:val="es-ES"/>
        </w:rPr>
        <w:t xml:space="preserve">La denuncia de 11 de mayo se refiere a casos en que “ni siquiera intervino como juez de garantías”, y la resolución emitida por la </w:t>
      </w:r>
      <w:r w:rsidR="00046F73" w:rsidRPr="008634A1">
        <w:rPr>
          <w:rFonts w:ascii="Verdana" w:hAnsi="Verdana" w:cs="ArialMT"/>
          <w:sz w:val="20"/>
          <w:szCs w:val="20"/>
          <w:lang w:val="es-CR"/>
        </w:rPr>
        <w:t>Corte Suprema de Justicia “</w:t>
      </w:r>
      <w:r w:rsidR="00046F73" w:rsidRPr="008634A1">
        <w:rPr>
          <w:rFonts w:ascii="Verdana" w:hAnsi="Verdana"/>
          <w:sz w:val="20"/>
          <w:szCs w:val="20"/>
          <w:lang w:val="es-ES"/>
        </w:rPr>
        <w:t xml:space="preserve">no identifica de manera precisa cuáles serían las resoluciones emitidas por el propuesto beneficiario que, presuntamente, serían constitutivas de delito”. Informaron que el 28 de junio de 2022 el </w:t>
      </w:r>
      <w:r w:rsidR="00F264E9" w:rsidRPr="008634A1">
        <w:rPr>
          <w:rFonts w:ascii="Verdana" w:hAnsi="Verdana"/>
          <w:sz w:val="20"/>
          <w:szCs w:val="20"/>
          <w:lang w:val="es-ES"/>
        </w:rPr>
        <w:t>j</w:t>
      </w:r>
      <w:r w:rsidR="00046F73" w:rsidRPr="008634A1">
        <w:rPr>
          <w:rFonts w:ascii="Verdana" w:hAnsi="Verdana"/>
          <w:sz w:val="20"/>
          <w:szCs w:val="20"/>
          <w:lang w:val="es-ES"/>
        </w:rPr>
        <w:t>uez Gálvez presentó un amparo en contra de dicha resolución, sin que la Corte de Constitucionalidad hubiera ordenado la suspensión provisional del acto reclamado.</w:t>
      </w:r>
    </w:p>
    <w:p w14:paraId="00987B99" w14:textId="3FBC31F6" w:rsidR="00A04BBD" w:rsidRPr="008E74AA" w:rsidRDefault="00CD77B2" w:rsidP="00F97D77">
      <w:pPr>
        <w:numPr>
          <w:ilvl w:val="0"/>
          <w:numId w:val="2"/>
        </w:numPr>
        <w:spacing w:before="120" w:after="120"/>
        <w:ind w:left="0" w:firstLine="0"/>
        <w:jc w:val="both"/>
        <w:rPr>
          <w:rFonts w:ascii="Verdana" w:eastAsiaTheme="minorHAnsi" w:hAnsi="Verdana" w:cs="Verdana"/>
          <w:color w:val="000000"/>
          <w:sz w:val="20"/>
          <w:szCs w:val="20"/>
          <w:lang w:val="es-CR"/>
        </w:rPr>
      </w:pPr>
      <w:r w:rsidRPr="008E74AA">
        <w:rPr>
          <w:rFonts w:ascii="Verdana" w:eastAsia="Calibri" w:hAnsi="Verdana" w:cs="Verdana"/>
          <w:color w:val="000000"/>
          <w:sz w:val="20"/>
          <w:szCs w:val="20"/>
          <w:lang w:val="es-CR"/>
        </w:rPr>
        <w:t xml:space="preserve">Los representantes sostuvieron que en el presente caso se presentan </w:t>
      </w:r>
      <w:r w:rsidRPr="008E74AA">
        <w:rPr>
          <w:rFonts w:ascii="Verdana" w:hAnsi="Verdana"/>
          <w:sz w:val="20"/>
          <w:szCs w:val="20"/>
        </w:rPr>
        <w:t xml:space="preserve">los </w:t>
      </w:r>
      <w:r w:rsidRPr="008E74AA">
        <w:rPr>
          <w:rFonts w:ascii="Verdana" w:hAnsi="Verdana"/>
          <w:bCs/>
          <w:sz w:val="20"/>
          <w:szCs w:val="20"/>
        </w:rPr>
        <w:t>requisitos de extrema gravedad, urgencia y la necesidad de evitar daños irreparables a las personas</w:t>
      </w:r>
      <w:r w:rsidRPr="008E74AA">
        <w:rPr>
          <w:rFonts w:ascii="Verdana" w:eastAsiaTheme="minorHAnsi" w:hAnsi="Verdana" w:cs="Verdana"/>
          <w:color w:val="000000"/>
          <w:sz w:val="20"/>
          <w:szCs w:val="20"/>
          <w:lang w:val="es-CR"/>
        </w:rPr>
        <w:t xml:space="preserve">. </w:t>
      </w:r>
      <w:r w:rsidRPr="008E74AA">
        <w:rPr>
          <w:rFonts w:ascii="Verdana" w:hAnsi="Verdana"/>
          <w:sz w:val="20"/>
          <w:szCs w:val="20"/>
        </w:rPr>
        <w:t xml:space="preserve">Afirmaron que </w:t>
      </w:r>
      <w:r w:rsidR="00F97D77" w:rsidRPr="008E74AA">
        <w:rPr>
          <w:rFonts w:ascii="Verdana" w:eastAsiaTheme="minorHAnsi" w:hAnsi="Verdana" w:cs="Verdana"/>
          <w:color w:val="000000"/>
          <w:sz w:val="20"/>
          <w:szCs w:val="20"/>
          <w:lang w:val="es-CR"/>
        </w:rPr>
        <w:t xml:space="preserve">“la extrema gravedad de los hechos se manifiesta en dos sentidos. En primer lugar, porque los distintos incidentes descritos generan un serio impacto en la protección de los derechos a la vida y a la integridad y la independencia judicial del propuesto beneficiario. Y, segundo, porque no cabe duda de que, de materializarse el riesgo, generaría afectaciones en el cumplimiento de la obligación de investigar </w:t>
      </w:r>
      <w:r w:rsidR="00465099" w:rsidRPr="008E74AA">
        <w:rPr>
          <w:rFonts w:ascii="Verdana" w:eastAsiaTheme="minorHAnsi" w:hAnsi="Verdana" w:cs="Verdana"/>
          <w:color w:val="000000"/>
          <w:sz w:val="20"/>
          <w:szCs w:val="20"/>
          <w:lang w:val="es-CR"/>
        </w:rPr>
        <w:t>[</w:t>
      </w:r>
      <w:r w:rsidR="00F97D77" w:rsidRPr="008E74AA">
        <w:rPr>
          <w:rFonts w:ascii="Verdana" w:eastAsiaTheme="minorHAnsi" w:hAnsi="Verdana" w:cs="Verdana"/>
          <w:color w:val="000000"/>
          <w:sz w:val="20"/>
          <w:szCs w:val="20"/>
          <w:lang w:val="es-CR"/>
        </w:rPr>
        <w:t xml:space="preserve">…,] en consecuencia, afectaría el derecho de acceso a la justicia de las víctimas y familiares del presente caso”. </w:t>
      </w:r>
      <w:r w:rsidR="009A632E">
        <w:rPr>
          <w:rFonts w:ascii="Verdana" w:eastAsiaTheme="minorHAnsi" w:hAnsi="Verdana" w:cs="Verdana"/>
          <w:color w:val="000000"/>
          <w:sz w:val="20"/>
          <w:szCs w:val="20"/>
          <w:lang w:val="es-CR"/>
        </w:rPr>
        <w:t>A</w:t>
      </w:r>
      <w:r w:rsidR="00465099" w:rsidRPr="008E74AA">
        <w:rPr>
          <w:rFonts w:ascii="Verdana" w:eastAsiaTheme="minorHAnsi" w:hAnsi="Verdana" w:cs="Verdana"/>
          <w:color w:val="000000"/>
          <w:sz w:val="20"/>
          <w:szCs w:val="20"/>
          <w:lang w:val="es-CR"/>
        </w:rPr>
        <w:t>dvirtieron que</w:t>
      </w:r>
      <w:r w:rsidR="00F97D77" w:rsidRPr="008E74AA">
        <w:rPr>
          <w:rFonts w:ascii="Verdana" w:eastAsiaTheme="minorHAnsi" w:hAnsi="Verdana" w:cs="Verdana"/>
          <w:color w:val="000000"/>
          <w:sz w:val="20"/>
          <w:szCs w:val="20"/>
          <w:lang w:val="es-CR"/>
        </w:rPr>
        <w:t xml:space="preserve"> </w:t>
      </w:r>
      <w:r w:rsidR="00F743A0" w:rsidRPr="008E74AA">
        <w:rPr>
          <w:rFonts w:ascii="Verdana" w:eastAsiaTheme="minorHAnsi" w:hAnsi="Verdana" w:cs="Verdana"/>
          <w:color w:val="000000"/>
          <w:sz w:val="20"/>
          <w:szCs w:val="20"/>
          <w:lang w:val="es-CR"/>
        </w:rPr>
        <w:t>“existe un riesgo real de que las denuncias penales interpuestas</w:t>
      </w:r>
      <w:r w:rsidR="00465099" w:rsidRPr="008E74AA">
        <w:rPr>
          <w:rFonts w:ascii="Verdana" w:eastAsiaTheme="minorHAnsi" w:hAnsi="Verdana" w:cs="Verdana"/>
          <w:color w:val="000000"/>
          <w:sz w:val="20"/>
          <w:szCs w:val="20"/>
          <w:lang w:val="es-CR"/>
        </w:rPr>
        <w:t xml:space="preserve"> [en contra del </w:t>
      </w:r>
      <w:r w:rsidR="00E62277">
        <w:rPr>
          <w:rFonts w:ascii="Verdana" w:eastAsiaTheme="minorHAnsi" w:hAnsi="Verdana" w:cs="Verdana"/>
          <w:color w:val="000000"/>
          <w:sz w:val="20"/>
          <w:szCs w:val="20"/>
          <w:lang w:val="es-CR"/>
        </w:rPr>
        <w:t>j</w:t>
      </w:r>
      <w:r w:rsidR="00465099" w:rsidRPr="008E74AA">
        <w:rPr>
          <w:rFonts w:ascii="Verdana" w:eastAsiaTheme="minorHAnsi" w:hAnsi="Verdana" w:cs="Verdana"/>
          <w:color w:val="000000"/>
          <w:sz w:val="20"/>
          <w:szCs w:val="20"/>
          <w:lang w:val="es-CR"/>
        </w:rPr>
        <w:t>uez Gálvez]</w:t>
      </w:r>
      <w:r w:rsidR="00F743A0" w:rsidRPr="008E74AA">
        <w:rPr>
          <w:rFonts w:ascii="Verdana" w:eastAsiaTheme="minorHAnsi" w:hAnsi="Verdana" w:cs="Verdana"/>
          <w:color w:val="000000"/>
          <w:sz w:val="20"/>
          <w:szCs w:val="20"/>
          <w:lang w:val="es-CR"/>
        </w:rPr>
        <w:t xml:space="preserve"> se instrumentalicen para obstaculizar su labor al grado levantarle la inmunidad, suspenderlo, o de girarle una orden de aprehensión en su contra”. </w:t>
      </w:r>
      <w:r w:rsidR="00534FCE" w:rsidRPr="008E74AA">
        <w:rPr>
          <w:rFonts w:ascii="Verdana" w:eastAsiaTheme="minorHAnsi" w:hAnsi="Verdana" w:cs="Verdana"/>
          <w:color w:val="000000"/>
          <w:sz w:val="20"/>
          <w:szCs w:val="20"/>
          <w:lang w:val="es-CR"/>
        </w:rPr>
        <w:t>Más aún</w:t>
      </w:r>
      <w:r w:rsidR="008C221B" w:rsidRPr="008E74AA">
        <w:rPr>
          <w:rFonts w:ascii="Verdana" w:eastAsiaTheme="minorHAnsi" w:hAnsi="Verdana" w:cs="Verdana"/>
          <w:color w:val="000000"/>
          <w:sz w:val="20"/>
          <w:szCs w:val="20"/>
          <w:lang w:val="es-CR"/>
        </w:rPr>
        <w:t xml:space="preserve">, </w:t>
      </w:r>
      <w:r w:rsidR="00F743A0" w:rsidRPr="008E74AA">
        <w:rPr>
          <w:rFonts w:ascii="Verdana" w:eastAsiaTheme="minorHAnsi" w:hAnsi="Verdana" w:cs="Verdana"/>
          <w:color w:val="000000"/>
          <w:sz w:val="20"/>
          <w:szCs w:val="20"/>
          <w:lang w:val="es-CR"/>
        </w:rPr>
        <w:t xml:space="preserve">ante </w:t>
      </w:r>
      <w:r w:rsidR="008C221B" w:rsidRPr="008E74AA">
        <w:rPr>
          <w:rFonts w:ascii="Verdana" w:eastAsiaTheme="minorHAnsi" w:hAnsi="Verdana" w:cs="Verdana"/>
          <w:color w:val="000000"/>
          <w:sz w:val="20"/>
          <w:szCs w:val="20"/>
          <w:lang w:val="es-CR"/>
        </w:rPr>
        <w:t>una</w:t>
      </w:r>
      <w:r w:rsidR="00F743A0" w:rsidRPr="008E74AA">
        <w:rPr>
          <w:rFonts w:ascii="Verdana" w:eastAsiaTheme="minorHAnsi" w:hAnsi="Verdana" w:cs="Verdana"/>
          <w:color w:val="000000"/>
          <w:sz w:val="20"/>
          <w:szCs w:val="20"/>
          <w:lang w:val="es-CR"/>
        </w:rPr>
        <w:t xml:space="preserve"> posible orden de aprehensión</w:t>
      </w:r>
      <w:r w:rsidR="008C221B" w:rsidRPr="008E74AA">
        <w:rPr>
          <w:rFonts w:ascii="Verdana" w:eastAsiaTheme="minorHAnsi" w:hAnsi="Verdana" w:cs="Verdana"/>
          <w:color w:val="000000"/>
          <w:sz w:val="20"/>
          <w:szCs w:val="20"/>
          <w:lang w:val="es-CR"/>
        </w:rPr>
        <w:t xml:space="preserve">, dicho </w:t>
      </w:r>
      <w:r w:rsidR="00543FD5">
        <w:rPr>
          <w:rFonts w:ascii="Verdana" w:eastAsiaTheme="minorHAnsi" w:hAnsi="Verdana" w:cs="Verdana"/>
          <w:color w:val="000000"/>
          <w:sz w:val="20"/>
          <w:szCs w:val="20"/>
          <w:lang w:val="es-CR"/>
        </w:rPr>
        <w:t>j</w:t>
      </w:r>
      <w:r w:rsidR="008C221B" w:rsidRPr="008E74AA">
        <w:rPr>
          <w:rFonts w:ascii="Verdana" w:eastAsiaTheme="minorHAnsi" w:hAnsi="Verdana" w:cs="Verdana"/>
          <w:color w:val="000000"/>
          <w:sz w:val="20"/>
          <w:szCs w:val="20"/>
          <w:lang w:val="es-CR"/>
        </w:rPr>
        <w:t>uez</w:t>
      </w:r>
      <w:r w:rsidR="00F743A0" w:rsidRPr="008E74AA">
        <w:rPr>
          <w:rFonts w:ascii="Verdana" w:eastAsiaTheme="minorHAnsi" w:hAnsi="Verdana" w:cs="Verdana"/>
          <w:color w:val="000000"/>
          <w:sz w:val="20"/>
          <w:szCs w:val="20"/>
          <w:lang w:val="es-CR"/>
        </w:rPr>
        <w:t xml:space="preserve"> “podría ser internado en un centro de detención junto a personas que pudo haber enjuiciado y sentenciado”. </w:t>
      </w:r>
      <w:r w:rsidR="00AE135B">
        <w:rPr>
          <w:rFonts w:ascii="Verdana" w:eastAsiaTheme="minorHAnsi" w:hAnsi="Verdana" w:cs="Verdana"/>
          <w:color w:val="000000"/>
          <w:sz w:val="20"/>
          <w:szCs w:val="20"/>
          <w:lang w:val="es-CR"/>
        </w:rPr>
        <w:t>Adicionalmente, s</w:t>
      </w:r>
      <w:r w:rsidR="00543FD5">
        <w:rPr>
          <w:rFonts w:ascii="Verdana" w:eastAsiaTheme="minorHAnsi" w:hAnsi="Verdana" w:cs="Verdana"/>
          <w:color w:val="000000"/>
          <w:sz w:val="20"/>
          <w:szCs w:val="20"/>
          <w:lang w:val="es-CR"/>
        </w:rPr>
        <w:t>ostuvieron que,</w:t>
      </w:r>
      <w:r w:rsidR="00465099" w:rsidRPr="008E74AA">
        <w:rPr>
          <w:rFonts w:ascii="Verdana" w:eastAsiaTheme="minorHAnsi" w:hAnsi="Verdana" w:cs="Verdana"/>
          <w:color w:val="000000"/>
          <w:sz w:val="20"/>
          <w:szCs w:val="20"/>
          <w:lang w:val="es-CR"/>
        </w:rPr>
        <w:t xml:space="preserve"> s</w:t>
      </w:r>
      <w:r w:rsidR="00F743A0" w:rsidRPr="008E74AA">
        <w:rPr>
          <w:rFonts w:ascii="Verdana" w:eastAsiaTheme="minorHAnsi" w:hAnsi="Verdana" w:cs="Verdana"/>
          <w:color w:val="000000"/>
          <w:sz w:val="20"/>
          <w:szCs w:val="20"/>
          <w:lang w:val="es-CR"/>
        </w:rPr>
        <w:t xml:space="preserve">i bien </w:t>
      </w:r>
      <w:r w:rsidR="00A04BBD" w:rsidRPr="008E74AA">
        <w:rPr>
          <w:rFonts w:ascii="Verdana" w:eastAsiaTheme="minorHAnsi" w:hAnsi="Verdana" w:cs="Verdana"/>
          <w:color w:val="000000"/>
          <w:sz w:val="20"/>
          <w:szCs w:val="20"/>
          <w:lang w:val="es-CR"/>
        </w:rPr>
        <w:t>dicho</w:t>
      </w:r>
      <w:r w:rsidR="00F743A0" w:rsidRPr="008E74AA">
        <w:rPr>
          <w:rFonts w:ascii="Verdana" w:eastAsiaTheme="minorHAnsi" w:hAnsi="Verdana" w:cs="Verdana"/>
          <w:color w:val="000000"/>
          <w:sz w:val="20"/>
          <w:szCs w:val="20"/>
          <w:lang w:val="es-CR"/>
        </w:rPr>
        <w:t xml:space="preserve"> </w:t>
      </w:r>
      <w:r w:rsidR="00AE135B">
        <w:rPr>
          <w:rFonts w:ascii="Verdana" w:eastAsiaTheme="minorHAnsi" w:hAnsi="Verdana" w:cs="Verdana"/>
          <w:color w:val="000000"/>
          <w:sz w:val="20"/>
          <w:szCs w:val="20"/>
          <w:lang w:val="es-CR"/>
        </w:rPr>
        <w:t>j</w:t>
      </w:r>
      <w:r w:rsidR="00F743A0" w:rsidRPr="008E74AA">
        <w:rPr>
          <w:rFonts w:ascii="Verdana" w:eastAsiaTheme="minorHAnsi" w:hAnsi="Verdana" w:cs="Verdana"/>
          <w:color w:val="000000"/>
          <w:sz w:val="20"/>
          <w:szCs w:val="20"/>
          <w:lang w:val="es-CR"/>
        </w:rPr>
        <w:t>uez cuenta con medidas cautelares ordenadas por la C</w:t>
      </w:r>
      <w:r w:rsidR="00A04BBD" w:rsidRPr="008E74AA">
        <w:rPr>
          <w:rFonts w:ascii="Verdana" w:eastAsiaTheme="minorHAnsi" w:hAnsi="Verdana" w:cs="Verdana"/>
          <w:color w:val="000000"/>
          <w:sz w:val="20"/>
          <w:szCs w:val="20"/>
          <w:lang w:val="es-CR"/>
        </w:rPr>
        <w:t>omisión Interamericana</w:t>
      </w:r>
      <w:r w:rsidR="00F743A0" w:rsidRPr="008E74AA">
        <w:rPr>
          <w:rFonts w:ascii="Verdana" w:eastAsiaTheme="minorHAnsi" w:hAnsi="Verdana" w:cs="Verdana"/>
          <w:color w:val="000000"/>
          <w:sz w:val="20"/>
          <w:szCs w:val="20"/>
          <w:lang w:val="es-CR"/>
        </w:rPr>
        <w:t>, “estas no han sido suficientes para evitar que ocurran los hechos de riesgo”.</w:t>
      </w:r>
    </w:p>
    <w:p w14:paraId="22F00D07" w14:textId="1D623E49" w:rsidR="00155BAE" w:rsidRPr="000D704D" w:rsidRDefault="00A04BBD" w:rsidP="000D704D">
      <w:pPr>
        <w:numPr>
          <w:ilvl w:val="0"/>
          <w:numId w:val="2"/>
        </w:numPr>
        <w:spacing w:before="120" w:after="120"/>
        <w:ind w:left="0" w:firstLine="0"/>
        <w:jc w:val="both"/>
        <w:rPr>
          <w:rFonts w:ascii="Verdana" w:eastAsiaTheme="minorHAnsi" w:hAnsi="Verdana" w:cs="Verdana"/>
          <w:color w:val="000000"/>
          <w:sz w:val="20"/>
          <w:szCs w:val="20"/>
          <w:lang w:val="es-CR"/>
        </w:rPr>
      </w:pPr>
      <w:r w:rsidRPr="008E74AA">
        <w:rPr>
          <w:rFonts w:ascii="Verdana" w:eastAsiaTheme="minorHAnsi" w:hAnsi="Verdana" w:cs="Verdana"/>
          <w:color w:val="000000"/>
          <w:sz w:val="20"/>
          <w:szCs w:val="20"/>
          <w:lang w:val="es-CR"/>
        </w:rPr>
        <w:t>L</w:t>
      </w:r>
      <w:r w:rsidR="00F743A0" w:rsidRPr="008E74AA">
        <w:rPr>
          <w:rFonts w:ascii="Verdana" w:eastAsiaTheme="minorHAnsi" w:hAnsi="Verdana" w:cs="Verdana"/>
          <w:color w:val="000000"/>
          <w:sz w:val="20"/>
          <w:szCs w:val="20"/>
          <w:lang w:val="es-CR"/>
        </w:rPr>
        <w:t>a urgencia</w:t>
      </w:r>
      <w:r w:rsidRPr="008E74AA">
        <w:rPr>
          <w:rFonts w:ascii="Verdana" w:eastAsiaTheme="minorHAnsi" w:hAnsi="Verdana" w:cs="Verdana"/>
          <w:color w:val="000000"/>
          <w:sz w:val="20"/>
          <w:szCs w:val="20"/>
          <w:lang w:val="es-CR"/>
        </w:rPr>
        <w:t xml:space="preserve"> en el presente caso</w:t>
      </w:r>
      <w:r w:rsidR="00F743A0" w:rsidRPr="008E74AA">
        <w:rPr>
          <w:rFonts w:ascii="Verdana" w:eastAsiaTheme="minorHAnsi" w:hAnsi="Verdana" w:cs="Verdana"/>
          <w:color w:val="000000"/>
          <w:sz w:val="20"/>
          <w:szCs w:val="20"/>
          <w:lang w:val="es-CR"/>
        </w:rPr>
        <w:t xml:space="preserve"> “se configura en tanto las amenazas y hostigamientos han aumentado en intensidad y violencia conforme el </w:t>
      </w:r>
      <w:r w:rsidR="00E62277">
        <w:rPr>
          <w:rFonts w:ascii="Verdana" w:eastAsiaTheme="minorHAnsi" w:hAnsi="Verdana" w:cs="Verdana"/>
          <w:color w:val="000000"/>
          <w:sz w:val="20"/>
          <w:szCs w:val="20"/>
          <w:lang w:val="es-CR"/>
        </w:rPr>
        <w:t>j</w:t>
      </w:r>
      <w:r w:rsidR="00F743A0" w:rsidRPr="008E74AA">
        <w:rPr>
          <w:rFonts w:ascii="Verdana" w:eastAsiaTheme="minorHAnsi" w:hAnsi="Verdana" w:cs="Verdana"/>
          <w:color w:val="000000"/>
          <w:sz w:val="20"/>
          <w:szCs w:val="20"/>
          <w:lang w:val="es-CR"/>
        </w:rPr>
        <w:t>uez Gálvez ha avanzado en el enjuiciamiento de los sindicados en el caso</w:t>
      </w:r>
      <w:r w:rsidR="00932849" w:rsidRPr="008E74AA">
        <w:rPr>
          <w:rFonts w:ascii="Verdana" w:eastAsiaTheme="minorHAnsi" w:hAnsi="Verdana" w:cs="Verdana"/>
          <w:color w:val="000000"/>
          <w:sz w:val="20"/>
          <w:szCs w:val="20"/>
          <w:lang w:val="es-CR"/>
        </w:rPr>
        <w:t>”</w:t>
      </w:r>
      <w:r w:rsidR="00F743A0" w:rsidRPr="008E74AA">
        <w:rPr>
          <w:rFonts w:ascii="Verdana" w:eastAsiaTheme="minorHAnsi" w:hAnsi="Verdana" w:cs="Verdana"/>
          <w:color w:val="000000"/>
          <w:sz w:val="20"/>
          <w:szCs w:val="20"/>
          <w:lang w:val="es-CR"/>
        </w:rPr>
        <w:t xml:space="preserve">. </w:t>
      </w:r>
      <w:r w:rsidR="001478D9">
        <w:rPr>
          <w:rFonts w:ascii="Verdana" w:eastAsiaTheme="minorHAnsi" w:hAnsi="Verdana" w:cs="Verdana"/>
          <w:color w:val="000000"/>
          <w:sz w:val="20"/>
          <w:szCs w:val="20"/>
          <w:lang w:val="es-CR"/>
        </w:rPr>
        <w:t xml:space="preserve">Afirmaron que </w:t>
      </w:r>
      <w:r w:rsidR="001478D9" w:rsidRPr="008E74AA">
        <w:rPr>
          <w:rFonts w:ascii="Verdana" w:eastAsiaTheme="minorHAnsi" w:hAnsi="Verdana" w:cs="Verdana"/>
          <w:color w:val="000000"/>
          <w:sz w:val="20"/>
          <w:szCs w:val="20"/>
          <w:lang w:val="es-CR"/>
        </w:rPr>
        <w:t>“</w:t>
      </w:r>
      <w:r w:rsidR="001478D9" w:rsidRPr="008E74AA">
        <w:rPr>
          <w:rFonts w:ascii="Verdana" w:hAnsi="Verdana"/>
          <w:sz w:val="20"/>
          <w:szCs w:val="20"/>
          <w:lang w:val="es-ES"/>
        </w:rPr>
        <w:t>las amenazas emitidas</w:t>
      </w:r>
      <w:r w:rsidR="001478D9" w:rsidRPr="008E74AA">
        <w:rPr>
          <w:rFonts w:ascii="Verdana" w:eastAsiaTheme="minorHAnsi" w:hAnsi="Verdana" w:cs="Verdana"/>
          <w:color w:val="000000"/>
          <w:sz w:val="20"/>
          <w:szCs w:val="20"/>
          <w:lang w:val="es-CR"/>
        </w:rPr>
        <w:t xml:space="preserve"> </w:t>
      </w:r>
      <w:r w:rsidR="001478D9" w:rsidRPr="008E74AA">
        <w:rPr>
          <w:rFonts w:ascii="Verdana" w:hAnsi="Verdana"/>
          <w:sz w:val="20"/>
          <w:szCs w:val="20"/>
          <w:lang w:val="es-ES"/>
        </w:rPr>
        <w:t xml:space="preserve">[en] redes sociales en contra del </w:t>
      </w:r>
      <w:r w:rsidR="00E62277">
        <w:rPr>
          <w:rFonts w:ascii="Verdana" w:hAnsi="Verdana"/>
          <w:sz w:val="20"/>
          <w:szCs w:val="20"/>
          <w:lang w:val="es-ES"/>
        </w:rPr>
        <w:t>j</w:t>
      </w:r>
      <w:r w:rsidR="001478D9" w:rsidRPr="008E74AA">
        <w:rPr>
          <w:rFonts w:ascii="Verdana" w:hAnsi="Verdana"/>
          <w:sz w:val="20"/>
          <w:szCs w:val="20"/>
          <w:lang w:val="es-ES"/>
        </w:rPr>
        <w:t>uez Gálvez no son un asunto de libertad de</w:t>
      </w:r>
      <w:r w:rsidR="001478D9" w:rsidRPr="008E74AA">
        <w:rPr>
          <w:rFonts w:ascii="Verdana" w:eastAsiaTheme="minorHAnsi" w:hAnsi="Verdana" w:cs="Verdana"/>
          <w:color w:val="000000"/>
          <w:sz w:val="20"/>
          <w:szCs w:val="20"/>
          <w:lang w:val="es-CR"/>
        </w:rPr>
        <w:t xml:space="preserve"> </w:t>
      </w:r>
      <w:r w:rsidR="001478D9" w:rsidRPr="008E74AA">
        <w:rPr>
          <w:rFonts w:ascii="Verdana" w:hAnsi="Verdana"/>
          <w:sz w:val="20"/>
          <w:szCs w:val="20"/>
          <w:lang w:val="es-ES"/>
        </w:rPr>
        <w:t xml:space="preserve">expresión, sino </w:t>
      </w:r>
      <w:r w:rsidR="001478D9" w:rsidRPr="00FC28AB">
        <w:rPr>
          <w:rFonts w:ascii="Verdana" w:hAnsi="Verdana"/>
          <w:sz w:val="20"/>
          <w:szCs w:val="20"/>
          <w:lang w:val="es-ES"/>
        </w:rPr>
        <w:t xml:space="preserve">de ataques directos a la independencia judicial”. </w:t>
      </w:r>
      <w:r w:rsidR="007C03FF" w:rsidRPr="00FC28AB">
        <w:rPr>
          <w:rFonts w:ascii="Verdana" w:eastAsiaTheme="minorHAnsi" w:hAnsi="Verdana" w:cs="Verdana"/>
          <w:color w:val="000000"/>
          <w:sz w:val="20"/>
          <w:szCs w:val="20"/>
          <w:lang w:val="es-CR"/>
        </w:rPr>
        <w:t>A su vez, e</w:t>
      </w:r>
      <w:r w:rsidR="00F743A0" w:rsidRPr="00FC28AB">
        <w:rPr>
          <w:rFonts w:ascii="Verdana" w:eastAsiaTheme="minorHAnsi" w:hAnsi="Verdana" w:cs="Verdana"/>
          <w:color w:val="000000"/>
          <w:sz w:val="20"/>
          <w:szCs w:val="20"/>
          <w:lang w:val="es-CR"/>
        </w:rPr>
        <w:t>xiste una posibilidad real de que la querella presentada el 11 de mayo de 2022</w:t>
      </w:r>
      <w:r w:rsidR="00932849" w:rsidRPr="00FC28AB">
        <w:rPr>
          <w:rFonts w:ascii="Verdana" w:eastAsiaTheme="minorHAnsi" w:hAnsi="Verdana" w:cs="Verdana"/>
          <w:color w:val="000000"/>
          <w:sz w:val="20"/>
          <w:szCs w:val="20"/>
          <w:lang w:val="es-CR"/>
        </w:rPr>
        <w:t xml:space="preserve"> </w:t>
      </w:r>
      <w:r w:rsidR="00F743A0" w:rsidRPr="00FC28AB">
        <w:rPr>
          <w:rFonts w:ascii="Verdana" w:eastAsiaTheme="minorHAnsi" w:hAnsi="Verdana" w:cs="Verdana"/>
          <w:color w:val="000000"/>
          <w:sz w:val="20"/>
          <w:szCs w:val="20"/>
          <w:lang w:val="es-CR"/>
        </w:rPr>
        <w:t>“avance de forma extraordinariamente veloz</w:t>
      </w:r>
      <w:r w:rsidR="00932849" w:rsidRPr="00FC28AB">
        <w:rPr>
          <w:rFonts w:ascii="Verdana" w:eastAsiaTheme="minorHAnsi" w:hAnsi="Verdana" w:cs="Verdana"/>
          <w:color w:val="000000"/>
          <w:sz w:val="20"/>
          <w:szCs w:val="20"/>
          <w:lang w:val="es-CR"/>
        </w:rPr>
        <w:t>”</w:t>
      </w:r>
      <w:r w:rsidR="00F743A0" w:rsidRPr="00FC28AB">
        <w:rPr>
          <w:rFonts w:ascii="Verdana" w:eastAsiaTheme="minorHAnsi" w:hAnsi="Verdana" w:cs="Verdana"/>
          <w:color w:val="000000"/>
          <w:sz w:val="20"/>
          <w:szCs w:val="20"/>
          <w:lang w:val="es-CR"/>
        </w:rPr>
        <w:t>. “A</w:t>
      </w:r>
      <w:r w:rsidR="00F743A0" w:rsidRPr="008E74AA">
        <w:rPr>
          <w:rFonts w:ascii="Verdana" w:eastAsiaTheme="minorHAnsi" w:hAnsi="Verdana" w:cs="Verdana"/>
          <w:color w:val="000000"/>
          <w:sz w:val="20"/>
          <w:szCs w:val="20"/>
          <w:lang w:val="es-CR"/>
        </w:rPr>
        <w:t xml:space="preserve"> ello se suman la existencia de otros procesos que existen en</w:t>
      </w:r>
      <w:r w:rsidR="00534FCE" w:rsidRPr="008E74AA">
        <w:rPr>
          <w:rFonts w:ascii="Verdana" w:eastAsiaTheme="minorHAnsi" w:hAnsi="Verdana" w:cs="Verdana"/>
          <w:color w:val="000000"/>
          <w:sz w:val="20"/>
          <w:szCs w:val="20"/>
          <w:lang w:val="es-CR"/>
        </w:rPr>
        <w:t xml:space="preserve"> [su]</w:t>
      </w:r>
      <w:r w:rsidR="00F743A0" w:rsidRPr="008E74AA">
        <w:rPr>
          <w:rFonts w:ascii="Verdana" w:eastAsiaTheme="minorHAnsi" w:hAnsi="Verdana" w:cs="Verdana"/>
          <w:color w:val="000000"/>
          <w:sz w:val="20"/>
          <w:szCs w:val="20"/>
          <w:lang w:val="es-CR"/>
        </w:rPr>
        <w:t xml:space="preserve"> contra </w:t>
      </w:r>
      <w:r w:rsidR="00534FCE" w:rsidRPr="008E74AA">
        <w:rPr>
          <w:rFonts w:ascii="Verdana" w:eastAsiaTheme="minorHAnsi" w:hAnsi="Verdana" w:cs="Verdana"/>
          <w:color w:val="000000"/>
          <w:sz w:val="20"/>
          <w:szCs w:val="20"/>
          <w:lang w:val="es-CR"/>
        </w:rPr>
        <w:t>[…]</w:t>
      </w:r>
      <w:r w:rsidR="00F743A0" w:rsidRPr="008E74AA">
        <w:rPr>
          <w:rFonts w:ascii="Verdana" w:eastAsiaTheme="minorHAnsi" w:hAnsi="Verdana" w:cs="Verdana"/>
          <w:color w:val="000000"/>
          <w:sz w:val="20"/>
          <w:szCs w:val="20"/>
          <w:lang w:val="es-CR"/>
        </w:rPr>
        <w:t xml:space="preserve"> que podrían ser instrumentalizados para obstaculizar su labor”. </w:t>
      </w:r>
      <w:r w:rsidR="006A3589" w:rsidRPr="008E74AA">
        <w:rPr>
          <w:rFonts w:ascii="Verdana" w:eastAsiaTheme="minorHAnsi" w:hAnsi="Verdana" w:cs="Verdana"/>
          <w:color w:val="000000"/>
          <w:sz w:val="20"/>
          <w:szCs w:val="20"/>
          <w:lang w:val="es-CR"/>
        </w:rPr>
        <w:t xml:space="preserve">Además, dicho </w:t>
      </w:r>
      <w:r w:rsidR="00AE135B">
        <w:rPr>
          <w:rFonts w:ascii="Verdana" w:eastAsiaTheme="minorHAnsi" w:hAnsi="Verdana" w:cs="Verdana"/>
          <w:color w:val="000000"/>
          <w:sz w:val="20"/>
          <w:szCs w:val="20"/>
          <w:lang w:val="es-CR"/>
        </w:rPr>
        <w:t>j</w:t>
      </w:r>
      <w:r w:rsidR="006A3589" w:rsidRPr="008E74AA">
        <w:rPr>
          <w:rFonts w:ascii="Verdana" w:eastAsiaTheme="minorHAnsi" w:hAnsi="Verdana" w:cs="Verdana"/>
          <w:color w:val="000000"/>
          <w:sz w:val="20"/>
          <w:szCs w:val="20"/>
          <w:lang w:val="es-CR"/>
        </w:rPr>
        <w:t xml:space="preserve">uez </w:t>
      </w:r>
      <w:r w:rsidR="00F743A0" w:rsidRPr="008E74AA">
        <w:rPr>
          <w:rFonts w:ascii="Verdana" w:eastAsiaTheme="minorHAnsi" w:hAnsi="Verdana" w:cs="Verdana"/>
          <w:color w:val="000000"/>
          <w:sz w:val="20"/>
          <w:szCs w:val="20"/>
          <w:lang w:val="es-CR"/>
        </w:rPr>
        <w:t xml:space="preserve">“va a continuar expuesto a un elevadísimo riesgo en las </w:t>
      </w:r>
      <w:r w:rsidR="00F743A0" w:rsidRPr="008E74AA">
        <w:rPr>
          <w:rFonts w:ascii="Verdana" w:eastAsiaTheme="minorHAnsi" w:hAnsi="Verdana" w:cs="Verdana"/>
          <w:color w:val="000000"/>
          <w:sz w:val="20"/>
          <w:szCs w:val="20"/>
          <w:lang w:val="es-CR"/>
        </w:rPr>
        <w:lastRenderedPageBreak/>
        <w:t>próximas semanas cuando tenga que decidir sobre la situación jurídica de los otros</w:t>
      </w:r>
      <w:r w:rsidR="00FD7F01" w:rsidRPr="008E74AA">
        <w:rPr>
          <w:rFonts w:ascii="Verdana" w:eastAsiaTheme="minorHAnsi" w:hAnsi="Verdana" w:cs="Verdana"/>
          <w:color w:val="000000"/>
          <w:sz w:val="20"/>
          <w:szCs w:val="20"/>
          <w:lang w:val="es-CR"/>
        </w:rPr>
        <w:t xml:space="preserve"> </w:t>
      </w:r>
      <w:r w:rsidR="00F743A0" w:rsidRPr="008E74AA">
        <w:rPr>
          <w:rFonts w:ascii="Verdana" w:eastAsiaTheme="minorHAnsi" w:hAnsi="Verdana" w:cs="Verdana"/>
          <w:color w:val="000000"/>
          <w:sz w:val="20"/>
          <w:szCs w:val="20"/>
          <w:lang w:val="es-CR"/>
        </w:rPr>
        <w:t xml:space="preserve">sindicados”. </w:t>
      </w:r>
      <w:r w:rsidR="00155BAE">
        <w:rPr>
          <w:rFonts w:ascii="Verdana" w:eastAsiaTheme="minorHAnsi" w:hAnsi="Verdana" w:cs="Verdana"/>
          <w:color w:val="000000"/>
          <w:sz w:val="20"/>
          <w:szCs w:val="20"/>
          <w:lang w:val="es-CR"/>
        </w:rPr>
        <w:t>S</w:t>
      </w:r>
      <w:r w:rsidR="00F743A0" w:rsidRPr="008E74AA">
        <w:rPr>
          <w:rFonts w:ascii="Verdana" w:eastAsiaTheme="minorHAnsi" w:hAnsi="Verdana" w:cs="Verdana"/>
          <w:color w:val="000000"/>
          <w:sz w:val="20"/>
          <w:szCs w:val="20"/>
          <w:lang w:val="es-CR"/>
        </w:rPr>
        <w:t xml:space="preserve">i bien </w:t>
      </w:r>
      <w:r w:rsidR="00155BAE">
        <w:rPr>
          <w:rFonts w:ascii="Verdana" w:eastAsiaTheme="minorHAnsi" w:hAnsi="Verdana" w:cs="Verdana"/>
          <w:color w:val="000000"/>
          <w:sz w:val="20"/>
          <w:szCs w:val="20"/>
          <w:lang w:val="es-CR"/>
        </w:rPr>
        <w:t>“</w:t>
      </w:r>
      <w:r w:rsidR="00F743A0" w:rsidRPr="008E74AA">
        <w:rPr>
          <w:rFonts w:ascii="Verdana" w:eastAsiaTheme="minorHAnsi" w:hAnsi="Verdana" w:cs="Verdana"/>
          <w:color w:val="000000"/>
          <w:sz w:val="20"/>
          <w:szCs w:val="20"/>
          <w:lang w:val="es-CR"/>
        </w:rPr>
        <w:t>los hechos intimidatorios sufridos por el propuesto beneficiario han sido denunciados, estos no han sido investigados”.</w:t>
      </w:r>
      <w:r w:rsidR="00155BAE">
        <w:rPr>
          <w:rFonts w:ascii="Verdana" w:eastAsiaTheme="minorHAnsi" w:hAnsi="Verdana" w:cs="Verdana"/>
          <w:color w:val="000000"/>
          <w:sz w:val="20"/>
          <w:szCs w:val="20"/>
          <w:lang w:val="es-CR"/>
        </w:rPr>
        <w:t xml:space="preserve"> Al respecto, </w:t>
      </w:r>
      <w:r w:rsidR="00155BAE" w:rsidRPr="00155BAE">
        <w:rPr>
          <w:rFonts w:ascii="Verdana" w:eastAsiaTheme="minorHAnsi" w:hAnsi="Verdana" w:cs="Verdana"/>
          <w:color w:val="000000"/>
          <w:sz w:val="20"/>
          <w:szCs w:val="20"/>
          <w:lang w:val="es-CR"/>
        </w:rPr>
        <w:t xml:space="preserve">“el hecho de que los magistrados de la Corte Suprema de Justicia no se hayan pronunciado sobre los problemas y sobre la interferencia en su la independencia judicial que está experimentando el </w:t>
      </w:r>
      <w:r w:rsidR="00E62277">
        <w:rPr>
          <w:rFonts w:ascii="Verdana" w:eastAsiaTheme="minorHAnsi" w:hAnsi="Verdana" w:cs="Verdana"/>
          <w:color w:val="000000"/>
          <w:sz w:val="20"/>
          <w:szCs w:val="20"/>
          <w:lang w:val="es-CR"/>
        </w:rPr>
        <w:t>j</w:t>
      </w:r>
      <w:r w:rsidR="00155BAE" w:rsidRPr="00155BAE">
        <w:rPr>
          <w:rFonts w:ascii="Verdana" w:eastAsiaTheme="minorHAnsi" w:hAnsi="Verdana" w:cs="Verdana"/>
          <w:color w:val="000000"/>
          <w:sz w:val="20"/>
          <w:szCs w:val="20"/>
          <w:lang w:val="es-CR"/>
        </w:rPr>
        <w:t>uez Gálvez agrava aún más su situación</w:t>
      </w:r>
      <w:r w:rsidR="00155BAE" w:rsidRPr="000D704D">
        <w:rPr>
          <w:rFonts w:ascii="Verdana" w:eastAsiaTheme="minorHAnsi" w:hAnsi="Verdana" w:cs="Verdana"/>
          <w:color w:val="000000"/>
          <w:sz w:val="20"/>
          <w:szCs w:val="20"/>
          <w:lang w:val="es-CR"/>
        </w:rPr>
        <w:t xml:space="preserve">” </w:t>
      </w:r>
      <w:r w:rsidR="000D704D" w:rsidRPr="000D704D">
        <w:rPr>
          <w:rFonts w:ascii="Verdana" w:eastAsiaTheme="minorHAnsi" w:hAnsi="Verdana" w:cs="Verdana"/>
          <w:color w:val="000000"/>
          <w:sz w:val="20"/>
          <w:szCs w:val="20"/>
          <w:lang w:val="es-CR"/>
        </w:rPr>
        <w:t>(</w:t>
      </w:r>
      <w:r w:rsidR="000D704D" w:rsidRPr="000D704D">
        <w:rPr>
          <w:rFonts w:ascii="Verdana" w:eastAsiaTheme="minorHAnsi" w:hAnsi="Verdana" w:cs="Verdana"/>
          <w:i/>
          <w:iCs/>
          <w:color w:val="000000"/>
          <w:sz w:val="20"/>
          <w:szCs w:val="20"/>
          <w:lang w:val="es-CR"/>
        </w:rPr>
        <w:t>supra</w:t>
      </w:r>
      <w:r w:rsidR="000D704D" w:rsidRPr="000D704D">
        <w:rPr>
          <w:rFonts w:ascii="Verdana" w:eastAsiaTheme="minorHAnsi" w:hAnsi="Verdana" w:cs="Verdana"/>
          <w:color w:val="000000"/>
          <w:sz w:val="20"/>
          <w:szCs w:val="20"/>
          <w:lang w:val="es-CR"/>
        </w:rPr>
        <w:t xml:space="preserve"> Considerando 8.d).</w:t>
      </w:r>
    </w:p>
    <w:p w14:paraId="77E845EA" w14:textId="36904F7E" w:rsidR="00006271" w:rsidRPr="007172C7" w:rsidRDefault="00D11995" w:rsidP="009A632E">
      <w:pPr>
        <w:numPr>
          <w:ilvl w:val="0"/>
          <w:numId w:val="2"/>
        </w:numPr>
        <w:spacing w:before="120" w:after="120"/>
        <w:ind w:left="0" w:firstLine="0"/>
        <w:jc w:val="both"/>
        <w:rPr>
          <w:rFonts w:ascii="Verdana" w:eastAsiaTheme="minorHAnsi" w:hAnsi="Verdana" w:cs="Verdana"/>
          <w:color w:val="000000"/>
          <w:sz w:val="20"/>
          <w:szCs w:val="20"/>
          <w:lang w:val="es-CR"/>
        </w:rPr>
      </w:pPr>
      <w:r w:rsidRPr="008E74AA">
        <w:rPr>
          <w:rFonts w:ascii="Verdana" w:eastAsiaTheme="minorHAnsi" w:hAnsi="Verdana" w:cs="Verdana"/>
          <w:color w:val="000000"/>
          <w:sz w:val="20"/>
          <w:szCs w:val="20"/>
          <w:lang w:val="es-CR"/>
        </w:rPr>
        <w:t>Argumentaron</w:t>
      </w:r>
      <w:r w:rsidR="00F743A0" w:rsidRPr="008E74AA">
        <w:rPr>
          <w:rFonts w:ascii="Verdana" w:eastAsiaTheme="minorHAnsi" w:hAnsi="Verdana" w:cs="Verdana"/>
          <w:color w:val="000000"/>
          <w:sz w:val="20"/>
          <w:szCs w:val="20"/>
          <w:lang w:val="es-CR"/>
        </w:rPr>
        <w:t xml:space="preserve"> que existe </w:t>
      </w:r>
      <w:proofErr w:type="spellStart"/>
      <w:r w:rsidR="00F743A0" w:rsidRPr="008E74AA">
        <w:rPr>
          <w:rFonts w:ascii="Verdana" w:eastAsiaTheme="minorHAnsi" w:hAnsi="Verdana" w:cs="Verdana"/>
          <w:bCs/>
          <w:color w:val="000000"/>
          <w:sz w:val="20"/>
          <w:szCs w:val="20"/>
          <w:lang w:val="es-CR"/>
        </w:rPr>
        <w:t>irreparabilidad</w:t>
      </w:r>
      <w:proofErr w:type="spellEnd"/>
      <w:r w:rsidR="00F743A0" w:rsidRPr="008E74AA">
        <w:rPr>
          <w:rFonts w:ascii="Verdana" w:eastAsiaTheme="minorHAnsi" w:hAnsi="Verdana" w:cs="Verdana"/>
          <w:bCs/>
          <w:color w:val="000000"/>
          <w:sz w:val="20"/>
          <w:szCs w:val="20"/>
          <w:lang w:val="es-CR"/>
        </w:rPr>
        <w:t xml:space="preserve"> del daño</w:t>
      </w:r>
      <w:r w:rsidR="00F743A0" w:rsidRPr="008E74AA">
        <w:rPr>
          <w:rFonts w:ascii="Verdana" w:hAnsi="Verdana"/>
          <w:sz w:val="20"/>
          <w:szCs w:val="20"/>
        </w:rPr>
        <w:t xml:space="preserve">, </w:t>
      </w:r>
      <w:r w:rsidR="007C03FF" w:rsidRPr="008E74AA">
        <w:rPr>
          <w:rFonts w:ascii="Verdana" w:hAnsi="Verdana"/>
          <w:sz w:val="20"/>
          <w:szCs w:val="20"/>
        </w:rPr>
        <w:t>“</w:t>
      </w:r>
      <w:r w:rsidR="00F743A0" w:rsidRPr="008E74AA">
        <w:rPr>
          <w:rFonts w:ascii="Verdana" w:hAnsi="Verdana"/>
          <w:sz w:val="20"/>
          <w:szCs w:val="20"/>
        </w:rPr>
        <w:t xml:space="preserve">puesto que ya existen incidentes de riesgos en contra de su vida e integridad, ambos bienes jurídicos </w:t>
      </w:r>
      <w:r w:rsidR="00F743A0" w:rsidRPr="007172C7">
        <w:rPr>
          <w:rFonts w:ascii="Verdana" w:hAnsi="Verdana"/>
          <w:sz w:val="20"/>
          <w:szCs w:val="20"/>
        </w:rPr>
        <w:t>irreparables. Además, la salida del juez del proceso resultaría en la pérdida definitiva de los avances que hasta la fecha se han logrado en las investigaciones de los hechos a los que se refiere este caso, generando que los mismos permanezcan en la impunidad”.</w:t>
      </w:r>
    </w:p>
    <w:p w14:paraId="66703DA7" w14:textId="3F1403EA" w:rsidR="00AC7D14" w:rsidRPr="007172C7" w:rsidRDefault="00046F73" w:rsidP="007172C7">
      <w:pPr>
        <w:numPr>
          <w:ilvl w:val="0"/>
          <w:numId w:val="2"/>
        </w:numPr>
        <w:spacing w:before="120" w:after="120"/>
        <w:ind w:left="0" w:firstLine="0"/>
        <w:jc w:val="both"/>
        <w:rPr>
          <w:rFonts w:ascii="Verdana" w:hAnsi="Verdana"/>
          <w:sz w:val="20"/>
          <w:szCs w:val="20"/>
          <w:lang w:val="es-ES"/>
        </w:rPr>
      </w:pPr>
      <w:r w:rsidRPr="007172C7">
        <w:rPr>
          <w:rFonts w:ascii="Verdana" w:hAnsi="Verdana"/>
          <w:sz w:val="20"/>
          <w:szCs w:val="20"/>
          <w:lang w:val="es-ES"/>
        </w:rPr>
        <w:t>En lo que respecta a l</w:t>
      </w:r>
      <w:r w:rsidR="007172C7" w:rsidRPr="007172C7">
        <w:rPr>
          <w:rFonts w:ascii="Verdana" w:hAnsi="Verdana"/>
          <w:sz w:val="20"/>
          <w:szCs w:val="20"/>
          <w:lang w:val="es-ES"/>
        </w:rPr>
        <w:t xml:space="preserve">o </w:t>
      </w:r>
      <w:r w:rsidR="007172C7" w:rsidRPr="000D704D">
        <w:rPr>
          <w:rFonts w:ascii="Verdana" w:hAnsi="Verdana"/>
          <w:sz w:val="20"/>
          <w:szCs w:val="20"/>
          <w:lang w:val="es-ES"/>
        </w:rPr>
        <w:t>alegado por el Estado sobre las</w:t>
      </w:r>
      <w:r w:rsidRPr="000D704D">
        <w:rPr>
          <w:rFonts w:ascii="Verdana" w:hAnsi="Verdana"/>
          <w:sz w:val="20"/>
          <w:szCs w:val="20"/>
          <w:lang w:val="es-ES"/>
        </w:rPr>
        <w:t xml:space="preserve"> medidas cautelares</w:t>
      </w:r>
      <w:r w:rsidR="007172C7" w:rsidRPr="000D704D">
        <w:rPr>
          <w:rFonts w:ascii="Verdana" w:hAnsi="Verdana"/>
          <w:sz w:val="20"/>
          <w:szCs w:val="20"/>
          <w:lang w:val="es-ES"/>
        </w:rPr>
        <w:t xml:space="preserve"> adoptadas por la Comisión Interamericana a favor del </w:t>
      </w:r>
      <w:r w:rsidRPr="000D704D">
        <w:rPr>
          <w:rFonts w:ascii="Verdana" w:hAnsi="Verdana"/>
          <w:sz w:val="20"/>
          <w:szCs w:val="20"/>
          <w:lang w:val="es-ES"/>
        </w:rPr>
        <w:t>juez Gálvez</w:t>
      </w:r>
      <w:r w:rsidR="007172C7" w:rsidRPr="000D704D">
        <w:rPr>
          <w:rFonts w:ascii="Verdana" w:hAnsi="Verdana"/>
          <w:sz w:val="20"/>
          <w:szCs w:val="20"/>
          <w:lang w:val="es-ES"/>
        </w:rPr>
        <w:t xml:space="preserve"> </w:t>
      </w:r>
      <w:r w:rsidR="000D704D" w:rsidRPr="000D704D">
        <w:rPr>
          <w:rFonts w:ascii="Verdana" w:hAnsi="Verdana"/>
          <w:sz w:val="20"/>
          <w:szCs w:val="20"/>
          <w:lang w:val="es-ES"/>
        </w:rPr>
        <w:t>(</w:t>
      </w:r>
      <w:r w:rsidR="000D704D" w:rsidRPr="000D704D">
        <w:rPr>
          <w:rFonts w:ascii="Verdana" w:hAnsi="Verdana"/>
          <w:i/>
          <w:iCs/>
          <w:sz w:val="20"/>
          <w:szCs w:val="20"/>
          <w:lang w:val="es-ES"/>
        </w:rPr>
        <w:t xml:space="preserve">infra </w:t>
      </w:r>
      <w:r w:rsidR="000D704D" w:rsidRPr="000D704D">
        <w:rPr>
          <w:rFonts w:ascii="Verdana" w:hAnsi="Verdana"/>
          <w:sz w:val="20"/>
          <w:szCs w:val="20"/>
          <w:lang w:val="es-ES"/>
        </w:rPr>
        <w:t>Considerandos 13.d, 13.e y 14)</w:t>
      </w:r>
      <w:r w:rsidR="00BB41CD" w:rsidRPr="000D704D">
        <w:rPr>
          <w:rFonts w:ascii="Verdana" w:hAnsi="Verdana"/>
          <w:sz w:val="20"/>
          <w:szCs w:val="20"/>
          <w:lang w:val="es-ES"/>
        </w:rPr>
        <w:t xml:space="preserve">, </w:t>
      </w:r>
      <w:r w:rsidR="008F531D" w:rsidRPr="000D704D">
        <w:rPr>
          <w:rFonts w:ascii="Verdana" w:hAnsi="Verdana"/>
          <w:sz w:val="20"/>
          <w:szCs w:val="20"/>
          <w:lang w:val="es-ES"/>
        </w:rPr>
        <w:t>e</w:t>
      </w:r>
      <w:r w:rsidR="00744103" w:rsidRPr="000D704D">
        <w:rPr>
          <w:rFonts w:ascii="Verdana" w:hAnsi="Verdana"/>
          <w:sz w:val="20"/>
          <w:szCs w:val="20"/>
          <w:lang w:val="es-ES"/>
        </w:rPr>
        <w:t>xplicaron</w:t>
      </w:r>
      <w:r w:rsidR="00744103" w:rsidRPr="007172C7">
        <w:rPr>
          <w:rFonts w:ascii="Verdana" w:hAnsi="Verdana"/>
          <w:sz w:val="20"/>
          <w:szCs w:val="20"/>
          <w:lang w:val="es-ES"/>
        </w:rPr>
        <w:t xml:space="preserve"> que </w:t>
      </w:r>
      <w:r w:rsidR="009A632E" w:rsidRPr="007172C7">
        <w:rPr>
          <w:rFonts w:ascii="Verdana" w:hAnsi="Verdana"/>
          <w:sz w:val="20"/>
          <w:szCs w:val="20"/>
          <w:lang w:val="es-ES"/>
        </w:rPr>
        <w:t xml:space="preserve">este </w:t>
      </w:r>
      <w:r w:rsidR="00744103" w:rsidRPr="007172C7">
        <w:rPr>
          <w:rFonts w:ascii="Verdana" w:hAnsi="Verdana"/>
          <w:sz w:val="20"/>
          <w:szCs w:val="20"/>
          <w:lang w:val="es-ES"/>
        </w:rPr>
        <w:t xml:space="preserve">“ha sido víctima de amenazas por su trabajo a través de los </w:t>
      </w:r>
      <w:proofErr w:type="gramStart"/>
      <w:r w:rsidR="00744103" w:rsidRPr="007172C7">
        <w:rPr>
          <w:rFonts w:ascii="Verdana" w:hAnsi="Verdana"/>
          <w:sz w:val="20"/>
          <w:szCs w:val="20"/>
          <w:lang w:val="es-ES"/>
        </w:rPr>
        <w:t>años[</w:t>
      </w:r>
      <w:proofErr w:type="gramEnd"/>
      <w:r w:rsidR="00744103" w:rsidRPr="007172C7">
        <w:rPr>
          <w:rFonts w:ascii="Verdana" w:hAnsi="Verdana"/>
          <w:sz w:val="20"/>
          <w:szCs w:val="20"/>
          <w:lang w:val="es-ES"/>
        </w:rPr>
        <w:t xml:space="preserve">,] lo que justificó la adopción de </w:t>
      </w:r>
      <w:r w:rsidRPr="007172C7">
        <w:rPr>
          <w:rFonts w:ascii="Verdana" w:hAnsi="Verdana"/>
          <w:sz w:val="20"/>
          <w:szCs w:val="20"/>
          <w:lang w:val="es-ES"/>
        </w:rPr>
        <w:t>[</w:t>
      </w:r>
      <w:r w:rsidR="009A632E" w:rsidRPr="007172C7">
        <w:rPr>
          <w:rFonts w:ascii="Verdana" w:hAnsi="Verdana"/>
          <w:sz w:val="20"/>
          <w:szCs w:val="20"/>
          <w:lang w:val="es-ES"/>
        </w:rPr>
        <w:t>tales</w:t>
      </w:r>
      <w:r w:rsidRPr="007172C7">
        <w:rPr>
          <w:rFonts w:ascii="Verdana" w:hAnsi="Verdana"/>
          <w:sz w:val="20"/>
          <w:szCs w:val="20"/>
          <w:lang w:val="es-ES"/>
        </w:rPr>
        <w:t xml:space="preserve">] </w:t>
      </w:r>
      <w:r w:rsidR="00744103" w:rsidRPr="007172C7">
        <w:rPr>
          <w:rFonts w:ascii="Verdana" w:hAnsi="Verdana"/>
          <w:sz w:val="20"/>
          <w:szCs w:val="20"/>
          <w:lang w:val="es-ES"/>
        </w:rPr>
        <w:t>medidas”,</w:t>
      </w:r>
      <w:r w:rsidR="008F531D" w:rsidRPr="007172C7">
        <w:rPr>
          <w:rFonts w:ascii="Verdana" w:hAnsi="Verdana"/>
          <w:sz w:val="20"/>
          <w:szCs w:val="20"/>
          <w:lang w:val="es-ES"/>
        </w:rPr>
        <w:t xml:space="preserve"> pero </w:t>
      </w:r>
      <w:r w:rsidR="009A632E" w:rsidRPr="007172C7">
        <w:rPr>
          <w:rFonts w:ascii="Verdana" w:hAnsi="Verdana"/>
          <w:sz w:val="20"/>
          <w:szCs w:val="20"/>
          <w:lang w:val="es-ES"/>
        </w:rPr>
        <w:t>su</w:t>
      </w:r>
      <w:r w:rsidR="008F531D" w:rsidRPr="007172C7">
        <w:rPr>
          <w:rFonts w:ascii="Verdana" w:hAnsi="Verdana"/>
          <w:sz w:val="20"/>
          <w:szCs w:val="20"/>
          <w:lang w:val="es-ES"/>
        </w:rPr>
        <w:t xml:space="preserve"> vigencia no es un impedimento para el otorgamiento de medidas provisionales. Al respecto, sostuvieron que el actual “incremento del riesgo al que está sometido” sería a raíz de su participación en el proceso penal relacionado con el cumplimiento de la Sentencia del caso “Diario Militar”</w:t>
      </w:r>
      <w:r w:rsidR="00EA24AA" w:rsidRPr="007172C7">
        <w:rPr>
          <w:rFonts w:ascii="Verdana" w:hAnsi="Verdana"/>
          <w:sz w:val="20"/>
          <w:szCs w:val="20"/>
          <w:lang w:val="es-ES"/>
        </w:rPr>
        <w:t>.</w:t>
      </w:r>
      <w:r w:rsidR="00C7136E" w:rsidRPr="007172C7">
        <w:rPr>
          <w:rFonts w:ascii="Verdana" w:hAnsi="Verdana"/>
          <w:sz w:val="20"/>
          <w:szCs w:val="20"/>
          <w:lang w:val="es-ES"/>
        </w:rPr>
        <w:t xml:space="preserve"> Asimismo</w:t>
      </w:r>
      <w:r w:rsidR="00DB053A" w:rsidRPr="007172C7">
        <w:rPr>
          <w:rFonts w:ascii="Verdana" w:hAnsi="Verdana"/>
          <w:sz w:val="20"/>
          <w:szCs w:val="20"/>
          <w:lang w:val="es-ES"/>
        </w:rPr>
        <w:t xml:space="preserve">, </w:t>
      </w:r>
      <w:r w:rsidR="007172C7" w:rsidRPr="007172C7">
        <w:rPr>
          <w:rFonts w:ascii="Verdana" w:hAnsi="Verdana"/>
          <w:sz w:val="20"/>
          <w:szCs w:val="20"/>
          <w:lang w:val="es-ES"/>
        </w:rPr>
        <w:t xml:space="preserve">en cuanto a las medidas de protección que el Estado </w:t>
      </w:r>
      <w:r w:rsidR="000D704D">
        <w:rPr>
          <w:rFonts w:ascii="Verdana" w:hAnsi="Verdana"/>
          <w:sz w:val="20"/>
          <w:szCs w:val="20"/>
          <w:lang w:val="es-ES"/>
        </w:rPr>
        <w:t>h</w:t>
      </w:r>
      <w:r w:rsidR="007172C7" w:rsidRPr="007172C7">
        <w:rPr>
          <w:rFonts w:ascii="Verdana" w:hAnsi="Verdana"/>
          <w:sz w:val="20"/>
          <w:szCs w:val="20"/>
          <w:lang w:val="es-ES"/>
        </w:rPr>
        <w:t xml:space="preserve">a adoptado a nivel </w:t>
      </w:r>
      <w:r w:rsidR="007172C7" w:rsidRPr="000D704D">
        <w:rPr>
          <w:rFonts w:ascii="Verdana" w:hAnsi="Verdana"/>
          <w:sz w:val="20"/>
          <w:szCs w:val="20"/>
          <w:lang w:val="es-ES"/>
        </w:rPr>
        <w:t xml:space="preserve">interno </w:t>
      </w:r>
      <w:r w:rsidR="000D704D" w:rsidRPr="000D704D">
        <w:rPr>
          <w:rFonts w:ascii="Verdana" w:hAnsi="Verdana"/>
          <w:sz w:val="20"/>
          <w:szCs w:val="20"/>
          <w:lang w:val="es-ES"/>
        </w:rPr>
        <w:t>(</w:t>
      </w:r>
      <w:r w:rsidR="000D704D" w:rsidRPr="000D704D">
        <w:rPr>
          <w:rFonts w:ascii="Verdana" w:hAnsi="Verdana"/>
          <w:i/>
          <w:iCs/>
          <w:sz w:val="20"/>
          <w:szCs w:val="20"/>
          <w:lang w:val="es-ES"/>
        </w:rPr>
        <w:t xml:space="preserve">infra </w:t>
      </w:r>
      <w:r w:rsidR="000D704D" w:rsidRPr="000D704D">
        <w:rPr>
          <w:rFonts w:ascii="Verdana" w:hAnsi="Verdana"/>
          <w:sz w:val="20"/>
          <w:szCs w:val="20"/>
          <w:lang w:val="es-ES"/>
        </w:rPr>
        <w:t>Considerando 13.c)</w:t>
      </w:r>
      <w:r w:rsidR="007172C7" w:rsidRPr="000D704D">
        <w:rPr>
          <w:rFonts w:ascii="Verdana" w:hAnsi="Verdana"/>
          <w:sz w:val="20"/>
          <w:szCs w:val="20"/>
          <w:lang w:val="es-ES"/>
        </w:rPr>
        <w:t xml:space="preserve"> </w:t>
      </w:r>
      <w:r w:rsidR="00C7136E" w:rsidRPr="000D704D">
        <w:rPr>
          <w:rFonts w:ascii="Verdana" w:hAnsi="Verdana"/>
          <w:sz w:val="20"/>
          <w:szCs w:val="20"/>
          <w:lang w:val="es-ES"/>
        </w:rPr>
        <w:t>indicaron</w:t>
      </w:r>
      <w:r w:rsidR="00C7136E" w:rsidRPr="007172C7">
        <w:rPr>
          <w:rFonts w:ascii="Verdana" w:hAnsi="Verdana"/>
          <w:sz w:val="20"/>
          <w:szCs w:val="20"/>
          <w:lang w:val="es-ES"/>
        </w:rPr>
        <w:t xml:space="preserve"> que a pesar de que </w:t>
      </w:r>
      <w:r w:rsidR="00C570C9" w:rsidRPr="007172C7">
        <w:rPr>
          <w:rFonts w:ascii="Verdana" w:hAnsi="Verdana"/>
          <w:sz w:val="20"/>
          <w:szCs w:val="20"/>
          <w:lang w:val="es-ES"/>
        </w:rPr>
        <w:t xml:space="preserve">en </w:t>
      </w:r>
      <w:r w:rsidR="00EA24AA" w:rsidRPr="007172C7">
        <w:rPr>
          <w:rFonts w:ascii="Verdana" w:hAnsi="Verdana"/>
          <w:sz w:val="20"/>
          <w:szCs w:val="20"/>
          <w:lang w:val="es-ES"/>
        </w:rPr>
        <w:t>el más reciente análisis de riesgo practicado el 7 de marzo de 2022</w:t>
      </w:r>
      <w:r w:rsidR="00C570C9" w:rsidRPr="007172C7">
        <w:rPr>
          <w:rFonts w:ascii="Verdana" w:hAnsi="Verdana"/>
          <w:sz w:val="20"/>
          <w:szCs w:val="20"/>
          <w:lang w:val="es-ES"/>
        </w:rPr>
        <w:t xml:space="preserve"> se</w:t>
      </w:r>
      <w:r w:rsidR="00EA24AA" w:rsidRPr="007172C7">
        <w:rPr>
          <w:rFonts w:ascii="Verdana" w:hAnsi="Verdana"/>
          <w:sz w:val="20"/>
          <w:szCs w:val="20"/>
          <w:lang w:val="es-ES"/>
        </w:rPr>
        <w:t xml:space="preserve"> determinó que el nivel de riesgo del </w:t>
      </w:r>
      <w:r w:rsidR="00C7136E" w:rsidRPr="007172C7">
        <w:rPr>
          <w:rFonts w:ascii="Verdana" w:hAnsi="Verdana"/>
          <w:sz w:val="20"/>
          <w:szCs w:val="20"/>
          <w:lang w:val="es-ES"/>
        </w:rPr>
        <w:t>j</w:t>
      </w:r>
      <w:r w:rsidR="00EA24AA" w:rsidRPr="007172C7">
        <w:rPr>
          <w:rFonts w:ascii="Verdana" w:hAnsi="Verdana"/>
          <w:sz w:val="20"/>
          <w:szCs w:val="20"/>
          <w:lang w:val="es-ES"/>
        </w:rPr>
        <w:t>uez Gálvez era alto</w:t>
      </w:r>
      <w:r w:rsidR="00C570C9" w:rsidRPr="007172C7">
        <w:rPr>
          <w:rFonts w:ascii="Verdana" w:hAnsi="Verdana"/>
          <w:sz w:val="20"/>
          <w:szCs w:val="20"/>
          <w:lang w:val="es-ES"/>
        </w:rPr>
        <w:t>, “</w:t>
      </w:r>
      <w:r w:rsidR="00EA24AA" w:rsidRPr="007172C7">
        <w:rPr>
          <w:rFonts w:ascii="Verdana" w:hAnsi="Verdana"/>
          <w:sz w:val="20"/>
          <w:szCs w:val="20"/>
          <w:lang w:val="es-ES"/>
        </w:rPr>
        <w:t xml:space="preserve">el Estado no ha adoptado otro tipo de medidas para garantizar que </w:t>
      </w:r>
      <w:r w:rsidR="00C570C9" w:rsidRPr="007172C7">
        <w:rPr>
          <w:rFonts w:ascii="Verdana" w:hAnsi="Verdana"/>
          <w:sz w:val="20"/>
          <w:szCs w:val="20"/>
          <w:lang w:val="es-ES"/>
        </w:rPr>
        <w:t>[…]</w:t>
      </w:r>
      <w:r w:rsidR="00EA24AA" w:rsidRPr="007172C7">
        <w:rPr>
          <w:rFonts w:ascii="Verdana" w:hAnsi="Verdana"/>
          <w:sz w:val="20"/>
          <w:szCs w:val="20"/>
          <w:lang w:val="es-ES"/>
        </w:rPr>
        <w:t xml:space="preserve"> pueda realizar su labor en condiciones de independencia, como </w:t>
      </w:r>
      <w:r w:rsidR="00D26CE1" w:rsidRPr="007172C7">
        <w:rPr>
          <w:rFonts w:ascii="Verdana" w:hAnsi="Verdana"/>
          <w:sz w:val="20"/>
          <w:szCs w:val="20"/>
          <w:lang w:val="es-ES"/>
        </w:rPr>
        <w:t xml:space="preserve">[lo es] </w:t>
      </w:r>
      <w:r w:rsidR="00EA24AA" w:rsidRPr="007172C7">
        <w:rPr>
          <w:rFonts w:ascii="Verdana" w:hAnsi="Verdana"/>
          <w:sz w:val="20"/>
          <w:szCs w:val="20"/>
          <w:lang w:val="es-ES"/>
        </w:rPr>
        <w:t>legitimar</w:t>
      </w:r>
      <w:r w:rsidR="00C570C9" w:rsidRPr="007172C7">
        <w:rPr>
          <w:rFonts w:ascii="Verdana" w:hAnsi="Verdana"/>
          <w:sz w:val="20"/>
          <w:szCs w:val="20"/>
          <w:lang w:val="es-ES"/>
        </w:rPr>
        <w:t xml:space="preserve"> </w:t>
      </w:r>
      <w:r w:rsidR="00EA24AA" w:rsidRPr="007172C7">
        <w:rPr>
          <w:rFonts w:ascii="Verdana" w:hAnsi="Verdana"/>
          <w:sz w:val="20"/>
          <w:szCs w:val="20"/>
          <w:lang w:val="es-ES"/>
        </w:rPr>
        <w:t>públicamente su labor o impedir el avance de procesos de criminalización en su contra</w:t>
      </w:r>
      <w:r w:rsidR="00C570C9" w:rsidRPr="007172C7">
        <w:rPr>
          <w:rFonts w:ascii="Verdana" w:hAnsi="Verdana"/>
          <w:sz w:val="20"/>
          <w:szCs w:val="20"/>
          <w:lang w:val="es-ES"/>
        </w:rPr>
        <w:t xml:space="preserve"> </w:t>
      </w:r>
      <w:r w:rsidR="00EA24AA" w:rsidRPr="007172C7">
        <w:rPr>
          <w:rFonts w:ascii="Verdana" w:hAnsi="Verdana"/>
          <w:sz w:val="20"/>
          <w:szCs w:val="20"/>
          <w:lang w:val="es-ES"/>
        </w:rPr>
        <w:t>o investigar los hechos que dieron origen a las medidas cautelares</w:t>
      </w:r>
      <w:r w:rsidR="00C570C9" w:rsidRPr="007172C7">
        <w:rPr>
          <w:rFonts w:ascii="Verdana" w:hAnsi="Verdana"/>
          <w:sz w:val="20"/>
          <w:szCs w:val="20"/>
          <w:lang w:val="es-ES"/>
        </w:rPr>
        <w:t xml:space="preserve">”. </w:t>
      </w:r>
      <w:r w:rsidR="00C7136E" w:rsidRPr="007172C7">
        <w:rPr>
          <w:rFonts w:ascii="Verdana" w:hAnsi="Verdana"/>
          <w:sz w:val="20"/>
          <w:szCs w:val="20"/>
          <w:lang w:val="es-ES"/>
        </w:rPr>
        <w:t>Asimismo</w:t>
      </w:r>
      <w:r w:rsidR="00C570C9" w:rsidRPr="007172C7">
        <w:rPr>
          <w:rFonts w:ascii="Verdana" w:hAnsi="Verdana"/>
          <w:sz w:val="20"/>
          <w:szCs w:val="20"/>
          <w:lang w:val="es-ES"/>
        </w:rPr>
        <w:t xml:space="preserve">, </w:t>
      </w:r>
      <w:r w:rsidR="00C7136E" w:rsidRPr="007172C7">
        <w:rPr>
          <w:rFonts w:ascii="Verdana" w:hAnsi="Verdana"/>
          <w:sz w:val="20"/>
          <w:szCs w:val="20"/>
          <w:lang w:val="es-ES"/>
        </w:rPr>
        <w:t xml:space="preserve">sostuvieron que, </w:t>
      </w:r>
      <w:r w:rsidR="00C570C9" w:rsidRPr="007172C7">
        <w:rPr>
          <w:rFonts w:ascii="Verdana" w:hAnsi="Verdana"/>
          <w:sz w:val="20"/>
          <w:szCs w:val="20"/>
          <w:lang w:val="es-ES"/>
        </w:rPr>
        <w:t xml:space="preserve">aun cuando el Estado ha sido informado de problemas </w:t>
      </w:r>
      <w:r w:rsidR="00006271" w:rsidRPr="007172C7">
        <w:rPr>
          <w:rFonts w:ascii="Verdana" w:hAnsi="Verdana"/>
          <w:sz w:val="20"/>
          <w:szCs w:val="20"/>
          <w:lang w:val="es-ES"/>
        </w:rPr>
        <w:t>en los esquemas de protección</w:t>
      </w:r>
      <w:r w:rsidR="00C570C9" w:rsidRPr="007172C7">
        <w:rPr>
          <w:rFonts w:ascii="Verdana" w:hAnsi="Verdana"/>
          <w:sz w:val="20"/>
          <w:szCs w:val="20"/>
          <w:lang w:val="es-ES"/>
        </w:rPr>
        <w:t xml:space="preserve">, estos no han sido </w:t>
      </w:r>
      <w:r w:rsidR="00006271" w:rsidRPr="007172C7">
        <w:rPr>
          <w:rFonts w:ascii="Verdana" w:hAnsi="Verdana"/>
          <w:sz w:val="20"/>
          <w:szCs w:val="20"/>
          <w:lang w:val="es-ES"/>
        </w:rPr>
        <w:t>atendidos</w:t>
      </w:r>
      <w:r w:rsidR="001B6507" w:rsidRPr="007172C7">
        <w:rPr>
          <w:rFonts w:ascii="Verdana" w:hAnsi="Verdana"/>
          <w:sz w:val="20"/>
          <w:szCs w:val="20"/>
          <w:lang w:val="es-ES"/>
        </w:rPr>
        <w:t>.</w:t>
      </w:r>
      <w:r w:rsidR="006E53A8" w:rsidRPr="007172C7">
        <w:rPr>
          <w:rFonts w:ascii="Verdana" w:hAnsi="Verdana"/>
          <w:sz w:val="20"/>
          <w:szCs w:val="20"/>
          <w:lang w:val="es-ES"/>
        </w:rPr>
        <w:t xml:space="preserve"> </w:t>
      </w:r>
    </w:p>
    <w:p w14:paraId="7505C8DA" w14:textId="0E0DDB6F" w:rsidR="009F28BC" w:rsidRPr="008E74AA" w:rsidRDefault="00FD4AFA" w:rsidP="005D370D">
      <w:pPr>
        <w:spacing w:before="120" w:after="120"/>
        <w:ind w:left="567"/>
        <w:jc w:val="both"/>
        <w:rPr>
          <w:rFonts w:ascii="Verdana" w:eastAsiaTheme="minorHAnsi" w:hAnsi="Verdana" w:cs="Verdana"/>
          <w:i/>
          <w:sz w:val="20"/>
          <w:szCs w:val="20"/>
          <w:lang w:val="es-CR"/>
        </w:rPr>
      </w:pPr>
      <w:bookmarkStart w:id="4" w:name="_Toc20920734"/>
      <w:r w:rsidRPr="008E74AA">
        <w:rPr>
          <w:rFonts w:ascii="Verdana" w:eastAsiaTheme="minorHAnsi" w:hAnsi="Verdana" w:cs="ArialMT"/>
          <w:b/>
          <w:i/>
          <w:sz w:val="20"/>
          <w:szCs w:val="20"/>
          <w:lang w:val="es-CR"/>
        </w:rPr>
        <w:t>B</w:t>
      </w:r>
      <w:r w:rsidR="0086736E" w:rsidRPr="008E74AA">
        <w:rPr>
          <w:rFonts w:ascii="Verdana" w:eastAsiaTheme="minorHAnsi" w:hAnsi="Verdana" w:cs="ArialMT"/>
          <w:b/>
          <w:i/>
          <w:sz w:val="20"/>
          <w:szCs w:val="20"/>
          <w:lang w:val="es-CR"/>
        </w:rPr>
        <w:t xml:space="preserve">) </w:t>
      </w:r>
      <w:r w:rsidR="009F28BC" w:rsidRPr="008E74AA">
        <w:rPr>
          <w:rFonts w:ascii="Verdana" w:hAnsi="Verdana"/>
          <w:b/>
          <w:i/>
          <w:sz w:val="20"/>
          <w:szCs w:val="20"/>
        </w:rPr>
        <w:t>Observaciones del Estado</w:t>
      </w:r>
    </w:p>
    <w:p w14:paraId="64D58F2F" w14:textId="772EFC08" w:rsidR="00F276DE" w:rsidRPr="0066500C" w:rsidRDefault="000D2845" w:rsidP="006A49C6">
      <w:pPr>
        <w:numPr>
          <w:ilvl w:val="0"/>
          <w:numId w:val="2"/>
        </w:numPr>
        <w:spacing w:before="120" w:after="120"/>
        <w:ind w:left="0" w:firstLine="0"/>
        <w:jc w:val="both"/>
        <w:rPr>
          <w:rFonts w:ascii="Verdana" w:hAnsi="Verdana"/>
          <w:sz w:val="20"/>
          <w:szCs w:val="20"/>
          <w:lang w:val="es-CR"/>
        </w:rPr>
      </w:pPr>
      <w:r w:rsidRPr="0066500C">
        <w:rPr>
          <w:rFonts w:ascii="Verdana" w:hAnsi="Verdana"/>
          <w:sz w:val="20"/>
          <w:szCs w:val="20"/>
          <w:lang w:val="es-CR"/>
        </w:rPr>
        <w:t>En su escrito de observaciones de</w:t>
      </w:r>
      <w:r w:rsidR="00C03299" w:rsidRPr="0066500C">
        <w:rPr>
          <w:rFonts w:ascii="Verdana" w:hAnsi="Verdana"/>
          <w:sz w:val="20"/>
          <w:szCs w:val="20"/>
          <w:lang w:val="es-CR"/>
        </w:rPr>
        <w:t xml:space="preserve"> </w:t>
      </w:r>
      <w:r w:rsidR="00224FD2" w:rsidRPr="0066500C">
        <w:rPr>
          <w:rFonts w:ascii="Verdana" w:hAnsi="Verdana"/>
          <w:sz w:val="20"/>
          <w:szCs w:val="20"/>
          <w:lang w:val="es-CR"/>
        </w:rPr>
        <w:t>22</w:t>
      </w:r>
      <w:r w:rsidR="00C03299" w:rsidRPr="0066500C">
        <w:rPr>
          <w:rFonts w:ascii="Verdana" w:hAnsi="Verdana"/>
          <w:sz w:val="20"/>
          <w:szCs w:val="20"/>
          <w:lang w:val="es-CR"/>
        </w:rPr>
        <w:t xml:space="preserve"> de </w:t>
      </w:r>
      <w:r w:rsidR="00224FD2" w:rsidRPr="0066500C">
        <w:rPr>
          <w:rFonts w:ascii="Verdana" w:hAnsi="Verdana"/>
          <w:sz w:val="20"/>
          <w:szCs w:val="20"/>
          <w:lang w:val="es-CR"/>
        </w:rPr>
        <w:t>junio</w:t>
      </w:r>
      <w:r w:rsidR="00C03299" w:rsidRPr="0066500C">
        <w:rPr>
          <w:rFonts w:ascii="Verdana" w:hAnsi="Verdana"/>
          <w:sz w:val="20"/>
          <w:szCs w:val="20"/>
          <w:lang w:val="es-CR"/>
        </w:rPr>
        <w:t xml:space="preserve"> de 202</w:t>
      </w:r>
      <w:r w:rsidR="00224FD2" w:rsidRPr="0066500C">
        <w:rPr>
          <w:rFonts w:ascii="Verdana" w:hAnsi="Verdana"/>
          <w:sz w:val="20"/>
          <w:szCs w:val="20"/>
          <w:lang w:val="es-CR"/>
        </w:rPr>
        <w:t>2</w:t>
      </w:r>
      <w:r w:rsidR="00447B7C" w:rsidRPr="0066500C">
        <w:rPr>
          <w:rFonts w:ascii="Verdana" w:hAnsi="Verdana"/>
          <w:sz w:val="20"/>
          <w:szCs w:val="20"/>
          <w:lang w:val="es-CR"/>
        </w:rPr>
        <w:t>,</w:t>
      </w:r>
      <w:r w:rsidRPr="0066500C">
        <w:rPr>
          <w:rFonts w:ascii="Verdana" w:hAnsi="Verdana"/>
          <w:sz w:val="20"/>
          <w:szCs w:val="20"/>
          <w:lang w:val="es-CR"/>
        </w:rPr>
        <w:t xml:space="preserve"> el Estado solicit</w:t>
      </w:r>
      <w:r w:rsidR="00C03299" w:rsidRPr="0066500C">
        <w:rPr>
          <w:rFonts w:ascii="Verdana" w:hAnsi="Verdana"/>
          <w:sz w:val="20"/>
          <w:szCs w:val="20"/>
          <w:lang w:val="es-CR"/>
        </w:rPr>
        <w:t xml:space="preserve">ó </w:t>
      </w:r>
      <w:r w:rsidR="0059060A" w:rsidRPr="0066500C">
        <w:rPr>
          <w:rFonts w:ascii="Verdana" w:eastAsiaTheme="minorHAnsi" w:hAnsi="Verdana" w:cs="Verdana"/>
          <w:sz w:val="20"/>
          <w:szCs w:val="20"/>
          <w:lang w:val="es-CR"/>
        </w:rPr>
        <w:t>q</w:t>
      </w:r>
      <w:r w:rsidR="0059060A" w:rsidRPr="0066500C">
        <w:rPr>
          <w:rFonts w:ascii="Verdana" w:hAnsi="Verdana"/>
          <w:sz w:val="20"/>
          <w:szCs w:val="20"/>
          <w:lang w:val="es-CR"/>
        </w:rPr>
        <w:t xml:space="preserve">ue la Corte declare improcedente la solicitud de </w:t>
      </w:r>
      <w:r w:rsidR="00F7721C" w:rsidRPr="0066500C">
        <w:rPr>
          <w:rFonts w:ascii="Verdana" w:hAnsi="Verdana"/>
          <w:sz w:val="20"/>
          <w:szCs w:val="20"/>
          <w:lang w:val="es-CR"/>
        </w:rPr>
        <w:t>m</w:t>
      </w:r>
      <w:r w:rsidR="0059060A" w:rsidRPr="0066500C">
        <w:rPr>
          <w:rFonts w:ascii="Verdana" w:hAnsi="Verdana"/>
          <w:sz w:val="20"/>
          <w:szCs w:val="20"/>
          <w:lang w:val="es-CR"/>
        </w:rPr>
        <w:t>edidas</w:t>
      </w:r>
      <w:r w:rsidR="0059060A" w:rsidRPr="0066500C">
        <w:rPr>
          <w:rFonts w:ascii="Verdana" w:eastAsiaTheme="minorHAnsi" w:hAnsi="Verdana" w:cs="Verdana"/>
          <w:sz w:val="20"/>
          <w:szCs w:val="20"/>
          <w:lang w:val="es-CR"/>
        </w:rPr>
        <w:t xml:space="preserve"> </w:t>
      </w:r>
      <w:r w:rsidR="00F7721C" w:rsidRPr="0066500C">
        <w:rPr>
          <w:rFonts w:ascii="Verdana" w:hAnsi="Verdana"/>
          <w:sz w:val="20"/>
          <w:szCs w:val="20"/>
          <w:lang w:val="es-CR"/>
        </w:rPr>
        <w:t>p</w:t>
      </w:r>
      <w:r w:rsidR="0059060A" w:rsidRPr="0066500C">
        <w:rPr>
          <w:rFonts w:ascii="Verdana" w:hAnsi="Verdana"/>
          <w:sz w:val="20"/>
          <w:szCs w:val="20"/>
          <w:lang w:val="es-CR"/>
        </w:rPr>
        <w:t>rovisionales y que los temas tratados en el caso queden enmarcados dentro de la</w:t>
      </w:r>
      <w:r w:rsidR="0059060A" w:rsidRPr="0066500C">
        <w:rPr>
          <w:rFonts w:ascii="Verdana" w:eastAsiaTheme="minorHAnsi" w:hAnsi="Verdana" w:cs="Verdana"/>
          <w:sz w:val="20"/>
          <w:szCs w:val="20"/>
          <w:lang w:val="es-CR"/>
        </w:rPr>
        <w:t xml:space="preserve"> </w:t>
      </w:r>
      <w:r w:rsidR="0059060A" w:rsidRPr="0066500C">
        <w:rPr>
          <w:rFonts w:ascii="Verdana" w:hAnsi="Verdana"/>
          <w:sz w:val="20"/>
          <w:szCs w:val="20"/>
          <w:lang w:val="es-CR"/>
        </w:rPr>
        <w:t xml:space="preserve">supervisión de cumplimiento de </w:t>
      </w:r>
      <w:r w:rsidR="00F276DE" w:rsidRPr="0066500C">
        <w:rPr>
          <w:rFonts w:ascii="Verdana" w:hAnsi="Verdana"/>
          <w:sz w:val="20"/>
          <w:szCs w:val="20"/>
          <w:lang w:val="es-CR"/>
        </w:rPr>
        <w:t>S</w:t>
      </w:r>
      <w:r w:rsidR="0059060A" w:rsidRPr="0066500C">
        <w:rPr>
          <w:rFonts w:ascii="Verdana" w:hAnsi="Verdana"/>
          <w:sz w:val="20"/>
          <w:szCs w:val="20"/>
          <w:lang w:val="es-CR"/>
        </w:rPr>
        <w:t>entencia</w:t>
      </w:r>
      <w:r w:rsidR="00D57CAE" w:rsidRPr="0066500C">
        <w:rPr>
          <w:rFonts w:ascii="Verdana" w:hAnsi="Verdana"/>
          <w:sz w:val="20"/>
          <w:szCs w:val="20"/>
          <w:lang w:val="es-CR"/>
        </w:rPr>
        <w:t>.</w:t>
      </w:r>
      <w:r w:rsidR="0059060A" w:rsidRPr="0066500C">
        <w:rPr>
          <w:rFonts w:ascii="Verdana" w:hAnsi="Verdana"/>
          <w:sz w:val="20"/>
          <w:szCs w:val="20"/>
          <w:lang w:val="es-CR"/>
        </w:rPr>
        <w:t xml:space="preserve"> </w:t>
      </w:r>
      <w:r w:rsidR="00D57CAE" w:rsidRPr="0066500C">
        <w:rPr>
          <w:rFonts w:ascii="Verdana" w:hAnsi="Verdana" w:cs="Arial"/>
          <w:sz w:val="20"/>
          <w:szCs w:val="20"/>
          <w:lang w:val="es-CR"/>
        </w:rPr>
        <w:t>Alegó</w:t>
      </w:r>
      <w:r w:rsidR="00F7721C" w:rsidRPr="0066500C">
        <w:rPr>
          <w:rFonts w:ascii="Verdana" w:hAnsi="Verdana" w:cs="Arial"/>
          <w:sz w:val="20"/>
          <w:szCs w:val="20"/>
          <w:lang w:val="es-CR"/>
        </w:rPr>
        <w:t xml:space="preserve"> que no concurren los </w:t>
      </w:r>
      <w:r w:rsidR="0059060A" w:rsidRPr="0066500C">
        <w:rPr>
          <w:rFonts w:ascii="Verdana" w:hAnsi="Verdana"/>
          <w:sz w:val="20"/>
          <w:szCs w:val="20"/>
          <w:lang w:val="es-CR"/>
        </w:rPr>
        <w:t>requisitos de extrema</w:t>
      </w:r>
      <w:r w:rsidR="0059060A" w:rsidRPr="0066500C">
        <w:rPr>
          <w:rFonts w:ascii="Verdana" w:eastAsiaTheme="minorHAnsi" w:hAnsi="Verdana" w:cs="Verdana"/>
          <w:sz w:val="20"/>
          <w:szCs w:val="20"/>
          <w:lang w:val="es-CR"/>
        </w:rPr>
        <w:t xml:space="preserve"> </w:t>
      </w:r>
      <w:r w:rsidR="0059060A" w:rsidRPr="0066500C">
        <w:rPr>
          <w:rFonts w:ascii="Verdana" w:hAnsi="Verdana"/>
          <w:sz w:val="20"/>
          <w:szCs w:val="20"/>
          <w:lang w:val="es-CR"/>
        </w:rPr>
        <w:t xml:space="preserve">gravedad, urgencia e </w:t>
      </w:r>
      <w:proofErr w:type="spellStart"/>
      <w:r w:rsidR="0059060A" w:rsidRPr="0066500C">
        <w:rPr>
          <w:rFonts w:ascii="Verdana" w:hAnsi="Verdana"/>
          <w:sz w:val="20"/>
          <w:szCs w:val="20"/>
          <w:lang w:val="es-CR"/>
        </w:rPr>
        <w:t>irreparabilidad</w:t>
      </w:r>
      <w:proofErr w:type="spellEnd"/>
      <w:r w:rsidR="0059060A" w:rsidRPr="0066500C">
        <w:rPr>
          <w:rFonts w:ascii="Verdana" w:hAnsi="Verdana"/>
          <w:sz w:val="20"/>
          <w:szCs w:val="20"/>
          <w:lang w:val="es-CR"/>
        </w:rPr>
        <w:t xml:space="preserve"> del daño establecidos en el artículo 63.2 de la Convención</w:t>
      </w:r>
      <w:r w:rsidR="0059060A" w:rsidRPr="0066500C">
        <w:rPr>
          <w:rFonts w:ascii="Verdana" w:eastAsiaTheme="minorHAnsi" w:hAnsi="Verdana" w:cs="Verdana"/>
          <w:sz w:val="20"/>
          <w:szCs w:val="20"/>
          <w:lang w:val="es-CR"/>
        </w:rPr>
        <w:t xml:space="preserve"> </w:t>
      </w:r>
      <w:r w:rsidR="0059060A" w:rsidRPr="0066500C">
        <w:rPr>
          <w:rFonts w:ascii="Verdana" w:hAnsi="Verdana"/>
          <w:sz w:val="20"/>
          <w:szCs w:val="20"/>
          <w:lang w:val="es-CR"/>
        </w:rPr>
        <w:t>Americana</w:t>
      </w:r>
      <w:r w:rsidR="00924FA6" w:rsidRPr="0066500C">
        <w:rPr>
          <w:rFonts w:ascii="Verdana" w:hAnsi="Verdana"/>
          <w:sz w:val="20"/>
          <w:szCs w:val="20"/>
          <w:lang w:val="es-CR"/>
        </w:rPr>
        <w:t xml:space="preserve"> y el artículo 27.3 del Reglamento de la Corte</w:t>
      </w:r>
      <w:r w:rsidR="00D57CAE" w:rsidRPr="0066500C">
        <w:rPr>
          <w:rFonts w:ascii="Verdana" w:hAnsi="Verdana"/>
          <w:sz w:val="20"/>
          <w:szCs w:val="20"/>
          <w:lang w:val="es-CR"/>
        </w:rPr>
        <w:t xml:space="preserve">, </w:t>
      </w:r>
      <w:r w:rsidR="00F7721C" w:rsidRPr="0066500C">
        <w:rPr>
          <w:rFonts w:ascii="Verdana" w:hAnsi="Verdana"/>
          <w:sz w:val="20"/>
          <w:szCs w:val="20"/>
          <w:lang w:val="es-CR"/>
        </w:rPr>
        <w:t xml:space="preserve">en virtud </w:t>
      </w:r>
      <w:r w:rsidR="00F276DE" w:rsidRPr="0066500C">
        <w:rPr>
          <w:rFonts w:ascii="Verdana" w:hAnsi="Verdana"/>
          <w:sz w:val="20"/>
          <w:szCs w:val="20"/>
          <w:lang w:val="es-CR"/>
        </w:rPr>
        <w:t xml:space="preserve">de </w:t>
      </w:r>
      <w:r w:rsidR="00F7721C" w:rsidRPr="0066500C">
        <w:rPr>
          <w:rFonts w:ascii="Verdana" w:hAnsi="Verdana"/>
          <w:sz w:val="20"/>
          <w:szCs w:val="20"/>
          <w:lang w:val="es-CR"/>
        </w:rPr>
        <w:t>que: i)</w:t>
      </w:r>
      <w:r w:rsidR="00F7721C" w:rsidRPr="0066500C">
        <w:rPr>
          <w:rFonts w:ascii="Verdana" w:hAnsi="Verdana" w:cs="Arial"/>
          <w:sz w:val="20"/>
          <w:szCs w:val="20"/>
          <w:lang w:val="es-CR"/>
        </w:rPr>
        <w:t xml:space="preserve"> e</w:t>
      </w:r>
      <w:r w:rsidR="00F7721C" w:rsidRPr="0066500C">
        <w:rPr>
          <w:rFonts w:ascii="Verdana" w:hAnsi="Verdana"/>
          <w:sz w:val="20"/>
          <w:szCs w:val="20"/>
          <w:lang w:val="es-CR"/>
        </w:rPr>
        <w:t xml:space="preserve">l </w:t>
      </w:r>
      <w:r w:rsidR="00205B16" w:rsidRPr="0066500C">
        <w:rPr>
          <w:rFonts w:ascii="Verdana" w:hAnsi="Verdana"/>
          <w:sz w:val="20"/>
          <w:szCs w:val="20"/>
          <w:lang w:val="es-CR"/>
        </w:rPr>
        <w:t>j</w:t>
      </w:r>
      <w:r w:rsidR="00F7721C" w:rsidRPr="0066500C">
        <w:rPr>
          <w:rFonts w:ascii="Verdana" w:hAnsi="Verdana"/>
          <w:sz w:val="20"/>
          <w:szCs w:val="20"/>
          <w:lang w:val="es-CR"/>
        </w:rPr>
        <w:t>uez Gálvez goza de medidas cautelares,</w:t>
      </w:r>
      <w:r w:rsidR="00AD7ADF" w:rsidRPr="0066500C">
        <w:rPr>
          <w:rFonts w:ascii="Verdana" w:hAnsi="Verdana"/>
          <w:sz w:val="20"/>
          <w:szCs w:val="20"/>
          <w:lang w:val="es-CR"/>
        </w:rPr>
        <w:t xml:space="preserve"> así como de</w:t>
      </w:r>
      <w:r w:rsidR="00F7721C" w:rsidRPr="0066500C">
        <w:rPr>
          <w:rFonts w:ascii="Verdana" w:hAnsi="Verdana"/>
          <w:sz w:val="20"/>
          <w:szCs w:val="20"/>
          <w:lang w:val="es-CR"/>
        </w:rPr>
        <w:t xml:space="preserve"> medidas de seguridad</w:t>
      </w:r>
      <w:r w:rsidR="00AD7ADF" w:rsidRPr="0066500C">
        <w:rPr>
          <w:rFonts w:ascii="Verdana" w:hAnsi="Verdana"/>
          <w:sz w:val="20"/>
          <w:szCs w:val="20"/>
          <w:lang w:val="es-CR"/>
        </w:rPr>
        <w:t xml:space="preserve">, y mantiene la </w:t>
      </w:r>
      <w:r w:rsidR="00F7721C" w:rsidRPr="0066500C">
        <w:rPr>
          <w:rFonts w:ascii="Verdana" w:hAnsi="Verdana"/>
          <w:sz w:val="20"/>
          <w:szCs w:val="20"/>
          <w:lang w:val="es-CR"/>
        </w:rPr>
        <w:t xml:space="preserve">inmunidad por </w:t>
      </w:r>
      <w:r w:rsidR="00AD7ADF" w:rsidRPr="0066500C">
        <w:rPr>
          <w:rFonts w:ascii="Verdana" w:hAnsi="Verdana"/>
          <w:sz w:val="20"/>
          <w:szCs w:val="20"/>
          <w:lang w:val="es-CR"/>
        </w:rPr>
        <w:t>su</w:t>
      </w:r>
      <w:r w:rsidR="00F7721C" w:rsidRPr="0066500C">
        <w:rPr>
          <w:rFonts w:ascii="Verdana" w:hAnsi="Verdana"/>
          <w:sz w:val="20"/>
          <w:szCs w:val="20"/>
          <w:lang w:val="es-CR"/>
        </w:rPr>
        <w:t xml:space="preserve"> cargo; </w:t>
      </w:r>
      <w:proofErr w:type="spellStart"/>
      <w:r w:rsidR="00F7721C" w:rsidRPr="0066500C">
        <w:rPr>
          <w:rFonts w:ascii="Verdana" w:hAnsi="Verdana"/>
          <w:sz w:val="20"/>
          <w:szCs w:val="20"/>
          <w:lang w:val="es-CR"/>
        </w:rPr>
        <w:t>ii</w:t>
      </w:r>
      <w:proofErr w:type="spellEnd"/>
      <w:r w:rsidR="00F7721C" w:rsidRPr="0066500C">
        <w:rPr>
          <w:rFonts w:ascii="Verdana" w:hAnsi="Verdana"/>
          <w:sz w:val="20"/>
          <w:szCs w:val="20"/>
          <w:lang w:val="es-CR"/>
        </w:rPr>
        <w:t>)</w:t>
      </w:r>
      <w:r w:rsidR="00F7721C" w:rsidRPr="0066500C">
        <w:rPr>
          <w:rFonts w:ascii="Verdana" w:hAnsi="Verdana" w:cs="Arial"/>
          <w:sz w:val="20"/>
          <w:szCs w:val="20"/>
          <w:lang w:val="es-CR"/>
        </w:rPr>
        <w:t xml:space="preserve"> “</w:t>
      </w:r>
      <w:r w:rsidR="00F7721C" w:rsidRPr="0066500C">
        <w:rPr>
          <w:rFonts w:ascii="Verdana" w:hAnsi="Verdana"/>
          <w:sz w:val="20"/>
          <w:szCs w:val="20"/>
          <w:lang w:val="es-CR"/>
        </w:rPr>
        <w:t>los derechos presuntamente vulnerados ya se encuentran</w:t>
      </w:r>
      <w:r w:rsidR="00FA04F6" w:rsidRPr="0066500C">
        <w:rPr>
          <w:rFonts w:ascii="Verdana" w:hAnsi="Verdana" w:cs="Arial"/>
          <w:sz w:val="20"/>
          <w:szCs w:val="20"/>
          <w:lang w:val="es-CR"/>
        </w:rPr>
        <w:t xml:space="preserve"> </w:t>
      </w:r>
      <w:r w:rsidR="00F7721C" w:rsidRPr="0066500C">
        <w:rPr>
          <w:rFonts w:ascii="Verdana" w:hAnsi="Verdana"/>
          <w:sz w:val="20"/>
          <w:szCs w:val="20"/>
          <w:lang w:val="es-CR"/>
        </w:rPr>
        <w:t>protegidos por las acciones estatales</w:t>
      </w:r>
      <w:r w:rsidR="00FA04F6" w:rsidRPr="0066500C">
        <w:rPr>
          <w:rFonts w:ascii="Verdana" w:hAnsi="Verdana"/>
          <w:sz w:val="20"/>
          <w:szCs w:val="20"/>
          <w:lang w:val="es-CR"/>
        </w:rPr>
        <w:t>”</w:t>
      </w:r>
      <w:r w:rsidR="00924FA6" w:rsidRPr="0066500C">
        <w:rPr>
          <w:rFonts w:ascii="Verdana" w:hAnsi="Verdana"/>
          <w:sz w:val="20"/>
          <w:szCs w:val="20"/>
          <w:lang w:val="es-CR"/>
        </w:rPr>
        <w:t>;</w:t>
      </w:r>
      <w:r w:rsidR="00FA04F6" w:rsidRPr="0066500C">
        <w:rPr>
          <w:rFonts w:ascii="Verdana" w:hAnsi="Verdana"/>
          <w:sz w:val="20"/>
          <w:szCs w:val="20"/>
          <w:lang w:val="es-CR"/>
        </w:rPr>
        <w:t xml:space="preserve"> </w:t>
      </w:r>
      <w:proofErr w:type="spellStart"/>
      <w:r w:rsidR="00FA04F6" w:rsidRPr="0066500C">
        <w:rPr>
          <w:rFonts w:ascii="Verdana" w:hAnsi="Verdana"/>
          <w:sz w:val="20"/>
          <w:szCs w:val="20"/>
          <w:lang w:val="es-CR"/>
        </w:rPr>
        <w:t>iii</w:t>
      </w:r>
      <w:proofErr w:type="spellEnd"/>
      <w:r w:rsidR="00FA04F6" w:rsidRPr="0066500C">
        <w:rPr>
          <w:rFonts w:ascii="Verdana" w:hAnsi="Verdana"/>
          <w:sz w:val="20"/>
          <w:szCs w:val="20"/>
          <w:lang w:val="es-CR"/>
        </w:rPr>
        <w:t>)</w:t>
      </w:r>
      <w:r w:rsidR="00FA04F6" w:rsidRPr="0066500C">
        <w:rPr>
          <w:rFonts w:ascii="Verdana" w:hAnsi="Verdana" w:cs="Arial"/>
          <w:sz w:val="20"/>
          <w:szCs w:val="20"/>
          <w:lang w:val="es-CR"/>
        </w:rPr>
        <w:t xml:space="preserve"> “</w:t>
      </w:r>
      <w:r w:rsidR="00F7721C" w:rsidRPr="0066500C">
        <w:rPr>
          <w:rFonts w:ascii="Verdana" w:hAnsi="Verdana"/>
          <w:sz w:val="20"/>
          <w:szCs w:val="20"/>
          <w:lang w:val="es-CR"/>
        </w:rPr>
        <w:t>los riesgos se han</w:t>
      </w:r>
      <w:r w:rsidR="00FA04F6" w:rsidRPr="0066500C">
        <w:rPr>
          <w:rFonts w:ascii="Verdana" w:hAnsi="Verdana" w:cs="Arial"/>
          <w:sz w:val="20"/>
          <w:szCs w:val="20"/>
          <w:lang w:val="es-CR"/>
        </w:rPr>
        <w:t xml:space="preserve"> </w:t>
      </w:r>
      <w:r w:rsidR="00F7721C" w:rsidRPr="0066500C">
        <w:rPr>
          <w:rFonts w:ascii="Verdana" w:hAnsi="Verdana"/>
          <w:sz w:val="20"/>
          <w:szCs w:val="20"/>
          <w:lang w:val="es-CR"/>
        </w:rPr>
        <w:t>mitigado al punto de ser inexistentes</w:t>
      </w:r>
      <w:r w:rsidR="00F276DE" w:rsidRPr="0066500C">
        <w:rPr>
          <w:rFonts w:ascii="Verdana" w:hAnsi="Verdana"/>
          <w:sz w:val="20"/>
          <w:szCs w:val="20"/>
          <w:lang w:val="es-CR"/>
        </w:rPr>
        <w:t xml:space="preserve"> [y]</w:t>
      </w:r>
      <w:r w:rsidR="00F7721C" w:rsidRPr="0066500C">
        <w:rPr>
          <w:rFonts w:ascii="Verdana" w:hAnsi="Verdana"/>
          <w:sz w:val="20"/>
          <w:szCs w:val="20"/>
          <w:lang w:val="es-CR"/>
        </w:rPr>
        <w:t xml:space="preserve"> no puede existir un daño que no pueda repararse</w:t>
      </w:r>
      <w:r w:rsidR="00FA04F6" w:rsidRPr="0066500C">
        <w:rPr>
          <w:rFonts w:ascii="Verdana" w:hAnsi="Verdana"/>
          <w:sz w:val="20"/>
          <w:szCs w:val="20"/>
          <w:lang w:val="es-CR"/>
        </w:rPr>
        <w:t>”</w:t>
      </w:r>
      <w:r w:rsidR="00924FA6" w:rsidRPr="0066500C">
        <w:rPr>
          <w:rFonts w:ascii="Verdana" w:hAnsi="Verdana"/>
          <w:sz w:val="20"/>
          <w:szCs w:val="20"/>
          <w:lang w:val="es-CR"/>
        </w:rPr>
        <w:t xml:space="preserve">, y </w:t>
      </w:r>
      <w:proofErr w:type="spellStart"/>
      <w:r w:rsidR="00924FA6" w:rsidRPr="0066500C">
        <w:rPr>
          <w:rFonts w:ascii="Verdana" w:hAnsi="Verdana"/>
          <w:sz w:val="20"/>
          <w:szCs w:val="20"/>
          <w:lang w:val="es-CR"/>
        </w:rPr>
        <w:t>iv</w:t>
      </w:r>
      <w:proofErr w:type="spellEnd"/>
      <w:r w:rsidR="00924FA6" w:rsidRPr="0066500C">
        <w:rPr>
          <w:rFonts w:ascii="Verdana" w:hAnsi="Verdana"/>
          <w:sz w:val="20"/>
          <w:szCs w:val="20"/>
          <w:lang w:val="es-CR"/>
        </w:rPr>
        <w:t>)</w:t>
      </w:r>
      <w:r w:rsidR="00FA04F6" w:rsidRPr="0066500C">
        <w:rPr>
          <w:rFonts w:ascii="Verdana" w:hAnsi="Verdana"/>
          <w:sz w:val="20"/>
          <w:szCs w:val="20"/>
          <w:lang w:val="es-CR"/>
        </w:rPr>
        <w:t xml:space="preserve"> “[e]</w:t>
      </w:r>
      <w:r w:rsidR="00F7721C" w:rsidRPr="0066500C">
        <w:rPr>
          <w:rFonts w:ascii="Verdana" w:hAnsi="Verdana"/>
          <w:sz w:val="20"/>
          <w:szCs w:val="20"/>
          <w:lang w:val="es-CR"/>
        </w:rPr>
        <w:t xml:space="preserve">l proceso de antejuicio en contra del Juez Gálvez </w:t>
      </w:r>
      <w:r w:rsidR="00924FA6" w:rsidRPr="0066500C">
        <w:rPr>
          <w:rFonts w:ascii="Verdana" w:hAnsi="Verdana"/>
          <w:sz w:val="20"/>
          <w:szCs w:val="20"/>
          <w:lang w:val="es-CR"/>
        </w:rPr>
        <w:t>[…]</w:t>
      </w:r>
      <w:r w:rsidR="00F7721C" w:rsidRPr="0066500C">
        <w:rPr>
          <w:rFonts w:ascii="Verdana" w:hAnsi="Verdana"/>
          <w:sz w:val="20"/>
          <w:szCs w:val="20"/>
          <w:lang w:val="es-CR"/>
        </w:rPr>
        <w:t xml:space="preserve"> no guarda relación con el presente caso</w:t>
      </w:r>
      <w:r w:rsidR="00924FA6" w:rsidRPr="0066500C">
        <w:rPr>
          <w:rFonts w:ascii="Verdana" w:hAnsi="Verdana"/>
          <w:sz w:val="20"/>
          <w:szCs w:val="20"/>
          <w:lang w:val="es-CR"/>
        </w:rPr>
        <w:t>”</w:t>
      </w:r>
      <w:r w:rsidR="00D57CAE" w:rsidRPr="0066500C">
        <w:rPr>
          <w:rFonts w:ascii="Verdana" w:hAnsi="Verdana"/>
          <w:sz w:val="20"/>
          <w:szCs w:val="20"/>
          <w:lang w:val="es-CR"/>
        </w:rPr>
        <w:t>.</w:t>
      </w:r>
      <w:r w:rsidR="00924FA6" w:rsidRPr="0066500C">
        <w:rPr>
          <w:rFonts w:ascii="Verdana" w:eastAsiaTheme="minorHAnsi" w:hAnsi="Verdana" w:cs="Verdana"/>
          <w:color w:val="000000"/>
          <w:sz w:val="20"/>
          <w:szCs w:val="20"/>
          <w:lang w:val="es-CR"/>
        </w:rPr>
        <w:t xml:space="preserve"> </w:t>
      </w:r>
      <w:r w:rsidR="00D57CAE" w:rsidRPr="0066500C">
        <w:rPr>
          <w:rFonts w:ascii="Verdana" w:eastAsiaTheme="minorHAnsi" w:hAnsi="Verdana" w:cs="Verdana"/>
          <w:color w:val="000000"/>
          <w:sz w:val="20"/>
          <w:szCs w:val="20"/>
          <w:lang w:val="es-CR"/>
        </w:rPr>
        <w:t xml:space="preserve">Al respecto, alegó lo </w:t>
      </w:r>
      <w:r w:rsidR="00924FA6" w:rsidRPr="0066500C">
        <w:rPr>
          <w:rFonts w:ascii="Verdana" w:eastAsiaTheme="minorHAnsi" w:hAnsi="Verdana" w:cs="Verdana"/>
          <w:color w:val="000000"/>
          <w:sz w:val="20"/>
          <w:szCs w:val="20"/>
          <w:lang w:val="es-CR"/>
        </w:rPr>
        <w:t>siguiente:</w:t>
      </w:r>
    </w:p>
    <w:p w14:paraId="3A0846C7" w14:textId="4003B216" w:rsidR="00732165" w:rsidRPr="008E74AA" w:rsidRDefault="003C0131" w:rsidP="00CA066C">
      <w:pPr>
        <w:pStyle w:val="Prrafodelista"/>
        <w:numPr>
          <w:ilvl w:val="0"/>
          <w:numId w:val="35"/>
        </w:numPr>
        <w:spacing w:before="120" w:after="120"/>
        <w:jc w:val="both"/>
        <w:rPr>
          <w:rFonts w:ascii="Verdana" w:hAnsi="Verdana" w:cs="Arial"/>
          <w:sz w:val="20"/>
          <w:szCs w:val="20"/>
          <w:lang w:val="es-CR"/>
        </w:rPr>
      </w:pPr>
      <w:r w:rsidRPr="0066500C">
        <w:rPr>
          <w:rFonts w:ascii="Verdana" w:eastAsiaTheme="minorHAnsi" w:hAnsi="Verdana" w:cs="Verdana"/>
          <w:sz w:val="20"/>
          <w:szCs w:val="20"/>
          <w:lang w:val="es-CR"/>
        </w:rPr>
        <w:t>“[N]o puede privar a los particulares ejercer su derecho a la libertad de expresión, tomando en cuenta que el Juez Gálvez, por su cargo, se encuentra sometido a un mayor escrutinio público y, por ende, es</w:t>
      </w:r>
      <w:r w:rsidRPr="008E74AA">
        <w:rPr>
          <w:rFonts w:ascii="Verdana" w:eastAsiaTheme="minorHAnsi" w:hAnsi="Verdana" w:cs="Verdana"/>
          <w:sz w:val="20"/>
          <w:szCs w:val="20"/>
          <w:lang w:val="es-CR"/>
        </w:rPr>
        <w:t xml:space="preserve"> objeto de crítica por parte de los ciudadanos</w:t>
      </w:r>
      <w:r w:rsidR="00BD006A" w:rsidRPr="008E74AA">
        <w:rPr>
          <w:rFonts w:ascii="Verdana" w:eastAsiaTheme="minorHAnsi" w:hAnsi="Verdana" w:cs="Verdana"/>
          <w:sz w:val="20"/>
          <w:szCs w:val="20"/>
          <w:lang w:val="es-CR"/>
        </w:rPr>
        <w:t>”. N</w:t>
      </w:r>
      <w:r w:rsidRPr="008E74AA">
        <w:rPr>
          <w:rFonts w:ascii="Verdana" w:eastAsiaTheme="minorHAnsi" w:hAnsi="Verdana" w:cs="Verdana"/>
          <w:sz w:val="20"/>
          <w:szCs w:val="20"/>
          <w:lang w:val="es-CR"/>
        </w:rPr>
        <w:t xml:space="preserve">o obstante, </w:t>
      </w:r>
      <w:r w:rsidR="006043D7" w:rsidRPr="008E74AA">
        <w:rPr>
          <w:rFonts w:ascii="Verdana" w:eastAsiaTheme="minorHAnsi" w:hAnsi="Verdana" w:cs="Verdana"/>
          <w:sz w:val="20"/>
          <w:szCs w:val="20"/>
          <w:lang w:val="es-CR"/>
        </w:rPr>
        <w:t>si</w:t>
      </w:r>
      <w:r w:rsidR="006A49C6" w:rsidRPr="008E74AA">
        <w:rPr>
          <w:rFonts w:ascii="Verdana" w:eastAsiaTheme="minorHAnsi" w:hAnsi="Verdana" w:cs="Verdana"/>
          <w:sz w:val="20"/>
          <w:szCs w:val="20"/>
          <w:lang w:val="es-CR"/>
        </w:rPr>
        <w:t xml:space="preserve"> el </w:t>
      </w:r>
      <w:r w:rsidR="00E62277">
        <w:rPr>
          <w:rFonts w:ascii="Verdana" w:eastAsiaTheme="minorHAnsi" w:hAnsi="Verdana" w:cs="Verdana"/>
          <w:sz w:val="20"/>
          <w:szCs w:val="20"/>
          <w:lang w:val="es-CR"/>
        </w:rPr>
        <w:t>j</w:t>
      </w:r>
      <w:r w:rsidR="006A49C6" w:rsidRPr="008E74AA">
        <w:rPr>
          <w:rFonts w:ascii="Verdana" w:eastAsiaTheme="minorHAnsi" w:hAnsi="Verdana" w:cs="Verdana"/>
          <w:sz w:val="20"/>
          <w:szCs w:val="20"/>
          <w:lang w:val="es-CR"/>
        </w:rPr>
        <w:t>uez</w:t>
      </w:r>
      <w:r w:rsidR="006043D7" w:rsidRPr="008E74AA">
        <w:rPr>
          <w:rFonts w:ascii="Verdana" w:eastAsiaTheme="minorHAnsi" w:hAnsi="Verdana" w:cs="Verdana"/>
          <w:sz w:val="20"/>
          <w:szCs w:val="20"/>
          <w:lang w:val="es-CR"/>
        </w:rPr>
        <w:t xml:space="preserve"> considera “que los comentarios de los usuarios atentan contra alguno de sus derechos”, cuenta con los mecanismos </w:t>
      </w:r>
      <w:r w:rsidR="00CA066C" w:rsidRPr="008E74AA">
        <w:rPr>
          <w:rFonts w:ascii="Verdana" w:eastAsiaTheme="minorHAnsi" w:hAnsi="Verdana" w:cs="Verdana"/>
          <w:sz w:val="20"/>
          <w:szCs w:val="20"/>
          <w:lang w:val="es-CR"/>
        </w:rPr>
        <w:t>d</w:t>
      </w:r>
      <w:r w:rsidR="006043D7" w:rsidRPr="008E74AA">
        <w:rPr>
          <w:rFonts w:ascii="Verdana" w:eastAsiaTheme="minorHAnsi" w:hAnsi="Verdana" w:cs="Verdana"/>
          <w:sz w:val="20"/>
          <w:szCs w:val="20"/>
          <w:lang w:val="es-CR"/>
        </w:rPr>
        <w:t>e derecho interno para denunciar</w:t>
      </w:r>
      <w:r w:rsidR="00D57CAE">
        <w:rPr>
          <w:rFonts w:ascii="Verdana" w:eastAsiaTheme="minorHAnsi" w:hAnsi="Verdana" w:cs="Verdana"/>
          <w:sz w:val="20"/>
          <w:szCs w:val="20"/>
          <w:lang w:val="es-CR"/>
        </w:rPr>
        <w:t xml:space="preserve"> ante el Ministerio Público</w:t>
      </w:r>
      <w:r w:rsidR="006043D7" w:rsidRPr="008E74AA">
        <w:rPr>
          <w:rFonts w:ascii="Verdana" w:eastAsiaTheme="minorHAnsi" w:hAnsi="Verdana" w:cs="Verdana"/>
          <w:sz w:val="20"/>
          <w:szCs w:val="20"/>
          <w:lang w:val="es-CR"/>
        </w:rPr>
        <w:t>.</w:t>
      </w:r>
    </w:p>
    <w:p w14:paraId="2481E8C2" w14:textId="58415D54" w:rsidR="00991DF7" w:rsidRPr="0066500C" w:rsidRDefault="00122C2B" w:rsidP="00991DF7">
      <w:pPr>
        <w:pStyle w:val="Prrafodelista"/>
        <w:numPr>
          <w:ilvl w:val="0"/>
          <w:numId w:val="35"/>
        </w:numPr>
        <w:spacing w:before="120" w:after="120"/>
        <w:jc w:val="both"/>
        <w:rPr>
          <w:rFonts w:ascii="Verdana" w:hAnsi="Verdana" w:cs="Arial"/>
          <w:sz w:val="20"/>
          <w:szCs w:val="20"/>
          <w:lang w:val="es-CR"/>
        </w:rPr>
      </w:pPr>
      <w:r w:rsidRPr="0066500C">
        <w:rPr>
          <w:rFonts w:ascii="Verdana" w:eastAsiaTheme="minorHAnsi" w:hAnsi="Verdana" w:cs="Verdana"/>
          <w:sz w:val="20"/>
          <w:szCs w:val="20"/>
          <w:lang w:val="es-CR"/>
        </w:rPr>
        <w:t>L</w:t>
      </w:r>
      <w:r w:rsidR="00D96909" w:rsidRPr="0066500C">
        <w:rPr>
          <w:rFonts w:ascii="Verdana" w:eastAsiaTheme="minorHAnsi" w:hAnsi="Verdana" w:cs="Verdana"/>
          <w:sz w:val="20"/>
          <w:szCs w:val="20"/>
          <w:lang w:val="es-CR"/>
        </w:rPr>
        <w:t>a Corte Suprema de Justicia “es la competente para conocer y resolver el antejuicio en contra de los jueces”</w:t>
      </w:r>
      <w:r w:rsidR="00B55AA9" w:rsidRPr="0066500C">
        <w:rPr>
          <w:rFonts w:ascii="Verdana" w:eastAsiaTheme="minorHAnsi" w:hAnsi="Verdana" w:cs="Verdana"/>
          <w:sz w:val="20"/>
          <w:szCs w:val="20"/>
          <w:lang w:val="es-CR"/>
        </w:rPr>
        <w:t xml:space="preserve">, de tal manera que, “para separar a un juez de su puesto, es imperativo que se siga con el procedimiento previsto por el </w:t>
      </w:r>
      <w:r w:rsidR="00B55AA9" w:rsidRPr="0066500C">
        <w:rPr>
          <w:rFonts w:ascii="Verdana" w:eastAsiaTheme="minorHAnsi" w:hAnsi="Verdana" w:cs="Verdana"/>
          <w:sz w:val="20"/>
          <w:szCs w:val="20"/>
          <w:lang w:val="es-CR"/>
        </w:rPr>
        <w:lastRenderedPageBreak/>
        <w:t>derecho interno”</w:t>
      </w:r>
      <w:r w:rsidR="00D96909" w:rsidRPr="0066500C">
        <w:rPr>
          <w:rStyle w:val="Refdenotaalpie"/>
          <w:rFonts w:eastAsiaTheme="minorHAnsi" w:cs="Verdana"/>
          <w:sz w:val="20"/>
          <w:szCs w:val="20"/>
          <w:lang w:val="es-CR"/>
        </w:rPr>
        <w:footnoteReference w:id="13"/>
      </w:r>
      <w:r w:rsidR="00D96909" w:rsidRPr="0066500C">
        <w:rPr>
          <w:rFonts w:ascii="Verdana" w:eastAsiaTheme="minorHAnsi" w:hAnsi="Verdana" w:cs="Verdana"/>
          <w:sz w:val="20"/>
          <w:szCs w:val="20"/>
          <w:lang w:val="es-CR"/>
        </w:rPr>
        <w:t>.</w:t>
      </w:r>
      <w:r w:rsidRPr="0066500C">
        <w:rPr>
          <w:rFonts w:ascii="Verdana" w:eastAsiaTheme="minorHAnsi" w:hAnsi="Verdana" w:cs="Verdana"/>
          <w:sz w:val="20"/>
          <w:szCs w:val="20"/>
          <w:lang w:val="es-CR"/>
        </w:rPr>
        <w:t xml:space="preserve"> </w:t>
      </w:r>
      <w:bookmarkStart w:id="6" w:name="_Hlk106869713"/>
      <w:r w:rsidR="004645E5" w:rsidRPr="0066500C">
        <w:rPr>
          <w:rFonts w:ascii="Verdana" w:eastAsiaTheme="minorHAnsi" w:hAnsi="Verdana" w:cs="Verdana"/>
          <w:sz w:val="20"/>
          <w:szCs w:val="20"/>
          <w:lang w:val="es-CR"/>
        </w:rPr>
        <w:t xml:space="preserve">La resolución de 15 de junio de 2022 “de la Corte Suprema de Justicia se emitió dentro del plazo legal y razonable”. El 28 de junio del 2022 “la Juez Pesquisidora se excusó de seguir conociendo el caso”. El </w:t>
      </w:r>
      <w:r w:rsidR="00E62277" w:rsidRPr="0066500C">
        <w:rPr>
          <w:rFonts w:ascii="Verdana" w:eastAsiaTheme="minorHAnsi" w:hAnsi="Verdana" w:cs="Verdana"/>
          <w:sz w:val="20"/>
          <w:szCs w:val="20"/>
          <w:lang w:val="es-CR"/>
        </w:rPr>
        <w:t>j</w:t>
      </w:r>
      <w:r w:rsidR="004645E5" w:rsidRPr="0066500C">
        <w:rPr>
          <w:rFonts w:ascii="Verdana" w:eastAsiaTheme="minorHAnsi" w:hAnsi="Verdana" w:cs="Verdana"/>
          <w:sz w:val="20"/>
          <w:szCs w:val="20"/>
          <w:lang w:val="es-CR"/>
        </w:rPr>
        <w:t>uez Gálvez “ha hecho uso de la acción de amparo” en contra de tal resolución</w:t>
      </w:r>
      <w:r w:rsidR="00D60CF7" w:rsidRPr="0066500C">
        <w:rPr>
          <w:rStyle w:val="Refdenotaalpie"/>
          <w:rFonts w:eastAsiaTheme="minorHAnsi" w:cs="Verdana"/>
          <w:sz w:val="20"/>
          <w:szCs w:val="20"/>
          <w:lang w:val="es-CR"/>
        </w:rPr>
        <w:footnoteReference w:id="14"/>
      </w:r>
      <w:bookmarkEnd w:id="6"/>
      <w:r w:rsidR="00E53CF0" w:rsidRPr="0066500C">
        <w:rPr>
          <w:rFonts w:ascii="Verdana" w:eastAsiaTheme="minorHAnsi" w:hAnsi="Verdana" w:cs="Verdana"/>
          <w:sz w:val="20"/>
          <w:szCs w:val="20"/>
          <w:lang w:val="es-CR"/>
        </w:rPr>
        <w:t xml:space="preserve">. </w:t>
      </w:r>
      <w:r w:rsidR="004645E5" w:rsidRPr="0066500C">
        <w:rPr>
          <w:rFonts w:ascii="Verdana" w:eastAsiaTheme="minorHAnsi" w:hAnsi="Verdana" w:cs="Verdana"/>
          <w:sz w:val="20"/>
          <w:szCs w:val="20"/>
          <w:lang w:val="es-CR"/>
        </w:rPr>
        <w:t>E</w:t>
      </w:r>
      <w:r w:rsidR="00336DF9" w:rsidRPr="0066500C">
        <w:rPr>
          <w:rFonts w:ascii="Verdana" w:eastAsiaTheme="minorHAnsi" w:hAnsi="Verdana" w:cs="Verdana"/>
          <w:sz w:val="20"/>
          <w:szCs w:val="20"/>
          <w:lang w:val="es-CR"/>
        </w:rPr>
        <w:t xml:space="preserve">l proceso </w:t>
      </w:r>
      <w:r w:rsidRPr="0066500C">
        <w:rPr>
          <w:rFonts w:ascii="Verdana" w:eastAsiaTheme="minorHAnsi" w:hAnsi="Verdana" w:cs="Verdana"/>
          <w:sz w:val="20"/>
          <w:szCs w:val="20"/>
          <w:lang w:val="es-CR"/>
        </w:rPr>
        <w:t>“se encuentra en su fase inicial, lo cual significa que queda un largo camino que recorrer y en la tramitación de este se le garantizará el debido proceso y su derecho de defensa”</w:t>
      </w:r>
      <w:r w:rsidR="00360665" w:rsidRPr="0066500C">
        <w:rPr>
          <w:rFonts w:ascii="Verdana" w:eastAsiaTheme="minorHAnsi" w:hAnsi="Verdana" w:cs="Verdana"/>
          <w:sz w:val="20"/>
          <w:szCs w:val="20"/>
          <w:lang w:val="es-CR"/>
        </w:rPr>
        <w:t>. Por su parte,</w:t>
      </w:r>
      <w:r w:rsidRPr="0066500C">
        <w:rPr>
          <w:rFonts w:ascii="Verdana" w:eastAsiaTheme="minorHAnsi" w:hAnsi="Verdana" w:cs="Verdana"/>
          <w:sz w:val="20"/>
          <w:szCs w:val="20"/>
          <w:lang w:val="es-CR"/>
        </w:rPr>
        <w:t xml:space="preserve"> la Corte Suprema de Justicia </w:t>
      </w:r>
      <w:r w:rsidR="00360665" w:rsidRPr="0066500C">
        <w:rPr>
          <w:rFonts w:ascii="Verdana" w:eastAsiaTheme="minorHAnsi" w:hAnsi="Verdana" w:cs="Verdana"/>
          <w:sz w:val="20"/>
          <w:szCs w:val="20"/>
          <w:lang w:val="es-CR"/>
        </w:rPr>
        <w:t>“</w:t>
      </w:r>
      <w:r w:rsidRPr="0066500C">
        <w:rPr>
          <w:rFonts w:ascii="Verdana" w:eastAsiaTheme="minorHAnsi" w:hAnsi="Verdana" w:cs="Verdana"/>
          <w:sz w:val="20"/>
          <w:szCs w:val="20"/>
          <w:lang w:val="es-CR"/>
        </w:rPr>
        <w:t>no ha decidido […] y tampoco se ha pronunciado sobre una supuesta separación del caso</w:t>
      </w:r>
      <w:r w:rsidR="009117EC" w:rsidRPr="0066500C">
        <w:rPr>
          <w:rFonts w:ascii="Verdana" w:eastAsiaTheme="minorHAnsi" w:hAnsi="Verdana" w:cs="Verdana"/>
          <w:sz w:val="20"/>
          <w:szCs w:val="20"/>
          <w:lang w:val="es-CR"/>
        </w:rPr>
        <w:t xml:space="preserve"> denominado </w:t>
      </w:r>
      <w:r w:rsidR="00895C83" w:rsidRPr="0066500C">
        <w:rPr>
          <w:rFonts w:ascii="Verdana" w:eastAsiaTheme="minorHAnsi" w:hAnsi="Verdana" w:cs="Verdana"/>
          <w:sz w:val="20"/>
          <w:szCs w:val="20"/>
          <w:lang w:val="es-CR"/>
        </w:rPr>
        <w:t>‘</w:t>
      </w:r>
      <w:r w:rsidR="009117EC" w:rsidRPr="0066500C">
        <w:rPr>
          <w:rFonts w:ascii="Verdana" w:eastAsiaTheme="minorHAnsi" w:hAnsi="Verdana" w:cs="Verdana"/>
          <w:sz w:val="20"/>
          <w:szCs w:val="20"/>
          <w:lang w:val="es-CR"/>
        </w:rPr>
        <w:t>Diario Militar</w:t>
      </w:r>
      <w:r w:rsidR="00895C83" w:rsidRPr="0066500C">
        <w:rPr>
          <w:rFonts w:ascii="Verdana" w:eastAsiaTheme="minorHAnsi" w:hAnsi="Verdana" w:cs="Verdana"/>
          <w:sz w:val="20"/>
          <w:szCs w:val="20"/>
          <w:lang w:val="es-CR"/>
        </w:rPr>
        <w:t>’</w:t>
      </w:r>
      <w:r w:rsidR="009117EC" w:rsidRPr="0066500C">
        <w:rPr>
          <w:rFonts w:ascii="Verdana" w:eastAsiaTheme="minorHAnsi" w:hAnsi="Verdana" w:cs="Verdana"/>
          <w:sz w:val="20"/>
          <w:szCs w:val="20"/>
          <w:lang w:val="es-CR"/>
        </w:rPr>
        <w:t>, como alegan los</w:t>
      </w:r>
      <w:r w:rsidR="00E31550" w:rsidRPr="0066500C">
        <w:rPr>
          <w:rFonts w:ascii="Verdana" w:eastAsiaTheme="minorHAnsi" w:hAnsi="Verdana" w:cs="Verdana"/>
          <w:sz w:val="20"/>
          <w:szCs w:val="20"/>
          <w:lang w:val="es-CR"/>
        </w:rPr>
        <w:t xml:space="preserve"> </w:t>
      </w:r>
      <w:r w:rsidR="009117EC" w:rsidRPr="0066500C">
        <w:rPr>
          <w:rFonts w:ascii="Verdana" w:eastAsiaTheme="minorHAnsi" w:hAnsi="Verdana" w:cs="Verdana"/>
          <w:sz w:val="20"/>
          <w:szCs w:val="20"/>
          <w:lang w:val="es-CR"/>
        </w:rPr>
        <w:t>peticionarios</w:t>
      </w:r>
      <w:r w:rsidR="00E31550" w:rsidRPr="0066500C">
        <w:rPr>
          <w:rFonts w:ascii="Verdana" w:eastAsiaTheme="minorHAnsi" w:hAnsi="Verdana" w:cs="Verdana"/>
          <w:sz w:val="20"/>
          <w:szCs w:val="20"/>
          <w:lang w:val="es-CR"/>
        </w:rPr>
        <w:t>”</w:t>
      </w:r>
      <w:r w:rsidR="009117EC" w:rsidRPr="0066500C">
        <w:rPr>
          <w:rFonts w:ascii="Verdana" w:eastAsiaTheme="minorHAnsi" w:hAnsi="Verdana" w:cs="Verdana"/>
          <w:sz w:val="20"/>
          <w:szCs w:val="20"/>
          <w:lang w:val="es-CR"/>
        </w:rPr>
        <w:t>.</w:t>
      </w:r>
    </w:p>
    <w:p w14:paraId="4E463DE4" w14:textId="0908CA14" w:rsidR="009A2FBD" w:rsidRPr="0066500C" w:rsidRDefault="00A73594" w:rsidP="00912579">
      <w:pPr>
        <w:pStyle w:val="Prrafodelista"/>
        <w:numPr>
          <w:ilvl w:val="0"/>
          <w:numId w:val="35"/>
        </w:numPr>
        <w:spacing w:before="120" w:after="120"/>
        <w:jc w:val="both"/>
        <w:rPr>
          <w:rFonts w:ascii="Verdana" w:hAnsi="Verdana" w:cs="Arial"/>
          <w:sz w:val="20"/>
          <w:szCs w:val="20"/>
          <w:lang w:val="es-CR"/>
        </w:rPr>
      </w:pPr>
      <w:r w:rsidRPr="0066500C">
        <w:rPr>
          <w:rFonts w:ascii="Verdana" w:hAnsi="Verdana" w:cs="Arial"/>
          <w:sz w:val="20"/>
          <w:szCs w:val="20"/>
          <w:lang w:val="es-CR"/>
        </w:rPr>
        <w:t xml:space="preserve">El </w:t>
      </w:r>
      <w:r w:rsidR="00F201CD" w:rsidRPr="0066500C">
        <w:rPr>
          <w:rFonts w:ascii="Verdana" w:hAnsi="Verdana" w:cs="Arial"/>
          <w:sz w:val="20"/>
          <w:szCs w:val="20"/>
          <w:lang w:val="es-CR"/>
        </w:rPr>
        <w:t>j</w:t>
      </w:r>
      <w:r w:rsidRPr="0066500C">
        <w:rPr>
          <w:rFonts w:ascii="Verdana" w:hAnsi="Verdana" w:cs="Arial"/>
          <w:sz w:val="20"/>
          <w:szCs w:val="20"/>
          <w:lang w:val="es-CR"/>
        </w:rPr>
        <w:t>uez Gálvez “cuenta con un esquema de seguridad proporcionado por el Organismo Judicial y otro a través de la División de Protección de Personas y Seguridad de la Dirección General de la Policía Nacional Civil adscrita al Ministerio de Gobernación”.</w:t>
      </w:r>
      <w:r w:rsidR="003C365D" w:rsidRPr="0066500C">
        <w:rPr>
          <w:rFonts w:ascii="Verdana" w:hAnsi="Verdana" w:cs="Arial"/>
          <w:sz w:val="20"/>
          <w:szCs w:val="20"/>
          <w:lang w:val="es-CR"/>
        </w:rPr>
        <w:t xml:space="preserve"> Tal esquema de seguridad cuenta con “las medidas adecuadas para garantizar la protección a su vida, integridad, así como el libre ejercicio de su función jurisdiccional”.</w:t>
      </w:r>
      <w:r w:rsidR="00625EF6" w:rsidRPr="0066500C">
        <w:rPr>
          <w:rFonts w:ascii="Verdana" w:hAnsi="Verdana" w:cs="Arial"/>
          <w:sz w:val="20"/>
          <w:szCs w:val="20"/>
          <w:lang w:val="es-CR"/>
        </w:rPr>
        <w:t xml:space="preserve"> </w:t>
      </w:r>
      <w:r w:rsidR="002119F7" w:rsidRPr="0066500C">
        <w:rPr>
          <w:rFonts w:ascii="Verdana" w:hAnsi="Verdana" w:cs="Arial"/>
          <w:sz w:val="20"/>
          <w:szCs w:val="20"/>
          <w:lang w:val="es-CR"/>
        </w:rPr>
        <w:t>Asimismo</w:t>
      </w:r>
      <w:r w:rsidR="00625EF6" w:rsidRPr="0066500C">
        <w:rPr>
          <w:rFonts w:ascii="Verdana" w:hAnsi="Verdana" w:cs="Arial"/>
          <w:sz w:val="20"/>
          <w:szCs w:val="20"/>
          <w:lang w:val="es-CR"/>
        </w:rPr>
        <w:t xml:space="preserve">, </w:t>
      </w:r>
      <w:r w:rsidR="003C365D" w:rsidRPr="0066500C">
        <w:rPr>
          <w:rFonts w:ascii="Verdana" w:hAnsi="Verdana" w:cs="Arial"/>
          <w:sz w:val="20"/>
          <w:szCs w:val="20"/>
          <w:lang w:val="es-CR"/>
        </w:rPr>
        <w:t xml:space="preserve">es factible solicitar apoyo </w:t>
      </w:r>
      <w:r w:rsidR="00625EF6" w:rsidRPr="0066500C">
        <w:rPr>
          <w:rFonts w:ascii="Verdana" w:hAnsi="Verdana" w:cs="Arial"/>
          <w:sz w:val="20"/>
          <w:szCs w:val="20"/>
          <w:lang w:val="es-CR"/>
        </w:rPr>
        <w:t>de la Oficina de Protección del Ministerio Público, para evaluar “</w:t>
      </w:r>
      <w:r w:rsidR="003C365D" w:rsidRPr="0066500C">
        <w:rPr>
          <w:rFonts w:ascii="Verdana" w:hAnsi="Verdana" w:cs="Arial"/>
          <w:sz w:val="20"/>
          <w:szCs w:val="20"/>
          <w:lang w:val="es-CR"/>
        </w:rPr>
        <w:t>la viabilidad de reforzar el esquema de seguridad actual</w:t>
      </w:r>
      <w:r w:rsidR="00625EF6" w:rsidRPr="0066500C">
        <w:rPr>
          <w:rFonts w:ascii="Verdana" w:hAnsi="Verdana" w:cs="Arial"/>
          <w:sz w:val="20"/>
          <w:szCs w:val="20"/>
          <w:lang w:val="es-CR"/>
        </w:rPr>
        <w:t>”</w:t>
      </w:r>
      <w:r w:rsidR="003C365D" w:rsidRPr="0066500C">
        <w:rPr>
          <w:rFonts w:ascii="Verdana" w:hAnsi="Verdana" w:cs="Arial"/>
          <w:sz w:val="20"/>
          <w:szCs w:val="20"/>
          <w:lang w:val="es-CR"/>
        </w:rPr>
        <w:t>.</w:t>
      </w:r>
      <w:r w:rsidR="002119F7" w:rsidRPr="0066500C">
        <w:rPr>
          <w:rFonts w:ascii="Verdana" w:hAnsi="Verdana" w:cs="Arial"/>
          <w:sz w:val="20"/>
          <w:szCs w:val="20"/>
          <w:lang w:val="es-CR"/>
        </w:rPr>
        <w:t xml:space="preserve"> </w:t>
      </w:r>
      <w:r w:rsidR="000F2FC7" w:rsidRPr="0066500C">
        <w:rPr>
          <w:rFonts w:ascii="Verdana" w:hAnsi="Verdana" w:cs="Arial"/>
          <w:sz w:val="20"/>
          <w:szCs w:val="20"/>
          <w:lang w:val="es-CR"/>
        </w:rPr>
        <w:t>Además, el juez no ha presentado una denuncia por las amenazas en su contra.</w:t>
      </w:r>
      <w:bookmarkStart w:id="7" w:name="_Hlk106888521"/>
    </w:p>
    <w:bookmarkEnd w:id="7"/>
    <w:p w14:paraId="2D968E64" w14:textId="5A5DDD9F" w:rsidR="00E807B6" w:rsidRPr="007E36E8" w:rsidRDefault="006A49C6" w:rsidP="007E36E8">
      <w:pPr>
        <w:pStyle w:val="Prrafodelista"/>
        <w:numPr>
          <w:ilvl w:val="0"/>
          <w:numId w:val="35"/>
        </w:numPr>
        <w:spacing w:before="120" w:after="120"/>
        <w:jc w:val="both"/>
        <w:rPr>
          <w:rFonts w:ascii="Verdana" w:hAnsi="Verdana" w:cs="Arial"/>
          <w:sz w:val="20"/>
          <w:szCs w:val="20"/>
          <w:lang w:val="es-CR"/>
        </w:rPr>
      </w:pPr>
      <w:r w:rsidRPr="0066500C">
        <w:rPr>
          <w:rFonts w:ascii="Verdana" w:hAnsi="Verdana" w:cs="Arial"/>
          <w:sz w:val="20"/>
          <w:szCs w:val="20"/>
          <w:lang w:val="es-CR"/>
        </w:rPr>
        <w:t>E</w:t>
      </w:r>
      <w:r w:rsidR="005615E0" w:rsidRPr="0066500C">
        <w:rPr>
          <w:rFonts w:ascii="Verdana" w:hAnsi="Verdana" w:cs="Arial"/>
          <w:sz w:val="20"/>
          <w:szCs w:val="20"/>
          <w:lang w:val="es-CR"/>
        </w:rPr>
        <w:t xml:space="preserve">l </w:t>
      </w:r>
      <w:r w:rsidR="00F201CD" w:rsidRPr="0066500C">
        <w:rPr>
          <w:rFonts w:ascii="Verdana" w:hAnsi="Verdana" w:cs="Arial"/>
          <w:sz w:val="20"/>
          <w:szCs w:val="20"/>
          <w:lang w:val="es-CR"/>
        </w:rPr>
        <w:t>j</w:t>
      </w:r>
      <w:r w:rsidR="005615E0" w:rsidRPr="0066500C">
        <w:rPr>
          <w:rFonts w:ascii="Verdana" w:hAnsi="Verdana" w:cs="Arial"/>
          <w:sz w:val="20"/>
          <w:szCs w:val="20"/>
          <w:lang w:val="es-CR"/>
        </w:rPr>
        <w:t>uez Gálvez goza de medidas cautelares otorgadas</w:t>
      </w:r>
      <w:r w:rsidRPr="0066500C">
        <w:rPr>
          <w:rFonts w:ascii="Verdana" w:hAnsi="Verdana" w:cs="Arial"/>
          <w:sz w:val="20"/>
          <w:szCs w:val="20"/>
          <w:lang w:val="es-CR"/>
        </w:rPr>
        <w:t xml:space="preserve"> por la Comisión Interamericana </w:t>
      </w:r>
      <w:r w:rsidR="005615E0" w:rsidRPr="0066500C">
        <w:rPr>
          <w:rFonts w:ascii="Verdana" w:hAnsi="Verdana" w:cs="Arial"/>
          <w:sz w:val="20"/>
          <w:szCs w:val="20"/>
          <w:lang w:val="es-CR"/>
        </w:rPr>
        <w:t>desde el año 2016</w:t>
      </w:r>
      <w:r w:rsidRPr="0066500C">
        <w:rPr>
          <w:rStyle w:val="Refdenotaalpie"/>
          <w:rFonts w:cs="Arial"/>
          <w:sz w:val="20"/>
          <w:szCs w:val="20"/>
          <w:lang w:val="es-CR"/>
        </w:rPr>
        <w:footnoteReference w:id="15"/>
      </w:r>
      <w:r w:rsidR="00537E08" w:rsidRPr="0066500C">
        <w:rPr>
          <w:rFonts w:ascii="Verdana" w:hAnsi="Verdana" w:cs="Arial"/>
          <w:sz w:val="20"/>
          <w:szCs w:val="20"/>
          <w:lang w:val="es-CR"/>
        </w:rPr>
        <w:t>.</w:t>
      </w:r>
      <w:r w:rsidR="00FC3387" w:rsidRPr="0066500C">
        <w:rPr>
          <w:rFonts w:ascii="Verdana" w:hAnsi="Verdana" w:cs="Arial"/>
          <w:sz w:val="20"/>
          <w:szCs w:val="20"/>
          <w:lang w:val="es-CR"/>
        </w:rPr>
        <w:t xml:space="preserve"> El Estado “ha cumplido con informar a la Comisión sobre el cumplimiento de dicha medida cautelar</w:t>
      </w:r>
      <w:r w:rsidR="00552043" w:rsidRPr="0066500C">
        <w:rPr>
          <w:rFonts w:ascii="Verdana" w:hAnsi="Verdana" w:cs="Arial"/>
          <w:sz w:val="20"/>
          <w:szCs w:val="20"/>
          <w:lang w:val="es-CR"/>
        </w:rPr>
        <w:t>”</w:t>
      </w:r>
      <w:r w:rsidR="008F2A5C" w:rsidRPr="0066500C">
        <w:rPr>
          <w:rFonts w:ascii="Verdana" w:hAnsi="Verdana" w:cs="Arial"/>
          <w:sz w:val="20"/>
          <w:szCs w:val="20"/>
          <w:lang w:val="es-CR"/>
        </w:rPr>
        <w:t xml:space="preserve">. En particular, el esquema de seguridad del </w:t>
      </w:r>
      <w:r w:rsidR="00F201CD" w:rsidRPr="0066500C">
        <w:rPr>
          <w:rFonts w:ascii="Verdana" w:hAnsi="Verdana" w:cs="Arial"/>
          <w:sz w:val="20"/>
          <w:szCs w:val="20"/>
          <w:lang w:val="es-CR"/>
        </w:rPr>
        <w:t>j</w:t>
      </w:r>
      <w:r w:rsidR="008F2A5C" w:rsidRPr="0066500C">
        <w:rPr>
          <w:rFonts w:ascii="Verdana" w:hAnsi="Verdana" w:cs="Arial"/>
          <w:sz w:val="20"/>
          <w:szCs w:val="20"/>
          <w:lang w:val="es-CR"/>
        </w:rPr>
        <w:t>uez Gálvez fue revisado el 7 de marzo de 2022</w:t>
      </w:r>
      <w:r w:rsidR="00F201CD" w:rsidRPr="0066500C">
        <w:rPr>
          <w:rFonts w:ascii="Verdana" w:hAnsi="Verdana" w:cs="Arial"/>
          <w:sz w:val="20"/>
          <w:szCs w:val="20"/>
          <w:lang w:val="es-CR"/>
        </w:rPr>
        <w:t>,</w:t>
      </w:r>
      <w:r w:rsidR="008F2A5C" w:rsidRPr="0066500C">
        <w:rPr>
          <w:rFonts w:ascii="Verdana" w:hAnsi="Verdana" w:cs="Arial"/>
          <w:sz w:val="20"/>
          <w:szCs w:val="20"/>
          <w:lang w:val="es-CR"/>
        </w:rPr>
        <w:t xml:space="preserve"> fecha en que se le practicó un análisis de riesgo, el cual fue notificado al </w:t>
      </w:r>
      <w:r w:rsidR="00F201CD" w:rsidRPr="0066500C">
        <w:rPr>
          <w:rFonts w:ascii="Verdana" w:hAnsi="Verdana" w:cs="Arial"/>
          <w:sz w:val="20"/>
          <w:szCs w:val="20"/>
          <w:lang w:val="es-CR"/>
        </w:rPr>
        <w:t>j</w:t>
      </w:r>
      <w:r w:rsidR="008F2A5C" w:rsidRPr="0066500C">
        <w:rPr>
          <w:rFonts w:ascii="Verdana" w:hAnsi="Verdana" w:cs="Arial"/>
          <w:sz w:val="20"/>
          <w:szCs w:val="20"/>
          <w:lang w:val="es-CR"/>
        </w:rPr>
        <w:t>uez el 14 de marzo, así</w:t>
      </w:r>
      <w:r w:rsidR="008F2A5C">
        <w:rPr>
          <w:rFonts w:ascii="Verdana" w:hAnsi="Verdana" w:cs="Arial"/>
          <w:sz w:val="20"/>
          <w:szCs w:val="20"/>
          <w:lang w:val="es-CR"/>
        </w:rPr>
        <w:t xml:space="preserve"> como</w:t>
      </w:r>
      <w:r w:rsidR="008F2A5C" w:rsidRPr="008F2A5C">
        <w:rPr>
          <w:rFonts w:ascii="Verdana" w:hAnsi="Verdana" w:cs="Arial"/>
          <w:sz w:val="20"/>
          <w:szCs w:val="20"/>
          <w:lang w:val="es-CR"/>
        </w:rPr>
        <w:t xml:space="preserve"> informado a la Comisión el 7 de abril de 2022</w:t>
      </w:r>
      <w:r w:rsidR="00FC3387" w:rsidRPr="008118F6">
        <w:rPr>
          <w:rFonts w:ascii="Verdana" w:hAnsi="Verdana" w:cs="Arial"/>
          <w:sz w:val="20"/>
          <w:szCs w:val="20"/>
          <w:lang w:val="es-CR"/>
        </w:rPr>
        <w:t>.</w:t>
      </w:r>
      <w:r w:rsidR="00341713" w:rsidRPr="008118F6">
        <w:rPr>
          <w:rFonts w:ascii="Verdana" w:hAnsi="Verdana" w:cs="Arial"/>
          <w:sz w:val="20"/>
          <w:szCs w:val="20"/>
          <w:lang w:val="es-CR"/>
        </w:rPr>
        <w:t xml:space="preserve"> </w:t>
      </w:r>
      <w:r w:rsidR="007B5E9E" w:rsidRPr="008118F6">
        <w:rPr>
          <w:rFonts w:ascii="Verdana" w:hAnsi="Verdana" w:cs="Arial"/>
          <w:sz w:val="20"/>
          <w:szCs w:val="20"/>
          <w:lang w:val="es-CR"/>
        </w:rPr>
        <w:t xml:space="preserve">De esta manera, </w:t>
      </w:r>
      <w:r w:rsidR="003C0131" w:rsidRPr="008118F6">
        <w:rPr>
          <w:rFonts w:ascii="Verdana" w:hAnsi="Verdana" w:cs="Arial"/>
          <w:sz w:val="20"/>
          <w:szCs w:val="20"/>
          <w:lang w:val="es-CR"/>
        </w:rPr>
        <w:t>el Estado “ha emprendido acciones específicas con el objeto de salvaguardar su vida, integridad personal y su labor como juez”.</w:t>
      </w:r>
      <w:r w:rsidR="002A1503" w:rsidRPr="008118F6">
        <w:rPr>
          <w:rFonts w:ascii="Verdana" w:hAnsi="Verdana" w:cs="Arial"/>
          <w:sz w:val="20"/>
          <w:szCs w:val="20"/>
          <w:lang w:val="es-CR"/>
        </w:rPr>
        <w:t xml:space="preserve"> Adicionalmente, </w:t>
      </w:r>
      <w:r w:rsidR="007B5E9E" w:rsidRPr="008118F6">
        <w:rPr>
          <w:rFonts w:ascii="Verdana" w:hAnsi="Verdana" w:cs="Arial"/>
          <w:sz w:val="20"/>
          <w:szCs w:val="20"/>
          <w:lang w:val="es-CR"/>
        </w:rPr>
        <w:t xml:space="preserve">en </w:t>
      </w:r>
      <w:r w:rsidR="00AA19B9">
        <w:rPr>
          <w:rFonts w:ascii="Verdana" w:hAnsi="Verdana" w:cs="Arial"/>
          <w:sz w:val="20"/>
          <w:szCs w:val="20"/>
          <w:lang w:val="es-CR"/>
        </w:rPr>
        <w:t>el marco de las</w:t>
      </w:r>
      <w:r w:rsidR="007B5E9E" w:rsidRPr="008118F6">
        <w:rPr>
          <w:rFonts w:ascii="Verdana" w:hAnsi="Verdana" w:cs="Arial"/>
          <w:sz w:val="20"/>
          <w:szCs w:val="20"/>
          <w:lang w:val="es-CR"/>
        </w:rPr>
        <w:t xml:space="preserve"> medidas cautelares</w:t>
      </w:r>
      <w:r w:rsidR="00AA19B9">
        <w:rPr>
          <w:rFonts w:ascii="Verdana" w:hAnsi="Verdana" w:cs="Arial"/>
          <w:sz w:val="20"/>
          <w:szCs w:val="20"/>
          <w:lang w:val="es-CR"/>
        </w:rPr>
        <w:t xml:space="preserve">, </w:t>
      </w:r>
      <w:r w:rsidR="00AA19B9" w:rsidRPr="008118F6">
        <w:rPr>
          <w:rFonts w:ascii="Verdana" w:hAnsi="Verdana" w:cs="Arial"/>
          <w:sz w:val="20"/>
          <w:szCs w:val="20"/>
          <w:lang w:val="es-CR"/>
        </w:rPr>
        <w:t xml:space="preserve">no ha sido posible realizar una reunión con el </w:t>
      </w:r>
      <w:r w:rsidR="00AA19B9">
        <w:rPr>
          <w:rFonts w:ascii="Verdana" w:hAnsi="Verdana" w:cs="Arial"/>
          <w:sz w:val="20"/>
          <w:szCs w:val="20"/>
          <w:lang w:val="es-CR"/>
        </w:rPr>
        <w:t>j</w:t>
      </w:r>
      <w:r w:rsidR="00AA19B9" w:rsidRPr="008118F6">
        <w:rPr>
          <w:rFonts w:ascii="Verdana" w:hAnsi="Verdana" w:cs="Arial"/>
          <w:sz w:val="20"/>
          <w:szCs w:val="20"/>
          <w:lang w:val="es-CR"/>
        </w:rPr>
        <w:t>uez Gálvez y sus representantes</w:t>
      </w:r>
      <w:r w:rsidR="00AA19B9">
        <w:rPr>
          <w:rFonts w:ascii="Verdana" w:hAnsi="Verdana" w:cs="Arial"/>
          <w:sz w:val="20"/>
          <w:szCs w:val="20"/>
          <w:lang w:val="es-CR"/>
        </w:rPr>
        <w:t xml:space="preserve"> </w:t>
      </w:r>
      <w:r w:rsidR="007E36E8">
        <w:rPr>
          <w:rFonts w:ascii="Verdana" w:hAnsi="Verdana" w:cs="Arial"/>
          <w:sz w:val="20"/>
          <w:szCs w:val="20"/>
          <w:lang w:val="es-CR"/>
        </w:rPr>
        <w:t>relativa a</w:t>
      </w:r>
      <w:r w:rsidR="00AA19B9">
        <w:rPr>
          <w:rFonts w:ascii="Verdana" w:hAnsi="Verdana" w:cs="Arial"/>
          <w:sz w:val="20"/>
          <w:szCs w:val="20"/>
          <w:lang w:val="es-CR"/>
        </w:rPr>
        <w:t xml:space="preserve"> adoptar l</w:t>
      </w:r>
      <w:r w:rsidR="00AA19B9" w:rsidRPr="00AA19B9">
        <w:rPr>
          <w:rFonts w:ascii="Verdana" w:hAnsi="Verdana" w:cs="Arial"/>
          <w:sz w:val="20"/>
          <w:szCs w:val="20"/>
          <w:lang w:val="es-CR"/>
        </w:rPr>
        <w:t>as medidas necesarias para que pueda desarrollar sus actividades como</w:t>
      </w:r>
      <w:r w:rsidR="00AA19B9">
        <w:rPr>
          <w:rFonts w:ascii="Verdana" w:hAnsi="Verdana" w:cs="Arial"/>
          <w:sz w:val="20"/>
          <w:szCs w:val="20"/>
          <w:lang w:val="es-CR"/>
        </w:rPr>
        <w:t xml:space="preserve"> </w:t>
      </w:r>
      <w:r w:rsidR="00AA19B9" w:rsidRPr="00AA19B9">
        <w:rPr>
          <w:rFonts w:ascii="Verdana" w:hAnsi="Verdana" w:cs="Arial"/>
          <w:sz w:val="20"/>
          <w:szCs w:val="20"/>
          <w:lang w:val="es-CR"/>
        </w:rPr>
        <w:t>juez sin ser objeto de actos de intimidación, amenazas</w:t>
      </w:r>
      <w:r w:rsidR="00AA19B9">
        <w:rPr>
          <w:rFonts w:ascii="Verdana" w:hAnsi="Verdana" w:cs="Arial"/>
          <w:sz w:val="20"/>
          <w:szCs w:val="20"/>
          <w:lang w:val="es-CR"/>
        </w:rPr>
        <w:t xml:space="preserve"> </w:t>
      </w:r>
      <w:r w:rsidR="00AA19B9" w:rsidRPr="00AA19B9">
        <w:rPr>
          <w:rFonts w:ascii="Verdana" w:hAnsi="Verdana" w:cs="Arial"/>
          <w:sz w:val="20"/>
          <w:szCs w:val="20"/>
          <w:lang w:val="es-CR"/>
        </w:rPr>
        <w:t>y hostigamientos</w:t>
      </w:r>
      <w:r w:rsidR="00AA19B9" w:rsidRPr="007E36E8">
        <w:rPr>
          <w:rFonts w:ascii="Verdana" w:hAnsi="Verdana" w:cs="Arial"/>
          <w:sz w:val="20"/>
          <w:szCs w:val="20"/>
          <w:lang w:val="es-CR"/>
        </w:rPr>
        <w:t>,</w:t>
      </w:r>
      <w:r w:rsidR="002A1503" w:rsidRPr="007E36E8">
        <w:rPr>
          <w:rFonts w:ascii="Verdana" w:hAnsi="Verdana" w:cs="Arial"/>
          <w:sz w:val="20"/>
          <w:szCs w:val="20"/>
          <w:lang w:val="es-CR"/>
        </w:rPr>
        <w:t xml:space="preserve"> por “la falta de interés” del propuesto beneficiario.</w:t>
      </w:r>
    </w:p>
    <w:p w14:paraId="22A16F81" w14:textId="1FB58532" w:rsidR="008118F6" w:rsidRPr="008118F6" w:rsidRDefault="005615E0" w:rsidP="008118F6">
      <w:pPr>
        <w:pStyle w:val="Prrafodelista"/>
        <w:numPr>
          <w:ilvl w:val="0"/>
          <w:numId w:val="35"/>
        </w:numPr>
        <w:spacing w:before="120" w:after="120"/>
        <w:jc w:val="both"/>
        <w:rPr>
          <w:rFonts w:ascii="Verdana" w:hAnsi="Verdana" w:cs="Arial"/>
          <w:sz w:val="20"/>
          <w:szCs w:val="20"/>
          <w:lang w:val="es-CR"/>
        </w:rPr>
      </w:pPr>
      <w:r w:rsidRPr="008E74AA">
        <w:rPr>
          <w:rFonts w:ascii="Verdana" w:hAnsi="Verdana" w:cs="Arial"/>
          <w:sz w:val="20"/>
          <w:szCs w:val="20"/>
          <w:lang w:val="es-CR"/>
        </w:rPr>
        <w:t>La</w:t>
      </w:r>
      <w:r w:rsidR="004E7E25" w:rsidRPr="008E74AA">
        <w:rPr>
          <w:rFonts w:ascii="Verdana" w:hAnsi="Verdana" w:cs="Arial"/>
          <w:sz w:val="20"/>
          <w:szCs w:val="20"/>
          <w:lang w:val="es-CR"/>
        </w:rPr>
        <w:t xml:space="preserve"> solicitud </w:t>
      </w:r>
      <w:r w:rsidR="00BC7311" w:rsidRPr="008E74AA">
        <w:rPr>
          <w:rFonts w:ascii="Verdana" w:hAnsi="Verdana" w:cs="Arial"/>
          <w:sz w:val="20"/>
          <w:szCs w:val="20"/>
          <w:lang w:val="es-CR"/>
        </w:rPr>
        <w:t xml:space="preserve">de medidas provisionales </w:t>
      </w:r>
      <w:r w:rsidR="004E7E25" w:rsidRPr="008E74AA">
        <w:rPr>
          <w:rFonts w:ascii="Verdana" w:hAnsi="Verdana" w:cs="Arial"/>
          <w:sz w:val="20"/>
          <w:szCs w:val="20"/>
          <w:lang w:val="es-CR"/>
        </w:rPr>
        <w:t>en e</w:t>
      </w:r>
      <w:r w:rsidRPr="008E74AA">
        <w:rPr>
          <w:rFonts w:ascii="Verdana" w:hAnsi="Verdana" w:cs="Arial"/>
          <w:sz w:val="20"/>
          <w:szCs w:val="20"/>
          <w:lang w:val="es-CR"/>
        </w:rPr>
        <w:t xml:space="preserve">l presente caso </w:t>
      </w:r>
      <w:r w:rsidR="00BC7311" w:rsidRPr="008E74AA">
        <w:rPr>
          <w:rFonts w:ascii="Verdana" w:hAnsi="Verdana" w:cs="Arial"/>
          <w:sz w:val="20"/>
          <w:szCs w:val="20"/>
          <w:lang w:val="es-CR"/>
        </w:rPr>
        <w:t>“</w:t>
      </w:r>
      <w:r w:rsidRPr="008E74AA">
        <w:rPr>
          <w:rFonts w:ascii="Verdana" w:hAnsi="Verdana" w:cs="Arial"/>
          <w:sz w:val="20"/>
          <w:szCs w:val="20"/>
          <w:lang w:val="es-CR"/>
        </w:rPr>
        <w:t>versa sobre los mismos puntos que oportunamente fueron informados por el Estado y tratados por la CIDH”,</w:t>
      </w:r>
      <w:r w:rsidR="007627AB" w:rsidRPr="008E74AA">
        <w:rPr>
          <w:rFonts w:ascii="Verdana" w:hAnsi="Verdana" w:cs="Arial"/>
          <w:sz w:val="20"/>
          <w:szCs w:val="20"/>
          <w:lang w:val="es-CR"/>
        </w:rPr>
        <w:t xml:space="preserve"> lo cual “demuestra que el propuesto beneficiario ya está protegido por los mecanismos interamericanos”</w:t>
      </w:r>
      <w:r w:rsidR="002A1503" w:rsidRPr="008E74AA">
        <w:rPr>
          <w:rFonts w:ascii="Verdana" w:hAnsi="Verdana" w:cs="Arial"/>
          <w:sz w:val="20"/>
          <w:szCs w:val="20"/>
          <w:lang w:val="es-CR"/>
        </w:rPr>
        <w:t>.</w:t>
      </w:r>
      <w:r w:rsidR="002F5CA7" w:rsidRPr="008E74AA">
        <w:rPr>
          <w:rFonts w:ascii="Verdana" w:hAnsi="Verdana" w:cs="Arial"/>
          <w:sz w:val="20"/>
          <w:szCs w:val="20"/>
          <w:lang w:val="es-CR"/>
        </w:rPr>
        <w:t xml:space="preserve"> </w:t>
      </w:r>
      <w:r w:rsidR="008118F6" w:rsidRPr="008118F6">
        <w:rPr>
          <w:rFonts w:ascii="Verdana" w:hAnsi="Verdana" w:cs="Arial"/>
          <w:sz w:val="20"/>
          <w:szCs w:val="20"/>
          <w:lang w:val="es-CR"/>
        </w:rPr>
        <w:t>El Estado consideró que “el hecho que los peticionarios no hubiesen solicitado que se notificara a la Comisión sobre la presente solicitud de medidas provisionales, hace creer que su actuar es de mala fe y hacen un uso abusivo de las figuras interamericanas”.</w:t>
      </w:r>
    </w:p>
    <w:p w14:paraId="42979571" w14:textId="2721E1C8" w:rsidR="000B7D17" w:rsidRPr="008E74AA" w:rsidRDefault="00490C5E" w:rsidP="007D6839">
      <w:pPr>
        <w:numPr>
          <w:ilvl w:val="0"/>
          <w:numId w:val="2"/>
        </w:numPr>
        <w:spacing w:before="120" w:after="120"/>
        <w:ind w:left="0" w:firstLine="0"/>
        <w:jc w:val="both"/>
        <w:rPr>
          <w:rFonts w:ascii="Verdana" w:hAnsi="Verdana" w:cs="Arial"/>
          <w:sz w:val="20"/>
          <w:szCs w:val="20"/>
          <w:lang w:val="es-CR"/>
        </w:rPr>
      </w:pPr>
      <w:r w:rsidRPr="008E74AA">
        <w:rPr>
          <w:rFonts w:ascii="Verdana" w:hAnsi="Verdana" w:cs="Arial"/>
          <w:bCs/>
          <w:sz w:val="20"/>
          <w:szCs w:val="20"/>
          <w:lang w:val="es-CR"/>
        </w:rPr>
        <w:t xml:space="preserve">Guatemala sostuvo </w:t>
      </w:r>
      <w:r w:rsidR="001420BE" w:rsidRPr="008E74AA">
        <w:rPr>
          <w:rFonts w:ascii="Verdana" w:hAnsi="Verdana" w:cs="Arial"/>
          <w:bCs/>
          <w:sz w:val="20"/>
          <w:szCs w:val="20"/>
          <w:lang w:val="es-CR"/>
        </w:rPr>
        <w:t>que</w:t>
      </w:r>
      <w:r w:rsidR="00E0505E" w:rsidRPr="008E74AA">
        <w:rPr>
          <w:rFonts w:ascii="Verdana" w:hAnsi="Verdana" w:cs="Arial"/>
          <w:bCs/>
          <w:sz w:val="20"/>
          <w:szCs w:val="20"/>
          <w:lang w:val="es-CR"/>
        </w:rPr>
        <w:t xml:space="preserve"> l</w:t>
      </w:r>
      <w:r w:rsidR="0047378F" w:rsidRPr="008E74AA">
        <w:rPr>
          <w:rFonts w:ascii="Verdana" w:hAnsi="Verdana" w:cs="Arial"/>
          <w:bCs/>
          <w:sz w:val="20"/>
          <w:szCs w:val="20"/>
          <w:lang w:val="es-CR"/>
        </w:rPr>
        <w:t>o</w:t>
      </w:r>
      <w:r w:rsidR="00E0505E" w:rsidRPr="008E74AA">
        <w:rPr>
          <w:rFonts w:ascii="Verdana" w:hAnsi="Verdana" w:cs="Arial"/>
          <w:bCs/>
          <w:sz w:val="20"/>
          <w:szCs w:val="20"/>
          <w:lang w:val="es-CR"/>
        </w:rPr>
        <w:t xml:space="preserve">s representantes </w:t>
      </w:r>
      <w:r w:rsidR="001420BE" w:rsidRPr="008E74AA">
        <w:rPr>
          <w:rFonts w:ascii="Verdana" w:hAnsi="Verdana" w:cs="Arial"/>
          <w:sz w:val="20"/>
          <w:szCs w:val="20"/>
          <w:lang w:val="es-CR"/>
        </w:rPr>
        <w:t>no han probado los elementos de extrema gravedad, urgencia y daño irreparable</w:t>
      </w:r>
      <w:r w:rsidR="00955886" w:rsidRPr="008E74AA">
        <w:rPr>
          <w:rFonts w:ascii="Verdana" w:hAnsi="Verdana" w:cs="Arial"/>
          <w:sz w:val="20"/>
          <w:szCs w:val="20"/>
          <w:lang w:val="es-CR"/>
        </w:rPr>
        <w:t xml:space="preserve">. </w:t>
      </w:r>
      <w:r w:rsidR="008118F6">
        <w:rPr>
          <w:rFonts w:ascii="Verdana" w:hAnsi="Verdana" w:cs="Arial"/>
          <w:sz w:val="20"/>
          <w:szCs w:val="20"/>
          <w:lang w:val="es-CR"/>
        </w:rPr>
        <w:t>En particular</w:t>
      </w:r>
      <w:r w:rsidR="000B7D17" w:rsidRPr="008E74AA">
        <w:rPr>
          <w:rFonts w:ascii="Verdana" w:hAnsi="Verdana" w:cs="Arial"/>
          <w:sz w:val="20"/>
          <w:szCs w:val="20"/>
          <w:lang w:val="es-CR"/>
        </w:rPr>
        <w:t>, i</w:t>
      </w:r>
      <w:r w:rsidR="00955886" w:rsidRPr="008E74AA">
        <w:rPr>
          <w:rFonts w:ascii="Verdana" w:hAnsi="Verdana" w:cs="Arial"/>
          <w:sz w:val="20"/>
          <w:szCs w:val="20"/>
          <w:lang w:val="es-CR"/>
        </w:rPr>
        <w:t xml:space="preserve">ndicó que la </w:t>
      </w:r>
      <w:r w:rsidR="005F137B" w:rsidRPr="008E74AA">
        <w:rPr>
          <w:rFonts w:ascii="Verdana" w:hAnsi="Verdana" w:cs="Arial"/>
          <w:bCs/>
          <w:sz w:val="20"/>
          <w:szCs w:val="20"/>
          <w:lang w:val="es-CR"/>
        </w:rPr>
        <w:t xml:space="preserve">extrema gravedad alegada por los representantes </w:t>
      </w:r>
      <w:r w:rsidR="005C3124" w:rsidRPr="008E74AA">
        <w:rPr>
          <w:rFonts w:ascii="Verdana" w:hAnsi="Verdana" w:cs="Arial"/>
          <w:bCs/>
          <w:sz w:val="20"/>
          <w:szCs w:val="20"/>
          <w:lang w:val="es-CR"/>
        </w:rPr>
        <w:t>“</w:t>
      </w:r>
      <w:r w:rsidR="005F137B" w:rsidRPr="008E74AA">
        <w:rPr>
          <w:rFonts w:ascii="Verdana" w:hAnsi="Verdana" w:cs="Arial"/>
          <w:bCs/>
          <w:sz w:val="20"/>
          <w:szCs w:val="20"/>
          <w:lang w:val="es-CR"/>
        </w:rPr>
        <w:t>es hipotética y una mera</w:t>
      </w:r>
      <w:r w:rsidR="00916A9E" w:rsidRPr="008E74AA">
        <w:rPr>
          <w:rFonts w:ascii="Verdana" w:hAnsi="Verdana" w:cs="Arial"/>
          <w:bCs/>
          <w:sz w:val="20"/>
          <w:szCs w:val="20"/>
          <w:lang w:val="es-CR"/>
        </w:rPr>
        <w:t xml:space="preserve"> </w:t>
      </w:r>
      <w:r w:rsidR="005F137B" w:rsidRPr="008E74AA">
        <w:rPr>
          <w:rFonts w:ascii="Verdana" w:hAnsi="Verdana" w:cs="Arial"/>
          <w:bCs/>
          <w:sz w:val="20"/>
          <w:szCs w:val="20"/>
          <w:lang w:val="es-CR"/>
        </w:rPr>
        <w:t>suposición sin fundamento</w:t>
      </w:r>
      <w:r w:rsidR="005C3124" w:rsidRPr="008E74AA">
        <w:rPr>
          <w:rFonts w:ascii="Verdana" w:hAnsi="Verdana" w:cs="Arial"/>
          <w:bCs/>
          <w:sz w:val="20"/>
          <w:szCs w:val="20"/>
          <w:lang w:val="es-CR"/>
        </w:rPr>
        <w:t>”</w:t>
      </w:r>
      <w:r w:rsidR="007D6839" w:rsidRPr="008E74AA">
        <w:rPr>
          <w:rFonts w:ascii="Verdana" w:hAnsi="Verdana" w:cs="Arial"/>
          <w:bCs/>
          <w:sz w:val="20"/>
          <w:szCs w:val="20"/>
          <w:lang w:val="es-CR"/>
        </w:rPr>
        <w:t xml:space="preserve">. </w:t>
      </w:r>
      <w:r w:rsidR="00723900">
        <w:rPr>
          <w:rFonts w:ascii="Verdana" w:hAnsi="Verdana" w:cs="Arial"/>
          <w:bCs/>
          <w:sz w:val="20"/>
          <w:szCs w:val="20"/>
          <w:lang w:val="es-CR"/>
        </w:rPr>
        <w:t>Argumentó que,</w:t>
      </w:r>
      <w:r w:rsidR="007D6839" w:rsidRPr="008E74AA">
        <w:rPr>
          <w:rFonts w:ascii="Verdana" w:hAnsi="Verdana" w:cs="Arial"/>
          <w:bCs/>
          <w:sz w:val="20"/>
          <w:szCs w:val="20"/>
          <w:lang w:val="es-CR"/>
        </w:rPr>
        <w:t xml:space="preserve"> atendiendo a la naturaleza subsidiaria, complementaria y coadyuvante del sistema interamericano, la Corte</w:t>
      </w:r>
      <w:r w:rsidR="007D6839" w:rsidRPr="008E74AA">
        <w:rPr>
          <w:rFonts w:ascii="Verdana" w:hAnsi="Verdana" w:cs="Arial"/>
          <w:sz w:val="20"/>
          <w:szCs w:val="20"/>
          <w:lang w:val="es-CR"/>
        </w:rPr>
        <w:t xml:space="preserve"> </w:t>
      </w:r>
      <w:r w:rsidR="007D6839" w:rsidRPr="008E74AA">
        <w:rPr>
          <w:rFonts w:ascii="Verdana" w:hAnsi="Verdana" w:cs="Arial"/>
          <w:bCs/>
          <w:sz w:val="20"/>
          <w:szCs w:val="20"/>
          <w:lang w:val="es-CR"/>
        </w:rPr>
        <w:t>debe valorar las actuaciones que actualmente realiza el Estado.</w:t>
      </w:r>
      <w:r w:rsidR="007D6839" w:rsidRPr="008E74AA">
        <w:rPr>
          <w:rFonts w:ascii="Verdana" w:hAnsi="Verdana" w:cs="Arial"/>
          <w:sz w:val="20"/>
          <w:szCs w:val="20"/>
          <w:lang w:val="es-CR"/>
        </w:rPr>
        <w:t xml:space="preserve"> </w:t>
      </w:r>
      <w:r w:rsidR="00F1427A" w:rsidRPr="008E74AA">
        <w:rPr>
          <w:rFonts w:ascii="Verdana" w:hAnsi="Verdana" w:cs="Arial"/>
          <w:sz w:val="20"/>
          <w:szCs w:val="20"/>
          <w:lang w:val="es-CR"/>
        </w:rPr>
        <w:t>Primero, por</w:t>
      </w:r>
      <w:r w:rsidR="00C91752" w:rsidRPr="008E74AA">
        <w:rPr>
          <w:rFonts w:ascii="Verdana" w:hAnsi="Verdana" w:cs="Arial"/>
          <w:sz w:val="20"/>
          <w:szCs w:val="20"/>
          <w:lang w:val="es-CR"/>
        </w:rPr>
        <w:t xml:space="preserve">que </w:t>
      </w:r>
      <w:r w:rsidR="000B7D17" w:rsidRPr="008E74AA">
        <w:rPr>
          <w:rFonts w:ascii="Verdana" w:hAnsi="Verdana" w:cs="Arial"/>
          <w:sz w:val="20"/>
          <w:szCs w:val="20"/>
          <w:lang w:val="es-CR"/>
        </w:rPr>
        <w:t xml:space="preserve">el </w:t>
      </w:r>
      <w:r w:rsidR="00141675">
        <w:rPr>
          <w:rFonts w:ascii="Verdana" w:hAnsi="Verdana" w:cs="Arial"/>
          <w:bCs/>
          <w:sz w:val="20"/>
          <w:szCs w:val="20"/>
          <w:lang w:val="es-CR"/>
        </w:rPr>
        <w:t>j</w:t>
      </w:r>
      <w:r w:rsidR="000B7D17" w:rsidRPr="008E74AA">
        <w:rPr>
          <w:rFonts w:ascii="Verdana" w:hAnsi="Verdana" w:cs="Arial"/>
          <w:bCs/>
          <w:sz w:val="20"/>
          <w:szCs w:val="20"/>
          <w:lang w:val="es-CR"/>
        </w:rPr>
        <w:t>uez Gálvez</w:t>
      </w:r>
      <w:r w:rsidR="00E2216C" w:rsidRPr="008E74AA">
        <w:rPr>
          <w:rFonts w:ascii="Verdana" w:hAnsi="Verdana" w:cs="Arial"/>
          <w:sz w:val="20"/>
          <w:szCs w:val="20"/>
          <w:lang w:val="es-CR"/>
        </w:rPr>
        <w:t xml:space="preserve"> </w:t>
      </w:r>
      <w:r w:rsidR="00E2216C" w:rsidRPr="008E74AA">
        <w:rPr>
          <w:rFonts w:ascii="Verdana" w:hAnsi="Verdana" w:cs="Arial"/>
          <w:bCs/>
          <w:sz w:val="20"/>
          <w:szCs w:val="20"/>
          <w:lang w:val="es-CR"/>
        </w:rPr>
        <w:t xml:space="preserve">es </w:t>
      </w:r>
      <w:r w:rsidR="00141675">
        <w:rPr>
          <w:rFonts w:ascii="Verdana" w:hAnsi="Verdana" w:cs="Arial"/>
          <w:bCs/>
          <w:sz w:val="20"/>
          <w:szCs w:val="20"/>
          <w:lang w:val="es-CR"/>
        </w:rPr>
        <w:t xml:space="preserve">beneficiario </w:t>
      </w:r>
      <w:r w:rsidR="00E2216C" w:rsidRPr="008E74AA">
        <w:rPr>
          <w:rFonts w:ascii="Verdana" w:hAnsi="Verdana" w:cs="Arial"/>
          <w:bCs/>
          <w:sz w:val="20"/>
          <w:szCs w:val="20"/>
          <w:lang w:val="es-CR"/>
        </w:rPr>
        <w:t>de medidas cautelares de la Comisión Interamericana</w:t>
      </w:r>
      <w:r w:rsidR="00F1427A" w:rsidRPr="008E74AA">
        <w:rPr>
          <w:rFonts w:ascii="Verdana" w:hAnsi="Verdana" w:cs="Arial"/>
          <w:bCs/>
          <w:sz w:val="20"/>
          <w:szCs w:val="20"/>
          <w:lang w:val="es-CR"/>
        </w:rPr>
        <w:t xml:space="preserve"> y conforme a ello </w:t>
      </w:r>
      <w:r w:rsidR="00F1427A" w:rsidRPr="008E74AA">
        <w:rPr>
          <w:rFonts w:ascii="Verdana" w:hAnsi="Verdana" w:cs="Arial"/>
          <w:sz w:val="20"/>
          <w:szCs w:val="20"/>
          <w:lang w:val="es-CR"/>
        </w:rPr>
        <w:t>“</w:t>
      </w:r>
      <w:r w:rsidR="00F1427A" w:rsidRPr="008E74AA">
        <w:rPr>
          <w:rFonts w:ascii="Verdana" w:hAnsi="Verdana" w:cs="Arial"/>
          <w:bCs/>
          <w:sz w:val="20"/>
          <w:szCs w:val="20"/>
          <w:lang w:val="es-CR"/>
        </w:rPr>
        <w:t xml:space="preserve">el Estado ha emprendido </w:t>
      </w:r>
      <w:r w:rsidR="00F1427A" w:rsidRPr="008E74AA">
        <w:rPr>
          <w:rFonts w:ascii="Verdana" w:hAnsi="Verdana" w:cs="Arial"/>
          <w:bCs/>
          <w:sz w:val="20"/>
          <w:szCs w:val="20"/>
          <w:lang w:val="es-CR"/>
        </w:rPr>
        <w:lastRenderedPageBreak/>
        <w:t>acciones a</w:t>
      </w:r>
      <w:r w:rsidR="00F1427A" w:rsidRPr="008E74AA">
        <w:rPr>
          <w:rFonts w:ascii="Verdana" w:hAnsi="Verdana" w:cs="Arial"/>
          <w:sz w:val="20"/>
          <w:szCs w:val="20"/>
          <w:lang w:val="es-CR"/>
        </w:rPr>
        <w:t xml:space="preserve"> </w:t>
      </w:r>
      <w:r w:rsidR="00F1427A" w:rsidRPr="008E74AA">
        <w:rPr>
          <w:rFonts w:ascii="Verdana" w:hAnsi="Verdana" w:cs="Arial"/>
          <w:bCs/>
          <w:sz w:val="20"/>
          <w:szCs w:val="20"/>
          <w:lang w:val="es-CR"/>
        </w:rPr>
        <w:t>efecto de garantizar [su] vida e integridad personal […] y [la de] su familia, así mismo con el fin de</w:t>
      </w:r>
      <w:r w:rsidR="00F1427A" w:rsidRPr="008E74AA">
        <w:rPr>
          <w:rFonts w:ascii="Verdana" w:hAnsi="Verdana" w:cs="Arial"/>
          <w:sz w:val="20"/>
          <w:szCs w:val="20"/>
          <w:lang w:val="es-CR"/>
        </w:rPr>
        <w:t xml:space="preserve"> </w:t>
      </w:r>
      <w:r w:rsidR="00F1427A" w:rsidRPr="008E74AA">
        <w:rPr>
          <w:rFonts w:ascii="Verdana" w:hAnsi="Verdana" w:cs="Arial"/>
          <w:bCs/>
          <w:sz w:val="20"/>
          <w:szCs w:val="20"/>
          <w:lang w:val="es-CR"/>
        </w:rPr>
        <w:t>que pueda desarrollar sus actividades judiciales libremente”. De tal forma que</w:t>
      </w:r>
      <w:r w:rsidR="00F1427A" w:rsidRPr="008E74AA">
        <w:rPr>
          <w:rFonts w:ascii="Verdana" w:hAnsi="Verdana" w:cs="Arial"/>
          <w:sz w:val="20"/>
          <w:szCs w:val="20"/>
          <w:lang w:val="es-CR"/>
        </w:rPr>
        <w:t xml:space="preserve"> </w:t>
      </w:r>
      <w:r w:rsidR="005C3124" w:rsidRPr="008E74AA">
        <w:rPr>
          <w:rFonts w:ascii="Verdana" w:hAnsi="Verdana" w:cs="Arial"/>
          <w:sz w:val="20"/>
          <w:szCs w:val="20"/>
          <w:lang w:val="es-CR"/>
        </w:rPr>
        <w:t>“</w:t>
      </w:r>
      <w:r w:rsidR="005C3124" w:rsidRPr="008E74AA">
        <w:rPr>
          <w:rFonts w:ascii="Verdana" w:hAnsi="Verdana" w:cs="Arial"/>
          <w:bCs/>
          <w:sz w:val="20"/>
          <w:szCs w:val="20"/>
          <w:lang w:val="es-CR"/>
        </w:rPr>
        <w:t>goza de medidas de seguridad atendiendo al nivel de riesgo correspondiente”</w:t>
      </w:r>
      <w:r w:rsidR="005D1DDB" w:rsidRPr="008E74AA">
        <w:rPr>
          <w:rFonts w:ascii="Verdana" w:hAnsi="Verdana" w:cs="Arial"/>
          <w:bCs/>
          <w:sz w:val="20"/>
          <w:szCs w:val="20"/>
          <w:lang w:val="es-CR"/>
        </w:rPr>
        <w:t xml:space="preserve"> </w:t>
      </w:r>
      <w:r w:rsidR="000B7D17" w:rsidRPr="008E74AA">
        <w:rPr>
          <w:rFonts w:ascii="Verdana" w:hAnsi="Verdana" w:cs="Arial"/>
          <w:bCs/>
          <w:sz w:val="20"/>
          <w:szCs w:val="20"/>
          <w:lang w:val="es-CR"/>
        </w:rPr>
        <w:t xml:space="preserve">que incluye un </w:t>
      </w:r>
      <w:r w:rsidR="00C91752" w:rsidRPr="008E74AA">
        <w:rPr>
          <w:rFonts w:ascii="Verdana" w:hAnsi="Verdana" w:cs="Arial"/>
          <w:bCs/>
          <w:sz w:val="20"/>
          <w:szCs w:val="20"/>
          <w:lang w:val="es-CR"/>
        </w:rPr>
        <w:t>“</w:t>
      </w:r>
      <w:r w:rsidR="00FF5B8E" w:rsidRPr="008E74AA">
        <w:rPr>
          <w:rFonts w:ascii="Verdana" w:hAnsi="Verdana" w:cs="Arial"/>
          <w:bCs/>
          <w:sz w:val="20"/>
          <w:szCs w:val="20"/>
          <w:lang w:val="es-CR"/>
        </w:rPr>
        <w:t>esquema de seguridad</w:t>
      </w:r>
      <w:r w:rsidR="00BA6D65" w:rsidRPr="008E74AA">
        <w:rPr>
          <w:rFonts w:ascii="Verdana" w:hAnsi="Verdana" w:cs="Arial"/>
          <w:bCs/>
          <w:sz w:val="20"/>
          <w:szCs w:val="20"/>
          <w:lang w:val="es-CR"/>
        </w:rPr>
        <w:t xml:space="preserve"> completo</w:t>
      </w:r>
      <w:r w:rsidR="007D6839" w:rsidRPr="008E74AA">
        <w:rPr>
          <w:rFonts w:ascii="Verdana" w:hAnsi="Verdana" w:cs="Arial"/>
          <w:bCs/>
          <w:sz w:val="20"/>
          <w:szCs w:val="20"/>
          <w:lang w:val="es-CR"/>
        </w:rPr>
        <w:t xml:space="preserve"> […</w:t>
      </w:r>
      <w:r w:rsidR="00765217" w:rsidRPr="008E74AA">
        <w:rPr>
          <w:rFonts w:ascii="Verdana" w:hAnsi="Verdana" w:cs="Arial"/>
          <w:bCs/>
          <w:sz w:val="20"/>
          <w:szCs w:val="20"/>
          <w:lang w:val="es-CR"/>
        </w:rPr>
        <w:t xml:space="preserve"> y</w:t>
      </w:r>
      <w:r w:rsidR="007D6839" w:rsidRPr="008E74AA">
        <w:rPr>
          <w:rFonts w:ascii="Verdana" w:hAnsi="Verdana" w:cs="Arial"/>
          <w:bCs/>
          <w:sz w:val="20"/>
          <w:szCs w:val="20"/>
          <w:lang w:val="es-CR"/>
        </w:rPr>
        <w:t xml:space="preserve">] </w:t>
      </w:r>
      <w:r w:rsidR="007D6839" w:rsidRPr="008E74AA">
        <w:rPr>
          <w:rFonts w:ascii="Verdana" w:hAnsi="Verdana" w:cs="Arial"/>
          <w:sz w:val="20"/>
          <w:szCs w:val="20"/>
          <w:lang w:val="es-CR"/>
        </w:rPr>
        <w:t>dual entre el Organismo Judicial y el Ministerio de Gobernación”</w:t>
      </w:r>
      <w:r w:rsidR="00F1427A" w:rsidRPr="008E74AA">
        <w:rPr>
          <w:rFonts w:ascii="Verdana" w:hAnsi="Verdana" w:cs="Arial"/>
          <w:sz w:val="20"/>
          <w:szCs w:val="20"/>
          <w:lang w:val="es-CR"/>
        </w:rPr>
        <w:t>. Segundo,</w:t>
      </w:r>
      <w:r w:rsidR="005C3124" w:rsidRPr="008E74AA">
        <w:rPr>
          <w:rFonts w:ascii="Verdana" w:hAnsi="Verdana" w:cs="Arial"/>
          <w:bCs/>
          <w:sz w:val="20"/>
          <w:szCs w:val="20"/>
          <w:lang w:val="es-CR"/>
        </w:rPr>
        <w:t xml:space="preserve"> “</w:t>
      </w:r>
      <w:r w:rsidR="005F137B" w:rsidRPr="008E74AA">
        <w:rPr>
          <w:rFonts w:ascii="Verdana" w:hAnsi="Verdana" w:cs="Arial"/>
          <w:bCs/>
          <w:sz w:val="20"/>
          <w:szCs w:val="20"/>
          <w:lang w:val="es-CR"/>
        </w:rPr>
        <w:t>su proceso de antejuicio continua en una fase inicial por lo que mantiene su</w:t>
      </w:r>
      <w:r w:rsidR="00916A9E" w:rsidRPr="008E74AA">
        <w:rPr>
          <w:rFonts w:ascii="Verdana" w:hAnsi="Verdana" w:cs="Arial"/>
          <w:bCs/>
          <w:sz w:val="20"/>
          <w:szCs w:val="20"/>
          <w:lang w:val="es-CR"/>
        </w:rPr>
        <w:t xml:space="preserve"> </w:t>
      </w:r>
      <w:r w:rsidR="005F137B" w:rsidRPr="008E74AA">
        <w:rPr>
          <w:rFonts w:ascii="Verdana" w:hAnsi="Verdana" w:cs="Arial"/>
          <w:bCs/>
          <w:sz w:val="20"/>
          <w:szCs w:val="20"/>
          <w:lang w:val="es-CR"/>
        </w:rPr>
        <w:t xml:space="preserve">inmunidad lo que le permite continuar conociendo el caso </w:t>
      </w:r>
      <w:r w:rsidR="00916A9E" w:rsidRPr="008E74AA">
        <w:rPr>
          <w:rFonts w:ascii="Verdana" w:hAnsi="Verdana" w:cs="Arial"/>
          <w:bCs/>
          <w:sz w:val="20"/>
          <w:szCs w:val="20"/>
          <w:lang w:val="es-CR"/>
        </w:rPr>
        <w:t>‘</w:t>
      </w:r>
      <w:r w:rsidR="005F137B" w:rsidRPr="008E74AA">
        <w:rPr>
          <w:rFonts w:ascii="Verdana" w:hAnsi="Verdana" w:cs="Arial"/>
          <w:bCs/>
          <w:sz w:val="20"/>
          <w:szCs w:val="20"/>
          <w:lang w:val="es-CR"/>
        </w:rPr>
        <w:t>Diario Militar</w:t>
      </w:r>
      <w:r w:rsidR="00916A9E" w:rsidRPr="008E74AA">
        <w:rPr>
          <w:rFonts w:ascii="Verdana" w:hAnsi="Verdana" w:cs="Arial"/>
          <w:bCs/>
          <w:sz w:val="20"/>
          <w:szCs w:val="20"/>
          <w:lang w:val="es-CR"/>
        </w:rPr>
        <w:t>’”</w:t>
      </w:r>
      <w:r w:rsidR="005F137B" w:rsidRPr="008E74AA">
        <w:rPr>
          <w:rFonts w:ascii="Verdana" w:hAnsi="Verdana" w:cs="Arial"/>
          <w:bCs/>
          <w:sz w:val="20"/>
          <w:szCs w:val="20"/>
          <w:lang w:val="es-CR"/>
        </w:rPr>
        <w:t>.</w:t>
      </w:r>
      <w:r w:rsidR="00916A9E" w:rsidRPr="008E74AA">
        <w:rPr>
          <w:rFonts w:ascii="Verdana" w:hAnsi="Verdana" w:cs="Arial"/>
          <w:bCs/>
          <w:sz w:val="20"/>
          <w:szCs w:val="20"/>
          <w:lang w:val="es-CR"/>
        </w:rPr>
        <w:t xml:space="preserve"> </w:t>
      </w:r>
      <w:r w:rsidR="00B00CA7" w:rsidRPr="008E74AA">
        <w:rPr>
          <w:rFonts w:ascii="Verdana" w:hAnsi="Verdana" w:cs="Arial"/>
          <w:bCs/>
          <w:sz w:val="20"/>
          <w:szCs w:val="20"/>
          <w:lang w:val="es-CR"/>
        </w:rPr>
        <w:t>Por tanto, “no existe un riesgo inminente de que pueda perder la inmunidad y</w:t>
      </w:r>
      <w:r w:rsidR="00B00CA7" w:rsidRPr="008E74AA">
        <w:rPr>
          <w:rFonts w:ascii="Verdana" w:hAnsi="Verdana" w:cs="Arial"/>
          <w:sz w:val="20"/>
          <w:szCs w:val="20"/>
          <w:lang w:val="es-CR"/>
        </w:rPr>
        <w:t xml:space="preserve"> </w:t>
      </w:r>
      <w:r w:rsidR="00B00CA7" w:rsidRPr="008E74AA">
        <w:rPr>
          <w:rFonts w:ascii="Verdana" w:hAnsi="Verdana" w:cs="Arial"/>
          <w:bCs/>
          <w:sz w:val="20"/>
          <w:szCs w:val="20"/>
          <w:lang w:val="es-CR"/>
        </w:rPr>
        <w:t>sea separado del caso, además el derecho de acceso a la justicia de las víctimas no debe</w:t>
      </w:r>
      <w:r w:rsidR="00B00CA7" w:rsidRPr="008E74AA">
        <w:rPr>
          <w:rFonts w:ascii="Verdana" w:hAnsi="Verdana" w:cs="Arial"/>
          <w:sz w:val="20"/>
          <w:szCs w:val="20"/>
          <w:lang w:val="es-CR"/>
        </w:rPr>
        <w:t xml:space="preserve"> </w:t>
      </w:r>
      <w:r w:rsidR="00B00CA7" w:rsidRPr="008E74AA">
        <w:rPr>
          <w:rFonts w:ascii="Verdana" w:hAnsi="Verdana" w:cs="Arial"/>
          <w:bCs/>
          <w:sz w:val="20"/>
          <w:szCs w:val="20"/>
          <w:lang w:val="es-CR"/>
        </w:rPr>
        <w:t>vislumbrarse en una solicitud de medidas provisionales, sino que dentro del marco de la supervisión</w:t>
      </w:r>
      <w:r w:rsidR="00B00CA7" w:rsidRPr="008E74AA">
        <w:rPr>
          <w:rFonts w:ascii="Verdana" w:hAnsi="Verdana" w:cs="Arial"/>
          <w:sz w:val="20"/>
          <w:szCs w:val="20"/>
          <w:lang w:val="es-CR"/>
        </w:rPr>
        <w:t xml:space="preserve"> </w:t>
      </w:r>
      <w:r w:rsidR="00B00CA7" w:rsidRPr="008E74AA">
        <w:rPr>
          <w:rFonts w:ascii="Verdana" w:hAnsi="Verdana" w:cs="Arial"/>
          <w:bCs/>
          <w:sz w:val="20"/>
          <w:szCs w:val="20"/>
          <w:lang w:val="es-CR"/>
        </w:rPr>
        <w:t>de cumplimiento de Sentencia</w:t>
      </w:r>
      <w:bookmarkStart w:id="8" w:name="_Toc80273247"/>
      <w:r w:rsidR="00141675">
        <w:rPr>
          <w:rFonts w:ascii="Verdana" w:hAnsi="Verdana" w:cs="Arial"/>
          <w:bCs/>
          <w:sz w:val="20"/>
          <w:szCs w:val="20"/>
          <w:lang w:val="es-CR"/>
        </w:rPr>
        <w:t>”</w:t>
      </w:r>
      <w:r w:rsidR="000B7D17" w:rsidRPr="008E74AA">
        <w:rPr>
          <w:rFonts w:ascii="Verdana" w:hAnsi="Verdana" w:cs="Arial"/>
          <w:bCs/>
          <w:sz w:val="20"/>
          <w:szCs w:val="20"/>
          <w:lang w:val="es-CR"/>
        </w:rPr>
        <w:t>.</w:t>
      </w:r>
    </w:p>
    <w:p w14:paraId="79000054" w14:textId="7A157000" w:rsidR="00857190" w:rsidRPr="004F7291" w:rsidRDefault="00C91752" w:rsidP="004F7291">
      <w:pPr>
        <w:pStyle w:val="Prrafodelista"/>
        <w:numPr>
          <w:ilvl w:val="0"/>
          <w:numId w:val="2"/>
        </w:numPr>
        <w:autoSpaceDE w:val="0"/>
        <w:autoSpaceDN w:val="0"/>
        <w:adjustRightInd w:val="0"/>
        <w:spacing w:before="120" w:after="120"/>
        <w:ind w:left="0" w:firstLine="0"/>
        <w:contextualSpacing w:val="0"/>
        <w:jc w:val="both"/>
        <w:rPr>
          <w:rFonts w:ascii="Verdana" w:eastAsiaTheme="minorHAnsi" w:hAnsi="Verdana" w:cs="Verdana"/>
          <w:sz w:val="20"/>
          <w:szCs w:val="20"/>
          <w:lang w:val="es-CR"/>
        </w:rPr>
      </w:pPr>
      <w:r w:rsidRPr="008E74AA">
        <w:rPr>
          <w:rFonts w:ascii="Verdana" w:eastAsiaTheme="minorHAnsi" w:hAnsi="Verdana" w:cs="Verdana"/>
          <w:sz w:val="20"/>
          <w:szCs w:val="20"/>
          <w:lang w:val="es-CR"/>
        </w:rPr>
        <w:t xml:space="preserve">Finalmente, </w:t>
      </w:r>
      <w:r w:rsidR="00D4054E">
        <w:rPr>
          <w:rFonts w:ascii="Verdana" w:eastAsiaTheme="minorHAnsi" w:hAnsi="Verdana" w:cs="Verdana"/>
          <w:sz w:val="20"/>
          <w:szCs w:val="20"/>
          <w:lang w:val="es-CR"/>
        </w:rPr>
        <w:t>el Estado argumentó que la solicitud de medidas provisionales incumple con el</w:t>
      </w:r>
      <w:r w:rsidR="00F52B90" w:rsidRPr="008E74AA">
        <w:rPr>
          <w:rFonts w:ascii="Verdana" w:eastAsiaTheme="minorHAnsi" w:hAnsi="Verdana" w:cs="Verdana"/>
          <w:sz w:val="20"/>
          <w:szCs w:val="20"/>
          <w:lang w:val="es-CR"/>
        </w:rPr>
        <w:t xml:space="preserve"> artículo 27.3 del Reglamento de la Corte. </w:t>
      </w:r>
      <w:bookmarkStart w:id="9" w:name="_Hlk106891681"/>
      <w:r w:rsidR="00D4054E">
        <w:rPr>
          <w:rFonts w:ascii="Verdana" w:eastAsiaTheme="minorHAnsi" w:hAnsi="Verdana" w:cs="Verdana"/>
          <w:sz w:val="20"/>
          <w:szCs w:val="20"/>
          <w:lang w:val="es-CR"/>
        </w:rPr>
        <w:t xml:space="preserve">En primer término, sostuvo que </w:t>
      </w:r>
      <w:r w:rsidR="004645E5">
        <w:rPr>
          <w:rFonts w:ascii="Verdana" w:eastAsiaTheme="minorHAnsi" w:hAnsi="Verdana" w:cs="Verdana"/>
          <w:sz w:val="20"/>
          <w:szCs w:val="20"/>
          <w:lang w:val="es-CR"/>
        </w:rPr>
        <w:t xml:space="preserve">los hechos relativos al proceso de antejuicio </w:t>
      </w:r>
      <w:r w:rsidR="00045C0D" w:rsidRPr="008E74AA">
        <w:rPr>
          <w:rFonts w:ascii="Verdana" w:eastAsiaTheme="minorHAnsi" w:hAnsi="Verdana" w:cs="Verdana"/>
          <w:sz w:val="20"/>
          <w:szCs w:val="20"/>
          <w:lang w:val="es-CR"/>
        </w:rPr>
        <w:t>“se refiere a la utilización de la figura de la ‘prisión provisional’ por parte del Juez Gálvez en general, lo que significa que no se origina por actuaciones y situaciones realizadas por el propuesto beneficiario dentro del caso ‘Diario Militar’</w:t>
      </w:r>
      <w:r w:rsidR="0054141A" w:rsidRPr="008E74AA">
        <w:rPr>
          <w:rFonts w:ascii="Verdana" w:eastAsiaTheme="minorHAnsi" w:hAnsi="Verdana" w:cs="Verdana"/>
          <w:sz w:val="20"/>
          <w:szCs w:val="20"/>
          <w:lang w:val="es-CR"/>
        </w:rPr>
        <w:t>”</w:t>
      </w:r>
      <w:r w:rsidR="004F7291">
        <w:rPr>
          <w:rStyle w:val="Refdenotaalpie"/>
          <w:rFonts w:eastAsiaTheme="minorHAnsi" w:cs="Verdana"/>
          <w:szCs w:val="20"/>
          <w:lang w:val="es-CR"/>
        </w:rPr>
        <w:footnoteReference w:id="16"/>
      </w:r>
      <w:r w:rsidR="004F7291">
        <w:rPr>
          <w:rFonts w:ascii="Verdana" w:eastAsiaTheme="minorHAnsi" w:hAnsi="Verdana" w:cs="Verdana"/>
          <w:sz w:val="20"/>
          <w:szCs w:val="20"/>
          <w:lang w:val="es-CR"/>
        </w:rPr>
        <w:t xml:space="preserve">. </w:t>
      </w:r>
      <w:bookmarkEnd w:id="9"/>
      <w:r w:rsidR="004645E5">
        <w:rPr>
          <w:rFonts w:ascii="Verdana" w:eastAsiaTheme="minorHAnsi" w:hAnsi="Verdana" w:cs="Verdana"/>
          <w:sz w:val="20"/>
          <w:szCs w:val="20"/>
          <w:lang w:val="es-CR"/>
        </w:rPr>
        <w:t xml:space="preserve">En segundo término, Guatemala sostuvo que </w:t>
      </w:r>
      <w:r w:rsidR="004645E5" w:rsidRPr="008E74AA">
        <w:rPr>
          <w:rFonts w:ascii="Verdana" w:hAnsi="Verdana"/>
          <w:sz w:val="20"/>
          <w:szCs w:val="20"/>
          <w:lang w:val="es-ES"/>
        </w:rPr>
        <w:t>“los representantes carecen de legitimación”</w:t>
      </w:r>
      <w:r w:rsidR="004645E5" w:rsidRPr="008E74AA">
        <w:rPr>
          <w:rFonts w:ascii="Verdana" w:eastAsiaTheme="minorHAnsi" w:hAnsi="Verdana" w:cs="Verdana"/>
          <w:sz w:val="20"/>
          <w:szCs w:val="20"/>
          <w:lang w:val="es-CR"/>
        </w:rPr>
        <w:t xml:space="preserve"> </w:t>
      </w:r>
      <w:r w:rsidR="004645E5" w:rsidRPr="008E74AA">
        <w:rPr>
          <w:rFonts w:ascii="Verdana" w:hAnsi="Verdana"/>
          <w:sz w:val="20"/>
          <w:szCs w:val="20"/>
          <w:lang w:val="es-ES"/>
        </w:rPr>
        <w:t xml:space="preserve">para actuar en nombre del </w:t>
      </w:r>
      <w:r w:rsidR="00205B16">
        <w:rPr>
          <w:rFonts w:ascii="Verdana" w:hAnsi="Verdana"/>
          <w:sz w:val="20"/>
          <w:szCs w:val="20"/>
          <w:lang w:val="es-ES"/>
        </w:rPr>
        <w:t>j</w:t>
      </w:r>
      <w:r w:rsidR="004645E5" w:rsidRPr="008E74AA">
        <w:rPr>
          <w:rFonts w:ascii="Verdana" w:hAnsi="Verdana"/>
          <w:sz w:val="20"/>
          <w:szCs w:val="20"/>
          <w:lang w:val="es-ES"/>
        </w:rPr>
        <w:t>uez Gálvez, pues no posee la calidad de víctima en este caso y tampoco se comprueba su consentimiento expreso para la presentación de tal solicitud.</w:t>
      </w:r>
    </w:p>
    <w:p w14:paraId="038DDF48" w14:textId="07C10AC4" w:rsidR="008A0F7F" w:rsidRPr="008E74AA" w:rsidRDefault="008A0F7F" w:rsidP="005D370D">
      <w:pPr>
        <w:spacing w:before="120" w:after="120"/>
        <w:ind w:left="567"/>
        <w:jc w:val="both"/>
        <w:rPr>
          <w:rFonts w:ascii="Verdana" w:eastAsiaTheme="minorHAnsi" w:hAnsi="Verdana" w:cs="ArialMT"/>
          <w:b/>
          <w:i/>
          <w:sz w:val="20"/>
          <w:szCs w:val="20"/>
          <w:lang w:val="es-CR"/>
        </w:rPr>
      </w:pPr>
      <w:r w:rsidRPr="008E74AA">
        <w:rPr>
          <w:rFonts w:ascii="Verdana" w:eastAsiaTheme="minorHAnsi" w:hAnsi="Verdana" w:cs="ArialMT"/>
          <w:b/>
          <w:i/>
          <w:sz w:val="20"/>
          <w:szCs w:val="20"/>
          <w:lang w:val="es-CR"/>
        </w:rPr>
        <w:t xml:space="preserve">C) </w:t>
      </w:r>
      <w:r w:rsidRPr="008E74AA">
        <w:rPr>
          <w:rFonts w:ascii="Verdana" w:hAnsi="Verdana"/>
          <w:b/>
          <w:i/>
          <w:sz w:val="20"/>
          <w:szCs w:val="20"/>
        </w:rPr>
        <w:t>Observaciones de la Comisión Interamericana</w:t>
      </w:r>
    </w:p>
    <w:p w14:paraId="1A1878B1" w14:textId="1A3E990E" w:rsidR="006A30A1" w:rsidRPr="008E74AA" w:rsidRDefault="008A0F7F" w:rsidP="000674D0">
      <w:pPr>
        <w:pStyle w:val="Prrafodelista"/>
        <w:numPr>
          <w:ilvl w:val="0"/>
          <w:numId w:val="2"/>
        </w:numPr>
        <w:tabs>
          <w:tab w:val="left" w:pos="567"/>
        </w:tabs>
        <w:autoSpaceDE w:val="0"/>
        <w:autoSpaceDN w:val="0"/>
        <w:adjustRightInd w:val="0"/>
        <w:spacing w:before="120" w:after="120"/>
        <w:ind w:left="0" w:firstLine="0"/>
        <w:contextualSpacing w:val="0"/>
        <w:jc w:val="both"/>
        <w:rPr>
          <w:rFonts w:ascii="Verdana" w:eastAsiaTheme="minorHAnsi" w:hAnsi="Verdana" w:cs="ArialMT"/>
          <w:bCs/>
          <w:iCs/>
          <w:sz w:val="20"/>
          <w:szCs w:val="20"/>
          <w:lang w:val="es-CR"/>
        </w:rPr>
      </w:pPr>
      <w:r w:rsidRPr="008E74AA">
        <w:rPr>
          <w:rFonts w:ascii="Verdana" w:eastAsia="Verdana" w:hAnsi="Verdana" w:cs="Verdana"/>
          <w:sz w:val="20"/>
          <w:szCs w:val="20"/>
          <w:lang w:val="es-CR"/>
        </w:rPr>
        <w:t>En el escrito de</w:t>
      </w:r>
      <w:r w:rsidRPr="008E74AA">
        <w:rPr>
          <w:rFonts w:ascii="Verdana" w:eastAsiaTheme="minorHAnsi" w:hAnsi="Verdana" w:cs="ArialMT"/>
          <w:bCs/>
          <w:iCs/>
          <w:sz w:val="20"/>
          <w:szCs w:val="20"/>
          <w:lang w:val="es-CR"/>
        </w:rPr>
        <w:t xml:space="preserve"> 1 de julio de 2022 la Comisión</w:t>
      </w:r>
      <w:r w:rsidR="0080565E" w:rsidRPr="008E74AA">
        <w:rPr>
          <w:rFonts w:ascii="Verdana" w:eastAsiaTheme="minorHAnsi" w:hAnsi="Verdana" w:cs="ArialMT"/>
          <w:bCs/>
          <w:iCs/>
          <w:sz w:val="20"/>
          <w:szCs w:val="20"/>
          <w:lang w:val="es-CR"/>
        </w:rPr>
        <w:t xml:space="preserve"> confirmó que el </w:t>
      </w:r>
      <w:r w:rsidR="00957806">
        <w:rPr>
          <w:rFonts w:ascii="Verdana" w:eastAsiaTheme="minorHAnsi" w:hAnsi="Verdana" w:cs="ArialMT"/>
          <w:bCs/>
          <w:iCs/>
          <w:sz w:val="20"/>
          <w:szCs w:val="20"/>
          <w:lang w:val="es-CR"/>
        </w:rPr>
        <w:t>j</w:t>
      </w:r>
      <w:r w:rsidR="0080565E" w:rsidRPr="008E74AA">
        <w:rPr>
          <w:rFonts w:ascii="Verdana" w:eastAsiaTheme="minorHAnsi" w:hAnsi="Verdana" w:cs="ArialMT"/>
          <w:bCs/>
          <w:iCs/>
          <w:sz w:val="20"/>
          <w:szCs w:val="20"/>
          <w:lang w:val="es-CR"/>
        </w:rPr>
        <w:t xml:space="preserve">uez Miguel Ángel Gálvez Aguilar </w:t>
      </w:r>
      <w:r w:rsidR="00C90F46" w:rsidRPr="008E74AA">
        <w:rPr>
          <w:rFonts w:ascii="Verdana" w:eastAsiaTheme="minorHAnsi" w:hAnsi="Verdana" w:cs="ArialMT"/>
          <w:bCs/>
          <w:iCs/>
          <w:sz w:val="20"/>
          <w:szCs w:val="20"/>
          <w:lang w:val="es-CR"/>
        </w:rPr>
        <w:t>y su núcleo familiar son</w:t>
      </w:r>
      <w:r w:rsidR="0080565E" w:rsidRPr="008E74AA">
        <w:rPr>
          <w:rFonts w:ascii="Verdana" w:eastAsiaTheme="minorHAnsi" w:hAnsi="Verdana" w:cs="ArialMT"/>
          <w:bCs/>
          <w:iCs/>
          <w:sz w:val="20"/>
          <w:szCs w:val="20"/>
          <w:lang w:val="es-CR"/>
        </w:rPr>
        <w:t xml:space="preserve"> actual</w:t>
      </w:r>
      <w:r w:rsidR="00C90F46" w:rsidRPr="008E74AA">
        <w:rPr>
          <w:rFonts w:ascii="Verdana" w:eastAsiaTheme="minorHAnsi" w:hAnsi="Verdana" w:cs="ArialMT"/>
          <w:bCs/>
          <w:iCs/>
          <w:sz w:val="20"/>
          <w:szCs w:val="20"/>
          <w:lang w:val="es-CR"/>
        </w:rPr>
        <w:t>es</w:t>
      </w:r>
      <w:r w:rsidR="0080565E" w:rsidRPr="008E74AA">
        <w:rPr>
          <w:rFonts w:ascii="Verdana" w:eastAsiaTheme="minorHAnsi" w:hAnsi="Verdana" w:cs="ArialMT"/>
          <w:bCs/>
          <w:iCs/>
          <w:sz w:val="20"/>
          <w:szCs w:val="20"/>
          <w:lang w:val="es-CR"/>
        </w:rPr>
        <w:t xml:space="preserve"> beneficiario</w:t>
      </w:r>
      <w:r w:rsidR="009022FF">
        <w:rPr>
          <w:rFonts w:ascii="Verdana" w:eastAsiaTheme="minorHAnsi" w:hAnsi="Verdana" w:cs="ArialMT"/>
          <w:bCs/>
          <w:iCs/>
          <w:sz w:val="20"/>
          <w:szCs w:val="20"/>
          <w:lang w:val="es-CR"/>
        </w:rPr>
        <w:t>s</w:t>
      </w:r>
      <w:r w:rsidR="0080565E" w:rsidRPr="008E74AA">
        <w:rPr>
          <w:rFonts w:ascii="Verdana" w:eastAsiaTheme="minorHAnsi" w:hAnsi="Verdana" w:cs="ArialMT"/>
          <w:bCs/>
          <w:iCs/>
          <w:sz w:val="20"/>
          <w:szCs w:val="20"/>
          <w:lang w:val="es-CR"/>
        </w:rPr>
        <w:t xml:space="preserve"> de medidas cautelares</w:t>
      </w:r>
      <w:r w:rsidR="00C90F46" w:rsidRPr="008E74AA">
        <w:rPr>
          <w:rFonts w:ascii="Verdana" w:eastAsiaTheme="minorHAnsi" w:hAnsi="Verdana" w:cs="ArialMT"/>
          <w:bCs/>
          <w:iCs/>
          <w:sz w:val="20"/>
          <w:szCs w:val="20"/>
          <w:lang w:val="es-CR"/>
        </w:rPr>
        <w:t xml:space="preserve"> otorgadas el 21 de </w:t>
      </w:r>
      <w:r w:rsidR="00C90F46" w:rsidRPr="0066500C">
        <w:rPr>
          <w:rFonts w:ascii="Verdana" w:eastAsiaTheme="minorHAnsi" w:hAnsi="Verdana" w:cs="ArialMT"/>
          <w:bCs/>
          <w:iCs/>
          <w:sz w:val="20"/>
          <w:szCs w:val="20"/>
          <w:lang w:val="es-CR"/>
        </w:rPr>
        <w:t>agosto de 2016</w:t>
      </w:r>
      <w:r w:rsidR="0080565E" w:rsidRPr="0066500C">
        <w:rPr>
          <w:rFonts w:ascii="Verdana" w:eastAsiaTheme="minorHAnsi" w:hAnsi="Verdana" w:cs="ArialMT"/>
          <w:bCs/>
          <w:iCs/>
          <w:sz w:val="20"/>
          <w:szCs w:val="20"/>
          <w:lang w:val="es-CR"/>
        </w:rPr>
        <w:t xml:space="preserve">, </w:t>
      </w:r>
      <w:r w:rsidR="009022FF" w:rsidRPr="0066500C">
        <w:rPr>
          <w:rFonts w:ascii="Verdana" w:eastAsiaTheme="minorHAnsi" w:hAnsi="Verdana" w:cs="ArialMT"/>
          <w:bCs/>
          <w:iCs/>
          <w:sz w:val="20"/>
          <w:szCs w:val="20"/>
          <w:lang w:val="es-CR"/>
        </w:rPr>
        <w:t xml:space="preserve">para proteger </w:t>
      </w:r>
      <w:r w:rsidR="0080565E" w:rsidRPr="0066500C">
        <w:rPr>
          <w:rFonts w:ascii="Verdana" w:eastAsiaTheme="minorHAnsi" w:hAnsi="Verdana" w:cs="ArialMT"/>
          <w:bCs/>
          <w:iCs/>
          <w:sz w:val="20"/>
          <w:szCs w:val="20"/>
          <w:lang w:val="es-CR"/>
        </w:rPr>
        <w:t>sus derechos a la vida e integridad personal</w:t>
      </w:r>
      <w:r w:rsidR="00C90F46" w:rsidRPr="0066500C">
        <w:rPr>
          <w:rFonts w:ascii="Verdana" w:eastAsiaTheme="minorHAnsi" w:hAnsi="Verdana" w:cs="ArialMT"/>
          <w:bCs/>
          <w:iCs/>
          <w:sz w:val="20"/>
          <w:szCs w:val="20"/>
          <w:lang w:val="es-CR"/>
        </w:rPr>
        <w:t>,</w:t>
      </w:r>
      <w:r w:rsidR="009022FF" w:rsidRPr="0066500C">
        <w:rPr>
          <w:rFonts w:ascii="Verdana" w:hAnsi="Verdana"/>
          <w:sz w:val="16"/>
          <w:szCs w:val="16"/>
          <w:lang w:val="es-MX"/>
        </w:rPr>
        <w:t xml:space="preserve"> </w:t>
      </w:r>
      <w:r w:rsidR="009022FF" w:rsidRPr="0066500C">
        <w:rPr>
          <w:rFonts w:ascii="Verdana" w:hAnsi="Verdana"/>
          <w:sz w:val="20"/>
          <w:szCs w:val="20"/>
          <w:lang w:val="es-MX"/>
        </w:rPr>
        <w:t>así como medidas para que “pueda desarrollar sus actividades como juez sin ser objeto de actos de intimidación, amenazas y hostigamientos”. La Comisión</w:t>
      </w:r>
      <w:r w:rsidR="00C90F46" w:rsidRPr="0066500C">
        <w:rPr>
          <w:rFonts w:ascii="Verdana" w:eastAsiaTheme="minorHAnsi" w:hAnsi="Verdana" w:cs="ArialMT"/>
          <w:bCs/>
          <w:iCs/>
          <w:sz w:val="20"/>
          <w:szCs w:val="20"/>
          <w:lang w:val="es-CR"/>
        </w:rPr>
        <w:t xml:space="preserve"> </w:t>
      </w:r>
      <w:r w:rsidR="009D349F" w:rsidRPr="0066500C">
        <w:rPr>
          <w:rFonts w:ascii="Verdana" w:eastAsiaTheme="minorHAnsi" w:hAnsi="Verdana" w:cs="ArialMT"/>
          <w:bCs/>
          <w:iCs/>
          <w:sz w:val="20"/>
          <w:szCs w:val="20"/>
          <w:lang w:val="es-CR"/>
        </w:rPr>
        <w:t xml:space="preserve">consideró que eso no impide que la Corte ordene </w:t>
      </w:r>
      <w:r w:rsidR="001B604A" w:rsidRPr="0066500C">
        <w:rPr>
          <w:rFonts w:ascii="Verdana" w:eastAsiaTheme="minorHAnsi" w:hAnsi="Verdana" w:cs="ArialMT"/>
          <w:bCs/>
          <w:iCs/>
          <w:sz w:val="20"/>
          <w:szCs w:val="20"/>
          <w:lang w:val="es-CR"/>
        </w:rPr>
        <w:t xml:space="preserve">medidas </w:t>
      </w:r>
      <w:r w:rsidR="009D349F" w:rsidRPr="0066500C">
        <w:rPr>
          <w:rFonts w:ascii="Verdana" w:eastAsiaTheme="minorHAnsi" w:hAnsi="Verdana" w:cs="ArialMT"/>
          <w:bCs/>
          <w:iCs/>
          <w:sz w:val="20"/>
          <w:szCs w:val="20"/>
          <w:lang w:val="es-CR"/>
        </w:rPr>
        <w:t xml:space="preserve">provisionales, tal como </w:t>
      </w:r>
      <w:r w:rsidR="00A9345B" w:rsidRPr="0066500C">
        <w:rPr>
          <w:rFonts w:ascii="Verdana" w:eastAsiaTheme="minorHAnsi" w:hAnsi="Verdana" w:cs="ArialMT"/>
          <w:bCs/>
          <w:iCs/>
          <w:sz w:val="20"/>
          <w:szCs w:val="20"/>
          <w:lang w:val="es-CR"/>
        </w:rPr>
        <w:t xml:space="preserve">ha sucedido </w:t>
      </w:r>
      <w:r w:rsidR="009D349F" w:rsidRPr="0066500C">
        <w:rPr>
          <w:rFonts w:ascii="Verdana" w:eastAsiaTheme="minorHAnsi" w:hAnsi="Verdana" w:cs="ArialMT"/>
          <w:bCs/>
          <w:iCs/>
          <w:sz w:val="20"/>
          <w:szCs w:val="20"/>
          <w:lang w:val="es-CR"/>
        </w:rPr>
        <w:t xml:space="preserve">en </w:t>
      </w:r>
      <w:r w:rsidR="00B9378D" w:rsidRPr="0066500C">
        <w:rPr>
          <w:rFonts w:ascii="Verdana" w:eastAsiaTheme="minorHAnsi" w:hAnsi="Verdana" w:cs="ArialMT"/>
          <w:bCs/>
          <w:iCs/>
          <w:sz w:val="20"/>
          <w:szCs w:val="20"/>
          <w:lang w:val="es-CR"/>
        </w:rPr>
        <w:t>otros</w:t>
      </w:r>
      <w:r w:rsidR="009D349F" w:rsidRPr="0066500C">
        <w:rPr>
          <w:rFonts w:ascii="Verdana" w:eastAsiaTheme="minorHAnsi" w:hAnsi="Verdana" w:cs="ArialMT"/>
          <w:bCs/>
          <w:iCs/>
          <w:sz w:val="20"/>
          <w:szCs w:val="20"/>
          <w:lang w:val="es-CR"/>
        </w:rPr>
        <w:t xml:space="preserve"> casos</w:t>
      </w:r>
      <w:r w:rsidR="00B9378D" w:rsidRPr="0066500C">
        <w:rPr>
          <w:rStyle w:val="Refdenotaalpie"/>
          <w:rFonts w:eastAsiaTheme="minorHAnsi" w:cs="ArialMT"/>
          <w:bCs/>
          <w:iCs/>
          <w:sz w:val="20"/>
          <w:szCs w:val="20"/>
          <w:lang w:val="es-CR"/>
        </w:rPr>
        <w:footnoteReference w:id="17"/>
      </w:r>
      <w:r w:rsidR="009D349F" w:rsidRPr="0066500C">
        <w:rPr>
          <w:rFonts w:ascii="Verdana" w:eastAsiaTheme="minorHAnsi" w:hAnsi="Verdana" w:cs="ArialMT"/>
          <w:bCs/>
          <w:iCs/>
          <w:sz w:val="20"/>
          <w:szCs w:val="20"/>
          <w:lang w:val="es-CR"/>
        </w:rPr>
        <w:t xml:space="preserve">. </w:t>
      </w:r>
      <w:r w:rsidR="00B9378D" w:rsidRPr="0066500C">
        <w:rPr>
          <w:rFonts w:ascii="Verdana" w:eastAsiaTheme="minorHAnsi" w:hAnsi="Verdana" w:cs="ArialMT"/>
          <w:bCs/>
          <w:iCs/>
          <w:sz w:val="20"/>
          <w:szCs w:val="20"/>
          <w:lang w:val="es-CR"/>
        </w:rPr>
        <w:t>Sostuvo</w:t>
      </w:r>
      <w:r w:rsidR="00960DCD" w:rsidRPr="0066500C">
        <w:rPr>
          <w:rFonts w:ascii="Verdana" w:eastAsiaTheme="minorHAnsi" w:hAnsi="Verdana" w:cs="ArialMT"/>
          <w:bCs/>
          <w:iCs/>
          <w:sz w:val="20"/>
          <w:szCs w:val="20"/>
          <w:lang w:val="es-CR"/>
        </w:rPr>
        <w:t xml:space="preserve"> que la solicitud de medidas provisionales cumple lo establecido en el artículo 27.3 del</w:t>
      </w:r>
      <w:r w:rsidR="00960DCD" w:rsidRPr="008E74AA">
        <w:rPr>
          <w:rFonts w:ascii="Verdana" w:eastAsiaTheme="minorHAnsi" w:hAnsi="Verdana" w:cs="ArialMT"/>
          <w:bCs/>
          <w:iCs/>
          <w:sz w:val="20"/>
          <w:szCs w:val="20"/>
          <w:lang w:val="es-CR"/>
        </w:rPr>
        <w:t xml:space="preserve"> Reglamento de la Corte, habiendo sido solicitada por la representación de las víctimas del caso, y que la situación actual del </w:t>
      </w:r>
      <w:r w:rsidR="00205B16">
        <w:rPr>
          <w:rFonts w:ascii="Verdana" w:eastAsiaTheme="minorHAnsi" w:hAnsi="Verdana" w:cs="ArialMT"/>
          <w:bCs/>
          <w:iCs/>
          <w:sz w:val="20"/>
          <w:szCs w:val="20"/>
          <w:lang w:val="es-CR"/>
        </w:rPr>
        <w:t>j</w:t>
      </w:r>
      <w:r w:rsidR="003D7250" w:rsidRPr="008E74AA">
        <w:rPr>
          <w:rFonts w:ascii="Verdana" w:eastAsiaTheme="minorHAnsi" w:hAnsi="Verdana" w:cs="ArialMT"/>
          <w:bCs/>
          <w:iCs/>
          <w:sz w:val="20"/>
          <w:szCs w:val="20"/>
          <w:lang w:val="es-CR"/>
        </w:rPr>
        <w:t>uez</w:t>
      </w:r>
      <w:r w:rsidR="00960DCD" w:rsidRPr="008E74AA">
        <w:rPr>
          <w:rFonts w:ascii="Verdana" w:eastAsiaTheme="minorHAnsi" w:hAnsi="Verdana" w:cs="ArialMT"/>
          <w:bCs/>
          <w:iCs/>
          <w:sz w:val="20"/>
          <w:szCs w:val="20"/>
          <w:lang w:val="es-CR"/>
        </w:rPr>
        <w:t xml:space="preserve"> Gálvez se relaciona con lo decidido en el párrafo 327.g) de la Sentencia</w:t>
      </w:r>
      <w:r w:rsidR="00880925" w:rsidRPr="008E74AA">
        <w:rPr>
          <w:rFonts w:ascii="Verdana" w:eastAsiaTheme="minorHAnsi" w:hAnsi="Verdana" w:cs="ArialMT"/>
          <w:bCs/>
          <w:iCs/>
          <w:sz w:val="20"/>
          <w:szCs w:val="20"/>
          <w:lang w:val="es-CR"/>
        </w:rPr>
        <w:t>.</w:t>
      </w:r>
      <w:r w:rsidR="006A30A1" w:rsidRPr="008E74AA">
        <w:rPr>
          <w:rFonts w:ascii="Verdana" w:eastAsiaTheme="minorHAnsi" w:hAnsi="Verdana" w:cs="ArialMT"/>
          <w:bCs/>
          <w:iCs/>
          <w:sz w:val="20"/>
          <w:szCs w:val="20"/>
          <w:lang w:val="es-CR"/>
        </w:rPr>
        <w:t xml:space="preserve"> </w:t>
      </w:r>
      <w:r w:rsidR="001A29AA" w:rsidRPr="008E74AA">
        <w:rPr>
          <w:rFonts w:ascii="Verdana" w:eastAsiaTheme="minorHAnsi" w:hAnsi="Verdana" w:cs="ArialMT"/>
          <w:bCs/>
          <w:iCs/>
          <w:sz w:val="20"/>
          <w:szCs w:val="20"/>
          <w:lang w:val="es-CR"/>
        </w:rPr>
        <w:t>Advirtió</w:t>
      </w:r>
      <w:r w:rsidR="003D7250" w:rsidRPr="008E74AA">
        <w:rPr>
          <w:rFonts w:ascii="Verdana" w:eastAsiaTheme="minorHAnsi" w:hAnsi="Verdana" w:cs="ArialMT"/>
          <w:bCs/>
          <w:iCs/>
          <w:sz w:val="20"/>
          <w:szCs w:val="20"/>
          <w:lang w:val="es-CR"/>
        </w:rPr>
        <w:t xml:space="preserve"> que </w:t>
      </w:r>
      <w:r w:rsidR="00507DD8" w:rsidRPr="008E74AA">
        <w:rPr>
          <w:rFonts w:ascii="Verdana" w:eastAsiaTheme="minorHAnsi" w:hAnsi="Verdana" w:cs="ArialMT"/>
          <w:bCs/>
          <w:iCs/>
          <w:sz w:val="20"/>
          <w:szCs w:val="20"/>
          <w:lang w:val="es-CR"/>
        </w:rPr>
        <w:t>“</w:t>
      </w:r>
      <w:r w:rsidR="001A29AA" w:rsidRPr="008E74AA">
        <w:rPr>
          <w:rFonts w:ascii="Verdana" w:eastAsiaTheme="minorHAnsi" w:hAnsi="Verdana" w:cs="ArialMT"/>
          <w:bCs/>
          <w:iCs/>
          <w:sz w:val="20"/>
          <w:szCs w:val="20"/>
          <w:lang w:val="es-CR"/>
        </w:rPr>
        <w:t>la información disponible permite indicar que la labor judicial del señor Gálvez</w:t>
      </w:r>
      <w:r w:rsidR="00507DD8" w:rsidRPr="008E74AA">
        <w:rPr>
          <w:rFonts w:ascii="Verdana" w:eastAsiaTheme="minorHAnsi" w:hAnsi="Verdana" w:cs="ArialMT"/>
          <w:bCs/>
          <w:iCs/>
          <w:sz w:val="20"/>
          <w:szCs w:val="20"/>
          <w:lang w:val="es-CR"/>
        </w:rPr>
        <w:t xml:space="preserve"> </w:t>
      </w:r>
      <w:r w:rsidR="001A29AA" w:rsidRPr="008E74AA">
        <w:rPr>
          <w:rFonts w:ascii="Verdana" w:eastAsiaTheme="minorHAnsi" w:hAnsi="Verdana" w:cs="ArialMT"/>
          <w:bCs/>
          <w:iCs/>
          <w:sz w:val="20"/>
          <w:szCs w:val="20"/>
          <w:lang w:val="es-CR"/>
        </w:rPr>
        <w:t>ha permitido ir avanzando en el cumplimiento de la obligación de investigar los hechos materia del</w:t>
      </w:r>
      <w:r w:rsidR="00507DD8" w:rsidRPr="008E74AA">
        <w:rPr>
          <w:rFonts w:ascii="Verdana" w:eastAsiaTheme="minorHAnsi" w:hAnsi="Verdana" w:cs="ArialMT"/>
          <w:bCs/>
          <w:iCs/>
          <w:sz w:val="20"/>
          <w:szCs w:val="20"/>
          <w:lang w:val="es-CR"/>
        </w:rPr>
        <w:t xml:space="preserve"> </w:t>
      </w:r>
      <w:r w:rsidR="00A37FFE">
        <w:rPr>
          <w:rFonts w:ascii="Verdana" w:eastAsiaTheme="minorHAnsi" w:hAnsi="Verdana" w:cs="ArialMT"/>
          <w:bCs/>
          <w:iCs/>
          <w:sz w:val="20"/>
          <w:szCs w:val="20"/>
          <w:lang w:val="es-CR"/>
        </w:rPr>
        <w:t>presente caso</w:t>
      </w:r>
      <w:r w:rsidR="00507DD8" w:rsidRPr="008E74AA">
        <w:rPr>
          <w:rFonts w:ascii="Verdana" w:eastAsiaTheme="minorHAnsi" w:hAnsi="Verdana" w:cs="ArialMT"/>
          <w:bCs/>
          <w:iCs/>
          <w:sz w:val="20"/>
          <w:szCs w:val="20"/>
          <w:lang w:val="es-CR"/>
        </w:rPr>
        <w:t>, lo cual</w:t>
      </w:r>
      <w:r w:rsidR="001A29AA" w:rsidRPr="008E74AA">
        <w:rPr>
          <w:rFonts w:ascii="Verdana" w:eastAsiaTheme="minorHAnsi" w:hAnsi="Verdana" w:cs="ArialMT"/>
          <w:bCs/>
          <w:iCs/>
          <w:sz w:val="20"/>
          <w:szCs w:val="20"/>
          <w:lang w:val="es-CR"/>
        </w:rPr>
        <w:t xml:space="preserve"> </w:t>
      </w:r>
      <w:r w:rsidR="00507DD8" w:rsidRPr="008E74AA">
        <w:rPr>
          <w:rFonts w:ascii="Verdana" w:eastAsiaTheme="minorHAnsi" w:hAnsi="Verdana" w:cs="ArialMT"/>
          <w:bCs/>
          <w:iCs/>
          <w:sz w:val="20"/>
          <w:szCs w:val="20"/>
          <w:lang w:val="es-CR"/>
        </w:rPr>
        <w:t>“</w:t>
      </w:r>
      <w:r w:rsidR="001A29AA" w:rsidRPr="008E74AA">
        <w:rPr>
          <w:rFonts w:ascii="Verdana" w:eastAsiaTheme="minorHAnsi" w:hAnsi="Verdana" w:cs="ArialMT"/>
          <w:bCs/>
          <w:iCs/>
          <w:sz w:val="20"/>
          <w:szCs w:val="20"/>
          <w:lang w:val="es-CR"/>
        </w:rPr>
        <w:t>refleja la relevancia de que el Estado permita que el</w:t>
      </w:r>
      <w:r w:rsidR="00507DD8" w:rsidRPr="008E74AA">
        <w:rPr>
          <w:rFonts w:ascii="Verdana" w:eastAsiaTheme="minorHAnsi" w:hAnsi="Verdana" w:cs="ArialMT"/>
          <w:bCs/>
          <w:iCs/>
          <w:sz w:val="20"/>
          <w:szCs w:val="20"/>
          <w:lang w:val="es-CR"/>
        </w:rPr>
        <w:t xml:space="preserve"> </w:t>
      </w:r>
      <w:r w:rsidR="001A29AA" w:rsidRPr="008E74AA">
        <w:rPr>
          <w:rFonts w:ascii="Verdana" w:eastAsiaTheme="minorHAnsi" w:hAnsi="Verdana" w:cs="ArialMT"/>
          <w:bCs/>
          <w:iCs/>
          <w:sz w:val="20"/>
          <w:szCs w:val="20"/>
          <w:lang w:val="es-CR"/>
        </w:rPr>
        <w:t>juez pueda realizar sus labores con las garantías propias de seguridad y de independencia judicial</w:t>
      </w:r>
      <w:r w:rsidR="001D5B7B" w:rsidRPr="008E74AA">
        <w:rPr>
          <w:rFonts w:ascii="Verdana" w:eastAsiaTheme="minorHAnsi" w:hAnsi="Verdana" w:cs="ArialMT"/>
          <w:bCs/>
          <w:iCs/>
          <w:sz w:val="20"/>
          <w:szCs w:val="20"/>
          <w:lang w:val="es-CR"/>
        </w:rPr>
        <w:t>”</w:t>
      </w:r>
      <w:r w:rsidR="001A29AA" w:rsidRPr="008E74AA">
        <w:rPr>
          <w:rFonts w:ascii="Verdana" w:eastAsiaTheme="minorHAnsi" w:hAnsi="Verdana" w:cs="ArialMT"/>
          <w:bCs/>
          <w:iCs/>
          <w:sz w:val="20"/>
          <w:szCs w:val="20"/>
          <w:lang w:val="es-CR"/>
        </w:rPr>
        <w:t>.</w:t>
      </w:r>
      <w:r w:rsidR="00AE1C3B" w:rsidRPr="008E74AA">
        <w:rPr>
          <w:rFonts w:ascii="Verdana" w:eastAsiaTheme="minorHAnsi" w:hAnsi="Verdana" w:cs="ArialMT"/>
          <w:bCs/>
          <w:iCs/>
          <w:sz w:val="20"/>
          <w:szCs w:val="20"/>
          <w:lang w:val="es-CR"/>
        </w:rPr>
        <w:t xml:space="preserve"> </w:t>
      </w:r>
    </w:p>
    <w:p w14:paraId="675F57E4" w14:textId="7D274B76" w:rsidR="001E00AA" w:rsidRPr="002B50F1" w:rsidRDefault="00AE1C3B" w:rsidP="0066500C">
      <w:pPr>
        <w:pStyle w:val="Prrafodelista"/>
        <w:numPr>
          <w:ilvl w:val="0"/>
          <w:numId w:val="2"/>
        </w:numPr>
        <w:autoSpaceDE w:val="0"/>
        <w:autoSpaceDN w:val="0"/>
        <w:adjustRightInd w:val="0"/>
        <w:spacing w:before="120" w:after="120"/>
        <w:ind w:left="0" w:firstLine="0"/>
        <w:contextualSpacing w:val="0"/>
        <w:jc w:val="both"/>
        <w:rPr>
          <w:rFonts w:ascii="Verdana" w:eastAsiaTheme="minorHAnsi" w:hAnsi="Verdana" w:cs="ArialMT"/>
          <w:bCs/>
          <w:iCs/>
          <w:sz w:val="20"/>
          <w:szCs w:val="20"/>
          <w:lang w:val="es-CR"/>
        </w:rPr>
      </w:pPr>
      <w:r w:rsidRPr="008E74AA">
        <w:rPr>
          <w:rFonts w:ascii="Verdana" w:eastAsiaTheme="minorHAnsi" w:hAnsi="Verdana" w:cs="ArialMT"/>
          <w:bCs/>
          <w:iCs/>
          <w:sz w:val="20"/>
          <w:szCs w:val="20"/>
          <w:lang w:val="es-CR"/>
        </w:rPr>
        <w:t>R</w:t>
      </w:r>
      <w:r w:rsidR="00507DD8" w:rsidRPr="008E74AA">
        <w:rPr>
          <w:rFonts w:ascii="Verdana" w:eastAsiaTheme="minorHAnsi" w:hAnsi="Verdana" w:cs="ArialMT"/>
          <w:bCs/>
          <w:iCs/>
          <w:sz w:val="20"/>
          <w:szCs w:val="20"/>
          <w:lang w:val="es-CR"/>
        </w:rPr>
        <w:t>ec</w:t>
      </w:r>
      <w:r w:rsidRPr="008E74AA">
        <w:rPr>
          <w:rFonts w:ascii="Verdana" w:eastAsiaTheme="minorHAnsi" w:hAnsi="Verdana" w:cs="ArialMT"/>
          <w:bCs/>
          <w:iCs/>
          <w:sz w:val="20"/>
          <w:szCs w:val="20"/>
          <w:lang w:val="es-CR"/>
        </w:rPr>
        <w:t>ordó que</w:t>
      </w:r>
      <w:r w:rsidR="00F23A56" w:rsidRPr="008E74AA">
        <w:rPr>
          <w:rFonts w:ascii="Verdana" w:eastAsiaTheme="minorHAnsi" w:hAnsi="Verdana" w:cs="ArialMT"/>
          <w:bCs/>
          <w:iCs/>
          <w:sz w:val="20"/>
          <w:szCs w:val="20"/>
          <w:lang w:val="es-CR"/>
        </w:rPr>
        <w:t xml:space="preserve"> en agosto de 2021</w:t>
      </w:r>
      <w:r w:rsidR="001E37FB" w:rsidRPr="008E74AA">
        <w:rPr>
          <w:rStyle w:val="Refdenotaalpie"/>
          <w:rFonts w:eastAsiaTheme="minorHAnsi" w:cs="ArialMT"/>
          <w:bCs/>
          <w:iCs/>
          <w:sz w:val="20"/>
          <w:szCs w:val="20"/>
          <w:lang w:val="es-CR"/>
        </w:rPr>
        <w:footnoteReference w:id="18"/>
      </w:r>
      <w:r w:rsidR="00F23A56" w:rsidRPr="008E74AA">
        <w:rPr>
          <w:rFonts w:ascii="Verdana" w:eastAsiaTheme="minorHAnsi" w:hAnsi="Verdana" w:cs="ArialMT"/>
          <w:bCs/>
          <w:iCs/>
          <w:sz w:val="20"/>
          <w:szCs w:val="20"/>
          <w:lang w:val="es-CR"/>
        </w:rPr>
        <w:t>, febrero de 2022</w:t>
      </w:r>
      <w:r w:rsidR="001E37FB" w:rsidRPr="008E74AA">
        <w:rPr>
          <w:rStyle w:val="Refdenotaalpie"/>
          <w:rFonts w:eastAsiaTheme="minorHAnsi" w:cs="ArialMT"/>
          <w:bCs/>
          <w:iCs/>
          <w:sz w:val="20"/>
          <w:szCs w:val="20"/>
          <w:lang w:val="es-CR"/>
        </w:rPr>
        <w:footnoteReference w:id="19"/>
      </w:r>
      <w:r w:rsidR="00F23A56" w:rsidRPr="008E74AA">
        <w:rPr>
          <w:rFonts w:ascii="Verdana" w:eastAsiaTheme="minorHAnsi" w:hAnsi="Verdana" w:cs="ArialMT"/>
          <w:bCs/>
          <w:iCs/>
          <w:sz w:val="20"/>
          <w:szCs w:val="20"/>
          <w:lang w:val="es-CR"/>
        </w:rPr>
        <w:t xml:space="preserve"> y </w:t>
      </w:r>
      <w:r w:rsidR="009022FF">
        <w:rPr>
          <w:rFonts w:ascii="Verdana" w:eastAsiaTheme="minorHAnsi" w:hAnsi="Verdana" w:cs="ArialMT"/>
          <w:bCs/>
          <w:iCs/>
          <w:sz w:val="20"/>
          <w:szCs w:val="20"/>
          <w:lang w:val="es-CR"/>
        </w:rPr>
        <w:t xml:space="preserve">en </w:t>
      </w:r>
      <w:r w:rsidR="00F23A56" w:rsidRPr="008E74AA">
        <w:rPr>
          <w:rFonts w:ascii="Verdana" w:eastAsiaTheme="minorHAnsi" w:hAnsi="Verdana" w:cs="ArialMT"/>
          <w:bCs/>
          <w:iCs/>
          <w:sz w:val="20"/>
          <w:szCs w:val="20"/>
          <w:lang w:val="es-CR"/>
        </w:rPr>
        <w:t>su Informe Anual de 2021</w:t>
      </w:r>
      <w:r w:rsidR="00AB5854" w:rsidRPr="008E74AA">
        <w:rPr>
          <w:rStyle w:val="Refdenotaalpie"/>
          <w:rFonts w:eastAsiaTheme="minorHAnsi" w:cs="ArialMT"/>
          <w:bCs/>
          <w:iCs/>
          <w:sz w:val="20"/>
          <w:szCs w:val="20"/>
          <w:lang w:val="es-CR"/>
        </w:rPr>
        <w:footnoteReference w:id="20"/>
      </w:r>
      <w:r w:rsidR="00F23A56" w:rsidRPr="008E74AA">
        <w:rPr>
          <w:rFonts w:ascii="Verdana" w:eastAsiaTheme="minorHAnsi" w:hAnsi="Verdana" w:cs="ArialMT"/>
          <w:bCs/>
          <w:iCs/>
          <w:sz w:val="20"/>
          <w:szCs w:val="20"/>
          <w:lang w:val="es-CR"/>
        </w:rPr>
        <w:t xml:space="preserve"> </w:t>
      </w:r>
      <w:r w:rsidR="009652A1" w:rsidRPr="008E74AA">
        <w:rPr>
          <w:rFonts w:ascii="Verdana" w:eastAsiaTheme="minorHAnsi" w:hAnsi="Verdana" w:cs="ArialMT"/>
          <w:bCs/>
          <w:iCs/>
          <w:sz w:val="20"/>
          <w:szCs w:val="20"/>
          <w:lang w:val="es-CR"/>
        </w:rPr>
        <w:t>realizó</w:t>
      </w:r>
      <w:r w:rsidRPr="008E74AA">
        <w:rPr>
          <w:rFonts w:ascii="Verdana" w:eastAsiaTheme="minorHAnsi" w:hAnsi="Verdana" w:cs="ArialMT"/>
          <w:bCs/>
          <w:iCs/>
          <w:sz w:val="20"/>
          <w:szCs w:val="20"/>
          <w:lang w:val="es-CR"/>
        </w:rPr>
        <w:t xml:space="preserve"> “</w:t>
      </w:r>
      <w:r w:rsidR="00507DD8" w:rsidRPr="008E74AA">
        <w:rPr>
          <w:rFonts w:ascii="Verdana" w:eastAsiaTheme="minorHAnsi" w:hAnsi="Verdana" w:cs="ArialMT"/>
          <w:bCs/>
          <w:iCs/>
          <w:sz w:val="20"/>
          <w:szCs w:val="20"/>
          <w:lang w:val="es-CR"/>
        </w:rPr>
        <w:t>pronunciamientos sobre la situación de los operadores de justicia</w:t>
      </w:r>
      <w:r w:rsidRPr="008E74AA">
        <w:rPr>
          <w:rFonts w:ascii="Verdana" w:eastAsiaTheme="minorHAnsi" w:hAnsi="Verdana" w:cs="ArialMT"/>
          <w:bCs/>
          <w:iCs/>
          <w:sz w:val="20"/>
          <w:szCs w:val="20"/>
          <w:lang w:val="es-CR"/>
        </w:rPr>
        <w:t xml:space="preserve"> </w:t>
      </w:r>
      <w:r w:rsidR="00507DD8" w:rsidRPr="008E74AA">
        <w:rPr>
          <w:rFonts w:ascii="Verdana" w:eastAsiaTheme="minorHAnsi" w:hAnsi="Verdana" w:cs="ArialMT"/>
          <w:bCs/>
          <w:iCs/>
          <w:sz w:val="20"/>
          <w:szCs w:val="20"/>
          <w:lang w:val="es-CR"/>
        </w:rPr>
        <w:t xml:space="preserve">en </w:t>
      </w:r>
      <w:r w:rsidR="00507DD8" w:rsidRPr="008E74AA">
        <w:rPr>
          <w:rFonts w:ascii="Verdana" w:eastAsiaTheme="minorHAnsi" w:hAnsi="Verdana" w:cs="ArialMT"/>
          <w:bCs/>
          <w:iCs/>
          <w:sz w:val="20"/>
          <w:szCs w:val="20"/>
          <w:lang w:val="es-CR"/>
        </w:rPr>
        <w:lastRenderedPageBreak/>
        <w:t>Guatemala</w:t>
      </w:r>
      <w:r w:rsidR="001D5B7B" w:rsidRPr="008E74AA">
        <w:rPr>
          <w:rFonts w:ascii="Verdana" w:eastAsiaTheme="minorHAnsi" w:hAnsi="Verdana" w:cs="ArialMT"/>
          <w:bCs/>
          <w:iCs/>
          <w:sz w:val="20"/>
          <w:szCs w:val="20"/>
          <w:lang w:val="es-CR"/>
        </w:rPr>
        <w:t>”</w:t>
      </w:r>
      <w:r w:rsidRPr="008E74AA">
        <w:rPr>
          <w:rFonts w:ascii="Verdana" w:eastAsiaTheme="minorHAnsi" w:hAnsi="Verdana" w:cs="ArialMT"/>
          <w:bCs/>
          <w:iCs/>
          <w:sz w:val="20"/>
          <w:szCs w:val="20"/>
          <w:lang w:val="es-CR"/>
        </w:rPr>
        <w:t>,</w:t>
      </w:r>
      <w:r w:rsidR="00F23A56" w:rsidRPr="008E74AA">
        <w:rPr>
          <w:rFonts w:ascii="Verdana" w:eastAsiaTheme="minorHAnsi" w:hAnsi="Verdana" w:cs="ArialMT"/>
          <w:bCs/>
          <w:iCs/>
          <w:sz w:val="20"/>
          <w:szCs w:val="20"/>
          <w:lang w:val="es-CR"/>
        </w:rPr>
        <w:t xml:space="preserve"> </w:t>
      </w:r>
      <w:r w:rsidR="001E37FB" w:rsidRPr="008E74AA">
        <w:rPr>
          <w:rFonts w:ascii="Verdana" w:eastAsiaTheme="minorHAnsi" w:hAnsi="Verdana" w:cs="ArialMT"/>
          <w:bCs/>
          <w:iCs/>
          <w:sz w:val="20"/>
          <w:szCs w:val="20"/>
          <w:lang w:val="es-CR"/>
        </w:rPr>
        <w:t>“</w:t>
      </w:r>
      <w:r w:rsidR="0098175D" w:rsidRPr="008E74AA">
        <w:rPr>
          <w:rFonts w:ascii="Verdana" w:eastAsiaTheme="minorHAnsi" w:hAnsi="Verdana" w:cs="ArialMT"/>
          <w:bCs/>
          <w:iCs/>
          <w:sz w:val="20"/>
          <w:szCs w:val="20"/>
          <w:lang w:val="es-CR"/>
        </w:rPr>
        <w:t>la intensificación de la</w:t>
      </w:r>
      <w:r w:rsidR="001E37FB" w:rsidRPr="008E74AA">
        <w:rPr>
          <w:rFonts w:ascii="Verdana" w:eastAsiaTheme="minorHAnsi" w:hAnsi="Verdana" w:cs="ArialMT"/>
          <w:bCs/>
          <w:iCs/>
          <w:sz w:val="20"/>
          <w:szCs w:val="20"/>
          <w:lang w:val="es-CR"/>
        </w:rPr>
        <w:t xml:space="preserve"> </w:t>
      </w:r>
      <w:r w:rsidR="0098175D" w:rsidRPr="008E74AA">
        <w:rPr>
          <w:rFonts w:ascii="Verdana" w:eastAsiaTheme="minorHAnsi" w:hAnsi="Verdana" w:cs="ArialMT"/>
          <w:bCs/>
          <w:iCs/>
          <w:sz w:val="20"/>
          <w:szCs w:val="20"/>
          <w:lang w:val="es-CR"/>
        </w:rPr>
        <w:t>criminalización y estigmatización contra magistradas, magistrados, jueces y juezas y otros operadores de justicia</w:t>
      </w:r>
      <w:r w:rsidR="001D5B7B" w:rsidRPr="008E74AA">
        <w:rPr>
          <w:rFonts w:ascii="Verdana" w:eastAsiaTheme="minorHAnsi" w:hAnsi="Verdana" w:cs="ArialMT"/>
          <w:bCs/>
          <w:iCs/>
          <w:sz w:val="20"/>
          <w:szCs w:val="20"/>
          <w:lang w:val="es-CR"/>
        </w:rPr>
        <w:t xml:space="preserve">” y el empleo de la figura de antejuicio “como mecanismo para intimidar, amedrentar y/o eventualmente retirarles de </w:t>
      </w:r>
      <w:r w:rsidR="001D5B7B" w:rsidRPr="0066500C">
        <w:rPr>
          <w:rFonts w:ascii="Verdana" w:eastAsiaTheme="minorHAnsi" w:hAnsi="Verdana" w:cs="ArialMT"/>
          <w:bCs/>
          <w:iCs/>
          <w:sz w:val="20"/>
          <w:szCs w:val="20"/>
          <w:lang w:val="es-CR"/>
        </w:rPr>
        <w:t>sus cargos”</w:t>
      </w:r>
      <w:r w:rsidR="001E37FB" w:rsidRPr="0066500C">
        <w:rPr>
          <w:rFonts w:ascii="Verdana" w:eastAsiaTheme="minorHAnsi" w:hAnsi="Verdana" w:cs="ArialMT"/>
          <w:bCs/>
          <w:iCs/>
          <w:sz w:val="20"/>
          <w:szCs w:val="20"/>
          <w:lang w:val="es-CR"/>
        </w:rPr>
        <w:t>, entre otros</w:t>
      </w:r>
      <w:r w:rsidR="00AB5854" w:rsidRPr="0066500C">
        <w:rPr>
          <w:rFonts w:ascii="Verdana" w:eastAsiaTheme="minorHAnsi" w:hAnsi="Verdana" w:cs="ArialMT"/>
          <w:bCs/>
          <w:iCs/>
          <w:sz w:val="20"/>
          <w:szCs w:val="20"/>
          <w:lang w:val="es-CR"/>
        </w:rPr>
        <w:t xml:space="preserve">, y llamó </w:t>
      </w:r>
      <w:r w:rsidR="000556D8" w:rsidRPr="0066500C">
        <w:rPr>
          <w:rFonts w:ascii="Verdana" w:eastAsiaTheme="minorHAnsi" w:hAnsi="Verdana" w:cs="ArialMT"/>
          <w:bCs/>
          <w:iCs/>
          <w:sz w:val="20"/>
          <w:szCs w:val="20"/>
          <w:lang w:val="es-CR"/>
        </w:rPr>
        <w:t>al</w:t>
      </w:r>
      <w:r w:rsidR="00AB5854" w:rsidRPr="0066500C">
        <w:rPr>
          <w:rFonts w:ascii="Verdana" w:eastAsiaTheme="minorHAnsi" w:hAnsi="Verdana" w:cs="ArialMT"/>
          <w:bCs/>
          <w:iCs/>
          <w:sz w:val="20"/>
          <w:szCs w:val="20"/>
          <w:lang w:val="es-CR"/>
        </w:rPr>
        <w:t xml:space="preserve"> “</w:t>
      </w:r>
      <w:r w:rsidR="00F23A56" w:rsidRPr="0066500C">
        <w:rPr>
          <w:rFonts w:ascii="Verdana" w:eastAsiaTheme="minorHAnsi" w:hAnsi="Verdana" w:cs="ArialMT"/>
          <w:bCs/>
          <w:iCs/>
          <w:sz w:val="20"/>
          <w:szCs w:val="20"/>
          <w:lang w:val="es-CR"/>
        </w:rPr>
        <w:t>respeto a un sistema de justicia independiente e imparcial</w:t>
      </w:r>
      <w:r w:rsidR="00AB5854" w:rsidRPr="0066500C">
        <w:rPr>
          <w:rFonts w:ascii="Verdana" w:eastAsiaTheme="minorHAnsi" w:hAnsi="Verdana" w:cs="ArialMT"/>
          <w:bCs/>
          <w:iCs/>
          <w:sz w:val="20"/>
          <w:szCs w:val="20"/>
          <w:lang w:val="es-CR"/>
        </w:rPr>
        <w:t>”.</w:t>
      </w:r>
      <w:r w:rsidR="000556D8" w:rsidRPr="0066500C">
        <w:rPr>
          <w:rFonts w:ascii="Verdana" w:eastAsiaTheme="minorHAnsi" w:hAnsi="Verdana" w:cs="ArialMT"/>
          <w:bCs/>
          <w:iCs/>
          <w:sz w:val="20"/>
          <w:szCs w:val="20"/>
          <w:lang w:val="es-CR"/>
        </w:rPr>
        <w:t xml:space="preserve"> </w:t>
      </w:r>
      <w:r w:rsidR="00AB5854" w:rsidRPr="0066500C">
        <w:rPr>
          <w:rFonts w:ascii="Verdana" w:eastAsiaTheme="minorHAnsi" w:hAnsi="Verdana" w:cs="ArialMT"/>
          <w:bCs/>
          <w:iCs/>
          <w:sz w:val="20"/>
          <w:szCs w:val="20"/>
          <w:lang w:val="es-CR"/>
        </w:rPr>
        <w:t>Finalmente,</w:t>
      </w:r>
      <w:r w:rsidR="000556D8" w:rsidRPr="0066500C">
        <w:rPr>
          <w:rFonts w:ascii="Verdana" w:eastAsiaTheme="minorHAnsi" w:hAnsi="Verdana" w:cs="ArialMT"/>
          <w:bCs/>
          <w:iCs/>
          <w:sz w:val="20"/>
          <w:szCs w:val="20"/>
          <w:lang w:val="es-CR"/>
        </w:rPr>
        <w:t xml:space="preserve"> señaló que</w:t>
      </w:r>
      <w:r w:rsidR="00AB5854" w:rsidRPr="0066500C">
        <w:rPr>
          <w:rFonts w:ascii="Verdana" w:eastAsiaTheme="minorHAnsi" w:hAnsi="Verdana" w:cs="ArialMT"/>
          <w:bCs/>
          <w:iCs/>
          <w:sz w:val="20"/>
          <w:szCs w:val="20"/>
          <w:lang w:val="es-CR"/>
        </w:rPr>
        <w:t xml:space="preserve"> </w:t>
      </w:r>
      <w:r w:rsidR="000556D8" w:rsidRPr="0066500C">
        <w:rPr>
          <w:rFonts w:ascii="Verdana" w:eastAsiaTheme="minorHAnsi" w:hAnsi="Verdana" w:cs="ArialMT"/>
          <w:bCs/>
          <w:iCs/>
          <w:sz w:val="20"/>
          <w:szCs w:val="20"/>
          <w:lang w:val="es-CR"/>
        </w:rPr>
        <w:t>“</w:t>
      </w:r>
      <w:r w:rsidR="00AB5854" w:rsidRPr="0066500C">
        <w:rPr>
          <w:rFonts w:ascii="Verdana" w:eastAsiaTheme="minorHAnsi" w:hAnsi="Verdana" w:cs="ArialMT"/>
          <w:bCs/>
          <w:iCs/>
          <w:sz w:val="20"/>
          <w:szCs w:val="20"/>
          <w:lang w:val="es-CR"/>
        </w:rPr>
        <w:t>en la medida que se trata de un asunto en etapa de supervisión de cumplimiento</w:t>
      </w:r>
      <w:r w:rsidR="00BF1438" w:rsidRPr="0066500C">
        <w:rPr>
          <w:rFonts w:ascii="Verdana" w:eastAsiaTheme="minorHAnsi" w:hAnsi="Verdana" w:cs="ArialMT"/>
          <w:bCs/>
          <w:iCs/>
          <w:sz w:val="20"/>
          <w:szCs w:val="20"/>
          <w:lang w:val="es-CR"/>
        </w:rPr>
        <w:t>”</w:t>
      </w:r>
      <w:r w:rsidR="00AB5854" w:rsidRPr="0066500C">
        <w:rPr>
          <w:rFonts w:ascii="Verdana" w:eastAsiaTheme="minorHAnsi" w:hAnsi="Verdana" w:cs="ArialMT"/>
          <w:bCs/>
          <w:iCs/>
          <w:sz w:val="20"/>
          <w:szCs w:val="20"/>
          <w:lang w:val="es-CR"/>
        </w:rPr>
        <w:t>,</w:t>
      </w:r>
      <w:r w:rsidR="00BF1438" w:rsidRPr="0066500C">
        <w:rPr>
          <w:rFonts w:ascii="Verdana" w:eastAsiaTheme="minorHAnsi" w:hAnsi="Verdana" w:cs="ArialMT"/>
          <w:bCs/>
          <w:iCs/>
          <w:sz w:val="20"/>
          <w:szCs w:val="20"/>
          <w:lang w:val="es-CR"/>
        </w:rPr>
        <w:t xml:space="preserve"> este Tribunal “</w:t>
      </w:r>
      <w:r w:rsidR="00AB5854" w:rsidRPr="0066500C">
        <w:rPr>
          <w:rFonts w:ascii="Verdana" w:eastAsiaTheme="minorHAnsi" w:hAnsi="Verdana" w:cs="ArialMT"/>
          <w:bCs/>
          <w:iCs/>
          <w:sz w:val="20"/>
          <w:szCs w:val="20"/>
          <w:lang w:val="es-CR"/>
        </w:rPr>
        <w:t>tiene la oportunidad de abordar las garantías propias para la</w:t>
      </w:r>
      <w:r w:rsidR="000556D8" w:rsidRPr="0066500C">
        <w:rPr>
          <w:rFonts w:ascii="Verdana" w:eastAsiaTheme="minorHAnsi" w:hAnsi="Verdana" w:cs="ArialMT"/>
          <w:bCs/>
          <w:iCs/>
          <w:sz w:val="20"/>
          <w:szCs w:val="20"/>
          <w:lang w:val="es-CR"/>
        </w:rPr>
        <w:t xml:space="preserve"> </w:t>
      </w:r>
      <w:r w:rsidR="00AB5854" w:rsidRPr="0066500C">
        <w:rPr>
          <w:rFonts w:ascii="Verdana" w:eastAsiaTheme="minorHAnsi" w:hAnsi="Verdana" w:cs="ArialMT"/>
          <w:bCs/>
          <w:iCs/>
          <w:sz w:val="20"/>
          <w:szCs w:val="20"/>
          <w:lang w:val="es-CR"/>
        </w:rPr>
        <w:t xml:space="preserve">independencia judicial que deberían garantizar </w:t>
      </w:r>
      <w:proofErr w:type="gramStart"/>
      <w:r w:rsidR="00AB5854" w:rsidRPr="0066500C">
        <w:rPr>
          <w:rFonts w:ascii="Verdana" w:eastAsiaTheme="minorHAnsi" w:hAnsi="Verdana" w:cs="ArialMT"/>
          <w:bCs/>
          <w:iCs/>
          <w:sz w:val="20"/>
          <w:szCs w:val="20"/>
          <w:lang w:val="es-CR"/>
        </w:rPr>
        <w:t>los procedimiento</w:t>
      </w:r>
      <w:proofErr w:type="gramEnd"/>
      <w:r w:rsidR="009E6065" w:rsidRPr="0066500C">
        <w:rPr>
          <w:rFonts w:ascii="Verdana" w:eastAsiaTheme="minorHAnsi" w:hAnsi="Verdana" w:cs="ArialMT"/>
          <w:bCs/>
          <w:iCs/>
          <w:sz w:val="20"/>
          <w:szCs w:val="20"/>
          <w:lang w:val="es-CR"/>
        </w:rPr>
        <w:t>[s]</w:t>
      </w:r>
      <w:r w:rsidR="00AB5854" w:rsidRPr="0066500C">
        <w:rPr>
          <w:rFonts w:ascii="Verdana" w:eastAsiaTheme="minorHAnsi" w:hAnsi="Verdana" w:cs="ArialMT"/>
          <w:bCs/>
          <w:iCs/>
          <w:sz w:val="20"/>
          <w:szCs w:val="20"/>
          <w:lang w:val="es-CR"/>
        </w:rPr>
        <w:t xml:space="preserve"> de antejuicio </w:t>
      </w:r>
      <w:r w:rsidR="009E6065" w:rsidRPr="0066500C">
        <w:rPr>
          <w:rFonts w:ascii="Verdana" w:eastAsiaTheme="minorHAnsi" w:hAnsi="Verdana" w:cs="ArialMT"/>
          <w:bCs/>
          <w:iCs/>
          <w:sz w:val="20"/>
          <w:szCs w:val="20"/>
          <w:lang w:val="es-CR"/>
        </w:rPr>
        <w:t>[…]</w:t>
      </w:r>
      <w:r w:rsidR="00AB5854" w:rsidRPr="0066500C">
        <w:rPr>
          <w:rFonts w:ascii="Verdana" w:eastAsiaTheme="minorHAnsi" w:hAnsi="Verdana" w:cs="ArialMT"/>
          <w:bCs/>
          <w:iCs/>
          <w:sz w:val="20"/>
          <w:szCs w:val="20"/>
          <w:lang w:val="es-CR"/>
        </w:rPr>
        <w:t>, así</w:t>
      </w:r>
      <w:r w:rsidR="000556D8" w:rsidRPr="0066500C">
        <w:rPr>
          <w:rFonts w:ascii="Verdana" w:eastAsiaTheme="minorHAnsi" w:hAnsi="Verdana" w:cs="ArialMT"/>
          <w:bCs/>
          <w:iCs/>
          <w:sz w:val="20"/>
          <w:szCs w:val="20"/>
          <w:lang w:val="es-CR"/>
        </w:rPr>
        <w:t xml:space="preserve"> </w:t>
      </w:r>
      <w:r w:rsidR="00AB5854" w:rsidRPr="0066500C">
        <w:rPr>
          <w:rFonts w:ascii="Verdana" w:eastAsiaTheme="minorHAnsi" w:hAnsi="Verdana" w:cs="ArialMT"/>
          <w:bCs/>
          <w:iCs/>
          <w:sz w:val="20"/>
          <w:szCs w:val="20"/>
          <w:lang w:val="es-CR"/>
        </w:rPr>
        <w:t>como las condiciones a presentarse para evitar que se vuelvan procedimientos que terminen</w:t>
      </w:r>
      <w:r w:rsidR="000556D8" w:rsidRPr="0066500C">
        <w:rPr>
          <w:rFonts w:ascii="Verdana" w:eastAsiaTheme="minorHAnsi" w:hAnsi="Verdana" w:cs="ArialMT"/>
          <w:bCs/>
          <w:iCs/>
          <w:sz w:val="20"/>
          <w:szCs w:val="20"/>
          <w:lang w:val="es-CR"/>
        </w:rPr>
        <w:t xml:space="preserve"> </w:t>
      </w:r>
      <w:r w:rsidR="00AB5854" w:rsidRPr="0066500C">
        <w:rPr>
          <w:rFonts w:ascii="Verdana" w:eastAsiaTheme="minorHAnsi" w:hAnsi="Verdana" w:cs="ArialMT"/>
          <w:bCs/>
          <w:iCs/>
          <w:sz w:val="20"/>
          <w:szCs w:val="20"/>
          <w:lang w:val="es-CR"/>
        </w:rPr>
        <w:t>impactando en la independencia judicial de los jueces</w:t>
      </w:r>
      <w:r w:rsidR="009E6065" w:rsidRPr="0066500C">
        <w:rPr>
          <w:rFonts w:ascii="Verdana" w:eastAsiaTheme="minorHAnsi" w:hAnsi="Verdana" w:cs="ArialMT"/>
          <w:bCs/>
          <w:iCs/>
          <w:sz w:val="20"/>
          <w:szCs w:val="20"/>
          <w:lang w:val="es-CR"/>
        </w:rPr>
        <w:t>”</w:t>
      </w:r>
      <w:r w:rsidR="00AB5854" w:rsidRPr="0066500C">
        <w:rPr>
          <w:rFonts w:ascii="Verdana" w:eastAsiaTheme="minorHAnsi" w:hAnsi="Verdana" w:cs="ArialMT"/>
          <w:bCs/>
          <w:iCs/>
          <w:sz w:val="20"/>
          <w:szCs w:val="20"/>
          <w:lang w:val="es-CR"/>
        </w:rPr>
        <w:t xml:space="preserve">, más aún cuando </w:t>
      </w:r>
      <w:r w:rsidR="009E6065" w:rsidRPr="0066500C">
        <w:rPr>
          <w:rFonts w:ascii="Verdana" w:eastAsiaTheme="minorHAnsi" w:hAnsi="Verdana" w:cs="ArialMT"/>
          <w:bCs/>
          <w:iCs/>
          <w:sz w:val="20"/>
          <w:szCs w:val="20"/>
          <w:lang w:val="es-CR"/>
        </w:rPr>
        <w:t>“</w:t>
      </w:r>
      <w:r w:rsidR="00AB5854" w:rsidRPr="0066500C">
        <w:rPr>
          <w:rFonts w:ascii="Verdana" w:eastAsiaTheme="minorHAnsi" w:hAnsi="Verdana" w:cs="ArialMT"/>
          <w:bCs/>
          <w:iCs/>
          <w:sz w:val="20"/>
          <w:szCs w:val="20"/>
          <w:lang w:val="es-CR"/>
        </w:rPr>
        <w:t>vienen cumpliendo con sentencias de la Corte</w:t>
      </w:r>
      <w:r w:rsidR="00BF1438" w:rsidRPr="0066500C">
        <w:rPr>
          <w:rFonts w:ascii="Verdana" w:eastAsiaTheme="minorHAnsi" w:hAnsi="Verdana" w:cs="ArialMT"/>
          <w:bCs/>
          <w:iCs/>
          <w:sz w:val="20"/>
          <w:szCs w:val="20"/>
          <w:lang w:val="es-CR"/>
        </w:rPr>
        <w:t>”.</w:t>
      </w:r>
      <w:bookmarkStart w:id="10" w:name="_Toc80273248"/>
      <w:bookmarkEnd w:id="8"/>
    </w:p>
    <w:p w14:paraId="42FB1634" w14:textId="5B6AEA1A" w:rsidR="008F3B25" w:rsidRPr="008E74AA" w:rsidRDefault="0066500C" w:rsidP="005D370D">
      <w:pPr>
        <w:pStyle w:val="Prrafodelista"/>
        <w:autoSpaceDE w:val="0"/>
        <w:autoSpaceDN w:val="0"/>
        <w:adjustRightInd w:val="0"/>
        <w:spacing w:before="120" w:after="120"/>
        <w:ind w:left="567"/>
        <w:contextualSpacing w:val="0"/>
        <w:jc w:val="both"/>
        <w:rPr>
          <w:rFonts w:ascii="Verdana" w:hAnsi="Verdana" w:cs="Cambria"/>
          <w:b/>
          <w:sz w:val="20"/>
          <w:szCs w:val="20"/>
        </w:rPr>
      </w:pPr>
      <w:r>
        <w:rPr>
          <w:rFonts w:ascii="Verdana" w:eastAsia="Times New Roman" w:hAnsi="Verdana"/>
          <w:b/>
          <w:i/>
          <w:sz w:val="20"/>
          <w:szCs w:val="20"/>
        </w:rPr>
        <w:t>D</w:t>
      </w:r>
      <w:r w:rsidR="008F3B25" w:rsidRPr="008E74AA">
        <w:rPr>
          <w:rFonts w:ascii="Verdana" w:eastAsia="Times New Roman" w:hAnsi="Verdana"/>
          <w:b/>
          <w:i/>
          <w:sz w:val="20"/>
          <w:szCs w:val="20"/>
        </w:rPr>
        <w:t xml:space="preserve">) </w:t>
      </w:r>
      <w:r w:rsidR="00A27FAD" w:rsidRPr="008E74AA">
        <w:rPr>
          <w:rFonts w:ascii="Verdana" w:eastAsia="Times New Roman" w:hAnsi="Verdana"/>
          <w:b/>
          <w:i/>
          <w:sz w:val="20"/>
          <w:szCs w:val="20"/>
        </w:rPr>
        <w:t>Consideraciones de</w:t>
      </w:r>
      <w:r w:rsidR="00B662B6" w:rsidRPr="008E74AA">
        <w:rPr>
          <w:rFonts w:ascii="Verdana" w:eastAsia="Times New Roman" w:hAnsi="Verdana"/>
          <w:b/>
          <w:i/>
          <w:sz w:val="20"/>
          <w:szCs w:val="20"/>
        </w:rPr>
        <w:t xml:space="preserve">l </w:t>
      </w:r>
      <w:proofErr w:type="gramStart"/>
      <w:r w:rsidR="00B662B6" w:rsidRPr="008E74AA">
        <w:rPr>
          <w:rFonts w:ascii="Verdana" w:eastAsia="Times New Roman" w:hAnsi="Verdana"/>
          <w:b/>
          <w:i/>
          <w:sz w:val="20"/>
          <w:szCs w:val="20"/>
        </w:rPr>
        <w:t>Presidente</w:t>
      </w:r>
      <w:proofErr w:type="gramEnd"/>
      <w:r w:rsidR="00B662B6" w:rsidRPr="008E74AA">
        <w:rPr>
          <w:rFonts w:ascii="Verdana" w:eastAsia="Times New Roman" w:hAnsi="Verdana"/>
          <w:b/>
          <w:i/>
          <w:sz w:val="20"/>
          <w:szCs w:val="20"/>
        </w:rPr>
        <w:t xml:space="preserve"> de</w:t>
      </w:r>
      <w:r w:rsidR="00A27FAD" w:rsidRPr="008E74AA">
        <w:rPr>
          <w:rFonts w:ascii="Verdana" w:eastAsia="Times New Roman" w:hAnsi="Verdana"/>
          <w:b/>
          <w:i/>
          <w:sz w:val="20"/>
          <w:szCs w:val="20"/>
        </w:rPr>
        <w:t xml:space="preserve"> la Corte</w:t>
      </w:r>
      <w:bookmarkEnd w:id="4"/>
      <w:bookmarkEnd w:id="10"/>
    </w:p>
    <w:p w14:paraId="358F9E03" w14:textId="7C18CE03" w:rsidR="003904C8" w:rsidRPr="008E74AA" w:rsidRDefault="003904C8" w:rsidP="008B049C">
      <w:pPr>
        <w:numPr>
          <w:ilvl w:val="0"/>
          <w:numId w:val="2"/>
        </w:numPr>
        <w:spacing w:before="120" w:after="120"/>
        <w:ind w:left="0" w:firstLine="0"/>
        <w:jc w:val="both"/>
        <w:rPr>
          <w:rFonts w:ascii="Verdana" w:hAnsi="Verdana"/>
          <w:sz w:val="20"/>
          <w:szCs w:val="20"/>
        </w:rPr>
      </w:pPr>
      <w:r w:rsidRPr="008E74AA">
        <w:rPr>
          <w:rFonts w:ascii="Verdana" w:hAnsi="Verdana"/>
          <w:sz w:val="20"/>
          <w:szCs w:val="20"/>
        </w:rPr>
        <w:t xml:space="preserve">En el punto </w:t>
      </w:r>
      <w:r w:rsidR="00B662B6" w:rsidRPr="008E74AA">
        <w:rPr>
          <w:rFonts w:ascii="Verdana" w:hAnsi="Verdana"/>
          <w:sz w:val="20"/>
          <w:szCs w:val="20"/>
        </w:rPr>
        <w:t xml:space="preserve">dispositivo segundo de la Sentencia </w:t>
      </w:r>
      <w:r w:rsidRPr="008E74AA">
        <w:rPr>
          <w:rFonts w:ascii="Verdana" w:hAnsi="Verdana"/>
          <w:sz w:val="20"/>
          <w:szCs w:val="20"/>
        </w:rPr>
        <w:t>(</w:t>
      </w:r>
      <w:r w:rsidRPr="008E74AA">
        <w:rPr>
          <w:rFonts w:ascii="Verdana" w:hAnsi="Verdana"/>
          <w:i/>
          <w:sz w:val="20"/>
          <w:szCs w:val="20"/>
        </w:rPr>
        <w:t>supra</w:t>
      </w:r>
      <w:r w:rsidRPr="008E74AA">
        <w:rPr>
          <w:rFonts w:ascii="Verdana" w:hAnsi="Verdana"/>
          <w:sz w:val="20"/>
          <w:szCs w:val="20"/>
        </w:rPr>
        <w:t xml:space="preserve"> Visto 1), se ordenó al Estado “</w:t>
      </w:r>
      <w:r w:rsidR="00B662B6" w:rsidRPr="008E74AA">
        <w:rPr>
          <w:rFonts w:ascii="Verdana" w:hAnsi="Verdana"/>
          <w:sz w:val="20"/>
          <w:szCs w:val="20"/>
        </w:rPr>
        <w:t>iniciar, continuar y realizar las investigaciones y procesos necesarios, en un plazo razonable, con el fin de establecer la verdad de los hechos, así como de determinar y, en su caso, sancionar a los responsables de las desapariciones forzadas de las víctimas señaladas en el punto declarativo primero, así como de la muerte de Rudy Gustavo Figueroa Muñoz y la alegada detención y tortura sufrida por Wendy e Igor Santizo Méndez, de conformidad con lo establecido en los párrafos 327 a 330 de[l Fallo]</w:t>
      </w:r>
      <w:r w:rsidRPr="008E74AA">
        <w:rPr>
          <w:rFonts w:ascii="Verdana" w:hAnsi="Verdana"/>
          <w:sz w:val="20"/>
          <w:szCs w:val="20"/>
        </w:rPr>
        <w:t xml:space="preserve">”. </w:t>
      </w:r>
      <w:r w:rsidR="00670DBF" w:rsidRPr="008E74AA">
        <w:rPr>
          <w:rFonts w:ascii="Verdana" w:hAnsi="Verdana"/>
          <w:sz w:val="20"/>
          <w:szCs w:val="20"/>
        </w:rPr>
        <w:t>En particular</w:t>
      </w:r>
      <w:r w:rsidR="00B662B6" w:rsidRPr="008E74AA">
        <w:rPr>
          <w:rFonts w:ascii="Verdana" w:hAnsi="Verdana"/>
          <w:sz w:val="20"/>
          <w:szCs w:val="20"/>
        </w:rPr>
        <w:t>, el párrafo 327 g) de la Sentencia</w:t>
      </w:r>
      <w:r w:rsidRPr="008E74AA">
        <w:rPr>
          <w:rFonts w:ascii="Verdana" w:hAnsi="Verdana"/>
          <w:sz w:val="20"/>
          <w:szCs w:val="20"/>
        </w:rPr>
        <w:t xml:space="preserve"> indica que:</w:t>
      </w:r>
    </w:p>
    <w:p w14:paraId="7E7D04F5" w14:textId="753F9CAC" w:rsidR="006D411F" w:rsidRPr="00E468BD" w:rsidRDefault="00670DBF" w:rsidP="00DE3C07">
      <w:pPr>
        <w:pStyle w:val="Textoindependiente"/>
        <w:spacing w:before="120"/>
        <w:ind w:left="720"/>
        <w:jc w:val="both"/>
        <w:rPr>
          <w:rFonts w:ascii="Verdana" w:hAnsi="Verdana"/>
          <w:sz w:val="16"/>
          <w:szCs w:val="16"/>
        </w:rPr>
      </w:pPr>
      <w:r>
        <w:rPr>
          <w:rFonts w:ascii="Verdana" w:hAnsi="Verdana"/>
          <w:sz w:val="16"/>
          <w:szCs w:val="16"/>
        </w:rPr>
        <w:t>[E]</w:t>
      </w:r>
      <w:r w:rsidR="00B662B6" w:rsidRPr="00280B8D">
        <w:rPr>
          <w:rFonts w:ascii="Verdana" w:hAnsi="Verdana"/>
          <w:sz w:val="16"/>
          <w:szCs w:val="16"/>
        </w:rPr>
        <w:t xml:space="preserve">l Estado deberá velar por que se observen los siguientes </w:t>
      </w:r>
      <w:proofErr w:type="gramStart"/>
      <w:r w:rsidR="00B662B6" w:rsidRPr="00280B8D">
        <w:rPr>
          <w:rFonts w:ascii="Verdana" w:hAnsi="Verdana"/>
          <w:sz w:val="16"/>
          <w:szCs w:val="16"/>
        </w:rPr>
        <w:t>criterios:[</w:t>
      </w:r>
      <w:proofErr w:type="gramEnd"/>
      <w:r w:rsidR="00B662B6" w:rsidRPr="00280B8D">
        <w:rPr>
          <w:rFonts w:ascii="Verdana" w:hAnsi="Verdana"/>
          <w:sz w:val="16"/>
          <w:szCs w:val="16"/>
        </w:rPr>
        <w:t xml:space="preserve">…] g) </w:t>
      </w:r>
      <w:bookmarkStart w:id="11" w:name="_Hlk107853199"/>
      <w:r w:rsidR="00B662B6" w:rsidRPr="00280B8D">
        <w:rPr>
          <w:rFonts w:ascii="Verdana" w:hAnsi="Verdana"/>
          <w:sz w:val="16"/>
          <w:szCs w:val="16"/>
        </w:rPr>
        <w:t xml:space="preserve">deberá asegurar que los distintos órganos del sistema de justicia involucrados en el caso cuenten con los recursos humanos y materiales </w:t>
      </w:r>
      <w:r w:rsidR="00B662B6" w:rsidRPr="007A5628">
        <w:rPr>
          <w:rFonts w:ascii="Verdana" w:hAnsi="Verdana"/>
          <w:sz w:val="16"/>
          <w:szCs w:val="16"/>
        </w:rPr>
        <w:t xml:space="preserve">necesarios para desempeñar sus tareas de manera adecuada, independiente e imparcial, </w:t>
      </w:r>
      <w:bookmarkEnd w:id="11"/>
      <w:r w:rsidR="00B662B6" w:rsidRPr="007A5628">
        <w:rPr>
          <w:rFonts w:ascii="Verdana" w:hAnsi="Verdana"/>
          <w:sz w:val="16"/>
          <w:szCs w:val="16"/>
        </w:rPr>
        <w:t>y que las personas que participen en la investigación, entre ellas las víctimas o sus representantes, testigos y operadores de justicia, cuenten con las debidas garantías de seguridad.</w:t>
      </w:r>
      <w:r w:rsidR="00E675DC">
        <w:rPr>
          <w:rFonts w:ascii="Verdana" w:hAnsi="Verdana"/>
          <w:sz w:val="16"/>
          <w:szCs w:val="16"/>
        </w:rPr>
        <w:t xml:space="preserve"> </w:t>
      </w:r>
    </w:p>
    <w:p w14:paraId="75FDF084" w14:textId="098FA883" w:rsidR="00E81228" w:rsidRPr="008E74AA" w:rsidRDefault="00AA49D4" w:rsidP="00E81228">
      <w:pPr>
        <w:numPr>
          <w:ilvl w:val="0"/>
          <w:numId w:val="2"/>
        </w:numPr>
        <w:spacing w:before="120" w:after="120"/>
        <w:ind w:left="0" w:firstLine="0"/>
        <w:jc w:val="both"/>
        <w:rPr>
          <w:rFonts w:ascii="Verdana" w:hAnsi="Verdana"/>
          <w:sz w:val="20"/>
          <w:szCs w:val="20"/>
        </w:rPr>
      </w:pPr>
      <w:r w:rsidRPr="008E74AA">
        <w:rPr>
          <w:rFonts w:ascii="Verdana" w:hAnsi="Verdana"/>
          <w:sz w:val="20"/>
          <w:szCs w:val="20"/>
          <w:lang w:val="es-ES"/>
        </w:rPr>
        <w:t xml:space="preserve">La solicitud de medidas provisionales </w:t>
      </w:r>
      <w:r w:rsidRPr="008E74AA">
        <w:rPr>
          <w:rFonts w:ascii="Verdana" w:eastAsia="Verdana" w:hAnsi="Verdana" w:cs="Verdana"/>
          <w:sz w:val="20"/>
          <w:szCs w:val="20"/>
          <w:lang w:val="es-CR"/>
        </w:rPr>
        <w:t>presentada</w:t>
      </w:r>
      <w:r w:rsidR="00FC2188" w:rsidRPr="008E74AA">
        <w:rPr>
          <w:rFonts w:ascii="Verdana" w:eastAsia="Verdana" w:hAnsi="Verdana" w:cs="Verdana"/>
          <w:sz w:val="20"/>
          <w:szCs w:val="20"/>
          <w:lang w:val="es-CR"/>
        </w:rPr>
        <w:t xml:space="preserve"> busca</w:t>
      </w:r>
      <w:r w:rsidRPr="008E74AA">
        <w:rPr>
          <w:rFonts w:ascii="Verdana" w:eastAsia="Verdana" w:hAnsi="Verdana" w:cs="Verdana"/>
          <w:sz w:val="20"/>
          <w:szCs w:val="20"/>
          <w:lang w:val="es-CR"/>
        </w:rPr>
        <w:t xml:space="preserve"> </w:t>
      </w:r>
      <w:r w:rsidRPr="008E74AA">
        <w:rPr>
          <w:rFonts w:ascii="Verdana" w:eastAsiaTheme="minorHAnsi" w:hAnsi="Verdana" w:cs="Verdana"/>
          <w:color w:val="000000"/>
          <w:sz w:val="20"/>
          <w:szCs w:val="20"/>
          <w:lang w:val="es-CR"/>
        </w:rPr>
        <w:t xml:space="preserve">evitar que se produzcan </w:t>
      </w:r>
      <w:r w:rsidR="00C12C1C" w:rsidRPr="008E74AA">
        <w:rPr>
          <w:rFonts w:ascii="Verdana" w:eastAsiaTheme="minorHAnsi" w:hAnsi="Verdana" w:cs="Verdana"/>
          <w:color w:val="000000"/>
          <w:sz w:val="20"/>
          <w:szCs w:val="20"/>
          <w:lang w:val="es-CR"/>
        </w:rPr>
        <w:t>daños irreparables a los derechos a la vida e integridad personal</w:t>
      </w:r>
      <w:r w:rsidR="00C12C1C" w:rsidRPr="008E74AA">
        <w:rPr>
          <w:rFonts w:ascii="Verdana" w:eastAsia="Calibri" w:hAnsi="Verdana" w:cs="Verdana"/>
          <w:color w:val="000000"/>
          <w:sz w:val="20"/>
          <w:szCs w:val="20"/>
          <w:lang w:val="es-CR"/>
        </w:rPr>
        <w:t xml:space="preserve"> </w:t>
      </w:r>
      <w:r w:rsidR="00C12C1C" w:rsidRPr="008E74AA">
        <w:rPr>
          <w:rFonts w:ascii="Verdana" w:eastAsiaTheme="minorHAnsi" w:hAnsi="Verdana" w:cs="Verdana"/>
          <w:color w:val="000000"/>
          <w:sz w:val="20"/>
          <w:szCs w:val="20"/>
          <w:lang w:val="es-CR"/>
        </w:rPr>
        <w:t>y a la</w:t>
      </w:r>
      <w:r w:rsidR="00C12C1C" w:rsidRPr="008E74AA">
        <w:rPr>
          <w:rFonts w:ascii="Verdana" w:eastAsia="Calibri" w:hAnsi="Verdana" w:cs="Verdana"/>
          <w:color w:val="000000"/>
          <w:sz w:val="20"/>
          <w:szCs w:val="20"/>
          <w:lang w:val="es-CR"/>
        </w:rPr>
        <w:t xml:space="preserve"> </w:t>
      </w:r>
      <w:r w:rsidR="00C12C1C" w:rsidRPr="008E74AA">
        <w:rPr>
          <w:rFonts w:ascii="Verdana" w:eastAsiaTheme="minorHAnsi" w:hAnsi="Verdana" w:cs="Verdana"/>
          <w:color w:val="000000"/>
          <w:sz w:val="20"/>
          <w:szCs w:val="20"/>
          <w:lang w:val="es-CR"/>
        </w:rPr>
        <w:t xml:space="preserve">independencia judicial del </w:t>
      </w:r>
      <w:r w:rsidR="00205B16">
        <w:rPr>
          <w:rFonts w:ascii="Verdana" w:eastAsiaTheme="minorHAnsi" w:hAnsi="Verdana" w:cs="Verdana"/>
          <w:color w:val="000000"/>
          <w:sz w:val="20"/>
          <w:szCs w:val="20"/>
          <w:lang w:val="es-CR"/>
        </w:rPr>
        <w:t>j</w:t>
      </w:r>
      <w:r w:rsidR="00C12C1C" w:rsidRPr="008E74AA">
        <w:rPr>
          <w:rFonts w:ascii="Verdana" w:eastAsiaTheme="minorHAnsi" w:hAnsi="Verdana" w:cs="Verdana"/>
          <w:color w:val="000000"/>
          <w:sz w:val="20"/>
          <w:szCs w:val="20"/>
          <w:lang w:val="es-CR"/>
        </w:rPr>
        <w:t>uez Miguel Ángel Gálvez Aguilar, titular del Juzgado B de Mayor Riesgo del Organismo Judicial de Guatemala</w:t>
      </w:r>
      <w:r w:rsidR="00C12C1C" w:rsidRPr="008E74AA">
        <w:rPr>
          <w:rFonts w:ascii="Verdana" w:hAnsi="Verdana"/>
          <w:sz w:val="20"/>
          <w:szCs w:val="20"/>
        </w:rPr>
        <w:t xml:space="preserve">, </w:t>
      </w:r>
      <w:r w:rsidR="00C12C1C" w:rsidRPr="008E74AA">
        <w:rPr>
          <w:rFonts w:ascii="Verdana" w:eastAsiaTheme="minorHAnsi" w:hAnsi="Verdana" w:cs="Verdana"/>
          <w:sz w:val="20"/>
          <w:szCs w:val="20"/>
          <w:lang w:val="es-CR"/>
        </w:rPr>
        <w:t>quien</w:t>
      </w:r>
      <w:r w:rsidR="00C12C1C" w:rsidRPr="008E74AA">
        <w:rPr>
          <w:rFonts w:ascii="Verdana" w:hAnsi="Verdana"/>
          <w:sz w:val="20"/>
          <w:szCs w:val="20"/>
        </w:rPr>
        <w:t xml:space="preserve"> </w:t>
      </w:r>
      <w:r w:rsidR="00C12C1C" w:rsidRPr="008E74AA">
        <w:rPr>
          <w:rFonts w:ascii="Verdana" w:eastAsiaTheme="minorHAnsi" w:hAnsi="Verdana" w:cs="Verdana"/>
          <w:color w:val="000000"/>
          <w:sz w:val="20"/>
          <w:szCs w:val="20"/>
          <w:lang w:val="es-CR"/>
        </w:rPr>
        <w:t xml:space="preserve">interviene durante la etapa preparatoria e intermedia del </w:t>
      </w:r>
      <w:r w:rsidR="00925789">
        <w:rPr>
          <w:rFonts w:ascii="Verdana" w:eastAsiaTheme="minorHAnsi" w:hAnsi="Verdana" w:cs="Verdana"/>
          <w:color w:val="000000"/>
          <w:sz w:val="20"/>
          <w:szCs w:val="20"/>
          <w:lang w:val="es-CR"/>
        </w:rPr>
        <w:t>proceso penal</w:t>
      </w:r>
      <w:r w:rsidR="00C12C1C" w:rsidRPr="008E74AA">
        <w:rPr>
          <w:rFonts w:ascii="Verdana" w:hAnsi="Verdana"/>
          <w:sz w:val="20"/>
          <w:szCs w:val="20"/>
        </w:rPr>
        <w:t xml:space="preserve">, así como </w:t>
      </w:r>
      <w:r w:rsidR="00D04443" w:rsidRPr="008E74AA">
        <w:rPr>
          <w:rFonts w:ascii="Verdana" w:eastAsia="Verdana" w:hAnsi="Verdana" w:cs="Verdana"/>
          <w:sz w:val="20"/>
          <w:szCs w:val="20"/>
          <w:lang w:val="es-CR"/>
        </w:rPr>
        <w:t>al</w:t>
      </w:r>
      <w:r w:rsidRPr="008E74AA">
        <w:rPr>
          <w:rFonts w:ascii="Verdana" w:eastAsiaTheme="minorHAnsi" w:hAnsi="Verdana" w:cs="Verdana"/>
          <w:color w:val="000000"/>
          <w:sz w:val="20"/>
          <w:szCs w:val="20"/>
          <w:lang w:val="es-CR"/>
        </w:rPr>
        <w:t xml:space="preserve"> </w:t>
      </w:r>
      <w:r w:rsidRPr="000D704D">
        <w:rPr>
          <w:rFonts w:ascii="Verdana" w:eastAsiaTheme="minorHAnsi" w:hAnsi="Verdana" w:cs="Verdana"/>
          <w:color w:val="000000"/>
          <w:sz w:val="20"/>
          <w:szCs w:val="20"/>
          <w:lang w:val="es-CR"/>
        </w:rPr>
        <w:t xml:space="preserve">derecho </w:t>
      </w:r>
      <w:r w:rsidR="00D04443" w:rsidRPr="000D704D">
        <w:rPr>
          <w:rFonts w:ascii="Verdana" w:eastAsiaTheme="minorHAnsi" w:hAnsi="Verdana" w:cs="Verdana"/>
          <w:color w:val="000000"/>
          <w:sz w:val="20"/>
          <w:szCs w:val="20"/>
          <w:lang w:val="es-CR"/>
        </w:rPr>
        <w:t>de</w:t>
      </w:r>
      <w:r w:rsidRPr="000D704D">
        <w:rPr>
          <w:rFonts w:ascii="Verdana" w:eastAsiaTheme="minorHAnsi" w:hAnsi="Verdana" w:cs="Verdana"/>
          <w:color w:val="000000"/>
          <w:sz w:val="20"/>
          <w:szCs w:val="20"/>
          <w:lang w:val="es-CR"/>
        </w:rPr>
        <w:t xml:space="preserve"> acceso a la justicia de las víctimas del caso</w:t>
      </w:r>
      <w:r w:rsidRPr="000D704D">
        <w:rPr>
          <w:rFonts w:ascii="Verdana" w:hAnsi="Verdana"/>
          <w:sz w:val="20"/>
          <w:szCs w:val="20"/>
        </w:rPr>
        <w:t xml:space="preserve"> </w:t>
      </w:r>
      <w:r w:rsidRPr="000D704D">
        <w:rPr>
          <w:rFonts w:ascii="Verdana" w:eastAsiaTheme="minorHAnsi" w:hAnsi="Verdana" w:cs="Verdana"/>
          <w:i/>
          <w:iCs/>
          <w:color w:val="000000"/>
          <w:sz w:val="20"/>
          <w:szCs w:val="20"/>
          <w:lang w:val="es-CR"/>
        </w:rPr>
        <w:t>Gudiel Álvarez y otros ("Diario Militar")</w:t>
      </w:r>
      <w:r w:rsidR="000D704D" w:rsidRPr="000D704D">
        <w:rPr>
          <w:rFonts w:ascii="Verdana" w:hAnsi="Verdana"/>
          <w:sz w:val="20"/>
          <w:szCs w:val="20"/>
        </w:rPr>
        <w:t xml:space="preserve"> </w:t>
      </w:r>
      <w:r w:rsidR="000D704D" w:rsidRPr="000D704D">
        <w:rPr>
          <w:rFonts w:ascii="Verdana" w:eastAsia="Calibri" w:hAnsi="Verdana" w:cs="Verdana"/>
          <w:color w:val="000000"/>
          <w:sz w:val="20"/>
          <w:szCs w:val="20"/>
          <w:lang w:val="es-CR"/>
        </w:rPr>
        <w:t>(</w:t>
      </w:r>
      <w:r w:rsidR="000D704D" w:rsidRPr="000D704D">
        <w:rPr>
          <w:rFonts w:ascii="Verdana" w:eastAsia="Calibri" w:hAnsi="Verdana" w:cs="Verdana"/>
          <w:i/>
          <w:color w:val="000000"/>
          <w:sz w:val="20"/>
          <w:szCs w:val="20"/>
          <w:lang w:val="es-CR"/>
        </w:rPr>
        <w:t>supra</w:t>
      </w:r>
      <w:r w:rsidR="000D704D" w:rsidRPr="000D704D">
        <w:rPr>
          <w:rFonts w:ascii="Verdana" w:eastAsia="Calibri" w:hAnsi="Verdana" w:cs="Verdana"/>
          <w:color w:val="000000"/>
          <w:sz w:val="20"/>
          <w:szCs w:val="20"/>
          <w:lang w:val="es-CR"/>
        </w:rPr>
        <w:t xml:space="preserve"> Considerando 5).</w:t>
      </w:r>
    </w:p>
    <w:p w14:paraId="48A64ED9" w14:textId="2E194600" w:rsidR="00E84CAA" w:rsidRPr="008E74AA" w:rsidRDefault="00535A78" w:rsidP="00E84CAA">
      <w:pPr>
        <w:numPr>
          <w:ilvl w:val="0"/>
          <w:numId w:val="2"/>
        </w:numPr>
        <w:spacing w:before="120" w:after="120"/>
        <w:ind w:left="0" w:firstLine="0"/>
        <w:jc w:val="both"/>
        <w:rPr>
          <w:rFonts w:ascii="Verdana" w:hAnsi="Verdana"/>
          <w:sz w:val="20"/>
          <w:szCs w:val="20"/>
        </w:rPr>
      </w:pPr>
      <w:r w:rsidRPr="008E74AA">
        <w:rPr>
          <w:rFonts w:ascii="Verdana" w:hAnsi="Verdana"/>
          <w:sz w:val="20"/>
          <w:szCs w:val="20"/>
        </w:rPr>
        <w:t xml:space="preserve">En lo que se refiere al alegato del Estado </w:t>
      </w:r>
      <w:r w:rsidR="005A7486" w:rsidRPr="008E74AA">
        <w:rPr>
          <w:rFonts w:ascii="Verdana" w:hAnsi="Verdana"/>
          <w:sz w:val="20"/>
          <w:szCs w:val="20"/>
        </w:rPr>
        <w:t>sobre</w:t>
      </w:r>
      <w:r w:rsidRPr="008E74AA">
        <w:rPr>
          <w:rFonts w:ascii="Verdana" w:hAnsi="Verdana"/>
          <w:sz w:val="20"/>
          <w:szCs w:val="20"/>
        </w:rPr>
        <w:t xml:space="preserve"> la falta de </w:t>
      </w:r>
      <w:r w:rsidR="00925789">
        <w:rPr>
          <w:rFonts w:ascii="Verdana" w:hAnsi="Verdana"/>
          <w:sz w:val="20"/>
          <w:szCs w:val="20"/>
        </w:rPr>
        <w:t xml:space="preserve">consentimiento </w:t>
      </w:r>
      <w:r w:rsidRPr="008E74AA">
        <w:rPr>
          <w:rFonts w:ascii="Verdana" w:hAnsi="Verdana"/>
          <w:sz w:val="20"/>
          <w:szCs w:val="20"/>
          <w:lang w:val="es-ES"/>
        </w:rPr>
        <w:t xml:space="preserve">del </w:t>
      </w:r>
      <w:r w:rsidR="00925789">
        <w:rPr>
          <w:rFonts w:ascii="Verdana" w:hAnsi="Verdana"/>
          <w:sz w:val="20"/>
          <w:szCs w:val="20"/>
          <w:lang w:val="es-ES"/>
        </w:rPr>
        <w:t>j</w:t>
      </w:r>
      <w:r w:rsidRPr="008E74AA">
        <w:rPr>
          <w:rFonts w:ascii="Verdana" w:hAnsi="Verdana"/>
          <w:sz w:val="20"/>
          <w:szCs w:val="20"/>
          <w:lang w:val="es-ES"/>
        </w:rPr>
        <w:t>uez Gálvez</w:t>
      </w:r>
      <w:r w:rsidRPr="008E74AA">
        <w:rPr>
          <w:rFonts w:ascii="Verdana" w:hAnsi="Verdana"/>
          <w:sz w:val="20"/>
          <w:szCs w:val="20"/>
        </w:rPr>
        <w:t xml:space="preserve"> </w:t>
      </w:r>
      <w:r w:rsidR="00925789">
        <w:rPr>
          <w:rFonts w:ascii="Verdana" w:hAnsi="Verdana"/>
          <w:sz w:val="20"/>
          <w:szCs w:val="20"/>
        </w:rPr>
        <w:t>para que se solici</w:t>
      </w:r>
      <w:r w:rsidR="00925789" w:rsidRPr="000D704D">
        <w:rPr>
          <w:rFonts w:ascii="Verdana" w:hAnsi="Verdana"/>
          <w:sz w:val="20"/>
          <w:szCs w:val="20"/>
        </w:rPr>
        <w:t xml:space="preserve">tara ser beneficiario de medidas ante la Corte </w:t>
      </w:r>
      <w:r w:rsidR="000D704D" w:rsidRPr="000D704D">
        <w:rPr>
          <w:rFonts w:ascii="Verdana" w:hAnsi="Verdana"/>
          <w:sz w:val="20"/>
          <w:szCs w:val="20"/>
        </w:rPr>
        <w:t>(</w:t>
      </w:r>
      <w:r w:rsidR="000D704D" w:rsidRPr="000D704D">
        <w:rPr>
          <w:rFonts w:ascii="Verdana" w:hAnsi="Verdana"/>
          <w:i/>
          <w:iCs/>
          <w:sz w:val="20"/>
          <w:szCs w:val="20"/>
        </w:rPr>
        <w:t>supra</w:t>
      </w:r>
      <w:r w:rsidR="000D704D" w:rsidRPr="000D704D">
        <w:rPr>
          <w:rFonts w:ascii="Verdana" w:hAnsi="Verdana"/>
          <w:sz w:val="20"/>
          <w:szCs w:val="20"/>
        </w:rPr>
        <w:t xml:space="preserve"> Considerando 15)</w:t>
      </w:r>
      <w:r w:rsidRPr="000D704D">
        <w:rPr>
          <w:rFonts w:ascii="Verdana" w:hAnsi="Verdana"/>
          <w:sz w:val="20"/>
          <w:szCs w:val="20"/>
        </w:rPr>
        <w:t xml:space="preserve">, </w:t>
      </w:r>
      <w:r w:rsidR="00925789" w:rsidRPr="000D704D">
        <w:rPr>
          <w:rFonts w:ascii="Verdana" w:hAnsi="Verdana"/>
          <w:sz w:val="20"/>
          <w:szCs w:val="20"/>
        </w:rPr>
        <w:t>el Presidente</w:t>
      </w:r>
      <w:r w:rsidR="00925789">
        <w:rPr>
          <w:rFonts w:ascii="Verdana" w:hAnsi="Verdana"/>
          <w:sz w:val="20"/>
          <w:szCs w:val="20"/>
        </w:rPr>
        <w:t xml:space="preserve"> hace notar que desde la presentación de la solicitud se ha indicado como dirección para notificaciones la de las </w:t>
      </w:r>
      <w:r w:rsidR="008C3ED5" w:rsidRPr="008E74AA">
        <w:rPr>
          <w:rFonts w:ascii="Verdana" w:hAnsi="Verdana"/>
          <w:sz w:val="20"/>
          <w:szCs w:val="20"/>
        </w:rPr>
        <w:t xml:space="preserve">representantes del </w:t>
      </w:r>
      <w:r w:rsidR="00925789">
        <w:rPr>
          <w:rFonts w:ascii="Verdana" w:hAnsi="Verdana"/>
          <w:sz w:val="20"/>
          <w:szCs w:val="20"/>
        </w:rPr>
        <w:t>j</w:t>
      </w:r>
      <w:r w:rsidR="008C3ED5" w:rsidRPr="008E74AA">
        <w:rPr>
          <w:rFonts w:ascii="Verdana" w:hAnsi="Verdana"/>
          <w:sz w:val="20"/>
          <w:szCs w:val="20"/>
        </w:rPr>
        <w:t xml:space="preserve">uez Gálvez en las medidas cautelares ante la Comisión (el Centro por la Justicia y el Derecho Internacional -CEJIL), </w:t>
      </w:r>
      <w:r w:rsidR="00933D67" w:rsidRPr="008E74AA">
        <w:rPr>
          <w:rFonts w:ascii="Verdana" w:hAnsi="Verdana"/>
          <w:sz w:val="20"/>
          <w:szCs w:val="20"/>
        </w:rPr>
        <w:t xml:space="preserve">lo que evidencia la comunicación entre </w:t>
      </w:r>
      <w:r w:rsidR="00944884">
        <w:rPr>
          <w:rFonts w:ascii="Verdana" w:hAnsi="Verdana"/>
          <w:sz w:val="20"/>
          <w:szCs w:val="20"/>
        </w:rPr>
        <w:t>aquell</w:t>
      </w:r>
      <w:r w:rsidR="007A5628">
        <w:rPr>
          <w:rFonts w:ascii="Verdana" w:hAnsi="Verdana"/>
          <w:sz w:val="20"/>
          <w:szCs w:val="20"/>
        </w:rPr>
        <w:t>a</w:t>
      </w:r>
      <w:r w:rsidR="00944884">
        <w:rPr>
          <w:rFonts w:ascii="Verdana" w:hAnsi="Verdana"/>
          <w:sz w:val="20"/>
          <w:szCs w:val="20"/>
        </w:rPr>
        <w:t xml:space="preserve">s y </w:t>
      </w:r>
      <w:r w:rsidR="00925789">
        <w:rPr>
          <w:rFonts w:ascii="Verdana" w:hAnsi="Verdana"/>
          <w:sz w:val="20"/>
          <w:szCs w:val="20"/>
        </w:rPr>
        <w:t xml:space="preserve">los representantes de las víctimas en el presente caso </w:t>
      </w:r>
      <w:r w:rsidR="00925789" w:rsidRPr="008E74AA">
        <w:rPr>
          <w:rFonts w:ascii="Verdana" w:hAnsi="Verdana"/>
          <w:sz w:val="20"/>
          <w:szCs w:val="20"/>
        </w:rPr>
        <w:t>(Fundación Myrna Mack)</w:t>
      </w:r>
      <w:r w:rsidR="00925789">
        <w:rPr>
          <w:rFonts w:ascii="Verdana" w:hAnsi="Verdana"/>
          <w:sz w:val="20"/>
          <w:szCs w:val="20"/>
        </w:rPr>
        <w:t xml:space="preserve"> </w:t>
      </w:r>
      <w:r w:rsidR="00944884">
        <w:rPr>
          <w:rFonts w:ascii="Verdana" w:hAnsi="Verdana"/>
          <w:sz w:val="20"/>
          <w:szCs w:val="20"/>
        </w:rPr>
        <w:t xml:space="preserve">respecto a </w:t>
      </w:r>
      <w:r w:rsidR="00980DC8" w:rsidRPr="008E74AA">
        <w:rPr>
          <w:rFonts w:ascii="Verdana" w:hAnsi="Verdana"/>
          <w:sz w:val="20"/>
          <w:szCs w:val="20"/>
        </w:rPr>
        <w:t xml:space="preserve">la </w:t>
      </w:r>
      <w:r w:rsidR="00B46E09" w:rsidRPr="008E74AA">
        <w:rPr>
          <w:rFonts w:ascii="Verdana" w:hAnsi="Verdana"/>
          <w:sz w:val="20"/>
          <w:szCs w:val="20"/>
        </w:rPr>
        <w:t>necesidad</w:t>
      </w:r>
      <w:r w:rsidR="00980DC8" w:rsidRPr="008E74AA">
        <w:rPr>
          <w:rFonts w:ascii="Verdana" w:hAnsi="Verdana"/>
          <w:sz w:val="20"/>
          <w:szCs w:val="20"/>
        </w:rPr>
        <w:t xml:space="preserve"> de solicitar las medidas provisionales a favor del </w:t>
      </w:r>
      <w:r w:rsidR="00944884">
        <w:rPr>
          <w:rFonts w:ascii="Verdana" w:hAnsi="Verdana"/>
          <w:sz w:val="20"/>
          <w:szCs w:val="20"/>
        </w:rPr>
        <w:t>j</w:t>
      </w:r>
      <w:r w:rsidR="00980DC8" w:rsidRPr="008E74AA">
        <w:rPr>
          <w:rFonts w:ascii="Verdana" w:hAnsi="Verdana"/>
          <w:sz w:val="20"/>
          <w:szCs w:val="20"/>
        </w:rPr>
        <w:t>uez Gálvez</w:t>
      </w:r>
      <w:r w:rsidR="00E81228" w:rsidRPr="008E74AA">
        <w:rPr>
          <w:rFonts w:ascii="Verdana" w:eastAsiaTheme="minorHAnsi" w:hAnsi="Verdana" w:cs="Verdana"/>
          <w:color w:val="000000"/>
          <w:sz w:val="20"/>
          <w:szCs w:val="20"/>
          <w:lang w:val="es-CR"/>
        </w:rPr>
        <w:t>.</w:t>
      </w:r>
    </w:p>
    <w:p w14:paraId="214F620C" w14:textId="0B56DDF6" w:rsidR="00D04443" w:rsidRPr="0052570A" w:rsidRDefault="00E65A0E" w:rsidP="003A6922">
      <w:pPr>
        <w:numPr>
          <w:ilvl w:val="0"/>
          <w:numId w:val="2"/>
        </w:numPr>
        <w:spacing w:before="120" w:after="120"/>
        <w:ind w:left="0" w:firstLine="0"/>
        <w:jc w:val="both"/>
        <w:rPr>
          <w:rFonts w:ascii="Verdana" w:hAnsi="Verdana"/>
          <w:sz w:val="20"/>
          <w:szCs w:val="20"/>
        </w:rPr>
      </w:pPr>
      <w:r w:rsidRPr="0052570A">
        <w:rPr>
          <w:rFonts w:ascii="Verdana" w:eastAsia="Verdana" w:hAnsi="Verdana" w:cs="Verdana"/>
          <w:sz w:val="20"/>
          <w:szCs w:val="20"/>
          <w:lang w:val="es-CR"/>
        </w:rPr>
        <w:t>Asimismo, e</w:t>
      </w:r>
      <w:r w:rsidR="00D04443" w:rsidRPr="0052570A">
        <w:rPr>
          <w:rFonts w:ascii="Verdana" w:eastAsia="Verdana" w:hAnsi="Verdana" w:cs="Verdana"/>
          <w:sz w:val="20"/>
          <w:szCs w:val="20"/>
          <w:lang w:val="es-CR"/>
        </w:rPr>
        <w:t xml:space="preserve">l </w:t>
      </w:r>
      <w:proofErr w:type="gramStart"/>
      <w:r w:rsidR="00D04443" w:rsidRPr="0052570A">
        <w:rPr>
          <w:rFonts w:ascii="Verdana" w:eastAsia="Verdana" w:hAnsi="Verdana" w:cs="Verdana"/>
          <w:sz w:val="20"/>
          <w:szCs w:val="20"/>
          <w:lang w:val="es-CR"/>
        </w:rPr>
        <w:t>Presidente</w:t>
      </w:r>
      <w:proofErr w:type="gramEnd"/>
      <w:r w:rsidR="00D04443" w:rsidRPr="0052570A">
        <w:rPr>
          <w:rFonts w:ascii="Verdana" w:eastAsia="Verdana" w:hAnsi="Verdana" w:cs="Verdana"/>
          <w:sz w:val="20"/>
          <w:szCs w:val="20"/>
          <w:lang w:val="es-CR"/>
        </w:rPr>
        <w:t xml:space="preserve"> </w:t>
      </w:r>
      <w:r w:rsidR="00112180" w:rsidRPr="0052570A">
        <w:rPr>
          <w:rFonts w:ascii="Verdana" w:eastAsia="Verdana" w:hAnsi="Verdana" w:cs="Verdana"/>
          <w:sz w:val="20"/>
          <w:szCs w:val="20"/>
          <w:lang w:val="es-CR"/>
        </w:rPr>
        <w:t>considera</w:t>
      </w:r>
      <w:r w:rsidR="00D04443" w:rsidRPr="0052570A">
        <w:rPr>
          <w:rFonts w:ascii="Verdana" w:eastAsia="Verdana" w:hAnsi="Verdana" w:cs="Verdana"/>
          <w:sz w:val="20"/>
          <w:szCs w:val="20"/>
          <w:lang w:val="es-CR"/>
        </w:rPr>
        <w:t xml:space="preserve"> que se configura el requisito relativo a que la solicitud de las medidas provisionales tenga “relación con el objeto del caso”, dispuesto en el </w:t>
      </w:r>
      <w:r w:rsidR="00D04443" w:rsidRPr="0052570A">
        <w:rPr>
          <w:rFonts w:ascii="Verdana" w:hAnsi="Verdana"/>
          <w:sz w:val="20"/>
          <w:szCs w:val="20"/>
        </w:rPr>
        <w:t xml:space="preserve">artículo 27.3 del Reglamento </w:t>
      </w:r>
      <w:r w:rsidR="0052570A" w:rsidRPr="0052570A">
        <w:rPr>
          <w:rFonts w:ascii="Verdana" w:hAnsi="Verdana"/>
          <w:sz w:val="20"/>
          <w:szCs w:val="20"/>
        </w:rPr>
        <w:t>(</w:t>
      </w:r>
      <w:r w:rsidR="0052570A" w:rsidRPr="0052570A">
        <w:rPr>
          <w:rFonts w:ascii="Verdana" w:hAnsi="Verdana"/>
          <w:i/>
          <w:sz w:val="20"/>
          <w:szCs w:val="20"/>
        </w:rPr>
        <w:t xml:space="preserve">supra </w:t>
      </w:r>
      <w:r w:rsidR="0052570A" w:rsidRPr="0052570A">
        <w:rPr>
          <w:rFonts w:ascii="Verdana" w:hAnsi="Verdana"/>
          <w:sz w:val="20"/>
          <w:szCs w:val="20"/>
        </w:rPr>
        <w:t>Considerando 1)</w:t>
      </w:r>
      <w:r w:rsidR="00D04443" w:rsidRPr="0052570A">
        <w:rPr>
          <w:rFonts w:ascii="Verdana" w:eastAsia="Verdana" w:hAnsi="Verdana" w:cs="Verdana"/>
          <w:sz w:val="20"/>
          <w:szCs w:val="20"/>
          <w:lang w:val="es-CR"/>
        </w:rPr>
        <w:t>, ya que</w:t>
      </w:r>
      <w:r w:rsidR="00454150" w:rsidRPr="0052570A">
        <w:rPr>
          <w:rFonts w:ascii="Verdana" w:eastAsia="Verdana" w:hAnsi="Verdana" w:cs="Verdana"/>
          <w:sz w:val="20"/>
          <w:szCs w:val="20"/>
          <w:lang w:val="es-CR"/>
        </w:rPr>
        <w:t xml:space="preserve"> </w:t>
      </w:r>
      <w:r w:rsidR="00BF2CAD" w:rsidRPr="0052570A">
        <w:rPr>
          <w:rFonts w:ascii="Verdana" w:eastAsia="Verdana" w:hAnsi="Verdana" w:cs="Verdana"/>
          <w:sz w:val="20"/>
          <w:szCs w:val="20"/>
          <w:lang w:val="es-CR"/>
        </w:rPr>
        <w:t xml:space="preserve">guarda relación con la obligación de investigar, juzgar y, en su caso, sancionar las graves violaciones a derechos humanos perpetradas en este caso, de acuerdo a lo ordenado en </w:t>
      </w:r>
      <w:r w:rsidR="00D04443" w:rsidRPr="0052570A">
        <w:rPr>
          <w:rFonts w:ascii="Verdana" w:hAnsi="Verdana"/>
          <w:sz w:val="20"/>
          <w:szCs w:val="20"/>
        </w:rPr>
        <w:t>la Sentencia</w:t>
      </w:r>
      <w:r w:rsidR="00BF2CAD" w:rsidRPr="0052570A">
        <w:rPr>
          <w:rFonts w:ascii="Verdana" w:hAnsi="Verdana"/>
          <w:sz w:val="20"/>
          <w:szCs w:val="20"/>
        </w:rPr>
        <w:t xml:space="preserve"> </w:t>
      </w:r>
      <w:r w:rsidR="0052570A" w:rsidRPr="0052570A">
        <w:rPr>
          <w:rFonts w:ascii="Verdana" w:eastAsia="Verdana" w:hAnsi="Verdana" w:cs="Verdana"/>
          <w:sz w:val="20"/>
          <w:szCs w:val="20"/>
          <w:lang w:val="es-CR"/>
        </w:rPr>
        <w:t>(</w:t>
      </w:r>
      <w:r w:rsidR="0052570A" w:rsidRPr="0052570A">
        <w:rPr>
          <w:rFonts w:ascii="Verdana" w:eastAsia="Verdana" w:hAnsi="Verdana" w:cs="Verdana"/>
          <w:i/>
          <w:sz w:val="20"/>
          <w:szCs w:val="20"/>
          <w:lang w:val="es-CR"/>
        </w:rPr>
        <w:t>supra</w:t>
      </w:r>
      <w:r w:rsidR="0052570A" w:rsidRPr="0052570A">
        <w:rPr>
          <w:rFonts w:ascii="Verdana" w:eastAsia="Verdana" w:hAnsi="Verdana" w:cs="Verdana"/>
          <w:sz w:val="20"/>
          <w:szCs w:val="20"/>
          <w:lang w:val="es-CR"/>
        </w:rPr>
        <w:t xml:space="preserve"> </w:t>
      </w:r>
      <w:r w:rsidR="0052570A" w:rsidRPr="0052570A">
        <w:rPr>
          <w:rFonts w:ascii="Verdana" w:hAnsi="Verdana"/>
          <w:sz w:val="20"/>
          <w:szCs w:val="20"/>
        </w:rPr>
        <w:t xml:space="preserve">Considerando </w:t>
      </w:r>
      <w:r w:rsidR="007A5628">
        <w:rPr>
          <w:rFonts w:ascii="Verdana" w:hAnsi="Verdana"/>
          <w:sz w:val="20"/>
          <w:szCs w:val="20"/>
        </w:rPr>
        <w:t>18</w:t>
      </w:r>
      <w:r w:rsidR="0052570A" w:rsidRPr="0052570A">
        <w:rPr>
          <w:rFonts w:ascii="Verdana" w:eastAsia="Verdana" w:hAnsi="Verdana" w:cs="Verdana"/>
          <w:sz w:val="20"/>
          <w:szCs w:val="20"/>
          <w:lang w:val="es-CR"/>
        </w:rPr>
        <w:t>)</w:t>
      </w:r>
      <w:r w:rsidR="00D04443" w:rsidRPr="0052570A">
        <w:rPr>
          <w:rFonts w:ascii="Verdana" w:eastAsia="Verdana" w:hAnsi="Verdana" w:cs="Verdana"/>
          <w:sz w:val="20"/>
          <w:szCs w:val="20"/>
          <w:lang w:val="es-CR"/>
        </w:rPr>
        <w:t>. En el momento actual es evidente que se debe efectivizar dicha</w:t>
      </w:r>
      <w:r w:rsidR="00B06E05" w:rsidRPr="0052570A">
        <w:rPr>
          <w:rFonts w:ascii="Verdana" w:eastAsia="Verdana" w:hAnsi="Verdana" w:cs="Verdana"/>
          <w:sz w:val="20"/>
          <w:szCs w:val="20"/>
          <w:lang w:val="es-CR"/>
        </w:rPr>
        <w:t>s</w:t>
      </w:r>
      <w:r w:rsidR="00D04443" w:rsidRPr="0052570A">
        <w:rPr>
          <w:rFonts w:ascii="Verdana" w:eastAsia="Verdana" w:hAnsi="Verdana" w:cs="Verdana"/>
          <w:sz w:val="20"/>
          <w:szCs w:val="20"/>
          <w:lang w:val="es-CR"/>
        </w:rPr>
        <w:t xml:space="preserve"> obligaci</w:t>
      </w:r>
      <w:r w:rsidR="00B06E05" w:rsidRPr="0052570A">
        <w:rPr>
          <w:rFonts w:ascii="Verdana" w:eastAsia="Verdana" w:hAnsi="Verdana" w:cs="Verdana"/>
          <w:sz w:val="20"/>
          <w:szCs w:val="20"/>
          <w:lang w:val="es-CR"/>
        </w:rPr>
        <w:t>o</w:t>
      </w:r>
      <w:r w:rsidR="00D04443" w:rsidRPr="0052570A">
        <w:rPr>
          <w:rFonts w:ascii="Verdana" w:eastAsia="Verdana" w:hAnsi="Verdana" w:cs="Verdana"/>
          <w:sz w:val="20"/>
          <w:szCs w:val="20"/>
          <w:lang w:val="es-CR"/>
        </w:rPr>
        <w:t>n</w:t>
      </w:r>
      <w:r w:rsidR="00B06E05" w:rsidRPr="0052570A">
        <w:rPr>
          <w:rFonts w:ascii="Verdana" w:eastAsia="Verdana" w:hAnsi="Verdana" w:cs="Verdana"/>
          <w:sz w:val="20"/>
          <w:szCs w:val="20"/>
          <w:lang w:val="es-CR"/>
        </w:rPr>
        <w:t>es</w:t>
      </w:r>
      <w:r w:rsidR="00D04443" w:rsidRPr="0052570A">
        <w:rPr>
          <w:rFonts w:ascii="Verdana" w:eastAsia="Verdana" w:hAnsi="Verdana" w:cs="Verdana"/>
          <w:sz w:val="20"/>
          <w:szCs w:val="20"/>
          <w:lang w:val="es-CR"/>
        </w:rPr>
        <w:t xml:space="preserve"> derivada</w:t>
      </w:r>
      <w:r w:rsidR="00B06E05" w:rsidRPr="0052570A">
        <w:rPr>
          <w:rFonts w:ascii="Verdana" w:eastAsia="Verdana" w:hAnsi="Verdana" w:cs="Verdana"/>
          <w:sz w:val="20"/>
          <w:szCs w:val="20"/>
          <w:lang w:val="es-CR"/>
        </w:rPr>
        <w:t>s</w:t>
      </w:r>
      <w:r w:rsidR="00D04443" w:rsidRPr="0052570A">
        <w:rPr>
          <w:rFonts w:ascii="Verdana" w:eastAsia="Verdana" w:hAnsi="Verdana" w:cs="Verdana"/>
          <w:sz w:val="20"/>
          <w:szCs w:val="20"/>
          <w:lang w:val="es-CR"/>
        </w:rPr>
        <w:t xml:space="preserve"> de la Sentencia a favor de</w:t>
      </w:r>
      <w:r w:rsidR="006D384B" w:rsidRPr="0052570A">
        <w:rPr>
          <w:rFonts w:ascii="Verdana" w:eastAsia="Verdana" w:hAnsi="Verdana" w:cs="Verdana"/>
          <w:sz w:val="20"/>
          <w:szCs w:val="20"/>
          <w:lang w:val="es-CR"/>
        </w:rPr>
        <w:t xml:space="preserve"> </w:t>
      </w:r>
      <w:r w:rsidR="001C3FF5" w:rsidRPr="0052570A">
        <w:rPr>
          <w:rFonts w:ascii="Verdana" w:eastAsia="Verdana" w:hAnsi="Verdana" w:cs="Verdana"/>
          <w:sz w:val="20"/>
          <w:szCs w:val="20"/>
          <w:lang w:val="es-CR"/>
        </w:rPr>
        <w:t>una</w:t>
      </w:r>
      <w:r w:rsidR="00D04443" w:rsidRPr="0052570A">
        <w:rPr>
          <w:rFonts w:ascii="Verdana" w:eastAsia="Verdana" w:hAnsi="Verdana" w:cs="Verdana"/>
          <w:sz w:val="20"/>
          <w:szCs w:val="20"/>
          <w:lang w:val="es-CR"/>
        </w:rPr>
        <w:t xml:space="preserve"> persona determinada, individualizada e identificada, esto es, el </w:t>
      </w:r>
      <w:r w:rsidR="00644154" w:rsidRPr="0052570A">
        <w:rPr>
          <w:rFonts w:ascii="Verdana" w:eastAsiaTheme="minorHAnsi" w:hAnsi="Verdana" w:cs="Verdana"/>
          <w:color w:val="000000"/>
          <w:sz w:val="20"/>
          <w:szCs w:val="20"/>
          <w:lang w:val="es-CR"/>
        </w:rPr>
        <w:t>j</w:t>
      </w:r>
      <w:r w:rsidR="006D384B" w:rsidRPr="0052570A">
        <w:rPr>
          <w:rFonts w:ascii="Verdana" w:eastAsiaTheme="minorHAnsi" w:hAnsi="Verdana" w:cs="Verdana"/>
          <w:color w:val="000000"/>
          <w:sz w:val="20"/>
          <w:szCs w:val="20"/>
          <w:lang w:val="es-CR"/>
        </w:rPr>
        <w:t>uez Miguel Ángel Gálvez Aguilar</w:t>
      </w:r>
      <w:r w:rsidR="00D04443" w:rsidRPr="0052570A">
        <w:rPr>
          <w:rFonts w:ascii="Verdana" w:eastAsia="Verdana" w:hAnsi="Verdana" w:cs="Verdana"/>
          <w:sz w:val="20"/>
          <w:szCs w:val="20"/>
          <w:lang w:val="es-CR"/>
        </w:rPr>
        <w:t>.</w:t>
      </w:r>
      <w:r w:rsidR="00454150" w:rsidRPr="0052570A">
        <w:rPr>
          <w:rFonts w:ascii="Verdana" w:eastAsiaTheme="minorHAnsi" w:hAnsi="Verdana" w:cs="Verdana"/>
          <w:sz w:val="20"/>
          <w:szCs w:val="20"/>
          <w:lang w:val="es-CR"/>
        </w:rPr>
        <w:t xml:space="preserve"> </w:t>
      </w:r>
      <w:r w:rsidR="00E84CAA" w:rsidRPr="0052570A">
        <w:rPr>
          <w:rFonts w:ascii="Verdana" w:eastAsia="Verdana" w:hAnsi="Verdana" w:cs="Verdana"/>
          <w:sz w:val="20"/>
          <w:szCs w:val="20"/>
          <w:lang w:val="es-CR"/>
        </w:rPr>
        <w:t xml:space="preserve">En </w:t>
      </w:r>
      <w:r w:rsidR="00B27E79" w:rsidRPr="0052570A">
        <w:rPr>
          <w:rFonts w:ascii="Verdana" w:eastAsia="Verdana" w:hAnsi="Verdana" w:cs="Verdana"/>
          <w:sz w:val="20"/>
          <w:szCs w:val="20"/>
          <w:lang w:val="es-CR"/>
        </w:rPr>
        <w:t xml:space="preserve">cuanto al </w:t>
      </w:r>
      <w:r w:rsidR="00E84CAA" w:rsidRPr="0052570A">
        <w:rPr>
          <w:rFonts w:ascii="Verdana" w:eastAsia="Verdana" w:hAnsi="Verdana" w:cs="Verdana"/>
          <w:sz w:val="20"/>
          <w:szCs w:val="20"/>
          <w:lang w:val="es-CR"/>
        </w:rPr>
        <w:t xml:space="preserve">alegato del </w:t>
      </w:r>
      <w:r w:rsidR="007824C5" w:rsidRPr="0052570A">
        <w:rPr>
          <w:rFonts w:ascii="Verdana" w:eastAsia="Verdana" w:hAnsi="Verdana" w:cs="Verdana"/>
          <w:sz w:val="20"/>
          <w:szCs w:val="20"/>
          <w:lang w:val="es-CR"/>
        </w:rPr>
        <w:t xml:space="preserve">Estado </w:t>
      </w:r>
      <w:r w:rsidR="00CB62E6" w:rsidRPr="0052570A">
        <w:rPr>
          <w:rFonts w:ascii="Verdana" w:eastAsia="Verdana" w:hAnsi="Verdana" w:cs="Verdana"/>
          <w:sz w:val="20"/>
          <w:szCs w:val="20"/>
          <w:lang w:val="es-CR"/>
        </w:rPr>
        <w:t>relativo a</w:t>
      </w:r>
      <w:r w:rsidR="007824C5" w:rsidRPr="0052570A">
        <w:rPr>
          <w:rFonts w:ascii="Verdana" w:eastAsia="Verdana" w:hAnsi="Verdana" w:cs="Verdana"/>
          <w:sz w:val="20"/>
          <w:szCs w:val="20"/>
          <w:lang w:val="es-CR"/>
        </w:rPr>
        <w:t xml:space="preserve"> que</w:t>
      </w:r>
      <w:r w:rsidR="006A30A1" w:rsidRPr="0052570A">
        <w:rPr>
          <w:rFonts w:ascii="Verdana" w:eastAsiaTheme="minorHAnsi" w:hAnsi="Verdana" w:cs="Verdana"/>
          <w:sz w:val="20"/>
          <w:szCs w:val="20"/>
          <w:lang w:val="es-CR"/>
        </w:rPr>
        <w:t xml:space="preserve"> </w:t>
      </w:r>
      <w:r w:rsidR="005E5CFB" w:rsidRPr="0052570A">
        <w:rPr>
          <w:rFonts w:ascii="Verdana" w:eastAsiaTheme="minorHAnsi" w:hAnsi="Verdana" w:cs="Verdana"/>
          <w:sz w:val="20"/>
          <w:szCs w:val="20"/>
          <w:lang w:val="es-CR"/>
        </w:rPr>
        <w:t xml:space="preserve">el proceso de antejuicio </w:t>
      </w:r>
      <w:r w:rsidR="00C359B4" w:rsidRPr="0052570A">
        <w:rPr>
          <w:rFonts w:ascii="Verdana" w:eastAsiaTheme="minorHAnsi" w:hAnsi="Verdana" w:cs="Verdana"/>
          <w:sz w:val="20"/>
          <w:szCs w:val="20"/>
          <w:lang w:val="es-CR"/>
        </w:rPr>
        <w:t>iniciado al</w:t>
      </w:r>
      <w:r w:rsidR="005E5CFB" w:rsidRPr="0052570A">
        <w:rPr>
          <w:rFonts w:ascii="Verdana" w:eastAsiaTheme="minorHAnsi" w:hAnsi="Verdana" w:cs="Verdana"/>
          <w:sz w:val="20"/>
          <w:szCs w:val="20"/>
          <w:lang w:val="es-CR"/>
        </w:rPr>
        <w:t xml:space="preserve"> </w:t>
      </w:r>
      <w:r w:rsidR="00B27E79" w:rsidRPr="0052570A">
        <w:rPr>
          <w:rFonts w:ascii="Verdana" w:eastAsiaTheme="minorHAnsi" w:hAnsi="Verdana" w:cs="Verdana"/>
          <w:sz w:val="20"/>
          <w:szCs w:val="20"/>
          <w:lang w:val="es-CR"/>
        </w:rPr>
        <w:t>j</w:t>
      </w:r>
      <w:r w:rsidR="005E5CFB" w:rsidRPr="0052570A">
        <w:rPr>
          <w:rFonts w:ascii="Verdana" w:eastAsiaTheme="minorHAnsi" w:hAnsi="Verdana" w:cs="Verdana"/>
          <w:sz w:val="20"/>
          <w:szCs w:val="20"/>
          <w:lang w:val="es-CR"/>
        </w:rPr>
        <w:t>uez Gálvez</w:t>
      </w:r>
      <w:r w:rsidR="006F1A86" w:rsidRPr="0052570A">
        <w:rPr>
          <w:rFonts w:ascii="Verdana" w:eastAsiaTheme="minorHAnsi" w:hAnsi="Verdana" w:cs="Verdana"/>
          <w:sz w:val="20"/>
          <w:szCs w:val="20"/>
          <w:lang w:val="es-CR"/>
        </w:rPr>
        <w:t xml:space="preserve"> </w:t>
      </w:r>
      <w:r w:rsidR="00073665" w:rsidRPr="0052570A">
        <w:rPr>
          <w:rFonts w:ascii="Verdana" w:eastAsiaTheme="minorHAnsi" w:hAnsi="Verdana" w:cs="Verdana"/>
          <w:sz w:val="20"/>
          <w:szCs w:val="20"/>
          <w:lang w:val="es-CR"/>
        </w:rPr>
        <w:t>no guarda relación con el presente caso</w:t>
      </w:r>
      <w:r w:rsidR="00533FA4" w:rsidRPr="0052570A">
        <w:rPr>
          <w:rFonts w:ascii="Verdana" w:eastAsiaTheme="minorHAnsi" w:hAnsi="Verdana" w:cs="Verdana"/>
          <w:sz w:val="20"/>
          <w:szCs w:val="20"/>
          <w:lang w:val="es-CR"/>
        </w:rPr>
        <w:t xml:space="preserve"> </w:t>
      </w:r>
      <w:r w:rsidR="0052570A" w:rsidRPr="0052570A">
        <w:rPr>
          <w:rFonts w:ascii="Verdana" w:eastAsiaTheme="minorHAnsi" w:hAnsi="Verdana" w:cs="Verdana"/>
          <w:sz w:val="20"/>
          <w:szCs w:val="20"/>
          <w:lang w:val="es-CR"/>
        </w:rPr>
        <w:t>(</w:t>
      </w:r>
      <w:r w:rsidR="0052570A" w:rsidRPr="0052570A">
        <w:rPr>
          <w:rFonts w:ascii="Verdana" w:eastAsiaTheme="minorHAnsi" w:hAnsi="Verdana" w:cs="Verdana"/>
          <w:i/>
          <w:iCs/>
          <w:sz w:val="20"/>
          <w:szCs w:val="20"/>
          <w:lang w:val="es-CR"/>
        </w:rPr>
        <w:t>supra</w:t>
      </w:r>
      <w:r w:rsidR="0052570A" w:rsidRPr="0052570A">
        <w:rPr>
          <w:rFonts w:ascii="Verdana" w:eastAsiaTheme="minorHAnsi" w:hAnsi="Verdana" w:cs="Verdana"/>
          <w:sz w:val="20"/>
          <w:szCs w:val="20"/>
          <w:lang w:val="es-CR"/>
        </w:rPr>
        <w:t xml:space="preserve"> Considerando</w:t>
      </w:r>
      <w:r w:rsidR="007A5628">
        <w:rPr>
          <w:rFonts w:ascii="Verdana" w:eastAsiaTheme="minorHAnsi" w:hAnsi="Verdana" w:cs="Verdana"/>
          <w:sz w:val="20"/>
          <w:szCs w:val="20"/>
          <w:lang w:val="es-CR"/>
        </w:rPr>
        <w:t xml:space="preserve"> </w:t>
      </w:r>
      <w:r w:rsidR="0052570A" w:rsidRPr="0052570A">
        <w:rPr>
          <w:rFonts w:ascii="Verdana" w:eastAsiaTheme="minorHAnsi" w:hAnsi="Verdana" w:cs="Verdana"/>
          <w:sz w:val="20"/>
          <w:szCs w:val="20"/>
          <w:lang w:val="es-CR"/>
        </w:rPr>
        <w:t xml:space="preserve">15), </w:t>
      </w:r>
      <w:r w:rsidR="00B27E79" w:rsidRPr="0052570A">
        <w:rPr>
          <w:rFonts w:ascii="Verdana" w:eastAsiaTheme="minorHAnsi" w:hAnsi="Verdana" w:cs="Verdana"/>
          <w:sz w:val="20"/>
          <w:szCs w:val="20"/>
          <w:lang w:val="es-CR"/>
        </w:rPr>
        <w:t>esta Presidencia</w:t>
      </w:r>
      <w:r w:rsidR="006E3AAF" w:rsidRPr="0052570A">
        <w:rPr>
          <w:rFonts w:ascii="Verdana" w:eastAsiaTheme="minorHAnsi" w:hAnsi="Verdana" w:cs="Verdana"/>
          <w:sz w:val="20"/>
          <w:szCs w:val="20"/>
          <w:lang w:val="es-CR"/>
        </w:rPr>
        <w:t xml:space="preserve"> advierte que </w:t>
      </w:r>
      <w:r w:rsidR="00223AB7" w:rsidRPr="0052570A">
        <w:rPr>
          <w:rFonts w:ascii="Verdana" w:eastAsiaTheme="minorHAnsi" w:hAnsi="Verdana" w:cs="Verdana"/>
          <w:sz w:val="20"/>
          <w:szCs w:val="20"/>
          <w:lang w:val="es-CR"/>
        </w:rPr>
        <w:t xml:space="preserve">la querella que generó el procedimiento de antejuicio, al que dio trámite la Corte Suprema, fue formulada en términos muy amplios y </w:t>
      </w:r>
      <w:r w:rsidR="006E3AAF" w:rsidRPr="0052570A">
        <w:rPr>
          <w:rFonts w:ascii="Verdana" w:eastAsiaTheme="minorHAnsi" w:hAnsi="Verdana" w:cs="Verdana"/>
          <w:sz w:val="20"/>
          <w:szCs w:val="20"/>
          <w:lang w:val="es-CR"/>
        </w:rPr>
        <w:t xml:space="preserve">de </w:t>
      </w:r>
      <w:r w:rsidR="00956C53" w:rsidRPr="0052570A">
        <w:rPr>
          <w:rFonts w:ascii="Verdana" w:eastAsiaTheme="minorHAnsi" w:hAnsi="Verdana" w:cs="Verdana"/>
          <w:sz w:val="20"/>
          <w:szCs w:val="20"/>
          <w:lang w:val="es-CR"/>
        </w:rPr>
        <w:t xml:space="preserve">continuar </w:t>
      </w:r>
      <w:r w:rsidR="006E3AAF" w:rsidRPr="0052570A">
        <w:rPr>
          <w:rFonts w:ascii="Verdana" w:eastAsiaTheme="minorHAnsi" w:hAnsi="Verdana" w:cs="Verdana"/>
          <w:sz w:val="20"/>
          <w:szCs w:val="20"/>
          <w:lang w:val="es-CR"/>
        </w:rPr>
        <w:t>avanza</w:t>
      </w:r>
      <w:r w:rsidR="00956C53" w:rsidRPr="0052570A">
        <w:rPr>
          <w:rFonts w:ascii="Verdana" w:eastAsiaTheme="minorHAnsi" w:hAnsi="Verdana" w:cs="Verdana"/>
          <w:sz w:val="20"/>
          <w:szCs w:val="20"/>
          <w:lang w:val="es-CR"/>
        </w:rPr>
        <w:t xml:space="preserve">ndo ese </w:t>
      </w:r>
      <w:r w:rsidR="00956C53" w:rsidRPr="0052570A">
        <w:rPr>
          <w:rFonts w:ascii="Verdana" w:eastAsiaTheme="minorHAnsi" w:hAnsi="Verdana" w:cs="Verdana"/>
          <w:sz w:val="20"/>
          <w:szCs w:val="20"/>
          <w:lang w:val="es-CR"/>
        </w:rPr>
        <w:lastRenderedPageBreak/>
        <w:t>procedimiento</w:t>
      </w:r>
      <w:r w:rsidR="006E3AAF" w:rsidRPr="0052570A">
        <w:rPr>
          <w:rFonts w:ascii="Verdana" w:eastAsiaTheme="minorHAnsi" w:hAnsi="Verdana" w:cs="Verdana"/>
          <w:sz w:val="20"/>
          <w:szCs w:val="20"/>
          <w:lang w:val="es-CR"/>
        </w:rPr>
        <w:t xml:space="preserve"> puede resultar </w:t>
      </w:r>
      <w:r w:rsidR="006C77E0" w:rsidRPr="0052570A">
        <w:rPr>
          <w:rFonts w:ascii="Verdana" w:eastAsiaTheme="minorHAnsi" w:hAnsi="Verdana" w:cs="Verdana"/>
          <w:sz w:val="20"/>
          <w:szCs w:val="20"/>
          <w:lang w:val="es-CR"/>
        </w:rPr>
        <w:t xml:space="preserve">en </w:t>
      </w:r>
      <w:r w:rsidR="006E3AAF" w:rsidRPr="0052570A">
        <w:rPr>
          <w:rFonts w:ascii="Verdana" w:eastAsiaTheme="minorHAnsi" w:hAnsi="Verdana" w:cs="Verdana"/>
          <w:sz w:val="20"/>
          <w:szCs w:val="20"/>
          <w:lang w:val="es-CR"/>
        </w:rPr>
        <w:t>una separación de</w:t>
      </w:r>
      <w:r w:rsidR="006C77E0" w:rsidRPr="0052570A">
        <w:rPr>
          <w:rFonts w:ascii="Verdana" w:eastAsiaTheme="minorHAnsi" w:hAnsi="Verdana" w:cs="Verdana"/>
          <w:sz w:val="20"/>
          <w:szCs w:val="20"/>
          <w:lang w:val="es-CR"/>
        </w:rPr>
        <w:t xml:space="preserve"> dicho juez </w:t>
      </w:r>
      <w:r w:rsidR="006E3AAF" w:rsidRPr="0052570A">
        <w:rPr>
          <w:rFonts w:ascii="Verdana" w:eastAsiaTheme="minorHAnsi" w:hAnsi="Verdana" w:cs="Verdana"/>
          <w:sz w:val="20"/>
          <w:szCs w:val="20"/>
          <w:lang w:val="es-CR"/>
        </w:rPr>
        <w:t xml:space="preserve">del </w:t>
      </w:r>
      <w:r w:rsidR="006C77E0" w:rsidRPr="0052570A">
        <w:rPr>
          <w:rFonts w:ascii="Verdana" w:eastAsiaTheme="minorHAnsi" w:hAnsi="Verdana" w:cs="Verdana"/>
          <w:sz w:val="20"/>
          <w:szCs w:val="20"/>
          <w:lang w:val="es-CR"/>
        </w:rPr>
        <w:t>p</w:t>
      </w:r>
      <w:r w:rsidR="006E3AAF" w:rsidRPr="0052570A">
        <w:rPr>
          <w:rFonts w:ascii="Verdana" w:eastAsiaTheme="minorHAnsi" w:hAnsi="Verdana" w:cs="Verdana"/>
          <w:sz w:val="20"/>
          <w:szCs w:val="20"/>
          <w:lang w:val="es-CR"/>
        </w:rPr>
        <w:t>roceso vinculado al presente caso.</w:t>
      </w:r>
    </w:p>
    <w:p w14:paraId="7D713AF3" w14:textId="32A8020D" w:rsidR="00D04443" w:rsidRPr="0011284E" w:rsidRDefault="007D59A0" w:rsidP="00D04443">
      <w:pPr>
        <w:numPr>
          <w:ilvl w:val="0"/>
          <w:numId w:val="2"/>
        </w:numPr>
        <w:spacing w:before="120" w:after="120"/>
        <w:ind w:left="0" w:firstLine="0"/>
        <w:jc w:val="both"/>
        <w:rPr>
          <w:rFonts w:ascii="Verdana" w:hAnsi="Verdana"/>
          <w:sz w:val="20"/>
          <w:szCs w:val="20"/>
          <w:lang w:val="es-CR"/>
        </w:rPr>
      </w:pPr>
      <w:r w:rsidRPr="0011284E">
        <w:rPr>
          <w:rFonts w:ascii="Verdana" w:hAnsi="Verdana"/>
          <w:spacing w:val="-4"/>
          <w:sz w:val="20"/>
          <w:szCs w:val="20"/>
          <w:lang w:val="es-CR"/>
        </w:rPr>
        <w:t xml:space="preserve">El </w:t>
      </w:r>
      <w:proofErr w:type="gramStart"/>
      <w:r w:rsidRPr="0011284E">
        <w:rPr>
          <w:rFonts w:ascii="Verdana" w:hAnsi="Verdana"/>
          <w:spacing w:val="-4"/>
          <w:sz w:val="20"/>
          <w:szCs w:val="20"/>
          <w:lang w:val="es-CR"/>
        </w:rPr>
        <w:t>Presidente</w:t>
      </w:r>
      <w:proofErr w:type="gramEnd"/>
      <w:r w:rsidR="00D04443" w:rsidRPr="0011284E">
        <w:rPr>
          <w:rFonts w:ascii="Verdana" w:hAnsi="Verdana"/>
          <w:spacing w:val="-4"/>
          <w:sz w:val="20"/>
          <w:szCs w:val="20"/>
          <w:lang w:val="es-CR"/>
        </w:rPr>
        <w:t xml:space="preserve"> pasará a examinar los demás requisitos convencionales y reglamentarios para la adopción de medidas provisionales. La Corte ha señalado que las tres condiciones exigidas por el artículo 63.2 de la Convención deben concurrir en toda situación en la que se soliciten para que se pueda disponer de medidas provisionales</w:t>
      </w:r>
      <w:r w:rsidR="00D04443" w:rsidRPr="0011284E">
        <w:rPr>
          <w:rStyle w:val="Refdenotaalpie"/>
          <w:spacing w:val="-4"/>
          <w:sz w:val="20"/>
          <w:szCs w:val="20"/>
          <w:lang w:val="es-CR"/>
        </w:rPr>
        <w:footnoteReference w:id="21"/>
      </w:r>
      <w:r w:rsidR="00D04443" w:rsidRPr="0011284E">
        <w:rPr>
          <w:rFonts w:ascii="Verdana" w:hAnsi="Verdana"/>
          <w:spacing w:val="-4"/>
          <w:sz w:val="20"/>
          <w:szCs w:val="20"/>
          <w:lang w:val="es-CR"/>
        </w:rPr>
        <w:t xml:space="preserve">. Conforme a la Convención y al Reglamento, la carga procesal de demostrar </w:t>
      </w:r>
      <w:r w:rsidR="00D04443" w:rsidRPr="0011284E">
        <w:rPr>
          <w:rFonts w:ascii="Verdana" w:hAnsi="Verdana"/>
          <w:i/>
          <w:spacing w:val="-4"/>
          <w:sz w:val="20"/>
          <w:szCs w:val="20"/>
          <w:lang w:val="es-CR"/>
        </w:rPr>
        <w:t>prima facie</w:t>
      </w:r>
      <w:r w:rsidR="00D04443" w:rsidRPr="0011284E">
        <w:rPr>
          <w:rFonts w:ascii="Verdana" w:hAnsi="Verdana"/>
          <w:spacing w:val="-4"/>
          <w:sz w:val="20"/>
          <w:szCs w:val="20"/>
          <w:lang w:val="es-CR"/>
        </w:rPr>
        <w:t xml:space="preserve"> dichos requisitos recae en el solicitante</w:t>
      </w:r>
      <w:r w:rsidR="00D04443" w:rsidRPr="0011284E">
        <w:rPr>
          <w:rFonts w:ascii="Verdana" w:hAnsi="Verdana"/>
          <w:spacing w:val="-4"/>
          <w:sz w:val="20"/>
          <w:szCs w:val="20"/>
          <w:vertAlign w:val="superscript"/>
        </w:rPr>
        <w:footnoteReference w:id="22"/>
      </w:r>
      <w:r w:rsidR="00D04443" w:rsidRPr="0011284E">
        <w:rPr>
          <w:rFonts w:ascii="Verdana" w:hAnsi="Verdana"/>
          <w:spacing w:val="-4"/>
          <w:sz w:val="20"/>
          <w:szCs w:val="20"/>
          <w:lang w:val="es-CR"/>
        </w:rPr>
        <w:t xml:space="preserve">.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w:t>
      </w:r>
      <w:r w:rsidR="00DC2B88" w:rsidRPr="0011284E">
        <w:rPr>
          <w:rFonts w:ascii="Verdana" w:hAnsi="Verdana"/>
          <w:spacing w:val="-4"/>
          <w:sz w:val="20"/>
          <w:szCs w:val="20"/>
          <w:lang w:val="es-CR"/>
        </w:rPr>
        <w:t>Acerca del</w:t>
      </w:r>
      <w:r w:rsidR="00D04443" w:rsidRPr="0011284E">
        <w:rPr>
          <w:rFonts w:ascii="Verdana" w:hAnsi="Verdana"/>
          <w:spacing w:val="-4"/>
          <w:sz w:val="20"/>
          <w:szCs w:val="20"/>
          <w:lang w:val="es-CR"/>
        </w:rPr>
        <w:t xml:space="preserve"> daño, debe existir una probabilidad razonable de que se materialice y no debe recaer en bienes o intereses jurídicos que puedan ser reparables</w:t>
      </w:r>
      <w:r w:rsidR="00D04443" w:rsidRPr="0011284E">
        <w:rPr>
          <w:rFonts w:ascii="Verdana" w:hAnsi="Verdana"/>
          <w:spacing w:val="-4"/>
          <w:sz w:val="20"/>
          <w:szCs w:val="20"/>
          <w:vertAlign w:val="superscript"/>
        </w:rPr>
        <w:footnoteReference w:id="23"/>
      </w:r>
      <w:r w:rsidR="00D04443" w:rsidRPr="0011284E">
        <w:rPr>
          <w:rFonts w:ascii="Verdana" w:hAnsi="Verdana"/>
          <w:spacing w:val="-4"/>
          <w:sz w:val="20"/>
          <w:szCs w:val="20"/>
          <w:lang w:val="es-CR"/>
        </w:rPr>
        <w:t>.</w:t>
      </w:r>
    </w:p>
    <w:p w14:paraId="0E75A1DF" w14:textId="74EF9E65" w:rsidR="007F6EE9" w:rsidRPr="000E45A4" w:rsidRDefault="002B221F" w:rsidP="007E1ECC">
      <w:pPr>
        <w:numPr>
          <w:ilvl w:val="0"/>
          <w:numId w:val="2"/>
        </w:numPr>
        <w:spacing w:before="120" w:after="120"/>
        <w:ind w:left="0" w:firstLine="0"/>
        <w:jc w:val="both"/>
        <w:rPr>
          <w:rFonts w:ascii="Verdana" w:eastAsia="Verdana" w:hAnsi="Verdana" w:cs="Verdana"/>
          <w:sz w:val="20"/>
          <w:szCs w:val="20"/>
          <w:lang w:val="es-CR"/>
        </w:rPr>
      </w:pPr>
      <w:r w:rsidRPr="000E45A4">
        <w:rPr>
          <w:rFonts w:ascii="Verdana" w:eastAsia="Verdana" w:hAnsi="Verdana" w:cs="Verdana"/>
          <w:sz w:val="20"/>
          <w:szCs w:val="20"/>
          <w:lang w:val="es-ES"/>
        </w:rPr>
        <w:t xml:space="preserve">El </w:t>
      </w:r>
      <w:proofErr w:type="gramStart"/>
      <w:r w:rsidRPr="000E45A4">
        <w:rPr>
          <w:rFonts w:ascii="Verdana" w:eastAsia="Verdana" w:hAnsi="Verdana" w:cs="Verdana"/>
          <w:sz w:val="20"/>
          <w:szCs w:val="20"/>
          <w:lang w:val="es-ES"/>
        </w:rPr>
        <w:t>Presidente</w:t>
      </w:r>
      <w:proofErr w:type="gramEnd"/>
      <w:r w:rsidR="00D04443" w:rsidRPr="000E45A4">
        <w:rPr>
          <w:rFonts w:ascii="Verdana" w:eastAsia="Verdana" w:hAnsi="Verdana" w:cs="Verdana"/>
          <w:sz w:val="20"/>
          <w:szCs w:val="20"/>
          <w:lang w:val="es-CR"/>
        </w:rPr>
        <w:t xml:space="preserve"> </w:t>
      </w:r>
      <w:r w:rsidR="00485C50" w:rsidRPr="000E45A4">
        <w:rPr>
          <w:rFonts w:ascii="Verdana" w:eastAsia="Verdana" w:hAnsi="Verdana" w:cs="Verdana"/>
          <w:sz w:val="20"/>
          <w:szCs w:val="20"/>
          <w:lang w:val="es-CR"/>
        </w:rPr>
        <w:t>verifica</w:t>
      </w:r>
      <w:r w:rsidR="00D04443" w:rsidRPr="000E45A4">
        <w:rPr>
          <w:rFonts w:ascii="Verdana" w:eastAsia="Verdana" w:hAnsi="Verdana" w:cs="Verdana"/>
          <w:sz w:val="20"/>
          <w:szCs w:val="20"/>
          <w:lang w:val="es-CR"/>
        </w:rPr>
        <w:t xml:space="preserve"> </w:t>
      </w:r>
      <w:bookmarkStart w:id="12" w:name="_Hlk108115111"/>
      <w:r w:rsidR="00D04443" w:rsidRPr="000E45A4">
        <w:rPr>
          <w:rFonts w:ascii="Verdana" w:eastAsia="Verdana" w:hAnsi="Verdana" w:cs="Verdana"/>
          <w:sz w:val="20"/>
          <w:szCs w:val="20"/>
          <w:lang w:val="es-CR"/>
        </w:rPr>
        <w:t xml:space="preserve">la existencia de una situación de </w:t>
      </w:r>
      <w:r w:rsidR="004525C7" w:rsidRPr="000E45A4">
        <w:rPr>
          <w:rFonts w:ascii="Verdana" w:eastAsia="Verdana" w:hAnsi="Verdana" w:cs="Verdana"/>
          <w:sz w:val="20"/>
          <w:szCs w:val="20"/>
          <w:lang w:val="es-CR"/>
        </w:rPr>
        <w:t>hostigamiento, amenazas, intimidación, seguimientos y vigilancia en contra del</w:t>
      </w:r>
      <w:r w:rsidR="004525C7" w:rsidRPr="000E45A4">
        <w:rPr>
          <w:rFonts w:ascii="Verdana" w:hAnsi="Verdana"/>
          <w:sz w:val="20"/>
          <w:szCs w:val="20"/>
          <w:lang w:val="es-CR"/>
        </w:rPr>
        <w:t xml:space="preserve"> </w:t>
      </w:r>
      <w:r w:rsidR="00757818" w:rsidRPr="000E45A4">
        <w:rPr>
          <w:rFonts w:ascii="Verdana" w:eastAsiaTheme="minorHAnsi" w:hAnsi="Verdana" w:cs="Verdana"/>
          <w:color w:val="000000"/>
          <w:sz w:val="20"/>
          <w:szCs w:val="20"/>
          <w:lang w:val="es-CR"/>
        </w:rPr>
        <w:t>j</w:t>
      </w:r>
      <w:r w:rsidR="004525C7" w:rsidRPr="000E45A4">
        <w:rPr>
          <w:rFonts w:ascii="Verdana" w:eastAsiaTheme="minorHAnsi" w:hAnsi="Verdana" w:cs="Verdana"/>
          <w:color w:val="000000"/>
          <w:sz w:val="20"/>
          <w:szCs w:val="20"/>
          <w:lang w:val="es-CR"/>
        </w:rPr>
        <w:t>uez Miguel Ángel Gálvez Aguilar</w:t>
      </w:r>
      <w:r w:rsidR="00DC2B88" w:rsidRPr="000E45A4">
        <w:rPr>
          <w:rFonts w:ascii="Verdana" w:eastAsiaTheme="minorHAnsi" w:hAnsi="Verdana" w:cs="Verdana"/>
          <w:color w:val="000000"/>
          <w:sz w:val="20"/>
          <w:szCs w:val="20"/>
          <w:lang w:val="es-CR"/>
        </w:rPr>
        <w:t xml:space="preserve"> </w:t>
      </w:r>
      <w:r w:rsidR="00485C50" w:rsidRPr="000E45A4">
        <w:rPr>
          <w:rFonts w:ascii="Verdana" w:eastAsia="Verdana" w:hAnsi="Verdana" w:cs="Verdana"/>
          <w:sz w:val="20"/>
          <w:szCs w:val="20"/>
          <w:lang w:val="es-CR"/>
        </w:rPr>
        <w:t>estando en vigencia medidas cautelares dictadas por la Comisión Interamericana y lo señalado por esta Corte respecto a los operadores judiciales que conocen el presente caso</w:t>
      </w:r>
      <w:r w:rsidR="00485C50" w:rsidRPr="000E45A4">
        <w:rPr>
          <w:rFonts w:ascii="Verdana" w:hAnsi="Verdana"/>
          <w:sz w:val="20"/>
          <w:szCs w:val="20"/>
        </w:rPr>
        <w:t>.</w:t>
      </w:r>
      <w:r w:rsidR="001C2001" w:rsidRPr="000E45A4">
        <w:rPr>
          <w:rFonts w:ascii="Verdana" w:hAnsi="Verdana"/>
          <w:sz w:val="20"/>
          <w:szCs w:val="20"/>
        </w:rPr>
        <w:t xml:space="preserve"> </w:t>
      </w:r>
      <w:bookmarkEnd w:id="12"/>
      <w:r w:rsidR="00485C50" w:rsidRPr="000E45A4">
        <w:rPr>
          <w:rFonts w:ascii="Verdana" w:hAnsi="Verdana"/>
          <w:sz w:val="20"/>
          <w:szCs w:val="20"/>
          <w:lang w:val="es-CR"/>
        </w:rPr>
        <w:t xml:space="preserve">El </w:t>
      </w:r>
      <w:proofErr w:type="gramStart"/>
      <w:r w:rsidR="00485C50" w:rsidRPr="000E45A4">
        <w:rPr>
          <w:rFonts w:ascii="Verdana" w:hAnsi="Verdana"/>
          <w:sz w:val="20"/>
          <w:szCs w:val="20"/>
          <w:lang w:val="es-CR"/>
        </w:rPr>
        <w:t>Presidente</w:t>
      </w:r>
      <w:proofErr w:type="gramEnd"/>
      <w:r w:rsidR="00485C50" w:rsidRPr="000E45A4">
        <w:rPr>
          <w:rFonts w:ascii="Verdana" w:hAnsi="Verdana"/>
          <w:sz w:val="20"/>
          <w:szCs w:val="20"/>
          <w:lang w:val="es-CR"/>
        </w:rPr>
        <w:t xml:space="preserve"> advierte la continuidad </w:t>
      </w:r>
      <w:r w:rsidR="00D04443" w:rsidRPr="000E45A4">
        <w:rPr>
          <w:rFonts w:ascii="Verdana" w:hAnsi="Verdana"/>
          <w:sz w:val="20"/>
          <w:szCs w:val="20"/>
          <w:lang w:val="es-CR"/>
        </w:rPr>
        <w:t xml:space="preserve">de </w:t>
      </w:r>
      <w:r w:rsidR="00D04443" w:rsidRPr="000E45A4">
        <w:rPr>
          <w:rFonts w:ascii="Verdana" w:eastAsia="Verdana" w:hAnsi="Verdana" w:cs="Verdana"/>
          <w:sz w:val="20"/>
          <w:szCs w:val="20"/>
          <w:lang w:val="es-CR"/>
        </w:rPr>
        <w:t>factores</w:t>
      </w:r>
      <w:r w:rsidR="00D04443" w:rsidRPr="000E45A4">
        <w:rPr>
          <w:rFonts w:ascii="Verdana" w:hAnsi="Verdana"/>
          <w:sz w:val="20"/>
          <w:szCs w:val="20"/>
        </w:rPr>
        <w:t xml:space="preserve"> que denotan la permanencia del riesgo en fechas recientes, tales como</w:t>
      </w:r>
      <w:r w:rsidR="00D04443" w:rsidRPr="000E45A4">
        <w:rPr>
          <w:rFonts w:ascii="Verdana" w:eastAsia="Verdana" w:hAnsi="Verdana" w:cs="Verdana"/>
          <w:sz w:val="20"/>
          <w:szCs w:val="20"/>
          <w:lang w:val="es-CR"/>
        </w:rPr>
        <w:t xml:space="preserve"> las publicaciones </w:t>
      </w:r>
      <w:r w:rsidR="00626306" w:rsidRPr="000E45A4">
        <w:rPr>
          <w:rFonts w:ascii="Verdana" w:eastAsia="Verdana" w:hAnsi="Verdana" w:cs="Verdana"/>
          <w:sz w:val="20"/>
          <w:szCs w:val="20"/>
          <w:lang w:val="es-CR"/>
        </w:rPr>
        <w:t xml:space="preserve">amenazantes </w:t>
      </w:r>
      <w:r w:rsidR="00D04443" w:rsidRPr="000E45A4">
        <w:rPr>
          <w:rFonts w:ascii="Verdana" w:hAnsi="Verdana" w:cs="Arial"/>
          <w:iCs/>
          <w:sz w:val="20"/>
          <w:szCs w:val="20"/>
          <w:lang w:val="es-CR"/>
        </w:rPr>
        <w:t>en redes sociales</w:t>
      </w:r>
      <w:r w:rsidR="00D04443" w:rsidRPr="000E45A4">
        <w:rPr>
          <w:rFonts w:ascii="Verdana" w:eastAsia="Verdana" w:hAnsi="Verdana" w:cs="Verdana"/>
          <w:sz w:val="20"/>
          <w:szCs w:val="20"/>
          <w:lang w:val="es-CR"/>
        </w:rPr>
        <w:t xml:space="preserve"> que evidencian la persistencia de actos de</w:t>
      </w:r>
      <w:r w:rsidR="00D04443" w:rsidRPr="000E45A4">
        <w:rPr>
          <w:rFonts w:ascii="Verdana" w:hAnsi="Verdana"/>
          <w:sz w:val="20"/>
          <w:szCs w:val="20"/>
          <w:lang w:val="es-CR"/>
        </w:rPr>
        <w:t xml:space="preserve"> </w:t>
      </w:r>
      <w:r w:rsidR="00626306" w:rsidRPr="000E45A4">
        <w:rPr>
          <w:rFonts w:ascii="Verdana" w:hAnsi="Verdana"/>
          <w:sz w:val="20"/>
          <w:szCs w:val="20"/>
          <w:lang w:val="es-CR"/>
        </w:rPr>
        <w:t xml:space="preserve">intimidación y </w:t>
      </w:r>
      <w:r w:rsidR="00D04443" w:rsidRPr="000E45A4">
        <w:rPr>
          <w:rFonts w:ascii="Verdana" w:eastAsia="Verdana" w:hAnsi="Verdana" w:cs="Verdana"/>
          <w:sz w:val="20"/>
          <w:szCs w:val="20"/>
          <w:lang w:val="es-CR"/>
        </w:rPr>
        <w:t xml:space="preserve">hostigamiento, junto con las denuncias </w:t>
      </w:r>
      <w:r w:rsidR="00757818" w:rsidRPr="000E45A4">
        <w:rPr>
          <w:rFonts w:ascii="Verdana" w:eastAsia="Verdana" w:hAnsi="Verdana" w:cs="Verdana"/>
          <w:sz w:val="20"/>
          <w:szCs w:val="20"/>
          <w:lang w:val="es-CR"/>
        </w:rPr>
        <w:t xml:space="preserve">penales </w:t>
      </w:r>
      <w:r w:rsidR="007E045E" w:rsidRPr="000E45A4">
        <w:rPr>
          <w:rFonts w:ascii="Verdana" w:eastAsia="Verdana" w:hAnsi="Verdana" w:cs="Verdana"/>
          <w:sz w:val="20"/>
          <w:szCs w:val="20"/>
          <w:lang w:val="es-CR"/>
        </w:rPr>
        <w:t xml:space="preserve">y </w:t>
      </w:r>
      <w:r w:rsidR="00757818" w:rsidRPr="000E45A4">
        <w:rPr>
          <w:rFonts w:ascii="Verdana" w:eastAsia="Verdana" w:hAnsi="Verdana" w:cs="Verdana"/>
          <w:sz w:val="20"/>
          <w:szCs w:val="20"/>
          <w:lang w:val="es-CR"/>
        </w:rPr>
        <w:t xml:space="preserve">la admisibilidad del </w:t>
      </w:r>
      <w:r w:rsidR="007E045E" w:rsidRPr="000E45A4">
        <w:rPr>
          <w:rFonts w:ascii="Verdana" w:eastAsia="Verdana" w:hAnsi="Verdana" w:cs="Verdana"/>
          <w:sz w:val="20"/>
          <w:szCs w:val="20"/>
          <w:lang w:val="es-CR"/>
        </w:rPr>
        <w:t>antejuicio</w:t>
      </w:r>
      <w:r w:rsidR="00D04443" w:rsidRPr="000E45A4">
        <w:rPr>
          <w:rFonts w:ascii="Verdana" w:eastAsia="Verdana" w:hAnsi="Verdana" w:cs="Verdana"/>
          <w:sz w:val="20"/>
          <w:szCs w:val="20"/>
          <w:lang w:val="es-CR"/>
        </w:rPr>
        <w:t xml:space="preserve"> </w:t>
      </w:r>
      <w:r w:rsidR="007E045E" w:rsidRPr="000E45A4">
        <w:rPr>
          <w:rFonts w:ascii="Verdana" w:eastAsia="Verdana" w:hAnsi="Verdana" w:cs="Verdana"/>
          <w:sz w:val="20"/>
          <w:szCs w:val="20"/>
          <w:lang w:val="es-CR"/>
        </w:rPr>
        <w:t>en su contra</w:t>
      </w:r>
      <w:r w:rsidR="0052570A" w:rsidRPr="000E45A4">
        <w:rPr>
          <w:rFonts w:ascii="Verdana" w:eastAsia="Verdana" w:hAnsi="Verdana" w:cs="Verdana"/>
          <w:sz w:val="20"/>
          <w:szCs w:val="20"/>
          <w:lang w:val="es-CR"/>
        </w:rPr>
        <w:t>.</w:t>
      </w:r>
    </w:p>
    <w:p w14:paraId="2F8E9350" w14:textId="47B91478" w:rsidR="007F6EE9" w:rsidRPr="000E45A4" w:rsidRDefault="007F6EE9" w:rsidP="007F6EE9">
      <w:pPr>
        <w:numPr>
          <w:ilvl w:val="0"/>
          <w:numId w:val="2"/>
        </w:numPr>
        <w:spacing w:before="120" w:after="120"/>
        <w:ind w:left="0" w:firstLine="0"/>
        <w:jc w:val="both"/>
        <w:rPr>
          <w:rFonts w:ascii="Verdana" w:hAnsi="Verdana"/>
          <w:sz w:val="20"/>
          <w:szCs w:val="20"/>
          <w:lang w:val="es-CR"/>
        </w:rPr>
      </w:pPr>
      <w:r w:rsidRPr="000E45A4">
        <w:rPr>
          <w:rFonts w:ascii="Verdana" w:eastAsia="Verdana" w:hAnsi="Verdana" w:cs="Verdana"/>
          <w:sz w:val="20"/>
          <w:szCs w:val="20"/>
          <w:lang w:val="es-CR"/>
        </w:rPr>
        <w:t xml:space="preserve">El </w:t>
      </w:r>
      <w:proofErr w:type="gramStart"/>
      <w:r w:rsidRPr="000E45A4">
        <w:rPr>
          <w:rFonts w:ascii="Verdana" w:eastAsia="Verdana" w:hAnsi="Verdana" w:cs="Verdana"/>
          <w:sz w:val="20"/>
          <w:szCs w:val="20"/>
          <w:lang w:val="es-CR"/>
        </w:rPr>
        <w:t>Presidente</w:t>
      </w:r>
      <w:proofErr w:type="gramEnd"/>
      <w:r w:rsidRPr="000E45A4">
        <w:rPr>
          <w:rFonts w:ascii="Verdana" w:eastAsia="Verdana" w:hAnsi="Verdana" w:cs="Verdana"/>
          <w:sz w:val="20"/>
          <w:szCs w:val="20"/>
          <w:lang w:val="es-CR"/>
        </w:rPr>
        <w:t xml:space="preserve"> advierte que </w:t>
      </w:r>
      <w:r w:rsidRPr="000E45A4">
        <w:rPr>
          <w:rFonts w:ascii="Verdana" w:hAnsi="Verdana"/>
          <w:sz w:val="20"/>
          <w:szCs w:val="20"/>
        </w:rPr>
        <w:t xml:space="preserve">los actos de </w:t>
      </w:r>
      <w:r w:rsidRPr="000E45A4">
        <w:rPr>
          <w:rFonts w:ascii="Verdana" w:eastAsia="Verdana" w:hAnsi="Verdana" w:cs="Verdana"/>
          <w:sz w:val="20"/>
          <w:szCs w:val="20"/>
          <w:lang w:val="es-CR"/>
        </w:rPr>
        <w:t>hostigamiento, amenazas, intimidación, seguimientos y vigilancia</w:t>
      </w:r>
      <w:r w:rsidRPr="000E45A4">
        <w:rPr>
          <w:rFonts w:ascii="Verdana" w:hAnsi="Verdana"/>
          <w:sz w:val="20"/>
          <w:szCs w:val="20"/>
          <w:lang w:val="es-CR"/>
        </w:rPr>
        <w:t xml:space="preserve"> sufridos </w:t>
      </w:r>
      <w:r w:rsidRPr="000E45A4">
        <w:rPr>
          <w:rFonts w:ascii="Verdana" w:hAnsi="Verdana"/>
          <w:sz w:val="20"/>
          <w:szCs w:val="20"/>
        </w:rPr>
        <w:t xml:space="preserve">por </w:t>
      </w:r>
      <w:r w:rsidRPr="000E45A4">
        <w:rPr>
          <w:rFonts w:ascii="Verdana" w:eastAsiaTheme="minorHAnsi" w:hAnsi="Verdana" w:cs="Verdana"/>
          <w:sz w:val="20"/>
          <w:szCs w:val="20"/>
          <w:lang w:val="es-CR"/>
        </w:rPr>
        <w:t xml:space="preserve">el </w:t>
      </w:r>
      <w:r w:rsidR="00205B16" w:rsidRPr="000E45A4">
        <w:rPr>
          <w:rFonts w:ascii="Verdana" w:eastAsiaTheme="minorHAnsi" w:hAnsi="Verdana" w:cs="Verdana"/>
          <w:sz w:val="20"/>
          <w:szCs w:val="20"/>
          <w:lang w:val="es-CR"/>
        </w:rPr>
        <w:t>j</w:t>
      </w:r>
      <w:r w:rsidRPr="000E45A4">
        <w:rPr>
          <w:rFonts w:ascii="Verdana" w:eastAsiaTheme="minorHAnsi" w:hAnsi="Verdana" w:cs="Verdana"/>
          <w:sz w:val="20"/>
          <w:szCs w:val="20"/>
          <w:lang w:val="es-CR"/>
        </w:rPr>
        <w:t xml:space="preserve">uez Gálvez, </w:t>
      </w:r>
      <w:r w:rsidRPr="000E45A4">
        <w:rPr>
          <w:rFonts w:ascii="Verdana" w:hAnsi="Verdana"/>
          <w:sz w:val="20"/>
          <w:szCs w:val="20"/>
        </w:rPr>
        <w:t xml:space="preserve">así como los </w:t>
      </w:r>
      <w:r w:rsidRPr="000E45A4">
        <w:rPr>
          <w:rFonts w:ascii="Verdana" w:eastAsia="Verdana" w:hAnsi="Verdana" w:cs="Verdana"/>
          <w:sz w:val="20"/>
          <w:szCs w:val="20"/>
          <w:lang w:val="es-CR"/>
        </w:rPr>
        <w:t>factores</w:t>
      </w:r>
      <w:r w:rsidRPr="000E45A4">
        <w:rPr>
          <w:rFonts w:ascii="Verdana" w:hAnsi="Verdana"/>
          <w:sz w:val="20"/>
          <w:szCs w:val="20"/>
        </w:rPr>
        <w:t xml:space="preserve"> que denotan la permanencia del riesgo en fechas recientes</w:t>
      </w:r>
      <w:r w:rsidRPr="000E45A4">
        <w:rPr>
          <w:rFonts w:ascii="Verdana" w:hAnsi="Verdana"/>
          <w:sz w:val="20"/>
          <w:szCs w:val="20"/>
          <w:lang w:val="es-CR"/>
        </w:rPr>
        <w:t xml:space="preserve">, </w:t>
      </w:r>
      <w:r w:rsidRPr="000E45A4">
        <w:rPr>
          <w:rFonts w:ascii="Verdana" w:hAnsi="Verdana"/>
          <w:sz w:val="20"/>
          <w:szCs w:val="20"/>
        </w:rPr>
        <w:t xml:space="preserve">se han ido incrementando en la medida que avanza </w:t>
      </w:r>
      <w:r w:rsidR="006E3C02" w:rsidRPr="000E45A4">
        <w:rPr>
          <w:rFonts w:ascii="Verdana" w:hAnsi="Verdana"/>
          <w:sz w:val="20"/>
          <w:szCs w:val="20"/>
        </w:rPr>
        <w:t>el</w:t>
      </w:r>
      <w:r w:rsidRPr="000E45A4">
        <w:rPr>
          <w:rFonts w:ascii="Verdana" w:hAnsi="Verdana"/>
          <w:sz w:val="20"/>
          <w:szCs w:val="20"/>
        </w:rPr>
        <w:t xml:space="preserve"> proceso penal </w:t>
      </w:r>
      <w:r w:rsidR="000D69B4" w:rsidRPr="000E45A4">
        <w:rPr>
          <w:rFonts w:ascii="Verdana" w:hAnsi="Verdana"/>
          <w:sz w:val="20"/>
          <w:szCs w:val="20"/>
        </w:rPr>
        <w:t xml:space="preserve">por los hechos del caso “Diario Militar”, </w:t>
      </w:r>
      <w:r w:rsidRPr="000E45A4">
        <w:rPr>
          <w:rFonts w:ascii="Verdana" w:hAnsi="Verdana"/>
          <w:sz w:val="20"/>
          <w:szCs w:val="20"/>
        </w:rPr>
        <w:t>que involucra a exmilitares y expolicías</w:t>
      </w:r>
      <w:r w:rsidRPr="000E45A4">
        <w:rPr>
          <w:rFonts w:ascii="Verdana" w:hAnsi="Verdana"/>
          <w:sz w:val="20"/>
          <w:szCs w:val="20"/>
          <w:lang w:val="es-CR"/>
        </w:rPr>
        <w:t xml:space="preserve"> </w:t>
      </w:r>
      <w:r w:rsidRPr="000E45A4">
        <w:rPr>
          <w:rFonts w:ascii="Verdana" w:eastAsia="Times New Roman" w:hAnsi="Verdana" w:cs="Cambria"/>
          <w:sz w:val="20"/>
          <w:szCs w:val="20"/>
          <w:lang w:val="es-CR"/>
        </w:rPr>
        <w:t xml:space="preserve">del Estado </w:t>
      </w:r>
      <w:r w:rsidRPr="000E45A4">
        <w:rPr>
          <w:rFonts w:ascii="Verdana" w:hAnsi="Verdana"/>
          <w:sz w:val="20"/>
          <w:szCs w:val="20"/>
          <w:lang w:val="es-CR"/>
        </w:rPr>
        <w:t>en el</w:t>
      </w:r>
      <w:r w:rsidRPr="000E45A4">
        <w:rPr>
          <w:rFonts w:ascii="Verdana" w:eastAsiaTheme="minorHAnsi" w:hAnsi="Verdana" w:cs="Verdana"/>
          <w:color w:val="000000"/>
          <w:sz w:val="20"/>
          <w:szCs w:val="20"/>
          <w:lang w:val="es-CR"/>
        </w:rPr>
        <w:t xml:space="preserve"> caso Diario Militar, </w:t>
      </w:r>
      <w:r w:rsidR="006E3C02" w:rsidRPr="000E45A4">
        <w:rPr>
          <w:rFonts w:ascii="Verdana" w:eastAsiaTheme="minorHAnsi" w:hAnsi="Verdana" w:cs="Verdana"/>
          <w:color w:val="000000"/>
          <w:sz w:val="20"/>
          <w:szCs w:val="20"/>
          <w:lang w:val="es-CR"/>
        </w:rPr>
        <w:t>el cual</w:t>
      </w:r>
      <w:r w:rsidRPr="000E45A4">
        <w:rPr>
          <w:rFonts w:ascii="Verdana" w:eastAsiaTheme="minorHAnsi" w:hAnsi="Verdana" w:cs="Verdana"/>
          <w:color w:val="000000"/>
          <w:sz w:val="20"/>
          <w:szCs w:val="20"/>
          <w:lang w:val="es-CR"/>
        </w:rPr>
        <w:t xml:space="preserve"> se encuentran </w:t>
      </w:r>
      <w:r w:rsidRPr="000E45A4">
        <w:rPr>
          <w:rFonts w:ascii="Verdana" w:hAnsi="Verdana"/>
          <w:sz w:val="20"/>
          <w:szCs w:val="20"/>
          <w:lang w:val="es-CR"/>
        </w:rPr>
        <w:t>e</w:t>
      </w:r>
      <w:r w:rsidR="000D69B4" w:rsidRPr="000E45A4">
        <w:rPr>
          <w:rFonts w:ascii="Verdana" w:hAnsi="Verdana"/>
          <w:sz w:val="20"/>
          <w:szCs w:val="20"/>
          <w:lang w:val="es-CR"/>
        </w:rPr>
        <w:t>n</w:t>
      </w:r>
      <w:r w:rsidRPr="000E45A4">
        <w:rPr>
          <w:rFonts w:ascii="Verdana" w:hAnsi="Verdana"/>
          <w:sz w:val="20"/>
          <w:szCs w:val="20"/>
          <w:lang w:val="es-CR"/>
        </w:rPr>
        <w:t xml:space="preserve"> </w:t>
      </w:r>
      <w:r w:rsidRPr="000E45A4">
        <w:rPr>
          <w:rFonts w:ascii="Verdana" w:eastAsiaTheme="minorHAnsi" w:hAnsi="Verdana" w:cs="Verdana"/>
          <w:color w:val="000000"/>
          <w:sz w:val="20"/>
          <w:szCs w:val="20"/>
          <w:lang w:val="es-CR"/>
        </w:rPr>
        <w:t>etapa preparatoria e intermedia</w:t>
      </w:r>
      <w:r w:rsidRPr="000E45A4">
        <w:rPr>
          <w:rFonts w:ascii="Verdana" w:hAnsi="Verdana"/>
          <w:sz w:val="20"/>
          <w:szCs w:val="20"/>
        </w:rPr>
        <w:t>.</w:t>
      </w:r>
      <w:r w:rsidRPr="000E45A4">
        <w:rPr>
          <w:rFonts w:ascii="Verdana" w:hAnsi="Verdana"/>
          <w:sz w:val="20"/>
          <w:szCs w:val="20"/>
          <w:lang w:val="es-CR"/>
        </w:rPr>
        <w:t xml:space="preserve"> </w:t>
      </w:r>
      <w:r w:rsidR="00E27DD8" w:rsidRPr="000E45A4">
        <w:rPr>
          <w:rFonts w:ascii="Verdana" w:hAnsi="Verdana"/>
          <w:sz w:val="20"/>
          <w:szCs w:val="20"/>
          <w:lang w:val="es-CR"/>
        </w:rPr>
        <w:t>S</w:t>
      </w:r>
      <w:r w:rsidRPr="000E45A4">
        <w:rPr>
          <w:rFonts w:ascii="Verdana" w:hAnsi="Verdana"/>
          <w:sz w:val="20"/>
          <w:szCs w:val="20"/>
          <w:lang w:val="es-CR"/>
        </w:rPr>
        <w:t>e ha informado que</w:t>
      </w:r>
      <w:r w:rsidR="00E27DD8" w:rsidRPr="000E45A4">
        <w:rPr>
          <w:rFonts w:ascii="Verdana" w:hAnsi="Verdana"/>
          <w:sz w:val="20"/>
          <w:szCs w:val="20"/>
          <w:lang w:val="es-CR"/>
        </w:rPr>
        <w:t xml:space="preserve"> </w:t>
      </w:r>
      <w:r w:rsidR="00E27DD8" w:rsidRPr="000E45A4">
        <w:rPr>
          <w:rFonts w:ascii="Verdana" w:eastAsia="Verdana" w:hAnsi="Verdana" w:cs="Verdana"/>
          <w:sz w:val="20"/>
          <w:szCs w:val="20"/>
          <w:lang w:val="es-CR"/>
        </w:rPr>
        <w:t>r</w:t>
      </w:r>
      <w:r w:rsidR="00E27DD8" w:rsidRPr="000E45A4">
        <w:rPr>
          <w:rFonts w:ascii="Verdana" w:hAnsi="Verdana"/>
          <w:sz w:val="20"/>
          <w:szCs w:val="20"/>
          <w:lang w:val="es-CR"/>
        </w:rPr>
        <w:t>ecientemente,</w:t>
      </w:r>
      <w:r w:rsidRPr="000E45A4">
        <w:rPr>
          <w:rFonts w:ascii="Verdana" w:eastAsiaTheme="minorHAnsi" w:hAnsi="Verdana" w:cs="Verdana"/>
          <w:color w:val="000000"/>
          <w:sz w:val="20"/>
          <w:szCs w:val="20"/>
          <w:lang w:val="es-CR"/>
        </w:rPr>
        <w:t xml:space="preserve"> el 6 de mayo de 2022</w:t>
      </w:r>
      <w:r w:rsidR="00E27DD8" w:rsidRPr="000E45A4">
        <w:rPr>
          <w:rFonts w:ascii="Verdana" w:eastAsiaTheme="minorHAnsi" w:hAnsi="Verdana" w:cs="Verdana"/>
          <w:color w:val="000000"/>
          <w:sz w:val="20"/>
          <w:szCs w:val="20"/>
          <w:lang w:val="es-CR"/>
        </w:rPr>
        <w:t>,</w:t>
      </w:r>
      <w:r w:rsidRPr="000E45A4">
        <w:rPr>
          <w:rFonts w:ascii="Verdana" w:eastAsiaTheme="minorHAnsi" w:hAnsi="Verdana" w:cs="Verdana"/>
          <w:color w:val="000000"/>
          <w:sz w:val="20"/>
          <w:szCs w:val="20"/>
          <w:lang w:val="es-CR"/>
        </w:rPr>
        <w:t xml:space="preserve"> el </w:t>
      </w:r>
      <w:r w:rsidR="00B45170" w:rsidRPr="000E45A4">
        <w:rPr>
          <w:rFonts w:ascii="Verdana" w:eastAsiaTheme="minorHAnsi" w:hAnsi="Verdana" w:cs="Verdana"/>
          <w:color w:val="000000"/>
          <w:sz w:val="20"/>
          <w:szCs w:val="20"/>
          <w:lang w:val="es-CR"/>
        </w:rPr>
        <w:t>j</w:t>
      </w:r>
      <w:r w:rsidRPr="000E45A4">
        <w:rPr>
          <w:rFonts w:ascii="Verdana" w:eastAsiaTheme="minorHAnsi" w:hAnsi="Verdana" w:cs="Verdana"/>
          <w:color w:val="000000"/>
          <w:sz w:val="20"/>
          <w:szCs w:val="20"/>
          <w:lang w:val="es-CR"/>
        </w:rPr>
        <w:t xml:space="preserve">uez Gálvez </w:t>
      </w:r>
      <w:r w:rsidRPr="000E45A4">
        <w:rPr>
          <w:rFonts w:ascii="Verdana" w:hAnsi="Verdana"/>
          <w:sz w:val="20"/>
          <w:szCs w:val="20"/>
          <w:lang w:val="es-CR"/>
        </w:rPr>
        <w:t xml:space="preserve">decidió ligar a proceso a nueve ex altos mandos militares y policiales, y </w:t>
      </w:r>
      <w:r w:rsidRPr="000E45A4">
        <w:rPr>
          <w:rFonts w:ascii="Verdana" w:eastAsiaTheme="minorHAnsi" w:hAnsi="Verdana" w:cs="Verdana"/>
          <w:color w:val="000000"/>
          <w:sz w:val="20"/>
          <w:szCs w:val="20"/>
          <w:lang w:val="es-CR"/>
        </w:rPr>
        <w:t xml:space="preserve">se encontraría pendiente que dicho </w:t>
      </w:r>
      <w:r w:rsidR="00B45170" w:rsidRPr="000E45A4">
        <w:rPr>
          <w:rFonts w:ascii="Verdana" w:eastAsiaTheme="minorHAnsi" w:hAnsi="Verdana" w:cs="Verdana"/>
          <w:color w:val="000000"/>
          <w:sz w:val="20"/>
          <w:szCs w:val="20"/>
          <w:lang w:val="es-CR"/>
        </w:rPr>
        <w:t>j</w:t>
      </w:r>
      <w:r w:rsidRPr="000E45A4">
        <w:rPr>
          <w:rFonts w:ascii="Verdana" w:eastAsiaTheme="minorHAnsi" w:hAnsi="Verdana" w:cs="Verdana"/>
          <w:color w:val="000000"/>
          <w:sz w:val="20"/>
          <w:szCs w:val="20"/>
          <w:lang w:val="es-CR"/>
        </w:rPr>
        <w:t>uez resuelva la situación procesal de otros imputados</w:t>
      </w:r>
      <w:r w:rsidR="0052570A" w:rsidRPr="000E45A4">
        <w:rPr>
          <w:rFonts w:ascii="Verdana" w:hAnsi="Verdana"/>
          <w:sz w:val="20"/>
          <w:szCs w:val="20"/>
          <w:lang w:val="es-CR"/>
        </w:rPr>
        <w:t xml:space="preserve">. </w:t>
      </w:r>
      <w:r w:rsidRPr="000E45A4">
        <w:rPr>
          <w:rFonts w:ascii="Verdana" w:hAnsi="Verdana"/>
          <w:sz w:val="20"/>
          <w:szCs w:val="20"/>
          <w:lang w:val="es-CR"/>
        </w:rPr>
        <w:t xml:space="preserve">Asimismo, se señala que </w:t>
      </w:r>
      <w:r w:rsidRPr="000E45A4">
        <w:rPr>
          <w:rFonts w:ascii="Verdana" w:eastAsiaTheme="minorHAnsi" w:hAnsi="Verdana" w:cs="Verdana"/>
          <w:color w:val="000000"/>
          <w:sz w:val="20"/>
          <w:szCs w:val="20"/>
          <w:lang w:val="es-CR"/>
        </w:rPr>
        <w:t>tan solo cinco días después de tal decisión</w:t>
      </w:r>
      <w:r w:rsidR="00E27DD8" w:rsidRPr="000E45A4">
        <w:rPr>
          <w:rFonts w:ascii="Verdana" w:eastAsiaTheme="minorHAnsi" w:hAnsi="Verdana" w:cs="Verdana"/>
          <w:color w:val="000000"/>
          <w:sz w:val="20"/>
          <w:szCs w:val="20"/>
          <w:lang w:val="es-CR"/>
        </w:rPr>
        <w:t>,</w:t>
      </w:r>
      <w:r w:rsidRPr="000E45A4">
        <w:rPr>
          <w:rFonts w:ascii="Verdana" w:eastAsiaTheme="minorHAnsi" w:hAnsi="Verdana" w:cs="Verdana"/>
          <w:color w:val="000000"/>
          <w:sz w:val="20"/>
          <w:szCs w:val="20"/>
          <w:lang w:val="es-CR"/>
        </w:rPr>
        <w:t xml:space="preserve"> </w:t>
      </w:r>
      <w:r w:rsidR="009D1AC1" w:rsidRPr="000E45A4">
        <w:rPr>
          <w:rFonts w:ascii="Verdana" w:eastAsiaTheme="minorHAnsi" w:hAnsi="Verdana" w:cs="Verdana"/>
          <w:color w:val="000000"/>
          <w:sz w:val="20"/>
          <w:szCs w:val="20"/>
          <w:lang w:val="es-CR"/>
        </w:rPr>
        <w:t xml:space="preserve">el 11 de mayo de 2022 </w:t>
      </w:r>
      <w:r w:rsidRPr="000E45A4">
        <w:rPr>
          <w:rFonts w:ascii="Verdana" w:eastAsiaTheme="minorHAnsi" w:hAnsi="Verdana" w:cs="Verdana"/>
          <w:color w:val="000000"/>
          <w:sz w:val="20"/>
          <w:szCs w:val="20"/>
          <w:lang w:val="es-CR"/>
        </w:rPr>
        <w:t>se present</w:t>
      </w:r>
      <w:r w:rsidR="006E3C02" w:rsidRPr="000E45A4">
        <w:rPr>
          <w:rFonts w:ascii="Verdana" w:eastAsiaTheme="minorHAnsi" w:hAnsi="Verdana" w:cs="Verdana"/>
          <w:color w:val="000000"/>
          <w:sz w:val="20"/>
          <w:szCs w:val="20"/>
          <w:lang w:val="es-CR"/>
        </w:rPr>
        <w:t>ó</w:t>
      </w:r>
      <w:r w:rsidR="00E27DD8" w:rsidRPr="000E45A4">
        <w:rPr>
          <w:rFonts w:ascii="Verdana" w:eastAsiaTheme="minorHAnsi" w:hAnsi="Verdana" w:cs="Verdana"/>
          <w:color w:val="000000"/>
          <w:sz w:val="20"/>
          <w:szCs w:val="20"/>
          <w:lang w:val="es-CR"/>
        </w:rPr>
        <w:t xml:space="preserve"> </w:t>
      </w:r>
      <w:r w:rsidR="006E3C02" w:rsidRPr="000E45A4">
        <w:rPr>
          <w:rFonts w:ascii="Verdana" w:eastAsiaTheme="minorHAnsi" w:hAnsi="Verdana" w:cs="Verdana"/>
          <w:color w:val="000000"/>
          <w:sz w:val="20"/>
          <w:szCs w:val="20"/>
          <w:lang w:val="es-CR"/>
        </w:rPr>
        <w:t xml:space="preserve">una </w:t>
      </w:r>
      <w:r w:rsidR="009D1AC1" w:rsidRPr="000E45A4">
        <w:rPr>
          <w:rFonts w:ascii="Verdana" w:eastAsiaTheme="minorHAnsi" w:hAnsi="Verdana" w:cs="Verdana"/>
          <w:color w:val="000000"/>
          <w:sz w:val="20"/>
          <w:szCs w:val="20"/>
          <w:lang w:val="es-CR"/>
        </w:rPr>
        <w:t xml:space="preserve">querella contra dicho juez, a partir de la cual se generó un proceso de </w:t>
      </w:r>
      <w:r w:rsidRPr="000E45A4">
        <w:rPr>
          <w:rFonts w:ascii="Verdana" w:eastAsiaTheme="minorHAnsi" w:hAnsi="Verdana" w:cs="Verdana"/>
          <w:color w:val="000000"/>
          <w:sz w:val="20"/>
          <w:szCs w:val="20"/>
          <w:lang w:val="es-CR"/>
        </w:rPr>
        <w:t xml:space="preserve">antejuicio </w:t>
      </w:r>
      <w:r w:rsidR="0052570A" w:rsidRPr="000E45A4">
        <w:rPr>
          <w:rFonts w:ascii="Verdana" w:eastAsiaTheme="minorHAnsi" w:hAnsi="Verdana" w:cs="Verdana"/>
          <w:color w:val="000000"/>
          <w:sz w:val="20"/>
          <w:szCs w:val="20"/>
          <w:lang w:val="es-CR"/>
        </w:rPr>
        <w:t>(</w:t>
      </w:r>
      <w:r w:rsidR="0052570A" w:rsidRPr="000E45A4">
        <w:rPr>
          <w:rFonts w:ascii="Verdana" w:eastAsiaTheme="minorHAnsi" w:hAnsi="Verdana" w:cs="Verdana"/>
          <w:i/>
          <w:iCs/>
          <w:color w:val="000000"/>
          <w:sz w:val="20"/>
          <w:szCs w:val="20"/>
          <w:lang w:val="es-CR"/>
        </w:rPr>
        <w:t>supra</w:t>
      </w:r>
      <w:r w:rsidR="0052570A" w:rsidRPr="000E45A4">
        <w:rPr>
          <w:rFonts w:ascii="Verdana" w:eastAsiaTheme="minorHAnsi" w:hAnsi="Verdana" w:cs="Verdana"/>
          <w:color w:val="000000"/>
          <w:sz w:val="20"/>
          <w:szCs w:val="20"/>
          <w:lang w:val="es-CR"/>
        </w:rPr>
        <w:t xml:space="preserve"> Considerando </w:t>
      </w:r>
      <w:r w:rsidR="0052570A" w:rsidRPr="000E45A4">
        <w:rPr>
          <w:rFonts w:ascii="Verdana" w:eastAsia="Verdana" w:hAnsi="Verdana" w:cs="Verdana"/>
          <w:sz w:val="20"/>
          <w:szCs w:val="20"/>
          <w:lang w:val="es-CR"/>
        </w:rPr>
        <w:t>8.e</w:t>
      </w:r>
      <w:r w:rsidR="0052570A" w:rsidRPr="000E45A4">
        <w:rPr>
          <w:rFonts w:ascii="Verdana" w:eastAsiaTheme="minorHAnsi" w:hAnsi="Verdana" w:cs="Verdana"/>
          <w:color w:val="000000"/>
          <w:sz w:val="20"/>
          <w:szCs w:val="20"/>
          <w:lang w:val="es-CR"/>
        </w:rPr>
        <w:t>),</w:t>
      </w:r>
      <w:r w:rsidR="00616942" w:rsidRPr="000E45A4">
        <w:rPr>
          <w:rFonts w:ascii="Verdana" w:eastAsiaTheme="minorHAnsi" w:hAnsi="Verdana" w:cs="Verdana"/>
          <w:color w:val="000000"/>
          <w:sz w:val="20"/>
          <w:szCs w:val="20"/>
          <w:lang w:val="es-CR"/>
        </w:rPr>
        <w:t xml:space="preserve"> </w:t>
      </w:r>
      <w:r w:rsidR="009D1AC1" w:rsidRPr="000E45A4">
        <w:rPr>
          <w:rFonts w:ascii="Verdana" w:eastAsiaTheme="minorHAnsi" w:hAnsi="Verdana" w:cs="Verdana"/>
          <w:color w:val="000000"/>
          <w:sz w:val="20"/>
          <w:szCs w:val="20"/>
          <w:lang w:val="es-CR"/>
        </w:rPr>
        <w:t xml:space="preserve">en el cual, </w:t>
      </w:r>
      <w:r w:rsidRPr="000E45A4">
        <w:rPr>
          <w:rFonts w:ascii="Verdana" w:hAnsi="Verdana" w:cs="ArialMT"/>
          <w:sz w:val="20"/>
          <w:szCs w:val="20"/>
          <w:lang w:val="es-CR"/>
        </w:rPr>
        <w:t xml:space="preserve">el 15 de junio de 2022 la Corte Suprema de Justicia resolvió por mayoría la admisibilidad para trámite de </w:t>
      </w:r>
      <w:r w:rsidR="006E3C02" w:rsidRPr="000E45A4">
        <w:rPr>
          <w:rFonts w:ascii="Verdana" w:hAnsi="Verdana" w:cs="ArialMT"/>
          <w:sz w:val="20"/>
          <w:szCs w:val="20"/>
          <w:lang w:val="es-CR"/>
        </w:rPr>
        <w:t xml:space="preserve">tal </w:t>
      </w:r>
      <w:r w:rsidRPr="000E45A4">
        <w:rPr>
          <w:rFonts w:ascii="Verdana" w:hAnsi="Verdana" w:cs="ArialMT"/>
          <w:sz w:val="20"/>
          <w:szCs w:val="20"/>
          <w:lang w:val="es-CR"/>
        </w:rPr>
        <w:t>solicitud</w:t>
      </w:r>
      <w:r w:rsidR="0052570A" w:rsidRPr="000E45A4">
        <w:rPr>
          <w:rFonts w:ascii="Verdana" w:hAnsi="Verdana"/>
          <w:sz w:val="20"/>
          <w:szCs w:val="20"/>
          <w:lang w:val="es-CR"/>
        </w:rPr>
        <w:t xml:space="preserve"> (</w:t>
      </w:r>
      <w:r w:rsidR="0052570A" w:rsidRPr="000E45A4">
        <w:rPr>
          <w:rFonts w:ascii="Verdana" w:hAnsi="Verdana"/>
          <w:i/>
          <w:sz w:val="20"/>
          <w:szCs w:val="20"/>
        </w:rPr>
        <w:t>supra</w:t>
      </w:r>
      <w:r w:rsidR="0052570A" w:rsidRPr="000E45A4">
        <w:rPr>
          <w:rFonts w:ascii="Verdana" w:hAnsi="Verdana"/>
          <w:sz w:val="20"/>
          <w:szCs w:val="20"/>
        </w:rPr>
        <w:t xml:space="preserve"> Considerando 8.e)</w:t>
      </w:r>
      <w:r w:rsidR="0052570A" w:rsidRPr="000E45A4">
        <w:rPr>
          <w:rFonts w:ascii="Verdana" w:hAnsi="Verdana"/>
          <w:sz w:val="20"/>
          <w:szCs w:val="20"/>
          <w:lang w:val="es-CR"/>
        </w:rPr>
        <w:t>.</w:t>
      </w:r>
    </w:p>
    <w:p w14:paraId="545B192F" w14:textId="5F7ADD23" w:rsidR="00016434" w:rsidRPr="000E45A4" w:rsidRDefault="00D04443" w:rsidP="00CE360C">
      <w:pPr>
        <w:numPr>
          <w:ilvl w:val="0"/>
          <w:numId w:val="2"/>
        </w:numPr>
        <w:spacing w:before="120" w:after="120"/>
        <w:ind w:left="0" w:firstLine="0"/>
        <w:jc w:val="both"/>
        <w:rPr>
          <w:rFonts w:ascii="Verdana" w:hAnsi="Verdana"/>
          <w:sz w:val="16"/>
          <w:szCs w:val="16"/>
        </w:rPr>
      </w:pPr>
      <w:bookmarkStart w:id="13" w:name="_Hlk108116124"/>
      <w:r w:rsidRPr="000E45A4">
        <w:rPr>
          <w:rFonts w:ascii="Verdana" w:eastAsia="Verdana" w:hAnsi="Verdana" w:cs="Verdana"/>
          <w:sz w:val="20"/>
          <w:szCs w:val="20"/>
          <w:lang w:val="es-CR"/>
        </w:rPr>
        <w:t xml:space="preserve">El Estado no </w:t>
      </w:r>
      <w:r w:rsidRPr="000E45A4">
        <w:rPr>
          <w:rFonts w:ascii="Verdana" w:hAnsi="Verdana"/>
          <w:sz w:val="20"/>
          <w:szCs w:val="20"/>
        </w:rPr>
        <w:t>controvirtió</w:t>
      </w:r>
      <w:r w:rsidRPr="000E45A4">
        <w:rPr>
          <w:rFonts w:ascii="Verdana" w:eastAsia="Verdana" w:hAnsi="Verdana" w:cs="Verdana"/>
          <w:sz w:val="20"/>
          <w:szCs w:val="20"/>
          <w:lang w:val="es-CR"/>
        </w:rPr>
        <w:t xml:space="preserve"> la situación manifiesta </w:t>
      </w:r>
      <w:r w:rsidR="00CB75A6" w:rsidRPr="000E45A4">
        <w:rPr>
          <w:rFonts w:ascii="Verdana" w:eastAsia="Verdana" w:hAnsi="Verdana" w:cs="Verdana"/>
          <w:sz w:val="20"/>
          <w:szCs w:val="20"/>
          <w:lang w:val="es-CR"/>
        </w:rPr>
        <w:t xml:space="preserve">de riesgo </w:t>
      </w:r>
      <w:r w:rsidRPr="000E45A4">
        <w:rPr>
          <w:rFonts w:ascii="Verdana" w:eastAsia="Verdana" w:hAnsi="Verdana" w:cs="Verdana"/>
          <w:sz w:val="20"/>
          <w:szCs w:val="20"/>
          <w:lang w:val="es-CR"/>
        </w:rPr>
        <w:t>en que se encuentra</w:t>
      </w:r>
      <w:r w:rsidR="008C48B2" w:rsidRPr="000E45A4">
        <w:rPr>
          <w:rFonts w:ascii="Verdana" w:eastAsia="Verdana" w:hAnsi="Verdana" w:cs="Verdana"/>
          <w:sz w:val="20"/>
          <w:szCs w:val="20"/>
          <w:lang w:val="es-CR"/>
        </w:rPr>
        <w:t xml:space="preserve"> el </w:t>
      </w:r>
      <w:r w:rsidR="00CB75A6" w:rsidRPr="000E45A4">
        <w:rPr>
          <w:rFonts w:ascii="Verdana" w:eastAsia="Verdana" w:hAnsi="Verdana" w:cs="Verdana"/>
          <w:sz w:val="20"/>
          <w:szCs w:val="20"/>
          <w:lang w:val="es-CR"/>
        </w:rPr>
        <w:t>j</w:t>
      </w:r>
      <w:r w:rsidR="008C48B2" w:rsidRPr="000E45A4">
        <w:rPr>
          <w:rFonts w:ascii="Verdana" w:eastAsia="Verdana" w:hAnsi="Verdana" w:cs="Verdana"/>
          <w:sz w:val="20"/>
          <w:szCs w:val="20"/>
          <w:lang w:val="es-CR"/>
        </w:rPr>
        <w:t>uez Miguel Ángel Gálvez Aguilar</w:t>
      </w:r>
      <w:r w:rsidR="00CB75A6" w:rsidRPr="000E45A4">
        <w:rPr>
          <w:rFonts w:ascii="Verdana" w:eastAsia="Verdana" w:hAnsi="Verdana" w:cs="Verdana"/>
          <w:sz w:val="20"/>
          <w:szCs w:val="20"/>
          <w:lang w:val="es-CR"/>
        </w:rPr>
        <w:t xml:space="preserve"> y su familia;</w:t>
      </w:r>
      <w:r w:rsidRPr="000E45A4">
        <w:rPr>
          <w:rFonts w:ascii="Verdana" w:hAnsi="Verdana"/>
          <w:sz w:val="20"/>
          <w:szCs w:val="20"/>
          <w:lang w:val="es-CR"/>
        </w:rPr>
        <w:t xml:space="preserve"> sin embargo,</w:t>
      </w:r>
      <w:r w:rsidRPr="000E45A4">
        <w:rPr>
          <w:rFonts w:ascii="Verdana" w:hAnsi="Verdana"/>
          <w:sz w:val="20"/>
          <w:szCs w:val="20"/>
        </w:rPr>
        <w:t xml:space="preserve"> </w:t>
      </w:r>
      <w:r w:rsidR="008C48B2" w:rsidRPr="000E45A4">
        <w:rPr>
          <w:rFonts w:ascii="Verdana" w:hAnsi="Verdana"/>
          <w:sz w:val="20"/>
          <w:szCs w:val="20"/>
        </w:rPr>
        <w:t xml:space="preserve">indicó que </w:t>
      </w:r>
      <w:r w:rsidRPr="000E45A4">
        <w:rPr>
          <w:rFonts w:ascii="Verdana" w:hAnsi="Verdana"/>
          <w:sz w:val="20"/>
          <w:szCs w:val="20"/>
        </w:rPr>
        <w:t>cuentan con un esquema de seguridad</w:t>
      </w:r>
      <w:r w:rsidR="00D54217" w:rsidRPr="000E45A4">
        <w:rPr>
          <w:rFonts w:ascii="Verdana" w:hAnsi="Verdana"/>
          <w:sz w:val="20"/>
          <w:szCs w:val="20"/>
        </w:rPr>
        <w:t xml:space="preserve"> completo</w:t>
      </w:r>
      <w:r w:rsidR="001553B5" w:rsidRPr="000E45A4">
        <w:rPr>
          <w:rFonts w:ascii="Verdana" w:hAnsi="Verdana"/>
          <w:sz w:val="20"/>
          <w:szCs w:val="20"/>
        </w:rPr>
        <w:t xml:space="preserve">, en cumplimiento de las </w:t>
      </w:r>
      <w:r w:rsidR="00D54217" w:rsidRPr="000E45A4">
        <w:rPr>
          <w:rFonts w:ascii="Verdana" w:hAnsi="Verdana"/>
          <w:sz w:val="20"/>
          <w:szCs w:val="20"/>
        </w:rPr>
        <w:t>medidas cautelares ordenadas por la Comisión</w:t>
      </w:r>
      <w:r w:rsidR="00303EAE" w:rsidRPr="000E45A4">
        <w:rPr>
          <w:rFonts w:ascii="Verdana" w:hAnsi="Verdana"/>
          <w:sz w:val="20"/>
          <w:szCs w:val="20"/>
        </w:rPr>
        <w:t xml:space="preserve"> Interamericana</w:t>
      </w:r>
      <w:r w:rsidR="00D862F0" w:rsidRPr="000E45A4">
        <w:rPr>
          <w:rFonts w:ascii="Verdana" w:hAnsi="Verdana"/>
          <w:sz w:val="20"/>
          <w:szCs w:val="20"/>
        </w:rPr>
        <w:t xml:space="preserve"> y </w:t>
      </w:r>
      <w:r w:rsidR="00016434" w:rsidRPr="000E45A4">
        <w:rPr>
          <w:rFonts w:ascii="Verdana" w:hAnsi="Verdana"/>
          <w:sz w:val="20"/>
          <w:szCs w:val="20"/>
        </w:rPr>
        <w:t xml:space="preserve">se refirió a la naturaleza </w:t>
      </w:r>
      <w:r w:rsidR="00016434" w:rsidRPr="000E45A4">
        <w:rPr>
          <w:rFonts w:ascii="Verdana" w:hAnsi="Verdana" w:cs="Arial"/>
          <w:bCs/>
          <w:sz w:val="20"/>
          <w:szCs w:val="20"/>
          <w:lang w:val="es-CR"/>
        </w:rPr>
        <w:t>subsidiaria, complementaria y coadyuvante del sistema interamericano</w:t>
      </w:r>
      <w:r w:rsidR="00016434" w:rsidRPr="000E45A4">
        <w:rPr>
          <w:rFonts w:ascii="Verdana" w:eastAsia="Verdana" w:hAnsi="Verdana" w:cs="Verdana"/>
          <w:sz w:val="20"/>
          <w:szCs w:val="20"/>
          <w:lang w:val="es-CR"/>
        </w:rPr>
        <w:t xml:space="preserve"> </w:t>
      </w:r>
      <w:r w:rsidR="0052570A" w:rsidRPr="000E45A4">
        <w:rPr>
          <w:rFonts w:ascii="Verdana" w:eastAsia="Verdana" w:hAnsi="Verdana" w:cs="Verdana"/>
          <w:sz w:val="20"/>
          <w:szCs w:val="20"/>
          <w:lang w:val="es-CR"/>
        </w:rPr>
        <w:t>(</w:t>
      </w:r>
      <w:r w:rsidR="0052570A" w:rsidRPr="000E45A4">
        <w:rPr>
          <w:rFonts w:ascii="Verdana" w:hAnsi="Verdana"/>
          <w:i/>
          <w:sz w:val="20"/>
          <w:szCs w:val="20"/>
        </w:rPr>
        <w:t>supra</w:t>
      </w:r>
      <w:r w:rsidR="0052570A" w:rsidRPr="000E45A4">
        <w:rPr>
          <w:rFonts w:ascii="Verdana" w:hAnsi="Verdana"/>
          <w:sz w:val="20"/>
          <w:szCs w:val="20"/>
        </w:rPr>
        <w:t xml:space="preserve"> Considerando 14). </w:t>
      </w:r>
      <w:r w:rsidR="00016434" w:rsidRPr="000E45A4">
        <w:rPr>
          <w:rFonts w:ascii="Verdana" w:hAnsi="Verdana"/>
          <w:sz w:val="20"/>
          <w:szCs w:val="20"/>
        </w:rPr>
        <w:t xml:space="preserve">El </w:t>
      </w:r>
      <w:proofErr w:type="gramStart"/>
      <w:r w:rsidR="00016434" w:rsidRPr="000E45A4">
        <w:rPr>
          <w:rFonts w:ascii="Verdana" w:hAnsi="Verdana"/>
          <w:sz w:val="20"/>
          <w:szCs w:val="20"/>
        </w:rPr>
        <w:t>Presidente</w:t>
      </w:r>
      <w:proofErr w:type="gramEnd"/>
      <w:r w:rsidR="00016434" w:rsidRPr="000E45A4">
        <w:rPr>
          <w:rFonts w:ascii="Verdana" w:hAnsi="Verdana"/>
          <w:sz w:val="20"/>
          <w:szCs w:val="20"/>
        </w:rPr>
        <w:t xml:space="preserve"> recuerda que, según la jurisprudencia de la Corte, “atendiendo al principio de </w:t>
      </w:r>
      <w:r w:rsidR="00016434" w:rsidRPr="000E45A4">
        <w:rPr>
          <w:rFonts w:ascii="Verdana" w:hAnsi="Verdana"/>
          <w:sz w:val="20"/>
          <w:szCs w:val="20"/>
        </w:rPr>
        <w:lastRenderedPageBreak/>
        <w:t>complementariedad y subsidiariedad, una orden de adopción o mantenimiento de medidas provisionales se justifica en situaciones contempladas bajo el artículo 63.2 de la Convención respecto de las cuales las garantías ordinarias existentes en el Estado resultan insuficientes o inefectivas o las autoridades internas no puedan o no quieran hacerlas prevalecer”</w:t>
      </w:r>
      <w:r w:rsidR="006D5D6E" w:rsidRPr="000E45A4">
        <w:rPr>
          <w:rStyle w:val="Refdenotaalpie"/>
          <w:szCs w:val="20"/>
        </w:rPr>
        <w:footnoteReference w:id="24"/>
      </w:r>
      <w:r w:rsidR="00016434" w:rsidRPr="000E45A4">
        <w:rPr>
          <w:rFonts w:ascii="Verdana" w:hAnsi="Verdana"/>
          <w:sz w:val="20"/>
          <w:szCs w:val="20"/>
        </w:rPr>
        <w:t xml:space="preserve">. </w:t>
      </w:r>
    </w:p>
    <w:bookmarkEnd w:id="13"/>
    <w:p w14:paraId="4AC428D5" w14:textId="30B755DA" w:rsidR="003B690B" w:rsidRPr="003B690B" w:rsidRDefault="00D04443" w:rsidP="003B690B">
      <w:pPr>
        <w:numPr>
          <w:ilvl w:val="0"/>
          <w:numId w:val="2"/>
        </w:numPr>
        <w:spacing w:before="120" w:after="120"/>
        <w:ind w:left="0" w:firstLine="0"/>
        <w:jc w:val="both"/>
        <w:rPr>
          <w:rFonts w:ascii="Verdana" w:hAnsi="Verdana"/>
          <w:sz w:val="20"/>
          <w:szCs w:val="20"/>
          <w:lang w:val="es-CR"/>
        </w:rPr>
      </w:pPr>
      <w:r w:rsidRPr="000E45A4">
        <w:rPr>
          <w:rFonts w:ascii="Verdana" w:hAnsi="Verdana"/>
          <w:sz w:val="20"/>
          <w:szCs w:val="20"/>
          <w:lang w:val="es-CR"/>
        </w:rPr>
        <w:t xml:space="preserve">Al respecto, </w:t>
      </w:r>
      <w:r w:rsidR="00133CF4" w:rsidRPr="000E45A4">
        <w:rPr>
          <w:rFonts w:ascii="Verdana" w:hAnsi="Verdana"/>
          <w:sz w:val="20"/>
          <w:szCs w:val="20"/>
          <w:lang w:val="es-CR"/>
        </w:rPr>
        <w:t xml:space="preserve">el </w:t>
      </w:r>
      <w:proofErr w:type="gramStart"/>
      <w:r w:rsidR="00133CF4" w:rsidRPr="000E45A4">
        <w:rPr>
          <w:rFonts w:ascii="Verdana" w:hAnsi="Verdana"/>
          <w:sz w:val="20"/>
          <w:szCs w:val="20"/>
          <w:lang w:val="es-CR"/>
        </w:rPr>
        <w:t>Presidente</w:t>
      </w:r>
      <w:proofErr w:type="gramEnd"/>
      <w:r w:rsidRPr="000E45A4">
        <w:rPr>
          <w:rFonts w:ascii="Verdana" w:hAnsi="Verdana"/>
          <w:sz w:val="20"/>
          <w:szCs w:val="20"/>
          <w:lang w:val="es-CR"/>
        </w:rPr>
        <w:t xml:space="preserve"> valora como positivo </w:t>
      </w:r>
      <w:r w:rsidRPr="000E45A4">
        <w:rPr>
          <w:rFonts w:ascii="Verdana" w:eastAsia="Verdana" w:hAnsi="Verdana" w:cs="Verdana"/>
          <w:sz w:val="20"/>
          <w:szCs w:val="20"/>
          <w:lang w:val="es-CR"/>
        </w:rPr>
        <w:t xml:space="preserve">que </w:t>
      </w:r>
      <w:r w:rsidRPr="000E45A4">
        <w:rPr>
          <w:rFonts w:ascii="Verdana" w:hAnsi="Verdana"/>
          <w:sz w:val="20"/>
          <w:szCs w:val="20"/>
        </w:rPr>
        <w:t xml:space="preserve">el Estado </w:t>
      </w:r>
      <w:r w:rsidR="00854D05" w:rsidRPr="000E45A4">
        <w:rPr>
          <w:rFonts w:ascii="Verdana" w:hAnsi="Verdana"/>
          <w:sz w:val="20"/>
          <w:szCs w:val="20"/>
        </w:rPr>
        <w:t xml:space="preserve">está </w:t>
      </w:r>
      <w:r w:rsidRPr="000E45A4">
        <w:rPr>
          <w:rFonts w:ascii="Verdana" w:hAnsi="Verdana"/>
          <w:sz w:val="20"/>
          <w:szCs w:val="20"/>
        </w:rPr>
        <w:t xml:space="preserve">implementando un </w:t>
      </w:r>
      <w:r w:rsidRPr="000E45A4">
        <w:rPr>
          <w:rFonts w:ascii="Verdana" w:eastAsia="Calibri" w:hAnsi="Verdana" w:cs="Verdana"/>
          <w:color w:val="000000"/>
          <w:sz w:val="20"/>
          <w:szCs w:val="20"/>
          <w:lang w:val="es-CR"/>
        </w:rPr>
        <w:t>esquema de seguridad</w:t>
      </w:r>
      <w:r w:rsidRPr="000E45A4">
        <w:rPr>
          <w:rFonts w:ascii="Verdana" w:hAnsi="Verdana"/>
          <w:sz w:val="20"/>
          <w:szCs w:val="20"/>
        </w:rPr>
        <w:t xml:space="preserve"> a favor del </w:t>
      </w:r>
      <w:r w:rsidR="00205B16" w:rsidRPr="000E45A4">
        <w:rPr>
          <w:rFonts w:ascii="Verdana" w:eastAsia="Verdana" w:hAnsi="Verdana" w:cs="Verdana"/>
          <w:sz w:val="20"/>
          <w:szCs w:val="20"/>
          <w:lang w:val="es-CR"/>
        </w:rPr>
        <w:t>j</w:t>
      </w:r>
      <w:r w:rsidR="006D03C3" w:rsidRPr="000E45A4">
        <w:rPr>
          <w:rFonts w:ascii="Verdana" w:eastAsia="Verdana" w:hAnsi="Verdana" w:cs="Verdana"/>
          <w:sz w:val="20"/>
          <w:szCs w:val="20"/>
          <w:lang w:val="es-CR"/>
        </w:rPr>
        <w:t>uez Miguel Ángel Gálvez Aguilar</w:t>
      </w:r>
      <w:r w:rsidR="00854D05" w:rsidRPr="000E45A4">
        <w:rPr>
          <w:rFonts w:ascii="Verdana" w:eastAsia="Verdana" w:hAnsi="Verdana" w:cs="Verdana"/>
          <w:sz w:val="20"/>
          <w:szCs w:val="20"/>
          <w:lang w:val="es-CR"/>
        </w:rPr>
        <w:t xml:space="preserve"> y su familia</w:t>
      </w:r>
      <w:r w:rsidR="00CD16E3" w:rsidRPr="000E45A4">
        <w:rPr>
          <w:rFonts w:ascii="Verdana" w:eastAsia="Calibri" w:hAnsi="Verdana" w:cs="Verdana"/>
          <w:color w:val="000000"/>
          <w:sz w:val="20"/>
          <w:szCs w:val="20"/>
          <w:lang w:val="es-CR"/>
        </w:rPr>
        <w:t xml:space="preserve"> a través </w:t>
      </w:r>
      <w:r w:rsidR="00EA5769" w:rsidRPr="000E45A4">
        <w:rPr>
          <w:rFonts w:ascii="Verdana" w:hAnsi="Verdana"/>
          <w:sz w:val="20"/>
          <w:szCs w:val="20"/>
        </w:rPr>
        <w:t>del Organismo Judicial</w:t>
      </w:r>
      <w:r w:rsidR="00CD16E3" w:rsidRPr="000E45A4">
        <w:rPr>
          <w:rFonts w:ascii="Verdana" w:hAnsi="Verdana"/>
          <w:sz w:val="20"/>
          <w:szCs w:val="20"/>
        </w:rPr>
        <w:t>, con medidas tales como agentes de seguridad</w:t>
      </w:r>
      <w:r w:rsidR="00FD566F" w:rsidRPr="000E45A4">
        <w:rPr>
          <w:rFonts w:ascii="Verdana" w:hAnsi="Verdana"/>
          <w:sz w:val="20"/>
          <w:szCs w:val="20"/>
        </w:rPr>
        <w:t>,</w:t>
      </w:r>
      <w:r w:rsidR="00CD16E3" w:rsidRPr="000E45A4">
        <w:rPr>
          <w:rFonts w:ascii="Verdana" w:hAnsi="Verdana"/>
          <w:sz w:val="20"/>
          <w:szCs w:val="20"/>
        </w:rPr>
        <w:t xml:space="preserve"> pilotos</w:t>
      </w:r>
      <w:r w:rsidR="00FD566F" w:rsidRPr="000E45A4">
        <w:rPr>
          <w:rFonts w:ascii="Verdana" w:hAnsi="Verdana"/>
          <w:sz w:val="20"/>
          <w:szCs w:val="20"/>
        </w:rPr>
        <w:t>,</w:t>
      </w:r>
      <w:r w:rsidR="00CD16E3" w:rsidRPr="000E45A4">
        <w:rPr>
          <w:rFonts w:ascii="Verdana" w:hAnsi="Verdana"/>
          <w:sz w:val="20"/>
          <w:szCs w:val="20"/>
        </w:rPr>
        <w:t xml:space="preserve"> vehículos</w:t>
      </w:r>
      <w:r w:rsidR="00854D05" w:rsidRPr="000E45A4">
        <w:rPr>
          <w:rFonts w:ascii="Verdana" w:eastAsia="Calibri" w:hAnsi="Verdana" w:cs="Verdana"/>
          <w:color w:val="000000"/>
          <w:sz w:val="20"/>
          <w:szCs w:val="20"/>
          <w:lang w:val="es-CR"/>
        </w:rPr>
        <w:t xml:space="preserve"> </w:t>
      </w:r>
      <w:r w:rsidR="00FD566F" w:rsidRPr="000E45A4">
        <w:rPr>
          <w:rFonts w:ascii="Verdana" w:eastAsia="Calibri" w:hAnsi="Verdana" w:cs="Verdana"/>
          <w:color w:val="000000"/>
          <w:sz w:val="20"/>
          <w:szCs w:val="20"/>
          <w:lang w:val="es-CR"/>
        </w:rPr>
        <w:t>y medidas en su residencia</w:t>
      </w:r>
      <w:r w:rsidR="00AC7D14" w:rsidRPr="000E45A4">
        <w:rPr>
          <w:rFonts w:ascii="Verdana" w:hAnsi="Verdana"/>
          <w:sz w:val="20"/>
          <w:szCs w:val="20"/>
          <w:lang w:val="es-CR"/>
        </w:rPr>
        <w:t xml:space="preserve">. </w:t>
      </w:r>
      <w:r w:rsidR="00CD16E3" w:rsidRPr="000E45A4">
        <w:rPr>
          <w:rFonts w:ascii="Verdana" w:hAnsi="Verdana"/>
          <w:sz w:val="20"/>
          <w:szCs w:val="20"/>
          <w:lang w:val="es-CR"/>
        </w:rPr>
        <w:t xml:space="preserve">Adicionalmente, el Estado ha informado que </w:t>
      </w:r>
      <w:r w:rsidR="00FD566F" w:rsidRPr="000E45A4">
        <w:rPr>
          <w:rFonts w:ascii="Verdana" w:hAnsi="Verdana"/>
          <w:sz w:val="20"/>
          <w:szCs w:val="20"/>
          <w:lang w:val="es-CR"/>
        </w:rPr>
        <w:t xml:space="preserve">en marzo de 2022 </w:t>
      </w:r>
      <w:r w:rsidR="007C245B" w:rsidRPr="000E45A4">
        <w:rPr>
          <w:rFonts w:ascii="Verdana" w:hAnsi="Verdana"/>
          <w:sz w:val="20"/>
          <w:szCs w:val="20"/>
          <w:lang w:val="es-CR"/>
        </w:rPr>
        <w:t xml:space="preserve">la Dirección de Protección de Personas y Seguridad de la Policía Nacional realizó un análisis de riesgo al juez Gálvez y recomendó medidas de seguridad complementarias. </w:t>
      </w:r>
      <w:r w:rsidR="00095ED0" w:rsidRPr="000E45A4">
        <w:rPr>
          <w:rFonts w:ascii="Verdana" w:hAnsi="Verdana" w:cs="Arial"/>
          <w:sz w:val="20"/>
          <w:szCs w:val="20"/>
          <w:lang w:val="es-CR"/>
        </w:rPr>
        <w:t>Al respecto,</w:t>
      </w:r>
      <w:r w:rsidR="00F75047" w:rsidRPr="000E45A4">
        <w:rPr>
          <w:rFonts w:ascii="Verdana" w:hAnsi="Verdana"/>
          <w:sz w:val="20"/>
          <w:szCs w:val="20"/>
        </w:rPr>
        <w:t xml:space="preserve"> </w:t>
      </w:r>
      <w:r w:rsidR="005C1218" w:rsidRPr="000E45A4">
        <w:rPr>
          <w:rFonts w:ascii="Verdana" w:hAnsi="Verdana"/>
          <w:sz w:val="20"/>
          <w:szCs w:val="20"/>
        </w:rPr>
        <w:t>se debe evitar que</w:t>
      </w:r>
      <w:r w:rsidR="00095ED0" w:rsidRPr="000E45A4">
        <w:rPr>
          <w:rFonts w:ascii="Verdana" w:hAnsi="Verdana"/>
          <w:sz w:val="20"/>
          <w:szCs w:val="20"/>
        </w:rPr>
        <w:t xml:space="preserve"> los esquemas de seguridad, así como</w:t>
      </w:r>
      <w:r w:rsidR="005C1218" w:rsidRPr="000E45A4">
        <w:rPr>
          <w:rFonts w:ascii="Verdana" w:hAnsi="Verdana"/>
          <w:sz w:val="20"/>
          <w:szCs w:val="20"/>
        </w:rPr>
        <w:t xml:space="preserve"> las medidas se seguridad y protección implementadas</w:t>
      </w:r>
      <w:r w:rsidR="005C1218" w:rsidRPr="00477842">
        <w:rPr>
          <w:rFonts w:ascii="Verdana" w:hAnsi="Verdana"/>
          <w:sz w:val="20"/>
          <w:szCs w:val="20"/>
        </w:rPr>
        <w:t xml:space="preserve"> a favor de dicho </w:t>
      </w:r>
      <w:r w:rsidR="00205B16">
        <w:rPr>
          <w:rFonts w:ascii="Verdana" w:hAnsi="Verdana"/>
          <w:sz w:val="20"/>
          <w:szCs w:val="20"/>
        </w:rPr>
        <w:t>j</w:t>
      </w:r>
      <w:r w:rsidR="005C1218" w:rsidRPr="00477842">
        <w:rPr>
          <w:rFonts w:ascii="Verdana" w:hAnsi="Verdana"/>
          <w:sz w:val="20"/>
          <w:szCs w:val="20"/>
        </w:rPr>
        <w:t>uez se brinden por</w:t>
      </w:r>
      <w:r w:rsidR="005C1218" w:rsidRPr="00477842">
        <w:rPr>
          <w:rFonts w:ascii="Verdana" w:hAnsi="Verdana"/>
          <w:sz w:val="20"/>
          <w:szCs w:val="20"/>
          <w:lang w:val="es-CR"/>
        </w:rPr>
        <w:t xml:space="preserve"> </w:t>
      </w:r>
      <w:r w:rsidR="005C1218" w:rsidRPr="00477842">
        <w:rPr>
          <w:rFonts w:ascii="Verdana" w:hAnsi="Verdana"/>
          <w:sz w:val="20"/>
          <w:szCs w:val="20"/>
        </w:rPr>
        <w:t xml:space="preserve">funcionarios pertenecientes a las instituciones públicas a las que pertenecieron </w:t>
      </w:r>
      <w:r w:rsidR="00095ED0" w:rsidRPr="00477842">
        <w:rPr>
          <w:rFonts w:ascii="Verdana" w:hAnsi="Verdana"/>
          <w:sz w:val="20"/>
          <w:szCs w:val="20"/>
          <w:lang w:val="es-CR"/>
        </w:rPr>
        <w:t xml:space="preserve">las personas ligadas a proceso por el </w:t>
      </w:r>
      <w:r w:rsidR="00095ED0" w:rsidRPr="00C618F3">
        <w:rPr>
          <w:rFonts w:ascii="Verdana" w:hAnsi="Verdana"/>
          <w:sz w:val="20"/>
          <w:szCs w:val="20"/>
          <w:lang w:val="es-CR"/>
        </w:rPr>
        <w:t xml:space="preserve">referido </w:t>
      </w:r>
      <w:r w:rsidR="00FB686A" w:rsidRPr="00C618F3">
        <w:rPr>
          <w:rFonts w:ascii="Verdana" w:hAnsi="Verdana"/>
          <w:sz w:val="20"/>
          <w:szCs w:val="20"/>
          <w:lang w:val="es-CR"/>
        </w:rPr>
        <w:t>j</w:t>
      </w:r>
      <w:r w:rsidR="00095ED0" w:rsidRPr="00C618F3">
        <w:rPr>
          <w:rFonts w:ascii="Verdana" w:hAnsi="Verdana"/>
          <w:sz w:val="20"/>
          <w:szCs w:val="20"/>
          <w:lang w:val="es-CR"/>
        </w:rPr>
        <w:t xml:space="preserve">uez, </w:t>
      </w:r>
      <w:r w:rsidR="00095ED0" w:rsidRPr="00C618F3">
        <w:rPr>
          <w:rFonts w:ascii="Verdana" w:hAnsi="Verdana"/>
          <w:sz w:val="20"/>
          <w:szCs w:val="20"/>
        </w:rPr>
        <w:t xml:space="preserve">tomando en cuenta lo indicado en el </w:t>
      </w:r>
      <w:r w:rsidR="00095ED0" w:rsidRPr="00C5547A">
        <w:rPr>
          <w:rFonts w:ascii="Verdana" w:hAnsi="Verdana"/>
          <w:sz w:val="20"/>
          <w:szCs w:val="20"/>
        </w:rPr>
        <w:t xml:space="preserve">Considerando </w:t>
      </w:r>
      <w:r w:rsidR="00C5547A" w:rsidRPr="00C5547A">
        <w:rPr>
          <w:rFonts w:ascii="Verdana" w:hAnsi="Verdana"/>
          <w:sz w:val="20"/>
          <w:szCs w:val="20"/>
        </w:rPr>
        <w:t>24</w:t>
      </w:r>
      <w:r w:rsidR="00095ED0" w:rsidRPr="00C5547A">
        <w:rPr>
          <w:rFonts w:ascii="Verdana" w:hAnsi="Verdana"/>
          <w:sz w:val="20"/>
          <w:szCs w:val="20"/>
          <w:lang w:val="es-CR"/>
        </w:rPr>
        <w:t xml:space="preserve"> </w:t>
      </w:r>
      <w:r w:rsidR="00477842" w:rsidRPr="00C5547A">
        <w:rPr>
          <w:rFonts w:ascii="Verdana" w:hAnsi="Verdana"/>
          <w:i/>
          <w:iCs/>
          <w:sz w:val="20"/>
          <w:szCs w:val="20"/>
        </w:rPr>
        <w:t>supra</w:t>
      </w:r>
      <w:r w:rsidR="00095ED0" w:rsidRPr="00C5547A">
        <w:rPr>
          <w:rFonts w:ascii="Verdana" w:hAnsi="Verdana"/>
          <w:sz w:val="20"/>
          <w:szCs w:val="20"/>
        </w:rPr>
        <w:t>.</w:t>
      </w:r>
      <w:r w:rsidR="003B690B">
        <w:rPr>
          <w:rFonts w:ascii="Verdana" w:hAnsi="Verdana"/>
          <w:sz w:val="20"/>
          <w:szCs w:val="20"/>
        </w:rPr>
        <w:t xml:space="preserve"> </w:t>
      </w:r>
    </w:p>
    <w:p w14:paraId="5BE1BD57" w14:textId="49F8A298" w:rsidR="00D04443" w:rsidRPr="00FB3B6F" w:rsidRDefault="00772750" w:rsidP="00772750">
      <w:pPr>
        <w:numPr>
          <w:ilvl w:val="0"/>
          <w:numId w:val="2"/>
        </w:numPr>
        <w:spacing w:before="120" w:after="120"/>
        <w:ind w:left="0" w:firstLine="0"/>
        <w:jc w:val="both"/>
        <w:rPr>
          <w:rFonts w:ascii="Verdana" w:hAnsi="Verdana"/>
          <w:sz w:val="20"/>
          <w:szCs w:val="20"/>
          <w:lang w:val="es-CR"/>
        </w:rPr>
      </w:pPr>
      <w:r w:rsidRPr="00772750">
        <w:rPr>
          <w:rFonts w:ascii="Verdana" w:eastAsia="Calibri" w:hAnsi="Verdana" w:cs="Verdana"/>
          <w:color w:val="000000"/>
          <w:sz w:val="20"/>
          <w:szCs w:val="20"/>
          <w:lang w:val="es-CR"/>
        </w:rPr>
        <w:t xml:space="preserve">El </w:t>
      </w:r>
      <w:proofErr w:type="gramStart"/>
      <w:r w:rsidRPr="00772750">
        <w:rPr>
          <w:rFonts w:ascii="Verdana" w:eastAsia="Calibri" w:hAnsi="Verdana" w:cs="Verdana"/>
          <w:color w:val="000000"/>
          <w:sz w:val="20"/>
          <w:szCs w:val="20"/>
          <w:lang w:val="es-CR"/>
        </w:rPr>
        <w:t>Presidente</w:t>
      </w:r>
      <w:proofErr w:type="gramEnd"/>
      <w:r w:rsidRPr="00772750">
        <w:rPr>
          <w:rFonts w:ascii="Verdana" w:eastAsia="Calibri" w:hAnsi="Verdana" w:cs="Verdana"/>
          <w:color w:val="000000"/>
          <w:sz w:val="20"/>
          <w:szCs w:val="20"/>
          <w:lang w:val="es-CR"/>
        </w:rPr>
        <w:t xml:space="preserve"> advierte que,</w:t>
      </w:r>
      <w:r w:rsidRPr="00772750">
        <w:rPr>
          <w:rFonts w:ascii="Verdana" w:hAnsi="Verdana"/>
          <w:sz w:val="20"/>
          <w:szCs w:val="20"/>
          <w:lang w:val="es-CR"/>
        </w:rPr>
        <w:t xml:space="preserve"> </w:t>
      </w:r>
      <w:r w:rsidRPr="00772750">
        <w:rPr>
          <w:rFonts w:ascii="Verdana" w:hAnsi="Verdana"/>
          <w:sz w:val="20"/>
          <w:szCs w:val="20"/>
        </w:rPr>
        <w:t>aun cuando el Estado ha brindado un es</w:t>
      </w:r>
      <w:r w:rsidRPr="0052570A">
        <w:rPr>
          <w:rFonts w:ascii="Verdana" w:hAnsi="Verdana"/>
          <w:sz w:val="20"/>
          <w:szCs w:val="20"/>
        </w:rPr>
        <w:t xml:space="preserve">quema de seguridad en el marco de las medidas cautelares de la Comisión Interamericana </w:t>
      </w:r>
      <w:r w:rsidR="0052570A" w:rsidRPr="0052570A">
        <w:rPr>
          <w:rFonts w:ascii="Verdana" w:hAnsi="Verdana"/>
          <w:sz w:val="20"/>
          <w:szCs w:val="20"/>
        </w:rPr>
        <w:t>(</w:t>
      </w:r>
      <w:r w:rsidR="0052570A" w:rsidRPr="0052570A">
        <w:rPr>
          <w:rFonts w:ascii="Verdana" w:hAnsi="Verdana"/>
          <w:i/>
          <w:sz w:val="20"/>
          <w:szCs w:val="20"/>
        </w:rPr>
        <w:t>supra</w:t>
      </w:r>
      <w:r w:rsidR="0052570A" w:rsidRPr="0052570A">
        <w:rPr>
          <w:rFonts w:ascii="Verdana" w:hAnsi="Verdana"/>
          <w:sz w:val="20"/>
          <w:szCs w:val="20"/>
        </w:rPr>
        <w:t xml:space="preserve"> Considerando 13.d)</w:t>
      </w:r>
      <w:r w:rsidRPr="0052570A">
        <w:rPr>
          <w:rFonts w:ascii="Verdana" w:hAnsi="Verdana"/>
          <w:sz w:val="20"/>
          <w:szCs w:val="20"/>
        </w:rPr>
        <w:t>, tales medidas son insuficientes puesto que</w:t>
      </w:r>
      <w:r w:rsidRPr="00772750">
        <w:rPr>
          <w:rFonts w:ascii="Verdana" w:hAnsi="Verdana"/>
          <w:sz w:val="20"/>
          <w:szCs w:val="20"/>
        </w:rPr>
        <w:t xml:space="preserve"> la situación de riesgo que actualmente enfrenta el </w:t>
      </w:r>
      <w:r w:rsidR="00205B16">
        <w:rPr>
          <w:rFonts w:ascii="Verdana" w:hAnsi="Verdana"/>
          <w:sz w:val="20"/>
          <w:szCs w:val="20"/>
        </w:rPr>
        <w:t>j</w:t>
      </w:r>
      <w:r w:rsidRPr="00772750">
        <w:rPr>
          <w:rFonts w:ascii="Verdana" w:hAnsi="Verdana"/>
          <w:sz w:val="20"/>
          <w:szCs w:val="20"/>
        </w:rPr>
        <w:t xml:space="preserve">uez </w:t>
      </w:r>
      <w:r w:rsidRPr="00772750">
        <w:rPr>
          <w:rFonts w:ascii="Verdana" w:eastAsia="Verdana" w:hAnsi="Verdana" w:cs="Verdana"/>
          <w:sz w:val="20"/>
          <w:szCs w:val="20"/>
          <w:lang w:val="es-CR"/>
        </w:rPr>
        <w:t>Gálvez Aguilar</w:t>
      </w:r>
      <w:r w:rsidRPr="00772750">
        <w:rPr>
          <w:rFonts w:ascii="Verdana" w:hAnsi="Verdana"/>
          <w:sz w:val="20"/>
          <w:szCs w:val="20"/>
        </w:rPr>
        <w:t xml:space="preserve"> </w:t>
      </w:r>
      <w:r w:rsidRPr="00772750">
        <w:rPr>
          <w:rFonts w:ascii="Verdana" w:hAnsi="Verdana"/>
          <w:sz w:val="20"/>
          <w:szCs w:val="20"/>
          <w:lang w:val="es-CR"/>
        </w:rPr>
        <w:t>requiere una respuesta estatal inmediata que</w:t>
      </w:r>
      <w:r w:rsidR="006C77E0">
        <w:rPr>
          <w:rFonts w:ascii="Verdana" w:hAnsi="Verdana"/>
          <w:sz w:val="20"/>
          <w:szCs w:val="20"/>
          <w:lang w:val="es-CR"/>
        </w:rPr>
        <w:t xml:space="preserve"> adapte las medidas </w:t>
      </w:r>
      <w:r w:rsidRPr="00772750">
        <w:rPr>
          <w:rFonts w:ascii="Verdana" w:hAnsi="Verdana"/>
          <w:sz w:val="20"/>
          <w:szCs w:val="20"/>
          <w:lang w:val="es-CR"/>
        </w:rPr>
        <w:t>tomando en cuenta las causas generadoras de riesgo referidas por los representantes</w:t>
      </w:r>
      <w:r w:rsidR="00F87F49">
        <w:rPr>
          <w:rFonts w:ascii="Verdana" w:hAnsi="Verdana"/>
          <w:sz w:val="20"/>
          <w:szCs w:val="20"/>
        </w:rPr>
        <w:t>,</w:t>
      </w:r>
      <w:r>
        <w:rPr>
          <w:rFonts w:ascii="Verdana" w:hAnsi="Verdana"/>
          <w:sz w:val="20"/>
          <w:szCs w:val="20"/>
        </w:rPr>
        <w:t xml:space="preserve"> y que los</w:t>
      </w:r>
      <w:r w:rsidRPr="00772750">
        <w:rPr>
          <w:rFonts w:ascii="Verdana" w:hAnsi="Verdana"/>
          <w:sz w:val="20"/>
          <w:szCs w:val="20"/>
          <w:lang w:val="es-ES"/>
        </w:rPr>
        <w:t xml:space="preserve"> problemas </w:t>
      </w:r>
      <w:r w:rsidR="00F87F49">
        <w:rPr>
          <w:rFonts w:ascii="Verdana" w:hAnsi="Verdana"/>
          <w:sz w:val="20"/>
          <w:szCs w:val="20"/>
          <w:lang w:val="es-ES"/>
        </w:rPr>
        <w:t>identificados sean</w:t>
      </w:r>
      <w:r w:rsidRPr="00772750">
        <w:rPr>
          <w:rFonts w:ascii="Verdana" w:hAnsi="Verdana"/>
          <w:sz w:val="20"/>
          <w:szCs w:val="20"/>
          <w:lang w:val="es-ES"/>
        </w:rPr>
        <w:t xml:space="preserve"> atendido</w:t>
      </w:r>
      <w:r w:rsidR="00C5547A">
        <w:rPr>
          <w:rFonts w:ascii="Verdana" w:hAnsi="Verdana"/>
          <w:sz w:val="20"/>
          <w:szCs w:val="20"/>
          <w:lang w:val="es-ES"/>
        </w:rPr>
        <w:t>s</w:t>
      </w:r>
      <w:r w:rsidR="00DB704C" w:rsidRPr="009C1CE4">
        <w:rPr>
          <w:rStyle w:val="Refdenotaalpie"/>
          <w:rFonts w:eastAsiaTheme="minorHAnsi" w:cs="ArialMT"/>
          <w:sz w:val="20"/>
          <w:szCs w:val="20"/>
          <w:lang w:val="es-CR"/>
        </w:rPr>
        <w:footnoteReference w:id="25"/>
      </w:r>
      <w:r w:rsidR="00F87F49" w:rsidRPr="009C1CE4">
        <w:rPr>
          <w:rFonts w:ascii="Verdana" w:hAnsi="Verdana"/>
          <w:sz w:val="20"/>
          <w:szCs w:val="20"/>
        </w:rPr>
        <w:t>.</w:t>
      </w:r>
      <w:r w:rsidR="00F87F49">
        <w:rPr>
          <w:rFonts w:ascii="Verdana" w:hAnsi="Verdana"/>
          <w:sz w:val="20"/>
          <w:szCs w:val="20"/>
          <w:lang w:val="es-CR"/>
        </w:rPr>
        <w:t xml:space="preserve"> </w:t>
      </w:r>
      <w:r w:rsidR="00D04443" w:rsidRPr="00F87F49">
        <w:rPr>
          <w:rFonts w:ascii="Verdana" w:hAnsi="Verdana"/>
          <w:sz w:val="20"/>
          <w:szCs w:val="20"/>
          <w:lang w:val="es-CR"/>
        </w:rPr>
        <w:t>Po</w:t>
      </w:r>
      <w:r w:rsidR="00D04443" w:rsidRPr="00F87F49">
        <w:rPr>
          <w:rFonts w:ascii="Verdana" w:hAnsi="Verdana"/>
          <w:sz w:val="20"/>
          <w:szCs w:val="20"/>
        </w:rPr>
        <w:t xml:space="preserve">r </w:t>
      </w:r>
      <w:r w:rsidR="00F229E4" w:rsidRPr="00F87F49">
        <w:rPr>
          <w:rFonts w:ascii="Verdana" w:hAnsi="Verdana"/>
          <w:sz w:val="20"/>
          <w:szCs w:val="20"/>
        </w:rPr>
        <w:t>todo lo anterior</w:t>
      </w:r>
      <w:r w:rsidR="00D04443" w:rsidRPr="00F87F49">
        <w:rPr>
          <w:rFonts w:ascii="Verdana" w:hAnsi="Verdana"/>
          <w:sz w:val="20"/>
          <w:szCs w:val="20"/>
        </w:rPr>
        <w:t xml:space="preserve">, surge la necesidad de que, en aplicación del artículo 63.2 de la Convención, Guatemala adopte, de forma </w:t>
      </w:r>
      <w:r w:rsidR="00D04443" w:rsidRPr="00FB3B6F">
        <w:rPr>
          <w:rFonts w:ascii="Verdana" w:hAnsi="Verdana"/>
          <w:sz w:val="20"/>
          <w:szCs w:val="20"/>
        </w:rPr>
        <w:t xml:space="preserve">inmediata e individualizada, las medidas que fuesen necesarias para </w:t>
      </w:r>
      <w:r w:rsidR="00D04443" w:rsidRPr="00FB3B6F">
        <w:rPr>
          <w:rFonts w:ascii="Verdana" w:eastAsia="Calibri" w:hAnsi="Verdana" w:cs="Calibri"/>
          <w:sz w:val="20"/>
          <w:szCs w:val="20"/>
          <w:lang w:val="es-ES" w:eastAsia="es-ES"/>
        </w:rPr>
        <w:t xml:space="preserve">proteger eficazmente los derechos a </w:t>
      </w:r>
      <w:r w:rsidR="00B752D4" w:rsidRPr="00FB3B6F">
        <w:rPr>
          <w:rFonts w:ascii="Verdana" w:eastAsiaTheme="minorHAnsi" w:hAnsi="Verdana" w:cs="Verdana"/>
          <w:color w:val="000000"/>
          <w:sz w:val="20"/>
          <w:szCs w:val="20"/>
          <w:lang w:val="es-CR"/>
        </w:rPr>
        <w:t>la vida e integridad personal</w:t>
      </w:r>
      <w:r w:rsidR="00B752D4" w:rsidRPr="00FB3B6F">
        <w:rPr>
          <w:rFonts w:ascii="Verdana" w:eastAsia="Calibri" w:hAnsi="Verdana" w:cs="Verdana"/>
          <w:color w:val="000000"/>
          <w:sz w:val="20"/>
          <w:szCs w:val="20"/>
          <w:lang w:val="es-CR"/>
        </w:rPr>
        <w:t xml:space="preserve"> </w:t>
      </w:r>
      <w:r w:rsidR="00D04443" w:rsidRPr="00FB3B6F">
        <w:rPr>
          <w:rFonts w:ascii="Verdana" w:eastAsia="Calibri" w:hAnsi="Verdana" w:cs="Calibri"/>
          <w:sz w:val="20"/>
          <w:szCs w:val="20"/>
          <w:lang w:val="es-ES" w:eastAsia="es-ES"/>
        </w:rPr>
        <w:t xml:space="preserve">del </w:t>
      </w:r>
      <w:r w:rsidR="00006B59">
        <w:rPr>
          <w:rFonts w:ascii="Verdana" w:hAnsi="Verdana" w:cs="Arial"/>
          <w:sz w:val="20"/>
          <w:szCs w:val="20"/>
          <w:lang w:val="es-ES"/>
        </w:rPr>
        <w:t>j</w:t>
      </w:r>
      <w:proofErr w:type="spellStart"/>
      <w:r w:rsidR="00B752D4" w:rsidRPr="00FB3B6F">
        <w:rPr>
          <w:rFonts w:ascii="Verdana" w:hAnsi="Verdana" w:cs="Arial"/>
          <w:sz w:val="20"/>
          <w:szCs w:val="20"/>
          <w:lang w:val="es-CR"/>
        </w:rPr>
        <w:t>uez</w:t>
      </w:r>
      <w:proofErr w:type="spellEnd"/>
      <w:r w:rsidR="00B752D4" w:rsidRPr="00FB3B6F">
        <w:rPr>
          <w:rFonts w:ascii="Verdana" w:hAnsi="Verdana" w:cs="Arial"/>
          <w:sz w:val="20"/>
          <w:szCs w:val="20"/>
          <w:lang w:val="es-CR"/>
        </w:rPr>
        <w:t xml:space="preserve"> Gálvez</w:t>
      </w:r>
      <w:r w:rsidR="003476E2" w:rsidRPr="00FB3B6F">
        <w:rPr>
          <w:rFonts w:ascii="Verdana" w:hAnsi="Verdana" w:cs="Arial"/>
          <w:sz w:val="20"/>
          <w:szCs w:val="20"/>
          <w:lang w:val="es-CR"/>
        </w:rPr>
        <w:t xml:space="preserve"> y su </w:t>
      </w:r>
      <w:r w:rsidR="006E7CEF">
        <w:rPr>
          <w:rFonts w:ascii="Verdana" w:hAnsi="Verdana" w:cs="Arial"/>
          <w:sz w:val="20"/>
          <w:szCs w:val="20"/>
          <w:lang w:val="es-CR"/>
        </w:rPr>
        <w:t>núcleo</w:t>
      </w:r>
      <w:r w:rsidR="003476E2" w:rsidRPr="00FB3B6F">
        <w:rPr>
          <w:rFonts w:ascii="Verdana" w:hAnsi="Verdana" w:cs="Arial"/>
          <w:sz w:val="20"/>
          <w:szCs w:val="20"/>
          <w:lang w:val="es-CR"/>
        </w:rPr>
        <w:t xml:space="preserve"> familiar</w:t>
      </w:r>
      <w:r w:rsidR="00D04443" w:rsidRPr="00FB3B6F">
        <w:rPr>
          <w:rFonts w:ascii="Verdana" w:eastAsia="Calibri" w:hAnsi="Verdana" w:cs="Calibri"/>
          <w:sz w:val="20"/>
          <w:szCs w:val="20"/>
          <w:lang w:val="es-ES" w:eastAsia="es-ES"/>
        </w:rPr>
        <w:t>,</w:t>
      </w:r>
      <w:r w:rsidR="00D04443" w:rsidRPr="00FB3B6F">
        <w:rPr>
          <w:rFonts w:ascii="Verdana" w:hAnsi="Verdana"/>
          <w:sz w:val="20"/>
          <w:szCs w:val="20"/>
          <w:lang w:val="es-CR"/>
        </w:rPr>
        <w:t xml:space="preserve"> </w:t>
      </w:r>
      <w:r w:rsidR="00F75054" w:rsidRPr="00FB3B6F">
        <w:rPr>
          <w:rFonts w:ascii="Verdana" w:eastAsiaTheme="minorHAnsi" w:hAnsi="Verdana" w:cs="Verdana"/>
          <w:color w:val="000000"/>
          <w:sz w:val="20"/>
          <w:szCs w:val="20"/>
          <w:lang w:val="es-CR"/>
        </w:rPr>
        <w:t xml:space="preserve">y </w:t>
      </w:r>
      <w:r w:rsidR="00F75054">
        <w:rPr>
          <w:rFonts w:ascii="Verdana" w:eastAsiaTheme="minorHAnsi" w:hAnsi="Verdana" w:cs="Verdana"/>
          <w:color w:val="000000"/>
          <w:sz w:val="20"/>
          <w:szCs w:val="20"/>
          <w:lang w:val="es-CR"/>
        </w:rPr>
        <w:t>garantizar</w:t>
      </w:r>
      <w:r w:rsidR="00F75054" w:rsidRPr="00FB3B6F">
        <w:rPr>
          <w:rFonts w:ascii="Verdana" w:eastAsiaTheme="minorHAnsi" w:hAnsi="Verdana" w:cs="Verdana"/>
          <w:color w:val="000000"/>
          <w:sz w:val="20"/>
          <w:szCs w:val="20"/>
          <w:lang w:val="es-CR"/>
        </w:rPr>
        <w:t xml:space="preserve"> la</w:t>
      </w:r>
      <w:r w:rsidR="00F75054" w:rsidRPr="00FB3B6F">
        <w:rPr>
          <w:rFonts w:ascii="Verdana" w:eastAsia="Calibri" w:hAnsi="Verdana" w:cs="Verdana"/>
          <w:color w:val="000000"/>
          <w:sz w:val="20"/>
          <w:szCs w:val="20"/>
          <w:lang w:val="es-CR"/>
        </w:rPr>
        <w:t xml:space="preserve"> </w:t>
      </w:r>
      <w:r w:rsidR="00F75054" w:rsidRPr="00FB3B6F">
        <w:rPr>
          <w:rFonts w:ascii="Verdana" w:eastAsiaTheme="minorHAnsi" w:hAnsi="Verdana" w:cs="Verdana"/>
          <w:color w:val="000000"/>
          <w:sz w:val="20"/>
          <w:szCs w:val="20"/>
          <w:lang w:val="es-CR"/>
        </w:rPr>
        <w:t>independencia judicial</w:t>
      </w:r>
      <w:r w:rsidR="00F75054" w:rsidRPr="00FB3B6F">
        <w:rPr>
          <w:rFonts w:ascii="Verdana" w:hAnsi="Verdana"/>
          <w:sz w:val="20"/>
          <w:szCs w:val="20"/>
        </w:rPr>
        <w:t xml:space="preserve"> </w:t>
      </w:r>
      <w:r w:rsidR="00F75054">
        <w:rPr>
          <w:rFonts w:ascii="Verdana" w:hAnsi="Verdana"/>
          <w:sz w:val="20"/>
          <w:szCs w:val="20"/>
        </w:rPr>
        <w:t xml:space="preserve">de dicho juez, y con ello </w:t>
      </w:r>
      <w:r w:rsidR="00D04443" w:rsidRPr="00FB3B6F">
        <w:rPr>
          <w:rFonts w:ascii="Verdana" w:eastAsia="Calibri" w:hAnsi="Verdana" w:cs="Calibri"/>
          <w:sz w:val="20"/>
          <w:szCs w:val="20"/>
          <w:lang w:val="es-ES" w:eastAsia="es-ES"/>
        </w:rPr>
        <w:t>garantizar el derecho al acceso a la justicia de las víctimas de</w:t>
      </w:r>
      <w:r w:rsidR="00B752D4" w:rsidRPr="00FB3B6F">
        <w:rPr>
          <w:rFonts w:ascii="Verdana" w:eastAsia="Calibri" w:hAnsi="Verdana" w:cs="Calibri"/>
          <w:sz w:val="20"/>
          <w:szCs w:val="20"/>
          <w:lang w:val="es-ES" w:eastAsia="es-ES"/>
        </w:rPr>
        <w:t xml:space="preserve">l </w:t>
      </w:r>
      <w:r w:rsidR="00D04443" w:rsidRPr="00FB3B6F">
        <w:rPr>
          <w:rFonts w:ascii="Verdana" w:eastAsia="Calibri" w:hAnsi="Verdana" w:cs="Calibri"/>
          <w:sz w:val="20"/>
          <w:szCs w:val="20"/>
          <w:lang w:val="es-ES" w:eastAsia="es-ES"/>
        </w:rPr>
        <w:t xml:space="preserve">caso </w:t>
      </w:r>
      <w:r w:rsidR="00B752D4" w:rsidRPr="00FB3B6F">
        <w:rPr>
          <w:rFonts w:ascii="Verdana" w:eastAsiaTheme="minorHAnsi" w:hAnsi="Verdana" w:cs="Verdana"/>
          <w:i/>
          <w:iCs/>
          <w:color w:val="000000"/>
          <w:sz w:val="20"/>
          <w:szCs w:val="20"/>
          <w:lang w:val="es-CR"/>
        </w:rPr>
        <w:t>Gudiel Álvarez y otros (“Diario Militar”)</w:t>
      </w:r>
      <w:r w:rsidR="00D04443" w:rsidRPr="00FB3B6F">
        <w:rPr>
          <w:rFonts w:ascii="Verdana" w:hAnsi="Verdana"/>
          <w:sz w:val="20"/>
          <w:szCs w:val="20"/>
        </w:rPr>
        <w:t>.</w:t>
      </w:r>
    </w:p>
    <w:p w14:paraId="7E29998E" w14:textId="50B0177B" w:rsidR="00D04443" w:rsidRPr="008E74AA" w:rsidRDefault="00D04443" w:rsidP="00673CE2">
      <w:pPr>
        <w:numPr>
          <w:ilvl w:val="0"/>
          <w:numId w:val="2"/>
        </w:numPr>
        <w:spacing w:before="120" w:after="120"/>
        <w:ind w:left="0" w:firstLine="0"/>
        <w:jc w:val="both"/>
        <w:rPr>
          <w:rFonts w:ascii="Verdana" w:hAnsi="Verdana"/>
          <w:sz w:val="20"/>
          <w:szCs w:val="20"/>
          <w:lang w:val="es-CR"/>
        </w:rPr>
      </w:pPr>
      <w:r w:rsidRPr="00FB3B6F">
        <w:rPr>
          <w:rFonts w:ascii="Verdana" w:hAnsi="Verdana"/>
          <w:sz w:val="20"/>
          <w:szCs w:val="20"/>
        </w:rPr>
        <w:t xml:space="preserve">Es imprescindible que se </w:t>
      </w:r>
      <w:r w:rsidR="005823C0" w:rsidRPr="00FB3B6F">
        <w:rPr>
          <w:rFonts w:ascii="Verdana" w:hAnsi="Verdana"/>
          <w:sz w:val="20"/>
          <w:szCs w:val="20"/>
        </w:rPr>
        <w:t>adapte</w:t>
      </w:r>
      <w:r w:rsidR="00F75054">
        <w:rPr>
          <w:rFonts w:ascii="Verdana" w:hAnsi="Verdana"/>
          <w:sz w:val="20"/>
          <w:szCs w:val="20"/>
        </w:rPr>
        <w:t>n las medidas</w:t>
      </w:r>
      <w:r w:rsidR="005823C0" w:rsidRPr="00FB3B6F">
        <w:rPr>
          <w:rFonts w:ascii="Verdana" w:hAnsi="Verdana"/>
          <w:sz w:val="20"/>
          <w:szCs w:val="20"/>
        </w:rPr>
        <w:t xml:space="preserve"> </w:t>
      </w:r>
      <w:r w:rsidR="00F75054">
        <w:rPr>
          <w:rFonts w:ascii="Verdana" w:hAnsi="Verdana"/>
          <w:sz w:val="20"/>
          <w:szCs w:val="20"/>
        </w:rPr>
        <w:t>y el</w:t>
      </w:r>
      <w:r w:rsidRPr="00FB3B6F">
        <w:rPr>
          <w:rFonts w:ascii="Verdana" w:hAnsi="Verdana"/>
          <w:sz w:val="20"/>
          <w:szCs w:val="20"/>
        </w:rPr>
        <w:t xml:space="preserve"> esquema de seguridad y protección</w:t>
      </w:r>
      <w:r w:rsidRPr="00FB3B6F">
        <w:rPr>
          <w:rFonts w:ascii="Verdana" w:hAnsi="Verdana"/>
          <w:sz w:val="20"/>
          <w:szCs w:val="20"/>
          <w:lang w:val="es-CR"/>
        </w:rPr>
        <w:t xml:space="preserve"> </w:t>
      </w:r>
      <w:r w:rsidRPr="00FB3B6F">
        <w:rPr>
          <w:rFonts w:ascii="Verdana" w:hAnsi="Verdana"/>
          <w:sz w:val="20"/>
          <w:szCs w:val="20"/>
        </w:rPr>
        <w:t>para enfrentar los eventos de riesgo a los que actualmente se encuentra expuesto</w:t>
      </w:r>
      <w:r w:rsidR="00673CE2" w:rsidRPr="00FB3B6F">
        <w:rPr>
          <w:rFonts w:ascii="Verdana" w:hAnsi="Verdana"/>
          <w:sz w:val="20"/>
          <w:szCs w:val="20"/>
        </w:rPr>
        <w:t xml:space="preserve"> el </w:t>
      </w:r>
      <w:r w:rsidR="00205B16" w:rsidRPr="00FB3B6F">
        <w:rPr>
          <w:rFonts w:ascii="Verdana" w:hAnsi="Verdana"/>
          <w:sz w:val="20"/>
          <w:szCs w:val="20"/>
        </w:rPr>
        <w:t>J</w:t>
      </w:r>
      <w:r w:rsidR="00673CE2" w:rsidRPr="00FB3B6F">
        <w:rPr>
          <w:rFonts w:ascii="Verdana" w:hAnsi="Verdana"/>
          <w:sz w:val="20"/>
          <w:szCs w:val="20"/>
        </w:rPr>
        <w:t xml:space="preserve">uez </w:t>
      </w:r>
      <w:r w:rsidR="00673CE2" w:rsidRPr="00FB3B6F">
        <w:rPr>
          <w:rFonts w:ascii="Verdana" w:eastAsia="Verdana" w:hAnsi="Verdana" w:cs="Verdana"/>
          <w:sz w:val="20"/>
          <w:szCs w:val="20"/>
          <w:lang w:val="es-CR"/>
        </w:rPr>
        <w:t>Miguel Ángel Gálvez Aguilar</w:t>
      </w:r>
      <w:r w:rsidR="003476E2" w:rsidRPr="00FB3B6F">
        <w:rPr>
          <w:rFonts w:ascii="Verdana" w:eastAsia="Verdana" w:hAnsi="Verdana" w:cs="Verdana"/>
          <w:sz w:val="20"/>
          <w:szCs w:val="20"/>
          <w:lang w:val="es-CR"/>
        </w:rPr>
        <w:t xml:space="preserve"> y su familia</w:t>
      </w:r>
      <w:r w:rsidRPr="00FB3B6F">
        <w:rPr>
          <w:rFonts w:ascii="Verdana" w:hAnsi="Verdana"/>
          <w:sz w:val="20"/>
          <w:szCs w:val="20"/>
          <w:lang w:val="es-CR"/>
        </w:rPr>
        <w:t xml:space="preserve">. </w:t>
      </w:r>
      <w:r w:rsidR="00673CE2" w:rsidRPr="00FB3B6F">
        <w:rPr>
          <w:rFonts w:ascii="Verdana" w:hAnsi="Verdana"/>
          <w:sz w:val="20"/>
          <w:szCs w:val="20"/>
        </w:rPr>
        <w:t>El</w:t>
      </w:r>
      <w:r w:rsidRPr="00FB3B6F">
        <w:rPr>
          <w:rFonts w:ascii="Verdana" w:hAnsi="Verdana"/>
          <w:sz w:val="20"/>
          <w:szCs w:val="20"/>
        </w:rPr>
        <w:t xml:space="preserve"> esquema</w:t>
      </w:r>
      <w:r w:rsidRPr="008E74AA">
        <w:rPr>
          <w:rFonts w:ascii="Verdana" w:hAnsi="Verdana"/>
          <w:sz w:val="20"/>
          <w:szCs w:val="20"/>
        </w:rPr>
        <w:t xml:space="preserve"> de seguridad </w:t>
      </w:r>
      <w:r w:rsidR="00673CE2" w:rsidRPr="008E74AA">
        <w:rPr>
          <w:rFonts w:ascii="Verdana" w:hAnsi="Verdana"/>
          <w:sz w:val="20"/>
          <w:szCs w:val="20"/>
        </w:rPr>
        <w:t xml:space="preserve">debe </w:t>
      </w:r>
      <w:r w:rsidRPr="008E74AA">
        <w:rPr>
          <w:rFonts w:ascii="Verdana" w:hAnsi="Verdana"/>
          <w:sz w:val="20"/>
          <w:szCs w:val="20"/>
        </w:rPr>
        <w:t>adopt</w:t>
      </w:r>
      <w:r w:rsidR="00673CE2" w:rsidRPr="008E74AA">
        <w:rPr>
          <w:rFonts w:ascii="Verdana" w:hAnsi="Verdana"/>
          <w:sz w:val="20"/>
          <w:szCs w:val="20"/>
        </w:rPr>
        <w:t>arse</w:t>
      </w:r>
      <w:r w:rsidRPr="008E74AA">
        <w:rPr>
          <w:rFonts w:ascii="Verdana" w:hAnsi="Verdana"/>
          <w:sz w:val="20"/>
          <w:szCs w:val="20"/>
        </w:rPr>
        <w:t xml:space="preserve"> en común acuerdo y en coordinación con </w:t>
      </w:r>
      <w:r w:rsidR="00673CE2" w:rsidRPr="008E74AA">
        <w:rPr>
          <w:rFonts w:ascii="Verdana" w:hAnsi="Verdana"/>
          <w:sz w:val="20"/>
          <w:szCs w:val="20"/>
        </w:rPr>
        <w:t>el</w:t>
      </w:r>
      <w:r w:rsidRPr="008E74AA">
        <w:rPr>
          <w:rFonts w:ascii="Verdana" w:hAnsi="Verdana"/>
          <w:sz w:val="20"/>
          <w:szCs w:val="20"/>
        </w:rPr>
        <w:t xml:space="preserve"> beneficiario </w:t>
      </w:r>
      <w:r w:rsidRPr="008E74AA">
        <w:rPr>
          <w:rFonts w:ascii="Verdana" w:eastAsia="Calibri" w:hAnsi="Verdana" w:cs="Cambria"/>
          <w:sz w:val="20"/>
          <w:szCs w:val="20"/>
          <w:lang w:val="es-CR"/>
        </w:rPr>
        <w:t>y se debe impedir que</w:t>
      </w:r>
      <w:r w:rsidRPr="008E74AA">
        <w:rPr>
          <w:rFonts w:ascii="Verdana" w:hAnsi="Verdana"/>
          <w:sz w:val="20"/>
          <w:szCs w:val="20"/>
        </w:rPr>
        <w:t xml:space="preserve"> </w:t>
      </w:r>
      <w:r w:rsidRPr="008E74AA">
        <w:rPr>
          <w:rFonts w:ascii="Verdana" w:eastAsia="Calibri" w:hAnsi="Verdana" w:cs="Cambria"/>
          <w:sz w:val="20"/>
          <w:szCs w:val="20"/>
          <w:lang w:val="es-CR"/>
        </w:rPr>
        <w:t xml:space="preserve">se brinden por funcionarios pertenecientes a las instituciones públicas a las que pertenecieron las personas </w:t>
      </w:r>
      <w:r w:rsidR="00673CE2" w:rsidRPr="008E74AA">
        <w:rPr>
          <w:rFonts w:ascii="Verdana" w:eastAsia="Calibri" w:hAnsi="Verdana" w:cs="Cambria"/>
          <w:sz w:val="20"/>
          <w:szCs w:val="20"/>
          <w:lang w:val="es-CR"/>
        </w:rPr>
        <w:t>ligadas a proceso</w:t>
      </w:r>
      <w:r w:rsidRPr="008E74AA">
        <w:rPr>
          <w:rFonts w:ascii="Verdana" w:eastAsia="Calibri" w:hAnsi="Verdana" w:cs="Cambria"/>
          <w:sz w:val="20"/>
          <w:szCs w:val="20"/>
          <w:lang w:val="es-CR"/>
        </w:rPr>
        <w:t xml:space="preserve"> por </w:t>
      </w:r>
      <w:r w:rsidR="00673CE2" w:rsidRPr="008E74AA">
        <w:rPr>
          <w:rFonts w:ascii="Verdana" w:eastAsia="Calibri" w:hAnsi="Verdana" w:cs="Cambria"/>
          <w:sz w:val="20"/>
          <w:szCs w:val="20"/>
          <w:lang w:val="es-CR"/>
        </w:rPr>
        <w:t>e</w:t>
      </w:r>
      <w:r w:rsidR="00673CE2" w:rsidRPr="00503374">
        <w:rPr>
          <w:rFonts w:ascii="Verdana" w:eastAsia="Calibri" w:hAnsi="Verdana" w:cs="Cambria"/>
          <w:sz w:val="20"/>
          <w:szCs w:val="20"/>
          <w:lang w:val="es-CR"/>
        </w:rPr>
        <w:t xml:space="preserve">l </w:t>
      </w:r>
      <w:r w:rsidRPr="00503374">
        <w:rPr>
          <w:rFonts w:ascii="Verdana" w:eastAsia="Calibri" w:hAnsi="Verdana" w:cs="Cambria"/>
          <w:sz w:val="20"/>
          <w:szCs w:val="20"/>
          <w:lang w:val="es-CR"/>
        </w:rPr>
        <w:t>referido</w:t>
      </w:r>
      <w:r w:rsidR="00673CE2" w:rsidRPr="00503374">
        <w:rPr>
          <w:rFonts w:ascii="Verdana" w:eastAsia="Calibri" w:hAnsi="Verdana" w:cs="Cambria"/>
          <w:sz w:val="20"/>
          <w:szCs w:val="20"/>
          <w:lang w:val="es-CR"/>
        </w:rPr>
        <w:t xml:space="preserve"> </w:t>
      </w:r>
      <w:r w:rsidR="00205B16" w:rsidRPr="00503374">
        <w:rPr>
          <w:rFonts w:ascii="Verdana" w:eastAsia="Calibri" w:hAnsi="Verdana" w:cs="Cambria"/>
          <w:sz w:val="20"/>
          <w:szCs w:val="20"/>
          <w:lang w:val="es-CR"/>
        </w:rPr>
        <w:t>j</w:t>
      </w:r>
      <w:r w:rsidR="00673CE2" w:rsidRPr="00503374">
        <w:rPr>
          <w:rFonts w:ascii="Verdana" w:eastAsia="Calibri" w:hAnsi="Verdana" w:cs="Cambria"/>
          <w:sz w:val="20"/>
          <w:szCs w:val="20"/>
          <w:lang w:val="es-CR"/>
        </w:rPr>
        <w:t>uez</w:t>
      </w:r>
      <w:r w:rsidR="005A3A02" w:rsidRPr="00503374">
        <w:rPr>
          <w:rStyle w:val="Refdenotaalpie"/>
          <w:rFonts w:eastAsia="Calibri" w:cs="Cambria"/>
          <w:szCs w:val="20"/>
          <w:lang w:val="es-CR"/>
        </w:rPr>
        <w:footnoteReference w:id="26"/>
      </w:r>
      <w:r w:rsidR="0039138E" w:rsidRPr="00503374">
        <w:rPr>
          <w:rFonts w:ascii="Verdana" w:eastAsia="Calibri" w:hAnsi="Verdana" w:cs="Cambria"/>
          <w:sz w:val="20"/>
          <w:szCs w:val="20"/>
          <w:lang w:val="es-CR"/>
        </w:rPr>
        <w:t xml:space="preserve"> </w:t>
      </w:r>
      <w:r w:rsidR="00503374" w:rsidRPr="00503374">
        <w:rPr>
          <w:rFonts w:ascii="Verdana" w:eastAsia="Calibri" w:hAnsi="Verdana" w:cs="Cambria"/>
          <w:sz w:val="20"/>
          <w:szCs w:val="20"/>
          <w:lang w:val="es-CR"/>
        </w:rPr>
        <w:t>(</w:t>
      </w:r>
      <w:r w:rsidR="00503374" w:rsidRPr="00503374">
        <w:rPr>
          <w:rFonts w:ascii="Verdana" w:eastAsia="Calibri" w:hAnsi="Verdana" w:cs="Cambria"/>
          <w:i/>
          <w:iCs/>
          <w:sz w:val="20"/>
          <w:szCs w:val="20"/>
          <w:lang w:val="es-CR"/>
        </w:rPr>
        <w:t xml:space="preserve">supra </w:t>
      </w:r>
      <w:r w:rsidR="00503374" w:rsidRPr="00503374">
        <w:rPr>
          <w:rFonts w:ascii="Verdana" w:hAnsi="Verdana"/>
          <w:spacing w:val="-4"/>
          <w:sz w:val="20"/>
          <w:szCs w:val="20"/>
          <w:lang w:val="es-CR"/>
        </w:rPr>
        <w:t>Considerando 26)</w:t>
      </w:r>
      <w:r w:rsidR="00503374" w:rsidRPr="00503374">
        <w:rPr>
          <w:rFonts w:ascii="Verdana" w:hAnsi="Verdana"/>
          <w:sz w:val="20"/>
          <w:szCs w:val="20"/>
        </w:rPr>
        <w:t>.</w:t>
      </w:r>
      <w:r w:rsidR="00503374">
        <w:rPr>
          <w:rFonts w:ascii="Verdana" w:eastAsia="Calibri" w:hAnsi="Verdana" w:cs="Cambria"/>
          <w:sz w:val="20"/>
          <w:szCs w:val="20"/>
          <w:lang w:val="es-CR"/>
        </w:rPr>
        <w:t xml:space="preserve"> </w:t>
      </w:r>
    </w:p>
    <w:p w14:paraId="40DD3A47" w14:textId="609ED20D" w:rsidR="00C467E2" w:rsidRDefault="00377AE1" w:rsidP="00016434">
      <w:pPr>
        <w:numPr>
          <w:ilvl w:val="0"/>
          <w:numId w:val="2"/>
        </w:numPr>
        <w:spacing w:before="120" w:after="120"/>
        <w:ind w:left="0" w:firstLine="0"/>
        <w:jc w:val="both"/>
        <w:rPr>
          <w:rFonts w:ascii="Verdana" w:hAnsi="Verdana"/>
          <w:sz w:val="20"/>
          <w:szCs w:val="20"/>
          <w:lang w:val="es-CR"/>
        </w:rPr>
      </w:pPr>
      <w:r>
        <w:rPr>
          <w:rFonts w:ascii="Verdana" w:hAnsi="Verdana"/>
          <w:sz w:val="20"/>
          <w:szCs w:val="20"/>
          <w:lang w:val="es-CR"/>
        </w:rPr>
        <w:t xml:space="preserve">Ante </w:t>
      </w:r>
      <w:r w:rsidR="00FB3B6F">
        <w:rPr>
          <w:rFonts w:ascii="Verdana" w:hAnsi="Verdana"/>
          <w:sz w:val="20"/>
          <w:szCs w:val="20"/>
          <w:lang w:val="es-CR"/>
        </w:rPr>
        <w:t>la</w:t>
      </w:r>
      <w:r>
        <w:rPr>
          <w:rFonts w:ascii="Verdana" w:hAnsi="Verdana"/>
          <w:sz w:val="20"/>
          <w:szCs w:val="20"/>
          <w:lang w:val="es-CR"/>
        </w:rPr>
        <w:t xml:space="preserve"> invocad</w:t>
      </w:r>
      <w:r w:rsidR="00FB3B6F">
        <w:rPr>
          <w:rFonts w:ascii="Verdana" w:hAnsi="Verdana"/>
          <w:sz w:val="20"/>
          <w:szCs w:val="20"/>
          <w:lang w:val="es-CR"/>
        </w:rPr>
        <w:t>a</w:t>
      </w:r>
      <w:r>
        <w:rPr>
          <w:rFonts w:ascii="Verdana" w:hAnsi="Verdana"/>
          <w:sz w:val="20"/>
          <w:szCs w:val="20"/>
          <w:lang w:val="es-CR"/>
        </w:rPr>
        <w:t xml:space="preserve"> afectación del derecho al acceso a la justicia de las víctimas del presente caso, </w:t>
      </w:r>
      <w:r w:rsidR="00C467E2" w:rsidRPr="00016434">
        <w:rPr>
          <w:rFonts w:ascii="Verdana" w:hAnsi="Verdana"/>
          <w:sz w:val="20"/>
          <w:szCs w:val="20"/>
        </w:rPr>
        <w:t>e</w:t>
      </w:r>
      <w:r w:rsidR="006E0326" w:rsidRPr="00016434">
        <w:rPr>
          <w:rFonts w:ascii="Verdana" w:hAnsi="Verdana"/>
          <w:sz w:val="20"/>
          <w:szCs w:val="20"/>
        </w:rPr>
        <w:t xml:space="preserve">l </w:t>
      </w:r>
      <w:proofErr w:type="gramStart"/>
      <w:r w:rsidR="006E0326" w:rsidRPr="00016434">
        <w:rPr>
          <w:rFonts w:ascii="Verdana" w:hAnsi="Verdana"/>
          <w:sz w:val="20"/>
          <w:szCs w:val="20"/>
        </w:rPr>
        <w:t>Presidente</w:t>
      </w:r>
      <w:proofErr w:type="gramEnd"/>
      <w:r w:rsidR="00D04443" w:rsidRPr="00016434">
        <w:rPr>
          <w:rFonts w:ascii="Verdana" w:hAnsi="Verdana"/>
          <w:sz w:val="20"/>
          <w:szCs w:val="20"/>
        </w:rPr>
        <w:t xml:space="preserve"> recuerda </w:t>
      </w:r>
      <w:r w:rsidR="00D04443" w:rsidRPr="00016434">
        <w:rPr>
          <w:rFonts w:ascii="Verdana" w:eastAsia="Verdana" w:hAnsi="Verdana" w:cs="Verdana"/>
          <w:sz w:val="20"/>
          <w:szCs w:val="20"/>
          <w:lang w:val="es-CR"/>
        </w:rPr>
        <w:t xml:space="preserve">que </w:t>
      </w:r>
      <w:r w:rsidR="00D04443" w:rsidRPr="00016434">
        <w:rPr>
          <w:rFonts w:ascii="Verdana" w:hAnsi="Verdana"/>
          <w:sz w:val="20"/>
          <w:szCs w:val="20"/>
        </w:rPr>
        <w:t>los Estados, para garantizar un debido proceso, deben facilitar todos los me</w:t>
      </w:r>
      <w:r w:rsidR="00D04443" w:rsidRPr="00016434">
        <w:rPr>
          <w:rFonts w:ascii="Verdana" w:hAnsi="Verdana"/>
          <w:spacing w:val="-4"/>
          <w:sz w:val="20"/>
          <w:szCs w:val="20"/>
        </w:rPr>
        <w:t xml:space="preserve">dios </w:t>
      </w:r>
      <w:r w:rsidR="00D04443" w:rsidRPr="00016434">
        <w:rPr>
          <w:rFonts w:ascii="Verdana" w:hAnsi="Verdana"/>
          <w:sz w:val="20"/>
          <w:szCs w:val="20"/>
        </w:rPr>
        <w:t>necesarios</w:t>
      </w:r>
      <w:r w:rsidR="00D04443" w:rsidRPr="00016434">
        <w:rPr>
          <w:rFonts w:ascii="Verdana" w:hAnsi="Verdana"/>
          <w:spacing w:val="-4"/>
          <w:sz w:val="20"/>
          <w:szCs w:val="20"/>
        </w:rPr>
        <w:t xml:space="preserve"> para proteger a los operadores de justicia de hostigamientos y amenazas que tengan como finalidad </w:t>
      </w:r>
      <w:r w:rsidR="00D04443" w:rsidRPr="00016434">
        <w:rPr>
          <w:rFonts w:ascii="Verdana" w:hAnsi="Verdana"/>
          <w:sz w:val="20"/>
          <w:szCs w:val="20"/>
        </w:rPr>
        <w:t>entorpecer el proceso, evitar el esclarecimiento de los hechos y encubrir a los responsables de los mismos</w:t>
      </w:r>
      <w:r w:rsidR="00D04443" w:rsidRPr="008E74AA">
        <w:rPr>
          <w:rFonts w:ascii="Verdana" w:hAnsi="Verdana"/>
          <w:sz w:val="20"/>
          <w:szCs w:val="20"/>
          <w:vertAlign w:val="superscript"/>
        </w:rPr>
        <w:footnoteReference w:id="27"/>
      </w:r>
      <w:r w:rsidR="00D04443" w:rsidRPr="00016434">
        <w:rPr>
          <w:rFonts w:ascii="Verdana" w:hAnsi="Verdana"/>
          <w:sz w:val="20"/>
          <w:szCs w:val="20"/>
        </w:rPr>
        <w:t xml:space="preserve">. </w:t>
      </w:r>
      <w:r w:rsidR="00D04443" w:rsidRPr="00016434">
        <w:rPr>
          <w:rFonts w:ascii="Verdana" w:hAnsi="Verdana"/>
          <w:sz w:val="20"/>
          <w:szCs w:val="20"/>
        </w:rPr>
        <w:lastRenderedPageBreak/>
        <w:t>Tales hechos se convierten en otro medio para perpetuar la impunidad e impedir que se conozca la verdad de lo ocurrido</w:t>
      </w:r>
      <w:r w:rsidR="00D04443" w:rsidRPr="008E74AA">
        <w:rPr>
          <w:rFonts w:ascii="Verdana" w:hAnsi="Verdana"/>
          <w:sz w:val="20"/>
          <w:szCs w:val="20"/>
          <w:vertAlign w:val="superscript"/>
        </w:rPr>
        <w:footnoteReference w:id="28"/>
      </w:r>
      <w:r w:rsidR="00D04443" w:rsidRPr="00016434">
        <w:rPr>
          <w:rFonts w:ascii="Verdana" w:hAnsi="Verdana"/>
          <w:sz w:val="20"/>
          <w:szCs w:val="20"/>
        </w:rPr>
        <w:t>.</w:t>
      </w:r>
      <w:r w:rsidR="00C467E2" w:rsidRPr="00016434">
        <w:rPr>
          <w:rFonts w:ascii="Verdana" w:hAnsi="Verdana"/>
          <w:sz w:val="20"/>
          <w:szCs w:val="20"/>
          <w:lang w:val="es-CR"/>
        </w:rPr>
        <w:t xml:space="preserve"> Los Estados están obligados a garantizar que los operadores de justicia puedan ejercer sus funciones profesionales sin intimidación, trabas, hostigamiento, injerencias indebidas o riesgo injustificado de incurrir en responsabilidad civil, penal o de otra índole</w:t>
      </w:r>
      <w:r w:rsidR="00C467E2" w:rsidRPr="00483F8B">
        <w:rPr>
          <w:rStyle w:val="Refdenotaalpie"/>
          <w:sz w:val="20"/>
          <w:szCs w:val="20"/>
          <w:lang w:val="es-CR"/>
        </w:rPr>
        <w:footnoteReference w:id="29"/>
      </w:r>
      <w:r w:rsidR="00C467E2" w:rsidRPr="00483F8B">
        <w:rPr>
          <w:rFonts w:ascii="Verdana" w:hAnsi="Verdana"/>
          <w:sz w:val="20"/>
          <w:szCs w:val="20"/>
          <w:lang w:val="es-CR"/>
        </w:rPr>
        <w:t>.</w:t>
      </w:r>
    </w:p>
    <w:p w14:paraId="70E89D0E" w14:textId="4C356E2E" w:rsidR="00FB3B6F" w:rsidRDefault="00FB3B6F" w:rsidP="00FB3B6F">
      <w:pPr>
        <w:numPr>
          <w:ilvl w:val="0"/>
          <w:numId w:val="2"/>
        </w:numPr>
        <w:spacing w:before="120" w:after="120"/>
        <w:ind w:left="0" w:firstLine="0"/>
        <w:jc w:val="both"/>
        <w:rPr>
          <w:rFonts w:ascii="Verdana" w:hAnsi="Verdana"/>
          <w:sz w:val="20"/>
          <w:szCs w:val="20"/>
          <w:lang w:val="es-CR"/>
        </w:rPr>
      </w:pPr>
      <w:r>
        <w:rPr>
          <w:rFonts w:ascii="Verdana" w:eastAsiaTheme="minorHAnsi" w:hAnsi="Verdana" w:cs="Verdana"/>
          <w:sz w:val="20"/>
          <w:szCs w:val="20"/>
          <w:lang w:val="es-CR"/>
        </w:rPr>
        <w:t xml:space="preserve">Dado que del </w:t>
      </w:r>
      <w:r w:rsidRPr="00283D9F">
        <w:rPr>
          <w:rFonts w:ascii="Verdana" w:eastAsiaTheme="minorHAnsi" w:hAnsi="Verdana" w:cs="Verdana"/>
          <w:sz w:val="20"/>
          <w:szCs w:val="20"/>
          <w:lang w:val="es-CR"/>
        </w:rPr>
        <w:t>proceso de antejuicio</w:t>
      </w:r>
      <w:r w:rsidRPr="0011284E">
        <w:rPr>
          <w:rFonts w:ascii="Verdana" w:eastAsiaTheme="minorHAnsi" w:hAnsi="Verdana" w:cs="Verdana"/>
          <w:sz w:val="20"/>
          <w:szCs w:val="20"/>
          <w:lang w:val="es-CR"/>
        </w:rPr>
        <w:t xml:space="preserve"> puede resultar una separación del </w:t>
      </w:r>
      <w:r w:rsidR="006C77E0">
        <w:rPr>
          <w:rFonts w:ascii="Verdana" w:eastAsiaTheme="minorHAnsi" w:hAnsi="Verdana" w:cs="Verdana"/>
          <w:sz w:val="20"/>
          <w:szCs w:val="20"/>
          <w:lang w:val="es-CR"/>
        </w:rPr>
        <w:t>j</w:t>
      </w:r>
      <w:r w:rsidRPr="0011284E">
        <w:rPr>
          <w:rFonts w:ascii="Verdana" w:eastAsiaTheme="minorHAnsi" w:hAnsi="Verdana" w:cs="Verdana"/>
          <w:sz w:val="20"/>
          <w:szCs w:val="20"/>
          <w:lang w:val="es-CR"/>
        </w:rPr>
        <w:t xml:space="preserve">uez del </w:t>
      </w:r>
      <w:r w:rsidR="006C77E0">
        <w:rPr>
          <w:rFonts w:ascii="Verdana" w:eastAsiaTheme="minorHAnsi" w:hAnsi="Verdana" w:cs="Verdana"/>
          <w:sz w:val="20"/>
          <w:szCs w:val="20"/>
          <w:lang w:val="es-CR"/>
        </w:rPr>
        <w:t>p</w:t>
      </w:r>
      <w:r w:rsidRPr="0011284E">
        <w:rPr>
          <w:rFonts w:ascii="Verdana" w:eastAsiaTheme="minorHAnsi" w:hAnsi="Verdana" w:cs="Verdana"/>
          <w:sz w:val="20"/>
          <w:szCs w:val="20"/>
          <w:lang w:val="es-CR"/>
        </w:rPr>
        <w:t>roceso vinculado al presente caso</w:t>
      </w:r>
      <w:r>
        <w:rPr>
          <w:rFonts w:ascii="Verdana" w:eastAsiaTheme="minorHAnsi" w:hAnsi="Verdana" w:cs="Verdana"/>
          <w:sz w:val="20"/>
          <w:szCs w:val="20"/>
          <w:lang w:val="es-CR"/>
        </w:rPr>
        <w:t xml:space="preserve">, el </w:t>
      </w:r>
      <w:proofErr w:type="gramStart"/>
      <w:r>
        <w:rPr>
          <w:rFonts w:ascii="Verdana" w:eastAsiaTheme="minorHAnsi" w:hAnsi="Verdana" w:cs="Verdana"/>
          <w:sz w:val="20"/>
          <w:szCs w:val="20"/>
          <w:lang w:val="es-CR"/>
        </w:rPr>
        <w:t>Presidente</w:t>
      </w:r>
      <w:proofErr w:type="gramEnd"/>
      <w:r>
        <w:rPr>
          <w:rFonts w:ascii="Verdana" w:eastAsiaTheme="minorHAnsi" w:hAnsi="Verdana" w:cs="Verdana"/>
          <w:sz w:val="20"/>
          <w:szCs w:val="20"/>
          <w:lang w:val="es-CR"/>
        </w:rPr>
        <w:t xml:space="preserve"> recuerda que</w:t>
      </w:r>
      <w:r>
        <w:rPr>
          <w:rFonts w:ascii="Verdana" w:hAnsi="Verdana"/>
          <w:sz w:val="20"/>
          <w:szCs w:val="20"/>
          <w:lang w:val="es-CR"/>
        </w:rPr>
        <w:t xml:space="preserve"> </w:t>
      </w:r>
      <w:r w:rsidRPr="0011284E">
        <w:rPr>
          <w:rFonts w:ascii="Verdana" w:hAnsi="Verdana"/>
          <w:sz w:val="20"/>
          <w:szCs w:val="20"/>
        </w:rPr>
        <w:t>la independencia judicial</w:t>
      </w:r>
      <w:r>
        <w:rPr>
          <w:rFonts w:ascii="Verdana" w:hAnsi="Verdana"/>
          <w:sz w:val="20"/>
          <w:szCs w:val="20"/>
          <w:lang w:val="es-CR"/>
        </w:rPr>
        <w:t xml:space="preserve"> </w:t>
      </w:r>
      <w:r w:rsidRPr="0011284E">
        <w:rPr>
          <w:rFonts w:ascii="Verdana" w:hAnsi="Verdana"/>
          <w:sz w:val="20"/>
          <w:szCs w:val="20"/>
        </w:rPr>
        <w:t xml:space="preserve">se trata de uno de los “pilares básicos de las garantías del debido </w:t>
      </w:r>
      <w:r w:rsidRPr="0085104A">
        <w:rPr>
          <w:rFonts w:ascii="Verdana" w:hAnsi="Verdana"/>
          <w:sz w:val="20"/>
          <w:szCs w:val="20"/>
        </w:rPr>
        <w:t>proceso”</w:t>
      </w:r>
      <w:r w:rsidRPr="0085104A">
        <w:rPr>
          <w:rStyle w:val="Refdenotaalpie"/>
          <w:sz w:val="20"/>
          <w:szCs w:val="20"/>
        </w:rPr>
        <w:footnoteReference w:id="30"/>
      </w:r>
      <w:r w:rsidRPr="0085104A">
        <w:rPr>
          <w:rFonts w:ascii="Verdana" w:hAnsi="Verdana"/>
          <w:sz w:val="20"/>
          <w:szCs w:val="20"/>
        </w:rPr>
        <w:t>, por lo que cuando se afecta en forma arbitraria la permanencia de las juezas y los jueces en sus cargos, se vulnera el derecho a la independencia judicial consagrado en el artículo 8.1 de la Convención</w:t>
      </w:r>
      <w:r w:rsidRPr="0085104A">
        <w:rPr>
          <w:rStyle w:val="Refdenotaalpie"/>
          <w:sz w:val="20"/>
          <w:szCs w:val="20"/>
        </w:rPr>
        <w:footnoteReference w:id="31"/>
      </w:r>
      <w:r w:rsidRPr="0085104A">
        <w:rPr>
          <w:rFonts w:ascii="Verdana" w:hAnsi="Verdana"/>
          <w:sz w:val="20"/>
          <w:szCs w:val="20"/>
        </w:rPr>
        <w:t>. Asimismo, la Corte ha afirmado que el ejercicio autónomo de la función judicial debe ser garantizado por el Estado tanto en su faceta institucional, esto es, en relación con el Poder Judicial como sistema, como en su vertiente individual, es decir, en relación con la persona de la jueza o el juez específico. El objetivo de la protección radica en evitar que el sistema judicial, en general, y sus integrantes, en particular, se vean sometidos a posibles restricciones indebidas en el ejercicio de su función por parte de órganos ajenos al Poder Judicial, o incluso por parte de quienes ejercen funciones de revisión o apelación</w:t>
      </w:r>
      <w:r w:rsidRPr="0085104A">
        <w:rPr>
          <w:rStyle w:val="Refdenotaalpie"/>
          <w:sz w:val="20"/>
          <w:szCs w:val="20"/>
        </w:rPr>
        <w:footnoteReference w:id="32"/>
      </w:r>
      <w:r w:rsidRPr="0085104A">
        <w:rPr>
          <w:rFonts w:ascii="Verdana" w:hAnsi="Verdana"/>
          <w:sz w:val="20"/>
          <w:szCs w:val="20"/>
        </w:rPr>
        <w:t>. De esa cuenta, existe una relación directa entre la dimensión institucional de la independencia judicial y el derecho de las juezas y los jueces a acceder y permanecer en sus cargos en condiciones generales de igualdad</w:t>
      </w:r>
      <w:r w:rsidRPr="0085104A">
        <w:rPr>
          <w:rStyle w:val="Refdenotaalpie"/>
          <w:sz w:val="20"/>
          <w:szCs w:val="20"/>
        </w:rPr>
        <w:footnoteReference w:id="33"/>
      </w:r>
      <w:r w:rsidRPr="0085104A">
        <w:rPr>
          <w:rFonts w:ascii="Verdana" w:hAnsi="Verdana"/>
          <w:sz w:val="20"/>
          <w:szCs w:val="20"/>
        </w:rPr>
        <w:t>. A partir de lo anterior, la Corte ha señalado que de la independencia judicial se derivan las siguientes garantías en torno a la función de las autoridades judiciales: (i) a un adecuado proceso de nombramiento; (</w:t>
      </w:r>
      <w:proofErr w:type="spellStart"/>
      <w:r w:rsidRPr="0085104A">
        <w:rPr>
          <w:rFonts w:ascii="Verdana" w:hAnsi="Verdana"/>
          <w:sz w:val="20"/>
          <w:szCs w:val="20"/>
        </w:rPr>
        <w:t>ii</w:t>
      </w:r>
      <w:proofErr w:type="spellEnd"/>
      <w:r w:rsidRPr="0085104A">
        <w:rPr>
          <w:rFonts w:ascii="Verdana" w:hAnsi="Verdana"/>
          <w:sz w:val="20"/>
          <w:szCs w:val="20"/>
        </w:rPr>
        <w:t>) a la estabilidad e inamovilidad en el cargo, y (</w:t>
      </w:r>
      <w:proofErr w:type="spellStart"/>
      <w:r w:rsidRPr="0085104A">
        <w:rPr>
          <w:rFonts w:ascii="Verdana" w:hAnsi="Verdana"/>
          <w:sz w:val="20"/>
          <w:szCs w:val="20"/>
        </w:rPr>
        <w:t>iii</w:t>
      </w:r>
      <w:proofErr w:type="spellEnd"/>
      <w:r w:rsidRPr="0085104A">
        <w:rPr>
          <w:rFonts w:ascii="Verdana" w:hAnsi="Verdana"/>
          <w:sz w:val="20"/>
          <w:szCs w:val="20"/>
        </w:rPr>
        <w:t>) a ser protegidas contra presiones externas</w:t>
      </w:r>
      <w:r w:rsidRPr="0085104A">
        <w:rPr>
          <w:rStyle w:val="Refdenotaalpie"/>
          <w:sz w:val="20"/>
          <w:szCs w:val="20"/>
        </w:rPr>
        <w:footnoteReference w:id="34"/>
      </w:r>
      <w:r w:rsidRPr="0085104A">
        <w:rPr>
          <w:rFonts w:ascii="Verdana" w:hAnsi="Verdana"/>
          <w:sz w:val="20"/>
          <w:szCs w:val="20"/>
        </w:rPr>
        <w:t>.</w:t>
      </w:r>
    </w:p>
    <w:p w14:paraId="47ED2D1D" w14:textId="58639CA4" w:rsidR="00FB3B6F" w:rsidRPr="00393B07" w:rsidRDefault="00693832" w:rsidP="00393B07">
      <w:pPr>
        <w:numPr>
          <w:ilvl w:val="0"/>
          <w:numId w:val="2"/>
        </w:numPr>
        <w:spacing w:before="120" w:after="120"/>
        <w:ind w:left="0" w:firstLine="0"/>
        <w:jc w:val="both"/>
        <w:rPr>
          <w:rFonts w:ascii="Verdana" w:hAnsi="Verdana"/>
          <w:sz w:val="20"/>
          <w:szCs w:val="20"/>
          <w:lang w:val="es-CR"/>
        </w:rPr>
      </w:pPr>
      <w:r w:rsidRPr="00693832">
        <w:rPr>
          <w:rFonts w:ascii="Verdana" w:hAnsi="Verdana"/>
          <w:sz w:val="20"/>
          <w:szCs w:val="20"/>
          <w:lang w:val="es-CR"/>
        </w:rPr>
        <w:t>En específico, y teniendo en consideración que el artículo 23.1 c) de la Convención</w:t>
      </w:r>
      <w:r>
        <w:rPr>
          <w:rFonts w:ascii="Verdana" w:hAnsi="Verdana"/>
          <w:sz w:val="20"/>
          <w:szCs w:val="20"/>
          <w:lang w:val="es-CR"/>
        </w:rPr>
        <w:t xml:space="preserve"> </w:t>
      </w:r>
      <w:r w:rsidRPr="00693832">
        <w:rPr>
          <w:rFonts w:ascii="Verdana" w:hAnsi="Verdana"/>
          <w:sz w:val="20"/>
          <w:szCs w:val="20"/>
          <w:lang w:val="es-CR"/>
        </w:rPr>
        <w:t>Americana establece el derecho a acceder a funciones públicas en condiciones generales de</w:t>
      </w:r>
      <w:r>
        <w:rPr>
          <w:rFonts w:ascii="Verdana" w:hAnsi="Verdana"/>
          <w:sz w:val="20"/>
          <w:szCs w:val="20"/>
          <w:lang w:val="es-CR"/>
        </w:rPr>
        <w:t xml:space="preserve"> </w:t>
      </w:r>
      <w:r w:rsidRPr="00693832">
        <w:rPr>
          <w:rFonts w:ascii="Verdana" w:hAnsi="Verdana"/>
          <w:sz w:val="20"/>
          <w:szCs w:val="20"/>
          <w:lang w:val="es-CR"/>
        </w:rPr>
        <w:t>igualdad, esta Corte ha interpretado que</w:t>
      </w:r>
      <w:r>
        <w:rPr>
          <w:rFonts w:ascii="Verdana" w:hAnsi="Verdana"/>
          <w:sz w:val="20"/>
          <w:szCs w:val="20"/>
          <w:lang w:val="es-CR"/>
        </w:rPr>
        <w:t xml:space="preserve"> </w:t>
      </w:r>
      <w:r w:rsidR="00FB3B6F" w:rsidRPr="00693832">
        <w:rPr>
          <w:rFonts w:ascii="Verdana" w:hAnsi="Verdana"/>
          <w:sz w:val="20"/>
          <w:szCs w:val="20"/>
          <w:lang w:val="es-CR"/>
        </w:rPr>
        <w:t>el acceso en</w:t>
      </w:r>
      <w:r w:rsidR="00FB3B6F" w:rsidRPr="00693832">
        <w:rPr>
          <w:rFonts w:ascii="Verdana" w:hAnsi="Verdana"/>
          <w:spacing w:val="1"/>
          <w:sz w:val="20"/>
          <w:szCs w:val="20"/>
          <w:lang w:val="es-CR"/>
        </w:rPr>
        <w:t xml:space="preserve"> </w:t>
      </w:r>
      <w:r w:rsidR="00FB3B6F" w:rsidRPr="00693832">
        <w:rPr>
          <w:rFonts w:ascii="Verdana" w:hAnsi="Verdana"/>
          <w:sz w:val="20"/>
          <w:szCs w:val="20"/>
          <w:lang w:val="es-CR"/>
        </w:rPr>
        <w:t>condiciones de igualdad es una garantía insuficiente si no está acompañada por la protección</w:t>
      </w:r>
      <w:r w:rsidR="00FB3B6F" w:rsidRPr="00693832">
        <w:rPr>
          <w:rFonts w:ascii="Verdana" w:hAnsi="Verdana"/>
          <w:spacing w:val="1"/>
          <w:sz w:val="20"/>
          <w:szCs w:val="20"/>
          <w:lang w:val="es-CR"/>
        </w:rPr>
        <w:t xml:space="preserve"> </w:t>
      </w:r>
      <w:r w:rsidR="00FB3B6F" w:rsidRPr="00693832">
        <w:rPr>
          <w:rFonts w:ascii="Verdana" w:hAnsi="Verdana"/>
          <w:sz w:val="20"/>
          <w:szCs w:val="20"/>
          <w:lang w:val="es-CR"/>
        </w:rPr>
        <w:t>efectiva</w:t>
      </w:r>
      <w:r w:rsidR="00FB3B6F" w:rsidRPr="00693832">
        <w:rPr>
          <w:rFonts w:ascii="Verdana" w:hAnsi="Verdana"/>
          <w:spacing w:val="-3"/>
          <w:sz w:val="20"/>
          <w:szCs w:val="20"/>
          <w:lang w:val="es-CR"/>
        </w:rPr>
        <w:t xml:space="preserve"> </w:t>
      </w:r>
      <w:r w:rsidR="00FB3B6F" w:rsidRPr="00693832">
        <w:rPr>
          <w:rFonts w:ascii="Verdana" w:hAnsi="Verdana"/>
          <w:sz w:val="20"/>
          <w:szCs w:val="20"/>
          <w:lang w:val="es-CR"/>
        </w:rPr>
        <w:t>de</w:t>
      </w:r>
      <w:r w:rsidR="00FB3B6F" w:rsidRPr="00693832">
        <w:rPr>
          <w:rFonts w:ascii="Verdana" w:hAnsi="Verdana"/>
          <w:spacing w:val="-4"/>
          <w:sz w:val="20"/>
          <w:szCs w:val="20"/>
          <w:lang w:val="es-CR"/>
        </w:rPr>
        <w:t xml:space="preserve"> </w:t>
      </w:r>
      <w:r w:rsidR="00FB3B6F" w:rsidRPr="00693832">
        <w:rPr>
          <w:rFonts w:ascii="Verdana" w:hAnsi="Verdana"/>
          <w:sz w:val="20"/>
          <w:szCs w:val="20"/>
          <w:lang w:val="es-CR"/>
        </w:rPr>
        <w:t>la</w:t>
      </w:r>
      <w:r w:rsidR="00FB3B6F" w:rsidRPr="00693832">
        <w:rPr>
          <w:rFonts w:ascii="Verdana" w:hAnsi="Verdana"/>
          <w:spacing w:val="-2"/>
          <w:sz w:val="20"/>
          <w:szCs w:val="20"/>
          <w:lang w:val="es-CR"/>
        </w:rPr>
        <w:t xml:space="preserve"> </w:t>
      </w:r>
      <w:r w:rsidR="00FB3B6F" w:rsidRPr="00693832">
        <w:rPr>
          <w:rFonts w:ascii="Verdana" w:hAnsi="Verdana"/>
          <w:sz w:val="20"/>
          <w:szCs w:val="20"/>
          <w:lang w:val="es-CR"/>
        </w:rPr>
        <w:t>permanencia</w:t>
      </w:r>
      <w:r w:rsidR="00FB3B6F" w:rsidRPr="00693832">
        <w:rPr>
          <w:rFonts w:ascii="Verdana" w:hAnsi="Verdana"/>
          <w:spacing w:val="-3"/>
          <w:sz w:val="20"/>
          <w:szCs w:val="20"/>
          <w:lang w:val="es-CR"/>
        </w:rPr>
        <w:t xml:space="preserve"> </w:t>
      </w:r>
      <w:r w:rsidR="00FB3B6F" w:rsidRPr="00693832">
        <w:rPr>
          <w:rFonts w:ascii="Verdana" w:hAnsi="Verdana"/>
          <w:sz w:val="20"/>
          <w:szCs w:val="20"/>
          <w:lang w:val="es-CR"/>
        </w:rPr>
        <w:t>en</w:t>
      </w:r>
      <w:r w:rsidR="00FB3B6F" w:rsidRPr="00693832">
        <w:rPr>
          <w:rFonts w:ascii="Verdana" w:hAnsi="Verdana"/>
          <w:spacing w:val="-2"/>
          <w:sz w:val="20"/>
          <w:szCs w:val="20"/>
          <w:lang w:val="es-CR"/>
        </w:rPr>
        <w:t xml:space="preserve"> </w:t>
      </w:r>
      <w:r w:rsidR="00FB3B6F" w:rsidRPr="00693832">
        <w:rPr>
          <w:rFonts w:ascii="Verdana" w:hAnsi="Verdana"/>
          <w:sz w:val="20"/>
          <w:szCs w:val="20"/>
          <w:lang w:val="es-CR"/>
        </w:rPr>
        <w:t>aquello</w:t>
      </w:r>
      <w:r w:rsidR="00FB3B6F" w:rsidRPr="00693832">
        <w:rPr>
          <w:rFonts w:ascii="Verdana" w:hAnsi="Verdana"/>
          <w:spacing w:val="-3"/>
          <w:sz w:val="20"/>
          <w:szCs w:val="20"/>
          <w:lang w:val="es-CR"/>
        </w:rPr>
        <w:t xml:space="preserve"> </w:t>
      </w:r>
      <w:r w:rsidR="00FB3B6F" w:rsidRPr="00693832">
        <w:rPr>
          <w:rFonts w:ascii="Verdana" w:hAnsi="Verdana"/>
          <w:sz w:val="20"/>
          <w:szCs w:val="20"/>
          <w:lang w:val="es-CR"/>
        </w:rPr>
        <w:t>a</w:t>
      </w:r>
      <w:r w:rsidR="00FB3B6F" w:rsidRPr="00693832">
        <w:rPr>
          <w:rFonts w:ascii="Verdana" w:hAnsi="Verdana"/>
          <w:spacing w:val="-3"/>
          <w:sz w:val="20"/>
          <w:szCs w:val="20"/>
          <w:lang w:val="es-CR"/>
        </w:rPr>
        <w:t xml:space="preserve"> </w:t>
      </w:r>
      <w:r w:rsidR="00FB3B6F" w:rsidRPr="00693832">
        <w:rPr>
          <w:rFonts w:ascii="Verdana" w:hAnsi="Verdana"/>
          <w:sz w:val="20"/>
          <w:szCs w:val="20"/>
          <w:lang w:val="es-CR"/>
        </w:rPr>
        <w:t>lo</w:t>
      </w:r>
      <w:r w:rsidR="00FB3B6F" w:rsidRPr="00693832">
        <w:rPr>
          <w:rFonts w:ascii="Verdana" w:hAnsi="Verdana"/>
          <w:spacing w:val="-4"/>
          <w:sz w:val="20"/>
          <w:szCs w:val="20"/>
          <w:lang w:val="es-CR"/>
        </w:rPr>
        <w:t xml:space="preserve"> </w:t>
      </w:r>
      <w:r w:rsidR="00FB3B6F" w:rsidRPr="00693832">
        <w:rPr>
          <w:rFonts w:ascii="Verdana" w:hAnsi="Verdana"/>
          <w:sz w:val="20"/>
          <w:szCs w:val="20"/>
          <w:lang w:val="es-CR"/>
        </w:rPr>
        <w:t>que</w:t>
      </w:r>
      <w:r w:rsidR="00FB3B6F" w:rsidRPr="00693832">
        <w:rPr>
          <w:rFonts w:ascii="Verdana" w:hAnsi="Verdana"/>
          <w:spacing w:val="-1"/>
          <w:sz w:val="20"/>
          <w:szCs w:val="20"/>
          <w:lang w:val="es-CR"/>
        </w:rPr>
        <w:t xml:space="preserve"> </w:t>
      </w:r>
      <w:r w:rsidR="00FB3B6F" w:rsidRPr="00693832">
        <w:rPr>
          <w:rFonts w:ascii="Verdana" w:hAnsi="Verdana"/>
          <w:sz w:val="20"/>
          <w:szCs w:val="20"/>
          <w:lang w:val="es-CR"/>
        </w:rPr>
        <w:t>se</w:t>
      </w:r>
      <w:r w:rsidR="00FB3B6F" w:rsidRPr="00693832">
        <w:rPr>
          <w:rFonts w:ascii="Verdana" w:hAnsi="Verdana"/>
          <w:spacing w:val="-4"/>
          <w:sz w:val="20"/>
          <w:szCs w:val="20"/>
          <w:lang w:val="es-CR"/>
        </w:rPr>
        <w:t xml:space="preserve"> </w:t>
      </w:r>
      <w:r w:rsidR="00FB3B6F" w:rsidRPr="0085104A">
        <w:rPr>
          <w:rFonts w:ascii="Verdana" w:hAnsi="Verdana"/>
          <w:sz w:val="20"/>
          <w:szCs w:val="20"/>
          <w:lang w:val="es-CR"/>
        </w:rPr>
        <w:t>accede</w:t>
      </w:r>
      <w:r w:rsidR="00FB3B6F" w:rsidRPr="0085104A">
        <w:rPr>
          <w:rStyle w:val="Refdenotaalpie"/>
          <w:sz w:val="20"/>
          <w:szCs w:val="20"/>
          <w:lang w:val="es-CR"/>
        </w:rPr>
        <w:footnoteReference w:id="35"/>
      </w:r>
      <w:r w:rsidR="00FB3B6F" w:rsidRPr="0085104A">
        <w:rPr>
          <w:rFonts w:ascii="Verdana" w:hAnsi="Verdana"/>
          <w:sz w:val="20"/>
          <w:szCs w:val="20"/>
          <w:lang w:val="es-CR"/>
        </w:rPr>
        <w:t>,</w:t>
      </w:r>
      <w:r w:rsidR="00FB3B6F" w:rsidRPr="0085104A">
        <w:rPr>
          <w:rFonts w:ascii="Verdana" w:hAnsi="Verdana"/>
          <w:spacing w:val="-4"/>
          <w:sz w:val="20"/>
          <w:szCs w:val="20"/>
          <w:lang w:val="es-CR"/>
        </w:rPr>
        <w:t xml:space="preserve"> </w:t>
      </w:r>
      <w:r w:rsidR="00FB3B6F" w:rsidRPr="0085104A">
        <w:rPr>
          <w:rFonts w:ascii="Verdana" w:hAnsi="Verdana"/>
          <w:sz w:val="20"/>
          <w:szCs w:val="20"/>
          <w:lang w:val="es-CR"/>
        </w:rPr>
        <w:t>lo</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que</w:t>
      </w:r>
      <w:r w:rsidR="00FB3B6F" w:rsidRPr="0085104A">
        <w:rPr>
          <w:rFonts w:ascii="Verdana" w:hAnsi="Verdana"/>
          <w:spacing w:val="-4"/>
          <w:sz w:val="20"/>
          <w:szCs w:val="20"/>
          <w:lang w:val="es-CR"/>
        </w:rPr>
        <w:t xml:space="preserve"> </w:t>
      </w:r>
      <w:r w:rsidR="00FB3B6F" w:rsidRPr="0085104A">
        <w:rPr>
          <w:rFonts w:ascii="Verdana" w:hAnsi="Verdana"/>
          <w:sz w:val="20"/>
          <w:szCs w:val="20"/>
          <w:lang w:val="es-CR"/>
        </w:rPr>
        <w:t>indica</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que</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los</w:t>
      </w:r>
      <w:r w:rsidR="00FB3B6F" w:rsidRPr="0085104A">
        <w:rPr>
          <w:rFonts w:ascii="Verdana" w:hAnsi="Verdana"/>
          <w:spacing w:val="-4"/>
          <w:sz w:val="20"/>
          <w:szCs w:val="20"/>
          <w:lang w:val="es-CR"/>
        </w:rPr>
        <w:t xml:space="preserve"> </w:t>
      </w:r>
      <w:r w:rsidR="00FB3B6F" w:rsidRPr="0085104A">
        <w:rPr>
          <w:rFonts w:ascii="Verdana" w:hAnsi="Verdana"/>
          <w:sz w:val="20"/>
          <w:szCs w:val="20"/>
          <w:lang w:val="es-CR"/>
        </w:rPr>
        <w:t>procedimientos</w:t>
      </w:r>
      <w:r w:rsidR="00FB3B6F" w:rsidRPr="0085104A">
        <w:rPr>
          <w:rFonts w:ascii="Verdana" w:hAnsi="Verdana"/>
          <w:spacing w:val="-68"/>
          <w:sz w:val="20"/>
          <w:szCs w:val="20"/>
          <w:lang w:val="es-CR"/>
        </w:rPr>
        <w:t xml:space="preserve"> </w:t>
      </w:r>
      <w:r w:rsidR="00FB3B6F" w:rsidRPr="0085104A">
        <w:rPr>
          <w:rFonts w:ascii="Verdana" w:hAnsi="Verdana"/>
          <w:sz w:val="20"/>
          <w:szCs w:val="20"/>
          <w:lang w:val="es-CR"/>
        </w:rPr>
        <w:t>de</w:t>
      </w:r>
      <w:r w:rsidR="00FB3B6F" w:rsidRPr="0085104A">
        <w:rPr>
          <w:rFonts w:ascii="Verdana" w:hAnsi="Verdana"/>
          <w:spacing w:val="-11"/>
          <w:sz w:val="20"/>
          <w:szCs w:val="20"/>
          <w:lang w:val="es-CR"/>
        </w:rPr>
        <w:t xml:space="preserve"> </w:t>
      </w:r>
      <w:r w:rsidR="00FB3B6F" w:rsidRPr="0085104A">
        <w:rPr>
          <w:rFonts w:ascii="Verdana" w:hAnsi="Verdana"/>
          <w:sz w:val="20"/>
          <w:szCs w:val="20"/>
          <w:lang w:val="es-CR"/>
        </w:rPr>
        <w:t>nombramiento,</w:t>
      </w:r>
      <w:r w:rsidR="00FB3B6F" w:rsidRPr="0085104A">
        <w:rPr>
          <w:rFonts w:ascii="Verdana" w:hAnsi="Verdana"/>
          <w:spacing w:val="-9"/>
          <w:sz w:val="20"/>
          <w:szCs w:val="20"/>
          <w:lang w:val="es-CR"/>
        </w:rPr>
        <w:t xml:space="preserve"> </w:t>
      </w:r>
      <w:r w:rsidR="00FB3B6F" w:rsidRPr="0085104A">
        <w:rPr>
          <w:rFonts w:ascii="Verdana" w:hAnsi="Verdana"/>
          <w:sz w:val="20"/>
          <w:szCs w:val="20"/>
          <w:lang w:val="es-CR"/>
        </w:rPr>
        <w:lastRenderedPageBreak/>
        <w:t>ascenso,</w:t>
      </w:r>
      <w:r w:rsidR="00FB3B6F" w:rsidRPr="0085104A">
        <w:rPr>
          <w:rFonts w:ascii="Verdana" w:hAnsi="Verdana"/>
          <w:spacing w:val="-9"/>
          <w:sz w:val="20"/>
          <w:szCs w:val="20"/>
          <w:lang w:val="es-CR"/>
        </w:rPr>
        <w:t xml:space="preserve"> </w:t>
      </w:r>
      <w:r w:rsidR="00FB3B6F" w:rsidRPr="0085104A">
        <w:rPr>
          <w:rFonts w:ascii="Verdana" w:hAnsi="Verdana"/>
          <w:sz w:val="20"/>
          <w:szCs w:val="20"/>
          <w:lang w:val="es-CR"/>
        </w:rPr>
        <w:t>suspensión</w:t>
      </w:r>
      <w:r w:rsidR="00FB3B6F" w:rsidRPr="0085104A">
        <w:rPr>
          <w:rFonts w:ascii="Verdana" w:hAnsi="Verdana"/>
          <w:spacing w:val="-9"/>
          <w:sz w:val="20"/>
          <w:szCs w:val="20"/>
          <w:lang w:val="es-CR"/>
        </w:rPr>
        <w:t xml:space="preserve"> </w:t>
      </w:r>
      <w:r w:rsidR="00FB3B6F" w:rsidRPr="0085104A">
        <w:rPr>
          <w:rFonts w:ascii="Verdana" w:hAnsi="Verdana"/>
          <w:sz w:val="20"/>
          <w:szCs w:val="20"/>
          <w:lang w:val="es-CR"/>
        </w:rPr>
        <w:t>y</w:t>
      </w:r>
      <w:r w:rsidR="00FB3B6F" w:rsidRPr="0085104A">
        <w:rPr>
          <w:rFonts w:ascii="Verdana" w:hAnsi="Verdana"/>
          <w:spacing w:val="-9"/>
          <w:sz w:val="20"/>
          <w:szCs w:val="20"/>
          <w:lang w:val="es-CR"/>
        </w:rPr>
        <w:t xml:space="preserve"> </w:t>
      </w:r>
      <w:r w:rsidR="00FB3B6F" w:rsidRPr="0085104A">
        <w:rPr>
          <w:rFonts w:ascii="Verdana" w:hAnsi="Verdana"/>
          <w:sz w:val="20"/>
          <w:szCs w:val="20"/>
          <w:lang w:val="es-CR"/>
        </w:rPr>
        <w:t>destitución</w:t>
      </w:r>
      <w:r w:rsidR="00FB3B6F" w:rsidRPr="0085104A">
        <w:rPr>
          <w:rFonts w:ascii="Verdana" w:hAnsi="Verdana"/>
          <w:spacing w:val="-9"/>
          <w:sz w:val="20"/>
          <w:szCs w:val="20"/>
          <w:lang w:val="es-CR"/>
        </w:rPr>
        <w:t xml:space="preserve"> </w:t>
      </w:r>
      <w:r w:rsidR="00FB3B6F" w:rsidRPr="0085104A">
        <w:rPr>
          <w:rFonts w:ascii="Verdana" w:hAnsi="Verdana"/>
          <w:sz w:val="20"/>
          <w:szCs w:val="20"/>
          <w:lang w:val="es-CR"/>
        </w:rPr>
        <w:t>de</w:t>
      </w:r>
      <w:r w:rsidR="00FB3B6F" w:rsidRPr="0085104A">
        <w:rPr>
          <w:rFonts w:ascii="Verdana" w:hAnsi="Verdana"/>
          <w:spacing w:val="-10"/>
          <w:sz w:val="20"/>
          <w:szCs w:val="20"/>
          <w:lang w:val="es-CR"/>
        </w:rPr>
        <w:t xml:space="preserve"> </w:t>
      </w:r>
      <w:r w:rsidR="00FB3B6F" w:rsidRPr="0085104A">
        <w:rPr>
          <w:rFonts w:ascii="Verdana" w:hAnsi="Verdana"/>
          <w:sz w:val="20"/>
          <w:szCs w:val="20"/>
          <w:lang w:val="es-CR"/>
        </w:rPr>
        <w:t>funcionarios</w:t>
      </w:r>
      <w:r w:rsidR="00FB3B6F" w:rsidRPr="0085104A">
        <w:rPr>
          <w:rFonts w:ascii="Verdana" w:hAnsi="Verdana"/>
          <w:spacing w:val="-10"/>
          <w:sz w:val="20"/>
          <w:szCs w:val="20"/>
          <w:lang w:val="es-CR"/>
        </w:rPr>
        <w:t xml:space="preserve"> </w:t>
      </w:r>
      <w:r w:rsidR="00FB3B6F" w:rsidRPr="0085104A">
        <w:rPr>
          <w:rFonts w:ascii="Verdana" w:hAnsi="Verdana"/>
          <w:sz w:val="20"/>
          <w:szCs w:val="20"/>
          <w:lang w:val="es-CR"/>
        </w:rPr>
        <w:t>públicos</w:t>
      </w:r>
      <w:r w:rsidR="00FB3B6F" w:rsidRPr="0085104A">
        <w:rPr>
          <w:rFonts w:ascii="Verdana" w:hAnsi="Verdana"/>
          <w:spacing w:val="-11"/>
          <w:sz w:val="20"/>
          <w:szCs w:val="20"/>
          <w:lang w:val="es-CR"/>
        </w:rPr>
        <w:t xml:space="preserve"> </w:t>
      </w:r>
      <w:r w:rsidR="00FB3B6F" w:rsidRPr="0085104A">
        <w:rPr>
          <w:rFonts w:ascii="Verdana" w:hAnsi="Verdana"/>
          <w:sz w:val="20"/>
          <w:szCs w:val="20"/>
          <w:lang w:val="es-CR"/>
        </w:rPr>
        <w:t>deben</w:t>
      </w:r>
      <w:r w:rsidR="00FB3B6F" w:rsidRPr="0085104A">
        <w:rPr>
          <w:rFonts w:ascii="Verdana" w:hAnsi="Verdana"/>
          <w:spacing w:val="-8"/>
          <w:sz w:val="20"/>
          <w:szCs w:val="20"/>
          <w:lang w:val="es-CR"/>
        </w:rPr>
        <w:t xml:space="preserve"> </w:t>
      </w:r>
      <w:r w:rsidR="00FB3B6F" w:rsidRPr="0085104A">
        <w:rPr>
          <w:rFonts w:ascii="Verdana" w:hAnsi="Verdana"/>
          <w:sz w:val="20"/>
          <w:szCs w:val="20"/>
          <w:lang w:val="es-CR"/>
        </w:rPr>
        <w:t>ser</w:t>
      </w:r>
      <w:r w:rsidR="00FB3B6F" w:rsidRPr="0085104A">
        <w:rPr>
          <w:rFonts w:ascii="Verdana" w:hAnsi="Verdana"/>
          <w:spacing w:val="-8"/>
          <w:sz w:val="20"/>
          <w:szCs w:val="20"/>
          <w:lang w:val="es-CR"/>
        </w:rPr>
        <w:t xml:space="preserve"> </w:t>
      </w:r>
      <w:r w:rsidR="00FB3B6F" w:rsidRPr="0085104A">
        <w:rPr>
          <w:rFonts w:ascii="Verdana" w:hAnsi="Verdana"/>
          <w:sz w:val="20"/>
          <w:szCs w:val="20"/>
          <w:lang w:val="es-CR"/>
        </w:rPr>
        <w:t>objetivos</w:t>
      </w:r>
      <w:r w:rsidR="00FB3B6F" w:rsidRPr="0085104A">
        <w:rPr>
          <w:rFonts w:ascii="Verdana" w:hAnsi="Verdana"/>
          <w:spacing w:val="-68"/>
          <w:sz w:val="20"/>
          <w:szCs w:val="20"/>
          <w:lang w:val="es-CR"/>
        </w:rPr>
        <w:t xml:space="preserve"> </w:t>
      </w:r>
      <w:r w:rsidR="00FB3B6F" w:rsidRPr="0085104A">
        <w:rPr>
          <w:rFonts w:ascii="Verdana" w:hAnsi="Verdana"/>
          <w:sz w:val="20"/>
          <w:szCs w:val="20"/>
          <w:lang w:val="es-CR"/>
        </w:rPr>
        <w:t>y</w:t>
      </w:r>
      <w:r w:rsidR="00FB3B6F" w:rsidRPr="0085104A">
        <w:rPr>
          <w:rFonts w:ascii="Verdana" w:hAnsi="Verdana"/>
          <w:spacing w:val="-2"/>
          <w:sz w:val="20"/>
          <w:szCs w:val="20"/>
          <w:lang w:val="es-CR"/>
        </w:rPr>
        <w:t xml:space="preserve"> </w:t>
      </w:r>
      <w:r w:rsidR="00FB3B6F" w:rsidRPr="0085104A">
        <w:rPr>
          <w:rFonts w:ascii="Verdana" w:hAnsi="Verdana"/>
          <w:sz w:val="20"/>
          <w:szCs w:val="20"/>
          <w:lang w:val="es-CR"/>
        </w:rPr>
        <w:t>razonables, es</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decir, deben</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respetar</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las garantías</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del</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debido</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proceso</w:t>
      </w:r>
      <w:r w:rsidR="00FB3B6F" w:rsidRPr="0085104A">
        <w:rPr>
          <w:rFonts w:ascii="Verdana" w:hAnsi="Verdana"/>
          <w:spacing w:val="-1"/>
          <w:sz w:val="20"/>
          <w:szCs w:val="20"/>
          <w:lang w:val="es-CR"/>
        </w:rPr>
        <w:t xml:space="preserve"> </w:t>
      </w:r>
      <w:r w:rsidR="00FB3B6F" w:rsidRPr="003C2BD7">
        <w:rPr>
          <w:rFonts w:ascii="Verdana" w:hAnsi="Verdana"/>
          <w:sz w:val="20"/>
          <w:szCs w:val="20"/>
          <w:lang w:val="es-CR"/>
        </w:rPr>
        <w:t>aplicables</w:t>
      </w:r>
      <w:r w:rsidR="00FB3B6F" w:rsidRPr="003C2BD7">
        <w:rPr>
          <w:rStyle w:val="Refdenotaalpie"/>
          <w:sz w:val="20"/>
          <w:szCs w:val="20"/>
          <w:lang w:val="es-CR"/>
        </w:rPr>
        <w:footnoteReference w:id="36"/>
      </w:r>
      <w:r w:rsidR="00FB3B6F" w:rsidRPr="003C2BD7">
        <w:rPr>
          <w:rFonts w:ascii="Verdana" w:hAnsi="Verdana"/>
          <w:sz w:val="20"/>
          <w:szCs w:val="20"/>
          <w:lang w:val="es-CR"/>
        </w:rPr>
        <w:t>.</w:t>
      </w:r>
      <w:r w:rsidR="00FB3B6F" w:rsidRPr="0085104A">
        <w:rPr>
          <w:rFonts w:ascii="Verdana" w:hAnsi="Verdana"/>
          <w:sz w:val="20"/>
          <w:szCs w:val="20"/>
          <w:lang w:val="es-CR"/>
        </w:rPr>
        <w:t xml:space="preserve"> Esta Corte se ha pronunciado de manera reiterada sobre este derecho</w:t>
      </w:r>
      <w:r w:rsidR="00393B07" w:rsidRPr="0085104A">
        <w:rPr>
          <w:rFonts w:ascii="Verdana" w:hAnsi="Verdana"/>
          <w:sz w:val="20"/>
          <w:szCs w:val="20"/>
          <w:lang w:val="es-CR"/>
        </w:rPr>
        <w:t xml:space="preserve"> (artículo 23.1 c)</w:t>
      </w:r>
      <w:r w:rsidR="00FB3B6F" w:rsidRPr="0085104A">
        <w:rPr>
          <w:rFonts w:ascii="Verdana" w:hAnsi="Verdana"/>
          <w:sz w:val="20"/>
          <w:szCs w:val="20"/>
          <w:lang w:val="es-CR"/>
        </w:rPr>
        <w:t xml:space="preserve"> en relación con</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 xml:space="preserve">procesos de destitución de </w:t>
      </w:r>
      <w:proofErr w:type="gramStart"/>
      <w:r w:rsidR="00FB3B6F" w:rsidRPr="0085104A">
        <w:rPr>
          <w:rFonts w:ascii="Verdana" w:hAnsi="Verdana"/>
          <w:sz w:val="20"/>
          <w:szCs w:val="20"/>
          <w:lang w:val="es-CR"/>
        </w:rPr>
        <w:t>jueces y juezas</w:t>
      </w:r>
      <w:proofErr w:type="gramEnd"/>
      <w:r w:rsidR="006D1222" w:rsidRPr="0085104A">
        <w:fldChar w:fldCharType="begin"/>
      </w:r>
      <w:r w:rsidR="006D1222" w:rsidRPr="0085104A">
        <w:instrText>HYPERLINK \l "_bookmark191"</w:instrText>
      </w:r>
      <w:r w:rsidR="006D1222" w:rsidRPr="0085104A">
        <w:fldChar w:fldCharType="separate"/>
      </w:r>
      <w:r w:rsidR="00FB3B6F" w:rsidRPr="0085104A">
        <w:rPr>
          <w:rStyle w:val="Refdenotaalpie"/>
          <w:sz w:val="20"/>
          <w:szCs w:val="20"/>
          <w:lang w:val="es-CR"/>
        </w:rPr>
        <w:footnoteReference w:id="37"/>
      </w:r>
      <w:r w:rsidR="00FB3B6F" w:rsidRPr="0085104A">
        <w:rPr>
          <w:rFonts w:ascii="Verdana" w:hAnsi="Verdana"/>
          <w:position w:val="7"/>
          <w:sz w:val="20"/>
          <w:szCs w:val="20"/>
          <w:lang w:val="es-CR"/>
        </w:rPr>
        <w:t xml:space="preserve"> </w:t>
      </w:r>
      <w:r w:rsidR="006D1222" w:rsidRPr="0085104A">
        <w:rPr>
          <w:rFonts w:ascii="Verdana" w:hAnsi="Verdana"/>
          <w:position w:val="7"/>
          <w:sz w:val="20"/>
          <w:szCs w:val="20"/>
          <w:lang w:val="es-CR"/>
        </w:rPr>
        <w:fldChar w:fldCharType="end"/>
      </w:r>
      <w:r w:rsidR="00FB3B6F" w:rsidRPr="0085104A">
        <w:rPr>
          <w:rFonts w:ascii="Verdana" w:hAnsi="Verdana"/>
          <w:sz w:val="20"/>
          <w:szCs w:val="20"/>
          <w:lang w:val="es-CR"/>
        </w:rPr>
        <w:t>y ha considerado que se relaciona con la garantía</w:t>
      </w:r>
      <w:r w:rsidR="00FB3B6F" w:rsidRPr="0085104A">
        <w:rPr>
          <w:rFonts w:ascii="Verdana" w:hAnsi="Verdana"/>
          <w:spacing w:val="2"/>
          <w:sz w:val="20"/>
          <w:szCs w:val="20"/>
          <w:lang w:val="es-CR"/>
        </w:rPr>
        <w:t xml:space="preserve"> </w:t>
      </w:r>
      <w:r w:rsidR="00FB3B6F" w:rsidRPr="0085104A">
        <w:rPr>
          <w:rFonts w:ascii="Verdana" w:hAnsi="Verdana"/>
          <w:sz w:val="20"/>
          <w:szCs w:val="20"/>
          <w:lang w:val="es-CR"/>
        </w:rPr>
        <w:t>de</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estabilidad</w:t>
      </w:r>
      <w:r w:rsidR="00FB3B6F" w:rsidRPr="0085104A">
        <w:rPr>
          <w:rFonts w:ascii="Verdana" w:hAnsi="Verdana"/>
          <w:spacing w:val="6"/>
          <w:sz w:val="20"/>
          <w:szCs w:val="20"/>
          <w:lang w:val="es-CR"/>
        </w:rPr>
        <w:t xml:space="preserve"> </w:t>
      </w:r>
      <w:r w:rsidR="00FB3B6F" w:rsidRPr="0085104A">
        <w:rPr>
          <w:rFonts w:ascii="Verdana" w:hAnsi="Verdana"/>
          <w:sz w:val="20"/>
          <w:szCs w:val="20"/>
          <w:lang w:val="es-CR"/>
        </w:rPr>
        <w:t>o</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inamovilidad</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en</w:t>
      </w:r>
      <w:r w:rsidR="00FB3B6F" w:rsidRPr="0085104A">
        <w:rPr>
          <w:rFonts w:ascii="Verdana" w:hAnsi="Verdana"/>
          <w:spacing w:val="5"/>
          <w:sz w:val="20"/>
          <w:szCs w:val="20"/>
          <w:lang w:val="es-CR"/>
        </w:rPr>
        <w:t xml:space="preserve"> </w:t>
      </w:r>
      <w:r w:rsidR="00FB3B6F" w:rsidRPr="0085104A">
        <w:rPr>
          <w:rFonts w:ascii="Verdana" w:hAnsi="Verdana"/>
          <w:sz w:val="20"/>
          <w:szCs w:val="20"/>
          <w:lang w:val="es-CR"/>
        </w:rPr>
        <w:t>el</w:t>
      </w:r>
      <w:r w:rsidR="00FB3B6F" w:rsidRPr="0085104A">
        <w:rPr>
          <w:rFonts w:ascii="Verdana" w:hAnsi="Verdana"/>
          <w:spacing w:val="2"/>
          <w:sz w:val="20"/>
          <w:szCs w:val="20"/>
          <w:lang w:val="es-CR"/>
        </w:rPr>
        <w:t xml:space="preserve"> </w:t>
      </w:r>
      <w:r w:rsidR="00FB3B6F" w:rsidRPr="0085104A">
        <w:rPr>
          <w:rFonts w:ascii="Verdana" w:hAnsi="Verdana"/>
          <w:sz w:val="20"/>
          <w:szCs w:val="20"/>
          <w:lang w:val="es-CR"/>
        </w:rPr>
        <w:t>cargo</w:t>
      </w:r>
      <w:r w:rsidR="00FB3B6F" w:rsidRPr="0085104A">
        <w:rPr>
          <w:rStyle w:val="Refdenotaalpie"/>
          <w:sz w:val="20"/>
          <w:szCs w:val="20"/>
        </w:rPr>
        <w:footnoteReference w:id="38"/>
      </w:r>
      <w:r w:rsidR="00FB3B6F" w:rsidRPr="0085104A">
        <w:rPr>
          <w:rFonts w:ascii="Verdana" w:hAnsi="Verdana"/>
          <w:sz w:val="20"/>
          <w:szCs w:val="20"/>
          <w:lang w:val="es-CR"/>
        </w:rPr>
        <w:t>.</w:t>
      </w:r>
      <w:r w:rsidR="00FB3B6F" w:rsidRPr="0085104A">
        <w:rPr>
          <w:rFonts w:ascii="Verdana" w:hAnsi="Verdana"/>
          <w:spacing w:val="2"/>
          <w:sz w:val="20"/>
          <w:szCs w:val="20"/>
          <w:lang w:val="es-CR"/>
        </w:rPr>
        <w:t xml:space="preserve"> </w:t>
      </w:r>
      <w:r w:rsidR="00FB3B6F" w:rsidRPr="0085104A">
        <w:rPr>
          <w:rFonts w:ascii="Verdana" w:hAnsi="Verdana"/>
          <w:sz w:val="20"/>
          <w:szCs w:val="20"/>
          <w:lang w:val="es-CR"/>
        </w:rPr>
        <w:t>De</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modo</w:t>
      </w:r>
      <w:r w:rsidR="00FB3B6F" w:rsidRPr="0085104A">
        <w:rPr>
          <w:rFonts w:ascii="Verdana" w:hAnsi="Verdana"/>
          <w:spacing w:val="2"/>
          <w:sz w:val="20"/>
          <w:szCs w:val="20"/>
          <w:lang w:val="es-CR"/>
        </w:rPr>
        <w:t xml:space="preserve"> </w:t>
      </w:r>
      <w:r w:rsidR="00FB3B6F" w:rsidRPr="0085104A">
        <w:rPr>
          <w:rFonts w:ascii="Verdana" w:hAnsi="Verdana"/>
          <w:sz w:val="20"/>
          <w:szCs w:val="20"/>
          <w:lang w:val="es-CR"/>
        </w:rPr>
        <w:t>que</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el</w:t>
      </w:r>
      <w:r w:rsidR="00FB3B6F" w:rsidRPr="0085104A">
        <w:rPr>
          <w:rFonts w:ascii="Verdana" w:hAnsi="Verdana"/>
          <w:spacing w:val="6"/>
          <w:sz w:val="20"/>
          <w:szCs w:val="20"/>
          <w:lang w:val="es-CR"/>
        </w:rPr>
        <w:t xml:space="preserve"> </w:t>
      </w:r>
      <w:r w:rsidR="00FB3B6F" w:rsidRPr="0085104A">
        <w:rPr>
          <w:rFonts w:ascii="Verdana" w:hAnsi="Verdana"/>
          <w:sz w:val="20"/>
          <w:szCs w:val="20"/>
          <w:lang w:val="es-CR"/>
        </w:rPr>
        <w:t>respeto</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y</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garantía</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de</w:t>
      </w:r>
      <w:r w:rsidR="00FB3B6F" w:rsidRPr="0085104A">
        <w:rPr>
          <w:rFonts w:ascii="Verdana" w:hAnsi="Verdana"/>
          <w:spacing w:val="3"/>
          <w:sz w:val="20"/>
          <w:szCs w:val="20"/>
          <w:lang w:val="es-CR"/>
        </w:rPr>
        <w:t xml:space="preserve"> </w:t>
      </w:r>
      <w:r w:rsidR="00FB3B6F" w:rsidRPr="0085104A">
        <w:rPr>
          <w:rFonts w:ascii="Verdana" w:hAnsi="Verdana"/>
          <w:sz w:val="20"/>
          <w:szCs w:val="20"/>
          <w:lang w:val="es-CR"/>
        </w:rPr>
        <w:t>este derecho</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se</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cumple</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cuando</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los</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criterios</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y</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procedimientos</w:t>
      </w:r>
      <w:r w:rsidR="00FB3B6F" w:rsidRPr="0085104A">
        <w:rPr>
          <w:rFonts w:ascii="Verdana" w:hAnsi="Verdana"/>
          <w:spacing w:val="1"/>
          <w:sz w:val="20"/>
          <w:szCs w:val="20"/>
          <w:lang w:val="es-CR"/>
        </w:rPr>
        <w:t xml:space="preserve"> </w:t>
      </w:r>
      <w:r w:rsidR="00FB3B6F" w:rsidRPr="0085104A">
        <w:rPr>
          <w:rFonts w:ascii="Verdana" w:hAnsi="Verdana"/>
          <w:sz w:val="20"/>
          <w:szCs w:val="20"/>
          <w:lang w:val="es-CR"/>
        </w:rPr>
        <w:t>para</w:t>
      </w:r>
      <w:r w:rsidR="00FB3B6F" w:rsidRPr="0085104A">
        <w:rPr>
          <w:rFonts w:ascii="Verdana" w:hAnsi="Verdana"/>
          <w:spacing w:val="1"/>
          <w:sz w:val="20"/>
          <w:szCs w:val="20"/>
          <w:lang w:val="es-CR"/>
        </w:rPr>
        <w:t xml:space="preserve"> </w:t>
      </w:r>
      <w:r w:rsidR="00FB3B6F" w:rsidRPr="000E45A4">
        <w:rPr>
          <w:rFonts w:ascii="Verdana" w:hAnsi="Verdana"/>
          <w:sz w:val="20"/>
          <w:szCs w:val="20"/>
          <w:lang w:val="es-CR"/>
        </w:rPr>
        <w:t>el</w:t>
      </w:r>
      <w:r w:rsidR="00FB3B6F" w:rsidRPr="000E45A4">
        <w:rPr>
          <w:rFonts w:ascii="Verdana" w:hAnsi="Verdana"/>
          <w:spacing w:val="1"/>
          <w:sz w:val="20"/>
          <w:szCs w:val="20"/>
          <w:lang w:val="es-CR"/>
        </w:rPr>
        <w:t xml:space="preserve"> </w:t>
      </w:r>
      <w:r w:rsidR="00FB3B6F" w:rsidRPr="000E45A4">
        <w:rPr>
          <w:rFonts w:ascii="Verdana" w:hAnsi="Verdana"/>
          <w:sz w:val="20"/>
          <w:szCs w:val="20"/>
          <w:lang w:val="es-CR"/>
        </w:rPr>
        <w:t>nombramiento,</w:t>
      </w:r>
      <w:r w:rsidR="00FB3B6F" w:rsidRPr="000E45A4">
        <w:rPr>
          <w:rFonts w:ascii="Verdana" w:hAnsi="Verdana"/>
          <w:spacing w:val="1"/>
          <w:sz w:val="20"/>
          <w:szCs w:val="20"/>
          <w:lang w:val="es-CR"/>
        </w:rPr>
        <w:t xml:space="preserve"> </w:t>
      </w:r>
      <w:r w:rsidR="00FB3B6F" w:rsidRPr="000E45A4">
        <w:rPr>
          <w:rFonts w:ascii="Verdana" w:hAnsi="Verdana"/>
          <w:sz w:val="20"/>
          <w:szCs w:val="20"/>
          <w:lang w:val="es-CR"/>
        </w:rPr>
        <w:t>ascenso,</w:t>
      </w:r>
      <w:r w:rsidR="00FB3B6F" w:rsidRPr="000E45A4">
        <w:rPr>
          <w:rFonts w:ascii="Verdana" w:hAnsi="Verdana"/>
          <w:spacing w:val="-68"/>
          <w:sz w:val="20"/>
          <w:szCs w:val="20"/>
          <w:lang w:val="es-CR"/>
        </w:rPr>
        <w:t xml:space="preserve"> </w:t>
      </w:r>
      <w:r w:rsidR="00FB3B6F" w:rsidRPr="000E45A4">
        <w:rPr>
          <w:rFonts w:ascii="Verdana" w:hAnsi="Verdana"/>
          <w:sz w:val="20"/>
          <w:szCs w:val="20"/>
          <w:lang w:val="es-CR"/>
        </w:rPr>
        <w:t xml:space="preserve">suspensión y destitución de </w:t>
      </w:r>
      <w:proofErr w:type="gramStart"/>
      <w:r w:rsidR="00FB3B6F" w:rsidRPr="000E45A4">
        <w:rPr>
          <w:rFonts w:ascii="Verdana" w:hAnsi="Verdana"/>
          <w:sz w:val="20"/>
          <w:szCs w:val="20"/>
          <w:lang w:val="es-CR"/>
        </w:rPr>
        <w:t>jueces y juezas</w:t>
      </w:r>
      <w:proofErr w:type="gramEnd"/>
      <w:r w:rsidR="00FB3B6F" w:rsidRPr="000E45A4">
        <w:rPr>
          <w:rFonts w:ascii="Verdana" w:hAnsi="Verdana"/>
          <w:sz w:val="20"/>
          <w:szCs w:val="20"/>
          <w:lang w:val="es-CR"/>
        </w:rPr>
        <w:t xml:space="preserve"> son razonables y objetivos, y las personas</w:t>
      </w:r>
      <w:r w:rsidR="00FB3B6F" w:rsidRPr="000E45A4">
        <w:rPr>
          <w:rFonts w:ascii="Verdana" w:hAnsi="Verdana"/>
          <w:spacing w:val="1"/>
          <w:sz w:val="20"/>
          <w:szCs w:val="20"/>
          <w:lang w:val="es-CR"/>
        </w:rPr>
        <w:t xml:space="preserve"> </w:t>
      </w:r>
      <w:r w:rsidR="00FB3B6F" w:rsidRPr="000E45A4">
        <w:rPr>
          <w:rFonts w:ascii="Verdana" w:hAnsi="Verdana"/>
          <w:sz w:val="20"/>
          <w:szCs w:val="20"/>
          <w:lang w:val="es-CR"/>
        </w:rPr>
        <w:t>no</w:t>
      </w:r>
      <w:r w:rsidR="00FB3B6F" w:rsidRPr="000E45A4">
        <w:rPr>
          <w:rFonts w:ascii="Verdana" w:hAnsi="Verdana"/>
          <w:spacing w:val="-3"/>
          <w:sz w:val="20"/>
          <w:szCs w:val="20"/>
          <w:lang w:val="es-CR"/>
        </w:rPr>
        <w:t xml:space="preserve"> </w:t>
      </w:r>
      <w:r w:rsidR="00FB3B6F" w:rsidRPr="000E45A4">
        <w:rPr>
          <w:rFonts w:ascii="Verdana" w:hAnsi="Verdana"/>
          <w:sz w:val="20"/>
          <w:szCs w:val="20"/>
          <w:lang w:val="es-CR"/>
        </w:rPr>
        <w:t>son objeto</w:t>
      </w:r>
      <w:r w:rsidR="00FB3B6F" w:rsidRPr="000E45A4">
        <w:rPr>
          <w:rFonts w:ascii="Verdana" w:hAnsi="Verdana"/>
          <w:spacing w:val="-2"/>
          <w:sz w:val="20"/>
          <w:szCs w:val="20"/>
          <w:lang w:val="es-CR"/>
        </w:rPr>
        <w:t xml:space="preserve"> </w:t>
      </w:r>
      <w:r w:rsidR="00FB3B6F" w:rsidRPr="000E45A4">
        <w:rPr>
          <w:rFonts w:ascii="Verdana" w:hAnsi="Verdana"/>
          <w:sz w:val="20"/>
          <w:szCs w:val="20"/>
          <w:lang w:val="es-CR"/>
        </w:rPr>
        <w:t>de</w:t>
      </w:r>
      <w:r w:rsidR="00FB3B6F" w:rsidRPr="000E45A4">
        <w:rPr>
          <w:rFonts w:ascii="Verdana" w:hAnsi="Verdana"/>
          <w:spacing w:val="-2"/>
          <w:sz w:val="20"/>
          <w:szCs w:val="20"/>
          <w:lang w:val="es-CR"/>
        </w:rPr>
        <w:t xml:space="preserve"> </w:t>
      </w:r>
      <w:r w:rsidR="00FB3B6F" w:rsidRPr="000E45A4">
        <w:rPr>
          <w:rFonts w:ascii="Verdana" w:hAnsi="Verdana"/>
          <w:sz w:val="20"/>
          <w:szCs w:val="20"/>
          <w:lang w:val="es-CR"/>
        </w:rPr>
        <w:t>discriminación en</w:t>
      </w:r>
      <w:r w:rsidR="00FB3B6F" w:rsidRPr="000E45A4">
        <w:rPr>
          <w:rFonts w:ascii="Verdana" w:hAnsi="Verdana"/>
          <w:spacing w:val="2"/>
          <w:sz w:val="20"/>
          <w:szCs w:val="20"/>
          <w:lang w:val="es-CR"/>
        </w:rPr>
        <w:t xml:space="preserve"> </w:t>
      </w:r>
      <w:r w:rsidR="00FB3B6F" w:rsidRPr="000E45A4">
        <w:rPr>
          <w:rFonts w:ascii="Verdana" w:hAnsi="Verdana"/>
          <w:sz w:val="20"/>
          <w:szCs w:val="20"/>
          <w:lang w:val="es-CR"/>
        </w:rPr>
        <w:t>su ejercicio</w:t>
      </w:r>
      <w:r w:rsidR="00FB3B6F" w:rsidRPr="000E45A4">
        <w:rPr>
          <w:rStyle w:val="Refdenotaalpie"/>
          <w:sz w:val="20"/>
          <w:szCs w:val="20"/>
          <w:lang w:val="es-CR"/>
        </w:rPr>
        <w:footnoteReference w:id="39"/>
      </w:r>
      <w:r w:rsidR="00F75054" w:rsidRPr="000E45A4">
        <w:rPr>
          <w:rFonts w:ascii="Verdana" w:hAnsi="Verdana"/>
          <w:sz w:val="20"/>
          <w:szCs w:val="20"/>
          <w:lang w:val="es-CR"/>
        </w:rPr>
        <w:t>.</w:t>
      </w:r>
      <w:r w:rsidR="000E45A4" w:rsidRPr="000E45A4">
        <w:rPr>
          <w:rFonts w:ascii="Verdana" w:hAnsi="Verdana"/>
          <w:sz w:val="20"/>
          <w:szCs w:val="20"/>
          <w:lang w:val="es-CR"/>
        </w:rPr>
        <w:t xml:space="preserve"> Asimismo, la Corte ha resaltado la importancia de que “puedan realizar un ejercicio autónomo de su función judicial, sin ser objeto de represalias, amenazas ni intimidaciones directas o indirectas”</w:t>
      </w:r>
      <w:r w:rsidR="000E45A4" w:rsidRPr="000E45A4">
        <w:rPr>
          <w:rStyle w:val="Refdenotaalpie"/>
          <w:sz w:val="20"/>
          <w:szCs w:val="20"/>
          <w:lang w:val="es-CR"/>
        </w:rPr>
        <w:footnoteReference w:id="40"/>
      </w:r>
      <w:r w:rsidR="000E45A4" w:rsidRPr="000E45A4">
        <w:rPr>
          <w:rFonts w:ascii="Verdana" w:hAnsi="Verdana"/>
          <w:sz w:val="20"/>
          <w:szCs w:val="20"/>
          <w:lang w:val="es-CR"/>
        </w:rPr>
        <w:t>.</w:t>
      </w:r>
    </w:p>
    <w:p w14:paraId="6FDC84F3" w14:textId="77A6566B" w:rsidR="00D04443" w:rsidRPr="00E56D06" w:rsidRDefault="00D04443" w:rsidP="00BE1C1B">
      <w:pPr>
        <w:numPr>
          <w:ilvl w:val="0"/>
          <w:numId w:val="2"/>
        </w:numPr>
        <w:spacing w:before="120" w:after="120"/>
        <w:ind w:left="0" w:firstLine="0"/>
        <w:jc w:val="both"/>
        <w:rPr>
          <w:rFonts w:ascii="Verdana" w:hAnsi="Verdana"/>
          <w:sz w:val="20"/>
          <w:szCs w:val="20"/>
        </w:rPr>
      </w:pPr>
      <w:r w:rsidRPr="00E56D06">
        <w:rPr>
          <w:rFonts w:ascii="Verdana" w:hAnsi="Verdana"/>
          <w:sz w:val="20"/>
          <w:szCs w:val="20"/>
        </w:rPr>
        <w:t xml:space="preserve">En razón de todo lo anterior, </w:t>
      </w:r>
      <w:r w:rsidR="00133CF4" w:rsidRPr="00E56D06">
        <w:rPr>
          <w:rFonts w:ascii="Verdana" w:hAnsi="Verdana"/>
          <w:sz w:val="20"/>
          <w:szCs w:val="20"/>
        </w:rPr>
        <w:t xml:space="preserve">el </w:t>
      </w:r>
      <w:proofErr w:type="gramStart"/>
      <w:r w:rsidR="00133CF4" w:rsidRPr="00E56D06">
        <w:rPr>
          <w:rFonts w:ascii="Verdana" w:hAnsi="Verdana"/>
          <w:sz w:val="20"/>
          <w:szCs w:val="20"/>
        </w:rPr>
        <w:t>Presidente</w:t>
      </w:r>
      <w:proofErr w:type="gramEnd"/>
      <w:r w:rsidRPr="00E56D06">
        <w:rPr>
          <w:rFonts w:ascii="Verdana" w:hAnsi="Verdana"/>
          <w:sz w:val="20"/>
          <w:szCs w:val="20"/>
        </w:rPr>
        <w:t xml:space="preserve"> estima necesario ordenar la adopción de medidas </w:t>
      </w:r>
      <w:r w:rsidR="007D3D1C" w:rsidRPr="00E56D06">
        <w:rPr>
          <w:rFonts w:ascii="Verdana" w:hAnsi="Verdana"/>
          <w:sz w:val="20"/>
          <w:szCs w:val="20"/>
        </w:rPr>
        <w:t>urgentes</w:t>
      </w:r>
      <w:r w:rsidRPr="00E56D06">
        <w:rPr>
          <w:rFonts w:ascii="Verdana" w:hAnsi="Verdana"/>
          <w:sz w:val="20"/>
          <w:szCs w:val="20"/>
        </w:rPr>
        <w:t xml:space="preserve">, para proteger la vida e integridad personal </w:t>
      </w:r>
      <w:r w:rsidR="00BE1C1B" w:rsidRPr="00E56D06">
        <w:rPr>
          <w:rFonts w:ascii="Verdana" w:eastAsiaTheme="minorHAnsi" w:hAnsi="Verdana" w:cs="Verdana"/>
          <w:color w:val="000000"/>
          <w:sz w:val="20"/>
          <w:szCs w:val="20"/>
          <w:lang w:val="es-CR"/>
        </w:rPr>
        <w:t xml:space="preserve">del </w:t>
      </w:r>
      <w:r w:rsidR="00CF7759" w:rsidRPr="00E56D06">
        <w:rPr>
          <w:rFonts w:ascii="Verdana" w:eastAsiaTheme="minorHAnsi" w:hAnsi="Verdana" w:cs="Verdana"/>
          <w:color w:val="000000"/>
          <w:sz w:val="20"/>
          <w:szCs w:val="20"/>
          <w:lang w:val="es-CR"/>
        </w:rPr>
        <w:t>j</w:t>
      </w:r>
      <w:r w:rsidR="00BE1C1B" w:rsidRPr="00E56D06">
        <w:rPr>
          <w:rFonts w:ascii="Verdana" w:eastAsiaTheme="minorHAnsi" w:hAnsi="Verdana" w:cs="Verdana"/>
          <w:color w:val="000000"/>
          <w:sz w:val="20"/>
          <w:szCs w:val="20"/>
          <w:lang w:val="es-CR"/>
        </w:rPr>
        <w:t>uez Miguel Ángel Gálvez Aguilar, titular del Juzgado B de Mayor Riesgo del Organismo Judicial de Guatemala</w:t>
      </w:r>
      <w:r w:rsidR="00377AE1" w:rsidRPr="00E56D06">
        <w:rPr>
          <w:rFonts w:ascii="Verdana" w:eastAsiaTheme="minorHAnsi" w:hAnsi="Verdana" w:cs="Verdana"/>
          <w:color w:val="000000"/>
          <w:sz w:val="20"/>
          <w:szCs w:val="20"/>
          <w:lang w:val="es-CR"/>
        </w:rPr>
        <w:t xml:space="preserve"> y su independencia judicial</w:t>
      </w:r>
      <w:r w:rsidRPr="00E56D06">
        <w:rPr>
          <w:rFonts w:ascii="Verdana" w:eastAsia="Calibri" w:hAnsi="Verdana" w:cs="Calibri"/>
          <w:sz w:val="20"/>
          <w:szCs w:val="20"/>
          <w:lang w:val="es-ES" w:eastAsia="es-ES"/>
        </w:rPr>
        <w:t>,</w:t>
      </w:r>
      <w:r w:rsidRPr="00E56D06">
        <w:rPr>
          <w:rFonts w:ascii="Verdana" w:hAnsi="Verdana"/>
          <w:sz w:val="20"/>
          <w:szCs w:val="20"/>
          <w:lang w:val="es-CR"/>
        </w:rPr>
        <w:t xml:space="preserve"> </w:t>
      </w:r>
      <w:r w:rsidRPr="00E56D06">
        <w:rPr>
          <w:rFonts w:ascii="Verdana" w:eastAsia="Calibri" w:hAnsi="Verdana" w:cs="Calibri"/>
          <w:sz w:val="20"/>
          <w:szCs w:val="20"/>
          <w:lang w:val="es-ES" w:eastAsia="es-ES"/>
        </w:rPr>
        <w:t>y con ello garantizar el derecho al acceso a la justicia de las víctimas de</w:t>
      </w:r>
      <w:r w:rsidR="00BE1C1B" w:rsidRPr="00E56D06">
        <w:rPr>
          <w:rFonts w:ascii="Verdana" w:eastAsia="Calibri" w:hAnsi="Verdana" w:cs="Calibri"/>
          <w:sz w:val="20"/>
          <w:szCs w:val="20"/>
          <w:lang w:val="es-ES" w:eastAsia="es-ES"/>
        </w:rPr>
        <w:t xml:space="preserve">l caso </w:t>
      </w:r>
      <w:r w:rsidR="00BE1C1B" w:rsidRPr="00E56D06">
        <w:rPr>
          <w:rFonts w:ascii="Verdana" w:eastAsiaTheme="minorHAnsi" w:hAnsi="Verdana" w:cs="Verdana"/>
          <w:i/>
          <w:iCs/>
          <w:color w:val="000000"/>
          <w:sz w:val="20"/>
          <w:szCs w:val="20"/>
          <w:lang w:val="es-CR"/>
        </w:rPr>
        <w:t>Gudiel Álvarez y otros (“Diario Militar”).</w:t>
      </w:r>
      <w:r w:rsidR="00E56D06">
        <w:rPr>
          <w:rFonts w:ascii="Verdana" w:eastAsiaTheme="minorHAnsi" w:hAnsi="Verdana" w:cs="Verdana"/>
          <w:i/>
          <w:iCs/>
          <w:color w:val="000000"/>
          <w:sz w:val="20"/>
          <w:szCs w:val="20"/>
          <w:lang w:val="es-CR"/>
        </w:rPr>
        <w:t xml:space="preserve"> </w:t>
      </w:r>
      <w:r w:rsidR="00377AE1" w:rsidRPr="00E56D06">
        <w:rPr>
          <w:rFonts w:ascii="Verdana" w:eastAsiaTheme="minorHAnsi" w:hAnsi="Verdana" w:cs="Verdana"/>
          <w:color w:val="000000"/>
          <w:sz w:val="20"/>
          <w:szCs w:val="20"/>
          <w:lang w:val="es-CR"/>
        </w:rPr>
        <w:t xml:space="preserve">Asimismo, esta </w:t>
      </w:r>
      <w:r w:rsidR="00C34D56">
        <w:rPr>
          <w:rFonts w:ascii="Verdana" w:eastAsiaTheme="minorHAnsi" w:hAnsi="Verdana" w:cs="Verdana"/>
          <w:color w:val="000000"/>
          <w:sz w:val="20"/>
          <w:szCs w:val="20"/>
          <w:lang w:val="es-CR"/>
        </w:rPr>
        <w:t>P</w:t>
      </w:r>
      <w:r w:rsidR="00377AE1" w:rsidRPr="00E56D06">
        <w:rPr>
          <w:rFonts w:ascii="Verdana" w:eastAsiaTheme="minorHAnsi" w:hAnsi="Verdana" w:cs="Verdana"/>
          <w:color w:val="000000"/>
          <w:sz w:val="20"/>
          <w:szCs w:val="20"/>
          <w:lang w:val="es-CR"/>
        </w:rPr>
        <w:t>residencia estima necesario ordenar que también se proteja la vid</w:t>
      </w:r>
      <w:r w:rsidR="00E56D06">
        <w:rPr>
          <w:rFonts w:ascii="Verdana" w:eastAsiaTheme="minorHAnsi" w:hAnsi="Verdana" w:cs="Verdana"/>
          <w:color w:val="000000"/>
          <w:sz w:val="20"/>
          <w:szCs w:val="20"/>
          <w:lang w:val="es-CR"/>
        </w:rPr>
        <w:t>a</w:t>
      </w:r>
      <w:r w:rsidR="00377AE1" w:rsidRPr="00E56D06">
        <w:rPr>
          <w:rFonts w:ascii="Verdana" w:eastAsiaTheme="minorHAnsi" w:hAnsi="Verdana" w:cs="Verdana"/>
          <w:color w:val="000000"/>
          <w:sz w:val="20"/>
          <w:szCs w:val="20"/>
          <w:lang w:val="es-CR"/>
        </w:rPr>
        <w:t xml:space="preserve"> e integridad de su </w:t>
      </w:r>
      <w:r w:rsidR="006E7CEF">
        <w:rPr>
          <w:rFonts w:ascii="Verdana" w:eastAsiaTheme="minorHAnsi" w:hAnsi="Verdana" w:cs="Verdana"/>
          <w:color w:val="000000"/>
          <w:sz w:val="20"/>
          <w:szCs w:val="20"/>
          <w:lang w:val="es-CR"/>
        </w:rPr>
        <w:t>núcleo</w:t>
      </w:r>
      <w:r w:rsidR="00377AE1" w:rsidRPr="00E56D06">
        <w:rPr>
          <w:rFonts w:ascii="Verdana" w:eastAsiaTheme="minorHAnsi" w:hAnsi="Verdana" w:cs="Verdana"/>
          <w:color w:val="000000"/>
          <w:sz w:val="20"/>
          <w:szCs w:val="20"/>
          <w:lang w:val="es-CR"/>
        </w:rPr>
        <w:t xml:space="preserve"> familiar.</w:t>
      </w:r>
    </w:p>
    <w:p w14:paraId="2FDB3BD5" w14:textId="1A9717B9" w:rsidR="00FE692F" w:rsidRPr="009F7EE1" w:rsidRDefault="001D56D0" w:rsidP="00930560">
      <w:pPr>
        <w:numPr>
          <w:ilvl w:val="0"/>
          <w:numId w:val="2"/>
        </w:numPr>
        <w:ind w:left="0" w:firstLine="0"/>
        <w:jc w:val="both"/>
        <w:rPr>
          <w:rFonts w:ascii="Verdana" w:hAnsi="Verdana"/>
          <w:sz w:val="20"/>
          <w:szCs w:val="20"/>
        </w:rPr>
      </w:pPr>
      <w:r w:rsidRPr="00E56D06">
        <w:rPr>
          <w:rFonts w:ascii="Verdana" w:eastAsia="Verdana" w:hAnsi="Verdana" w:cs="Verdana"/>
          <w:sz w:val="20"/>
          <w:szCs w:val="20"/>
          <w:lang w:val="es-CR"/>
        </w:rPr>
        <w:t xml:space="preserve">Finalmente, </w:t>
      </w:r>
      <w:r w:rsidRPr="00E56D06">
        <w:rPr>
          <w:rFonts w:ascii="Verdana" w:hAnsi="Verdana"/>
          <w:sz w:val="20"/>
          <w:szCs w:val="20"/>
        </w:rPr>
        <w:t xml:space="preserve">el </w:t>
      </w:r>
      <w:proofErr w:type="gramStart"/>
      <w:r w:rsidRPr="00E56D06">
        <w:rPr>
          <w:rFonts w:ascii="Verdana" w:hAnsi="Verdana"/>
          <w:sz w:val="20"/>
          <w:szCs w:val="20"/>
        </w:rPr>
        <w:t>Presidente</w:t>
      </w:r>
      <w:proofErr w:type="gramEnd"/>
      <w:r w:rsidRPr="00E56D06">
        <w:rPr>
          <w:rFonts w:ascii="Verdana" w:hAnsi="Verdana"/>
          <w:sz w:val="20"/>
          <w:szCs w:val="20"/>
        </w:rPr>
        <w:t xml:space="preserve"> recuerda que la disposición establecida en el artículo 63.2 de la Convención confiere</w:t>
      </w:r>
      <w:r w:rsidRPr="00D8766F">
        <w:rPr>
          <w:rFonts w:ascii="Verdana" w:hAnsi="Verdana"/>
          <w:sz w:val="20"/>
          <w:szCs w:val="20"/>
        </w:rPr>
        <w:t xml:space="preserve"> un carácter obligatorio a la adopción, por parte del Estado, de las medidas provisionales que le ordena este Tribunal o las medidas urgentes de su Presidencia, ya que, de acuerdo a un principio básico del Derecho Internacional, los Estados deben cumplir sus obligaciones de buena fe (</w:t>
      </w:r>
      <w:r w:rsidRPr="00D8766F">
        <w:rPr>
          <w:rFonts w:ascii="Verdana" w:hAnsi="Verdana"/>
          <w:i/>
          <w:sz w:val="20"/>
          <w:szCs w:val="20"/>
        </w:rPr>
        <w:t xml:space="preserve">pacta sunt </w:t>
      </w:r>
      <w:proofErr w:type="spellStart"/>
      <w:r w:rsidRPr="00D8766F">
        <w:rPr>
          <w:rFonts w:ascii="Verdana" w:hAnsi="Verdana"/>
          <w:i/>
          <w:sz w:val="20"/>
          <w:szCs w:val="20"/>
        </w:rPr>
        <w:t>servanda</w:t>
      </w:r>
      <w:proofErr w:type="spellEnd"/>
      <w:r w:rsidRPr="00D8766F">
        <w:rPr>
          <w:rFonts w:ascii="Verdana" w:hAnsi="Verdana"/>
          <w:sz w:val="20"/>
          <w:szCs w:val="20"/>
        </w:rPr>
        <w:t>). El incumplimiento de una orden de adopción de medidas provisionales dictada por la Corte o las medidas urgentes de su Presidencia durante el procedimiento ante la Comisión y ante este Tribunal puede generar la responsabilidad internacional del Estado</w:t>
      </w:r>
      <w:r w:rsidRPr="00D8766F">
        <w:rPr>
          <w:rStyle w:val="Refdenotaalpie"/>
          <w:sz w:val="20"/>
          <w:szCs w:val="20"/>
        </w:rPr>
        <w:footnoteReference w:id="41"/>
      </w:r>
      <w:r w:rsidRPr="00D8766F">
        <w:rPr>
          <w:rFonts w:ascii="Verdana" w:hAnsi="Verdana"/>
          <w:sz w:val="20"/>
          <w:szCs w:val="20"/>
        </w:rPr>
        <w:t>.</w:t>
      </w:r>
    </w:p>
    <w:p w14:paraId="7D7AA552" w14:textId="77777777" w:rsidR="000E45A4" w:rsidRPr="008E74AA" w:rsidRDefault="000E45A4" w:rsidP="00930560">
      <w:pPr>
        <w:rPr>
          <w:rFonts w:ascii="Verdana" w:eastAsia="Verdana" w:hAnsi="Verdana" w:cs="Verdana"/>
          <w:b/>
          <w:bCs/>
          <w:spacing w:val="-4"/>
          <w:sz w:val="20"/>
          <w:szCs w:val="20"/>
          <w:lang w:val="es-CR"/>
        </w:rPr>
      </w:pPr>
    </w:p>
    <w:p w14:paraId="7B6B4C57" w14:textId="77777777" w:rsidR="0047378F" w:rsidRPr="008E74AA" w:rsidRDefault="0047378F" w:rsidP="00930560">
      <w:pPr>
        <w:jc w:val="both"/>
        <w:rPr>
          <w:rFonts w:ascii="Verdana" w:eastAsia="Verdana" w:hAnsi="Verdana" w:cs="Verdana"/>
          <w:sz w:val="20"/>
          <w:szCs w:val="20"/>
          <w:lang w:val="es-CR"/>
        </w:rPr>
      </w:pPr>
      <w:r w:rsidRPr="008E74AA">
        <w:rPr>
          <w:rFonts w:ascii="Verdana" w:eastAsia="Verdana" w:hAnsi="Verdana" w:cs="Verdana"/>
          <w:b/>
          <w:bCs/>
          <w:sz w:val="20"/>
          <w:szCs w:val="20"/>
          <w:lang w:val="es-CR"/>
        </w:rPr>
        <w:t>POR TANTO:</w:t>
      </w:r>
    </w:p>
    <w:p w14:paraId="5E5CA38F" w14:textId="77777777" w:rsidR="0047378F" w:rsidRPr="008E74AA" w:rsidRDefault="0047378F" w:rsidP="00930560">
      <w:pPr>
        <w:jc w:val="both"/>
        <w:rPr>
          <w:rFonts w:ascii="Verdana" w:hAnsi="Verdana"/>
          <w:sz w:val="20"/>
          <w:szCs w:val="20"/>
          <w:lang w:val="es-CR"/>
        </w:rPr>
      </w:pPr>
    </w:p>
    <w:p w14:paraId="22FB8BD4" w14:textId="5BFD63A7" w:rsidR="0047378F" w:rsidRPr="008E74AA" w:rsidRDefault="0047378F" w:rsidP="00930560">
      <w:pPr>
        <w:jc w:val="both"/>
        <w:rPr>
          <w:rFonts w:ascii="Verdana" w:eastAsia="Verdana" w:hAnsi="Verdana" w:cs="Verdana"/>
          <w:sz w:val="20"/>
          <w:szCs w:val="20"/>
          <w:lang w:val="es-CR"/>
        </w:rPr>
      </w:pPr>
      <w:r w:rsidRPr="008E74AA">
        <w:rPr>
          <w:rFonts w:ascii="Verdana" w:eastAsia="Verdana" w:hAnsi="Verdana" w:cs="Verdana"/>
          <w:b/>
          <w:bCs/>
          <w:sz w:val="20"/>
          <w:szCs w:val="20"/>
          <w:lang w:val="es-CR"/>
        </w:rPr>
        <w:t>El PRESIDENT</w:t>
      </w:r>
      <w:r w:rsidR="008E74AA">
        <w:rPr>
          <w:rFonts w:ascii="Verdana" w:eastAsia="Verdana" w:hAnsi="Verdana" w:cs="Verdana"/>
          <w:b/>
          <w:bCs/>
          <w:sz w:val="20"/>
          <w:szCs w:val="20"/>
          <w:lang w:val="es-CR"/>
        </w:rPr>
        <w:t>E</w:t>
      </w:r>
      <w:r w:rsidRPr="008E74AA">
        <w:rPr>
          <w:rFonts w:ascii="Verdana" w:eastAsia="Verdana" w:hAnsi="Verdana" w:cs="Verdana"/>
          <w:b/>
          <w:bCs/>
          <w:sz w:val="20"/>
          <w:szCs w:val="20"/>
          <w:lang w:val="es-CR"/>
        </w:rPr>
        <w:t xml:space="preserve"> DE LA CORTE INTERAMERICANA DE DERECHOS HUMANOS,</w:t>
      </w:r>
    </w:p>
    <w:p w14:paraId="2730068E" w14:textId="77777777" w:rsidR="0047378F" w:rsidRPr="008E74AA" w:rsidRDefault="0047378F" w:rsidP="00930560">
      <w:pPr>
        <w:jc w:val="both"/>
        <w:rPr>
          <w:rFonts w:ascii="Verdana" w:hAnsi="Verdana"/>
          <w:sz w:val="20"/>
          <w:szCs w:val="20"/>
          <w:lang w:val="es-CR"/>
        </w:rPr>
      </w:pPr>
    </w:p>
    <w:p w14:paraId="78783473" w14:textId="77777777" w:rsidR="0047378F" w:rsidRPr="008E74AA" w:rsidRDefault="0047378F" w:rsidP="00930560">
      <w:pPr>
        <w:jc w:val="both"/>
        <w:rPr>
          <w:rFonts w:ascii="Verdana" w:eastAsia="Verdana" w:hAnsi="Verdana" w:cs="Verdana"/>
          <w:sz w:val="20"/>
          <w:szCs w:val="20"/>
          <w:highlight w:val="yellow"/>
          <w:lang w:val="es-CR"/>
        </w:rPr>
      </w:pPr>
      <w:r w:rsidRPr="008E74AA">
        <w:rPr>
          <w:rFonts w:ascii="Verdana" w:hAnsi="Verdana"/>
          <w:sz w:val="20"/>
          <w:szCs w:val="20"/>
          <w:lang w:val="es-MX"/>
        </w:rPr>
        <w:t xml:space="preserve">en uso de las atribuciones que le confieren </w:t>
      </w:r>
      <w:r w:rsidRPr="008E74AA">
        <w:rPr>
          <w:rFonts w:ascii="Verdana" w:hAnsi="Verdana"/>
          <w:sz w:val="20"/>
          <w:szCs w:val="20"/>
        </w:rPr>
        <w:t>los artículos 63.2 de la Convención Americana, y 24.1 y 25.2 del Estatuto de la Corte, y los artículos 4, 27, y 31.2 del Reglamento del Tribunal</w:t>
      </w:r>
      <w:r w:rsidRPr="008E74AA">
        <w:rPr>
          <w:rFonts w:ascii="Verdana" w:hAnsi="Verdana"/>
          <w:sz w:val="20"/>
          <w:szCs w:val="20"/>
          <w:lang w:val="es-MX"/>
        </w:rPr>
        <w:t>,</w:t>
      </w:r>
    </w:p>
    <w:p w14:paraId="368108D4" w14:textId="77777777" w:rsidR="0047378F" w:rsidRPr="008E74AA" w:rsidRDefault="0047378F" w:rsidP="00930560">
      <w:pPr>
        <w:jc w:val="both"/>
        <w:rPr>
          <w:rFonts w:ascii="Verdana" w:eastAsia="Verdana" w:hAnsi="Verdana" w:cs="Verdana"/>
          <w:b/>
          <w:bCs/>
          <w:sz w:val="20"/>
          <w:szCs w:val="20"/>
          <w:lang w:val="es-CR"/>
        </w:rPr>
      </w:pPr>
    </w:p>
    <w:p w14:paraId="034C3A35" w14:textId="09287838" w:rsidR="00A15B8B" w:rsidRPr="008E74AA" w:rsidRDefault="00D47773" w:rsidP="00930560">
      <w:pPr>
        <w:jc w:val="both"/>
        <w:rPr>
          <w:rFonts w:ascii="Verdana" w:eastAsia="Verdana" w:hAnsi="Verdana" w:cs="Verdana"/>
          <w:b/>
          <w:bCs/>
          <w:spacing w:val="-4"/>
          <w:sz w:val="20"/>
          <w:szCs w:val="20"/>
          <w:lang w:val="es-CR"/>
        </w:rPr>
      </w:pPr>
      <w:r w:rsidRPr="008E74AA">
        <w:rPr>
          <w:rFonts w:ascii="Verdana" w:eastAsia="Verdana" w:hAnsi="Verdana" w:cs="Verdana"/>
          <w:b/>
          <w:bCs/>
          <w:spacing w:val="-4"/>
          <w:sz w:val="20"/>
          <w:szCs w:val="20"/>
          <w:lang w:val="es-CR"/>
        </w:rPr>
        <w:t>RESUELVE:</w:t>
      </w:r>
    </w:p>
    <w:p w14:paraId="1E61AF3D" w14:textId="67282BAB" w:rsidR="00714AEA" w:rsidRPr="003B690B" w:rsidRDefault="00714AEA" w:rsidP="00D974DE">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20"/>
          <w:szCs w:val="20"/>
          <w:lang w:val="es-ES" w:eastAsia="es-ES"/>
        </w:rPr>
      </w:pPr>
      <w:r w:rsidRPr="008E74AA">
        <w:rPr>
          <w:rFonts w:ascii="Verdana" w:eastAsia="Calibri" w:hAnsi="Verdana" w:cs="Calibri"/>
          <w:sz w:val="20"/>
          <w:szCs w:val="20"/>
          <w:lang w:val="es-ES" w:eastAsia="es-ES"/>
        </w:rPr>
        <w:t>Requerir al Estado de Guatemala que, para garantizar el derecho al acceso a la justicia de las víctimas de</w:t>
      </w:r>
      <w:r w:rsidR="003511AD" w:rsidRPr="008E74AA">
        <w:rPr>
          <w:rFonts w:ascii="Verdana" w:eastAsia="Calibri" w:hAnsi="Verdana" w:cs="Calibri"/>
          <w:sz w:val="20"/>
          <w:szCs w:val="20"/>
          <w:lang w:val="es-ES" w:eastAsia="es-ES"/>
        </w:rPr>
        <w:t>l</w:t>
      </w:r>
      <w:r w:rsidRPr="008E74AA">
        <w:rPr>
          <w:rFonts w:ascii="Verdana" w:eastAsia="Calibri" w:hAnsi="Verdana" w:cs="Calibri"/>
          <w:sz w:val="20"/>
          <w:szCs w:val="20"/>
          <w:lang w:val="es-ES" w:eastAsia="es-ES"/>
        </w:rPr>
        <w:t xml:space="preserve"> caso</w:t>
      </w:r>
      <w:r w:rsidR="00C92B0E" w:rsidRPr="008E74AA">
        <w:rPr>
          <w:rFonts w:ascii="Verdana" w:eastAsia="Calibri" w:hAnsi="Verdana" w:cs="Calibri"/>
          <w:sz w:val="20"/>
          <w:szCs w:val="20"/>
          <w:lang w:val="es-ES" w:eastAsia="es-ES"/>
        </w:rPr>
        <w:t xml:space="preserve"> </w:t>
      </w:r>
      <w:r w:rsidR="003511AD" w:rsidRPr="008E74AA">
        <w:rPr>
          <w:rFonts w:ascii="Verdana" w:eastAsia="Calibri" w:hAnsi="Verdana" w:cs="Calibri"/>
          <w:i/>
          <w:iCs/>
          <w:sz w:val="20"/>
          <w:szCs w:val="20"/>
          <w:lang w:val="es-ES" w:eastAsia="es-ES"/>
        </w:rPr>
        <w:t>Gudiel Álvarez y otros ("Diario Militar")</w:t>
      </w:r>
      <w:r w:rsidRPr="008E74AA">
        <w:rPr>
          <w:rFonts w:ascii="Verdana" w:eastAsia="Calibri" w:hAnsi="Verdana" w:cs="Calibri"/>
          <w:sz w:val="20"/>
          <w:szCs w:val="20"/>
          <w:lang w:val="es-ES" w:eastAsia="es-ES"/>
        </w:rPr>
        <w:t xml:space="preserve">, de conformidad con lo señalado </w:t>
      </w:r>
      <w:r w:rsidRPr="003C2BD7">
        <w:rPr>
          <w:rFonts w:ascii="Verdana" w:eastAsia="Calibri" w:hAnsi="Verdana" w:cs="Calibri"/>
          <w:sz w:val="20"/>
          <w:szCs w:val="20"/>
          <w:lang w:val="es-ES" w:eastAsia="es-ES"/>
        </w:rPr>
        <w:t xml:space="preserve">en los </w:t>
      </w:r>
      <w:r w:rsidR="003C2BD7" w:rsidRPr="003C2BD7">
        <w:rPr>
          <w:rFonts w:ascii="Verdana" w:eastAsia="Calibri" w:hAnsi="Verdana" w:cs="Calibri"/>
          <w:sz w:val="20"/>
          <w:szCs w:val="20"/>
          <w:lang w:val="es-ES" w:eastAsia="es-ES"/>
        </w:rPr>
        <w:t>Considerandos 18 a 3</w:t>
      </w:r>
      <w:r w:rsidR="00BB6921">
        <w:rPr>
          <w:rFonts w:ascii="Verdana" w:eastAsia="Calibri" w:hAnsi="Verdana" w:cs="Calibri"/>
          <w:sz w:val="20"/>
          <w:szCs w:val="20"/>
          <w:lang w:val="es-ES" w:eastAsia="es-ES"/>
        </w:rPr>
        <w:t>3</w:t>
      </w:r>
      <w:r w:rsidR="003C2BD7" w:rsidRPr="003C2BD7">
        <w:rPr>
          <w:rFonts w:ascii="Verdana" w:eastAsia="Calibri" w:hAnsi="Verdana" w:cs="Calibri"/>
          <w:sz w:val="20"/>
          <w:szCs w:val="20"/>
          <w:lang w:val="es-ES" w:eastAsia="es-ES"/>
        </w:rPr>
        <w:t xml:space="preserve"> </w:t>
      </w:r>
      <w:r w:rsidRPr="003C2BD7">
        <w:rPr>
          <w:rFonts w:ascii="Verdana" w:eastAsia="Calibri" w:hAnsi="Verdana" w:cs="Calibri"/>
          <w:sz w:val="20"/>
          <w:szCs w:val="20"/>
          <w:lang w:val="es-ES" w:eastAsia="es-ES"/>
        </w:rPr>
        <w:t xml:space="preserve">de la presente Resolución, adopte de forma inmediata e individualizada, las medidas necesarias para proteger eficazmente los derechos a la </w:t>
      </w:r>
      <w:r w:rsidR="0047378F" w:rsidRPr="003C2BD7">
        <w:rPr>
          <w:rFonts w:ascii="Verdana" w:eastAsiaTheme="minorHAnsi" w:hAnsi="Verdana" w:cs="Verdana"/>
          <w:color w:val="000000"/>
          <w:sz w:val="20"/>
          <w:szCs w:val="20"/>
          <w:lang w:val="es-CR"/>
        </w:rPr>
        <w:t>vida e integridad personal</w:t>
      </w:r>
      <w:r w:rsidR="0047378F" w:rsidRPr="003C2BD7">
        <w:rPr>
          <w:rFonts w:ascii="Verdana" w:hAnsi="Verdana"/>
          <w:sz w:val="20"/>
          <w:szCs w:val="20"/>
        </w:rPr>
        <w:t xml:space="preserve"> </w:t>
      </w:r>
      <w:r w:rsidRPr="003C2BD7">
        <w:rPr>
          <w:rFonts w:ascii="Verdana" w:eastAsia="Calibri" w:hAnsi="Verdana" w:cs="Calibri"/>
          <w:sz w:val="20"/>
          <w:szCs w:val="20"/>
          <w:lang w:val="es-ES" w:eastAsia="es-ES"/>
        </w:rPr>
        <w:t>del</w:t>
      </w:r>
      <w:r w:rsidR="00205B16" w:rsidRPr="003C2BD7">
        <w:rPr>
          <w:rFonts w:ascii="Verdana" w:eastAsia="Calibri" w:hAnsi="Verdana" w:cs="Calibri"/>
          <w:sz w:val="20"/>
          <w:szCs w:val="20"/>
          <w:lang w:val="es-ES" w:eastAsia="es-ES"/>
        </w:rPr>
        <w:t xml:space="preserve"> j</w:t>
      </w:r>
      <w:r w:rsidR="00D974DE" w:rsidRPr="003C2BD7">
        <w:rPr>
          <w:rFonts w:ascii="Verdana" w:eastAsia="Calibri" w:hAnsi="Verdana" w:cs="Calibri"/>
          <w:sz w:val="20"/>
          <w:szCs w:val="20"/>
          <w:lang w:val="es-ES" w:eastAsia="es-ES"/>
        </w:rPr>
        <w:t>uez Miguel</w:t>
      </w:r>
      <w:r w:rsidR="00D974DE" w:rsidRPr="008E74AA">
        <w:rPr>
          <w:rFonts w:ascii="Verdana" w:eastAsia="Calibri" w:hAnsi="Verdana" w:cs="Calibri"/>
          <w:sz w:val="20"/>
          <w:szCs w:val="20"/>
          <w:lang w:val="es-ES" w:eastAsia="es-ES"/>
        </w:rPr>
        <w:t xml:space="preserve"> </w:t>
      </w:r>
      <w:r w:rsidR="0047378F" w:rsidRPr="008E74AA">
        <w:rPr>
          <w:rFonts w:ascii="Verdana" w:eastAsia="Calibri" w:hAnsi="Verdana" w:cs="Calibri"/>
          <w:sz w:val="20"/>
          <w:szCs w:val="20"/>
          <w:lang w:val="es-ES" w:eastAsia="es-ES"/>
        </w:rPr>
        <w:t>Á</w:t>
      </w:r>
      <w:r w:rsidR="00D974DE" w:rsidRPr="008E74AA">
        <w:rPr>
          <w:rFonts w:ascii="Verdana" w:eastAsia="Calibri" w:hAnsi="Verdana" w:cs="Calibri"/>
          <w:sz w:val="20"/>
          <w:szCs w:val="20"/>
          <w:lang w:val="es-ES" w:eastAsia="es-ES"/>
        </w:rPr>
        <w:t>ngel Gálvez Aguilar, titular del Juzgado B de Mayor Riesgo del Organismo Judicial de Guatemala</w:t>
      </w:r>
      <w:r w:rsidR="00C34D56">
        <w:rPr>
          <w:rFonts w:ascii="Verdana" w:eastAsia="Calibri" w:hAnsi="Verdana" w:cs="Calibri"/>
          <w:sz w:val="20"/>
          <w:szCs w:val="20"/>
          <w:lang w:val="es-ES" w:eastAsia="es-ES"/>
        </w:rPr>
        <w:t xml:space="preserve">, </w:t>
      </w:r>
      <w:bookmarkStart w:id="14" w:name="_Hlk108173236"/>
      <w:r w:rsidR="00645611">
        <w:rPr>
          <w:rFonts w:ascii="Verdana" w:eastAsiaTheme="minorHAnsi" w:hAnsi="Verdana" w:cs="Verdana"/>
          <w:color w:val="000000"/>
          <w:sz w:val="20"/>
          <w:szCs w:val="20"/>
          <w:lang w:val="es-CR"/>
        </w:rPr>
        <w:t xml:space="preserve">así como </w:t>
      </w:r>
      <w:r w:rsidR="00C34D56" w:rsidRPr="00F75054">
        <w:rPr>
          <w:rFonts w:ascii="Verdana" w:eastAsiaTheme="minorHAnsi" w:hAnsi="Verdana" w:cs="Verdana"/>
          <w:color w:val="000000"/>
          <w:sz w:val="20"/>
          <w:szCs w:val="20"/>
          <w:lang w:val="es-CR"/>
        </w:rPr>
        <w:t xml:space="preserve">de su </w:t>
      </w:r>
      <w:r w:rsidR="006E7CEF" w:rsidRPr="00F75054">
        <w:rPr>
          <w:rFonts w:ascii="Verdana" w:eastAsiaTheme="minorHAnsi" w:hAnsi="Verdana" w:cs="Verdana"/>
          <w:color w:val="000000"/>
          <w:sz w:val="20"/>
          <w:szCs w:val="20"/>
          <w:lang w:val="es-CR"/>
        </w:rPr>
        <w:t>núcleo</w:t>
      </w:r>
      <w:r w:rsidR="00C34D56" w:rsidRPr="00F75054">
        <w:rPr>
          <w:rFonts w:ascii="Verdana" w:eastAsiaTheme="minorHAnsi" w:hAnsi="Verdana" w:cs="Verdana"/>
          <w:color w:val="000000"/>
          <w:sz w:val="20"/>
          <w:szCs w:val="20"/>
          <w:lang w:val="es-CR"/>
        </w:rPr>
        <w:t xml:space="preserve"> familiar</w:t>
      </w:r>
      <w:bookmarkEnd w:id="14"/>
      <w:r w:rsidR="00645611">
        <w:rPr>
          <w:rFonts w:ascii="Verdana" w:eastAsiaTheme="minorHAnsi" w:hAnsi="Verdana" w:cs="Verdana"/>
          <w:color w:val="000000"/>
          <w:sz w:val="20"/>
          <w:szCs w:val="20"/>
          <w:lang w:val="es-CR"/>
        </w:rPr>
        <w:t xml:space="preserve">, y </w:t>
      </w:r>
      <w:r w:rsidR="006E7F5A">
        <w:rPr>
          <w:rFonts w:ascii="Verdana" w:eastAsiaTheme="minorHAnsi" w:hAnsi="Verdana" w:cs="Verdana"/>
          <w:color w:val="000000"/>
          <w:sz w:val="20"/>
          <w:szCs w:val="20"/>
          <w:lang w:val="es-CR"/>
        </w:rPr>
        <w:t xml:space="preserve">para </w:t>
      </w:r>
      <w:r w:rsidR="00645611">
        <w:rPr>
          <w:rFonts w:ascii="Verdana" w:eastAsiaTheme="minorHAnsi" w:hAnsi="Verdana" w:cs="Verdana"/>
          <w:color w:val="000000"/>
          <w:sz w:val="20"/>
          <w:szCs w:val="20"/>
          <w:lang w:val="es-CR"/>
        </w:rPr>
        <w:t>garanti</w:t>
      </w:r>
      <w:r w:rsidR="006E7F5A">
        <w:rPr>
          <w:rFonts w:ascii="Verdana" w:eastAsiaTheme="minorHAnsi" w:hAnsi="Verdana" w:cs="Verdana"/>
          <w:color w:val="000000"/>
          <w:sz w:val="20"/>
          <w:szCs w:val="20"/>
          <w:lang w:val="es-CR"/>
        </w:rPr>
        <w:t>zar</w:t>
      </w:r>
      <w:r w:rsidR="00645611" w:rsidRPr="008E74AA">
        <w:rPr>
          <w:rFonts w:ascii="Verdana" w:eastAsiaTheme="minorHAnsi" w:hAnsi="Verdana" w:cs="Verdana"/>
          <w:color w:val="000000"/>
          <w:sz w:val="20"/>
          <w:szCs w:val="20"/>
          <w:lang w:val="es-CR"/>
        </w:rPr>
        <w:t xml:space="preserve"> la</w:t>
      </w:r>
      <w:r w:rsidR="00645611" w:rsidRPr="008E74AA">
        <w:rPr>
          <w:rFonts w:ascii="Verdana" w:eastAsia="Calibri" w:hAnsi="Verdana" w:cs="Verdana"/>
          <w:color w:val="000000"/>
          <w:sz w:val="20"/>
          <w:szCs w:val="20"/>
          <w:lang w:val="es-CR"/>
        </w:rPr>
        <w:t xml:space="preserve"> </w:t>
      </w:r>
      <w:r w:rsidR="00645611" w:rsidRPr="008E74AA">
        <w:rPr>
          <w:rFonts w:ascii="Verdana" w:eastAsiaTheme="minorHAnsi" w:hAnsi="Verdana" w:cs="Verdana"/>
          <w:color w:val="000000"/>
          <w:sz w:val="20"/>
          <w:szCs w:val="20"/>
          <w:lang w:val="es-CR"/>
        </w:rPr>
        <w:t>independencia judicial</w:t>
      </w:r>
      <w:r w:rsidR="00645611">
        <w:rPr>
          <w:rFonts w:ascii="Verdana" w:eastAsiaTheme="minorHAnsi" w:hAnsi="Verdana" w:cs="Verdana"/>
          <w:color w:val="000000"/>
          <w:sz w:val="20"/>
          <w:szCs w:val="20"/>
          <w:lang w:val="es-CR"/>
        </w:rPr>
        <w:t xml:space="preserve"> del juez </w:t>
      </w:r>
      <w:r w:rsidR="00645611" w:rsidRPr="008E74AA">
        <w:rPr>
          <w:rFonts w:ascii="Verdana" w:eastAsia="Calibri" w:hAnsi="Verdana" w:cs="Calibri"/>
          <w:sz w:val="20"/>
          <w:szCs w:val="20"/>
          <w:lang w:val="es-ES" w:eastAsia="es-ES"/>
        </w:rPr>
        <w:t>Gálvez Aguilar</w:t>
      </w:r>
      <w:r w:rsidR="00C34D56" w:rsidRPr="00E56D06">
        <w:rPr>
          <w:rFonts w:ascii="Verdana" w:eastAsiaTheme="minorHAnsi" w:hAnsi="Verdana" w:cs="Verdana"/>
          <w:color w:val="000000"/>
          <w:sz w:val="20"/>
          <w:szCs w:val="20"/>
          <w:lang w:val="es-CR"/>
        </w:rPr>
        <w:t>.</w:t>
      </w:r>
    </w:p>
    <w:p w14:paraId="3D78CEA3" w14:textId="3094E37A" w:rsidR="00714AEA" w:rsidRPr="008E74AA" w:rsidRDefault="00714AEA" w:rsidP="004B0FF6">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20"/>
          <w:szCs w:val="20"/>
          <w:lang w:val="es-ES" w:eastAsia="es-ES"/>
        </w:rPr>
      </w:pPr>
      <w:r w:rsidRPr="008E74AA">
        <w:rPr>
          <w:rFonts w:ascii="Verdana" w:eastAsia="Calibri" w:hAnsi="Verdana" w:cs="Calibri"/>
          <w:sz w:val="20"/>
          <w:szCs w:val="20"/>
          <w:lang w:val="es-ES" w:eastAsia="es-ES"/>
        </w:rPr>
        <w:t xml:space="preserve">Requerir, de conformidad con lo señalado en </w:t>
      </w:r>
      <w:r w:rsidR="00D47773" w:rsidRPr="003C2BD7">
        <w:rPr>
          <w:rFonts w:ascii="Verdana" w:eastAsia="Calibri" w:hAnsi="Verdana" w:cs="Calibri"/>
          <w:sz w:val="20"/>
          <w:szCs w:val="20"/>
          <w:lang w:val="es-ES" w:eastAsia="es-ES"/>
        </w:rPr>
        <w:t>los</w:t>
      </w:r>
      <w:r w:rsidRPr="003C2BD7">
        <w:rPr>
          <w:rFonts w:ascii="Verdana" w:eastAsia="Calibri" w:hAnsi="Verdana" w:cs="Calibri"/>
          <w:sz w:val="20"/>
          <w:szCs w:val="20"/>
          <w:lang w:val="es-ES" w:eastAsia="es-ES"/>
        </w:rPr>
        <w:t xml:space="preserve"> </w:t>
      </w:r>
      <w:r w:rsidR="003C2BD7" w:rsidRPr="003C2BD7">
        <w:rPr>
          <w:rFonts w:ascii="Verdana" w:eastAsia="Calibri" w:hAnsi="Verdana" w:cs="Calibri"/>
          <w:sz w:val="20"/>
          <w:szCs w:val="20"/>
          <w:lang w:val="es-ES" w:eastAsia="es-ES"/>
        </w:rPr>
        <w:t xml:space="preserve">Considerandos </w:t>
      </w:r>
      <w:r w:rsidR="00BB6921">
        <w:rPr>
          <w:rFonts w:ascii="Verdana" w:eastAsia="Calibri" w:hAnsi="Verdana" w:cs="Calibri"/>
          <w:sz w:val="20"/>
          <w:szCs w:val="20"/>
          <w:lang w:val="es-ES" w:eastAsia="es-ES"/>
        </w:rPr>
        <w:t xml:space="preserve">27 a 33 </w:t>
      </w:r>
      <w:r w:rsidRPr="003C2BD7">
        <w:rPr>
          <w:rFonts w:ascii="Verdana" w:eastAsia="Calibri" w:hAnsi="Verdana" w:cs="Calibri"/>
          <w:sz w:val="20"/>
          <w:szCs w:val="20"/>
          <w:lang w:val="es-ES" w:eastAsia="es-ES"/>
        </w:rPr>
        <w:t xml:space="preserve">de la presente Resolución, que el Estado </w:t>
      </w:r>
      <w:r w:rsidR="00E63FEA" w:rsidRPr="003C2BD7">
        <w:rPr>
          <w:rFonts w:ascii="Verdana" w:eastAsia="Calibri" w:hAnsi="Verdana" w:cs="Calibri"/>
          <w:sz w:val="20"/>
          <w:szCs w:val="20"/>
          <w:lang w:val="es-ES" w:eastAsia="es-ES"/>
        </w:rPr>
        <w:t>adapte</w:t>
      </w:r>
      <w:r w:rsidRPr="003C2BD7">
        <w:rPr>
          <w:rFonts w:ascii="Verdana" w:eastAsia="Calibri" w:hAnsi="Verdana" w:cs="Calibri"/>
          <w:sz w:val="20"/>
          <w:szCs w:val="20"/>
          <w:lang w:val="es-ES" w:eastAsia="es-ES"/>
        </w:rPr>
        <w:t xml:space="preserve"> </w:t>
      </w:r>
      <w:r w:rsidR="00645611" w:rsidRPr="003C2BD7">
        <w:rPr>
          <w:rFonts w:ascii="Verdana" w:eastAsia="Calibri" w:hAnsi="Verdana" w:cs="Calibri"/>
          <w:sz w:val="20"/>
          <w:szCs w:val="20"/>
          <w:lang w:val="es-ES" w:eastAsia="es-ES"/>
        </w:rPr>
        <w:t xml:space="preserve">las medidas y </w:t>
      </w:r>
      <w:r w:rsidRPr="003C2BD7">
        <w:rPr>
          <w:rFonts w:ascii="Verdana" w:eastAsia="Calibri" w:hAnsi="Verdana" w:cs="Calibri"/>
          <w:sz w:val="20"/>
          <w:szCs w:val="20"/>
          <w:lang w:val="es-ES" w:eastAsia="es-ES"/>
        </w:rPr>
        <w:t>esquema de segu</w:t>
      </w:r>
      <w:r w:rsidR="00746119" w:rsidRPr="003C2BD7">
        <w:rPr>
          <w:rFonts w:ascii="Verdana" w:eastAsia="Calibri" w:hAnsi="Verdana" w:cs="Calibri"/>
          <w:sz w:val="20"/>
          <w:szCs w:val="20"/>
          <w:lang w:val="es-ES" w:eastAsia="es-ES"/>
        </w:rPr>
        <w:t>ridad asignado al</w:t>
      </w:r>
      <w:r w:rsidRPr="003C2BD7">
        <w:rPr>
          <w:rFonts w:ascii="Verdana" w:eastAsia="Calibri" w:hAnsi="Verdana" w:cs="Calibri"/>
          <w:sz w:val="20"/>
          <w:szCs w:val="20"/>
          <w:lang w:val="es-ES" w:eastAsia="es-ES"/>
        </w:rPr>
        <w:t xml:space="preserve"> </w:t>
      </w:r>
      <w:r w:rsidR="00205B16" w:rsidRPr="003C2BD7">
        <w:rPr>
          <w:rFonts w:ascii="Verdana" w:eastAsia="Calibri" w:hAnsi="Verdana" w:cs="Calibri"/>
          <w:sz w:val="20"/>
          <w:szCs w:val="20"/>
          <w:lang w:val="es-ES" w:eastAsia="es-ES"/>
        </w:rPr>
        <w:t>j</w:t>
      </w:r>
      <w:r w:rsidR="004B0FF6" w:rsidRPr="003C2BD7">
        <w:rPr>
          <w:rFonts w:ascii="Verdana" w:eastAsia="Calibri" w:hAnsi="Verdana" w:cs="Calibri"/>
          <w:sz w:val="20"/>
          <w:szCs w:val="20"/>
          <w:lang w:val="es-ES" w:eastAsia="es-ES"/>
        </w:rPr>
        <w:t xml:space="preserve">uez Miguel </w:t>
      </w:r>
      <w:r w:rsidR="00E54A92" w:rsidRPr="003C2BD7">
        <w:rPr>
          <w:rFonts w:ascii="Verdana" w:eastAsia="Calibri" w:hAnsi="Verdana" w:cs="Calibri"/>
          <w:sz w:val="20"/>
          <w:szCs w:val="20"/>
          <w:lang w:val="es-ES" w:eastAsia="es-ES"/>
        </w:rPr>
        <w:t>Ángel</w:t>
      </w:r>
      <w:r w:rsidR="004B0FF6" w:rsidRPr="003C2BD7">
        <w:rPr>
          <w:rFonts w:ascii="Verdana" w:eastAsia="Calibri" w:hAnsi="Verdana" w:cs="Calibri"/>
          <w:sz w:val="20"/>
          <w:szCs w:val="20"/>
          <w:lang w:val="es-ES" w:eastAsia="es-ES"/>
        </w:rPr>
        <w:t xml:space="preserve"> Gálvez Aguilar, titular del Juzgado B de Mayor Riesgo del Organismo Judicial de Guatemala</w:t>
      </w:r>
      <w:r w:rsidR="00E54A92" w:rsidRPr="003C2BD7">
        <w:rPr>
          <w:rFonts w:ascii="Verdana" w:eastAsia="Calibri" w:hAnsi="Verdana" w:cs="Calibri"/>
          <w:sz w:val="20"/>
          <w:szCs w:val="20"/>
          <w:lang w:val="es-ES" w:eastAsia="es-ES"/>
        </w:rPr>
        <w:t xml:space="preserve">, </w:t>
      </w:r>
      <w:r w:rsidR="00645611" w:rsidRPr="003C2BD7">
        <w:rPr>
          <w:rFonts w:ascii="Verdana" w:eastAsia="Calibri" w:hAnsi="Verdana" w:cs="Calibri"/>
          <w:sz w:val="20"/>
          <w:szCs w:val="20"/>
          <w:lang w:val="es-ES" w:eastAsia="es-ES"/>
        </w:rPr>
        <w:t xml:space="preserve">así como </w:t>
      </w:r>
      <w:r w:rsidR="00E54A92" w:rsidRPr="003C2BD7">
        <w:rPr>
          <w:rFonts w:ascii="Verdana" w:eastAsiaTheme="minorHAnsi" w:hAnsi="Verdana" w:cs="Verdana"/>
          <w:color w:val="000000"/>
          <w:sz w:val="20"/>
          <w:szCs w:val="20"/>
          <w:lang w:val="es-CR"/>
        </w:rPr>
        <w:t xml:space="preserve">su </w:t>
      </w:r>
      <w:r w:rsidR="006E7CEF" w:rsidRPr="003C2BD7">
        <w:rPr>
          <w:rFonts w:ascii="Verdana" w:eastAsiaTheme="minorHAnsi" w:hAnsi="Verdana" w:cs="Verdana"/>
          <w:color w:val="000000"/>
          <w:sz w:val="20"/>
          <w:szCs w:val="20"/>
          <w:lang w:val="es-CR"/>
        </w:rPr>
        <w:t>núcleo</w:t>
      </w:r>
      <w:r w:rsidR="00E54A92" w:rsidRPr="003C2BD7">
        <w:rPr>
          <w:rFonts w:ascii="Verdana" w:eastAsiaTheme="minorHAnsi" w:hAnsi="Verdana" w:cs="Verdana"/>
          <w:color w:val="000000"/>
          <w:sz w:val="20"/>
          <w:szCs w:val="20"/>
          <w:lang w:val="es-CR"/>
        </w:rPr>
        <w:t xml:space="preserve"> familiar</w:t>
      </w:r>
      <w:r w:rsidRPr="003C2BD7">
        <w:rPr>
          <w:rFonts w:ascii="Verdana" w:eastAsia="Calibri" w:hAnsi="Verdana" w:cs="Calibri"/>
          <w:sz w:val="20"/>
          <w:szCs w:val="20"/>
          <w:lang w:val="es-ES" w:eastAsia="es-ES"/>
        </w:rPr>
        <w:t>. Dicho esquema de seguridad</w:t>
      </w:r>
      <w:r w:rsidRPr="008E74AA">
        <w:rPr>
          <w:rFonts w:ascii="Verdana" w:eastAsia="Calibri" w:hAnsi="Verdana" w:cs="Calibri"/>
          <w:sz w:val="20"/>
          <w:szCs w:val="20"/>
          <w:lang w:val="es-ES" w:eastAsia="es-ES"/>
        </w:rPr>
        <w:t xml:space="preserve"> debe adoptarse en común acuerdo y en coordinación con </w:t>
      </w:r>
      <w:r w:rsidR="004B0FF6" w:rsidRPr="008E74AA">
        <w:rPr>
          <w:rFonts w:ascii="Verdana" w:eastAsia="Calibri" w:hAnsi="Verdana" w:cs="Calibri"/>
          <w:sz w:val="20"/>
          <w:szCs w:val="20"/>
          <w:lang w:val="es-ES" w:eastAsia="es-ES"/>
        </w:rPr>
        <w:t>el</w:t>
      </w:r>
      <w:r w:rsidRPr="008E74AA">
        <w:rPr>
          <w:rFonts w:ascii="Verdana" w:eastAsia="Calibri" w:hAnsi="Verdana" w:cs="Calibri"/>
          <w:sz w:val="20"/>
          <w:szCs w:val="20"/>
          <w:lang w:val="es-ES" w:eastAsia="es-ES"/>
        </w:rPr>
        <w:t xml:space="preserve"> beneficiario</w:t>
      </w:r>
      <w:r w:rsidR="00952FF7" w:rsidRPr="008E74AA">
        <w:rPr>
          <w:rFonts w:ascii="Verdana" w:eastAsia="Calibri" w:hAnsi="Verdana" w:cs="Calibri"/>
          <w:sz w:val="20"/>
          <w:szCs w:val="20"/>
          <w:lang w:val="es-ES" w:eastAsia="es-ES"/>
        </w:rPr>
        <w:t>, y</w:t>
      </w:r>
      <w:r w:rsidR="00952FF7" w:rsidRPr="008E74AA">
        <w:rPr>
          <w:rFonts w:ascii="Verdana" w:hAnsi="Verdana"/>
          <w:sz w:val="20"/>
          <w:szCs w:val="20"/>
        </w:rPr>
        <w:t xml:space="preserve"> evitar </w:t>
      </w:r>
      <w:r w:rsidR="00952FF7" w:rsidRPr="008E74AA">
        <w:rPr>
          <w:rFonts w:ascii="Verdana" w:eastAsia="Calibri" w:hAnsi="Verdana" w:cs="Cambria"/>
          <w:sz w:val="20"/>
          <w:szCs w:val="20"/>
          <w:lang w:val="es-CR"/>
        </w:rPr>
        <w:t xml:space="preserve">que se brinden por los funcionarios pertenecientes a las instituciones públicas a las que pertenecieron las personas ligadas a proceso por el referido </w:t>
      </w:r>
      <w:r w:rsidR="00205B16">
        <w:rPr>
          <w:rFonts w:ascii="Verdana" w:eastAsia="Calibri" w:hAnsi="Verdana" w:cs="Cambria"/>
          <w:sz w:val="20"/>
          <w:szCs w:val="20"/>
          <w:lang w:val="es-CR"/>
        </w:rPr>
        <w:t>j</w:t>
      </w:r>
      <w:r w:rsidR="00952FF7" w:rsidRPr="008E74AA">
        <w:rPr>
          <w:rFonts w:ascii="Verdana" w:eastAsia="Calibri" w:hAnsi="Verdana" w:cs="Cambria"/>
          <w:sz w:val="20"/>
          <w:szCs w:val="20"/>
          <w:lang w:val="es-CR"/>
        </w:rPr>
        <w:t>uez.</w:t>
      </w:r>
    </w:p>
    <w:p w14:paraId="5E9C0945" w14:textId="0E6723FC" w:rsidR="00714AEA" w:rsidRPr="00650B08" w:rsidRDefault="00632F57" w:rsidP="00714AEA">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18"/>
          <w:szCs w:val="18"/>
          <w:lang w:val="es-ES" w:eastAsia="es-ES"/>
        </w:rPr>
      </w:pPr>
      <w:r w:rsidRPr="008E74AA">
        <w:rPr>
          <w:rFonts w:ascii="Verdana" w:hAnsi="Verdana"/>
          <w:sz w:val="20"/>
          <w:szCs w:val="20"/>
        </w:rPr>
        <w:t xml:space="preserve">Requerir al Estado que, a más tardar el </w:t>
      </w:r>
      <w:r w:rsidR="00712113">
        <w:rPr>
          <w:rFonts w:ascii="Verdana" w:hAnsi="Verdana"/>
          <w:sz w:val="20"/>
          <w:szCs w:val="20"/>
        </w:rPr>
        <w:t>8</w:t>
      </w:r>
      <w:r w:rsidRPr="008E74AA">
        <w:rPr>
          <w:rFonts w:ascii="Verdana" w:hAnsi="Verdana"/>
          <w:sz w:val="20"/>
          <w:szCs w:val="20"/>
        </w:rPr>
        <w:t xml:space="preserve"> de </w:t>
      </w:r>
      <w:r w:rsidR="00C74D72" w:rsidRPr="008E74AA">
        <w:rPr>
          <w:rFonts w:ascii="Verdana" w:hAnsi="Verdana"/>
          <w:sz w:val="20"/>
          <w:szCs w:val="20"/>
        </w:rPr>
        <w:t>agosto</w:t>
      </w:r>
      <w:r w:rsidRPr="008E74AA">
        <w:rPr>
          <w:rFonts w:ascii="Verdana" w:hAnsi="Verdana"/>
          <w:sz w:val="20"/>
          <w:szCs w:val="20"/>
        </w:rPr>
        <w:t xml:space="preserve"> de 202</w:t>
      </w:r>
      <w:r w:rsidR="004B0FF6" w:rsidRPr="008E74AA">
        <w:rPr>
          <w:rFonts w:ascii="Verdana" w:hAnsi="Verdana"/>
          <w:sz w:val="20"/>
          <w:szCs w:val="20"/>
        </w:rPr>
        <w:t>2</w:t>
      </w:r>
      <w:r w:rsidRPr="008E74AA">
        <w:rPr>
          <w:rFonts w:ascii="Verdana" w:hAnsi="Verdana"/>
          <w:sz w:val="20"/>
          <w:szCs w:val="20"/>
        </w:rPr>
        <w:t xml:space="preserve">, presente a la Corte Interamericana un informe actualizado y detallado sobre las medidas </w:t>
      </w:r>
      <w:r w:rsidR="00C74D72" w:rsidRPr="008E74AA">
        <w:rPr>
          <w:rFonts w:ascii="Verdana" w:hAnsi="Verdana"/>
          <w:sz w:val="20"/>
          <w:szCs w:val="20"/>
        </w:rPr>
        <w:t xml:space="preserve">urgentes </w:t>
      </w:r>
      <w:r w:rsidRPr="008E74AA">
        <w:rPr>
          <w:rFonts w:ascii="Verdana" w:hAnsi="Verdana"/>
          <w:sz w:val="20"/>
          <w:szCs w:val="20"/>
        </w:rPr>
        <w:t>adoptadas en cumplimiento a lo ordenado en los puntos resolutivos primer</w:t>
      </w:r>
      <w:r w:rsidRPr="008A3A55">
        <w:rPr>
          <w:rFonts w:ascii="Verdana" w:hAnsi="Verdana"/>
          <w:sz w:val="20"/>
          <w:szCs w:val="20"/>
        </w:rPr>
        <w:t>o y segundo de esta decisión</w:t>
      </w:r>
      <w:r w:rsidR="00E63FEA" w:rsidRPr="008A3A55">
        <w:rPr>
          <w:rFonts w:ascii="Verdana" w:hAnsi="Verdana"/>
          <w:sz w:val="20"/>
          <w:szCs w:val="20"/>
        </w:rPr>
        <w:t>, a fin de que el Pleno de la Corte Interamericana cuente con mayores elementos para pronunciarse sobre esta solicitud de medidas provisionales</w:t>
      </w:r>
      <w:r w:rsidRPr="008A3A55">
        <w:rPr>
          <w:rFonts w:ascii="Verdana" w:hAnsi="Verdana"/>
          <w:sz w:val="20"/>
          <w:szCs w:val="20"/>
        </w:rPr>
        <w:t>.</w:t>
      </w:r>
    </w:p>
    <w:p w14:paraId="231C95E7" w14:textId="5EB4397D" w:rsidR="00714AEA" w:rsidRPr="008E74AA" w:rsidRDefault="00C74D72" w:rsidP="00714AEA">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20"/>
          <w:szCs w:val="20"/>
          <w:lang w:val="es-ES" w:eastAsia="es-ES"/>
        </w:rPr>
      </w:pPr>
      <w:r w:rsidRPr="008E74AA">
        <w:rPr>
          <w:rFonts w:ascii="Verdana" w:hAnsi="Verdana"/>
          <w:sz w:val="20"/>
          <w:szCs w:val="20"/>
        </w:rPr>
        <w:t xml:space="preserve">Requerir que los representantes </w:t>
      </w:r>
      <w:r w:rsidR="00A80689">
        <w:rPr>
          <w:rFonts w:ascii="Verdana" w:hAnsi="Verdana"/>
          <w:sz w:val="20"/>
          <w:szCs w:val="20"/>
        </w:rPr>
        <w:t xml:space="preserve">de las víctimas que </w:t>
      </w:r>
      <w:r w:rsidRPr="008E74AA">
        <w:rPr>
          <w:rFonts w:ascii="Verdana" w:hAnsi="Verdana"/>
          <w:sz w:val="20"/>
          <w:szCs w:val="20"/>
        </w:rPr>
        <w:t>presenten sus observaciones dentro de un plazo de una semana, contada a partir de la notificación del referido informe del Estado solicitado en el punto resolutivo tercero, así como que la Comisión Interamericana de Derechos Humanos presente sus observaciones a dicho informe del Estado dentro de un plazo de una semana, contada a partir de la recepción de las observaciones de los representantes.</w:t>
      </w:r>
    </w:p>
    <w:p w14:paraId="76727F00" w14:textId="6D60A3B9" w:rsidR="005E77A1" w:rsidRPr="00930560" w:rsidRDefault="00A15B8B" w:rsidP="005E77A1">
      <w:pPr>
        <w:pStyle w:val="Prrafodelista"/>
        <w:numPr>
          <w:ilvl w:val="0"/>
          <w:numId w:val="12"/>
        </w:numPr>
        <w:autoSpaceDE w:val="0"/>
        <w:autoSpaceDN w:val="0"/>
        <w:adjustRightInd w:val="0"/>
        <w:spacing w:before="120" w:after="120"/>
        <w:ind w:left="0" w:firstLine="0"/>
        <w:contextualSpacing w:val="0"/>
        <w:jc w:val="both"/>
        <w:rPr>
          <w:rFonts w:ascii="Verdana" w:eastAsia="Calibri" w:hAnsi="Verdana" w:cs="Calibri"/>
          <w:sz w:val="20"/>
          <w:szCs w:val="20"/>
          <w:lang w:val="es-ES" w:eastAsia="es-ES"/>
        </w:rPr>
      </w:pPr>
      <w:r w:rsidRPr="008E74AA">
        <w:rPr>
          <w:rFonts w:ascii="Verdana" w:hAnsi="Verdana"/>
          <w:sz w:val="20"/>
          <w:szCs w:val="20"/>
        </w:rPr>
        <w:t>Disponer que la Secretaría de la Corte notifique la presente Resoluc</w:t>
      </w:r>
      <w:r w:rsidR="00714AEA" w:rsidRPr="008E74AA">
        <w:rPr>
          <w:rFonts w:ascii="Verdana" w:hAnsi="Verdana"/>
          <w:sz w:val="20"/>
          <w:szCs w:val="20"/>
        </w:rPr>
        <w:t>ión al Estado de Guatemala, a l</w:t>
      </w:r>
      <w:r w:rsidR="004B0FF6" w:rsidRPr="008E74AA">
        <w:rPr>
          <w:rFonts w:ascii="Verdana" w:hAnsi="Verdana"/>
          <w:sz w:val="20"/>
          <w:szCs w:val="20"/>
        </w:rPr>
        <w:t>o</w:t>
      </w:r>
      <w:r w:rsidRPr="008E74AA">
        <w:rPr>
          <w:rFonts w:ascii="Verdana" w:hAnsi="Verdana"/>
          <w:sz w:val="20"/>
          <w:szCs w:val="20"/>
        </w:rPr>
        <w:t>s representantes de las víctimas y a la Comisión Interamericana de Derechos Humanos.</w:t>
      </w:r>
    </w:p>
    <w:p w14:paraId="2F75EE17" w14:textId="073050E6" w:rsidR="00930560" w:rsidRDefault="00930560" w:rsidP="00930560">
      <w:pPr>
        <w:autoSpaceDE w:val="0"/>
        <w:autoSpaceDN w:val="0"/>
        <w:adjustRightInd w:val="0"/>
        <w:spacing w:before="120" w:after="120"/>
        <w:jc w:val="both"/>
        <w:rPr>
          <w:rFonts w:ascii="Verdana" w:eastAsia="Calibri" w:hAnsi="Verdana" w:cs="Calibri"/>
          <w:sz w:val="20"/>
          <w:szCs w:val="20"/>
          <w:lang w:val="es-ES" w:eastAsia="es-ES"/>
        </w:rPr>
      </w:pPr>
    </w:p>
    <w:p w14:paraId="639C3509" w14:textId="20E471B9" w:rsidR="00930560" w:rsidRDefault="00930560">
      <w:pPr>
        <w:spacing w:after="160" w:line="259" w:lineRule="auto"/>
        <w:rPr>
          <w:rFonts w:ascii="Verdana" w:eastAsia="Calibri" w:hAnsi="Verdana" w:cs="Calibri"/>
          <w:sz w:val="20"/>
          <w:szCs w:val="20"/>
          <w:lang w:val="es-ES" w:eastAsia="es-ES"/>
        </w:rPr>
      </w:pPr>
      <w:r>
        <w:rPr>
          <w:rFonts w:ascii="Verdana" w:eastAsia="Calibri" w:hAnsi="Verdana" w:cs="Calibri"/>
          <w:sz w:val="20"/>
          <w:szCs w:val="20"/>
          <w:lang w:val="es-ES" w:eastAsia="es-ES"/>
        </w:rPr>
        <w:br w:type="page"/>
      </w:r>
    </w:p>
    <w:p w14:paraId="76EB9A20" w14:textId="195CD47E" w:rsidR="00930560" w:rsidRPr="00930560" w:rsidRDefault="00930560" w:rsidP="00930560">
      <w:pPr>
        <w:autoSpaceDE w:val="0"/>
        <w:autoSpaceDN w:val="0"/>
        <w:adjustRightInd w:val="0"/>
        <w:spacing w:before="120" w:after="120"/>
        <w:jc w:val="both"/>
        <w:rPr>
          <w:rFonts w:ascii="Verdana" w:eastAsia="Calibri" w:hAnsi="Verdana" w:cs="Calibri"/>
          <w:sz w:val="20"/>
          <w:szCs w:val="20"/>
          <w:lang w:val="es-ES" w:eastAsia="es-ES"/>
        </w:rPr>
      </w:pPr>
    </w:p>
    <w:p w14:paraId="0E3AC03D" w14:textId="3877C714" w:rsidR="00930560" w:rsidRPr="00930560" w:rsidRDefault="00930560" w:rsidP="00930560">
      <w:pPr>
        <w:jc w:val="both"/>
        <w:rPr>
          <w:rFonts w:ascii="Verdana" w:hAnsi="Verdana"/>
          <w:i/>
          <w:sz w:val="20"/>
          <w:szCs w:val="20"/>
          <w:lang w:val="es-MX"/>
        </w:rPr>
      </w:pPr>
      <w:r w:rsidRPr="00930560">
        <w:rPr>
          <w:rFonts w:ascii="Verdana" w:eastAsia="Calibri" w:hAnsi="Verdana" w:cs="Calibri"/>
          <w:sz w:val="20"/>
          <w:szCs w:val="20"/>
          <w:lang w:val="es-ES" w:eastAsia="es-ES"/>
        </w:rPr>
        <w:t>Corte I</w:t>
      </w:r>
      <w:r>
        <w:rPr>
          <w:rFonts w:ascii="Verdana" w:eastAsia="Calibri" w:hAnsi="Verdana" w:cs="Calibri"/>
          <w:sz w:val="20"/>
          <w:szCs w:val="20"/>
          <w:lang w:val="es-ES" w:eastAsia="es-ES"/>
        </w:rPr>
        <w:t>DH</w:t>
      </w:r>
      <w:r w:rsidRPr="00930560">
        <w:rPr>
          <w:rFonts w:ascii="Verdana" w:eastAsia="Calibri" w:hAnsi="Verdana" w:cs="Calibri"/>
          <w:sz w:val="20"/>
          <w:szCs w:val="20"/>
          <w:lang w:val="es-ES" w:eastAsia="es-ES"/>
        </w:rPr>
        <w:t xml:space="preserve">. </w:t>
      </w:r>
      <w:r w:rsidRPr="00930560">
        <w:rPr>
          <w:rFonts w:ascii="Verdana" w:eastAsia="Calibri" w:hAnsi="Verdana" w:cs="Calibri"/>
          <w:i/>
          <w:iCs/>
          <w:sz w:val="20"/>
          <w:szCs w:val="20"/>
          <w:lang w:val="es-ES" w:eastAsia="es-ES"/>
        </w:rPr>
        <w:t>Medidas Provisionales</w:t>
      </w:r>
      <w:r w:rsidRPr="00930560">
        <w:rPr>
          <w:rFonts w:ascii="Verdana" w:eastAsia="Calibri" w:hAnsi="Verdana" w:cs="Calibri"/>
          <w:sz w:val="20"/>
          <w:szCs w:val="20"/>
          <w:lang w:val="es-ES" w:eastAsia="es-ES"/>
        </w:rPr>
        <w:t>.</w:t>
      </w:r>
      <w:r w:rsidRPr="00930560">
        <w:rPr>
          <w:rFonts w:ascii="Verdana" w:hAnsi="Verdana"/>
          <w:sz w:val="20"/>
          <w:szCs w:val="20"/>
          <w:lang w:val="es-CR"/>
        </w:rPr>
        <w:t xml:space="preserve"> Caso Gudiel Álvarez Y Otros</w:t>
      </w:r>
      <w:r>
        <w:rPr>
          <w:rFonts w:ascii="Verdana" w:hAnsi="Verdana"/>
          <w:sz w:val="20"/>
          <w:szCs w:val="20"/>
          <w:lang w:val="es-CR"/>
        </w:rPr>
        <w:t xml:space="preserve"> (</w:t>
      </w:r>
      <w:r w:rsidRPr="00930560">
        <w:rPr>
          <w:rStyle w:val="Textoennegrita"/>
          <w:rFonts w:ascii="Verdana" w:hAnsi="Verdana"/>
          <w:b w:val="0"/>
          <w:bCs w:val="0"/>
          <w:color w:val="000000"/>
          <w:sz w:val="20"/>
          <w:szCs w:val="20"/>
          <w:shd w:val="clear" w:color="auto" w:fill="FFFFFF"/>
        </w:rPr>
        <w:t>"Diario Militar")</w:t>
      </w:r>
      <w:r w:rsidRPr="00930560">
        <w:rPr>
          <w:rStyle w:val="Textoennegrita"/>
          <w:rFonts w:ascii="Verdana" w:hAnsi="Verdana"/>
          <w:color w:val="000000"/>
          <w:sz w:val="20"/>
          <w:szCs w:val="20"/>
          <w:shd w:val="clear" w:color="auto" w:fill="FFFFFF"/>
        </w:rPr>
        <w:t xml:space="preserve"> </w:t>
      </w:r>
      <w:r w:rsidRPr="00930560">
        <w:rPr>
          <w:rFonts w:ascii="Verdana" w:hAnsi="Verdana"/>
          <w:sz w:val="20"/>
          <w:szCs w:val="20"/>
          <w:lang w:val="es-CR"/>
        </w:rPr>
        <w:t xml:space="preserve">Vs. </w:t>
      </w:r>
      <w:r w:rsidRPr="00930560">
        <w:rPr>
          <w:rFonts w:ascii="Verdana" w:hAnsi="Verdana"/>
          <w:sz w:val="20"/>
          <w:szCs w:val="20"/>
          <w:lang w:val="es-MX"/>
        </w:rPr>
        <w:t>Guatemala</w:t>
      </w:r>
      <w:r w:rsidRPr="00930560">
        <w:rPr>
          <w:rFonts w:ascii="Verdana" w:hAnsi="Verdana"/>
          <w:i/>
          <w:sz w:val="20"/>
          <w:szCs w:val="20"/>
          <w:lang w:val="es-MX"/>
        </w:rPr>
        <w:t xml:space="preserve">. </w:t>
      </w:r>
      <w:r w:rsidRPr="00930560">
        <w:rPr>
          <w:rFonts w:ascii="Verdana" w:hAnsi="Verdana"/>
          <w:sz w:val="20"/>
          <w:szCs w:val="20"/>
          <w:lang w:val="es-ES"/>
        </w:rPr>
        <w:t xml:space="preserve">Resolución </w:t>
      </w:r>
      <w:r>
        <w:rPr>
          <w:rFonts w:ascii="Verdana" w:hAnsi="Verdana"/>
          <w:sz w:val="20"/>
          <w:szCs w:val="20"/>
          <w:lang w:val="es-ES"/>
        </w:rPr>
        <w:t>d</w:t>
      </w:r>
      <w:r w:rsidRPr="00930560">
        <w:rPr>
          <w:rFonts w:ascii="Verdana" w:hAnsi="Verdana"/>
          <w:sz w:val="20"/>
          <w:szCs w:val="20"/>
          <w:lang w:val="es-ES"/>
        </w:rPr>
        <w:t xml:space="preserve">el </w:t>
      </w:r>
      <w:proofErr w:type="gramStart"/>
      <w:r w:rsidRPr="00930560">
        <w:rPr>
          <w:rFonts w:ascii="Verdana" w:hAnsi="Verdana"/>
          <w:sz w:val="20"/>
          <w:szCs w:val="20"/>
          <w:lang w:val="es-ES"/>
        </w:rPr>
        <w:t>Presidente</w:t>
      </w:r>
      <w:proofErr w:type="gramEnd"/>
      <w:r w:rsidRPr="00930560">
        <w:rPr>
          <w:rFonts w:ascii="Verdana" w:hAnsi="Verdana"/>
          <w:sz w:val="20"/>
          <w:szCs w:val="20"/>
          <w:lang w:val="es-ES"/>
        </w:rPr>
        <w:t xml:space="preserve"> </w:t>
      </w:r>
      <w:r>
        <w:rPr>
          <w:rFonts w:ascii="Verdana" w:hAnsi="Verdana"/>
          <w:sz w:val="20"/>
          <w:szCs w:val="20"/>
          <w:lang w:val="es-ES"/>
        </w:rPr>
        <w:t>d</w:t>
      </w:r>
      <w:r w:rsidRPr="00930560">
        <w:rPr>
          <w:rFonts w:ascii="Verdana" w:hAnsi="Verdana"/>
          <w:sz w:val="20"/>
          <w:szCs w:val="20"/>
          <w:lang w:val="es-ES"/>
        </w:rPr>
        <w:t xml:space="preserve">e </w:t>
      </w:r>
      <w:r>
        <w:rPr>
          <w:rFonts w:ascii="Verdana" w:hAnsi="Verdana"/>
          <w:sz w:val="20"/>
          <w:szCs w:val="20"/>
          <w:lang w:val="es-ES"/>
        </w:rPr>
        <w:t>l</w:t>
      </w:r>
      <w:r w:rsidRPr="00930560">
        <w:rPr>
          <w:rFonts w:ascii="Verdana" w:hAnsi="Verdana"/>
          <w:sz w:val="20"/>
          <w:szCs w:val="20"/>
          <w:lang w:val="es-ES"/>
        </w:rPr>
        <w:t>a</w:t>
      </w:r>
      <w:r>
        <w:rPr>
          <w:rFonts w:ascii="Verdana" w:hAnsi="Verdana"/>
          <w:i/>
          <w:sz w:val="20"/>
          <w:szCs w:val="20"/>
          <w:lang w:val="es-MX"/>
        </w:rPr>
        <w:t xml:space="preserve"> </w:t>
      </w:r>
      <w:r w:rsidRPr="00930560">
        <w:rPr>
          <w:rFonts w:ascii="Verdana" w:hAnsi="Verdana"/>
          <w:sz w:val="20"/>
          <w:szCs w:val="20"/>
          <w:lang w:val="es-ES"/>
        </w:rPr>
        <w:t xml:space="preserve">Corte Interamericana </w:t>
      </w:r>
      <w:r>
        <w:rPr>
          <w:rFonts w:ascii="Verdana" w:hAnsi="Verdana"/>
          <w:sz w:val="20"/>
          <w:szCs w:val="20"/>
          <w:lang w:val="es-ES"/>
        </w:rPr>
        <w:t>d</w:t>
      </w:r>
      <w:r w:rsidRPr="00930560">
        <w:rPr>
          <w:rFonts w:ascii="Verdana" w:hAnsi="Verdana"/>
          <w:sz w:val="20"/>
          <w:szCs w:val="20"/>
          <w:lang w:val="es-ES"/>
        </w:rPr>
        <w:t xml:space="preserve">e Derechos Humanos </w:t>
      </w:r>
      <w:r>
        <w:rPr>
          <w:rFonts w:ascii="Verdana" w:hAnsi="Verdana"/>
          <w:sz w:val="20"/>
          <w:szCs w:val="20"/>
          <w:lang w:val="es-ES"/>
        </w:rPr>
        <w:t>d</w:t>
      </w:r>
      <w:r w:rsidRPr="00930560">
        <w:rPr>
          <w:rFonts w:ascii="Verdana" w:hAnsi="Verdana"/>
          <w:sz w:val="20"/>
          <w:szCs w:val="20"/>
          <w:lang w:val="es-ES"/>
        </w:rPr>
        <w:t xml:space="preserve">e 8 </w:t>
      </w:r>
      <w:r>
        <w:rPr>
          <w:rFonts w:ascii="Verdana" w:hAnsi="Verdana"/>
          <w:sz w:val="20"/>
          <w:szCs w:val="20"/>
          <w:lang w:val="es-ES"/>
        </w:rPr>
        <w:t>d</w:t>
      </w:r>
      <w:r w:rsidRPr="00930560">
        <w:rPr>
          <w:rFonts w:ascii="Verdana" w:hAnsi="Verdana"/>
          <w:sz w:val="20"/>
          <w:szCs w:val="20"/>
          <w:lang w:val="es-ES"/>
        </w:rPr>
        <w:t xml:space="preserve">e </w:t>
      </w:r>
      <w:r>
        <w:rPr>
          <w:rFonts w:ascii="Verdana" w:hAnsi="Verdana"/>
          <w:sz w:val="20"/>
          <w:szCs w:val="20"/>
          <w:lang w:val="es-ES"/>
        </w:rPr>
        <w:t>j</w:t>
      </w:r>
      <w:r w:rsidRPr="00930560">
        <w:rPr>
          <w:rFonts w:ascii="Verdana" w:hAnsi="Verdana"/>
          <w:sz w:val="20"/>
          <w:szCs w:val="20"/>
          <w:lang w:val="es-ES"/>
        </w:rPr>
        <w:t>ulio De 2022</w:t>
      </w:r>
      <w:r>
        <w:rPr>
          <w:rFonts w:ascii="Verdana" w:hAnsi="Verdana"/>
          <w:sz w:val="20"/>
          <w:szCs w:val="20"/>
          <w:lang w:val="es-ES"/>
        </w:rPr>
        <w:t>.</w:t>
      </w:r>
    </w:p>
    <w:p w14:paraId="7EED9AB4" w14:textId="7343F81A" w:rsidR="00930560" w:rsidRDefault="00930560" w:rsidP="00930560">
      <w:pPr>
        <w:tabs>
          <w:tab w:val="left" w:pos="720"/>
        </w:tabs>
        <w:jc w:val="both"/>
        <w:rPr>
          <w:rFonts w:ascii="Verdana" w:hAnsi="Verdana"/>
          <w:sz w:val="20"/>
          <w:szCs w:val="20"/>
          <w:lang w:val="es-ES"/>
        </w:rPr>
      </w:pPr>
    </w:p>
    <w:p w14:paraId="1191FF99" w14:textId="6F9A7E70" w:rsidR="00930560" w:rsidRDefault="00930560" w:rsidP="00930560">
      <w:pPr>
        <w:tabs>
          <w:tab w:val="left" w:pos="720"/>
        </w:tabs>
        <w:jc w:val="both"/>
        <w:rPr>
          <w:rFonts w:ascii="Verdana" w:hAnsi="Verdana"/>
          <w:sz w:val="20"/>
          <w:szCs w:val="20"/>
          <w:lang w:val="es-ES"/>
        </w:rPr>
      </w:pPr>
    </w:p>
    <w:p w14:paraId="19BBE33E" w14:textId="5E28D57C" w:rsidR="00930560" w:rsidRDefault="00930560" w:rsidP="00930560">
      <w:pPr>
        <w:tabs>
          <w:tab w:val="left" w:pos="720"/>
        </w:tabs>
        <w:jc w:val="both"/>
        <w:rPr>
          <w:rFonts w:ascii="Verdana" w:hAnsi="Verdana"/>
          <w:sz w:val="20"/>
          <w:szCs w:val="20"/>
          <w:lang w:val="es-ES"/>
        </w:rPr>
      </w:pPr>
    </w:p>
    <w:p w14:paraId="062A3B0E" w14:textId="657FB6F3" w:rsidR="0084686D" w:rsidRPr="00CD7962" w:rsidRDefault="0084686D" w:rsidP="0084686D">
      <w:pPr>
        <w:ind w:left="4253"/>
        <w:jc w:val="center"/>
        <w:rPr>
          <w:spacing w:val="-2"/>
          <w:lang w:eastAsia="es-CR"/>
        </w:rPr>
      </w:pPr>
    </w:p>
    <w:p w14:paraId="1D28392B" w14:textId="3B3A18E4" w:rsidR="0084686D" w:rsidRPr="00CD7962" w:rsidRDefault="0084686D" w:rsidP="0084686D">
      <w:pPr>
        <w:ind w:left="4253"/>
        <w:jc w:val="center"/>
        <w:rPr>
          <w:spacing w:val="-2"/>
          <w:lang w:eastAsia="es-CR"/>
        </w:rPr>
      </w:pPr>
    </w:p>
    <w:p w14:paraId="2B25D920" w14:textId="565915E5" w:rsidR="0084686D" w:rsidRPr="0084686D" w:rsidRDefault="0084686D" w:rsidP="0084686D">
      <w:pPr>
        <w:ind w:left="4253"/>
        <w:jc w:val="center"/>
        <w:rPr>
          <w:rFonts w:ascii="Verdana" w:hAnsi="Verdana"/>
          <w:spacing w:val="-2"/>
          <w:sz w:val="20"/>
          <w:szCs w:val="20"/>
          <w:lang w:eastAsia="es-CR"/>
        </w:rPr>
      </w:pPr>
      <w:r w:rsidRPr="0084686D">
        <w:rPr>
          <w:rFonts w:ascii="Verdana" w:hAnsi="Verdana"/>
          <w:spacing w:val="-2"/>
          <w:sz w:val="20"/>
          <w:szCs w:val="20"/>
          <w:lang w:eastAsia="es-CR"/>
        </w:rPr>
        <w:t>Ricardo C. Pérez Manrique</w:t>
      </w:r>
    </w:p>
    <w:p w14:paraId="6607646F" w14:textId="77777777" w:rsidR="0084686D" w:rsidRPr="0084686D" w:rsidRDefault="0084686D" w:rsidP="0084686D">
      <w:pPr>
        <w:ind w:left="4253"/>
        <w:jc w:val="center"/>
        <w:rPr>
          <w:rFonts w:ascii="Verdana" w:hAnsi="Verdana"/>
          <w:sz w:val="20"/>
          <w:szCs w:val="20"/>
        </w:rPr>
      </w:pPr>
      <w:r w:rsidRPr="0084686D">
        <w:rPr>
          <w:rFonts w:ascii="Verdana" w:hAnsi="Verdana"/>
          <w:sz w:val="20"/>
          <w:szCs w:val="20"/>
        </w:rPr>
        <w:t>Presidente</w:t>
      </w:r>
    </w:p>
    <w:p w14:paraId="44A4DEED" w14:textId="77777777" w:rsidR="0084686D" w:rsidRPr="0084686D" w:rsidRDefault="0084686D" w:rsidP="0084686D">
      <w:pPr>
        <w:tabs>
          <w:tab w:val="left" w:pos="2835"/>
        </w:tabs>
        <w:ind w:right="6003"/>
        <w:jc w:val="center"/>
        <w:rPr>
          <w:rFonts w:ascii="Verdana" w:hAnsi="Verdana"/>
          <w:sz w:val="20"/>
          <w:szCs w:val="20"/>
        </w:rPr>
      </w:pPr>
    </w:p>
    <w:p w14:paraId="0408F375" w14:textId="62AA1494" w:rsidR="0084686D" w:rsidRPr="0084686D" w:rsidRDefault="0084686D" w:rsidP="0084686D">
      <w:pPr>
        <w:tabs>
          <w:tab w:val="left" w:pos="2835"/>
        </w:tabs>
        <w:ind w:right="6003"/>
        <w:jc w:val="center"/>
        <w:rPr>
          <w:rFonts w:ascii="Verdana" w:hAnsi="Verdana"/>
          <w:sz w:val="20"/>
          <w:szCs w:val="20"/>
        </w:rPr>
      </w:pPr>
    </w:p>
    <w:p w14:paraId="66707C4F" w14:textId="58CD5500" w:rsidR="0084686D" w:rsidRDefault="0084686D" w:rsidP="0084686D">
      <w:pPr>
        <w:tabs>
          <w:tab w:val="left" w:pos="2835"/>
        </w:tabs>
        <w:ind w:right="6003"/>
        <w:jc w:val="center"/>
        <w:rPr>
          <w:rFonts w:ascii="Verdana" w:hAnsi="Verdana"/>
          <w:sz w:val="20"/>
          <w:szCs w:val="20"/>
        </w:rPr>
      </w:pPr>
    </w:p>
    <w:p w14:paraId="022929F1" w14:textId="721D0705" w:rsidR="0084686D" w:rsidRPr="0084686D" w:rsidRDefault="0084686D" w:rsidP="0084686D">
      <w:pPr>
        <w:tabs>
          <w:tab w:val="left" w:pos="2835"/>
        </w:tabs>
        <w:ind w:right="6003"/>
        <w:jc w:val="center"/>
        <w:rPr>
          <w:rFonts w:ascii="Verdana" w:hAnsi="Verdana"/>
          <w:sz w:val="20"/>
          <w:szCs w:val="20"/>
        </w:rPr>
      </w:pPr>
    </w:p>
    <w:p w14:paraId="045DD45F" w14:textId="77777777" w:rsidR="0084686D" w:rsidRPr="0084686D" w:rsidRDefault="0084686D" w:rsidP="0084686D">
      <w:pPr>
        <w:tabs>
          <w:tab w:val="left" w:pos="2835"/>
        </w:tabs>
        <w:ind w:right="6003"/>
        <w:jc w:val="center"/>
        <w:rPr>
          <w:rFonts w:ascii="Verdana" w:hAnsi="Verdana"/>
          <w:sz w:val="20"/>
          <w:szCs w:val="20"/>
        </w:rPr>
      </w:pPr>
      <w:r w:rsidRPr="0084686D">
        <w:rPr>
          <w:rFonts w:ascii="Verdana" w:hAnsi="Verdana"/>
          <w:sz w:val="20"/>
          <w:szCs w:val="20"/>
        </w:rPr>
        <w:t>Pablo Saavedra Alessandri</w:t>
      </w:r>
    </w:p>
    <w:p w14:paraId="1EA8E2AE" w14:textId="77777777" w:rsidR="0084686D" w:rsidRPr="0084686D" w:rsidRDefault="0084686D" w:rsidP="0084686D">
      <w:pPr>
        <w:tabs>
          <w:tab w:val="left" w:pos="2835"/>
        </w:tabs>
        <w:ind w:right="6003"/>
        <w:jc w:val="center"/>
        <w:rPr>
          <w:rFonts w:ascii="Verdana" w:hAnsi="Verdana"/>
          <w:sz w:val="20"/>
          <w:szCs w:val="20"/>
        </w:rPr>
      </w:pPr>
      <w:r w:rsidRPr="0084686D">
        <w:rPr>
          <w:rFonts w:ascii="Verdana" w:hAnsi="Verdana"/>
          <w:sz w:val="20"/>
          <w:szCs w:val="20"/>
        </w:rPr>
        <w:t>Secretario</w:t>
      </w:r>
    </w:p>
    <w:p w14:paraId="500D0075" w14:textId="77777777" w:rsidR="0084686D" w:rsidRPr="0084686D" w:rsidRDefault="0084686D" w:rsidP="0084686D">
      <w:pPr>
        <w:rPr>
          <w:rFonts w:ascii="Verdana" w:hAnsi="Verdana"/>
          <w:sz w:val="20"/>
          <w:szCs w:val="20"/>
        </w:rPr>
      </w:pPr>
    </w:p>
    <w:p w14:paraId="1DD75AC7" w14:textId="77777777" w:rsidR="0084686D" w:rsidRPr="0084686D" w:rsidRDefault="0084686D" w:rsidP="0084686D">
      <w:pPr>
        <w:rPr>
          <w:rFonts w:ascii="Verdana" w:hAnsi="Verdana"/>
          <w:sz w:val="20"/>
          <w:szCs w:val="20"/>
        </w:rPr>
      </w:pPr>
    </w:p>
    <w:p w14:paraId="69C248B3" w14:textId="77777777" w:rsidR="0084686D" w:rsidRPr="0084686D" w:rsidRDefault="0084686D" w:rsidP="0084686D">
      <w:pPr>
        <w:rPr>
          <w:rFonts w:ascii="Verdana" w:hAnsi="Verdana"/>
          <w:sz w:val="20"/>
          <w:szCs w:val="20"/>
        </w:rPr>
      </w:pPr>
    </w:p>
    <w:p w14:paraId="5D6BF502" w14:textId="04E3EE28" w:rsidR="0084686D" w:rsidRPr="0084686D" w:rsidRDefault="0084686D" w:rsidP="0084686D">
      <w:pPr>
        <w:rPr>
          <w:rFonts w:ascii="Verdana" w:hAnsi="Verdana"/>
          <w:sz w:val="20"/>
          <w:szCs w:val="20"/>
        </w:rPr>
      </w:pPr>
      <w:r w:rsidRPr="0084686D">
        <w:rPr>
          <w:rFonts w:ascii="Verdana" w:hAnsi="Verdana"/>
          <w:sz w:val="20"/>
          <w:szCs w:val="20"/>
        </w:rPr>
        <w:t>Comuníquese y ejecútese,</w:t>
      </w:r>
      <w:r w:rsidRPr="0084686D">
        <w:rPr>
          <w:rFonts w:ascii="Verdana" w:hAnsi="Verdana"/>
          <w:sz w:val="20"/>
          <w:szCs w:val="20"/>
          <w:lang w:eastAsia="es-CR"/>
        </w:rPr>
        <w:t xml:space="preserve"> </w:t>
      </w:r>
    </w:p>
    <w:p w14:paraId="11A342D8" w14:textId="5C2D69FF" w:rsidR="0084686D" w:rsidRPr="0084686D" w:rsidRDefault="0084686D" w:rsidP="0084686D">
      <w:pPr>
        <w:rPr>
          <w:rFonts w:ascii="Verdana" w:hAnsi="Verdana"/>
          <w:sz w:val="20"/>
          <w:szCs w:val="20"/>
        </w:rPr>
      </w:pPr>
    </w:p>
    <w:p w14:paraId="3F480846" w14:textId="1C7E73D2" w:rsidR="0084686D" w:rsidRDefault="0084686D" w:rsidP="0084686D">
      <w:pPr>
        <w:rPr>
          <w:rFonts w:ascii="Verdana" w:hAnsi="Verdana"/>
          <w:sz w:val="20"/>
          <w:szCs w:val="20"/>
        </w:rPr>
      </w:pPr>
    </w:p>
    <w:p w14:paraId="27D9A665" w14:textId="4E010511" w:rsidR="0084686D" w:rsidRDefault="0084686D" w:rsidP="0084686D">
      <w:pPr>
        <w:rPr>
          <w:rFonts w:ascii="Verdana" w:hAnsi="Verdana"/>
          <w:sz w:val="20"/>
          <w:szCs w:val="20"/>
        </w:rPr>
      </w:pPr>
    </w:p>
    <w:p w14:paraId="42205BED" w14:textId="37341E6B" w:rsidR="0084686D" w:rsidRPr="0084686D" w:rsidRDefault="0084686D" w:rsidP="0084686D">
      <w:pPr>
        <w:rPr>
          <w:rFonts w:ascii="Verdana" w:hAnsi="Verdana"/>
          <w:sz w:val="20"/>
          <w:szCs w:val="20"/>
        </w:rPr>
      </w:pPr>
    </w:p>
    <w:p w14:paraId="49723AEC" w14:textId="77777777" w:rsidR="0084686D" w:rsidRPr="0084686D" w:rsidRDefault="0084686D" w:rsidP="0084686D">
      <w:pPr>
        <w:ind w:left="4253"/>
        <w:jc w:val="center"/>
        <w:rPr>
          <w:rFonts w:ascii="Verdana" w:hAnsi="Verdana"/>
          <w:spacing w:val="-2"/>
          <w:sz w:val="20"/>
          <w:szCs w:val="20"/>
          <w:lang w:eastAsia="es-CR"/>
        </w:rPr>
      </w:pPr>
      <w:r w:rsidRPr="0084686D">
        <w:rPr>
          <w:rFonts w:ascii="Verdana" w:hAnsi="Verdana"/>
          <w:spacing w:val="-2"/>
          <w:sz w:val="20"/>
          <w:szCs w:val="20"/>
          <w:lang w:eastAsia="es-CR"/>
        </w:rPr>
        <w:t>Ricardo C. Pérez Manrique</w:t>
      </w:r>
    </w:p>
    <w:p w14:paraId="3E4B533D" w14:textId="73E280FB" w:rsidR="0084686D" w:rsidRPr="0084686D" w:rsidRDefault="0084686D" w:rsidP="0084686D">
      <w:pPr>
        <w:ind w:left="4253"/>
        <w:jc w:val="center"/>
        <w:rPr>
          <w:rFonts w:ascii="Verdana" w:hAnsi="Verdana"/>
          <w:sz w:val="20"/>
          <w:szCs w:val="20"/>
        </w:rPr>
      </w:pPr>
      <w:r w:rsidRPr="0084686D">
        <w:rPr>
          <w:rFonts w:ascii="Verdana" w:hAnsi="Verdana"/>
          <w:sz w:val="20"/>
          <w:szCs w:val="20"/>
        </w:rPr>
        <w:t>Presidente</w:t>
      </w:r>
    </w:p>
    <w:p w14:paraId="6AC52D64" w14:textId="4206CAF8" w:rsidR="0084686D" w:rsidRDefault="0084686D" w:rsidP="0084686D">
      <w:pPr>
        <w:rPr>
          <w:rFonts w:ascii="Verdana" w:hAnsi="Verdana"/>
          <w:sz w:val="20"/>
          <w:szCs w:val="20"/>
        </w:rPr>
      </w:pPr>
    </w:p>
    <w:p w14:paraId="19A57393" w14:textId="77777777" w:rsidR="0084686D" w:rsidRPr="0084686D" w:rsidRDefault="0084686D" w:rsidP="0084686D">
      <w:pPr>
        <w:rPr>
          <w:rFonts w:ascii="Verdana" w:hAnsi="Verdana"/>
          <w:sz w:val="20"/>
          <w:szCs w:val="20"/>
        </w:rPr>
      </w:pPr>
    </w:p>
    <w:p w14:paraId="296B3430" w14:textId="77777777" w:rsidR="0084686D" w:rsidRPr="0084686D" w:rsidRDefault="0084686D" w:rsidP="0084686D">
      <w:pPr>
        <w:rPr>
          <w:rFonts w:ascii="Verdana" w:hAnsi="Verdana"/>
          <w:sz w:val="20"/>
          <w:szCs w:val="20"/>
        </w:rPr>
      </w:pPr>
    </w:p>
    <w:p w14:paraId="10BDEDC8" w14:textId="4A2473DF" w:rsidR="0084686D" w:rsidRPr="0084686D" w:rsidRDefault="0084686D" w:rsidP="0084686D">
      <w:pPr>
        <w:rPr>
          <w:rFonts w:ascii="Verdana" w:hAnsi="Verdana"/>
          <w:sz w:val="20"/>
          <w:szCs w:val="20"/>
        </w:rPr>
      </w:pPr>
    </w:p>
    <w:p w14:paraId="6157CB0D" w14:textId="1653D52D" w:rsidR="0084686D" w:rsidRPr="0084686D" w:rsidRDefault="0084686D" w:rsidP="0084686D">
      <w:pPr>
        <w:rPr>
          <w:rFonts w:ascii="Verdana" w:hAnsi="Verdana"/>
          <w:sz w:val="20"/>
          <w:szCs w:val="20"/>
        </w:rPr>
      </w:pPr>
    </w:p>
    <w:p w14:paraId="001590D0" w14:textId="77777777" w:rsidR="0084686D" w:rsidRPr="0084686D" w:rsidRDefault="0084686D" w:rsidP="0084686D">
      <w:pPr>
        <w:ind w:right="6003"/>
        <w:jc w:val="center"/>
        <w:rPr>
          <w:rFonts w:ascii="Verdana" w:hAnsi="Verdana"/>
          <w:sz w:val="20"/>
          <w:szCs w:val="20"/>
        </w:rPr>
      </w:pPr>
      <w:r w:rsidRPr="0084686D">
        <w:rPr>
          <w:rFonts w:ascii="Verdana" w:hAnsi="Verdana"/>
          <w:sz w:val="20"/>
          <w:szCs w:val="20"/>
        </w:rPr>
        <w:t>Pablo Saavedra Alessandri</w:t>
      </w:r>
    </w:p>
    <w:p w14:paraId="56611BEE" w14:textId="77777777" w:rsidR="0084686D" w:rsidRPr="0084686D" w:rsidRDefault="0084686D" w:rsidP="0084686D">
      <w:pPr>
        <w:ind w:right="6003"/>
        <w:jc w:val="center"/>
        <w:rPr>
          <w:rFonts w:ascii="Verdana" w:hAnsi="Verdana"/>
          <w:sz w:val="20"/>
          <w:szCs w:val="20"/>
        </w:rPr>
      </w:pPr>
      <w:r w:rsidRPr="0084686D">
        <w:rPr>
          <w:rFonts w:ascii="Verdana" w:hAnsi="Verdana"/>
          <w:sz w:val="20"/>
          <w:szCs w:val="20"/>
        </w:rPr>
        <w:t>Secretario</w:t>
      </w:r>
    </w:p>
    <w:p w14:paraId="66796548" w14:textId="77777777" w:rsidR="0084686D" w:rsidRPr="0084686D" w:rsidRDefault="0084686D" w:rsidP="0084686D">
      <w:pPr>
        <w:tabs>
          <w:tab w:val="left" w:pos="567"/>
        </w:tabs>
        <w:jc w:val="both"/>
        <w:rPr>
          <w:rFonts w:ascii="Verdana" w:hAnsi="Verdana"/>
          <w:sz w:val="20"/>
          <w:szCs w:val="20"/>
        </w:rPr>
      </w:pPr>
    </w:p>
    <w:p w14:paraId="7CF45D04" w14:textId="77777777" w:rsidR="00930560" w:rsidRPr="0084686D" w:rsidRDefault="00930560" w:rsidP="00930560">
      <w:pPr>
        <w:tabs>
          <w:tab w:val="left" w:pos="720"/>
        </w:tabs>
        <w:jc w:val="both"/>
        <w:rPr>
          <w:rFonts w:ascii="Verdana" w:hAnsi="Verdana"/>
          <w:sz w:val="20"/>
          <w:szCs w:val="20"/>
          <w:lang w:val="es-ES"/>
        </w:rPr>
      </w:pPr>
    </w:p>
    <w:p w14:paraId="6237E872" w14:textId="661D1E8F" w:rsidR="00930560" w:rsidRPr="008E74AA" w:rsidRDefault="00930560" w:rsidP="00930560">
      <w:pPr>
        <w:tabs>
          <w:tab w:val="left" w:pos="720"/>
        </w:tabs>
        <w:jc w:val="center"/>
        <w:rPr>
          <w:rFonts w:ascii="Verdana" w:hAnsi="Verdana"/>
          <w:b/>
          <w:sz w:val="20"/>
          <w:szCs w:val="20"/>
          <w:lang w:val="es-ES"/>
        </w:rPr>
      </w:pPr>
    </w:p>
    <w:p w14:paraId="1A691339" w14:textId="4C1335AB" w:rsidR="00930560" w:rsidRDefault="00930560" w:rsidP="00930560">
      <w:pPr>
        <w:autoSpaceDE w:val="0"/>
        <w:autoSpaceDN w:val="0"/>
        <w:adjustRightInd w:val="0"/>
        <w:spacing w:before="120" w:after="120"/>
        <w:jc w:val="both"/>
        <w:rPr>
          <w:rFonts w:ascii="Verdana" w:eastAsia="Calibri" w:hAnsi="Verdana" w:cs="Calibri"/>
          <w:sz w:val="20"/>
          <w:szCs w:val="20"/>
          <w:lang w:val="es-ES" w:eastAsia="es-ES"/>
        </w:rPr>
      </w:pPr>
    </w:p>
    <w:p w14:paraId="17FEB14C" w14:textId="77777777" w:rsidR="00930560" w:rsidRPr="00930560" w:rsidRDefault="00930560" w:rsidP="00930560">
      <w:pPr>
        <w:autoSpaceDE w:val="0"/>
        <w:autoSpaceDN w:val="0"/>
        <w:adjustRightInd w:val="0"/>
        <w:spacing w:before="120" w:after="120"/>
        <w:jc w:val="both"/>
        <w:rPr>
          <w:rFonts w:ascii="Verdana" w:eastAsia="Calibri" w:hAnsi="Verdana" w:cs="Calibri"/>
          <w:sz w:val="20"/>
          <w:szCs w:val="20"/>
          <w:lang w:val="es-ES" w:eastAsia="es-ES"/>
        </w:rPr>
      </w:pPr>
    </w:p>
    <w:sectPr w:rsidR="00930560" w:rsidRPr="00930560">
      <w:headerReference w:type="even" r:id="rId8"/>
      <w:foot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20009" w14:textId="77777777" w:rsidR="004E4AB8" w:rsidRDefault="004E4AB8" w:rsidP="00CC5731">
      <w:r>
        <w:separator/>
      </w:r>
    </w:p>
  </w:endnote>
  <w:endnote w:type="continuationSeparator" w:id="0">
    <w:p w14:paraId="0B2B1B0E" w14:textId="77777777" w:rsidR="004E4AB8" w:rsidRDefault="004E4AB8" w:rsidP="00CC5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MT">
    <w:charset w:val="00"/>
    <w:family w:val="auto"/>
    <w:pitch w:val="variable"/>
    <w:sig w:usb0="00000001" w:usb1="C8077843" w:usb2="00000019" w:usb3="00000000" w:csb0="0002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6A26" w14:textId="6E51380C" w:rsidR="00961501" w:rsidRPr="004456A3" w:rsidRDefault="00961501" w:rsidP="004456A3">
    <w:pPr>
      <w:pStyle w:val="Piedepgina"/>
      <w:jc w:val="center"/>
      <w:rPr>
        <w:rFonts w:ascii="Verdana" w:hAnsi="Verdana"/>
        <w:sz w:val="20"/>
        <w:szCs w:val="20"/>
      </w:rPr>
    </w:pPr>
    <w:r w:rsidRPr="004456A3">
      <w:rPr>
        <w:rFonts w:ascii="Verdana" w:hAnsi="Verdana"/>
        <w:sz w:val="20"/>
        <w:szCs w:val="20"/>
      </w:rPr>
      <w:fldChar w:fldCharType="begin"/>
    </w:r>
    <w:r w:rsidRPr="004456A3">
      <w:rPr>
        <w:rFonts w:ascii="Verdana" w:hAnsi="Verdana"/>
        <w:sz w:val="20"/>
        <w:szCs w:val="20"/>
      </w:rPr>
      <w:instrText>PAGE   \* MERGEFORMAT</w:instrText>
    </w:r>
    <w:r w:rsidRPr="004456A3">
      <w:rPr>
        <w:rFonts w:ascii="Verdana" w:hAnsi="Verdana"/>
        <w:sz w:val="20"/>
        <w:szCs w:val="20"/>
      </w:rPr>
      <w:fldChar w:fldCharType="separate"/>
    </w:r>
    <w:r w:rsidR="001E4D0B" w:rsidRPr="001E4D0B">
      <w:rPr>
        <w:rFonts w:ascii="Verdana" w:hAnsi="Verdana"/>
        <w:noProof/>
        <w:sz w:val="20"/>
        <w:szCs w:val="20"/>
        <w:lang w:val="es-ES"/>
      </w:rPr>
      <w:t>25</w:t>
    </w:r>
    <w:r w:rsidRPr="004456A3">
      <w:rPr>
        <w:rFonts w:ascii="Verdana" w:hAnsi="Verdana"/>
        <w:sz w:val="20"/>
        <w:szCs w:val="20"/>
      </w:rPr>
      <w:fldChar w:fldCharType="end"/>
    </w:r>
  </w:p>
  <w:p w14:paraId="21338648" w14:textId="77777777" w:rsidR="0080507B" w:rsidRDefault="008050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1EA23" w14:textId="77777777" w:rsidR="004E4AB8" w:rsidRDefault="004E4AB8" w:rsidP="00CC5731">
      <w:r>
        <w:separator/>
      </w:r>
    </w:p>
  </w:footnote>
  <w:footnote w:type="continuationSeparator" w:id="0">
    <w:p w14:paraId="3F99E459" w14:textId="77777777" w:rsidR="004E4AB8" w:rsidRDefault="004E4AB8" w:rsidP="00CC5731">
      <w:r>
        <w:continuationSeparator/>
      </w:r>
    </w:p>
  </w:footnote>
  <w:footnote w:id="1">
    <w:p w14:paraId="36BC011D" w14:textId="2623DF56" w:rsidR="00447C35" w:rsidRPr="00FB3B6F" w:rsidRDefault="00447C35" w:rsidP="00FB3B6F">
      <w:pPr>
        <w:pStyle w:val="Textonotapie"/>
        <w:tabs>
          <w:tab w:val="left" w:pos="567"/>
        </w:tabs>
        <w:jc w:val="both"/>
        <w:rPr>
          <w:rFonts w:ascii="Verdana" w:hAnsi="Verdana"/>
          <w:sz w:val="16"/>
          <w:szCs w:val="16"/>
        </w:rPr>
      </w:pPr>
      <w:r w:rsidRPr="00FB3B6F">
        <w:rPr>
          <w:rStyle w:val="Refdenotaalpie"/>
          <w:szCs w:val="16"/>
        </w:rPr>
        <w:footnoteRef/>
      </w:r>
      <w:r w:rsidRPr="00FB3B6F">
        <w:rPr>
          <w:rFonts w:ascii="Verdana" w:hAnsi="Verdana"/>
          <w:sz w:val="16"/>
          <w:szCs w:val="16"/>
        </w:rPr>
        <w:tab/>
      </w:r>
      <w:r w:rsidR="00DF5840">
        <w:rPr>
          <w:rFonts w:ascii="Verdana" w:hAnsi="Verdana"/>
          <w:i/>
          <w:iCs/>
          <w:sz w:val="16"/>
          <w:szCs w:val="16"/>
        </w:rPr>
        <w:t xml:space="preserve">Cfr. </w:t>
      </w:r>
      <w:r w:rsidR="00DF5840" w:rsidRPr="00C7674A">
        <w:rPr>
          <w:rFonts w:ascii="Verdana" w:hAnsi="Verdana"/>
          <w:i/>
          <w:iCs/>
          <w:sz w:val="16"/>
          <w:szCs w:val="16"/>
        </w:rPr>
        <w:t xml:space="preserve">Caso Gudiel Álvarez y otros ("Diario Militar") Vs. Guatemala. Fondo, Reparaciones y Costas. </w:t>
      </w:r>
      <w:r w:rsidR="00DF5840" w:rsidRPr="009E506D">
        <w:rPr>
          <w:rFonts w:ascii="Verdana" w:hAnsi="Verdana"/>
          <w:sz w:val="16"/>
          <w:szCs w:val="16"/>
        </w:rPr>
        <w:t>Sentencia de 20 noviembre de 2012. Serie C No. 253. Disponib</w:t>
      </w:r>
      <w:r w:rsidR="00DF5840" w:rsidRPr="001D5DCB">
        <w:rPr>
          <w:rFonts w:ascii="Verdana" w:hAnsi="Verdana"/>
          <w:sz w:val="16"/>
          <w:szCs w:val="16"/>
        </w:rPr>
        <w:t>le en:</w:t>
      </w:r>
      <w:r w:rsidR="00DF5840">
        <w:rPr>
          <w:rFonts w:ascii="Verdana" w:hAnsi="Verdana"/>
          <w:sz w:val="16"/>
          <w:szCs w:val="16"/>
        </w:rPr>
        <w:t xml:space="preserve"> </w:t>
      </w:r>
      <w:hyperlink r:id="rId1" w:history="1">
        <w:r w:rsidR="00DF5840" w:rsidRPr="004F6AD7">
          <w:rPr>
            <w:rStyle w:val="Hipervnculo"/>
            <w:rFonts w:ascii="Verdana" w:hAnsi="Verdana"/>
            <w:sz w:val="16"/>
            <w:szCs w:val="16"/>
          </w:rPr>
          <w:t>https://www.corteidh.or.cr/docs/casos/articulos/seriec_253_esp1.pdf</w:t>
        </w:r>
      </w:hyperlink>
      <w:r w:rsidR="00DF5840">
        <w:rPr>
          <w:rFonts w:ascii="Verdana" w:hAnsi="Verdana"/>
          <w:sz w:val="16"/>
          <w:szCs w:val="16"/>
        </w:rPr>
        <w:t>.</w:t>
      </w:r>
    </w:p>
  </w:footnote>
  <w:footnote w:id="2">
    <w:p w14:paraId="320824D2" w14:textId="6A4668DE" w:rsidR="00A657A5" w:rsidRPr="00FB3B6F" w:rsidRDefault="00A657A5" w:rsidP="00FB3B6F">
      <w:pPr>
        <w:pStyle w:val="Textonotapie"/>
        <w:tabs>
          <w:tab w:val="left" w:pos="567"/>
        </w:tabs>
        <w:jc w:val="both"/>
        <w:rPr>
          <w:rFonts w:ascii="Verdana" w:hAnsi="Verdana"/>
          <w:sz w:val="16"/>
          <w:szCs w:val="16"/>
        </w:rPr>
      </w:pPr>
      <w:r w:rsidRPr="00FB3B6F">
        <w:rPr>
          <w:rStyle w:val="Refdenotaalpie"/>
          <w:szCs w:val="16"/>
        </w:rPr>
        <w:footnoteRef/>
      </w:r>
      <w:r w:rsidRPr="00FB3B6F">
        <w:rPr>
          <w:rFonts w:ascii="Verdana" w:hAnsi="Verdana"/>
          <w:sz w:val="16"/>
          <w:szCs w:val="16"/>
        </w:rPr>
        <w:tab/>
      </w:r>
      <w:r w:rsidR="00DF5840" w:rsidRPr="00A219D8">
        <w:rPr>
          <w:rFonts w:ascii="Verdana" w:hAnsi="Verdana"/>
          <w:i/>
          <w:iCs/>
          <w:sz w:val="16"/>
          <w:szCs w:val="16"/>
        </w:rPr>
        <w:t xml:space="preserve">Cfr. Caso Gudiel Álvarez y otros ("Diario Militar") Vs. Guatemala. Interpretación de la Sentencia de Fondo, Reparaciones y Costas. </w:t>
      </w:r>
      <w:r w:rsidR="00DF5840" w:rsidRPr="00A219D8">
        <w:rPr>
          <w:rFonts w:ascii="Verdana" w:hAnsi="Verdana"/>
          <w:sz w:val="16"/>
          <w:szCs w:val="16"/>
        </w:rPr>
        <w:t>Sentencia de 19 de agosto de 2013. Serie C No. 262.</w:t>
      </w:r>
      <w:r w:rsidR="00DF5840">
        <w:rPr>
          <w:rFonts w:ascii="Verdana" w:hAnsi="Verdana"/>
          <w:sz w:val="16"/>
          <w:szCs w:val="16"/>
        </w:rPr>
        <w:t xml:space="preserve"> </w:t>
      </w:r>
      <w:r w:rsidR="00DF5840" w:rsidRPr="001D5DCB">
        <w:rPr>
          <w:rFonts w:ascii="Verdana" w:hAnsi="Verdana"/>
          <w:iCs/>
          <w:sz w:val="16"/>
          <w:szCs w:val="16"/>
        </w:rPr>
        <w:t>D</w:t>
      </w:r>
      <w:r w:rsidR="00DF5840" w:rsidRPr="001D5DCB">
        <w:rPr>
          <w:rFonts w:ascii="Verdana" w:hAnsi="Verdana"/>
          <w:sz w:val="16"/>
          <w:szCs w:val="16"/>
        </w:rPr>
        <w:t>isponible en:</w:t>
      </w:r>
      <w:r w:rsidR="00DF5840">
        <w:rPr>
          <w:rFonts w:ascii="Verdana" w:hAnsi="Verdana"/>
          <w:sz w:val="16"/>
          <w:szCs w:val="16"/>
        </w:rPr>
        <w:t xml:space="preserve"> </w:t>
      </w:r>
      <w:hyperlink r:id="rId2" w:history="1">
        <w:r w:rsidR="00DF5840" w:rsidRPr="004F6AD7">
          <w:rPr>
            <w:rStyle w:val="Hipervnculo"/>
            <w:rFonts w:ascii="Verdana" w:hAnsi="Verdana"/>
            <w:sz w:val="16"/>
            <w:szCs w:val="16"/>
          </w:rPr>
          <w:t>https://www.corteidh.or.cr/docs/casos/articulos/seriec_262_esp.pdf</w:t>
        </w:r>
      </w:hyperlink>
      <w:r w:rsidR="00DF5840">
        <w:rPr>
          <w:rFonts w:ascii="Verdana" w:hAnsi="Verdana"/>
          <w:sz w:val="16"/>
          <w:szCs w:val="16"/>
        </w:rPr>
        <w:t xml:space="preserve">. </w:t>
      </w:r>
    </w:p>
  </w:footnote>
  <w:footnote w:id="3">
    <w:p w14:paraId="5C5247B8" w14:textId="7C695CC3" w:rsidR="00961501" w:rsidRPr="00FB3B6F" w:rsidRDefault="00961501" w:rsidP="00FB3B6F">
      <w:pPr>
        <w:pStyle w:val="Textonotapie"/>
        <w:tabs>
          <w:tab w:val="left" w:pos="567"/>
        </w:tabs>
        <w:jc w:val="both"/>
        <w:rPr>
          <w:rFonts w:ascii="Verdana" w:hAnsi="Verdana"/>
          <w:sz w:val="16"/>
          <w:szCs w:val="16"/>
          <w:lang w:val="es-CR"/>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rPr>
        <w:tab/>
      </w:r>
      <w:r w:rsidR="00D03A9E" w:rsidRPr="00FB3B6F">
        <w:rPr>
          <w:rFonts w:ascii="Verdana" w:hAnsi="Verdana"/>
          <w:sz w:val="16"/>
          <w:szCs w:val="16"/>
        </w:rPr>
        <w:t>Fundación Myrna Mack</w:t>
      </w:r>
      <w:r w:rsidRPr="00FB3B6F">
        <w:rPr>
          <w:rFonts w:ascii="Verdana" w:hAnsi="Verdana"/>
          <w:sz w:val="16"/>
          <w:szCs w:val="16"/>
        </w:rPr>
        <w:t>.</w:t>
      </w:r>
    </w:p>
  </w:footnote>
  <w:footnote w:id="4">
    <w:p w14:paraId="385555B5" w14:textId="00FDF82A" w:rsidR="001F7740" w:rsidRPr="00FB3B6F" w:rsidRDefault="001F7740"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t>Este punto fue incluido en las solicitudes de l</w:t>
      </w:r>
      <w:r w:rsidR="001B2EFC" w:rsidRPr="00FB3B6F">
        <w:rPr>
          <w:rFonts w:ascii="Verdana" w:hAnsi="Verdana"/>
          <w:sz w:val="16"/>
          <w:szCs w:val="16"/>
          <w:lang w:val="es-MX"/>
        </w:rPr>
        <w:t>o</w:t>
      </w:r>
      <w:r w:rsidRPr="00FB3B6F">
        <w:rPr>
          <w:rFonts w:ascii="Verdana" w:hAnsi="Verdana"/>
          <w:sz w:val="16"/>
          <w:szCs w:val="16"/>
          <w:lang w:val="es-MX"/>
        </w:rPr>
        <w:t>s representantes en su escrito de 1 de julio de 2022.</w:t>
      </w:r>
    </w:p>
  </w:footnote>
  <w:footnote w:id="5">
    <w:p w14:paraId="051470CD" w14:textId="3F315C12" w:rsidR="00F743A0" w:rsidRPr="00FB3B6F" w:rsidRDefault="00F743A0" w:rsidP="00BC2C64">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00BC2C64" w:rsidRPr="000D704D">
        <w:rPr>
          <w:rFonts w:ascii="Verdana" w:hAnsi="Verdana"/>
          <w:i/>
          <w:iCs/>
          <w:sz w:val="16"/>
          <w:szCs w:val="16"/>
          <w:lang w:val="es-MX"/>
        </w:rPr>
        <w:t>Cfr.</w:t>
      </w:r>
      <w:r w:rsidR="00BC2C64" w:rsidRPr="000D704D">
        <w:rPr>
          <w:rFonts w:ascii="Verdana" w:hAnsi="Verdana"/>
          <w:sz w:val="16"/>
          <w:szCs w:val="16"/>
          <w:lang w:val="es-MX"/>
        </w:rPr>
        <w:t xml:space="preserve"> Comunicado de prensa “La CIDH expresa preocupación por acciones que debilitan la independencia judicial en Guatemala”. Comisión Interamericana de Derechos Humanos. 6 de agosto de 2021. Disponible en: </w:t>
      </w:r>
      <w:hyperlink r:id="rId3" w:history="1">
        <w:r w:rsidR="00BC2C64" w:rsidRPr="000D704D">
          <w:rPr>
            <w:rStyle w:val="Hipervnculo"/>
            <w:rFonts w:ascii="Verdana" w:hAnsi="Verdana"/>
            <w:sz w:val="16"/>
            <w:szCs w:val="16"/>
            <w:lang w:val="es-MX"/>
          </w:rPr>
          <w:t>http://www.oas.org/es/CIDH/jsForm/?File=/es/cidh/prensa/comunicados/2021/203.asp</w:t>
        </w:r>
      </w:hyperlink>
      <w:r w:rsidR="00BC2C64" w:rsidRPr="000D704D">
        <w:rPr>
          <w:rFonts w:ascii="Verdana" w:hAnsi="Verdana"/>
          <w:sz w:val="16"/>
          <w:szCs w:val="16"/>
          <w:lang w:val="es-MX"/>
        </w:rPr>
        <w:t>.</w:t>
      </w:r>
      <w:r w:rsidR="00BC2C64" w:rsidRPr="00FB3B6F">
        <w:rPr>
          <w:rFonts w:ascii="Verdana" w:hAnsi="Verdana"/>
          <w:sz w:val="16"/>
          <w:szCs w:val="16"/>
          <w:lang w:val="es-MX"/>
        </w:rPr>
        <w:t xml:space="preserve"> </w:t>
      </w:r>
    </w:p>
  </w:footnote>
  <w:footnote w:id="6">
    <w:p w14:paraId="36AD2A1C" w14:textId="61A080ED" w:rsidR="00B41981" w:rsidRPr="00FB3B6F" w:rsidRDefault="00B41981"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Pr="00FB3B6F">
        <w:rPr>
          <w:rFonts w:ascii="Verdana" w:eastAsiaTheme="minorHAnsi" w:hAnsi="Verdana" w:cs="Verdana"/>
          <w:sz w:val="16"/>
          <w:szCs w:val="16"/>
          <w:lang w:val="es-CR"/>
        </w:rPr>
        <w:t>Cinco familiares de víctimas, dos organizaciones de derechos humanos y la Procuraduría de Derechos Humanos.</w:t>
      </w:r>
    </w:p>
  </w:footnote>
  <w:footnote w:id="7">
    <w:p w14:paraId="2586203D" w14:textId="77777777" w:rsidR="0081060B" w:rsidRPr="00FB3B6F" w:rsidRDefault="0081060B"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t>Publicaciones en redes sociales (anexo al escrito de los representantes de 14 de junio de 2022).</w:t>
      </w:r>
    </w:p>
  </w:footnote>
  <w:footnote w:id="8">
    <w:p w14:paraId="71F9F368" w14:textId="7350EA11" w:rsidR="009B0E3D" w:rsidRPr="00FB3B6F" w:rsidRDefault="009B0E3D"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Pr="00FB3B6F">
        <w:rPr>
          <w:rFonts w:ascii="Verdana" w:eastAsiaTheme="minorHAnsi" w:hAnsi="Verdana" w:cs="Verdana"/>
          <w:color w:val="000000"/>
          <w:sz w:val="16"/>
          <w:szCs w:val="16"/>
          <w:lang w:val="es-CR"/>
        </w:rPr>
        <w:t>“[R]</w:t>
      </w:r>
      <w:proofErr w:type="spellStart"/>
      <w:r w:rsidRPr="00FB3B6F">
        <w:rPr>
          <w:rFonts w:ascii="Verdana" w:eastAsiaTheme="minorHAnsi" w:hAnsi="Verdana" w:cs="Verdana"/>
          <w:color w:val="000000"/>
          <w:sz w:val="16"/>
          <w:szCs w:val="16"/>
          <w:lang w:val="es-CR"/>
        </w:rPr>
        <w:t>ecientemente</w:t>
      </w:r>
      <w:proofErr w:type="spellEnd"/>
      <w:r w:rsidRPr="00FB3B6F">
        <w:rPr>
          <w:rFonts w:ascii="Verdana" w:eastAsiaTheme="minorHAnsi" w:hAnsi="Verdana" w:cs="Verdana"/>
          <w:color w:val="000000"/>
          <w:sz w:val="16"/>
          <w:szCs w:val="16"/>
          <w:lang w:val="es-CR"/>
        </w:rPr>
        <w:t xml:space="preserve"> fue acribillada una persona que se encontraba entregando volantes en una marcha para respaldar al juez Gálvez”, y quien portaba en su camioneta una calcomanía con el mensaje “Yo apoyo al juez Gálvez”, esto “describe el agravamiento de la situación”.</w:t>
      </w:r>
    </w:p>
  </w:footnote>
  <w:footnote w:id="9">
    <w:p w14:paraId="4EEC0D2E" w14:textId="77777777" w:rsidR="00F60C56" w:rsidRPr="00FB3B6F" w:rsidRDefault="00F60C56"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t>Publicaciones en redes sociales (anexo al escrito de los representantes de 1 de julio de 2022).</w:t>
      </w:r>
    </w:p>
  </w:footnote>
  <w:footnote w:id="10">
    <w:p w14:paraId="60BAA06C" w14:textId="7F9F83D3" w:rsidR="00F743A0" w:rsidRPr="00FB3B6F" w:rsidRDefault="00F743A0"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007751BA" w:rsidRPr="00FB3B6F">
        <w:rPr>
          <w:rFonts w:ascii="Verdana" w:hAnsi="Verdana"/>
          <w:sz w:val="16"/>
          <w:szCs w:val="16"/>
          <w:lang w:val="es-MX"/>
        </w:rPr>
        <w:t>Escrito de</w:t>
      </w:r>
      <w:r w:rsidRPr="00FB3B6F">
        <w:rPr>
          <w:rFonts w:ascii="Verdana" w:hAnsi="Verdana"/>
          <w:sz w:val="16"/>
          <w:szCs w:val="16"/>
          <w:lang w:val="es-MX"/>
        </w:rPr>
        <w:t xml:space="preserve"> 16 de mayo de 2022 (anexo al escrito de los representantes de 14 de junio de 2022).</w:t>
      </w:r>
    </w:p>
  </w:footnote>
  <w:footnote w:id="11">
    <w:p w14:paraId="5BD93F64" w14:textId="2D6D5FC7" w:rsidR="00E464DF" w:rsidRPr="00FB3B6F" w:rsidRDefault="00E464DF" w:rsidP="00FB3B6F">
      <w:pPr>
        <w:pStyle w:val="Textonotapie"/>
        <w:tabs>
          <w:tab w:val="left" w:pos="567"/>
        </w:tabs>
        <w:jc w:val="both"/>
        <w:rPr>
          <w:rFonts w:ascii="Verdana" w:eastAsiaTheme="minorHAnsi" w:hAnsi="Verdana" w:cs="Verdana"/>
          <w:sz w:val="16"/>
          <w:szCs w:val="16"/>
          <w:lang w:val="es-CR"/>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Pr="00FB3B6F">
        <w:rPr>
          <w:rFonts w:ascii="Verdana" w:eastAsiaTheme="minorHAnsi" w:hAnsi="Verdana" w:cs="Verdana"/>
          <w:sz w:val="16"/>
          <w:szCs w:val="16"/>
          <w:lang w:val="es-CR"/>
        </w:rPr>
        <w:t>Basado en los supuestos delitos de prevaricato, abuso de autoridad, incumplimiento de deberes y detenciones ilegales con causas agravantes “en forma continua”. En relación con este último delito, se argumentó “que desde 2015 el propuesto beneficiario ha estado aplicando la prisión provisional en su calidad de Juez de Primera Instancia Penal de forma desproporcionada”.</w:t>
      </w:r>
    </w:p>
  </w:footnote>
  <w:footnote w:id="12">
    <w:p w14:paraId="71B25364" w14:textId="77777777" w:rsidR="00046F73" w:rsidRPr="00FB3B6F" w:rsidRDefault="00046F73"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Pr="00FB3B6F">
        <w:rPr>
          <w:rFonts w:ascii="Verdana" w:hAnsi="Verdana" w:cs="ArialMT"/>
          <w:sz w:val="16"/>
          <w:szCs w:val="16"/>
          <w:lang w:val="es-CR"/>
        </w:rPr>
        <w:t xml:space="preserve">Explicaron que el expediente “será </w:t>
      </w:r>
      <w:proofErr w:type="spellStart"/>
      <w:r w:rsidRPr="00FB3B6F">
        <w:rPr>
          <w:rFonts w:ascii="Verdana" w:hAnsi="Verdana" w:cs="ArialMT"/>
          <w:sz w:val="16"/>
          <w:szCs w:val="16"/>
          <w:lang w:val="es-CR"/>
        </w:rPr>
        <w:t>traslad</w:t>
      </w:r>
      <w:proofErr w:type="spellEnd"/>
      <w:r w:rsidRPr="00FB3B6F">
        <w:rPr>
          <w:rFonts w:ascii="Verdana" w:hAnsi="Verdana" w:cs="ArialMT"/>
          <w:sz w:val="16"/>
          <w:szCs w:val="16"/>
          <w:lang w:val="es-CR"/>
        </w:rPr>
        <w:t>[</w:t>
      </w:r>
      <w:proofErr w:type="spellStart"/>
      <w:r w:rsidRPr="00FB3B6F">
        <w:rPr>
          <w:rFonts w:ascii="Verdana" w:hAnsi="Verdana" w:cs="ArialMT"/>
          <w:sz w:val="16"/>
          <w:szCs w:val="16"/>
          <w:lang w:val="es-CR"/>
        </w:rPr>
        <w:t>ado</w:t>
      </w:r>
      <w:proofErr w:type="spellEnd"/>
      <w:r w:rsidRPr="00FB3B6F">
        <w:rPr>
          <w:rFonts w:ascii="Verdana" w:hAnsi="Verdana" w:cs="ArialMT"/>
          <w:sz w:val="16"/>
          <w:szCs w:val="16"/>
          <w:lang w:val="es-CR"/>
        </w:rPr>
        <w:t>] a la jueza pesquisidora quien deberá citar a la Fundación contra el Terrorismo para que ratifiquen la denuncia”, y a su vez “dará lugar a una audiencia de descargo de pruebas”. Posteriormente, la Jueza pesquisidora “deberá elaborar un informe con la recomendación de retirar o no la inmunidad al juzgador”, el cual será trasladado a la Corte Suprema de Justicia para que resuelva.</w:t>
      </w:r>
    </w:p>
  </w:footnote>
  <w:footnote w:id="13">
    <w:p w14:paraId="7E25A479" w14:textId="4EEA5C7E" w:rsidR="00D96909" w:rsidRPr="00FB3B6F" w:rsidRDefault="00D96909"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003A7F51" w:rsidRPr="00FB3B6F">
        <w:rPr>
          <w:rFonts w:ascii="Verdana" w:eastAsiaTheme="minorHAnsi" w:hAnsi="Verdana" w:cs="Verdana"/>
          <w:sz w:val="16"/>
          <w:szCs w:val="16"/>
          <w:lang w:val="es-CR"/>
        </w:rPr>
        <w:t>El Estado señaló que el artículo 203 de la Constitución Política de Guatemala “garantiza que los jueces son independientes en el ejercicio de sus funciones”</w:t>
      </w:r>
      <w:r w:rsidR="00AD517D" w:rsidRPr="00FB3B6F">
        <w:rPr>
          <w:rFonts w:ascii="Verdana" w:eastAsiaTheme="minorHAnsi" w:hAnsi="Verdana" w:cs="Verdana"/>
          <w:sz w:val="16"/>
          <w:szCs w:val="16"/>
          <w:lang w:val="es-CR"/>
        </w:rPr>
        <w:t>;</w:t>
      </w:r>
      <w:r w:rsidR="003A7F51" w:rsidRPr="00FB3B6F">
        <w:rPr>
          <w:rFonts w:ascii="Verdana" w:eastAsiaTheme="minorHAnsi" w:hAnsi="Verdana" w:cs="Verdana"/>
          <w:sz w:val="16"/>
          <w:szCs w:val="16"/>
          <w:lang w:val="es-CR"/>
        </w:rPr>
        <w:t xml:space="preserve"> el artículo 205 literal c) estipula “[l]a no remoción de los magistrados y jueces de primera instancia, salvo los casos establecidos por la ley”</w:t>
      </w:r>
      <w:r w:rsidR="00AD517D" w:rsidRPr="00FB3B6F">
        <w:rPr>
          <w:rFonts w:ascii="Verdana" w:eastAsiaTheme="minorHAnsi" w:hAnsi="Verdana" w:cs="Verdana"/>
          <w:sz w:val="16"/>
          <w:szCs w:val="16"/>
          <w:lang w:val="es-CR"/>
        </w:rPr>
        <w:t>;</w:t>
      </w:r>
      <w:r w:rsidR="003A7F51" w:rsidRPr="00FB3B6F">
        <w:rPr>
          <w:rFonts w:ascii="Verdana" w:eastAsiaTheme="minorHAnsi" w:hAnsi="Verdana" w:cs="Verdana"/>
          <w:sz w:val="16"/>
          <w:szCs w:val="16"/>
          <w:lang w:val="es-CR"/>
        </w:rPr>
        <w:t xml:space="preserve"> y el artículo 206 reconoce el “derecho de antejuicio a los jueces, [el cual] busca preservar la estabilidad del desempeño del cargo que ocupan los jueces y, asegurar así el correcto ejercicio de la función jurisdiccional”.</w:t>
      </w:r>
      <w:r w:rsidR="003A7F51" w:rsidRPr="00FB3B6F">
        <w:rPr>
          <w:rFonts w:ascii="Verdana" w:hAnsi="Verdana"/>
          <w:sz w:val="16"/>
          <w:szCs w:val="16"/>
          <w:lang w:val="es-MX"/>
        </w:rPr>
        <w:t xml:space="preserve"> </w:t>
      </w:r>
      <w:bookmarkStart w:id="5" w:name="_Hlk106869911"/>
      <w:r w:rsidR="00DC601E" w:rsidRPr="00FB3B6F">
        <w:rPr>
          <w:rFonts w:ascii="Verdana" w:hAnsi="Verdana"/>
          <w:sz w:val="16"/>
          <w:szCs w:val="16"/>
          <w:lang w:val="es-MX"/>
        </w:rPr>
        <w:t xml:space="preserve">Al respecto, </w:t>
      </w:r>
      <w:r w:rsidR="00DC601E" w:rsidRPr="00FB3B6F">
        <w:rPr>
          <w:rFonts w:ascii="Verdana" w:eastAsiaTheme="minorHAnsi" w:hAnsi="Verdana" w:cs="Verdana"/>
          <w:sz w:val="16"/>
          <w:szCs w:val="16"/>
          <w:lang w:val="es-CR"/>
        </w:rPr>
        <w:t>e</w:t>
      </w:r>
      <w:r w:rsidR="00122C2B" w:rsidRPr="00FB3B6F">
        <w:rPr>
          <w:rFonts w:ascii="Verdana" w:eastAsiaTheme="minorHAnsi" w:hAnsi="Verdana" w:cs="Verdana"/>
          <w:sz w:val="16"/>
          <w:szCs w:val="16"/>
          <w:lang w:val="es-CR"/>
        </w:rPr>
        <w:t xml:space="preserve">xplicó </w:t>
      </w:r>
      <w:r w:rsidR="00DC601E" w:rsidRPr="00FB3B6F">
        <w:rPr>
          <w:rFonts w:ascii="Verdana" w:eastAsiaTheme="minorHAnsi" w:hAnsi="Verdana" w:cs="Verdana"/>
          <w:sz w:val="16"/>
          <w:szCs w:val="16"/>
          <w:lang w:val="es-CR"/>
        </w:rPr>
        <w:t>que el procedimiento de antejuicio</w:t>
      </w:r>
      <w:r w:rsidR="00AD517D" w:rsidRPr="00FB3B6F">
        <w:rPr>
          <w:rFonts w:ascii="Verdana" w:eastAsiaTheme="minorHAnsi" w:hAnsi="Verdana" w:cs="Verdana"/>
          <w:sz w:val="16"/>
          <w:szCs w:val="16"/>
          <w:lang w:val="es-CR"/>
        </w:rPr>
        <w:t>.</w:t>
      </w:r>
      <w:bookmarkEnd w:id="5"/>
    </w:p>
  </w:footnote>
  <w:footnote w:id="14">
    <w:p w14:paraId="1B150681" w14:textId="780F55E3" w:rsidR="00D60CF7" w:rsidRPr="00FB3B6F" w:rsidRDefault="00D60CF7"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00D02FCC" w:rsidRPr="00FB3B6F">
        <w:rPr>
          <w:rFonts w:ascii="Verdana" w:hAnsi="Verdana"/>
          <w:i/>
          <w:iCs/>
          <w:sz w:val="16"/>
          <w:szCs w:val="16"/>
          <w:lang w:val="es-MX"/>
        </w:rPr>
        <w:t>Cfr.</w:t>
      </w:r>
      <w:r w:rsidR="00D02FCC" w:rsidRPr="00FB3B6F">
        <w:rPr>
          <w:rFonts w:ascii="Verdana" w:hAnsi="Verdana"/>
          <w:sz w:val="16"/>
          <w:szCs w:val="16"/>
          <w:lang w:val="es-MX"/>
        </w:rPr>
        <w:t xml:space="preserve"> </w:t>
      </w:r>
      <w:r w:rsidRPr="00FB3B6F">
        <w:rPr>
          <w:rFonts w:ascii="Verdana" w:hAnsi="Verdana"/>
          <w:sz w:val="16"/>
          <w:szCs w:val="16"/>
          <w:lang w:val="es-MX"/>
        </w:rPr>
        <w:t xml:space="preserve">Resolución de 15 de junio de 2022 </w:t>
      </w:r>
      <w:r w:rsidRPr="00FB3B6F">
        <w:rPr>
          <w:rFonts w:ascii="Verdana" w:eastAsiaTheme="minorHAnsi" w:hAnsi="Verdana" w:cs="Arial"/>
          <w:bCs/>
          <w:sz w:val="16"/>
          <w:szCs w:val="16"/>
          <w:lang w:val="es-CR"/>
        </w:rPr>
        <w:t xml:space="preserve">(anexo al informe estatal </w:t>
      </w:r>
      <w:r w:rsidRPr="00FB3B6F">
        <w:rPr>
          <w:rFonts w:ascii="Verdana" w:hAnsi="Verdana"/>
          <w:sz w:val="16"/>
          <w:szCs w:val="16"/>
        </w:rPr>
        <w:t>de 22 de junio de 2022</w:t>
      </w:r>
      <w:r w:rsidRPr="00FB3B6F">
        <w:rPr>
          <w:rFonts w:ascii="Verdana" w:eastAsiaTheme="minorHAnsi" w:hAnsi="Verdana" w:cs="Arial"/>
          <w:bCs/>
          <w:sz w:val="16"/>
          <w:szCs w:val="16"/>
          <w:lang w:val="es-CR"/>
        </w:rPr>
        <w:t>).</w:t>
      </w:r>
    </w:p>
  </w:footnote>
  <w:footnote w:id="15">
    <w:p w14:paraId="1D71EE3A" w14:textId="15A4905C" w:rsidR="006A49C6" w:rsidRPr="00FB3B6F" w:rsidRDefault="006A49C6"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Pr="00FB3B6F">
        <w:rPr>
          <w:rFonts w:ascii="Verdana" w:hAnsi="Verdana"/>
          <w:i/>
          <w:iCs/>
          <w:sz w:val="16"/>
          <w:szCs w:val="16"/>
          <w:lang w:val="es-MX"/>
        </w:rPr>
        <w:t>Cfr.</w:t>
      </w:r>
      <w:r w:rsidRPr="00FB3B6F">
        <w:rPr>
          <w:rFonts w:ascii="Verdana" w:hAnsi="Verdana"/>
          <w:sz w:val="16"/>
          <w:szCs w:val="16"/>
          <w:lang w:val="es-MX"/>
        </w:rPr>
        <w:t xml:space="preserve"> </w:t>
      </w:r>
      <w:r w:rsidR="00BC2C64">
        <w:rPr>
          <w:rFonts w:ascii="Verdana" w:hAnsi="Verdana"/>
          <w:sz w:val="16"/>
          <w:szCs w:val="16"/>
          <w:lang w:val="es-MX"/>
        </w:rPr>
        <w:t>Medida cautelar</w:t>
      </w:r>
      <w:r w:rsidR="00BC2C64" w:rsidRPr="00BC2C64">
        <w:rPr>
          <w:rFonts w:ascii="Verdana" w:hAnsi="Verdana"/>
          <w:sz w:val="16"/>
          <w:szCs w:val="16"/>
          <w:lang w:val="es-MX"/>
        </w:rPr>
        <w:t xml:space="preserve"> No. 351-16 y 366-16</w:t>
      </w:r>
      <w:r w:rsidR="00BC2C64">
        <w:rPr>
          <w:rFonts w:ascii="Verdana" w:hAnsi="Verdana"/>
          <w:sz w:val="16"/>
          <w:szCs w:val="16"/>
          <w:lang w:val="es-MX"/>
        </w:rPr>
        <w:t>. Comisión Interamericana de Derechos Humanos. Disponible en:</w:t>
      </w:r>
      <w:r w:rsidR="00BC2C64" w:rsidRPr="00BC2C64">
        <w:rPr>
          <w:rFonts w:ascii="Verdana" w:hAnsi="Verdana"/>
          <w:sz w:val="16"/>
          <w:szCs w:val="16"/>
          <w:lang w:val="es-MX"/>
        </w:rPr>
        <w:t xml:space="preserve"> </w:t>
      </w:r>
      <w:hyperlink r:id="rId4" w:history="1">
        <w:r w:rsidRPr="00FB3B6F">
          <w:rPr>
            <w:rStyle w:val="Hipervnculo"/>
            <w:rFonts w:ascii="Verdana" w:hAnsi="Verdana"/>
            <w:color w:val="auto"/>
            <w:sz w:val="16"/>
            <w:szCs w:val="16"/>
            <w:u w:val="none"/>
          </w:rPr>
          <w:t>https://www.oas.org/es/cidh/decisiones/pdf/2016/mc366-16-es.pdf</w:t>
        </w:r>
      </w:hyperlink>
      <w:r w:rsidR="00BC2C64">
        <w:rPr>
          <w:rStyle w:val="Hipervnculo"/>
          <w:rFonts w:ascii="Verdana" w:hAnsi="Verdana"/>
          <w:color w:val="auto"/>
          <w:sz w:val="16"/>
          <w:szCs w:val="16"/>
          <w:u w:val="none"/>
        </w:rPr>
        <w:t xml:space="preserve">. </w:t>
      </w:r>
      <w:r w:rsidRPr="00FB3B6F">
        <w:rPr>
          <w:rFonts w:ascii="Verdana" w:hAnsi="Verdana"/>
          <w:sz w:val="16"/>
          <w:szCs w:val="16"/>
        </w:rPr>
        <w:t xml:space="preserve"> </w:t>
      </w:r>
    </w:p>
  </w:footnote>
  <w:footnote w:id="16">
    <w:p w14:paraId="6DDD1ED6" w14:textId="12CF7F68" w:rsidR="004F7291" w:rsidRPr="00FB3B6F" w:rsidRDefault="004F7291"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Pr="00FB3B6F">
        <w:rPr>
          <w:rFonts w:ascii="Verdana" w:eastAsiaTheme="minorHAnsi" w:hAnsi="Verdana" w:cs="Verdana"/>
          <w:sz w:val="16"/>
          <w:szCs w:val="16"/>
          <w:lang w:val="es-CR"/>
        </w:rPr>
        <w:t>Por ello “el único ente legitimado es la Comisión Interamericana”. Explicó que, según fue denunciado, en el año 2015 tal juez “creó por analogía una medida de coerción a la que denominó ‘prisión provisional’, misma que ha aplicado de forma continuada en el ejercicio de su cargo como juez; […] que dicha figura es contraria a la ley y que es equivalente a una detención ilegal”</w:t>
      </w:r>
    </w:p>
  </w:footnote>
  <w:footnote w:id="17">
    <w:p w14:paraId="38CF6925" w14:textId="40A583F0" w:rsidR="00B9378D" w:rsidRPr="000D704D" w:rsidRDefault="00B9378D"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00F308C5" w:rsidRPr="00380F1E">
        <w:rPr>
          <w:rFonts w:ascii="Verdana" w:hAnsi="Verdana"/>
          <w:i/>
          <w:iCs/>
          <w:sz w:val="16"/>
          <w:szCs w:val="16"/>
          <w:lang w:val="es-MX"/>
        </w:rPr>
        <w:t xml:space="preserve">Cfr. Caso Bedoya Lima y otra Vs. Colombia. Medidas Provisionales. Adopción de Medidas Provisionales. </w:t>
      </w:r>
      <w:r w:rsidR="00F308C5" w:rsidRPr="00380F1E">
        <w:rPr>
          <w:rFonts w:ascii="Verdana" w:hAnsi="Verdana"/>
          <w:sz w:val="16"/>
          <w:szCs w:val="16"/>
          <w:lang w:val="es-MX"/>
        </w:rPr>
        <w:t xml:space="preserve">Resolución de la Corte Interamericana de Derechos Humanos de 24 de marzo de 2021 </w:t>
      </w:r>
      <w:r w:rsidR="00F308C5" w:rsidRPr="00380F1E">
        <w:rPr>
          <w:rFonts w:ascii="Verdana" w:eastAsiaTheme="minorHAnsi" w:hAnsi="Verdana" w:cs="ArialMT"/>
          <w:bCs/>
          <w:iCs/>
          <w:sz w:val="16"/>
          <w:szCs w:val="16"/>
          <w:lang w:val="es-CR"/>
        </w:rPr>
        <w:t xml:space="preserve">y </w:t>
      </w:r>
      <w:r w:rsidR="00F308C5" w:rsidRPr="00380F1E">
        <w:rPr>
          <w:rFonts w:ascii="Verdana" w:eastAsiaTheme="minorHAnsi" w:hAnsi="Verdana" w:cs="ArialMT"/>
          <w:bCs/>
          <w:i/>
          <w:sz w:val="16"/>
          <w:szCs w:val="16"/>
          <w:lang w:val="es-CR"/>
        </w:rPr>
        <w:t xml:space="preserve">Caso Vicky Hernández y otros Vs. Honduras. </w:t>
      </w:r>
      <w:r w:rsidR="00F308C5" w:rsidRPr="000D704D">
        <w:rPr>
          <w:rFonts w:ascii="Verdana" w:eastAsiaTheme="minorHAnsi" w:hAnsi="Verdana" w:cs="ArialMT"/>
          <w:bCs/>
          <w:i/>
          <w:sz w:val="16"/>
          <w:szCs w:val="16"/>
          <w:lang w:val="es-CR"/>
        </w:rPr>
        <w:t>Medidas Provisionales.</w:t>
      </w:r>
      <w:r w:rsidR="00F308C5" w:rsidRPr="000D704D">
        <w:rPr>
          <w:rFonts w:ascii="Verdana" w:eastAsiaTheme="minorHAnsi" w:hAnsi="Verdana" w:cs="ArialMT"/>
          <w:bCs/>
          <w:iCs/>
          <w:sz w:val="16"/>
          <w:szCs w:val="16"/>
          <w:lang w:val="es-CR"/>
        </w:rPr>
        <w:t xml:space="preserve"> Resolución de la Corte Interamericana de Derechos Humanos de 12 de noviembre de 2020.</w:t>
      </w:r>
    </w:p>
  </w:footnote>
  <w:footnote w:id="18">
    <w:p w14:paraId="493BF185" w14:textId="4D632613" w:rsidR="001E37FB" w:rsidRPr="000D704D" w:rsidRDefault="001E37FB" w:rsidP="00FB3B6F">
      <w:pPr>
        <w:pStyle w:val="Textonotapie"/>
        <w:tabs>
          <w:tab w:val="left" w:pos="567"/>
        </w:tabs>
        <w:jc w:val="both"/>
        <w:rPr>
          <w:rFonts w:ascii="Verdana" w:hAnsi="Verdana"/>
          <w:sz w:val="16"/>
          <w:szCs w:val="16"/>
          <w:lang w:val="es-MX"/>
        </w:rPr>
      </w:pPr>
      <w:r w:rsidRPr="000D704D">
        <w:rPr>
          <w:rStyle w:val="Refdenotaalpie"/>
          <w:szCs w:val="16"/>
        </w:rPr>
        <w:footnoteRef/>
      </w:r>
      <w:r w:rsidRPr="000D704D">
        <w:rPr>
          <w:rFonts w:ascii="Verdana" w:hAnsi="Verdana"/>
          <w:sz w:val="16"/>
          <w:szCs w:val="16"/>
        </w:rPr>
        <w:t xml:space="preserve"> </w:t>
      </w:r>
      <w:r w:rsidRPr="000D704D">
        <w:rPr>
          <w:rFonts w:ascii="Verdana" w:hAnsi="Verdana"/>
          <w:sz w:val="16"/>
          <w:szCs w:val="16"/>
          <w:lang w:val="es-MX"/>
        </w:rPr>
        <w:tab/>
      </w:r>
      <w:r w:rsidR="000D704D" w:rsidRPr="000D704D">
        <w:rPr>
          <w:rFonts w:ascii="Verdana" w:hAnsi="Verdana"/>
          <w:i/>
          <w:iCs/>
          <w:sz w:val="16"/>
          <w:szCs w:val="16"/>
          <w:lang w:val="es-MX"/>
        </w:rPr>
        <w:t>Cfr.</w:t>
      </w:r>
      <w:r w:rsidR="000D704D" w:rsidRPr="000D704D">
        <w:rPr>
          <w:rFonts w:ascii="Verdana" w:hAnsi="Verdana"/>
          <w:sz w:val="16"/>
          <w:szCs w:val="16"/>
          <w:lang w:val="es-MX"/>
        </w:rPr>
        <w:t xml:space="preserve"> Comunicado de prensa “La CIDH expresa preocupación por acciones que debilitan la independencia judicial en Guatemala”. Comisión Interamericana de Derechos Humanos. 6 de agosto de 2021. Disponible en: </w:t>
      </w:r>
      <w:hyperlink r:id="rId5" w:history="1">
        <w:r w:rsidR="000D704D" w:rsidRPr="000D704D">
          <w:rPr>
            <w:rStyle w:val="Hipervnculo"/>
            <w:rFonts w:ascii="Verdana" w:hAnsi="Verdana"/>
            <w:sz w:val="16"/>
            <w:szCs w:val="16"/>
            <w:lang w:val="es-MX"/>
          </w:rPr>
          <w:t>http://www.oas.org/es/CIDH/jsForm/?File=/es/cidh/prensa/comunicados/2021/203.asp</w:t>
        </w:r>
      </w:hyperlink>
      <w:r w:rsidR="000D704D" w:rsidRPr="000D704D">
        <w:rPr>
          <w:rFonts w:ascii="Verdana" w:hAnsi="Verdana"/>
          <w:sz w:val="16"/>
          <w:szCs w:val="16"/>
          <w:lang w:val="es-MX"/>
        </w:rPr>
        <w:t>.</w:t>
      </w:r>
    </w:p>
  </w:footnote>
  <w:footnote w:id="19">
    <w:p w14:paraId="3509A78E" w14:textId="482D7845" w:rsidR="001E37FB" w:rsidRPr="000D704D" w:rsidRDefault="001E37FB" w:rsidP="00FB3B6F">
      <w:pPr>
        <w:pStyle w:val="Textonotapie"/>
        <w:tabs>
          <w:tab w:val="left" w:pos="567"/>
        </w:tabs>
        <w:jc w:val="both"/>
        <w:rPr>
          <w:rFonts w:ascii="Verdana" w:hAnsi="Verdana"/>
          <w:sz w:val="16"/>
          <w:szCs w:val="16"/>
          <w:lang w:val="es-MX"/>
        </w:rPr>
      </w:pPr>
      <w:r w:rsidRPr="000D704D">
        <w:rPr>
          <w:rStyle w:val="Refdenotaalpie"/>
          <w:szCs w:val="16"/>
        </w:rPr>
        <w:footnoteRef/>
      </w:r>
      <w:r w:rsidRPr="000D704D">
        <w:rPr>
          <w:rFonts w:ascii="Verdana" w:hAnsi="Verdana"/>
          <w:sz w:val="16"/>
          <w:szCs w:val="16"/>
        </w:rPr>
        <w:t xml:space="preserve"> </w:t>
      </w:r>
      <w:r w:rsidRPr="000D704D">
        <w:rPr>
          <w:rFonts w:ascii="Verdana" w:hAnsi="Verdana"/>
          <w:sz w:val="16"/>
          <w:szCs w:val="16"/>
          <w:lang w:val="es-MX"/>
        </w:rPr>
        <w:tab/>
      </w:r>
      <w:r w:rsidR="000D704D" w:rsidRPr="000D704D">
        <w:rPr>
          <w:rFonts w:ascii="Verdana" w:hAnsi="Verdana"/>
          <w:i/>
          <w:iCs/>
          <w:sz w:val="16"/>
          <w:szCs w:val="16"/>
          <w:lang w:val="es-MX"/>
        </w:rPr>
        <w:t>Cfr.</w:t>
      </w:r>
      <w:r w:rsidR="000D704D" w:rsidRPr="000D704D">
        <w:rPr>
          <w:rFonts w:ascii="Verdana" w:hAnsi="Verdana"/>
          <w:sz w:val="16"/>
          <w:szCs w:val="16"/>
          <w:lang w:val="es-MX"/>
        </w:rPr>
        <w:t xml:space="preserve"> Comunicado de prensa “CIDH expresa preocupación por nuevas afectaciones a la independencia judicial en Guatemala”. Comisión Interamericana de Derechos Humanos. 22 de febrero de 2022. Disponible en: http://www.oas.org/es/CIDH/jsForm/?File=/es/cidh/prensa/comunicados/2022/037.asp.</w:t>
      </w:r>
    </w:p>
  </w:footnote>
  <w:footnote w:id="20">
    <w:p w14:paraId="14E5C9A7" w14:textId="77777777" w:rsidR="00F308C5" w:rsidRPr="001D5DCB" w:rsidRDefault="00AB5854" w:rsidP="00F308C5">
      <w:pPr>
        <w:pStyle w:val="Textonotapie"/>
        <w:tabs>
          <w:tab w:val="left" w:pos="567"/>
        </w:tabs>
        <w:jc w:val="both"/>
        <w:rPr>
          <w:rFonts w:ascii="Verdana" w:hAnsi="Verdana"/>
          <w:sz w:val="16"/>
          <w:szCs w:val="16"/>
          <w:lang w:val="es-MX"/>
        </w:rPr>
      </w:pPr>
      <w:r w:rsidRPr="000D704D">
        <w:rPr>
          <w:rStyle w:val="Refdenotaalpie"/>
          <w:szCs w:val="16"/>
        </w:rPr>
        <w:footnoteRef/>
      </w:r>
      <w:r w:rsidRPr="000D704D">
        <w:rPr>
          <w:rFonts w:ascii="Verdana" w:hAnsi="Verdana"/>
          <w:sz w:val="16"/>
          <w:szCs w:val="16"/>
        </w:rPr>
        <w:t xml:space="preserve"> </w:t>
      </w:r>
      <w:r w:rsidRPr="000D704D">
        <w:rPr>
          <w:rFonts w:ascii="Verdana" w:hAnsi="Verdana"/>
          <w:sz w:val="16"/>
          <w:szCs w:val="16"/>
          <w:lang w:val="es-MX"/>
        </w:rPr>
        <w:tab/>
      </w:r>
      <w:r w:rsidR="00F308C5" w:rsidRPr="000D704D">
        <w:rPr>
          <w:rFonts w:ascii="Verdana" w:hAnsi="Verdana"/>
          <w:i/>
          <w:iCs/>
          <w:sz w:val="16"/>
          <w:szCs w:val="16"/>
          <w:lang w:val="es-MX"/>
        </w:rPr>
        <w:t xml:space="preserve">Cfr. </w:t>
      </w:r>
      <w:r w:rsidR="00F308C5" w:rsidRPr="000D704D">
        <w:rPr>
          <w:rFonts w:ascii="Verdana" w:hAnsi="Verdana"/>
          <w:sz w:val="16"/>
          <w:szCs w:val="16"/>
          <w:lang w:val="es-MX"/>
        </w:rPr>
        <w:t xml:space="preserve">Capítulo </w:t>
      </w:r>
      <w:proofErr w:type="spellStart"/>
      <w:r w:rsidR="00F308C5" w:rsidRPr="000D704D">
        <w:rPr>
          <w:rFonts w:ascii="Verdana" w:hAnsi="Verdana"/>
          <w:sz w:val="16"/>
          <w:szCs w:val="16"/>
          <w:lang w:val="es-MX"/>
        </w:rPr>
        <w:t>IV.b</w:t>
      </w:r>
      <w:proofErr w:type="spellEnd"/>
      <w:r w:rsidR="00F308C5" w:rsidRPr="000D704D">
        <w:rPr>
          <w:rFonts w:ascii="Verdana" w:hAnsi="Verdana"/>
          <w:sz w:val="16"/>
          <w:szCs w:val="16"/>
          <w:lang w:val="es-MX"/>
        </w:rPr>
        <w:t xml:space="preserve"> del Informe anual de la Comisión Interamericana</w:t>
      </w:r>
      <w:r w:rsidR="00F308C5">
        <w:rPr>
          <w:rFonts w:ascii="Verdana" w:hAnsi="Verdana"/>
          <w:sz w:val="16"/>
          <w:szCs w:val="16"/>
          <w:lang w:val="es-MX"/>
        </w:rPr>
        <w:t xml:space="preserve"> de Derechos Humanos. 2021. Disponible en: </w:t>
      </w:r>
      <w:hyperlink r:id="rId6" w:history="1">
        <w:r w:rsidR="00F308C5" w:rsidRPr="004F6AD7">
          <w:rPr>
            <w:rStyle w:val="Hipervnculo"/>
            <w:rFonts w:ascii="Verdana" w:hAnsi="Verdana"/>
            <w:sz w:val="16"/>
            <w:szCs w:val="16"/>
            <w:lang w:val="es-MX"/>
          </w:rPr>
          <w:t>http://www.oas.org/es/cidh/docs/anual/2021/capitulos/IA2021cap4B.Guatemala-es.pdf</w:t>
        </w:r>
      </w:hyperlink>
      <w:r w:rsidR="00F308C5">
        <w:rPr>
          <w:rFonts w:ascii="Verdana" w:hAnsi="Verdana"/>
          <w:sz w:val="16"/>
          <w:szCs w:val="16"/>
          <w:lang w:val="es-MX"/>
        </w:rPr>
        <w:t xml:space="preserve">. </w:t>
      </w:r>
    </w:p>
    <w:p w14:paraId="368E0D7B" w14:textId="4E75D0AD" w:rsidR="00AB5854" w:rsidRPr="00FB3B6F" w:rsidRDefault="00AB5854" w:rsidP="00FB3B6F">
      <w:pPr>
        <w:pStyle w:val="Textonotapie"/>
        <w:tabs>
          <w:tab w:val="left" w:pos="567"/>
        </w:tabs>
        <w:jc w:val="both"/>
        <w:rPr>
          <w:rFonts w:ascii="Verdana" w:hAnsi="Verdana"/>
          <w:sz w:val="16"/>
          <w:szCs w:val="16"/>
          <w:lang w:val="es-MX"/>
        </w:rPr>
      </w:pPr>
    </w:p>
  </w:footnote>
  <w:footnote w:id="21">
    <w:p w14:paraId="390891C7" w14:textId="4B2153A3" w:rsidR="00D04443" w:rsidRPr="00FB3B6F" w:rsidRDefault="00D04443" w:rsidP="00FB3B6F">
      <w:pPr>
        <w:pStyle w:val="Textonotapie"/>
        <w:tabs>
          <w:tab w:val="left" w:pos="567"/>
        </w:tabs>
        <w:jc w:val="both"/>
        <w:rPr>
          <w:rFonts w:ascii="Verdana" w:hAnsi="Verdana"/>
          <w:sz w:val="16"/>
          <w:szCs w:val="16"/>
          <w:lang w:val="es-MX"/>
        </w:rPr>
      </w:pPr>
      <w:r w:rsidRPr="00FB3B6F">
        <w:rPr>
          <w:rStyle w:val="Refdenotaalpie"/>
          <w:szCs w:val="16"/>
          <w:lang w:val="es-MX"/>
        </w:rPr>
        <w:footnoteRef/>
      </w:r>
      <w:r w:rsidRPr="00FB3B6F">
        <w:rPr>
          <w:rFonts w:ascii="Verdana" w:hAnsi="Verdana"/>
          <w:sz w:val="16"/>
          <w:szCs w:val="16"/>
          <w:lang w:val="es-MX"/>
        </w:rPr>
        <w:t xml:space="preserve"> </w:t>
      </w:r>
      <w:r w:rsidRPr="00FB3B6F">
        <w:rPr>
          <w:rFonts w:ascii="Verdana" w:hAnsi="Verdana"/>
          <w:sz w:val="16"/>
          <w:szCs w:val="16"/>
          <w:lang w:val="es-MX"/>
        </w:rPr>
        <w:tab/>
      </w:r>
      <w:r w:rsidR="00F308C5" w:rsidRPr="00380F1E">
        <w:rPr>
          <w:rFonts w:ascii="Verdana" w:hAnsi="Verdana"/>
          <w:i/>
          <w:sz w:val="16"/>
          <w:szCs w:val="16"/>
          <w:lang w:val="es-MX"/>
        </w:rPr>
        <w:t xml:space="preserve">Cfr. Caso Carpio </w:t>
      </w:r>
      <w:proofErr w:type="spellStart"/>
      <w:r w:rsidR="00F308C5" w:rsidRPr="00380F1E">
        <w:rPr>
          <w:rFonts w:ascii="Verdana" w:hAnsi="Verdana"/>
          <w:i/>
          <w:sz w:val="16"/>
          <w:szCs w:val="16"/>
          <w:lang w:val="es-MX"/>
        </w:rPr>
        <w:t>Nicolle</w:t>
      </w:r>
      <w:proofErr w:type="spellEnd"/>
      <w:r w:rsidR="00F308C5" w:rsidRPr="00380F1E">
        <w:rPr>
          <w:rFonts w:ascii="Verdana" w:hAnsi="Verdana"/>
          <w:i/>
          <w:sz w:val="16"/>
          <w:szCs w:val="16"/>
          <w:lang w:val="es-MX"/>
        </w:rPr>
        <w:t xml:space="preserve"> y otros Vs. Guatemala. Medidas Provisionales.</w:t>
      </w:r>
      <w:r w:rsidR="00F308C5" w:rsidRPr="00380F1E">
        <w:rPr>
          <w:rFonts w:ascii="Verdana" w:hAnsi="Verdana"/>
          <w:sz w:val="16"/>
          <w:szCs w:val="16"/>
          <w:lang w:val="es-MX"/>
        </w:rPr>
        <w:t xml:space="preserve"> Resolución de la Corte Interamericana de Derechos Humanos de 6 de julio de 2009, Considerando 14, y </w:t>
      </w:r>
      <w:r w:rsidR="00F308C5" w:rsidRPr="00380F1E">
        <w:rPr>
          <w:rFonts w:ascii="Verdana" w:hAnsi="Verdana"/>
          <w:i/>
          <w:iCs/>
          <w:sz w:val="16"/>
          <w:szCs w:val="16"/>
          <w:lang w:val="es-MX"/>
        </w:rPr>
        <w:t>Asunto Juan Sebastián Chamorro y otros respecto de Nicaragua. Ampliación de Medidas Provisionales.</w:t>
      </w:r>
      <w:r w:rsidR="00F308C5" w:rsidRPr="00380F1E">
        <w:rPr>
          <w:rFonts w:ascii="Verdana" w:hAnsi="Verdana"/>
          <w:sz w:val="16"/>
          <w:szCs w:val="16"/>
          <w:lang w:val="es-MX"/>
        </w:rPr>
        <w:t xml:space="preserve"> Resolución de la Corte Interamericana de Derechos Humanos de 25 de mayo de 2022, Considerando 37</w:t>
      </w:r>
      <w:r w:rsidRPr="00FB3B6F">
        <w:rPr>
          <w:rFonts w:ascii="Verdana" w:hAnsi="Verdana"/>
          <w:sz w:val="16"/>
          <w:szCs w:val="16"/>
          <w:lang w:val="es-MX"/>
        </w:rPr>
        <w:t>.</w:t>
      </w:r>
    </w:p>
  </w:footnote>
  <w:footnote w:id="22">
    <w:p w14:paraId="18CD5936" w14:textId="67B057FC" w:rsidR="00D04443" w:rsidRPr="00FB3B6F" w:rsidRDefault="00D04443" w:rsidP="00FB3B6F">
      <w:pPr>
        <w:tabs>
          <w:tab w:val="left" w:pos="567"/>
        </w:tabs>
        <w:jc w:val="both"/>
        <w:rPr>
          <w:rFonts w:ascii="Verdana" w:hAnsi="Verdana"/>
          <w:sz w:val="16"/>
          <w:szCs w:val="16"/>
          <w:lang w:val="es-MX"/>
        </w:rPr>
      </w:pPr>
      <w:r w:rsidRPr="00FB3B6F">
        <w:rPr>
          <w:rStyle w:val="Refdenotaalpie"/>
          <w:szCs w:val="16"/>
          <w:lang w:val="es-MX"/>
        </w:rPr>
        <w:footnoteRef/>
      </w:r>
      <w:r w:rsidRPr="00FB3B6F">
        <w:rPr>
          <w:rFonts w:ascii="Verdana" w:hAnsi="Verdana"/>
          <w:sz w:val="16"/>
          <w:szCs w:val="16"/>
          <w:lang w:val="es-MX"/>
        </w:rPr>
        <w:tab/>
      </w:r>
      <w:r w:rsidR="00581C2E" w:rsidRPr="00380F1E">
        <w:rPr>
          <w:rFonts w:ascii="Verdana" w:hAnsi="Verdana"/>
          <w:i/>
          <w:iCs/>
          <w:sz w:val="16"/>
          <w:szCs w:val="16"/>
          <w:lang w:val="es-MX"/>
        </w:rPr>
        <w:t xml:space="preserve">Cfr. </w:t>
      </w:r>
      <w:r w:rsidR="00581C2E" w:rsidRPr="00380F1E">
        <w:rPr>
          <w:rFonts w:ascii="Verdana" w:hAnsi="Verdana"/>
          <w:i/>
          <w:sz w:val="16"/>
          <w:szCs w:val="16"/>
          <w:lang w:val="es-MX"/>
        </w:rPr>
        <w:t xml:space="preserve">Caso Bámaca Velásquez Vs. Guatemala. Medidas Provisionales. </w:t>
      </w:r>
      <w:r w:rsidR="00581C2E" w:rsidRPr="00380F1E">
        <w:rPr>
          <w:rFonts w:ascii="Verdana" w:hAnsi="Verdana"/>
          <w:sz w:val="16"/>
          <w:szCs w:val="16"/>
          <w:lang w:val="es-MX"/>
        </w:rPr>
        <w:t>Resolución de la Corte Interamericana de Derechos Humanos de 20 de noviembre de 2003, Considerando 10, y</w:t>
      </w:r>
      <w:r w:rsidR="00581C2E" w:rsidRPr="00380F1E">
        <w:rPr>
          <w:rFonts w:ascii="Verdana" w:hAnsi="Verdana"/>
          <w:i/>
          <w:sz w:val="16"/>
          <w:szCs w:val="16"/>
          <w:lang w:val="es-MX"/>
        </w:rPr>
        <w:t xml:space="preserve"> Caso Valenzuela Ávila y Caso Ruiz Fuentes y otra Vs. Guatemala. Medidas Provisionales y Supervisión Cumplimiento de Sentencia. </w:t>
      </w:r>
      <w:r w:rsidR="00581C2E" w:rsidRPr="00380F1E">
        <w:rPr>
          <w:rFonts w:ascii="Verdana" w:hAnsi="Verdana"/>
          <w:iCs/>
          <w:sz w:val="16"/>
          <w:szCs w:val="16"/>
          <w:lang w:val="es-MX"/>
        </w:rPr>
        <w:t>Resolución de la Corte Interamericana de Derechos Humanos de 23 de septiembre de 2021, Considerando 50</w:t>
      </w:r>
      <w:r w:rsidR="00581C2E" w:rsidRPr="009C4FE2">
        <w:rPr>
          <w:rFonts w:ascii="Verdana" w:hAnsi="Verdana"/>
          <w:sz w:val="16"/>
          <w:szCs w:val="16"/>
          <w:lang w:val="es-MX"/>
        </w:rPr>
        <w:t>.</w:t>
      </w:r>
    </w:p>
  </w:footnote>
  <w:footnote w:id="23">
    <w:p w14:paraId="18E41EE6" w14:textId="6886F122" w:rsidR="00D04443" w:rsidRPr="00FB3B6F" w:rsidRDefault="00D04443" w:rsidP="00FB3B6F">
      <w:pPr>
        <w:tabs>
          <w:tab w:val="left" w:pos="567"/>
        </w:tabs>
        <w:jc w:val="both"/>
        <w:rPr>
          <w:rFonts w:ascii="Verdana" w:hAnsi="Verdana"/>
          <w:i/>
          <w:sz w:val="16"/>
          <w:szCs w:val="16"/>
          <w:lang w:val="es-MX"/>
        </w:rPr>
      </w:pPr>
      <w:r w:rsidRPr="00502B96">
        <w:rPr>
          <w:rStyle w:val="Refdenotaalpie"/>
          <w:szCs w:val="16"/>
          <w:lang w:val="es-MX"/>
        </w:rPr>
        <w:footnoteRef/>
      </w:r>
      <w:r w:rsidRPr="00502B96">
        <w:rPr>
          <w:rFonts w:ascii="Verdana" w:hAnsi="Verdana"/>
          <w:sz w:val="16"/>
          <w:szCs w:val="16"/>
          <w:lang w:val="es-MX"/>
        </w:rPr>
        <w:t xml:space="preserve"> </w:t>
      </w:r>
      <w:r w:rsidRPr="00502B96">
        <w:rPr>
          <w:rFonts w:ascii="Verdana" w:hAnsi="Verdana"/>
          <w:sz w:val="16"/>
          <w:szCs w:val="16"/>
          <w:lang w:val="es-MX"/>
        </w:rPr>
        <w:tab/>
      </w:r>
      <w:r w:rsidR="00581C2E" w:rsidRPr="00502B96">
        <w:rPr>
          <w:rFonts w:ascii="Verdana" w:hAnsi="Verdana"/>
          <w:i/>
          <w:sz w:val="16"/>
          <w:szCs w:val="16"/>
          <w:lang w:val="es-MX"/>
        </w:rPr>
        <w:t xml:space="preserve">Cfr. Asuntos Internado Judicial de Monagas (“La Pica”) respecto de Venezuela. Medidas Provisionales. </w:t>
      </w:r>
      <w:r w:rsidR="00581C2E" w:rsidRPr="00502B96">
        <w:rPr>
          <w:rFonts w:ascii="Verdana" w:hAnsi="Verdana"/>
          <w:iCs/>
          <w:sz w:val="16"/>
          <w:szCs w:val="16"/>
          <w:lang w:val="es-MX"/>
        </w:rPr>
        <w:t xml:space="preserve">Resolución de la Corte Interamericana de Derechos Humanos de 24 de noviembre de 2009, Considerando 3 y </w:t>
      </w:r>
      <w:r w:rsidR="00581C2E" w:rsidRPr="00502B96">
        <w:rPr>
          <w:rFonts w:ascii="Verdana" w:hAnsi="Verdana"/>
          <w:i/>
          <w:sz w:val="16"/>
          <w:szCs w:val="16"/>
          <w:lang w:val="es-MX"/>
        </w:rPr>
        <w:t>Asunto Juan Sebastián Chamorro y otros respecto de Nicaragua. Medidas Provisionales.</w:t>
      </w:r>
      <w:r w:rsidR="00581C2E" w:rsidRPr="00502B96">
        <w:rPr>
          <w:rFonts w:ascii="Verdana" w:hAnsi="Verdana"/>
          <w:iCs/>
          <w:sz w:val="16"/>
          <w:szCs w:val="16"/>
          <w:lang w:val="es-MX"/>
        </w:rPr>
        <w:t xml:space="preserve"> Resolución de la Corte Interamericana de Derechos Humanos de 22 de noviembre de 2021, Considerando 3</w:t>
      </w:r>
      <w:r w:rsidR="00581C2E" w:rsidRPr="00502B96">
        <w:rPr>
          <w:rFonts w:ascii="Verdana" w:hAnsi="Verdana"/>
          <w:sz w:val="16"/>
          <w:szCs w:val="16"/>
          <w:lang w:val="es-MX"/>
        </w:rPr>
        <w:t>.</w:t>
      </w:r>
    </w:p>
  </w:footnote>
  <w:footnote w:id="24">
    <w:p w14:paraId="435556AC" w14:textId="308014BC" w:rsidR="006D5D6E" w:rsidRPr="0049791D" w:rsidRDefault="006D5D6E" w:rsidP="0049791D">
      <w:pPr>
        <w:pStyle w:val="Textonotapie"/>
        <w:jc w:val="both"/>
        <w:rPr>
          <w:rFonts w:ascii="Verdana" w:hAnsi="Verdana"/>
          <w:sz w:val="16"/>
          <w:szCs w:val="16"/>
          <w:lang w:val="es-ES"/>
        </w:rPr>
      </w:pPr>
      <w:r w:rsidRPr="0049791D">
        <w:rPr>
          <w:rStyle w:val="Refdenotaalpie"/>
          <w:szCs w:val="16"/>
        </w:rPr>
        <w:footnoteRef/>
      </w:r>
      <w:r w:rsidR="0049791D">
        <w:rPr>
          <w:rFonts w:ascii="Verdana" w:hAnsi="Verdana"/>
          <w:i/>
          <w:iCs/>
          <w:sz w:val="16"/>
          <w:szCs w:val="16"/>
          <w:lang w:val="es-ES"/>
        </w:rPr>
        <w:t xml:space="preserve"> </w:t>
      </w:r>
      <w:r w:rsidR="0049791D">
        <w:rPr>
          <w:rFonts w:ascii="Verdana" w:hAnsi="Verdana"/>
          <w:i/>
          <w:iCs/>
          <w:sz w:val="16"/>
          <w:szCs w:val="16"/>
          <w:lang w:val="es-ES"/>
        </w:rPr>
        <w:tab/>
      </w:r>
      <w:r w:rsidR="0049791D" w:rsidRPr="0049791D">
        <w:rPr>
          <w:rFonts w:ascii="Verdana" w:hAnsi="Verdana"/>
          <w:i/>
          <w:iCs/>
          <w:sz w:val="16"/>
          <w:szCs w:val="16"/>
          <w:lang w:val="es-ES"/>
        </w:rPr>
        <w:t>Cfr. Asunto del Internado Judicial Capital El Rodeo I y El Rodeo II respecto de Venezuela. Medidas Provisionales.</w:t>
      </w:r>
      <w:r w:rsidR="0049791D" w:rsidRPr="0049791D">
        <w:rPr>
          <w:rFonts w:ascii="Verdana" w:hAnsi="Verdana"/>
          <w:sz w:val="16"/>
          <w:szCs w:val="16"/>
          <w:lang w:val="es-ES"/>
        </w:rPr>
        <w:t xml:space="preserve"> Resolución de la Corte Interamericana de Derechos Humanos de 8 de febrero de 2008, Considerando, 15</w:t>
      </w:r>
      <w:r w:rsidR="00D02FCC">
        <w:rPr>
          <w:rFonts w:ascii="Verdana" w:hAnsi="Verdana"/>
          <w:sz w:val="16"/>
          <w:szCs w:val="16"/>
          <w:lang w:val="es-ES"/>
        </w:rPr>
        <w:t xml:space="preserve"> y </w:t>
      </w:r>
      <w:r w:rsidR="00D02FCC" w:rsidRPr="0049791D">
        <w:rPr>
          <w:rFonts w:ascii="Verdana" w:hAnsi="Verdana"/>
          <w:i/>
          <w:iCs/>
          <w:sz w:val="16"/>
          <w:szCs w:val="16"/>
          <w:lang w:val="es-ES"/>
        </w:rPr>
        <w:t>Caso Valenzuela Ávila y Caso Ruiz Fuentes y otra Vs. Guatemala</w:t>
      </w:r>
      <w:r w:rsidR="00D02FCC" w:rsidRPr="00C2050D">
        <w:rPr>
          <w:rFonts w:ascii="Verdana" w:hAnsi="Verdana"/>
          <w:i/>
          <w:iCs/>
          <w:sz w:val="16"/>
          <w:szCs w:val="16"/>
          <w:lang w:val="es-ES"/>
        </w:rPr>
        <w:t>,</w:t>
      </w:r>
      <w:r w:rsidR="00C2050D" w:rsidRPr="00C2050D">
        <w:rPr>
          <w:rFonts w:ascii="Verdana" w:hAnsi="Verdana"/>
          <w:i/>
          <w:iCs/>
          <w:sz w:val="16"/>
          <w:szCs w:val="16"/>
          <w:lang w:val="es-ES"/>
        </w:rPr>
        <w:t xml:space="preserve"> supra</w:t>
      </w:r>
      <w:r w:rsidR="00C2050D">
        <w:rPr>
          <w:rFonts w:ascii="Verdana" w:hAnsi="Verdana"/>
          <w:sz w:val="16"/>
          <w:szCs w:val="16"/>
          <w:lang w:val="es-ES"/>
        </w:rPr>
        <w:t xml:space="preserve"> nota 22,</w:t>
      </w:r>
      <w:r w:rsidR="00D02FCC" w:rsidRPr="0049791D">
        <w:rPr>
          <w:rFonts w:ascii="Verdana" w:hAnsi="Verdana"/>
          <w:sz w:val="16"/>
          <w:szCs w:val="16"/>
          <w:lang w:val="es-ES"/>
        </w:rPr>
        <w:t xml:space="preserve"> Considerando 54</w:t>
      </w:r>
      <w:r w:rsidR="00D02FCC">
        <w:rPr>
          <w:rFonts w:ascii="Verdana" w:hAnsi="Verdana"/>
          <w:sz w:val="16"/>
          <w:szCs w:val="16"/>
          <w:lang w:val="es-ES"/>
        </w:rPr>
        <w:t>.</w:t>
      </w:r>
    </w:p>
  </w:footnote>
  <w:footnote w:id="25">
    <w:p w14:paraId="6C64DBB8" w14:textId="1592693E" w:rsidR="00DB704C" w:rsidRPr="00FB3B6F" w:rsidRDefault="00DB704C"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00483F8B" w:rsidRPr="001D5DCB">
        <w:rPr>
          <w:rFonts w:ascii="Verdana" w:hAnsi="Verdana"/>
          <w:sz w:val="16"/>
          <w:szCs w:val="16"/>
          <w:lang w:val="es-MX"/>
        </w:rPr>
        <w:t>En el mismo sentido</w:t>
      </w:r>
      <w:r w:rsidR="00483F8B">
        <w:rPr>
          <w:rFonts w:ascii="Verdana" w:hAnsi="Verdana"/>
          <w:sz w:val="16"/>
          <w:szCs w:val="16"/>
          <w:lang w:val="es-MX"/>
        </w:rPr>
        <w:t>:</w:t>
      </w:r>
      <w:r w:rsidR="00483F8B" w:rsidRPr="001D5DCB">
        <w:rPr>
          <w:rFonts w:ascii="Verdana" w:hAnsi="Verdana"/>
          <w:sz w:val="16"/>
          <w:szCs w:val="16"/>
          <w:lang w:val="es-MX"/>
        </w:rPr>
        <w:t xml:space="preserve"> </w:t>
      </w:r>
      <w:r w:rsidR="00483F8B" w:rsidRPr="00380F1E">
        <w:rPr>
          <w:rFonts w:ascii="Verdana" w:hAnsi="Verdana"/>
          <w:i/>
          <w:iCs/>
          <w:sz w:val="16"/>
          <w:szCs w:val="16"/>
          <w:lang w:val="es-MX"/>
        </w:rPr>
        <w:t xml:space="preserve">Caso Ruiz Fuentes y otra Vs. Guatemala. Medidas Provisionales. Adopción de Medidas Urgentes. </w:t>
      </w:r>
      <w:r w:rsidR="00483F8B" w:rsidRPr="00502420">
        <w:rPr>
          <w:rFonts w:ascii="Verdana" w:hAnsi="Verdana"/>
          <w:sz w:val="16"/>
          <w:szCs w:val="16"/>
          <w:lang w:val="es-MX"/>
        </w:rPr>
        <w:t xml:space="preserve">Resolución de la </w:t>
      </w:r>
      <w:proofErr w:type="gramStart"/>
      <w:r w:rsidR="00483F8B" w:rsidRPr="00502420">
        <w:rPr>
          <w:rFonts w:ascii="Verdana" w:hAnsi="Verdana"/>
          <w:sz w:val="16"/>
          <w:szCs w:val="16"/>
          <w:lang w:val="es-MX"/>
        </w:rPr>
        <w:t>Presidenta</w:t>
      </w:r>
      <w:proofErr w:type="gramEnd"/>
      <w:r w:rsidR="00483F8B" w:rsidRPr="00502420">
        <w:rPr>
          <w:rFonts w:ascii="Verdana" w:hAnsi="Verdana"/>
          <w:sz w:val="16"/>
          <w:szCs w:val="16"/>
          <w:lang w:val="es-MX"/>
        </w:rPr>
        <w:t xml:space="preserve"> de la Corte Interamericana de Derechos Humanos de 8 de abril de 2020</w:t>
      </w:r>
      <w:r w:rsidR="00483F8B">
        <w:rPr>
          <w:rFonts w:ascii="Verdana" w:hAnsi="Verdana"/>
          <w:sz w:val="16"/>
          <w:szCs w:val="16"/>
          <w:lang w:val="es-MX"/>
        </w:rPr>
        <w:t xml:space="preserve">, Considerando 29 y </w:t>
      </w:r>
      <w:r w:rsidR="00483F8B" w:rsidRPr="00380F1E">
        <w:rPr>
          <w:rFonts w:ascii="Verdana" w:hAnsi="Verdana"/>
          <w:i/>
          <w:iCs/>
          <w:sz w:val="16"/>
          <w:szCs w:val="16"/>
          <w:lang w:val="es-MX"/>
        </w:rPr>
        <w:t>Caso Ruiz Fuentes y otra Vs. Guatemala. Medidas Provisionales y Supervisión Cumplimiento de Sentencia, supra</w:t>
      </w:r>
      <w:r w:rsidR="00483F8B" w:rsidRPr="00F84F81">
        <w:rPr>
          <w:rFonts w:ascii="Verdana" w:hAnsi="Verdana"/>
          <w:sz w:val="16"/>
          <w:szCs w:val="16"/>
          <w:lang w:val="es-MX"/>
        </w:rPr>
        <w:t xml:space="preserve"> nota 25</w:t>
      </w:r>
      <w:r w:rsidR="00483F8B" w:rsidRPr="001D5DCB">
        <w:rPr>
          <w:rFonts w:ascii="Verdana" w:hAnsi="Verdana"/>
          <w:sz w:val="16"/>
          <w:szCs w:val="16"/>
          <w:lang w:val="es-MX"/>
        </w:rPr>
        <w:t>, Considerando 58.</w:t>
      </w:r>
    </w:p>
  </w:footnote>
  <w:footnote w:id="26">
    <w:p w14:paraId="3195BB56" w14:textId="1CCAD207" w:rsidR="005A3A02" w:rsidRPr="00FB3B6F" w:rsidRDefault="005A3A02" w:rsidP="00483F8B">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MX"/>
        </w:rPr>
        <w:tab/>
      </w:r>
      <w:r w:rsidR="00483F8B">
        <w:rPr>
          <w:rFonts w:ascii="Verdana" w:hAnsi="Verdana"/>
          <w:sz w:val="16"/>
          <w:szCs w:val="16"/>
          <w:lang w:val="es-MX"/>
        </w:rPr>
        <w:t xml:space="preserve">Ver </w:t>
      </w:r>
      <w:proofErr w:type="gramStart"/>
      <w:r w:rsidR="00483F8B" w:rsidRPr="001D5DCB">
        <w:rPr>
          <w:rFonts w:ascii="Verdana" w:hAnsi="Verdana"/>
          <w:i/>
          <w:iCs/>
          <w:sz w:val="16"/>
          <w:szCs w:val="16"/>
          <w:lang w:val="es-MX"/>
        </w:rPr>
        <w:t xml:space="preserve">mutatis </w:t>
      </w:r>
      <w:proofErr w:type="spellStart"/>
      <w:r w:rsidR="00483F8B" w:rsidRPr="001D5DCB">
        <w:rPr>
          <w:rFonts w:ascii="Verdana" w:hAnsi="Verdana"/>
          <w:i/>
          <w:iCs/>
          <w:sz w:val="16"/>
          <w:szCs w:val="16"/>
          <w:lang w:val="es-MX"/>
        </w:rPr>
        <w:t>mutandi</w:t>
      </w:r>
      <w:proofErr w:type="spellEnd"/>
      <w:proofErr w:type="gramEnd"/>
      <w:r w:rsidR="00483F8B">
        <w:rPr>
          <w:rFonts w:ascii="Verdana" w:hAnsi="Verdana"/>
          <w:i/>
          <w:iCs/>
          <w:sz w:val="16"/>
          <w:szCs w:val="16"/>
          <w:lang w:val="es-MX"/>
        </w:rPr>
        <w:t>:</w:t>
      </w:r>
      <w:r w:rsidR="00483F8B" w:rsidRPr="001D5DCB">
        <w:rPr>
          <w:rFonts w:ascii="Verdana" w:hAnsi="Verdana"/>
          <w:sz w:val="16"/>
          <w:szCs w:val="16"/>
          <w:lang w:val="es-MX"/>
        </w:rPr>
        <w:t xml:space="preserve"> </w:t>
      </w:r>
      <w:r w:rsidR="00483F8B" w:rsidRPr="001D5DCB">
        <w:rPr>
          <w:rFonts w:ascii="Verdana" w:hAnsi="Verdana"/>
          <w:i/>
          <w:iCs/>
          <w:sz w:val="16"/>
          <w:szCs w:val="16"/>
          <w:lang w:val="es-MX"/>
        </w:rPr>
        <w:t xml:space="preserve">Cfr. </w:t>
      </w:r>
      <w:r w:rsidR="00483F8B" w:rsidRPr="00380F1E">
        <w:rPr>
          <w:rFonts w:ascii="Verdana" w:hAnsi="Verdana"/>
          <w:i/>
          <w:iCs/>
          <w:sz w:val="16"/>
          <w:szCs w:val="16"/>
          <w:lang w:val="es-MX"/>
        </w:rPr>
        <w:t>Caso Ruiz Fuentes y otra Vs. Guatemala. Medidas Provisionales y Supervisión Cumplimiento de Sentencia, supra</w:t>
      </w:r>
      <w:r w:rsidR="00483F8B" w:rsidRPr="00F84F81">
        <w:rPr>
          <w:rFonts w:ascii="Verdana" w:hAnsi="Verdana"/>
          <w:sz w:val="16"/>
          <w:szCs w:val="16"/>
          <w:lang w:val="es-MX"/>
        </w:rPr>
        <w:t xml:space="preserve"> nota 25</w:t>
      </w:r>
      <w:r w:rsidR="00483F8B" w:rsidRPr="001D5DCB">
        <w:rPr>
          <w:rFonts w:ascii="Verdana" w:hAnsi="Verdana"/>
          <w:sz w:val="16"/>
          <w:szCs w:val="16"/>
          <w:lang w:val="es-MX"/>
        </w:rPr>
        <w:t>, Considerando 58</w:t>
      </w:r>
      <w:r w:rsidR="001F65DB" w:rsidRPr="00FB3B6F">
        <w:rPr>
          <w:rFonts w:ascii="Verdana" w:hAnsi="Verdana"/>
          <w:i/>
          <w:sz w:val="16"/>
          <w:szCs w:val="16"/>
          <w:lang w:val="es-MX"/>
        </w:rPr>
        <w:t>.</w:t>
      </w:r>
    </w:p>
  </w:footnote>
  <w:footnote w:id="27">
    <w:p w14:paraId="799DDBBD" w14:textId="22E91EF8" w:rsidR="00D04443" w:rsidRPr="00FB3B6F" w:rsidRDefault="00D04443" w:rsidP="00FB3B6F">
      <w:pPr>
        <w:pStyle w:val="Textonotapie"/>
        <w:tabs>
          <w:tab w:val="left" w:pos="567"/>
        </w:tabs>
        <w:jc w:val="both"/>
        <w:rPr>
          <w:rFonts w:ascii="Verdana" w:hAnsi="Verdana"/>
          <w:spacing w:val="-4"/>
          <w:sz w:val="16"/>
          <w:szCs w:val="16"/>
          <w:lang w:val="es-MX" w:eastAsia="x-none"/>
        </w:rPr>
      </w:pPr>
      <w:r w:rsidRPr="00FB3B6F">
        <w:rPr>
          <w:rStyle w:val="Refdenotaalpie"/>
          <w:spacing w:val="-4"/>
          <w:szCs w:val="16"/>
          <w:lang w:val="es-MX"/>
        </w:rPr>
        <w:footnoteRef/>
      </w:r>
      <w:r w:rsidRPr="00FB3B6F">
        <w:rPr>
          <w:rFonts w:ascii="Verdana" w:hAnsi="Verdana"/>
          <w:spacing w:val="-4"/>
          <w:sz w:val="16"/>
          <w:szCs w:val="16"/>
          <w:lang w:val="es-MX"/>
        </w:rPr>
        <w:t xml:space="preserve"> </w:t>
      </w:r>
      <w:r w:rsidRPr="00FB3B6F">
        <w:rPr>
          <w:rFonts w:ascii="Verdana" w:hAnsi="Verdana"/>
          <w:spacing w:val="-4"/>
          <w:sz w:val="16"/>
          <w:szCs w:val="16"/>
          <w:lang w:val="es-MX"/>
        </w:rPr>
        <w:tab/>
      </w:r>
      <w:r w:rsidR="00483F8B" w:rsidRPr="001D5DCB">
        <w:rPr>
          <w:rFonts w:ascii="Verdana" w:hAnsi="Verdana"/>
          <w:i/>
          <w:iCs/>
          <w:spacing w:val="-4"/>
          <w:sz w:val="16"/>
          <w:szCs w:val="16"/>
          <w:lang w:val="es-MX"/>
        </w:rPr>
        <w:t xml:space="preserve">Cfr. Caso Myrna Mack Chang Vs. Guatemala. Fondo, Reparaciones y Costas. </w:t>
      </w:r>
      <w:r w:rsidR="00483F8B" w:rsidRPr="001D5DCB">
        <w:rPr>
          <w:rFonts w:ascii="Verdana" w:hAnsi="Verdana"/>
          <w:iCs/>
          <w:spacing w:val="-4"/>
          <w:sz w:val="16"/>
          <w:szCs w:val="16"/>
          <w:lang w:val="es-MX"/>
        </w:rPr>
        <w:t>Sentencia de 25 de noviembre de 2003. Serie C No. 101</w:t>
      </w:r>
      <w:r w:rsidR="00483F8B" w:rsidRPr="001D5DCB">
        <w:rPr>
          <w:rFonts w:ascii="Verdana" w:hAnsi="Verdana"/>
          <w:i/>
          <w:iCs/>
          <w:spacing w:val="-4"/>
          <w:sz w:val="16"/>
          <w:szCs w:val="16"/>
          <w:lang w:val="es-MX"/>
        </w:rPr>
        <w:t xml:space="preserve">, </w:t>
      </w:r>
      <w:r w:rsidR="00483F8B" w:rsidRPr="001D5DCB">
        <w:rPr>
          <w:rFonts w:ascii="Verdana" w:hAnsi="Verdana"/>
          <w:spacing w:val="-4"/>
          <w:sz w:val="16"/>
          <w:szCs w:val="16"/>
          <w:lang w:val="es-MX"/>
        </w:rPr>
        <w:t xml:space="preserve">párr. 199, y </w:t>
      </w:r>
      <w:r w:rsidR="00483F8B" w:rsidRPr="00380F1E">
        <w:rPr>
          <w:rFonts w:ascii="Verdana" w:hAnsi="Verdana"/>
          <w:i/>
          <w:iCs/>
          <w:spacing w:val="-4"/>
          <w:sz w:val="16"/>
          <w:szCs w:val="16"/>
          <w:lang w:val="es-MX"/>
        </w:rPr>
        <w:t>Caso Digna Ochoa y familiares Vs. México. Excepciones Preliminares, Fondo, Reparaciones y Costas.</w:t>
      </w:r>
      <w:r w:rsidR="00483F8B" w:rsidRPr="0039404C">
        <w:rPr>
          <w:rFonts w:ascii="Verdana" w:hAnsi="Verdana"/>
          <w:spacing w:val="-4"/>
          <w:sz w:val="16"/>
          <w:szCs w:val="16"/>
          <w:lang w:val="es-MX"/>
        </w:rPr>
        <w:t xml:space="preserve"> Sentencia de 25 de noviembre de 2021. Serie C No. 447</w:t>
      </w:r>
      <w:r w:rsidR="00483F8B">
        <w:rPr>
          <w:rFonts w:ascii="Verdana" w:hAnsi="Verdana"/>
          <w:spacing w:val="-4"/>
          <w:sz w:val="16"/>
          <w:szCs w:val="16"/>
          <w:lang w:val="es-MX"/>
        </w:rPr>
        <w:t>, párr. 118</w:t>
      </w:r>
      <w:r w:rsidRPr="00FB3B6F">
        <w:rPr>
          <w:rFonts w:ascii="Verdana" w:hAnsi="Verdana"/>
          <w:spacing w:val="-4"/>
          <w:sz w:val="16"/>
          <w:szCs w:val="16"/>
          <w:lang w:val="es-MX"/>
        </w:rPr>
        <w:t>.</w:t>
      </w:r>
    </w:p>
  </w:footnote>
  <w:footnote w:id="28">
    <w:p w14:paraId="073EF592" w14:textId="06DD4189" w:rsidR="00D04443" w:rsidRPr="00FB3B6F" w:rsidRDefault="00D04443" w:rsidP="00483F8B">
      <w:pPr>
        <w:pStyle w:val="Textonotapie"/>
        <w:tabs>
          <w:tab w:val="left" w:pos="567"/>
        </w:tabs>
        <w:jc w:val="both"/>
        <w:rPr>
          <w:rFonts w:ascii="Verdana" w:hAnsi="Verdana"/>
          <w:spacing w:val="-4"/>
          <w:sz w:val="16"/>
          <w:szCs w:val="16"/>
          <w:lang w:val="es-MX"/>
        </w:rPr>
      </w:pPr>
      <w:r w:rsidRPr="00FB3B6F">
        <w:rPr>
          <w:rStyle w:val="Refdenotaalpie"/>
          <w:spacing w:val="-4"/>
          <w:szCs w:val="16"/>
          <w:lang w:val="es-MX"/>
        </w:rPr>
        <w:footnoteRef/>
      </w:r>
      <w:r w:rsidRPr="00FB3B6F">
        <w:rPr>
          <w:rFonts w:ascii="Verdana" w:hAnsi="Verdana"/>
          <w:spacing w:val="-4"/>
          <w:sz w:val="16"/>
          <w:szCs w:val="16"/>
          <w:lang w:val="es-MX"/>
        </w:rPr>
        <w:t xml:space="preserve"> </w:t>
      </w:r>
      <w:r w:rsidRPr="00FB3B6F">
        <w:rPr>
          <w:rFonts w:ascii="Verdana" w:hAnsi="Verdana"/>
          <w:spacing w:val="-4"/>
          <w:sz w:val="16"/>
          <w:szCs w:val="16"/>
          <w:lang w:val="es-MX"/>
        </w:rPr>
        <w:tab/>
      </w:r>
      <w:r w:rsidR="00483F8B" w:rsidRPr="001D5DCB">
        <w:rPr>
          <w:rFonts w:ascii="Verdana" w:hAnsi="Verdana"/>
          <w:i/>
          <w:spacing w:val="-4"/>
          <w:sz w:val="16"/>
          <w:szCs w:val="16"/>
          <w:lang w:val="es-MX"/>
        </w:rPr>
        <w:t xml:space="preserve">Cfr. Caso de la Masacre de Las Dos Erres Vs. Guatemala. Excepción Preliminar, Fondo, Reparaciones y Costas. </w:t>
      </w:r>
      <w:r w:rsidR="00483F8B" w:rsidRPr="001D5DCB">
        <w:rPr>
          <w:rFonts w:ascii="Verdana" w:hAnsi="Verdana"/>
          <w:spacing w:val="-4"/>
          <w:sz w:val="16"/>
          <w:szCs w:val="16"/>
          <w:lang w:val="es-MX"/>
        </w:rPr>
        <w:t>Sentencia de 24 de noviembre de 2009. Serie C No. 211</w:t>
      </w:r>
      <w:r w:rsidR="00483F8B" w:rsidRPr="001D5DCB">
        <w:rPr>
          <w:rFonts w:ascii="Verdana" w:hAnsi="Verdana"/>
          <w:i/>
          <w:spacing w:val="-4"/>
          <w:sz w:val="16"/>
          <w:szCs w:val="16"/>
          <w:lang w:val="es-MX"/>
        </w:rPr>
        <w:t>,</w:t>
      </w:r>
      <w:r w:rsidR="00483F8B" w:rsidRPr="001D5DCB">
        <w:rPr>
          <w:rFonts w:ascii="Verdana" w:hAnsi="Verdana"/>
          <w:spacing w:val="-4"/>
          <w:sz w:val="16"/>
          <w:szCs w:val="16"/>
          <w:lang w:val="es-MX"/>
        </w:rPr>
        <w:t xml:space="preserve"> párr. 234, y </w:t>
      </w:r>
      <w:r w:rsidR="00483F8B" w:rsidRPr="00380F1E">
        <w:rPr>
          <w:rFonts w:ascii="Verdana" w:hAnsi="Verdana"/>
          <w:i/>
          <w:iCs/>
          <w:spacing w:val="-4"/>
          <w:sz w:val="16"/>
          <w:szCs w:val="16"/>
          <w:lang w:val="es-MX"/>
        </w:rPr>
        <w:t>Caso Masacre de la Aldea Los Josefinos Vs. Guatemala. Excepción Preliminar, Fondo, Reparaciones y Costas.</w:t>
      </w:r>
      <w:r w:rsidR="00483F8B" w:rsidRPr="00831FDD">
        <w:rPr>
          <w:rFonts w:ascii="Verdana" w:hAnsi="Verdana"/>
          <w:spacing w:val="-4"/>
          <w:sz w:val="16"/>
          <w:szCs w:val="16"/>
          <w:lang w:val="es-MX"/>
        </w:rPr>
        <w:t xml:space="preserve"> Sentencia de 3 de noviembre de 2021. Serie C No. 442</w:t>
      </w:r>
      <w:r w:rsidR="00483F8B">
        <w:rPr>
          <w:rFonts w:ascii="Verdana" w:hAnsi="Verdana"/>
          <w:spacing w:val="-4"/>
          <w:sz w:val="16"/>
          <w:szCs w:val="16"/>
          <w:lang w:val="es-MX"/>
        </w:rPr>
        <w:t>, párr. 112</w:t>
      </w:r>
      <w:r w:rsidR="00483F8B" w:rsidRPr="001D5DCB">
        <w:rPr>
          <w:rFonts w:ascii="Verdana" w:hAnsi="Verdana"/>
          <w:spacing w:val="-4"/>
          <w:sz w:val="16"/>
          <w:szCs w:val="16"/>
          <w:lang w:val="es-MX"/>
        </w:rPr>
        <w:t>.</w:t>
      </w:r>
    </w:p>
  </w:footnote>
  <w:footnote w:id="29">
    <w:p w14:paraId="5C8E289D" w14:textId="6C1190D8" w:rsidR="00C467E2" w:rsidRPr="00FB3B6F" w:rsidRDefault="00C467E2" w:rsidP="00FB3B6F">
      <w:pPr>
        <w:pStyle w:val="Textonotapie"/>
        <w:tabs>
          <w:tab w:val="left" w:pos="567"/>
        </w:tabs>
        <w:jc w:val="both"/>
        <w:rPr>
          <w:rFonts w:ascii="Verdana" w:hAnsi="Verdana"/>
          <w:sz w:val="16"/>
          <w:szCs w:val="16"/>
          <w:lang w:val="es-MX"/>
        </w:rPr>
      </w:pPr>
      <w:r w:rsidRPr="00FB3B6F">
        <w:rPr>
          <w:rStyle w:val="Refdenotaalpie"/>
          <w:szCs w:val="16"/>
        </w:rPr>
        <w:footnoteRef/>
      </w:r>
      <w:r w:rsidRPr="00FB3B6F">
        <w:rPr>
          <w:rFonts w:ascii="Verdana" w:hAnsi="Verdana"/>
          <w:sz w:val="16"/>
          <w:szCs w:val="16"/>
        </w:rPr>
        <w:t xml:space="preserve"> </w:t>
      </w:r>
      <w:r w:rsidR="001D5DCB" w:rsidRPr="00FB3B6F">
        <w:rPr>
          <w:rFonts w:ascii="Verdana" w:hAnsi="Verdana"/>
          <w:sz w:val="16"/>
          <w:szCs w:val="16"/>
        </w:rPr>
        <w:tab/>
      </w:r>
      <w:r w:rsidR="00483F8B" w:rsidRPr="00A706DB">
        <w:rPr>
          <w:rFonts w:ascii="Verdana" w:hAnsi="Verdana"/>
          <w:i/>
          <w:iCs/>
          <w:sz w:val="16"/>
          <w:szCs w:val="16"/>
        </w:rPr>
        <w:t>Cfr.</w:t>
      </w:r>
      <w:r w:rsidR="00483F8B" w:rsidRPr="00380F1E">
        <w:rPr>
          <w:rFonts w:ascii="Verdana" w:hAnsi="Verdana"/>
          <w:i/>
          <w:iCs/>
          <w:sz w:val="16"/>
          <w:szCs w:val="16"/>
        </w:rPr>
        <w:t xml:space="preserve"> Caso Casa Nina Vs. Perú. Excepciones Preliminares, Fondo, Reparaciones y Costas.</w:t>
      </w:r>
      <w:r w:rsidR="00483F8B" w:rsidRPr="00A706DB">
        <w:rPr>
          <w:rFonts w:ascii="Verdana" w:hAnsi="Verdana"/>
          <w:sz w:val="16"/>
          <w:szCs w:val="16"/>
        </w:rPr>
        <w:t xml:space="preserve"> Sentencia de 24 de noviembre de 2020. Serie C No. 419, </w:t>
      </w:r>
      <w:r w:rsidR="00483F8B" w:rsidRPr="001D5DCB">
        <w:rPr>
          <w:rFonts w:ascii="Verdana" w:hAnsi="Verdana"/>
          <w:sz w:val="16"/>
          <w:szCs w:val="16"/>
        </w:rPr>
        <w:t>párr. 73</w:t>
      </w:r>
      <w:r w:rsidR="00483F8B">
        <w:rPr>
          <w:rFonts w:ascii="Verdana" w:hAnsi="Verdana"/>
          <w:sz w:val="16"/>
          <w:szCs w:val="16"/>
        </w:rPr>
        <w:t xml:space="preserve"> y </w:t>
      </w:r>
      <w:r w:rsidR="00483F8B" w:rsidRPr="00380F1E">
        <w:rPr>
          <w:rFonts w:ascii="Verdana" w:hAnsi="Verdana"/>
          <w:i/>
          <w:iCs/>
          <w:sz w:val="16"/>
          <w:szCs w:val="16"/>
          <w:lang w:val="es-MX"/>
        </w:rPr>
        <w:t>Caso Ruiz Fuentes y otra Vs. Guatemala. Medidas Provisionales y Supervisión Cumplimiento de Sentencia, supra</w:t>
      </w:r>
      <w:r w:rsidR="00483F8B" w:rsidRPr="00F84F81">
        <w:rPr>
          <w:rFonts w:ascii="Verdana" w:hAnsi="Verdana"/>
          <w:sz w:val="16"/>
          <w:szCs w:val="16"/>
          <w:lang w:val="es-MX"/>
        </w:rPr>
        <w:t xml:space="preserve"> nota 25</w:t>
      </w:r>
      <w:r w:rsidR="00483F8B" w:rsidRPr="001D5DCB">
        <w:rPr>
          <w:rFonts w:ascii="Verdana" w:hAnsi="Verdana"/>
          <w:sz w:val="16"/>
          <w:szCs w:val="16"/>
          <w:lang w:val="es-MX"/>
        </w:rPr>
        <w:t>, Considerando 5</w:t>
      </w:r>
      <w:r w:rsidR="00483F8B">
        <w:rPr>
          <w:rFonts w:ascii="Verdana" w:hAnsi="Verdana"/>
          <w:sz w:val="16"/>
          <w:szCs w:val="16"/>
          <w:lang w:val="es-MX"/>
        </w:rPr>
        <w:t>9</w:t>
      </w:r>
      <w:r w:rsidR="001D5DCB" w:rsidRPr="00FB3B6F">
        <w:rPr>
          <w:rFonts w:ascii="Verdana" w:hAnsi="Verdana"/>
          <w:sz w:val="16"/>
          <w:szCs w:val="16"/>
        </w:rPr>
        <w:t>.</w:t>
      </w:r>
    </w:p>
  </w:footnote>
  <w:footnote w:id="30">
    <w:p w14:paraId="221AA412" w14:textId="32A3168C" w:rsidR="00FB3B6F" w:rsidRPr="002D420E" w:rsidRDefault="00FB3B6F" w:rsidP="0056565D">
      <w:pPr>
        <w:pStyle w:val="Textonotapie"/>
        <w:tabs>
          <w:tab w:val="left" w:pos="567"/>
        </w:tabs>
        <w:spacing w:before="40" w:after="40"/>
        <w:jc w:val="both"/>
        <w:rPr>
          <w:rFonts w:ascii="Verdana" w:hAnsi="Verdana" w:cs="Arial"/>
          <w:sz w:val="16"/>
          <w:szCs w:val="16"/>
          <w:shd w:val="clear" w:color="auto" w:fill="FFFFFF"/>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lang w:val="es-ES"/>
        </w:rPr>
        <w:tab/>
      </w:r>
      <w:r w:rsidRPr="00FB3B6F">
        <w:rPr>
          <w:rFonts w:ascii="Verdana" w:hAnsi="Verdana" w:cs="Arial"/>
          <w:i/>
          <w:sz w:val="16"/>
          <w:szCs w:val="16"/>
          <w:shd w:val="clear" w:color="auto" w:fill="FFFFFF"/>
        </w:rPr>
        <w:t>C</w:t>
      </w:r>
      <w:r w:rsidR="002D420E">
        <w:rPr>
          <w:rFonts w:ascii="Verdana" w:hAnsi="Verdana" w:cs="Arial"/>
          <w:i/>
          <w:sz w:val="16"/>
          <w:szCs w:val="16"/>
          <w:shd w:val="clear" w:color="auto" w:fill="FFFFFF"/>
        </w:rPr>
        <w:t>fr.</w:t>
      </w:r>
      <w:r w:rsidR="002D420E" w:rsidRPr="002D420E">
        <w:t xml:space="preserve"> </w:t>
      </w:r>
      <w:r w:rsidR="002D420E" w:rsidRPr="002D420E">
        <w:rPr>
          <w:rFonts w:ascii="Verdana" w:hAnsi="Verdana" w:cs="Arial"/>
          <w:i/>
          <w:sz w:val="16"/>
          <w:szCs w:val="16"/>
          <w:shd w:val="clear" w:color="auto" w:fill="FFFFFF"/>
        </w:rPr>
        <w:t xml:space="preserve">Caso Reverón Trujillo Vs. Venezuela. Excepción Preliminar, Fondo, Reparaciones y Costas. </w:t>
      </w:r>
      <w:r w:rsidR="002D420E" w:rsidRPr="002D420E">
        <w:rPr>
          <w:rFonts w:ascii="Verdana" w:hAnsi="Verdana" w:cs="Arial"/>
          <w:iCs/>
          <w:sz w:val="16"/>
          <w:szCs w:val="16"/>
          <w:shd w:val="clear" w:color="auto" w:fill="FFFFFF"/>
        </w:rPr>
        <w:t>Sentencia de 30 de junio de 2009. Serie C No. 197</w:t>
      </w:r>
      <w:r w:rsidR="002D420E">
        <w:rPr>
          <w:rFonts w:ascii="Verdana" w:hAnsi="Verdana" w:cs="Arial"/>
          <w:iCs/>
          <w:sz w:val="16"/>
          <w:szCs w:val="16"/>
          <w:shd w:val="clear" w:color="auto" w:fill="FFFFFF"/>
        </w:rPr>
        <w:t>,</w:t>
      </w:r>
      <w:r w:rsidRPr="00FB3B6F">
        <w:rPr>
          <w:rFonts w:ascii="Verdana" w:hAnsi="Verdana" w:cs="Arial"/>
          <w:sz w:val="16"/>
          <w:szCs w:val="16"/>
          <w:shd w:val="clear" w:color="auto" w:fill="FFFFFF"/>
        </w:rPr>
        <w:t xml:space="preserve"> párr. 68, </w:t>
      </w:r>
      <w:r w:rsidR="002D420E">
        <w:rPr>
          <w:rFonts w:ascii="Verdana" w:hAnsi="Verdana" w:cs="Arial"/>
          <w:sz w:val="16"/>
          <w:szCs w:val="16"/>
          <w:shd w:val="clear" w:color="auto" w:fill="FFFFFF"/>
        </w:rPr>
        <w:t xml:space="preserve">y </w:t>
      </w:r>
      <w:r w:rsidR="002D420E" w:rsidRPr="002D420E">
        <w:rPr>
          <w:rFonts w:ascii="Verdana" w:hAnsi="Verdana" w:cs="Arial"/>
          <w:i/>
          <w:iCs/>
          <w:sz w:val="16"/>
          <w:szCs w:val="16"/>
          <w:shd w:val="clear" w:color="auto" w:fill="FFFFFF"/>
        </w:rPr>
        <w:t>Caso Ríos Avalos y otro Vs. Paraguay. Fondo, Reparaciones y Costas</w:t>
      </w:r>
      <w:r w:rsidR="002D420E" w:rsidRPr="002D420E">
        <w:rPr>
          <w:rFonts w:ascii="Verdana" w:hAnsi="Verdana" w:cs="Arial"/>
          <w:sz w:val="16"/>
          <w:szCs w:val="16"/>
          <w:shd w:val="clear" w:color="auto" w:fill="FFFFFF"/>
        </w:rPr>
        <w:t>. Sentencia de 19 de agosto de 2021. Serie C No. 429</w:t>
      </w:r>
      <w:r w:rsidR="002D420E">
        <w:rPr>
          <w:rFonts w:ascii="Verdana" w:hAnsi="Verdana" w:cs="Arial"/>
          <w:sz w:val="16"/>
          <w:szCs w:val="16"/>
          <w:shd w:val="clear" w:color="auto" w:fill="FFFFFF"/>
        </w:rPr>
        <w:t>, párr. 85.</w:t>
      </w:r>
      <w:r w:rsidR="0095394E">
        <w:rPr>
          <w:rFonts w:ascii="Verdana" w:hAnsi="Verdana" w:cs="Arial"/>
          <w:sz w:val="16"/>
          <w:szCs w:val="16"/>
          <w:shd w:val="clear" w:color="auto" w:fill="FFFFFF"/>
        </w:rPr>
        <w:t xml:space="preserve"> </w:t>
      </w:r>
      <w:r w:rsidR="0056565D" w:rsidRPr="0056565D">
        <w:rPr>
          <w:rFonts w:ascii="Verdana" w:hAnsi="Verdana" w:cs="Arial"/>
          <w:sz w:val="16"/>
          <w:szCs w:val="16"/>
          <w:shd w:val="clear" w:color="auto" w:fill="FFFFFF"/>
        </w:rPr>
        <w:t>Véanse, Declaración Universal de los Derechos Humanos, artículo 10; Pacto Internacional de Derechos</w:t>
      </w:r>
      <w:r w:rsidR="0056565D">
        <w:rPr>
          <w:rFonts w:ascii="Verdana" w:hAnsi="Verdana" w:cs="Arial"/>
          <w:sz w:val="16"/>
          <w:szCs w:val="16"/>
          <w:shd w:val="clear" w:color="auto" w:fill="FFFFFF"/>
        </w:rPr>
        <w:t xml:space="preserve"> </w:t>
      </w:r>
      <w:r w:rsidR="0056565D" w:rsidRPr="0056565D">
        <w:rPr>
          <w:rFonts w:ascii="Verdana" w:hAnsi="Verdana" w:cs="Arial"/>
          <w:sz w:val="16"/>
          <w:szCs w:val="16"/>
          <w:shd w:val="clear" w:color="auto" w:fill="FFFFFF"/>
        </w:rPr>
        <w:t>Civiles y Políticos, artículo 14.1; Convenio Europeo para la Protección de los Derechos Humanos y de las Libertades</w:t>
      </w:r>
      <w:r w:rsidR="0056565D">
        <w:rPr>
          <w:rFonts w:ascii="Verdana" w:hAnsi="Verdana" w:cs="Arial"/>
          <w:sz w:val="16"/>
          <w:szCs w:val="16"/>
          <w:shd w:val="clear" w:color="auto" w:fill="FFFFFF"/>
        </w:rPr>
        <w:t xml:space="preserve"> </w:t>
      </w:r>
      <w:r w:rsidR="0056565D" w:rsidRPr="0056565D">
        <w:rPr>
          <w:rFonts w:ascii="Verdana" w:hAnsi="Verdana" w:cs="Arial"/>
          <w:sz w:val="16"/>
          <w:szCs w:val="16"/>
          <w:shd w:val="clear" w:color="auto" w:fill="FFFFFF"/>
        </w:rPr>
        <w:t>Fundamentales, artículo 6.1, y Carta Africana sobre los Derechos Humanos y de los Pueblos, artículo 26</w:t>
      </w:r>
      <w:r w:rsidRPr="00FB3B6F">
        <w:rPr>
          <w:rFonts w:ascii="Verdana" w:hAnsi="Verdana"/>
          <w:sz w:val="16"/>
          <w:szCs w:val="16"/>
        </w:rPr>
        <w:t>.</w:t>
      </w:r>
    </w:p>
  </w:footnote>
  <w:footnote w:id="31">
    <w:p w14:paraId="731516EF" w14:textId="49725A8A" w:rsidR="00FB3B6F" w:rsidRPr="0095394E" w:rsidRDefault="00FB3B6F" w:rsidP="00FB3B6F">
      <w:pPr>
        <w:pStyle w:val="Textonotapie"/>
        <w:tabs>
          <w:tab w:val="left" w:pos="567"/>
        </w:tabs>
        <w:spacing w:before="40" w:after="40"/>
        <w:jc w:val="both"/>
        <w:rPr>
          <w:rFonts w:ascii="Verdana" w:hAnsi="Verdana"/>
          <w:sz w:val="16"/>
          <w:szCs w:val="16"/>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rPr>
        <w:tab/>
      </w:r>
      <w:r w:rsidRPr="00FB3B6F">
        <w:rPr>
          <w:rFonts w:ascii="Verdana" w:eastAsia="Times New Roman" w:hAnsi="Verdana" w:cs="Arial"/>
          <w:i/>
          <w:sz w:val="16"/>
          <w:szCs w:val="16"/>
          <w:shd w:val="clear" w:color="auto" w:fill="FFFFFF"/>
          <w:lang w:val="es-CR" w:eastAsia="es-CR"/>
        </w:rPr>
        <w:t>C</w:t>
      </w:r>
      <w:r w:rsidR="0095394E">
        <w:rPr>
          <w:rFonts w:ascii="Verdana" w:eastAsia="Times New Roman" w:hAnsi="Verdana" w:cs="Arial"/>
          <w:i/>
          <w:sz w:val="16"/>
          <w:szCs w:val="16"/>
          <w:shd w:val="clear" w:color="auto" w:fill="FFFFFF"/>
          <w:lang w:val="es-CR" w:eastAsia="es-CR"/>
        </w:rPr>
        <w:t xml:space="preserve">fr. </w:t>
      </w:r>
      <w:r w:rsidR="00EE3860" w:rsidRPr="00EE3860">
        <w:rPr>
          <w:rFonts w:ascii="Verdana" w:eastAsia="Times New Roman" w:hAnsi="Verdana" w:cs="Arial"/>
          <w:i/>
          <w:sz w:val="16"/>
          <w:szCs w:val="16"/>
          <w:shd w:val="clear" w:color="auto" w:fill="FFFFFF"/>
          <w:lang w:eastAsia="es-CR"/>
        </w:rPr>
        <w:t xml:space="preserve">Caso de la Corte Suprema de Justicia (Quintana Coello y otros) Vs. Ecuador. Excepción Preliminar, Fondo, Reparaciones y Costas. </w:t>
      </w:r>
      <w:r w:rsidR="00EE3860" w:rsidRPr="00EE3860">
        <w:rPr>
          <w:rFonts w:ascii="Verdana" w:eastAsia="Times New Roman" w:hAnsi="Verdana" w:cs="Arial"/>
          <w:iCs/>
          <w:sz w:val="16"/>
          <w:szCs w:val="16"/>
          <w:shd w:val="clear" w:color="auto" w:fill="FFFFFF"/>
          <w:lang w:eastAsia="es-CR"/>
        </w:rPr>
        <w:t>Sentencia de 23 de agosto de 2013. Serie C No. 266,</w:t>
      </w:r>
      <w:r w:rsidR="00EE3860">
        <w:rPr>
          <w:rFonts w:ascii="Verdana" w:eastAsia="Times New Roman" w:hAnsi="Verdana" w:cs="Arial"/>
          <w:i/>
          <w:sz w:val="16"/>
          <w:szCs w:val="16"/>
          <w:shd w:val="clear" w:color="auto" w:fill="FFFFFF"/>
          <w:lang w:eastAsia="es-CR"/>
        </w:rPr>
        <w:t xml:space="preserve"> </w:t>
      </w:r>
      <w:r w:rsidRPr="00FB3B6F">
        <w:rPr>
          <w:rFonts w:ascii="Verdana" w:hAnsi="Verdana" w:cs="Arial"/>
          <w:sz w:val="16"/>
          <w:szCs w:val="16"/>
          <w:shd w:val="clear" w:color="auto" w:fill="FFFFFF"/>
        </w:rPr>
        <w:t>párr. 192</w:t>
      </w:r>
      <w:r w:rsidR="0095394E">
        <w:rPr>
          <w:rFonts w:ascii="Verdana" w:hAnsi="Verdana" w:cs="Arial"/>
          <w:sz w:val="16"/>
          <w:szCs w:val="16"/>
          <w:shd w:val="clear" w:color="auto" w:fill="FFFFFF"/>
        </w:rPr>
        <w:t xml:space="preserve"> y </w:t>
      </w:r>
      <w:r w:rsidR="0095394E" w:rsidRPr="002D420E">
        <w:rPr>
          <w:rFonts w:ascii="Verdana" w:hAnsi="Verdana" w:cs="Arial"/>
          <w:i/>
          <w:iCs/>
          <w:sz w:val="16"/>
          <w:szCs w:val="16"/>
          <w:shd w:val="clear" w:color="auto" w:fill="FFFFFF"/>
        </w:rPr>
        <w:t>Caso Ríos Avalos y otro Vs. Paraguay</w:t>
      </w:r>
      <w:r w:rsidR="0095394E">
        <w:rPr>
          <w:rFonts w:ascii="Verdana" w:hAnsi="Verdana" w:cs="Arial"/>
          <w:sz w:val="16"/>
          <w:szCs w:val="16"/>
          <w:shd w:val="clear" w:color="auto" w:fill="FFFFFF"/>
        </w:rPr>
        <w:t xml:space="preserve">, </w:t>
      </w:r>
      <w:r w:rsidR="0095394E">
        <w:rPr>
          <w:rFonts w:ascii="Verdana" w:hAnsi="Verdana" w:cs="Arial"/>
          <w:i/>
          <w:iCs/>
          <w:sz w:val="16"/>
          <w:szCs w:val="16"/>
          <w:shd w:val="clear" w:color="auto" w:fill="FFFFFF"/>
        </w:rPr>
        <w:t xml:space="preserve">supra </w:t>
      </w:r>
      <w:r w:rsidR="0095394E">
        <w:rPr>
          <w:rFonts w:ascii="Verdana" w:hAnsi="Verdana" w:cs="Arial"/>
          <w:sz w:val="16"/>
          <w:szCs w:val="16"/>
          <w:shd w:val="clear" w:color="auto" w:fill="FFFFFF"/>
        </w:rPr>
        <w:t>nota 3</w:t>
      </w:r>
      <w:r w:rsidR="00EE3860">
        <w:rPr>
          <w:rFonts w:ascii="Verdana" w:hAnsi="Verdana" w:cs="Arial"/>
          <w:sz w:val="16"/>
          <w:szCs w:val="16"/>
          <w:shd w:val="clear" w:color="auto" w:fill="FFFFFF"/>
        </w:rPr>
        <w:t>0</w:t>
      </w:r>
      <w:r w:rsidR="0095394E">
        <w:rPr>
          <w:rFonts w:ascii="Verdana" w:hAnsi="Verdana" w:cs="Arial"/>
          <w:sz w:val="16"/>
          <w:szCs w:val="16"/>
          <w:shd w:val="clear" w:color="auto" w:fill="FFFFFF"/>
        </w:rPr>
        <w:t>, párr. 85.</w:t>
      </w:r>
    </w:p>
  </w:footnote>
  <w:footnote w:id="32">
    <w:p w14:paraId="0B1DCB35" w14:textId="7559E73A" w:rsidR="00FB3B6F" w:rsidRPr="00FB3B6F" w:rsidRDefault="00FB3B6F" w:rsidP="003C2BD7">
      <w:pPr>
        <w:pStyle w:val="Textonotapie"/>
        <w:tabs>
          <w:tab w:val="left" w:pos="567"/>
        </w:tabs>
        <w:spacing w:before="40" w:after="40"/>
        <w:jc w:val="both"/>
        <w:rPr>
          <w:rFonts w:ascii="Verdana" w:hAnsi="Verdana"/>
          <w:sz w:val="16"/>
          <w:szCs w:val="16"/>
          <w:lang w:val="es-ES"/>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rPr>
        <w:tab/>
      </w:r>
      <w:r w:rsidR="003C2BD7" w:rsidRPr="00B42D86">
        <w:rPr>
          <w:rFonts w:ascii="Verdana" w:hAnsi="Verdana"/>
          <w:i/>
          <w:iCs/>
          <w:sz w:val="16"/>
          <w:szCs w:val="16"/>
        </w:rPr>
        <w:t xml:space="preserve">Cfr. Caso </w:t>
      </w:r>
      <w:proofErr w:type="spellStart"/>
      <w:r w:rsidR="003C2BD7" w:rsidRPr="00B42D86">
        <w:rPr>
          <w:rFonts w:ascii="Verdana" w:hAnsi="Verdana"/>
          <w:i/>
          <w:iCs/>
          <w:sz w:val="16"/>
          <w:szCs w:val="16"/>
        </w:rPr>
        <w:t>Apitz</w:t>
      </w:r>
      <w:proofErr w:type="spellEnd"/>
      <w:r w:rsidR="003C2BD7" w:rsidRPr="00B42D86">
        <w:rPr>
          <w:rFonts w:ascii="Verdana" w:hAnsi="Verdana"/>
          <w:i/>
          <w:iCs/>
          <w:sz w:val="16"/>
          <w:szCs w:val="16"/>
        </w:rPr>
        <w:t xml:space="preserve"> Barbera y otros (“Corte Primera de lo Contencioso Administrativo”) Vs. Venezuela. Excepción Preliminar, Fondo, Reparaciones y Costas. </w:t>
      </w:r>
      <w:r w:rsidR="003C2BD7" w:rsidRPr="00B42D86">
        <w:rPr>
          <w:rFonts w:ascii="Verdana" w:hAnsi="Verdana"/>
          <w:sz w:val="16"/>
          <w:szCs w:val="16"/>
        </w:rPr>
        <w:t>Sentencia de 5 de agosto de 2008. Serie C No. 182, párr. 55</w:t>
      </w:r>
      <w:r w:rsidR="003C2BD7">
        <w:rPr>
          <w:rFonts w:ascii="Verdana" w:hAnsi="Verdana"/>
          <w:sz w:val="16"/>
          <w:szCs w:val="16"/>
        </w:rPr>
        <w:t xml:space="preserve"> y </w:t>
      </w:r>
      <w:r w:rsidR="003C2BD7" w:rsidRPr="00B42D86">
        <w:rPr>
          <w:rFonts w:ascii="Verdana" w:hAnsi="Verdana"/>
          <w:i/>
          <w:iCs/>
          <w:sz w:val="16"/>
          <w:szCs w:val="16"/>
          <w:lang w:val="es-ES"/>
        </w:rPr>
        <w:t xml:space="preserve">Caso Cuya </w:t>
      </w:r>
      <w:proofErr w:type="spellStart"/>
      <w:r w:rsidR="003C2BD7" w:rsidRPr="00B42D86">
        <w:rPr>
          <w:rFonts w:ascii="Verdana" w:hAnsi="Verdana"/>
          <w:i/>
          <w:iCs/>
          <w:sz w:val="16"/>
          <w:szCs w:val="16"/>
          <w:lang w:val="es-ES"/>
        </w:rPr>
        <w:t>Lavy</w:t>
      </w:r>
      <w:proofErr w:type="spellEnd"/>
      <w:r w:rsidR="003C2BD7" w:rsidRPr="00B42D86">
        <w:rPr>
          <w:rFonts w:ascii="Verdana" w:hAnsi="Verdana"/>
          <w:i/>
          <w:iCs/>
          <w:sz w:val="16"/>
          <w:szCs w:val="16"/>
          <w:lang w:val="es-ES"/>
        </w:rPr>
        <w:t xml:space="preserve"> y otros Vs. Perú. Excepciones preliminares, Fondo, Reparaciones y Costas. </w:t>
      </w:r>
      <w:r w:rsidR="003C2BD7" w:rsidRPr="00B42D86">
        <w:rPr>
          <w:rFonts w:ascii="Verdana" w:hAnsi="Verdana"/>
          <w:sz w:val="16"/>
          <w:szCs w:val="16"/>
          <w:lang w:val="es-ES"/>
        </w:rPr>
        <w:t>Sentencia de 28 de septiembre de 2021. Serie C No. 438</w:t>
      </w:r>
      <w:r w:rsidR="003C2BD7">
        <w:rPr>
          <w:rFonts w:ascii="Verdana" w:hAnsi="Verdana"/>
          <w:sz w:val="16"/>
          <w:szCs w:val="16"/>
          <w:lang w:val="es-ES"/>
        </w:rPr>
        <w:t>, párr. 124.</w:t>
      </w:r>
    </w:p>
  </w:footnote>
  <w:footnote w:id="33">
    <w:p w14:paraId="110977D0" w14:textId="227B7482" w:rsidR="00FB3B6F" w:rsidRPr="00FB3B6F" w:rsidRDefault="00FB3B6F" w:rsidP="00FB3B6F">
      <w:pPr>
        <w:pStyle w:val="Textonotapie"/>
        <w:tabs>
          <w:tab w:val="left" w:pos="567"/>
        </w:tabs>
        <w:spacing w:before="40" w:after="40"/>
        <w:jc w:val="both"/>
        <w:rPr>
          <w:rFonts w:ascii="Verdana" w:hAnsi="Verdana"/>
          <w:sz w:val="16"/>
          <w:szCs w:val="16"/>
          <w:lang w:val="es-ES"/>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rPr>
        <w:tab/>
      </w:r>
      <w:r w:rsidR="00FD145B" w:rsidRPr="00FB3B6F">
        <w:rPr>
          <w:rFonts w:ascii="Verdana" w:eastAsia="Times New Roman" w:hAnsi="Verdana" w:cs="Arial"/>
          <w:i/>
          <w:sz w:val="16"/>
          <w:szCs w:val="16"/>
          <w:shd w:val="clear" w:color="auto" w:fill="FFFFFF"/>
          <w:lang w:val="es-CR" w:eastAsia="es-CR"/>
        </w:rPr>
        <w:t>C</w:t>
      </w:r>
      <w:r w:rsidR="00FD145B">
        <w:rPr>
          <w:rFonts w:ascii="Verdana" w:eastAsia="Times New Roman" w:hAnsi="Verdana" w:cs="Arial"/>
          <w:i/>
          <w:sz w:val="16"/>
          <w:szCs w:val="16"/>
          <w:shd w:val="clear" w:color="auto" w:fill="FFFFFF"/>
          <w:lang w:val="es-CR" w:eastAsia="es-CR"/>
        </w:rPr>
        <w:t>fr.</w:t>
      </w:r>
      <w:r w:rsidR="00FD145B" w:rsidRPr="00AA7E42">
        <w:t xml:space="preserve"> </w:t>
      </w:r>
      <w:r w:rsidR="00FD145B" w:rsidRPr="00AA7E42">
        <w:rPr>
          <w:rFonts w:ascii="Verdana" w:eastAsia="Times New Roman" w:hAnsi="Verdana" w:cs="Arial"/>
          <w:i/>
          <w:sz w:val="16"/>
          <w:szCs w:val="16"/>
          <w:shd w:val="clear" w:color="auto" w:fill="FFFFFF"/>
          <w:lang w:val="es-CR" w:eastAsia="es-CR"/>
        </w:rPr>
        <w:t xml:space="preserve">Caso de la Corte Suprema de Justicia (Quintana Coello y otros) Vs. Ecuador. </w:t>
      </w:r>
      <w:r w:rsidR="00FD145B">
        <w:rPr>
          <w:rFonts w:ascii="Verdana" w:eastAsia="Times New Roman" w:hAnsi="Verdana" w:cs="Arial"/>
          <w:i/>
          <w:sz w:val="16"/>
          <w:szCs w:val="16"/>
          <w:shd w:val="clear" w:color="auto" w:fill="FFFFFF"/>
          <w:lang w:val="es-CR" w:eastAsia="es-CR"/>
        </w:rPr>
        <w:t xml:space="preserve">supra </w:t>
      </w:r>
      <w:r w:rsidR="00FD145B">
        <w:rPr>
          <w:rFonts w:ascii="Verdana" w:eastAsia="Times New Roman" w:hAnsi="Verdana" w:cs="Arial"/>
          <w:iCs/>
          <w:sz w:val="16"/>
          <w:szCs w:val="16"/>
          <w:shd w:val="clear" w:color="auto" w:fill="FFFFFF"/>
          <w:lang w:val="es-CR" w:eastAsia="es-CR"/>
        </w:rPr>
        <w:t>nota 3</w:t>
      </w:r>
      <w:r w:rsidR="00EE3860">
        <w:rPr>
          <w:rFonts w:ascii="Verdana" w:eastAsia="Times New Roman" w:hAnsi="Verdana" w:cs="Arial"/>
          <w:iCs/>
          <w:sz w:val="16"/>
          <w:szCs w:val="16"/>
          <w:shd w:val="clear" w:color="auto" w:fill="FFFFFF"/>
          <w:lang w:val="es-CR" w:eastAsia="es-CR"/>
        </w:rPr>
        <w:t>1</w:t>
      </w:r>
      <w:r w:rsidR="00FD145B">
        <w:rPr>
          <w:rFonts w:ascii="Verdana" w:eastAsia="Times New Roman" w:hAnsi="Verdana" w:cs="Arial"/>
          <w:iCs/>
          <w:sz w:val="16"/>
          <w:szCs w:val="16"/>
          <w:shd w:val="clear" w:color="auto" w:fill="FFFFFF"/>
          <w:lang w:val="es-CR" w:eastAsia="es-CR"/>
        </w:rPr>
        <w:t xml:space="preserve">, </w:t>
      </w:r>
      <w:r w:rsidR="00FD145B" w:rsidRPr="00FB3B6F">
        <w:rPr>
          <w:rFonts w:ascii="Verdana" w:hAnsi="Verdana" w:cs="Arial"/>
          <w:sz w:val="16"/>
          <w:szCs w:val="16"/>
          <w:shd w:val="clear" w:color="auto" w:fill="FFFFFF"/>
        </w:rPr>
        <w:t xml:space="preserve">párr. 154, y </w:t>
      </w:r>
      <w:r w:rsidR="00EE3860" w:rsidRPr="002D420E">
        <w:rPr>
          <w:rFonts w:ascii="Verdana" w:hAnsi="Verdana" w:cs="Arial"/>
          <w:i/>
          <w:iCs/>
          <w:sz w:val="16"/>
          <w:szCs w:val="16"/>
          <w:shd w:val="clear" w:color="auto" w:fill="FFFFFF"/>
        </w:rPr>
        <w:t>Caso Ríos Avalos y otro Vs. Paraguay</w:t>
      </w:r>
      <w:r w:rsidR="00EE3860">
        <w:rPr>
          <w:rFonts w:ascii="Verdana" w:hAnsi="Verdana" w:cs="Arial"/>
          <w:sz w:val="16"/>
          <w:szCs w:val="16"/>
          <w:shd w:val="clear" w:color="auto" w:fill="FFFFFF"/>
        </w:rPr>
        <w:t xml:space="preserve">, </w:t>
      </w:r>
      <w:r w:rsidR="00EE3860">
        <w:rPr>
          <w:rFonts w:ascii="Verdana" w:hAnsi="Verdana" w:cs="Arial"/>
          <w:i/>
          <w:iCs/>
          <w:sz w:val="16"/>
          <w:szCs w:val="16"/>
          <w:shd w:val="clear" w:color="auto" w:fill="FFFFFF"/>
        </w:rPr>
        <w:t xml:space="preserve">supra </w:t>
      </w:r>
      <w:r w:rsidR="00EE3860">
        <w:rPr>
          <w:rFonts w:ascii="Verdana" w:hAnsi="Verdana" w:cs="Arial"/>
          <w:sz w:val="16"/>
          <w:szCs w:val="16"/>
          <w:shd w:val="clear" w:color="auto" w:fill="FFFFFF"/>
        </w:rPr>
        <w:t>nota 30</w:t>
      </w:r>
      <w:r w:rsidR="00FD145B">
        <w:rPr>
          <w:rFonts w:ascii="Verdana" w:hAnsi="Verdana" w:cs="Arial"/>
          <w:sz w:val="16"/>
          <w:szCs w:val="16"/>
          <w:shd w:val="clear" w:color="auto" w:fill="FFFFFF"/>
        </w:rPr>
        <w:t>, párr. 87.</w:t>
      </w:r>
    </w:p>
  </w:footnote>
  <w:footnote w:id="34">
    <w:p w14:paraId="33462BF2" w14:textId="4409F36F" w:rsidR="00FB3B6F" w:rsidRPr="00FD145B" w:rsidRDefault="00FB3B6F" w:rsidP="00FB3B6F">
      <w:pPr>
        <w:pStyle w:val="Textonotapie"/>
        <w:tabs>
          <w:tab w:val="left" w:pos="567"/>
        </w:tabs>
        <w:spacing w:before="40" w:after="40"/>
        <w:jc w:val="both"/>
        <w:rPr>
          <w:rFonts w:ascii="Verdana" w:hAnsi="Verdana" w:cs="Arial"/>
          <w:sz w:val="16"/>
          <w:szCs w:val="16"/>
          <w:shd w:val="clear" w:color="auto" w:fill="FFFFFF"/>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rPr>
        <w:tab/>
      </w:r>
      <w:r w:rsidR="00FD145B" w:rsidRPr="00FB3B6F">
        <w:rPr>
          <w:rFonts w:ascii="Verdana" w:hAnsi="Verdana" w:cs="Arial"/>
          <w:i/>
          <w:sz w:val="16"/>
          <w:szCs w:val="16"/>
          <w:shd w:val="clear" w:color="auto" w:fill="FFFFFF"/>
        </w:rPr>
        <w:t>C</w:t>
      </w:r>
      <w:r w:rsidR="00FD145B">
        <w:rPr>
          <w:rFonts w:ascii="Verdana" w:hAnsi="Verdana" w:cs="Arial"/>
          <w:i/>
          <w:sz w:val="16"/>
          <w:szCs w:val="16"/>
          <w:shd w:val="clear" w:color="auto" w:fill="FFFFFF"/>
        </w:rPr>
        <w:t xml:space="preserve">fr. </w:t>
      </w:r>
      <w:r w:rsidR="00FD145B" w:rsidRPr="002D1EE7">
        <w:rPr>
          <w:rFonts w:ascii="Verdana" w:hAnsi="Verdana" w:cs="Arial"/>
          <w:i/>
          <w:sz w:val="16"/>
          <w:szCs w:val="16"/>
          <w:shd w:val="clear" w:color="auto" w:fill="FFFFFF"/>
        </w:rPr>
        <w:t xml:space="preserve">Caso del Tribunal Constitucional Vs. Perú. Fondo, Reparaciones y Costas. </w:t>
      </w:r>
      <w:r w:rsidR="00FD145B" w:rsidRPr="002D1EE7">
        <w:rPr>
          <w:rFonts w:ascii="Verdana" w:hAnsi="Verdana" w:cs="Arial"/>
          <w:iCs/>
          <w:sz w:val="16"/>
          <w:szCs w:val="16"/>
          <w:shd w:val="clear" w:color="auto" w:fill="FFFFFF"/>
        </w:rPr>
        <w:t>Sentencia de 31 de enero de 2001. Serie C No. 71</w:t>
      </w:r>
      <w:r w:rsidR="00FD145B" w:rsidRPr="00FB3B6F">
        <w:rPr>
          <w:rFonts w:ascii="Verdana" w:hAnsi="Verdana" w:cs="Arial"/>
          <w:sz w:val="16"/>
          <w:szCs w:val="16"/>
          <w:shd w:val="clear" w:color="auto" w:fill="FFFFFF"/>
        </w:rPr>
        <w:t>, párr. 75</w:t>
      </w:r>
      <w:r w:rsidR="00FD145B">
        <w:rPr>
          <w:rFonts w:ascii="Verdana" w:hAnsi="Verdana" w:cs="Arial"/>
          <w:sz w:val="16"/>
          <w:szCs w:val="16"/>
          <w:shd w:val="clear" w:color="auto" w:fill="FFFFFF"/>
        </w:rPr>
        <w:t xml:space="preserve"> </w:t>
      </w:r>
      <w:r w:rsidR="00FD145B" w:rsidRPr="00FB3B6F">
        <w:rPr>
          <w:rFonts w:ascii="Verdana" w:hAnsi="Verdana" w:cs="Arial"/>
          <w:sz w:val="16"/>
          <w:szCs w:val="16"/>
          <w:shd w:val="clear" w:color="auto" w:fill="FFFFFF"/>
        </w:rPr>
        <w:t xml:space="preserve">y </w:t>
      </w:r>
      <w:r w:rsidR="00EE3860" w:rsidRPr="002D420E">
        <w:rPr>
          <w:rFonts w:ascii="Verdana" w:hAnsi="Verdana" w:cs="Arial"/>
          <w:i/>
          <w:iCs/>
          <w:sz w:val="16"/>
          <w:szCs w:val="16"/>
          <w:shd w:val="clear" w:color="auto" w:fill="FFFFFF"/>
        </w:rPr>
        <w:t>Caso Ríos Avalos y otro Vs. Paraguay</w:t>
      </w:r>
      <w:r w:rsidR="00EE3860">
        <w:rPr>
          <w:rFonts w:ascii="Verdana" w:hAnsi="Verdana" w:cs="Arial"/>
          <w:sz w:val="16"/>
          <w:szCs w:val="16"/>
          <w:shd w:val="clear" w:color="auto" w:fill="FFFFFF"/>
        </w:rPr>
        <w:t xml:space="preserve">, </w:t>
      </w:r>
      <w:r w:rsidR="00EE3860">
        <w:rPr>
          <w:rFonts w:ascii="Verdana" w:hAnsi="Verdana" w:cs="Arial"/>
          <w:i/>
          <w:iCs/>
          <w:sz w:val="16"/>
          <w:szCs w:val="16"/>
          <w:shd w:val="clear" w:color="auto" w:fill="FFFFFF"/>
        </w:rPr>
        <w:t xml:space="preserve">supra </w:t>
      </w:r>
      <w:r w:rsidR="00EE3860">
        <w:rPr>
          <w:rFonts w:ascii="Verdana" w:hAnsi="Verdana" w:cs="Arial"/>
          <w:sz w:val="16"/>
          <w:szCs w:val="16"/>
          <w:shd w:val="clear" w:color="auto" w:fill="FFFFFF"/>
        </w:rPr>
        <w:t xml:space="preserve">nota 30, </w:t>
      </w:r>
      <w:r w:rsidR="00FD145B">
        <w:rPr>
          <w:rFonts w:ascii="Verdana" w:hAnsi="Verdana" w:cs="Arial"/>
          <w:sz w:val="16"/>
          <w:szCs w:val="16"/>
          <w:shd w:val="clear" w:color="auto" w:fill="FFFFFF"/>
        </w:rPr>
        <w:t>párr. 87</w:t>
      </w:r>
      <w:r w:rsidRPr="00FB3B6F">
        <w:rPr>
          <w:rFonts w:ascii="Verdana" w:hAnsi="Verdana" w:cs="Arial"/>
          <w:sz w:val="16"/>
          <w:szCs w:val="16"/>
          <w:shd w:val="clear" w:color="auto" w:fill="FFFFFF"/>
        </w:rPr>
        <w:t>.</w:t>
      </w:r>
    </w:p>
  </w:footnote>
  <w:footnote w:id="35">
    <w:p w14:paraId="2610C466" w14:textId="7FF12699" w:rsidR="00FB3B6F" w:rsidRPr="00FD145B" w:rsidRDefault="00FB3B6F" w:rsidP="00FD145B">
      <w:pPr>
        <w:pStyle w:val="Textonotapie"/>
        <w:tabs>
          <w:tab w:val="left" w:pos="567"/>
        </w:tabs>
        <w:jc w:val="both"/>
        <w:rPr>
          <w:rFonts w:ascii="Verdana" w:hAnsi="Verdana"/>
          <w:i/>
          <w:sz w:val="16"/>
          <w:szCs w:val="16"/>
          <w:lang w:val="es-CR"/>
        </w:rPr>
      </w:pPr>
      <w:r w:rsidRPr="00FB3B6F">
        <w:rPr>
          <w:rStyle w:val="Refdenotaalpie"/>
          <w:szCs w:val="16"/>
          <w:lang w:val="es-CR"/>
        </w:rPr>
        <w:footnoteRef/>
      </w:r>
      <w:r w:rsidRPr="00FB3B6F">
        <w:rPr>
          <w:rFonts w:ascii="Verdana" w:hAnsi="Verdana"/>
          <w:sz w:val="16"/>
          <w:szCs w:val="16"/>
          <w:lang w:val="es-CR"/>
        </w:rPr>
        <w:t xml:space="preserve"> </w:t>
      </w:r>
      <w:r w:rsidRPr="00FB3B6F">
        <w:rPr>
          <w:rFonts w:ascii="Verdana" w:hAnsi="Verdana"/>
          <w:sz w:val="16"/>
          <w:szCs w:val="16"/>
          <w:lang w:val="es-CR"/>
        </w:rPr>
        <w:tab/>
      </w:r>
      <w:r w:rsidR="00FD145B" w:rsidRPr="00486D4F">
        <w:rPr>
          <w:rFonts w:ascii="Verdana" w:hAnsi="Verdana"/>
          <w:i/>
          <w:sz w:val="16"/>
          <w:szCs w:val="16"/>
          <w:lang w:val="es-CR"/>
        </w:rPr>
        <w:t>Cfr. Caso Reverón Trujillo Vs. Venezuela</w:t>
      </w:r>
      <w:r w:rsidR="00FD145B" w:rsidRPr="00486D4F">
        <w:rPr>
          <w:rFonts w:ascii="Verdana" w:hAnsi="Verdana"/>
          <w:iCs/>
          <w:sz w:val="16"/>
          <w:szCs w:val="16"/>
          <w:lang w:val="es-CR"/>
        </w:rPr>
        <w:t>,</w:t>
      </w:r>
      <w:r w:rsidR="00586ECA">
        <w:rPr>
          <w:rFonts w:ascii="Verdana" w:hAnsi="Verdana"/>
          <w:iCs/>
          <w:sz w:val="16"/>
          <w:szCs w:val="16"/>
          <w:lang w:val="es-CR"/>
        </w:rPr>
        <w:t xml:space="preserve"> </w:t>
      </w:r>
      <w:r w:rsidR="00586ECA" w:rsidRPr="00586ECA">
        <w:rPr>
          <w:rFonts w:ascii="Verdana" w:hAnsi="Verdana"/>
          <w:i/>
          <w:sz w:val="16"/>
          <w:szCs w:val="16"/>
          <w:lang w:val="es-CR"/>
        </w:rPr>
        <w:t>supra</w:t>
      </w:r>
      <w:r w:rsidR="00586ECA">
        <w:rPr>
          <w:rFonts w:ascii="Verdana" w:hAnsi="Verdana"/>
          <w:iCs/>
          <w:sz w:val="16"/>
          <w:szCs w:val="16"/>
          <w:lang w:val="es-CR"/>
        </w:rPr>
        <w:t xml:space="preserve"> nota 30,</w:t>
      </w:r>
      <w:r w:rsidR="00FD145B" w:rsidRPr="00486D4F">
        <w:rPr>
          <w:rFonts w:ascii="Verdana" w:hAnsi="Verdana"/>
          <w:iCs/>
          <w:sz w:val="16"/>
          <w:szCs w:val="16"/>
          <w:lang w:val="es-CR"/>
        </w:rPr>
        <w:t xml:space="preserve"> párr. 138</w:t>
      </w:r>
      <w:r w:rsidR="00FD145B" w:rsidRPr="00486D4F">
        <w:rPr>
          <w:rFonts w:ascii="Verdana" w:hAnsi="Verdana"/>
          <w:iCs/>
          <w:spacing w:val="-1"/>
          <w:sz w:val="16"/>
          <w:szCs w:val="16"/>
          <w:lang w:val="es-CR"/>
        </w:rPr>
        <w:t xml:space="preserve"> </w:t>
      </w:r>
      <w:r w:rsidR="00FD145B" w:rsidRPr="00FB3B6F">
        <w:rPr>
          <w:rFonts w:ascii="Verdana" w:hAnsi="Verdana"/>
          <w:sz w:val="16"/>
          <w:szCs w:val="16"/>
          <w:lang w:val="es-CR"/>
        </w:rPr>
        <w:t>y</w:t>
      </w:r>
      <w:r w:rsidR="00FD145B" w:rsidRPr="009F258F">
        <w:t xml:space="preserve"> </w:t>
      </w:r>
      <w:r w:rsidR="00FD145B" w:rsidRPr="009F258F">
        <w:rPr>
          <w:rFonts w:ascii="Verdana" w:hAnsi="Verdana"/>
          <w:i/>
          <w:iCs/>
          <w:sz w:val="16"/>
          <w:szCs w:val="16"/>
          <w:lang w:val="es-CR"/>
        </w:rPr>
        <w:t>Caso Moya Solís Vs. Perú. Excepciones Preliminares, Fondo, Reparaciones y Costas.</w:t>
      </w:r>
      <w:r w:rsidR="00FD145B" w:rsidRPr="009F258F">
        <w:rPr>
          <w:rFonts w:ascii="Verdana" w:hAnsi="Verdana"/>
          <w:sz w:val="16"/>
          <w:szCs w:val="16"/>
          <w:lang w:val="es-CR"/>
        </w:rPr>
        <w:t xml:space="preserve"> Sentencia de 3 de junio de 2021. Serie C No. 425</w:t>
      </w:r>
      <w:r w:rsidR="00FD145B" w:rsidRPr="00FB3B6F">
        <w:rPr>
          <w:rFonts w:ascii="Verdana" w:hAnsi="Verdana"/>
          <w:i/>
          <w:sz w:val="16"/>
          <w:szCs w:val="16"/>
          <w:lang w:val="es-CR"/>
        </w:rPr>
        <w:t>,</w:t>
      </w:r>
      <w:r w:rsidR="00FD145B" w:rsidRPr="00FB3B6F">
        <w:rPr>
          <w:rFonts w:ascii="Verdana" w:hAnsi="Verdana"/>
          <w:i/>
          <w:spacing w:val="-3"/>
          <w:sz w:val="16"/>
          <w:szCs w:val="16"/>
          <w:lang w:val="es-CR"/>
        </w:rPr>
        <w:t xml:space="preserve"> </w:t>
      </w:r>
      <w:r w:rsidR="00FD145B" w:rsidRPr="00FB3B6F">
        <w:rPr>
          <w:rFonts w:ascii="Verdana" w:hAnsi="Verdana"/>
          <w:sz w:val="16"/>
          <w:szCs w:val="16"/>
          <w:lang w:val="es-CR"/>
        </w:rPr>
        <w:t>párr.</w:t>
      </w:r>
      <w:r w:rsidR="00FD145B" w:rsidRPr="00FB3B6F">
        <w:rPr>
          <w:rFonts w:ascii="Verdana" w:hAnsi="Verdana"/>
          <w:spacing w:val="-2"/>
          <w:sz w:val="16"/>
          <w:szCs w:val="16"/>
          <w:lang w:val="es-CR"/>
        </w:rPr>
        <w:t xml:space="preserve"> </w:t>
      </w:r>
      <w:r w:rsidR="00FD145B" w:rsidRPr="00FB3B6F">
        <w:rPr>
          <w:rFonts w:ascii="Verdana" w:hAnsi="Verdana"/>
          <w:sz w:val="16"/>
          <w:szCs w:val="16"/>
          <w:lang w:val="es-CR"/>
        </w:rPr>
        <w:t>108</w:t>
      </w:r>
      <w:r w:rsidR="0085104A" w:rsidRPr="00FB3B6F">
        <w:rPr>
          <w:rFonts w:ascii="Verdana" w:hAnsi="Verdana" w:cs="Arial"/>
          <w:sz w:val="16"/>
          <w:szCs w:val="16"/>
          <w:shd w:val="clear" w:color="auto" w:fill="FFFFFF"/>
        </w:rPr>
        <w:t>.</w:t>
      </w:r>
    </w:p>
  </w:footnote>
  <w:footnote w:id="36">
    <w:p w14:paraId="6C4B3C97" w14:textId="6F90A866" w:rsidR="00FB3B6F" w:rsidRPr="00FB3B6F" w:rsidRDefault="00FB3B6F" w:rsidP="00FB3B6F">
      <w:pPr>
        <w:pStyle w:val="Textonotapie"/>
        <w:tabs>
          <w:tab w:val="left" w:pos="567"/>
        </w:tabs>
        <w:jc w:val="both"/>
        <w:rPr>
          <w:rFonts w:ascii="Verdana" w:hAnsi="Verdana"/>
          <w:sz w:val="16"/>
          <w:szCs w:val="16"/>
          <w:lang w:val="es-CR"/>
        </w:rPr>
      </w:pPr>
      <w:r w:rsidRPr="00FB3B6F">
        <w:rPr>
          <w:rStyle w:val="Refdenotaalpie"/>
          <w:szCs w:val="16"/>
          <w:lang w:val="es-CR"/>
        </w:rPr>
        <w:footnoteRef/>
      </w:r>
      <w:r w:rsidRPr="00FB3B6F">
        <w:rPr>
          <w:rFonts w:ascii="Verdana" w:hAnsi="Verdana"/>
          <w:sz w:val="16"/>
          <w:szCs w:val="16"/>
          <w:lang w:val="es-CR"/>
        </w:rPr>
        <w:t xml:space="preserve"> </w:t>
      </w:r>
      <w:r w:rsidRPr="00FB3B6F">
        <w:rPr>
          <w:rFonts w:ascii="Verdana" w:hAnsi="Verdana"/>
          <w:sz w:val="16"/>
          <w:szCs w:val="16"/>
          <w:lang w:val="es-CR"/>
        </w:rPr>
        <w:tab/>
      </w:r>
      <w:r w:rsidR="00FD145B" w:rsidRPr="00FB3B6F">
        <w:rPr>
          <w:rFonts w:ascii="Verdana" w:hAnsi="Verdana"/>
          <w:i/>
          <w:sz w:val="16"/>
          <w:szCs w:val="16"/>
          <w:lang w:val="es-CR"/>
        </w:rPr>
        <w:t>Cfr.</w:t>
      </w:r>
      <w:r w:rsidR="00FD145B" w:rsidRPr="00FB3B6F">
        <w:rPr>
          <w:rFonts w:ascii="Verdana" w:hAnsi="Verdana"/>
          <w:i/>
          <w:spacing w:val="-1"/>
          <w:sz w:val="16"/>
          <w:szCs w:val="16"/>
          <w:lang w:val="es-CR"/>
        </w:rPr>
        <w:t xml:space="preserve"> </w:t>
      </w:r>
      <w:r w:rsidR="00FD145B" w:rsidRPr="00FB3B6F">
        <w:rPr>
          <w:rFonts w:ascii="Verdana" w:hAnsi="Verdana"/>
          <w:i/>
          <w:sz w:val="16"/>
          <w:szCs w:val="16"/>
          <w:lang w:val="es-CR"/>
        </w:rPr>
        <w:t>Caso</w:t>
      </w:r>
      <w:r w:rsidR="00FD145B" w:rsidRPr="00FB3B6F">
        <w:rPr>
          <w:rFonts w:ascii="Verdana" w:hAnsi="Verdana"/>
          <w:i/>
          <w:spacing w:val="-2"/>
          <w:sz w:val="16"/>
          <w:szCs w:val="16"/>
          <w:lang w:val="es-CR"/>
        </w:rPr>
        <w:t xml:space="preserve"> </w:t>
      </w:r>
      <w:r w:rsidR="00FD145B" w:rsidRPr="00FB3B6F">
        <w:rPr>
          <w:rFonts w:ascii="Verdana" w:hAnsi="Verdana"/>
          <w:i/>
          <w:sz w:val="16"/>
          <w:szCs w:val="16"/>
          <w:lang w:val="es-CR"/>
        </w:rPr>
        <w:t>Moya</w:t>
      </w:r>
      <w:r w:rsidR="00FD145B" w:rsidRPr="00FB3B6F">
        <w:rPr>
          <w:rFonts w:ascii="Verdana" w:hAnsi="Verdana"/>
          <w:i/>
          <w:spacing w:val="-2"/>
          <w:sz w:val="16"/>
          <w:szCs w:val="16"/>
          <w:lang w:val="es-CR"/>
        </w:rPr>
        <w:t xml:space="preserve"> </w:t>
      </w:r>
      <w:r w:rsidR="00FD145B" w:rsidRPr="00FB3B6F">
        <w:rPr>
          <w:rFonts w:ascii="Verdana" w:hAnsi="Verdana"/>
          <w:i/>
          <w:sz w:val="16"/>
          <w:szCs w:val="16"/>
          <w:lang w:val="es-CR"/>
        </w:rPr>
        <w:t>Solís</w:t>
      </w:r>
      <w:r w:rsidR="00FD145B" w:rsidRPr="00FB3B6F">
        <w:rPr>
          <w:rFonts w:ascii="Verdana" w:hAnsi="Verdana"/>
          <w:i/>
          <w:spacing w:val="-2"/>
          <w:sz w:val="16"/>
          <w:szCs w:val="16"/>
          <w:lang w:val="es-CR"/>
        </w:rPr>
        <w:t xml:space="preserve"> </w:t>
      </w:r>
      <w:r w:rsidR="00FD145B" w:rsidRPr="00FB3B6F">
        <w:rPr>
          <w:rFonts w:ascii="Verdana" w:hAnsi="Verdana"/>
          <w:i/>
          <w:sz w:val="16"/>
          <w:szCs w:val="16"/>
          <w:lang w:val="es-CR"/>
        </w:rPr>
        <w:t>Vs. Perú,</w:t>
      </w:r>
      <w:r w:rsidR="00FD145B" w:rsidRPr="00FB3B6F">
        <w:rPr>
          <w:rFonts w:ascii="Verdana" w:hAnsi="Verdana"/>
          <w:i/>
          <w:spacing w:val="-3"/>
          <w:sz w:val="16"/>
          <w:szCs w:val="16"/>
          <w:lang w:val="es-CR"/>
        </w:rPr>
        <w:t xml:space="preserve"> </w:t>
      </w:r>
      <w:r w:rsidR="00FD145B" w:rsidRPr="00FB3B6F">
        <w:rPr>
          <w:rFonts w:ascii="Verdana" w:hAnsi="Verdana"/>
          <w:i/>
          <w:sz w:val="16"/>
          <w:szCs w:val="16"/>
          <w:lang w:val="es-CR"/>
        </w:rPr>
        <w:t>supra</w:t>
      </w:r>
      <w:r w:rsidR="00FD145B">
        <w:rPr>
          <w:rFonts w:ascii="Verdana" w:hAnsi="Verdana"/>
          <w:i/>
          <w:sz w:val="16"/>
          <w:szCs w:val="16"/>
          <w:lang w:val="es-CR"/>
        </w:rPr>
        <w:t xml:space="preserve"> </w:t>
      </w:r>
      <w:r w:rsidR="00FD145B">
        <w:rPr>
          <w:rFonts w:ascii="Verdana" w:hAnsi="Verdana"/>
          <w:iCs/>
          <w:sz w:val="16"/>
          <w:szCs w:val="16"/>
          <w:lang w:val="es-CR"/>
        </w:rPr>
        <w:t>nota 3</w:t>
      </w:r>
      <w:r w:rsidR="00EE3860">
        <w:rPr>
          <w:rFonts w:ascii="Verdana" w:hAnsi="Verdana"/>
          <w:iCs/>
          <w:sz w:val="16"/>
          <w:szCs w:val="16"/>
          <w:lang w:val="es-CR"/>
        </w:rPr>
        <w:t>5</w:t>
      </w:r>
      <w:r w:rsidR="00FD145B" w:rsidRPr="00FB3B6F">
        <w:rPr>
          <w:rFonts w:ascii="Verdana" w:hAnsi="Verdana"/>
          <w:i/>
          <w:sz w:val="16"/>
          <w:szCs w:val="16"/>
          <w:lang w:val="es-CR"/>
        </w:rPr>
        <w:t xml:space="preserve">, </w:t>
      </w:r>
      <w:r w:rsidR="00FD145B" w:rsidRPr="00FB3B6F">
        <w:rPr>
          <w:rFonts w:ascii="Verdana" w:hAnsi="Verdana"/>
          <w:sz w:val="16"/>
          <w:szCs w:val="16"/>
          <w:lang w:val="es-CR"/>
        </w:rPr>
        <w:t>párr.</w:t>
      </w:r>
      <w:r w:rsidR="00FD145B" w:rsidRPr="00FB3B6F">
        <w:rPr>
          <w:rFonts w:ascii="Verdana" w:hAnsi="Verdana"/>
          <w:spacing w:val="-3"/>
          <w:sz w:val="16"/>
          <w:szCs w:val="16"/>
          <w:lang w:val="es-CR"/>
        </w:rPr>
        <w:t xml:space="preserve"> </w:t>
      </w:r>
      <w:r w:rsidR="00FD145B" w:rsidRPr="00FB3B6F">
        <w:rPr>
          <w:rFonts w:ascii="Verdana" w:hAnsi="Verdana"/>
          <w:sz w:val="16"/>
          <w:szCs w:val="16"/>
          <w:lang w:val="es-CR"/>
        </w:rPr>
        <w:t>108.</w:t>
      </w:r>
    </w:p>
  </w:footnote>
  <w:footnote w:id="37">
    <w:p w14:paraId="1D606E42" w14:textId="4CC26239" w:rsidR="00FB3B6F" w:rsidRPr="00FB3B6F" w:rsidRDefault="00FB3B6F" w:rsidP="00FB3B6F">
      <w:pPr>
        <w:pStyle w:val="Textonotapie"/>
        <w:tabs>
          <w:tab w:val="left" w:pos="567"/>
        </w:tabs>
        <w:jc w:val="both"/>
        <w:rPr>
          <w:rFonts w:ascii="Verdana" w:hAnsi="Verdana"/>
          <w:sz w:val="16"/>
          <w:szCs w:val="16"/>
          <w:lang w:val="es-CR"/>
        </w:rPr>
      </w:pPr>
      <w:r w:rsidRPr="00FB3B6F">
        <w:rPr>
          <w:rStyle w:val="Refdenotaalpie"/>
          <w:szCs w:val="16"/>
          <w:lang w:val="es-CR"/>
        </w:rPr>
        <w:footnoteRef/>
      </w:r>
      <w:r w:rsidRPr="00FB3B6F">
        <w:rPr>
          <w:rFonts w:ascii="Verdana" w:hAnsi="Verdana"/>
          <w:sz w:val="16"/>
          <w:szCs w:val="16"/>
          <w:lang w:val="es-CR"/>
        </w:rPr>
        <w:t xml:space="preserve"> </w:t>
      </w:r>
      <w:r w:rsidRPr="00FB3B6F">
        <w:rPr>
          <w:rFonts w:ascii="Verdana" w:hAnsi="Verdana"/>
          <w:sz w:val="16"/>
          <w:szCs w:val="16"/>
          <w:lang w:val="es-CR"/>
        </w:rPr>
        <w:tab/>
      </w:r>
      <w:r w:rsidR="003C2BD7" w:rsidRPr="00FB3B6F">
        <w:rPr>
          <w:rFonts w:ascii="Verdana" w:hAnsi="Verdana"/>
          <w:i/>
          <w:sz w:val="16"/>
          <w:szCs w:val="16"/>
          <w:lang w:val="es-CR"/>
        </w:rPr>
        <w:t>Cfr.</w:t>
      </w:r>
      <w:r w:rsidR="003C2BD7" w:rsidRPr="00FB3B6F">
        <w:rPr>
          <w:rFonts w:ascii="Verdana" w:hAnsi="Verdana"/>
          <w:i/>
          <w:spacing w:val="-1"/>
          <w:sz w:val="16"/>
          <w:szCs w:val="16"/>
          <w:lang w:val="es-CR"/>
        </w:rPr>
        <w:t xml:space="preserve"> </w:t>
      </w:r>
      <w:r w:rsidR="003C2BD7" w:rsidRPr="00FB3B6F">
        <w:rPr>
          <w:rFonts w:ascii="Verdana" w:hAnsi="Verdana"/>
          <w:i/>
          <w:sz w:val="16"/>
          <w:szCs w:val="16"/>
          <w:lang w:val="es-CR"/>
        </w:rPr>
        <w:t>Caso Reverón Trujillo Vs. Venezuela, supra</w:t>
      </w:r>
      <w:r w:rsidR="003C2BD7">
        <w:rPr>
          <w:rFonts w:ascii="Verdana" w:hAnsi="Verdana"/>
          <w:i/>
          <w:sz w:val="16"/>
          <w:szCs w:val="16"/>
          <w:lang w:val="es-CR"/>
        </w:rPr>
        <w:t xml:space="preserve"> </w:t>
      </w:r>
      <w:r w:rsidR="003C2BD7">
        <w:rPr>
          <w:rFonts w:ascii="Verdana" w:hAnsi="Verdana"/>
          <w:iCs/>
          <w:sz w:val="16"/>
          <w:szCs w:val="16"/>
          <w:lang w:val="es-CR"/>
        </w:rPr>
        <w:t>nota 3</w:t>
      </w:r>
      <w:r w:rsidR="00586ECA">
        <w:rPr>
          <w:rFonts w:ascii="Verdana" w:hAnsi="Verdana"/>
          <w:iCs/>
          <w:sz w:val="16"/>
          <w:szCs w:val="16"/>
          <w:lang w:val="es-CR"/>
        </w:rPr>
        <w:t>0</w:t>
      </w:r>
      <w:r w:rsidR="003C2BD7" w:rsidRPr="00FB3B6F">
        <w:rPr>
          <w:rFonts w:ascii="Verdana" w:hAnsi="Verdana"/>
          <w:sz w:val="16"/>
          <w:szCs w:val="16"/>
          <w:lang w:val="es-CR"/>
        </w:rPr>
        <w:t xml:space="preserve">, párr. 138; </w:t>
      </w:r>
      <w:r w:rsidR="003C2BD7" w:rsidRPr="00FB3B6F">
        <w:rPr>
          <w:rFonts w:ascii="Verdana" w:hAnsi="Verdana"/>
          <w:i/>
          <w:sz w:val="16"/>
          <w:szCs w:val="16"/>
          <w:lang w:val="es-CR"/>
        </w:rPr>
        <w:t xml:space="preserve">Caso Colindres </w:t>
      </w:r>
      <w:proofErr w:type="spellStart"/>
      <w:r w:rsidR="003C2BD7" w:rsidRPr="00FB3B6F">
        <w:rPr>
          <w:rFonts w:ascii="Verdana" w:hAnsi="Verdana"/>
          <w:i/>
          <w:sz w:val="16"/>
          <w:szCs w:val="16"/>
          <w:lang w:val="es-CR"/>
        </w:rPr>
        <w:t>Schonenberg</w:t>
      </w:r>
      <w:proofErr w:type="spellEnd"/>
      <w:r w:rsidR="003C2BD7" w:rsidRPr="00FB3B6F">
        <w:rPr>
          <w:rFonts w:ascii="Verdana" w:hAnsi="Verdana"/>
          <w:i/>
          <w:sz w:val="16"/>
          <w:szCs w:val="16"/>
          <w:lang w:val="es-CR"/>
        </w:rPr>
        <w:t xml:space="preserve"> Vs. El Salvador. Fondo,</w:t>
      </w:r>
      <w:r w:rsidR="003C2BD7" w:rsidRPr="00FB3B6F">
        <w:rPr>
          <w:rFonts w:ascii="Verdana" w:hAnsi="Verdana"/>
          <w:i/>
          <w:spacing w:val="1"/>
          <w:sz w:val="16"/>
          <w:szCs w:val="16"/>
          <w:lang w:val="es-CR"/>
        </w:rPr>
        <w:t xml:space="preserve"> </w:t>
      </w:r>
      <w:r w:rsidR="003C2BD7" w:rsidRPr="00FB3B6F">
        <w:rPr>
          <w:rFonts w:ascii="Verdana" w:hAnsi="Verdana"/>
          <w:i/>
          <w:sz w:val="16"/>
          <w:szCs w:val="16"/>
          <w:lang w:val="es-CR"/>
        </w:rPr>
        <w:t xml:space="preserve">Reparaciones y Costas. </w:t>
      </w:r>
      <w:r w:rsidR="003C2BD7" w:rsidRPr="00FB3B6F">
        <w:rPr>
          <w:rFonts w:ascii="Verdana" w:hAnsi="Verdana"/>
          <w:sz w:val="16"/>
          <w:szCs w:val="16"/>
          <w:lang w:val="es-CR"/>
        </w:rPr>
        <w:t xml:space="preserve">Sentencia de 4 de febrero de 2019. Serie C No. 373, párr. 93, y </w:t>
      </w:r>
      <w:r w:rsidR="003C2BD7" w:rsidRPr="00FB3B6F">
        <w:rPr>
          <w:rFonts w:ascii="Verdana" w:hAnsi="Verdana"/>
          <w:i/>
          <w:sz w:val="16"/>
          <w:szCs w:val="16"/>
          <w:lang w:val="es-CR"/>
        </w:rPr>
        <w:t>Caso Moya Solís Vs. Perú, supra</w:t>
      </w:r>
      <w:r w:rsidR="003C2BD7">
        <w:rPr>
          <w:rFonts w:ascii="Verdana" w:hAnsi="Verdana"/>
          <w:i/>
          <w:sz w:val="16"/>
          <w:szCs w:val="16"/>
          <w:lang w:val="es-CR"/>
        </w:rPr>
        <w:t xml:space="preserve"> </w:t>
      </w:r>
      <w:r w:rsidR="003C2BD7">
        <w:rPr>
          <w:rFonts w:ascii="Verdana" w:hAnsi="Verdana"/>
          <w:iCs/>
          <w:sz w:val="16"/>
          <w:szCs w:val="16"/>
          <w:lang w:val="es-CR"/>
        </w:rPr>
        <w:t>nota</w:t>
      </w:r>
      <w:r w:rsidR="006D1222">
        <w:rPr>
          <w:rFonts w:ascii="Verdana" w:hAnsi="Verdana"/>
          <w:iCs/>
          <w:sz w:val="16"/>
          <w:szCs w:val="16"/>
          <w:lang w:val="es-CR"/>
        </w:rPr>
        <w:t xml:space="preserve"> </w:t>
      </w:r>
      <w:proofErr w:type="gramStart"/>
      <w:r w:rsidR="006D1222">
        <w:rPr>
          <w:rFonts w:ascii="Verdana" w:hAnsi="Verdana"/>
          <w:iCs/>
          <w:sz w:val="16"/>
          <w:szCs w:val="16"/>
          <w:lang w:val="es-CR"/>
        </w:rPr>
        <w:t>35</w:t>
      </w:r>
      <w:r w:rsidR="003C2BD7" w:rsidRPr="00FB3B6F">
        <w:rPr>
          <w:rFonts w:ascii="Verdana" w:hAnsi="Verdana"/>
          <w:sz w:val="16"/>
          <w:szCs w:val="16"/>
          <w:lang w:val="es-CR"/>
        </w:rPr>
        <w:t>,</w:t>
      </w:r>
      <w:r w:rsidR="003C2BD7">
        <w:rPr>
          <w:rFonts w:ascii="Verdana" w:hAnsi="Verdana"/>
          <w:sz w:val="16"/>
          <w:szCs w:val="16"/>
          <w:lang w:val="es-CR"/>
        </w:rPr>
        <w:t xml:space="preserve"> </w:t>
      </w:r>
      <w:r w:rsidR="003C2BD7" w:rsidRPr="00FB3B6F">
        <w:rPr>
          <w:rFonts w:ascii="Verdana" w:hAnsi="Verdana"/>
          <w:spacing w:val="-54"/>
          <w:sz w:val="16"/>
          <w:szCs w:val="16"/>
          <w:lang w:val="es-CR"/>
        </w:rPr>
        <w:t xml:space="preserve"> </w:t>
      </w:r>
      <w:r w:rsidR="003C2BD7">
        <w:rPr>
          <w:rFonts w:ascii="Verdana" w:hAnsi="Verdana"/>
          <w:spacing w:val="-54"/>
          <w:sz w:val="16"/>
          <w:szCs w:val="16"/>
          <w:lang w:val="es-CR"/>
        </w:rPr>
        <w:t xml:space="preserve"> </w:t>
      </w:r>
      <w:proofErr w:type="gramEnd"/>
      <w:r w:rsidR="003C2BD7" w:rsidRPr="00FB3B6F">
        <w:rPr>
          <w:rFonts w:ascii="Verdana" w:hAnsi="Verdana"/>
          <w:sz w:val="16"/>
          <w:szCs w:val="16"/>
          <w:lang w:val="es-CR"/>
        </w:rPr>
        <w:t>párr.</w:t>
      </w:r>
      <w:r w:rsidR="003C2BD7" w:rsidRPr="00FB3B6F">
        <w:rPr>
          <w:rFonts w:ascii="Verdana" w:hAnsi="Verdana"/>
          <w:spacing w:val="-1"/>
          <w:sz w:val="16"/>
          <w:szCs w:val="16"/>
          <w:lang w:val="es-CR"/>
        </w:rPr>
        <w:t xml:space="preserve"> </w:t>
      </w:r>
      <w:r w:rsidR="003C2BD7" w:rsidRPr="00FB3B6F">
        <w:rPr>
          <w:rFonts w:ascii="Verdana" w:hAnsi="Verdana"/>
          <w:sz w:val="16"/>
          <w:szCs w:val="16"/>
          <w:lang w:val="es-CR"/>
        </w:rPr>
        <w:t>109</w:t>
      </w:r>
      <w:r w:rsidRPr="00FB3B6F">
        <w:rPr>
          <w:rFonts w:ascii="Verdana" w:hAnsi="Verdana"/>
          <w:sz w:val="16"/>
          <w:szCs w:val="16"/>
          <w:lang w:val="es-CR"/>
        </w:rPr>
        <w:t>.</w:t>
      </w:r>
    </w:p>
  </w:footnote>
  <w:footnote w:id="38">
    <w:p w14:paraId="1772A821" w14:textId="4BDF5D62" w:rsidR="00FB3B6F" w:rsidRPr="003C2BD7" w:rsidRDefault="00FB3B6F" w:rsidP="003C2BD7">
      <w:pPr>
        <w:pStyle w:val="Textonotapie"/>
        <w:tabs>
          <w:tab w:val="left" w:pos="567"/>
        </w:tabs>
        <w:jc w:val="both"/>
        <w:rPr>
          <w:rFonts w:ascii="Verdana" w:hAnsi="Verdana" w:cs="Arial"/>
          <w:sz w:val="16"/>
          <w:szCs w:val="16"/>
          <w:shd w:val="clear" w:color="auto" w:fill="FFFFFF"/>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rPr>
        <w:tab/>
      </w:r>
      <w:r w:rsidR="003C2BD7" w:rsidRPr="00FB3B6F">
        <w:rPr>
          <w:rFonts w:ascii="Verdana" w:hAnsi="Verdana"/>
          <w:i/>
          <w:sz w:val="16"/>
          <w:szCs w:val="16"/>
          <w:lang w:val="es-CR"/>
        </w:rPr>
        <w:t>C</w:t>
      </w:r>
      <w:r w:rsidR="003C2BD7">
        <w:rPr>
          <w:rFonts w:ascii="Verdana" w:hAnsi="Verdana"/>
          <w:i/>
          <w:sz w:val="16"/>
          <w:szCs w:val="16"/>
          <w:lang w:val="es-CR"/>
        </w:rPr>
        <w:t>fr. C</w:t>
      </w:r>
      <w:r w:rsidR="003C2BD7" w:rsidRPr="00FB3B6F">
        <w:rPr>
          <w:rFonts w:ascii="Verdana" w:hAnsi="Verdana"/>
          <w:i/>
          <w:sz w:val="16"/>
          <w:szCs w:val="16"/>
          <w:lang w:val="es-CR"/>
        </w:rPr>
        <w:t>aso Moya Solís Vs. Perú, supra</w:t>
      </w:r>
      <w:r w:rsidR="003C2BD7">
        <w:rPr>
          <w:rFonts w:ascii="Verdana" w:hAnsi="Verdana"/>
          <w:i/>
          <w:sz w:val="16"/>
          <w:szCs w:val="16"/>
          <w:lang w:val="es-CR"/>
        </w:rPr>
        <w:t xml:space="preserve"> </w:t>
      </w:r>
      <w:r w:rsidR="003C2BD7">
        <w:rPr>
          <w:rFonts w:ascii="Verdana" w:hAnsi="Verdana"/>
          <w:iCs/>
          <w:sz w:val="16"/>
          <w:szCs w:val="16"/>
          <w:lang w:val="es-CR"/>
        </w:rPr>
        <w:t>nota</w:t>
      </w:r>
      <w:r w:rsidR="006D1222">
        <w:rPr>
          <w:rFonts w:ascii="Verdana" w:hAnsi="Verdana"/>
          <w:iCs/>
          <w:sz w:val="16"/>
          <w:szCs w:val="16"/>
          <w:lang w:val="es-CR"/>
        </w:rPr>
        <w:t xml:space="preserve"> </w:t>
      </w:r>
      <w:proofErr w:type="gramStart"/>
      <w:r w:rsidR="006D1222">
        <w:rPr>
          <w:rFonts w:ascii="Verdana" w:hAnsi="Verdana"/>
          <w:iCs/>
          <w:sz w:val="16"/>
          <w:szCs w:val="16"/>
          <w:lang w:val="es-CR"/>
        </w:rPr>
        <w:t>35</w:t>
      </w:r>
      <w:r w:rsidR="006D1222" w:rsidRPr="00FB3B6F">
        <w:rPr>
          <w:rFonts w:ascii="Verdana" w:hAnsi="Verdana"/>
          <w:sz w:val="16"/>
          <w:szCs w:val="16"/>
          <w:lang w:val="es-CR"/>
        </w:rPr>
        <w:t>,</w:t>
      </w:r>
      <w:r w:rsidR="006D1222">
        <w:rPr>
          <w:rFonts w:ascii="Verdana" w:hAnsi="Verdana"/>
          <w:sz w:val="16"/>
          <w:szCs w:val="16"/>
          <w:lang w:val="es-CR"/>
        </w:rPr>
        <w:t xml:space="preserve"> </w:t>
      </w:r>
      <w:r w:rsidR="006D1222" w:rsidRPr="00FB3B6F">
        <w:rPr>
          <w:rFonts w:ascii="Verdana" w:hAnsi="Verdana"/>
          <w:spacing w:val="-54"/>
          <w:sz w:val="16"/>
          <w:szCs w:val="16"/>
          <w:lang w:val="es-CR"/>
        </w:rPr>
        <w:t xml:space="preserve"> </w:t>
      </w:r>
      <w:r w:rsidR="003C2BD7" w:rsidRPr="00FB3B6F">
        <w:rPr>
          <w:rFonts w:ascii="Verdana" w:hAnsi="Verdana"/>
          <w:sz w:val="16"/>
          <w:szCs w:val="16"/>
          <w:lang w:val="es-CR"/>
        </w:rPr>
        <w:t>párr.</w:t>
      </w:r>
      <w:proofErr w:type="gramEnd"/>
      <w:r w:rsidR="003C2BD7" w:rsidRPr="00FB3B6F">
        <w:rPr>
          <w:rFonts w:ascii="Verdana" w:hAnsi="Verdana"/>
          <w:spacing w:val="-1"/>
          <w:sz w:val="16"/>
          <w:szCs w:val="16"/>
          <w:lang w:val="es-CR"/>
        </w:rPr>
        <w:t xml:space="preserve"> </w:t>
      </w:r>
      <w:r w:rsidR="003C2BD7" w:rsidRPr="00FB3B6F">
        <w:rPr>
          <w:rFonts w:ascii="Verdana" w:hAnsi="Verdana"/>
          <w:sz w:val="16"/>
          <w:szCs w:val="16"/>
          <w:lang w:val="es-CR"/>
        </w:rPr>
        <w:t>109.</w:t>
      </w:r>
      <w:r w:rsidR="003C2BD7">
        <w:rPr>
          <w:rFonts w:ascii="Verdana" w:hAnsi="Verdana"/>
          <w:sz w:val="16"/>
          <w:szCs w:val="16"/>
          <w:lang w:val="es-CR"/>
        </w:rPr>
        <w:t xml:space="preserve"> </w:t>
      </w:r>
      <w:r w:rsidR="003C2BD7" w:rsidRPr="00FB3B6F">
        <w:rPr>
          <w:rFonts w:ascii="Verdana" w:hAnsi="Verdana"/>
          <w:sz w:val="16"/>
          <w:szCs w:val="16"/>
        </w:rPr>
        <w:t>En cuanto a la garantía de estabilidad e inamovilidad en el cargo de dichas autoridades, el Tribunal ha considerado que implica, a su vez, lo siguiente: (i) que la separación del cargo debe obedecer exclusivamente a causales permitidas, ya sea por medio de un proceso que cumpla con las garantías judiciales o porque se ha cumplido el término o período del mandato; (</w:t>
      </w:r>
      <w:proofErr w:type="spellStart"/>
      <w:r w:rsidR="003C2BD7" w:rsidRPr="00FB3B6F">
        <w:rPr>
          <w:rFonts w:ascii="Verdana" w:hAnsi="Verdana"/>
          <w:sz w:val="16"/>
          <w:szCs w:val="16"/>
        </w:rPr>
        <w:t>ii</w:t>
      </w:r>
      <w:proofErr w:type="spellEnd"/>
      <w:r w:rsidR="003C2BD7" w:rsidRPr="00FB3B6F">
        <w:rPr>
          <w:rFonts w:ascii="Verdana" w:hAnsi="Verdana"/>
          <w:sz w:val="16"/>
          <w:szCs w:val="16"/>
        </w:rPr>
        <w:t>) que las juezas y los jueces solo pueden ser destituidos por faltas de disciplina graves o incompetencia, y (</w:t>
      </w:r>
      <w:proofErr w:type="spellStart"/>
      <w:r w:rsidR="003C2BD7" w:rsidRPr="00FB3B6F">
        <w:rPr>
          <w:rFonts w:ascii="Verdana" w:hAnsi="Verdana"/>
          <w:sz w:val="16"/>
          <w:szCs w:val="16"/>
        </w:rPr>
        <w:t>iii</w:t>
      </w:r>
      <w:proofErr w:type="spellEnd"/>
      <w:r w:rsidR="003C2BD7" w:rsidRPr="00FB3B6F">
        <w:rPr>
          <w:rFonts w:ascii="Verdana" w:hAnsi="Verdana"/>
          <w:sz w:val="16"/>
          <w:szCs w:val="16"/>
        </w:rPr>
        <w:t xml:space="preserve">) que todo proceso seguido contra juezas y jueces debe resolverse de acuerdo con las normas de comportamiento judicial establecidas y mediante procedimientos justos, objetivos e imparciales, según la Constitución o la ley. </w:t>
      </w:r>
      <w:r w:rsidR="003C2BD7" w:rsidRPr="00FB3B6F">
        <w:rPr>
          <w:rFonts w:ascii="Verdana" w:hAnsi="Verdana"/>
          <w:i/>
          <w:sz w:val="16"/>
          <w:szCs w:val="16"/>
          <w:lang w:val="es-CR"/>
        </w:rPr>
        <w:t>Cfr.</w:t>
      </w:r>
      <w:r w:rsidR="003C2BD7" w:rsidRPr="00FB3B6F">
        <w:rPr>
          <w:rFonts w:ascii="Verdana" w:hAnsi="Verdana"/>
          <w:i/>
          <w:spacing w:val="-1"/>
          <w:sz w:val="16"/>
          <w:szCs w:val="16"/>
          <w:lang w:val="es-CR"/>
        </w:rPr>
        <w:t xml:space="preserve"> </w:t>
      </w:r>
      <w:r w:rsidR="003C2BD7" w:rsidRPr="00FB3B6F">
        <w:rPr>
          <w:rFonts w:ascii="Verdana" w:hAnsi="Verdana"/>
          <w:i/>
          <w:sz w:val="16"/>
          <w:szCs w:val="16"/>
          <w:lang w:val="es-CR"/>
        </w:rPr>
        <w:t>Caso Reverón Trujillo Vs. Venezuela, supra</w:t>
      </w:r>
      <w:r w:rsidR="003C2BD7">
        <w:rPr>
          <w:rFonts w:ascii="Verdana" w:hAnsi="Verdana"/>
          <w:i/>
          <w:sz w:val="16"/>
          <w:szCs w:val="16"/>
          <w:lang w:val="es-CR"/>
        </w:rPr>
        <w:t xml:space="preserve"> </w:t>
      </w:r>
      <w:r w:rsidR="003C2BD7">
        <w:rPr>
          <w:rFonts w:ascii="Verdana" w:hAnsi="Verdana"/>
          <w:iCs/>
          <w:sz w:val="16"/>
          <w:szCs w:val="16"/>
          <w:lang w:val="es-CR"/>
        </w:rPr>
        <w:t>nota 3</w:t>
      </w:r>
      <w:r w:rsidR="00586ECA">
        <w:rPr>
          <w:rFonts w:ascii="Verdana" w:hAnsi="Verdana"/>
          <w:iCs/>
          <w:sz w:val="16"/>
          <w:szCs w:val="16"/>
          <w:lang w:val="es-CR"/>
        </w:rPr>
        <w:t>0</w:t>
      </w:r>
      <w:r w:rsidR="003C2BD7">
        <w:rPr>
          <w:rFonts w:ascii="Verdana" w:hAnsi="Verdana"/>
          <w:iCs/>
          <w:sz w:val="16"/>
          <w:szCs w:val="16"/>
          <w:lang w:val="es-CR"/>
        </w:rPr>
        <w:t xml:space="preserve">, </w:t>
      </w:r>
      <w:r w:rsidR="003C2BD7" w:rsidRPr="00CA432A">
        <w:rPr>
          <w:rFonts w:ascii="Verdana" w:hAnsi="Verdana"/>
          <w:sz w:val="16"/>
          <w:szCs w:val="16"/>
        </w:rPr>
        <w:t>párr. 77</w:t>
      </w:r>
      <w:r w:rsidR="003C2BD7">
        <w:rPr>
          <w:rFonts w:ascii="Verdana" w:hAnsi="Verdana" w:cs="Arial"/>
          <w:sz w:val="16"/>
          <w:szCs w:val="16"/>
          <w:shd w:val="clear" w:color="auto" w:fill="FFFFFF"/>
        </w:rPr>
        <w:t xml:space="preserve"> y </w:t>
      </w:r>
      <w:r w:rsidR="003C2BD7" w:rsidRPr="00B42D86">
        <w:rPr>
          <w:rFonts w:ascii="Verdana" w:hAnsi="Verdana"/>
          <w:i/>
          <w:iCs/>
          <w:sz w:val="16"/>
          <w:szCs w:val="16"/>
          <w:lang w:val="es-ES"/>
        </w:rPr>
        <w:t xml:space="preserve">Caso Cuya </w:t>
      </w:r>
      <w:proofErr w:type="spellStart"/>
      <w:r w:rsidR="003C2BD7" w:rsidRPr="00B42D86">
        <w:rPr>
          <w:rFonts w:ascii="Verdana" w:hAnsi="Verdana"/>
          <w:i/>
          <w:iCs/>
          <w:sz w:val="16"/>
          <w:szCs w:val="16"/>
          <w:lang w:val="es-ES"/>
        </w:rPr>
        <w:t>Lavy</w:t>
      </w:r>
      <w:proofErr w:type="spellEnd"/>
      <w:r w:rsidR="003C2BD7" w:rsidRPr="00B42D86">
        <w:rPr>
          <w:rFonts w:ascii="Verdana" w:hAnsi="Verdana"/>
          <w:i/>
          <w:iCs/>
          <w:sz w:val="16"/>
          <w:szCs w:val="16"/>
          <w:lang w:val="es-ES"/>
        </w:rPr>
        <w:t xml:space="preserve"> y otros Vs. Perú</w:t>
      </w:r>
      <w:r w:rsidR="003C2BD7">
        <w:rPr>
          <w:rFonts w:ascii="Verdana" w:hAnsi="Verdana"/>
          <w:i/>
          <w:iCs/>
          <w:sz w:val="16"/>
          <w:szCs w:val="16"/>
          <w:lang w:val="es-ES"/>
        </w:rPr>
        <w:t xml:space="preserve">, supra </w:t>
      </w:r>
      <w:r w:rsidR="003C2BD7">
        <w:rPr>
          <w:rFonts w:ascii="Verdana" w:hAnsi="Verdana"/>
          <w:sz w:val="16"/>
          <w:szCs w:val="16"/>
          <w:lang w:val="es-ES"/>
        </w:rPr>
        <w:t>nota 3</w:t>
      </w:r>
      <w:r w:rsidR="00EE3860">
        <w:rPr>
          <w:rFonts w:ascii="Verdana" w:hAnsi="Verdana"/>
          <w:sz w:val="16"/>
          <w:szCs w:val="16"/>
          <w:lang w:val="es-ES"/>
        </w:rPr>
        <w:t>2</w:t>
      </w:r>
      <w:r w:rsidR="003C2BD7">
        <w:rPr>
          <w:rFonts w:ascii="Verdana" w:hAnsi="Verdana"/>
          <w:sz w:val="16"/>
          <w:szCs w:val="16"/>
          <w:lang w:val="es-ES"/>
        </w:rPr>
        <w:t>, párr. 129</w:t>
      </w:r>
      <w:r w:rsidRPr="00FB3B6F">
        <w:rPr>
          <w:rFonts w:ascii="Verdana" w:hAnsi="Verdana" w:cs="Arial"/>
          <w:sz w:val="16"/>
          <w:szCs w:val="16"/>
          <w:shd w:val="clear" w:color="auto" w:fill="FFFFFF"/>
        </w:rPr>
        <w:t>.</w:t>
      </w:r>
    </w:p>
  </w:footnote>
  <w:footnote w:id="39">
    <w:p w14:paraId="24A8BEC6" w14:textId="52D2BB96" w:rsidR="00FB3B6F" w:rsidRPr="00FB3B6F" w:rsidRDefault="00FB3B6F" w:rsidP="00FB3B6F">
      <w:pPr>
        <w:pStyle w:val="Textonotapie"/>
        <w:tabs>
          <w:tab w:val="left" w:pos="567"/>
        </w:tabs>
        <w:jc w:val="both"/>
        <w:rPr>
          <w:rFonts w:ascii="Verdana" w:hAnsi="Verdana"/>
          <w:sz w:val="16"/>
          <w:szCs w:val="16"/>
          <w:lang w:val="es-CR"/>
        </w:rPr>
      </w:pPr>
      <w:r w:rsidRPr="00FB3B6F">
        <w:rPr>
          <w:rStyle w:val="Refdenotaalpie"/>
          <w:szCs w:val="16"/>
          <w:lang w:val="es-CR"/>
        </w:rPr>
        <w:footnoteRef/>
      </w:r>
      <w:r w:rsidRPr="00FB3B6F">
        <w:rPr>
          <w:rFonts w:ascii="Verdana" w:hAnsi="Verdana"/>
          <w:sz w:val="16"/>
          <w:szCs w:val="16"/>
          <w:lang w:val="es-CR"/>
        </w:rPr>
        <w:t xml:space="preserve"> </w:t>
      </w:r>
      <w:r w:rsidRPr="00FB3B6F">
        <w:rPr>
          <w:rFonts w:ascii="Verdana" w:hAnsi="Verdana"/>
          <w:sz w:val="16"/>
          <w:szCs w:val="16"/>
          <w:lang w:val="es-CR"/>
        </w:rPr>
        <w:tab/>
      </w:r>
      <w:r w:rsidRPr="00FB3B6F">
        <w:rPr>
          <w:rFonts w:ascii="Verdana" w:hAnsi="Verdana"/>
          <w:i/>
          <w:iCs/>
          <w:sz w:val="16"/>
          <w:szCs w:val="16"/>
          <w:lang w:val="es-CR"/>
        </w:rPr>
        <w:t>Cfr.</w:t>
      </w:r>
      <w:r w:rsidRPr="00FB3B6F">
        <w:rPr>
          <w:rFonts w:ascii="Verdana" w:hAnsi="Verdana"/>
          <w:sz w:val="16"/>
          <w:szCs w:val="16"/>
          <w:lang w:val="es-CR"/>
        </w:rPr>
        <w:t xml:space="preserve"> </w:t>
      </w:r>
      <w:r w:rsidRPr="00586ECA">
        <w:rPr>
          <w:rFonts w:ascii="Verdana" w:hAnsi="Verdana"/>
          <w:i/>
          <w:iCs/>
          <w:sz w:val="16"/>
          <w:szCs w:val="16"/>
          <w:lang w:val="es-CR"/>
        </w:rPr>
        <w:t>Caso Reverón Trujillo Vs. Venezuela, supra</w:t>
      </w:r>
      <w:r w:rsidR="00586ECA">
        <w:rPr>
          <w:rFonts w:ascii="Verdana" w:hAnsi="Verdana"/>
          <w:sz w:val="16"/>
          <w:szCs w:val="16"/>
          <w:lang w:val="es-CR"/>
        </w:rPr>
        <w:t xml:space="preserve"> nota 30</w:t>
      </w:r>
      <w:r w:rsidRPr="00FB3B6F">
        <w:rPr>
          <w:rFonts w:ascii="Verdana" w:hAnsi="Verdana"/>
          <w:sz w:val="16"/>
          <w:szCs w:val="16"/>
          <w:lang w:val="es-CR"/>
        </w:rPr>
        <w:t xml:space="preserve">, párr. 138, y </w:t>
      </w:r>
      <w:r w:rsidR="006D1222">
        <w:rPr>
          <w:rFonts w:ascii="Verdana" w:hAnsi="Verdana"/>
          <w:i/>
          <w:sz w:val="16"/>
          <w:szCs w:val="16"/>
          <w:lang w:val="es-CR"/>
        </w:rPr>
        <w:t>C</w:t>
      </w:r>
      <w:r w:rsidR="006D1222" w:rsidRPr="00FB3B6F">
        <w:rPr>
          <w:rFonts w:ascii="Verdana" w:hAnsi="Verdana"/>
          <w:i/>
          <w:sz w:val="16"/>
          <w:szCs w:val="16"/>
          <w:lang w:val="es-CR"/>
        </w:rPr>
        <w:t>aso Moya Solís Vs. Perú, supra</w:t>
      </w:r>
      <w:r w:rsidR="006D1222">
        <w:rPr>
          <w:rFonts w:ascii="Verdana" w:hAnsi="Verdana"/>
          <w:i/>
          <w:sz w:val="16"/>
          <w:szCs w:val="16"/>
          <w:lang w:val="es-CR"/>
        </w:rPr>
        <w:t xml:space="preserve"> </w:t>
      </w:r>
      <w:r w:rsidR="006D1222">
        <w:rPr>
          <w:rFonts w:ascii="Verdana" w:hAnsi="Verdana"/>
          <w:iCs/>
          <w:sz w:val="16"/>
          <w:szCs w:val="16"/>
          <w:lang w:val="es-CR"/>
        </w:rPr>
        <w:t>nota 35</w:t>
      </w:r>
      <w:r w:rsidRPr="00FB3B6F">
        <w:rPr>
          <w:rFonts w:ascii="Verdana" w:hAnsi="Verdana"/>
          <w:sz w:val="16"/>
          <w:szCs w:val="16"/>
          <w:lang w:val="es-CR"/>
        </w:rPr>
        <w:t>, párr. 109.</w:t>
      </w:r>
    </w:p>
  </w:footnote>
  <w:footnote w:id="40">
    <w:p w14:paraId="38C95BB0" w14:textId="7C9E67AA" w:rsidR="000E45A4" w:rsidRPr="000E45A4" w:rsidRDefault="000E45A4" w:rsidP="000E45A4">
      <w:pPr>
        <w:pStyle w:val="Textonotapie"/>
        <w:jc w:val="both"/>
        <w:rPr>
          <w:rFonts w:ascii="Verdana" w:hAnsi="Verdana"/>
          <w:sz w:val="16"/>
          <w:szCs w:val="16"/>
        </w:rPr>
      </w:pPr>
      <w:r w:rsidRPr="000E45A4">
        <w:rPr>
          <w:rStyle w:val="Refdenotaalpie"/>
          <w:szCs w:val="16"/>
        </w:rPr>
        <w:footnoteRef/>
      </w:r>
      <w:r w:rsidRPr="000E45A4">
        <w:rPr>
          <w:rFonts w:ascii="Verdana" w:hAnsi="Verdana"/>
          <w:sz w:val="16"/>
          <w:szCs w:val="16"/>
        </w:rPr>
        <w:t xml:space="preserve"> </w:t>
      </w:r>
      <w:r w:rsidRPr="000E45A4">
        <w:rPr>
          <w:rFonts w:ascii="Verdana" w:hAnsi="Verdana"/>
          <w:sz w:val="16"/>
          <w:szCs w:val="16"/>
        </w:rPr>
        <w:tab/>
      </w:r>
      <w:r w:rsidRPr="000E45A4">
        <w:rPr>
          <w:rFonts w:ascii="Verdana" w:hAnsi="Verdana"/>
          <w:i/>
          <w:iCs/>
          <w:sz w:val="16"/>
          <w:szCs w:val="16"/>
        </w:rPr>
        <w:t>Cfr. Caso Durand y Ugarte Vs. Perú. Medidas provisionales.</w:t>
      </w:r>
      <w:r w:rsidRPr="000E45A4">
        <w:rPr>
          <w:rFonts w:ascii="Verdana" w:hAnsi="Verdana"/>
          <w:sz w:val="16"/>
          <w:szCs w:val="16"/>
        </w:rPr>
        <w:t xml:space="preserve"> Resolución de la Corte Interamericana de Derechos Humanos de 8 de febrero de 2018, Considerando 27. </w:t>
      </w:r>
    </w:p>
  </w:footnote>
  <w:footnote w:id="41">
    <w:p w14:paraId="5BA95986" w14:textId="78EAE6C2" w:rsidR="001D56D0" w:rsidRPr="003C2BD7" w:rsidRDefault="001D56D0" w:rsidP="00FB3B6F">
      <w:pPr>
        <w:pStyle w:val="Textonotapie"/>
        <w:tabs>
          <w:tab w:val="left" w:pos="567"/>
        </w:tabs>
        <w:jc w:val="both"/>
        <w:rPr>
          <w:rFonts w:ascii="Verdana" w:hAnsi="Verdana"/>
          <w:sz w:val="16"/>
          <w:szCs w:val="16"/>
          <w:lang w:val="es-CR"/>
        </w:rPr>
      </w:pPr>
      <w:r w:rsidRPr="00FB3B6F">
        <w:rPr>
          <w:rStyle w:val="Refdenotaalpie"/>
          <w:szCs w:val="16"/>
        </w:rPr>
        <w:footnoteRef/>
      </w:r>
      <w:r w:rsidRPr="00FB3B6F">
        <w:rPr>
          <w:rFonts w:ascii="Verdana" w:hAnsi="Verdana"/>
          <w:sz w:val="16"/>
          <w:szCs w:val="16"/>
        </w:rPr>
        <w:t xml:space="preserve"> </w:t>
      </w:r>
      <w:r w:rsidRPr="00FB3B6F">
        <w:rPr>
          <w:rFonts w:ascii="Verdana" w:hAnsi="Verdana"/>
          <w:sz w:val="16"/>
          <w:szCs w:val="16"/>
        </w:rPr>
        <w:tab/>
      </w:r>
      <w:r w:rsidR="003C2BD7" w:rsidRPr="00FB3B6F">
        <w:rPr>
          <w:rFonts w:ascii="Verdana" w:hAnsi="Verdana"/>
          <w:i/>
          <w:sz w:val="16"/>
          <w:szCs w:val="16"/>
          <w:lang w:val="es-CR"/>
        </w:rPr>
        <w:t>Cfr.</w:t>
      </w:r>
      <w:r w:rsidR="003C2BD7" w:rsidRPr="00FB3B6F">
        <w:rPr>
          <w:rFonts w:ascii="Verdana" w:hAnsi="Verdana"/>
          <w:i/>
          <w:spacing w:val="-1"/>
          <w:sz w:val="16"/>
          <w:szCs w:val="16"/>
          <w:lang w:val="es-CR"/>
        </w:rPr>
        <w:t xml:space="preserve"> </w:t>
      </w:r>
      <w:r w:rsidR="003C2BD7" w:rsidRPr="0059289B">
        <w:rPr>
          <w:rFonts w:ascii="Verdana" w:hAnsi="Verdana"/>
          <w:i/>
          <w:spacing w:val="-1"/>
          <w:sz w:val="16"/>
          <w:szCs w:val="16"/>
          <w:lang w:val="es-CR"/>
        </w:rPr>
        <w:t xml:space="preserve">Caso </w:t>
      </w:r>
      <w:proofErr w:type="spellStart"/>
      <w:r w:rsidR="003C2BD7" w:rsidRPr="0059289B">
        <w:rPr>
          <w:rFonts w:ascii="Verdana" w:hAnsi="Verdana"/>
          <w:i/>
          <w:spacing w:val="-1"/>
          <w:sz w:val="16"/>
          <w:szCs w:val="16"/>
          <w:lang w:val="es-CR"/>
        </w:rPr>
        <w:t>Apitz</w:t>
      </w:r>
      <w:proofErr w:type="spellEnd"/>
      <w:r w:rsidR="003C2BD7" w:rsidRPr="0059289B">
        <w:rPr>
          <w:rFonts w:ascii="Verdana" w:hAnsi="Verdana"/>
          <w:i/>
          <w:spacing w:val="-1"/>
          <w:sz w:val="16"/>
          <w:szCs w:val="16"/>
          <w:lang w:val="es-CR"/>
        </w:rPr>
        <w:t xml:space="preserve"> Barbera y otros (“Corte Primera de lo Contencioso Administrativo”) Vs. Venezuela</w:t>
      </w:r>
      <w:r w:rsidR="003C2BD7">
        <w:rPr>
          <w:rFonts w:ascii="Verdana" w:hAnsi="Verdana"/>
          <w:i/>
          <w:spacing w:val="-1"/>
          <w:sz w:val="16"/>
          <w:szCs w:val="16"/>
          <w:lang w:val="es-CR"/>
        </w:rPr>
        <w:t xml:space="preserve">, supra </w:t>
      </w:r>
      <w:r w:rsidR="003C2BD7">
        <w:rPr>
          <w:rFonts w:ascii="Verdana" w:hAnsi="Verdana"/>
          <w:iCs/>
          <w:spacing w:val="-1"/>
          <w:sz w:val="16"/>
          <w:szCs w:val="16"/>
          <w:lang w:val="es-CR"/>
        </w:rPr>
        <w:t>nota 3</w:t>
      </w:r>
      <w:r w:rsidR="00EE3860">
        <w:rPr>
          <w:rFonts w:ascii="Verdana" w:hAnsi="Verdana"/>
          <w:iCs/>
          <w:spacing w:val="-1"/>
          <w:sz w:val="16"/>
          <w:szCs w:val="16"/>
          <w:lang w:val="es-CR"/>
        </w:rPr>
        <w:t>2</w:t>
      </w:r>
      <w:r w:rsidR="003C2BD7" w:rsidRPr="000D6069">
        <w:rPr>
          <w:rFonts w:ascii="Verdana" w:hAnsi="Verdana"/>
          <w:iCs/>
          <w:spacing w:val="-1"/>
          <w:sz w:val="16"/>
          <w:szCs w:val="16"/>
          <w:lang w:val="es-CR"/>
        </w:rPr>
        <w:t>, párr. 206</w:t>
      </w:r>
      <w:r w:rsidR="003C2BD7">
        <w:rPr>
          <w:rFonts w:ascii="Verdana" w:hAnsi="Verdana"/>
          <w:i/>
          <w:sz w:val="16"/>
          <w:szCs w:val="16"/>
          <w:lang w:val="es-CR"/>
        </w:rPr>
        <w:t xml:space="preserve"> </w:t>
      </w:r>
      <w:r w:rsidR="003C2BD7" w:rsidRPr="00FB3B6F">
        <w:rPr>
          <w:rFonts w:ascii="Verdana" w:hAnsi="Verdana"/>
          <w:sz w:val="16"/>
          <w:szCs w:val="16"/>
          <w:lang w:val="es-CR"/>
        </w:rPr>
        <w:t>y</w:t>
      </w:r>
      <w:r w:rsidR="003C2BD7">
        <w:rPr>
          <w:rFonts w:ascii="Verdana" w:hAnsi="Verdana"/>
          <w:sz w:val="16"/>
          <w:szCs w:val="16"/>
          <w:lang w:val="es-CR"/>
        </w:rPr>
        <w:t xml:space="preserve"> </w:t>
      </w:r>
      <w:r w:rsidR="003C2BD7" w:rsidRPr="00B42D86">
        <w:rPr>
          <w:rFonts w:ascii="Verdana" w:hAnsi="Verdana"/>
          <w:i/>
          <w:iCs/>
          <w:sz w:val="16"/>
          <w:szCs w:val="16"/>
          <w:lang w:val="es-ES"/>
        </w:rPr>
        <w:t xml:space="preserve">Caso Cuya </w:t>
      </w:r>
      <w:proofErr w:type="spellStart"/>
      <w:r w:rsidR="003C2BD7" w:rsidRPr="00B42D86">
        <w:rPr>
          <w:rFonts w:ascii="Verdana" w:hAnsi="Verdana"/>
          <w:i/>
          <w:iCs/>
          <w:sz w:val="16"/>
          <w:szCs w:val="16"/>
          <w:lang w:val="es-ES"/>
        </w:rPr>
        <w:t>Lavy</w:t>
      </w:r>
      <w:proofErr w:type="spellEnd"/>
      <w:r w:rsidR="003C2BD7" w:rsidRPr="00B42D86">
        <w:rPr>
          <w:rFonts w:ascii="Verdana" w:hAnsi="Verdana"/>
          <w:i/>
          <w:iCs/>
          <w:sz w:val="16"/>
          <w:szCs w:val="16"/>
          <w:lang w:val="es-ES"/>
        </w:rPr>
        <w:t xml:space="preserve"> y otros Vs. Perú</w:t>
      </w:r>
      <w:r w:rsidR="003C2BD7">
        <w:rPr>
          <w:rFonts w:ascii="Verdana" w:hAnsi="Verdana"/>
          <w:i/>
          <w:iCs/>
          <w:sz w:val="16"/>
          <w:szCs w:val="16"/>
          <w:lang w:val="es-ES"/>
        </w:rPr>
        <w:t xml:space="preserve">, supra </w:t>
      </w:r>
      <w:r w:rsidR="003C2BD7">
        <w:rPr>
          <w:rFonts w:ascii="Verdana" w:hAnsi="Verdana"/>
          <w:sz w:val="16"/>
          <w:szCs w:val="16"/>
          <w:lang w:val="es-ES"/>
        </w:rPr>
        <w:t>nota 3</w:t>
      </w:r>
      <w:r w:rsidR="00EE3860">
        <w:rPr>
          <w:rFonts w:ascii="Verdana" w:hAnsi="Verdana"/>
          <w:sz w:val="16"/>
          <w:szCs w:val="16"/>
          <w:lang w:val="es-ES"/>
        </w:rPr>
        <w:t>2</w:t>
      </w:r>
      <w:r w:rsidR="003C2BD7">
        <w:rPr>
          <w:rFonts w:ascii="Verdana" w:hAnsi="Verdana"/>
          <w:sz w:val="16"/>
          <w:szCs w:val="16"/>
          <w:lang w:val="es-ES"/>
        </w:rPr>
        <w:t>, párr. 160</w:t>
      </w:r>
      <w:r w:rsidR="003C2BD7" w:rsidRPr="00FB3B6F">
        <w:rPr>
          <w:rFonts w:ascii="Verdana" w:hAnsi="Verdana"/>
          <w:sz w:val="16"/>
          <w:szCs w:val="16"/>
          <w:lang w:val="es-C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2C52" w14:textId="77777777" w:rsidR="00961501" w:rsidRDefault="00961501" w:rsidP="00835AE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14:paraId="736428B1" w14:textId="77777777" w:rsidR="00961501" w:rsidRDefault="00961501">
    <w:pPr>
      <w:pStyle w:val="Encabezado"/>
    </w:pPr>
  </w:p>
  <w:p w14:paraId="47DE925F" w14:textId="77777777" w:rsidR="0080507B" w:rsidRDefault="008050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6903" w14:textId="77777777" w:rsidR="00961501" w:rsidRPr="00571F52" w:rsidRDefault="00961501" w:rsidP="00835AE6">
    <w:pPr>
      <w:pStyle w:val="Encabezado"/>
      <w:jc w:val="right"/>
      <w:rPr>
        <w:rFonts w:ascii="Verdana" w:hAnsi="Verdana"/>
        <w:sz w:val="16"/>
        <w:szCs w:val="16"/>
        <w:lang w:val="es-CR"/>
      </w:rPr>
    </w:pPr>
    <w:r w:rsidRPr="00571F52">
      <w:rPr>
        <w:rFonts w:ascii="Verdana" w:hAnsi="Verdana"/>
        <w:sz w:val="16"/>
        <w:szCs w:val="16"/>
        <w:lang w:val="es-CR"/>
      </w:rPr>
      <w:t>Proyecto de supervisión de cumplimiento de Sentencia</w:t>
    </w:r>
  </w:p>
  <w:p w14:paraId="386478E6" w14:textId="77777777" w:rsidR="00961501" w:rsidRPr="00430D04" w:rsidRDefault="00961501" w:rsidP="00835AE6">
    <w:pPr>
      <w:pStyle w:val="Encabezado"/>
      <w:jc w:val="right"/>
      <w:rPr>
        <w:rFonts w:ascii="Verdana" w:hAnsi="Verdana"/>
        <w:sz w:val="16"/>
        <w:szCs w:val="16"/>
        <w:lang w:val="es-CR"/>
      </w:rPr>
    </w:pPr>
    <w:r w:rsidRPr="00571F52">
      <w:rPr>
        <w:rFonts w:ascii="Verdana" w:hAnsi="Verdana"/>
        <w:sz w:val="16"/>
        <w:szCs w:val="16"/>
        <w:lang w:val="es-CR"/>
      </w:rPr>
      <w:t>Jueza Relatora Elizabeth Odio Benito-</w:t>
    </w:r>
    <w:r w:rsidRPr="00571F52">
      <w:rPr>
        <w:rFonts w:ascii="Verdana" w:hAnsi="Verdana"/>
        <w:b/>
        <w:i/>
        <w:sz w:val="16"/>
        <w:szCs w:val="16"/>
        <w:lang w:val="es-CR"/>
      </w:rPr>
      <w:t xml:space="preserve"> CONFIDENCIAL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ACC"/>
    <w:multiLevelType w:val="hybridMultilevel"/>
    <w:tmpl w:val="6268964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15C491F"/>
    <w:multiLevelType w:val="hybridMultilevel"/>
    <w:tmpl w:val="F82A25A6"/>
    <w:lvl w:ilvl="0" w:tplc="6DD85594">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16C2A69"/>
    <w:multiLevelType w:val="hybridMultilevel"/>
    <w:tmpl w:val="83CA5DE4"/>
    <w:lvl w:ilvl="0" w:tplc="84788710">
      <w:start w:val="1"/>
      <w:numFmt w:val="lowerLetter"/>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66F7B04"/>
    <w:multiLevelType w:val="hybridMultilevel"/>
    <w:tmpl w:val="F7B68356"/>
    <w:lvl w:ilvl="0" w:tplc="E7CAD90C">
      <w:start w:val="1"/>
      <w:numFmt w:val="lowerRoman"/>
      <w:lvlText w:val="%1)"/>
      <w:lvlJc w:val="left"/>
      <w:pPr>
        <w:ind w:left="1080" w:hanging="72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9BF1EB3"/>
    <w:multiLevelType w:val="hybridMultilevel"/>
    <w:tmpl w:val="2410BDC0"/>
    <w:lvl w:ilvl="0" w:tplc="BFBAEF4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CD20A07"/>
    <w:multiLevelType w:val="hybridMultilevel"/>
    <w:tmpl w:val="DE98F678"/>
    <w:lvl w:ilvl="0" w:tplc="A1FCE562">
      <w:start w:val="1"/>
      <w:numFmt w:val="lowerLetter"/>
      <w:lvlText w:val="%1)"/>
      <w:lvlJc w:val="left"/>
      <w:pPr>
        <w:ind w:left="1080" w:hanging="720"/>
      </w:pPr>
      <w:rPr>
        <w:rFonts w:ascii="Verdana" w:eastAsia="MS Mincho" w:hAnsi="Verdana"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E127795"/>
    <w:multiLevelType w:val="hybridMultilevel"/>
    <w:tmpl w:val="E4423ED0"/>
    <w:lvl w:ilvl="0" w:tplc="037ABFC0">
      <w:start w:val="1"/>
      <w:numFmt w:val="decimal"/>
      <w:lvlText w:val="%1)"/>
      <w:lvlJc w:val="left"/>
      <w:pPr>
        <w:ind w:left="1068" w:hanging="360"/>
      </w:pPr>
      <w:rPr>
        <w:rFonts w:ascii="Verdana" w:eastAsiaTheme="minorHAnsi" w:hAnsi="Verdana" w:cs="Times New Roman" w:hint="default"/>
        <w:sz w:val="16"/>
        <w:szCs w:val="16"/>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7" w15:restartNumberingAfterBreak="0">
    <w:nsid w:val="0EF45734"/>
    <w:multiLevelType w:val="hybridMultilevel"/>
    <w:tmpl w:val="0EBA5734"/>
    <w:lvl w:ilvl="0" w:tplc="FB78C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A2684D"/>
    <w:multiLevelType w:val="hybridMultilevel"/>
    <w:tmpl w:val="2468F258"/>
    <w:lvl w:ilvl="0" w:tplc="3788AFB4">
      <w:start w:val="1"/>
      <w:numFmt w:val="lowerRoman"/>
      <w:lvlText w:val="(%1)"/>
      <w:lvlJc w:val="left"/>
      <w:pPr>
        <w:ind w:left="1066" w:hanging="357"/>
      </w:pPr>
      <w:rPr>
        <w:rFonts w:ascii="Verdana" w:eastAsia="Times" w:hAnsi="Verdana" w:cs="Times New Roman"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9" w15:restartNumberingAfterBreak="0">
    <w:nsid w:val="0FC660DC"/>
    <w:multiLevelType w:val="hybridMultilevel"/>
    <w:tmpl w:val="A9A839FA"/>
    <w:lvl w:ilvl="0" w:tplc="89E47E3E">
      <w:start w:val="1"/>
      <w:numFmt w:val="lowerRoman"/>
      <w:lvlText w:val="(%1)"/>
      <w:lvlJc w:val="left"/>
      <w:pPr>
        <w:ind w:left="1066" w:hanging="357"/>
      </w:pPr>
      <w:rPr>
        <w:rFonts w:ascii="Verdana" w:eastAsia="MS Mincho" w:hAnsi="Verdana"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1970429"/>
    <w:multiLevelType w:val="hybridMultilevel"/>
    <w:tmpl w:val="F82A25A6"/>
    <w:lvl w:ilvl="0" w:tplc="6DD85594">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2882F4D"/>
    <w:multiLevelType w:val="hybridMultilevel"/>
    <w:tmpl w:val="E454E83A"/>
    <w:lvl w:ilvl="0" w:tplc="A1FCE562">
      <w:start w:val="1"/>
      <w:numFmt w:val="lowerLetter"/>
      <w:lvlText w:val="%1)"/>
      <w:lvlJc w:val="left"/>
      <w:pPr>
        <w:ind w:left="1080" w:hanging="720"/>
      </w:pPr>
      <w:rPr>
        <w:rFonts w:ascii="Verdana" w:eastAsia="MS Mincho" w:hAnsi="Verdana"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32A6788"/>
    <w:multiLevelType w:val="hybridMultilevel"/>
    <w:tmpl w:val="3E0A6296"/>
    <w:lvl w:ilvl="0" w:tplc="C25E1E0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3607254"/>
    <w:multiLevelType w:val="hybridMultilevel"/>
    <w:tmpl w:val="5400EC9E"/>
    <w:lvl w:ilvl="0" w:tplc="EA4ABC96">
      <w:start w:val="1"/>
      <w:numFmt w:val="lowerRoman"/>
      <w:lvlText w:val="(%1)"/>
      <w:lvlJc w:val="left"/>
      <w:pPr>
        <w:ind w:left="1066" w:hanging="357"/>
      </w:pPr>
      <w:rPr>
        <w:rFonts w:ascii="Verdana" w:eastAsia="Times"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4B06702"/>
    <w:multiLevelType w:val="hybridMultilevel"/>
    <w:tmpl w:val="C0C03BB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73D34E4"/>
    <w:multiLevelType w:val="hybridMultilevel"/>
    <w:tmpl w:val="E3BC4ACA"/>
    <w:lvl w:ilvl="0" w:tplc="BFEC308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8761C6B"/>
    <w:multiLevelType w:val="hybridMultilevel"/>
    <w:tmpl w:val="ED38110A"/>
    <w:lvl w:ilvl="0" w:tplc="E514B0E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9656286"/>
    <w:multiLevelType w:val="hybridMultilevel"/>
    <w:tmpl w:val="C228F7B2"/>
    <w:lvl w:ilvl="0" w:tplc="7D967C0E">
      <w:start w:val="1"/>
      <w:numFmt w:val="lowerRoman"/>
      <w:lvlText w:val="(%1)"/>
      <w:lvlJc w:val="left"/>
      <w:pPr>
        <w:ind w:left="1080" w:hanging="72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1F786912"/>
    <w:multiLevelType w:val="hybridMultilevel"/>
    <w:tmpl w:val="CF48B280"/>
    <w:lvl w:ilvl="0" w:tplc="71E008EE">
      <w:start w:val="1"/>
      <w:numFmt w:val="decimal"/>
      <w:lvlText w:val="%1."/>
      <w:lvlJc w:val="left"/>
      <w:pPr>
        <w:ind w:left="3905" w:hanging="360"/>
      </w:pPr>
      <w:rPr>
        <w:rFonts w:ascii="Verdana" w:hAnsi="Verdana" w:hint="default"/>
        <w:b w:val="0"/>
        <w:color w:val="auto"/>
        <w:sz w:val="20"/>
        <w:szCs w:val="20"/>
      </w:rPr>
    </w:lvl>
    <w:lvl w:ilvl="1" w:tplc="0D7460DE">
      <w:start w:val="1"/>
      <w:numFmt w:val="ordinal"/>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19E6D0B"/>
    <w:multiLevelType w:val="hybridMultilevel"/>
    <w:tmpl w:val="2650112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1D63A40"/>
    <w:multiLevelType w:val="hybridMultilevel"/>
    <w:tmpl w:val="19645830"/>
    <w:lvl w:ilvl="0" w:tplc="E514B0E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224027B8"/>
    <w:multiLevelType w:val="hybridMultilevel"/>
    <w:tmpl w:val="D758F4AA"/>
    <w:lvl w:ilvl="0" w:tplc="9AA42588">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25932CF0"/>
    <w:multiLevelType w:val="hybridMultilevel"/>
    <w:tmpl w:val="263E6F32"/>
    <w:lvl w:ilvl="0" w:tplc="742C2ABC">
      <w:start w:val="1"/>
      <w:numFmt w:val="decimal"/>
      <w:lvlText w:val="%1."/>
      <w:lvlJc w:val="left"/>
      <w:pPr>
        <w:ind w:left="720" w:hanging="360"/>
      </w:pPr>
      <w:rPr>
        <w:rFonts w:ascii="Verdana" w:hAnsi="Verdana" w:hint="default"/>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27BF1303"/>
    <w:multiLevelType w:val="hybridMultilevel"/>
    <w:tmpl w:val="08A6242E"/>
    <w:lvl w:ilvl="0" w:tplc="E514B0E0">
      <w:start w:val="1"/>
      <w:numFmt w:val="lowerRoman"/>
      <w:lvlText w:val="%1)"/>
      <w:lvlJc w:val="left"/>
      <w:pPr>
        <w:ind w:left="1143" w:hanging="720"/>
      </w:pPr>
      <w:rPr>
        <w:rFonts w:hint="default"/>
      </w:rPr>
    </w:lvl>
    <w:lvl w:ilvl="1" w:tplc="140A0019" w:tentative="1">
      <w:start w:val="1"/>
      <w:numFmt w:val="lowerLetter"/>
      <w:lvlText w:val="%2."/>
      <w:lvlJc w:val="left"/>
      <w:pPr>
        <w:ind w:left="1503" w:hanging="360"/>
      </w:pPr>
    </w:lvl>
    <w:lvl w:ilvl="2" w:tplc="140A001B" w:tentative="1">
      <w:start w:val="1"/>
      <w:numFmt w:val="lowerRoman"/>
      <w:lvlText w:val="%3."/>
      <w:lvlJc w:val="right"/>
      <w:pPr>
        <w:ind w:left="2223" w:hanging="180"/>
      </w:pPr>
    </w:lvl>
    <w:lvl w:ilvl="3" w:tplc="140A000F" w:tentative="1">
      <w:start w:val="1"/>
      <w:numFmt w:val="decimal"/>
      <w:lvlText w:val="%4."/>
      <w:lvlJc w:val="left"/>
      <w:pPr>
        <w:ind w:left="2943" w:hanging="360"/>
      </w:pPr>
    </w:lvl>
    <w:lvl w:ilvl="4" w:tplc="140A0019" w:tentative="1">
      <w:start w:val="1"/>
      <w:numFmt w:val="lowerLetter"/>
      <w:lvlText w:val="%5."/>
      <w:lvlJc w:val="left"/>
      <w:pPr>
        <w:ind w:left="3663" w:hanging="360"/>
      </w:pPr>
    </w:lvl>
    <w:lvl w:ilvl="5" w:tplc="140A001B" w:tentative="1">
      <w:start w:val="1"/>
      <w:numFmt w:val="lowerRoman"/>
      <w:lvlText w:val="%6."/>
      <w:lvlJc w:val="right"/>
      <w:pPr>
        <w:ind w:left="4383" w:hanging="180"/>
      </w:pPr>
    </w:lvl>
    <w:lvl w:ilvl="6" w:tplc="140A000F" w:tentative="1">
      <w:start w:val="1"/>
      <w:numFmt w:val="decimal"/>
      <w:lvlText w:val="%7."/>
      <w:lvlJc w:val="left"/>
      <w:pPr>
        <w:ind w:left="5103" w:hanging="360"/>
      </w:pPr>
    </w:lvl>
    <w:lvl w:ilvl="7" w:tplc="140A0019" w:tentative="1">
      <w:start w:val="1"/>
      <w:numFmt w:val="lowerLetter"/>
      <w:lvlText w:val="%8."/>
      <w:lvlJc w:val="left"/>
      <w:pPr>
        <w:ind w:left="5823" w:hanging="360"/>
      </w:pPr>
    </w:lvl>
    <w:lvl w:ilvl="8" w:tplc="140A001B" w:tentative="1">
      <w:start w:val="1"/>
      <w:numFmt w:val="lowerRoman"/>
      <w:lvlText w:val="%9."/>
      <w:lvlJc w:val="right"/>
      <w:pPr>
        <w:ind w:left="6543" w:hanging="180"/>
      </w:pPr>
    </w:lvl>
  </w:abstractNum>
  <w:abstractNum w:abstractNumId="24" w15:restartNumberingAfterBreak="0">
    <w:nsid w:val="2E506608"/>
    <w:multiLevelType w:val="hybridMultilevel"/>
    <w:tmpl w:val="390A8188"/>
    <w:lvl w:ilvl="0" w:tplc="4B266214">
      <w:start w:val="1"/>
      <w:numFmt w:val="lowerRoman"/>
      <w:lvlText w:val="(%1)"/>
      <w:lvlJc w:val="left"/>
      <w:pPr>
        <w:ind w:left="1080" w:hanging="720"/>
      </w:pPr>
      <w:rPr>
        <w:rFonts w:ascii="Verdana" w:hAnsi="Verdana" w:hint="default"/>
        <w:i w:val="0"/>
        <w:color w:val="28272B"/>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2FEC1A2C"/>
    <w:multiLevelType w:val="hybridMultilevel"/>
    <w:tmpl w:val="075EFD58"/>
    <w:lvl w:ilvl="0" w:tplc="BE1E274A">
      <w:start w:val="1"/>
      <w:numFmt w:val="decimal"/>
      <w:lvlText w:val="%1)"/>
      <w:lvlJc w:val="left"/>
      <w:pPr>
        <w:ind w:left="720" w:hanging="360"/>
      </w:pPr>
      <w:rPr>
        <w:rFonts w:ascii="Verdana" w:hAnsi="Verdana" w:hint="default"/>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0377C12"/>
    <w:multiLevelType w:val="hybridMultilevel"/>
    <w:tmpl w:val="856631E8"/>
    <w:lvl w:ilvl="0" w:tplc="F7CE339E">
      <w:start w:val="1"/>
      <w:numFmt w:val="upperRoman"/>
      <w:lvlText w:val="%1."/>
      <w:lvlJc w:val="left"/>
      <w:pPr>
        <w:ind w:left="1080" w:hanging="720"/>
      </w:pPr>
      <w:rPr>
        <w:rFonts w:hint="default"/>
      </w:rPr>
    </w:lvl>
    <w:lvl w:ilvl="1" w:tplc="7DEE8730">
      <w:start w:val="1"/>
      <w:numFmt w:val="lowerLetter"/>
      <w:lvlText w:val="%2."/>
      <w:lvlJc w:val="left"/>
      <w:pPr>
        <w:ind w:left="1440" w:hanging="360"/>
      </w:pPr>
      <w:rPr>
        <w:rFonts w:hint="default"/>
      </w:rPr>
    </w:lvl>
    <w:lvl w:ilvl="2" w:tplc="19EA6400">
      <w:start w:val="1"/>
      <w:numFmt w:val="lowerRoman"/>
      <w:lvlText w:val="%3)"/>
      <w:lvlJc w:val="left"/>
      <w:pPr>
        <w:ind w:left="2700" w:hanging="720"/>
      </w:pPr>
      <w:rPr>
        <w:rFonts w:eastAsiaTheme="minorHAnsi" w:hint="default"/>
        <w:i/>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39943210"/>
    <w:multiLevelType w:val="hybridMultilevel"/>
    <w:tmpl w:val="BC2C6840"/>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3F141EB9"/>
    <w:multiLevelType w:val="hybridMultilevel"/>
    <w:tmpl w:val="ED160C9C"/>
    <w:lvl w:ilvl="0" w:tplc="DD3CF70A">
      <w:start w:val="1"/>
      <w:numFmt w:val="lowerRoman"/>
      <w:lvlText w:val="(%1)"/>
      <w:lvlJc w:val="left"/>
      <w:pPr>
        <w:ind w:left="1066" w:hanging="357"/>
      </w:pPr>
      <w:rPr>
        <w:rFonts w:ascii="Verdana" w:eastAsia="Times New Roman" w:hAnsi="Verdana" w:cs="Times New Roman"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9" w15:restartNumberingAfterBreak="0">
    <w:nsid w:val="4C343AA5"/>
    <w:multiLevelType w:val="hybridMultilevel"/>
    <w:tmpl w:val="906C0816"/>
    <w:lvl w:ilvl="0" w:tplc="8370C998">
      <w:start w:val="1"/>
      <w:numFmt w:val="decimal"/>
      <w:lvlText w:val="%1)"/>
      <w:lvlJc w:val="left"/>
      <w:pPr>
        <w:ind w:left="1068" w:hanging="360"/>
      </w:pPr>
      <w:rPr>
        <w:rFonts w:ascii="Verdana" w:eastAsiaTheme="minorHAnsi" w:hAnsi="Verdana" w:cs="Times New Roman"/>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0" w15:restartNumberingAfterBreak="0">
    <w:nsid w:val="50481580"/>
    <w:multiLevelType w:val="hybridMultilevel"/>
    <w:tmpl w:val="075EFD58"/>
    <w:lvl w:ilvl="0" w:tplc="FFFFFFFF">
      <w:start w:val="1"/>
      <w:numFmt w:val="decimal"/>
      <w:lvlText w:val="%1)"/>
      <w:lvlJc w:val="left"/>
      <w:pPr>
        <w:ind w:left="720" w:hanging="360"/>
      </w:pPr>
      <w:rPr>
        <w:rFonts w:ascii="Verdana" w:hAnsi="Verdana"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045C58"/>
    <w:multiLevelType w:val="hybridMultilevel"/>
    <w:tmpl w:val="72F0EE80"/>
    <w:lvl w:ilvl="0" w:tplc="A1FCE562">
      <w:start w:val="1"/>
      <w:numFmt w:val="lowerLetter"/>
      <w:lvlText w:val="%1)"/>
      <w:lvlJc w:val="left"/>
      <w:pPr>
        <w:ind w:left="1066" w:hanging="357"/>
      </w:pPr>
      <w:rPr>
        <w:rFonts w:ascii="Verdana" w:eastAsia="MS Mincho" w:hAnsi="Verdana" w:cs="Aria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32" w15:restartNumberingAfterBreak="0">
    <w:nsid w:val="618C7B0B"/>
    <w:multiLevelType w:val="hybridMultilevel"/>
    <w:tmpl w:val="0F241C98"/>
    <w:lvl w:ilvl="0" w:tplc="8DD80A9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247051C"/>
    <w:multiLevelType w:val="hybridMultilevel"/>
    <w:tmpl w:val="5D68CC66"/>
    <w:lvl w:ilvl="0" w:tplc="A1FCE562">
      <w:start w:val="1"/>
      <w:numFmt w:val="lowerLetter"/>
      <w:lvlText w:val="%1)"/>
      <w:lvlJc w:val="left"/>
      <w:pPr>
        <w:ind w:left="1066" w:hanging="357"/>
      </w:pPr>
      <w:rPr>
        <w:rFonts w:ascii="Verdana" w:eastAsia="MS Mincho" w:hAnsi="Verdana" w:cs="Arial"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35D415A"/>
    <w:multiLevelType w:val="hybridMultilevel"/>
    <w:tmpl w:val="2AE02450"/>
    <w:lvl w:ilvl="0" w:tplc="A1FCE562">
      <w:start w:val="1"/>
      <w:numFmt w:val="lowerLetter"/>
      <w:lvlText w:val="%1)"/>
      <w:lvlJc w:val="left"/>
      <w:pPr>
        <w:ind w:left="1066" w:hanging="357"/>
      </w:pPr>
      <w:rPr>
        <w:rFonts w:ascii="Verdana" w:eastAsia="MS Mincho" w:hAnsi="Verdana"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BE97B02"/>
    <w:multiLevelType w:val="hybridMultilevel"/>
    <w:tmpl w:val="2E20DC08"/>
    <w:lvl w:ilvl="0" w:tplc="C80AD68C">
      <w:start w:val="1"/>
      <w:numFmt w:val="decimal"/>
      <w:lvlText w:val="%1."/>
      <w:lvlJc w:val="left"/>
      <w:pPr>
        <w:ind w:left="2061"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495953771">
    <w:abstractNumId w:val="18"/>
  </w:num>
  <w:num w:numId="2" w16cid:durableId="1991860407">
    <w:abstractNumId w:val="35"/>
  </w:num>
  <w:num w:numId="3" w16cid:durableId="1337999034">
    <w:abstractNumId w:val="0"/>
  </w:num>
  <w:num w:numId="4" w16cid:durableId="1526362203">
    <w:abstractNumId w:val="29"/>
  </w:num>
  <w:num w:numId="5" w16cid:durableId="935600194">
    <w:abstractNumId w:val="28"/>
  </w:num>
  <w:num w:numId="6" w16cid:durableId="1628195569">
    <w:abstractNumId w:val="31"/>
  </w:num>
  <w:num w:numId="7" w16cid:durableId="353307638">
    <w:abstractNumId w:val="8"/>
  </w:num>
  <w:num w:numId="8" w16cid:durableId="1797259787">
    <w:abstractNumId w:val="13"/>
  </w:num>
  <w:num w:numId="9" w16cid:durableId="1656101972">
    <w:abstractNumId w:val="34"/>
  </w:num>
  <w:num w:numId="10" w16cid:durableId="1333558242">
    <w:abstractNumId w:val="9"/>
  </w:num>
  <w:num w:numId="11" w16cid:durableId="1276982316">
    <w:abstractNumId w:val="33"/>
  </w:num>
  <w:num w:numId="12" w16cid:durableId="401373319">
    <w:abstractNumId w:val="10"/>
  </w:num>
  <w:num w:numId="13" w16cid:durableId="96751373">
    <w:abstractNumId w:val="20"/>
  </w:num>
  <w:num w:numId="14" w16cid:durableId="1296762969">
    <w:abstractNumId w:val="16"/>
  </w:num>
  <w:num w:numId="15" w16cid:durableId="1188369186">
    <w:abstractNumId w:val="23"/>
  </w:num>
  <w:num w:numId="16" w16cid:durableId="402142853">
    <w:abstractNumId w:val="26"/>
  </w:num>
  <w:num w:numId="17" w16cid:durableId="2146847294">
    <w:abstractNumId w:val="1"/>
  </w:num>
  <w:num w:numId="18" w16cid:durableId="1597130481">
    <w:abstractNumId w:val="4"/>
  </w:num>
  <w:num w:numId="19" w16cid:durableId="393238569">
    <w:abstractNumId w:val="17"/>
  </w:num>
  <w:num w:numId="20" w16cid:durableId="188613588">
    <w:abstractNumId w:val="24"/>
  </w:num>
  <w:num w:numId="21" w16cid:durableId="1081948464">
    <w:abstractNumId w:val="32"/>
  </w:num>
  <w:num w:numId="22" w16cid:durableId="1872062188">
    <w:abstractNumId w:val="19"/>
  </w:num>
  <w:num w:numId="23" w16cid:durableId="24643020">
    <w:abstractNumId w:val="3"/>
  </w:num>
  <w:num w:numId="24" w16cid:durableId="1675497806">
    <w:abstractNumId w:val="6"/>
  </w:num>
  <w:num w:numId="25" w16cid:durableId="945499168">
    <w:abstractNumId w:val="15"/>
  </w:num>
  <w:num w:numId="26" w16cid:durableId="872958940">
    <w:abstractNumId w:val="22"/>
  </w:num>
  <w:num w:numId="27" w16cid:durableId="108859480">
    <w:abstractNumId w:val="11"/>
  </w:num>
  <w:num w:numId="28" w16cid:durableId="1075206728">
    <w:abstractNumId w:val="5"/>
  </w:num>
  <w:num w:numId="29" w16cid:durableId="1213689542">
    <w:abstractNumId w:val="7"/>
  </w:num>
  <w:num w:numId="30" w16cid:durableId="1074359193">
    <w:abstractNumId w:val="14"/>
  </w:num>
  <w:num w:numId="31" w16cid:durableId="1974168863">
    <w:abstractNumId w:val="27"/>
  </w:num>
  <w:num w:numId="32" w16cid:durableId="1283146987">
    <w:abstractNumId w:val="25"/>
  </w:num>
  <w:num w:numId="33" w16cid:durableId="306937328">
    <w:abstractNumId w:val="21"/>
  </w:num>
  <w:num w:numId="34" w16cid:durableId="271910712">
    <w:abstractNumId w:val="12"/>
  </w:num>
  <w:num w:numId="35" w16cid:durableId="25526262">
    <w:abstractNumId w:val="2"/>
  </w:num>
  <w:num w:numId="36" w16cid:durableId="267738390">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718"/>
    <w:rsid w:val="00000778"/>
    <w:rsid w:val="0000083D"/>
    <w:rsid w:val="00001D0E"/>
    <w:rsid w:val="00001E28"/>
    <w:rsid w:val="00003477"/>
    <w:rsid w:val="00006271"/>
    <w:rsid w:val="00006B59"/>
    <w:rsid w:val="00011340"/>
    <w:rsid w:val="000133FD"/>
    <w:rsid w:val="000139C8"/>
    <w:rsid w:val="00013BBD"/>
    <w:rsid w:val="000161C4"/>
    <w:rsid w:val="00016434"/>
    <w:rsid w:val="0001745B"/>
    <w:rsid w:val="00022545"/>
    <w:rsid w:val="00022AB9"/>
    <w:rsid w:val="00023ED3"/>
    <w:rsid w:val="00025B4C"/>
    <w:rsid w:val="000275BB"/>
    <w:rsid w:val="00027733"/>
    <w:rsid w:val="00027D6F"/>
    <w:rsid w:val="000324ED"/>
    <w:rsid w:val="00033E85"/>
    <w:rsid w:val="000340CF"/>
    <w:rsid w:val="00036859"/>
    <w:rsid w:val="000405C8"/>
    <w:rsid w:val="00044735"/>
    <w:rsid w:val="00044C8D"/>
    <w:rsid w:val="00045804"/>
    <w:rsid w:val="00045B73"/>
    <w:rsid w:val="00045C0D"/>
    <w:rsid w:val="0004624F"/>
    <w:rsid w:val="00046B22"/>
    <w:rsid w:val="00046D6F"/>
    <w:rsid w:val="00046E12"/>
    <w:rsid w:val="00046F73"/>
    <w:rsid w:val="0004765E"/>
    <w:rsid w:val="0005301F"/>
    <w:rsid w:val="000536A2"/>
    <w:rsid w:val="000556D8"/>
    <w:rsid w:val="00057166"/>
    <w:rsid w:val="00060B1F"/>
    <w:rsid w:val="0006156B"/>
    <w:rsid w:val="00062BF2"/>
    <w:rsid w:val="0006511D"/>
    <w:rsid w:val="0006718F"/>
    <w:rsid w:val="000674D0"/>
    <w:rsid w:val="000679D6"/>
    <w:rsid w:val="00067BDE"/>
    <w:rsid w:val="00073665"/>
    <w:rsid w:val="00074E55"/>
    <w:rsid w:val="00077046"/>
    <w:rsid w:val="00077B9E"/>
    <w:rsid w:val="00077CAC"/>
    <w:rsid w:val="00080CA8"/>
    <w:rsid w:val="0008179F"/>
    <w:rsid w:val="0008489E"/>
    <w:rsid w:val="00085201"/>
    <w:rsid w:val="00085880"/>
    <w:rsid w:val="00087CE7"/>
    <w:rsid w:val="00087F3C"/>
    <w:rsid w:val="00090019"/>
    <w:rsid w:val="000912DA"/>
    <w:rsid w:val="00093107"/>
    <w:rsid w:val="000933E5"/>
    <w:rsid w:val="00095ED0"/>
    <w:rsid w:val="000977C9"/>
    <w:rsid w:val="00097E93"/>
    <w:rsid w:val="000A0D2A"/>
    <w:rsid w:val="000A1130"/>
    <w:rsid w:val="000A225F"/>
    <w:rsid w:val="000A4CC7"/>
    <w:rsid w:val="000A5577"/>
    <w:rsid w:val="000A6C9C"/>
    <w:rsid w:val="000A70A3"/>
    <w:rsid w:val="000A794F"/>
    <w:rsid w:val="000A7BF9"/>
    <w:rsid w:val="000B0260"/>
    <w:rsid w:val="000B323A"/>
    <w:rsid w:val="000B3B9F"/>
    <w:rsid w:val="000B463C"/>
    <w:rsid w:val="000B584B"/>
    <w:rsid w:val="000B67A6"/>
    <w:rsid w:val="000B7D17"/>
    <w:rsid w:val="000C02B7"/>
    <w:rsid w:val="000C041A"/>
    <w:rsid w:val="000C0F42"/>
    <w:rsid w:val="000C2656"/>
    <w:rsid w:val="000C26BD"/>
    <w:rsid w:val="000C3F1E"/>
    <w:rsid w:val="000C7D7E"/>
    <w:rsid w:val="000D0FB0"/>
    <w:rsid w:val="000D2845"/>
    <w:rsid w:val="000D63C7"/>
    <w:rsid w:val="000D66C4"/>
    <w:rsid w:val="000D69B4"/>
    <w:rsid w:val="000D704D"/>
    <w:rsid w:val="000D72BA"/>
    <w:rsid w:val="000D7711"/>
    <w:rsid w:val="000E0515"/>
    <w:rsid w:val="000E0B78"/>
    <w:rsid w:val="000E1905"/>
    <w:rsid w:val="000E2F76"/>
    <w:rsid w:val="000E3958"/>
    <w:rsid w:val="000E45A4"/>
    <w:rsid w:val="000E6041"/>
    <w:rsid w:val="000F19A1"/>
    <w:rsid w:val="000F2A97"/>
    <w:rsid w:val="000F2FC7"/>
    <w:rsid w:val="000F32B5"/>
    <w:rsid w:val="000F53F0"/>
    <w:rsid w:val="000F55B2"/>
    <w:rsid w:val="000F55FE"/>
    <w:rsid w:val="000F7739"/>
    <w:rsid w:val="00100460"/>
    <w:rsid w:val="00100C4A"/>
    <w:rsid w:val="00102C8C"/>
    <w:rsid w:val="001051FD"/>
    <w:rsid w:val="00106A69"/>
    <w:rsid w:val="00107027"/>
    <w:rsid w:val="00107EE9"/>
    <w:rsid w:val="0011090F"/>
    <w:rsid w:val="00112180"/>
    <w:rsid w:val="0011284E"/>
    <w:rsid w:val="00112D22"/>
    <w:rsid w:val="0011335C"/>
    <w:rsid w:val="00113428"/>
    <w:rsid w:val="00113568"/>
    <w:rsid w:val="001137FA"/>
    <w:rsid w:val="001167CB"/>
    <w:rsid w:val="0011721E"/>
    <w:rsid w:val="001177BC"/>
    <w:rsid w:val="00122C2B"/>
    <w:rsid w:val="00126FA0"/>
    <w:rsid w:val="001322BE"/>
    <w:rsid w:val="00133CF4"/>
    <w:rsid w:val="00134637"/>
    <w:rsid w:val="00135E48"/>
    <w:rsid w:val="00136304"/>
    <w:rsid w:val="00136805"/>
    <w:rsid w:val="00141675"/>
    <w:rsid w:val="00141816"/>
    <w:rsid w:val="00141BFE"/>
    <w:rsid w:val="001420BE"/>
    <w:rsid w:val="001420EB"/>
    <w:rsid w:val="0014241E"/>
    <w:rsid w:val="001426B7"/>
    <w:rsid w:val="00142AD5"/>
    <w:rsid w:val="00143205"/>
    <w:rsid w:val="001439A8"/>
    <w:rsid w:val="00143E29"/>
    <w:rsid w:val="00144CB9"/>
    <w:rsid w:val="001478D9"/>
    <w:rsid w:val="00152D0A"/>
    <w:rsid w:val="00152D41"/>
    <w:rsid w:val="00154EA3"/>
    <w:rsid w:val="001553B5"/>
    <w:rsid w:val="00155BAE"/>
    <w:rsid w:val="00160F40"/>
    <w:rsid w:val="001613F7"/>
    <w:rsid w:val="001617CC"/>
    <w:rsid w:val="00162553"/>
    <w:rsid w:val="00162931"/>
    <w:rsid w:val="00162FF6"/>
    <w:rsid w:val="00163551"/>
    <w:rsid w:val="001635A0"/>
    <w:rsid w:val="0016380E"/>
    <w:rsid w:val="00172711"/>
    <w:rsid w:val="00172B8A"/>
    <w:rsid w:val="00173CA6"/>
    <w:rsid w:val="00175BFF"/>
    <w:rsid w:val="00176183"/>
    <w:rsid w:val="00180E8E"/>
    <w:rsid w:val="00182605"/>
    <w:rsid w:val="0018346D"/>
    <w:rsid w:val="00185194"/>
    <w:rsid w:val="00190529"/>
    <w:rsid w:val="001917D1"/>
    <w:rsid w:val="00192D2F"/>
    <w:rsid w:val="00193034"/>
    <w:rsid w:val="00193F2E"/>
    <w:rsid w:val="0019446E"/>
    <w:rsid w:val="0019622D"/>
    <w:rsid w:val="00196FC9"/>
    <w:rsid w:val="001978AC"/>
    <w:rsid w:val="001A1D0A"/>
    <w:rsid w:val="001A29AA"/>
    <w:rsid w:val="001A5125"/>
    <w:rsid w:val="001A68B5"/>
    <w:rsid w:val="001A6DB0"/>
    <w:rsid w:val="001B0BA3"/>
    <w:rsid w:val="001B1372"/>
    <w:rsid w:val="001B2EFC"/>
    <w:rsid w:val="001B42E0"/>
    <w:rsid w:val="001B5E4F"/>
    <w:rsid w:val="001B604A"/>
    <w:rsid w:val="001B6507"/>
    <w:rsid w:val="001B768D"/>
    <w:rsid w:val="001C13F5"/>
    <w:rsid w:val="001C1651"/>
    <w:rsid w:val="001C2001"/>
    <w:rsid w:val="001C2275"/>
    <w:rsid w:val="001C29B1"/>
    <w:rsid w:val="001C3FC8"/>
    <w:rsid w:val="001C3FF5"/>
    <w:rsid w:val="001C46F9"/>
    <w:rsid w:val="001C549B"/>
    <w:rsid w:val="001C7498"/>
    <w:rsid w:val="001D0865"/>
    <w:rsid w:val="001D2C61"/>
    <w:rsid w:val="001D33F8"/>
    <w:rsid w:val="001D4225"/>
    <w:rsid w:val="001D4313"/>
    <w:rsid w:val="001D56D0"/>
    <w:rsid w:val="001D5B7B"/>
    <w:rsid w:val="001D5DCB"/>
    <w:rsid w:val="001E00AA"/>
    <w:rsid w:val="001E0851"/>
    <w:rsid w:val="001E092A"/>
    <w:rsid w:val="001E1DAC"/>
    <w:rsid w:val="001E2B68"/>
    <w:rsid w:val="001E37FB"/>
    <w:rsid w:val="001E42E9"/>
    <w:rsid w:val="001E43B8"/>
    <w:rsid w:val="001E4D0B"/>
    <w:rsid w:val="001F336F"/>
    <w:rsid w:val="001F65DB"/>
    <w:rsid w:val="001F6743"/>
    <w:rsid w:val="001F69B1"/>
    <w:rsid w:val="001F7740"/>
    <w:rsid w:val="001F7771"/>
    <w:rsid w:val="00200088"/>
    <w:rsid w:val="00200F0E"/>
    <w:rsid w:val="00201158"/>
    <w:rsid w:val="0020137C"/>
    <w:rsid w:val="00203743"/>
    <w:rsid w:val="002058A1"/>
    <w:rsid w:val="00205B16"/>
    <w:rsid w:val="00207551"/>
    <w:rsid w:val="00207E19"/>
    <w:rsid w:val="00210604"/>
    <w:rsid w:val="002119F7"/>
    <w:rsid w:val="002137CC"/>
    <w:rsid w:val="00221A54"/>
    <w:rsid w:val="00221AF8"/>
    <w:rsid w:val="002231A4"/>
    <w:rsid w:val="00223AB7"/>
    <w:rsid w:val="002243E4"/>
    <w:rsid w:val="002244DA"/>
    <w:rsid w:val="00224FD2"/>
    <w:rsid w:val="0022588C"/>
    <w:rsid w:val="00227AED"/>
    <w:rsid w:val="00230AB4"/>
    <w:rsid w:val="00231ED1"/>
    <w:rsid w:val="00234F45"/>
    <w:rsid w:val="00235CC3"/>
    <w:rsid w:val="00236E9A"/>
    <w:rsid w:val="00242F7C"/>
    <w:rsid w:val="00243CD2"/>
    <w:rsid w:val="00244EA8"/>
    <w:rsid w:val="00245246"/>
    <w:rsid w:val="00246C4C"/>
    <w:rsid w:val="00250C6A"/>
    <w:rsid w:val="00251BB3"/>
    <w:rsid w:val="00252735"/>
    <w:rsid w:val="00253A2E"/>
    <w:rsid w:val="0025497D"/>
    <w:rsid w:val="00255736"/>
    <w:rsid w:val="002560F9"/>
    <w:rsid w:val="00256388"/>
    <w:rsid w:val="0025722D"/>
    <w:rsid w:val="002575ED"/>
    <w:rsid w:val="00257869"/>
    <w:rsid w:val="00260F37"/>
    <w:rsid w:val="00261840"/>
    <w:rsid w:val="002634DD"/>
    <w:rsid w:val="00263833"/>
    <w:rsid w:val="002639D4"/>
    <w:rsid w:val="0026486A"/>
    <w:rsid w:val="00266308"/>
    <w:rsid w:val="0027154F"/>
    <w:rsid w:val="00274763"/>
    <w:rsid w:val="002775A1"/>
    <w:rsid w:val="00280301"/>
    <w:rsid w:val="002818AC"/>
    <w:rsid w:val="0028276B"/>
    <w:rsid w:val="00283D9F"/>
    <w:rsid w:val="00284178"/>
    <w:rsid w:val="00284DD1"/>
    <w:rsid w:val="0028644B"/>
    <w:rsid w:val="002864BF"/>
    <w:rsid w:val="002876CB"/>
    <w:rsid w:val="00291D6D"/>
    <w:rsid w:val="00293CF0"/>
    <w:rsid w:val="00294580"/>
    <w:rsid w:val="00294B29"/>
    <w:rsid w:val="00296246"/>
    <w:rsid w:val="00296D40"/>
    <w:rsid w:val="00297AA6"/>
    <w:rsid w:val="002A1301"/>
    <w:rsid w:val="002A1503"/>
    <w:rsid w:val="002A2352"/>
    <w:rsid w:val="002A2468"/>
    <w:rsid w:val="002A54F1"/>
    <w:rsid w:val="002B0150"/>
    <w:rsid w:val="002B12A6"/>
    <w:rsid w:val="002B19BB"/>
    <w:rsid w:val="002B221F"/>
    <w:rsid w:val="002B50F1"/>
    <w:rsid w:val="002B5F49"/>
    <w:rsid w:val="002B6D8C"/>
    <w:rsid w:val="002B726D"/>
    <w:rsid w:val="002B7718"/>
    <w:rsid w:val="002C16D6"/>
    <w:rsid w:val="002C26D6"/>
    <w:rsid w:val="002C39DE"/>
    <w:rsid w:val="002C5B5B"/>
    <w:rsid w:val="002C5D4F"/>
    <w:rsid w:val="002C6616"/>
    <w:rsid w:val="002C72F5"/>
    <w:rsid w:val="002D0598"/>
    <w:rsid w:val="002D06F9"/>
    <w:rsid w:val="002D083A"/>
    <w:rsid w:val="002D0D98"/>
    <w:rsid w:val="002D420E"/>
    <w:rsid w:val="002D62AD"/>
    <w:rsid w:val="002E07F9"/>
    <w:rsid w:val="002E20B3"/>
    <w:rsid w:val="002E4B9A"/>
    <w:rsid w:val="002E61F4"/>
    <w:rsid w:val="002E7C14"/>
    <w:rsid w:val="002F0A7F"/>
    <w:rsid w:val="002F0BF5"/>
    <w:rsid w:val="002F461A"/>
    <w:rsid w:val="002F4CDA"/>
    <w:rsid w:val="002F5CA7"/>
    <w:rsid w:val="002F5F14"/>
    <w:rsid w:val="002F6689"/>
    <w:rsid w:val="002F7544"/>
    <w:rsid w:val="00300386"/>
    <w:rsid w:val="00300D12"/>
    <w:rsid w:val="003010D4"/>
    <w:rsid w:val="00302627"/>
    <w:rsid w:val="0030367C"/>
    <w:rsid w:val="00303EAE"/>
    <w:rsid w:val="00303F28"/>
    <w:rsid w:val="00305146"/>
    <w:rsid w:val="003100E6"/>
    <w:rsid w:val="00316BC2"/>
    <w:rsid w:val="003215AA"/>
    <w:rsid w:val="003222DF"/>
    <w:rsid w:val="003256E8"/>
    <w:rsid w:val="00326101"/>
    <w:rsid w:val="003315FC"/>
    <w:rsid w:val="003320A9"/>
    <w:rsid w:val="00332280"/>
    <w:rsid w:val="003322C5"/>
    <w:rsid w:val="00332BA2"/>
    <w:rsid w:val="00332BC1"/>
    <w:rsid w:val="00333362"/>
    <w:rsid w:val="00334F8D"/>
    <w:rsid w:val="0033542B"/>
    <w:rsid w:val="00336DF9"/>
    <w:rsid w:val="00340065"/>
    <w:rsid w:val="003405A7"/>
    <w:rsid w:val="00341324"/>
    <w:rsid w:val="0034151B"/>
    <w:rsid w:val="00341713"/>
    <w:rsid w:val="003423C9"/>
    <w:rsid w:val="0034246E"/>
    <w:rsid w:val="00345E65"/>
    <w:rsid w:val="00346932"/>
    <w:rsid w:val="00347311"/>
    <w:rsid w:val="003476E2"/>
    <w:rsid w:val="00347C95"/>
    <w:rsid w:val="00347F2D"/>
    <w:rsid w:val="003511AD"/>
    <w:rsid w:val="00352B55"/>
    <w:rsid w:val="00352BCD"/>
    <w:rsid w:val="00352BE9"/>
    <w:rsid w:val="00353FC3"/>
    <w:rsid w:val="003553C4"/>
    <w:rsid w:val="00355A2D"/>
    <w:rsid w:val="00356F6F"/>
    <w:rsid w:val="00357E33"/>
    <w:rsid w:val="00360665"/>
    <w:rsid w:val="00361AF8"/>
    <w:rsid w:val="00362080"/>
    <w:rsid w:val="0036231C"/>
    <w:rsid w:val="00363825"/>
    <w:rsid w:val="00364C49"/>
    <w:rsid w:val="00365C13"/>
    <w:rsid w:val="00365DA7"/>
    <w:rsid w:val="00370678"/>
    <w:rsid w:val="00371068"/>
    <w:rsid w:val="00371B97"/>
    <w:rsid w:val="003753A9"/>
    <w:rsid w:val="0037568E"/>
    <w:rsid w:val="003756D9"/>
    <w:rsid w:val="00376794"/>
    <w:rsid w:val="00377AE1"/>
    <w:rsid w:val="003829C8"/>
    <w:rsid w:val="00383732"/>
    <w:rsid w:val="003847BB"/>
    <w:rsid w:val="00385BDC"/>
    <w:rsid w:val="003861DD"/>
    <w:rsid w:val="00386881"/>
    <w:rsid w:val="00386D68"/>
    <w:rsid w:val="00390355"/>
    <w:rsid w:val="00390371"/>
    <w:rsid w:val="003904C8"/>
    <w:rsid w:val="00390A04"/>
    <w:rsid w:val="0039138E"/>
    <w:rsid w:val="003927FB"/>
    <w:rsid w:val="00393B07"/>
    <w:rsid w:val="00393F72"/>
    <w:rsid w:val="00395DC8"/>
    <w:rsid w:val="00396889"/>
    <w:rsid w:val="003A2173"/>
    <w:rsid w:val="003A3CD3"/>
    <w:rsid w:val="003A6922"/>
    <w:rsid w:val="003A6EE1"/>
    <w:rsid w:val="003A7228"/>
    <w:rsid w:val="003A7F51"/>
    <w:rsid w:val="003B120C"/>
    <w:rsid w:val="003B1423"/>
    <w:rsid w:val="003B2F78"/>
    <w:rsid w:val="003B31A6"/>
    <w:rsid w:val="003B5823"/>
    <w:rsid w:val="003B690B"/>
    <w:rsid w:val="003C0131"/>
    <w:rsid w:val="003C0B66"/>
    <w:rsid w:val="003C2BD7"/>
    <w:rsid w:val="003C365D"/>
    <w:rsid w:val="003C7782"/>
    <w:rsid w:val="003D2257"/>
    <w:rsid w:val="003D283F"/>
    <w:rsid w:val="003D3AEE"/>
    <w:rsid w:val="003D5103"/>
    <w:rsid w:val="003D7250"/>
    <w:rsid w:val="003D776A"/>
    <w:rsid w:val="003E093E"/>
    <w:rsid w:val="003E1264"/>
    <w:rsid w:val="003E43EE"/>
    <w:rsid w:val="003E575C"/>
    <w:rsid w:val="003E642D"/>
    <w:rsid w:val="003E675B"/>
    <w:rsid w:val="003F0059"/>
    <w:rsid w:val="003F2747"/>
    <w:rsid w:val="003F3307"/>
    <w:rsid w:val="0040279D"/>
    <w:rsid w:val="00403820"/>
    <w:rsid w:val="00404014"/>
    <w:rsid w:val="00404898"/>
    <w:rsid w:val="00405D04"/>
    <w:rsid w:val="004079E0"/>
    <w:rsid w:val="00407A99"/>
    <w:rsid w:val="00411EE2"/>
    <w:rsid w:val="00412B76"/>
    <w:rsid w:val="00414590"/>
    <w:rsid w:val="004152F1"/>
    <w:rsid w:val="0041686C"/>
    <w:rsid w:val="00417754"/>
    <w:rsid w:val="0042136F"/>
    <w:rsid w:val="0042170A"/>
    <w:rsid w:val="004235DB"/>
    <w:rsid w:val="00423ED0"/>
    <w:rsid w:val="00425ACD"/>
    <w:rsid w:val="004263DC"/>
    <w:rsid w:val="00426443"/>
    <w:rsid w:val="004270D1"/>
    <w:rsid w:val="0043090C"/>
    <w:rsid w:val="00430E8D"/>
    <w:rsid w:val="00431677"/>
    <w:rsid w:val="00432624"/>
    <w:rsid w:val="004329FE"/>
    <w:rsid w:val="00432B44"/>
    <w:rsid w:val="004332C1"/>
    <w:rsid w:val="0043394B"/>
    <w:rsid w:val="004342ED"/>
    <w:rsid w:val="00440058"/>
    <w:rsid w:val="00440645"/>
    <w:rsid w:val="00440E2D"/>
    <w:rsid w:val="00443BE7"/>
    <w:rsid w:val="00443F13"/>
    <w:rsid w:val="004454A7"/>
    <w:rsid w:val="004456A3"/>
    <w:rsid w:val="00446944"/>
    <w:rsid w:val="00447B7C"/>
    <w:rsid w:val="00447C35"/>
    <w:rsid w:val="00452255"/>
    <w:rsid w:val="004525C7"/>
    <w:rsid w:val="0045276A"/>
    <w:rsid w:val="00452934"/>
    <w:rsid w:val="00454150"/>
    <w:rsid w:val="00454783"/>
    <w:rsid w:val="00460B11"/>
    <w:rsid w:val="00462B87"/>
    <w:rsid w:val="00462E15"/>
    <w:rsid w:val="00463DBE"/>
    <w:rsid w:val="00464048"/>
    <w:rsid w:val="004645E5"/>
    <w:rsid w:val="0046475B"/>
    <w:rsid w:val="00465099"/>
    <w:rsid w:val="00465DB8"/>
    <w:rsid w:val="004667E4"/>
    <w:rsid w:val="004701D1"/>
    <w:rsid w:val="00470B2F"/>
    <w:rsid w:val="00472663"/>
    <w:rsid w:val="0047378F"/>
    <w:rsid w:val="0047708A"/>
    <w:rsid w:val="00477842"/>
    <w:rsid w:val="00480153"/>
    <w:rsid w:val="00481779"/>
    <w:rsid w:val="00483D66"/>
    <w:rsid w:val="00483F8B"/>
    <w:rsid w:val="0048418F"/>
    <w:rsid w:val="00485665"/>
    <w:rsid w:val="00485C50"/>
    <w:rsid w:val="0048764E"/>
    <w:rsid w:val="00490A51"/>
    <w:rsid w:val="00490C00"/>
    <w:rsid w:val="00490C5E"/>
    <w:rsid w:val="00491DF4"/>
    <w:rsid w:val="00492961"/>
    <w:rsid w:val="00494AA9"/>
    <w:rsid w:val="00494F60"/>
    <w:rsid w:val="0049791D"/>
    <w:rsid w:val="004A0AB8"/>
    <w:rsid w:val="004A111F"/>
    <w:rsid w:val="004A17B2"/>
    <w:rsid w:val="004A2B1F"/>
    <w:rsid w:val="004A3878"/>
    <w:rsid w:val="004A57D2"/>
    <w:rsid w:val="004A5ACF"/>
    <w:rsid w:val="004A60F2"/>
    <w:rsid w:val="004A7B2C"/>
    <w:rsid w:val="004B028A"/>
    <w:rsid w:val="004B0FF6"/>
    <w:rsid w:val="004B1574"/>
    <w:rsid w:val="004B3013"/>
    <w:rsid w:val="004B306C"/>
    <w:rsid w:val="004B3573"/>
    <w:rsid w:val="004B4A63"/>
    <w:rsid w:val="004B5D47"/>
    <w:rsid w:val="004B6B50"/>
    <w:rsid w:val="004B71DA"/>
    <w:rsid w:val="004B73FE"/>
    <w:rsid w:val="004B7778"/>
    <w:rsid w:val="004B7FDE"/>
    <w:rsid w:val="004C2717"/>
    <w:rsid w:val="004C5C29"/>
    <w:rsid w:val="004C5CF9"/>
    <w:rsid w:val="004C649F"/>
    <w:rsid w:val="004C6C09"/>
    <w:rsid w:val="004C7C25"/>
    <w:rsid w:val="004D0F9B"/>
    <w:rsid w:val="004D12B0"/>
    <w:rsid w:val="004D24FA"/>
    <w:rsid w:val="004D2903"/>
    <w:rsid w:val="004D628E"/>
    <w:rsid w:val="004E12B5"/>
    <w:rsid w:val="004E31A8"/>
    <w:rsid w:val="004E3612"/>
    <w:rsid w:val="004E4AB8"/>
    <w:rsid w:val="004E5BB6"/>
    <w:rsid w:val="004E6D6D"/>
    <w:rsid w:val="004E7E25"/>
    <w:rsid w:val="004F1814"/>
    <w:rsid w:val="004F4E04"/>
    <w:rsid w:val="004F5C42"/>
    <w:rsid w:val="004F7291"/>
    <w:rsid w:val="0050088C"/>
    <w:rsid w:val="0050096D"/>
    <w:rsid w:val="00502527"/>
    <w:rsid w:val="00502B96"/>
    <w:rsid w:val="00503374"/>
    <w:rsid w:val="00504CA1"/>
    <w:rsid w:val="00505D56"/>
    <w:rsid w:val="00507DD8"/>
    <w:rsid w:val="00510793"/>
    <w:rsid w:val="00511138"/>
    <w:rsid w:val="005114DA"/>
    <w:rsid w:val="0051309A"/>
    <w:rsid w:val="005152B4"/>
    <w:rsid w:val="00515594"/>
    <w:rsid w:val="0051677C"/>
    <w:rsid w:val="00516F9C"/>
    <w:rsid w:val="00520643"/>
    <w:rsid w:val="005216C3"/>
    <w:rsid w:val="0052189D"/>
    <w:rsid w:val="00521B0B"/>
    <w:rsid w:val="0052288D"/>
    <w:rsid w:val="0052303C"/>
    <w:rsid w:val="0052570A"/>
    <w:rsid w:val="0052596D"/>
    <w:rsid w:val="00525AAF"/>
    <w:rsid w:val="0053104D"/>
    <w:rsid w:val="005338BE"/>
    <w:rsid w:val="00533FA4"/>
    <w:rsid w:val="00534A05"/>
    <w:rsid w:val="00534FCE"/>
    <w:rsid w:val="00535380"/>
    <w:rsid w:val="00535A78"/>
    <w:rsid w:val="0053669E"/>
    <w:rsid w:val="00536CF5"/>
    <w:rsid w:val="00537E08"/>
    <w:rsid w:val="0054141A"/>
    <w:rsid w:val="00542C44"/>
    <w:rsid w:val="00543FD5"/>
    <w:rsid w:val="00544FBC"/>
    <w:rsid w:val="00545B9A"/>
    <w:rsid w:val="00547C60"/>
    <w:rsid w:val="00551410"/>
    <w:rsid w:val="00551B57"/>
    <w:rsid w:val="00552043"/>
    <w:rsid w:val="00554190"/>
    <w:rsid w:val="00555310"/>
    <w:rsid w:val="00555E36"/>
    <w:rsid w:val="005564DD"/>
    <w:rsid w:val="005615E0"/>
    <w:rsid w:val="005623DA"/>
    <w:rsid w:val="00562692"/>
    <w:rsid w:val="0056359D"/>
    <w:rsid w:val="005651B0"/>
    <w:rsid w:val="00565486"/>
    <w:rsid w:val="0056564D"/>
    <w:rsid w:val="0056565D"/>
    <w:rsid w:val="005672CA"/>
    <w:rsid w:val="00567865"/>
    <w:rsid w:val="00570218"/>
    <w:rsid w:val="0057196A"/>
    <w:rsid w:val="005763A4"/>
    <w:rsid w:val="00577446"/>
    <w:rsid w:val="00580BFA"/>
    <w:rsid w:val="00581C2E"/>
    <w:rsid w:val="005823C0"/>
    <w:rsid w:val="00582DE9"/>
    <w:rsid w:val="005857E5"/>
    <w:rsid w:val="00586ECA"/>
    <w:rsid w:val="00587D1C"/>
    <w:rsid w:val="00587D64"/>
    <w:rsid w:val="0059060A"/>
    <w:rsid w:val="00591A49"/>
    <w:rsid w:val="00592137"/>
    <w:rsid w:val="0059606E"/>
    <w:rsid w:val="00597F2A"/>
    <w:rsid w:val="005A0CDF"/>
    <w:rsid w:val="005A3A02"/>
    <w:rsid w:val="005A3A2C"/>
    <w:rsid w:val="005A426F"/>
    <w:rsid w:val="005A7486"/>
    <w:rsid w:val="005A75A2"/>
    <w:rsid w:val="005B1A7C"/>
    <w:rsid w:val="005B3268"/>
    <w:rsid w:val="005B4F17"/>
    <w:rsid w:val="005B53CB"/>
    <w:rsid w:val="005B5C8E"/>
    <w:rsid w:val="005B7A08"/>
    <w:rsid w:val="005C03C1"/>
    <w:rsid w:val="005C1218"/>
    <w:rsid w:val="005C12DC"/>
    <w:rsid w:val="005C2011"/>
    <w:rsid w:val="005C28FF"/>
    <w:rsid w:val="005C3124"/>
    <w:rsid w:val="005C351B"/>
    <w:rsid w:val="005C4A16"/>
    <w:rsid w:val="005C54D2"/>
    <w:rsid w:val="005C5CFD"/>
    <w:rsid w:val="005C677A"/>
    <w:rsid w:val="005C7811"/>
    <w:rsid w:val="005C7B8E"/>
    <w:rsid w:val="005D1B23"/>
    <w:rsid w:val="005D1DDB"/>
    <w:rsid w:val="005D1E3D"/>
    <w:rsid w:val="005D370D"/>
    <w:rsid w:val="005D54CE"/>
    <w:rsid w:val="005D7690"/>
    <w:rsid w:val="005E37D2"/>
    <w:rsid w:val="005E4D9C"/>
    <w:rsid w:val="005E5CFB"/>
    <w:rsid w:val="005E5F5E"/>
    <w:rsid w:val="005E77A1"/>
    <w:rsid w:val="005F12A1"/>
    <w:rsid w:val="005F137B"/>
    <w:rsid w:val="005F25B0"/>
    <w:rsid w:val="005F3041"/>
    <w:rsid w:val="005F5CC0"/>
    <w:rsid w:val="005F6FAB"/>
    <w:rsid w:val="006043D7"/>
    <w:rsid w:val="00605CF4"/>
    <w:rsid w:val="006069E5"/>
    <w:rsid w:val="0061110C"/>
    <w:rsid w:val="00612C25"/>
    <w:rsid w:val="006132B8"/>
    <w:rsid w:val="00614BFC"/>
    <w:rsid w:val="00614DE3"/>
    <w:rsid w:val="006151E4"/>
    <w:rsid w:val="00616942"/>
    <w:rsid w:val="00620820"/>
    <w:rsid w:val="00620878"/>
    <w:rsid w:val="006224AA"/>
    <w:rsid w:val="0062353B"/>
    <w:rsid w:val="00624DF8"/>
    <w:rsid w:val="00624F40"/>
    <w:rsid w:val="00625EF6"/>
    <w:rsid w:val="006260FF"/>
    <w:rsid w:val="00626306"/>
    <w:rsid w:val="00630A72"/>
    <w:rsid w:val="00632739"/>
    <w:rsid w:val="00632F57"/>
    <w:rsid w:val="00633A12"/>
    <w:rsid w:val="00633A1A"/>
    <w:rsid w:val="006348F7"/>
    <w:rsid w:val="00636310"/>
    <w:rsid w:val="0063671B"/>
    <w:rsid w:val="00636B72"/>
    <w:rsid w:val="00640FA4"/>
    <w:rsid w:val="00643E75"/>
    <w:rsid w:val="00644154"/>
    <w:rsid w:val="00645611"/>
    <w:rsid w:val="00650679"/>
    <w:rsid w:val="00650B08"/>
    <w:rsid w:val="00650E69"/>
    <w:rsid w:val="006514A9"/>
    <w:rsid w:val="00651871"/>
    <w:rsid w:val="006533A3"/>
    <w:rsid w:val="00655240"/>
    <w:rsid w:val="00655869"/>
    <w:rsid w:val="00655F2E"/>
    <w:rsid w:val="0065633A"/>
    <w:rsid w:val="0066056A"/>
    <w:rsid w:val="00660CA6"/>
    <w:rsid w:val="006616E6"/>
    <w:rsid w:val="006617AB"/>
    <w:rsid w:val="00661F32"/>
    <w:rsid w:val="00662201"/>
    <w:rsid w:val="006622CE"/>
    <w:rsid w:val="00662A37"/>
    <w:rsid w:val="00664BE8"/>
    <w:rsid w:val="0066500C"/>
    <w:rsid w:val="00665331"/>
    <w:rsid w:val="0066589A"/>
    <w:rsid w:val="006665E9"/>
    <w:rsid w:val="00666B03"/>
    <w:rsid w:val="00670DBF"/>
    <w:rsid w:val="006715D6"/>
    <w:rsid w:val="00671A5E"/>
    <w:rsid w:val="00672AFB"/>
    <w:rsid w:val="00673CE2"/>
    <w:rsid w:val="00673ED6"/>
    <w:rsid w:val="00677495"/>
    <w:rsid w:val="006779E2"/>
    <w:rsid w:val="00681183"/>
    <w:rsid w:val="00682F77"/>
    <w:rsid w:val="00684EC5"/>
    <w:rsid w:val="00685BF6"/>
    <w:rsid w:val="006878E5"/>
    <w:rsid w:val="00687F9F"/>
    <w:rsid w:val="006916FA"/>
    <w:rsid w:val="00691A34"/>
    <w:rsid w:val="00693832"/>
    <w:rsid w:val="0069383A"/>
    <w:rsid w:val="00694D89"/>
    <w:rsid w:val="00696E89"/>
    <w:rsid w:val="0069763F"/>
    <w:rsid w:val="00697C5C"/>
    <w:rsid w:val="006A0908"/>
    <w:rsid w:val="006A30A1"/>
    <w:rsid w:val="006A3589"/>
    <w:rsid w:val="006A49C6"/>
    <w:rsid w:val="006A57C6"/>
    <w:rsid w:val="006A730D"/>
    <w:rsid w:val="006A7F33"/>
    <w:rsid w:val="006B1E27"/>
    <w:rsid w:val="006B2D23"/>
    <w:rsid w:val="006B6B3A"/>
    <w:rsid w:val="006B6CDE"/>
    <w:rsid w:val="006B77B9"/>
    <w:rsid w:val="006C1628"/>
    <w:rsid w:val="006C27AD"/>
    <w:rsid w:val="006C77E0"/>
    <w:rsid w:val="006D03C3"/>
    <w:rsid w:val="006D1222"/>
    <w:rsid w:val="006D1360"/>
    <w:rsid w:val="006D1CF7"/>
    <w:rsid w:val="006D384B"/>
    <w:rsid w:val="006D411F"/>
    <w:rsid w:val="006D5B43"/>
    <w:rsid w:val="006D5D6E"/>
    <w:rsid w:val="006E0326"/>
    <w:rsid w:val="006E1131"/>
    <w:rsid w:val="006E2FEA"/>
    <w:rsid w:val="006E3AAF"/>
    <w:rsid w:val="006E3B65"/>
    <w:rsid w:val="006E3C02"/>
    <w:rsid w:val="006E4967"/>
    <w:rsid w:val="006E53A8"/>
    <w:rsid w:val="006E5CB0"/>
    <w:rsid w:val="006E690A"/>
    <w:rsid w:val="006E6E15"/>
    <w:rsid w:val="006E7CEF"/>
    <w:rsid w:val="006E7CFF"/>
    <w:rsid w:val="006E7F5A"/>
    <w:rsid w:val="006F1A86"/>
    <w:rsid w:val="006F3CC3"/>
    <w:rsid w:val="006F485B"/>
    <w:rsid w:val="006F7CED"/>
    <w:rsid w:val="0070089B"/>
    <w:rsid w:val="007011B9"/>
    <w:rsid w:val="00701E76"/>
    <w:rsid w:val="0070216F"/>
    <w:rsid w:val="00706170"/>
    <w:rsid w:val="0070657C"/>
    <w:rsid w:val="007070C6"/>
    <w:rsid w:val="00707605"/>
    <w:rsid w:val="00707769"/>
    <w:rsid w:val="00707813"/>
    <w:rsid w:val="00707CFE"/>
    <w:rsid w:val="00711321"/>
    <w:rsid w:val="00712113"/>
    <w:rsid w:val="00712529"/>
    <w:rsid w:val="00713909"/>
    <w:rsid w:val="00714AEA"/>
    <w:rsid w:val="007172C7"/>
    <w:rsid w:val="00720160"/>
    <w:rsid w:val="0072182D"/>
    <w:rsid w:val="00721C18"/>
    <w:rsid w:val="00721F47"/>
    <w:rsid w:val="00722EEF"/>
    <w:rsid w:val="00723900"/>
    <w:rsid w:val="007310B8"/>
    <w:rsid w:val="00732165"/>
    <w:rsid w:val="00735C5D"/>
    <w:rsid w:val="00736E09"/>
    <w:rsid w:val="00737C7C"/>
    <w:rsid w:val="0074025F"/>
    <w:rsid w:val="00740567"/>
    <w:rsid w:val="007407C3"/>
    <w:rsid w:val="00741FCB"/>
    <w:rsid w:val="00744103"/>
    <w:rsid w:val="00746119"/>
    <w:rsid w:val="00747954"/>
    <w:rsid w:val="00750F43"/>
    <w:rsid w:val="00754FB1"/>
    <w:rsid w:val="007574D4"/>
    <w:rsid w:val="00757818"/>
    <w:rsid w:val="00760840"/>
    <w:rsid w:val="00760952"/>
    <w:rsid w:val="00760FDD"/>
    <w:rsid w:val="007627AB"/>
    <w:rsid w:val="00762920"/>
    <w:rsid w:val="00762F99"/>
    <w:rsid w:val="00764921"/>
    <w:rsid w:val="00764C73"/>
    <w:rsid w:val="00765217"/>
    <w:rsid w:val="007653B6"/>
    <w:rsid w:val="00771221"/>
    <w:rsid w:val="00772750"/>
    <w:rsid w:val="00772D07"/>
    <w:rsid w:val="00772D41"/>
    <w:rsid w:val="0077415C"/>
    <w:rsid w:val="007751BA"/>
    <w:rsid w:val="0077739C"/>
    <w:rsid w:val="00777E5B"/>
    <w:rsid w:val="00777FF0"/>
    <w:rsid w:val="00780E28"/>
    <w:rsid w:val="00781099"/>
    <w:rsid w:val="007824C5"/>
    <w:rsid w:val="007832D0"/>
    <w:rsid w:val="00783F73"/>
    <w:rsid w:val="00785663"/>
    <w:rsid w:val="00785FC6"/>
    <w:rsid w:val="00786F06"/>
    <w:rsid w:val="00791DFD"/>
    <w:rsid w:val="00791F88"/>
    <w:rsid w:val="00792BA1"/>
    <w:rsid w:val="00793710"/>
    <w:rsid w:val="00793FE5"/>
    <w:rsid w:val="007952DF"/>
    <w:rsid w:val="007955BB"/>
    <w:rsid w:val="00797344"/>
    <w:rsid w:val="007A0114"/>
    <w:rsid w:val="007A03C0"/>
    <w:rsid w:val="007A0DEC"/>
    <w:rsid w:val="007A2216"/>
    <w:rsid w:val="007A2CF3"/>
    <w:rsid w:val="007A3807"/>
    <w:rsid w:val="007A3E38"/>
    <w:rsid w:val="007A40F2"/>
    <w:rsid w:val="007A4DA1"/>
    <w:rsid w:val="007A5628"/>
    <w:rsid w:val="007A5B93"/>
    <w:rsid w:val="007A6B49"/>
    <w:rsid w:val="007B2C08"/>
    <w:rsid w:val="007B330C"/>
    <w:rsid w:val="007B3952"/>
    <w:rsid w:val="007B4BEB"/>
    <w:rsid w:val="007B4ECE"/>
    <w:rsid w:val="007B5388"/>
    <w:rsid w:val="007B5E9E"/>
    <w:rsid w:val="007C03FF"/>
    <w:rsid w:val="007C12C4"/>
    <w:rsid w:val="007C176C"/>
    <w:rsid w:val="007C245B"/>
    <w:rsid w:val="007C24DF"/>
    <w:rsid w:val="007C36EA"/>
    <w:rsid w:val="007C45C4"/>
    <w:rsid w:val="007C59FD"/>
    <w:rsid w:val="007C6413"/>
    <w:rsid w:val="007D2674"/>
    <w:rsid w:val="007D2962"/>
    <w:rsid w:val="007D3D1C"/>
    <w:rsid w:val="007D59A0"/>
    <w:rsid w:val="007D5A70"/>
    <w:rsid w:val="007D5E43"/>
    <w:rsid w:val="007D6839"/>
    <w:rsid w:val="007D6C87"/>
    <w:rsid w:val="007E045E"/>
    <w:rsid w:val="007E0968"/>
    <w:rsid w:val="007E15CC"/>
    <w:rsid w:val="007E1763"/>
    <w:rsid w:val="007E1B5C"/>
    <w:rsid w:val="007E1ECC"/>
    <w:rsid w:val="007E2110"/>
    <w:rsid w:val="007E29FC"/>
    <w:rsid w:val="007E36E8"/>
    <w:rsid w:val="007E5154"/>
    <w:rsid w:val="007E55DE"/>
    <w:rsid w:val="007E6D3E"/>
    <w:rsid w:val="007E7A92"/>
    <w:rsid w:val="007E7BD9"/>
    <w:rsid w:val="007E7E85"/>
    <w:rsid w:val="007F1949"/>
    <w:rsid w:val="007F25D0"/>
    <w:rsid w:val="007F3785"/>
    <w:rsid w:val="007F5BF9"/>
    <w:rsid w:val="007F617A"/>
    <w:rsid w:val="007F6EE9"/>
    <w:rsid w:val="007F742E"/>
    <w:rsid w:val="0080003F"/>
    <w:rsid w:val="00803292"/>
    <w:rsid w:val="008040DD"/>
    <w:rsid w:val="00804E62"/>
    <w:rsid w:val="00804EDF"/>
    <w:rsid w:val="0080507B"/>
    <w:rsid w:val="0080565E"/>
    <w:rsid w:val="008069AA"/>
    <w:rsid w:val="00807208"/>
    <w:rsid w:val="00807DED"/>
    <w:rsid w:val="00807F5C"/>
    <w:rsid w:val="0081060B"/>
    <w:rsid w:val="00810DD8"/>
    <w:rsid w:val="008118F6"/>
    <w:rsid w:val="0081511B"/>
    <w:rsid w:val="00816B8F"/>
    <w:rsid w:val="008178D0"/>
    <w:rsid w:val="00817EA8"/>
    <w:rsid w:val="00821A97"/>
    <w:rsid w:val="00822E79"/>
    <w:rsid w:val="00835AE6"/>
    <w:rsid w:val="00837E14"/>
    <w:rsid w:val="00840E0E"/>
    <w:rsid w:val="00841177"/>
    <w:rsid w:val="008423C2"/>
    <w:rsid w:val="00842FA8"/>
    <w:rsid w:val="00844780"/>
    <w:rsid w:val="008450D1"/>
    <w:rsid w:val="0084686D"/>
    <w:rsid w:val="00846BF3"/>
    <w:rsid w:val="00846D49"/>
    <w:rsid w:val="008509B0"/>
    <w:rsid w:val="0085104A"/>
    <w:rsid w:val="008544D6"/>
    <w:rsid w:val="00854612"/>
    <w:rsid w:val="00854D05"/>
    <w:rsid w:val="00854D9D"/>
    <w:rsid w:val="00856B04"/>
    <w:rsid w:val="00857190"/>
    <w:rsid w:val="0085757D"/>
    <w:rsid w:val="008604A7"/>
    <w:rsid w:val="00860A51"/>
    <w:rsid w:val="00860D51"/>
    <w:rsid w:val="00861A54"/>
    <w:rsid w:val="008634A1"/>
    <w:rsid w:val="0086409C"/>
    <w:rsid w:val="00865821"/>
    <w:rsid w:val="00866156"/>
    <w:rsid w:val="00866286"/>
    <w:rsid w:val="0086736E"/>
    <w:rsid w:val="0087004C"/>
    <w:rsid w:val="008726D9"/>
    <w:rsid w:val="00873ECD"/>
    <w:rsid w:val="008744DC"/>
    <w:rsid w:val="0087507A"/>
    <w:rsid w:val="008764EA"/>
    <w:rsid w:val="00880925"/>
    <w:rsid w:val="00884A3D"/>
    <w:rsid w:val="00884D8A"/>
    <w:rsid w:val="00887A0D"/>
    <w:rsid w:val="00890709"/>
    <w:rsid w:val="00891699"/>
    <w:rsid w:val="00894870"/>
    <w:rsid w:val="008949DD"/>
    <w:rsid w:val="0089508C"/>
    <w:rsid w:val="00895610"/>
    <w:rsid w:val="00895694"/>
    <w:rsid w:val="008957AE"/>
    <w:rsid w:val="00895C83"/>
    <w:rsid w:val="0089616C"/>
    <w:rsid w:val="00897A9E"/>
    <w:rsid w:val="008A075C"/>
    <w:rsid w:val="008A0912"/>
    <w:rsid w:val="008A0F7F"/>
    <w:rsid w:val="008A1541"/>
    <w:rsid w:val="008A1B1A"/>
    <w:rsid w:val="008A2DDE"/>
    <w:rsid w:val="008A3A55"/>
    <w:rsid w:val="008A3FE3"/>
    <w:rsid w:val="008A4902"/>
    <w:rsid w:val="008A7C8F"/>
    <w:rsid w:val="008B049C"/>
    <w:rsid w:val="008B124D"/>
    <w:rsid w:val="008B17DF"/>
    <w:rsid w:val="008B429A"/>
    <w:rsid w:val="008B5280"/>
    <w:rsid w:val="008B5591"/>
    <w:rsid w:val="008B60D8"/>
    <w:rsid w:val="008C1F70"/>
    <w:rsid w:val="008C221B"/>
    <w:rsid w:val="008C2F13"/>
    <w:rsid w:val="008C3A5A"/>
    <w:rsid w:val="008C3ED5"/>
    <w:rsid w:val="008C48B2"/>
    <w:rsid w:val="008C5C94"/>
    <w:rsid w:val="008C6778"/>
    <w:rsid w:val="008C78E1"/>
    <w:rsid w:val="008D06FC"/>
    <w:rsid w:val="008D1F37"/>
    <w:rsid w:val="008D1FE2"/>
    <w:rsid w:val="008D2A71"/>
    <w:rsid w:val="008D3700"/>
    <w:rsid w:val="008D42C6"/>
    <w:rsid w:val="008D59E6"/>
    <w:rsid w:val="008D6AEB"/>
    <w:rsid w:val="008E0AB0"/>
    <w:rsid w:val="008E74AA"/>
    <w:rsid w:val="008F015F"/>
    <w:rsid w:val="008F2A5C"/>
    <w:rsid w:val="008F3B25"/>
    <w:rsid w:val="008F3FB2"/>
    <w:rsid w:val="008F410B"/>
    <w:rsid w:val="008F531D"/>
    <w:rsid w:val="008F5B3F"/>
    <w:rsid w:val="0090189A"/>
    <w:rsid w:val="009022FF"/>
    <w:rsid w:val="0090356D"/>
    <w:rsid w:val="00904E7C"/>
    <w:rsid w:val="00906B73"/>
    <w:rsid w:val="00906C3C"/>
    <w:rsid w:val="00907514"/>
    <w:rsid w:val="00910B36"/>
    <w:rsid w:val="009117EC"/>
    <w:rsid w:val="00912579"/>
    <w:rsid w:val="00913FCD"/>
    <w:rsid w:val="0091466D"/>
    <w:rsid w:val="009154BC"/>
    <w:rsid w:val="00916A9E"/>
    <w:rsid w:val="00917363"/>
    <w:rsid w:val="009179E9"/>
    <w:rsid w:val="00920F33"/>
    <w:rsid w:val="00921DC5"/>
    <w:rsid w:val="00923C6A"/>
    <w:rsid w:val="00924FA6"/>
    <w:rsid w:val="009254F5"/>
    <w:rsid w:val="00925789"/>
    <w:rsid w:val="0092627A"/>
    <w:rsid w:val="00926C30"/>
    <w:rsid w:val="00927070"/>
    <w:rsid w:val="00930560"/>
    <w:rsid w:val="009325BF"/>
    <w:rsid w:val="00932849"/>
    <w:rsid w:val="00932F3E"/>
    <w:rsid w:val="0093317E"/>
    <w:rsid w:val="009339E0"/>
    <w:rsid w:val="00933D67"/>
    <w:rsid w:val="00936D22"/>
    <w:rsid w:val="0094084B"/>
    <w:rsid w:val="009408BC"/>
    <w:rsid w:val="009411F5"/>
    <w:rsid w:val="00942AD7"/>
    <w:rsid w:val="0094415A"/>
    <w:rsid w:val="00944884"/>
    <w:rsid w:val="00944C22"/>
    <w:rsid w:val="009456CC"/>
    <w:rsid w:val="00945EA2"/>
    <w:rsid w:val="009507A5"/>
    <w:rsid w:val="00952FB2"/>
    <w:rsid w:val="00952FF7"/>
    <w:rsid w:val="0095394E"/>
    <w:rsid w:val="00954244"/>
    <w:rsid w:val="00954D50"/>
    <w:rsid w:val="00955886"/>
    <w:rsid w:val="0095664A"/>
    <w:rsid w:val="00956C53"/>
    <w:rsid w:val="00956FDD"/>
    <w:rsid w:val="00957119"/>
    <w:rsid w:val="00957806"/>
    <w:rsid w:val="00960DCD"/>
    <w:rsid w:val="009611DB"/>
    <w:rsid w:val="00961501"/>
    <w:rsid w:val="009617CB"/>
    <w:rsid w:val="00961F20"/>
    <w:rsid w:val="00963D53"/>
    <w:rsid w:val="009645F9"/>
    <w:rsid w:val="009652A1"/>
    <w:rsid w:val="00965DA6"/>
    <w:rsid w:val="00966720"/>
    <w:rsid w:val="0096684D"/>
    <w:rsid w:val="00966A3D"/>
    <w:rsid w:val="00966A4E"/>
    <w:rsid w:val="00967631"/>
    <w:rsid w:val="0097024B"/>
    <w:rsid w:val="009708DA"/>
    <w:rsid w:val="009710ED"/>
    <w:rsid w:val="0097211D"/>
    <w:rsid w:val="009726FE"/>
    <w:rsid w:val="00976C86"/>
    <w:rsid w:val="009775D4"/>
    <w:rsid w:val="0097782D"/>
    <w:rsid w:val="00980DC8"/>
    <w:rsid w:val="0098175D"/>
    <w:rsid w:val="0098517C"/>
    <w:rsid w:val="00991B79"/>
    <w:rsid w:val="00991DF7"/>
    <w:rsid w:val="00992705"/>
    <w:rsid w:val="00993CCE"/>
    <w:rsid w:val="0099445B"/>
    <w:rsid w:val="00995DDF"/>
    <w:rsid w:val="009962C4"/>
    <w:rsid w:val="00996F94"/>
    <w:rsid w:val="00997410"/>
    <w:rsid w:val="009A118E"/>
    <w:rsid w:val="009A1796"/>
    <w:rsid w:val="009A2FBD"/>
    <w:rsid w:val="009A362D"/>
    <w:rsid w:val="009A632E"/>
    <w:rsid w:val="009A799C"/>
    <w:rsid w:val="009A7A10"/>
    <w:rsid w:val="009B02E5"/>
    <w:rsid w:val="009B0603"/>
    <w:rsid w:val="009B0ADA"/>
    <w:rsid w:val="009B0E3D"/>
    <w:rsid w:val="009B0FD1"/>
    <w:rsid w:val="009B106D"/>
    <w:rsid w:val="009B1E1F"/>
    <w:rsid w:val="009B2D76"/>
    <w:rsid w:val="009C1CE4"/>
    <w:rsid w:val="009C1D76"/>
    <w:rsid w:val="009C2D73"/>
    <w:rsid w:val="009C37CE"/>
    <w:rsid w:val="009C3E52"/>
    <w:rsid w:val="009C4ABF"/>
    <w:rsid w:val="009C7685"/>
    <w:rsid w:val="009D04CF"/>
    <w:rsid w:val="009D1AC1"/>
    <w:rsid w:val="009D2F84"/>
    <w:rsid w:val="009D300C"/>
    <w:rsid w:val="009D349F"/>
    <w:rsid w:val="009D3A8B"/>
    <w:rsid w:val="009D3C68"/>
    <w:rsid w:val="009D5241"/>
    <w:rsid w:val="009D52AC"/>
    <w:rsid w:val="009D7F51"/>
    <w:rsid w:val="009E0764"/>
    <w:rsid w:val="009E19FB"/>
    <w:rsid w:val="009E1C53"/>
    <w:rsid w:val="009E444D"/>
    <w:rsid w:val="009E4CE6"/>
    <w:rsid w:val="009E553B"/>
    <w:rsid w:val="009E6065"/>
    <w:rsid w:val="009E627E"/>
    <w:rsid w:val="009E679E"/>
    <w:rsid w:val="009F148A"/>
    <w:rsid w:val="009F1E07"/>
    <w:rsid w:val="009F2736"/>
    <w:rsid w:val="009F28BC"/>
    <w:rsid w:val="009F7EE1"/>
    <w:rsid w:val="00A0024B"/>
    <w:rsid w:val="00A0321D"/>
    <w:rsid w:val="00A04BBD"/>
    <w:rsid w:val="00A05D01"/>
    <w:rsid w:val="00A06EE2"/>
    <w:rsid w:val="00A10112"/>
    <w:rsid w:val="00A15B8B"/>
    <w:rsid w:val="00A16337"/>
    <w:rsid w:val="00A205F7"/>
    <w:rsid w:val="00A2110B"/>
    <w:rsid w:val="00A21775"/>
    <w:rsid w:val="00A22D16"/>
    <w:rsid w:val="00A2441A"/>
    <w:rsid w:val="00A254B0"/>
    <w:rsid w:val="00A2762E"/>
    <w:rsid w:val="00A2783F"/>
    <w:rsid w:val="00A27CBF"/>
    <w:rsid w:val="00A27FAD"/>
    <w:rsid w:val="00A3162A"/>
    <w:rsid w:val="00A31725"/>
    <w:rsid w:val="00A34B51"/>
    <w:rsid w:val="00A35CED"/>
    <w:rsid w:val="00A36234"/>
    <w:rsid w:val="00A36B4C"/>
    <w:rsid w:val="00A37FFE"/>
    <w:rsid w:val="00A41663"/>
    <w:rsid w:val="00A429DB"/>
    <w:rsid w:val="00A4616F"/>
    <w:rsid w:val="00A46A45"/>
    <w:rsid w:val="00A55767"/>
    <w:rsid w:val="00A56BBF"/>
    <w:rsid w:val="00A56C40"/>
    <w:rsid w:val="00A601C6"/>
    <w:rsid w:val="00A61EB0"/>
    <w:rsid w:val="00A621CF"/>
    <w:rsid w:val="00A62578"/>
    <w:rsid w:val="00A63776"/>
    <w:rsid w:val="00A640EA"/>
    <w:rsid w:val="00A657A5"/>
    <w:rsid w:val="00A6688D"/>
    <w:rsid w:val="00A73594"/>
    <w:rsid w:val="00A7493B"/>
    <w:rsid w:val="00A7799B"/>
    <w:rsid w:val="00A80689"/>
    <w:rsid w:val="00A81970"/>
    <w:rsid w:val="00A81EB8"/>
    <w:rsid w:val="00A8255C"/>
    <w:rsid w:val="00A84A9F"/>
    <w:rsid w:val="00A84D56"/>
    <w:rsid w:val="00A859F5"/>
    <w:rsid w:val="00A87F75"/>
    <w:rsid w:val="00A90518"/>
    <w:rsid w:val="00A90F63"/>
    <w:rsid w:val="00A90FD6"/>
    <w:rsid w:val="00A926EF"/>
    <w:rsid w:val="00A9322D"/>
    <w:rsid w:val="00A93274"/>
    <w:rsid w:val="00A9345B"/>
    <w:rsid w:val="00A936E3"/>
    <w:rsid w:val="00A95F9F"/>
    <w:rsid w:val="00A97019"/>
    <w:rsid w:val="00A97ACC"/>
    <w:rsid w:val="00A97D6D"/>
    <w:rsid w:val="00A97E3D"/>
    <w:rsid w:val="00AA1192"/>
    <w:rsid w:val="00AA1635"/>
    <w:rsid w:val="00AA19B9"/>
    <w:rsid w:val="00AA1F4F"/>
    <w:rsid w:val="00AA2288"/>
    <w:rsid w:val="00AA49D4"/>
    <w:rsid w:val="00AA68E9"/>
    <w:rsid w:val="00AA762E"/>
    <w:rsid w:val="00AB0004"/>
    <w:rsid w:val="00AB3581"/>
    <w:rsid w:val="00AB5854"/>
    <w:rsid w:val="00AB5C3E"/>
    <w:rsid w:val="00AB715D"/>
    <w:rsid w:val="00AB7337"/>
    <w:rsid w:val="00AC07BF"/>
    <w:rsid w:val="00AC4D6D"/>
    <w:rsid w:val="00AC7D14"/>
    <w:rsid w:val="00AD1D01"/>
    <w:rsid w:val="00AD27B1"/>
    <w:rsid w:val="00AD2D8A"/>
    <w:rsid w:val="00AD4027"/>
    <w:rsid w:val="00AD4E36"/>
    <w:rsid w:val="00AD517D"/>
    <w:rsid w:val="00AD5799"/>
    <w:rsid w:val="00AD5C31"/>
    <w:rsid w:val="00AD7ADF"/>
    <w:rsid w:val="00AE135B"/>
    <w:rsid w:val="00AE1C3B"/>
    <w:rsid w:val="00AE1C48"/>
    <w:rsid w:val="00AE1EAD"/>
    <w:rsid w:val="00AE3052"/>
    <w:rsid w:val="00AE4249"/>
    <w:rsid w:val="00AE48CE"/>
    <w:rsid w:val="00AE5525"/>
    <w:rsid w:val="00AE5E5A"/>
    <w:rsid w:val="00AE7AAF"/>
    <w:rsid w:val="00AF17D6"/>
    <w:rsid w:val="00AF5B09"/>
    <w:rsid w:val="00AF5C95"/>
    <w:rsid w:val="00AF60C1"/>
    <w:rsid w:val="00AF7DDD"/>
    <w:rsid w:val="00B00CA7"/>
    <w:rsid w:val="00B022D7"/>
    <w:rsid w:val="00B023E7"/>
    <w:rsid w:val="00B035F9"/>
    <w:rsid w:val="00B0520F"/>
    <w:rsid w:val="00B055FC"/>
    <w:rsid w:val="00B05976"/>
    <w:rsid w:val="00B06E05"/>
    <w:rsid w:val="00B076D2"/>
    <w:rsid w:val="00B078DE"/>
    <w:rsid w:val="00B07A98"/>
    <w:rsid w:val="00B12C9B"/>
    <w:rsid w:val="00B13354"/>
    <w:rsid w:val="00B157BA"/>
    <w:rsid w:val="00B160AE"/>
    <w:rsid w:val="00B168A3"/>
    <w:rsid w:val="00B17771"/>
    <w:rsid w:val="00B17BA0"/>
    <w:rsid w:val="00B21EBC"/>
    <w:rsid w:val="00B24BF8"/>
    <w:rsid w:val="00B24F96"/>
    <w:rsid w:val="00B2624E"/>
    <w:rsid w:val="00B272F1"/>
    <w:rsid w:val="00B278E8"/>
    <w:rsid w:val="00B27E79"/>
    <w:rsid w:val="00B30014"/>
    <w:rsid w:val="00B30F95"/>
    <w:rsid w:val="00B328A2"/>
    <w:rsid w:val="00B338EE"/>
    <w:rsid w:val="00B33F29"/>
    <w:rsid w:val="00B41981"/>
    <w:rsid w:val="00B422F1"/>
    <w:rsid w:val="00B44AC3"/>
    <w:rsid w:val="00B45170"/>
    <w:rsid w:val="00B465F3"/>
    <w:rsid w:val="00B46E09"/>
    <w:rsid w:val="00B47079"/>
    <w:rsid w:val="00B513A8"/>
    <w:rsid w:val="00B51468"/>
    <w:rsid w:val="00B51697"/>
    <w:rsid w:val="00B53EF0"/>
    <w:rsid w:val="00B540A9"/>
    <w:rsid w:val="00B55A3F"/>
    <w:rsid w:val="00B55AA9"/>
    <w:rsid w:val="00B65863"/>
    <w:rsid w:val="00B65C7E"/>
    <w:rsid w:val="00B660E9"/>
    <w:rsid w:val="00B661E1"/>
    <w:rsid w:val="00B662B6"/>
    <w:rsid w:val="00B66A0C"/>
    <w:rsid w:val="00B671AF"/>
    <w:rsid w:val="00B67B7E"/>
    <w:rsid w:val="00B708CF"/>
    <w:rsid w:val="00B71B06"/>
    <w:rsid w:val="00B7262B"/>
    <w:rsid w:val="00B743C8"/>
    <w:rsid w:val="00B752D4"/>
    <w:rsid w:val="00B758BA"/>
    <w:rsid w:val="00B76569"/>
    <w:rsid w:val="00B807F8"/>
    <w:rsid w:val="00B838B8"/>
    <w:rsid w:val="00B842DC"/>
    <w:rsid w:val="00B86C55"/>
    <w:rsid w:val="00B9220E"/>
    <w:rsid w:val="00B9378D"/>
    <w:rsid w:val="00B947AD"/>
    <w:rsid w:val="00B95F8F"/>
    <w:rsid w:val="00B977C7"/>
    <w:rsid w:val="00BA13EB"/>
    <w:rsid w:val="00BA6D65"/>
    <w:rsid w:val="00BB05C7"/>
    <w:rsid w:val="00BB133C"/>
    <w:rsid w:val="00BB1938"/>
    <w:rsid w:val="00BB1AF1"/>
    <w:rsid w:val="00BB2192"/>
    <w:rsid w:val="00BB2604"/>
    <w:rsid w:val="00BB2E08"/>
    <w:rsid w:val="00BB41CD"/>
    <w:rsid w:val="00BB45DD"/>
    <w:rsid w:val="00BB46E1"/>
    <w:rsid w:val="00BB4703"/>
    <w:rsid w:val="00BB52C1"/>
    <w:rsid w:val="00BB6921"/>
    <w:rsid w:val="00BB6CDC"/>
    <w:rsid w:val="00BC1BB7"/>
    <w:rsid w:val="00BC2C64"/>
    <w:rsid w:val="00BC3D10"/>
    <w:rsid w:val="00BC564C"/>
    <w:rsid w:val="00BC69BF"/>
    <w:rsid w:val="00BC7311"/>
    <w:rsid w:val="00BC737F"/>
    <w:rsid w:val="00BD006A"/>
    <w:rsid w:val="00BD103E"/>
    <w:rsid w:val="00BD2F62"/>
    <w:rsid w:val="00BD3565"/>
    <w:rsid w:val="00BD36F8"/>
    <w:rsid w:val="00BD7223"/>
    <w:rsid w:val="00BD7493"/>
    <w:rsid w:val="00BD7EE0"/>
    <w:rsid w:val="00BE0EFF"/>
    <w:rsid w:val="00BE1C1B"/>
    <w:rsid w:val="00BE50F5"/>
    <w:rsid w:val="00BF1438"/>
    <w:rsid w:val="00BF1755"/>
    <w:rsid w:val="00BF2CAD"/>
    <w:rsid w:val="00BF34F6"/>
    <w:rsid w:val="00BF5409"/>
    <w:rsid w:val="00BF7750"/>
    <w:rsid w:val="00C0001F"/>
    <w:rsid w:val="00C00E22"/>
    <w:rsid w:val="00C02993"/>
    <w:rsid w:val="00C03299"/>
    <w:rsid w:val="00C043A0"/>
    <w:rsid w:val="00C048D8"/>
    <w:rsid w:val="00C05FD4"/>
    <w:rsid w:val="00C102F9"/>
    <w:rsid w:val="00C11884"/>
    <w:rsid w:val="00C12C1C"/>
    <w:rsid w:val="00C15888"/>
    <w:rsid w:val="00C15D17"/>
    <w:rsid w:val="00C173D1"/>
    <w:rsid w:val="00C2050D"/>
    <w:rsid w:val="00C2210D"/>
    <w:rsid w:val="00C22541"/>
    <w:rsid w:val="00C2279C"/>
    <w:rsid w:val="00C234AE"/>
    <w:rsid w:val="00C25120"/>
    <w:rsid w:val="00C25C0B"/>
    <w:rsid w:val="00C264DF"/>
    <w:rsid w:val="00C268F0"/>
    <w:rsid w:val="00C30F32"/>
    <w:rsid w:val="00C33042"/>
    <w:rsid w:val="00C3321C"/>
    <w:rsid w:val="00C33993"/>
    <w:rsid w:val="00C345E6"/>
    <w:rsid w:val="00C34D56"/>
    <w:rsid w:val="00C3530A"/>
    <w:rsid w:val="00C359B4"/>
    <w:rsid w:val="00C36FB0"/>
    <w:rsid w:val="00C37CF5"/>
    <w:rsid w:val="00C40470"/>
    <w:rsid w:val="00C40A7D"/>
    <w:rsid w:val="00C4243B"/>
    <w:rsid w:val="00C43874"/>
    <w:rsid w:val="00C461B4"/>
    <w:rsid w:val="00C467E2"/>
    <w:rsid w:val="00C52993"/>
    <w:rsid w:val="00C536B3"/>
    <w:rsid w:val="00C5435A"/>
    <w:rsid w:val="00C550D7"/>
    <w:rsid w:val="00C5547A"/>
    <w:rsid w:val="00C55610"/>
    <w:rsid w:val="00C5600C"/>
    <w:rsid w:val="00C570C9"/>
    <w:rsid w:val="00C57734"/>
    <w:rsid w:val="00C57822"/>
    <w:rsid w:val="00C60067"/>
    <w:rsid w:val="00C60A50"/>
    <w:rsid w:val="00C6105A"/>
    <w:rsid w:val="00C618F3"/>
    <w:rsid w:val="00C62E87"/>
    <w:rsid w:val="00C6315D"/>
    <w:rsid w:val="00C636EC"/>
    <w:rsid w:val="00C64BB4"/>
    <w:rsid w:val="00C65103"/>
    <w:rsid w:val="00C65D9A"/>
    <w:rsid w:val="00C66DBF"/>
    <w:rsid w:val="00C679A6"/>
    <w:rsid w:val="00C7015D"/>
    <w:rsid w:val="00C7128F"/>
    <w:rsid w:val="00C7136E"/>
    <w:rsid w:val="00C713A5"/>
    <w:rsid w:val="00C717F1"/>
    <w:rsid w:val="00C7405D"/>
    <w:rsid w:val="00C74D72"/>
    <w:rsid w:val="00C755FA"/>
    <w:rsid w:val="00C76925"/>
    <w:rsid w:val="00C773FF"/>
    <w:rsid w:val="00C80800"/>
    <w:rsid w:val="00C8217E"/>
    <w:rsid w:val="00C83AFB"/>
    <w:rsid w:val="00C84368"/>
    <w:rsid w:val="00C84679"/>
    <w:rsid w:val="00C90F46"/>
    <w:rsid w:val="00C91752"/>
    <w:rsid w:val="00C91769"/>
    <w:rsid w:val="00C91FAD"/>
    <w:rsid w:val="00C92755"/>
    <w:rsid w:val="00C92B0E"/>
    <w:rsid w:val="00C93C6C"/>
    <w:rsid w:val="00CA066C"/>
    <w:rsid w:val="00CA067E"/>
    <w:rsid w:val="00CA0975"/>
    <w:rsid w:val="00CA1963"/>
    <w:rsid w:val="00CA1B2F"/>
    <w:rsid w:val="00CA2944"/>
    <w:rsid w:val="00CA2D42"/>
    <w:rsid w:val="00CA4094"/>
    <w:rsid w:val="00CA7A69"/>
    <w:rsid w:val="00CB305F"/>
    <w:rsid w:val="00CB327A"/>
    <w:rsid w:val="00CB3589"/>
    <w:rsid w:val="00CB4C74"/>
    <w:rsid w:val="00CB55AB"/>
    <w:rsid w:val="00CB62E6"/>
    <w:rsid w:val="00CB66A4"/>
    <w:rsid w:val="00CB75A6"/>
    <w:rsid w:val="00CC0B8F"/>
    <w:rsid w:val="00CC2379"/>
    <w:rsid w:val="00CC4280"/>
    <w:rsid w:val="00CC51F9"/>
    <w:rsid w:val="00CC5731"/>
    <w:rsid w:val="00CC768A"/>
    <w:rsid w:val="00CC7D5D"/>
    <w:rsid w:val="00CD16CE"/>
    <w:rsid w:val="00CD16E3"/>
    <w:rsid w:val="00CD1E8D"/>
    <w:rsid w:val="00CD23F9"/>
    <w:rsid w:val="00CD29B7"/>
    <w:rsid w:val="00CD359D"/>
    <w:rsid w:val="00CD4D32"/>
    <w:rsid w:val="00CD5EB5"/>
    <w:rsid w:val="00CD6BDA"/>
    <w:rsid w:val="00CD6EE4"/>
    <w:rsid w:val="00CD77B2"/>
    <w:rsid w:val="00CE0A2C"/>
    <w:rsid w:val="00CE360C"/>
    <w:rsid w:val="00CE6680"/>
    <w:rsid w:val="00CE753B"/>
    <w:rsid w:val="00CF1965"/>
    <w:rsid w:val="00CF3691"/>
    <w:rsid w:val="00CF43C4"/>
    <w:rsid w:val="00CF5A92"/>
    <w:rsid w:val="00CF61B1"/>
    <w:rsid w:val="00CF61B7"/>
    <w:rsid w:val="00CF68E7"/>
    <w:rsid w:val="00CF7759"/>
    <w:rsid w:val="00CF77E6"/>
    <w:rsid w:val="00D00539"/>
    <w:rsid w:val="00D00865"/>
    <w:rsid w:val="00D00DD5"/>
    <w:rsid w:val="00D00E4B"/>
    <w:rsid w:val="00D01240"/>
    <w:rsid w:val="00D0197C"/>
    <w:rsid w:val="00D023B3"/>
    <w:rsid w:val="00D02FCC"/>
    <w:rsid w:val="00D03A9E"/>
    <w:rsid w:val="00D04443"/>
    <w:rsid w:val="00D05FE3"/>
    <w:rsid w:val="00D06168"/>
    <w:rsid w:val="00D079B2"/>
    <w:rsid w:val="00D100AB"/>
    <w:rsid w:val="00D11632"/>
    <w:rsid w:val="00D11809"/>
    <w:rsid w:val="00D11995"/>
    <w:rsid w:val="00D16E9E"/>
    <w:rsid w:val="00D22557"/>
    <w:rsid w:val="00D23621"/>
    <w:rsid w:val="00D23956"/>
    <w:rsid w:val="00D23FAB"/>
    <w:rsid w:val="00D24FBD"/>
    <w:rsid w:val="00D258D4"/>
    <w:rsid w:val="00D26CE1"/>
    <w:rsid w:val="00D300D9"/>
    <w:rsid w:val="00D30108"/>
    <w:rsid w:val="00D309A9"/>
    <w:rsid w:val="00D33EB6"/>
    <w:rsid w:val="00D349C1"/>
    <w:rsid w:val="00D35445"/>
    <w:rsid w:val="00D35B53"/>
    <w:rsid w:val="00D4054E"/>
    <w:rsid w:val="00D40818"/>
    <w:rsid w:val="00D41804"/>
    <w:rsid w:val="00D41D5C"/>
    <w:rsid w:val="00D43A52"/>
    <w:rsid w:val="00D43D87"/>
    <w:rsid w:val="00D43FA2"/>
    <w:rsid w:val="00D47773"/>
    <w:rsid w:val="00D47977"/>
    <w:rsid w:val="00D47AB7"/>
    <w:rsid w:val="00D50C64"/>
    <w:rsid w:val="00D54217"/>
    <w:rsid w:val="00D542EA"/>
    <w:rsid w:val="00D543FB"/>
    <w:rsid w:val="00D565F9"/>
    <w:rsid w:val="00D5667A"/>
    <w:rsid w:val="00D56AB3"/>
    <w:rsid w:val="00D57CAE"/>
    <w:rsid w:val="00D60CF7"/>
    <w:rsid w:val="00D62A99"/>
    <w:rsid w:val="00D64B9A"/>
    <w:rsid w:val="00D71554"/>
    <w:rsid w:val="00D7155C"/>
    <w:rsid w:val="00D72339"/>
    <w:rsid w:val="00D74461"/>
    <w:rsid w:val="00D76588"/>
    <w:rsid w:val="00D76B91"/>
    <w:rsid w:val="00D80C73"/>
    <w:rsid w:val="00D815B8"/>
    <w:rsid w:val="00D842E2"/>
    <w:rsid w:val="00D84744"/>
    <w:rsid w:val="00D84A28"/>
    <w:rsid w:val="00D8611A"/>
    <w:rsid w:val="00D862F0"/>
    <w:rsid w:val="00D86D4D"/>
    <w:rsid w:val="00D921E3"/>
    <w:rsid w:val="00D94223"/>
    <w:rsid w:val="00D9515B"/>
    <w:rsid w:val="00D965BB"/>
    <w:rsid w:val="00D96909"/>
    <w:rsid w:val="00D96A04"/>
    <w:rsid w:val="00D96F49"/>
    <w:rsid w:val="00D974DE"/>
    <w:rsid w:val="00DA2A20"/>
    <w:rsid w:val="00DA50DC"/>
    <w:rsid w:val="00DA635C"/>
    <w:rsid w:val="00DB053A"/>
    <w:rsid w:val="00DB1498"/>
    <w:rsid w:val="00DB17C6"/>
    <w:rsid w:val="00DB2AA2"/>
    <w:rsid w:val="00DB5A58"/>
    <w:rsid w:val="00DB704C"/>
    <w:rsid w:val="00DB7099"/>
    <w:rsid w:val="00DC1AE7"/>
    <w:rsid w:val="00DC1AFE"/>
    <w:rsid w:val="00DC2B88"/>
    <w:rsid w:val="00DC2ECC"/>
    <w:rsid w:val="00DC407A"/>
    <w:rsid w:val="00DC601E"/>
    <w:rsid w:val="00DC770D"/>
    <w:rsid w:val="00DD0491"/>
    <w:rsid w:val="00DD18F9"/>
    <w:rsid w:val="00DD2FAC"/>
    <w:rsid w:val="00DD3C8F"/>
    <w:rsid w:val="00DD6279"/>
    <w:rsid w:val="00DD6709"/>
    <w:rsid w:val="00DE1523"/>
    <w:rsid w:val="00DE39D9"/>
    <w:rsid w:val="00DE3C07"/>
    <w:rsid w:val="00DF0A30"/>
    <w:rsid w:val="00DF2B47"/>
    <w:rsid w:val="00DF3842"/>
    <w:rsid w:val="00DF480E"/>
    <w:rsid w:val="00DF4938"/>
    <w:rsid w:val="00DF5840"/>
    <w:rsid w:val="00DF6170"/>
    <w:rsid w:val="00E00A23"/>
    <w:rsid w:val="00E02EBE"/>
    <w:rsid w:val="00E03041"/>
    <w:rsid w:val="00E0505E"/>
    <w:rsid w:val="00E0534F"/>
    <w:rsid w:val="00E0645F"/>
    <w:rsid w:val="00E103CE"/>
    <w:rsid w:val="00E12B17"/>
    <w:rsid w:val="00E13223"/>
    <w:rsid w:val="00E132AC"/>
    <w:rsid w:val="00E15C0A"/>
    <w:rsid w:val="00E16C8A"/>
    <w:rsid w:val="00E17848"/>
    <w:rsid w:val="00E17D15"/>
    <w:rsid w:val="00E2052D"/>
    <w:rsid w:val="00E212C7"/>
    <w:rsid w:val="00E21F82"/>
    <w:rsid w:val="00E2216C"/>
    <w:rsid w:val="00E22B28"/>
    <w:rsid w:val="00E23693"/>
    <w:rsid w:val="00E244E7"/>
    <w:rsid w:val="00E27DD8"/>
    <w:rsid w:val="00E3099E"/>
    <w:rsid w:val="00E30AB1"/>
    <w:rsid w:val="00E31550"/>
    <w:rsid w:val="00E35AAE"/>
    <w:rsid w:val="00E36F24"/>
    <w:rsid w:val="00E403BC"/>
    <w:rsid w:val="00E4138A"/>
    <w:rsid w:val="00E41DDC"/>
    <w:rsid w:val="00E43DD8"/>
    <w:rsid w:val="00E46042"/>
    <w:rsid w:val="00E4610B"/>
    <w:rsid w:val="00E464DF"/>
    <w:rsid w:val="00E468BD"/>
    <w:rsid w:val="00E51D57"/>
    <w:rsid w:val="00E51EE2"/>
    <w:rsid w:val="00E535D6"/>
    <w:rsid w:val="00E53CF0"/>
    <w:rsid w:val="00E54102"/>
    <w:rsid w:val="00E54213"/>
    <w:rsid w:val="00E54A92"/>
    <w:rsid w:val="00E5585B"/>
    <w:rsid w:val="00E566C2"/>
    <w:rsid w:val="00E566D9"/>
    <w:rsid w:val="00E56D06"/>
    <w:rsid w:val="00E60373"/>
    <w:rsid w:val="00E60AEE"/>
    <w:rsid w:val="00E61267"/>
    <w:rsid w:val="00E61274"/>
    <w:rsid w:val="00E6143F"/>
    <w:rsid w:val="00E61B09"/>
    <w:rsid w:val="00E61B10"/>
    <w:rsid w:val="00E62277"/>
    <w:rsid w:val="00E63FEA"/>
    <w:rsid w:val="00E64E16"/>
    <w:rsid w:val="00E65A0E"/>
    <w:rsid w:val="00E66E95"/>
    <w:rsid w:val="00E671FA"/>
    <w:rsid w:val="00E675DC"/>
    <w:rsid w:val="00E71192"/>
    <w:rsid w:val="00E719FB"/>
    <w:rsid w:val="00E73B59"/>
    <w:rsid w:val="00E76344"/>
    <w:rsid w:val="00E7683D"/>
    <w:rsid w:val="00E77AF3"/>
    <w:rsid w:val="00E80293"/>
    <w:rsid w:val="00E807B6"/>
    <w:rsid w:val="00E80C3E"/>
    <w:rsid w:val="00E81228"/>
    <w:rsid w:val="00E83268"/>
    <w:rsid w:val="00E835F0"/>
    <w:rsid w:val="00E84CAA"/>
    <w:rsid w:val="00E85F1D"/>
    <w:rsid w:val="00E903D8"/>
    <w:rsid w:val="00E90D22"/>
    <w:rsid w:val="00E9124C"/>
    <w:rsid w:val="00E92B00"/>
    <w:rsid w:val="00E93A78"/>
    <w:rsid w:val="00E93B98"/>
    <w:rsid w:val="00E94614"/>
    <w:rsid w:val="00E9462E"/>
    <w:rsid w:val="00E951F7"/>
    <w:rsid w:val="00E9712B"/>
    <w:rsid w:val="00E97DA5"/>
    <w:rsid w:val="00EA0688"/>
    <w:rsid w:val="00EA24AA"/>
    <w:rsid w:val="00EA5769"/>
    <w:rsid w:val="00EB0B6B"/>
    <w:rsid w:val="00EB0FDC"/>
    <w:rsid w:val="00EB253E"/>
    <w:rsid w:val="00EB25F2"/>
    <w:rsid w:val="00EB50F0"/>
    <w:rsid w:val="00EB5482"/>
    <w:rsid w:val="00EB640D"/>
    <w:rsid w:val="00EB678A"/>
    <w:rsid w:val="00EC1267"/>
    <w:rsid w:val="00EC3EA1"/>
    <w:rsid w:val="00EC4C49"/>
    <w:rsid w:val="00EC4E65"/>
    <w:rsid w:val="00EC789C"/>
    <w:rsid w:val="00ED075C"/>
    <w:rsid w:val="00ED0950"/>
    <w:rsid w:val="00ED282E"/>
    <w:rsid w:val="00ED3E4C"/>
    <w:rsid w:val="00ED4393"/>
    <w:rsid w:val="00ED568B"/>
    <w:rsid w:val="00EE0ADC"/>
    <w:rsid w:val="00EE0BE3"/>
    <w:rsid w:val="00EE181A"/>
    <w:rsid w:val="00EE2B48"/>
    <w:rsid w:val="00EE3044"/>
    <w:rsid w:val="00EE3860"/>
    <w:rsid w:val="00EE4A73"/>
    <w:rsid w:val="00EE4AF4"/>
    <w:rsid w:val="00EE5AB2"/>
    <w:rsid w:val="00EF0B22"/>
    <w:rsid w:val="00EF2464"/>
    <w:rsid w:val="00EF4134"/>
    <w:rsid w:val="00EF4CF9"/>
    <w:rsid w:val="00EF577F"/>
    <w:rsid w:val="00F00FE7"/>
    <w:rsid w:val="00F010EB"/>
    <w:rsid w:val="00F0150B"/>
    <w:rsid w:val="00F015E4"/>
    <w:rsid w:val="00F04447"/>
    <w:rsid w:val="00F050C8"/>
    <w:rsid w:val="00F07B26"/>
    <w:rsid w:val="00F07C5A"/>
    <w:rsid w:val="00F109DA"/>
    <w:rsid w:val="00F13D06"/>
    <w:rsid w:val="00F141A4"/>
    <w:rsid w:val="00F1427A"/>
    <w:rsid w:val="00F1450C"/>
    <w:rsid w:val="00F167C6"/>
    <w:rsid w:val="00F201CD"/>
    <w:rsid w:val="00F2074B"/>
    <w:rsid w:val="00F229E4"/>
    <w:rsid w:val="00F23A56"/>
    <w:rsid w:val="00F25FEA"/>
    <w:rsid w:val="00F264E9"/>
    <w:rsid w:val="00F27403"/>
    <w:rsid w:val="00F276DE"/>
    <w:rsid w:val="00F308C5"/>
    <w:rsid w:val="00F30F13"/>
    <w:rsid w:val="00F30FB9"/>
    <w:rsid w:val="00F33519"/>
    <w:rsid w:val="00F35FAE"/>
    <w:rsid w:val="00F36960"/>
    <w:rsid w:val="00F36FE3"/>
    <w:rsid w:val="00F377FE"/>
    <w:rsid w:val="00F37EAE"/>
    <w:rsid w:val="00F42BB4"/>
    <w:rsid w:val="00F43E18"/>
    <w:rsid w:val="00F45636"/>
    <w:rsid w:val="00F456C5"/>
    <w:rsid w:val="00F45DC3"/>
    <w:rsid w:val="00F463FB"/>
    <w:rsid w:val="00F4729E"/>
    <w:rsid w:val="00F515B0"/>
    <w:rsid w:val="00F52B90"/>
    <w:rsid w:val="00F54EE1"/>
    <w:rsid w:val="00F565AE"/>
    <w:rsid w:val="00F56675"/>
    <w:rsid w:val="00F60C56"/>
    <w:rsid w:val="00F60DB5"/>
    <w:rsid w:val="00F60E53"/>
    <w:rsid w:val="00F62D56"/>
    <w:rsid w:val="00F62F44"/>
    <w:rsid w:val="00F63328"/>
    <w:rsid w:val="00F64F0E"/>
    <w:rsid w:val="00F65E53"/>
    <w:rsid w:val="00F6654E"/>
    <w:rsid w:val="00F66E35"/>
    <w:rsid w:val="00F701AD"/>
    <w:rsid w:val="00F713C5"/>
    <w:rsid w:val="00F71713"/>
    <w:rsid w:val="00F743A0"/>
    <w:rsid w:val="00F75047"/>
    <w:rsid w:val="00F75054"/>
    <w:rsid w:val="00F7721C"/>
    <w:rsid w:val="00F80F8B"/>
    <w:rsid w:val="00F813EA"/>
    <w:rsid w:val="00F8192D"/>
    <w:rsid w:val="00F82418"/>
    <w:rsid w:val="00F83C02"/>
    <w:rsid w:val="00F85658"/>
    <w:rsid w:val="00F869E7"/>
    <w:rsid w:val="00F87F49"/>
    <w:rsid w:val="00F905C8"/>
    <w:rsid w:val="00F90FA8"/>
    <w:rsid w:val="00F940CB"/>
    <w:rsid w:val="00F977EB"/>
    <w:rsid w:val="00F97801"/>
    <w:rsid w:val="00F97D77"/>
    <w:rsid w:val="00FA042E"/>
    <w:rsid w:val="00FA04F6"/>
    <w:rsid w:val="00FA0708"/>
    <w:rsid w:val="00FA3150"/>
    <w:rsid w:val="00FA575F"/>
    <w:rsid w:val="00FA6B1B"/>
    <w:rsid w:val="00FA7B1E"/>
    <w:rsid w:val="00FA7C98"/>
    <w:rsid w:val="00FB2337"/>
    <w:rsid w:val="00FB2472"/>
    <w:rsid w:val="00FB25F0"/>
    <w:rsid w:val="00FB3B6F"/>
    <w:rsid w:val="00FB50B7"/>
    <w:rsid w:val="00FB644D"/>
    <w:rsid w:val="00FB686A"/>
    <w:rsid w:val="00FB6F54"/>
    <w:rsid w:val="00FB7951"/>
    <w:rsid w:val="00FC2188"/>
    <w:rsid w:val="00FC2879"/>
    <w:rsid w:val="00FC28AB"/>
    <w:rsid w:val="00FC3387"/>
    <w:rsid w:val="00FC51C7"/>
    <w:rsid w:val="00FC5AA8"/>
    <w:rsid w:val="00FC63D8"/>
    <w:rsid w:val="00FD0FEC"/>
    <w:rsid w:val="00FD145B"/>
    <w:rsid w:val="00FD2023"/>
    <w:rsid w:val="00FD4AFA"/>
    <w:rsid w:val="00FD4E4A"/>
    <w:rsid w:val="00FD531B"/>
    <w:rsid w:val="00FD566F"/>
    <w:rsid w:val="00FD5689"/>
    <w:rsid w:val="00FD7F01"/>
    <w:rsid w:val="00FD7F9A"/>
    <w:rsid w:val="00FE0DFE"/>
    <w:rsid w:val="00FE251D"/>
    <w:rsid w:val="00FE2D91"/>
    <w:rsid w:val="00FE31CF"/>
    <w:rsid w:val="00FE467D"/>
    <w:rsid w:val="00FE606C"/>
    <w:rsid w:val="00FE67E5"/>
    <w:rsid w:val="00FE692F"/>
    <w:rsid w:val="00FF03D2"/>
    <w:rsid w:val="00FF0AA0"/>
    <w:rsid w:val="00FF0CCE"/>
    <w:rsid w:val="00FF11A8"/>
    <w:rsid w:val="00FF1203"/>
    <w:rsid w:val="00FF205E"/>
    <w:rsid w:val="00FF2C90"/>
    <w:rsid w:val="00FF381F"/>
    <w:rsid w:val="00FF4AF6"/>
    <w:rsid w:val="00FF5B8E"/>
    <w:rsid w:val="00FF7684"/>
    <w:rsid w:val="00FF779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7365"/>
  <w15:chartTrackingRefBased/>
  <w15:docId w15:val="{BBE72BFD-2D5A-4E09-B278-610210B8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560"/>
    <w:pPr>
      <w:spacing w:after="0" w:line="240" w:lineRule="auto"/>
    </w:pPr>
    <w:rPr>
      <w:rFonts w:ascii="Times New Roman" w:eastAsia="MS Mincho" w:hAnsi="Times New Roman" w:cs="Times New Roman"/>
      <w:sz w:val="24"/>
      <w:szCs w:val="24"/>
      <w:lang w:val="es-ES_tradnl"/>
    </w:rPr>
  </w:style>
  <w:style w:type="paragraph" w:styleId="Ttulo1">
    <w:name w:val="heading 1"/>
    <w:basedOn w:val="Normal"/>
    <w:next w:val="Normal"/>
    <w:link w:val="Ttulo1Car"/>
    <w:uiPriority w:val="9"/>
    <w:qFormat/>
    <w:rsid w:val="005C351B"/>
    <w:pPr>
      <w:keepNext/>
      <w:keepLines/>
      <w:spacing w:before="24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unhideWhenUsed/>
    <w:qFormat/>
    <w:rsid w:val="00A8197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81970"/>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A81970"/>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A81970"/>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CC5731"/>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FA Fu?notentext,ft"/>
    <w:basedOn w:val="Normal"/>
    <w:link w:val="TextonotapieCar1"/>
    <w:uiPriority w:val="99"/>
    <w:qFormat/>
    <w:rsid w:val="00CC5731"/>
    <w:pPr>
      <w:widowControl w:val="0"/>
    </w:pPr>
    <w:rPr>
      <w:sz w:val="20"/>
      <w:szCs w:val="20"/>
    </w:rPr>
  </w:style>
  <w:style w:type="character" w:customStyle="1" w:styleId="TextonotapieCar">
    <w:name w:val="Texto nota pie Car"/>
    <w:aliases w:val="FA Fu?notente Car,FA Fu§notentext Car,?notentext Car,FA Car1"/>
    <w:basedOn w:val="Fuentedeprrafopredeter"/>
    <w:uiPriority w:val="99"/>
    <w:qFormat/>
    <w:rsid w:val="00CC5731"/>
    <w:rPr>
      <w:rFonts w:ascii="Times New Roman" w:eastAsia="MS Mincho" w:hAnsi="Times New Roman" w:cs="Times New Roman"/>
      <w:sz w:val="20"/>
      <w:szCs w:val="20"/>
      <w:lang w:val="es-ES_tradnl"/>
    </w:rPr>
  </w:style>
  <w:style w:type="character" w:customStyle="1" w:styleId="FootnoteTextChar">
    <w:name w:val="Footnote Text Char"/>
    <w:aliases w:val="Footnote Text Char Char Char Char Char Char,Footnote Text Char Char Char Char Char1,Footnote reference Char,FA Fu Char,Footnote Text Char Char Char Char1,Texto nota pie Car Char,FA Fu Car Char,FA Fu Car Car Char,Footnote Text Cha Char"/>
    <w:qFormat/>
    <w:rsid w:val="00CC5731"/>
    <w:rPr>
      <w:rFonts w:eastAsia="MS Mincho"/>
      <w:lang w:val="es-ES_tradnl" w:eastAsia="en-US" w:bidi="ar-SA"/>
    </w:rPr>
  </w:style>
  <w:style w:type="paragraph" w:styleId="Textoindependiente">
    <w:name w:val="Body Text"/>
    <w:basedOn w:val="Normal"/>
    <w:link w:val="TextoindependienteCar"/>
    <w:rsid w:val="00CC5731"/>
    <w:pPr>
      <w:spacing w:after="120"/>
    </w:pPr>
  </w:style>
  <w:style w:type="character" w:customStyle="1" w:styleId="TextoindependienteCar">
    <w:name w:val="Texto independiente Car"/>
    <w:basedOn w:val="Fuentedeprrafopredeter"/>
    <w:link w:val="Textoindependiente"/>
    <w:rsid w:val="00CC5731"/>
    <w:rPr>
      <w:rFonts w:ascii="Times New Roman" w:eastAsia="MS Mincho" w:hAnsi="Times New Roman" w:cs="Times New Roman"/>
      <w:sz w:val="24"/>
      <w:szCs w:val="24"/>
      <w:lang w:val="es-ES_tradnl"/>
    </w:rPr>
  </w:style>
  <w:style w:type="paragraph" w:styleId="Textoindependiente3">
    <w:name w:val="Body Text 3"/>
    <w:basedOn w:val="Normal"/>
    <w:link w:val="Textoindependiente3Car"/>
    <w:rsid w:val="00CC5731"/>
    <w:pPr>
      <w:spacing w:after="120"/>
    </w:pPr>
    <w:rPr>
      <w:sz w:val="16"/>
      <w:szCs w:val="16"/>
    </w:rPr>
  </w:style>
  <w:style w:type="character" w:customStyle="1" w:styleId="Textoindependiente3Car">
    <w:name w:val="Texto independiente 3 Car"/>
    <w:basedOn w:val="Fuentedeprrafopredeter"/>
    <w:link w:val="Textoindependiente3"/>
    <w:rsid w:val="00CC5731"/>
    <w:rPr>
      <w:rFonts w:ascii="Times New Roman" w:eastAsia="MS Mincho" w:hAnsi="Times New Roman" w:cs="Times New Roman"/>
      <w:sz w:val="16"/>
      <w:szCs w:val="16"/>
      <w:lang w:val="es-ES_tradnl"/>
    </w:rPr>
  </w:style>
  <w:style w:type="paragraph" w:styleId="Textodebloque">
    <w:name w:val="Block Text"/>
    <w:basedOn w:val="Normal"/>
    <w:rsid w:val="00CC5731"/>
    <w:pPr>
      <w:widowControl w:val="0"/>
      <w:ind w:left="720" w:right="720"/>
      <w:jc w:val="both"/>
    </w:pPr>
    <w:rPr>
      <w:rFonts w:ascii="Garamond" w:hAnsi="Garamond"/>
      <w:sz w:val="20"/>
      <w:szCs w:val="20"/>
    </w:rPr>
  </w:style>
  <w:style w:type="character" w:customStyle="1" w:styleId="eacep">
    <w:name w:val="eacep"/>
    <w:basedOn w:val="Fuentedeprrafopredeter"/>
    <w:rsid w:val="00CC5731"/>
  </w:style>
  <w:style w:type="paragraph" w:styleId="Encabezado">
    <w:name w:val="header"/>
    <w:aliases w:val="encabezado"/>
    <w:basedOn w:val="Normal"/>
    <w:link w:val="EncabezadoCar"/>
    <w:uiPriority w:val="99"/>
    <w:rsid w:val="00CC5731"/>
    <w:pPr>
      <w:tabs>
        <w:tab w:val="center" w:pos="4252"/>
        <w:tab w:val="right" w:pos="8504"/>
      </w:tabs>
    </w:pPr>
    <w:rPr>
      <w:lang w:eastAsia="x-none"/>
    </w:rPr>
  </w:style>
  <w:style w:type="character" w:customStyle="1" w:styleId="EncabezadoCar">
    <w:name w:val="Encabezado Car"/>
    <w:aliases w:val="encabezado Car"/>
    <w:basedOn w:val="Fuentedeprrafopredeter"/>
    <w:link w:val="Encabezado"/>
    <w:uiPriority w:val="99"/>
    <w:rsid w:val="00CC5731"/>
    <w:rPr>
      <w:rFonts w:ascii="Times New Roman" w:eastAsia="MS Mincho" w:hAnsi="Times New Roman" w:cs="Times New Roman"/>
      <w:sz w:val="24"/>
      <w:szCs w:val="24"/>
      <w:lang w:val="es-ES_tradnl" w:eastAsia="x-none"/>
    </w:rPr>
  </w:style>
  <w:style w:type="character" w:styleId="Nmerodepgina">
    <w:name w:val="page number"/>
    <w:basedOn w:val="Fuentedeprrafopredeter"/>
    <w:rsid w:val="00CC5731"/>
  </w:style>
  <w:style w:type="character" w:customStyle="1" w:styleId="b">
    <w:name w:val="b"/>
    <w:basedOn w:val="Fuentedeprrafopredeter"/>
    <w:rsid w:val="00CC5731"/>
  </w:style>
  <w:style w:type="character" w:styleId="Textoennegrita">
    <w:name w:val="Strong"/>
    <w:aliases w:val="Heading 2.1"/>
    <w:uiPriority w:val="22"/>
    <w:qFormat/>
    <w:rsid w:val="00CC5731"/>
    <w:rPr>
      <w:b/>
      <w:bCs/>
    </w:rPr>
  </w:style>
  <w:style w:type="paragraph" w:customStyle="1" w:styleId="Default">
    <w:name w:val="Default"/>
    <w:rsid w:val="00CC5731"/>
    <w:pPr>
      <w:autoSpaceDE w:val="0"/>
      <w:autoSpaceDN w:val="0"/>
      <w:adjustRightInd w:val="0"/>
      <w:spacing w:after="0" w:line="240" w:lineRule="auto"/>
    </w:pPr>
    <w:rPr>
      <w:rFonts w:ascii="Times New Roman" w:eastAsia="MS Mincho" w:hAnsi="Times New Roman" w:cs="Times New Roman"/>
      <w:color w:val="000000"/>
      <w:sz w:val="24"/>
      <w:szCs w:val="24"/>
      <w:lang w:val="es-ES" w:eastAsia="es-ES"/>
    </w:rPr>
  </w:style>
  <w:style w:type="paragraph" w:styleId="Piedepgina">
    <w:name w:val="footer"/>
    <w:basedOn w:val="Normal"/>
    <w:link w:val="PiedepginaCar"/>
    <w:uiPriority w:val="99"/>
    <w:rsid w:val="00CC5731"/>
    <w:pPr>
      <w:tabs>
        <w:tab w:val="center" w:pos="4252"/>
        <w:tab w:val="right" w:pos="8504"/>
      </w:tabs>
    </w:pPr>
    <w:rPr>
      <w:lang w:eastAsia="x-none"/>
    </w:rPr>
  </w:style>
  <w:style w:type="character" w:customStyle="1" w:styleId="PiedepginaCar">
    <w:name w:val="Pie de página Car"/>
    <w:basedOn w:val="Fuentedeprrafopredeter"/>
    <w:link w:val="Piedepgina"/>
    <w:uiPriority w:val="99"/>
    <w:rsid w:val="00CC5731"/>
    <w:rPr>
      <w:rFonts w:ascii="Times New Roman" w:eastAsia="MS Mincho" w:hAnsi="Times New Roman" w:cs="Times New Roman"/>
      <w:sz w:val="24"/>
      <w:szCs w:val="24"/>
      <w:lang w:val="es-ES_tradnl" w:eastAsia="x-none"/>
    </w:rPr>
  </w:style>
  <w:style w:type="paragraph" w:customStyle="1" w:styleId="ColorfulList-Accent11">
    <w:name w:val="Colorful List - Accent 11"/>
    <w:aliases w:val="List Paragraph,Footnote,List Paragraph1,List Paragraph2,Lista vistosa - Énfasis 11,Subtle Emphasis1,Footnote1"/>
    <w:basedOn w:val="Normal"/>
    <w:uiPriority w:val="34"/>
    <w:qFormat/>
    <w:rsid w:val="00CC5731"/>
    <w:pPr>
      <w:ind w:left="708"/>
    </w:pPr>
  </w:style>
  <w:style w:type="paragraph" w:styleId="Sangradetextonormal">
    <w:name w:val="Body Text Indent"/>
    <w:basedOn w:val="Normal"/>
    <w:link w:val="SangradetextonormalCar"/>
    <w:rsid w:val="00CC5731"/>
    <w:pPr>
      <w:spacing w:after="120"/>
      <w:ind w:left="283"/>
    </w:pPr>
  </w:style>
  <w:style w:type="character" w:customStyle="1" w:styleId="SangradetextonormalCar">
    <w:name w:val="Sangría de texto normal Car"/>
    <w:basedOn w:val="Fuentedeprrafopredeter"/>
    <w:link w:val="Sangradetextonormal"/>
    <w:rsid w:val="00CC5731"/>
    <w:rPr>
      <w:rFonts w:ascii="Times New Roman" w:eastAsia="MS Mincho" w:hAnsi="Times New Roman" w:cs="Times New Roman"/>
      <w:sz w:val="24"/>
      <w:szCs w:val="24"/>
      <w:lang w:val="es-ES_tradnl"/>
    </w:rPr>
  </w:style>
  <w:style w:type="character" w:customStyle="1" w:styleId="BodyTextIndentChar">
    <w:name w:val="Body Text Indent Char"/>
    <w:rsid w:val="00CC5731"/>
    <w:rPr>
      <w:sz w:val="24"/>
      <w:szCs w:val="24"/>
      <w:lang w:val="es-ES_tradnl" w:eastAsia="en-US"/>
    </w:rPr>
  </w:style>
  <w:style w:type="paragraph" w:styleId="Textodeglobo">
    <w:name w:val="Balloon Text"/>
    <w:basedOn w:val="Normal"/>
    <w:link w:val="TextodegloboCar"/>
    <w:uiPriority w:val="99"/>
    <w:semiHidden/>
    <w:unhideWhenUsed/>
    <w:rsid w:val="00CC5731"/>
    <w:rPr>
      <w:rFonts w:ascii="Tahoma" w:hAnsi="Tahoma"/>
      <w:sz w:val="16"/>
      <w:szCs w:val="16"/>
    </w:rPr>
  </w:style>
  <w:style w:type="character" w:customStyle="1" w:styleId="TextodegloboCar">
    <w:name w:val="Texto de globo Car"/>
    <w:basedOn w:val="Fuentedeprrafopredeter"/>
    <w:link w:val="Textodeglobo"/>
    <w:uiPriority w:val="99"/>
    <w:semiHidden/>
    <w:rsid w:val="00CC5731"/>
    <w:rPr>
      <w:rFonts w:ascii="Tahoma" w:eastAsia="MS Mincho" w:hAnsi="Tahoma" w:cs="Times New Roman"/>
      <w:sz w:val="16"/>
      <w:szCs w:val="16"/>
      <w:lang w:val="es-ES_tradnl"/>
    </w:rPr>
  </w:style>
  <w:style w:type="character" w:styleId="Refdecomentario">
    <w:name w:val="annotation reference"/>
    <w:uiPriority w:val="99"/>
    <w:semiHidden/>
    <w:unhideWhenUsed/>
    <w:rsid w:val="00CC5731"/>
    <w:rPr>
      <w:sz w:val="16"/>
      <w:szCs w:val="16"/>
    </w:rPr>
  </w:style>
  <w:style w:type="paragraph" w:styleId="Textocomentario">
    <w:name w:val="annotation text"/>
    <w:basedOn w:val="Normal"/>
    <w:link w:val="TextocomentarioCar"/>
    <w:uiPriority w:val="99"/>
    <w:unhideWhenUsed/>
    <w:rsid w:val="00CC5731"/>
    <w:rPr>
      <w:sz w:val="20"/>
      <w:szCs w:val="20"/>
    </w:rPr>
  </w:style>
  <w:style w:type="character" w:customStyle="1" w:styleId="TextocomentarioCar">
    <w:name w:val="Texto comentario Car"/>
    <w:basedOn w:val="Fuentedeprrafopredeter"/>
    <w:link w:val="Textocomentario"/>
    <w:uiPriority w:val="99"/>
    <w:rsid w:val="00CC5731"/>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CC5731"/>
    <w:rPr>
      <w:b/>
      <w:bCs/>
    </w:rPr>
  </w:style>
  <w:style w:type="character" w:customStyle="1" w:styleId="AsuntodelcomentarioCar">
    <w:name w:val="Asunto del comentario Car"/>
    <w:basedOn w:val="TextocomentarioCar"/>
    <w:link w:val="Asuntodelcomentario"/>
    <w:uiPriority w:val="99"/>
    <w:semiHidden/>
    <w:rsid w:val="00CC5731"/>
    <w:rPr>
      <w:rFonts w:ascii="Times New Roman" w:eastAsia="MS Mincho" w:hAnsi="Times New Roman" w:cs="Times New Roman"/>
      <w:b/>
      <w:bCs/>
      <w:sz w:val="20"/>
      <w:szCs w:val="20"/>
      <w:lang w:val="es-ES_tradnl"/>
    </w:rPr>
  </w:style>
  <w:style w:type="paragraph" w:styleId="Textonotaalfinal">
    <w:name w:val="endnote text"/>
    <w:basedOn w:val="Normal"/>
    <w:link w:val="TextonotaalfinalCar"/>
    <w:uiPriority w:val="99"/>
    <w:semiHidden/>
    <w:unhideWhenUsed/>
    <w:rsid w:val="00CC5731"/>
    <w:rPr>
      <w:sz w:val="20"/>
      <w:szCs w:val="20"/>
    </w:rPr>
  </w:style>
  <w:style w:type="character" w:customStyle="1" w:styleId="TextonotaalfinalCar">
    <w:name w:val="Texto nota al final Car"/>
    <w:basedOn w:val="Fuentedeprrafopredeter"/>
    <w:link w:val="Textonotaalfinal"/>
    <w:uiPriority w:val="99"/>
    <w:semiHidden/>
    <w:rsid w:val="00CC5731"/>
    <w:rPr>
      <w:rFonts w:ascii="Times New Roman" w:eastAsia="MS Mincho" w:hAnsi="Times New Roman" w:cs="Times New Roman"/>
      <w:sz w:val="20"/>
      <w:szCs w:val="20"/>
      <w:lang w:val="es-ES_tradnl"/>
    </w:rPr>
  </w:style>
  <w:style w:type="character" w:styleId="Refdenotaalfinal">
    <w:name w:val="endnote reference"/>
    <w:uiPriority w:val="99"/>
    <w:semiHidden/>
    <w:unhideWhenUsed/>
    <w:rsid w:val="00CC5731"/>
    <w:rPr>
      <w:vertAlign w:val="superscript"/>
    </w:rPr>
  </w:style>
  <w:style w:type="character" w:styleId="Hipervnculo">
    <w:name w:val="Hyperlink"/>
    <w:uiPriority w:val="99"/>
    <w:unhideWhenUsed/>
    <w:rsid w:val="00CC5731"/>
    <w:rPr>
      <w:color w:val="0000FF"/>
      <w:u w:val="single"/>
    </w:rPr>
  </w:style>
  <w:style w:type="paragraph" w:customStyle="1" w:styleId="Prrafodelista1">
    <w:name w:val="Párrafo de lista1"/>
    <w:basedOn w:val="Normal"/>
    <w:qFormat/>
    <w:rsid w:val="00CC5731"/>
    <w:pPr>
      <w:contextualSpacing/>
    </w:pPr>
    <w:rPr>
      <w:rFonts w:ascii="Verdana" w:eastAsia="Batang" w:hAnsi="Verdana"/>
      <w:sz w:val="16"/>
      <w:szCs w:val="22"/>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C5731"/>
    <w:pPr>
      <w:jc w:val="both"/>
    </w:pPr>
    <w:rPr>
      <w:rFonts w:ascii="Verdana" w:eastAsiaTheme="minorHAnsi" w:hAnsi="Verdana" w:cstheme="minorBidi"/>
      <w:sz w:val="16"/>
      <w:szCs w:val="22"/>
      <w:vertAlign w:val="superscript"/>
      <w:lang w:val="es-CR"/>
    </w:rPr>
  </w:style>
  <w:style w:type="character" w:customStyle="1" w:styleId="FootnoteAnchor">
    <w:name w:val="Footnote Anchor"/>
    <w:rsid w:val="00CC5731"/>
    <w:rPr>
      <w:vertAlign w:val="superscript"/>
    </w:rPr>
  </w:style>
  <w:style w:type="character" w:customStyle="1" w:styleId="TextonotapieCar1">
    <w:name w:val="Texto nota pie Car1"/>
    <w:aliases w:val="Footnote Text Char Char Char Char Char Car1,Footnote Text Char Char Char Char Car1,Footnote reference Car1,FA Fu Car1,Footnote Text Char Char Char Car1,FA Fu Car Car1,FA Fu Car Car Car,Footnote Text Cha Car1,FA Fußnotentext Car1"/>
    <w:link w:val="Textonotapie"/>
    <w:qFormat/>
    <w:rsid w:val="00CC5731"/>
    <w:rPr>
      <w:rFonts w:ascii="Times New Roman" w:eastAsia="MS Mincho" w:hAnsi="Times New Roman" w:cs="Times New Roman"/>
      <w:sz w:val="20"/>
      <w:szCs w:val="20"/>
      <w:lang w:val="es-ES_tradnl"/>
    </w:rPr>
  </w:style>
  <w:style w:type="character" w:customStyle="1" w:styleId="FootnoteTextCharCharCharCharCharCar">
    <w:name w:val="Footnote Text Char Char Char Char Char Car"/>
    <w:aliases w:val="Footnote Text Char Char Char Char Car,Footnote reference Car,Footnote Text Char Char Char Car,Footnote Text Cha Car,FA Fußnotentext Car,FA Fuﬂnotentext Car,FA Fu?notentext Car,C Car,Ca Car"/>
    <w:qFormat/>
    <w:locked/>
    <w:rsid w:val="00CC5731"/>
  </w:style>
  <w:style w:type="character" w:customStyle="1" w:styleId="PrrafodelistaCar">
    <w:name w:val="Párrafo de lista Car"/>
    <w:aliases w:val="Footnote Car,Párrafo de lista1 Car,Colorful List - Accent 11 Car,List Paragraph1 Car,List Paragraph2 Car,Lista vistosa - Énfasis 11 Car,Subtle Emphasis1 Car,Footnote1 Car,List Paragraph11 Car,Parrafos Car"/>
    <w:uiPriority w:val="34"/>
    <w:locked/>
    <w:rsid w:val="00CC5731"/>
  </w:style>
  <w:style w:type="character" w:customStyle="1" w:styleId="Cuadrculamedia1-nfasis2Car">
    <w:name w:val="Cuadrícula media 1 - Énfasis 2 Car"/>
    <w:aliases w:val="Cuadrícula clara - Énfasis 31 Car"/>
    <w:link w:val="Cuadrculamedia1-nfasis2"/>
    <w:locked/>
    <w:rsid w:val="00CC5731"/>
    <w:rPr>
      <w:rFonts w:eastAsia="MS Mincho"/>
      <w:sz w:val="24"/>
      <w:szCs w:val="24"/>
      <w:lang w:val="es-ES_tradnl"/>
    </w:rPr>
  </w:style>
  <w:style w:type="character" w:styleId="Hipervnculovisitado">
    <w:name w:val="FollowedHyperlink"/>
    <w:uiPriority w:val="99"/>
    <w:semiHidden/>
    <w:unhideWhenUsed/>
    <w:rsid w:val="00CC5731"/>
    <w:rPr>
      <w:color w:val="954F72"/>
      <w:u w:val="single"/>
    </w:rPr>
  </w:style>
  <w:style w:type="character" w:customStyle="1" w:styleId="Mencinsinresolver1">
    <w:name w:val="Mención sin resolver1"/>
    <w:uiPriority w:val="99"/>
    <w:semiHidden/>
    <w:unhideWhenUsed/>
    <w:rsid w:val="00CC5731"/>
    <w:rPr>
      <w:color w:val="605E5C"/>
      <w:shd w:val="clear" w:color="auto" w:fill="E1DFDD"/>
    </w:rPr>
  </w:style>
  <w:style w:type="character" w:customStyle="1" w:styleId="highlight">
    <w:name w:val="highlight"/>
    <w:rsid w:val="00CC5731"/>
  </w:style>
  <w:style w:type="paragraph" w:customStyle="1" w:styleId="ParaAttribute3">
    <w:name w:val="ParaAttribute3"/>
    <w:rsid w:val="00CC5731"/>
    <w:pPr>
      <w:widowControl w:val="0"/>
      <w:wordWrap w:val="0"/>
      <w:spacing w:after="0" w:line="240" w:lineRule="auto"/>
      <w:jc w:val="both"/>
    </w:pPr>
    <w:rPr>
      <w:rFonts w:ascii="Times New Roman" w:eastAsia="Batang" w:hAnsi="Times New Roman" w:cs="Times New Roman"/>
      <w:sz w:val="20"/>
      <w:szCs w:val="20"/>
      <w:lang w:val="en-US"/>
    </w:rPr>
  </w:style>
  <w:style w:type="character" w:customStyle="1" w:styleId="CharAttribute31">
    <w:name w:val="CharAttribute31"/>
    <w:rsid w:val="00CC5731"/>
    <w:rPr>
      <w:rFonts w:ascii="Verdana" w:eastAsia="Verdana" w:hAnsi="Verdana"/>
      <w:sz w:val="16"/>
    </w:rPr>
  </w:style>
  <w:style w:type="character" w:customStyle="1" w:styleId="CharAttribute33">
    <w:name w:val="CharAttribute33"/>
    <w:rsid w:val="00CC5731"/>
    <w:rPr>
      <w:rFonts w:ascii="Verdana" w:eastAsia="Verdana" w:hAnsi="Verdana"/>
      <w:sz w:val="16"/>
      <w:vertAlign w:val="superscript"/>
    </w:rPr>
  </w:style>
  <w:style w:type="character" w:styleId="Nmerodelnea">
    <w:name w:val="line number"/>
    <w:uiPriority w:val="99"/>
    <w:semiHidden/>
    <w:unhideWhenUsed/>
    <w:rsid w:val="00CC5731"/>
  </w:style>
  <w:style w:type="table" w:styleId="Cuadrculamedia1-nfasis2">
    <w:name w:val="Medium Grid 1 Accent 2"/>
    <w:basedOn w:val="Tablanormal"/>
    <w:link w:val="Cuadrculamedia1-nfasis2Car"/>
    <w:semiHidden/>
    <w:unhideWhenUsed/>
    <w:rsid w:val="00CC5731"/>
    <w:pPr>
      <w:spacing w:after="0" w:line="240" w:lineRule="auto"/>
    </w:pPr>
    <w:rPr>
      <w:rFonts w:eastAsia="MS Mincho"/>
      <w:sz w:val="24"/>
      <w:szCs w:val="24"/>
      <w:lang w:val="es-ES_tradn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Prrafodelista">
    <w:name w:val="List Paragraph"/>
    <w:aliases w:val="List Paragraph11,Parrafos"/>
    <w:basedOn w:val="Normal"/>
    <w:uiPriority w:val="34"/>
    <w:qFormat/>
    <w:rsid w:val="00D35445"/>
    <w:pPr>
      <w:ind w:left="720"/>
      <w:contextualSpacing/>
    </w:pPr>
  </w:style>
  <w:style w:type="character" w:customStyle="1" w:styleId="Ttulo1Car">
    <w:name w:val="Título 1 Car"/>
    <w:basedOn w:val="Fuentedeprrafopredeter"/>
    <w:link w:val="Ttulo1"/>
    <w:uiPriority w:val="9"/>
    <w:rsid w:val="005C351B"/>
    <w:rPr>
      <w:rFonts w:asciiTheme="majorHAnsi" w:eastAsiaTheme="majorEastAsia" w:hAnsiTheme="majorHAnsi" w:cstheme="majorBidi"/>
      <w:color w:val="2E74B5" w:themeColor="accent1" w:themeShade="BF"/>
      <w:sz w:val="32"/>
      <w:szCs w:val="32"/>
      <w:lang w:val="es-ES" w:eastAsia="es-ES"/>
    </w:rPr>
  </w:style>
  <w:style w:type="paragraph" w:styleId="TtuloTDC">
    <w:name w:val="TOC Heading"/>
    <w:basedOn w:val="Ttulo1"/>
    <w:next w:val="Normal"/>
    <w:uiPriority w:val="39"/>
    <w:unhideWhenUsed/>
    <w:qFormat/>
    <w:rsid w:val="00045804"/>
    <w:pPr>
      <w:spacing w:line="259" w:lineRule="auto"/>
      <w:outlineLvl w:val="9"/>
    </w:pPr>
    <w:rPr>
      <w:lang w:val="es-CR" w:eastAsia="es-CR"/>
    </w:rPr>
  </w:style>
  <w:style w:type="paragraph" w:styleId="TDC1">
    <w:name w:val="toc 1"/>
    <w:basedOn w:val="Normal"/>
    <w:next w:val="Normal"/>
    <w:autoRedefine/>
    <w:uiPriority w:val="39"/>
    <w:unhideWhenUsed/>
    <w:rsid w:val="00045804"/>
    <w:pPr>
      <w:spacing w:after="100"/>
    </w:pPr>
  </w:style>
  <w:style w:type="character" w:customStyle="1" w:styleId="Ttulo2Car">
    <w:name w:val="Título 2 Car"/>
    <w:basedOn w:val="Fuentedeprrafopredeter"/>
    <w:link w:val="Ttulo2"/>
    <w:uiPriority w:val="9"/>
    <w:rsid w:val="00A81970"/>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A81970"/>
    <w:rPr>
      <w:rFonts w:asciiTheme="majorHAnsi" w:eastAsiaTheme="majorEastAsia" w:hAnsiTheme="majorHAnsi" w:cstheme="majorBidi"/>
      <w:color w:val="1F4D78" w:themeColor="accent1" w:themeShade="7F"/>
      <w:sz w:val="24"/>
      <w:szCs w:val="24"/>
      <w:lang w:val="es-ES_tradnl"/>
    </w:rPr>
  </w:style>
  <w:style w:type="character" w:customStyle="1" w:styleId="Ttulo4Car">
    <w:name w:val="Título 4 Car"/>
    <w:basedOn w:val="Fuentedeprrafopredeter"/>
    <w:link w:val="Ttulo4"/>
    <w:uiPriority w:val="9"/>
    <w:rsid w:val="00A81970"/>
    <w:rPr>
      <w:rFonts w:asciiTheme="majorHAnsi" w:eastAsiaTheme="majorEastAsia" w:hAnsiTheme="majorHAnsi" w:cstheme="majorBidi"/>
      <w:i/>
      <w:iCs/>
      <w:color w:val="2E74B5" w:themeColor="accent1" w:themeShade="BF"/>
      <w:sz w:val="24"/>
      <w:szCs w:val="24"/>
      <w:lang w:val="es-ES_tradnl"/>
    </w:rPr>
  </w:style>
  <w:style w:type="character" w:customStyle="1" w:styleId="Ttulo5Car">
    <w:name w:val="Título 5 Car"/>
    <w:basedOn w:val="Fuentedeprrafopredeter"/>
    <w:link w:val="Ttulo5"/>
    <w:uiPriority w:val="9"/>
    <w:rsid w:val="00A81970"/>
    <w:rPr>
      <w:rFonts w:asciiTheme="majorHAnsi" w:eastAsiaTheme="majorEastAsia" w:hAnsiTheme="majorHAnsi" w:cstheme="majorBidi"/>
      <w:color w:val="2E74B5" w:themeColor="accent1" w:themeShade="BF"/>
      <w:sz w:val="24"/>
      <w:szCs w:val="24"/>
      <w:lang w:val="es-ES_tradnl"/>
    </w:rPr>
  </w:style>
  <w:style w:type="paragraph" w:styleId="Lista">
    <w:name w:val="List"/>
    <w:basedOn w:val="Normal"/>
    <w:uiPriority w:val="99"/>
    <w:unhideWhenUsed/>
    <w:rsid w:val="00A81970"/>
    <w:pPr>
      <w:ind w:left="283" w:hanging="283"/>
      <w:contextualSpacing/>
    </w:pPr>
  </w:style>
  <w:style w:type="paragraph" w:styleId="Lista2">
    <w:name w:val="List 2"/>
    <w:basedOn w:val="Normal"/>
    <w:uiPriority w:val="99"/>
    <w:unhideWhenUsed/>
    <w:rsid w:val="00A81970"/>
    <w:pPr>
      <w:ind w:left="566" w:hanging="283"/>
      <w:contextualSpacing/>
    </w:pPr>
  </w:style>
  <w:style w:type="paragraph" w:styleId="Cierre">
    <w:name w:val="Closing"/>
    <w:basedOn w:val="Normal"/>
    <w:link w:val="CierreCar"/>
    <w:uiPriority w:val="99"/>
    <w:unhideWhenUsed/>
    <w:rsid w:val="00A81970"/>
    <w:pPr>
      <w:ind w:left="4252"/>
    </w:pPr>
  </w:style>
  <w:style w:type="character" w:customStyle="1" w:styleId="CierreCar">
    <w:name w:val="Cierre Car"/>
    <w:basedOn w:val="Fuentedeprrafopredeter"/>
    <w:link w:val="Cierre"/>
    <w:uiPriority w:val="99"/>
    <w:rsid w:val="00A81970"/>
    <w:rPr>
      <w:rFonts w:ascii="Times New Roman" w:eastAsia="MS Mincho" w:hAnsi="Times New Roman" w:cs="Times New Roman"/>
      <w:sz w:val="24"/>
      <w:szCs w:val="24"/>
      <w:lang w:val="es-ES_tradnl"/>
    </w:rPr>
  </w:style>
  <w:style w:type="paragraph" w:styleId="Continuarlista">
    <w:name w:val="List Continue"/>
    <w:basedOn w:val="Normal"/>
    <w:uiPriority w:val="99"/>
    <w:unhideWhenUsed/>
    <w:rsid w:val="00A81970"/>
    <w:pPr>
      <w:spacing w:after="120"/>
      <w:ind w:left="283"/>
      <w:contextualSpacing/>
    </w:pPr>
  </w:style>
  <w:style w:type="paragraph" w:styleId="Ttulo">
    <w:name w:val="Title"/>
    <w:basedOn w:val="Normal"/>
    <w:next w:val="Normal"/>
    <w:link w:val="TtuloCar"/>
    <w:uiPriority w:val="10"/>
    <w:qFormat/>
    <w:rsid w:val="00A81970"/>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81970"/>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A8197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A81970"/>
    <w:rPr>
      <w:rFonts w:eastAsiaTheme="minorEastAsia"/>
      <w:color w:val="5A5A5A" w:themeColor="text1" w:themeTint="A5"/>
      <w:spacing w:val="15"/>
      <w:lang w:val="es-ES_tradnl"/>
    </w:rPr>
  </w:style>
  <w:style w:type="paragraph" w:styleId="Textoindependienteprimerasangra2">
    <w:name w:val="Body Text First Indent 2"/>
    <w:basedOn w:val="Sangradetextonormal"/>
    <w:link w:val="Textoindependienteprimerasangra2Car"/>
    <w:uiPriority w:val="99"/>
    <w:unhideWhenUsed/>
    <w:rsid w:val="00A8197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81970"/>
    <w:rPr>
      <w:rFonts w:ascii="Times New Roman" w:eastAsia="MS Mincho" w:hAnsi="Times New Roman" w:cs="Times New Roman"/>
      <w:sz w:val="24"/>
      <w:szCs w:val="24"/>
      <w:lang w:val="es-ES_tradnl"/>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7A5B93"/>
    <w:pPr>
      <w:spacing w:after="160" w:line="240" w:lineRule="exact"/>
    </w:pPr>
    <w:rPr>
      <w:rFonts w:asciiTheme="minorHAnsi" w:eastAsiaTheme="minorHAnsi" w:hAnsiTheme="minorHAnsi" w:cstheme="minorBidi"/>
      <w:sz w:val="22"/>
      <w:szCs w:val="22"/>
      <w:vertAlign w:val="superscript"/>
      <w:lang w:val="es-GT"/>
    </w:rPr>
  </w:style>
  <w:style w:type="character" w:styleId="nfasis">
    <w:name w:val="Emphasis"/>
    <w:basedOn w:val="Fuentedeprrafopredeter"/>
    <w:uiPriority w:val="20"/>
    <w:qFormat/>
    <w:rsid w:val="007A5B93"/>
    <w:rPr>
      <w:i/>
      <w:iCs/>
    </w:rPr>
  </w:style>
  <w:style w:type="paragraph" w:styleId="Revisin">
    <w:name w:val="Revision"/>
    <w:hidden/>
    <w:uiPriority w:val="99"/>
    <w:semiHidden/>
    <w:rsid w:val="00143205"/>
    <w:pPr>
      <w:spacing w:after="0" w:line="240" w:lineRule="auto"/>
    </w:pPr>
    <w:rPr>
      <w:rFonts w:ascii="Times New Roman" w:eastAsia="MS Mincho" w:hAnsi="Times New Roman" w:cs="Times New Roman"/>
      <w:sz w:val="24"/>
      <w:szCs w:val="24"/>
      <w:lang w:val="es-ES_tradnl"/>
    </w:rPr>
  </w:style>
  <w:style w:type="character" w:styleId="Mencinsinresolver">
    <w:name w:val="Unresolved Mention"/>
    <w:basedOn w:val="Fuentedeprrafopredeter"/>
    <w:uiPriority w:val="99"/>
    <w:semiHidden/>
    <w:unhideWhenUsed/>
    <w:rsid w:val="00CD2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9140">
      <w:bodyDiv w:val="1"/>
      <w:marLeft w:val="0"/>
      <w:marRight w:val="0"/>
      <w:marTop w:val="0"/>
      <w:marBottom w:val="0"/>
      <w:divBdr>
        <w:top w:val="none" w:sz="0" w:space="0" w:color="auto"/>
        <w:left w:val="none" w:sz="0" w:space="0" w:color="auto"/>
        <w:bottom w:val="none" w:sz="0" w:space="0" w:color="auto"/>
        <w:right w:val="none" w:sz="0" w:space="0" w:color="auto"/>
      </w:divBdr>
    </w:div>
    <w:div w:id="5719391">
      <w:bodyDiv w:val="1"/>
      <w:marLeft w:val="0"/>
      <w:marRight w:val="0"/>
      <w:marTop w:val="0"/>
      <w:marBottom w:val="0"/>
      <w:divBdr>
        <w:top w:val="none" w:sz="0" w:space="0" w:color="auto"/>
        <w:left w:val="none" w:sz="0" w:space="0" w:color="auto"/>
        <w:bottom w:val="none" w:sz="0" w:space="0" w:color="auto"/>
        <w:right w:val="none" w:sz="0" w:space="0" w:color="auto"/>
      </w:divBdr>
    </w:div>
    <w:div w:id="161702972">
      <w:bodyDiv w:val="1"/>
      <w:marLeft w:val="0"/>
      <w:marRight w:val="0"/>
      <w:marTop w:val="0"/>
      <w:marBottom w:val="0"/>
      <w:divBdr>
        <w:top w:val="none" w:sz="0" w:space="0" w:color="auto"/>
        <w:left w:val="none" w:sz="0" w:space="0" w:color="auto"/>
        <w:bottom w:val="none" w:sz="0" w:space="0" w:color="auto"/>
        <w:right w:val="none" w:sz="0" w:space="0" w:color="auto"/>
      </w:divBdr>
    </w:div>
    <w:div w:id="255869153">
      <w:bodyDiv w:val="1"/>
      <w:marLeft w:val="0"/>
      <w:marRight w:val="0"/>
      <w:marTop w:val="0"/>
      <w:marBottom w:val="0"/>
      <w:divBdr>
        <w:top w:val="none" w:sz="0" w:space="0" w:color="auto"/>
        <w:left w:val="none" w:sz="0" w:space="0" w:color="auto"/>
        <w:bottom w:val="none" w:sz="0" w:space="0" w:color="auto"/>
        <w:right w:val="none" w:sz="0" w:space="0" w:color="auto"/>
      </w:divBdr>
    </w:div>
    <w:div w:id="268008759">
      <w:bodyDiv w:val="1"/>
      <w:marLeft w:val="0"/>
      <w:marRight w:val="0"/>
      <w:marTop w:val="0"/>
      <w:marBottom w:val="0"/>
      <w:divBdr>
        <w:top w:val="none" w:sz="0" w:space="0" w:color="auto"/>
        <w:left w:val="none" w:sz="0" w:space="0" w:color="auto"/>
        <w:bottom w:val="none" w:sz="0" w:space="0" w:color="auto"/>
        <w:right w:val="none" w:sz="0" w:space="0" w:color="auto"/>
      </w:divBdr>
      <w:divsChild>
        <w:div w:id="1464077634">
          <w:marLeft w:val="446"/>
          <w:marRight w:val="0"/>
          <w:marTop w:val="0"/>
          <w:marBottom w:val="0"/>
          <w:divBdr>
            <w:top w:val="none" w:sz="0" w:space="0" w:color="auto"/>
            <w:left w:val="none" w:sz="0" w:space="0" w:color="auto"/>
            <w:bottom w:val="none" w:sz="0" w:space="0" w:color="auto"/>
            <w:right w:val="none" w:sz="0" w:space="0" w:color="auto"/>
          </w:divBdr>
        </w:div>
        <w:div w:id="1338121761">
          <w:marLeft w:val="446"/>
          <w:marRight w:val="0"/>
          <w:marTop w:val="0"/>
          <w:marBottom w:val="0"/>
          <w:divBdr>
            <w:top w:val="none" w:sz="0" w:space="0" w:color="auto"/>
            <w:left w:val="none" w:sz="0" w:space="0" w:color="auto"/>
            <w:bottom w:val="none" w:sz="0" w:space="0" w:color="auto"/>
            <w:right w:val="none" w:sz="0" w:space="0" w:color="auto"/>
          </w:divBdr>
        </w:div>
        <w:div w:id="482700394">
          <w:marLeft w:val="446"/>
          <w:marRight w:val="0"/>
          <w:marTop w:val="0"/>
          <w:marBottom w:val="0"/>
          <w:divBdr>
            <w:top w:val="none" w:sz="0" w:space="0" w:color="auto"/>
            <w:left w:val="none" w:sz="0" w:space="0" w:color="auto"/>
            <w:bottom w:val="none" w:sz="0" w:space="0" w:color="auto"/>
            <w:right w:val="none" w:sz="0" w:space="0" w:color="auto"/>
          </w:divBdr>
        </w:div>
        <w:div w:id="1044601349">
          <w:marLeft w:val="446"/>
          <w:marRight w:val="0"/>
          <w:marTop w:val="0"/>
          <w:marBottom w:val="0"/>
          <w:divBdr>
            <w:top w:val="none" w:sz="0" w:space="0" w:color="auto"/>
            <w:left w:val="none" w:sz="0" w:space="0" w:color="auto"/>
            <w:bottom w:val="none" w:sz="0" w:space="0" w:color="auto"/>
            <w:right w:val="none" w:sz="0" w:space="0" w:color="auto"/>
          </w:divBdr>
        </w:div>
        <w:div w:id="77682254">
          <w:marLeft w:val="446"/>
          <w:marRight w:val="0"/>
          <w:marTop w:val="0"/>
          <w:marBottom w:val="0"/>
          <w:divBdr>
            <w:top w:val="none" w:sz="0" w:space="0" w:color="auto"/>
            <w:left w:val="none" w:sz="0" w:space="0" w:color="auto"/>
            <w:bottom w:val="none" w:sz="0" w:space="0" w:color="auto"/>
            <w:right w:val="none" w:sz="0" w:space="0" w:color="auto"/>
          </w:divBdr>
        </w:div>
        <w:div w:id="799226336">
          <w:marLeft w:val="446"/>
          <w:marRight w:val="0"/>
          <w:marTop w:val="0"/>
          <w:marBottom w:val="0"/>
          <w:divBdr>
            <w:top w:val="none" w:sz="0" w:space="0" w:color="auto"/>
            <w:left w:val="none" w:sz="0" w:space="0" w:color="auto"/>
            <w:bottom w:val="none" w:sz="0" w:space="0" w:color="auto"/>
            <w:right w:val="none" w:sz="0" w:space="0" w:color="auto"/>
          </w:divBdr>
        </w:div>
        <w:div w:id="1890916553">
          <w:marLeft w:val="446"/>
          <w:marRight w:val="0"/>
          <w:marTop w:val="0"/>
          <w:marBottom w:val="0"/>
          <w:divBdr>
            <w:top w:val="none" w:sz="0" w:space="0" w:color="auto"/>
            <w:left w:val="none" w:sz="0" w:space="0" w:color="auto"/>
            <w:bottom w:val="none" w:sz="0" w:space="0" w:color="auto"/>
            <w:right w:val="none" w:sz="0" w:space="0" w:color="auto"/>
          </w:divBdr>
        </w:div>
        <w:div w:id="1732537740">
          <w:marLeft w:val="446"/>
          <w:marRight w:val="0"/>
          <w:marTop w:val="0"/>
          <w:marBottom w:val="0"/>
          <w:divBdr>
            <w:top w:val="none" w:sz="0" w:space="0" w:color="auto"/>
            <w:left w:val="none" w:sz="0" w:space="0" w:color="auto"/>
            <w:bottom w:val="none" w:sz="0" w:space="0" w:color="auto"/>
            <w:right w:val="none" w:sz="0" w:space="0" w:color="auto"/>
          </w:divBdr>
        </w:div>
        <w:div w:id="476385326">
          <w:marLeft w:val="446"/>
          <w:marRight w:val="0"/>
          <w:marTop w:val="0"/>
          <w:marBottom w:val="0"/>
          <w:divBdr>
            <w:top w:val="none" w:sz="0" w:space="0" w:color="auto"/>
            <w:left w:val="none" w:sz="0" w:space="0" w:color="auto"/>
            <w:bottom w:val="none" w:sz="0" w:space="0" w:color="auto"/>
            <w:right w:val="none" w:sz="0" w:space="0" w:color="auto"/>
          </w:divBdr>
        </w:div>
        <w:div w:id="246381046">
          <w:marLeft w:val="446"/>
          <w:marRight w:val="0"/>
          <w:marTop w:val="0"/>
          <w:marBottom w:val="0"/>
          <w:divBdr>
            <w:top w:val="none" w:sz="0" w:space="0" w:color="auto"/>
            <w:left w:val="none" w:sz="0" w:space="0" w:color="auto"/>
            <w:bottom w:val="none" w:sz="0" w:space="0" w:color="auto"/>
            <w:right w:val="none" w:sz="0" w:space="0" w:color="auto"/>
          </w:divBdr>
        </w:div>
      </w:divsChild>
    </w:div>
    <w:div w:id="458914329">
      <w:bodyDiv w:val="1"/>
      <w:marLeft w:val="0"/>
      <w:marRight w:val="0"/>
      <w:marTop w:val="0"/>
      <w:marBottom w:val="0"/>
      <w:divBdr>
        <w:top w:val="none" w:sz="0" w:space="0" w:color="auto"/>
        <w:left w:val="none" w:sz="0" w:space="0" w:color="auto"/>
        <w:bottom w:val="none" w:sz="0" w:space="0" w:color="auto"/>
        <w:right w:val="none" w:sz="0" w:space="0" w:color="auto"/>
      </w:divBdr>
    </w:div>
    <w:div w:id="477847123">
      <w:bodyDiv w:val="1"/>
      <w:marLeft w:val="0"/>
      <w:marRight w:val="0"/>
      <w:marTop w:val="0"/>
      <w:marBottom w:val="0"/>
      <w:divBdr>
        <w:top w:val="none" w:sz="0" w:space="0" w:color="auto"/>
        <w:left w:val="none" w:sz="0" w:space="0" w:color="auto"/>
        <w:bottom w:val="none" w:sz="0" w:space="0" w:color="auto"/>
        <w:right w:val="none" w:sz="0" w:space="0" w:color="auto"/>
      </w:divBdr>
    </w:div>
    <w:div w:id="712389276">
      <w:bodyDiv w:val="1"/>
      <w:marLeft w:val="0"/>
      <w:marRight w:val="0"/>
      <w:marTop w:val="0"/>
      <w:marBottom w:val="0"/>
      <w:divBdr>
        <w:top w:val="none" w:sz="0" w:space="0" w:color="auto"/>
        <w:left w:val="none" w:sz="0" w:space="0" w:color="auto"/>
        <w:bottom w:val="none" w:sz="0" w:space="0" w:color="auto"/>
        <w:right w:val="none" w:sz="0" w:space="0" w:color="auto"/>
      </w:divBdr>
    </w:div>
    <w:div w:id="850335526">
      <w:bodyDiv w:val="1"/>
      <w:marLeft w:val="0"/>
      <w:marRight w:val="0"/>
      <w:marTop w:val="0"/>
      <w:marBottom w:val="0"/>
      <w:divBdr>
        <w:top w:val="none" w:sz="0" w:space="0" w:color="auto"/>
        <w:left w:val="none" w:sz="0" w:space="0" w:color="auto"/>
        <w:bottom w:val="none" w:sz="0" w:space="0" w:color="auto"/>
        <w:right w:val="none" w:sz="0" w:space="0" w:color="auto"/>
      </w:divBdr>
    </w:div>
    <w:div w:id="999381037">
      <w:bodyDiv w:val="1"/>
      <w:marLeft w:val="0"/>
      <w:marRight w:val="0"/>
      <w:marTop w:val="0"/>
      <w:marBottom w:val="0"/>
      <w:divBdr>
        <w:top w:val="none" w:sz="0" w:space="0" w:color="auto"/>
        <w:left w:val="none" w:sz="0" w:space="0" w:color="auto"/>
        <w:bottom w:val="none" w:sz="0" w:space="0" w:color="auto"/>
        <w:right w:val="none" w:sz="0" w:space="0" w:color="auto"/>
      </w:divBdr>
    </w:div>
    <w:div w:id="1703625999">
      <w:bodyDiv w:val="1"/>
      <w:marLeft w:val="0"/>
      <w:marRight w:val="0"/>
      <w:marTop w:val="0"/>
      <w:marBottom w:val="0"/>
      <w:divBdr>
        <w:top w:val="none" w:sz="0" w:space="0" w:color="auto"/>
        <w:left w:val="none" w:sz="0" w:space="0" w:color="auto"/>
        <w:bottom w:val="none" w:sz="0" w:space="0" w:color="auto"/>
        <w:right w:val="none" w:sz="0" w:space="0" w:color="auto"/>
      </w:divBdr>
    </w:div>
    <w:div w:id="18856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oas.org/es/CIDH/jsForm/?File=/es/cidh/prensa/comunicados/2021/203.asp" TargetMode="External"/><Relationship Id="rId2" Type="http://schemas.openxmlformats.org/officeDocument/2006/relationships/hyperlink" Target="https://www.corteidh.or.cr/docs/casos/articulos/seriec_262_esp.pdf" TargetMode="External"/><Relationship Id="rId1" Type="http://schemas.openxmlformats.org/officeDocument/2006/relationships/hyperlink" Target="https://www.corteidh.or.cr/docs/casos/articulos/seriec_253_esp1.pdf" TargetMode="External"/><Relationship Id="rId6" Type="http://schemas.openxmlformats.org/officeDocument/2006/relationships/hyperlink" Target="http://www.oas.org/es/cidh/docs/anual/2021/capitulos/IA2021cap4B.Guatemala-es.pdf" TargetMode="External"/><Relationship Id="rId5" Type="http://schemas.openxmlformats.org/officeDocument/2006/relationships/hyperlink" Target="http://www.oas.org/es/CIDH/jsForm/?File=/es/cidh/prensa/comunicados/2021/203.asp" TargetMode="External"/><Relationship Id="rId4" Type="http://schemas.openxmlformats.org/officeDocument/2006/relationships/hyperlink" Target="https://www.oas.org/es/cidh/decisiones/pdf/2016/mc366-16-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E6EC2-E9C3-43F8-A8EF-D5655B7D9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6860</Words>
  <Characters>37733</Characters>
  <Application>Microsoft Office Word</Application>
  <DocSecurity>0</DocSecurity>
  <Lines>314</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2022-07-09T00:48:00Z</cp:lastPrinted>
  <dcterms:created xsi:type="dcterms:W3CDTF">2022-07-12T19:33:00Z</dcterms:created>
  <dcterms:modified xsi:type="dcterms:W3CDTF">2022-07-12T19:33:00Z</dcterms:modified>
</cp:coreProperties>
</file>