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8BF4D" w14:textId="77777777" w:rsidR="00962592" w:rsidRPr="00805525" w:rsidRDefault="00962592" w:rsidP="008B644A">
      <w:pPr>
        <w:suppressAutoHyphens/>
        <w:spacing w:after="0" w:line="240" w:lineRule="auto"/>
        <w:jc w:val="right"/>
        <w:rPr>
          <w:rFonts w:ascii="Cambria" w:hAnsi="Cambria" w:cs="Arial"/>
          <w:sz w:val="20"/>
          <w:szCs w:val="20"/>
          <w:lang w:val="es-ES"/>
        </w:rPr>
      </w:pPr>
    </w:p>
    <w:p w14:paraId="27BFC29E" w14:textId="77777777" w:rsidR="009C28B6" w:rsidRPr="00805525" w:rsidRDefault="005E3645" w:rsidP="008B644A">
      <w:pPr>
        <w:suppressAutoHyphens/>
        <w:spacing w:after="0" w:line="240" w:lineRule="auto"/>
        <w:jc w:val="right"/>
        <w:rPr>
          <w:rFonts w:ascii="Cambria" w:hAnsi="Cambria" w:cs="Arial"/>
          <w:sz w:val="20"/>
          <w:szCs w:val="20"/>
          <w:lang w:val="pt-BR"/>
        </w:rPr>
      </w:pPr>
      <w:r w:rsidRPr="00805525">
        <w:rPr>
          <w:rFonts w:ascii="Cambria" w:hAnsi="Cambria" w:cs="Arial"/>
          <w:sz w:val="20"/>
          <w:szCs w:val="20"/>
          <w:lang w:val="pt-BR"/>
        </w:rPr>
        <w:t>22 de enero</w:t>
      </w:r>
      <w:r w:rsidR="00AE0BBF" w:rsidRPr="00805525">
        <w:rPr>
          <w:rFonts w:ascii="Cambria" w:hAnsi="Cambria" w:cs="Arial"/>
          <w:sz w:val="20"/>
          <w:szCs w:val="20"/>
          <w:lang w:val="pt-BR"/>
        </w:rPr>
        <w:t xml:space="preserve"> de 202</w:t>
      </w:r>
      <w:r w:rsidRPr="00805525">
        <w:rPr>
          <w:rFonts w:ascii="Cambria" w:hAnsi="Cambria" w:cs="Arial"/>
          <w:sz w:val="20"/>
          <w:szCs w:val="20"/>
          <w:lang w:val="pt-BR"/>
        </w:rPr>
        <w:t>2</w:t>
      </w:r>
    </w:p>
    <w:p w14:paraId="0299F27B" w14:textId="77777777" w:rsidR="00AE0BBF" w:rsidRPr="00805525" w:rsidRDefault="00AE0BBF" w:rsidP="008B644A">
      <w:pPr>
        <w:suppressAutoHyphens/>
        <w:spacing w:after="0" w:line="240" w:lineRule="auto"/>
        <w:jc w:val="right"/>
        <w:rPr>
          <w:rFonts w:ascii="Cambria" w:hAnsi="Cambria" w:cs="Arial"/>
          <w:b/>
          <w:sz w:val="20"/>
          <w:szCs w:val="20"/>
          <w:lang w:val="pt-BR"/>
        </w:rPr>
      </w:pPr>
    </w:p>
    <w:p w14:paraId="66F80C4F" w14:textId="77777777" w:rsidR="009C28B6" w:rsidRPr="00805525" w:rsidRDefault="009C28B6" w:rsidP="008B644A">
      <w:pPr>
        <w:tabs>
          <w:tab w:val="left" w:pos="720"/>
          <w:tab w:val="center" w:pos="6480"/>
        </w:tabs>
        <w:spacing w:after="0" w:line="240" w:lineRule="auto"/>
        <w:jc w:val="both"/>
        <w:rPr>
          <w:rFonts w:ascii="Cambria" w:hAnsi="Cambria" w:cs="Arial"/>
          <w:b/>
          <w:sz w:val="20"/>
          <w:szCs w:val="20"/>
          <w:lang w:val="pt-BR"/>
        </w:rPr>
      </w:pPr>
      <w:r w:rsidRPr="00805525">
        <w:rPr>
          <w:rFonts w:ascii="Cambria" w:hAnsi="Cambria" w:cs="Arial"/>
          <w:b/>
          <w:sz w:val="20"/>
          <w:szCs w:val="20"/>
          <w:lang w:val="pt-BR"/>
        </w:rPr>
        <w:t>R</w:t>
      </w:r>
      <w:r w:rsidR="00962592" w:rsidRPr="00805525">
        <w:rPr>
          <w:rFonts w:ascii="Cambria" w:hAnsi="Cambria" w:cs="Arial"/>
          <w:b/>
          <w:sz w:val="20"/>
          <w:szCs w:val="20"/>
          <w:lang w:val="pt-BR"/>
        </w:rPr>
        <w:t>EF</w:t>
      </w:r>
      <w:r w:rsidRPr="00805525">
        <w:rPr>
          <w:rFonts w:ascii="Cambria" w:hAnsi="Cambria" w:cs="Arial"/>
          <w:b/>
          <w:sz w:val="20"/>
          <w:szCs w:val="20"/>
          <w:lang w:val="pt-BR"/>
        </w:rPr>
        <w:t>.:</w:t>
      </w:r>
      <w:bookmarkStart w:id="0" w:name="Peticion_n"/>
      <w:bookmarkEnd w:id="0"/>
      <w:r w:rsidR="00962592" w:rsidRPr="00805525">
        <w:rPr>
          <w:rFonts w:ascii="Cambria" w:hAnsi="Cambria" w:cs="Arial"/>
          <w:b/>
          <w:sz w:val="20"/>
          <w:szCs w:val="20"/>
          <w:lang w:val="pt-BR"/>
        </w:rPr>
        <w:tab/>
        <w:t>Caso Nº</w:t>
      </w:r>
      <w:r w:rsidRPr="00805525">
        <w:rPr>
          <w:rFonts w:ascii="Cambria" w:hAnsi="Cambria" w:cs="Arial"/>
          <w:b/>
          <w:sz w:val="20"/>
          <w:szCs w:val="20"/>
          <w:lang w:val="pt-BR"/>
        </w:rPr>
        <w:t xml:space="preserve"> </w:t>
      </w:r>
      <w:r w:rsidR="005E3645" w:rsidRPr="00805525">
        <w:rPr>
          <w:rFonts w:ascii="Cambria" w:hAnsi="Cambria" w:cs="Arial"/>
          <w:b/>
          <w:sz w:val="20"/>
          <w:szCs w:val="20"/>
          <w:lang w:val="pt-BR"/>
        </w:rPr>
        <w:t>12.322</w:t>
      </w:r>
    </w:p>
    <w:p w14:paraId="54FD124F" w14:textId="77777777" w:rsidR="005E3645" w:rsidRPr="00805525" w:rsidRDefault="005E3645" w:rsidP="008B644A">
      <w:pPr>
        <w:tabs>
          <w:tab w:val="left" w:pos="720"/>
          <w:tab w:val="center" w:pos="6480"/>
        </w:tabs>
        <w:spacing w:after="0" w:line="240" w:lineRule="auto"/>
        <w:ind w:left="720"/>
        <w:jc w:val="both"/>
        <w:rPr>
          <w:rFonts w:ascii="Cambria" w:hAnsi="Cambria" w:cs="Arial"/>
          <w:b/>
          <w:sz w:val="20"/>
          <w:szCs w:val="20"/>
          <w:lang w:val="pt-BR"/>
        </w:rPr>
      </w:pPr>
      <w:r w:rsidRPr="00805525">
        <w:rPr>
          <w:rFonts w:ascii="Cambria" w:hAnsi="Cambria" w:cs="Arial"/>
          <w:b/>
          <w:sz w:val="20"/>
          <w:szCs w:val="20"/>
          <w:lang w:val="pt-BR"/>
        </w:rPr>
        <w:t xml:space="preserve">Antonio González Méndez </w:t>
      </w:r>
    </w:p>
    <w:p w14:paraId="0BB448DA" w14:textId="77777777" w:rsidR="009C28B6" w:rsidRPr="00805525" w:rsidRDefault="000E5685" w:rsidP="008B644A">
      <w:pPr>
        <w:tabs>
          <w:tab w:val="left" w:pos="720"/>
          <w:tab w:val="center" w:pos="6480"/>
        </w:tabs>
        <w:spacing w:after="0" w:line="240" w:lineRule="auto"/>
        <w:ind w:left="720"/>
        <w:jc w:val="both"/>
        <w:rPr>
          <w:rFonts w:ascii="Cambria" w:hAnsi="Cambria" w:cs="Arial"/>
          <w:b/>
          <w:sz w:val="20"/>
          <w:szCs w:val="20"/>
          <w:lang w:val="pt-BR"/>
        </w:rPr>
      </w:pPr>
      <w:r w:rsidRPr="00805525">
        <w:rPr>
          <w:rFonts w:ascii="Cambria" w:hAnsi="Cambria" w:cs="Arial"/>
          <w:b/>
          <w:sz w:val="20"/>
          <w:szCs w:val="20"/>
          <w:lang w:val="pt-BR"/>
        </w:rPr>
        <w:t>México</w:t>
      </w:r>
    </w:p>
    <w:p w14:paraId="1E5B991B" w14:textId="77777777" w:rsidR="009C28B6" w:rsidRPr="00805525" w:rsidRDefault="009C28B6" w:rsidP="008B644A">
      <w:pPr>
        <w:tabs>
          <w:tab w:val="left" w:pos="720"/>
          <w:tab w:val="center" w:pos="6480"/>
        </w:tabs>
        <w:spacing w:after="0" w:line="240" w:lineRule="auto"/>
        <w:jc w:val="both"/>
        <w:rPr>
          <w:rFonts w:ascii="Cambria" w:hAnsi="Cambria" w:cs="Arial"/>
          <w:sz w:val="20"/>
          <w:szCs w:val="20"/>
          <w:lang w:val="pt-BR"/>
        </w:rPr>
      </w:pPr>
    </w:p>
    <w:p w14:paraId="3B0D6658" w14:textId="77777777" w:rsidR="00962592" w:rsidRPr="00805525" w:rsidRDefault="00962592" w:rsidP="008B644A">
      <w:pPr>
        <w:tabs>
          <w:tab w:val="left" w:pos="720"/>
          <w:tab w:val="center" w:pos="6480"/>
        </w:tabs>
        <w:spacing w:after="0" w:line="240" w:lineRule="auto"/>
        <w:jc w:val="both"/>
        <w:rPr>
          <w:rFonts w:ascii="Cambria" w:hAnsi="Cambria" w:cs="Arial"/>
          <w:sz w:val="20"/>
          <w:szCs w:val="20"/>
          <w:lang w:val="pt-BR"/>
        </w:rPr>
      </w:pPr>
    </w:p>
    <w:p w14:paraId="0C1C0707" w14:textId="77777777" w:rsidR="009C28B6" w:rsidRPr="00805525" w:rsidRDefault="009C28B6" w:rsidP="008B644A">
      <w:pPr>
        <w:tabs>
          <w:tab w:val="left" w:pos="720"/>
          <w:tab w:val="center" w:pos="6480"/>
        </w:tabs>
        <w:spacing w:after="0" w:line="240" w:lineRule="auto"/>
        <w:jc w:val="both"/>
        <w:rPr>
          <w:rFonts w:ascii="Cambria" w:hAnsi="Cambria" w:cs="Arial"/>
          <w:sz w:val="20"/>
          <w:szCs w:val="20"/>
          <w:lang w:val="es-PE"/>
        </w:rPr>
      </w:pPr>
      <w:r w:rsidRPr="00805525">
        <w:rPr>
          <w:rFonts w:ascii="Cambria" w:hAnsi="Cambria" w:cs="Arial"/>
          <w:sz w:val="20"/>
          <w:szCs w:val="20"/>
          <w:lang w:val="es-PE"/>
        </w:rPr>
        <w:t>Señor Secretario:</w:t>
      </w:r>
    </w:p>
    <w:p w14:paraId="2A464ED7" w14:textId="77777777" w:rsidR="009C28B6" w:rsidRPr="00805525" w:rsidRDefault="009C28B6" w:rsidP="008B644A">
      <w:pPr>
        <w:spacing w:after="0" w:line="240" w:lineRule="auto"/>
        <w:rPr>
          <w:rFonts w:ascii="Cambria" w:hAnsi="Cambria" w:cs="Arial"/>
          <w:sz w:val="20"/>
          <w:szCs w:val="20"/>
          <w:lang w:val="es-CO"/>
        </w:rPr>
      </w:pPr>
    </w:p>
    <w:p w14:paraId="664B69E4" w14:textId="77777777" w:rsidR="00E95989" w:rsidRPr="00805525" w:rsidRDefault="00AE0BBF" w:rsidP="00E95989">
      <w:pPr>
        <w:suppressAutoHyphens/>
        <w:spacing w:after="0" w:line="240" w:lineRule="auto"/>
        <w:jc w:val="both"/>
        <w:rPr>
          <w:rFonts w:ascii="Cambria" w:hAnsi="Cambria" w:cs="Arial"/>
          <w:snapToGrid w:val="0"/>
          <w:sz w:val="20"/>
          <w:szCs w:val="20"/>
          <w:lang w:val="es-ES_tradnl"/>
        </w:rPr>
      </w:pPr>
      <w:r w:rsidRPr="00805525">
        <w:rPr>
          <w:rFonts w:ascii="Cambria" w:hAnsi="Cambria"/>
          <w:sz w:val="20"/>
          <w:szCs w:val="20"/>
          <w:lang w:val="es-ES"/>
        </w:rPr>
        <w:tab/>
      </w:r>
      <w:r w:rsidR="009C28B6" w:rsidRPr="00805525">
        <w:rPr>
          <w:rFonts w:ascii="Cambria" w:hAnsi="Cambria"/>
          <w:sz w:val="20"/>
          <w:szCs w:val="20"/>
          <w:lang w:val="es-ES"/>
        </w:rPr>
        <w:t>Tengo el agrado de dirigirme a usted</w:t>
      </w:r>
      <w:r w:rsidR="00962592" w:rsidRPr="00805525">
        <w:rPr>
          <w:rFonts w:ascii="Cambria" w:hAnsi="Cambria"/>
          <w:sz w:val="20"/>
          <w:szCs w:val="20"/>
          <w:lang w:val="es-ES"/>
        </w:rPr>
        <w:t>,</w:t>
      </w:r>
      <w:r w:rsidR="009C28B6" w:rsidRPr="00805525">
        <w:rPr>
          <w:rFonts w:ascii="Cambria" w:hAnsi="Cambria"/>
          <w:sz w:val="20"/>
          <w:szCs w:val="20"/>
          <w:lang w:val="es-ES"/>
        </w:rPr>
        <w:t xml:space="preserve"> en nombre de la Comisión Interamericana de Derechos Humanos</w:t>
      </w:r>
      <w:r w:rsidR="00962592" w:rsidRPr="00805525">
        <w:rPr>
          <w:rFonts w:ascii="Cambria" w:hAnsi="Cambria"/>
          <w:sz w:val="20"/>
          <w:szCs w:val="20"/>
          <w:lang w:val="es-ES"/>
        </w:rPr>
        <w:t>,</w:t>
      </w:r>
      <w:r w:rsidR="009C28B6" w:rsidRPr="00805525">
        <w:rPr>
          <w:rFonts w:ascii="Cambria" w:hAnsi="Cambria"/>
          <w:sz w:val="20"/>
          <w:szCs w:val="20"/>
          <w:lang w:val="es-ES"/>
        </w:rPr>
        <w:t xml:space="preserve"> con el objeto de someter a la jurisdicción de la Honorable Corte Interamericana de Derechos Humanos</w:t>
      </w:r>
      <w:r w:rsidR="00962592" w:rsidRPr="00805525">
        <w:rPr>
          <w:rFonts w:ascii="Cambria" w:hAnsi="Cambria"/>
          <w:sz w:val="20"/>
          <w:szCs w:val="20"/>
          <w:lang w:val="es-ES"/>
        </w:rPr>
        <w:t xml:space="preserve"> </w:t>
      </w:r>
      <w:r w:rsidR="00FD39C8" w:rsidRPr="00805525">
        <w:rPr>
          <w:rFonts w:ascii="Cambria" w:hAnsi="Cambria"/>
          <w:sz w:val="20"/>
          <w:szCs w:val="20"/>
          <w:lang w:val="es-ES"/>
        </w:rPr>
        <w:t>(en adelante “la CIDH”, “el Estado mexicano” o “México”)</w:t>
      </w:r>
      <w:r w:rsidR="00AB7D24" w:rsidRPr="00805525">
        <w:rPr>
          <w:rFonts w:ascii="Cambria" w:hAnsi="Cambria"/>
          <w:sz w:val="20"/>
          <w:szCs w:val="20"/>
          <w:lang w:val="es-ES"/>
        </w:rPr>
        <w:t xml:space="preserve"> </w:t>
      </w:r>
      <w:r w:rsidR="00962592" w:rsidRPr="00805525">
        <w:rPr>
          <w:rFonts w:ascii="Cambria" w:hAnsi="Cambria"/>
          <w:sz w:val="20"/>
          <w:szCs w:val="20"/>
          <w:lang w:val="es-ES"/>
        </w:rPr>
        <w:t>el C</w:t>
      </w:r>
      <w:r w:rsidR="009C28B6" w:rsidRPr="00805525">
        <w:rPr>
          <w:rFonts w:ascii="Cambria" w:hAnsi="Cambria"/>
          <w:sz w:val="20"/>
          <w:szCs w:val="20"/>
          <w:lang w:val="es-ES"/>
        </w:rPr>
        <w:t xml:space="preserve">aso </w:t>
      </w:r>
      <w:r w:rsidR="00962592" w:rsidRPr="00805525">
        <w:rPr>
          <w:rFonts w:ascii="Cambria" w:hAnsi="Cambria"/>
          <w:sz w:val="20"/>
          <w:szCs w:val="20"/>
          <w:lang w:val="es-ES"/>
        </w:rPr>
        <w:t xml:space="preserve">Nº </w:t>
      </w:r>
      <w:r w:rsidR="00805525" w:rsidRPr="00805525">
        <w:rPr>
          <w:rFonts w:ascii="Cambria" w:hAnsi="Cambria"/>
          <w:sz w:val="20"/>
          <w:szCs w:val="20"/>
          <w:lang w:val="es-ES"/>
        </w:rPr>
        <w:t>12.322</w:t>
      </w:r>
      <w:r w:rsidR="009C28B6" w:rsidRPr="00805525">
        <w:rPr>
          <w:rFonts w:ascii="Cambria" w:hAnsi="Cambria"/>
          <w:sz w:val="20"/>
          <w:szCs w:val="20"/>
          <w:lang w:val="es-ES"/>
        </w:rPr>
        <w:t xml:space="preserve"> – </w:t>
      </w:r>
      <w:r w:rsidR="00805525" w:rsidRPr="00805525">
        <w:rPr>
          <w:rFonts w:ascii="Cambria" w:hAnsi="Cambria"/>
          <w:sz w:val="20"/>
          <w:szCs w:val="20"/>
          <w:lang w:val="es-ES"/>
        </w:rPr>
        <w:t>Antonio González Méndez</w:t>
      </w:r>
      <w:r w:rsidR="00AB7D24" w:rsidRPr="00805525">
        <w:rPr>
          <w:rFonts w:ascii="Cambria" w:hAnsi="Cambria"/>
          <w:sz w:val="20"/>
          <w:szCs w:val="20"/>
          <w:lang w:val="es-ES"/>
        </w:rPr>
        <w:t xml:space="preserve">, </w:t>
      </w:r>
      <w:r w:rsidR="009C28B6" w:rsidRPr="00805525">
        <w:rPr>
          <w:rFonts w:ascii="Cambria" w:hAnsi="Cambria"/>
          <w:sz w:val="20"/>
          <w:szCs w:val="20"/>
          <w:lang w:val="es-ES"/>
        </w:rPr>
        <w:t>respecto de l</w:t>
      </w:r>
      <w:r w:rsidR="000E5685" w:rsidRPr="00805525">
        <w:rPr>
          <w:rFonts w:ascii="Cambria" w:hAnsi="Cambria"/>
          <w:sz w:val="20"/>
          <w:szCs w:val="20"/>
          <w:lang w:val="es-ES"/>
        </w:rPr>
        <w:t>os Estados Unidos Mexicanos</w:t>
      </w:r>
      <w:r w:rsidR="00FE588C" w:rsidRPr="00805525">
        <w:rPr>
          <w:rFonts w:ascii="Cambria" w:hAnsi="Cambria"/>
          <w:sz w:val="20"/>
          <w:szCs w:val="20"/>
          <w:lang w:val="es-ES"/>
        </w:rPr>
        <w:t xml:space="preserve"> </w:t>
      </w:r>
      <w:r w:rsidR="009C28B6" w:rsidRPr="00805525">
        <w:rPr>
          <w:rFonts w:ascii="Cambria" w:hAnsi="Cambria"/>
          <w:sz w:val="20"/>
          <w:szCs w:val="20"/>
          <w:lang w:val="es-ES"/>
        </w:rPr>
        <w:t xml:space="preserve">(en adelante “el Estado”, “el Estado </w:t>
      </w:r>
      <w:r w:rsidR="000E5685" w:rsidRPr="00805525">
        <w:rPr>
          <w:rFonts w:ascii="Cambria" w:hAnsi="Cambria"/>
          <w:sz w:val="20"/>
          <w:szCs w:val="20"/>
          <w:lang w:val="es-ES"/>
        </w:rPr>
        <w:t>mexicano</w:t>
      </w:r>
      <w:r w:rsidR="009C28B6" w:rsidRPr="00805525">
        <w:rPr>
          <w:rFonts w:ascii="Cambria" w:hAnsi="Cambria"/>
          <w:sz w:val="20"/>
          <w:szCs w:val="20"/>
          <w:lang w:val="es-ES"/>
        </w:rPr>
        <w:t>” o “</w:t>
      </w:r>
      <w:r w:rsidR="000E5685" w:rsidRPr="00805525">
        <w:rPr>
          <w:rFonts w:ascii="Cambria" w:hAnsi="Cambria"/>
          <w:sz w:val="20"/>
          <w:szCs w:val="20"/>
          <w:lang w:val="es-ES"/>
        </w:rPr>
        <w:t>México</w:t>
      </w:r>
      <w:r w:rsidR="00D275AD" w:rsidRPr="00805525">
        <w:rPr>
          <w:rFonts w:ascii="Cambria" w:hAnsi="Cambria" w:cs="Arial"/>
          <w:snapToGrid w:val="0"/>
          <w:sz w:val="20"/>
          <w:szCs w:val="20"/>
          <w:lang w:val="es-ES_tradnl"/>
        </w:rPr>
        <w:t xml:space="preserve">”). </w:t>
      </w:r>
    </w:p>
    <w:p w14:paraId="762A3D38" w14:textId="77777777" w:rsidR="00E95989" w:rsidRPr="00805525" w:rsidRDefault="00E95989" w:rsidP="00E95989">
      <w:pPr>
        <w:suppressAutoHyphens/>
        <w:spacing w:after="0" w:line="240" w:lineRule="auto"/>
        <w:jc w:val="both"/>
        <w:rPr>
          <w:rFonts w:ascii="Cambria" w:hAnsi="Cambria" w:cs="Arial"/>
          <w:snapToGrid w:val="0"/>
          <w:sz w:val="20"/>
          <w:szCs w:val="20"/>
          <w:lang w:val="es-ES_tradnl"/>
        </w:rPr>
      </w:pPr>
    </w:p>
    <w:p w14:paraId="4D7B950A" w14:textId="77777777" w:rsidR="00805525" w:rsidRPr="008248B1" w:rsidRDefault="00805525" w:rsidP="00805525">
      <w:pPr>
        <w:tabs>
          <w:tab w:val="left" w:pos="360"/>
          <w:tab w:val="left" w:pos="720"/>
          <w:tab w:val="left" w:pos="2880"/>
        </w:tabs>
        <w:spacing w:after="0" w:line="240" w:lineRule="auto"/>
        <w:jc w:val="both"/>
        <w:rPr>
          <w:rFonts w:ascii="Cambria" w:hAnsi="Cambria"/>
          <w:sz w:val="20"/>
          <w:szCs w:val="20"/>
          <w:lang w:val="es-US"/>
        </w:rPr>
      </w:pPr>
      <w:r>
        <w:rPr>
          <w:rFonts w:ascii="Cambria" w:hAnsi="Cambria"/>
          <w:sz w:val="20"/>
          <w:szCs w:val="20"/>
          <w:lang w:val="es-CO"/>
        </w:rPr>
        <w:tab/>
      </w:r>
      <w:r>
        <w:rPr>
          <w:rFonts w:ascii="Cambria" w:hAnsi="Cambria"/>
          <w:sz w:val="20"/>
          <w:szCs w:val="20"/>
          <w:lang w:val="es-CO"/>
        </w:rPr>
        <w:tab/>
      </w:r>
      <w:r w:rsidRPr="00805525">
        <w:rPr>
          <w:rFonts w:ascii="Cambria" w:hAnsi="Cambria"/>
          <w:sz w:val="20"/>
          <w:szCs w:val="20"/>
          <w:lang w:val="es-CO"/>
        </w:rPr>
        <w:t xml:space="preserve">El caso se refiere a la falta de investigación, juzgamiento y sanción de la desaparición de Antonio González Méndez, ocurrida en </w:t>
      </w:r>
      <w:r>
        <w:rPr>
          <w:rFonts w:ascii="Cambria" w:hAnsi="Cambria"/>
          <w:sz w:val="20"/>
          <w:szCs w:val="20"/>
          <w:lang w:val="es-CO"/>
        </w:rPr>
        <w:t>un contexto de</w:t>
      </w:r>
      <w:r w:rsidRPr="00805525">
        <w:rPr>
          <w:rFonts w:ascii="Cambria" w:hAnsi="Cambria"/>
          <w:sz w:val="20"/>
          <w:szCs w:val="20"/>
          <w:lang w:val="es-CO"/>
        </w:rPr>
        <w:t xml:space="preserve"> violencia en el norte del estado de Chiapas</w:t>
      </w:r>
      <w:r w:rsidRPr="00805525">
        <w:rPr>
          <w:rFonts w:ascii="Cambria" w:hAnsi="Cambria"/>
          <w:sz w:val="20"/>
          <w:szCs w:val="20"/>
          <w:lang w:val="es-US"/>
        </w:rPr>
        <w:t>, donde grupos paramilitares, incluyendo el grupo Paz y Justicia, actuaban auspiciados y bajo la tolerancia y aquiescencia del Estado</w:t>
      </w:r>
      <w:r>
        <w:rPr>
          <w:rFonts w:ascii="Cambria" w:hAnsi="Cambria"/>
          <w:sz w:val="20"/>
          <w:szCs w:val="20"/>
          <w:lang w:val="es-US"/>
        </w:rPr>
        <w:t>,</w:t>
      </w:r>
      <w:r w:rsidRPr="00805525">
        <w:rPr>
          <w:rFonts w:ascii="Cambria" w:hAnsi="Cambria"/>
          <w:sz w:val="20"/>
          <w:szCs w:val="20"/>
          <w:lang w:val="es-US"/>
        </w:rPr>
        <w:t xml:space="preserve"> cometiendo hechos </w:t>
      </w:r>
      <w:r w:rsidRPr="008248B1">
        <w:rPr>
          <w:rFonts w:ascii="Cambria" w:hAnsi="Cambria"/>
          <w:sz w:val="20"/>
          <w:szCs w:val="20"/>
          <w:lang w:val="es-US"/>
        </w:rPr>
        <w:t>de violencia como ejecuciones y desapariciones. Dicha violencia estaba dirigida espe</w:t>
      </w:r>
      <w:r w:rsidRPr="008248B1">
        <w:rPr>
          <w:rFonts w:ascii="Cambria" w:hAnsi="Cambria"/>
          <w:sz w:val="20"/>
          <w:szCs w:val="20"/>
          <w:lang w:val="es-CO"/>
        </w:rPr>
        <w:t xml:space="preserve">cialmente </w:t>
      </w:r>
      <w:r w:rsidR="00D35186" w:rsidRPr="008248B1">
        <w:rPr>
          <w:rFonts w:ascii="Cambria" w:hAnsi="Cambria"/>
          <w:sz w:val="20"/>
          <w:szCs w:val="20"/>
          <w:lang w:val="es-CO"/>
        </w:rPr>
        <w:t>hacia</w:t>
      </w:r>
      <w:r w:rsidRPr="008248B1">
        <w:rPr>
          <w:rFonts w:ascii="Cambria" w:hAnsi="Cambria"/>
          <w:sz w:val="20"/>
          <w:szCs w:val="20"/>
          <w:lang w:val="es-CO"/>
        </w:rPr>
        <w:t xml:space="preserve"> la población indígena simpatizante del </w:t>
      </w:r>
      <w:r w:rsidR="004F3991" w:rsidRPr="008248B1">
        <w:rPr>
          <w:rFonts w:ascii="Cambria" w:hAnsi="Cambria"/>
          <w:sz w:val="20"/>
          <w:szCs w:val="20"/>
          <w:lang w:val="es-CO"/>
        </w:rPr>
        <w:t>Ejército Zapatista de Liberación Nacional (</w:t>
      </w:r>
      <w:r w:rsidRPr="008248B1">
        <w:rPr>
          <w:rFonts w:ascii="Cambria" w:hAnsi="Cambria"/>
          <w:sz w:val="20"/>
          <w:szCs w:val="20"/>
          <w:lang w:val="es-CO"/>
        </w:rPr>
        <w:t>EZLN</w:t>
      </w:r>
      <w:r w:rsidR="004F3991" w:rsidRPr="008248B1">
        <w:rPr>
          <w:rFonts w:ascii="Cambria" w:hAnsi="Cambria"/>
          <w:sz w:val="20"/>
          <w:szCs w:val="20"/>
          <w:lang w:val="es-CO"/>
        </w:rPr>
        <w:t>)</w:t>
      </w:r>
      <w:r w:rsidRPr="008248B1">
        <w:rPr>
          <w:rFonts w:ascii="Cambria" w:hAnsi="Cambria"/>
          <w:sz w:val="20"/>
          <w:szCs w:val="20"/>
          <w:lang w:val="es-CO"/>
        </w:rPr>
        <w:t xml:space="preserve"> y de la oposición política, de los que existía una importante presencia en la población de choles de El Calvario y </w:t>
      </w:r>
      <w:r w:rsidRPr="008248B1">
        <w:rPr>
          <w:rFonts w:ascii="Cambria" w:hAnsi="Cambria"/>
          <w:sz w:val="20"/>
          <w:szCs w:val="20"/>
          <w:lang w:val="es-US"/>
        </w:rPr>
        <w:t xml:space="preserve">Sabanilla. </w:t>
      </w:r>
    </w:p>
    <w:p w14:paraId="191178AD" w14:textId="77777777" w:rsidR="00805525" w:rsidRPr="008248B1" w:rsidRDefault="00805525" w:rsidP="00805525">
      <w:pPr>
        <w:tabs>
          <w:tab w:val="left" w:pos="360"/>
          <w:tab w:val="left" w:pos="2880"/>
        </w:tabs>
        <w:spacing w:after="0" w:line="240" w:lineRule="auto"/>
        <w:jc w:val="both"/>
        <w:rPr>
          <w:rFonts w:ascii="Cambria" w:hAnsi="Cambria"/>
          <w:sz w:val="20"/>
          <w:szCs w:val="20"/>
          <w:lang w:val="es-US"/>
        </w:rPr>
      </w:pPr>
    </w:p>
    <w:p w14:paraId="4E4F48BB" w14:textId="77777777" w:rsidR="004D1132" w:rsidRPr="00DB40FE" w:rsidRDefault="00805525" w:rsidP="004D1132">
      <w:pPr>
        <w:tabs>
          <w:tab w:val="left" w:pos="360"/>
          <w:tab w:val="left" w:pos="720"/>
          <w:tab w:val="left" w:pos="2880"/>
        </w:tabs>
        <w:spacing w:after="0" w:line="240" w:lineRule="auto"/>
        <w:jc w:val="both"/>
        <w:rPr>
          <w:rFonts w:ascii="Cambria" w:hAnsi="Cambria"/>
          <w:sz w:val="20"/>
          <w:szCs w:val="20"/>
          <w:lang w:val="es-US"/>
        </w:rPr>
      </w:pPr>
      <w:r w:rsidRPr="008248B1">
        <w:rPr>
          <w:rFonts w:ascii="Cambria" w:hAnsi="Cambria"/>
          <w:sz w:val="20"/>
          <w:szCs w:val="20"/>
          <w:lang w:val="es-US"/>
        </w:rPr>
        <w:tab/>
      </w:r>
      <w:r w:rsidRPr="008248B1">
        <w:rPr>
          <w:rFonts w:ascii="Cambria" w:hAnsi="Cambria"/>
          <w:sz w:val="20"/>
          <w:szCs w:val="20"/>
          <w:lang w:val="es-US"/>
        </w:rPr>
        <w:tab/>
        <w:t>Antonio González Ménde</w:t>
      </w:r>
      <w:r w:rsidRPr="00805525">
        <w:rPr>
          <w:rFonts w:ascii="Cambria" w:hAnsi="Cambria"/>
          <w:sz w:val="20"/>
          <w:szCs w:val="20"/>
          <w:lang w:val="es-US"/>
        </w:rPr>
        <w:t>z</w:t>
      </w:r>
      <w:r w:rsidR="004C12A0">
        <w:rPr>
          <w:rFonts w:ascii="Cambria" w:hAnsi="Cambria"/>
          <w:sz w:val="20"/>
          <w:szCs w:val="20"/>
          <w:lang w:val="es-US"/>
        </w:rPr>
        <w:t>,</w:t>
      </w:r>
      <w:r w:rsidRPr="00805525">
        <w:rPr>
          <w:rFonts w:ascii="Cambria" w:hAnsi="Cambria"/>
          <w:sz w:val="20"/>
          <w:szCs w:val="20"/>
          <w:lang w:val="es-US"/>
        </w:rPr>
        <w:t xml:space="preserve"> </w:t>
      </w:r>
      <w:r w:rsidR="004C12A0" w:rsidRPr="00805525">
        <w:rPr>
          <w:rFonts w:ascii="Cambria" w:hAnsi="Cambria"/>
          <w:sz w:val="20"/>
          <w:szCs w:val="20"/>
          <w:lang w:val="es-US"/>
        </w:rPr>
        <w:t>originario de la comunidad El Calvario</w:t>
      </w:r>
      <w:r w:rsidR="004C12A0">
        <w:rPr>
          <w:rFonts w:ascii="Cambria" w:hAnsi="Cambria"/>
          <w:sz w:val="20"/>
          <w:szCs w:val="20"/>
          <w:lang w:val="es-US"/>
        </w:rPr>
        <w:t>,</w:t>
      </w:r>
      <w:r w:rsidR="004C12A0" w:rsidRPr="00805525">
        <w:rPr>
          <w:rFonts w:ascii="Cambria" w:hAnsi="Cambria"/>
          <w:sz w:val="20"/>
          <w:szCs w:val="20"/>
          <w:lang w:val="es-US"/>
        </w:rPr>
        <w:t xml:space="preserve"> </w:t>
      </w:r>
      <w:r w:rsidRPr="00805525">
        <w:rPr>
          <w:rFonts w:ascii="Cambria" w:hAnsi="Cambria"/>
          <w:sz w:val="20"/>
          <w:szCs w:val="20"/>
          <w:lang w:val="es-US"/>
        </w:rPr>
        <w:t>pertenecía al pueblo indígena Cho’l, era</w:t>
      </w:r>
      <w:r w:rsidR="004C12A0">
        <w:rPr>
          <w:rFonts w:ascii="Cambria" w:hAnsi="Cambria"/>
          <w:sz w:val="20"/>
          <w:szCs w:val="20"/>
          <w:lang w:val="es-US"/>
        </w:rPr>
        <w:t xml:space="preserve"> </w:t>
      </w:r>
      <w:r w:rsidRPr="00805525">
        <w:rPr>
          <w:rFonts w:ascii="Cambria" w:hAnsi="Cambria"/>
          <w:sz w:val="20"/>
          <w:szCs w:val="20"/>
          <w:lang w:val="es-US"/>
        </w:rPr>
        <w:t xml:space="preserve">miembro de las bases civiles de apoyo del EZLN y militante del </w:t>
      </w:r>
      <w:r w:rsidR="004C12A0" w:rsidRPr="004C12A0">
        <w:rPr>
          <w:rFonts w:ascii="Cambria" w:hAnsi="Cambria"/>
          <w:sz w:val="20"/>
          <w:szCs w:val="20"/>
          <w:lang w:val="es-US"/>
        </w:rPr>
        <w:t>Partido de la Revolución Democrática (</w:t>
      </w:r>
      <w:r w:rsidRPr="00805525">
        <w:rPr>
          <w:rFonts w:ascii="Cambria" w:hAnsi="Cambria"/>
          <w:sz w:val="20"/>
          <w:szCs w:val="20"/>
          <w:lang w:val="es-US"/>
        </w:rPr>
        <w:t>PRD</w:t>
      </w:r>
      <w:r w:rsidR="004C12A0">
        <w:rPr>
          <w:rFonts w:ascii="Cambria" w:hAnsi="Cambria"/>
          <w:sz w:val="20"/>
          <w:szCs w:val="20"/>
          <w:lang w:val="es-US"/>
        </w:rPr>
        <w:t>)</w:t>
      </w:r>
      <w:r w:rsidRPr="00805525">
        <w:rPr>
          <w:rFonts w:ascii="Cambria" w:hAnsi="Cambria"/>
          <w:sz w:val="20"/>
          <w:szCs w:val="20"/>
          <w:lang w:val="es-US"/>
        </w:rPr>
        <w:t xml:space="preserve">. Antonio González </w:t>
      </w:r>
      <w:r w:rsidR="00ED7583">
        <w:rPr>
          <w:rFonts w:ascii="Cambria" w:hAnsi="Cambria"/>
          <w:sz w:val="20"/>
          <w:szCs w:val="20"/>
          <w:lang w:val="es-US"/>
        </w:rPr>
        <w:t>fue visto por última vez</w:t>
      </w:r>
      <w:r w:rsidRPr="00805525">
        <w:rPr>
          <w:rFonts w:ascii="Cambria" w:hAnsi="Cambria"/>
          <w:sz w:val="20"/>
          <w:szCs w:val="20"/>
          <w:lang w:val="es-US"/>
        </w:rPr>
        <w:t xml:space="preserve"> e</w:t>
      </w:r>
      <w:r w:rsidRPr="004C12A0">
        <w:rPr>
          <w:rFonts w:ascii="Cambria" w:hAnsi="Cambria"/>
          <w:sz w:val="20"/>
          <w:szCs w:val="20"/>
          <w:lang w:val="es-US"/>
        </w:rPr>
        <w:t xml:space="preserve">l 18 de enero de 1999 luego de salir de su casa cerca de la medianoche en compañía de Juan Regino López Leoporto, quien fue sindicado por la esposa del desaparecido y por la parte peticionaria como perteneciente al grupo paramilitar Paz y Justicia. </w:t>
      </w:r>
      <w:r w:rsidR="004D1132">
        <w:rPr>
          <w:rFonts w:ascii="Cambria" w:hAnsi="Cambria"/>
          <w:sz w:val="20"/>
          <w:szCs w:val="20"/>
          <w:lang w:val="es-US"/>
        </w:rPr>
        <w:t xml:space="preserve">La esposa de la víctima denunció la desaparición el 20 de enero de 1999, iniciándose un proceso </w:t>
      </w:r>
      <w:r w:rsidR="004D1132" w:rsidRPr="00DB40FE">
        <w:rPr>
          <w:rFonts w:ascii="Cambria" w:hAnsi="Cambria"/>
          <w:sz w:val="20"/>
          <w:szCs w:val="20"/>
          <w:lang w:val="es-US"/>
        </w:rPr>
        <w:t xml:space="preserve">de averiguación previa en contra de Juan López. Sin embargo, luego de determinarse que tenía 17 años de edad, fue derivado al Consejo General de Menores el 6 de febrero de 1999, iniciándose un procedimiento administrativo en su contra como probable responsable de la infracción de privación ilegal de libertad. </w:t>
      </w:r>
    </w:p>
    <w:p w14:paraId="52A61D80" w14:textId="77777777" w:rsidR="00DB40FE" w:rsidRPr="00DB40FE" w:rsidRDefault="00DB40FE" w:rsidP="004D1132">
      <w:pPr>
        <w:tabs>
          <w:tab w:val="left" w:pos="360"/>
          <w:tab w:val="left" w:pos="720"/>
          <w:tab w:val="left" w:pos="2880"/>
        </w:tabs>
        <w:spacing w:after="0" w:line="240" w:lineRule="auto"/>
        <w:jc w:val="both"/>
        <w:rPr>
          <w:rFonts w:ascii="Cambria" w:hAnsi="Cambria"/>
          <w:sz w:val="20"/>
          <w:szCs w:val="20"/>
          <w:lang w:val="es-US"/>
        </w:rPr>
      </w:pPr>
    </w:p>
    <w:p w14:paraId="49C6A319" w14:textId="77777777" w:rsidR="00805525" w:rsidRPr="00DB40FE" w:rsidRDefault="00DB40FE" w:rsidP="00805525">
      <w:pPr>
        <w:tabs>
          <w:tab w:val="left" w:pos="360"/>
          <w:tab w:val="left" w:pos="720"/>
          <w:tab w:val="left" w:pos="2880"/>
        </w:tabs>
        <w:spacing w:after="0" w:line="240" w:lineRule="auto"/>
        <w:jc w:val="both"/>
        <w:rPr>
          <w:rFonts w:ascii="Cambria" w:hAnsi="Cambria"/>
          <w:sz w:val="20"/>
          <w:szCs w:val="20"/>
          <w:lang w:val="es-US"/>
        </w:rPr>
      </w:pPr>
      <w:r>
        <w:rPr>
          <w:rFonts w:ascii="Cambria" w:hAnsi="Cambria"/>
          <w:sz w:val="20"/>
          <w:szCs w:val="20"/>
          <w:lang w:val="es-US"/>
        </w:rPr>
        <w:tab/>
      </w:r>
      <w:r>
        <w:rPr>
          <w:rFonts w:ascii="Cambria" w:hAnsi="Cambria"/>
          <w:sz w:val="20"/>
          <w:szCs w:val="20"/>
          <w:lang w:val="es-US"/>
        </w:rPr>
        <w:tab/>
      </w:r>
      <w:r w:rsidRPr="00DB40FE">
        <w:rPr>
          <w:rFonts w:ascii="Cambria" w:hAnsi="Cambria"/>
          <w:sz w:val="20"/>
          <w:szCs w:val="20"/>
          <w:lang w:val="es-US"/>
        </w:rPr>
        <w:t>En su Informe de Fondo la Comisión analizó</w:t>
      </w:r>
      <w:r>
        <w:rPr>
          <w:rFonts w:ascii="Cambria" w:hAnsi="Cambria"/>
          <w:sz w:val="20"/>
          <w:szCs w:val="20"/>
          <w:lang w:val="es-US"/>
        </w:rPr>
        <w:t>, en primer lugar,</w:t>
      </w:r>
      <w:r w:rsidRPr="00DB40FE">
        <w:rPr>
          <w:rFonts w:ascii="Cambria" w:hAnsi="Cambria"/>
          <w:sz w:val="20"/>
          <w:szCs w:val="20"/>
          <w:lang w:val="es-US"/>
        </w:rPr>
        <w:t xml:space="preserve"> si lo sucedido a Antonio González Méndez constituyó una desaparición forzada</w:t>
      </w:r>
      <w:r>
        <w:rPr>
          <w:rFonts w:ascii="Cambria" w:hAnsi="Cambria"/>
          <w:sz w:val="20"/>
          <w:szCs w:val="20"/>
          <w:lang w:val="es-US"/>
        </w:rPr>
        <w:t xml:space="preserve">. Al respecto, </w:t>
      </w:r>
      <w:r w:rsidRPr="00DB40FE">
        <w:rPr>
          <w:rFonts w:ascii="Cambria" w:hAnsi="Cambria"/>
          <w:sz w:val="20"/>
          <w:szCs w:val="20"/>
          <w:lang w:val="es-US"/>
        </w:rPr>
        <w:t xml:space="preserve">concluyó que no existían indicios suficientes de que existiera entre Juan López y el grupo paramilitar que actuaba en la zona un vínculo de aquiescencia </w:t>
      </w:r>
      <w:r>
        <w:rPr>
          <w:rFonts w:ascii="Cambria" w:hAnsi="Cambria"/>
          <w:sz w:val="20"/>
          <w:szCs w:val="20"/>
          <w:lang w:val="es-US"/>
        </w:rPr>
        <w:t xml:space="preserve">con </w:t>
      </w:r>
      <w:r w:rsidRPr="00DB40FE">
        <w:rPr>
          <w:rFonts w:ascii="Cambria" w:hAnsi="Cambria"/>
          <w:sz w:val="20"/>
          <w:szCs w:val="20"/>
          <w:lang w:val="es-US"/>
        </w:rPr>
        <w:t xml:space="preserve">el Estado. Por tal motivo, </w:t>
      </w:r>
      <w:r w:rsidR="00805525" w:rsidRPr="00DB40FE">
        <w:rPr>
          <w:rFonts w:ascii="Cambria" w:hAnsi="Cambria"/>
          <w:sz w:val="20"/>
          <w:szCs w:val="20"/>
          <w:lang w:val="es-US"/>
        </w:rPr>
        <w:t xml:space="preserve">estimó que no existían antecedentes suficientes para considerar acreditada la participación estatal en la desaparición de </w:t>
      </w:r>
      <w:r w:rsidRPr="00DB40FE">
        <w:rPr>
          <w:rFonts w:ascii="Cambria" w:hAnsi="Cambria"/>
          <w:sz w:val="20"/>
          <w:szCs w:val="20"/>
          <w:lang w:val="es-US"/>
        </w:rPr>
        <w:t>la víctima</w:t>
      </w:r>
      <w:r w:rsidR="00B67904">
        <w:rPr>
          <w:rFonts w:ascii="Cambria" w:hAnsi="Cambria"/>
          <w:sz w:val="20"/>
          <w:szCs w:val="20"/>
          <w:lang w:val="es-US"/>
        </w:rPr>
        <w:t xml:space="preserve"> y para calificar lo sucedido como una desaparición forzada</w:t>
      </w:r>
      <w:r w:rsidR="00805525" w:rsidRPr="00DB40FE">
        <w:rPr>
          <w:rFonts w:ascii="Cambria" w:hAnsi="Cambria"/>
          <w:sz w:val="20"/>
          <w:szCs w:val="20"/>
          <w:lang w:val="es-US"/>
        </w:rPr>
        <w:t>.</w:t>
      </w:r>
    </w:p>
    <w:p w14:paraId="646BC9A0" w14:textId="77777777" w:rsidR="00805525" w:rsidRPr="00805525" w:rsidRDefault="00805525" w:rsidP="00805525">
      <w:pPr>
        <w:tabs>
          <w:tab w:val="left" w:pos="360"/>
          <w:tab w:val="left" w:pos="2880"/>
        </w:tabs>
        <w:spacing w:after="0" w:line="240" w:lineRule="auto"/>
        <w:jc w:val="both"/>
        <w:rPr>
          <w:rFonts w:ascii="Cambria" w:hAnsi="Cambria"/>
          <w:sz w:val="20"/>
          <w:szCs w:val="20"/>
          <w:lang w:val="es-CO"/>
        </w:rPr>
      </w:pPr>
    </w:p>
    <w:p w14:paraId="1622ED46" w14:textId="77777777" w:rsidR="001532F6" w:rsidRPr="00833A68" w:rsidRDefault="00805525" w:rsidP="00805525">
      <w:pPr>
        <w:tabs>
          <w:tab w:val="left" w:pos="360"/>
          <w:tab w:val="left" w:pos="720"/>
          <w:tab w:val="left" w:pos="2880"/>
        </w:tabs>
        <w:spacing w:after="0" w:line="240" w:lineRule="auto"/>
        <w:jc w:val="both"/>
        <w:rPr>
          <w:rFonts w:ascii="Cambria" w:hAnsi="Cambria"/>
          <w:sz w:val="20"/>
          <w:szCs w:val="20"/>
          <w:lang w:val="es-ES"/>
        </w:rPr>
      </w:pPr>
      <w:r>
        <w:rPr>
          <w:rFonts w:ascii="Cambria" w:hAnsi="Cambria"/>
          <w:sz w:val="20"/>
          <w:szCs w:val="20"/>
          <w:lang w:val="es-CO"/>
        </w:rPr>
        <w:tab/>
      </w:r>
      <w:r>
        <w:rPr>
          <w:rFonts w:ascii="Cambria" w:hAnsi="Cambria"/>
          <w:sz w:val="20"/>
          <w:szCs w:val="20"/>
          <w:lang w:val="es-CO"/>
        </w:rPr>
        <w:tab/>
      </w:r>
      <w:r w:rsidRPr="00805525">
        <w:rPr>
          <w:rFonts w:ascii="Cambria" w:hAnsi="Cambria"/>
          <w:sz w:val="20"/>
          <w:szCs w:val="20"/>
          <w:lang w:val="es-CO"/>
        </w:rPr>
        <w:t xml:space="preserve">Sin perjuicio de lo anterior, la CIDH consideró que </w:t>
      </w:r>
      <w:r w:rsidRPr="00805525">
        <w:rPr>
          <w:rFonts w:ascii="Cambria" w:hAnsi="Cambria"/>
          <w:sz w:val="20"/>
          <w:szCs w:val="20"/>
          <w:lang w:val="es-US"/>
        </w:rPr>
        <w:t xml:space="preserve">las acciones que se realizaron en tres procesos seguidos a nivel nacional – una averiguación previa por </w:t>
      </w:r>
      <w:r w:rsidRPr="00805525">
        <w:rPr>
          <w:rFonts w:ascii="Cambria" w:hAnsi="Cambria"/>
          <w:sz w:val="20"/>
          <w:szCs w:val="20"/>
          <w:lang w:val="es-ES"/>
        </w:rPr>
        <w:t xml:space="preserve">“hechos delictuosos”, un amparo indirecto por “privación ilegal de libertad” y un proceso ante el Consejo de Menores Infractores del Estado de Chiapas – </w:t>
      </w:r>
      <w:r w:rsidRPr="00805525">
        <w:rPr>
          <w:rFonts w:ascii="Cambria" w:hAnsi="Cambria"/>
          <w:sz w:val="20"/>
          <w:szCs w:val="20"/>
          <w:lang w:val="es-US"/>
        </w:rPr>
        <w:t xml:space="preserve">fueron ineficaces y no estuvieron encaminadas a una búsqueda activa y seria de la verdad de lo ocurrido ni a localizar el paradero o los restos del desaparecido. </w:t>
      </w:r>
    </w:p>
    <w:p w14:paraId="54F54A5B" w14:textId="77777777" w:rsidR="000B42F2" w:rsidRDefault="000B42F2" w:rsidP="001532F6">
      <w:pPr>
        <w:pStyle w:val="Prrafodelista"/>
        <w:ind w:left="0"/>
        <w:jc w:val="both"/>
        <w:rPr>
          <w:rFonts w:eastAsia="Calibri" w:cs="Times New Roman"/>
          <w:color w:val="auto"/>
          <w:sz w:val="20"/>
          <w:szCs w:val="20"/>
          <w:bdr w:val="none" w:sz="0" w:space="0" w:color="auto"/>
          <w:lang w:val="es-ES" w:eastAsia="en-US"/>
        </w:rPr>
      </w:pPr>
    </w:p>
    <w:p w14:paraId="61325A2D" w14:textId="77777777" w:rsidR="00B67904" w:rsidRPr="00833A68" w:rsidRDefault="00B67904" w:rsidP="001532F6">
      <w:pPr>
        <w:pStyle w:val="Prrafodelista"/>
        <w:ind w:left="0"/>
        <w:jc w:val="both"/>
        <w:rPr>
          <w:rFonts w:eastAsia="Calibri" w:cs="Times New Roman"/>
          <w:color w:val="auto"/>
          <w:sz w:val="20"/>
          <w:szCs w:val="20"/>
          <w:bdr w:val="none" w:sz="0" w:space="0" w:color="auto"/>
          <w:lang w:val="es-ES" w:eastAsia="en-US"/>
        </w:rPr>
      </w:pPr>
    </w:p>
    <w:p w14:paraId="63BA575F" w14:textId="77777777" w:rsidR="000B42F2" w:rsidRPr="00805525" w:rsidRDefault="000B42F2" w:rsidP="000B42F2">
      <w:pPr>
        <w:tabs>
          <w:tab w:val="left" w:pos="720"/>
          <w:tab w:val="left" w:pos="2880"/>
        </w:tabs>
        <w:spacing w:after="0" w:line="240" w:lineRule="auto"/>
        <w:jc w:val="both"/>
        <w:rPr>
          <w:rFonts w:ascii="Cambria" w:hAnsi="Cambria" w:cs="Arial"/>
          <w:snapToGrid w:val="0"/>
          <w:sz w:val="20"/>
          <w:szCs w:val="20"/>
          <w:lang w:val="es-CO"/>
        </w:rPr>
      </w:pPr>
      <w:r w:rsidRPr="00805525">
        <w:rPr>
          <w:rFonts w:ascii="Cambria" w:hAnsi="Cambria" w:cs="Arial"/>
          <w:snapToGrid w:val="0"/>
          <w:sz w:val="20"/>
          <w:szCs w:val="20"/>
          <w:lang w:val="es-CO"/>
        </w:rPr>
        <w:t>Señor</w:t>
      </w:r>
    </w:p>
    <w:p w14:paraId="7EB6CE58" w14:textId="77777777" w:rsidR="000B42F2" w:rsidRPr="00805525" w:rsidRDefault="000B42F2" w:rsidP="000B42F2">
      <w:pPr>
        <w:suppressAutoHyphens/>
        <w:spacing w:after="0" w:line="240" w:lineRule="auto"/>
        <w:rPr>
          <w:rFonts w:ascii="Cambria" w:hAnsi="Cambria" w:cs="Arial"/>
          <w:snapToGrid w:val="0"/>
          <w:sz w:val="20"/>
          <w:szCs w:val="20"/>
          <w:lang w:val="es-CO"/>
        </w:rPr>
      </w:pPr>
      <w:r w:rsidRPr="00805525">
        <w:rPr>
          <w:rFonts w:ascii="Cambria" w:hAnsi="Cambria" w:cs="Arial"/>
          <w:snapToGrid w:val="0"/>
          <w:sz w:val="20"/>
          <w:szCs w:val="20"/>
          <w:lang w:val="es-CO"/>
        </w:rPr>
        <w:t>Pablo Saavedra Alessandri</w:t>
      </w:r>
    </w:p>
    <w:p w14:paraId="46170951" w14:textId="77777777" w:rsidR="000B42F2" w:rsidRPr="00805525" w:rsidRDefault="000B42F2" w:rsidP="000B42F2">
      <w:pPr>
        <w:suppressAutoHyphens/>
        <w:spacing w:after="0" w:line="240" w:lineRule="auto"/>
        <w:rPr>
          <w:rFonts w:ascii="Cambria" w:hAnsi="Cambria" w:cs="Arial"/>
          <w:snapToGrid w:val="0"/>
          <w:sz w:val="20"/>
          <w:szCs w:val="20"/>
          <w:lang w:val="es-CO"/>
        </w:rPr>
      </w:pPr>
      <w:r w:rsidRPr="00805525">
        <w:rPr>
          <w:rFonts w:ascii="Cambria" w:hAnsi="Cambria" w:cs="Arial"/>
          <w:snapToGrid w:val="0"/>
          <w:sz w:val="20"/>
          <w:szCs w:val="20"/>
          <w:lang w:val="es-CO"/>
        </w:rPr>
        <w:t>Secretario</w:t>
      </w:r>
    </w:p>
    <w:p w14:paraId="7CCD524C" w14:textId="77777777" w:rsidR="000B42F2" w:rsidRPr="00805525" w:rsidRDefault="000B42F2" w:rsidP="000B42F2">
      <w:pPr>
        <w:suppressAutoHyphens/>
        <w:spacing w:after="0" w:line="240" w:lineRule="auto"/>
        <w:rPr>
          <w:rFonts w:ascii="Cambria" w:hAnsi="Cambria" w:cs="Arial"/>
          <w:snapToGrid w:val="0"/>
          <w:sz w:val="20"/>
          <w:szCs w:val="20"/>
          <w:lang w:val="es-ES_tradnl"/>
        </w:rPr>
      </w:pPr>
      <w:r w:rsidRPr="00805525">
        <w:rPr>
          <w:rFonts w:ascii="Cambria" w:hAnsi="Cambria" w:cs="Arial"/>
          <w:snapToGrid w:val="0"/>
          <w:sz w:val="20"/>
          <w:szCs w:val="20"/>
          <w:lang w:val="es-ES_tradnl"/>
        </w:rPr>
        <w:t>Corte Interamericana de Derechos Humanos</w:t>
      </w:r>
    </w:p>
    <w:p w14:paraId="6BDB20B2" w14:textId="77777777" w:rsidR="000B42F2" w:rsidRPr="00805525" w:rsidRDefault="000B42F2" w:rsidP="000B42F2">
      <w:pPr>
        <w:suppressAutoHyphens/>
        <w:spacing w:after="0" w:line="240" w:lineRule="auto"/>
        <w:rPr>
          <w:rFonts w:ascii="Cambria" w:hAnsi="Cambria" w:cs="Arial"/>
          <w:snapToGrid w:val="0"/>
          <w:sz w:val="20"/>
          <w:szCs w:val="20"/>
          <w:lang w:val="es-ES_tradnl"/>
        </w:rPr>
      </w:pPr>
      <w:r w:rsidRPr="00805525">
        <w:rPr>
          <w:rFonts w:ascii="Cambria" w:hAnsi="Cambria" w:cs="Arial"/>
          <w:snapToGrid w:val="0"/>
          <w:sz w:val="20"/>
          <w:szCs w:val="20"/>
          <w:lang w:val="es-ES_tradnl"/>
        </w:rPr>
        <w:t>San José, Costa Rica</w:t>
      </w:r>
    </w:p>
    <w:p w14:paraId="50824CDE" w14:textId="77777777" w:rsidR="001532F6" w:rsidRPr="007338EA" w:rsidRDefault="001532F6" w:rsidP="00833A68">
      <w:pPr>
        <w:pStyle w:val="Prrafodelista"/>
        <w:ind w:left="0" w:firstLine="720"/>
        <w:jc w:val="both"/>
        <w:rPr>
          <w:rFonts w:eastAsia="Calibri" w:cs="Times New Roman"/>
          <w:color w:val="auto"/>
          <w:sz w:val="20"/>
          <w:szCs w:val="20"/>
          <w:bdr w:val="none" w:sz="0" w:space="0" w:color="auto"/>
          <w:lang w:val="es-ES" w:eastAsia="en-US"/>
        </w:rPr>
      </w:pPr>
      <w:r w:rsidRPr="00833A68">
        <w:rPr>
          <w:rFonts w:eastAsia="Calibri" w:cs="Times New Roman"/>
          <w:color w:val="auto"/>
          <w:sz w:val="20"/>
          <w:szCs w:val="20"/>
          <w:bdr w:val="none" w:sz="0" w:space="0" w:color="auto"/>
          <w:lang w:val="es-ES" w:eastAsia="en-US"/>
        </w:rPr>
        <w:lastRenderedPageBreak/>
        <w:t xml:space="preserve">La Comisión señaló que, en la averiguación previa, el Ministerio Público se limitó a tomar repetidas declaraciones a la esposa del desaparecido y el sospechoso y a enviar oficios para que la policía investigara los hechos denunciados y localizaran al desaparecido. Sin embargo, no se emprendió una búsqueda activa ni un análisis serio de la información recopilada con miras a emprender acciones investigativas adicionales o seguir líneas de investigación destinadas a la búsqueda efectiva del desaparecido y de los responsables de su desaparición. </w:t>
      </w:r>
      <w:r w:rsidR="00833A68">
        <w:rPr>
          <w:rFonts w:eastAsia="Calibri" w:cs="Times New Roman"/>
          <w:color w:val="auto"/>
          <w:sz w:val="20"/>
          <w:szCs w:val="20"/>
          <w:bdr w:val="none" w:sz="0" w:space="0" w:color="auto"/>
          <w:lang w:val="es-ES" w:eastAsia="en-US"/>
        </w:rPr>
        <w:t xml:space="preserve">Destacó además que </w:t>
      </w:r>
      <w:r w:rsidRPr="007338EA">
        <w:rPr>
          <w:rFonts w:eastAsia="Calibri" w:cs="Times New Roman"/>
          <w:color w:val="auto"/>
          <w:sz w:val="20"/>
          <w:szCs w:val="20"/>
          <w:bdr w:val="none" w:sz="0" w:space="0" w:color="auto"/>
          <w:lang w:val="es-ES" w:eastAsia="en-US"/>
        </w:rPr>
        <w:t>el Ministerio Público tardó casi tres años en requerir una fotografía del desaparecido para facilitar su búsqueda</w:t>
      </w:r>
      <w:r w:rsidR="007338EA" w:rsidRPr="007338EA">
        <w:rPr>
          <w:rFonts w:eastAsia="Calibri" w:cs="Times New Roman"/>
          <w:color w:val="auto"/>
          <w:sz w:val="20"/>
          <w:szCs w:val="20"/>
          <w:bdr w:val="none" w:sz="0" w:space="0" w:color="auto"/>
          <w:lang w:val="es-ES" w:eastAsia="en-US"/>
        </w:rPr>
        <w:t xml:space="preserve"> y que en 2007 un fiscal</w:t>
      </w:r>
      <w:r w:rsidRPr="007338EA">
        <w:rPr>
          <w:rFonts w:eastAsia="Calibri" w:cs="Times New Roman"/>
          <w:color w:val="auto"/>
          <w:sz w:val="20"/>
          <w:szCs w:val="20"/>
          <w:bdr w:val="none" w:sz="0" w:space="0" w:color="auto"/>
          <w:lang w:val="es-ES" w:eastAsia="en-US"/>
        </w:rPr>
        <w:t xml:space="preserve"> del Ministerio Público identificó múltiples irregularidades en el proceso</w:t>
      </w:r>
      <w:r w:rsidR="007338EA" w:rsidRPr="007338EA">
        <w:rPr>
          <w:rFonts w:eastAsia="Calibri" w:cs="Times New Roman"/>
          <w:color w:val="auto"/>
          <w:sz w:val="20"/>
          <w:szCs w:val="20"/>
          <w:bdr w:val="none" w:sz="0" w:space="0" w:color="auto"/>
          <w:lang w:val="es-ES" w:eastAsia="en-US"/>
        </w:rPr>
        <w:t>. Sin embargo</w:t>
      </w:r>
      <w:r w:rsidRPr="007338EA">
        <w:rPr>
          <w:rFonts w:eastAsia="Calibri" w:cs="Times New Roman"/>
          <w:color w:val="auto"/>
          <w:sz w:val="20"/>
          <w:szCs w:val="20"/>
          <w:bdr w:val="none" w:sz="0" w:space="0" w:color="auto"/>
          <w:lang w:val="es-ES" w:eastAsia="en-US"/>
        </w:rPr>
        <w:t xml:space="preserve">, no constan diligencias de seguimiento ni la activación de mecanismos destinados a determinar responsabilidades, ni una reactivación seria de la investigación, la que fue concluida solo unos meses más tarde por falta de prueba. </w:t>
      </w:r>
    </w:p>
    <w:p w14:paraId="31CBB265" w14:textId="77777777" w:rsidR="001532F6" w:rsidRPr="007338EA" w:rsidRDefault="001532F6" w:rsidP="001532F6">
      <w:pPr>
        <w:pStyle w:val="Prrafodelista"/>
        <w:ind w:left="0"/>
        <w:rPr>
          <w:rFonts w:eastAsia="Calibri" w:cs="Times New Roman"/>
          <w:color w:val="auto"/>
          <w:sz w:val="20"/>
          <w:szCs w:val="20"/>
          <w:bdr w:val="none" w:sz="0" w:space="0" w:color="auto"/>
          <w:lang w:val="es-ES" w:eastAsia="en-US"/>
        </w:rPr>
      </w:pPr>
    </w:p>
    <w:p w14:paraId="6E87AD0C" w14:textId="77777777" w:rsidR="00716C21" w:rsidRPr="000B42F2" w:rsidRDefault="0087079A" w:rsidP="0087079A">
      <w:pPr>
        <w:pStyle w:val="Prrafodelista"/>
        <w:tabs>
          <w:tab w:val="left" w:pos="720"/>
        </w:tabs>
        <w:ind w:left="0"/>
        <w:jc w:val="both"/>
        <w:rPr>
          <w:rFonts w:eastAsia="Calibri" w:cs="Times New Roman"/>
          <w:color w:val="auto"/>
          <w:sz w:val="20"/>
          <w:szCs w:val="20"/>
          <w:bdr w:val="none" w:sz="0" w:space="0" w:color="auto"/>
          <w:lang w:val="es-ES" w:eastAsia="en-US"/>
        </w:rPr>
      </w:pPr>
      <w:r>
        <w:rPr>
          <w:rFonts w:eastAsia="Calibri" w:cs="Times New Roman"/>
          <w:color w:val="auto"/>
          <w:sz w:val="20"/>
          <w:szCs w:val="20"/>
          <w:bdr w:val="none" w:sz="0" w:space="0" w:color="auto"/>
          <w:lang w:val="es-ES" w:eastAsia="en-US"/>
        </w:rPr>
        <w:tab/>
      </w:r>
      <w:r w:rsidR="007338EA" w:rsidRPr="007338EA">
        <w:rPr>
          <w:rFonts w:eastAsia="Calibri" w:cs="Times New Roman"/>
          <w:color w:val="auto"/>
          <w:sz w:val="20"/>
          <w:szCs w:val="20"/>
          <w:bdr w:val="none" w:sz="0" w:space="0" w:color="auto"/>
          <w:lang w:val="es-ES" w:eastAsia="en-US"/>
        </w:rPr>
        <w:t>Por otra parte, la Comisión señal</w:t>
      </w:r>
      <w:r w:rsidR="00B67904">
        <w:rPr>
          <w:rFonts w:eastAsia="Calibri" w:cs="Times New Roman"/>
          <w:color w:val="auto"/>
          <w:sz w:val="20"/>
          <w:szCs w:val="20"/>
          <w:bdr w:val="none" w:sz="0" w:space="0" w:color="auto"/>
          <w:lang w:val="es-ES" w:eastAsia="en-US"/>
        </w:rPr>
        <w:t>ó</w:t>
      </w:r>
      <w:r w:rsidR="007338EA" w:rsidRPr="007338EA">
        <w:rPr>
          <w:rFonts w:eastAsia="Calibri" w:cs="Times New Roman"/>
          <w:color w:val="auto"/>
          <w:sz w:val="20"/>
          <w:szCs w:val="20"/>
          <w:bdr w:val="none" w:sz="0" w:space="0" w:color="auto"/>
          <w:lang w:val="es-ES" w:eastAsia="en-US"/>
        </w:rPr>
        <w:t xml:space="preserve"> que en</w:t>
      </w:r>
      <w:r w:rsidR="001532F6" w:rsidRPr="007338EA">
        <w:rPr>
          <w:rFonts w:eastAsia="Calibri" w:cs="Times New Roman"/>
          <w:color w:val="auto"/>
          <w:sz w:val="20"/>
          <w:szCs w:val="20"/>
          <w:bdr w:val="none" w:sz="0" w:space="0" w:color="auto"/>
          <w:lang w:val="es-ES" w:eastAsia="en-US"/>
        </w:rPr>
        <w:t xml:space="preserve"> el procedimiento administrativo ante el Consejo de Menores sólo se tomaron declaraciones y se practicó una inspección ocular</w:t>
      </w:r>
      <w:r w:rsidR="007338EA" w:rsidRPr="007338EA">
        <w:rPr>
          <w:rFonts w:eastAsia="Calibri" w:cs="Times New Roman"/>
          <w:color w:val="auto"/>
          <w:sz w:val="20"/>
          <w:szCs w:val="20"/>
          <w:bdr w:val="none" w:sz="0" w:space="0" w:color="auto"/>
          <w:lang w:val="es-ES" w:eastAsia="en-US"/>
        </w:rPr>
        <w:t xml:space="preserve">, sin que se hayan realizado acciones de búsqueda </w:t>
      </w:r>
      <w:r w:rsidR="00716C21">
        <w:rPr>
          <w:rFonts w:eastAsia="Calibri" w:cs="Times New Roman"/>
          <w:color w:val="auto"/>
          <w:sz w:val="20"/>
          <w:szCs w:val="20"/>
          <w:bdr w:val="none" w:sz="0" w:space="0" w:color="auto"/>
          <w:lang w:val="es-ES" w:eastAsia="en-US"/>
        </w:rPr>
        <w:t>en la zona donde</w:t>
      </w:r>
      <w:r w:rsidR="007338EA" w:rsidRPr="007338EA">
        <w:rPr>
          <w:rFonts w:eastAsia="Calibri" w:cs="Times New Roman"/>
          <w:color w:val="auto"/>
          <w:sz w:val="20"/>
          <w:szCs w:val="20"/>
          <w:bdr w:val="none" w:sz="0" w:space="0" w:color="auto"/>
          <w:lang w:val="es-ES" w:eastAsia="en-US"/>
        </w:rPr>
        <w:t xml:space="preserve"> residía el </w:t>
      </w:r>
      <w:r w:rsidR="001532F6" w:rsidRPr="007338EA">
        <w:rPr>
          <w:rFonts w:eastAsia="Calibri" w:cs="Times New Roman"/>
          <w:color w:val="auto"/>
          <w:sz w:val="20"/>
          <w:szCs w:val="20"/>
          <w:bdr w:val="none" w:sz="0" w:space="0" w:color="auto"/>
          <w:lang w:val="es-ES" w:eastAsia="en-US"/>
        </w:rPr>
        <w:t xml:space="preserve">sospechoso de </w:t>
      </w:r>
      <w:r w:rsidR="007338EA" w:rsidRPr="007338EA">
        <w:rPr>
          <w:rFonts w:eastAsia="Calibri" w:cs="Times New Roman"/>
          <w:color w:val="auto"/>
          <w:sz w:val="20"/>
          <w:szCs w:val="20"/>
          <w:bdr w:val="none" w:sz="0" w:space="0" w:color="auto"/>
          <w:lang w:val="es-ES" w:eastAsia="en-US"/>
        </w:rPr>
        <w:t>la</w:t>
      </w:r>
      <w:r w:rsidR="001532F6" w:rsidRPr="007338EA">
        <w:rPr>
          <w:rFonts w:eastAsia="Calibri" w:cs="Times New Roman"/>
          <w:color w:val="auto"/>
          <w:sz w:val="20"/>
          <w:szCs w:val="20"/>
          <w:bdr w:val="none" w:sz="0" w:space="0" w:color="auto"/>
          <w:lang w:val="es-ES" w:eastAsia="en-US"/>
        </w:rPr>
        <w:t xml:space="preserve"> desaparición.</w:t>
      </w:r>
      <w:r w:rsidR="00716C21">
        <w:rPr>
          <w:rFonts w:eastAsia="Calibri" w:cs="Times New Roman"/>
          <w:color w:val="auto"/>
          <w:sz w:val="20"/>
          <w:szCs w:val="20"/>
          <w:bdr w:val="none" w:sz="0" w:space="0" w:color="auto"/>
          <w:lang w:val="es-ES" w:eastAsia="en-US"/>
        </w:rPr>
        <w:t xml:space="preserve"> Por último, reiteró lo ya establecido por la Comisión y la Corte</w:t>
      </w:r>
      <w:r w:rsidR="00341000">
        <w:rPr>
          <w:rFonts w:eastAsia="Calibri" w:cs="Times New Roman"/>
          <w:color w:val="auto"/>
          <w:sz w:val="20"/>
          <w:szCs w:val="20"/>
          <w:bdr w:val="none" w:sz="0" w:space="0" w:color="auto"/>
          <w:lang w:val="es-ES" w:eastAsia="en-US"/>
        </w:rPr>
        <w:t xml:space="preserve"> Interamericana</w:t>
      </w:r>
      <w:r w:rsidR="00716C21">
        <w:rPr>
          <w:rFonts w:eastAsia="Calibri" w:cs="Times New Roman"/>
          <w:color w:val="auto"/>
          <w:sz w:val="20"/>
          <w:szCs w:val="20"/>
          <w:bdr w:val="none" w:sz="0" w:space="0" w:color="auto"/>
          <w:lang w:val="es-ES" w:eastAsia="en-US"/>
        </w:rPr>
        <w:t xml:space="preserve">, de que </w:t>
      </w:r>
      <w:r w:rsidR="001532F6" w:rsidRPr="000B42F2">
        <w:rPr>
          <w:rFonts w:eastAsia="Calibri" w:cs="Times New Roman"/>
          <w:color w:val="auto"/>
          <w:sz w:val="20"/>
          <w:szCs w:val="20"/>
          <w:bdr w:val="none" w:sz="0" w:space="0" w:color="auto"/>
          <w:lang w:val="es-ES" w:eastAsia="en-US"/>
        </w:rPr>
        <w:t xml:space="preserve">el procedimiento de amparo existente </w:t>
      </w:r>
      <w:r w:rsidR="00716C21" w:rsidRPr="000B42F2">
        <w:rPr>
          <w:rFonts w:eastAsia="Calibri" w:cs="Times New Roman"/>
          <w:color w:val="auto"/>
          <w:sz w:val="20"/>
          <w:szCs w:val="20"/>
          <w:bdr w:val="none" w:sz="0" w:space="0" w:color="auto"/>
          <w:lang w:val="es-ES" w:eastAsia="en-US"/>
        </w:rPr>
        <w:t>en la época</w:t>
      </w:r>
      <w:r w:rsidR="00341000">
        <w:rPr>
          <w:rFonts w:eastAsia="Calibri" w:cs="Times New Roman"/>
          <w:color w:val="auto"/>
          <w:sz w:val="20"/>
          <w:szCs w:val="20"/>
          <w:bdr w:val="none" w:sz="0" w:space="0" w:color="auto"/>
          <w:lang w:val="es-ES" w:eastAsia="en-US"/>
        </w:rPr>
        <w:t>, el cual</w:t>
      </w:r>
      <w:r w:rsidR="001532F6" w:rsidRPr="000B42F2">
        <w:rPr>
          <w:rFonts w:eastAsia="Calibri" w:cs="Times New Roman"/>
          <w:color w:val="auto"/>
          <w:sz w:val="20"/>
          <w:szCs w:val="20"/>
          <w:bdr w:val="none" w:sz="0" w:space="0" w:color="auto"/>
          <w:lang w:val="es-ES" w:eastAsia="en-US"/>
        </w:rPr>
        <w:t xml:space="preserve"> exigía que la víctima indicara el lugar en el que se encontraba detenida para que procediera el recurso, era inadecuado para determinar el paradero de una persona desaparecida e inefectivo en materia de desapariciones forzadas. </w:t>
      </w:r>
    </w:p>
    <w:p w14:paraId="660695D3" w14:textId="77777777" w:rsidR="00716C21" w:rsidRPr="000B42F2" w:rsidRDefault="00716C21" w:rsidP="00716C21">
      <w:pPr>
        <w:pStyle w:val="Prrafodelista"/>
        <w:ind w:left="0"/>
        <w:jc w:val="both"/>
        <w:rPr>
          <w:rFonts w:eastAsia="Calibri" w:cs="Times New Roman"/>
          <w:color w:val="auto"/>
          <w:sz w:val="20"/>
          <w:szCs w:val="20"/>
          <w:bdr w:val="none" w:sz="0" w:space="0" w:color="auto"/>
          <w:lang w:val="es-ES" w:eastAsia="en-US"/>
        </w:rPr>
      </w:pPr>
    </w:p>
    <w:p w14:paraId="25AEB238" w14:textId="77777777" w:rsidR="001532F6" w:rsidRPr="000B42F2" w:rsidRDefault="0087079A" w:rsidP="0087079A">
      <w:pPr>
        <w:pStyle w:val="Prrafodelista"/>
        <w:tabs>
          <w:tab w:val="left" w:pos="720"/>
        </w:tabs>
        <w:ind w:left="0"/>
        <w:jc w:val="both"/>
        <w:rPr>
          <w:rFonts w:eastAsia="Calibri" w:cs="Times New Roman"/>
          <w:color w:val="auto"/>
          <w:sz w:val="20"/>
          <w:szCs w:val="20"/>
          <w:bdr w:val="none" w:sz="0" w:space="0" w:color="auto"/>
          <w:lang w:val="es-ES" w:eastAsia="en-US"/>
        </w:rPr>
      </w:pPr>
      <w:r>
        <w:rPr>
          <w:rFonts w:eastAsia="Calibri" w:cs="Times New Roman"/>
          <w:color w:val="auto"/>
          <w:sz w:val="20"/>
          <w:szCs w:val="20"/>
          <w:bdr w:val="none" w:sz="0" w:space="0" w:color="auto"/>
          <w:lang w:val="es-ES" w:eastAsia="en-US"/>
        </w:rPr>
        <w:tab/>
      </w:r>
      <w:r w:rsidR="001532F6" w:rsidRPr="000B42F2">
        <w:rPr>
          <w:rFonts w:eastAsia="Calibri" w:cs="Times New Roman"/>
          <w:color w:val="auto"/>
          <w:sz w:val="20"/>
          <w:szCs w:val="20"/>
          <w:bdr w:val="none" w:sz="0" w:space="0" w:color="auto"/>
          <w:lang w:val="es-ES" w:eastAsia="en-US"/>
        </w:rPr>
        <w:t>Adicionalmente, la Comisión observ</w:t>
      </w:r>
      <w:r w:rsidR="00716C21" w:rsidRPr="000B42F2">
        <w:rPr>
          <w:rFonts w:eastAsia="Calibri" w:cs="Times New Roman"/>
          <w:color w:val="auto"/>
          <w:sz w:val="20"/>
          <w:szCs w:val="20"/>
          <w:bdr w:val="none" w:sz="0" w:space="0" w:color="auto"/>
          <w:lang w:val="es-ES" w:eastAsia="en-US"/>
        </w:rPr>
        <w:t>ó</w:t>
      </w:r>
      <w:r w:rsidR="001532F6" w:rsidRPr="000B42F2">
        <w:rPr>
          <w:rFonts w:eastAsia="Calibri" w:cs="Times New Roman"/>
          <w:color w:val="auto"/>
          <w:sz w:val="20"/>
          <w:szCs w:val="20"/>
          <w:bdr w:val="none" w:sz="0" w:space="0" w:color="auto"/>
          <w:lang w:val="es-ES" w:eastAsia="en-US"/>
        </w:rPr>
        <w:t xml:space="preserve"> que otro aspecto que </w:t>
      </w:r>
      <w:r w:rsidR="00341000">
        <w:rPr>
          <w:rFonts w:eastAsia="Calibri" w:cs="Times New Roman"/>
          <w:color w:val="auto"/>
          <w:sz w:val="20"/>
          <w:szCs w:val="20"/>
          <w:bdr w:val="none" w:sz="0" w:space="0" w:color="auto"/>
          <w:lang w:val="es-ES" w:eastAsia="en-US"/>
        </w:rPr>
        <w:t>obstaculizó</w:t>
      </w:r>
      <w:r w:rsidR="001532F6" w:rsidRPr="000B42F2">
        <w:rPr>
          <w:rFonts w:eastAsia="Calibri" w:cs="Times New Roman"/>
          <w:color w:val="auto"/>
          <w:sz w:val="20"/>
          <w:szCs w:val="20"/>
          <w:bdr w:val="none" w:sz="0" w:space="0" w:color="auto"/>
          <w:lang w:val="es-ES" w:eastAsia="en-US"/>
        </w:rPr>
        <w:t xml:space="preserve"> el avance diligente de la investigación tiene que ver con las distintas calificaciones que tuvieron los hechos en el marco de </w:t>
      </w:r>
      <w:r w:rsidR="00341000">
        <w:rPr>
          <w:rFonts w:eastAsia="Calibri" w:cs="Times New Roman"/>
          <w:color w:val="auto"/>
          <w:sz w:val="20"/>
          <w:szCs w:val="20"/>
          <w:bdr w:val="none" w:sz="0" w:space="0" w:color="auto"/>
          <w:lang w:val="es-ES" w:eastAsia="en-US"/>
        </w:rPr>
        <w:t xml:space="preserve">las </w:t>
      </w:r>
      <w:r w:rsidR="001532F6" w:rsidRPr="000B42F2">
        <w:rPr>
          <w:rFonts w:eastAsia="Calibri" w:cs="Times New Roman"/>
          <w:color w:val="auto"/>
          <w:sz w:val="20"/>
          <w:szCs w:val="20"/>
          <w:bdr w:val="none" w:sz="0" w:space="0" w:color="auto"/>
          <w:lang w:val="es-ES" w:eastAsia="en-US"/>
        </w:rPr>
        <w:t xml:space="preserve">investigaciones iniciadas. </w:t>
      </w:r>
      <w:r w:rsidR="00716C21" w:rsidRPr="000B42F2">
        <w:rPr>
          <w:rFonts w:eastAsia="Calibri" w:cs="Times New Roman"/>
          <w:color w:val="auto"/>
          <w:sz w:val="20"/>
          <w:szCs w:val="20"/>
          <w:bdr w:val="none" w:sz="0" w:space="0" w:color="auto"/>
          <w:lang w:val="es-ES" w:eastAsia="en-US"/>
        </w:rPr>
        <w:t xml:space="preserve">Al respecto, consideró </w:t>
      </w:r>
      <w:r w:rsidR="001532F6" w:rsidRPr="000B42F2">
        <w:rPr>
          <w:rFonts w:eastAsia="Calibri" w:cs="Times New Roman"/>
          <w:color w:val="auto"/>
          <w:sz w:val="20"/>
          <w:szCs w:val="20"/>
          <w:bdr w:val="none" w:sz="0" w:space="0" w:color="auto"/>
          <w:lang w:val="es-ES" w:eastAsia="en-US"/>
        </w:rPr>
        <w:t xml:space="preserve">que la falta de identificación, desde el inicio de las investigaciones, de los hechos denunciados como una posible desaparición forzada, tuvo un impacto en la manera en que se desplegó la investigación, afectando la diligencia e inmediatez requerida en estos casos. </w:t>
      </w:r>
    </w:p>
    <w:p w14:paraId="39F7DDC5" w14:textId="77777777" w:rsidR="001532F6" w:rsidRPr="001532F6" w:rsidRDefault="001532F6" w:rsidP="00805525">
      <w:pPr>
        <w:tabs>
          <w:tab w:val="left" w:pos="360"/>
          <w:tab w:val="left" w:pos="720"/>
          <w:tab w:val="left" w:pos="2880"/>
        </w:tabs>
        <w:spacing w:after="0" w:line="240" w:lineRule="auto"/>
        <w:jc w:val="both"/>
        <w:rPr>
          <w:rFonts w:ascii="Cambria" w:hAnsi="Cambria"/>
          <w:sz w:val="20"/>
          <w:szCs w:val="20"/>
          <w:lang w:val="es-ES"/>
        </w:rPr>
      </w:pPr>
    </w:p>
    <w:p w14:paraId="750396B8" w14:textId="77777777" w:rsidR="001532F6" w:rsidRDefault="0087079A" w:rsidP="0087079A">
      <w:pPr>
        <w:tabs>
          <w:tab w:val="left" w:pos="360"/>
          <w:tab w:val="left" w:pos="720"/>
          <w:tab w:val="left" w:pos="2880"/>
        </w:tabs>
        <w:spacing w:after="0" w:line="240" w:lineRule="auto"/>
        <w:jc w:val="both"/>
        <w:rPr>
          <w:rFonts w:ascii="Cambria" w:hAnsi="Cambria"/>
          <w:sz w:val="20"/>
          <w:szCs w:val="20"/>
          <w:lang w:val="es-ES"/>
        </w:rPr>
      </w:pPr>
      <w:r>
        <w:rPr>
          <w:rFonts w:ascii="Cambria" w:hAnsi="Cambria"/>
          <w:sz w:val="20"/>
          <w:szCs w:val="20"/>
          <w:lang w:val="es-ES"/>
        </w:rPr>
        <w:tab/>
      </w:r>
      <w:r>
        <w:rPr>
          <w:rFonts w:ascii="Cambria" w:hAnsi="Cambria"/>
          <w:sz w:val="20"/>
          <w:szCs w:val="20"/>
          <w:lang w:val="es-ES"/>
        </w:rPr>
        <w:tab/>
      </w:r>
      <w:r w:rsidR="000B42F2" w:rsidRPr="000B42F2">
        <w:rPr>
          <w:rFonts w:ascii="Cambria" w:hAnsi="Cambria"/>
          <w:sz w:val="20"/>
          <w:szCs w:val="20"/>
          <w:lang w:val="es-ES"/>
        </w:rPr>
        <w:t xml:space="preserve">Por último, la Comisión concluyó que el Estado violó el derecho a la integridad personal en perjuicio de la esposa y de las hijas e hijo de </w:t>
      </w:r>
      <w:r w:rsidR="00B22D26" w:rsidRPr="00805525">
        <w:rPr>
          <w:rFonts w:ascii="Cambria" w:hAnsi="Cambria"/>
          <w:sz w:val="20"/>
          <w:szCs w:val="20"/>
          <w:lang w:val="es-US"/>
        </w:rPr>
        <w:t>Antonio González Méndez</w:t>
      </w:r>
      <w:r w:rsidR="000B42F2" w:rsidRPr="000B42F2">
        <w:rPr>
          <w:rFonts w:ascii="Cambria" w:hAnsi="Cambria"/>
          <w:sz w:val="20"/>
          <w:szCs w:val="20"/>
          <w:lang w:val="es-ES"/>
        </w:rPr>
        <w:t>.</w:t>
      </w:r>
    </w:p>
    <w:p w14:paraId="25BA0DFA" w14:textId="77777777" w:rsidR="0087079A" w:rsidRDefault="0087079A" w:rsidP="0087079A">
      <w:pPr>
        <w:tabs>
          <w:tab w:val="left" w:pos="360"/>
          <w:tab w:val="left" w:pos="720"/>
          <w:tab w:val="left" w:pos="2880"/>
        </w:tabs>
        <w:spacing w:after="0" w:line="240" w:lineRule="auto"/>
        <w:jc w:val="both"/>
        <w:rPr>
          <w:rFonts w:ascii="Cambria" w:hAnsi="Cambria"/>
          <w:sz w:val="20"/>
          <w:szCs w:val="20"/>
          <w:lang w:val="es-ES"/>
        </w:rPr>
      </w:pPr>
    </w:p>
    <w:p w14:paraId="6DB6F07B" w14:textId="77777777" w:rsidR="002E2094" w:rsidRPr="002E2094" w:rsidRDefault="002E2094" w:rsidP="002E2094">
      <w:pPr>
        <w:pStyle w:val="Prrafodelista"/>
        <w:ind w:left="0" w:firstLine="720"/>
        <w:jc w:val="both"/>
        <w:rPr>
          <w:rFonts w:eastAsia="Calibri" w:cs="Times New Roman"/>
          <w:color w:val="auto"/>
          <w:sz w:val="20"/>
          <w:szCs w:val="20"/>
          <w:bdr w:val="none" w:sz="0" w:space="0" w:color="auto"/>
          <w:lang w:val="es-ES" w:eastAsia="en-US"/>
        </w:rPr>
      </w:pPr>
      <w:r w:rsidRPr="002E2094">
        <w:rPr>
          <w:rFonts w:eastAsia="Calibri" w:cs="Times New Roman"/>
          <w:color w:val="auto"/>
          <w:sz w:val="20"/>
          <w:szCs w:val="20"/>
          <w:bdr w:val="none" w:sz="0" w:space="0" w:color="auto"/>
          <w:lang w:val="es-ES" w:eastAsia="en-US"/>
        </w:rPr>
        <w:t>Con base en dichas determinaciones, la Comisión concluyó que el Estado de México es responsable por la violación de los derechos a la integridad personal, a las garantías judiciales y a la protección judicial establecidos en los artículos 5.1, 8.1 y 25.1 de la Convención Americana, en relación con sus artículos 1.1 y 2. Asimismo, concluyó que el Estado incumplió las obligaciones contenidas en el artículo I b) de la CIDFP.</w:t>
      </w:r>
    </w:p>
    <w:p w14:paraId="1E349586" w14:textId="77777777" w:rsidR="0087079A" w:rsidRPr="002E2094" w:rsidRDefault="0087079A" w:rsidP="0087079A">
      <w:pPr>
        <w:tabs>
          <w:tab w:val="left" w:pos="360"/>
          <w:tab w:val="left" w:pos="720"/>
          <w:tab w:val="left" w:pos="2880"/>
        </w:tabs>
        <w:spacing w:after="0" w:line="240" w:lineRule="auto"/>
        <w:jc w:val="both"/>
        <w:rPr>
          <w:rFonts w:ascii="Cambria" w:hAnsi="Cambria"/>
          <w:sz w:val="20"/>
          <w:szCs w:val="20"/>
          <w:lang w:val="es-VE"/>
        </w:rPr>
      </w:pPr>
    </w:p>
    <w:p w14:paraId="6258EC73" w14:textId="77777777" w:rsidR="009C28B6" w:rsidRPr="00805525" w:rsidRDefault="00A96F92" w:rsidP="0097331F">
      <w:pPr>
        <w:pStyle w:val="Prrafodelista"/>
        <w:ind w:left="0"/>
        <w:jc w:val="both"/>
        <w:rPr>
          <w:sz w:val="20"/>
          <w:szCs w:val="20"/>
          <w:lang w:val="es-CO"/>
        </w:rPr>
      </w:pPr>
      <w:r w:rsidRPr="00805525">
        <w:rPr>
          <w:rFonts w:eastAsia="Calibri" w:cs="Arial"/>
          <w:snapToGrid w:val="0"/>
          <w:color w:val="auto"/>
          <w:sz w:val="20"/>
          <w:szCs w:val="20"/>
          <w:bdr w:val="none" w:sz="0" w:space="0" w:color="auto"/>
          <w:lang w:val="es-ES_tradnl" w:eastAsia="en-US"/>
        </w:rPr>
        <w:tab/>
      </w:r>
      <w:r w:rsidR="00EA4784" w:rsidRPr="00805525">
        <w:rPr>
          <w:sz w:val="20"/>
          <w:szCs w:val="20"/>
          <w:lang w:val="es-CO"/>
        </w:rPr>
        <w:t>E</w:t>
      </w:r>
      <w:r w:rsidR="00D03CCE" w:rsidRPr="00805525">
        <w:rPr>
          <w:sz w:val="20"/>
          <w:szCs w:val="20"/>
          <w:lang w:val="es-CO"/>
        </w:rPr>
        <w:t xml:space="preserve">l Estado </w:t>
      </w:r>
      <w:r w:rsidR="002430FE">
        <w:rPr>
          <w:sz w:val="20"/>
          <w:szCs w:val="20"/>
          <w:lang w:val="es-CO"/>
        </w:rPr>
        <w:t xml:space="preserve">de México </w:t>
      </w:r>
      <w:r w:rsidR="00082C36" w:rsidRPr="00805525">
        <w:rPr>
          <w:sz w:val="20"/>
          <w:szCs w:val="20"/>
          <w:lang w:val="es-CO"/>
        </w:rPr>
        <w:t xml:space="preserve">depositó su instrumento de ratificación de </w:t>
      </w:r>
      <w:r w:rsidR="009C28B6" w:rsidRPr="00805525">
        <w:rPr>
          <w:sz w:val="20"/>
          <w:szCs w:val="20"/>
          <w:lang w:val="es-CO"/>
        </w:rPr>
        <w:t xml:space="preserve">la Convención Americana sobre Derechos Humanos </w:t>
      </w:r>
      <w:r w:rsidR="008227EA" w:rsidRPr="00805525">
        <w:rPr>
          <w:sz w:val="20"/>
          <w:szCs w:val="20"/>
          <w:lang w:val="es-CO"/>
        </w:rPr>
        <w:t xml:space="preserve">el 24 de marzo de 1981 </w:t>
      </w:r>
      <w:r w:rsidR="003A101B" w:rsidRPr="00805525">
        <w:rPr>
          <w:sz w:val="20"/>
          <w:szCs w:val="20"/>
          <w:lang w:val="es-CO"/>
        </w:rPr>
        <w:t>y</w:t>
      </w:r>
      <w:r w:rsidR="00252387" w:rsidRPr="00805525">
        <w:rPr>
          <w:sz w:val="20"/>
          <w:szCs w:val="20"/>
          <w:lang w:val="es-CO"/>
        </w:rPr>
        <w:t xml:space="preserve"> aceptó la competencia contenciosa de la Corte </w:t>
      </w:r>
      <w:r w:rsidR="003A101B" w:rsidRPr="00805525">
        <w:rPr>
          <w:sz w:val="20"/>
          <w:szCs w:val="20"/>
          <w:lang w:val="es-CO"/>
        </w:rPr>
        <w:t xml:space="preserve">el </w:t>
      </w:r>
      <w:r w:rsidR="008227EA" w:rsidRPr="00805525">
        <w:rPr>
          <w:sz w:val="20"/>
          <w:szCs w:val="20"/>
          <w:lang w:val="es-CO"/>
        </w:rPr>
        <w:t xml:space="preserve">16 de diciembre </w:t>
      </w:r>
      <w:r w:rsidR="003A101B" w:rsidRPr="00805525">
        <w:rPr>
          <w:sz w:val="20"/>
          <w:szCs w:val="20"/>
          <w:lang w:val="es-CO"/>
        </w:rPr>
        <w:t xml:space="preserve">de </w:t>
      </w:r>
      <w:r w:rsidR="008227EA" w:rsidRPr="00805525">
        <w:rPr>
          <w:sz w:val="20"/>
          <w:szCs w:val="20"/>
          <w:lang w:val="es-CO"/>
        </w:rPr>
        <w:t>1998</w:t>
      </w:r>
      <w:r w:rsidR="003A101B" w:rsidRPr="00805525">
        <w:rPr>
          <w:sz w:val="20"/>
          <w:szCs w:val="20"/>
          <w:lang w:val="es-CO"/>
        </w:rPr>
        <w:t xml:space="preserve">. </w:t>
      </w:r>
      <w:r w:rsidR="0014023B" w:rsidRPr="00805525">
        <w:rPr>
          <w:sz w:val="20"/>
          <w:szCs w:val="20"/>
          <w:lang w:val="es-CO"/>
        </w:rPr>
        <w:t xml:space="preserve">Asimismo, el Estado depositó el instrumento de ratificación de la Convención Interamericana </w:t>
      </w:r>
      <w:r w:rsidR="002430FE">
        <w:rPr>
          <w:sz w:val="20"/>
          <w:szCs w:val="20"/>
          <w:lang w:val="es-CO"/>
        </w:rPr>
        <w:t>sobre Desaparición Forzada de Personas</w:t>
      </w:r>
      <w:r w:rsidR="0014023B" w:rsidRPr="00805525">
        <w:rPr>
          <w:sz w:val="20"/>
          <w:szCs w:val="20"/>
          <w:lang w:val="es-CO"/>
        </w:rPr>
        <w:t xml:space="preserve"> el </w:t>
      </w:r>
      <w:r w:rsidR="002430FE">
        <w:rPr>
          <w:sz w:val="20"/>
          <w:szCs w:val="20"/>
          <w:lang w:val="es-CO"/>
        </w:rPr>
        <w:t>9 de abril de 2002</w:t>
      </w:r>
      <w:r w:rsidR="0014023B" w:rsidRPr="00805525">
        <w:rPr>
          <w:sz w:val="20"/>
          <w:szCs w:val="20"/>
          <w:lang w:val="es-CO"/>
        </w:rPr>
        <w:t>.</w:t>
      </w:r>
    </w:p>
    <w:p w14:paraId="0873EF84" w14:textId="77777777" w:rsidR="009C28B6" w:rsidRPr="00805525" w:rsidRDefault="009C28B6" w:rsidP="008B644A">
      <w:pPr>
        <w:spacing w:after="0" w:line="240" w:lineRule="auto"/>
        <w:jc w:val="both"/>
        <w:rPr>
          <w:rFonts w:ascii="Cambria" w:eastAsia="Cambria" w:hAnsi="Cambria" w:cs="Cambria"/>
          <w:color w:val="000000"/>
          <w:sz w:val="20"/>
          <w:szCs w:val="20"/>
          <w:u w:color="000000"/>
          <w:bdr w:val="nil"/>
          <w:lang w:val="es-CO" w:eastAsia="es-ES"/>
        </w:rPr>
      </w:pPr>
    </w:p>
    <w:p w14:paraId="62B85878" w14:textId="77777777" w:rsidR="009C28B6" w:rsidRPr="00805525" w:rsidRDefault="004024A7" w:rsidP="008B644A">
      <w:pPr>
        <w:tabs>
          <w:tab w:val="left" w:pos="709"/>
          <w:tab w:val="left" w:pos="1134"/>
        </w:tabs>
        <w:spacing w:after="0" w:line="240" w:lineRule="auto"/>
        <w:jc w:val="both"/>
        <w:rPr>
          <w:rFonts w:ascii="Cambria" w:eastAsia="Cambria" w:hAnsi="Cambria" w:cs="Cambria"/>
          <w:color w:val="000000"/>
          <w:sz w:val="20"/>
          <w:szCs w:val="20"/>
          <w:u w:color="000000"/>
          <w:bdr w:val="nil"/>
          <w:lang w:val="es-CO" w:eastAsia="es-ES"/>
        </w:rPr>
      </w:pPr>
      <w:r w:rsidRPr="00805525">
        <w:rPr>
          <w:rFonts w:ascii="Cambria" w:eastAsia="Cambria" w:hAnsi="Cambria" w:cs="Cambria"/>
          <w:color w:val="000000"/>
          <w:sz w:val="20"/>
          <w:szCs w:val="20"/>
          <w:u w:color="000000"/>
          <w:bdr w:val="nil"/>
          <w:lang w:val="es-CO" w:eastAsia="es-ES"/>
        </w:rPr>
        <w:tab/>
      </w:r>
      <w:r w:rsidR="009C28B6" w:rsidRPr="00805525">
        <w:rPr>
          <w:rFonts w:ascii="Cambria" w:eastAsia="Cambria" w:hAnsi="Cambria" w:cs="Cambria"/>
          <w:color w:val="000000"/>
          <w:sz w:val="20"/>
          <w:szCs w:val="20"/>
          <w:u w:color="000000"/>
          <w:bdr w:val="nil"/>
          <w:lang w:val="es-CO" w:eastAsia="es-ES"/>
        </w:rPr>
        <w:t>La Comisión ha designado a</w:t>
      </w:r>
      <w:r w:rsidR="008227EA" w:rsidRPr="00805525">
        <w:rPr>
          <w:rFonts w:ascii="Cambria" w:eastAsia="Cambria" w:hAnsi="Cambria" w:cs="Cambria"/>
          <w:color w:val="000000"/>
          <w:sz w:val="20"/>
          <w:szCs w:val="20"/>
          <w:u w:color="000000"/>
          <w:bdr w:val="nil"/>
          <w:lang w:val="es-CO" w:eastAsia="es-ES"/>
        </w:rPr>
        <w:t xml:space="preserve"> </w:t>
      </w:r>
      <w:r w:rsidR="009C28B6" w:rsidRPr="00805525">
        <w:rPr>
          <w:rFonts w:ascii="Cambria" w:eastAsia="Cambria" w:hAnsi="Cambria" w:cs="Cambria"/>
          <w:color w:val="000000"/>
          <w:sz w:val="20"/>
          <w:szCs w:val="20"/>
          <w:u w:color="000000"/>
          <w:bdr w:val="nil"/>
          <w:lang w:val="es-CO" w:eastAsia="es-ES"/>
        </w:rPr>
        <w:t>l</w:t>
      </w:r>
      <w:r w:rsidR="008227EA" w:rsidRPr="00805525">
        <w:rPr>
          <w:rFonts w:ascii="Cambria" w:eastAsia="Cambria" w:hAnsi="Cambria" w:cs="Cambria"/>
          <w:color w:val="000000"/>
          <w:sz w:val="20"/>
          <w:szCs w:val="20"/>
          <w:u w:color="000000"/>
          <w:bdr w:val="nil"/>
          <w:lang w:val="es-CO" w:eastAsia="es-ES"/>
        </w:rPr>
        <w:t>a</w:t>
      </w:r>
      <w:r w:rsidR="009C28B6" w:rsidRPr="00805525">
        <w:rPr>
          <w:rFonts w:ascii="Cambria" w:eastAsia="Cambria" w:hAnsi="Cambria" w:cs="Cambria"/>
          <w:color w:val="000000"/>
          <w:sz w:val="20"/>
          <w:szCs w:val="20"/>
          <w:u w:color="000000"/>
          <w:bdr w:val="nil"/>
          <w:lang w:val="es-CO" w:eastAsia="es-ES"/>
        </w:rPr>
        <w:t xml:space="preserve"> </w:t>
      </w:r>
      <w:r w:rsidR="008227EA" w:rsidRPr="00805525">
        <w:rPr>
          <w:rFonts w:ascii="Cambria" w:eastAsia="Cambria" w:hAnsi="Cambria" w:cs="Cambria"/>
          <w:color w:val="000000"/>
          <w:sz w:val="20"/>
          <w:szCs w:val="20"/>
          <w:u w:color="000000"/>
          <w:bdr w:val="nil"/>
          <w:lang w:val="es-CO" w:eastAsia="es-ES"/>
        </w:rPr>
        <w:t>Comisionada Esmeralda Arosemena de Troitiño</w:t>
      </w:r>
      <w:r w:rsidR="002651B3" w:rsidRPr="00805525">
        <w:rPr>
          <w:rFonts w:ascii="Cambria" w:eastAsia="Cambria" w:hAnsi="Cambria" w:cs="Cambria"/>
          <w:color w:val="000000"/>
          <w:sz w:val="20"/>
          <w:szCs w:val="20"/>
          <w:u w:color="000000"/>
          <w:bdr w:val="nil"/>
          <w:lang w:val="es-CO" w:eastAsia="es-ES"/>
        </w:rPr>
        <w:t xml:space="preserve"> </w:t>
      </w:r>
      <w:r w:rsidR="00566065">
        <w:rPr>
          <w:rFonts w:ascii="Cambria" w:eastAsia="Cambria" w:hAnsi="Cambria" w:cs="Cambria"/>
          <w:color w:val="000000"/>
          <w:sz w:val="20"/>
          <w:szCs w:val="20"/>
          <w:u w:color="000000"/>
          <w:bdr w:val="nil"/>
          <w:lang w:val="es-CO" w:eastAsia="es-ES"/>
        </w:rPr>
        <w:t xml:space="preserve">y a la Secretaria Ejecutiva Tania </w:t>
      </w:r>
      <w:r w:rsidR="00566065" w:rsidRPr="00566065">
        <w:rPr>
          <w:rFonts w:ascii="Cambria" w:eastAsia="Cambria" w:hAnsi="Cambria" w:cs="Cambria"/>
          <w:color w:val="000000"/>
          <w:sz w:val="20"/>
          <w:szCs w:val="20"/>
          <w:u w:color="000000"/>
          <w:bdr w:val="nil"/>
          <w:lang w:val="es-CO" w:eastAsia="es-ES"/>
        </w:rPr>
        <w:t xml:space="preserve">Reneaum Panszi </w:t>
      </w:r>
      <w:r w:rsidR="007E6489" w:rsidRPr="00805525">
        <w:rPr>
          <w:rFonts w:ascii="Cambria" w:eastAsia="Cambria" w:hAnsi="Cambria" w:cs="Cambria"/>
          <w:color w:val="000000"/>
          <w:sz w:val="20"/>
          <w:szCs w:val="20"/>
          <w:u w:color="000000"/>
          <w:bdr w:val="nil"/>
          <w:lang w:val="es-CO" w:eastAsia="es-ES"/>
        </w:rPr>
        <w:t>como su</w:t>
      </w:r>
      <w:r w:rsidR="00566065">
        <w:rPr>
          <w:rFonts w:ascii="Cambria" w:eastAsia="Cambria" w:hAnsi="Cambria" w:cs="Cambria"/>
          <w:color w:val="000000"/>
          <w:sz w:val="20"/>
          <w:szCs w:val="20"/>
          <w:u w:color="000000"/>
          <w:bdr w:val="nil"/>
          <w:lang w:val="es-CO" w:eastAsia="es-ES"/>
        </w:rPr>
        <w:t>s</w:t>
      </w:r>
      <w:r w:rsidR="007E6489" w:rsidRPr="00805525">
        <w:rPr>
          <w:rFonts w:ascii="Cambria" w:eastAsia="Cambria" w:hAnsi="Cambria" w:cs="Cambria"/>
          <w:color w:val="000000"/>
          <w:sz w:val="20"/>
          <w:szCs w:val="20"/>
          <w:u w:color="000000"/>
          <w:bdr w:val="nil"/>
          <w:lang w:val="es-CO" w:eastAsia="es-ES"/>
        </w:rPr>
        <w:t xml:space="preserve"> delegad</w:t>
      </w:r>
      <w:r w:rsidR="00251968" w:rsidRPr="00805525">
        <w:rPr>
          <w:rFonts w:ascii="Cambria" w:eastAsia="Cambria" w:hAnsi="Cambria" w:cs="Cambria"/>
          <w:color w:val="000000"/>
          <w:sz w:val="20"/>
          <w:szCs w:val="20"/>
          <w:u w:color="000000"/>
          <w:bdr w:val="nil"/>
          <w:lang w:val="es-CO" w:eastAsia="es-ES"/>
        </w:rPr>
        <w:t>a</w:t>
      </w:r>
      <w:r w:rsidR="00566065">
        <w:rPr>
          <w:rFonts w:ascii="Cambria" w:eastAsia="Cambria" w:hAnsi="Cambria" w:cs="Cambria"/>
          <w:color w:val="000000"/>
          <w:sz w:val="20"/>
          <w:szCs w:val="20"/>
          <w:u w:color="000000"/>
          <w:bdr w:val="nil"/>
          <w:lang w:val="es-CO" w:eastAsia="es-ES"/>
        </w:rPr>
        <w:t>s</w:t>
      </w:r>
      <w:r w:rsidR="003D2633" w:rsidRPr="00805525">
        <w:rPr>
          <w:rFonts w:ascii="Cambria" w:eastAsia="Cambria" w:hAnsi="Cambria" w:cs="Cambria"/>
          <w:color w:val="000000"/>
          <w:sz w:val="20"/>
          <w:szCs w:val="20"/>
          <w:u w:color="000000"/>
          <w:bdr w:val="nil"/>
          <w:lang w:val="es-CO" w:eastAsia="es-ES"/>
        </w:rPr>
        <w:t xml:space="preserve">. Asimismo, </w:t>
      </w:r>
      <w:r w:rsidR="007E6489" w:rsidRPr="00805525">
        <w:rPr>
          <w:rFonts w:ascii="Cambria" w:eastAsia="Cambria" w:hAnsi="Cambria" w:cs="Cambria"/>
          <w:color w:val="000000"/>
          <w:sz w:val="20"/>
          <w:szCs w:val="20"/>
          <w:u w:color="000000"/>
          <w:bdr w:val="nil"/>
          <w:lang w:val="es-CO" w:eastAsia="es-ES"/>
        </w:rPr>
        <w:t xml:space="preserve">Marisol Blanchard Vera, </w:t>
      </w:r>
      <w:r w:rsidR="003D2633" w:rsidRPr="00805525">
        <w:rPr>
          <w:rFonts w:ascii="Cambria" w:eastAsia="Cambria" w:hAnsi="Cambria" w:cs="Cambria"/>
          <w:color w:val="000000"/>
          <w:sz w:val="20"/>
          <w:szCs w:val="20"/>
          <w:u w:color="000000"/>
          <w:bdr w:val="nil"/>
          <w:lang w:val="es-CO" w:eastAsia="es-ES"/>
        </w:rPr>
        <w:t>Secretaria Ejecutiva Adjunta</w:t>
      </w:r>
      <w:r w:rsidR="00A94974" w:rsidRPr="00805525">
        <w:rPr>
          <w:rFonts w:ascii="Cambria" w:eastAsia="Cambria" w:hAnsi="Cambria" w:cs="Cambria"/>
          <w:color w:val="000000"/>
          <w:sz w:val="20"/>
          <w:szCs w:val="20"/>
          <w:u w:color="000000"/>
          <w:bdr w:val="nil"/>
          <w:lang w:val="es-CO" w:eastAsia="es-ES"/>
        </w:rPr>
        <w:t xml:space="preserve"> y</w:t>
      </w:r>
      <w:r w:rsidR="003D2633" w:rsidRPr="00805525">
        <w:rPr>
          <w:rFonts w:ascii="Cambria" w:eastAsia="Cambria" w:hAnsi="Cambria" w:cs="Cambria"/>
          <w:color w:val="000000"/>
          <w:sz w:val="20"/>
          <w:szCs w:val="20"/>
          <w:u w:color="000000"/>
          <w:bdr w:val="nil"/>
          <w:lang w:val="es-CO" w:eastAsia="es-ES"/>
        </w:rPr>
        <w:t xml:space="preserve"> </w:t>
      </w:r>
      <w:r w:rsidR="007E6489" w:rsidRPr="00805525">
        <w:rPr>
          <w:rFonts w:ascii="Cambria" w:eastAsia="Cambria" w:hAnsi="Cambria" w:cs="Cambria"/>
          <w:color w:val="000000"/>
          <w:sz w:val="20"/>
          <w:szCs w:val="20"/>
          <w:u w:color="000000"/>
          <w:bdr w:val="nil"/>
          <w:lang w:val="es-CO" w:eastAsia="es-ES"/>
        </w:rPr>
        <w:t>Jorge Meza Flores</w:t>
      </w:r>
      <w:r w:rsidR="00CA4474" w:rsidRPr="00805525">
        <w:rPr>
          <w:rFonts w:ascii="Cambria" w:eastAsia="Cambria" w:hAnsi="Cambria" w:cs="Cambria"/>
          <w:color w:val="000000"/>
          <w:sz w:val="20"/>
          <w:szCs w:val="20"/>
          <w:u w:color="000000"/>
          <w:bdr w:val="nil"/>
          <w:lang w:val="es-CO" w:eastAsia="es-ES"/>
        </w:rPr>
        <w:t xml:space="preserve">, </w:t>
      </w:r>
      <w:r w:rsidR="00566065">
        <w:rPr>
          <w:rFonts w:ascii="Cambria" w:eastAsia="Cambria" w:hAnsi="Cambria" w:cs="Cambria"/>
          <w:color w:val="000000"/>
          <w:sz w:val="20"/>
          <w:szCs w:val="20"/>
          <w:u w:color="000000"/>
          <w:bdr w:val="nil"/>
          <w:lang w:val="es-CO" w:eastAsia="es-ES"/>
        </w:rPr>
        <w:t>especialista</w:t>
      </w:r>
      <w:r w:rsidR="00235DDF" w:rsidRPr="00805525">
        <w:rPr>
          <w:rFonts w:ascii="Cambria" w:eastAsia="Cambria" w:hAnsi="Cambria" w:cs="Cambria"/>
          <w:color w:val="000000"/>
          <w:sz w:val="20"/>
          <w:szCs w:val="20"/>
          <w:u w:color="000000"/>
          <w:bdr w:val="nil"/>
          <w:lang w:val="es-CO" w:eastAsia="es-ES"/>
        </w:rPr>
        <w:t xml:space="preserve"> </w:t>
      </w:r>
      <w:r w:rsidR="009C28B6" w:rsidRPr="00805525">
        <w:rPr>
          <w:rFonts w:ascii="Cambria" w:eastAsia="Cambria" w:hAnsi="Cambria" w:cs="Cambria"/>
          <w:color w:val="000000"/>
          <w:sz w:val="20"/>
          <w:szCs w:val="20"/>
          <w:u w:color="000000"/>
          <w:bdr w:val="nil"/>
          <w:lang w:val="es-CO" w:eastAsia="es-ES"/>
        </w:rPr>
        <w:t>de la Secretaría Ejecutiva d</w:t>
      </w:r>
      <w:r w:rsidR="00235DDF" w:rsidRPr="00805525">
        <w:rPr>
          <w:rFonts w:ascii="Cambria" w:eastAsia="Cambria" w:hAnsi="Cambria" w:cs="Cambria"/>
          <w:color w:val="000000"/>
          <w:sz w:val="20"/>
          <w:szCs w:val="20"/>
          <w:u w:color="000000"/>
          <w:bdr w:val="nil"/>
          <w:lang w:val="es-CO" w:eastAsia="es-ES"/>
        </w:rPr>
        <w:t xml:space="preserve">e la CIDH, actuarán como </w:t>
      </w:r>
      <w:r w:rsidR="00CA4474" w:rsidRPr="00805525">
        <w:rPr>
          <w:rFonts w:ascii="Cambria" w:eastAsia="Cambria" w:hAnsi="Cambria" w:cs="Cambria"/>
          <w:color w:val="000000"/>
          <w:sz w:val="20"/>
          <w:szCs w:val="20"/>
          <w:u w:color="000000"/>
          <w:bdr w:val="nil"/>
          <w:lang w:val="es-CO" w:eastAsia="es-ES"/>
        </w:rPr>
        <w:t>asesora y a</w:t>
      </w:r>
      <w:r w:rsidR="00235DDF" w:rsidRPr="00805525">
        <w:rPr>
          <w:rFonts w:ascii="Cambria" w:eastAsia="Cambria" w:hAnsi="Cambria" w:cs="Cambria"/>
          <w:color w:val="000000"/>
          <w:sz w:val="20"/>
          <w:szCs w:val="20"/>
          <w:u w:color="000000"/>
          <w:bdr w:val="nil"/>
          <w:lang w:val="es-CO" w:eastAsia="es-ES"/>
        </w:rPr>
        <w:t>sesor</w:t>
      </w:r>
      <w:r w:rsidR="00962592" w:rsidRPr="00805525">
        <w:rPr>
          <w:rFonts w:ascii="Cambria" w:eastAsia="Cambria" w:hAnsi="Cambria" w:cs="Cambria"/>
          <w:color w:val="000000"/>
          <w:sz w:val="20"/>
          <w:szCs w:val="20"/>
          <w:u w:color="000000"/>
          <w:bdr w:val="nil"/>
          <w:lang w:val="es-CO" w:eastAsia="es-ES"/>
        </w:rPr>
        <w:t xml:space="preserve"> </w:t>
      </w:r>
      <w:r w:rsidR="00CA4474" w:rsidRPr="00805525">
        <w:rPr>
          <w:rFonts w:ascii="Cambria" w:eastAsia="Cambria" w:hAnsi="Cambria" w:cs="Cambria"/>
          <w:color w:val="000000"/>
          <w:sz w:val="20"/>
          <w:szCs w:val="20"/>
          <w:u w:color="000000"/>
          <w:bdr w:val="nil"/>
          <w:lang w:val="es-CO" w:eastAsia="es-ES"/>
        </w:rPr>
        <w:t>l</w:t>
      </w:r>
      <w:r w:rsidR="009C28B6" w:rsidRPr="00805525">
        <w:rPr>
          <w:rFonts w:ascii="Cambria" w:eastAsia="Cambria" w:hAnsi="Cambria" w:cs="Cambria"/>
          <w:color w:val="000000"/>
          <w:sz w:val="20"/>
          <w:szCs w:val="20"/>
          <w:u w:color="000000"/>
          <w:bdr w:val="nil"/>
          <w:lang w:val="es-CO" w:eastAsia="es-ES"/>
        </w:rPr>
        <w:t>egales.</w:t>
      </w:r>
    </w:p>
    <w:p w14:paraId="5526D24D" w14:textId="77777777" w:rsidR="009C28B6" w:rsidRPr="00805525" w:rsidRDefault="009C28B6" w:rsidP="008B644A">
      <w:pPr>
        <w:tabs>
          <w:tab w:val="left" w:pos="709"/>
          <w:tab w:val="left" w:pos="1134"/>
        </w:tabs>
        <w:spacing w:after="0" w:line="240" w:lineRule="auto"/>
        <w:jc w:val="both"/>
        <w:rPr>
          <w:rFonts w:ascii="Cambria" w:hAnsi="Cambria" w:cs="Arial"/>
          <w:sz w:val="20"/>
          <w:szCs w:val="20"/>
          <w:lang w:val="es-CO"/>
        </w:rPr>
      </w:pPr>
    </w:p>
    <w:p w14:paraId="4D5EC497" w14:textId="77777777" w:rsidR="0097331F" w:rsidRPr="00805525" w:rsidRDefault="005212CE" w:rsidP="0097331F">
      <w:pPr>
        <w:tabs>
          <w:tab w:val="left" w:pos="720"/>
          <w:tab w:val="left" w:pos="2880"/>
        </w:tabs>
        <w:spacing w:after="0" w:line="240" w:lineRule="auto"/>
        <w:jc w:val="both"/>
        <w:rPr>
          <w:rFonts w:ascii="Cambria" w:hAnsi="Cambria"/>
          <w:sz w:val="20"/>
          <w:szCs w:val="20"/>
          <w:lang w:val="es-AR"/>
        </w:rPr>
      </w:pPr>
      <w:r w:rsidRPr="00805525">
        <w:rPr>
          <w:rFonts w:ascii="Cambria" w:hAnsi="Cambria" w:cs="Arial"/>
          <w:sz w:val="20"/>
          <w:szCs w:val="20"/>
          <w:lang w:val="es-CO"/>
        </w:rPr>
        <w:tab/>
      </w:r>
      <w:r w:rsidR="009C28B6" w:rsidRPr="00805525">
        <w:rPr>
          <w:rFonts w:ascii="Cambria" w:hAnsi="Cambria" w:cs="Arial"/>
          <w:sz w:val="20"/>
          <w:szCs w:val="20"/>
          <w:lang w:val="es-CO"/>
        </w:rPr>
        <w:t xml:space="preserve">De conformidad con el artículo 35 del Reglamento de la Corte Interamericana, la Comisión adjunta </w:t>
      </w:r>
      <w:r w:rsidR="00962592" w:rsidRPr="00805525">
        <w:rPr>
          <w:rFonts w:ascii="Cambria" w:hAnsi="Cambria"/>
          <w:sz w:val="20"/>
          <w:szCs w:val="20"/>
          <w:lang w:val="es-CO"/>
        </w:rPr>
        <w:t>copia del I</w:t>
      </w:r>
      <w:r w:rsidR="009C28B6" w:rsidRPr="00805525">
        <w:rPr>
          <w:rFonts w:ascii="Cambria" w:hAnsi="Cambria"/>
          <w:sz w:val="20"/>
          <w:szCs w:val="20"/>
          <w:lang w:val="es-CO"/>
        </w:rPr>
        <w:t xml:space="preserve">nforme </w:t>
      </w:r>
      <w:r w:rsidR="00962592" w:rsidRPr="00805525">
        <w:rPr>
          <w:rFonts w:ascii="Cambria" w:hAnsi="Cambria"/>
          <w:sz w:val="20"/>
          <w:szCs w:val="20"/>
          <w:lang w:val="es-CO"/>
        </w:rPr>
        <w:t xml:space="preserve">Nº </w:t>
      </w:r>
      <w:r w:rsidR="00EA1003">
        <w:rPr>
          <w:rFonts w:ascii="Cambria" w:hAnsi="Cambria"/>
          <w:sz w:val="20"/>
          <w:szCs w:val="20"/>
          <w:lang w:val="es-CO"/>
        </w:rPr>
        <w:t>62</w:t>
      </w:r>
      <w:r w:rsidR="009C28B6" w:rsidRPr="00805525">
        <w:rPr>
          <w:rFonts w:ascii="Cambria" w:hAnsi="Cambria"/>
          <w:sz w:val="20"/>
          <w:szCs w:val="20"/>
          <w:lang w:val="es-CO"/>
        </w:rPr>
        <w:t>/</w:t>
      </w:r>
      <w:r w:rsidR="00EA1003">
        <w:rPr>
          <w:rFonts w:ascii="Cambria" w:hAnsi="Cambria"/>
          <w:sz w:val="20"/>
          <w:szCs w:val="20"/>
          <w:lang w:val="es-CO"/>
        </w:rPr>
        <w:t>19</w:t>
      </w:r>
      <w:r w:rsidR="009C28B6" w:rsidRPr="00805525">
        <w:rPr>
          <w:rFonts w:ascii="Cambria" w:hAnsi="Cambria"/>
          <w:sz w:val="20"/>
          <w:szCs w:val="20"/>
          <w:lang w:val="es-CO"/>
        </w:rPr>
        <w:t xml:space="preserve"> elaborado en observancia del artículo 50 de la Convención, así como copia de la totalidad del expediente ante la Comisión Interamericana (Apéndice </w:t>
      </w:r>
      <w:r w:rsidR="00191F1C" w:rsidRPr="00805525">
        <w:rPr>
          <w:rFonts w:ascii="Cambria" w:hAnsi="Cambria"/>
          <w:sz w:val="20"/>
          <w:szCs w:val="20"/>
          <w:lang w:val="es-CO"/>
        </w:rPr>
        <w:t>1</w:t>
      </w:r>
      <w:r w:rsidR="009C28B6" w:rsidRPr="00805525">
        <w:rPr>
          <w:rFonts w:ascii="Cambria" w:hAnsi="Cambria"/>
          <w:sz w:val="20"/>
          <w:szCs w:val="20"/>
          <w:lang w:val="es-CO"/>
        </w:rPr>
        <w:t xml:space="preserve">) y los anexos utilizados en la elaboración del </w:t>
      </w:r>
      <w:r w:rsidR="00E51F83" w:rsidRPr="00805525">
        <w:rPr>
          <w:rFonts w:ascii="Cambria" w:hAnsi="Cambria"/>
          <w:sz w:val="20"/>
          <w:szCs w:val="20"/>
          <w:lang w:val="es-CO"/>
        </w:rPr>
        <w:t>citado informe</w:t>
      </w:r>
      <w:r w:rsidR="009C28B6" w:rsidRPr="00805525">
        <w:rPr>
          <w:rFonts w:ascii="Cambria" w:hAnsi="Cambria"/>
          <w:sz w:val="20"/>
          <w:szCs w:val="20"/>
          <w:lang w:val="es-CO"/>
        </w:rPr>
        <w:t>.</w:t>
      </w:r>
      <w:r w:rsidR="000539C4" w:rsidRPr="00805525">
        <w:rPr>
          <w:rFonts w:ascii="Cambria" w:hAnsi="Cambria"/>
          <w:sz w:val="20"/>
          <w:szCs w:val="20"/>
          <w:lang w:val="es-CO"/>
        </w:rPr>
        <w:t xml:space="preserve"> </w:t>
      </w:r>
      <w:r w:rsidR="00CA4474" w:rsidRPr="00805525">
        <w:rPr>
          <w:rFonts w:ascii="Cambria" w:hAnsi="Cambria"/>
          <w:sz w:val="20"/>
          <w:szCs w:val="20"/>
          <w:lang w:val="es-CO"/>
        </w:rPr>
        <w:t>Dicho I</w:t>
      </w:r>
      <w:r w:rsidR="009C28B6" w:rsidRPr="00805525">
        <w:rPr>
          <w:rFonts w:ascii="Cambria" w:hAnsi="Cambria"/>
          <w:sz w:val="20"/>
          <w:szCs w:val="20"/>
          <w:lang w:val="es-CO"/>
        </w:rPr>
        <w:t xml:space="preserve">nforme de </w:t>
      </w:r>
      <w:r w:rsidR="00CA4474" w:rsidRPr="00805525">
        <w:rPr>
          <w:rFonts w:ascii="Cambria" w:hAnsi="Cambria"/>
          <w:sz w:val="20"/>
          <w:szCs w:val="20"/>
          <w:lang w:val="es-CO"/>
        </w:rPr>
        <w:t>F</w:t>
      </w:r>
      <w:r w:rsidR="009C28B6" w:rsidRPr="00805525">
        <w:rPr>
          <w:rFonts w:ascii="Cambria" w:hAnsi="Cambria"/>
          <w:sz w:val="20"/>
          <w:szCs w:val="20"/>
          <w:lang w:val="es-CO"/>
        </w:rPr>
        <w:t xml:space="preserve">ondo </w:t>
      </w:r>
      <w:r w:rsidR="003A101B" w:rsidRPr="00805525">
        <w:rPr>
          <w:rFonts w:ascii="Cambria" w:hAnsi="Cambria"/>
          <w:sz w:val="20"/>
          <w:szCs w:val="20"/>
          <w:lang w:val="es-AR"/>
        </w:rPr>
        <w:t>fue notificad</w:t>
      </w:r>
      <w:r w:rsidR="00CC53C1" w:rsidRPr="00805525">
        <w:rPr>
          <w:rFonts w:ascii="Cambria" w:hAnsi="Cambria"/>
          <w:sz w:val="20"/>
          <w:szCs w:val="20"/>
          <w:lang w:val="es-AR"/>
        </w:rPr>
        <w:t>o al Estado mexicano</w:t>
      </w:r>
      <w:r w:rsidR="00796A9C" w:rsidRPr="00805525">
        <w:rPr>
          <w:rFonts w:ascii="Cambria" w:hAnsi="Cambria"/>
          <w:sz w:val="20"/>
          <w:szCs w:val="20"/>
          <w:lang w:val="es-US"/>
        </w:rPr>
        <w:t xml:space="preserve"> el </w:t>
      </w:r>
      <w:r w:rsidR="002E22DE">
        <w:rPr>
          <w:rFonts w:ascii="Cambria" w:hAnsi="Cambria"/>
          <w:sz w:val="20"/>
          <w:szCs w:val="20"/>
          <w:lang w:val="es-US"/>
        </w:rPr>
        <w:t>22 de julio de 2019</w:t>
      </w:r>
      <w:r w:rsidR="009C28B6" w:rsidRPr="00805525">
        <w:rPr>
          <w:rFonts w:ascii="Cambria" w:hAnsi="Cambria"/>
          <w:sz w:val="20"/>
          <w:szCs w:val="20"/>
          <w:lang w:val="es-AR"/>
        </w:rPr>
        <w:t xml:space="preserve">, otorgándole un plazo de dos meses para informar sobre el cumplimiento de las recomendaciones. </w:t>
      </w:r>
    </w:p>
    <w:p w14:paraId="47A8AEEB" w14:textId="77777777" w:rsidR="0097331F" w:rsidRPr="00805525" w:rsidRDefault="0097331F" w:rsidP="0097331F">
      <w:pPr>
        <w:tabs>
          <w:tab w:val="left" w:pos="720"/>
          <w:tab w:val="left" w:pos="2880"/>
        </w:tabs>
        <w:spacing w:after="0" w:line="240" w:lineRule="auto"/>
        <w:jc w:val="both"/>
        <w:rPr>
          <w:rFonts w:ascii="Cambria" w:hAnsi="Cambria"/>
          <w:sz w:val="20"/>
          <w:szCs w:val="20"/>
          <w:lang w:val="es-AR"/>
        </w:rPr>
      </w:pPr>
    </w:p>
    <w:p w14:paraId="2D4B53F3" w14:textId="77777777" w:rsidR="0097331F" w:rsidRPr="00805525" w:rsidRDefault="0097331F" w:rsidP="007D4FC9">
      <w:pPr>
        <w:tabs>
          <w:tab w:val="left" w:pos="720"/>
          <w:tab w:val="left" w:pos="2880"/>
        </w:tabs>
        <w:spacing w:after="0" w:line="240" w:lineRule="auto"/>
        <w:jc w:val="both"/>
        <w:rPr>
          <w:rFonts w:ascii="Cambria" w:hAnsi="Cambria"/>
          <w:sz w:val="20"/>
          <w:szCs w:val="20"/>
          <w:lang w:val="es-US"/>
        </w:rPr>
      </w:pPr>
      <w:r w:rsidRPr="00805525">
        <w:rPr>
          <w:rFonts w:ascii="Cambria" w:hAnsi="Cambria"/>
          <w:sz w:val="20"/>
          <w:szCs w:val="20"/>
          <w:lang w:val="es-AR"/>
        </w:rPr>
        <w:tab/>
      </w:r>
      <w:r w:rsidR="00676C30" w:rsidRPr="00805525">
        <w:rPr>
          <w:rFonts w:ascii="Cambria" w:hAnsi="Cambria"/>
          <w:sz w:val="20"/>
          <w:szCs w:val="20"/>
          <w:lang w:val="es-US"/>
        </w:rPr>
        <w:t xml:space="preserve">Con posterioridad al vencimiento de dicho plazo, la Comisión otorgó </w:t>
      </w:r>
      <w:r w:rsidR="002E22DE">
        <w:rPr>
          <w:rFonts w:ascii="Cambria" w:hAnsi="Cambria"/>
          <w:sz w:val="20"/>
          <w:szCs w:val="20"/>
          <w:lang w:val="es-US"/>
        </w:rPr>
        <w:t>nueve</w:t>
      </w:r>
      <w:r w:rsidR="00676C30" w:rsidRPr="00805525">
        <w:rPr>
          <w:rFonts w:ascii="Cambria" w:hAnsi="Cambria"/>
          <w:sz w:val="20"/>
          <w:szCs w:val="20"/>
          <w:lang w:val="es-US"/>
        </w:rPr>
        <w:t xml:space="preserve"> prórrogas para que el Estado contara con tiempo adicional para cumplir con las recomendaciones y avanzar en la implementación de las medidas adoptadas para reparar las consecuencias de las violaciones de los derechos humanos </w:t>
      </w:r>
      <w:r w:rsidR="00676C30" w:rsidRPr="00805525">
        <w:rPr>
          <w:rFonts w:ascii="Cambria" w:hAnsi="Cambria"/>
          <w:sz w:val="20"/>
          <w:szCs w:val="20"/>
          <w:lang w:val="es-US"/>
        </w:rPr>
        <w:lastRenderedPageBreak/>
        <w:t>establecidas en el Informe de Fondo.</w:t>
      </w:r>
      <w:r w:rsidRPr="00805525">
        <w:rPr>
          <w:rFonts w:ascii="Cambria" w:hAnsi="Cambria"/>
          <w:sz w:val="20"/>
          <w:szCs w:val="20"/>
          <w:lang w:val="es-US"/>
        </w:rPr>
        <w:t xml:space="preserve"> </w:t>
      </w:r>
      <w:r w:rsidR="00C029B1">
        <w:rPr>
          <w:rFonts w:ascii="Cambria" w:hAnsi="Cambria"/>
          <w:sz w:val="20"/>
          <w:szCs w:val="20"/>
          <w:lang w:val="es-US"/>
        </w:rPr>
        <w:t>En el transcurso de los dos años y medio posteriores a la notificación del informe</w:t>
      </w:r>
      <w:r w:rsidR="007536F2">
        <w:rPr>
          <w:rFonts w:ascii="Cambria" w:hAnsi="Cambria"/>
          <w:sz w:val="20"/>
          <w:szCs w:val="20"/>
          <w:lang w:val="es-US"/>
        </w:rPr>
        <w:t>,</w:t>
      </w:r>
      <w:r w:rsidR="00C029B1">
        <w:rPr>
          <w:rFonts w:ascii="Cambria" w:hAnsi="Cambria"/>
          <w:sz w:val="20"/>
          <w:szCs w:val="20"/>
          <w:lang w:val="es-US"/>
        </w:rPr>
        <w:t xml:space="preserve"> </w:t>
      </w:r>
      <w:r w:rsidR="007566EE" w:rsidRPr="002A5477">
        <w:rPr>
          <w:rFonts w:ascii="Cambria" w:hAnsi="Cambria"/>
          <w:sz w:val="20"/>
          <w:szCs w:val="20"/>
          <w:lang w:val="es-US"/>
        </w:rPr>
        <w:t xml:space="preserve">las partes acordaron una serie de medidas de </w:t>
      </w:r>
      <w:r w:rsidR="002A5477" w:rsidRPr="002A5477">
        <w:rPr>
          <w:rFonts w:ascii="Cambria" w:hAnsi="Cambria"/>
          <w:sz w:val="20"/>
          <w:szCs w:val="20"/>
          <w:lang w:val="es-US"/>
        </w:rPr>
        <w:t>reparación y</w:t>
      </w:r>
      <w:r w:rsidR="007566EE" w:rsidRPr="002A5477">
        <w:rPr>
          <w:rFonts w:ascii="Cambria" w:hAnsi="Cambria"/>
          <w:sz w:val="20"/>
          <w:szCs w:val="20"/>
          <w:lang w:val="es-US"/>
        </w:rPr>
        <w:t xml:space="preserve"> el Estado </w:t>
      </w:r>
      <w:r w:rsidR="002A5477" w:rsidRPr="002A5477">
        <w:rPr>
          <w:rFonts w:ascii="Cambria" w:hAnsi="Cambria"/>
          <w:sz w:val="20"/>
          <w:szCs w:val="20"/>
          <w:lang w:val="es-US"/>
        </w:rPr>
        <w:t>llevó</w:t>
      </w:r>
      <w:r w:rsidR="007566EE" w:rsidRPr="002A5477">
        <w:rPr>
          <w:rFonts w:ascii="Cambria" w:hAnsi="Cambria"/>
          <w:sz w:val="20"/>
          <w:szCs w:val="20"/>
          <w:lang w:val="es-US"/>
        </w:rPr>
        <w:t xml:space="preserve"> a cabo acciones para cumplir con </w:t>
      </w:r>
      <w:r w:rsidR="007D4F91">
        <w:rPr>
          <w:rFonts w:ascii="Cambria" w:hAnsi="Cambria"/>
          <w:sz w:val="20"/>
          <w:szCs w:val="20"/>
          <w:lang w:val="es-US"/>
        </w:rPr>
        <w:t>tales</w:t>
      </w:r>
      <w:r w:rsidR="007566EE" w:rsidRPr="002A5477">
        <w:rPr>
          <w:rFonts w:ascii="Cambria" w:hAnsi="Cambria"/>
          <w:sz w:val="20"/>
          <w:szCs w:val="20"/>
          <w:lang w:val="es-US"/>
        </w:rPr>
        <w:t xml:space="preserve"> medidas </w:t>
      </w:r>
      <w:r w:rsidR="002A5477" w:rsidRPr="002A5477">
        <w:rPr>
          <w:rFonts w:ascii="Cambria" w:hAnsi="Cambria"/>
          <w:sz w:val="20"/>
          <w:szCs w:val="20"/>
          <w:lang w:val="es-US"/>
        </w:rPr>
        <w:t>con miras a</w:t>
      </w:r>
      <w:r w:rsidR="007566EE" w:rsidRPr="002A5477">
        <w:rPr>
          <w:rFonts w:ascii="Cambria" w:hAnsi="Cambria"/>
          <w:sz w:val="20"/>
          <w:szCs w:val="20"/>
          <w:lang w:val="es-US"/>
        </w:rPr>
        <w:t xml:space="preserve"> firmar </w:t>
      </w:r>
      <w:r w:rsidR="002A5477" w:rsidRPr="002A5477">
        <w:rPr>
          <w:rFonts w:ascii="Cambria" w:hAnsi="Cambria"/>
          <w:sz w:val="20"/>
          <w:szCs w:val="20"/>
          <w:lang w:val="es-US"/>
        </w:rPr>
        <w:t>un acuerdo de cumplimiento de recomendacione</w:t>
      </w:r>
      <w:r w:rsidR="001D2E10">
        <w:rPr>
          <w:rFonts w:ascii="Cambria" w:hAnsi="Cambria"/>
          <w:sz w:val="20"/>
          <w:szCs w:val="20"/>
          <w:lang w:val="es-US"/>
        </w:rPr>
        <w:t>s</w:t>
      </w:r>
      <w:r w:rsidR="002A5477" w:rsidRPr="002A5477">
        <w:rPr>
          <w:rFonts w:ascii="Cambria" w:hAnsi="Cambria"/>
          <w:sz w:val="20"/>
          <w:szCs w:val="20"/>
          <w:lang w:val="es-US"/>
        </w:rPr>
        <w:t>.</w:t>
      </w:r>
      <w:r w:rsidR="007566EE" w:rsidRPr="002A5477">
        <w:rPr>
          <w:rFonts w:ascii="Cambria" w:hAnsi="Cambria"/>
          <w:sz w:val="20"/>
          <w:szCs w:val="20"/>
          <w:lang w:val="es-US"/>
        </w:rPr>
        <w:t xml:space="preserve"> </w:t>
      </w:r>
      <w:r w:rsidR="002A5477" w:rsidRPr="002A5477">
        <w:rPr>
          <w:rFonts w:ascii="Cambria" w:hAnsi="Cambria"/>
          <w:sz w:val="20"/>
          <w:szCs w:val="20"/>
          <w:lang w:val="es-US"/>
        </w:rPr>
        <w:t xml:space="preserve">Sin embargo, con posterioridad al otorgamiento de la novena prórroga, el Estado </w:t>
      </w:r>
      <w:r w:rsidR="004B1088">
        <w:rPr>
          <w:rFonts w:ascii="Cambria" w:hAnsi="Cambria"/>
          <w:sz w:val="20"/>
          <w:szCs w:val="20"/>
          <w:lang w:val="es-US"/>
        </w:rPr>
        <w:t xml:space="preserve">si bien solicitó </w:t>
      </w:r>
      <w:r w:rsidR="002A5477" w:rsidRPr="002A5477">
        <w:rPr>
          <w:rFonts w:ascii="Cambria" w:hAnsi="Cambria"/>
          <w:sz w:val="20"/>
          <w:szCs w:val="20"/>
          <w:lang w:val="es-US"/>
        </w:rPr>
        <w:t>una prórroga adicional</w:t>
      </w:r>
      <w:r w:rsidR="004B1088">
        <w:rPr>
          <w:rFonts w:ascii="Cambria" w:hAnsi="Cambria"/>
          <w:sz w:val="20"/>
          <w:szCs w:val="20"/>
          <w:lang w:val="es-US"/>
        </w:rPr>
        <w:t xml:space="preserve">, no presentó la renuncia a interponer excepciones preliminares respecto del cumplimiento del plazo establecido en el artículo 51.1 de la Convención Americana, tal como lo requiere el artículo 46.1b del Reglamento de la CIDH a efectos de </w:t>
      </w:r>
      <w:r w:rsidR="007D4F91">
        <w:rPr>
          <w:rFonts w:ascii="Cambria" w:hAnsi="Cambria"/>
          <w:sz w:val="20"/>
          <w:szCs w:val="20"/>
          <w:lang w:val="es-US"/>
        </w:rPr>
        <w:t xml:space="preserve">que la Comisión pueda </w:t>
      </w:r>
      <w:r w:rsidR="004B1088">
        <w:rPr>
          <w:rFonts w:ascii="Cambria" w:hAnsi="Cambria"/>
          <w:sz w:val="20"/>
          <w:szCs w:val="20"/>
          <w:lang w:val="es-US"/>
        </w:rPr>
        <w:t>considerar la solicitud de prórroga</w:t>
      </w:r>
      <w:r w:rsidR="00AA3B9C">
        <w:rPr>
          <w:rFonts w:ascii="Cambria" w:hAnsi="Cambria"/>
          <w:sz w:val="20"/>
          <w:szCs w:val="20"/>
          <w:lang w:val="es-US"/>
        </w:rPr>
        <w:t xml:space="preserve"> solicitada</w:t>
      </w:r>
      <w:r w:rsidR="002A5477" w:rsidRPr="002A5477">
        <w:rPr>
          <w:rFonts w:ascii="Cambria" w:hAnsi="Cambria"/>
          <w:sz w:val="20"/>
          <w:szCs w:val="20"/>
          <w:lang w:val="es-US"/>
        </w:rPr>
        <w:t xml:space="preserve">. </w:t>
      </w:r>
      <w:r w:rsidR="007D4F91">
        <w:rPr>
          <w:rFonts w:ascii="Cambria" w:hAnsi="Cambria"/>
          <w:sz w:val="20"/>
          <w:szCs w:val="20"/>
          <w:lang w:val="es-US"/>
        </w:rPr>
        <w:t>En estas circunstancias, t</w:t>
      </w:r>
      <w:r w:rsidR="002A5477" w:rsidRPr="002A5477">
        <w:rPr>
          <w:rFonts w:ascii="Cambria" w:hAnsi="Cambria"/>
          <w:sz w:val="20"/>
          <w:szCs w:val="20"/>
          <w:lang w:val="es-US"/>
        </w:rPr>
        <w:t xml:space="preserve">eniendo en cuenta que, a pesar de los avances </w:t>
      </w:r>
      <w:r w:rsidR="002A5477">
        <w:rPr>
          <w:rFonts w:ascii="Cambria" w:hAnsi="Cambria"/>
          <w:sz w:val="20"/>
          <w:szCs w:val="20"/>
          <w:lang w:val="es-US"/>
        </w:rPr>
        <w:t>existentes</w:t>
      </w:r>
      <w:r w:rsidR="007536F2">
        <w:rPr>
          <w:rFonts w:ascii="Cambria" w:hAnsi="Cambria"/>
          <w:sz w:val="20"/>
          <w:szCs w:val="20"/>
          <w:lang w:val="es-US"/>
        </w:rPr>
        <w:t>,</w:t>
      </w:r>
      <w:r w:rsidR="002A5477">
        <w:rPr>
          <w:rFonts w:ascii="Cambria" w:hAnsi="Cambria"/>
          <w:sz w:val="20"/>
          <w:szCs w:val="20"/>
          <w:lang w:val="es-US"/>
        </w:rPr>
        <w:t xml:space="preserve"> </w:t>
      </w:r>
      <w:r w:rsidR="00961D4F">
        <w:rPr>
          <w:rFonts w:ascii="Cambria" w:hAnsi="Cambria"/>
          <w:sz w:val="20"/>
          <w:szCs w:val="20"/>
          <w:lang w:val="es-US"/>
        </w:rPr>
        <w:t xml:space="preserve">de acuerdo con la información aportada por las partes al expediente, </w:t>
      </w:r>
      <w:r w:rsidR="002A5477">
        <w:rPr>
          <w:rFonts w:ascii="Cambria" w:hAnsi="Cambria"/>
          <w:sz w:val="20"/>
          <w:szCs w:val="20"/>
          <w:lang w:val="es-US"/>
        </w:rPr>
        <w:t xml:space="preserve">el Estado aún no ha cumplido integralmente con las </w:t>
      </w:r>
      <w:r w:rsidR="007536F2">
        <w:rPr>
          <w:rFonts w:ascii="Cambria" w:hAnsi="Cambria"/>
          <w:sz w:val="20"/>
          <w:szCs w:val="20"/>
          <w:lang w:val="es-US"/>
        </w:rPr>
        <w:t>recomendaciones</w:t>
      </w:r>
      <w:r w:rsidR="002A5477">
        <w:rPr>
          <w:rFonts w:ascii="Cambria" w:hAnsi="Cambria"/>
          <w:sz w:val="20"/>
          <w:szCs w:val="20"/>
          <w:lang w:val="es-US"/>
        </w:rPr>
        <w:t xml:space="preserve">, y considerando la necesidad de justicia y reparación </w:t>
      </w:r>
      <w:r w:rsidR="00AA3B9C">
        <w:rPr>
          <w:rFonts w:ascii="Cambria" w:hAnsi="Cambria"/>
          <w:sz w:val="20"/>
          <w:szCs w:val="20"/>
          <w:lang w:val="es-US"/>
        </w:rPr>
        <w:t xml:space="preserve">integral </w:t>
      </w:r>
      <w:r w:rsidR="002A5477">
        <w:rPr>
          <w:rFonts w:ascii="Cambria" w:hAnsi="Cambria"/>
          <w:sz w:val="20"/>
          <w:szCs w:val="20"/>
          <w:lang w:val="es-US"/>
        </w:rPr>
        <w:t>para los familiares</w:t>
      </w:r>
      <w:r w:rsidR="007536F2">
        <w:rPr>
          <w:rFonts w:ascii="Cambria" w:hAnsi="Cambria"/>
          <w:sz w:val="20"/>
          <w:szCs w:val="20"/>
          <w:lang w:val="es-US"/>
        </w:rPr>
        <w:t xml:space="preserve"> de la víctima</w:t>
      </w:r>
      <w:r w:rsidR="002A5477">
        <w:rPr>
          <w:rFonts w:ascii="Cambria" w:hAnsi="Cambria"/>
          <w:sz w:val="20"/>
          <w:szCs w:val="20"/>
          <w:lang w:val="es-US"/>
        </w:rPr>
        <w:t xml:space="preserve">, la Comisión </w:t>
      </w:r>
      <w:r w:rsidRPr="00805525">
        <w:rPr>
          <w:rFonts w:ascii="Cambria" w:hAnsi="Cambria"/>
          <w:sz w:val="20"/>
          <w:szCs w:val="20"/>
          <w:lang w:val="es-US"/>
        </w:rPr>
        <w:t>decidió someter el presente caso a la jurisdicción de la Corte Interamericana.</w:t>
      </w:r>
      <w:r w:rsidRPr="00805525">
        <w:rPr>
          <w:rFonts w:ascii="Cambria" w:hAnsi="Cambria" w:cs="Calibri"/>
          <w:color w:val="000000"/>
          <w:sz w:val="20"/>
          <w:szCs w:val="20"/>
          <w:lang w:val="es-ES"/>
        </w:rPr>
        <w:t xml:space="preserve"> </w:t>
      </w:r>
    </w:p>
    <w:p w14:paraId="3DE05E4E" w14:textId="77777777" w:rsidR="0097331F" w:rsidRPr="007D4FC9" w:rsidRDefault="0097331F" w:rsidP="007D4FC9">
      <w:pPr>
        <w:tabs>
          <w:tab w:val="left" w:pos="720"/>
          <w:tab w:val="left" w:pos="2880"/>
        </w:tabs>
        <w:spacing w:after="0" w:line="240" w:lineRule="auto"/>
        <w:jc w:val="both"/>
        <w:rPr>
          <w:rFonts w:ascii="Cambria" w:hAnsi="Cambria"/>
          <w:sz w:val="20"/>
          <w:szCs w:val="20"/>
          <w:lang w:val="es-US"/>
        </w:rPr>
      </w:pPr>
    </w:p>
    <w:p w14:paraId="638EA5AF" w14:textId="77777777" w:rsidR="004B281F" w:rsidRPr="007D4FC9" w:rsidRDefault="00E51F83" w:rsidP="007D4FC9">
      <w:pPr>
        <w:pStyle w:val="Prrafodelista"/>
        <w:ind w:left="0" w:firstLine="720"/>
        <w:jc w:val="both"/>
        <w:rPr>
          <w:rFonts w:eastAsia="Calibri" w:cs="Times New Roman"/>
          <w:color w:val="auto"/>
          <w:sz w:val="20"/>
          <w:szCs w:val="20"/>
          <w:bdr w:val="none" w:sz="0" w:space="0" w:color="auto"/>
          <w:lang w:val="es-US" w:eastAsia="en-US"/>
        </w:rPr>
      </w:pPr>
      <w:r w:rsidRPr="00805525">
        <w:rPr>
          <w:rFonts w:eastAsia="Calibri" w:cs="Times New Roman"/>
          <w:color w:val="auto"/>
          <w:sz w:val="20"/>
          <w:szCs w:val="20"/>
          <w:bdr w:val="none" w:sz="0" w:space="0" w:color="auto"/>
          <w:lang w:val="es-US" w:eastAsia="en-US"/>
        </w:rPr>
        <w:t>En ese sentido, la CIDH</w:t>
      </w:r>
      <w:r w:rsidR="009C28B6" w:rsidRPr="00805525">
        <w:rPr>
          <w:rFonts w:eastAsia="Calibri" w:cs="Times New Roman"/>
          <w:color w:val="auto"/>
          <w:sz w:val="20"/>
          <w:szCs w:val="20"/>
          <w:bdr w:val="none" w:sz="0" w:space="0" w:color="auto"/>
          <w:lang w:val="es-US" w:eastAsia="en-US"/>
        </w:rPr>
        <w:t xml:space="preserve"> solicita a la Corte</w:t>
      </w:r>
      <w:r w:rsidRPr="00805525">
        <w:rPr>
          <w:rFonts w:eastAsia="Calibri" w:cs="Times New Roman"/>
          <w:color w:val="auto"/>
          <w:sz w:val="20"/>
          <w:szCs w:val="20"/>
          <w:bdr w:val="none" w:sz="0" w:space="0" w:color="auto"/>
          <w:lang w:val="es-US" w:eastAsia="en-US"/>
        </w:rPr>
        <w:t xml:space="preserve"> Interamericana</w:t>
      </w:r>
      <w:r w:rsidR="009C28B6" w:rsidRPr="00805525">
        <w:rPr>
          <w:rFonts w:eastAsia="Calibri" w:cs="Times New Roman"/>
          <w:color w:val="auto"/>
          <w:sz w:val="20"/>
          <w:szCs w:val="20"/>
          <w:bdr w:val="none" w:sz="0" w:space="0" w:color="auto"/>
          <w:lang w:val="es-US" w:eastAsia="en-US"/>
        </w:rPr>
        <w:t xml:space="preserve"> que concluya y declare la responsabilidad internacional del</w:t>
      </w:r>
      <w:r w:rsidR="008E4107" w:rsidRPr="00805525">
        <w:rPr>
          <w:rFonts w:eastAsia="Calibri" w:cs="Times New Roman"/>
          <w:color w:val="auto"/>
          <w:sz w:val="20"/>
          <w:szCs w:val="20"/>
          <w:bdr w:val="none" w:sz="0" w:space="0" w:color="auto"/>
          <w:lang w:val="es-US" w:eastAsia="en-US"/>
        </w:rPr>
        <w:t xml:space="preserve"> Estado de México </w:t>
      </w:r>
      <w:r w:rsidR="00C42774" w:rsidRPr="00805525">
        <w:rPr>
          <w:rFonts w:eastAsia="Calibri" w:cs="Times New Roman"/>
          <w:color w:val="auto"/>
          <w:sz w:val="20"/>
          <w:szCs w:val="20"/>
          <w:bdr w:val="none" w:sz="0" w:space="0" w:color="auto"/>
          <w:lang w:val="es-US" w:eastAsia="en-US"/>
        </w:rPr>
        <w:t>por</w:t>
      </w:r>
      <w:r w:rsidR="00783971" w:rsidRPr="00805525">
        <w:rPr>
          <w:rFonts w:eastAsia="Calibri" w:cs="Times New Roman"/>
          <w:color w:val="auto"/>
          <w:sz w:val="20"/>
          <w:szCs w:val="20"/>
          <w:bdr w:val="none" w:sz="0" w:space="0" w:color="auto"/>
          <w:lang w:val="es-US" w:eastAsia="en-US"/>
        </w:rPr>
        <w:t xml:space="preserve"> la</w:t>
      </w:r>
      <w:r w:rsidR="00103987" w:rsidRPr="00805525">
        <w:rPr>
          <w:rFonts w:eastAsia="Calibri" w:cs="Times New Roman"/>
          <w:color w:val="auto"/>
          <w:sz w:val="20"/>
          <w:szCs w:val="20"/>
          <w:bdr w:val="none" w:sz="0" w:space="0" w:color="auto"/>
          <w:lang w:val="es-US" w:eastAsia="en-US"/>
        </w:rPr>
        <w:t xml:space="preserve"> violación</w:t>
      </w:r>
      <w:r w:rsidR="00783971" w:rsidRPr="00805525">
        <w:rPr>
          <w:rFonts w:eastAsia="Calibri" w:cs="Times New Roman"/>
          <w:color w:val="auto"/>
          <w:sz w:val="20"/>
          <w:szCs w:val="20"/>
          <w:bdr w:val="none" w:sz="0" w:space="0" w:color="auto"/>
          <w:lang w:val="es-US" w:eastAsia="en-US"/>
        </w:rPr>
        <w:t xml:space="preserve"> </w:t>
      </w:r>
      <w:r w:rsidR="00103987" w:rsidRPr="00805525">
        <w:rPr>
          <w:rFonts w:eastAsia="Calibri" w:cs="Times New Roman"/>
          <w:color w:val="auto"/>
          <w:sz w:val="20"/>
          <w:szCs w:val="20"/>
          <w:bdr w:val="none" w:sz="0" w:space="0" w:color="auto"/>
          <w:lang w:val="es-US" w:eastAsia="en-US"/>
        </w:rPr>
        <w:t xml:space="preserve">de </w:t>
      </w:r>
      <w:r w:rsidR="00C770BD" w:rsidRPr="00805525">
        <w:rPr>
          <w:rFonts w:eastAsia="Calibri" w:cs="Times New Roman"/>
          <w:color w:val="auto"/>
          <w:sz w:val="20"/>
          <w:szCs w:val="20"/>
          <w:bdr w:val="none" w:sz="0" w:space="0" w:color="auto"/>
          <w:lang w:val="es-US" w:eastAsia="en-US"/>
        </w:rPr>
        <w:t>los</w:t>
      </w:r>
      <w:r w:rsidR="0097331F" w:rsidRPr="007D4FC9">
        <w:rPr>
          <w:rFonts w:eastAsia="Calibri" w:cs="Times New Roman"/>
          <w:color w:val="auto"/>
          <w:sz w:val="20"/>
          <w:szCs w:val="20"/>
          <w:bdr w:val="none" w:sz="0" w:space="0" w:color="auto"/>
          <w:lang w:val="es-US" w:eastAsia="en-US"/>
        </w:rPr>
        <w:t xml:space="preserve"> </w:t>
      </w:r>
      <w:r w:rsidR="004B281F" w:rsidRPr="007D4FC9">
        <w:rPr>
          <w:rFonts w:eastAsia="Calibri" w:cs="Times New Roman"/>
          <w:color w:val="auto"/>
          <w:sz w:val="20"/>
          <w:szCs w:val="20"/>
          <w:bdr w:val="none" w:sz="0" w:space="0" w:color="auto"/>
          <w:lang w:val="es-US" w:eastAsia="en-US"/>
        </w:rPr>
        <w:t>derechos a la integridad personal, a las garantías judiciales y a la protección judicial establecidos en los artículos 5.1, 8.1 y 25.1 de la Convención Americana, en relación con sus artículos 1.1 y 2. Asimismo, solicita que concluya que el Estado incumplió las obligaciones contenidas en el artículo I b) de la CIDFP</w:t>
      </w:r>
      <w:r w:rsidR="007536F2">
        <w:rPr>
          <w:rFonts w:eastAsia="Calibri" w:cs="Times New Roman"/>
          <w:color w:val="auto"/>
          <w:sz w:val="20"/>
          <w:szCs w:val="20"/>
          <w:bdr w:val="none" w:sz="0" w:space="0" w:color="auto"/>
          <w:lang w:val="es-US" w:eastAsia="en-US"/>
        </w:rPr>
        <w:t xml:space="preserve"> respecto de las acciones y omisiones ocurridas con posterioridad a su entrada en vigor</w:t>
      </w:r>
      <w:r w:rsidR="004B281F" w:rsidRPr="007D4FC9">
        <w:rPr>
          <w:rFonts w:eastAsia="Calibri" w:cs="Times New Roman"/>
          <w:color w:val="auto"/>
          <w:sz w:val="20"/>
          <w:szCs w:val="20"/>
          <w:bdr w:val="none" w:sz="0" w:space="0" w:color="auto"/>
          <w:lang w:val="es-US" w:eastAsia="en-US"/>
        </w:rPr>
        <w:t>.</w:t>
      </w:r>
    </w:p>
    <w:p w14:paraId="7277121F" w14:textId="77777777" w:rsidR="0001207C" w:rsidRPr="007D4FC9" w:rsidRDefault="0001207C" w:rsidP="007D4FC9">
      <w:pPr>
        <w:pStyle w:val="Prrafodelista"/>
        <w:ind w:left="0"/>
        <w:jc w:val="both"/>
        <w:rPr>
          <w:rFonts w:eastAsia="Calibri" w:cs="Times New Roman"/>
          <w:color w:val="auto"/>
          <w:sz w:val="20"/>
          <w:szCs w:val="20"/>
          <w:bdr w:val="none" w:sz="0" w:space="0" w:color="auto"/>
          <w:lang w:val="es-US" w:eastAsia="en-US"/>
        </w:rPr>
      </w:pPr>
    </w:p>
    <w:p w14:paraId="5CFF3083" w14:textId="77777777" w:rsidR="009C28B6" w:rsidRPr="007D4FC9" w:rsidRDefault="009C28B6" w:rsidP="007D4FC9">
      <w:pPr>
        <w:autoSpaceDE w:val="0"/>
        <w:autoSpaceDN w:val="0"/>
        <w:adjustRightInd w:val="0"/>
        <w:spacing w:after="0" w:line="240" w:lineRule="auto"/>
        <w:ind w:firstLine="720"/>
        <w:jc w:val="both"/>
        <w:rPr>
          <w:rFonts w:ascii="Cambria" w:hAnsi="Cambria"/>
          <w:sz w:val="20"/>
          <w:szCs w:val="20"/>
          <w:lang w:val="es-US"/>
        </w:rPr>
      </w:pPr>
      <w:r w:rsidRPr="007D4FC9">
        <w:rPr>
          <w:rFonts w:ascii="Cambria" w:hAnsi="Cambria"/>
          <w:sz w:val="20"/>
          <w:szCs w:val="20"/>
          <w:lang w:val="es-US"/>
        </w:rPr>
        <w:t xml:space="preserve">La Comisión solicita a la Corte </w:t>
      </w:r>
      <w:r w:rsidR="00E51F83" w:rsidRPr="007D4FC9">
        <w:rPr>
          <w:rFonts w:ascii="Cambria" w:hAnsi="Cambria"/>
          <w:sz w:val="20"/>
          <w:szCs w:val="20"/>
          <w:lang w:val="es-US"/>
        </w:rPr>
        <w:t xml:space="preserve">Interamericana </w:t>
      </w:r>
      <w:r w:rsidRPr="007D4FC9">
        <w:rPr>
          <w:rFonts w:ascii="Cambria" w:hAnsi="Cambria"/>
          <w:sz w:val="20"/>
          <w:szCs w:val="20"/>
          <w:lang w:val="es-US"/>
        </w:rPr>
        <w:t>que establezca las siguientes medidas de reparación:</w:t>
      </w:r>
    </w:p>
    <w:p w14:paraId="44F4F82B" w14:textId="77777777" w:rsidR="00E26A1D" w:rsidRPr="007D4FC9" w:rsidRDefault="00E26A1D" w:rsidP="007D4FC9">
      <w:pPr>
        <w:tabs>
          <w:tab w:val="left" w:pos="720"/>
          <w:tab w:val="left" w:pos="1080"/>
        </w:tabs>
        <w:autoSpaceDE w:val="0"/>
        <w:autoSpaceDN w:val="0"/>
        <w:adjustRightInd w:val="0"/>
        <w:spacing w:after="0" w:line="240" w:lineRule="auto"/>
        <w:ind w:left="720" w:right="720"/>
        <w:jc w:val="both"/>
        <w:rPr>
          <w:rFonts w:ascii="Cambria" w:hAnsi="Cambria"/>
          <w:sz w:val="20"/>
          <w:szCs w:val="20"/>
          <w:lang w:val="es-US"/>
        </w:rPr>
      </w:pPr>
    </w:p>
    <w:p w14:paraId="04E156A7" w14:textId="77777777" w:rsidR="007D4FC9" w:rsidRPr="007D4FC9" w:rsidRDefault="007D4FC9" w:rsidP="007D4FC9">
      <w:pPr>
        <w:tabs>
          <w:tab w:val="left" w:pos="1080"/>
        </w:tabs>
        <w:spacing w:after="0" w:line="240" w:lineRule="auto"/>
        <w:ind w:left="720" w:right="720"/>
        <w:jc w:val="both"/>
        <w:rPr>
          <w:rFonts w:ascii="Cambria" w:hAnsi="Cambria"/>
          <w:sz w:val="20"/>
          <w:szCs w:val="20"/>
          <w:lang w:val="es-US"/>
        </w:rPr>
      </w:pPr>
      <w:r w:rsidRPr="007D4FC9">
        <w:rPr>
          <w:rFonts w:ascii="Cambria" w:hAnsi="Cambria"/>
          <w:sz w:val="20"/>
          <w:szCs w:val="20"/>
          <w:lang w:val="es-US"/>
        </w:rPr>
        <w:t xml:space="preserve">1. </w:t>
      </w:r>
      <w:r w:rsidRPr="007D4FC9">
        <w:rPr>
          <w:rFonts w:ascii="Cambria" w:hAnsi="Cambria"/>
          <w:sz w:val="20"/>
          <w:szCs w:val="20"/>
          <w:lang w:val="es-US"/>
        </w:rPr>
        <w:tab/>
        <w:t xml:space="preserve">Reparar adecuadamente todas las violaciones a los derechos humanos reconocidas en el informe, en el aspecto material e inmaterial, y la implementación de un programa de rehabilitación, incluyendo atención psicológica y psicosocial adecuada a los familiares de la víctima desaparecida. Las medidas de satisfacción y rehabilitación deberán ser plenamente consensuadas con las víctimas. </w:t>
      </w:r>
    </w:p>
    <w:p w14:paraId="53C5EDA7" w14:textId="77777777" w:rsidR="007D4FC9" w:rsidRPr="007D4FC9" w:rsidRDefault="007D4FC9" w:rsidP="007D4FC9">
      <w:pPr>
        <w:tabs>
          <w:tab w:val="left" w:pos="1080"/>
        </w:tabs>
        <w:spacing w:after="0" w:line="240" w:lineRule="auto"/>
        <w:ind w:left="720" w:right="720"/>
        <w:jc w:val="both"/>
        <w:rPr>
          <w:rFonts w:ascii="Cambria" w:hAnsi="Cambria"/>
          <w:sz w:val="20"/>
          <w:szCs w:val="20"/>
          <w:lang w:val="es-US"/>
        </w:rPr>
      </w:pPr>
      <w:r w:rsidRPr="007D4FC9">
        <w:rPr>
          <w:rFonts w:ascii="Cambria" w:hAnsi="Cambria"/>
          <w:sz w:val="20"/>
          <w:szCs w:val="20"/>
          <w:lang w:val="es-US"/>
        </w:rPr>
        <w:t xml:space="preserve"> </w:t>
      </w:r>
    </w:p>
    <w:p w14:paraId="6B3B0737" w14:textId="77777777" w:rsidR="007D4FC9" w:rsidRPr="007D4FC9" w:rsidRDefault="007D4FC9" w:rsidP="007D4FC9">
      <w:pPr>
        <w:tabs>
          <w:tab w:val="left" w:pos="1080"/>
        </w:tabs>
        <w:spacing w:after="0" w:line="240" w:lineRule="auto"/>
        <w:ind w:left="720" w:right="720"/>
        <w:jc w:val="both"/>
        <w:rPr>
          <w:rFonts w:ascii="Cambria" w:hAnsi="Cambria"/>
          <w:sz w:val="20"/>
          <w:szCs w:val="20"/>
          <w:lang w:val="es-US"/>
        </w:rPr>
      </w:pPr>
      <w:r w:rsidRPr="007D4FC9">
        <w:rPr>
          <w:rFonts w:ascii="Cambria" w:hAnsi="Cambria"/>
          <w:sz w:val="20"/>
          <w:szCs w:val="20"/>
          <w:lang w:val="es-US"/>
        </w:rPr>
        <w:t xml:space="preserve">2. </w:t>
      </w:r>
      <w:r w:rsidRPr="007D4FC9">
        <w:rPr>
          <w:rFonts w:ascii="Cambria" w:hAnsi="Cambria"/>
          <w:sz w:val="20"/>
          <w:szCs w:val="20"/>
          <w:lang w:val="es-US"/>
        </w:rPr>
        <w:tab/>
        <w:t>Investigar el destino o paradero de Antonio González Méndez y, de ser el caso, adoptar las medidas necesarias para identificar y entregar a sus familiares los restos mortales del mismo.</w:t>
      </w:r>
    </w:p>
    <w:p w14:paraId="5290CA3B" w14:textId="77777777" w:rsidR="007D4FC9" w:rsidRPr="007D4FC9" w:rsidRDefault="007D4FC9" w:rsidP="007D4FC9">
      <w:pPr>
        <w:tabs>
          <w:tab w:val="left" w:pos="1080"/>
        </w:tabs>
        <w:spacing w:after="0" w:line="240" w:lineRule="auto"/>
        <w:ind w:left="720" w:right="720"/>
        <w:jc w:val="both"/>
        <w:rPr>
          <w:rFonts w:ascii="Cambria" w:hAnsi="Cambria"/>
          <w:sz w:val="20"/>
          <w:szCs w:val="20"/>
          <w:lang w:val="es-US"/>
        </w:rPr>
      </w:pPr>
    </w:p>
    <w:p w14:paraId="17AB2003" w14:textId="77777777" w:rsidR="007D4FC9" w:rsidRPr="007D4FC9" w:rsidRDefault="007D4FC9" w:rsidP="007D4FC9">
      <w:pPr>
        <w:tabs>
          <w:tab w:val="left" w:pos="1080"/>
        </w:tabs>
        <w:spacing w:after="0" w:line="240" w:lineRule="auto"/>
        <w:ind w:left="720" w:right="720"/>
        <w:jc w:val="both"/>
        <w:rPr>
          <w:rFonts w:ascii="Cambria" w:hAnsi="Cambria"/>
          <w:sz w:val="20"/>
          <w:szCs w:val="20"/>
          <w:lang w:val="es-US"/>
        </w:rPr>
      </w:pPr>
      <w:r w:rsidRPr="007D4FC9">
        <w:rPr>
          <w:rFonts w:ascii="Cambria" w:hAnsi="Cambria"/>
          <w:sz w:val="20"/>
          <w:szCs w:val="20"/>
          <w:lang w:val="es-US"/>
        </w:rPr>
        <w:t xml:space="preserve">4. </w:t>
      </w:r>
      <w:r w:rsidRPr="007D4FC9">
        <w:rPr>
          <w:rFonts w:ascii="Cambria" w:hAnsi="Cambria"/>
          <w:sz w:val="20"/>
          <w:szCs w:val="20"/>
          <w:lang w:val="es-US"/>
        </w:rPr>
        <w:tab/>
        <w:t xml:space="preserve">Reabrir los procedimientos internos destinados a una eficaz investigación, persecución, captura, enjuiciamiento y eventual castigo de los responsables de las violaciones de derechos humanos establecidas en el informe y conducir las investigaciones de manera imparcial, efectiva y dentro de un plazo razonable con el objeto de esclarecer hechos en forma completa, identificar a los autores intelectuales y materiales e imponer las sanciones que correspondan, conforme a los estándares internacionales aplicables. En cumplimiento de esta recomendación, el Estado deberá investigar exhaustivamente los hechos a la luz del contexto establecido en el informe, a fin de identificar a todos los responsables en los términos indicados anteriormente, incluyendo los patrones de actuación derivados de dicho contexto y las posibles estructuras de poder que pudieran estar vinculadas a la desaparición de Antonio González Méndez. </w:t>
      </w:r>
    </w:p>
    <w:p w14:paraId="1AF7E01E" w14:textId="77777777" w:rsidR="007D4FC9" w:rsidRPr="007D4FC9" w:rsidRDefault="007D4FC9" w:rsidP="007D4FC9">
      <w:pPr>
        <w:tabs>
          <w:tab w:val="left" w:pos="1080"/>
        </w:tabs>
        <w:spacing w:after="0" w:line="240" w:lineRule="auto"/>
        <w:ind w:left="720" w:right="720"/>
        <w:jc w:val="both"/>
        <w:rPr>
          <w:rFonts w:ascii="Cambria" w:hAnsi="Cambria"/>
          <w:sz w:val="20"/>
          <w:szCs w:val="20"/>
          <w:lang w:val="es-US"/>
        </w:rPr>
      </w:pPr>
    </w:p>
    <w:p w14:paraId="325DAE40" w14:textId="77777777" w:rsidR="007D4FC9" w:rsidRPr="007D4FC9" w:rsidRDefault="007D4FC9" w:rsidP="007D4FC9">
      <w:pPr>
        <w:tabs>
          <w:tab w:val="left" w:pos="720"/>
          <w:tab w:val="left" w:pos="1080"/>
          <w:tab w:val="left" w:pos="1440"/>
        </w:tabs>
        <w:spacing w:after="0" w:line="240" w:lineRule="auto"/>
        <w:ind w:left="720" w:right="720"/>
        <w:jc w:val="both"/>
        <w:rPr>
          <w:rFonts w:ascii="Cambria" w:hAnsi="Cambria"/>
          <w:sz w:val="20"/>
          <w:szCs w:val="20"/>
          <w:lang w:val="es-US"/>
        </w:rPr>
      </w:pPr>
      <w:r w:rsidRPr="007D4FC9">
        <w:rPr>
          <w:rFonts w:ascii="Cambria" w:hAnsi="Cambria"/>
          <w:sz w:val="20"/>
          <w:szCs w:val="20"/>
          <w:lang w:val="es-US"/>
        </w:rPr>
        <w:t xml:space="preserve">5. </w:t>
      </w:r>
      <w:r w:rsidRPr="007D4FC9">
        <w:rPr>
          <w:rFonts w:ascii="Cambria" w:hAnsi="Cambria"/>
          <w:sz w:val="20"/>
          <w:szCs w:val="20"/>
          <w:lang w:val="es-US"/>
        </w:rPr>
        <w:tab/>
        <w:t>Adoptar las medidas necesarias para evitar que en el futuro se produzcan hechos similares. En particular fortalecer la capacidad del poder judicial de investigar de forma adecuada y eficiente las graves violaciones de derechos humanos, incluyendo posibles desapariciones forzadas ocurridas en el marco del contexto descrito en el informe, y sancionar a los responsables, incluyendo los recursos materiales y técnicos necesarios para asegurar el correcto desarrollo de los procesos.</w:t>
      </w:r>
    </w:p>
    <w:p w14:paraId="4EF28E70" w14:textId="77777777" w:rsidR="008E4107" w:rsidRPr="007D4FC9" w:rsidRDefault="008E4107" w:rsidP="007D4FC9">
      <w:pPr>
        <w:pStyle w:val="Prrafodelista"/>
        <w:rPr>
          <w:rFonts w:eastAsia="Calibri" w:cs="Times New Roman"/>
          <w:color w:val="auto"/>
          <w:sz w:val="20"/>
          <w:szCs w:val="20"/>
          <w:bdr w:val="none" w:sz="0" w:space="0" w:color="auto"/>
          <w:lang w:val="es-US" w:eastAsia="en-US"/>
        </w:rPr>
      </w:pPr>
    </w:p>
    <w:p w14:paraId="4A4F3993" w14:textId="77777777" w:rsidR="006400A5" w:rsidRPr="006400A5" w:rsidRDefault="00083352" w:rsidP="006400A5">
      <w:pPr>
        <w:tabs>
          <w:tab w:val="left" w:pos="360"/>
          <w:tab w:val="left" w:pos="720"/>
          <w:tab w:val="left" w:pos="2880"/>
        </w:tabs>
        <w:spacing w:after="0" w:line="240" w:lineRule="auto"/>
        <w:jc w:val="both"/>
        <w:rPr>
          <w:rFonts w:ascii="Cambria" w:hAnsi="Cambria"/>
          <w:sz w:val="20"/>
          <w:szCs w:val="20"/>
          <w:lang w:val="es-CO"/>
        </w:rPr>
      </w:pPr>
      <w:r w:rsidRPr="007D4FC9">
        <w:rPr>
          <w:rFonts w:ascii="Cambria" w:hAnsi="Cambria"/>
          <w:sz w:val="20"/>
          <w:szCs w:val="20"/>
          <w:lang w:val="es-US"/>
        </w:rPr>
        <w:tab/>
      </w:r>
      <w:r w:rsidR="007D4FC9">
        <w:rPr>
          <w:rFonts w:ascii="Cambria" w:hAnsi="Cambria"/>
          <w:sz w:val="20"/>
          <w:szCs w:val="20"/>
          <w:lang w:val="es-US"/>
        </w:rPr>
        <w:tab/>
      </w:r>
      <w:r w:rsidR="009C28B6" w:rsidRPr="007D4FC9">
        <w:rPr>
          <w:rFonts w:ascii="Cambria" w:hAnsi="Cambria"/>
          <w:sz w:val="20"/>
          <w:szCs w:val="20"/>
          <w:lang w:val="es-US"/>
        </w:rPr>
        <w:t xml:space="preserve">Además de </w:t>
      </w:r>
      <w:r w:rsidR="00D03CCE" w:rsidRPr="007D4FC9">
        <w:rPr>
          <w:rFonts w:ascii="Cambria" w:hAnsi="Cambria"/>
          <w:sz w:val="20"/>
          <w:szCs w:val="20"/>
          <w:lang w:val="es-US"/>
        </w:rPr>
        <w:t xml:space="preserve">asegurar </w:t>
      </w:r>
      <w:r w:rsidR="00235324" w:rsidRPr="007D4FC9">
        <w:rPr>
          <w:rFonts w:ascii="Cambria" w:hAnsi="Cambria"/>
          <w:sz w:val="20"/>
          <w:szCs w:val="20"/>
          <w:lang w:val="es-US"/>
        </w:rPr>
        <w:t xml:space="preserve">la obtención de justicia </w:t>
      </w:r>
      <w:r w:rsidR="00D03CCE" w:rsidRPr="007D4FC9">
        <w:rPr>
          <w:rFonts w:ascii="Cambria" w:hAnsi="Cambria"/>
          <w:sz w:val="20"/>
          <w:szCs w:val="20"/>
          <w:lang w:val="es-US"/>
        </w:rPr>
        <w:t>y reparación</w:t>
      </w:r>
      <w:r w:rsidR="00D71225" w:rsidRPr="007D4FC9">
        <w:rPr>
          <w:rFonts w:ascii="Cambria" w:hAnsi="Cambria"/>
          <w:sz w:val="20"/>
          <w:szCs w:val="20"/>
          <w:lang w:val="es-US"/>
        </w:rPr>
        <w:t xml:space="preserve"> de las violaciones declaradas</w:t>
      </w:r>
      <w:r w:rsidR="000C726F" w:rsidRPr="007D4FC9">
        <w:rPr>
          <w:rFonts w:ascii="Cambria" w:hAnsi="Cambria"/>
          <w:sz w:val="20"/>
          <w:szCs w:val="20"/>
          <w:lang w:val="es-US"/>
        </w:rPr>
        <w:t>, la CIDH</w:t>
      </w:r>
      <w:r w:rsidR="009C28B6" w:rsidRPr="007D4FC9">
        <w:rPr>
          <w:rFonts w:ascii="Cambria" w:hAnsi="Cambria"/>
          <w:sz w:val="20"/>
          <w:szCs w:val="20"/>
          <w:lang w:val="es-US"/>
        </w:rPr>
        <w:t xml:space="preserve"> </w:t>
      </w:r>
      <w:r w:rsidR="0004581E" w:rsidRPr="007D4FC9">
        <w:rPr>
          <w:rFonts w:ascii="Cambria" w:hAnsi="Cambria"/>
          <w:sz w:val="20"/>
          <w:szCs w:val="20"/>
          <w:lang w:val="es-US"/>
        </w:rPr>
        <w:t xml:space="preserve">resalta </w:t>
      </w:r>
      <w:r w:rsidR="009C28B6" w:rsidRPr="007D4FC9">
        <w:rPr>
          <w:rFonts w:ascii="Cambria" w:hAnsi="Cambria"/>
          <w:sz w:val="20"/>
          <w:szCs w:val="20"/>
          <w:lang w:val="es-US"/>
        </w:rPr>
        <w:t xml:space="preserve">que el presente caso involucra cuestiones de orden público interamericano. Específicamente, </w:t>
      </w:r>
      <w:r w:rsidR="00637E91" w:rsidRPr="007D4FC9">
        <w:rPr>
          <w:rFonts w:ascii="Cambria" w:hAnsi="Cambria"/>
          <w:sz w:val="20"/>
          <w:szCs w:val="20"/>
          <w:lang w:val="es-US"/>
        </w:rPr>
        <w:t xml:space="preserve">la </w:t>
      </w:r>
      <w:r w:rsidR="00637E91" w:rsidRPr="007D4FC9">
        <w:rPr>
          <w:rFonts w:ascii="Cambria" w:hAnsi="Cambria"/>
          <w:sz w:val="20"/>
          <w:szCs w:val="20"/>
          <w:lang w:val="es-US"/>
        </w:rPr>
        <w:lastRenderedPageBreak/>
        <w:t>Honorable</w:t>
      </w:r>
      <w:r w:rsidRPr="007D4FC9">
        <w:rPr>
          <w:rFonts w:ascii="Cambria" w:hAnsi="Cambria"/>
          <w:sz w:val="20"/>
          <w:szCs w:val="20"/>
          <w:lang w:val="es-US"/>
        </w:rPr>
        <w:t xml:space="preserve"> Corte podrá </w:t>
      </w:r>
      <w:r w:rsidR="007D4FC9">
        <w:rPr>
          <w:rFonts w:ascii="Cambria" w:eastAsia="Times New Roman" w:hAnsi="Cambria" w:cs="Cambria"/>
          <w:sz w:val="20"/>
          <w:szCs w:val="20"/>
          <w:lang w:val="es-CO"/>
        </w:rPr>
        <w:t>continuar desarrollando los estándares relativos a la obligación de debida diligencia en la investigación de posibles desapariciones forzadas, en particular en zonas donde existe un contexto de conflicto político.</w:t>
      </w:r>
      <w:r w:rsidR="007D4FC9">
        <w:rPr>
          <w:rFonts w:ascii="Cambria" w:hAnsi="Cambria"/>
          <w:sz w:val="20"/>
          <w:szCs w:val="20"/>
          <w:lang w:val="es-CO"/>
        </w:rPr>
        <w:t xml:space="preserve"> En particular, el caso permitiría profundizar respecto de las obligaciones relativas al impulso y agotamiento exhaustivo de líneas de investigación acordes al contexto donde ocurrieron los hechos. </w:t>
      </w:r>
      <w:r w:rsidR="007D4FC9" w:rsidRPr="0073503E">
        <w:rPr>
          <w:rFonts w:ascii="Cambria" w:hAnsi="Cambria"/>
          <w:sz w:val="20"/>
          <w:szCs w:val="20"/>
          <w:lang w:val="es-CO"/>
        </w:rPr>
        <w:t xml:space="preserve"> </w:t>
      </w:r>
      <w:r w:rsidR="0073503E" w:rsidRPr="0073503E">
        <w:rPr>
          <w:rFonts w:ascii="Cambria" w:hAnsi="Cambria"/>
          <w:sz w:val="20"/>
          <w:szCs w:val="20"/>
          <w:lang w:val="es-CO"/>
        </w:rPr>
        <w:t xml:space="preserve"> Asimismo, la Corte </w:t>
      </w:r>
      <w:r w:rsidR="0073503E">
        <w:rPr>
          <w:rFonts w:ascii="Cambria" w:hAnsi="Cambria"/>
          <w:sz w:val="20"/>
          <w:szCs w:val="20"/>
          <w:lang w:val="es-CO"/>
        </w:rPr>
        <w:t xml:space="preserve">podrá profundizar su jurisprudencia en materia de la debida diligencia para la </w:t>
      </w:r>
      <w:r w:rsidR="006400A5">
        <w:rPr>
          <w:rFonts w:ascii="Cambria" w:hAnsi="Cambria"/>
          <w:sz w:val="20"/>
          <w:szCs w:val="20"/>
          <w:lang w:val="es-CO"/>
        </w:rPr>
        <w:t>investigación y búsqueda d</w:t>
      </w:r>
      <w:r w:rsidR="006400A5" w:rsidRPr="007D4FC9">
        <w:rPr>
          <w:rFonts w:ascii="Cambria" w:hAnsi="Cambria"/>
          <w:sz w:val="20"/>
          <w:szCs w:val="20"/>
          <w:lang w:val="es-US"/>
        </w:rPr>
        <w:t xml:space="preserve">el destino o paradero de </w:t>
      </w:r>
      <w:r w:rsidR="006400A5">
        <w:rPr>
          <w:rFonts w:ascii="Cambria" w:hAnsi="Cambria"/>
          <w:sz w:val="20"/>
          <w:szCs w:val="20"/>
          <w:lang w:val="es-US"/>
        </w:rPr>
        <w:t>personas desaparecidas</w:t>
      </w:r>
      <w:r w:rsidR="006400A5" w:rsidRPr="007D4FC9">
        <w:rPr>
          <w:rFonts w:ascii="Cambria" w:hAnsi="Cambria"/>
          <w:sz w:val="20"/>
          <w:szCs w:val="20"/>
          <w:lang w:val="es-US"/>
        </w:rPr>
        <w:t xml:space="preserve"> y, de ser el caso, adoptar las medidas necesarias para identificar y entregar a sus familiares los restos mortales del mismo.</w:t>
      </w:r>
    </w:p>
    <w:p w14:paraId="5C60A2E7" w14:textId="77777777" w:rsidR="00083352" w:rsidRPr="007D4FC9" w:rsidRDefault="00083352" w:rsidP="007D4FC9">
      <w:pPr>
        <w:tabs>
          <w:tab w:val="left" w:pos="720"/>
          <w:tab w:val="left" w:pos="2880"/>
        </w:tabs>
        <w:spacing w:after="0" w:line="240" w:lineRule="auto"/>
        <w:jc w:val="both"/>
        <w:rPr>
          <w:rFonts w:ascii="Cambria" w:hAnsi="Cambria" w:cs="Arial"/>
          <w:sz w:val="20"/>
          <w:szCs w:val="20"/>
          <w:lang w:val="es-CO"/>
        </w:rPr>
      </w:pPr>
    </w:p>
    <w:p w14:paraId="02566458" w14:textId="77777777" w:rsidR="009C28B6" w:rsidRDefault="009C28B6" w:rsidP="008B644A">
      <w:pPr>
        <w:tabs>
          <w:tab w:val="left" w:pos="0"/>
        </w:tabs>
        <w:spacing w:after="0" w:line="240" w:lineRule="auto"/>
        <w:ind w:firstLine="720"/>
        <w:jc w:val="both"/>
        <w:rPr>
          <w:rFonts w:ascii="Cambria" w:hAnsi="Cambria"/>
          <w:sz w:val="20"/>
          <w:szCs w:val="20"/>
          <w:lang w:val="es-ES_tradnl"/>
        </w:rPr>
      </w:pPr>
      <w:r w:rsidRPr="00805525">
        <w:rPr>
          <w:rFonts w:ascii="Cambria" w:hAnsi="Cambria"/>
          <w:sz w:val="20"/>
          <w:szCs w:val="20"/>
          <w:lang w:val="es-ES_tradnl"/>
        </w:rPr>
        <w:t>La Comisión pone en conocimiento de la Corte la si</w:t>
      </w:r>
      <w:r w:rsidR="000120AA" w:rsidRPr="00805525">
        <w:rPr>
          <w:rFonts w:ascii="Cambria" w:hAnsi="Cambria"/>
          <w:sz w:val="20"/>
          <w:szCs w:val="20"/>
          <w:lang w:val="es-ES_tradnl"/>
        </w:rPr>
        <w:t xml:space="preserve">guiente información </w:t>
      </w:r>
      <w:r w:rsidR="006C52F5" w:rsidRPr="00805525">
        <w:rPr>
          <w:rFonts w:ascii="Cambria" w:hAnsi="Cambria"/>
          <w:sz w:val="20"/>
          <w:szCs w:val="20"/>
          <w:lang w:val="es-ES_tradnl"/>
        </w:rPr>
        <w:t xml:space="preserve">sobre </w:t>
      </w:r>
      <w:r w:rsidR="007D64A1" w:rsidRPr="00805525">
        <w:rPr>
          <w:rFonts w:ascii="Cambria" w:hAnsi="Cambria"/>
          <w:sz w:val="20"/>
          <w:szCs w:val="20"/>
          <w:lang w:val="es-ES_tradnl"/>
        </w:rPr>
        <w:t xml:space="preserve">la representación de </w:t>
      </w:r>
      <w:r w:rsidR="006C52F5" w:rsidRPr="00805525">
        <w:rPr>
          <w:rFonts w:ascii="Cambria" w:hAnsi="Cambria"/>
          <w:sz w:val="20"/>
          <w:szCs w:val="20"/>
          <w:lang w:val="es-ES_tradnl"/>
        </w:rPr>
        <w:t xml:space="preserve">la víctima: </w:t>
      </w:r>
    </w:p>
    <w:p w14:paraId="47543113" w14:textId="77777777" w:rsidR="00970A28" w:rsidRPr="00805525" w:rsidRDefault="00970A28" w:rsidP="008B644A">
      <w:pPr>
        <w:tabs>
          <w:tab w:val="left" w:pos="0"/>
        </w:tabs>
        <w:spacing w:after="0" w:line="240" w:lineRule="auto"/>
        <w:ind w:firstLine="720"/>
        <w:jc w:val="both"/>
        <w:rPr>
          <w:rFonts w:ascii="Cambria" w:hAnsi="Cambria"/>
          <w:sz w:val="20"/>
          <w:szCs w:val="20"/>
          <w:lang w:val="es-ES_tradnl"/>
        </w:rPr>
      </w:pPr>
    </w:p>
    <w:p w14:paraId="03EB8D16" w14:textId="77777777" w:rsidR="00970A28" w:rsidRPr="00970A28" w:rsidRDefault="00970A28" w:rsidP="00970A28">
      <w:pPr>
        <w:spacing w:after="0" w:line="240" w:lineRule="auto"/>
        <w:jc w:val="center"/>
        <w:rPr>
          <w:rFonts w:ascii="Cambria" w:hAnsi="Cambria"/>
          <w:sz w:val="20"/>
          <w:szCs w:val="20"/>
          <w:lang w:val="es-ES_tradnl"/>
        </w:rPr>
      </w:pPr>
      <w:r w:rsidRPr="00970A28">
        <w:rPr>
          <w:rFonts w:ascii="Cambria" w:hAnsi="Cambria"/>
          <w:sz w:val="20"/>
          <w:szCs w:val="20"/>
          <w:lang w:val="es-ES_tradnl"/>
        </w:rPr>
        <w:t>Pedro Faro Navarro, Irma Ilsy Vásquez Cárdenas y</w:t>
      </w:r>
    </w:p>
    <w:p w14:paraId="7E902DAD" w14:textId="77777777" w:rsidR="00970A28" w:rsidRPr="00970A28" w:rsidRDefault="00970A28" w:rsidP="00970A28">
      <w:pPr>
        <w:spacing w:after="0" w:line="240" w:lineRule="auto"/>
        <w:jc w:val="center"/>
        <w:rPr>
          <w:rFonts w:ascii="Cambria" w:hAnsi="Cambria"/>
          <w:sz w:val="20"/>
          <w:szCs w:val="20"/>
          <w:lang w:val="es-ES_tradnl"/>
        </w:rPr>
      </w:pPr>
      <w:r w:rsidRPr="00970A28">
        <w:rPr>
          <w:rFonts w:ascii="Cambria" w:hAnsi="Cambria"/>
          <w:sz w:val="20"/>
          <w:szCs w:val="20"/>
          <w:lang w:val="es-ES_tradnl"/>
        </w:rPr>
        <w:t>Constantino Rubén Moreno Méndez</w:t>
      </w:r>
    </w:p>
    <w:p w14:paraId="7C3537E3" w14:textId="77777777" w:rsidR="00970A28" w:rsidRPr="00970A28" w:rsidRDefault="00970A28" w:rsidP="00970A28">
      <w:pPr>
        <w:spacing w:after="0" w:line="240" w:lineRule="auto"/>
        <w:jc w:val="center"/>
        <w:rPr>
          <w:rFonts w:ascii="Cambria" w:hAnsi="Cambria"/>
          <w:sz w:val="20"/>
          <w:szCs w:val="20"/>
          <w:lang w:val="es-ES_tradnl"/>
        </w:rPr>
      </w:pPr>
      <w:r w:rsidRPr="00970A28">
        <w:rPr>
          <w:rFonts w:ascii="Cambria" w:hAnsi="Cambria"/>
          <w:sz w:val="20"/>
          <w:szCs w:val="20"/>
          <w:lang w:val="es-ES_tradnl"/>
        </w:rPr>
        <w:t>Centro de Derechos Humanos Fray Bartolomé de Las Casas</w:t>
      </w:r>
    </w:p>
    <w:p w14:paraId="20ADEAFD" w14:textId="77777777" w:rsidR="00970A28" w:rsidRPr="00FC6C21" w:rsidRDefault="00FC6C21" w:rsidP="00970A28">
      <w:pPr>
        <w:jc w:val="center"/>
        <w:rPr>
          <w:highlight w:val="black"/>
          <w:lang w:val="es-US"/>
        </w:rPr>
      </w:pPr>
      <w:r w:rsidRPr="00FC6C21">
        <w:rPr>
          <w:highlight w:val="black"/>
          <w:lang w:val="es-US"/>
        </w:rPr>
        <w:t>XXXXXXXXXXXXXXXXXXXXX</w:t>
      </w:r>
    </w:p>
    <w:p w14:paraId="4B1CB890" w14:textId="77777777" w:rsidR="009C28B6" w:rsidRPr="00805525" w:rsidRDefault="009C28B6" w:rsidP="008B644A">
      <w:pPr>
        <w:tabs>
          <w:tab w:val="left" w:pos="0"/>
        </w:tabs>
        <w:spacing w:after="0" w:line="240" w:lineRule="auto"/>
        <w:ind w:firstLine="720"/>
        <w:jc w:val="both"/>
        <w:rPr>
          <w:rFonts w:ascii="Cambria" w:hAnsi="Cambria" w:cs="Arial"/>
          <w:sz w:val="20"/>
          <w:szCs w:val="20"/>
          <w:lang w:val="es-CO"/>
        </w:rPr>
      </w:pPr>
      <w:r w:rsidRPr="00805525">
        <w:rPr>
          <w:rFonts w:ascii="Cambria" w:hAnsi="Cambria" w:cs="Arial"/>
          <w:sz w:val="20"/>
          <w:szCs w:val="20"/>
          <w:lang w:val="es-CO"/>
        </w:rPr>
        <w:t>Aprovecho la oportunidad para saludar a usted muy atentamente,</w:t>
      </w:r>
    </w:p>
    <w:p w14:paraId="27E13F2F" w14:textId="77777777" w:rsidR="00BE1009" w:rsidRPr="00970A28" w:rsidRDefault="00BE1009" w:rsidP="00BE1009">
      <w:pPr>
        <w:tabs>
          <w:tab w:val="left" w:pos="0"/>
        </w:tabs>
        <w:spacing w:after="0" w:line="240" w:lineRule="auto"/>
        <w:jc w:val="center"/>
        <w:rPr>
          <w:rFonts w:ascii="Cambria" w:hAnsi="Cambria"/>
          <w:noProof/>
          <w:sz w:val="20"/>
          <w:szCs w:val="20"/>
          <w:lang w:val="es-US"/>
        </w:rPr>
      </w:pPr>
      <w:r w:rsidRPr="00805525">
        <w:rPr>
          <w:rFonts w:ascii="Cambria" w:hAnsi="Cambria" w:cs="Calibri"/>
          <w:sz w:val="20"/>
          <w:szCs w:val="20"/>
          <w:lang w:val="pt-BR"/>
        </w:rPr>
        <w:t xml:space="preserve">      </w:t>
      </w:r>
    </w:p>
    <w:p w14:paraId="0741C3DF" w14:textId="77777777" w:rsidR="00EA1003" w:rsidRPr="00970A28" w:rsidRDefault="00EA1003" w:rsidP="00BE1009">
      <w:pPr>
        <w:tabs>
          <w:tab w:val="left" w:pos="0"/>
        </w:tabs>
        <w:spacing w:after="0" w:line="240" w:lineRule="auto"/>
        <w:jc w:val="center"/>
        <w:rPr>
          <w:rFonts w:ascii="Cambria" w:hAnsi="Cambria"/>
          <w:noProof/>
          <w:sz w:val="20"/>
          <w:szCs w:val="20"/>
          <w:lang w:val="es-US"/>
        </w:rPr>
      </w:pPr>
    </w:p>
    <w:p w14:paraId="0103F4AB" w14:textId="77777777" w:rsidR="00EA1003" w:rsidRPr="00970A28" w:rsidRDefault="00EA1003" w:rsidP="00BE1009">
      <w:pPr>
        <w:tabs>
          <w:tab w:val="left" w:pos="0"/>
        </w:tabs>
        <w:spacing w:after="0" w:line="240" w:lineRule="auto"/>
        <w:jc w:val="center"/>
        <w:rPr>
          <w:rFonts w:ascii="Cambria" w:hAnsi="Cambria"/>
          <w:noProof/>
          <w:sz w:val="20"/>
          <w:szCs w:val="20"/>
          <w:lang w:val="es-US"/>
        </w:rPr>
      </w:pPr>
    </w:p>
    <w:p w14:paraId="0FCDEF82" w14:textId="77777777" w:rsidR="00EA1003" w:rsidRPr="00805525" w:rsidRDefault="00EA1003" w:rsidP="00BE1009">
      <w:pPr>
        <w:tabs>
          <w:tab w:val="left" w:pos="0"/>
        </w:tabs>
        <w:spacing w:after="0" w:line="240" w:lineRule="auto"/>
        <w:jc w:val="center"/>
        <w:rPr>
          <w:rFonts w:ascii="Cambria" w:hAnsi="Cambria" w:cs="Calibri"/>
          <w:sz w:val="20"/>
          <w:szCs w:val="20"/>
          <w:lang w:val="pt-BR"/>
        </w:rPr>
      </w:pPr>
    </w:p>
    <w:p w14:paraId="6A6A0838" w14:textId="77777777" w:rsidR="00BE1009" w:rsidRPr="00805525" w:rsidRDefault="00BE1009" w:rsidP="00BE1009">
      <w:pPr>
        <w:tabs>
          <w:tab w:val="left" w:pos="0"/>
        </w:tabs>
        <w:spacing w:after="0" w:line="240" w:lineRule="auto"/>
        <w:jc w:val="center"/>
        <w:rPr>
          <w:rFonts w:ascii="Cambria" w:hAnsi="Cambria" w:cs="Calibri"/>
          <w:i/>
          <w:sz w:val="20"/>
          <w:szCs w:val="20"/>
          <w:lang w:val="pt-BR"/>
        </w:rPr>
      </w:pPr>
      <w:r w:rsidRPr="00805525">
        <w:rPr>
          <w:rFonts w:ascii="Cambria" w:hAnsi="Cambria" w:cs="Calibri"/>
          <w:sz w:val="20"/>
          <w:szCs w:val="20"/>
          <w:lang w:val="pt-BR"/>
        </w:rPr>
        <w:t>Marisol Blanchard</w:t>
      </w:r>
    </w:p>
    <w:p w14:paraId="00CA4851" w14:textId="77777777" w:rsidR="00BE1009" w:rsidRPr="00805525" w:rsidRDefault="00BE1009" w:rsidP="00BE1009">
      <w:pPr>
        <w:tabs>
          <w:tab w:val="left" w:pos="810"/>
        </w:tabs>
        <w:suppressAutoHyphens/>
        <w:spacing w:after="0" w:line="240" w:lineRule="auto"/>
        <w:jc w:val="center"/>
        <w:rPr>
          <w:rFonts w:ascii="Cambria" w:hAnsi="Cambria" w:cs="Calibri"/>
          <w:sz w:val="20"/>
          <w:szCs w:val="20"/>
          <w:lang w:val="pt-BR"/>
        </w:rPr>
      </w:pPr>
      <w:r w:rsidRPr="00805525">
        <w:rPr>
          <w:rFonts w:ascii="Cambria" w:hAnsi="Cambria" w:cs="Calibri"/>
          <w:sz w:val="20"/>
          <w:szCs w:val="20"/>
          <w:lang w:val="pt-BR"/>
        </w:rPr>
        <w:t>Secretaria Ejecutiva Adjunta</w:t>
      </w:r>
    </w:p>
    <w:p w14:paraId="6B44FFE0" w14:textId="77777777" w:rsidR="00BE1009" w:rsidRPr="00805525" w:rsidRDefault="00BE1009" w:rsidP="00BE1009">
      <w:pPr>
        <w:tabs>
          <w:tab w:val="left" w:pos="0"/>
        </w:tabs>
        <w:spacing w:after="0" w:line="240" w:lineRule="auto"/>
        <w:jc w:val="center"/>
        <w:rPr>
          <w:rFonts w:ascii="Cambria" w:hAnsi="Cambria" w:cs="Arial"/>
          <w:sz w:val="20"/>
          <w:szCs w:val="20"/>
          <w:lang w:val="es-CO"/>
        </w:rPr>
      </w:pPr>
    </w:p>
    <w:sectPr w:rsidR="00BE1009" w:rsidRPr="00805525" w:rsidSect="00AE4ADB">
      <w:headerReference w:type="default" r:id="rId12"/>
      <w:footerReference w:type="default" r:id="rId13"/>
      <w:headerReference w:type="first" r:id="rId14"/>
      <w:footerReference w:type="first" r:id="rId15"/>
      <w:pgSz w:w="12240" w:h="15840"/>
      <w:pgMar w:top="1440" w:right="1440" w:bottom="81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7B29A" w14:textId="77777777" w:rsidR="00874B28" w:rsidRDefault="00874B28">
      <w:pPr>
        <w:spacing w:after="0" w:line="240" w:lineRule="auto"/>
      </w:pPr>
      <w:r>
        <w:separator/>
      </w:r>
    </w:p>
  </w:endnote>
  <w:endnote w:type="continuationSeparator" w:id="0">
    <w:p w14:paraId="1CE37175" w14:textId="77777777" w:rsidR="00874B28" w:rsidRDefault="00874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Avenir Nex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528F" w14:textId="77777777" w:rsidR="00AE4ADB" w:rsidRPr="00A72869" w:rsidRDefault="00AE4ADB">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26223F">
      <w:rPr>
        <w:noProof/>
        <w:color w:val="7F7F7F"/>
        <w:sz w:val="16"/>
      </w:rPr>
      <w:t>3</w:t>
    </w:r>
    <w:r w:rsidRPr="00A72869">
      <w:rPr>
        <w:noProof/>
        <w:color w:val="7F7F7F"/>
        <w:sz w:val="16"/>
      </w:rPr>
      <w:fldChar w:fldCharType="end"/>
    </w:r>
  </w:p>
  <w:p w14:paraId="7D1C39CC" w14:textId="77777777" w:rsidR="000C726F" w:rsidRDefault="000C726F" w:rsidP="000C726F">
    <w:pPr>
      <w:pStyle w:val="Piedepgina"/>
      <w:spacing w:line="360" w:lineRule="auto"/>
    </w:pPr>
    <w:r>
      <w:pict w14:anchorId="17BB6E48">
        <v:rect id="_x0000_i1028" style="width:0;height:1.5pt" o:hralign="center" o:hrstd="t" o:hr="t" fillcolor="#a0a0a0" stroked="f"/>
      </w:pict>
    </w:r>
  </w:p>
  <w:p w14:paraId="3EE23F12" w14:textId="4FB043C3" w:rsidR="000C726F" w:rsidRDefault="00EF06A3" w:rsidP="000C726F">
    <w:pPr>
      <w:pStyle w:val="Piedepgina"/>
      <w:jc w:val="center"/>
    </w:pPr>
    <w:r w:rsidRPr="008A5CB5">
      <w:rPr>
        <w:noProof/>
      </w:rPr>
      <w:drawing>
        <wp:inline distT="0" distB="0" distL="0" distR="0" wp14:anchorId="0C827954" wp14:editId="160818E8">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p w14:paraId="089A680A" w14:textId="77777777" w:rsidR="00AE4ADB" w:rsidRDefault="00AE4A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B0F9" w14:textId="77777777" w:rsidR="00AE4ADB" w:rsidRDefault="00AE4ADB" w:rsidP="00AE4ADB">
    <w:pPr>
      <w:pStyle w:val="Piedepgina"/>
      <w:spacing w:line="360" w:lineRule="auto"/>
    </w:pPr>
    <w:r>
      <w:pict w14:anchorId="405AD400">
        <v:rect id="_x0000_i1026" style="width:0;height:1.5pt" o:hralign="center" o:hrstd="t" o:hr="t" fillcolor="#a0a0a0" stroked="f"/>
      </w:pict>
    </w:r>
  </w:p>
  <w:p w14:paraId="08DA2996" w14:textId="60F90D33" w:rsidR="00AE4ADB" w:rsidRDefault="00EF06A3" w:rsidP="00AE4ADB">
    <w:pPr>
      <w:pStyle w:val="Piedepgina"/>
      <w:jc w:val="center"/>
    </w:pPr>
    <w:r w:rsidRPr="008A5CB5">
      <w:rPr>
        <w:noProof/>
      </w:rPr>
      <w:drawing>
        <wp:inline distT="0" distB="0" distL="0" distR="0" wp14:anchorId="7783D6DE" wp14:editId="6F4FBC55">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04C0" w14:textId="77777777" w:rsidR="00874B28" w:rsidRDefault="00874B28">
      <w:pPr>
        <w:spacing w:after="0" w:line="240" w:lineRule="auto"/>
      </w:pPr>
      <w:r>
        <w:separator/>
      </w:r>
    </w:p>
  </w:footnote>
  <w:footnote w:type="continuationSeparator" w:id="0">
    <w:p w14:paraId="56E198A3" w14:textId="77777777" w:rsidR="00874B28" w:rsidRDefault="00874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93D4" w14:textId="410E6BC7" w:rsidR="00AE4ADB" w:rsidRPr="0058688A" w:rsidRDefault="00EF06A3" w:rsidP="00AE4ADB">
    <w:pPr>
      <w:pStyle w:val="Encabezado"/>
      <w:jc w:val="center"/>
      <w:rPr>
        <w:lang w:val="es-ES_tradnl"/>
      </w:rPr>
    </w:pPr>
    <w:r>
      <w:rPr>
        <w:noProof/>
        <w:lang w:val="es-ES_tradnl"/>
      </w:rPr>
      <w:drawing>
        <wp:inline distT="0" distB="0" distL="0" distR="0" wp14:anchorId="446F0873" wp14:editId="0562F99B">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4F2FF179" w14:textId="77777777" w:rsidR="00AE4ADB" w:rsidRDefault="00AE4ADB">
    <w:pPr>
      <w:pStyle w:val="Encabezado"/>
    </w:pPr>
    <w:r>
      <w:pict w14:anchorId="72A3FA04">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13BF" w14:textId="0FE515A2" w:rsidR="00AE4ADB" w:rsidRDefault="00EF06A3" w:rsidP="00AE4ADB">
    <w:pPr>
      <w:pStyle w:val="Encabezado"/>
    </w:pPr>
    <w:r w:rsidRPr="008A5CB5">
      <w:rPr>
        <w:noProof/>
      </w:rPr>
      <w:drawing>
        <wp:inline distT="0" distB="0" distL="0" distR="0" wp14:anchorId="047555B3" wp14:editId="2AB8D58C">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AE4ADB">
      <w:tab/>
    </w:r>
    <w:r w:rsidR="00AE4ADB">
      <w:tab/>
    </w:r>
    <w:r w:rsidRPr="008A5CB5">
      <w:rPr>
        <w:noProof/>
      </w:rPr>
      <w:drawing>
        <wp:inline distT="0" distB="0" distL="0" distR="0" wp14:anchorId="246560C3" wp14:editId="1693118C">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3DF17CA0" w14:textId="77777777" w:rsidR="00AE4ADB" w:rsidRDefault="00AE4ADB" w:rsidP="00AE4ADB">
    <w:pPr>
      <w:pStyle w:val="Encabezado"/>
    </w:pPr>
    <w:r>
      <w:pict w14:anchorId="603DDD2C">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D789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3B3FD0"/>
    <w:multiLevelType w:val="hybridMultilevel"/>
    <w:tmpl w:val="35FAFF90"/>
    <w:lvl w:ilvl="0" w:tplc="C5D8AC78">
      <w:start w:val="1"/>
      <w:numFmt w:val="decimal"/>
      <w:pStyle w:val="SangradetextonormalCar"/>
      <w:lvlText w:val="%1."/>
      <w:lvlJc w:val="left"/>
      <w:pPr>
        <w:ind w:left="3330" w:hanging="360"/>
      </w:pPr>
      <w:rPr>
        <w:rFonts w:ascii="Cambria" w:hAnsi="Cambria" w:hint="default"/>
        <w:b w:val="0"/>
        <w:i w:val="0"/>
        <w:sz w:val="20"/>
      </w:rPr>
    </w:lvl>
    <w:lvl w:ilvl="1" w:tplc="F5C4EC74">
      <w:start w:val="1"/>
      <w:numFmt w:val="lowerLetter"/>
      <w:lvlText w:val="%2)"/>
      <w:lvlJc w:val="left"/>
      <w:pPr>
        <w:ind w:left="2074" w:hanging="360"/>
      </w:pPr>
      <w:rPr>
        <w:rFonts w:hint="default"/>
      </w:r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 w15:restartNumberingAfterBreak="0">
    <w:nsid w:val="140B287D"/>
    <w:multiLevelType w:val="hybridMultilevel"/>
    <w:tmpl w:val="B6D0F1A4"/>
    <w:lvl w:ilvl="0" w:tplc="1B76C76A">
      <w:start w:val="1"/>
      <w:numFmt w:val="decimal"/>
      <w:lvlText w:val="%1."/>
      <w:lvlJc w:val="left"/>
      <w:pPr>
        <w:ind w:left="720" w:hanging="360"/>
      </w:pPr>
      <w:rPr>
        <w:rFonts w:ascii="Cambria" w:hAnsi="Cambria"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67593"/>
    <w:multiLevelType w:val="hybridMultilevel"/>
    <w:tmpl w:val="D75A2A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446790"/>
    <w:multiLevelType w:val="hybridMultilevel"/>
    <w:tmpl w:val="EDE8738E"/>
    <w:lvl w:ilvl="0" w:tplc="0409000F">
      <w:start w:val="1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8862D6"/>
    <w:multiLevelType w:val="hybridMultilevel"/>
    <w:tmpl w:val="50A897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715820"/>
    <w:multiLevelType w:val="hybridMultilevel"/>
    <w:tmpl w:val="2B34AE08"/>
    <w:lvl w:ilvl="0" w:tplc="D396CFC2">
      <w:start w:val="1"/>
      <w:numFmt w:val="decimal"/>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681F10"/>
    <w:multiLevelType w:val="hybridMultilevel"/>
    <w:tmpl w:val="30023A22"/>
    <w:lvl w:ilvl="0" w:tplc="7922885E">
      <w:start w:val="1"/>
      <w:numFmt w:val="decimal"/>
      <w:lvlText w:val="%1."/>
      <w:lvlJc w:val="left"/>
      <w:pPr>
        <w:ind w:left="1425" w:hanging="705"/>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7D4B9D"/>
    <w:multiLevelType w:val="hybridMultilevel"/>
    <w:tmpl w:val="34DA16E4"/>
    <w:lvl w:ilvl="0" w:tplc="AA143AAA">
      <w:start w:val="1"/>
      <w:numFmt w:val="decimal"/>
      <w:lvlText w:val="%1."/>
      <w:lvlJc w:val="left"/>
      <w:pPr>
        <w:ind w:left="1440" w:hanging="360"/>
      </w:pPr>
      <w:rPr>
        <w:rFonts w:ascii="Cambria" w:hAnsi="Cambria"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4E2E53"/>
    <w:multiLevelType w:val="hybridMultilevel"/>
    <w:tmpl w:val="ABFA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B16F05"/>
    <w:multiLevelType w:val="hybridMultilevel"/>
    <w:tmpl w:val="55E8350C"/>
    <w:lvl w:ilvl="0" w:tplc="95D0D9E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0C2010"/>
    <w:multiLevelType w:val="hybridMultilevel"/>
    <w:tmpl w:val="904C2406"/>
    <w:lvl w:ilvl="0" w:tplc="7FF2D5E8">
      <w:start w:val="1"/>
      <w:numFmt w:val="decimal"/>
      <w:pStyle w:val="Encabezado"/>
      <w:lvlText w:val="%1."/>
      <w:lvlJc w:val="left"/>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011596">
    <w:abstractNumId w:val="9"/>
  </w:num>
  <w:num w:numId="2" w16cid:durableId="2062706089">
    <w:abstractNumId w:val="4"/>
  </w:num>
  <w:num w:numId="3" w16cid:durableId="1404061397">
    <w:abstractNumId w:val="7"/>
  </w:num>
  <w:num w:numId="4" w16cid:durableId="445464308">
    <w:abstractNumId w:val="10"/>
  </w:num>
  <w:num w:numId="5" w16cid:durableId="1557012804">
    <w:abstractNumId w:val="2"/>
  </w:num>
  <w:num w:numId="6" w16cid:durableId="1948388942">
    <w:abstractNumId w:val="6"/>
  </w:num>
  <w:num w:numId="7" w16cid:durableId="2093744556">
    <w:abstractNumId w:val="0"/>
  </w:num>
  <w:num w:numId="8" w16cid:durableId="1397510629">
    <w:abstractNumId w:val="5"/>
  </w:num>
  <w:num w:numId="9" w16cid:durableId="2113431512">
    <w:abstractNumId w:val="8"/>
  </w:num>
  <w:num w:numId="10" w16cid:durableId="558248049">
    <w:abstractNumId w:val="3"/>
  </w:num>
  <w:num w:numId="11" w16cid:durableId="541135764">
    <w:abstractNumId w:val="11"/>
  </w:num>
  <w:num w:numId="12" w16cid:durableId="1031109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B6"/>
    <w:rsid w:val="0001207C"/>
    <w:rsid w:val="000120AA"/>
    <w:rsid w:val="0001728A"/>
    <w:rsid w:val="00037EDE"/>
    <w:rsid w:val="000437C3"/>
    <w:rsid w:val="0004581E"/>
    <w:rsid w:val="00047CF0"/>
    <w:rsid w:val="000539C4"/>
    <w:rsid w:val="00072372"/>
    <w:rsid w:val="00074822"/>
    <w:rsid w:val="00074E29"/>
    <w:rsid w:val="000764BD"/>
    <w:rsid w:val="00082C36"/>
    <w:rsid w:val="00083352"/>
    <w:rsid w:val="0008602F"/>
    <w:rsid w:val="00092679"/>
    <w:rsid w:val="000A17E8"/>
    <w:rsid w:val="000B42F2"/>
    <w:rsid w:val="000B60A2"/>
    <w:rsid w:val="000B79A2"/>
    <w:rsid w:val="000C18C0"/>
    <w:rsid w:val="000C63D4"/>
    <w:rsid w:val="000C726F"/>
    <w:rsid w:val="000D4DC6"/>
    <w:rsid w:val="000E2F0A"/>
    <w:rsid w:val="000E5685"/>
    <w:rsid w:val="00103987"/>
    <w:rsid w:val="00121C0D"/>
    <w:rsid w:val="00126CAE"/>
    <w:rsid w:val="001333DB"/>
    <w:rsid w:val="0014023B"/>
    <w:rsid w:val="00140494"/>
    <w:rsid w:val="00141A39"/>
    <w:rsid w:val="001532F6"/>
    <w:rsid w:val="00181A5F"/>
    <w:rsid w:val="00191F1C"/>
    <w:rsid w:val="00195122"/>
    <w:rsid w:val="001B0CAC"/>
    <w:rsid w:val="001B235E"/>
    <w:rsid w:val="001B42E6"/>
    <w:rsid w:val="001B570E"/>
    <w:rsid w:val="001D2E10"/>
    <w:rsid w:val="001E1CA1"/>
    <w:rsid w:val="002021EE"/>
    <w:rsid w:val="00206758"/>
    <w:rsid w:val="0021389B"/>
    <w:rsid w:val="002156E9"/>
    <w:rsid w:val="0021779B"/>
    <w:rsid w:val="002220E9"/>
    <w:rsid w:val="002239DB"/>
    <w:rsid w:val="00235324"/>
    <w:rsid w:val="00235DDF"/>
    <w:rsid w:val="00241BE6"/>
    <w:rsid w:val="002430FE"/>
    <w:rsid w:val="00251968"/>
    <w:rsid w:val="00252387"/>
    <w:rsid w:val="00252910"/>
    <w:rsid w:val="0026223F"/>
    <w:rsid w:val="002651B3"/>
    <w:rsid w:val="002A3C0E"/>
    <w:rsid w:val="002A5477"/>
    <w:rsid w:val="002C0A1D"/>
    <w:rsid w:val="002C2CF7"/>
    <w:rsid w:val="002C56F6"/>
    <w:rsid w:val="002E2094"/>
    <w:rsid w:val="002E22DE"/>
    <w:rsid w:val="002E575D"/>
    <w:rsid w:val="002F5A6E"/>
    <w:rsid w:val="002F78A0"/>
    <w:rsid w:val="00304BD4"/>
    <w:rsid w:val="0031260F"/>
    <w:rsid w:val="00325668"/>
    <w:rsid w:val="0032664B"/>
    <w:rsid w:val="00334B41"/>
    <w:rsid w:val="00341000"/>
    <w:rsid w:val="0034543B"/>
    <w:rsid w:val="0035491F"/>
    <w:rsid w:val="00393F54"/>
    <w:rsid w:val="0039730E"/>
    <w:rsid w:val="003A101B"/>
    <w:rsid w:val="003A4387"/>
    <w:rsid w:val="003D2633"/>
    <w:rsid w:val="003D3C73"/>
    <w:rsid w:val="003D7387"/>
    <w:rsid w:val="00401206"/>
    <w:rsid w:val="004024A7"/>
    <w:rsid w:val="0040328C"/>
    <w:rsid w:val="004165D9"/>
    <w:rsid w:val="00420960"/>
    <w:rsid w:val="004707AB"/>
    <w:rsid w:val="00474298"/>
    <w:rsid w:val="004949FE"/>
    <w:rsid w:val="004A3156"/>
    <w:rsid w:val="004B1088"/>
    <w:rsid w:val="004B281F"/>
    <w:rsid w:val="004C12A0"/>
    <w:rsid w:val="004D1132"/>
    <w:rsid w:val="004D2893"/>
    <w:rsid w:val="004D615B"/>
    <w:rsid w:val="004D7C4A"/>
    <w:rsid w:val="004E29AC"/>
    <w:rsid w:val="004F3991"/>
    <w:rsid w:val="00515CA8"/>
    <w:rsid w:val="005212CE"/>
    <w:rsid w:val="00522518"/>
    <w:rsid w:val="00531A6A"/>
    <w:rsid w:val="0054190B"/>
    <w:rsid w:val="00566065"/>
    <w:rsid w:val="00583FB5"/>
    <w:rsid w:val="005904E7"/>
    <w:rsid w:val="005A56E4"/>
    <w:rsid w:val="005B2155"/>
    <w:rsid w:val="005B217E"/>
    <w:rsid w:val="005C6FC6"/>
    <w:rsid w:val="005E0B69"/>
    <w:rsid w:val="005E3645"/>
    <w:rsid w:val="005F0686"/>
    <w:rsid w:val="005F7A49"/>
    <w:rsid w:val="00603C1C"/>
    <w:rsid w:val="00605844"/>
    <w:rsid w:val="006141B9"/>
    <w:rsid w:val="00620C71"/>
    <w:rsid w:val="00624E2A"/>
    <w:rsid w:val="006262C3"/>
    <w:rsid w:val="006270D1"/>
    <w:rsid w:val="00633504"/>
    <w:rsid w:val="0063360E"/>
    <w:rsid w:val="006375E6"/>
    <w:rsid w:val="00637E91"/>
    <w:rsid w:val="006400A5"/>
    <w:rsid w:val="006400FE"/>
    <w:rsid w:val="00673637"/>
    <w:rsid w:val="00676C30"/>
    <w:rsid w:val="006A05B2"/>
    <w:rsid w:val="006A1EC5"/>
    <w:rsid w:val="006A400A"/>
    <w:rsid w:val="006A5102"/>
    <w:rsid w:val="006B01BD"/>
    <w:rsid w:val="006B53DD"/>
    <w:rsid w:val="006B6C95"/>
    <w:rsid w:val="006C20D3"/>
    <w:rsid w:val="006C308F"/>
    <w:rsid w:val="006C52F5"/>
    <w:rsid w:val="006E6A84"/>
    <w:rsid w:val="00701E38"/>
    <w:rsid w:val="00716C21"/>
    <w:rsid w:val="00720DE6"/>
    <w:rsid w:val="007338EA"/>
    <w:rsid w:val="0073503E"/>
    <w:rsid w:val="00741A42"/>
    <w:rsid w:val="007536F2"/>
    <w:rsid w:val="007566EE"/>
    <w:rsid w:val="00783971"/>
    <w:rsid w:val="00796A9C"/>
    <w:rsid w:val="007B6F89"/>
    <w:rsid w:val="007C4E06"/>
    <w:rsid w:val="007C5CB5"/>
    <w:rsid w:val="007D4BEF"/>
    <w:rsid w:val="007D4F91"/>
    <w:rsid w:val="007D4FC9"/>
    <w:rsid w:val="007D64A1"/>
    <w:rsid w:val="007E6489"/>
    <w:rsid w:val="007E69E2"/>
    <w:rsid w:val="007F5518"/>
    <w:rsid w:val="00805525"/>
    <w:rsid w:val="00810B6B"/>
    <w:rsid w:val="00814D3B"/>
    <w:rsid w:val="00821A1D"/>
    <w:rsid w:val="008227EA"/>
    <w:rsid w:val="008248B1"/>
    <w:rsid w:val="0082723A"/>
    <w:rsid w:val="00833A68"/>
    <w:rsid w:val="00865D83"/>
    <w:rsid w:val="0087079A"/>
    <w:rsid w:val="00874B28"/>
    <w:rsid w:val="00881C72"/>
    <w:rsid w:val="008B3A9E"/>
    <w:rsid w:val="008B5259"/>
    <w:rsid w:val="008B644A"/>
    <w:rsid w:val="008D2D88"/>
    <w:rsid w:val="008D3860"/>
    <w:rsid w:val="008D57C0"/>
    <w:rsid w:val="008E4107"/>
    <w:rsid w:val="008F0966"/>
    <w:rsid w:val="00902867"/>
    <w:rsid w:val="00907BAD"/>
    <w:rsid w:val="00910F13"/>
    <w:rsid w:val="00935F26"/>
    <w:rsid w:val="00940399"/>
    <w:rsid w:val="009534CD"/>
    <w:rsid w:val="00957088"/>
    <w:rsid w:val="00961D4F"/>
    <w:rsid w:val="00962592"/>
    <w:rsid w:val="00966F18"/>
    <w:rsid w:val="00970A28"/>
    <w:rsid w:val="0097331F"/>
    <w:rsid w:val="00981A45"/>
    <w:rsid w:val="0098412B"/>
    <w:rsid w:val="00996BB9"/>
    <w:rsid w:val="009A03B6"/>
    <w:rsid w:val="009A4EC6"/>
    <w:rsid w:val="009B0053"/>
    <w:rsid w:val="009B5247"/>
    <w:rsid w:val="009C28B6"/>
    <w:rsid w:val="00A05A04"/>
    <w:rsid w:val="00A07DE0"/>
    <w:rsid w:val="00A13E11"/>
    <w:rsid w:val="00A20CAE"/>
    <w:rsid w:val="00A21898"/>
    <w:rsid w:val="00A21E65"/>
    <w:rsid w:val="00A228A0"/>
    <w:rsid w:val="00A33E7A"/>
    <w:rsid w:val="00A349FE"/>
    <w:rsid w:val="00A354CA"/>
    <w:rsid w:val="00A52FC1"/>
    <w:rsid w:val="00A56B32"/>
    <w:rsid w:val="00A57EFC"/>
    <w:rsid w:val="00A80E99"/>
    <w:rsid w:val="00A93CF5"/>
    <w:rsid w:val="00A94974"/>
    <w:rsid w:val="00A96F92"/>
    <w:rsid w:val="00AA3B9C"/>
    <w:rsid w:val="00AA5533"/>
    <w:rsid w:val="00AA70B2"/>
    <w:rsid w:val="00AB0FA1"/>
    <w:rsid w:val="00AB2AD9"/>
    <w:rsid w:val="00AB67AC"/>
    <w:rsid w:val="00AB7D24"/>
    <w:rsid w:val="00AD63D4"/>
    <w:rsid w:val="00AE0BBF"/>
    <w:rsid w:val="00AE4ADB"/>
    <w:rsid w:val="00B00F57"/>
    <w:rsid w:val="00B13D2D"/>
    <w:rsid w:val="00B208DA"/>
    <w:rsid w:val="00B22D26"/>
    <w:rsid w:val="00B2610E"/>
    <w:rsid w:val="00B37096"/>
    <w:rsid w:val="00B379CC"/>
    <w:rsid w:val="00B45E1C"/>
    <w:rsid w:val="00B67220"/>
    <w:rsid w:val="00B67904"/>
    <w:rsid w:val="00B8148F"/>
    <w:rsid w:val="00B849C3"/>
    <w:rsid w:val="00BA0AD4"/>
    <w:rsid w:val="00BB45DC"/>
    <w:rsid w:val="00BB6CE4"/>
    <w:rsid w:val="00BD2504"/>
    <w:rsid w:val="00BD7C35"/>
    <w:rsid w:val="00BE1009"/>
    <w:rsid w:val="00BF33DD"/>
    <w:rsid w:val="00C0135C"/>
    <w:rsid w:val="00C029B1"/>
    <w:rsid w:val="00C16553"/>
    <w:rsid w:val="00C32929"/>
    <w:rsid w:val="00C41DDA"/>
    <w:rsid w:val="00C42774"/>
    <w:rsid w:val="00C43D49"/>
    <w:rsid w:val="00C57386"/>
    <w:rsid w:val="00C770BD"/>
    <w:rsid w:val="00C9233F"/>
    <w:rsid w:val="00CA4474"/>
    <w:rsid w:val="00CB5F7B"/>
    <w:rsid w:val="00CB62FD"/>
    <w:rsid w:val="00CC306B"/>
    <w:rsid w:val="00CC53C1"/>
    <w:rsid w:val="00CD2AFC"/>
    <w:rsid w:val="00CD3402"/>
    <w:rsid w:val="00CD7723"/>
    <w:rsid w:val="00CE081F"/>
    <w:rsid w:val="00D00C09"/>
    <w:rsid w:val="00D03CCE"/>
    <w:rsid w:val="00D04F35"/>
    <w:rsid w:val="00D101A7"/>
    <w:rsid w:val="00D20579"/>
    <w:rsid w:val="00D275AD"/>
    <w:rsid w:val="00D3323A"/>
    <w:rsid w:val="00D35186"/>
    <w:rsid w:val="00D5627D"/>
    <w:rsid w:val="00D71225"/>
    <w:rsid w:val="00D84315"/>
    <w:rsid w:val="00D95D1A"/>
    <w:rsid w:val="00DA1C78"/>
    <w:rsid w:val="00DB15C2"/>
    <w:rsid w:val="00DB40FE"/>
    <w:rsid w:val="00DC03F9"/>
    <w:rsid w:val="00DE1840"/>
    <w:rsid w:val="00DE55E3"/>
    <w:rsid w:val="00DF0087"/>
    <w:rsid w:val="00E109EE"/>
    <w:rsid w:val="00E1315C"/>
    <w:rsid w:val="00E253D6"/>
    <w:rsid w:val="00E26A1D"/>
    <w:rsid w:val="00E51F83"/>
    <w:rsid w:val="00E626CB"/>
    <w:rsid w:val="00E63FE8"/>
    <w:rsid w:val="00E6610F"/>
    <w:rsid w:val="00E667E6"/>
    <w:rsid w:val="00E73F9A"/>
    <w:rsid w:val="00E74AAA"/>
    <w:rsid w:val="00E86178"/>
    <w:rsid w:val="00E86BBF"/>
    <w:rsid w:val="00E92EDE"/>
    <w:rsid w:val="00E95989"/>
    <w:rsid w:val="00EA1003"/>
    <w:rsid w:val="00EA27B7"/>
    <w:rsid w:val="00EA4784"/>
    <w:rsid w:val="00ED7583"/>
    <w:rsid w:val="00EE7D1C"/>
    <w:rsid w:val="00EF06A3"/>
    <w:rsid w:val="00F1273F"/>
    <w:rsid w:val="00F23B55"/>
    <w:rsid w:val="00F32789"/>
    <w:rsid w:val="00F469B6"/>
    <w:rsid w:val="00F91825"/>
    <w:rsid w:val="00F9197C"/>
    <w:rsid w:val="00FA71D1"/>
    <w:rsid w:val="00FB44A3"/>
    <w:rsid w:val="00FC2A9F"/>
    <w:rsid w:val="00FC38E7"/>
    <w:rsid w:val="00FC3974"/>
    <w:rsid w:val="00FC6C21"/>
    <w:rsid w:val="00FD39C8"/>
    <w:rsid w:val="00FE588C"/>
    <w:rsid w:val="00FE78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9FD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C28B6"/>
    <w:pPr>
      <w:tabs>
        <w:tab w:val="center" w:pos="4680"/>
        <w:tab w:val="right" w:pos="9360"/>
      </w:tabs>
      <w:spacing w:after="0" w:line="240" w:lineRule="auto"/>
    </w:pPr>
    <w:rPr>
      <w:rFonts w:eastAsia="MS Mincho"/>
    </w:rPr>
  </w:style>
  <w:style w:type="character" w:customStyle="1" w:styleId="EncabezadoCar">
    <w:name w:val="Encabezado Car"/>
    <w:link w:val="Encabezado"/>
    <w:rsid w:val="009C28B6"/>
    <w:rPr>
      <w:rFonts w:eastAsia="MS Mincho"/>
      <w:sz w:val="22"/>
      <w:szCs w:val="22"/>
    </w:rPr>
  </w:style>
  <w:style w:type="paragraph" w:styleId="Piedepgina">
    <w:name w:val="footer"/>
    <w:basedOn w:val="Normal"/>
    <w:link w:val="PiedepginaCar"/>
    <w:unhideWhenUsed/>
    <w:rsid w:val="009C28B6"/>
    <w:pPr>
      <w:tabs>
        <w:tab w:val="center" w:pos="4680"/>
        <w:tab w:val="right" w:pos="9360"/>
      </w:tabs>
      <w:spacing w:after="0" w:line="240" w:lineRule="auto"/>
    </w:pPr>
    <w:rPr>
      <w:rFonts w:eastAsia="MS Mincho"/>
    </w:rPr>
  </w:style>
  <w:style w:type="character" w:customStyle="1" w:styleId="PiedepginaCar">
    <w:name w:val="Pie de página Car"/>
    <w:link w:val="Piedepgina"/>
    <w:rsid w:val="009C28B6"/>
    <w:rPr>
      <w:rFonts w:eastAsia="MS Mincho"/>
      <w:sz w:val="22"/>
      <w:szCs w:val="22"/>
    </w:rPr>
  </w:style>
  <w:style w:type="paragraph" w:styleId="Sangradetextonormal">
    <w:name w:val="Body Text Indent"/>
    <w:link w:val="SangradetextonormalCar"/>
    <w:rsid w:val="009C28B6"/>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9C28B6"/>
    <w:rPr>
      <w:rFonts w:ascii="Times New Roman" w:eastAsia="Times New Roman" w:hAnsi="Times New Roman"/>
      <w:color w:val="000000"/>
      <w:sz w:val="24"/>
      <w:szCs w:val="24"/>
      <w:u w:color="000000"/>
      <w:bdr w:val="nil"/>
      <w:lang w:val="es-ES_tradnl" w:eastAsia="es-ES"/>
    </w:rPr>
  </w:style>
  <w:style w:type="paragraph" w:styleId="Listavistosa-nfasis1">
    <w:name w:val="Colorful List Accent 1"/>
    <w:aliases w:val="Párrafo de lista1,List Paragraph1,Colorful List - Accent 11,List Paragraph11,List Paragraph2"/>
    <w:link w:val="Listavistosa-nfasis1Car"/>
    <w:uiPriority w:val="34"/>
    <w:qFormat/>
    <w:rsid w:val="009C28B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Listavistosa-nfasis1Car">
    <w:name w:val="Lista vistosa - Énfasis 1 Car"/>
    <w:aliases w:val="Párrafo de lista1 Car,List Paragraph1 Car,Colorful List - Accent 11 Car,List Paragraph11 Car,List Paragraph2 Car"/>
    <w:link w:val="Listavistosa-nfasis1"/>
    <w:uiPriority w:val="72"/>
    <w:locked/>
    <w:rsid w:val="009C28B6"/>
    <w:rPr>
      <w:rFonts w:ascii="Cambria" w:eastAsia="Cambria" w:hAnsi="Cambria" w:cs="Cambria"/>
      <w:color w:val="000000"/>
      <w:sz w:val="24"/>
      <w:szCs w:val="24"/>
      <w:u w:color="000000"/>
      <w:bdr w:val="nil"/>
      <w:lang w:eastAsia="es-ES"/>
    </w:rPr>
  </w:style>
  <w:style w:type="character" w:styleId="Hipervnculo">
    <w:name w:val="Hyperlink"/>
    <w:uiPriority w:val="99"/>
    <w:unhideWhenUsed/>
    <w:rsid w:val="009C28B6"/>
    <w:rPr>
      <w:color w:val="0000FF"/>
      <w:u w:val="single"/>
    </w:rPr>
  </w:style>
  <w:style w:type="paragraph" w:styleId="Textoindependiente">
    <w:name w:val="Body Text"/>
    <w:basedOn w:val="Normal"/>
    <w:link w:val="TextoindependienteCar"/>
    <w:uiPriority w:val="99"/>
    <w:unhideWhenUsed/>
    <w:rsid w:val="00783971"/>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rsid w:val="00783971"/>
    <w:rPr>
      <w:rFonts w:ascii="Times New Roman" w:eastAsia="Arial Unicode MS" w:hAnsi="Times New Roman"/>
      <w:sz w:val="24"/>
      <w:szCs w:val="24"/>
      <w:bdr w:val="nil"/>
    </w:rPr>
  </w:style>
  <w:style w:type="paragraph" w:styleId="Textodeglobo">
    <w:name w:val="Balloon Text"/>
    <w:basedOn w:val="Normal"/>
    <w:link w:val="TextodegloboCar"/>
    <w:uiPriority w:val="99"/>
    <w:semiHidden/>
    <w:unhideWhenUsed/>
    <w:rsid w:val="00A52FC1"/>
    <w:pPr>
      <w:spacing w:after="0" w:line="240" w:lineRule="auto"/>
    </w:pPr>
    <w:rPr>
      <w:rFonts w:ascii="Times New Roman" w:hAnsi="Times New Roman"/>
      <w:sz w:val="18"/>
      <w:szCs w:val="18"/>
    </w:rPr>
  </w:style>
  <w:style w:type="character" w:customStyle="1" w:styleId="TextodegloboCar">
    <w:name w:val="Texto de globo Car"/>
    <w:link w:val="Textodeglobo"/>
    <w:uiPriority w:val="99"/>
    <w:semiHidden/>
    <w:rsid w:val="00A52FC1"/>
    <w:rPr>
      <w:rFonts w:ascii="Times New Roman" w:hAnsi="Times New Roman"/>
      <w:sz w:val="18"/>
      <w:szCs w:val="18"/>
    </w:rPr>
  </w:style>
  <w:style w:type="character" w:styleId="Refdecomentario">
    <w:name w:val="annotation reference"/>
    <w:uiPriority w:val="99"/>
    <w:semiHidden/>
    <w:unhideWhenUsed/>
    <w:rsid w:val="00BD2504"/>
    <w:rPr>
      <w:sz w:val="16"/>
      <w:szCs w:val="16"/>
    </w:rPr>
  </w:style>
  <w:style w:type="paragraph" w:styleId="Textocomentario">
    <w:name w:val="annotation text"/>
    <w:basedOn w:val="Normal"/>
    <w:link w:val="TextocomentarioCar"/>
    <w:uiPriority w:val="99"/>
    <w:semiHidden/>
    <w:unhideWhenUsed/>
    <w:rsid w:val="00BD2504"/>
    <w:rPr>
      <w:sz w:val="20"/>
      <w:szCs w:val="20"/>
    </w:rPr>
  </w:style>
  <w:style w:type="character" w:customStyle="1" w:styleId="TextocomentarioCar">
    <w:name w:val="Texto comentario Car"/>
    <w:basedOn w:val="Fuentedeprrafopredeter"/>
    <w:link w:val="Textocomentario"/>
    <w:uiPriority w:val="99"/>
    <w:semiHidden/>
    <w:rsid w:val="00BD2504"/>
  </w:style>
  <w:style w:type="paragraph" w:styleId="Asuntodelcomentario">
    <w:name w:val="annotation subject"/>
    <w:basedOn w:val="Textocomentario"/>
    <w:next w:val="Textocomentario"/>
    <w:link w:val="AsuntodelcomentarioCar"/>
    <w:uiPriority w:val="99"/>
    <w:semiHidden/>
    <w:unhideWhenUsed/>
    <w:rsid w:val="00BD2504"/>
    <w:rPr>
      <w:b/>
      <w:bCs/>
    </w:rPr>
  </w:style>
  <w:style w:type="character" w:customStyle="1" w:styleId="AsuntodelcomentarioCar">
    <w:name w:val="Asunto del comentario Car"/>
    <w:link w:val="Asuntodelcomentario"/>
    <w:uiPriority w:val="99"/>
    <w:semiHidden/>
    <w:rsid w:val="00BD2504"/>
    <w:rPr>
      <w:b/>
      <w:bC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basedOn w:val="Normal"/>
    <w:link w:val="TextonotapieCar1"/>
    <w:uiPriority w:val="99"/>
    <w:unhideWhenUsed/>
    <w:qFormat/>
    <w:rsid w:val="000B60A2"/>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rsid w:val="000B60A2"/>
    <w:rPr>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iPriority w:val="99"/>
    <w:unhideWhenUsed/>
    <w:qFormat/>
    <w:rsid w:val="000B60A2"/>
    <w:rPr>
      <w:vertAlign w:val="superscript"/>
    </w:rPr>
  </w:style>
  <w:style w:type="paragraph" w:styleId="Prrafodelista">
    <w:name w:val="List Paragraph"/>
    <w:aliases w:val="Lista vistosa - Énfasis 11,Colorful List - Accent 12,Medium Grid 1 - Accent 21,Subtle Emphasis1,Footnote1"/>
    <w:uiPriority w:val="72"/>
    <w:qFormat/>
    <w:rsid w:val="006141B9"/>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table" w:styleId="Tablaconcuadrcula">
    <w:name w:val="Table Grid"/>
    <w:basedOn w:val="Tablanormal"/>
    <w:uiPriority w:val="59"/>
    <w:rsid w:val="00633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FD39C8"/>
    <w:rPr>
      <w:rFonts w:ascii="Avenir Next" w:hAnsi="Avenir Next" w:cs="Avenir Next" w:hint="default"/>
      <w:color w:val="211D1E"/>
      <w:sz w:val="32"/>
      <w:szCs w:val="32"/>
    </w:rPr>
  </w:style>
  <w:style w:type="paragraph" w:customStyle="1" w:styleId="Default">
    <w:name w:val="Default"/>
    <w:rsid w:val="000C18C0"/>
    <w:pPr>
      <w:autoSpaceDE w:val="0"/>
      <w:autoSpaceDN w:val="0"/>
      <w:adjustRightInd w:val="0"/>
    </w:pPr>
    <w:rPr>
      <w:rFonts w:ascii="Times New Roman" w:eastAsia="MS Mincho" w:hAnsi="Times New Roman"/>
      <w:color w:val="000000"/>
      <w:sz w:val="24"/>
      <w:szCs w:val="24"/>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ED7583"/>
    <w:pPr>
      <w:spacing w:after="0" w:line="240" w:lineRule="auto"/>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5318">
      <w:bodyDiv w:val="1"/>
      <w:marLeft w:val="0"/>
      <w:marRight w:val="0"/>
      <w:marTop w:val="0"/>
      <w:marBottom w:val="0"/>
      <w:divBdr>
        <w:top w:val="none" w:sz="0" w:space="0" w:color="auto"/>
        <w:left w:val="none" w:sz="0" w:space="0" w:color="auto"/>
        <w:bottom w:val="none" w:sz="0" w:space="0" w:color="auto"/>
        <w:right w:val="none" w:sz="0" w:space="0" w:color="auto"/>
      </w:divBdr>
    </w:div>
    <w:div w:id="477645881">
      <w:bodyDiv w:val="1"/>
      <w:marLeft w:val="0"/>
      <w:marRight w:val="0"/>
      <w:marTop w:val="0"/>
      <w:marBottom w:val="0"/>
      <w:divBdr>
        <w:top w:val="none" w:sz="0" w:space="0" w:color="auto"/>
        <w:left w:val="none" w:sz="0" w:space="0" w:color="auto"/>
        <w:bottom w:val="none" w:sz="0" w:space="0" w:color="auto"/>
        <w:right w:val="none" w:sz="0" w:space="0" w:color="auto"/>
      </w:divBdr>
    </w:div>
    <w:div w:id="814227195">
      <w:bodyDiv w:val="1"/>
      <w:marLeft w:val="0"/>
      <w:marRight w:val="0"/>
      <w:marTop w:val="0"/>
      <w:marBottom w:val="0"/>
      <w:divBdr>
        <w:top w:val="none" w:sz="0" w:space="0" w:color="auto"/>
        <w:left w:val="none" w:sz="0" w:space="0" w:color="auto"/>
        <w:bottom w:val="none" w:sz="0" w:space="0" w:color="auto"/>
        <w:right w:val="none" w:sz="0" w:space="0" w:color="auto"/>
      </w:divBdr>
    </w:div>
    <w:div w:id="816342555">
      <w:bodyDiv w:val="1"/>
      <w:marLeft w:val="0"/>
      <w:marRight w:val="0"/>
      <w:marTop w:val="0"/>
      <w:marBottom w:val="0"/>
      <w:divBdr>
        <w:top w:val="none" w:sz="0" w:space="0" w:color="auto"/>
        <w:left w:val="none" w:sz="0" w:space="0" w:color="auto"/>
        <w:bottom w:val="none" w:sz="0" w:space="0" w:color="auto"/>
        <w:right w:val="none" w:sz="0" w:space="0" w:color="auto"/>
      </w:divBdr>
    </w:div>
    <w:div w:id="864058013">
      <w:bodyDiv w:val="1"/>
      <w:marLeft w:val="0"/>
      <w:marRight w:val="0"/>
      <w:marTop w:val="0"/>
      <w:marBottom w:val="0"/>
      <w:divBdr>
        <w:top w:val="none" w:sz="0" w:space="0" w:color="auto"/>
        <w:left w:val="none" w:sz="0" w:space="0" w:color="auto"/>
        <w:bottom w:val="none" w:sz="0" w:space="0" w:color="auto"/>
        <w:right w:val="none" w:sz="0" w:space="0" w:color="auto"/>
      </w:divBdr>
    </w:div>
    <w:div w:id="1482966311">
      <w:bodyDiv w:val="1"/>
      <w:marLeft w:val="0"/>
      <w:marRight w:val="0"/>
      <w:marTop w:val="0"/>
      <w:marBottom w:val="0"/>
      <w:divBdr>
        <w:top w:val="none" w:sz="0" w:space="0" w:color="auto"/>
        <w:left w:val="none" w:sz="0" w:space="0" w:color="auto"/>
        <w:bottom w:val="none" w:sz="0" w:space="0" w:color="auto"/>
        <w:right w:val="none" w:sz="0" w:space="0" w:color="auto"/>
      </w:divBdr>
    </w:div>
    <w:div w:id="1561164788">
      <w:bodyDiv w:val="1"/>
      <w:marLeft w:val="0"/>
      <w:marRight w:val="0"/>
      <w:marTop w:val="0"/>
      <w:marBottom w:val="0"/>
      <w:divBdr>
        <w:top w:val="none" w:sz="0" w:space="0" w:color="auto"/>
        <w:left w:val="none" w:sz="0" w:space="0" w:color="auto"/>
        <w:bottom w:val="none" w:sz="0" w:space="0" w:color="auto"/>
        <w:right w:val="none" w:sz="0" w:space="0" w:color="auto"/>
      </w:divBdr>
    </w:div>
    <w:div w:id="182597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106221-93E3-4B4D-9216-1A340805694A}">
  <ds:schemaRefs>
    <ds:schemaRef ds:uri="http://schemas.microsoft.com/sharepoint/v3/contenttype/forms"/>
  </ds:schemaRefs>
</ds:datastoreItem>
</file>

<file path=customXml/itemProps2.xml><?xml version="1.0" encoding="utf-8"?>
<ds:datastoreItem xmlns:ds="http://schemas.openxmlformats.org/officeDocument/2006/customXml" ds:itemID="{C0452536-3809-418A-9058-B6B39B944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896E4F-5412-4BD2-A3B9-34B893816329}">
  <ds:schemaRefs>
    <ds:schemaRef ds:uri="http://schemas.microsoft.com/office/2006/metadata/longProperties"/>
  </ds:schemaRefs>
</ds:datastoreItem>
</file>

<file path=customXml/itemProps4.xml><?xml version="1.0" encoding="utf-8"?>
<ds:datastoreItem xmlns:ds="http://schemas.openxmlformats.org/officeDocument/2006/customXml" ds:itemID="{4AA03399-EE7D-4638-9604-43E0A4110CAD}">
  <ds:schemaRefs>
    <ds:schemaRef ds:uri="http://schemas.openxmlformats.org/officeDocument/2006/bibliography"/>
  </ds:schemaRefs>
</ds:datastoreItem>
</file>

<file path=customXml/itemProps5.xml><?xml version="1.0" encoding="utf-8"?>
<ds:datastoreItem xmlns:ds="http://schemas.openxmlformats.org/officeDocument/2006/customXml" ds:itemID="{5524C3CB-6EB2-4692-9A8F-B503514C95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1939</Words>
  <Characters>10669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2022-08-02T20:27:00Z</dcterms:created>
  <dcterms:modified xsi:type="dcterms:W3CDTF">2022-08-02T20:27:00Z</dcterms:modified>
</cp:coreProperties>
</file>