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CB14E" w14:textId="77777777" w:rsidR="000720B2" w:rsidRDefault="00244EEF" w:rsidP="00AF7AFD">
      <w:pPr>
        <w:suppressAutoHyphens/>
        <w:spacing w:after="0" w:line="240" w:lineRule="auto"/>
        <w:rPr>
          <w:rFonts w:ascii="Cambria" w:hAnsi="Cambria" w:cs="Calibri"/>
          <w:sz w:val="20"/>
          <w:szCs w:val="20"/>
          <w:lang w:val="pt-BR"/>
        </w:rPr>
      </w:pP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r>
        <w:rPr>
          <w:rFonts w:ascii="Cambria" w:hAnsi="Cambria" w:cs="Calibri"/>
          <w:sz w:val="20"/>
          <w:szCs w:val="20"/>
          <w:lang w:val="pt-BR"/>
        </w:rPr>
        <w:tab/>
      </w:r>
    </w:p>
    <w:p w14:paraId="2DFABD2D" w14:textId="77777777" w:rsidR="00251530" w:rsidRPr="00AF7AFD" w:rsidRDefault="00E15C63" w:rsidP="000720B2">
      <w:pPr>
        <w:suppressAutoHyphens/>
        <w:spacing w:after="0" w:line="240" w:lineRule="auto"/>
        <w:jc w:val="right"/>
        <w:rPr>
          <w:rFonts w:ascii="Cambria" w:hAnsi="Cambria" w:cs="Calibri"/>
          <w:sz w:val="20"/>
          <w:szCs w:val="20"/>
          <w:lang w:val="pt-BR"/>
        </w:rPr>
      </w:pPr>
      <w:r w:rsidRPr="00AF7AFD">
        <w:rPr>
          <w:rFonts w:ascii="Cambria" w:hAnsi="Cambria" w:cs="Calibri"/>
          <w:sz w:val="20"/>
          <w:szCs w:val="20"/>
          <w:lang w:val="pt-BR"/>
        </w:rPr>
        <w:t xml:space="preserve">5 de </w:t>
      </w:r>
      <w:r w:rsidR="00475670">
        <w:rPr>
          <w:rFonts w:ascii="Cambria" w:hAnsi="Cambria" w:cs="Calibri"/>
          <w:sz w:val="20"/>
          <w:szCs w:val="20"/>
          <w:lang w:val="pt-BR"/>
        </w:rPr>
        <w:t>enero</w:t>
      </w:r>
      <w:r w:rsidRPr="00AF7AFD">
        <w:rPr>
          <w:rFonts w:ascii="Cambria" w:hAnsi="Cambria" w:cs="Calibri"/>
          <w:sz w:val="20"/>
          <w:szCs w:val="20"/>
          <w:lang w:val="pt-BR"/>
        </w:rPr>
        <w:t xml:space="preserve"> de 202</w:t>
      </w:r>
      <w:r w:rsidR="00475670">
        <w:rPr>
          <w:rFonts w:ascii="Cambria" w:hAnsi="Cambria" w:cs="Calibri"/>
          <w:sz w:val="20"/>
          <w:szCs w:val="20"/>
          <w:lang w:val="pt-BR"/>
        </w:rPr>
        <w:t>2</w:t>
      </w:r>
    </w:p>
    <w:p w14:paraId="073837E6" w14:textId="77777777" w:rsidR="00E15C63" w:rsidRPr="00AF7AFD" w:rsidRDefault="00E15C63" w:rsidP="00AF7AFD">
      <w:pPr>
        <w:suppressAutoHyphens/>
        <w:spacing w:after="0" w:line="240" w:lineRule="auto"/>
        <w:jc w:val="right"/>
        <w:rPr>
          <w:rFonts w:ascii="Cambria" w:hAnsi="Cambria" w:cs="Calibri"/>
          <w:b/>
          <w:sz w:val="20"/>
          <w:szCs w:val="20"/>
          <w:lang w:val="pt-BR"/>
        </w:rPr>
      </w:pPr>
    </w:p>
    <w:p w14:paraId="12C53026" w14:textId="77777777" w:rsidR="00251530" w:rsidRPr="00AF7AFD" w:rsidRDefault="00036129" w:rsidP="00AF7AFD">
      <w:pPr>
        <w:tabs>
          <w:tab w:val="left" w:pos="720"/>
          <w:tab w:val="center" w:pos="6480"/>
        </w:tabs>
        <w:spacing w:after="0" w:line="240" w:lineRule="auto"/>
        <w:jc w:val="both"/>
        <w:rPr>
          <w:rFonts w:ascii="Cambria" w:hAnsi="Cambria" w:cs="Calibri"/>
          <w:b/>
          <w:sz w:val="20"/>
          <w:szCs w:val="20"/>
          <w:lang w:val="pt-BR"/>
        </w:rPr>
      </w:pPr>
      <w:r w:rsidRPr="00AF7AFD">
        <w:rPr>
          <w:rFonts w:ascii="Cambria" w:hAnsi="Cambria" w:cs="Calibri"/>
          <w:b/>
          <w:sz w:val="20"/>
          <w:szCs w:val="20"/>
          <w:lang w:val="pt-BR"/>
        </w:rPr>
        <w:t>REF</w:t>
      </w:r>
      <w:r w:rsidR="00251530" w:rsidRPr="00AF7AFD">
        <w:rPr>
          <w:rFonts w:ascii="Cambria" w:hAnsi="Cambria" w:cs="Calibri"/>
          <w:b/>
          <w:sz w:val="20"/>
          <w:szCs w:val="20"/>
          <w:lang w:val="pt-BR"/>
        </w:rPr>
        <w:t>.:</w:t>
      </w:r>
      <w:bookmarkStart w:id="0" w:name="Peticion_n"/>
      <w:bookmarkEnd w:id="0"/>
      <w:r w:rsidRPr="00AF7AFD">
        <w:rPr>
          <w:rFonts w:ascii="Cambria" w:hAnsi="Cambria" w:cs="Calibri"/>
          <w:b/>
          <w:sz w:val="20"/>
          <w:szCs w:val="20"/>
          <w:lang w:val="pt-BR"/>
        </w:rPr>
        <w:tab/>
        <w:t>Caso Nº</w:t>
      </w:r>
      <w:r w:rsidR="00251530" w:rsidRPr="00AF7AFD">
        <w:rPr>
          <w:rFonts w:ascii="Cambria" w:hAnsi="Cambria" w:cs="Calibri"/>
          <w:b/>
          <w:sz w:val="20"/>
          <w:szCs w:val="20"/>
          <w:lang w:val="pt-BR"/>
        </w:rPr>
        <w:t xml:space="preserve"> </w:t>
      </w:r>
      <w:r w:rsidR="00696542" w:rsidRPr="00AF7AFD">
        <w:rPr>
          <w:rFonts w:ascii="Cambria" w:hAnsi="Cambria" w:cs="Calibri"/>
          <w:b/>
          <w:sz w:val="20"/>
          <w:szCs w:val="20"/>
          <w:lang w:val="pt-BR"/>
        </w:rPr>
        <w:t>13.</w:t>
      </w:r>
      <w:r w:rsidR="00E15C63" w:rsidRPr="00AF7AFD">
        <w:rPr>
          <w:rFonts w:ascii="Cambria" w:hAnsi="Cambria" w:cs="Calibri"/>
          <w:b/>
          <w:sz w:val="20"/>
          <w:szCs w:val="20"/>
          <w:lang w:val="pt-BR"/>
        </w:rPr>
        <w:t>378</w:t>
      </w:r>
    </w:p>
    <w:p w14:paraId="31D4E11F" w14:textId="77777777" w:rsidR="00251530" w:rsidRPr="00AF7AFD" w:rsidRDefault="00E15C63" w:rsidP="00AF7AFD">
      <w:pPr>
        <w:tabs>
          <w:tab w:val="left" w:pos="720"/>
          <w:tab w:val="center" w:pos="6480"/>
        </w:tabs>
        <w:spacing w:after="0" w:line="240" w:lineRule="auto"/>
        <w:ind w:left="720"/>
        <w:jc w:val="both"/>
        <w:rPr>
          <w:rFonts w:ascii="Cambria" w:hAnsi="Cambria" w:cs="Calibri"/>
          <w:b/>
          <w:sz w:val="20"/>
          <w:szCs w:val="20"/>
          <w:lang w:val="es-CR"/>
        </w:rPr>
      </w:pPr>
      <w:r w:rsidRPr="00AF7AFD">
        <w:rPr>
          <w:rFonts w:ascii="Cambria" w:hAnsi="Cambria" w:cs="Calibri"/>
          <w:b/>
          <w:sz w:val="20"/>
          <w:szCs w:val="20"/>
          <w:lang w:val="es-CR"/>
        </w:rPr>
        <w:t>Beatriz</w:t>
      </w:r>
    </w:p>
    <w:p w14:paraId="4ECD2865" w14:textId="77777777" w:rsidR="00251530" w:rsidRPr="00AF7AFD" w:rsidRDefault="0081200F" w:rsidP="00AF7AFD">
      <w:pPr>
        <w:tabs>
          <w:tab w:val="left" w:pos="720"/>
          <w:tab w:val="center" w:pos="6480"/>
        </w:tabs>
        <w:spacing w:after="0" w:line="240" w:lineRule="auto"/>
        <w:ind w:left="720"/>
        <w:jc w:val="both"/>
        <w:rPr>
          <w:rFonts w:ascii="Cambria" w:hAnsi="Cambria" w:cs="Calibri"/>
          <w:b/>
          <w:sz w:val="20"/>
          <w:szCs w:val="20"/>
          <w:lang w:val="es-ES_tradnl"/>
        </w:rPr>
      </w:pPr>
      <w:r w:rsidRPr="00AF7AFD">
        <w:rPr>
          <w:rFonts w:ascii="Cambria" w:hAnsi="Cambria" w:cs="Calibri"/>
          <w:b/>
          <w:sz w:val="20"/>
          <w:szCs w:val="20"/>
          <w:lang w:val="es-ES_tradnl"/>
        </w:rPr>
        <w:t>E</w:t>
      </w:r>
      <w:r w:rsidR="00696542" w:rsidRPr="00AF7AFD">
        <w:rPr>
          <w:rFonts w:ascii="Cambria" w:hAnsi="Cambria" w:cs="Calibri"/>
          <w:b/>
          <w:sz w:val="20"/>
          <w:szCs w:val="20"/>
          <w:lang w:val="es-ES_tradnl"/>
        </w:rPr>
        <w:t>l Salvador</w:t>
      </w:r>
      <w:r w:rsidRPr="00AF7AFD">
        <w:rPr>
          <w:rFonts w:ascii="Cambria" w:hAnsi="Cambria" w:cs="Calibri"/>
          <w:b/>
          <w:sz w:val="20"/>
          <w:szCs w:val="20"/>
          <w:lang w:val="es-ES_tradnl"/>
        </w:rPr>
        <w:t xml:space="preserve"> </w:t>
      </w:r>
    </w:p>
    <w:p w14:paraId="2F938522" w14:textId="77777777" w:rsidR="00251530" w:rsidRPr="00AF7AFD" w:rsidRDefault="00251530" w:rsidP="00AF7AFD">
      <w:pPr>
        <w:tabs>
          <w:tab w:val="left" w:pos="720"/>
          <w:tab w:val="center" w:pos="6480"/>
        </w:tabs>
        <w:spacing w:after="0" w:line="240" w:lineRule="auto"/>
        <w:jc w:val="both"/>
        <w:rPr>
          <w:rFonts w:ascii="Cambria" w:hAnsi="Cambria" w:cs="Calibri"/>
          <w:sz w:val="20"/>
          <w:szCs w:val="20"/>
          <w:lang w:val="es-PE"/>
        </w:rPr>
      </w:pPr>
    </w:p>
    <w:p w14:paraId="4967260B" w14:textId="77777777" w:rsidR="00F65851" w:rsidRPr="00AF7AFD" w:rsidRDefault="00F65851" w:rsidP="00AF7AFD">
      <w:pPr>
        <w:tabs>
          <w:tab w:val="left" w:pos="720"/>
          <w:tab w:val="center" w:pos="6480"/>
        </w:tabs>
        <w:spacing w:after="0" w:line="240" w:lineRule="auto"/>
        <w:jc w:val="both"/>
        <w:rPr>
          <w:rFonts w:ascii="Cambria" w:hAnsi="Cambria" w:cs="Calibri"/>
          <w:sz w:val="20"/>
          <w:szCs w:val="20"/>
          <w:lang w:val="es-PE"/>
        </w:rPr>
      </w:pPr>
    </w:p>
    <w:p w14:paraId="152B52C9" w14:textId="77777777" w:rsidR="00251530" w:rsidRPr="00AF7AFD" w:rsidRDefault="0081200F" w:rsidP="00AF7AFD">
      <w:pPr>
        <w:tabs>
          <w:tab w:val="left" w:pos="720"/>
          <w:tab w:val="center" w:pos="6480"/>
        </w:tabs>
        <w:spacing w:after="0" w:line="240" w:lineRule="auto"/>
        <w:jc w:val="both"/>
        <w:rPr>
          <w:rFonts w:ascii="Cambria" w:hAnsi="Cambria" w:cs="Calibri"/>
          <w:sz w:val="20"/>
          <w:szCs w:val="20"/>
          <w:lang w:val="es-PE"/>
        </w:rPr>
      </w:pPr>
      <w:r w:rsidRPr="00AF7AFD">
        <w:rPr>
          <w:rFonts w:ascii="Cambria" w:hAnsi="Cambria" w:cs="Calibri"/>
          <w:sz w:val="20"/>
          <w:szCs w:val="20"/>
          <w:lang w:val="es-PE"/>
        </w:rPr>
        <w:tab/>
      </w:r>
      <w:r w:rsidR="00251530" w:rsidRPr="00AF7AFD">
        <w:rPr>
          <w:rFonts w:ascii="Cambria" w:hAnsi="Cambria" w:cs="Calibri"/>
          <w:sz w:val="20"/>
          <w:szCs w:val="20"/>
          <w:lang w:val="es-PE"/>
        </w:rPr>
        <w:t>Señor Secretario:</w:t>
      </w:r>
    </w:p>
    <w:p w14:paraId="3A1393E1" w14:textId="77777777" w:rsidR="00251530" w:rsidRPr="00AF7AFD" w:rsidRDefault="00251530" w:rsidP="00AF7AFD">
      <w:pPr>
        <w:spacing w:after="0" w:line="240" w:lineRule="auto"/>
        <w:rPr>
          <w:rFonts w:ascii="Cambria" w:hAnsi="Cambria" w:cs="Calibri"/>
          <w:sz w:val="20"/>
          <w:szCs w:val="20"/>
          <w:lang w:val="es-CO"/>
        </w:rPr>
      </w:pPr>
    </w:p>
    <w:p w14:paraId="1C1CF4AF" w14:textId="77777777" w:rsidR="00F171A9" w:rsidRPr="00AF7AFD" w:rsidRDefault="00F65851" w:rsidP="00AF7AFD">
      <w:pPr>
        <w:tabs>
          <w:tab w:val="left" w:pos="720"/>
          <w:tab w:val="left" w:pos="1440"/>
        </w:tabs>
        <w:spacing w:after="0" w:line="240" w:lineRule="auto"/>
        <w:jc w:val="both"/>
        <w:rPr>
          <w:rFonts w:ascii="Cambria" w:hAnsi="Cambria"/>
          <w:sz w:val="20"/>
          <w:szCs w:val="20"/>
          <w:lang w:val="es-VE"/>
        </w:rPr>
      </w:pPr>
      <w:r w:rsidRPr="00AF7AFD">
        <w:rPr>
          <w:rFonts w:ascii="Cambria" w:hAnsi="Cambria" w:cs="Calibri"/>
          <w:sz w:val="20"/>
          <w:szCs w:val="20"/>
          <w:lang w:val="es-CO"/>
        </w:rPr>
        <w:tab/>
      </w:r>
      <w:r w:rsidR="00251530" w:rsidRPr="00AF7AFD">
        <w:rPr>
          <w:rFonts w:ascii="Cambria" w:hAnsi="Cambria" w:cs="Calibri"/>
          <w:sz w:val="20"/>
          <w:szCs w:val="20"/>
          <w:lang w:val="es-CO"/>
        </w:rPr>
        <w:t>Tengo el agrado de dirigirme a usted</w:t>
      </w:r>
      <w:r w:rsidR="00927010" w:rsidRPr="00AF7AFD">
        <w:rPr>
          <w:rFonts w:ascii="Cambria" w:hAnsi="Cambria" w:cs="Calibri"/>
          <w:sz w:val="20"/>
          <w:szCs w:val="20"/>
          <w:lang w:val="es-CO"/>
        </w:rPr>
        <w:t>,</w:t>
      </w:r>
      <w:r w:rsidR="00251530" w:rsidRPr="00AF7AFD">
        <w:rPr>
          <w:rFonts w:ascii="Cambria" w:hAnsi="Cambria" w:cs="Calibri"/>
          <w:sz w:val="20"/>
          <w:szCs w:val="20"/>
          <w:lang w:val="es-CO"/>
        </w:rPr>
        <w:t xml:space="preserve"> en nombre de la Comisión Interamericana de Derechos Humanos</w:t>
      </w:r>
      <w:r w:rsidR="00927010" w:rsidRPr="00AF7AFD">
        <w:rPr>
          <w:rFonts w:ascii="Cambria" w:hAnsi="Cambria" w:cs="Calibri"/>
          <w:sz w:val="20"/>
          <w:szCs w:val="20"/>
          <w:lang w:val="es-CO"/>
        </w:rPr>
        <w:t>,</w:t>
      </w:r>
      <w:r w:rsidR="00251530" w:rsidRPr="00AF7AFD">
        <w:rPr>
          <w:rFonts w:ascii="Cambria" w:hAnsi="Cambria" w:cs="Calibri"/>
          <w:sz w:val="20"/>
          <w:szCs w:val="20"/>
          <w:lang w:val="es-CO"/>
        </w:rPr>
        <w:t xml:space="preserve"> con el objeto de someter a la jurisdicción de la Honorable Corte Interame</w:t>
      </w:r>
      <w:r w:rsidR="00927010" w:rsidRPr="00AF7AFD">
        <w:rPr>
          <w:rFonts w:ascii="Cambria" w:hAnsi="Cambria" w:cs="Calibri"/>
          <w:sz w:val="20"/>
          <w:szCs w:val="20"/>
          <w:lang w:val="es-CO"/>
        </w:rPr>
        <w:t>ricana de Derechos Humanos, el C</w:t>
      </w:r>
      <w:r w:rsidR="00251530" w:rsidRPr="00AF7AFD">
        <w:rPr>
          <w:rFonts w:ascii="Cambria" w:hAnsi="Cambria" w:cs="Calibri"/>
          <w:sz w:val="20"/>
          <w:szCs w:val="20"/>
          <w:lang w:val="es-CO"/>
        </w:rPr>
        <w:t>aso</w:t>
      </w:r>
      <w:r w:rsidR="00927010" w:rsidRPr="00AF7AFD">
        <w:rPr>
          <w:rFonts w:ascii="Cambria" w:hAnsi="Cambria" w:cs="Calibri"/>
          <w:sz w:val="20"/>
          <w:szCs w:val="20"/>
          <w:lang w:val="es-CO"/>
        </w:rPr>
        <w:t xml:space="preserve"> Nº</w:t>
      </w:r>
      <w:r w:rsidR="00696542" w:rsidRPr="00AF7AFD">
        <w:rPr>
          <w:rFonts w:ascii="Cambria" w:hAnsi="Cambria" w:cs="Calibri"/>
          <w:sz w:val="20"/>
          <w:szCs w:val="20"/>
          <w:lang w:val="es-CO"/>
        </w:rPr>
        <w:t xml:space="preserve"> </w:t>
      </w:r>
      <w:r w:rsidR="0081200F" w:rsidRPr="00AF7AFD">
        <w:rPr>
          <w:rFonts w:ascii="Cambria" w:hAnsi="Cambria" w:cs="Calibri"/>
          <w:sz w:val="20"/>
          <w:szCs w:val="20"/>
          <w:lang w:val="es-CO"/>
        </w:rPr>
        <w:t>1</w:t>
      </w:r>
      <w:r w:rsidR="00696542" w:rsidRPr="00AF7AFD">
        <w:rPr>
          <w:rFonts w:ascii="Cambria" w:hAnsi="Cambria" w:cs="Calibri"/>
          <w:sz w:val="20"/>
          <w:szCs w:val="20"/>
          <w:lang w:val="es-CO"/>
        </w:rPr>
        <w:t>3</w:t>
      </w:r>
      <w:r w:rsidR="00251530" w:rsidRPr="00AF7AFD">
        <w:rPr>
          <w:rFonts w:ascii="Cambria" w:hAnsi="Cambria" w:cs="Calibri"/>
          <w:sz w:val="20"/>
          <w:szCs w:val="20"/>
          <w:lang w:val="es-CO"/>
        </w:rPr>
        <w:t>.</w:t>
      </w:r>
      <w:r w:rsidR="00E15C63" w:rsidRPr="00AF7AFD">
        <w:rPr>
          <w:rFonts w:ascii="Cambria" w:hAnsi="Cambria" w:cs="Calibri"/>
          <w:sz w:val="20"/>
          <w:szCs w:val="20"/>
          <w:lang w:val="es-CO"/>
        </w:rPr>
        <w:t>378</w:t>
      </w:r>
      <w:r w:rsidR="00251530" w:rsidRPr="00AF7AFD">
        <w:rPr>
          <w:rFonts w:ascii="Cambria" w:hAnsi="Cambria" w:cs="Calibri"/>
          <w:sz w:val="20"/>
          <w:szCs w:val="20"/>
          <w:lang w:val="es-CO"/>
        </w:rPr>
        <w:t xml:space="preserve"> – </w:t>
      </w:r>
      <w:r w:rsidRPr="00AF7AFD">
        <w:rPr>
          <w:rFonts w:ascii="Cambria" w:hAnsi="Cambria" w:cs="Calibri"/>
          <w:sz w:val="20"/>
          <w:szCs w:val="20"/>
          <w:lang w:val="es-CO"/>
        </w:rPr>
        <w:t>Beatriz</w:t>
      </w:r>
      <w:r w:rsidR="00841921" w:rsidRPr="00AF7AFD">
        <w:rPr>
          <w:rFonts w:ascii="Cambria" w:hAnsi="Cambria" w:cs="Calibri"/>
          <w:sz w:val="20"/>
          <w:szCs w:val="20"/>
          <w:lang w:val="es-CO"/>
        </w:rPr>
        <w:t xml:space="preserve"> </w:t>
      </w:r>
      <w:r w:rsidR="00251530" w:rsidRPr="00AF7AFD">
        <w:rPr>
          <w:rFonts w:ascii="Cambria" w:hAnsi="Cambria" w:cs="Calibri"/>
          <w:sz w:val="20"/>
          <w:szCs w:val="20"/>
          <w:lang w:val="es-CO"/>
        </w:rPr>
        <w:t xml:space="preserve">respecto de la República de </w:t>
      </w:r>
      <w:r w:rsidR="0081200F" w:rsidRPr="00AF7AFD">
        <w:rPr>
          <w:rFonts w:ascii="Cambria" w:hAnsi="Cambria" w:cs="Calibri"/>
          <w:sz w:val="20"/>
          <w:szCs w:val="20"/>
          <w:lang w:val="es-CO"/>
        </w:rPr>
        <w:t>E</w:t>
      </w:r>
      <w:r w:rsidR="00A768E0" w:rsidRPr="00AF7AFD">
        <w:rPr>
          <w:rFonts w:ascii="Cambria" w:hAnsi="Cambria" w:cs="Calibri"/>
          <w:sz w:val="20"/>
          <w:szCs w:val="20"/>
          <w:lang w:val="es-CO"/>
        </w:rPr>
        <w:t xml:space="preserve">l Salvador </w:t>
      </w:r>
      <w:r w:rsidR="00251530" w:rsidRPr="00AF7AFD">
        <w:rPr>
          <w:rFonts w:ascii="Cambria" w:hAnsi="Cambria" w:cs="Calibri"/>
          <w:sz w:val="20"/>
          <w:szCs w:val="20"/>
          <w:lang w:val="es-CO"/>
        </w:rPr>
        <w:t xml:space="preserve">(en adelante “el Estado”, “el Estado </w:t>
      </w:r>
      <w:r w:rsidR="00A768E0" w:rsidRPr="00AF7AFD">
        <w:rPr>
          <w:rFonts w:ascii="Cambria" w:hAnsi="Cambria" w:cs="Calibri"/>
          <w:sz w:val="20"/>
          <w:szCs w:val="20"/>
          <w:lang w:val="es-CO"/>
        </w:rPr>
        <w:t>salvadoreño</w:t>
      </w:r>
      <w:r w:rsidR="00251530" w:rsidRPr="00AF7AFD">
        <w:rPr>
          <w:rFonts w:ascii="Cambria" w:hAnsi="Cambria" w:cs="Calibri"/>
          <w:sz w:val="20"/>
          <w:szCs w:val="20"/>
          <w:lang w:val="es-CO"/>
        </w:rPr>
        <w:t>” o “</w:t>
      </w:r>
      <w:r w:rsidR="0081200F" w:rsidRPr="00AF7AFD">
        <w:rPr>
          <w:rFonts w:ascii="Cambria" w:hAnsi="Cambria" w:cs="Calibri"/>
          <w:sz w:val="20"/>
          <w:szCs w:val="20"/>
          <w:lang w:val="es-CO"/>
        </w:rPr>
        <w:t>E</w:t>
      </w:r>
      <w:r w:rsidR="00A768E0" w:rsidRPr="00AF7AFD">
        <w:rPr>
          <w:rFonts w:ascii="Cambria" w:hAnsi="Cambria" w:cs="Calibri"/>
          <w:sz w:val="20"/>
          <w:szCs w:val="20"/>
          <w:lang w:val="es-CO"/>
        </w:rPr>
        <w:t>l Salvador</w:t>
      </w:r>
      <w:r w:rsidR="00CE5088" w:rsidRPr="00AF7AFD">
        <w:rPr>
          <w:rFonts w:ascii="Cambria" w:hAnsi="Cambria" w:cs="Calibri"/>
          <w:sz w:val="20"/>
          <w:szCs w:val="20"/>
          <w:lang w:val="es-CO"/>
        </w:rPr>
        <w:t xml:space="preserve">”). </w:t>
      </w:r>
      <w:r w:rsidRPr="00AF7AFD">
        <w:rPr>
          <w:rFonts w:ascii="Cambria" w:hAnsi="Cambria"/>
          <w:sz w:val="20"/>
          <w:szCs w:val="20"/>
          <w:lang w:val="es-CO"/>
        </w:rPr>
        <w:t xml:space="preserve">El caso se relaciona con la responsabilidad internacional </w:t>
      </w:r>
      <w:r w:rsidRPr="00AF7AFD">
        <w:rPr>
          <w:rFonts w:ascii="Cambria" w:hAnsi="Cambria"/>
          <w:sz w:val="20"/>
          <w:szCs w:val="20"/>
          <w:lang w:val="es-VE"/>
        </w:rPr>
        <w:t xml:space="preserve">de </w:t>
      </w:r>
      <w:r w:rsidR="00E4224F" w:rsidRPr="00AF7AFD">
        <w:rPr>
          <w:rFonts w:ascii="Cambria" w:hAnsi="Cambria"/>
          <w:sz w:val="20"/>
          <w:szCs w:val="20"/>
          <w:lang w:val="es-VE"/>
        </w:rPr>
        <w:t xml:space="preserve">El Salvador </w:t>
      </w:r>
      <w:r w:rsidR="002A6ACA" w:rsidRPr="00AF7AFD">
        <w:rPr>
          <w:rFonts w:ascii="Cambria" w:hAnsi="Cambria"/>
          <w:color w:val="000000"/>
          <w:sz w:val="20"/>
          <w:szCs w:val="20"/>
          <w:lang w:val="es-VE"/>
        </w:rPr>
        <w:t>por las</w:t>
      </w:r>
      <w:r w:rsidR="00D74E5D" w:rsidRPr="00AF7AFD">
        <w:rPr>
          <w:rFonts w:ascii="Cambria" w:hAnsi="Cambria"/>
          <w:sz w:val="20"/>
          <w:szCs w:val="20"/>
          <w:lang w:val="es-ES"/>
        </w:rPr>
        <w:t xml:space="preserve"> violaciones a los derechos de Beatriz y su familia </w:t>
      </w:r>
      <w:r w:rsidR="002A6ACA" w:rsidRPr="00AF7AFD">
        <w:rPr>
          <w:rFonts w:ascii="Cambria" w:hAnsi="Cambria"/>
          <w:sz w:val="20"/>
          <w:szCs w:val="20"/>
          <w:lang w:val="es-VE"/>
        </w:rPr>
        <w:t xml:space="preserve">debido a la prohibición absoluta </w:t>
      </w:r>
      <w:r w:rsidR="001B4CC9" w:rsidRPr="00AF7AFD">
        <w:rPr>
          <w:rFonts w:ascii="Cambria" w:eastAsia="Times New Roman" w:hAnsi="Cambria" w:cs="Cambria"/>
          <w:sz w:val="20"/>
          <w:szCs w:val="20"/>
          <w:lang w:val="es-CO"/>
        </w:rPr>
        <w:t xml:space="preserve">de la interrupción </w:t>
      </w:r>
      <w:r w:rsidR="00F171A9" w:rsidRPr="00AF7AFD">
        <w:rPr>
          <w:rFonts w:ascii="Cambria" w:eastAsia="Times New Roman" w:hAnsi="Cambria" w:cs="Cambria"/>
          <w:sz w:val="20"/>
          <w:szCs w:val="20"/>
          <w:lang w:val="es-CO"/>
        </w:rPr>
        <w:t xml:space="preserve">voluntaria </w:t>
      </w:r>
      <w:r w:rsidR="001B4CC9" w:rsidRPr="00AF7AFD">
        <w:rPr>
          <w:rFonts w:ascii="Cambria" w:eastAsia="Times New Roman" w:hAnsi="Cambria" w:cs="Cambria"/>
          <w:sz w:val="20"/>
          <w:szCs w:val="20"/>
          <w:lang w:val="es-CO"/>
        </w:rPr>
        <w:t>del embarazo</w:t>
      </w:r>
      <w:r w:rsidR="00F171A9" w:rsidRPr="00AF7AFD">
        <w:rPr>
          <w:rFonts w:ascii="Cambria" w:eastAsia="Times New Roman" w:hAnsi="Cambria" w:cs="Cambria"/>
          <w:sz w:val="20"/>
          <w:szCs w:val="20"/>
          <w:lang w:val="es-CO"/>
        </w:rPr>
        <w:t>, la cual</w:t>
      </w:r>
      <w:r w:rsidR="002A6ACA" w:rsidRPr="00AF7AFD">
        <w:rPr>
          <w:rFonts w:ascii="Cambria" w:hAnsi="Cambria"/>
          <w:sz w:val="20"/>
          <w:szCs w:val="20"/>
          <w:lang w:val="es-ES"/>
        </w:rPr>
        <w:t xml:space="preserve"> impidió </w:t>
      </w:r>
      <w:r w:rsidR="00F171A9" w:rsidRPr="00AF7AFD">
        <w:rPr>
          <w:rFonts w:ascii="Cambria" w:hAnsi="Cambria"/>
          <w:sz w:val="20"/>
          <w:szCs w:val="20"/>
          <w:lang w:val="es-ES"/>
        </w:rPr>
        <w:t>que</w:t>
      </w:r>
      <w:r w:rsidR="001B4CC9" w:rsidRPr="00AF7AFD">
        <w:rPr>
          <w:rFonts w:ascii="Cambria" w:hAnsi="Cambria"/>
          <w:sz w:val="20"/>
          <w:szCs w:val="20"/>
          <w:lang w:val="es-ES"/>
        </w:rPr>
        <w:t xml:space="preserve"> la víctima </w:t>
      </w:r>
      <w:r w:rsidR="00F171A9" w:rsidRPr="00AF7AFD">
        <w:rPr>
          <w:rFonts w:ascii="Cambria" w:hAnsi="Cambria"/>
          <w:sz w:val="20"/>
          <w:szCs w:val="20"/>
          <w:lang w:val="es-ES"/>
        </w:rPr>
        <w:t xml:space="preserve">tuviera </w:t>
      </w:r>
      <w:r w:rsidR="001B4CC9" w:rsidRPr="00AF7AFD">
        <w:rPr>
          <w:rFonts w:ascii="Cambria" w:hAnsi="Cambria"/>
          <w:sz w:val="20"/>
          <w:szCs w:val="20"/>
          <w:lang w:val="es-ES"/>
        </w:rPr>
        <w:t xml:space="preserve">la posibilidad de </w:t>
      </w:r>
      <w:r w:rsidR="002A6ACA" w:rsidRPr="00AF7AFD">
        <w:rPr>
          <w:rFonts w:ascii="Cambria" w:hAnsi="Cambria"/>
          <w:sz w:val="20"/>
          <w:szCs w:val="20"/>
          <w:lang w:val="es-VE"/>
        </w:rPr>
        <w:t>acceder</w:t>
      </w:r>
      <w:r w:rsidR="00FE259D" w:rsidRPr="00AF7AFD">
        <w:rPr>
          <w:rFonts w:ascii="Cambria" w:hAnsi="Cambria"/>
          <w:sz w:val="20"/>
          <w:szCs w:val="20"/>
          <w:lang w:val="es-VE"/>
        </w:rPr>
        <w:t xml:space="preserve"> a una</w:t>
      </w:r>
      <w:r w:rsidR="00D74E5D" w:rsidRPr="00AF7AFD">
        <w:rPr>
          <w:rFonts w:ascii="Cambria" w:hAnsi="Cambria"/>
          <w:sz w:val="20"/>
          <w:szCs w:val="20"/>
          <w:lang w:val="es-VE"/>
        </w:rPr>
        <w:t xml:space="preserve"> interrupción </w:t>
      </w:r>
      <w:r w:rsidR="001B4CC9" w:rsidRPr="00AF7AFD">
        <w:rPr>
          <w:rFonts w:ascii="Cambria" w:hAnsi="Cambria"/>
          <w:sz w:val="20"/>
          <w:szCs w:val="20"/>
          <w:lang w:val="es-VE"/>
        </w:rPr>
        <w:t xml:space="preserve">legal, temprana y </w:t>
      </w:r>
      <w:r w:rsidR="00D74E5D" w:rsidRPr="00AF7AFD">
        <w:rPr>
          <w:rFonts w:ascii="Cambria" w:hAnsi="Cambria"/>
          <w:sz w:val="20"/>
          <w:szCs w:val="20"/>
          <w:lang w:val="es-VE"/>
        </w:rPr>
        <w:t>oportuna</w:t>
      </w:r>
      <w:r w:rsidR="002E04AE" w:rsidRPr="00AF7AFD">
        <w:rPr>
          <w:rFonts w:ascii="Cambria" w:hAnsi="Cambria"/>
          <w:sz w:val="20"/>
          <w:szCs w:val="20"/>
          <w:lang w:val="es-VE"/>
        </w:rPr>
        <w:t>, tratándose de una situación</w:t>
      </w:r>
      <w:r w:rsidR="00D74E5D" w:rsidRPr="00AF7AFD">
        <w:rPr>
          <w:rFonts w:ascii="Cambria" w:hAnsi="Cambria"/>
          <w:sz w:val="20"/>
          <w:szCs w:val="20"/>
          <w:lang w:val="es-VE"/>
        </w:rPr>
        <w:t xml:space="preserve"> </w:t>
      </w:r>
      <w:r w:rsidR="00F171A9" w:rsidRPr="00AF7AFD">
        <w:rPr>
          <w:rFonts w:ascii="Cambria" w:hAnsi="Cambria"/>
          <w:sz w:val="20"/>
          <w:szCs w:val="20"/>
          <w:lang w:val="es-VE"/>
        </w:rPr>
        <w:t xml:space="preserve">de </w:t>
      </w:r>
      <w:r w:rsidR="00D74E5D" w:rsidRPr="00AF7AFD">
        <w:rPr>
          <w:rFonts w:ascii="Cambria" w:hAnsi="Cambria"/>
          <w:sz w:val="20"/>
          <w:szCs w:val="20"/>
          <w:lang w:val="es-VE"/>
        </w:rPr>
        <w:t>riesgo a la vida y riesgo grave a la salud e integridad personal</w:t>
      </w:r>
      <w:r w:rsidR="00F171A9" w:rsidRPr="00AF7AFD">
        <w:rPr>
          <w:rFonts w:ascii="Cambria" w:hAnsi="Cambria"/>
          <w:sz w:val="20"/>
          <w:szCs w:val="20"/>
          <w:lang w:val="es-VE"/>
        </w:rPr>
        <w:t xml:space="preserve">, </w:t>
      </w:r>
      <w:r w:rsidR="004A4B34" w:rsidRPr="00AF7AFD">
        <w:rPr>
          <w:rFonts w:ascii="Cambria" w:hAnsi="Cambria"/>
          <w:sz w:val="20"/>
          <w:szCs w:val="20"/>
          <w:lang w:val="es-VE"/>
        </w:rPr>
        <w:t>y</w:t>
      </w:r>
      <w:r w:rsidR="00F171A9" w:rsidRPr="00AF7AFD">
        <w:rPr>
          <w:rFonts w:ascii="Cambria" w:hAnsi="Cambria"/>
          <w:sz w:val="20"/>
          <w:szCs w:val="20"/>
          <w:lang w:val="es-VE"/>
        </w:rPr>
        <w:t xml:space="preserve"> de inviabilidad del feto con la vida extrauterina.</w:t>
      </w:r>
    </w:p>
    <w:p w14:paraId="1DE39E2A" w14:textId="77777777" w:rsidR="00F65851" w:rsidRPr="00AF7AFD" w:rsidRDefault="00F65851" w:rsidP="00AF7AFD">
      <w:pPr>
        <w:tabs>
          <w:tab w:val="left" w:pos="720"/>
          <w:tab w:val="left" w:pos="1440"/>
        </w:tabs>
        <w:spacing w:after="0" w:line="240" w:lineRule="auto"/>
        <w:jc w:val="both"/>
        <w:rPr>
          <w:rFonts w:ascii="Cambria" w:hAnsi="Cambria"/>
          <w:color w:val="000000"/>
          <w:sz w:val="20"/>
          <w:szCs w:val="20"/>
          <w:lang w:val="es-VE"/>
        </w:rPr>
      </w:pPr>
    </w:p>
    <w:p w14:paraId="40377AC3" w14:textId="77777777" w:rsidR="00ED4339" w:rsidRPr="00AF7AFD" w:rsidRDefault="00F65851" w:rsidP="00AF7AFD">
      <w:pPr>
        <w:tabs>
          <w:tab w:val="left" w:pos="0"/>
          <w:tab w:val="left" w:pos="720"/>
          <w:tab w:val="left" w:pos="1440"/>
        </w:tabs>
        <w:spacing w:after="0" w:line="240" w:lineRule="auto"/>
        <w:jc w:val="both"/>
        <w:rPr>
          <w:rFonts w:ascii="Cambria" w:hAnsi="Cambria"/>
          <w:sz w:val="20"/>
          <w:szCs w:val="20"/>
          <w:lang w:val="es-US"/>
        </w:rPr>
      </w:pPr>
      <w:r w:rsidRPr="00AF7AFD">
        <w:rPr>
          <w:rFonts w:ascii="Cambria" w:hAnsi="Cambria"/>
          <w:sz w:val="20"/>
          <w:szCs w:val="20"/>
          <w:lang w:val="es-VE"/>
        </w:rPr>
        <w:tab/>
      </w:r>
      <w:r w:rsidRPr="00AF7AFD">
        <w:rPr>
          <w:rFonts w:ascii="Cambria" w:hAnsi="Cambria"/>
          <w:sz w:val="20"/>
          <w:szCs w:val="20"/>
          <w:lang w:val="es-US"/>
        </w:rPr>
        <w:t xml:space="preserve">El 18 de febrero de 2013 Beatriz, </w:t>
      </w:r>
      <w:r w:rsidRPr="00AF7AFD">
        <w:rPr>
          <w:rFonts w:ascii="Cambria" w:hAnsi="Cambria"/>
          <w:color w:val="000000"/>
          <w:sz w:val="20"/>
          <w:szCs w:val="20"/>
          <w:lang w:val="es-VE"/>
        </w:rPr>
        <w:t xml:space="preserve">una joven mujer que vivía en situación de </w:t>
      </w:r>
      <w:r w:rsidRPr="00AF7AFD">
        <w:rPr>
          <w:rFonts w:ascii="Cambria" w:hAnsi="Cambria"/>
          <w:sz w:val="20"/>
          <w:szCs w:val="20"/>
          <w:lang w:val="es-US"/>
        </w:rPr>
        <w:t>extrema pobreza en el Cantón La Noria Tierra Blanca, municipio de Jiquilisco, fue diagnosticada con un embarazo de once semanas. Un informe médico consideró de alto riesgo el embarazo dado que Beatriz sufría de Lupus Eritematoso Sistemático, nefropatía lúpica y artritis reumatoidea. Posteriormente se diagnosticó que el feto era anencefálico, incompatible con la vida extrauterina, y que si el embarazo avanzaba existía la probabilidad de muerte materna.</w:t>
      </w:r>
    </w:p>
    <w:p w14:paraId="2B6D6BF3" w14:textId="77777777" w:rsidR="00ED4339" w:rsidRPr="00AF7AFD" w:rsidRDefault="00ED4339" w:rsidP="00AF7AFD">
      <w:pPr>
        <w:tabs>
          <w:tab w:val="left" w:pos="0"/>
          <w:tab w:val="left" w:pos="720"/>
          <w:tab w:val="left" w:pos="1440"/>
        </w:tabs>
        <w:spacing w:after="0" w:line="240" w:lineRule="auto"/>
        <w:jc w:val="both"/>
        <w:rPr>
          <w:rFonts w:ascii="Cambria" w:hAnsi="Cambria"/>
          <w:sz w:val="20"/>
          <w:szCs w:val="20"/>
          <w:lang w:val="es-US"/>
        </w:rPr>
      </w:pPr>
    </w:p>
    <w:p w14:paraId="1FD30C57" w14:textId="77777777" w:rsidR="008F1FEC" w:rsidRPr="00AF7AFD" w:rsidRDefault="00ED4339" w:rsidP="00AF7AFD">
      <w:pPr>
        <w:tabs>
          <w:tab w:val="left" w:pos="0"/>
          <w:tab w:val="left" w:pos="720"/>
          <w:tab w:val="left" w:pos="1440"/>
        </w:tabs>
        <w:spacing w:after="0" w:line="240" w:lineRule="auto"/>
        <w:jc w:val="both"/>
        <w:rPr>
          <w:rFonts w:ascii="Cambria" w:hAnsi="Cambria"/>
          <w:sz w:val="20"/>
          <w:szCs w:val="20"/>
          <w:lang w:val="es-US"/>
        </w:rPr>
      </w:pPr>
      <w:r w:rsidRPr="00AF7AFD">
        <w:rPr>
          <w:rFonts w:ascii="Cambria" w:hAnsi="Cambria"/>
          <w:sz w:val="20"/>
          <w:szCs w:val="20"/>
          <w:lang w:val="es-US"/>
        </w:rPr>
        <w:tab/>
      </w:r>
      <w:r w:rsidR="00F65851" w:rsidRPr="00AF7AFD">
        <w:rPr>
          <w:rFonts w:ascii="Cambria" w:hAnsi="Cambria"/>
          <w:sz w:val="20"/>
          <w:szCs w:val="20"/>
          <w:lang w:val="es-US"/>
        </w:rPr>
        <w:t xml:space="preserve"> El 11 de abril de 2013 la defensa legal de Beatriz presentó una demanda de amparo solicitando la interrupción del embarazo a efectos de salvar la vida de Beatriz,</w:t>
      </w:r>
      <w:r w:rsidRPr="00AF7AFD">
        <w:rPr>
          <w:rFonts w:ascii="Cambria" w:hAnsi="Cambria"/>
          <w:sz w:val="20"/>
          <w:szCs w:val="20"/>
          <w:lang w:val="es-US"/>
        </w:rPr>
        <w:t xml:space="preserve"> en tanto estaba documentado que debido a su enfermedad de base la continuidad del embarazo ponía en alto riesgo su vida, y que el feto era anencefálico. La Sala Constitucional admitió la demanda de amparo y dictó una medida cautelar a efectos de que las autoridades demandadas garantizaran la vida y la salud </w:t>
      </w:r>
      <w:r w:rsidR="00E11D1F">
        <w:rPr>
          <w:rFonts w:ascii="Cambria" w:hAnsi="Cambria"/>
          <w:sz w:val="20"/>
          <w:szCs w:val="20"/>
          <w:lang w:val="es-US"/>
        </w:rPr>
        <w:t>-</w:t>
      </w:r>
      <w:r w:rsidRPr="00AF7AFD">
        <w:rPr>
          <w:rFonts w:ascii="Cambria" w:hAnsi="Cambria"/>
          <w:sz w:val="20"/>
          <w:szCs w:val="20"/>
          <w:lang w:val="es-US"/>
        </w:rPr>
        <w:t xml:space="preserve">física y mental- de Beatriz, brindando el tratamiento médico necesario e idóneo para la preservación de tales derechos. </w:t>
      </w:r>
      <w:r w:rsidR="008F1FEC" w:rsidRPr="00AF7AFD">
        <w:rPr>
          <w:rFonts w:ascii="Cambria" w:hAnsi="Cambria"/>
          <w:sz w:val="20"/>
          <w:szCs w:val="20"/>
          <w:lang w:val="es-US"/>
        </w:rPr>
        <w:t xml:space="preserve">Tras la recepción de diversos informes de varias entidades, el 28 de mayo de 2013 la Sala Constitucional declaró “no ha lugar” la demanda de amparo ya que consideró en lo fundamental que no hubo una conducta omisiva por parte de las autoridades demandadas que </w:t>
      </w:r>
      <w:r w:rsidR="002E04AE" w:rsidRPr="00AF7AFD">
        <w:rPr>
          <w:rFonts w:ascii="Cambria" w:hAnsi="Cambria"/>
          <w:sz w:val="20"/>
          <w:szCs w:val="20"/>
          <w:lang w:val="es-US"/>
        </w:rPr>
        <w:t>hubiera</w:t>
      </w:r>
      <w:r w:rsidR="008F1FEC" w:rsidRPr="00AF7AFD">
        <w:rPr>
          <w:rFonts w:ascii="Cambria" w:hAnsi="Cambria"/>
          <w:sz w:val="20"/>
          <w:szCs w:val="20"/>
          <w:lang w:val="es-US"/>
        </w:rPr>
        <w:t xml:space="preserve"> producido un grave peligro a los derechos a la vida y a la salud de Beatriz. </w:t>
      </w:r>
      <w:r w:rsidR="002A6ACA" w:rsidRPr="00AF7AFD">
        <w:rPr>
          <w:rFonts w:ascii="Cambria" w:hAnsi="Cambria"/>
          <w:sz w:val="20"/>
          <w:szCs w:val="20"/>
          <w:lang w:val="es-US"/>
        </w:rPr>
        <w:t>C</w:t>
      </w:r>
      <w:r w:rsidR="008F1FEC" w:rsidRPr="00AF7AFD">
        <w:rPr>
          <w:rFonts w:ascii="Cambria" w:hAnsi="Cambria"/>
          <w:sz w:val="20"/>
          <w:szCs w:val="20"/>
          <w:lang w:val="es-US"/>
        </w:rPr>
        <w:t>omo resultado de la situación de riesgo en que se encontraba Beatriz, tanto la CIDH como la Corte Interamericana otorgaron respectivamente medidas cautelares y provisionales. El 3 de junio Beatriz comenzó con trabajo de parto, por lo que debió ser sometida a una cesárea. El feto anencefálico falleció cinco horas después.</w:t>
      </w:r>
    </w:p>
    <w:p w14:paraId="7E8D2EE2" w14:textId="77777777" w:rsidR="00F65851" w:rsidRPr="00AF7AFD" w:rsidRDefault="00F65851" w:rsidP="00AF7AFD">
      <w:pPr>
        <w:tabs>
          <w:tab w:val="left" w:pos="0"/>
          <w:tab w:val="left" w:pos="720"/>
          <w:tab w:val="left" w:pos="1440"/>
        </w:tabs>
        <w:spacing w:after="0" w:line="240" w:lineRule="auto"/>
        <w:jc w:val="both"/>
        <w:rPr>
          <w:rFonts w:ascii="Cambria" w:hAnsi="Cambria"/>
          <w:sz w:val="20"/>
          <w:szCs w:val="20"/>
          <w:lang w:val="es-US"/>
        </w:rPr>
      </w:pPr>
    </w:p>
    <w:p w14:paraId="094C86AC" w14:textId="77777777" w:rsidR="00F65851" w:rsidRPr="00AF7AFD" w:rsidRDefault="00BE21F7" w:rsidP="00AF7AFD">
      <w:pPr>
        <w:tabs>
          <w:tab w:val="left" w:pos="0"/>
          <w:tab w:val="left" w:pos="720"/>
          <w:tab w:val="left" w:pos="1440"/>
        </w:tabs>
        <w:spacing w:after="0" w:line="240" w:lineRule="auto"/>
        <w:jc w:val="both"/>
        <w:rPr>
          <w:rFonts w:ascii="Cambria" w:hAnsi="Cambria"/>
          <w:sz w:val="20"/>
          <w:szCs w:val="20"/>
          <w:lang w:val="es-ES"/>
        </w:rPr>
      </w:pPr>
      <w:r w:rsidRPr="00AF7AFD">
        <w:rPr>
          <w:rFonts w:ascii="Cambria" w:hAnsi="Cambria"/>
          <w:sz w:val="20"/>
          <w:szCs w:val="20"/>
          <w:lang w:val="es-CO"/>
        </w:rPr>
        <w:tab/>
      </w:r>
      <w:r w:rsidR="00F65851" w:rsidRPr="00AF7AFD">
        <w:rPr>
          <w:rFonts w:ascii="Cambria" w:hAnsi="Cambria"/>
          <w:sz w:val="20"/>
          <w:szCs w:val="20"/>
          <w:lang w:val="es-CO"/>
        </w:rPr>
        <w:t xml:space="preserve">En su Informe de Fondo la Comisión </w:t>
      </w:r>
      <w:r w:rsidR="00F65851" w:rsidRPr="00AF7AFD">
        <w:rPr>
          <w:rFonts w:ascii="Cambria" w:hAnsi="Cambria"/>
          <w:sz w:val="20"/>
          <w:szCs w:val="20"/>
          <w:lang w:val="es-ES" w:bidi="en-US"/>
        </w:rPr>
        <w:t xml:space="preserve">observó que no es un hecho controvertido que el Estado no proporcionó a Beatriz un procedimiento para interrumpir su embarazo. Consideró acreditado que Beatriz tenía una enfermedad de base de gravedad que ponía en riesgo su vida, salud e integridad personal en caso continuar con su embarazo y que, además, el feto producto de dicho embarazo por su condición de anencefalia, era incompatible con la vida extrauterina. También dio por probado que, como consecuencia de estas dos circunstancias, diversos médicos y juntas </w:t>
      </w:r>
      <w:r w:rsidR="00E11D1F">
        <w:rPr>
          <w:rFonts w:ascii="Cambria" w:hAnsi="Cambria"/>
          <w:sz w:val="20"/>
          <w:szCs w:val="20"/>
          <w:lang w:val="es-ES" w:bidi="en-US"/>
        </w:rPr>
        <w:t>médicas</w:t>
      </w:r>
      <w:r w:rsidR="00F65851" w:rsidRPr="00AF7AFD">
        <w:rPr>
          <w:rFonts w:ascii="Cambria" w:hAnsi="Cambria"/>
          <w:sz w:val="20"/>
          <w:szCs w:val="20"/>
          <w:lang w:val="es-ES" w:bidi="en-US"/>
        </w:rPr>
        <w:t xml:space="preserve"> determinaron que lo procedente era la interrupción del embarazo, </w:t>
      </w:r>
      <w:r w:rsidR="00E11D1F">
        <w:rPr>
          <w:rFonts w:ascii="Cambria" w:hAnsi="Cambria"/>
          <w:sz w:val="20"/>
          <w:szCs w:val="20"/>
          <w:lang w:val="es-ES" w:bidi="en-US"/>
        </w:rPr>
        <w:t xml:space="preserve">y </w:t>
      </w:r>
      <w:r w:rsidR="00F65851" w:rsidRPr="00AF7AFD">
        <w:rPr>
          <w:rFonts w:ascii="Cambria" w:hAnsi="Cambria"/>
          <w:sz w:val="20"/>
          <w:szCs w:val="20"/>
          <w:lang w:val="es-ES" w:bidi="en-US"/>
        </w:rPr>
        <w:t xml:space="preserve">que Beatriz decidió solicitar dicha interrupción en el ejercicio de su derecho a la autonomía personal o libre desarrollo de su personalidad. Se acreditó además que Beatriz </w:t>
      </w:r>
      <w:r w:rsidR="00F65851" w:rsidRPr="00AF7AFD">
        <w:rPr>
          <w:rFonts w:ascii="Cambria" w:hAnsi="Cambria"/>
          <w:sz w:val="20"/>
          <w:szCs w:val="20"/>
          <w:lang w:val="es-ES"/>
        </w:rPr>
        <w:t>estuvo internada en el Hospital Nacional de Maternidad durante prácticamente todo su embarazo debido a su condición de salud.</w:t>
      </w:r>
    </w:p>
    <w:p w14:paraId="57D71D9E" w14:textId="77777777" w:rsidR="00244EEF" w:rsidRPr="00AF7AFD" w:rsidRDefault="00244EEF" w:rsidP="00AF7AFD">
      <w:pPr>
        <w:tabs>
          <w:tab w:val="left" w:pos="0"/>
          <w:tab w:val="left" w:pos="720"/>
          <w:tab w:val="left" w:pos="1440"/>
        </w:tabs>
        <w:spacing w:after="0" w:line="240" w:lineRule="auto"/>
        <w:jc w:val="both"/>
        <w:rPr>
          <w:rFonts w:ascii="Cambria" w:hAnsi="Cambria"/>
          <w:sz w:val="20"/>
          <w:szCs w:val="20"/>
          <w:lang w:val="es-ES" w:bidi="en-US"/>
        </w:rPr>
      </w:pPr>
    </w:p>
    <w:p w14:paraId="72982BE2" w14:textId="77777777" w:rsidR="000720B2" w:rsidRDefault="000720B2" w:rsidP="00AF7AFD">
      <w:pPr>
        <w:spacing w:after="0" w:line="240" w:lineRule="auto"/>
        <w:jc w:val="both"/>
        <w:rPr>
          <w:rFonts w:ascii="Cambria" w:hAnsi="Cambria" w:cs="Calibri"/>
          <w:snapToGrid w:val="0"/>
          <w:sz w:val="20"/>
          <w:szCs w:val="20"/>
          <w:lang w:val="es-CO"/>
        </w:rPr>
      </w:pPr>
    </w:p>
    <w:p w14:paraId="52D8761C" w14:textId="77777777" w:rsidR="00244EEF" w:rsidRPr="00AF7AFD" w:rsidRDefault="00244EEF" w:rsidP="00AF7AFD">
      <w:pPr>
        <w:spacing w:after="0" w:line="240" w:lineRule="auto"/>
        <w:jc w:val="both"/>
        <w:rPr>
          <w:rFonts w:ascii="Cambria" w:hAnsi="Cambria" w:cs="Calibri"/>
          <w:snapToGrid w:val="0"/>
          <w:sz w:val="20"/>
          <w:szCs w:val="20"/>
          <w:lang w:val="es-CO"/>
        </w:rPr>
      </w:pPr>
      <w:r w:rsidRPr="00AF7AFD">
        <w:rPr>
          <w:rFonts w:ascii="Cambria" w:hAnsi="Cambria" w:cs="Calibri"/>
          <w:snapToGrid w:val="0"/>
          <w:sz w:val="20"/>
          <w:szCs w:val="20"/>
          <w:lang w:val="es-CO"/>
        </w:rPr>
        <w:t>Señor</w:t>
      </w:r>
    </w:p>
    <w:p w14:paraId="5537F77F" w14:textId="77777777" w:rsidR="00244EEF" w:rsidRPr="00AF7AFD" w:rsidRDefault="00244EEF" w:rsidP="00AF7AFD">
      <w:pPr>
        <w:suppressAutoHyphens/>
        <w:spacing w:after="0" w:line="240" w:lineRule="auto"/>
        <w:rPr>
          <w:rFonts w:ascii="Cambria" w:hAnsi="Cambria" w:cs="Calibri"/>
          <w:snapToGrid w:val="0"/>
          <w:sz w:val="20"/>
          <w:szCs w:val="20"/>
          <w:lang w:val="es-CO"/>
        </w:rPr>
      </w:pPr>
      <w:r w:rsidRPr="00AF7AFD">
        <w:rPr>
          <w:rFonts w:ascii="Cambria" w:hAnsi="Cambria" w:cs="Calibri"/>
          <w:snapToGrid w:val="0"/>
          <w:sz w:val="20"/>
          <w:szCs w:val="20"/>
          <w:lang w:val="es-CO"/>
        </w:rPr>
        <w:t>Pablo Saavedra Alessandri</w:t>
      </w:r>
    </w:p>
    <w:p w14:paraId="5F1EAF7B" w14:textId="77777777" w:rsidR="00244EEF" w:rsidRPr="00AF7AFD" w:rsidRDefault="00244EEF" w:rsidP="00AF7AFD">
      <w:pPr>
        <w:suppressAutoHyphens/>
        <w:spacing w:after="0" w:line="240" w:lineRule="auto"/>
        <w:rPr>
          <w:rFonts w:ascii="Cambria" w:hAnsi="Cambria" w:cs="Calibri"/>
          <w:snapToGrid w:val="0"/>
          <w:sz w:val="20"/>
          <w:szCs w:val="20"/>
          <w:lang w:val="es-CO"/>
        </w:rPr>
      </w:pPr>
      <w:r w:rsidRPr="00AF7AFD">
        <w:rPr>
          <w:rFonts w:ascii="Cambria" w:hAnsi="Cambria" w:cs="Calibri"/>
          <w:snapToGrid w:val="0"/>
          <w:sz w:val="20"/>
          <w:szCs w:val="20"/>
          <w:lang w:val="es-CO"/>
        </w:rPr>
        <w:t>Secretario</w:t>
      </w:r>
    </w:p>
    <w:p w14:paraId="373EF48D" w14:textId="77777777" w:rsidR="00244EEF" w:rsidRPr="00AF7AFD" w:rsidRDefault="00244EEF" w:rsidP="00AF7AFD">
      <w:pPr>
        <w:suppressAutoHyphens/>
        <w:spacing w:after="0" w:line="240" w:lineRule="auto"/>
        <w:rPr>
          <w:rFonts w:ascii="Cambria" w:hAnsi="Cambria" w:cs="Calibri"/>
          <w:snapToGrid w:val="0"/>
          <w:sz w:val="20"/>
          <w:szCs w:val="20"/>
          <w:lang w:val="es-ES_tradnl"/>
        </w:rPr>
      </w:pPr>
      <w:r w:rsidRPr="00AF7AFD">
        <w:rPr>
          <w:rFonts w:ascii="Cambria" w:hAnsi="Cambria" w:cs="Calibri"/>
          <w:snapToGrid w:val="0"/>
          <w:sz w:val="20"/>
          <w:szCs w:val="20"/>
          <w:lang w:val="es-ES_tradnl"/>
        </w:rPr>
        <w:t>Corte Interamericana de Derechos Humanos</w:t>
      </w:r>
    </w:p>
    <w:p w14:paraId="05388A29" w14:textId="77777777" w:rsidR="00244EEF" w:rsidRPr="00AF7AFD" w:rsidRDefault="00244EEF" w:rsidP="00AF7AFD">
      <w:pPr>
        <w:suppressAutoHyphens/>
        <w:spacing w:after="0" w:line="240" w:lineRule="auto"/>
        <w:rPr>
          <w:rFonts w:ascii="Cambria" w:hAnsi="Cambria" w:cs="Calibri"/>
          <w:snapToGrid w:val="0"/>
          <w:sz w:val="20"/>
          <w:szCs w:val="20"/>
          <w:lang w:val="es-ES_tradnl"/>
        </w:rPr>
      </w:pPr>
      <w:r w:rsidRPr="00AF7AFD">
        <w:rPr>
          <w:rFonts w:ascii="Cambria" w:hAnsi="Cambria" w:cs="Calibri"/>
          <w:snapToGrid w:val="0"/>
          <w:sz w:val="20"/>
          <w:szCs w:val="20"/>
          <w:lang w:val="es-ES_tradnl"/>
        </w:rPr>
        <w:t>San José, Costa Rica</w:t>
      </w:r>
    </w:p>
    <w:p w14:paraId="6518FE90" w14:textId="77777777" w:rsidR="00244EEF" w:rsidRPr="00AF7AFD" w:rsidRDefault="00244EEF" w:rsidP="00AF7AFD">
      <w:pPr>
        <w:tabs>
          <w:tab w:val="left" w:pos="0"/>
          <w:tab w:val="left" w:pos="720"/>
          <w:tab w:val="left" w:pos="1440"/>
        </w:tabs>
        <w:spacing w:after="0" w:line="240" w:lineRule="auto"/>
        <w:jc w:val="both"/>
        <w:rPr>
          <w:rFonts w:ascii="Cambria" w:hAnsi="Cambria"/>
          <w:sz w:val="20"/>
          <w:szCs w:val="20"/>
          <w:lang w:val="es-ES"/>
        </w:rPr>
      </w:pPr>
    </w:p>
    <w:p w14:paraId="0AEAD8F2" w14:textId="77777777" w:rsidR="00A169A2" w:rsidRPr="00AF7AFD" w:rsidRDefault="00BE21F7" w:rsidP="00AF7AFD">
      <w:pPr>
        <w:tabs>
          <w:tab w:val="left" w:pos="0"/>
          <w:tab w:val="left" w:pos="720"/>
          <w:tab w:val="left" w:pos="1440"/>
        </w:tabs>
        <w:spacing w:after="0" w:line="240" w:lineRule="auto"/>
        <w:jc w:val="both"/>
        <w:rPr>
          <w:rFonts w:ascii="Cambria" w:hAnsi="Cambria"/>
          <w:sz w:val="20"/>
          <w:szCs w:val="20"/>
          <w:lang w:val="es-ES" w:bidi="en-US"/>
        </w:rPr>
      </w:pPr>
      <w:r w:rsidRPr="00AF7AFD">
        <w:rPr>
          <w:rFonts w:ascii="Cambria" w:hAnsi="Cambria"/>
          <w:sz w:val="20"/>
          <w:szCs w:val="20"/>
          <w:lang w:val="es-ES" w:bidi="en-US"/>
        </w:rPr>
        <w:tab/>
      </w:r>
      <w:r w:rsidR="00F65851" w:rsidRPr="00AF7AFD">
        <w:rPr>
          <w:rFonts w:ascii="Cambria" w:hAnsi="Cambria"/>
          <w:sz w:val="20"/>
          <w:szCs w:val="20"/>
          <w:lang w:val="es-ES" w:bidi="en-US"/>
        </w:rPr>
        <w:t>La Comisión observó asimismo que el hilo conductor de la posición del Estado</w:t>
      </w:r>
      <w:r w:rsidR="001E4E24">
        <w:rPr>
          <w:rFonts w:ascii="Cambria" w:hAnsi="Cambria"/>
          <w:sz w:val="20"/>
          <w:szCs w:val="20"/>
          <w:lang w:val="es-ES" w:bidi="en-US"/>
        </w:rPr>
        <w:t xml:space="preserve"> ante la CIDH fue</w:t>
      </w:r>
      <w:r w:rsidR="00F65851" w:rsidRPr="00AF7AFD">
        <w:rPr>
          <w:rFonts w:ascii="Cambria" w:hAnsi="Cambria"/>
          <w:sz w:val="20"/>
          <w:szCs w:val="20"/>
          <w:lang w:val="es-ES" w:bidi="en-US"/>
        </w:rPr>
        <w:t xml:space="preserve"> que </w:t>
      </w:r>
      <w:r w:rsidR="00380892" w:rsidRPr="007C43F1">
        <w:rPr>
          <w:rFonts w:ascii="Cambria" w:hAnsi="Cambria"/>
          <w:sz w:val="20"/>
          <w:szCs w:val="20"/>
          <w:lang w:val="es-ES" w:bidi="en-US"/>
        </w:rPr>
        <w:t>en</w:t>
      </w:r>
      <w:r w:rsidR="00380892">
        <w:rPr>
          <w:rFonts w:ascii="Cambria" w:hAnsi="Cambria"/>
          <w:sz w:val="20"/>
          <w:szCs w:val="20"/>
          <w:lang w:val="es-ES" w:bidi="en-US"/>
        </w:rPr>
        <w:t xml:space="preserve"> </w:t>
      </w:r>
      <w:r w:rsidR="00F65851" w:rsidRPr="00AF7AFD">
        <w:rPr>
          <w:rFonts w:ascii="Cambria" w:hAnsi="Cambria"/>
          <w:sz w:val="20"/>
          <w:szCs w:val="20"/>
          <w:lang w:val="es-ES" w:bidi="en-US"/>
        </w:rPr>
        <w:t>su normativa se reconoce “como persona humana a todo ser humano desde el instante de la concepción” y que, por ello, la figura del aborto es un delito tipificado de acuerdo con su actual Código Pena</w:t>
      </w:r>
      <w:r w:rsidR="001E4E24">
        <w:rPr>
          <w:rFonts w:ascii="Cambria" w:hAnsi="Cambria"/>
          <w:sz w:val="20"/>
          <w:szCs w:val="20"/>
          <w:lang w:val="es-ES" w:bidi="en-US"/>
        </w:rPr>
        <w:t>l</w:t>
      </w:r>
      <w:r w:rsidR="00B57F0D" w:rsidRPr="00AF7AFD">
        <w:rPr>
          <w:rFonts w:ascii="Cambria" w:hAnsi="Cambria"/>
          <w:sz w:val="20"/>
          <w:szCs w:val="20"/>
          <w:lang w:val="es-ES" w:bidi="en-US"/>
        </w:rPr>
        <w:t xml:space="preserve">, el cual </w:t>
      </w:r>
      <w:r w:rsidR="00244EEF" w:rsidRPr="00AF7AFD">
        <w:rPr>
          <w:rFonts w:ascii="Cambria" w:hAnsi="Cambria"/>
          <w:sz w:val="20"/>
          <w:szCs w:val="20"/>
          <w:lang w:val="es-ES" w:bidi="en-US"/>
        </w:rPr>
        <w:t xml:space="preserve">no </w:t>
      </w:r>
      <w:r w:rsidR="00B57F0D" w:rsidRPr="00AF7AFD">
        <w:rPr>
          <w:rFonts w:ascii="Cambria" w:hAnsi="Cambria"/>
          <w:sz w:val="20"/>
          <w:szCs w:val="20"/>
          <w:lang w:val="es-ES" w:bidi="en-US"/>
        </w:rPr>
        <w:t>admite excepción alguna</w:t>
      </w:r>
      <w:r w:rsidR="00F65851" w:rsidRPr="00AF7AFD">
        <w:rPr>
          <w:rFonts w:ascii="Cambria" w:hAnsi="Cambria"/>
          <w:sz w:val="20"/>
          <w:szCs w:val="20"/>
          <w:lang w:val="es-ES" w:bidi="en-US"/>
        </w:rPr>
        <w:t>. Según la Comisión, el resultado de este marco normativo y de las demoras en las vías intentadas por Beatriz para acceder a la interrupción de su embarazo dio lugar a que el mismo avanzara significativamente. Además del riesgo permanente para la salud, vida e integridad personal al que estuvo expuesta Beatriz como consecuencia de la falta de acceso oportuno a la interrupción de su embarazo, la salud mental y la integridad psicológica de Beatriz se vieron afectadas de manera severa</w:t>
      </w:r>
      <w:r w:rsidR="00244EEF" w:rsidRPr="00AF7AFD">
        <w:rPr>
          <w:rFonts w:ascii="Cambria" w:hAnsi="Cambria"/>
          <w:sz w:val="20"/>
          <w:szCs w:val="20"/>
          <w:lang w:val="es-ES" w:bidi="en-US"/>
        </w:rPr>
        <w:t xml:space="preserve">, lo que se exacerbó con el hecho de llevar adelante un embarazo inviable y tener que enfrentar el nacimiento de un feto en tales condiciones y su previsible muerte prácticamente inmediata. </w:t>
      </w:r>
    </w:p>
    <w:p w14:paraId="6E916E57" w14:textId="77777777" w:rsidR="00F171A9" w:rsidRPr="00AF7AFD" w:rsidRDefault="00F171A9" w:rsidP="00AF7AFD">
      <w:pPr>
        <w:tabs>
          <w:tab w:val="left" w:pos="0"/>
          <w:tab w:val="left" w:pos="720"/>
          <w:tab w:val="left" w:pos="1440"/>
        </w:tabs>
        <w:spacing w:after="0" w:line="240" w:lineRule="auto"/>
        <w:jc w:val="both"/>
        <w:rPr>
          <w:rFonts w:ascii="Cambria" w:hAnsi="Cambria"/>
          <w:sz w:val="20"/>
          <w:szCs w:val="20"/>
          <w:lang w:val="es-ES"/>
        </w:rPr>
      </w:pPr>
    </w:p>
    <w:p w14:paraId="5C42E2CF" w14:textId="77777777" w:rsidR="00F65851" w:rsidRPr="00AF7AFD" w:rsidRDefault="00F171A9" w:rsidP="00AF7AFD">
      <w:pPr>
        <w:tabs>
          <w:tab w:val="left" w:pos="0"/>
          <w:tab w:val="left" w:pos="720"/>
          <w:tab w:val="left" w:pos="1440"/>
        </w:tabs>
        <w:spacing w:after="0" w:line="240" w:lineRule="auto"/>
        <w:jc w:val="both"/>
        <w:rPr>
          <w:rFonts w:ascii="Cambria" w:hAnsi="Cambria"/>
          <w:sz w:val="20"/>
          <w:szCs w:val="20"/>
          <w:lang w:val="es-ES" w:bidi="en-US"/>
        </w:rPr>
      </w:pPr>
      <w:r w:rsidRPr="00AF7AFD">
        <w:rPr>
          <w:rFonts w:ascii="Cambria" w:hAnsi="Cambria"/>
          <w:sz w:val="20"/>
          <w:szCs w:val="20"/>
          <w:lang w:val="es-ES"/>
        </w:rPr>
        <w:tab/>
      </w:r>
      <w:r w:rsidR="00F65851" w:rsidRPr="00AF7AFD">
        <w:rPr>
          <w:rFonts w:ascii="Cambria" w:hAnsi="Cambria"/>
          <w:sz w:val="20"/>
          <w:szCs w:val="20"/>
          <w:lang w:val="es-ES"/>
        </w:rPr>
        <w:t>En su Informe de Fondo</w:t>
      </w:r>
      <w:r w:rsidR="00F65851" w:rsidRPr="00AF7AFD">
        <w:rPr>
          <w:rFonts w:ascii="Cambria" w:hAnsi="Cambria"/>
          <w:sz w:val="20"/>
          <w:szCs w:val="20"/>
          <w:lang w:val="es-ES" w:bidi="en-US"/>
        </w:rPr>
        <w:t xml:space="preserve"> la CIDH analizó si la intervención del poder punitivo del Estado prohibiendo de manera absoluta la interrupción voluntaria del embarazo es compatible con el marco de protección del derecho internacional de los derechos humanos y las salvaguardias existentes desde una perspectiva convencional respecto de los derechos humanos de Beatriz</w:t>
      </w:r>
      <w:r w:rsidR="00527277">
        <w:rPr>
          <w:rFonts w:ascii="Cambria" w:hAnsi="Cambria"/>
          <w:sz w:val="20"/>
          <w:szCs w:val="20"/>
          <w:lang w:val="es-ES" w:bidi="en-US"/>
        </w:rPr>
        <w:t xml:space="preserve">, en particular a sus </w:t>
      </w:r>
      <w:r w:rsidR="00527277" w:rsidRPr="00AF7AFD">
        <w:rPr>
          <w:rFonts w:ascii="Cambria" w:hAnsi="Cambria"/>
          <w:sz w:val="20"/>
          <w:szCs w:val="20"/>
          <w:lang w:val="es-ES"/>
        </w:rPr>
        <w:t>derechos a la vida, integridad personal, vida privada y salud</w:t>
      </w:r>
      <w:r w:rsidR="00F65851" w:rsidRPr="00AF7AFD">
        <w:rPr>
          <w:rFonts w:ascii="Cambria" w:hAnsi="Cambria"/>
          <w:sz w:val="20"/>
          <w:szCs w:val="20"/>
          <w:lang w:val="es-ES" w:bidi="en-US"/>
        </w:rPr>
        <w:t xml:space="preserve">. </w:t>
      </w:r>
      <w:r w:rsidR="00F65851" w:rsidRPr="00AF7AFD">
        <w:rPr>
          <w:rFonts w:ascii="Cambria" w:hAnsi="Cambria"/>
          <w:sz w:val="20"/>
          <w:szCs w:val="20"/>
          <w:lang w:val="es-ES"/>
        </w:rPr>
        <w:t>Para ello, la CIDH aplicó un juicio de proporcionalidad evaluando:</w:t>
      </w:r>
      <w:r w:rsidR="00F65851" w:rsidRPr="00AF7AFD">
        <w:rPr>
          <w:rFonts w:ascii="Cambria" w:hAnsi="Cambria"/>
          <w:sz w:val="20"/>
          <w:szCs w:val="20"/>
          <w:lang w:val="es-CL"/>
        </w:rPr>
        <w:t xml:space="preserve"> i) la existencia de un fin legítimo; ii) la idoneidad o relación de medio a fin entre la medida y el fin; iii) la necesidad o la inexistencia de medios menos lesivos e igualmente idóneos; y iv) la proporcionalidad en sentido estricto, es decir, el balance de los intereses en juego y el grado de sacrifico de uno respecto del otro. </w:t>
      </w:r>
    </w:p>
    <w:p w14:paraId="0D040BEC" w14:textId="77777777" w:rsidR="00F65851" w:rsidRPr="00AF7AFD" w:rsidRDefault="00F65851" w:rsidP="00AF7AFD">
      <w:pPr>
        <w:pStyle w:val="ColorfulList-Accent13"/>
        <w:rPr>
          <w:rFonts w:ascii="Cambria" w:hAnsi="Cambria"/>
          <w:sz w:val="20"/>
          <w:szCs w:val="20"/>
          <w:lang w:val="es-ES"/>
        </w:rPr>
      </w:pPr>
    </w:p>
    <w:p w14:paraId="6F4A25B6" w14:textId="77777777" w:rsidR="00F65851" w:rsidRPr="00AF7AFD" w:rsidRDefault="00A169A2" w:rsidP="00AF7AFD">
      <w:pPr>
        <w:tabs>
          <w:tab w:val="left" w:pos="0"/>
          <w:tab w:val="left" w:pos="567"/>
          <w:tab w:val="left" w:pos="720"/>
          <w:tab w:val="left" w:pos="1440"/>
        </w:tabs>
        <w:spacing w:after="0" w:line="240" w:lineRule="auto"/>
        <w:jc w:val="both"/>
        <w:rPr>
          <w:rFonts w:ascii="Cambria" w:hAnsi="Cambria"/>
          <w:sz w:val="20"/>
          <w:szCs w:val="20"/>
          <w:lang w:val="es-ES"/>
        </w:rPr>
      </w:pPr>
      <w:r w:rsidRPr="00AF7AFD">
        <w:rPr>
          <w:rFonts w:ascii="Cambria" w:hAnsi="Cambria"/>
          <w:sz w:val="20"/>
          <w:szCs w:val="20"/>
          <w:lang w:val="es-ES"/>
        </w:rPr>
        <w:tab/>
      </w:r>
      <w:r w:rsidR="00F65851" w:rsidRPr="00AF7AFD">
        <w:rPr>
          <w:rFonts w:ascii="Cambria" w:hAnsi="Cambria"/>
          <w:sz w:val="20"/>
          <w:szCs w:val="20"/>
          <w:lang w:val="es-ES"/>
        </w:rPr>
        <w:t xml:space="preserve">En cuanto al primer punto, la CIDH consideró que la protección de la vida desde la </w:t>
      </w:r>
      <w:r w:rsidRPr="00AF7AFD">
        <w:rPr>
          <w:rFonts w:ascii="Cambria" w:hAnsi="Cambria"/>
          <w:sz w:val="20"/>
          <w:szCs w:val="20"/>
          <w:lang w:val="es-ES"/>
        </w:rPr>
        <w:t>concepción constituye</w:t>
      </w:r>
      <w:r w:rsidR="00F65851" w:rsidRPr="00AF7AFD">
        <w:rPr>
          <w:rFonts w:ascii="Cambria" w:hAnsi="Cambria"/>
          <w:sz w:val="20"/>
          <w:szCs w:val="20"/>
          <w:lang w:val="es-ES"/>
        </w:rPr>
        <w:t xml:space="preserve"> un fin legítimo. En cuanto a la idoneidad de la medida, la Comisión indicó que en el presente caso confluyeron dos situaciones particulares. Por una parte, el diagnóstico de inviabilidad del feto y, por otra parte, la enfermedad base de Beatriz que implicaba un alto riesgo a su salud, vida e integridad personal de continuar con el embarazo. La Comisión consideró que la criminalización de la interrupción del embarazo aun cuando existe incompatibilidad del feto con la vida extrauterina no logra satisfacer el requisito de idoneidad. La Comisión entendió que la inviabilidad de la vida del feto rompe la relación de medio a fin entre la criminalización y la finalidad que supuestamente persigue, ya que el interés protegido, vida del feto, indefectiblemente no podrá materializarse. La Comisión concluyó que esta consideración es suficiente para establecer la inconvencionalidad de la justificación estatal en situaciones de inviabilidad del feto y que, por tanto, es innecesario el análisis de las siguientes etapas del </w:t>
      </w:r>
      <w:r w:rsidR="00E67C5D" w:rsidRPr="00AF7AFD">
        <w:rPr>
          <w:rFonts w:ascii="Cambria" w:hAnsi="Cambria"/>
          <w:sz w:val="20"/>
          <w:szCs w:val="20"/>
          <w:lang w:val="es-ES"/>
        </w:rPr>
        <w:t>juicio</w:t>
      </w:r>
      <w:r w:rsidR="00F65851" w:rsidRPr="00AF7AFD">
        <w:rPr>
          <w:rFonts w:ascii="Cambria" w:hAnsi="Cambria"/>
          <w:sz w:val="20"/>
          <w:szCs w:val="20"/>
          <w:lang w:val="es-ES"/>
        </w:rPr>
        <w:t xml:space="preserve"> de proporcionalidad. </w:t>
      </w:r>
    </w:p>
    <w:p w14:paraId="0A95B42D" w14:textId="77777777" w:rsidR="00F65851" w:rsidRPr="00AF7AFD" w:rsidRDefault="00F65851" w:rsidP="00AF7AFD">
      <w:pPr>
        <w:tabs>
          <w:tab w:val="left" w:pos="0"/>
          <w:tab w:val="left" w:pos="567"/>
          <w:tab w:val="left" w:pos="720"/>
          <w:tab w:val="left" w:pos="1440"/>
        </w:tabs>
        <w:spacing w:after="0" w:line="240" w:lineRule="auto"/>
        <w:jc w:val="both"/>
        <w:rPr>
          <w:rFonts w:ascii="Cambria" w:hAnsi="Cambria"/>
          <w:sz w:val="20"/>
          <w:szCs w:val="20"/>
          <w:lang w:val="es-ES"/>
        </w:rPr>
      </w:pPr>
    </w:p>
    <w:p w14:paraId="2C2DDBF8" w14:textId="77777777" w:rsidR="00F65851" w:rsidRPr="00AF7AFD" w:rsidRDefault="00FF27EC" w:rsidP="00AF7AFD">
      <w:pPr>
        <w:tabs>
          <w:tab w:val="left" w:pos="0"/>
          <w:tab w:val="left" w:pos="567"/>
          <w:tab w:val="left" w:pos="720"/>
          <w:tab w:val="left" w:pos="1440"/>
        </w:tabs>
        <w:spacing w:after="0" w:line="240" w:lineRule="auto"/>
        <w:jc w:val="both"/>
        <w:rPr>
          <w:rFonts w:ascii="Cambria" w:hAnsi="Cambria"/>
          <w:sz w:val="20"/>
          <w:szCs w:val="20"/>
          <w:lang w:val="es-ES"/>
        </w:rPr>
      </w:pPr>
      <w:r w:rsidRPr="00AF7AFD">
        <w:rPr>
          <w:rFonts w:ascii="Cambria" w:hAnsi="Cambria"/>
          <w:sz w:val="20"/>
          <w:szCs w:val="20"/>
          <w:lang w:val="es-ES"/>
        </w:rPr>
        <w:tab/>
      </w:r>
      <w:r w:rsidR="00F65851" w:rsidRPr="00AF7AFD">
        <w:rPr>
          <w:rFonts w:ascii="Cambria" w:hAnsi="Cambria"/>
          <w:sz w:val="20"/>
          <w:szCs w:val="20"/>
          <w:lang w:val="es-ES"/>
        </w:rPr>
        <w:t xml:space="preserve">Sin perjuicio de ello, la CIDH consideró pertinente pronunciarse sobre la proporcionalidad en sentido estricto relacionada con la ponderación entre el sacrificio del derecho restringido y los beneficios de la medida en términos del logro del fin perseguido. La Comisión concluyó que las afectaciones y riesgos a los derechos a la vida, salud, integridad personal y vida privada como consecuencia de la falta de acceso a la interrupción del embarazo, a su vez derivada de la criminalización absoluta del aborto, alcanzaron el grado más elevado de severidad. En contraste, el grado de logro de la finalidad perseguida, esto es, la protección de la vida del feto era nulo debido a su condición de anencefalia. La CIDH consideró </w:t>
      </w:r>
      <w:r w:rsidRPr="00AF7AFD">
        <w:rPr>
          <w:rFonts w:ascii="Cambria" w:hAnsi="Cambria"/>
          <w:sz w:val="20"/>
          <w:szCs w:val="20"/>
          <w:lang w:val="es-ES"/>
        </w:rPr>
        <w:t>que,</w:t>
      </w:r>
      <w:r w:rsidR="00F65851" w:rsidRPr="00AF7AFD">
        <w:rPr>
          <w:rFonts w:ascii="Cambria" w:hAnsi="Cambria"/>
          <w:sz w:val="20"/>
          <w:szCs w:val="20"/>
          <w:lang w:val="es-ES"/>
        </w:rPr>
        <w:t xml:space="preserve"> en el presente caso, aún si el feto no hubiera sido anencefálico, la protección de la vida desde la concepción, debido a su carácter gradual e incremental, no puede tener el mismo peso en la ponderación cuando existe riesgo de vida o riesgo elevado a la salud o a la integridad personal</w:t>
      </w:r>
      <w:r w:rsidR="006728D2">
        <w:rPr>
          <w:rFonts w:ascii="Cambria" w:hAnsi="Cambria"/>
          <w:sz w:val="20"/>
          <w:szCs w:val="20"/>
          <w:lang w:val="es-ES"/>
        </w:rPr>
        <w:t xml:space="preserve"> </w:t>
      </w:r>
      <w:r w:rsidR="006728D2" w:rsidRPr="007C43F1">
        <w:rPr>
          <w:rFonts w:ascii="Cambria" w:hAnsi="Cambria"/>
          <w:sz w:val="20"/>
          <w:szCs w:val="20"/>
          <w:lang w:val="es-ES"/>
        </w:rPr>
        <w:t>de la madre</w:t>
      </w:r>
      <w:r w:rsidR="00F65851" w:rsidRPr="00AF7AFD">
        <w:rPr>
          <w:rFonts w:ascii="Cambria" w:hAnsi="Cambria"/>
          <w:sz w:val="20"/>
          <w:szCs w:val="20"/>
          <w:lang w:val="es-ES"/>
        </w:rPr>
        <w:t xml:space="preserve">.  </w:t>
      </w:r>
    </w:p>
    <w:p w14:paraId="765C86B7" w14:textId="77777777" w:rsidR="00F65851" w:rsidRPr="00AF7AFD" w:rsidRDefault="00F65851" w:rsidP="00AF7AFD">
      <w:pPr>
        <w:tabs>
          <w:tab w:val="left" w:pos="0"/>
          <w:tab w:val="left" w:pos="567"/>
          <w:tab w:val="left" w:pos="720"/>
          <w:tab w:val="left" w:pos="1440"/>
        </w:tabs>
        <w:spacing w:after="0" w:line="240" w:lineRule="auto"/>
        <w:jc w:val="both"/>
        <w:rPr>
          <w:rFonts w:ascii="Cambria" w:hAnsi="Cambria"/>
          <w:sz w:val="20"/>
          <w:szCs w:val="20"/>
          <w:lang w:val="es-ES"/>
        </w:rPr>
      </w:pPr>
    </w:p>
    <w:p w14:paraId="56A92193" w14:textId="77777777" w:rsidR="00244EEF" w:rsidRPr="00AF7AFD" w:rsidRDefault="00FF27EC" w:rsidP="00AF7AFD">
      <w:pPr>
        <w:tabs>
          <w:tab w:val="left" w:pos="0"/>
          <w:tab w:val="left" w:pos="567"/>
          <w:tab w:val="left" w:pos="720"/>
          <w:tab w:val="left" w:pos="1440"/>
        </w:tabs>
        <w:spacing w:after="0" w:line="240" w:lineRule="auto"/>
        <w:jc w:val="both"/>
        <w:rPr>
          <w:rFonts w:ascii="Cambria" w:hAnsi="Cambria"/>
          <w:sz w:val="20"/>
          <w:szCs w:val="20"/>
          <w:lang w:val="es-ES"/>
        </w:rPr>
      </w:pPr>
      <w:r w:rsidRPr="00AF7AFD">
        <w:rPr>
          <w:rFonts w:ascii="Cambria" w:hAnsi="Cambria"/>
          <w:sz w:val="20"/>
          <w:szCs w:val="20"/>
          <w:lang w:val="es-ES"/>
        </w:rPr>
        <w:tab/>
      </w:r>
      <w:r w:rsidR="00F65851" w:rsidRPr="00AF7AFD">
        <w:rPr>
          <w:rFonts w:ascii="Cambria" w:hAnsi="Cambria"/>
          <w:sz w:val="20"/>
          <w:szCs w:val="20"/>
          <w:lang w:val="es-PE"/>
        </w:rPr>
        <w:t xml:space="preserve">La </w:t>
      </w:r>
      <w:r w:rsidR="00F65851" w:rsidRPr="00AF7AFD">
        <w:rPr>
          <w:rFonts w:ascii="Cambria" w:hAnsi="Cambria"/>
          <w:sz w:val="20"/>
          <w:szCs w:val="20"/>
          <w:lang w:val="es-ES"/>
        </w:rPr>
        <w:t>Comisión</w:t>
      </w:r>
      <w:r w:rsidR="00F65851" w:rsidRPr="00AF7AFD">
        <w:rPr>
          <w:rFonts w:ascii="Cambria" w:hAnsi="Cambria"/>
          <w:sz w:val="20"/>
          <w:szCs w:val="20"/>
          <w:lang w:val="es-PE"/>
        </w:rPr>
        <w:t xml:space="preserve"> observó por otra parte que la penalización del aborto, en particular la prohibición bajo toda circunstancia y sin excepción, no solo puede incentivar a que las mujeres recurran a abortos ilegales e inseguros, sino que pone indefectiblemente en riesgo su salud física, e incluso su vida misma, así como su salud mental, sobre todo de aquellas mujeres en situación de pobreza y mayor vulnerabilidad. En tal sentido</w:t>
      </w:r>
      <w:r w:rsidR="00F65851" w:rsidRPr="00AF7AFD">
        <w:rPr>
          <w:rFonts w:ascii="Cambria" w:hAnsi="Cambria"/>
          <w:sz w:val="20"/>
          <w:szCs w:val="20"/>
          <w:lang w:val="es-ES"/>
        </w:rPr>
        <w:t xml:space="preserve">, concluyó que el Estado, pretendiendo brindarle una protección absoluta al </w:t>
      </w:r>
      <w:r w:rsidR="00F65851" w:rsidRPr="00AF7AFD">
        <w:rPr>
          <w:rFonts w:ascii="Cambria" w:hAnsi="Cambria"/>
          <w:i/>
          <w:sz w:val="20"/>
          <w:szCs w:val="20"/>
          <w:lang w:val="es-ES"/>
        </w:rPr>
        <w:t>nasciturus</w:t>
      </w:r>
      <w:r w:rsidR="00F65851" w:rsidRPr="00AF7AFD">
        <w:rPr>
          <w:rFonts w:ascii="Cambria" w:hAnsi="Cambria"/>
          <w:sz w:val="20"/>
          <w:szCs w:val="20"/>
          <w:lang w:val="es-ES"/>
        </w:rPr>
        <w:t>, incurrió en actuación desproporcionada y contraria a las garantías convencionales</w:t>
      </w:r>
      <w:r w:rsidR="00244EEF" w:rsidRPr="00AF7AFD">
        <w:rPr>
          <w:rFonts w:ascii="Cambria" w:hAnsi="Cambria"/>
          <w:sz w:val="20"/>
          <w:szCs w:val="20"/>
          <w:lang w:val="es-ES"/>
        </w:rPr>
        <w:t>, lo cual en el presente caso constituyeron violaciones a los derechos a la vida, integridad personal, vida privada y salud, tanto física como mental. Además</w:t>
      </w:r>
      <w:r w:rsidR="000124ED">
        <w:rPr>
          <w:rFonts w:ascii="Cambria" w:hAnsi="Cambria"/>
          <w:sz w:val="20"/>
          <w:szCs w:val="20"/>
          <w:lang w:val="es-ES"/>
        </w:rPr>
        <w:t>,</w:t>
      </w:r>
      <w:r w:rsidR="00244EEF" w:rsidRPr="00AF7AFD">
        <w:rPr>
          <w:rFonts w:ascii="Cambria" w:hAnsi="Cambria"/>
          <w:sz w:val="20"/>
          <w:szCs w:val="20"/>
          <w:lang w:val="es-ES"/>
        </w:rPr>
        <w:t xml:space="preserve"> la CIDH consideró que el dolor y sufrimiento que atravesó Beatriz desde que solicitó la interrupción del embarazo y aún con posterioridad al nacimiento y muerte, constituyeron tratos crueles, inhumanos y degradantes. </w:t>
      </w:r>
    </w:p>
    <w:p w14:paraId="3179F16D" w14:textId="77777777" w:rsidR="00F65851" w:rsidRPr="00AF7AFD" w:rsidRDefault="00F65851" w:rsidP="00AF7AFD">
      <w:pPr>
        <w:tabs>
          <w:tab w:val="left" w:pos="0"/>
          <w:tab w:val="left" w:pos="567"/>
          <w:tab w:val="left" w:pos="720"/>
          <w:tab w:val="left" w:pos="1440"/>
        </w:tabs>
        <w:spacing w:after="0" w:line="240" w:lineRule="auto"/>
        <w:jc w:val="both"/>
        <w:rPr>
          <w:rFonts w:ascii="Cambria" w:hAnsi="Cambria"/>
          <w:sz w:val="20"/>
          <w:szCs w:val="20"/>
          <w:lang w:val="es-ES"/>
        </w:rPr>
      </w:pPr>
    </w:p>
    <w:p w14:paraId="2E2FA117" w14:textId="77777777" w:rsidR="00244EEF" w:rsidRPr="00AF7AFD" w:rsidRDefault="00FF27EC" w:rsidP="00AF7AFD">
      <w:pPr>
        <w:tabs>
          <w:tab w:val="left" w:pos="0"/>
          <w:tab w:val="left" w:pos="567"/>
          <w:tab w:val="left" w:pos="720"/>
          <w:tab w:val="left" w:pos="1440"/>
        </w:tabs>
        <w:spacing w:after="0" w:line="240" w:lineRule="auto"/>
        <w:jc w:val="both"/>
        <w:rPr>
          <w:rFonts w:ascii="Cambria" w:hAnsi="Cambria"/>
          <w:sz w:val="20"/>
          <w:szCs w:val="20"/>
          <w:lang w:val="es-ES"/>
        </w:rPr>
      </w:pPr>
      <w:r w:rsidRPr="00AF7AFD">
        <w:rPr>
          <w:rFonts w:ascii="Cambria" w:hAnsi="Cambria"/>
          <w:sz w:val="20"/>
          <w:szCs w:val="20"/>
          <w:lang w:val="es-ES"/>
        </w:rPr>
        <w:tab/>
      </w:r>
      <w:r w:rsidR="00244EEF" w:rsidRPr="00AF7AFD">
        <w:rPr>
          <w:rFonts w:ascii="Cambria" w:hAnsi="Cambria"/>
          <w:sz w:val="20"/>
          <w:szCs w:val="20"/>
          <w:lang w:val="es-ES"/>
        </w:rPr>
        <w:t xml:space="preserve">En su </w:t>
      </w:r>
      <w:r w:rsidR="002E04AE" w:rsidRPr="00AF7AFD">
        <w:rPr>
          <w:rFonts w:ascii="Cambria" w:hAnsi="Cambria"/>
          <w:sz w:val="20"/>
          <w:szCs w:val="20"/>
          <w:lang w:val="es-ES"/>
        </w:rPr>
        <w:t>I</w:t>
      </w:r>
      <w:r w:rsidR="00244EEF" w:rsidRPr="00AF7AFD">
        <w:rPr>
          <w:rFonts w:ascii="Cambria" w:hAnsi="Cambria"/>
          <w:sz w:val="20"/>
          <w:szCs w:val="20"/>
          <w:lang w:val="es-ES"/>
        </w:rPr>
        <w:t xml:space="preserve">nforme de </w:t>
      </w:r>
      <w:r w:rsidR="002E04AE" w:rsidRPr="00AF7AFD">
        <w:rPr>
          <w:rFonts w:ascii="Cambria" w:hAnsi="Cambria"/>
          <w:sz w:val="20"/>
          <w:szCs w:val="20"/>
          <w:lang w:val="es-ES"/>
        </w:rPr>
        <w:t>F</w:t>
      </w:r>
      <w:r w:rsidR="00244EEF" w:rsidRPr="00AF7AFD">
        <w:rPr>
          <w:rFonts w:ascii="Cambria" w:hAnsi="Cambria"/>
          <w:sz w:val="20"/>
          <w:szCs w:val="20"/>
          <w:lang w:val="es-ES"/>
        </w:rPr>
        <w:t xml:space="preserve">ondo, la Comisión observó además que el anterior Código Penal de El Salvador tenía una disposición que excluía de responsabilidad penal los supuestos de aborto “terapéutico, eugenésico y ético”. No </w:t>
      </w:r>
      <w:r w:rsidR="00244EEF" w:rsidRPr="00AF7AFD">
        <w:rPr>
          <w:rFonts w:ascii="Cambria" w:hAnsi="Cambria"/>
          <w:sz w:val="20"/>
          <w:szCs w:val="20"/>
          <w:lang w:val="es-ES"/>
        </w:rPr>
        <w:lastRenderedPageBreak/>
        <w:t>obstante, dicha norma fue excluida al aprobarse el vigente Código Penal. De esta forma, la CIDH consideró que el Estado incumplió su obligación de abstenerse de adoptar medidas regresivas al crear un obstáculo legal frente a un servicio de salud que estuvo disponible en El Salvador en ciertas circunstancias.</w:t>
      </w:r>
    </w:p>
    <w:p w14:paraId="7443B58F" w14:textId="77777777" w:rsidR="00244EEF" w:rsidRPr="00AF7AFD" w:rsidRDefault="00244EEF" w:rsidP="00AF7AFD">
      <w:pPr>
        <w:tabs>
          <w:tab w:val="left" w:pos="0"/>
          <w:tab w:val="left" w:pos="567"/>
          <w:tab w:val="left" w:pos="720"/>
          <w:tab w:val="left" w:pos="1440"/>
        </w:tabs>
        <w:spacing w:after="0" w:line="240" w:lineRule="auto"/>
        <w:jc w:val="both"/>
        <w:rPr>
          <w:rFonts w:ascii="Cambria" w:hAnsi="Cambria"/>
          <w:sz w:val="20"/>
          <w:szCs w:val="20"/>
          <w:lang w:val="es-ES"/>
        </w:rPr>
      </w:pPr>
    </w:p>
    <w:p w14:paraId="649936B8" w14:textId="77777777" w:rsidR="00F65851" w:rsidRPr="00AF7AFD" w:rsidRDefault="00244EEF" w:rsidP="00AF7AFD">
      <w:pPr>
        <w:tabs>
          <w:tab w:val="left" w:pos="0"/>
          <w:tab w:val="left" w:pos="567"/>
          <w:tab w:val="left" w:pos="720"/>
          <w:tab w:val="left" w:pos="1440"/>
        </w:tabs>
        <w:spacing w:after="0" w:line="240" w:lineRule="auto"/>
        <w:jc w:val="both"/>
        <w:rPr>
          <w:rFonts w:ascii="Cambria" w:hAnsi="Cambria"/>
          <w:sz w:val="20"/>
          <w:szCs w:val="20"/>
          <w:lang w:val="es-ES"/>
        </w:rPr>
      </w:pPr>
      <w:r w:rsidRPr="00AF7AFD">
        <w:rPr>
          <w:rFonts w:ascii="Cambria" w:hAnsi="Cambria"/>
          <w:sz w:val="20"/>
          <w:szCs w:val="20"/>
          <w:lang w:val="es-ES"/>
        </w:rPr>
        <w:tab/>
      </w:r>
      <w:r w:rsidR="00F65851" w:rsidRPr="00AF7AFD">
        <w:rPr>
          <w:rFonts w:ascii="Cambria" w:hAnsi="Cambria"/>
          <w:sz w:val="20"/>
          <w:szCs w:val="20"/>
          <w:lang w:val="es-ES"/>
        </w:rPr>
        <w:t>Por otra parte, además de determinar que la criminalización absoluta del aborto result</w:t>
      </w:r>
      <w:r w:rsidRPr="00AF7AFD">
        <w:rPr>
          <w:rFonts w:ascii="Cambria" w:hAnsi="Cambria"/>
          <w:sz w:val="20"/>
          <w:szCs w:val="20"/>
          <w:lang w:val="es-ES"/>
        </w:rPr>
        <w:t>ó</w:t>
      </w:r>
      <w:r w:rsidR="00F65851" w:rsidRPr="00AF7AFD">
        <w:rPr>
          <w:rFonts w:ascii="Cambria" w:hAnsi="Cambria"/>
          <w:sz w:val="20"/>
          <w:szCs w:val="20"/>
          <w:lang w:val="es-ES"/>
        </w:rPr>
        <w:t xml:space="preserve"> desproporcionada, la Comisión estableció que l</w:t>
      </w:r>
      <w:r w:rsidR="00F65851" w:rsidRPr="00AF7AFD">
        <w:rPr>
          <w:rFonts w:ascii="Cambria" w:hAnsi="Cambria"/>
          <w:sz w:val="20"/>
          <w:szCs w:val="20"/>
          <w:lang w:val="es-CL"/>
        </w:rPr>
        <w:t xml:space="preserve">a legislación penal relacionada con el aborto no resulta clara ni precisa, generando una situación de incertidumbre al personal médico sobre lo que es lícito o no realizar, con un necesario impacto en el acceso a los servicios de salud reproductiva. Con base en ello, </w:t>
      </w:r>
      <w:r w:rsidR="00F65851" w:rsidRPr="00AF7AFD">
        <w:rPr>
          <w:rFonts w:ascii="Cambria" w:hAnsi="Cambria"/>
          <w:sz w:val="20"/>
          <w:szCs w:val="20"/>
          <w:lang w:val="es-ES"/>
        </w:rPr>
        <w:t>la Comisión consideró que la tipificación del aborto en el Código Penal de El Salvador resulta violatoria del principio de legalidad.</w:t>
      </w:r>
    </w:p>
    <w:p w14:paraId="64D50FC7" w14:textId="77777777" w:rsidR="00244EEF" w:rsidRPr="00AF7AFD" w:rsidRDefault="00244EEF" w:rsidP="00AF7AFD">
      <w:pPr>
        <w:tabs>
          <w:tab w:val="left" w:pos="0"/>
          <w:tab w:val="left" w:pos="567"/>
          <w:tab w:val="left" w:pos="720"/>
          <w:tab w:val="left" w:pos="1440"/>
        </w:tabs>
        <w:spacing w:after="0" w:line="240" w:lineRule="auto"/>
        <w:jc w:val="both"/>
        <w:rPr>
          <w:rFonts w:ascii="Cambria" w:hAnsi="Cambria"/>
          <w:sz w:val="20"/>
          <w:szCs w:val="20"/>
          <w:lang w:val="es-ES"/>
        </w:rPr>
      </w:pPr>
    </w:p>
    <w:p w14:paraId="5CCB2473" w14:textId="77777777" w:rsidR="00F65851" w:rsidRPr="00AF7AFD" w:rsidRDefault="00244EEF" w:rsidP="00AF7AFD">
      <w:pPr>
        <w:tabs>
          <w:tab w:val="left" w:pos="0"/>
          <w:tab w:val="left" w:pos="567"/>
          <w:tab w:val="left" w:pos="720"/>
          <w:tab w:val="left" w:pos="1440"/>
        </w:tabs>
        <w:spacing w:after="0" w:line="240" w:lineRule="auto"/>
        <w:jc w:val="both"/>
        <w:rPr>
          <w:rFonts w:ascii="Cambria" w:hAnsi="Cambria"/>
          <w:sz w:val="20"/>
          <w:szCs w:val="20"/>
          <w:lang w:val="es-ES"/>
        </w:rPr>
      </w:pPr>
      <w:r w:rsidRPr="00AF7AFD">
        <w:rPr>
          <w:rFonts w:ascii="Cambria" w:hAnsi="Cambria"/>
          <w:sz w:val="20"/>
          <w:szCs w:val="20"/>
          <w:lang w:val="es-ES"/>
        </w:rPr>
        <w:tab/>
      </w:r>
      <w:r w:rsidR="00F65851" w:rsidRPr="00AF7AFD">
        <w:rPr>
          <w:rFonts w:ascii="Cambria" w:hAnsi="Cambria"/>
          <w:sz w:val="20"/>
          <w:szCs w:val="20"/>
          <w:lang w:val="es-ES"/>
        </w:rPr>
        <w:t>Asimismo,</w:t>
      </w:r>
      <w:r w:rsidR="00F65851" w:rsidRPr="00AF7AFD">
        <w:rPr>
          <w:rFonts w:ascii="Cambria" w:hAnsi="Cambria"/>
          <w:sz w:val="20"/>
          <w:szCs w:val="20"/>
          <w:lang w:val="es-VE"/>
        </w:rPr>
        <w:t xml:space="preserve"> la Comisión consideró que, tanto el proceso como la decisión de la Sala Constitucional, no constituyeron un recurso adecuado ni efectivo para remediar las afectaciones a los derechos a la vida, salud, integridad y vida privada. Además, el tribunal no sólo no adoptó un enfoque de género, sino que tomó en consideración informes de una institución que efectuó afirmaciones estereotipadas y revictimizantes en contra de la víctima.</w:t>
      </w:r>
      <w:r w:rsidR="00F65851" w:rsidRPr="00AF7AFD">
        <w:rPr>
          <w:rFonts w:ascii="Cambria" w:hAnsi="Cambria"/>
          <w:sz w:val="20"/>
          <w:szCs w:val="20"/>
          <w:lang w:val="es-PE"/>
        </w:rPr>
        <w:t xml:space="preserve"> </w:t>
      </w:r>
      <w:r w:rsidR="00F65851" w:rsidRPr="00AF7AFD">
        <w:rPr>
          <w:rFonts w:ascii="Cambria" w:hAnsi="Cambria"/>
          <w:sz w:val="20"/>
          <w:szCs w:val="20"/>
          <w:lang w:val="es-ES"/>
        </w:rPr>
        <w:t>La Comisión concluyó igualmente que el Estado violó el derecho a contar con una decisión en un plazo razonable en el marco del recurso de amparo.</w:t>
      </w:r>
    </w:p>
    <w:p w14:paraId="784243D7" w14:textId="77777777" w:rsidR="00F65851" w:rsidRPr="00AF7AFD" w:rsidRDefault="00F65851" w:rsidP="00AF7AFD">
      <w:pPr>
        <w:tabs>
          <w:tab w:val="left" w:pos="0"/>
          <w:tab w:val="left" w:pos="567"/>
          <w:tab w:val="left" w:pos="720"/>
          <w:tab w:val="left" w:pos="1440"/>
        </w:tabs>
        <w:spacing w:after="0" w:line="240" w:lineRule="auto"/>
        <w:jc w:val="both"/>
        <w:rPr>
          <w:rFonts w:ascii="Cambria" w:hAnsi="Cambria"/>
          <w:sz w:val="20"/>
          <w:szCs w:val="20"/>
          <w:lang w:val="es-ES"/>
        </w:rPr>
      </w:pPr>
    </w:p>
    <w:p w14:paraId="213176CF" w14:textId="77777777" w:rsidR="00F65851" w:rsidRPr="00AF7AFD" w:rsidRDefault="00FF27EC" w:rsidP="00AF7AFD">
      <w:pPr>
        <w:tabs>
          <w:tab w:val="left" w:pos="0"/>
          <w:tab w:val="left" w:pos="567"/>
          <w:tab w:val="left" w:pos="720"/>
          <w:tab w:val="left" w:pos="1440"/>
        </w:tabs>
        <w:spacing w:after="0" w:line="240" w:lineRule="auto"/>
        <w:jc w:val="both"/>
        <w:rPr>
          <w:rFonts w:ascii="Cambria" w:hAnsi="Cambria"/>
          <w:sz w:val="20"/>
          <w:szCs w:val="20"/>
          <w:lang w:val="es-ES"/>
        </w:rPr>
      </w:pPr>
      <w:r w:rsidRPr="00AF7AFD">
        <w:rPr>
          <w:rFonts w:ascii="Cambria" w:hAnsi="Cambria"/>
          <w:sz w:val="20"/>
          <w:szCs w:val="20"/>
          <w:lang w:val="es-ES"/>
        </w:rPr>
        <w:tab/>
      </w:r>
      <w:r w:rsidR="00F65851" w:rsidRPr="00AF7AFD">
        <w:rPr>
          <w:rFonts w:ascii="Cambria" w:hAnsi="Cambria"/>
          <w:sz w:val="20"/>
          <w:szCs w:val="20"/>
          <w:lang w:val="es-ES"/>
        </w:rPr>
        <w:t xml:space="preserve">Por último, la CIDH observó que en el </w:t>
      </w:r>
      <w:r w:rsidRPr="00AF7AFD">
        <w:rPr>
          <w:rFonts w:ascii="Cambria" w:hAnsi="Cambria"/>
          <w:sz w:val="20"/>
          <w:szCs w:val="20"/>
          <w:lang w:val="es-ES"/>
        </w:rPr>
        <w:t xml:space="preserve">presente </w:t>
      </w:r>
      <w:r w:rsidR="00F65851" w:rsidRPr="00AF7AFD">
        <w:rPr>
          <w:rFonts w:ascii="Cambria" w:hAnsi="Cambria"/>
          <w:sz w:val="20"/>
          <w:szCs w:val="20"/>
          <w:lang w:val="es-ES"/>
        </w:rPr>
        <w:t xml:space="preserve">caso confluyeron en forma interseccional múltiples factores de vulnerabilidad y riesgo de discriminación asociados a </w:t>
      </w:r>
      <w:r w:rsidRPr="00AF7AFD">
        <w:rPr>
          <w:rFonts w:ascii="Cambria" w:hAnsi="Cambria"/>
          <w:sz w:val="20"/>
          <w:szCs w:val="20"/>
          <w:lang w:val="es-ES"/>
        </w:rPr>
        <w:t>la</w:t>
      </w:r>
      <w:r w:rsidR="00F65851" w:rsidRPr="00AF7AFD">
        <w:rPr>
          <w:rFonts w:ascii="Cambria" w:hAnsi="Cambria"/>
          <w:sz w:val="20"/>
          <w:szCs w:val="20"/>
          <w:lang w:val="es-ES"/>
        </w:rPr>
        <w:t xml:space="preserve"> condición de mujer joven y persona en situación de pobreza. </w:t>
      </w:r>
      <w:r w:rsidRPr="00AF7AFD">
        <w:rPr>
          <w:rFonts w:ascii="Cambria" w:hAnsi="Cambria"/>
          <w:sz w:val="20"/>
          <w:szCs w:val="20"/>
          <w:lang w:val="es-ES"/>
        </w:rPr>
        <w:t>L</w:t>
      </w:r>
      <w:r w:rsidR="00F65851" w:rsidRPr="00AF7AFD">
        <w:rPr>
          <w:rFonts w:ascii="Cambria" w:hAnsi="Cambria"/>
          <w:sz w:val="20"/>
          <w:szCs w:val="20"/>
          <w:lang w:val="es-ES"/>
        </w:rPr>
        <w:t xml:space="preserve">a </w:t>
      </w:r>
      <w:r w:rsidR="00F65851" w:rsidRPr="00AF7AFD">
        <w:rPr>
          <w:rFonts w:ascii="Cambria" w:hAnsi="Cambria"/>
          <w:sz w:val="20"/>
          <w:szCs w:val="20"/>
          <w:lang w:val="es-CL"/>
        </w:rPr>
        <w:t>Comisión</w:t>
      </w:r>
      <w:r w:rsidR="00F65851" w:rsidRPr="00AF7AFD">
        <w:rPr>
          <w:rFonts w:ascii="Cambria" w:hAnsi="Cambria"/>
          <w:sz w:val="20"/>
          <w:szCs w:val="20"/>
          <w:lang w:val="es-ES"/>
        </w:rPr>
        <w:t xml:space="preserve"> consideró que, debido a las leyes penales, políticas y prácticas vigentes en El Salvador, así como las omisiones de las autoridades, Beatriz sufrió discriminación y violencia derivadas de su condición de mujer y situación de pobreza. </w:t>
      </w:r>
      <w:r w:rsidRPr="00AF7AFD">
        <w:rPr>
          <w:rFonts w:ascii="Cambria" w:hAnsi="Cambria"/>
          <w:sz w:val="20"/>
          <w:szCs w:val="20"/>
          <w:lang w:val="es-ES"/>
        </w:rPr>
        <w:t>Estableció</w:t>
      </w:r>
      <w:r w:rsidR="00F65851" w:rsidRPr="00AF7AFD">
        <w:rPr>
          <w:rFonts w:ascii="Cambria" w:hAnsi="Cambria"/>
          <w:sz w:val="20"/>
          <w:szCs w:val="20"/>
          <w:lang w:val="es-ES"/>
        </w:rPr>
        <w:t xml:space="preserve"> además que el Estado es responsable por la violación del derecho a la integridad personal de los familiares de Beatriz, quien falleció </w:t>
      </w:r>
      <w:r w:rsidR="00F65851" w:rsidRPr="00AF7AFD">
        <w:rPr>
          <w:rFonts w:ascii="Cambria" w:hAnsi="Cambria"/>
          <w:sz w:val="20"/>
          <w:szCs w:val="20"/>
          <w:lang w:val="es-US"/>
        </w:rPr>
        <w:t>el 8 de octubre de 2017.</w:t>
      </w:r>
    </w:p>
    <w:p w14:paraId="01A7A5AA" w14:textId="77777777" w:rsidR="00F65851" w:rsidRPr="00AF7AFD" w:rsidRDefault="00F65851" w:rsidP="00AF7AFD">
      <w:pPr>
        <w:pStyle w:val="parrafos"/>
        <w:rPr>
          <w:rFonts w:eastAsia="Calibri"/>
          <w:color w:val="auto"/>
          <w:bdr w:val="none" w:sz="0" w:space="0" w:color="auto"/>
          <w:lang w:val="es-ES"/>
        </w:rPr>
      </w:pPr>
    </w:p>
    <w:p w14:paraId="178B22A8" w14:textId="77777777" w:rsidR="00A851A9" w:rsidRPr="00AF7AFD" w:rsidRDefault="00FF27EC" w:rsidP="00AF7AFD">
      <w:pPr>
        <w:tabs>
          <w:tab w:val="left" w:pos="0"/>
          <w:tab w:val="left" w:pos="567"/>
          <w:tab w:val="left" w:pos="720"/>
          <w:tab w:val="left" w:pos="1440"/>
        </w:tabs>
        <w:spacing w:after="0" w:line="240" w:lineRule="auto"/>
        <w:jc w:val="both"/>
        <w:rPr>
          <w:rFonts w:ascii="Cambria" w:hAnsi="Cambria" w:cs="Calibri"/>
          <w:sz w:val="20"/>
          <w:szCs w:val="20"/>
          <w:lang w:val="es-CO"/>
        </w:rPr>
      </w:pPr>
      <w:r w:rsidRPr="00AF7AFD">
        <w:rPr>
          <w:rFonts w:ascii="Cambria" w:hAnsi="Cambria"/>
          <w:sz w:val="20"/>
          <w:szCs w:val="20"/>
          <w:lang w:val="es-ES"/>
        </w:rPr>
        <w:tab/>
      </w:r>
      <w:r w:rsidR="00251530" w:rsidRPr="00AF7AFD">
        <w:rPr>
          <w:rFonts w:ascii="Cambria" w:hAnsi="Cambria" w:cs="Calibri"/>
          <w:sz w:val="20"/>
          <w:szCs w:val="20"/>
          <w:lang w:val="es-CO"/>
        </w:rPr>
        <w:t xml:space="preserve">El Estado </w:t>
      </w:r>
      <w:r w:rsidR="00A72AC8">
        <w:rPr>
          <w:rFonts w:ascii="Cambria" w:hAnsi="Cambria" w:cs="Calibri"/>
          <w:sz w:val="20"/>
          <w:szCs w:val="20"/>
          <w:lang w:val="es-CO"/>
        </w:rPr>
        <w:t>depositó el instrumento de ratificación de</w:t>
      </w:r>
      <w:r w:rsidR="00251530" w:rsidRPr="00AF7AFD">
        <w:rPr>
          <w:rFonts w:ascii="Cambria" w:hAnsi="Cambria" w:cs="Calibri"/>
          <w:sz w:val="20"/>
          <w:szCs w:val="20"/>
          <w:lang w:val="es-CO"/>
        </w:rPr>
        <w:t xml:space="preserve"> la Convención Americ</w:t>
      </w:r>
      <w:r w:rsidR="00A851A9" w:rsidRPr="00AF7AFD">
        <w:rPr>
          <w:rFonts w:ascii="Cambria" w:hAnsi="Cambria" w:cs="Calibri"/>
          <w:sz w:val="20"/>
          <w:szCs w:val="20"/>
          <w:lang w:val="es-CO"/>
        </w:rPr>
        <w:t>ana sobre Derechos Humanos el 23</w:t>
      </w:r>
      <w:r w:rsidR="00251530" w:rsidRPr="00AF7AFD">
        <w:rPr>
          <w:rFonts w:ascii="Cambria" w:hAnsi="Cambria" w:cs="Calibri"/>
          <w:sz w:val="20"/>
          <w:szCs w:val="20"/>
          <w:lang w:val="es-CO"/>
        </w:rPr>
        <w:t xml:space="preserve"> de </w:t>
      </w:r>
      <w:r w:rsidR="00A851A9" w:rsidRPr="00AF7AFD">
        <w:rPr>
          <w:rFonts w:ascii="Cambria" w:hAnsi="Cambria" w:cs="Calibri"/>
          <w:sz w:val="20"/>
          <w:szCs w:val="20"/>
          <w:lang w:val="es-CO"/>
        </w:rPr>
        <w:t>junio de 1978</w:t>
      </w:r>
      <w:r w:rsidR="00251530" w:rsidRPr="00AF7AFD">
        <w:rPr>
          <w:rFonts w:ascii="Cambria" w:hAnsi="Cambria" w:cs="Calibri"/>
          <w:sz w:val="20"/>
          <w:szCs w:val="20"/>
          <w:lang w:val="es-CO"/>
        </w:rPr>
        <w:t xml:space="preserve"> y aceptó la competenc</w:t>
      </w:r>
      <w:r w:rsidR="00A851A9" w:rsidRPr="00AF7AFD">
        <w:rPr>
          <w:rFonts w:ascii="Cambria" w:hAnsi="Cambria" w:cs="Calibri"/>
          <w:sz w:val="20"/>
          <w:szCs w:val="20"/>
          <w:lang w:val="es-CO"/>
        </w:rPr>
        <w:t>ia contenciosa de la Corte el 6</w:t>
      </w:r>
      <w:r w:rsidR="00251530" w:rsidRPr="00AF7AFD">
        <w:rPr>
          <w:rFonts w:ascii="Cambria" w:hAnsi="Cambria" w:cs="Calibri"/>
          <w:sz w:val="20"/>
          <w:szCs w:val="20"/>
          <w:lang w:val="es-CO"/>
        </w:rPr>
        <w:t xml:space="preserve"> de </w:t>
      </w:r>
      <w:r w:rsidR="00A851A9" w:rsidRPr="00AF7AFD">
        <w:rPr>
          <w:rFonts w:ascii="Cambria" w:hAnsi="Cambria" w:cs="Calibri"/>
          <w:sz w:val="20"/>
          <w:szCs w:val="20"/>
          <w:lang w:val="es-CO"/>
        </w:rPr>
        <w:t>junio de 1995</w:t>
      </w:r>
      <w:r w:rsidR="00251530" w:rsidRPr="00AF7AFD">
        <w:rPr>
          <w:rFonts w:ascii="Cambria" w:hAnsi="Cambria" w:cs="Calibri"/>
          <w:sz w:val="20"/>
          <w:szCs w:val="20"/>
          <w:lang w:val="es-CO"/>
        </w:rPr>
        <w:t>.</w:t>
      </w:r>
      <w:r w:rsidR="004933D4" w:rsidRPr="00AF7AFD">
        <w:rPr>
          <w:rFonts w:ascii="Cambria" w:hAnsi="Cambria" w:cs="Calibri"/>
          <w:sz w:val="20"/>
          <w:szCs w:val="20"/>
          <w:lang w:val="es-CO"/>
        </w:rPr>
        <w:t xml:space="preserve"> Asimismo, ratificó la Convención de Belem do Pará el 13 de noviembre de 1995 y depositó dicho instrumento el 26 de enero de 1996. </w:t>
      </w:r>
    </w:p>
    <w:p w14:paraId="4FBD4DD7" w14:textId="77777777" w:rsidR="00251530" w:rsidRPr="00AF7AFD" w:rsidRDefault="00251530" w:rsidP="00AF7AFD">
      <w:pPr>
        <w:widowControl w:val="0"/>
        <w:autoSpaceDE w:val="0"/>
        <w:autoSpaceDN w:val="0"/>
        <w:adjustRightInd w:val="0"/>
        <w:spacing w:after="0" w:line="240" w:lineRule="auto"/>
        <w:jc w:val="both"/>
        <w:rPr>
          <w:rFonts w:ascii="Cambria" w:hAnsi="Cambria" w:cs="Calibri"/>
          <w:sz w:val="20"/>
          <w:szCs w:val="20"/>
          <w:lang w:val="es-ES"/>
        </w:rPr>
      </w:pPr>
    </w:p>
    <w:p w14:paraId="2C600909" w14:textId="77777777" w:rsidR="00030BCB" w:rsidRPr="00AF7AFD" w:rsidRDefault="00030BCB" w:rsidP="00AF7AFD">
      <w:pPr>
        <w:widowControl w:val="0"/>
        <w:autoSpaceDE w:val="0"/>
        <w:autoSpaceDN w:val="0"/>
        <w:adjustRightInd w:val="0"/>
        <w:spacing w:after="0" w:line="240" w:lineRule="auto"/>
        <w:ind w:firstLine="720"/>
        <w:jc w:val="both"/>
        <w:rPr>
          <w:rFonts w:ascii="Cambria" w:hAnsi="Cambria" w:cs="Calibri"/>
          <w:sz w:val="20"/>
          <w:szCs w:val="20"/>
          <w:lang w:val="es-CO"/>
        </w:rPr>
      </w:pPr>
      <w:r w:rsidRPr="00AF7AFD">
        <w:rPr>
          <w:rFonts w:ascii="Cambria" w:hAnsi="Cambria" w:cs="Calibri"/>
          <w:sz w:val="20"/>
          <w:szCs w:val="20"/>
          <w:lang w:val="es-CO"/>
        </w:rPr>
        <w:t xml:space="preserve">La Comisión ha designado a la Comisionada </w:t>
      </w:r>
      <w:r w:rsidR="006728D2" w:rsidRPr="007C43F1">
        <w:rPr>
          <w:rFonts w:ascii="Cambria" w:hAnsi="Cambria" w:cs="Calibri"/>
          <w:sz w:val="20"/>
          <w:szCs w:val="20"/>
          <w:lang w:val="es-CO"/>
        </w:rPr>
        <w:t>Julissa Mantilla</w:t>
      </w:r>
      <w:r w:rsidR="006728D2">
        <w:rPr>
          <w:rFonts w:ascii="Cambria" w:hAnsi="Cambria" w:cs="Calibri"/>
          <w:sz w:val="20"/>
          <w:szCs w:val="20"/>
          <w:lang w:val="es-CO"/>
        </w:rPr>
        <w:t xml:space="preserve"> </w:t>
      </w:r>
      <w:r w:rsidR="00475670">
        <w:rPr>
          <w:rFonts w:ascii="Cambria" w:hAnsi="Cambria" w:cs="Calibri"/>
          <w:sz w:val="20"/>
          <w:szCs w:val="20"/>
          <w:lang w:val="es-CO"/>
        </w:rPr>
        <w:t xml:space="preserve">y a la Secretaria Ejecutiva </w:t>
      </w:r>
      <w:r w:rsidR="00475670" w:rsidRPr="00475670">
        <w:rPr>
          <w:rFonts w:ascii="Cambria" w:hAnsi="Cambria" w:cs="Calibri"/>
          <w:sz w:val="20"/>
          <w:szCs w:val="20"/>
          <w:lang w:val="es-CO"/>
        </w:rPr>
        <w:t>Tania Reneaum Panszi</w:t>
      </w:r>
      <w:r w:rsidR="00475670">
        <w:rPr>
          <w:rFonts w:ascii="Cambria" w:hAnsi="Cambria" w:cs="Calibri"/>
          <w:sz w:val="20"/>
          <w:szCs w:val="20"/>
          <w:lang w:val="es-CO"/>
        </w:rPr>
        <w:t xml:space="preserve"> </w:t>
      </w:r>
      <w:r w:rsidR="00251530" w:rsidRPr="00AF7AFD">
        <w:rPr>
          <w:rFonts w:ascii="Cambria" w:hAnsi="Cambria" w:cs="Calibri"/>
          <w:sz w:val="20"/>
          <w:szCs w:val="20"/>
          <w:lang w:val="es-CO"/>
        </w:rPr>
        <w:t>como su delegad</w:t>
      </w:r>
      <w:r w:rsidR="000B6378" w:rsidRPr="00AF7AFD">
        <w:rPr>
          <w:rFonts w:ascii="Cambria" w:hAnsi="Cambria" w:cs="Calibri"/>
          <w:sz w:val="20"/>
          <w:szCs w:val="20"/>
          <w:lang w:val="es-CO"/>
        </w:rPr>
        <w:t>a</w:t>
      </w:r>
      <w:r w:rsidR="00475670">
        <w:rPr>
          <w:rFonts w:ascii="Cambria" w:hAnsi="Cambria" w:cs="Calibri"/>
          <w:sz w:val="20"/>
          <w:szCs w:val="20"/>
          <w:lang w:val="es-CO"/>
        </w:rPr>
        <w:t>s</w:t>
      </w:r>
      <w:r w:rsidR="00251530" w:rsidRPr="00AF7AFD">
        <w:rPr>
          <w:rFonts w:ascii="Cambria" w:hAnsi="Cambria" w:cs="Calibri"/>
          <w:sz w:val="20"/>
          <w:szCs w:val="20"/>
          <w:lang w:val="es-CO"/>
        </w:rPr>
        <w:t>. Asimismo,</w:t>
      </w:r>
      <w:r w:rsidRPr="00AF7AFD">
        <w:rPr>
          <w:rFonts w:ascii="Cambria" w:hAnsi="Cambria" w:cs="Calibri"/>
          <w:sz w:val="20"/>
          <w:szCs w:val="20"/>
          <w:lang w:val="es-CO"/>
        </w:rPr>
        <w:t xml:space="preserve"> </w:t>
      </w:r>
      <w:r w:rsidR="000B6378" w:rsidRPr="00AF7AFD">
        <w:rPr>
          <w:rFonts w:ascii="Cambria" w:hAnsi="Cambria" w:cs="Calibri"/>
          <w:sz w:val="20"/>
          <w:szCs w:val="20"/>
          <w:lang w:val="es-CO"/>
        </w:rPr>
        <w:t xml:space="preserve">Marisol Blanchard Vera, Secretaria Ejecutiva Adjunta, Jorge Meza Flores y Erick Acuña Pereda, </w:t>
      </w:r>
      <w:r w:rsidR="00A851A9" w:rsidRPr="00AF7AFD">
        <w:rPr>
          <w:rFonts w:ascii="Cambria" w:hAnsi="Cambria" w:cs="Calibri"/>
          <w:sz w:val="20"/>
          <w:szCs w:val="20"/>
          <w:lang w:val="es-CO"/>
        </w:rPr>
        <w:t>abogado</w:t>
      </w:r>
      <w:r w:rsidR="000B6378" w:rsidRPr="00AF7AFD">
        <w:rPr>
          <w:rFonts w:ascii="Cambria" w:hAnsi="Cambria" w:cs="Calibri"/>
          <w:sz w:val="20"/>
          <w:szCs w:val="20"/>
          <w:lang w:val="es-CO"/>
        </w:rPr>
        <w:t>s</w:t>
      </w:r>
      <w:r w:rsidRPr="00AF7AFD">
        <w:rPr>
          <w:rFonts w:ascii="Cambria" w:hAnsi="Cambria" w:cs="Calibri"/>
          <w:sz w:val="20"/>
          <w:szCs w:val="20"/>
          <w:lang w:val="es-CO"/>
        </w:rPr>
        <w:t xml:space="preserve"> de la Secretaría Ejecutiva de la CIDH, a</w:t>
      </w:r>
      <w:r w:rsidR="00A851A9" w:rsidRPr="00AF7AFD">
        <w:rPr>
          <w:rFonts w:ascii="Cambria" w:hAnsi="Cambria" w:cs="Calibri"/>
          <w:sz w:val="20"/>
          <w:szCs w:val="20"/>
          <w:lang w:val="es-CO"/>
        </w:rPr>
        <w:t>ctuará</w:t>
      </w:r>
      <w:r w:rsidR="000B6378" w:rsidRPr="00AF7AFD">
        <w:rPr>
          <w:rFonts w:ascii="Cambria" w:hAnsi="Cambria" w:cs="Calibri"/>
          <w:sz w:val="20"/>
          <w:szCs w:val="20"/>
          <w:lang w:val="es-CO"/>
        </w:rPr>
        <w:t>n</w:t>
      </w:r>
      <w:r w:rsidR="00026E4B" w:rsidRPr="00AF7AFD">
        <w:rPr>
          <w:rFonts w:ascii="Cambria" w:hAnsi="Cambria" w:cs="Calibri"/>
          <w:sz w:val="20"/>
          <w:szCs w:val="20"/>
          <w:lang w:val="es-CO"/>
        </w:rPr>
        <w:t xml:space="preserve"> como asesor</w:t>
      </w:r>
      <w:r w:rsidR="000B6378" w:rsidRPr="00AF7AFD">
        <w:rPr>
          <w:rFonts w:ascii="Cambria" w:hAnsi="Cambria" w:cs="Calibri"/>
          <w:sz w:val="20"/>
          <w:szCs w:val="20"/>
          <w:lang w:val="es-CO"/>
        </w:rPr>
        <w:t>a y asesores</w:t>
      </w:r>
      <w:r w:rsidR="00026E4B" w:rsidRPr="00AF7AFD">
        <w:rPr>
          <w:rFonts w:ascii="Cambria" w:hAnsi="Cambria" w:cs="Calibri"/>
          <w:sz w:val="20"/>
          <w:szCs w:val="20"/>
          <w:lang w:val="es-CO"/>
        </w:rPr>
        <w:t xml:space="preserve"> legal</w:t>
      </w:r>
      <w:r w:rsidR="000B6378" w:rsidRPr="00AF7AFD">
        <w:rPr>
          <w:rFonts w:ascii="Cambria" w:hAnsi="Cambria" w:cs="Calibri"/>
          <w:sz w:val="20"/>
          <w:szCs w:val="20"/>
          <w:lang w:val="es-CO"/>
        </w:rPr>
        <w:t>es</w:t>
      </w:r>
      <w:r w:rsidR="00026E4B" w:rsidRPr="00AF7AFD">
        <w:rPr>
          <w:rFonts w:ascii="Cambria" w:hAnsi="Cambria" w:cs="Calibri"/>
          <w:sz w:val="20"/>
          <w:szCs w:val="20"/>
          <w:lang w:val="es-CO"/>
        </w:rPr>
        <w:t>.</w:t>
      </w:r>
    </w:p>
    <w:p w14:paraId="7B476AD8" w14:textId="77777777" w:rsidR="00251530" w:rsidRPr="00AF7AFD" w:rsidRDefault="00251530" w:rsidP="00AF7AFD">
      <w:pPr>
        <w:autoSpaceDE w:val="0"/>
        <w:autoSpaceDN w:val="0"/>
        <w:adjustRightInd w:val="0"/>
        <w:spacing w:after="0" w:line="240" w:lineRule="auto"/>
        <w:ind w:right="480"/>
        <w:jc w:val="both"/>
        <w:rPr>
          <w:rFonts w:ascii="Cambria" w:hAnsi="Cambria" w:cs="Calibri"/>
          <w:b/>
          <w:sz w:val="20"/>
          <w:szCs w:val="20"/>
          <w:lang w:val="es-CO"/>
        </w:rPr>
      </w:pPr>
    </w:p>
    <w:p w14:paraId="7DDAD2BB" w14:textId="77777777" w:rsidR="00770763" w:rsidRPr="00AF7AFD" w:rsidRDefault="00251530" w:rsidP="00AF7AFD">
      <w:pPr>
        <w:widowControl w:val="0"/>
        <w:autoSpaceDE w:val="0"/>
        <w:autoSpaceDN w:val="0"/>
        <w:adjustRightInd w:val="0"/>
        <w:spacing w:after="0" w:line="240" w:lineRule="auto"/>
        <w:ind w:firstLine="720"/>
        <w:jc w:val="both"/>
        <w:rPr>
          <w:rFonts w:ascii="Cambria" w:hAnsi="Cambria" w:cs="Calibri"/>
          <w:sz w:val="20"/>
          <w:szCs w:val="20"/>
          <w:lang w:val="es-CO"/>
        </w:rPr>
      </w:pPr>
      <w:r w:rsidRPr="00AF7AFD">
        <w:rPr>
          <w:rFonts w:ascii="Cambria" w:hAnsi="Cambria" w:cs="Calibri"/>
          <w:sz w:val="20"/>
          <w:szCs w:val="20"/>
          <w:lang w:val="es-CO"/>
        </w:rPr>
        <w:t xml:space="preserve">De conformidad con el artículo 35 del Reglamento de la Corte Interamericana, la Comisión adjunta copia del </w:t>
      </w:r>
      <w:r w:rsidR="007B50C1" w:rsidRPr="00AF7AFD">
        <w:rPr>
          <w:rFonts w:ascii="Cambria" w:hAnsi="Cambria" w:cs="Calibri"/>
          <w:sz w:val="20"/>
          <w:szCs w:val="20"/>
          <w:lang w:val="es-CO"/>
        </w:rPr>
        <w:t>I</w:t>
      </w:r>
      <w:r w:rsidRPr="00AF7AFD">
        <w:rPr>
          <w:rFonts w:ascii="Cambria" w:hAnsi="Cambria" w:cs="Calibri"/>
          <w:sz w:val="20"/>
          <w:szCs w:val="20"/>
          <w:lang w:val="es-CO"/>
        </w:rPr>
        <w:t>nforme</w:t>
      </w:r>
      <w:r w:rsidR="007B50C1" w:rsidRPr="00AF7AFD">
        <w:rPr>
          <w:rFonts w:ascii="Cambria" w:hAnsi="Cambria" w:cs="Calibri"/>
          <w:sz w:val="20"/>
          <w:szCs w:val="20"/>
          <w:lang w:val="es-CO"/>
        </w:rPr>
        <w:t xml:space="preserve"> de Fondo</w:t>
      </w:r>
      <w:r w:rsidRPr="00AF7AFD">
        <w:rPr>
          <w:rFonts w:ascii="Cambria" w:hAnsi="Cambria" w:cs="Calibri"/>
          <w:sz w:val="20"/>
          <w:szCs w:val="20"/>
          <w:lang w:val="es-CO"/>
        </w:rPr>
        <w:t xml:space="preserve"> </w:t>
      </w:r>
      <w:r w:rsidR="007B50C1" w:rsidRPr="00AF7AFD">
        <w:rPr>
          <w:rFonts w:ascii="Cambria" w:hAnsi="Cambria" w:cs="Calibri"/>
          <w:sz w:val="20"/>
          <w:szCs w:val="20"/>
          <w:lang w:val="es-CO"/>
        </w:rPr>
        <w:t>Nº 9</w:t>
      </w:r>
      <w:r w:rsidR="00BE3F28" w:rsidRPr="00AF7AFD">
        <w:rPr>
          <w:rFonts w:ascii="Cambria" w:hAnsi="Cambria" w:cs="Calibri"/>
          <w:sz w:val="20"/>
          <w:szCs w:val="20"/>
          <w:lang w:val="es-CO"/>
        </w:rPr>
        <w:t>/</w:t>
      </w:r>
      <w:r w:rsidR="007B50C1" w:rsidRPr="00AF7AFD">
        <w:rPr>
          <w:rFonts w:ascii="Cambria" w:hAnsi="Cambria" w:cs="Calibri"/>
          <w:sz w:val="20"/>
          <w:szCs w:val="20"/>
          <w:lang w:val="es-CO"/>
        </w:rPr>
        <w:t>20</w:t>
      </w:r>
      <w:r w:rsidRPr="00AF7AFD">
        <w:rPr>
          <w:rFonts w:ascii="Cambria" w:hAnsi="Cambria" w:cs="Calibri"/>
          <w:sz w:val="20"/>
          <w:szCs w:val="20"/>
          <w:lang w:val="es-CO"/>
        </w:rPr>
        <w:t xml:space="preserve"> elaborado en observancia del artículo 50 de la Convención, así como copia de la totalidad del expediente ante la Comisión Interamericana (Apéndice I) y los anexos </w:t>
      </w:r>
      <w:r w:rsidR="000830A2" w:rsidRPr="00AF7AFD">
        <w:rPr>
          <w:rFonts w:ascii="Cambria" w:hAnsi="Cambria" w:cs="Calibri"/>
          <w:sz w:val="20"/>
          <w:szCs w:val="20"/>
          <w:lang w:val="es-CO"/>
        </w:rPr>
        <w:t>utilizados en la elaboración del informe</w:t>
      </w:r>
      <w:r w:rsidRPr="00AF7AFD">
        <w:rPr>
          <w:rFonts w:ascii="Cambria" w:hAnsi="Cambria" w:cs="Calibri"/>
          <w:sz w:val="20"/>
          <w:szCs w:val="20"/>
          <w:lang w:val="es-CO"/>
        </w:rPr>
        <w:t xml:space="preserve"> (Anexos). Dicho informe de fondo </w:t>
      </w:r>
      <w:r w:rsidRPr="00AF7AFD">
        <w:rPr>
          <w:rFonts w:ascii="Cambria" w:hAnsi="Cambria" w:cs="Calibri"/>
          <w:sz w:val="20"/>
          <w:szCs w:val="20"/>
          <w:lang w:val="es-AR"/>
        </w:rPr>
        <w:t xml:space="preserve">fue notificado al Estado de </w:t>
      </w:r>
      <w:r w:rsidR="000830A2" w:rsidRPr="00AF7AFD">
        <w:rPr>
          <w:rFonts w:ascii="Cambria" w:hAnsi="Cambria" w:cs="Calibri"/>
          <w:sz w:val="20"/>
          <w:szCs w:val="20"/>
          <w:lang w:val="es-AR"/>
        </w:rPr>
        <w:t>El Salvador</w:t>
      </w:r>
      <w:r w:rsidR="004230E5" w:rsidRPr="00AF7AFD">
        <w:rPr>
          <w:rFonts w:ascii="Cambria" w:hAnsi="Cambria" w:cs="Calibri"/>
          <w:sz w:val="20"/>
          <w:szCs w:val="20"/>
          <w:lang w:val="es-AR"/>
        </w:rPr>
        <w:t xml:space="preserve"> </w:t>
      </w:r>
      <w:r w:rsidR="007B50C1" w:rsidRPr="00AF7AFD">
        <w:rPr>
          <w:rFonts w:ascii="Cambria" w:hAnsi="Cambria" w:cs="Calibri"/>
          <w:sz w:val="20"/>
          <w:szCs w:val="20"/>
          <w:lang w:val="es-AR"/>
        </w:rPr>
        <w:t>el</w:t>
      </w:r>
      <w:r w:rsidRPr="00AF7AFD">
        <w:rPr>
          <w:rFonts w:ascii="Cambria" w:hAnsi="Cambria" w:cs="Calibri"/>
          <w:sz w:val="20"/>
          <w:szCs w:val="20"/>
          <w:lang w:val="es-AR"/>
        </w:rPr>
        <w:t xml:space="preserve"> </w:t>
      </w:r>
      <w:r w:rsidR="007B50C1" w:rsidRPr="00AF7AFD">
        <w:rPr>
          <w:rFonts w:ascii="Cambria" w:hAnsi="Cambria" w:cs="Calibri"/>
          <w:sz w:val="20"/>
          <w:szCs w:val="20"/>
          <w:lang w:val="es-AR"/>
        </w:rPr>
        <w:t>5 de noviembre</w:t>
      </w:r>
      <w:r w:rsidR="004E4A7E" w:rsidRPr="00AF7AFD">
        <w:rPr>
          <w:rFonts w:ascii="Cambria" w:hAnsi="Cambria" w:cs="Calibri"/>
          <w:sz w:val="20"/>
          <w:szCs w:val="20"/>
          <w:lang w:val="es-AR"/>
        </w:rPr>
        <w:t xml:space="preserve"> </w:t>
      </w:r>
      <w:r w:rsidRPr="00AF7AFD">
        <w:rPr>
          <w:rFonts w:ascii="Cambria" w:hAnsi="Cambria" w:cs="Calibri"/>
          <w:sz w:val="20"/>
          <w:szCs w:val="20"/>
          <w:lang w:val="es-AR"/>
        </w:rPr>
        <w:t>de 20</w:t>
      </w:r>
      <w:r w:rsidR="007B50C1" w:rsidRPr="00AF7AFD">
        <w:rPr>
          <w:rFonts w:ascii="Cambria" w:hAnsi="Cambria" w:cs="Calibri"/>
          <w:sz w:val="20"/>
          <w:szCs w:val="20"/>
          <w:lang w:val="es-AR"/>
        </w:rPr>
        <w:t>2</w:t>
      </w:r>
      <w:r w:rsidR="0033178F">
        <w:rPr>
          <w:rFonts w:ascii="Cambria" w:hAnsi="Cambria" w:cs="Calibri"/>
          <w:sz w:val="20"/>
          <w:szCs w:val="20"/>
          <w:lang w:val="es-AR"/>
        </w:rPr>
        <w:t>0</w:t>
      </w:r>
      <w:r w:rsidRPr="00AF7AFD">
        <w:rPr>
          <w:rFonts w:ascii="Cambria" w:hAnsi="Cambria" w:cs="Calibri"/>
          <w:sz w:val="20"/>
          <w:szCs w:val="20"/>
          <w:lang w:val="es-AR"/>
        </w:rPr>
        <w:t xml:space="preserve">, otorgándole un plazo de dos meses para informar sobre el cumplimiento de las </w:t>
      </w:r>
      <w:r w:rsidRPr="00AF7AFD">
        <w:rPr>
          <w:rFonts w:ascii="Cambria" w:hAnsi="Cambria" w:cs="Calibri"/>
          <w:sz w:val="20"/>
          <w:szCs w:val="20"/>
          <w:lang w:val="es-CO"/>
        </w:rPr>
        <w:t>recomendaciones</w:t>
      </w:r>
      <w:r w:rsidRPr="00AF7AFD">
        <w:rPr>
          <w:rFonts w:ascii="Cambria" w:hAnsi="Cambria" w:cs="Calibri"/>
          <w:sz w:val="20"/>
          <w:szCs w:val="20"/>
          <w:lang w:val="es-AR"/>
        </w:rPr>
        <w:t xml:space="preserve">. </w:t>
      </w:r>
      <w:r w:rsidR="0033178F">
        <w:rPr>
          <w:rFonts w:ascii="Cambria" w:hAnsi="Cambria"/>
          <w:sz w:val="20"/>
          <w:szCs w:val="20"/>
          <w:lang w:val="es-AR"/>
        </w:rPr>
        <w:t xml:space="preserve">La Comisión concedió </w:t>
      </w:r>
      <w:r w:rsidR="00475670">
        <w:rPr>
          <w:rFonts w:ascii="Cambria" w:hAnsi="Cambria"/>
          <w:sz w:val="20"/>
          <w:szCs w:val="20"/>
          <w:lang w:val="es-AR"/>
        </w:rPr>
        <w:t>cuatro</w:t>
      </w:r>
      <w:r w:rsidR="0033178F">
        <w:rPr>
          <w:rFonts w:ascii="Cambria" w:hAnsi="Cambria"/>
          <w:sz w:val="20"/>
          <w:szCs w:val="20"/>
          <w:lang w:val="es-AR"/>
        </w:rPr>
        <w:t xml:space="preserve"> prórrogas con el objetivo de que el Estado pudiera implementar las recomendaciones realizadas por la CIDH en su informe de fondo. </w:t>
      </w:r>
      <w:r w:rsidR="0033178F">
        <w:rPr>
          <w:rFonts w:ascii="Cambria" w:hAnsi="Cambria" w:cs="Calibri"/>
          <w:color w:val="000000"/>
          <w:sz w:val="20"/>
          <w:szCs w:val="20"/>
          <w:lang w:val="es-AR"/>
        </w:rPr>
        <w:t>E</w:t>
      </w:r>
      <w:r w:rsidR="00465A2D" w:rsidRPr="00220370">
        <w:rPr>
          <w:rFonts w:ascii="Cambria" w:hAnsi="Cambria" w:cs="Calibri"/>
          <w:color w:val="000000"/>
          <w:sz w:val="20"/>
          <w:szCs w:val="20"/>
          <w:lang w:val="es-AR"/>
        </w:rPr>
        <w:t xml:space="preserve">l </w:t>
      </w:r>
      <w:r w:rsidR="00475670">
        <w:rPr>
          <w:rFonts w:ascii="Cambria" w:hAnsi="Cambria" w:cs="Calibri"/>
          <w:color w:val="000000"/>
          <w:sz w:val="20"/>
          <w:szCs w:val="20"/>
          <w:lang w:val="es-AR"/>
        </w:rPr>
        <w:t>20 de diciembre</w:t>
      </w:r>
      <w:r w:rsidR="0033178F">
        <w:rPr>
          <w:rFonts w:ascii="Cambria" w:hAnsi="Cambria" w:cs="Calibri"/>
          <w:color w:val="000000"/>
          <w:sz w:val="20"/>
          <w:szCs w:val="20"/>
          <w:lang w:val="es-AR"/>
        </w:rPr>
        <w:t xml:space="preserve"> de 2021</w:t>
      </w:r>
      <w:r w:rsidR="00465A2D" w:rsidRPr="00220370">
        <w:rPr>
          <w:rFonts w:ascii="Cambria" w:hAnsi="Cambria" w:cs="Calibri"/>
          <w:color w:val="000000"/>
          <w:sz w:val="20"/>
          <w:szCs w:val="20"/>
          <w:lang w:val="es-AR"/>
        </w:rPr>
        <w:t xml:space="preserve"> el Estado </w:t>
      </w:r>
      <w:r w:rsidR="00465A2D">
        <w:rPr>
          <w:rFonts w:ascii="Cambria" w:hAnsi="Cambria" w:cs="Calibri"/>
          <w:color w:val="000000"/>
          <w:sz w:val="20"/>
          <w:szCs w:val="20"/>
          <w:lang w:val="es-AR"/>
        </w:rPr>
        <w:t xml:space="preserve">solicitó una </w:t>
      </w:r>
      <w:r w:rsidR="00475670">
        <w:rPr>
          <w:rFonts w:ascii="Cambria" w:hAnsi="Cambria" w:cs="Calibri"/>
          <w:color w:val="000000"/>
          <w:sz w:val="20"/>
          <w:szCs w:val="20"/>
          <w:lang w:val="es-AR"/>
        </w:rPr>
        <w:t>quinta</w:t>
      </w:r>
      <w:r w:rsidR="00465A2D">
        <w:rPr>
          <w:rFonts w:ascii="Cambria" w:hAnsi="Cambria" w:cs="Calibri"/>
          <w:color w:val="000000"/>
          <w:sz w:val="20"/>
          <w:szCs w:val="20"/>
          <w:lang w:val="es-AR"/>
        </w:rPr>
        <w:t xml:space="preserve"> prórroga</w:t>
      </w:r>
      <w:r w:rsidR="00465A2D" w:rsidRPr="00220370">
        <w:rPr>
          <w:rFonts w:ascii="Cambria" w:hAnsi="Cambria" w:cs="Calibri"/>
          <w:color w:val="000000"/>
          <w:sz w:val="20"/>
          <w:szCs w:val="20"/>
          <w:lang w:val="es-AR"/>
        </w:rPr>
        <w:t xml:space="preserve">. </w:t>
      </w:r>
      <w:r w:rsidR="0033178F">
        <w:rPr>
          <w:rFonts w:ascii="Cambria" w:hAnsi="Cambria"/>
          <w:sz w:val="20"/>
          <w:szCs w:val="20"/>
          <w:lang w:val="es-AR"/>
        </w:rPr>
        <w:t xml:space="preserve">Tras evaluar el estado de cumplimiento de las recomendaciones, la Comisión observó que, a un año </w:t>
      </w:r>
      <w:r w:rsidR="00475670">
        <w:rPr>
          <w:rFonts w:ascii="Cambria" w:hAnsi="Cambria"/>
          <w:sz w:val="20"/>
          <w:szCs w:val="20"/>
          <w:lang w:val="es-AR"/>
        </w:rPr>
        <w:t xml:space="preserve">y dos meses </w:t>
      </w:r>
      <w:r w:rsidR="0033178F">
        <w:rPr>
          <w:rFonts w:ascii="Cambria" w:hAnsi="Cambria"/>
          <w:sz w:val="20"/>
          <w:szCs w:val="20"/>
          <w:lang w:val="es-AR"/>
        </w:rPr>
        <w:t>de notificado el informe de fondo,</w:t>
      </w:r>
      <w:r w:rsidR="0033178F" w:rsidRPr="0033178F">
        <w:rPr>
          <w:rFonts w:ascii="Cambria" w:eastAsia="Times New Roman" w:hAnsi="Cambria" w:cs="Cambria"/>
          <w:sz w:val="20"/>
          <w:szCs w:val="20"/>
          <w:lang w:val="es-CO"/>
        </w:rPr>
        <w:t xml:space="preserve"> </w:t>
      </w:r>
      <w:r w:rsidR="0033178F" w:rsidRPr="00220370">
        <w:rPr>
          <w:rFonts w:ascii="Cambria" w:eastAsia="Times New Roman" w:hAnsi="Cambria" w:cs="Cambria"/>
          <w:sz w:val="20"/>
          <w:szCs w:val="20"/>
          <w:lang w:val="es-CO"/>
        </w:rPr>
        <w:t xml:space="preserve">no se han cumplido las recomendaciones y no existe </w:t>
      </w:r>
      <w:r w:rsidR="0033178F" w:rsidRPr="00220370">
        <w:rPr>
          <w:rFonts w:ascii="Cambria" w:hAnsi="Cambria"/>
          <w:sz w:val="20"/>
          <w:szCs w:val="20"/>
          <w:lang w:val="es-CO"/>
        </w:rPr>
        <w:t>expectativa de cumplimiento integral ante la CIDH en un plazo razonable.</w:t>
      </w:r>
      <w:r w:rsidR="00965FD5">
        <w:rPr>
          <w:rFonts w:ascii="Cambria" w:hAnsi="Cambria"/>
          <w:sz w:val="20"/>
          <w:szCs w:val="20"/>
          <w:lang w:val="es-CO"/>
        </w:rPr>
        <w:t xml:space="preserve"> </w:t>
      </w:r>
      <w:r w:rsidR="0033178F">
        <w:rPr>
          <w:rFonts w:ascii="Cambria" w:hAnsi="Cambria"/>
          <w:sz w:val="20"/>
          <w:szCs w:val="20"/>
          <w:lang w:val="es-AR"/>
        </w:rPr>
        <w:t xml:space="preserve"> Con base en ello, y teniendo en cuenta la necesidad de justicia y reparación </w:t>
      </w:r>
      <w:r w:rsidR="00965FD5">
        <w:rPr>
          <w:rFonts w:ascii="Cambria" w:hAnsi="Cambria"/>
          <w:sz w:val="20"/>
          <w:szCs w:val="20"/>
          <w:lang w:val="es-AR"/>
        </w:rPr>
        <w:t>para</w:t>
      </w:r>
      <w:r w:rsidR="0033178F">
        <w:rPr>
          <w:rFonts w:ascii="Cambria" w:hAnsi="Cambria"/>
          <w:sz w:val="20"/>
          <w:szCs w:val="20"/>
          <w:lang w:val="es-AR"/>
        </w:rPr>
        <w:t xml:space="preserve"> las víctimas y la voluntad expresada por la parte peticionaria, la Comisión decidió remitir el </w:t>
      </w:r>
      <w:r w:rsidR="00965FD5">
        <w:rPr>
          <w:rFonts w:ascii="Cambria" w:hAnsi="Cambria"/>
          <w:sz w:val="20"/>
          <w:szCs w:val="20"/>
          <w:lang w:val="es-AR"/>
        </w:rPr>
        <w:t xml:space="preserve">presente </w:t>
      </w:r>
      <w:r w:rsidR="0033178F">
        <w:rPr>
          <w:rFonts w:ascii="Cambria" w:hAnsi="Cambria"/>
          <w:sz w:val="20"/>
          <w:szCs w:val="20"/>
          <w:lang w:val="es-AR"/>
        </w:rPr>
        <w:t xml:space="preserve">caso a la jurisdicción de la Corte Interamericana. </w:t>
      </w:r>
      <w:r w:rsidRPr="00AF7AFD">
        <w:rPr>
          <w:rFonts w:ascii="Cambria" w:hAnsi="Cambria" w:cs="Calibri"/>
          <w:sz w:val="20"/>
          <w:szCs w:val="20"/>
          <w:lang w:val="es-CO"/>
        </w:rPr>
        <w:t>La Comisión Interamericana somete a la jurisdicción de la Corte la totalidad de los hechos y violaciones de de</w:t>
      </w:r>
      <w:r w:rsidR="00036129" w:rsidRPr="00AF7AFD">
        <w:rPr>
          <w:rFonts w:ascii="Cambria" w:hAnsi="Cambria" w:cs="Calibri"/>
          <w:sz w:val="20"/>
          <w:szCs w:val="20"/>
          <w:lang w:val="es-CO"/>
        </w:rPr>
        <w:t>rechos humanos descritos en el Informe de F</w:t>
      </w:r>
      <w:r w:rsidRPr="00AF7AFD">
        <w:rPr>
          <w:rFonts w:ascii="Cambria" w:hAnsi="Cambria" w:cs="Calibri"/>
          <w:sz w:val="20"/>
          <w:szCs w:val="20"/>
          <w:lang w:val="es-CO"/>
        </w:rPr>
        <w:t xml:space="preserve">ondo </w:t>
      </w:r>
      <w:r w:rsidR="00036129" w:rsidRPr="00AF7AFD">
        <w:rPr>
          <w:rFonts w:ascii="Cambria" w:hAnsi="Cambria" w:cs="Calibri"/>
          <w:sz w:val="20"/>
          <w:szCs w:val="20"/>
          <w:lang w:val="es-CO"/>
        </w:rPr>
        <w:t xml:space="preserve">Nº </w:t>
      </w:r>
      <w:r w:rsidR="007B50C1" w:rsidRPr="00AF7AFD">
        <w:rPr>
          <w:rFonts w:ascii="Cambria" w:hAnsi="Cambria" w:cs="Calibri"/>
          <w:sz w:val="20"/>
          <w:szCs w:val="20"/>
          <w:lang w:val="es-CO"/>
        </w:rPr>
        <w:t>9</w:t>
      </w:r>
      <w:r w:rsidRPr="00AF7AFD">
        <w:rPr>
          <w:rFonts w:ascii="Cambria" w:hAnsi="Cambria" w:cs="Calibri"/>
          <w:sz w:val="20"/>
          <w:szCs w:val="20"/>
          <w:lang w:val="es-CO"/>
        </w:rPr>
        <w:t>/</w:t>
      </w:r>
      <w:r w:rsidR="007B50C1" w:rsidRPr="00AF7AFD">
        <w:rPr>
          <w:rFonts w:ascii="Cambria" w:hAnsi="Cambria" w:cs="Calibri"/>
          <w:sz w:val="20"/>
          <w:szCs w:val="20"/>
          <w:lang w:val="es-CO"/>
        </w:rPr>
        <w:t>20</w:t>
      </w:r>
      <w:r w:rsidRPr="00AF7AFD">
        <w:rPr>
          <w:rFonts w:ascii="Cambria" w:hAnsi="Cambria" w:cs="Calibri"/>
          <w:sz w:val="20"/>
          <w:szCs w:val="20"/>
          <w:lang w:val="es-CO"/>
        </w:rPr>
        <w:t xml:space="preserve">. </w:t>
      </w:r>
    </w:p>
    <w:p w14:paraId="4ED35049" w14:textId="77777777" w:rsidR="004933D4" w:rsidRPr="00AF7AFD" w:rsidRDefault="004933D4" w:rsidP="00AF7AFD">
      <w:pPr>
        <w:widowControl w:val="0"/>
        <w:autoSpaceDE w:val="0"/>
        <w:autoSpaceDN w:val="0"/>
        <w:adjustRightInd w:val="0"/>
        <w:spacing w:after="0" w:line="240" w:lineRule="auto"/>
        <w:ind w:firstLine="720"/>
        <w:jc w:val="both"/>
        <w:rPr>
          <w:rFonts w:ascii="Cambria" w:hAnsi="Cambria" w:cs="Calibri"/>
          <w:sz w:val="20"/>
          <w:szCs w:val="20"/>
          <w:lang w:val="es-AR"/>
        </w:rPr>
      </w:pPr>
    </w:p>
    <w:p w14:paraId="1BBBE035" w14:textId="77777777" w:rsidR="003F396B" w:rsidRPr="00AF7AFD" w:rsidRDefault="00251530" w:rsidP="00AF7AFD">
      <w:pPr>
        <w:widowControl w:val="0"/>
        <w:autoSpaceDE w:val="0"/>
        <w:autoSpaceDN w:val="0"/>
        <w:adjustRightInd w:val="0"/>
        <w:spacing w:after="0" w:line="240" w:lineRule="auto"/>
        <w:ind w:firstLine="720"/>
        <w:jc w:val="both"/>
        <w:rPr>
          <w:rFonts w:ascii="Cambria" w:hAnsi="Cambria" w:cs="Calibri"/>
          <w:sz w:val="20"/>
          <w:szCs w:val="20"/>
          <w:lang w:val="es-AR"/>
        </w:rPr>
      </w:pPr>
      <w:r w:rsidRPr="00AF7AFD">
        <w:rPr>
          <w:rFonts w:ascii="Cambria" w:hAnsi="Cambria" w:cs="Calibri"/>
          <w:sz w:val="20"/>
          <w:szCs w:val="20"/>
          <w:lang w:val="es-AR"/>
        </w:rPr>
        <w:t xml:space="preserve">En ese sentido, la Comisión solicita a la </w:t>
      </w:r>
      <w:r w:rsidR="007B50C1" w:rsidRPr="00AF7AFD">
        <w:rPr>
          <w:rFonts w:ascii="Cambria" w:hAnsi="Cambria" w:cs="Calibri"/>
          <w:sz w:val="20"/>
          <w:szCs w:val="20"/>
          <w:lang w:val="es-AR"/>
        </w:rPr>
        <w:t xml:space="preserve">Honorable </w:t>
      </w:r>
      <w:r w:rsidRPr="00AF7AFD">
        <w:rPr>
          <w:rFonts w:ascii="Cambria" w:hAnsi="Cambria" w:cs="Calibri"/>
          <w:sz w:val="20"/>
          <w:szCs w:val="20"/>
          <w:lang w:val="es-AR"/>
        </w:rPr>
        <w:t xml:space="preserve">Corte que concluya y declare la responsabilidad internacional del Estado de </w:t>
      </w:r>
      <w:r w:rsidR="00C52040" w:rsidRPr="00AF7AFD">
        <w:rPr>
          <w:rFonts w:ascii="Cambria" w:hAnsi="Cambria" w:cs="Calibri"/>
          <w:sz w:val="20"/>
          <w:szCs w:val="20"/>
          <w:lang w:val="es-AR"/>
        </w:rPr>
        <w:t>E</w:t>
      </w:r>
      <w:r w:rsidR="003F396B" w:rsidRPr="00AF7AFD">
        <w:rPr>
          <w:rFonts w:ascii="Cambria" w:hAnsi="Cambria" w:cs="Calibri"/>
          <w:sz w:val="20"/>
          <w:szCs w:val="20"/>
          <w:lang w:val="es-AR"/>
        </w:rPr>
        <w:t xml:space="preserve">l Salvador por la violación de los derechos </w:t>
      </w:r>
      <w:r w:rsidR="007B50C1" w:rsidRPr="00AF7AFD">
        <w:rPr>
          <w:rFonts w:ascii="Cambria" w:hAnsi="Cambria"/>
          <w:sz w:val="20"/>
          <w:szCs w:val="20"/>
          <w:lang w:val="es-ES"/>
        </w:rPr>
        <w:t>a la vida, integridad personal, garantías judiciales, vida privada, igualdad ante la ley, protección judicial, y derecho a la salud establecidos en los artículos 4.1, 5.1, 5.2, 8.1, 9, 11.2, 11.3, 24, 25.1, 26 de la Convención Americana</w:t>
      </w:r>
      <w:r w:rsidR="00965FD5">
        <w:rPr>
          <w:rFonts w:ascii="Cambria" w:hAnsi="Cambria"/>
          <w:sz w:val="20"/>
          <w:szCs w:val="20"/>
          <w:lang w:val="es-ES"/>
        </w:rPr>
        <w:t>,</w:t>
      </w:r>
      <w:r w:rsidR="007B50C1" w:rsidRPr="00AF7AFD">
        <w:rPr>
          <w:rFonts w:ascii="Cambria" w:hAnsi="Cambria"/>
          <w:sz w:val="20"/>
          <w:szCs w:val="20"/>
          <w:lang w:val="es-ES"/>
        </w:rPr>
        <w:t xml:space="preserve"> en relación con las obligaciones establecidas en </w:t>
      </w:r>
      <w:r w:rsidR="00965FD5">
        <w:rPr>
          <w:rFonts w:ascii="Cambria" w:hAnsi="Cambria"/>
          <w:sz w:val="20"/>
          <w:szCs w:val="20"/>
          <w:lang w:val="es-ES"/>
        </w:rPr>
        <w:t>su</w:t>
      </w:r>
      <w:r w:rsidR="007B50C1" w:rsidRPr="00AF7AFD">
        <w:rPr>
          <w:rFonts w:ascii="Cambria" w:hAnsi="Cambria"/>
          <w:sz w:val="20"/>
          <w:szCs w:val="20"/>
          <w:lang w:val="es-ES"/>
        </w:rPr>
        <w:t xml:space="preserve">s artículos 1.1 y 2. Asimismo, la Comisión </w:t>
      </w:r>
      <w:r w:rsidR="00965FD5" w:rsidRPr="00AF7AFD">
        <w:rPr>
          <w:rFonts w:ascii="Cambria" w:hAnsi="Cambria" w:cs="Calibri"/>
          <w:sz w:val="20"/>
          <w:szCs w:val="20"/>
          <w:lang w:val="es-AR"/>
        </w:rPr>
        <w:t xml:space="preserve">solicita que </w:t>
      </w:r>
      <w:r w:rsidR="007B50C1" w:rsidRPr="00AF7AFD">
        <w:rPr>
          <w:rFonts w:ascii="Cambria" w:hAnsi="Cambria"/>
          <w:sz w:val="20"/>
          <w:szCs w:val="20"/>
          <w:lang w:val="es-ES"/>
        </w:rPr>
        <w:t>declar</w:t>
      </w:r>
      <w:r w:rsidR="00965FD5">
        <w:rPr>
          <w:rFonts w:ascii="Cambria" w:hAnsi="Cambria"/>
          <w:sz w:val="20"/>
          <w:szCs w:val="20"/>
          <w:lang w:val="es-ES"/>
        </w:rPr>
        <w:t>e</w:t>
      </w:r>
      <w:r w:rsidR="007B50C1" w:rsidRPr="00AF7AFD">
        <w:rPr>
          <w:rFonts w:ascii="Cambria" w:hAnsi="Cambria"/>
          <w:sz w:val="20"/>
          <w:szCs w:val="20"/>
          <w:lang w:val="es-ES"/>
        </w:rPr>
        <w:t xml:space="preserve"> la vulneración de los artículos 1 y 6 de la Convención Interamericana para Prevenir y Sancionar la Tortura, y del artículo 7 de la Convención de Belém do Pará.</w:t>
      </w:r>
    </w:p>
    <w:p w14:paraId="11950302" w14:textId="77777777" w:rsidR="00251530" w:rsidRPr="00AF7AFD" w:rsidRDefault="00251530" w:rsidP="00AF7AFD">
      <w:pPr>
        <w:autoSpaceDE w:val="0"/>
        <w:autoSpaceDN w:val="0"/>
        <w:adjustRightInd w:val="0"/>
        <w:spacing w:after="0" w:line="240" w:lineRule="auto"/>
        <w:ind w:right="480"/>
        <w:jc w:val="both"/>
        <w:rPr>
          <w:rFonts w:ascii="Cambria" w:hAnsi="Cambria" w:cs="Calibri"/>
          <w:sz w:val="20"/>
          <w:szCs w:val="20"/>
          <w:lang w:val="es-CO"/>
        </w:rPr>
      </w:pPr>
    </w:p>
    <w:p w14:paraId="1CA12E95" w14:textId="77777777" w:rsidR="00251530" w:rsidRPr="00AF7AFD" w:rsidRDefault="00251530" w:rsidP="00AF7AFD">
      <w:pPr>
        <w:autoSpaceDE w:val="0"/>
        <w:autoSpaceDN w:val="0"/>
        <w:adjustRightInd w:val="0"/>
        <w:spacing w:after="0" w:line="240" w:lineRule="auto"/>
        <w:ind w:left="720" w:right="480"/>
        <w:jc w:val="both"/>
        <w:rPr>
          <w:rFonts w:ascii="Cambria" w:hAnsi="Cambria" w:cs="Calibri"/>
          <w:sz w:val="20"/>
          <w:szCs w:val="20"/>
          <w:lang w:val="es-CO"/>
        </w:rPr>
      </w:pPr>
      <w:r w:rsidRPr="00AF7AFD">
        <w:rPr>
          <w:rFonts w:ascii="Cambria" w:hAnsi="Cambria" w:cs="Calibri"/>
          <w:sz w:val="20"/>
          <w:szCs w:val="20"/>
          <w:lang w:val="es-CO"/>
        </w:rPr>
        <w:lastRenderedPageBreak/>
        <w:t xml:space="preserve">Asimismo, la Comisión solicita a la </w:t>
      </w:r>
      <w:r w:rsidR="00965FD5">
        <w:rPr>
          <w:rFonts w:ascii="Cambria" w:hAnsi="Cambria" w:cs="Calibri"/>
          <w:sz w:val="20"/>
          <w:szCs w:val="20"/>
          <w:lang w:val="es-CO"/>
        </w:rPr>
        <w:t xml:space="preserve">Honrable </w:t>
      </w:r>
      <w:r w:rsidRPr="00AF7AFD">
        <w:rPr>
          <w:rFonts w:ascii="Cambria" w:hAnsi="Cambria" w:cs="Calibri"/>
          <w:sz w:val="20"/>
          <w:szCs w:val="20"/>
          <w:lang w:val="es-CO"/>
        </w:rPr>
        <w:t>Corte que establezca las siguientes medidas de reparación:</w:t>
      </w:r>
    </w:p>
    <w:p w14:paraId="6E84CF36" w14:textId="77777777" w:rsidR="00036129" w:rsidRPr="00AF7AFD" w:rsidRDefault="00036129" w:rsidP="00AF7AFD">
      <w:pPr>
        <w:pStyle w:val="Textoindependiente3"/>
        <w:tabs>
          <w:tab w:val="left" w:pos="720"/>
          <w:tab w:val="left" w:pos="1440"/>
          <w:tab w:val="left" w:pos="9360"/>
        </w:tabs>
        <w:spacing w:after="0" w:line="240" w:lineRule="auto"/>
        <w:jc w:val="both"/>
        <w:rPr>
          <w:rFonts w:ascii="Cambria" w:eastAsia="Calibri" w:hAnsi="Cambria" w:cs="Calibri"/>
          <w:sz w:val="20"/>
          <w:szCs w:val="20"/>
          <w:lang w:val="es-CO"/>
        </w:rPr>
      </w:pPr>
    </w:p>
    <w:p w14:paraId="780E3696" w14:textId="77777777" w:rsidR="00657C85" w:rsidRPr="00AF7AFD" w:rsidRDefault="00657C85" w:rsidP="00965FD5">
      <w:pPr>
        <w:pStyle w:val="Textoindependiente3"/>
        <w:numPr>
          <w:ilvl w:val="0"/>
          <w:numId w:val="6"/>
        </w:numPr>
        <w:tabs>
          <w:tab w:val="left" w:pos="1080"/>
          <w:tab w:val="left" w:pos="9360"/>
        </w:tabs>
        <w:spacing w:after="0" w:line="240" w:lineRule="auto"/>
        <w:ind w:left="720" w:right="720" w:firstLine="0"/>
        <w:jc w:val="both"/>
        <w:rPr>
          <w:rFonts w:ascii="Cambria" w:hAnsi="Cambria"/>
          <w:sz w:val="20"/>
          <w:szCs w:val="20"/>
          <w:lang w:val="es-VE"/>
        </w:rPr>
      </w:pPr>
      <w:r w:rsidRPr="00AF7AFD">
        <w:rPr>
          <w:rFonts w:ascii="Cambria" w:hAnsi="Cambria"/>
          <w:sz w:val="20"/>
          <w:szCs w:val="20"/>
          <w:lang w:val="es-VE"/>
        </w:rPr>
        <w:t>Reparar integralmente las violaciones de derechos humanos declaradas en el informe tanto en el aspecto material como inmaterial. El Estado deberá adoptar las medidas de compensación económica y satisfacción. Tomando en cuenta el fallecimiento de Beatriz, estas medidas deberán ser implementadas en favor de su núcleo familiar, incluido su hijo, y coordinadas con sus representantes.</w:t>
      </w:r>
    </w:p>
    <w:p w14:paraId="54510EF4" w14:textId="77777777" w:rsidR="00657C85" w:rsidRPr="00AF7AFD" w:rsidRDefault="00657C85" w:rsidP="00965FD5">
      <w:pPr>
        <w:pStyle w:val="Textoindependiente3"/>
        <w:tabs>
          <w:tab w:val="left" w:pos="900"/>
          <w:tab w:val="left" w:pos="1080"/>
          <w:tab w:val="left" w:pos="9360"/>
        </w:tabs>
        <w:spacing w:after="0"/>
        <w:ind w:left="720" w:right="720"/>
        <w:jc w:val="both"/>
        <w:rPr>
          <w:rFonts w:ascii="Cambria" w:hAnsi="Cambria"/>
          <w:sz w:val="20"/>
          <w:szCs w:val="20"/>
          <w:lang w:val="es-VE"/>
        </w:rPr>
      </w:pPr>
    </w:p>
    <w:p w14:paraId="44B78739" w14:textId="77777777" w:rsidR="00657C85" w:rsidRPr="00AF7AFD" w:rsidRDefault="00657C85" w:rsidP="00965FD5">
      <w:pPr>
        <w:pStyle w:val="Textoindependiente3"/>
        <w:numPr>
          <w:ilvl w:val="0"/>
          <w:numId w:val="6"/>
        </w:numPr>
        <w:tabs>
          <w:tab w:val="left" w:pos="1080"/>
          <w:tab w:val="left" w:pos="9360"/>
        </w:tabs>
        <w:spacing w:after="0" w:line="240" w:lineRule="auto"/>
        <w:ind w:left="720" w:right="720" w:firstLine="0"/>
        <w:jc w:val="both"/>
        <w:rPr>
          <w:rFonts w:ascii="Cambria" w:hAnsi="Cambria"/>
          <w:sz w:val="20"/>
          <w:szCs w:val="20"/>
          <w:lang w:val="es-VE"/>
        </w:rPr>
      </w:pPr>
      <w:r w:rsidRPr="00AF7AFD">
        <w:rPr>
          <w:rFonts w:ascii="Cambria" w:hAnsi="Cambria"/>
          <w:sz w:val="20"/>
          <w:szCs w:val="20"/>
          <w:lang w:val="es-VE"/>
        </w:rPr>
        <w:t xml:space="preserve">Proveer atención de salud integral, física y psicológica. para los familiares de Beatriz respecto de los padecimientos que pudiesen haberse derivado de la falta de acceso a la justicia para Beatriz. </w:t>
      </w:r>
    </w:p>
    <w:p w14:paraId="4FCB74B7" w14:textId="77777777" w:rsidR="00657C85" w:rsidRPr="00AF7AFD" w:rsidRDefault="00657C85" w:rsidP="00965FD5">
      <w:pPr>
        <w:pStyle w:val="Textoindependiente3"/>
        <w:tabs>
          <w:tab w:val="left" w:pos="1080"/>
          <w:tab w:val="left" w:pos="1440"/>
          <w:tab w:val="left" w:pos="9360"/>
        </w:tabs>
        <w:spacing w:after="0"/>
        <w:ind w:left="720" w:right="720"/>
        <w:jc w:val="both"/>
        <w:rPr>
          <w:rFonts w:ascii="Cambria" w:hAnsi="Cambria"/>
          <w:sz w:val="20"/>
          <w:szCs w:val="20"/>
          <w:lang w:val="es-VE"/>
        </w:rPr>
      </w:pPr>
    </w:p>
    <w:p w14:paraId="4B49769B" w14:textId="77777777" w:rsidR="00657C85" w:rsidRPr="00AF7AFD" w:rsidRDefault="00657C85" w:rsidP="00965FD5">
      <w:pPr>
        <w:pStyle w:val="Textoindependiente3"/>
        <w:numPr>
          <w:ilvl w:val="0"/>
          <w:numId w:val="6"/>
        </w:numPr>
        <w:tabs>
          <w:tab w:val="left" w:pos="1080"/>
          <w:tab w:val="left" w:pos="9360"/>
        </w:tabs>
        <w:spacing w:after="0" w:line="240" w:lineRule="auto"/>
        <w:ind w:left="720" w:right="720" w:firstLine="0"/>
        <w:jc w:val="both"/>
        <w:rPr>
          <w:rFonts w:ascii="Cambria" w:hAnsi="Cambria"/>
          <w:sz w:val="20"/>
          <w:szCs w:val="20"/>
          <w:lang w:val="es-VE"/>
        </w:rPr>
      </w:pPr>
      <w:r w:rsidRPr="00AF7AFD">
        <w:rPr>
          <w:rFonts w:ascii="Cambria" w:hAnsi="Cambria"/>
          <w:sz w:val="20"/>
          <w:szCs w:val="20"/>
          <w:lang w:val="es-VE"/>
        </w:rPr>
        <w:t xml:space="preserve">Adoptar las medidas legislativas necesarias para establecer la posibilidad de la interrupción del embarazo en situaciones de inviabilidad o incompatibilidad del feto con la vida extrauterina, así como de riesgo a la vida y riesgo grave a la salud e integridad personal de la madre. </w:t>
      </w:r>
    </w:p>
    <w:p w14:paraId="5C580840" w14:textId="77777777" w:rsidR="00657C85" w:rsidRPr="00AF7AFD" w:rsidRDefault="00657C85" w:rsidP="00965FD5">
      <w:pPr>
        <w:pStyle w:val="Textoindependiente3"/>
        <w:tabs>
          <w:tab w:val="left" w:pos="900"/>
          <w:tab w:val="left" w:pos="1080"/>
          <w:tab w:val="left" w:pos="9360"/>
        </w:tabs>
        <w:spacing w:after="0" w:line="240" w:lineRule="auto"/>
        <w:ind w:left="720" w:right="720"/>
        <w:jc w:val="both"/>
        <w:rPr>
          <w:rFonts w:ascii="Cambria" w:hAnsi="Cambria"/>
          <w:sz w:val="20"/>
          <w:szCs w:val="20"/>
          <w:lang w:val="es-VE"/>
        </w:rPr>
      </w:pPr>
    </w:p>
    <w:p w14:paraId="38416754" w14:textId="77777777" w:rsidR="00657C85" w:rsidRPr="00AF7AFD" w:rsidRDefault="00657C85" w:rsidP="00965FD5">
      <w:pPr>
        <w:pStyle w:val="Textoindependiente3"/>
        <w:numPr>
          <w:ilvl w:val="0"/>
          <w:numId w:val="6"/>
        </w:numPr>
        <w:tabs>
          <w:tab w:val="left" w:pos="1080"/>
          <w:tab w:val="left" w:pos="9360"/>
        </w:tabs>
        <w:spacing w:after="0" w:line="240" w:lineRule="auto"/>
        <w:ind w:left="720" w:right="720" w:firstLine="0"/>
        <w:jc w:val="both"/>
        <w:rPr>
          <w:rFonts w:ascii="Cambria" w:hAnsi="Cambria"/>
          <w:sz w:val="20"/>
          <w:szCs w:val="20"/>
          <w:lang w:val="es-VE"/>
        </w:rPr>
      </w:pPr>
      <w:r w:rsidRPr="00AF7AFD">
        <w:rPr>
          <w:rFonts w:ascii="Cambria" w:hAnsi="Cambria"/>
          <w:sz w:val="20"/>
          <w:szCs w:val="20"/>
          <w:lang w:val="es-VE"/>
        </w:rPr>
        <w:t>Adoptar todas las medidas necesarias, incluyendo el diseño de políticas públicas, programas de capacitación, protocolos y marcos guía para asegurar que el acceso a la interrupción del embarazo como consecuencia de la anterior adecuación legislativa, sea efectivo en la práctica, y que no se generen obstáculos de hecho o de derecho que afecten su implementación. Esto debe incluir la adecuación de los servicios prestados mediante instalaciones sanitarias, la correcta actuación médica y el debido acceso a la información para las mujeres en estas situaciones. Estas medidas deberán asegurar la compatibilidad con los estándares de derecho internacional de derechos humanos, para lo cual es necesario asegurar consultas exhaustivas con personas e instituciones especializadas en estos temas desde un enfoque médico y de derechos humanos. Asimismo, deberán adoptarse los protocolos o normas técnicas necesarias relativas a asegurar la disponibilidad y accesibilidad real a los servicios para la interrupción del embarazo conforme a los estándares interamericanos aplicables, y de tal manera que  los encargados de prestar servicios de salud tengan la responsabilidad de tratar a la mujer cuya vida o salud pueda ser afectada, de forma inmediata, y si se niegan a prestar esa clase de servicios por razones de conciencia, remitan de forma oportuna a otras entidades que prestan esos servicios, inclusive garantizando la obligatoriedad. El Estado debe garantizar la protección al personal médico que realice tales procedimientos.</w:t>
      </w:r>
    </w:p>
    <w:p w14:paraId="4025C075" w14:textId="77777777" w:rsidR="00657C85" w:rsidRPr="00AF7AFD" w:rsidRDefault="00657C85" w:rsidP="00965FD5">
      <w:pPr>
        <w:pStyle w:val="Textoindependiente3"/>
        <w:tabs>
          <w:tab w:val="left" w:pos="900"/>
          <w:tab w:val="left" w:pos="1080"/>
          <w:tab w:val="left" w:pos="9360"/>
        </w:tabs>
        <w:spacing w:after="0"/>
        <w:ind w:left="720" w:right="720"/>
        <w:jc w:val="both"/>
        <w:rPr>
          <w:rFonts w:ascii="Cambria" w:hAnsi="Cambria"/>
          <w:sz w:val="20"/>
          <w:szCs w:val="20"/>
          <w:lang w:val="es-VE"/>
        </w:rPr>
      </w:pPr>
    </w:p>
    <w:p w14:paraId="0355122A" w14:textId="77777777" w:rsidR="00657C85" w:rsidRPr="00AF7AFD" w:rsidRDefault="00657C85" w:rsidP="00965FD5">
      <w:pPr>
        <w:pStyle w:val="Textoindependiente3"/>
        <w:numPr>
          <w:ilvl w:val="0"/>
          <w:numId w:val="6"/>
        </w:numPr>
        <w:tabs>
          <w:tab w:val="left" w:pos="1080"/>
          <w:tab w:val="left" w:pos="9360"/>
        </w:tabs>
        <w:spacing w:after="0" w:line="240" w:lineRule="auto"/>
        <w:ind w:left="720" w:right="720" w:firstLine="0"/>
        <w:jc w:val="both"/>
        <w:rPr>
          <w:rFonts w:ascii="Cambria" w:hAnsi="Cambria"/>
          <w:sz w:val="20"/>
          <w:szCs w:val="20"/>
          <w:lang w:val="es-VE"/>
        </w:rPr>
      </w:pPr>
      <w:r w:rsidRPr="00AF7AFD">
        <w:rPr>
          <w:rFonts w:ascii="Cambria" w:hAnsi="Cambria"/>
          <w:sz w:val="20"/>
          <w:szCs w:val="20"/>
          <w:lang w:val="es-VE"/>
        </w:rPr>
        <w:t>Mientras dicha adecuación normativa tiene lugar, el Estado salvadoreño debe aplicar una moratoria en la persecución penal de delitos relacionados con el aborto a la luz de los hechos del presente caso y revisar aquellos procesos adelantados en base a dicha normativa al contravenir el principio y derecho de legalidad antes referido. En particular, todas las autoridades judiciales del Estado deberán efectuar un control de convencionalidad conforme a los estándares establecidos en el informe de fondo, los cuales deberán ser difundidos a todas las autoridades pertinentes a nivel nacional.</w:t>
      </w:r>
    </w:p>
    <w:p w14:paraId="71A67793" w14:textId="77777777" w:rsidR="00770763" w:rsidRPr="00AF7AFD" w:rsidRDefault="00770763" w:rsidP="00AF7AFD">
      <w:pPr>
        <w:widowControl w:val="0"/>
        <w:autoSpaceDE w:val="0"/>
        <w:autoSpaceDN w:val="0"/>
        <w:adjustRightInd w:val="0"/>
        <w:spacing w:after="0" w:line="240" w:lineRule="auto"/>
        <w:jc w:val="both"/>
        <w:rPr>
          <w:rFonts w:ascii="Cambria" w:hAnsi="Cambria" w:cs="Calibri"/>
          <w:sz w:val="20"/>
          <w:szCs w:val="20"/>
          <w:lang w:val="es-VE"/>
        </w:rPr>
      </w:pPr>
    </w:p>
    <w:p w14:paraId="1A462397" w14:textId="77777777" w:rsidR="001D2D90" w:rsidRPr="00AF7AFD" w:rsidRDefault="001D2D90" w:rsidP="00AF7AFD">
      <w:pPr>
        <w:tabs>
          <w:tab w:val="left" w:pos="720"/>
          <w:tab w:val="left" w:pos="1440"/>
        </w:tabs>
        <w:spacing w:after="0" w:line="240" w:lineRule="auto"/>
        <w:jc w:val="both"/>
        <w:rPr>
          <w:rFonts w:ascii="Cambria" w:eastAsia="Times New Roman" w:hAnsi="Cambria" w:cs="Cambria"/>
          <w:sz w:val="20"/>
          <w:szCs w:val="20"/>
          <w:lang w:val="es-CO"/>
        </w:rPr>
      </w:pPr>
      <w:r w:rsidRPr="00AF7AFD">
        <w:rPr>
          <w:rFonts w:ascii="Cambria" w:eastAsia="Times New Roman" w:hAnsi="Cambria" w:cs="Calibri"/>
          <w:color w:val="000000"/>
          <w:sz w:val="20"/>
          <w:szCs w:val="20"/>
          <w:u w:color="000000"/>
          <w:lang w:val="es-ES" w:eastAsia="es-ES"/>
        </w:rPr>
        <w:tab/>
      </w:r>
      <w:r w:rsidR="00251530" w:rsidRPr="00AF7AFD">
        <w:rPr>
          <w:rFonts w:ascii="Cambria" w:eastAsia="Times New Roman" w:hAnsi="Cambria" w:cs="Calibri"/>
          <w:color w:val="000000"/>
          <w:sz w:val="20"/>
          <w:szCs w:val="20"/>
          <w:u w:color="000000"/>
          <w:lang w:val="es-ES" w:eastAsia="es-ES"/>
        </w:rPr>
        <w:t xml:space="preserve">Además de la necesidad de obtención de justicia por la falta de cumplimiento de las recomendaciones del informe de fondo, la Comisión considera que el caso presenta cuestiones de orden público interamericano. </w:t>
      </w:r>
      <w:r w:rsidRPr="00AF7AFD">
        <w:rPr>
          <w:rFonts w:ascii="Cambria" w:eastAsia="Times New Roman" w:hAnsi="Cambria" w:cs="Cambria"/>
          <w:sz w:val="20"/>
          <w:szCs w:val="20"/>
          <w:lang w:val="es-CO"/>
        </w:rPr>
        <w:t xml:space="preserve">El mismo permitirá a la Honorable Corte pronunciarse por primera vez respecto de la convencionalidad de la prohibición absoluta de la interrupción voluntaria del embarazo, en particular en casos de riesgo para la salud, vida e integridad de la mujer y/o feto incompatible con la vida extrauterina. </w:t>
      </w:r>
      <w:r w:rsidRPr="00AF7AFD">
        <w:rPr>
          <w:rFonts w:ascii="Cambria" w:hAnsi="Cambria"/>
          <w:sz w:val="20"/>
          <w:szCs w:val="20"/>
          <w:lang w:val="es-ES"/>
        </w:rPr>
        <w:t>Asimismo, la Corte podrá analizar, desde una perspectiva interseccional, el impacto que dicha criminalización absoluta genera sobre las mujeres, particularmente mujeres jóvenes y niñas en situación de pobreza. El presente caso permitirá además a la Honorable Corte desarrollar estándares interamericanos en materia de acceso a la justicia en este tipo de casos, en particular, el tipo de recursos</w:t>
      </w:r>
      <w:r w:rsidRPr="00AF7AFD">
        <w:rPr>
          <w:rFonts w:ascii="Cambria" w:hAnsi="Cambria"/>
          <w:sz w:val="20"/>
          <w:szCs w:val="20"/>
          <w:lang w:val="es-VE"/>
        </w:rPr>
        <w:t xml:space="preserve"> que el Estado debe proveer para remediar las afectaciones a los derechos a la vida, salud, integridad y vida privada que se generen.</w:t>
      </w:r>
    </w:p>
    <w:p w14:paraId="0FD01287" w14:textId="77777777" w:rsidR="00657C85" w:rsidRDefault="00657C85" w:rsidP="00AF7AFD">
      <w:pPr>
        <w:widowControl w:val="0"/>
        <w:autoSpaceDE w:val="0"/>
        <w:autoSpaceDN w:val="0"/>
        <w:adjustRightInd w:val="0"/>
        <w:spacing w:after="0" w:line="240" w:lineRule="auto"/>
        <w:ind w:firstLine="720"/>
        <w:jc w:val="both"/>
        <w:rPr>
          <w:rFonts w:ascii="Cambria" w:eastAsia="Times New Roman" w:hAnsi="Cambria" w:cs="Calibri"/>
          <w:color w:val="000000"/>
          <w:sz w:val="20"/>
          <w:szCs w:val="20"/>
          <w:u w:color="000000"/>
          <w:lang w:val="es-CO" w:eastAsia="es-ES"/>
        </w:rPr>
      </w:pPr>
    </w:p>
    <w:p w14:paraId="3C638123" w14:textId="77777777" w:rsidR="007D54CB" w:rsidRDefault="007D54CB" w:rsidP="00AF7AFD">
      <w:pPr>
        <w:widowControl w:val="0"/>
        <w:autoSpaceDE w:val="0"/>
        <w:autoSpaceDN w:val="0"/>
        <w:adjustRightInd w:val="0"/>
        <w:spacing w:after="0" w:line="240" w:lineRule="auto"/>
        <w:ind w:firstLine="720"/>
        <w:jc w:val="both"/>
        <w:rPr>
          <w:rFonts w:ascii="Cambria" w:eastAsia="Times New Roman" w:hAnsi="Cambria" w:cs="Calibri"/>
          <w:color w:val="000000"/>
          <w:sz w:val="20"/>
          <w:szCs w:val="20"/>
          <w:u w:color="000000"/>
          <w:lang w:val="es-CO" w:eastAsia="es-ES"/>
        </w:rPr>
      </w:pPr>
    </w:p>
    <w:p w14:paraId="505DE91D" w14:textId="77777777" w:rsidR="007D54CB" w:rsidRDefault="007D54CB" w:rsidP="00AF7AFD">
      <w:pPr>
        <w:widowControl w:val="0"/>
        <w:autoSpaceDE w:val="0"/>
        <w:autoSpaceDN w:val="0"/>
        <w:adjustRightInd w:val="0"/>
        <w:spacing w:after="0" w:line="240" w:lineRule="auto"/>
        <w:ind w:firstLine="720"/>
        <w:jc w:val="both"/>
        <w:rPr>
          <w:rFonts w:ascii="Cambria" w:eastAsia="Times New Roman" w:hAnsi="Cambria" w:cs="Calibri"/>
          <w:color w:val="000000"/>
          <w:sz w:val="20"/>
          <w:szCs w:val="20"/>
          <w:u w:color="000000"/>
          <w:lang w:val="es-CO" w:eastAsia="es-ES"/>
        </w:rPr>
      </w:pPr>
    </w:p>
    <w:p w14:paraId="3DC4EFBA" w14:textId="77777777" w:rsidR="007D54CB" w:rsidRPr="00AF7AFD" w:rsidRDefault="007D54CB" w:rsidP="00AF7AFD">
      <w:pPr>
        <w:widowControl w:val="0"/>
        <w:autoSpaceDE w:val="0"/>
        <w:autoSpaceDN w:val="0"/>
        <w:adjustRightInd w:val="0"/>
        <w:spacing w:after="0" w:line="240" w:lineRule="auto"/>
        <w:ind w:firstLine="720"/>
        <w:jc w:val="both"/>
        <w:rPr>
          <w:rFonts w:ascii="Cambria" w:eastAsia="Times New Roman" w:hAnsi="Cambria" w:cs="Calibri"/>
          <w:color w:val="000000"/>
          <w:sz w:val="20"/>
          <w:szCs w:val="20"/>
          <w:u w:color="000000"/>
          <w:lang w:val="es-CO" w:eastAsia="es-ES"/>
        </w:rPr>
      </w:pPr>
    </w:p>
    <w:p w14:paraId="472D8584" w14:textId="77777777" w:rsidR="00251530" w:rsidRPr="00AF7AFD" w:rsidRDefault="00251530" w:rsidP="00AF7AFD">
      <w:pPr>
        <w:widowControl w:val="0"/>
        <w:autoSpaceDE w:val="0"/>
        <w:autoSpaceDN w:val="0"/>
        <w:adjustRightInd w:val="0"/>
        <w:spacing w:after="0" w:line="240" w:lineRule="auto"/>
        <w:ind w:firstLine="720"/>
        <w:jc w:val="both"/>
        <w:rPr>
          <w:rFonts w:ascii="Cambria" w:hAnsi="Cambria" w:cs="Calibri"/>
          <w:sz w:val="20"/>
          <w:szCs w:val="20"/>
          <w:lang w:val="es-CL"/>
        </w:rPr>
      </w:pPr>
      <w:r w:rsidRPr="00AF7AFD">
        <w:rPr>
          <w:rFonts w:ascii="Cambria" w:hAnsi="Cambria" w:cs="Calibri"/>
          <w:sz w:val="20"/>
          <w:szCs w:val="20"/>
          <w:lang w:val="es-CL"/>
        </w:rPr>
        <w:t xml:space="preserve">En virtud de que estas cuestiones afectan de manera relevante el orden público interamericano, de conformidad </w:t>
      </w:r>
      <w:r w:rsidRPr="00AF7AFD">
        <w:rPr>
          <w:rFonts w:ascii="Cambria" w:eastAsia="Times New Roman" w:hAnsi="Cambria" w:cs="Calibri"/>
          <w:sz w:val="20"/>
          <w:szCs w:val="20"/>
          <w:lang w:val="es-CO"/>
        </w:rPr>
        <w:t>con</w:t>
      </w:r>
      <w:r w:rsidRPr="00AF7AFD">
        <w:rPr>
          <w:rFonts w:ascii="Cambria" w:hAnsi="Cambria" w:cs="Calibri"/>
          <w:sz w:val="20"/>
          <w:szCs w:val="20"/>
          <w:lang w:val="es-CL"/>
        </w:rPr>
        <w:t xml:space="preserve"> el artículo 35.1 f) del Reglamento de la Corte Interamericana, la Comisión se permite ofrecer la siguiente declaración pericial:</w:t>
      </w:r>
    </w:p>
    <w:p w14:paraId="3867F5B7" w14:textId="77777777" w:rsidR="00251530" w:rsidRPr="00AF7AFD" w:rsidRDefault="00251530" w:rsidP="00AF7AFD">
      <w:pPr>
        <w:autoSpaceDE w:val="0"/>
        <w:autoSpaceDN w:val="0"/>
        <w:adjustRightInd w:val="0"/>
        <w:spacing w:after="0" w:line="240" w:lineRule="auto"/>
        <w:ind w:right="480"/>
        <w:jc w:val="both"/>
        <w:rPr>
          <w:rFonts w:ascii="Cambria" w:hAnsi="Cambria" w:cs="Calibri"/>
          <w:sz w:val="20"/>
          <w:szCs w:val="20"/>
          <w:lang w:val="es-CL"/>
        </w:rPr>
      </w:pPr>
    </w:p>
    <w:p w14:paraId="074A4261" w14:textId="77777777" w:rsidR="006D2BBA" w:rsidRPr="00AF7AFD" w:rsidRDefault="00251530" w:rsidP="00AF7AFD">
      <w:pPr>
        <w:widowControl w:val="0"/>
        <w:autoSpaceDE w:val="0"/>
        <w:autoSpaceDN w:val="0"/>
        <w:adjustRightInd w:val="0"/>
        <w:spacing w:after="0" w:line="240" w:lineRule="auto"/>
        <w:ind w:firstLine="720"/>
        <w:jc w:val="both"/>
        <w:rPr>
          <w:rFonts w:ascii="Cambria" w:hAnsi="Cambria" w:cs="Calibri"/>
          <w:sz w:val="20"/>
          <w:szCs w:val="20"/>
          <w:lang w:val="es-ES_tradnl"/>
        </w:rPr>
      </w:pPr>
      <w:r w:rsidRPr="00AF7AFD">
        <w:rPr>
          <w:rFonts w:ascii="Cambria" w:hAnsi="Cambria" w:cs="Calibri"/>
          <w:b/>
          <w:sz w:val="20"/>
          <w:szCs w:val="20"/>
          <w:lang w:val="es-ES_tradnl"/>
        </w:rPr>
        <w:t>Perito/a cuyo nombre será informado a la brevedad</w:t>
      </w:r>
      <w:r w:rsidRPr="00AF7AFD">
        <w:rPr>
          <w:rFonts w:ascii="Cambria" w:hAnsi="Cambria" w:cs="Calibri"/>
          <w:sz w:val="20"/>
          <w:szCs w:val="20"/>
          <w:lang w:val="es-ES_tradnl"/>
        </w:rPr>
        <w:t xml:space="preserve">, quien </w:t>
      </w:r>
      <w:r w:rsidR="00527277">
        <w:rPr>
          <w:rFonts w:ascii="Cambria" w:hAnsi="Cambria" w:cs="Calibri"/>
          <w:sz w:val="20"/>
          <w:szCs w:val="20"/>
          <w:lang w:val="es-ES_tradnl"/>
        </w:rPr>
        <w:t>analizará</w:t>
      </w:r>
      <w:r w:rsidR="000377EB" w:rsidRPr="00AF7AFD">
        <w:rPr>
          <w:rFonts w:ascii="Cambria" w:hAnsi="Cambria" w:cs="Calibri"/>
          <w:sz w:val="20"/>
          <w:szCs w:val="20"/>
          <w:lang w:val="es-ES_tradnl"/>
        </w:rPr>
        <w:t xml:space="preserve"> la </w:t>
      </w:r>
      <w:r w:rsidR="00527277">
        <w:rPr>
          <w:rFonts w:ascii="Cambria" w:hAnsi="Cambria" w:cs="Calibri"/>
          <w:sz w:val="20"/>
          <w:szCs w:val="20"/>
          <w:lang w:val="es-ES_tradnl"/>
        </w:rPr>
        <w:t xml:space="preserve">compatibilidad </w:t>
      </w:r>
      <w:r w:rsidR="00527277">
        <w:rPr>
          <w:rFonts w:ascii="Cambria" w:eastAsia="Times New Roman" w:hAnsi="Cambria" w:cs="Cambria"/>
          <w:sz w:val="20"/>
          <w:szCs w:val="20"/>
          <w:lang w:val="es-CO"/>
        </w:rPr>
        <w:t>que tiene</w:t>
      </w:r>
      <w:r w:rsidR="000377EB" w:rsidRPr="00AF7AFD">
        <w:rPr>
          <w:rFonts w:ascii="Cambria" w:eastAsia="Times New Roman" w:hAnsi="Cambria" w:cs="Cambria"/>
          <w:sz w:val="20"/>
          <w:szCs w:val="20"/>
          <w:lang w:val="es-CO"/>
        </w:rPr>
        <w:t xml:space="preserve"> la prohibición absoluta de la interrupción voluntaria del embarazo</w:t>
      </w:r>
      <w:r w:rsidR="00527277">
        <w:rPr>
          <w:rFonts w:ascii="Cambria" w:eastAsia="Times New Roman" w:hAnsi="Cambria" w:cs="Cambria"/>
          <w:sz w:val="20"/>
          <w:szCs w:val="20"/>
          <w:lang w:val="es-CO"/>
        </w:rPr>
        <w:t xml:space="preserve"> con la Convención Americana</w:t>
      </w:r>
      <w:r w:rsidR="000377EB" w:rsidRPr="00AF7AFD">
        <w:rPr>
          <w:rFonts w:ascii="Cambria" w:eastAsia="Times New Roman" w:hAnsi="Cambria" w:cs="Cambria"/>
          <w:sz w:val="20"/>
          <w:szCs w:val="20"/>
          <w:lang w:val="es-CO"/>
        </w:rPr>
        <w:t xml:space="preserve">, en particular en casos de riesgo para la salud, vida e integridad de la mujer y/o feto incompatible con la vida extrauterina. </w:t>
      </w:r>
      <w:r w:rsidR="000377EB" w:rsidRPr="00AF7AFD">
        <w:rPr>
          <w:rFonts w:ascii="Cambria" w:hAnsi="Cambria" w:cs="Calibri"/>
          <w:sz w:val="20"/>
          <w:szCs w:val="20"/>
          <w:lang w:val="es-ES_tradnl"/>
        </w:rPr>
        <w:t xml:space="preserve">Asimismo, el/perito/a declarará </w:t>
      </w:r>
      <w:r w:rsidR="0023499D" w:rsidRPr="00AF7AFD">
        <w:rPr>
          <w:rFonts w:ascii="Cambria" w:hAnsi="Cambria" w:cs="Calibri"/>
          <w:sz w:val="20"/>
          <w:szCs w:val="20"/>
          <w:lang w:val="es-ES_tradnl"/>
        </w:rPr>
        <w:t xml:space="preserve">sobre </w:t>
      </w:r>
      <w:r w:rsidR="00F95A0C" w:rsidRPr="00AF7AFD">
        <w:rPr>
          <w:rFonts w:ascii="Cambria" w:hAnsi="Cambria" w:cs="Calibri"/>
          <w:sz w:val="20"/>
          <w:szCs w:val="20"/>
          <w:lang w:val="es-ES_tradnl"/>
        </w:rPr>
        <w:t xml:space="preserve">las </w:t>
      </w:r>
      <w:r w:rsidR="009174C1" w:rsidRPr="00AF7AFD">
        <w:rPr>
          <w:rFonts w:ascii="Cambria" w:hAnsi="Cambria"/>
          <w:sz w:val="20"/>
          <w:szCs w:val="20"/>
          <w:lang w:val="es-VE"/>
        </w:rPr>
        <w:t xml:space="preserve">medidas que los Estados deben adoptar para asegurar que el acceso a la interrupción del embarazo en situaciones de inviabilidad o incompatibilidad del feto con la vida extrauterina, así como de riesgo a la vida y riesgo grave a la salud e integridad personal de la madre, sea efectivo y no se generen obstáculos de hecho o de derecho que afecten su implementación. </w:t>
      </w:r>
      <w:r w:rsidR="000377EB" w:rsidRPr="00AF7AFD">
        <w:rPr>
          <w:rFonts w:ascii="Cambria" w:hAnsi="Cambria"/>
          <w:sz w:val="20"/>
          <w:szCs w:val="20"/>
          <w:lang w:val="es-VE"/>
        </w:rPr>
        <w:t xml:space="preserve">Por otra parte, se referirá al </w:t>
      </w:r>
      <w:r w:rsidR="000377EB" w:rsidRPr="00AF7AFD">
        <w:rPr>
          <w:rFonts w:ascii="Cambria" w:hAnsi="Cambria"/>
          <w:sz w:val="20"/>
          <w:szCs w:val="20"/>
          <w:lang w:val="es-ES"/>
        </w:rPr>
        <w:t>impacto que la criminalización absoluta de la interrupción del embarazo genera sobre las mujeres, particularmente mujeres jóvenes y niñas en situación de pobreza.</w:t>
      </w:r>
      <w:r w:rsidR="00E366F8" w:rsidRPr="00AF7AFD">
        <w:rPr>
          <w:rFonts w:ascii="Cambria" w:hAnsi="Cambria" w:cs="Calibri"/>
          <w:sz w:val="20"/>
          <w:szCs w:val="20"/>
          <w:lang w:val="es-ES_tradnl"/>
        </w:rPr>
        <w:t xml:space="preserve"> El/la perito/a podrá referirse al contexto normativo y de prácticas en El Salvador, así como a los hechos del caso. </w:t>
      </w:r>
    </w:p>
    <w:p w14:paraId="46E12EFF" w14:textId="77777777" w:rsidR="004933D4" w:rsidRPr="00AF7AFD" w:rsidRDefault="004933D4" w:rsidP="00AF7AFD">
      <w:pPr>
        <w:widowControl w:val="0"/>
        <w:autoSpaceDE w:val="0"/>
        <w:autoSpaceDN w:val="0"/>
        <w:adjustRightInd w:val="0"/>
        <w:spacing w:after="0" w:line="240" w:lineRule="auto"/>
        <w:ind w:firstLine="720"/>
        <w:jc w:val="both"/>
        <w:rPr>
          <w:rFonts w:ascii="Cambria" w:hAnsi="Cambria" w:cs="Calibri"/>
          <w:sz w:val="20"/>
          <w:szCs w:val="20"/>
          <w:lang w:val="es-ES_tradnl"/>
        </w:rPr>
      </w:pPr>
    </w:p>
    <w:p w14:paraId="47D4C979" w14:textId="77777777" w:rsidR="004933D4" w:rsidRPr="00AF7AFD" w:rsidRDefault="00036129" w:rsidP="00AF7AFD">
      <w:pPr>
        <w:widowControl w:val="0"/>
        <w:autoSpaceDE w:val="0"/>
        <w:autoSpaceDN w:val="0"/>
        <w:adjustRightInd w:val="0"/>
        <w:spacing w:after="0" w:line="240" w:lineRule="auto"/>
        <w:ind w:firstLine="720"/>
        <w:jc w:val="both"/>
        <w:rPr>
          <w:rFonts w:ascii="Cambria" w:hAnsi="Cambria" w:cs="Calibri"/>
          <w:sz w:val="20"/>
          <w:szCs w:val="20"/>
          <w:lang w:val="es-CO"/>
        </w:rPr>
      </w:pPr>
      <w:r w:rsidRPr="00AF7AFD">
        <w:rPr>
          <w:rFonts w:ascii="Cambria" w:hAnsi="Cambria" w:cs="Calibri"/>
          <w:sz w:val="20"/>
          <w:szCs w:val="20"/>
          <w:lang w:val="es-ES_tradnl"/>
        </w:rPr>
        <w:t>Los</w:t>
      </w:r>
      <w:r w:rsidR="004933D4" w:rsidRPr="00AF7AFD">
        <w:rPr>
          <w:rFonts w:ascii="Cambria" w:hAnsi="Cambria" w:cs="Calibri"/>
          <w:sz w:val="20"/>
          <w:szCs w:val="20"/>
          <w:lang w:val="es-AR"/>
        </w:rPr>
        <w:t xml:space="preserve"> CV</w:t>
      </w:r>
      <w:r w:rsidRPr="00AF7AFD">
        <w:rPr>
          <w:rFonts w:ascii="Cambria" w:hAnsi="Cambria" w:cs="Calibri"/>
          <w:sz w:val="20"/>
          <w:szCs w:val="20"/>
          <w:lang w:val="es-AR"/>
        </w:rPr>
        <w:t>s</w:t>
      </w:r>
      <w:r w:rsidR="00B3456F" w:rsidRPr="00AF7AFD">
        <w:rPr>
          <w:rFonts w:ascii="Cambria" w:hAnsi="Cambria" w:cs="Calibri"/>
          <w:sz w:val="20"/>
          <w:szCs w:val="20"/>
          <w:lang w:val="es-AR"/>
        </w:rPr>
        <w:t>.</w:t>
      </w:r>
      <w:r w:rsidR="004933D4" w:rsidRPr="00AF7AFD">
        <w:rPr>
          <w:rFonts w:ascii="Cambria" w:hAnsi="Cambria" w:cs="Calibri"/>
          <w:sz w:val="20"/>
          <w:szCs w:val="20"/>
          <w:lang w:val="es-AR"/>
        </w:rPr>
        <w:t xml:space="preserve"> de</w:t>
      </w:r>
      <w:r w:rsidRPr="00AF7AFD">
        <w:rPr>
          <w:rFonts w:ascii="Cambria" w:hAnsi="Cambria" w:cs="Calibri"/>
          <w:sz w:val="20"/>
          <w:szCs w:val="20"/>
          <w:lang w:val="es-AR"/>
        </w:rPr>
        <w:t xml:space="preserve"> </w:t>
      </w:r>
      <w:r w:rsidR="004933D4" w:rsidRPr="00AF7AFD">
        <w:rPr>
          <w:rFonts w:ascii="Cambria" w:hAnsi="Cambria" w:cs="Calibri"/>
          <w:sz w:val="20"/>
          <w:szCs w:val="20"/>
          <w:lang w:val="es-AR"/>
        </w:rPr>
        <w:t>l</w:t>
      </w:r>
      <w:r w:rsidRPr="00AF7AFD">
        <w:rPr>
          <w:rFonts w:ascii="Cambria" w:hAnsi="Cambria" w:cs="Calibri"/>
          <w:sz w:val="20"/>
          <w:szCs w:val="20"/>
          <w:lang w:val="es-AR"/>
        </w:rPr>
        <w:t>os</w:t>
      </w:r>
      <w:r w:rsidR="004933D4" w:rsidRPr="00AF7AFD">
        <w:rPr>
          <w:rFonts w:ascii="Cambria" w:hAnsi="Cambria" w:cs="Calibri"/>
          <w:sz w:val="20"/>
          <w:szCs w:val="20"/>
          <w:lang w:val="es-AR"/>
        </w:rPr>
        <w:t>/la</w:t>
      </w:r>
      <w:r w:rsidRPr="00AF7AFD">
        <w:rPr>
          <w:rFonts w:ascii="Cambria" w:hAnsi="Cambria" w:cs="Calibri"/>
          <w:sz w:val="20"/>
          <w:szCs w:val="20"/>
          <w:lang w:val="es-AR"/>
        </w:rPr>
        <w:t>s</w:t>
      </w:r>
      <w:r w:rsidR="004933D4" w:rsidRPr="00AF7AFD">
        <w:rPr>
          <w:rFonts w:ascii="Cambria" w:hAnsi="Cambria" w:cs="Calibri"/>
          <w:sz w:val="20"/>
          <w:szCs w:val="20"/>
          <w:lang w:val="es-AR"/>
        </w:rPr>
        <w:t xml:space="preserve"> perito</w:t>
      </w:r>
      <w:r w:rsidRPr="00AF7AFD">
        <w:rPr>
          <w:rFonts w:ascii="Cambria" w:hAnsi="Cambria" w:cs="Calibri"/>
          <w:sz w:val="20"/>
          <w:szCs w:val="20"/>
          <w:lang w:val="es-AR"/>
        </w:rPr>
        <w:t>s</w:t>
      </w:r>
      <w:r w:rsidR="004933D4" w:rsidRPr="00AF7AFD">
        <w:rPr>
          <w:rFonts w:ascii="Cambria" w:hAnsi="Cambria" w:cs="Calibri"/>
          <w:sz w:val="20"/>
          <w:szCs w:val="20"/>
          <w:lang w:val="es-AR"/>
        </w:rPr>
        <w:t>/a</w:t>
      </w:r>
      <w:r w:rsidRPr="00AF7AFD">
        <w:rPr>
          <w:rFonts w:ascii="Cambria" w:hAnsi="Cambria" w:cs="Calibri"/>
          <w:sz w:val="20"/>
          <w:szCs w:val="20"/>
          <w:lang w:val="es-AR"/>
        </w:rPr>
        <w:t>s</w:t>
      </w:r>
      <w:r w:rsidR="004933D4" w:rsidRPr="00AF7AFD">
        <w:rPr>
          <w:rFonts w:ascii="Cambria" w:hAnsi="Cambria" w:cs="Calibri"/>
          <w:sz w:val="20"/>
          <w:szCs w:val="20"/>
          <w:lang w:val="es-AR"/>
        </w:rPr>
        <w:t xml:space="preserve"> ofrecido</w:t>
      </w:r>
      <w:r w:rsidRPr="00AF7AFD">
        <w:rPr>
          <w:rFonts w:ascii="Cambria" w:hAnsi="Cambria" w:cs="Calibri"/>
          <w:sz w:val="20"/>
          <w:szCs w:val="20"/>
          <w:lang w:val="es-AR"/>
        </w:rPr>
        <w:t>s</w:t>
      </w:r>
      <w:r w:rsidR="004933D4" w:rsidRPr="00AF7AFD">
        <w:rPr>
          <w:rFonts w:ascii="Cambria" w:hAnsi="Cambria" w:cs="Calibri"/>
          <w:sz w:val="20"/>
          <w:szCs w:val="20"/>
          <w:lang w:val="es-AR"/>
        </w:rPr>
        <w:t xml:space="preserve"> </w:t>
      </w:r>
      <w:r w:rsidRPr="00AF7AFD">
        <w:rPr>
          <w:rFonts w:ascii="Cambria" w:hAnsi="Cambria" w:cs="Calibri"/>
          <w:sz w:val="20"/>
          <w:szCs w:val="20"/>
          <w:lang w:val="es-CO"/>
        </w:rPr>
        <w:t>será</w:t>
      </w:r>
      <w:r w:rsidR="00B3456F" w:rsidRPr="00AF7AFD">
        <w:rPr>
          <w:rFonts w:ascii="Cambria" w:hAnsi="Cambria" w:cs="Calibri"/>
          <w:sz w:val="20"/>
          <w:szCs w:val="20"/>
          <w:lang w:val="es-CO"/>
        </w:rPr>
        <w:t>n</w:t>
      </w:r>
      <w:r w:rsidRPr="00AF7AFD">
        <w:rPr>
          <w:rFonts w:ascii="Cambria" w:hAnsi="Cambria" w:cs="Calibri"/>
          <w:sz w:val="20"/>
          <w:szCs w:val="20"/>
          <w:lang w:val="es-CO"/>
        </w:rPr>
        <w:t xml:space="preserve"> incluido</w:t>
      </w:r>
      <w:r w:rsidR="00B3456F" w:rsidRPr="00AF7AFD">
        <w:rPr>
          <w:rFonts w:ascii="Cambria" w:hAnsi="Cambria" w:cs="Calibri"/>
          <w:sz w:val="20"/>
          <w:szCs w:val="20"/>
          <w:lang w:val="es-CO"/>
        </w:rPr>
        <w:t>s</w:t>
      </w:r>
      <w:r w:rsidRPr="00AF7AFD">
        <w:rPr>
          <w:rFonts w:ascii="Cambria" w:hAnsi="Cambria" w:cs="Calibri"/>
          <w:sz w:val="20"/>
          <w:szCs w:val="20"/>
          <w:lang w:val="es-CO"/>
        </w:rPr>
        <w:t xml:space="preserve"> en los anexos al Informe de F</w:t>
      </w:r>
      <w:r w:rsidR="004933D4" w:rsidRPr="00AF7AFD">
        <w:rPr>
          <w:rFonts w:ascii="Cambria" w:hAnsi="Cambria" w:cs="Calibri"/>
          <w:sz w:val="20"/>
          <w:szCs w:val="20"/>
          <w:lang w:val="es-CO"/>
        </w:rPr>
        <w:t xml:space="preserve">ondo </w:t>
      </w:r>
      <w:r w:rsidRPr="00AF7AFD">
        <w:rPr>
          <w:rFonts w:ascii="Cambria" w:hAnsi="Cambria" w:cs="Calibri"/>
          <w:sz w:val="20"/>
          <w:szCs w:val="20"/>
          <w:lang w:val="es-CO"/>
        </w:rPr>
        <w:t xml:space="preserve">Nº </w:t>
      </w:r>
      <w:r w:rsidR="007B50C1" w:rsidRPr="00AF7AFD">
        <w:rPr>
          <w:rFonts w:ascii="Cambria" w:hAnsi="Cambria" w:cs="Calibri"/>
          <w:sz w:val="20"/>
          <w:szCs w:val="20"/>
          <w:lang w:val="es-CO"/>
        </w:rPr>
        <w:t>9</w:t>
      </w:r>
      <w:r w:rsidR="004933D4" w:rsidRPr="00AF7AFD">
        <w:rPr>
          <w:rFonts w:ascii="Cambria" w:hAnsi="Cambria" w:cs="Calibri"/>
          <w:sz w:val="20"/>
          <w:szCs w:val="20"/>
          <w:lang w:val="es-CO"/>
        </w:rPr>
        <w:t>/</w:t>
      </w:r>
      <w:r w:rsidR="007B50C1" w:rsidRPr="00AF7AFD">
        <w:rPr>
          <w:rFonts w:ascii="Cambria" w:hAnsi="Cambria" w:cs="Calibri"/>
          <w:sz w:val="20"/>
          <w:szCs w:val="20"/>
          <w:lang w:val="es-CO"/>
        </w:rPr>
        <w:t>20</w:t>
      </w:r>
      <w:r w:rsidR="004933D4" w:rsidRPr="00AF7AFD">
        <w:rPr>
          <w:rFonts w:ascii="Cambria" w:hAnsi="Cambria" w:cs="Calibri"/>
          <w:sz w:val="20"/>
          <w:szCs w:val="20"/>
          <w:lang w:val="es-CO"/>
        </w:rPr>
        <w:t>.</w:t>
      </w:r>
    </w:p>
    <w:p w14:paraId="494202D2" w14:textId="77777777" w:rsidR="00E366F8" w:rsidRPr="00AF7AFD" w:rsidRDefault="00E366F8" w:rsidP="00AF7AFD">
      <w:pPr>
        <w:widowControl w:val="0"/>
        <w:autoSpaceDE w:val="0"/>
        <w:autoSpaceDN w:val="0"/>
        <w:adjustRightInd w:val="0"/>
        <w:spacing w:after="0" w:line="240" w:lineRule="auto"/>
        <w:jc w:val="both"/>
        <w:rPr>
          <w:rFonts w:ascii="Cambria" w:hAnsi="Cambria" w:cs="Calibri"/>
          <w:sz w:val="20"/>
          <w:szCs w:val="20"/>
          <w:lang w:val="es-CO"/>
        </w:rPr>
      </w:pPr>
    </w:p>
    <w:p w14:paraId="0473004B" w14:textId="77777777" w:rsidR="00251530" w:rsidRDefault="00251530" w:rsidP="00AF7AFD">
      <w:pPr>
        <w:widowControl w:val="0"/>
        <w:autoSpaceDE w:val="0"/>
        <w:autoSpaceDN w:val="0"/>
        <w:adjustRightInd w:val="0"/>
        <w:spacing w:after="0" w:line="240" w:lineRule="auto"/>
        <w:ind w:firstLine="720"/>
        <w:jc w:val="both"/>
        <w:rPr>
          <w:rFonts w:ascii="Cambria" w:hAnsi="Cambria" w:cs="Calibri"/>
          <w:sz w:val="20"/>
          <w:szCs w:val="20"/>
          <w:lang w:val="es-ES_tradnl"/>
        </w:rPr>
      </w:pPr>
      <w:r w:rsidRPr="00AF7AFD">
        <w:rPr>
          <w:rFonts w:ascii="Cambria" w:hAnsi="Cambria" w:cs="Calibri"/>
          <w:sz w:val="20"/>
          <w:szCs w:val="20"/>
          <w:lang w:val="es-ES_tradnl"/>
        </w:rPr>
        <w:t xml:space="preserve">La Comisión pone en conocimiento de la Corte </w:t>
      </w:r>
      <w:r w:rsidR="008106B9" w:rsidRPr="00AF7AFD">
        <w:rPr>
          <w:rFonts w:ascii="Cambria" w:hAnsi="Cambria" w:cs="Calibri"/>
          <w:sz w:val="20"/>
          <w:szCs w:val="20"/>
          <w:lang w:val="es-ES_tradnl"/>
        </w:rPr>
        <w:t>los siguientes dato</w:t>
      </w:r>
      <w:r w:rsidR="00C25743" w:rsidRPr="00AF7AFD">
        <w:rPr>
          <w:rFonts w:ascii="Cambria" w:hAnsi="Cambria" w:cs="Calibri"/>
          <w:sz w:val="20"/>
          <w:szCs w:val="20"/>
          <w:lang w:val="es-ES_tradnl"/>
        </w:rPr>
        <w:t>s de quienes han actuado como parte peticionaria</w:t>
      </w:r>
      <w:r w:rsidR="008106B9" w:rsidRPr="00AF7AFD">
        <w:rPr>
          <w:rFonts w:ascii="Cambria" w:hAnsi="Cambria" w:cs="Calibri"/>
          <w:sz w:val="20"/>
          <w:szCs w:val="20"/>
          <w:lang w:val="es-ES_tradnl"/>
        </w:rPr>
        <w:t xml:space="preserve"> a lo largo del trámite interamericano: </w:t>
      </w:r>
    </w:p>
    <w:p w14:paraId="4ADEF418" w14:textId="77777777" w:rsidR="007D54CB" w:rsidRPr="00AF7AFD" w:rsidRDefault="007D54CB" w:rsidP="00AF7AFD">
      <w:pPr>
        <w:widowControl w:val="0"/>
        <w:autoSpaceDE w:val="0"/>
        <w:autoSpaceDN w:val="0"/>
        <w:adjustRightInd w:val="0"/>
        <w:spacing w:after="0" w:line="240" w:lineRule="auto"/>
        <w:ind w:firstLine="720"/>
        <w:jc w:val="both"/>
        <w:rPr>
          <w:rFonts w:ascii="Cambria" w:hAnsi="Cambria" w:cs="Calibri"/>
          <w:sz w:val="20"/>
          <w:szCs w:val="20"/>
          <w:lang w:val="es-ES_tradnl"/>
        </w:rPr>
      </w:pPr>
    </w:p>
    <w:p w14:paraId="6647150F" w14:textId="77777777" w:rsidR="007D54CB" w:rsidRPr="007D54CB" w:rsidRDefault="007D54CB" w:rsidP="007D54CB">
      <w:pPr>
        <w:spacing w:after="0" w:line="240" w:lineRule="auto"/>
        <w:jc w:val="center"/>
        <w:rPr>
          <w:rFonts w:ascii="Cambria" w:hAnsi="Cambria"/>
          <w:bCs/>
          <w:iCs/>
          <w:sz w:val="20"/>
          <w:szCs w:val="20"/>
          <w:lang w:val="es-ES"/>
        </w:rPr>
      </w:pPr>
      <w:r w:rsidRPr="007D54CB">
        <w:rPr>
          <w:rFonts w:ascii="Cambria" w:hAnsi="Cambria"/>
          <w:bCs/>
          <w:iCs/>
          <w:sz w:val="20"/>
          <w:szCs w:val="20"/>
          <w:lang w:val="es-ES"/>
        </w:rPr>
        <w:t>CEJIL Mesoamerica</w:t>
      </w:r>
    </w:p>
    <w:p w14:paraId="4FFFC035" w14:textId="77777777" w:rsidR="007D54CB" w:rsidRPr="000E46EA" w:rsidRDefault="000E46EA" w:rsidP="007D54CB">
      <w:pPr>
        <w:spacing w:after="0" w:line="240" w:lineRule="auto"/>
        <w:jc w:val="center"/>
        <w:rPr>
          <w:rFonts w:ascii="Cambria" w:hAnsi="Cambria"/>
          <w:bCs/>
          <w:iCs/>
          <w:sz w:val="20"/>
          <w:szCs w:val="20"/>
          <w:highlight w:val="black"/>
          <w:lang w:val="es-ES"/>
        </w:rPr>
      </w:pPr>
      <w:r w:rsidRPr="000E46EA">
        <w:rPr>
          <w:rFonts w:ascii="Cambria" w:hAnsi="Cambria"/>
          <w:bCs/>
          <w:iCs/>
          <w:sz w:val="20"/>
          <w:szCs w:val="20"/>
          <w:highlight w:val="black"/>
          <w:lang w:val="es-ES"/>
        </w:rPr>
        <w:t>XXXXXXXXXXXXXXXXXXXXXXXXXXXXXX</w:t>
      </w:r>
    </w:p>
    <w:p w14:paraId="217D9057" w14:textId="77777777" w:rsidR="007D54CB" w:rsidRPr="007D54CB" w:rsidRDefault="007D54CB" w:rsidP="007D54CB">
      <w:pPr>
        <w:spacing w:after="0" w:line="240" w:lineRule="auto"/>
        <w:jc w:val="center"/>
        <w:rPr>
          <w:rFonts w:ascii="Cambria" w:hAnsi="Cambria"/>
          <w:bCs/>
          <w:iCs/>
          <w:sz w:val="20"/>
          <w:szCs w:val="20"/>
          <w:lang w:val="es-ES"/>
        </w:rPr>
      </w:pPr>
    </w:p>
    <w:p w14:paraId="69172056" w14:textId="77777777" w:rsidR="007D54CB" w:rsidRPr="007D54CB" w:rsidRDefault="007D54CB" w:rsidP="007D54CB">
      <w:pPr>
        <w:spacing w:after="0" w:line="240" w:lineRule="auto"/>
        <w:jc w:val="center"/>
        <w:rPr>
          <w:rFonts w:ascii="Cambria" w:hAnsi="Cambria"/>
          <w:bCs/>
          <w:iCs/>
          <w:sz w:val="20"/>
          <w:szCs w:val="20"/>
          <w:lang w:val="es-ES"/>
        </w:rPr>
      </w:pPr>
      <w:r w:rsidRPr="007D54CB">
        <w:rPr>
          <w:rFonts w:ascii="Cambria" w:hAnsi="Cambria"/>
          <w:bCs/>
          <w:iCs/>
          <w:sz w:val="20"/>
          <w:szCs w:val="20"/>
          <w:lang w:val="es-ES"/>
        </w:rPr>
        <w:t>Agrupación Ciudadana por la Despenalización del Aborto Terapéutico, Ético y Eugenésico de El Salvador</w:t>
      </w:r>
    </w:p>
    <w:p w14:paraId="37406F11" w14:textId="77777777" w:rsidR="007D54CB" w:rsidRPr="000E46EA" w:rsidRDefault="000E46EA" w:rsidP="007D54CB">
      <w:pPr>
        <w:spacing w:after="0" w:line="240" w:lineRule="auto"/>
        <w:jc w:val="center"/>
        <w:rPr>
          <w:rFonts w:ascii="Cambria" w:hAnsi="Cambria"/>
          <w:bCs/>
          <w:iCs/>
          <w:sz w:val="20"/>
          <w:szCs w:val="20"/>
          <w:highlight w:val="black"/>
          <w:lang w:val="es-ES"/>
        </w:rPr>
      </w:pPr>
      <w:r w:rsidRPr="000E46EA">
        <w:rPr>
          <w:rFonts w:ascii="Cambria" w:hAnsi="Cambria"/>
          <w:bCs/>
          <w:iCs/>
          <w:sz w:val="20"/>
          <w:szCs w:val="20"/>
          <w:highlight w:val="black"/>
          <w:lang w:val="es-ES"/>
        </w:rPr>
        <w:t>XXXXXXXXXXXXXXXXXXXXXXXXXXXXXXXXXXXXXXXXX</w:t>
      </w:r>
    </w:p>
    <w:p w14:paraId="3DF1A143" w14:textId="77777777" w:rsidR="007D54CB" w:rsidRPr="007D54CB" w:rsidRDefault="007D54CB" w:rsidP="007D54CB">
      <w:pPr>
        <w:spacing w:after="0" w:line="240" w:lineRule="auto"/>
        <w:jc w:val="center"/>
        <w:rPr>
          <w:rFonts w:ascii="Cambria" w:hAnsi="Cambria"/>
          <w:bCs/>
          <w:iCs/>
          <w:sz w:val="20"/>
          <w:szCs w:val="20"/>
          <w:lang w:val="es-ES"/>
        </w:rPr>
      </w:pPr>
    </w:p>
    <w:p w14:paraId="79C4691E" w14:textId="77777777" w:rsidR="007D54CB" w:rsidRPr="007D54CB" w:rsidRDefault="007D54CB" w:rsidP="007D54CB">
      <w:pPr>
        <w:spacing w:after="0" w:line="240" w:lineRule="auto"/>
        <w:jc w:val="center"/>
        <w:rPr>
          <w:rFonts w:ascii="Cambria" w:hAnsi="Cambria"/>
          <w:bCs/>
          <w:iCs/>
          <w:sz w:val="20"/>
          <w:szCs w:val="20"/>
          <w:lang w:val="es-ES"/>
        </w:rPr>
      </w:pPr>
      <w:r w:rsidRPr="007D54CB">
        <w:rPr>
          <w:rFonts w:ascii="Cambria" w:hAnsi="Cambria"/>
          <w:bCs/>
          <w:iCs/>
          <w:sz w:val="20"/>
          <w:szCs w:val="20"/>
          <w:lang w:val="es-ES"/>
        </w:rPr>
        <w:t>Ipas Centroamérica</w:t>
      </w:r>
    </w:p>
    <w:p w14:paraId="7F01A5AC" w14:textId="77777777" w:rsidR="007D54CB" w:rsidRPr="000E46EA" w:rsidRDefault="000E46EA" w:rsidP="007D54CB">
      <w:pPr>
        <w:spacing w:after="0" w:line="240" w:lineRule="auto"/>
        <w:jc w:val="center"/>
        <w:rPr>
          <w:rFonts w:ascii="Cambria" w:hAnsi="Cambria"/>
          <w:bCs/>
          <w:iCs/>
          <w:sz w:val="20"/>
          <w:szCs w:val="20"/>
          <w:highlight w:val="black"/>
          <w:lang w:val="es-ES"/>
        </w:rPr>
      </w:pPr>
      <w:r w:rsidRPr="000E46EA">
        <w:rPr>
          <w:rFonts w:ascii="Cambria" w:hAnsi="Cambria"/>
          <w:bCs/>
          <w:iCs/>
          <w:sz w:val="20"/>
          <w:szCs w:val="20"/>
          <w:highlight w:val="black"/>
          <w:lang w:val="es-ES"/>
        </w:rPr>
        <w:t>XXXXXXXXXXXXXXXXX</w:t>
      </w:r>
    </w:p>
    <w:p w14:paraId="7D3DA866" w14:textId="77777777" w:rsidR="007D54CB" w:rsidRPr="007D54CB" w:rsidRDefault="007D54CB" w:rsidP="007D54CB">
      <w:pPr>
        <w:spacing w:after="0" w:line="240" w:lineRule="auto"/>
        <w:jc w:val="center"/>
        <w:rPr>
          <w:rFonts w:ascii="Cambria" w:hAnsi="Cambria"/>
          <w:bCs/>
          <w:iCs/>
          <w:sz w:val="20"/>
          <w:szCs w:val="20"/>
          <w:lang w:val="es-ES"/>
        </w:rPr>
      </w:pPr>
    </w:p>
    <w:p w14:paraId="41724711" w14:textId="77777777" w:rsidR="00251530" w:rsidRPr="00AF7AFD" w:rsidRDefault="00251530" w:rsidP="00AF7AFD">
      <w:pPr>
        <w:tabs>
          <w:tab w:val="left" w:pos="0"/>
        </w:tabs>
        <w:spacing w:after="0" w:line="240" w:lineRule="auto"/>
        <w:ind w:firstLine="720"/>
        <w:jc w:val="both"/>
        <w:rPr>
          <w:rFonts w:ascii="Cambria" w:hAnsi="Cambria" w:cs="Calibri"/>
          <w:sz w:val="20"/>
          <w:szCs w:val="20"/>
          <w:lang w:val="es-CO"/>
        </w:rPr>
      </w:pPr>
      <w:r w:rsidRPr="00AF7AFD">
        <w:rPr>
          <w:rFonts w:ascii="Cambria" w:hAnsi="Cambria" w:cs="Calibri"/>
          <w:sz w:val="20"/>
          <w:szCs w:val="20"/>
          <w:lang w:val="es-CO"/>
        </w:rPr>
        <w:t>Aprovecho la oportunidad para saludar a usted muy atentamente,</w:t>
      </w:r>
    </w:p>
    <w:p w14:paraId="581D344F" w14:textId="77777777" w:rsidR="007D54CB" w:rsidRPr="007D54CB" w:rsidRDefault="007D54CB" w:rsidP="007D54CB">
      <w:pPr>
        <w:spacing w:after="0" w:line="240" w:lineRule="auto"/>
        <w:jc w:val="center"/>
        <w:rPr>
          <w:rFonts w:ascii="Cambria" w:hAnsi="Cambria"/>
          <w:sz w:val="20"/>
          <w:szCs w:val="20"/>
          <w:lang w:val="es-US"/>
        </w:rPr>
      </w:pPr>
      <w:r w:rsidRPr="007D54CB">
        <w:rPr>
          <w:rFonts w:ascii="Cambria" w:hAnsi="Cambria"/>
          <w:sz w:val="20"/>
          <w:szCs w:val="20"/>
          <w:lang w:val="es-US"/>
        </w:rPr>
        <w:t xml:space="preserve">        </w:t>
      </w:r>
    </w:p>
    <w:p w14:paraId="736CB26F" w14:textId="77777777" w:rsidR="007D54CB" w:rsidRPr="007D54CB" w:rsidRDefault="007D54CB" w:rsidP="007D54CB">
      <w:pPr>
        <w:tabs>
          <w:tab w:val="left" w:pos="-720"/>
        </w:tabs>
        <w:spacing w:after="0" w:line="240" w:lineRule="auto"/>
        <w:jc w:val="center"/>
        <w:rPr>
          <w:rFonts w:ascii="Cambria" w:hAnsi="Cambria" w:cs="Calibri"/>
          <w:sz w:val="20"/>
          <w:szCs w:val="20"/>
          <w:lang w:val="es-US"/>
        </w:rPr>
      </w:pPr>
      <w:r w:rsidRPr="007D54CB">
        <w:rPr>
          <w:rFonts w:ascii="Cambria" w:hAnsi="Cambria" w:cs="Calibri"/>
          <w:sz w:val="20"/>
          <w:szCs w:val="20"/>
          <w:lang w:val="es-US"/>
        </w:rPr>
        <w:t>Marisol Blanchard</w:t>
      </w:r>
    </w:p>
    <w:p w14:paraId="2C063035" w14:textId="77777777" w:rsidR="007D54CB" w:rsidRPr="007D54CB" w:rsidRDefault="007D54CB" w:rsidP="007D54CB">
      <w:pPr>
        <w:tabs>
          <w:tab w:val="left" w:pos="-720"/>
          <w:tab w:val="left" w:pos="5760"/>
        </w:tabs>
        <w:spacing w:after="0" w:line="240" w:lineRule="auto"/>
        <w:jc w:val="center"/>
        <w:rPr>
          <w:rFonts w:ascii="Cambria" w:hAnsi="Cambria" w:cs="Calibri"/>
          <w:sz w:val="20"/>
          <w:szCs w:val="20"/>
          <w:lang w:val="es-US"/>
        </w:rPr>
      </w:pPr>
      <w:r w:rsidRPr="007D54CB">
        <w:rPr>
          <w:rFonts w:ascii="Cambria" w:hAnsi="Cambria" w:cs="Calibri"/>
          <w:sz w:val="20"/>
          <w:szCs w:val="20"/>
          <w:lang w:val="es-US"/>
        </w:rPr>
        <w:t>Secretaria Ejecutiva Adjunta</w:t>
      </w:r>
    </w:p>
    <w:p w14:paraId="047419AE" w14:textId="77777777" w:rsidR="007C43F1" w:rsidRPr="00AF7AFD" w:rsidRDefault="007C43F1" w:rsidP="00AF7AFD">
      <w:pPr>
        <w:suppressAutoHyphens/>
        <w:spacing w:after="0" w:line="240" w:lineRule="auto"/>
        <w:rPr>
          <w:rFonts w:ascii="Cambria" w:hAnsi="Cambria" w:cs="Calibri"/>
          <w:snapToGrid w:val="0"/>
          <w:sz w:val="20"/>
          <w:szCs w:val="20"/>
          <w:lang w:val="es-CO"/>
        </w:rPr>
      </w:pPr>
    </w:p>
    <w:p w14:paraId="7509D311" w14:textId="77777777" w:rsidR="00036129" w:rsidRPr="00E15C63" w:rsidRDefault="00036129" w:rsidP="00AF7AFD">
      <w:pPr>
        <w:spacing w:after="0" w:line="240" w:lineRule="auto"/>
        <w:rPr>
          <w:rFonts w:ascii="Cambria" w:hAnsi="Cambria" w:cs="Calibri"/>
          <w:sz w:val="20"/>
          <w:szCs w:val="20"/>
          <w:lang w:val="es-CO"/>
        </w:rPr>
      </w:pPr>
      <w:r w:rsidRPr="00AF7AFD">
        <w:rPr>
          <w:rFonts w:ascii="Cambria" w:hAnsi="Cambria" w:cs="Calibri"/>
          <w:sz w:val="20"/>
          <w:szCs w:val="20"/>
          <w:lang w:val="es-CO"/>
        </w:rPr>
        <w:t>Anexo</w:t>
      </w:r>
    </w:p>
    <w:sectPr w:rsidR="00036129" w:rsidRPr="00E15C63" w:rsidSect="0062724F">
      <w:headerReference w:type="default" r:id="rId12"/>
      <w:footerReference w:type="default" r:id="rId13"/>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FFF7C" w14:textId="77777777" w:rsidR="0024662B" w:rsidRDefault="0024662B">
      <w:pPr>
        <w:spacing w:after="0" w:line="240" w:lineRule="auto"/>
      </w:pPr>
      <w:r>
        <w:separator/>
      </w:r>
    </w:p>
  </w:endnote>
  <w:endnote w:type="continuationSeparator" w:id="0">
    <w:p w14:paraId="2ED35950" w14:textId="77777777" w:rsidR="0024662B" w:rsidRDefault="00246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7ADC" w14:textId="77777777" w:rsidR="0062724F" w:rsidRDefault="0062724F" w:rsidP="0062724F">
    <w:pPr>
      <w:pStyle w:val="Piedepgina"/>
      <w:spacing w:line="360" w:lineRule="auto"/>
    </w:pPr>
    <w:r>
      <w:pict w14:anchorId="0FF6DDB8">
        <v:rect id="_x0000_i1026" style="width:0;height:1.5pt" o:hralign="center" o:hrstd="t" o:hr="t" fillcolor="#a0a0a0" stroked="f"/>
      </w:pict>
    </w:r>
  </w:p>
  <w:p w14:paraId="4E872795" w14:textId="7DE44B9E" w:rsidR="0062724F" w:rsidRDefault="001D182C" w:rsidP="0062724F">
    <w:pPr>
      <w:pStyle w:val="Piedepgina"/>
      <w:jc w:val="center"/>
    </w:pPr>
    <w:r w:rsidRPr="008A5CB5">
      <w:rPr>
        <w:noProof/>
      </w:rPr>
      <w:drawing>
        <wp:inline distT="0" distB="0" distL="0" distR="0" wp14:anchorId="4FA16653" wp14:editId="6CA7D6B2">
          <wp:extent cx="5114925" cy="323850"/>
          <wp:effectExtent l="0" t="0" r="0" b="0"/>
          <wp:docPr id="5"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8BA07" w14:textId="77777777" w:rsidR="0024662B" w:rsidRDefault="0024662B">
      <w:pPr>
        <w:spacing w:after="0" w:line="240" w:lineRule="auto"/>
      </w:pPr>
      <w:r>
        <w:separator/>
      </w:r>
    </w:p>
  </w:footnote>
  <w:footnote w:type="continuationSeparator" w:id="0">
    <w:p w14:paraId="48EB1E81" w14:textId="77777777" w:rsidR="0024662B" w:rsidRDefault="00246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55C2" w14:textId="7C045D13" w:rsidR="0062724F" w:rsidRDefault="001D182C" w:rsidP="0062724F">
    <w:pPr>
      <w:pStyle w:val="Encabezado"/>
    </w:pPr>
    <w:r w:rsidRPr="008A5CB5">
      <w:rPr>
        <w:noProof/>
      </w:rPr>
      <w:drawing>
        <wp:inline distT="0" distB="0" distL="0" distR="0" wp14:anchorId="0FAEBC7C" wp14:editId="04E5B95A">
          <wp:extent cx="2352675" cy="457200"/>
          <wp:effectExtent l="0" t="0" r="0" b="0"/>
          <wp:docPr id="3"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62724F">
      <w:tab/>
      <w:t xml:space="preserve">                                                                            </w:t>
    </w:r>
    <w:r w:rsidRPr="008A5CB5">
      <w:rPr>
        <w:noProof/>
      </w:rPr>
      <w:drawing>
        <wp:inline distT="0" distB="0" distL="0" distR="0" wp14:anchorId="3D8191C0" wp14:editId="126F195E">
          <wp:extent cx="1647825" cy="476250"/>
          <wp:effectExtent l="0" t="0" r="0" b="0"/>
          <wp:docPr id="4"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794EB051" w14:textId="77777777" w:rsidR="0062724F" w:rsidRDefault="0062724F" w:rsidP="0062724F">
    <w:pPr>
      <w:pStyle w:val="Encabezado"/>
    </w:pPr>
    <w:r>
      <w:pict w14:anchorId="38AE40C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A4834"/>
    <w:multiLevelType w:val="hybridMultilevel"/>
    <w:tmpl w:val="8DF0B26A"/>
    <w:lvl w:ilvl="0" w:tplc="91A00AB4">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BD03E6"/>
    <w:multiLevelType w:val="hybridMultilevel"/>
    <w:tmpl w:val="DDEC46F0"/>
    <w:lvl w:ilvl="0" w:tplc="EAF698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7D4B9D"/>
    <w:multiLevelType w:val="hybridMultilevel"/>
    <w:tmpl w:val="855219E2"/>
    <w:lvl w:ilvl="0" w:tplc="CAC6964E">
      <w:start w:val="1"/>
      <w:numFmt w:val="decimal"/>
      <w:lvlText w:val="%1."/>
      <w:lvlJc w:val="left"/>
      <w:pPr>
        <w:ind w:left="126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89434A6">
      <w:start w:val="1"/>
      <w:numFmt w:val="decimal"/>
      <w:lvlText w:val="%4."/>
      <w:lvlJc w:val="left"/>
      <w:pPr>
        <w:ind w:left="2880" w:hanging="360"/>
      </w:pPr>
      <w:rPr>
        <w:rFonts w:ascii="Cambria" w:hAnsi="Cambria" w:hint="default"/>
        <w:sz w:val="20"/>
        <w:szCs w:val="2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DF2ED9"/>
    <w:multiLevelType w:val="hybridMultilevel"/>
    <w:tmpl w:val="052CDC5E"/>
    <w:lvl w:ilvl="0" w:tplc="D92C12E8">
      <w:start w:val="1"/>
      <w:numFmt w:val="decimal"/>
      <w:lvlText w:val="%1."/>
      <w:lvlJc w:val="left"/>
      <w:pPr>
        <w:tabs>
          <w:tab w:val="num" w:pos="2400"/>
        </w:tabs>
        <w:ind w:left="2400" w:hanging="42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6B4460CA"/>
    <w:multiLevelType w:val="hybridMultilevel"/>
    <w:tmpl w:val="07B85AD8"/>
    <w:lvl w:ilvl="0" w:tplc="67D6E770">
      <w:start w:val="1"/>
      <w:numFmt w:val="decimal"/>
      <w:lvlText w:val="%1."/>
      <w:lvlJc w:val="left"/>
      <w:pPr>
        <w:tabs>
          <w:tab w:val="num" w:pos="927"/>
        </w:tabs>
        <w:ind w:left="927" w:hanging="360"/>
      </w:pPr>
      <w:rPr>
        <w:rFonts w:cs="Arial"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16cid:durableId="1333412005">
    <w:abstractNumId w:val="5"/>
  </w:num>
  <w:num w:numId="2" w16cid:durableId="729840608">
    <w:abstractNumId w:val="0"/>
  </w:num>
  <w:num w:numId="3" w16cid:durableId="228418546">
    <w:abstractNumId w:val="1"/>
  </w:num>
  <w:num w:numId="4" w16cid:durableId="19859298">
    <w:abstractNumId w:val="2"/>
  </w:num>
  <w:num w:numId="5" w16cid:durableId="1845045331">
    <w:abstractNumId w:val="3"/>
  </w:num>
  <w:num w:numId="6" w16cid:durableId="5631831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30"/>
    <w:rsid w:val="000124ED"/>
    <w:rsid w:val="00026E4B"/>
    <w:rsid w:val="000276AD"/>
    <w:rsid w:val="00030832"/>
    <w:rsid w:val="00030BCB"/>
    <w:rsid w:val="00036129"/>
    <w:rsid w:val="000377EB"/>
    <w:rsid w:val="00041929"/>
    <w:rsid w:val="000720B2"/>
    <w:rsid w:val="0008211C"/>
    <w:rsid w:val="000830A2"/>
    <w:rsid w:val="000933BD"/>
    <w:rsid w:val="0009418E"/>
    <w:rsid w:val="000A522A"/>
    <w:rsid w:val="000A553D"/>
    <w:rsid w:val="000A59F0"/>
    <w:rsid w:val="000B53D8"/>
    <w:rsid w:val="000B6378"/>
    <w:rsid w:val="000C6AFC"/>
    <w:rsid w:val="000E46EA"/>
    <w:rsid w:val="000F0E65"/>
    <w:rsid w:val="000F4D9B"/>
    <w:rsid w:val="00113BFB"/>
    <w:rsid w:val="0012155F"/>
    <w:rsid w:val="00122CC3"/>
    <w:rsid w:val="00161E48"/>
    <w:rsid w:val="00162B39"/>
    <w:rsid w:val="00163839"/>
    <w:rsid w:val="00185890"/>
    <w:rsid w:val="00185F5E"/>
    <w:rsid w:val="00193042"/>
    <w:rsid w:val="001A73D3"/>
    <w:rsid w:val="001B4CC9"/>
    <w:rsid w:val="001B689C"/>
    <w:rsid w:val="001C4F09"/>
    <w:rsid w:val="001C667B"/>
    <w:rsid w:val="001D182C"/>
    <w:rsid w:val="001D2D90"/>
    <w:rsid w:val="001E4E24"/>
    <w:rsid w:val="001E7791"/>
    <w:rsid w:val="00214E97"/>
    <w:rsid w:val="0023499D"/>
    <w:rsid w:val="002366E8"/>
    <w:rsid w:val="00244EEF"/>
    <w:rsid w:val="002450AA"/>
    <w:rsid w:val="0024662B"/>
    <w:rsid w:val="00251530"/>
    <w:rsid w:val="00270156"/>
    <w:rsid w:val="00270BF0"/>
    <w:rsid w:val="00270CE6"/>
    <w:rsid w:val="00274A40"/>
    <w:rsid w:val="00292C6E"/>
    <w:rsid w:val="002972D3"/>
    <w:rsid w:val="002A6ACA"/>
    <w:rsid w:val="002C22E4"/>
    <w:rsid w:val="002C4155"/>
    <w:rsid w:val="002E04AE"/>
    <w:rsid w:val="002E5A78"/>
    <w:rsid w:val="00311970"/>
    <w:rsid w:val="00323141"/>
    <w:rsid w:val="00325351"/>
    <w:rsid w:val="0033178F"/>
    <w:rsid w:val="003419D6"/>
    <w:rsid w:val="00342E3D"/>
    <w:rsid w:val="00374388"/>
    <w:rsid w:val="00380892"/>
    <w:rsid w:val="0039732B"/>
    <w:rsid w:val="003A328F"/>
    <w:rsid w:val="003A5C0F"/>
    <w:rsid w:val="003B657C"/>
    <w:rsid w:val="003B7589"/>
    <w:rsid w:val="003D0C78"/>
    <w:rsid w:val="003E642E"/>
    <w:rsid w:val="003E6C18"/>
    <w:rsid w:val="003E77F3"/>
    <w:rsid w:val="003F396B"/>
    <w:rsid w:val="004230E5"/>
    <w:rsid w:val="00423FC3"/>
    <w:rsid w:val="00425DAF"/>
    <w:rsid w:val="00431C93"/>
    <w:rsid w:val="0045699E"/>
    <w:rsid w:val="00465A2D"/>
    <w:rsid w:val="00474B44"/>
    <w:rsid w:val="00475670"/>
    <w:rsid w:val="00485836"/>
    <w:rsid w:val="004872EA"/>
    <w:rsid w:val="00491D94"/>
    <w:rsid w:val="004933D4"/>
    <w:rsid w:val="004A0C52"/>
    <w:rsid w:val="004A4B34"/>
    <w:rsid w:val="004A5EBE"/>
    <w:rsid w:val="004B7AAB"/>
    <w:rsid w:val="004C6BEC"/>
    <w:rsid w:val="004C753C"/>
    <w:rsid w:val="004E4A7E"/>
    <w:rsid w:val="00527277"/>
    <w:rsid w:val="005530B2"/>
    <w:rsid w:val="005842DF"/>
    <w:rsid w:val="00594CAA"/>
    <w:rsid w:val="00595471"/>
    <w:rsid w:val="005970AA"/>
    <w:rsid w:val="005A32EA"/>
    <w:rsid w:val="005C6F15"/>
    <w:rsid w:val="005E27F8"/>
    <w:rsid w:val="005F3F0F"/>
    <w:rsid w:val="00622A55"/>
    <w:rsid w:val="0062724F"/>
    <w:rsid w:val="006458EC"/>
    <w:rsid w:val="006576FF"/>
    <w:rsid w:val="00657C85"/>
    <w:rsid w:val="006621B7"/>
    <w:rsid w:val="0067239A"/>
    <w:rsid w:val="006728D2"/>
    <w:rsid w:val="00673082"/>
    <w:rsid w:val="006863A0"/>
    <w:rsid w:val="00696542"/>
    <w:rsid w:val="006A397F"/>
    <w:rsid w:val="006A6638"/>
    <w:rsid w:val="006B40F2"/>
    <w:rsid w:val="006D2BBA"/>
    <w:rsid w:val="006E0185"/>
    <w:rsid w:val="006F53F9"/>
    <w:rsid w:val="0070021A"/>
    <w:rsid w:val="007175E5"/>
    <w:rsid w:val="00742334"/>
    <w:rsid w:val="007549A6"/>
    <w:rsid w:val="0076461C"/>
    <w:rsid w:val="00767063"/>
    <w:rsid w:val="00770763"/>
    <w:rsid w:val="0077407E"/>
    <w:rsid w:val="0079151B"/>
    <w:rsid w:val="007A134B"/>
    <w:rsid w:val="007A60E8"/>
    <w:rsid w:val="007A6B68"/>
    <w:rsid w:val="007B50C1"/>
    <w:rsid w:val="007C43F1"/>
    <w:rsid w:val="007D54CB"/>
    <w:rsid w:val="007E2CE9"/>
    <w:rsid w:val="007E3BC5"/>
    <w:rsid w:val="0080637D"/>
    <w:rsid w:val="008106B9"/>
    <w:rsid w:val="00811D42"/>
    <w:rsid w:val="0081200F"/>
    <w:rsid w:val="00820FCD"/>
    <w:rsid w:val="00825FE0"/>
    <w:rsid w:val="0082634B"/>
    <w:rsid w:val="00837BDD"/>
    <w:rsid w:val="00841921"/>
    <w:rsid w:val="008565CA"/>
    <w:rsid w:val="00880A57"/>
    <w:rsid w:val="008B02C6"/>
    <w:rsid w:val="008D4B4B"/>
    <w:rsid w:val="008E29E9"/>
    <w:rsid w:val="008E3FAA"/>
    <w:rsid w:val="008F1FEC"/>
    <w:rsid w:val="008F541D"/>
    <w:rsid w:val="009061D5"/>
    <w:rsid w:val="009174C1"/>
    <w:rsid w:val="00920865"/>
    <w:rsid w:val="00927010"/>
    <w:rsid w:val="00935532"/>
    <w:rsid w:val="009464D0"/>
    <w:rsid w:val="00964313"/>
    <w:rsid w:val="00965FD5"/>
    <w:rsid w:val="009725BC"/>
    <w:rsid w:val="0099374F"/>
    <w:rsid w:val="00997B21"/>
    <w:rsid w:val="009B2607"/>
    <w:rsid w:val="00A023C1"/>
    <w:rsid w:val="00A169A2"/>
    <w:rsid w:val="00A21B59"/>
    <w:rsid w:val="00A24782"/>
    <w:rsid w:val="00A37D8B"/>
    <w:rsid w:val="00A40D90"/>
    <w:rsid w:val="00A60B0E"/>
    <w:rsid w:val="00A62CCA"/>
    <w:rsid w:val="00A72AC8"/>
    <w:rsid w:val="00A768E0"/>
    <w:rsid w:val="00A83168"/>
    <w:rsid w:val="00A851A9"/>
    <w:rsid w:val="00AF7AFD"/>
    <w:rsid w:val="00B102AA"/>
    <w:rsid w:val="00B10467"/>
    <w:rsid w:val="00B3456F"/>
    <w:rsid w:val="00B351E4"/>
    <w:rsid w:val="00B57F0D"/>
    <w:rsid w:val="00BC65EB"/>
    <w:rsid w:val="00BD19E3"/>
    <w:rsid w:val="00BD379A"/>
    <w:rsid w:val="00BD5FBF"/>
    <w:rsid w:val="00BE21F7"/>
    <w:rsid w:val="00BE39C8"/>
    <w:rsid w:val="00BE3F28"/>
    <w:rsid w:val="00C25743"/>
    <w:rsid w:val="00C52040"/>
    <w:rsid w:val="00C65FB2"/>
    <w:rsid w:val="00C7141F"/>
    <w:rsid w:val="00C86A06"/>
    <w:rsid w:val="00CA6A84"/>
    <w:rsid w:val="00CC4AF4"/>
    <w:rsid w:val="00CE1020"/>
    <w:rsid w:val="00CE3CE3"/>
    <w:rsid w:val="00CE5088"/>
    <w:rsid w:val="00CF29EF"/>
    <w:rsid w:val="00D11B56"/>
    <w:rsid w:val="00D45906"/>
    <w:rsid w:val="00D57F7B"/>
    <w:rsid w:val="00D74E5D"/>
    <w:rsid w:val="00DA4AD1"/>
    <w:rsid w:val="00E11D1F"/>
    <w:rsid w:val="00E15C63"/>
    <w:rsid w:val="00E3024D"/>
    <w:rsid w:val="00E366F8"/>
    <w:rsid w:val="00E4224F"/>
    <w:rsid w:val="00E446B2"/>
    <w:rsid w:val="00E61031"/>
    <w:rsid w:val="00E67C5D"/>
    <w:rsid w:val="00E70BC5"/>
    <w:rsid w:val="00E72A83"/>
    <w:rsid w:val="00E75D6E"/>
    <w:rsid w:val="00E97004"/>
    <w:rsid w:val="00EB3959"/>
    <w:rsid w:val="00EB764F"/>
    <w:rsid w:val="00ED4339"/>
    <w:rsid w:val="00ED7767"/>
    <w:rsid w:val="00F06E3B"/>
    <w:rsid w:val="00F10A61"/>
    <w:rsid w:val="00F171A9"/>
    <w:rsid w:val="00F22267"/>
    <w:rsid w:val="00F30A37"/>
    <w:rsid w:val="00F35245"/>
    <w:rsid w:val="00F4208B"/>
    <w:rsid w:val="00F65851"/>
    <w:rsid w:val="00F71348"/>
    <w:rsid w:val="00F75658"/>
    <w:rsid w:val="00F95A0C"/>
    <w:rsid w:val="00FC475C"/>
    <w:rsid w:val="00FD1819"/>
    <w:rsid w:val="00FE259D"/>
    <w:rsid w:val="00FE58A9"/>
    <w:rsid w:val="00FF27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3E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Ttulo2">
    <w:name w:val="heading 2"/>
    <w:basedOn w:val="Normal"/>
    <w:next w:val="Normal"/>
    <w:link w:val="Ttulo2Car"/>
    <w:uiPriority w:val="9"/>
    <w:unhideWhenUsed/>
    <w:qFormat/>
    <w:rsid w:val="007175E5"/>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51530"/>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251530"/>
    <w:rPr>
      <w:rFonts w:eastAsia="Batang"/>
      <w:sz w:val="22"/>
      <w:szCs w:val="22"/>
    </w:rPr>
  </w:style>
  <w:style w:type="paragraph" w:styleId="Piedepgina">
    <w:name w:val="footer"/>
    <w:basedOn w:val="Normal"/>
    <w:link w:val="PiedepginaCar"/>
    <w:rsid w:val="00251530"/>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251530"/>
    <w:rPr>
      <w:rFonts w:ascii="Times New Roman" w:eastAsia="Times New Roman" w:hAnsi="Times New Roman"/>
      <w:sz w:val="24"/>
      <w:szCs w:val="24"/>
      <w:lang w:val="es-ES" w:eastAsia="es-ES"/>
    </w:rPr>
  </w:style>
  <w:style w:type="paragraph" w:styleId="Sangradetextonormal">
    <w:name w:val="Body Text Indent"/>
    <w:link w:val="SangradetextonormalCar"/>
    <w:rsid w:val="00841921"/>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841921"/>
    <w:rPr>
      <w:rFonts w:ascii="Times New Roman" w:eastAsia="Times New Roman" w:hAnsi="Times New Roman"/>
      <w:color w:val="000000"/>
      <w:sz w:val="24"/>
      <w:szCs w:val="24"/>
      <w:u w:color="000000"/>
      <w:bdr w:val="nil"/>
      <w:lang w:val="es-ES_tradnl" w:eastAsia="es-ES"/>
    </w:rPr>
  </w:style>
  <w:style w:type="paragraph" w:customStyle="1" w:styleId="MediumGrid1-Accent21">
    <w:name w:val="Medium Grid 1 - Accent 21"/>
    <w:uiPriority w:val="34"/>
    <w:qFormat/>
    <w:rsid w:val="00B1046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styleId="Hipervnculo">
    <w:name w:val="Hyperlink"/>
    <w:uiPriority w:val="99"/>
    <w:unhideWhenUsed/>
    <w:rsid w:val="002450AA"/>
    <w:rPr>
      <w:color w:val="0000FF"/>
      <w:u w:val="single"/>
    </w:rPr>
  </w:style>
  <w:style w:type="paragraph" w:styleId="Prrafodelista">
    <w:name w:val="List Paragraph"/>
    <w:basedOn w:val="Normal"/>
    <w:uiPriority w:val="34"/>
    <w:qFormat/>
    <w:rsid w:val="00122CC3"/>
    <w:pPr>
      <w:ind w:left="720"/>
    </w:pPr>
  </w:style>
  <w:style w:type="character" w:customStyle="1" w:styleId="Ttulo2Car">
    <w:name w:val="Título 2 Car"/>
    <w:link w:val="Ttulo2"/>
    <w:uiPriority w:val="9"/>
    <w:rsid w:val="007175E5"/>
    <w:rPr>
      <w:rFonts w:ascii="Cambria" w:eastAsia="Times New Roman" w:hAnsi="Cambria" w:cs="Times New Roman"/>
      <w:b/>
      <w:bCs/>
      <w:i/>
      <w:iCs/>
      <w:sz w:val="28"/>
      <w:szCs w:val="28"/>
    </w:rPr>
  </w:style>
  <w:style w:type="paragraph" w:styleId="Textoindependiente3">
    <w:name w:val="Body Text 3"/>
    <w:basedOn w:val="Normal"/>
    <w:link w:val="Textoindependiente3Car"/>
    <w:uiPriority w:val="99"/>
    <w:unhideWhenUsed/>
    <w:rsid w:val="00770763"/>
    <w:pPr>
      <w:spacing w:after="120"/>
    </w:pPr>
    <w:rPr>
      <w:rFonts w:eastAsia="MS Mincho"/>
      <w:sz w:val="16"/>
      <w:szCs w:val="16"/>
    </w:rPr>
  </w:style>
  <w:style w:type="character" w:customStyle="1" w:styleId="Textoindependiente3Car">
    <w:name w:val="Texto independiente 3 Car"/>
    <w:link w:val="Textoindependiente3"/>
    <w:uiPriority w:val="99"/>
    <w:rsid w:val="00770763"/>
    <w:rPr>
      <w:rFonts w:eastAsia="MS Mincho"/>
      <w:sz w:val="16"/>
      <w:szCs w:val="16"/>
    </w:rPr>
  </w:style>
  <w:style w:type="character" w:styleId="Refdecomentario">
    <w:name w:val="annotation reference"/>
    <w:uiPriority w:val="99"/>
    <w:semiHidden/>
    <w:unhideWhenUsed/>
    <w:rsid w:val="007A6B68"/>
    <w:rPr>
      <w:sz w:val="16"/>
      <w:szCs w:val="16"/>
    </w:rPr>
  </w:style>
  <w:style w:type="paragraph" w:styleId="Textocomentario">
    <w:name w:val="annotation text"/>
    <w:basedOn w:val="Normal"/>
    <w:link w:val="TextocomentarioCar"/>
    <w:uiPriority w:val="99"/>
    <w:semiHidden/>
    <w:unhideWhenUsed/>
    <w:rsid w:val="007A6B68"/>
    <w:rPr>
      <w:sz w:val="20"/>
      <w:szCs w:val="20"/>
    </w:rPr>
  </w:style>
  <w:style w:type="character" w:customStyle="1" w:styleId="TextocomentarioCar">
    <w:name w:val="Texto comentario Car"/>
    <w:basedOn w:val="Fuentedeprrafopredeter"/>
    <w:link w:val="Textocomentario"/>
    <w:uiPriority w:val="99"/>
    <w:semiHidden/>
    <w:rsid w:val="007A6B68"/>
  </w:style>
  <w:style w:type="paragraph" w:styleId="Asuntodelcomentario">
    <w:name w:val="annotation subject"/>
    <w:basedOn w:val="Textocomentario"/>
    <w:next w:val="Textocomentario"/>
    <w:link w:val="AsuntodelcomentarioCar"/>
    <w:uiPriority w:val="99"/>
    <w:semiHidden/>
    <w:unhideWhenUsed/>
    <w:rsid w:val="007A6B68"/>
    <w:rPr>
      <w:b/>
      <w:bCs/>
    </w:rPr>
  </w:style>
  <w:style w:type="character" w:customStyle="1" w:styleId="AsuntodelcomentarioCar">
    <w:name w:val="Asunto del comentario Car"/>
    <w:link w:val="Asuntodelcomentario"/>
    <w:uiPriority w:val="99"/>
    <w:semiHidden/>
    <w:rsid w:val="007A6B68"/>
    <w:rPr>
      <w:b/>
      <w:bCs/>
    </w:rPr>
  </w:style>
  <w:style w:type="paragraph" w:styleId="Textodeglobo">
    <w:name w:val="Balloon Text"/>
    <w:basedOn w:val="Normal"/>
    <w:link w:val="TextodegloboCar"/>
    <w:uiPriority w:val="99"/>
    <w:semiHidden/>
    <w:unhideWhenUsed/>
    <w:rsid w:val="007A6B6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7A6B68"/>
    <w:rPr>
      <w:rFonts w:ascii="Tahoma" w:hAnsi="Tahoma" w:cs="Tahoma"/>
      <w:sz w:val="16"/>
      <w:szCs w:val="16"/>
    </w:rPr>
  </w:style>
  <w:style w:type="paragraph" w:customStyle="1" w:styleId="parrafos">
    <w:name w:val="parrafos"/>
    <w:basedOn w:val="Normal"/>
    <w:link w:val="parrafosChar"/>
    <w:qFormat/>
    <w:rsid w:val="00F65851"/>
    <w:pPr>
      <w:tabs>
        <w:tab w:val="left" w:pos="360"/>
      </w:tabs>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F65851"/>
    <w:rPr>
      <w:rFonts w:ascii="Cambria" w:eastAsia="Arial Unicode MS" w:hAnsi="Cambria"/>
      <w:color w:val="000000"/>
      <w:bdr w:val="nil"/>
      <w:lang w:val="es-VE"/>
    </w:rPr>
  </w:style>
  <w:style w:type="paragraph" w:customStyle="1" w:styleId="ColorfulList-Accent13">
    <w:name w:val="Colorful List - Accent 13"/>
    <w:basedOn w:val="Normal"/>
    <w:uiPriority w:val="34"/>
    <w:qFormat/>
    <w:rsid w:val="00F65851"/>
    <w:pPr>
      <w:pBdr>
        <w:top w:val="nil"/>
        <w:left w:val="nil"/>
        <w:bottom w:val="nil"/>
        <w:right w:val="nil"/>
        <w:between w:val="nil"/>
        <w:bar w:val="nil"/>
      </w:pBdr>
      <w:spacing w:after="0" w:line="240" w:lineRule="auto"/>
      <w:ind w:left="720"/>
      <w:contextualSpacing/>
    </w:pPr>
    <w:rPr>
      <w:rFonts w:ascii="Times New Roman" w:eastAsia="Arial Unicode MS" w:hAnsi="Times New Roman"/>
      <w:sz w:val="24"/>
      <w:szCs w:val="24"/>
      <w:bdr w:val="nil"/>
    </w:rPr>
  </w:style>
  <w:style w:type="paragraph" w:customStyle="1" w:styleId="Default">
    <w:name w:val="Default"/>
    <w:rsid w:val="0033178F"/>
    <w:pPr>
      <w:autoSpaceDE w:val="0"/>
      <w:autoSpaceDN w:val="0"/>
      <w:adjustRightInd w:val="0"/>
    </w:pPr>
    <w:rPr>
      <w:rFonts w:ascii="Arial" w:eastAsia="Times New Roman"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63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A0D06-34E1-4802-A025-3DDAE426E5AF}">
  <ds:schemaRefs>
    <ds:schemaRef ds:uri="http://schemas.openxmlformats.org/officeDocument/2006/bibliography"/>
  </ds:schemaRefs>
</ds:datastoreItem>
</file>

<file path=customXml/itemProps2.xml><?xml version="1.0" encoding="utf-8"?>
<ds:datastoreItem xmlns:ds="http://schemas.openxmlformats.org/officeDocument/2006/customXml" ds:itemID="{96F63D2B-F88B-4090-B588-6D013277AF09}">
  <ds:schemaRefs>
    <ds:schemaRef ds:uri="http://schemas.microsoft.com/office/2006/metadata/longProperties"/>
  </ds:schemaRefs>
</ds:datastoreItem>
</file>

<file path=customXml/itemProps3.xml><?xml version="1.0" encoding="utf-8"?>
<ds:datastoreItem xmlns:ds="http://schemas.openxmlformats.org/officeDocument/2006/customXml" ds:itemID="{0005973C-A414-4F8F-9AB2-345B9F1137FB}">
  <ds:schemaRefs>
    <ds:schemaRef ds:uri="http://schemas.microsoft.com/sharepoint/v3/contenttype/forms"/>
  </ds:schemaRefs>
</ds:datastoreItem>
</file>

<file path=customXml/itemProps4.xml><?xml version="1.0" encoding="utf-8"?>
<ds:datastoreItem xmlns:ds="http://schemas.openxmlformats.org/officeDocument/2006/customXml" ds:itemID="{0778E85B-8B7D-43BB-9AA1-BFD1E1B88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AB74F8-9885-44E3-A431-F5A17070FE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3056</Words>
  <Characters>16809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2022-08-02T19:37:00Z</dcterms:created>
  <dcterms:modified xsi:type="dcterms:W3CDTF">2022-08-02T19:37:00Z</dcterms:modified>
</cp:coreProperties>
</file>