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0DBC1" w14:textId="77777777" w:rsidR="009325EF" w:rsidRDefault="009325EF" w:rsidP="009325EF">
      <w:pPr>
        <w:tabs>
          <w:tab w:val="left" w:pos="567"/>
        </w:tabs>
        <w:spacing w:after="0" w:line="240" w:lineRule="auto"/>
        <w:ind w:left="567" w:hanging="567"/>
        <w:jc w:val="center"/>
        <w:rPr>
          <w:b/>
          <w:szCs w:val="20"/>
          <w:lang w:val="es-CR"/>
        </w:rPr>
      </w:pPr>
      <w:r>
        <w:rPr>
          <w:b/>
          <w:szCs w:val="20"/>
          <w:lang w:val="es-CR"/>
        </w:rPr>
        <w:t>RESOLUCIÓN DEL PRESIDENTE DE LA</w:t>
      </w:r>
    </w:p>
    <w:p w14:paraId="7D0B4597" w14:textId="77777777" w:rsidR="009325EF" w:rsidRDefault="009325EF" w:rsidP="009325EF">
      <w:pPr>
        <w:tabs>
          <w:tab w:val="left" w:pos="567"/>
        </w:tabs>
        <w:spacing w:after="0" w:line="240" w:lineRule="auto"/>
        <w:jc w:val="center"/>
        <w:rPr>
          <w:b/>
          <w:szCs w:val="20"/>
          <w:lang w:val="es-CR"/>
        </w:rPr>
      </w:pPr>
      <w:r>
        <w:rPr>
          <w:b/>
          <w:szCs w:val="20"/>
          <w:lang w:val="es-CR"/>
        </w:rPr>
        <w:t>CORTE INTERAMERICANA DE DERECHOS HUMANOS</w:t>
      </w:r>
    </w:p>
    <w:p w14:paraId="3479A0D3" w14:textId="77777777" w:rsidR="009325EF" w:rsidRDefault="009325EF" w:rsidP="009325EF">
      <w:pPr>
        <w:tabs>
          <w:tab w:val="left" w:pos="567"/>
        </w:tabs>
        <w:spacing w:after="0" w:line="240" w:lineRule="auto"/>
        <w:jc w:val="center"/>
        <w:rPr>
          <w:b/>
          <w:szCs w:val="20"/>
          <w:lang w:val="es-CR"/>
        </w:rPr>
      </w:pPr>
    </w:p>
    <w:p w14:paraId="391B98F1" w14:textId="5A2879BE" w:rsidR="009325EF" w:rsidRDefault="009325EF" w:rsidP="009325EF">
      <w:pPr>
        <w:tabs>
          <w:tab w:val="left" w:pos="567"/>
        </w:tabs>
        <w:spacing w:after="0" w:line="240" w:lineRule="auto"/>
        <w:jc w:val="center"/>
        <w:rPr>
          <w:b/>
          <w:szCs w:val="20"/>
          <w:lang w:val="es-CR"/>
        </w:rPr>
      </w:pPr>
      <w:r>
        <w:rPr>
          <w:b/>
          <w:szCs w:val="20"/>
          <w:lang w:val="es-CR"/>
        </w:rPr>
        <w:t xml:space="preserve">DE </w:t>
      </w:r>
      <w:r w:rsidR="0015629E">
        <w:rPr>
          <w:b/>
          <w:szCs w:val="20"/>
          <w:lang w:val="es-CR"/>
        </w:rPr>
        <w:t>5</w:t>
      </w:r>
      <w:r>
        <w:rPr>
          <w:b/>
          <w:szCs w:val="20"/>
          <w:lang w:val="es-CR"/>
        </w:rPr>
        <w:t xml:space="preserve"> DE SEPTIEMBRE DE 2022</w:t>
      </w:r>
    </w:p>
    <w:p w14:paraId="72C72AAB" w14:textId="77777777" w:rsidR="009325EF" w:rsidRDefault="009325EF" w:rsidP="009325EF">
      <w:pPr>
        <w:tabs>
          <w:tab w:val="left" w:pos="567"/>
        </w:tabs>
        <w:spacing w:after="0" w:line="240" w:lineRule="auto"/>
        <w:jc w:val="center"/>
        <w:rPr>
          <w:b/>
          <w:szCs w:val="20"/>
          <w:lang w:val="es-CR"/>
        </w:rPr>
      </w:pPr>
    </w:p>
    <w:p w14:paraId="5DBCC925" w14:textId="2A3671D9" w:rsidR="009325EF" w:rsidRDefault="009325EF" w:rsidP="009325EF">
      <w:pPr>
        <w:tabs>
          <w:tab w:val="left" w:pos="567"/>
        </w:tabs>
        <w:spacing w:after="0" w:line="240" w:lineRule="auto"/>
        <w:jc w:val="center"/>
        <w:rPr>
          <w:szCs w:val="20"/>
          <w:lang w:val="es-CR"/>
        </w:rPr>
      </w:pPr>
      <w:r>
        <w:rPr>
          <w:b/>
          <w:szCs w:val="20"/>
          <w:lang w:val="es-CR"/>
        </w:rPr>
        <w:t>CASO ASOCIACIÓN CIVIL MEMORIA ACTIVA VS. ARGENTINA</w:t>
      </w:r>
    </w:p>
    <w:p w14:paraId="2E7D875B" w14:textId="77777777" w:rsidR="009325EF" w:rsidRDefault="009325EF" w:rsidP="009325EF">
      <w:pPr>
        <w:tabs>
          <w:tab w:val="left" w:pos="567"/>
        </w:tabs>
        <w:spacing w:after="0" w:line="240" w:lineRule="auto"/>
        <w:rPr>
          <w:szCs w:val="20"/>
          <w:lang w:val="es-CR"/>
        </w:rPr>
      </w:pPr>
    </w:p>
    <w:p w14:paraId="20BE6BA7" w14:textId="77777777" w:rsidR="009325EF" w:rsidRDefault="009325EF" w:rsidP="009325EF">
      <w:pPr>
        <w:tabs>
          <w:tab w:val="left" w:pos="567"/>
        </w:tabs>
        <w:spacing w:after="0" w:line="240" w:lineRule="auto"/>
        <w:rPr>
          <w:b/>
          <w:szCs w:val="20"/>
          <w:lang w:val="es-CR"/>
        </w:rPr>
      </w:pPr>
      <w:r>
        <w:rPr>
          <w:b/>
          <w:szCs w:val="20"/>
          <w:lang w:val="es-CR"/>
        </w:rPr>
        <w:t>VISTO:</w:t>
      </w:r>
    </w:p>
    <w:p w14:paraId="4C645E56" w14:textId="12AB918E" w:rsidR="00840800" w:rsidRPr="00073780" w:rsidRDefault="009325EF" w:rsidP="000074AA">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bookmarkStart w:id="0" w:name="_Ref393297742"/>
      <w:bookmarkStart w:id="1" w:name="_Ref352676460"/>
      <w:r>
        <w:rPr>
          <w:lang w:val="es-CR"/>
        </w:rPr>
        <w:t>El escrito de sometimiento del caso y el Informe de Fondo de la Comisión Interamericana de Derechos Humanos (en adelante “la Comisión Interamericana” o “la Comisión”)</w:t>
      </w:r>
      <w:bookmarkEnd w:id="0"/>
      <w:r>
        <w:rPr>
          <w:lang w:val="es-CR"/>
        </w:rPr>
        <w:t xml:space="preserve">; </w:t>
      </w:r>
      <w:bookmarkStart w:id="2" w:name="_Ref351983508"/>
      <w:bookmarkStart w:id="3" w:name="_Ref393297751"/>
      <w:bookmarkEnd w:id="1"/>
      <w:r w:rsidR="00262956">
        <w:rPr>
          <w:lang w:val="es-CR"/>
        </w:rPr>
        <w:t>el escrito</w:t>
      </w:r>
      <w:r>
        <w:rPr>
          <w:lang w:val="es-CR"/>
        </w:rPr>
        <w:t xml:space="preserve"> de solicitudes, argumentos y pruebas (en adelante, “escrito de solicitudes y argumentos”) </w:t>
      </w:r>
      <w:r w:rsidR="00262956">
        <w:rPr>
          <w:lang w:val="es-CR"/>
        </w:rPr>
        <w:t>de l</w:t>
      </w:r>
      <w:r w:rsidR="001F3BCB">
        <w:rPr>
          <w:lang w:val="es-CR"/>
        </w:rPr>
        <w:t>o</w:t>
      </w:r>
      <w:r w:rsidR="00262956">
        <w:rPr>
          <w:lang w:val="es-CR"/>
        </w:rPr>
        <w:t>s representantes de las presuntas víctimas</w:t>
      </w:r>
      <w:r>
        <w:rPr>
          <w:rStyle w:val="Refdenotaalpie"/>
          <w:lang w:val="es-CR"/>
        </w:rPr>
        <w:footnoteReference w:id="1"/>
      </w:r>
      <w:r>
        <w:rPr>
          <w:lang w:val="es-CR"/>
        </w:rPr>
        <w:t xml:space="preserve">; </w:t>
      </w:r>
      <w:bookmarkStart w:id="4" w:name="_Ref352676532"/>
      <w:bookmarkEnd w:id="2"/>
      <w:bookmarkEnd w:id="3"/>
      <w:r>
        <w:rPr>
          <w:lang w:val="es-CR"/>
        </w:rPr>
        <w:t xml:space="preserve">el escrito de </w:t>
      </w:r>
      <w:r w:rsidR="00262956" w:rsidRPr="0099773D">
        <w:t>reconocimiento</w:t>
      </w:r>
      <w:r w:rsidR="00262956">
        <w:rPr>
          <w:lang w:val="es-CR"/>
        </w:rPr>
        <w:t xml:space="preserve"> </w:t>
      </w:r>
      <w:r w:rsidR="00F50D11">
        <w:rPr>
          <w:lang w:val="es-CR"/>
        </w:rPr>
        <w:t>de responsabilidad y de</w:t>
      </w:r>
      <w:r w:rsidR="00677BEE">
        <w:rPr>
          <w:lang w:val="es-CR"/>
        </w:rPr>
        <w:t xml:space="preserve"> </w:t>
      </w:r>
      <w:r>
        <w:rPr>
          <w:lang w:val="es-CR"/>
        </w:rPr>
        <w:t xml:space="preserve">contestación al sometimiento del caso y al escrito de solicitudes y </w:t>
      </w:r>
      <w:r w:rsidRPr="00262956">
        <w:rPr>
          <w:color w:val="000000" w:themeColor="text1"/>
          <w:lang w:val="es-CR"/>
        </w:rPr>
        <w:t>argumentos</w:t>
      </w:r>
      <w:r w:rsidR="00262956" w:rsidRPr="00262956">
        <w:rPr>
          <w:color w:val="000000" w:themeColor="text1"/>
          <w:lang w:val="es-CR"/>
        </w:rPr>
        <w:t xml:space="preserve"> </w:t>
      </w:r>
      <w:r>
        <w:rPr>
          <w:lang w:val="es-CR"/>
        </w:rPr>
        <w:t xml:space="preserve">(en adelante “escrito de contestación”) </w:t>
      </w:r>
      <w:bookmarkEnd w:id="4"/>
      <w:r w:rsidR="00EC5FC3">
        <w:rPr>
          <w:lang w:val="es-CR"/>
        </w:rPr>
        <w:t>de la República</w:t>
      </w:r>
      <w:r>
        <w:t xml:space="preserve"> </w:t>
      </w:r>
      <w:r w:rsidR="00262956">
        <w:t>Argentina</w:t>
      </w:r>
      <w:r>
        <w:rPr>
          <w:b/>
          <w:lang w:val="es-CR"/>
        </w:rPr>
        <w:t xml:space="preserve"> </w:t>
      </w:r>
      <w:r>
        <w:t>(en adelante “</w:t>
      </w:r>
      <w:r w:rsidR="001549FE">
        <w:t>Argentina</w:t>
      </w:r>
      <w:r>
        <w:t xml:space="preserve">” o “el Estado”), así como los escritos de observaciones </w:t>
      </w:r>
      <w:r w:rsidR="00F50D11">
        <w:t>al reconocimiento</w:t>
      </w:r>
      <w:r w:rsidR="001F3BCB">
        <w:t xml:space="preserve"> de responsabilidad</w:t>
      </w:r>
      <w:r>
        <w:t xml:space="preserve"> presentados por la Comisión y </w:t>
      </w:r>
      <w:r w:rsidR="009423BA">
        <w:t>l</w:t>
      </w:r>
      <w:r w:rsidR="001F3BCB">
        <w:t>o</w:t>
      </w:r>
      <w:r w:rsidR="009423BA">
        <w:t xml:space="preserve">s </w:t>
      </w:r>
      <w:r w:rsidR="00F47B8C">
        <w:t>representantes.</w:t>
      </w:r>
    </w:p>
    <w:p w14:paraId="32AA1DAE" w14:textId="1DB6EE00" w:rsidR="009325EF" w:rsidRPr="0099773D" w:rsidRDefault="00840800" w:rsidP="009325EF">
      <w:pPr>
        <w:widowControl w:val="0"/>
        <w:numPr>
          <w:ilvl w:val="0"/>
          <w:numId w:val="1"/>
        </w:numPr>
        <w:tabs>
          <w:tab w:val="left" w:pos="567"/>
        </w:tabs>
        <w:autoSpaceDE w:val="0"/>
        <w:autoSpaceDN w:val="0"/>
        <w:adjustRightInd w:val="0"/>
        <w:spacing w:before="240" w:after="240" w:line="240" w:lineRule="auto"/>
        <w:ind w:left="0" w:right="22" w:firstLine="0"/>
        <w:jc w:val="both"/>
        <w:rPr>
          <w:b/>
          <w:lang w:val="es-CR"/>
        </w:rPr>
      </w:pPr>
      <w:bookmarkStart w:id="5" w:name="_Ref393297780"/>
      <w:bookmarkStart w:id="6" w:name="_Ref393920719"/>
      <w:r w:rsidRPr="00840800">
        <w:t xml:space="preserve">Los escritos de </w:t>
      </w:r>
      <w:r>
        <w:t>19 y 22</w:t>
      </w:r>
      <w:r w:rsidR="006F5AAA">
        <w:t xml:space="preserve"> </w:t>
      </w:r>
      <w:r>
        <w:t>de noviembre</w:t>
      </w:r>
      <w:r w:rsidRPr="00840800">
        <w:t xml:space="preserve"> de 2021, por medio de los cuales </w:t>
      </w:r>
      <w:r>
        <w:t>los representantes y la Comisión</w:t>
      </w:r>
      <w:r w:rsidRPr="00840800">
        <w:t>, respectivamente, presentaron sus listas definitivas de declarantes. El Estado, por su parte, no ofreció declarantes en su escrito de contestación</w:t>
      </w:r>
      <w:r>
        <w:t>.</w:t>
      </w:r>
      <w:bookmarkEnd w:id="5"/>
      <w:bookmarkEnd w:id="6"/>
      <w:r w:rsidR="00677BEE">
        <w:rPr>
          <w:lang w:val="es-CR"/>
        </w:rPr>
        <w:t xml:space="preserve"> </w:t>
      </w:r>
    </w:p>
    <w:p w14:paraId="08626200" w14:textId="55171376" w:rsidR="006F5AAA" w:rsidRPr="0012712B" w:rsidRDefault="006F5AAA" w:rsidP="009325EF">
      <w:pPr>
        <w:widowControl w:val="0"/>
        <w:numPr>
          <w:ilvl w:val="0"/>
          <w:numId w:val="1"/>
        </w:numPr>
        <w:tabs>
          <w:tab w:val="left" w:pos="567"/>
        </w:tabs>
        <w:autoSpaceDE w:val="0"/>
        <w:autoSpaceDN w:val="0"/>
        <w:adjustRightInd w:val="0"/>
        <w:spacing w:before="240" w:after="240" w:line="240" w:lineRule="auto"/>
        <w:ind w:left="0" w:right="22" w:firstLine="0"/>
        <w:jc w:val="both"/>
        <w:rPr>
          <w:b/>
          <w:lang w:val="es-CR"/>
        </w:rPr>
      </w:pPr>
      <w:r>
        <w:rPr>
          <w:bCs/>
          <w:lang w:val="es-CR"/>
        </w:rPr>
        <w:t xml:space="preserve">Los escritos de 22 de diciembre de 2021 y 5 de enero de 2022, por medio de los cuales los representantes y la Comisión, respectivamente, presentaron sus observaciones a las listas definitivas de declarantes. El Estado no presentó observaciones a las listas definitivas de declarantes presentadas por los representantes y la Comisión. </w:t>
      </w:r>
    </w:p>
    <w:p w14:paraId="3F482535" w14:textId="77777777" w:rsidR="009325EF" w:rsidRPr="00A761F2" w:rsidRDefault="009325EF" w:rsidP="009325EF">
      <w:pPr>
        <w:tabs>
          <w:tab w:val="left" w:pos="567"/>
        </w:tabs>
        <w:spacing w:after="0" w:line="240" w:lineRule="auto"/>
        <w:rPr>
          <w:b/>
          <w:szCs w:val="20"/>
          <w:lang w:val="es-CR"/>
        </w:rPr>
      </w:pPr>
      <w:r>
        <w:rPr>
          <w:b/>
          <w:szCs w:val="20"/>
          <w:lang w:val="es-CR"/>
        </w:rPr>
        <w:t>CONSIDERANDO QUE:</w:t>
      </w:r>
    </w:p>
    <w:p w14:paraId="4DC8337A" w14:textId="479234BE" w:rsidR="009325EF" w:rsidRPr="00A761F2" w:rsidRDefault="009325EF" w:rsidP="009325E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lang w:val="es-CR"/>
        </w:rPr>
      </w:pPr>
      <w:r>
        <w:rPr>
          <w:lang w:val="es-CR"/>
        </w:rPr>
        <w:t xml:space="preserve">El ofrecimiento y la admisión de la prueba, así como la citación de declarantes se encuentran regulados en los artículos 35.1.f, 40.2.c, 41.1.c, 46, 50, </w:t>
      </w:r>
      <w:r w:rsidR="00371666">
        <w:rPr>
          <w:lang w:val="es-CR"/>
        </w:rPr>
        <w:t>y 57</w:t>
      </w:r>
      <w:r>
        <w:rPr>
          <w:lang w:val="es-CR"/>
        </w:rPr>
        <w:t xml:space="preserve"> del Reglamento de la Corte Interamericana de Derechos Humanos (en </w:t>
      </w:r>
      <w:r w:rsidR="007F4480">
        <w:rPr>
          <w:lang w:val="es-CR"/>
        </w:rPr>
        <w:t>adelante, “el</w:t>
      </w:r>
      <w:r w:rsidR="00062371">
        <w:rPr>
          <w:lang w:val="es-CR"/>
        </w:rPr>
        <w:t xml:space="preserve"> Reglamento</w:t>
      </w:r>
      <w:r>
        <w:rPr>
          <w:lang w:val="es-CR"/>
        </w:rPr>
        <w:t>”).</w:t>
      </w:r>
    </w:p>
    <w:p w14:paraId="146BA544" w14:textId="42F44044" w:rsidR="009325EF" w:rsidRPr="00BB327F" w:rsidRDefault="009325EF" w:rsidP="009325E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szCs w:val="20"/>
          <w:lang w:val="es-CL"/>
        </w:rPr>
      </w:pPr>
      <w:r w:rsidRPr="00BB327F">
        <w:rPr>
          <w:szCs w:val="20"/>
        </w:rPr>
        <w:t xml:space="preserve">La Comisión ofreció como prueba </w:t>
      </w:r>
      <w:r w:rsidR="00371666">
        <w:rPr>
          <w:szCs w:val="20"/>
        </w:rPr>
        <w:t>dos declaraciones periciales</w:t>
      </w:r>
      <w:r w:rsidRPr="00444DD8">
        <w:rPr>
          <w:rStyle w:val="Refdenotaalpie"/>
          <w:sz w:val="20"/>
          <w:szCs w:val="20"/>
        </w:rPr>
        <w:footnoteReference w:id="2"/>
      </w:r>
      <w:r w:rsidRPr="00BB327F">
        <w:rPr>
          <w:szCs w:val="20"/>
        </w:rPr>
        <w:t xml:space="preserve"> y solicitó que la</w:t>
      </w:r>
      <w:r w:rsidR="00371666">
        <w:rPr>
          <w:szCs w:val="20"/>
        </w:rPr>
        <w:t>s</w:t>
      </w:r>
      <w:r w:rsidRPr="00BB327F">
        <w:rPr>
          <w:szCs w:val="20"/>
        </w:rPr>
        <w:t xml:space="preserve"> misma</w:t>
      </w:r>
      <w:r w:rsidR="00371666">
        <w:rPr>
          <w:szCs w:val="20"/>
        </w:rPr>
        <w:t>s</w:t>
      </w:r>
      <w:r w:rsidRPr="00BB327F">
        <w:rPr>
          <w:szCs w:val="20"/>
        </w:rPr>
        <w:t xml:space="preserve"> fuera</w:t>
      </w:r>
      <w:r w:rsidR="00371666">
        <w:rPr>
          <w:szCs w:val="20"/>
        </w:rPr>
        <w:t>n</w:t>
      </w:r>
      <w:r w:rsidRPr="00BB327F">
        <w:rPr>
          <w:szCs w:val="20"/>
        </w:rPr>
        <w:t xml:space="preserve"> recibida</w:t>
      </w:r>
      <w:r w:rsidR="00371666">
        <w:rPr>
          <w:szCs w:val="20"/>
        </w:rPr>
        <w:t>s</w:t>
      </w:r>
      <w:r w:rsidRPr="00BB327F">
        <w:rPr>
          <w:szCs w:val="20"/>
        </w:rPr>
        <w:t xml:space="preserve"> en audiencia</w:t>
      </w:r>
      <w:r w:rsidR="00371666">
        <w:rPr>
          <w:szCs w:val="20"/>
        </w:rPr>
        <w:t>, una por videoconferencia y la segunda de forma presencial</w:t>
      </w:r>
      <w:r w:rsidRPr="00BB327F">
        <w:rPr>
          <w:szCs w:val="20"/>
        </w:rPr>
        <w:t>.</w:t>
      </w:r>
      <w:r w:rsidR="00D70E86">
        <w:rPr>
          <w:szCs w:val="20"/>
        </w:rPr>
        <w:t xml:space="preserve"> Indic</w:t>
      </w:r>
      <w:r w:rsidR="007C6434">
        <w:rPr>
          <w:szCs w:val="20"/>
        </w:rPr>
        <w:t xml:space="preserve">ó </w:t>
      </w:r>
      <w:r w:rsidR="00471F44">
        <w:rPr>
          <w:szCs w:val="20"/>
        </w:rPr>
        <w:t>que</w:t>
      </w:r>
      <w:r w:rsidR="00402752">
        <w:rPr>
          <w:szCs w:val="20"/>
        </w:rPr>
        <w:t>,</w:t>
      </w:r>
      <w:r w:rsidR="00471F44">
        <w:rPr>
          <w:szCs w:val="20"/>
        </w:rPr>
        <w:t xml:space="preserve"> en caso</w:t>
      </w:r>
      <w:r w:rsidR="00346EED">
        <w:rPr>
          <w:szCs w:val="20"/>
        </w:rPr>
        <w:t xml:space="preserve"> de recibir la declaración pericial conjunta de Antonio González Quintana y Blanca I. </w:t>
      </w:r>
      <w:proofErr w:type="spellStart"/>
      <w:r w:rsidR="00346EED">
        <w:rPr>
          <w:szCs w:val="20"/>
        </w:rPr>
        <w:t>Bazaco</w:t>
      </w:r>
      <w:proofErr w:type="spellEnd"/>
      <w:r w:rsidR="00346EED">
        <w:rPr>
          <w:szCs w:val="20"/>
        </w:rPr>
        <w:t xml:space="preserve"> Palacios en audiencia, la presentación estaría a cargo </w:t>
      </w:r>
      <w:r w:rsidR="00D516F9">
        <w:rPr>
          <w:szCs w:val="20"/>
        </w:rPr>
        <w:t xml:space="preserve">de Blanca I. </w:t>
      </w:r>
      <w:proofErr w:type="spellStart"/>
      <w:r w:rsidR="00D516F9">
        <w:rPr>
          <w:szCs w:val="20"/>
        </w:rPr>
        <w:t>Bazaco</w:t>
      </w:r>
      <w:proofErr w:type="spellEnd"/>
      <w:r w:rsidR="00D516F9">
        <w:rPr>
          <w:szCs w:val="20"/>
        </w:rPr>
        <w:t xml:space="preserve"> Palacios</w:t>
      </w:r>
      <w:r w:rsidR="00402752">
        <w:rPr>
          <w:szCs w:val="20"/>
        </w:rPr>
        <w:t>.</w:t>
      </w:r>
      <w:r w:rsidR="00D70E86">
        <w:rPr>
          <w:szCs w:val="20"/>
        </w:rPr>
        <w:t xml:space="preserve"> </w:t>
      </w:r>
      <w:r w:rsidRPr="00BB327F">
        <w:rPr>
          <w:szCs w:val="20"/>
        </w:rPr>
        <w:t xml:space="preserve"> </w:t>
      </w:r>
      <w:r w:rsidR="00263711">
        <w:rPr>
          <w:szCs w:val="20"/>
        </w:rPr>
        <w:t>L</w:t>
      </w:r>
      <w:r w:rsidR="00A544CA">
        <w:rPr>
          <w:szCs w:val="20"/>
        </w:rPr>
        <w:t>o</w:t>
      </w:r>
      <w:r w:rsidR="00263711">
        <w:rPr>
          <w:szCs w:val="20"/>
        </w:rPr>
        <w:t>s representantes, en su escrito de solicitudes y argumentos, ofrecieron la declaración de dos presuntas víctimas</w:t>
      </w:r>
      <w:r w:rsidR="00263711">
        <w:rPr>
          <w:rStyle w:val="Refdenotaalpie"/>
        </w:rPr>
        <w:footnoteReference w:id="3"/>
      </w:r>
      <w:r w:rsidR="00263711">
        <w:rPr>
          <w:szCs w:val="20"/>
        </w:rPr>
        <w:t xml:space="preserve"> y dos peritajes</w:t>
      </w:r>
      <w:r w:rsidR="00263711">
        <w:rPr>
          <w:rStyle w:val="Refdenotaalpie"/>
        </w:rPr>
        <w:footnoteReference w:id="4"/>
      </w:r>
      <w:r w:rsidR="00263711">
        <w:rPr>
          <w:szCs w:val="20"/>
        </w:rPr>
        <w:t>.</w:t>
      </w:r>
      <w:r w:rsidR="00943921">
        <w:rPr>
          <w:szCs w:val="20"/>
        </w:rPr>
        <w:t xml:space="preserve"> En su lista definitiva, solicitaron </w:t>
      </w:r>
      <w:r w:rsidR="00302A64">
        <w:rPr>
          <w:szCs w:val="20"/>
        </w:rPr>
        <w:t xml:space="preserve">que las dos declaraciones de las presuntas víctimas y el peritaje de Natalia </w:t>
      </w:r>
      <w:proofErr w:type="spellStart"/>
      <w:r w:rsidR="00302A64">
        <w:rPr>
          <w:szCs w:val="20"/>
        </w:rPr>
        <w:t>Federman</w:t>
      </w:r>
      <w:proofErr w:type="spellEnd"/>
      <w:r w:rsidR="00302A64">
        <w:rPr>
          <w:szCs w:val="20"/>
        </w:rPr>
        <w:t xml:space="preserve"> fueran recibidos durante la audiencia pública</w:t>
      </w:r>
      <w:r w:rsidR="00A00615">
        <w:rPr>
          <w:szCs w:val="20"/>
        </w:rPr>
        <w:t xml:space="preserve">, y que el peritaje de Fernando Domínguez </w:t>
      </w:r>
      <w:r w:rsidR="009F2B11">
        <w:rPr>
          <w:szCs w:val="20"/>
        </w:rPr>
        <w:t>fuera</w:t>
      </w:r>
      <w:r w:rsidR="00A00615">
        <w:rPr>
          <w:szCs w:val="20"/>
        </w:rPr>
        <w:t xml:space="preserve"> recibido por affidávit.</w:t>
      </w:r>
      <w:r w:rsidRPr="00BB327F">
        <w:rPr>
          <w:szCs w:val="20"/>
        </w:rPr>
        <w:t xml:space="preserve"> </w:t>
      </w:r>
    </w:p>
    <w:p w14:paraId="00AFE24C" w14:textId="0FF09A75" w:rsidR="009325EF" w:rsidRPr="004E205A" w:rsidRDefault="009325EF" w:rsidP="009325E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lastRenderedPageBreak/>
        <w:t xml:space="preserve">La Corte garantizó a las partes el derecho de defensa respecto de los ofrecimientos probatorios oportunamente realizados. </w:t>
      </w:r>
      <w:r w:rsidR="001F6EC2">
        <w:rPr>
          <w:lang w:val="es-CR"/>
        </w:rPr>
        <w:t>Los representantes y la Comisión no presentaron objeciones respecto a las declaraciones ofrecidas. El Estado no presentó observaciones a las listas definitivas de declarantes.</w:t>
      </w:r>
      <w:r>
        <w:rPr>
          <w:lang w:val="es-CR"/>
        </w:rPr>
        <w:t xml:space="preserve"> </w:t>
      </w:r>
    </w:p>
    <w:p w14:paraId="563D3485" w14:textId="77777777" w:rsidR="009325EF" w:rsidRPr="007A0BEA" w:rsidRDefault="009325EF" w:rsidP="009325E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En virtud de lo anterior, el </w:t>
      </w:r>
      <w:proofErr w:type="gramStart"/>
      <w:r>
        <w:rPr>
          <w:lang w:val="es-CR"/>
        </w:rPr>
        <w:t>Presidente</w:t>
      </w:r>
      <w:proofErr w:type="gramEnd"/>
      <w:r>
        <w:rPr>
          <w:lang w:val="es-CR"/>
        </w:rPr>
        <w:t xml:space="preserve"> de la Corte ha decidido que es necesario convocar a una audiencia pública durante la cual se recibirán las declaraciones que sean admitidas para tales efectos, así como los alegatos y observaciones finales orales de las partes y la Comisión Interamericana, respectivamente.</w:t>
      </w:r>
    </w:p>
    <w:p w14:paraId="0514C0EA" w14:textId="32062FC6" w:rsidR="009325EF" w:rsidRPr="008D51C7" w:rsidRDefault="00F07F71" w:rsidP="009325E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Esta Presidencia considera procedente recabar las declaraciones de las presuntas víctimas y los peritajes ofrecidos por l</w:t>
      </w:r>
      <w:r w:rsidR="009F2B11">
        <w:rPr>
          <w:lang w:val="es-CR"/>
        </w:rPr>
        <w:t>o</w:t>
      </w:r>
      <w:r>
        <w:rPr>
          <w:lang w:val="es-CR"/>
        </w:rPr>
        <w:t xml:space="preserve">s representantes, los cuales no fueron objetados, a efecto de que el Tribunal aprecie su valor en la debida oportunidad procesal, dentro del contexto del acervo probatorio existente, y según las reglas de la sana crítica. Por consiguiente, el </w:t>
      </w:r>
      <w:proofErr w:type="gramStart"/>
      <w:r>
        <w:rPr>
          <w:lang w:val="es-CR"/>
        </w:rPr>
        <w:t>Presidente</w:t>
      </w:r>
      <w:proofErr w:type="gramEnd"/>
      <w:r>
        <w:rPr>
          <w:lang w:val="es-CR"/>
        </w:rPr>
        <w:t xml:space="preserve"> admite las declaraciones de las presuntas víctimas Adriana </w:t>
      </w:r>
      <w:proofErr w:type="spellStart"/>
      <w:r>
        <w:rPr>
          <w:lang w:val="es-CR"/>
        </w:rPr>
        <w:t>Reisfeld</w:t>
      </w:r>
      <w:proofErr w:type="spellEnd"/>
      <w:r>
        <w:rPr>
          <w:lang w:val="es-CR"/>
        </w:rPr>
        <w:t xml:space="preserve"> y Diana </w:t>
      </w:r>
      <w:proofErr w:type="spellStart"/>
      <w:r>
        <w:rPr>
          <w:lang w:val="es-CR"/>
        </w:rPr>
        <w:t>Wassner</w:t>
      </w:r>
      <w:proofErr w:type="spellEnd"/>
      <w:r>
        <w:rPr>
          <w:lang w:val="es-CR"/>
        </w:rPr>
        <w:t xml:space="preserve"> y los peritajes de Fernando Domínguez y Natalia </w:t>
      </w:r>
      <w:proofErr w:type="spellStart"/>
      <w:r>
        <w:rPr>
          <w:lang w:val="es-CR"/>
        </w:rPr>
        <w:t>Federman</w:t>
      </w:r>
      <w:proofErr w:type="spellEnd"/>
      <w:r>
        <w:rPr>
          <w:lang w:val="es-CR"/>
        </w:rPr>
        <w:t>, todos propuestos por las representantes, según el objeto y modalidad determinados en la parte resolutiva de la presente Resolución (</w:t>
      </w:r>
      <w:r>
        <w:rPr>
          <w:i/>
          <w:iCs/>
          <w:lang w:val="es-CR"/>
        </w:rPr>
        <w:t xml:space="preserve">infra, </w:t>
      </w:r>
      <w:r>
        <w:rPr>
          <w:lang w:val="es-CR"/>
        </w:rPr>
        <w:t>punto resolutivo 1).</w:t>
      </w:r>
    </w:p>
    <w:p w14:paraId="3A1D97D6" w14:textId="4598DC87" w:rsidR="009325EF" w:rsidRPr="00EF3F3B" w:rsidRDefault="009325EF" w:rsidP="00EF3F3B">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Tomando en cuenta los alegatos </w:t>
      </w:r>
      <w:r w:rsidR="00EF3F3B">
        <w:rPr>
          <w:lang w:val="es-CR"/>
        </w:rPr>
        <w:t>de</w:t>
      </w:r>
      <w:r>
        <w:rPr>
          <w:lang w:val="es-CR"/>
        </w:rPr>
        <w:t xml:space="preserve"> la Comisión, esta Presidencia procederá a examinar en forma particular</w:t>
      </w:r>
      <w:r w:rsidR="00EF3F3B">
        <w:rPr>
          <w:lang w:val="es-CR"/>
        </w:rPr>
        <w:t xml:space="preserve"> la admisibilidad de la prueba pericial ofrecida por la Comisión.</w:t>
      </w:r>
    </w:p>
    <w:p w14:paraId="3C9FCEFF" w14:textId="4078AA0B" w:rsidR="009325EF" w:rsidRPr="004E62C4" w:rsidRDefault="009325EF" w:rsidP="00A374B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szCs w:val="20"/>
        </w:rPr>
      </w:pPr>
      <w:r>
        <w:t xml:space="preserve">La Comisión ofreció como prueba pericial el dictamen de </w:t>
      </w:r>
      <w:r w:rsidR="00850D92">
        <w:t xml:space="preserve">Martin </w:t>
      </w:r>
      <w:proofErr w:type="spellStart"/>
      <w:r w:rsidR="00850D92">
        <w:t>Scheinin</w:t>
      </w:r>
      <w:proofErr w:type="spellEnd"/>
      <w:r>
        <w:t xml:space="preserve"> para declarar sobre</w:t>
      </w:r>
      <w:r w:rsidR="00A374BF">
        <w:t xml:space="preserve"> “</w:t>
      </w:r>
      <w:r w:rsidR="00A374BF" w:rsidRPr="00A374BF">
        <w:rPr>
          <w:rFonts w:eastAsia="Times New Roman"/>
          <w:szCs w:val="20"/>
        </w:rPr>
        <w:t>los deberes que impone el derecho internacional de los derechos humanos a los Estados en materia de lucha contra el terrorismo. En particular el perito se referirá a las obligaciones estatales en materia de prevención de actos terroristas y debida diligencia y sanción de tales actos”.</w:t>
      </w:r>
    </w:p>
    <w:p w14:paraId="70202CED" w14:textId="3C53A621" w:rsidR="004E62C4" w:rsidRPr="00A374BF" w:rsidRDefault="004E62C4" w:rsidP="00A374B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szCs w:val="20"/>
        </w:rPr>
      </w:pPr>
      <w:r>
        <w:rPr>
          <w:rFonts w:eastAsia="Times New Roman"/>
          <w:szCs w:val="20"/>
        </w:rPr>
        <w:t>Al respecto</w:t>
      </w:r>
      <w:r w:rsidR="008964FA">
        <w:rPr>
          <w:rFonts w:eastAsia="Times New Roman"/>
          <w:szCs w:val="20"/>
        </w:rPr>
        <w:t xml:space="preserve"> del objeto de este peritaje</w:t>
      </w:r>
      <w:r>
        <w:rPr>
          <w:rFonts w:eastAsia="Times New Roman"/>
          <w:szCs w:val="20"/>
        </w:rPr>
        <w:t>, la Comisión consideró</w:t>
      </w:r>
      <w:r w:rsidR="00231C58">
        <w:rPr>
          <w:rFonts w:eastAsia="Times New Roman"/>
          <w:szCs w:val="20"/>
        </w:rPr>
        <w:t xml:space="preserve"> </w:t>
      </w:r>
      <w:r w:rsidR="007C7DD8">
        <w:rPr>
          <w:rFonts w:eastAsia="Times New Roman"/>
          <w:szCs w:val="20"/>
        </w:rPr>
        <w:t>que el presente caso permitirá a la Corte profundizar y desarrollar estándares relativos al deber de prevención de los Estados en el contexto de la lucha contra el terrorismo</w:t>
      </w:r>
      <w:r w:rsidR="008964FA">
        <w:rPr>
          <w:rFonts w:eastAsia="Times New Roman"/>
          <w:szCs w:val="20"/>
        </w:rPr>
        <w:t>, en particular en casos de atentados con móviles discriminatorios, así como aquellos relativos a los deberes en materia de investigación y sanción de delitos complejos cometidos en dicho contexto. Asimismo, el caso presenta la oportunidad de continuar desarrollando los estándares interamericanos</w:t>
      </w:r>
      <w:r w:rsidR="008617C6">
        <w:rPr>
          <w:rFonts w:eastAsia="Times New Roman"/>
          <w:szCs w:val="20"/>
        </w:rPr>
        <w:t xml:space="preserve"> aplicables en materia de debida diligencia en la investigación de los actos terroristas</w:t>
      </w:r>
      <w:r w:rsidR="00886A68">
        <w:rPr>
          <w:rFonts w:eastAsia="Times New Roman"/>
          <w:szCs w:val="20"/>
        </w:rPr>
        <w:t xml:space="preserve">. De esta forma alegó que el peritaje de Martin </w:t>
      </w:r>
      <w:proofErr w:type="spellStart"/>
      <w:r w:rsidR="00886A68">
        <w:rPr>
          <w:rFonts w:eastAsia="Times New Roman"/>
          <w:szCs w:val="20"/>
        </w:rPr>
        <w:t>Scheinin</w:t>
      </w:r>
      <w:proofErr w:type="spellEnd"/>
      <w:r w:rsidR="00886A68">
        <w:rPr>
          <w:rFonts w:eastAsia="Times New Roman"/>
          <w:szCs w:val="20"/>
        </w:rPr>
        <w:t xml:space="preserve"> permitiría a la Corte contar con elementos de información sobre estos temas.</w:t>
      </w:r>
    </w:p>
    <w:p w14:paraId="65D67160" w14:textId="77777777" w:rsidR="00455431" w:rsidRPr="00455431" w:rsidRDefault="00A374BF" w:rsidP="00A374B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szCs w:val="20"/>
        </w:rPr>
      </w:pPr>
      <w:r>
        <w:rPr>
          <w:rFonts w:eastAsia="Times New Roman"/>
          <w:szCs w:val="20"/>
        </w:rPr>
        <w:t xml:space="preserve">Asimismo, ofreció el peritaje conjunto de Antonio González Quintana y Blanca I. </w:t>
      </w:r>
      <w:proofErr w:type="spellStart"/>
      <w:r>
        <w:rPr>
          <w:rFonts w:eastAsia="Times New Roman"/>
          <w:szCs w:val="20"/>
        </w:rPr>
        <w:t>Bazaco</w:t>
      </w:r>
      <w:proofErr w:type="spellEnd"/>
      <w:r>
        <w:rPr>
          <w:rFonts w:eastAsia="Times New Roman"/>
          <w:szCs w:val="20"/>
        </w:rPr>
        <w:t xml:space="preserve"> Palacios sobre:</w:t>
      </w:r>
      <w:r w:rsidR="00971D2C">
        <w:rPr>
          <w:rFonts w:eastAsia="Times New Roman"/>
          <w:szCs w:val="20"/>
        </w:rPr>
        <w:t xml:space="preserve"> </w:t>
      </w:r>
    </w:p>
    <w:p w14:paraId="668678C5" w14:textId="188967C1" w:rsidR="00A374BF" w:rsidRPr="00455431" w:rsidRDefault="00455431" w:rsidP="00455431">
      <w:pPr>
        <w:widowControl w:val="0"/>
        <w:tabs>
          <w:tab w:val="left" w:pos="567"/>
          <w:tab w:val="left" w:pos="810"/>
        </w:tabs>
        <w:autoSpaceDE w:val="0"/>
        <w:autoSpaceDN w:val="0"/>
        <w:adjustRightInd w:val="0"/>
        <w:spacing w:before="240" w:after="240" w:line="240" w:lineRule="auto"/>
        <w:ind w:left="567" w:right="567"/>
        <w:jc w:val="both"/>
        <w:rPr>
          <w:sz w:val="18"/>
          <w:szCs w:val="18"/>
        </w:rPr>
      </w:pPr>
      <w:r w:rsidRPr="00455431">
        <w:rPr>
          <w:rFonts w:eastAsia="Times New Roman"/>
          <w:sz w:val="18"/>
          <w:szCs w:val="18"/>
        </w:rPr>
        <w:t>[L]</w:t>
      </w:r>
      <w:r w:rsidR="009640D4" w:rsidRPr="00455431">
        <w:rPr>
          <w:rFonts w:eastAsia="Times New Roman"/>
          <w:sz w:val="18"/>
          <w:szCs w:val="18"/>
        </w:rPr>
        <w:t>as medidas que deben adoptar los Estados para garantizar el derecho de acceso a la información, como un componente del derecho a la verdad, en casos de graves violaciones a los derechos humanos</w:t>
      </w:r>
      <w:r w:rsidR="001631CE" w:rsidRPr="00455431">
        <w:rPr>
          <w:rFonts w:eastAsia="Times New Roman"/>
          <w:sz w:val="18"/>
          <w:szCs w:val="18"/>
        </w:rPr>
        <w:t xml:space="preserve">. En particular, se referirán al acceso </w:t>
      </w:r>
      <w:r w:rsidRPr="00455431">
        <w:rPr>
          <w:rFonts w:eastAsia="Times New Roman"/>
          <w:sz w:val="18"/>
          <w:szCs w:val="18"/>
        </w:rPr>
        <w:t>a la información relacionada con casos de graves violaciones vinculadas con actos terroristas, incluyendo de aquella información que provenga de los servicios de inteligencia. Asimismo, se referirán a las obligaciones aplicables en materia de preservación y accesibilidad de documentación desclasificada vinculada a graves violaciones de derechos humanos.</w:t>
      </w:r>
    </w:p>
    <w:p w14:paraId="546A4CB8" w14:textId="6FDD8686" w:rsidR="009325EF" w:rsidRPr="0002638E" w:rsidRDefault="009325EF" w:rsidP="0002638E">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Al respecto, la Comisión consideró que </w:t>
      </w:r>
      <w:r w:rsidR="00A072B7">
        <w:t>este peritaje se refiere</w:t>
      </w:r>
      <w:r>
        <w:t xml:space="preserve"> a temas de orden público interamericano, en los términos d</w:t>
      </w:r>
      <w:r>
        <w:rPr>
          <w:rFonts w:eastAsia="Times New Roman"/>
          <w:lang w:val="es-CL"/>
        </w:rPr>
        <w:t>el artículo 31.5 f) del Reglamento. En efecto, argumentó que el presente caso permitirá a la Cort</w:t>
      </w:r>
      <w:r w:rsidR="0002638E">
        <w:rPr>
          <w:rFonts w:eastAsia="Times New Roman"/>
          <w:lang w:val="es-CL"/>
        </w:rPr>
        <w:t xml:space="preserve">e, </w:t>
      </w:r>
      <w:r w:rsidR="0002638E" w:rsidRPr="0002638E">
        <w:rPr>
          <w:rFonts w:eastAsia="Times New Roman"/>
          <w:szCs w:val="20"/>
          <w:lang w:val="es-CL"/>
        </w:rPr>
        <w:t>“</w:t>
      </w:r>
      <w:r w:rsidR="00544765" w:rsidRPr="0002638E">
        <w:rPr>
          <w:rFonts w:eastAsia="Times New Roman"/>
          <w:szCs w:val="20"/>
        </w:rPr>
        <w:t>pronunciarse</w:t>
      </w:r>
      <w:r w:rsidR="002F243B" w:rsidRPr="0002638E">
        <w:rPr>
          <w:rFonts w:eastAsia="Times New Roman"/>
          <w:szCs w:val="20"/>
        </w:rPr>
        <w:t xml:space="preserve"> sobre el acceso a la </w:t>
      </w:r>
      <w:r w:rsidR="002F243B" w:rsidRPr="0002638E">
        <w:rPr>
          <w:rFonts w:eastAsia="Times New Roman"/>
          <w:szCs w:val="20"/>
        </w:rPr>
        <w:lastRenderedPageBreak/>
        <w:t>información relacionada con casos de graves violaciones vinculados con actos terroristas, incluyendo de aquella información que provenga de los servicios de inteligencia</w:t>
      </w:r>
      <w:r w:rsidR="0002638E" w:rsidRPr="0002638E">
        <w:rPr>
          <w:rFonts w:eastAsia="Times New Roman"/>
          <w:szCs w:val="20"/>
        </w:rPr>
        <w:t>. Además, la Corte podrá pronunciarse respecto a los estándares interamericanos aplicables en materia de preservación y accesibilidad de documentación desclasificada vinculada a graves violaciones de derechos humanos</w:t>
      </w:r>
      <w:r w:rsidR="0002638E">
        <w:rPr>
          <w:rFonts w:eastAsia="Times New Roman"/>
          <w:szCs w:val="20"/>
        </w:rPr>
        <w:t>”</w:t>
      </w:r>
      <w:r w:rsidR="0002638E" w:rsidRPr="0002638E">
        <w:rPr>
          <w:rFonts w:eastAsia="Times New Roman"/>
          <w:szCs w:val="20"/>
        </w:rPr>
        <w:t>.</w:t>
      </w:r>
    </w:p>
    <w:p w14:paraId="714A1265" w14:textId="63909E78" w:rsidR="009325EF" w:rsidRDefault="00B906B5" w:rsidP="009325E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Ni el </w:t>
      </w:r>
      <w:r>
        <w:rPr>
          <w:b/>
          <w:bCs/>
          <w:i/>
          <w:iCs/>
        </w:rPr>
        <w:t xml:space="preserve">Estado </w:t>
      </w:r>
      <w:r>
        <w:t>ni l</w:t>
      </w:r>
      <w:r w:rsidR="00426CEE">
        <w:t>o</w:t>
      </w:r>
      <w:r>
        <w:t xml:space="preserve">s </w:t>
      </w:r>
      <w:r>
        <w:rPr>
          <w:b/>
          <w:bCs/>
          <w:i/>
          <w:iCs/>
        </w:rPr>
        <w:t>representantes</w:t>
      </w:r>
      <w:r>
        <w:t xml:space="preserve"> presentaron objeciones a la inclusión de estas declaraciones.</w:t>
      </w:r>
    </w:p>
    <w:p w14:paraId="0FC9863C" w14:textId="62A1D51E" w:rsidR="009325EF" w:rsidRPr="00312FCD" w:rsidRDefault="009325EF" w:rsidP="00312FCD">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szCs w:val="20"/>
          <w:lang w:val="es-CR"/>
        </w:rPr>
      </w:pPr>
      <w:r w:rsidRPr="00E30C63">
        <w:rPr>
          <w:szCs w:val="20"/>
        </w:rPr>
        <w:t xml:space="preserve">El </w:t>
      </w:r>
      <w:proofErr w:type="gramStart"/>
      <w:r w:rsidRPr="00E30C63">
        <w:rPr>
          <w:b/>
          <w:bCs/>
          <w:i/>
          <w:iCs/>
          <w:szCs w:val="20"/>
        </w:rPr>
        <w:t>Presidente</w:t>
      </w:r>
      <w:proofErr w:type="gramEnd"/>
      <w:r w:rsidRPr="00E30C63">
        <w:rPr>
          <w:b/>
          <w:bCs/>
          <w:i/>
          <w:iCs/>
          <w:szCs w:val="20"/>
        </w:rPr>
        <w:t xml:space="preserve"> </w:t>
      </w:r>
      <w:r w:rsidRPr="00E30C63">
        <w:rPr>
          <w:szCs w:val="20"/>
        </w:rPr>
        <w:t>recuerda que, de acuerdo con lo establecido en el artículo 35.1.f) del Reglamento, la “eventual designación de peritos” podrá ser efectuada por la Comisión Interamericana “cuando se afecte de manera relevante el orden público interamericano de los derechos humanos”, cuyo fundamento y objeto tienen que ser adecuadamente sustentados</w:t>
      </w:r>
      <w:r w:rsidRPr="001B2A42">
        <w:rPr>
          <w:rStyle w:val="Refdenotaalpie"/>
          <w:sz w:val="20"/>
          <w:szCs w:val="20"/>
        </w:rPr>
        <w:footnoteReference w:id="5"/>
      </w:r>
      <w:r w:rsidRPr="00E30C63">
        <w:rPr>
          <w:szCs w:val="20"/>
        </w:rPr>
        <w:t xml:space="preserve">. Así, </w:t>
      </w:r>
      <w:r w:rsidRPr="00E30C63">
        <w:rPr>
          <w:szCs w:val="20"/>
          <w:lang w:val="es-CR"/>
        </w:rPr>
        <w:t xml:space="preserve">el objeto </w:t>
      </w:r>
      <w:r w:rsidR="00CD1331">
        <w:rPr>
          <w:szCs w:val="20"/>
          <w:lang w:val="es-CR"/>
        </w:rPr>
        <w:t>de los peritajes ofrecidos</w:t>
      </w:r>
      <w:r w:rsidRPr="00E30C63">
        <w:rPr>
          <w:szCs w:val="20"/>
          <w:lang w:val="es-CR"/>
        </w:rPr>
        <w:t xml:space="preserve"> por la Comisión resulta relevante para el orden público interamericano, debido a que implica</w:t>
      </w:r>
      <w:r w:rsidR="009B0AA6">
        <w:rPr>
          <w:szCs w:val="20"/>
          <w:lang w:val="es-CR"/>
        </w:rPr>
        <w:t>n</w:t>
      </w:r>
      <w:r w:rsidRPr="00E30C63">
        <w:rPr>
          <w:szCs w:val="20"/>
          <w:lang w:val="es-CR"/>
        </w:rPr>
        <w:t xml:space="preserve"> un análisis de estándares internacionales relativos </w:t>
      </w:r>
      <w:r w:rsidR="007E7F4E">
        <w:rPr>
          <w:szCs w:val="20"/>
          <w:lang w:val="es-CR"/>
        </w:rPr>
        <w:t>al deber de prevención de los Estados en el contexto de la lucha contra el terrorismo</w:t>
      </w:r>
      <w:r w:rsidR="00E46CA7">
        <w:rPr>
          <w:szCs w:val="20"/>
          <w:lang w:val="es-CR"/>
        </w:rPr>
        <w:t xml:space="preserve">, la debida diligencia en la investigación de </w:t>
      </w:r>
      <w:r w:rsidR="006F2250">
        <w:rPr>
          <w:szCs w:val="20"/>
          <w:lang w:val="es-CR"/>
        </w:rPr>
        <w:t>los actos terroristas</w:t>
      </w:r>
      <w:r w:rsidR="00F45E5A">
        <w:rPr>
          <w:szCs w:val="20"/>
          <w:lang w:val="es-CR"/>
        </w:rPr>
        <w:t xml:space="preserve"> y acceso a la información relacionadas con actos terroristas</w:t>
      </w:r>
      <w:r w:rsidRPr="00E30C63">
        <w:rPr>
          <w:szCs w:val="20"/>
          <w:lang w:val="es-CR"/>
        </w:rPr>
        <w:t xml:space="preserve">. En ese sentido, el objeto </w:t>
      </w:r>
      <w:r w:rsidR="00B40501">
        <w:rPr>
          <w:szCs w:val="20"/>
          <w:lang w:val="es-CR"/>
        </w:rPr>
        <w:t>de los peritajes</w:t>
      </w:r>
      <w:r w:rsidRPr="00E30C63">
        <w:rPr>
          <w:szCs w:val="20"/>
          <w:lang w:val="es-CR"/>
        </w:rPr>
        <w:t xml:space="preserve"> trasciende los intereses específicos de las partes en el proceso y puede, eventualmente, tener impacto sobre situaciones que se presentan en otros Estados Parte en la Convención</w:t>
      </w:r>
      <w:r w:rsidRPr="001B2A42">
        <w:rPr>
          <w:rStyle w:val="Refdenotaalpie"/>
          <w:sz w:val="20"/>
          <w:szCs w:val="20"/>
          <w:lang w:val="es-CR"/>
        </w:rPr>
        <w:footnoteReference w:id="6"/>
      </w:r>
      <w:r w:rsidRPr="00E30C63">
        <w:rPr>
          <w:szCs w:val="20"/>
          <w:lang w:val="es-CR"/>
        </w:rPr>
        <w:t xml:space="preserve">. En consecuencia, el </w:t>
      </w:r>
      <w:proofErr w:type="gramStart"/>
      <w:r w:rsidRPr="00E30C63">
        <w:rPr>
          <w:szCs w:val="20"/>
          <w:lang w:val="es-CR"/>
        </w:rPr>
        <w:t>Presidente</w:t>
      </w:r>
      <w:proofErr w:type="gramEnd"/>
      <w:r w:rsidRPr="00E30C63">
        <w:rPr>
          <w:szCs w:val="20"/>
          <w:lang w:val="es-CR"/>
        </w:rPr>
        <w:t xml:space="preserve"> estima pertinente admitir </w:t>
      </w:r>
      <w:r w:rsidR="00841041">
        <w:rPr>
          <w:szCs w:val="20"/>
          <w:lang w:val="es-CR"/>
        </w:rPr>
        <w:t>los dictámenes periciales ofrecidos</w:t>
      </w:r>
      <w:r w:rsidRPr="00E30C63">
        <w:rPr>
          <w:szCs w:val="20"/>
          <w:lang w:val="es-CR"/>
        </w:rPr>
        <w:t xml:space="preserve"> por la Comisión, según el objeto y modalidad determinados en la parte resolutiva de la presente decisión (</w:t>
      </w:r>
      <w:r w:rsidRPr="00E30C63">
        <w:rPr>
          <w:i/>
          <w:iCs/>
          <w:szCs w:val="20"/>
          <w:lang w:val="es-CR"/>
        </w:rPr>
        <w:t xml:space="preserve">infra, </w:t>
      </w:r>
      <w:r w:rsidRPr="00E30C63">
        <w:rPr>
          <w:szCs w:val="20"/>
          <w:lang w:val="es-CR"/>
        </w:rPr>
        <w:t>punto</w:t>
      </w:r>
      <w:r w:rsidR="0097737C">
        <w:rPr>
          <w:szCs w:val="20"/>
          <w:lang w:val="es-CR"/>
        </w:rPr>
        <w:t>s</w:t>
      </w:r>
      <w:r w:rsidRPr="00E30C63">
        <w:rPr>
          <w:szCs w:val="20"/>
          <w:lang w:val="es-CR"/>
        </w:rPr>
        <w:t xml:space="preserve"> resolutivo</w:t>
      </w:r>
      <w:r w:rsidR="0097737C">
        <w:rPr>
          <w:szCs w:val="20"/>
          <w:lang w:val="es-CR"/>
        </w:rPr>
        <w:t>s</w:t>
      </w:r>
      <w:r w:rsidRPr="00E30C63">
        <w:rPr>
          <w:szCs w:val="20"/>
          <w:lang w:val="es-CR"/>
        </w:rPr>
        <w:t xml:space="preserve"> </w:t>
      </w:r>
      <w:r w:rsidRPr="001B2A42">
        <w:rPr>
          <w:szCs w:val="20"/>
          <w:lang w:val="es-CR"/>
        </w:rPr>
        <w:t>1</w:t>
      </w:r>
      <w:r w:rsidR="0097737C">
        <w:rPr>
          <w:szCs w:val="20"/>
          <w:lang w:val="es-CR"/>
        </w:rPr>
        <w:t xml:space="preserve"> y </w:t>
      </w:r>
      <w:r w:rsidR="00225DEB">
        <w:rPr>
          <w:szCs w:val="20"/>
          <w:lang w:val="es-CR"/>
        </w:rPr>
        <w:t>3</w:t>
      </w:r>
      <w:r w:rsidRPr="00E30C63">
        <w:rPr>
          <w:szCs w:val="20"/>
          <w:lang w:val="es-CR"/>
        </w:rPr>
        <w:t xml:space="preserve">). </w:t>
      </w:r>
    </w:p>
    <w:p w14:paraId="412F5EAC" w14:textId="77777777" w:rsidR="009325EF" w:rsidRDefault="009325EF" w:rsidP="009325EF">
      <w:pPr>
        <w:tabs>
          <w:tab w:val="left" w:pos="567"/>
        </w:tabs>
        <w:spacing w:after="0" w:line="240" w:lineRule="auto"/>
        <w:jc w:val="both"/>
        <w:rPr>
          <w:rFonts w:cs="Verdana"/>
          <w:b/>
          <w:bCs/>
          <w:szCs w:val="20"/>
          <w:lang w:val="es-CR"/>
        </w:rPr>
      </w:pPr>
      <w:r>
        <w:rPr>
          <w:rFonts w:cs="Verdana"/>
          <w:b/>
          <w:bCs/>
          <w:szCs w:val="20"/>
          <w:lang w:val="es-CR"/>
        </w:rPr>
        <w:t>POR TANTO:</w:t>
      </w:r>
    </w:p>
    <w:p w14:paraId="514FD323" w14:textId="77777777" w:rsidR="009325EF" w:rsidRDefault="009325EF" w:rsidP="009325EF">
      <w:pPr>
        <w:tabs>
          <w:tab w:val="left" w:pos="567"/>
        </w:tabs>
        <w:spacing w:after="0" w:line="240" w:lineRule="auto"/>
        <w:jc w:val="both"/>
        <w:rPr>
          <w:rFonts w:cs="Verdana"/>
          <w:b/>
          <w:bCs/>
          <w:szCs w:val="20"/>
          <w:lang w:val="es-CR"/>
        </w:rPr>
      </w:pPr>
    </w:p>
    <w:p w14:paraId="7E63B9B5" w14:textId="77777777" w:rsidR="009325EF" w:rsidRDefault="009325EF" w:rsidP="009325EF">
      <w:pPr>
        <w:tabs>
          <w:tab w:val="left" w:pos="567"/>
        </w:tabs>
        <w:spacing w:after="0" w:line="240" w:lineRule="auto"/>
        <w:jc w:val="both"/>
        <w:rPr>
          <w:rFonts w:cs="Verdana"/>
          <w:b/>
          <w:bCs/>
          <w:szCs w:val="20"/>
          <w:lang w:val="es-CR"/>
        </w:rPr>
      </w:pPr>
    </w:p>
    <w:p w14:paraId="52D84658" w14:textId="77777777" w:rsidR="009325EF" w:rsidRDefault="009325EF" w:rsidP="009325EF">
      <w:pPr>
        <w:tabs>
          <w:tab w:val="left" w:pos="567"/>
        </w:tabs>
        <w:spacing w:after="0" w:line="240" w:lineRule="auto"/>
        <w:jc w:val="both"/>
        <w:rPr>
          <w:rFonts w:cs="Verdana"/>
          <w:b/>
          <w:bCs/>
          <w:szCs w:val="20"/>
          <w:lang w:val="es-CR"/>
        </w:rPr>
      </w:pPr>
      <w:r>
        <w:rPr>
          <w:rFonts w:cs="Verdana"/>
          <w:b/>
          <w:bCs/>
          <w:szCs w:val="20"/>
          <w:lang w:val="es-CR"/>
        </w:rPr>
        <w:t xml:space="preserve">EL PRESIDENTE DE LA CORTE INTERAMERICANA DE DERECHOS HUMANOS, </w:t>
      </w:r>
    </w:p>
    <w:p w14:paraId="4E0F85E5" w14:textId="77777777" w:rsidR="009325EF" w:rsidRDefault="009325EF" w:rsidP="009325EF">
      <w:pPr>
        <w:tabs>
          <w:tab w:val="left" w:pos="567"/>
        </w:tabs>
        <w:spacing w:after="0" w:line="240" w:lineRule="auto"/>
        <w:jc w:val="both"/>
        <w:rPr>
          <w:rFonts w:cs="Verdana"/>
          <w:b/>
          <w:bCs/>
          <w:szCs w:val="20"/>
          <w:lang w:val="es-CR"/>
        </w:rPr>
      </w:pPr>
    </w:p>
    <w:p w14:paraId="4490798F" w14:textId="77777777" w:rsidR="009325EF" w:rsidRDefault="009325EF" w:rsidP="009325EF">
      <w:pPr>
        <w:tabs>
          <w:tab w:val="left" w:pos="567"/>
        </w:tabs>
        <w:spacing w:after="0" w:line="240" w:lineRule="auto"/>
        <w:jc w:val="both"/>
        <w:rPr>
          <w:rFonts w:cs="Verdana"/>
          <w:b/>
          <w:bCs/>
          <w:szCs w:val="20"/>
          <w:lang w:val="es-CR"/>
        </w:rPr>
      </w:pPr>
    </w:p>
    <w:p w14:paraId="759434D8" w14:textId="02DAB609" w:rsidR="009325EF" w:rsidRDefault="009325EF" w:rsidP="009325EF">
      <w:pPr>
        <w:tabs>
          <w:tab w:val="left" w:pos="567"/>
        </w:tabs>
        <w:spacing w:after="0" w:line="240" w:lineRule="auto"/>
        <w:jc w:val="both"/>
        <w:rPr>
          <w:rFonts w:cs="Verdana"/>
          <w:szCs w:val="20"/>
          <w:lang w:val="es-CR"/>
        </w:rPr>
      </w:pPr>
      <w:r>
        <w:rPr>
          <w:rFonts w:cs="Verdana"/>
          <w:szCs w:val="20"/>
          <w:lang w:val="es-CR"/>
        </w:rPr>
        <w:t>de conformidad con los artículos 24.1 y 25.2 del Estatuto de la Corte y con los artículos 4, 15.1, 26.1, 31.2, 35.1, 40.2, 41.1, 45, 46</w:t>
      </w:r>
      <w:r w:rsidR="00D6459F">
        <w:rPr>
          <w:rFonts w:cs="Verdana"/>
          <w:szCs w:val="20"/>
          <w:lang w:val="es-CR"/>
        </w:rPr>
        <w:t xml:space="preserve">, 50 </w:t>
      </w:r>
      <w:r w:rsidR="0051757C">
        <w:rPr>
          <w:rFonts w:cs="Verdana"/>
          <w:szCs w:val="20"/>
          <w:lang w:val="es-CR"/>
        </w:rPr>
        <w:t xml:space="preserve">a 56 </w:t>
      </w:r>
      <w:r>
        <w:rPr>
          <w:rFonts w:cs="Verdana"/>
          <w:szCs w:val="20"/>
          <w:lang w:val="es-CR"/>
        </w:rPr>
        <w:t xml:space="preserve">y 60 del Reglamento, </w:t>
      </w:r>
    </w:p>
    <w:p w14:paraId="51BC30C3" w14:textId="77777777" w:rsidR="009325EF" w:rsidRDefault="009325EF" w:rsidP="009325EF">
      <w:pPr>
        <w:tabs>
          <w:tab w:val="left" w:pos="567"/>
        </w:tabs>
        <w:spacing w:after="0" w:line="240" w:lineRule="auto"/>
        <w:jc w:val="both"/>
        <w:rPr>
          <w:rFonts w:cs="Verdana"/>
          <w:szCs w:val="20"/>
          <w:lang w:val="es-CR"/>
        </w:rPr>
      </w:pPr>
      <w:r>
        <w:rPr>
          <w:rFonts w:cs="Verdana"/>
          <w:szCs w:val="20"/>
          <w:lang w:val="es-CR"/>
        </w:rPr>
        <w:t xml:space="preserve"> </w:t>
      </w:r>
    </w:p>
    <w:p w14:paraId="3BA79111" w14:textId="77777777" w:rsidR="009325EF" w:rsidRDefault="009325EF" w:rsidP="009325EF">
      <w:pPr>
        <w:tabs>
          <w:tab w:val="left" w:pos="567"/>
        </w:tabs>
        <w:spacing w:after="0" w:line="240" w:lineRule="auto"/>
        <w:jc w:val="both"/>
        <w:rPr>
          <w:rFonts w:cs="Verdana"/>
          <w:b/>
          <w:bCs/>
          <w:szCs w:val="20"/>
          <w:lang w:val="es-CR"/>
        </w:rPr>
      </w:pPr>
      <w:r>
        <w:rPr>
          <w:rFonts w:cs="Verdana"/>
          <w:b/>
          <w:bCs/>
          <w:szCs w:val="20"/>
          <w:lang w:val="es-CR"/>
        </w:rPr>
        <w:t>RESUELVE:</w:t>
      </w:r>
    </w:p>
    <w:p w14:paraId="2675060E" w14:textId="77777777" w:rsidR="009325EF" w:rsidRDefault="009325EF" w:rsidP="009325EF">
      <w:pPr>
        <w:tabs>
          <w:tab w:val="left" w:pos="567"/>
        </w:tabs>
        <w:spacing w:after="0" w:line="240" w:lineRule="auto"/>
        <w:jc w:val="both"/>
        <w:rPr>
          <w:rFonts w:cs="Verdana"/>
          <w:color w:val="000000"/>
          <w:szCs w:val="20"/>
          <w:lang w:val="es-CR" w:eastAsia="es-ES"/>
        </w:rPr>
      </w:pPr>
      <w:bookmarkStart w:id="7" w:name="_Ref230577466"/>
    </w:p>
    <w:p w14:paraId="7276087F" w14:textId="13361B03" w:rsidR="009325EF" w:rsidRPr="00866E74" w:rsidRDefault="009325EF" w:rsidP="009325EF">
      <w:pPr>
        <w:tabs>
          <w:tab w:val="left" w:pos="567"/>
        </w:tabs>
        <w:spacing w:after="0" w:line="240" w:lineRule="auto"/>
        <w:jc w:val="both"/>
        <w:rPr>
          <w:szCs w:val="20"/>
          <w:lang w:val="es-CR"/>
        </w:rPr>
      </w:pPr>
      <w:r>
        <w:rPr>
          <w:szCs w:val="20"/>
          <w:lang w:val="es-CR"/>
        </w:rPr>
        <w:t xml:space="preserve">1. </w:t>
      </w:r>
      <w:r w:rsidRPr="00866E74">
        <w:rPr>
          <w:rFonts w:cs="Verdana"/>
          <w:color w:val="000000"/>
          <w:szCs w:val="20"/>
          <w:lang w:val="es-CR" w:eastAsia="es-ES"/>
        </w:rPr>
        <w:t>Convocar</w:t>
      </w:r>
      <w:r w:rsidRPr="00866E74">
        <w:rPr>
          <w:rFonts w:eastAsia="MS Mincho" w:cs="Times"/>
          <w:szCs w:val="20"/>
          <w:lang w:val="es-CR"/>
        </w:rPr>
        <w:t xml:space="preserve"> al Estado, </w:t>
      </w:r>
      <w:r>
        <w:rPr>
          <w:rFonts w:eastAsia="MS Mincho" w:cs="Times"/>
          <w:szCs w:val="20"/>
          <w:lang w:val="es-CR"/>
        </w:rPr>
        <w:t>a los representantes</w:t>
      </w:r>
      <w:r w:rsidRPr="00866E74">
        <w:rPr>
          <w:rFonts w:eastAsia="MS Mincho" w:cs="Times"/>
          <w:szCs w:val="20"/>
          <w:lang w:val="es-CR"/>
        </w:rPr>
        <w:t xml:space="preserve"> y a la Comisión Interamericana a una audiencia </w:t>
      </w:r>
      <w:r w:rsidR="00C35E66">
        <w:rPr>
          <w:rFonts w:eastAsia="MS Mincho" w:cs="Times"/>
          <w:szCs w:val="20"/>
          <w:lang w:val="es-CR"/>
        </w:rPr>
        <w:t xml:space="preserve">pública </w:t>
      </w:r>
      <w:r w:rsidRPr="00866E74">
        <w:rPr>
          <w:rFonts w:cs="Verdana"/>
          <w:szCs w:val="20"/>
          <w:lang w:val="es-CR"/>
        </w:rPr>
        <w:t xml:space="preserve">que se celebrará </w:t>
      </w:r>
      <w:r w:rsidR="00F605DF">
        <w:rPr>
          <w:rFonts w:cs="Verdana"/>
          <w:szCs w:val="20"/>
          <w:lang w:val="es-CR"/>
        </w:rPr>
        <w:t xml:space="preserve">los días </w:t>
      </w:r>
      <w:r w:rsidR="00491BE1">
        <w:rPr>
          <w:rFonts w:cs="Verdana"/>
          <w:szCs w:val="20"/>
          <w:lang w:val="es-CR"/>
        </w:rPr>
        <w:t>13 y 14 de octubre de 2022</w:t>
      </w:r>
      <w:r w:rsidRPr="00866E74">
        <w:rPr>
          <w:rFonts w:cs="Verdana"/>
          <w:szCs w:val="20"/>
          <w:lang w:val="es-CR"/>
        </w:rPr>
        <w:t>, durante el 1</w:t>
      </w:r>
      <w:r>
        <w:rPr>
          <w:rFonts w:cs="Verdana"/>
          <w:szCs w:val="20"/>
          <w:lang w:val="es-CR"/>
        </w:rPr>
        <w:t>5</w:t>
      </w:r>
      <w:r w:rsidR="00491BE1">
        <w:rPr>
          <w:rFonts w:cs="Verdana"/>
          <w:szCs w:val="20"/>
          <w:lang w:val="es-CR"/>
        </w:rPr>
        <w:t>3</w:t>
      </w:r>
      <w:r w:rsidRPr="00866E74">
        <w:rPr>
          <w:rFonts w:cs="Verdana"/>
          <w:szCs w:val="20"/>
          <w:lang w:val="es-CR"/>
        </w:rPr>
        <w:t xml:space="preserve">° Período Ordinario de Sesiones, </w:t>
      </w:r>
      <w:r w:rsidRPr="00866E74">
        <w:rPr>
          <w:szCs w:val="20"/>
        </w:rPr>
        <w:t xml:space="preserve">que se llevará a cabo en </w:t>
      </w:r>
      <w:r w:rsidR="00491BE1">
        <w:rPr>
          <w:szCs w:val="20"/>
        </w:rPr>
        <w:t>Montevideo, Uruguay</w:t>
      </w:r>
      <w:r w:rsidRPr="00866E74">
        <w:rPr>
          <w:rFonts w:cs="Verdana"/>
          <w:szCs w:val="20"/>
          <w:lang w:val="es-CR"/>
        </w:rPr>
        <w:t xml:space="preserve"> </w:t>
      </w:r>
      <w:r w:rsidRPr="00866E74">
        <w:rPr>
          <w:rFonts w:eastAsia="MS Mincho" w:cs="Times"/>
          <w:szCs w:val="20"/>
          <w:lang w:val="es-CR"/>
        </w:rPr>
        <w:t xml:space="preserve">para recibir sus alegatos y observaciones finales orales sobre </w:t>
      </w:r>
      <w:r w:rsidR="00E44D7E">
        <w:rPr>
          <w:rFonts w:eastAsia="MS Mincho" w:cs="Times"/>
          <w:szCs w:val="20"/>
          <w:lang w:val="es-CR"/>
        </w:rPr>
        <w:t>el</w:t>
      </w:r>
      <w:r w:rsidRPr="00866E74">
        <w:rPr>
          <w:rFonts w:eastAsia="MS Mincho" w:cs="Times"/>
          <w:szCs w:val="20"/>
          <w:lang w:val="es-CR"/>
        </w:rPr>
        <w:t xml:space="preserve"> fondo</w:t>
      </w:r>
      <w:r w:rsidR="00E44D7E">
        <w:rPr>
          <w:rFonts w:eastAsia="MS Mincho" w:cs="Times"/>
          <w:szCs w:val="20"/>
          <w:lang w:val="es-CR"/>
        </w:rPr>
        <w:t xml:space="preserve"> y eventuales</w:t>
      </w:r>
      <w:r w:rsidR="0099773D">
        <w:rPr>
          <w:rFonts w:eastAsia="MS Mincho" w:cs="Times"/>
          <w:szCs w:val="20"/>
          <w:lang w:val="es-CR"/>
        </w:rPr>
        <w:t xml:space="preserve"> </w:t>
      </w:r>
      <w:r w:rsidRPr="00866E74">
        <w:rPr>
          <w:rFonts w:eastAsia="MS Mincho" w:cs="Times"/>
          <w:szCs w:val="20"/>
          <w:lang w:val="es-CR"/>
        </w:rPr>
        <w:t xml:space="preserve">reparaciones y costas, así como las declaraciones </w:t>
      </w:r>
      <w:bookmarkEnd w:id="7"/>
      <w:r w:rsidRPr="00866E74">
        <w:rPr>
          <w:rFonts w:eastAsia="MS Mincho" w:cs="Times"/>
          <w:szCs w:val="20"/>
          <w:lang w:val="es-CR"/>
        </w:rPr>
        <w:t xml:space="preserve">de las siguientes personas:   </w:t>
      </w:r>
    </w:p>
    <w:p w14:paraId="3530DFEE" w14:textId="77777777" w:rsidR="009325EF" w:rsidRDefault="009325EF" w:rsidP="009325EF">
      <w:pPr>
        <w:tabs>
          <w:tab w:val="left" w:pos="567"/>
          <w:tab w:val="left" w:pos="851"/>
        </w:tabs>
        <w:autoSpaceDE w:val="0"/>
        <w:autoSpaceDN w:val="0"/>
        <w:adjustRightInd w:val="0"/>
        <w:spacing w:after="0" w:line="240" w:lineRule="auto"/>
        <w:ind w:left="851"/>
        <w:jc w:val="both"/>
        <w:rPr>
          <w:rFonts w:cs="Verdana"/>
          <w:szCs w:val="20"/>
          <w:lang w:val="es-CR"/>
        </w:rPr>
      </w:pPr>
    </w:p>
    <w:p w14:paraId="2F0B879A" w14:textId="4546146F" w:rsidR="009325EF" w:rsidRPr="005E3408" w:rsidRDefault="002D2CA5" w:rsidP="009325EF">
      <w:pPr>
        <w:numPr>
          <w:ilvl w:val="0"/>
          <w:numId w:val="4"/>
        </w:numPr>
        <w:tabs>
          <w:tab w:val="left" w:pos="567"/>
        </w:tabs>
        <w:spacing w:after="0" w:line="240" w:lineRule="auto"/>
        <w:ind w:left="567"/>
        <w:jc w:val="both"/>
        <w:rPr>
          <w:rFonts w:cs="Verdana"/>
          <w:b/>
          <w:szCs w:val="20"/>
          <w:lang w:val="es-CR"/>
        </w:rPr>
      </w:pPr>
      <w:r>
        <w:rPr>
          <w:rFonts w:cs="Verdana"/>
          <w:b/>
          <w:szCs w:val="20"/>
          <w:lang w:val="es-CR"/>
        </w:rPr>
        <w:t>Presuntas víctimas</w:t>
      </w:r>
    </w:p>
    <w:p w14:paraId="685DE620" w14:textId="77777777" w:rsidR="009325EF" w:rsidRDefault="009325EF" w:rsidP="009325EF">
      <w:pPr>
        <w:tabs>
          <w:tab w:val="left" w:pos="567"/>
          <w:tab w:val="left" w:pos="1134"/>
        </w:tabs>
        <w:autoSpaceDE w:val="0"/>
        <w:autoSpaceDN w:val="0"/>
        <w:adjustRightInd w:val="0"/>
        <w:spacing w:after="0" w:line="240" w:lineRule="auto"/>
        <w:jc w:val="both"/>
        <w:rPr>
          <w:rFonts w:cs="Verdana"/>
          <w:szCs w:val="20"/>
          <w:lang w:val="es-ES"/>
        </w:rPr>
      </w:pPr>
    </w:p>
    <w:p w14:paraId="755248E4" w14:textId="5F89C55C" w:rsidR="009325EF" w:rsidRPr="004A7994" w:rsidRDefault="009325EF" w:rsidP="009325EF">
      <w:pPr>
        <w:tabs>
          <w:tab w:val="left" w:pos="567"/>
          <w:tab w:val="left" w:pos="1134"/>
        </w:tabs>
        <w:autoSpaceDE w:val="0"/>
        <w:autoSpaceDN w:val="0"/>
        <w:adjustRightInd w:val="0"/>
        <w:spacing w:after="0" w:line="240" w:lineRule="auto"/>
        <w:jc w:val="both"/>
        <w:rPr>
          <w:rFonts w:cs="Verdana"/>
          <w:i/>
          <w:iCs/>
          <w:szCs w:val="20"/>
          <w:lang w:val="es-ES"/>
        </w:rPr>
      </w:pPr>
      <w:r>
        <w:rPr>
          <w:rFonts w:cs="Verdana"/>
          <w:i/>
          <w:iCs/>
          <w:szCs w:val="20"/>
          <w:lang w:val="es-ES"/>
        </w:rPr>
        <w:t>(Propuest</w:t>
      </w:r>
      <w:r w:rsidR="008C4777">
        <w:rPr>
          <w:rFonts w:cs="Verdana"/>
          <w:i/>
          <w:iCs/>
          <w:szCs w:val="20"/>
          <w:lang w:val="es-ES"/>
        </w:rPr>
        <w:t>as</w:t>
      </w:r>
      <w:r>
        <w:rPr>
          <w:rFonts w:cs="Verdana"/>
          <w:i/>
          <w:iCs/>
          <w:szCs w:val="20"/>
          <w:lang w:val="es-ES"/>
        </w:rPr>
        <w:t xml:space="preserve"> por la</w:t>
      </w:r>
      <w:r w:rsidR="008C4777">
        <w:rPr>
          <w:rFonts w:cs="Verdana"/>
          <w:i/>
          <w:iCs/>
          <w:szCs w:val="20"/>
          <w:lang w:val="es-ES"/>
        </w:rPr>
        <w:t>s</w:t>
      </w:r>
      <w:r>
        <w:rPr>
          <w:rFonts w:cs="Verdana"/>
          <w:i/>
          <w:iCs/>
          <w:szCs w:val="20"/>
          <w:lang w:val="es-ES"/>
        </w:rPr>
        <w:t xml:space="preserve"> representante</w:t>
      </w:r>
      <w:r w:rsidR="008C4777">
        <w:rPr>
          <w:rFonts w:cs="Verdana"/>
          <w:i/>
          <w:iCs/>
          <w:szCs w:val="20"/>
          <w:lang w:val="es-ES"/>
        </w:rPr>
        <w:t>s</w:t>
      </w:r>
      <w:r>
        <w:rPr>
          <w:rFonts w:cs="Verdana"/>
          <w:i/>
          <w:iCs/>
          <w:szCs w:val="20"/>
          <w:lang w:val="es-ES"/>
        </w:rPr>
        <w:t>)</w:t>
      </w:r>
    </w:p>
    <w:p w14:paraId="70C348EA" w14:textId="77777777" w:rsidR="009325EF" w:rsidRDefault="009325EF" w:rsidP="009325EF">
      <w:pPr>
        <w:pStyle w:val="Prrafodelista"/>
        <w:tabs>
          <w:tab w:val="left" w:pos="567"/>
          <w:tab w:val="left" w:pos="1134"/>
        </w:tabs>
        <w:autoSpaceDE w:val="0"/>
        <w:autoSpaceDN w:val="0"/>
        <w:adjustRightInd w:val="0"/>
        <w:spacing w:after="0" w:line="240" w:lineRule="auto"/>
        <w:ind w:left="1440"/>
        <w:jc w:val="both"/>
        <w:rPr>
          <w:rFonts w:cs="Verdana"/>
          <w:szCs w:val="20"/>
          <w:lang w:val="es-ES"/>
        </w:rPr>
      </w:pPr>
    </w:p>
    <w:p w14:paraId="0ED11D0A" w14:textId="5EA74D08" w:rsidR="009325EF" w:rsidRDefault="006E6D1D" w:rsidP="00E1420B">
      <w:pPr>
        <w:pStyle w:val="Prrafodelista"/>
        <w:numPr>
          <w:ilvl w:val="1"/>
          <w:numId w:val="5"/>
        </w:numPr>
        <w:tabs>
          <w:tab w:val="left" w:pos="567"/>
          <w:tab w:val="left" w:pos="1134"/>
        </w:tabs>
        <w:autoSpaceDE w:val="0"/>
        <w:autoSpaceDN w:val="0"/>
        <w:adjustRightInd w:val="0"/>
        <w:spacing w:before="240" w:after="0" w:line="240" w:lineRule="auto"/>
        <w:jc w:val="both"/>
        <w:rPr>
          <w:rFonts w:cs="Verdana"/>
          <w:szCs w:val="20"/>
          <w:lang w:val="es-ES"/>
        </w:rPr>
      </w:pPr>
      <w:r>
        <w:rPr>
          <w:rFonts w:cs="Verdana"/>
          <w:i/>
          <w:iCs/>
          <w:szCs w:val="20"/>
          <w:lang w:val="es-ES"/>
        </w:rPr>
        <w:t xml:space="preserve">Adriana </w:t>
      </w:r>
      <w:proofErr w:type="spellStart"/>
      <w:r>
        <w:rPr>
          <w:rFonts w:cs="Verdana"/>
          <w:i/>
          <w:iCs/>
          <w:szCs w:val="20"/>
          <w:lang w:val="es-ES"/>
        </w:rPr>
        <w:t>Reisfeld</w:t>
      </w:r>
      <w:proofErr w:type="spellEnd"/>
      <w:r w:rsidR="009325EF" w:rsidRPr="003F6276">
        <w:rPr>
          <w:rFonts w:cs="Verdana"/>
          <w:i/>
          <w:iCs/>
          <w:szCs w:val="20"/>
          <w:lang w:val="es-ES"/>
        </w:rPr>
        <w:t xml:space="preserve">, </w:t>
      </w:r>
      <w:r w:rsidR="009325EF" w:rsidRPr="003F6276">
        <w:rPr>
          <w:rFonts w:cs="Verdana"/>
          <w:szCs w:val="20"/>
          <w:lang w:val="es-ES"/>
        </w:rPr>
        <w:t xml:space="preserve">quien declarará sobre: </w:t>
      </w:r>
      <w:r>
        <w:rPr>
          <w:rFonts w:cs="Verdana"/>
          <w:szCs w:val="20"/>
          <w:lang w:val="es-ES"/>
        </w:rPr>
        <w:t xml:space="preserve">i) </w:t>
      </w:r>
      <w:r w:rsidR="00AD097E">
        <w:rPr>
          <w:rFonts w:cs="Verdana"/>
          <w:szCs w:val="20"/>
          <w:lang w:val="es-ES"/>
        </w:rPr>
        <w:t xml:space="preserve">el impacto que tuvo en ella y en sus sobrinas la muerte de su hermana Noemí en el atentado y el impacto que tuvo para el resto de sus compañeros de Memoria Activa; </w:t>
      </w:r>
      <w:proofErr w:type="spellStart"/>
      <w:r w:rsidR="00AD097E">
        <w:rPr>
          <w:rFonts w:cs="Verdana"/>
          <w:szCs w:val="20"/>
          <w:lang w:val="es-ES"/>
        </w:rPr>
        <w:t>ii</w:t>
      </w:r>
      <w:proofErr w:type="spellEnd"/>
      <w:r w:rsidR="00AD097E">
        <w:rPr>
          <w:rFonts w:cs="Verdana"/>
          <w:szCs w:val="20"/>
          <w:lang w:val="es-ES"/>
        </w:rPr>
        <w:t xml:space="preserve">) el esfuerzo de las y los familiares en la búsqueda de justicia, </w:t>
      </w:r>
      <w:r w:rsidR="00E260F0">
        <w:rPr>
          <w:rFonts w:cs="Verdana"/>
          <w:szCs w:val="20"/>
          <w:lang w:val="es-ES"/>
        </w:rPr>
        <w:t>la creación de la organización Memoria Activa</w:t>
      </w:r>
      <w:r w:rsidR="00AE0963">
        <w:rPr>
          <w:rFonts w:cs="Verdana"/>
          <w:szCs w:val="20"/>
          <w:lang w:val="es-ES"/>
        </w:rPr>
        <w:t>, el rol que han tenido en el impulso de las causas por el atentado</w:t>
      </w:r>
      <w:r w:rsidR="009D730E">
        <w:rPr>
          <w:rFonts w:cs="Verdana"/>
          <w:szCs w:val="20"/>
          <w:lang w:val="es-ES"/>
        </w:rPr>
        <w:t xml:space="preserve"> de la Aso</w:t>
      </w:r>
      <w:r w:rsidR="00F51D62">
        <w:rPr>
          <w:rFonts w:cs="Verdana"/>
          <w:szCs w:val="20"/>
          <w:lang w:val="es-ES"/>
        </w:rPr>
        <w:t>ciación Mutual</w:t>
      </w:r>
      <w:r w:rsidR="00124826">
        <w:rPr>
          <w:rFonts w:cs="Verdana"/>
          <w:szCs w:val="20"/>
          <w:lang w:val="es-ES"/>
        </w:rPr>
        <w:t xml:space="preserve"> Israelita Argentina (en adelante “AMIA”)</w:t>
      </w:r>
      <w:r w:rsidR="00751E5B">
        <w:rPr>
          <w:rFonts w:cs="Verdana"/>
          <w:szCs w:val="20"/>
          <w:lang w:val="es-ES"/>
        </w:rPr>
        <w:t xml:space="preserve">, </w:t>
      </w:r>
      <w:r w:rsidR="009D730E">
        <w:rPr>
          <w:rFonts w:cs="Verdana"/>
          <w:szCs w:val="20"/>
          <w:lang w:val="es-ES"/>
        </w:rPr>
        <w:t>por el alegado encubrimiento de este atentado</w:t>
      </w:r>
      <w:r w:rsidR="008C1DB4">
        <w:rPr>
          <w:rFonts w:cs="Verdana"/>
          <w:szCs w:val="20"/>
          <w:lang w:val="es-ES"/>
        </w:rPr>
        <w:t xml:space="preserve"> </w:t>
      </w:r>
      <w:r w:rsidR="0084147B">
        <w:rPr>
          <w:rFonts w:cs="Verdana"/>
          <w:szCs w:val="20"/>
          <w:lang w:val="es-ES"/>
        </w:rPr>
        <w:t>y los trámites contra algunos jueces que no investigaron</w:t>
      </w:r>
      <w:r w:rsidR="00124826">
        <w:rPr>
          <w:rFonts w:cs="Verdana"/>
          <w:szCs w:val="20"/>
          <w:lang w:val="es-ES"/>
        </w:rPr>
        <w:t xml:space="preserve"> esta causa</w:t>
      </w:r>
      <w:r w:rsidR="0084147B">
        <w:rPr>
          <w:rFonts w:cs="Verdana"/>
          <w:szCs w:val="20"/>
          <w:lang w:val="es-ES"/>
        </w:rPr>
        <w:t xml:space="preserve">; </w:t>
      </w:r>
      <w:proofErr w:type="spellStart"/>
      <w:r w:rsidR="0084147B">
        <w:rPr>
          <w:rFonts w:cs="Verdana"/>
          <w:szCs w:val="20"/>
          <w:lang w:val="es-ES"/>
        </w:rPr>
        <w:t>iii</w:t>
      </w:r>
      <w:proofErr w:type="spellEnd"/>
      <w:r w:rsidR="0084147B">
        <w:rPr>
          <w:rFonts w:cs="Verdana"/>
          <w:szCs w:val="20"/>
          <w:lang w:val="es-ES"/>
        </w:rPr>
        <w:t>) cómo Memoria Activa tu</w:t>
      </w:r>
      <w:r w:rsidR="00BB535A">
        <w:rPr>
          <w:rFonts w:cs="Verdana"/>
          <w:szCs w:val="20"/>
          <w:lang w:val="es-ES"/>
        </w:rPr>
        <w:t xml:space="preserve">vo que separarse de la línea mantenida por la dirigencia comunitaria judía en el marco de las investigaciones, así como la relación de Memoria Activa con el Estado argentino; </w:t>
      </w:r>
      <w:proofErr w:type="spellStart"/>
      <w:r w:rsidR="00BB535A">
        <w:rPr>
          <w:rFonts w:cs="Verdana"/>
          <w:szCs w:val="20"/>
          <w:lang w:val="es-ES"/>
        </w:rPr>
        <w:t>iv</w:t>
      </w:r>
      <w:proofErr w:type="spellEnd"/>
      <w:r w:rsidR="00BB535A">
        <w:rPr>
          <w:rFonts w:cs="Verdana"/>
          <w:szCs w:val="20"/>
          <w:lang w:val="es-ES"/>
        </w:rPr>
        <w:t xml:space="preserve">) </w:t>
      </w:r>
      <w:r w:rsidR="00BB535A" w:rsidRPr="003E6537">
        <w:rPr>
          <w:rFonts w:cs="Verdana"/>
          <w:szCs w:val="20"/>
          <w:lang w:val="es-ES"/>
        </w:rPr>
        <w:t xml:space="preserve">el impacto que </w:t>
      </w:r>
      <w:r w:rsidR="00816AFA">
        <w:rPr>
          <w:rFonts w:cs="Verdana"/>
          <w:szCs w:val="20"/>
          <w:lang w:val="es-ES"/>
        </w:rPr>
        <w:t>tuvieron las sentencias en los</w:t>
      </w:r>
      <w:r w:rsidR="00E1420B">
        <w:rPr>
          <w:rFonts w:cs="Verdana"/>
          <w:szCs w:val="20"/>
          <w:lang w:val="es-ES"/>
        </w:rPr>
        <w:t xml:space="preserve"> juicios desarrollados por </w:t>
      </w:r>
      <w:r w:rsidR="00692236">
        <w:rPr>
          <w:rFonts w:cs="Verdana"/>
          <w:szCs w:val="20"/>
          <w:lang w:val="es-ES"/>
        </w:rPr>
        <w:t xml:space="preserve">el Tribunal Oral en lo Criminal y Federal No. 2 del 2019 </w:t>
      </w:r>
      <w:r w:rsidR="00BB535A">
        <w:rPr>
          <w:rFonts w:cs="Verdana"/>
          <w:szCs w:val="20"/>
          <w:lang w:val="es-ES"/>
        </w:rPr>
        <w:t>y</w:t>
      </w:r>
      <w:r w:rsidR="0084640E">
        <w:rPr>
          <w:rFonts w:cs="Verdana"/>
          <w:szCs w:val="20"/>
          <w:lang w:val="es-ES"/>
        </w:rPr>
        <w:t xml:space="preserve"> por el Tribunal Oral Federal No. 3 contra </w:t>
      </w:r>
      <w:r w:rsidR="003E6537">
        <w:rPr>
          <w:rFonts w:cs="Verdana"/>
          <w:szCs w:val="20"/>
          <w:lang w:val="es-ES"/>
        </w:rPr>
        <w:t xml:space="preserve">Carlos </w:t>
      </w:r>
      <w:proofErr w:type="spellStart"/>
      <w:r w:rsidR="003E6537">
        <w:rPr>
          <w:rFonts w:cs="Verdana"/>
          <w:szCs w:val="20"/>
          <w:lang w:val="es-ES"/>
        </w:rPr>
        <w:t>Telledín</w:t>
      </w:r>
      <w:proofErr w:type="spellEnd"/>
      <w:r w:rsidR="00BB535A">
        <w:rPr>
          <w:rFonts w:cs="Verdana"/>
          <w:szCs w:val="20"/>
          <w:lang w:val="es-ES"/>
        </w:rPr>
        <w:t xml:space="preserve"> v) la alegada perspectiva discriminatoria que tuvo el atentado.</w:t>
      </w:r>
    </w:p>
    <w:p w14:paraId="727C91B6" w14:textId="3CB90A49" w:rsidR="00BB535A" w:rsidRDefault="00BB535A" w:rsidP="009325EF">
      <w:pPr>
        <w:pStyle w:val="Prrafodelista"/>
        <w:numPr>
          <w:ilvl w:val="1"/>
          <w:numId w:val="5"/>
        </w:numPr>
        <w:tabs>
          <w:tab w:val="left" w:pos="567"/>
          <w:tab w:val="left" w:pos="1134"/>
        </w:tabs>
        <w:autoSpaceDE w:val="0"/>
        <w:autoSpaceDN w:val="0"/>
        <w:adjustRightInd w:val="0"/>
        <w:spacing w:after="0" w:line="240" w:lineRule="auto"/>
        <w:jc w:val="both"/>
        <w:rPr>
          <w:rFonts w:cs="Verdana"/>
          <w:szCs w:val="20"/>
          <w:lang w:val="es-ES"/>
        </w:rPr>
      </w:pPr>
      <w:r>
        <w:rPr>
          <w:rFonts w:cs="Verdana"/>
          <w:i/>
          <w:iCs/>
          <w:szCs w:val="20"/>
          <w:lang w:val="es-ES"/>
        </w:rPr>
        <w:t xml:space="preserve">Diana </w:t>
      </w:r>
      <w:proofErr w:type="spellStart"/>
      <w:r>
        <w:rPr>
          <w:rFonts w:cs="Verdana"/>
          <w:i/>
          <w:iCs/>
          <w:szCs w:val="20"/>
          <w:lang w:val="es-ES"/>
        </w:rPr>
        <w:t>Wassner</w:t>
      </w:r>
      <w:proofErr w:type="spellEnd"/>
      <w:r>
        <w:rPr>
          <w:rFonts w:cs="Verdana"/>
          <w:i/>
          <w:iCs/>
          <w:szCs w:val="20"/>
          <w:lang w:val="es-ES"/>
        </w:rPr>
        <w:t xml:space="preserve">, </w:t>
      </w:r>
      <w:r>
        <w:rPr>
          <w:rFonts w:cs="Verdana"/>
          <w:szCs w:val="20"/>
          <w:lang w:val="es-ES"/>
        </w:rPr>
        <w:t xml:space="preserve">quien declarará sobre i) el camino transitado para reclamar </w:t>
      </w:r>
      <w:r w:rsidR="0073359B">
        <w:rPr>
          <w:rFonts w:cs="Verdana"/>
          <w:szCs w:val="20"/>
          <w:lang w:val="es-ES"/>
        </w:rPr>
        <w:t xml:space="preserve">la investigación del atentado; </w:t>
      </w:r>
      <w:proofErr w:type="spellStart"/>
      <w:r w:rsidR="0073359B">
        <w:rPr>
          <w:rFonts w:cs="Verdana"/>
          <w:szCs w:val="20"/>
          <w:lang w:val="es-ES"/>
        </w:rPr>
        <w:t>ii</w:t>
      </w:r>
      <w:proofErr w:type="spellEnd"/>
      <w:r w:rsidR="0073359B">
        <w:rPr>
          <w:rFonts w:cs="Verdana"/>
          <w:szCs w:val="20"/>
          <w:lang w:val="es-ES"/>
        </w:rPr>
        <w:t xml:space="preserve">) el impacto personal que tiene la alegada falta de justicia para ella y para sus hijas; </w:t>
      </w:r>
      <w:proofErr w:type="spellStart"/>
      <w:r w:rsidR="0073359B">
        <w:rPr>
          <w:rFonts w:cs="Verdana"/>
          <w:szCs w:val="20"/>
          <w:lang w:val="es-ES"/>
        </w:rPr>
        <w:t>iii</w:t>
      </w:r>
      <w:proofErr w:type="spellEnd"/>
      <w:r w:rsidR="0073359B">
        <w:rPr>
          <w:rFonts w:cs="Verdana"/>
          <w:szCs w:val="20"/>
          <w:lang w:val="es-ES"/>
        </w:rPr>
        <w:t xml:space="preserve">) los </w:t>
      </w:r>
      <w:r w:rsidR="007B1AEC">
        <w:rPr>
          <w:rFonts w:cs="Verdana"/>
          <w:szCs w:val="20"/>
          <w:lang w:val="es-ES"/>
        </w:rPr>
        <w:t xml:space="preserve">alegados </w:t>
      </w:r>
      <w:r w:rsidR="0073359B">
        <w:rPr>
          <w:rFonts w:cs="Verdana"/>
          <w:szCs w:val="20"/>
          <w:lang w:val="es-ES"/>
        </w:rPr>
        <w:t xml:space="preserve">episodios en donde fue amenazada y </w:t>
      </w:r>
      <w:r w:rsidR="0073359B" w:rsidRPr="001329EE">
        <w:rPr>
          <w:rFonts w:cs="Verdana"/>
          <w:szCs w:val="20"/>
          <w:lang w:val="es-ES"/>
        </w:rPr>
        <w:t>seguida</w:t>
      </w:r>
      <w:r w:rsidR="0073359B">
        <w:rPr>
          <w:rFonts w:cs="Verdana"/>
          <w:szCs w:val="20"/>
          <w:lang w:val="es-ES"/>
        </w:rPr>
        <w:t xml:space="preserve">; </w:t>
      </w:r>
      <w:proofErr w:type="spellStart"/>
      <w:r w:rsidR="0073359B">
        <w:rPr>
          <w:rFonts w:cs="Verdana"/>
          <w:szCs w:val="20"/>
          <w:lang w:val="es-ES"/>
        </w:rPr>
        <w:t>iv</w:t>
      </w:r>
      <w:proofErr w:type="spellEnd"/>
      <w:r w:rsidR="0073359B">
        <w:rPr>
          <w:rFonts w:cs="Verdana"/>
          <w:szCs w:val="20"/>
          <w:lang w:val="es-ES"/>
        </w:rPr>
        <w:t xml:space="preserve">) </w:t>
      </w:r>
      <w:r w:rsidR="00FC7861">
        <w:rPr>
          <w:rFonts w:cs="Verdana"/>
          <w:szCs w:val="20"/>
          <w:lang w:val="es-ES"/>
        </w:rPr>
        <w:t>la investigación desarrollada por el Estad</w:t>
      </w:r>
      <w:r w:rsidR="00621503">
        <w:rPr>
          <w:rFonts w:cs="Verdana"/>
          <w:szCs w:val="20"/>
          <w:lang w:val="es-ES"/>
        </w:rPr>
        <w:t>o, sus deficiencias</w:t>
      </w:r>
      <w:r w:rsidR="002E7B32">
        <w:rPr>
          <w:rFonts w:cs="Verdana"/>
          <w:szCs w:val="20"/>
          <w:lang w:val="es-ES"/>
        </w:rPr>
        <w:t>, obstaculizaciones</w:t>
      </w:r>
      <w:r w:rsidR="00621503">
        <w:rPr>
          <w:rFonts w:cs="Verdana"/>
          <w:szCs w:val="20"/>
          <w:lang w:val="es-ES"/>
        </w:rPr>
        <w:t xml:space="preserve"> y el alegado encubrimiento en la misma</w:t>
      </w:r>
      <w:r w:rsidR="002E7B32">
        <w:rPr>
          <w:rFonts w:cs="Verdana"/>
          <w:szCs w:val="20"/>
          <w:lang w:val="es-ES"/>
        </w:rPr>
        <w:t xml:space="preserve"> y v) la alegada perspectiva discriminatoria que tuvo el atentado.</w:t>
      </w:r>
    </w:p>
    <w:p w14:paraId="1EF67F91" w14:textId="77777777" w:rsidR="00846A55" w:rsidRDefault="00846A55" w:rsidP="009325EF">
      <w:pPr>
        <w:tabs>
          <w:tab w:val="left" w:pos="567"/>
          <w:tab w:val="left" w:pos="1134"/>
        </w:tabs>
        <w:autoSpaceDE w:val="0"/>
        <w:autoSpaceDN w:val="0"/>
        <w:adjustRightInd w:val="0"/>
        <w:spacing w:after="0" w:line="240" w:lineRule="auto"/>
        <w:jc w:val="both"/>
        <w:rPr>
          <w:rFonts w:cs="Verdana"/>
          <w:szCs w:val="20"/>
          <w:lang w:val="es-ES"/>
        </w:rPr>
      </w:pPr>
    </w:p>
    <w:p w14:paraId="5FB7876C" w14:textId="6685B8C0" w:rsidR="009325EF" w:rsidRPr="005E3408" w:rsidRDefault="009325EF" w:rsidP="009325EF">
      <w:pPr>
        <w:numPr>
          <w:ilvl w:val="0"/>
          <w:numId w:val="4"/>
        </w:numPr>
        <w:tabs>
          <w:tab w:val="left" w:pos="567"/>
          <w:tab w:val="left" w:pos="1134"/>
        </w:tabs>
        <w:spacing w:after="0" w:line="240" w:lineRule="auto"/>
        <w:ind w:left="567"/>
        <w:jc w:val="both"/>
        <w:rPr>
          <w:rFonts w:cs="Verdana"/>
          <w:b/>
          <w:szCs w:val="20"/>
          <w:lang w:val="es-CR"/>
        </w:rPr>
      </w:pPr>
      <w:r w:rsidRPr="005E3408">
        <w:rPr>
          <w:rFonts w:cs="Verdana"/>
          <w:b/>
          <w:szCs w:val="20"/>
          <w:lang w:val="es-CR"/>
        </w:rPr>
        <w:t>Perit</w:t>
      </w:r>
      <w:r w:rsidR="003206E8">
        <w:rPr>
          <w:rFonts w:cs="Verdana"/>
          <w:b/>
          <w:szCs w:val="20"/>
          <w:lang w:val="es-CR"/>
        </w:rPr>
        <w:t>o</w:t>
      </w:r>
      <w:r w:rsidRPr="005E3408">
        <w:rPr>
          <w:rFonts w:cs="Verdana"/>
          <w:b/>
          <w:szCs w:val="20"/>
          <w:lang w:val="es-CR"/>
        </w:rPr>
        <w:t>s</w:t>
      </w:r>
    </w:p>
    <w:p w14:paraId="1ED32DC7" w14:textId="77777777" w:rsidR="009325EF" w:rsidRDefault="009325EF" w:rsidP="009325EF">
      <w:pPr>
        <w:tabs>
          <w:tab w:val="left" w:pos="567"/>
          <w:tab w:val="left" w:pos="1134"/>
        </w:tabs>
        <w:spacing w:after="0" w:line="240" w:lineRule="auto"/>
        <w:jc w:val="both"/>
        <w:rPr>
          <w:rFonts w:cs="Verdana"/>
          <w:bCs/>
          <w:i/>
          <w:iCs/>
          <w:szCs w:val="20"/>
          <w:lang w:val="es-CR"/>
        </w:rPr>
      </w:pPr>
    </w:p>
    <w:p w14:paraId="268FE238" w14:textId="6DA26E93" w:rsidR="009325EF" w:rsidRDefault="009325EF" w:rsidP="009325EF">
      <w:pPr>
        <w:tabs>
          <w:tab w:val="left" w:pos="567"/>
          <w:tab w:val="left" w:pos="1134"/>
        </w:tabs>
        <w:spacing w:after="0" w:line="240" w:lineRule="auto"/>
        <w:jc w:val="both"/>
        <w:rPr>
          <w:rFonts w:cs="Verdana"/>
          <w:bCs/>
          <w:i/>
          <w:iCs/>
          <w:szCs w:val="20"/>
          <w:lang w:val="es-CR"/>
        </w:rPr>
      </w:pPr>
      <w:r>
        <w:rPr>
          <w:rFonts w:cs="Verdana"/>
          <w:bCs/>
          <w:i/>
          <w:iCs/>
          <w:szCs w:val="20"/>
          <w:lang w:val="es-CR"/>
        </w:rPr>
        <w:t>(Propuest</w:t>
      </w:r>
      <w:r w:rsidR="003206E8">
        <w:rPr>
          <w:rFonts w:cs="Verdana"/>
          <w:bCs/>
          <w:i/>
          <w:iCs/>
          <w:szCs w:val="20"/>
          <w:lang w:val="es-CR"/>
        </w:rPr>
        <w:t>os</w:t>
      </w:r>
      <w:r>
        <w:rPr>
          <w:rFonts w:cs="Verdana"/>
          <w:bCs/>
          <w:i/>
          <w:iCs/>
          <w:szCs w:val="20"/>
          <w:lang w:val="es-CR"/>
        </w:rPr>
        <w:t xml:space="preserve"> por </w:t>
      </w:r>
      <w:r w:rsidR="008120E9">
        <w:rPr>
          <w:rFonts w:cs="Verdana"/>
          <w:bCs/>
          <w:i/>
          <w:iCs/>
          <w:szCs w:val="20"/>
          <w:lang w:val="es-CR"/>
        </w:rPr>
        <w:t>las representantes</w:t>
      </w:r>
      <w:r>
        <w:rPr>
          <w:rFonts w:cs="Verdana"/>
          <w:bCs/>
          <w:i/>
          <w:iCs/>
          <w:szCs w:val="20"/>
          <w:lang w:val="es-CR"/>
        </w:rPr>
        <w:t>)</w:t>
      </w:r>
    </w:p>
    <w:p w14:paraId="78E63749" w14:textId="77777777" w:rsidR="009325EF" w:rsidRDefault="009325EF" w:rsidP="009325EF">
      <w:pPr>
        <w:tabs>
          <w:tab w:val="left" w:pos="567"/>
          <w:tab w:val="left" w:pos="1134"/>
        </w:tabs>
        <w:spacing w:after="0" w:line="240" w:lineRule="auto"/>
        <w:jc w:val="both"/>
        <w:rPr>
          <w:rFonts w:cs="Verdana"/>
          <w:bCs/>
          <w:i/>
          <w:iCs/>
          <w:szCs w:val="20"/>
          <w:lang w:val="es-CR"/>
        </w:rPr>
      </w:pPr>
    </w:p>
    <w:p w14:paraId="1F537324" w14:textId="2C99174C" w:rsidR="009B713F" w:rsidRPr="009B713F" w:rsidRDefault="009B713F" w:rsidP="009B713F">
      <w:pPr>
        <w:pStyle w:val="Prrafodelista"/>
        <w:numPr>
          <w:ilvl w:val="1"/>
          <w:numId w:val="5"/>
        </w:numPr>
        <w:tabs>
          <w:tab w:val="left" w:pos="567"/>
          <w:tab w:val="left" w:pos="1134"/>
        </w:tabs>
        <w:spacing w:after="0" w:line="240" w:lineRule="auto"/>
        <w:jc w:val="both"/>
        <w:rPr>
          <w:rFonts w:cs="Verdana"/>
          <w:bCs/>
          <w:szCs w:val="20"/>
          <w:lang w:val="es-CR"/>
        </w:rPr>
      </w:pPr>
      <w:r w:rsidRPr="003206E8">
        <w:rPr>
          <w:rFonts w:cs="Verdana"/>
          <w:i/>
          <w:iCs/>
          <w:szCs w:val="20"/>
          <w:lang w:val="es-ES"/>
        </w:rPr>
        <w:t xml:space="preserve">Fernando Domínguez, </w:t>
      </w:r>
      <w:r w:rsidRPr="003206E8">
        <w:rPr>
          <w:rFonts w:cs="Verdana"/>
          <w:szCs w:val="20"/>
          <w:lang w:val="es-ES"/>
        </w:rPr>
        <w:t xml:space="preserve">Fiscal Federal, quien declarará sobre: i) los problemas estructurales de investigación del caso del atentado a la </w:t>
      </w:r>
      <w:r>
        <w:rPr>
          <w:rFonts w:cs="Verdana"/>
          <w:szCs w:val="20"/>
          <w:lang w:val="es-ES"/>
        </w:rPr>
        <w:t>AMIA</w:t>
      </w:r>
      <w:r w:rsidRPr="003206E8">
        <w:rPr>
          <w:rFonts w:cs="Verdana"/>
          <w:szCs w:val="20"/>
          <w:lang w:val="es-ES"/>
        </w:rPr>
        <w:t xml:space="preserve">; </w:t>
      </w:r>
      <w:proofErr w:type="spellStart"/>
      <w:r w:rsidRPr="003206E8">
        <w:rPr>
          <w:rFonts w:cs="Verdana"/>
          <w:szCs w:val="20"/>
          <w:lang w:val="es-ES"/>
        </w:rPr>
        <w:t>ii</w:t>
      </w:r>
      <w:proofErr w:type="spellEnd"/>
      <w:r w:rsidRPr="003206E8">
        <w:rPr>
          <w:rFonts w:cs="Verdana"/>
          <w:szCs w:val="20"/>
          <w:lang w:val="es-ES"/>
        </w:rPr>
        <w:t xml:space="preserve">) la intervención de organismos de inteligencia en la actividad de investigación y el manejo de la información de inteligencia, tanto su normativa como en la práctica; </w:t>
      </w:r>
      <w:proofErr w:type="spellStart"/>
      <w:r w:rsidRPr="003206E8">
        <w:rPr>
          <w:rFonts w:cs="Verdana"/>
          <w:szCs w:val="20"/>
          <w:lang w:val="es-ES"/>
        </w:rPr>
        <w:t>iii</w:t>
      </w:r>
      <w:proofErr w:type="spellEnd"/>
      <w:r w:rsidRPr="003206E8">
        <w:rPr>
          <w:rFonts w:cs="Verdana"/>
          <w:szCs w:val="20"/>
          <w:lang w:val="es-ES"/>
        </w:rPr>
        <w:t>) las reformas judiciales y del sistema de inteligencia que se intentaron luego de conocerse las</w:t>
      </w:r>
      <w:r>
        <w:rPr>
          <w:rFonts w:cs="Verdana"/>
          <w:szCs w:val="20"/>
          <w:lang w:val="es-ES"/>
        </w:rPr>
        <w:t xml:space="preserve"> presuntas</w:t>
      </w:r>
      <w:r w:rsidRPr="003206E8">
        <w:rPr>
          <w:rFonts w:cs="Verdana"/>
          <w:szCs w:val="20"/>
          <w:lang w:val="es-ES"/>
        </w:rPr>
        <w:t xml:space="preserve"> irregularidades en la causa AMIA y las que están pendientes para modificar estas prácticas; </w:t>
      </w:r>
      <w:proofErr w:type="spellStart"/>
      <w:r w:rsidRPr="003206E8">
        <w:rPr>
          <w:rFonts w:cs="Verdana"/>
          <w:szCs w:val="20"/>
          <w:lang w:val="es-ES"/>
        </w:rPr>
        <w:t>iv</w:t>
      </w:r>
      <w:proofErr w:type="spellEnd"/>
      <w:r w:rsidRPr="003206E8">
        <w:rPr>
          <w:rFonts w:cs="Verdana"/>
          <w:szCs w:val="20"/>
          <w:lang w:val="es-ES"/>
        </w:rPr>
        <w:t>) las medidas que debe implementar el Estado argentino para desarrollar un sistema de investigación criminal con capacidad para enfrentar casos de envergadura, como el atentado a la AMIA; v) el rol que debería tener el Ministerio Públicos Fiscal y los eventuales problemas que podría tener la Unidad Fiscal para la Investigación de la Causa AMIA (UFIAMIA) en su funcionamiento.</w:t>
      </w:r>
    </w:p>
    <w:p w14:paraId="235E90CD" w14:textId="6659D529" w:rsidR="003206E8" w:rsidRPr="009B713F" w:rsidRDefault="008120E9" w:rsidP="009B713F">
      <w:pPr>
        <w:pStyle w:val="Prrafodelista"/>
        <w:numPr>
          <w:ilvl w:val="1"/>
          <w:numId w:val="5"/>
        </w:numPr>
        <w:tabs>
          <w:tab w:val="left" w:pos="567"/>
          <w:tab w:val="left" w:pos="1134"/>
        </w:tabs>
        <w:spacing w:after="0" w:line="240" w:lineRule="auto"/>
        <w:jc w:val="both"/>
        <w:rPr>
          <w:rFonts w:cs="Verdana"/>
          <w:bCs/>
          <w:szCs w:val="20"/>
          <w:lang w:val="es-CR"/>
        </w:rPr>
      </w:pPr>
      <w:r w:rsidRPr="009B713F">
        <w:rPr>
          <w:rFonts w:cs="Verdana"/>
          <w:bCs/>
          <w:i/>
          <w:iCs/>
          <w:szCs w:val="20"/>
          <w:lang w:val="es-CR"/>
        </w:rPr>
        <w:t xml:space="preserve">Natalia </w:t>
      </w:r>
      <w:proofErr w:type="spellStart"/>
      <w:r w:rsidRPr="009B713F">
        <w:rPr>
          <w:rFonts w:cs="Verdana"/>
          <w:bCs/>
          <w:i/>
          <w:iCs/>
          <w:szCs w:val="20"/>
          <w:lang w:val="es-CR"/>
        </w:rPr>
        <w:t>Federman</w:t>
      </w:r>
      <w:proofErr w:type="spellEnd"/>
      <w:r w:rsidR="009325EF" w:rsidRPr="009B713F">
        <w:rPr>
          <w:rFonts w:cs="Verdana"/>
          <w:bCs/>
          <w:i/>
          <w:iCs/>
          <w:szCs w:val="20"/>
          <w:lang w:val="es-CR"/>
        </w:rPr>
        <w:t xml:space="preserve">, </w:t>
      </w:r>
      <w:r w:rsidR="00680D9F" w:rsidRPr="009B713F">
        <w:rPr>
          <w:rFonts w:cs="Verdana"/>
          <w:bCs/>
          <w:szCs w:val="20"/>
          <w:lang w:val="es-CR"/>
        </w:rPr>
        <w:t>abogada</w:t>
      </w:r>
      <w:r w:rsidR="009325EF" w:rsidRPr="009B713F">
        <w:rPr>
          <w:rFonts w:cs="Verdana"/>
          <w:bCs/>
          <w:szCs w:val="20"/>
          <w:lang w:val="es-CR"/>
        </w:rPr>
        <w:t xml:space="preserve">, quien declarará sobre </w:t>
      </w:r>
      <w:r w:rsidR="00BC686C" w:rsidRPr="009B713F">
        <w:rPr>
          <w:rFonts w:cs="Verdana"/>
          <w:bCs/>
          <w:szCs w:val="20"/>
          <w:lang w:val="es-CR"/>
        </w:rPr>
        <w:t>el marco normativo argentino al momento del atentado de la AMIA y los cambios producidos en los años posteriores, relativo al sistema de clasificación de la</w:t>
      </w:r>
      <w:r w:rsidR="00E4413C" w:rsidRPr="009B713F">
        <w:rPr>
          <w:rFonts w:cs="Verdana"/>
          <w:bCs/>
          <w:szCs w:val="20"/>
          <w:lang w:val="es-CR"/>
        </w:rPr>
        <w:t xml:space="preserve"> información de inteligencia, la regulación del secreto, la</w:t>
      </w:r>
      <w:r w:rsidR="00B86CA6" w:rsidRPr="009B713F">
        <w:rPr>
          <w:rFonts w:cs="Verdana"/>
          <w:bCs/>
          <w:szCs w:val="20"/>
          <w:lang w:val="es-CR"/>
        </w:rPr>
        <w:t xml:space="preserve"> desclasificación con fines judiciales y el régimen para acceder a la información. Podrá analizar la normativa actual en relación con los estándares interamericanos de acceso a la información clasificada como secreta </w:t>
      </w:r>
      <w:r w:rsidR="0001010E" w:rsidRPr="009B713F">
        <w:rPr>
          <w:rFonts w:cs="Verdana"/>
          <w:bCs/>
          <w:szCs w:val="20"/>
          <w:lang w:val="es-CR"/>
        </w:rPr>
        <w:t>por razones de seguridad nacional</w:t>
      </w:r>
      <w:r w:rsidR="009325EF" w:rsidRPr="009B713F">
        <w:rPr>
          <w:rFonts w:cs="Verdana"/>
          <w:bCs/>
          <w:szCs w:val="20"/>
          <w:lang w:val="es-CR"/>
        </w:rPr>
        <w:t>.</w:t>
      </w:r>
    </w:p>
    <w:p w14:paraId="77FFF056" w14:textId="77777777" w:rsidR="0001010E" w:rsidRDefault="0001010E" w:rsidP="0001010E">
      <w:pPr>
        <w:tabs>
          <w:tab w:val="left" w:pos="567"/>
          <w:tab w:val="left" w:pos="1134"/>
        </w:tabs>
        <w:spacing w:after="0" w:line="240" w:lineRule="auto"/>
        <w:jc w:val="both"/>
        <w:rPr>
          <w:rFonts w:cs="Verdana"/>
          <w:bCs/>
          <w:szCs w:val="20"/>
          <w:lang w:val="es-CR"/>
        </w:rPr>
      </w:pPr>
    </w:p>
    <w:p w14:paraId="32E3ED85" w14:textId="2AE0DBE2" w:rsidR="009325EF" w:rsidRPr="0001010E" w:rsidRDefault="0001010E" w:rsidP="0001010E">
      <w:pPr>
        <w:tabs>
          <w:tab w:val="left" w:pos="567"/>
          <w:tab w:val="left" w:pos="1134"/>
        </w:tabs>
        <w:spacing w:after="0" w:line="240" w:lineRule="auto"/>
        <w:jc w:val="both"/>
        <w:rPr>
          <w:rFonts w:cs="Verdana"/>
          <w:bCs/>
          <w:szCs w:val="20"/>
          <w:lang w:val="es-CR"/>
        </w:rPr>
      </w:pPr>
      <w:r>
        <w:rPr>
          <w:rFonts w:cs="Verdana"/>
          <w:bCs/>
          <w:i/>
          <w:iCs/>
          <w:szCs w:val="20"/>
          <w:lang w:val="es-CR"/>
        </w:rPr>
        <w:t>(Propuesta por la Comisión)</w:t>
      </w:r>
      <w:r w:rsidR="009325EF" w:rsidRPr="0001010E">
        <w:rPr>
          <w:rFonts w:cs="Verdana"/>
          <w:bCs/>
          <w:szCs w:val="20"/>
          <w:lang w:val="es-CR"/>
        </w:rPr>
        <w:t xml:space="preserve"> </w:t>
      </w:r>
    </w:p>
    <w:p w14:paraId="6D1BE6D9" w14:textId="77777777" w:rsidR="009325EF" w:rsidRDefault="009325EF" w:rsidP="009325EF">
      <w:pPr>
        <w:pStyle w:val="Prrafodelista"/>
        <w:tabs>
          <w:tab w:val="left" w:pos="567"/>
          <w:tab w:val="left" w:pos="1134"/>
        </w:tabs>
        <w:spacing w:after="0" w:line="240" w:lineRule="auto"/>
        <w:ind w:left="1440"/>
        <w:jc w:val="both"/>
        <w:rPr>
          <w:rFonts w:cs="Verdana"/>
          <w:bCs/>
          <w:i/>
          <w:iCs/>
          <w:szCs w:val="20"/>
          <w:lang w:val="es-CR"/>
        </w:rPr>
      </w:pPr>
    </w:p>
    <w:p w14:paraId="6274035F" w14:textId="5F74FF79" w:rsidR="009325EF" w:rsidRPr="00CE388C" w:rsidRDefault="00CE388C" w:rsidP="009B713F">
      <w:pPr>
        <w:pStyle w:val="Prrafodelista"/>
        <w:numPr>
          <w:ilvl w:val="0"/>
          <w:numId w:val="5"/>
        </w:numPr>
        <w:tabs>
          <w:tab w:val="left" w:pos="567"/>
          <w:tab w:val="left" w:pos="1134"/>
        </w:tabs>
        <w:spacing w:after="0" w:line="240" w:lineRule="auto"/>
        <w:jc w:val="both"/>
        <w:rPr>
          <w:rFonts w:cs="Verdana"/>
          <w:bCs/>
          <w:szCs w:val="20"/>
          <w:lang w:val="es-CR"/>
        </w:rPr>
      </w:pPr>
      <w:r>
        <w:rPr>
          <w:rFonts w:cs="Verdana"/>
          <w:bCs/>
          <w:i/>
          <w:iCs/>
          <w:szCs w:val="20"/>
          <w:lang w:val="es-CR"/>
        </w:rPr>
        <w:lastRenderedPageBreak/>
        <w:t>Blanca I</w:t>
      </w:r>
      <w:r w:rsidR="009B713F">
        <w:rPr>
          <w:rFonts w:cs="Verdana"/>
          <w:bCs/>
          <w:i/>
          <w:iCs/>
          <w:szCs w:val="20"/>
          <w:lang w:val="es-CR"/>
        </w:rPr>
        <w:t>.</w:t>
      </w:r>
      <w:r>
        <w:rPr>
          <w:rFonts w:cs="Verdana"/>
          <w:bCs/>
          <w:i/>
          <w:iCs/>
          <w:szCs w:val="20"/>
          <w:lang w:val="es-CR"/>
        </w:rPr>
        <w:t xml:space="preserve"> </w:t>
      </w:r>
      <w:proofErr w:type="spellStart"/>
      <w:r>
        <w:rPr>
          <w:rFonts w:cs="Verdana"/>
          <w:bCs/>
          <w:i/>
          <w:iCs/>
          <w:szCs w:val="20"/>
          <w:lang w:val="es-CR"/>
        </w:rPr>
        <w:t>Bazaco</w:t>
      </w:r>
      <w:proofErr w:type="spellEnd"/>
      <w:r>
        <w:rPr>
          <w:rFonts w:cs="Verdana"/>
          <w:bCs/>
          <w:i/>
          <w:iCs/>
          <w:szCs w:val="20"/>
          <w:lang w:val="es-CR"/>
        </w:rPr>
        <w:t xml:space="preserve">, </w:t>
      </w:r>
      <w:r w:rsidR="001F4C8D">
        <w:rPr>
          <w:rFonts w:cs="Verdana"/>
          <w:bCs/>
          <w:szCs w:val="20"/>
          <w:lang w:val="es-CR"/>
        </w:rPr>
        <w:t xml:space="preserve">archivista y especialista en documentación, quien presentará el peritaje elaborado de forma conjunta con Antonio González Quintana, </w:t>
      </w:r>
      <w:r w:rsidR="008C6704">
        <w:rPr>
          <w:rFonts w:cs="Verdana"/>
          <w:bCs/>
          <w:szCs w:val="20"/>
          <w:lang w:val="es-CR"/>
        </w:rPr>
        <w:t xml:space="preserve">archivista, </w:t>
      </w:r>
      <w:r w:rsidR="00827033">
        <w:rPr>
          <w:rFonts w:cs="Verdana"/>
          <w:bCs/>
          <w:szCs w:val="20"/>
          <w:lang w:val="es-CR"/>
        </w:rPr>
        <w:t>sobre las medidas que deben adoptar los Estados para garantizar el derecho de acceso a la información, como un componente del derecho a la verdad, en casos de graves violaciones a los derechos humanos. En particular, se referirán al acceso a la información relacionada</w:t>
      </w:r>
      <w:r w:rsidR="00674CD8">
        <w:rPr>
          <w:rFonts w:cs="Verdana"/>
          <w:bCs/>
          <w:szCs w:val="20"/>
          <w:lang w:val="es-CR"/>
        </w:rPr>
        <w:t xml:space="preserve"> con casos de graves violaciones vinculadas con actos terroristas, incluyendo de aquella información que provenga de los servicios de inteligencia. Asimismo, se referirán a las obligaciones aplicables en materia de preservación y accesibilidad de documentación desclasificada vinculada a graves violaciones a los derechos humanos.</w:t>
      </w:r>
    </w:p>
    <w:p w14:paraId="6332D7AC" w14:textId="77777777" w:rsidR="009325EF" w:rsidRDefault="009325EF" w:rsidP="009325EF">
      <w:pPr>
        <w:tabs>
          <w:tab w:val="left" w:pos="567"/>
        </w:tabs>
        <w:spacing w:after="0" w:line="240" w:lineRule="auto"/>
        <w:jc w:val="both"/>
        <w:rPr>
          <w:szCs w:val="20"/>
          <w:lang w:val="es-CR"/>
        </w:rPr>
      </w:pPr>
    </w:p>
    <w:p w14:paraId="3088D2ED" w14:textId="371E7CDC" w:rsidR="009325EF" w:rsidRPr="001344B7" w:rsidRDefault="009325EF" w:rsidP="009325EF">
      <w:pPr>
        <w:numPr>
          <w:ilvl w:val="0"/>
          <w:numId w:val="6"/>
        </w:numPr>
        <w:tabs>
          <w:tab w:val="left" w:pos="567"/>
        </w:tabs>
        <w:spacing w:after="0" w:line="240" w:lineRule="auto"/>
        <w:jc w:val="both"/>
        <w:rPr>
          <w:szCs w:val="20"/>
          <w:lang w:val="es-CR"/>
        </w:rPr>
      </w:pPr>
      <w:r>
        <w:t xml:space="preserve">Solicitar al Estado </w:t>
      </w:r>
      <w:r w:rsidR="00600DDB">
        <w:t>del Uruguay</w:t>
      </w:r>
      <w:r>
        <w:t xml:space="preserve">, de conformidad con lo dispuesto en el artículo 26 incisos 1 y 3 del Reglamento de la Corte, su cooperación para llevar a cabo la audiencia pública sobre </w:t>
      </w:r>
      <w:r w:rsidR="007B1AEC">
        <w:t>el</w:t>
      </w:r>
      <w:r>
        <w:t xml:space="preserve"> fondo</w:t>
      </w:r>
      <w:r w:rsidR="007B1AEC">
        <w:t xml:space="preserve"> y eventuales</w:t>
      </w:r>
      <w:r>
        <w:t xml:space="preserve"> reparaciones y costas, por celebrarse en ese país, convocada mediante la presente Resolución, así como para facilitar la entrada y salida de su territorio de las personas que fueron citadas a rendir su declaración ante la Corte Interamericana en la referida audiencia y de quienes representarán a la Comisión Interamericana, a </w:t>
      </w:r>
      <w:r w:rsidR="007C4FFD">
        <w:t xml:space="preserve">la República de </w:t>
      </w:r>
      <w:r w:rsidR="00600DDB">
        <w:t>Argentina</w:t>
      </w:r>
      <w:r>
        <w:t xml:space="preserve"> y a las presuntas víctimas, durante la misma. Para tal efecto se dispone que la Secretaría notifique la presente Resolución a la República </w:t>
      </w:r>
      <w:r w:rsidR="00094549">
        <w:t>Oriental del Uruguay</w:t>
      </w:r>
      <w:r>
        <w:t>.</w:t>
      </w:r>
    </w:p>
    <w:p w14:paraId="5BCF1DEC" w14:textId="77777777" w:rsidR="001344B7" w:rsidRPr="000B0402" w:rsidRDefault="001344B7" w:rsidP="001344B7">
      <w:pPr>
        <w:tabs>
          <w:tab w:val="left" w:pos="567"/>
        </w:tabs>
        <w:spacing w:after="0" w:line="240" w:lineRule="auto"/>
        <w:jc w:val="both"/>
        <w:rPr>
          <w:szCs w:val="20"/>
          <w:lang w:val="es-CR"/>
        </w:rPr>
      </w:pPr>
    </w:p>
    <w:p w14:paraId="58517DC4" w14:textId="158A4BC3" w:rsidR="009325EF" w:rsidRDefault="009325EF" w:rsidP="009325EF">
      <w:pPr>
        <w:numPr>
          <w:ilvl w:val="0"/>
          <w:numId w:val="6"/>
        </w:numPr>
        <w:tabs>
          <w:tab w:val="left" w:pos="567"/>
        </w:tabs>
        <w:spacing w:after="0" w:line="240" w:lineRule="auto"/>
        <w:jc w:val="both"/>
        <w:rPr>
          <w:szCs w:val="20"/>
          <w:lang w:val="es-CR"/>
        </w:rPr>
      </w:pPr>
      <w:r>
        <w:rPr>
          <w:szCs w:val="20"/>
          <w:lang w:val="es-CR"/>
        </w:rPr>
        <w:t>Requerir, de conformidad con el principio de economía procesal y de la facultad que le otorga el artículo 50.1 del Reglamento de la Corte, que la siguiente persona preste su declaración ante fedatario</w:t>
      </w:r>
      <w:r w:rsidR="007B1AEC">
        <w:rPr>
          <w:szCs w:val="20"/>
          <w:lang w:val="es-CR"/>
        </w:rPr>
        <w:t xml:space="preserve"> público</w:t>
      </w:r>
      <w:r w:rsidR="00C425A1">
        <w:rPr>
          <w:szCs w:val="20"/>
          <w:lang w:val="es-CR"/>
        </w:rPr>
        <w:t>:</w:t>
      </w:r>
    </w:p>
    <w:p w14:paraId="4952A916" w14:textId="77777777" w:rsidR="009325EF" w:rsidRDefault="009325EF" w:rsidP="009325EF">
      <w:pPr>
        <w:tabs>
          <w:tab w:val="left" w:pos="567"/>
          <w:tab w:val="left" w:pos="851"/>
        </w:tabs>
        <w:autoSpaceDE w:val="0"/>
        <w:autoSpaceDN w:val="0"/>
        <w:adjustRightInd w:val="0"/>
        <w:spacing w:after="0" w:line="240" w:lineRule="auto"/>
        <w:jc w:val="both"/>
        <w:rPr>
          <w:rFonts w:cs="Verdana"/>
          <w:bCs/>
          <w:i/>
          <w:iCs/>
          <w:szCs w:val="20"/>
          <w:lang w:val="es-CR"/>
        </w:rPr>
      </w:pPr>
    </w:p>
    <w:p w14:paraId="032D8584" w14:textId="77777777" w:rsidR="009325EF" w:rsidRPr="009E1489" w:rsidRDefault="009325EF" w:rsidP="009325EF">
      <w:pPr>
        <w:tabs>
          <w:tab w:val="left" w:pos="567"/>
          <w:tab w:val="left" w:pos="851"/>
        </w:tabs>
        <w:autoSpaceDE w:val="0"/>
        <w:autoSpaceDN w:val="0"/>
        <w:adjustRightInd w:val="0"/>
        <w:spacing w:after="0" w:line="240" w:lineRule="auto"/>
        <w:jc w:val="both"/>
        <w:rPr>
          <w:rFonts w:cs="Verdana"/>
          <w:bCs/>
          <w:szCs w:val="20"/>
          <w:lang w:val="es-CR"/>
        </w:rPr>
      </w:pPr>
    </w:p>
    <w:p w14:paraId="0467C83D" w14:textId="0053C945" w:rsidR="009325EF" w:rsidRPr="002A6737" w:rsidRDefault="00AC5C26" w:rsidP="009325EF">
      <w:pPr>
        <w:pStyle w:val="Prrafodelista"/>
        <w:tabs>
          <w:tab w:val="left" w:pos="567"/>
          <w:tab w:val="left" w:pos="851"/>
        </w:tabs>
        <w:autoSpaceDE w:val="0"/>
        <w:autoSpaceDN w:val="0"/>
        <w:adjustRightInd w:val="0"/>
        <w:spacing w:after="0" w:line="240" w:lineRule="auto"/>
        <w:jc w:val="both"/>
        <w:rPr>
          <w:rFonts w:cs="Verdana"/>
          <w:b/>
          <w:szCs w:val="20"/>
          <w:lang w:val="es-CR"/>
        </w:rPr>
      </w:pPr>
      <w:r>
        <w:rPr>
          <w:rFonts w:cs="Verdana"/>
          <w:b/>
          <w:szCs w:val="20"/>
          <w:lang w:val="es-CR"/>
        </w:rPr>
        <w:t>Perito</w:t>
      </w:r>
    </w:p>
    <w:p w14:paraId="0C96963E" w14:textId="77777777" w:rsidR="009325EF" w:rsidRDefault="009325EF" w:rsidP="009325EF">
      <w:pPr>
        <w:tabs>
          <w:tab w:val="left" w:pos="567"/>
          <w:tab w:val="left" w:pos="851"/>
        </w:tabs>
        <w:autoSpaceDE w:val="0"/>
        <w:autoSpaceDN w:val="0"/>
        <w:adjustRightInd w:val="0"/>
        <w:spacing w:after="0" w:line="240" w:lineRule="auto"/>
        <w:jc w:val="both"/>
        <w:rPr>
          <w:rFonts w:cs="Verdana"/>
          <w:bCs/>
          <w:szCs w:val="20"/>
          <w:lang w:val="es-CR"/>
        </w:rPr>
      </w:pPr>
    </w:p>
    <w:p w14:paraId="080E824C" w14:textId="19E3BA52" w:rsidR="009325EF" w:rsidRDefault="009325EF" w:rsidP="009325EF">
      <w:pPr>
        <w:tabs>
          <w:tab w:val="left" w:pos="567"/>
          <w:tab w:val="left" w:pos="851"/>
        </w:tabs>
        <w:autoSpaceDE w:val="0"/>
        <w:autoSpaceDN w:val="0"/>
        <w:adjustRightInd w:val="0"/>
        <w:spacing w:after="0" w:line="240" w:lineRule="auto"/>
        <w:jc w:val="both"/>
        <w:rPr>
          <w:rFonts w:cs="Verdana"/>
          <w:bCs/>
          <w:i/>
          <w:iCs/>
          <w:szCs w:val="20"/>
          <w:lang w:val="es-CR"/>
        </w:rPr>
      </w:pPr>
      <w:r>
        <w:rPr>
          <w:rFonts w:cs="Verdana"/>
          <w:bCs/>
          <w:i/>
          <w:iCs/>
          <w:szCs w:val="20"/>
          <w:lang w:val="es-CR"/>
        </w:rPr>
        <w:t xml:space="preserve">(propuesto por la </w:t>
      </w:r>
      <w:r w:rsidR="00843166">
        <w:rPr>
          <w:rFonts w:cs="Verdana"/>
          <w:bCs/>
          <w:i/>
          <w:iCs/>
          <w:szCs w:val="20"/>
          <w:lang w:val="es-CR"/>
        </w:rPr>
        <w:t>Comisión</w:t>
      </w:r>
      <w:r>
        <w:rPr>
          <w:rFonts w:cs="Verdana"/>
          <w:bCs/>
          <w:i/>
          <w:iCs/>
          <w:szCs w:val="20"/>
          <w:lang w:val="es-CR"/>
        </w:rPr>
        <w:t>)</w:t>
      </w:r>
    </w:p>
    <w:p w14:paraId="2FA952CF" w14:textId="77777777" w:rsidR="009325EF" w:rsidRPr="006F3751" w:rsidRDefault="009325EF" w:rsidP="009325EF">
      <w:pPr>
        <w:tabs>
          <w:tab w:val="left" w:pos="567"/>
          <w:tab w:val="left" w:pos="851"/>
        </w:tabs>
        <w:autoSpaceDE w:val="0"/>
        <w:autoSpaceDN w:val="0"/>
        <w:adjustRightInd w:val="0"/>
        <w:spacing w:after="0" w:line="240" w:lineRule="auto"/>
        <w:jc w:val="both"/>
        <w:rPr>
          <w:rFonts w:cs="Verdana"/>
          <w:bCs/>
          <w:i/>
          <w:iCs/>
          <w:szCs w:val="20"/>
          <w:lang w:val="es-CR"/>
        </w:rPr>
      </w:pPr>
    </w:p>
    <w:p w14:paraId="7A95F85F" w14:textId="53C03959" w:rsidR="009325EF" w:rsidRPr="001C4682" w:rsidRDefault="00214433" w:rsidP="00712BF9">
      <w:pPr>
        <w:pStyle w:val="Prrafodelista"/>
        <w:numPr>
          <w:ilvl w:val="0"/>
          <w:numId w:val="13"/>
        </w:numPr>
        <w:tabs>
          <w:tab w:val="left" w:pos="567"/>
          <w:tab w:val="left" w:pos="851"/>
        </w:tabs>
        <w:autoSpaceDE w:val="0"/>
        <w:autoSpaceDN w:val="0"/>
        <w:adjustRightInd w:val="0"/>
        <w:spacing w:after="0" w:line="240" w:lineRule="auto"/>
        <w:jc w:val="both"/>
        <w:rPr>
          <w:rFonts w:cs="Verdana"/>
          <w:bCs/>
          <w:szCs w:val="20"/>
          <w:lang w:val="es-CR"/>
        </w:rPr>
      </w:pPr>
      <w:r w:rsidRPr="001C4682">
        <w:rPr>
          <w:rFonts w:cs="Verdana"/>
          <w:bCs/>
          <w:i/>
          <w:iCs/>
          <w:szCs w:val="20"/>
          <w:lang w:val="es-CR"/>
        </w:rPr>
        <w:t xml:space="preserve">Martin </w:t>
      </w:r>
      <w:proofErr w:type="spellStart"/>
      <w:r w:rsidRPr="001C4682">
        <w:rPr>
          <w:rFonts w:cs="Verdana"/>
          <w:bCs/>
          <w:i/>
          <w:iCs/>
          <w:szCs w:val="20"/>
          <w:lang w:val="es-CR"/>
        </w:rPr>
        <w:t>Scheinin</w:t>
      </w:r>
      <w:proofErr w:type="spellEnd"/>
      <w:r w:rsidRPr="001C4682">
        <w:rPr>
          <w:rFonts w:cs="Verdana"/>
          <w:bCs/>
          <w:i/>
          <w:iCs/>
          <w:szCs w:val="20"/>
          <w:lang w:val="es-CR"/>
        </w:rPr>
        <w:t xml:space="preserve">, </w:t>
      </w:r>
      <w:r w:rsidR="001C4682" w:rsidRPr="001C4682">
        <w:rPr>
          <w:rFonts w:cs="Verdana"/>
          <w:bCs/>
          <w:szCs w:val="20"/>
          <w:lang w:val="es-CR"/>
        </w:rPr>
        <w:t>profesor de Derec</w:t>
      </w:r>
      <w:r w:rsidR="001C4682">
        <w:rPr>
          <w:rFonts w:cs="Verdana"/>
          <w:bCs/>
          <w:szCs w:val="20"/>
          <w:lang w:val="es-CR"/>
        </w:rPr>
        <w:t xml:space="preserve">ho Internacional y Derechos Humanos, </w:t>
      </w:r>
      <w:r w:rsidR="00712BF9">
        <w:rPr>
          <w:rFonts w:cs="Verdana"/>
          <w:bCs/>
          <w:szCs w:val="20"/>
          <w:lang w:val="es-CR"/>
        </w:rPr>
        <w:t>quien declarará sobre los deberes que impone el Derecho Internacional de los Derechos Humanos</w:t>
      </w:r>
      <w:r w:rsidR="00D3286F">
        <w:rPr>
          <w:rFonts w:cs="Verdana"/>
          <w:bCs/>
          <w:szCs w:val="20"/>
          <w:lang w:val="es-CR"/>
        </w:rPr>
        <w:t xml:space="preserve"> en materia de lucha contra el terrorismo. En particular, el perito se referirá a las obligaciones estatales en materia de prevención de actos terroristas y debida diligencia para la investigación y sanción de tales actos.</w:t>
      </w:r>
    </w:p>
    <w:p w14:paraId="666660C7" w14:textId="0F6BFECF"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bookmarkStart w:id="8" w:name="_Ref393464381"/>
      <w:r w:rsidRPr="001C4682">
        <w:rPr>
          <w:rFonts w:eastAsia="MS Mincho" w:cs="Times"/>
          <w:szCs w:val="20"/>
          <w:lang w:val="es-CR"/>
        </w:rPr>
        <w:t xml:space="preserve"> </w:t>
      </w:r>
      <w:r>
        <w:rPr>
          <w:rFonts w:cs="Verdana"/>
          <w:color w:val="000000"/>
          <w:szCs w:val="20"/>
          <w:lang w:val="es-CR" w:eastAsia="es-ES"/>
        </w:rPr>
        <w:t>Requerir a l</w:t>
      </w:r>
      <w:r w:rsidR="001344B7">
        <w:rPr>
          <w:rFonts w:cs="Verdana"/>
          <w:color w:val="000000"/>
          <w:szCs w:val="20"/>
          <w:lang w:val="es-CR" w:eastAsia="es-ES"/>
        </w:rPr>
        <w:t>o</w:t>
      </w:r>
      <w:r>
        <w:rPr>
          <w:rFonts w:cs="Verdana"/>
          <w:color w:val="000000"/>
          <w:szCs w:val="20"/>
          <w:lang w:val="es-CR" w:eastAsia="es-ES"/>
        </w:rPr>
        <w:t xml:space="preserve">s </w:t>
      </w:r>
      <w:r w:rsidR="00AA605D">
        <w:rPr>
          <w:rFonts w:cs="Verdana"/>
          <w:color w:val="000000"/>
          <w:szCs w:val="20"/>
          <w:lang w:val="es-CR" w:eastAsia="es-ES"/>
        </w:rPr>
        <w:t>representantes</w:t>
      </w:r>
      <w:r>
        <w:rPr>
          <w:rFonts w:cs="Verdana"/>
          <w:color w:val="000000"/>
          <w:szCs w:val="20"/>
          <w:lang w:val="es-CR" w:eastAsia="es-ES"/>
        </w:rPr>
        <w:t xml:space="preserve"> y a la Comisión que notifiquen la presente Resolución a los declarantes propuestos por ellos, de conformidad con lo dispuesto en los artículos 50.2 </w:t>
      </w:r>
      <w:r w:rsidRPr="00A50469">
        <w:rPr>
          <w:rFonts w:cs="Verdana"/>
          <w:color w:val="000000"/>
          <w:szCs w:val="20"/>
          <w:lang w:val="es-CR" w:eastAsia="es-ES"/>
        </w:rPr>
        <w:t>y 50.4 del Reglamento. L</w:t>
      </w:r>
      <w:r w:rsidR="00E803FB">
        <w:rPr>
          <w:rFonts w:cs="Verdana"/>
          <w:color w:val="000000"/>
          <w:szCs w:val="20"/>
          <w:lang w:val="es-CR" w:eastAsia="es-ES"/>
        </w:rPr>
        <w:t>o</w:t>
      </w:r>
      <w:r w:rsidRPr="00A50469">
        <w:rPr>
          <w:rFonts w:cs="Verdana"/>
          <w:color w:val="000000"/>
          <w:szCs w:val="20"/>
          <w:lang w:val="es-CR" w:eastAsia="es-ES"/>
        </w:rPr>
        <w:t>s perit</w:t>
      </w:r>
      <w:r w:rsidR="00E803FB">
        <w:rPr>
          <w:rFonts w:cs="Verdana"/>
          <w:color w:val="000000"/>
          <w:szCs w:val="20"/>
          <w:lang w:val="es-CR" w:eastAsia="es-ES"/>
        </w:rPr>
        <w:t>o</w:t>
      </w:r>
      <w:r w:rsidRPr="00A50469">
        <w:rPr>
          <w:rFonts w:cs="Verdana"/>
          <w:color w:val="000000"/>
          <w:szCs w:val="20"/>
          <w:lang w:val="es-CR" w:eastAsia="es-ES"/>
        </w:rPr>
        <w:t>s convocad</w:t>
      </w:r>
      <w:r w:rsidR="00E803FB">
        <w:rPr>
          <w:rFonts w:cs="Verdana"/>
          <w:color w:val="000000"/>
          <w:szCs w:val="20"/>
          <w:lang w:val="es-CR" w:eastAsia="es-ES"/>
        </w:rPr>
        <w:t>o</w:t>
      </w:r>
      <w:r w:rsidRPr="00A50469">
        <w:rPr>
          <w:rFonts w:cs="Verdana"/>
          <w:color w:val="000000"/>
          <w:szCs w:val="20"/>
          <w:lang w:val="es-CR" w:eastAsia="es-ES"/>
        </w:rPr>
        <w:t xml:space="preserve">s a declarar durante la audiencia pública deberán presentar una versión escrita de su peritaje, a más tardar, el </w:t>
      </w:r>
      <w:r w:rsidR="005030FC">
        <w:rPr>
          <w:rFonts w:cs="Verdana"/>
          <w:color w:val="000000"/>
          <w:szCs w:val="20"/>
          <w:lang w:val="es-CR" w:eastAsia="es-ES"/>
        </w:rPr>
        <w:t>5 de octubre</w:t>
      </w:r>
      <w:r w:rsidRPr="00A50469">
        <w:rPr>
          <w:rFonts w:cs="Verdana"/>
          <w:color w:val="000000"/>
          <w:szCs w:val="20"/>
          <w:lang w:val="es-CR" w:eastAsia="es-ES"/>
        </w:rPr>
        <w:t xml:space="preserve"> de 2022.</w:t>
      </w:r>
    </w:p>
    <w:p w14:paraId="009B8D56" w14:textId="3481AA4A"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rPr>
          <w:rFonts w:eastAsia="MS Mincho" w:cs="Times"/>
          <w:szCs w:val="20"/>
          <w:lang w:val="es-CR"/>
        </w:rPr>
        <w:t xml:space="preserve">Requerir a </w:t>
      </w:r>
      <w:r w:rsidRPr="00A50469">
        <w:rPr>
          <w:rFonts w:eastAsia="MS Mincho" w:cs="Times"/>
          <w:color w:val="000000"/>
          <w:szCs w:val="20"/>
          <w:lang w:val="es-CR" w:eastAsia="es-ES"/>
        </w:rPr>
        <w:t xml:space="preserve">las partes </w:t>
      </w:r>
      <w:r w:rsidRPr="00A50469">
        <w:rPr>
          <w:rFonts w:eastAsia="MS Mincho" w:cs="Times"/>
          <w:szCs w:val="20"/>
          <w:lang w:val="es-CR"/>
        </w:rPr>
        <w:t xml:space="preserve">que remitan, </w:t>
      </w:r>
      <w:r w:rsidRPr="00A50469">
        <w:rPr>
          <w:szCs w:val="20"/>
          <w:lang w:val="es-CR"/>
        </w:rPr>
        <w:t>en los términos del artículo 50.5 del Reglamento y</w:t>
      </w:r>
      <w:r w:rsidRPr="00A50469">
        <w:rPr>
          <w:rFonts w:eastAsia="MS Mincho" w:cs="Times"/>
          <w:szCs w:val="20"/>
          <w:lang w:val="es-CR"/>
        </w:rPr>
        <w:t xml:space="preserve"> de considerarlo pertinente, en lo que les corresponda y en el plazo</w:t>
      </w:r>
      <w:r w:rsidRPr="00A50469">
        <w:rPr>
          <w:rFonts w:eastAsia="MS Mincho" w:cs="Verdana"/>
          <w:szCs w:val="20"/>
          <w:lang w:val="es-CR"/>
        </w:rPr>
        <w:t xml:space="preserve"> improrrogable que vence el </w:t>
      </w:r>
      <w:r w:rsidR="00F36165">
        <w:rPr>
          <w:szCs w:val="20"/>
          <w:lang w:val="es-CR"/>
        </w:rPr>
        <w:t>14 de se</w:t>
      </w:r>
      <w:r w:rsidR="004D07EA">
        <w:rPr>
          <w:szCs w:val="20"/>
          <w:lang w:val="es-CR"/>
        </w:rPr>
        <w:t>p</w:t>
      </w:r>
      <w:r w:rsidR="00F36165">
        <w:rPr>
          <w:szCs w:val="20"/>
          <w:lang w:val="es-CR"/>
        </w:rPr>
        <w:t>tiembre</w:t>
      </w:r>
      <w:r w:rsidRPr="00A50469">
        <w:rPr>
          <w:szCs w:val="20"/>
          <w:lang w:val="es-CR"/>
        </w:rPr>
        <w:t xml:space="preserve"> de 2022</w:t>
      </w:r>
      <w:r w:rsidRPr="00A50469">
        <w:rPr>
          <w:rFonts w:eastAsia="MS Mincho" w:cs="Verdana"/>
          <w:szCs w:val="20"/>
          <w:lang w:val="es-CR"/>
        </w:rPr>
        <w:t xml:space="preserve">, las preguntas que estimen pertinentes formular a través de la Corte Interamericana </w:t>
      </w:r>
      <w:r w:rsidR="00E803FB">
        <w:rPr>
          <w:rFonts w:eastAsia="MS Mincho" w:cs="Verdana"/>
          <w:szCs w:val="20"/>
          <w:lang w:val="es-CR"/>
        </w:rPr>
        <w:t>al perito indicado</w:t>
      </w:r>
      <w:r w:rsidRPr="00A50469">
        <w:rPr>
          <w:rFonts w:eastAsia="MS Mincho" w:cs="Times"/>
          <w:szCs w:val="20"/>
          <w:lang w:val="es-CR"/>
        </w:rPr>
        <w:t xml:space="preserve"> en el punto resolutivo </w:t>
      </w:r>
      <w:r w:rsidR="004D07EA">
        <w:rPr>
          <w:rFonts w:eastAsia="MS Mincho" w:cs="Times"/>
          <w:szCs w:val="20"/>
          <w:lang w:val="es-CR"/>
        </w:rPr>
        <w:t>3</w:t>
      </w:r>
      <w:r w:rsidRPr="00A50469">
        <w:rPr>
          <w:rFonts w:eastAsia="MS Mincho" w:cs="Times"/>
          <w:szCs w:val="20"/>
          <w:lang w:val="es-CR"/>
        </w:rPr>
        <w:t xml:space="preserve"> de esta Resolución.</w:t>
      </w:r>
      <w:r w:rsidRPr="00A50469">
        <w:rPr>
          <w:szCs w:val="20"/>
          <w:lang w:val="es-CR"/>
        </w:rPr>
        <w:t xml:space="preserve"> </w:t>
      </w:r>
      <w:bookmarkEnd w:id="8"/>
    </w:p>
    <w:p w14:paraId="6A89C3F4" w14:textId="1B171090"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rPr>
          <w:rFonts w:eastAsia="MS Mincho" w:cs="Times"/>
          <w:szCs w:val="20"/>
          <w:lang w:val="es-CR"/>
        </w:rPr>
        <w:t xml:space="preserve">Requerir a </w:t>
      </w:r>
      <w:r w:rsidR="00FC4E1E">
        <w:rPr>
          <w:rFonts w:eastAsia="MS Mincho" w:cs="Times"/>
          <w:szCs w:val="20"/>
          <w:lang w:val="es-CR"/>
        </w:rPr>
        <w:t>la Comisión</w:t>
      </w:r>
      <w:r w:rsidRPr="00A50469">
        <w:rPr>
          <w:rFonts w:eastAsia="MS Mincho" w:cs="Times"/>
          <w:szCs w:val="20"/>
          <w:lang w:val="es-CR"/>
        </w:rPr>
        <w:t xml:space="preserve"> que coordine y realice </w:t>
      </w:r>
      <w:r w:rsidR="005D711E">
        <w:rPr>
          <w:rFonts w:eastAsia="MS Mincho" w:cs="Times"/>
          <w:szCs w:val="20"/>
          <w:lang w:val="es-CR"/>
        </w:rPr>
        <w:t>l</w:t>
      </w:r>
      <w:r w:rsidRPr="00A50469">
        <w:rPr>
          <w:rFonts w:eastAsia="MS Mincho" w:cs="Times"/>
          <w:szCs w:val="20"/>
          <w:lang w:val="es-CR"/>
        </w:rPr>
        <w:t xml:space="preserve">as diligencias necesarias para que, una vez recibidas las preguntas, si las hubiere, </w:t>
      </w:r>
      <w:r w:rsidR="005D711E">
        <w:rPr>
          <w:rFonts w:eastAsia="MS Mincho" w:cs="Times"/>
          <w:szCs w:val="20"/>
          <w:lang w:val="es-CR"/>
        </w:rPr>
        <w:t>el declarante incluya</w:t>
      </w:r>
      <w:r w:rsidRPr="00A50469">
        <w:rPr>
          <w:rFonts w:eastAsia="MS Mincho" w:cs="Times"/>
          <w:szCs w:val="20"/>
          <w:lang w:val="es-CR"/>
        </w:rPr>
        <w:t xml:space="preserve"> las respuestas en </w:t>
      </w:r>
      <w:r w:rsidR="005D711E">
        <w:rPr>
          <w:rFonts w:eastAsia="MS Mincho" w:cs="Times"/>
          <w:szCs w:val="20"/>
          <w:lang w:val="es-CR"/>
        </w:rPr>
        <w:t xml:space="preserve">su declaración rendida </w:t>
      </w:r>
      <w:r w:rsidRPr="00A50469">
        <w:rPr>
          <w:rFonts w:eastAsia="MS Mincho" w:cs="Times"/>
          <w:szCs w:val="20"/>
          <w:lang w:val="es-CR"/>
        </w:rPr>
        <w:t xml:space="preserve">ante fedatario público, salvo que esta Presidencia disponga lo </w:t>
      </w:r>
      <w:r w:rsidRPr="00A50469">
        <w:rPr>
          <w:rFonts w:eastAsia="MS Mincho" w:cs="Times"/>
          <w:szCs w:val="20"/>
          <w:lang w:val="es-CR"/>
        </w:rPr>
        <w:lastRenderedPageBreak/>
        <w:t xml:space="preserve">contrario, cuando la Secretaría las transmita. Las declaraciones requeridas deberán ser presentadas al Tribunal a más tardar el </w:t>
      </w:r>
      <w:r w:rsidR="001F0BC4">
        <w:rPr>
          <w:rFonts w:eastAsia="MS Mincho" w:cs="Times"/>
          <w:szCs w:val="20"/>
          <w:lang w:val="es-CR"/>
        </w:rPr>
        <w:t>5 de octubre</w:t>
      </w:r>
      <w:r w:rsidRPr="00A50469">
        <w:rPr>
          <w:rFonts w:eastAsia="MS Mincho" w:cs="Times"/>
          <w:szCs w:val="20"/>
          <w:lang w:val="es-CR"/>
        </w:rPr>
        <w:t xml:space="preserve"> de 2022.</w:t>
      </w:r>
    </w:p>
    <w:p w14:paraId="422F4BD2" w14:textId="77777777"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Disponer, conforme al artículo 50.6 del Reglamento, que, una vez recibidas las declaraciones, la Secretaría las transmita a las partes y a la Comisión para que, si lo estiman necesario y en lo que les corresponda, presenten sus observaciones a más tardar con sus alegatos u observaciones finales escritas, respectivamente.</w:t>
      </w:r>
    </w:p>
    <w:p w14:paraId="2B7C96F9" w14:textId="77777777"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Informar a las partes y a la Comisión que deben cubrir los gastos que ocasione la aportación de la prueba propuesta por ellos, de conformidad con lo dispuesto en el artículo 60 del Reglamento.</w:t>
      </w:r>
    </w:p>
    <w:p w14:paraId="65B8A692" w14:textId="01B77398"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 xml:space="preserve">Solicitar a las partes y a la Comisión que, a más tardar el </w:t>
      </w:r>
      <w:r w:rsidR="00B05FB6">
        <w:t>14 de septiembre</w:t>
      </w:r>
      <w:r w:rsidRPr="00A50469">
        <w:t xml:space="preserve"> de 2022, acrediten ante la Secretaría los nombres de las personas que estarán presentes durante la audiencia pública. Al respecto, en la misma comunicación que acrediten, deberán indicar los correos electrónicos y teléfonos de contacto de las personas que integran la delegación, y de las personas convocadas a declarar. </w:t>
      </w:r>
    </w:p>
    <w:p w14:paraId="77DB2041" w14:textId="77777777"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Requerir a las partes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2C714910" w14:textId="77777777"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 xml:space="preserve">Informar a las partes y a la Comisión que, al término de las declaraciones rendidas en la audiencia pública, podrán presentar ante el Tribunal sus alegatos finales orales y observaciones finales orales, respectivamente, sobre las excepciones preliminares y eventual fondo, reparaciones y costas en el presente caso. </w:t>
      </w:r>
    </w:p>
    <w:p w14:paraId="110CB093" w14:textId="77777777"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 xml:space="preserve">Disponer que la Secretaría de la Corte, de conformidad con lo dispuesto en el artículo 55.3 del Reglamento, indique a las partes y a la Comisión el enlace donde se encontrará disponible la grabación de la audiencia pública sobre las excepciones preliminares y eventual fondo, reparaciones y costas, a la brevedad posible luego de la celebración de la referida audiencia. </w:t>
      </w:r>
    </w:p>
    <w:p w14:paraId="2EDEAF00" w14:textId="51C5A4F9"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 xml:space="preserve">Informar a las partes y a la Comisión que, en los términos del artículo 56 del Reglamento, cuentan con plazo hasta el </w:t>
      </w:r>
      <w:r w:rsidR="001E6EF2">
        <w:t>15 de noviembre</w:t>
      </w:r>
      <w:r w:rsidRPr="00A50469">
        <w:t xml:space="preserve"> de 2022, para presentar sus alegatos finales escritos y observaciones finales escritas, respectivamente, en relación con sobre las excepciones preliminares y eventual fondo, reparaciones y costas en el presente caso. Este plazo es improrrogable. </w:t>
      </w:r>
    </w:p>
    <w:p w14:paraId="2FEC644C" w14:textId="32F94464" w:rsidR="009325EF" w:rsidRPr="00A50469" w:rsidRDefault="009325EF" w:rsidP="009325EF">
      <w:pPr>
        <w:numPr>
          <w:ilvl w:val="0"/>
          <w:numId w:val="6"/>
        </w:numPr>
        <w:tabs>
          <w:tab w:val="left" w:pos="567"/>
        </w:tabs>
        <w:spacing w:before="240" w:after="240" w:line="240" w:lineRule="auto"/>
        <w:jc w:val="both"/>
        <w:rPr>
          <w:rFonts w:eastAsia="MS Mincho" w:cs="Times"/>
          <w:szCs w:val="20"/>
          <w:lang w:val="es-CR"/>
        </w:rPr>
      </w:pPr>
      <w:r w:rsidRPr="00A50469">
        <w:t>Disponer que la Secretaría de la Corte Interamericana notifique la presente Resolución a la Comisión Interamericana de Derechos Humanos, a l</w:t>
      </w:r>
      <w:r w:rsidR="001E6EF2">
        <w:t>a</w:t>
      </w:r>
      <w:r w:rsidRPr="00A50469">
        <w:t xml:space="preserve">s representantes de las presuntas víctimas </w:t>
      </w:r>
      <w:r w:rsidR="001E6EF2">
        <w:t>y a la República de Argentina</w:t>
      </w:r>
      <w:r w:rsidRPr="00A50469">
        <w:t>.</w:t>
      </w:r>
    </w:p>
    <w:p w14:paraId="1AD09486" w14:textId="77777777" w:rsidR="009325EF" w:rsidRDefault="009325EF" w:rsidP="009325EF">
      <w:pPr>
        <w:tabs>
          <w:tab w:val="left" w:pos="567"/>
        </w:tabs>
        <w:spacing w:before="240" w:after="240" w:line="240" w:lineRule="auto"/>
        <w:jc w:val="both"/>
        <w:rPr>
          <w:szCs w:val="20"/>
        </w:rPr>
      </w:pPr>
    </w:p>
    <w:p w14:paraId="4FC3569D" w14:textId="77777777" w:rsidR="00F22246" w:rsidRDefault="00F22246" w:rsidP="009325EF">
      <w:pPr>
        <w:tabs>
          <w:tab w:val="left" w:pos="567"/>
        </w:tabs>
        <w:spacing w:before="240" w:after="240" w:line="240" w:lineRule="auto"/>
        <w:jc w:val="both"/>
        <w:rPr>
          <w:rFonts w:cs="Verdana"/>
          <w:bCs/>
          <w:szCs w:val="20"/>
        </w:rPr>
      </w:pPr>
    </w:p>
    <w:p w14:paraId="605653F7" w14:textId="77777777" w:rsidR="00F22246" w:rsidRDefault="00F22246" w:rsidP="009325EF">
      <w:pPr>
        <w:tabs>
          <w:tab w:val="left" w:pos="567"/>
        </w:tabs>
        <w:spacing w:before="240" w:after="240" w:line="240" w:lineRule="auto"/>
        <w:jc w:val="both"/>
        <w:rPr>
          <w:rFonts w:cs="Verdana"/>
          <w:bCs/>
          <w:szCs w:val="20"/>
        </w:rPr>
      </w:pPr>
    </w:p>
    <w:p w14:paraId="31DC6707" w14:textId="77777777" w:rsidR="00F22246" w:rsidRDefault="00F22246" w:rsidP="009325EF">
      <w:pPr>
        <w:tabs>
          <w:tab w:val="left" w:pos="567"/>
        </w:tabs>
        <w:spacing w:before="240" w:after="240" w:line="240" w:lineRule="auto"/>
        <w:jc w:val="both"/>
        <w:rPr>
          <w:rFonts w:cs="Verdana"/>
          <w:bCs/>
          <w:szCs w:val="20"/>
        </w:rPr>
      </w:pPr>
    </w:p>
    <w:p w14:paraId="60ED8F8D" w14:textId="109DD3C0" w:rsidR="002C6480" w:rsidRDefault="002C6480" w:rsidP="009325EF">
      <w:pPr>
        <w:tabs>
          <w:tab w:val="left" w:pos="567"/>
        </w:tabs>
        <w:spacing w:before="240" w:after="240" w:line="240" w:lineRule="auto"/>
        <w:jc w:val="both"/>
        <w:rPr>
          <w:rFonts w:cs="Verdana"/>
          <w:bCs/>
          <w:szCs w:val="20"/>
        </w:rPr>
      </w:pPr>
      <w:r w:rsidRPr="002C6480">
        <w:rPr>
          <w:rFonts w:cs="Verdana"/>
          <w:bCs/>
          <w:szCs w:val="20"/>
        </w:rPr>
        <w:lastRenderedPageBreak/>
        <w:t xml:space="preserve">Corte IDH. </w:t>
      </w:r>
      <w:r w:rsidRPr="0099773D">
        <w:rPr>
          <w:rFonts w:cs="Verdana"/>
          <w:bCs/>
          <w:i/>
          <w:iCs/>
          <w:szCs w:val="20"/>
        </w:rPr>
        <w:t>Caso Asociación Civil Memoria Activa Vs. Argentina</w:t>
      </w:r>
      <w:r w:rsidRPr="002C6480">
        <w:rPr>
          <w:rFonts w:cs="Verdana"/>
          <w:bCs/>
          <w:szCs w:val="20"/>
        </w:rPr>
        <w:t xml:space="preserve">. Resolución del </w:t>
      </w:r>
      <w:proofErr w:type="gramStart"/>
      <w:r w:rsidRPr="002C6480">
        <w:rPr>
          <w:rFonts w:cs="Verdana"/>
          <w:bCs/>
          <w:szCs w:val="20"/>
        </w:rPr>
        <w:t>Presidente</w:t>
      </w:r>
      <w:proofErr w:type="gramEnd"/>
      <w:r w:rsidRPr="002C6480">
        <w:rPr>
          <w:rFonts w:cs="Verdana"/>
          <w:bCs/>
          <w:szCs w:val="20"/>
        </w:rPr>
        <w:t xml:space="preserve"> de la Corte Interamericana de Derechos Humanos de </w:t>
      </w:r>
      <w:r>
        <w:rPr>
          <w:rFonts w:cs="Verdana"/>
          <w:bCs/>
          <w:szCs w:val="20"/>
        </w:rPr>
        <w:t>5</w:t>
      </w:r>
      <w:r w:rsidRPr="002C6480">
        <w:rPr>
          <w:rFonts w:cs="Verdana"/>
          <w:bCs/>
          <w:szCs w:val="20"/>
        </w:rPr>
        <w:t xml:space="preserve"> de </w:t>
      </w:r>
      <w:r>
        <w:rPr>
          <w:rFonts w:cs="Verdana"/>
          <w:bCs/>
          <w:szCs w:val="20"/>
        </w:rPr>
        <w:t>septiembre</w:t>
      </w:r>
      <w:r w:rsidRPr="002C6480">
        <w:rPr>
          <w:rFonts w:cs="Verdana"/>
          <w:bCs/>
          <w:szCs w:val="20"/>
        </w:rPr>
        <w:t xml:space="preserve"> de 2022.</w:t>
      </w:r>
    </w:p>
    <w:p w14:paraId="44A6DC32" w14:textId="03CB069A" w:rsidR="00F22246" w:rsidRPr="00144182" w:rsidRDefault="00F22246" w:rsidP="00F22246">
      <w:pPr>
        <w:spacing w:after="0" w:line="240" w:lineRule="auto"/>
        <w:ind w:left="4253"/>
        <w:jc w:val="center"/>
        <w:rPr>
          <w:rFonts w:eastAsia="Times New Roman" w:cs="Times New Roman"/>
          <w:color w:val="000000"/>
          <w:spacing w:val="-2"/>
          <w:szCs w:val="20"/>
          <w:lang w:val="es-ES" w:eastAsia="es-CR"/>
        </w:rPr>
      </w:pPr>
    </w:p>
    <w:p w14:paraId="505A462D" w14:textId="1DD0E58B" w:rsidR="00F22246" w:rsidRDefault="00F22246" w:rsidP="00F22246">
      <w:pPr>
        <w:spacing w:after="0" w:line="240" w:lineRule="auto"/>
        <w:ind w:left="4253"/>
        <w:jc w:val="center"/>
        <w:rPr>
          <w:rFonts w:eastAsia="Times New Roman" w:cs="Times New Roman"/>
          <w:color w:val="000000"/>
          <w:spacing w:val="-2"/>
          <w:szCs w:val="20"/>
          <w:lang w:val="es-CO" w:eastAsia="es-CR"/>
        </w:rPr>
      </w:pPr>
    </w:p>
    <w:p w14:paraId="32430849" w14:textId="1E832CB9" w:rsidR="00F22246" w:rsidRPr="00550B87" w:rsidRDefault="00F22246" w:rsidP="00F22246">
      <w:pPr>
        <w:spacing w:after="0" w:line="240" w:lineRule="auto"/>
        <w:ind w:left="4253"/>
        <w:jc w:val="center"/>
        <w:rPr>
          <w:rFonts w:eastAsia="Times New Roman" w:cs="Times New Roman"/>
          <w:color w:val="000000"/>
          <w:spacing w:val="-2"/>
          <w:szCs w:val="20"/>
          <w:lang w:val="es-CO" w:eastAsia="es-CR"/>
        </w:rPr>
      </w:pPr>
    </w:p>
    <w:p w14:paraId="50A1AD7D" w14:textId="1EC8F666" w:rsidR="00F22246" w:rsidRPr="00952DDE" w:rsidRDefault="00F22246" w:rsidP="00F22246">
      <w:pPr>
        <w:spacing w:after="0" w:line="240" w:lineRule="auto"/>
        <w:ind w:left="4253"/>
        <w:jc w:val="center"/>
        <w:rPr>
          <w:rFonts w:eastAsia="Times New Roman" w:cs="Times New Roman"/>
          <w:color w:val="000000"/>
          <w:spacing w:val="-2"/>
          <w:szCs w:val="20"/>
          <w:lang w:val="es-CO" w:eastAsia="es-CR"/>
        </w:rPr>
      </w:pPr>
    </w:p>
    <w:p w14:paraId="65896D7F" w14:textId="31942C66" w:rsidR="00F22246" w:rsidRPr="00952DDE" w:rsidRDefault="00F22246" w:rsidP="00F22246">
      <w:pPr>
        <w:spacing w:after="0" w:line="240" w:lineRule="auto"/>
        <w:ind w:left="4253"/>
        <w:jc w:val="center"/>
        <w:rPr>
          <w:rFonts w:eastAsia="Times New Roman" w:cs="Times New Roman"/>
          <w:color w:val="000000"/>
          <w:spacing w:val="-2"/>
          <w:szCs w:val="20"/>
          <w:lang w:val="es-CO" w:eastAsia="es-CR"/>
        </w:rPr>
      </w:pPr>
    </w:p>
    <w:p w14:paraId="643AA037" w14:textId="35F4BDF0" w:rsidR="00F22246" w:rsidRPr="00952DDE" w:rsidRDefault="00F22246" w:rsidP="00F22246">
      <w:pPr>
        <w:spacing w:after="0" w:line="240" w:lineRule="auto"/>
        <w:ind w:left="4253"/>
        <w:jc w:val="center"/>
        <w:rPr>
          <w:rFonts w:eastAsia="Times New Roman" w:cs="Times New Roman"/>
          <w:color w:val="000000"/>
          <w:spacing w:val="-2"/>
          <w:szCs w:val="20"/>
          <w:lang w:val="es-CO" w:eastAsia="es-CR"/>
        </w:rPr>
      </w:pPr>
      <w:r w:rsidRPr="00952DDE">
        <w:rPr>
          <w:rFonts w:eastAsia="Times New Roman" w:cs="Times New Roman"/>
          <w:color w:val="000000"/>
          <w:spacing w:val="-2"/>
          <w:szCs w:val="20"/>
          <w:lang w:val="es-CO" w:eastAsia="es-CR"/>
        </w:rPr>
        <w:t>Ricardo C. Pérez Manrique</w:t>
      </w:r>
    </w:p>
    <w:p w14:paraId="38213A38" w14:textId="66885B25" w:rsidR="00F22246" w:rsidRPr="00952DDE" w:rsidRDefault="00F22246" w:rsidP="00F22246">
      <w:pPr>
        <w:spacing w:after="0" w:line="240" w:lineRule="auto"/>
        <w:ind w:left="4253"/>
        <w:jc w:val="center"/>
        <w:rPr>
          <w:rFonts w:eastAsia="Times New Roman" w:cs="Times New Roman"/>
          <w:szCs w:val="20"/>
          <w:lang w:val="es-CO" w:eastAsia="es-MX"/>
        </w:rPr>
      </w:pPr>
      <w:r w:rsidRPr="00952DDE">
        <w:rPr>
          <w:rFonts w:eastAsia="Times New Roman" w:cs="Times New Roman"/>
          <w:szCs w:val="20"/>
          <w:lang w:val="es-CO" w:eastAsia="es-MX"/>
        </w:rPr>
        <w:t>Presidente</w:t>
      </w:r>
    </w:p>
    <w:p w14:paraId="6DC340D2" w14:textId="5F683CD5" w:rsidR="00F22246" w:rsidRPr="00952DDE" w:rsidRDefault="00F22246" w:rsidP="00F22246">
      <w:pPr>
        <w:tabs>
          <w:tab w:val="left" w:pos="2835"/>
        </w:tabs>
        <w:spacing w:after="0" w:line="240" w:lineRule="auto"/>
        <w:ind w:right="6003"/>
        <w:jc w:val="center"/>
        <w:rPr>
          <w:rFonts w:eastAsia="Times New Roman" w:cs="Times New Roman"/>
          <w:szCs w:val="20"/>
          <w:lang w:val="es-CO" w:eastAsia="es-MX"/>
        </w:rPr>
      </w:pPr>
    </w:p>
    <w:p w14:paraId="769AA741" w14:textId="111CE80C" w:rsidR="00F22246" w:rsidRDefault="00F22246" w:rsidP="00F22246">
      <w:pPr>
        <w:tabs>
          <w:tab w:val="left" w:pos="2835"/>
        </w:tabs>
        <w:spacing w:after="0" w:line="240" w:lineRule="auto"/>
        <w:ind w:right="6003"/>
        <w:jc w:val="center"/>
        <w:rPr>
          <w:rFonts w:eastAsia="Times New Roman" w:cs="Times New Roman"/>
          <w:szCs w:val="20"/>
          <w:lang w:val="es-CO" w:eastAsia="es-MX"/>
        </w:rPr>
      </w:pPr>
    </w:p>
    <w:p w14:paraId="50BF324C" w14:textId="06EFD943" w:rsidR="00F22246" w:rsidRDefault="00F22246" w:rsidP="00F22246">
      <w:pPr>
        <w:tabs>
          <w:tab w:val="left" w:pos="2835"/>
        </w:tabs>
        <w:spacing w:after="0" w:line="240" w:lineRule="auto"/>
        <w:ind w:right="6003"/>
        <w:jc w:val="center"/>
        <w:rPr>
          <w:rFonts w:eastAsia="Times New Roman" w:cs="Times New Roman"/>
          <w:szCs w:val="20"/>
          <w:lang w:val="es-CO" w:eastAsia="es-MX"/>
        </w:rPr>
      </w:pPr>
    </w:p>
    <w:p w14:paraId="260F6944" w14:textId="77777777" w:rsidR="00F22246" w:rsidRDefault="00F22246" w:rsidP="00F22246">
      <w:pPr>
        <w:tabs>
          <w:tab w:val="left" w:pos="2835"/>
        </w:tabs>
        <w:spacing w:after="0" w:line="240" w:lineRule="auto"/>
        <w:ind w:right="6003"/>
        <w:jc w:val="center"/>
        <w:rPr>
          <w:rFonts w:eastAsia="Times New Roman" w:cs="Times New Roman"/>
          <w:szCs w:val="20"/>
          <w:lang w:val="es-CO" w:eastAsia="es-MX"/>
        </w:rPr>
      </w:pPr>
    </w:p>
    <w:p w14:paraId="38462AE6" w14:textId="77777777" w:rsidR="00F22246" w:rsidRPr="00952DDE" w:rsidRDefault="00F22246" w:rsidP="00F22246">
      <w:pPr>
        <w:tabs>
          <w:tab w:val="left" w:pos="2835"/>
        </w:tabs>
        <w:spacing w:after="0" w:line="240" w:lineRule="auto"/>
        <w:ind w:right="6003"/>
        <w:jc w:val="center"/>
        <w:rPr>
          <w:rFonts w:eastAsia="Times New Roman" w:cs="Times New Roman"/>
          <w:szCs w:val="20"/>
          <w:lang w:val="es-CO" w:eastAsia="es-MX"/>
        </w:rPr>
      </w:pPr>
    </w:p>
    <w:p w14:paraId="76E8812F" w14:textId="78D33766" w:rsidR="00F22246" w:rsidRPr="00952DDE" w:rsidRDefault="00F22246" w:rsidP="00F22246">
      <w:pPr>
        <w:tabs>
          <w:tab w:val="left" w:pos="2835"/>
        </w:tabs>
        <w:spacing w:after="0" w:line="240" w:lineRule="auto"/>
        <w:ind w:right="6003"/>
        <w:rPr>
          <w:rFonts w:eastAsia="Times New Roman" w:cs="Times New Roman"/>
          <w:szCs w:val="20"/>
          <w:lang w:val="es-CO" w:eastAsia="es-MX"/>
        </w:rPr>
      </w:pPr>
      <w:bookmarkStart w:id="9" w:name="_Hlk109315504"/>
      <w:r>
        <w:rPr>
          <w:rFonts w:eastAsia="Times New Roman" w:cs="Times New Roman"/>
          <w:szCs w:val="20"/>
          <w:lang w:val="es-CO" w:eastAsia="es-MX"/>
        </w:rPr>
        <w:t>Pablo Saavedra Alessandri</w:t>
      </w:r>
    </w:p>
    <w:p w14:paraId="50B0DACA" w14:textId="5B5175AB" w:rsidR="00F22246" w:rsidRPr="00952DDE" w:rsidRDefault="00F22246" w:rsidP="00F22246">
      <w:pPr>
        <w:tabs>
          <w:tab w:val="left" w:pos="2835"/>
        </w:tabs>
        <w:spacing w:after="0" w:line="240" w:lineRule="auto"/>
        <w:ind w:right="6003"/>
        <w:jc w:val="center"/>
        <w:rPr>
          <w:rFonts w:eastAsia="Times New Roman" w:cs="Times New Roman"/>
          <w:szCs w:val="20"/>
          <w:lang w:val="es-CO" w:eastAsia="es-MX"/>
        </w:rPr>
      </w:pPr>
      <w:r w:rsidRPr="00952DDE">
        <w:rPr>
          <w:rFonts w:eastAsia="Times New Roman" w:cs="Times New Roman"/>
          <w:szCs w:val="20"/>
          <w:lang w:val="es-CO" w:eastAsia="es-MX"/>
        </w:rPr>
        <w:t>Secretari</w:t>
      </w:r>
      <w:r>
        <w:rPr>
          <w:rFonts w:eastAsia="Times New Roman" w:cs="Times New Roman"/>
          <w:szCs w:val="20"/>
          <w:lang w:val="es-CO" w:eastAsia="es-MX"/>
        </w:rPr>
        <w:t>o</w:t>
      </w:r>
    </w:p>
    <w:bookmarkEnd w:id="9"/>
    <w:p w14:paraId="2BC654D2" w14:textId="77777777" w:rsidR="00F22246" w:rsidRPr="00952DDE" w:rsidRDefault="00F22246" w:rsidP="00F22246">
      <w:pPr>
        <w:spacing w:after="0" w:line="240" w:lineRule="auto"/>
        <w:rPr>
          <w:rFonts w:eastAsia="Times New Roman" w:cs="Times New Roman"/>
          <w:szCs w:val="20"/>
          <w:lang w:val="es-CO" w:eastAsia="es-MX"/>
        </w:rPr>
      </w:pPr>
    </w:p>
    <w:p w14:paraId="72B0C32B" w14:textId="77777777" w:rsidR="00F22246" w:rsidRPr="00952DDE" w:rsidRDefault="00F22246" w:rsidP="00F22246">
      <w:pPr>
        <w:spacing w:after="0" w:line="240" w:lineRule="auto"/>
        <w:rPr>
          <w:rFonts w:eastAsia="Times New Roman" w:cs="Times New Roman"/>
          <w:szCs w:val="20"/>
          <w:lang w:val="es-CO" w:eastAsia="es-MX"/>
        </w:rPr>
      </w:pPr>
    </w:p>
    <w:p w14:paraId="023C4262" w14:textId="54EE2416" w:rsidR="00F22246" w:rsidRDefault="00F22246" w:rsidP="00F22246">
      <w:pPr>
        <w:spacing w:after="0" w:line="240" w:lineRule="auto"/>
        <w:rPr>
          <w:rFonts w:eastAsia="Times New Roman" w:cs="Times New Roman"/>
          <w:szCs w:val="20"/>
          <w:lang w:val="es-CO" w:eastAsia="es-MX"/>
        </w:rPr>
      </w:pPr>
    </w:p>
    <w:p w14:paraId="4EEB45F8" w14:textId="22250AA8" w:rsidR="00F22246" w:rsidRPr="00952DDE" w:rsidRDefault="00F22246" w:rsidP="00F22246">
      <w:pPr>
        <w:spacing w:after="0" w:line="240" w:lineRule="auto"/>
        <w:rPr>
          <w:rFonts w:eastAsia="Times New Roman" w:cs="Times New Roman"/>
          <w:szCs w:val="20"/>
          <w:lang w:val="es-CO" w:eastAsia="es-MX"/>
        </w:rPr>
      </w:pPr>
    </w:p>
    <w:p w14:paraId="5CCB6385" w14:textId="7D60CBEF" w:rsidR="00F22246" w:rsidRPr="00952DDE" w:rsidRDefault="00F22246" w:rsidP="00F22246">
      <w:pPr>
        <w:spacing w:after="0" w:line="240" w:lineRule="auto"/>
        <w:rPr>
          <w:rFonts w:eastAsia="Times New Roman" w:cs="Times New Roman"/>
          <w:szCs w:val="20"/>
          <w:lang w:val="es-CO" w:eastAsia="es-MX"/>
        </w:rPr>
      </w:pPr>
    </w:p>
    <w:p w14:paraId="01B5CED2" w14:textId="2FF55B40" w:rsidR="00F22246" w:rsidRPr="00952DDE" w:rsidRDefault="00F22246" w:rsidP="00F22246">
      <w:pPr>
        <w:spacing w:after="0" w:line="240" w:lineRule="auto"/>
        <w:rPr>
          <w:rFonts w:eastAsia="Times New Roman" w:cs="Times New Roman"/>
          <w:szCs w:val="20"/>
          <w:lang w:val="es-CO" w:eastAsia="es-MX"/>
        </w:rPr>
      </w:pPr>
      <w:r w:rsidRPr="00952DDE">
        <w:rPr>
          <w:rFonts w:eastAsia="Times New Roman" w:cs="Times New Roman"/>
          <w:szCs w:val="20"/>
          <w:lang w:val="es-CO" w:eastAsia="es-MX"/>
        </w:rPr>
        <w:t>Comuníquese y ejecútese,</w:t>
      </w:r>
      <w:r w:rsidRPr="00952DDE">
        <w:rPr>
          <w:rFonts w:eastAsia="Times New Roman" w:cs="Times New Roman"/>
          <w:szCs w:val="20"/>
          <w:lang w:val="es-CO" w:eastAsia="es-CR"/>
        </w:rPr>
        <w:t xml:space="preserve"> </w:t>
      </w:r>
    </w:p>
    <w:p w14:paraId="36CC0F2E" w14:textId="6148135C" w:rsidR="00F22246" w:rsidRPr="00952DDE" w:rsidRDefault="00F22246" w:rsidP="00F22246">
      <w:pPr>
        <w:spacing w:after="0" w:line="240" w:lineRule="auto"/>
        <w:rPr>
          <w:rFonts w:eastAsia="Times New Roman" w:cs="Times New Roman"/>
          <w:szCs w:val="20"/>
          <w:lang w:val="es-CO" w:eastAsia="es-MX"/>
        </w:rPr>
      </w:pPr>
    </w:p>
    <w:p w14:paraId="4D6F16BA" w14:textId="28AD3205" w:rsidR="00F22246" w:rsidRDefault="00F22246" w:rsidP="00F22246">
      <w:pPr>
        <w:spacing w:after="0" w:line="240" w:lineRule="auto"/>
        <w:rPr>
          <w:rFonts w:eastAsia="Times New Roman" w:cs="Times New Roman"/>
          <w:szCs w:val="20"/>
          <w:lang w:val="es-CO" w:eastAsia="es-MX"/>
        </w:rPr>
      </w:pPr>
    </w:p>
    <w:p w14:paraId="0DB13867" w14:textId="49B7D466" w:rsidR="00F22246" w:rsidRPr="00952DDE" w:rsidRDefault="00F22246" w:rsidP="00F22246">
      <w:pPr>
        <w:spacing w:after="0" w:line="240" w:lineRule="auto"/>
        <w:rPr>
          <w:rFonts w:eastAsia="Times New Roman" w:cs="Times New Roman"/>
          <w:szCs w:val="20"/>
          <w:lang w:val="es-CO" w:eastAsia="es-MX"/>
        </w:rPr>
      </w:pPr>
    </w:p>
    <w:p w14:paraId="39C7C532" w14:textId="1EA1603A" w:rsidR="00F22246" w:rsidRPr="00952DDE" w:rsidRDefault="00F22246" w:rsidP="00F22246">
      <w:pPr>
        <w:spacing w:after="0" w:line="240" w:lineRule="auto"/>
        <w:rPr>
          <w:rFonts w:eastAsia="Times New Roman" w:cs="Times New Roman"/>
          <w:szCs w:val="20"/>
          <w:lang w:val="es-CO" w:eastAsia="es-MX"/>
        </w:rPr>
      </w:pPr>
    </w:p>
    <w:p w14:paraId="3FE4F105" w14:textId="77777777" w:rsidR="00F22246" w:rsidRPr="00952DDE" w:rsidRDefault="00F22246" w:rsidP="00F22246">
      <w:pPr>
        <w:spacing w:after="0" w:line="240" w:lineRule="auto"/>
        <w:rPr>
          <w:rFonts w:eastAsia="Times New Roman" w:cs="Times New Roman"/>
          <w:szCs w:val="20"/>
          <w:lang w:val="es-CO" w:eastAsia="es-MX"/>
        </w:rPr>
      </w:pPr>
    </w:p>
    <w:p w14:paraId="4CFF2F32" w14:textId="59DFC3DF" w:rsidR="00F22246" w:rsidRPr="00952DDE" w:rsidRDefault="00F22246" w:rsidP="00F22246">
      <w:pPr>
        <w:spacing w:after="0" w:line="240" w:lineRule="auto"/>
        <w:ind w:left="4536"/>
        <w:jc w:val="center"/>
        <w:rPr>
          <w:rFonts w:eastAsia="Times New Roman" w:cs="Times New Roman"/>
          <w:szCs w:val="20"/>
          <w:lang w:val="es-CO" w:eastAsia="es-MX"/>
        </w:rPr>
      </w:pPr>
      <w:r w:rsidRPr="00952DDE">
        <w:rPr>
          <w:rFonts w:eastAsia="Times New Roman" w:cs="Times New Roman"/>
          <w:color w:val="000000"/>
          <w:spacing w:val="-2"/>
          <w:szCs w:val="20"/>
          <w:lang w:val="es-CO" w:eastAsia="es-CR"/>
        </w:rPr>
        <w:t>Ricardo C. Pérez Manrique</w:t>
      </w:r>
    </w:p>
    <w:p w14:paraId="74C27DF5" w14:textId="7D9BE3A0" w:rsidR="00F22246" w:rsidRPr="00952DDE" w:rsidRDefault="00F22246" w:rsidP="00F22246">
      <w:pPr>
        <w:spacing w:after="0" w:line="240" w:lineRule="auto"/>
        <w:ind w:left="4536"/>
        <w:jc w:val="center"/>
        <w:rPr>
          <w:rFonts w:eastAsia="Times New Roman" w:cs="Times New Roman"/>
          <w:szCs w:val="20"/>
          <w:lang w:val="es-CO" w:eastAsia="es-MX"/>
        </w:rPr>
      </w:pPr>
      <w:r w:rsidRPr="00952DDE">
        <w:rPr>
          <w:rFonts w:eastAsia="Times New Roman" w:cs="Times New Roman"/>
          <w:szCs w:val="20"/>
          <w:lang w:val="es-CO" w:eastAsia="es-MX"/>
        </w:rPr>
        <w:t>Presidente</w:t>
      </w:r>
    </w:p>
    <w:p w14:paraId="64671650" w14:textId="77777777" w:rsidR="00F22246" w:rsidRPr="00952DDE" w:rsidRDefault="00F22246" w:rsidP="00F22246">
      <w:pPr>
        <w:spacing w:after="0" w:line="240" w:lineRule="auto"/>
        <w:rPr>
          <w:rFonts w:eastAsia="Times New Roman" w:cs="Times New Roman"/>
          <w:szCs w:val="20"/>
          <w:lang w:val="es-CO" w:eastAsia="es-MX"/>
        </w:rPr>
      </w:pPr>
    </w:p>
    <w:p w14:paraId="61CFF412" w14:textId="3327B914" w:rsidR="00F22246" w:rsidRDefault="00F22246" w:rsidP="00F22246">
      <w:pPr>
        <w:spacing w:after="0" w:line="240" w:lineRule="auto"/>
        <w:rPr>
          <w:rFonts w:eastAsia="Times New Roman" w:cs="Times New Roman"/>
          <w:szCs w:val="20"/>
          <w:lang w:val="es-CO" w:eastAsia="es-MX"/>
        </w:rPr>
      </w:pPr>
    </w:p>
    <w:p w14:paraId="49797E46" w14:textId="6C8B8FF0" w:rsidR="00F22246" w:rsidRPr="00952DDE" w:rsidRDefault="00F22246" w:rsidP="00F22246">
      <w:pPr>
        <w:spacing w:after="0" w:line="240" w:lineRule="auto"/>
        <w:rPr>
          <w:rFonts w:eastAsia="Times New Roman" w:cs="Times New Roman"/>
          <w:szCs w:val="20"/>
          <w:lang w:val="es-CO" w:eastAsia="es-MX"/>
        </w:rPr>
      </w:pPr>
    </w:p>
    <w:p w14:paraId="01D33DCB" w14:textId="77777777" w:rsidR="00F22246" w:rsidRPr="00952DDE" w:rsidRDefault="00F22246" w:rsidP="00F22246">
      <w:pPr>
        <w:spacing w:after="0" w:line="240" w:lineRule="auto"/>
        <w:rPr>
          <w:rFonts w:eastAsia="Times New Roman" w:cs="Times New Roman"/>
          <w:szCs w:val="20"/>
          <w:lang w:val="es-CO" w:eastAsia="es-MX"/>
        </w:rPr>
      </w:pPr>
    </w:p>
    <w:p w14:paraId="1FF653C3" w14:textId="77777777" w:rsidR="00F22246" w:rsidRPr="00952DDE" w:rsidRDefault="00F22246" w:rsidP="00F22246">
      <w:pPr>
        <w:spacing w:after="0" w:line="240" w:lineRule="auto"/>
        <w:rPr>
          <w:rFonts w:eastAsia="Times New Roman" w:cs="Times New Roman"/>
          <w:szCs w:val="20"/>
          <w:lang w:val="es-CO" w:eastAsia="es-MX"/>
        </w:rPr>
      </w:pPr>
    </w:p>
    <w:p w14:paraId="334EEA7A" w14:textId="77777777" w:rsidR="00F22246" w:rsidRPr="00952DDE" w:rsidRDefault="00F22246" w:rsidP="00F22246">
      <w:pPr>
        <w:tabs>
          <w:tab w:val="left" w:pos="2835"/>
        </w:tabs>
        <w:spacing w:after="0" w:line="240" w:lineRule="auto"/>
        <w:ind w:right="6003"/>
        <w:rPr>
          <w:rFonts w:eastAsia="Times New Roman" w:cs="Times New Roman"/>
          <w:szCs w:val="20"/>
          <w:lang w:val="es-CO" w:eastAsia="es-MX"/>
        </w:rPr>
      </w:pPr>
      <w:r>
        <w:rPr>
          <w:rFonts w:eastAsia="Times New Roman" w:cs="Times New Roman"/>
          <w:szCs w:val="20"/>
          <w:lang w:val="es-CO" w:eastAsia="es-MX"/>
        </w:rPr>
        <w:t>Pablo Saavedra Alessandri</w:t>
      </w:r>
    </w:p>
    <w:p w14:paraId="758610D3" w14:textId="77777777" w:rsidR="00F22246" w:rsidRPr="00952DDE" w:rsidRDefault="00F22246" w:rsidP="00F22246">
      <w:pPr>
        <w:tabs>
          <w:tab w:val="left" w:pos="2835"/>
        </w:tabs>
        <w:spacing w:after="0" w:line="240" w:lineRule="auto"/>
        <w:ind w:right="6003"/>
        <w:jc w:val="center"/>
        <w:rPr>
          <w:rFonts w:eastAsia="Times New Roman" w:cs="Times New Roman"/>
          <w:szCs w:val="20"/>
          <w:lang w:val="es-CO" w:eastAsia="es-MX"/>
        </w:rPr>
      </w:pPr>
      <w:r w:rsidRPr="00952DDE">
        <w:rPr>
          <w:rFonts w:eastAsia="Times New Roman" w:cs="Times New Roman"/>
          <w:szCs w:val="20"/>
          <w:lang w:val="es-CO" w:eastAsia="es-MX"/>
        </w:rPr>
        <w:t>Secretari</w:t>
      </w:r>
      <w:r>
        <w:rPr>
          <w:rFonts w:eastAsia="Times New Roman" w:cs="Times New Roman"/>
          <w:szCs w:val="20"/>
          <w:lang w:val="es-CO" w:eastAsia="es-MX"/>
        </w:rPr>
        <w:t>o</w:t>
      </w:r>
    </w:p>
    <w:sectPr w:rsidR="00F22246" w:rsidRPr="00952DDE">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142DF" w14:textId="77777777" w:rsidR="009E7022" w:rsidRDefault="009E7022" w:rsidP="009325EF">
      <w:pPr>
        <w:spacing w:after="0" w:line="240" w:lineRule="auto"/>
      </w:pPr>
      <w:r>
        <w:separator/>
      </w:r>
    </w:p>
  </w:endnote>
  <w:endnote w:type="continuationSeparator" w:id="0">
    <w:p w14:paraId="3FCCFEEF" w14:textId="77777777" w:rsidR="009E7022" w:rsidRDefault="009E7022" w:rsidP="00932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802888"/>
      <w:docPartObj>
        <w:docPartGallery w:val="Page Numbers (Bottom of Page)"/>
        <w:docPartUnique/>
      </w:docPartObj>
    </w:sdtPr>
    <w:sdtContent>
      <w:p w14:paraId="1BC8AF8D" w14:textId="77777777" w:rsidR="009325EF" w:rsidRDefault="009325EF">
        <w:pPr>
          <w:pStyle w:val="Piedepgina"/>
          <w:jc w:val="center"/>
        </w:pPr>
        <w:r>
          <w:fldChar w:fldCharType="begin"/>
        </w:r>
        <w:r>
          <w:instrText>PAGE   \* MERGEFORMAT</w:instrText>
        </w:r>
        <w:r>
          <w:fldChar w:fldCharType="separate"/>
        </w:r>
        <w:r>
          <w:rPr>
            <w:lang w:val="es-ES"/>
          </w:rPr>
          <w:t>2</w:t>
        </w:r>
        <w:r>
          <w:fldChar w:fldCharType="end"/>
        </w:r>
      </w:p>
    </w:sdtContent>
  </w:sdt>
  <w:p w14:paraId="7D03825F" w14:textId="77777777" w:rsidR="009325EF" w:rsidRDefault="009325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D891F" w14:textId="77777777" w:rsidR="009E7022" w:rsidRDefault="009E7022" w:rsidP="009325EF">
      <w:pPr>
        <w:spacing w:after="0" w:line="240" w:lineRule="auto"/>
      </w:pPr>
      <w:r>
        <w:separator/>
      </w:r>
    </w:p>
  </w:footnote>
  <w:footnote w:type="continuationSeparator" w:id="0">
    <w:p w14:paraId="724AFB0A" w14:textId="77777777" w:rsidR="009E7022" w:rsidRDefault="009E7022" w:rsidP="009325EF">
      <w:pPr>
        <w:spacing w:after="0" w:line="240" w:lineRule="auto"/>
      </w:pPr>
      <w:r>
        <w:continuationSeparator/>
      </w:r>
    </w:p>
  </w:footnote>
  <w:footnote w:id="1">
    <w:p w14:paraId="1AE3C32A" w14:textId="3B62EBE0" w:rsidR="009325EF" w:rsidRPr="00771AC1" w:rsidRDefault="009325EF" w:rsidP="0082100E">
      <w:pPr>
        <w:pStyle w:val="Textonotapie"/>
        <w:rPr>
          <w:b/>
          <w:bCs/>
        </w:rPr>
      </w:pPr>
      <w:r>
        <w:rPr>
          <w:rStyle w:val="Refdenotaalpie"/>
        </w:rPr>
        <w:footnoteRef/>
      </w:r>
      <w:r>
        <w:t xml:space="preserve"> </w:t>
      </w:r>
      <w:r>
        <w:tab/>
      </w:r>
      <w:r w:rsidR="00262956">
        <w:t xml:space="preserve">Las presuntas víctimas están representadas por la Asociación </w:t>
      </w:r>
      <w:r w:rsidR="00FC14C5">
        <w:t xml:space="preserve">Civil </w:t>
      </w:r>
      <w:r w:rsidR="00262956">
        <w:t>Memoria Activa y por el Centro de Estudios Legales y Sociales (CELS)</w:t>
      </w:r>
      <w:r w:rsidRPr="00962E1D">
        <w:t>.</w:t>
      </w:r>
    </w:p>
  </w:footnote>
  <w:footnote w:id="2">
    <w:p w14:paraId="2EC2D0B7" w14:textId="3BAE8D51" w:rsidR="009325EF" w:rsidRPr="00E04312" w:rsidRDefault="009325EF" w:rsidP="0082100E">
      <w:pPr>
        <w:pStyle w:val="Textonotapie"/>
      </w:pPr>
      <w:r>
        <w:rPr>
          <w:rStyle w:val="Refdenotaalpie"/>
        </w:rPr>
        <w:footnoteRef/>
      </w:r>
      <w:r>
        <w:t xml:space="preserve"> </w:t>
      </w:r>
      <w:r>
        <w:tab/>
        <w:t xml:space="preserve">La Comisión ofreció la declaración pericial de </w:t>
      </w:r>
      <w:r w:rsidR="00371666">
        <w:t xml:space="preserve">Martin </w:t>
      </w:r>
      <w:proofErr w:type="spellStart"/>
      <w:r w:rsidR="00371666">
        <w:t>Scheinin</w:t>
      </w:r>
      <w:proofErr w:type="spellEnd"/>
      <w:r w:rsidR="00371666">
        <w:t>, que sería presen</w:t>
      </w:r>
      <w:r w:rsidR="00263711">
        <w:t xml:space="preserve">tada por videoconferencia y el peritaje conjunto de Antonio González Quintana y Blanca I. </w:t>
      </w:r>
      <w:proofErr w:type="spellStart"/>
      <w:r w:rsidR="00263711">
        <w:t>Bazaco</w:t>
      </w:r>
      <w:proofErr w:type="spellEnd"/>
      <w:r w:rsidR="00263711">
        <w:t xml:space="preserve"> Palacios</w:t>
      </w:r>
      <w:r>
        <w:t>.</w:t>
      </w:r>
    </w:p>
  </w:footnote>
  <w:footnote w:id="3">
    <w:p w14:paraId="5730AAFD" w14:textId="49D0D2AC" w:rsidR="00263711" w:rsidRPr="00263711" w:rsidRDefault="00263711" w:rsidP="0082100E">
      <w:pPr>
        <w:pStyle w:val="Textonotapie"/>
      </w:pPr>
      <w:r>
        <w:rPr>
          <w:rStyle w:val="Refdenotaalpie"/>
        </w:rPr>
        <w:footnoteRef/>
      </w:r>
      <w:r>
        <w:t xml:space="preserve"> </w:t>
      </w:r>
      <w:r>
        <w:tab/>
        <w:t xml:space="preserve">Las representantes ofrecieron la declaración de Adriana </w:t>
      </w:r>
      <w:proofErr w:type="spellStart"/>
      <w:r>
        <w:t>Reisfeld</w:t>
      </w:r>
      <w:proofErr w:type="spellEnd"/>
      <w:r>
        <w:t xml:space="preserve"> y Diana </w:t>
      </w:r>
      <w:proofErr w:type="spellStart"/>
      <w:r>
        <w:t>Wassner</w:t>
      </w:r>
      <w:proofErr w:type="spellEnd"/>
      <w:r>
        <w:t>.</w:t>
      </w:r>
    </w:p>
  </w:footnote>
  <w:footnote w:id="4">
    <w:p w14:paraId="00C0D0C3" w14:textId="69AB21FD" w:rsidR="00263711" w:rsidRPr="00263711" w:rsidRDefault="00263711" w:rsidP="0082100E">
      <w:pPr>
        <w:pStyle w:val="Textonotapie"/>
      </w:pPr>
      <w:r>
        <w:rPr>
          <w:rStyle w:val="Refdenotaalpie"/>
        </w:rPr>
        <w:footnoteRef/>
      </w:r>
      <w:r>
        <w:t xml:space="preserve"> </w:t>
      </w:r>
      <w:r>
        <w:tab/>
        <w:t xml:space="preserve">Las representantes ofrecieron los peritajes de Fernando Domínguez y Natalia </w:t>
      </w:r>
      <w:proofErr w:type="spellStart"/>
      <w:r>
        <w:t>Federman</w:t>
      </w:r>
      <w:proofErr w:type="spellEnd"/>
      <w:r>
        <w:t xml:space="preserve">. </w:t>
      </w:r>
    </w:p>
  </w:footnote>
  <w:footnote w:id="5">
    <w:p w14:paraId="1D57E6BF" w14:textId="29A60AB5" w:rsidR="009325EF" w:rsidRDefault="009325EF" w:rsidP="0082100E">
      <w:pPr>
        <w:pStyle w:val="Textonotapie"/>
        <w:rPr>
          <w:rFonts w:cs="Times New Roman"/>
          <w:lang w:val="es-CR"/>
        </w:rPr>
      </w:pPr>
      <w:r>
        <w:rPr>
          <w:rStyle w:val="Refdenotaalpie"/>
        </w:rPr>
        <w:footnoteRef/>
      </w:r>
      <w:r w:rsidRPr="00790182">
        <w:rPr>
          <w:lang w:val="pt-BR"/>
        </w:rPr>
        <w:t xml:space="preserve"> </w:t>
      </w:r>
      <w:r w:rsidRPr="00790182">
        <w:rPr>
          <w:lang w:val="pt-BR"/>
        </w:rPr>
        <w:tab/>
      </w:r>
      <w:r w:rsidRPr="00790182">
        <w:rPr>
          <w:i/>
          <w:lang w:val="pt-BR"/>
        </w:rPr>
        <w:t xml:space="preserve">Cfr. Caso Pedro Miguel Vera </w:t>
      </w:r>
      <w:proofErr w:type="spellStart"/>
      <w:r w:rsidRPr="00790182">
        <w:rPr>
          <w:i/>
          <w:lang w:val="pt-BR"/>
        </w:rPr>
        <w:t>Vera</w:t>
      </w:r>
      <w:proofErr w:type="spellEnd"/>
      <w:r w:rsidRPr="00790182">
        <w:rPr>
          <w:i/>
          <w:lang w:val="pt-BR"/>
        </w:rPr>
        <w:t xml:space="preserve"> y </w:t>
      </w:r>
      <w:proofErr w:type="spellStart"/>
      <w:r w:rsidRPr="00790182">
        <w:rPr>
          <w:i/>
          <w:lang w:val="pt-BR"/>
        </w:rPr>
        <w:t>otros</w:t>
      </w:r>
      <w:proofErr w:type="spellEnd"/>
      <w:r w:rsidRPr="00790182">
        <w:rPr>
          <w:i/>
          <w:lang w:val="pt-BR"/>
        </w:rPr>
        <w:t xml:space="preserve"> Vs. </w:t>
      </w:r>
      <w:r>
        <w:rPr>
          <w:i/>
        </w:rPr>
        <w:t>Ecuador</w:t>
      </w:r>
      <w:r>
        <w:t xml:space="preserve">. Resolución del </w:t>
      </w:r>
      <w:proofErr w:type="gramStart"/>
      <w:r>
        <w:t>Presidente</w:t>
      </w:r>
      <w:proofErr w:type="gramEnd"/>
      <w:r>
        <w:t xml:space="preserve"> de la Corte de 23 de diciembre de 2010, Considerando 9, y </w:t>
      </w:r>
      <w:r w:rsidRPr="001B2A42">
        <w:rPr>
          <w:i/>
          <w:iCs/>
        </w:rPr>
        <w:t xml:space="preserve">Caso </w:t>
      </w:r>
      <w:r w:rsidR="00A63701">
        <w:rPr>
          <w:i/>
          <w:iCs/>
        </w:rPr>
        <w:t xml:space="preserve">Pueblos Indígenas Tagaeri y </w:t>
      </w:r>
      <w:proofErr w:type="spellStart"/>
      <w:r w:rsidR="00A63701">
        <w:rPr>
          <w:i/>
          <w:iCs/>
        </w:rPr>
        <w:t>Taromenane</w:t>
      </w:r>
      <w:proofErr w:type="spellEnd"/>
      <w:r w:rsidR="00A63701">
        <w:rPr>
          <w:i/>
          <w:iCs/>
        </w:rPr>
        <w:t xml:space="preserve"> Vs. Ecuador</w:t>
      </w:r>
      <w:r w:rsidRPr="00E30C63">
        <w:t xml:space="preserve">. Convocatoria a audiencia. Resolución del </w:t>
      </w:r>
      <w:proofErr w:type="gramStart"/>
      <w:r w:rsidRPr="00E30C63">
        <w:t>Presidente</w:t>
      </w:r>
      <w:proofErr w:type="gramEnd"/>
      <w:r w:rsidRPr="00E30C63">
        <w:t xml:space="preserve"> de la Corte Interamericana de Derechos Humanos de 1</w:t>
      </w:r>
      <w:r w:rsidR="00A63701">
        <w:t>9</w:t>
      </w:r>
      <w:r w:rsidRPr="00E30C63">
        <w:t xml:space="preserve"> de julio de 2022</w:t>
      </w:r>
      <w:r>
        <w:rPr>
          <w:rStyle w:val="Textoennegrita"/>
          <w:b w:val="0"/>
          <w:color w:val="000000"/>
          <w:shd w:val="clear" w:color="auto" w:fill="FFFFFF"/>
        </w:rPr>
        <w:t xml:space="preserve">, Considerando </w:t>
      </w:r>
      <w:r w:rsidR="00A63701">
        <w:rPr>
          <w:rStyle w:val="Textoennegrita"/>
          <w:b w:val="0"/>
          <w:color w:val="000000"/>
          <w:shd w:val="clear" w:color="auto" w:fill="FFFFFF"/>
        </w:rPr>
        <w:t>56</w:t>
      </w:r>
      <w:r>
        <w:rPr>
          <w:rStyle w:val="Textoennegrita"/>
          <w:b w:val="0"/>
          <w:color w:val="000000"/>
          <w:shd w:val="clear" w:color="auto" w:fill="FFFFFF"/>
        </w:rPr>
        <w:t>.</w:t>
      </w:r>
    </w:p>
  </w:footnote>
  <w:footnote w:id="6">
    <w:p w14:paraId="503BE309" w14:textId="5353D2F4" w:rsidR="009325EF" w:rsidRDefault="009325EF" w:rsidP="0082100E">
      <w:pPr>
        <w:pStyle w:val="Textonotapie"/>
        <w:rPr>
          <w:lang w:val="es-CR"/>
        </w:rPr>
      </w:pPr>
      <w:r>
        <w:rPr>
          <w:rStyle w:val="Refdenotaalpie"/>
        </w:rPr>
        <w:footnoteRef/>
      </w:r>
      <w:r>
        <w:t xml:space="preserve"> </w:t>
      </w:r>
      <w:r>
        <w:tab/>
      </w:r>
      <w:r>
        <w:rPr>
          <w:i/>
        </w:rPr>
        <w:t>Cfr. Caso Pacheco Teruel y otros Vs. Honduras</w:t>
      </w:r>
      <w:r>
        <w:t xml:space="preserve">. Resolución del </w:t>
      </w:r>
      <w:proofErr w:type="gramStart"/>
      <w:r>
        <w:t>Presidente</w:t>
      </w:r>
      <w:proofErr w:type="gramEnd"/>
      <w:r>
        <w:t xml:space="preserve"> de 27 de enero de 2012. Considerando 9, y </w:t>
      </w:r>
      <w:r w:rsidR="0097737C" w:rsidRPr="001B2A42">
        <w:rPr>
          <w:i/>
          <w:iCs/>
        </w:rPr>
        <w:t xml:space="preserve">Caso </w:t>
      </w:r>
      <w:r w:rsidR="0097737C">
        <w:rPr>
          <w:i/>
          <w:iCs/>
        </w:rPr>
        <w:t xml:space="preserve">Pueblos Indígenas Tagaeri y </w:t>
      </w:r>
      <w:proofErr w:type="spellStart"/>
      <w:r w:rsidR="0097737C">
        <w:rPr>
          <w:i/>
          <w:iCs/>
        </w:rPr>
        <w:t>Taromenane</w:t>
      </w:r>
      <w:proofErr w:type="spellEnd"/>
      <w:r w:rsidR="0097737C">
        <w:rPr>
          <w:i/>
          <w:iCs/>
        </w:rPr>
        <w:t xml:space="preserve"> Vs. Ecuador</w:t>
      </w:r>
      <w:r w:rsidR="0097737C" w:rsidRPr="00E30C63">
        <w:t>. Convocatoria a audiencia</w:t>
      </w:r>
      <w:r w:rsidR="0097737C">
        <w:t xml:space="preserve">, </w:t>
      </w:r>
      <w:r w:rsidR="0097737C">
        <w:rPr>
          <w:i/>
          <w:iCs/>
        </w:rPr>
        <w:t>supra</w:t>
      </w:r>
      <w:r>
        <w:rPr>
          <w:rStyle w:val="Textoennegrita"/>
          <w:b w:val="0"/>
          <w:color w:val="000000"/>
          <w:shd w:val="clear" w:color="auto" w:fill="FFFFFF"/>
        </w:rPr>
        <w:t xml:space="preserve">, Considerando </w:t>
      </w:r>
      <w:r w:rsidR="0097737C">
        <w:rPr>
          <w:rStyle w:val="Textoennegrita"/>
          <w:b w:val="0"/>
          <w:color w:val="000000"/>
          <w:shd w:val="clear" w:color="auto" w:fill="FFFFFF"/>
        </w:rPr>
        <w:t>56</w:t>
      </w:r>
      <w:r>
        <w:rPr>
          <w:rStyle w:val="Textoennegrita"/>
          <w:b w:val="0"/>
          <w:color w:val="000000"/>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9A7"/>
    <w:multiLevelType w:val="hybridMultilevel"/>
    <w:tmpl w:val="61C679B4"/>
    <w:lvl w:ilvl="0" w:tplc="140A0011">
      <w:start w:val="1"/>
      <w:numFmt w:val="decimal"/>
      <w:lvlText w:val="%1)"/>
      <w:lvlJc w:val="left"/>
      <w:pPr>
        <w:ind w:left="1800" w:hanging="360"/>
      </w:pPr>
    </w:lvl>
    <w:lvl w:ilvl="1" w:tplc="140A0019">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 w15:restartNumberingAfterBreak="0">
    <w:nsid w:val="15AE770A"/>
    <w:multiLevelType w:val="hybridMultilevel"/>
    <w:tmpl w:val="3DC8A7FE"/>
    <w:lvl w:ilvl="0" w:tplc="FFFFFFFF">
      <w:start w:val="1"/>
      <w:numFmt w:val="decimal"/>
      <w:lvlText w:val="%1."/>
      <w:lvlJc w:val="left"/>
      <w:pPr>
        <w:ind w:left="1800" w:hanging="720"/>
      </w:pPr>
      <w:rPr>
        <w:b w:val="0"/>
        <w:i w:val="0"/>
        <w:color w:val="auto"/>
      </w:rPr>
    </w:lvl>
    <w:lvl w:ilvl="1" w:tplc="FFFFFFFF">
      <w:start w:val="1"/>
      <w:numFmt w:val="lowerRoman"/>
      <w:lvlText w:val="%2."/>
      <w:lvlJc w:val="left"/>
      <w:pPr>
        <w:ind w:left="1800" w:hanging="720"/>
      </w:pPr>
    </w:lvl>
    <w:lvl w:ilvl="2" w:tplc="FFFFFFFF">
      <w:start w:val="1"/>
      <w:numFmt w:val="upperRoman"/>
      <w:lvlText w:val="%3."/>
      <w:lvlJc w:val="left"/>
      <w:pPr>
        <w:ind w:left="2700" w:hanging="72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9517E85"/>
    <w:multiLevelType w:val="hybridMultilevel"/>
    <w:tmpl w:val="1EAE41E6"/>
    <w:lvl w:ilvl="0" w:tplc="565A301C">
      <w:start w:val="1"/>
      <w:numFmt w:val="decimal"/>
      <w:lvlText w:val="%1)"/>
      <w:lvlJc w:val="left"/>
      <w:pPr>
        <w:ind w:left="1440" w:hanging="360"/>
      </w:pPr>
      <w:rPr>
        <w:rFonts w:hint="default"/>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95F0161"/>
    <w:multiLevelType w:val="hybridMultilevel"/>
    <w:tmpl w:val="755A892C"/>
    <w:lvl w:ilvl="0" w:tplc="38184E4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2A780770"/>
    <w:multiLevelType w:val="hybridMultilevel"/>
    <w:tmpl w:val="D75ED614"/>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C754BB"/>
    <w:multiLevelType w:val="hybridMultilevel"/>
    <w:tmpl w:val="0A108CAE"/>
    <w:lvl w:ilvl="0" w:tplc="04090015">
      <w:start w:val="1"/>
      <w:numFmt w:val="upperLetter"/>
      <w:lvlText w:val="%1."/>
      <w:lvlJc w:val="left"/>
      <w:pPr>
        <w:ind w:left="720" w:hanging="360"/>
      </w:pPr>
    </w:lvl>
    <w:lvl w:ilvl="1" w:tplc="565A301C">
      <w:start w:val="1"/>
      <w:numFmt w:val="decimal"/>
      <w:lvlText w:val="%2)"/>
      <w:lvlJc w:val="left"/>
      <w:pPr>
        <w:ind w:left="1440" w:hanging="360"/>
      </w:pPr>
      <w:rPr>
        <w:rFonts w:hint="default"/>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C607F2"/>
    <w:multiLevelType w:val="hybridMultilevel"/>
    <w:tmpl w:val="D9E027E2"/>
    <w:lvl w:ilvl="0" w:tplc="47BA40A8">
      <w:start w:val="1"/>
      <w:numFmt w:val="decimal"/>
      <w:lvlText w:val="%1)"/>
      <w:lvlJc w:val="left"/>
      <w:pPr>
        <w:ind w:left="180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48C09F5"/>
    <w:multiLevelType w:val="hybridMultilevel"/>
    <w:tmpl w:val="64C66F22"/>
    <w:lvl w:ilvl="0" w:tplc="565A301C">
      <w:start w:val="1"/>
      <w:numFmt w:val="decimal"/>
      <w:lvlText w:val="%1)"/>
      <w:lvlJc w:val="left"/>
      <w:pPr>
        <w:ind w:left="1440" w:hanging="360"/>
      </w:pPr>
      <w:rPr>
        <w:rFonts w:hint="default"/>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DDB6DC6"/>
    <w:multiLevelType w:val="hybridMultilevel"/>
    <w:tmpl w:val="B2D4DCA6"/>
    <w:lvl w:ilvl="0" w:tplc="B5A4FBA4">
      <w:start w:val="1"/>
      <w:numFmt w:val="decimal"/>
      <w:pStyle w:val="PrrafodeSentencia"/>
      <w:lvlText w:val="%1."/>
      <w:lvlJc w:val="left"/>
      <w:pPr>
        <w:ind w:left="360" w:hanging="360"/>
      </w:pPr>
      <w:rPr>
        <w:rFonts w:ascii="Verdana" w:hAnsi="Verdana" w:hint="default"/>
        <w:b w:val="0"/>
        <w:i w:val="0"/>
        <w:color w:val="auto"/>
        <w:sz w:val="20"/>
        <w:szCs w:val="20"/>
        <w:lang w:val="es-CR"/>
      </w:rPr>
    </w:lvl>
    <w:lvl w:ilvl="1" w:tplc="D7BCC2B2">
      <w:start w:val="2"/>
      <w:numFmt w:val="lowerLetter"/>
      <w:lvlText w:val="%2."/>
      <w:lvlJc w:val="left"/>
      <w:pPr>
        <w:ind w:left="450" w:hanging="360"/>
      </w:pPr>
      <w:rPr>
        <w:rFonts w:hint="default"/>
        <w:i w:val="0"/>
      </w:rPr>
    </w:lvl>
    <w:lvl w:ilvl="2" w:tplc="0409001B">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15:restartNumberingAfterBreak="0">
    <w:nsid w:val="5F161048"/>
    <w:multiLevelType w:val="hybridMultilevel"/>
    <w:tmpl w:val="B9A2F04A"/>
    <w:lvl w:ilvl="0" w:tplc="67E07D4A">
      <w:start w:val="1"/>
      <w:numFmt w:val="decimal"/>
      <w:lvlText w:val="%1."/>
      <w:lvlJc w:val="left"/>
      <w:pPr>
        <w:ind w:left="1800" w:hanging="720"/>
      </w:pPr>
      <w:rPr>
        <w:b w:val="0"/>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D67737"/>
    <w:multiLevelType w:val="hybridMultilevel"/>
    <w:tmpl w:val="947A89D8"/>
    <w:lvl w:ilvl="0" w:tplc="834EAAA2">
      <w:start w:val="1"/>
      <w:numFmt w:val="upperLetter"/>
      <w:lvlText w:val="%1."/>
      <w:lvlJc w:val="left"/>
      <w:pPr>
        <w:ind w:left="930" w:hanging="360"/>
      </w:pPr>
      <w:rPr>
        <w:rFonts w:hint="default"/>
        <w:b/>
        <w:i w:val="0"/>
      </w:rPr>
    </w:lvl>
    <w:lvl w:ilvl="1" w:tplc="140A0019">
      <w:start w:val="1"/>
      <w:numFmt w:val="lowerLetter"/>
      <w:lvlText w:val="%2."/>
      <w:lvlJc w:val="left"/>
      <w:pPr>
        <w:ind w:left="1650" w:hanging="360"/>
      </w:pPr>
    </w:lvl>
    <w:lvl w:ilvl="2" w:tplc="140A001B">
      <w:start w:val="1"/>
      <w:numFmt w:val="lowerRoman"/>
      <w:lvlText w:val="%3."/>
      <w:lvlJc w:val="right"/>
      <w:pPr>
        <w:ind w:left="2370" w:hanging="180"/>
      </w:pPr>
    </w:lvl>
    <w:lvl w:ilvl="3" w:tplc="140A000F">
      <w:start w:val="1"/>
      <w:numFmt w:val="decimal"/>
      <w:lvlText w:val="%4."/>
      <w:lvlJc w:val="left"/>
      <w:pPr>
        <w:ind w:left="3090" w:hanging="360"/>
      </w:pPr>
    </w:lvl>
    <w:lvl w:ilvl="4" w:tplc="140A0019">
      <w:start w:val="1"/>
      <w:numFmt w:val="lowerLetter"/>
      <w:lvlText w:val="%5."/>
      <w:lvlJc w:val="left"/>
      <w:pPr>
        <w:ind w:left="3810" w:hanging="360"/>
      </w:pPr>
    </w:lvl>
    <w:lvl w:ilvl="5" w:tplc="140A001B">
      <w:start w:val="1"/>
      <w:numFmt w:val="lowerRoman"/>
      <w:lvlText w:val="%6."/>
      <w:lvlJc w:val="right"/>
      <w:pPr>
        <w:ind w:left="4530" w:hanging="180"/>
      </w:pPr>
    </w:lvl>
    <w:lvl w:ilvl="6" w:tplc="140A000F">
      <w:start w:val="1"/>
      <w:numFmt w:val="decimal"/>
      <w:lvlText w:val="%7."/>
      <w:lvlJc w:val="left"/>
      <w:pPr>
        <w:ind w:left="5250" w:hanging="360"/>
      </w:pPr>
    </w:lvl>
    <w:lvl w:ilvl="7" w:tplc="140A0019">
      <w:start w:val="1"/>
      <w:numFmt w:val="lowerLetter"/>
      <w:lvlText w:val="%8."/>
      <w:lvlJc w:val="left"/>
      <w:pPr>
        <w:ind w:left="5970" w:hanging="360"/>
      </w:pPr>
    </w:lvl>
    <w:lvl w:ilvl="8" w:tplc="140A001B">
      <w:start w:val="1"/>
      <w:numFmt w:val="lowerRoman"/>
      <w:lvlText w:val="%9."/>
      <w:lvlJc w:val="right"/>
      <w:pPr>
        <w:ind w:left="6690" w:hanging="180"/>
      </w:pPr>
    </w:lvl>
  </w:abstractNum>
  <w:abstractNum w:abstractNumId="12" w15:restartNumberingAfterBreak="0">
    <w:nsid w:val="644167C5"/>
    <w:multiLevelType w:val="hybridMultilevel"/>
    <w:tmpl w:val="56E2A2AE"/>
    <w:lvl w:ilvl="0" w:tplc="0FD0E226">
      <w:start w:val="2"/>
      <w:numFmt w:val="decimal"/>
      <w:lvlText w:val="%1."/>
      <w:lvlJc w:val="left"/>
      <w:pPr>
        <w:tabs>
          <w:tab w:val="num" w:pos="3600"/>
        </w:tabs>
        <w:ind w:left="0" w:firstLine="0"/>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start w:val="1"/>
      <w:numFmt w:val="lowerLetter"/>
      <w:lvlText w:val="%8."/>
      <w:lvlJc w:val="left"/>
      <w:pPr>
        <w:tabs>
          <w:tab w:val="num" w:pos="7920"/>
        </w:tabs>
        <w:ind w:left="7920" w:hanging="360"/>
      </w:pPr>
      <w:rPr>
        <w:rFonts w:cs="Times New Roman"/>
      </w:rPr>
    </w:lvl>
    <w:lvl w:ilvl="8" w:tplc="0409001B">
      <w:start w:val="1"/>
      <w:numFmt w:val="lowerRoman"/>
      <w:lvlText w:val="%9."/>
      <w:lvlJc w:val="right"/>
      <w:pPr>
        <w:tabs>
          <w:tab w:val="num" w:pos="8640"/>
        </w:tabs>
        <w:ind w:left="8640" w:hanging="180"/>
      </w:pPr>
      <w:rPr>
        <w:rFonts w:cs="Times New Roman"/>
      </w:rPr>
    </w:lvl>
  </w:abstractNum>
  <w:abstractNum w:abstractNumId="13" w15:restartNumberingAfterBreak="0">
    <w:nsid w:val="67502F53"/>
    <w:multiLevelType w:val="hybridMultilevel"/>
    <w:tmpl w:val="D89A1798"/>
    <w:lvl w:ilvl="0" w:tplc="7D12A8EA">
      <w:start w:val="1"/>
      <w:numFmt w:val="upperLetter"/>
      <w:lvlText w:val="%1."/>
      <w:lvlJc w:val="left"/>
      <w:pPr>
        <w:ind w:left="720" w:hanging="360"/>
      </w:pPr>
      <w:rPr>
        <w:rFonts w:ascii="Verdana" w:eastAsia="Times New Roman" w:hAnsi="Verdana" w:cs="Calibr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07606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8560673">
    <w:abstractNumId w:val="4"/>
  </w:num>
  <w:num w:numId="3" w16cid:durableId="1041128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8207506">
    <w:abstractNumId w:val="11"/>
  </w:num>
  <w:num w:numId="5" w16cid:durableId="434205562">
    <w:abstractNumId w:val="5"/>
  </w:num>
  <w:num w:numId="6" w16cid:durableId="66358370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5055004">
    <w:abstractNumId w:val="0"/>
  </w:num>
  <w:num w:numId="8" w16cid:durableId="846285982">
    <w:abstractNumId w:val="13"/>
  </w:num>
  <w:num w:numId="9" w16cid:durableId="423305239">
    <w:abstractNumId w:val="1"/>
  </w:num>
  <w:num w:numId="10" w16cid:durableId="1554654450">
    <w:abstractNumId w:val="9"/>
  </w:num>
  <w:num w:numId="11" w16cid:durableId="438110420">
    <w:abstractNumId w:val="3"/>
  </w:num>
  <w:num w:numId="12" w16cid:durableId="1837913380">
    <w:abstractNumId w:val="8"/>
  </w:num>
  <w:num w:numId="13" w16cid:durableId="507057971">
    <w:abstractNumId w:val="6"/>
  </w:num>
  <w:num w:numId="14" w16cid:durableId="948701371">
    <w:abstractNumId w:val="7"/>
  </w:num>
  <w:num w:numId="15" w16cid:durableId="270095095">
    <w:abstractNumId w:val="10"/>
  </w:num>
  <w:num w:numId="16" w16cid:durableId="602111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EF"/>
    <w:rsid w:val="000074AA"/>
    <w:rsid w:val="0001010E"/>
    <w:rsid w:val="0002638E"/>
    <w:rsid w:val="00062371"/>
    <w:rsid w:val="00073780"/>
    <w:rsid w:val="00094549"/>
    <w:rsid w:val="000C030B"/>
    <w:rsid w:val="000D2EC6"/>
    <w:rsid w:val="00124826"/>
    <w:rsid w:val="001329EE"/>
    <w:rsid w:val="001344B7"/>
    <w:rsid w:val="001423A5"/>
    <w:rsid w:val="001549FE"/>
    <w:rsid w:val="0015629E"/>
    <w:rsid w:val="001631CE"/>
    <w:rsid w:val="001B4DF5"/>
    <w:rsid w:val="001C4682"/>
    <w:rsid w:val="001E6EF2"/>
    <w:rsid w:val="001F0BC4"/>
    <w:rsid w:val="001F3BCB"/>
    <w:rsid w:val="001F4C8D"/>
    <w:rsid w:val="001F6EC2"/>
    <w:rsid w:val="00214433"/>
    <w:rsid w:val="00225DEB"/>
    <w:rsid w:val="00231C58"/>
    <w:rsid w:val="00242CA9"/>
    <w:rsid w:val="00246262"/>
    <w:rsid w:val="00262956"/>
    <w:rsid w:val="00263711"/>
    <w:rsid w:val="00265962"/>
    <w:rsid w:val="00297EBA"/>
    <w:rsid w:val="002C6480"/>
    <w:rsid w:val="002D2CA5"/>
    <w:rsid w:val="002E7B32"/>
    <w:rsid w:val="002F243B"/>
    <w:rsid w:val="00302A64"/>
    <w:rsid w:val="00312FCD"/>
    <w:rsid w:val="003206E8"/>
    <w:rsid w:val="00346EED"/>
    <w:rsid w:val="00360079"/>
    <w:rsid w:val="00371666"/>
    <w:rsid w:val="00387AE6"/>
    <w:rsid w:val="003E6537"/>
    <w:rsid w:val="00402752"/>
    <w:rsid w:val="00411DDF"/>
    <w:rsid w:val="00426CEE"/>
    <w:rsid w:val="00455431"/>
    <w:rsid w:val="00471F44"/>
    <w:rsid w:val="00471F4D"/>
    <w:rsid w:val="00491BE1"/>
    <w:rsid w:val="004D07EA"/>
    <w:rsid w:val="004E62C4"/>
    <w:rsid w:val="005030FC"/>
    <w:rsid w:val="0051757C"/>
    <w:rsid w:val="00544765"/>
    <w:rsid w:val="005824AF"/>
    <w:rsid w:val="005D711E"/>
    <w:rsid w:val="00600DDB"/>
    <w:rsid w:val="00601208"/>
    <w:rsid w:val="00621503"/>
    <w:rsid w:val="00630317"/>
    <w:rsid w:val="0063524C"/>
    <w:rsid w:val="00674CD8"/>
    <w:rsid w:val="00677BEE"/>
    <w:rsid w:val="00680D9F"/>
    <w:rsid w:val="00692236"/>
    <w:rsid w:val="006E1462"/>
    <w:rsid w:val="006E6D1D"/>
    <w:rsid w:val="006F2250"/>
    <w:rsid w:val="006F5AAA"/>
    <w:rsid w:val="00712BF9"/>
    <w:rsid w:val="0073359B"/>
    <w:rsid w:val="00742A8E"/>
    <w:rsid w:val="00751E5B"/>
    <w:rsid w:val="00792DAE"/>
    <w:rsid w:val="007B1AEC"/>
    <w:rsid w:val="007C4FFD"/>
    <w:rsid w:val="007C6434"/>
    <w:rsid w:val="007C7DD8"/>
    <w:rsid w:val="007E7F4E"/>
    <w:rsid w:val="007F4480"/>
    <w:rsid w:val="008120E9"/>
    <w:rsid w:val="00816AFA"/>
    <w:rsid w:val="0082100E"/>
    <w:rsid w:val="00827033"/>
    <w:rsid w:val="00840800"/>
    <w:rsid w:val="00841041"/>
    <w:rsid w:val="0084147B"/>
    <w:rsid w:val="00843166"/>
    <w:rsid w:val="00844D10"/>
    <w:rsid w:val="0084640E"/>
    <w:rsid w:val="00846A55"/>
    <w:rsid w:val="00850D92"/>
    <w:rsid w:val="008617C6"/>
    <w:rsid w:val="00886A68"/>
    <w:rsid w:val="008964FA"/>
    <w:rsid w:val="008C1DB4"/>
    <w:rsid w:val="008C4777"/>
    <w:rsid w:val="008C6565"/>
    <w:rsid w:val="008C6704"/>
    <w:rsid w:val="009325EF"/>
    <w:rsid w:val="009423BA"/>
    <w:rsid w:val="00943921"/>
    <w:rsid w:val="009640D4"/>
    <w:rsid w:val="00970670"/>
    <w:rsid w:val="00971D2C"/>
    <w:rsid w:val="0097737C"/>
    <w:rsid w:val="0099773D"/>
    <w:rsid w:val="009B0AA6"/>
    <w:rsid w:val="009B713F"/>
    <w:rsid w:val="009D730E"/>
    <w:rsid w:val="009E7022"/>
    <w:rsid w:val="009F2B11"/>
    <w:rsid w:val="00A00615"/>
    <w:rsid w:val="00A072B7"/>
    <w:rsid w:val="00A1300C"/>
    <w:rsid w:val="00A374BF"/>
    <w:rsid w:val="00A544CA"/>
    <w:rsid w:val="00A63701"/>
    <w:rsid w:val="00AA605D"/>
    <w:rsid w:val="00AB409C"/>
    <w:rsid w:val="00AC5C26"/>
    <w:rsid w:val="00AD097E"/>
    <w:rsid w:val="00AE0963"/>
    <w:rsid w:val="00B05FB6"/>
    <w:rsid w:val="00B10FE3"/>
    <w:rsid w:val="00B40501"/>
    <w:rsid w:val="00B56135"/>
    <w:rsid w:val="00B62877"/>
    <w:rsid w:val="00B86CA6"/>
    <w:rsid w:val="00B906B5"/>
    <w:rsid w:val="00BB535A"/>
    <w:rsid w:val="00BC686C"/>
    <w:rsid w:val="00BF4161"/>
    <w:rsid w:val="00C35E66"/>
    <w:rsid w:val="00C425A1"/>
    <w:rsid w:val="00C84A09"/>
    <w:rsid w:val="00C9220D"/>
    <w:rsid w:val="00CD1331"/>
    <w:rsid w:val="00CE388C"/>
    <w:rsid w:val="00D11E84"/>
    <w:rsid w:val="00D161FA"/>
    <w:rsid w:val="00D3286F"/>
    <w:rsid w:val="00D516F9"/>
    <w:rsid w:val="00D6459F"/>
    <w:rsid w:val="00D70E86"/>
    <w:rsid w:val="00D7690C"/>
    <w:rsid w:val="00D81164"/>
    <w:rsid w:val="00E1420B"/>
    <w:rsid w:val="00E200B6"/>
    <w:rsid w:val="00E260F0"/>
    <w:rsid w:val="00E35453"/>
    <w:rsid w:val="00E4413C"/>
    <w:rsid w:val="00E44D7E"/>
    <w:rsid w:val="00E468A8"/>
    <w:rsid w:val="00E46CA7"/>
    <w:rsid w:val="00E803FB"/>
    <w:rsid w:val="00EC5FC3"/>
    <w:rsid w:val="00EF3F3B"/>
    <w:rsid w:val="00EF703E"/>
    <w:rsid w:val="00F07F71"/>
    <w:rsid w:val="00F107C1"/>
    <w:rsid w:val="00F22246"/>
    <w:rsid w:val="00F36165"/>
    <w:rsid w:val="00F45E5A"/>
    <w:rsid w:val="00F47B8C"/>
    <w:rsid w:val="00F50D11"/>
    <w:rsid w:val="00F51D62"/>
    <w:rsid w:val="00F605DF"/>
    <w:rsid w:val="00FC14C5"/>
    <w:rsid w:val="00FC4E1E"/>
    <w:rsid w:val="00FC786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5231"/>
  <w15:chartTrackingRefBased/>
  <w15:docId w15:val="{7B266BCE-879E-4EA2-B4FB-20E8883E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5EF"/>
    <w:pPr>
      <w:spacing w:after="200" w:line="276" w:lineRule="auto"/>
    </w:pPr>
    <w:rPr>
      <w:rFonts w:ascii="Verdana" w:eastAsia="Calibri" w:hAnsi="Verdana" w:cs="Calibri"/>
      <w:sz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Ca Car"/>
    <w:link w:val="Textonotapie"/>
    <w:uiPriority w:val="99"/>
    <w:locked/>
    <w:rsid w:val="0082100E"/>
    <w:rPr>
      <w:rFonts w:ascii="Verdana" w:hAnsi="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A Fu?notente,C,ft"/>
    <w:basedOn w:val="Normal"/>
    <w:link w:val="TextonotapieCar1"/>
    <w:autoRedefine/>
    <w:uiPriority w:val="99"/>
    <w:unhideWhenUsed/>
    <w:qFormat/>
    <w:rsid w:val="0082100E"/>
    <w:pPr>
      <w:spacing w:before="120" w:after="120" w:line="240" w:lineRule="auto"/>
      <w:jc w:val="both"/>
    </w:pPr>
    <w:rPr>
      <w:rFonts w:eastAsiaTheme="minorHAnsi" w:cstheme="minorBidi"/>
      <w:sz w:val="16"/>
      <w:szCs w:val="16"/>
      <w:lang w:val="es-ES_tradnl" w:eastAsia="es-ES"/>
    </w:rPr>
  </w:style>
  <w:style w:type="character" w:customStyle="1" w:styleId="TextonotapieCar">
    <w:name w:val="Texto nota pie Car"/>
    <w:aliases w:val="FA Fuﬂnotentext Car,FA Fu?notente Car"/>
    <w:basedOn w:val="Fuentedeprrafopredeter"/>
    <w:uiPriority w:val="99"/>
    <w:qFormat/>
    <w:rsid w:val="009325EF"/>
    <w:rPr>
      <w:rFonts w:ascii="Verdana" w:eastAsia="Calibri" w:hAnsi="Verdana" w:cs="Calibri"/>
      <w:sz w:val="20"/>
      <w:szCs w:val="20"/>
      <w:lang w:val="es-MX"/>
    </w:rPr>
  </w:style>
  <w:style w:type="paragraph" w:styleId="Prrafodelista">
    <w:name w:val="List Paragraph"/>
    <w:basedOn w:val="Normal"/>
    <w:uiPriority w:val="34"/>
    <w:qFormat/>
    <w:rsid w:val="009325EF"/>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unhideWhenUsed/>
    <w:qFormat/>
    <w:rsid w:val="009325EF"/>
    <w:rPr>
      <w:rFonts w:ascii="Verdana" w:hAnsi="Verdana" w:cs="Verdana"/>
      <w:sz w:val="16"/>
      <w:szCs w:val="16"/>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325EF"/>
    <w:pPr>
      <w:spacing w:after="0" w:line="240" w:lineRule="auto"/>
      <w:jc w:val="both"/>
    </w:pPr>
    <w:rPr>
      <w:rFonts w:eastAsiaTheme="minorHAnsi" w:cs="Verdana"/>
      <w:sz w:val="16"/>
      <w:szCs w:val="16"/>
      <w:vertAlign w:val="superscript"/>
      <w:lang w:val="es-CR"/>
    </w:rPr>
  </w:style>
  <w:style w:type="character" w:styleId="Textoennegrita">
    <w:name w:val="Strong"/>
    <w:basedOn w:val="Fuentedeprrafopredeter"/>
    <w:uiPriority w:val="22"/>
    <w:qFormat/>
    <w:rsid w:val="009325EF"/>
    <w:rPr>
      <w:b/>
      <w:bCs/>
    </w:rPr>
  </w:style>
  <w:style w:type="character" w:styleId="Refdecomentario">
    <w:name w:val="annotation reference"/>
    <w:basedOn w:val="Fuentedeprrafopredeter"/>
    <w:uiPriority w:val="99"/>
    <w:semiHidden/>
    <w:unhideWhenUsed/>
    <w:rsid w:val="009325EF"/>
    <w:rPr>
      <w:sz w:val="16"/>
      <w:szCs w:val="16"/>
    </w:rPr>
  </w:style>
  <w:style w:type="paragraph" w:styleId="Textocomentario">
    <w:name w:val="annotation text"/>
    <w:basedOn w:val="Normal"/>
    <w:link w:val="TextocomentarioCar"/>
    <w:uiPriority w:val="99"/>
    <w:unhideWhenUsed/>
    <w:rsid w:val="009325EF"/>
    <w:pPr>
      <w:spacing w:line="240" w:lineRule="auto"/>
    </w:pPr>
    <w:rPr>
      <w:szCs w:val="20"/>
    </w:rPr>
  </w:style>
  <w:style w:type="character" w:customStyle="1" w:styleId="TextocomentarioCar">
    <w:name w:val="Texto comentario Car"/>
    <w:basedOn w:val="Fuentedeprrafopredeter"/>
    <w:link w:val="Textocomentario"/>
    <w:uiPriority w:val="99"/>
    <w:rsid w:val="009325EF"/>
    <w:rPr>
      <w:rFonts w:ascii="Verdana" w:eastAsia="Calibri" w:hAnsi="Verdana"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9325EF"/>
    <w:rPr>
      <w:b/>
      <w:bCs/>
    </w:rPr>
  </w:style>
  <w:style w:type="character" w:customStyle="1" w:styleId="AsuntodelcomentarioCar">
    <w:name w:val="Asunto del comentario Car"/>
    <w:basedOn w:val="TextocomentarioCar"/>
    <w:link w:val="Asuntodelcomentario"/>
    <w:uiPriority w:val="99"/>
    <w:semiHidden/>
    <w:rsid w:val="009325EF"/>
    <w:rPr>
      <w:rFonts w:ascii="Verdana" w:eastAsia="Calibri" w:hAnsi="Verdana" w:cs="Calibri"/>
      <w:b/>
      <w:bCs/>
      <w:sz w:val="20"/>
      <w:szCs w:val="20"/>
      <w:lang w:val="es-MX"/>
    </w:rPr>
  </w:style>
  <w:style w:type="paragraph" w:styleId="Revisin">
    <w:name w:val="Revision"/>
    <w:hidden/>
    <w:uiPriority w:val="99"/>
    <w:semiHidden/>
    <w:rsid w:val="009325EF"/>
    <w:pPr>
      <w:spacing w:after="0" w:line="240" w:lineRule="auto"/>
    </w:pPr>
    <w:rPr>
      <w:rFonts w:ascii="Verdana" w:eastAsia="Calibri" w:hAnsi="Verdana" w:cs="Calibri"/>
      <w:sz w:val="20"/>
      <w:lang w:val="es-MX"/>
    </w:rPr>
  </w:style>
  <w:style w:type="paragraph" w:customStyle="1" w:styleId="PrrafodeSentencia">
    <w:name w:val="*. Párrafo de Sentencia"/>
    <w:basedOn w:val="Sinespaciado"/>
    <w:link w:val="PrrafodeSentenciaChar"/>
    <w:qFormat/>
    <w:rsid w:val="009325EF"/>
    <w:pPr>
      <w:numPr>
        <w:numId w:val="12"/>
      </w:numPr>
      <w:tabs>
        <w:tab w:val="left" w:pos="567"/>
      </w:tabs>
      <w:spacing w:line="276" w:lineRule="auto"/>
      <w:ind w:left="0" w:firstLine="0"/>
      <w:contextualSpacing/>
      <w:jc w:val="both"/>
    </w:pPr>
    <w:rPr>
      <w:rFonts w:eastAsiaTheme="minorHAnsi" w:cs="Times New Roman"/>
      <w:szCs w:val="20"/>
      <w:bdr w:val="nil"/>
      <w:lang w:val="es-CR"/>
    </w:rPr>
  </w:style>
  <w:style w:type="character" w:customStyle="1" w:styleId="PrrafodeSentenciaChar">
    <w:name w:val="*. Párrafo de Sentencia Char"/>
    <w:link w:val="PrrafodeSentencia"/>
    <w:locked/>
    <w:rsid w:val="009325EF"/>
    <w:rPr>
      <w:rFonts w:ascii="Verdana" w:hAnsi="Verdana" w:cs="Times New Roman"/>
      <w:sz w:val="20"/>
      <w:szCs w:val="20"/>
      <w:bdr w:val="nil"/>
    </w:rPr>
  </w:style>
  <w:style w:type="paragraph" w:styleId="Sinespaciado">
    <w:name w:val="No Spacing"/>
    <w:uiPriority w:val="1"/>
    <w:qFormat/>
    <w:rsid w:val="009325EF"/>
    <w:pPr>
      <w:spacing w:after="0" w:line="240" w:lineRule="auto"/>
    </w:pPr>
    <w:rPr>
      <w:rFonts w:ascii="Verdana" w:eastAsia="Calibri" w:hAnsi="Verdana" w:cs="Calibri"/>
      <w:sz w:val="20"/>
      <w:lang w:val="es-MX"/>
    </w:rPr>
  </w:style>
  <w:style w:type="paragraph" w:styleId="Encabezado">
    <w:name w:val="header"/>
    <w:basedOn w:val="Normal"/>
    <w:link w:val="EncabezadoCar"/>
    <w:uiPriority w:val="99"/>
    <w:unhideWhenUsed/>
    <w:rsid w:val="009325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25EF"/>
    <w:rPr>
      <w:rFonts w:ascii="Verdana" w:eastAsia="Calibri" w:hAnsi="Verdana" w:cs="Calibri"/>
      <w:sz w:val="20"/>
      <w:lang w:val="es-MX"/>
    </w:rPr>
  </w:style>
  <w:style w:type="paragraph" w:styleId="Piedepgina">
    <w:name w:val="footer"/>
    <w:basedOn w:val="Normal"/>
    <w:link w:val="PiedepginaCar"/>
    <w:uiPriority w:val="99"/>
    <w:unhideWhenUsed/>
    <w:rsid w:val="009325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25EF"/>
    <w:rPr>
      <w:rFonts w:ascii="Verdana" w:eastAsia="Calibri" w:hAnsi="Verdana" w:cs="Calibri"/>
      <w:sz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C2726-E91C-423D-9B8A-F0F7114E5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2721</Words>
  <Characters>14969</Characters>
  <Application>Microsoft Office Word</Application>
  <DocSecurity>0</DocSecurity>
  <Lines>124</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2022-09-05T19:47:00Z</cp:lastPrinted>
  <dcterms:created xsi:type="dcterms:W3CDTF">2022-09-20T17:58:00Z</dcterms:created>
  <dcterms:modified xsi:type="dcterms:W3CDTF">2022-09-20T17:58:00Z</dcterms:modified>
</cp:coreProperties>
</file>