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4317" w14:textId="77777777" w:rsidR="00E15BE8" w:rsidRDefault="00E15BE8" w:rsidP="00E15BE8">
      <w:pPr>
        <w:tabs>
          <w:tab w:val="left" w:pos="567"/>
        </w:tabs>
        <w:spacing w:after="0" w:line="240" w:lineRule="auto"/>
        <w:jc w:val="center"/>
        <w:rPr>
          <w:b/>
          <w:szCs w:val="20"/>
          <w:lang w:val="es-CR"/>
        </w:rPr>
      </w:pPr>
      <w:bookmarkStart w:id="0" w:name="_Hlk112746811"/>
      <w:r>
        <w:rPr>
          <w:b/>
          <w:szCs w:val="20"/>
          <w:lang w:val="es-CR"/>
        </w:rPr>
        <w:t>RESOLUCIÓN DE LA</w:t>
      </w:r>
    </w:p>
    <w:p w14:paraId="25249842" w14:textId="77777777" w:rsidR="00E15BE8" w:rsidRDefault="00E15BE8" w:rsidP="00E15BE8">
      <w:pPr>
        <w:tabs>
          <w:tab w:val="left" w:pos="567"/>
        </w:tabs>
        <w:spacing w:after="0" w:line="240" w:lineRule="auto"/>
        <w:jc w:val="center"/>
        <w:rPr>
          <w:b/>
          <w:szCs w:val="20"/>
          <w:lang w:val="es-CR"/>
        </w:rPr>
      </w:pPr>
      <w:r>
        <w:rPr>
          <w:b/>
          <w:szCs w:val="20"/>
          <w:lang w:val="es-CR"/>
        </w:rPr>
        <w:t>CORTE INTERAMERICANA DE DERECHOS HUMANOS</w:t>
      </w:r>
    </w:p>
    <w:p w14:paraId="07F1D9B9" w14:textId="77777777" w:rsidR="00E15BE8" w:rsidRDefault="00E15BE8" w:rsidP="00E15BE8">
      <w:pPr>
        <w:tabs>
          <w:tab w:val="left" w:pos="567"/>
        </w:tabs>
        <w:spacing w:after="0" w:line="240" w:lineRule="auto"/>
        <w:jc w:val="center"/>
        <w:rPr>
          <w:b/>
          <w:szCs w:val="20"/>
          <w:lang w:val="es-CR"/>
        </w:rPr>
      </w:pPr>
    </w:p>
    <w:p w14:paraId="643A3518" w14:textId="525745E7" w:rsidR="00E15BE8" w:rsidRDefault="00E15BE8" w:rsidP="00E15BE8">
      <w:pPr>
        <w:tabs>
          <w:tab w:val="left" w:pos="567"/>
        </w:tabs>
        <w:spacing w:after="0" w:line="240" w:lineRule="auto"/>
        <w:jc w:val="center"/>
        <w:rPr>
          <w:b/>
          <w:szCs w:val="20"/>
          <w:lang w:val="es-CR"/>
        </w:rPr>
      </w:pPr>
      <w:r>
        <w:rPr>
          <w:b/>
          <w:szCs w:val="20"/>
          <w:lang w:val="es-CR"/>
        </w:rPr>
        <w:t xml:space="preserve">DE </w:t>
      </w:r>
      <w:r w:rsidR="00307DEB">
        <w:rPr>
          <w:b/>
          <w:szCs w:val="20"/>
          <w:lang w:val="es-CR"/>
        </w:rPr>
        <w:t>18</w:t>
      </w:r>
      <w:r>
        <w:rPr>
          <w:b/>
          <w:szCs w:val="20"/>
          <w:lang w:val="es-CR"/>
        </w:rPr>
        <w:t xml:space="preserve"> DE AGOSTO DE 2022</w:t>
      </w:r>
    </w:p>
    <w:p w14:paraId="2813BDF9" w14:textId="77777777" w:rsidR="00E15BE8" w:rsidRDefault="00E15BE8" w:rsidP="00E15BE8">
      <w:pPr>
        <w:tabs>
          <w:tab w:val="left" w:pos="567"/>
        </w:tabs>
        <w:spacing w:after="0" w:line="240" w:lineRule="auto"/>
        <w:jc w:val="center"/>
        <w:rPr>
          <w:b/>
          <w:szCs w:val="20"/>
          <w:lang w:val="es-CR"/>
        </w:rPr>
      </w:pPr>
    </w:p>
    <w:p w14:paraId="186BD4A6" w14:textId="093D5419" w:rsidR="00E15BE8" w:rsidRDefault="00E15BE8" w:rsidP="00E15BE8">
      <w:pPr>
        <w:tabs>
          <w:tab w:val="left" w:pos="567"/>
        </w:tabs>
        <w:spacing w:after="0" w:line="240" w:lineRule="auto"/>
        <w:jc w:val="center"/>
        <w:rPr>
          <w:szCs w:val="20"/>
          <w:lang w:val="pt-BR"/>
        </w:rPr>
      </w:pPr>
      <w:r w:rsidRPr="004E2216">
        <w:rPr>
          <w:b/>
          <w:szCs w:val="20"/>
          <w:lang w:val="es-CR"/>
        </w:rPr>
        <w:t xml:space="preserve">CASO PUEBLOS INDÍGENAS TAGAERI Y TAROMENANE VS. </w:t>
      </w:r>
      <w:r>
        <w:rPr>
          <w:b/>
          <w:szCs w:val="20"/>
          <w:lang w:val="pt-BR"/>
        </w:rPr>
        <w:t>ECUADOR</w:t>
      </w:r>
    </w:p>
    <w:p w14:paraId="7BC999F3" w14:textId="77777777" w:rsidR="00E15BE8" w:rsidRDefault="00E15BE8" w:rsidP="00E15BE8">
      <w:pPr>
        <w:tabs>
          <w:tab w:val="left" w:pos="567"/>
        </w:tabs>
        <w:spacing w:after="0" w:line="240" w:lineRule="auto"/>
        <w:rPr>
          <w:szCs w:val="20"/>
          <w:lang w:val="pt-BR"/>
        </w:rPr>
      </w:pPr>
    </w:p>
    <w:p w14:paraId="00240195" w14:textId="77777777" w:rsidR="00E15BE8" w:rsidRDefault="00E15BE8" w:rsidP="00E15BE8">
      <w:pPr>
        <w:tabs>
          <w:tab w:val="left" w:pos="567"/>
        </w:tabs>
        <w:spacing w:after="0" w:line="240" w:lineRule="auto"/>
        <w:rPr>
          <w:b/>
          <w:szCs w:val="20"/>
          <w:lang w:val="pt-BR"/>
        </w:rPr>
      </w:pPr>
      <w:r>
        <w:rPr>
          <w:b/>
          <w:szCs w:val="20"/>
          <w:lang w:val="pt-BR"/>
        </w:rPr>
        <w:t>VISTO:</w:t>
      </w:r>
    </w:p>
    <w:p w14:paraId="005D5FD0" w14:textId="48B05B64" w:rsidR="00E15BE8" w:rsidRDefault="004C79A6" w:rsidP="00E15BE8">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El escrito de sometimiento del caso y el Informe de Fondo de la Comisión Interamericana de Derechos Humanos (en adelante “la Comisión Interamericana” o “la Comisión”); los escritos de solicitudes, argumentos y pruebas (en adelante, </w:t>
      </w:r>
      <w:r w:rsidR="008257BA">
        <w:t xml:space="preserve">el </w:t>
      </w:r>
      <w:r>
        <w:t>“escrito de solicitudes y argumentos”) presentados, respectivamente por el interviniente común</w:t>
      </w:r>
      <w:r>
        <w:rPr>
          <w:rStyle w:val="Refdenotaalpie"/>
        </w:rPr>
        <w:footnoteReference w:id="1"/>
      </w:r>
      <w:r>
        <w:t xml:space="preserve"> y por la abogada Judith </w:t>
      </w:r>
      <w:proofErr w:type="spellStart"/>
      <w:r>
        <w:t>Kimerling</w:t>
      </w:r>
      <w:proofErr w:type="spellEnd"/>
      <w:r>
        <w:rPr>
          <w:rStyle w:val="Refdenotaalpie"/>
        </w:rPr>
        <w:footnoteReference w:id="2"/>
      </w:r>
      <w:r>
        <w:t>; el escrito de interposición de excepciones preliminares y de contestación al sometimiento del caso y al escrito de solicitudes y argumentos (en adelante “escrito de contestación”) del Estado de Ecuador (en adelante “Ecuador” o “el Estado”), así como los escritos de observaciones a las excepciones preliminares presentados por la Comisión y las dos representaciones.</w:t>
      </w:r>
    </w:p>
    <w:p w14:paraId="19316843" w14:textId="15442F6F" w:rsidR="00E15BE8" w:rsidRDefault="00E15BE8" w:rsidP="00E15BE8">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La Resolución del Presidente de la Corte Interamericana de Derechos Humanos (en adelante “la Corte Interamericana”, “la Corte” o “el Tribunal”) de </w:t>
      </w:r>
      <w:r w:rsidR="004C79A6">
        <w:t>19 de julio</w:t>
      </w:r>
      <w:r>
        <w:t xml:space="preserve"> de 2022 por medio de la cual, entre otros, se acordó convocar al Estado, </w:t>
      </w:r>
      <w:r w:rsidR="004C79A6">
        <w:t>a las representaciones de las presuntas víctimas</w:t>
      </w:r>
      <w:r>
        <w:t xml:space="preserve"> y la Comisión Interamericana a una audiencia pública sobre </w:t>
      </w:r>
      <w:r w:rsidR="00761DD0">
        <w:t>las excepciones preliminares y eventuales fondo, reparaciones y costas</w:t>
      </w:r>
      <w:r>
        <w:t xml:space="preserve"> que se celebrará de manera presencial en la </w:t>
      </w:r>
      <w:r w:rsidR="00761DD0">
        <w:t>ciudad de Brasilia, Brasil</w:t>
      </w:r>
      <w:r>
        <w:t xml:space="preserve"> durante el 1</w:t>
      </w:r>
      <w:r w:rsidR="00761DD0">
        <w:t>50</w:t>
      </w:r>
      <w:r w:rsidR="008257BA">
        <w:t>°</w:t>
      </w:r>
      <w:r>
        <w:t xml:space="preserve"> Período Ordinario de Sesiones </w:t>
      </w:r>
      <w:r w:rsidR="00761DD0">
        <w:t>el día 23 de agosto de 2020</w:t>
      </w:r>
      <w:r>
        <w:t xml:space="preserve">, para recibir sus alegatos y observaciones finales orales, así como las declaraciones de </w:t>
      </w:r>
      <w:r w:rsidR="00761DD0">
        <w:t>una presunta víctima</w:t>
      </w:r>
      <w:r w:rsidR="00E33B67">
        <w:rPr>
          <w:rStyle w:val="Refdenotaalpie"/>
        </w:rPr>
        <w:footnoteReference w:id="3"/>
      </w:r>
      <w:r w:rsidR="00761DD0">
        <w:t xml:space="preserve">, un testigo propuesto por la representante </w:t>
      </w:r>
      <w:proofErr w:type="spellStart"/>
      <w:r w:rsidR="00761DD0">
        <w:t>Kimerling</w:t>
      </w:r>
      <w:proofErr w:type="spellEnd"/>
      <w:r w:rsidR="00E33B67">
        <w:rPr>
          <w:rStyle w:val="Refdenotaalpie"/>
        </w:rPr>
        <w:footnoteReference w:id="4"/>
      </w:r>
      <w:r w:rsidR="00761DD0">
        <w:t>, un testigo propuesto por el Estado</w:t>
      </w:r>
      <w:r w:rsidR="00E33B67">
        <w:rPr>
          <w:rStyle w:val="Refdenotaalpie"/>
        </w:rPr>
        <w:footnoteReference w:id="5"/>
      </w:r>
      <w:r w:rsidR="00761DD0">
        <w:t>, una perita propuesta por el interviniente común</w:t>
      </w:r>
      <w:r w:rsidR="00E33B67">
        <w:rPr>
          <w:rStyle w:val="Refdenotaalpie"/>
        </w:rPr>
        <w:footnoteReference w:id="6"/>
      </w:r>
      <w:r w:rsidR="00761DD0">
        <w:t xml:space="preserve"> y un perito propuesto por la Comisión</w:t>
      </w:r>
      <w:r w:rsidR="00E33B67">
        <w:rPr>
          <w:rStyle w:val="Refdenotaalpie"/>
        </w:rPr>
        <w:footnoteReference w:id="7"/>
      </w:r>
      <w:r w:rsidR="00761DD0">
        <w:t>.</w:t>
      </w:r>
    </w:p>
    <w:p w14:paraId="17798EF3" w14:textId="49F992EA" w:rsidR="00E15BE8" w:rsidRPr="0039450E" w:rsidRDefault="00E15BE8" w:rsidP="00E15BE8">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El escrito de </w:t>
      </w:r>
      <w:r w:rsidR="0039450E">
        <w:t>3 de agosto de 2022</w:t>
      </w:r>
      <w:r>
        <w:t xml:space="preserve">, por medio del cual </w:t>
      </w:r>
      <w:r w:rsidR="0039450E">
        <w:t xml:space="preserve">el interviniente común solicitó a la Corte que reconsiderada la modalidad de la declaración de la testigo Alicia </w:t>
      </w:r>
      <w:proofErr w:type="spellStart"/>
      <w:r w:rsidR="0039450E">
        <w:t>Cahuiya</w:t>
      </w:r>
      <w:proofErr w:type="spellEnd"/>
      <w:r w:rsidR="0039450E">
        <w:t xml:space="preserve">, convocada a declarar por affidávit por medio de la Resolución del </w:t>
      </w:r>
      <w:proofErr w:type="gramStart"/>
      <w:r w:rsidR="0039450E">
        <w:t>Presidente</w:t>
      </w:r>
      <w:proofErr w:type="gramEnd"/>
      <w:r w:rsidR="0039450E">
        <w:t xml:space="preserve"> de la Corte Interamericana de 19 de julio de 2022, para que declare durante la audiencia pública.</w:t>
      </w:r>
    </w:p>
    <w:p w14:paraId="0685FD05" w14:textId="1E622242" w:rsidR="0039450E" w:rsidRDefault="0039450E" w:rsidP="00E15BE8">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rPr>
          <w:lang w:val="es-CR"/>
        </w:rPr>
        <w:t xml:space="preserve">El escrito de 5 de agosto de 2022, recibido el 9 de agosto de 2022, por medio del cual el Estado presentó recurso en contra de la Resolución del </w:t>
      </w:r>
      <w:proofErr w:type="gramStart"/>
      <w:r>
        <w:rPr>
          <w:lang w:val="es-CR"/>
        </w:rPr>
        <w:t>Presidente</w:t>
      </w:r>
      <w:proofErr w:type="gramEnd"/>
      <w:r>
        <w:rPr>
          <w:lang w:val="es-CR"/>
        </w:rPr>
        <w:t xml:space="preserve"> de la Corte de 19 de julio de 2022, en donde solicitó que se aceptara la sustitución de la </w:t>
      </w:r>
      <w:r w:rsidR="00EC6D74">
        <w:rPr>
          <w:lang w:val="es-CR"/>
        </w:rPr>
        <w:t>perita Mar</w:t>
      </w:r>
      <w:r w:rsidR="00E648D6">
        <w:rPr>
          <w:lang w:val="es-CR"/>
        </w:rPr>
        <w:t>í</w:t>
      </w:r>
      <w:r w:rsidR="00EC6D74">
        <w:rPr>
          <w:lang w:val="es-CR"/>
        </w:rPr>
        <w:t>a Belén Baus</w:t>
      </w:r>
      <w:r>
        <w:rPr>
          <w:lang w:val="es-CR"/>
        </w:rPr>
        <w:t xml:space="preserve"> propuesta por el Estado, que se rechazara el cambio de la modalidad de la </w:t>
      </w:r>
      <w:bookmarkEnd w:id="0"/>
      <w:r>
        <w:rPr>
          <w:lang w:val="es-CR"/>
        </w:rPr>
        <w:lastRenderedPageBreak/>
        <w:t>declaración del declarante Roberto Narváez</w:t>
      </w:r>
      <w:r w:rsidR="00CF1713">
        <w:rPr>
          <w:lang w:val="es-CR"/>
        </w:rPr>
        <w:t xml:space="preserve">, así como la recepción de los peritajes de Paola Maldonado Tobar y Victoria </w:t>
      </w:r>
      <w:proofErr w:type="spellStart"/>
      <w:r w:rsidR="00CF1713">
        <w:rPr>
          <w:lang w:val="es-CR"/>
        </w:rPr>
        <w:t>Tauli</w:t>
      </w:r>
      <w:proofErr w:type="spellEnd"/>
      <w:r w:rsidR="00CF1713">
        <w:rPr>
          <w:lang w:val="es-CR"/>
        </w:rPr>
        <w:t xml:space="preserve"> </w:t>
      </w:r>
      <w:proofErr w:type="spellStart"/>
      <w:r w:rsidR="00CF1713">
        <w:rPr>
          <w:lang w:val="es-CR"/>
        </w:rPr>
        <w:t>Corpuz</w:t>
      </w:r>
      <w:proofErr w:type="spellEnd"/>
      <w:r w:rsidR="00CF1713">
        <w:rPr>
          <w:lang w:val="es-CR"/>
        </w:rPr>
        <w:t xml:space="preserve">. Asimismo, solicitó que se recibiera la declaración de la presunta víctima </w:t>
      </w:r>
      <w:proofErr w:type="spellStart"/>
      <w:r w:rsidR="00CF1713">
        <w:rPr>
          <w:lang w:val="es-CR"/>
        </w:rPr>
        <w:t>Tewe</w:t>
      </w:r>
      <w:proofErr w:type="spellEnd"/>
      <w:r w:rsidR="00CF1713">
        <w:rPr>
          <w:lang w:val="es-CR"/>
        </w:rPr>
        <w:t xml:space="preserve"> Dayuma Michela Conta durante la audiencia ya sea de forma presencial o por videoconferencia.</w:t>
      </w:r>
    </w:p>
    <w:p w14:paraId="2D6DAC18" w14:textId="47E904AC" w:rsidR="00E15BE8" w:rsidRDefault="00E15BE8" w:rsidP="00E15BE8">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La nota de Secretaría de </w:t>
      </w:r>
      <w:r w:rsidR="00CF1713">
        <w:t>9 de agosto</w:t>
      </w:r>
      <w:r>
        <w:t xml:space="preserve"> de 2022, por medio de la cual se dio traslado </w:t>
      </w:r>
      <w:r w:rsidR="00CF1713">
        <w:t>a las partes</w:t>
      </w:r>
      <w:r>
        <w:t xml:space="preserve"> y a la Comisión Interamericana </w:t>
      </w:r>
      <w:r w:rsidR="00CF1713">
        <w:t>de los recursos</w:t>
      </w:r>
      <w:r>
        <w:t xml:space="preserve"> planteado</w:t>
      </w:r>
      <w:r w:rsidR="00CF1713">
        <w:t>s</w:t>
      </w:r>
      <w:r>
        <w:t xml:space="preserve"> por</w:t>
      </w:r>
      <w:r w:rsidR="00CF1713">
        <w:t xml:space="preserve"> el interviniente común y por</w:t>
      </w:r>
      <w:r>
        <w:t xml:space="preserve"> el Estado, otorgándoles plazo hasta el </w:t>
      </w:r>
      <w:r w:rsidR="00CF1713">
        <w:t>11 de agosto</w:t>
      </w:r>
      <w:r>
        <w:t xml:space="preserve"> de 2022 para que remitieran las observaciones pertinentes.</w:t>
      </w:r>
    </w:p>
    <w:p w14:paraId="636FDA02" w14:textId="3F9DB30F" w:rsidR="00E15BE8" w:rsidRDefault="00CF1713" w:rsidP="00E15BE8">
      <w:pPr>
        <w:widowControl w:val="0"/>
        <w:numPr>
          <w:ilvl w:val="0"/>
          <w:numId w:val="1"/>
        </w:numPr>
        <w:tabs>
          <w:tab w:val="left" w:pos="567"/>
        </w:tabs>
        <w:autoSpaceDE w:val="0"/>
        <w:autoSpaceDN w:val="0"/>
        <w:adjustRightInd w:val="0"/>
        <w:spacing w:before="240" w:after="240" w:line="240" w:lineRule="auto"/>
        <w:ind w:left="0" w:right="22" w:firstLine="0"/>
        <w:jc w:val="both"/>
        <w:rPr>
          <w:b/>
          <w:lang w:val="es-CR"/>
        </w:rPr>
      </w:pPr>
      <w:r>
        <w:rPr>
          <w:lang w:val="es-CR"/>
        </w:rPr>
        <w:t>La</w:t>
      </w:r>
      <w:r w:rsidR="00657B80">
        <w:rPr>
          <w:lang w:val="es-CR"/>
        </w:rPr>
        <w:t>s</w:t>
      </w:r>
      <w:r>
        <w:rPr>
          <w:lang w:val="es-CR"/>
        </w:rPr>
        <w:t xml:space="preserve"> comunicaci</w:t>
      </w:r>
      <w:r w:rsidR="00657B80">
        <w:rPr>
          <w:lang w:val="es-CR"/>
        </w:rPr>
        <w:t>ones</w:t>
      </w:r>
      <w:r>
        <w:rPr>
          <w:lang w:val="es-CR"/>
        </w:rPr>
        <w:t xml:space="preserve"> de 11 de agosto de 2022 por medio de la</w:t>
      </w:r>
      <w:r w:rsidR="00657B80">
        <w:rPr>
          <w:lang w:val="es-CR"/>
        </w:rPr>
        <w:t>s</w:t>
      </w:r>
      <w:r>
        <w:rPr>
          <w:lang w:val="es-CR"/>
        </w:rPr>
        <w:t xml:space="preserve"> cual</w:t>
      </w:r>
      <w:r w:rsidR="00657B80">
        <w:rPr>
          <w:lang w:val="es-CR"/>
        </w:rPr>
        <w:t>es</w:t>
      </w:r>
      <w:r>
        <w:rPr>
          <w:lang w:val="es-CR"/>
        </w:rPr>
        <w:t xml:space="preserve"> la representa</w:t>
      </w:r>
      <w:r w:rsidR="00657B80">
        <w:rPr>
          <w:lang w:val="es-CR"/>
        </w:rPr>
        <w:t>ción</w:t>
      </w:r>
      <w:r>
        <w:rPr>
          <w:lang w:val="es-CR"/>
        </w:rPr>
        <w:t xml:space="preserve"> de </w:t>
      </w:r>
      <w:proofErr w:type="spellStart"/>
      <w:r>
        <w:rPr>
          <w:lang w:val="es-CR"/>
        </w:rPr>
        <w:t>Tewe</w:t>
      </w:r>
      <w:proofErr w:type="spellEnd"/>
      <w:r>
        <w:rPr>
          <w:lang w:val="es-CR"/>
        </w:rPr>
        <w:t xml:space="preserve"> Dayuma </w:t>
      </w:r>
      <w:r w:rsidR="00A82F34">
        <w:rPr>
          <w:lang w:val="es-CR"/>
        </w:rPr>
        <w:t xml:space="preserve">Michela </w:t>
      </w:r>
      <w:r>
        <w:rPr>
          <w:lang w:val="es-CR"/>
        </w:rPr>
        <w:t>Conta</w:t>
      </w:r>
      <w:r w:rsidR="00657B80">
        <w:rPr>
          <w:lang w:val="es-CR"/>
        </w:rPr>
        <w:t>, el interviniente común y la Comisión presentaron</w:t>
      </w:r>
      <w:r>
        <w:rPr>
          <w:lang w:val="es-CR"/>
        </w:rPr>
        <w:t xml:space="preserve"> sus observaciones</w:t>
      </w:r>
      <w:r w:rsidR="00E15BE8">
        <w:rPr>
          <w:lang w:val="es-CR"/>
        </w:rPr>
        <w:t>.</w:t>
      </w:r>
      <w:r>
        <w:rPr>
          <w:lang w:val="es-CR"/>
        </w:rPr>
        <w:t xml:space="preserve"> El Estado no presentó observaciones.</w:t>
      </w:r>
    </w:p>
    <w:p w14:paraId="550B611B" w14:textId="77777777" w:rsidR="00E15BE8" w:rsidRDefault="00E15BE8" w:rsidP="00E15BE8">
      <w:pPr>
        <w:tabs>
          <w:tab w:val="left" w:pos="567"/>
        </w:tabs>
        <w:spacing w:after="0" w:line="240" w:lineRule="auto"/>
        <w:rPr>
          <w:b/>
          <w:szCs w:val="20"/>
          <w:lang w:val="es-CR"/>
        </w:rPr>
      </w:pPr>
      <w:r>
        <w:rPr>
          <w:b/>
          <w:szCs w:val="20"/>
          <w:lang w:val="es-CR"/>
        </w:rPr>
        <w:t>CONSIDERANDO QUE:</w:t>
      </w:r>
    </w:p>
    <w:p w14:paraId="3099359B" w14:textId="77777777" w:rsidR="00E15BE8"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Las decisiones de la Presidencia de la Corte que no sean de mero trámite son recurribles ante la Corte Interamericana de Derechos Humanos, en los términos del artículo 31.2 del Reglamento de este Tribunal (en adelante “el Reglamento”). El ofrecimiento y la admisión de la prueba, así como la citación de testigos y peritos se encuentran regulados en los artículos 35.1.f, 40.2.c, 41.1.c, 46 a 50, 52.3, 57 y 58 del Reglamento.</w:t>
      </w:r>
    </w:p>
    <w:p w14:paraId="6B94FBDE" w14:textId="68C998E8" w:rsidR="00A82F34" w:rsidRPr="00A82F34"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A continuación, el Tribunal procederá a </w:t>
      </w:r>
      <w:r w:rsidR="00EB3797">
        <w:t xml:space="preserve">examinar las solicitudes presentadas por el interviniente común y por el Estado en el siguiente orden: A) La modalidad de la recepción de la declaración de Alicia </w:t>
      </w:r>
      <w:proofErr w:type="spellStart"/>
      <w:r w:rsidR="00EB3797">
        <w:t>Cahuiya</w:t>
      </w:r>
      <w:proofErr w:type="spellEnd"/>
      <w:r w:rsidR="00EB3797">
        <w:t xml:space="preserve">; B) El rechazo a la sustitución de la perita María Belén Baus; C) El cambio de </w:t>
      </w:r>
      <w:r w:rsidR="001D3F73">
        <w:t>la modalidad</w:t>
      </w:r>
      <w:r w:rsidR="00EB3797">
        <w:t xml:space="preserve"> de la declaración del Roberto Narváez; D) Las recusaciones a las peritas Paola Maldonado Tobar y Victoria</w:t>
      </w:r>
      <w:r w:rsidR="00EC6D74">
        <w:t xml:space="preserve"> </w:t>
      </w:r>
      <w:proofErr w:type="spellStart"/>
      <w:r w:rsidR="00EB3797">
        <w:t>Tauli</w:t>
      </w:r>
      <w:proofErr w:type="spellEnd"/>
      <w:r w:rsidR="00EB3797">
        <w:t xml:space="preserve"> </w:t>
      </w:r>
      <w:proofErr w:type="spellStart"/>
      <w:r w:rsidR="00EB3797">
        <w:t>Corpuz</w:t>
      </w:r>
      <w:proofErr w:type="spellEnd"/>
      <w:r w:rsidR="00EB3797">
        <w:t xml:space="preserve"> y E) la modalidad de la recepción de la declaración de </w:t>
      </w:r>
      <w:proofErr w:type="spellStart"/>
      <w:r w:rsidR="00EB3797">
        <w:t>Tewe</w:t>
      </w:r>
      <w:proofErr w:type="spellEnd"/>
      <w:r w:rsidR="00EB3797">
        <w:t xml:space="preserve"> Dayuma Michela Conta</w:t>
      </w:r>
      <w:r w:rsidR="00A82F34">
        <w:t>.</w:t>
      </w:r>
    </w:p>
    <w:p w14:paraId="00AA4B43" w14:textId="29BB3C52" w:rsidR="00E15BE8" w:rsidRDefault="00A82F34" w:rsidP="00A82F34">
      <w:pPr>
        <w:widowControl w:val="0"/>
        <w:tabs>
          <w:tab w:val="left" w:pos="567"/>
          <w:tab w:val="left" w:pos="810"/>
        </w:tabs>
        <w:autoSpaceDE w:val="0"/>
        <w:autoSpaceDN w:val="0"/>
        <w:adjustRightInd w:val="0"/>
        <w:spacing w:before="240" w:after="240" w:line="240" w:lineRule="auto"/>
        <w:ind w:right="22"/>
        <w:jc w:val="both"/>
        <w:rPr>
          <w:rFonts w:eastAsia="Times New Roman"/>
          <w:lang w:val="es-CL"/>
        </w:rPr>
      </w:pPr>
      <w:r>
        <w:rPr>
          <w:b/>
          <w:bCs/>
          <w:i/>
          <w:iCs/>
        </w:rPr>
        <w:t xml:space="preserve">A. La modalidad de la declaración de Alicia </w:t>
      </w:r>
      <w:proofErr w:type="spellStart"/>
      <w:r>
        <w:rPr>
          <w:b/>
          <w:bCs/>
          <w:i/>
          <w:iCs/>
        </w:rPr>
        <w:t>Cahuiya</w:t>
      </w:r>
      <w:proofErr w:type="spellEnd"/>
      <w:r w:rsidR="00E15BE8">
        <w:t xml:space="preserve"> </w:t>
      </w:r>
    </w:p>
    <w:p w14:paraId="2015F58D" w14:textId="615C0F6F" w:rsidR="00E15BE8"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En virtud de</w:t>
      </w:r>
      <w:r w:rsidR="00A82F34">
        <w:rPr>
          <w:rFonts w:eastAsia="Times New Roman"/>
          <w:lang w:val="es-CL"/>
        </w:rPr>
        <w:t>l punto resolutivo 4.A) de</w:t>
      </w:r>
      <w:r>
        <w:rPr>
          <w:rFonts w:eastAsia="Times New Roman"/>
          <w:lang w:val="es-CL"/>
        </w:rPr>
        <w:t xml:space="preserve"> la Resolución del </w:t>
      </w:r>
      <w:proofErr w:type="gramStart"/>
      <w:r>
        <w:rPr>
          <w:rFonts w:eastAsia="Times New Roman"/>
          <w:lang w:val="es-CL"/>
        </w:rPr>
        <w:t>Presidente</w:t>
      </w:r>
      <w:proofErr w:type="gramEnd"/>
      <w:r>
        <w:rPr>
          <w:rFonts w:eastAsia="Times New Roman"/>
          <w:lang w:val="es-CL"/>
        </w:rPr>
        <w:t xml:space="preserve"> de </w:t>
      </w:r>
      <w:r w:rsidR="00A82F34">
        <w:rPr>
          <w:rFonts w:eastAsia="Times New Roman"/>
          <w:lang w:val="es-CL"/>
        </w:rPr>
        <w:t>19 de julio</w:t>
      </w:r>
      <w:r>
        <w:rPr>
          <w:rFonts w:eastAsia="Times New Roman"/>
          <w:lang w:val="es-CL"/>
        </w:rPr>
        <w:t xml:space="preserve"> de 2022, se admitió </w:t>
      </w:r>
      <w:r w:rsidR="00A82F34">
        <w:rPr>
          <w:rFonts w:eastAsia="Times New Roman"/>
          <w:lang w:val="es-CL"/>
        </w:rPr>
        <w:t xml:space="preserve">la declaración de Alicia </w:t>
      </w:r>
      <w:proofErr w:type="spellStart"/>
      <w:r w:rsidR="00A82F34">
        <w:rPr>
          <w:rFonts w:eastAsia="Times New Roman"/>
          <w:lang w:val="es-CL"/>
        </w:rPr>
        <w:t>Cahuiya</w:t>
      </w:r>
      <w:proofErr w:type="spellEnd"/>
      <w:r w:rsidR="00A82F34">
        <w:rPr>
          <w:rFonts w:eastAsia="Times New Roman"/>
          <w:lang w:val="es-CL"/>
        </w:rPr>
        <w:t xml:space="preserve"> ante fedatario público.</w:t>
      </w:r>
    </w:p>
    <w:p w14:paraId="0579DC26" w14:textId="2846738E" w:rsidR="00E15BE8"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El </w:t>
      </w:r>
      <w:r w:rsidR="00A82F34">
        <w:rPr>
          <w:b/>
          <w:bCs/>
          <w:i/>
          <w:iCs/>
          <w:lang w:val="es-CR"/>
        </w:rPr>
        <w:t>interviniente común</w:t>
      </w:r>
      <w:r>
        <w:rPr>
          <w:lang w:val="es-CR"/>
        </w:rPr>
        <w:t xml:space="preserve"> solicitó la reconsideración de la admisión de la declaración testimonial de </w:t>
      </w:r>
      <w:r w:rsidR="00A82F34">
        <w:rPr>
          <w:lang w:val="es-CR"/>
        </w:rPr>
        <w:t>Alicia Cahuita</w:t>
      </w:r>
      <w:r>
        <w:rPr>
          <w:lang w:val="es-CR"/>
        </w:rPr>
        <w:t xml:space="preserve"> ante fedatario público y solicitó que ésta fuera recibida en audiencia. Alegó que </w:t>
      </w:r>
      <w:r w:rsidR="00A82F34">
        <w:rPr>
          <w:lang w:val="es-CR"/>
        </w:rPr>
        <w:t xml:space="preserve">la testigo “es una importante lideresa de la Nacionalidad </w:t>
      </w:r>
      <w:proofErr w:type="spellStart"/>
      <w:r w:rsidR="00A82F34">
        <w:rPr>
          <w:lang w:val="es-CR"/>
        </w:rPr>
        <w:t>Waorani</w:t>
      </w:r>
      <w:proofErr w:type="spellEnd"/>
      <w:r w:rsidR="00A82F34">
        <w:rPr>
          <w:lang w:val="es-CR"/>
        </w:rPr>
        <w:t xml:space="preserve">, miembro de la Asociación de Mujeres </w:t>
      </w:r>
      <w:proofErr w:type="spellStart"/>
      <w:r w:rsidR="00A82F34">
        <w:rPr>
          <w:lang w:val="es-CR"/>
        </w:rPr>
        <w:t>Waorani</w:t>
      </w:r>
      <w:proofErr w:type="spellEnd"/>
      <w:r w:rsidR="00A82F34">
        <w:rPr>
          <w:lang w:val="es-CR"/>
        </w:rPr>
        <w:t xml:space="preserve"> del Ecuador (AMWAE) que ha tenido un rol fundamental en la protección de las niñas </w:t>
      </w:r>
      <w:proofErr w:type="spellStart"/>
      <w:r w:rsidR="00A82F34">
        <w:rPr>
          <w:lang w:val="es-CR"/>
        </w:rPr>
        <w:t>Daboka</w:t>
      </w:r>
      <w:proofErr w:type="spellEnd"/>
      <w:r w:rsidR="00A82F34">
        <w:rPr>
          <w:lang w:val="es-CR"/>
        </w:rPr>
        <w:t xml:space="preserve"> y Conta, así como en difundir la cultura de paz y el rol activo de sus comunidades en la protección de los pueblos aislados del Yasuní dentro del mundo </w:t>
      </w:r>
      <w:proofErr w:type="spellStart"/>
      <w:r w:rsidR="00A82F34">
        <w:rPr>
          <w:lang w:val="es-CR"/>
        </w:rPr>
        <w:t>Waorani</w:t>
      </w:r>
      <w:proofErr w:type="spellEnd"/>
      <w:r w:rsidR="00A82F34">
        <w:rPr>
          <w:lang w:val="es-CR"/>
        </w:rPr>
        <w:t xml:space="preserve">” y que “Alicia </w:t>
      </w:r>
      <w:proofErr w:type="spellStart"/>
      <w:r w:rsidR="00A82F34">
        <w:rPr>
          <w:lang w:val="es-CR"/>
        </w:rPr>
        <w:t>Cahuiya</w:t>
      </w:r>
      <w:proofErr w:type="spellEnd"/>
      <w:r w:rsidR="00A82F34">
        <w:rPr>
          <w:lang w:val="es-CR"/>
        </w:rPr>
        <w:t xml:space="preserve"> ha sido la voz más importante de la nacionalidad </w:t>
      </w:r>
      <w:proofErr w:type="spellStart"/>
      <w:r w:rsidR="00A82F34">
        <w:rPr>
          <w:lang w:val="es-CR"/>
        </w:rPr>
        <w:t>Waorani</w:t>
      </w:r>
      <w:proofErr w:type="spellEnd"/>
      <w:r w:rsidR="00A82F34">
        <w:rPr>
          <w:lang w:val="es-CR"/>
        </w:rPr>
        <w:t xml:space="preserve"> en defensa de los Tagaeri y </w:t>
      </w:r>
      <w:proofErr w:type="spellStart"/>
      <w:r w:rsidR="00A82F34">
        <w:rPr>
          <w:lang w:val="es-CR"/>
        </w:rPr>
        <w:t>Taromenane</w:t>
      </w:r>
      <w:proofErr w:type="spellEnd"/>
      <w:r w:rsidR="00A82F34">
        <w:rPr>
          <w:lang w:val="es-CR"/>
        </w:rPr>
        <w:t xml:space="preserve"> en foros nacionales e internacionales</w:t>
      </w:r>
      <w:r w:rsidR="00356D03">
        <w:rPr>
          <w:lang w:val="es-CR"/>
        </w:rPr>
        <w:t xml:space="preserve">”. Agregaron que “es ajeno a la práctica procesal de la Corte el que la representación de las presuntas víctimas no pueda presentar un testigo en la audiencia, más aún cuando la testigo es la voz de las víctimas del caso”. </w:t>
      </w:r>
    </w:p>
    <w:p w14:paraId="12304C2A" w14:textId="69FE83F4" w:rsidR="00E15BE8" w:rsidRDefault="00356D03"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No se presentaron observaciones a esta solicitud.</w:t>
      </w:r>
    </w:p>
    <w:p w14:paraId="61E6AFC0" w14:textId="42B54CE7" w:rsidR="00E15BE8"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En primer lugar, la </w:t>
      </w:r>
      <w:r>
        <w:rPr>
          <w:b/>
          <w:bCs/>
          <w:i/>
          <w:iCs/>
          <w:lang w:val="es-CR"/>
        </w:rPr>
        <w:t>Corte</w:t>
      </w:r>
      <w:r>
        <w:rPr>
          <w:lang w:val="es-CR"/>
        </w:rPr>
        <w:t xml:space="preserve"> destaca que posee amplias facultades en cuanto a la admisión y modalidad de recepción de la prueba, de conformidad con los artículos 46, </w:t>
      </w:r>
      <w:r>
        <w:rPr>
          <w:lang w:val="es-CR"/>
        </w:rPr>
        <w:lastRenderedPageBreak/>
        <w:t>48, 49, 50, 57 y 58 del Reglamento</w:t>
      </w:r>
      <w:r>
        <w:rPr>
          <w:rStyle w:val="Refdenotaalpie"/>
          <w:lang w:val="es-CR"/>
        </w:rPr>
        <w:footnoteReference w:id="8"/>
      </w:r>
      <w:r>
        <w:rPr>
          <w:lang w:val="es-CR"/>
        </w:rPr>
        <w:t>, atendiendo en todo caso al principio de economía procesal, al equilibrio procesal y al derecho de defensa</w:t>
      </w:r>
      <w:r>
        <w:rPr>
          <w:rStyle w:val="Refdenotaalpie"/>
          <w:lang w:val="es-CR"/>
        </w:rPr>
        <w:footnoteReference w:id="9"/>
      </w:r>
      <w:r>
        <w:rPr>
          <w:lang w:val="es-CR"/>
        </w:rPr>
        <w:t xml:space="preserve">. Asimismo, la Corte advierte la importancia que, para la parte que lo propone, representa el testimonio de </w:t>
      </w:r>
      <w:r w:rsidR="00356D03">
        <w:rPr>
          <w:lang w:val="es-CR"/>
        </w:rPr>
        <w:t xml:space="preserve">Alicia </w:t>
      </w:r>
      <w:proofErr w:type="spellStart"/>
      <w:r w:rsidR="00356D03">
        <w:rPr>
          <w:lang w:val="es-CR"/>
        </w:rPr>
        <w:t>Cahuiya</w:t>
      </w:r>
      <w:proofErr w:type="spellEnd"/>
      <w:r>
        <w:rPr>
          <w:lang w:val="es-CR"/>
        </w:rPr>
        <w:t xml:space="preserve">, al igual que el resto de la prueba ofrecida por quienes intervienen en el proceso. En tal sentido, los distintos elementos señalados por el </w:t>
      </w:r>
      <w:r w:rsidR="00356D03">
        <w:rPr>
          <w:lang w:val="es-CR"/>
        </w:rPr>
        <w:t>interviniente común</w:t>
      </w:r>
      <w:r>
        <w:rPr>
          <w:lang w:val="es-CR"/>
        </w:rPr>
        <w:t xml:space="preserve"> pueden ser adecuadamente desarrollados por la testigo en su declaración ante fedatario público.</w:t>
      </w:r>
    </w:p>
    <w:p w14:paraId="5F01088E" w14:textId="5DD450D3" w:rsidR="0056372B" w:rsidRPr="00732ED6"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De esa cuenta, la decisión de no acceder a lo solicitado no afecta el equilibrio procesal entre las partes intervinientes</w:t>
      </w:r>
      <w:r w:rsidR="0056372B">
        <w:rPr>
          <w:lang w:val="es-CR"/>
        </w:rPr>
        <w:t xml:space="preserve"> ni la posibilidad de que la testigo presente su testimonio</w:t>
      </w:r>
      <w:r>
        <w:rPr>
          <w:lang w:val="es-CR"/>
        </w:rPr>
        <w:t>, en tanto la referida declaración fue admitida y será debidamente valorada en su oportunidad.</w:t>
      </w:r>
      <w:r w:rsidR="00EE210E">
        <w:rPr>
          <w:lang w:val="es-CR"/>
        </w:rPr>
        <w:t xml:space="preserve"> </w:t>
      </w:r>
      <w:r w:rsidR="00EE210E">
        <w:t>En todo caso, la Corte recuerda que es una de sus facultades inherentes determinar la forma en que debe ser diligenciada la prueba, atendiendo siempre, precisamente, al principio de economía procesal, al equilibrio procesal y al derecho de defensa</w:t>
      </w:r>
      <w:r w:rsidR="00EE210E">
        <w:rPr>
          <w:rStyle w:val="Refdenotaalpie"/>
        </w:rPr>
        <w:footnoteReference w:id="10"/>
      </w:r>
      <w:r w:rsidR="00EE210E">
        <w:t>.</w:t>
      </w:r>
    </w:p>
    <w:p w14:paraId="352DA5F0" w14:textId="7AFB6B6B" w:rsidR="00732ED6" w:rsidRPr="000053F7" w:rsidRDefault="00732ED6"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Por otra parte</w:t>
      </w:r>
      <w:r w:rsidR="00EE25BB">
        <w:t>, esta Corte</w:t>
      </w:r>
      <w:r w:rsidR="00A51B97">
        <w:t xml:space="preserve"> recuerda que existe una solicitud de visita al territorio ancestral Tagaeri </w:t>
      </w:r>
      <w:proofErr w:type="spellStart"/>
      <w:r w:rsidR="00A51B97">
        <w:t>Bameno</w:t>
      </w:r>
      <w:proofErr w:type="spellEnd"/>
      <w:r w:rsidR="00A51B97">
        <w:t>, sobre la cual</w:t>
      </w:r>
      <w:r w:rsidR="00BD0A4E">
        <w:t>,</w:t>
      </w:r>
      <w:r w:rsidR="00A51B97">
        <w:t xml:space="preserve"> en virtud de lo establecido en la Resolución del 19 de julio</w:t>
      </w:r>
      <w:r w:rsidR="00BD0A4E">
        <w:t xml:space="preserve"> de 2022 de la Corte, se dispuso que esta Corte evaluará su utilidad y su necesidad posteriormente a la audiencia. En caso de realizarse, esta visita podría ser también la oportunidad para recabar </w:t>
      </w:r>
      <w:r w:rsidR="009732D1">
        <w:t>declaraciones, que complementen aquellas presentadas por affidávit en el marco del presente caso.</w:t>
      </w:r>
    </w:p>
    <w:p w14:paraId="637A69D5" w14:textId="6D308835" w:rsidR="000053F7" w:rsidRPr="0056372B" w:rsidRDefault="000053F7"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Por consiguiente, </w:t>
      </w:r>
      <w:r w:rsidR="00092055">
        <w:rPr>
          <w:lang w:val="es-CR"/>
        </w:rPr>
        <w:t xml:space="preserve">esta Corte decide rechazar la solicitud de reconsideración del interviniente común y mantener la modalidad de recepción de la declaración de la testigo Alicia </w:t>
      </w:r>
      <w:proofErr w:type="spellStart"/>
      <w:r w:rsidR="00092055">
        <w:rPr>
          <w:lang w:val="es-CR"/>
        </w:rPr>
        <w:t>Cahuiya</w:t>
      </w:r>
      <w:proofErr w:type="spellEnd"/>
      <w:r w:rsidR="00092055">
        <w:rPr>
          <w:lang w:val="es-CR"/>
        </w:rPr>
        <w:t xml:space="preserve"> establecida por el punto resolutivo 4.</w:t>
      </w:r>
      <w:r w:rsidR="00EC6D74">
        <w:rPr>
          <w:lang w:val="es-CR"/>
        </w:rPr>
        <w:t>A</w:t>
      </w:r>
      <w:r w:rsidR="00092055">
        <w:rPr>
          <w:lang w:val="es-CR"/>
        </w:rPr>
        <w:t xml:space="preserve">) de la Resolución del </w:t>
      </w:r>
      <w:proofErr w:type="gramStart"/>
      <w:r w:rsidR="00092055">
        <w:rPr>
          <w:lang w:val="es-CR"/>
        </w:rPr>
        <w:t>Presidente</w:t>
      </w:r>
      <w:proofErr w:type="gramEnd"/>
      <w:r w:rsidR="00092055">
        <w:rPr>
          <w:lang w:val="es-CR"/>
        </w:rPr>
        <w:t xml:space="preserve"> de la Corte de 19 de julio de 2022.</w:t>
      </w:r>
    </w:p>
    <w:p w14:paraId="462CBFAE" w14:textId="17BC2AEB" w:rsidR="0056372B" w:rsidRPr="0056372B" w:rsidRDefault="0056372B" w:rsidP="0056372B">
      <w:pPr>
        <w:widowControl w:val="0"/>
        <w:tabs>
          <w:tab w:val="left" w:pos="567"/>
          <w:tab w:val="left" w:pos="810"/>
        </w:tabs>
        <w:autoSpaceDE w:val="0"/>
        <w:autoSpaceDN w:val="0"/>
        <w:adjustRightInd w:val="0"/>
        <w:spacing w:before="240" w:after="240" w:line="240" w:lineRule="auto"/>
        <w:ind w:right="22"/>
        <w:jc w:val="both"/>
        <w:rPr>
          <w:rFonts w:eastAsia="Times New Roman"/>
          <w:b/>
          <w:bCs/>
          <w:i/>
          <w:iCs/>
          <w:lang w:val="es-CL"/>
        </w:rPr>
      </w:pPr>
      <w:r w:rsidRPr="0056372B">
        <w:rPr>
          <w:b/>
          <w:bCs/>
          <w:i/>
          <w:iCs/>
        </w:rPr>
        <w:t>B. El rechazo a la sustitución de la perita María Belén Baus</w:t>
      </w:r>
    </w:p>
    <w:p w14:paraId="668BDCDA" w14:textId="35C906BC" w:rsidR="00E15BE8" w:rsidRPr="009A67FE" w:rsidRDefault="00E15BE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 </w:t>
      </w:r>
      <w:r w:rsidR="0056372B">
        <w:rPr>
          <w:lang w:val="es-CR"/>
        </w:rPr>
        <w:t xml:space="preserve">En la resolución del </w:t>
      </w:r>
      <w:proofErr w:type="gramStart"/>
      <w:r w:rsidR="0056372B">
        <w:rPr>
          <w:lang w:val="es-CR"/>
        </w:rPr>
        <w:t>Presidente</w:t>
      </w:r>
      <w:proofErr w:type="gramEnd"/>
      <w:r w:rsidR="0056372B">
        <w:rPr>
          <w:lang w:val="es-CR"/>
        </w:rPr>
        <w:t xml:space="preserve"> de la Corte de 19 de julio de 2022 se resolvió rechazar la solicitud de sustitución de la perita María Belén Baus por la perita Rosa Gardenia Cuesta, ofrecida por el Estado. Al respecto, se consideró </w:t>
      </w:r>
      <w:r w:rsidR="009A67FE">
        <w:rPr>
          <w:lang w:val="es-CR"/>
        </w:rPr>
        <w:t>que “</w:t>
      </w:r>
      <w:r w:rsidR="009A67FE">
        <w:t xml:space="preserve">la justificación invocada por el Estado para la no participación de la perita María Belén Baus no cumple con el requisito de excepcionalidad para la sustitución de declarantes dispuesto en el artículo 49 del Reglamento, pues no está debidamente fundada, al no haberse brindado detalles o motivos específicos sobre </w:t>
      </w:r>
      <w:r w:rsidR="00FC4B10">
        <w:t>‘</w:t>
      </w:r>
      <w:r w:rsidR="009A67FE">
        <w:t>la justificación profesional que no le permitirá presentar su estudio</w:t>
      </w:r>
      <w:r w:rsidR="00FC4B10">
        <w:t>’</w:t>
      </w:r>
      <w:r w:rsidR="009A67FE">
        <w:t>”.</w:t>
      </w:r>
    </w:p>
    <w:p w14:paraId="18799347" w14:textId="7C141C15" w:rsidR="009A67FE" w:rsidRPr="009A67FE" w:rsidRDefault="009A67FE"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El </w:t>
      </w:r>
      <w:r>
        <w:rPr>
          <w:b/>
          <w:bCs/>
          <w:i/>
          <w:iCs/>
        </w:rPr>
        <w:t>Estado</w:t>
      </w:r>
      <w:r>
        <w:t xml:space="preserve"> solicitó la reconsideración de esta decisión, alegando que cumplió con todos los requisitos establecidos en el artículo 49 del Reglamento para la sustitución de un declarante. Respecto a la fundamentación, indicó que “el Estado ecuatoriano remitió su solicitud de sustitución el 24 de febrero de 2022, con fundamento en la comunicación realizada por la experta, quien el mismo 24 de febrero remitió un correo electrónico, </w:t>
      </w:r>
      <w:r>
        <w:lastRenderedPageBreak/>
        <w:t>explicando que, por asuntos laborales, se encontraba obligada a retirar su participación en el proceso”.</w:t>
      </w:r>
    </w:p>
    <w:p w14:paraId="65DC56EC" w14:textId="7D046575" w:rsidR="009A67FE" w:rsidRPr="009A67FE" w:rsidRDefault="009A67FE"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No se presentaron observaciones a esta solicitud.</w:t>
      </w:r>
    </w:p>
    <w:p w14:paraId="78D16F1A" w14:textId="77777777" w:rsidR="00DE3359" w:rsidRPr="00DE3359" w:rsidRDefault="009D07E5"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La </w:t>
      </w:r>
      <w:r>
        <w:rPr>
          <w:b/>
          <w:bCs/>
          <w:i/>
          <w:iCs/>
        </w:rPr>
        <w:t xml:space="preserve">Corte </w:t>
      </w:r>
      <w:r>
        <w:t xml:space="preserve">considera que el Estado no aportó argumentos adicionales que justifiquen apartarse de lo ya decidido por la Presidencia en su Resolución de 19 de julio de 2022. En efecto, tal y como se explicó en dicha resolución, lo relevante para considerar una solicitud de sustitución “fundada” es que se expliquen los motivos </w:t>
      </w:r>
      <w:r w:rsidR="006950BF">
        <w:t xml:space="preserve">o razones excepcionales por los cuales la persona ofrecida no podrá rendir su declaración. En su recurso, el Estado no aporta explicaciones adicionales para justificar la no participación de la perita María Belén Baus. </w:t>
      </w:r>
    </w:p>
    <w:p w14:paraId="2CB52A1F" w14:textId="19840571" w:rsidR="009A67FE" w:rsidRPr="006950BF" w:rsidRDefault="006950BF"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Por lo anterior, la Corte Interamericana desestima esta solicitud del Estado y confirma la decisión de no admitir la sustitución de la perita María Belén Baus.</w:t>
      </w:r>
    </w:p>
    <w:p w14:paraId="0A9D2C2A" w14:textId="79E65B8D" w:rsidR="006950BF" w:rsidRPr="006950BF" w:rsidRDefault="006950BF" w:rsidP="006950BF">
      <w:pPr>
        <w:widowControl w:val="0"/>
        <w:tabs>
          <w:tab w:val="left" w:pos="567"/>
          <w:tab w:val="left" w:pos="810"/>
        </w:tabs>
        <w:autoSpaceDE w:val="0"/>
        <w:autoSpaceDN w:val="0"/>
        <w:adjustRightInd w:val="0"/>
        <w:spacing w:before="240" w:after="240" w:line="240" w:lineRule="auto"/>
        <w:ind w:right="22"/>
        <w:jc w:val="both"/>
        <w:rPr>
          <w:rFonts w:eastAsia="Times New Roman"/>
          <w:b/>
          <w:bCs/>
          <w:i/>
          <w:iCs/>
          <w:lang w:val="es-CL"/>
        </w:rPr>
      </w:pPr>
      <w:r>
        <w:rPr>
          <w:b/>
          <w:bCs/>
          <w:i/>
          <w:iCs/>
        </w:rPr>
        <w:t xml:space="preserve">C. El cambio en </w:t>
      </w:r>
      <w:r w:rsidR="001D3F73">
        <w:rPr>
          <w:b/>
          <w:bCs/>
          <w:i/>
          <w:iCs/>
        </w:rPr>
        <w:t>la modalidad</w:t>
      </w:r>
      <w:r>
        <w:rPr>
          <w:b/>
          <w:bCs/>
          <w:i/>
          <w:iCs/>
        </w:rPr>
        <w:t xml:space="preserve"> de la declaración de Roberto Narváez</w:t>
      </w:r>
    </w:p>
    <w:p w14:paraId="2AAFCD41" w14:textId="397BBC85" w:rsidR="006950BF" w:rsidRDefault="006950BF"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Por medio de la Resolución de 19 de julio de 2022, el </w:t>
      </w:r>
      <w:proofErr w:type="gramStart"/>
      <w:r>
        <w:rPr>
          <w:rFonts w:eastAsia="Times New Roman"/>
          <w:lang w:val="es-CL"/>
        </w:rPr>
        <w:t>Presidente</w:t>
      </w:r>
      <w:proofErr w:type="gramEnd"/>
      <w:r>
        <w:rPr>
          <w:rFonts w:eastAsia="Times New Roman"/>
          <w:lang w:val="es-CL"/>
        </w:rPr>
        <w:t xml:space="preserve"> la Corte decidió admitir la recusación presentada por el Estado en contra del perito Roberto Narváez, considerando que el declarante </w:t>
      </w:r>
      <w:r w:rsidR="004B7A32">
        <w:rPr>
          <w:rFonts w:eastAsia="Times New Roman"/>
          <w:lang w:val="es-CL"/>
        </w:rPr>
        <w:t>fue perito en por lo menos dos procesos internos relacionados con los hechos del presente caso. De esta forma consideró que las actuaciones del declarante se ajustaban a la causal de recusación contenida en el artículo 48.1.f del Reglamento de la Corte. Sin embargo, la Presidencia decidió admitir la declaración en la modalidad de testimonio.</w:t>
      </w:r>
    </w:p>
    <w:p w14:paraId="5AFC1CD1" w14:textId="0618C842" w:rsidR="004B7A32" w:rsidRDefault="004B7A32"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El </w:t>
      </w:r>
      <w:r>
        <w:rPr>
          <w:rFonts w:eastAsia="Times New Roman"/>
          <w:b/>
          <w:bCs/>
          <w:i/>
          <w:iCs/>
          <w:lang w:val="es-CL"/>
        </w:rPr>
        <w:t>Estado</w:t>
      </w:r>
      <w:r>
        <w:rPr>
          <w:rFonts w:eastAsia="Times New Roman"/>
          <w:lang w:val="es-CL"/>
        </w:rPr>
        <w:t xml:space="preserve"> se opuso a dicho cambio en la modalidad de la recepción de la declaración del señor Narváez. Alegó que “</w:t>
      </w:r>
      <w:r w:rsidR="00586574">
        <w:rPr>
          <w:rFonts w:eastAsia="Times New Roman"/>
          <w:lang w:val="es-CL"/>
        </w:rPr>
        <w:t xml:space="preserve">en ningún momento el señor Roberto Narváez fue sugerido por los peticionarios como testigo del caso sino como perito. El Estado remitió sus objeciones al peritaje de Roberto Narváez, mismas que fueron aceptadas y lo cual, se debió excluir al perito del presente caso”. </w:t>
      </w:r>
      <w:r w:rsidR="00D86A0E">
        <w:rPr>
          <w:rFonts w:eastAsia="Times New Roman"/>
          <w:lang w:val="es-CL"/>
        </w:rPr>
        <w:t xml:space="preserve">Asimismo, </w:t>
      </w:r>
      <w:r w:rsidR="00BB683E">
        <w:rPr>
          <w:rFonts w:eastAsia="Times New Roman"/>
          <w:lang w:val="es-CL"/>
        </w:rPr>
        <w:t>alegó que el declarante “no ha justificado de forma alguna conocer los hechos del caso, al punto que es su experiencia el sustento para ser convocado”, considerando</w:t>
      </w:r>
      <w:r w:rsidR="00E53F19">
        <w:rPr>
          <w:rFonts w:eastAsia="Times New Roman"/>
          <w:lang w:val="es-CL"/>
        </w:rPr>
        <w:t>, además,</w:t>
      </w:r>
      <w:r w:rsidR="00BB683E">
        <w:rPr>
          <w:rFonts w:eastAsia="Times New Roman"/>
          <w:lang w:val="es-CL"/>
        </w:rPr>
        <w:t xml:space="preserve"> que se estaría vulnerando el derecho a la defensa del Estado.</w:t>
      </w:r>
    </w:p>
    <w:p w14:paraId="7FC73E7A" w14:textId="3FF9232A" w:rsidR="000F5820" w:rsidRDefault="000F5820"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El </w:t>
      </w:r>
      <w:r>
        <w:rPr>
          <w:rFonts w:eastAsia="Times New Roman"/>
          <w:b/>
          <w:bCs/>
          <w:i/>
          <w:iCs/>
          <w:lang w:val="es-CL"/>
        </w:rPr>
        <w:t>interviniente común</w:t>
      </w:r>
      <w:r>
        <w:rPr>
          <w:rFonts w:eastAsia="Times New Roman"/>
          <w:lang w:val="es-CL"/>
        </w:rPr>
        <w:t xml:space="preserve"> subray</w:t>
      </w:r>
      <w:r w:rsidR="00CF30A0">
        <w:rPr>
          <w:rFonts w:eastAsia="Times New Roman"/>
          <w:lang w:val="es-CL"/>
        </w:rPr>
        <w:t xml:space="preserve">ó que el señor Roberto Narváez </w:t>
      </w:r>
      <w:r w:rsidR="004E765F">
        <w:rPr>
          <w:rFonts w:eastAsia="Times New Roman"/>
          <w:lang w:val="es-CL"/>
        </w:rPr>
        <w:t>“</w:t>
      </w:r>
      <w:r w:rsidR="00CF30A0">
        <w:rPr>
          <w:rFonts w:eastAsia="Times New Roman"/>
          <w:lang w:val="es-CL"/>
        </w:rPr>
        <w:t>cuenta con importante información sobre los estudios que ha realizado relacionados con el caso</w:t>
      </w:r>
      <w:r w:rsidR="004E765F">
        <w:rPr>
          <w:rFonts w:eastAsia="Times New Roman"/>
          <w:lang w:val="es-CL"/>
        </w:rPr>
        <w:t>”</w:t>
      </w:r>
      <w:r w:rsidR="00090B3D">
        <w:rPr>
          <w:rFonts w:eastAsia="Times New Roman"/>
          <w:lang w:val="es-CL"/>
        </w:rPr>
        <w:t>, cuya pertinencia y valor será evaluado oportunamente por el pleno de la Corte. Consideró que lo anterior no vulnera de ninguna manera el derecho a la defensa del Estado, ya que</w:t>
      </w:r>
      <w:r w:rsidR="001D3F73">
        <w:rPr>
          <w:rFonts w:eastAsia="Times New Roman"/>
          <w:lang w:val="es-CL"/>
        </w:rPr>
        <w:t xml:space="preserve"> </w:t>
      </w:r>
      <w:r w:rsidR="00090B3D">
        <w:rPr>
          <w:rFonts w:eastAsia="Times New Roman"/>
          <w:lang w:val="es-CL"/>
        </w:rPr>
        <w:t>el Estado ya ha enviado un contrainterro</w:t>
      </w:r>
      <w:r w:rsidR="00850A42">
        <w:rPr>
          <w:rFonts w:eastAsia="Times New Roman"/>
          <w:lang w:val="es-CL"/>
        </w:rPr>
        <w:t>gatori</w:t>
      </w:r>
      <w:r w:rsidR="002E217B">
        <w:rPr>
          <w:rFonts w:eastAsia="Times New Roman"/>
          <w:lang w:val="es-CL"/>
        </w:rPr>
        <w:t>o</w:t>
      </w:r>
      <w:r w:rsidR="00850A42">
        <w:rPr>
          <w:rFonts w:eastAsia="Times New Roman"/>
          <w:lang w:val="es-CL"/>
        </w:rPr>
        <w:t xml:space="preserve"> y podrá alegar posteriormente la pertinencia para el caso de la declaración del testigo.</w:t>
      </w:r>
    </w:p>
    <w:p w14:paraId="60864730" w14:textId="468DA139" w:rsidR="00492148" w:rsidRPr="00550171" w:rsidRDefault="009271CB"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La Corte reitera que, en los casos sometidos a su conocimiento, es necesario asegurar el conocimiento de la verdad y la más amplia presentación de argumentos de las partes, en todo lo que sea pertinente para la solución de cuestiones controvertidas, garantizando a éstas el derecho a la defensa de sus respectivas posiciones</w:t>
      </w:r>
      <w:r w:rsidR="00245EE8">
        <w:rPr>
          <w:rStyle w:val="Refdenotaalpie"/>
        </w:rPr>
        <w:footnoteReference w:id="11"/>
      </w:r>
      <w:r>
        <w:t xml:space="preserve">. En particular, se debe tomar en cuenta que esta Corte, en ejercicio de su función contenciosa, tiene amplias facultades para recibir la prueba que estime necesaria o </w:t>
      </w:r>
      <w:r>
        <w:lastRenderedPageBreak/>
        <w:t>pertinente</w:t>
      </w:r>
      <w:r w:rsidR="003A4B4E">
        <w:rPr>
          <w:rStyle w:val="Refdenotaalpie"/>
        </w:rPr>
        <w:footnoteReference w:id="12"/>
      </w:r>
      <w:r>
        <w:t xml:space="preserve">. </w:t>
      </w:r>
    </w:p>
    <w:p w14:paraId="426EDC87" w14:textId="033A7BDA" w:rsidR="00550171" w:rsidRPr="00550171" w:rsidRDefault="00550171" w:rsidP="00550171">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El Tribunal coincide con el </w:t>
      </w:r>
      <w:proofErr w:type="gramStart"/>
      <w:r>
        <w:t>Presidente</w:t>
      </w:r>
      <w:proofErr w:type="gramEnd"/>
      <w:r>
        <w:t xml:space="preserve"> en las razones en las que se basó para determinar la necesidad de recabar la declaración del señor Roberto Narváez en la modalidad de testigo.</w:t>
      </w:r>
      <w:r w:rsidR="00EF6D9E">
        <w:t xml:space="preserve"> Asimismo, considera que no existen elementos para desvirtuar </w:t>
      </w:r>
      <w:r w:rsidR="00DD7CC6">
        <w:t>prima facie el conocimiento directo que pueda tener el señor Narváez sobre los hechos del caso.</w:t>
      </w:r>
      <w:r w:rsidR="00E32334">
        <w:t xml:space="preserve"> De</w:t>
      </w:r>
      <w:r w:rsidR="00EF6D9E">
        <w:t xml:space="preserve"> </w:t>
      </w:r>
      <w:r w:rsidR="0096772F">
        <w:t xml:space="preserve">la misma manera, </w:t>
      </w:r>
      <w:r w:rsidR="00E8615D">
        <w:t>esta Corte reitera que le corresponderá valorar oportunamente la declaración que se rinda, con sujeción a las reglas de la sana crít</w:t>
      </w:r>
      <w:r w:rsidR="00D93199">
        <w:t>ic</w:t>
      </w:r>
      <w:r w:rsidR="00E8615D">
        <w:t>a y en el contexto del acervo probatorio del caso.</w:t>
      </w:r>
      <w:r w:rsidR="0096772F">
        <w:t xml:space="preserve"> </w:t>
      </w:r>
    </w:p>
    <w:p w14:paraId="58BB586B" w14:textId="75EB0003" w:rsidR="00492148" w:rsidRPr="007B3736" w:rsidRDefault="00E32334"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Por otra parte</w:t>
      </w:r>
      <w:r w:rsidR="009271CB">
        <w:t xml:space="preserve">, es necesario señalar que toda potestad discrecional de esta Corte se ejerce con pleno respeto de los principios procesales que rigen su actuación. Es así </w:t>
      </w:r>
      <w:r w:rsidR="00550171">
        <w:t>como</w:t>
      </w:r>
      <w:r w:rsidR="009271CB">
        <w:t xml:space="preserve"> el procedimiento garantiza el equilibrio procesal entre las partes intervinientes, otorgando a ambas la posibilidad de presentar los medios probatorios que consideren pertinentes a su pretensión. </w:t>
      </w:r>
      <w:r w:rsidR="00F53289">
        <w:t>En este caso, se le ha brindado la posibilidad al Estado de que presente sus preguntas al declarante, posibilidad que se materializó en la presentación de un contrainterrogatorio</w:t>
      </w:r>
      <w:r w:rsidR="00D4426D">
        <w:t xml:space="preserve"> que fue debidamente transmitido a la parte que ofreció su declaración. De la misma manera</w:t>
      </w:r>
      <w:r w:rsidR="00550171">
        <w:t>, el Estado podrá hacer referencia a esta declaración en sus alegatos finales, por lo que este Tribunal considera que no se ha dado un detrimento a los principios de</w:t>
      </w:r>
      <w:r w:rsidR="001D3F73">
        <w:t>l</w:t>
      </w:r>
      <w:r w:rsidR="00550171">
        <w:t xml:space="preserve"> contradictorio procesal.</w:t>
      </w:r>
    </w:p>
    <w:p w14:paraId="320D50A3" w14:textId="4E09A3AD" w:rsidR="007B3736" w:rsidRPr="00492148" w:rsidRDefault="007B3736"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De esta forma, este Tribunal</w:t>
      </w:r>
      <w:r w:rsidR="00FB7B85">
        <w:t xml:space="preserve"> reitera las consideraciones del </w:t>
      </w:r>
      <w:proofErr w:type="gramStart"/>
      <w:r w:rsidR="00FB7B85">
        <w:t>Presidente</w:t>
      </w:r>
      <w:proofErr w:type="gramEnd"/>
      <w:r w:rsidR="00FB7B85">
        <w:t xml:space="preserve"> vertidas en la Resolución recurrida en cuanto a la utilidad de recabar la declaración del señor Roberto Narváez en la modalidad de testigo, sin que ello resulte en un detrimento a los principios de</w:t>
      </w:r>
      <w:r w:rsidR="001D3F73">
        <w:t>l</w:t>
      </w:r>
      <w:r w:rsidR="00FB7B85">
        <w:t xml:space="preserve"> contradictorio procesal. En consecuencia, resuelve confirmar en e</w:t>
      </w:r>
      <w:r w:rsidR="006B57C1">
        <w:t xml:space="preserve">ste extremo la Resolución del </w:t>
      </w:r>
      <w:proofErr w:type="gramStart"/>
      <w:r w:rsidR="006B57C1">
        <w:t>Presidente</w:t>
      </w:r>
      <w:proofErr w:type="gramEnd"/>
      <w:r w:rsidR="006B57C1">
        <w:t xml:space="preserve"> y desestimar el recurso presentado por el Estado en este punto.</w:t>
      </w:r>
    </w:p>
    <w:p w14:paraId="6C79774F" w14:textId="7E60841A" w:rsidR="007E52E7" w:rsidRPr="00D513A5" w:rsidRDefault="00D513A5" w:rsidP="00D513A5">
      <w:pPr>
        <w:widowControl w:val="0"/>
        <w:tabs>
          <w:tab w:val="left" w:pos="567"/>
          <w:tab w:val="left" w:pos="810"/>
        </w:tabs>
        <w:autoSpaceDE w:val="0"/>
        <w:autoSpaceDN w:val="0"/>
        <w:adjustRightInd w:val="0"/>
        <w:spacing w:before="240" w:after="240" w:line="240" w:lineRule="auto"/>
        <w:ind w:right="22"/>
        <w:jc w:val="both"/>
        <w:rPr>
          <w:rFonts w:eastAsia="Times New Roman"/>
          <w:b/>
          <w:bCs/>
          <w:i/>
          <w:iCs/>
          <w:lang w:val="es-CL"/>
        </w:rPr>
      </w:pPr>
      <w:r>
        <w:rPr>
          <w:rFonts w:eastAsia="Times New Roman"/>
          <w:b/>
          <w:bCs/>
          <w:i/>
          <w:iCs/>
          <w:lang w:val="es-CL"/>
        </w:rPr>
        <w:t xml:space="preserve">D. Sobre las recusaciones a las peritas </w:t>
      </w:r>
      <w:r w:rsidR="007E52E7">
        <w:rPr>
          <w:rFonts w:eastAsia="Times New Roman"/>
          <w:b/>
          <w:bCs/>
          <w:i/>
          <w:iCs/>
          <w:lang w:val="es-CL"/>
        </w:rPr>
        <w:t>Paola Maldonado Tobar</w:t>
      </w:r>
      <w:r w:rsidR="00EF47BE">
        <w:rPr>
          <w:rFonts w:eastAsia="Times New Roman"/>
          <w:b/>
          <w:bCs/>
          <w:i/>
          <w:iCs/>
          <w:lang w:val="es-CL"/>
        </w:rPr>
        <w:t xml:space="preserve"> y Victoria </w:t>
      </w:r>
      <w:proofErr w:type="spellStart"/>
      <w:r w:rsidR="00EF47BE">
        <w:rPr>
          <w:rFonts w:eastAsia="Times New Roman"/>
          <w:b/>
          <w:bCs/>
          <w:i/>
          <w:iCs/>
          <w:lang w:val="es-CL"/>
        </w:rPr>
        <w:t>Tauli</w:t>
      </w:r>
      <w:proofErr w:type="spellEnd"/>
      <w:r w:rsidR="00EF47BE">
        <w:rPr>
          <w:rFonts w:eastAsia="Times New Roman"/>
          <w:b/>
          <w:bCs/>
          <w:i/>
          <w:iCs/>
          <w:lang w:val="es-CL"/>
        </w:rPr>
        <w:t xml:space="preserve"> </w:t>
      </w:r>
      <w:proofErr w:type="spellStart"/>
      <w:r w:rsidR="00EF47BE">
        <w:rPr>
          <w:rFonts w:eastAsia="Times New Roman"/>
          <w:b/>
          <w:bCs/>
          <w:i/>
          <w:iCs/>
          <w:lang w:val="es-CL"/>
        </w:rPr>
        <w:t>Corpuz</w:t>
      </w:r>
      <w:proofErr w:type="spellEnd"/>
    </w:p>
    <w:p w14:paraId="3957892E" w14:textId="03312144" w:rsidR="00D513A5" w:rsidRDefault="007E52E7"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En la Resolución de 19 de julio de 2022, el </w:t>
      </w:r>
      <w:proofErr w:type="gramStart"/>
      <w:r>
        <w:rPr>
          <w:rFonts w:eastAsia="Times New Roman"/>
          <w:lang w:val="es-CL"/>
        </w:rPr>
        <w:t>Presidente</w:t>
      </w:r>
      <w:proofErr w:type="gramEnd"/>
      <w:r>
        <w:rPr>
          <w:rFonts w:eastAsia="Times New Roman"/>
          <w:lang w:val="es-CL"/>
        </w:rPr>
        <w:t xml:space="preserve"> de la Corte</w:t>
      </w:r>
      <w:r w:rsidR="00DB43B1">
        <w:rPr>
          <w:rFonts w:eastAsia="Times New Roman"/>
          <w:lang w:val="es-CL"/>
        </w:rPr>
        <w:t xml:space="preserve"> rechazó la recusación presentada en contra de la perita Victoria </w:t>
      </w:r>
      <w:proofErr w:type="spellStart"/>
      <w:r w:rsidR="00DB43B1">
        <w:rPr>
          <w:rFonts w:eastAsia="Times New Roman"/>
          <w:lang w:val="es-CL"/>
        </w:rPr>
        <w:t>Tauli</w:t>
      </w:r>
      <w:proofErr w:type="spellEnd"/>
      <w:r w:rsidR="00DB43B1">
        <w:rPr>
          <w:rFonts w:eastAsia="Times New Roman"/>
          <w:lang w:val="es-CL"/>
        </w:rPr>
        <w:t xml:space="preserve"> </w:t>
      </w:r>
      <w:proofErr w:type="spellStart"/>
      <w:r w:rsidR="00DB43B1">
        <w:rPr>
          <w:rFonts w:eastAsia="Times New Roman"/>
          <w:lang w:val="es-CL"/>
        </w:rPr>
        <w:t>Corpuz</w:t>
      </w:r>
      <w:proofErr w:type="spellEnd"/>
      <w:r w:rsidR="00DB43B1">
        <w:rPr>
          <w:rFonts w:eastAsia="Times New Roman"/>
          <w:lang w:val="es-CL"/>
        </w:rPr>
        <w:t>. Se indicó que, contrariamente a lo pretendido por el Estado, en los documentos presentados en apoyo a la solicitud de recusación, la perita no tomó una posición sobre los hechos</w:t>
      </w:r>
      <w:r w:rsidR="00DD5F63">
        <w:rPr>
          <w:rFonts w:eastAsia="Times New Roman"/>
          <w:lang w:val="es-CL"/>
        </w:rPr>
        <w:t xml:space="preserve"> del caso, sino que se limitó a exponer los estándares desarrollados por las Naciones Unidas y la Comisión Interamericana en materia de protección de pueblos indígenas en aislamiento. Asimismo, el </w:t>
      </w:r>
      <w:proofErr w:type="gramStart"/>
      <w:r w:rsidR="00DD5F63">
        <w:rPr>
          <w:rFonts w:eastAsia="Times New Roman"/>
          <w:lang w:val="es-CL"/>
        </w:rPr>
        <w:t>Presidente</w:t>
      </w:r>
      <w:proofErr w:type="gramEnd"/>
      <w:r w:rsidR="00DD5F63">
        <w:rPr>
          <w:rFonts w:eastAsia="Times New Roman"/>
          <w:lang w:val="es-CL"/>
        </w:rPr>
        <w:t xml:space="preserve"> rechazó la recusación presentada en contra de la perita Paola Maldonado Tobar</w:t>
      </w:r>
      <w:r w:rsidR="00304627">
        <w:rPr>
          <w:rFonts w:eastAsia="Times New Roman"/>
          <w:lang w:val="es-CL"/>
        </w:rPr>
        <w:t>, considerando que la perita no ha tenido una intervención directa en la causa</w:t>
      </w:r>
      <w:r w:rsidR="00F51496">
        <w:rPr>
          <w:rFonts w:eastAsia="Times New Roman"/>
          <w:lang w:val="es-CL"/>
        </w:rPr>
        <w:t>.</w:t>
      </w:r>
    </w:p>
    <w:p w14:paraId="0ED5D605" w14:textId="3F7CF79F" w:rsidR="00EF47BE" w:rsidRDefault="00EF47BE"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El </w:t>
      </w:r>
      <w:r>
        <w:rPr>
          <w:rFonts w:eastAsia="Times New Roman"/>
          <w:b/>
          <w:bCs/>
          <w:i/>
          <w:iCs/>
          <w:lang w:val="es-CL"/>
        </w:rPr>
        <w:t xml:space="preserve">Estado </w:t>
      </w:r>
      <w:r>
        <w:rPr>
          <w:rFonts w:eastAsia="Times New Roman"/>
          <w:lang w:val="es-CL"/>
        </w:rPr>
        <w:t xml:space="preserve">alegó que la perita </w:t>
      </w:r>
      <w:r w:rsidR="0009259D">
        <w:rPr>
          <w:rFonts w:eastAsia="Times New Roman"/>
          <w:lang w:val="es-CL"/>
        </w:rPr>
        <w:t xml:space="preserve">Maldonado Tobar, en el documento “La Amenaza del Decreto Ejecutivo No. 751 a la Supervivencia de los Pueblos en Asilamiento Tagaeri </w:t>
      </w:r>
      <w:proofErr w:type="spellStart"/>
      <w:r w:rsidR="0009259D">
        <w:rPr>
          <w:rFonts w:eastAsia="Times New Roman"/>
          <w:lang w:val="es-CL"/>
        </w:rPr>
        <w:t>Taromenane</w:t>
      </w:r>
      <w:proofErr w:type="spellEnd"/>
      <w:r w:rsidR="0009259D">
        <w:rPr>
          <w:rFonts w:eastAsia="Times New Roman"/>
          <w:lang w:val="es-CL"/>
        </w:rPr>
        <w:t xml:space="preserve">. Análisis </w:t>
      </w:r>
      <w:r w:rsidR="005D280D">
        <w:rPr>
          <w:rFonts w:eastAsia="Times New Roman"/>
          <w:lang w:val="es-CL"/>
        </w:rPr>
        <w:t>antropológico</w:t>
      </w:r>
      <w:r w:rsidR="0009259D">
        <w:rPr>
          <w:rFonts w:eastAsia="Times New Roman"/>
          <w:lang w:val="es-CL"/>
        </w:rPr>
        <w:t>, espacial y de derechos”</w:t>
      </w:r>
      <w:r w:rsidR="005D280D">
        <w:rPr>
          <w:rFonts w:eastAsia="Times New Roman"/>
          <w:lang w:val="es-CL"/>
        </w:rPr>
        <w:t xml:space="preserve"> en el cual es coa</w:t>
      </w:r>
      <w:r w:rsidR="00F94BB1">
        <w:rPr>
          <w:rFonts w:eastAsia="Times New Roman"/>
          <w:lang w:val="es-CL"/>
        </w:rPr>
        <w:t>u</w:t>
      </w:r>
      <w:r w:rsidR="005D280D">
        <w:rPr>
          <w:rFonts w:eastAsia="Times New Roman"/>
          <w:lang w:val="es-CL"/>
        </w:rPr>
        <w:t xml:space="preserve">tora “se realizan afirmaciones en las que se evidencia claramente la posición de los </w:t>
      </w:r>
      <w:proofErr w:type="gramStart"/>
      <w:r w:rsidR="005D280D">
        <w:rPr>
          <w:rFonts w:eastAsia="Times New Roman"/>
          <w:lang w:val="es-CL"/>
        </w:rPr>
        <w:t>autores</w:t>
      </w:r>
      <w:proofErr w:type="gramEnd"/>
      <w:r w:rsidR="005D280D">
        <w:rPr>
          <w:rFonts w:eastAsia="Times New Roman"/>
          <w:lang w:val="es-CL"/>
        </w:rPr>
        <w:t xml:space="preserve"> así como los cuestionamientos que éstos realizan a las actuaciones del Estado en re</w:t>
      </w:r>
      <w:r w:rsidR="00F94BB1">
        <w:rPr>
          <w:rFonts w:eastAsia="Times New Roman"/>
          <w:lang w:val="es-CL"/>
        </w:rPr>
        <w:t xml:space="preserve">lación a los Pueblos en Aislamiento Tagaeri </w:t>
      </w:r>
      <w:proofErr w:type="spellStart"/>
      <w:r w:rsidR="00F94BB1">
        <w:rPr>
          <w:rFonts w:eastAsia="Times New Roman"/>
          <w:lang w:val="es-CL"/>
        </w:rPr>
        <w:t>Taromenane</w:t>
      </w:r>
      <w:proofErr w:type="spellEnd"/>
      <w:r w:rsidR="00F94BB1">
        <w:rPr>
          <w:rFonts w:eastAsia="Times New Roman"/>
          <w:lang w:val="es-CL"/>
        </w:rPr>
        <w:t>”. Respecto</w:t>
      </w:r>
      <w:r w:rsidR="00A50665">
        <w:rPr>
          <w:rFonts w:eastAsia="Times New Roman"/>
          <w:lang w:val="es-CL"/>
        </w:rPr>
        <w:t xml:space="preserve"> de la perita </w:t>
      </w:r>
      <w:proofErr w:type="spellStart"/>
      <w:r w:rsidR="00A50665">
        <w:rPr>
          <w:rFonts w:eastAsia="Times New Roman"/>
          <w:lang w:val="es-CL"/>
        </w:rPr>
        <w:t>Tauli</w:t>
      </w:r>
      <w:proofErr w:type="spellEnd"/>
      <w:r w:rsidR="00A50665">
        <w:rPr>
          <w:rFonts w:eastAsia="Times New Roman"/>
          <w:lang w:val="es-CL"/>
        </w:rPr>
        <w:t xml:space="preserve"> </w:t>
      </w:r>
      <w:proofErr w:type="spellStart"/>
      <w:r w:rsidR="00A50665">
        <w:rPr>
          <w:rFonts w:eastAsia="Times New Roman"/>
          <w:lang w:val="es-CL"/>
        </w:rPr>
        <w:t>Corpuz</w:t>
      </w:r>
      <w:proofErr w:type="spellEnd"/>
      <w:r w:rsidR="00A50665">
        <w:rPr>
          <w:rFonts w:eastAsia="Times New Roman"/>
          <w:lang w:val="es-CL"/>
        </w:rPr>
        <w:t xml:space="preserve">, el Estado </w:t>
      </w:r>
      <w:r w:rsidR="0066288E">
        <w:rPr>
          <w:rFonts w:eastAsia="Times New Roman"/>
          <w:lang w:val="es-CL"/>
        </w:rPr>
        <w:t>alegó</w:t>
      </w:r>
      <w:r w:rsidR="00FA0443">
        <w:rPr>
          <w:rFonts w:eastAsia="Times New Roman"/>
          <w:lang w:val="es-CL"/>
        </w:rPr>
        <w:t xml:space="preserve"> que la perita se reunió con miembros de la Comunidad Indígena de </w:t>
      </w:r>
      <w:proofErr w:type="spellStart"/>
      <w:r w:rsidR="00FA0443">
        <w:rPr>
          <w:rFonts w:eastAsia="Times New Roman"/>
          <w:lang w:val="es-CL"/>
        </w:rPr>
        <w:t>Bameno</w:t>
      </w:r>
      <w:proofErr w:type="spellEnd"/>
      <w:r w:rsidR="00FA0443">
        <w:rPr>
          <w:rFonts w:eastAsia="Times New Roman"/>
          <w:lang w:val="es-CL"/>
        </w:rPr>
        <w:t xml:space="preserve">, que precisamente está representada por la abogada </w:t>
      </w:r>
      <w:proofErr w:type="spellStart"/>
      <w:r w:rsidR="00FA0443">
        <w:rPr>
          <w:rFonts w:eastAsia="Times New Roman"/>
          <w:lang w:val="es-CL"/>
        </w:rPr>
        <w:t>Kimerling</w:t>
      </w:r>
      <w:proofErr w:type="spellEnd"/>
      <w:r w:rsidR="00FA0443">
        <w:rPr>
          <w:rFonts w:eastAsia="Times New Roman"/>
          <w:lang w:val="es-CL"/>
        </w:rPr>
        <w:t xml:space="preserve"> quien forma parte de unos de los equipos de representantes acreditados ante la Corte </w:t>
      </w:r>
      <w:r w:rsidR="00FA0443">
        <w:rPr>
          <w:rFonts w:eastAsia="Times New Roman"/>
          <w:lang w:val="es-CL"/>
        </w:rPr>
        <w:lastRenderedPageBreak/>
        <w:t>Interamericana</w:t>
      </w:r>
      <w:r w:rsidR="005D4042">
        <w:rPr>
          <w:rFonts w:eastAsia="Times New Roman"/>
          <w:lang w:val="es-CL"/>
        </w:rPr>
        <w:t>. Asimismo, reiteró que la perita en sus informes ha emitido juicios de valor</w:t>
      </w:r>
      <w:r w:rsidR="00C872E3">
        <w:rPr>
          <w:rFonts w:eastAsia="Times New Roman"/>
          <w:lang w:val="es-CL"/>
        </w:rPr>
        <w:t>, por lo que reiteró los argumentos y las pruebas presentadas en su escrito de recusación.</w:t>
      </w:r>
    </w:p>
    <w:p w14:paraId="1D7DB9F6" w14:textId="77777777" w:rsidR="00630870" w:rsidRDefault="00D271E8" w:rsidP="00630870">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El </w:t>
      </w:r>
      <w:r>
        <w:rPr>
          <w:rFonts w:eastAsia="Times New Roman"/>
          <w:b/>
          <w:bCs/>
          <w:i/>
          <w:iCs/>
          <w:lang w:val="es-CL"/>
        </w:rPr>
        <w:t xml:space="preserve">interviniente común </w:t>
      </w:r>
      <w:r w:rsidR="00F15B37">
        <w:rPr>
          <w:rFonts w:eastAsia="Times New Roman"/>
          <w:lang w:val="es-CL"/>
        </w:rPr>
        <w:t>aleg</w:t>
      </w:r>
      <w:r w:rsidR="00663E37">
        <w:rPr>
          <w:rFonts w:eastAsia="Times New Roman"/>
          <w:lang w:val="es-CL"/>
        </w:rPr>
        <w:t>ó</w:t>
      </w:r>
      <w:r w:rsidR="00F15B37">
        <w:rPr>
          <w:rFonts w:eastAsia="Times New Roman"/>
          <w:lang w:val="es-CL"/>
        </w:rPr>
        <w:t>, respecto a la perita Paola Maldonado Tobar, que el argumento del Estado se basa en la participación de la declarante en un documento científico que da cuenta de su experiencia y conocimiento sobre el tema de su peritaje</w:t>
      </w:r>
      <w:r w:rsidR="0071039D">
        <w:rPr>
          <w:rFonts w:eastAsia="Times New Roman"/>
          <w:lang w:val="es-CL"/>
        </w:rPr>
        <w:t>. Indicó que “un perito debe ser una persona que domina el objeto del estudio técnico y tiene un valor agregado si ya ha tenido la pos</w:t>
      </w:r>
      <w:r w:rsidR="00572E3C">
        <w:rPr>
          <w:rFonts w:eastAsia="Times New Roman"/>
          <w:lang w:val="es-CL"/>
        </w:rPr>
        <w:t xml:space="preserve">ibilidad de acercarse a la temática sobre la que versará su informe técnico”. Respecto a la perita </w:t>
      </w:r>
      <w:proofErr w:type="spellStart"/>
      <w:r w:rsidR="00572E3C">
        <w:rPr>
          <w:rFonts w:eastAsia="Times New Roman"/>
          <w:lang w:val="es-CL"/>
        </w:rPr>
        <w:t>Tauli</w:t>
      </w:r>
      <w:proofErr w:type="spellEnd"/>
      <w:r w:rsidR="00572E3C">
        <w:rPr>
          <w:rFonts w:eastAsia="Times New Roman"/>
          <w:lang w:val="es-CL"/>
        </w:rPr>
        <w:t xml:space="preserve"> </w:t>
      </w:r>
      <w:proofErr w:type="spellStart"/>
      <w:r w:rsidR="00572E3C">
        <w:rPr>
          <w:rFonts w:eastAsia="Times New Roman"/>
          <w:lang w:val="es-CL"/>
        </w:rPr>
        <w:t>Corpuz</w:t>
      </w:r>
      <w:proofErr w:type="spellEnd"/>
      <w:r w:rsidR="00572E3C">
        <w:rPr>
          <w:rFonts w:eastAsia="Times New Roman"/>
          <w:lang w:val="es-CL"/>
        </w:rPr>
        <w:t>, indicó que</w:t>
      </w:r>
      <w:r w:rsidR="00C61844">
        <w:rPr>
          <w:rFonts w:eastAsia="Times New Roman"/>
          <w:lang w:val="es-CL"/>
        </w:rPr>
        <w:t>,</w:t>
      </w:r>
      <w:r w:rsidR="00572E3C">
        <w:rPr>
          <w:rFonts w:eastAsia="Times New Roman"/>
          <w:lang w:val="es-CL"/>
        </w:rPr>
        <w:t xml:space="preserve"> </w:t>
      </w:r>
      <w:r w:rsidR="00726170">
        <w:rPr>
          <w:rFonts w:eastAsia="Times New Roman"/>
          <w:lang w:val="es-CL"/>
        </w:rPr>
        <w:t>en casos anteriores, la Corte ha considerado los casos de peritajes de personas que se han desarrollado como relatores del Sistema de Nacion</w:t>
      </w:r>
      <w:r w:rsidR="00582014">
        <w:rPr>
          <w:rFonts w:eastAsia="Times New Roman"/>
          <w:lang w:val="es-CL"/>
        </w:rPr>
        <w:t>es Unidas e indicó que la Corte “consideró una fortaleza el que ya tengan conocimiento sobre el objeto de su peritaje y que realizar un informe en su calidad de relatores no significa haber participado previamente en la causa en los términos del artículo 48.1.f</w:t>
      </w:r>
      <w:r w:rsidR="005239DD">
        <w:rPr>
          <w:rFonts w:eastAsia="Times New Roman"/>
          <w:lang w:val="es-CL"/>
        </w:rPr>
        <w:t>”. Concluyó que las declarantes no se encuentran inmersas en la causal de recusación alegada y que “su experiencia previa, informe, publicaciones y charlas públicas son elementos que les acreditan como expertas en la materia de sus peritajes”.</w:t>
      </w:r>
    </w:p>
    <w:p w14:paraId="2F36B87E" w14:textId="11E06FB0" w:rsidR="00BA655C" w:rsidRPr="003F2AC0" w:rsidRDefault="00CE2016" w:rsidP="00630870">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La Corte considera que el Estado no aportó argumentos adicionales que justifiquen apartarse de lo ya decidido por la Presidencia en su Resolución</w:t>
      </w:r>
      <w:r w:rsidR="00756F27">
        <w:t xml:space="preserve"> de 19 de julio de 2022. En efecto, respecto a la recusación de la perita Paola Maldonado, el Estado insistió que en el documento de su coa</w:t>
      </w:r>
      <w:r w:rsidR="00630870">
        <w:t>u</w:t>
      </w:r>
      <w:r w:rsidR="00756F27">
        <w:t>toría “</w:t>
      </w:r>
      <w:r w:rsidR="00630870">
        <w:t>La Amenaza del Decreto Ejecutivo No 751 a la Supervivencia</w:t>
      </w:r>
      <w:r w:rsidR="00630870">
        <w:rPr>
          <w:rFonts w:eastAsia="Times New Roman"/>
          <w:lang w:val="es-CL"/>
        </w:rPr>
        <w:t xml:space="preserve"> </w:t>
      </w:r>
      <w:r w:rsidR="00630870">
        <w:t xml:space="preserve">de los Pueblos en Aislamiento Tagaeri </w:t>
      </w:r>
      <w:proofErr w:type="spellStart"/>
      <w:r w:rsidR="00630870">
        <w:t>Taromenane</w:t>
      </w:r>
      <w:proofErr w:type="spellEnd"/>
      <w:r w:rsidR="00630870">
        <w:t>. Análisis antropológico, espacial y de</w:t>
      </w:r>
      <w:r w:rsidR="00AA3265">
        <w:rPr>
          <w:rFonts w:eastAsia="Times New Roman"/>
          <w:lang w:val="es-CL"/>
        </w:rPr>
        <w:t xml:space="preserve"> </w:t>
      </w:r>
      <w:r w:rsidR="00630870">
        <w:t>derechos</w:t>
      </w:r>
      <w:r w:rsidR="00AA3265">
        <w:t xml:space="preserve">” la declarante tomó posición sobre los hechos del caso. Si bien se puede constatar que en dicho escrito se hace un análisis crítico de la actuación estatal, </w:t>
      </w:r>
      <w:r w:rsidR="00DE70F4">
        <w:t xml:space="preserve">lo anterior no constituye un prejuzgamiento ni una posición sobre los hechos del caso. </w:t>
      </w:r>
      <w:r w:rsidR="00A02232">
        <w:t xml:space="preserve">De esta forma, se mantiene que no se configuró </w:t>
      </w:r>
      <w:r w:rsidR="003F2AC0">
        <w:t>ninguna causal de recusación respecto a esta perita.</w:t>
      </w:r>
    </w:p>
    <w:p w14:paraId="6A296B22" w14:textId="1A1EF710" w:rsidR="003F2AC0" w:rsidRPr="00D615BE" w:rsidRDefault="003F2AC0" w:rsidP="00630870">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Respecto al peritaje de la señora Victoria </w:t>
      </w:r>
      <w:proofErr w:type="spellStart"/>
      <w:r>
        <w:t>Tauli</w:t>
      </w:r>
      <w:proofErr w:type="spellEnd"/>
      <w:r>
        <w:t xml:space="preserve"> </w:t>
      </w:r>
      <w:proofErr w:type="spellStart"/>
      <w:r w:rsidR="00326ED5">
        <w:t>C</w:t>
      </w:r>
      <w:r>
        <w:t>orpuz</w:t>
      </w:r>
      <w:proofErr w:type="spellEnd"/>
      <w:r>
        <w:t xml:space="preserve">, esta Corte considera </w:t>
      </w:r>
      <w:r w:rsidR="00630966">
        <w:t>pertinente aclarar</w:t>
      </w:r>
      <w:r w:rsidR="00043B71">
        <w:t xml:space="preserve"> que la representante </w:t>
      </w:r>
      <w:proofErr w:type="spellStart"/>
      <w:r w:rsidR="00043B71">
        <w:t>Kimerling</w:t>
      </w:r>
      <w:proofErr w:type="spellEnd"/>
      <w:r w:rsidR="00043B71">
        <w:t xml:space="preserve"> representa a la presunta víctima </w:t>
      </w:r>
      <w:proofErr w:type="spellStart"/>
      <w:r w:rsidR="00043B71">
        <w:t>Tewe</w:t>
      </w:r>
      <w:proofErr w:type="spellEnd"/>
      <w:r w:rsidR="00043B71">
        <w:t xml:space="preserve"> Dayuma Michela Conta y no </w:t>
      </w:r>
      <w:r w:rsidR="006F0C93">
        <w:t xml:space="preserve">a toda la Comunidad Indígena de </w:t>
      </w:r>
      <w:proofErr w:type="spellStart"/>
      <w:r w:rsidR="006F0C93">
        <w:t>Bameno</w:t>
      </w:r>
      <w:proofErr w:type="spellEnd"/>
      <w:r w:rsidR="006F0C93">
        <w:t xml:space="preserve">. Asimismo, el hecho de que la perita se haya reunido con miembros de </w:t>
      </w:r>
      <w:r w:rsidR="002B49CF">
        <w:t>esta</w:t>
      </w:r>
      <w:r w:rsidR="006F0C93">
        <w:t xml:space="preserve"> comunidad en el marco de sus actividades como relatora, no </w:t>
      </w:r>
      <w:r w:rsidR="002B49CF">
        <w:t xml:space="preserve">afectan su imparcialidad. </w:t>
      </w:r>
      <w:r w:rsidR="00F704B4">
        <w:t xml:space="preserve">Por otra parte, </w:t>
      </w:r>
      <w:r w:rsidR="00EC3CFC">
        <w:t xml:space="preserve">el Estado no presentó evidencia </w:t>
      </w:r>
      <w:r w:rsidR="00581426">
        <w:t xml:space="preserve">nueva </w:t>
      </w:r>
      <w:r w:rsidR="00EC3CFC">
        <w:t xml:space="preserve">alguna, más allá de las referencias al Informe realizado </w:t>
      </w:r>
      <w:r w:rsidR="00581426">
        <w:t>al Consejo de Derechos Humanos de las Naciones Unidas</w:t>
      </w:r>
      <w:r w:rsidR="00F77694">
        <w:t>, en las cuales se realizaron valoraciones sobre la situación de los pueblos en aislamiento, sin que puedan considerarse</w:t>
      </w:r>
      <w:r w:rsidR="00812EC4">
        <w:t xml:space="preserve"> como </w:t>
      </w:r>
      <w:r w:rsidR="0096771F">
        <w:t>una posició</w:t>
      </w:r>
      <w:r w:rsidR="00703CAE">
        <w:t>n sobre los hechos del presente caso</w:t>
      </w:r>
      <w:r w:rsidR="006C3187">
        <w:t xml:space="preserve">. Por lo anterior esta Corte considera que, tal y como lo sostuvo su </w:t>
      </w:r>
      <w:proofErr w:type="gramStart"/>
      <w:r w:rsidR="006C3187">
        <w:t>Presidente</w:t>
      </w:r>
      <w:proofErr w:type="gramEnd"/>
      <w:r w:rsidR="006C3187">
        <w:t xml:space="preserve"> en la Resolución del 19 de julio de 2022, no se configura ninguna causal </w:t>
      </w:r>
      <w:r w:rsidR="00D615BE">
        <w:t>de recusación respecto a esta perita.</w:t>
      </w:r>
    </w:p>
    <w:p w14:paraId="15CB530E" w14:textId="7B5879F8" w:rsidR="00D615BE" w:rsidRPr="00630870" w:rsidRDefault="001E1048" w:rsidP="00630870">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 xml:space="preserve">Por las razones expuestas, la Corte Interamericana desestima el recurso interpuesto por el Estado y confirma la Resolución de Presidencia de 19 de julio de 2022 respecto a la admisión de los peritajes de las señoras Paola Maldonado y Victoria </w:t>
      </w:r>
      <w:proofErr w:type="spellStart"/>
      <w:r>
        <w:t>Tauli</w:t>
      </w:r>
      <w:proofErr w:type="spellEnd"/>
      <w:r>
        <w:t xml:space="preserve"> </w:t>
      </w:r>
      <w:proofErr w:type="spellStart"/>
      <w:r w:rsidR="00326ED5">
        <w:t>Corpuz</w:t>
      </w:r>
      <w:proofErr w:type="spellEnd"/>
      <w:r w:rsidR="00326ED5">
        <w:t>. Asimismo, la Corte recuerda que dichos peritajes serán valorados oportunamente por el Tribunal en conjunto con el acervo probatorio del presente caso y según las reglas de la sana crítica.</w:t>
      </w:r>
    </w:p>
    <w:p w14:paraId="7EC94200" w14:textId="6713EB30" w:rsidR="00DB0AC4" w:rsidRPr="00F51496" w:rsidRDefault="00F51496" w:rsidP="00F51496">
      <w:pPr>
        <w:widowControl w:val="0"/>
        <w:tabs>
          <w:tab w:val="left" w:pos="567"/>
          <w:tab w:val="left" w:pos="810"/>
        </w:tabs>
        <w:autoSpaceDE w:val="0"/>
        <w:autoSpaceDN w:val="0"/>
        <w:adjustRightInd w:val="0"/>
        <w:spacing w:before="240" w:after="240" w:line="240" w:lineRule="auto"/>
        <w:ind w:right="22"/>
        <w:jc w:val="both"/>
        <w:rPr>
          <w:rFonts w:eastAsia="Times New Roman"/>
          <w:b/>
          <w:bCs/>
          <w:i/>
          <w:iCs/>
          <w:lang w:val="es-CL"/>
        </w:rPr>
      </w:pPr>
      <w:r>
        <w:rPr>
          <w:rFonts w:eastAsia="Times New Roman"/>
          <w:b/>
          <w:bCs/>
          <w:i/>
          <w:iCs/>
          <w:lang w:val="es-CL"/>
        </w:rPr>
        <w:t xml:space="preserve">E. </w:t>
      </w:r>
      <w:r w:rsidR="00DB0AC4">
        <w:rPr>
          <w:rFonts w:eastAsia="Times New Roman"/>
          <w:b/>
          <w:bCs/>
          <w:i/>
          <w:iCs/>
          <w:lang w:val="es-CL"/>
        </w:rPr>
        <w:t xml:space="preserve">Sobre la modalidad de recepción de la declaración de </w:t>
      </w:r>
      <w:proofErr w:type="spellStart"/>
      <w:r w:rsidR="00DB0AC4">
        <w:rPr>
          <w:rFonts w:eastAsia="Times New Roman"/>
          <w:b/>
          <w:bCs/>
          <w:i/>
          <w:iCs/>
          <w:lang w:val="es-CL"/>
        </w:rPr>
        <w:t>Tewe</w:t>
      </w:r>
      <w:proofErr w:type="spellEnd"/>
      <w:r w:rsidR="00DB0AC4">
        <w:rPr>
          <w:rFonts w:eastAsia="Times New Roman"/>
          <w:b/>
          <w:bCs/>
          <w:i/>
          <w:iCs/>
          <w:lang w:val="es-CL"/>
        </w:rPr>
        <w:t xml:space="preserve"> Dayuma Michela Conta</w:t>
      </w:r>
    </w:p>
    <w:p w14:paraId="3B075E2B" w14:textId="5FABB2A4" w:rsidR="00F51496" w:rsidRDefault="00DB0AC4"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En la Resolución de 19 de julio de 2022, el </w:t>
      </w:r>
      <w:proofErr w:type="gramStart"/>
      <w:r>
        <w:rPr>
          <w:rFonts w:eastAsia="Times New Roman"/>
          <w:lang w:val="es-CL"/>
        </w:rPr>
        <w:t>Presidente</w:t>
      </w:r>
      <w:proofErr w:type="gramEnd"/>
      <w:r>
        <w:rPr>
          <w:rFonts w:eastAsia="Times New Roman"/>
          <w:lang w:val="es-CL"/>
        </w:rPr>
        <w:t xml:space="preserve"> de la Corte </w:t>
      </w:r>
      <w:r w:rsidR="00C50D95">
        <w:rPr>
          <w:rFonts w:eastAsia="Times New Roman"/>
          <w:lang w:val="es-CL"/>
        </w:rPr>
        <w:t xml:space="preserve">aceptó la solicitud </w:t>
      </w:r>
      <w:r w:rsidR="00C50D95">
        <w:rPr>
          <w:rFonts w:eastAsia="Times New Roman"/>
          <w:lang w:val="es-CL"/>
        </w:rPr>
        <w:lastRenderedPageBreak/>
        <w:t xml:space="preserve">de la representante </w:t>
      </w:r>
      <w:proofErr w:type="spellStart"/>
      <w:r w:rsidR="00C50D95">
        <w:rPr>
          <w:rFonts w:eastAsia="Times New Roman"/>
          <w:lang w:val="es-CL"/>
        </w:rPr>
        <w:t>Kimerling</w:t>
      </w:r>
      <w:proofErr w:type="spellEnd"/>
      <w:r w:rsidR="00C50D95">
        <w:rPr>
          <w:rFonts w:eastAsia="Times New Roman"/>
          <w:lang w:val="es-CL"/>
        </w:rPr>
        <w:t xml:space="preserve"> de que la declaración de </w:t>
      </w:r>
      <w:proofErr w:type="spellStart"/>
      <w:r w:rsidR="00C50D95">
        <w:rPr>
          <w:rFonts w:eastAsia="Times New Roman"/>
          <w:lang w:val="es-CL"/>
        </w:rPr>
        <w:t>Tewe</w:t>
      </w:r>
      <w:proofErr w:type="spellEnd"/>
      <w:r w:rsidR="00C50D95">
        <w:rPr>
          <w:rFonts w:eastAsia="Times New Roman"/>
          <w:lang w:val="es-CL"/>
        </w:rPr>
        <w:t xml:space="preserve"> Dayuma Michela Conta fuera recibida mediante un video grabado que sería presentado durante la audiencia pública</w:t>
      </w:r>
      <w:r w:rsidR="00E75B18">
        <w:rPr>
          <w:rFonts w:eastAsia="Times New Roman"/>
          <w:lang w:val="es-CL"/>
        </w:rPr>
        <w:t xml:space="preserve">, tomando en </w:t>
      </w:r>
      <w:r w:rsidR="00403A66">
        <w:rPr>
          <w:rFonts w:eastAsia="Times New Roman"/>
          <w:lang w:val="es-CL"/>
        </w:rPr>
        <w:t>cuenta</w:t>
      </w:r>
      <w:r w:rsidR="00E75B18">
        <w:rPr>
          <w:rFonts w:eastAsia="Times New Roman"/>
          <w:lang w:val="es-CL"/>
        </w:rPr>
        <w:t xml:space="preserve"> las particularidades de la situación de la presunta víctima.</w:t>
      </w:r>
    </w:p>
    <w:p w14:paraId="56008C8B" w14:textId="4FC5FCBB" w:rsidR="00A22B20" w:rsidRDefault="00A22B20"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El </w:t>
      </w:r>
      <w:r>
        <w:rPr>
          <w:rFonts w:eastAsia="Times New Roman"/>
          <w:b/>
          <w:bCs/>
          <w:i/>
          <w:iCs/>
          <w:lang w:val="es-CL"/>
        </w:rPr>
        <w:t>Estado</w:t>
      </w:r>
      <w:r>
        <w:rPr>
          <w:rFonts w:eastAsia="Times New Roman"/>
          <w:lang w:val="es-CL"/>
        </w:rPr>
        <w:t xml:space="preserve"> señaló que en su escrito de solicitudes argumentos y pruebas, la representante </w:t>
      </w:r>
      <w:proofErr w:type="spellStart"/>
      <w:r>
        <w:rPr>
          <w:rFonts w:eastAsia="Times New Roman"/>
          <w:lang w:val="es-CL"/>
        </w:rPr>
        <w:t>Kimerling</w:t>
      </w:r>
      <w:proofErr w:type="spellEnd"/>
      <w:r>
        <w:rPr>
          <w:rFonts w:eastAsia="Times New Roman"/>
          <w:lang w:val="es-CL"/>
        </w:rPr>
        <w:t xml:space="preserve"> solicitó de manera expresa que la </w:t>
      </w:r>
      <w:r w:rsidR="00655D6A">
        <w:rPr>
          <w:rFonts w:eastAsia="Times New Roman"/>
          <w:lang w:val="es-CL"/>
        </w:rPr>
        <w:t xml:space="preserve">presunta víctima </w:t>
      </w:r>
      <w:proofErr w:type="spellStart"/>
      <w:r w:rsidR="00655D6A">
        <w:rPr>
          <w:rFonts w:eastAsia="Times New Roman"/>
          <w:lang w:val="es-CL"/>
        </w:rPr>
        <w:t>Tewe</w:t>
      </w:r>
      <w:proofErr w:type="spellEnd"/>
      <w:r w:rsidR="00655D6A">
        <w:rPr>
          <w:rFonts w:eastAsia="Times New Roman"/>
          <w:lang w:val="es-CL"/>
        </w:rPr>
        <w:t xml:space="preserve"> Dayuma Michela Conta pueda declarar ante el Tribunal durante la audiencia pública</w:t>
      </w:r>
      <w:r w:rsidR="00995740">
        <w:rPr>
          <w:rFonts w:eastAsia="Times New Roman"/>
          <w:lang w:val="es-CL"/>
        </w:rPr>
        <w:t>, solicitud que contó con el acuerdo del Estado.</w:t>
      </w:r>
      <w:r w:rsidR="00A70775">
        <w:rPr>
          <w:rFonts w:eastAsia="Times New Roman"/>
          <w:lang w:val="es-CL"/>
        </w:rPr>
        <w:t xml:space="preserve"> Indicó que la representante ha reiterado el derecho de Conta a expresarse directamente en la </w:t>
      </w:r>
      <w:r w:rsidR="00CB3B6B">
        <w:rPr>
          <w:rFonts w:eastAsia="Times New Roman"/>
          <w:lang w:val="es-CL"/>
        </w:rPr>
        <w:t>audiencia, lo cual debería apreciarse con la jurisprudencia de la Corte respecto al respeto a la opinión de los niños, niñas y adolescentes indígenas</w:t>
      </w:r>
      <w:r w:rsidR="00AA6D23">
        <w:rPr>
          <w:rFonts w:eastAsia="Times New Roman"/>
          <w:lang w:val="es-CL"/>
        </w:rPr>
        <w:t>. De esta forma alegó que</w:t>
      </w:r>
      <w:r w:rsidR="00D271E8">
        <w:rPr>
          <w:rFonts w:eastAsia="Times New Roman"/>
          <w:lang w:val="es-CL"/>
        </w:rPr>
        <w:t>,</w:t>
      </w:r>
      <w:r w:rsidR="00AA6D23">
        <w:rPr>
          <w:rFonts w:eastAsia="Times New Roman"/>
          <w:lang w:val="es-CL"/>
        </w:rPr>
        <w:t xml:space="preserve"> para garantizar dichos derechos en observancia al interés superior del niño</w:t>
      </w:r>
      <w:r w:rsidR="00A07711">
        <w:rPr>
          <w:rFonts w:eastAsia="Times New Roman"/>
          <w:lang w:val="es-CL"/>
        </w:rPr>
        <w:t>, el Estado ofreció “las facilidades para el traslado de la presunta víctima con las medidas necesarias a la audiencia pública</w:t>
      </w:r>
      <w:r w:rsidR="009A5223">
        <w:rPr>
          <w:rFonts w:eastAsia="Times New Roman"/>
          <w:lang w:val="es-CL"/>
        </w:rPr>
        <w:t xml:space="preserve">. En caso de imposibilidad de la primera medida, ofrece bajo disposición del tribunal que la declaración de la presunta víctima se desarrolle en vivo dentro del mismo territorio en la comunidad indígena de </w:t>
      </w:r>
      <w:proofErr w:type="spellStart"/>
      <w:r w:rsidR="009A5223">
        <w:rPr>
          <w:rFonts w:eastAsia="Times New Roman"/>
          <w:lang w:val="es-CL"/>
        </w:rPr>
        <w:t>Bameno</w:t>
      </w:r>
      <w:proofErr w:type="spellEnd"/>
      <w:r w:rsidR="009A5223">
        <w:rPr>
          <w:rFonts w:eastAsia="Times New Roman"/>
          <w:lang w:val="es-CL"/>
        </w:rPr>
        <w:t xml:space="preserve"> a través de una plataforma que permita una videoconferencia, a fin de que este modo, el derecho de defensa y el contradictorio se encuentren garantizados”.</w:t>
      </w:r>
    </w:p>
    <w:p w14:paraId="797D5EF5" w14:textId="0C99B9D4" w:rsidR="00405A88" w:rsidRDefault="00405A88"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La </w:t>
      </w:r>
      <w:r>
        <w:rPr>
          <w:rFonts w:eastAsia="Times New Roman"/>
          <w:b/>
          <w:bCs/>
          <w:i/>
          <w:iCs/>
          <w:lang w:val="es-CL"/>
        </w:rPr>
        <w:t xml:space="preserve">representación de </w:t>
      </w:r>
      <w:proofErr w:type="spellStart"/>
      <w:r>
        <w:rPr>
          <w:rFonts w:eastAsia="Times New Roman"/>
          <w:b/>
          <w:bCs/>
          <w:i/>
          <w:iCs/>
          <w:lang w:val="es-CL"/>
        </w:rPr>
        <w:t>Tewe</w:t>
      </w:r>
      <w:proofErr w:type="spellEnd"/>
      <w:r>
        <w:rPr>
          <w:rFonts w:eastAsia="Times New Roman"/>
          <w:b/>
          <w:bCs/>
          <w:i/>
          <w:iCs/>
          <w:lang w:val="es-CL"/>
        </w:rPr>
        <w:t xml:space="preserve"> Dayuma Michela Conta</w:t>
      </w:r>
      <w:r>
        <w:rPr>
          <w:rFonts w:eastAsia="Times New Roman"/>
          <w:lang w:val="es-CL"/>
        </w:rPr>
        <w:t xml:space="preserve"> alegó </w:t>
      </w:r>
      <w:r w:rsidR="005A4C6E">
        <w:rPr>
          <w:rFonts w:eastAsia="Times New Roman"/>
          <w:lang w:val="es-CL"/>
        </w:rPr>
        <w:t xml:space="preserve">que </w:t>
      </w:r>
      <w:r w:rsidR="008458D5">
        <w:rPr>
          <w:rFonts w:eastAsia="Times New Roman"/>
          <w:lang w:val="es-CL"/>
        </w:rPr>
        <w:t>respetar la voluntad de su representada implica “no forzarla a traslados que le generen incert</w:t>
      </w:r>
      <w:r w:rsidR="008E35B1">
        <w:rPr>
          <w:rFonts w:eastAsia="Times New Roman"/>
          <w:lang w:val="es-CL"/>
        </w:rPr>
        <w:t>idumbre y angustia, en especial en atención a su calidad de madre de una bebé lactante”.</w:t>
      </w:r>
      <w:r w:rsidR="00715DD3">
        <w:rPr>
          <w:rFonts w:eastAsia="Times New Roman"/>
          <w:lang w:val="es-CL"/>
        </w:rPr>
        <w:t xml:space="preserve"> Agregó que existen dificultades y riesgos para el traslado, en particular en el contexto actual de la pandemia. Agregó el hecho de que en la localidad de </w:t>
      </w:r>
      <w:proofErr w:type="spellStart"/>
      <w:r w:rsidR="00715DD3">
        <w:rPr>
          <w:rFonts w:eastAsia="Times New Roman"/>
          <w:lang w:val="es-CL"/>
        </w:rPr>
        <w:t>Bameno</w:t>
      </w:r>
      <w:proofErr w:type="spellEnd"/>
      <w:r w:rsidR="00715DD3">
        <w:rPr>
          <w:rFonts w:eastAsia="Times New Roman"/>
          <w:lang w:val="es-CL"/>
        </w:rPr>
        <w:t xml:space="preserve"> el internet es muy inestable, su acceso depende además de factores climáticos, lo q</w:t>
      </w:r>
      <w:r w:rsidR="005E44EF">
        <w:rPr>
          <w:rFonts w:eastAsia="Times New Roman"/>
          <w:lang w:val="es-CL"/>
        </w:rPr>
        <w:t xml:space="preserve">ue no permite una adecuada participación de su representada vía </w:t>
      </w:r>
      <w:proofErr w:type="gramStart"/>
      <w:r w:rsidR="005E44EF">
        <w:rPr>
          <w:rFonts w:eastAsia="Times New Roman"/>
          <w:lang w:val="es-CL"/>
        </w:rPr>
        <w:t>zoom</w:t>
      </w:r>
      <w:proofErr w:type="gramEnd"/>
      <w:r w:rsidR="005E44EF">
        <w:rPr>
          <w:rFonts w:eastAsia="Times New Roman"/>
          <w:lang w:val="es-CL"/>
        </w:rPr>
        <w:t>.</w:t>
      </w:r>
      <w:r w:rsidR="00724F91">
        <w:rPr>
          <w:rFonts w:eastAsia="Times New Roman"/>
          <w:lang w:val="es-CL"/>
        </w:rPr>
        <w:t xml:space="preserve"> Asimismo, consideró que el declarar sin la presencia de su representación, generaría más estrés en su representada, su familia y su comunidad, por lo que solicitó que se rechace la solicitud del Estado.</w:t>
      </w:r>
      <w:r w:rsidR="009B2A97">
        <w:rPr>
          <w:rFonts w:eastAsia="Times New Roman"/>
          <w:lang w:val="es-CL"/>
        </w:rPr>
        <w:t xml:space="preserve"> </w:t>
      </w:r>
    </w:p>
    <w:p w14:paraId="0277F375" w14:textId="5EFC403B" w:rsidR="00796F7E" w:rsidRDefault="00796F7E"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La </w:t>
      </w:r>
      <w:r>
        <w:rPr>
          <w:rFonts w:eastAsia="Times New Roman"/>
          <w:b/>
          <w:bCs/>
          <w:i/>
          <w:iCs/>
          <w:lang w:val="es-CL"/>
        </w:rPr>
        <w:t>Comisión</w:t>
      </w:r>
      <w:r>
        <w:rPr>
          <w:rFonts w:eastAsia="Times New Roman"/>
          <w:lang w:val="es-CL"/>
        </w:rPr>
        <w:t xml:space="preserve"> consideró que el requerimiento estatal no toma en cuenta la voluntad d</w:t>
      </w:r>
      <w:r w:rsidR="003852B8">
        <w:rPr>
          <w:rFonts w:eastAsia="Times New Roman"/>
          <w:lang w:val="es-CL"/>
        </w:rPr>
        <w:t>e la</w:t>
      </w:r>
      <w:r>
        <w:rPr>
          <w:rFonts w:eastAsia="Times New Roman"/>
          <w:lang w:val="es-CL"/>
        </w:rPr>
        <w:t xml:space="preserve"> joven </w:t>
      </w:r>
      <w:proofErr w:type="spellStart"/>
      <w:r>
        <w:rPr>
          <w:rFonts w:eastAsia="Times New Roman"/>
          <w:lang w:val="es-CL"/>
        </w:rPr>
        <w:t>Tewe</w:t>
      </w:r>
      <w:proofErr w:type="spellEnd"/>
      <w:r>
        <w:rPr>
          <w:rFonts w:eastAsia="Times New Roman"/>
          <w:lang w:val="es-CL"/>
        </w:rPr>
        <w:t xml:space="preserve"> Da</w:t>
      </w:r>
      <w:r w:rsidR="003852B8">
        <w:rPr>
          <w:rFonts w:eastAsia="Times New Roman"/>
          <w:lang w:val="es-CL"/>
        </w:rPr>
        <w:t xml:space="preserve">yuma Michela Conta. Asimismo, agregó que, al momento de decidir sobre la forma de recibir la declaración de la presunta víctima, la Corte deberá “considerar la situación de la víctima, quien es una persona indígena que ha sido contactada con la sociedad ecuatoriana mayoritaria recientemente y bajo condiciones sumamente difíciles”. De la misma manera consideró que debería valorarse el impacto que podría causar un traslado repentino y no planificado en la salud física, emocional y psicológica de la presunta víctima y de su hija, en edad de lactancia. Observó, además, que la Presidencia valoró adecuadamente las escasas condiciones de conectividad </w:t>
      </w:r>
      <w:r w:rsidR="00AC285F">
        <w:rPr>
          <w:rFonts w:eastAsia="Times New Roman"/>
          <w:lang w:val="es-CL"/>
        </w:rPr>
        <w:t>y el limitado acceso a internet que existen en la comunidad indígena en la que se encuentra la víctima, cuando determinó la modalidad de su declaración.</w:t>
      </w:r>
    </w:p>
    <w:p w14:paraId="3E6D5F4A" w14:textId="35D17203" w:rsidR="00A324EA" w:rsidRDefault="00D8367F"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En primer lugar, este Tribunal </w:t>
      </w:r>
      <w:r w:rsidR="003A2BE9" w:rsidRPr="003A2BE9">
        <w:rPr>
          <w:rFonts w:eastAsia="Times New Roman"/>
          <w:lang w:val="es-CL"/>
        </w:rPr>
        <w:t xml:space="preserve">recuerda que </w:t>
      </w:r>
      <w:r w:rsidR="00137AC7">
        <w:rPr>
          <w:rFonts w:eastAsia="Times New Roman"/>
          <w:lang w:val="es-CL"/>
        </w:rPr>
        <w:t>ya</w:t>
      </w:r>
      <w:r w:rsidR="003A2BE9" w:rsidRPr="003A2BE9">
        <w:rPr>
          <w:rFonts w:eastAsia="Times New Roman"/>
          <w:lang w:val="es-CL"/>
        </w:rPr>
        <w:t xml:space="preserve"> ha destacado la utilidad de las declaraciones de las presuntas víctimas, en la medida en que pueden proporcionar </w:t>
      </w:r>
      <w:r w:rsidR="00B9001F" w:rsidRPr="003A2BE9">
        <w:rPr>
          <w:rFonts w:eastAsia="Times New Roman"/>
          <w:lang w:val="es-CL"/>
        </w:rPr>
        <w:t>más información</w:t>
      </w:r>
      <w:r w:rsidR="003A2BE9" w:rsidRPr="003A2BE9">
        <w:rPr>
          <w:rFonts w:eastAsia="Times New Roman"/>
          <w:lang w:val="es-CL"/>
        </w:rPr>
        <w:t xml:space="preserve"> sobre las violaciones alegadas y sus consecuencias</w:t>
      </w:r>
      <w:r w:rsidR="00AC5355">
        <w:rPr>
          <w:rStyle w:val="Refdenotaalpie"/>
          <w:rFonts w:eastAsia="Times New Roman"/>
          <w:lang w:val="es-CL"/>
        </w:rPr>
        <w:footnoteReference w:id="13"/>
      </w:r>
      <w:r w:rsidR="003A2BE9" w:rsidRPr="003A2BE9">
        <w:rPr>
          <w:rFonts w:eastAsia="Times New Roman"/>
          <w:lang w:val="es-CL"/>
        </w:rPr>
        <w:t>. En ese sentido, el Tribunal ha resaltado que las presuntas víctimas pueden ilustrar a la Corte respecto de las medidas de reparación que, eventualmente, podría adopta</w:t>
      </w:r>
      <w:r w:rsidR="00137AC7">
        <w:rPr>
          <w:rFonts w:eastAsia="Times New Roman"/>
          <w:lang w:val="es-CL"/>
        </w:rPr>
        <w:t>r</w:t>
      </w:r>
      <w:r w:rsidR="00B8094D">
        <w:rPr>
          <w:rStyle w:val="Refdenotaalpie"/>
          <w:rFonts w:eastAsia="Times New Roman"/>
          <w:lang w:val="es-CL"/>
        </w:rPr>
        <w:footnoteReference w:id="14"/>
      </w:r>
      <w:r w:rsidR="00137AC7">
        <w:rPr>
          <w:rFonts w:eastAsia="Times New Roman"/>
          <w:lang w:val="es-CL"/>
        </w:rPr>
        <w:t>.</w:t>
      </w:r>
      <w:r w:rsidR="003A2BE9" w:rsidRPr="003A2BE9">
        <w:rPr>
          <w:rFonts w:eastAsia="Times New Roman"/>
          <w:lang w:val="es-CL"/>
        </w:rPr>
        <w:t xml:space="preserve"> Además, la </w:t>
      </w:r>
      <w:r w:rsidR="00137AC7">
        <w:rPr>
          <w:rFonts w:eastAsia="Times New Roman"/>
          <w:lang w:val="es-CL"/>
        </w:rPr>
        <w:t>Corte</w:t>
      </w:r>
      <w:r w:rsidR="003A2BE9" w:rsidRPr="003A2BE9">
        <w:rPr>
          <w:rFonts w:eastAsia="Times New Roman"/>
          <w:lang w:val="es-CL"/>
        </w:rPr>
        <w:t xml:space="preserve"> </w:t>
      </w:r>
      <w:r w:rsidR="003A2BE9" w:rsidRPr="003A2BE9">
        <w:rPr>
          <w:rFonts w:eastAsia="Times New Roman"/>
          <w:lang w:val="es-CL"/>
        </w:rPr>
        <w:lastRenderedPageBreak/>
        <w:t>reitera el carácter central que tienen las presuntas víctimas en el proceso</w:t>
      </w:r>
      <w:r w:rsidR="00B8094D">
        <w:rPr>
          <w:rStyle w:val="Refdenotaalpie"/>
          <w:rFonts w:eastAsia="Times New Roman"/>
          <w:lang w:val="es-CL"/>
        </w:rPr>
        <w:footnoteReference w:id="15"/>
      </w:r>
      <w:r w:rsidR="003A2BE9" w:rsidRPr="003A2BE9">
        <w:rPr>
          <w:rFonts w:eastAsia="Times New Roman"/>
          <w:lang w:val="es-CL"/>
        </w:rPr>
        <w:t>.</w:t>
      </w:r>
      <w:r w:rsidR="00B8094D">
        <w:rPr>
          <w:rFonts w:eastAsia="Times New Roman"/>
          <w:lang w:val="es-CL"/>
        </w:rPr>
        <w:t xml:space="preserve"> </w:t>
      </w:r>
    </w:p>
    <w:p w14:paraId="0E3909A1" w14:textId="4B52B16C" w:rsidR="00D8367F" w:rsidRDefault="00B8094D"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En este caso en particular, la Corte debe, además, tomar en cuenta que la presunta víctima es una persona menor de edad, joven madre que forma parte de un pueblo indígena en contacto inicial con la sociedad mayoritaria ecuatoriana. De esta forma, se deben tomar medidas que garanticen su derecho a ser oída, pero que no contribuyan a una eventual revictimización o </w:t>
      </w:r>
      <w:r w:rsidR="009328D0">
        <w:rPr>
          <w:rFonts w:eastAsia="Times New Roman"/>
          <w:lang w:val="es-CL"/>
        </w:rPr>
        <w:t>que pongan en riesgo su salud física o mental y su proceso de incorporación luego de vivir en aislamiento.</w:t>
      </w:r>
    </w:p>
    <w:p w14:paraId="1D5BC8CB" w14:textId="2633FEEF" w:rsidR="00326ED5" w:rsidRDefault="00326ED5"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Esta Corte </w:t>
      </w:r>
      <w:r w:rsidR="004554D8">
        <w:rPr>
          <w:rFonts w:eastAsia="Times New Roman"/>
          <w:lang w:val="es-CL"/>
        </w:rPr>
        <w:t>subraya que fue la propia presunta víctima, a través de su representante, qu</w:t>
      </w:r>
      <w:r w:rsidR="00DD4DBA">
        <w:rPr>
          <w:rFonts w:eastAsia="Times New Roman"/>
          <w:lang w:val="es-CL"/>
        </w:rPr>
        <w:t>ien</w:t>
      </w:r>
      <w:r w:rsidR="004554D8">
        <w:rPr>
          <w:rFonts w:eastAsia="Times New Roman"/>
          <w:lang w:val="es-CL"/>
        </w:rPr>
        <w:t xml:space="preserve"> hizo la solicitud de que su testimonio fuera recibido por medio de videograbación, en atención a su situación actual de joven madre en período de lactancia, cuyo desplazamiento a otro país sería sumamente complicado y podría convertirse en una situación de revictimización. Asimismo, </w:t>
      </w:r>
      <w:r w:rsidR="00DD4DBA">
        <w:rPr>
          <w:rFonts w:eastAsia="Times New Roman"/>
          <w:lang w:val="es-CL"/>
        </w:rPr>
        <w:t xml:space="preserve">al momento de establecer la modalidad de recepción de esta declaración, el </w:t>
      </w:r>
      <w:proofErr w:type="gramStart"/>
      <w:r w:rsidR="00DD4DBA">
        <w:rPr>
          <w:rFonts w:eastAsia="Times New Roman"/>
          <w:lang w:val="es-CL"/>
        </w:rPr>
        <w:t>Presidente</w:t>
      </w:r>
      <w:proofErr w:type="gramEnd"/>
      <w:r w:rsidR="00DD4DBA">
        <w:rPr>
          <w:rFonts w:eastAsia="Times New Roman"/>
          <w:lang w:val="es-CL"/>
        </w:rPr>
        <w:t xml:space="preserve"> de la Corte tomó en cuenta las dificultades respecto al acceso a Internet en la comunidad de </w:t>
      </w:r>
      <w:proofErr w:type="spellStart"/>
      <w:r w:rsidR="00DD4DBA">
        <w:rPr>
          <w:rFonts w:eastAsia="Times New Roman"/>
          <w:lang w:val="es-CL"/>
        </w:rPr>
        <w:t>Bameno</w:t>
      </w:r>
      <w:proofErr w:type="spellEnd"/>
      <w:r w:rsidR="00DD4DBA">
        <w:rPr>
          <w:rFonts w:eastAsia="Times New Roman"/>
          <w:lang w:val="es-CL"/>
        </w:rPr>
        <w:t>. Por lo anterior, esta Corte no considera que deba apartarse de las consideraciones tomadas en cuenta para aceptar la declaración de la presunta víctima por videograbación, ya que esta modalidad corresponde a la voluntad misma de la presunta víctima y representa la forma menos gravosa de que pueda ser oída, en atención a su situación particular.</w:t>
      </w:r>
    </w:p>
    <w:p w14:paraId="33C7D0AC" w14:textId="33044DAA" w:rsidR="00012B7A" w:rsidRDefault="00012B7A"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Por otra parte, esta Corte reitera</w:t>
      </w:r>
      <w:r w:rsidR="001D6EB2">
        <w:rPr>
          <w:rFonts w:eastAsia="Times New Roman"/>
          <w:lang w:val="es-CL"/>
        </w:rPr>
        <w:t xml:space="preserve"> la posibilidad de que</w:t>
      </w:r>
      <w:r w:rsidR="00246B19">
        <w:rPr>
          <w:rFonts w:eastAsia="Times New Roman"/>
          <w:lang w:val="es-CL"/>
        </w:rPr>
        <w:t xml:space="preserve">, en el marco de este caso, </w:t>
      </w:r>
      <w:r w:rsidR="001D6EB2">
        <w:rPr>
          <w:rFonts w:eastAsia="Times New Roman"/>
          <w:lang w:val="es-CL"/>
        </w:rPr>
        <w:t xml:space="preserve">se realice una visita al territorio ancestral Tagaeri </w:t>
      </w:r>
      <w:proofErr w:type="spellStart"/>
      <w:r w:rsidR="001D6EB2">
        <w:rPr>
          <w:rFonts w:eastAsia="Times New Roman"/>
          <w:lang w:val="es-CL"/>
        </w:rPr>
        <w:t>Bameno</w:t>
      </w:r>
      <w:proofErr w:type="spellEnd"/>
      <w:r w:rsidR="001D6EB2">
        <w:rPr>
          <w:rFonts w:eastAsia="Times New Roman"/>
          <w:lang w:val="es-CL"/>
        </w:rPr>
        <w:t xml:space="preserve"> (</w:t>
      </w:r>
      <w:r w:rsidR="001D6EB2">
        <w:rPr>
          <w:rFonts w:eastAsia="Times New Roman"/>
          <w:i/>
          <w:iCs/>
          <w:lang w:val="es-CL"/>
        </w:rPr>
        <w:t xml:space="preserve">supra, </w:t>
      </w:r>
      <w:r w:rsidR="001D6EB2">
        <w:rPr>
          <w:rFonts w:eastAsia="Times New Roman"/>
          <w:lang w:val="es-CL"/>
        </w:rPr>
        <w:t xml:space="preserve">considerando </w:t>
      </w:r>
      <w:r w:rsidR="001F283C">
        <w:rPr>
          <w:rFonts w:eastAsia="Times New Roman"/>
          <w:lang w:val="es-CL"/>
        </w:rPr>
        <w:t>8). De realizarse esta visita, también podría ser una nueva oportunidad para oír a la presunta víctima y que la misma pueda ser interrogada por las partes.</w:t>
      </w:r>
    </w:p>
    <w:p w14:paraId="0C9FAC6C" w14:textId="176612C4" w:rsidR="00585907" w:rsidRDefault="00585907" w:rsidP="00E15BE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De esta forma, se rechaza la solicitud del Estado de que la presunta víctima sea oída ya sea de forma presencial o por videoconferencia durante la audiencia. </w:t>
      </w:r>
      <w:r w:rsidR="00A324EA">
        <w:rPr>
          <w:rFonts w:eastAsia="Times New Roman"/>
          <w:lang w:val="es-CL"/>
        </w:rPr>
        <w:t xml:space="preserve">Se confirma la modalidad establecida por la Resolución del </w:t>
      </w:r>
      <w:proofErr w:type="gramStart"/>
      <w:r w:rsidR="00A324EA">
        <w:rPr>
          <w:rFonts w:eastAsia="Times New Roman"/>
          <w:lang w:val="es-CL"/>
        </w:rPr>
        <w:t>Presidente</w:t>
      </w:r>
      <w:proofErr w:type="gramEnd"/>
      <w:r w:rsidR="00A324EA">
        <w:rPr>
          <w:rFonts w:eastAsia="Times New Roman"/>
          <w:lang w:val="es-CL"/>
        </w:rPr>
        <w:t xml:space="preserve"> de la Corte</w:t>
      </w:r>
      <w:r w:rsidR="00C1093B">
        <w:rPr>
          <w:rFonts w:eastAsia="Times New Roman"/>
          <w:lang w:val="es-CL"/>
        </w:rPr>
        <w:t xml:space="preserve"> para la recepción por videograbación de la declaración de </w:t>
      </w:r>
      <w:proofErr w:type="spellStart"/>
      <w:r w:rsidR="00C1093B">
        <w:rPr>
          <w:rFonts w:eastAsia="Times New Roman"/>
          <w:lang w:val="es-CL"/>
        </w:rPr>
        <w:t>Tewe</w:t>
      </w:r>
      <w:proofErr w:type="spellEnd"/>
      <w:r w:rsidR="00C1093B">
        <w:rPr>
          <w:rFonts w:eastAsia="Times New Roman"/>
          <w:lang w:val="es-CL"/>
        </w:rPr>
        <w:t xml:space="preserve"> Dayuma Michela Conta.</w:t>
      </w:r>
    </w:p>
    <w:p w14:paraId="1EA47216" w14:textId="77777777" w:rsidR="00E15BE8" w:rsidRDefault="00E15BE8" w:rsidP="00E15BE8">
      <w:pPr>
        <w:tabs>
          <w:tab w:val="left" w:pos="567"/>
        </w:tabs>
        <w:spacing w:after="0" w:line="240" w:lineRule="auto"/>
        <w:jc w:val="both"/>
        <w:rPr>
          <w:rFonts w:cs="Verdana"/>
          <w:b/>
          <w:bCs/>
          <w:szCs w:val="20"/>
          <w:lang w:val="es-CR"/>
        </w:rPr>
      </w:pPr>
      <w:r>
        <w:rPr>
          <w:rFonts w:cs="Verdana"/>
          <w:b/>
          <w:bCs/>
          <w:szCs w:val="20"/>
          <w:lang w:val="es-CR"/>
        </w:rPr>
        <w:t>POR TANTO:</w:t>
      </w:r>
    </w:p>
    <w:p w14:paraId="25B97622" w14:textId="77777777" w:rsidR="00E15BE8" w:rsidRDefault="00E15BE8" w:rsidP="00E15BE8">
      <w:pPr>
        <w:tabs>
          <w:tab w:val="left" w:pos="567"/>
        </w:tabs>
        <w:spacing w:after="0" w:line="240" w:lineRule="auto"/>
        <w:jc w:val="both"/>
        <w:rPr>
          <w:rFonts w:cs="Verdana"/>
          <w:b/>
          <w:bCs/>
          <w:szCs w:val="20"/>
          <w:lang w:val="es-CR"/>
        </w:rPr>
      </w:pPr>
    </w:p>
    <w:p w14:paraId="56F5BC69" w14:textId="77777777" w:rsidR="00E15BE8" w:rsidRDefault="00E15BE8" w:rsidP="00E15BE8">
      <w:pPr>
        <w:tabs>
          <w:tab w:val="left" w:pos="567"/>
        </w:tabs>
        <w:spacing w:after="0" w:line="240" w:lineRule="auto"/>
        <w:jc w:val="both"/>
        <w:rPr>
          <w:rFonts w:cs="Verdana"/>
          <w:b/>
          <w:bCs/>
          <w:szCs w:val="20"/>
          <w:lang w:val="es-CR"/>
        </w:rPr>
      </w:pPr>
    </w:p>
    <w:p w14:paraId="2C49DB9E" w14:textId="77777777" w:rsidR="00E15BE8" w:rsidRDefault="00E15BE8" w:rsidP="00E15BE8">
      <w:pPr>
        <w:tabs>
          <w:tab w:val="left" w:pos="567"/>
        </w:tabs>
        <w:spacing w:after="0" w:line="240" w:lineRule="auto"/>
        <w:jc w:val="both"/>
        <w:rPr>
          <w:rFonts w:cs="Verdana"/>
          <w:b/>
          <w:bCs/>
          <w:szCs w:val="20"/>
          <w:lang w:val="es-CR"/>
        </w:rPr>
      </w:pPr>
      <w:r>
        <w:rPr>
          <w:rFonts w:cs="Verdana"/>
          <w:b/>
          <w:bCs/>
          <w:szCs w:val="20"/>
          <w:lang w:val="es-CR"/>
        </w:rPr>
        <w:t xml:space="preserve">LA CORTE INTERAMERICANA DE DERECHOS HUMANOS, </w:t>
      </w:r>
    </w:p>
    <w:p w14:paraId="287AFD37" w14:textId="77777777" w:rsidR="00E15BE8" w:rsidRDefault="00E15BE8" w:rsidP="00E15BE8">
      <w:pPr>
        <w:tabs>
          <w:tab w:val="left" w:pos="567"/>
        </w:tabs>
        <w:spacing w:after="0" w:line="240" w:lineRule="auto"/>
        <w:jc w:val="both"/>
        <w:rPr>
          <w:rFonts w:cs="Verdana"/>
          <w:b/>
          <w:bCs/>
          <w:szCs w:val="20"/>
          <w:lang w:val="es-CR"/>
        </w:rPr>
      </w:pPr>
    </w:p>
    <w:p w14:paraId="1150DF08" w14:textId="77777777" w:rsidR="00E15BE8" w:rsidRDefault="00E15BE8" w:rsidP="00E15BE8">
      <w:pPr>
        <w:tabs>
          <w:tab w:val="left" w:pos="567"/>
        </w:tabs>
        <w:spacing w:after="0" w:line="240" w:lineRule="auto"/>
        <w:jc w:val="both"/>
        <w:rPr>
          <w:rFonts w:cs="Verdana"/>
          <w:szCs w:val="20"/>
          <w:lang w:val="es-CR"/>
        </w:rPr>
      </w:pPr>
      <w:r>
        <w:t>de conformidad con el artículo 25.2 del Estatuto de la Corte y con el artículo 31.2 del Reglamento</w:t>
      </w:r>
      <w:r>
        <w:rPr>
          <w:rFonts w:cs="Verdana"/>
          <w:szCs w:val="20"/>
          <w:lang w:val="es-CR"/>
        </w:rPr>
        <w:t xml:space="preserve">, </w:t>
      </w:r>
    </w:p>
    <w:p w14:paraId="6688E449" w14:textId="77777777" w:rsidR="00E15BE8" w:rsidRDefault="00E15BE8" w:rsidP="00E15BE8">
      <w:pPr>
        <w:tabs>
          <w:tab w:val="left" w:pos="567"/>
        </w:tabs>
        <w:spacing w:after="0" w:line="240" w:lineRule="auto"/>
        <w:jc w:val="both"/>
        <w:rPr>
          <w:rFonts w:cs="Verdana"/>
          <w:szCs w:val="20"/>
          <w:lang w:val="es-CR"/>
        </w:rPr>
      </w:pPr>
      <w:r>
        <w:rPr>
          <w:rFonts w:cs="Verdana"/>
          <w:szCs w:val="20"/>
          <w:lang w:val="es-CR"/>
        </w:rPr>
        <w:t xml:space="preserve"> </w:t>
      </w:r>
    </w:p>
    <w:p w14:paraId="2CAAAF12" w14:textId="77777777" w:rsidR="00E15BE8" w:rsidRDefault="00E15BE8" w:rsidP="00E15BE8">
      <w:pPr>
        <w:tabs>
          <w:tab w:val="left" w:pos="567"/>
        </w:tabs>
        <w:spacing w:after="0" w:line="240" w:lineRule="auto"/>
        <w:jc w:val="both"/>
        <w:rPr>
          <w:rFonts w:cs="Verdana"/>
          <w:szCs w:val="20"/>
          <w:lang w:val="es-CR"/>
        </w:rPr>
      </w:pPr>
    </w:p>
    <w:p w14:paraId="2B0B0441" w14:textId="77777777" w:rsidR="00E15BE8" w:rsidRDefault="00E15BE8" w:rsidP="00E15BE8">
      <w:pPr>
        <w:tabs>
          <w:tab w:val="left" w:pos="567"/>
        </w:tabs>
        <w:spacing w:after="0" w:line="240" w:lineRule="auto"/>
        <w:jc w:val="both"/>
        <w:rPr>
          <w:rFonts w:cs="Verdana"/>
          <w:b/>
          <w:bCs/>
          <w:szCs w:val="20"/>
          <w:lang w:val="es-CR"/>
        </w:rPr>
      </w:pPr>
      <w:r>
        <w:rPr>
          <w:rFonts w:cs="Verdana"/>
          <w:b/>
          <w:bCs/>
          <w:szCs w:val="20"/>
          <w:lang w:val="es-CR"/>
        </w:rPr>
        <w:t>RESUELVE:</w:t>
      </w:r>
    </w:p>
    <w:p w14:paraId="60AF0CB9" w14:textId="77777777" w:rsidR="00E15BE8" w:rsidRDefault="00E15BE8" w:rsidP="00E15BE8">
      <w:pPr>
        <w:tabs>
          <w:tab w:val="left" w:pos="567"/>
        </w:tabs>
        <w:spacing w:after="0" w:line="240" w:lineRule="auto"/>
        <w:jc w:val="both"/>
        <w:rPr>
          <w:rFonts w:cs="Verdana"/>
          <w:b/>
          <w:bCs/>
          <w:szCs w:val="20"/>
          <w:lang w:val="es-CR"/>
        </w:rPr>
      </w:pPr>
    </w:p>
    <w:p w14:paraId="3688109D" w14:textId="67C1F848" w:rsidR="00E15BE8" w:rsidRDefault="00E15BE8" w:rsidP="00E15BE8">
      <w:pPr>
        <w:tabs>
          <w:tab w:val="left" w:pos="567"/>
        </w:tabs>
        <w:spacing w:after="0" w:line="240" w:lineRule="auto"/>
        <w:jc w:val="both"/>
        <w:rPr>
          <w:rFonts w:cs="Verdana"/>
          <w:szCs w:val="20"/>
          <w:lang w:val="es-CR"/>
        </w:rPr>
      </w:pPr>
      <w:r>
        <w:rPr>
          <w:rFonts w:cs="Verdana"/>
          <w:szCs w:val="20"/>
          <w:lang w:val="es-CR"/>
        </w:rPr>
        <w:t xml:space="preserve">Por </w:t>
      </w:r>
      <w:r w:rsidR="003C39E7">
        <w:rPr>
          <w:rFonts w:cs="Verdana"/>
          <w:szCs w:val="20"/>
          <w:lang w:val="es-CR"/>
        </w:rPr>
        <w:t>unanimidad</w:t>
      </w:r>
      <w:r>
        <w:rPr>
          <w:rFonts w:cs="Verdana"/>
          <w:szCs w:val="20"/>
          <w:lang w:val="es-CR"/>
        </w:rPr>
        <w:t>,</w:t>
      </w:r>
    </w:p>
    <w:p w14:paraId="1CF23718" w14:textId="77777777" w:rsidR="00E15BE8" w:rsidRDefault="00E15BE8" w:rsidP="00E15BE8">
      <w:pPr>
        <w:tabs>
          <w:tab w:val="left" w:pos="567"/>
        </w:tabs>
        <w:spacing w:after="0" w:line="240" w:lineRule="auto"/>
        <w:jc w:val="both"/>
        <w:rPr>
          <w:rFonts w:cs="Verdana"/>
          <w:color w:val="000000"/>
          <w:szCs w:val="20"/>
          <w:lang w:val="es-CR" w:eastAsia="es-ES"/>
        </w:rPr>
      </w:pPr>
      <w:bookmarkStart w:id="2" w:name="_Ref230577466"/>
    </w:p>
    <w:bookmarkEnd w:id="2"/>
    <w:p w14:paraId="22D2AD06" w14:textId="56FC15EC" w:rsidR="00B76172" w:rsidRPr="00B76172" w:rsidRDefault="00B76172"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rFonts w:cs="Verdana"/>
          <w:color w:val="000000"/>
          <w:szCs w:val="20"/>
          <w:lang w:val="es-CR" w:eastAsia="es-ES"/>
        </w:rPr>
        <w:t xml:space="preserve">Declarar improcedente la solicitud de </w:t>
      </w:r>
      <w:r w:rsidRPr="00B76172">
        <w:rPr>
          <w:rFonts w:eastAsia="MS Mincho" w:cs="Times"/>
          <w:szCs w:val="20"/>
          <w:lang w:val="es-CR"/>
        </w:rPr>
        <w:t xml:space="preserve">reconsideración formulada por el interviniente común respecto a la modalidad de recepción del testimonio de la señora Alicia </w:t>
      </w:r>
      <w:proofErr w:type="spellStart"/>
      <w:r w:rsidRPr="00B76172">
        <w:rPr>
          <w:rFonts w:eastAsia="MS Mincho" w:cs="Times"/>
          <w:szCs w:val="20"/>
          <w:lang w:val="es-CR"/>
        </w:rPr>
        <w:t>Cahuiya</w:t>
      </w:r>
      <w:proofErr w:type="spellEnd"/>
      <w:r w:rsidRPr="00B76172">
        <w:rPr>
          <w:rFonts w:eastAsia="MS Mincho" w:cs="Times"/>
          <w:szCs w:val="20"/>
          <w:lang w:val="es-CR"/>
        </w:rPr>
        <w:t>.</w:t>
      </w:r>
    </w:p>
    <w:p w14:paraId="0744925B" w14:textId="2C716BCA" w:rsidR="00B76172" w:rsidRPr="00B76172" w:rsidRDefault="00B76172"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rFonts w:eastAsia="MS Mincho" w:cs="Times"/>
          <w:szCs w:val="20"/>
          <w:lang w:val="es-CR"/>
        </w:rPr>
        <w:t xml:space="preserve">Desestimar el recurso presentado por el Estado del Ecuador contra la Resolución del </w:t>
      </w:r>
      <w:proofErr w:type="gramStart"/>
      <w:r w:rsidRPr="00B76172">
        <w:rPr>
          <w:rFonts w:eastAsia="MS Mincho" w:cs="Times"/>
          <w:szCs w:val="20"/>
          <w:lang w:val="es-CR"/>
        </w:rPr>
        <w:t>Presidente</w:t>
      </w:r>
      <w:proofErr w:type="gramEnd"/>
      <w:r w:rsidRPr="00B76172">
        <w:rPr>
          <w:rFonts w:eastAsia="MS Mincho" w:cs="Times"/>
          <w:szCs w:val="20"/>
          <w:lang w:val="es-CR"/>
        </w:rPr>
        <w:t xml:space="preserve"> de la Corte Interamericana de Derechos Humanos de 19 de julio de 2022, </w:t>
      </w:r>
      <w:r w:rsidRPr="00B76172">
        <w:rPr>
          <w:rFonts w:eastAsia="MS Mincho" w:cs="Times"/>
          <w:szCs w:val="20"/>
          <w:lang w:val="es-CR"/>
        </w:rPr>
        <w:lastRenderedPageBreak/>
        <w:t>respecto a la sustitución del peritaje de la señora María Belén Bau</w:t>
      </w:r>
      <w:r w:rsidR="003D4BC9">
        <w:rPr>
          <w:rFonts w:eastAsia="MS Mincho" w:cs="Times"/>
          <w:szCs w:val="20"/>
          <w:lang w:val="es-CR"/>
        </w:rPr>
        <w:t>s</w:t>
      </w:r>
      <w:r w:rsidRPr="00B76172">
        <w:rPr>
          <w:rFonts w:eastAsia="MS Mincho" w:cs="Times"/>
          <w:szCs w:val="20"/>
          <w:lang w:val="es-CR"/>
        </w:rPr>
        <w:t xml:space="preserve"> y, por ende, confirmar dicha resolución sobre este punto.</w:t>
      </w:r>
    </w:p>
    <w:p w14:paraId="6CAF51FF" w14:textId="77777777" w:rsidR="00B76172" w:rsidRPr="00B76172" w:rsidRDefault="00B76172"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rFonts w:eastAsia="MS Mincho" w:cs="Times"/>
          <w:szCs w:val="20"/>
          <w:lang w:val="es-CR"/>
        </w:rPr>
        <w:t xml:space="preserve">Desestimar el recurso presentado por el Estado del Ecuador contra la Resolución del </w:t>
      </w:r>
      <w:proofErr w:type="gramStart"/>
      <w:r w:rsidRPr="00B76172">
        <w:rPr>
          <w:rFonts w:eastAsia="MS Mincho" w:cs="Times"/>
          <w:szCs w:val="20"/>
          <w:lang w:val="es-CR"/>
        </w:rPr>
        <w:t>Presidente</w:t>
      </w:r>
      <w:proofErr w:type="gramEnd"/>
      <w:r w:rsidRPr="00B76172">
        <w:rPr>
          <w:rFonts w:eastAsia="MS Mincho" w:cs="Times"/>
          <w:szCs w:val="20"/>
          <w:lang w:val="es-CR"/>
        </w:rPr>
        <w:t xml:space="preserve"> de la Corte Interamericana de Derechos Humanos de 19 de julio de 2022, respecto a modalidad de la declaración del señor Roberto Narváez y, por ende, confirmar dicha resolución sobre este punto.</w:t>
      </w:r>
    </w:p>
    <w:p w14:paraId="1CE99288" w14:textId="77777777" w:rsidR="00B76172" w:rsidRPr="00B76172" w:rsidRDefault="00B76172"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rFonts w:eastAsia="MS Mincho" w:cs="Times"/>
          <w:szCs w:val="20"/>
          <w:lang w:val="es-CR"/>
        </w:rPr>
        <w:t xml:space="preserve">Desestimar el recurso presentado por el Estado del Ecuador contra la Resolución del </w:t>
      </w:r>
      <w:proofErr w:type="gramStart"/>
      <w:r w:rsidRPr="00B76172">
        <w:rPr>
          <w:rFonts w:eastAsia="MS Mincho" w:cs="Times"/>
          <w:szCs w:val="20"/>
          <w:lang w:val="es-CR"/>
        </w:rPr>
        <w:t>Presidente</w:t>
      </w:r>
      <w:proofErr w:type="gramEnd"/>
      <w:r w:rsidRPr="00B76172">
        <w:rPr>
          <w:rFonts w:eastAsia="MS Mincho" w:cs="Times"/>
          <w:szCs w:val="20"/>
          <w:lang w:val="es-CR"/>
        </w:rPr>
        <w:t xml:space="preserve"> de la Corte Interamericana de Derechos Humanos de 19 de julio de 2022, respecto a la inadmisibilidad de los peritajes de las señoras Paola Maldonado y Victoria </w:t>
      </w:r>
      <w:proofErr w:type="spellStart"/>
      <w:r w:rsidRPr="00B76172">
        <w:rPr>
          <w:rFonts w:eastAsia="MS Mincho" w:cs="Times"/>
          <w:szCs w:val="20"/>
          <w:lang w:val="es-CR"/>
        </w:rPr>
        <w:t>Tauli</w:t>
      </w:r>
      <w:proofErr w:type="spellEnd"/>
      <w:r w:rsidRPr="00B76172">
        <w:rPr>
          <w:rFonts w:eastAsia="MS Mincho" w:cs="Times"/>
          <w:szCs w:val="20"/>
          <w:lang w:val="es-CR"/>
        </w:rPr>
        <w:t xml:space="preserve"> </w:t>
      </w:r>
      <w:proofErr w:type="spellStart"/>
      <w:r w:rsidRPr="00B76172">
        <w:rPr>
          <w:rFonts w:eastAsia="MS Mincho" w:cs="Times"/>
          <w:szCs w:val="20"/>
          <w:lang w:val="es-CR"/>
        </w:rPr>
        <w:t>Corpuz</w:t>
      </w:r>
      <w:proofErr w:type="spellEnd"/>
      <w:r w:rsidRPr="00B76172">
        <w:rPr>
          <w:rFonts w:eastAsia="MS Mincho" w:cs="Times"/>
          <w:szCs w:val="20"/>
          <w:lang w:val="es-CR"/>
        </w:rPr>
        <w:t xml:space="preserve"> y, por ende, confirmar dicha resolución sobre este punto.</w:t>
      </w:r>
    </w:p>
    <w:p w14:paraId="3DB5F9AC" w14:textId="77777777" w:rsidR="00B76172" w:rsidRDefault="00B76172"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rFonts w:eastAsia="MS Mincho" w:cs="Times"/>
          <w:szCs w:val="20"/>
          <w:lang w:val="es-CR"/>
        </w:rPr>
        <w:t xml:space="preserve">Desestimar la solicitud del Estado del Ecuador de que la declaración de la presunta víctima </w:t>
      </w:r>
      <w:proofErr w:type="spellStart"/>
      <w:r w:rsidRPr="00B76172">
        <w:rPr>
          <w:rFonts w:eastAsia="MS Mincho" w:cs="Times"/>
          <w:szCs w:val="20"/>
          <w:lang w:val="es-CR"/>
        </w:rPr>
        <w:t>Tewe</w:t>
      </w:r>
      <w:proofErr w:type="spellEnd"/>
      <w:r w:rsidRPr="00B76172">
        <w:rPr>
          <w:rFonts w:eastAsia="MS Mincho" w:cs="Times"/>
          <w:szCs w:val="20"/>
          <w:lang w:val="es-CR"/>
        </w:rPr>
        <w:t xml:space="preserve"> Dayuma Michela Conta sea recibida durante la audiencia pública ya sea de forma presencial o por videoconferencia y, por ende, confirmar la recepción de dicha declaración por videograbación tal y como fue establecido por la Resolución del </w:t>
      </w:r>
      <w:proofErr w:type="gramStart"/>
      <w:r w:rsidRPr="00B76172">
        <w:rPr>
          <w:rFonts w:eastAsia="MS Mincho" w:cs="Times"/>
          <w:szCs w:val="20"/>
          <w:lang w:val="es-CR"/>
        </w:rPr>
        <w:t>Presidente</w:t>
      </w:r>
      <w:proofErr w:type="gramEnd"/>
      <w:r w:rsidRPr="00B76172">
        <w:rPr>
          <w:rFonts w:eastAsia="MS Mincho" w:cs="Times"/>
          <w:szCs w:val="20"/>
          <w:lang w:val="es-CR"/>
        </w:rPr>
        <w:t xml:space="preserve"> de la Corte Interamericana de Derechos Humanos de 19 de julio de 2022.</w:t>
      </w:r>
    </w:p>
    <w:p w14:paraId="777530CD" w14:textId="358B57D9" w:rsidR="00E15BE8" w:rsidRPr="00B76172" w:rsidRDefault="00E15BE8" w:rsidP="005B74CB">
      <w:pPr>
        <w:pStyle w:val="Prrafodelista"/>
        <w:numPr>
          <w:ilvl w:val="0"/>
          <w:numId w:val="8"/>
        </w:numPr>
        <w:tabs>
          <w:tab w:val="left" w:pos="567"/>
        </w:tabs>
        <w:spacing w:before="240" w:after="240" w:line="240" w:lineRule="auto"/>
        <w:ind w:left="0" w:firstLine="0"/>
        <w:contextualSpacing w:val="0"/>
        <w:jc w:val="both"/>
        <w:rPr>
          <w:rFonts w:eastAsia="MS Mincho" w:cs="Times"/>
          <w:szCs w:val="20"/>
          <w:lang w:val="es-CR"/>
        </w:rPr>
      </w:pPr>
      <w:r w:rsidRPr="00B76172">
        <w:rPr>
          <w:szCs w:val="20"/>
          <w:lang w:val="es-CR"/>
        </w:rPr>
        <w:t xml:space="preserve">Disponer que la Secretaría de la Corte Interamericana de Derechos Humanos notifique la presente Resolución a la Comisión Interamericana de Derechos Humanos, a </w:t>
      </w:r>
      <w:r w:rsidR="00837D6B" w:rsidRPr="00B76172">
        <w:rPr>
          <w:szCs w:val="20"/>
          <w:lang w:val="es-CR"/>
        </w:rPr>
        <w:t>las representaciones de la presunta víctima</w:t>
      </w:r>
      <w:r w:rsidRPr="00B76172">
        <w:rPr>
          <w:szCs w:val="20"/>
          <w:lang w:val="es-CR"/>
        </w:rPr>
        <w:t xml:space="preserve"> y al Estado.</w:t>
      </w:r>
    </w:p>
    <w:p w14:paraId="0EC62484" w14:textId="77777777" w:rsidR="00C97CFF" w:rsidRDefault="00C97CFF" w:rsidP="00E15BE8">
      <w:pPr>
        <w:tabs>
          <w:tab w:val="left" w:pos="567"/>
        </w:tabs>
        <w:spacing w:before="240" w:after="240" w:line="240" w:lineRule="auto"/>
        <w:jc w:val="both"/>
        <w:rPr>
          <w:rFonts w:cs="Verdana"/>
          <w:bCs/>
          <w:szCs w:val="20"/>
          <w:lang w:val="es-ES"/>
        </w:rPr>
      </w:pPr>
    </w:p>
    <w:p w14:paraId="06078F80" w14:textId="77777777" w:rsidR="00C97CFF" w:rsidRDefault="00C97CFF" w:rsidP="00E15BE8">
      <w:pPr>
        <w:tabs>
          <w:tab w:val="left" w:pos="567"/>
        </w:tabs>
        <w:spacing w:before="240" w:after="240" w:line="240" w:lineRule="auto"/>
        <w:jc w:val="both"/>
        <w:rPr>
          <w:rFonts w:cs="Verdana"/>
          <w:bCs/>
          <w:szCs w:val="20"/>
          <w:lang w:val="es-ES"/>
        </w:rPr>
      </w:pPr>
    </w:p>
    <w:p w14:paraId="339DE1C2" w14:textId="77777777" w:rsidR="00C97CFF" w:rsidRDefault="00C97CFF" w:rsidP="00E15BE8">
      <w:pPr>
        <w:tabs>
          <w:tab w:val="left" w:pos="567"/>
        </w:tabs>
        <w:spacing w:before="240" w:after="240" w:line="240" w:lineRule="auto"/>
        <w:jc w:val="both"/>
        <w:rPr>
          <w:rFonts w:cs="Verdana"/>
          <w:bCs/>
          <w:szCs w:val="20"/>
          <w:lang w:val="es-ES"/>
        </w:rPr>
      </w:pPr>
    </w:p>
    <w:p w14:paraId="27DB952F" w14:textId="77777777" w:rsidR="00C97CFF" w:rsidRDefault="00C97CFF" w:rsidP="00E15BE8">
      <w:pPr>
        <w:tabs>
          <w:tab w:val="left" w:pos="567"/>
        </w:tabs>
        <w:spacing w:before="240" w:after="240" w:line="240" w:lineRule="auto"/>
        <w:jc w:val="both"/>
        <w:rPr>
          <w:rFonts w:cs="Verdana"/>
          <w:bCs/>
          <w:szCs w:val="20"/>
          <w:lang w:val="es-ES"/>
        </w:rPr>
      </w:pPr>
    </w:p>
    <w:p w14:paraId="7820B9E2" w14:textId="77777777" w:rsidR="00C97CFF" w:rsidRDefault="00C97CFF" w:rsidP="00E15BE8">
      <w:pPr>
        <w:tabs>
          <w:tab w:val="left" w:pos="567"/>
        </w:tabs>
        <w:spacing w:before="240" w:after="240" w:line="240" w:lineRule="auto"/>
        <w:jc w:val="both"/>
        <w:rPr>
          <w:rFonts w:cs="Verdana"/>
          <w:bCs/>
          <w:szCs w:val="20"/>
          <w:lang w:val="es-ES"/>
        </w:rPr>
      </w:pPr>
    </w:p>
    <w:p w14:paraId="722E1F83" w14:textId="77777777" w:rsidR="00C97CFF" w:rsidRDefault="00C97CFF" w:rsidP="00E15BE8">
      <w:pPr>
        <w:tabs>
          <w:tab w:val="left" w:pos="567"/>
        </w:tabs>
        <w:spacing w:before="240" w:after="240" w:line="240" w:lineRule="auto"/>
        <w:jc w:val="both"/>
        <w:rPr>
          <w:rFonts w:cs="Verdana"/>
          <w:bCs/>
          <w:szCs w:val="20"/>
          <w:lang w:val="es-ES"/>
        </w:rPr>
      </w:pPr>
    </w:p>
    <w:p w14:paraId="1D8A2505" w14:textId="77777777" w:rsidR="00C97CFF" w:rsidRDefault="00C97CFF" w:rsidP="00E15BE8">
      <w:pPr>
        <w:tabs>
          <w:tab w:val="left" w:pos="567"/>
        </w:tabs>
        <w:spacing w:before="240" w:after="240" w:line="240" w:lineRule="auto"/>
        <w:jc w:val="both"/>
        <w:rPr>
          <w:rFonts w:cs="Verdana"/>
          <w:bCs/>
          <w:szCs w:val="20"/>
          <w:lang w:val="es-ES"/>
        </w:rPr>
      </w:pPr>
    </w:p>
    <w:p w14:paraId="3CBA2A88" w14:textId="77777777" w:rsidR="00C97CFF" w:rsidRDefault="00C97CFF" w:rsidP="00E15BE8">
      <w:pPr>
        <w:tabs>
          <w:tab w:val="left" w:pos="567"/>
        </w:tabs>
        <w:spacing w:before="240" w:after="240" w:line="240" w:lineRule="auto"/>
        <w:jc w:val="both"/>
        <w:rPr>
          <w:rFonts w:cs="Verdana"/>
          <w:bCs/>
          <w:szCs w:val="20"/>
          <w:lang w:val="es-ES"/>
        </w:rPr>
      </w:pPr>
    </w:p>
    <w:p w14:paraId="5AF7E178" w14:textId="77777777" w:rsidR="00C97CFF" w:rsidRDefault="00C97CFF" w:rsidP="00E15BE8">
      <w:pPr>
        <w:tabs>
          <w:tab w:val="left" w:pos="567"/>
        </w:tabs>
        <w:spacing w:before="240" w:after="240" w:line="240" w:lineRule="auto"/>
        <w:jc w:val="both"/>
        <w:rPr>
          <w:rFonts w:cs="Verdana"/>
          <w:bCs/>
          <w:szCs w:val="20"/>
          <w:lang w:val="es-ES"/>
        </w:rPr>
      </w:pPr>
    </w:p>
    <w:p w14:paraId="592C55A5" w14:textId="77777777" w:rsidR="00C97CFF" w:rsidRDefault="00C97CFF" w:rsidP="00E15BE8">
      <w:pPr>
        <w:tabs>
          <w:tab w:val="left" w:pos="567"/>
        </w:tabs>
        <w:spacing w:before="240" w:after="240" w:line="240" w:lineRule="auto"/>
        <w:jc w:val="both"/>
        <w:rPr>
          <w:rFonts w:cs="Verdana"/>
          <w:bCs/>
          <w:szCs w:val="20"/>
          <w:lang w:val="es-ES"/>
        </w:rPr>
      </w:pPr>
    </w:p>
    <w:p w14:paraId="37F04EC6" w14:textId="77777777" w:rsidR="00C97CFF" w:rsidRDefault="00C97CFF" w:rsidP="00E15BE8">
      <w:pPr>
        <w:tabs>
          <w:tab w:val="left" w:pos="567"/>
        </w:tabs>
        <w:spacing w:before="240" w:after="240" w:line="240" w:lineRule="auto"/>
        <w:jc w:val="both"/>
        <w:rPr>
          <w:rFonts w:cs="Verdana"/>
          <w:bCs/>
          <w:szCs w:val="20"/>
          <w:lang w:val="es-ES"/>
        </w:rPr>
      </w:pPr>
    </w:p>
    <w:p w14:paraId="4F5634FB" w14:textId="77777777" w:rsidR="00C97CFF" w:rsidRDefault="00C97CFF" w:rsidP="00E15BE8">
      <w:pPr>
        <w:tabs>
          <w:tab w:val="left" w:pos="567"/>
        </w:tabs>
        <w:spacing w:before="240" w:after="240" w:line="240" w:lineRule="auto"/>
        <w:jc w:val="both"/>
        <w:rPr>
          <w:rFonts w:cs="Verdana"/>
          <w:bCs/>
          <w:szCs w:val="20"/>
          <w:lang w:val="es-ES"/>
        </w:rPr>
      </w:pPr>
    </w:p>
    <w:p w14:paraId="3678B755" w14:textId="77777777" w:rsidR="00C97CFF" w:rsidRDefault="00C97CFF" w:rsidP="00E15BE8">
      <w:pPr>
        <w:tabs>
          <w:tab w:val="left" w:pos="567"/>
        </w:tabs>
        <w:spacing w:before="240" w:after="240" w:line="240" w:lineRule="auto"/>
        <w:jc w:val="both"/>
        <w:rPr>
          <w:rFonts w:cs="Verdana"/>
          <w:bCs/>
          <w:szCs w:val="20"/>
          <w:lang w:val="es-ES"/>
        </w:rPr>
      </w:pPr>
    </w:p>
    <w:p w14:paraId="2D2A4B0D" w14:textId="77777777" w:rsidR="00C97CFF" w:rsidRDefault="00C97CFF" w:rsidP="00E15BE8">
      <w:pPr>
        <w:tabs>
          <w:tab w:val="left" w:pos="567"/>
        </w:tabs>
        <w:spacing w:before="240" w:after="240" w:line="240" w:lineRule="auto"/>
        <w:jc w:val="both"/>
        <w:rPr>
          <w:rFonts w:cs="Verdana"/>
          <w:bCs/>
          <w:szCs w:val="20"/>
          <w:lang w:val="es-ES"/>
        </w:rPr>
      </w:pPr>
    </w:p>
    <w:p w14:paraId="442AFE55" w14:textId="77777777" w:rsidR="00C97CFF" w:rsidRDefault="00C97CFF" w:rsidP="00E15BE8">
      <w:pPr>
        <w:tabs>
          <w:tab w:val="left" w:pos="567"/>
        </w:tabs>
        <w:spacing w:before="240" w:after="240" w:line="240" w:lineRule="auto"/>
        <w:jc w:val="both"/>
        <w:rPr>
          <w:rFonts w:cs="Verdana"/>
          <w:bCs/>
          <w:szCs w:val="20"/>
          <w:lang w:val="es-ES"/>
        </w:rPr>
      </w:pPr>
    </w:p>
    <w:p w14:paraId="16E24590" w14:textId="4679C2BA" w:rsidR="00E15BE8" w:rsidRDefault="00E15BE8" w:rsidP="00E15BE8">
      <w:pPr>
        <w:tabs>
          <w:tab w:val="left" w:pos="567"/>
        </w:tabs>
        <w:spacing w:before="240" w:after="240" w:line="240" w:lineRule="auto"/>
        <w:jc w:val="both"/>
        <w:rPr>
          <w:rFonts w:cs="Verdana"/>
          <w:bCs/>
          <w:szCs w:val="20"/>
          <w:lang w:val="es-ES"/>
        </w:rPr>
      </w:pPr>
      <w:r>
        <w:rPr>
          <w:rFonts w:cs="Verdana"/>
          <w:bCs/>
          <w:szCs w:val="20"/>
          <w:lang w:val="es-ES"/>
        </w:rPr>
        <w:lastRenderedPageBreak/>
        <w:t xml:space="preserve">Corte IDH. </w:t>
      </w:r>
      <w:r>
        <w:rPr>
          <w:rFonts w:cs="Verdana"/>
          <w:bCs/>
          <w:i/>
          <w:iCs/>
          <w:szCs w:val="20"/>
          <w:lang w:val="es-ES"/>
        </w:rPr>
        <w:t xml:space="preserve">Caso </w:t>
      </w:r>
      <w:r w:rsidR="00837D6B">
        <w:rPr>
          <w:rFonts w:cs="Verdana"/>
          <w:bCs/>
          <w:i/>
          <w:iCs/>
          <w:szCs w:val="20"/>
          <w:lang w:val="es-ES"/>
        </w:rPr>
        <w:t xml:space="preserve">Pueblos Indígenas Tagaeri y </w:t>
      </w:r>
      <w:proofErr w:type="spellStart"/>
      <w:r w:rsidR="00837D6B">
        <w:rPr>
          <w:rFonts w:cs="Verdana"/>
          <w:bCs/>
          <w:i/>
          <w:iCs/>
          <w:szCs w:val="20"/>
          <w:lang w:val="es-ES"/>
        </w:rPr>
        <w:t>Taromenane</w:t>
      </w:r>
      <w:proofErr w:type="spellEnd"/>
      <w:r w:rsidR="00837D6B">
        <w:rPr>
          <w:rFonts w:cs="Verdana"/>
          <w:bCs/>
          <w:i/>
          <w:iCs/>
          <w:szCs w:val="20"/>
          <w:lang w:val="es-ES"/>
        </w:rPr>
        <w:t xml:space="preserve"> </w:t>
      </w:r>
      <w:r w:rsidR="00656EED">
        <w:rPr>
          <w:rFonts w:cs="Verdana"/>
          <w:bCs/>
          <w:i/>
          <w:iCs/>
          <w:szCs w:val="20"/>
          <w:lang w:val="es-ES"/>
        </w:rPr>
        <w:t>V</w:t>
      </w:r>
      <w:r w:rsidR="00837D6B">
        <w:rPr>
          <w:rFonts w:cs="Verdana"/>
          <w:bCs/>
          <w:i/>
          <w:iCs/>
          <w:szCs w:val="20"/>
          <w:lang w:val="es-ES"/>
        </w:rPr>
        <w:t>s. Ecuador</w:t>
      </w:r>
      <w:r>
        <w:rPr>
          <w:rFonts w:cs="Verdana"/>
          <w:bCs/>
          <w:i/>
          <w:iCs/>
          <w:szCs w:val="20"/>
          <w:lang w:val="es-ES"/>
        </w:rPr>
        <w:t xml:space="preserve">. </w:t>
      </w:r>
      <w:r>
        <w:rPr>
          <w:rFonts w:cs="Verdana"/>
          <w:bCs/>
          <w:szCs w:val="20"/>
          <w:lang w:val="es-ES"/>
        </w:rPr>
        <w:t xml:space="preserve">Resolución de la Corte Interamericana de Derechos Humanos de </w:t>
      </w:r>
      <w:r w:rsidR="00440005">
        <w:rPr>
          <w:rFonts w:cs="Verdana"/>
          <w:bCs/>
          <w:szCs w:val="20"/>
          <w:lang w:val="es-ES"/>
        </w:rPr>
        <w:t>1</w:t>
      </w:r>
      <w:r w:rsidR="00307DEB">
        <w:rPr>
          <w:rFonts w:cs="Verdana"/>
          <w:bCs/>
          <w:szCs w:val="20"/>
          <w:lang w:val="es-ES"/>
        </w:rPr>
        <w:t>8</w:t>
      </w:r>
      <w:r w:rsidR="00440005">
        <w:rPr>
          <w:rFonts w:cs="Verdana"/>
          <w:bCs/>
          <w:szCs w:val="20"/>
          <w:lang w:val="es-ES"/>
        </w:rPr>
        <w:t xml:space="preserve"> </w:t>
      </w:r>
      <w:r w:rsidR="00837D6B">
        <w:rPr>
          <w:rFonts w:cs="Verdana"/>
          <w:bCs/>
          <w:szCs w:val="20"/>
          <w:lang w:val="es-ES"/>
        </w:rPr>
        <w:t>de agosto</w:t>
      </w:r>
      <w:r>
        <w:rPr>
          <w:rFonts w:cs="Verdana"/>
          <w:bCs/>
          <w:szCs w:val="20"/>
          <w:lang w:val="es-ES"/>
        </w:rPr>
        <w:t xml:space="preserve"> de 202</w:t>
      </w:r>
      <w:r w:rsidR="00BD339B">
        <w:rPr>
          <w:rFonts w:cs="Verdana"/>
          <w:bCs/>
          <w:szCs w:val="20"/>
          <w:lang w:val="es-ES"/>
        </w:rPr>
        <w:t>2</w:t>
      </w:r>
      <w:r>
        <w:rPr>
          <w:rFonts w:cs="Verdana"/>
          <w:bCs/>
          <w:szCs w:val="20"/>
          <w:lang w:val="es-ES"/>
        </w:rPr>
        <w:t>. Resolución adoptada en San José de Costa Rica por medio de sesión virtual.</w:t>
      </w:r>
    </w:p>
    <w:p w14:paraId="3A38D19B" w14:textId="77777777" w:rsidR="00C97CFF" w:rsidRPr="00C97CFF" w:rsidRDefault="00C97CFF" w:rsidP="00C97CFF">
      <w:pPr>
        <w:spacing w:after="0" w:line="240" w:lineRule="auto"/>
        <w:jc w:val="center"/>
        <w:rPr>
          <w:rFonts w:eastAsia="Batang" w:cs="Times"/>
          <w:szCs w:val="20"/>
          <w:lang w:val="es-ES"/>
        </w:rPr>
      </w:pPr>
    </w:p>
    <w:p w14:paraId="30CDF084" w14:textId="6BB006B6" w:rsidR="00C97CFF" w:rsidRPr="008F0275" w:rsidRDefault="00C97CFF" w:rsidP="00C97CFF">
      <w:pPr>
        <w:spacing w:after="0" w:line="240" w:lineRule="auto"/>
        <w:jc w:val="center"/>
        <w:rPr>
          <w:rFonts w:eastAsia="Batang" w:cs="Times"/>
          <w:szCs w:val="20"/>
          <w:lang w:val="es-ES"/>
        </w:rPr>
      </w:pPr>
    </w:p>
    <w:p w14:paraId="6790BD2F" w14:textId="77777777" w:rsidR="00C97CFF" w:rsidRPr="00C97CFF" w:rsidRDefault="00C97CFF" w:rsidP="00C97CFF">
      <w:pPr>
        <w:spacing w:after="0" w:line="240" w:lineRule="auto"/>
        <w:jc w:val="center"/>
        <w:rPr>
          <w:rFonts w:eastAsia="Batang" w:cs="Times"/>
          <w:szCs w:val="20"/>
          <w:lang w:val="es-ES"/>
        </w:rPr>
      </w:pPr>
    </w:p>
    <w:p w14:paraId="36B6ADFC" w14:textId="77777777" w:rsidR="00C97CFF" w:rsidRPr="00C97CFF" w:rsidRDefault="00C97CFF" w:rsidP="00C97CFF">
      <w:pPr>
        <w:spacing w:after="0" w:line="240" w:lineRule="auto"/>
        <w:jc w:val="center"/>
        <w:rPr>
          <w:rFonts w:eastAsia="Batang" w:cs="Times"/>
          <w:szCs w:val="20"/>
          <w:lang w:val="es-ES"/>
        </w:rPr>
      </w:pPr>
    </w:p>
    <w:p w14:paraId="193D6455" w14:textId="77777777" w:rsidR="00C97CFF" w:rsidRPr="00C97CFF" w:rsidRDefault="00C97CFF" w:rsidP="00C97CFF">
      <w:pPr>
        <w:spacing w:after="0" w:line="240" w:lineRule="auto"/>
        <w:jc w:val="center"/>
        <w:rPr>
          <w:rFonts w:eastAsia="Batang" w:cs="Times"/>
          <w:szCs w:val="20"/>
          <w:lang w:val="es-ES"/>
        </w:rPr>
      </w:pPr>
    </w:p>
    <w:p w14:paraId="633EC4CD" w14:textId="1533CFCD" w:rsidR="00C97CFF" w:rsidRPr="00C97CFF" w:rsidRDefault="00C97CFF" w:rsidP="00C97CFF">
      <w:pPr>
        <w:spacing w:after="0" w:line="240" w:lineRule="auto"/>
        <w:jc w:val="center"/>
        <w:rPr>
          <w:rFonts w:eastAsia="Batang" w:cs="Times"/>
          <w:szCs w:val="20"/>
          <w:lang w:val="es-ES"/>
        </w:rPr>
      </w:pPr>
      <w:r w:rsidRPr="00C97CFF">
        <w:rPr>
          <w:rFonts w:eastAsia="Batang" w:cs="Times"/>
          <w:szCs w:val="20"/>
          <w:lang w:val="es-ES"/>
        </w:rPr>
        <w:t xml:space="preserve">Ricardo </w:t>
      </w:r>
      <w:r w:rsidR="00470A6E">
        <w:rPr>
          <w:rFonts w:eastAsia="Batang" w:cs="Times"/>
          <w:szCs w:val="20"/>
          <w:lang w:val="es-ES"/>
        </w:rPr>
        <w:t xml:space="preserve">C. </w:t>
      </w:r>
      <w:r w:rsidRPr="00C97CFF">
        <w:rPr>
          <w:rFonts w:eastAsia="Batang" w:cs="Times"/>
          <w:szCs w:val="20"/>
          <w:lang w:val="es-ES"/>
        </w:rPr>
        <w:t>Pérez Manrique</w:t>
      </w:r>
    </w:p>
    <w:p w14:paraId="7A10E7F4" w14:textId="77777777" w:rsidR="00C97CFF" w:rsidRPr="00C97CFF" w:rsidRDefault="00C97CFF" w:rsidP="00C97CFF">
      <w:pPr>
        <w:spacing w:after="0" w:line="240" w:lineRule="auto"/>
        <w:jc w:val="center"/>
        <w:rPr>
          <w:rFonts w:eastAsia="Batang" w:cs="Times"/>
          <w:szCs w:val="20"/>
          <w:lang w:val="es-ES"/>
        </w:rPr>
      </w:pPr>
      <w:r w:rsidRPr="00C97CFF">
        <w:rPr>
          <w:rFonts w:eastAsia="Batang" w:cs="Times"/>
          <w:szCs w:val="20"/>
          <w:lang w:val="es-ES"/>
        </w:rPr>
        <w:t>Presidente</w:t>
      </w:r>
    </w:p>
    <w:p w14:paraId="759F62AA" w14:textId="35EC06EC" w:rsidR="00C97CFF" w:rsidRPr="00C97CFF" w:rsidRDefault="00C97CFF" w:rsidP="00C97CFF">
      <w:pPr>
        <w:spacing w:after="0" w:line="240" w:lineRule="auto"/>
        <w:jc w:val="both"/>
        <w:rPr>
          <w:rFonts w:eastAsia="Batang" w:cs="Times"/>
          <w:szCs w:val="20"/>
          <w:lang w:val="es-ES"/>
        </w:rPr>
      </w:pPr>
    </w:p>
    <w:p w14:paraId="7E990AAA" w14:textId="77777777" w:rsidR="00C97CFF" w:rsidRPr="00C97CFF" w:rsidRDefault="00C97CFF" w:rsidP="00C97CFF">
      <w:pPr>
        <w:spacing w:after="0" w:line="240" w:lineRule="auto"/>
        <w:jc w:val="both"/>
        <w:rPr>
          <w:rFonts w:eastAsia="Batang" w:cs="Times"/>
          <w:szCs w:val="20"/>
          <w:lang w:val="es-ES"/>
        </w:rPr>
      </w:pPr>
    </w:p>
    <w:p w14:paraId="503B2626" w14:textId="77777777" w:rsidR="00C97CFF" w:rsidRPr="00C97CFF" w:rsidRDefault="00C97CFF" w:rsidP="00C97CFF">
      <w:pPr>
        <w:spacing w:after="0" w:line="240" w:lineRule="auto"/>
        <w:jc w:val="both"/>
        <w:rPr>
          <w:rFonts w:eastAsia="Batang" w:cs="Times"/>
          <w:szCs w:val="20"/>
          <w:lang w:val="es-ES"/>
        </w:rPr>
      </w:pPr>
    </w:p>
    <w:p w14:paraId="08336C88" w14:textId="77777777" w:rsidR="00C97CFF" w:rsidRPr="00C97CFF" w:rsidRDefault="00C97CFF" w:rsidP="00C97CFF">
      <w:pPr>
        <w:spacing w:after="0" w:line="240" w:lineRule="auto"/>
        <w:jc w:val="both"/>
        <w:rPr>
          <w:rFonts w:eastAsia="Batang" w:cs="Times"/>
          <w:szCs w:val="20"/>
          <w:lang w:val="es-ES"/>
        </w:rPr>
      </w:pPr>
    </w:p>
    <w:p w14:paraId="37D74006" w14:textId="77777777" w:rsidR="00C97CFF" w:rsidRPr="00C97CFF" w:rsidRDefault="00C97CFF" w:rsidP="00C97CFF">
      <w:pPr>
        <w:spacing w:after="0" w:line="240" w:lineRule="auto"/>
        <w:jc w:val="both"/>
        <w:rPr>
          <w:rFonts w:eastAsia="Batang" w:cs="Times"/>
          <w:szCs w:val="20"/>
          <w:lang w:val="es-ES"/>
        </w:rPr>
      </w:pPr>
    </w:p>
    <w:p w14:paraId="57BFFCDF" w14:textId="77777777" w:rsidR="00C97CFF" w:rsidRPr="00C97CFF" w:rsidRDefault="00C97CFF" w:rsidP="00C97CFF">
      <w:pPr>
        <w:spacing w:after="0" w:line="240" w:lineRule="auto"/>
        <w:jc w:val="both"/>
        <w:rPr>
          <w:rFonts w:eastAsia="Batang" w:cs="Times"/>
          <w:szCs w:val="20"/>
          <w:lang w:val="es-ES"/>
        </w:rPr>
      </w:pPr>
      <w:r w:rsidRPr="00C97CFF">
        <w:rPr>
          <w:rFonts w:eastAsia="Batang" w:cs="Times"/>
          <w:szCs w:val="20"/>
          <w:lang w:val="es-ES"/>
        </w:rPr>
        <w:t>Humberto Antonio Sierra Porto</w:t>
      </w:r>
      <w:r w:rsidRPr="00C97CFF">
        <w:rPr>
          <w:rFonts w:eastAsia="Batang" w:cs="Times"/>
          <w:szCs w:val="20"/>
          <w:lang w:val="es-ES"/>
        </w:rPr>
        <w:tab/>
      </w:r>
      <w:r w:rsidRPr="00C97CFF">
        <w:rPr>
          <w:rFonts w:eastAsia="Batang" w:cs="Times"/>
          <w:szCs w:val="20"/>
          <w:lang w:val="es-ES"/>
        </w:rPr>
        <w:tab/>
      </w:r>
      <w:r w:rsidRPr="00C97CFF">
        <w:rPr>
          <w:rFonts w:eastAsia="Batang" w:cs="Times"/>
          <w:szCs w:val="20"/>
          <w:lang w:val="es-ES"/>
        </w:rPr>
        <w:tab/>
        <w:t xml:space="preserve">       Eduardo Ferrer Mac-</w:t>
      </w:r>
      <w:proofErr w:type="spellStart"/>
      <w:r w:rsidRPr="00C97CFF">
        <w:rPr>
          <w:rFonts w:eastAsia="Batang" w:cs="Times"/>
          <w:szCs w:val="20"/>
          <w:lang w:val="es-ES"/>
        </w:rPr>
        <w:t>Gregor</w:t>
      </w:r>
      <w:proofErr w:type="spellEnd"/>
      <w:r w:rsidRPr="00C97CFF">
        <w:rPr>
          <w:rFonts w:eastAsia="Batang" w:cs="Times"/>
          <w:szCs w:val="20"/>
          <w:lang w:val="es-ES"/>
        </w:rPr>
        <w:t xml:space="preserve"> </w:t>
      </w:r>
      <w:proofErr w:type="spellStart"/>
      <w:r w:rsidRPr="00C97CFF">
        <w:rPr>
          <w:rFonts w:eastAsia="Batang" w:cs="Times"/>
          <w:szCs w:val="20"/>
          <w:lang w:val="es-ES"/>
        </w:rPr>
        <w:t>Poisot</w:t>
      </w:r>
      <w:proofErr w:type="spellEnd"/>
    </w:p>
    <w:p w14:paraId="7B54D6EB" w14:textId="3AD258FC" w:rsidR="00C97CFF" w:rsidRPr="00C97CFF" w:rsidRDefault="00C97CFF" w:rsidP="00C97CFF">
      <w:pPr>
        <w:spacing w:after="0" w:line="240" w:lineRule="auto"/>
        <w:jc w:val="both"/>
        <w:rPr>
          <w:rFonts w:eastAsia="Batang" w:cs="Times"/>
          <w:szCs w:val="20"/>
          <w:lang w:val="es-ES"/>
        </w:rPr>
      </w:pPr>
    </w:p>
    <w:p w14:paraId="00C5E265" w14:textId="32AC9FCD" w:rsidR="00C97CFF" w:rsidRPr="00C97CFF" w:rsidRDefault="00C97CFF" w:rsidP="00C97CFF">
      <w:pPr>
        <w:spacing w:after="0" w:line="240" w:lineRule="auto"/>
        <w:jc w:val="both"/>
        <w:rPr>
          <w:rFonts w:eastAsia="Batang" w:cs="Times"/>
          <w:szCs w:val="20"/>
          <w:lang w:val="es-ES"/>
        </w:rPr>
      </w:pPr>
    </w:p>
    <w:p w14:paraId="428AFB42" w14:textId="77777777" w:rsidR="00C97CFF" w:rsidRPr="00C97CFF" w:rsidRDefault="00C97CFF" w:rsidP="00C97CFF">
      <w:pPr>
        <w:spacing w:after="0" w:line="240" w:lineRule="auto"/>
        <w:jc w:val="both"/>
        <w:rPr>
          <w:rFonts w:eastAsia="Batang" w:cs="Times"/>
          <w:szCs w:val="20"/>
          <w:lang w:val="es-ES"/>
        </w:rPr>
      </w:pPr>
    </w:p>
    <w:p w14:paraId="68D5E027" w14:textId="77777777" w:rsidR="00C97CFF" w:rsidRPr="00C97CFF" w:rsidRDefault="00C97CFF" w:rsidP="00C97CFF">
      <w:pPr>
        <w:spacing w:after="0" w:line="240" w:lineRule="auto"/>
        <w:jc w:val="both"/>
        <w:rPr>
          <w:rFonts w:eastAsia="Batang" w:cs="Times"/>
          <w:szCs w:val="20"/>
          <w:lang w:val="es-ES"/>
        </w:rPr>
      </w:pPr>
    </w:p>
    <w:p w14:paraId="700520EA" w14:textId="77777777" w:rsidR="00C97CFF" w:rsidRPr="00C97CFF" w:rsidRDefault="00C97CFF" w:rsidP="00C97CFF">
      <w:pPr>
        <w:spacing w:after="0" w:line="240" w:lineRule="auto"/>
        <w:jc w:val="both"/>
        <w:rPr>
          <w:rFonts w:eastAsia="Batang" w:cs="Times"/>
          <w:szCs w:val="20"/>
          <w:lang w:val="es-ES"/>
        </w:rPr>
      </w:pPr>
    </w:p>
    <w:p w14:paraId="0FCCAEAA" w14:textId="4DB86D68" w:rsidR="00C97CFF" w:rsidRPr="00C97CFF" w:rsidRDefault="00C97CFF" w:rsidP="00C97CFF">
      <w:pPr>
        <w:spacing w:after="0" w:line="240" w:lineRule="auto"/>
        <w:jc w:val="both"/>
        <w:rPr>
          <w:rFonts w:eastAsia="Batang" w:cs="Times"/>
          <w:szCs w:val="20"/>
          <w:lang w:val="es-CR"/>
        </w:rPr>
      </w:pPr>
      <w:r w:rsidRPr="00C97CFF">
        <w:rPr>
          <w:rFonts w:eastAsia="Times" w:cs="Times"/>
          <w:szCs w:val="20"/>
          <w:lang w:val="es-CR"/>
        </w:rPr>
        <w:t>Nancy Hernández López</w:t>
      </w:r>
      <w:r w:rsidRPr="00C97CFF">
        <w:rPr>
          <w:rFonts w:eastAsia="Batang" w:cs="Times"/>
          <w:szCs w:val="20"/>
          <w:lang w:val="es-CR"/>
        </w:rPr>
        <w:tab/>
      </w:r>
      <w:r w:rsidRPr="00C97CFF">
        <w:rPr>
          <w:rFonts w:eastAsia="Batang" w:cs="Times"/>
          <w:szCs w:val="20"/>
          <w:lang w:val="es-CR"/>
        </w:rPr>
        <w:tab/>
      </w:r>
      <w:r w:rsidRPr="00C97CFF">
        <w:rPr>
          <w:rFonts w:eastAsia="Batang" w:cs="Times"/>
          <w:szCs w:val="20"/>
          <w:lang w:val="es-CR"/>
        </w:rPr>
        <w:tab/>
      </w:r>
      <w:r w:rsidRPr="00C97CFF">
        <w:rPr>
          <w:rFonts w:eastAsia="Batang" w:cs="Times"/>
          <w:szCs w:val="20"/>
          <w:lang w:val="es-CR"/>
        </w:rPr>
        <w:tab/>
      </w:r>
      <w:r w:rsidRPr="00C97CFF">
        <w:rPr>
          <w:rFonts w:eastAsia="Batang" w:cs="Times"/>
          <w:szCs w:val="20"/>
          <w:lang w:val="es-CR"/>
        </w:rPr>
        <w:tab/>
      </w:r>
      <w:r w:rsidRPr="00C97CFF">
        <w:rPr>
          <w:rFonts w:eastAsia="Batang" w:cs="Times"/>
          <w:szCs w:val="20"/>
          <w:lang w:val="es-CR"/>
        </w:rPr>
        <w:tab/>
      </w:r>
      <w:proofErr w:type="gramStart"/>
      <w:r w:rsidRPr="00C97CFF">
        <w:rPr>
          <w:rFonts w:eastAsia="Batang" w:cs="Times"/>
          <w:szCs w:val="20"/>
          <w:lang w:val="es-CR"/>
        </w:rPr>
        <w:tab/>
        <w:t xml:space="preserve">  Verónica</w:t>
      </w:r>
      <w:proofErr w:type="gramEnd"/>
      <w:r w:rsidRPr="00C97CFF">
        <w:rPr>
          <w:rFonts w:eastAsia="Batang" w:cs="Times"/>
          <w:szCs w:val="20"/>
          <w:lang w:val="es-CR"/>
        </w:rPr>
        <w:t xml:space="preserve"> Gómez</w:t>
      </w:r>
    </w:p>
    <w:p w14:paraId="3A557AC3" w14:textId="77777777" w:rsidR="00C97CFF" w:rsidRPr="00C97CFF" w:rsidRDefault="00C97CFF" w:rsidP="00C97CFF">
      <w:pPr>
        <w:spacing w:after="0" w:line="240" w:lineRule="auto"/>
        <w:jc w:val="both"/>
        <w:rPr>
          <w:rFonts w:eastAsia="Batang" w:cs="Times"/>
          <w:szCs w:val="20"/>
          <w:lang w:val="es-CR"/>
        </w:rPr>
      </w:pPr>
    </w:p>
    <w:p w14:paraId="7C535DDB" w14:textId="237B56AA" w:rsidR="00C97CFF" w:rsidRPr="00C97CFF" w:rsidRDefault="00C97CFF" w:rsidP="00C97CFF">
      <w:pPr>
        <w:spacing w:after="0" w:line="240" w:lineRule="auto"/>
        <w:jc w:val="both"/>
        <w:rPr>
          <w:rFonts w:eastAsia="Batang" w:cs="Times"/>
          <w:szCs w:val="20"/>
          <w:lang w:val="es-CR"/>
        </w:rPr>
      </w:pPr>
    </w:p>
    <w:p w14:paraId="2544A4A7" w14:textId="5D6B3F8F" w:rsidR="00C97CFF" w:rsidRPr="00C97CFF" w:rsidRDefault="00C97CFF" w:rsidP="00C97CFF">
      <w:pPr>
        <w:spacing w:after="0" w:line="240" w:lineRule="auto"/>
        <w:jc w:val="both"/>
        <w:rPr>
          <w:rFonts w:eastAsia="Batang" w:cs="Times"/>
          <w:szCs w:val="20"/>
          <w:lang w:val="es-CR"/>
        </w:rPr>
      </w:pPr>
    </w:p>
    <w:p w14:paraId="556D6B84" w14:textId="374A0AB8" w:rsidR="00C97CFF" w:rsidRPr="00C97CFF" w:rsidRDefault="00C97CFF" w:rsidP="00C97CFF">
      <w:pPr>
        <w:spacing w:after="0" w:line="240" w:lineRule="auto"/>
        <w:jc w:val="both"/>
        <w:rPr>
          <w:rFonts w:eastAsia="Batang" w:cs="Times"/>
          <w:szCs w:val="20"/>
          <w:lang w:val="es-CR"/>
        </w:rPr>
      </w:pPr>
    </w:p>
    <w:p w14:paraId="61C2806A" w14:textId="4550D976" w:rsidR="00C97CFF" w:rsidRPr="00C97CFF" w:rsidRDefault="00C97CFF" w:rsidP="00C97CFF">
      <w:pPr>
        <w:spacing w:after="0" w:line="240" w:lineRule="auto"/>
        <w:jc w:val="both"/>
        <w:rPr>
          <w:rFonts w:eastAsia="Batang" w:cs="Times"/>
          <w:szCs w:val="20"/>
          <w:lang w:val="es-CR"/>
        </w:rPr>
      </w:pPr>
    </w:p>
    <w:p w14:paraId="7DC55E10" w14:textId="0F58BBB7" w:rsidR="00C97CFF" w:rsidRPr="00BD339B" w:rsidRDefault="00C97CFF" w:rsidP="00C97CFF">
      <w:pPr>
        <w:tabs>
          <w:tab w:val="center" w:pos="4419"/>
        </w:tabs>
        <w:spacing w:after="0" w:line="240" w:lineRule="auto"/>
        <w:rPr>
          <w:rFonts w:eastAsia="Batang" w:cs="Times"/>
          <w:szCs w:val="20"/>
          <w:lang w:val="es-ES"/>
        </w:rPr>
      </w:pPr>
      <w:r w:rsidRPr="00BD339B">
        <w:rPr>
          <w:rFonts w:eastAsia="Batang" w:cs="Times"/>
          <w:szCs w:val="20"/>
          <w:lang w:val="es-ES"/>
        </w:rPr>
        <w:t>Patricia Pérez Goldberg</w:t>
      </w:r>
      <w:r w:rsidRPr="00BD339B">
        <w:rPr>
          <w:rFonts w:eastAsia="Batang" w:cs="Times"/>
          <w:szCs w:val="20"/>
          <w:lang w:val="es-ES"/>
        </w:rPr>
        <w:tab/>
      </w:r>
      <w:r w:rsidRPr="00BD339B">
        <w:rPr>
          <w:rFonts w:eastAsia="Batang" w:cs="Times"/>
          <w:szCs w:val="20"/>
          <w:lang w:val="es-ES"/>
        </w:rPr>
        <w:tab/>
        <w:t xml:space="preserve">    Rodrigo de </w:t>
      </w:r>
      <w:proofErr w:type="spellStart"/>
      <w:r w:rsidRPr="00BD339B">
        <w:rPr>
          <w:rFonts w:eastAsia="Batang" w:cs="Times"/>
          <w:szCs w:val="20"/>
          <w:lang w:val="es-ES"/>
        </w:rPr>
        <w:t>Bittencourt</w:t>
      </w:r>
      <w:proofErr w:type="spellEnd"/>
      <w:r w:rsidRPr="00BD339B">
        <w:rPr>
          <w:rFonts w:eastAsia="Batang" w:cs="Times"/>
          <w:szCs w:val="20"/>
          <w:lang w:val="es-ES"/>
        </w:rPr>
        <w:t xml:space="preserve"> </w:t>
      </w:r>
      <w:proofErr w:type="spellStart"/>
      <w:r w:rsidRPr="00BD339B">
        <w:rPr>
          <w:rFonts w:eastAsia="Batang" w:cs="Times"/>
          <w:szCs w:val="20"/>
          <w:lang w:val="es-ES"/>
        </w:rPr>
        <w:t>Mudrovitsch</w:t>
      </w:r>
      <w:proofErr w:type="spellEnd"/>
    </w:p>
    <w:p w14:paraId="17B679CF" w14:textId="77777777" w:rsidR="00C97CFF" w:rsidRPr="00BD339B" w:rsidRDefault="00C97CFF" w:rsidP="00C97CFF">
      <w:pPr>
        <w:spacing w:after="0" w:line="240" w:lineRule="auto"/>
        <w:jc w:val="both"/>
        <w:rPr>
          <w:rFonts w:eastAsia="Batang" w:cs="Times"/>
          <w:szCs w:val="20"/>
          <w:lang w:val="es-ES"/>
        </w:rPr>
      </w:pPr>
    </w:p>
    <w:p w14:paraId="4E6BC68D" w14:textId="77777777" w:rsidR="00C97CFF" w:rsidRPr="00BD339B" w:rsidRDefault="00C97CFF" w:rsidP="00C97CFF">
      <w:pPr>
        <w:spacing w:after="0" w:line="240" w:lineRule="auto"/>
        <w:jc w:val="both"/>
        <w:rPr>
          <w:rFonts w:eastAsia="Batang" w:cs="Times"/>
          <w:szCs w:val="20"/>
          <w:lang w:val="es-ES"/>
        </w:rPr>
      </w:pPr>
    </w:p>
    <w:p w14:paraId="17ACEC96" w14:textId="009A8061" w:rsidR="00C97CFF" w:rsidRPr="00BD339B" w:rsidRDefault="00C97CFF" w:rsidP="00C97CFF">
      <w:pPr>
        <w:tabs>
          <w:tab w:val="left" w:pos="3945"/>
        </w:tabs>
        <w:spacing w:after="0" w:line="240" w:lineRule="auto"/>
        <w:jc w:val="both"/>
        <w:rPr>
          <w:rFonts w:eastAsia="Times" w:cs="Times"/>
          <w:szCs w:val="20"/>
          <w:lang w:val="es-ES"/>
        </w:rPr>
      </w:pPr>
      <w:r w:rsidRPr="00BD339B">
        <w:rPr>
          <w:rFonts w:eastAsia="Times" w:cs="Times"/>
          <w:szCs w:val="20"/>
          <w:lang w:val="es-ES"/>
        </w:rPr>
        <w:tab/>
      </w:r>
    </w:p>
    <w:p w14:paraId="5FFCF668" w14:textId="77777777" w:rsidR="00C97CFF" w:rsidRPr="00BD339B" w:rsidRDefault="00C97CFF" w:rsidP="00C97CFF">
      <w:pPr>
        <w:spacing w:after="0" w:line="240" w:lineRule="auto"/>
        <w:jc w:val="both"/>
        <w:rPr>
          <w:rFonts w:eastAsia="Times" w:cs="Times"/>
          <w:szCs w:val="20"/>
          <w:lang w:val="es-ES"/>
        </w:rPr>
      </w:pPr>
    </w:p>
    <w:p w14:paraId="0685CB4D" w14:textId="77777777" w:rsidR="00C97CFF" w:rsidRPr="00BD339B" w:rsidRDefault="00C97CFF" w:rsidP="00C97CFF">
      <w:pPr>
        <w:spacing w:after="0" w:line="240" w:lineRule="auto"/>
        <w:jc w:val="both"/>
        <w:rPr>
          <w:rFonts w:eastAsia="Times" w:cs="Times"/>
          <w:szCs w:val="20"/>
          <w:lang w:val="es-ES"/>
        </w:rPr>
      </w:pPr>
    </w:p>
    <w:p w14:paraId="55D50271" w14:textId="77777777" w:rsidR="00C97CFF" w:rsidRPr="00C97CFF" w:rsidRDefault="00C97CFF" w:rsidP="00C97CFF">
      <w:pPr>
        <w:spacing w:after="0" w:line="240" w:lineRule="auto"/>
        <w:jc w:val="center"/>
        <w:rPr>
          <w:rFonts w:eastAsia="Times" w:cs="Times"/>
          <w:szCs w:val="20"/>
          <w:lang w:val="es-CR"/>
        </w:rPr>
      </w:pPr>
      <w:r w:rsidRPr="00C97CFF">
        <w:rPr>
          <w:rFonts w:eastAsia="Times" w:cs="Times"/>
          <w:szCs w:val="20"/>
          <w:lang w:val="es-CR"/>
        </w:rPr>
        <w:t>Pablo Saavedra Alessandri</w:t>
      </w:r>
    </w:p>
    <w:p w14:paraId="67CB8F1A" w14:textId="77777777" w:rsidR="00C97CFF" w:rsidRPr="00C97CFF" w:rsidRDefault="00C97CFF" w:rsidP="00C97CFF">
      <w:pPr>
        <w:spacing w:after="0" w:line="240" w:lineRule="auto"/>
        <w:jc w:val="center"/>
        <w:rPr>
          <w:rFonts w:eastAsia="Times" w:cs="Times"/>
          <w:szCs w:val="20"/>
          <w:lang w:val="es-CR"/>
        </w:rPr>
      </w:pPr>
      <w:r w:rsidRPr="00C97CFF">
        <w:rPr>
          <w:rFonts w:eastAsia="Times" w:cs="Times"/>
          <w:szCs w:val="20"/>
          <w:lang w:val="es-CR"/>
        </w:rPr>
        <w:t>Secretario</w:t>
      </w:r>
    </w:p>
    <w:p w14:paraId="073DC16C" w14:textId="77777777" w:rsidR="00C97CFF" w:rsidRPr="00C97CFF" w:rsidRDefault="00C97CFF" w:rsidP="00C97CFF">
      <w:pPr>
        <w:spacing w:after="0" w:line="240" w:lineRule="auto"/>
        <w:jc w:val="both"/>
        <w:rPr>
          <w:rFonts w:eastAsia="Times" w:cs="Times"/>
          <w:szCs w:val="20"/>
          <w:lang w:val="es-CR"/>
        </w:rPr>
      </w:pPr>
    </w:p>
    <w:p w14:paraId="67321211" w14:textId="77777777" w:rsidR="00C97CFF" w:rsidRPr="00C97CFF" w:rsidRDefault="00C97CFF" w:rsidP="00C97CFF">
      <w:pPr>
        <w:spacing w:after="0" w:line="240" w:lineRule="auto"/>
        <w:jc w:val="both"/>
        <w:rPr>
          <w:rFonts w:eastAsia="Times" w:cs="Times"/>
          <w:szCs w:val="20"/>
          <w:lang w:val="es-CR"/>
        </w:rPr>
      </w:pPr>
    </w:p>
    <w:p w14:paraId="06EBFB1C" w14:textId="77777777" w:rsidR="00C97CFF" w:rsidRPr="00C97CFF" w:rsidRDefault="00C97CFF" w:rsidP="00C97CFF">
      <w:pPr>
        <w:spacing w:after="0" w:line="240" w:lineRule="auto"/>
        <w:jc w:val="both"/>
        <w:rPr>
          <w:rFonts w:eastAsia="Times" w:cs="Times"/>
          <w:szCs w:val="20"/>
          <w:lang w:val="es-CR"/>
        </w:rPr>
      </w:pPr>
    </w:p>
    <w:p w14:paraId="260D07FD" w14:textId="77777777" w:rsidR="00C97CFF" w:rsidRPr="00C97CFF" w:rsidRDefault="00C97CFF" w:rsidP="00C97CFF">
      <w:pPr>
        <w:spacing w:after="0" w:line="240" w:lineRule="auto"/>
        <w:jc w:val="both"/>
        <w:rPr>
          <w:rFonts w:eastAsia="Times" w:cs="Times"/>
          <w:szCs w:val="20"/>
          <w:lang w:val="es-CR"/>
        </w:rPr>
      </w:pPr>
      <w:r w:rsidRPr="00C97CFF">
        <w:rPr>
          <w:rFonts w:eastAsia="Times" w:cs="Times"/>
          <w:szCs w:val="20"/>
          <w:lang w:val="es-CR"/>
        </w:rPr>
        <w:t>Comuníquese y ejecútese,</w:t>
      </w:r>
    </w:p>
    <w:p w14:paraId="5CF82BD5" w14:textId="2CC16462" w:rsidR="00C97CFF" w:rsidRPr="00C97CFF" w:rsidRDefault="00C97CFF" w:rsidP="00C97CFF">
      <w:pPr>
        <w:spacing w:after="0" w:line="240" w:lineRule="auto"/>
        <w:jc w:val="both"/>
        <w:rPr>
          <w:rFonts w:eastAsia="Times" w:cs="Times"/>
          <w:szCs w:val="20"/>
          <w:lang w:val="es-CR"/>
        </w:rPr>
      </w:pPr>
    </w:p>
    <w:p w14:paraId="37B669B0" w14:textId="77777777" w:rsidR="00C97CFF" w:rsidRPr="00C97CFF" w:rsidRDefault="00C97CFF" w:rsidP="00C97CFF">
      <w:pPr>
        <w:spacing w:after="0" w:line="240" w:lineRule="auto"/>
        <w:jc w:val="both"/>
        <w:rPr>
          <w:rFonts w:eastAsia="Times" w:cs="Times"/>
          <w:szCs w:val="20"/>
          <w:lang w:val="es-CR"/>
        </w:rPr>
      </w:pPr>
    </w:p>
    <w:p w14:paraId="6C016093" w14:textId="77777777" w:rsidR="00C97CFF" w:rsidRPr="00C97CFF" w:rsidRDefault="00C97CFF" w:rsidP="00C97CFF">
      <w:pPr>
        <w:spacing w:after="0" w:line="240" w:lineRule="auto"/>
        <w:jc w:val="both"/>
        <w:rPr>
          <w:rFonts w:eastAsia="Times" w:cs="Times"/>
          <w:szCs w:val="20"/>
          <w:lang w:val="es-CR"/>
        </w:rPr>
      </w:pPr>
    </w:p>
    <w:p w14:paraId="0BE2C6DD" w14:textId="77777777" w:rsidR="00C97CFF" w:rsidRPr="00C97CFF" w:rsidRDefault="00C97CFF" w:rsidP="00C97CFF">
      <w:pPr>
        <w:spacing w:after="0" w:line="240" w:lineRule="auto"/>
        <w:jc w:val="both"/>
        <w:rPr>
          <w:rFonts w:eastAsia="Times" w:cs="Times"/>
          <w:szCs w:val="20"/>
          <w:lang w:val="es-CR"/>
        </w:rPr>
      </w:pPr>
    </w:p>
    <w:p w14:paraId="15F3CFA6" w14:textId="18B46F40" w:rsidR="00C97CFF" w:rsidRPr="00C97CFF" w:rsidRDefault="00C97CFF" w:rsidP="00470A6E">
      <w:pPr>
        <w:spacing w:after="0" w:line="240" w:lineRule="auto"/>
        <w:ind w:left="5664"/>
        <w:jc w:val="center"/>
        <w:rPr>
          <w:rFonts w:eastAsia="Batang" w:cs="Times"/>
          <w:szCs w:val="20"/>
          <w:lang w:val="es-CR"/>
        </w:rPr>
      </w:pPr>
      <w:r w:rsidRPr="00C97CFF">
        <w:rPr>
          <w:rFonts w:eastAsia="Batang" w:cs="Times"/>
          <w:szCs w:val="20"/>
          <w:lang w:val="es-CR"/>
        </w:rPr>
        <w:t xml:space="preserve">Ricardo </w:t>
      </w:r>
      <w:r w:rsidR="00470A6E">
        <w:rPr>
          <w:rFonts w:eastAsia="Batang" w:cs="Times"/>
          <w:szCs w:val="20"/>
          <w:lang w:val="es-CR"/>
        </w:rPr>
        <w:t xml:space="preserve">C. </w:t>
      </w:r>
      <w:r w:rsidRPr="00C97CFF">
        <w:rPr>
          <w:rFonts w:eastAsia="Batang" w:cs="Times"/>
          <w:szCs w:val="20"/>
          <w:lang w:val="es-CR"/>
        </w:rPr>
        <w:t>Pérez Manrique</w:t>
      </w:r>
    </w:p>
    <w:p w14:paraId="4571D218" w14:textId="7981B274" w:rsidR="00C97CFF" w:rsidRPr="00C97CFF" w:rsidRDefault="00510681" w:rsidP="00510681">
      <w:pPr>
        <w:spacing w:after="0" w:line="240" w:lineRule="auto"/>
        <w:ind w:left="6372"/>
        <w:rPr>
          <w:rFonts w:eastAsia="Batang" w:cs="Times"/>
          <w:szCs w:val="20"/>
          <w:lang w:val="es-CR"/>
        </w:rPr>
      </w:pPr>
      <w:r>
        <w:rPr>
          <w:rFonts w:eastAsia="Batang" w:cs="Times"/>
          <w:szCs w:val="20"/>
          <w:lang w:val="es-CR"/>
        </w:rPr>
        <w:t xml:space="preserve">     </w:t>
      </w:r>
      <w:r w:rsidR="00C97CFF" w:rsidRPr="00C97CFF">
        <w:rPr>
          <w:rFonts w:eastAsia="Batang" w:cs="Times"/>
          <w:szCs w:val="20"/>
          <w:lang w:val="es-CR"/>
        </w:rPr>
        <w:t>Presidente</w:t>
      </w:r>
    </w:p>
    <w:p w14:paraId="3A95C4CD" w14:textId="77777777" w:rsidR="00C97CFF" w:rsidRPr="00C97CFF" w:rsidRDefault="00C97CFF" w:rsidP="00C97CFF">
      <w:pPr>
        <w:spacing w:after="0" w:line="240" w:lineRule="auto"/>
        <w:jc w:val="both"/>
        <w:rPr>
          <w:rFonts w:eastAsia="Times" w:cs="Times"/>
          <w:szCs w:val="20"/>
          <w:lang w:val="es-CR"/>
        </w:rPr>
      </w:pPr>
    </w:p>
    <w:p w14:paraId="1EABBD66" w14:textId="77777777" w:rsidR="00C97CFF" w:rsidRPr="00C97CFF" w:rsidRDefault="00C97CFF" w:rsidP="00C97CFF">
      <w:pPr>
        <w:spacing w:after="0" w:line="240" w:lineRule="auto"/>
        <w:jc w:val="both"/>
        <w:rPr>
          <w:rFonts w:eastAsia="Times" w:cs="Times"/>
          <w:szCs w:val="20"/>
          <w:lang w:val="es-CR"/>
        </w:rPr>
      </w:pPr>
    </w:p>
    <w:p w14:paraId="3D8DAC20" w14:textId="77777777" w:rsidR="00C97CFF" w:rsidRPr="00C97CFF" w:rsidRDefault="00C97CFF" w:rsidP="00C97CFF">
      <w:pPr>
        <w:spacing w:after="0" w:line="240" w:lineRule="auto"/>
        <w:jc w:val="both"/>
        <w:rPr>
          <w:rFonts w:eastAsia="Times" w:cs="Times"/>
          <w:szCs w:val="20"/>
          <w:lang w:val="es-CR"/>
        </w:rPr>
      </w:pPr>
    </w:p>
    <w:p w14:paraId="7F1118B2" w14:textId="77777777" w:rsidR="00C97CFF" w:rsidRPr="00C97CFF" w:rsidRDefault="00C97CFF" w:rsidP="00C97CFF">
      <w:pPr>
        <w:spacing w:after="0" w:line="240" w:lineRule="auto"/>
        <w:jc w:val="both"/>
        <w:rPr>
          <w:rFonts w:eastAsia="Times" w:cs="Times"/>
          <w:szCs w:val="20"/>
          <w:lang w:val="es-CR"/>
        </w:rPr>
      </w:pPr>
    </w:p>
    <w:p w14:paraId="4DED5308" w14:textId="77777777" w:rsidR="00C97CFF" w:rsidRPr="00C97CFF" w:rsidRDefault="00C97CFF" w:rsidP="00C97CFF">
      <w:pPr>
        <w:spacing w:after="0" w:line="240" w:lineRule="auto"/>
        <w:jc w:val="both"/>
        <w:rPr>
          <w:rFonts w:eastAsia="Times" w:cs="Times"/>
          <w:szCs w:val="20"/>
          <w:lang w:val="es-CR"/>
        </w:rPr>
      </w:pPr>
      <w:r w:rsidRPr="00C97CFF">
        <w:rPr>
          <w:rFonts w:eastAsia="Times" w:cs="Times"/>
          <w:szCs w:val="20"/>
          <w:lang w:val="es-CR"/>
        </w:rPr>
        <w:t>Pablo Saavedra Alessandri</w:t>
      </w:r>
    </w:p>
    <w:p w14:paraId="2497492D" w14:textId="77777777" w:rsidR="00C97CFF" w:rsidRPr="00C97CFF" w:rsidRDefault="00C97CFF" w:rsidP="00C97CFF">
      <w:pPr>
        <w:spacing w:after="0" w:line="240" w:lineRule="auto"/>
        <w:jc w:val="both"/>
        <w:rPr>
          <w:rFonts w:eastAsia="Batang" w:cs="Times"/>
          <w:szCs w:val="20"/>
          <w:lang w:val="es-ES_tradnl"/>
        </w:rPr>
      </w:pPr>
      <w:r w:rsidRPr="00C97CFF">
        <w:rPr>
          <w:rFonts w:eastAsia="Times" w:cs="Times"/>
          <w:szCs w:val="20"/>
          <w:lang w:val="es-CR"/>
        </w:rPr>
        <w:tab/>
        <w:t>Secretario</w:t>
      </w:r>
    </w:p>
    <w:sectPr w:rsidR="00C97CFF" w:rsidRPr="00C97CFF" w:rsidSect="00840A88">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DE840" w14:textId="77777777" w:rsidR="00FE2590" w:rsidRDefault="00FE2590" w:rsidP="00E15BE8">
      <w:pPr>
        <w:spacing w:after="0" w:line="240" w:lineRule="auto"/>
      </w:pPr>
      <w:r>
        <w:separator/>
      </w:r>
    </w:p>
  </w:endnote>
  <w:endnote w:type="continuationSeparator" w:id="0">
    <w:p w14:paraId="0136F137" w14:textId="77777777" w:rsidR="00FE2590" w:rsidRDefault="00FE2590" w:rsidP="00E1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33714"/>
      <w:docPartObj>
        <w:docPartGallery w:val="Page Numbers (Bottom of Page)"/>
        <w:docPartUnique/>
      </w:docPartObj>
    </w:sdtPr>
    <w:sdtContent>
      <w:p w14:paraId="791B9C87" w14:textId="2A15D5B3" w:rsidR="00307DEB" w:rsidRDefault="00307DEB">
        <w:pPr>
          <w:pStyle w:val="Piedepgina"/>
          <w:jc w:val="center"/>
        </w:pPr>
        <w:r>
          <w:fldChar w:fldCharType="begin"/>
        </w:r>
        <w:r>
          <w:instrText>PAGE   \* MERGEFORMAT</w:instrText>
        </w:r>
        <w:r>
          <w:fldChar w:fldCharType="separate"/>
        </w:r>
        <w:r>
          <w:rPr>
            <w:lang w:val="es-ES"/>
          </w:rPr>
          <w:t>2</w:t>
        </w:r>
        <w:r>
          <w:fldChar w:fldCharType="end"/>
        </w:r>
      </w:p>
    </w:sdtContent>
  </w:sdt>
  <w:p w14:paraId="29B6EF9A" w14:textId="77777777" w:rsidR="00307DEB" w:rsidRDefault="00307D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DCCA" w14:textId="77777777" w:rsidR="00FE2590" w:rsidRDefault="00FE2590" w:rsidP="00E15BE8">
      <w:pPr>
        <w:spacing w:after="0" w:line="240" w:lineRule="auto"/>
      </w:pPr>
      <w:r>
        <w:separator/>
      </w:r>
    </w:p>
  </w:footnote>
  <w:footnote w:type="continuationSeparator" w:id="0">
    <w:p w14:paraId="789D10A8" w14:textId="77777777" w:rsidR="00FE2590" w:rsidRDefault="00FE2590" w:rsidP="00E15BE8">
      <w:pPr>
        <w:spacing w:after="0" w:line="240" w:lineRule="auto"/>
      </w:pPr>
      <w:r>
        <w:continuationSeparator/>
      </w:r>
    </w:p>
  </w:footnote>
  <w:footnote w:id="1">
    <w:p w14:paraId="34967AD4" w14:textId="6FB01A93" w:rsidR="004C79A6" w:rsidRPr="004C79A6" w:rsidRDefault="004C79A6" w:rsidP="000C5C8E">
      <w:pPr>
        <w:pStyle w:val="Textonotapie"/>
      </w:pPr>
      <w:r>
        <w:rPr>
          <w:rStyle w:val="Refdenotaalpie"/>
        </w:rPr>
        <w:footnoteRef/>
      </w:r>
      <w:r>
        <w:t xml:space="preserve"> </w:t>
      </w:r>
      <w:r>
        <w:tab/>
        <w:t xml:space="preserve">El señor Mario Melo Cevallos fue nombrado interviniente común por Cristina Ponce Villacis, abogada de los peticionarios iniciales, David Cordero Heredia, Abogado de la Confederación de Nacionalidades Indígenas del Ecuador (CONAIE) y Pablo Piedra, Abogado de </w:t>
      </w:r>
      <w:proofErr w:type="spellStart"/>
      <w:r>
        <w:t>Yasunidos</w:t>
      </w:r>
      <w:proofErr w:type="spellEnd"/>
      <w:r>
        <w:t>.</w:t>
      </w:r>
    </w:p>
  </w:footnote>
  <w:footnote w:id="2">
    <w:p w14:paraId="452EC4A2" w14:textId="0C56DF12" w:rsidR="004C79A6" w:rsidRPr="004C79A6" w:rsidRDefault="004C79A6" w:rsidP="000C5C8E">
      <w:pPr>
        <w:pStyle w:val="Textonotapie"/>
      </w:pPr>
      <w:r>
        <w:rPr>
          <w:rStyle w:val="Refdenotaalpie"/>
        </w:rPr>
        <w:footnoteRef/>
      </w:r>
      <w:r>
        <w:t xml:space="preserve"> </w:t>
      </w:r>
      <w:r>
        <w:tab/>
        <w:t xml:space="preserve">La abogada Judith </w:t>
      </w:r>
      <w:proofErr w:type="spellStart"/>
      <w:r>
        <w:t>Kimerling</w:t>
      </w:r>
      <w:proofErr w:type="spellEnd"/>
      <w:r>
        <w:t xml:space="preserve"> solicitó el 11 de mayo de 2021 ser considerada como representante de </w:t>
      </w:r>
      <w:proofErr w:type="spellStart"/>
      <w:r>
        <w:t>Tewe</w:t>
      </w:r>
      <w:proofErr w:type="spellEnd"/>
      <w:r>
        <w:t xml:space="preserve"> Dayuma Michela Conta, una de las presuntas víctimas en el caso. Esta representación fue admitida el 1 de junio de 2021.</w:t>
      </w:r>
    </w:p>
  </w:footnote>
  <w:footnote w:id="3">
    <w:p w14:paraId="314CECFB" w14:textId="6FA6F964" w:rsidR="00E33B67" w:rsidRPr="00E33B67" w:rsidRDefault="00E33B67" w:rsidP="000C5C8E">
      <w:pPr>
        <w:pStyle w:val="Textonotapie"/>
      </w:pPr>
      <w:r>
        <w:rPr>
          <w:rStyle w:val="Refdenotaalpie"/>
        </w:rPr>
        <w:footnoteRef/>
      </w:r>
      <w:r>
        <w:t xml:space="preserve"> </w:t>
      </w:r>
      <w:r>
        <w:tab/>
        <w:t xml:space="preserve">La declaración de </w:t>
      </w:r>
      <w:proofErr w:type="spellStart"/>
      <w:r>
        <w:t>Tewe</w:t>
      </w:r>
      <w:proofErr w:type="spellEnd"/>
      <w:r>
        <w:t xml:space="preserve"> Dayuma Michela Conta, la cual será presentada por medio de una grabación durante la audiencia pública.</w:t>
      </w:r>
    </w:p>
  </w:footnote>
  <w:footnote w:id="4">
    <w:p w14:paraId="5054FABD" w14:textId="732E23B9" w:rsidR="00E33B67" w:rsidRPr="00E33B67" w:rsidRDefault="00E33B67" w:rsidP="000C5C8E">
      <w:pPr>
        <w:pStyle w:val="Textonotapie"/>
      </w:pPr>
      <w:r>
        <w:rPr>
          <w:rStyle w:val="Refdenotaalpie"/>
        </w:rPr>
        <w:footnoteRef/>
      </w:r>
      <w:r>
        <w:t xml:space="preserve"> </w:t>
      </w:r>
      <w:r>
        <w:tab/>
      </w:r>
      <w:proofErr w:type="spellStart"/>
      <w:r>
        <w:t>Penti</w:t>
      </w:r>
      <w:proofErr w:type="spellEnd"/>
      <w:r>
        <w:t xml:space="preserve"> </w:t>
      </w:r>
      <w:proofErr w:type="spellStart"/>
      <w:r>
        <w:t>Bahuia</w:t>
      </w:r>
      <w:proofErr w:type="spellEnd"/>
      <w:r>
        <w:t>.</w:t>
      </w:r>
    </w:p>
  </w:footnote>
  <w:footnote w:id="5">
    <w:p w14:paraId="1CD0A789" w14:textId="7C27861D" w:rsidR="00E33B67" w:rsidRPr="00E33B67" w:rsidRDefault="00E33B67" w:rsidP="000C5C8E">
      <w:pPr>
        <w:pStyle w:val="Textonotapie"/>
      </w:pPr>
      <w:r>
        <w:rPr>
          <w:rStyle w:val="Refdenotaalpie"/>
        </w:rPr>
        <w:footnoteRef/>
      </w:r>
      <w:r>
        <w:t xml:space="preserve"> </w:t>
      </w:r>
      <w:r>
        <w:tab/>
        <w:t>Ricardo Benítez.</w:t>
      </w:r>
    </w:p>
  </w:footnote>
  <w:footnote w:id="6">
    <w:p w14:paraId="23C4B1B5" w14:textId="220AC5C9" w:rsidR="00E33B67" w:rsidRPr="00E33B67" w:rsidRDefault="00E33B67" w:rsidP="000C5C8E">
      <w:pPr>
        <w:pStyle w:val="Textonotapie"/>
      </w:pPr>
      <w:r>
        <w:rPr>
          <w:rStyle w:val="Refdenotaalpie"/>
        </w:rPr>
        <w:footnoteRef/>
      </w:r>
      <w:r>
        <w:t xml:space="preserve"> </w:t>
      </w:r>
      <w:r>
        <w:tab/>
        <w:t>Laura Rival, antropóloga.</w:t>
      </w:r>
    </w:p>
  </w:footnote>
  <w:footnote w:id="7">
    <w:p w14:paraId="7ED6A443" w14:textId="3478F4F0" w:rsidR="00E33B67" w:rsidRPr="00E33B67" w:rsidRDefault="00E33B67" w:rsidP="000C5C8E">
      <w:pPr>
        <w:pStyle w:val="Textonotapie"/>
      </w:pPr>
      <w:r>
        <w:rPr>
          <w:rStyle w:val="Refdenotaalpie"/>
        </w:rPr>
        <w:footnoteRef/>
      </w:r>
      <w:r>
        <w:t xml:space="preserve"> </w:t>
      </w:r>
      <w:r>
        <w:tab/>
        <w:t>Alejandro Parellada, antropólogo.</w:t>
      </w:r>
    </w:p>
  </w:footnote>
  <w:footnote w:id="8">
    <w:p w14:paraId="4038116E" w14:textId="176DA95C" w:rsidR="00E15BE8" w:rsidRDefault="00E15BE8" w:rsidP="000C5C8E">
      <w:pPr>
        <w:pStyle w:val="Textonotapie"/>
      </w:pPr>
      <w:r>
        <w:rPr>
          <w:rStyle w:val="Refdenotaalpie"/>
        </w:rPr>
        <w:footnoteRef/>
      </w:r>
      <w:r>
        <w:t xml:space="preserve"> </w:t>
      </w:r>
      <w:r>
        <w:tab/>
      </w:r>
      <w:r>
        <w:rPr>
          <w:i/>
          <w:iCs/>
        </w:rPr>
        <w:t>Cfr.</w:t>
      </w:r>
      <w:r>
        <w:t xml:space="preserve"> en el mismo sentido, </w:t>
      </w:r>
      <w:r>
        <w:rPr>
          <w:i/>
          <w:iCs/>
        </w:rPr>
        <w:t xml:space="preserve">Caso Mota </w:t>
      </w:r>
      <w:proofErr w:type="spellStart"/>
      <w:r>
        <w:rPr>
          <w:i/>
          <w:iCs/>
        </w:rPr>
        <w:t>Abarullo</w:t>
      </w:r>
      <w:proofErr w:type="spellEnd"/>
      <w:r>
        <w:rPr>
          <w:i/>
          <w:iCs/>
        </w:rPr>
        <w:t xml:space="preserve"> y otros Vs. Venezuela</w:t>
      </w:r>
      <w:r>
        <w:t xml:space="preserve">. Resolución de la Corte Interamericana de Derechos Humanos de 24 de agosto de 2020, Considerando 3, y </w:t>
      </w:r>
      <w:r>
        <w:rPr>
          <w:i/>
          <w:iCs/>
        </w:rPr>
        <w:t xml:space="preserve">Caso </w:t>
      </w:r>
      <w:r w:rsidR="008D6F98">
        <w:rPr>
          <w:i/>
          <w:iCs/>
        </w:rPr>
        <w:t xml:space="preserve">Nissen </w:t>
      </w:r>
      <w:proofErr w:type="spellStart"/>
      <w:r w:rsidR="008D6F98">
        <w:rPr>
          <w:i/>
          <w:iCs/>
        </w:rPr>
        <w:t>Pessolani</w:t>
      </w:r>
      <w:proofErr w:type="spellEnd"/>
      <w:r w:rsidR="008D6F98">
        <w:rPr>
          <w:i/>
          <w:iCs/>
        </w:rPr>
        <w:t xml:space="preserve"> Vs. Paraguay</w:t>
      </w:r>
      <w:r>
        <w:rPr>
          <w:i/>
          <w:iCs/>
        </w:rPr>
        <w:t xml:space="preserve">. </w:t>
      </w:r>
      <w:r>
        <w:t xml:space="preserve">Resolución de la Corte Interamericana de Derechos Humanos de </w:t>
      </w:r>
      <w:r w:rsidR="008D6F98">
        <w:t>28 de abril de 2022</w:t>
      </w:r>
      <w:r>
        <w:t xml:space="preserve">, Considerando </w:t>
      </w:r>
      <w:r w:rsidR="008D6F98">
        <w:t>7</w:t>
      </w:r>
      <w:r>
        <w:t>.</w:t>
      </w:r>
    </w:p>
  </w:footnote>
  <w:footnote w:id="9">
    <w:p w14:paraId="42018C5B" w14:textId="47556D99" w:rsidR="00E15BE8" w:rsidRDefault="00E15BE8" w:rsidP="000C5C8E">
      <w:pPr>
        <w:pStyle w:val="Textonotapie"/>
      </w:pPr>
      <w:r>
        <w:rPr>
          <w:rStyle w:val="Refdenotaalpie"/>
        </w:rPr>
        <w:footnoteRef/>
      </w:r>
      <w:r>
        <w:t xml:space="preserve"> </w:t>
      </w:r>
      <w:r>
        <w:tab/>
      </w:r>
      <w:r w:rsidRPr="00657B80">
        <w:rPr>
          <w:i/>
          <w:iCs/>
        </w:rPr>
        <w:t>Cfr</w:t>
      </w:r>
      <w:r>
        <w:t xml:space="preserve">. </w:t>
      </w:r>
      <w:r w:rsidRPr="00657B80">
        <w:rPr>
          <w:i/>
          <w:iCs/>
        </w:rPr>
        <w:t>Caso Salvador Chiriboga Vs. Ecuador</w:t>
      </w:r>
      <w:r>
        <w:t xml:space="preserve">. Resolución del </w:t>
      </w:r>
      <w:proofErr w:type="gramStart"/>
      <w:r>
        <w:t>Presidente</w:t>
      </w:r>
      <w:proofErr w:type="gramEnd"/>
      <w:r>
        <w:t xml:space="preserve"> de la Corte Interamericana de Derechos Humanos de 2 de octubre de 2007, Considerando 2, y </w:t>
      </w:r>
      <w:r w:rsidRPr="00657B80">
        <w:rPr>
          <w:i/>
          <w:iCs/>
        </w:rPr>
        <w:t>Caso</w:t>
      </w:r>
      <w:r>
        <w:t xml:space="preserve"> </w:t>
      </w:r>
      <w:r w:rsidR="000C5C8E">
        <w:rPr>
          <w:i/>
          <w:iCs/>
        </w:rPr>
        <w:t xml:space="preserve">Nissen </w:t>
      </w:r>
      <w:proofErr w:type="spellStart"/>
      <w:r w:rsidR="000C5C8E">
        <w:rPr>
          <w:i/>
          <w:iCs/>
        </w:rPr>
        <w:t>Pessolani</w:t>
      </w:r>
      <w:proofErr w:type="spellEnd"/>
      <w:r w:rsidR="000C5C8E">
        <w:rPr>
          <w:i/>
          <w:iCs/>
        </w:rPr>
        <w:t xml:space="preserve"> Vs. Paraguay</w:t>
      </w:r>
      <w:r>
        <w:t xml:space="preserve">, </w:t>
      </w:r>
      <w:r w:rsidRPr="00657B80">
        <w:rPr>
          <w:i/>
          <w:iCs/>
        </w:rPr>
        <w:t>supra</w:t>
      </w:r>
      <w:r>
        <w:t xml:space="preserve">, Considerando </w:t>
      </w:r>
      <w:r w:rsidR="000C5C8E">
        <w:t>7</w:t>
      </w:r>
      <w:r>
        <w:t>.</w:t>
      </w:r>
    </w:p>
  </w:footnote>
  <w:footnote w:id="10">
    <w:p w14:paraId="3DF70FAB" w14:textId="6DE9095A" w:rsidR="00EE210E" w:rsidRPr="00EE210E" w:rsidRDefault="00EE210E" w:rsidP="000C5C8E">
      <w:pPr>
        <w:pStyle w:val="Textonotapie"/>
      </w:pPr>
      <w:r>
        <w:rPr>
          <w:rStyle w:val="Refdenotaalpie"/>
        </w:rPr>
        <w:footnoteRef/>
      </w:r>
      <w:r>
        <w:t xml:space="preserve"> </w:t>
      </w:r>
      <w:r>
        <w:tab/>
      </w:r>
      <w:r w:rsidR="00C77A33" w:rsidRPr="00C77A33">
        <w:rPr>
          <w:i/>
          <w:iCs/>
        </w:rPr>
        <w:t>Cfr. Caso Salvador Chiriboga Vs. Ecuador.</w:t>
      </w:r>
      <w:r w:rsidR="00C77A33">
        <w:t xml:space="preserve"> Resolución del </w:t>
      </w:r>
      <w:proofErr w:type="gramStart"/>
      <w:r w:rsidR="00C77A33">
        <w:t>Presidente</w:t>
      </w:r>
      <w:proofErr w:type="gramEnd"/>
      <w:r w:rsidR="00C77A33">
        <w:t xml:space="preserve"> de la Corte Interamericana de Derechos Humanos de 2 de octubre de 2007, párr. 2</w:t>
      </w:r>
      <w:r w:rsidR="00FC4B10">
        <w:t>,</w:t>
      </w:r>
      <w:r w:rsidR="00C77A33">
        <w:t xml:space="preserve"> y </w:t>
      </w:r>
      <w:r w:rsidR="00C77A33" w:rsidRPr="00C77A33">
        <w:rPr>
          <w:i/>
          <w:iCs/>
        </w:rPr>
        <w:t>Caso Julien Grisonas y otros Vs. Argentina.</w:t>
      </w:r>
      <w:r w:rsidR="00C77A33">
        <w:t xml:space="preserve"> Resolución de la Corte Interamericana de Derechos Humanos de 19 de abril de 2021, Considerando 13.</w:t>
      </w:r>
    </w:p>
  </w:footnote>
  <w:footnote w:id="11">
    <w:p w14:paraId="47991D75" w14:textId="5AF3329F" w:rsidR="00245EE8" w:rsidRPr="00245EE8" w:rsidRDefault="00245EE8" w:rsidP="000C5C8E">
      <w:pPr>
        <w:pStyle w:val="Textonotapie"/>
        <w:rPr>
          <w:lang w:val="es-MX"/>
        </w:rPr>
      </w:pPr>
      <w:r>
        <w:rPr>
          <w:rStyle w:val="Refdenotaalpie"/>
        </w:rPr>
        <w:footnoteRef/>
      </w:r>
      <w:r>
        <w:t xml:space="preserve"> </w:t>
      </w:r>
      <w:r>
        <w:rPr>
          <w:lang w:val="es-MX"/>
        </w:rPr>
        <w:tab/>
      </w:r>
      <w:r w:rsidRPr="00245EE8">
        <w:rPr>
          <w:i/>
          <w:iCs/>
        </w:rPr>
        <w:t>Cfr. Caso Blanco Romero y otros Vs. Venezuela.</w:t>
      </w:r>
      <w:r>
        <w:t xml:space="preserve"> Resolución del </w:t>
      </w:r>
      <w:proofErr w:type="gramStart"/>
      <w:r>
        <w:t>Presidente</w:t>
      </w:r>
      <w:proofErr w:type="gramEnd"/>
      <w:r>
        <w:t xml:space="preserve"> de la Corte Interamericana de Derechos Humanos de 25 de mayo de 2005, Considerandos 11 y 12</w:t>
      </w:r>
      <w:r w:rsidR="004E765F">
        <w:t>,</w:t>
      </w:r>
      <w:r>
        <w:t xml:space="preserve"> y </w:t>
      </w:r>
      <w:r w:rsidRPr="00245EE8">
        <w:rPr>
          <w:i/>
          <w:iCs/>
        </w:rPr>
        <w:t>Caso Martínez Esquivia Vs. Colombia</w:t>
      </w:r>
      <w:r>
        <w:t>. Convocatoria a audiencia. Resolución de la Corte Interamericana de Derechos Humanos de 29 de julio de 2020, Considerando 5.</w:t>
      </w:r>
    </w:p>
  </w:footnote>
  <w:footnote w:id="12">
    <w:p w14:paraId="61157346" w14:textId="2CA22760" w:rsidR="003A4B4E" w:rsidRPr="003A4B4E" w:rsidRDefault="003A4B4E" w:rsidP="000C5C8E">
      <w:pPr>
        <w:pStyle w:val="Textonotapie"/>
        <w:rPr>
          <w:lang w:val="es-MX"/>
        </w:rPr>
      </w:pPr>
      <w:r>
        <w:rPr>
          <w:rStyle w:val="Refdenotaalpie"/>
        </w:rPr>
        <w:footnoteRef/>
      </w:r>
      <w:r>
        <w:t xml:space="preserve"> </w:t>
      </w:r>
      <w:r>
        <w:rPr>
          <w:lang w:val="es-MX"/>
        </w:rPr>
        <w:tab/>
      </w:r>
      <w:r w:rsidRPr="003A4B4E">
        <w:rPr>
          <w:i/>
          <w:iCs/>
        </w:rPr>
        <w:t>Cfr. Caso Ibsen Cárdenas e Ibsen Peña Vs. Bolivia.</w:t>
      </w:r>
      <w:r>
        <w:t xml:space="preserve"> Resolución del </w:t>
      </w:r>
      <w:proofErr w:type="gramStart"/>
      <w:r>
        <w:t>Presidente</w:t>
      </w:r>
      <w:proofErr w:type="gramEnd"/>
      <w:r>
        <w:t xml:space="preserve"> de la Corte de 6 de abril de 2010, Considerandos 4 y 5</w:t>
      </w:r>
      <w:r w:rsidR="004E765F">
        <w:t>,</w:t>
      </w:r>
      <w:r>
        <w:t xml:space="preserve"> y </w:t>
      </w:r>
      <w:r w:rsidRPr="00245EE8">
        <w:rPr>
          <w:i/>
          <w:iCs/>
        </w:rPr>
        <w:t>Caso Martínez Esquivia Vs. Colombia</w:t>
      </w:r>
      <w:r w:rsidR="004E765F">
        <w:t xml:space="preserve">, </w:t>
      </w:r>
      <w:r w:rsidR="004E765F" w:rsidRPr="00657B80">
        <w:rPr>
          <w:i/>
          <w:iCs/>
        </w:rPr>
        <w:t>supra</w:t>
      </w:r>
      <w:r>
        <w:t>, Considerando 5.</w:t>
      </w:r>
    </w:p>
  </w:footnote>
  <w:footnote w:id="13">
    <w:p w14:paraId="5F457092" w14:textId="03C87BA1" w:rsidR="00AC5355" w:rsidRPr="00AC5355" w:rsidRDefault="00AC5355" w:rsidP="000C5C8E">
      <w:pPr>
        <w:pStyle w:val="Textonotapie"/>
        <w:rPr>
          <w:lang w:val="es-MX"/>
        </w:rPr>
      </w:pPr>
      <w:r>
        <w:rPr>
          <w:rStyle w:val="Refdenotaalpie"/>
        </w:rPr>
        <w:footnoteRef/>
      </w:r>
      <w:r>
        <w:t xml:space="preserve"> </w:t>
      </w:r>
      <w:r>
        <w:rPr>
          <w:lang w:val="es-MX"/>
        </w:rPr>
        <w:tab/>
      </w:r>
      <w:r>
        <w:rPr>
          <w:i/>
        </w:rPr>
        <w:t xml:space="preserve">Cfr. </w:t>
      </w:r>
      <w:r w:rsidR="00222C51">
        <w:rPr>
          <w:i/>
        </w:rPr>
        <w:t>Caso Suárez Peralta Vs. Ecuador.</w:t>
      </w:r>
      <w:r w:rsidR="00222C51">
        <w:t xml:space="preserve"> Resolución del </w:t>
      </w:r>
      <w:proofErr w:type="gramStart"/>
      <w:r w:rsidR="00222C51">
        <w:t>Presidente</w:t>
      </w:r>
      <w:proofErr w:type="gramEnd"/>
      <w:r w:rsidR="00222C51">
        <w:t xml:space="preserve"> de la Corte Interamericana de Derechos Humanos de 20 de diciembre de 2012, Considerando 22, y </w:t>
      </w:r>
      <w:r w:rsidR="00222C51">
        <w:rPr>
          <w:i/>
        </w:rPr>
        <w:t>Caso Martínez Esquivia Vs. Colombia.</w:t>
      </w:r>
      <w:r w:rsidR="00222C51">
        <w:t xml:space="preserve"> Resolución de la Corte Interamericana de Derechos Humanos de 29 de julio de 2020, Considerando 7</w:t>
      </w:r>
      <w:r>
        <w:t>.</w:t>
      </w:r>
    </w:p>
  </w:footnote>
  <w:footnote w:id="14">
    <w:p w14:paraId="32BB7CDE" w14:textId="56161EC0" w:rsidR="00B8094D" w:rsidRPr="00B8094D" w:rsidRDefault="00B8094D" w:rsidP="000C5C8E">
      <w:pPr>
        <w:pStyle w:val="Textonotapie"/>
        <w:rPr>
          <w:lang w:val="es-MX"/>
        </w:rPr>
      </w:pPr>
      <w:r>
        <w:rPr>
          <w:rStyle w:val="Refdenotaalpie"/>
        </w:rPr>
        <w:footnoteRef/>
      </w:r>
      <w:r>
        <w:t xml:space="preserve"> </w:t>
      </w:r>
      <w:r>
        <w:rPr>
          <w:lang w:val="es-MX"/>
        </w:rPr>
        <w:tab/>
      </w:r>
      <w:bookmarkStart w:id="1" w:name="_Hlk111630907"/>
      <w:r>
        <w:rPr>
          <w:i/>
        </w:rPr>
        <w:t>Cfr. Caso Suárez Peralta Vs. Ecuador.</w:t>
      </w:r>
      <w:r>
        <w:t xml:space="preserve"> </w:t>
      </w:r>
      <w:r w:rsidR="00222C51">
        <w:t xml:space="preserve"> </w:t>
      </w:r>
      <w:r w:rsidR="00222C51" w:rsidRPr="00657B80">
        <w:rPr>
          <w:i/>
          <w:iCs/>
        </w:rPr>
        <w:t>supra</w:t>
      </w:r>
      <w:r>
        <w:t xml:space="preserve">, Considerando 22, y </w:t>
      </w:r>
      <w:r>
        <w:rPr>
          <w:i/>
        </w:rPr>
        <w:t>Caso Martínez Esquivia Vs. Colombia.</w:t>
      </w:r>
      <w:r>
        <w:t xml:space="preserve"> </w:t>
      </w:r>
      <w:r w:rsidR="00222C51">
        <w:t xml:space="preserve"> </w:t>
      </w:r>
      <w:r w:rsidR="00222C51" w:rsidRPr="00657B80">
        <w:rPr>
          <w:i/>
          <w:iCs/>
        </w:rPr>
        <w:t>supra</w:t>
      </w:r>
      <w:r>
        <w:t>, Considerando 7</w:t>
      </w:r>
      <w:bookmarkEnd w:id="1"/>
      <w:r>
        <w:t>.</w:t>
      </w:r>
    </w:p>
  </w:footnote>
  <w:footnote w:id="15">
    <w:p w14:paraId="425BA602" w14:textId="3CD3D881" w:rsidR="00B8094D" w:rsidRPr="00B8094D" w:rsidRDefault="00B8094D" w:rsidP="000C5C8E">
      <w:pPr>
        <w:pStyle w:val="Textonotapie"/>
        <w:rPr>
          <w:lang w:val="es-MX"/>
        </w:rPr>
      </w:pPr>
      <w:r>
        <w:rPr>
          <w:rStyle w:val="Refdenotaalpie"/>
        </w:rPr>
        <w:footnoteRef/>
      </w:r>
      <w:r>
        <w:t xml:space="preserve"> </w:t>
      </w:r>
      <w:r>
        <w:rPr>
          <w:lang w:val="es-MX"/>
        </w:rPr>
        <w:tab/>
      </w:r>
      <w:r>
        <w:rPr>
          <w:i/>
        </w:rPr>
        <w:t>Cfr. Caso Martínez Esquivia Vs. Colombia</w:t>
      </w:r>
      <w:r w:rsidR="00222C51">
        <w:t xml:space="preserve">, </w:t>
      </w:r>
      <w:r w:rsidR="00222C51" w:rsidRPr="00657B80">
        <w:rPr>
          <w:i/>
          <w:iCs/>
        </w:rPr>
        <w:t>supra</w:t>
      </w:r>
      <w:r w:rsidR="003C39E7">
        <w:rPr>
          <w:i/>
          <w:iCs/>
        </w:rPr>
        <w:t xml:space="preserve">, </w:t>
      </w:r>
      <w:r>
        <w:t>Considerando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9A7"/>
    <w:multiLevelType w:val="hybridMultilevel"/>
    <w:tmpl w:val="61C679B4"/>
    <w:lvl w:ilvl="0" w:tplc="140A0011">
      <w:start w:val="1"/>
      <w:numFmt w:val="decimal"/>
      <w:lvlText w:val="%1)"/>
      <w:lvlJc w:val="left"/>
      <w:pPr>
        <w:ind w:left="1800" w:hanging="360"/>
      </w:pPr>
    </w:lvl>
    <w:lvl w:ilvl="1" w:tplc="140A0019">
      <w:start w:val="1"/>
      <w:numFmt w:val="lowerLetter"/>
      <w:lvlText w:val="%2."/>
      <w:lvlJc w:val="left"/>
      <w:pPr>
        <w:ind w:left="2520" w:hanging="360"/>
      </w:pPr>
    </w:lvl>
    <w:lvl w:ilvl="2" w:tplc="140A001B">
      <w:start w:val="1"/>
      <w:numFmt w:val="lowerRoman"/>
      <w:lvlText w:val="%3."/>
      <w:lvlJc w:val="right"/>
      <w:pPr>
        <w:ind w:left="3240" w:hanging="180"/>
      </w:pPr>
    </w:lvl>
    <w:lvl w:ilvl="3" w:tplc="140A000F">
      <w:start w:val="1"/>
      <w:numFmt w:val="decimal"/>
      <w:lvlText w:val="%4."/>
      <w:lvlJc w:val="left"/>
      <w:pPr>
        <w:ind w:left="3960" w:hanging="360"/>
      </w:pPr>
    </w:lvl>
    <w:lvl w:ilvl="4" w:tplc="140A0019">
      <w:start w:val="1"/>
      <w:numFmt w:val="lowerLetter"/>
      <w:lvlText w:val="%5."/>
      <w:lvlJc w:val="left"/>
      <w:pPr>
        <w:ind w:left="4680" w:hanging="360"/>
      </w:pPr>
    </w:lvl>
    <w:lvl w:ilvl="5" w:tplc="140A001B">
      <w:start w:val="1"/>
      <w:numFmt w:val="lowerRoman"/>
      <w:lvlText w:val="%6."/>
      <w:lvlJc w:val="right"/>
      <w:pPr>
        <w:ind w:left="5400" w:hanging="180"/>
      </w:pPr>
    </w:lvl>
    <w:lvl w:ilvl="6" w:tplc="140A000F">
      <w:start w:val="1"/>
      <w:numFmt w:val="decimal"/>
      <w:lvlText w:val="%7."/>
      <w:lvlJc w:val="left"/>
      <w:pPr>
        <w:ind w:left="6120" w:hanging="360"/>
      </w:pPr>
    </w:lvl>
    <w:lvl w:ilvl="7" w:tplc="140A0019">
      <w:start w:val="1"/>
      <w:numFmt w:val="lowerLetter"/>
      <w:lvlText w:val="%8."/>
      <w:lvlJc w:val="left"/>
      <w:pPr>
        <w:ind w:left="6840" w:hanging="360"/>
      </w:pPr>
    </w:lvl>
    <w:lvl w:ilvl="8" w:tplc="140A001B">
      <w:start w:val="1"/>
      <w:numFmt w:val="lowerRoman"/>
      <w:lvlText w:val="%9."/>
      <w:lvlJc w:val="right"/>
      <w:pPr>
        <w:ind w:left="7560" w:hanging="180"/>
      </w:pPr>
    </w:lvl>
  </w:abstractNum>
  <w:abstractNum w:abstractNumId="1" w15:restartNumberingAfterBreak="0">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C754BB"/>
    <w:multiLevelType w:val="hybridMultilevel"/>
    <w:tmpl w:val="0A108CAE"/>
    <w:lvl w:ilvl="0" w:tplc="04090015">
      <w:start w:val="1"/>
      <w:numFmt w:val="upperLetter"/>
      <w:lvlText w:val="%1."/>
      <w:lvlJc w:val="left"/>
      <w:pPr>
        <w:ind w:left="720" w:hanging="360"/>
      </w:pPr>
    </w:lvl>
    <w:lvl w:ilvl="1" w:tplc="565A301C">
      <w:start w:val="1"/>
      <w:numFmt w:val="decimal"/>
      <w:lvlText w:val="%2)"/>
      <w:lvlJc w:val="left"/>
      <w:pPr>
        <w:ind w:left="1440"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2D67737"/>
    <w:multiLevelType w:val="hybridMultilevel"/>
    <w:tmpl w:val="947A89D8"/>
    <w:lvl w:ilvl="0" w:tplc="834EAAA2">
      <w:start w:val="1"/>
      <w:numFmt w:val="upperLetter"/>
      <w:lvlText w:val="%1."/>
      <w:lvlJc w:val="left"/>
      <w:pPr>
        <w:ind w:left="930" w:hanging="360"/>
      </w:pPr>
      <w:rPr>
        <w:b/>
        <w:i w:val="0"/>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5" w15:restartNumberingAfterBreak="0">
    <w:nsid w:val="644167C5"/>
    <w:multiLevelType w:val="hybridMultilevel"/>
    <w:tmpl w:val="56E2A2AE"/>
    <w:lvl w:ilvl="0" w:tplc="0FD0E226">
      <w:start w:val="2"/>
      <w:numFmt w:val="decimal"/>
      <w:lvlText w:val="%1."/>
      <w:lvlJc w:val="left"/>
      <w:pPr>
        <w:tabs>
          <w:tab w:val="num" w:pos="3600"/>
        </w:tabs>
        <w:ind w:left="0" w:firstLine="0"/>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6"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39221C"/>
    <w:multiLevelType w:val="hybridMultilevel"/>
    <w:tmpl w:val="BCDE2C8C"/>
    <w:lvl w:ilvl="0" w:tplc="7C089A9A">
      <w:start w:val="1"/>
      <w:numFmt w:val="decimal"/>
      <w:lvlText w:val="%1."/>
      <w:lvlJc w:val="left"/>
      <w:pPr>
        <w:ind w:left="927" w:hanging="360"/>
      </w:pPr>
      <w:rPr>
        <w:rFonts w:ascii="Verdana" w:eastAsia="Calibri" w:hAnsi="Verdana" w:cs="Verdana"/>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num w:numId="1" w16cid:durableId="921180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79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07084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9580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8825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374205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9817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231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E8"/>
    <w:rsid w:val="000053F7"/>
    <w:rsid w:val="00012B7A"/>
    <w:rsid w:val="00043B71"/>
    <w:rsid w:val="00064B6F"/>
    <w:rsid w:val="00090B3D"/>
    <w:rsid w:val="00092055"/>
    <w:rsid w:val="0009259D"/>
    <w:rsid w:val="00094EDF"/>
    <w:rsid w:val="000C5C8E"/>
    <w:rsid w:val="000F5820"/>
    <w:rsid w:val="00136C1E"/>
    <w:rsid w:val="00137AC7"/>
    <w:rsid w:val="001A2626"/>
    <w:rsid w:val="001C0D6F"/>
    <w:rsid w:val="001D3F73"/>
    <w:rsid w:val="001D6EB2"/>
    <w:rsid w:val="001E1048"/>
    <w:rsid w:val="001F283C"/>
    <w:rsid w:val="00222C51"/>
    <w:rsid w:val="00225F42"/>
    <w:rsid w:val="00245EE8"/>
    <w:rsid w:val="00246B19"/>
    <w:rsid w:val="002975A9"/>
    <w:rsid w:val="002B49CF"/>
    <w:rsid w:val="002C20E7"/>
    <w:rsid w:val="002E217B"/>
    <w:rsid w:val="00304627"/>
    <w:rsid w:val="00307DEB"/>
    <w:rsid w:val="00326ED5"/>
    <w:rsid w:val="00356D03"/>
    <w:rsid w:val="003852B8"/>
    <w:rsid w:val="0039450E"/>
    <w:rsid w:val="003A2BE9"/>
    <w:rsid w:val="003A4B4E"/>
    <w:rsid w:val="003C39E7"/>
    <w:rsid w:val="003D4BC9"/>
    <w:rsid w:val="003E0658"/>
    <w:rsid w:val="003F2AC0"/>
    <w:rsid w:val="00403A66"/>
    <w:rsid w:val="00405A88"/>
    <w:rsid w:val="00440005"/>
    <w:rsid w:val="004554D8"/>
    <w:rsid w:val="004666AD"/>
    <w:rsid w:val="00470A6E"/>
    <w:rsid w:val="00492148"/>
    <w:rsid w:val="004B7A32"/>
    <w:rsid w:val="004C79A6"/>
    <w:rsid w:val="004D5788"/>
    <w:rsid w:val="004E2216"/>
    <w:rsid w:val="004E765F"/>
    <w:rsid w:val="004F442D"/>
    <w:rsid w:val="00510681"/>
    <w:rsid w:val="005239DD"/>
    <w:rsid w:val="00550171"/>
    <w:rsid w:val="0056372B"/>
    <w:rsid w:val="00572E3C"/>
    <w:rsid w:val="00581426"/>
    <w:rsid w:val="00582014"/>
    <w:rsid w:val="00585907"/>
    <w:rsid w:val="00586574"/>
    <w:rsid w:val="005A4C6E"/>
    <w:rsid w:val="005B74CB"/>
    <w:rsid w:val="005D280D"/>
    <w:rsid w:val="005D4042"/>
    <w:rsid w:val="005E44EF"/>
    <w:rsid w:val="00630870"/>
    <w:rsid w:val="00630966"/>
    <w:rsid w:val="006533E1"/>
    <w:rsid w:val="00655D6A"/>
    <w:rsid w:val="00656EED"/>
    <w:rsid w:val="00657B80"/>
    <w:rsid w:val="0066288E"/>
    <w:rsid w:val="00663E37"/>
    <w:rsid w:val="006950BF"/>
    <w:rsid w:val="006B57C1"/>
    <w:rsid w:val="006C3187"/>
    <w:rsid w:val="006F0C93"/>
    <w:rsid w:val="00703CAE"/>
    <w:rsid w:val="0071039D"/>
    <w:rsid w:val="00715DD3"/>
    <w:rsid w:val="0072159B"/>
    <w:rsid w:val="00724F91"/>
    <w:rsid w:val="00726170"/>
    <w:rsid w:val="00732ED6"/>
    <w:rsid w:val="00746B47"/>
    <w:rsid w:val="00756F27"/>
    <w:rsid w:val="00761DD0"/>
    <w:rsid w:val="00763F75"/>
    <w:rsid w:val="00796F7E"/>
    <w:rsid w:val="007B3736"/>
    <w:rsid w:val="007E52E7"/>
    <w:rsid w:val="00807629"/>
    <w:rsid w:val="00812EC4"/>
    <w:rsid w:val="008257BA"/>
    <w:rsid w:val="00837D6B"/>
    <w:rsid w:val="00840A88"/>
    <w:rsid w:val="0084411C"/>
    <w:rsid w:val="00844559"/>
    <w:rsid w:val="008458D5"/>
    <w:rsid w:val="00850A42"/>
    <w:rsid w:val="008919F9"/>
    <w:rsid w:val="008A3AE1"/>
    <w:rsid w:val="008D6F98"/>
    <w:rsid w:val="008E35B1"/>
    <w:rsid w:val="008F0275"/>
    <w:rsid w:val="00915D46"/>
    <w:rsid w:val="009271CB"/>
    <w:rsid w:val="009328D0"/>
    <w:rsid w:val="0096771F"/>
    <w:rsid w:val="0096772F"/>
    <w:rsid w:val="009732D1"/>
    <w:rsid w:val="00995740"/>
    <w:rsid w:val="009A5223"/>
    <w:rsid w:val="009A67FE"/>
    <w:rsid w:val="009B2A97"/>
    <w:rsid w:val="009D07E5"/>
    <w:rsid w:val="009D4229"/>
    <w:rsid w:val="009F0D32"/>
    <w:rsid w:val="00A02232"/>
    <w:rsid w:val="00A052EC"/>
    <w:rsid w:val="00A07711"/>
    <w:rsid w:val="00A22B20"/>
    <w:rsid w:val="00A324EA"/>
    <w:rsid w:val="00A50665"/>
    <w:rsid w:val="00A51B97"/>
    <w:rsid w:val="00A70775"/>
    <w:rsid w:val="00A82F34"/>
    <w:rsid w:val="00AA3265"/>
    <w:rsid w:val="00AA6D23"/>
    <w:rsid w:val="00AB409C"/>
    <w:rsid w:val="00AC285F"/>
    <w:rsid w:val="00AC5355"/>
    <w:rsid w:val="00AE52BB"/>
    <w:rsid w:val="00B23CA1"/>
    <w:rsid w:val="00B503D2"/>
    <w:rsid w:val="00B55FC3"/>
    <w:rsid w:val="00B76172"/>
    <w:rsid w:val="00B8094D"/>
    <w:rsid w:val="00B9001F"/>
    <w:rsid w:val="00BA655C"/>
    <w:rsid w:val="00BB683E"/>
    <w:rsid w:val="00BC15F7"/>
    <w:rsid w:val="00BD0A4E"/>
    <w:rsid w:val="00BD339B"/>
    <w:rsid w:val="00C1093B"/>
    <w:rsid w:val="00C32118"/>
    <w:rsid w:val="00C50D95"/>
    <w:rsid w:val="00C61844"/>
    <w:rsid w:val="00C77A33"/>
    <w:rsid w:val="00C872E3"/>
    <w:rsid w:val="00C97CFF"/>
    <w:rsid w:val="00CB3B6B"/>
    <w:rsid w:val="00CE2016"/>
    <w:rsid w:val="00CF1713"/>
    <w:rsid w:val="00CF30A0"/>
    <w:rsid w:val="00D271E8"/>
    <w:rsid w:val="00D4426D"/>
    <w:rsid w:val="00D513A5"/>
    <w:rsid w:val="00D615BE"/>
    <w:rsid w:val="00D8367F"/>
    <w:rsid w:val="00D86A0E"/>
    <w:rsid w:val="00D93199"/>
    <w:rsid w:val="00DB0AC4"/>
    <w:rsid w:val="00DB0AE3"/>
    <w:rsid w:val="00DB3E8E"/>
    <w:rsid w:val="00DB43B1"/>
    <w:rsid w:val="00DD4DBA"/>
    <w:rsid w:val="00DD5F63"/>
    <w:rsid w:val="00DD7CC6"/>
    <w:rsid w:val="00DE3359"/>
    <w:rsid w:val="00DE70F4"/>
    <w:rsid w:val="00E15BE8"/>
    <w:rsid w:val="00E32334"/>
    <w:rsid w:val="00E33B67"/>
    <w:rsid w:val="00E35453"/>
    <w:rsid w:val="00E53F19"/>
    <w:rsid w:val="00E648D6"/>
    <w:rsid w:val="00E7469B"/>
    <w:rsid w:val="00E75B18"/>
    <w:rsid w:val="00E8615D"/>
    <w:rsid w:val="00EB3797"/>
    <w:rsid w:val="00EC3CFC"/>
    <w:rsid w:val="00EC6D74"/>
    <w:rsid w:val="00EE210E"/>
    <w:rsid w:val="00EE25BB"/>
    <w:rsid w:val="00EF47BE"/>
    <w:rsid w:val="00EF6D9E"/>
    <w:rsid w:val="00F15B37"/>
    <w:rsid w:val="00F51496"/>
    <w:rsid w:val="00F53289"/>
    <w:rsid w:val="00F704B4"/>
    <w:rsid w:val="00F7274A"/>
    <w:rsid w:val="00F77694"/>
    <w:rsid w:val="00F918BC"/>
    <w:rsid w:val="00F94BB1"/>
    <w:rsid w:val="00FA0443"/>
    <w:rsid w:val="00FB7B85"/>
    <w:rsid w:val="00FC4B10"/>
    <w:rsid w:val="00FE19BB"/>
    <w:rsid w:val="00FE259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04B9"/>
  <w15:chartTrackingRefBased/>
  <w15:docId w15:val="{B913B7D2-BBB4-4E45-81F9-75CDB020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E8"/>
    <w:pPr>
      <w:spacing w:after="200" w:line="276" w:lineRule="auto"/>
    </w:pPr>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link w:val="Textonotapie"/>
    <w:locked/>
    <w:rsid w:val="000C5C8E"/>
    <w:rPr>
      <w:rFonts w:ascii="Verdana" w:hAnsi="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
    <w:basedOn w:val="Normal"/>
    <w:link w:val="TextonotapieCar1"/>
    <w:autoRedefine/>
    <w:unhideWhenUsed/>
    <w:qFormat/>
    <w:rsid w:val="000C5C8E"/>
    <w:pPr>
      <w:spacing w:before="120" w:after="120" w:line="240" w:lineRule="auto"/>
      <w:jc w:val="both"/>
    </w:pPr>
    <w:rPr>
      <w:rFonts w:eastAsiaTheme="minorHAnsi" w:cstheme="minorBidi"/>
      <w:sz w:val="16"/>
      <w:szCs w:val="16"/>
      <w:lang w:val="es-ES_tradnl" w:eastAsia="es-ES"/>
    </w:rPr>
  </w:style>
  <w:style w:type="character" w:customStyle="1" w:styleId="TextonotapieCar">
    <w:name w:val="Texto nota pie Car"/>
    <w:basedOn w:val="Fuentedeprrafopredeter"/>
    <w:uiPriority w:val="99"/>
    <w:semiHidden/>
    <w:rsid w:val="00E15BE8"/>
    <w:rPr>
      <w:rFonts w:ascii="Verdana" w:eastAsia="Calibri" w:hAnsi="Verdana" w:cs="Calibri"/>
      <w:sz w:val="20"/>
      <w:szCs w:val="20"/>
      <w:lang w:val="es-MX"/>
    </w:rPr>
  </w:style>
  <w:style w:type="paragraph" w:styleId="Prrafodelista">
    <w:name w:val="List Paragraph"/>
    <w:aliases w:val="Footnote,List Paragraph2,Footnote1,List Paragraph1,Párrafo de lista1,Colorful List - Accent 11,Lista vistosa - Énfasis 11,List Paragraph11,Subtle Emphasis1,Parrafos,Cuadrícula clara - Énfasis 31,Lista clara - Énfasis 51"/>
    <w:basedOn w:val="Normal"/>
    <w:link w:val="PrrafodelistaCar"/>
    <w:uiPriority w:val="34"/>
    <w:qFormat/>
    <w:rsid w:val="00E15BE8"/>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E15BE8"/>
    <w:rPr>
      <w:rFonts w:ascii="Verdana" w:hAnsi="Verdana" w:cs="Verdana"/>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15BE8"/>
    <w:pPr>
      <w:spacing w:after="0" w:line="240" w:lineRule="auto"/>
      <w:jc w:val="both"/>
    </w:pPr>
    <w:rPr>
      <w:rFonts w:eastAsiaTheme="minorHAnsi" w:cs="Verdana"/>
      <w:sz w:val="16"/>
      <w:szCs w:val="16"/>
      <w:vertAlign w:val="superscript"/>
      <w:lang w:val="es-CR"/>
    </w:rPr>
  </w:style>
  <w:style w:type="character" w:styleId="Refdecomentario">
    <w:name w:val="annotation reference"/>
    <w:basedOn w:val="Fuentedeprrafopredeter"/>
    <w:uiPriority w:val="99"/>
    <w:semiHidden/>
    <w:unhideWhenUsed/>
    <w:rsid w:val="00E15BE8"/>
    <w:rPr>
      <w:sz w:val="16"/>
      <w:szCs w:val="16"/>
    </w:rPr>
  </w:style>
  <w:style w:type="character" w:styleId="Textoennegrita">
    <w:name w:val="Strong"/>
    <w:basedOn w:val="Fuentedeprrafopredeter"/>
    <w:uiPriority w:val="22"/>
    <w:qFormat/>
    <w:rsid w:val="00E15BE8"/>
    <w:rPr>
      <w:b/>
      <w:bCs/>
    </w:rPr>
  </w:style>
  <w:style w:type="paragraph" w:styleId="Textocomentario">
    <w:name w:val="annotation text"/>
    <w:basedOn w:val="Normal"/>
    <w:link w:val="TextocomentarioCar"/>
    <w:uiPriority w:val="99"/>
    <w:unhideWhenUsed/>
    <w:rsid w:val="00844559"/>
    <w:pPr>
      <w:spacing w:line="240" w:lineRule="auto"/>
    </w:pPr>
    <w:rPr>
      <w:szCs w:val="20"/>
    </w:rPr>
  </w:style>
  <w:style w:type="character" w:customStyle="1" w:styleId="TextocomentarioCar">
    <w:name w:val="Texto comentario Car"/>
    <w:basedOn w:val="Fuentedeprrafopredeter"/>
    <w:link w:val="Textocomentario"/>
    <w:uiPriority w:val="99"/>
    <w:rsid w:val="00844559"/>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844559"/>
    <w:rPr>
      <w:b/>
      <w:bCs/>
    </w:rPr>
  </w:style>
  <w:style w:type="character" w:customStyle="1" w:styleId="AsuntodelcomentarioCar">
    <w:name w:val="Asunto del comentario Car"/>
    <w:basedOn w:val="TextocomentarioCar"/>
    <w:link w:val="Asuntodelcomentario"/>
    <w:uiPriority w:val="99"/>
    <w:semiHidden/>
    <w:rsid w:val="00844559"/>
    <w:rPr>
      <w:rFonts w:ascii="Verdana" w:eastAsia="Calibri" w:hAnsi="Verdana" w:cs="Calibri"/>
      <w:b/>
      <w:bCs/>
      <w:sz w:val="20"/>
      <w:szCs w:val="20"/>
      <w:lang w:val="es-MX"/>
    </w:rPr>
  </w:style>
  <w:style w:type="paragraph" w:styleId="Revisin">
    <w:name w:val="Revision"/>
    <w:hidden/>
    <w:uiPriority w:val="99"/>
    <w:semiHidden/>
    <w:rsid w:val="00EC6D74"/>
    <w:pPr>
      <w:spacing w:after="0" w:line="240" w:lineRule="auto"/>
    </w:pPr>
    <w:rPr>
      <w:rFonts w:ascii="Verdana" w:eastAsia="Calibri" w:hAnsi="Verdana" w:cs="Calibri"/>
      <w:sz w:val="20"/>
      <w:lang w:val="es-MX"/>
    </w:rPr>
  </w:style>
  <w:style w:type="paragraph" w:styleId="Encabezado">
    <w:name w:val="header"/>
    <w:basedOn w:val="Normal"/>
    <w:link w:val="EncabezadoCar"/>
    <w:uiPriority w:val="99"/>
    <w:unhideWhenUsed/>
    <w:rsid w:val="00F727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274A"/>
    <w:rPr>
      <w:rFonts w:ascii="Verdana" w:eastAsia="Calibri" w:hAnsi="Verdana" w:cs="Calibri"/>
      <w:sz w:val="20"/>
      <w:lang w:val="es-MX"/>
    </w:rPr>
  </w:style>
  <w:style w:type="paragraph" w:styleId="Piedepgina">
    <w:name w:val="footer"/>
    <w:basedOn w:val="Normal"/>
    <w:link w:val="PiedepginaCar"/>
    <w:uiPriority w:val="99"/>
    <w:unhideWhenUsed/>
    <w:rsid w:val="00F727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274A"/>
    <w:rPr>
      <w:rFonts w:ascii="Verdana" w:eastAsia="Calibri" w:hAnsi="Verdana" w:cs="Calibri"/>
      <w:sz w:val="20"/>
      <w:lang w:val="es-MX"/>
    </w:rPr>
  </w:style>
  <w:style w:type="character" w:customStyle="1" w:styleId="PrrafodelistaCar">
    <w:name w:val="Párrafo de lista Car"/>
    <w:aliases w:val="Footnote Car,List Paragraph2 Car,Footnote1 Car,List Paragraph1 Car,Párrafo de lista1 Car,Colorful List - Accent 11 Car,Lista vistosa - Énfasis 11 Car,List Paragraph11 Car,Subtle Emphasis1 Car,Parrafos Car"/>
    <w:basedOn w:val="Fuentedeprrafopredeter"/>
    <w:link w:val="Prrafodelista"/>
    <w:uiPriority w:val="34"/>
    <w:locked/>
    <w:rsid w:val="00B76172"/>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737488">
      <w:bodyDiv w:val="1"/>
      <w:marLeft w:val="0"/>
      <w:marRight w:val="0"/>
      <w:marTop w:val="0"/>
      <w:marBottom w:val="0"/>
      <w:divBdr>
        <w:top w:val="none" w:sz="0" w:space="0" w:color="auto"/>
        <w:left w:val="none" w:sz="0" w:space="0" w:color="auto"/>
        <w:bottom w:val="none" w:sz="0" w:space="0" w:color="auto"/>
        <w:right w:val="none" w:sz="0" w:space="0" w:color="auto"/>
      </w:divBdr>
    </w:div>
    <w:div w:id="1790051089">
      <w:bodyDiv w:val="1"/>
      <w:marLeft w:val="0"/>
      <w:marRight w:val="0"/>
      <w:marTop w:val="0"/>
      <w:marBottom w:val="0"/>
      <w:divBdr>
        <w:top w:val="none" w:sz="0" w:space="0" w:color="auto"/>
        <w:left w:val="none" w:sz="0" w:space="0" w:color="auto"/>
        <w:bottom w:val="none" w:sz="0" w:space="0" w:color="auto"/>
        <w:right w:val="none" w:sz="0" w:space="0" w:color="auto"/>
      </w:divBdr>
    </w:div>
    <w:div w:id="192171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66BD0-4CC7-446C-8C3B-C7430D88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4104</Words>
  <Characters>22573</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2022-08-30T21:24:00Z</cp:lastPrinted>
  <dcterms:created xsi:type="dcterms:W3CDTF">2022-09-20T18:02:00Z</dcterms:created>
  <dcterms:modified xsi:type="dcterms:W3CDTF">2022-09-20T18:02:00Z</dcterms:modified>
</cp:coreProperties>
</file>