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BAE95A" w14:textId="16BF62DA" w:rsidR="00AA5A8E" w:rsidRDefault="00AA5A8E" w:rsidP="00AA5A8E">
      <w:pPr>
        <w:spacing w:before="120"/>
        <w:ind w:right="49"/>
        <w:jc w:val="center"/>
        <w:rPr>
          <w:rFonts w:cs="Verdana Bold"/>
          <w:b/>
          <w:bCs/>
          <w:caps/>
          <w:szCs w:val="20"/>
        </w:rPr>
      </w:pPr>
      <w:bookmarkStart w:id="0" w:name="_Hlk56083863"/>
      <w:bookmarkStart w:id="1" w:name="_Hlk50038511"/>
      <w:r>
        <w:rPr>
          <w:rFonts w:cs="Verdana Bold"/>
          <w:b/>
          <w:bCs/>
          <w:caps/>
          <w:szCs w:val="20"/>
        </w:rPr>
        <w:t xml:space="preserve">Resolución </w:t>
      </w:r>
      <w:r w:rsidR="00FA73E3">
        <w:rPr>
          <w:rFonts w:cs="Verdana Bold"/>
          <w:b/>
          <w:bCs/>
          <w:caps/>
          <w:szCs w:val="20"/>
        </w:rPr>
        <w:t>de la</w:t>
      </w:r>
    </w:p>
    <w:p w14:paraId="7FA6112F" w14:textId="77777777" w:rsidR="00FA73E3" w:rsidRDefault="00AA5A8E" w:rsidP="00AA5A8E">
      <w:pPr>
        <w:spacing w:before="120"/>
        <w:ind w:right="-316"/>
        <w:jc w:val="center"/>
        <w:rPr>
          <w:rFonts w:cs="Verdana Bold"/>
          <w:b/>
          <w:bCs/>
          <w:caps/>
          <w:szCs w:val="20"/>
        </w:rPr>
      </w:pPr>
      <w:r>
        <w:rPr>
          <w:rFonts w:cs="Verdana Bold"/>
          <w:b/>
          <w:bCs/>
          <w:caps/>
          <w:szCs w:val="20"/>
        </w:rPr>
        <w:t>Corte Interamericana de Derechos Humanos</w:t>
      </w:r>
      <w:r w:rsidR="00FA73E3">
        <w:rPr>
          <w:rFonts w:cs="Verdana Bold"/>
          <w:b/>
          <w:bCs/>
          <w:caps/>
          <w:szCs w:val="20"/>
        </w:rPr>
        <w:t xml:space="preserve"> </w:t>
      </w:r>
    </w:p>
    <w:p w14:paraId="443D22C6" w14:textId="0F1F156B" w:rsidR="00AA5A8E" w:rsidRDefault="00AA5A8E" w:rsidP="00FA73E3">
      <w:pPr>
        <w:spacing w:before="360" w:after="360"/>
        <w:ind w:right="49"/>
        <w:jc w:val="center"/>
        <w:rPr>
          <w:rFonts w:cs="Verdana Bold"/>
          <w:b/>
          <w:bCs/>
          <w:caps/>
          <w:szCs w:val="20"/>
        </w:rPr>
      </w:pPr>
      <w:r>
        <w:rPr>
          <w:rFonts w:cs="Verdana Bold"/>
          <w:b/>
          <w:bCs/>
          <w:caps/>
          <w:szCs w:val="20"/>
        </w:rPr>
        <w:t xml:space="preserve">dE </w:t>
      </w:r>
      <w:r w:rsidR="0029167E" w:rsidRPr="0032284B">
        <w:rPr>
          <w:rFonts w:cs="Verdana Bold"/>
          <w:b/>
          <w:bCs/>
          <w:caps/>
          <w:szCs w:val="20"/>
        </w:rPr>
        <w:t>25</w:t>
      </w:r>
      <w:r>
        <w:rPr>
          <w:rFonts w:cs="Verdana Bold"/>
          <w:b/>
          <w:bCs/>
          <w:caps/>
          <w:szCs w:val="20"/>
        </w:rPr>
        <w:t xml:space="preserve"> DE </w:t>
      </w:r>
      <w:r w:rsidR="00B77EAB">
        <w:rPr>
          <w:rFonts w:cs="Verdana Bold"/>
          <w:b/>
          <w:bCs/>
          <w:caps/>
          <w:szCs w:val="20"/>
        </w:rPr>
        <w:t>agosto</w:t>
      </w:r>
      <w:r w:rsidR="00FA73E3">
        <w:rPr>
          <w:rFonts w:cs="Verdana Bold"/>
          <w:b/>
          <w:bCs/>
          <w:caps/>
          <w:szCs w:val="20"/>
        </w:rPr>
        <w:t xml:space="preserve"> </w:t>
      </w:r>
      <w:r>
        <w:rPr>
          <w:rFonts w:cs="Verdana Bold"/>
          <w:b/>
          <w:bCs/>
          <w:caps/>
          <w:szCs w:val="20"/>
        </w:rPr>
        <w:t xml:space="preserve">de </w:t>
      </w:r>
      <w:r w:rsidR="00FA73E3">
        <w:rPr>
          <w:rFonts w:cs="Verdana Bold"/>
          <w:b/>
          <w:bCs/>
          <w:caps/>
          <w:szCs w:val="20"/>
        </w:rPr>
        <w:t>2022</w:t>
      </w:r>
    </w:p>
    <w:p w14:paraId="5C4F276E" w14:textId="4EA0F613" w:rsidR="00AA5A8E" w:rsidRDefault="00AA5A8E" w:rsidP="00FA73E3">
      <w:pPr>
        <w:spacing w:before="360" w:after="360"/>
        <w:ind w:right="49"/>
        <w:jc w:val="center"/>
        <w:rPr>
          <w:rFonts w:cs="Verdana Bold"/>
          <w:b/>
          <w:bCs/>
          <w:caps/>
          <w:szCs w:val="20"/>
        </w:rPr>
      </w:pPr>
      <w:r>
        <w:rPr>
          <w:rFonts w:cs="Verdana Bold"/>
          <w:b/>
          <w:bCs/>
          <w:caps/>
          <w:szCs w:val="20"/>
        </w:rPr>
        <w:t xml:space="preserve">CASO </w:t>
      </w:r>
      <w:r w:rsidR="00474443" w:rsidRPr="00474443">
        <w:rPr>
          <w:rFonts w:cs="Verdana Bold"/>
          <w:b/>
          <w:bCs/>
          <w:caps/>
          <w:szCs w:val="20"/>
        </w:rPr>
        <w:t>GARCÍA RODRÍGUEZ Y OTRO</w:t>
      </w:r>
      <w:r w:rsidR="00B77EAB">
        <w:rPr>
          <w:rFonts w:cs="Verdana Bold"/>
          <w:b/>
          <w:bCs/>
          <w:caps/>
          <w:szCs w:val="20"/>
        </w:rPr>
        <w:t>S</w:t>
      </w:r>
      <w:r w:rsidR="00474443" w:rsidRPr="00474443">
        <w:rPr>
          <w:rFonts w:cs="Verdana Bold"/>
          <w:b/>
          <w:bCs/>
          <w:caps/>
          <w:szCs w:val="20"/>
        </w:rPr>
        <w:t xml:space="preserve"> VS. MÉXICO</w:t>
      </w:r>
      <w:r w:rsidR="00474443" w:rsidRPr="00474443">
        <w:rPr>
          <w:rStyle w:val="Refdenotaalpie"/>
          <w:rFonts w:cs="Verdana Bold"/>
          <w:b/>
          <w:bCs/>
          <w:caps/>
          <w:szCs w:val="20"/>
          <w:vertAlign w:val="baseline"/>
        </w:rPr>
        <w:t xml:space="preserve"> </w:t>
      </w:r>
      <w:r w:rsidR="002F2239">
        <w:rPr>
          <w:rStyle w:val="Refdenotaalpie"/>
          <w:rFonts w:cs="Verdana Bold"/>
          <w:b/>
          <w:bCs/>
          <w:caps/>
          <w:szCs w:val="20"/>
        </w:rPr>
        <w:footnoteReference w:id="1"/>
      </w:r>
    </w:p>
    <w:p w14:paraId="63A87EB3" w14:textId="557A96C4" w:rsidR="00AA5A8E" w:rsidRDefault="00FA73E3" w:rsidP="00FA73E3">
      <w:pPr>
        <w:spacing w:before="360" w:after="360"/>
        <w:ind w:right="49"/>
        <w:jc w:val="center"/>
        <w:rPr>
          <w:b/>
          <w:caps/>
          <w:szCs w:val="20"/>
        </w:rPr>
      </w:pPr>
      <w:r>
        <w:rPr>
          <w:b/>
          <w:caps/>
          <w:szCs w:val="20"/>
        </w:rPr>
        <w:t xml:space="preserve">MEDIDAS </w:t>
      </w:r>
      <w:r w:rsidR="00342BBD">
        <w:rPr>
          <w:b/>
          <w:caps/>
          <w:szCs w:val="20"/>
        </w:rPr>
        <w:t>provisionales</w:t>
      </w:r>
    </w:p>
    <w:p w14:paraId="067871E5" w14:textId="77777777" w:rsidR="00AA5A8E" w:rsidRDefault="00AA5A8E" w:rsidP="00AA5A8E">
      <w:pPr>
        <w:autoSpaceDE w:val="0"/>
        <w:autoSpaceDN w:val="0"/>
        <w:adjustRightInd w:val="0"/>
        <w:spacing w:before="360" w:after="360"/>
        <w:jc w:val="left"/>
        <w:rPr>
          <w:rFonts w:cs="Verdana"/>
          <w:b/>
          <w:bCs/>
          <w:caps/>
          <w:szCs w:val="20"/>
        </w:rPr>
      </w:pPr>
      <w:r>
        <w:rPr>
          <w:rFonts w:eastAsia="Times New Roman" w:cs="Verdana"/>
          <w:b/>
          <w:bCs/>
          <w:szCs w:val="20"/>
          <w:lang w:eastAsia="en-US"/>
        </w:rPr>
        <w:t>VISTO</w:t>
      </w:r>
      <w:r>
        <w:rPr>
          <w:rFonts w:cs="Verdana"/>
          <w:b/>
          <w:bCs/>
          <w:caps/>
          <w:szCs w:val="20"/>
        </w:rPr>
        <w:t>:</w:t>
      </w:r>
    </w:p>
    <w:p w14:paraId="747D931B" w14:textId="4A7EB38C" w:rsidR="00D62F2B" w:rsidRDefault="00474443" w:rsidP="00082453">
      <w:pPr>
        <w:pStyle w:val="Prrafodelista"/>
        <w:numPr>
          <w:ilvl w:val="0"/>
          <w:numId w:val="1"/>
        </w:numPr>
        <w:spacing w:before="120"/>
        <w:ind w:left="0" w:firstLine="0"/>
        <w:contextualSpacing w:val="0"/>
        <w:rPr>
          <w:szCs w:val="20"/>
        </w:rPr>
      </w:pPr>
      <w:r>
        <w:rPr>
          <w:szCs w:val="20"/>
        </w:rPr>
        <w:t>El</w:t>
      </w:r>
      <w:r w:rsidR="00082453" w:rsidRPr="00082453">
        <w:rPr>
          <w:szCs w:val="20"/>
        </w:rPr>
        <w:t xml:space="preserve"> escrito de sometimiento del caso presentado la Comisión Interamericana de Derechos Humanos (en adelante “la Comisión Interamericana” o “la Comisión”), el Informe de Fondo de la Comisión; </w:t>
      </w:r>
      <w:r>
        <w:rPr>
          <w:szCs w:val="20"/>
        </w:rPr>
        <w:t>el</w:t>
      </w:r>
      <w:r w:rsidR="00082453" w:rsidRPr="00082453">
        <w:rPr>
          <w:szCs w:val="20"/>
        </w:rPr>
        <w:t xml:space="preserve"> escrito de solicitudes, argumentos y pruebas (en adelante </w:t>
      </w:r>
      <w:r>
        <w:rPr>
          <w:szCs w:val="20"/>
        </w:rPr>
        <w:t>el</w:t>
      </w:r>
      <w:r w:rsidR="00082453" w:rsidRPr="00082453">
        <w:rPr>
          <w:szCs w:val="20"/>
        </w:rPr>
        <w:t xml:space="preserve"> “escrito de solicitudes y argumentos”) de los </w:t>
      </w:r>
      <w:r>
        <w:rPr>
          <w:szCs w:val="20"/>
        </w:rPr>
        <w:t>representantes</w:t>
      </w:r>
      <w:r w:rsidR="00082453" w:rsidRPr="00082453">
        <w:rPr>
          <w:szCs w:val="20"/>
        </w:rPr>
        <w:t xml:space="preserve"> de las presuntas víctimas</w:t>
      </w:r>
      <w:r w:rsidR="002F2239">
        <w:rPr>
          <w:rStyle w:val="Refdenotaalpie"/>
          <w:szCs w:val="20"/>
        </w:rPr>
        <w:footnoteReference w:id="2"/>
      </w:r>
      <w:r w:rsidR="00082453" w:rsidRPr="002F2239">
        <w:rPr>
          <w:szCs w:val="20"/>
          <w:vertAlign w:val="superscript"/>
        </w:rPr>
        <w:t xml:space="preserve"> </w:t>
      </w:r>
      <w:r w:rsidR="00082453" w:rsidRPr="00082453">
        <w:rPr>
          <w:szCs w:val="20"/>
        </w:rPr>
        <w:t xml:space="preserve">(en adelante también “los </w:t>
      </w:r>
      <w:r>
        <w:rPr>
          <w:szCs w:val="20"/>
        </w:rPr>
        <w:t>representantes</w:t>
      </w:r>
      <w:r w:rsidR="00082453" w:rsidRPr="00082453">
        <w:rPr>
          <w:szCs w:val="20"/>
        </w:rPr>
        <w:t xml:space="preserve">”); el escrito de interposición de excepciones preliminares y contestación al sometimiento del caso y a </w:t>
      </w:r>
      <w:r>
        <w:rPr>
          <w:szCs w:val="20"/>
        </w:rPr>
        <w:t>al</w:t>
      </w:r>
      <w:r w:rsidR="00082453" w:rsidRPr="00082453">
        <w:rPr>
          <w:szCs w:val="20"/>
        </w:rPr>
        <w:t xml:space="preserve"> escrito de solicitudes y argumentos (en adelante “escrito de contestación”) del Estado </w:t>
      </w:r>
      <w:r>
        <w:rPr>
          <w:szCs w:val="20"/>
        </w:rPr>
        <w:t>mexicano</w:t>
      </w:r>
      <w:r w:rsidR="00082453" w:rsidRPr="00082453">
        <w:rPr>
          <w:szCs w:val="20"/>
        </w:rPr>
        <w:t xml:space="preserve"> (en adelante “</w:t>
      </w:r>
      <w:r>
        <w:rPr>
          <w:szCs w:val="20"/>
        </w:rPr>
        <w:t>México</w:t>
      </w:r>
      <w:r w:rsidR="00082453" w:rsidRPr="00082453">
        <w:rPr>
          <w:szCs w:val="20"/>
        </w:rPr>
        <w:t xml:space="preserve">” o “el Estado”), y las observaciones a las excepciones preliminares </w:t>
      </w:r>
      <w:r>
        <w:rPr>
          <w:szCs w:val="20"/>
        </w:rPr>
        <w:t>presentadas por los representantes y la Comisión</w:t>
      </w:r>
      <w:r w:rsidR="00082453" w:rsidRPr="00082453">
        <w:rPr>
          <w:szCs w:val="20"/>
        </w:rPr>
        <w:t>.</w:t>
      </w:r>
      <w:r w:rsidR="00D62F2B">
        <w:rPr>
          <w:szCs w:val="20"/>
        </w:rPr>
        <w:t xml:space="preserve"> </w:t>
      </w:r>
    </w:p>
    <w:p w14:paraId="202A27F1" w14:textId="373308B0" w:rsidR="00AA5A8E" w:rsidRDefault="00082453" w:rsidP="00AA5A8E">
      <w:pPr>
        <w:pStyle w:val="Prrafodelista"/>
        <w:numPr>
          <w:ilvl w:val="0"/>
          <w:numId w:val="1"/>
        </w:numPr>
        <w:spacing w:before="120"/>
        <w:ind w:left="0" w:firstLine="0"/>
        <w:contextualSpacing w:val="0"/>
        <w:rPr>
          <w:szCs w:val="20"/>
        </w:rPr>
      </w:pPr>
      <w:r>
        <w:rPr>
          <w:szCs w:val="20"/>
        </w:rPr>
        <w:t xml:space="preserve">El escrito de </w:t>
      </w:r>
      <w:r w:rsidR="00FB5F5F">
        <w:rPr>
          <w:szCs w:val="20"/>
        </w:rPr>
        <w:t>14</w:t>
      </w:r>
      <w:r w:rsidR="00AA5A8E" w:rsidRPr="00AA5A8E">
        <w:rPr>
          <w:szCs w:val="20"/>
        </w:rPr>
        <w:t xml:space="preserve"> de </w:t>
      </w:r>
      <w:r w:rsidR="00FB5F5F">
        <w:rPr>
          <w:szCs w:val="20"/>
        </w:rPr>
        <w:t>mayo</w:t>
      </w:r>
      <w:r>
        <w:rPr>
          <w:szCs w:val="20"/>
        </w:rPr>
        <w:t xml:space="preserve"> de </w:t>
      </w:r>
      <w:r w:rsidR="00D62F2B">
        <w:rPr>
          <w:szCs w:val="20"/>
        </w:rPr>
        <w:t>2022</w:t>
      </w:r>
      <w:r w:rsidR="00AA5A8E" w:rsidRPr="00AA5A8E">
        <w:rPr>
          <w:szCs w:val="20"/>
        </w:rPr>
        <w:t>, mediante el cual l</w:t>
      </w:r>
      <w:r w:rsidR="00022E30">
        <w:rPr>
          <w:szCs w:val="20"/>
        </w:rPr>
        <w:t xml:space="preserve">os </w:t>
      </w:r>
      <w:r w:rsidR="00FB5F5F">
        <w:rPr>
          <w:szCs w:val="20"/>
        </w:rPr>
        <w:t>representantes</w:t>
      </w:r>
      <w:r w:rsidR="00D62F2B">
        <w:rPr>
          <w:szCs w:val="20"/>
        </w:rPr>
        <w:t xml:space="preserve"> </w:t>
      </w:r>
      <w:r w:rsidR="00022E30">
        <w:rPr>
          <w:szCs w:val="20"/>
        </w:rPr>
        <w:t xml:space="preserve">solicitaron la adopción de medidas provisionales </w:t>
      </w:r>
      <w:r w:rsidR="00552596">
        <w:rPr>
          <w:szCs w:val="20"/>
        </w:rPr>
        <w:t>“</w:t>
      </w:r>
      <w:r w:rsidR="00552596" w:rsidRPr="00552596">
        <w:rPr>
          <w:szCs w:val="20"/>
        </w:rPr>
        <w:t>con la finalidad de evitar la detención y encarcelamiento de las presuntas víctimas directas del presente caso</w:t>
      </w:r>
      <w:r w:rsidR="00552596">
        <w:rPr>
          <w:szCs w:val="20"/>
        </w:rPr>
        <w:t>”</w:t>
      </w:r>
      <w:r w:rsidR="00AA5A8E" w:rsidRPr="00AA5A8E">
        <w:rPr>
          <w:szCs w:val="20"/>
        </w:rPr>
        <w:t>.</w:t>
      </w:r>
      <w:r w:rsidR="00022E30">
        <w:rPr>
          <w:szCs w:val="20"/>
        </w:rPr>
        <w:t xml:space="preserve"> </w:t>
      </w:r>
    </w:p>
    <w:p w14:paraId="1F188912" w14:textId="2299358D" w:rsidR="00FB5F5F" w:rsidRPr="00FD6D5E" w:rsidRDefault="00FB5F5F" w:rsidP="00FB5F5F">
      <w:pPr>
        <w:pStyle w:val="Prrafodelista"/>
        <w:numPr>
          <w:ilvl w:val="0"/>
          <w:numId w:val="1"/>
        </w:numPr>
        <w:spacing w:before="120"/>
        <w:ind w:left="0" w:firstLine="0"/>
        <w:contextualSpacing w:val="0"/>
        <w:rPr>
          <w:szCs w:val="20"/>
        </w:rPr>
      </w:pPr>
      <w:r w:rsidRPr="00FD6D5E">
        <w:rPr>
          <w:szCs w:val="20"/>
        </w:rPr>
        <w:t xml:space="preserve">La nota de </w:t>
      </w:r>
      <w:r w:rsidR="00FD6D5E" w:rsidRPr="00FD6D5E">
        <w:rPr>
          <w:szCs w:val="20"/>
        </w:rPr>
        <w:t>16</w:t>
      </w:r>
      <w:r w:rsidRPr="00FD6D5E">
        <w:rPr>
          <w:szCs w:val="20"/>
        </w:rPr>
        <w:t xml:space="preserve"> de mayo de 2022 mediante la cual la Secretaría de la Corte, siguiendo instrucciones del Pleno del Tribunal, solicitó </w:t>
      </w:r>
      <w:r w:rsidR="00FD6D5E" w:rsidRPr="00FD6D5E">
        <w:rPr>
          <w:szCs w:val="20"/>
        </w:rPr>
        <w:t>observaciones sobre la solicitud de medidas provisionales al Estad</w:t>
      </w:r>
      <w:r w:rsidR="00FD6D5E">
        <w:rPr>
          <w:szCs w:val="20"/>
        </w:rPr>
        <w:t>o</w:t>
      </w:r>
      <w:r w:rsidR="00FD6D5E" w:rsidRPr="00FD6D5E">
        <w:rPr>
          <w:szCs w:val="20"/>
        </w:rPr>
        <w:t xml:space="preserve"> y a la Comisión</w:t>
      </w:r>
      <w:r w:rsidRPr="00FD6D5E">
        <w:rPr>
          <w:szCs w:val="20"/>
        </w:rPr>
        <w:t>.</w:t>
      </w:r>
    </w:p>
    <w:p w14:paraId="6C7F1B6E" w14:textId="23C553CE" w:rsidR="005C58DC" w:rsidRDefault="00B8740F" w:rsidP="00AA5A8E">
      <w:pPr>
        <w:pStyle w:val="Prrafodelista"/>
        <w:numPr>
          <w:ilvl w:val="0"/>
          <w:numId w:val="1"/>
        </w:numPr>
        <w:spacing w:before="120"/>
        <w:ind w:left="0" w:firstLine="0"/>
        <w:contextualSpacing w:val="0"/>
        <w:rPr>
          <w:szCs w:val="20"/>
        </w:rPr>
      </w:pPr>
      <w:r>
        <w:rPr>
          <w:szCs w:val="20"/>
        </w:rPr>
        <w:t>Los</w:t>
      </w:r>
      <w:r w:rsidRPr="00FD6D5E">
        <w:rPr>
          <w:szCs w:val="20"/>
        </w:rPr>
        <w:t xml:space="preserve"> </w:t>
      </w:r>
      <w:r w:rsidR="002571E2" w:rsidRPr="00FD6D5E">
        <w:rPr>
          <w:szCs w:val="20"/>
        </w:rPr>
        <w:t>escrito</w:t>
      </w:r>
      <w:r>
        <w:rPr>
          <w:szCs w:val="20"/>
        </w:rPr>
        <w:t>s</w:t>
      </w:r>
      <w:r w:rsidR="002571E2" w:rsidRPr="00FD6D5E">
        <w:rPr>
          <w:szCs w:val="20"/>
        </w:rPr>
        <w:t xml:space="preserve"> de </w:t>
      </w:r>
      <w:r w:rsidR="00FD6D5E" w:rsidRPr="00FD6D5E">
        <w:rPr>
          <w:szCs w:val="20"/>
        </w:rPr>
        <w:t>19</w:t>
      </w:r>
      <w:r w:rsidR="002571E2" w:rsidRPr="00FD6D5E">
        <w:rPr>
          <w:szCs w:val="20"/>
        </w:rPr>
        <w:t xml:space="preserve"> </w:t>
      </w:r>
      <w:r>
        <w:rPr>
          <w:szCs w:val="20"/>
        </w:rPr>
        <w:t xml:space="preserve">y 20 </w:t>
      </w:r>
      <w:r w:rsidR="002571E2" w:rsidRPr="00FD6D5E">
        <w:rPr>
          <w:szCs w:val="20"/>
        </w:rPr>
        <w:t xml:space="preserve">de </w:t>
      </w:r>
      <w:r w:rsidR="00FB5F5F" w:rsidRPr="00FD6D5E">
        <w:rPr>
          <w:szCs w:val="20"/>
        </w:rPr>
        <w:t>mayo</w:t>
      </w:r>
      <w:r w:rsidR="002571E2" w:rsidRPr="00FD6D5E">
        <w:rPr>
          <w:szCs w:val="20"/>
        </w:rPr>
        <w:t xml:space="preserve"> de </w:t>
      </w:r>
      <w:r w:rsidR="00D62F2B" w:rsidRPr="00FD6D5E">
        <w:rPr>
          <w:szCs w:val="20"/>
        </w:rPr>
        <w:t>2022</w:t>
      </w:r>
      <w:r w:rsidR="002571E2" w:rsidRPr="00FD6D5E">
        <w:rPr>
          <w:szCs w:val="20"/>
        </w:rPr>
        <w:t xml:space="preserve">, </w:t>
      </w:r>
      <w:r w:rsidR="000971D2" w:rsidRPr="00FD6D5E">
        <w:rPr>
          <w:szCs w:val="20"/>
        </w:rPr>
        <w:t>mediante l</w:t>
      </w:r>
      <w:r>
        <w:rPr>
          <w:szCs w:val="20"/>
        </w:rPr>
        <w:t>os</w:t>
      </w:r>
      <w:r w:rsidR="000971D2" w:rsidRPr="00FD6D5E">
        <w:rPr>
          <w:szCs w:val="20"/>
        </w:rPr>
        <w:t xml:space="preserve"> cual</w:t>
      </w:r>
      <w:r>
        <w:rPr>
          <w:szCs w:val="20"/>
        </w:rPr>
        <w:t>es</w:t>
      </w:r>
      <w:r w:rsidR="000971D2" w:rsidRPr="00FD6D5E">
        <w:rPr>
          <w:szCs w:val="20"/>
        </w:rPr>
        <w:t xml:space="preserve"> </w:t>
      </w:r>
      <w:r w:rsidR="002571E2" w:rsidRPr="00FD6D5E">
        <w:rPr>
          <w:szCs w:val="20"/>
        </w:rPr>
        <w:t>el Estado</w:t>
      </w:r>
      <w:r>
        <w:rPr>
          <w:szCs w:val="20"/>
        </w:rPr>
        <w:t xml:space="preserve"> y la Comisión</w:t>
      </w:r>
      <w:r w:rsidR="002571E2" w:rsidRPr="00FD6D5E">
        <w:rPr>
          <w:szCs w:val="20"/>
        </w:rPr>
        <w:t xml:space="preserve"> present</w:t>
      </w:r>
      <w:r>
        <w:rPr>
          <w:szCs w:val="20"/>
        </w:rPr>
        <w:t>aron</w:t>
      </w:r>
      <w:r w:rsidR="002571E2" w:rsidRPr="00FD6D5E">
        <w:rPr>
          <w:szCs w:val="20"/>
        </w:rPr>
        <w:t xml:space="preserve"> sus </w:t>
      </w:r>
      <w:r>
        <w:rPr>
          <w:szCs w:val="20"/>
        </w:rPr>
        <w:t xml:space="preserve">respectivas </w:t>
      </w:r>
      <w:r w:rsidR="002571E2" w:rsidRPr="00FD6D5E">
        <w:rPr>
          <w:szCs w:val="20"/>
        </w:rPr>
        <w:t>observaciones a la solicitud de medidas provisionales presentada.</w:t>
      </w:r>
    </w:p>
    <w:p w14:paraId="54787E6C" w14:textId="38177A67" w:rsidR="00FD6D5E" w:rsidRPr="00FD6D5E" w:rsidRDefault="00FD6D5E" w:rsidP="00FD6D5E">
      <w:pPr>
        <w:pStyle w:val="Prrafodelista"/>
        <w:numPr>
          <w:ilvl w:val="0"/>
          <w:numId w:val="1"/>
        </w:numPr>
        <w:spacing w:before="120"/>
        <w:ind w:left="0" w:firstLine="0"/>
        <w:contextualSpacing w:val="0"/>
        <w:rPr>
          <w:szCs w:val="20"/>
        </w:rPr>
      </w:pPr>
      <w:r w:rsidRPr="00FD6D5E">
        <w:rPr>
          <w:szCs w:val="20"/>
        </w:rPr>
        <w:t xml:space="preserve">La nota de </w:t>
      </w:r>
      <w:r>
        <w:rPr>
          <w:szCs w:val="20"/>
        </w:rPr>
        <w:t>23</w:t>
      </w:r>
      <w:r w:rsidRPr="00FD6D5E">
        <w:rPr>
          <w:szCs w:val="20"/>
        </w:rPr>
        <w:t xml:space="preserve"> de mayo de 2022 mediante la cual la Secretaría de la Corte, siguiendo instrucciones del </w:t>
      </w:r>
      <w:proofErr w:type="gramStart"/>
      <w:r w:rsidR="009651E9">
        <w:rPr>
          <w:szCs w:val="20"/>
        </w:rPr>
        <w:t>Presidente</w:t>
      </w:r>
      <w:proofErr w:type="gramEnd"/>
      <w:r w:rsidRPr="00FD6D5E">
        <w:rPr>
          <w:szCs w:val="20"/>
        </w:rPr>
        <w:t xml:space="preserve">, solicitó observaciones </w:t>
      </w:r>
      <w:r w:rsidR="009651E9">
        <w:rPr>
          <w:szCs w:val="20"/>
        </w:rPr>
        <w:t xml:space="preserve">a los representantes y la Comisión </w:t>
      </w:r>
      <w:r w:rsidR="00B8740F">
        <w:rPr>
          <w:szCs w:val="20"/>
        </w:rPr>
        <w:t>sobre</w:t>
      </w:r>
      <w:r w:rsidR="009651E9">
        <w:rPr>
          <w:szCs w:val="20"/>
        </w:rPr>
        <w:t xml:space="preserve"> la información presentada por el Estado</w:t>
      </w:r>
      <w:r w:rsidRPr="00FD6D5E">
        <w:rPr>
          <w:szCs w:val="20"/>
        </w:rPr>
        <w:t>.</w:t>
      </w:r>
    </w:p>
    <w:p w14:paraId="0C4B1761" w14:textId="4B360962" w:rsidR="00AA5A8E" w:rsidRPr="00FD6D5E" w:rsidRDefault="00B8740F" w:rsidP="00AA5A8E">
      <w:pPr>
        <w:pStyle w:val="Prrafodelista"/>
        <w:numPr>
          <w:ilvl w:val="0"/>
          <w:numId w:val="1"/>
        </w:numPr>
        <w:spacing w:before="120"/>
        <w:ind w:left="0" w:firstLine="0"/>
        <w:contextualSpacing w:val="0"/>
        <w:rPr>
          <w:szCs w:val="20"/>
        </w:rPr>
      </w:pPr>
      <w:r>
        <w:rPr>
          <w:szCs w:val="20"/>
        </w:rPr>
        <w:t xml:space="preserve">Los </w:t>
      </w:r>
      <w:r w:rsidR="00D62F2B" w:rsidRPr="00FD6D5E">
        <w:rPr>
          <w:szCs w:val="20"/>
        </w:rPr>
        <w:t>escrito</w:t>
      </w:r>
      <w:r>
        <w:rPr>
          <w:szCs w:val="20"/>
        </w:rPr>
        <w:t>s</w:t>
      </w:r>
      <w:r w:rsidR="00D62F2B" w:rsidRPr="00FD6D5E">
        <w:rPr>
          <w:szCs w:val="20"/>
        </w:rPr>
        <w:t xml:space="preserve"> </w:t>
      </w:r>
      <w:r w:rsidR="000971D2" w:rsidRPr="00FD6D5E">
        <w:rPr>
          <w:szCs w:val="20"/>
        </w:rPr>
        <w:t xml:space="preserve">de </w:t>
      </w:r>
      <w:r w:rsidR="00FD6D5E">
        <w:rPr>
          <w:szCs w:val="20"/>
        </w:rPr>
        <w:t>3</w:t>
      </w:r>
      <w:r w:rsidR="00FD6D5E" w:rsidRPr="00FD6D5E">
        <w:rPr>
          <w:szCs w:val="20"/>
        </w:rPr>
        <w:t xml:space="preserve"> de junio de </w:t>
      </w:r>
      <w:r w:rsidR="006A73E8" w:rsidRPr="00FD6D5E">
        <w:rPr>
          <w:szCs w:val="20"/>
        </w:rPr>
        <w:t>2022</w:t>
      </w:r>
      <w:r w:rsidR="000971D2" w:rsidRPr="00FD6D5E">
        <w:rPr>
          <w:szCs w:val="20"/>
        </w:rPr>
        <w:t xml:space="preserve">, mediante </w:t>
      </w:r>
      <w:r>
        <w:rPr>
          <w:szCs w:val="20"/>
        </w:rPr>
        <w:t>los</w:t>
      </w:r>
      <w:r w:rsidRPr="00FD6D5E">
        <w:rPr>
          <w:szCs w:val="20"/>
        </w:rPr>
        <w:t xml:space="preserve"> </w:t>
      </w:r>
      <w:r w:rsidR="006A73E8" w:rsidRPr="00FD6D5E">
        <w:rPr>
          <w:szCs w:val="20"/>
        </w:rPr>
        <w:t>cual</w:t>
      </w:r>
      <w:r>
        <w:rPr>
          <w:szCs w:val="20"/>
        </w:rPr>
        <w:t>es</w:t>
      </w:r>
      <w:r w:rsidR="000971D2" w:rsidRPr="00FD6D5E">
        <w:rPr>
          <w:szCs w:val="20"/>
        </w:rPr>
        <w:t xml:space="preserve"> </w:t>
      </w:r>
      <w:r w:rsidR="005C58DC" w:rsidRPr="00FD6D5E">
        <w:rPr>
          <w:szCs w:val="20"/>
        </w:rPr>
        <w:t xml:space="preserve">la </w:t>
      </w:r>
      <w:r w:rsidR="00AA5A8E" w:rsidRPr="00FD6D5E">
        <w:rPr>
          <w:szCs w:val="20"/>
        </w:rPr>
        <w:t xml:space="preserve">Comisión </w:t>
      </w:r>
      <w:r>
        <w:rPr>
          <w:szCs w:val="20"/>
        </w:rPr>
        <w:t xml:space="preserve">y los representantes </w:t>
      </w:r>
      <w:r w:rsidR="000971D2" w:rsidRPr="00FD6D5E">
        <w:rPr>
          <w:szCs w:val="20"/>
        </w:rPr>
        <w:t>present</w:t>
      </w:r>
      <w:r>
        <w:rPr>
          <w:szCs w:val="20"/>
        </w:rPr>
        <w:t>aron</w:t>
      </w:r>
      <w:r w:rsidR="000971D2" w:rsidRPr="00FD6D5E">
        <w:rPr>
          <w:szCs w:val="20"/>
        </w:rPr>
        <w:t xml:space="preserve"> sus observaciones a la </w:t>
      </w:r>
      <w:r w:rsidR="009651E9">
        <w:rPr>
          <w:szCs w:val="20"/>
        </w:rPr>
        <w:t>información remitida por el Estado</w:t>
      </w:r>
      <w:r w:rsidR="00AA5A8E" w:rsidRPr="00FD6D5E">
        <w:rPr>
          <w:szCs w:val="20"/>
        </w:rPr>
        <w:t>.</w:t>
      </w:r>
      <w:r w:rsidR="00022E30" w:rsidRPr="00FD6D5E">
        <w:rPr>
          <w:szCs w:val="20"/>
        </w:rPr>
        <w:t xml:space="preserve"> </w:t>
      </w:r>
    </w:p>
    <w:p w14:paraId="37CC9B03" w14:textId="77777777" w:rsidR="00AA5A8E" w:rsidRPr="006279D4" w:rsidRDefault="00AA5A8E" w:rsidP="00AA5A8E">
      <w:pPr>
        <w:autoSpaceDE w:val="0"/>
        <w:autoSpaceDN w:val="0"/>
        <w:adjustRightInd w:val="0"/>
        <w:spacing w:before="360" w:after="360"/>
        <w:jc w:val="left"/>
        <w:rPr>
          <w:rFonts w:eastAsia="Times New Roman" w:cs="Verdana"/>
          <w:b/>
          <w:bCs/>
          <w:szCs w:val="20"/>
          <w:lang w:eastAsia="en-US"/>
        </w:rPr>
      </w:pPr>
      <w:r w:rsidRPr="006279D4">
        <w:rPr>
          <w:rFonts w:eastAsia="Times New Roman" w:cs="Verdana"/>
          <w:b/>
          <w:bCs/>
          <w:szCs w:val="20"/>
          <w:lang w:eastAsia="en-US"/>
        </w:rPr>
        <w:t>CONSIDERANDO QUE:</w:t>
      </w:r>
    </w:p>
    <w:p w14:paraId="3F639376" w14:textId="77777777" w:rsidR="00AA5A8E" w:rsidRPr="006279D4" w:rsidRDefault="00AA5A8E" w:rsidP="00C64D92">
      <w:pPr>
        <w:pStyle w:val="Prrafodelista"/>
        <w:numPr>
          <w:ilvl w:val="0"/>
          <w:numId w:val="17"/>
        </w:numPr>
        <w:spacing w:before="120"/>
        <w:ind w:left="0" w:firstLine="0"/>
        <w:contextualSpacing w:val="0"/>
        <w:rPr>
          <w:szCs w:val="20"/>
        </w:rPr>
      </w:pPr>
      <w:r w:rsidRPr="006279D4">
        <w:rPr>
          <w:szCs w:val="20"/>
        </w:rPr>
        <w:t xml:space="preserve">El artículo 63.2 de la Convención Americana sobre Derechos Humanos (en adelante “la Convención Americana” o “la Convención”) dispone, en lo relevante, que “[e]n casos de </w:t>
      </w:r>
      <w:bookmarkEnd w:id="0"/>
      <w:r w:rsidRPr="006279D4">
        <w:rPr>
          <w:szCs w:val="20"/>
        </w:rPr>
        <w:t xml:space="preserve">extrema gravedad y urgencia, y cuando se haga necesario evitar daños irreparables a las personas, la Corte, en los asuntos que esté conociendo, podrá tomar </w:t>
      </w:r>
      <w:r w:rsidRPr="006279D4">
        <w:rPr>
          <w:szCs w:val="20"/>
        </w:rPr>
        <w:lastRenderedPageBreak/>
        <w:t xml:space="preserve">las medidas provisionales que considere pertinentes”. Asimismo, el artículo 27.3 del Reglamento del Tribunal (en adelante “el Reglamento”) establece que “[e]n los casos contenciosos que se encuentren en conocimiento de la Corte, las víctimas o las presuntas víctimas, o sus representantes, podrán presentar directamente a ésta una solicitud de medidas provisionales, las que deberán tener relación con el objeto del caso”. </w:t>
      </w:r>
    </w:p>
    <w:p w14:paraId="6A1CF9BF" w14:textId="326C4773" w:rsidR="00AA5A8E" w:rsidRPr="006279D4" w:rsidRDefault="00AA5A8E" w:rsidP="00C64D92">
      <w:pPr>
        <w:pStyle w:val="Prrafodelista"/>
        <w:numPr>
          <w:ilvl w:val="0"/>
          <w:numId w:val="17"/>
        </w:numPr>
        <w:spacing w:before="120"/>
        <w:ind w:left="0" w:firstLine="0"/>
        <w:contextualSpacing w:val="0"/>
        <w:rPr>
          <w:szCs w:val="20"/>
        </w:rPr>
      </w:pPr>
      <w:r w:rsidRPr="006279D4">
        <w:rPr>
          <w:szCs w:val="20"/>
        </w:rPr>
        <w:t>La solicitud de medidas provisionales fue presentada por</w:t>
      </w:r>
      <w:r w:rsidR="00F5030E" w:rsidRPr="006279D4">
        <w:rPr>
          <w:szCs w:val="20"/>
        </w:rPr>
        <w:t xml:space="preserve"> los </w:t>
      </w:r>
      <w:r w:rsidR="00EB380A">
        <w:rPr>
          <w:szCs w:val="20"/>
        </w:rPr>
        <w:t>representantes</w:t>
      </w:r>
      <w:r w:rsidR="00F5030E" w:rsidRPr="006279D4">
        <w:rPr>
          <w:szCs w:val="20"/>
        </w:rPr>
        <w:t xml:space="preserve"> acreditados de las presuntas víctimas, directamente ante el Tribunal</w:t>
      </w:r>
      <w:r w:rsidRPr="006279D4">
        <w:rPr>
          <w:szCs w:val="20"/>
        </w:rPr>
        <w:t xml:space="preserve">, en un caso que se encuentra actualmente </w:t>
      </w:r>
      <w:r w:rsidR="00C64D92" w:rsidRPr="006279D4">
        <w:rPr>
          <w:szCs w:val="20"/>
        </w:rPr>
        <w:t xml:space="preserve">en trámite </w:t>
      </w:r>
      <w:r w:rsidRPr="006279D4">
        <w:rPr>
          <w:szCs w:val="20"/>
        </w:rPr>
        <w:t>ante la Corte, con lo cual se cumple con lo requerido en el artículo 27.3 en lo que respecta a la legitimación para presentar la solicitud.</w:t>
      </w:r>
    </w:p>
    <w:p w14:paraId="74A5F318" w14:textId="5B7107FE" w:rsidR="00925B16" w:rsidRPr="006279D4" w:rsidRDefault="00AA5A8E" w:rsidP="00C64D92">
      <w:pPr>
        <w:pStyle w:val="Prrafodelista"/>
        <w:numPr>
          <w:ilvl w:val="0"/>
          <w:numId w:val="17"/>
        </w:numPr>
        <w:spacing w:before="120"/>
        <w:ind w:left="0" w:firstLine="0"/>
        <w:contextualSpacing w:val="0"/>
        <w:rPr>
          <w:szCs w:val="20"/>
        </w:rPr>
      </w:pPr>
      <w:r w:rsidRPr="006279D4">
        <w:rPr>
          <w:szCs w:val="20"/>
        </w:rPr>
        <w:t xml:space="preserve">Este Tribunal estima pertinente </w:t>
      </w:r>
      <w:proofErr w:type="gramStart"/>
      <w:r w:rsidRPr="006279D4">
        <w:rPr>
          <w:szCs w:val="20"/>
        </w:rPr>
        <w:t>reiterar</w:t>
      </w:r>
      <w:proofErr w:type="gramEnd"/>
      <w:r w:rsidRPr="006279D4">
        <w:rPr>
          <w:szCs w:val="20"/>
        </w:rPr>
        <w:t xml:space="preserve"> que, para la disposición de medidas provisionales, el artículo 63.2 de la Convención Americana exige la concurrencia de tres condiciones: i) “extrema gravedad”; </w:t>
      </w:r>
      <w:proofErr w:type="spellStart"/>
      <w:r w:rsidRPr="006279D4">
        <w:rPr>
          <w:szCs w:val="20"/>
        </w:rPr>
        <w:t>ii</w:t>
      </w:r>
      <w:proofErr w:type="spellEnd"/>
      <w:r w:rsidRPr="006279D4">
        <w:rPr>
          <w:szCs w:val="20"/>
        </w:rPr>
        <w:t xml:space="preserve">) “urgencia”, y </w:t>
      </w:r>
      <w:proofErr w:type="spellStart"/>
      <w:r w:rsidRPr="006279D4">
        <w:rPr>
          <w:szCs w:val="20"/>
        </w:rPr>
        <w:t>iii</w:t>
      </w:r>
      <w:proofErr w:type="spellEnd"/>
      <w:r w:rsidRPr="006279D4">
        <w:rPr>
          <w:szCs w:val="20"/>
        </w:rPr>
        <w:t>) que se trate de “evitar daños irreparables” a las personas. Estas tres condiciones son coexistentes y deben estar presentes en toda situación en la que se solicite la intervención del Tribunal a través de una medida provisional</w:t>
      </w:r>
      <w:r w:rsidRPr="006279D4">
        <w:rPr>
          <w:szCs w:val="20"/>
          <w:vertAlign w:val="superscript"/>
        </w:rPr>
        <w:footnoteReference w:id="3"/>
      </w:r>
      <w:r w:rsidRPr="006279D4">
        <w:rPr>
          <w:szCs w:val="20"/>
        </w:rPr>
        <w:t xml:space="preserve">. Conforme a la Convención y al Reglamento, la carga procesal de demostrar </w:t>
      </w:r>
      <w:r w:rsidRPr="006279D4">
        <w:rPr>
          <w:i/>
          <w:szCs w:val="20"/>
        </w:rPr>
        <w:t>prima facie</w:t>
      </w:r>
      <w:r w:rsidRPr="006279D4">
        <w:rPr>
          <w:szCs w:val="20"/>
        </w:rPr>
        <w:t xml:space="preserve"> dichos requisitos recae en </w:t>
      </w:r>
      <w:r w:rsidR="0029167E">
        <w:rPr>
          <w:szCs w:val="20"/>
        </w:rPr>
        <w:t>los</w:t>
      </w:r>
      <w:r w:rsidRPr="006279D4">
        <w:rPr>
          <w:szCs w:val="20"/>
        </w:rPr>
        <w:t xml:space="preserve"> solicitante</w:t>
      </w:r>
      <w:r w:rsidR="0029167E">
        <w:rPr>
          <w:szCs w:val="20"/>
        </w:rPr>
        <w:t>s</w:t>
      </w:r>
      <w:r w:rsidRPr="006279D4">
        <w:rPr>
          <w:szCs w:val="20"/>
          <w:vertAlign w:val="superscript"/>
        </w:rPr>
        <w:footnoteReference w:id="4"/>
      </w:r>
      <w:r w:rsidRPr="006279D4">
        <w:rPr>
          <w:szCs w:val="20"/>
        </w:rPr>
        <w:t xml:space="preserve">. En este caso, la Corte estima que se configuran condiciones que ameritan </w:t>
      </w:r>
      <w:proofErr w:type="gramStart"/>
      <w:r w:rsidRPr="006279D4">
        <w:rPr>
          <w:szCs w:val="20"/>
        </w:rPr>
        <w:t>proceder a examinar</w:t>
      </w:r>
      <w:proofErr w:type="gramEnd"/>
      <w:r w:rsidRPr="006279D4">
        <w:rPr>
          <w:szCs w:val="20"/>
        </w:rPr>
        <w:t xml:space="preserve"> si se cumplen los requisitos para la adopción de medidas provisionales.</w:t>
      </w:r>
    </w:p>
    <w:p w14:paraId="1D6BD057" w14:textId="2768AE47" w:rsidR="00925B16" w:rsidRPr="006279D4" w:rsidRDefault="00F32CB1" w:rsidP="00737588">
      <w:pPr>
        <w:pStyle w:val="Prrafodelista"/>
        <w:numPr>
          <w:ilvl w:val="0"/>
          <w:numId w:val="10"/>
        </w:numPr>
        <w:spacing w:before="240" w:after="240"/>
        <w:ind w:left="567"/>
        <w:contextualSpacing w:val="0"/>
        <w:rPr>
          <w:b/>
          <w:i/>
          <w:szCs w:val="20"/>
        </w:rPr>
      </w:pPr>
      <w:r>
        <w:rPr>
          <w:b/>
          <w:i/>
          <w:szCs w:val="20"/>
        </w:rPr>
        <w:t>La s</w:t>
      </w:r>
      <w:r w:rsidR="00925B16" w:rsidRPr="006279D4">
        <w:rPr>
          <w:b/>
          <w:i/>
          <w:szCs w:val="20"/>
        </w:rPr>
        <w:t>olicitud</w:t>
      </w:r>
      <w:r>
        <w:rPr>
          <w:b/>
          <w:i/>
          <w:szCs w:val="20"/>
        </w:rPr>
        <w:t xml:space="preserve"> de Medidas Provisionales</w:t>
      </w:r>
      <w:r w:rsidR="00925B16" w:rsidRPr="006279D4">
        <w:rPr>
          <w:b/>
          <w:i/>
          <w:szCs w:val="20"/>
        </w:rPr>
        <w:t xml:space="preserve"> presentada por los </w:t>
      </w:r>
      <w:r w:rsidR="00EB380A">
        <w:rPr>
          <w:b/>
          <w:i/>
          <w:szCs w:val="20"/>
        </w:rPr>
        <w:t>representantes</w:t>
      </w:r>
      <w:r>
        <w:rPr>
          <w:b/>
          <w:i/>
          <w:szCs w:val="20"/>
        </w:rPr>
        <w:t xml:space="preserve"> de las presentas víctimas</w:t>
      </w:r>
      <w:r w:rsidR="00EB380A">
        <w:rPr>
          <w:b/>
          <w:i/>
          <w:szCs w:val="20"/>
        </w:rPr>
        <w:t xml:space="preserve"> </w:t>
      </w:r>
    </w:p>
    <w:p w14:paraId="55AE7175" w14:textId="4DE8F067" w:rsidR="00B95B2E" w:rsidRPr="00FC152D" w:rsidRDefault="0079729B" w:rsidP="00FC152D">
      <w:pPr>
        <w:pStyle w:val="Prrafodelista"/>
        <w:numPr>
          <w:ilvl w:val="0"/>
          <w:numId w:val="17"/>
        </w:numPr>
        <w:spacing w:before="120"/>
        <w:ind w:left="0" w:firstLine="0"/>
        <w:contextualSpacing w:val="0"/>
        <w:rPr>
          <w:szCs w:val="20"/>
        </w:rPr>
      </w:pPr>
      <w:r w:rsidRPr="00B95B2E">
        <w:rPr>
          <w:szCs w:val="20"/>
        </w:rPr>
        <w:t xml:space="preserve">En el marco del proceso contencioso del presente caso, </w:t>
      </w:r>
      <w:r w:rsidR="00B95B2E" w:rsidRPr="00B95B2E">
        <w:rPr>
          <w:szCs w:val="20"/>
        </w:rPr>
        <w:t xml:space="preserve">se indicó que Daniel García Rodríguez y Reyes </w:t>
      </w:r>
      <w:proofErr w:type="spellStart"/>
      <w:r w:rsidR="00B95B2E" w:rsidRPr="00B95B2E">
        <w:rPr>
          <w:szCs w:val="20"/>
        </w:rPr>
        <w:t>Alpizar</w:t>
      </w:r>
      <w:proofErr w:type="spellEnd"/>
      <w:r w:rsidR="00B95B2E" w:rsidRPr="00B95B2E">
        <w:rPr>
          <w:szCs w:val="20"/>
        </w:rPr>
        <w:t xml:space="preserve"> Ortiz fueron arrestados el 25 de febrero y 25 de octubre de 2002, respectivamente, por el homicidio en la vía pública de la regidora de Atizapán de Zaragoza ocurrido el 5 de septiembre de 2001.</w:t>
      </w:r>
      <w:r w:rsidR="00B95B2E">
        <w:rPr>
          <w:szCs w:val="20"/>
        </w:rPr>
        <w:t xml:space="preserve"> </w:t>
      </w:r>
      <w:r w:rsidR="00563FBD">
        <w:rPr>
          <w:szCs w:val="20"/>
        </w:rPr>
        <w:t>Durante el desarrollo del proceso penal seguido en su contra, l</w:t>
      </w:r>
      <w:r w:rsidR="00B95B2E" w:rsidRPr="00CE7E19">
        <w:rPr>
          <w:szCs w:val="20"/>
        </w:rPr>
        <w:t xml:space="preserve">as presuntas víctimas permanecieron en prisión preventiva </w:t>
      </w:r>
      <w:r w:rsidR="00476584">
        <w:rPr>
          <w:szCs w:val="20"/>
        </w:rPr>
        <w:t xml:space="preserve">por más de </w:t>
      </w:r>
      <w:r w:rsidR="00B95B2E" w:rsidRPr="00CE7E19">
        <w:rPr>
          <w:szCs w:val="20"/>
        </w:rPr>
        <w:t>17 años, hasta el 23 de agosto de 2019, fecha en la cu</w:t>
      </w:r>
      <w:r w:rsidR="00220B90">
        <w:rPr>
          <w:szCs w:val="20"/>
        </w:rPr>
        <w:t>al</w:t>
      </w:r>
      <w:r w:rsidR="00B95B2E" w:rsidRPr="00CE7E19">
        <w:rPr>
          <w:szCs w:val="20"/>
        </w:rPr>
        <w:t xml:space="preserve"> fueron liberadas como consecuencia de una decisión de conmutación de la prisión preventiva por la “medida de libertad restrictiva de no abandonar la entidad federativa con la portación de un brazalete de geolocalización, ordenando también el no acercarnos a la familia de la víctima”. </w:t>
      </w:r>
      <w:r w:rsidR="00563FBD">
        <w:rPr>
          <w:szCs w:val="20"/>
        </w:rPr>
        <w:t>La Comisión y los representantes alegaron que en el contexto de su privación a la libertad y del proceso penal, las presuntas víctimas habrían sido objeto de torturas y vulneraciones al debido proceso (</w:t>
      </w:r>
      <w:r w:rsidR="00563FBD" w:rsidRPr="00563FBD">
        <w:rPr>
          <w:i/>
          <w:iCs/>
          <w:szCs w:val="20"/>
        </w:rPr>
        <w:t>su</w:t>
      </w:r>
      <w:r w:rsidR="00563FBD" w:rsidRPr="00FC152D">
        <w:rPr>
          <w:i/>
          <w:iCs/>
          <w:szCs w:val="20"/>
        </w:rPr>
        <w:t>pra</w:t>
      </w:r>
      <w:r w:rsidR="00563FBD" w:rsidRPr="00FC152D">
        <w:rPr>
          <w:szCs w:val="20"/>
        </w:rPr>
        <w:t xml:space="preserve"> Visto 1).</w:t>
      </w:r>
    </w:p>
    <w:p w14:paraId="159ED9F4" w14:textId="01F38E30" w:rsidR="00220B90" w:rsidRPr="005B7893" w:rsidRDefault="00563FBD" w:rsidP="00775D34">
      <w:pPr>
        <w:pStyle w:val="Prrafodelista"/>
        <w:numPr>
          <w:ilvl w:val="0"/>
          <w:numId w:val="17"/>
        </w:numPr>
        <w:spacing w:before="120"/>
        <w:ind w:left="0" w:firstLine="0"/>
        <w:contextualSpacing w:val="0"/>
        <w:rPr>
          <w:szCs w:val="20"/>
          <w:lang w:val="es-CR"/>
        </w:rPr>
      </w:pPr>
      <w:r w:rsidRPr="005B7893">
        <w:rPr>
          <w:szCs w:val="20"/>
        </w:rPr>
        <w:t xml:space="preserve">Por otra parte, </w:t>
      </w:r>
      <w:r w:rsidR="007F2B83">
        <w:rPr>
          <w:szCs w:val="20"/>
        </w:rPr>
        <w:t>l</w:t>
      </w:r>
      <w:r w:rsidR="00220B90" w:rsidRPr="005B7893">
        <w:rPr>
          <w:szCs w:val="20"/>
        </w:rPr>
        <w:t xml:space="preserve">os </w:t>
      </w:r>
      <w:r w:rsidR="00220B90" w:rsidRPr="005B7893">
        <w:rPr>
          <w:b/>
          <w:bCs/>
          <w:i/>
          <w:iCs/>
          <w:szCs w:val="20"/>
        </w:rPr>
        <w:t>representantes</w:t>
      </w:r>
      <w:r w:rsidR="00220B90" w:rsidRPr="005B7893">
        <w:rPr>
          <w:szCs w:val="20"/>
        </w:rPr>
        <w:t xml:space="preserve"> informaron que </w:t>
      </w:r>
      <w:r w:rsidR="00220B90" w:rsidRPr="005B7893">
        <w:rPr>
          <w:szCs w:val="20"/>
          <w:lang w:val="es-CR"/>
        </w:rPr>
        <w:t xml:space="preserve">el </w:t>
      </w:r>
      <w:r w:rsidR="00220B90" w:rsidRPr="0029167E">
        <w:rPr>
          <w:szCs w:val="20"/>
          <w:lang w:val="es-CR"/>
        </w:rPr>
        <w:t>12 de mayo de 2022</w:t>
      </w:r>
      <w:r w:rsidR="00220B90" w:rsidRPr="005B7893">
        <w:rPr>
          <w:szCs w:val="20"/>
          <w:lang w:val="es-CR"/>
        </w:rPr>
        <w:t xml:space="preserve"> fue notificada la sentencia dictada en contra de Reyes Alpízar </w:t>
      </w:r>
      <w:proofErr w:type="spellStart"/>
      <w:r w:rsidR="00220B90" w:rsidRPr="005B7893">
        <w:rPr>
          <w:szCs w:val="20"/>
          <w:lang w:val="es-CR"/>
        </w:rPr>
        <w:t>Ortíz</w:t>
      </w:r>
      <w:proofErr w:type="spellEnd"/>
      <w:r w:rsidR="00220B90" w:rsidRPr="005B7893">
        <w:rPr>
          <w:szCs w:val="20"/>
          <w:lang w:val="es-CR"/>
        </w:rPr>
        <w:t xml:space="preserve"> y de Daniel García Rodríguez por parte del Juzgado Penal del Distrito </w:t>
      </w:r>
      <w:r w:rsidR="00220B90" w:rsidRPr="005B7893">
        <w:rPr>
          <w:szCs w:val="20"/>
        </w:rPr>
        <w:t>Judicial</w:t>
      </w:r>
      <w:r w:rsidR="00220B90" w:rsidRPr="005B7893">
        <w:rPr>
          <w:szCs w:val="20"/>
          <w:lang w:val="es-CR"/>
        </w:rPr>
        <w:t xml:space="preserve"> de Tlalnepantla, por el delito de homicidio con modificativa (calificativa de premeditación) en agravio y Cohecho en agravio de la Administración Pública</w:t>
      </w:r>
      <w:r w:rsidR="007069D6" w:rsidRPr="005B7893">
        <w:rPr>
          <w:szCs w:val="20"/>
          <w:lang w:val="es-CR"/>
        </w:rPr>
        <w:t xml:space="preserve"> </w:t>
      </w:r>
      <w:r w:rsidR="007069D6" w:rsidRPr="005B7893">
        <w:rPr>
          <w:szCs w:val="20"/>
        </w:rPr>
        <w:t>(</w:t>
      </w:r>
      <w:r w:rsidR="007069D6" w:rsidRPr="005B7893">
        <w:rPr>
          <w:i/>
          <w:iCs/>
          <w:szCs w:val="20"/>
        </w:rPr>
        <w:t>supra</w:t>
      </w:r>
      <w:r w:rsidR="007069D6" w:rsidRPr="005B7893">
        <w:rPr>
          <w:szCs w:val="20"/>
        </w:rPr>
        <w:t xml:space="preserve"> Visto </w:t>
      </w:r>
      <w:r w:rsidR="0029167E">
        <w:rPr>
          <w:szCs w:val="20"/>
        </w:rPr>
        <w:t>2</w:t>
      </w:r>
      <w:r w:rsidR="007069D6" w:rsidRPr="005B7893">
        <w:rPr>
          <w:szCs w:val="20"/>
        </w:rPr>
        <w:t>)</w:t>
      </w:r>
      <w:r w:rsidR="00220B90" w:rsidRPr="005B7893">
        <w:rPr>
          <w:szCs w:val="20"/>
          <w:lang w:val="es-CR"/>
        </w:rPr>
        <w:t>.</w:t>
      </w:r>
      <w:r w:rsidR="00476584" w:rsidRPr="005B7893">
        <w:rPr>
          <w:szCs w:val="20"/>
          <w:lang w:val="es-CR"/>
        </w:rPr>
        <w:t xml:space="preserve"> </w:t>
      </w:r>
      <w:r w:rsidR="005B7893" w:rsidRPr="005B7893">
        <w:rPr>
          <w:szCs w:val="20"/>
          <w:lang w:val="es-CR"/>
        </w:rPr>
        <w:t>En esa decisión se los condenó a una pena privativa de la libertad de 35</w:t>
      </w:r>
      <w:r w:rsidR="005B7893">
        <w:rPr>
          <w:szCs w:val="20"/>
          <w:lang w:val="es-CR"/>
        </w:rPr>
        <w:t xml:space="preserve"> años, la cual “</w:t>
      </w:r>
      <w:r w:rsidR="005B7893" w:rsidRPr="005B7893">
        <w:rPr>
          <w:szCs w:val="20"/>
          <w:lang w:val="es-CR"/>
        </w:rPr>
        <w:t>deberá ser compurgada una vez que cause estado la presente resolución</w:t>
      </w:r>
      <w:r w:rsidR="005B7893">
        <w:rPr>
          <w:szCs w:val="20"/>
          <w:lang w:val="es-CR"/>
        </w:rPr>
        <w:t>”. A esa pena, se les deberá descontar a los</w:t>
      </w:r>
      <w:r w:rsidR="005B7893" w:rsidRPr="005B7893">
        <w:rPr>
          <w:szCs w:val="20"/>
          <w:lang w:val="es-CR"/>
        </w:rPr>
        <w:t xml:space="preserve"> sentenciado</w:t>
      </w:r>
      <w:r w:rsidR="005B7893">
        <w:rPr>
          <w:szCs w:val="20"/>
          <w:lang w:val="es-CR"/>
        </w:rPr>
        <w:t>s</w:t>
      </w:r>
      <w:r w:rsidR="005B7893" w:rsidRPr="005B7893">
        <w:rPr>
          <w:szCs w:val="20"/>
          <w:lang w:val="es-CR"/>
        </w:rPr>
        <w:t xml:space="preserve"> el tiempo que durante el procedimiento estuv</w:t>
      </w:r>
      <w:r w:rsidR="005B7893">
        <w:rPr>
          <w:szCs w:val="20"/>
          <w:lang w:val="es-CR"/>
        </w:rPr>
        <w:t>ieron</w:t>
      </w:r>
      <w:r w:rsidR="005B7893" w:rsidRPr="005B7893">
        <w:rPr>
          <w:szCs w:val="20"/>
          <w:lang w:val="es-CR"/>
        </w:rPr>
        <w:t xml:space="preserve"> </w:t>
      </w:r>
      <w:r w:rsidR="00C2715B">
        <w:rPr>
          <w:szCs w:val="20"/>
          <w:lang w:val="es-CR"/>
        </w:rPr>
        <w:t>en prisión preventiva (</w:t>
      </w:r>
      <w:r w:rsidR="005B7893" w:rsidRPr="005B7893">
        <w:rPr>
          <w:szCs w:val="20"/>
          <w:lang w:val="es-CR"/>
        </w:rPr>
        <w:t xml:space="preserve">desde el </w:t>
      </w:r>
      <w:r w:rsidR="005B7893">
        <w:rPr>
          <w:szCs w:val="20"/>
          <w:lang w:val="es-CR"/>
        </w:rPr>
        <w:t>25</w:t>
      </w:r>
      <w:r w:rsidR="005B7893" w:rsidRPr="005B7893">
        <w:rPr>
          <w:szCs w:val="20"/>
          <w:lang w:val="es-CR"/>
        </w:rPr>
        <w:t xml:space="preserve"> de febrero de </w:t>
      </w:r>
      <w:r w:rsidR="005B7893">
        <w:rPr>
          <w:szCs w:val="20"/>
          <w:lang w:val="es-CR"/>
        </w:rPr>
        <w:t>2002</w:t>
      </w:r>
      <w:r w:rsidR="005B7893" w:rsidRPr="005B7893">
        <w:rPr>
          <w:szCs w:val="20"/>
          <w:lang w:val="es-CR"/>
        </w:rPr>
        <w:t xml:space="preserve"> al </w:t>
      </w:r>
      <w:r w:rsidR="005B7893">
        <w:rPr>
          <w:szCs w:val="20"/>
          <w:lang w:val="es-CR"/>
        </w:rPr>
        <w:t>23</w:t>
      </w:r>
      <w:r w:rsidR="005B7893" w:rsidRPr="005B7893">
        <w:rPr>
          <w:szCs w:val="20"/>
          <w:lang w:val="es-CR"/>
        </w:rPr>
        <w:t xml:space="preserve"> de agosto de </w:t>
      </w:r>
      <w:r w:rsidR="005B7893">
        <w:rPr>
          <w:szCs w:val="20"/>
          <w:lang w:val="es-CR"/>
        </w:rPr>
        <w:t>2019</w:t>
      </w:r>
      <w:r w:rsidR="00C2715B">
        <w:rPr>
          <w:szCs w:val="20"/>
          <w:lang w:val="es-CR"/>
        </w:rPr>
        <w:t>).</w:t>
      </w:r>
      <w:r w:rsidR="00FC152D" w:rsidRPr="005B7893">
        <w:rPr>
          <w:szCs w:val="20"/>
          <w:lang w:val="es-CR"/>
        </w:rPr>
        <w:tab/>
      </w:r>
    </w:p>
    <w:p w14:paraId="7797CCF5" w14:textId="7E568231" w:rsidR="00220B90" w:rsidRDefault="00476584" w:rsidP="00220B90">
      <w:pPr>
        <w:pStyle w:val="Prrafodelista"/>
        <w:numPr>
          <w:ilvl w:val="0"/>
          <w:numId w:val="17"/>
        </w:numPr>
        <w:spacing w:before="120"/>
        <w:ind w:left="0" w:firstLine="0"/>
        <w:contextualSpacing w:val="0"/>
        <w:rPr>
          <w:szCs w:val="20"/>
        </w:rPr>
      </w:pPr>
      <w:r>
        <w:rPr>
          <w:szCs w:val="20"/>
          <w:lang w:val="es-CR"/>
        </w:rPr>
        <w:lastRenderedPageBreak/>
        <w:t xml:space="preserve">Los representantes solicitaron que la Corte ordene Medidas Provisionales al Estado </w:t>
      </w:r>
      <w:r w:rsidRPr="001B1F0F">
        <w:rPr>
          <w:szCs w:val="20"/>
          <w:lang w:val="es-CR"/>
        </w:rPr>
        <w:t>con la</w:t>
      </w:r>
      <w:r>
        <w:rPr>
          <w:szCs w:val="20"/>
          <w:lang w:val="es-CR"/>
        </w:rPr>
        <w:t xml:space="preserve"> </w:t>
      </w:r>
      <w:r w:rsidRPr="00476584">
        <w:rPr>
          <w:szCs w:val="20"/>
          <w:lang w:val="es-CR"/>
        </w:rPr>
        <w:t>finalidad de evitar la detención y encarcelamiento de las presuntas víctimas directas del presente caso</w:t>
      </w:r>
      <w:r w:rsidRPr="001B1F0F">
        <w:rPr>
          <w:szCs w:val="20"/>
          <w:lang w:val="es-CR"/>
        </w:rPr>
        <w:t xml:space="preserve">, </w:t>
      </w:r>
      <w:r w:rsidR="00B77C39">
        <w:rPr>
          <w:szCs w:val="20"/>
          <w:lang w:val="es-CR"/>
        </w:rPr>
        <w:t>“</w:t>
      </w:r>
      <w:r w:rsidRPr="001B1F0F">
        <w:rPr>
          <w:szCs w:val="20"/>
          <w:lang w:val="es-CR"/>
        </w:rPr>
        <w:t>evitando con ello una afectación al fondo de la litis que</w:t>
      </w:r>
      <w:r>
        <w:rPr>
          <w:szCs w:val="20"/>
          <w:lang w:val="es-CR"/>
        </w:rPr>
        <w:t xml:space="preserve"> </w:t>
      </w:r>
      <w:r w:rsidRPr="001B1F0F">
        <w:rPr>
          <w:szCs w:val="20"/>
          <w:lang w:val="es-CR"/>
        </w:rPr>
        <w:t>se desarrolla ante este Tribunal, un daño irreparable a sus derechos y un</w:t>
      </w:r>
      <w:r>
        <w:rPr>
          <w:szCs w:val="20"/>
          <w:lang w:val="es-CR"/>
        </w:rPr>
        <w:t xml:space="preserve"> </w:t>
      </w:r>
      <w:r w:rsidRPr="001B1F0F">
        <w:rPr>
          <w:szCs w:val="20"/>
          <w:lang w:val="es-CR"/>
        </w:rPr>
        <w:t>eventual obstáculo material que impida que ambos puedan acudir a la</w:t>
      </w:r>
      <w:r>
        <w:rPr>
          <w:szCs w:val="20"/>
          <w:lang w:val="es-CR"/>
        </w:rPr>
        <w:t xml:space="preserve"> </w:t>
      </w:r>
      <w:r w:rsidRPr="001B1F0F">
        <w:rPr>
          <w:szCs w:val="20"/>
          <w:lang w:val="es-CR"/>
        </w:rPr>
        <w:t>audiencia pública que se celebrará en fechas próximas ante este Tribunal</w:t>
      </w:r>
      <w:r w:rsidR="00B77C39">
        <w:rPr>
          <w:szCs w:val="20"/>
          <w:lang w:val="es-CR"/>
        </w:rPr>
        <w:t>”</w:t>
      </w:r>
      <w:r w:rsidRPr="00476584">
        <w:rPr>
          <w:szCs w:val="20"/>
        </w:rPr>
        <w:t>.</w:t>
      </w:r>
    </w:p>
    <w:p w14:paraId="3E7A3C12" w14:textId="6A700E0B" w:rsidR="009D126F" w:rsidRDefault="009D126F" w:rsidP="009D126F">
      <w:pPr>
        <w:pStyle w:val="Prrafodelista"/>
        <w:numPr>
          <w:ilvl w:val="0"/>
          <w:numId w:val="17"/>
        </w:numPr>
        <w:spacing w:before="120"/>
        <w:ind w:left="0" w:firstLine="0"/>
        <w:contextualSpacing w:val="0"/>
        <w:rPr>
          <w:szCs w:val="20"/>
          <w:lang w:val="es-CR"/>
        </w:rPr>
      </w:pPr>
      <w:r>
        <w:rPr>
          <w:szCs w:val="20"/>
        </w:rPr>
        <w:t>Los representantes a</w:t>
      </w:r>
      <w:r w:rsidR="00476584">
        <w:rPr>
          <w:szCs w:val="20"/>
        </w:rPr>
        <w:t xml:space="preserve">legaron </w:t>
      </w:r>
      <w:r w:rsidR="00476584" w:rsidRPr="009D126F">
        <w:rPr>
          <w:szCs w:val="20"/>
        </w:rPr>
        <w:t xml:space="preserve">que en este caso “una parte del objeto y contenido de la litis </w:t>
      </w:r>
      <w:r w:rsidRPr="009D126F">
        <w:rPr>
          <w:szCs w:val="20"/>
        </w:rPr>
        <w:t>[…]</w:t>
      </w:r>
      <w:r w:rsidR="00476584" w:rsidRPr="009D126F">
        <w:rPr>
          <w:szCs w:val="20"/>
        </w:rPr>
        <w:t xml:space="preserve"> versa </w:t>
      </w:r>
      <w:r w:rsidRPr="009D126F">
        <w:rPr>
          <w:szCs w:val="20"/>
        </w:rPr>
        <w:t>[…]</w:t>
      </w:r>
      <w:r w:rsidR="00476584" w:rsidRPr="009D126F">
        <w:rPr>
          <w:szCs w:val="20"/>
        </w:rPr>
        <w:t xml:space="preserve"> sobre: a) la evidencia utilizada para acusar a García y Reyes, b) la detención, interrogatorios y arraigos bajo </w:t>
      </w:r>
      <w:r w:rsidRPr="009D126F">
        <w:rPr>
          <w:szCs w:val="20"/>
        </w:rPr>
        <w:t xml:space="preserve">[presuntas] </w:t>
      </w:r>
      <w:r w:rsidR="00476584" w:rsidRPr="009D126F">
        <w:rPr>
          <w:szCs w:val="20"/>
        </w:rPr>
        <w:t>condiciones de tortura y, c) la</w:t>
      </w:r>
      <w:r w:rsidRPr="009D126F">
        <w:rPr>
          <w:szCs w:val="20"/>
        </w:rPr>
        <w:t xml:space="preserve"> [alegada]</w:t>
      </w:r>
      <w:r w:rsidR="00476584" w:rsidRPr="009D126F">
        <w:rPr>
          <w:szCs w:val="20"/>
        </w:rPr>
        <w:t xml:space="preserve"> falsedad en las declaraciones de algunos testigos de cargo”. En particular</w:t>
      </w:r>
      <w:r w:rsidR="003C108D">
        <w:rPr>
          <w:szCs w:val="20"/>
        </w:rPr>
        <w:t>,</w:t>
      </w:r>
      <w:r w:rsidR="00476584" w:rsidRPr="009D126F">
        <w:rPr>
          <w:szCs w:val="20"/>
        </w:rPr>
        <w:t xml:space="preserve"> destacaron que “Daniel García y Reyes </w:t>
      </w:r>
      <w:proofErr w:type="spellStart"/>
      <w:r w:rsidR="00476584" w:rsidRPr="009D126F">
        <w:rPr>
          <w:szCs w:val="20"/>
        </w:rPr>
        <w:t>Alpizar</w:t>
      </w:r>
      <w:proofErr w:type="spellEnd"/>
      <w:r w:rsidR="00476584" w:rsidRPr="009D126F">
        <w:rPr>
          <w:szCs w:val="20"/>
        </w:rPr>
        <w:t xml:space="preserve"> emitieron declaraciones ante la PGJEM durante el tiempo en que se ha determinado que fueron sometidos</w:t>
      </w:r>
      <w:r w:rsidR="00476584" w:rsidRPr="006B6CB5">
        <w:rPr>
          <w:szCs w:val="20"/>
          <w:lang w:val="es-CR"/>
        </w:rPr>
        <w:t xml:space="preserve"> a presiones y maltratos</w:t>
      </w:r>
      <w:r w:rsidR="00476584">
        <w:rPr>
          <w:szCs w:val="20"/>
          <w:lang w:val="es-CR"/>
        </w:rPr>
        <w:t xml:space="preserve">”, y que esas </w:t>
      </w:r>
      <w:r w:rsidR="00476584" w:rsidRPr="006B6CB5">
        <w:rPr>
          <w:szCs w:val="20"/>
          <w:lang w:val="es-CR"/>
        </w:rPr>
        <w:t>declaraciones</w:t>
      </w:r>
      <w:r w:rsidR="00476584">
        <w:rPr>
          <w:szCs w:val="20"/>
          <w:lang w:val="es-CR"/>
        </w:rPr>
        <w:t xml:space="preserve"> “</w:t>
      </w:r>
      <w:r w:rsidR="00476584" w:rsidRPr="006B6CB5">
        <w:rPr>
          <w:szCs w:val="20"/>
          <w:lang w:val="es-CR"/>
        </w:rPr>
        <w:t>no solo no fueron excluidas del proceso penal, sino que fueron</w:t>
      </w:r>
      <w:r w:rsidR="00476584">
        <w:rPr>
          <w:szCs w:val="20"/>
          <w:lang w:val="es-CR"/>
        </w:rPr>
        <w:t xml:space="preserve"> </w:t>
      </w:r>
      <w:r w:rsidR="00476584" w:rsidRPr="006B6CB5">
        <w:rPr>
          <w:szCs w:val="20"/>
          <w:lang w:val="es-CR"/>
        </w:rPr>
        <w:t>utilizadas como el elemento de convicción central para sustentar los autos</w:t>
      </w:r>
      <w:r w:rsidR="00476584">
        <w:rPr>
          <w:szCs w:val="20"/>
          <w:lang w:val="es-CR"/>
        </w:rPr>
        <w:t xml:space="preserve"> </w:t>
      </w:r>
      <w:r w:rsidR="00476584" w:rsidRPr="006B6CB5">
        <w:rPr>
          <w:szCs w:val="20"/>
          <w:lang w:val="es-CR"/>
        </w:rPr>
        <w:t>formales de prisión</w:t>
      </w:r>
      <w:r w:rsidR="00476584">
        <w:rPr>
          <w:szCs w:val="20"/>
          <w:lang w:val="es-CR"/>
        </w:rPr>
        <w:t xml:space="preserve">” </w:t>
      </w:r>
      <w:r w:rsidR="00476584" w:rsidRPr="006B6CB5">
        <w:rPr>
          <w:szCs w:val="20"/>
          <w:lang w:val="es-CR"/>
        </w:rPr>
        <w:t xml:space="preserve">y </w:t>
      </w:r>
      <w:r w:rsidR="00476584">
        <w:rPr>
          <w:szCs w:val="20"/>
          <w:lang w:val="es-CR"/>
        </w:rPr>
        <w:t>“</w:t>
      </w:r>
      <w:r w:rsidR="00476584" w:rsidRPr="006B6CB5">
        <w:rPr>
          <w:szCs w:val="20"/>
          <w:lang w:val="es-CR"/>
        </w:rPr>
        <w:t>se</w:t>
      </w:r>
      <w:r w:rsidR="00476584">
        <w:rPr>
          <w:szCs w:val="20"/>
          <w:lang w:val="es-CR"/>
        </w:rPr>
        <w:t xml:space="preserve"> </w:t>
      </w:r>
      <w:r w:rsidR="00476584" w:rsidRPr="006B6CB5">
        <w:rPr>
          <w:szCs w:val="20"/>
          <w:lang w:val="es-CR"/>
        </w:rPr>
        <w:t>encuentran</w:t>
      </w:r>
      <w:r w:rsidR="00476584">
        <w:rPr>
          <w:szCs w:val="20"/>
          <w:lang w:val="es-CR"/>
        </w:rPr>
        <w:t xml:space="preserve"> </w:t>
      </w:r>
      <w:r w:rsidR="00476584" w:rsidRPr="006B6CB5">
        <w:rPr>
          <w:szCs w:val="20"/>
          <w:lang w:val="es-CR"/>
        </w:rPr>
        <w:t>presentes en el expediente como elementos probatorios que inciden</w:t>
      </w:r>
      <w:r w:rsidR="00476584">
        <w:rPr>
          <w:szCs w:val="20"/>
          <w:lang w:val="es-CR"/>
        </w:rPr>
        <w:t xml:space="preserve"> </w:t>
      </w:r>
      <w:r w:rsidR="00476584" w:rsidRPr="006B6CB5">
        <w:rPr>
          <w:szCs w:val="20"/>
          <w:lang w:val="es-CR"/>
        </w:rPr>
        <w:t>en la posible responsabilidad y vinculación de las presuntas víctimas en</w:t>
      </w:r>
      <w:r w:rsidR="00476584">
        <w:rPr>
          <w:szCs w:val="20"/>
          <w:lang w:val="es-CR"/>
        </w:rPr>
        <w:t xml:space="preserve"> </w:t>
      </w:r>
      <w:r w:rsidR="00476584" w:rsidRPr="006B6CB5">
        <w:rPr>
          <w:szCs w:val="20"/>
          <w:lang w:val="es-CR"/>
        </w:rPr>
        <w:t>el proceso</w:t>
      </w:r>
      <w:r w:rsidR="00476584">
        <w:rPr>
          <w:szCs w:val="20"/>
          <w:lang w:val="es-CR"/>
        </w:rPr>
        <w:t>”.</w:t>
      </w:r>
      <w:r>
        <w:rPr>
          <w:szCs w:val="20"/>
          <w:lang w:val="es-CR"/>
        </w:rPr>
        <w:t xml:space="preserve"> </w:t>
      </w:r>
      <w:r w:rsidR="00476584" w:rsidRPr="009D126F">
        <w:rPr>
          <w:szCs w:val="20"/>
          <w:lang w:val="es-CR"/>
        </w:rPr>
        <w:t>Indicaron</w:t>
      </w:r>
      <w:r w:rsidR="003C108D">
        <w:rPr>
          <w:szCs w:val="20"/>
          <w:lang w:val="es-CR"/>
        </w:rPr>
        <w:t>,</w:t>
      </w:r>
      <w:r w:rsidR="00476584" w:rsidRPr="009D126F">
        <w:rPr>
          <w:szCs w:val="20"/>
          <w:lang w:val="es-CR"/>
        </w:rPr>
        <w:t xml:space="preserve"> asimismo</w:t>
      </w:r>
      <w:r w:rsidR="003C108D">
        <w:rPr>
          <w:szCs w:val="20"/>
          <w:lang w:val="es-CR"/>
        </w:rPr>
        <w:t>,</w:t>
      </w:r>
      <w:r w:rsidR="00476584" w:rsidRPr="009D126F">
        <w:rPr>
          <w:szCs w:val="20"/>
          <w:lang w:val="es-CR"/>
        </w:rPr>
        <w:t xml:space="preserve"> </w:t>
      </w:r>
      <w:r w:rsidR="00563FBD">
        <w:rPr>
          <w:szCs w:val="20"/>
          <w:lang w:val="es-CR"/>
        </w:rPr>
        <w:t xml:space="preserve">que </w:t>
      </w:r>
      <w:r w:rsidR="00476584" w:rsidRPr="009D126F">
        <w:rPr>
          <w:szCs w:val="20"/>
          <w:lang w:val="es-CR"/>
        </w:rPr>
        <w:t xml:space="preserve">existe un riesgo de una eventual nueva </w:t>
      </w:r>
      <w:proofErr w:type="spellStart"/>
      <w:r w:rsidR="00476584" w:rsidRPr="009D126F">
        <w:rPr>
          <w:szCs w:val="20"/>
          <w:lang w:val="es-CR"/>
        </w:rPr>
        <w:t>re-aprehensión</w:t>
      </w:r>
      <w:proofErr w:type="spellEnd"/>
      <w:r w:rsidR="00476584" w:rsidRPr="009D126F">
        <w:rPr>
          <w:szCs w:val="20"/>
          <w:lang w:val="es-CR"/>
        </w:rPr>
        <w:t xml:space="preserve"> en contra de Daniel García Rodríguez y Reyes </w:t>
      </w:r>
      <w:proofErr w:type="spellStart"/>
      <w:r w:rsidR="00476584" w:rsidRPr="009D126F">
        <w:rPr>
          <w:szCs w:val="20"/>
          <w:lang w:val="es-CR"/>
        </w:rPr>
        <w:t>Alpizar</w:t>
      </w:r>
      <w:proofErr w:type="spellEnd"/>
      <w:r w:rsidR="00476584" w:rsidRPr="009D126F">
        <w:rPr>
          <w:szCs w:val="20"/>
          <w:lang w:val="es-CR"/>
        </w:rPr>
        <w:t xml:space="preserve"> </w:t>
      </w:r>
      <w:proofErr w:type="spellStart"/>
      <w:r w:rsidR="00476584" w:rsidRPr="009D126F">
        <w:rPr>
          <w:szCs w:val="20"/>
          <w:lang w:val="es-CR"/>
        </w:rPr>
        <w:t>Ortíz</w:t>
      </w:r>
      <w:proofErr w:type="spellEnd"/>
      <w:r w:rsidR="00476584" w:rsidRPr="009D126F">
        <w:rPr>
          <w:szCs w:val="20"/>
          <w:lang w:val="es-CR"/>
        </w:rPr>
        <w:t xml:space="preserve">, </w:t>
      </w:r>
      <w:r w:rsidR="00563FBD">
        <w:rPr>
          <w:szCs w:val="20"/>
          <w:lang w:val="es-CR"/>
        </w:rPr>
        <w:t>la</w:t>
      </w:r>
      <w:r w:rsidR="00476584" w:rsidRPr="009D126F">
        <w:rPr>
          <w:szCs w:val="20"/>
          <w:lang w:val="es-CR"/>
        </w:rPr>
        <w:t xml:space="preserve"> cual “puede ocurrir en los próximas semanas o meses, lo que conllevaría un nuevo ingreso carcelario de ambos en un penal del Estado de México”, </w:t>
      </w:r>
      <w:r w:rsidR="00D86044">
        <w:rPr>
          <w:szCs w:val="20"/>
          <w:lang w:val="es-CR"/>
        </w:rPr>
        <w:t xml:space="preserve">y </w:t>
      </w:r>
      <w:r w:rsidR="00476584" w:rsidRPr="009D126F">
        <w:rPr>
          <w:szCs w:val="20"/>
          <w:lang w:val="es-CR"/>
        </w:rPr>
        <w:t>que se actualiza el posible daño irreparable que estaría cometiendo en contra de su vida, integridad, su salud y su libertad</w:t>
      </w:r>
      <w:r w:rsidRPr="009D126F">
        <w:rPr>
          <w:szCs w:val="20"/>
          <w:lang w:val="es-CR"/>
        </w:rPr>
        <w:t>.</w:t>
      </w:r>
    </w:p>
    <w:p w14:paraId="6DBAF688" w14:textId="7817D57A" w:rsidR="00F32CB1" w:rsidRPr="00F32CB1" w:rsidRDefault="00F32CB1" w:rsidP="00F32CB1">
      <w:pPr>
        <w:pStyle w:val="Prrafodelista"/>
        <w:numPr>
          <w:ilvl w:val="0"/>
          <w:numId w:val="10"/>
        </w:numPr>
        <w:spacing w:before="240" w:after="240"/>
        <w:ind w:left="567"/>
        <w:contextualSpacing w:val="0"/>
        <w:rPr>
          <w:b/>
          <w:i/>
          <w:szCs w:val="20"/>
        </w:rPr>
      </w:pPr>
      <w:r>
        <w:rPr>
          <w:b/>
          <w:i/>
          <w:szCs w:val="20"/>
        </w:rPr>
        <w:t>Las observaciones de la Comisión y del Estado</w:t>
      </w:r>
      <w:r w:rsidR="00AA46B0">
        <w:rPr>
          <w:b/>
          <w:i/>
          <w:szCs w:val="20"/>
        </w:rPr>
        <w:t>, y los alegatos complementarios presentados por los representantes</w:t>
      </w:r>
      <w:r w:rsidRPr="006279D4">
        <w:rPr>
          <w:b/>
          <w:i/>
          <w:szCs w:val="20"/>
        </w:rPr>
        <w:t xml:space="preserve"> </w:t>
      </w:r>
    </w:p>
    <w:p w14:paraId="52B0F70A" w14:textId="77777777" w:rsidR="00F32CB1" w:rsidRPr="00AC76FC" w:rsidRDefault="00F32CB1" w:rsidP="00F32CB1">
      <w:pPr>
        <w:pStyle w:val="Prrafodelista"/>
        <w:numPr>
          <w:ilvl w:val="0"/>
          <w:numId w:val="17"/>
        </w:numPr>
        <w:spacing w:before="120"/>
        <w:ind w:left="0" w:firstLine="0"/>
        <w:contextualSpacing w:val="0"/>
        <w:rPr>
          <w:szCs w:val="20"/>
        </w:rPr>
      </w:pPr>
      <w:r w:rsidRPr="00AC76FC">
        <w:rPr>
          <w:szCs w:val="20"/>
        </w:rPr>
        <w:t xml:space="preserve">La </w:t>
      </w:r>
      <w:r w:rsidRPr="00AC76FC">
        <w:rPr>
          <w:b/>
          <w:bCs/>
          <w:i/>
          <w:iCs/>
          <w:szCs w:val="20"/>
        </w:rPr>
        <w:t>Comisión</w:t>
      </w:r>
      <w:r w:rsidRPr="00AC76FC">
        <w:rPr>
          <w:szCs w:val="20"/>
        </w:rPr>
        <w:t xml:space="preserve"> indicó que la Corte “podrá tomar en cuenta lo informado por los representantes en el marco del caso, y al momento de determinar el alcance de la responsabilidad estatal, así como las reparaciones que sean conducentes”. Además, indicó que “ante el </w:t>
      </w:r>
      <w:r>
        <w:rPr>
          <w:szCs w:val="20"/>
        </w:rPr>
        <w:t xml:space="preserve">[alegado] </w:t>
      </w:r>
      <w:r w:rsidRPr="00AC76FC">
        <w:rPr>
          <w:szCs w:val="20"/>
        </w:rPr>
        <w:t xml:space="preserve">riesgo denunciado a enfrentar adicionales afectaciones a su integridad personal en el contexto de la privación de la libertad”, resaltó la importancia de que se “valore la información que sea aportada por el Estado mexicano, teniendo en cuenta que las presuntas víctimas anteriormente enfrentaron </w:t>
      </w:r>
      <w:r>
        <w:rPr>
          <w:szCs w:val="20"/>
        </w:rPr>
        <w:t xml:space="preserve">[presuntas] </w:t>
      </w:r>
      <w:r w:rsidRPr="00AC76FC">
        <w:rPr>
          <w:szCs w:val="20"/>
        </w:rPr>
        <w:t>tortura</w:t>
      </w:r>
      <w:r>
        <w:rPr>
          <w:szCs w:val="20"/>
        </w:rPr>
        <w:t>[s]</w:t>
      </w:r>
      <w:r w:rsidRPr="00AC76FC">
        <w:rPr>
          <w:szCs w:val="20"/>
        </w:rPr>
        <w:t>”.</w:t>
      </w:r>
    </w:p>
    <w:p w14:paraId="4DA01E26" w14:textId="171F39FC" w:rsidR="00F32CB1" w:rsidRPr="00F32CB1" w:rsidRDefault="00F32CB1" w:rsidP="00F32CB1">
      <w:pPr>
        <w:pStyle w:val="Prrafodelista"/>
        <w:numPr>
          <w:ilvl w:val="0"/>
          <w:numId w:val="17"/>
        </w:numPr>
        <w:spacing w:before="120"/>
        <w:ind w:left="0" w:firstLine="0"/>
        <w:contextualSpacing w:val="0"/>
        <w:rPr>
          <w:szCs w:val="20"/>
        </w:rPr>
      </w:pPr>
      <w:r>
        <w:rPr>
          <w:bCs/>
          <w:iCs/>
          <w:szCs w:val="20"/>
          <w:lang w:val="es-CR"/>
        </w:rPr>
        <w:t xml:space="preserve">El </w:t>
      </w:r>
      <w:r w:rsidRPr="00F32CB1">
        <w:rPr>
          <w:b/>
          <w:i/>
          <w:szCs w:val="20"/>
          <w:lang w:val="es-CR"/>
        </w:rPr>
        <w:t>Estado</w:t>
      </w:r>
      <w:r>
        <w:rPr>
          <w:bCs/>
          <w:iCs/>
          <w:szCs w:val="20"/>
          <w:lang w:val="es-CR"/>
        </w:rPr>
        <w:t xml:space="preserve"> </w:t>
      </w:r>
      <w:r w:rsidRPr="00F32CB1">
        <w:rPr>
          <w:szCs w:val="20"/>
        </w:rPr>
        <w:t>recordó que los representantes interpusieron recurso de apelación en contra de la sentencia condenatoria el 13 de mayo de 2022</w:t>
      </w:r>
      <w:r>
        <w:rPr>
          <w:szCs w:val="20"/>
        </w:rPr>
        <w:t>, y</w:t>
      </w:r>
      <w:r w:rsidRPr="00F32CB1">
        <w:rPr>
          <w:szCs w:val="20"/>
        </w:rPr>
        <w:t xml:space="preserve"> que “la sentencia del Juez Penal de Primera Instancia del Distrito Judicial de Tlalnepantla, Estado de México, se torna ejecutable hasta en tanto la misma sea declarada firme” </w:t>
      </w:r>
      <w:r>
        <w:rPr>
          <w:szCs w:val="20"/>
        </w:rPr>
        <w:t>puesto</w:t>
      </w:r>
      <w:r w:rsidRPr="00F32CB1">
        <w:rPr>
          <w:szCs w:val="20"/>
        </w:rPr>
        <w:t xml:space="preserve"> que “el artículo 281 del Código de Procedimientos Penales para el Estado de México, </w:t>
      </w:r>
      <w:r w:rsidR="00974B03">
        <w:rPr>
          <w:szCs w:val="20"/>
        </w:rPr>
        <w:t xml:space="preserve">[…] </w:t>
      </w:r>
      <w:r w:rsidRPr="00F32CB1">
        <w:rPr>
          <w:szCs w:val="20"/>
        </w:rPr>
        <w:t>establece que son apelables con efectos suspensivos las sentencias definitivas en que se imponga alguna sanción”. Asimismo, mencionó que “en contra de la determinación que realice el Tribunal de Alzada, las partes inconformes tienen derechos de promover el Juicio de Amparo Directo previsto en el artículo 70 de la Ley de la materia”.</w:t>
      </w:r>
    </w:p>
    <w:p w14:paraId="12B169EE" w14:textId="74F88A4A" w:rsidR="00F32CB1" w:rsidRPr="00F32CB1" w:rsidRDefault="00F32CB1" w:rsidP="00F32CB1">
      <w:pPr>
        <w:pStyle w:val="Prrafodelista"/>
        <w:numPr>
          <w:ilvl w:val="0"/>
          <w:numId w:val="17"/>
        </w:numPr>
        <w:spacing w:before="120"/>
        <w:ind w:left="0" w:firstLine="0"/>
        <w:contextualSpacing w:val="0"/>
        <w:rPr>
          <w:szCs w:val="20"/>
        </w:rPr>
      </w:pPr>
      <w:r w:rsidRPr="00F32CB1">
        <w:rPr>
          <w:szCs w:val="20"/>
        </w:rPr>
        <w:t xml:space="preserve">El </w:t>
      </w:r>
      <w:r>
        <w:rPr>
          <w:szCs w:val="20"/>
        </w:rPr>
        <w:t>E</w:t>
      </w:r>
      <w:r w:rsidRPr="00F32CB1">
        <w:rPr>
          <w:szCs w:val="20"/>
        </w:rPr>
        <w:t xml:space="preserve">stado agregó que los señores García Rodríguez y Reyes </w:t>
      </w:r>
      <w:proofErr w:type="spellStart"/>
      <w:r w:rsidRPr="00F32CB1">
        <w:rPr>
          <w:szCs w:val="20"/>
        </w:rPr>
        <w:t>Alpizar</w:t>
      </w:r>
      <w:proofErr w:type="spellEnd"/>
      <w:r w:rsidRPr="00F32CB1">
        <w:rPr>
          <w:szCs w:val="20"/>
        </w:rPr>
        <w:t xml:space="preserve"> continuarán en libertad, con el uso de brazaletes, hasta que la sentencia cause estado. </w:t>
      </w:r>
      <w:r w:rsidR="00974B03" w:rsidRPr="00F32CB1">
        <w:rPr>
          <w:szCs w:val="20"/>
        </w:rPr>
        <w:t>Además,</w:t>
      </w:r>
      <w:r w:rsidRPr="00F32CB1">
        <w:rPr>
          <w:szCs w:val="20"/>
        </w:rPr>
        <w:t xml:space="preserve"> indicó que, una vez que la Corte fije la fecha de la eventual audiencia pública, el Estado tomará las medidas pertinentes para garantizar la participación de las presuntas víctimas.</w:t>
      </w:r>
    </w:p>
    <w:p w14:paraId="295C0C8C" w14:textId="7DCD3E7C" w:rsidR="00F32CB1" w:rsidRPr="005B5568" w:rsidRDefault="00F32CB1" w:rsidP="005B5568">
      <w:pPr>
        <w:pStyle w:val="Prrafodelista"/>
        <w:numPr>
          <w:ilvl w:val="0"/>
          <w:numId w:val="17"/>
        </w:numPr>
        <w:spacing w:before="120"/>
        <w:ind w:left="0" w:firstLine="0"/>
        <w:contextualSpacing w:val="0"/>
        <w:rPr>
          <w:szCs w:val="20"/>
        </w:rPr>
      </w:pPr>
      <w:r w:rsidRPr="00F32CB1">
        <w:rPr>
          <w:szCs w:val="20"/>
        </w:rPr>
        <w:t xml:space="preserve">En cuanto al requisito de extrema gravedad, el Estado alegó que la situación de los señores García Rodríguez y Reyes </w:t>
      </w:r>
      <w:proofErr w:type="spellStart"/>
      <w:r w:rsidRPr="00F32CB1">
        <w:rPr>
          <w:szCs w:val="20"/>
        </w:rPr>
        <w:t>Alpizar</w:t>
      </w:r>
      <w:proofErr w:type="spellEnd"/>
      <w:r w:rsidRPr="00F32CB1">
        <w:rPr>
          <w:szCs w:val="20"/>
        </w:rPr>
        <w:t xml:space="preserve"> “no es extrema, dado que el riesgo de la privación de su libertad personal se da en el contexto de una sentencia emitida por una </w:t>
      </w:r>
      <w:r w:rsidRPr="00F32CB1">
        <w:rPr>
          <w:szCs w:val="20"/>
        </w:rPr>
        <w:lastRenderedPageBreak/>
        <w:t>corte de derecho, la cual garantiza su derecho a la defensa mediante los recursos internos, mismos que ya están haciendo valer a través del recurso de apelación”.</w:t>
      </w:r>
      <w:r w:rsidR="00AA46B0">
        <w:rPr>
          <w:szCs w:val="20"/>
        </w:rPr>
        <w:t xml:space="preserve"> </w:t>
      </w:r>
      <w:r w:rsidRPr="00AA46B0">
        <w:rPr>
          <w:szCs w:val="20"/>
        </w:rPr>
        <w:t xml:space="preserve">Asimismo, sostuvo que la alegada amenaza a </w:t>
      </w:r>
      <w:r w:rsidR="00AA46B0" w:rsidRPr="00AA46B0">
        <w:rPr>
          <w:szCs w:val="20"/>
        </w:rPr>
        <w:t>la</w:t>
      </w:r>
      <w:r w:rsidRPr="00AA46B0">
        <w:rPr>
          <w:szCs w:val="20"/>
        </w:rPr>
        <w:t xml:space="preserve"> libertad personal </w:t>
      </w:r>
      <w:r w:rsidR="00AA46B0" w:rsidRPr="00AA46B0">
        <w:rPr>
          <w:szCs w:val="20"/>
        </w:rPr>
        <w:t xml:space="preserve">de las presuntas víctimas </w:t>
      </w:r>
      <w:r w:rsidRPr="00AA46B0">
        <w:rPr>
          <w:szCs w:val="20"/>
        </w:rPr>
        <w:t>no es inminente, “toda vez que deberán ser agotados los recursos de apelación y amparo directo previo a que la sentencia del Juez Penal de Primera Instancia del Distrito Judicial de Tlalnepantla cause estado”. Además</w:t>
      </w:r>
      <w:r w:rsidR="00B90F53">
        <w:rPr>
          <w:szCs w:val="20"/>
        </w:rPr>
        <w:t>,</w:t>
      </w:r>
      <w:r w:rsidRPr="00AA46B0">
        <w:rPr>
          <w:szCs w:val="20"/>
        </w:rPr>
        <w:t xml:space="preserve"> señaló que “actualmente no existe una probabilidad razonable de que la privación de la libertad se materialice, por lo que el daño alegado aún puede ser evitado con los medios de defensa antes señalados”.</w:t>
      </w:r>
      <w:r w:rsidR="005B5568">
        <w:rPr>
          <w:szCs w:val="20"/>
        </w:rPr>
        <w:t xml:space="preserve"> </w:t>
      </w:r>
      <w:r w:rsidRPr="005B5568">
        <w:rPr>
          <w:szCs w:val="20"/>
        </w:rPr>
        <w:t xml:space="preserve">En suma, </w:t>
      </w:r>
      <w:r w:rsidR="00974B03">
        <w:rPr>
          <w:szCs w:val="20"/>
        </w:rPr>
        <w:t>requirió</w:t>
      </w:r>
      <w:r w:rsidRPr="005B5568">
        <w:rPr>
          <w:szCs w:val="20"/>
        </w:rPr>
        <w:t xml:space="preserve"> que se desestime la solicitud de medidas provisionales “debido a que la sentencia pronunciada en contra de las presuntas víctimas admite recursos para su revisión que ya están siendo interpuestos por la representación de los señores García Rodríguez y Reyes </w:t>
      </w:r>
      <w:proofErr w:type="spellStart"/>
      <w:r w:rsidRPr="005B5568">
        <w:rPr>
          <w:szCs w:val="20"/>
        </w:rPr>
        <w:t>Alpizar</w:t>
      </w:r>
      <w:proofErr w:type="spellEnd"/>
      <w:r w:rsidRPr="005B5568">
        <w:rPr>
          <w:szCs w:val="20"/>
        </w:rPr>
        <w:t>”.</w:t>
      </w:r>
    </w:p>
    <w:p w14:paraId="34453FA8" w14:textId="48A7D519" w:rsidR="00AC76FC" w:rsidRDefault="00AA46B0" w:rsidP="00AC76FC">
      <w:pPr>
        <w:pStyle w:val="Prrafodelista"/>
        <w:numPr>
          <w:ilvl w:val="0"/>
          <w:numId w:val="17"/>
        </w:numPr>
        <w:spacing w:before="120"/>
        <w:ind w:left="0" w:firstLine="0"/>
        <w:contextualSpacing w:val="0"/>
        <w:rPr>
          <w:szCs w:val="20"/>
          <w:lang w:val="es-CR"/>
        </w:rPr>
      </w:pPr>
      <w:r>
        <w:rPr>
          <w:szCs w:val="20"/>
        </w:rPr>
        <w:t>F</w:t>
      </w:r>
      <w:r w:rsidR="00AC76FC">
        <w:rPr>
          <w:szCs w:val="20"/>
          <w:lang w:val="es-CR"/>
        </w:rPr>
        <w:t xml:space="preserve">rente al escrito de observaciones del Estado, los </w:t>
      </w:r>
      <w:r w:rsidR="00AC76FC" w:rsidRPr="00AA46B0">
        <w:rPr>
          <w:b/>
          <w:bCs/>
          <w:i/>
          <w:iCs/>
          <w:szCs w:val="20"/>
          <w:lang w:val="es-CR"/>
        </w:rPr>
        <w:t>representantes</w:t>
      </w:r>
      <w:r w:rsidR="00AC76FC">
        <w:rPr>
          <w:szCs w:val="20"/>
          <w:lang w:val="es-CR"/>
        </w:rPr>
        <w:t xml:space="preserve"> resaltaron que e</w:t>
      </w:r>
      <w:r w:rsidR="00AC76FC" w:rsidRPr="005E1090">
        <w:rPr>
          <w:szCs w:val="20"/>
          <w:lang w:val="es-CR"/>
        </w:rPr>
        <w:t xml:space="preserve">l </w:t>
      </w:r>
      <w:r w:rsidR="00AC76FC">
        <w:rPr>
          <w:szCs w:val="20"/>
          <w:lang w:val="es-CR"/>
        </w:rPr>
        <w:t>“</w:t>
      </w:r>
      <w:r w:rsidR="00AC76FC" w:rsidRPr="005E1090">
        <w:rPr>
          <w:szCs w:val="20"/>
          <w:lang w:val="es-CR"/>
        </w:rPr>
        <w:t>Estado mexicano no controvierte el elemento de que los hechos que motivan</w:t>
      </w:r>
      <w:r w:rsidR="00AC76FC">
        <w:rPr>
          <w:szCs w:val="20"/>
          <w:lang w:val="es-CR"/>
        </w:rPr>
        <w:t xml:space="preserve"> </w:t>
      </w:r>
      <w:r w:rsidR="00AC76FC" w:rsidRPr="005E1090">
        <w:rPr>
          <w:szCs w:val="20"/>
          <w:lang w:val="es-CR"/>
        </w:rPr>
        <w:t>la solicitud de las medias provisionales tengan relación con el presente asunto</w:t>
      </w:r>
      <w:r w:rsidR="00AC76FC">
        <w:rPr>
          <w:szCs w:val="20"/>
          <w:lang w:val="es-CR"/>
        </w:rPr>
        <w:t xml:space="preserve"> </w:t>
      </w:r>
      <w:r w:rsidR="00AC76FC" w:rsidRPr="005E1090">
        <w:rPr>
          <w:szCs w:val="20"/>
          <w:lang w:val="es-CR"/>
        </w:rPr>
        <w:t>tramitado ante la Corte</w:t>
      </w:r>
      <w:r w:rsidR="00AC76FC">
        <w:rPr>
          <w:szCs w:val="20"/>
          <w:lang w:val="es-CR"/>
        </w:rPr>
        <w:t>”. Agregaron que “e</w:t>
      </w:r>
      <w:r w:rsidR="00AC76FC" w:rsidRPr="00294A29">
        <w:rPr>
          <w:szCs w:val="20"/>
          <w:lang w:val="es-CR"/>
        </w:rPr>
        <w:t xml:space="preserve">l Estado traslada a las víctimas la responsabilidad de </w:t>
      </w:r>
      <w:proofErr w:type="gramStart"/>
      <w:r w:rsidR="00AC76FC" w:rsidRPr="00294A29">
        <w:rPr>
          <w:szCs w:val="20"/>
          <w:lang w:val="es-CR"/>
        </w:rPr>
        <w:t>que</w:t>
      </w:r>
      <w:proofErr w:type="gramEnd"/>
      <w:r w:rsidR="00AC76FC" w:rsidRPr="00294A29">
        <w:rPr>
          <w:szCs w:val="20"/>
          <w:lang w:val="es-CR"/>
        </w:rPr>
        <w:t xml:space="preserve"> mediante su</w:t>
      </w:r>
      <w:r w:rsidR="00AC76FC">
        <w:rPr>
          <w:szCs w:val="20"/>
          <w:lang w:val="es-CR"/>
        </w:rPr>
        <w:t xml:space="preserve"> </w:t>
      </w:r>
      <w:r w:rsidR="00AC76FC" w:rsidRPr="00294A29">
        <w:rPr>
          <w:szCs w:val="20"/>
          <w:lang w:val="es-CR"/>
        </w:rPr>
        <w:t>actividad procesal, se pause o se suspenda el efecto de riesgo y gravedad que</w:t>
      </w:r>
      <w:r w:rsidR="00AC76FC">
        <w:rPr>
          <w:szCs w:val="20"/>
          <w:lang w:val="es-CR"/>
        </w:rPr>
        <w:t xml:space="preserve"> </w:t>
      </w:r>
      <w:r w:rsidR="00AC76FC" w:rsidRPr="00294A29">
        <w:rPr>
          <w:szCs w:val="20"/>
          <w:lang w:val="es-CR"/>
        </w:rPr>
        <w:t>implica la inminente posibilidad de su encarcelamiento, lo cual es totalmente</w:t>
      </w:r>
      <w:r w:rsidR="00AC76FC">
        <w:rPr>
          <w:szCs w:val="20"/>
          <w:lang w:val="es-CR"/>
        </w:rPr>
        <w:t xml:space="preserve"> </w:t>
      </w:r>
      <w:r w:rsidR="00AC76FC" w:rsidRPr="00294A29">
        <w:rPr>
          <w:szCs w:val="20"/>
          <w:lang w:val="es-CR"/>
        </w:rPr>
        <w:t xml:space="preserve">desproporcionado; más aún, cuando la sentencia </w:t>
      </w:r>
      <w:r w:rsidR="00AC76FC">
        <w:rPr>
          <w:szCs w:val="20"/>
          <w:lang w:val="es-CR"/>
        </w:rPr>
        <w:t xml:space="preserve">(…) </w:t>
      </w:r>
      <w:r w:rsidR="00AC76FC" w:rsidRPr="00294A29">
        <w:rPr>
          <w:szCs w:val="20"/>
          <w:lang w:val="es-CR"/>
        </w:rPr>
        <w:t>aún no ha sido entregada a las víctimas ni a sus representantes,</w:t>
      </w:r>
      <w:r w:rsidR="00AC76FC">
        <w:rPr>
          <w:szCs w:val="20"/>
          <w:lang w:val="es-CR"/>
        </w:rPr>
        <w:t xml:space="preserve"> </w:t>
      </w:r>
      <w:r w:rsidR="00AC76FC" w:rsidRPr="00294A29">
        <w:rPr>
          <w:szCs w:val="20"/>
          <w:lang w:val="es-CR"/>
        </w:rPr>
        <w:t>pese a haberla solicitado formalmente ante dicha autoridad</w:t>
      </w:r>
      <w:r w:rsidR="00AC76FC">
        <w:rPr>
          <w:szCs w:val="20"/>
          <w:lang w:val="es-CR"/>
        </w:rPr>
        <w:t xml:space="preserve">”. Agregaron que </w:t>
      </w:r>
      <w:r w:rsidR="00AC76FC" w:rsidRPr="00AA46B0">
        <w:rPr>
          <w:szCs w:val="20"/>
          <w:lang w:val="es-CR"/>
        </w:rPr>
        <w:t>la sentencia condenatoria que constituye el acto que coloca en un grave riesgo a las víctimas, podría ejecutarse en cualquier momento</w:t>
      </w:r>
      <w:r w:rsidR="00AC76FC" w:rsidRPr="00294A29">
        <w:rPr>
          <w:szCs w:val="20"/>
          <w:lang w:val="es-CR"/>
        </w:rPr>
        <w:t xml:space="preserve">, </w:t>
      </w:r>
      <w:r w:rsidR="00AC76FC" w:rsidRPr="00AA46B0">
        <w:rPr>
          <w:szCs w:val="20"/>
          <w:lang w:val="es-CR"/>
        </w:rPr>
        <w:t>ya que el recurso de apelación puede ser denegado en cualquier momento</w:t>
      </w:r>
      <w:r w:rsidR="00AC76FC" w:rsidRPr="00294A29">
        <w:rPr>
          <w:szCs w:val="20"/>
          <w:lang w:val="es-CR"/>
        </w:rPr>
        <w:t>, colocando a las víctimas en un gravísimo</w:t>
      </w:r>
      <w:r w:rsidR="00AC76FC">
        <w:rPr>
          <w:szCs w:val="20"/>
          <w:lang w:val="es-CR"/>
        </w:rPr>
        <w:t xml:space="preserve"> </w:t>
      </w:r>
      <w:r w:rsidR="00AC76FC" w:rsidRPr="00294A29">
        <w:rPr>
          <w:szCs w:val="20"/>
          <w:lang w:val="es-CR"/>
        </w:rPr>
        <w:t>riesgo potencial de volver a ser detenidos y encarcelados</w:t>
      </w:r>
      <w:r w:rsidR="00AC76FC">
        <w:rPr>
          <w:szCs w:val="20"/>
          <w:lang w:val="es-CR"/>
        </w:rPr>
        <w:t>.</w:t>
      </w:r>
    </w:p>
    <w:p w14:paraId="2B46F1FC" w14:textId="06140437" w:rsidR="007069D6" w:rsidRPr="005B5568" w:rsidRDefault="00AC76FC" w:rsidP="005B5568">
      <w:pPr>
        <w:pStyle w:val="Prrafodelista"/>
        <w:numPr>
          <w:ilvl w:val="0"/>
          <w:numId w:val="17"/>
        </w:numPr>
        <w:spacing w:before="120"/>
        <w:ind w:left="0" w:firstLine="0"/>
        <w:contextualSpacing w:val="0"/>
        <w:rPr>
          <w:szCs w:val="20"/>
          <w:lang w:val="es-CR"/>
        </w:rPr>
      </w:pPr>
      <w:r>
        <w:rPr>
          <w:szCs w:val="20"/>
          <w:lang w:val="es-CR"/>
        </w:rPr>
        <w:t xml:space="preserve">Asimismo, se refirieron a </w:t>
      </w:r>
      <w:r w:rsidRPr="005B5568">
        <w:rPr>
          <w:szCs w:val="20"/>
          <w:lang w:val="es-CR"/>
        </w:rPr>
        <w:t>la necesidad de resguardar “la integridad psicológica</w:t>
      </w:r>
      <w:r w:rsidR="00974B03">
        <w:rPr>
          <w:szCs w:val="20"/>
          <w:lang w:val="es-CR"/>
        </w:rPr>
        <w:t>”</w:t>
      </w:r>
      <w:r w:rsidRPr="005B5568">
        <w:rPr>
          <w:szCs w:val="20"/>
          <w:lang w:val="es-CR"/>
        </w:rPr>
        <w:t xml:space="preserve"> de </w:t>
      </w:r>
      <w:r w:rsidR="00974B03">
        <w:rPr>
          <w:szCs w:val="20"/>
          <w:lang w:val="es-CR"/>
        </w:rPr>
        <w:t xml:space="preserve">Daniel </w:t>
      </w:r>
      <w:r w:rsidRPr="005B5568">
        <w:rPr>
          <w:szCs w:val="20"/>
          <w:lang w:val="es-CR"/>
        </w:rPr>
        <w:t xml:space="preserve">García y </w:t>
      </w:r>
      <w:r w:rsidR="00974B03" w:rsidRPr="00974B03">
        <w:rPr>
          <w:szCs w:val="20"/>
          <w:lang w:val="es-CR"/>
        </w:rPr>
        <w:t>Reyes Alp</w:t>
      </w:r>
      <w:r w:rsidR="00974B03">
        <w:rPr>
          <w:szCs w:val="20"/>
          <w:lang w:val="es-CR"/>
        </w:rPr>
        <w:t>í</w:t>
      </w:r>
      <w:r w:rsidR="00974B03" w:rsidRPr="00974B03">
        <w:rPr>
          <w:szCs w:val="20"/>
          <w:lang w:val="es-CR"/>
        </w:rPr>
        <w:t>zar</w:t>
      </w:r>
      <w:r w:rsidRPr="005B5568">
        <w:rPr>
          <w:szCs w:val="20"/>
          <w:lang w:val="es-CR"/>
        </w:rPr>
        <w:t xml:space="preserve">, </w:t>
      </w:r>
      <w:r w:rsidR="00974B03">
        <w:rPr>
          <w:szCs w:val="20"/>
          <w:lang w:val="es-CR"/>
        </w:rPr>
        <w:t>“</w:t>
      </w:r>
      <w:r w:rsidRPr="005B5568">
        <w:rPr>
          <w:szCs w:val="20"/>
          <w:lang w:val="es-CR"/>
        </w:rPr>
        <w:t>ya que la incertidumbre, miedo, frustración e impotencia que causan los hechos motivo de la solicitud de medidas provisionales”</w:t>
      </w:r>
      <w:r w:rsidRPr="00D01D38">
        <w:rPr>
          <w:szCs w:val="20"/>
          <w:lang w:val="es-CR"/>
        </w:rPr>
        <w:t>.</w:t>
      </w:r>
    </w:p>
    <w:p w14:paraId="771B5140" w14:textId="77777777" w:rsidR="00925B16" w:rsidRPr="006279D4" w:rsidRDefault="00925B16" w:rsidP="00737588">
      <w:pPr>
        <w:pStyle w:val="Prrafodelista"/>
        <w:numPr>
          <w:ilvl w:val="0"/>
          <w:numId w:val="9"/>
        </w:numPr>
        <w:spacing w:before="240" w:after="240"/>
        <w:ind w:left="567" w:hanging="357"/>
        <w:contextualSpacing w:val="0"/>
        <w:rPr>
          <w:b/>
          <w:i/>
          <w:szCs w:val="20"/>
        </w:rPr>
      </w:pPr>
      <w:r w:rsidRPr="006279D4">
        <w:rPr>
          <w:b/>
          <w:i/>
          <w:szCs w:val="20"/>
        </w:rPr>
        <w:t xml:space="preserve">Consideraciones de la Corte </w:t>
      </w:r>
    </w:p>
    <w:p w14:paraId="77D1BAFE" w14:textId="0CD92787" w:rsidR="00506C57" w:rsidRPr="006279D4" w:rsidRDefault="00506C57" w:rsidP="00C64D92">
      <w:pPr>
        <w:pStyle w:val="Prrafodelista"/>
        <w:numPr>
          <w:ilvl w:val="0"/>
          <w:numId w:val="17"/>
        </w:numPr>
        <w:spacing w:before="120"/>
        <w:ind w:left="0" w:firstLine="0"/>
        <w:contextualSpacing w:val="0"/>
        <w:rPr>
          <w:szCs w:val="20"/>
        </w:rPr>
      </w:pPr>
      <w:r w:rsidRPr="006279D4">
        <w:rPr>
          <w:szCs w:val="20"/>
        </w:rPr>
        <w:t>La adopción de medidas provisionales no implica una decisión sobre el fondo de la controversia existente en el presente caso, ni prejuzga la responsabilidad estatal en los hechos denunciados</w:t>
      </w:r>
      <w:r w:rsidRPr="006279D4">
        <w:rPr>
          <w:vertAlign w:val="superscript"/>
        </w:rPr>
        <w:footnoteReference w:id="5"/>
      </w:r>
      <w:r w:rsidRPr="006279D4">
        <w:rPr>
          <w:szCs w:val="20"/>
        </w:rPr>
        <w:t xml:space="preserve">. </w:t>
      </w:r>
    </w:p>
    <w:p w14:paraId="57B14E9E" w14:textId="681CEE3E" w:rsidR="00506C57" w:rsidRPr="00C2715B" w:rsidRDefault="00506C57" w:rsidP="00C64D92">
      <w:pPr>
        <w:pStyle w:val="Prrafodelista"/>
        <w:numPr>
          <w:ilvl w:val="0"/>
          <w:numId w:val="17"/>
        </w:numPr>
        <w:spacing w:before="120"/>
        <w:ind w:left="0" w:firstLine="0"/>
        <w:contextualSpacing w:val="0"/>
        <w:rPr>
          <w:rFonts w:eastAsia="Verdana"/>
          <w:szCs w:val="20"/>
          <w:lang w:val="es-PE"/>
        </w:rPr>
      </w:pPr>
      <w:r w:rsidRPr="00C2715B">
        <w:rPr>
          <w:szCs w:val="20"/>
        </w:rPr>
        <w:t xml:space="preserve">En </w:t>
      </w:r>
      <w:r w:rsidRPr="00C2715B">
        <w:rPr>
          <w:rFonts w:eastAsia="Verdana"/>
          <w:szCs w:val="20"/>
          <w:lang w:val="es-PE"/>
        </w:rPr>
        <w:t xml:space="preserve">lo que respecta a la legitimación para presentar la solicitud de medidas provisionales, </w:t>
      </w:r>
      <w:r w:rsidRPr="00C2715B">
        <w:rPr>
          <w:szCs w:val="20"/>
        </w:rPr>
        <w:t>esta</w:t>
      </w:r>
      <w:r w:rsidRPr="00C2715B">
        <w:rPr>
          <w:rFonts w:eastAsia="Verdana"/>
          <w:szCs w:val="20"/>
          <w:lang w:val="es-PE"/>
        </w:rPr>
        <w:t xml:space="preserve"> </w:t>
      </w:r>
      <w:r w:rsidR="004F3474" w:rsidRPr="00C2715B">
        <w:rPr>
          <w:rFonts w:eastAsia="Verdana"/>
          <w:szCs w:val="20"/>
          <w:lang w:val="es-PE"/>
        </w:rPr>
        <w:t>Corte</w:t>
      </w:r>
      <w:r w:rsidRPr="00C2715B">
        <w:rPr>
          <w:rFonts w:eastAsia="Verdana"/>
          <w:szCs w:val="20"/>
          <w:lang w:val="es-PE"/>
        </w:rPr>
        <w:t xml:space="preserve"> observa que la </w:t>
      </w:r>
      <w:r w:rsidR="00C0070F">
        <w:rPr>
          <w:rFonts w:eastAsia="Verdana"/>
          <w:szCs w:val="20"/>
          <w:lang w:val="es-PE"/>
        </w:rPr>
        <w:t>misma</w:t>
      </w:r>
      <w:r w:rsidRPr="00C2715B">
        <w:rPr>
          <w:rFonts w:eastAsia="Verdana"/>
          <w:szCs w:val="20"/>
          <w:lang w:val="es-PE"/>
        </w:rPr>
        <w:t xml:space="preserve"> fue presentada</w:t>
      </w:r>
      <w:r w:rsidR="00C64D92" w:rsidRPr="00C2715B">
        <w:rPr>
          <w:rFonts w:eastAsia="Verdana"/>
          <w:szCs w:val="20"/>
          <w:lang w:val="es-PE"/>
        </w:rPr>
        <w:t xml:space="preserve"> </w:t>
      </w:r>
      <w:r w:rsidRPr="00C2715B">
        <w:rPr>
          <w:rFonts w:eastAsia="Verdana"/>
          <w:szCs w:val="20"/>
          <w:lang w:val="es-PE"/>
        </w:rPr>
        <w:t xml:space="preserve">por </w:t>
      </w:r>
      <w:r w:rsidR="00CB1CF0" w:rsidRPr="00C2715B">
        <w:rPr>
          <w:rFonts w:eastAsia="Verdana"/>
          <w:szCs w:val="20"/>
          <w:lang w:val="es-PE"/>
        </w:rPr>
        <w:t>los representantes de las presuntas v</w:t>
      </w:r>
      <w:r w:rsidR="00974B03">
        <w:rPr>
          <w:rFonts w:eastAsia="Verdana"/>
          <w:szCs w:val="20"/>
          <w:lang w:val="es-PE"/>
        </w:rPr>
        <w:t>í</w:t>
      </w:r>
      <w:r w:rsidR="00CB1CF0" w:rsidRPr="00C2715B">
        <w:rPr>
          <w:rFonts w:eastAsia="Verdana"/>
          <w:szCs w:val="20"/>
          <w:lang w:val="es-PE"/>
        </w:rPr>
        <w:t>ctimas</w:t>
      </w:r>
      <w:r w:rsidRPr="00C2715B">
        <w:rPr>
          <w:rFonts w:eastAsia="Verdana"/>
          <w:szCs w:val="20"/>
          <w:lang w:val="es-PE"/>
        </w:rPr>
        <w:t xml:space="preserve"> </w:t>
      </w:r>
      <w:r w:rsidR="00C64D92" w:rsidRPr="00C2715B">
        <w:rPr>
          <w:rFonts w:eastAsia="Verdana"/>
          <w:szCs w:val="20"/>
          <w:lang w:val="es-PE"/>
        </w:rPr>
        <w:t>en el marco de</w:t>
      </w:r>
      <w:r w:rsidRPr="00C2715B">
        <w:rPr>
          <w:rFonts w:eastAsia="Verdana"/>
          <w:szCs w:val="20"/>
          <w:lang w:val="es-PE"/>
        </w:rPr>
        <w:t xml:space="preserve"> un caso que se encuentra en conocimiento de la Corte (</w:t>
      </w:r>
      <w:r w:rsidRPr="00C2715B">
        <w:rPr>
          <w:rFonts w:eastAsia="Verdana"/>
          <w:i/>
          <w:iCs/>
          <w:szCs w:val="20"/>
          <w:lang w:val="es-PE"/>
        </w:rPr>
        <w:t>supra</w:t>
      </w:r>
      <w:r w:rsidRPr="00C2715B">
        <w:rPr>
          <w:rFonts w:eastAsia="Verdana"/>
          <w:szCs w:val="20"/>
          <w:lang w:val="es-PE"/>
        </w:rPr>
        <w:t xml:space="preserve"> Visto </w:t>
      </w:r>
      <w:r w:rsidR="00974B03">
        <w:rPr>
          <w:rFonts w:eastAsia="Verdana"/>
          <w:szCs w:val="20"/>
          <w:lang w:val="es-PE"/>
        </w:rPr>
        <w:t>2</w:t>
      </w:r>
      <w:r w:rsidRPr="00C2715B">
        <w:rPr>
          <w:rFonts w:eastAsia="Verdana"/>
          <w:szCs w:val="20"/>
          <w:lang w:val="es-PE"/>
        </w:rPr>
        <w:t>)</w:t>
      </w:r>
      <w:r w:rsidR="00827DFC" w:rsidRPr="00C2715B">
        <w:rPr>
          <w:rFonts w:eastAsia="Verdana"/>
          <w:szCs w:val="20"/>
          <w:lang w:val="es-PE"/>
        </w:rPr>
        <w:t xml:space="preserve">. Además, </w:t>
      </w:r>
      <w:r w:rsidRPr="00C2715B">
        <w:rPr>
          <w:rFonts w:eastAsia="Verdana"/>
          <w:szCs w:val="20"/>
          <w:lang w:val="es-PE"/>
        </w:rPr>
        <w:t xml:space="preserve">el </w:t>
      </w:r>
      <w:r w:rsidRPr="00C2715B">
        <w:rPr>
          <w:szCs w:val="20"/>
        </w:rPr>
        <w:t>objeto</w:t>
      </w:r>
      <w:r w:rsidRPr="00C2715B">
        <w:rPr>
          <w:rFonts w:eastAsia="Verdana"/>
          <w:szCs w:val="20"/>
          <w:lang w:val="es-PE"/>
        </w:rPr>
        <w:t xml:space="preserve"> de </w:t>
      </w:r>
      <w:r w:rsidR="00827DFC" w:rsidRPr="00C2715B">
        <w:rPr>
          <w:rFonts w:eastAsia="Verdana"/>
          <w:szCs w:val="20"/>
          <w:lang w:val="es-PE"/>
        </w:rPr>
        <w:t>la sol</w:t>
      </w:r>
      <w:r w:rsidR="001B3AAB" w:rsidRPr="00C2715B">
        <w:rPr>
          <w:rFonts w:eastAsia="Verdana"/>
          <w:szCs w:val="20"/>
          <w:lang w:val="es-PE"/>
        </w:rPr>
        <w:t>i</w:t>
      </w:r>
      <w:r w:rsidR="00827DFC" w:rsidRPr="00C2715B">
        <w:rPr>
          <w:rFonts w:eastAsia="Verdana"/>
          <w:szCs w:val="20"/>
          <w:lang w:val="es-PE"/>
        </w:rPr>
        <w:t xml:space="preserve">citud </w:t>
      </w:r>
      <w:r w:rsidRPr="00C2715B">
        <w:rPr>
          <w:rFonts w:eastAsia="Verdana"/>
          <w:szCs w:val="20"/>
          <w:lang w:val="es-PE"/>
        </w:rPr>
        <w:t xml:space="preserve">se relaciona con hechos y derechos sobre los cuales el Tribunal deberá pronunciarse en el fondo de la </w:t>
      </w:r>
      <w:proofErr w:type="spellStart"/>
      <w:r w:rsidRPr="00C2715B">
        <w:rPr>
          <w:rFonts w:eastAsia="Verdana"/>
          <w:szCs w:val="20"/>
          <w:lang w:val="es-PE"/>
        </w:rPr>
        <w:t>contorversia</w:t>
      </w:r>
      <w:proofErr w:type="spellEnd"/>
      <w:r w:rsidR="00827DFC" w:rsidRPr="00C2715B">
        <w:rPr>
          <w:rFonts w:eastAsia="Verdana"/>
          <w:szCs w:val="20"/>
          <w:lang w:val="es-PE"/>
        </w:rPr>
        <w:t>, y eventualmente a la hora de ordenar reparaciones</w:t>
      </w:r>
      <w:r w:rsidR="00C2715B" w:rsidRPr="00C2715B">
        <w:rPr>
          <w:rFonts w:eastAsia="Verdana"/>
          <w:szCs w:val="20"/>
          <w:lang w:val="es-PE"/>
        </w:rPr>
        <w:t>, puesto que se alega que en el marco de esos procedimientos se habrían producido hechos de tortura y declaraciones bajo coacción, las cuales habría sido tomadas en cuenta en la sentencia de condena contra las presuntas víctimas</w:t>
      </w:r>
      <w:r w:rsidR="00827DFC" w:rsidRPr="00C2715B">
        <w:rPr>
          <w:rFonts w:eastAsia="Verdana"/>
          <w:szCs w:val="20"/>
          <w:lang w:val="es-PE"/>
        </w:rPr>
        <w:t xml:space="preserve"> </w:t>
      </w:r>
      <w:r w:rsidRPr="00C2715B">
        <w:rPr>
          <w:rFonts w:eastAsia="Verdana"/>
          <w:szCs w:val="20"/>
          <w:lang w:val="es-PE"/>
        </w:rPr>
        <w:t>(</w:t>
      </w:r>
      <w:r w:rsidRPr="00C2715B">
        <w:rPr>
          <w:rFonts w:eastAsia="Verdana"/>
          <w:i/>
          <w:iCs/>
          <w:szCs w:val="20"/>
          <w:lang w:val="es-PE"/>
        </w:rPr>
        <w:t>supra</w:t>
      </w:r>
      <w:r w:rsidRPr="00C2715B">
        <w:rPr>
          <w:rFonts w:eastAsia="Verdana"/>
          <w:szCs w:val="20"/>
          <w:lang w:val="es-PE"/>
        </w:rPr>
        <w:t xml:space="preserve"> </w:t>
      </w:r>
      <w:proofErr w:type="spellStart"/>
      <w:r w:rsidRPr="00C2715B">
        <w:rPr>
          <w:rFonts w:eastAsia="Verdana"/>
          <w:szCs w:val="20"/>
          <w:lang w:val="es-PE"/>
        </w:rPr>
        <w:t>Considedando</w:t>
      </w:r>
      <w:proofErr w:type="spellEnd"/>
      <w:r w:rsidRPr="00C2715B">
        <w:rPr>
          <w:rFonts w:eastAsia="Verdana"/>
          <w:szCs w:val="20"/>
          <w:lang w:val="es-PE"/>
        </w:rPr>
        <w:t xml:space="preserve"> </w:t>
      </w:r>
      <w:r w:rsidR="007F6349">
        <w:rPr>
          <w:rFonts w:eastAsia="Verdana"/>
          <w:szCs w:val="20"/>
          <w:lang w:val="es-PE"/>
        </w:rPr>
        <w:t>7</w:t>
      </w:r>
      <w:r w:rsidRPr="00C2715B">
        <w:rPr>
          <w:rFonts w:eastAsia="Verdana"/>
          <w:szCs w:val="20"/>
          <w:lang w:val="es-PE"/>
        </w:rPr>
        <w:t xml:space="preserve">). </w:t>
      </w:r>
    </w:p>
    <w:p w14:paraId="7968C190" w14:textId="19A0F5FE" w:rsidR="00062492" w:rsidRPr="006279D4" w:rsidRDefault="00062492" w:rsidP="00C64D92">
      <w:pPr>
        <w:pStyle w:val="Prrafodelista"/>
        <w:numPr>
          <w:ilvl w:val="0"/>
          <w:numId w:val="17"/>
        </w:numPr>
        <w:spacing w:before="120"/>
        <w:ind w:left="0" w:firstLine="0"/>
        <w:contextualSpacing w:val="0"/>
        <w:rPr>
          <w:szCs w:val="20"/>
        </w:rPr>
      </w:pPr>
      <w:r w:rsidRPr="006279D4">
        <w:rPr>
          <w:szCs w:val="20"/>
          <w:lang w:val="es-CR"/>
        </w:rPr>
        <w:t xml:space="preserve">En cuanto a </w:t>
      </w:r>
      <w:r w:rsidR="00CB7AE5" w:rsidRPr="006279D4">
        <w:rPr>
          <w:szCs w:val="20"/>
          <w:lang w:val="es-CR"/>
        </w:rPr>
        <w:t>los</w:t>
      </w:r>
      <w:r w:rsidRPr="006279D4">
        <w:rPr>
          <w:szCs w:val="20"/>
          <w:lang w:val="es-CR"/>
        </w:rPr>
        <w:t xml:space="preserve"> requisitos</w:t>
      </w:r>
      <w:r w:rsidR="00CB7AE5" w:rsidRPr="006279D4">
        <w:rPr>
          <w:szCs w:val="20"/>
          <w:lang w:val="es-CR"/>
        </w:rPr>
        <w:t xml:space="preserve"> para adoptar las medidas provisionales</w:t>
      </w:r>
      <w:r w:rsidRPr="006279D4">
        <w:rPr>
          <w:szCs w:val="20"/>
          <w:lang w:val="es-CR"/>
        </w:rPr>
        <w:t xml:space="preserve">, la Corte ha señalado que las tres condiciones exigidas por el artículo 63.2 de la Convención para que pueda disponer de medidas provisionales deben concurrir en toda situación en la </w:t>
      </w:r>
      <w:r w:rsidRPr="006279D4">
        <w:rPr>
          <w:szCs w:val="20"/>
          <w:lang w:val="es-CR"/>
        </w:rPr>
        <w:lastRenderedPageBreak/>
        <w:t>que se soliciten</w:t>
      </w:r>
      <w:r w:rsidRPr="006279D4">
        <w:rPr>
          <w:rStyle w:val="Refdenotaalpie"/>
          <w:lang w:val="es-CR"/>
        </w:rPr>
        <w:footnoteReference w:id="6"/>
      </w:r>
      <w:r w:rsidRPr="006279D4">
        <w:rPr>
          <w:szCs w:val="20"/>
          <w:lang w:val="es-CR"/>
        </w:rPr>
        <w:t xml:space="preserve">. Conforme a la Convención y al Reglamento, la carga procesal de demostrar </w:t>
      </w:r>
      <w:r w:rsidRPr="006279D4">
        <w:rPr>
          <w:i/>
          <w:szCs w:val="20"/>
          <w:lang w:val="es-CR"/>
        </w:rPr>
        <w:t>prima facie</w:t>
      </w:r>
      <w:r w:rsidRPr="006279D4">
        <w:rPr>
          <w:szCs w:val="20"/>
          <w:lang w:val="es-CR"/>
        </w:rPr>
        <w:t xml:space="preserve"> dichos requisitos recae en el solicitante</w:t>
      </w:r>
      <w:r w:rsidRPr="006279D4">
        <w:rPr>
          <w:szCs w:val="20"/>
          <w:vertAlign w:val="superscript"/>
          <w:lang w:val="es-CR"/>
        </w:rPr>
        <w:footnoteReference w:id="7"/>
      </w:r>
      <w:r w:rsidRPr="006279D4">
        <w:rPr>
          <w:szCs w:val="20"/>
          <w:lang w:val="es-CR"/>
        </w:rPr>
        <w:t xml:space="preserve">. En cuanto a la gravedad, para efectos de la adopción de medidas provisionales, la Convención requiere que aquélla sea “extrema”, es decir, que se encuentre en su grado más intenso o elevado. El carácter urgente implica que el riesgo o amenaza involucrados sean </w:t>
      </w:r>
      <w:r w:rsidRPr="006279D4">
        <w:rPr>
          <w:szCs w:val="20"/>
        </w:rPr>
        <w:t>inminentes</w:t>
      </w:r>
      <w:r w:rsidRPr="006279D4">
        <w:rPr>
          <w:szCs w:val="20"/>
          <w:lang w:val="es-CR"/>
        </w:rPr>
        <w:t>, lo cual requiere que la respuesta para remediarlos sea inmediata. Finalmente, en cuanto al daño, debe existir una probabilidad razonable de que se materialice y no debe recaer en bienes o intereses jurídicos que puedan ser reparables</w:t>
      </w:r>
      <w:r w:rsidRPr="006279D4">
        <w:rPr>
          <w:szCs w:val="20"/>
          <w:vertAlign w:val="superscript"/>
          <w:lang w:val="es-CR"/>
        </w:rPr>
        <w:footnoteReference w:id="8"/>
      </w:r>
      <w:r w:rsidRPr="006279D4">
        <w:rPr>
          <w:szCs w:val="20"/>
          <w:lang w:val="es-CR"/>
        </w:rPr>
        <w:t xml:space="preserve">. </w:t>
      </w:r>
    </w:p>
    <w:p w14:paraId="002E104A" w14:textId="61D3DCE0" w:rsidR="001D6C72" w:rsidRPr="00613CE0" w:rsidRDefault="001D6C72" w:rsidP="00C64D92">
      <w:pPr>
        <w:pStyle w:val="Prrafodelista"/>
        <w:numPr>
          <w:ilvl w:val="0"/>
          <w:numId w:val="17"/>
        </w:numPr>
        <w:spacing w:before="120"/>
        <w:ind w:left="0" w:firstLine="0"/>
        <w:contextualSpacing w:val="0"/>
        <w:rPr>
          <w:szCs w:val="20"/>
          <w:lang w:val="es-CR"/>
        </w:rPr>
      </w:pPr>
      <w:r w:rsidRPr="00613CE0">
        <w:rPr>
          <w:szCs w:val="20"/>
          <w:lang w:val="es-CR"/>
        </w:rPr>
        <w:t xml:space="preserve">Por otro lado, la </w:t>
      </w:r>
      <w:r w:rsidR="004F3474" w:rsidRPr="00613CE0">
        <w:rPr>
          <w:szCs w:val="20"/>
          <w:lang w:val="es-CR"/>
        </w:rPr>
        <w:t>Corte</w:t>
      </w:r>
      <w:r w:rsidRPr="00613CE0">
        <w:rPr>
          <w:szCs w:val="20"/>
          <w:lang w:val="es-CR"/>
        </w:rPr>
        <w:t xml:space="preserve"> ha establecido que las medidas provisionales tienen un carácter cautelar y otro tutelar</w:t>
      </w:r>
      <w:r w:rsidRPr="00613CE0">
        <w:rPr>
          <w:szCs w:val="20"/>
          <w:vertAlign w:val="superscript"/>
          <w:lang w:val="es-CR"/>
        </w:rPr>
        <w:footnoteReference w:id="9"/>
      </w:r>
      <w:r w:rsidRPr="00613CE0">
        <w:rPr>
          <w:szCs w:val="20"/>
          <w:lang w:val="es-CR"/>
        </w:rPr>
        <w:t>.</w:t>
      </w:r>
      <w:r w:rsidR="00CB1CF0" w:rsidRPr="00613CE0">
        <w:rPr>
          <w:szCs w:val="20"/>
          <w:lang w:val="es-CR"/>
        </w:rPr>
        <w:t xml:space="preserve"> </w:t>
      </w:r>
      <w:r w:rsidR="00613CE0" w:rsidRPr="00613CE0">
        <w:rPr>
          <w:szCs w:val="20"/>
          <w:lang w:val="es-CR"/>
        </w:rPr>
        <w:t xml:space="preserve">El carácter tutelar se debe al hecho de que las medidas provisionales </w:t>
      </w:r>
      <w:r w:rsidR="00613CE0" w:rsidRPr="00613CE0">
        <w:rPr>
          <w:szCs w:val="20"/>
        </w:rPr>
        <w:t>protegen derechos humanos, en virtud de que buscan evitar daños irreparables a las personas</w:t>
      </w:r>
      <w:r w:rsidR="00613CE0" w:rsidRPr="00613CE0">
        <w:rPr>
          <w:rStyle w:val="Refdenotaalpie"/>
        </w:rPr>
        <w:footnoteReference w:id="10"/>
      </w:r>
      <w:r w:rsidR="00613CE0" w:rsidRPr="00613CE0">
        <w:rPr>
          <w:szCs w:val="20"/>
        </w:rPr>
        <w:t>.</w:t>
      </w:r>
      <w:r w:rsidR="00613CE0" w:rsidRPr="00613CE0">
        <w:rPr>
          <w:szCs w:val="20"/>
          <w:lang w:val="es-CR"/>
        </w:rPr>
        <w:t xml:space="preserve"> </w:t>
      </w:r>
      <w:r w:rsidRPr="00613CE0">
        <w:rPr>
          <w:szCs w:val="20"/>
          <w:lang w:val="es-CR"/>
        </w:rPr>
        <w:t>El carácter cautelar, a su vez, está vinculado al marco de los contenciosos internacionales</w:t>
      </w:r>
      <w:r w:rsidR="001F651F">
        <w:rPr>
          <w:szCs w:val="20"/>
          <w:lang w:val="es-CR"/>
        </w:rPr>
        <w:t>, y en ese marco, las</w:t>
      </w:r>
      <w:r w:rsidRPr="00613CE0">
        <w:rPr>
          <w:szCs w:val="20"/>
          <w:lang w:val="es-CR"/>
        </w:rPr>
        <w:t xml:space="preserve"> medidas</w:t>
      </w:r>
      <w:r w:rsidR="001F651F">
        <w:rPr>
          <w:szCs w:val="20"/>
          <w:lang w:val="es-CR"/>
        </w:rPr>
        <w:t xml:space="preserve"> provisionales</w:t>
      </w:r>
      <w:r w:rsidRPr="00613CE0">
        <w:rPr>
          <w:szCs w:val="20"/>
          <w:lang w:val="es-CR"/>
        </w:rPr>
        <w:t xml:space="preserve"> tienen por objeto y fin preservar los derechos en posible riesgo hasta tanto no se resuelva la controversia. </w:t>
      </w:r>
      <w:r w:rsidR="001F651F">
        <w:rPr>
          <w:szCs w:val="20"/>
          <w:lang w:val="es-CR"/>
        </w:rPr>
        <w:t>En ese sentido, su</w:t>
      </w:r>
      <w:r w:rsidRPr="00613CE0">
        <w:rPr>
          <w:szCs w:val="20"/>
          <w:lang w:val="es-CR"/>
        </w:rPr>
        <w:t xml:space="preserve"> objeto y fin son los de asegurar la integridad y la efectividad de la decisión de fondo y de esta manera evitar que se lesionen los derechos en litigio, situación que podría hacer inocua o desvirtuar el efecto útil de la decisión final. Las medidas provisionales permiten así que el Estado en cuestión pueda cumplir la decisión final y, en su caso, proceder a las reparaciones ordenadas</w:t>
      </w:r>
      <w:r w:rsidRPr="00613CE0">
        <w:rPr>
          <w:szCs w:val="20"/>
          <w:vertAlign w:val="superscript"/>
          <w:lang w:val="es-CR"/>
        </w:rPr>
        <w:footnoteReference w:id="11"/>
      </w:r>
      <w:r w:rsidRPr="00613CE0">
        <w:rPr>
          <w:szCs w:val="20"/>
          <w:lang w:val="es-CR"/>
        </w:rPr>
        <w:t xml:space="preserve">. </w:t>
      </w:r>
    </w:p>
    <w:p w14:paraId="5554D02E" w14:textId="6E12CA1A" w:rsidR="00613CE0" w:rsidRPr="002B355A" w:rsidRDefault="00CB7AE5" w:rsidP="00C64D92">
      <w:pPr>
        <w:pStyle w:val="Prrafodelista"/>
        <w:numPr>
          <w:ilvl w:val="0"/>
          <w:numId w:val="17"/>
        </w:numPr>
        <w:spacing w:before="120"/>
        <w:ind w:left="0" w:firstLine="0"/>
        <w:contextualSpacing w:val="0"/>
        <w:rPr>
          <w:szCs w:val="20"/>
        </w:rPr>
      </w:pPr>
      <w:r w:rsidRPr="002B355A">
        <w:rPr>
          <w:rFonts w:eastAsia="Verdana"/>
          <w:szCs w:val="20"/>
          <w:lang w:val="es-PE"/>
        </w:rPr>
        <w:t xml:space="preserve">En el </w:t>
      </w:r>
      <w:r w:rsidRPr="002B355A">
        <w:rPr>
          <w:szCs w:val="20"/>
          <w:lang w:val="es-CR"/>
        </w:rPr>
        <w:t>presente</w:t>
      </w:r>
      <w:r w:rsidRPr="002B355A">
        <w:rPr>
          <w:rFonts w:eastAsia="Verdana"/>
          <w:szCs w:val="20"/>
          <w:lang w:val="es-PE"/>
        </w:rPr>
        <w:t xml:space="preserve"> caso no existe contr</w:t>
      </w:r>
      <w:r w:rsidR="002E4681" w:rsidRPr="002B355A">
        <w:rPr>
          <w:rFonts w:eastAsia="Verdana"/>
          <w:szCs w:val="20"/>
          <w:lang w:val="es-PE"/>
        </w:rPr>
        <w:t>o</w:t>
      </w:r>
      <w:r w:rsidRPr="002B355A">
        <w:rPr>
          <w:rFonts w:eastAsia="Verdana"/>
          <w:szCs w:val="20"/>
          <w:lang w:val="es-PE"/>
        </w:rPr>
        <w:t xml:space="preserve">versia sobre el hecho que </w:t>
      </w:r>
      <w:r w:rsidR="00613CE0" w:rsidRPr="002B355A">
        <w:rPr>
          <w:rFonts w:eastAsia="Verdana"/>
          <w:szCs w:val="20"/>
          <w:lang w:val="es-PE"/>
        </w:rPr>
        <w:t xml:space="preserve">las presuntas víctimas fueron condenadas en primera instancia a purgar una sentencia de </w:t>
      </w:r>
      <w:r w:rsidR="00717AED" w:rsidRPr="002B355A">
        <w:rPr>
          <w:rFonts w:eastAsia="Verdana"/>
          <w:szCs w:val="20"/>
          <w:lang w:val="es-PE"/>
        </w:rPr>
        <w:t xml:space="preserve">pena </w:t>
      </w:r>
      <w:r w:rsidR="00613CE0" w:rsidRPr="002B355A">
        <w:rPr>
          <w:rFonts w:eastAsia="Verdana"/>
          <w:szCs w:val="20"/>
          <w:lang w:val="es-PE"/>
        </w:rPr>
        <w:t>priva</w:t>
      </w:r>
      <w:r w:rsidR="00717AED" w:rsidRPr="002B355A">
        <w:rPr>
          <w:rFonts w:eastAsia="Verdana"/>
          <w:szCs w:val="20"/>
          <w:lang w:val="es-PE"/>
        </w:rPr>
        <w:t>tiva de</w:t>
      </w:r>
      <w:r w:rsidR="00613CE0" w:rsidRPr="002B355A">
        <w:rPr>
          <w:rFonts w:eastAsia="Verdana"/>
          <w:szCs w:val="20"/>
          <w:lang w:val="es-PE"/>
        </w:rPr>
        <w:t xml:space="preserve"> la libertad de 35 años de cárcel y que esa decisión fue objeto de un recurso de apelación</w:t>
      </w:r>
      <w:r w:rsidR="00B43A9A" w:rsidRPr="002B355A">
        <w:rPr>
          <w:rFonts w:eastAsia="Verdana"/>
          <w:szCs w:val="20"/>
          <w:lang w:val="es-PE"/>
        </w:rPr>
        <w:t xml:space="preserve"> por parte de </w:t>
      </w:r>
      <w:r w:rsidR="002B355A" w:rsidRPr="002B355A">
        <w:rPr>
          <w:rFonts w:eastAsia="Verdana"/>
          <w:szCs w:val="20"/>
          <w:lang w:val="es-PE"/>
        </w:rPr>
        <w:t xml:space="preserve">Daniel García Rodríguez y Reyes </w:t>
      </w:r>
      <w:proofErr w:type="spellStart"/>
      <w:r w:rsidR="002B355A" w:rsidRPr="002B355A">
        <w:rPr>
          <w:rFonts w:eastAsia="Verdana"/>
          <w:szCs w:val="20"/>
          <w:lang w:val="es-PE"/>
        </w:rPr>
        <w:t>Alpizar</w:t>
      </w:r>
      <w:proofErr w:type="spellEnd"/>
      <w:r w:rsidR="002B355A" w:rsidRPr="002B355A">
        <w:rPr>
          <w:rFonts w:eastAsia="Verdana"/>
          <w:szCs w:val="20"/>
          <w:lang w:val="es-PE"/>
        </w:rPr>
        <w:t xml:space="preserve"> Ortiz</w:t>
      </w:r>
      <w:r w:rsidR="00613CE0" w:rsidRPr="002B355A">
        <w:rPr>
          <w:rFonts w:eastAsia="Verdana"/>
          <w:szCs w:val="20"/>
          <w:lang w:val="es-PE"/>
        </w:rPr>
        <w:t xml:space="preserve">. Además, tampoco se encuentra en controversia que la </w:t>
      </w:r>
      <w:proofErr w:type="spellStart"/>
      <w:r w:rsidR="00613CE0" w:rsidRPr="002B355A">
        <w:rPr>
          <w:rFonts w:eastAsia="Verdana"/>
          <w:szCs w:val="20"/>
          <w:lang w:val="es-PE"/>
        </w:rPr>
        <w:t>interposiciíon</w:t>
      </w:r>
      <w:proofErr w:type="spellEnd"/>
      <w:r w:rsidR="00613CE0" w:rsidRPr="002B355A">
        <w:rPr>
          <w:rFonts w:eastAsia="Verdana"/>
          <w:szCs w:val="20"/>
          <w:lang w:val="es-PE"/>
        </w:rPr>
        <w:t xml:space="preserve"> de ese recurso tiene efectos suspensivos sobre la sentencia de condena, y que mientras no exista un </w:t>
      </w:r>
      <w:r w:rsidR="00C31F82" w:rsidRPr="002B355A">
        <w:rPr>
          <w:rFonts w:eastAsia="Verdana"/>
          <w:szCs w:val="20"/>
          <w:lang w:val="es-PE"/>
        </w:rPr>
        <w:t>pronunciamiento sobre</w:t>
      </w:r>
      <w:r w:rsidR="00613CE0" w:rsidRPr="002B355A">
        <w:rPr>
          <w:rFonts w:eastAsia="Verdana"/>
          <w:szCs w:val="20"/>
          <w:lang w:val="es-PE"/>
        </w:rPr>
        <w:t xml:space="preserve"> el mismo</w:t>
      </w:r>
      <w:r w:rsidR="00C31F82" w:rsidRPr="002B355A">
        <w:rPr>
          <w:rFonts w:eastAsia="Verdana"/>
          <w:szCs w:val="20"/>
          <w:lang w:val="es-PE"/>
        </w:rPr>
        <w:t>, los condenados no deben compurgar la pena impuesta (</w:t>
      </w:r>
      <w:r w:rsidR="00C31F82" w:rsidRPr="002B355A">
        <w:rPr>
          <w:rFonts w:eastAsia="Verdana"/>
          <w:i/>
          <w:iCs/>
          <w:szCs w:val="20"/>
          <w:lang w:val="es-PE"/>
        </w:rPr>
        <w:t>supra</w:t>
      </w:r>
      <w:r w:rsidR="00C31F82" w:rsidRPr="002B355A">
        <w:rPr>
          <w:rFonts w:eastAsia="Verdana"/>
          <w:szCs w:val="20"/>
          <w:lang w:val="es-PE"/>
        </w:rPr>
        <w:t xml:space="preserve"> Considerandos </w:t>
      </w:r>
      <w:r w:rsidR="001F651F">
        <w:rPr>
          <w:rFonts w:eastAsia="Verdana"/>
          <w:szCs w:val="20"/>
          <w:lang w:val="es-PE"/>
        </w:rPr>
        <w:t>9, 11</w:t>
      </w:r>
      <w:r w:rsidR="00C31F82" w:rsidRPr="002B355A">
        <w:rPr>
          <w:rFonts w:eastAsia="Verdana"/>
          <w:szCs w:val="20"/>
          <w:lang w:val="es-PE"/>
        </w:rPr>
        <w:t xml:space="preserve"> y </w:t>
      </w:r>
      <w:r w:rsidR="001F651F">
        <w:rPr>
          <w:rFonts w:eastAsia="Verdana"/>
          <w:szCs w:val="20"/>
          <w:lang w:val="es-PE"/>
        </w:rPr>
        <w:t>12</w:t>
      </w:r>
      <w:r w:rsidR="00C31F82" w:rsidRPr="002B355A">
        <w:rPr>
          <w:rFonts w:eastAsia="Verdana"/>
          <w:szCs w:val="20"/>
          <w:lang w:val="es-PE"/>
        </w:rPr>
        <w:t xml:space="preserve">). </w:t>
      </w:r>
    </w:p>
    <w:p w14:paraId="551CD8D8" w14:textId="65CABBD5" w:rsidR="00A116BF" w:rsidRDefault="00A116BF" w:rsidP="00A116BF">
      <w:pPr>
        <w:pStyle w:val="Prrafodelista"/>
        <w:numPr>
          <w:ilvl w:val="0"/>
          <w:numId w:val="17"/>
        </w:numPr>
        <w:spacing w:before="120"/>
        <w:ind w:left="0" w:firstLine="0"/>
        <w:contextualSpacing w:val="0"/>
        <w:rPr>
          <w:szCs w:val="20"/>
        </w:rPr>
      </w:pPr>
      <w:r w:rsidRPr="0098353A">
        <w:rPr>
          <w:szCs w:val="20"/>
        </w:rPr>
        <w:lastRenderedPageBreak/>
        <w:t>Por otra parte, la Corte advierte que Daniel García Rodríguez, una de las presuntas víctimas del caso, que también es una de las personas sobre las cuales recayó la referida sentencia de condena, fue convocada para declarar durante la audiencia pública del presente caso por medio de video conferencia, por lo cual su derecho a participar en el proceso no se ha visto menoscabado por la sentencia en</w:t>
      </w:r>
      <w:r>
        <w:rPr>
          <w:szCs w:val="20"/>
        </w:rPr>
        <w:t xml:space="preserve"> </w:t>
      </w:r>
      <w:r w:rsidRPr="0098353A">
        <w:rPr>
          <w:szCs w:val="20"/>
        </w:rPr>
        <w:t>su</w:t>
      </w:r>
      <w:r>
        <w:rPr>
          <w:szCs w:val="20"/>
        </w:rPr>
        <w:t xml:space="preserve"> </w:t>
      </w:r>
      <w:r w:rsidRPr="0098353A">
        <w:rPr>
          <w:szCs w:val="20"/>
        </w:rPr>
        <w:t>contra. Asimismo, se recuerda que el Estado indicó que una vez que la Corte fije la fecha de la eventual audiencia pública, “tomará las medidas pertinentes para garantizar la participación de las presuntas víctimas”.</w:t>
      </w:r>
    </w:p>
    <w:p w14:paraId="2D94D689" w14:textId="114B26CD" w:rsidR="00A116BF" w:rsidRPr="00A116BF" w:rsidRDefault="00A116BF" w:rsidP="00A116BF">
      <w:pPr>
        <w:pStyle w:val="Prrafodelista"/>
        <w:numPr>
          <w:ilvl w:val="0"/>
          <w:numId w:val="17"/>
        </w:numPr>
        <w:spacing w:before="120"/>
        <w:ind w:left="0" w:firstLine="0"/>
        <w:contextualSpacing w:val="0"/>
        <w:rPr>
          <w:szCs w:val="20"/>
        </w:rPr>
      </w:pPr>
      <w:r>
        <w:rPr>
          <w:szCs w:val="20"/>
        </w:rPr>
        <w:t>Por último, la Corte nota que el Estado mencionó que “</w:t>
      </w:r>
      <w:r w:rsidRPr="00725869">
        <w:rPr>
          <w:szCs w:val="20"/>
        </w:rPr>
        <w:t>a través de personal de la Unidad para la Defensa de los Derechos Humanos de la Secretaría de Gobernación, tuvo un acercamiento</w:t>
      </w:r>
      <w:r>
        <w:rPr>
          <w:szCs w:val="20"/>
        </w:rPr>
        <w:t xml:space="preserve"> </w:t>
      </w:r>
      <w:r w:rsidRPr="00725869">
        <w:rPr>
          <w:szCs w:val="20"/>
        </w:rPr>
        <w:t>con la representación del caso y a la fecha, se prepara comunicación dirigida al Juzgado Penal del Distrito Judicial de Tlalnepantla en el que se le conmina a cumplir con las obligaciones internacionales en materia de derechos humanos, acción que se replicará con las autoridades de segunda instancia</w:t>
      </w:r>
      <w:r>
        <w:rPr>
          <w:szCs w:val="20"/>
        </w:rPr>
        <w:t>”.</w:t>
      </w:r>
    </w:p>
    <w:p w14:paraId="7FD91581" w14:textId="5EE5C57A" w:rsidR="00C31F82" w:rsidRPr="00FE1282" w:rsidRDefault="00C31F82" w:rsidP="00C64D92">
      <w:pPr>
        <w:pStyle w:val="Prrafodelista"/>
        <w:numPr>
          <w:ilvl w:val="0"/>
          <w:numId w:val="17"/>
        </w:numPr>
        <w:spacing w:before="120"/>
        <w:ind w:left="0" w:firstLine="0"/>
        <w:contextualSpacing w:val="0"/>
        <w:rPr>
          <w:szCs w:val="20"/>
        </w:rPr>
      </w:pPr>
      <w:r w:rsidRPr="00FE1282">
        <w:rPr>
          <w:szCs w:val="20"/>
        </w:rPr>
        <w:t xml:space="preserve">De conformidad con lo anterior, este Tribunal </w:t>
      </w:r>
      <w:r w:rsidR="00B12467">
        <w:rPr>
          <w:szCs w:val="20"/>
        </w:rPr>
        <w:t>estima</w:t>
      </w:r>
      <w:r w:rsidRPr="00FE1282">
        <w:rPr>
          <w:szCs w:val="20"/>
        </w:rPr>
        <w:t xml:space="preserve"> que la solicitud de medidas provisionales </w:t>
      </w:r>
      <w:r w:rsidR="00874DE8">
        <w:rPr>
          <w:szCs w:val="20"/>
        </w:rPr>
        <w:t xml:space="preserve">no </w:t>
      </w:r>
      <w:r w:rsidRPr="00FE1282">
        <w:rPr>
          <w:szCs w:val="20"/>
        </w:rPr>
        <w:t>cumpl</w:t>
      </w:r>
      <w:r w:rsidR="00874DE8">
        <w:rPr>
          <w:szCs w:val="20"/>
        </w:rPr>
        <w:t>e</w:t>
      </w:r>
      <w:r w:rsidRPr="00FE1282">
        <w:rPr>
          <w:szCs w:val="20"/>
        </w:rPr>
        <w:t xml:space="preserve"> con el requisito de urgencia requerido por el artículo 63.</w:t>
      </w:r>
      <w:r w:rsidR="00FE1282" w:rsidRPr="00FE1282">
        <w:rPr>
          <w:szCs w:val="20"/>
        </w:rPr>
        <w:t>2</w:t>
      </w:r>
      <w:r w:rsidRPr="00FE1282">
        <w:rPr>
          <w:szCs w:val="20"/>
        </w:rPr>
        <w:t xml:space="preserve"> de la Convención y 27.</w:t>
      </w:r>
      <w:r w:rsidR="00FE1282" w:rsidRPr="00FE1282">
        <w:rPr>
          <w:szCs w:val="20"/>
        </w:rPr>
        <w:t>3</w:t>
      </w:r>
      <w:r w:rsidRPr="00FE1282">
        <w:rPr>
          <w:szCs w:val="20"/>
        </w:rPr>
        <w:t xml:space="preserve"> del Reglamento</w:t>
      </w:r>
      <w:r w:rsidR="00FE1282" w:rsidRPr="00FE1282">
        <w:rPr>
          <w:szCs w:val="20"/>
        </w:rPr>
        <w:t xml:space="preserve"> para sustentar una petición en ese sentido </w:t>
      </w:r>
      <w:r w:rsidR="00FE1282" w:rsidRPr="00FE1282">
        <w:rPr>
          <w:rFonts w:eastAsia="Verdana"/>
          <w:szCs w:val="20"/>
          <w:lang w:val="es-PE"/>
        </w:rPr>
        <w:t>(</w:t>
      </w:r>
      <w:r w:rsidR="00FE1282" w:rsidRPr="00FE1282">
        <w:rPr>
          <w:rFonts w:eastAsia="Verdana"/>
          <w:i/>
          <w:iCs/>
          <w:szCs w:val="20"/>
          <w:lang w:val="es-PE"/>
        </w:rPr>
        <w:t>supra</w:t>
      </w:r>
      <w:r w:rsidR="00FE1282" w:rsidRPr="00FE1282">
        <w:rPr>
          <w:rFonts w:eastAsia="Verdana"/>
          <w:szCs w:val="20"/>
          <w:lang w:val="es-PE"/>
        </w:rPr>
        <w:t xml:space="preserve"> Considerandos </w:t>
      </w:r>
      <w:r w:rsidR="001F651F">
        <w:rPr>
          <w:rFonts w:eastAsia="Verdana"/>
          <w:szCs w:val="20"/>
          <w:lang w:val="es-PE"/>
        </w:rPr>
        <w:t>16</w:t>
      </w:r>
      <w:r w:rsidR="00FE1282" w:rsidRPr="00FE1282">
        <w:rPr>
          <w:rFonts w:eastAsia="Verdana"/>
          <w:szCs w:val="20"/>
          <w:lang w:val="es-PE"/>
        </w:rPr>
        <w:t xml:space="preserve"> </w:t>
      </w:r>
      <w:r w:rsidR="001F651F">
        <w:rPr>
          <w:rFonts w:eastAsia="Verdana"/>
          <w:szCs w:val="20"/>
          <w:lang w:val="es-PE"/>
        </w:rPr>
        <w:t>y 17</w:t>
      </w:r>
      <w:r w:rsidR="00FE1282" w:rsidRPr="00FE1282">
        <w:rPr>
          <w:rFonts w:eastAsia="Verdana"/>
          <w:szCs w:val="20"/>
          <w:lang w:val="es-PE"/>
        </w:rPr>
        <w:t>)</w:t>
      </w:r>
      <w:r w:rsidR="00FE1282" w:rsidRPr="00FE1282">
        <w:rPr>
          <w:szCs w:val="20"/>
        </w:rPr>
        <w:t>, dado que el daño extremadamente grave que potencialmente puede configurarse no es inminente.</w:t>
      </w:r>
      <w:r w:rsidR="00FE1282">
        <w:rPr>
          <w:szCs w:val="20"/>
        </w:rPr>
        <w:t xml:space="preserve"> En efecto, en este caso, la pena de condena privativa de la libertad no se está ejecutando, </w:t>
      </w:r>
      <w:r w:rsidR="00FE1282" w:rsidRPr="00175C3D">
        <w:rPr>
          <w:szCs w:val="20"/>
        </w:rPr>
        <w:t>y según indic</w:t>
      </w:r>
      <w:r w:rsidR="00D76F10" w:rsidRPr="00175C3D">
        <w:rPr>
          <w:szCs w:val="20"/>
        </w:rPr>
        <w:t>aron</w:t>
      </w:r>
      <w:r w:rsidR="00FE1282" w:rsidRPr="00175C3D">
        <w:rPr>
          <w:szCs w:val="20"/>
        </w:rPr>
        <w:t xml:space="preserve"> </w:t>
      </w:r>
      <w:r w:rsidR="00D76F10" w:rsidRPr="00175C3D">
        <w:rPr>
          <w:szCs w:val="20"/>
        </w:rPr>
        <w:t>los representantes</w:t>
      </w:r>
      <w:r w:rsidR="00FE1282" w:rsidRPr="00175C3D">
        <w:rPr>
          <w:szCs w:val="20"/>
        </w:rPr>
        <w:t xml:space="preserve">, aún si terminara por ser confirmada la condena impuesta, ello no se produciría sino dentro </w:t>
      </w:r>
      <w:r w:rsidR="00874DE8" w:rsidRPr="00175C3D">
        <w:rPr>
          <w:szCs w:val="20"/>
        </w:rPr>
        <w:t xml:space="preserve">de </w:t>
      </w:r>
      <w:r w:rsidR="00D76F10" w:rsidRPr="00175C3D">
        <w:rPr>
          <w:szCs w:val="20"/>
        </w:rPr>
        <w:t>“semanas o meses”</w:t>
      </w:r>
      <w:r w:rsidR="0022101E">
        <w:rPr>
          <w:szCs w:val="20"/>
        </w:rPr>
        <w:t xml:space="preserve"> (</w:t>
      </w:r>
      <w:r w:rsidR="0022101E" w:rsidRPr="0022101E">
        <w:rPr>
          <w:i/>
          <w:iCs/>
          <w:szCs w:val="20"/>
        </w:rPr>
        <w:t>supra</w:t>
      </w:r>
      <w:r w:rsidR="0022101E">
        <w:rPr>
          <w:szCs w:val="20"/>
        </w:rPr>
        <w:t xml:space="preserve"> Considerando 7)</w:t>
      </w:r>
      <w:r w:rsidR="00FE1282">
        <w:rPr>
          <w:szCs w:val="20"/>
        </w:rPr>
        <w:t>.</w:t>
      </w:r>
    </w:p>
    <w:p w14:paraId="690CF300" w14:textId="13E83438" w:rsidR="00F544C6" w:rsidRPr="0098353A" w:rsidRDefault="00F544C6" w:rsidP="00F544C6">
      <w:pPr>
        <w:pStyle w:val="Prrafodelista"/>
        <w:numPr>
          <w:ilvl w:val="0"/>
          <w:numId w:val="17"/>
        </w:numPr>
        <w:spacing w:before="120"/>
        <w:ind w:left="0" w:firstLine="0"/>
        <w:contextualSpacing w:val="0"/>
        <w:rPr>
          <w:szCs w:val="20"/>
        </w:rPr>
      </w:pPr>
      <w:r w:rsidRPr="0098353A">
        <w:rPr>
          <w:szCs w:val="20"/>
        </w:rPr>
        <w:t xml:space="preserve">Después de haber examinado los hechos y circunstancias que fundamentan la presente solicitud, este Tribunal estima que no resulta posible en este caso apreciar </w:t>
      </w:r>
      <w:r w:rsidRPr="0098353A">
        <w:rPr>
          <w:i/>
          <w:szCs w:val="20"/>
        </w:rPr>
        <w:t xml:space="preserve">prima facie </w:t>
      </w:r>
      <w:r w:rsidRPr="0098353A">
        <w:rPr>
          <w:szCs w:val="20"/>
        </w:rPr>
        <w:t xml:space="preserve">que los señores Daniel García Rodríguez y Reyes </w:t>
      </w:r>
      <w:proofErr w:type="spellStart"/>
      <w:r w:rsidRPr="0098353A">
        <w:rPr>
          <w:szCs w:val="20"/>
        </w:rPr>
        <w:t>Alpizar</w:t>
      </w:r>
      <w:proofErr w:type="spellEnd"/>
      <w:r w:rsidRPr="0098353A">
        <w:rPr>
          <w:szCs w:val="20"/>
        </w:rPr>
        <w:t xml:space="preserve"> </w:t>
      </w:r>
      <w:proofErr w:type="spellStart"/>
      <w:r w:rsidRPr="0098353A">
        <w:rPr>
          <w:szCs w:val="20"/>
        </w:rPr>
        <w:t>Ortíz</w:t>
      </w:r>
      <w:proofErr w:type="spellEnd"/>
      <w:r w:rsidRPr="0098353A">
        <w:rPr>
          <w:szCs w:val="20"/>
        </w:rPr>
        <w:t xml:space="preserve"> se encuentren, en los términos exigidos por el artículo 63.2 de la Convención Americana, en una situación de “extrema gravedad y urgencia” relacionada con la posibilidad de “daños irreparables”. Por los motivos expuestos, esta Corte considera que no procede otorgar las </w:t>
      </w:r>
      <w:r w:rsidR="0022101E">
        <w:rPr>
          <w:szCs w:val="20"/>
        </w:rPr>
        <w:t>m</w:t>
      </w:r>
      <w:r w:rsidRPr="0098353A">
        <w:rPr>
          <w:szCs w:val="20"/>
        </w:rPr>
        <w:t xml:space="preserve">edidas </w:t>
      </w:r>
      <w:r w:rsidR="0022101E">
        <w:rPr>
          <w:szCs w:val="20"/>
        </w:rPr>
        <w:t>p</w:t>
      </w:r>
      <w:r w:rsidRPr="0098353A">
        <w:rPr>
          <w:szCs w:val="20"/>
        </w:rPr>
        <w:t>rovisionales solicitadas por los represen</w:t>
      </w:r>
      <w:r>
        <w:rPr>
          <w:szCs w:val="20"/>
        </w:rPr>
        <w:t>tan</w:t>
      </w:r>
      <w:r w:rsidRPr="0098353A">
        <w:rPr>
          <w:szCs w:val="20"/>
        </w:rPr>
        <w:t>tes de las presuntas víctimas</w:t>
      </w:r>
      <w:r>
        <w:rPr>
          <w:szCs w:val="20"/>
        </w:rPr>
        <w:t>.</w:t>
      </w:r>
    </w:p>
    <w:p w14:paraId="30D34914" w14:textId="477B3366" w:rsidR="00F544C6" w:rsidRPr="002C47CE" w:rsidRDefault="00A116BF" w:rsidP="00F544C6">
      <w:pPr>
        <w:pStyle w:val="Prrafodelista"/>
        <w:numPr>
          <w:ilvl w:val="0"/>
          <w:numId w:val="17"/>
        </w:numPr>
        <w:spacing w:before="120"/>
        <w:ind w:left="0" w:firstLine="0"/>
        <w:contextualSpacing w:val="0"/>
        <w:rPr>
          <w:rFonts w:eastAsia="Verdana"/>
          <w:szCs w:val="20"/>
          <w:lang w:val="es-PE"/>
        </w:rPr>
      </w:pPr>
      <w:r>
        <w:rPr>
          <w:szCs w:val="20"/>
        </w:rPr>
        <w:t>C</w:t>
      </w:r>
      <w:r w:rsidR="00F544C6" w:rsidRPr="002C47CE">
        <w:rPr>
          <w:szCs w:val="20"/>
        </w:rPr>
        <w:t xml:space="preserve">abe subrayar que lo anterior no implica un pronunciamiento sobre el fondo del presente caso contencioso </w:t>
      </w:r>
      <w:r w:rsidRPr="002C47CE">
        <w:rPr>
          <w:szCs w:val="20"/>
        </w:rPr>
        <w:t>y,</w:t>
      </w:r>
      <w:r w:rsidR="00F544C6" w:rsidRPr="002C47CE">
        <w:rPr>
          <w:szCs w:val="20"/>
        </w:rPr>
        <w:t xml:space="preserve"> además, </w:t>
      </w:r>
      <w:r w:rsidR="00F544C6" w:rsidRPr="002C47CE">
        <w:rPr>
          <w:rFonts w:eastAsia="Verdana"/>
          <w:szCs w:val="20"/>
          <w:lang w:val="es-PE"/>
        </w:rPr>
        <w:t xml:space="preserve">se recuerda a </w:t>
      </w:r>
      <w:r w:rsidR="00F544C6">
        <w:rPr>
          <w:rFonts w:eastAsia="Verdana"/>
          <w:szCs w:val="20"/>
          <w:lang w:val="es-PE"/>
        </w:rPr>
        <w:t>México</w:t>
      </w:r>
      <w:r w:rsidR="00F544C6" w:rsidRPr="002C47CE">
        <w:rPr>
          <w:rFonts w:eastAsia="Verdana"/>
          <w:szCs w:val="20"/>
          <w:lang w:val="es-PE"/>
        </w:rPr>
        <w:t xml:space="preserve"> que el artículo 1.1 de la Convención Americana establece las obligaciones generales que tienen de respetar los derechos y libertades en ella consagrados y de garantizar su libre y pleno ejercicio a toda persona que esté sujeta a su jurisdicción. Por ello, los Estados se encuentran obligados a garantizar los derechos de las personas mencionadas a través de los mecanismos internos existentes para ello. </w:t>
      </w:r>
    </w:p>
    <w:bookmarkEnd w:id="1"/>
    <w:p w14:paraId="36130C46" w14:textId="4CDC49DB" w:rsidR="00AA5A8E" w:rsidRPr="006279D4" w:rsidRDefault="00AA5A8E" w:rsidP="00220552">
      <w:pPr>
        <w:suppressLineNumbers/>
        <w:spacing w:before="360" w:after="360"/>
        <w:rPr>
          <w:rFonts w:eastAsia="Verdana" w:cs="Verdana"/>
          <w:szCs w:val="20"/>
        </w:rPr>
      </w:pPr>
      <w:r w:rsidRPr="006279D4">
        <w:rPr>
          <w:rFonts w:eastAsia="Verdana" w:cs="Verdana"/>
          <w:b/>
          <w:bCs/>
          <w:szCs w:val="20"/>
        </w:rPr>
        <w:t xml:space="preserve">POR TANTO:  </w:t>
      </w:r>
    </w:p>
    <w:p w14:paraId="61F8D37D" w14:textId="509A3D50" w:rsidR="00AA5A8E" w:rsidRPr="006279D4" w:rsidRDefault="002D604D" w:rsidP="00220552">
      <w:pPr>
        <w:suppressLineNumbers/>
        <w:spacing w:before="360" w:after="360"/>
        <w:rPr>
          <w:rFonts w:eastAsia="Verdana" w:cs="Verdana"/>
          <w:szCs w:val="20"/>
        </w:rPr>
      </w:pPr>
      <w:r w:rsidRPr="006279D4">
        <w:rPr>
          <w:rFonts w:eastAsia="Verdana" w:cs="Verdana"/>
          <w:b/>
          <w:bCs/>
          <w:szCs w:val="20"/>
        </w:rPr>
        <w:t>LA</w:t>
      </w:r>
      <w:r w:rsidR="00AA5A8E" w:rsidRPr="006279D4">
        <w:rPr>
          <w:rFonts w:eastAsia="Verdana" w:cs="Verdana"/>
          <w:b/>
          <w:bCs/>
          <w:szCs w:val="20"/>
        </w:rPr>
        <w:t xml:space="preserve"> CORTE INTERAMERICANA DE DERECHOS HUMANOS,</w:t>
      </w:r>
    </w:p>
    <w:p w14:paraId="336A8E12" w14:textId="77777777" w:rsidR="00AA5A8E" w:rsidRPr="006279D4" w:rsidRDefault="00AA5A8E" w:rsidP="00AA5A8E">
      <w:pPr>
        <w:suppressLineNumbers/>
        <w:rPr>
          <w:rFonts w:eastAsia="Verdana" w:cs="Verdana"/>
          <w:szCs w:val="20"/>
        </w:rPr>
      </w:pPr>
      <w:r w:rsidRPr="006279D4">
        <w:rPr>
          <w:szCs w:val="20"/>
        </w:rPr>
        <w:t>en uso de las atribuciones que le confieren los artículos 63.2 de la Convención Americana, y los artículos 24.2 del Estatuto de la Corte, y 27 y 31 del Reglamento del Tribunal,</w:t>
      </w:r>
    </w:p>
    <w:p w14:paraId="35FB0399" w14:textId="77777777" w:rsidR="00AA5A8E" w:rsidRPr="006279D4" w:rsidRDefault="00AA5A8E" w:rsidP="00220552">
      <w:pPr>
        <w:suppressLineNumbers/>
        <w:spacing w:before="360" w:after="360"/>
        <w:rPr>
          <w:rFonts w:eastAsia="Verdana" w:cs="Verdana"/>
          <w:szCs w:val="20"/>
        </w:rPr>
      </w:pPr>
      <w:r w:rsidRPr="006279D4">
        <w:rPr>
          <w:rFonts w:eastAsia="Verdana" w:cs="Verdana"/>
          <w:b/>
          <w:bCs/>
          <w:szCs w:val="20"/>
        </w:rPr>
        <w:t>RESUELVE:</w:t>
      </w:r>
    </w:p>
    <w:p w14:paraId="79C5D580" w14:textId="5F53CE9B" w:rsidR="00AA5A8E" w:rsidRPr="006279D4" w:rsidRDefault="00220552" w:rsidP="00AA5A8E">
      <w:pPr>
        <w:suppressLineNumbers/>
        <w:rPr>
          <w:szCs w:val="20"/>
        </w:rPr>
      </w:pPr>
      <w:r w:rsidRPr="006279D4">
        <w:rPr>
          <w:szCs w:val="20"/>
        </w:rPr>
        <w:t xml:space="preserve">Por </w:t>
      </w:r>
      <w:r w:rsidR="00A116BF">
        <w:rPr>
          <w:szCs w:val="20"/>
        </w:rPr>
        <w:t>unanimidad</w:t>
      </w:r>
      <w:r w:rsidRPr="006279D4">
        <w:rPr>
          <w:szCs w:val="20"/>
        </w:rPr>
        <w:t>,</w:t>
      </w:r>
    </w:p>
    <w:p w14:paraId="34A91CE4" w14:textId="45A0AA34" w:rsidR="00220552" w:rsidRPr="00637685" w:rsidRDefault="00766A89" w:rsidP="00220552">
      <w:pPr>
        <w:numPr>
          <w:ilvl w:val="0"/>
          <w:numId w:val="16"/>
        </w:numPr>
        <w:spacing w:before="120" w:after="0"/>
        <w:ind w:left="0" w:firstLine="0"/>
        <w:rPr>
          <w:rFonts w:eastAsia="Verdana" w:cs="Verdana"/>
          <w:szCs w:val="20"/>
          <w:lang w:val="es-CR"/>
        </w:rPr>
      </w:pPr>
      <w:r w:rsidRPr="00637685">
        <w:rPr>
          <w:szCs w:val="20"/>
        </w:rPr>
        <w:lastRenderedPageBreak/>
        <w:t xml:space="preserve">Desestimar la solicitud de medidas provisionales a favor de </w:t>
      </w:r>
      <w:r w:rsidR="002B355A" w:rsidRPr="00637685">
        <w:rPr>
          <w:szCs w:val="20"/>
        </w:rPr>
        <w:t>Daniel García Rodríguez y Reyes Alp</w:t>
      </w:r>
      <w:r w:rsidR="00FA2C01" w:rsidRPr="00637685">
        <w:rPr>
          <w:szCs w:val="20"/>
        </w:rPr>
        <w:t>í</w:t>
      </w:r>
      <w:r w:rsidR="002B355A" w:rsidRPr="00637685">
        <w:rPr>
          <w:szCs w:val="20"/>
        </w:rPr>
        <w:t xml:space="preserve">zar </w:t>
      </w:r>
      <w:r w:rsidR="00FA2C01" w:rsidRPr="00637685">
        <w:rPr>
          <w:szCs w:val="20"/>
        </w:rPr>
        <w:t>Ortiz</w:t>
      </w:r>
      <w:r w:rsidR="00220552" w:rsidRPr="00637685">
        <w:rPr>
          <w:szCs w:val="20"/>
          <w:lang w:val="es-CR"/>
        </w:rPr>
        <w:t>.</w:t>
      </w:r>
    </w:p>
    <w:p w14:paraId="6D33BE12" w14:textId="147737DB" w:rsidR="007D2864" w:rsidRPr="00637685" w:rsidRDefault="00766A89" w:rsidP="00220552">
      <w:pPr>
        <w:numPr>
          <w:ilvl w:val="0"/>
          <w:numId w:val="16"/>
        </w:numPr>
        <w:spacing w:before="120" w:after="0"/>
        <w:ind w:left="0" w:firstLine="0"/>
        <w:rPr>
          <w:rFonts w:eastAsia="Verdana" w:cs="Verdana"/>
          <w:szCs w:val="20"/>
          <w:lang w:val="es-CR"/>
        </w:rPr>
      </w:pPr>
      <w:r w:rsidRPr="00637685">
        <w:rPr>
          <w:rFonts w:eastAsia="Verdana" w:cs="Verdana"/>
          <w:szCs w:val="20"/>
          <w:lang w:val="es-CR"/>
        </w:rPr>
        <w:t>Requerir a la Secretaría de la Corte que notifique la presente Resolución a los representantes de las presuntas víctimas, al Estado mexicano y a la Comisión Interamericana Derechos Humanos</w:t>
      </w:r>
      <w:r w:rsidR="00C927CC" w:rsidRPr="00637685">
        <w:rPr>
          <w:rFonts w:eastAsia="Verdana" w:cs="Verdana"/>
          <w:szCs w:val="20"/>
          <w:lang w:val="es-CR"/>
        </w:rPr>
        <w:t>.</w:t>
      </w:r>
    </w:p>
    <w:p w14:paraId="0117917E" w14:textId="309C2C39" w:rsidR="00AA5A8E" w:rsidRPr="00637685" w:rsidRDefault="00AA5A8E" w:rsidP="00220552">
      <w:pPr>
        <w:keepNext/>
        <w:spacing w:before="120" w:after="0"/>
        <w:outlineLvl w:val="0"/>
        <w:rPr>
          <w:szCs w:val="20"/>
          <w:lang w:val="es-ES"/>
        </w:rPr>
      </w:pPr>
      <w:r w:rsidRPr="00637685">
        <w:rPr>
          <w:rFonts w:eastAsia="Times" w:cs="Courier New"/>
          <w:noProof/>
          <w:szCs w:val="20"/>
          <w:lang w:val="es-AR"/>
        </w:rPr>
        <w:t xml:space="preserve">Corte IDH. </w:t>
      </w:r>
      <w:r w:rsidR="00B77EAB" w:rsidRPr="00637685">
        <w:rPr>
          <w:rFonts w:eastAsia="Times" w:cs="Courier New"/>
          <w:i/>
          <w:iCs/>
          <w:noProof/>
          <w:szCs w:val="20"/>
          <w:lang w:val="es-AR"/>
        </w:rPr>
        <w:t>Caso García Rodríguez y Otros Vs. México</w:t>
      </w:r>
      <w:r w:rsidRPr="00637685">
        <w:rPr>
          <w:rFonts w:eastAsia="Times"/>
          <w:bCs/>
          <w:i/>
          <w:szCs w:val="20"/>
          <w:lang w:val="es-CR"/>
        </w:rPr>
        <w:t xml:space="preserve">. </w:t>
      </w:r>
      <w:r w:rsidRPr="00637685">
        <w:rPr>
          <w:rFonts w:eastAsia="Times" w:cs="Courier New"/>
          <w:noProof/>
          <w:szCs w:val="20"/>
        </w:rPr>
        <w:t>Medidas Provisionales</w:t>
      </w:r>
      <w:r w:rsidRPr="00637685">
        <w:rPr>
          <w:rFonts w:cs="Arial"/>
          <w:szCs w:val="20"/>
        </w:rPr>
        <w:t xml:space="preserve">. </w:t>
      </w:r>
      <w:r w:rsidRPr="00637685">
        <w:rPr>
          <w:szCs w:val="20"/>
          <w:lang w:val="es-ES"/>
        </w:rPr>
        <w:t>Resolución de la Corte Interame</w:t>
      </w:r>
      <w:r w:rsidR="00161CC0" w:rsidRPr="00637685">
        <w:rPr>
          <w:szCs w:val="20"/>
          <w:lang w:val="es-ES"/>
        </w:rPr>
        <w:t xml:space="preserve">ricana de Derechos Humanos de </w:t>
      </w:r>
      <w:r w:rsidR="00FA2C01" w:rsidRPr="00637685">
        <w:rPr>
          <w:szCs w:val="20"/>
          <w:lang w:val="es-ES"/>
        </w:rPr>
        <w:t>25</w:t>
      </w:r>
      <w:r w:rsidRPr="00637685">
        <w:rPr>
          <w:szCs w:val="20"/>
          <w:lang w:val="es-ES"/>
        </w:rPr>
        <w:t xml:space="preserve"> de </w:t>
      </w:r>
      <w:r w:rsidR="00766A89" w:rsidRPr="00637685">
        <w:rPr>
          <w:szCs w:val="20"/>
          <w:lang w:val="es-ES"/>
        </w:rPr>
        <w:t>agosto</w:t>
      </w:r>
      <w:r w:rsidR="00161CC0" w:rsidRPr="00637685">
        <w:rPr>
          <w:szCs w:val="20"/>
        </w:rPr>
        <w:t xml:space="preserve"> de </w:t>
      </w:r>
      <w:r w:rsidR="00C927CC" w:rsidRPr="00637685">
        <w:rPr>
          <w:szCs w:val="20"/>
        </w:rPr>
        <w:t>2022</w:t>
      </w:r>
      <w:r w:rsidRPr="00637685">
        <w:rPr>
          <w:szCs w:val="20"/>
          <w:lang w:val="es-ES"/>
        </w:rPr>
        <w:t xml:space="preserve">. </w:t>
      </w:r>
      <w:r w:rsidRPr="00637685">
        <w:rPr>
          <w:iCs/>
          <w:szCs w:val="20"/>
          <w:lang w:val="es-CR"/>
        </w:rPr>
        <w:t>Resolución adoptada en San José de Costa Rica.</w:t>
      </w:r>
    </w:p>
    <w:p w14:paraId="7389EFBA" w14:textId="77777777" w:rsidR="00502071" w:rsidRPr="00A96263" w:rsidRDefault="00502071" w:rsidP="00502071">
      <w:pPr>
        <w:spacing w:after="0"/>
        <w:jc w:val="center"/>
        <w:rPr>
          <w:rFonts w:eastAsia="Batang"/>
          <w:szCs w:val="20"/>
          <w:lang w:val="es-ES"/>
        </w:rPr>
      </w:pPr>
    </w:p>
    <w:p w14:paraId="0DBEAC7B" w14:textId="3E952525" w:rsidR="00502071" w:rsidRPr="00AB199B" w:rsidRDefault="00502071" w:rsidP="00502071">
      <w:pPr>
        <w:spacing w:after="0"/>
        <w:jc w:val="center"/>
        <w:rPr>
          <w:rFonts w:eastAsia="Batang"/>
          <w:szCs w:val="20"/>
          <w:lang w:val="es-ES"/>
        </w:rPr>
      </w:pPr>
    </w:p>
    <w:p w14:paraId="66EBB28A" w14:textId="77777777" w:rsidR="00502071" w:rsidRPr="00A96263" w:rsidRDefault="00502071" w:rsidP="00502071">
      <w:pPr>
        <w:spacing w:after="0"/>
        <w:jc w:val="center"/>
        <w:rPr>
          <w:rFonts w:eastAsia="Batang"/>
          <w:szCs w:val="20"/>
          <w:lang w:val="es-ES"/>
        </w:rPr>
      </w:pPr>
    </w:p>
    <w:p w14:paraId="7B2D3963" w14:textId="77777777" w:rsidR="00502071" w:rsidRPr="00A96263" w:rsidRDefault="00502071" w:rsidP="00502071">
      <w:pPr>
        <w:spacing w:after="0"/>
        <w:jc w:val="center"/>
        <w:rPr>
          <w:rFonts w:eastAsia="Batang"/>
          <w:szCs w:val="20"/>
          <w:lang w:val="es-ES"/>
        </w:rPr>
      </w:pPr>
    </w:p>
    <w:p w14:paraId="10FF8254" w14:textId="77777777" w:rsidR="00502071" w:rsidRPr="00A96263" w:rsidRDefault="00502071" w:rsidP="00502071">
      <w:pPr>
        <w:spacing w:after="0"/>
        <w:jc w:val="center"/>
        <w:rPr>
          <w:rFonts w:eastAsia="Batang"/>
          <w:szCs w:val="20"/>
          <w:lang w:val="es-ES"/>
        </w:rPr>
      </w:pPr>
    </w:p>
    <w:p w14:paraId="353791A1" w14:textId="06299A17" w:rsidR="00502071" w:rsidRPr="00A96263" w:rsidRDefault="00502071" w:rsidP="00502071">
      <w:pPr>
        <w:spacing w:after="0"/>
        <w:jc w:val="center"/>
        <w:rPr>
          <w:rFonts w:eastAsia="Batang"/>
          <w:szCs w:val="20"/>
          <w:lang w:val="es-ES"/>
        </w:rPr>
      </w:pPr>
      <w:r w:rsidRPr="00A96263">
        <w:rPr>
          <w:rFonts w:eastAsia="Batang"/>
          <w:szCs w:val="20"/>
          <w:lang w:val="es-ES"/>
        </w:rPr>
        <w:t>Ricardo Pérez Manrique</w:t>
      </w:r>
    </w:p>
    <w:p w14:paraId="2FDAA169" w14:textId="7ABED621" w:rsidR="00502071" w:rsidRPr="00A96263" w:rsidRDefault="00502071" w:rsidP="00502071">
      <w:pPr>
        <w:spacing w:after="0"/>
        <w:jc w:val="center"/>
        <w:rPr>
          <w:rFonts w:eastAsia="Batang"/>
          <w:szCs w:val="20"/>
          <w:lang w:val="es-ES"/>
        </w:rPr>
      </w:pPr>
      <w:r w:rsidRPr="00A96263">
        <w:rPr>
          <w:rFonts w:eastAsia="Batang"/>
          <w:szCs w:val="20"/>
          <w:lang w:val="es-ES"/>
        </w:rPr>
        <w:t>Presidente</w:t>
      </w:r>
    </w:p>
    <w:p w14:paraId="49FC4477" w14:textId="46099109" w:rsidR="00502071" w:rsidRPr="00A96263" w:rsidRDefault="00502071" w:rsidP="00502071">
      <w:pPr>
        <w:spacing w:after="0"/>
        <w:rPr>
          <w:rFonts w:eastAsia="Batang"/>
          <w:szCs w:val="20"/>
          <w:lang w:val="es-ES"/>
        </w:rPr>
      </w:pPr>
    </w:p>
    <w:p w14:paraId="6DDB605F" w14:textId="5948CA09" w:rsidR="00502071" w:rsidRPr="00A96263" w:rsidRDefault="00502071" w:rsidP="00502071">
      <w:pPr>
        <w:spacing w:after="0"/>
        <w:rPr>
          <w:rFonts w:eastAsia="Batang"/>
          <w:szCs w:val="20"/>
          <w:lang w:val="es-ES"/>
        </w:rPr>
      </w:pPr>
    </w:p>
    <w:p w14:paraId="140CFFDF" w14:textId="09B61939" w:rsidR="00502071" w:rsidRPr="00A96263" w:rsidRDefault="00502071" w:rsidP="00502071">
      <w:pPr>
        <w:spacing w:after="0"/>
        <w:rPr>
          <w:rFonts w:eastAsia="Batang"/>
          <w:szCs w:val="20"/>
          <w:lang w:val="es-ES"/>
        </w:rPr>
      </w:pPr>
    </w:p>
    <w:p w14:paraId="51C0BC18" w14:textId="52C194BC" w:rsidR="00502071" w:rsidRPr="00A96263" w:rsidRDefault="00502071" w:rsidP="00502071">
      <w:pPr>
        <w:spacing w:after="0"/>
        <w:rPr>
          <w:rFonts w:eastAsia="Batang"/>
          <w:szCs w:val="20"/>
          <w:lang w:val="es-ES"/>
        </w:rPr>
      </w:pPr>
    </w:p>
    <w:p w14:paraId="69FCB364" w14:textId="4A0F0A9A" w:rsidR="00502071" w:rsidRPr="00A96263" w:rsidRDefault="00502071" w:rsidP="00502071">
      <w:pPr>
        <w:spacing w:after="0"/>
        <w:rPr>
          <w:rFonts w:eastAsia="Batang"/>
          <w:szCs w:val="20"/>
          <w:lang w:val="es-ES"/>
        </w:rPr>
      </w:pPr>
      <w:r w:rsidRPr="00A96263">
        <w:rPr>
          <w:rFonts w:eastAsia="Batang"/>
          <w:szCs w:val="20"/>
          <w:lang w:val="es-ES"/>
        </w:rPr>
        <w:t>Humberto Antonio Sierra Porto</w:t>
      </w:r>
      <w:r w:rsidRPr="00A96263">
        <w:rPr>
          <w:rFonts w:eastAsia="Batang"/>
          <w:szCs w:val="20"/>
          <w:lang w:val="es-ES"/>
        </w:rPr>
        <w:tab/>
      </w:r>
      <w:r w:rsidRPr="00A96263">
        <w:rPr>
          <w:rFonts w:eastAsia="Batang"/>
          <w:szCs w:val="20"/>
          <w:lang w:val="es-ES"/>
        </w:rPr>
        <w:tab/>
      </w:r>
      <w:r>
        <w:rPr>
          <w:rFonts w:eastAsia="Batang"/>
          <w:szCs w:val="20"/>
          <w:lang w:val="es-ES"/>
        </w:rPr>
        <w:tab/>
      </w:r>
      <w:r>
        <w:rPr>
          <w:rFonts w:eastAsia="Batang"/>
          <w:szCs w:val="20"/>
          <w:lang w:val="es-ES"/>
        </w:rPr>
        <w:tab/>
      </w:r>
      <w:r>
        <w:rPr>
          <w:rFonts w:eastAsia="Batang"/>
          <w:szCs w:val="20"/>
          <w:lang w:val="es-ES"/>
        </w:rPr>
        <w:tab/>
      </w:r>
      <w:r w:rsidRPr="00A96263">
        <w:rPr>
          <w:rFonts w:eastAsia="Times"/>
          <w:szCs w:val="20"/>
        </w:rPr>
        <w:t>Nancy Hernández López</w:t>
      </w:r>
    </w:p>
    <w:p w14:paraId="1E7AF8E5" w14:textId="05091FA1" w:rsidR="00502071" w:rsidRPr="00A96263" w:rsidRDefault="00502071" w:rsidP="00502071">
      <w:pPr>
        <w:spacing w:after="0"/>
        <w:rPr>
          <w:rFonts w:eastAsia="Batang"/>
          <w:szCs w:val="20"/>
          <w:lang w:val="es-ES"/>
        </w:rPr>
      </w:pPr>
    </w:p>
    <w:p w14:paraId="6EAB1C71" w14:textId="6B75AC9D" w:rsidR="00502071" w:rsidRPr="00A96263" w:rsidRDefault="00502071" w:rsidP="00502071">
      <w:pPr>
        <w:spacing w:after="0"/>
        <w:rPr>
          <w:rFonts w:eastAsia="Batang"/>
          <w:szCs w:val="20"/>
          <w:lang w:val="es-ES"/>
        </w:rPr>
      </w:pPr>
    </w:p>
    <w:p w14:paraId="356EFE2F" w14:textId="515DB9B3" w:rsidR="00502071" w:rsidRPr="00A96263" w:rsidRDefault="00502071" w:rsidP="00502071">
      <w:pPr>
        <w:spacing w:after="0"/>
        <w:rPr>
          <w:rFonts w:eastAsia="Batang"/>
          <w:szCs w:val="20"/>
          <w:lang w:val="es-ES"/>
        </w:rPr>
      </w:pPr>
    </w:p>
    <w:p w14:paraId="7E1A1089" w14:textId="77777777" w:rsidR="00502071" w:rsidRPr="00A96263" w:rsidRDefault="00502071" w:rsidP="00502071">
      <w:pPr>
        <w:spacing w:after="0"/>
        <w:rPr>
          <w:rFonts w:eastAsia="Batang"/>
          <w:szCs w:val="20"/>
          <w:lang w:val="es-ES"/>
        </w:rPr>
      </w:pPr>
    </w:p>
    <w:p w14:paraId="48F95234" w14:textId="6F9C229D" w:rsidR="00502071" w:rsidRPr="00A96263" w:rsidRDefault="00502071" w:rsidP="00502071">
      <w:pPr>
        <w:spacing w:after="0"/>
        <w:rPr>
          <w:rFonts w:eastAsia="Batang"/>
          <w:szCs w:val="20"/>
          <w:lang w:val="es-ES"/>
        </w:rPr>
      </w:pPr>
    </w:p>
    <w:p w14:paraId="1FD3673D" w14:textId="0E65E38B" w:rsidR="00502071" w:rsidRPr="00A96263" w:rsidRDefault="00502071" w:rsidP="00502071">
      <w:pPr>
        <w:spacing w:after="0"/>
        <w:rPr>
          <w:rFonts w:eastAsia="Batang"/>
          <w:szCs w:val="20"/>
        </w:rPr>
      </w:pPr>
      <w:r w:rsidRPr="00A96263">
        <w:rPr>
          <w:rFonts w:eastAsia="Batang"/>
          <w:szCs w:val="20"/>
        </w:rPr>
        <w:t>Verónica Gómez</w:t>
      </w:r>
      <w:r w:rsidRPr="00A96263">
        <w:rPr>
          <w:rFonts w:eastAsia="Batang"/>
          <w:szCs w:val="20"/>
        </w:rPr>
        <w:tab/>
      </w:r>
      <w:r w:rsidRPr="00A96263">
        <w:rPr>
          <w:rFonts w:eastAsia="Batang"/>
          <w:szCs w:val="20"/>
        </w:rPr>
        <w:tab/>
      </w:r>
      <w:r w:rsidRPr="00A96263">
        <w:rPr>
          <w:rFonts w:eastAsia="Batang"/>
          <w:szCs w:val="20"/>
        </w:rPr>
        <w:tab/>
      </w:r>
      <w:r w:rsidRPr="00A96263">
        <w:rPr>
          <w:rFonts w:eastAsia="Batang"/>
          <w:szCs w:val="20"/>
        </w:rPr>
        <w:tab/>
      </w:r>
      <w:r w:rsidRPr="00A96263">
        <w:rPr>
          <w:rFonts w:eastAsia="Batang"/>
          <w:szCs w:val="20"/>
        </w:rPr>
        <w:tab/>
      </w:r>
      <w:r w:rsidRPr="00A96263">
        <w:rPr>
          <w:rFonts w:eastAsia="Batang"/>
          <w:szCs w:val="20"/>
        </w:rPr>
        <w:tab/>
      </w:r>
      <w:proofErr w:type="gramStart"/>
      <w:r>
        <w:rPr>
          <w:rFonts w:eastAsia="Batang"/>
          <w:szCs w:val="20"/>
        </w:rPr>
        <w:tab/>
        <w:t xml:space="preserve">  </w:t>
      </w:r>
      <w:r w:rsidRPr="00A96263">
        <w:rPr>
          <w:rFonts w:eastAsia="Batang"/>
          <w:szCs w:val="20"/>
        </w:rPr>
        <w:t>Patricia</w:t>
      </w:r>
      <w:proofErr w:type="gramEnd"/>
      <w:r w:rsidRPr="00A96263">
        <w:rPr>
          <w:rFonts w:eastAsia="Batang"/>
          <w:szCs w:val="20"/>
        </w:rPr>
        <w:t xml:space="preserve"> Pérez Goldberg</w:t>
      </w:r>
    </w:p>
    <w:p w14:paraId="0C2C5A8B" w14:textId="2FE00A79" w:rsidR="00502071" w:rsidRPr="00A96263" w:rsidRDefault="00502071" w:rsidP="00502071">
      <w:pPr>
        <w:spacing w:after="0"/>
        <w:rPr>
          <w:rFonts w:eastAsia="Batang"/>
          <w:szCs w:val="20"/>
        </w:rPr>
      </w:pPr>
    </w:p>
    <w:p w14:paraId="1C9A2FA2" w14:textId="3E1688BE" w:rsidR="00502071" w:rsidRPr="00A96263" w:rsidRDefault="00502071" w:rsidP="00502071">
      <w:pPr>
        <w:spacing w:after="0"/>
        <w:rPr>
          <w:rFonts w:eastAsia="Batang"/>
          <w:szCs w:val="20"/>
        </w:rPr>
      </w:pPr>
    </w:p>
    <w:p w14:paraId="622228F9" w14:textId="3F7F0718" w:rsidR="00502071" w:rsidRPr="00A96263" w:rsidRDefault="00502071" w:rsidP="00502071">
      <w:pPr>
        <w:spacing w:after="0"/>
        <w:rPr>
          <w:rFonts w:eastAsia="Batang"/>
          <w:szCs w:val="20"/>
        </w:rPr>
      </w:pPr>
    </w:p>
    <w:p w14:paraId="538AD177" w14:textId="2C396879" w:rsidR="00502071" w:rsidRPr="00A96263" w:rsidRDefault="00502071" w:rsidP="00502071">
      <w:pPr>
        <w:spacing w:after="0"/>
        <w:rPr>
          <w:rFonts w:eastAsia="Batang"/>
          <w:szCs w:val="20"/>
        </w:rPr>
      </w:pPr>
    </w:p>
    <w:p w14:paraId="0F92A97C" w14:textId="0188AFDA" w:rsidR="00502071" w:rsidRPr="00A96263" w:rsidRDefault="00502071" w:rsidP="00502071">
      <w:pPr>
        <w:spacing w:after="0"/>
        <w:rPr>
          <w:rFonts w:eastAsia="Batang"/>
          <w:szCs w:val="20"/>
        </w:rPr>
      </w:pPr>
    </w:p>
    <w:p w14:paraId="087CB911" w14:textId="16F0D778" w:rsidR="00502071" w:rsidRPr="00A96263" w:rsidRDefault="00502071" w:rsidP="00502071">
      <w:pPr>
        <w:tabs>
          <w:tab w:val="center" w:pos="4419"/>
        </w:tabs>
        <w:spacing w:after="0"/>
        <w:rPr>
          <w:rFonts w:eastAsia="Batang"/>
          <w:szCs w:val="20"/>
          <w:lang w:val="es-ES"/>
        </w:rPr>
      </w:pPr>
      <w:r w:rsidRPr="00A96263">
        <w:rPr>
          <w:rFonts w:eastAsia="Batang"/>
          <w:szCs w:val="20"/>
          <w:lang w:val="es-ES"/>
        </w:rPr>
        <w:tab/>
        <w:t xml:space="preserve">Rodrigo de </w:t>
      </w:r>
      <w:proofErr w:type="spellStart"/>
      <w:r w:rsidRPr="00A96263">
        <w:rPr>
          <w:rFonts w:eastAsia="Batang"/>
          <w:szCs w:val="20"/>
          <w:lang w:val="es-ES"/>
        </w:rPr>
        <w:t>Bittencourt</w:t>
      </w:r>
      <w:proofErr w:type="spellEnd"/>
      <w:r w:rsidRPr="00A96263">
        <w:rPr>
          <w:rFonts w:eastAsia="Batang"/>
          <w:szCs w:val="20"/>
          <w:lang w:val="es-ES"/>
        </w:rPr>
        <w:t xml:space="preserve"> </w:t>
      </w:r>
      <w:proofErr w:type="spellStart"/>
      <w:r w:rsidRPr="00A96263">
        <w:rPr>
          <w:rFonts w:eastAsia="Batang"/>
          <w:szCs w:val="20"/>
          <w:lang w:val="es-ES"/>
        </w:rPr>
        <w:t>Mudrovitsch</w:t>
      </w:r>
      <w:proofErr w:type="spellEnd"/>
    </w:p>
    <w:p w14:paraId="33D46B70" w14:textId="1711469C" w:rsidR="00502071" w:rsidRPr="00A96263" w:rsidRDefault="00502071" w:rsidP="00502071">
      <w:pPr>
        <w:spacing w:after="0"/>
        <w:rPr>
          <w:rFonts w:eastAsia="Batang"/>
          <w:szCs w:val="20"/>
          <w:lang w:val="es-ES"/>
        </w:rPr>
      </w:pPr>
    </w:p>
    <w:p w14:paraId="772A6C3E" w14:textId="4CC60B60" w:rsidR="00502071" w:rsidRPr="00A96263" w:rsidRDefault="00502071" w:rsidP="00502071">
      <w:pPr>
        <w:spacing w:after="0"/>
        <w:rPr>
          <w:rFonts w:eastAsia="Batang"/>
          <w:szCs w:val="20"/>
          <w:lang w:val="es-ES"/>
        </w:rPr>
      </w:pPr>
    </w:p>
    <w:p w14:paraId="31878E72" w14:textId="72F08878" w:rsidR="00502071" w:rsidRPr="00A96263" w:rsidRDefault="00502071" w:rsidP="00502071">
      <w:pPr>
        <w:spacing w:after="0"/>
        <w:rPr>
          <w:rFonts w:eastAsia="Times"/>
          <w:szCs w:val="20"/>
          <w:lang w:val="es-ES"/>
        </w:rPr>
      </w:pPr>
    </w:p>
    <w:p w14:paraId="38707212" w14:textId="5CDF1BD7" w:rsidR="00502071" w:rsidRPr="00A96263" w:rsidRDefault="00502071" w:rsidP="00502071">
      <w:pPr>
        <w:spacing w:after="0"/>
        <w:rPr>
          <w:rFonts w:eastAsia="Times"/>
          <w:szCs w:val="20"/>
          <w:lang w:val="es-ES"/>
        </w:rPr>
      </w:pPr>
    </w:p>
    <w:p w14:paraId="4CD50164" w14:textId="096CAD88" w:rsidR="00502071" w:rsidRPr="00A96263" w:rsidRDefault="00502071" w:rsidP="00502071">
      <w:pPr>
        <w:spacing w:after="0"/>
        <w:rPr>
          <w:rFonts w:eastAsia="Times"/>
          <w:szCs w:val="20"/>
          <w:lang w:val="es-ES"/>
        </w:rPr>
      </w:pPr>
    </w:p>
    <w:p w14:paraId="22A345E7" w14:textId="226D59F0" w:rsidR="00502071" w:rsidRPr="00A96263" w:rsidRDefault="00502071" w:rsidP="00502071">
      <w:pPr>
        <w:spacing w:after="0"/>
        <w:jc w:val="center"/>
        <w:rPr>
          <w:rFonts w:eastAsia="Times"/>
          <w:szCs w:val="20"/>
        </w:rPr>
      </w:pPr>
      <w:r w:rsidRPr="00A96263">
        <w:rPr>
          <w:rFonts w:eastAsia="Times"/>
          <w:szCs w:val="20"/>
        </w:rPr>
        <w:t>Pablo Saavedra Alessandri</w:t>
      </w:r>
    </w:p>
    <w:p w14:paraId="6CBD69F6" w14:textId="71544A78" w:rsidR="00502071" w:rsidRPr="00A96263" w:rsidRDefault="00502071" w:rsidP="00502071">
      <w:pPr>
        <w:spacing w:after="0"/>
        <w:jc w:val="center"/>
        <w:rPr>
          <w:rFonts w:eastAsia="Times"/>
          <w:szCs w:val="20"/>
        </w:rPr>
      </w:pPr>
      <w:r w:rsidRPr="00A96263">
        <w:rPr>
          <w:rFonts w:eastAsia="Times"/>
          <w:szCs w:val="20"/>
        </w:rPr>
        <w:t>Secretario</w:t>
      </w:r>
    </w:p>
    <w:p w14:paraId="6C4E2634" w14:textId="4B18C39E" w:rsidR="00502071" w:rsidRPr="00A96263" w:rsidRDefault="00502071" w:rsidP="00502071">
      <w:pPr>
        <w:spacing w:after="0"/>
        <w:rPr>
          <w:rFonts w:eastAsia="Times"/>
          <w:szCs w:val="20"/>
        </w:rPr>
      </w:pPr>
    </w:p>
    <w:p w14:paraId="0D1C93ED" w14:textId="73CEF4F7" w:rsidR="00502071" w:rsidRPr="00A96263" w:rsidRDefault="00502071" w:rsidP="00502071">
      <w:pPr>
        <w:spacing w:after="0"/>
        <w:rPr>
          <w:rFonts w:eastAsia="Times"/>
          <w:szCs w:val="20"/>
        </w:rPr>
      </w:pPr>
    </w:p>
    <w:p w14:paraId="1C63A877" w14:textId="2B2A87A7" w:rsidR="00502071" w:rsidRPr="00A96263" w:rsidRDefault="00502071" w:rsidP="00502071">
      <w:pPr>
        <w:spacing w:after="0"/>
        <w:rPr>
          <w:rFonts w:eastAsia="Times"/>
          <w:szCs w:val="20"/>
        </w:rPr>
      </w:pPr>
      <w:r w:rsidRPr="00A96263">
        <w:rPr>
          <w:rFonts w:eastAsia="Times"/>
          <w:szCs w:val="20"/>
        </w:rPr>
        <w:t>Comuníquese y ejecútese,</w:t>
      </w:r>
    </w:p>
    <w:p w14:paraId="0284873E" w14:textId="2AC3D75A" w:rsidR="00502071" w:rsidRPr="00A96263" w:rsidRDefault="00502071" w:rsidP="00502071">
      <w:pPr>
        <w:spacing w:after="0"/>
        <w:rPr>
          <w:rFonts w:eastAsia="Times"/>
          <w:szCs w:val="20"/>
        </w:rPr>
      </w:pPr>
    </w:p>
    <w:p w14:paraId="3144F66B" w14:textId="77777777" w:rsidR="00502071" w:rsidRPr="00A96263" w:rsidRDefault="00502071" w:rsidP="00502071">
      <w:pPr>
        <w:spacing w:after="0"/>
        <w:rPr>
          <w:rFonts w:eastAsia="Times"/>
          <w:szCs w:val="20"/>
        </w:rPr>
      </w:pPr>
    </w:p>
    <w:p w14:paraId="3DAE36BF" w14:textId="77777777" w:rsidR="00502071" w:rsidRPr="00A96263" w:rsidRDefault="00502071" w:rsidP="00502071">
      <w:pPr>
        <w:spacing w:after="0"/>
        <w:ind w:left="6372"/>
        <w:jc w:val="center"/>
        <w:rPr>
          <w:rFonts w:eastAsia="Batang"/>
          <w:szCs w:val="20"/>
        </w:rPr>
      </w:pPr>
      <w:r w:rsidRPr="00A96263">
        <w:rPr>
          <w:rFonts w:eastAsia="Batang"/>
          <w:szCs w:val="20"/>
        </w:rPr>
        <w:t>Ricardo Pérez Manrique</w:t>
      </w:r>
    </w:p>
    <w:p w14:paraId="5F771FFE" w14:textId="65989F77" w:rsidR="00502071" w:rsidRPr="00A96263" w:rsidRDefault="00502071" w:rsidP="00502071">
      <w:pPr>
        <w:spacing w:after="0"/>
        <w:ind w:left="6372"/>
        <w:jc w:val="center"/>
        <w:rPr>
          <w:rFonts w:eastAsia="Batang"/>
          <w:szCs w:val="20"/>
        </w:rPr>
      </w:pPr>
      <w:r w:rsidRPr="00A96263">
        <w:rPr>
          <w:rFonts w:eastAsia="Batang"/>
          <w:szCs w:val="20"/>
        </w:rPr>
        <w:t>residente</w:t>
      </w:r>
    </w:p>
    <w:p w14:paraId="78132E9C" w14:textId="77777777" w:rsidR="00502071" w:rsidRPr="00A96263" w:rsidRDefault="00502071" w:rsidP="00502071">
      <w:pPr>
        <w:spacing w:after="0"/>
        <w:rPr>
          <w:rFonts w:eastAsia="Times"/>
          <w:szCs w:val="20"/>
        </w:rPr>
      </w:pPr>
    </w:p>
    <w:p w14:paraId="12F000A0" w14:textId="77777777" w:rsidR="00502071" w:rsidRPr="00A96263" w:rsidRDefault="00502071" w:rsidP="00502071">
      <w:pPr>
        <w:spacing w:after="0"/>
        <w:rPr>
          <w:rFonts w:eastAsia="Times"/>
          <w:szCs w:val="20"/>
        </w:rPr>
      </w:pPr>
    </w:p>
    <w:p w14:paraId="1C54A79C" w14:textId="77777777" w:rsidR="00502071" w:rsidRPr="00A96263" w:rsidRDefault="00502071" w:rsidP="00502071">
      <w:pPr>
        <w:spacing w:after="0"/>
        <w:rPr>
          <w:rFonts w:eastAsia="Times"/>
          <w:szCs w:val="20"/>
        </w:rPr>
      </w:pPr>
    </w:p>
    <w:p w14:paraId="76AEC8F6" w14:textId="77777777" w:rsidR="00502071" w:rsidRPr="00A96263" w:rsidRDefault="00502071" w:rsidP="00502071">
      <w:pPr>
        <w:spacing w:after="0"/>
        <w:rPr>
          <w:rFonts w:eastAsia="Times"/>
          <w:szCs w:val="20"/>
        </w:rPr>
      </w:pPr>
    </w:p>
    <w:p w14:paraId="2A607589" w14:textId="77777777" w:rsidR="00502071" w:rsidRPr="00A96263" w:rsidRDefault="00502071" w:rsidP="00502071">
      <w:pPr>
        <w:spacing w:after="0"/>
        <w:rPr>
          <w:rFonts w:eastAsia="Times"/>
          <w:szCs w:val="20"/>
        </w:rPr>
      </w:pPr>
      <w:r w:rsidRPr="00A96263">
        <w:rPr>
          <w:rFonts w:eastAsia="Times"/>
          <w:szCs w:val="20"/>
        </w:rPr>
        <w:t>Pablo Saavedra Alessandri</w:t>
      </w:r>
    </w:p>
    <w:p w14:paraId="5189DF76" w14:textId="77777777" w:rsidR="00502071" w:rsidRPr="00A96263" w:rsidRDefault="00502071" w:rsidP="00502071">
      <w:pPr>
        <w:spacing w:after="0"/>
        <w:rPr>
          <w:rFonts w:eastAsia="Batang"/>
          <w:szCs w:val="20"/>
        </w:rPr>
      </w:pPr>
      <w:r w:rsidRPr="00A96263">
        <w:rPr>
          <w:rFonts w:eastAsia="Times"/>
          <w:szCs w:val="20"/>
        </w:rPr>
        <w:tab/>
        <w:t>Secretario</w:t>
      </w:r>
    </w:p>
    <w:sectPr w:rsidR="00502071" w:rsidRPr="00A96263" w:rsidSect="0029167E">
      <w:headerReference w:type="even" r:id="rId8"/>
      <w:footerReference w:type="even" r:id="rId9"/>
      <w:footerReference w:type="default" r:id="rId10"/>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E0AD5B" w14:textId="77777777" w:rsidR="00A01CF0" w:rsidRDefault="00A01CF0" w:rsidP="00AA5A8E">
      <w:pPr>
        <w:spacing w:after="0"/>
      </w:pPr>
      <w:r>
        <w:separator/>
      </w:r>
    </w:p>
  </w:endnote>
  <w:endnote w:type="continuationSeparator" w:id="0">
    <w:p w14:paraId="6A48CADF" w14:textId="77777777" w:rsidR="00A01CF0" w:rsidRDefault="00A01CF0" w:rsidP="00AA5A8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Bold">
    <w:altName w:val="Times New Roman"/>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887773187"/>
      <w:docPartObj>
        <w:docPartGallery w:val="Page Numbers (Bottom of Page)"/>
        <w:docPartUnique/>
      </w:docPartObj>
    </w:sdtPr>
    <w:sdtContent>
      <w:p w14:paraId="00D25D1C" w14:textId="4931E6F1" w:rsidR="005C58DC" w:rsidRDefault="005C58DC" w:rsidP="00831684">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12C9BE59" w14:textId="77777777" w:rsidR="002A0BC0" w:rsidRDefault="002A0BC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1641492929"/>
      <w:docPartObj>
        <w:docPartGallery w:val="Page Numbers (Bottom of Page)"/>
        <w:docPartUnique/>
      </w:docPartObj>
    </w:sdtPr>
    <w:sdtContent>
      <w:p w14:paraId="66925753" w14:textId="76C6FC10" w:rsidR="005C58DC" w:rsidRDefault="005C58DC" w:rsidP="00831684">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sidR="00646C56">
          <w:rPr>
            <w:rStyle w:val="Nmerodepgina"/>
            <w:noProof/>
          </w:rPr>
          <w:t>8</w:t>
        </w:r>
        <w:r>
          <w:rPr>
            <w:rStyle w:val="Nmerodepgina"/>
          </w:rPr>
          <w:fldChar w:fldCharType="end"/>
        </w:r>
      </w:p>
    </w:sdtContent>
  </w:sdt>
  <w:p w14:paraId="46275869" w14:textId="45045E75" w:rsidR="002A0BC0" w:rsidRPr="005C58DC" w:rsidRDefault="005C58DC" w:rsidP="005C58DC">
    <w:pPr>
      <w:pStyle w:val="Piedepgina"/>
      <w:jc w:val="center"/>
      <w:rPr>
        <w:lang w:val="es-ES"/>
      </w:rPr>
    </w:pPr>
    <w:r>
      <w:rPr>
        <w:lang w:val="es-ES"/>
      </w:rPr>
      <w: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65874C" w14:textId="77777777" w:rsidR="00A01CF0" w:rsidRDefault="00A01CF0" w:rsidP="00AA5A8E">
      <w:pPr>
        <w:spacing w:after="0"/>
      </w:pPr>
      <w:r>
        <w:separator/>
      </w:r>
    </w:p>
  </w:footnote>
  <w:footnote w:type="continuationSeparator" w:id="0">
    <w:p w14:paraId="0F7FA16B" w14:textId="77777777" w:rsidR="00A01CF0" w:rsidRDefault="00A01CF0" w:rsidP="00AA5A8E">
      <w:pPr>
        <w:spacing w:after="0"/>
      </w:pPr>
      <w:r>
        <w:continuationSeparator/>
      </w:r>
    </w:p>
  </w:footnote>
  <w:footnote w:id="1">
    <w:p w14:paraId="7F9279ED" w14:textId="24FF53DF" w:rsidR="002F2239" w:rsidRPr="002F2239" w:rsidRDefault="002F2239" w:rsidP="001F651F">
      <w:pPr>
        <w:pStyle w:val="Textonotapie"/>
        <w:spacing w:before="120" w:after="120"/>
        <w:rPr>
          <w:sz w:val="16"/>
          <w:szCs w:val="16"/>
        </w:rPr>
      </w:pPr>
      <w:r w:rsidRPr="002F2239">
        <w:rPr>
          <w:rStyle w:val="Refdenotaalpie"/>
          <w:sz w:val="16"/>
          <w:szCs w:val="16"/>
        </w:rPr>
        <w:footnoteRef/>
      </w:r>
      <w:r w:rsidRPr="002F2239">
        <w:rPr>
          <w:sz w:val="16"/>
          <w:szCs w:val="16"/>
        </w:rPr>
        <w:t xml:space="preserve"> </w:t>
      </w:r>
      <w:r w:rsidRPr="002F2239">
        <w:rPr>
          <w:sz w:val="16"/>
          <w:szCs w:val="16"/>
        </w:rPr>
        <w:tab/>
      </w:r>
      <w:r w:rsidRPr="002F2239">
        <w:rPr>
          <w:sz w:val="16"/>
          <w:szCs w:val="16"/>
          <w:lang w:val="es-CR"/>
        </w:rPr>
        <w:t xml:space="preserve">El Juez </w:t>
      </w:r>
      <w:r w:rsidR="00474443">
        <w:rPr>
          <w:sz w:val="16"/>
          <w:szCs w:val="16"/>
          <w:lang w:val="es-CR"/>
        </w:rPr>
        <w:t>Eduardo Ferrer Mac-</w:t>
      </w:r>
      <w:proofErr w:type="spellStart"/>
      <w:r w:rsidR="00474443">
        <w:rPr>
          <w:sz w:val="16"/>
          <w:szCs w:val="16"/>
          <w:lang w:val="es-CR"/>
        </w:rPr>
        <w:t>Gregor</w:t>
      </w:r>
      <w:proofErr w:type="spellEnd"/>
      <w:r w:rsidR="00474443">
        <w:rPr>
          <w:sz w:val="16"/>
          <w:szCs w:val="16"/>
          <w:lang w:val="es-CR"/>
        </w:rPr>
        <w:t xml:space="preserve"> </w:t>
      </w:r>
      <w:proofErr w:type="spellStart"/>
      <w:r w:rsidR="00474443">
        <w:rPr>
          <w:sz w:val="16"/>
          <w:szCs w:val="16"/>
          <w:lang w:val="es-CR"/>
        </w:rPr>
        <w:t>Poisot</w:t>
      </w:r>
      <w:proofErr w:type="spellEnd"/>
      <w:r w:rsidRPr="002F2239">
        <w:rPr>
          <w:sz w:val="16"/>
          <w:szCs w:val="16"/>
          <w:lang w:val="es-CR"/>
        </w:rPr>
        <w:t>, de nacionalidad</w:t>
      </w:r>
      <w:r w:rsidRPr="002F2239">
        <w:rPr>
          <w:spacing w:val="-10"/>
          <w:sz w:val="16"/>
          <w:szCs w:val="16"/>
          <w:lang w:val="es-CR"/>
        </w:rPr>
        <w:t xml:space="preserve"> </w:t>
      </w:r>
      <w:r w:rsidR="00474443">
        <w:rPr>
          <w:sz w:val="16"/>
          <w:szCs w:val="16"/>
          <w:lang w:val="es-CR"/>
        </w:rPr>
        <w:t>mexicana</w:t>
      </w:r>
      <w:r w:rsidRPr="002F2239">
        <w:rPr>
          <w:sz w:val="16"/>
          <w:szCs w:val="16"/>
          <w:lang w:val="es-CR"/>
        </w:rPr>
        <w:t>,</w:t>
      </w:r>
      <w:r w:rsidRPr="002F2239">
        <w:rPr>
          <w:spacing w:val="-9"/>
          <w:sz w:val="16"/>
          <w:szCs w:val="16"/>
          <w:lang w:val="es-CR"/>
        </w:rPr>
        <w:t xml:space="preserve"> </w:t>
      </w:r>
      <w:r w:rsidRPr="002F2239">
        <w:rPr>
          <w:sz w:val="16"/>
          <w:szCs w:val="16"/>
          <w:lang w:val="es-CR"/>
        </w:rPr>
        <w:t>no</w:t>
      </w:r>
      <w:r w:rsidRPr="002F2239">
        <w:rPr>
          <w:spacing w:val="-9"/>
          <w:sz w:val="16"/>
          <w:szCs w:val="16"/>
          <w:lang w:val="es-CR"/>
        </w:rPr>
        <w:t xml:space="preserve"> </w:t>
      </w:r>
      <w:r w:rsidRPr="002F2239">
        <w:rPr>
          <w:sz w:val="16"/>
          <w:szCs w:val="16"/>
          <w:lang w:val="es-CR"/>
        </w:rPr>
        <w:t>participó</w:t>
      </w:r>
      <w:r w:rsidRPr="002F2239">
        <w:rPr>
          <w:spacing w:val="-10"/>
          <w:sz w:val="16"/>
          <w:szCs w:val="16"/>
          <w:lang w:val="es-CR"/>
        </w:rPr>
        <w:t xml:space="preserve"> </w:t>
      </w:r>
      <w:r w:rsidRPr="002F2239">
        <w:rPr>
          <w:sz w:val="16"/>
          <w:szCs w:val="16"/>
          <w:lang w:val="es-CR"/>
        </w:rPr>
        <w:t>en</w:t>
      </w:r>
      <w:r w:rsidRPr="002F2239">
        <w:rPr>
          <w:spacing w:val="-12"/>
          <w:sz w:val="16"/>
          <w:szCs w:val="16"/>
          <w:lang w:val="es-CR"/>
        </w:rPr>
        <w:t xml:space="preserve"> </w:t>
      </w:r>
      <w:r w:rsidRPr="002F2239">
        <w:rPr>
          <w:sz w:val="16"/>
          <w:szCs w:val="16"/>
          <w:lang w:val="es-CR"/>
        </w:rPr>
        <w:t>la</w:t>
      </w:r>
      <w:r w:rsidRPr="002F2239">
        <w:rPr>
          <w:spacing w:val="-10"/>
          <w:sz w:val="16"/>
          <w:szCs w:val="16"/>
          <w:lang w:val="es-CR"/>
        </w:rPr>
        <w:t xml:space="preserve"> </w:t>
      </w:r>
      <w:r w:rsidRPr="002F2239">
        <w:rPr>
          <w:sz w:val="16"/>
          <w:szCs w:val="16"/>
          <w:lang w:val="es-CR"/>
        </w:rPr>
        <w:t>discusión</w:t>
      </w:r>
      <w:r w:rsidRPr="002F2239">
        <w:rPr>
          <w:spacing w:val="-12"/>
          <w:sz w:val="16"/>
          <w:szCs w:val="16"/>
          <w:lang w:val="es-CR"/>
        </w:rPr>
        <w:t xml:space="preserve"> </w:t>
      </w:r>
      <w:r w:rsidRPr="002F2239">
        <w:rPr>
          <w:sz w:val="16"/>
          <w:szCs w:val="16"/>
          <w:lang w:val="es-CR"/>
        </w:rPr>
        <w:t>de</w:t>
      </w:r>
      <w:r w:rsidRPr="002F2239">
        <w:rPr>
          <w:spacing w:val="-10"/>
          <w:sz w:val="16"/>
          <w:szCs w:val="16"/>
          <w:lang w:val="es-CR"/>
        </w:rPr>
        <w:t xml:space="preserve"> </w:t>
      </w:r>
      <w:r w:rsidRPr="002F2239">
        <w:rPr>
          <w:sz w:val="16"/>
          <w:szCs w:val="16"/>
          <w:lang w:val="es-CR"/>
        </w:rPr>
        <w:t>la</w:t>
      </w:r>
      <w:r w:rsidRPr="002F2239">
        <w:rPr>
          <w:spacing w:val="-14"/>
          <w:sz w:val="16"/>
          <w:szCs w:val="16"/>
          <w:lang w:val="es-CR"/>
        </w:rPr>
        <w:t xml:space="preserve"> </w:t>
      </w:r>
      <w:r w:rsidRPr="002F2239">
        <w:rPr>
          <w:sz w:val="16"/>
          <w:szCs w:val="16"/>
          <w:lang w:val="es-CR"/>
        </w:rPr>
        <w:t>presente</w:t>
      </w:r>
      <w:r w:rsidRPr="002F2239">
        <w:rPr>
          <w:spacing w:val="-12"/>
          <w:sz w:val="16"/>
          <w:szCs w:val="16"/>
          <w:lang w:val="es-CR"/>
        </w:rPr>
        <w:t xml:space="preserve"> </w:t>
      </w:r>
      <w:r w:rsidRPr="002F2239">
        <w:rPr>
          <w:sz w:val="16"/>
          <w:szCs w:val="16"/>
          <w:lang w:val="es-CR"/>
        </w:rPr>
        <w:t>Resolución,</w:t>
      </w:r>
      <w:r w:rsidRPr="002F2239">
        <w:rPr>
          <w:spacing w:val="-12"/>
          <w:sz w:val="16"/>
          <w:szCs w:val="16"/>
          <w:lang w:val="es-CR"/>
        </w:rPr>
        <w:t xml:space="preserve"> </w:t>
      </w:r>
      <w:r w:rsidRPr="002F2239">
        <w:rPr>
          <w:sz w:val="16"/>
          <w:szCs w:val="16"/>
          <w:lang w:val="es-CR"/>
        </w:rPr>
        <w:t>de</w:t>
      </w:r>
      <w:r w:rsidRPr="002F2239">
        <w:rPr>
          <w:spacing w:val="-12"/>
          <w:sz w:val="16"/>
          <w:szCs w:val="16"/>
          <w:lang w:val="es-CR"/>
        </w:rPr>
        <w:t xml:space="preserve"> </w:t>
      </w:r>
      <w:r w:rsidRPr="002F2239">
        <w:rPr>
          <w:sz w:val="16"/>
          <w:szCs w:val="16"/>
          <w:lang w:val="es-CR"/>
        </w:rPr>
        <w:t>conformidad</w:t>
      </w:r>
      <w:r w:rsidRPr="002F2239">
        <w:rPr>
          <w:spacing w:val="-10"/>
          <w:sz w:val="16"/>
          <w:szCs w:val="16"/>
          <w:lang w:val="es-CR"/>
        </w:rPr>
        <w:t xml:space="preserve"> </w:t>
      </w:r>
      <w:r w:rsidRPr="002F2239">
        <w:rPr>
          <w:sz w:val="16"/>
          <w:szCs w:val="16"/>
          <w:lang w:val="es-CR"/>
        </w:rPr>
        <w:t>con</w:t>
      </w:r>
      <w:r w:rsidRPr="002F2239">
        <w:rPr>
          <w:spacing w:val="-9"/>
          <w:sz w:val="16"/>
          <w:szCs w:val="16"/>
          <w:lang w:val="es-CR"/>
        </w:rPr>
        <w:t xml:space="preserve"> </w:t>
      </w:r>
      <w:r w:rsidRPr="002F2239">
        <w:rPr>
          <w:sz w:val="16"/>
          <w:szCs w:val="16"/>
          <w:lang w:val="es-CR"/>
        </w:rPr>
        <w:t>los</w:t>
      </w:r>
      <w:r w:rsidRPr="002F2239">
        <w:rPr>
          <w:spacing w:val="-10"/>
          <w:sz w:val="16"/>
          <w:szCs w:val="16"/>
          <w:lang w:val="es-CR"/>
        </w:rPr>
        <w:t xml:space="preserve"> </w:t>
      </w:r>
      <w:r w:rsidRPr="002F2239">
        <w:rPr>
          <w:sz w:val="16"/>
          <w:szCs w:val="16"/>
          <w:lang w:val="es-CR"/>
        </w:rPr>
        <w:t>artículos</w:t>
      </w:r>
      <w:r w:rsidRPr="002F2239">
        <w:rPr>
          <w:spacing w:val="-13"/>
          <w:sz w:val="16"/>
          <w:szCs w:val="16"/>
          <w:lang w:val="es-CR"/>
        </w:rPr>
        <w:t xml:space="preserve"> </w:t>
      </w:r>
      <w:r w:rsidRPr="002F2239">
        <w:rPr>
          <w:sz w:val="16"/>
          <w:szCs w:val="16"/>
          <w:lang w:val="es-CR"/>
        </w:rPr>
        <w:t>19.2 del Estatuto y 19 del Reglamento de la</w:t>
      </w:r>
      <w:r w:rsidRPr="002F2239">
        <w:rPr>
          <w:spacing w:val="-9"/>
          <w:sz w:val="16"/>
          <w:szCs w:val="16"/>
          <w:lang w:val="es-CR"/>
        </w:rPr>
        <w:t xml:space="preserve"> </w:t>
      </w:r>
      <w:r w:rsidRPr="002F2239">
        <w:rPr>
          <w:sz w:val="16"/>
          <w:szCs w:val="16"/>
          <w:lang w:val="es-CR"/>
        </w:rPr>
        <w:t>Corte.</w:t>
      </w:r>
    </w:p>
  </w:footnote>
  <w:footnote w:id="2">
    <w:p w14:paraId="422A26C2" w14:textId="1F30CF2B" w:rsidR="002F2239" w:rsidRPr="002F2239" w:rsidRDefault="002F2239" w:rsidP="001F651F">
      <w:pPr>
        <w:pStyle w:val="Textonotapie"/>
        <w:spacing w:before="120" w:after="120"/>
      </w:pPr>
      <w:r w:rsidRPr="002F2239">
        <w:rPr>
          <w:rStyle w:val="Refdenotaalpie"/>
          <w:sz w:val="16"/>
          <w:szCs w:val="16"/>
        </w:rPr>
        <w:footnoteRef/>
      </w:r>
      <w:r w:rsidRPr="002F2239">
        <w:rPr>
          <w:sz w:val="16"/>
          <w:szCs w:val="16"/>
        </w:rPr>
        <w:t xml:space="preserve"> </w:t>
      </w:r>
      <w:r w:rsidRPr="002F2239">
        <w:rPr>
          <w:sz w:val="16"/>
          <w:szCs w:val="16"/>
        </w:rPr>
        <w:tab/>
      </w:r>
      <w:r>
        <w:rPr>
          <w:sz w:val="16"/>
          <w:szCs w:val="16"/>
        </w:rPr>
        <w:t xml:space="preserve">En este caso, los representantes de las presuntas víctimas </w:t>
      </w:r>
      <w:r w:rsidR="00474443">
        <w:rPr>
          <w:sz w:val="16"/>
          <w:szCs w:val="16"/>
        </w:rPr>
        <w:t>es</w:t>
      </w:r>
      <w:r>
        <w:rPr>
          <w:sz w:val="16"/>
          <w:szCs w:val="16"/>
        </w:rPr>
        <w:t xml:space="preserve"> </w:t>
      </w:r>
      <w:r w:rsidR="00474443">
        <w:rPr>
          <w:sz w:val="16"/>
          <w:szCs w:val="16"/>
        </w:rPr>
        <w:t>el “Colectivo Pena Sin Culpa”</w:t>
      </w:r>
      <w:r>
        <w:rPr>
          <w:sz w:val="16"/>
          <w:szCs w:val="16"/>
        </w:rPr>
        <w:t xml:space="preserve">.  </w:t>
      </w:r>
    </w:p>
  </w:footnote>
  <w:footnote w:id="3">
    <w:p w14:paraId="2F3C4C89" w14:textId="77777777" w:rsidR="00AA5A8E" w:rsidRPr="00925B16" w:rsidRDefault="00AA5A8E" w:rsidP="001F651F">
      <w:pPr>
        <w:pStyle w:val="Textonotapie"/>
        <w:spacing w:before="120" w:after="120"/>
        <w:rPr>
          <w:i/>
          <w:sz w:val="16"/>
          <w:szCs w:val="16"/>
        </w:rPr>
      </w:pPr>
      <w:r w:rsidRPr="00925B16">
        <w:rPr>
          <w:rStyle w:val="Refdenotaalpie"/>
          <w:sz w:val="16"/>
          <w:szCs w:val="16"/>
        </w:rPr>
        <w:footnoteRef/>
      </w:r>
      <w:r w:rsidRPr="00925B16">
        <w:rPr>
          <w:sz w:val="16"/>
          <w:szCs w:val="16"/>
        </w:rPr>
        <w:t xml:space="preserve"> </w:t>
      </w:r>
      <w:r w:rsidRPr="00925B16">
        <w:rPr>
          <w:sz w:val="16"/>
          <w:szCs w:val="16"/>
        </w:rPr>
        <w:tab/>
      </w:r>
      <w:r w:rsidRPr="00925B16">
        <w:rPr>
          <w:i/>
          <w:sz w:val="16"/>
          <w:szCs w:val="16"/>
        </w:rPr>
        <w:t xml:space="preserve">Cfr. Asunto Diecisiete Personas Privadas de Libertad respecto de Nicaragua. Solicitud de ampliación de medidas provisionales. </w:t>
      </w:r>
      <w:r w:rsidRPr="00925B16">
        <w:rPr>
          <w:sz w:val="16"/>
          <w:szCs w:val="16"/>
        </w:rPr>
        <w:t xml:space="preserve">Resolución de la Corte Interamericana de Derechos Humanos de 14 de octubre de 2019, Considerando 9, y </w:t>
      </w:r>
      <w:r w:rsidR="00925B16" w:rsidRPr="00925B16">
        <w:rPr>
          <w:i/>
          <w:sz w:val="16"/>
          <w:szCs w:val="16"/>
        </w:rPr>
        <w:t>Caso Vicky Hernández y otros Vs. Honduras. Medidas Provisionales</w:t>
      </w:r>
      <w:r w:rsidR="00925B16" w:rsidRPr="00925B16">
        <w:rPr>
          <w:sz w:val="16"/>
          <w:szCs w:val="16"/>
        </w:rPr>
        <w:t>. Resolución de la Corte Interamericana de Derechos Humanos de 12 de noviembre de 2020., Considerando 10</w:t>
      </w:r>
      <w:r w:rsidRPr="00925B16">
        <w:rPr>
          <w:i/>
          <w:sz w:val="16"/>
          <w:szCs w:val="16"/>
        </w:rPr>
        <w:t>.</w:t>
      </w:r>
    </w:p>
  </w:footnote>
  <w:footnote w:id="4">
    <w:p w14:paraId="3750DF6A" w14:textId="77777777" w:rsidR="00AA5A8E" w:rsidRDefault="00AA5A8E" w:rsidP="001F651F">
      <w:pPr>
        <w:tabs>
          <w:tab w:val="left" w:pos="567"/>
        </w:tabs>
        <w:spacing w:before="120"/>
        <w:rPr>
          <w:iCs/>
          <w:sz w:val="16"/>
          <w:szCs w:val="16"/>
          <w:lang w:val="es-ES"/>
        </w:rPr>
      </w:pPr>
      <w:r w:rsidRPr="00925B16">
        <w:rPr>
          <w:rStyle w:val="Refdenotaalpie"/>
          <w:sz w:val="16"/>
          <w:szCs w:val="16"/>
        </w:rPr>
        <w:footnoteRef/>
      </w:r>
      <w:r w:rsidRPr="00925B16">
        <w:rPr>
          <w:sz w:val="16"/>
          <w:szCs w:val="16"/>
        </w:rPr>
        <w:tab/>
      </w:r>
      <w:r w:rsidRPr="00925B16">
        <w:rPr>
          <w:i/>
          <w:iCs/>
          <w:sz w:val="16"/>
          <w:szCs w:val="16"/>
          <w:lang w:val="es-ES"/>
        </w:rPr>
        <w:t xml:space="preserve">Cfr. Asunto Belfort Istúriz y otros respecto de Venezuela. Medidas Provisionales. </w:t>
      </w:r>
      <w:r w:rsidRPr="00925B16">
        <w:rPr>
          <w:iCs/>
          <w:sz w:val="16"/>
          <w:szCs w:val="16"/>
          <w:lang w:val="es-ES"/>
        </w:rPr>
        <w:t xml:space="preserve">Resolución de la Corte </w:t>
      </w:r>
      <w:r w:rsidRPr="00925B16">
        <w:rPr>
          <w:sz w:val="16"/>
          <w:szCs w:val="16"/>
          <w:lang w:val="es-CR"/>
        </w:rPr>
        <w:t xml:space="preserve">Interamericana de Derechos Humanos </w:t>
      </w:r>
      <w:r w:rsidRPr="00925B16">
        <w:rPr>
          <w:iCs/>
          <w:sz w:val="16"/>
          <w:szCs w:val="16"/>
          <w:lang w:val="es-ES"/>
        </w:rPr>
        <w:t>de 15 de abril de 2010, Considerando 5,</w:t>
      </w:r>
      <w:r w:rsidRPr="00925B16">
        <w:rPr>
          <w:sz w:val="16"/>
          <w:szCs w:val="16"/>
        </w:rPr>
        <w:t xml:space="preserve"> y </w:t>
      </w:r>
      <w:r w:rsidR="00925B16" w:rsidRPr="00925B16">
        <w:rPr>
          <w:i/>
          <w:sz w:val="16"/>
          <w:szCs w:val="16"/>
        </w:rPr>
        <w:t>Caso Vicky Hernández y otros Vs. Honduras. Medidas Provisionales</w:t>
      </w:r>
      <w:r w:rsidR="00925B16" w:rsidRPr="00925B16">
        <w:rPr>
          <w:sz w:val="16"/>
          <w:szCs w:val="16"/>
        </w:rPr>
        <w:t>. Resolución de la Corte Interamericana de Derechos Humanos de 12 de noviembre de 2020., Considerando 10</w:t>
      </w:r>
      <w:r w:rsidRPr="00925B16">
        <w:rPr>
          <w:sz w:val="16"/>
          <w:szCs w:val="16"/>
        </w:rPr>
        <w:t>.</w:t>
      </w:r>
    </w:p>
  </w:footnote>
  <w:footnote w:id="5">
    <w:p w14:paraId="43FF8EFF" w14:textId="77777777" w:rsidR="00506C57" w:rsidRPr="00DC6725" w:rsidRDefault="00506C57" w:rsidP="001F651F">
      <w:pPr>
        <w:tabs>
          <w:tab w:val="left" w:pos="567"/>
        </w:tabs>
        <w:spacing w:before="120"/>
        <w:rPr>
          <w:iCs/>
          <w:sz w:val="16"/>
          <w:szCs w:val="16"/>
          <w:lang w:val="es-ES"/>
        </w:rPr>
      </w:pPr>
      <w:r>
        <w:rPr>
          <w:rStyle w:val="Refdenotaalpie"/>
          <w:sz w:val="16"/>
          <w:szCs w:val="16"/>
        </w:rPr>
        <w:footnoteRef/>
      </w:r>
      <w:r>
        <w:rPr>
          <w:sz w:val="16"/>
          <w:szCs w:val="16"/>
        </w:rPr>
        <w:t xml:space="preserve"> </w:t>
      </w:r>
      <w:r>
        <w:rPr>
          <w:sz w:val="16"/>
          <w:szCs w:val="16"/>
          <w:lang w:val="es-ES"/>
        </w:rPr>
        <w:tab/>
      </w:r>
      <w:r>
        <w:rPr>
          <w:i/>
          <w:sz w:val="16"/>
          <w:szCs w:val="16"/>
          <w:lang w:val="es-ES"/>
        </w:rPr>
        <w:t xml:space="preserve">Cfr. </w:t>
      </w:r>
      <w:r>
        <w:rPr>
          <w:i/>
          <w:iCs/>
          <w:sz w:val="16"/>
          <w:lang w:val="es-ES"/>
        </w:rPr>
        <w:t xml:space="preserve">Asunto Pueblo Indígena </w:t>
      </w:r>
      <w:proofErr w:type="spellStart"/>
      <w:r>
        <w:rPr>
          <w:i/>
          <w:iCs/>
          <w:sz w:val="16"/>
          <w:lang w:val="es-ES"/>
        </w:rPr>
        <w:t>Sarayaku</w:t>
      </w:r>
      <w:proofErr w:type="spellEnd"/>
      <w:r>
        <w:rPr>
          <w:i/>
          <w:iCs/>
          <w:sz w:val="16"/>
          <w:lang w:val="es-ES"/>
        </w:rPr>
        <w:t xml:space="preserve"> respecto Ecuador</w:t>
      </w:r>
      <w:r>
        <w:rPr>
          <w:i/>
          <w:iCs/>
          <w:sz w:val="16"/>
          <w:szCs w:val="16"/>
          <w:lang w:val="es-ES"/>
        </w:rPr>
        <w:t xml:space="preserve">. </w:t>
      </w:r>
      <w:r>
        <w:rPr>
          <w:i/>
          <w:iCs/>
          <w:sz w:val="16"/>
          <w:lang w:val="es-ES"/>
        </w:rPr>
        <w:t>Medidas Provisionales</w:t>
      </w:r>
      <w:r>
        <w:rPr>
          <w:sz w:val="16"/>
          <w:szCs w:val="16"/>
          <w:lang w:val="es-ES"/>
        </w:rPr>
        <w:t xml:space="preserve">. Resolución de la Corte Interamericana de Derechos Humanos de 6 de julio de 2004, Considerando 12, y </w:t>
      </w:r>
      <w:r w:rsidRPr="00925B16">
        <w:rPr>
          <w:i/>
          <w:sz w:val="16"/>
          <w:szCs w:val="16"/>
        </w:rPr>
        <w:t>Caso Vicky Hernández y otros Vs. Honduras. Medidas Provisionales</w:t>
      </w:r>
      <w:r w:rsidRPr="00925B16">
        <w:rPr>
          <w:sz w:val="16"/>
          <w:szCs w:val="16"/>
        </w:rPr>
        <w:t>. Resolución de la Corte Interamericana de Derechos Humanos de 12 de noviembre de 2020.</w:t>
      </w:r>
      <w:r>
        <w:rPr>
          <w:sz w:val="16"/>
          <w:szCs w:val="16"/>
        </w:rPr>
        <w:t xml:space="preserve">, Considerando 14. </w:t>
      </w:r>
    </w:p>
  </w:footnote>
  <w:footnote w:id="6">
    <w:p w14:paraId="42D6A66D" w14:textId="77777777" w:rsidR="00062492" w:rsidRPr="00D8766F" w:rsidRDefault="00062492" w:rsidP="001F651F">
      <w:pPr>
        <w:pStyle w:val="Textonotapie"/>
        <w:tabs>
          <w:tab w:val="left" w:pos="567"/>
        </w:tabs>
        <w:spacing w:before="120" w:after="120"/>
        <w:rPr>
          <w:sz w:val="16"/>
          <w:szCs w:val="16"/>
          <w:lang w:val="es-CR"/>
        </w:rPr>
      </w:pPr>
      <w:r w:rsidRPr="00D8766F">
        <w:rPr>
          <w:rStyle w:val="Refdenotaalpie"/>
          <w:szCs w:val="16"/>
        </w:rPr>
        <w:footnoteRef/>
      </w:r>
      <w:r w:rsidRPr="00D8766F">
        <w:rPr>
          <w:sz w:val="16"/>
          <w:szCs w:val="16"/>
          <w:lang w:val="es-CR"/>
        </w:rPr>
        <w:t xml:space="preserve"> </w:t>
      </w:r>
      <w:r w:rsidRPr="00D8766F">
        <w:rPr>
          <w:sz w:val="16"/>
          <w:szCs w:val="16"/>
          <w:lang w:val="es-CR"/>
        </w:rPr>
        <w:tab/>
      </w:r>
      <w:r w:rsidRPr="00D8766F">
        <w:rPr>
          <w:i/>
          <w:sz w:val="16"/>
          <w:szCs w:val="16"/>
          <w:lang w:val="es-CR"/>
        </w:rPr>
        <w:t xml:space="preserve">Cfr. Caso Carpio </w:t>
      </w:r>
      <w:proofErr w:type="spellStart"/>
      <w:r w:rsidRPr="00D8766F">
        <w:rPr>
          <w:i/>
          <w:sz w:val="16"/>
          <w:szCs w:val="16"/>
          <w:lang w:val="es-CR"/>
        </w:rPr>
        <w:t>Nicolle</w:t>
      </w:r>
      <w:proofErr w:type="spellEnd"/>
      <w:r w:rsidRPr="00D8766F">
        <w:rPr>
          <w:i/>
          <w:sz w:val="16"/>
          <w:szCs w:val="16"/>
          <w:lang w:val="es-CR"/>
        </w:rPr>
        <w:t xml:space="preserve"> y </w:t>
      </w:r>
      <w:proofErr w:type="gramStart"/>
      <w:r w:rsidRPr="00D8766F">
        <w:rPr>
          <w:i/>
          <w:sz w:val="16"/>
          <w:szCs w:val="16"/>
          <w:lang w:val="es-CR"/>
        </w:rPr>
        <w:t>otros respecto</w:t>
      </w:r>
      <w:proofErr w:type="gramEnd"/>
      <w:r w:rsidRPr="00D8766F">
        <w:rPr>
          <w:i/>
          <w:sz w:val="16"/>
          <w:szCs w:val="16"/>
          <w:lang w:val="es-CR"/>
        </w:rPr>
        <w:t xml:space="preserve"> Guatemala. Medidas Provisionales.</w:t>
      </w:r>
      <w:r w:rsidRPr="00D8766F">
        <w:rPr>
          <w:sz w:val="16"/>
          <w:szCs w:val="16"/>
          <w:lang w:val="es-CR"/>
        </w:rPr>
        <w:t xml:space="preserve"> Resolución de la Corte Interamericana de Derechos Humanos de 6 de</w:t>
      </w:r>
      <w:r>
        <w:rPr>
          <w:sz w:val="16"/>
          <w:szCs w:val="16"/>
          <w:lang w:val="es-CR"/>
        </w:rPr>
        <w:t xml:space="preserve"> julio de 2009, Considerando 14, y </w:t>
      </w:r>
      <w:r w:rsidRPr="006D1ECB">
        <w:rPr>
          <w:sz w:val="16"/>
          <w:szCs w:val="16"/>
          <w:lang w:val="es-CR"/>
        </w:rPr>
        <w:t>C</w:t>
      </w:r>
      <w:r w:rsidRPr="006D1ECB">
        <w:rPr>
          <w:i/>
          <w:sz w:val="16"/>
          <w:szCs w:val="16"/>
          <w:lang w:val="es-CR"/>
        </w:rPr>
        <w:t xml:space="preserve">aso Cuya </w:t>
      </w:r>
      <w:proofErr w:type="spellStart"/>
      <w:r w:rsidRPr="006D1ECB">
        <w:rPr>
          <w:i/>
          <w:sz w:val="16"/>
          <w:szCs w:val="16"/>
          <w:lang w:val="es-CR"/>
        </w:rPr>
        <w:t>Lavy</w:t>
      </w:r>
      <w:proofErr w:type="spellEnd"/>
      <w:r w:rsidRPr="006D1ECB">
        <w:rPr>
          <w:i/>
          <w:sz w:val="16"/>
          <w:szCs w:val="16"/>
          <w:lang w:val="es-CR"/>
        </w:rPr>
        <w:t xml:space="preserve"> y otros Vs. Perú. Solicitud de Medidas Provisionales</w:t>
      </w:r>
      <w:r w:rsidRPr="006D1ECB">
        <w:rPr>
          <w:sz w:val="16"/>
          <w:szCs w:val="16"/>
          <w:lang w:val="es-CR"/>
        </w:rPr>
        <w:t>. Resolución de la Corte Interamericana de Derechos</w:t>
      </w:r>
      <w:r>
        <w:rPr>
          <w:sz w:val="16"/>
          <w:szCs w:val="16"/>
          <w:lang w:val="es-CR"/>
        </w:rPr>
        <w:t xml:space="preserve"> Humanos de 12 de marzo de 2020, Considerando 4.</w:t>
      </w:r>
    </w:p>
  </w:footnote>
  <w:footnote w:id="7">
    <w:p w14:paraId="3FBB79D7" w14:textId="77777777" w:rsidR="00062492" w:rsidRPr="00D8766F" w:rsidRDefault="00062492" w:rsidP="001F651F">
      <w:pPr>
        <w:tabs>
          <w:tab w:val="left" w:pos="567"/>
        </w:tabs>
        <w:spacing w:before="120"/>
        <w:rPr>
          <w:iCs/>
          <w:sz w:val="16"/>
          <w:szCs w:val="16"/>
          <w:lang w:val="es-ES"/>
        </w:rPr>
      </w:pPr>
      <w:r w:rsidRPr="00D8766F">
        <w:rPr>
          <w:rStyle w:val="Refdenotaalpie"/>
          <w:szCs w:val="16"/>
        </w:rPr>
        <w:footnoteRef/>
      </w:r>
      <w:r w:rsidRPr="00D8766F">
        <w:rPr>
          <w:sz w:val="16"/>
          <w:szCs w:val="16"/>
        </w:rPr>
        <w:tab/>
      </w:r>
      <w:r w:rsidRPr="00D8766F">
        <w:rPr>
          <w:i/>
          <w:iCs/>
          <w:sz w:val="16"/>
          <w:szCs w:val="16"/>
          <w:lang w:val="es-ES"/>
        </w:rPr>
        <w:t xml:space="preserve">Cfr. Asunto Belfort Istúriz y </w:t>
      </w:r>
      <w:proofErr w:type="gramStart"/>
      <w:r w:rsidRPr="00D8766F">
        <w:rPr>
          <w:i/>
          <w:iCs/>
          <w:sz w:val="16"/>
          <w:szCs w:val="16"/>
          <w:lang w:val="es-ES"/>
        </w:rPr>
        <w:t>otros respecto</w:t>
      </w:r>
      <w:proofErr w:type="gramEnd"/>
      <w:r w:rsidRPr="00D8766F">
        <w:rPr>
          <w:i/>
          <w:iCs/>
          <w:sz w:val="16"/>
          <w:szCs w:val="16"/>
          <w:lang w:val="es-ES"/>
        </w:rPr>
        <w:t xml:space="preserve"> Venezuela. Medidas Provisionales. </w:t>
      </w:r>
      <w:r w:rsidRPr="00D8766F">
        <w:rPr>
          <w:iCs/>
          <w:sz w:val="16"/>
          <w:szCs w:val="16"/>
          <w:lang w:val="es-ES"/>
        </w:rPr>
        <w:t xml:space="preserve">Resolución de la Corte </w:t>
      </w:r>
      <w:r w:rsidRPr="00D8766F">
        <w:rPr>
          <w:sz w:val="16"/>
          <w:szCs w:val="16"/>
          <w:lang w:val="es-CR"/>
        </w:rPr>
        <w:t xml:space="preserve">Interamericana de Derechos Humanos </w:t>
      </w:r>
      <w:r w:rsidRPr="00D8766F">
        <w:rPr>
          <w:iCs/>
          <w:sz w:val="16"/>
          <w:szCs w:val="16"/>
          <w:lang w:val="es-ES"/>
        </w:rPr>
        <w:t>de 15 de abril de 2010, Considerando 5,</w:t>
      </w:r>
      <w:r w:rsidRPr="00D8766F">
        <w:rPr>
          <w:sz w:val="16"/>
          <w:szCs w:val="16"/>
        </w:rPr>
        <w:t xml:space="preserve"> y </w:t>
      </w:r>
      <w:r w:rsidRPr="00D8766F">
        <w:rPr>
          <w:i/>
          <w:sz w:val="16"/>
          <w:szCs w:val="16"/>
        </w:rPr>
        <w:t xml:space="preserve">Caso Urrutia </w:t>
      </w:r>
      <w:proofErr w:type="spellStart"/>
      <w:r w:rsidRPr="00D8766F">
        <w:rPr>
          <w:i/>
          <w:sz w:val="16"/>
          <w:szCs w:val="16"/>
        </w:rPr>
        <w:t>Laubreaux</w:t>
      </w:r>
      <w:proofErr w:type="spellEnd"/>
      <w:r w:rsidRPr="00D8766F">
        <w:rPr>
          <w:i/>
          <w:sz w:val="16"/>
          <w:szCs w:val="16"/>
        </w:rPr>
        <w:t xml:space="preserve"> Vs. Chile. Solicitud de Medidas Provisionales</w:t>
      </w:r>
      <w:r w:rsidRPr="00D8766F">
        <w:rPr>
          <w:sz w:val="16"/>
          <w:szCs w:val="16"/>
        </w:rPr>
        <w:t>. Resolución de la Corte Interamericana de Derechos Humanos de 12 de marzo de 2020, Considerando 3.</w:t>
      </w:r>
    </w:p>
  </w:footnote>
  <w:footnote w:id="8">
    <w:p w14:paraId="163E0992" w14:textId="77777777" w:rsidR="00062492" w:rsidRPr="00D8766F" w:rsidRDefault="00062492" w:rsidP="001F651F">
      <w:pPr>
        <w:tabs>
          <w:tab w:val="left" w:pos="567"/>
        </w:tabs>
        <w:spacing w:before="120"/>
        <w:rPr>
          <w:sz w:val="16"/>
          <w:szCs w:val="16"/>
        </w:rPr>
      </w:pPr>
      <w:r w:rsidRPr="00D8766F">
        <w:rPr>
          <w:rStyle w:val="Refdenotaalpie"/>
          <w:szCs w:val="16"/>
        </w:rPr>
        <w:footnoteRef/>
      </w:r>
      <w:r w:rsidRPr="00D8766F">
        <w:rPr>
          <w:sz w:val="16"/>
          <w:szCs w:val="16"/>
        </w:rPr>
        <w:t xml:space="preserve"> </w:t>
      </w:r>
      <w:r w:rsidRPr="00D8766F">
        <w:rPr>
          <w:sz w:val="16"/>
          <w:szCs w:val="16"/>
        </w:rPr>
        <w:tab/>
      </w:r>
      <w:r w:rsidRPr="00D8766F">
        <w:rPr>
          <w:i/>
          <w:sz w:val="16"/>
          <w:szCs w:val="16"/>
        </w:rPr>
        <w:t>Cfr. Asuntos Internado Judicial de Monagas (“La Pica”) respecto de Venezuela. Medidas Provisionales</w:t>
      </w:r>
      <w:r w:rsidRPr="00D8766F">
        <w:rPr>
          <w:sz w:val="16"/>
          <w:szCs w:val="16"/>
        </w:rPr>
        <w:t xml:space="preserve">. Resolución de la Corte Interamericana de Derechos Humanos de 24 de noviembre de 2009, Considerando 3, y </w:t>
      </w:r>
      <w:r w:rsidRPr="00D8766F">
        <w:rPr>
          <w:i/>
          <w:sz w:val="16"/>
          <w:szCs w:val="16"/>
        </w:rPr>
        <w:t>C</w:t>
      </w:r>
      <w:r>
        <w:rPr>
          <w:i/>
          <w:sz w:val="16"/>
          <w:szCs w:val="16"/>
        </w:rPr>
        <w:t xml:space="preserve">aso Cuya </w:t>
      </w:r>
      <w:proofErr w:type="spellStart"/>
      <w:r>
        <w:rPr>
          <w:i/>
          <w:sz w:val="16"/>
          <w:szCs w:val="16"/>
        </w:rPr>
        <w:t>Lavy</w:t>
      </w:r>
      <w:proofErr w:type="spellEnd"/>
      <w:r>
        <w:rPr>
          <w:i/>
          <w:sz w:val="16"/>
          <w:szCs w:val="16"/>
        </w:rPr>
        <w:t xml:space="preserve"> y otros Vs. Perú, supra </w:t>
      </w:r>
      <w:r>
        <w:rPr>
          <w:sz w:val="16"/>
          <w:szCs w:val="16"/>
        </w:rPr>
        <w:t>nota 7</w:t>
      </w:r>
      <w:r w:rsidRPr="00D8766F">
        <w:rPr>
          <w:sz w:val="16"/>
          <w:szCs w:val="16"/>
        </w:rPr>
        <w:t>, Considerando 5.</w:t>
      </w:r>
    </w:p>
  </w:footnote>
  <w:footnote w:id="9">
    <w:p w14:paraId="0233A8F9" w14:textId="77777777" w:rsidR="001D6C72" w:rsidRPr="00600CE2" w:rsidRDefault="001D6C72" w:rsidP="001F651F">
      <w:pPr>
        <w:pStyle w:val="Textonotapie"/>
        <w:spacing w:before="120" w:after="120"/>
        <w:rPr>
          <w:sz w:val="16"/>
          <w:szCs w:val="16"/>
          <w:lang w:val="es-ES"/>
        </w:rPr>
      </w:pPr>
      <w:r w:rsidRPr="00C9740A">
        <w:rPr>
          <w:rStyle w:val="Refdenotaalpie"/>
          <w:szCs w:val="16"/>
        </w:rPr>
        <w:footnoteRef/>
      </w:r>
      <w:r w:rsidRPr="0075550E">
        <w:rPr>
          <w:szCs w:val="16"/>
          <w:lang w:val="es-CR"/>
        </w:rPr>
        <w:t xml:space="preserve"> </w:t>
      </w:r>
      <w:r w:rsidRPr="0075550E">
        <w:rPr>
          <w:szCs w:val="16"/>
          <w:lang w:val="es-CR"/>
        </w:rPr>
        <w:tab/>
      </w:r>
      <w:r w:rsidRPr="00600CE2">
        <w:rPr>
          <w:i/>
          <w:sz w:val="16"/>
          <w:szCs w:val="16"/>
          <w:lang w:val="es-CR"/>
        </w:rPr>
        <w:t>Cfr. Caso del Periódico “La Nación”.</w:t>
      </w:r>
      <w:r w:rsidRPr="00600CE2">
        <w:rPr>
          <w:sz w:val="16"/>
          <w:szCs w:val="16"/>
          <w:lang w:val="es-CR"/>
        </w:rPr>
        <w:t xml:space="preserve"> Medidas Provisionales respecto de Costa Rica. Resolución de la Corte de 7 de septiembre de 2001, considerando 4; </w:t>
      </w:r>
      <w:r w:rsidRPr="00600CE2">
        <w:rPr>
          <w:i/>
          <w:sz w:val="16"/>
          <w:szCs w:val="16"/>
          <w:lang w:val="es-CR"/>
        </w:rPr>
        <w:t>Caso López Álvarez y otros.</w:t>
      </w:r>
      <w:r w:rsidRPr="00600CE2">
        <w:rPr>
          <w:sz w:val="16"/>
          <w:szCs w:val="16"/>
          <w:lang w:val="es-CR"/>
        </w:rPr>
        <w:t xml:space="preserve"> Medidas Provisionales respecto de Honduras. Resolución de la Corte de 26 de enero de 2009, considerando 3; </w:t>
      </w:r>
      <w:r w:rsidRPr="00600CE2">
        <w:rPr>
          <w:i/>
          <w:sz w:val="16"/>
          <w:szCs w:val="16"/>
          <w:lang w:val="es-CR"/>
        </w:rPr>
        <w:t>Asunto Fernández Ortega y otros.</w:t>
      </w:r>
      <w:r w:rsidRPr="00600CE2">
        <w:rPr>
          <w:sz w:val="16"/>
          <w:szCs w:val="16"/>
          <w:lang w:val="es-CR"/>
        </w:rPr>
        <w:t xml:space="preserve"> Medidas Provisionales respecto de México. Resolución de la Corte de 30 de abril de 2009, considerando 5, y </w:t>
      </w:r>
      <w:r w:rsidRPr="00600CE2">
        <w:rPr>
          <w:i/>
          <w:sz w:val="16"/>
          <w:szCs w:val="16"/>
          <w:lang w:val="es-CR"/>
        </w:rPr>
        <w:t xml:space="preserve">Caso Carpio </w:t>
      </w:r>
      <w:proofErr w:type="spellStart"/>
      <w:r w:rsidRPr="00600CE2">
        <w:rPr>
          <w:i/>
          <w:sz w:val="16"/>
          <w:szCs w:val="16"/>
          <w:lang w:val="es-CR"/>
        </w:rPr>
        <w:t>Nicolle</w:t>
      </w:r>
      <w:proofErr w:type="spellEnd"/>
      <w:r w:rsidRPr="00600CE2">
        <w:rPr>
          <w:i/>
          <w:sz w:val="16"/>
          <w:szCs w:val="16"/>
          <w:lang w:val="es-CR"/>
        </w:rPr>
        <w:t xml:space="preserve"> y otros respecto de Guatemala</w:t>
      </w:r>
      <w:r w:rsidRPr="00600CE2">
        <w:rPr>
          <w:sz w:val="16"/>
          <w:szCs w:val="16"/>
          <w:lang w:val="es-CR"/>
        </w:rPr>
        <w:t xml:space="preserve">. Medidas Provisionales, </w:t>
      </w:r>
      <w:r w:rsidRPr="00600CE2">
        <w:rPr>
          <w:i/>
          <w:sz w:val="16"/>
          <w:szCs w:val="16"/>
          <w:lang w:val="es-CR"/>
        </w:rPr>
        <w:t>supra</w:t>
      </w:r>
      <w:r w:rsidRPr="00600CE2">
        <w:rPr>
          <w:sz w:val="16"/>
          <w:szCs w:val="16"/>
          <w:lang w:val="es-CR"/>
        </w:rPr>
        <w:t>, considerando 16.</w:t>
      </w:r>
    </w:p>
  </w:footnote>
  <w:footnote w:id="10">
    <w:p w14:paraId="1F864111" w14:textId="77777777" w:rsidR="00613CE0" w:rsidRPr="00613CE0" w:rsidRDefault="00613CE0" w:rsidP="001F651F">
      <w:pPr>
        <w:pStyle w:val="Textonotapie"/>
        <w:spacing w:before="120" w:after="120"/>
        <w:rPr>
          <w:sz w:val="16"/>
          <w:szCs w:val="16"/>
          <w:lang w:val="es-ES"/>
        </w:rPr>
      </w:pPr>
      <w:r w:rsidRPr="00613CE0">
        <w:rPr>
          <w:rStyle w:val="Refdenotaalpie"/>
          <w:sz w:val="16"/>
          <w:szCs w:val="16"/>
        </w:rPr>
        <w:footnoteRef/>
      </w:r>
      <w:r w:rsidRPr="00613CE0">
        <w:rPr>
          <w:sz w:val="16"/>
          <w:szCs w:val="16"/>
        </w:rPr>
        <w:t xml:space="preserve"> </w:t>
      </w:r>
      <w:r w:rsidRPr="00613CE0">
        <w:rPr>
          <w:sz w:val="16"/>
          <w:szCs w:val="16"/>
        </w:rPr>
        <w:tab/>
      </w:r>
      <w:r w:rsidRPr="00613CE0">
        <w:rPr>
          <w:i/>
          <w:sz w:val="16"/>
          <w:szCs w:val="16"/>
          <w:lang w:val="es-CR"/>
        </w:rPr>
        <w:t>Cfr.</w:t>
      </w:r>
      <w:r w:rsidRPr="00613CE0">
        <w:rPr>
          <w:rFonts w:cs="Arial"/>
          <w:sz w:val="16"/>
          <w:szCs w:val="16"/>
        </w:rPr>
        <w:t xml:space="preserve"> </w:t>
      </w:r>
      <w:r w:rsidRPr="00613CE0">
        <w:rPr>
          <w:rFonts w:cs="Arial"/>
          <w:i/>
          <w:sz w:val="16"/>
          <w:szCs w:val="16"/>
        </w:rPr>
        <w:t>Caso Herrera Ulloa respecto de Costa Rica. Medidas Provisionales.</w:t>
      </w:r>
      <w:r w:rsidRPr="00613CE0">
        <w:rPr>
          <w:rFonts w:cs="Arial"/>
          <w:sz w:val="16"/>
          <w:szCs w:val="16"/>
        </w:rPr>
        <w:t xml:space="preserve"> Resolución de la Corte de 7 de septiembre de 2001, Considerando 4, y</w:t>
      </w:r>
      <w:r w:rsidRPr="00613CE0">
        <w:rPr>
          <w:rFonts w:cs="Arial"/>
          <w:i/>
          <w:sz w:val="16"/>
          <w:szCs w:val="16"/>
        </w:rPr>
        <w:t xml:space="preserve"> </w:t>
      </w:r>
      <w:r w:rsidRPr="00613CE0">
        <w:rPr>
          <w:i/>
          <w:sz w:val="16"/>
          <w:szCs w:val="16"/>
        </w:rPr>
        <w:t>Caso Fernández Ortega y otros Vs. México. Medidas Provisionales, supra</w:t>
      </w:r>
      <w:r w:rsidRPr="00613CE0">
        <w:rPr>
          <w:sz w:val="16"/>
          <w:szCs w:val="16"/>
        </w:rPr>
        <w:t xml:space="preserve">, </w:t>
      </w:r>
      <w:r w:rsidRPr="00613CE0">
        <w:rPr>
          <w:sz w:val="16"/>
          <w:szCs w:val="16"/>
          <w:lang w:val="es-CR"/>
        </w:rPr>
        <w:t>considerando 2.</w:t>
      </w:r>
    </w:p>
  </w:footnote>
  <w:footnote w:id="11">
    <w:p w14:paraId="1F95622A" w14:textId="77777777" w:rsidR="001D6C72" w:rsidRPr="00600CE2" w:rsidRDefault="001D6C72" w:rsidP="001F651F">
      <w:pPr>
        <w:pStyle w:val="Textonotapie"/>
        <w:spacing w:before="120" w:after="120"/>
        <w:rPr>
          <w:sz w:val="16"/>
          <w:szCs w:val="16"/>
          <w:lang w:val="es-ES"/>
        </w:rPr>
      </w:pPr>
      <w:r w:rsidRPr="00613CE0">
        <w:rPr>
          <w:rStyle w:val="Refdenotaalpie"/>
          <w:sz w:val="16"/>
          <w:szCs w:val="16"/>
        </w:rPr>
        <w:footnoteRef/>
      </w:r>
      <w:r w:rsidRPr="00613CE0">
        <w:rPr>
          <w:sz w:val="16"/>
          <w:szCs w:val="16"/>
          <w:lang w:val="es-CR"/>
        </w:rPr>
        <w:t xml:space="preserve"> </w:t>
      </w:r>
      <w:r w:rsidRPr="00613CE0">
        <w:rPr>
          <w:sz w:val="16"/>
          <w:szCs w:val="16"/>
          <w:lang w:val="es-CR"/>
        </w:rPr>
        <w:tab/>
      </w:r>
      <w:r w:rsidRPr="00613CE0">
        <w:rPr>
          <w:i/>
          <w:sz w:val="16"/>
          <w:szCs w:val="16"/>
          <w:lang w:val="es-CR"/>
        </w:rPr>
        <w:t>Cfr. Asunto del Internado Judicial Capital El Rodeo I y El Rodeo II.</w:t>
      </w:r>
      <w:r w:rsidRPr="00613CE0">
        <w:rPr>
          <w:sz w:val="16"/>
          <w:szCs w:val="16"/>
          <w:lang w:val="es-CR"/>
        </w:rPr>
        <w:t xml:space="preserve"> Medidas Provisionales</w:t>
      </w:r>
      <w:r w:rsidRPr="00600CE2">
        <w:rPr>
          <w:sz w:val="16"/>
          <w:szCs w:val="16"/>
          <w:lang w:val="es-CR"/>
        </w:rPr>
        <w:t xml:space="preserve"> respecto de Venezuela. Resolución de la Corte de 8 de febrero de 2008, considerando 7; </w:t>
      </w:r>
      <w:r w:rsidRPr="00600CE2">
        <w:rPr>
          <w:i/>
          <w:sz w:val="16"/>
          <w:szCs w:val="16"/>
          <w:lang w:val="es-CR"/>
        </w:rPr>
        <w:t>Asunto Diarios "El Nacional" y "Así es la Noticia"</w:t>
      </w:r>
      <w:r w:rsidRPr="00600CE2">
        <w:rPr>
          <w:sz w:val="16"/>
          <w:szCs w:val="16"/>
          <w:lang w:val="es-CR"/>
        </w:rPr>
        <w:t xml:space="preserve">. Medidas Provisionales respecto de Venezuela. Resolución de la Corte de 25 de noviembre de 2008, considerando 23; </w:t>
      </w:r>
      <w:r w:rsidRPr="00600CE2">
        <w:rPr>
          <w:i/>
          <w:sz w:val="16"/>
          <w:szCs w:val="16"/>
          <w:lang w:val="es-CR"/>
        </w:rPr>
        <w:t>Asunto Luis Uzcátegui.</w:t>
      </w:r>
      <w:r w:rsidRPr="00600CE2">
        <w:rPr>
          <w:sz w:val="16"/>
          <w:szCs w:val="16"/>
          <w:lang w:val="es-CR"/>
        </w:rPr>
        <w:t xml:space="preserve"> Medidas Provisionales respecto de Venezuela. Resolución de la Corte de 27 de enero de 2009, considerando 19, y </w:t>
      </w:r>
      <w:r w:rsidRPr="00600CE2">
        <w:rPr>
          <w:i/>
          <w:sz w:val="16"/>
          <w:szCs w:val="16"/>
          <w:lang w:val="es-CR"/>
        </w:rPr>
        <w:t xml:space="preserve">Caso Carpio </w:t>
      </w:r>
      <w:proofErr w:type="spellStart"/>
      <w:r w:rsidRPr="00600CE2">
        <w:rPr>
          <w:i/>
          <w:sz w:val="16"/>
          <w:szCs w:val="16"/>
          <w:lang w:val="es-CR"/>
        </w:rPr>
        <w:t>Nicolle</w:t>
      </w:r>
      <w:proofErr w:type="spellEnd"/>
      <w:r w:rsidRPr="00600CE2">
        <w:rPr>
          <w:i/>
          <w:sz w:val="16"/>
          <w:szCs w:val="16"/>
          <w:lang w:val="es-CR"/>
        </w:rPr>
        <w:t xml:space="preserve"> y otros respecto de Guatemala</w:t>
      </w:r>
      <w:r w:rsidRPr="00600CE2">
        <w:rPr>
          <w:sz w:val="16"/>
          <w:szCs w:val="16"/>
          <w:lang w:val="es-CR"/>
        </w:rPr>
        <w:t xml:space="preserve">. Medidas Provisionales, </w:t>
      </w:r>
      <w:r w:rsidRPr="00600CE2">
        <w:rPr>
          <w:i/>
          <w:sz w:val="16"/>
          <w:szCs w:val="16"/>
          <w:lang w:val="es-CR"/>
        </w:rPr>
        <w:t>supra</w:t>
      </w:r>
      <w:r w:rsidRPr="00600CE2">
        <w:rPr>
          <w:sz w:val="16"/>
          <w:szCs w:val="16"/>
          <w:lang w:val="es-CR"/>
        </w:rPr>
        <w:t>, considerando 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EA654" w14:textId="16546273" w:rsidR="002A0BC0" w:rsidRDefault="00000000">
    <w:pPr>
      <w:pStyle w:val="Encabezado"/>
    </w:pPr>
    <w:r>
      <w:rPr>
        <w:noProof/>
      </w:rPr>
      <w:pict w14:anchorId="3E519FA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148006" o:spid="_x0000_s1025" type="#_x0000_t136" alt="" style="position:absolute;left:0;text-align:left;margin-left:0;margin-top:0;width:534.05pt;height:89pt;rotation:315;z-index:-251658752;mso-wrap-edited:f;mso-width-percent:0;mso-height-percent:0;mso-position-horizontal:center;mso-position-horizontal-relative:margin;mso-position-vertical:center;mso-position-vertical-relative:margin;mso-width-percent:0;mso-height-percent:0" o:allowincell="f" fillcolor="black [3213]" stroked="f">
          <v:fill opacity=".25"/>
          <v:textpath style="font-family:&quot;Verdana&quot;;font-size:1pt;font-weight:bold" string="BORRADOR"/>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F15D4"/>
    <w:multiLevelType w:val="hybridMultilevel"/>
    <w:tmpl w:val="E498469E"/>
    <w:lvl w:ilvl="0" w:tplc="FFFFFFFF">
      <w:start w:val="1"/>
      <w:numFmt w:val="decimal"/>
      <w:lvlText w:val="%1."/>
      <w:lvlJc w:val="left"/>
      <w:pPr>
        <w:ind w:left="1080" w:hanging="72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0A5E663D"/>
    <w:multiLevelType w:val="hybridMultilevel"/>
    <w:tmpl w:val="DB365206"/>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144E31A1"/>
    <w:multiLevelType w:val="hybridMultilevel"/>
    <w:tmpl w:val="F176D19A"/>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1A334249"/>
    <w:multiLevelType w:val="hybridMultilevel"/>
    <w:tmpl w:val="D3FAD1F6"/>
    <w:lvl w:ilvl="0" w:tplc="140A000F">
      <w:start w:val="1"/>
      <w:numFmt w:val="decimal"/>
      <w:lvlText w:val="%1."/>
      <w:lvlJc w:val="left"/>
      <w:pPr>
        <w:ind w:left="720" w:hanging="360"/>
      </w:pPr>
      <w:rPr>
        <w:sz w:val="20"/>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4" w15:restartNumberingAfterBreak="0">
    <w:nsid w:val="29A26D13"/>
    <w:multiLevelType w:val="hybridMultilevel"/>
    <w:tmpl w:val="0A8CEC78"/>
    <w:lvl w:ilvl="0" w:tplc="76BC72AC">
      <w:start w:val="1"/>
      <w:numFmt w:val="decimal"/>
      <w:lvlText w:val="%1."/>
      <w:lvlJc w:val="left"/>
      <w:pPr>
        <w:ind w:left="720" w:hanging="360"/>
      </w:pPr>
      <w:rPr>
        <w:rFonts w:ascii="Verdana" w:hAnsi="Verdana" w:hint="default"/>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2C4D4584"/>
    <w:multiLevelType w:val="hybridMultilevel"/>
    <w:tmpl w:val="48D6A5B8"/>
    <w:lvl w:ilvl="0" w:tplc="3938730A">
      <w:start w:val="1"/>
      <w:numFmt w:val="decimal"/>
      <w:lvlText w:val="%1."/>
      <w:lvlJc w:val="left"/>
      <w:pPr>
        <w:ind w:left="360" w:hanging="360"/>
      </w:pPr>
      <w:rPr>
        <w:rFonts w:ascii="Verdana" w:hAnsi="Verdana" w:hint="default"/>
        <w:b w:val="0"/>
        <w:i w:val="0"/>
        <w:sz w:val="2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2E2F7B24"/>
    <w:multiLevelType w:val="hybridMultilevel"/>
    <w:tmpl w:val="E498469E"/>
    <w:lvl w:ilvl="0" w:tplc="FFFFFFFF">
      <w:start w:val="1"/>
      <w:numFmt w:val="decimal"/>
      <w:lvlText w:val="%1."/>
      <w:lvlJc w:val="left"/>
      <w:pPr>
        <w:ind w:left="1080" w:hanging="72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31EE3AD4"/>
    <w:multiLevelType w:val="hybridMultilevel"/>
    <w:tmpl w:val="2738F18E"/>
    <w:lvl w:ilvl="0" w:tplc="7FE2A1BC">
      <w:start w:val="2"/>
      <w:numFmt w:val="lowerLetter"/>
      <w:lvlText w:val="%1."/>
      <w:lvlJc w:val="left"/>
      <w:pPr>
        <w:ind w:left="1800" w:hanging="360"/>
      </w:pPr>
      <w:rPr>
        <w:rFonts w:hint="default"/>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8" w15:restartNumberingAfterBreak="0">
    <w:nsid w:val="3F165EE4"/>
    <w:multiLevelType w:val="hybridMultilevel"/>
    <w:tmpl w:val="E498469E"/>
    <w:lvl w:ilvl="0" w:tplc="FFFFFFFF">
      <w:start w:val="1"/>
      <w:numFmt w:val="decimal"/>
      <w:lvlText w:val="%1."/>
      <w:lvlJc w:val="left"/>
      <w:pPr>
        <w:ind w:left="1080" w:hanging="72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448E317C"/>
    <w:multiLevelType w:val="hybridMultilevel"/>
    <w:tmpl w:val="E498469E"/>
    <w:lvl w:ilvl="0" w:tplc="C0CCC39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47EE4C21"/>
    <w:multiLevelType w:val="hybridMultilevel"/>
    <w:tmpl w:val="9A985A80"/>
    <w:lvl w:ilvl="0" w:tplc="72244F1C">
      <w:start w:val="1"/>
      <w:numFmt w:val="decimal"/>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A9D216B"/>
    <w:multiLevelType w:val="hybridMultilevel"/>
    <w:tmpl w:val="A3CE8A44"/>
    <w:lvl w:ilvl="0" w:tplc="27AEC38E">
      <w:start w:val="2"/>
      <w:numFmt w:val="lowerLetter"/>
      <w:lvlText w:val="%1)"/>
      <w:lvlJc w:val="left"/>
      <w:pPr>
        <w:ind w:left="1800" w:hanging="360"/>
      </w:pPr>
      <w:rPr>
        <w:rFonts w:hint="default"/>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12" w15:restartNumberingAfterBreak="0">
    <w:nsid w:val="4CF76BB1"/>
    <w:multiLevelType w:val="hybridMultilevel"/>
    <w:tmpl w:val="724686AE"/>
    <w:lvl w:ilvl="0" w:tplc="23BE8810">
      <w:start w:val="1"/>
      <w:numFmt w:val="decimal"/>
      <w:lvlText w:val="%1."/>
      <w:lvlJc w:val="left"/>
      <w:pPr>
        <w:ind w:left="398" w:hanging="567"/>
      </w:pPr>
      <w:rPr>
        <w:rFonts w:ascii="Verdana" w:eastAsia="Verdana" w:hAnsi="Verdana" w:cs="Verdana" w:hint="default"/>
        <w:w w:val="99"/>
        <w:sz w:val="20"/>
        <w:szCs w:val="20"/>
      </w:rPr>
    </w:lvl>
    <w:lvl w:ilvl="1" w:tplc="3C9C7EAE">
      <w:numFmt w:val="bullet"/>
      <w:lvlText w:val="•"/>
      <w:lvlJc w:val="left"/>
      <w:pPr>
        <w:ind w:left="1352" w:hanging="567"/>
      </w:pPr>
      <w:rPr>
        <w:rFonts w:hint="default"/>
      </w:rPr>
    </w:lvl>
    <w:lvl w:ilvl="2" w:tplc="4D9CB2C4">
      <w:numFmt w:val="bullet"/>
      <w:lvlText w:val="•"/>
      <w:lvlJc w:val="left"/>
      <w:pPr>
        <w:ind w:left="2304" w:hanging="567"/>
      </w:pPr>
      <w:rPr>
        <w:rFonts w:hint="default"/>
      </w:rPr>
    </w:lvl>
    <w:lvl w:ilvl="3" w:tplc="8196BE98">
      <w:numFmt w:val="bullet"/>
      <w:lvlText w:val="•"/>
      <w:lvlJc w:val="left"/>
      <w:pPr>
        <w:ind w:left="3256" w:hanging="567"/>
      </w:pPr>
      <w:rPr>
        <w:rFonts w:hint="default"/>
      </w:rPr>
    </w:lvl>
    <w:lvl w:ilvl="4" w:tplc="533444A0">
      <w:numFmt w:val="bullet"/>
      <w:lvlText w:val="•"/>
      <w:lvlJc w:val="left"/>
      <w:pPr>
        <w:ind w:left="4208" w:hanging="567"/>
      </w:pPr>
      <w:rPr>
        <w:rFonts w:hint="default"/>
      </w:rPr>
    </w:lvl>
    <w:lvl w:ilvl="5" w:tplc="FA9822B2">
      <w:numFmt w:val="bullet"/>
      <w:lvlText w:val="•"/>
      <w:lvlJc w:val="left"/>
      <w:pPr>
        <w:ind w:left="5160" w:hanging="567"/>
      </w:pPr>
      <w:rPr>
        <w:rFonts w:hint="default"/>
      </w:rPr>
    </w:lvl>
    <w:lvl w:ilvl="6" w:tplc="69D81B8A">
      <w:numFmt w:val="bullet"/>
      <w:lvlText w:val="•"/>
      <w:lvlJc w:val="left"/>
      <w:pPr>
        <w:ind w:left="6112" w:hanging="567"/>
      </w:pPr>
      <w:rPr>
        <w:rFonts w:hint="default"/>
      </w:rPr>
    </w:lvl>
    <w:lvl w:ilvl="7" w:tplc="D324B83A">
      <w:numFmt w:val="bullet"/>
      <w:lvlText w:val="•"/>
      <w:lvlJc w:val="left"/>
      <w:pPr>
        <w:ind w:left="7064" w:hanging="567"/>
      </w:pPr>
      <w:rPr>
        <w:rFonts w:hint="default"/>
      </w:rPr>
    </w:lvl>
    <w:lvl w:ilvl="8" w:tplc="F81E601A">
      <w:numFmt w:val="bullet"/>
      <w:lvlText w:val="•"/>
      <w:lvlJc w:val="left"/>
      <w:pPr>
        <w:ind w:left="8016" w:hanging="567"/>
      </w:pPr>
      <w:rPr>
        <w:rFonts w:hint="default"/>
      </w:rPr>
    </w:lvl>
  </w:abstractNum>
  <w:abstractNum w:abstractNumId="13" w15:restartNumberingAfterBreak="0">
    <w:nsid w:val="4E3E5F22"/>
    <w:multiLevelType w:val="hybridMultilevel"/>
    <w:tmpl w:val="0B3EAD8C"/>
    <w:lvl w:ilvl="0" w:tplc="4CACB2C0">
      <w:start w:val="1"/>
      <w:numFmt w:val="lowerLetter"/>
      <w:lvlText w:val="%1)"/>
      <w:lvlJc w:val="left"/>
      <w:pPr>
        <w:ind w:left="1800" w:hanging="360"/>
      </w:pPr>
      <w:rPr>
        <w:rFonts w:hint="default"/>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14" w15:restartNumberingAfterBreak="0">
    <w:nsid w:val="6A4C255E"/>
    <w:multiLevelType w:val="hybridMultilevel"/>
    <w:tmpl w:val="A3CE8A44"/>
    <w:lvl w:ilvl="0" w:tplc="27AEC38E">
      <w:start w:val="2"/>
      <w:numFmt w:val="lowerLetter"/>
      <w:lvlText w:val="%1)"/>
      <w:lvlJc w:val="left"/>
      <w:pPr>
        <w:ind w:left="1800" w:hanging="360"/>
      </w:pPr>
      <w:rPr>
        <w:rFonts w:hint="default"/>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15" w15:restartNumberingAfterBreak="0">
    <w:nsid w:val="6F0676AE"/>
    <w:multiLevelType w:val="hybridMultilevel"/>
    <w:tmpl w:val="1BB42320"/>
    <w:lvl w:ilvl="0" w:tplc="86005408">
      <w:start w:val="1"/>
      <w:numFmt w:val="lowerLetter"/>
      <w:lvlText w:val="%1)"/>
      <w:lvlJc w:val="left"/>
      <w:pPr>
        <w:ind w:left="2160" w:hanging="360"/>
      </w:pPr>
      <w:rPr>
        <w:rFonts w:hint="default"/>
      </w:rPr>
    </w:lvl>
    <w:lvl w:ilvl="1" w:tplc="080A0019" w:tentative="1">
      <w:start w:val="1"/>
      <w:numFmt w:val="lowerLetter"/>
      <w:lvlText w:val="%2."/>
      <w:lvlJc w:val="left"/>
      <w:pPr>
        <w:ind w:left="2880" w:hanging="360"/>
      </w:pPr>
    </w:lvl>
    <w:lvl w:ilvl="2" w:tplc="080A001B" w:tentative="1">
      <w:start w:val="1"/>
      <w:numFmt w:val="lowerRoman"/>
      <w:lvlText w:val="%3."/>
      <w:lvlJc w:val="right"/>
      <w:pPr>
        <w:ind w:left="3600" w:hanging="180"/>
      </w:pPr>
    </w:lvl>
    <w:lvl w:ilvl="3" w:tplc="080A000F" w:tentative="1">
      <w:start w:val="1"/>
      <w:numFmt w:val="decimal"/>
      <w:lvlText w:val="%4."/>
      <w:lvlJc w:val="left"/>
      <w:pPr>
        <w:ind w:left="4320" w:hanging="360"/>
      </w:pPr>
    </w:lvl>
    <w:lvl w:ilvl="4" w:tplc="080A0019" w:tentative="1">
      <w:start w:val="1"/>
      <w:numFmt w:val="lowerLetter"/>
      <w:lvlText w:val="%5."/>
      <w:lvlJc w:val="left"/>
      <w:pPr>
        <w:ind w:left="5040" w:hanging="360"/>
      </w:pPr>
    </w:lvl>
    <w:lvl w:ilvl="5" w:tplc="080A001B" w:tentative="1">
      <w:start w:val="1"/>
      <w:numFmt w:val="lowerRoman"/>
      <w:lvlText w:val="%6."/>
      <w:lvlJc w:val="right"/>
      <w:pPr>
        <w:ind w:left="5760" w:hanging="180"/>
      </w:pPr>
    </w:lvl>
    <w:lvl w:ilvl="6" w:tplc="080A000F" w:tentative="1">
      <w:start w:val="1"/>
      <w:numFmt w:val="decimal"/>
      <w:lvlText w:val="%7."/>
      <w:lvlJc w:val="left"/>
      <w:pPr>
        <w:ind w:left="6480" w:hanging="360"/>
      </w:pPr>
    </w:lvl>
    <w:lvl w:ilvl="7" w:tplc="080A0019" w:tentative="1">
      <w:start w:val="1"/>
      <w:numFmt w:val="lowerLetter"/>
      <w:lvlText w:val="%8."/>
      <w:lvlJc w:val="left"/>
      <w:pPr>
        <w:ind w:left="7200" w:hanging="360"/>
      </w:pPr>
    </w:lvl>
    <w:lvl w:ilvl="8" w:tplc="080A001B" w:tentative="1">
      <w:start w:val="1"/>
      <w:numFmt w:val="lowerRoman"/>
      <w:lvlText w:val="%9."/>
      <w:lvlJc w:val="right"/>
      <w:pPr>
        <w:ind w:left="7920" w:hanging="180"/>
      </w:pPr>
    </w:lvl>
  </w:abstractNum>
  <w:abstractNum w:abstractNumId="16" w15:restartNumberingAfterBreak="0">
    <w:nsid w:val="7BE97B02"/>
    <w:multiLevelType w:val="hybridMultilevel"/>
    <w:tmpl w:val="C4768A2C"/>
    <w:lvl w:ilvl="0" w:tplc="43B4B16C">
      <w:start w:val="1"/>
      <w:numFmt w:val="decimal"/>
      <w:lvlText w:val="%1."/>
      <w:lvlJc w:val="left"/>
      <w:pPr>
        <w:ind w:left="720" w:hanging="360"/>
      </w:pPr>
      <w:rPr>
        <w:rFonts w:ascii="Verdana" w:hAnsi="Verdana" w:hint="default"/>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1482237450">
    <w:abstractNumId w:val="9"/>
  </w:num>
  <w:num w:numId="2" w16cid:durableId="468674456">
    <w:abstractNumId w:val="3"/>
  </w:num>
  <w:num w:numId="3" w16cid:durableId="929891993">
    <w:abstractNumId w:val="12"/>
  </w:num>
  <w:num w:numId="4" w16cid:durableId="1563246238">
    <w:abstractNumId w:val="2"/>
  </w:num>
  <w:num w:numId="5" w16cid:durableId="1057894333">
    <w:abstractNumId w:val="9"/>
  </w:num>
  <w:num w:numId="6" w16cid:durableId="313460852">
    <w:abstractNumId w:val="7"/>
  </w:num>
  <w:num w:numId="7" w16cid:durableId="487289533">
    <w:abstractNumId w:val="11"/>
  </w:num>
  <w:num w:numId="8" w16cid:durableId="1941257678">
    <w:abstractNumId w:val="13"/>
  </w:num>
  <w:num w:numId="9" w16cid:durableId="1838616618">
    <w:abstractNumId w:val="14"/>
  </w:num>
  <w:num w:numId="10" w16cid:durableId="755982009">
    <w:abstractNumId w:val="15"/>
  </w:num>
  <w:num w:numId="11" w16cid:durableId="882788135">
    <w:abstractNumId w:val="10"/>
  </w:num>
  <w:num w:numId="12" w16cid:durableId="565575984">
    <w:abstractNumId w:val="16"/>
  </w:num>
  <w:num w:numId="13" w16cid:durableId="951784863">
    <w:abstractNumId w:val="5"/>
  </w:num>
  <w:num w:numId="14" w16cid:durableId="734010092">
    <w:abstractNumId w:val="0"/>
  </w:num>
  <w:num w:numId="15" w16cid:durableId="769816767">
    <w:abstractNumId w:val="8"/>
  </w:num>
  <w:num w:numId="16" w16cid:durableId="1238129221">
    <w:abstractNumId w:val="4"/>
  </w:num>
  <w:num w:numId="17" w16cid:durableId="1977442752">
    <w:abstractNumId w:val="6"/>
  </w:num>
  <w:num w:numId="18" w16cid:durableId="203279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5A8E"/>
    <w:rsid w:val="00013E74"/>
    <w:rsid w:val="00022E30"/>
    <w:rsid w:val="00025B63"/>
    <w:rsid w:val="0004246C"/>
    <w:rsid w:val="00062492"/>
    <w:rsid w:val="00082453"/>
    <w:rsid w:val="00086FCD"/>
    <w:rsid w:val="000924B8"/>
    <w:rsid w:val="000971D2"/>
    <w:rsid w:val="000A4FD4"/>
    <w:rsid w:val="000A7B7F"/>
    <w:rsid w:val="000E2E74"/>
    <w:rsid w:val="000E6D44"/>
    <w:rsid w:val="000F1AFB"/>
    <w:rsid w:val="000F5D82"/>
    <w:rsid w:val="0013511B"/>
    <w:rsid w:val="00143E18"/>
    <w:rsid w:val="00160227"/>
    <w:rsid w:val="00161CC0"/>
    <w:rsid w:val="00165AB7"/>
    <w:rsid w:val="001749A4"/>
    <w:rsid w:val="00175C3D"/>
    <w:rsid w:val="001816CC"/>
    <w:rsid w:val="001B3AAB"/>
    <w:rsid w:val="001B65AF"/>
    <w:rsid w:val="001C1B5E"/>
    <w:rsid w:val="001C405C"/>
    <w:rsid w:val="001C7236"/>
    <w:rsid w:val="001D3F84"/>
    <w:rsid w:val="001D4FF9"/>
    <w:rsid w:val="001D6C72"/>
    <w:rsid w:val="001E19DA"/>
    <w:rsid w:val="001E52C9"/>
    <w:rsid w:val="001F651F"/>
    <w:rsid w:val="001F66CF"/>
    <w:rsid w:val="00207E0A"/>
    <w:rsid w:val="00215F41"/>
    <w:rsid w:val="00220552"/>
    <w:rsid w:val="00220B90"/>
    <w:rsid w:val="0022101E"/>
    <w:rsid w:val="002415B0"/>
    <w:rsid w:val="00252AD3"/>
    <w:rsid w:val="002571E2"/>
    <w:rsid w:val="002610E3"/>
    <w:rsid w:val="0027749F"/>
    <w:rsid w:val="002840A6"/>
    <w:rsid w:val="0029167E"/>
    <w:rsid w:val="002A0BC0"/>
    <w:rsid w:val="002B355A"/>
    <w:rsid w:val="002B3B90"/>
    <w:rsid w:val="002C24C2"/>
    <w:rsid w:val="002C47CE"/>
    <w:rsid w:val="002C58B0"/>
    <w:rsid w:val="002C67F4"/>
    <w:rsid w:val="002D469B"/>
    <w:rsid w:val="002D604D"/>
    <w:rsid w:val="002E4681"/>
    <w:rsid w:val="002F2239"/>
    <w:rsid w:val="00316670"/>
    <w:rsid w:val="0032284B"/>
    <w:rsid w:val="00340BAD"/>
    <w:rsid w:val="00341B91"/>
    <w:rsid w:val="00342BBD"/>
    <w:rsid w:val="00360E78"/>
    <w:rsid w:val="00362370"/>
    <w:rsid w:val="00364D7F"/>
    <w:rsid w:val="003C07A1"/>
    <w:rsid w:val="003C108D"/>
    <w:rsid w:val="003C311C"/>
    <w:rsid w:val="003D54C9"/>
    <w:rsid w:val="00414FE1"/>
    <w:rsid w:val="0042169D"/>
    <w:rsid w:val="00447D9C"/>
    <w:rsid w:val="0045373B"/>
    <w:rsid w:val="00467D51"/>
    <w:rsid w:val="00473C59"/>
    <w:rsid w:val="00474443"/>
    <w:rsid w:val="00476584"/>
    <w:rsid w:val="004E2A47"/>
    <w:rsid w:val="004F3474"/>
    <w:rsid w:val="00502071"/>
    <w:rsid w:val="00502DEA"/>
    <w:rsid w:val="00506C57"/>
    <w:rsid w:val="00552596"/>
    <w:rsid w:val="00563FBD"/>
    <w:rsid w:val="005674D8"/>
    <w:rsid w:val="005705CA"/>
    <w:rsid w:val="005B3A37"/>
    <w:rsid w:val="005B5568"/>
    <w:rsid w:val="005B7893"/>
    <w:rsid w:val="005C58DC"/>
    <w:rsid w:val="005E6439"/>
    <w:rsid w:val="00600CE2"/>
    <w:rsid w:val="00613CE0"/>
    <w:rsid w:val="006279D4"/>
    <w:rsid w:val="00637685"/>
    <w:rsid w:val="00646C56"/>
    <w:rsid w:val="00670305"/>
    <w:rsid w:val="006855E5"/>
    <w:rsid w:val="006874AD"/>
    <w:rsid w:val="006A73E8"/>
    <w:rsid w:val="006D0041"/>
    <w:rsid w:val="006F5EE6"/>
    <w:rsid w:val="00701BDE"/>
    <w:rsid w:val="007069D6"/>
    <w:rsid w:val="00717AED"/>
    <w:rsid w:val="00722F25"/>
    <w:rsid w:val="00725869"/>
    <w:rsid w:val="00737588"/>
    <w:rsid w:val="00753BA2"/>
    <w:rsid w:val="00761522"/>
    <w:rsid w:val="00761542"/>
    <w:rsid w:val="00766A89"/>
    <w:rsid w:val="00770BB5"/>
    <w:rsid w:val="0079729B"/>
    <w:rsid w:val="007A65D3"/>
    <w:rsid w:val="007B3020"/>
    <w:rsid w:val="007D2864"/>
    <w:rsid w:val="007F2B83"/>
    <w:rsid w:val="007F6349"/>
    <w:rsid w:val="00800A76"/>
    <w:rsid w:val="00823232"/>
    <w:rsid w:val="00827DFC"/>
    <w:rsid w:val="00863B55"/>
    <w:rsid w:val="00874DE8"/>
    <w:rsid w:val="00882EF7"/>
    <w:rsid w:val="00883E8E"/>
    <w:rsid w:val="0089194B"/>
    <w:rsid w:val="008A46C7"/>
    <w:rsid w:val="00923088"/>
    <w:rsid w:val="009242C4"/>
    <w:rsid w:val="00925B16"/>
    <w:rsid w:val="00931071"/>
    <w:rsid w:val="00961037"/>
    <w:rsid w:val="009651E9"/>
    <w:rsid w:val="009737A6"/>
    <w:rsid w:val="00974B03"/>
    <w:rsid w:val="0098353A"/>
    <w:rsid w:val="009A0806"/>
    <w:rsid w:val="009C5B01"/>
    <w:rsid w:val="009D090A"/>
    <w:rsid w:val="009D126F"/>
    <w:rsid w:val="009F3385"/>
    <w:rsid w:val="009F33E3"/>
    <w:rsid w:val="00A01CF0"/>
    <w:rsid w:val="00A116BF"/>
    <w:rsid w:val="00A141B6"/>
    <w:rsid w:val="00A31AFA"/>
    <w:rsid w:val="00AA0432"/>
    <w:rsid w:val="00AA46B0"/>
    <w:rsid w:val="00AA5A8E"/>
    <w:rsid w:val="00AB199B"/>
    <w:rsid w:val="00AC06A4"/>
    <w:rsid w:val="00AC5D1F"/>
    <w:rsid w:val="00AC76FC"/>
    <w:rsid w:val="00AD4754"/>
    <w:rsid w:val="00AE296E"/>
    <w:rsid w:val="00AE6178"/>
    <w:rsid w:val="00AE648F"/>
    <w:rsid w:val="00B12467"/>
    <w:rsid w:val="00B219FD"/>
    <w:rsid w:val="00B2300F"/>
    <w:rsid w:val="00B27066"/>
    <w:rsid w:val="00B32816"/>
    <w:rsid w:val="00B43A9A"/>
    <w:rsid w:val="00B6098F"/>
    <w:rsid w:val="00B77C39"/>
    <w:rsid w:val="00B77EAB"/>
    <w:rsid w:val="00B8740F"/>
    <w:rsid w:val="00B90F53"/>
    <w:rsid w:val="00B95B2E"/>
    <w:rsid w:val="00BA4A6F"/>
    <w:rsid w:val="00BC0BD1"/>
    <w:rsid w:val="00BC5221"/>
    <w:rsid w:val="00BE1344"/>
    <w:rsid w:val="00BF2D2C"/>
    <w:rsid w:val="00C004A5"/>
    <w:rsid w:val="00C0070F"/>
    <w:rsid w:val="00C061F1"/>
    <w:rsid w:val="00C115D5"/>
    <w:rsid w:val="00C25560"/>
    <w:rsid w:val="00C2715B"/>
    <w:rsid w:val="00C31F82"/>
    <w:rsid w:val="00C341F7"/>
    <w:rsid w:val="00C4473B"/>
    <w:rsid w:val="00C64D92"/>
    <w:rsid w:val="00C71BC9"/>
    <w:rsid w:val="00C927CC"/>
    <w:rsid w:val="00CB1CF0"/>
    <w:rsid w:val="00CB7AE5"/>
    <w:rsid w:val="00CE4523"/>
    <w:rsid w:val="00CE7E19"/>
    <w:rsid w:val="00CF04DC"/>
    <w:rsid w:val="00D40799"/>
    <w:rsid w:val="00D56DC2"/>
    <w:rsid w:val="00D62F2B"/>
    <w:rsid w:val="00D76531"/>
    <w:rsid w:val="00D76F10"/>
    <w:rsid w:val="00D80C63"/>
    <w:rsid w:val="00D86044"/>
    <w:rsid w:val="00D9182B"/>
    <w:rsid w:val="00D95152"/>
    <w:rsid w:val="00DB7D20"/>
    <w:rsid w:val="00DC6725"/>
    <w:rsid w:val="00E304A2"/>
    <w:rsid w:val="00E32734"/>
    <w:rsid w:val="00E37ED6"/>
    <w:rsid w:val="00E4582A"/>
    <w:rsid w:val="00E57231"/>
    <w:rsid w:val="00E6387C"/>
    <w:rsid w:val="00E76888"/>
    <w:rsid w:val="00EA2D3B"/>
    <w:rsid w:val="00EB380A"/>
    <w:rsid w:val="00ED3F5F"/>
    <w:rsid w:val="00ED6D16"/>
    <w:rsid w:val="00EE1194"/>
    <w:rsid w:val="00EF30F2"/>
    <w:rsid w:val="00F04974"/>
    <w:rsid w:val="00F32CB1"/>
    <w:rsid w:val="00F420FB"/>
    <w:rsid w:val="00F5030E"/>
    <w:rsid w:val="00F505D5"/>
    <w:rsid w:val="00F544C6"/>
    <w:rsid w:val="00F606BC"/>
    <w:rsid w:val="00F76AA2"/>
    <w:rsid w:val="00FA0462"/>
    <w:rsid w:val="00FA081D"/>
    <w:rsid w:val="00FA2C01"/>
    <w:rsid w:val="00FA73E3"/>
    <w:rsid w:val="00FB5F5F"/>
    <w:rsid w:val="00FC152D"/>
    <w:rsid w:val="00FD50ED"/>
    <w:rsid w:val="00FD6D5E"/>
    <w:rsid w:val="00FD7AB4"/>
    <w:rsid w:val="00FE1282"/>
    <w:rsid w:val="00FE3F26"/>
    <w:rsid w:val="00FE7466"/>
    <w:rsid w:val="00FF25B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BB7FAC"/>
  <w15:chartTrackingRefBased/>
  <w15:docId w15:val="{B2695525-F80E-4123-96FD-87C5D6090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5A8E"/>
    <w:pPr>
      <w:spacing w:after="120" w:line="240" w:lineRule="auto"/>
      <w:jc w:val="both"/>
    </w:pPr>
    <w:rPr>
      <w:rFonts w:ascii="Verdana" w:eastAsia="Calibri" w:hAnsi="Verdana" w:cs="Times"/>
      <w:sz w:val="20"/>
      <w:szCs w:val="24"/>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notapieCar">
    <w:name w:val="Texto nota pie Car"/>
    <w:aliases w:val="FA Fu Car1,Footnote Text Char Char Char Char Char Car,Footnote Text Char Char Char Char Car,Footnote reference Car,Footnote Text Char Char Char Car,FA Fu Car Car1,FA Fu Car Car Car,Footnote Text Cha Car,FA Fußnotentext Car,Ca Car"/>
    <w:basedOn w:val="Fuentedeprrafopredeter"/>
    <w:link w:val="Textonotapie"/>
    <w:qFormat/>
    <w:locked/>
    <w:rsid w:val="00AA5A8E"/>
    <w:rPr>
      <w:rFonts w:ascii="Verdana" w:eastAsia="Calibri" w:hAnsi="Verdana" w:cs="Times"/>
      <w:sz w:val="20"/>
      <w:szCs w:val="20"/>
      <w:lang w:val="es-ES_tradnl" w:eastAsia="es-ES"/>
    </w:rPr>
  </w:style>
  <w:style w:type="paragraph" w:styleId="Textonotapie">
    <w:name w:val="footnote text"/>
    <w:aliases w:val="FA Fu,Footnote Text Char Char Char Char Char,Footnote Text Char Char Char Char,Footnote reference,Footnote Text Char Char Char,FA Fu Car,FA Fu Car Car,Footnote Text Cha,FA Fußnotentext,FA Fuﬂnotentext,FA Fu?notentext,Ca,footnote text,C,ft"/>
    <w:basedOn w:val="Normal"/>
    <w:link w:val="TextonotapieCar"/>
    <w:unhideWhenUsed/>
    <w:qFormat/>
    <w:rsid w:val="00AA5A8E"/>
    <w:pPr>
      <w:spacing w:after="0"/>
    </w:pPr>
    <w:rPr>
      <w:szCs w:val="20"/>
    </w:rPr>
  </w:style>
  <w:style w:type="character" w:customStyle="1" w:styleId="TextonotapieCar1">
    <w:name w:val="Texto nota pie Car1"/>
    <w:aliases w:val="Footnote Text Char Char Char Char Char Car1,Footnote Text Char Char Char Char Car1,Footnote reference Car1,Footnote Text Char Char Char Car1,Texto nota pie Car Car,Footnote Text Cha Car1,FA Fuﬂnotentext Car,FA Fu?notentext Car"/>
    <w:basedOn w:val="Fuentedeprrafopredeter"/>
    <w:qFormat/>
    <w:rsid w:val="00AA5A8E"/>
    <w:rPr>
      <w:rFonts w:ascii="Verdana" w:eastAsia="Calibri" w:hAnsi="Verdana" w:cs="Times"/>
      <w:sz w:val="20"/>
      <w:szCs w:val="20"/>
      <w:lang w:val="es-ES_tradnl" w:eastAsia="es-ES"/>
    </w:rPr>
  </w:style>
  <w:style w:type="character" w:customStyle="1" w:styleId="PrrafodelistaCar">
    <w:name w:val="Párrafo de lista Car"/>
    <w:aliases w:val="Footnote Car,List Paragraph2 Car,Lista vistosa - Énfasis 11 Car,List Paragraph1 Car,Colorful List - Accent 11 Car,Párrafo de lista1 Car,List Paragraph11 Car,Cuadrícula clara - Énfasis 31 Car"/>
    <w:link w:val="Prrafodelista"/>
    <w:uiPriority w:val="34"/>
    <w:locked/>
    <w:rsid w:val="00AA5A8E"/>
    <w:rPr>
      <w:rFonts w:ascii="Verdana" w:eastAsia="Calibri" w:hAnsi="Verdana" w:cs="Times"/>
      <w:sz w:val="20"/>
      <w:szCs w:val="24"/>
      <w:lang w:val="es-ES_tradnl" w:eastAsia="es-ES"/>
    </w:rPr>
  </w:style>
  <w:style w:type="paragraph" w:styleId="Prrafodelista">
    <w:name w:val="List Paragraph"/>
    <w:aliases w:val="Footnote,List Paragraph2,Lista vistosa - Énfasis 11,List Paragraph1,Colorful List - Accent 11,Párrafo de lista1,List Paragraph11,Cuadrícula clara - Énfasis 31"/>
    <w:basedOn w:val="Normal"/>
    <w:link w:val="PrrafodelistaCar"/>
    <w:uiPriority w:val="34"/>
    <w:qFormat/>
    <w:rsid w:val="00AA5A8E"/>
    <w:pPr>
      <w:ind w:left="720"/>
      <w:contextualSpacing/>
    </w:p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basedOn w:val="Fuentedeprrafopredeter"/>
    <w:link w:val="4GChar"/>
    <w:uiPriority w:val="99"/>
    <w:unhideWhenUsed/>
    <w:qFormat/>
    <w:rsid w:val="00AA5A8E"/>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qFormat/>
    <w:rsid w:val="00AA5A8E"/>
    <w:pPr>
      <w:spacing w:after="0"/>
    </w:pPr>
    <w:rPr>
      <w:rFonts w:asciiTheme="minorHAnsi" w:eastAsiaTheme="minorHAnsi" w:hAnsiTheme="minorHAnsi" w:cstheme="minorBidi"/>
      <w:sz w:val="22"/>
      <w:szCs w:val="22"/>
      <w:vertAlign w:val="superscript"/>
      <w:lang w:val="es-CR" w:eastAsia="en-US"/>
    </w:rPr>
  </w:style>
  <w:style w:type="character" w:styleId="Refdecomentario">
    <w:name w:val="annotation reference"/>
    <w:basedOn w:val="Fuentedeprrafopredeter"/>
    <w:uiPriority w:val="99"/>
    <w:semiHidden/>
    <w:unhideWhenUsed/>
    <w:rsid w:val="00161CC0"/>
    <w:rPr>
      <w:sz w:val="16"/>
      <w:szCs w:val="16"/>
    </w:rPr>
  </w:style>
  <w:style w:type="paragraph" w:styleId="Textocomentario">
    <w:name w:val="annotation text"/>
    <w:basedOn w:val="Normal"/>
    <w:link w:val="TextocomentarioCar"/>
    <w:uiPriority w:val="99"/>
    <w:unhideWhenUsed/>
    <w:rsid w:val="00161CC0"/>
    <w:rPr>
      <w:szCs w:val="20"/>
    </w:rPr>
  </w:style>
  <w:style w:type="character" w:customStyle="1" w:styleId="TextocomentarioCar">
    <w:name w:val="Texto comentario Car"/>
    <w:basedOn w:val="Fuentedeprrafopredeter"/>
    <w:link w:val="Textocomentario"/>
    <w:uiPriority w:val="99"/>
    <w:rsid w:val="00161CC0"/>
    <w:rPr>
      <w:rFonts w:ascii="Verdana" w:eastAsia="Calibri" w:hAnsi="Verdana" w:cs="Times"/>
      <w:sz w:val="20"/>
      <w:szCs w:val="20"/>
      <w:lang w:val="es-ES_tradnl" w:eastAsia="es-ES"/>
    </w:rPr>
  </w:style>
  <w:style w:type="paragraph" w:styleId="Asuntodelcomentario">
    <w:name w:val="annotation subject"/>
    <w:basedOn w:val="Textocomentario"/>
    <w:next w:val="Textocomentario"/>
    <w:link w:val="AsuntodelcomentarioCar"/>
    <w:uiPriority w:val="99"/>
    <w:semiHidden/>
    <w:unhideWhenUsed/>
    <w:rsid w:val="00161CC0"/>
    <w:rPr>
      <w:b/>
      <w:bCs/>
    </w:rPr>
  </w:style>
  <w:style w:type="character" w:customStyle="1" w:styleId="AsuntodelcomentarioCar">
    <w:name w:val="Asunto del comentario Car"/>
    <w:basedOn w:val="TextocomentarioCar"/>
    <w:link w:val="Asuntodelcomentario"/>
    <w:uiPriority w:val="99"/>
    <w:semiHidden/>
    <w:rsid w:val="00161CC0"/>
    <w:rPr>
      <w:rFonts w:ascii="Verdana" w:eastAsia="Calibri" w:hAnsi="Verdana" w:cs="Times"/>
      <w:b/>
      <w:bCs/>
      <w:sz w:val="20"/>
      <w:szCs w:val="20"/>
      <w:lang w:val="es-ES_tradnl" w:eastAsia="es-ES"/>
    </w:rPr>
  </w:style>
  <w:style w:type="paragraph" w:styleId="Textodeglobo">
    <w:name w:val="Balloon Text"/>
    <w:basedOn w:val="Normal"/>
    <w:link w:val="TextodegloboCar"/>
    <w:uiPriority w:val="99"/>
    <w:semiHidden/>
    <w:unhideWhenUsed/>
    <w:rsid w:val="00161CC0"/>
    <w:pPr>
      <w:spacing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61CC0"/>
    <w:rPr>
      <w:rFonts w:ascii="Segoe UI" w:eastAsia="Calibri" w:hAnsi="Segoe UI" w:cs="Segoe UI"/>
      <w:sz w:val="18"/>
      <w:szCs w:val="18"/>
      <w:lang w:val="es-ES_tradnl" w:eastAsia="es-ES"/>
    </w:rPr>
  </w:style>
  <w:style w:type="paragraph" w:styleId="Encabezado">
    <w:name w:val="header"/>
    <w:basedOn w:val="Normal"/>
    <w:link w:val="EncabezadoCar"/>
    <w:uiPriority w:val="99"/>
    <w:unhideWhenUsed/>
    <w:rsid w:val="002A0BC0"/>
    <w:pPr>
      <w:tabs>
        <w:tab w:val="center" w:pos="4252"/>
        <w:tab w:val="right" w:pos="8504"/>
      </w:tabs>
      <w:spacing w:after="0"/>
    </w:pPr>
  </w:style>
  <w:style w:type="character" w:customStyle="1" w:styleId="EncabezadoCar">
    <w:name w:val="Encabezado Car"/>
    <w:basedOn w:val="Fuentedeprrafopredeter"/>
    <w:link w:val="Encabezado"/>
    <w:uiPriority w:val="99"/>
    <w:rsid w:val="002A0BC0"/>
    <w:rPr>
      <w:rFonts w:ascii="Verdana" w:eastAsia="Calibri" w:hAnsi="Verdana" w:cs="Times"/>
      <w:sz w:val="20"/>
      <w:szCs w:val="24"/>
      <w:lang w:val="es-ES_tradnl" w:eastAsia="es-ES"/>
    </w:rPr>
  </w:style>
  <w:style w:type="paragraph" w:styleId="Piedepgina">
    <w:name w:val="footer"/>
    <w:basedOn w:val="Normal"/>
    <w:link w:val="PiedepginaCar"/>
    <w:uiPriority w:val="99"/>
    <w:unhideWhenUsed/>
    <w:rsid w:val="002A0BC0"/>
    <w:pPr>
      <w:tabs>
        <w:tab w:val="center" w:pos="4252"/>
        <w:tab w:val="right" w:pos="8504"/>
      </w:tabs>
      <w:spacing w:after="0"/>
    </w:pPr>
  </w:style>
  <w:style w:type="character" w:customStyle="1" w:styleId="PiedepginaCar">
    <w:name w:val="Pie de página Car"/>
    <w:basedOn w:val="Fuentedeprrafopredeter"/>
    <w:link w:val="Piedepgina"/>
    <w:uiPriority w:val="99"/>
    <w:rsid w:val="002A0BC0"/>
    <w:rPr>
      <w:rFonts w:ascii="Verdana" w:eastAsia="Calibri" w:hAnsi="Verdana" w:cs="Times"/>
      <w:sz w:val="20"/>
      <w:szCs w:val="24"/>
      <w:lang w:val="es-ES_tradnl" w:eastAsia="es-ES"/>
    </w:rPr>
  </w:style>
  <w:style w:type="character" w:styleId="Nmerodepgina">
    <w:name w:val="page number"/>
    <w:basedOn w:val="Fuentedeprrafopredeter"/>
    <w:uiPriority w:val="99"/>
    <w:semiHidden/>
    <w:unhideWhenUsed/>
    <w:rsid w:val="005C58DC"/>
  </w:style>
  <w:style w:type="paragraph" w:styleId="Revisin">
    <w:name w:val="Revision"/>
    <w:hidden/>
    <w:uiPriority w:val="99"/>
    <w:semiHidden/>
    <w:rsid w:val="0045373B"/>
    <w:pPr>
      <w:spacing w:after="0" w:line="240" w:lineRule="auto"/>
    </w:pPr>
    <w:rPr>
      <w:rFonts w:ascii="Verdana" w:eastAsia="Calibri" w:hAnsi="Verdana" w:cs="Times"/>
      <w:sz w:val="20"/>
      <w:szCs w:val="24"/>
      <w:lang w:val="es-ES_tradnl" w:eastAsia="es-ES"/>
    </w:rPr>
  </w:style>
  <w:style w:type="character" w:customStyle="1" w:styleId="ColorfulList-Accent1Char">
    <w:name w:val="Colorful List - Accent 1 Char"/>
    <w:aliases w:val="Footnote Char,Párrafo de lista1 Char"/>
    <w:uiPriority w:val="34"/>
    <w:rsid w:val="001D6C72"/>
    <w:rPr>
      <w:rFonts w:ascii="Times" w:eastAsia="Times" w:hAnsi="Times" w:cs="Times New Roman"/>
      <w:sz w:val="24"/>
      <w:szCs w:val="20"/>
      <w:lang w:val="es-ES_tradnl"/>
    </w:rPr>
  </w:style>
  <w:style w:type="paragraph" w:styleId="Sinespaciado">
    <w:name w:val="No Spacing"/>
    <w:uiPriority w:val="1"/>
    <w:qFormat/>
    <w:rsid w:val="007D2864"/>
    <w:pPr>
      <w:spacing w:after="0" w:line="240" w:lineRule="auto"/>
    </w:pPr>
    <w:rPr>
      <w:lang w:val="es-CO"/>
    </w:rPr>
  </w:style>
  <w:style w:type="character" w:styleId="Nmerodelnea">
    <w:name w:val="line number"/>
    <w:basedOn w:val="Fuentedeprrafopredeter"/>
    <w:uiPriority w:val="99"/>
    <w:semiHidden/>
    <w:unhideWhenUsed/>
    <w:rsid w:val="00C004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980067">
      <w:bodyDiv w:val="1"/>
      <w:marLeft w:val="0"/>
      <w:marRight w:val="0"/>
      <w:marTop w:val="0"/>
      <w:marBottom w:val="0"/>
      <w:divBdr>
        <w:top w:val="none" w:sz="0" w:space="0" w:color="auto"/>
        <w:left w:val="none" w:sz="0" w:space="0" w:color="auto"/>
        <w:bottom w:val="none" w:sz="0" w:space="0" w:color="auto"/>
        <w:right w:val="none" w:sz="0" w:space="0" w:color="auto"/>
      </w:divBdr>
    </w:div>
    <w:div w:id="274605836">
      <w:bodyDiv w:val="1"/>
      <w:marLeft w:val="0"/>
      <w:marRight w:val="0"/>
      <w:marTop w:val="0"/>
      <w:marBottom w:val="0"/>
      <w:divBdr>
        <w:top w:val="none" w:sz="0" w:space="0" w:color="auto"/>
        <w:left w:val="none" w:sz="0" w:space="0" w:color="auto"/>
        <w:bottom w:val="none" w:sz="0" w:space="0" w:color="auto"/>
        <w:right w:val="none" w:sz="0" w:space="0" w:color="auto"/>
      </w:divBdr>
    </w:div>
    <w:div w:id="330763104">
      <w:bodyDiv w:val="1"/>
      <w:marLeft w:val="0"/>
      <w:marRight w:val="0"/>
      <w:marTop w:val="0"/>
      <w:marBottom w:val="0"/>
      <w:divBdr>
        <w:top w:val="none" w:sz="0" w:space="0" w:color="auto"/>
        <w:left w:val="none" w:sz="0" w:space="0" w:color="auto"/>
        <w:bottom w:val="none" w:sz="0" w:space="0" w:color="auto"/>
        <w:right w:val="none" w:sz="0" w:space="0" w:color="auto"/>
      </w:divBdr>
    </w:div>
    <w:div w:id="489251501">
      <w:bodyDiv w:val="1"/>
      <w:marLeft w:val="0"/>
      <w:marRight w:val="0"/>
      <w:marTop w:val="0"/>
      <w:marBottom w:val="0"/>
      <w:divBdr>
        <w:top w:val="none" w:sz="0" w:space="0" w:color="auto"/>
        <w:left w:val="none" w:sz="0" w:space="0" w:color="auto"/>
        <w:bottom w:val="none" w:sz="0" w:space="0" w:color="auto"/>
        <w:right w:val="none" w:sz="0" w:space="0" w:color="auto"/>
      </w:divBdr>
      <w:divsChild>
        <w:div w:id="1101491315">
          <w:marLeft w:val="0"/>
          <w:marRight w:val="0"/>
          <w:marTop w:val="0"/>
          <w:marBottom w:val="0"/>
          <w:divBdr>
            <w:top w:val="none" w:sz="0" w:space="0" w:color="auto"/>
            <w:left w:val="none" w:sz="0" w:space="0" w:color="auto"/>
            <w:bottom w:val="none" w:sz="0" w:space="0" w:color="auto"/>
            <w:right w:val="none" w:sz="0" w:space="0" w:color="auto"/>
          </w:divBdr>
          <w:divsChild>
            <w:div w:id="1375500004">
              <w:marLeft w:val="0"/>
              <w:marRight w:val="0"/>
              <w:marTop w:val="0"/>
              <w:marBottom w:val="0"/>
              <w:divBdr>
                <w:top w:val="none" w:sz="0" w:space="0" w:color="auto"/>
                <w:left w:val="none" w:sz="0" w:space="0" w:color="auto"/>
                <w:bottom w:val="none" w:sz="0" w:space="0" w:color="auto"/>
                <w:right w:val="none" w:sz="0" w:space="0" w:color="auto"/>
              </w:divBdr>
              <w:divsChild>
                <w:div w:id="1235704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7837322">
      <w:bodyDiv w:val="1"/>
      <w:marLeft w:val="0"/>
      <w:marRight w:val="0"/>
      <w:marTop w:val="0"/>
      <w:marBottom w:val="0"/>
      <w:divBdr>
        <w:top w:val="none" w:sz="0" w:space="0" w:color="auto"/>
        <w:left w:val="none" w:sz="0" w:space="0" w:color="auto"/>
        <w:bottom w:val="none" w:sz="0" w:space="0" w:color="auto"/>
        <w:right w:val="none" w:sz="0" w:space="0" w:color="auto"/>
      </w:divBdr>
    </w:div>
    <w:div w:id="881984398">
      <w:bodyDiv w:val="1"/>
      <w:marLeft w:val="0"/>
      <w:marRight w:val="0"/>
      <w:marTop w:val="0"/>
      <w:marBottom w:val="0"/>
      <w:divBdr>
        <w:top w:val="none" w:sz="0" w:space="0" w:color="auto"/>
        <w:left w:val="none" w:sz="0" w:space="0" w:color="auto"/>
        <w:bottom w:val="none" w:sz="0" w:space="0" w:color="auto"/>
        <w:right w:val="none" w:sz="0" w:space="0" w:color="auto"/>
      </w:divBdr>
    </w:div>
    <w:div w:id="1408990758">
      <w:bodyDiv w:val="1"/>
      <w:marLeft w:val="0"/>
      <w:marRight w:val="0"/>
      <w:marTop w:val="0"/>
      <w:marBottom w:val="0"/>
      <w:divBdr>
        <w:top w:val="none" w:sz="0" w:space="0" w:color="auto"/>
        <w:left w:val="none" w:sz="0" w:space="0" w:color="auto"/>
        <w:bottom w:val="none" w:sz="0" w:space="0" w:color="auto"/>
        <w:right w:val="none" w:sz="0" w:space="0" w:color="auto"/>
      </w:divBdr>
    </w:div>
    <w:div w:id="1757823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CA926E-FC46-4E32-B30D-BA198E252F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2917</Words>
  <Characters>16044</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Corte IDH</dc:creator>
  <cp:keywords/>
  <dc:description/>
  <cp:lastModifiedBy>Liliana Tojo</cp:lastModifiedBy>
  <cp:revision>2</cp:revision>
  <dcterms:created xsi:type="dcterms:W3CDTF">2022-09-20T17:59:00Z</dcterms:created>
  <dcterms:modified xsi:type="dcterms:W3CDTF">2022-09-20T17:59:00Z</dcterms:modified>
</cp:coreProperties>
</file>