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5597A" w14:textId="77777777" w:rsidR="00901254" w:rsidRDefault="00901254" w:rsidP="00625A64">
      <w:pPr>
        <w:spacing w:before="120"/>
        <w:ind w:left="720" w:right="49" w:hanging="720"/>
        <w:jc w:val="center"/>
        <w:rPr>
          <w:rFonts w:ascii="Verdana" w:hAnsi="Verdana" w:cs="Verdana Bold"/>
          <w:b/>
          <w:bCs/>
          <w:caps/>
          <w:sz w:val="20"/>
          <w:szCs w:val="20"/>
        </w:rPr>
      </w:pPr>
    </w:p>
    <w:p w14:paraId="7A642958" w14:textId="77777777" w:rsidR="00901254" w:rsidRDefault="00901254" w:rsidP="00625A64">
      <w:pPr>
        <w:spacing w:before="120"/>
        <w:ind w:left="720" w:right="49" w:hanging="720"/>
        <w:jc w:val="center"/>
        <w:rPr>
          <w:rFonts w:ascii="Verdana" w:hAnsi="Verdana" w:cs="Verdana Bold"/>
          <w:b/>
          <w:bCs/>
          <w:caps/>
          <w:sz w:val="20"/>
          <w:szCs w:val="20"/>
        </w:rPr>
      </w:pPr>
    </w:p>
    <w:p w14:paraId="76360675" w14:textId="77777777" w:rsidR="00901254" w:rsidRDefault="00901254" w:rsidP="00625A64">
      <w:pPr>
        <w:spacing w:before="120"/>
        <w:ind w:left="720" w:right="49" w:hanging="720"/>
        <w:jc w:val="center"/>
        <w:rPr>
          <w:rFonts w:ascii="Verdana" w:hAnsi="Verdana" w:cs="Verdana Bold"/>
          <w:b/>
          <w:bCs/>
          <w:caps/>
          <w:sz w:val="20"/>
          <w:szCs w:val="20"/>
        </w:rPr>
      </w:pPr>
    </w:p>
    <w:p w14:paraId="2AC689D0" w14:textId="77777777" w:rsidR="00901254" w:rsidRDefault="00901254" w:rsidP="00625A64">
      <w:pPr>
        <w:spacing w:before="120"/>
        <w:ind w:left="720" w:right="49" w:hanging="720"/>
        <w:jc w:val="center"/>
        <w:rPr>
          <w:rFonts w:ascii="Verdana" w:hAnsi="Verdana" w:cs="Verdana Bold"/>
          <w:b/>
          <w:bCs/>
          <w:caps/>
          <w:sz w:val="20"/>
          <w:szCs w:val="20"/>
        </w:rPr>
      </w:pPr>
    </w:p>
    <w:p w14:paraId="3EF5B00D" w14:textId="11A2BA02" w:rsidR="00290A20" w:rsidRPr="006F1D95" w:rsidRDefault="00290A20" w:rsidP="00625A64">
      <w:pPr>
        <w:spacing w:before="120"/>
        <w:ind w:left="720" w:right="49" w:hanging="720"/>
        <w:jc w:val="center"/>
        <w:rPr>
          <w:rFonts w:ascii="Verdana" w:hAnsi="Verdana" w:cs="Verdana Bold"/>
          <w:b/>
          <w:bCs/>
          <w:caps/>
          <w:sz w:val="20"/>
          <w:szCs w:val="20"/>
        </w:rPr>
      </w:pPr>
      <w:r w:rsidRPr="006F1D95">
        <w:rPr>
          <w:rFonts w:ascii="Verdana" w:hAnsi="Verdana" w:cs="Verdana Bold"/>
          <w:b/>
          <w:bCs/>
          <w:caps/>
          <w:sz w:val="20"/>
          <w:szCs w:val="20"/>
        </w:rPr>
        <w:t xml:space="preserve">Resolución </w:t>
      </w:r>
      <w:r w:rsidR="00BF03F3" w:rsidRPr="006F1D95">
        <w:rPr>
          <w:rFonts w:ascii="Verdana" w:hAnsi="Verdana" w:cs="Verdana Bold"/>
          <w:b/>
          <w:bCs/>
          <w:caps/>
          <w:sz w:val="20"/>
          <w:szCs w:val="20"/>
        </w:rPr>
        <w:t>DE</w:t>
      </w:r>
      <w:r w:rsidR="00222559" w:rsidRPr="006F1D95">
        <w:rPr>
          <w:rFonts w:ascii="Verdana" w:hAnsi="Verdana" w:cs="Verdana Bold"/>
          <w:b/>
          <w:bCs/>
          <w:caps/>
          <w:sz w:val="20"/>
          <w:szCs w:val="20"/>
        </w:rPr>
        <w:t>L</w:t>
      </w:r>
      <w:r w:rsidR="00BF03F3" w:rsidRPr="006F1D95">
        <w:rPr>
          <w:rFonts w:ascii="Verdana" w:hAnsi="Verdana" w:cs="Verdana Bold"/>
          <w:b/>
          <w:bCs/>
          <w:caps/>
          <w:sz w:val="20"/>
          <w:szCs w:val="20"/>
        </w:rPr>
        <w:t xml:space="preserve"> </w:t>
      </w:r>
      <w:r w:rsidRPr="006F1D95">
        <w:rPr>
          <w:rFonts w:ascii="Verdana" w:hAnsi="Verdana" w:cs="Verdana Bold"/>
          <w:b/>
          <w:bCs/>
          <w:caps/>
          <w:sz w:val="20"/>
          <w:szCs w:val="20"/>
        </w:rPr>
        <w:t>President</w:t>
      </w:r>
      <w:r w:rsidR="00222559" w:rsidRPr="006F1D95">
        <w:rPr>
          <w:rFonts w:ascii="Verdana" w:hAnsi="Verdana" w:cs="Verdana Bold"/>
          <w:b/>
          <w:bCs/>
          <w:caps/>
          <w:sz w:val="20"/>
          <w:szCs w:val="20"/>
        </w:rPr>
        <w:t>E</w:t>
      </w:r>
      <w:r w:rsidRPr="006F1D95">
        <w:rPr>
          <w:rFonts w:ascii="Verdana" w:hAnsi="Verdana" w:cs="Verdana Bold"/>
          <w:b/>
          <w:bCs/>
          <w:caps/>
          <w:sz w:val="20"/>
          <w:szCs w:val="20"/>
        </w:rPr>
        <w:t xml:space="preserve"> de lA</w:t>
      </w:r>
    </w:p>
    <w:p w14:paraId="726FA6FB" w14:textId="77777777" w:rsidR="00290A20" w:rsidRPr="006F1D95" w:rsidRDefault="00290A20" w:rsidP="00290A20">
      <w:pPr>
        <w:spacing w:before="120"/>
        <w:ind w:right="-316"/>
        <w:jc w:val="center"/>
        <w:rPr>
          <w:rFonts w:ascii="Verdana" w:hAnsi="Verdana" w:cs="Verdana Bold"/>
          <w:b/>
          <w:bCs/>
          <w:caps/>
          <w:sz w:val="20"/>
          <w:szCs w:val="20"/>
        </w:rPr>
      </w:pPr>
      <w:r w:rsidRPr="006F1D95">
        <w:rPr>
          <w:rFonts w:ascii="Verdana" w:hAnsi="Verdana" w:cs="Verdana Bold"/>
          <w:b/>
          <w:bCs/>
          <w:caps/>
          <w:sz w:val="20"/>
          <w:szCs w:val="20"/>
        </w:rPr>
        <w:t>Corte Interamericana de Derechos Humanos</w:t>
      </w:r>
    </w:p>
    <w:p w14:paraId="4065D73B" w14:textId="77777777" w:rsidR="00290A20" w:rsidRPr="006F1D95" w:rsidRDefault="00290A20" w:rsidP="00290A20">
      <w:pPr>
        <w:spacing w:before="120"/>
        <w:ind w:right="-316"/>
        <w:rPr>
          <w:rFonts w:ascii="Verdana" w:hAnsi="Verdana" w:cs="Verdana Bold"/>
          <w:b/>
          <w:bCs/>
          <w:caps/>
          <w:sz w:val="20"/>
          <w:szCs w:val="20"/>
        </w:rPr>
      </w:pPr>
    </w:p>
    <w:p w14:paraId="1DFEC994" w14:textId="7522ED1F" w:rsidR="00290A20" w:rsidRPr="006F1D95" w:rsidRDefault="00290A20" w:rsidP="00290A20">
      <w:pPr>
        <w:spacing w:before="120"/>
        <w:ind w:right="49"/>
        <w:jc w:val="center"/>
        <w:rPr>
          <w:rFonts w:ascii="Verdana" w:hAnsi="Verdana" w:cs="Verdana Bold"/>
          <w:b/>
          <w:bCs/>
          <w:caps/>
          <w:sz w:val="20"/>
          <w:szCs w:val="20"/>
        </w:rPr>
      </w:pPr>
      <w:r w:rsidRPr="006F1D95">
        <w:rPr>
          <w:rFonts w:ascii="Verdana" w:hAnsi="Verdana" w:cs="Verdana Bold"/>
          <w:b/>
          <w:bCs/>
          <w:caps/>
          <w:sz w:val="20"/>
          <w:szCs w:val="20"/>
        </w:rPr>
        <w:t xml:space="preserve">dE </w:t>
      </w:r>
      <w:r w:rsidR="006F1D95" w:rsidRPr="006F1D95">
        <w:rPr>
          <w:rFonts w:ascii="Verdana" w:hAnsi="Verdana" w:cs="Verdana Bold"/>
          <w:b/>
          <w:bCs/>
          <w:caps/>
          <w:sz w:val="20"/>
          <w:szCs w:val="20"/>
        </w:rPr>
        <w:t>27</w:t>
      </w:r>
      <w:r w:rsidR="008B46A6" w:rsidRPr="006F1D95">
        <w:rPr>
          <w:rFonts w:ascii="Verdana" w:hAnsi="Verdana" w:cs="Verdana Bold"/>
          <w:b/>
          <w:bCs/>
          <w:caps/>
          <w:sz w:val="20"/>
          <w:szCs w:val="20"/>
        </w:rPr>
        <w:t xml:space="preserve"> </w:t>
      </w:r>
      <w:r w:rsidRPr="006F1D95">
        <w:rPr>
          <w:rFonts w:ascii="Verdana" w:hAnsi="Verdana" w:cs="Verdana Bold"/>
          <w:b/>
          <w:bCs/>
          <w:caps/>
          <w:sz w:val="20"/>
          <w:szCs w:val="20"/>
        </w:rPr>
        <w:t xml:space="preserve">DE </w:t>
      </w:r>
      <w:r w:rsidR="008B46A6" w:rsidRPr="006F1D95">
        <w:rPr>
          <w:rFonts w:ascii="Verdana" w:hAnsi="Verdana" w:cs="Verdana Bold"/>
          <w:b/>
          <w:bCs/>
          <w:caps/>
          <w:sz w:val="20"/>
          <w:szCs w:val="20"/>
        </w:rPr>
        <w:t xml:space="preserve">JULIO </w:t>
      </w:r>
      <w:r w:rsidRPr="006F1D95">
        <w:rPr>
          <w:rFonts w:ascii="Verdana" w:hAnsi="Verdana" w:cs="Verdana Bold"/>
          <w:b/>
          <w:bCs/>
          <w:caps/>
          <w:sz w:val="20"/>
          <w:szCs w:val="20"/>
        </w:rPr>
        <w:t xml:space="preserve">de </w:t>
      </w:r>
      <w:r w:rsidR="00CC3E89" w:rsidRPr="006F1D95">
        <w:rPr>
          <w:rFonts w:ascii="Verdana" w:hAnsi="Verdana" w:cs="Verdana Bold"/>
          <w:b/>
          <w:bCs/>
          <w:caps/>
          <w:sz w:val="20"/>
          <w:szCs w:val="20"/>
        </w:rPr>
        <w:t>20</w:t>
      </w:r>
      <w:r w:rsidR="00AE0132" w:rsidRPr="006F1D95">
        <w:rPr>
          <w:rFonts w:ascii="Verdana" w:hAnsi="Verdana" w:cs="Verdana Bold"/>
          <w:b/>
          <w:bCs/>
          <w:caps/>
          <w:sz w:val="20"/>
          <w:szCs w:val="20"/>
        </w:rPr>
        <w:t>2</w:t>
      </w:r>
      <w:r w:rsidR="00915263" w:rsidRPr="006F1D95">
        <w:rPr>
          <w:rFonts w:ascii="Verdana" w:hAnsi="Verdana" w:cs="Verdana Bold"/>
          <w:b/>
          <w:bCs/>
          <w:caps/>
          <w:sz w:val="20"/>
          <w:szCs w:val="20"/>
        </w:rPr>
        <w:t>2</w:t>
      </w:r>
    </w:p>
    <w:p w14:paraId="5287EFC2" w14:textId="77777777" w:rsidR="00290A20" w:rsidRPr="006F1D95" w:rsidRDefault="00290A20" w:rsidP="00290A20">
      <w:pPr>
        <w:spacing w:before="120"/>
        <w:ind w:right="-316"/>
        <w:rPr>
          <w:rFonts w:ascii="Verdana" w:hAnsi="Verdana" w:cs="Verdana Bold"/>
          <w:b/>
          <w:bCs/>
          <w:caps/>
          <w:sz w:val="20"/>
          <w:szCs w:val="20"/>
        </w:rPr>
      </w:pPr>
    </w:p>
    <w:p w14:paraId="1E5218F8" w14:textId="6DD95DDD" w:rsidR="007F5412" w:rsidRPr="006F1D95" w:rsidRDefault="007F5412" w:rsidP="00290A20">
      <w:pPr>
        <w:spacing w:before="120"/>
        <w:ind w:right="49"/>
        <w:jc w:val="center"/>
        <w:rPr>
          <w:rFonts w:ascii="Verdana" w:hAnsi="Verdana" w:cs="Verdana Bold"/>
          <w:b/>
          <w:bCs/>
          <w:caps/>
          <w:sz w:val="20"/>
          <w:szCs w:val="20"/>
        </w:rPr>
      </w:pPr>
      <w:r w:rsidRPr="006F1D95">
        <w:rPr>
          <w:rFonts w:ascii="Verdana" w:hAnsi="Verdana" w:cs="Verdana Bold"/>
          <w:b/>
          <w:bCs/>
          <w:caps/>
          <w:sz w:val="20"/>
          <w:szCs w:val="20"/>
        </w:rPr>
        <w:t xml:space="preserve">Caso </w:t>
      </w:r>
      <w:r w:rsidR="0081236D" w:rsidRPr="006F1D95">
        <w:rPr>
          <w:rFonts w:ascii="Verdana" w:hAnsi="Verdana" w:cs="Verdana Bold"/>
          <w:b/>
          <w:bCs/>
          <w:caps/>
          <w:sz w:val="20"/>
          <w:szCs w:val="20"/>
        </w:rPr>
        <w:t>García Rodríguez y otro Vs. México</w:t>
      </w:r>
    </w:p>
    <w:p w14:paraId="68413589" w14:textId="77777777" w:rsidR="005A2461" w:rsidRPr="006F1D95" w:rsidRDefault="005A2461" w:rsidP="005A2461">
      <w:pPr>
        <w:autoSpaceDE w:val="0"/>
        <w:autoSpaceDN w:val="0"/>
        <w:adjustRightInd w:val="0"/>
        <w:spacing w:before="360" w:after="360"/>
        <w:rPr>
          <w:rFonts w:ascii="Verdana" w:hAnsi="Verdana" w:cs="Verdana"/>
          <w:b/>
          <w:bCs/>
          <w:caps/>
          <w:sz w:val="20"/>
          <w:szCs w:val="20"/>
        </w:rPr>
      </w:pPr>
      <w:r w:rsidRPr="006F1D95">
        <w:rPr>
          <w:rFonts w:ascii="Verdana" w:hAnsi="Verdana" w:cs="Verdana"/>
          <w:b/>
          <w:bCs/>
          <w:sz w:val="20"/>
          <w:szCs w:val="20"/>
          <w:lang w:eastAsia="en-US"/>
        </w:rPr>
        <w:t>VISTO</w:t>
      </w:r>
      <w:r w:rsidRPr="006F1D95">
        <w:rPr>
          <w:rFonts w:ascii="Verdana" w:hAnsi="Verdana" w:cs="Verdana"/>
          <w:b/>
          <w:bCs/>
          <w:caps/>
          <w:sz w:val="20"/>
          <w:szCs w:val="20"/>
        </w:rPr>
        <w:t>:</w:t>
      </w:r>
    </w:p>
    <w:p w14:paraId="334F2E09" w14:textId="728258BF" w:rsidR="00C442D8" w:rsidRPr="006F1D95" w:rsidRDefault="005A2461" w:rsidP="00C442D8">
      <w:pPr>
        <w:pStyle w:val="Prrafodelista"/>
        <w:numPr>
          <w:ilvl w:val="0"/>
          <w:numId w:val="12"/>
        </w:numPr>
        <w:spacing w:before="120"/>
        <w:ind w:left="0" w:firstLine="0"/>
        <w:contextualSpacing w:val="0"/>
        <w:rPr>
          <w:szCs w:val="20"/>
        </w:rPr>
      </w:pPr>
      <w:bookmarkStart w:id="0" w:name="_Ref393297742"/>
      <w:bookmarkStart w:id="1" w:name="_Ref352676460"/>
      <w:r w:rsidRPr="006F1D95">
        <w:rPr>
          <w:szCs w:val="20"/>
        </w:rPr>
        <w:t>El escrito de sometimiento del caso y el Informe de Fondo de la Comisión Interamericana de Derechos Humanos (en adelante “la Comisión Interamericana” o “la Comisión”)</w:t>
      </w:r>
      <w:bookmarkEnd w:id="0"/>
      <w:r w:rsidRPr="006F1D95">
        <w:rPr>
          <w:szCs w:val="20"/>
        </w:rPr>
        <w:t xml:space="preserve">; </w:t>
      </w:r>
      <w:bookmarkStart w:id="2" w:name="_Ref393297751"/>
      <w:bookmarkStart w:id="3" w:name="_Ref351983508"/>
      <w:bookmarkEnd w:id="1"/>
      <w:r w:rsidRPr="006F1D95">
        <w:rPr>
          <w:szCs w:val="20"/>
        </w:rPr>
        <w:t xml:space="preserve">el escrito de solicitudes, argumentos y pruebas (en adelante el “escrito de solicitudes y argumentos”) </w:t>
      </w:r>
      <w:r w:rsidRPr="006F1D95">
        <w:rPr>
          <w:szCs w:val="20"/>
          <w:lang w:eastAsia="en-US"/>
        </w:rPr>
        <w:t>de los representantes</w:t>
      </w:r>
      <w:r w:rsidRPr="006F1D95">
        <w:rPr>
          <w:rStyle w:val="Refdenotaalpie"/>
          <w:szCs w:val="20"/>
          <w:lang w:eastAsia="en-US"/>
        </w:rPr>
        <w:t xml:space="preserve"> </w:t>
      </w:r>
      <w:r w:rsidRPr="006F1D95">
        <w:rPr>
          <w:szCs w:val="20"/>
          <w:lang w:eastAsia="en-US"/>
        </w:rPr>
        <w:t>de las presuntas víctimas</w:t>
      </w:r>
      <w:r w:rsidR="00FE6634" w:rsidRPr="006F1D95">
        <w:rPr>
          <w:rStyle w:val="Refdenotaalpie"/>
          <w:szCs w:val="20"/>
          <w:lang w:eastAsia="en-US"/>
        </w:rPr>
        <w:footnoteReference w:id="1"/>
      </w:r>
      <w:r w:rsidRPr="006F1D95">
        <w:rPr>
          <w:szCs w:val="20"/>
        </w:rPr>
        <w:t xml:space="preserve"> (en adelante “los representantes”), y </w:t>
      </w:r>
      <w:bookmarkEnd w:id="2"/>
      <w:bookmarkEnd w:id="3"/>
      <w:r w:rsidRPr="006F1D95">
        <w:rPr>
          <w:szCs w:val="20"/>
        </w:rPr>
        <w:t xml:space="preserve">el escrito </w:t>
      </w:r>
      <w:r w:rsidR="00952C62" w:rsidRPr="006F1D95">
        <w:rPr>
          <w:szCs w:val="20"/>
        </w:rPr>
        <w:t>de excepci</w:t>
      </w:r>
      <w:r w:rsidR="002073C2" w:rsidRPr="006F1D95">
        <w:rPr>
          <w:szCs w:val="20"/>
        </w:rPr>
        <w:t>ones</w:t>
      </w:r>
      <w:r w:rsidR="00952C62" w:rsidRPr="006F1D95">
        <w:rPr>
          <w:szCs w:val="20"/>
        </w:rPr>
        <w:t xml:space="preserve"> preliminar</w:t>
      </w:r>
      <w:r w:rsidR="002073C2" w:rsidRPr="006F1D95">
        <w:rPr>
          <w:szCs w:val="20"/>
        </w:rPr>
        <w:t>es</w:t>
      </w:r>
      <w:r w:rsidR="00952C62" w:rsidRPr="006F1D95">
        <w:rPr>
          <w:szCs w:val="20"/>
        </w:rPr>
        <w:t xml:space="preserve"> y </w:t>
      </w:r>
      <w:r w:rsidRPr="006F1D95">
        <w:rPr>
          <w:szCs w:val="20"/>
        </w:rPr>
        <w:t xml:space="preserve">contestación al sometimiento del caso y al escrito de solicitudes y argumentos (en adelante “escrito de contestación”) del Estado </w:t>
      </w:r>
      <w:r w:rsidR="00EE42CC" w:rsidRPr="006F1D95">
        <w:rPr>
          <w:szCs w:val="20"/>
        </w:rPr>
        <w:t xml:space="preserve">de </w:t>
      </w:r>
      <w:r w:rsidR="00484B7D" w:rsidRPr="006F1D95">
        <w:rPr>
          <w:szCs w:val="20"/>
        </w:rPr>
        <w:t>México</w:t>
      </w:r>
      <w:r w:rsidR="00EE42CC" w:rsidRPr="006F1D95">
        <w:rPr>
          <w:szCs w:val="20"/>
        </w:rPr>
        <w:t xml:space="preserve"> (en adelante “</w:t>
      </w:r>
      <w:r w:rsidR="00484B7D" w:rsidRPr="006F1D95">
        <w:rPr>
          <w:szCs w:val="20"/>
        </w:rPr>
        <w:t>México</w:t>
      </w:r>
      <w:r w:rsidR="00EE42CC" w:rsidRPr="006F1D95">
        <w:rPr>
          <w:szCs w:val="20"/>
        </w:rPr>
        <w:t>” o “el Estado”</w:t>
      </w:r>
      <w:r w:rsidR="00D70C65" w:rsidRPr="006F1D95">
        <w:rPr>
          <w:szCs w:val="20"/>
        </w:rPr>
        <w:t>)</w:t>
      </w:r>
      <w:r w:rsidR="00952C62" w:rsidRPr="006F1D95">
        <w:rPr>
          <w:szCs w:val="20"/>
        </w:rPr>
        <w:t xml:space="preserve">, así como </w:t>
      </w:r>
      <w:r w:rsidR="002073C2" w:rsidRPr="006F1D95">
        <w:rPr>
          <w:szCs w:val="20"/>
        </w:rPr>
        <w:t>los</w:t>
      </w:r>
      <w:r w:rsidR="002C1C02" w:rsidRPr="006F1D95">
        <w:rPr>
          <w:szCs w:val="20"/>
        </w:rPr>
        <w:t xml:space="preserve"> </w:t>
      </w:r>
      <w:r w:rsidR="00952C62" w:rsidRPr="006F1D95">
        <w:rPr>
          <w:szCs w:val="20"/>
        </w:rPr>
        <w:t>escrito</w:t>
      </w:r>
      <w:r w:rsidR="002073C2" w:rsidRPr="006F1D95">
        <w:rPr>
          <w:szCs w:val="20"/>
        </w:rPr>
        <w:t>s</w:t>
      </w:r>
      <w:r w:rsidR="00952C62" w:rsidRPr="006F1D95">
        <w:rPr>
          <w:szCs w:val="20"/>
        </w:rPr>
        <w:t xml:space="preserve"> de observaciones a la</w:t>
      </w:r>
      <w:r w:rsidR="002073C2" w:rsidRPr="006F1D95">
        <w:rPr>
          <w:szCs w:val="20"/>
        </w:rPr>
        <w:t>s</w:t>
      </w:r>
      <w:r w:rsidR="00952C62" w:rsidRPr="006F1D95">
        <w:rPr>
          <w:szCs w:val="20"/>
        </w:rPr>
        <w:t xml:space="preserve"> excepci</w:t>
      </w:r>
      <w:r w:rsidR="002073C2" w:rsidRPr="006F1D95">
        <w:rPr>
          <w:szCs w:val="20"/>
        </w:rPr>
        <w:t>ones</w:t>
      </w:r>
      <w:r w:rsidR="00952C62" w:rsidRPr="006F1D95">
        <w:rPr>
          <w:szCs w:val="20"/>
        </w:rPr>
        <w:t xml:space="preserve"> preliminar</w:t>
      </w:r>
      <w:r w:rsidR="002073C2" w:rsidRPr="006F1D95">
        <w:rPr>
          <w:szCs w:val="20"/>
        </w:rPr>
        <w:t>es</w:t>
      </w:r>
      <w:r w:rsidR="00952C62" w:rsidRPr="006F1D95">
        <w:rPr>
          <w:szCs w:val="20"/>
        </w:rPr>
        <w:t xml:space="preserve"> presentado</w:t>
      </w:r>
      <w:r w:rsidR="002073C2" w:rsidRPr="006F1D95">
        <w:rPr>
          <w:szCs w:val="20"/>
        </w:rPr>
        <w:t>s</w:t>
      </w:r>
      <w:r w:rsidR="002C1C02" w:rsidRPr="006F1D95">
        <w:rPr>
          <w:szCs w:val="20"/>
        </w:rPr>
        <w:t xml:space="preserve"> por</w:t>
      </w:r>
      <w:r w:rsidR="00952C62" w:rsidRPr="006F1D95">
        <w:rPr>
          <w:szCs w:val="20"/>
        </w:rPr>
        <w:t xml:space="preserve"> la Comisión</w:t>
      </w:r>
      <w:r w:rsidR="002073C2" w:rsidRPr="006F1D95">
        <w:rPr>
          <w:szCs w:val="20"/>
        </w:rPr>
        <w:t xml:space="preserve"> y los representantes</w:t>
      </w:r>
      <w:r w:rsidR="00EE42CC" w:rsidRPr="006F1D95">
        <w:rPr>
          <w:szCs w:val="20"/>
        </w:rPr>
        <w:t>.</w:t>
      </w:r>
    </w:p>
    <w:p w14:paraId="28052E5F" w14:textId="19E7F69B" w:rsidR="00C1536F" w:rsidRPr="006F1D95" w:rsidRDefault="00EE42CC" w:rsidP="00E20086">
      <w:pPr>
        <w:pStyle w:val="Prrafodelista"/>
        <w:numPr>
          <w:ilvl w:val="0"/>
          <w:numId w:val="12"/>
        </w:numPr>
        <w:spacing w:before="120"/>
        <w:ind w:left="0" w:firstLine="0"/>
        <w:contextualSpacing w:val="0"/>
        <w:rPr>
          <w:szCs w:val="20"/>
        </w:rPr>
      </w:pPr>
      <w:r w:rsidRPr="006F1D95">
        <w:rPr>
          <w:szCs w:val="20"/>
        </w:rPr>
        <w:t>Las listas definitivas de declarantes</w:t>
      </w:r>
      <w:r w:rsidR="00A55D24" w:rsidRPr="006F1D95">
        <w:rPr>
          <w:szCs w:val="20"/>
        </w:rPr>
        <w:t xml:space="preserve"> </w:t>
      </w:r>
      <w:r w:rsidRPr="006F1D95">
        <w:rPr>
          <w:szCs w:val="20"/>
        </w:rPr>
        <w:t>presentadas por los representantes</w:t>
      </w:r>
      <w:r w:rsidR="007F5412" w:rsidRPr="006F1D95">
        <w:rPr>
          <w:szCs w:val="20"/>
        </w:rPr>
        <w:t>, el Estado</w:t>
      </w:r>
      <w:r w:rsidR="00517382" w:rsidRPr="006F1D95">
        <w:rPr>
          <w:szCs w:val="20"/>
        </w:rPr>
        <w:t xml:space="preserve"> </w:t>
      </w:r>
      <w:r w:rsidRPr="006F1D95">
        <w:rPr>
          <w:szCs w:val="20"/>
        </w:rPr>
        <w:t>y la Comisió</w:t>
      </w:r>
      <w:r w:rsidR="00517382" w:rsidRPr="006F1D95">
        <w:rPr>
          <w:szCs w:val="20"/>
        </w:rPr>
        <w:t>n</w:t>
      </w:r>
      <w:r w:rsidR="00C852D1" w:rsidRPr="006F1D95">
        <w:rPr>
          <w:szCs w:val="20"/>
        </w:rPr>
        <w:t xml:space="preserve">, </w:t>
      </w:r>
      <w:r w:rsidR="00C1536F" w:rsidRPr="006F1D95">
        <w:rPr>
          <w:szCs w:val="20"/>
        </w:rPr>
        <w:t xml:space="preserve">y </w:t>
      </w:r>
      <w:r w:rsidR="00C852D1" w:rsidRPr="006F1D95">
        <w:rPr>
          <w:szCs w:val="20"/>
        </w:rPr>
        <w:t xml:space="preserve">las observaciones a las mismas presentadas por </w:t>
      </w:r>
      <w:r w:rsidR="003764A3" w:rsidRPr="006F1D95">
        <w:rPr>
          <w:szCs w:val="20"/>
        </w:rPr>
        <w:t>los</w:t>
      </w:r>
      <w:r w:rsidR="00C852D1" w:rsidRPr="006F1D95">
        <w:rPr>
          <w:szCs w:val="20"/>
        </w:rPr>
        <w:t xml:space="preserve"> </w:t>
      </w:r>
      <w:r w:rsidR="003764A3" w:rsidRPr="006F1D95">
        <w:rPr>
          <w:szCs w:val="20"/>
        </w:rPr>
        <w:t>representantes</w:t>
      </w:r>
      <w:r w:rsidR="00325B14" w:rsidRPr="006F1D95">
        <w:rPr>
          <w:szCs w:val="20"/>
        </w:rPr>
        <w:t>, el Estado y la Comisión</w:t>
      </w:r>
      <w:r w:rsidR="00C442D8" w:rsidRPr="006F1D95">
        <w:rPr>
          <w:szCs w:val="20"/>
        </w:rPr>
        <w:t>.</w:t>
      </w:r>
    </w:p>
    <w:p w14:paraId="72EC694E" w14:textId="5A767193" w:rsidR="008B46A6" w:rsidRPr="006F1D95" w:rsidRDefault="008B46A6" w:rsidP="00E20086">
      <w:pPr>
        <w:pStyle w:val="Prrafodelista"/>
        <w:numPr>
          <w:ilvl w:val="0"/>
          <w:numId w:val="12"/>
        </w:numPr>
        <w:spacing w:before="120"/>
        <w:ind w:left="0" w:firstLine="0"/>
        <w:contextualSpacing w:val="0"/>
        <w:rPr>
          <w:szCs w:val="20"/>
        </w:rPr>
      </w:pPr>
      <w:r w:rsidRPr="006F1D95">
        <w:rPr>
          <w:szCs w:val="20"/>
        </w:rPr>
        <w:t>La Resolución del Presidente de la Corte Interamericana de 6 de julio de 2022 convocando a la audiencia en el presente caso</w:t>
      </w:r>
      <w:r w:rsidRPr="006F1D95">
        <w:rPr>
          <w:rStyle w:val="Refdenotaalpie"/>
          <w:szCs w:val="20"/>
        </w:rPr>
        <w:footnoteReference w:id="2"/>
      </w:r>
      <w:r w:rsidRPr="006F1D95">
        <w:rPr>
          <w:szCs w:val="20"/>
        </w:rPr>
        <w:t>.</w:t>
      </w:r>
    </w:p>
    <w:p w14:paraId="0CEFFF07" w14:textId="516F8D25" w:rsidR="008B46A6" w:rsidRPr="006F1D95" w:rsidRDefault="00A6607D" w:rsidP="00E20086">
      <w:pPr>
        <w:pStyle w:val="Prrafodelista"/>
        <w:numPr>
          <w:ilvl w:val="0"/>
          <w:numId w:val="12"/>
        </w:numPr>
        <w:spacing w:before="120"/>
        <w:ind w:left="0" w:firstLine="0"/>
        <w:contextualSpacing w:val="0"/>
        <w:rPr>
          <w:szCs w:val="20"/>
        </w:rPr>
      </w:pPr>
      <w:r w:rsidRPr="006F1D95">
        <w:rPr>
          <w:szCs w:val="20"/>
        </w:rPr>
        <w:t xml:space="preserve">La comunicación del Estado de </w:t>
      </w:r>
      <w:r w:rsidR="009F6257" w:rsidRPr="006F1D95">
        <w:rPr>
          <w:szCs w:val="20"/>
        </w:rPr>
        <w:t>13 de julio de 2022</w:t>
      </w:r>
      <w:r w:rsidRPr="006F1D95">
        <w:rPr>
          <w:szCs w:val="20"/>
        </w:rPr>
        <w:t>, mediante la cual presentó un recurso de reconsideración contra la Resolución de 6 de julio de 2022 (</w:t>
      </w:r>
      <w:r w:rsidRPr="006F1D95">
        <w:rPr>
          <w:i/>
          <w:iCs/>
          <w:szCs w:val="20"/>
        </w:rPr>
        <w:t>supra</w:t>
      </w:r>
      <w:r w:rsidRPr="006F1D95">
        <w:rPr>
          <w:szCs w:val="20"/>
        </w:rPr>
        <w:t xml:space="preserve"> Visto 3).</w:t>
      </w:r>
    </w:p>
    <w:p w14:paraId="228D075C" w14:textId="47C6550F" w:rsidR="00C214EC" w:rsidRPr="006F1D95" w:rsidRDefault="0038199A" w:rsidP="00C214EC">
      <w:pPr>
        <w:pStyle w:val="Prrafodelista"/>
        <w:numPr>
          <w:ilvl w:val="0"/>
          <w:numId w:val="12"/>
        </w:numPr>
        <w:spacing w:before="120"/>
        <w:ind w:left="0" w:firstLine="0"/>
        <w:contextualSpacing w:val="0"/>
        <w:rPr>
          <w:szCs w:val="20"/>
        </w:rPr>
      </w:pPr>
      <w:r w:rsidRPr="006F1D95">
        <w:rPr>
          <w:szCs w:val="20"/>
        </w:rPr>
        <w:t>Las</w:t>
      </w:r>
      <w:r w:rsidR="00C214EC" w:rsidRPr="006F1D95">
        <w:rPr>
          <w:szCs w:val="20"/>
        </w:rPr>
        <w:t xml:space="preserve"> comunicaci</w:t>
      </w:r>
      <w:r w:rsidRPr="006F1D95">
        <w:rPr>
          <w:szCs w:val="20"/>
        </w:rPr>
        <w:t>ones de</w:t>
      </w:r>
      <w:r w:rsidR="00C214EC" w:rsidRPr="006F1D95">
        <w:rPr>
          <w:szCs w:val="20"/>
        </w:rPr>
        <w:t xml:space="preserve"> 22 de julio de 2022, mediante l</w:t>
      </w:r>
      <w:r w:rsidRPr="006F1D95">
        <w:rPr>
          <w:szCs w:val="20"/>
        </w:rPr>
        <w:t>a</w:t>
      </w:r>
      <w:r w:rsidR="00C214EC" w:rsidRPr="006F1D95">
        <w:rPr>
          <w:szCs w:val="20"/>
        </w:rPr>
        <w:t xml:space="preserve">s cuales los representantes </w:t>
      </w:r>
      <w:r w:rsidRPr="006F1D95">
        <w:rPr>
          <w:szCs w:val="20"/>
        </w:rPr>
        <w:t xml:space="preserve">y la Comisión </w:t>
      </w:r>
      <w:r w:rsidR="00C214EC" w:rsidRPr="006F1D95">
        <w:rPr>
          <w:szCs w:val="20"/>
        </w:rPr>
        <w:t>presentaron sus observaciones al recurso de reconsideración contra la Resolución de 6 de julio de 2022 (</w:t>
      </w:r>
      <w:r w:rsidR="00C214EC" w:rsidRPr="006F1D95">
        <w:rPr>
          <w:i/>
          <w:iCs/>
          <w:szCs w:val="20"/>
        </w:rPr>
        <w:t>supra</w:t>
      </w:r>
      <w:r w:rsidR="00C214EC" w:rsidRPr="006F1D95">
        <w:rPr>
          <w:szCs w:val="20"/>
        </w:rPr>
        <w:t xml:space="preserve"> Visto 4).</w:t>
      </w:r>
    </w:p>
    <w:p w14:paraId="72538B1D" w14:textId="77777777" w:rsidR="00F071B2" w:rsidRPr="006F1D95" w:rsidRDefault="00F071B2" w:rsidP="00F071B2">
      <w:pPr>
        <w:autoSpaceDE w:val="0"/>
        <w:autoSpaceDN w:val="0"/>
        <w:adjustRightInd w:val="0"/>
        <w:spacing w:before="360" w:after="360"/>
        <w:rPr>
          <w:rFonts w:ascii="Verdana" w:hAnsi="Verdana" w:cs="Verdana"/>
          <w:b/>
          <w:bCs/>
          <w:sz w:val="20"/>
          <w:szCs w:val="20"/>
          <w:lang w:eastAsia="en-US"/>
        </w:rPr>
      </w:pPr>
      <w:r w:rsidRPr="006F1D95">
        <w:rPr>
          <w:rFonts w:ascii="Verdana" w:hAnsi="Verdana" w:cs="Verdana"/>
          <w:b/>
          <w:bCs/>
          <w:sz w:val="20"/>
          <w:szCs w:val="20"/>
          <w:lang w:eastAsia="en-US"/>
        </w:rPr>
        <w:t>CONSIDERANDO QUE:</w:t>
      </w:r>
    </w:p>
    <w:p w14:paraId="3810A9EC" w14:textId="313AC836" w:rsidR="00F071B2" w:rsidRPr="006F1D95" w:rsidRDefault="00F071B2" w:rsidP="004E284C">
      <w:pPr>
        <w:pStyle w:val="Prrafodelista"/>
        <w:numPr>
          <w:ilvl w:val="0"/>
          <w:numId w:val="15"/>
        </w:numPr>
        <w:spacing w:before="120"/>
        <w:ind w:left="0" w:firstLine="0"/>
        <w:contextualSpacing w:val="0"/>
        <w:rPr>
          <w:szCs w:val="20"/>
        </w:rPr>
      </w:pPr>
      <w:r w:rsidRPr="006F1D95">
        <w:rPr>
          <w:szCs w:val="20"/>
        </w:rPr>
        <w:t>El ofrecimiento y la admisión de la prueba se encuentran regulados en los artículos 35.1.f, 40.2.c, 41.1.c, 46, 48, 50, 57 y 58 del Reglamento del Tribunal.</w:t>
      </w:r>
    </w:p>
    <w:p w14:paraId="371F84B4" w14:textId="14C31A2F" w:rsidR="00A6607D" w:rsidRPr="006F1D95" w:rsidRDefault="00A6607D" w:rsidP="00A6607D">
      <w:pPr>
        <w:pStyle w:val="Prrafodelista"/>
        <w:numPr>
          <w:ilvl w:val="0"/>
          <w:numId w:val="15"/>
        </w:numPr>
        <w:spacing w:before="120"/>
        <w:ind w:left="0" w:firstLine="0"/>
        <w:contextualSpacing w:val="0"/>
        <w:rPr>
          <w:szCs w:val="20"/>
        </w:rPr>
      </w:pPr>
      <w:r w:rsidRPr="006F1D95">
        <w:rPr>
          <w:szCs w:val="20"/>
        </w:rPr>
        <w:lastRenderedPageBreak/>
        <w:t>La Corte tiene amplias facultades en cuanto a la admisión y a la modalidad de recepción de la prueba, de conformidad con los artículos 50, 57 y 58 del Reglamento.</w:t>
      </w:r>
    </w:p>
    <w:p w14:paraId="1BD03BDE" w14:textId="4AB8FC99" w:rsidR="00A6607D" w:rsidRPr="006F1D95" w:rsidRDefault="00A6607D" w:rsidP="00A6607D">
      <w:pPr>
        <w:pStyle w:val="Prrafodelista"/>
        <w:numPr>
          <w:ilvl w:val="0"/>
          <w:numId w:val="15"/>
        </w:numPr>
        <w:spacing w:before="120"/>
        <w:ind w:left="0" w:firstLine="0"/>
        <w:contextualSpacing w:val="0"/>
        <w:rPr>
          <w:szCs w:val="20"/>
        </w:rPr>
      </w:pPr>
      <w:r w:rsidRPr="006F1D95">
        <w:rPr>
          <w:szCs w:val="20"/>
        </w:rPr>
        <w:t xml:space="preserve">Mediante Resolución de </w:t>
      </w:r>
      <w:r w:rsidR="009F6257" w:rsidRPr="006F1D95">
        <w:rPr>
          <w:szCs w:val="20"/>
        </w:rPr>
        <w:t>6 de julio de 2022</w:t>
      </w:r>
      <w:r w:rsidRPr="006F1D95">
        <w:rPr>
          <w:szCs w:val="20"/>
        </w:rPr>
        <w:t xml:space="preserve">, el Presidente </w:t>
      </w:r>
      <w:r w:rsidR="00724A81" w:rsidRPr="006F1D95">
        <w:rPr>
          <w:szCs w:val="20"/>
        </w:rPr>
        <w:t xml:space="preserve">decidió convocar al Estado, a los representantes de las presuntas víctimas y a la Comisión Interamericana de Derechos Humanos a una audiencia pública sobre excepciones preliminares y los eventuales fondo, reparaciones y costas que se realizará durante el 150 Período Ordinario de Sesiones, en la ciudad de Brasilia, Brasil, el día 26 de agosto de 2022, a partir de las 08:30 horas, para recibir sus alegatos y observaciones finales orales, así como </w:t>
      </w:r>
      <w:r w:rsidR="008C0F4E" w:rsidRPr="006F1D95">
        <w:rPr>
          <w:szCs w:val="20"/>
        </w:rPr>
        <w:t>entre otras declaraciones la del perito Rogelio Arturo Bárcena Zubieta por declaración ante fedatario público y la de José Ramón Cossío Díaz</w:t>
      </w:r>
      <w:r w:rsidR="004A01FF" w:rsidRPr="006F1D95">
        <w:rPr>
          <w:szCs w:val="20"/>
        </w:rPr>
        <w:t xml:space="preserve"> (</w:t>
      </w:r>
      <w:r w:rsidR="004A01FF" w:rsidRPr="006F1D95">
        <w:rPr>
          <w:i/>
          <w:iCs/>
          <w:szCs w:val="20"/>
        </w:rPr>
        <w:t>supra</w:t>
      </w:r>
      <w:r w:rsidR="004A01FF" w:rsidRPr="006F1D95">
        <w:rPr>
          <w:szCs w:val="20"/>
        </w:rPr>
        <w:t xml:space="preserve"> Visto 3).</w:t>
      </w:r>
      <w:r w:rsidRPr="006F1D95">
        <w:rPr>
          <w:szCs w:val="20"/>
        </w:rPr>
        <w:t xml:space="preserve"> Del mismo modo, en esa Resolución, el Presidente decidió </w:t>
      </w:r>
      <w:r w:rsidR="00724A81" w:rsidRPr="006F1D95">
        <w:rPr>
          <w:szCs w:val="20"/>
        </w:rPr>
        <w:t>no recabar la declaraci</w:t>
      </w:r>
      <w:r w:rsidR="005B6EE7" w:rsidRPr="006F1D95">
        <w:rPr>
          <w:szCs w:val="20"/>
        </w:rPr>
        <w:t>ón</w:t>
      </w:r>
      <w:r w:rsidR="00724A81" w:rsidRPr="006F1D95">
        <w:rPr>
          <w:szCs w:val="20"/>
        </w:rPr>
        <w:t xml:space="preserve"> </w:t>
      </w:r>
      <w:r w:rsidR="005B6EE7" w:rsidRPr="006F1D95">
        <w:rPr>
          <w:szCs w:val="20"/>
        </w:rPr>
        <w:t>pericial de</w:t>
      </w:r>
      <w:r w:rsidR="00724A81" w:rsidRPr="006F1D95">
        <w:rPr>
          <w:szCs w:val="20"/>
        </w:rPr>
        <w:t xml:space="preserve"> Jorge Ulises Carmona Tinoco</w:t>
      </w:r>
      <w:r w:rsidR="007133FE" w:rsidRPr="006F1D95">
        <w:rPr>
          <w:szCs w:val="20"/>
        </w:rPr>
        <w:t xml:space="preserve">, </w:t>
      </w:r>
      <w:r w:rsidR="005B6EE7" w:rsidRPr="006F1D95">
        <w:rPr>
          <w:szCs w:val="20"/>
        </w:rPr>
        <w:t>la cual</w:t>
      </w:r>
      <w:r w:rsidR="007133FE" w:rsidRPr="006F1D95">
        <w:rPr>
          <w:szCs w:val="20"/>
        </w:rPr>
        <w:t xml:space="preserve"> había sido ofrecida por el Estado</w:t>
      </w:r>
      <w:r w:rsidRPr="006F1D95">
        <w:rPr>
          <w:szCs w:val="20"/>
        </w:rPr>
        <w:t xml:space="preserve"> (</w:t>
      </w:r>
      <w:r w:rsidRPr="006F1D95">
        <w:rPr>
          <w:i/>
          <w:iCs/>
          <w:szCs w:val="20"/>
        </w:rPr>
        <w:t>supra</w:t>
      </w:r>
      <w:r w:rsidRPr="006F1D95">
        <w:rPr>
          <w:szCs w:val="20"/>
        </w:rPr>
        <w:t xml:space="preserve"> Visto </w:t>
      </w:r>
      <w:r w:rsidR="007133FE" w:rsidRPr="006F1D95">
        <w:rPr>
          <w:szCs w:val="20"/>
        </w:rPr>
        <w:t>1</w:t>
      </w:r>
      <w:r w:rsidRPr="006F1D95">
        <w:rPr>
          <w:szCs w:val="20"/>
        </w:rPr>
        <w:t>)</w:t>
      </w:r>
      <w:r w:rsidR="007133FE" w:rsidRPr="006F1D95">
        <w:rPr>
          <w:szCs w:val="20"/>
        </w:rPr>
        <w:t xml:space="preserve">, y en su lugar, ordenó trasladar </w:t>
      </w:r>
      <w:r w:rsidR="005B6EE7" w:rsidRPr="006F1D95">
        <w:rPr>
          <w:szCs w:val="20"/>
        </w:rPr>
        <w:t>el</w:t>
      </w:r>
      <w:r w:rsidR="007133FE" w:rsidRPr="006F1D95">
        <w:rPr>
          <w:szCs w:val="20"/>
        </w:rPr>
        <w:t xml:space="preserve"> peritaje rendido por esa misma persona en el marco del caso </w:t>
      </w:r>
      <w:r w:rsidR="007133FE" w:rsidRPr="006F1D95">
        <w:rPr>
          <w:i/>
          <w:iCs/>
          <w:szCs w:val="20"/>
        </w:rPr>
        <w:t>Caso Tzompaxtle Tecpile y Otros Vs. México</w:t>
      </w:r>
      <w:r w:rsidR="007133FE" w:rsidRPr="006F1D95">
        <w:rPr>
          <w:szCs w:val="20"/>
        </w:rPr>
        <w:t xml:space="preserve"> e incorporarlo al acervo probatorio del presente caso como prueba documental</w:t>
      </w:r>
      <w:r w:rsidR="001C0E07" w:rsidRPr="006F1D95">
        <w:rPr>
          <w:szCs w:val="20"/>
        </w:rPr>
        <w:t xml:space="preserve">. Por último, el Presidente decidió recabar el peritaje de Rogelio Arturo Bárcena Zubieta, el cual había sido ofrecido por el Estado, mediante declaración ante fedatario público </w:t>
      </w:r>
      <w:r w:rsidR="007133FE" w:rsidRPr="006F1D95">
        <w:rPr>
          <w:szCs w:val="20"/>
        </w:rPr>
        <w:t>(</w:t>
      </w:r>
      <w:r w:rsidR="007133FE" w:rsidRPr="006F1D95">
        <w:rPr>
          <w:i/>
          <w:iCs/>
          <w:szCs w:val="20"/>
        </w:rPr>
        <w:t>supra</w:t>
      </w:r>
      <w:r w:rsidR="007133FE" w:rsidRPr="006F1D95">
        <w:rPr>
          <w:szCs w:val="20"/>
        </w:rPr>
        <w:t xml:space="preserve"> Visto 3).</w:t>
      </w:r>
      <w:r w:rsidR="001C0E07" w:rsidRPr="006F1D95">
        <w:rPr>
          <w:szCs w:val="20"/>
        </w:rPr>
        <w:t xml:space="preserve"> </w:t>
      </w:r>
    </w:p>
    <w:p w14:paraId="153ECAC5" w14:textId="6F99F7DF" w:rsidR="007C3056" w:rsidRPr="006F1D95" w:rsidRDefault="00A6607D" w:rsidP="00B917CE">
      <w:pPr>
        <w:pStyle w:val="Prrafodelista"/>
        <w:numPr>
          <w:ilvl w:val="0"/>
          <w:numId w:val="15"/>
        </w:numPr>
        <w:spacing w:before="120"/>
        <w:ind w:left="0" w:firstLine="0"/>
        <w:contextualSpacing w:val="0"/>
        <w:rPr>
          <w:szCs w:val="20"/>
        </w:rPr>
      </w:pPr>
      <w:r w:rsidRPr="006F1D95">
        <w:rPr>
          <w:szCs w:val="20"/>
        </w:rPr>
        <w:t xml:space="preserve">En su escrito de </w:t>
      </w:r>
      <w:r w:rsidR="009F6257" w:rsidRPr="006F1D95">
        <w:rPr>
          <w:szCs w:val="20"/>
        </w:rPr>
        <w:t>13 de julio de 2022</w:t>
      </w:r>
      <w:r w:rsidRPr="006F1D95">
        <w:rPr>
          <w:szCs w:val="20"/>
        </w:rPr>
        <w:t xml:space="preserve">, </w:t>
      </w:r>
      <w:r w:rsidR="007C3056" w:rsidRPr="006F1D95">
        <w:rPr>
          <w:szCs w:val="20"/>
        </w:rPr>
        <w:t>el Estado solicitó que “se considere realizar la audiencia pública del presente caso, prevista para el próximo 26 de agosto de 2022, de manera remota (virtual)”</w:t>
      </w:r>
      <w:r w:rsidR="005C1429" w:rsidRPr="006F1D95">
        <w:rPr>
          <w:szCs w:val="20"/>
        </w:rPr>
        <w:t xml:space="preserve"> (</w:t>
      </w:r>
      <w:r w:rsidR="005C1429" w:rsidRPr="006F1D95">
        <w:rPr>
          <w:i/>
          <w:iCs/>
          <w:szCs w:val="20"/>
        </w:rPr>
        <w:t>supra</w:t>
      </w:r>
      <w:r w:rsidR="005C1429" w:rsidRPr="006F1D95">
        <w:rPr>
          <w:szCs w:val="20"/>
        </w:rPr>
        <w:t xml:space="preserve"> Visto 4 e </w:t>
      </w:r>
      <w:r w:rsidR="005C1429" w:rsidRPr="006F1D95">
        <w:rPr>
          <w:i/>
          <w:iCs/>
          <w:szCs w:val="20"/>
        </w:rPr>
        <w:t xml:space="preserve">infra </w:t>
      </w:r>
      <w:r w:rsidR="005C1429" w:rsidRPr="006F1D95">
        <w:rPr>
          <w:szCs w:val="20"/>
        </w:rPr>
        <w:t>Considerando 5)</w:t>
      </w:r>
      <w:r w:rsidR="007C3056" w:rsidRPr="006F1D95">
        <w:rPr>
          <w:szCs w:val="20"/>
        </w:rPr>
        <w:t xml:space="preserve">. </w:t>
      </w:r>
      <w:r w:rsidR="00B917CE" w:rsidRPr="006F1D95">
        <w:rPr>
          <w:szCs w:val="20"/>
        </w:rPr>
        <w:t xml:space="preserve">En segundo lugar, </w:t>
      </w:r>
      <w:r w:rsidR="007C3056" w:rsidRPr="006F1D95">
        <w:rPr>
          <w:szCs w:val="20"/>
        </w:rPr>
        <w:t>pidió</w:t>
      </w:r>
      <w:r w:rsidRPr="006F1D95">
        <w:rPr>
          <w:szCs w:val="20"/>
        </w:rPr>
        <w:t xml:space="preserve"> que </w:t>
      </w:r>
      <w:r w:rsidR="007763DD" w:rsidRPr="006F1D95">
        <w:rPr>
          <w:szCs w:val="20"/>
        </w:rPr>
        <w:t xml:space="preserve">se </w:t>
      </w:r>
      <w:r w:rsidR="00B917CE" w:rsidRPr="006F1D95">
        <w:rPr>
          <w:szCs w:val="20"/>
        </w:rPr>
        <w:t xml:space="preserve">“acepte la participación </w:t>
      </w:r>
      <w:r w:rsidR="00D2162B" w:rsidRPr="006F1D95">
        <w:rPr>
          <w:szCs w:val="20"/>
        </w:rPr>
        <w:t>de</w:t>
      </w:r>
      <w:r w:rsidR="00B917CE" w:rsidRPr="006F1D95">
        <w:rPr>
          <w:szCs w:val="20"/>
        </w:rPr>
        <w:t xml:space="preserve"> </w:t>
      </w:r>
      <w:r w:rsidR="00D2162B" w:rsidRPr="006F1D95">
        <w:rPr>
          <w:szCs w:val="20"/>
        </w:rPr>
        <w:t>Jorge Ulises Carmona Tinoco</w:t>
      </w:r>
      <w:r w:rsidR="00B917CE" w:rsidRPr="006F1D95">
        <w:rPr>
          <w:szCs w:val="20"/>
        </w:rPr>
        <w:t xml:space="preserve"> y </w:t>
      </w:r>
      <w:r w:rsidR="00D2162B" w:rsidRPr="006F1D95">
        <w:rPr>
          <w:szCs w:val="20"/>
        </w:rPr>
        <w:t>de Rogelio Arturo Bárcena Zubieta “d</w:t>
      </w:r>
      <w:r w:rsidR="00B917CE" w:rsidRPr="006F1D95">
        <w:rPr>
          <w:szCs w:val="20"/>
        </w:rPr>
        <w:t>e manera presencial en la audiencia pública”</w:t>
      </w:r>
      <w:r w:rsidRPr="006F1D95">
        <w:rPr>
          <w:szCs w:val="20"/>
        </w:rPr>
        <w:t xml:space="preserve"> (</w:t>
      </w:r>
      <w:r w:rsidRPr="006F1D95">
        <w:rPr>
          <w:i/>
          <w:iCs/>
          <w:szCs w:val="20"/>
        </w:rPr>
        <w:t>supra</w:t>
      </w:r>
      <w:r w:rsidRPr="006F1D95">
        <w:rPr>
          <w:szCs w:val="20"/>
        </w:rPr>
        <w:t xml:space="preserve"> Visto </w:t>
      </w:r>
      <w:r w:rsidR="007763DD" w:rsidRPr="006F1D95">
        <w:rPr>
          <w:szCs w:val="20"/>
        </w:rPr>
        <w:t>4</w:t>
      </w:r>
      <w:r w:rsidR="005C1429" w:rsidRPr="006F1D95">
        <w:rPr>
          <w:szCs w:val="20"/>
        </w:rPr>
        <w:t xml:space="preserve"> e </w:t>
      </w:r>
      <w:r w:rsidR="005C1429" w:rsidRPr="006F1D95">
        <w:rPr>
          <w:i/>
          <w:iCs/>
          <w:szCs w:val="20"/>
        </w:rPr>
        <w:t xml:space="preserve">infra </w:t>
      </w:r>
      <w:r w:rsidR="005C1429" w:rsidRPr="006F1D95">
        <w:rPr>
          <w:szCs w:val="20"/>
        </w:rPr>
        <w:t xml:space="preserve">Considerandos </w:t>
      </w:r>
      <w:r w:rsidR="004A01FF" w:rsidRPr="006F1D95">
        <w:rPr>
          <w:szCs w:val="20"/>
        </w:rPr>
        <w:t>11</w:t>
      </w:r>
      <w:r w:rsidR="005C1429" w:rsidRPr="006F1D95">
        <w:rPr>
          <w:szCs w:val="20"/>
        </w:rPr>
        <w:t xml:space="preserve"> y </w:t>
      </w:r>
      <w:r w:rsidR="004A01FF" w:rsidRPr="006F1D95">
        <w:rPr>
          <w:szCs w:val="20"/>
        </w:rPr>
        <w:t>14</w:t>
      </w:r>
      <w:r w:rsidRPr="006F1D95">
        <w:rPr>
          <w:szCs w:val="20"/>
        </w:rPr>
        <w:t>)</w:t>
      </w:r>
      <w:r w:rsidR="007C3056" w:rsidRPr="006F1D95">
        <w:rPr>
          <w:szCs w:val="20"/>
        </w:rPr>
        <w:t xml:space="preserve">. </w:t>
      </w:r>
    </w:p>
    <w:p w14:paraId="6CF5DDBD" w14:textId="29D651F4" w:rsidR="0001620F" w:rsidRPr="006F1D95" w:rsidRDefault="0001620F" w:rsidP="0001620F">
      <w:pPr>
        <w:pStyle w:val="Prrafodelista"/>
        <w:numPr>
          <w:ilvl w:val="0"/>
          <w:numId w:val="43"/>
        </w:numPr>
        <w:spacing w:before="240" w:after="240"/>
        <w:ind w:left="714" w:hanging="357"/>
        <w:contextualSpacing w:val="0"/>
        <w:rPr>
          <w:b/>
          <w:bCs/>
          <w:i/>
          <w:iCs/>
          <w:szCs w:val="20"/>
        </w:rPr>
      </w:pPr>
      <w:r w:rsidRPr="006F1D95">
        <w:rPr>
          <w:b/>
          <w:bCs/>
          <w:i/>
          <w:iCs/>
          <w:szCs w:val="20"/>
        </w:rPr>
        <w:t>Sobre la modalidad de la audiencia pública</w:t>
      </w:r>
    </w:p>
    <w:p w14:paraId="4149A852" w14:textId="655A5A2C" w:rsidR="007C3056" w:rsidRPr="006F1D95" w:rsidRDefault="007C3056" w:rsidP="007C3056">
      <w:pPr>
        <w:pStyle w:val="Prrafodelista"/>
        <w:numPr>
          <w:ilvl w:val="0"/>
          <w:numId w:val="15"/>
        </w:numPr>
        <w:spacing w:before="120"/>
        <w:ind w:left="0" w:firstLine="0"/>
        <w:contextualSpacing w:val="0"/>
        <w:rPr>
          <w:szCs w:val="20"/>
        </w:rPr>
      </w:pPr>
      <w:r w:rsidRPr="006F1D95">
        <w:rPr>
          <w:szCs w:val="20"/>
        </w:rPr>
        <w:t xml:space="preserve">Con respecto a la </w:t>
      </w:r>
      <w:r w:rsidR="002767CD" w:rsidRPr="006F1D95">
        <w:rPr>
          <w:szCs w:val="20"/>
        </w:rPr>
        <w:t>solicitud</w:t>
      </w:r>
      <w:r w:rsidRPr="006F1D95">
        <w:rPr>
          <w:szCs w:val="20"/>
        </w:rPr>
        <w:t xml:space="preserve"> del Estado de cambiar la modalidad</w:t>
      </w:r>
      <w:r w:rsidR="00B917CE" w:rsidRPr="006F1D95">
        <w:rPr>
          <w:szCs w:val="20"/>
        </w:rPr>
        <w:t xml:space="preserve"> de</w:t>
      </w:r>
      <w:r w:rsidRPr="006F1D95">
        <w:rPr>
          <w:szCs w:val="20"/>
        </w:rPr>
        <w:t xml:space="preserve"> la audiencia pública para que esta sea virtual o remota en lugar de presencial como había sido ordenado por Resolución de 6 de julio de 2022 (</w:t>
      </w:r>
      <w:r w:rsidRPr="006F1D95">
        <w:rPr>
          <w:i/>
          <w:iCs/>
          <w:szCs w:val="20"/>
        </w:rPr>
        <w:t>supra</w:t>
      </w:r>
      <w:r w:rsidRPr="006F1D95">
        <w:rPr>
          <w:szCs w:val="20"/>
        </w:rPr>
        <w:t xml:space="preserve"> Visto 3), esta Presidencia nota que el Estado fundamentó su requerimiento en las “fuertes restricciones presupuestales” que enfrenta; y por otra, en el incremento de los casos derivados de la pandemia de COVID-19 a nivel mundial que hubo “en los últimos días”.</w:t>
      </w:r>
    </w:p>
    <w:p w14:paraId="564241F2" w14:textId="28C8C363" w:rsidR="00C214EC" w:rsidRPr="006F1D95" w:rsidRDefault="00C214EC" w:rsidP="007C3056">
      <w:pPr>
        <w:pStyle w:val="Prrafodelista"/>
        <w:numPr>
          <w:ilvl w:val="0"/>
          <w:numId w:val="15"/>
        </w:numPr>
        <w:spacing w:before="120"/>
        <w:ind w:left="0" w:firstLine="0"/>
        <w:contextualSpacing w:val="0"/>
        <w:rPr>
          <w:szCs w:val="20"/>
        </w:rPr>
      </w:pPr>
      <w:r w:rsidRPr="006F1D95">
        <w:rPr>
          <w:szCs w:val="20"/>
        </w:rPr>
        <w:t xml:space="preserve">Los representantes se opusieron a dicha solicitud “por consideraciones procesales, de equidad en la operación logística y técnicas”. Sostuvieron asimismo que la audiencia pública “ya había sido pospuesta fundamentalmente por solicitud del Estado, sin que existiera alguna reserva o manifestación sobre la necesidad de realizarla de forma virtual, como de forma extraordinaria lo alega en esa comunicación”. Agregaron </w:t>
      </w:r>
      <w:r w:rsidR="009A0C65" w:rsidRPr="006F1D95">
        <w:rPr>
          <w:szCs w:val="20"/>
        </w:rPr>
        <w:t>que,</w:t>
      </w:r>
      <w:r w:rsidRPr="006F1D95">
        <w:rPr>
          <w:szCs w:val="20"/>
        </w:rPr>
        <w:t xml:space="preserve"> tras la Resolución de Convocatoria de </w:t>
      </w:r>
      <w:r w:rsidR="0001620F" w:rsidRPr="006F1D95">
        <w:rPr>
          <w:szCs w:val="20"/>
        </w:rPr>
        <w:t>6</w:t>
      </w:r>
      <w:r w:rsidRPr="006F1D95">
        <w:rPr>
          <w:szCs w:val="20"/>
        </w:rPr>
        <w:t xml:space="preserve"> de julio de 2022</w:t>
      </w:r>
      <w:r w:rsidR="009A0C65" w:rsidRPr="006F1D95">
        <w:rPr>
          <w:szCs w:val="20"/>
        </w:rPr>
        <w:t>,</w:t>
      </w:r>
      <w:r w:rsidRPr="006F1D95">
        <w:rPr>
          <w:szCs w:val="20"/>
        </w:rPr>
        <w:t xml:space="preserve"> realizaron “diversas acciones encaminadas a dar cumplimiento a lo señalado en la misma, especialmente para asegurar la comparecencia de las personas que formarán parte de la delegación victimal en la audiencia”</w:t>
      </w:r>
      <w:r w:rsidRPr="006F1D95">
        <w:rPr>
          <w:rStyle w:val="Refdenotaalpie"/>
          <w:szCs w:val="20"/>
        </w:rPr>
        <w:footnoteReference w:id="3"/>
      </w:r>
      <w:r w:rsidRPr="006F1D95">
        <w:rPr>
          <w:szCs w:val="20"/>
        </w:rPr>
        <w:t xml:space="preserve">. </w:t>
      </w:r>
      <w:r w:rsidR="00A0768F" w:rsidRPr="006F1D95">
        <w:rPr>
          <w:szCs w:val="20"/>
        </w:rPr>
        <w:t xml:space="preserve">En cuanto al aspecto presupuestal, afirmaron que “la falta de presupuesto no exime del cumplimiento de las obligaciones procesales que la Convención Americana sobre Derechos Humanos (CADH), así como las normas adjetivas </w:t>
      </w:r>
      <w:r w:rsidR="009A0C65" w:rsidRPr="006F1D95">
        <w:rPr>
          <w:szCs w:val="20"/>
        </w:rPr>
        <w:t xml:space="preserve">[…]  </w:t>
      </w:r>
      <w:r w:rsidR="00A0768F" w:rsidRPr="006F1D95">
        <w:rPr>
          <w:szCs w:val="20"/>
        </w:rPr>
        <w:t xml:space="preserve">de la Corte Interamericana de Derechos Humanos; todos estos, instrumentos jurídicos que obligan al Estado Mexicano como parte de un proceso contencioso ante este Sistema regional”. Por otra </w:t>
      </w:r>
      <w:r w:rsidR="00A72C4A" w:rsidRPr="006F1D95">
        <w:rPr>
          <w:szCs w:val="20"/>
        </w:rPr>
        <w:t>parte,</w:t>
      </w:r>
      <w:r w:rsidR="00A0768F" w:rsidRPr="006F1D95">
        <w:rPr>
          <w:szCs w:val="20"/>
        </w:rPr>
        <w:t xml:space="preserve"> arguyeron que el Estado “no presentó </w:t>
      </w:r>
      <w:r w:rsidR="00A0768F" w:rsidRPr="006F1D95">
        <w:rPr>
          <w:szCs w:val="20"/>
        </w:rPr>
        <w:lastRenderedPageBreak/>
        <w:t>información que sustente el riesgo aludido por la pandemia del SARS-CoV-2 y la enfermedad COVID-19”</w:t>
      </w:r>
      <w:r w:rsidR="00A0768F" w:rsidRPr="006F1D95">
        <w:rPr>
          <w:rStyle w:val="Refdenotaalpie"/>
          <w:szCs w:val="20"/>
        </w:rPr>
        <w:footnoteReference w:id="4"/>
      </w:r>
      <w:r w:rsidR="00A0768F" w:rsidRPr="006F1D95">
        <w:rPr>
          <w:szCs w:val="20"/>
        </w:rPr>
        <w:t>.</w:t>
      </w:r>
    </w:p>
    <w:p w14:paraId="629DD9B4" w14:textId="7486BE9D" w:rsidR="0038199A" w:rsidRPr="006F1D95" w:rsidRDefault="0038199A" w:rsidP="007C3056">
      <w:pPr>
        <w:pStyle w:val="Prrafodelista"/>
        <w:numPr>
          <w:ilvl w:val="0"/>
          <w:numId w:val="15"/>
        </w:numPr>
        <w:spacing w:before="120"/>
        <w:ind w:left="0" w:firstLine="0"/>
        <w:contextualSpacing w:val="0"/>
        <w:rPr>
          <w:szCs w:val="20"/>
        </w:rPr>
      </w:pPr>
      <w:r w:rsidRPr="006F1D95">
        <w:rPr>
          <w:szCs w:val="20"/>
        </w:rPr>
        <w:t>Por su parte, la Comisión sostuvo que “no tiene observaciones en relación con la solicitud presentada por el Estado, sin embargo, hace notar la importancia de que sean tomadas en cuenta las precisiones que pudieran tener a ese respecto los representantes”.</w:t>
      </w:r>
    </w:p>
    <w:p w14:paraId="48AD1CA3" w14:textId="43E067D5" w:rsidR="0001620F" w:rsidRPr="006F1D95" w:rsidRDefault="0001620F" w:rsidP="0001620F">
      <w:pPr>
        <w:pStyle w:val="Prrafodelista"/>
        <w:numPr>
          <w:ilvl w:val="0"/>
          <w:numId w:val="15"/>
        </w:numPr>
        <w:spacing w:before="120"/>
        <w:ind w:left="0" w:firstLine="0"/>
        <w:contextualSpacing w:val="0"/>
        <w:rPr>
          <w:szCs w:val="20"/>
        </w:rPr>
      </w:pPr>
      <w:r w:rsidRPr="006F1D95">
        <w:rPr>
          <w:szCs w:val="20"/>
        </w:rPr>
        <w:t>Con respecto a esta solicitud de cambio de modalidad de la audiencia (</w:t>
      </w:r>
      <w:r w:rsidRPr="006F1D95">
        <w:rPr>
          <w:i/>
          <w:iCs/>
          <w:szCs w:val="20"/>
        </w:rPr>
        <w:t>supra</w:t>
      </w:r>
      <w:r w:rsidRPr="006F1D95">
        <w:rPr>
          <w:szCs w:val="20"/>
        </w:rPr>
        <w:t xml:space="preserve"> Considerando 4), esta Presidencia considera que, sin perjuicio de </w:t>
      </w:r>
      <w:r w:rsidRPr="006F1D95">
        <w:t xml:space="preserve">la situación originada a causa de la pandemia por la propagación del COVID-19, cuyos efectos son de público conocimiento y persisten en la actualidad, la audiencia pública en el presente caso puede llevarse a cabo de </w:t>
      </w:r>
      <w:r w:rsidRPr="006F1D95">
        <w:rPr>
          <w:szCs w:val="20"/>
        </w:rPr>
        <w:t>forma</w:t>
      </w:r>
      <w:r w:rsidRPr="006F1D95">
        <w:t xml:space="preserve"> presencial respetando un protocolo de </w:t>
      </w:r>
      <w:r w:rsidRPr="006F1D95">
        <w:rPr>
          <w:szCs w:val="20"/>
        </w:rPr>
        <w:t xml:space="preserve">bioseguridad que los asistentes a la audiencia deberán cumplir obligatoriamente para evitar el contagio por la propagación del COVID-19. Las referidas medidas de bioseguridad serán comunicadas por la Secretaría del Tribunal ulteriormente. </w:t>
      </w:r>
    </w:p>
    <w:p w14:paraId="55C2B82E" w14:textId="47570657" w:rsidR="00BB06BB" w:rsidRPr="006F1D95" w:rsidRDefault="0001620F" w:rsidP="0001620F">
      <w:pPr>
        <w:pStyle w:val="Prrafodelista"/>
        <w:numPr>
          <w:ilvl w:val="0"/>
          <w:numId w:val="15"/>
        </w:numPr>
        <w:spacing w:before="120"/>
        <w:ind w:left="0" w:firstLine="0"/>
        <w:contextualSpacing w:val="0"/>
        <w:rPr>
          <w:szCs w:val="20"/>
        </w:rPr>
      </w:pPr>
      <w:r w:rsidRPr="006F1D95">
        <w:rPr>
          <w:szCs w:val="20"/>
        </w:rPr>
        <w:t xml:space="preserve">Por otra parte, esta Presidencia advierte que se han contemplado las preocupaciones del Estado </w:t>
      </w:r>
      <w:r w:rsidRPr="006F1D95">
        <w:t>relacionadas</w:t>
      </w:r>
      <w:r w:rsidRPr="006F1D95">
        <w:rPr>
          <w:szCs w:val="20"/>
        </w:rPr>
        <w:t xml:space="preserve"> con las “fuertes restricciones presupuestales”, al ordenar recabar la prueba por declaraciones ofrecidas por esa parte a través de medios menos onerosos, como lo son las declaraciones ante fedatario público o a través de traslados de peritajes que fueron recabados en otro caso</w:t>
      </w:r>
      <w:r w:rsidR="009A0C65" w:rsidRPr="006F1D95">
        <w:rPr>
          <w:szCs w:val="20"/>
        </w:rPr>
        <w:t xml:space="preserve"> (</w:t>
      </w:r>
      <w:r w:rsidR="009A0C65" w:rsidRPr="006F1D95">
        <w:rPr>
          <w:i/>
          <w:iCs/>
          <w:szCs w:val="20"/>
        </w:rPr>
        <w:t>supra</w:t>
      </w:r>
      <w:r w:rsidR="009A0C65" w:rsidRPr="006F1D95">
        <w:rPr>
          <w:szCs w:val="20"/>
        </w:rPr>
        <w:t xml:space="preserve"> Considerando 3)</w:t>
      </w:r>
      <w:r w:rsidRPr="006F1D95">
        <w:rPr>
          <w:szCs w:val="20"/>
        </w:rPr>
        <w:t>.</w:t>
      </w:r>
      <w:r w:rsidR="006424CA" w:rsidRPr="006F1D95">
        <w:rPr>
          <w:szCs w:val="20"/>
        </w:rPr>
        <w:t xml:space="preserve"> </w:t>
      </w:r>
      <w:r w:rsidR="00BB06BB" w:rsidRPr="006F1D95">
        <w:rPr>
          <w:szCs w:val="20"/>
        </w:rPr>
        <w:t xml:space="preserve">Por último, el Presidente toma nota del hecho que los representantes aportaron comprobantes de las erogaciones en las cuales </w:t>
      </w:r>
      <w:r w:rsidR="00E91818" w:rsidRPr="006F1D95">
        <w:rPr>
          <w:szCs w:val="20"/>
        </w:rPr>
        <w:t xml:space="preserve">incurrieron con motivo de la decisión de Presidencia convocando a una audiencia pública presencial en el presente caso (supra </w:t>
      </w:r>
      <w:r w:rsidR="00E91818" w:rsidRPr="006F1D95">
        <w:rPr>
          <w:i/>
          <w:iCs/>
          <w:szCs w:val="20"/>
        </w:rPr>
        <w:t>Considerando</w:t>
      </w:r>
      <w:r w:rsidR="00E91818" w:rsidRPr="006F1D95">
        <w:rPr>
          <w:szCs w:val="20"/>
        </w:rPr>
        <w:t xml:space="preserve"> </w:t>
      </w:r>
      <w:r w:rsidR="009A0C65" w:rsidRPr="006F1D95">
        <w:rPr>
          <w:szCs w:val="20"/>
        </w:rPr>
        <w:t>6</w:t>
      </w:r>
      <w:r w:rsidR="00E91818" w:rsidRPr="006F1D95">
        <w:rPr>
          <w:szCs w:val="20"/>
        </w:rPr>
        <w:t>).</w:t>
      </w:r>
      <w:r w:rsidR="006424CA" w:rsidRPr="006F1D95">
        <w:rPr>
          <w:szCs w:val="20"/>
        </w:rPr>
        <w:t xml:space="preserve"> </w:t>
      </w:r>
    </w:p>
    <w:p w14:paraId="343079A6" w14:textId="549B1B1E" w:rsidR="0001620F" w:rsidRPr="006F1D95" w:rsidRDefault="0001620F" w:rsidP="0001620F">
      <w:pPr>
        <w:pStyle w:val="Prrafodelista"/>
        <w:numPr>
          <w:ilvl w:val="0"/>
          <w:numId w:val="15"/>
        </w:numPr>
        <w:spacing w:before="120"/>
        <w:ind w:left="0" w:firstLine="0"/>
        <w:contextualSpacing w:val="0"/>
        <w:rPr>
          <w:szCs w:val="20"/>
        </w:rPr>
      </w:pPr>
      <w:r w:rsidRPr="006F1D95">
        <w:rPr>
          <w:szCs w:val="20"/>
        </w:rPr>
        <w:t xml:space="preserve">De conformidad con lo anterior, </w:t>
      </w:r>
      <w:r w:rsidR="006F1D95" w:rsidRPr="006F1D95">
        <w:rPr>
          <w:szCs w:val="20"/>
        </w:rPr>
        <w:t xml:space="preserve">en consulta con el Pleno del Tribunal, </w:t>
      </w:r>
      <w:r w:rsidRPr="006F1D95">
        <w:rPr>
          <w:szCs w:val="20"/>
        </w:rPr>
        <w:t>no corresponde hacer lugar a la solicitud del Estado, por lo cual, se mantiene la audiencia en la fecha y hora que fuera establecida en la resolución de 6 de julio de 2022 (</w:t>
      </w:r>
      <w:r w:rsidRPr="006F1D95">
        <w:rPr>
          <w:i/>
          <w:iCs/>
          <w:szCs w:val="20"/>
        </w:rPr>
        <w:t>supra</w:t>
      </w:r>
      <w:r w:rsidRPr="006F1D95">
        <w:rPr>
          <w:szCs w:val="20"/>
        </w:rPr>
        <w:t xml:space="preserve"> Visto 3).</w:t>
      </w:r>
    </w:p>
    <w:p w14:paraId="1B0F452B" w14:textId="2971FDEB" w:rsidR="0001620F" w:rsidRPr="006F1D95" w:rsidRDefault="0001620F" w:rsidP="0001620F">
      <w:pPr>
        <w:pStyle w:val="Prrafodelista"/>
        <w:numPr>
          <w:ilvl w:val="0"/>
          <w:numId w:val="43"/>
        </w:numPr>
        <w:spacing w:before="240" w:after="240"/>
        <w:ind w:left="714" w:hanging="357"/>
        <w:contextualSpacing w:val="0"/>
        <w:rPr>
          <w:b/>
          <w:bCs/>
          <w:i/>
          <w:iCs/>
          <w:szCs w:val="20"/>
        </w:rPr>
      </w:pPr>
      <w:r w:rsidRPr="006F1D95">
        <w:rPr>
          <w:b/>
          <w:bCs/>
          <w:i/>
          <w:iCs/>
          <w:szCs w:val="20"/>
        </w:rPr>
        <w:t xml:space="preserve">Sobre las declaraciones de los peritos Jorge Ulises Carmona Tinoco y </w:t>
      </w:r>
      <w:r w:rsidR="008E5238" w:rsidRPr="006F1D95">
        <w:rPr>
          <w:b/>
          <w:bCs/>
          <w:i/>
          <w:iCs/>
          <w:szCs w:val="20"/>
        </w:rPr>
        <w:t>Rogelio Arturo Bárcena Zubieta</w:t>
      </w:r>
      <w:r w:rsidRPr="006F1D95">
        <w:rPr>
          <w:b/>
          <w:bCs/>
          <w:i/>
          <w:iCs/>
          <w:szCs w:val="20"/>
        </w:rPr>
        <w:t xml:space="preserve"> </w:t>
      </w:r>
    </w:p>
    <w:p w14:paraId="636B0685" w14:textId="0EB97E4F" w:rsidR="00A0768F" w:rsidRPr="006F1D95" w:rsidRDefault="00B917CE" w:rsidP="0001620F">
      <w:pPr>
        <w:pStyle w:val="Prrafodelista"/>
        <w:numPr>
          <w:ilvl w:val="0"/>
          <w:numId w:val="15"/>
        </w:numPr>
        <w:spacing w:before="120"/>
        <w:ind w:left="0" w:firstLine="0"/>
        <w:contextualSpacing w:val="0"/>
        <w:rPr>
          <w:szCs w:val="20"/>
        </w:rPr>
      </w:pPr>
      <w:r w:rsidRPr="006F1D95">
        <w:rPr>
          <w:szCs w:val="20"/>
        </w:rPr>
        <w:t>E</w:t>
      </w:r>
      <w:r w:rsidR="007C3056" w:rsidRPr="006F1D95">
        <w:rPr>
          <w:szCs w:val="20"/>
        </w:rPr>
        <w:t xml:space="preserve">n cuanto a su solicitud de </w:t>
      </w:r>
      <w:r w:rsidR="003C4486" w:rsidRPr="006F1D95">
        <w:rPr>
          <w:szCs w:val="20"/>
        </w:rPr>
        <w:t>convocar al perito</w:t>
      </w:r>
      <w:r w:rsidR="007C3056" w:rsidRPr="006F1D95">
        <w:rPr>
          <w:szCs w:val="20"/>
        </w:rPr>
        <w:t xml:space="preserve"> Jorge Ulises Carmona Tinoco a la audiencia pública</w:t>
      </w:r>
      <w:r w:rsidR="00C0483C" w:rsidRPr="006F1D95">
        <w:rPr>
          <w:szCs w:val="20"/>
        </w:rPr>
        <w:t xml:space="preserve">, </w:t>
      </w:r>
      <w:r w:rsidR="003C4486" w:rsidRPr="006F1D95">
        <w:rPr>
          <w:szCs w:val="20"/>
        </w:rPr>
        <w:t xml:space="preserve">en lugar de proceder al traslado de su peritaje recabado en el </w:t>
      </w:r>
      <w:r w:rsidR="003C4486" w:rsidRPr="006F1D95">
        <w:rPr>
          <w:i/>
          <w:iCs/>
          <w:szCs w:val="20"/>
        </w:rPr>
        <w:t>Caso Tzompaxtle Tecpile y Otros Vs. México</w:t>
      </w:r>
      <w:r w:rsidR="00C0483C" w:rsidRPr="006F1D95">
        <w:rPr>
          <w:szCs w:val="20"/>
        </w:rPr>
        <w:t xml:space="preserve"> como había sido ordenado en la Resolución de 6 de julio de 2022 (</w:t>
      </w:r>
      <w:r w:rsidR="00C0483C" w:rsidRPr="006F1D95">
        <w:rPr>
          <w:i/>
          <w:iCs/>
          <w:szCs w:val="20"/>
        </w:rPr>
        <w:t>supra</w:t>
      </w:r>
      <w:r w:rsidR="00C0483C" w:rsidRPr="006F1D95">
        <w:rPr>
          <w:szCs w:val="20"/>
        </w:rPr>
        <w:t xml:space="preserve"> Visto 3</w:t>
      </w:r>
      <w:r w:rsidR="009A0C65" w:rsidRPr="006F1D95">
        <w:rPr>
          <w:szCs w:val="20"/>
        </w:rPr>
        <w:t xml:space="preserve"> y Considerando 3</w:t>
      </w:r>
      <w:r w:rsidR="00C0483C" w:rsidRPr="006F1D95">
        <w:rPr>
          <w:szCs w:val="20"/>
        </w:rPr>
        <w:t>),</w:t>
      </w:r>
      <w:r w:rsidR="007C3056" w:rsidRPr="006F1D95">
        <w:rPr>
          <w:szCs w:val="20"/>
        </w:rPr>
        <w:t xml:space="preserve"> </w:t>
      </w:r>
      <w:r w:rsidRPr="006F1D95">
        <w:rPr>
          <w:szCs w:val="20"/>
        </w:rPr>
        <w:t xml:space="preserve">el Estado </w:t>
      </w:r>
      <w:r w:rsidR="002767CD" w:rsidRPr="006F1D95">
        <w:rPr>
          <w:szCs w:val="20"/>
        </w:rPr>
        <w:t xml:space="preserve">fundamentó su requerimiento </w:t>
      </w:r>
      <w:r w:rsidR="007C3056" w:rsidRPr="006F1D95">
        <w:rPr>
          <w:szCs w:val="20"/>
        </w:rPr>
        <w:t>h</w:t>
      </w:r>
      <w:r w:rsidR="002767CD" w:rsidRPr="006F1D95">
        <w:rPr>
          <w:szCs w:val="20"/>
        </w:rPr>
        <w:t>aciendo</w:t>
      </w:r>
      <w:r w:rsidR="003C4486" w:rsidRPr="006F1D95">
        <w:rPr>
          <w:szCs w:val="20"/>
        </w:rPr>
        <w:t xml:space="preserve"> alusión a</w:t>
      </w:r>
      <w:r w:rsidR="007C3056" w:rsidRPr="006F1D95">
        <w:rPr>
          <w:szCs w:val="20"/>
        </w:rPr>
        <w:t xml:space="preserve"> </w:t>
      </w:r>
      <w:r w:rsidR="001C0E07" w:rsidRPr="006F1D95">
        <w:rPr>
          <w:szCs w:val="20"/>
        </w:rPr>
        <w:t xml:space="preserve">“las preguntas realizadas por la Corte IDH en la audiencia del caso </w:t>
      </w:r>
      <w:r w:rsidR="001C0E07" w:rsidRPr="006F1D95">
        <w:rPr>
          <w:i/>
          <w:iCs/>
          <w:szCs w:val="20"/>
        </w:rPr>
        <w:t>Tzompaxtle Tecpile y Otros Vs. México</w:t>
      </w:r>
      <w:r w:rsidR="001C0E07" w:rsidRPr="006F1D95">
        <w:rPr>
          <w:szCs w:val="20"/>
        </w:rPr>
        <w:t>, respecto de la existencia de figuras similares al arraigo en otros países de la región”</w:t>
      </w:r>
      <w:r w:rsidR="00A0768F" w:rsidRPr="006F1D95">
        <w:rPr>
          <w:szCs w:val="20"/>
        </w:rPr>
        <w:t>.</w:t>
      </w:r>
      <w:r w:rsidR="00297223" w:rsidRPr="006F1D95">
        <w:rPr>
          <w:szCs w:val="20"/>
        </w:rPr>
        <w:t xml:space="preserve"> Solicitó asimismo que en caso “de que la solicitud respecto del Dr. Carmona Tinoco no fuese procedente”, que se “acepte[…la] inclu[sión de] una nota bene a su peritaje, y al de Esteban Gilberto Arcos Cortés, que aclaren las circunstancias particulares de este caso respecto de los peritajes rendidos para el </w:t>
      </w:r>
      <w:r w:rsidR="00297223" w:rsidRPr="006F1D95">
        <w:rPr>
          <w:i/>
          <w:iCs/>
          <w:szCs w:val="20"/>
        </w:rPr>
        <w:t>caso</w:t>
      </w:r>
      <w:r w:rsidR="00297223" w:rsidRPr="006F1D95">
        <w:rPr>
          <w:szCs w:val="20"/>
        </w:rPr>
        <w:t xml:space="preserve"> </w:t>
      </w:r>
      <w:r w:rsidR="00297223" w:rsidRPr="006F1D95">
        <w:rPr>
          <w:i/>
          <w:iCs/>
          <w:szCs w:val="20"/>
        </w:rPr>
        <w:t>Tzompaxtle Tecpile y Otros Vs. México</w:t>
      </w:r>
      <w:r w:rsidR="00297223" w:rsidRPr="006F1D95">
        <w:rPr>
          <w:szCs w:val="20"/>
        </w:rPr>
        <w:t>”.</w:t>
      </w:r>
    </w:p>
    <w:p w14:paraId="5EE343B4" w14:textId="00396A54" w:rsidR="00C0483C" w:rsidRPr="006F1D95" w:rsidRDefault="00A0768F" w:rsidP="0001620F">
      <w:pPr>
        <w:pStyle w:val="Prrafodelista"/>
        <w:numPr>
          <w:ilvl w:val="0"/>
          <w:numId w:val="15"/>
        </w:numPr>
        <w:spacing w:before="120"/>
        <w:ind w:left="0" w:firstLine="0"/>
        <w:contextualSpacing w:val="0"/>
        <w:rPr>
          <w:szCs w:val="20"/>
        </w:rPr>
      </w:pPr>
      <w:r w:rsidRPr="006F1D95">
        <w:rPr>
          <w:szCs w:val="20"/>
        </w:rPr>
        <w:t xml:space="preserve">Sobre este punto, los representantes se opusieron a la solicitud del Estado ya que el peritaje rendido en el marco de la audiencia del </w:t>
      </w:r>
      <w:r w:rsidR="009A0C65" w:rsidRPr="006F1D95">
        <w:rPr>
          <w:i/>
          <w:iCs/>
          <w:szCs w:val="20"/>
        </w:rPr>
        <w:t>Tzompaxtle Tecpile y Otros Vs. México</w:t>
      </w:r>
      <w:r w:rsidRPr="006F1D95">
        <w:rPr>
          <w:szCs w:val="20"/>
        </w:rPr>
        <w:t xml:space="preserve">, por Jorge Ulises Carmona Tinoco es idéntico en cuanto a sus objetos con el que pretende exponer en el presente caso. </w:t>
      </w:r>
      <w:r w:rsidR="004F4557" w:rsidRPr="006F1D95">
        <w:rPr>
          <w:szCs w:val="20"/>
        </w:rPr>
        <w:t xml:space="preserve">Agregaron que </w:t>
      </w:r>
      <w:r w:rsidRPr="006F1D95">
        <w:rPr>
          <w:szCs w:val="20"/>
        </w:rPr>
        <w:t xml:space="preserve">como lo refiere el propio </w:t>
      </w:r>
      <w:r w:rsidR="00BB06BB" w:rsidRPr="006F1D95">
        <w:rPr>
          <w:szCs w:val="20"/>
        </w:rPr>
        <w:t>E</w:t>
      </w:r>
      <w:r w:rsidRPr="006F1D95">
        <w:rPr>
          <w:szCs w:val="20"/>
        </w:rPr>
        <w:t xml:space="preserve">stado en su comunicación se le inquirieron “preguntas realizadas por la Corte IDH en la audiencia del caso </w:t>
      </w:r>
      <w:r w:rsidRPr="006F1D95">
        <w:rPr>
          <w:i/>
          <w:iCs/>
          <w:szCs w:val="20"/>
        </w:rPr>
        <w:t>Tzompaxtle Tecpile</w:t>
      </w:r>
      <w:r w:rsidRPr="006F1D95">
        <w:rPr>
          <w:szCs w:val="20"/>
        </w:rPr>
        <w:t xml:space="preserve">, respecto de la existencia de figuras similares al arraigo en otros países de la región” </w:t>
      </w:r>
      <w:r w:rsidR="009A0C65" w:rsidRPr="006F1D95">
        <w:rPr>
          <w:szCs w:val="20"/>
        </w:rPr>
        <w:t xml:space="preserve">y que </w:t>
      </w:r>
      <w:r w:rsidRPr="006F1D95">
        <w:rPr>
          <w:szCs w:val="20"/>
        </w:rPr>
        <w:t xml:space="preserve">no resulta conducente </w:t>
      </w:r>
      <w:r w:rsidR="009A0C65" w:rsidRPr="006F1D95">
        <w:rPr>
          <w:szCs w:val="20"/>
        </w:rPr>
        <w:t>“</w:t>
      </w:r>
      <w:r w:rsidRPr="006F1D95">
        <w:rPr>
          <w:szCs w:val="20"/>
        </w:rPr>
        <w:t>que</w:t>
      </w:r>
      <w:r w:rsidR="009A0C65" w:rsidRPr="006F1D95">
        <w:rPr>
          <w:szCs w:val="20"/>
        </w:rPr>
        <w:t xml:space="preserve"> [se…]</w:t>
      </w:r>
      <w:r w:rsidRPr="006F1D95">
        <w:rPr>
          <w:szCs w:val="20"/>
        </w:rPr>
        <w:t xml:space="preserve"> pretenda desahogar dicho peritaje en audiencia dado que no haría alusión a hechos relacionados con el presente caso sino únicamente a </w:t>
      </w:r>
      <w:r w:rsidR="004F4557" w:rsidRPr="006F1D95">
        <w:rPr>
          <w:szCs w:val="20"/>
        </w:rPr>
        <w:t>‘</w:t>
      </w:r>
      <w:r w:rsidRPr="006F1D95">
        <w:rPr>
          <w:szCs w:val="20"/>
        </w:rPr>
        <w:t>figuras similares al arraigo en otros países de la región</w:t>
      </w:r>
      <w:r w:rsidR="004F4557" w:rsidRPr="006F1D95">
        <w:rPr>
          <w:szCs w:val="20"/>
        </w:rPr>
        <w:t>’</w:t>
      </w:r>
      <w:r w:rsidRPr="006F1D95">
        <w:rPr>
          <w:szCs w:val="20"/>
        </w:rPr>
        <w:t xml:space="preserve"> temática que ya fue abordada y desahogada </w:t>
      </w:r>
      <w:r w:rsidRPr="006F1D95">
        <w:rPr>
          <w:szCs w:val="20"/>
        </w:rPr>
        <w:lastRenderedPageBreak/>
        <w:t xml:space="preserve">en la respectiva audiencia del Caso </w:t>
      </w:r>
      <w:r w:rsidR="009A0C65" w:rsidRPr="006F1D95">
        <w:rPr>
          <w:i/>
          <w:iCs/>
          <w:szCs w:val="20"/>
        </w:rPr>
        <w:t>Tzompaxtle Tecpile y Otros Vs. México</w:t>
      </w:r>
      <w:r w:rsidR="004F4557" w:rsidRPr="006F1D95">
        <w:rPr>
          <w:szCs w:val="20"/>
        </w:rPr>
        <w:t>”</w:t>
      </w:r>
      <w:r w:rsidRPr="006F1D95">
        <w:rPr>
          <w:szCs w:val="20"/>
        </w:rPr>
        <w:t>.</w:t>
      </w:r>
      <w:r w:rsidR="004F4557" w:rsidRPr="006F1D95">
        <w:rPr>
          <w:szCs w:val="20"/>
        </w:rPr>
        <w:t xml:space="preserve"> </w:t>
      </w:r>
      <w:r w:rsidR="008E5238" w:rsidRPr="006F1D95">
        <w:rPr>
          <w:szCs w:val="20"/>
        </w:rPr>
        <w:t>Indicaron</w:t>
      </w:r>
      <w:r w:rsidR="004F4557" w:rsidRPr="006F1D95">
        <w:rPr>
          <w:szCs w:val="20"/>
        </w:rPr>
        <w:t xml:space="preserve"> que lo anterior se fundamente en el principio de “</w:t>
      </w:r>
      <w:r w:rsidRPr="006F1D95">
        <w:rPr>
          <w:szCs w:val="20"/>
        </w:rPr>
        <w:t xml:space="preserve">economía procesal‚ </w:t>
      </w:r>
      <w:r w:rsidR="009A0C65" w:rsidRPr="006F1D95">
        <w:rPr>
          <w:szCs w:val="20"/>
        </w:rPr>
        <w:t>[…]</w:t>
      </w:r>
      <w:r w:rsidRPr="006F1D95">
        <w:rPr>
          <w:szCs w:val="20"/>
        </w:rPr>
        <w:t>‚ pero también por equidad e igualdad entre las partes‚ ya que se daría al Estado la oportunidad de presentar dos veces los mismos argumentos frente a la Corte‚ en detrimento de las víctimas y de la Comisión</w:t>
      </w:r>
      <w:r w:rsidR="004F4557" w:rsidRPr="006F1D95">
        <w:rPr>
          <w:szCs w:val="20"/>
        </w:rPr>
        <w:t>”</w:t>
      </w:r>
      <w:r w:rsidRPr="006F1D95">
        <w:rPr>
          <w:szCs w:val="20"/>
        </w:rPr>
        <w:t>.</w:t>
      </w:r>
    </w:p>
    <w:p w14:paraId="6CD80FE0" w14:textId="54A296C3" w:rsidR="0064694F" w:rsidRPr="006F1D95" w:rsidRDefault="0038199A" w:rsidP="0064694F">
      <w:pPr>
        <w:pStyle w:val="Prrafodelista"/>
        <w:numPr>
          <w:ilvl w:val="0"/>
          <w:numId w:val="15"/>
        </w:numPr>
        <w:spacing w:before="120"/>
        <w:ind w:left="0" w:firstLine="0"/>
        <w:contextualSpacing w:val="0"/>
        <w:rPr>
          <w:szCs w:val="20"/>
        </w:rPr>
      </w:pPr>
      <w:r w:rsidRPr="006F1D95">
        <w:rPr>
          <w:szCs w:val="20"/>
        </w:rPr>
        <w:t>La Comisión consideró que “no existen motivos para apartarse de la decisión adoptada por la presidencia de la Honorable Corte en su resolución de fecha 6 de julio de 2022”.</w:t>
      </w:r>
      <w:r w:rsidR="00C83D7E" w:rsidRPr="006F1D95">
        <w:rPr>
          <w:szCs w:val="20"/>
        </w:rPr>
        <w:t xml:space="preserve"> </w:t>
      </w:r>
      <w:r w:rsidR="0064694F" w:rsidRPr="006F1D95">
        <w:rPr>
          <w:szCs w:val="20"/>
        </w:rPr>
        <w:t xml:space="preserve">Asimismo, sobre el peritaje de Jorge Ulises Carmona Tinoco, indicó que “el objeto del peritaje rendido […| en el caso </w:t>
      </w:r>
      <w:r w:rsidR="00E269BA" w:rsidRPr="006F1D95">
        <w:rPr>
          <w:i/>
          <w:iCs/>
          <w:szCs w:val="20"/>
        </w:rPr>
        <w:t xml:space="preserve">Tzompaxtle Tecpile y Otros Vs. México </w:t>
      </w:r>
      <w:r w:rsidR="0064694F" w:rsidRPr="006F1D95">
        <w:rPr>
          <w:szCs w:val="20"/>
        </w:rPr>
        <w:t>[…] guarda estrecha relación tanto con los hechos como con el ofrecimiento pericial efectuado por el Estado en el presente caso”. Por ello, y en aplicación del principio de economía procesal, consideró que “procede su incorporación al presente caso en los términos en los que fue rendido”.</w:t>
      </w:r>
    </w:p>
    <w:p w14:paraId="78F86845" w14:textId="58630E08" w:rsidR="00A6607D" w:rsidRPr="006F1D95" w:rsidRDefault="009E379A" w:rsidP="0001620F">
      <w:pPr>
        <w:pStyle w:val="Prrafodelista"/>
        <w:numPr>
          <w:ilvl w:val="0"/>
          <w:numId w:val="15"/>
        </w:numPr>
        <w:spacing w:before="120"/>
        <w:ind w:left="0" w:firstLine="0"/>
        <w:contextualSpacing w:val="0"/>
        <w:rPr>
          <w:szCs w:val="20"/>
        </w:rPr>
      </w:pPr>
      <w:r w:rsidRPr="006F1D95">
        <w:rPr>
          <w:szCs w:val="20"/>
        </w:rPr>
        <w:t>Sobre</w:t>
      </w:r>
      <w:r w:rsidR="003C4486" w:rsidRPr="006F1D95">
        <w:rPr>
          <w:szCs w:val="20"/>
        </w:rPr>
        <w:t xml:space="preserve"> la </w:t>
      </w:r>
      <w:r w:rsidRPr="006F1D95">
        <w:rPr>
          <w:szCs w:val="20"/>
        </w:rPr>
        <w:t xml:space="preserve">petición </w:t>
      </w:r>
      <w:r w:rsidR="00C0483C" w:rsidRPr="006F1D95">
        <w:rPr>
          <w:szCs w:val="20"/>
        </w:rPr>
        <w:t xml:space="preserve">relacionada con la declaración de Bárcena Zubieta, la misma corresponde a una solicitud de </w:t>
      </w:r>
      <w:r w:rsidR="003C4486" w:rsidRPr="006F1D95">
        <w:rPr>
          <w:szCs w:val="20"/>
        </w:rPr>
        <w:t xml:space="preserve">cambio de modalidad </w:t>
      </w:r>
      <w:r w:rsidR="008C0F4E" w:rsidRPr="006F1D95">
        <w:rPr>
          <w:szCs w:val="20"/>
        </w:rPr>
        <w:t xml:space="preserve">para que la Corte la reciba en audiencia </w:t>
      </w:r>
      <w:r w:rsidR="00E269BA" w:rsidRPr="006F1D95">
        <w:rPr>
          <w:szCs w:val="20"/>
        </w:rPr>
        <w:t xml:space="preserve">pública </w:t>
      </w:r>
      <w:r w:rsidR="008C0F4E" w:rsidRPr="006F1D95">
        <w:rPr>
          <w:szCs w:val="20"/>
        </w:rPr>
        <w:t xml:space="preserve">en lugar de </w:t>
      </w:r>
      <w:r w:rsidR="00E269BA" w:rsidRPr="006F1D95">
        <w:rPr>
          <w:szCs w:val="20"/>
        </w:rPr>
        <w:t>hacerlo</w:t>
      </w:r>
      <w:r w:rsidR="008C0F4E" w:rsidRPr="006F1D95">
        <w:rPr>
          <w:szCs w:val="20"/>
        </w:rPr>
        <w:t xml:space="preserve"> por declaración ante fedatario público</w:t>
      </w:r>
      <w:r w:rsidR="00C0483C" w:rsidRPr="006F1D95">
        <w:rPr>
          <w:szCs w:val="20"/>
        </w:rPr>
        <w:t>. Al respecto, el Estado</w:t>
      </w:r>
      <w:r w:rsidR="003C4486" w:rsidRPr="006F1D95">
        <w:rPr>
          <w:szCs w:val="20"/>
        </w:rPr>
        <w:t xml:space="preserve"> indicó que</w:t>
      </w:r>
      <w:r w:rsidR="007763DD" w:rsidRPr="006F1D95">
        <w:rPr>
          <w:szCs w:val="20"/>
        </w:rPr>
        <w:t xml:space="preserve"> la finalidad de tal requerimiento era para que la Corte </w:t>
      </w:r>
      <w:r w:rsidR="003C4486" w:rsidRPr="006F1D95">
        <w:rPr>
          <w:szCs w:val="20"/>
        </w:rPr>
        <w:t>“</w:t>
      </w:r>
      <w:r w:rsidR="007763DD" w:rsidRPr="006F1D95">
        <w:rPr>
          <w:szCs w:val="20"/>
        </w:rPr>
        <w:t>tenga una visión integral de los criterios de la Suprema Corte de Justicia de la Nación (SCJN) en materia de restricciones constitucionales, de manera particular después del 30 de noviembre de 2018, fecha en la que José Ramón Cossío Díaz dejó ser Ministro de la SCJN</w:t>
      </w:r>
      <w:r w:rsidR="003C4486" w:rsidRPr="006F1D95">
        <w:rPr>
          <w:szCs w:val="20"/>
        </w:rPr>
        <w:t>”.</w:t>
      </w:r>
      <w:r w:rsidR="007540BB" w:rsidRPr="006F1D95">
        <w:rPr>
          <w:szCs w:val="20"/>
        </w:rPr>
        <w:t xml:space="preserve"> </w:t>
      </w:r>
    </w:p>
    <w:p w14:paraId="5B856358" w14:textId="09ED4D04" w:rsidR="004F4557" w:rsidRPr="006F1D95" w:rsidRDefault="004F4557" w:rsidP="0001620F">
      <w:pPr>
        <w:pStyle w:val="Prrafodelista"/>
        <w:numPr>
          <w:ilvl w:val="0"/>
          <w:numId w:val="15"/>
        </w:numPr>
        <w:spacing w:before="120"/>
        <w:ind w:left="0" w:firstLine="0"/>
        <w:contextualSpacing w:val="0"/>
        <w:rPr>
          <w:szCs w:val="20"/>
        </w:rPr>
      </w:pPr>
      <w:r w:rsidRPr="006F1D95">
        <w:rPr>
          <w:szCs w:val="20"/>
        </w:rPr>
        <w:t xml:space="preserve">Los representantes se opusieron a esta solicitud “ya que el derecho del Estado para rendir la prueba pericial ha sido garantizado mediante la incorporación del mismo por affidávit, e incluso, </w:t>
      </w:r>
      <w:r w:rsidR="00E269BA" w:rsidRPr="006F1D95">
        <w:rPr>
          <w:szCs w:val="20"/>
        </w:rPr>
        <w:t>[recordó que ya se]</w:t>
      </w:r>
      <w:r w:rsidRPr="006F1D95">
        <w:rPr>
          <w:szCs w:val="20"/>
        </w:rPr>
        <w:t xml:space="preserve"> </w:t>
      </w:r>
      <w:r w:rsidR="00E269BA" w:rsidRPr="006F1D95">
        <w:rPr>
          <w:szCs w:val="20"/>
        </w:rPr>
        <w:t>envió</w:t>
      </w:r>
      <w:r w:rsidRPr="006F1D95">
        <w:rPr>
          <w:szCs w:val="20"/>
        </w:rPr>
        <w:t xml:space="preserve"> por escrito las preguntas </w:t>
      </w:r>
      <w:r w:rsidR="00E269BA" w:rsidRPr="006F1D95">
        <w:rPr>
          <w:szCs w:val="20"/>
        </w:rPr>
        <w:t>[por escrito al referido perito]</w:t>
      </w:r>
      <w:r w:rsidRPr="006F1D95">
        <w:rPr>
          <w:szCs w:val="20"/>
        </w:rPr>
        <w:t xml:space="preserve">”. Afirmaron que </w:t>
      </w:r>
      <w:r w:rsidR="005A754D" w:rsidRPr="006F1D95">
        <w:rPr>
          <w:szCs w:val="20"/>
        </w:rPr>
        <w:t xml:space="preserve">la petición del Estado “no </w:t>
      </w:r>
      <w:r w:rsidRPr="006F1D95">
        <w:rPr>
          <w:szCs w:val="20"/>
        </w:rPr>
        <w:t>encuentra ningún sustento ni fáctico ni de temporalidad relacionado con los hechos del presente caso</w:t>
      </w:r>
      <w:r w:rsidR="005A754D" w:rsidRPr="006F1D95">
        <w:rPr>
          <w:szCs w:val="20"/>
        </w:rPr>
        <w:t>”</w:t>
      </w:r>
      <w:r w:rsidRPr="006F1D95">
        <w:rPr>
          <w:szCs w:val="20"/>
        </w:rPr>
        <w:t xml:space="preserve">. </w:t>
      </w:r>
      <w:r w:rsidR="00226340" w:rsidRPr="006F1D95">
        <w:rPr>
          <w:szCs w:val="20"/>
        </w:rPr>
        <w:t xml:space="preserve">Sobre la </w:t>
      </w:r>
      <w:r w:rsidR="008C0F4E" w:rsidRPr="006F1D95">
        <w:rPr>
          <w:szCs w:val="20"/>
        </w:rPr>
        <w:t>“</w:t>
      </w:r>
      <w:r w:rsidR="00226340" w:rsidRPr="006F1D95">
        <w:rPr>
          <w:i/>
          <w:iCs/>
          <w:szCs w:val="20"/>
        </w:rPr>
        <w:t>nota</w:t>
      </w:r>
      <w:r w:rsidR="00A43490" w:rsidRPr="006F1D95">
        <w:rPr>
          <w:i/>
          <w:iCs/>
          <w:szCs w:val="20"/>
        </w:rPr>
        <w:t xml:space="preserve"> bene</w:t>
      </w:r>
      <w:r w:rsidR="008C0F4E" w:rsidRPr="006F1D95">
        <w:rPr>
          <w:i/>
          <w:iCs/>
          <w:szCs w:val="20"/>
        </w:rPr>
        <w:t>”</w:t>
      </w:r>
      <w:r w:rsidR="00A43490" w:rsidRPr="006F1D95">
        <w:rPr>
          <w:i/>
          <w:iCs/>
          <w:szCs w:val="20"/>
        </w:rPr>
        <w:t xml:space="preserve"> </w:t>
      </w:r>
      <w:r w:rsidR="00A43490" w:rsidRPr="006F1D95">
        <w:rPr>
          <w:szCs w:val="20"/>
        </w:rPr>
        <w:t xml:space="preserve">requerida por el Estado en los peritajes </w:t>
      </w:r>
      <w:r w:rsidR="00D2162B" w:rsidRPr="006F1D95">
        <w:rPr>
          <w:szCs w:val="20"/>
        </w:rPr>
        <w:t>de</w:t>
      </w:r>
      <w:r w:rsidR="00A43490" w:rsidRPr="006F1D95">
        <w:rPr>
          <w:szCs w:val="20"/>
        </w:rPr>
        <w:t xml:space="preserve"> </w:t>
      </w:r>
      <w:r w:rsidR="00D2162B" w:rsidRPr="006F1D95">
        <w:rPr>
          <w:szCs w:val="20"/>
        </w:rPr>
        <w:t>Esteban Gilberto Arcos Cortés</w:t>
      </w:r>
      <w:r w:rsidR="00A43490" w:rsidRPr="006F1D95">
        <w:rPr>
          <w:szCs w:val="20"/>
        </w:rPr>
        <w:t xml:space="preserve"> y </w:t>
      </w:r>
      <w:r w:rsidR="00A75D46" w:rsidRPr="006F1D95">
        <w:rPr>
          <w:szCs w:val="20"/>
        </w:rPr>
        <w:t>de Jorge Ulises Carmona Tinoco</w:t>
      </w:r>
      <w:r w:rsidR="00A43490" w:rsidRPr="006F1D95">
        <w:rPr>
          <w:szCs w:val="20"/>
        </w:rPr>
        <w:t xml:space="preserve"> respectivamente, los representantes alegaron que las mismas resultan improcedentes dado que la representación del Estado ya tuvo la oportunidad de formular los cuestionamientos necesarios que estimó pertinentes en el </w:t>
      </w:r>
      <w:r w:rsidR="006424CA" w:rsidRPr="006F1D95">
        <w:rPr>
          <w:i/>
          <w:iCs/>
          <w:szCs w:val="20"/>
        </w:rPr>
        <w:t>c</w:t>
      </w:r>
      <w:r w:rsidR="00A43490" w:rsidRPr="006F1D95">
        <w:rPr>
          <w:i/>
          <w:iCs/>
          <w:szCs w:val="20"/>
        </w:rPr>
        <w:t xml:space="preserve">aso </w:t>
      </w:r>
      <w:r w:rsidR="00E269BA" w:rsidRPr="006F1D95">
        <w:rPr>
          <w:i/>
          <w:iCs/>
          <w:szCs w:val="20"/>
        </w:rPr>
        <w:t>Tzompaxtle Tecpile y Otros Vs. México</w:t>
      </w:r>
      <w:r w:rsidR="00A43490" w:rsidRPr="006F1D95">
        <w:rPr>
          <w:szCs w:val="20"/>
        </w:rPr>
        <w:t xml:space="preserve">, y “no puede dársele otra nueva oportunidad en virtud de que los objetos planteados en dicho caso y en el presente son idénticos”. Por otra parte, sostuvieron </w:t>
      </w:r>
      <w:r w:rsidR="00A75D46" w:rsidRPr="006F1D95">
        <w:rPr>
          <w:szCs w:val="20"/>
        </w:rPr>
        <w:t>que “</w:t>
      </w:r>
      <w:r w:rsidR="00A43490" w:rsidRPr="006F1D95">
        <w:rPr>
          <w:szCs w:val="20"/>
        </w:rPr>
        <w:t>el pretender incorporar nuevos datos o nueva información relacionada con el presente caso viciaría su calidad de peritos imparciales pues se estaría agregando información de la cual no tienen conocimiento en dicha calidad”.</w:t>
      </w:r>
    </w:p>
    <w:p w14:paraId="79A4BB1F" w14:textId="53246962" w:rsidR="0064694F" w:rsidRPr="006F1D95" w:rsidRDefault="00C83D7E" w:rsidP="0001620F">
      <w:pPr>
        <w:pStyle w:val="Prrafodelista"/>
        <w:numPr>
          <w:ilvl w:val="0"/>
          <w:numId w:val="15"/>
        </w:numPr>
        <w:spacing w:before="120"/>
        <w:ind w:left="0" w:firstLine="0"/>
        <w:contextualSpacing w:val="0"/>
        <w:rPr>
          <w:szCs w:val="20"/>
        </w:rPr>
      </w:pPr>
      <w:r w:rsidRPr="006F1D95">
        <w:rPr>
          <w:szCs w:val="20"/>
        </w:rPr>
        <w:t xml:space="preserve">La Comisión </w:t>
      </w:r>
      <w:r w:rsidR="0064694F" w:rsidRPr="006F1D95">
        <w:rPr>
          <w:szCs w:val="20"/>
        </w:rPr>
        <w:t>observó</w:t>
      </w:r>
      <w:r w:rsidR="00E269BA" w:rsidRPr="006F1D95">
        <w:rPr>
          <w:szCs w:val="20"/>
        </w:rPr>
        <w:t>,</w:t>
      </w:r>
      <w:r w:rsidR="0064694F" w:rsidRPr="006F1D95">
        <w:rPr>
          <w:szCs w:val="20"/>
        </w:rPr>
        <w:t xml:space="preserve"> con respecto a la solicitud relacionada con Rogelio Arturo Bárcena Zubieta, que el Estado </w:t>
      </w:r>
      <w:r w:rsidR="00D56B6C" w:rsidRPr="006F1D95">
        <w:rPr>
          <w:szCs w:val="20"/>
        </w:rPr>
        <w:t xml:space="preserve">no </w:t>
      </w:r>
      <w:r w:rsidR="00523AA4" w:rsidRPr="006F1D95">
        <w:rPr>
          <w:szCs w:val="20"/>
        </w:rPr>
        <w:t xml:space="preserve">presentó </w:t>
      </w:r>
      <w:r w:rsidR="006424CA" w:rsidRPr="006F1D95">
        <w:rPr>
          <w:szCs w:val="20"/>
        </w:rPr>
        <w:t>suficientes razones por</w:t>
      </w:r>
      <w:r w:rsidR="0064694F" w:rsidRPr="006F1D95">
        <w:rPr>
          <w:szCs w:val="20"/>
        </w:rPr>
        <w:t xml:space="preserve"> las cuales sería necesario</w:t>
      </w:r>
      <w:r w:rsidR="006424CA" w:rsidRPr="006F1D95">
        <w:rPr>
          <w:szCs w:val="20"/>
        </w:rPr>
        <w:t xml:space="preserve"> </w:t>
      </w:r>
      <w:r w:rsidR="0064694F" w:rsidRPr="006F1D95">
        <w:rPr>
          <w:szCs w:val="20"/>
        </w:rPr>
        <w:t>que</w:t>
      </w:r>
      <w:r w:rsidR="006424CA" w:rsidRPr="006F1D95">
        <w:rPr>
          <w:szCs w:val="20"/>
        </w:rPr>
        <w:t xml:space="preserve"> </w:t>
      </w:r>
      <w:r w:rsidR="0064694F" w:rsidRPr="006F1D95">
        <w:rPr>
          <w:szCs w:val="20"/>
        </w:rPr>
        <w:t>el</w:t>
      </w:r>
      <w:r w:rsidR="006424CA" w:rsidRPr="006F1D95">
        <w:rPr>
          <w:szCs w:val="20"/>
        </w:rPr>
        <w:t xml:space="preserve"> </w:t>
      </w:r>
      <w:r w:rsidR="0064694F" w:rsidRPr="006F1D95">
        <w:rPr>
          <w:szCs w:val="20"/>
        </w:rPr>
        <w:t>perito</w:t>
      </w:r>
      <w:r w:rsidR="006424CA" w:rsidRPr="006F1D95">
        <w:rPr>
          <w:szCs w:val="20"/>
        </w:rPr>
        <w:t xml:space="preserve"> </w:t>
      </w:r>
      <w:r w:rsidR="0064694F" w:rsidRPr="006F1D95">
        <w:rPr>
          <w:szCs w:val="20"/>
        </w:rPr>
        <w:t>declare</w:t>
      </w:r>
      <w:r w:rsidR="006424CA" w:rsidRPr="006F1D95">
        <w:rPr>
          <w:szCs w:val="20"/>
        </w:rPr>
        <w:t xml:space="preserve"> </w:t>
      </w:r>
      <w:r w:rsidR="0064694F" w:rsidRPr="006F1D95">
        <w:rPr>
          <w:szCs w:val="20"/>
        </w:rPr>
        <w:t>de manera oral en la audiencia</w:t>
      </w:r>
      <w:r w:rsidR="006424CA" w:rsidRPr="006F1D95">
        <w:rPr>
          <w:szCs w:val="20"/>
        </w:rPr>
        <w:t xml:space="preserve"> </w:t>
      </w:r>
      <w:r w:rsidR="0064694F" w:rsidRPr="006F1D95">
        <w:rPr>
          <w:szCs w:val="20"/>
        </w:rPr>
        <w:t>pública</w:t>
      </w:r>
      <w:r w:rsidR="006424CA" w:rsidRPr="006F1D95">
        <w:rPr>
          <w:szCs w:val="20"/>
        </w:rPr>
        <w:t xml:space="preserve"> </w:t>
      </w:r>
      <w:r w:rsidR="0064694F" w:rsidRPr="006F1D95">
        <w:rPr>
          <w:szCs w:val="20"/>
        </w:rPr>
        <w:t>del</w:t>
      </w:r>
      <w:r w:rsidR="006424CA" w:rsidRPr="006F1D95">
        <w:rPr>
          <w:szCs w:val="20"/>
        </w:rPr>
        <w:t xml:space="preserve"> </w:t>
      </w:r>
      <w:r w:rsidR="0064694F" w:rsidRPr="006F1D95">
        <w:rPr>
          <w:szCs w:val="20"/>
        </w:rPr>
        <w:t>caso, en vez de presentar su peritaje por escrito. Asimismo, sostuvo que no hay motivos que sugieran que la modalidad para la celebración del peritaje dispuesta en la Resolución de fecha 6 de julio de 2022 afecte de alguna manera la igualdad de las partes en el proceso ante la Corte.</w:t>
      </w:r>
    </w:p>
    <w:p w14:paraId="35A1AF90" w14:textId="35BF604F" w:rsidR="00CA43B1" w:rsidRPr="006F1D95" w:rsidRDefault="00E97AA8" w:rsidP="00A43490">
      <w:pPr>
        <w:pStyle w:val="Prrafodelista"/>
        <w:numPr>
          <w:ilvl w:val="0"/>
          <w:numId w:val="15"/>
        </w:numPr>
        <w:spacing w:before="120"/>
        <w:ind w:left="0" w:firstLine="0"/>
        <w:contextualSpacing w:val="0"/>
        <w:rPr>
          <w:szCs w:val="20"/>
        </w:rPr>
      </w:pPr>
      <w:r w:rsidRPr="006F1D95">
        <w:rPr>
          <w:szCs w:val="20"/>
        </w:rPr>
        <w:t>E</w:t>
      </w:r>
      <w:r w:rsidR="00C37D44" w:rsidRPr="006F1D95">
        <w:rPr>
          <w:szCs w:val="20"/>
        </w:rPr>
        <w:t xml:space="preserve">n relación con la solicitud de reconsideración planteada por el Estado para que sean recibidas </w:t>
      </w:r>
      <w:r w:rsidR="00E269BA" w:rsidRPr="006F1D95">
        <w:rPr>
          <w:szCs w:val="20"/>
        </w:rPr>
        <w:t>la</w:t>
      </w:r>
      <w:r w:rsidR="00C37D44" w:rsidRPr="006F1D95">
        <w:rPr>
          <w:szCs w:val="20"/>
        </w:rPr>
        <w:t xml:space="preserve"> declaraci</w:t>
      </w:r>
      <w:r w:rsidR="00E269BA" w:rsidRPr="006F1D95">
        <w:rPr>
          <w:szCs w:val="20"/>
        </w:rPr>
        <w:t>ón</w:t>
      </w:r>
      <w:r w:rsidR="00C37D44" w:rsidRPr="006F1D95">
        <w:rPr>
          <w:szCs w:val="20"/>
        </w:rPr>
        <w:t xml:space="preserve"> pericial de </w:t>
      </w:r>
      <w:r w:rsidR="00CA43B1" w:rsidRPr="006F1D95">
        <w:rPr>
          <w:szCs w:val="20"/>
        </w:rPr>
        <w:t>Jorge Ulises Carmona Tinoco</w:t>
      </w:r>
      <w:r w:rsidR="005C1429" w:rsidRPr="006F1D95">
        <w:rPr>
          <w:szCs w:val="20"/>
        </w:rPr>
        <w:t xml:space="preserve"> (</w:t>
      </w:r>
      <w:r w:rsidR="005C1429" w:rsidRPr="006F1D95">
        <w:rPr>
          <w:i/>
          <w:iCs/>
          <w:szCs w:val="20"/>
        </w:rPr>
        <w:t>supra</w:t>
      </w:r>
      <w:r w:rsidR="005C1429" w:rsidRPr="006F1D95">
        <w:rPr>
          <w:szCs w:val="20"/>
        </w:rPr>
        <w:t xml:space="preserve"> Considerando</w:t>
      </w:r>
      <w:r w:rsidR="00E269BA" w:rsidRPr="006F1D95">
        <w:rPr>
          <w:szCs w:val="20"/>
        </w:rPr>
        <w:t>s</w:t>
      </w:r>
      <w:r w:rsidR="005C1429" w:rsidRPr="006F1D95">
        <w:rPr>
          <w:szCs w:val="20"/>
        </w:rPr>
        <w:t xml:space="preserve"> 4</w:t>
      </w:r>
      <w:r w:rsidR="00E269BA" w:rsidRPr="006F1D95">
        <w:rPr>
          <w:szCs w:val="20"/>
        </w:rPr>
        <w:t xml:space="preserve"> y 11</w:t>
      </w:r>
      <w:r w:rsidR="005C1429" w:rsidRPr="006F1D95">
        <w:rPr>
          <w:szCs w:val="20"/>
        </w:rPr>
        <w:t>)</w:t>
      </w:r>
      <w:r w:rsidR="00C37D44" w:rsidRPr="006F1D95">
        <w:rPr>
          <w:szCs w:val="20"/>
        </w:rPr>
        <w:t>, en el marco del presente caso</w:t>
      </w:r>
      <w:r w:rsidR="004C0CF2" w:rsidRPr="006F1D95">
        <w:rPr>
          <w:szCs w:val="20"/>
        </w:rPr>
        <w:t xml:space="preserve">, en lugar de que se traslade </w:t>
      </w:r>
      <w:r w:rsidR="00CA43B1" w:rsidRPr="006F1D95">
        <w:rPr>
          <w:szCs w:val="20"/>
        </w:rPr>
        <w:t>su</w:t>
      </w:r>
      <w:r w:rsidR="004C0CF2" w:rsidRPr="006F1D95">
        <w:rPr>
          <w:szCs w:val="20"/>
        </w:rPr>
        <w:t xml:space="preserve"> declaraci</w:t>
      </w:r>
      <w:r w:rsidR="00CA43B1" w:rsidRPr="006F1D95">
        <w:rPr>
          <w:szCs w:val="20"/>
        </w:rPr>
        <w:t>ón</w:t>
      </w:r>
      <w:r w:rsidR="004C0CF2" w:rsidRPr="006F1D95">
        <w:rPr>
          <w:szCs w:val="20"/>
        </w:rPr>
        <w:t xml:space="preserve"> recabada en el </w:t>
      </w:r>
      <w:r w:rsidR="00CA43B1" w:rsidRPr="006F1D95">
        <w:rPr>
          <w:i/>
          <w:iCs/>
          <w:szCs w:val="20"/>
        </w:rPr>
        <w:t>Caso Tzompaxtle Tecpile</w:t>
      </w:r>
      <w:r w:rsidR="004C0CF2" w:rsidRPr="006F1D95">
        <w:rPr>
          <w:szCs w:val="20"/>
        </w:rPr>
        <w:t xml:space="preserve">, esta Presidencia encuentra que </w:t>
      </w:r>
      <w:r w:rsidR="00CA43B1" w:rsidRPr="006F1D95">
        <w:rPr>
          <w:szCs w:val="20"/>
        </w:rPr>
        <w:t xml:space="preserve">efectivamente su peritaje puede verse nutrido por información adicional que puede corresponder a las inquietudes </w:t>
      </w:r>
      <w:r w:rsidR="00123638" w:rsidRPr="006F1D95">
        <w:rPr>
          <w:szCs w:val="20"/>
        </w:rPr>
        <w:t>y</w:t>
      </w:r>
      <w:r w:rsidR="00CA43B1" w:rsidRPr="006F1D95">
        <w:rPr>
          <w:szCs w:val="20"/>
        </w:rPr>
        <w:t xml:space="preserve"> las interrogantes planteadas por los </w:t>
      </w:r>
      <w:r w:rsidR="009E379A" w:rsidRPr="006F1D95">
        <w:rPr>
          <w:szCs w:val="20"/>
        </w:rPr>
        <w:t>j</w:t>
      </w:r>
      <w:r w:rsidR="00CA43B1" w:rsidRPr="006F1D95">
        <w:rPr>
          <w:szCs w:val="20"/>
        </w:rPr>
        <w:t xml:space="preserve">ueces de la Corte durante la audiencia pública del citado caso, en particular en cuanto a la “existencia de figuras similares al arraigo en otros países de la región”. En consecuencia, </w:t>
      </w:r>
      <w:r w:rsidR="00123638" w:rsidRPr="006F1D95">
        <w:rPr>
          <w:szCs w:val="20"/>
        </w:rPr>
        <w:t>procede convocar a Jorge Ulises Carmona Tinoco para que rinda su peritaje en el marco del presente caso. El objeto de dicha declaración se determinará en la parte resolutiva de la presente Resolución (</w:t>
      </w:r>
      <w:r w:rsidR="00123638" w:rsidRPr="006F1D95">
        <w:rPr>
          <w:i/>
          <w:iCs/>
          <w:szCs w:val="20"/>
        </w:rPr>
        <w:t>infra</w:t>
      </w:r>
      <w:r w:rsidR="00123638" w:rsidRPr="006F1D95">
        <w:rPr>
          <w:szCs w:val="20"/>
        </w:rPr>
        <w:t xml:space="preserve"> punto resolutivo 3)</w:t>
      </w:r>
      <w:r w:rsidR="00CA43B1" w:rsidRPr="006F1D95">
        <w:rPr>
          <w:szCs w:val="20"/>
        </w:rPr>
        <w:t>.</w:t>
      </w:r>
      <w:r w:rsidR="00123638" w:rsidRPr="006F1D95">
        <w:rPr>
          <w:szCs w:val="20"/>
        </w:rPr>
        <w:t xml:space="preserve"> Por</w:t>
      </w:r>
      <w:r w:rsidR="009E379A" w:rsidRPr="006F1D95">
        <w:rPr>
          <w:szCs w:val="20"/>
        </w:rPr>
        <w:t xml:space="preserve"> motivos de economía procesal, así como por los problemas presupuestales reportados por el Estado</w:t>
      </w:r>
      <w:r w:rsidR="00123638" w:rsidRPr="006F1D95">
        <w:rPr>
          <w:szCs w:val="20"/>
        </w:rPr>
        <w:t>, esta Presidencia ordena recabar dicho peritaje mediante declaración ante fedatario público.</w:t>
      </w:r>
      <w:r w:rsidR="00070E33" w:rsidRPr="006F1D95">
        <w:rPr>
          <w:szCs w:val="20"/>
        </w:rPr>
        <w:t xml:space="preserve"> </w:t>
      </w:r>
      <w:r w:rsidR="00BB06BB" w:rsidRPr="006F1D95">
        <w:rPr>
          <w:szCs w:val="20"/>
        </w:rPr>
        <w:t xml:space="preserve">Por </w:t>
      </w:r>
      <w:r w:rsidR="00BB06BB" w:rsidRPr="006F1D95">
        <w:rPr>
          <w:szCs w:val="20"/>
        </w:rPr>
        <w:lastRenderedPageBreak/>
        <w:t xml:space="preserve">otra parte, la solicitud del Estado sobre la incorporación de </w:t>
      </w:r>
      <w:r w:rsidR="00BB06BB" w:rsidRPr="006F1D95">
        <w:rPr>
          <w:i/>
          <w:iCs/>
          <w:szCs w:val="20"/>
        </w:rPr>
        <w:t>notas benes</w:t>
      </w:r>
      <w:r w:rsidR="00BB06BB" w:rsidRPr="006F1D95">
        <w:rPr>
          <w:szCs w:val="20"/>
        </w:rPr>
        <w:t xml:space="preserve"> a los peritajes de Dr. Arcos Cortés y de </w:t>
      </w:r>
      <w:r w:rsidR="00A75D46" w:rsidRPr="006F1D95">
        <w:rPr>
          <w:szCs w:val="20"/>
        </w:rPr>
        <w:t>Jorge Ulises Carmona Tinoco</w:t>
      </w:r>
      <w:r w:rsidR="00A43490" w:rsidRPr="006F1D95">
        <w:rPr>
          <w:szCs w:val="20"/>
        </w:rPr>
        <w:t xml:space="preserve">, </w:t>
      </w:r>
      <w:r w:rsidR="00BB06BB" w:rsidRPr="006F1D95">
        <w:rPr>
          <w:szCs w:val="20"/>
        </w:rPr>
        <w:t>deviene insubsistente puesto que el Estado condicionó esta solicitud al rechazo</w:t>
      </w:r>
      <w:r w:rsidR="00A75D46" w:rsidRPr="006F1D95">
        <w:rPr>
          <w:szCs w:val="20"/>
        </w:rPr>
        <w:t xml:space="preserve"> de su recurso de reconsideración</w:t>
      </w:r>
      <w:r w:rsidR="00BB06BB" w:rsidRPr="006F1D95">
        <w:rPr>
          <w:szCs w:val="20"/>
        </w:rPr>
        <w:t xml:space="preserve"> por parte de la Presidencia </w:t>
      </w:r>
      <w:r w:rsidR="00A75D46" w:rsidRPr="006F1D95">
        <w:rPr>
          <w:szCs w:val="20"/>
        </w:rPr>
        <w:t>en relación con el</w:t>
      </w:r>
      <w:r w:rsidR="00BB06BB" w:rsidRPr="006F1D95">
        <w:rPr>
          <w:szCs w:val="20"/>
        </w:rPr>
        <w:t xml:space="preserve"> peritaje de </w:t>
      </w:r>
      <w:r w:rsidR="00A75D46" w:rsidRPr="006F1D95">
        <w:rPr>
          <w:szCs w:val="20"/>
        </w:rPr>
        <w:t xml:space="preserve">Jorge Ulises Carmona Tinoco </w:t>
      </w:r>
      <w:r w:rsidR="00BB06BB" w:rsidRPr="006F1D95">
        <w:rPr>
          <w:szCs w:val="20"/>
        </w:rPr>
        <w:t>en el presente caso, lo cual no ocurrió (</w:t>
      </w:r>
      <w:r w:rsidR="00BB06BB" w:rsidRPr="006F1D95">
        <w:rPr>
          <w:i/>
          <w:iCs/>
          <w:szCs w:val="20"/>
        </w:rPr>
        <w:t>supra</w:t>
      </w:r>
      <w:r w:rsidR="00BB06BB" w:rsidRPr="006F1D95">
        <w:rPr>
          <w:szCs w:val="20"/>
        </w:rPr>
        <w:t xml:space="preserve"> Considerando </w:t>
      </w:r>
      <w:r w:rsidR="00297223" w:rsidRPr="006F1D95">
        <w:rPr>
          <w:szCs w:val="20"/>
        </w:rPr>
        <w:t>11</w:t>
      </w:r>
      <w:r w:rsidR="00BB06BB" w:rsidRPr="006F1D95">
        <w:rPr>
          <w:szCs w:val="20"/>
        </w:rPr>
        <w:t>).</w:t>
      </w:r>
    </w:p>
    <w:p w14:paraId="443DFCBB" w14:textId="327AA18F" w:rsidR="00E97AA8" w:rsidRPr="006F1D95" w:rsidRDefault="00123638" w:rsidP="0001620F">
      <w:pPr>
        <w:pStyle w:val="Prrafodelista"/>
        <w:numPr>
          <w:ilvl w:val="0"/>
          <w:numId w:val="44"/>
        </w:numPr>
        <w:spacing w:before="120"/>
        <w:ind w:left="0" w:firstLine="0"/>
        <w:contextualSpacing w:val="0"/>
        <w:rPr>
          <w:szCs w:val="20"/>
        </w:rPr>
      </w:pPr>
      <w:r w:rsidRPr="006F1D95">
        <w:rPr>
          <w:szCs w:val="20"/>
        </w:rPr>
        <w:t xml:space="preserve">Por último, en cuanto a la solicitud presentaba por el Estado sobre cambio de modalidad </w:t>
      </w:r>
      <w:r w:rsidR="00F64A1E" w:rsidRPr="006F1D95">
        <w:rPr>
          <w:szCs w:val="20"/>
        </w:rPr>
        <w:t xml:space="preserve">de la declaración pericial </w:t>
      </w:r>
      <w:r w:rsidRPr="006F1D95">
        <w:rPr>
          <w:szCs w:val="20"/>
        </w:rPr>
        <w:t>Rogelio Arturo Bárcena Zubieta</w:t>
      </w:r>
      <w:r w:rsidR="00F64A1E" w:rsidRPr="006F1D95">
        <w:rPr>
          <w:szCs w:val="20"/>
        </w:rPr>
        <w:t xml:space="preserve"> para que pueda ser recabada durante la audiencia pública</w:t>
      </w:r>
      <w:r w:rsidR="00297223" w:rsidRPr="006F1D95">
        <w:rPr>
          <w:szCs w:val="20"/>
        </w:rPr>
        <w:t xml:space="preserve"> (</w:t>
      </w:r>
      <w:r w:rsidR="00297223" w:rsidRPr="006F1D95">
        <w:rPr>
          <w:i/>
          <w:iCs/>
          <w:szCs w:val="20"/>
        </w:rPr>
        <w:t>supra</w:t>
      </w:r>
      <w:r w:rsidR="00297223" w:rsidRPr="006F1D95">
        <w:rPr>
          <w:szCs w:val="20"/>
        </w:rPr>
        <w:t xml:space="preserve"> Considerandos 4 y 14)</w:t>
      </w:r>
      <w:r w:rsidR="00F64A1E" w:rsidRPr="006F1D95">
        <w:rPr>
          <w:szCs w:val="20"/>
        </w:rPr>
        <w:t>, esta Presidencia entiende</w:t>
      </w:r>
      <w:r w:rsidR="00E97AA8" w:rsidRPr="006F1D95">
        <w:rPr>
          <w:szCs w:val="20"/>
        </w:rPr>
        <w:t xml:space="preserve"> que puede efectivamente resultar útil recabar ese peritaje con posterioridad a la declaración de José Ramón Cossío Díaz en la medida que el perito podrá </w:t>
      </w:r>
      <w:r w:rsidR="00D03EB9" w:rsidRPr="006F1D95">
        <w:rPr>
          <w:szCs w:val="20"/>
        </w:rPr>
        <w:t xml:space="preserve">también </w:t>
      </w:r>
      <w:r w:rsidR="00E97AA8" w:rsidRPr="006F1D95">
        <w:rPr>
          <w:szCs w:val="20"/>
        </w:rPr>
        <w:t xml:space="preserve">referirse en su declaración a los criterios de la Suprema Corte de Justicia de la Nación (SCJN) en materia de restricciones constitucionales, después del 30 de noviembre de 2018, fecha en la que el José Ramón Cossío Díaz dejó ser Ministro de la SCJN. </w:t>
      </w:r>
      <w:r w:rsidR="000328B9" w:rsidRPr="006F1D95">
        <w:rPr>
          <w:szCs w:val="20"/>
        </w:rPr>
        <w:t>Por tanto</w:t>
      </w:r>
      <w:r w:rsidR="00CC3DDD" w:rsidRPr="006F1D95">
        <w:rPr>
          <w:szCs w:val="20"/>
        </w:rPr>
        <w:t xml:space="preserve">, </w:t>
      </w:r>
      <w:r w:rsidR="000328B9" w:rsidRPr="006F1D95">
        <w:rPr>
          <w:szCs w:val="20"/>
        </w:rPr>
        <w:t xml:space="preserve">el Presidente </w:t>
      </w:r>
      <w:r w:rsidR="00CC3DDD" w:rsidRPr="006F1D95">
        <w:rPr>
          <w:szCs w:val="20"/>
        </w:rPr>
        <w:t xml:space="preserve">considera procedente cambiar la modalidad de la declaración de Rogelio Arturo Bárcena Zubieta ordenada en la </w:t>
      </w:r>
      <w:r w:rsidR="00CC3DDD" w:rsidRPr="006F1D95">
        <w:rPr>
          <w:rFonts w:cs="Verdana"/>
          <w:szCs w:val="20"/>
        </w:rPr>
        <w:t>Resolución del Presidente de la Corte Interamericana de 6 de julio de 2022</w:t>
      </w:r>
      <w:r w:rsidR="00CC3DDD" w:rsidRPr="006F1D95">
        <w:rPr>
          <w:szCs w:val="20"/>
        </w:rPr>
        <w:t>, y ordena recabar el referido peritaje durante la audiencia pública del presente caso. El objeto de la declaración pericial ordenada es el mismo que figura en la Resolución de 6 de julio de 2022</w:t>
      </w:r>
      <w:r w:rsidR="008E5238" w:rsidRPr="006F1D95">
        <w:rPr>
          <w:szCs w:val="20"/>
        </w:rPr>
        <w:t xml:space="preserve"> (</w:t>
      </w:r>
      <w:r w:rsidR="008E5238" w:rsidRPr="006F1D95">
        <w:rPr>
          <w:i/>
          <w:iCs/>
          <w:szCs w:val="20"/>
        </w:rPr>
        <w:t>supra</w:t>
      </w:r>
      <w:r w:rsidR="008E5238" w:rsidRPr="006F1D95">
        <w:rPr>
          <w:szCs w:val="20"/>
        </w:rPr>
        <w:t xml:space="preserve"> Visto 3)</w:t>
      </w:r>
      <w:r w:rsidR="000328B9" w:rsidRPr="006F1D95">
        <w:rPr>
          <w:szCs w:val="20"/>
        </w:rPr>
        <w:t>.</w:t>
      </w:r>
    </w:p>
    <w:p w14:paraId="31337D83" w14:textId="77777777" w:rsidR="00593A2F" w:rsidRPr="006F1D95" w:rsidRDefault="00593A2F" w:rsidP="00593A2F">
      <w:pPr>
        <w:autoSpaceDE w:val="0"/>
        <w:autoSpaceDN w:val="0"/>
        <w:adjustRightInd w:val="0"/>
        <w:spacing w:before="360" w:after="360"/>
        <w:rPr>
          <w:rFonts w:ascii="Verdana" w:hAnsi="Verdana" w:cs="Verdana"/>
          <w:b/>
          <w:bCs/>
          <w:sz w:val="20"/>
          <w:szCs w:val="20"/>
        </w:rPr>
      </w:pPr>
      <w:r w:rsidRPr="006F1D95">
        <w:rPr>
          <w:rFonts w:ascii="Verdana" w:hAnsi="Verdana" w:cs="Verdana"/>
          <w:b/>
          <w:bCs/>
          <w:sz w:val="20"/>
          <w:szCs w:val="20"/>
        </w:rPr>
        <w:t xml:space="preserve">POR </w:t>
      </w:r>
      <w:r w:rsidRPr="006F1D95">
        <w:rPr>
          <w:rFonts w:ascii="Verdana" w:hAnsi="Verdana" w:cs="Verdana"/>
          <w:b/>
          <w:bCs/>
          <w:sz w:val="20"/>
          <w:szCs w:val="20"/>
          <w:lang w:eastAsia="en-US"/>
        </w:rPr>
        <w:t>TANTO</w:t>
      </w:r>
      <w:r w:rsidRPr="006F1D95">
        <w:rPr>
          <w:rFonts w:ascii="Verdana" w:hAnsi="Verdana" w:cs="Verdana"/>
          <w:b/>
          <w:bCs/>
          <w:sz w:val="20"/>
          <w:szCs w:val="20"/>
        </w:rPr>
        <w:t>:</w:t>
      </w:r>
    </w:p>
    <w:p w14:paraId="1F62CFC0" w14:textId="2DB3982C" w:rsidR="00593A2F" w:rsidRPr="006F1D95" w:rsidRDefault="00222559" w:rsidP="00593A2F">
      <w:pPr>
        <w:autoSpaceDE w:val="0"/>
        <w:autoSpaceDN w:val="0"/>
        <w:adjustRightInd w:val="0"/>
        <w:spacing w:before="360" w:after="360"/>
        <w:rPr>
          <w:rFonts w:ascii="Verdana" w:hAnsi="Verdana" w:cs="Verdana"/>
          <w:b/>
          <w:bCs/>
          <w:sz w:val="20"/>
          <w:szCs w:val="20"/>
        </w:rPr>
      </w:pPr>
      <w:r w:rsidRPr="006F1D95">
        <w:rPr>
          <w:rFonts w:ascii="Verdana" w:hAnsi="Verdana" w:cs="Verdana"/>
          <w:b/>
          <w:bCs/>
          <w:sz w:val="20"/>
          <w:szCs w:val="20"/>
        </w:rPr>
        <w:t>EL</w:t>
      </w:r>
      <w:r w:rsidR="00593A2F" w:rsidRPr="006F1D95">
        <w:rPr>
          <w:rFonts w:ascii="Verdana" w:hAnsi="Verdana" w:cs="Verdana"/>
          <w:b/>
          <w:bCs/>
          <w:sz w:val="20"/>
          <w:szCs w:val="20"/>
        </w:rPr>
        <w:t xml:space="preserve"> PRESIDENT</w:t>
      </w:r>
      <w:r w:rsidRPr="006F1D95">
        <w:rPr>
          <w:rFonts w:ascii="Verdana" w:hAnsi="Verdana" w:cs="Verdana"/>
          <w:b/>
          <w:bCs/>
          <w:sz w:val="20"/>
          <w:szCs w:val="20"/>
        </w:rPr>
        <w:t>E</w:t>
      </w:r>
      <w:r w:rsidR="00593A2F" w:rsidRPr="006F1D95">
        <w:rPr>
          <w:rFonts w:ascii="Verdana" w:hAnsi="Verdana" w:cs="Verdana"/>
          <w:b/>
          <w:bCs/>
          <w:sz w:val="20"/>
          <w:szCs w:val="20"/>
        </w:rPr>
        <w:t xml:space="preserve"> DE LA </w:t>
      </w:r>
      <w:r w:rsidR="00593A2F" w:rsidRPr="006F1D95">
        <w:rPr>
          <w:rFonts w:ascii="Verdana" w:hAnsi="Verdana" w:cs="Verdana"/>
          <w:b/>
          <w:bCs/>
          <w:sz w:val="20"/>
          <w:szCs w:val="20"/>
          <w:lang w:eastAsia="en-US"/>
        </w:rPr>
        <w:t>CORTE</w:t>
      </w:r>
      <w:r w:rsidR="00593A2F" w:rsidRPr="006F1D95">
        <w:rPr>
          <w:rFonts w:ascii="Verdana" w:hAnsi="Verdana" w:cs="Verdana"/>
          <w:b/>
          <w:bCs/>
          <w:sz w:val="20"/>
          <w:szCs w:val="20"/>
        </w:rPr>
        <w:t xml:space="preserve"> INTERAMERICANA DE DERECHOS HUMANOS, </w:t>
      </w:r>
    </w:p>
    <w:p w14:paraId="2CC8C554" w14:textId="205330A8" w:rsidR="00593A2F" w:rsidRPr="006F1D95" w:rsidRDefault="00593A2F" w:rsidP="00593A2F">
      <w:pPr>
        <w:spacing w:before="120"/>
        <w:rPr>
          <w:rFonts w:ascii="Verdana" w:hAnsi="Verdana" w:cs="Verdana"/>
          <w:sz w:val="20"/>
          <w:szCs w:val="20"/>
        </w:rPr>
      </w:pPr>
      <w:r w:rsidRPr="006F1D95">
        <w:rPr>
          <w:rFonts w:ascii="Verdana" w:hAnsi="Verdana" w:cs="Verdana"/>
          <w:sz w:val="20"/>
          <w:szCs w:val="20"/>
        </w:rPr>
        <w:t xml:space="preserve">de conformidad con los artículos 24.1 y 25.2 del Estatuto de la Corte y con los artículos 4, 15.1, 26.1, 31.2, 35.1, 40.2, 41.1, 45, 46 a 48, </w:t>
      </w:r>
      <w:r w:rsidR="00175631" w:rsidRPr="006F1D95">
        <w:rPr>
          <w:rFonts w:ascii="Verdana" w:hAnsi="Verdana" w:cs="Verdana"/>
          <w:sz w:val="20"/>
          <w:szCs w:val="20"/>
        </w:rPr>
        <w:t xml:space="preserve">49, </w:t>
      </w:r>
      <w:r w:rsidRPr="006F1D95">
        <w:rPr>
          <w:rFonts w:ascii="Verdana" w:hAnsi="Verdana" w:cs="Verdana"/>
          <w:sz w:val="20"/>
          <w:szCs w:val="20"/>
        </w:rPr>
        <w:t xml:space="preserve">50 a 58 y 60 del Reglamento, </w:t>
      </w:r>
    </w:p>
    <w:p w14:paraId="2D46F36B" w14:textId="77777777" w:rsidR="00593A2F" w:rsidRPr="006F1D95" w:rsidRDefault="00593A2F" w:rsidP="00593A2F">
      <w:pPr>
        <w:autoSpaceDE w:val="0"/>
        <w:autoSpaceDN w:val="0"/>
        <w:adjustRightInd w:val="0"/>
        <w:spacing w:before="360" w:after="360" w:line="276" w:lineRule="auto"/>
        <w:rPr>
          <w:rFonts w:ascii="Verdana" w:hAnsi="Verdana" w:cs="Verdana"/>
          <w:b/>
          <w:bCs/>
          <w:sz w:val="20"/>
          <w:szCs w:val="20"/>
        </w:rPr>
      </w:pPr>
      <w:r w:rsidRPr="006F1D95">
        <w:rPr>
          <w:rFonts w:ascii="Verdana" w:hAnsi="Verdana" w:cs="Verdana"/>
          <w:b/>
          <w:bCs/>
          <w:sz w:val="20"/>
          <w:szCs w:val="20"/>
          <w:lang w:eastAsia="en-US"/>
        </w:rPr>
        <w:t>RESUELVE</w:t>
      </w:r>
      <w:r w:rsidRPr="006F1D95">
        <w:rPr>
          <w:rFonts w:ascii="Verdana" w:hAnsi="Verdana" w:cs="Verdana"/>
          <w:b/>
          <w:bCs/>
          <w:sz w:val="20"/>
          <w:szCs w:val="20"/>
        </w:rPr>
        <w:t>:</w:t>
      </w:r>
    </w:p>
    <w:p w14:paraId="53491B71" w14:textId="504D4D06" w:rsidR="003C4486" w:rsidRPr="006F1D95" w:rsidRDefault="006F1D95" w:rsidP="00387F8B">
      <w:pPr>
        <w:pStyle w:val="Prrafodelista"/>
        <w:numPr>
          <w:ilvl w:val="3"/>
          <w:numId w:val="3"/>
        </w:numPr>
        <w:spacing w:before="120"/>
        <w:ind w:left="0" w:firstLine="0"/>
        <w:contextualSpacing w:val="0"/>
        <w:rPr>
          <w:rFonts w:cs="Verdana"/>
          <w:szCs w:val="20"/>
        </w:rPr>
      </w:pPr>
      <w:r w:rsidRPr="006F1D95">
        <w:rPr>
          <w:rFonts w:cs="Verdana"/>
          <w:szCs w:val="20"/>
        </w:rPr>
        <w:t>En consulta con el Pleno de la Corte, d</w:t>
      </w:r>
      <w:r w:rsidR="00F405E0" w:rsidRPr="006F1D95">
        <w:rPr>
          <w:rFonts w:cs="Verdana"/>
          <w:szCs w:val="20"/>
        </w:rPr>
        <w:t xml:space="preserve">enegar el recurso de reconsideración planteado por el Estado </w:t>
      </w:r>
      <w:r w:rsidR="004D1719" w:rsidRPr="006F1D95">
        <w:rPr>
          <w:rFonts w:cs="Verdana"/>
          <w:szCs w:val="20"/>
        </w:rPr>
        <w:t>sobre la modalidad de la audiencia pública en el presente caso, la cual tendrá lugar, de conformidad con la Resolución del Presidente de la Corte Interamericana de 6 de julio de 2022, el 26 de agosto de 2022 a partir de las 08:30 en la ciudad de Brasilia, Brasil.</w:t>
      </w:r>
    </w:p>
    <w:p w14:paraId="28A37773" w14:textId="58098158" w:rsidR="00F405E0" w:rsidRPr="006F1D95" w:rsidRDefault="00E97AA8" w:rsidP="00387F8B">
      <w:pPr>
        <w:pStyle w:val="Prrafodelista"/>
        <w:numPr>
          <w:ilvl w:val="3"/>
          <w:numId w:val="3"/>
        </w:numPr>
        <w:spacing w:before="120"/>
        <w:ind w:left="0" w:firstLine="0"/>
        <w:contextualSpacing w:val="0"/>
        <w:rPr>
          <w:rFonts w:cs="Verdana"/>
          <w:szCs w:val="20"/>
        </w:rPr>
      </w:pPr>
      <w:r w:rsidRPr="006F1D95">
        <w:rPr>
          <w:rFonts w:cs="Verdana"/>
          <w:szCs w:val="20"/>
        </w:rPr>
        <w:t>Aceptar</w:t>
      </w:r>
      <w:r w:rsidR="003C4486" w:rsidRPr="006F1D95">
        <w:rPr>
          <w:rFonts w:cs="Verdana"/>
          <w:szCs w:val="20"/>
        </w:rPr>
        <w:t xml:space="preserve"> la solicitud de reconsideración </w:t>
      </w:r>
      <w:r w:rsidR="00A97B2B" w:rsidRPr="006F1D95">
        <w:rPr>
          <w:rFonts w:cs="Verdana"/>
          <w:szCs w:val="20"/>
        </w:rPr>
        <w:t xml:space="preserve">planteada por el Estado </w:t>
      </w:r>
      <w:r w:rsidR="00F64A1E" w:rsidRPr="006F1D95">
        <w:rPr>
          <w:rFonts w:cs="Verdana"/>
          <w:szCs w:val="20"/>
        </w:rPr>
        <w:t xml:space="preserve">para cambiar </w:t>
      </w:r>
      <w:r w:rsidR="00A97B2B" w:rsidRPr="006F1D95">
        <w:rPr>
          <w:rFonts w:cs="Verdana"/>
          <w:szCs w:val="20"/>
        </w:rPr>
        <w:t xml:space="preserve">la modalidad </w:t>
      </w:r>
      <w:r w:rsidR="00F64A1E" w:rsidRPr="006F1D95">
        <w:rPr>
          <w:rFonts w:cs="Verdana"/>
          <w:szCs w:val="20"/>
        </w:rPr>
        <w:t>de</w:t>
      </w:r>
      <w:r w:rsidR="00891D45" w:rsidRPr="006F1D95">
        <w:rPr>
          <w:rFonts w:cs="Verdana"/>
          <w:szCs w:val="20"/>
        </w:rPr>
        <w:t xml:space="preserve"> la declaración pericial de </w:t>
      </w:r>
      <w:r w:rsidR="00891D45" w:rsidRPr="006F1D95">
        <w:rPr>
          <w:szCs w:val="20"/>
        </w:rPr>
        <w:t xml:space="preserve">Rogelio Arturo Bárcena Zubieta, ordenada en la </w:t>
      </w:r>
      <w:r w:rsidR="00891D45" w:rsidRPr="006F1D95">
        <w:rPr>
          <w:rFonts w:cs="Verdana"/>
          <w:szCs w:val="20"/>
        </w:rPr>
        <w:t>Resolución del Presidente de la Corte Interamericana de 6 de julio de 2022</w:t>
      </w:r>
      <w:r w:rsidR="00C51F4C" w:rsidRPr="006F1D95">
        <w:rPr>
          <w:rFonts w:cs="Verdana"/>
          <w:szCs w:val="20"/>
        </w:rPr>
        <w:t xml:space="preserve"> para que sea recibida durante la audiencia pública</w:t>
      </w:r>
      <w:r w:rsidR="00256C9E" w:rsidRPr="006F1D95">
        <w:rPr>
          <w:rFonts w:cs="Verdana"/>
          <w:szCs w:val="20"/>
        </w:rPr>
        <w:t xml:space="preserve"> de forma presencial</w:t>
      </w:r>
      <w:r w:rsidR="00C51F4C" w:rsidRPr="006F1D95">
        <w:rPr>
          <w:rFonts w:cs="Verdana"/>
          <w:szCs w:val="20"/>
        </w:rPr>
        <w:t xml:space="preserve">. </w:t>
      </w:r>
    </w:p>
    <w:p w14:paraId="7DC68016" w14:textId="4BC9598E" w:rsidR="00E87F69" w:rsidRPr="006F1D95" w:rsidRDefault="00E87F69" w:rsidP="00387F8B">
      <w:pPr>
        <w:pStyle w:val="Prrafodelista"/>
        <w:numPr>
          <w:ilvl w:val="3"/>
          <w:numId w:val="3"/>
        </w:numPr>
        <w:spacing w:before="120"/>
        <w:ind w:left="0" w:firstLine="0"/>
        <w:contextualSpacing w:val="0"/>
        <w:rPr>
          <w:rFonts w:cs="Verdana"/>
          <w:szCs w:val="20"/>
        </w:rPr>
      </w:pPr>
      <w:r w:rsidRPr="006F1D95">
        <w:rPr>
          <w:szCs w:val="20"/>
        </w:rPr>
        <w:t xml:space="preserve">Requerir, por las razones expuestas en la presente Resolución, de conformidad con el </w:t>
      </w:r>
      <w:r w:rsidRPr="006F1D95">
        <w:rPr>
          <w:rFonts w:eastAsiaTheme="minorHAnsi" w:cs="Verdana"/>
          <w:color w:val="000000"/>
          <w:szCs w:val="20"/>
          <w:lang w:eastAsia="en-US"/>
        </w:rPr>
        <w:t>principio</w:t>
      </w:r>
      <w:r w:rsidRPr="006F1D95">
        <w:rPr>
          <w:szCs w:val="20"/>
        </w:rPr>
        <w:t xml:space="preserve"> de economía procesal y de la facultad que le otorga el artículo 50.1 del Reglamento de la Corte, que la siguiente persona preste su</w:t>
      </w:r>
      <w:r w:rsidR="00E97AA8" w:rsidRPr="006F1D95">
        <w:rPr>
          <w:szCs w:val="20"/>
        </w:rPr>
        <w:t xml:space="preserve"> </w:t>
      </w:r>
      <w:r w:rsidRPr="006F1D95">
        <w:rPr>
          <w:szCs w:val="20"/>
        </w:rPr>
        <w:t>declaraci</w:t>
      </w:r>
      <w:r w:rsidR="003C4486" w:rsidRPr="006F1D95">
        <w:rPr>
          <w:szCs w:val="20"/>
        </w:rPr>
        <w:t>ón</w:t>
      </w:r>
      <w:r w:rsidRPr="006F1D95">
        <w:rPr>
          <w:szCs w:val="20"/>
        </w:rPr>
        <w:t xml:space="preserve"> ante fedatario público (</w:t>
      </w:r>
      <w:r w:rsidRPr="006F1D95">
        <w:rPr>
          <w:i/>
          <w:szCs w:val="20"/>
        </w:rPr>
        <w:t>Affidavit</w:t>
      </w:r>
      <w:r w:rsidRPr="006F1D95">
        <w:rPr>
          <w:szCs w:val="20"/>
        </w:rPr>
        <w:t>):</w:t>
      </w:r>
    </w:p>
    <w:p w14:paraId="31E32B52" w14:textId="7033D5EB" w:rsidR="00042197" w:rsidRPr="006F1D95" w:rsidRDefault="007133FE" w:rsidP="003C4486">
      <w:pPr>
        <w:pStyle w:val="Prrafodelista"/>
        <w:spacing w:before="120"/>
        <w:ind w:left="993"/>
        <w:contextualSpacing w:val="0"/>
        <w:rPr>
          <w:rFonts w:eastAsiaTheme="minorHAnsi" w:cs="Tahoma"/>
          <w:iCs/>
          <w:lang w:eastAsia="en-US"/>
        </w:rPr>
      </w:pPr>
      <w:r w:rsidRPr="006F1D95">
        <w:rPr>
          <w:rFonts w:eastAsiaTheme="minorHAnsi" w:cs="Tahoma"/>
          <w:i/>
          <w:szCs w:val="20"/>
          <w:lang w:eastAsia="en-US"/>
        </w:rPr>
        <w:t>Jorge Ulises Carmona Tinoco</w:t>
      </w:r>
      <w:r w:rsidRPr="006F1D95">
        <w:rPr>
          <w:rFonts w:eastAsiaTheme="minorHAnsi" w:cs="Tahoma"/>
          <w:iCs/>
          <w:szCs w:val="20"/>
          <w:lang w:eastAsia="en-US"/>
        </w:rPr>
        <w:t xml:space="preserve">, </w:t>
      </w:r>
      <w:r w:rsidRPr="006F1D95">
        <w:rPr>
          <w:szCs w:val="20"/>
        </w:rPr>
        <w:t>quien hará un análisis sobre la legislación de distintos Estados en la región para identificar figuras que limitan la libertad personal en el marco de investigaciones y procedimientos penales</w:t>
      </w:r>
      <w:r w:rsidR="00042197" w:rsidRPr="006F1D95">
        <w:rPr>
          <w:rFonts w:eastAsiaTheme="minorHAnsi" w:cs="Tahoma"/>
          <w:iCs/>
          <w:lang w:eastAsia="en-US"/>
        </w:rPr>
        <w:t>.</w:t>
      </w:r>
    </w:p>
    <w:p w14:paraId="15C7972E" w14:textId="29625F03" w:rsidR="00E87F69" w:rsidRPr="006F1D95" w:rsidRDefault="00E87F69" w:rsidP="009449AE">
      <w:pPr>
        <w:pStyle w:val="Prrafodelista"/>
        <w:numPr>
          <w:ilvl w:val="3"/>
          <w:numId w:val="3"/>
        </w:numPr>
        <w:spacing w:before="120"/>
        <w:ind w:left="0" w:firstLine="0"/>
        <w:contextualSpacing w:val="0"/>
        <w:rPr>
          <w:szCs w:val="20"/>
        </w:rPr>
      </w:pPr>
      <w:bookmarkStart w:id="4" w:name="_Ref393464381"/>
      <w:r w:rsidRPr="006F1D95">
        <w:rPr>
          <w:szCs w:val="20"/>
        </w:rPr>
        <w:t>Requerir a</w:t>
      </w:r>
      <w:r w:rsidR="00081DC3" w:rsidRPr="006F1D95">
        <w:rPr>
          <w:szCs w:val="20"/>
        </w:rPr>
        <w:t xml:space="preserve"> </w:t>
      </w:r>
      <w:r w:rsidR="001C4FC7" w:rsidRPr="006F1D95">
        <w:rPr>
          <w:szCs w:val="20"/>
        </w:rPr>
        <w:t>los representantes</w:t>
      </w:r>
      <w:r w:rsidRPr="006F1D95">
        <w:rPr>
          <w:szCs w:val="20"/>
        </w:rPr>
        <w:t xml:space="preserve"> que remita</w:t>
      </w:r>
      <w:r w:rsidR="00081DC3" w:rsidRPr="006F1D95">
        <w:rPr>
          <w:szCs w:val="20"/>
        </w:rPr>
        <w:t>n</w:t>
      </w:r>
      <w:r w:rsidRPr="006F1D95">
        <w:rPr>
          <w:szCs w:val="20"/>
        </w:rPr>
        <w:t>, de considerarlo pertinente, en lo que le</w:t>
      </w:r>
      <w:r w:rsidR="00081DC3" w:rsidRPr="006F1D95">
        <w:rPr>
          <w:szCs w:val="20"/>
        </w:rPr>
        <w:t>s</w:t>
      </w:r>
      <w:r w:rsidRPr="006F1D95">
        <w:rPr>
          <w:szCs w:val="20"/>
        </w:rPr>
        <w:t xml:space="preserve"> corresponda y en el plazo improrrogable que vence el </w:t>
      </w:r>
      <w:r w:rsidR="006F1D95" w:rsidRPr="006F1D95">
        <w:rPr>
          <w:szCs w:val="20"/>
        </w:rPr>
        <w:t>3</w:t>
      </w:r>
      <w:r w:rsidRPr="006F1D95">
        <w:rPr>
          <w:szCs w:val="20"/>
        </w:rPr>
        <w:t xml:space="preserve"> de </w:t>
      </w:r>
      <w:r w:rsidR="006F1D95" w:rsidRPr="006F1D95">
        <w:rPr>
          <w:szCs w:val="20"/>
        </w:rPr>
        <w:t>agosto</w:t>
      </w:r>
      <w:r w:rsidRPr="006F1D95">
        <w:rPr>
          <w:szCs w:val="20"/>
        </w:rPr>
        <w:t xml:space="preserve"> de </w:t>
      </w:r>
      <w:r w:rsidR="00E1603F" w:rsidRPr="006F1D95">
        <w:rPr>
          <w:szCs w:val="20"/>
        </w:rPr>
        <w:t>2022</w:t>
      </w:r>
      <w:r w:rsidRPr="006F1D95">
        <w:rPr>
          <w:szCs w:val="20"/>
        </w:rPr>
        <w:t>, la</w:t>
      </w:r>
      <w:r w:rsidR="00775F2A" w:rsidRPr="006F1D95">
        <w:rPr>
          <w:szCs w:val="20"/>
        </w:rPr>
        <w:t>s</w:t>
      </w:r>
      <w:r w:rsidRPr="006F1D95">
        <w:rPr>
          <w:szCs w:val="20"/>
        </w:rPr>
        <w:t xml:space="preserve"> pregunta</w:t>
      </w:r>
      <w:r w:rsidR="00775F2A" w:rsidRPr="006F1D95">
        <w:rPr>
          <w:szCs w:val="20"/>
        </w:rPr>
        <w:t>s</w:t>
      </w:r>
      <w:r w:rsidRPr="006F1D95">
        <w:rPr>
          <w:szCs w:val="20"/>
        </w:rPr>
        <w:t xml:space="preserve"> </w:t>
      </w:r>
      <w:r w:rsidRPr="006F1D95">
        <w:rPr>
          <w:rFonts w:eastAsiaTheme="minorHAnsi" w:cs="Verdana"/>
          <w:color w:val="000000"/>
          <w:szCs w:val="20"/>
          <w:lang w:eastAsia="en-US"/>
        </w:rPr>
        <w:t>que</w:t>
      </w:r>
      <w:r w:rsidRPr="006F1D95">
        <w:rPr>
          <w:szCs w:val="20"/>
        </w:rPr>
        <w:t xml:space="preserve"> estime pertinente</w:t>
      </w:r>
      <w:r w:rsidR="00775F2A" w:rsidRPr="006F1D95">
        <w:rPr>
          <w:szCs w:val="20"/>
        </w:rPr>
        <w:t>s</w:t>
      </w:r>
      <w:r w:rsidRPr="006F1D95">
        <w:rPr>
          <w:szCs w:val="20"/>
        </w:rPr>
        <w:t xml:space="preserve"> formular a través de la Corte Interamericana a</w:t>
      </w:r>
      <w:r w:rsidR="00081DC3" w:rsidRPr="006F1D95">
        <w:rPr>
          <w:szCs w:val="20"/>
        </w:rPr>
        <w:t xml:space="preserve"> </w:t>
      </w:r>
      <w:r w:rsidR="00A253D8" w:rsidRPr="006F1D95">
        <w:rPr>
          <w:szCs w:val="20"/>
        </w:rPr>
        <w:t>la</w:t>
      </w:r>
      <w:r w:rsidRPr="006F1D95">
        <w:rPr>
          <w:szCs w:val="20"/>
        </w:rPr>
        <w:t xml:space="preserve"> </w:t>
      </w:r>
      <w:r w:rsidR="00A253D8" w:rsidRPr="006F1D95">
        <w:rPr>
          <w:szCs w:val="20"/>
        </w:rPr>
        <w:t>persona</w:t>
      </w:r>
      <w:r w:rsidRPr="006F1D95">
        <w:rPr>
          <w:szCs w:val="20"/>
        </w:rPr>
        <w:t xml:space="preserve"> indicad</w:t>
      </w:r>
      <w:r w:rsidR="00A253D8" w:rsidRPr="006F1D95">
        <w:rPr>
          <w:szCs w:val="20"/>
        </w:rPr>
        <w:t>a</w:t>
      </w:r>
      <w:r w:rsidRPr="006F1D95">
        <w:rPr>
          <w:szCs w:val="20"/>
        </w:rPr>
        <w:t xml:space="preserve"> en el punto resolutivo </w:t>
      </w:r>
      <w:r w:rsidR="003C4486" w:rsidRPr="006F1D95">
        <w:rPr>
          <w:szCs w:val="20"/>
        </w:rPr>
        <w:t>3</w:t>
      </w:r>
      <w:r w:rsidRPr="006F1D95">
        <w:rPr>
          <w:szCs w:val="20"/>
        </w:rPr>
        <w:t xml:space="preserve"> de la presente Resolución</w:t>
      </w:r>
      <w:r w:rsidR="00AD2C8A" w:rsidRPr="006F1D95">
        <w:rPr>
          <w:szCs w:val="20"/>
          <w:lang w:val="es-CR"/>
        </w:rPr>
        <w:t xml:space="preserve">. </w:t>
      </w:r>
      <w:r w:rsidRPr="006F1D95">
        <w:rPr>
          <w:szCs w:val="20"/>
        </w:rPr>
        <w:t>La declaraci</w:t>
      </w:r>
      <w:r w:rsidR="003C4486" w:rsidRPr="006F1D95">
        <w:rPr>
          <w:szCs w:val="20"/>
        </w:rPr>
        <w:t>ón</w:t>
      </w:r>
      <w:r w:rsidRPr="006F1D95">
        <w:rPr>
          <w:szCs w:val="20"/>
        </w:rPr>
        <w:t xml:space="preserve"> requerida deberá ser presentad</w:t>
      </w:r>
      <w:r w:rsidR="004E06AA" w:rsidRPr="006F1D95">
        <w:rPr>
          <w:szCs w:val="20"/>
        </w:rPr>
        <w:t>a</w:t>
      </w:r>
      <w:r w:rsidRPr="006F1D95">
        <w:rPr>
          <w:szCs w:val="20"/>
        </w:rPr>
        <w:t xml:space="preserve"> al Tribunal a más tardar el </w:t>
      </w:r>
      <w:bookmarkEnd w:id="4"/>
      <w:r w:rsidR="00552820" w:rsidRPr="006F1D95">
        <w:rPr>
          <w:szCs w:val="20"/>
        </w:rPr>
        <w:t>19</w:t>
      </w:r>
      <w:r w:rsidRPr="006F1D95">
        <w:rPr>
          <w:szCs w:val="20"/>
        </w:rPr>
        <w:t xml:space="preserve"> de </w:t>
      </w:r>
      <w:r w:rsidR="00552820" w:rsidRPr="006F1D95">
        <w:rPr>
          <w:szCs w:val="20"/>
        </w:rPr>
        <w:t>agosto</w:t>
      </w:r>
      <w:r w:rsidRPr="006F1D95">
        <w:rPr>
          <w:szCs w:val="20"/>
        </w:rPr>
        <w:t xml:space="preserve"> </w:t>
      </w:r>
      <w:r w:rsidR="004E06AA" w:rsidRPr="006F1D95">
        <w:rPr>
          <w:szCs w:val="20"/>
        </w:rPr>
        <w:t xml:space="preserve">de </w:t>
      </w:r>
      <w:r w:rsidR="00E1603F" w:rsidRPr="006F1D95">
        <w:rPr>
          <w:szCs w:val="20"/>
        </w:rPr>
        <w:t>2022</w:t>
      </w:r>
      <w:r w:rsidRPr="006F1D95">
        <w:rPr>
          <w:szCs w:val="20"/>
        </w:rPr>
        <w:t>.</w:t>
      </w:r>
      <w:r w:rsidR="00AD2C8A" w:rsidRPr="006F1D95">
        <w:rPr>
          <w:szCs w:val="20"/>
          <w:lang w:val="es-CR"/>
        </w:rPr>
        <w:t xml:space="preserve"> </w:t>
      </w:r>
    </w:p>
    <w:p w14:paraId="24FF6EB1" w14:textId="1957240E" w:rsidR="00E87F69" w:rsidRPr="006F1D95" w:rsidRDefault="00E87F69" w:rsidP="009449AE">
      <w:pPr>
        <w:pStyle w:val="Prrafodelista"/>
        <w:numPr>
          <w:ilvl w:val="3"/>
          <w:numId w:val="3"/>
        </w:numPr>
        <w:spacing w:before="120"/>
        <w:ind w:left="0" w:firstLine="0"/>
        <w:contextualSpacing w:val="0"/>
        <w:rPr>
          <w:rFonts w:eastAsiaTheme="minorHAnsi" w:cs="Verdana"/>
          <w:color w:val="000000"/>
          <w:szCs w:val="20"/>
          <w:lang w:eastAsia="en-US"/>
        </w:rPr>
      </w:pPr>
      <w:r w:rsidRPr="006F1D95">
        <w:rPr>
          <w:rFonts w:eastAsiaTheme="minorHAnsi" w:cs="Verdana"/>
          <w:color w:val="000000"/>
          <w:szCs w:val="20"/>
          <w:lang w:eastAsia="en-US"/>
        </w:rPr>
        <w:lastRenderedPageBreak/>
        <w:t xml:space="preserve">Requerir </w:t>
      </w:r>
      <w:r w:rsidR="001C4FC7" w:rsidRPr="006F1D95">
        <w:rPr>
          <w:rFonts w:eastAsiaTheme="minorHAnsi" w:cs="Verdana"/>
          <w:color w:val="000000"/>
          <w:szCs w:val="20"/>
          <w:lang w:eastAsia="en-US"/>
        </w:rPr>
        <w:t xml:space="preserve">al Estado </w:t>
      </w:r>
      <w:r w:rsidRPr="006F1D95">
        <w:rPr>
          <w:rFonts w:eastAsiaTheme="minorHAnsi" w:cs="Verdana"/>
          <w:color w:val="000000"/>
          <w:szCs w:val="20"/>
          <w:lang w:eastAsia="en-US"/>
        </w:rPr>
        <w:t xml:space="preserve">que coordine y realice las diligencias necesarias para que, una vez recibidas las preguntas, si las hubiere, </w:t>
      </w:r>
      <w:r w:rsidR="003C4486" w:rsidRPr="006F1D95">
        <w:rPr>
          <w:rFonts w:eastAsiaTheme="minorHAnsi" w:cs="Verdana"/>
          <w:color w:val="000000"/>
          <w:szCs w:val="20"/>
          <w:lang w:eastAsia="en-US"/>
        </w:rPr>
        <w:t>el</w:t>
      </w:r>
      <w:r w:rsidRPr="006F1D95">
        <w:rPr>
          <w:rFonts w:eastAsiaTheme="minorHAnsi" w:cs="Verdana"/>
          <w:color w:val="000000"/>
          <w:szCs w:val="20"/>
          <w:lang w:eastAsia="en-US"/>
        </w:rPr>
        <w:t xml:space="preserve"> declarante propuesto </w:t>
      </w:r>
      <w:r w:rsidRPr="006F1D95">
        <w:rPr>
          <w:szCs w:val="20"/>
        </w:rPr>
        <w:t>incluya</w:t>
      </w:r>
      <w:r w:rsidRPr="006F1D95">
        <w:rPr>
          <w:rFonts w:eastAsiaTheme="minorHAnsi" w:cs="Verdana"/>
          <w:color w:val="000000"/>
          <w:szCs w:val="20"/>
          <w:lang w:eastAsia="en-US"/>
        </w:rPr>
        <w:t xml:space="preserve"> las respuestas en sus respectivas declaraciones ante fedatario público, de conformidad con el punto resolutivo </w:t>
      </w:r>
      <w:r w:rsidR="003C4486" w:rsidRPr="006F1D95">
        <w:rPr>
          <w:rFonts w:eastAsiaTheme="minorHAnsi" w:cs="Verdana"/>
          <w:color w:val="000000"/>
          <w:szCs w:val="20"/>
          <w:lang w:eastAsia="en-US"/>
        </w:rPr>
        <w:t>4</w:t>
      </w:r>
      <w:r w:rsidRPr="006F1D95">
        <w:rPr>
          <w:rFonts w:eastAsiaTheme="minorHAnsi" w:cs="Verdana"/>
          <w:color w:val="000000"/>
          <w:szCs w:val="20"/>
          <w:lang w:eastAsia="en-US"/>
        </w:rPr>
        <w:t xml:space="preserve"> de la presente Resolución. </w:t>
      </w:r>
    </w:p>
    <w:p w14:paraId="764651DE" w14:textId="23F0A7FD" w:rsidR="00E87F69" w:rsidRPr="006F1D95" w:rsidRDefault="00E87F69" w:rsidP="009449AE">
      <w:pPr>
        <w:pStyle w:val="Prrafodelista"/>
        <w:numPr>
          <w:ilvl w:val="3"/>
          <w:numId w:val="3"/>
        </w:numPr>
        <w:spacing w:before="120"/>
        <w:ind w:left="0" w:firstLine="0"/>
        <w:contextualSpacing w:val="0"/>
        <w:rPr>
          <w:szCs w:val="20"/>
        </w:rPr>
      </w:pPr>
      <w:r w:rsidRPr="006F1D95">
        <w:rPr>
          <w:szCs w:val="20"/>
        </w:rPr>
        <w:t>Disponer que, una vez recibid</w:t>
      </w:r>
      <w:r w:rsidR="003C4486" w:rsidRPr="006F1D95">
        <w:rPr>
          <w:szCs w:val="20"/>
        </w:rPr>
        <w:t>a</w:t>
      </w:r>
      <w:r w:rsidRPr="006F1D95">
        <w:rPr>
          <w:szCs w:val="20"/>
        </w:rPr>
        <w:t xml:space="preserve"> la declaraci</w:t>
      </w:r>
      <w:r w:rsidR="003C4486" w:rsidRPr="006F1D95">
        <w:rPr>
          <w:szCs w:val="20"/>
        </w:rPr>
        <w:t>ón</w:t>
      </w:r>
      <w:r w:rsidRPr="006F1D95">
        <w:rPr>
          <w:szCs w:val="20"/>
        </w:rPr>
        <w:t xml:space="preserve"> requerida en el punto resolutivo </w:t>
      </w:r>
      <w:r w:rsidR="003C4486" w:rsidRPr="006F1D95">
        <w:rPr>
          <w:szCs w:val="20"/>
        </w:rPr>
        <w:t>3</w:t>
      </w:r>
      <w:r w:rsidRPr="006F1D95">
        <w:rPr>
          <w:szCs w:val="20"/>
        </w:rPr>
        <w:t>, la Secretaría de la Corte Interamericana l</w:t>
      </w:r>
      <w:r w:rsidR="00F405E0" w:rsidRPr="006F1D95">
        <w:rPr>
          <w:szCs w:val="20"/>
        </w:rPr>
        <w:t>a</w:t>
      </w:r>
      <w:r w:rsidRPr="006F1D95">
        <w:rPr>
          <w:szCs w:val="20"/>
        </w:rPr>
        <w:t xml:space="preserve"> transmita </w:t>
      </w:r>
      <w:r w:rsidR="001C4FC7" w:rsidRPr="006F1D95">
        <w:rPr>
          <w:szCs w:val="20"/>
        </w:rPr>
        <w:t xml:space="preserve">a los representantes </w:t>
      </w:r>
      <w:r w:rsidRPr="006F1D95">
        <w:rPr>
          <w:szCs w:val="20"/>
        </w:rPr>
        <w:t>y a la Comisión para que, si lo estiman necesario y en lo que les corresponda, presenten sus observaciones a la misma, a más tardar</w:t>
      </w:r>
      <w:r w:rsidR="002013D4" w:rsidRPr="006F1D95">
        <w:rPr>
          <w:szCs w:val="20"/>
        </w:rPr>
        <w:t xml:space="preserve"> </w:t>
      </w:r>
      <w:r w:rsidRPr="006F1D95">
        <w:rPr>
          <w:szCs w:val="20"/>
        </w:rPr>
        <w:t>con sus alegatos u observaciones finales escritas, respectivamente.</w:t>
      </w:r>
    </w:p>
    <w:p w14:paraId="02BF9C20" w14:textId="148B66E3" w:rsidR="00E87F69" w:rsidRPr="006F1D95" w:rsidRDefault="00E87F69" w:rsidP="009449AE">
      <w:pPr>
        <w:pStyle w:val="Prrafodelista"/>
        <w:numPr>
          <w:ilvl w:val="3"/>
          <w:numId w:val="3"/>
        </w:numPr>
        <w:spacing w:before="120"/>
        <w:ind w:left="0" w:firstLine="0"/>
        <w:contextualSpacing w:val="0"/>
        <w:rPr>
          <w:color w:val="000000"/>
          <w:szCs w:val="20"/>
        </w:rPr>
      </w:pPr>
      <w:r w:rsidRPr="006F1D95">
        <w:rPr>
          <w:szCs w:val="20"/>
        </w:rPr>
        <w:t>Requerir</w:t>
      </w:r>
      <w:r w:rsidRPr="006F1D95">
        <w:rPr>
          <w:color w:val="000000"/>
          <w:szCs w:val="20"/>
        </w:rPr>
        <w:t xml:space="preserve"> </w:t>
      </w:r>
      <w:r w:rsidR="00F405E0" w:rsidRPr="006F1D95">
        <w:rPr>
          <w:color w:val="000000"/>
          <w:szCs w:val="20"/>
        </w:rPr>
        <w:t>a</w:t>
      </w:r>
      <w:r w:rsidR="00953E0E" w:rsidRPr="006F1D95">
        <w:rPr>
          <w:color w:val="000000"/>
          <w:szCs w:val="20"/>
        </w:rPr>
        <w:t xml:space="preserve">l Estado </w:t>
      </w:r>
      <w:r w:rsidRPr="006F1D95">
        <w:rPr>
          <w:color w:val="000000"/>
          <w:szCs w:val="20"/>
        </w:rPr>
        <w:t xml:space="preserve">que notifique la presente Resolución a </w:t>
      </w:r>
      <w:r w:rsidRPr="006F1D95">
        <w:rPr>
          <w:szCs w:val="20"/>
        </w:rPr>
        <w:t>la</w:t>
      </w:r>
      <w:r w:rsidR="008E1CA8" w:rsidRPr="006F1D95">
        <w:rPr>
          <w:szCs w:val="20"/>
        </w:rPr>
        <w:t>s</w:t>
      </w:r>
      <w:r w:rsidRPr="006F1D95">
        <w:rPr>
          <w:color w:val="000000"/>
          <w:szCs w:val="20"/>
        </w:rPr>
        <w:t xml:space="preserve"> persona</w:t>
      </w:r>
      <w:r w:rsidR="008E1CA8" w:rsidRPr="006F1D95">
        <w:rPr>
          <w:color w:val="000000"/>
          <w:szCs w:val="20"/>
        </w:rPr>
        <w:t>s</w:t>
      </w:r>
      <w:r w:rsidRPr="006F1D95">
        <w:rPr>
          <w:color w:val="000000"/>
          <w:szCs w:val="20"/>
        </w:rPr>
        <w:t xml:space="preserve"> </w:t>
      </w:r>
      <w:r w:rsidR="00D45655" w:rsidRPr="006F1D95">
        <w:rPr>
          <w:color w:val="000000"/>
          <w:szCs w:val="20"/>
        </w:rPr>
        <w:t>por él</w:t>
      </w:r>
      <w:r w:rsidRPr="006F1D95">
        <w:rPr>
          <w:color w:val="000000"/>
          <w:szCs w:val="20"/>
        </w:rPr>
        <w:t xml:space="preserve"> propuesta</w:t>
      </w:r>
      <w:r w:rsidR="008E1CA8" w:rsidRPr="006F1D95">
        <w:rPr>
          <w:color w:val="000000"/>
          <w:szCs w:val="20"/>
        </w:rPr>
        <w:t>s</w:t>
      </w:r>
      <w:r w:rsidRPr="006F1D95">
        <w:rPr>
          <w:color w:val="000000"/>
          <w:szCs w:val="20"/>
        </w:rPr>
        <w:t>, que han sido convocadas a rendir declaración, de conformidad con lo dispuesto en los artículos 50.2 y 50.4 del Reglamento.</w:t>
      </w:r>
    </w:p>
    <w:p w14:paraId="12A86E68" w14:textId="7E617D78" w:rsidR="0038340E" w:rsidRPr="006F1D95" w:rsidRDefault="00E87F69" w:rsidP="009449AE">
      <w:pPr>
        <w:pStyle w:val="Prrafodelista"/>
        <w:numPr>
          <w:ilvl w:val="3"/>
          <w:numId w:val="3"/>
        </w:numPr>
        <w:spacing w:before="120"/>
        <w:ind w:left="0" w:firstLine="0"/>
        <w:contextualSpacing w:val="0"/>
        <w:rPr>
          <w:color w:val="000000"/>
          <w:szCs w:val="20"/>
        </w:rPr>
      </w:pPr>
      <w:r w:rsidRPr="006F1D95">
        <w:rPr>
          <w:color w:val="000000"/>
          <w:szCs w:val="20"/>
        </w:rPr>
        <w:t xml:space="preserve">Informar </w:t>
      </w:r>
      <w:r w:rsidR="00D45655" w:rsidRPr="006F1D95">
        <w:rPr>
          <w:color w:val="000000"/>
          <w:szCs w:val="20"/>
        </w:rPr>
        <w:t>a</w:t>
      </w:r>
      <w:r w:rsidR="00953E0E" w:rsidRPr="006F1D95">
        <w:rPr>
          <w:color w:val="000000"/>
          <w:szCs w:val="20"/>
        </w:rPr>
        <w:t>l Estado</w:t>
      </w:r>
      <w:r w:rsidRPr="006F1D95">
        <w:rPr>
          <w:color w:val="000000"/>
          <w:szCs w:val="20"/>
        </w:rPr>
        <w:t xml:space="preserve"> que debe cubrir los gastos </w:t>
      </w:r>
      <w:r w:rsidRPr="006F1D95">
        <w:rPr>
          <w:szCs w:val="20"/>
        </w:rPr>
        <w:t>que</w:t>
      </w:r>
      <w:r w:rsidRPr="006F1D95">
        <w:rPr>
          <w:color w:val="000000"/>
          <w:szCs w:val="20"/>
        </w:rPr>
        <w:t xml:space="preserve"> </w:t>
      </w:r>
      <w:r w:rsidRPr="006F1D95">
        <w:rPr>
          <w:szCs w:val="20"/>
        </w:rPr>
        <w:t>ocasione</w:t>
      </w:r>
      <w:r w:rsidRPr="006F1D95">
        <w:rPr>
          <w:color w:val="000000"/>
          <w:szCs w:val="20"/>
        </w:rPr>
        <w:t xml:space="preserve"> la aportación o rendición de la prueba propuesta, de conformidad con lo dispuesto en el artículo 60 del Reglamento</w:t>
      </w:r>
      <w:r w:rsidRPr="006F1D95">
        <w:rPr>
          <w:szCs w:val="20"/>
        </w:rPr>
        <w:t>.</w:t>
      </w:r>
      <w:r w:rsidR="00A7729B" w:rsidRPr="006F1D95">
        <w:rPr>
          <w:szCs w:val="20"/>
        </w:rPr>
        <w:t xml:space="preserve"> </w:t>
      </w:r>
    </w:p>
    <w:p w14:paraId="0C8A0E9F" w14:textId="117D3FFF" w:rsidR="00E87F69" w:rsidRPr="006F1D95" w:rsidRDefault="00E87F69" w:rsidP="009449AE">
      <w:pPr>
        <w:pStyle w:val="Prrafodelista"/>
        <w:numPr>
          <w:ilvl w:val="3"/>
          <w:numId w:val="3"/>
        </w:numPr>
        <w:spacing w:before="120"/>
        <w:ind w:left="0" w:firstLine="0"/>
        <w:contextualSpacing w:val="0"/>
        <w:rPr>
          <w:color w:val="000000"/>
          <w:szCs w:val="20"/>
        </w:rPr>
      </w:pPr>
      <w:r w:rsidRPr="006F1D95">
        <w:rPr>
          <w:szCs w:val="20"/>
        </w:rPr>
        <w:t>Requerir</w:t>
      </w:r>
      <w:r w:rsidRPr="006F1D95">
        <w:rPr>
          <w:color w:val="000000"/>
          <w:szCs w:val="20"/>
        </w:rPr>
        <w:t xml:space="preserve"> </w:t>
      </w:r>
      <w:r w:rsidR="00E33986" w:rsidRPr="006F1D95">
        <w:rPr>
          <w:color w:val="000000"/>
          <w:szCs w:val="20"/>
        </w:rPr>
        <w:t xml:space="preserve">al Estado </w:t>
      </w:r>
      <w:r w:rsidRPr="006F1D95">
        <w:rPr>
          <w:color w:val="000000"/>
          <w:szCs w:val="20"/>
        </w:rPr>
        <w:t>que informe a la</w:t>
      </w:r>
      <w:r w:rsidR="008E1CA8" w:rsidRPr="006F1D95">
        <w:rPr>
          <w:color w:val="000000"/>
          <w:szCs w:val="20"/>
        </w:rPr>
        <w:t>s</w:t>
      </w:r>
      <w:r w:rsidRPr="006F1D95">
        <w:rPr>
          <w:color w:val="000000"/>
          <w:szCs w:val="20"/>
        </w:rPr>
        <w:t xml:space="preserve"> persona</w:t>
      </w:r>
      <w:r w:rsidR="008E1CA8" w:rsidRPr="006F1D95">
        <w:rPr>
          <w:color w:val="000000"/>
          <w:szCs w:val="20"/>
        </w:rPr>
        <w:t>s</w:t>
      </w:r>
      <w:r w:rsidRPr="006F1D95">
        <w:rPr>
          <w:color w:val="000000"/>
          <w:szCs w:val="20"/>
        </w:rPr>
        <w:t xml:space="preserve"> convocada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14:paraId="25B5DF58" w14:textId="1C0A90D6" w:rsidR="00E87F69" w:rsidRPr="006F1D95" w:rsidRDefault="00E87F69" w:rsidP="009449AE">
      <w:pPr>
        <w:pStyle w:val="Prrafodelista"/>
        <w:numPr>
          <w:ilvl w:val="3"/>
          <w:numId w:val="3"/>
        </w:numPr>
        <w:spacing w:before="120"/>
        <w:ind w:left="0" w:firstLine="0"/>
        <w:contextualSpacing w:val="0"/>
        <w:rPr>
          <w:szCs w:val="20"/>
          <w:lang w:eastAsia="en-US"/>
        </w:rPr>
      </w:pPr>
      <w:r w:rsidRPr="006F1D95">
        <w:rPr>
          <w:color w:val="000000"/>
          <w:szCs w:val="20"/>
        </w:rPr>
        <w:t xml:space="preserve">Disponer que la Secretaría de la Corte Interamericana notifique la presente Resolución a la </w:t>
      </w:r>
      <w:r w:rsidRPr="006F1D95">
        <w:rPr>
          <w:szCs w:val="20"/>
        </w:rPr>
        <w:t>Comisión</w:t>
      </w:r>
      <w:r w:rsidRPr="006F1D95">
        <w:rPr>
          <w:color w:val="000000"/>
          <w:szCs w:val="20"/>
        </w:rPr>
        <w:t xml:space="preserve"> </w:t>
      </w:r>
      <w:r w:rsidRPr="006F1D95">
        <w:rPr>
          <w:szCs w:val="20"/>
        </w:rPr>
        <w:t>Interamericana</w:t>
      </w:r>
      <w:r w:rsidRPr="006F1D95">
        <w:rPr>
          <w:color w:val="000000"/>
          <w:szCs w:val="20"/>
        </w:rPr>
        <w:t xml:space="preserve"> de Derechos Humanos, a los representantes de las presuntas víctimas y </w:t>
      </w:r>
      <w:r w:rsidR="00A253D8" w:rsidRPr="006F1D95">
        <w:rPr>
          <w:color w:val="000000"/>
          <w:szCs w:val="20"/>
        </w:rPr>
        <w:t>al</w:t>
      </w:r>
      <w:r w:rsidRPr="006F1D95">
        <w:rPr>
          <w:color w:val="000000"/>
          <w:szCs w:val="20"/>
        </w:rPr>
        <w:t xml:space="preserve"> </w:t>
      </w:r>
      <w:r w:rsidR="00A253D8" w:rsidRPr="006F1D95">
        <w:rPr>
          <w:color w:val="000000"/>
          <w:szCs w:val="20"/>
        </w:rPr>
        <w:t xml:space="preserve">Estado </w:t>
      </w:r>
      <w:r w:rsidR="009F18BA" w:rsidRPr="006F1D95">
        <w:rPr>
          <w:color w:val="000000"/>
          <w:szCs w:val="20"/>
        </w:rPr>
        <w:t>mexicano</w:t>
      </w:r>
      <w:r w:rsidRPr="006F1D95">
        <w:rPr>
          <w:color w:val="000000"/>
          <w:szCs w:val="20"/>
        </w:rPr>
        <w:t>.</w:t>
      </w:r>
    </w:p>
    <w:p w14:paraId="65D2D0E3" w14:textId="2469A313" w:rsidR="005E229A" w:rsidRPr="00A014E9" w:rsidRDefault="005E229A" w:rsidP="00511EF7">
      <w:pPr>
        <w:jc w:val="both"/>
        <w:rPr>
          <w:rFonts w:ascii="Verdana" w:hAnsi="Verdana"/>
          <w:sz w:val="20"/>
          <w:szCs w:val="20"/>
        </w:rPr>
      </w:pPr>
      <w:r w:rsidRPr="006F1D95">
        <w:rPr>
          <w:rFonts w:ascii="Verdana" w:hAnsi="Verdana"/>
          <w:sz w:val="20"/>
          <w:szCs w:val="20"/>
        </w:rPr>
        <w:t xml:space="preserve">Corte IDH. </w:t>
      </w:r>
      <w:r w:rsidR="00511EF7" w:rsidRPr="006F1D95">
        <w:rPr>
          <w:rFonts w:ascii="Verdana" w:hAnsi="Verdana"/>
          <w:sz w:val="20"/>
          <w:szCs w:val="20"/>
        </w:rPr>
        <w:t>García Rodríguez y otro Vs. México</w:t>
      </w:r>
      <w:r w:rsidRPr="006F1D95">
        <w:rPr>
          <w:rFonts w:ascii="Verdana" w:hAnsi="Verdana"/>
          <w:sz w:val="20"/>
          <w:szCs w:val="20"/>
        </w:rPr>
        <w:t xml:space="preserve">. Resolución del Presidente de la Corte Interamericana de Derechos Humanos de </w:t>
      </w:r>
      <w:r w:rsidR="006F1D95" w:rsidRPr="006F1D95">
        <w:rPr>
          <w:rFonts w:ascii="Verdana" w:hAnsi="Verdana"/>
          <w:sz w:val="20"/>
          <w:szCs w:val="20"/>
        </w:rPr>
        <w:t>27</w:t>
      </w:r>
      <w:r w:rsidRPr="006F1D95">
        <w:rPr>
          <w:rFonts w:ascii="Verdana" w:hAnsi="Verdana"/>
          <w:sz w:val="20"/>
          <w:szCs w:val="20"/>
        </w:rPr>
        <w:t xml:space="preserve"> de </w:t>
      </w:r>
      <w:r w:rsidR="009F18BA" w:rsidRPr="006F1D95">
        <w:rPr>
          <w:rFonts w:ascii="Verdana" w:hAnsi="Verdana"/>
          <w:sz w:val="20"/>
          <w:szCs w:val="20"/>
        </w:rPr>
        <w:t>julio</w:t>
      </w:r>
      <w:r w:rsidRPr="006F1D95">
        <w:rPr>
          <w:rFonts w:ascii="Verdana" w:hAnsi="Verdana"/>
          <w:sz w:val="20"/>
          <w:szCs w:val="20"/>
        </w:rPr>
        <w:t xml:space="preserve"> de 2022</w:t>
      </w:r>
      <w:r w:rsidR="008906FE" w:rsidRPr="006F1D95">
        <w:rPr>
          <w:rFonts w:ascii="Verdana" w:hAnsi="Verdana"/>
          <w:sz w:val="20"/>
          <w:szCs w:val="20"/>
        </w:rPr>
        <w:t>.</w:t>
      </w:r>
    </w:p>
    <w:p w14:paraId="0FC324C3" w14:textId="532F4C94" w:rsidR="005E229A" w:rsidRPr="00A014E9" w:rsidRDefault="005E229A" w:rsidP="005E229A">
      <w:pPr>
        <w:rPr>
          <w:rFonts w:ascii="Verdana" w:hAnsi="Verdana"/>
          <w:color w:val="000000"/>
          <w:spacing w:val="-2"/>
          <w:sz w:val="20"/>
          <w:szCs w:val="20"/>
          <w:lang w:val="es-ES_tradnl" w:eastAsia="es-CR"/>
        </w:rPr>
      </w:pPr>
    </w:p>
    <w:p w14:paraId="0DE2D260" w14:textId="07BBBD22" w:rsidR="00E87F69" w:rsidRPr="00EE0C4B" w:rsidRDefault="00E87F69" w:rsidP="00E87F69">
      <w:pPr>
        <w:ind w:left="4253"/>
        <w:jc w:val="center"/>
        <w:rPr>
          <w:rFonts w:ascii="Verdana" w:hAnsi="Verdana"/>
          <w:color w:val="000000"/>
          <w:spacing w:val="-2"/>
          <w:sz w:val="20"/>
          <w:szCs w:val="20"/>
          <w:lang w:val="es-ES_tradnl" w:eastAsia="es-CR"/>
        </w:rPr>
      </w:pPr>
    </w:p>
    <w:p w14:paraId="51AD5616" w14:textId="46D5023F" w:rsidR="00E87F69" w:rsidRPr="00A014E9" w:rsidRDefault="00E87F69" w:rsidP="00E87F69">
      <w:pPr>
        <w:ind w:left="4253"/>
        <w:jc w:val="center"/>
        <w:rPr>
          <w:rFonts w:ascii="Verdana" w:hAnsi="Verdana"/>
          <w:color w:val="000000"/>
          <w:spacing w:val="-2"/>
          <w:sz w:val="20"/>
          <w:szCs w:val="20"/>
          <w:lang w:eastAsia="es-CR"/>
        </w:rPr>
      </w:pPr>
    </w:p>
    <w:p w14:paraId="01CC6017" w14:textId="25E76A2E" w:rsidR="00E87F69" w:rsidRPr="00A014E9" w:rsidRDefault="00E87F69" w:rsidP="00E87F69">
      <w:pPr>
        <w:ind w:left="4253"/>
        <w:jc w:val="center"/>
        <w:rPr>
          <w:rFonts w:ascii="Verdana" w:hAnsi="Verdana"/>
          <w:color w:val="000000"/>
          <w:spacing w:val="-2"/>
          <w:sz w:val="20"/>
          <w:szCs w:val="20"/>
          <w:lang w:eastAsia="es-CR"/>
        </w:rPr>
      </w:pPr>
    </w:p>
    <w:p w14:paraId="188EFA85" w14:textId="3BDBD920" w:rsidR="00E87F69" w:rsidRPr="00A014E9" w:rsidRDefault="00E87F69" w:rsidP="00E87F69">
      <w:pPr>
        <w:ind w:left="4253"/>
        <w:jc w:val="center"/>
        <w:rPr>
          <w:rFonts w:ascii="Verdana" w:hAnsi="Verdana"/>
          <w:color w:val="000000"/>
          <w:spacing w:val="-2"/>
          <w:sz w:val="20"/>
          <w:szCs w:val="20"/>
          <w:lang w:eastAsia="es-CR"/>
        </w:rPr>
      </w:pPr>
    </w:p>
    <w:p w14:paraId="763D33DB" w14:textId="2A1A82AF" w:rsidR="00CB6D66" w:rsidRPr="00A014E9" w:rsidRDefault="00222559" w:rsidP="00E87F69">
      <w:pPr>
        <w:ind w:left="4253"/>
        <w:jc w:val="center"/>
        <w:rPr>
          <w:rFonts w:ascii="Verdana" w:hAnsi="Verdana"/>
          <w:color w:val="000000"/>
          <w:spacing w:val="-2"/>
          <w:sz w:val="20"/>
          <w:szCs w:val="20"/>
          <w:lang w:eastAsia="es-CR"/>
        </w:rPr>
      </w:pPr>
      <w:r w:rsidRPr="00A014E9">
        <w:rPr>
          <w:rFonts w:ascii="Verdana" w:hAnsi="Verdana"/>
          <w:color w:val="000000"/>
          <w:spacing w:val="-2"/>
          <w:sz w:val="20"/>
          <w:szCs w:val="20"/>
          <w:lang w:eastAsia="es-CR"/>
        </w:rPr>
        <w:t xml:space="preserve">Ricardo </w:t>
      </w:r>
      <w:r w:rsidR="007B5215" w:rsidRPr="00A014E9">
        <w:rPr>
          <w:rFonts w:ascii="Verdana" w:hAnsi="Verdana"/>
          <w:color w:val="000000"/>
          <w:spacing w:val="-2"/>
          <w:sz w:val="20"/>
          <w:szCs w:val="20"/>
          <w:lang w:eastAsia="es-CR"/>
        </w:rPr>
        <w:t xml:space="preserve">C. </w:t>
      </w:r>
      <w:r w:rsidRPr="00A014E9">
        <w:rPr>
          <w:rFonts w:ascii="Verdana" w:hAnsi="Verdana"/>
          <w:color w:val="000000"/>
          <w:spacing w:val="-2"/>
          <w:sz w:val="20"/>
          <w:szCs w:val="20"/>
          <w:lang w:eastAsia="es-CR"/>
        </w:rPr>
        <w:t>Pérez Manrique</w:t>
      </w:r>
    </w:p>
    <w:p w14:paraId="2CD103A0" w14:textId="7D7B39F7" w:rsidR="00E87F69" w:rsidRPr="00A014E9" w:rsidRDefault="00E87F69" w:rsidP="00E87F69">
      <w:pPr>
        <w:ind w:left="4253"/>
        <w:jc w:val="center"/>
        <w:rPr>
          <w:rFonts w:ascii="Verdana" w:hAnsi="Verdana"/>
          <w:sz w:val="20"/>
          <w:szCs w:val="20"/>
        </w:rPr>
      </w:pPr>
      <w:r w:rsidRPr="00A014E9">
        <w:rPr>
          <w:rFonts w:ascii="Verdana" w:hAnsi="Verdana"/>
          <w:sz w:val="20"/>
          <w:szCs w:val="20"/>
        </w:rPr>
        <w:t>President</w:t>
      </w:r>
      <w:r w:rsidR="00222559" w:rsidRPr="00A014E9">
        <w:rPr>
          <w:rFonts w:ascii="Verdana" w:hAnsi="Verdana"/>
          <w:sz w:val="20"/>
          <w:szCs w:val="20"/>
        </w:rPr>
        <w:t>e</w:t>
      </w:r>
    </w:p>
    <w:p w14:paraId="6984EA70" w14:textId="59973DF8" w:rsidR="00E87F69" w:rsidRPr="00A014E9" w:rsidRDefault="00E87F69" w:rsidP="00E87F69">
      <w:pPr>
        <w:tabs>
          <w:tab w:val="left" w:pos="2835"/>
        </w:tabs>
        <w:ind w:right="6003"/>
        <w:jc w:val="center"/>
        <w:rPr>
          <w:rFonts w:ascii="Verdana" w:hAnsi="Verdana"/>
          <w:sz w:val="20"/>
          <w:szCs w:val="20"/>
        </w:rPr>
      </w:pPr>
    </w:p>
    <w:p w14:paraId="2B22B84F" w14:textId="309EDB45" w:rsidR="00E87F69" w:rsidRPr="00A014E9" w:rsidRDefault="00E87F69" w:rsidP="00E87F69">
      <w:pPr>
        <w:tabs>
          <w:tab w:val="left" w:pos="2835"/>
        </w:tabs>
        <w:ind w:right="6003"/>
        <w:jc w:val="center"/>
        <w:rPr>
          <w:rFonts w:ascii="Verdana" w:hAnsi="Verdana"/>
          <w:sz w:val="20"/>
          <w:szCs w:val="20"/>
        </w:rPr>
      </w:pPr>
    </w:p>
    <w:p w14:paraId="63D59901" w14:textId="10DB66F5" w:rsidR="00E87F69" w:rsidRPr="00A014E9" w:rsidRDefault="00E87F69" w:rsidP="00E87F69">
      <w:pPr>
        <w:tabs>
          <w:tab w:val="left" w:pos="2835"/>
        </w:tabs>
        <w:ind w:right="6003"/>
        <w:jc w:val="center"/>
        <w:rPr>
          <w:rFonts w:ascii="Verdana" w:hAnsi="Verdana"/>
          <w:sz w:val="20"/>
          <w:szCs w:val="20"/>
        </w:rPr>
      </w:pPr>
    </w:p>
    <w:p w14:paraId="3A86EDDE" w14:textId="77777777" w:rsidR="00901254" w:rsidRDefault="00901254" w:rsidP="00901254">
      <w:pPr>
        <w:tabs>
          <w:tab w:val="left" w:pos="2835"/>
        </w:tabs>
        <w:ind w:right="6003"/>
        <w:rPr>
          <w:rFonts w:ascii="Verdana" w:hAnsi="Verdana"/>
          <w:sz w:val="20"/>
          <w:szCs w:val="20"/>
        </w:rPr>
      </w:pPr>
    </w:p>
    <w:p w14:paraId="1A0FEB33" w14:textId="09DE91AA" w:rsidR="00E87F69" w:rsidRPr="00A014E9" w:rsidRDefault="00E87F69" w:rsidP="00901254">
      <w:pPr>
        <w:tabs>
          <w:tab w:val="left" w:pos="2835"/>
        </w:tabs>
        <w:ind w:right="6003"/>
        <w:rPr>
          <w:rFonts w:ascii="Verdana" w:hAnsi="Verdana"/>
          <w:sz w:val="20"/>
          <w:szCs w:val="20"/>
        </w:rPr>
      </w:pPr>
      <w:r w:rsidRPr="00A014E9">
        <w:rPr>
          <w:rFonts w:ascii="Verdana" w:hAnsi="Verdana"/>
          <w:sz w:val="20"/>
          <w:szCs w:val="20"/>
        </w:rPr>
        <w:t>Pablo Saavedra Alessandri</w:t>
      </w:r>
    </w:p>
    <w:p w14:paraId="6FBED32C" w14:textId="7011C887" w:rsidR="00E87F69" w:rsidRPr="00A014E9" w:rsidRDefault="00901254" w:rsidP="00901254">
      <w:pPr>
        <w:tabs>
          <w:tab w:val="left" w:pos="2835"/>
        </w:tabs>
        <w:ind w:right="6003"/>
        <w:rPr>
          <w:rFonts w:ascii="Verdana" w:hAnsi="Verdana"/>
          <w:sz w:val="20"/>
          <w:szCs w:val="20"/>
        </w:rPr>
      </w:pPr>
      <w:r>
        <w:rPr>
          <w:rFonts w:ascii="Verdana" w:hAnsi="Verdana"/>
          <w:sz w:val="20"/>
          <w:szCs w:val="20"/>
        </w:rPr>
        <w:t xml:space="preserve">         </w:t>
      </w:r>
      <w:r w:rsidR="00E87F69" w:rsidRPr="00A014E9">
        <w:rPr>
          <w:rFonts w:ascii="Verdana" w:hAnsi="Verdana"/>
          <w:sz w:val="20"/>
          <w:szCs w:val="20"/>
        </w:rPr>
        <w:t>Secretario</w:t>
      </w:r>
    </w:p>
    <w:p w14:paraId="06B8426A" w14:textId="77777777" w:rsidR="00E87F69" w:rsidRPr="00A014E9" w:rsidRDefault="00E87F69" w:rsidP="00E87F69">
      <w:pPr>
        <w:rPr>
          <w:rFonts w:ascii="Verdana" w:hAnsi="Verdana"/>
          <w:sz w:val="20"/>
          <w:szCs w:val="20"/>
        </w:rPr>
      </w:pPr>
    </w:p>
    <w:p w14:paraId="5FC90228" w14:textId="7B120721" w:rsidR="00E87F69" w:rsidRPr="00A014E9" w:rsidRDefault="00E87F69" w:rsidP="00E87F69">
      <w:pPr>
        <w:rPr>
          <w:rFonts w:ascii="Verdana" w:hAnsi="Verdana"/>
          <w:sz w:val="20"/>
          <w:szCs w:val="20"/>
        </w:rPr>
      </w:pPr>
    </w:p>
    <w:p w14:paraId="3D64A028" w14:textId="4939257B" w:rsidR="00E87F69" w:rsidRPr="00A014E9" w:rsidRDefault="00E87F69" w:rsidP="00E87F69">
      <w:pPr>
        <w:rPr>
          <w:rFonts w:ascii="Verdana" w:hAnsi="Verdana"/>
          <w:sz w:val="20"/>
          <w:szCs w:val="20"/>
        </w:rPr>
      </w:pPr>
      <w:r w:rsidRPr="00A014E9">
        <w:rPr>
          <w:rFonts w:ascii="Verdana" w:hAnsi="Verdana"/>
          <w:sz w:val="20"/>
          <w:szCs w:val="20"/>
        </w:rPr>
        <w:t>Comuníquese y ejecútese,</w:t>
      </w:r>
      <w:r w:rsidRPr="00A014E9">
        <w:rPr>
          <w:rFonts w:ascii="Verdana" w:hAnsi="Verdana"/>
          <w:sz w:val="20"/>
          <w:szCs w:val="20"/>
          <w:lang w:eastAsia="es-CR"/>
        </w:rPr>
        <w:t xml:space="preserve"> </w:t>
      </w:r>
    </w:p>
    <w:p w14:paraId="58610063" w14:textId="55B52977" w:rsidR="00E87F69" w:rsidRPr="00A014E9" w:rsidRDefault="00E87F69" w:rsidP="00E87F69">
      <w:pPr>
        <w:rPr>
          <w:rFonts w:ascii="Verdana" w:hAnsi="Verdana"/>
          <w:sz w:val="20"/>
          <w:szCs w:val="20"/>
        </w:rPr>
      </w:pPr>
    </w:p>
    <w:p w14:paraId="1C58B859" w14:textId="0A538BB4" w:rsidR="00E87F69" w:rsidRPr="00A014E9" w:rsidRDefault="00E87F69" w:rsidP="00E87F69">
      <w:pPr>
        <w:rPr>
          <w:rFonts w:ascii="Verdana" w:hAnsi="Verdana"/>
          <w:sz w:val="20"/>
          <w:szCs w:val="20"/>
        </w:rPr>
      </w:pPr>
    </w:p>
    <w:p w14:paraId="340751BD" w14:textId="7D3ABE7C" w:rsidR="00E87F69" w:rsidRDefault="00E87F69" w:rsidP="00E87F69">
      <w:pPr>
        <w:rPr>
          <w:rFonts w:ascii="Verdana" w:hAnsi="Verdana"/>
          <w:sz w:val="20"/>
          <w:szCs w:val="20"/>
        </w:rPr>
      </w:pPr>
    </w:p>
    <w:p w14:paraId="5FAB67F2" w14:textId="7FE80254" w:rsidR="00901254" w:rsidRPr="00A014E9" w:rsidRDefault="00901254" w:rsidP="00E87F69">
      <w:pPr>
        <w:rPr>
          <w:rFonts w:ascii="Verdana" w:hAnsi="Verdana"/>
          <w:sz w:val="20"/>
          <w:szCs w:val="20"/>
        </w:rPr>
      </w:pPr>
    </w:p>
    <w:p w14:paraId="17D79FF2" w14:textId="2E3C7464" w:rsidR="00E87F69" w:rsidRPr="00A014E9" w:rsidRDefault="00222559" w:rsidP="00E87F69">
      <w:pPr>
        <w:ind w:left="4536"/>
        <w:jc w:val="center"/>
        <w:rPr>
          <w:rFonts w:ascii="Verdana" w:hAnsi="Verdana"/>
          <w:sz w:val="20"/>
          <w:szCs w:val="20"/>
        </w:rPr>
      </w:pPr>
      <w:r w:rsidRPr="00A014E9">
        <w:rPr>
          <w:rFonts w:ascii="Verdana" w:hAnsi="Verdana"/>
          <w:color w:val="000000"/>
          <w:spacing w:val="-2"/>
          <w:sz w:val="20"/>
          <w:szCs w:val="20"/>
          <w:lang w:eastAsia="es-CR"/>
        </w:rPr>
        <w:t xml:space="preserve">Ricardo </w:t>
      </w:r>
      <w:r w:rsidR="004F64A1" w:rsidRPr="00A014E9">
        <w:rPr>
          <w:rFonts w:ascii="Verdana" w:hAnsi="Verdana"/>
          <w:color w:val="000000"/>
          <w:spacing w:val="-2"/>
          <w:sz w:val="20"/>
          <w:szCs w:val="20"/>
          <w:lang w:eastAsia="es-CR"/>
        </w:rPr>
        <w:t xml:space="preserve">C. </w:t>
      </w:r>
      <w:r w:rsidRPr="00A014E9">
        <w:rPr>
          <w:rFonts w:ascii="Verdana" w:hAnsi="Verdana"/>
          <w:color w:val="000000"/>
          <w:spacing w:val="-2"/>
          <w:sz w:val="20"/>
          <w:szCs w:val="20"/>
          <w:lang w:eastAsia="es-CR"/>
        </w:rPr>
        <w:t>Pérez Manrique</w:t>
      </w:r>
    </w:p>
    <w:p w14:paraId="461FCA0D" w14:textId="4E56B02F" w:rsidR="00E87F69" w:rsidRDefault="00E87F69" w:rsidP="00E87F69">
      <w:pPr>
        <w:ind w:left="4536"/>
        <w:jc w:val="center"/>
        <w:rPr>
          <w:rFonts w:ascii="Verdana" w:hAnsi="Verdana"/>
          <w:sz w:val="20"/>
          <w:szCs w:val="20"/>
        </w:rPr>
      </w:pPr>
      <w:r w:rsidRPr="00A014E9">
        <w:rPr>
          <w:rFonts w:ascii="Verdana" w:hAnsi="Verdana"/>
          <w:sz w:val="20"/>
          <w:szCs w:val="20"/>
        </w:rPr>
        <w:t>President</w:t>
      </w:r>
      <w:r w:rsidR="00222559" w:rsidRPr="00A014E9">
        <w:rPr>
          <w:rFonts w:ascii="Verdana" w:hAnsi="Verdana"/>
          <w:sz w:val="20"/>
          <w:szCs w:val="20"/>
        </w:rPr>
        <w:t>e</w:t>
      </w:r>
    </w:p>
    <w:p w14:paraId="4B665DD3" w14:textId="7362B9DA" w:rsidR="00901254" w:rsidRPr="00A014E9" w:rsidRDefault="00901254" w:rsidP="00E87F69">
      <w:pPr>
        <w:ind w:left="4536"/>
        <w:jc w:val="center"/>
        <w:rPr>
          <w:rFonts w:ascii="Verdana" w:hAnsi="Verdana"/>
          <w:sz w:val="20"/>
          <w:szCs w:val="20"/>
        </w:rPr>
      </w:pPr>
    </w:p>
    <w:p w14:paraId="4C9724F8" w14:textId="77777777" w:rsidR="00E87F69" w:rsidRPr="00A014E9" w:rsidRDefault="00E87F69" w:rsidP="00E87F69">
      <w:pPr>
        <w:rPr>
          <w:rFonts w:ascii="Verdana" w:hAnsi="Verdana"/>
          <w:sz w:val="20"/>
          <w:szCs w:val="20"/>
        </w:rPr>
      </w:pPr>
    </w:p>
    <w:p w14:paraId="4E426AC1" w14:textId="2C861F62" w:rsidR="00E87F69" w:rsidRPr="00A014E9" w:rsidRDefault="00E87F69" w:rsidP="00901254">
      <w:pPr>
        <w:ind w:right="6003"/>
        <w:rPr>
          <w:rFonts w:ascii="Verdana" w:hAnsi="Verdana"/>
          <w:sz w:val="20"/>
          <w:szCs w:val="20"/>
        </w:rPr>
      </w:pPr>
      <w:r w:rsidRPr="00A014E9">
        <w:rPr>
          <w:rFonts w:ascii="Verdana" w:hAnsi="Verdana"/>
          <w:sz w:val="20"/>
          <w:szCs w:val="20"/>
        </w:rPr>
        <w:t>Pablo Saavedra Alessandri</w:t>
      </w:r>
    </w:p>
    <w:p w14:paraId="3C57BA99" w14:textId="069C2E90" w:rsidR="002C3EF5" w:rsidRPr="005E229A" w:rsidRDefault="00901254" w:rsidP="00901254">
      <w:pPr>
        <w:ind w:right="6003"/>
        <w:rPr>
          <w:rFonts w:ascii="Verdana" w:hAnsi="Verdana"/>
          <w:sz w:val="20"/>
          <w:szCs w:val="20"/>
        </w:rPr>
      </w:pPr>
      <w:r>
        <w:rPr>
          <w:rFonts w:ascii="Verdana" w:hAnsi="Verdana"/>
          <w:sz w:val="20"/>
          <w:szCs w:val="20"/>
        </w:rPr>
        <w:t xml:space="preserve">         </w:t>
      </w:r>
      <w:r w:rsidR="00E87F69" w:rsidRPr="00A014E9">
        <w:rPr>
          <w:rFonts w:ascii="Verdana" w:hAnsi="Verdana"/>
          <w:sz w:val="20"/>
          <w:szCs w:val="20"/>
        </w:rPr>
        <w:t>Secretario</w:t>
      </w:r>
    </w:p>
    <w:sectPr w:rsidR="002C3EF5" w:rsidRPr="005E229A" w:rsidSect="00A506D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D9A33" w14:textId="77777777" w:rsidR="0043184F" w:rsidRDefault="0043184F" w:rsidP="00534E68">
      <w:r>
        <w:separator/>
      </w:r>
    </w:p>
  </w:endnote>
  <w:endnote w:type="continuationSeparator" w:id="0">
    <w:p w14:paraId="76B160D0" w14:textId="77777777" w:rsidR="0043184F" w:rsidRDefault="0043184F" w:rsidP="00534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184430836"/>
      <w:docPartObj>
        <w:docPartGallery w:val="Page Numbers (Bottom of Page)"/>
        <w:docPartUnique/>
      </w:docPartObj>
    </w:sdtPr>
    <w:sdtContent>
      <w:p w14:paraId="09B5FCBF" w14:textId="1D7071C0" w:rsidR="001238C6" w:rsidRDefault="001238C6" w:rsidP="008F2590">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6BC1ED35" w14:textId="77777777" w:rsidR="001238C6" w:rsidRDefault="001238C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03350858"/>
      <w:docPartObj>
        <w:docPartGallery w:val="Page Numbers (Bottom of Page)"/>
        <w:docPartUnique/>
      </w:docPartObj>
    </w:sdtPr>
    <w:sdtContent>
      <w:p w14:paraId="4269A91F" w14:textId="159837FF" w:rsidR="001238C6" w:rsidRDefault="001238C6" w:rsidP="008F2590">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2C1C02">
          <w:rPr>
            <w:rStyle w:val="Nmerodepgina"/>
            <w:noProof/>
          </w:rPr>
          <w:t>2</w:t>
        </w:r>
        <w:r>
          <w:rPr>
            <w:rStyle w:val="Nmerodepgina"/>
          </w:rPr>
          <w:fldChar w:fldCharType="end"/>
        </w:r>
      </w:p>
    </w:sdtContent>
  </w:sdt>
  <w:p w14:paraId="4E26D296" w14:textId="77777777" w:rsidR="001238C6" w:rsidRDefault="001238C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A99D2" w14:textId="77777777" w:rsidR="00B232DB" w:rsidRDefault="00B232D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9F7AF" w14:textId="77777777" w:rsidR="0043184F" w:rsidRDefault="0043184F" w:rsidP="00534E68">
      <w:r>
        <w:separator/>
      </w:r>
    </w:p>
  </w:footnote>
  <w:footnote w:type="continuationSeparator" w:id="0">
    <w:p w14:paraId="7B245A79" w14:textId="77777777" w:rsidR="0043184F" w:rsidRDefault="0043184F" w:rsidP="00534E68">
      <w:r>
        <w:continuationSeparator/>
      </w:r>
    </w:p>
  </w:footnote>
  <w:footnote w:id="1">
    <w:p w14:paraId="1E65ADE4" w14:textId="42D06E8B" w:rsidR="00FE6634" w:rsidRPr="00F43CA0" w:rsidRDefault="00FE6634" w:rsidP="00F43CA0">
      <w:pPr>
        <w:pStyle w:val="Textonotapie"/>
        <w:spacing w:before="120" w:after="120"/>
        <w:rPr>
          <w:sz w:val="16"/>
          <w:szCs w:val="16"/>
          <w:lang w:val="es-ES"/>
        </w:rPr>
      </w:pPr>
      <w:r w:rsidRPr="00F43CA0">
        <w:rPr>
          <w:rStyle w:val="Refdenotaalpie"/>
          <w:sz w:val="16"/>
          <w:szCs w:val="16"/>
        </w:rPr>
        <w:footnoteRef/>
      </w:r>
      <w:r w:rsidRPr="00F43CA0">
        <w:rPr>
          <w:sz w:val="16"/>
          <w:szCs w:val="16"/>
        </w:rPr>
        <w:t xml:space="preserve"> </w:t>
      </w:r>
      <w:r w:rsidRPr="00F43CA0">
        <w:rPr>
          <w:sz w:val="16"/>
          <w:szCs w:val="16"/>
          <w:lang w:val="es-ES"/>
        </w:rPr>
        <w:tab/>
      </w:r>
      <w:r w:rsidR="001507A2">
        <w:rPr>
          <w:sz w:val="16"/>
          <w:szCs w:val="16"/>
          <w:lang w:val="es-ES"/>
        </w:rPr>
        <w:t>La representación</w:t>
      </w:r>
      <w:r w:rsidRPr="00F43CA0">
        <w:rPr>
          <w:sz w:val="16"/>
          <w:szCs w:val="16"/>
          <w:lang w:val="es-ES"/>
        </w:rPr>
        <w:t xml:space="preserve"> de las presuntas víctimas </w:t>
      </w:r>
      <w:r w:rsidR="00C5086A">
        <w:rPr>
          <w:sz w:val="16"/>
          <w:szCs w:val="16"/>
          <w:lang w:val="es-ES"/>
        </w:rPr>
        <w:t>corresponde al Colectivo</w:t>
      </w:r>
      <w:r w:rsidRPr="00F43CA0">
        <w:rPr>
          <w:sz w:val="16"/>
          <w:szCs w:val="16"/>
          <w:lang w:val="es-ES"/>
        </w:rPr>
        <w:t xml:space="preserve"> </w:t>
      </w:r>
      <w:r w:rsidR="0081236D" w:rsidRPr="00F43CA0">
        <w:rPr>
          <w:sz w:val="16"/>
          <w:szCs w:val="16"/>
          <w:lang w:val="es-ES"/>
        </w:rPr>
        <w:t>Pena Sin Culpa</w:t>
      </w:r>
      <w:r w:rsidRPr="00F43CA0">
        <w:rPr>
          <w:sz w:val="16"/>
          <w:szCs w:val="16"/>
          <w:lang w:val="es-ES"/>
        </w:rPr>
        <w:t xml:space="preserve">, </w:t>
      </w:r>
      <w:r w:rsidR="008D1E6B" w:rsidRPr="00F43CA0">
        <w:rPr>
          <w:sz w:val="16"/>
          <w:szCs w:val="16"/>
          <w:lang w:val="es-ES"/>
        </w:rPr>
        <w:t xml:space="preserve">que interviene a través de </w:t>
      </w:r>
      <w:r w:rsidR="00FC653B" w:rsidRPr="00F43CA0">
        <w:rPr>
          <w:sz w:val="16"/>
          <w:szCs w:val="16"/>
          <w:lang w:val="es-ES"/>
        </w:rPr>
        <w:t>Simón Alejandro Hernández León</w:t>
      </w:r>
      <w:r w:rsidR="008D1E6B" w:rsidRPr="00F43CA0">
        <w:rPr>
          <w:sz w:val="16"/>
          <w:szCs w:val="16"/>
          <w:lang w:val="es-ES"/>
        </w:rPr>
        <w:t xml:space="preserve">, </w:t>
      </w:r>
      <w:r w:rsidR="00FC653B" w:rsidRPr="00F43CA0">
        <w:rPr>
          <w:sz w:val="16"/>
          <w:szCs w:val="16"/>
          <w:lang w:val="es-ES"/>
        </w:rPr>
        <w:t>David Peña Rodríguez y Daniel García</w:t>
      </w:r>
      <w:r w:rsidR="00A36E17" w:rsidRPr="00F43CA0">
        <w:rPr>
          <w:sz w:val="16"/>
          <w:szCs w:val="16"/>
          <w:lang w:val="es-ES"/>
        </w:rPr>
        <w:t>.</w:t>
      </w:r>
      <w:r w:rsidRPr="00F43CA0">
        <w:rPr>
          <w:sz w:val="16"/>
          <w:szCs w:val="16"/>
          <w:lang w:val="es-ES"/>
        </w:rPr>
        <w:t xml:space="preserve"> </w:t>
      </w:r>
    </w:p>
  </w:footnote>
  <w:footnote w:id="2">
    <w:p w14:paraId="0148B8DA" w14:textId="41AC64B9" w:rsidR="008B46A6" w:rsidRPr="00A6607D" w:rsidRDefault="008B46A6">
      <w:pPr>
        <w:pStyle w:val="Textonotapie"/>
        <w:rPr>
          <w:sz w:val="16"/>
          <w:szCs w:val="16"/>
        </w:rPr>
      </w:pPr>
      <w:r w:rsidRPr="00A6607D">
        <w:rPr>
          <w:rStyle w:val="Refdenotaalpie"/>
          <w:sz w:val="16"/>
          <w:szCs w:val="16"/>
        </w:rPr>
        <w:footnoteRef/>
      </w:r>
      <w:r w:rsidRPr="00A6607D">
        <w:rPr>
          <w:sz w:val="16"/>
          <w:szCs w:val="16"/>
        </w:rPr>
        <w:t xml:space="preserve"> </w:t>
      </w:r>
      <w:r w:rsidRPr="00A6607D">
        <w:rPr>
          <w:sz w:val="16"/>
          <w:szCs w:val="16"/>
        </w:rPr>
        <w:tab/>
      </w:r>
      <w:r w:rsidRPr="00A6607D">
        <w:rPr>
          <w:i/>
          <w:iCs/>
          <w:sz w:val="16"/>
          <w:szCs w:val="16"/>
        </w:rPr>
        <w:t>Cfr</w:t>
      </w:r>
      <w:r w:rsidRPr="00A6607D">
        <w:rPr>
          <w:sz w:val="16"/>
          <w:szCs w:val="16"/>
        </w:rPr>
        <w:t xml:space="preserve">. Caso García Rodríguez y otro Vs. México. Convocatoria a audiencia. Resolución del Presidente de la Corte Interamericana de Derechos Humanos de 6 de julio de 2022. </w:t>
      </w:r>
      <w:hyperlink r:id="rId1" w:history="1">
        <w:r w:rsidR="00A6607D" w:rsidRPr="00A6607D">
          <w:rPr>
            <w:rStyle w:val="Hipervnculo"/>
            <w:sz w:val="16"/>
            <w:szCs w:val="16"/>
          </w:rPr>
          <w:t>https://www.corteidh.or.cr/docs/asuntos/garcia_rodriguez_y_otro_06_07_22.pdf</w:t>
        </w:r>
      </w:hyperlink>
      <w:r w:rsidR="00A6607D">
        <w:rPr>
          <w:sz w:val="16"/>
          <w:szCs w:val="16"/>
        </w:rPr>
        <w:t xml:space="preserve"> </w:t>
      </w:r>
    </w:p>
  </w:footnote>
  <w:footnote w:id="3">
    <w:p w14:paraId="44C0C908" w14:textId="735AD708" w:rsidR="00C214EC" w:rsidRPr="00C214EC" w:rsidRDefault="00C214EC">
      <w:pPr>
        <w:pStyle w:val="Textonotapie"/>
        <w:rPr>
          <w:sz w:val="16"/>
          <w:szCs w:val="16"/>
          <w:lang w:val="es-ES"/>
        </w:rPr>
      </w:pPr>
      <w:r w:rsidRPr="00C214EC">
        <w:rPr>
          <w:rStyle w:val="Refdenotaalpie"/>
          <w:sz w:val="16"/>
          <w:szCs w:val="16"/>
        </w:rPr>
        <w:footnoteRef/>
      </w:r>
      <w:r w:rsidRPr="00C214EC">
        <w:rPr>
          <w:sz w:val="16"/>
          <w:szCs w:val="16"/>
        </w:rPr>
        <w:t xml:space="preserve"> </w:t>
      </w:r>
      <w:r w:rsidRPr="00C214EC">
        <w:rPr>
          <w:sz w:val="16"/>
          <w:szCs w:val="16"/>
          <w:lang w:val="es-ES"/>
        </w:rPr>
        <w:tab/>
        <w:t xml:space="preserve">Sostuvieron que ya han </w:t>
      </w:r>
      <w:r>
        <w:rPr>
          <w:sz w:val="16"/>
          <w:szCs w:val="16"/>
          <w:lang w:val="es-ES"/>
        </w:rPr>
        <w:t>“</w:t>
      </w:r>
      <w:r w:rsidRPr="00C214EC">
        <w:rPr>
          <w:sz w:val="16"/>
          <w:szCs w:val="16"/>
          <w:lang w:val="es-ES"/>
        </w:rPr>
        <w:t>erogado gastos de transporte aéreo, concretamente las reservas de vuelo de Simón Hernández León y David Peña Rodriguez. Por su parte, el perito convocado, José Ramón Cossío también tiene la reserva de vuelo, por lo que la solicitud del Estado afecta la equidad e implica cargas económicas que ya ha realizado esta representación</w:t>
      </w:r>
      <w:r>
        <w:rPr>
          <w:sz w:val="16"/>
          <w:szCs w:val="16"/>
          <w:lang w:val="es-ES"/>
        </w:rPr>
        <w:t>”. Aportaron comprobantes de dichas erogaciones.</w:t>
      </w:r>
    </w:p>
  </w:footnote>
  <w:footnote w:id="4">
    <w:p w14:paraId="065848BC" w14:textId="77777777" w:rsidR="00A0768F" w:rsidRPr="00C214EC" w:rsidRDefault="00A0768F" w:rsidP="00A0768F">
      <w:pPr>
        <w:pStyle w:val="Textonotapie"/>
        <w:rPr>
          <w:sz w:val="16"/>
          <w:szCs w:val="16"/>
          <w:lang w:val="es-ES"/>
        </w:rPr>
      </w:pPr>
      <w:r w:rsidRPr="00C214EC">
        <w:rPr>
          <w:rStyle w:val="Refdenotaalpie"/>
          <w:sz w:val="16"/>
          <w:szCs w:val="16"/>
        </w:rPr>
        <w:footnoteRef/>
      </w:r>
      <w:r w:rsidRPr="00C214EC">
        <w:rPr>
          <w:sz w:val="16"/>
          <w:szCs w:val="16"/>
        </w:rPr>
        <w:t xml:space="preserve"> </w:t>
      </w:r>
      <w:r w:rsidRPr="00C214EC">
        <w:rPr>
          <w:sz w:val="16"/>
          <w:szCs w:val="16"/>
          <w:lang w:val="es-ES"/>
        </w:rPr>
        <w:tab/>
        <w:t xml:space="preserve">Sostuvieron que </w:t>
      </w:r>
      <w:r>
        <w:rPr>
          <w:sz w:val="16"/>
          <w:szCs w:val="16"/>
          <w:lang w:val="es-ES"/>
        </w:rPr>
        <w:t>“</w:t>
      </w:r>
      <w:r w:rsidRPr="00A0768F">
        <w:rPr>
          <w:sz w:val="16"/>
          <w:szCs w:val="16"/>
          <w:lang w:val="es-ES"/>
        </w:rPr>
        <w:t>la información de la autoridad de salud federal y del titular del Poder Ejecutivo permiten establecer que en México, actualmente, no existen los riesgos de salubridad aludidos</w:t>
      </w:r>
      <w:r>
        <w:rPr>
          <w:sz w:val="16"/>
          <w:szCs w:val="16"/>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9732A" w14:textId="77777777" w:rsidR="00B232DB" w:rsidRDefault="00B232D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5CF49" w14:textId="77777777" w:rsidR="00B232DB" w:rsidRDefault="00B232D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35CBA" w14:textId="567AB95D" w:rsidR="000C0C07" w:rsidRPr="009F0749" w:rsidRDefault="000C0C07" w:rsidP="000C0C07">
    <w:pPr>
      <w:pStyle w:val="Encabezado"/>
      <w:jc w:val="right"/>
      <w:rPr>
        <w:i/>
        <w:iCs/>
        <w:sz w:val="15"/>
        <w:szCs w:val="20"/>
        <w:lang w:val="pt-BR"/>
      </w:rPr>
    </w:pPr>
    <w:r w:rsidRPr="009F0749">
      <w:rPr>
        <w:i/>
        <w:iCs/>
        <w:sz w:val="15"/>
        <w:szCs w:val="20"/>
        <w:lang w:val="pt-BR"/>
      </w:rPr>
      <w:t xml:space="preserve"> </w:t>
    </w:r>
  </w:p>
  <w:p w14:paraId="1040CBFC" w14:textId="076B5CBB" w:rsidR="00DF3FE1" w:rsidRPr="009F0749" w:rsidRDefault="00DF3FE1">
    <w:pPr>
      <w:pStyle w:val="Encabezado"/>
      <w:rPr>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B1BFF"/>
    <w:multiLevelType w:val="hybridMultilevel"/>
    <w:tmpl w:val="9C9452C2"/>
    <w:lvl w:ilvl="0" w:tplc="42E26D32">
      <w:start w:val="1"/>
      <w:numFmt w:val="upperLetter"/>
      <w:lvlText w:val="%1."/>
      <w:lvlJc w:val="left"/>
      <w:pPr>
        <w:ind w:left="720" w:hanging="360"/>
      </w:pPr>
      <w:rPr>
        <w:b w:val="0"/>
      </w:rPr>
    </w:lvl>
    <w:lvl w:ilvl="1" w:tplc="1160E910">
      <w:start w:val="1"/>
      <w:numFmt w:val="decimal"/>
      <w:lvlText w:val="%2)"/>
      <w:lvlJc w:val="left"/>
      <w:pPr>
        <w:ind w:left="1440" w:hanging="360"/>
      </w:pPr>
      <w:rPr>
        <w:rFonts w:ascii="Verdana" w:eastAsia="Batang" w:hAnsi="Verdana" w:cs="Calibri"/>
        <w:b w:val="0"/>
        <w:bCs w:val="0"/>
        <w:i w:val="0"/>
        <w:iCs w:val="0"/>
      </w:rPr>
    </w:lvl>
    <w:lvl w:ilvl="2" w:tplc="0409001B">
      <w:start w:val="1"/>
      <w:numFmt w:val="lowerRoman"/>
      <w:lvlText w:val="%3."/>
      <w:lvlJc w:val="right"/>
      <w:pPr>
        <w:ind w:left="2160" w:hanging="180"/>
      </w:pPr>
    </w:lvl>
    <w:lvl w:ilvl="3" w:tplc="50005FF6">
      <w:start w:val="1"/>
      <w:numFmt w:val="decimal"/>
      <w:lvlText w:val="%4."/>
      <w:lvlJc w:val="left"/>
      <w:pPr>
        <w:ind w:left="2880" w:hanging="360"/>
      </w:pPr>
      <w:rPr>
        <w:b w:val="0"/>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4781403"/>
    <w:multiLevelType w:val="hybridMultilevel"/>
    <w:tmpl w:val="BCBACB3C"/>
    <w:lvl w:ilvl="0" w:tplc="265A9B42">
      <w:start w:val="3"/>
      <w:numFmt w:val="decimal"/>
      <w:lvlText w:val="%1)"/>
      <w:lvlJc w:val="left"/>
      <w:pPr>
        <w:ind w:left="1440" w:hanging="360"/>
      </w:pPr>
      <w:rPr>
        <w:rFonts w:ascii="Verdana" w:eastAsia="Batang" w:hAnsi="Verdana" w:cs="Calibri" w:hint="default"/>
        <w:b w:val="0"/>
        <w:bCs w:val="0"/>
        <w:i w:val="0"/>
        <w:i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8B52B12"/>
    <w:multiLevelType w:val="hybridMultilevel"/>
    <w:tmpl w:val="0EB0C9FE"/>
    <w:lvl w:ilvl="0" w:tplc="F60E0196">
      <w:start w:val="3"/>
      <w:numFmt w:val="decimal"/>
      <w:lvlText w:val="%1)"/>
      <w:lvlJc w:val="left"/>
      <w:pPr>
        <w:ind w:left="1440" w:hanging="360"/>
      </w:pPr>
      <w:rPr>
        <w:rFonts w:ascii="Verdana" w:eastAsia="Batang" w:hAnsi="Verdana" w:cs="Calibri" w:hint="default"/>
        <w:b w:val="0"/>
        <w:bCs w:val="0"/>
        <w:i w:val="0"/>
        <w:i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98A321F"/>
    <w:multiLevelType w:val="hybridMultilevel"/>
    <w:tmpl w:val="712AF108"/>
    <w:lvl w:ilvl="0" w:tplc="FFFFFFFF">
      <w:start w:val="1"/>
      <w:numFmt w:val="decimal"/>
      <w:lvlText w:val="%1)"/>
      <w:lvlJc w:val="left"/>
      <w:pPr>
        <w:ind w:left="1440" w:hanging="360"/>
      </w:pPr>
      <w:rPr>
        <w:rFonts w:ascii="Verdana" w:eastAsia="Batang" w:hAnsi="Verdana" w:cs="Calibri"/>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EA4351"/>
    <w:multiLevelType w:val="hybridMultilevel"/>
    <w:tmpl w:val="9C9452C2"/>
    <w:lvl w:ilvl="0" w:tplc="FFFFFFFF">
      <w:start w:val="1"/>
      <w:numFmt w:val="upperLetter"/>
      <w:lvlText w:val="%1."/>
      <w:lvlJc w:val="left"/>
      <w:pPr>
        <w:ind w:left="720" w:hanging="360"/>
      </w:pPr>
      <w:rPr>
        <w:b w:val="0"/>
      </w:rPr>
    </w:lvl>
    <w:lvl w:ilvl="1" w:tplc="FFFFFFFF">
      <w:start w:val="1"/>
      <w:numFmt w:val="decimal"/>
      <w:lvlText w:val="%2)"/>
      <w:lvlJc w:val="left"/>
      <w:pPr>
        <w:ind w:left="1440" w:hanging="360"/>
      </w:pPr>
      <w:rPr>
        <w:rFonts w:ascii="Verdana" w:eastAsia="Batang" w:hAnsi="Verdana" w:cs="Calibri"/>
        <w:b w:val="0"/>
        <w:bCs w:val="0"/>
        <w:i w:val="0"/>
        <w:i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rPr>
        <w:b w:val="0"/>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5812C8C"/>
    <w:multiLevelType w:val="hybridMultilevel"/>
    <w:tmpl w:val="E5546E3A"/>
    <w:lvl w:ilvl="0" w:tplc="FFFFFFFF">
      <w:start w:val="1"/>
      <w:numFmt w:val="decimal"/>
      <w:lvlText w:val="%1)"/>
      <w:lvlJc w:val="left"/>
      <w:pPr>
        <w:ind w:left="1440" w:hanging="360"/>
      </w:pPr>
      <w:rPr>
        <w:rFonts w:ascii="Verdana" w:eastAsia="Batang" w:hAnsi="Verdana" w:cs="Calibri"/>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C83564"/>
    <w:multiLevelType w:val="hybridMultilevel"/>
    <w:tmpl w:val="94BECD7E"/>
    <w:lvl w:ilvl="0" w:tplc="FD72A19E">
      <w:start w:val="1"/>
      <w:numFmt w:val="decimal"/>
      <w:lvlText w:val="%1)"/>
      <w:lvlJc w:val="left"/>
      <w:pPr>
        <w:ind w:left="1353" w:hanging="360"/>
      </w:pPr>
      <w:rPr>
        <w:b w:val="0"/>
        <w:bCs/>
        <w:i w:val="0"/>
        <w:iCs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7" w15:restartNumberingAfterBreak="0">
    <w:nsid w:val="1C994672"/>
    <w:multiLevelType w:val="hybridMultilevel"/>
    <w:tmpl w:val="9AAE98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CA35A5A"/>
    <w:multiLevelType w:val="hybridMultilevel"/>
    <w:tmpl w:val="70BA0408"/>
    <w:lvl w:ilvl="0" w:tplc="C0CCC3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343DBC"/>
    <w:multiLevelType w:val="hybridMultilevel"/>
    <w:tmpl w:val="1B68B230"/>
    <w:lvl w:ilvl="0" w:tplc="D85A9EA4">
      <w:start w:val="1"/>
      <w:numFmt w:val="decimal"/>
      <w:lvlText w:val="%1)"/>
      <w:lvlJc w:val="left"/>
      <w:pPr>
        <w:ind w:left="1440" w:hanging="360"/>
      </w:pPr>
      <w:rPr>
        <w:rFonts w:ascii="Verdana" w:eastAsia="Batang" w:hAnsi="Verdana" w:cs="Calibri"/>
        <w:b w:val="0"/>
        <w:bCs w:val="0"/>
        <w:i w:val="0"/>
        <w:i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A780770"/>
    <w:multiLevelType w:val="hybridMultilevel"/>
    <w:tmpl w:val="3DC8A7FE"/>
    <w:lvl w:ilvl="0" w:tplc="67E07D4A">
      <w:start w:val="1"/>
      <w:numFmt w:val="decimal"/>
      <w:lvlText w:val="%1."/>
      <w:lvlJc w:val="left"/>
      <w:pPr>
        <w:ind w:left="1800" w:hanging="720"/>
      </w:pPr>
      <w:rPr>
        <w:b w:val="0"/>
        <w:i w:val="0"/>
        <w:color w:val="auto"/>
      </w:rPr>
    </w:lvl>
    <w:lvl w:ilvl="1" w:tplc="7C2C13CE">
      <w:start w:val="1"/>
      <w:numFmt w:val="lowerRoman"/>
      <w:lvlText w:val="%2."/>
      <w:lvlJc w:val="left"/>
      <w:pPr>
        <w:ind w:left="1800" w:hanging="720"/>
      </w:pPr>
    </w:lvl>
    <w:lvl w:ilvl="2" w:tplc="841219D4">
      <w:start w:val="1"/>
      <w:numFmt w:val="upperRoman"/>
      <w:lvlText w:val="%3."/>
      <w:lvlJc w:val="left"/>
      <w:pPr>
        <w:ind w:left="2700" w:hanging="72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F3669BF"/>
    <w:multiLevelType w:val="multilevel"/>
    <w:tmpl w:val="33140F4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15:restartNumberingAfterBreak="0">
    <w:nsid w:val="33C255AF"/>
    <w:multiLevelType w:val="hybridMultilevel"/>
    <w:tmpl w:val="EB3E47FC"/>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4596A99"/>
    <w:multiLevelType w:val="hybridMultilevel"/>
    <w:tmpl w:val="DFCE72D2"/>
    <w:lvl w:ilvl="0" w:tplc="311087E4">
      <w:start w:val="2"/>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45A26AB"/>
    <w:multiLevelType w:val="hybridMultilevel"/>
    <w:tmpl w:val="249CD098"/>
    <w:lvl w:ilvl="0" w:tplc="04090015">
      <w:start w:val="1"/>
      <w:numFmt w:val="upperLetter"/>
      <w:lvlText w:val="%1."/>
      <w:lvlJc w:val="left"/>
      <w:pPr>
        <w:ind w:left="720" w:hanging="360"/>
      </w:pPr>
    </w:lvl>
    <w:lvl w:ilvl="1" w:tplc="FD72A19E">
      <w:start w:val="1"/>
      <w:numFmt w:val="decimal"/>
      <w:lvlText w:val="%2)"/>
      <w:lvlJc w:val="left"/>
      <w:pPr>
        <w:ind w:left="1353" w:hanging="360"/>
      </w:pPr>
      <w:rPr>
        <w:b w:val="0"/>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5A826F0"/>
    <w:multiLevelType w:val="hybridMultilevel"/>
    <w:tmpl w:val="F52C34B0"/>
    <w:lvl w:ilvl="0" w:tplc="A3C8BA86">
      <w:start w:val="1"/>
      <w:numFmt w:val="decimal"/>
      <w:lvlText w:val="%1."/>
      <w:lvlJc w:val="left"/>
      <w:pPr>
        <w:ind w:left="1080" w:hanging="720"/>
      </w:pPr>
      <w:rPr>
        <w:rFonts w:ascii="Verdana" w:hAnsi="Verdana"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E228C9"/>
    <w:multiLevelType w:val="hybridMultilevel"/>
    <w:tmpl w:val="ABE4F582"/>
    <w:lvl w:ilvl="0" w:tplc="D85A9EA4">
      <w:start w:val="1"/>
      <w:numFmt w:val="decimal"/>
      <w:lvlText w:val="%1)"/>
      <w:lvlJc w:val="left"/>
      <w:pPr>
        <w:ind w:left="1440" w:hanging="360"/>
      </w:pPr>
      <w:rPr>
        <w:rFonts w:ascii="Verdana" w:eastAsia="Batang" w:hAnsi="Verdana" w:cs="Calibri"/>
        <w:b w:val="0"/>
        <w:bCs w:val="0"/>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A38404A"/>
    <w:multiLevelType w:val="hybridMultilevel"/>
    <w:tmpl w:val="1200CECC"/>
    <w:lvl w:ilvl="0" w:tplc="43D0D0D0">
      <w:start w:val="1"/>
      <w:numFmt w:val="decimal"/>
      <w:lvlText w:val="%1."/>
      <w:lvlJc w:val="left"/>
      <w:pPr>
        <w:tabs>
          <w:tab w:val="num" w:pos="720"/>
        </w:tabs>
      </w:pPr>
      <w:rPr>
        <w:rFonts w:ascii="Verdana" w:hAnsi="Verdana" w:cs="Times New Roman" w:hint="default"/>
        <w:b w:val="0"/>
        <w:i w:val="0"/>
        <w:sz w:val="20"/>
      </w:rPr>
    </w:lvl>
    <w:lvl w:ilvl="1" w:tplc="00190409">
      <w:start w:val="1"/>
      <w:numFmt w:val="lowerLetter"/>
      <w:lvlText w:val="%2."/>
      <w:lvlJc w:val="left"/>
      <w:pPr>
        <w:tabs>
          <w:tab w:val="num" w:pos="1080"/>
        </w:tabs>
        <w:ind w:left="108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8" w15:restartNumberingAfterBreak="0">
    <w:nsid w:val="3C0A09FE"/>
    <w:multiLevelType w:val="hybridMultilevel"/>
    <w:tmpl w:val="F9CA78B2"/>
    <w:lvl w:ilvl="0" w:tplc="1160E910">
      <w:start w:val="1"/>
      <w:numFmt w:val="decimal"/>
      <w:lvlText w:val="%1)"/>
      <w:lvlJc w:val="left"/>
      <w:pPr>
        <w:ind w:left="1440" w:hanging="360"/>
      </w:pPr>
      <w:rPr>
        <w:rFonts w:ascii="Verdana" w:eastAsia="Batang" w:hAnsi="Verdana" w:cs="Calibri"/>
        <w:b w:val="0"/>
        <w:bCs w:val="0"/>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2E17240"/>
    <w:multiLevelType w:val="multilevel"/>
    <w:tmpl w:val="A02C4376"/>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448E317C"/>
    <w:multiLevelType w:val="hybridMultilevel"/>
    <w:tmpl w:val="D63C7810"/>
    <w:lvl w:ilvl="0" w:tplc="C0CCC3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EE4C21"/>
    <w:multiLevelType w:val="hybridMultilevel"/>
    <w:tmpl w:val="903CD64A"/>
    <w:lvl w:ilvl="0" w:tplc="1FE637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FC57B8"/>
    <w:multiLevelType w:val="hybridMultilevel"/>
    <w:tmpl w:val="B69064D8"/>
    <w:lvl w:ilvl="0" w:tplc="9A22BA8C">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E0600B2"/>
    <w:multiLevelType w:val="hybridMultilevel"/>
    <w:tmpl w:val="94BECD7E"/>
    <w:lvl w:ilvl="0" w:tplc="FD72A19E">
      <w:start w:val="1"/>
      <w:numFmt w:val="decimal"/>
      <w:lvlText w:val="%1)"/>
      <w:lvlJc w:val="left"/>
      <w:pPr>
        <w:ind w:left="1419" w:hanging="360"/>
      </w:pPr>
      <w:rPr>
        <w:b w:val="0"/>
        <w:bCs/>
        <w:i w:val="0"/>
        <w:iCs w:val="0"/>
      </w:rPr>
    </w:lvl>
    <w:lvl w:ilvl="1" w:tplc="140A0019">
      <w:start w:val="1"/>
      <w:numFmt w:val="lowerLetter"/>
      <w:lvlText w:val="%2."/>
      <w:lvlJc w:val="left"/>
      <w:pPr>
        <w:ind w:left="1506" w:hanging="360"/>
      </w:pPr>
    </w:lvl>
    <w:lvl w:ilvl="2" w:tplc="140A001B">
      <w:start w:val="1"/>
      <w:numFmt w:val="lowerRoman"/>
      <w:lvlText w:val="%3."/>
      <w:lvlJc w:val="right"/>
      <w:pPr>
        <w:ind w:left="2226" w:hanging="180"/>
      </w:pPr>
    </w:lvl>
    <w:lvl w:ilvl="3" w:tplc="140A000F">
      <w:start w:val="1"/>
      <w:numFmt w:val="decimal"/>
      <w:lvlText w:val="%4."/>
      <w:lvlJc w:val="left"/>
      <w:pPr>
        <w:ind w:left="2946" w:hanging="360"/>
      </w:pPr>
    </w:lvl>
    <w:lvl w:ilvl="4" w:tplc="140A0019">
      <w:start w:val="1"/>
      <w:numFmt w:val="lowerLetter"/>
      <w:lvlText w:val="%5."/>
      <w:lvlJc w:val="left"/>
      <w:pPr>
        <w:ind w:left="3666" w:hanging="360"/>
      </w:pPr>
    </w:lvl>
    <w:lvl w:ilvl="5" w:tplc="140A001B">
      <w:start w:val="1"/>
      <w:numFmt w:val="lowerRoman"/>
      <w:lvlText w:val="%6."/>
      <w:lvlJc w:val="right"/>
      <w:pPr>
        <w:ind w:left="4386" w:hanging="180"/>
      </w:pPr>
    </w:lvl>
    <w:lvl w:ilvl="6" w:tplc="140A000F">
      <w:start w:val="1"/>
      <w:numFmt w:val="decimal"/>
      <w:lvlText w:val="%7."/>
      <w:lvlJc w:val="left"/>
      <w:pPr>
        <w:ind w:left="5106" w:hanging="360"/>
      </w:pPr>
    </w:lvl>
    <w:lvl w:ilvl="7" w:tplc="140A0019">
      <w:start w:val="1"/>
      <w:numFmt w:val="lowerLetter"/>
      <w:lvlText w:val="%8."/>
      <w:lvlJc w:val="left"/>
      <w:pPr>
        <w:ind w:left="5826" w:hanging="360"/>
      </w:pPr>
    </w:lvl>
    <w:lvl w:ilvl="8" w:tplc="140A001B">
      <w:start w:val="1"/>
      <w:numFmt w:val="lowerRoman"/>
      <w:lvlText w:val="%9."/>
      <w:lvlJc w:val="right"/>
      <w:pPr>
        <w:ind w:left="6546" w:hanging="180"/>
      </w:pPr>
    </w:lvl>
  </w:abstractNum>
  <w:abstractNum w:abstractNumId="24" w15:restartNumberingAfterBreak="0">
    <w:nsid w:val="4ED9308F"/>
    <w:multiLevelType w:val="hybridMultilevel"/>
    <w:tmpl w:val="157A33AE"/>
    <w:lvl w:ilvl="0" w:tplc="FCCA93B0">
      <w:start w:val="4"/>
      <w:numFmt w:val="decimal"/>
      <w:lvlText w:val="%1."/>
      <w:lvlJc w:val="left"/>
      <w:pPr>
        <w:ind w:left="2880" w:hanging="360"/>
      </w:pPr>
      <w:rPr>
        <w:rFonts w:hint="default"/>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51B12BCE"/>
    <w:multiLevelType w:val="hybridMultilevel"/>
    <w:tmpl w:val="E5546E3A"/>
    <w:lvl w:ilvl="0" w:tplc="D85A9EA4">
      <w:start w:val="1"/>
      <w:numFmt w:val="decimal"/>
      <w:lvlText w:val="%1)"/>
      <w:lvlJc w:val="left"/>
      <w:pPr>
        <w:ind w:left="1440" w:hanging="360"/>
      </w:pPr>
      <w:rPr>
        <w:rFonts w:ascii="Verdana" w:eastAsia="Batang" w:hAnsi="Verdana" w:cs="Calibri"/>
        <w:b w:val="0"/>
        <w:bCs w:val="0"/>
        <w:i w:val="0"/>
        <w:i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523A454B"/>
    <w:multiLevelType w:val="hybridMultilevel"/>
    <w:tmpl w:val="41B66DDE"/>
    <w:lvl w:ilvl="0" w:tplc="26F84CF8">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7" w15:restartNumberingAfterBreak="0">
    <w:nsid w:val="547846BE"/>
    <w:multiLevelType w:val="multilevel"/>
    <w:tmpl w:val="F6DAA78A"/>
    <w:lvl w:ilvl="0">
      <w:start w:val="1"/>
      <w:numFmt w:val="decimal"/>
      <w:lvlText w:val="%1."/>
      <w:lvlJc w:val="left"/>
      <w:pPr>
        <w:ind w:left="360" w:hanging="360"/>
      </w:pPr>
      <w:rPr>
        <w:rFonts w:ascii="Verdana" w:hAnsi="Verdana" w:hint="default"/>
        <w:b w:val="0"/>
        <w:i w:val="0"/>
        <w:color w:val="auto"/>
        <w:sz w:val="20"/>
        <w:szCs w:val="20"/>
      </w:rPr>
    </w:lvl>
    <w:lvl w:ilvl="1">
      <w:start w:val="1"/>
      <w:numFmt w:val="lowerLetter"/>
      <w:lvlText w:val="%2."/>
      <w:lvlJc w:val="left"/>
      <w:pPr>
        <w:ind w:left="-2672" w:hanging="360"/>
      </w:pPr>
      <w:rPr>
        <w:rFonts w:hint="default"/>
        <w:b w:val="0"/>
      </w:rPr>
    </w:lvl>
    <w:lvl w:ilvl="2">
      <w:start w:val="1"/>
      <w:numFmt w:val="lowerRoman"/>
      <w:lvlText w:val="%3."/>
      <w:lvlJc w:val="right"/>
      <w:pPr>
        <w:ind w:left="-1952" w:hanging="180"/>
      </w:pPr>
      <w:rPr>
        <w:rFonts w:hint="default"/>
      </w:rPr>
    </w:lvl>
    <w:lvl w:ilvl="3">
      <w:start w:val="1"/>
      <w:numFmt w:val="decimal"/>
      <w:lvlText w:val="%4."/>
      <w:lvlJc w:val="left"/>
      <w:pPr>
        <w:ind w:left="360" w:hanging="360"/>
      </w:pPr>
      <w:rPr>
        <w:rFonts w:hint="default"/>
        <w:color w:val="auto"/>
      </w:rPr>
    </w:lvl>
    <w:lvl w:ilvl="4">
      <w:start w:val="1"/>
      <w:numFmt w:val="lowerLetter"/>
      <w:lvlText w:val="%5."/>
      <w:lvlJc w:val="left"/>
      <w:pPr>
        <w:ind w:left="-512" w:hanging="360"/>
      </w:pPr>
      <w:rPr>
        <w:rFonts w:hint="default"/>
      </w:rPr>
    </w:lvl>
    <w:lvl w:ilvl="5">
      <w:start w:val="1"/>
      <w:numFmt w:val="lowerRoman"/>
      <w:lvlText w:val="%6."/>
      <w:lvlJc w:val="right"/>
      <w:pPr>
        <w:ind w:left="208" w:hanging="180"/>
      </w:pPr>
      <w:rPr>
        <w:rFonts w:hint="default"/>
      </w:rPr>
    </w:lvl>
    <w:lvl w:ilvl="6">
      <w:start w:val="1"/>
      <w:numFmt w:val="decimal"/>
      <w:lvlText w:val="%7."/>
      <w:lvlJc w:val="left"/>
      <w:pPr>
        <w:ind w:left="928" w:hanging="360"/>
      </w:pPr>
      <w:rPr>
        <w:rFonts w:hint="default"/>
      </w:rPr>
    </w:lvl>
    <w:lvl w:ilvl="7">
      <w:start w:val="1"/>
      <w:numFmt w:val="lowerLetter"/>
      <w:lvlText w:val="%8."/>
      <w:lvlJc w:val="left"/>
      <w:pPr>
        <w:ind w:left="1648" w:hanging="360"/>
      </w:pPr>
      <w:rPr>
        <w:rFonts w:hint="default"/>
      </w:rPr>
    </w:lvl>
    <w:lvl w:ilvl="8">
      <w:start w:val="1"/>
      <w:numFmt w:val="lowerRoman"/>
      <w:lvlText w:val="%9."/>
      <w:lvlJc w:val="right"/>
      <w:pPr>
        <w:ind w:left="2368" w:hanging="180"/>
      </w:pPr>
      <w:rPr>
        <w:rFonts w:hint="default"/>
      </w:rPr>
    </w:lvl>
  </w:abstractNum>
  <w:abstractNum w:abstractNumId="28" w15:restartNumberingAfterBreak="0">
    <w:nsid w:val="568D3662"/>
    <w:multiLevelType w:val="hybridMultilevel"/>
    <w:tmpl w:val="18D4C62A"/>
    <w:lvl w:ilvl="0" w:tplc="C28E4588">
      <w:start w:val="4"/>
      <w:numFmt w:val="decimal"/>
      <w:lvlText w:val="%1)"/>
      <w:lvlJc w:val="left"/>
      <w:pPr>
        <w:ind w:left="720" w:hanging="360"/>
      </w:pPr>
      <w:rPr>
        <w:rFonts w:hint="default"/>
        <w:i w:val="0"/>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AEC5649"/>
    <w:multiLevelType w:val="hybridMultilevel"/>
    <w:tmpl w:val="1B74B90A"/>
    <w:lvl w:ilvl="0" w:tplc="42E26D32">
      <w:start w:val="1"/>
      <w:numFmt w:val="upperLetter"/>
      <w:lvlText w:val="%1."/>
      <w:lvlJc w:val="left"/>
      <w:pPr>
        <w:ind w:left="720" w:hanging="360"/>
      </w:pPr>
      <w:rPr>
        <w:b w:val="0"/>
      </w:rPr>
    </w:lvl>
    <w:lvl w:ilvl="1" w:tplc="D85A9EA4">
      <w:start w:val="1"/>
      <w:numFmt w:val="decimal"/>
      <w:lvlText w:val="%2)"/>
      <w:lvlJc w:val="left"/>
      <w:pPr>
        <w:ind w:left="1440" w:hanging="360"/>
      </w:pPr>
      <w:rPr>
        <w:rFonts w:ascii="Verdana" w:eastAsia="Batang" w:hAnsi="Verdana" w:cs="Calibri"/>
        <w:b w:val="0"/>
        <w:bCs w:val="0"/>
        <w:i w:val="0"/>
        <w:iCs w:val="0"/>
      </w:rPr>
    </w:lvl>
    <w:lvl w:ilvl="2" w:tplc="0409001B">
      <w:start w:val="1"/>
      <w:numFmt w:val="lowerRoman"/>
      <w:lvlText w:val="%3."/>
      <w:lvlJc w:val="right"/>
      <w:pPr>
        <w:ind w:left="2160" w:hanging="180"/>
      </w:pPr>
    </w:lvl>
    <w:lvl w:ilvl="3" w:tplc="50005FF6">
      <w:start w:val="1"/>
      <w:numFmt w:val="decimal"/>
      <w:lvlText w:val="%4."/>
      <w:lvlJc w:val="left"/>
      <w:pPr>
        <w:ind w:left="2880" w:hanging="360"/>
      </w:pPr>
      <w:rPr>
        <w:b w:val="0"/>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DDB6DC6"/>
    <w:multiLevelType w:val="hybridMultilevel"/>
    <w:tmpl w:val="5DFE6406"/>
    <w:lvl w:ilvl="0" w:tplc="99FE4F9E">
      <w:start w:val="1"/>
      <w:numFmt w:val="decimal"/>
      <w:pStyle w:val="Sinespaciado"/>
      <w:lvlText w:val="%1."/>
      <w:lvlJc w:val="left"/>
      <w:pPr>
        <w:ind w:left="7560" w:hanging="360"/>
      </w:pPr>
      <w:rPr>
        <w:rFonts w:ascii="Verdana" w:hAnsi="Verdana" w:hint="default"/>
        <w:b w:val="0"/>
        <w:i w:val="0"/>
        <w:color w:val="auto"/>
        <w:sz w:val="20"/>
        <w:szCs w:val="20"/>
        <w:lang w:val="es-CR"/>
      </w:rPr>
    </w:lvl>
    <w:lvl w:ilvl="1" w:tplc="04090019">
      <w:start w:val="1"/>
      <w:numFmt w:val="lowerLetter"/>
      <w:lvlText w:val="%2."/>
      <w:lvlJc w:val="left"/>
      <w:pPr>
        <w:ind w:left="7650" w:hanging="360"/>
      </w:pPr>
    </w:lvl>
    <w:lvl w:ilvl="2" w:tplc="0409001B" w:tentative="1">
      <w:start w:val="1"/>
      <w:numFmt w:val="lowerRoman"/>
      <w:lvlText w:val="%3."/>
      <w:lvlJc w:val="right"/>
      <w:pPr>
        <w:ind w:left="8370" w:hanging="180"/>
      </w:pPr>
    </w:lvl>
    <w:lvl w:ilvl="3" w:tplc="0409000F" w:tentative="1">
      <w:start w:val="1"/>
      <w:numFmt w:val="decimal"/>
      <w:lvlText w:val="%4."/>
      <w:lvlJc w:val="left"/>
      <w:pPr>
        <w:ind w:left="9090" w:hanging="360"/>
      </w:pPr>
    </w:lvl>
    <w:lvl w:ilvl="4" w:tplc="04090019" w:tentative="1">
      <w:start w:val="1"/>
      <w:numFmt w:val="lowerLetter"/>
      <w:lvlText w:val="%5."/>
      <w:lvlJc w:val="left"/>
      <w:pPr>
        <w:ind w:left="9810" w:hanging="360"/>
      </w:pPr>
    </w:lvl>
    <w:lvl w:ilvl="5" w:tplc="0409001B" w:tentative="1">
      <w:start w:val="1"/>
      <w:numFmt w:val="lowerRoman"/>
      <w:lvlText w:val="%6."/>
      <w:lvlJc w:val="right"/>
      <w:pPr>
        <w:ind w:left="10530" w:hanging="180"/>
      </w:pPr>
    </w:lvl>
    <w:lvl w:ilvl="6" w:tplc="0409000F" w:tentative="1">
      <w:start w:val="1"/>
      <w:numFmt w:val="decimal"/>
      <w:lvlText w:val="%7."/>
      <w:lvlJc w:val="left"/>
      <w:pPr>
        <w:ind w:left="11250" w:hanging="360"/>
      </w:pPr>
    </w:lvl>
    <w:lvl w:ilvl="7" w:tplc="04090019" w:tentative="1">
      <w:start w:val="1"/>
      <w:numFmt w:val="lowerLetter"/>
      <w:lvlText w:val="%8."/>
      <w:lvlJc w:val="left"/>
      <w:pPr>
        <w:ind w:left="11970" w:hanging="360"/>
      </w:pPr>
    </w:lvl>
    <w:lvl w:ilvl="8" w:tplc="0409001B" w:tentative="1">
      <w:start w:val="1"/>
      <w:numFmt w:val="lowerRoman"/>
      <w:lvlText w:val="%9."/>
      <w:lvlJc w:val="right"/>
      <w:pPr>
        <w:ind w:left="12690" w:hanging="180"/>
      </w:pPr>
    </w:lvl>
  </w:abstractNum>
  <w:abstractNum w:abstractNumId="31" w15:restartNumberingAfterBreak="0">
    <w:nsid w:val="605E508E"/>
    <w:multiLevelType w:val="hybridMultilevel"/>
    <w:tmpl w:val="D4DCB2C4"/>
    <w:lvl w:ilvl="0" w:tplc="A464F936">
      <w:start w:val="2"/>
      <w:numFmt w:val="decimal"/>
      <w:lvlText w:val="%1."/>
      <w:lvlJc w:val="left"/>
      <w:pPr>
        <w:ind w:left="720" w:hanging="360"/>
      </w:pPr>
      <w:rPr>
        <w:rFonts w:ascii="Verdana" w:hAnsi="Verdana" w:hint="default"/>
        <w:color w:val="auto"/>
        <w:sz w:val="2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2" w15:restartNumberingAfterBreak="0">
    <w:nsid w:val="644167C5"/>
    <w:multiLevelType w:val="hybridMultilevel"/>
    <w:tmpl w:val="56E2A2AE"/>
    <w:lvl w:ilvl="0" w:tplc="0FD0E226">
      <w:start w:val="2"/>
      <w:numFmt w:val="decimal"/>
      <w:lvlText w:val="%1."/>
      <w:lvlJc w:val="left"/>
      <w:pPr>
        <w:tabs>
          <w:tab w:val="num" w:pos="3600"/>
        </w:tabs>
      </w:pPr>
      <w:rPr>
        <w:rFonts w:ascii="Verdana" w:hAnsi="Verdana" w:cs="Times New Roman" w:hint="default"/>
        <w:b w:val="0"/>
        <w:i w:val="0"/>
        <w:sz w:val="20"/>
      </w:rPr>
    </w:lvl>
    <w:lvl w:ilvl="1" w:tplc="04090019">
      <w:start w:val="1"/>
      <w:numFmt w:val="lowerLetter"/>
      <w:lvlText w:val="%2."/>
      <w:lvlJc w:val="left"/>
      <w:pPr>
        <w:tabs>
          <w:tab w:val="num" w:pos="3600"/>
        </w:tabs>
        <w:ind w:left="3600" w:hanging="360"/>
      </w:pPr>
      <w:rPr>
        <w:rFonts w:cs="Times New Roman"/>
      </w:rPr>
    </w:lvl>
    <w:lvl w:ilvl="2" w:tplc="0409001B" w:tentative="1">
      <w:start w:val="1"/>
      <w:numFmt w:val="lowerRoman"/>
      <w:lvlText w:val="%3."/>
      <w:lvlJc w:val="right"/>
      <w:pPr>
        <w:tabs>
          <w:tab w:val="num" w:pos="4320"/>
        </w:tabs>
        <w:ind w:left="4320" w:hanging="180"/>
      </w:pPr>
      <w:rPr>
        <w:rFonts w:cs="Times New Roman"/>
      </w:rPr>
    </w:lvl>
    <w:lvl w:ilvl="3" w:tplc="0409000F">
      <w:start w:val="1"/>
      <w:numFmt w:val="decimal"/>
      <w:lvlText w:val="%4."/>
      <w:lvlJc w:val="left"/>
      <w:pPr>
        <w:tabs>
          <w:tab w:val="num" w:pos="5040"/>
        </w:tabs>
        <w:ind w:left="5040" w:hanging="360"/>
      </w:pPr>
      <w:rPr>
        <w:rFonts w:cs="Times New Roman"/>
      </w:rPr>
    </w:lvl>
    <w:lvl w:ilvl="4" w:tplc="04090019" w:tentative="1">
      <w:start w:val="1"/>
      <w:numFmt w:val="lowerLetter"/>
      <w:lvlText w:val="%5."/>
      <w:lvlJc w:val="left"/>
      <w:pPr>
        <w:tabs>
          <w:tab w:val="num" w:pos="5760"/>
        </w:tabs>
        <w:ind w:left="5760" w:hanging="360"/>
      </w:pPr>
      <w:rPr>
        <w:rFonts w:cs="Times New Roman"/>
      </w:rPr>
    </w:lvl>
    <w:lvl w:ilvl="5" w:tplc="0409001B" w:tentative="1">
      <w:start w:val="1"/>
      <w:numFmt w:val="lowerRoman"/>
      <w:lvlText w:val="%6."/>
      <w:lvlJc w:val="right"/>
      <w:pPr>
        <w:tabs>
          <w:tab w:val="num" w:pos="6480"/>
        </w:tabs>
        <w:ind w:left="6480" w:hanging="180"/>
      </w:pPr>
      <w:rPr>
        <w:rFonts w:cs="Times New Roman"/>
      </w:rPr>
    </w:lvl>
    <w:lvl w:ilvl="6" w:tplc="0409000F">
      <w:start w:val="1"/>
      <w:numFmt w:val="decimal"/>
      <w:lvlText w:val="%7."/>
      <w:lvlJc w:val="left"/>
      <w:pPr>
        <w:tabs>
          <w:tab w:val="num" w:pos="7200"/>
        </w:tabs>
        <w:ind w:left="7200" w:hanging="360"/>
      </w:pPr>
      <w:rPr>
        <w:rFonts w:cs="Times New Roman"/>
      </w:rPr>
    </w:lvl>
    <w:lvl w:ilvl="7" w:tplc="04090019" w:tentative="1">
      <w:start w:val="1"/>
      <w:numFmt w:val="lowerLetter"/>
      <w:lvlText w:val="%8."/>
      <w:lvlJc w:val="left"/>
      <w:pPr>
        <w:tabs>
          <w:tab w:val="num" w:pos="7920"/>
        </w:tabs>
        <w:ind w:left="7920" w:hanging="360"/>
      </w:pPr>
      <w:rPr>
        <w:rFonts w:cs="Times New Roman"/>
      </w:rPr>
    </w:lvl>
    <w:lvl w:ilvl="8" w:tplc="0409001B" w:tentative="1">
      <w:start w:val="1"/>
      <w:numFmt w:val="lowerRoman"/>
      <w:lvlText w:val="%9."/>
      <w:lvlJc w:val="right"/>
      <w:pPr>
        <w:tabs>
          <w:tab w:val="num" w:pos="8640"/>
        </w:tabs>
        <w:ind w:left="8640" w:hanging="180"/>
      </w:pPr>
      <w:rPr>
        <w:rFonts w:cs="Times New Roman"/>
      </w:rPr>
    </w:lvl>
  </w:abstractNum>
  <w:abstractNum w:abstractNumId="33" w15:restartNumberingAfterBreak="0">
    <w:nsid w:val="6BB967A1"/>
    <w:multiLevelType w:val="hybridMultilevel"/>
    <w:tmpl w:val="18D4C62A"/>
    <w:lvl w:ilvl="0" w:tplc="FFFFFFFF">
      <w:start w:val="4"/>
      <w:numFmt w:val="decimal"/>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EA86B25"/>
    <w:multiLevelType w:val="hybridMultilevel"/>
    <w:tmpl w:val="022008F8"/>
    <w:lvl w:ilvl="0" w:tplc="D19E5B7C">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28C2AED"/>
    <w:multiLevelType w:val="hybridMultilevel"/>
    <w:tmpl w:val="6A128E70"/>
    <w:lvl w:ilvl="0" w:tplc="FFFFFFFF">
      <w:start w:val="1"/>
      <w:numFmt w:val="decimal"/>
      <w:lvlText w:val="%1)"/>
      <w:lvlJc w:val="left"/>
      <w:pPr>
        <w:ind w:left="1440" w:hanging="360"/>
      </w:pPr>
      <w:rPr>
        <w:rFonts w:ascii="Verdana" w:eastAsia="Batang" w:hAnsi="Verdana" w:cs="Calibri"/>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53E0BD7"/>
    <w:multiLevelType w:val="hybridMultilevel"/>
    <w:tmpl w:val="47A2701C"/>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63648A2"/>
    <w:multiLevelType w:val="hybridMultilevel"/>
    <w:tmpl w:val="5B9AB246"/>
    <w:lvl w:ilvl="0" w:tplc="877E7EB8">
      <w:start w:val="2"/>
      <w:numFmt w:val="decimal"/>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A0A175A"/>
    <w:multiLevelType w:val="hybridMultilevel"/>
    <w:tmpl w:val="746015EC"/>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954021132">
    <w:abstractNumId w:val="7"/>
  </w:num>
  <w:num w:numId="2" w16cid:durableId="10728489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2489958">
    <w:abstractNumId w:val="0"/>
  </w:num>
  <w:num w:numId="4" w16cid:durableId="10905407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040168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86485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2997844">
    <w:abstractNumId w:val="22"/>
  </w:num>
  <w:num w:numId="8" w16cid:durableId="899361099">
    <w:abstractNumId w:val="0"/>
  </w:num>
  <w:num w:numId="9" w16cid:durableId="1093016308">
    <w:abstractNumId w:val="29"/>
  </w:num>
  <w:num w:numId="10" w16cid:durableId="1048063838">
    <w:abstractNumId w:val="37"/>
  </w:num>
  <w:num w:numId="11" w16cid:durableId="1148061081">
    <w:abstractNumId w:val="12"/>
  </w:num>
  <w:num w:numId="12" w16cid:durableId="1772122947">
    <w:abstractNumId w:val="20"/>
  </w:num>
  <w:num w:numId="13" w16cid:durableId="1567450574">
    <w:abstractNumId w:val="8"/>
  </w:num>
  <w:num w:numId="14" w16cid:durableId="1075517354">
    <w:abstractNumId w:val="14"/>
  </w:num>
  <w:num w:numId="15" w16cid:durableId="2027443694">
    <w:abstractNumId w:val="15"/>
  </w:num>
  <w:num w:numId="16" w16cid:durableId="270354913">
    <w:abstractNumId w:val="38"/>
  </w:num>
  <w:num w:numId="17" w16cid:durableId="896939549">
    <w:abstractNumId w:val="17"/>
  </w:num>
  <w:num w:numId="18" w16cid:durableId="576210337">
    <w:abstractNumId w:val="18"/>
  </w:num>
  <w:num w:numId="19" w16cid:durableId="216476787">
    <w:abstractNumId w:val="11"/>
  </w:num>
  <w:num w:numId="20" w16cid:durableId="960037282">
    <w:abstractNumId w:val="19"/>
  </w:num>
  <w:num w:numId="21" w16cid:durableId="1730031579">
    <w:abstractNumId w:val="31"/>
  </w:num>
  <w:num w:numId="22" w16cid:durableId="1900021576">
    <w:abstractNumId w:val="36"/>
  </w:num>
  <w:num w:numId="23" w16cid:durableId="1824001522">
    <w:abstractNumId w:val="28"/>
  </w:num>
  <w:num w:numId="24" w16cid:durableId="561760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5929341">
    <w:abstractNumId w:val="33"/>
  </w:num>
  <w:num w:numId="26" w16cid:durableId="448089854">
    <w:abstractNumId w:val="16"/>
  </w:num>
  <w:num w:numId="27" w16cid:durableId="984625460">
    <w:abstractNumId w:val="24"/>
  </w:num>
  <w:num w:numId="28" w16cid:durableId="799030890">
    <w:abstractNumId w:val="9"/>
  </w:num>
  <w:num w:numId="29" w16cid:durableId="1684867100">
    <w:abstractNumId w:val="25"/>
  </w:num>
  <w:num w:numId="30" w16cid:durableId="1013266209">
    <w:abstractNumId w:val="6"/>
  </w:num>
  <w:num w:numId="31" w16cid:durableId="939214759">
    <w:abstractNumId w:val="4"/>
  </w:num>
  <w:num w:numId="32" w16cid:durableId="1953394233">
    <w:abstractNumId w:val="35"/>
  </w:num>
  <w:num w:numId="33" w16cid:durableId="970094678">
    <w:abstractNumId w:val="5"/>
  </w:num>
  <w:num w:numId="34" w16cid:durableId="492841526">
    <w:abstractNumId w:val="2"/>
  </w:num>
  <w:num w:numId="35" w16cid:durableId="1728989955">
    <w:abstractNumId w:val="1"/>
  </w:num>
  <w:num w:numId="36" w16cid:durableId="603150899">
    <w:abstractNumId w:val="26"/>
  </w:num>
  <w:num w:numId="37" w16cid:durableId="2123573562">
    <w:abstractNumId w:val="30"/>
  </w:num>
  <w:num w:numId="38" w16cid:durableId="362823265">
    <w:abstractNumId w:val="21"/>
  </w:num>
  <w:num w:numId="39" w16cid:durableId="159657278">
    <w:abstractNumId w:val="32"/>
  </w:num>
  <w:num w:numId="40" w16cid:durableId="1861773623">
    <w:abstractNumId w:val="27"/>
  </w:num>
  <w:num w:numId="41" w16cid:durableId="19360868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1726890">
    <w:abstractNumId w:val="3"/>
  </w:num>
  <w:num w:numId="43" w16cid:durableId="358433465">
    <w:abstractNumId w:val="34"/>
  </w:num>
  <w:num w:numId="44" w16cid:durableId="7048658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A20"/>
    <w:rsid w:val="00003609"/>
    <w:rsid w:val="0001620F"/>
    <w:rsid w:val="00016A23"/>
    <w:rsid w:val="0002368C"/>
    <w:rsid w:val="0002638E"/>
    <w:rsid w:val="000321E6"/>
    <w:rsid w:val="000328B9"/>
    <w:rsid w:val="00034490"/>
    <w:rsid w:val="00042197"/>
    <w:rsid w:val="00042A02"/>
    <w:rsid w:val="00046CD0"/>
    <w:rsid w:val="000473CA"/>
    <w:rsid w:val="00052058"/>
    <w:rsid w:val="000571A6"/>
    <w:rsid w:val="0005732E"/>
    <w:rsid w:val="00065150"/>
    <w:rsid w:val="00066460"/>
    <w:rsid w:val="00070E33"/>
    <w:rsid w:val="0007103A"/>
    <w:rsid w:val="00071203"/>
    <w:rsid w:val="00081DC3"/>
    <w:rsid w:val="0008568F"/>
    <w:rsid w:val="000859E7"/>
    <w:rsid w:val="00087320"/>
    <w:rsid w:val="0009317D"/>
    <w:rsid w:val="000A6B2F"/>
    <w:rsid w:val="000B07F0"/>
    <w:rsid w:val="000C0C07"/>
    <w:rsid w:val="000C421A"/>
    <w:rsid w:val="000D532D"/>
    <w:rsid w:val="000D65DD"/>
    <w:rsid w:val="000E23C5"/>
    <w:rsid w:val="000E5F82"/>
    <w:rsid w:val="000E7374"/>
    <w:rsid w:val="000F3E12"/>
    <w:rsid w:val="000F587C"/>
    <w:rsid w:val="001012B4"/>
    <w:rsid w:val="00111563"/>
    <w:rsid w:val="00123638"/>
    <w:rsid w:val="001238C6"/>
    <w:rsid w:val="00126C0E"/>
    <w:rsid w:val="001331D3"/>
    <w:rsid w:val="00146B22"/>
    <w:rsid w:val="001507A2"/>
    <w:rsid w:val="00160549"/>
    <w:rsid w:val="001618A1"/>
    <w:rsid w:val="00175631"/>
    <w:rsid w:val="0018628A"/>
    <w:rsid w:val="00192136"/>
    <w:rsid w:val="001A201C"/>
    <w:rsid w:val="001A2EB8"/>
    <w:rsid w:val="001B1506"/>
    <w:rsid w:val="001B1BB8"/>
    <w:rsid w:val="001C0E07"/>
    <w:rsid w:val="001C4FC7"/>
    <w:rsid w:val="001D0375"/>
    <w:rsid w:val="001D06BB"/>
    <w:rsid w:val="001D3781"/>
    <w:rsid w:val="001D79EB"/>
    <w:rsid w:val="001E3969"/>
    <w:rsid w:val="002013D4"/>
    <w:rsid w:val="00202C9B"/>
    <w:rsid w:val="00206BEB"/>
    <w:rsid w:val="002073C2"/>
    <w:rsid w:val="00211A5B"/>
    <w:rsid w:val="00222559"/>
    <w:rsid w:val="00226340"/>
    <w:rsid w:val="002459EE"/>
    <w:rsid w:val="00256C9E"/>
    <w:rsid w:val="00257F55"/>
    <w:rsid w:val="00265A0A"/>
    <w:rsid w:val="00273C4A"/>
    <w:rsid w:val="002767CD"/>
    <w:rsid w:val="00290A20"/>
    <w:rsid w:val="00291DD5"/>
    <w:rsid w:val="00295FAE"/>
    <w:rsid w:val="00295FB0"/>
    <w:rsid w:val="00297223"/>
    <w:rsid w:val="002A17C0"/>
    <w:rsid w:val="002A449D"/>
    <w:rsid w:val="002A6B48"/>
    <w:rsid w:val="002A77EE"/>
    <w:rsid w:val="002B3CFC"/>
    <w:rsid w:val="002C1C02"/>
    <w:rsid w:val="002C1FA1"/>
    <w:rsid w:val="002C35DA"/>
    <w:rsid w:val="002C3EF5"/>
    <w:rsid w:val="002C6C08"/>
    <w:rsid w:val="002C7B12"/>
    <w:rsid w:val="002D4CBD"/>
    <w:rsid w:val="002E3C05"/>
    <w:rsid w:val="002E5576"/>
    <w:rsid w:val="002E788D"/>
    <w:rsid w:val="002F389F"/>
    <w:rsid w:val="002F3F82"/>
    <w:rsid w:val="003044C4"/>
    <w:rsid w:val="00305B9F"/>
    <w:rsid w:val="00315670"/>
    <w:rsid w:val="00325B14"/>
    <w:rsid w:val="00330A72"/>
    <w:rsid w:val="00335A92"/>
    <w:rsid w:val="0034085D"/>
    <w:rsid w:val="00356F0A"/>
    <w:rsid w:val="00357EBA"/>
    <w:rsid w:val="00364868"/>
    <w:rsid w:val="00367B2F"/>
    <w:rsid w:val="003707E7"/>
    <w:rsid w:val="003733AB"/>
    <w:rsid w:val="003764A3"/>
    <w:rsid w:val="00377B53"/>
    <w:rsid w:val="00381868"/>
    <w:rsid w:val="0038199A"/>
    <w:rsid w:val="0038340E"/>
    <w:rsid w:val="00387F8B"/>
    <w:rsid w:val="00391F92"/>
    <w:rsid w:val="00394343"/>
    <w:rsid w:val="003A0DD0"/>
    <w:rsid w:val="003A275F"/>
    <w:rsid w:val="003A619B"/>
    <w:rsid w:val="003B5C5D"/>
    <w:rsid w:val="003C410E"/>
    <w:rsid w:val="003C4486"/>
    <w:rsid w:val="003C60B6"/>
    <w:rsid w:val="003D372C"/>
    <w:rsid w:val="003D4680"/>
    <w:rsid w:val="003D4F2E"/>
    <w:rsid w:val="003D744F"/>
    <w:rsid w:val="003E0B7F"/>
    <w:rsid w:val="003F1E1F"/>
    <w:rsid w:val="003F7A92"/>
    <w:rsid w:val="004002F6"/>
    <w:rsid w:val="00402B30"/>
    <w:rsid w:val="004053F5"/>
    <w:rsid w:val="00413368"/>
    <w:rsid w:val="0043184F"/>
    <w:rsid w:val="0043301D"/>
    <w:rsid w:val="00436FEE"/>
    <w:rsid w:val="00441519"/>
    <w:rsid w:val="00442D76"/>
    <w:rsid w:val="004455DA"/>
    <w:rsid w:val="004504B8"/>
    <w:rsid w:val="00451246"/>
    <w:rsid w:val="004529C8"/>
    <w:rsid w:val="00455968"/>
    <w:rsid w:val="0046678A"/>
    <w:rsid w:val="00466979"/>
    <w:rsid w:val="00466C0E"/>
    <w:rsid w:val="00471A58"/>
    <w:rsid w:val="004744E9"/>
    <w:rsid w:val="004752A6"/>
    <w:rsid w:val="004839B4"/>
    <w:rsid w:val="00484B7D"/>
    <w:rsid w:val="0049179B"/>
    <w:rsid w:val="004A01FF"/>
    <w:rsid w:val="004A1063"/>
    <w:rsid w:val="004B281A"/>
    <w:rsid w:val="004B4979"/>
    <w:rsid w:val="004B4E30"/>
    <w:rsid w:val="004C0CF2"/>
    <w:rsid w:val="004D1719"/>
    <w:rsid w:val="004D5FC7"/>
    <w:rsid w:val="004D7CB3"/>
    <w:rsid w:val="004E06AA"/>
    <w:rsid w:val="004E213C"/>
    <w:rsid w:val="004E284C"/>
    <w:rsid w:val="004E4172"/>
    <w:rsid w:val="004F047E"/>
    <w:rsid w:val="004F4557"/>
    <w:rsid w:val="004F64A1"/>
    <w:rsid w:val="004F767E"/>
    <w:rsid w:val="005006A4"/>
    <w:rsid w:val="00507C05"/>
    <w:rsid w:val="00511EF7"/>
    <w:rsid w:val="00516BA9"/>
    <w:rsid w:val="00517382"/>
    <w:rsid w:val="0052047E"/>
    <w:rsid w:val="00523AA4"/>
    <w:rsid w:val="00525AFD"/>
    <w:rsid w:val="0053055D"/>
    <w:rsid w:val="00532438"/>
    <w:rsid w:val="00534E68"/>
    <w:rsid w:val="00535E58"/>
    <w:rsid w:val="00544811"/>
    <w:rsid w:val="005466F0"/>
    <w:rsid w:val="005476DE"/>
    <w:rsid w:val="00552820"/>
    <w:rsid w:val="0055315B"/>
    <w:rsid w:val="005537FF"/>
    <w:rsid w:val="00560097"/>
    <w:rsid w:val="005625AE"/>
    <w:rsid w:val="00582A80"/>
    <w:rsid w:val="00587FD2"/>
    <w:rsid w:val="00593A2F"/>
    <w:rsid w:val="005976D8"/>
    <w:rsid w:val="00597F76"/>
    <w:rsid w:val="005A0BE7"/>
    <w:rsid w:val="005A2461"/>
    <w:rsid w:val="005A754D"/>
    <w:rsid w:val="005B1098"/>
    <w:rsid w:val="005B32AE"/>
    <w:rsid w:val="005B6EE7"/>
    <w:rsid w:val="005B75E7"/>
    <w:rsid w:val="005C1429"/>
    <w:rsid w:val="005C3927"/>
    <w:rsid w:val="005D1A53"/>
    <w:rsid w:val="005D4CE6"/>
    <w:rsid w:val="005D517F"/>
    <w:rsid w:val="005E1692"/>
    <w:rsid w:val="005E2236"/>
    <w:rsid w:val="005E229A"/>
    <w:rsid w:val="005E5F6F"/>
    <w:rsid w:val="005F6498"/>
    <w:rsid w:val="00605CEE"/>
    <w:rsid w:val="0061128A"/>
    <w:rsid w:val="006133E5"/>
    <w:rsid w:val="00614A17"/>
    <w:rsid w:val="006240AE"/>
    <w:rsid w:val="00625A64"/>
    <w:rsid w:val="006274E4"/>
    <w:rsid w:val="0063164E"/>
    <w:rsid w:val="00632790"/>
    <w:rsid w:val="006424CA"/>
    <w:rsid w:val="00643651"/>
    <w:rsid w:val="0064694F"/>
    <w:rsid w:val="00657935"/>
    <w:rsid w:val="00661934"/>
    <w:rsid w:val="0067109E"/>
    <w:rsid w:val="00671713"/>
    <w:rsid w:val="00680048"/>
    <w:rsid w:val="006A0A17"/>
    <w:rsid w:val="006A20E8"/>
    <w:rsid w:val="006A23CE"/>
    <w:rsid w:val="006A66FC"/>
    <w:rsid w:val="006A6C11"/>
    <w:rsid w:val="006B3DF8"/>
    <w:rsid w:val="006B7DE3"/>
    <w:rsid w:val="006D08E5"/>
    <w:rsid w:val="006D73D8"/>
    <w:rsid w:val="006E0FAD"/>
    <w:rsid w:val="006F1D95"/>
    <w:rsid w:val="006F74C7"/>
    <w:rsid w:val="00701066"/>
    <w:rsid w:val="00707C0D"/>
    <w:rsid w:val="007133FE"/>
    <w:rsid w:val="00715B37"/>
    <w:rsid w:val="00721407"/>
    <w:rsid w:val="00721C64"/>
    <w:rsid w:val="0072381F"/>
    <w:rsid w:val="00724A81"/>
    <w:rsid w:val="007437B0"/>
    <w:rsid w:val="00751604"/>
    <w:rsid w:val="00752F86"/>
    <w:rsid w:val="007540BB"/>
    <w:rsid w:val="00756014"/>
    <w:rsid w:val="00756A61"/>
    <w:rsid w:val="00762929"/>
    <w:rsid w:val="0076767B"/>
    <w:rsid w:val="00771FD8"/>
    <w:rsid w:val="00775F2A"/>
    <w:rsid w:val="007763DD"/>
    <w:rsid w:val="0077784E"/>
    <w:rsid w:val="00781615"/>
    <w:rsid w:val="00782D09"/>
    <w:rsid w:val="007841D9"/>
    <w:rsid w:val="00786E4D"/>
    <w:rsid w:val="0079196B"/>
    <w:rsid w:val="00794403"/>
    <w:rsid w:val="007A32DD"/>
    <w:rsid w:val="007A6501"/>
    <w:rsid w:val="007B12B1"/>
    <w:rsid w:val="007B5215"/>
    <w:rsid w:val="007B5CA2"/>
    <w:rsid w:val="007C3056"/>
    <w:rsid w:val="007D37DB"/>
    <w:rsid w:val="007D4E06"/>
    <w:rsid w:val="007E4D9D"/>
    <w:rsid w:val="007E5ABE"/>
    <w:rsid w:val="007E66E8"/>
    <w:rsid w:val="007E7A6D"/>
    <w:rsid w:val="007F1E97"/>
    <w:rsid w:val="007F3462"/>
    <w:rsid w:val="007F5412"/>
    <w:rsid w:val="00810BCF"/>
    <w:rsid w:val="0081236D"/>
    <w:rsid w:val="008133BD"/>
    <w:rsid w:val="00815AAC"/>
    <w:rsid w:val="008241FF"/>
    <w:rsid w:val="00827189"/>
    <w:rsid w:val="00832943"/>
    <w:rsid w:val="0083528B"/>
    <w:rsid w:val="00836B9C"/>
    <w:rsid w:val="008455F9"/>
    <w:rsid w:val="00850EF6"/>
    <w:rsid w:val="00853082"/>
    <w:rsid w:val="008747D7"/>
    <w:rsid w:val="00875AD9"/>
    <w:rsid w:val="008852A2"/>
    <w:rsid w:val="00885EFA"/>
    <w:rsid w:val="008906FE"/>
    <w:rsid w:val="00891D45"/>
    <w:rsid w:val="0089307E"/>
    <w:rsid w:val="00893AC2"/>
    <w:rsid w:val="008A1B23"/>
    <w:rsid w:val="008A57A1"/>
    <w:rsid w:val="008B46A6"/>
    <w:rsid w:val="008B72C9"/>
    <w:rsid w:val="008C09F6"/>
    <w:rsid w:val="008C0F4E"/>
    <w:rsid w:val="008C1BA8"/>
    <w:rsid w:val="008C4737"/>
    <w:rsid w:val="008D1A47"/>
    <w:rsid w:val="008D1E6B"/>
    <w:rsid w:val="008D44B4"/>
    <w:rsid w:val="008D77F8"/>
    <w:rsid w:val="008E1CA8"/>
    <w:rsid w:val="008E5238"/>
    <w:rsid w:val="008E7531"/>
    <w:rsid w:val="009006FE"/>
    <w:rsid w:val="00901254"/>
    <w:rsid w:val="009022A5"/>
    <w:rsid w:val="00902AA4"/>
    <w:rsid w:val="009130D6"/>
    <w:rsid w:val="00913C33"/>
    <w:rsid w:val="00914BEB"/>
    <w:rsid w:val="00915263"/>
    <w:rsid w:val="00915E53"/>
    <w:rsid w:val="00916BFE"/>
    <w:rsid w:val="0092012B"/>
    <w:rsid w:val="00924975"/>
    <w:rsid w:val="00926ADC"/>
    <w:rsid w:val="009332D9"/>
    <w:rsid w:val="009346A2"/>
    <w:rsid w:val="00935A49"/>
    <w:rsid w:val="009438F9"/>
    <w:rsid w:val="009449AE"/>
    <w:rsid w:val="00952C62"/>
    <w:rsid w:val="00952F33"/>
    <w:rsid w:val="00953E0E"/>
    <w:rsid w:val="0095728B"/>
    <w:rsid w:val="009616E2"/>
    <w:rsid w:val="00961A7E"/>
    <w:rsid w:val="009625EA"/>
    <w:rsid w:val="00973528"/>
    <w:rsid w:val="00976107"/>
    <w:rsid w:val="00982D21"/>
    <w:rsid w:val="009A01E3"/>
    <w:rsid w:val="009A0C65"/>
    <w:rsid w:val="009A220A"/>
    <w:rsid w:val="009A4BE9"/>
    <w:rsid w:val="009B5957"/>
    <w:rsid w:val="009B5A70"/>
    <w:rsid w:val="009D0FCA"/>
    <w:rsid w:val="009D3921"/>
    <w:rsid w:val="009D4E1C"/>
    <w:rsid w:val="009E379A"/>
    <w:rsid w:val="009E57C3"/>
    <w:rsid w:val="009F0749"/>
    <w:rsid w:val="009F18BA"/>
    <w:rsid w:val="009F5BC5"/>
    <w:rsid w:val="009F6257"/>
    <w:rsid w:val="009F69C6"/>
    <w:rsid w:val="009F7C94"/>
    <w:rsid w:val="00A00A1E"/>
    <w:rsid w:val="00A014E9"/>
    <w:rsid w:val="00A0768F"/>
    <w:rsid w:val="00A07E59"/>
    <w:rsid w:val="00A17C18"/>
    <w:rsid w:val="00A253D8"/>
    <w:rsid w:val="00A26D17"/>
    <w:rsid w:val="00A27890"/>
    <w:rsid w:val="00A323A9"/>
    <w:rsid w:val="00A32A16"/>
    <w:rsid w:val="00A36E17"/>
    <w:rsid w:val="00A4129D"/>
    <w:rsid w:val="00A41F21"/>
    <w:rsid w:val="00A41F4E"/>
    <w:rsid w:val="00A43490"/>
    <w:rsid w:val="00A44BAD"/>
    <w:rsid w:val="00A45FEB"/>
    <w:rsid w:val="00A47CAE"/>
    <w:rsid w:val="00A502A0"/>
    <w:rsid w:val="00A506D5"/>
    <w:rsid w:val="00A54F1F"/>
    <w:rsid w:val="00A55D24"/>
    <w:rsid w:val="00A6219D"/>
    <w:rsid w:val="00A6607D"/>
    <w:rsid w:val="00A70389"/>
    <w:rsid w:val="00A72C4A"/>
    <w:rsid w:val="00A73330"/>
    <w:rsid w:val="00A75D46"/>
    <w:rsid w:val="00A7729B"/>
    <w:rsid w:val="00A81C63"/>
    <w:rsid w:val="00A81FA0"/>
    <w:rsid w:val="00A8574A"/>
    <w:rsid w:val="00A97B2B"/>
    <w:rsid w:val="00AA7326"/>
    <w:rsid w:val="00AC093F"/>
    <w:rsid w:val="00AC5E2E"/>
    <w:rsid w:val="00AD13EF"/>
    <w:rsid w:val="00AD1F28"/>
    <w:rsid w:val="00AD2C8A"/>
    <w:rsid w:val="00AD51D8"/>
    <w:rsid w:val="00AE0132"/>
    <w:rsid w:val="00AE1D74"/>
    <w:rsid w:val="00AE28EB"/>
    <w:rsid w:val="00AF12A2"/>
    <w:rsid w:val="00AF25E7"/>
    <w:rsid w:val="00AF5D67"/>
    <w:rsid w:val="00B005A6"/>
    <w:rsid w:val="00B038FE"/>
    <w:rsid w:val="00B04C7E"/>
    <w:rsid w:val="00B232DB"/>
    <w:rsid w:val="00B24A17"/>
    <w:rsid w:val="00B2739E"/>
    <w:rsid w:val="00B31731"/>
    <w:rsid w:val="00B364DC"/>
    <w:rsid w:val="00B372E7"/>
    <w:rsid w:val="00B41AE6"/>
    <w:rsid w:val="00B44173"/>
    <w:rsid w:val="00B6017B"/>
    <w:rsid w:val="00B73D33"/>
    <w:rsid w:val="00B766F0"/>
    <w:rsid w:val="00B77CC7"/>
    <w:rsid w:val="00B917CE"/>
    <w:rsid w:val="00B93E44"/>
    <w:rsid w:val="00B94EB6"/>
    <w:rsid w:val="00BA0338"/>
    <w:rsid w:val="00BA66F8"/>
    <w:rsid w:val="00BB06BB"/>
    <w:rsid w:val="00BB2B1D"/>
    <w:rsid w:val="00BB5CC9"/>
    <w:rsid w:val="00BC397E"/>
    <w:rsid w:val="00BC4998"/>
    <w:rsid w:val="00BC699D"/>
    <w:rsid w:val="00BD0C7F"/>
    <w:rsid w:val="00BD66D8"/>
    <w:rsid w:val="00BE0DCC"/>
    <w:rsid w:val="00BF03F3"/>
    <w:rsid w:val="00BF422F"/>
    <w:rsid w:val="00BF42B6"/>
    <w:rsid w:val="00BF448B"/>
    <w:rsid w:val="00BF6F1F"/>
    <w:rsid w:val="00BF7C65"/>
    <w:rsid w:val="00C03394"/>
    <w:rsid w:val="00C0366B"/>
    <w:rsid w:val="00C0483C"/>
    <w:rsid w:val="00C1536F"/>
    <w:rsid w:val="00C15E29"/>
    <w:rsid w:val="00C214EC"/>
    <w:rsid w:val="00C2765C"/>
    <w:rsid w:val="00C33237"/>
    <w:rsid w:val="00C37D44"/>
    <w:rsid w:val="00C425E2"/>
    <w:rsid w:val="00C442D8"/>
    <w:rsid w:val="00C45453"/>
    <w:rsid w:val="00C47BF3"/>
    <w:rsid w:val="00C5086A"/>
    <w:rsid w:val="00C51F4C"/>
    <w:rsid w:val="00C60671"/>
    <w:rsid w:val="00C6483C"/>
    <w:rsid w:val="00C66EE5"/>
    <w:rsid w:val="00C71007"/>
    <w:rsid w:val="00C72243"/>
    <w:rsid w:val="00C75F40"/>
    <w:rsid w:val="00C817D7"/>
    <w:rsid w:val="00C836E3"/>
    <w:rsid w:val="00C83D7E"/>
    <w:rsid w:val="00C841A9"/>
    <w:rsid w:val="00C852D1"/>
    <w:rsid w:val="00C9193B"/>
    <w:rsid w:val="00C92FCC"/>
    <w:rsid w:val="00CA43B1"/>
    <w:rsid w:val="00CB6D66"/>
    <w:rsid w:val="00CC3DDD"/>
    <w:rsid w:val="00CC3E89"/>
    <w:rsid w:val="00CD6128"/>
    <w:rsid w:val="00CE10A3"/>
    <w:rsid w:val="00CE1930"/>
    <w:rsid w:val="00CE3342"/>
    <w:rsid w:val="00D03EB9"/>
    <w:rsid w:val="00D04586"/>
    <w:rsid w:val="00D13DCA"/>
    <w:rsid w:val="00D151DF"/>
    <w:rsid w:val="00D2147E"/>
    <w:rsid w:val="00D2162B"/>
    <w:rsid w:val="00D36954"/>
    <w:rsid w:val="00D45655"/>
    <w:rsid w:val="00D53AE0"/>
    <w:rsid w:val="00D56B6C"/>
    <w:rsid w:val="00D60B4C"/>
    <w:rsid w:val="00D65061"/>
    <w:rsid w:val="00D70C65"/>
    <w:rsid w:val="00D85E39"/>
    <w:rsid w:val="00D912E8"/>
    <w:rsid w:val="00D914FC"/>
    <w:rsid w:val="00D94C5F"/>
    <w:rsid w:val="00D94D3C"/>
    <w:rsid w:val="00DA25B0"/>
    <w:rsid w:val="00DA616B"/>
    <w:rsid w:val="00DB2C6D"/>
    <w:rsid w:val="00DC0D54"/>
    <w:rsid w:val="00DD56EC"/>
    <w:rsid w:val="00DE11DB"/>
    <w:rsid w:val="00DE32A7"/>
    <w:rsid w:val="00DE3F2C"/>
    <w:rsid w:val="00DE76EE"/>
    <w:rsid w:val="00DF1911"/>
    <w:rsid w:val="00DF3FE1"/>
    <w:rsid w:val="00E02846"/>
    <w:rsid w:val="00E07745"/>
    <w:rsid w:val="00E12B01"/>
    <w:rsid w:val="00E15137"/>
    <w:rsid w:val="00E1603F"/>
    <w:rsid w:val="00E1667C"/>
    <w:rsid w:val="00E171BE"/>
    <w:rsid w:val="00E20086"/>
    <w:rsid w:val="00E25BAB"/>
    <w:rsid w:val="00E269BA"/>
    <w:rsid w:val="00E33986"/>
    <w:rsid w:val="00E33C3E"/>
    <w:rsid w:val="00E35ADB"/>
    <w:rsid w:val="00E37F21"/>
    <w:rsid w:val="00E401C0"/>
    <w:rsid w:val="00E46009"/>
    <w:rsid w:val="00E46010"/>
    <w:rsid w:val="00E5470F"/>
    <w:rsid w:val="00E555DD"/>
    <w:rsid w:val="00E6406D"/>
    <w:rsid w:val="00E64164"/>
    <w:rsid w:val="00E812E0"/>
    <w:rsid w:val="00E87F69"/>
    <w:rsid w:val="00E91818"/>
    <w:rsid w:val="00E97AA8"/>
    <w:rsid w:val="00EA206E"/>
    <w:rsid w:val="00EA29E2"/>
    <w:rsid w:val="00EA4EB0"/>
    <w:rsid w:val="00EA7283"/>
    <w:rsid w:val="00EB55E9"/>
    <w:rsid w:val="00EC237B"/>
    <w:rsid w:val="00EC27D9"/>
    <w:rsid w:val="00EC4001"/>
    <w:rsid w:val="00ED5485"/>
    <w:rsid w:val="00ED7A6D"/>
    <w:rsid w:val="00EE07AB"/>
    <w:rsid w:val="00EE0C4B"/>
    <w:rsid w:val="00EE42CC"/>
    <w:rsid w:val="00EF06B8"/>
    <w:rsid w:val="00EF1B2C"/>
    <w:rsid w:val="00EF4102"/>
    <w:rsid w:val="00F00EE7"/>
    <w:rsid w:val="00F01318"/>
    <w:rsid w:val="00F0309E"/>
    <w:rsid w:val="00F06BE4"/>
    <w:rsid w:val="00F071B2"/>
    <w:rsid w:val="00F11802"/>
    <w:rsid w:val="00F144E1"/>
    <w:rsid w:val="00F17154"/>
    <w:rsid w:val="00F35DFE"/>
    <w:rsid w:val="00F35F5A"/>
    <w:rsid w:val="00F3731F"/>
    <w:rsid w:val="00F378EA"/>
    <w:rsid w:val="00F40206"/>
    <w:rsid w:val="00F4030C"/>
    <w:rsid w:val="00F405E0"/>
    <w:rsid w:val="00F43CA0"/>
    <w:rsid w:val="00F5088D"/>
    <w:rsid w:val="00F56DFE"/>
    <w:rsid w:val="00F64A1E"/>
    <w:rsid w:val="00F771A1"/>
    <w:rsid w:val="00F90E19"/>
    <w:rsid w:val="00F92060"/>
    <w:rsid w:val="00F925AD"/>
    <w:rsid w:val="00F94C42"/>
    <w:rsid w:val="00F95415"/>
    <w:rsid w:val="00F96433"/>
    <w:rsid w:val="00FA12CD"/>
    <w:rsid w:val="00FA5169"/>
    <w:rsid w:val="00FB1C61"/>
    <w:rsid w:val="00FB7537"/>
    <w:rsid w:val="00FC1A8F"/>
    <w:rsid w:val="00FC26F8"/>
    <w:rsid w:val="00FC3263"/>
    <w:rsid w:val="00FC405E"/>
    <w:rsid w:val="00FC653B"/>
    <w:rsid w:val="00FD031A"/>
    <w:rsid w:val="00FD06CD"/>
    <w:rsid w:val="00FD1EDA"/>
    <w:rsid w:val="00FD42D2"/>
    <w:rsid w:val="00FE1B72"/>
    <w:rsid w:val="00FE27F0"/>
    <w:rsid w:val="00FE6634"/>
    <w:rsid w:val="00FF17BC"/>
    <w:rsid w:val="00FF21E4"/>
    <w:rsid w:val="00FF5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38A9E"/>
  <w15:chartTrackingRefBased/>
  <w15:docId w15:val="{C872AEA3-9FD7-4B57-B4FC-4AF08B0F0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29A"/>
    <w:pPr>
      <w:spacing w:after="0" w:line="240" w:lineRule="auto"/>
    </w:pPr>
    <w:rPr>
      <w:rFonts w:ascii="Times New Roman" w:eastAsia="Times New Roman" w:hAnsi="Times New Roman" w:cs="Times New Roman"/>
      <w:sz w:val="24"/>
      <w:szCs w:val="24"/>
      <w:lang w:val="es-CO"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2,Lista vistosa - Énfasis 11,Párrafo de lista1,List Paragraph11,Subtle Emphasis1,Footnote1,Parrafos,List Paragraph1"/>
    <w:basedOn w:val="Normal"/>
    <w:link w:val="PrrafodelistaCar"/>
    <w:uiPriority w:val="34"/>
    <w:qFormat/>
    <w:rsid w:val="005A2461"/>
    <w:pPr>
      <w:spacing w:after="120"/>
      <w:ind w:left="720"/>
      <w:contextualSpacing/>
      <w:jc w:val="both"/>
    </w:pPr>
    <w:rPr>
      <w:rFonts w:ascii="Verdana" w:eastAsia="Calibri" w:hAnsi="Verdana" w:cs="Times"/>
      <w:sz w:val="20"/>
      <w:lang w:val="es-ES_tradnl"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link w:val="4GChar"/>
    <w:uiPriority w:val="99"/>
    <w:unhideWhenUsed/>
    <w:qFormat/>
    <w:rsid w:val="005A2461"/>
    <w:rPr>
      <w:vertAlign w:val="superscript"/>
    </w:rPr>
  </w:style>
  <w:style w:type="character" w:styleId="Refdecomentario">
    <w:name w:val="annotation reference"/>
    <w:basedOn w:val="Fuentedeprrafopredeter"/>
    <w:uiPriority w:val="99"/>
    <w:semiHidden/>
    <w:unhideWhenUsed/>
    <w:rsid w:val="00265A0A"/>
    <w:rPr>
      <w:sz w:val="16"/>
      <w:szCs w:val="16"/>
    </w:rPr>
  </w:style>
  <w:style w:type="paragraph" w:styleId="Textocomentario">
    <w:name w:val="annotation text"/>
    <w:basedOn w:val="Normal"/>
    <w:link w:val="TextocomentarioCar"/>
    <w:uiPriority w:val="99"/>
    <w:unhideWhenUsed/>
    <w:rsid w:val="00265A0A"/>
    <w:pPr>
      <w:spacing w:after="120"/>
      <w:jc w:val="both"/>
    </w:pPr>
    <w:rPr>
      <w:rFonts w:ascii="Verdana" w:eastAsia="Calibri" w:hAnsi="Verdana" w:cs="Times"/>
      <w:sz w:val="20"/>
      <w:szCs w:val="20"/>
      <w:lang w:val="es-ES_tradnl" w:eastAsia="es-ES"/>
    </w:rPr>
  </w:style>
  <w:style w:type="character" w:customStyle="1" w:styleId="TextocomentarioCar">
    <w:name w:val="Texto comentario Car"/>
    <w:basedOn w:val="Fuentedeprrafopredeter"/>
    <w:link w:val="Textocomentario"/>
    <w:uiPriority w:val="99"/>
    <w:rsid w:val="00265A0A"/>
    <w:rPr>
      <w:rFonts w:ascii="Verdana" w:eastAsia="Calibri" w:hAnsi="Verdana" w:cs="Times"/>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265A0A"/>
    <w:rPr>
      <w:b/>
      <w:bCs/>
    </w:rPr>
  </w:style>
  <w:style w:type="character" w:customStyle="1" w:styleId="AsuntodelcomentarioCar">
    <w:name w:val="Asunto del comentario Car"/>
    <w:basedOn w:val="TextocomentarioCar"/>
    <w:link w:val="Asuntodelcomentario"/>
    <w:uiPriority w:val="99"/>
    <w:semiHidden/>
    <w:rsid w:val="00265A0A"/>
    <w:rPr>
      <w:rFonts w:ascii="Verdana" w:eastAsia="Calibri" w:hAnsi="Verdana" w:cs="Times"/>
      <w:b/>
      <w:bCs/>
      <w:sz w:val="20"/>
      <w:szCs w:val="20"/>
      <w:lang w:val="es-ES_tradnl" w:eastAsia="es-ES"/>
    </w:rPr>
  </w:style>
  <w:style w:type="paragraph" w:styleId="Textodeglobo">
    <w:name w:val="Balloon Text"/>
    <w:basedOn w:val="Normal"/>
    <w:link w:val="TextodegloboCar"/>
    <w:uiPriority w:val="99"/>
    <w:semiHidden/>
    <w:unhideWhenUsed/>
    <w:rsid w:val="00265A0A"/>
    <w:pPr>
      <w:jc w:val="both"/>
    </w:pPr>
    <w:rPr>
      <w:rFonts w:ascii="Segoe UI" w:eastAsia="Calibri" w:hAnsi="Segoe UI" w:cs="Segoe UI"/>
      <w:sz w:val="18"/>
      <w:szCs w:val="18"/>
      <w:lang w:val="es-ES_tradnl" w:eastAsia="es-ES"/>
    </w:rPr>
  </w:style>
  <w:style w:type="character" w:customStyle="1" w:styleId="TextodegloboCar">
    <w:name w:val="Texto de globo Car"/>
    <w:basedOn w:val="Fuentedeprrafopredeter"/>
    <w:link w:val="Textodeglobo"/>
    <w:uiPriority w:val="99"/>
    <w:semiHidden/>
    <w:rsid w:val="00265A0A"/>
    <w:rPr>
      <w:rFonts w:ascii="Segoe UI" w:eastAsia="Calibri" w:hAnsi="Segoe UI" w:cs="Segoe UI"/>
      <w:sz w:val="18"/>
      <w:szCs w:val="18"/>
      <w:lang w:val="es-ES_tradnl" w:eastAsia="es-ES"/>
    </w:rPr>
  </w:style>
  <w:style w:type="character" w:customStyle="1" w:styleId="PrrafodelistaCar">
    <w:name w:val="Párrafo de lista Car"/>
    <w:aliases w:val="Footnote Car,List Paragraph2 Car,Lista vistosa - Énfasis 11 Car,Párrafo de lista1 Car,List Paragraph11 Car,Subtle Emphasis1 Car,Footnote1 Car,Parrafos Car,List Paragraph1 Car"/>
    <w:link w:val="Prrafodelista"/>
    <w:uiPriority w:val="34"/>
    <w:locked/>
    <w:rsid w:val="00E87F69"/>
    <w:rPr>
      <w:rFonts w:ascii="Verdana" w:eastAsia="Calibri" w:hAnsi="Verdana" w:cs="Times"/>
      <w:sz w:val="20"/>
      <w:szCs w:val="24"/>
      <w:lang w:val="es-ES_tradnl" w:eastAsia="es-E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footnote text,Car"/>
    <w:basedOn w:val="Normal"/>
    <w:link w:val="TextonotapieCar"/>
    <w:unhideWhenUsed/>
    <w:qFormat/>
    <w:rsid w:val="00A323A9"/>
    <w:pPr>
      <w:jc w:val="both"/>
    </w:pPr>
    <w:rPr>
      <w:rFonts w:ascii="Verdana" w:eastAsia="Calibri" w:hAnsi="Verdana" w:cs="Times"/>
      <w:sz w:val="20"/>
      <w:szCs w:val="20"/>
      <w:lang w:val="es-ES_tradnl" w:eastAsia="es-ES"/>
    </w:rPr>
  </w:style>
  <w:style w:type="character" w:customStyle="1" w:styleId="TextonotapieCar">
    <w:name w:val="Texto nota pie Car"/>
    <w:aliases w:val="Footnote reference Car1,FA Fu Car1,Footnote Text Char Char Char Char Char Car1,Footnote Text Char Char Char Char Car1,Footnote Text Char Char Char Car1,Footnote Text Cha Car1,FA Fußnotentext Car1,FA Fuﬂnotentext Car1,Ca Car,Car Car"/>
    <w:basedOn w:val="Fuentedeprrafopredeter"/>
    <w:link w:val="Textonotapie"/>
    <w:qFormat/>
    <w:rsid w:val="00A323A9"/>
    <w:rPr>
      <w:rFonts w:ascii="Verdana" w:eastAsia="Calibri" w:hAnsi="Verdana" w:cs="Times"/>
      <w:sz w:val="20"/>
      <w:szCs w:val="20"/>
      <w:lang w:val="es-ES_tradnl" w:eastAsia="es-ES"/>
    </w:rPr>
  </w:style>
  <w:style w:type="paragraph" w:styleId="Textoindependiente">
    <w:name w:val="Body Text"/>
    <w:basedOn w:val="Normal"/>
    <w:link w:val="TextoindependienteCar"/>
    <w:rsid w:val="0038340E"/>
    <w:pPr>
      <w:spacing w:after="120"/>
    </w:pPr>
    <w:rPr>
      <w:rFonts w:ascii="Verdana" w:hAnsi="Verdana"/>
      <w:sz w:val="20"/>
      <w:szCs w:val="20"/>
      <w:lang w:val="es-ES_tradnl" w:eastAsia="en-US"/>
    </w:rPr>
  </w:style>
  <w:style w:type="character" w:customStyle="1" w:styleId="TextoindependienteCar">
    <w:name w:val="Texto independiente Car"/>
    <w:basedOn w:val="Fuentedeprrafopredeter"/>
    <w:link w:val="Textoindependiente"/>
    <w:rsid w:val="0038340E"/>
    <w:rPr>
      <w:rFonts w:ascii="Verdana" w:eastAsia="Times New Roman" w:hAnsi="Verdana" w:cs="Times New Roman"/>
      <w:sz w:val="20"/>
      <w:szCs w:val="20"/>
      <w:lang w:val="es-ES_tradnl"/>
    </w:rPr>
  </w:style>
  <w:style w:type="paragraph" w:styleId="Encabezado">
    <w:name w:val="header"/>
    <w:basedOn w:val="Normal"/>
    <w:link w:val="EncabezadoCar"/>
    <w:uiPriority w:val="99"/>
    <w:unhideWhenUsed/>
    <w:rsid w:val="00DF3FE1"/>
    <w:pPr>
      <w:tabs>
        <w:tab w:val="center" w:pos="4419"/>
        <w:tab w:val="right" w:pos="8838"/>
      </w:tabs>
      <w:jc w:val="both"/>
    </w:pPr>
    <w:rPr>
      <w:rFonts w:ascii="Verdana" w:eastAsia="Calibri" w:hAnsi="Verdana" w:cs="Times"/>
      <w:sz w:val="20"/>
      <w:lang w:val="es-ES_tradnl" w:eastAsia="es-ES"/>
    </w:rPr>
  </w:style>
  <w:style w:type="character" w:customStyle="1" w:styleId="EncabezadoCar">
    <w:name w:val="Encabezado Car"/>
    <w:basedOn w:val="Fuentedeprrafopredeter"/>
    <w:link w:val="Encabezado"/>
    <w:uiPriority w:val="99"/>
    <w:rsid w:val="00DF3FE1"/>
    <w:rPr>
      <w:rFonts w:ascii="Verdana" w:eastAsia="Calibri" w:hAnsi="Verdana" w:cs="Times"/>
      <w:sz w:val="20"/>
      <w:szCs w:val="24"/>
      <w:lang w:val="es-ES_tradnl" w:eastAsia="es-ES"/>
    </w:rPr>
  </w:style>
  <w:style w:type="paragraph" w:styleId="Piedepgina">
    <w:name w:val="footer"/>
    <w:basedOn w:val="Normal"/>
    <w:link w:val="PiedepginaCar"/>
    <w:uiPriority w:val="99"/>
    <w:unhideWhenUsed/>
    <w:rsid w:val="00DF3FE1"/>
    <w:pPr>
      <w:tabs>
        <w:tab w:val="center" w:pos="4419"/>
        <w:tab w:val="right" w:pos="8838"/>
      </w:tabs>
      <w:jc w:val="both"/>
    </w:pPr>
    <w:rPr>
      <w:rFonts w:ascii="Verdana" w:eastAsia="Calibri" w:hAnsi="Verdana" w:cs="Times"/>
      <w:sz w:val="20"/>
      <w:lang w:val="es-ES_tradnl" w:eastAsia="es-ES"/>
    </w:rPr>
  </w:style>
  <w:style w:type="character" w:customStyle="1" w:styleId="PiedepginaCar">
    <w:name w:val="Pie de página Car"/>
    <w:basedOn w:val="Fuentedeprrafopredeter"/>
    <w:link w:val="Piedepgina"/>
    <w:uiPriority w:val="99"/>
    <w:rsid w:val="00DF3FE1"/>
    <w:rPr>
      <w:rFonts w:ascii="Verdana" w:eastAsia="Calibri" w:hAnsi="Verdana" w:cs="Times"/>
      <w:sz w:val="20"/>
      <w:szCs w:val="24"/>
      <w:lang w:val="es-ES_tradnl" w:eastAsia="es-ES"/>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qFormat/>
    <w:rsid w:val="006A66FC"/>
    <w:rPr>
      <w:rFonts w:ascii="Verdana" w:eastAsia="Calibri" w:hAnsi="Verdana" w:cs="Times"/>
      <w:sz w:val="16"/>
      <w:szCs w:val="20"/>
      <w:lang w:val="es-ES_tradnl"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6A66FC"/>
    <w:pPr>
      <w:jc w:val="both"/>
    </w:pPr>
    <w:rPr>
      <w:rFonts w:asciiTheme="minorHAnsi" w:eastAsiaTheme="minorHAnsi" w:hAnsiTheme="minorHAnsi" w:cstheme="minorBidi"/>
      <w:sz w:val="22"/>
      <w:szCs w:val="22"/>
      <w:vertAlign w:val="superscript"/>
      <w:lang w:val="en-US" w:eastAsia="en-US"/>
    </w:rPr>
  </w:style>
  <w:style w:type="paragraph" w:styleId="NormalWeb">
    <w:name w:val="Normal (Web)"/>
    <w:basedOn w:val="Normal"/>
    <w:uiPriority w:val="99"/>
    <w:unhideWhenUsed/>
    <w:rsid w:val="00E46009"/>
    <w:pPr>
      <w:spacing w:before="100" w:beforeAutospacing="1" w:after="100" w:afterAutospacing="1"/>
    </w:pPr>
  </w:style>
  <w:style w:type="paragraph" w:customStyle="1" w:styleId="ColorfulList-Accent11">
    <w:name w:val="Colorful List - Accent 11"/>
    <w:basedOn w:val="Normal"/>
    <w:uiPriority w:val="99"/>
    <w:qFormat/>
    <w:rsid w:val="00953E0E"/>
    <w:pPr>
      <w:spacing w:after="120"/>
      <w:ind w:left="720"/>
      <w:contextualSpacing/>
      <w:jc w:val="both"/>
    </w:pPr>
    <w:rPr>
      <w:rFonts w:ascii="Verdana" w:eastAsia="Calibri" w:hAnsi="Verdana" w:cs="Times"/>
      <w:sz w:val="20"/>
      <w:lang w:val="es-ES_tradnl" w:eastAsia="es-ES"/>
    </w:rPr>
  </w:style>
  <w:style w:type="character" w:styleId="Nmerodelnea">
    <w:name w:val="line number"/>
    <w:basedOn w:val="Fuentedeprrafopredeter"/>
    <w:uiPriority w:val="99"/>
    <w:semiHidden/>
    <w:unhideWhenUsed/>
    <w:rsid w:val="001238C6"/>
  </w:style>
  <w:style w:type="character" w:styleId="Nmerodepgina">
    <w:name w:val="page number"/>
    <w:basedOn w:val="Fuentedeprrafopredeter"/>
    <w:uiPriority w:val="99"/>
    <w:semiHidden/>
    <w:unhideWhenUsed/>
    <w:rsid w:val="001238C6"/>
  </w:style>
  <w:style w:type="paragraph" w:styleId="Revisin">
    <w:name w:val="Revision"/>
    <w:hidden/>
    <w:uiPriority w:val="99"/>
    <w:semiHidden/>
    <w:rsid w:val="00FE6634"/>
    <w:pPr>
      <w:spacing w:after="0" w:line="240" w:lineRule="auto"/>
    </w:pPr>
    <w:rPr>
      <w:rFonts w:ascii="Verdana" w:eastAsia="Calibri" w:hAnsi="Verdana" w:cs="Times"/>
      <w:sz w:val="20"/>
      <w:szCs w:val="24"/>
      <w:lang w:val="es-ES_tradnl" w:eastAsia="es-ES"/>
    </w:rPr>
  </w:style>
  <w:style w:type="paragraph" w:styleId="Textoindependiente2">
    <w:name w:val="Body Text 2"/>
    <w:basedOn w:val="Normal"/>
    <w:link w:val="Textoindependiente2Car"/>
    <w:uiPriority w:val="99"/>
    <w:semiHidden/>
    <w:unhideWhenUsed/>
    <w:rsid w:val="009625EA"/>
    <w:pPr>
      <w:spacing w:after="120" w:line="480" w:lineRule="auto"/>
      <w:jc w:val="both"/>
    </w:pPr>
    <w:rPr>
      <w:rFonts w:ascii="Verdana" w:eastAsia="Calibri" w:hAnsi="Verdana" w:cs="Times"/>
      <w:sz w:val="20"/>
      <w:lang w:val="es-ES_tradnl" w:eastAsia="es-ES"/>
    </w:rPr>
  </w:style>
  <w:style w:type="character" w:customStyle="1" w:styleId="Textoindependiente2Car">
    <w:name w:val="Texto independiente 2 Car"/>
    <w:basedOn w:val="Fuentedeprrafopredeter"/>
    <w:link w:val="Textoindependiente2"/>
    <w:uiPriority w:val="99"/>
    <w:semiHidden/>
    <w:rsid w:val="009625EA"/>
    <w:rPr>
      <w:rFonts w:ascii="Verdana" w:eastAsia="Calibri" w:hAnsi="Verdana" w:cs="Times"/>
      <w:sz w:val="20"/>
      <w:szCs w:val="24"/>
      <w:lang w:val="es-ES_tradnl" w:eastAsia="es-ES"/>
    </w:rPr>
  </w:style>
  <w:style w:type="paragraph" w:styleId="Sinespaciado">
    <w:name w:val="No Spacing"/>
    <w:basedOn w:val="Prrafodelista"/>
    <w:uiPriority w:val="1"/>
    <w:qFormat/>
    <w:rsid w:val="00FC26F8"/>
    <w:pPr>
      <w:widowControl w:val="0"/>
      <w:numPr>
        <w:numId w:val="37"/>
      </w:numPr>
      <w:tabs>
        <w:tab w:val="left" w:pos="0"/>
        <w:tab w:val="left" w:pos="567"/>
      </w:tabs>
      <w:autoSpaceDE w:val="0"/>
      <w:autoSpaceDN w:val="0"/>
      <w:adjustRightInd w:val="0"/>
      <w:spacing w:after="0"/>
      <w:ind w:right="22"/>
    </w:pPr>
    <w:rPr>
      <w:rFonts w:eastAsiaTheme="minorHAnsi" w:cstheme="minorBidi"/>
      <w:bCs/>
      <w:iCs/>
      <w:szCs w:val="20"/>
      <w:lang w:val="es-CR" w:eastAsia="en-US"/>
    </w:rPr>
  </w:style>
  <w:style w:type="paragraph" w:styleId="Sangradetextonormal">
    <w:name w:val="Body Text Indent"/>
    <w:basedOn w:val="Normal"/>
    <w:link w:val="SangradetextonormalCar"/>
    <w:uiPriority w:val="99"/>
    <w:unhideWhenUsed/>
    <w:rsid w:val="0067109E"/>
    <w:pPr>
      <w:spacing w:after="120"/>
      <w:ind w:left="283"/>
      <w:jc w:val="both"/>
    </w:pPr>
    <w:rPr>
      <w:rFonts w:ascii="Verdana" w:eastAsia="Calibri" w:hAnsi="Verdana"/>
      <w:sz w:val="20"/>
      <w:lang w:val="es-419" w:eastAsia="es-ES"/>
    </w:rPr>
  </w:style>
  <w:style w:type="character" w:customStyle="1" w:styleId="SangradetextonormalCar">
    <w:name w:val="Sangría de texto normal Car"/>
    <w:basedOn w:val="Fuentedeprrafopredeter"/>
    <w:link w:val="Sangradetextonormal"/>
    <w:uiPriority w:val="99"/>
    <w:rsid w:val="0067109E"/>
    <w:rPr>
      <w:rFonts w:ascii="Verdana" w:eastAsia="Calibri" w:hAnsi="Verdana" w:cs="Times New Roman"/>
      <w:sz w:val="20"/>
      <w:szCs w:val="24"/>
      <w:lang w:val="es-419" w:eastAsia="es-ES"/>
    </w:rPr>
  </w:style>
  <w:style w:type="character" w:styleId="Hipervnculo">
    <w:name w:val="Hyperlink"/>
    <w:basedOn w:val="Fuentedeprrafopredeter"/>
    <w:uiPriority w:val="99"/>
    <w:unhideWhenUsed/>
    <w:rsid w:val="00A6607D"/>
    <w:rPr>
      <w:color w:val="0563C1" w:themeColor="hyperlink"/>
      <w:u w:val="single"/>
    </w:rPr>
  </w:style>
  <w:style w:type="character" w:styleId="Mencinsinresolver">
    <w:name w:val="Unresolved Mention"/>
    <w:basedOn w:val="Fuentedeprrafopredeter"/>
    <w:uiPriority w:val="99"/>
    <w:semiHidden/>
    <w:unhideWhenUsed/>
    <w:rsid w:val="00A660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27680">
      <w:bodyDiv w:val="1"/>
      <w:marLeft w:val="0"/>
      <w:marRight w:val="0"/>
      <w:marTop w:val="0"/>
      <w:marBottom w:val="0"/>
      <w:divBdr>
        <w:top w:val="none" w:sz="0" w:space="0" w:color="auto"/>
        <w:left w:val="none" w:sz="0" w:space="0" w:color="auto"/>
        <w:bottom w:val="none" w:sz="0" w:space="0" w:color="auto"/>
        <w:right w:val="none" w:sz="0" w:space="0" w:color="auto"/>
      </w:divBdr>
    </w:div>
    <w:div w:id="106508630">
      <w:bodyDiv w:val="1"/>
      <w:marLeft w:val="0"/>
      <w:marRight w:val="0"/>
      <w:marTop w:val="0"/>
      <w:marBottom w:val="0"/>
      <w:divBdr>
        <w:top w:val="none" w:sz="0" w:space="0" w:color="auto"/>
        <w:left w:val="none" w:sz="0" w:space="0" w:color="auto"/>
        <w:bottom w:val="none" w:sz="0" w:space="0" w:color="auto"/>
        <w:right w:val="none" w:sz="0" w:space="0" w:color="auto"/>
      </w:divBdr>
    </w:div>
    <w:div w:id="144978081">
      <w:bodyDiv w:val="1"/>
      <w:marLeft w:val="0"/>
      <w:marRight w:val="0"/>
      <w:marTop w:val="0"/>
      <w:marBottom w:val="0"/>
      <w:divBdr>
        <w:top w:val="none" w:sz="0" w:space="0" w:color="auto"/>
        <w:left w:val="none" w:sz="0" w:space="0" w:color="auto"/>
        <w:bottom w:val="none" w:sz="0" w:space="0" w:color="auto"/>
        <w:right w:val="none" w:sz="0" w:space="0" w:color="auto"/>
      </w:divBdr>
    </w:div>
    <w:div w:id="280918175">
      <w:bodyDiv w:val="1"/>
      <w:marLeft w:val="0"/>
      <w:marRight w:val="0"/>
      <w:marTop w:val="0"/>
      <w:marBottom w:val="0"/>
      <w:divBdr>
        <w:top w:val="none" w:sz="0" w:space="0" w:color="auto"/>
        <w:left w:val="none" w:sz="0" w:space="0" w:color="auto"/>
        <w:bottom w:val="none" w:sz="0" w:space="0" w:color="auto"/>
        <w:right w:val="none" w:sz="0" w:space="0" w:color="auto"/>
      </w:divBdr>
    </w:div>
    <w:div w:id="314576843">
      <w:bodyDiv w:val="1"/>
      <w:marLeft w:val="0"/>
      <w:marRight w:val="0"/>
      <w:marTop w:val="0"/>
      <w:marBottom w:val="0"/>
      <w:divBdr>
        <w:top w:val="none" w:sz="0" w:space="0" w:color="auto"/>
        <w:left w:val="none" w:sz="0" w:space="0" w:color="auto"/>
        <w:bottom w:val="none" w:sz="0" w:space="0" w:color="auto"/>
        <w:right w:val="none" w:sz="0" w:space="0" w:color="auto"/>
      </w:divBdr>
      <w:divsChild>
        <w:div w:id="1326125725">
          <w:marLeft w:val="0"/>
          <w:marRight w:val="0"/>
          <w:marTop w:val="0"/>
          <w:marBottom w:val="0"/>
          <w:divBdr>
            <w:top w:val="none" w:sz="0" w:space="0" w:color="auto"/>
            <w:left w:val="none" w:sz="0" w:space="0" w:color="auto"/>
            <w:bottom w:val="none" w:sz="0" w:space="0" w:color="auto"/>
            <w:right w:val="none" w:sz="0" w:space="0" w:color="auto"/>
          </w:divBdr>
          <w:divsChild>
            <w:div w:id="1167943115">
              <w:marLeft w:val="0"/>
              <w:marRight w:val="0"/>
              <w:marTop w:val="0"/>
              <w:marBottom w:val="0"/>
              <w:divBdr>
                <w:top w:val="none" w:sz="0" w:space="0" w:color="auto"/>
                <w:left w:val="none" w:sz="0" w:space="0" w:color="auto"/>
                <w:bottom w:val="none" w:sz="0" w:space="0" w:color="auto"/>
                <w:right w:val="none" w:sz="0" w:space="0" w:color="auto"/>
              </w:divBdr>
              <w:divsChild>
                <w:div w:id="171253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281740">
      <w:bodyDiv w:val="1"/>
      <w:marLeft w:val="0"/>
      <w:marRight w:val="0"/>
      <w:marTop w:val="0"/>
      <w:marBottom w:val="0"/>
      <w:divBdr>
        <w:top w:val="none" w:sz="0" w:space="0" w:color="auto"/>
        <w:left w:val="none" w:sz="0" w:space="0" w:color="auto"/>
        <w:bottom w:val="none" w:sz="0" w:space="0" w:color="auto"/>
        <w:right w:val="none" w:sz="0" w:space="0" w:color="auto"/>
      </w:divBdr>
    </w:div>
    <w:div w:id="636842301">
      <w:bodyDiv w:val="1"/>
      <w:marLeft w:val="0"/>
      <w:marRight w:val="0"/>
      <w:marTop w:val="0"/>
      <w:marBottom w:val="0"/>
      <w:divBdr>
        <w:top w:val="none" w:sz="0" w:space="0" w:color="auto"/>
        <w:left w:val="none" w:sz="0" w:space="0" w:color="auto"/>
        <w:bottom w:val="none" w:sz="0" w:space="0" w:color="auto"/>
        <w:right w:val="none" w:sz="0" w:space="0" w:color="auto"/>
      </w:divBdr>
      <w:divsChild>
        <w:div w:id="1144007067">
          <w:marLeft w:val="0"/>
          <w:marRight w:val="0"/>
          <w:marTop w:val="0"/>
          <w:marBottom w:val="0"/>
          <w:divBdr>
            <w:top w:val="none" w:sz="0" w:space="0" w:color="auto"/>
            <w:left w:val="none" w:sz="0" w:space="0" w:color="auto"/>
            <w:bottom w:val="none" w:sz="0" w:space="0" w:color="auto"/>
            <w:right w:val="none" w:sz="0" w:space="0" w:color="auto"/>
          </w:divBdr>
          <w:divsChild>
            <w:div w:id="1580364303">
              <w:marLeft w:val="0"/>
              <w:marRight w:val="0"/>
              <w:marTop w:val="0"/>
              <w:marBottom w:val="0"/>
              <w:divBdr>
                <w:top w:val="none" w:sz="0" w:space="0" w:color="auto"/>
                <w:left w:val="none" w:sz="0" w:space="0" w:color="auto"/>
                <w:bottom w:val="none" w:sz="0" w:space="0" w:color="auto"/>
                <w:right w:val="none" w:sz="0" w:space="0" w:color="auto"/>
              </w:divBdr>
              <w:divsChild>
                <w:div w:id="77505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154338">
      <w:bodyDiv w:val="1"/>
      <w:marLeft w:val="0"/>
      <w:marRight w:val="0"/>
      <w:marTop w:val="0"/>
      <w:marBottom w:val="0"/>
      <w:divBdr>
        <w:top w:val="none" w:sz="0" w:space="0" w:color="auto"/>
        <w:left w:val="none" w:sz="0" w:space="0" w:color="auto"/>
        <w:bottom w:val="none" w:sz="0" w:space="0" w:color="auto"/>
        <w:right w:val="none" w:sz="0" w:space="0" w:color="auto"/>
      </w:divBdr>
      <w:divsChild>
        <w:div w:id="1253390871">
          <w:marLeft w:val="0"/>
          <w:marRight w:val="0"/>
          <w:marTop w:val="0"/>
          <w:marBottom w:val="0"/>
          <w:divBdr>
            <w:top w:val="none" w:sz="0" w:space="0" w:color="auto"/>
            <w:left w:val="none" w:sz="0" w:space="0" w:color="auto"/>
            <w:bottom w:val="none" w:sz="0" w:space="0" w:color="auto"/>
            <w:right w:val="none" w:sz="0" w:space="0" w:color="auto"/>
          </w:divBdr>
          <w:divsChild>
            <w:div w:id="1734309905">
              <w:marLeft w:val="0"/>
              <w:marRight w:val="0"/>
              <w:marTop w:val="0"/>
              <w:marBottom w:val="0"/>
              <w:divBdr>
                <w:top w:val="none" w:sz="0" w:space="0" w:color="auto"/>
                <w:left w:val="none" w:sz="0" w:space="0" w:color="auto"/>
                <w:bottom w:val="none" w:sz="0" w:space="0" w:color="auto"/>
                <w:right w:val="none" w:sz="0" w:space="0" w:color="auto"/>
              </w:divBdr>
              <w:divsChild>
                <w:div w:id="184485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39049">
      <w:bodyDiv w:val="1"/>
      <w:marLeft w:val="0"/>
      <w:marRight w:val="0"/>
      <w:marTop w:val="0"/>
      <w:marBottom w:val="0"/>
      <w:divBdr>
        <w:top w:val="none" w:sz="0" w:space="0" w:color="auto"/>
        <w:left w:val="none" w:sz="0" w:space="0" w:color="auto"/>
        <w:bottom w:val="none" w:sz="0" w:space="0" w:color="auto"/>
        <w:right w:val="none" w:sz="0" w:space="0" w:color="auto"/>
      </w:divBdr>
      <w:divsChild>
        <w:div w:id="647322375">
          <w:marLeft w:val="0"/>
          <w:marRight w:val="0"/>
          <w:marTop w:val="0"/>
          <w:marBottom w:val="0"/>
          <w:divBdr>
            <w:top w:val="none" w:sz="0" w:space="0" w:color="auto"/>
            <w:left w:val="none" w:sz="0" w:space="0" w:color="auto"/>
            <w:bottom w:val="none" w:sz="0" w:space="0" w:color="auto"/>
            <w:right w:val="none" w:sz="0" w:space="0" w:color="auto"/>
          </w:divBdr>
          <w:divsChild>
            <w:div w:id="274095208">
              <w:marLeft w:val="0"/>
              <w:marRight w:val="0"/>
              <w:marTop w:val="0"/>
              <w:marBottom w:val="0"/>
              <w:divBdr>
                <w:top w:val="none" w:sz="0" w:space="0" w:color="auto"/>
                <w:left w:val="none" w:sz="0" w:space="0" w:color="auto"/>
                <w:bottom w:val="none" w:sz="0" w:space="0" w:color="auto"/>
                <w:right w:val="none" w:sz="0" w:space="0" w:color="auto"/>
              </w:divBdr>
              <w:divsChild>
                <w:div w:id="61691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810481">
      <w:bodyDiv w:val="1"/>
      <w:marLeft w:val="0"/>
      <w:marRight w:val="0"/>
      <w:marTop w:val="0"/>
      <w:marBottom w:val="0"/>
      <w:divBdr>
        <w:top w:val="none" w:sz="0" w:space="0" w:color="auto"/>
        <w:left w:val="none" w:sz="0" w:space="0" w:color="auto"/>
        <w:bottom w:val="none" w:sz="0" w:space="0" w:color="auto"/>
        <w:right w:val="none" w:sz="0" w:space="0" w:color="auto"/>
      </w:divBdr>
      <w:divsChild>
        <w:div w:id="808669892">
          <w:marLeft w:val="0"/>
          <w:marRight w:val="0"/>
          <w:marTop w:val="0"/>
          <w:marBottom w:val="0"/>
          <w:divBdr>
            <w:top w:val="none" w:sz="0" w:space="0" w:color="auto"/>
            <w:left w:val="none" w:sz="0" w:space="0" w:color="auto"/>
            <w:bottom w:val="none" w:sz="0" w:space="0" w:color="auto"/>
            <w:right w:val="none" w:sz="0" w:space="0" w:color="auto"/>
          </w:divBdr>
          <w:divsChild>
            <w:div w:id="2112125558">
              <w:marLeft w:val="0"/>
              <w:marRight w:val="0"/>
              <w:marTop w:val="0"/>
              <w:marBottom w:val="0"/>
              <w:divBdr>
                <w:top w:val="none" w:sz="0" w:space="0" w:color="auto"/>
                <w:left w:val="none" w:sz="0" w:space="0" w:color="auto"/>
                <w:bottom w:val="none" w:sz="0" w:space="0" w:color="auto"/>
                <w:right w:val="none" w:sz="0" w:space="0" w:color="auto"/>
              </w:divBdr>
              <w:divsChild>
                <w:div w:id="209882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05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orteidh.or.cr/docs/asuntos/garcia_rodriguez_y_otro_06_07_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F41B5-1A93-455B-A0AE-BC05D460E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2903</Words>
  <Characters>15970</Characters>
  <Application>Microsoft Office Word</Application>
  <DocSecurity>2</DocSecurity>
  <Lines>133</Lines>
  <Paragraphs>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2022-07-06T16:04:00Z</cp:lastPrinted>
  <dcterms:created xsi:type="dcterms:W3CDTF">2022-09-20T18:03:00Z</dcterms:created>
  <dcterms:modified xsi:type="dcterms:W3CDTF">2022-09-20T18:03:00Z</dcterms:modified>
</cp:coreProperties>
</file>