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A2A0C" w14:textId="77777777" w:rsidR="001003AC" w:rsidRPr="00F32643" w:rsidRDefault="001003AC" w:rsidP="00A44799">
      <w:pPr>
        <w:pStyle w:val="Footnotes"/>
        <w:rPr>
          <w:color w:val="000000" w:themeColor="text1"/>
        </w:rPr>
      </w:pPr>
    </w:p>
    <w:p w14:paraId="089BDA1E" w14:textId="77777777" w:rsidR="001003AC" w:rsidRPr="00F32643" w:rsidRDefault="001003AC" w:rsidP="001003AC">
      <w:pPr>
        <w:widowControl w:val="0"/>
        <w:tabs>
          <w:tab w:val="left" w:pos="567"/>
        </w:tabs>
        <w:adjustRightInd w:val="0"/>
        <w:textAlignment w:val="baseline"/>
        <w:rPr>
          <w:rFonts w:cs="Verdana Bold"/>
          <w:b/>
          <w:bCs/>
          <w:caps/>
          <w:color w:val="000000" w:themeColor="text1"/>
          <w:szCs w:val="20"/>
          <w:lang w:val="es-CR"/>
        </w:rPr>
      </w:pPr>
    </w:p>
    <w:p w14:paraId="5E0B5683" w14:textId="77777777" w:rsidR="001003AC" w:rsidRPr="00F32643" w:rsidRDefault="001003AC" w:rsidP="001003AC">
      <w:pPr>
        <w:widowControl w:val="0"/>
        <w:tabs>
          <w:tab w:val="left" w:pos="567"/>
        </w:tabs>
        <w:adjustRightInd w:val="0"/>
        <w:textAlignment w:val="baseline"/>
        <w:rPr>
          <w:rFonts w:cs="Verdana Bold"/>
          <w:b/>
          <w:bCs/>
          <w:caps/>
          <w:color w:val="000000" w:themeColor="text1"/>
          <w:szCs w:val="20"/>
          <w:lang w:val="es-CR"/>
        </w:rPr>
      </w:pPr>
    </w:p>
    <w:p w14:paraId="7402C078" w14:textId="77777777" w:rsidR="001003AC" w:rsidRPr="00F32643" w:rsidRDefault="001003AC" w:rsidP="001003AC">
      <w:pPr>
        <w:widowControl w:val="0"/>
        <w:tabs>
          <w:tab w:val="left" w:pos="567"/>
        </w:tabs>
        <w:adjustRightInd w:val="0"/>
        <w:textAlignment w:val="baseline"/>
        <w:rPr>
          <w:rFonts w:cs="Verdana Bold"/>
          <w:b/>
          <w:bCs/>
          <w:caps/>
          <w:color w:val="000000" w:themeColor="text1"/>
          <w:szCs w:val="20"/>
          <w:lang w:val="es-CR"/>
        </w:rPr>
      </w:pPr>
    </w:p>
    <w:p w14:paraId="289EB67A" w14:textId="77777777" w:rsidR="001003AC" w:rsidRPr="00F32643" w:rsidRDefault="001003AC" w:rsidP="001003AC">
      <w:pPr>
        <w:widowControl w:val="0"/>
        <w:tabs>
          <w:tab w:val="left" w:pos="567"/>
        </w:tabs>
        <w:adjustRightInd w:val="0"/>
        <w:textAlignment w:val="baseline"/>
        <w:rPr>
          <w:rFonts w:cs="Verdana Bold"/>
          <w:b/>
          <w:bCs/>
          <w:caps/>
          <w:color w:val="000000" w:themeColor="text1"/>
          <w:szCs w:val="20"/>
          <w:lang w:val="es-CR"/>
        </w:rPr>
      </w:pPr>
    </w:p>
    <w:p w14:paraId="6BCB3BF6" w14:textId="77777777" w:rsidR="001003AC" w:rsidRPr="00F32643" w:rsidRDefault="001003AC" w:rsidP="001003AC">
      <w:pPr>
        <w:widowControl w:val="0"/>
        <w:tabs>
          <w:tab w:val="left" w:pos="567"/>
        </w:tabs>
        <w:adjustRightInd w:val="0"/>
        <w:textAlignment w:val="baseline"/>
        <w:rPr>
          <w:rFonts w:cs="Verdana Bold"/>
          <w:b/>
          <w:bCs/>
          <w:caps/>
          <w:color w:val="000000" w:themeColor="text1"/>
          <w:szCs w:val="20"/>
          <w:lang w:val="es-CR"/>
        </w:rPr>
      </w:pPr>
    </w:p>
    <w:p w14:paraId="6EC83DCE" w14:textId="77777777" w:rsidR="001003AC" w:rsidRPr="00F32643" w:rsidRDefault="001003AC" w:rsidP="001003AC">
      <w:pPr>
        <w:widowControl w:val="0"/>
        <w:tabs>
          <w:tab w:val="left" w:pos="567"/>
        </w:tabs>
        <w:adjustRightInd w:val="0"/>
        <w:textAlignment w:val="baseline"/>
        <w:rPr>
          <w:rFonts w:cs="Verdana Bold"/>
          <w:b/>
          <w:bCs/>
          <w:caps/>
          <w:color w:val="000000" w:themeColor="text1"/>
          <w:szCs w:val="20"/>
          <w:lang w:val="es-CR"/>
        </w:rPr>
      </w:pPr>
    </w:p>
    <w:p w14:paraId="12F80857" w14:textId="77777777" w:rsidR="001003AC" w:rsidRPr="00F32643" w:rsidRDefault="001003AC" w:rsidP="001003AC">
      <w:pPr>
        <w:widowControl w:val="0"/>
        <w:tabs>
          <w:tab w:val="left" w:pos="567"/>
        </w:tabs>
        <w:adjustRightInd w:val="0"/>
        <w:textAlignment w:val="baseline"/>
        <w:rPr>
          <w:rFonts w:cs="Verdana Bold"/>
          <w:b/>
          <w:bCs/>
          <w:caps/>
          <w:color w:val="000000" w:themeColor="text1"/>
          <w:szCs w:val="20"/>
          <w:lang w:val="es-CR"/>
        </w:rPr>
      </w:pPr>
    </w:p>
    <w:p w14:paraId="5064B8DD" w14:textId="77777777" w:rsidR="001003AC" w:rsidRPr="00F32643" w:rsidRDefault="001003AC" w:rsidP="001003AC">
      <w:pPr>
        <w:widowControl w:val="0"/>
        <w:tabs>
          <w:tab w:val="left" w:pos="567"/>
        </w:tabs>
        <w:adjustRightInd w:val="0"/>
        <w:textAlignment w:val="baseline"/>
        <w:rPr>
          <w:rFonts w:cs="Verdana Bold"/>
          <w:b/>
          <w:bCs/>
          <w:caps/>
          <w:color w:val="000000" w:themeColor="text1"/>
          <w:szCs w:val="20"/>
          <w:lang w:val="es-CR"/>
        </w:rPr>
      </w:pPr>
    </w:p>
    <w:p w14:paraId="4314C629" w14:textId="77777777" w:rsidR="001003AC" w:rsidRPr="00F32643" w:rsidRDefault="001003AC" w:rsidP="001003AC">
      <w:pPr>
        <w:widowControl w:val="0"/>
        <w:tabs>
          <w:tab w:val="left" w:pos="567"/>
        </w:tabs>
        <w:adjustRightInd w:val="0"/>
        <w:textAlignment w:val="baseline"/>
        <w:rPr>
          <w:b/>
          <w:color w:val="000000" w:themeColor="text1"/>
          <w:szCs w:val="20"/>
          <w:lang w:val="es-CR" w:eastAsia="es-CR"/>
        </w:rPr>
      </w:pPr>
    </w:p>
    <w:p w14:paraId="0F02DE80" w14:textId="77777777" w:rsidR="001003AC" w:rsidRPr="00F32643" w:rsidRDefault="001003AC" w:rsidP="001003AC">
      <w:pPr>
        <w:widowControl w:val="0"/>
        <w:tabs>
          <w:tab w:val="left" w:pos="567"/>
        </w:tabs>
        <w:adjustRightInd w:val="0"/>
        <w:jc w:val="center"/>
        <w:textAlignment w:val="baseline"/>
        <w:rPr>
          <w:b/>
          <w:color w:val="000000" w:themeColor="text1"/>
          <w:szCs w:val="20"/>
          <w:lang w:val="es-CR" w:eastAsia="es-CR"/>
        </w:rPr>
      </w:pPr>
    </w:p>
    <w:p w14:paraId="7C1E928A" w14:textId="77777777" w:rsidR="001003AC" w:rsidRPr="00F32643" w:rsidRDefault="001003AC" w:rsidP="001003AC">
      <w:pPr>
        <w:pStyle w:val="Ttulo"/>
        <w:tabs>
          <w:tab w:val="left" w:pos="567"/>
        </w:tabs>
        <w:spacing w:before="0" w:after="0"/>
        <w:outlineLvl w:val="9"/>
        <w:rPr>
          <w:color w:val="000000" w:themeColor="text1"/>
          <w:sz w:val="20"/>
        </w:rPr>
      </w:pPr>
      <w:r w:rsidRPr="00F32643">
        <w:rPr>
          <w:color w:val="000000" w:themeColor="text1"/>
          <w:sz w:val="20"/>
        </w:rPr>
        <w:t>CORTE INTERAMERICANA DE DERECHOS HUMANOS</w:t>
      </w:r>
    </w:p>
    <w:p w14:paraId="3BE8A142" w14:textId="77777777" w:rsidR="001003AC" w:rsidRPr="00F32643" w:rsidRDefault="001003AC" w:rsidP="001003AC">
      <w:pPr>
        <w:jc w:val="center"/>
        <w:rPr>
          <w:b/>
          <w:bCs/>
          <w:color w:val="000000" w:themeColor="text1"/>
          <w:szCs w:val="20"/>
          <w:lang w:val="es-CR"/>
        </w:rPr>
      </w:pPr>
    </w:p>
    <w:p w14:paraId="667F34D2" w14:textId="0BC7CF97" w:rsidR="001003AC" w:rsidRPr="00F32643" w:rsidRDefault="001003AC" w:rsidP="001003AC">
      <w:pPr>
        <w:jc w:val="center"/>
        <w:rPr>
          <w:b/>
          <w:bCs/>
          <w:color w:val="000000" w:themeColor="text1"/>
          <w:szCs w:val="20"/>
          <w:lang w:val="es-CR"/>
        </w:rPr>
      </w:pPr>
      <w:r w:rsidRPr="00F32643">
        <w:rPr>
          <w:b/>
          <w:bCs/>
          <w:color w:val="000000" w:themeColor="text1"/>
          <w:szCs w:val="20"/>
          <w:lang w:val="es-CR"/>
        </w:rPr>
        <w:t xml:space="preserve">CASO </w:t>
      </w:r>
      <w:r w:rsidR="006536D6" w:rsidRPr="00F32643">
        <w:rPr>
          <w:b/>
          <w:bCs/>
          <w:color w:val="000000" w:themeColor="text1"/>
          <w:szCs w:val="20"/>
          <w:lang w:val="es-CR"/>
        </w:rPr>
        <w:t>PROFESORES DE CHAÑARAL Y OTRAS MUNICIPALIDADES VS. CHILE</w:t>
      </w:r>
    </w:p>
    <w:p w14:paraId="391A3FF2" w14:textId="77777777" w:rsidR="001003AC" w:rsidRPr="00F32643" w:rsidRDefault="001003AC" w:rsidP="001003AC">
      <w:pPr>
        <w:jc w:val="center"/>
        <w:rPr>
          <w:b/>
          <w:color w:val="000000" w:themeColor="text1"/>
          <w:szCs w:val="20"/>
          <w:lang w:val="es-CR"/>
        </w:rPr>
      </w:pPr>
    </w:p>
    <w:p w14:paraId="3F13F0B8" w14:textId="3413639E" w:rsidR="001003AC" w:rsidRPr="00F32643" w:rsidRDefault="001003AC" w:rsidP="001003AC">
      <w:pPr>
        <w:jc w:val="center"/>
        <w:rPr>
          <w:b/>
          <w:color w:val="000000" w:themeColor="text1"/>
          <w:szCs w:val="20"/>
          <w:lang w:val="es-CR"/>
        </w:rPr>
      </w:pPr>
      <w:bookmarkStart w:id="0" w:name="_Toc424833992"/>
      <w:bookmarkStart w:id="1" w:name="_Toc424834593"/>
      <w:bookmarkStart w:id="2" w:name="_Toc424834676"/>
      <w:bookmarkStart w:id="3" w:name="_Toc424834743"/>
      <w:r w:rsidRPr="00F32643">
        <w:rPr>
          <w:b/>
          <w:color w:val="000000" w:themeColor="text1"/>
          <w:szCs w:val="20"/>
          <w:lang w:val="es-CR"/>
        </w:rPr>
        <w:t xml:space="preserve">SENTENCIA DE </w:t>
      </w:r>
      <w:r w:rsidR="00B84011" w:rsidRPr="00F32643">
        <w:rPr>
          <w:b/>
          <w:color w:val="000000" w:themeColor="text1"/>
          <w:szCs w:val="20"/>
          <w:lang w:val="es-CR"/>
        </w:rPr>
        <w:t>27</w:t>
      </w:r>
      <w:r w:rsidRPr="00F32643">
        <w:rPr>
          <w:b/>
          <w:color w:val="000000" w:themeColor="text1"/>
          <w:szCs w:val="20"/>
          <w:lang w:val="es-CR"/>
        </w:rPr>
        <w:t xml:space="preserve"> DE </w:t>
      </w:r>
      <w:r w:rsidR="00B84011" w:rsidRPr="00F32643">
        <w:rPr>
          <w:b/>
          <w:color w:val="000000" w:themeColor="text1"/>
          <w:szCs w:val="20"/>
          <w:lang w:val="es-CR"/>
        </w:rPr>
        <w:t>JULIO</w:t>
      </w:r>
      <w:r w:rsidRPr="00F32643">
        <w:rPr>
          <w:b/>
          <w:color w:val="000000" w:themeColor="text1"/>
          <w:szCs w:val="20"/>
          <w:lang w:val="es-CR"/>
        </w:rPr>
        <w:t xml:space="preserve"> DE </w:t>
      </w:r>
      <w:bookmarkEnd w:id="0"/>
      <w:bookmarkEnd w:id="1"/>
      <w:bookmarkEnd w:id="2"/>
      <w:bookmarkEnd w:id="3"/>
      <w:r w:rsidRPr="00F32643">
        <w:rPr>
          <w:b/>
          <w:color w:val="000000" w:themeColor="text1"/>
          <w:szCs w:val="20"/>
          <w:lang w:val="es-CR"/>
        </w:rPr>
        <w:t>202</w:t>
      </w:r>
      <w:r w:rsidR="00FE4F73" w:rsidRPr="00F32643">
        <w:rPr>
          <w:b/>
          <w:color w:val="000000" w:themeColor="text1"/>
          <w:szCs w:val="20"/>
          <w:lang w:val="es-CR"/>
        </w:rPr>
        <w:t>2</w:t>
      </w:r>
    </w:p>
    <w:p w14:paraId="7B069975" w14:textId="77777777" w:rsidR="001003AC" w:rsidRPr="00F32643" w:rsidRDefault="001003AC" w:rsidP="001003AC">
      <w:pPr>
        <w:jc w:val="center"/>
        <w:rPr>
          <w:color w:val="000000" w:themeColor="text1"/>
          <w:szCs w:val="20"/>
          <w:lang w:val="es-CR"/>
        </w:rPr>
      </w:pPr>
    </w:p>
    <w:p w14:paraId="473A1CCF" w14:textId="383495DA" w:rsidR="001003AC" w:rsidRPr="00F32643" w:rsidRDefault="001003AC" w:rsidP="001003AC">
      <w:pPr>
        <w:jc w:val="center"/>
        <w:rPr>
          <w:rFonts w:cs="Verdana"/>
          <w:b/>
          <w:bCs/>
          <w:caps/>
          <w:snapToGrid w:val="0"/>
          <w:color w:val="000000" w:themeColor="text1"/>
          <w:szCs w:val="20"/>
          <w:lang w:val="es-CR" w:eastAsia="es-ES"/>
        </w:rPr>
      </w:pPr>
      <w:bookmarkStart w:id="4" w:name="_Toc424833993"/>
      <w:bookmarkStart w:id="5" w:name="_Toc424834594"/>
      <w:bookmarkStart w:id="6" w:name="_Toc424834677"/>
      <w:bookmarkStart w:id="7" w:name="_Toc424834744"/>
      <w:r w:rsidRPr="00F32643">
        <w:rPr>
          <w:b/>
          <w:color w:val="000000" w:themeColor="text1"/>
          <w:szCs w:val="20"/>
          <w:lang w:val="es-CR"/>
        </w:rPr>
        <w:t>(</w:t>
      </w:r>
      <w:r w:rsidRPr="00F32643">
        <w:rPr>
          <w:b/>
          <w:i/>
          <w:color w:val="000000" w:themeColor="text1"/>
          <w:szCs w:val="20"/>
          <w:lang w:val="es-CR"/>
        </w:rPr>
        <w:t xml:space="preserve">Interpretación de la Sentencia de </w:t>
      </w:r>
      <w:r w:rsidR="003F059C" w:rsidRPr="00F32643">
        <w:rPr>
          <w:b/>
          <w:i/>
          <w:color w:val="000000" w:themeColor="text1"/>
          <w:szCs w:val="20"/>
          <w:lang w:val="es-CR"/>
        </w:rPr>
        <w:t>Excepción preliminar</w:t>
      </w:r>
      <w:r w:rsidRPr="00F32643">
        <w:rPr>
          <w:b/>
          <w:i/>
          <w:color w:val="000000" w:themeColor="text1"/>
          <w:szCs w:val="20"/>
          <w:lang w:val="es-CR"/>
        </w:rPr>
        <w:t>, Fondo</w:t>
      </w:r>
      <w:r w:rsidR="003F059C" w:rsidRPr="00F32643">
        <w:rPr>
          <w:b/>
          <w:i/>
          <w:color w:val="000000" w:themeColor="text1"/>
          <w:szCs w:val="20"/>
          <w:lang w:val="es-CR"/>
        </w:rPr>
        <w:t xml:space="preserve">, </w:t>
      </w:r>
      <w:r w:rsidR="00004760" w:rsidRPr="00F32643">
        <w:rPr>
          <w:b/>
          <w:i/>
          <w:color w:val="000000" w:themeColor="text1"/>
          <w:szCs w:val="20"/>
          <w:lang w:val="es-CR"/>
        </w:rPr>
        <w:t>R</w:t>
      </w:r>
      <w:r w:rsidRPr="00F32643">
        <w:rPr>
          <w:b/>
          <w:i/>
          <w:color w:val="000000" w:themeColor="text1"/>
          <w:szCs w:val="20"/>
          <w:lang w:val="es-CR"/>
        </w:rPr>
        <w:t>eparaciones</w:t>
      </w:r>
      <w:r w:rsidR="003F059C" w:rsidRPr="00F32643">
        <w:rPr>
          <w:b/>
          <w:i/>
          <w:color w:val="000000" w:themeColor="text1"/>
          <w:szCs w:val="20"/>
          <w:lang w:val="es-CR"/>
        </w:rPr>
        <w:t xml:space="preserve"> y Costas</w:t>
      </w:r>
      <w:r w:rsidRPr="00F32643">
        <w:rPr>
          <w:b/>
          <w:color w:val="000000" w:themeColor="text1"/>
          <w:szCs w:val="20"/>
          <w:lang w:val="es-CR"/>
        </w:rPr>
        <w:t>)</w:t>
      </w:r>
      <w:bookmarkEnd w:id="4"/>
      <w:bookmarkEnd w:id="5"/>
      <w:bookmarkEnd w:id="6"/>
      <w:bookmarkEnd w:id="7"/>
    </w:p>
    <w:p w14:paraId="1B6FFC0E" w14:textId="77777777" w:rsidR="001003AC" w:rsidRPr="00F32643" w:rsidRDefault="001003AC" w:rsidP="001003AC">
      <w:pPr>
        <w:widowControl w:val="0"/>
        <w:tabs>
          <w:tab w:val="left" w:pos="567"/>
          <w:tab w:val="left" w:pos="720"/>
        </w:tabs>
        <w:adjustRightInd w:val="0"/>
        <w:textAlignment w:val="baseline"/>
        <w:rPr>
          <w:rFonts w:cs="Verdana"/>
          <w:color w:val="000000" w:themeColor="text1"/>
          <w:szCs w:val="20"/>
          <w:lang w:val="es-CR" w:eastAsia="es-CR"/>
        </w:rPr>
      </w:pPr>
    </w:p>
    <w:p w14:paraId="32256A2C" w14:textId="77777777" w:rsidR="001003AC" w:rsidRPr="00F32643" w:rsidRDefault="001003AC" w:rsidP="001003AC">
      <w:pPr>
        <w:widowControl w:val="0"/>
        <w:tabs>
          <w:tab w:val="left" w:pos="6932"/>
        </w:tabs>
        <w:adjustRightInd w:val="0"/>
        <w:textAlignment w:val="baseline"/>
        <w:rPr>
          <w:rFonts w:cs="Verdana"/>
          <w:b/>
          <w:bCs/>
          <w:color w:val="000000" w:themeColor="text1"/>
          <w:szCs w:val="20"/>
          <w:lang w:val="es-CR" w:eastAsia="es-CR"/>
        </w:rPr>
      </w:pPr>
      <w:r w:rsidRPr="00F32643">
        <w:rPr>
          <w:rFonts w:cs="Verdana"/>
          <w:b/>
          <w:bCs/>
          <w:color w:val="000000" w:themeColor="text1"/>
          <w:szCs w:val="20"/>
          <w:lang w:val="es-CR" w:eastAsia="es-CR"/>
        </w:rPr>
        <w:tab/>
      </w:r>
    </w:p>
    <w:p w14:paraId="6066DF97" w14:textId="77777777" w:rsidR="001003AC" w:rsidRPr="00F32643" w:rsidRDefault="001003AC" w:rsidP="001003AC">
      <w:pPr>
        <w:widowControl w:val="0"/>
        <w:tabs>
          <w:tab w:val="left" w:pos="567"/>
          <w:tab w:val="left" w:pos="720"/>
        </w:tabs>
        <w:adjustRightInd w:val="0"/>
        <w:textAlignment w:val="baseline"/>
        <w:rPr>
          <w:rFonts w:cs="Verdana"/>
          <w:color w:val="000000" w:themeColor="text1"/>
          <w:szCs w:val="20"/>
          <w:lang w:val="es-CR" w:eastAsia="es-CR"/>
        </w:rPr>
      </w:pPr>
    </w:p>
    <w:p w14:paraId="659C9A3D" w14:textId="52B738E1" w:rsidR="001003AC" w:rsidRPr="00F32643" w:rsidRDefault="001003AC" w:rsidP="001003AC">
      <w:pPr>
        <w:widowControl w:val="0"/>
        <w:tabs>
          <w:tab w:val="left" w:pos="567"/>
          <w:tab w:val="left" w:pos="720"/>
        </w:tabs>
        <w:adjustRightInd w:val="0"/>
        <w:textAlignment w:val="baseline"/>
        <w:rPr>
          <w:rFonts w:cs="Verdana"/>
          <w:i/>
          <w:iCs/>
          <w:color w:val="000000" w:themeColor="text1"/>
          <w:szCs w:val="20"/>
          <w:lang w:val="es-CR" w:eastAsia="es-CR"/>
        </w:rPr>
      </w:pPr>
      <w:r w:rsidRPr="00F32643">
        <w:rPr>
          <w:rFonts w:cs="Verdana"/>
          <w:color w:val="000000" w:themeColor="text1"/>
          <w:szCs w:val="20"/>
          <w:lang w:val="es-CR" w:eastAsia="es-CR"/>
        </w:rPr>
        <w:t>En el caso</w:t>
      </w:r>
      <w:r w:rsidRPr="00F32643">
        <w:rPr>
          <w:rFonts w:cs="Verdana"/>
          <w:i/>
          <w:iCs/>
          <w:color w:val="000000" w:themeColor="text1"/>
          <w:szCs w:val="20"/>
          <w:lang w:val="es-CR" w:eastAsia="es-CR"/>
        </w:rPr>
        <w:t xml:space="preserve"> </w:t>
      </w:r>
      <w:r w:rsidR="003F059C" w:rsidRPr="00F32643">
        <w:rPr>
          <w:rFonts w:cs="Verdana"/>
          <w:i/>
          <w:iCs/>
          <w:color w:val="000000" w:themeColor="text1"/>
          <w:szCs w:val="20"/>
          <w:lang w:val="es-CR" w:eastAsia="es-CR"/>
        </w:rPr>
        <w:t>Profesores de Chañaral y otras Mu</w:t>
      </w:r>
      <w:r w:rsidR="00004760" w:rsidRPr="00F32643">
        <w:rPr>
          <w:rFonts w:cs="Verdana"/>
          <w:i/>
          <w:iCs/>
          <w:color w:val="000000" w:themeColor="text1"/>
          <w:szCs w:val="20"/>
          <w:lang w:val="es-CR" w:eastAsia="es-CR"/>
        </w:rPr>
        <w:t>nicipalidades Vs. Chile</w:t>
      </w:r>
      <w:r w:rsidRPr="00F32643">
        <w:rPr>
          <w:rFonts w:cs="Verdana"/>
          <w:i/>
          <w:iCs/>
          <w:color w:val="000000" w:themeColor="text1"/>
          <w:szCs w:val="20"/>
          <w:lang w:val="es-CR" w:eastAsia="es-CR"/>
        </w:rPr>
        <w:t xml:space="preserve">, </w:t>
      </w:r>
    </w:p>
    <w:p w14:paraId="43D61610" w14:textId="77777777" w:rsidR="001003AC" w:rsidRPr="00F32643" w:rsidRDefault="001003AC" w:rsidP="001003AC">
      <w:pPr>
        <w:widowControl w:val="0"/>
        <w:tabs>
          <w:tab w:val="left" w:pos="567"/>
          <w:tab w:val="left" w:pos="720"/>
        </w:tabs>
        <w:adjustRightInd w:val="0"/>
        <w:textAlignment w:val="baseline"/>
        <w:rPr>
          <w:rFonts w:cs="Verdana"/>
          <w:color w:val="000000" w:themeColor="text1"/>
          <w:szCs w:val="20"/>
          <w:lang w:val="es-CR" w:eastAsia="es-CR"/>
        </w:rPr>
      </w:pPr>
    </w:p>
    <w:p w14:paraId="07193FFA" w14:textId="77777777" w:rsidR="001003AC" w:rsidRPr="00F32643" w:rsidRDefault="001003AC" w:rsidP="001003AC">
      <w:pPr>
        <w:widowControl w:val="0"/>
        <w:tabs>
          <w:tab w:val="left" w:pos="567"/>
          <w:tab w:val="left" w:pos="720"/>
        </w:tabs>
        <w:adjustRightInd w:val="0"/>
        <w:textAlignment w:val="baseline"/>
        <w:rPr>
          <w:rFonts w:cs="Verdana"/>
          <w:color w:val="000000" w:themeColor="text1"/>
          <w:szCs w:val="20"/>
          <w:lang w:val="es-CR" w:eastAsia="es-CR"/>
        </w:rPr>
      </w:pPr>
      <w:r w:rsidRPr="00F32643">
        <w:rPr>
          <w:rFonts w:cs="Verdana"/>
          <w:color w:val="000000" w:themeColor="text1"/>
          <w:szCs w:val="20"/>
          <w:lang w:val="es-CR" w:eastAsia="es-CR"/>
        </w:rPr>
        <w:t>la Corte Interamericana de Derechos Humanos (en adelante “la Corte Interamericana”, “la Corte” o “el Tribunal”), integrada por los siguientes jueces</w:t>
      </w:r>
      <w:r w:rsidRPr="00F32643">
        <w:rPr>
          <w:rStyle w:val="Refdenotaalpie"/>
          <w:color w:val="000000" w:themeColor="text1"/>
          <w:lang w:val="es-CR"/>
        </w:rPr>
        <w:footnoteReference w:customMarkFollows="1" w:id="1"/>
        <w:t>*</w:t>
      </w:r>
      <w:r w:rsidRPr="00F32643">
        <w:rPr>
          <w:rFonts w:cs="Verdana"/>
          <w:color w:val="000000" w:themeColor="text1"/>
          <w:szCs w:val="20"/>
          <w:lang w:val="es-CR" w:eastAsia="es-CR"/>
        </w:rPr>
        <w:t>:</w:t>
      </w:r>
    </w:p>
    <w:p w14:paraId="6EB81D54" w14:textId="77777777" w:rsidR="001003AC" w:rsidRPr="00F32643" w:rsidRDefault="001003AC" w:rsidP="001003AC">
      <w:pPr>
        <w:widowControl w:val="0"/>
        <w:tabs>
          <w:tab w:val="left" w:pos="567"/>
          <w:tab w:val="left" w:pos="720"/>
        </w:tabs>
        <w:adjustRightInd w:val="0"/>
        <w:textAlignment w:val="baseline"/>
        <w:rPr>
          <w:rFonts w:cs="Verdana"/>
          <w:color w:val="000000" w:themeColor="text1"/>
          <w:szCs w:val="20"/>
          <w:lang w:val="es-CR" w:eastAsia="es-CR"/>
        </w:rPr>
      </w:pPr>
    </w:p>
    <w:p w14:paraId="3CB89E26" w14:textId="2429852E" w:rsidR="001003AC" w:rsidRPr="00F32643" w:rsidRDefault="00342C61" w:rsidP="001003AC">
      <w:pPr>
        <w:widowControl w:val="0"/>
        <w:tabs>
          <w:tab w:val="left" w:pos="567"/>
          <w:tab w:val="left" w:pos="720"/>
        </w:tabs>
        <w:adjustRightInd w:val="0"/>
        <w:textAlignment w:val="baseline"/>
        <w:rPr>
          <w:rFonts w:cs="Verdana"/>
          <w:color w:val="000000" w:themeColor="text1"/>
          <w:szCs w:val="20"/>
          <w:lang w:val="es-CR" w:eastAsia="es-CR"/>
        </w:rPr>
      </w:pPr>
      <w:r w:rsidRPr="00F32643">
        <w:rPr>
          <w:rFonts w:cs="Verdana"/>
          <w:color w:val="000000" w:themeColor="text1"/>
          <w:szCs w:val="20"/>
          <w:lang w:val="es-CR" w:eastAsia="es-CR"/>
        </w:rPr>
        <w:t xml:space="preserve">L. </w:t>
      </w:r>
      <w:r w:rsidR="001003AC" w:rsidRPr="00F32643">
        <w:rPr>
          <w:rFonts w:cs="Verdana"/>
          <w:color w:val="000000" w:themeColor="text1"/>
          <w:szCs w:val="20"/>
          <w:lang w:val="es-CR" w:eastAsia="es-CR"/>
        </w:rPr>
        <w:t xml:space="preserve">Patricio Pazmiño Freire, </w:t>
      </w:r>
      <w:r w:rsidR="009A1495" w:rsidRPr="00F32643">
        <w:rPr>
          <w:rFonts w:cs="Verdana"/>
          <w:color w:val="000000" w:themeColor="text1"/>
          <w:szCs w:val="20"/>
          <w:lang w:val="es-CR" w:eastAsia="es-CR"/>
        </w:rPr>
        <w:t>Presidente en ejercicio</w:t>
      </w:r>
      <w:r w:rsidR="001003AC" w:rsidRPr="00F32643">
        <w:rPr>
          <w:rFonts w:cs="Verdana"/>
          <w:color w:val="000000" w:themeColor="text1"/>
          <w:szCs w:val="20"/>
          <w:lang w:val="es-CR" w:eastAsia="es-CR"/>
        </w:rPr>
        <w:t>;</w:t>
      </w:r>
    </w:p>
    <w:p w14:paraId="72AB98A2" w14:textId="67E2B641" w:rsidR="00342C61" w:rsidRPr="00F32643" w:rsidRDefault="00342C61" w:rsidP="001003AC">
      <w:pPr>
        <w:widowControl w:val="0"/>
        <w:tabs>
          <w:tab w:val="left" w:pos="567"/>
          <w:tab w:val="left" w:pos="720"/>
        </w:tabs>
        <w:adjustRightInd w:val="0"/>
        <w:textAlignment w:val="baseline"/>
        <w:rPr>
          <w:rFonts w:cs="Verdana"/>
          <w:color w:val="000000" w:themeColor="text1"/>
          <w:szCs w:val="20"/>
          <w:lang w:val="es-CR" w:eastAsia="es-CR"/>
        </w:rPr>
      </w:pPr>
      <w:r w:rsidRPr="00F32643">
        <w:rPr>
          <w:rFonts w:cs="Verdana"/>
          <w:color w:val="000000" w:themeColor="text1"/>
          <w:szCs w:val="20"/>
          <w:lang w:val="es-CR" w:eastAsia="es-CR"/>
        </w:rPr>
        <w:t>Humberto Antonio Sierra Porto, Juez</w:t>
      </w:r>
      <w:r w:rsidR="00064B3A" w:rsidRPr="00F32643">
        <w:rPr>
          <w:rFonts w:cs="Verdana"/>
          <w:color w:val="000000" w:themeColor="text1"/>
          <w:szCs w:val="20"/>
          <w:lang w:val="es-CR" w:eastAsia="es-CR"/>
        </w:rPr>
        <w:t>;</w:t>
      </w:r>
    </w:p>
    <w:p w14:paraId="0BE4C6B7" w14:textId="77777777" w:rsidR="001003AC" w:rsidRPr="00F32643" w:rsidRDefault="001003AC" w:rsidP="001003AC">
      <w:pPr>
        <w:pStyle w:val="citaindirecta"/>
        <w:tabs>
          <w:tab w:val="left" w:pos="567"/>
          <w:tab w:val="left" w:pos="851"/>
          <w:tab w:val="left" w:pos="7213"/>
        </w:tabs>
        <w:ind w:left="0" w:right="-174"/>
        <w:rPr>
          <w:color w:val="000000" w:themeColor="text1"/>
          <w:lang w:val="pt-BR"/>
        </w:rPr>
      </w:pPr>
      <w:r w:rsidRPr="00F32643">
        <w:rPr>
          <w:color w:val="000000" w:themeColor="text1"/>
          <w:lang w:val="pt-BR"/>
        </w:rPr>
        <w:t>Eduardo Ferrer Mac-Gregor Poisot, Juez;</w:t>
      </w:r>
    </w:p>
    <w:p w14:paraId="62A80257" w14:textId="77777777" w:rsidR="001003AC" w:rsidRPr="00F32643" w:rsidRDefault="001003AC" w:rsidP="001003AC">
      <w:pPr>
        <w:pStyle w:val="citaindirecta"/>
        <w:tabs>
          <w:tab w:val="left" w:pos="567"/>
          <w:tab w:val="left" w:pos="851"/>
          <w:tab w:val="left" w:pos="7213"/>
        </w:tabs>
        <w:ind w:left="0" w:right="-174"/>
        <w:rPr>
          <w:color w:val="000000" w:themeColor="text1"/>
          <w:lang w:val="es-CR"/>
        </w:rPr>
      </w:pPr>
      <w:r w:rsidRPr="00F32643">
        <w:rPr>
          <w:color w:val="000000" w:themeColor="text1"/>
          <w:lang w:val="es-CR"/>
        </w:rPr>
        <w:t>Eugenio Raúl Zaffaroni, Juez, y</w:t>
      </w:r>
      <w:r w:rsidRPr="00F32643">
        <w:rPr>
          <w:color w:val="000000" w:themeColor="text1"/>
          <w:lang w:val="es-CR"/>
        </w:rPr>
        <w:tab/>
      </w:r>
    </w:p>
    <w:p w14:paraId="626EB5B8" w14:textId="5D753FFC" w:rsidR="001003AC" w:rsidRPr="00F32643" w:rsidRDefault="001003AC" w:rsidP="001003AC">
      <w:pPr>
        <w:tabs>
          <w:tab w:val="left" w:pos="567"/>
          <w:tab w:val="left" w:pos="720"/>
          <w:tab w:val="left" w:pos="851"/>
        </w:tabs>
        <w:ind w:right="-174"/>
        <w:rPr>
          <w:rFonts w:cs="Verdana"/>
          <w:color w:val="000000" w:themeColor="text1"/>
          <w:szCs w:val="20"/>
          <w:lang w:val="es-CR"/>
        </w:rPr>
      </w:pPr>
      <w:r w:rsidRPr="00F32643">
        <w:rPr>
          <w:color w:val="000000" w:themeColor="text1"/>
          <w:szCs w:val="20"/>
          <w:lang w:val="es-CR"/>
        </w:rPr>
        <w:t>Ricardo</w:t>
      </w:r>
      <w:r w:rsidR="00342C61" w:rsidRPr="00F32643">
        <w:rPr>
          <w:color w:val="000000" w:themeColor="text1"/>
          <w:szCs w:val="20"/>
          <w:lang w:val="es-CR"/>
        </w:rPr>
        <w:t xml:space="preserve"> C.</w:t>
      </w:r>
      <w:r w:rsidRPr="00F32643">
        <w:rPr>
          <w:color w:val="000000" w:themeColor="text1"/>
          <w:szCs w:val="20"/>
          <w:lang w:val="es-CR"/>
        </w:rPr>
        <w:t xml:space="preserve"> Pérez Manrique, Juez,</w:t>
      </w:r>
    </w:p>
    <w:p w14:paraId="4C3E462F" w14:textId="77777777" w:rsidR="001003AC" w:rsidRPr="00F32643" w:rsidRDefault="001003AC" w:rsidP="001003AC">
      <w:pPr>
        <w:widowControl w:val="0"/>
        <w:tabs>
          <w:tab w:val="left" w:pos="567"/>
          <w:tab w:val="left" w:pos="720"/>
        </w:tabs>
        <w:adjustRightInd w:val="0"/>
        <w:textAlignment w:val="baseline"/>
        <w:rPr>
          <w:rFonts w:cs="Verdana"/>
          <w:color w:val="000000" w:themeColor="text1"/>
          <w:szCs w:val="20"/>
          <w:highlight w:val="yellow"/>
          <w:lang w:val="es-CR" w:eastAsia="es-CR"/>
        </w:rPr>
      </w:pPr>
    </w:p>
    <w:p w14:paraId="0C1759F6" w14:textId="77777777" w:rsidR="001003AC" w:rsidRPr="00F32643" w:rsidRDefault="001003AC" w:rsidP="001003AC">
      <w:pPr>
        <w:pStyle w:val="PrrafodeSentencia"/>
        <w:widowControl w:val="0"/>
        <w:numPr>
          <w:ilvl w:val="0"/>
          <w:numId w:val="0"/>
        </w:numPr>
        <w:tabs>
          <w:tab w:val="left" w:pos="720"/>
        </w:tabs>
        <w:adjustRightInd w:val="0"/>
        <w:textAlignment w:val="baseline"/>
        <w:rPr>
          <w:rFonts w:eastAsia="MS Mincho" w:cs="Verdana"/>
          <w:color w:val="000000" w:themeColor="text1"/>
          <w:spacing w:val="0"/>
          <w:szCs w:val="20"/>
          <w:lang w:eastAsia="es-CR"/>
        </w:rPr>
      </w:pPr>
      <w:r w:rsidRPr="00F32643">
        <w:rPr>
          <w:rFonts w:eastAsia="MS Mincho" w:cs="Verdana"/>
          <w:color w:val="000000" w:themeColor="text1"/>
          <w:spacing w:val="0"/>
          <w:szCs w:val="20"/>
          <w:lang w:eastAsia="es-CR"/>
        </w:rPr>
        <w:t>presente, además,</w:t>
      </w:r>
    </w:p>
    <w:p w14:paraId="76E2E085" w14:textId="77777777" w:rsidR="001003AC" w:rsidRPr="00F32643" w:rsidRDefault="001003AC" w:rsidP="001003AC">
      <w:pPr>
        <w:widowControl w:val="0"/>
        <w:tabs>
          <w:tab w:val="left" w:pos="567"/>
          <w:tab w:val="left" w:pos="720"/>
        </w:tabs>
        <w:adjustRightInd w:val="0"/>
        <w:textAlignment w:val="baseline"/>
        <w:rPr>
          <w:rFonts w:cs="Verdana"/>
          <w:color w:val="000000" w:themeColor="text1"/>
          <w:szCs w:val="20"/>
          <w:highlight w:val="yellow"/>
          <w:lang w:val="es-CR" w:eastAsia="es-CR"/>
        </w:rPr>
      </w:pPr>
    </w:p>
    <w:p w14:paraId="78CC4A52" w14:textId="77777777" w:rsidR="001003AC" w:rsidRPr="00F32643" w:rsidRDefault="001003AC" w:rsidP="001003AC">
      <w:pPr>
        <w:widowControl w:val="0"/>
        <w:tabs>
          <w:tab w:val="left" w:pos="567"/>
          <w:tab w:val="left" w:pos="720"/>
        </w:tabs>
        <w:adjustRightInd w:val="0"/>
        <w:textAlignment w:val="baseline"/>
        <w:rPr>
          <w:rFonts w:cs="Verdana"/>
          <w:color w:val="000000" w:themeColor="text1"/>
          <w:szCs w:val="20"/>
          <w:lang w:val="es-CR" w:eastAsia="es-CR"/>
        </w:rPr>
      </w:pPr>
      <w:r w:rsidRPr="00F32643">
        <w:rPr>
          <w:rFonts w:cs="Verdana"/>
          <w:color w:val="000000" w:themeColor="text1"/>
          <w:szCs w:val="20"/>
          <w:lang w:val="es-CR" w:eastAsia="es-CR"/>
        </w:rPr>
        <w:t>Romina I. Sijniensky, Secretaria Adjunta</w:t>
      </w:r>
      <w:r w:rsidRPr="00F32643">
        <w:rPr>
          <w:rStyle w:val="Refdenotaalpie"/>
          <w:rFonts w:cs="Verdana"/>
          <w:color w:val="000000" w:themeColor="text1"/>
          <w:lang w:val="es-CR" w:eastAsia="es-CR"/>
        </w:rPr>
        <w:footnoteReference w:customMarkFollows="1" w:id="2"/>
        <w:t>**</w:t>
      </w:r>
      <w:r w:rsidRPr="00F32643">
        <w:rPr>
          <w:rFonts w:cs="Verdana"/>
          <w:color w:val="000000" w:themeColor="text1"/>
          <w:lang w:val="es-CR" w:eastAsia="es-CR"/>
        </w:rPr>
        <w:t>,</w:t>
      </w:r>
    </w:p>
    <w:p w14:paraId="504C1D4E" w14:textId="77777777" w:rsidR="001003AC" w:rsidRPr="00F32643" w:rsidRDefault="001003AC" w:rsidP="001003AC">
      <w:pPr>
        <w:pStyle w:val="Textocomentario"/>
        <w:widowControl w:val="0"/>
        <w:tabs>
          <w:tab w:val="left" w:pos="567"/>
          <w:tab w:val="left" w:pos="720"/>
        </w:tabs>
        <w:adjustRightInd w:val="0"/>
        <w:textAlignment w:val="baseline"/>
        <w:rPr>
          <w:rFonts w:cs="Verdana"/>
          <w:strike/>
          <w:color w:val="000000" w:themeColor="text1"/>
          <w:lang w:val="es-CR" w:eastAsia="es-MX"/>
        </w:rPr>
      </w:pPr>
    </w:p>
    <w:p w14:paraId="130D1A5F" w14:textId="42F79C01" w:rsidR="001003AC" w:rsidRPr="00F32643" w:rsidRDefault="001003AC" w:rsidP="001003AC">
      <w:pPr>
        <w:pStyle w:val="Textoindependiente1"/>
        <w:tabs>
          <w:tab w:val="left" w:pos="567"/>
          <w:tab w:val="left" w:pos="720"/>
        </w:tabs>
        <w:adjustRightInd w:val="0"/>
        <w:textAlignment w:val="baseline"/>
        <w:rPr>
          <w:rFonts w:ascii="Verdana" w:hAnsi="Verdana" w:cs="Verdana"/>
          <w:color w:val="000000" w:themeColor="text1"/>
          <w:lang w:val="es-CR" w:eastAsia="es-CR"/>
        </w:rPr>
      </w:pPr>
      <w:r w:rsidRPr="00F32643">
        <w:rPr>
          <w:rFonts w:ascii="Verdana" w:hAnsi="Verdana" w:cs="Verdana"/>
          <w:color w:val="000000" w:themeColor="text1"/>
          <w:lang w:val="es-CR" w:eastAsia="es-CR"/>
        </w:rPr>
        <w:t>de conformidad con el artículo 67 de la Convención Americana sobre Derechos Humanos (en adelante también “la Convención Americana” o “la Convención”) y el artículo 68 del Reglamento de la Corte (en adelante también “el Reglamento”), resuelve la solicitud de interpretación de la S</w:t>
      </w:r>
      <w:bookmarkStart w:id="8" w:name="_Toc424833995"/>
      <w:bookmarkStart w:id="9" w:name="_Toc424834679"/>
      <w:bookmarkStart w:id="10" w:name="_Toc424834746"/>
      <w:bookmarkStart w:id="11" w:name="_Toc427234534"/>
      <w:bookmarkStart w:id="12" w:name="_Toc427342823"/>
      <w:bookmarkStart w:id="13" w:name="_Toc427663809"/>
      <w:bookmarkStart w:id="14" w:name="_Toc427932785"/>
      <w:bookmarkStart w:id="15" w:name="_Toc427943548"/>
      <w:bookmarkStart w:id="16" w:name="_Toc427943722"/>
      <w:bookmarkStart w:id="17" w:name="_Toc431584602"/>
      <w:bookmarkStart w:id="18" w:name="_Toc431584718"/>
      <w:bookmarkStart w:id="19" w:name="_Toc431585023"/>
      <w:bookmarkStart w:id="20" w:name="_Toc431646540"/>
      <w:bookmarkStart w:id="21" w:name="_Toc431834523"/>
      <w:bookmarkStart w:id="22" w:name="_Toc431834619"/>
      <w:bookmarkStart w:id="23" w:name="_Toc308537924"/>
      <w:bookmarkStart w:id="24" w:name="_Toc308538144"/>
      <w:bookmarkStart w:id="25" w:name="_Toc434849616"/>
      <w:bookmarkStart w:id="26" w:name="_Toc434849911"/>
      <w:bookmarkStart w:id="27" w:name="_Toc434850390"/>
      <w:bookmarkStart w:id="28" w:name="_Toc469594898"/>
      <w:bookmarkStart w:id="29" w:name="_Toc469664207"/>
      <w:bookmarkStart w:id="30" w:name="_Toc469664469"/>
      <w:bookmarkStart w:id="31" w:name="_Toc469940914"/>
      <w:r w:rsidRPr="00F32643">
        <w:rPr>
          <w:rFonts w:ascii="Verdana" w:hAnsi="Verdana" w:cs="Verdana"/>
          <w:color w:val="000000" w:themeColor="text1"/>
          <w:lang w:val="es-CR" w:eastAsia="es-CR"/>
        </w:rPr>
        <w:t xml:space="preserve">entencia sobre </w:t>
      </w:r>
      <w:r w:rsidR="00C337B3" w:rsidRPr="00F32643">
        <w:rPr>
          <w:rFonts w:ascii="Verdana" w:hAnsi="Verdana" w:cs="Verdana"/>
          <w:color w:val="000000" w:themeColor="text1"/>
          <w:lang w:val="es-CR" w:eastAsia="es-CR"/>
        </w:rPr>
        <w:t>Excepción Preliminar</w:t>
      </w:r>
      <w:r w:rsidRPr="00F32643">
        <w:rPr>
          <w:rFonts w:ascii="Verdana" w:hAnsi="Verdana" w:cs="Verdana"/>
          <w:color w:val="000000" w:themeColor="text1"/>
          <w:lang w:val="es-CR" w:eastAsia="es-CR"/>
        </w:rPr>
        <w:t>, Fondo</w:t>
      </w:r>
      <w:r w:rsidR="00C04293" w:rsidRPr="00F32643">
        <w:rPr>
          <w:rFonts w:ascii="Verdana" w:hAnsi="Verdana" w:cs="Verdana"/>
          <w:color w:val="000000" w:themeColor="text1"/>
          <w:lang w:val="es-CR" w:eastAsia="es-CR"/>
        </w:rPr>
        <w:t>,</w:t>
      </w:r>
      <w:r w:rsidRPr="00F32643">
        <w:rPr>
          <w:rFonts w:ascii="Verdana" w:hAnsi="Verdana" w:cs="Verdana"/>
          <w:color w:val="000000" w:themeColor="text1"/>
          <w:lang w:val="es-CR" w:eastAsia="es-CR"/>
        </w:rPr>
        <w:t xml:space="preserve"> Reparaciones</w:t>
      </w:r>
      <w:r w:rsidR="00C04293" w:rsidRPr="00F32643">
        <w:rPr>
          <w:rFonts w:ascii="Verdana" w:hAnsi="Verdana" w:cs="Verdana"/>
          <w:color w:val="000000" w:themeColor="text1"/>
          <w:lang w:val="es-CR" w:eastAsia="es-CR"/>
        </w:rPr>
        <w:t xml:space="preserve"> y Costas</w:t>
      </w:r>
      <w:r w:rsidRPr="00F32643">
        <w:rPr>
          <w:rFonts w:ascii="Verdana" w:hAnsi="Verdana" w:cs="Verdana"/>
          <w:color w:val="000000" w:themeColor="text1"/>
          <w:lang w:val="es-CR" w:eastAsia="es-CR"/>
        </w:rPr>
        <w:t xml:space="preserve"> emitida por este Tribunal el </w:t>
      </w:r>
      <w:r w:rsidR="003568A9" w:rsidRPr="00F32643">
        <w:rPr>
          <w:rFonts w:ascii="Verdana" w:hAnsi="Verdana" w:cs="Verdana"/>
          <w:color w:val="000000" w:themeColor="text1"/>
          <w:lang w:val="es-CR" w:eastAsia="es-CR"/>
        </w:rPr>
        <w:t>10 de noviembre de 2021</w:t>
      </w:r>
      <w:r w:rsidRPr="00F32643">
        <w:rPr>
          <w:rFonts w:ascii="Verdana" w:hAnsi="Verdana" w:cs="Verdana"/>
          <w:color w:val="000000" w:themeColor="text1"/>
          <w:lang w:val="es-CR" w:eastAsia="es-CR"/>
        </w:rPr>
        <w:t xml:space="preserve">, interpuesta el </w:t>
      </w:r>
      <w:r w:rsidR="00DB541B" w:rsidRPr="00F32643">
        <w:rPr>
          <w:rFonts w:ascii="Verdana" w:hAnsi="Verdana" w:cs="Verdana"/>
          <w:color w:val="000000" w:themeColor="text1"/>
          <w:lang w:val="es-CR" w:eastAsia="es-CR"/>
        </w:rPr>
        <w:t>21</w:t>
      </w:r>
      <w:r w:rsidRPr="00F32643">
        <w:rPr>
          <w:rFonts w:ascii="Verdana" w:hAnsi="Verdana" w:cs="Verdana"/>
          <w:color w:val="000000" w:themeColor="text1"/>
          <w:lang w:val="es-CR" w:eastAsia="es-CR"/>
        </w:rPr>
        <w:t xml:space="preserve"> de marzo de 202</w:t>
      </w:r>
      <w:r w:rsidR="00DB541B" w:rsidRPr="00F32643">
        <w:rPr>
          <w:rFonts w:ascii="Verdana" w:hAnsi="Verdana" w:cs="Verdana"/>
          <w:color w:val="000000" w:themeColor="text1"/>
          <w:lang w:val="es-CR" w:eastAsia="es-CR"/>
        </w:rPr>
        <w:t>2</w:t>
      </w:r>
      <w:r w:rsidRPr="00F32643">
        <w:rPr>
          <w:rFonts w:ascii="Verdana" w:hAnsi="Verdana" w:cs="Verdana"/>
          <w:color w:val="000000" w:themeColor="text1"/>
          <w:lang w:val="es-CR" w:eastAsia="es-CR"/>
        </w:rPr>
        <w:t xml:space="preserve"> por la República de </w:t>
      </w:r>
      <w:r w:rsidR="00DB541B" w:rsidRPr="00F32643">
        <w:rPr>
          <w:rFonts w:ascii="Verdana" w:hAnsi="Verdana" w:cs="Verdana"/>
          <w:color w:val="000000" w:themeColor="text1"/>
          <w:lang w:val="es-CR" w:eastAsia="es-CR"/>
        </w:rPr>
        <w:t>Chile</w:t>
      </w:r>
      <w:r w:rsidRPr="00F32643">
        <w:rPr>
          <w:rFonts w:ascii="Verdana" w:hAnsi="Verdana" w:cs="Verdana"/>
          <w:color w:val="000000" w:themeColor="text1"/>
          <w:lang w:val="es-CR" w:eastAsia="es-CR"/>
        </w:rPr>
        <w:t xml:space="preserve"> (en adelante también “el Estado” o “</w:t>
      </w:r>
      <w:r w:rsidR="00DB541B" w:rsidRPr="00F32643">
        <w:rPr>
          <w:rFonts w:ascii="Verdana" w:hAnsi="Verdana" w:cs="Verdana"/>
          <w:color w:val="000000" w:themeColor="text1"/>
          <w:lang w:val="es-CR" w:eastAsia="es-CR"/>
        </w:rPr>
        <w:t>Chile</w:t>
      </w:r>
      <w:r w:rsidRPr="00F32643">
        <w:rPr>
          <w:rFonts w:ascii="Verdana" w:hAnsi="Verdana" w:cs="Verdana"/>
          <w:color w:val="000000" w:themeColor="text1"/>
          <w:lang w:val="es-CR" w:eastAsia="es-CR"/>
        </w:rPr>
        <w:t>”).</w:t>
      </w:r>
      <w:bookmarkStart w:id="32" w:name="_Toc4402698"/>
      <w:bookmarkStart w:id="33" w:name="_Toc4402937"/>
      <w:bookmarkStart w:id="34" w:name="_Toc8209824"/>
    </w:p>
    <w:p w14:paraId="3028B8B7" w14:textId="77777777" w:rsidR="00150B6B" w:rsidRPr="00F32643" w:rsidRDefault="00150B6B" w:rsidP="001003AC">
      <w:pPr>
        <w:pStyle w:val="Textoindependiente1"/>
        <w:tabs>
          <w:tab w:val="left" w:pos="567"/>
          <w:tab w:val="left" w:pos="720"/>
        </w:tabs>
        <w:adjustRightInd w:val="0"/>
        <w:textAlignment w:val="baseline"/>
        <w:rPr>
          <w:rFonts w:ascii="Verdana" w:hAnsi="Verdana" w:cs="Verdana"/>
          <w:color w:val="000000" w:themeColor="text1"/>
          <w:lang w:val="es-CR" w:eastAsia="es-CR"/>
        </w:rPr>
      </w:pPr>
    </w:p>
    <w:p w14:paraId="78B96A9A" w14:textId="77777777" w:rsidR="001003AC" w:rsidRPr="00F32643" w:rsidRDefault="001003AC" w:rsidP="001003AC">
      <w:pPr>
        <w:pStyle w:val="Ttulo1"/>
        <w:spacing w:before="0" w:after="0"/>
        <w:rPr>
          <w:color w:val="000000" w:themeColor="text1"/>
          <w:lang w:val="es-CR"/>
        </w:rPr>
      </w:pPr>
      <w:bookmarkStart w:id="35" w:name="_Toc48736672"/>
      <w:bookmarkStart w:id="36" w:name="_Toc57872373"/>
      <w:r w:rsidRPr="00F32643">
        <w:rPr>
          <w:color w:val="000000" w:themeColor="text1"/>
          <w:lang w:val="es-CR"/>
        </w:rPr>
        <w:lastRenderedPageBreak/>
        <w:t>I</w:t>
      </w:r>
      <w:r w:rsidRPr="00F32643">
        <w:rPr>
          <w:color w:val="000000" w:themeColor="text1"/>
          <w:lang w:val="es-CR"/>
        </w:rPr>
        <w:br/>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F32643">
        <w:rPr>
          <w:color w:val="000000" w:themeColor="text1"/>
          <w:lang w:val="es-CR"/>
        </w:rPr>
        <w:t xml:space="preserve">SOLICITUD DE INTERPRETACIÓN </w:t>
      </w:r>
    </w:p>
    <w:p w14:paraId="7C3B89B5" w14:textId="77777777" w:rsidR="001003AC" w:rsidRPr="00F32643" w:rsidRDefault="001003AC" w:rsidP="001003AC">
      <w:pPr>
        <w:pStyle w:val="Ttulo1"/>
        <w:spacing w:before="0" w:after="0"/>
        <w:rPr>
          <w:color w:val="000000" w:themeColor="text1"/>
          <w:lang w:val="es-CR"/>
        </w:rPr>
      </w:pPr>
      <w:r w:rsidRPr="00F32643">
        <w:rPr>
          <w:color w:val="000000" w:themeColor="text1"/>
          <w:lang w:val="es-CR"/>
        </w:rPr>
        <w:t>Y PROCEDIMIENTO ANTE LA CORTE</w:t>
      </w:r>
    </w:p>
    <w:p w14:paraId="131ED706" w14:textId="77777777" w:rsidR="001003AC" w:rsidRPr="00F32643" w:rsidRDefault="001003AC" w:rsidP="001003AC">
      <w:pPr>
        <w:pStyle w:val="Sinespaciado"/>
        <w:tabs>
          <w:tab w:val="left" w:pos="567"/>
        </w:tabs>
        <w:contextualSpacing/>
        <w:jc w:val="both"/>
        <w:rPr>
          <w:rFonts w:ascii="Verdana" w:hAnsi="Verdana"/>
          <w:color w:val="000000" w:themeColor="text1"/>
          <w:sz w:val="20"/>
          <w:szCs w:val="20"/>
          <w:lang w:val="es-CR"/>
        </w:rPr>
      </w:pPr>
    </w:p>
    <w:p w14:paraId="212BB4CF" w14:textId="37CC8F21" w:rsidR="001003AC" w:rsidRPr="00F32643" w:rsidRDefault="001003AC" w:rsidP="001003AC">
      <w:pPr>
        <w:pStyle w:val="PrrafodeSentencia"/>
        <w:rPr>
          <w:b/>
          <w:color w:val="000000" w:themeColor="text1"/>
          <w:spacing w:val="0"/>
          <w:szCs w:val="20"/>
        </w:rPr>
      </w:pPr>
      <w:r w:rsidRPr="00F32643">
        <w:rPr>
          <w:color w:val="000000" w:themeColor="text1"/>
          <w:spacing w:val="0"/>
          <w:szCs w:val="20"/>
        </w:rPr>
        <w:t xml:space="preserve">El </w:t>
      </w:r>
      <w:r w:rsidR="00B31096" w:rsidRPr="00F32643">
        <w:rPr>
          <w:color w:val="000000" w:themeColor="text1"/>
          <w:spacing w:val="0"/>
          <w:szCs w:val="20"/>
        </w:rPr>
        <w:t>10 de noviembre de 2021</w:t>
      </w:r>
      <w:r w:rsidRPr="00F32643">
        <w:rPr>
          <w:color w:val="000000" w:themeColor="text1"/>
          <w:spacing w:val="0"/>
          <w:szCs w:val="20"/>
        </w:rPr>
        <w:t xml:space="preserve"> la Corte Interamericana emitió la Sentencia en el presente caso, la cual fue notificada a las partes y a la Comisión Interamericana de Derechos Humanos (en adelante también “la Comisión”) el </w:t>
      </w:r>
      <w:r w:rsidR="00B31096" w:rsidRPr="00F32643">
        <w:rPr>
          <w:color w:val="000000" w:themeColor="text1"/>
          <w:spacing w:val="0"/>
          <w:szCs w:val="20"/>
        </w:rPr>
        <w:t>21</w:t>
      </w:r>
      <w:r w:rsidRPr="00F32643">
        <w:rPr>
          <w:color w:val="000000" w:themeColor="text1"/>
          <w:spacing w:val="0"/>
          <w:szCs w:val="20"/>
        </w:rPr>
        <w:t xml:space="preserve"> de diciembre del mismo año.</w:t>
      </w:r>
    </w:p>
    <w:p w14:paraId="24C42272" w14:textId="77777777" w:rsidR="001003AC" w:rsidRPr="00F32643" w:rsidRDefault="001003AC" w:rsidP="001003AC">
      <w:pPr>
        <w:rPr>
          <w:color w:val="000000" w:themeColor="text1"/>
          <w:lang w:val="es-CR" w:eastAsia="es-MX"/>
        </w:rPr>
      </w:pPr>
    </w:p>
    <w:p w14:paraId="136A4090" w14:textId="0A4D8D40" w:rsidR="001003AC" w:rsidRPr="00F32643" w:rsidRDefault="001003AC" w:rsidP="001003AC">
      <w:pPr>
        <w:pStyle w:val="PrrafodeSentencia"/>
        <w:rPr>
          <w:color w:val="000000" w:themeColor="text1"/>
          <w:spacing w:val="0"/>
        </w:rPr>
      </w:pPr>
      <w:r w:rsidRPr="00F32643">
        <w:rPr>
          <w:color w:val="000000" w:themeColor="text1"/>
          <w:spacing w:val="0"/>
        </w:rPr>
        <w:t xml:space="preserve">El </w:t>
      </w:r>
      <w:r w:rsidR="00B31096" w:rsidRPr="00F32643">
        <w:rPr>
          <w:color w:val="000000" w:themeColor="text1"/>
          <w:spacing w:val="0"/>
        </w:rPr>
        <w:t xml:space="preserve">21 </w:t>
      </w:r>
      <w:r w:rsidRPr="00F32643">
        <w:rPr>
          <w:color w:val="000000" w:themeColor="text1"/>
          <w:spacing w:val="0"/>
        </w:rPr>
        <w:t>de marzo de 202</w:t>
      </w:r>
      <w:r w:rsidR="00B31096" w:rsidRPr="00F32643">
        <w:rPr>
          <w:color w:val="000000" w:themeColor="text1"/>
          <w:spacing w:val="0"/>
        </w:rPr>
        <w:t>2</w:t>
      </w:r>
      <w:r w:rsidRPr="00F32643">
        <w:rPr>
          <w:color w:val="000000" w:themeColor="text1"/>
          <w:spacing w:val="0"/>
        </w:rPr>
        <w:t xml:space="preserve"> el Estado sometió una solicitud de </w:t>
      </w:r>
      <w:r w:rsidR="001F0EE4" w:rsidRPr="00F32643">
        <w:rPr>
          <w:color w:val="000000" w:themeColor="text1"/>
          <w:spacing w:val="0"/>
        </w:rPr>
        <w:t xml:space="preserve">interpretación de la Sentencia. </w:t>
      </w:r>
      <w:r w:rsidR="00EB6306" w:rsidRPr="00F32643">
        <w:rPr>
          <w:color w:val="000000" w:themeColor="text1"/>
          <w:spacing w:val="0"/>
        </w:rPr>
        <w:t>En primer lugar, solicitó que se clarificara la expresión “tractos anuales” utilizada en el párrafo 232 de la</w:t>
      </w:r>
      <w:r w:rsidR="00820A59" w:rsidRPr="00F32643">
        <w:rPr>
          <w:color w:val="000000" w:themeColor="text1"/>
          <w:spacing w:val="0"/>
        </w:rPr>
        <w:t xml:space="preserve"> </w:t>
      </w:r>
      <w:r w:rsidR="00E00B37" w:rsidRPr="00F32643">
        <w:rPr>
          <w:color w:val="000000" w:themeColor="text1"/>
          <w:spacing w:val="0"/>
        </w:rPr>
        <w:t>S</w:t>
      </w:r>
      <w:r w:rsidR="00820A59" w:rsidRPr="00F32643">
        <w:rPr>
          <w:color w:val="000000" w:themeColor="text1"/>
          <w:spacing w:val="0"/>
        </w:rPr>
        <w:t xml:space="preserve">entencia, en donde se establece la forma de pago de los montos reconocidos como medida de restitución. </w:t>
      </w:r>
      <w:r w:rsidR="005D6C3D" w:rsidRPr="00F32643">
        <w:rPr>
          <w:color w:val="000000" w:themeColor="text1"/>
          <w:spacing w:val="0"/>
        </w:rPr>
        <w:t>En segundo lugar, solicit</w:t>
      </w:r>
      <w:r w:rsidR="001B3E37" w:rsidRPr="00F32643">
        <w:rPr>
          <w:color w:val="000000" w:themeColor="text1"/>
          <w:spacing w:val="0"/>
        </w:rPr>
        <w:t>ó</w:t>
      </w:r>
      <w:r w:rsidR="005D6C3D" w:rsidRPr="00F32643">
        <w:rPr>
          <w:color w:val="000000" w:themeColor="text1"/>
          <w:spacing w:val="0"/>
        </w:rPr>
        <w:t xml:space="preserve"> </w:t>
      </w:r>
      <w:r w:rsidR="00117304" w:rsidRPr="00F32643">
        <w:rPr>
          <w:color w:val="000000" w:themeColor="text1"/>
          <w:spacing w:val="0"/>
        </w:rPr>
        <w:t>que se estableciera con mayor precisión los criterios que operan para los</w:t>
      </w:r>
      <w:r w:rsidR="005E26AB" w:rsidRPr="00F32643">
        <w:rPr>
          <w:color w:val="000000" w:themeColor="text1"/>
          <w:spacing w:val="0"/>
        </w:rPr>
        <w:t xml:space="preserve"> pagos de los montos correspondientes a la medida de restitución</w:t>
      </w:r>
      <w:r w:rsidR="009C5870" w:rsidRPr="00F32643">
        <w:rPr>
          <w:color w:val="000000" w:themeColor="text1"/>
          <w:spacing w:val="0"/>
        </w:rPr>
        <w:t xml:space="preserve"> y las indemnizaciones compensatorias y </w:t>
      </w:r>
      <w:r w:rsidR="00465030" w:rsidRPr="00F32643">
        <w:rPr>
          <w:color w:val="000000" w:themeColor="text1"/>
          <w:spacing w:val="0"/>
        </w:rPr>
        <w:t>pago</w:t>
      </w:r>
      <w:r w:rsidR="009C5870" w:rsidRPr="00F32643">
        <w:rPr>
          <w:color w:val="000000" w:themeColor="text1"/>
          <w:spacing w:val="0"/>
        </w:rPr>
        <w:t xml:space="preserve"> de costas y gastos.</w:t>
      </w:r>
      <w:r w:rsidR="00D12CD7" w:rsidRPr="00F32643">
        <w:rPr>
          <w:color w:val="000000" w:themeColor="text1"/>
          <w:spacing w:val="0"/>
        </w:rPr>
        <w:t xml:space="preserve"> En tercer lugar, solicit</w:t>
      </w:r>
      <w:r w:rsidR="001B3E37" w:rsidRPr="00F32643">
        <w:rPr>
          <w:color w:val="000000" w:themeColor="text1"/>
          <w:spacing w:val="0"/>
        </w:rPr>
        <w:t>ó</w:t>
      </w:r>
      <w:r w:rsidR="00D12CD7" w:rsidRPr="00F32643">
        <w:rPr>
          <w:color w:val="000000" w:themeColor="text1"/>
          <w:spacing w:val="0"/>
        </w:rPr>
        <w:t xml:space="preserve"> que se ac</w:t>
      </w:r>
      <w:r w:rsidR="00465030" w:rsidRPr="00F32643">
        <w:rPr>
          <w:color w:val="000000" w:themeColor="text1"/>
          <w:spacing w:val="0"/>
        </w:rPr>
        <w:t>l</w:t>
      </w:r>
      <w:r w:rsidR="00D12CD7" w:rsidRPr="00F32643">
        <w:rPr>
          <w:color w:val="000000" w:themeColor="text1"/>
          <w:spacing w:val="0"/>
        </w:rPr>
        <w:t xml:space="preserve">arara cómo operaría el cálculo de intereses señalados en el párrafo 209 de la Sentencia, </w:t>
      </w:r>
      <w:r w:rsidR="005B215E" w:rsidRPr="00F32643">
        <w:rPr>
          <w:color w:val="000000" w:themeColor="text1"/>
          <w:spacing w:val="0"/>
        </w:rPr>
        <w:t>en relación con</w:t>
      </w:r>
      <w:r w:rsidR="00D12CD7" w:rsidRPr="00F32643">
        <w:rPr>
          <w:color w:val="000000" w:themeColor="text1"/>
          <w:spacing w:val="0"/>
        </w:rPr>
        <w:t xml:space="preserve"> los criterios establecidos en los párrafos 232 y 238 de la misma.</w:t>
      </w:r>
      <w:r w:rsidR="005B215E" w:rsidRPr="00F32643">
        <w:rPr>
          <w:color w:val="000000" w:themeColor="text1"/>
          <w:spacing w:val="0"/>
        </w:rPr>
        <w:t xml:space="preserve"> </w:t>
      </w:r>
      <w:r w:rsidR="00667247" w:rsidRPr="00F32643">
        <w:rPr>
          <w:color w:val="000000" w:themeColor="text1"/>
          <w:spacing w:val="0"/>
        </w:rPr>
        <w:t>Por otra parte, solicitó que se aclara</w:t>
      </w:r>
      <w:r w:rsidR="00A26963" w:rsidRPr="00F32643">
        <w:rPr>
          <w:color w:val="000000" w:themeColor="text1"/>
          <w:spacing w:val="0"/>
        </w:rPr>
        <w:t>ra</w:t>
      </w:r>
      <w:r w:rsidR="00B732E9" w:rsidRPr="00F32643">
        <w:rPr>
          <w:color w:val="000000" w:themeColor="text1"/>
          <w:spacing w:val="0"/>
        </w:rPr>
        <w:t xml:space="preserve"> si el reajuste a los montos ordenados como medida de restitución opera respecto de cada tracto </w:t>
      </w:r>
      <w:r w:rsidR="003F3FBB" w:rsidRPr="00F32643">
        <w:rPr>
          <w:color w:val="000000" w:themeColor="text1"/>
          <w:spacing w:val="0"/>
        </w:rPr>
        <w:t>en relación con</w:t>
      </w:r>
      <w:r w:rsidR="00B732E9" w:rsidRPr="00F32643">
        <w:rPr>
          <w:color w:val="000000" w:themeColor="text1"/>
          <w:spacing w:val="0"/>
        </w:rPr>
        <w:t xml:space="preserve"> su fecha de pago o del total de la suma ade</w:t>
      </w:r>
      <w:r w:rsidR="002D76B7" w:rsidRPr="00F32643">
        <w:rPr>
          <w:color w:val="000000" w:themeColor="text1"/>
          <w:spacing w:val="0"/>
        </w:rPr>
        <w:t>u</w:t>
      </w:r>
      <w:r w:rsidR="00B732E9" w:rsidRPr="00F32643">
        <w:rPr>
          <w:color w:val="000000" w:themeColor="text1"/>
          <w:spacing w:val="0"/>
        </w:rPr>
        <w:t>dada posterior al pago de un tracto respectivo.</w:t>
      </w:r>
      <w:r w:rsidR="003F3FBB" w:rsidRPr="00F32643">
        <w:rPr>
          <w:color w:val="000000" w:themeColor="text1"/>
          <w:spacing w:val="0"/>
        </w:rPr>
        <w:t xml:space="preserve"> En cuarto lugar, solicit</w:t>
      </w:r>
      <w:r w:rsidR="00A62224" w:rsidRPr="00F32643">
        <w:rPr>
          <w:color w:val="000000" w:themeColor="text1"/>
          <w:spacing w:val="0"/>
        </w:rPr>
        <w:t>ó</w:t>
      </w:r>
      <w:r w:rsidR="003F3FBB" w:rsidRPr="00F32643">
        <w:rPr>
          <w:color w:val="000000" w:themeColor="text1"/>
          <w:spacing w:val="0"/>
        </w:rPr>
        <w:t xml:space="preserve"> interpretar el alcance de la denominación “operadores judiciales</w:t>
      </w:r>
      <w:r w:rsidR="00282ADB" w:rsidRPr="00F32643">
        <w:rPr>
          <w:color w:val="000000" w:themeColor="text1"/>
          <w:spacing w:val="0"/>
        </w:rPr>
        <w:t>” señalada en el párrafo 2</w:t>
      </w:r>
      <w:r w:rsidR="00A7635B" w:rsidRPr="00F32643">
        <w:rPr>
          <w:color w:val="000000" w:themeColor="text1"/>
          <w:spacing w:val="0"/>
        </w:rPr>
        <w:t>1</w:t>
      </w:r>
      <w:r w:rsidR="00282ADB" w:rsidRPr="00F32643">
        <w:rPr>
          <w:color w:val="000000" w:themeColor="text1"/>
          <w:spacing w:val="0"/>
        </w:rPr>
        <w:t xml:space="preserve">6 de la Sentencia </w:t>
      </w:r>
      <w:r w:rsidR="00A62224" w:rsidRPr="00F32643">
        <w:rPr>
          <w:color w:val="000000" w:themeColor="text1"/>
          <w:spacing w:val="0"/>
        </w:rPr>
        <w:t>en relación con</w:t>
      </w:r>
      <w:r w:rsidR="00282ADB" w:rsidRPr="00F32643">
        <w:rPr>
          <w:color w:val="000000" w:themeColor="text1"/>
          <w:spacing w:val="0"/>
        </w:rPr>
        <w:t xml:space="preserve"> las garantías de no repetición. </w:t>
      </w:r>
      <w:r w:rsidR="00A62224" w:rsidRPr="00F32643">
        <w:rPr>
          <w:color w:val="000000" w:themeColor="text1"/>
          <w:spacing w:val="0"/>
        </w:rPr>
        <w:t xml:space="preserve">Finalmente, solicitó </w:t>
      </w:r>
      <w:r w:rsidR="00226B2A" w:rsidRPr="00F32643">
        <w:rPr>
          <w:color w:val="000000" w:themeColor="text1"/>
          <w:spacing w:val="0"/>
        </w:rPr>
        <w:t xml:space="preserve">que se interprete si el mecanismo señalado en el párrafo 234 para poder solucionar </w:t>
      </w:r>
      <w:r w:rsidR="00073D3B" w:rsidRPr="00F32643">
        <w:rPr>
          <w:color w:val="000000" w:themeColor="text1"/>
          <w:spacing w:val="0"/>
        </w:rPr>
        <w:t>la situación</w:t>
      </w:r>
      <w:r w:rsidR="00226B2A" w:rsidRPr="00F32643">
        <w:rPr>
          <w:color w:val="000000" w:themeColor="text1"/>
          <w:spacing w:val="0"/>
        </w:rPr>
        <w:t xml:space="preserve"> de aquellas víctimas fallecidas respecto de las cuales no se pudo determinar sus herederos, es sólo aplicable para los tres casos identificados en ese párrafo o si sería aplicable para todo el resto de los casos en donde no se pueda determinar la sucesión de las víctimas fallecidas para</w:t>
      </w:r>
      <w:r w:rsidR="00F46387" w:rsidRPr="00F32643">
        <w:rPr>
          <w:color w:val="000000" w:themeColor="text1"/>
          <w:spacing w:val="0"/>
        </w:rPr>
        <w:t xml:space="preserve"> realizar el pago.</w:t>
      </w:r>
    </w:p>
    <w:p w14:paraId="6E3BA349" w14:textId="77777777" w:rsidR="001003AC" w:rsidRPr="00F32643" w:rsidRDefault="001003AC" w:rsidP="001003AC">
      <w:pPr>
        <w:rPr>
          <w:color w:val="000000" w:themeColor="text1"/>
          <w:lang w:val="es-CR" w:eastAsia="es-MX"/>
        </w:rPr>
      </w:pPr>
    </w:p>
    <w:p w14:paraId="00F41299" w14:textId="3A570E0A" w:rsidR="001003AC" w:rsidRPr="00F32643" w:rsidRDefault="001003AC" w:rsidP="001003AC">
      <w:pPr>
        <w:pStyle w:val="PrrafodeSentencia"/>
        <w:rPr>
          <w:color w:val="000000" w:themeColor="text1"/>
          <w:spacing w:val="0"/>
        </w:rPr>
      </w:pPr>
      <w:r w:rsidRPr="00F32643">
        <w:rPr>
          <w:color w:val="000000" w:themeColor="text1"/>
          <w:spacing w:val="0"/>
        </w:rPr>
        <w:t>El 2</w:t>
      </w:r>
      <w:r w:rsidR="00F11BA5" w:rsidRPr="00F32643">
        <w:rPr>
          <w:color w:val="000000" w:themeColor="text1"/>
          <w:spacing w:val="0"/>
        </w:rPr>
        <w:t>3</w:t>
      </w:r>
      <w:r w:rsidRPr="00F32643">
        <w:rPr>
          <w:color w:val="000000" w:themeColor="text1"/>
          <w:spacing w:val="0"/>
        </w:rPr>
        <w:t xml:space="preserve"> de marzo de 202</w:t>
      </w:r>
      <w:r w:rsidR="00F11BA5" w:rsidRPr="00F32643">
        <w:rPr>
          <w:color w:val="000000" w:themeColor="text1"/>
          <w:spacing w:val="0"/>
        </w:rPr>
        <w:t>2</w:t>
      </w:r>
      <w:r w:rsidRPr="00F32643">
        <w:rPr>
          <w:color w:val="000000" w:themeColor="text1"/>
          <w:spacing w:val="0"/>
        </w:rPr>
        <w:t>, de conformidad con el artículo 68.2 del Reglamento y siguiendo instrucciones de la Presiden</w:t>
      </w:r>
      <w:r w:rsidR="00F11BA5" w:rsidRPr="00F32643">
        <w:rPr>
          <w:color w:val="000000" w:themeColor="text1"/>
          <w:spacing w:val="0"/>
        </w:rPr>
        <w:t>cia</w:t>
      </w:r>
      <w:r w:rsidRPr="00F32643">
        <w:rPr>
          <w:color w:val="000000" w:themeColor="text1"/>
          <w:spacing w:val="0"/>
        </w:rPr>
        <w:t xml:space="preserve"> de la Corte, la Secretaría de la Corte transmitió la referida solicitud de interpretación a los representantes de la</w:t>
      </w:r>
      <w:r w:rsidR="000054EB" w:rsidRPr="00F32643">
        <w:rPr>
          <w:color w:val="000000" w:themeColor="text1"/>
          <w:spacing w:val="0"/>
        </w:rPr>
        <w:t>s</w:t>
      </w:r>
      <w:r w:rsidRPr="00F32643">
        <w:rPr>
          <w:color w:val="000000" w:themeColor="text1"/>
          <w:spacing w:val="0"/>
        </w:rPr>
        <w:t xml:space="preserve"> víctima</w:t>
      </w:r>
      <w:r w:rsidR="000054EB" w:rsidRPr="00F32643">
        <w:rPr>
          <w:color w:val="000000" w:themeColor="text1"/>
          <w:spacing w:val="0"/>
        </w:rPr>
        <w:t>s</w:t>
      </w:r>
      <w:r w:rsidRPr="00F32643">
        <w:rPr>
          <w:color w:val="000000" w:themeColor="text1"/>
          <w:spacing w:val="0"/>
        </w:rPr>
        <w:t xml:space="preserve"> (en adelante “los representantes”)</w:t>
      </w:r>
      <w:r w:rsidRPr="00F32643">
        <w:rPr>
          <w:rStyle w:val="Refdenotaalpie"/>
          <w:color w:val="000000" w:themeColor="text1"/>
          <w:spacing w:val="0"/>
        </w:rPr>
        <w:footnoteReference w:id="3"/>
      </w:r>
      <w:r w:rsidRPr="00F32643">
        <w:rPr>
          <w:color w:val="000000" w:themeColor="text1"/>
          <w:spacing w:val="0"/>
        </w:rPr>
        <w:t xml:space="preserve"> y a la Comisión</w:t>
      </w:r>
      <w:r w:rsidR="000054EB" w:rsidRPr="00F32643">
        <w:rPr>
          <w:color w:val="000000" w:themeColor="text1"/>
          <w:spacing w:val="0"/>
        </w:rPr>
        <w:t xml:space="preserve"> Interamericana de Derechos Humanos</w:t>
      </w:r>
      <w:r w:rsidRPr="00F32643">
        <w:rPr>
          <w:color w:val="000000" w:themeColor="text1"/>
          <w:spacing w:val="0"/>
        </w:rPr>
        <w:t>, y les otorgó un plazo para que, a más tardar el 2</w:t>
      </w:r>
      <w:r w:rsidR="006B327D" w:rsidRPr="00F32643">
        <w:rPr>
          <w:color w:val="000000" w:themeColor="text1"/>
          <w:spacing w:val="0"/>
        </w:rPr>
        <w:t>5</w:t>
      </w:r>
      <w:r w:rsidRPr="00F32643">
        <w:rPr>
          <w:color w:val="000000" w:themeColor="text1"/>
          <w:spacing w:val="0"/>
        </w:rPr>
        <w:t xml:space="preserve"> de abril de 202</w:t>
      </w:r>
      <w:r w:rsidR="006B327D" w:rsidRPr="00F32643">
        <w:rPr>
          <w:color w:val="000000" w:themeColor="text1"/>
          <w:spacing w:val="0"/>
        </w:rPr>
        <w:t>2</w:t>
      </w:r>
      <w:r w:rsidRPr="00F32643">
        <w:rPr>
          <w:color w:val="000000" w:themeColor="text1"/>
          <w:spacing w:val="0"/>
        </w:rPr>
        <w:t xml:space="preserve">, presentaran por escrito las observaciones que estimaran pertinentes. </w:t>
      </w:r>
      <w:r w:rsidR="008A18CE" w:rsidRPr="00F32643">
        <w:rPr>
          <w:color w:val="000000" w:themeColor="text1"/>
          <w:spacing w:val="0"/>
        </w:rPr>
        <w:t>El 25 de abril de 2022</w:t>
      </w:r>
      <w:r w:rsidRPr="00F32643">
        <w:rPr>
          <w:color w:val="000000" w:themeColor="text1"/>
          <w:spacing w:val="0"/>
        </w:rPr>
        <w:t xml:space="preserve"> los representantes y la Comisión remitieron sus</w:t>
      </w:r>
      <w:r w:rsidR="00EF5A05" w:rsidRPr="00F32643">
        <w:rPr>
          <w:color w:val="000000" w:themeColor="text1"/>
          <w:spacing w:val="0"/>
        </w:rPr>
        <w:t xml:space="preserve"> respectivas</w:t>
      </w:r>
      <w:r w:rsidRPr="00F32643">
        <w:rPr>
          <w:color w:val="000000" w:themeColor="text1"/>
          <w:spacing w:val="0"/>
        </w:rPr>
        <w:t xml:space="preserve"> observaciones.</w:t>
      </w:r>
    </w:p>
    <w:p w14:paraId="2E7A1A6D" w14:textId="77777777" w:rsidR="001003AC" w:rsidRPr="00F32643" w:rsidRDefault="001003AC" w:rsidP="001003AC">
      <w:pPr>
        <w:rPr>
          <w:color w:val="000000" w:themeColor="text1"/>
          <w:szCs w:val="20"/>
          <w:lang w:val="es-CR" w:eastAsia="es-MX"/>
        </w:rPr>
      </w:pPr>
    </w:p>
    <w:p w14:paraId="1D548CD6" w14:textId="77777777" w:rsidR="001003AC" w:rsidRPr="00F32643" w:rsidRDefault="001003AC" w:rsidP="001003AC">
      <w:pPr>
        <w:pStyle w:val="Ttulo1"/>
        <w:spacing w:before="0" w:after="0"/>
        <w:rPr>
          <w:color w:val="000000" w:themeColor="text1"/>
          <w:lang w:val="es-CR"/>
        </w:rPr>
      </w:pPr>
      <w:bookmarkStart w:id="37" w:name="_Toc424834680"/>
      <w:bookmarkStart w:id="38" w:name="_Toc427932786"/>
      <w:bookmarkStart w:id="39" w:name="_Toc431584603"/>
      <w:bookmarkStart w:id="40" w:name="_Toc434850391"/>
      <w:bookmarkStart w:id="41" w:name="_Toc469593448"/>
      <w:bookmarkStart w:id="42" w:name="_Toc469594431"/>
      <w:bookmarkStart w:id="43" w:name="_Toc469594533"/>
      <w:bookmarkStart w:id="44" w:name="_Toc469594796"/>
      <w:bookmarkStart w:id="45" w:name="_Toc469594899"/>
      <w:bookmarkStart w:id="46" w:name="_Toc469940915"/>
      <w:bookmarkStart w:id="47" w:name="_Toc4402699"/>
      <w:bookmarkStart w:id="48" w:name="_Toc4402938"/>
      <w:bookmarkStart w:id="49" w:name="_Toc8209825"/>
      <w:bookmarkStart w:id="50" w:name="_Toc48736673"/>
      <w:bookmarkStart w:id="51" w:name="_Toc57872374"/>
      <w:r w:rsidRPr="00F32643">
        <w:rPr>
          <w:color w:val="000000" w:themeColor="text1"/>
          <w:lang w:val="es-CR"/>
        </w:rPr>
        <w:t>II</w:t>
      </w:r>
      <w:bookmarkStart w:id="52" w:name="_Toc424833997"/>
      <w:bookmarkStart w:id="53" w:name="_Toc424834681"/>
      <w:bookmarkStart w:id="54" w:name="_Toc424834748"/>
      <w:bookmarkStart w:id="55" w:name="_Toc427342825"/>
      <w:bookmarkStart w:id="56" w:name="_Toc427663811"/>
      <w:bookmarkStart w:id="57" w:name="_Toc427932787"/>
      <w:bookmarkStart w:id="58" w:name="_Toc427943550"/>
      <w:bookmarkStart w:id="59" w:name="_Toc427943724"/>
      <w:bookmarkStart w:id="60" w:name="_Toc431584604"/>
      <w:bookmarkStart w:id="61" w:name="_Toc431584720"/>
      <w:bookmarkStart w:id="62" w:name="_Toc431585025"/>
      <w:bookmarkStart w:id="63" w:name="_Toc431646542"/>
      <w:bookmarkStart w:id="64" w:name="_Toc431834525"/>
      <w:bookmarkStart w:id="65" w:name="_Toc431834621"/>
      <w:bookmarkStart w:id="66" w:name="_Toc308537926"/>
      <w:bookmarkStart w:id="67" w:name="_Toc308538146"/>
      <w:bookmarkStart w:id="68" w:name="_Toc434849913"/>
      <w:bookmarkStart w:id="69" w:name="_Toc434850392"/>
      <w:bookmarkStart w:id="70" w:name="_Toc469594900"/>
      <w:bookmarkStart w:id="71" w:name="_Toc469664209"/>
      <w:bookmarkStart w:id="72" w:name="_Toc469664471"/>
      <w:bookmarkStart w:id="73" w:name="_Toc469940916"/>
      <w:bookmarkEnd w:id="37"/>
      <w:bookmarkEnd w:id="38"/>
      <w:bookmarkEnd w:id="39"/>
      <w:bookmarkEnd w:id="40"/>
      <w:bookmarkEnd w:id="41"/>
      <w:bookmarkEnd w:id="42"/>
      <w:bookmarkEnd w:id="43"/>
      <w:bookmarkEnd w:id="44"/>
      <w:bookmarkEnd w:id="45"/>
      <w:bookmarkEnd w:id="46"/>
      <w:r w:rsidRPr="00F32643">
        <w:rPr>
          <w:color w:val="000000" w:themeColor="text1"/>
          <w:lang w:val="es-CR"/>
        </w:rPr>
        <w:br/>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F32643">
        <w:rPr>
          <w:color w:val="000000" w:themeColor="text1"/>
          <w:lang w:val="es-CR"/>
        </w:rPr>
        <w:t>Competencia</w:t>
      </w:r>
    </w:p>
    <w:p w14:paraId="4FABA66D" w14:textId="77777777" w:rsidR="001003AC" w:rsidRPr="00F32643" w:rsidRDefault="001003AC" w:rsidP="001003AC">
      <w:pPr>
        <w:contextualSpacing/>
        <w:rPr>
          <w:color w:val="000000" w:themeColor="text1"/>
          <w:szCs w:val="20"/>
          <w:lang w:val="es-CR"/>
        </w:rPr>
      </w:pPr>
    </w:p>
    <w:p w14:paraId="071C7A08" w14:textId="77777777" w:rsidR="001003AC" w:rsidRPr="00F32643" w:rsidRDefault="001003AC" w:rsidP="001003AC">
      <w:pPr>
        <w:pStyle w:val="PrrafodeSentencia"/>
        <w:rPr>
          <w:color w:val="000000" w:themeColor="text1"/>
          <w:spacing w:val="0"/>
          <w:szCs w:val="20"/>
        </w:rPr>
      </w:pPr>
      <w:bookmarkStart w:id="74" w:name="_Ref308343867"/>
      <w:bookmarkStart w:id="75" w:name="_Ref357172044"/>
      <w:bookmarkStart w:id="76" w:name="_Ref464815038"/>
      <w:r w:rsidRPr="00F32643">
        <w:rPr>
          <w:color w:val="000000" w:themeColor="text1"/>
          <w:spacing w:val="0"/>
          <w:szCs w:val="20"/>
        </w:rPr>
        <w:t>El artículo 67 de la Convención Americana establece:</w:t>
      </w:r>
    </w:p>
    <w:p w14:paraId="6A823934" w14:textId="77777777" w:rsidR="001003AC" w:rsidRPr="00F32643" w:rsidRDefault="001003AC" w:rsidP="001003AC">
      <w:pPr>
        <w:rPr>
          <w:color w:val="000000" w:themeColor="text1"/>
          <w:lang w:val="es-CR" w:eastAsia="es-MX"/>
        </w:rPr>
      </w:pPr>
    </w:p>
    <w:p w14:paraId="20D977DA" w14:textId="77777777" w:rsidR="001003AC" w:rsidRPr="00F32643" w:rsidRDefault="001003AC" w:rsidP="001003AC">
      <w:pPr>
        <w:ind w:left="567" w:right="567"/>
        <w:rPr>
          <w:color w:val="000000" w:themeColor="text1"/>
          <w:sz w:val="18"/>
          <w:szCs w:val="18"/>
          <w:lang w:val="es-CR" w:eastAsia="es-MX"/>
        </w:rPr>
      </w:pPr>
      <w:r w:rsidRPr="00F32643">
        <w:rPr>
          <w:color w:val="000000" w:themeColor="text1"/>
          <w:sz w:val="18"/>
          <w:szCs w:val="18"/>
          <w:lang w:val="es-CR" w:eastAsia="es-MX"/>
        </w:rPr>
        <w:t>El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w:t>
      </w:r>
    </w:p>
    <w:p w14:paraId="51D7B89E" w14:textId="77777777" w:rsidR="001003AC" w:rsidRPr="00F32643" w:rsidRDefault="001003AC" w:rsidP="001003AC">
      <w:pPr>
        <w:pStyle w:val="PrrafodeSentencia"/>
        <w:numPr>
          <w:ilvl w:val="0"/>
          <w:numId w:val="0"/>
        </w:numPr>
        <w:rPr>
          <w:b/>
          <w:color w:val="000000" w:themeColor="text1"/>
          <w:spacing w:val="0"/>
          <w:szCs w:val="20"/>
        </w:rPr>
      </w:pPr>
      <w:r w:rsidRPr="00F32643">
        <w:rPr>
          <w:color w:val="000000" w:themeColor="text1"/>
          <w:spacing w:val="0"/>
          <w:szCs w:val="20"/>
        </w:rPr>
        <w:tab/>
      </w:r>
    </w:p>
    <w:bookmarkEnd w:id="74"/>
    <w:bookmarkEnd w:id="75"/>
    <w:bookmarkEnd w:id="76"/>
    <w:p w14:paraId="5BD257BE" w14:textId="03E0F1F1" w:rsidR="001003AC" w:rsidRPr="00F32643" w:rsidRDefault="001003AC" w:rsidP="001003AC">
      <w:pPr>
        <w:pStyle w:val="PrrafodeSentencia"/>
        <w:rPr>
          <w:b/>
          <w:color w:val="000000" w:themeColor="text1"/>
          <w:spacing w:val="0"/>
          <w:szCs w:val="20"/>
        </w:rPr>
      </w:pPr>
      <w:r w:rsidRPr="00F32643">
        <w:rPr>
          <w:color w:val="000000" w:themeColor="text1"/>
          <w:spacing w:val="0"/>
          <w:szCs w:val="20"/>
        </w:rPr>
        <w:t xml:space="preserve">De conformidad con el artículo citado, la Corte Interamericana es competente para interpretar sus fallos. Para realizar el examen de las solicitudes de interpretación y resolver lo que a este respecto corresponda, este Tribunal debe tener, si es posible, la </w:t>
      </w:r>
      <w:r w:rsidRPr="00F32643">
        <w:rPr>
          <w:color w:val="000000" w:themeColor="text1"/>
          <w:spacing w:val="0"/>
          <w:szCs w:val="20"/>
        </w:rPr>
        <w:lastRenderedPageBreak/>
        <w:t>misma composición que tenía al dictar la Sentencia respectiva, de acuerdo con el artículo 68.3 del Reglamento. En esta ocasión, la Corte está integrada</w:t>
      </w:r>
      <w:r w:rsidR="00EE32D4" w:rsidRPr="00F32643">
        <w:rPr>
          <w:color w:val="000000" w:themeColor="text1"/>
        </w:rPr>
        <w:t>, en su mayoría,</w:t>
      </w:r>
      <w:r w:rsidRPr="00F32643">
        <w:rPr>
          <w:color w:val="000000" w:themeColor="text1"/>
          <w:spacing w:val="0"/>
          <w:szCs w:val="20"/>
        </w:rPr>
        <w:t xml:space="preserve"> por los mismos Jueces que dictaron la Sentencia cuya interpretación ha sido solicitada.</w:t>
      </w:r>
    </w:p>
    <w:p w14:paraId="2F7D05C4" w14:textId="77777777" w:rsidR="001003AC" w:rsidRPr="00F32643" w:rsidRDefault="001003AC" w:rsidP="001003AC">
      <w:pPr>
        <w:rPr>
          <w:color w:val="000000" w:themeColor="text1"/>
          <w:lang w:val="es-CR" w:eastAsia="es-MX"/>
        </w:rPr>
      </w:pPr>
    </w:p>
    <w:p w14:paraId="6A52FFB3" w14:textId="77777777" w:rsidR="001003AC" w:rsidRPr="00F32643" w:rsidRDefault="001003AC" w:rsidP="001003AC">
      <w:pPr>
        <w:pStyle w:val="Ttulo1"/>
        <w:spacing w:before="0" w:after="0"/>
        <w:rPr>
          <w:snapToGrid w:val="0"/>
          <w:color w:val="000000" w:themeColor="text1"/>
          <w:szCs w:val="20"/>
          <w:lang w:val="es-CR"/>
        </w:rPr>
      </w:pPr>
      <w:bookmarkStart w:id="77" w:name="_Toc424834682"/>
      <w:bookmarkStart w:id="78" w:name="_Toc427932788"/>
      <w:bookmarkStart w:id="79" w:name="_Toc431584605"/>
      <w:bookmarkStart w:id="80" w:name="_Toc434850393"/>
      <w:bookmarkStart w:id="81" w:name="_Toc469593450"/>
      <w:bookmarkStart w:id="82" w:name="_Toc469594433"/>
      <w:bookmarkStart w:id="83" w:name="_Toc469594535"/>
      <w:bookmarkStart w:id="84" w:name="_Toc469594798"/>
      <w:bookmarkStart w:id="85" w:name="_Toc469594901"/>
      <w:bookmarkStart w:id="86" w:name="_Toc469940917"/>
      <w:bookmarkStart w:id="87" w:name="_Toc4402700"/>
      <w:bookmarkStart w:id="88" w:name="_Toc4402939"/>
      <w:bookmarkStart w:id="89" w:name="_Toc8209826"/>
      <w:bookmarkStart w:id="90" w:name="_Toc48736674"/>
      <w:bookmarkStart w:id="91" w:name="_Toc57872375"/>
      <w:r w:rsidRPr="00F32643">
        <w:rPr>
          <w:snapToGrid w:val="0"/>
          <w:color w:val="000000" w:themeColor="text1"/>
          <w:szCs w:val="20"/>
          <w:lang w:val="es-CR"/>
        </w:rPr>
        <w:t>III</w:t>
      </w:r>
      <w:bookmarkStart w:id="92" w:name="_Toc375062724"/>
      <w:bookmarkStart w:id="93" w:name="_Toc375140874"/>
      <w:bookmarkStart w:id="94" w:name="_Toc375504833"/>
      <w:bookmarkStart w:id="95" w:name="_Toc375560907"/>
      <w:bookmarkStart w:id="96" w:name="_Toc395213493"/>
      <w:bookmarkStart w:id="97" w:name="_Toc396514850"/>
      <w:bookmarkStart w:id="98" w:name="_Toc396515126"/>
      <w:bookmarkStart w:id="99" w:name="_Toc402039405"/>
      <w:bookmarkStart w:id="100" w:name="_Toc403670648"/>
      <w:bookmarkStart w:id="101" w:name="_Toc403671384"/>
      <w:bookmarkStart w:id="102" w:name="_Toc405774576"/>
      <w:bookmarkStart w:id="103" w:name="_Toc405857779"/>
      <w:bookmarkStart w:id="104" w:name="_Toc424833999"/>
      <w:bookmarkStart w:id="105" w:name="_Toc424834683"/>
      <w:bookmarkStart w:id="106" w:name="_Toc424834750"/>
      <w:bookmarkStart w:id="107" w:name="_Toc427234538"/>
      <w:bookmarkStart w:id="108" w:name="_Toc427342827"/>
      <w:bookmarkStart w:id="109" w:name="_Toc427663813"/>
      <w:bookmarkStart w:id="110" w:name="_Toc427932789"/>
      <w:bookmarkStart w:id="111" w:name="_Toc427943552"/>
      <w:bookmarkStart w:id="112" w:name="_Toc427943726"/>
      <w:bookmarkStart w:id="113" w:name="_Toc431584606"/>
      <w:bookmarkStart w:id="114" w:name="_Toc431584722"/>
      <w:bookmarkStart w:id="115" w:name="_Toc431585027"/>
      <w:bookmarkStart w:id="116" w:name="_Toc431646544"/>
      <w:bookmarkStart w:id="117" w:name="_Toc431834623"/>
      <w:bookmarkStart w:id="118" w:name="_Toc308537928"/>
      <w:bookmarkStart w:id="119" w:name="_Toc308538148"/>
      <w:bookmarkStart w:id="120" w:name="_Toc434849915"/>
      <w:bookmarkStart w:id="121" w:name="_Toc434850394"/>
      <w:bookmarkStart w:id="122" w:name="_Toc469594902"/>
      <w:bookmarkStart w:id="123" w:name="_Toc469664211"/>
      <w:bookmarkStart w:id="124" w:name="_Toc469664473"/>
      <w:bookmarkStart w:id="125" w:name="_Toc469940918"/>
      <w:bookmarkEnd w:id="77"/>
      <w:bookmarkEnd w:id="78"/>
      <w:bookmarkEnd w:id="79"/>
      <w:bookmarkEnd w:id="80"/>
      <w:bookmarkEnd w:id="81"/>
      <w:bookmarkEnd w:id="82"/>
      <w:bookmarkEnd w:id="83"/>
      <w:bookmarkEnd w:id="84"/>
      <w:bookmarkEnd w:id="85"/>
      <w:bookmarkEnd w:id="86"/>
      <w:r w:rsidRPr="00F32643">
        <w:rPr>
          <w:snapToGrid w:val="0"/>
          <w:color w:val="000000" w:themeColor="text1"/>
          <w:szCs w:val="20"/>
          <w:lang w:val="es-CR"/>
        </w:rPr>
        <w:br/>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Pr="00F32643">
        <w:rPr>
          <w:snapToGrid w:val="0"/>
          <w:color w:val="000000" w:themeColor="text1"/>
          <w:szCs w:val="20"/>
          <w:lang w:val="es-CR"/>
        </w:rPr>
        <w:t>Admisibilidad</w:t>
      </w:r>
    </w:p>
    <w:p w14:paraId="0D286B85" w14:textId="77777777" w:rsidR="001003AC" w:rsidRPr="00F32643" w:rsidRDefault="001003AC" w:rsidP="001003AC">
      <w:pPr>
        <w:rPr>
          <w:color w:val="000000" w:themeColor="text1"/>
          <w:lang w:val="es-CR"/>
        </w:rPr>
      </w:pPr>
    </w:p>
    <w:p w14:paraId="62B17999" w14:textId="3916FD5B" w:rsidR="001003AC" w:rsidRPr="00F32643" w:rsidRDefault="001003AC" w:rsidP="001003AC">
      <w:pPr>
        <w:pStyle w:val="PrrafodeSentencia"/>
        <w:rPr>
          <w:color w:val="000000" w:themeColor="text1"/>
          <w:spacing w:val="0"/>
          <w:szCs w:val="20"/>
        </w:rPr>
      </w:pPr>
      <w:r w:rsidRPr="00F32643">
        <w:rPr>
          <w:color w:val="000000" w:themeColor="text1"/>
          <w:spacing w:val="0"/>
          <w:szCs w:val="20"/>
        </w:rPr>
        <w:t>Corresponde a la Corte verificar si la solicitud presentada por el Estado cumple con los requisitos establecidos en las normas aplicables a una solicitud de interpretación de Sentencia, a saber, el artículo 67 de la Convención anteriormente citado, y el artículo 68 del Reglamento</w:t>
      </w:r>
      <w:r w:rsidR="00976776" w:rsidRPr="00F32643">
        <w:rPr>
          <w:rStyle w:val="Refdenotaalpie"/>
          <w:color w:val="000000" w:themeColor="text1"/>
          <w:spacing w:val="0"/>
        </w:rPr>
        <w:footnoteReference w:id="4"/>
      </w:r>
      <w:r w:rsidRPr="00F32643">
        <w:rPr>
          <w:color w:val="000000" w:themeColor="text1"/>
          <w:spacing w:val="0"/>
          <w:szCs w:val="20"/>
        </w:rPr>
        <w:t xml:space="preserve">. </w:t>
      </w:r>
      <w:r w:rsidR="00E00B37" w:rsidRPr="00F32643">
        <w:rPr>
          <w:color w:val="000000" w:themeColor="text1"/>
          <w:spacing w:val="0"/>
          <w:szCs w:val="20"/>
        </w:rPr>
        <w:t>Asimismo, el artículo 31.3 del Reglamento establece que “[c]ontra las sentencias y resoluciones de la Corte no procede ningún medio de impugnación”.</w:t>
      </w:r>
    </w:p>
    <w:p w14:paraId="4D92C9D5" w14:textId="77777777" w:rsidR="001003AC" w:rsidRPr="00F32643" w:rsidRDefault="001003AC" w:rsidP="001003AC">
      <w:pPr>
        <w:rPr>
          <w:color w:val="000000" w:themeColor="text1"/>
          <w:lang w:val="es-CR" w:eastAsia="es-MX"/>
        </w:rPr>
      </w:pPr>
    </w:p>
    <w:p w14:paraId="1355D5C3" w14:textId="6BD9EA61" w:rsidR="001003AC" w:rsidRPr="00F32643" w:rsidRDefault="00B32A4F" w:rsidP="001003AC">
      <w:pPr>
        <w:pStyle w:val="PrrafodeSentencia"/>
        <w:rPr>
          <w:color w:val="000000" w:themeColor="text1"/>
          <w:spacing w:val="0"/>
        </w:rPr>
      </w:pPr>
      <w:r w:rsidRPr="00F32643">
        <w:rPr>
          <w:color w:val="000000" w:themeColor="text1"/>
          <w:spacing w:val="0"/>
        </w:rPr>
        <w:t xml:space="preserve">La Corte nota que las partes fueron notificadas de la Sentencia el </w:t>
      </w:r>
      <w:r w:rsidR="00370AE5" w:rsidRPr="00F32643">
        <w:rPr>
          <w:color w:val="000000" w:themeColor="text1"/>
          <w:spacing w:val="0"/>
        </w:rPr>
        <w:t>21 de diciembre de 2021 y el Estado presentó su solicitud de interpretación el 21 de marzo de 2022, dentro del plazo</w:t>
      </w:r>
      <w:r w:rsidR="00CD1852" w:rsidRPr="00F32643">
        <w:rPr>
          <w:color w:val="000000" w:themeColor="text1"/>
          <w:spacing w:val="0"/>
        </w:rPr>
        <w:t xml:space="preserve"> de 90 días</w:t>
      </w:r>
      <w:r w:rsidR="00370AE5" w:rsidRPr="00F32643">
        <w:rPr>
          <w:color w:val="000000" w:themeColor="text1"/>
          <w:spacing w:val="0"/>
        </w:rPr>
        <w:t xml:space="preserve"> establecido en el artículo 67 de la Convención. Por lo tanto, la solicitud es admisible en lo que se refiere </w:t>
      </w:r>
      <w:r w:rsidR="00DE0683" w:rsidRPr="00F32643">
        <w:rPr>
          <w:color w:val="000000" w:themeColor="text1"/>
          <w:spacing w:val="0"/>
        </w:rPr>
        <w:t xml:space="preserve">al plazo en que fue presentada. En cuanto a los demás requisitos, la Corte </w:t>
      </w:r>
      <w:r w:rsidR="005519A8" w:rsidRPr="00F32643">
        <w:rPr>
          <w:color w:val="000000" w:themeColor="text1"/>
          <w:spacing w:val="0"/>
        </w:rPr>
        <w:t xml:space="preserve">realizará el análisis respectivo en el </w:t>
      </w:r>
      <w:r w:rsidR="001A54FC" w:rsidRPr="00F32643">
        <w:rPr>
          <w:color w:val="000000" w:themeColor="text1"/>
          <w:spacing w:val="0"/>
        </w:rPr>
        <w:t>próximo capítulo.</w:t>
      </w:r>
    </w:p>
    <w:p w14:paraId="5EF64419" w14:textId="77777777" w:rsidR="001003AC" w:rsidRPr="00F32643" w:rsidRDefault="001003AC" w:rsidP="001003AC">
      <w:pPr>
        <w:rPr>
          <w:color w:val="000000" w:themeColor="text1"/>
          <w:lang w:val="es-CR" w:eastAsia="es-MX"/>
        </w:rPr>
      </w:pPr>
    </w:p>
    <w:p w14:paraId="1F3C75BA" w14:textId="77777777" w:rsidR="001003AC" w:rsidRPr="00F32643" w:rsidRDefault="001003AC" w:rsidP="001003AC">
      <w:pPr>
        <w:rPr>
          <w:color w:val="000000" w:themeColor="text1"/>
          <w:lang w:val="es-CR" w:eastAsia="es-MX"/>
        </w:rPr>
      </w:pPr>
    </w:p>
    <w:p w14:paraId="6D7D24AD" w14:textId="77777777" w:rsidR="001003AC" w:rsidRPr="00F32643" w:rsidRDefault="001003AC" w:rsidP="001003AC">
      <w:pPr>
        <w:pStyle w:val="Ttulo1"/>
        <w:spacing w:before="0" w:after="0"/>
        <w:rPr>
          <w:color w:val="000000" w:themeColor="text1"/>
          <w:lang w:val="es-CR"/>
        </w:rPr>
      </w:pPr>
      <w:bookmarkStart w:id="126" w:name="_Toc4402708"/>
      <w:bookmarkStart w:id="127" w:name="_Toc4402947"/>
      <w:bookmarkStart w:id="128" w:name="_Toc8209834"/>
      <w:bookmarkStart w:id="129" w:name="_Toc48736675"/>
      <w:bookmarkStart w:id="130" w:name="_Toc57872376"/>
      <w:r w:rsidRPr="00F32643">
        <w:rPr>
          <w:color w:val="000000" w:themeColor="text1"/>
          <w:lang w:val="es-CR"/>
        </w:rPr>
        <w:t>IV</w:t>
      </w:r>
      <w:r w:rsidRPr="00F32643">
        <w:rPr>
          <w:color w:val="000000" w:themeColor="text1"/>
          <w:lang w:val="es-CR"/>
        </w:rPr>
        <w:br/>
      </w:r>
      <w:bookmarkEnd w:id="126"/>
      <w:bookmarkEnd w:id="127"/>
      <w:bookmarkEnd w:id="128"/>
      <w:bookmarkEnd w:id="129"/>
      <w:bookmarkEnd w:id="130"/>
      <w:r w:rsidRPr="00F32643">
        <w:rPr>
          <w:color w:val="000000" w:themeColor="text1"/>
          <w:lang w:val="es-CR"/>
        </w:rPr>
        <w:t>Análisis de la procedencia de la solicitud de interpretación</w:t>
      </w:r>
    </w:p>
    <w:p w14:paraId="74F50551" w14:textId="77777777" w:rsidR="001003AC" w:rsidRPr="00F32643" w:rsidRDefault="001003AC" w:rsidP="001003AC">
      <w:pPr>
        <w:rPr>
          <w:color w:val="000000" w:themeColor="text1"/>
          <w:lang w:val="es-CR"/>
        </w:rPr>
      </w:pPr>
    </w:p>
    <w:p w14:paraId="76D9FA05" w14:textId="3A7DDFCF" w:rsidR="001003AC" w:rsidRPr="00F32643" w:rsidRDefault="001003AC" w:rsidP="001003AC">
      <w:pPr>
        <w:pStyle w:val="PrrafodeSentencia"/>
        <w:rPr>
          <w:color w:val="000000" w:themeColor="text1"/>
          <w:spacing w:val="0"/>
        </w:rPr>
      </w:pPr>
      <w:r w:rsidRPr="00F32643">
        <w:rPr>
          <w:color w:val="000000" w:themeColor="text1"/>
          <w:spacing w:val="0"/>
        </w:rPr>
        <w:t xml:space="preserve">Este Tribunal analizará la solicitud de interpretación del Estado para determinar si, </w:t>
      </w:r>
      <w:r w:rsidR="00876FDF" w:rsidRPr="00F32643">
        <w:rPr>
          <w:color w:val="000000" w:themeColor="text1"/>
          <w:spacing w:val="0"/>
        </w:rPr>
        <w:t>de acuerdo con</w:t>
      </w:r>
      <w:r w:rsidRPr="00F32643">
        <w:rPr>
          <w:color w:val="000000" w:themeColor="text1"/>
          <w:spacing w:val="0"/>
        </w:rPr>
        <w:t xml:space="preserve"> la normativa y </w:t>
      </w:r>
      <w:r w:rsidR="00876FDF" w:rsidRPr="00F32643">
        <w:rPr>
          <w:color w:val="000000" w:themeColor="text1"/>
          <w:spacing w:val="0"/>
        </w:rPr>
        <w:t>con</w:t>
      </w:r>
      <w:r w:rsidRPr="00F32643">
        <w:rPr>
          <w:color w:val="000000" w:themeColor="text1"/>
          <w:spacing w:val="0"/>
        </w:rPr>
        <w:t xml:space="preserve"> los estándares desarrollados en su jurisprudencia, procede o no aclarar el sentido o alcance de los puntos de la Sentencia solicitados.</w:t>
      </w:r>
    </w:p>
    <w:p w14:paraId="23598CED" w14:textId="77777777" w:rsidR="001003AC" w:rsidRPr="00F32643" w:rsidRDefault="001003AC" w:rsidP="001003AC">
      <w:pPr>
        <w:rPr>
          <w:color w:val="000000" w:themeColor="text1"/>
          <w:lang w:val="es-CR" w:eastAsia="es-MX"/>
        </w:rPr>
      </w:pPr>
    </w:p>
    <w:p w14:paraId="3D80245C" w14:textId="77777777" w:rsidR="001003AC" w:rsidRPr="00F32643" w:rsidRDefault="001003AC" w:rsidP="001003AC">
      <w:pPr>
        <w:pStyle w:val="PrrafodeSentencia"/>
        <w:rPr>
          <w:color w:val="000000" w:themeColor="text1"/>
          <w:spacing w:val="0"/>
        </w:rPr>
      </w:pPr>
      <w:r w:rsidRPr="00F32643">
        <w:rPr>
          <w:color w:val="000000" w:themeColor="text1"/>
          <w:spacing w:val="0"/>
        </w:rPr>
        <w:t>La Corte ha señalado que una solicitud de interpretación de sentencia no puede utilizarse como medio de impugnación de la decisión cuya interpretación se requiere. Dicha solicitud tiene como objeto, exclusivamente, determinar el sentido de un fallo cuando alguna de las partes sostiene que el texto de sus puntos resolutivos o de sus consideraciones carece de claridad o precisión, siempre y cuando esas consideraciones incidan en dicha parte resolutiva. Por lo tanto, no se puede solicitar la modificación o anulación de la sentencia respectiva a través de una solicitud de interpretación</w:t>
      </w:r>
      <w:r w:rsidRPr="00F32643">
        <w:rPr>
          <w:rStyle w:val="Refdenotaalpie"/>
          <w:color w:val="000000" w:themeColor="text1"/>
          <w:spacing w:val="0"/>
        </w:rPr>
        <w:footnoteReference w:id="5"/>
      </w:r>
      <w:r w:rsidRPr="00F32643">
        <w:rPr>
          <w:color w:val="000000" w:themeColor="text1"/>
          <w:spacing w:val="0"/>
        </w:rPr>
        <w:t xml:space="preserve">. </w:t>
      </w:r>
    </w:p>
    <w:p w14:paraId="77FFA31A" w14:textId="77777777" w:rsidR="001003AC" w:rsidRPr="00F32643" w:rsidRDefault="001003AC" w:rsidP="001003AC">
      <w:pPr>
        <w:rPr>
          <w:color w:val="000000" w:themeColor="text1"/>
          <w:lang w:val="es-CR" w:eastAsia="es-MX"/>
        </w:rPr>
      </w:pPr>
    </w:p>
    <w:p w14:paraId="252119CD" w14:textId="77777777" w:rsidR="001003AC" w:rsidRPr="00F32643" w:rsidRDefault="001003AC" w:rsidP="001003AC">
      <w:pPr>
        <w:pStyle w:val="PrrafodeSentencia"/>
        <w:rPr>
          <w:color w:val="000000" w:themeColor="text1"/>
          <w:spacing w:val="0"/>
        </w:rPr>
      </w:pPr>
      <w:r w:rsidRPr="00F32643">
        <w:rPr>
          <w:color w:val="000000" w:themeColor="text1"/>
          <w:spacing w:val="0"/>
        </w:rPr>
        <w:t>Adicionalmente, la Corte ha sostenido la improcedencia de utilizar una solicitud de interpretación para someter consideraciones sobre cuestiones de hecho y de derecho que ya fueron planteadas en su oportunidad procesal y sobre las cuales la Corte ya adoptó una decisión</w:t>
      </w:r>
      <w:r w:rsidRPr="00F32643">
        <w:rPr>
          <w:rStyle w:val="Refdenotaalpie"/>
          <w:color w:val="000000" w:themeColor="text1"/>
          <w:spacing w:val="0"/>
        </w:rPr>
        <w:footnoteReference w:id="6"/>
      </w:r>
      <w:r w:rsidRPr="00F32643">
        <w:rPr>
          <w:color w:val="000000" w:themeColor="text1"/>
          <w:spacing w:val="0"/>
        </w:rPr>
        <w:t xml:space="preserve">, así como para pretender que la Corte valore nuevamente </w:t>
      </w:r>
      <w:r w:rsidRPr="00F32643">
        <w:rPr>
          <w:color w:val="000000" w:themeColor="text1"/>
          <w:spacing w:val="0"/>
        </w:rPr>
        <w:lastRenderedPageBreak/>
        <w:t>cuestiones que ya han sido resueltas en la Sentencia</w:t>
      </w:r>
      <w:r w:rsidRPr="00F32643">
        <w:rPr>
          <w:rStyle w:val="Refdenotaalpie"/>
          <w:color w:val="000000" w:themeColor="text1"/>
          <w:spacing w:val="0"/>
        </w:rPr>
        <w:footnoteReference w:id="7"/>
      </w:r>
      <w:r w:rsidRPr="00F32643">
        <w:rPr>
          <w:color w:val="000000" w:themeColor="text1"/>
          <w:spacing w:val="0"/>
        </w:rPr>
        <w:t>. De igual manera, por esta vía tampoco se puede intentar que se amplíe el alcance de una medida de reparación ordenada oportunamente</w:t>
      </w:r>
      <w:r w:rsidRPr="00F32643">
        <w:rPr>
          <w:rStyle w:val="Refdenotaalpie"/>
          <w:color w:val="000000" w:themeColor="text1"/>
          <w:spacing w:val="0"/>
        </w:rPr>
        <w:footnoteReference w:id="8"/>
      </w:r>
      <w:r w:rsidRPr="00F32643">
        <w:rPr>
          <w:color w:val="000000" w:themeColor="text1"/>
          <w:spacing w:val="0"/>
        </w:rPr>
        <w:t>.</w:t>
      </w:r>
    </w:p>
    <w:p w14:paraId="01E7A2F8" w14:textId="77777777" w:rsidR="001003AC" w:rsidRPr="00F32643" w:rsidRDefault="001003AC" w:rsidP="001003AC">
      <w:pPr>
        <w:rPr>
          <w:color w:val="000000" w:themeColor="text1"/>
          <w:lang w:val="es-CR" w:eastAsia="es-MX"/>
        </w:rPr>
      </w:pPr>
    </w:p>
    <w:p w14:paraId="2E63C13D" w14:textId="6D30CD92" w:rsidR="001003AC" w:rsidRPr="00F32643" w:rsidRDefault="001003AC" w:rsidP="001003AC">
      <w:pPr>
        <w:pStyle w:val="PrrafodeSentencia"/>
        <w:rPr>
          <w:color w:val="000000" w:themeColor="text1"/>
          <w:spacing w:val="0"/>
        </w:rPr>
      </w:pPr>
      <w:r w:rsidRPr="00F32643">
        <w:rPr>
          <w:color w:val="000000" w:themeColor="text1"/>
          <w:spacing w:val="0"/>
        </w:rPr>
        <w:t xml:space="preserve">La Corte Interamericana examinará las cuestiones planteadas en el siguiente orden: (A) la solicitud de interpretación sobre la </w:t>
      </w:r>
      <w:r w:rsidR="005B0DF8" w:rsidRPr="00F32643">
        <w:rPr>
          <w:color w:val="000000" w:themeColor="text1"/>
          <w:spacing w:val="0"/>
        </w:rPr>
        <w:t>expresión “tractos anuales”</w:t>
      </w:r>
      <w:r w:rsidR="007C5A91" w:rsidRPr="00F32643">
        <w:rPr>
          <w:color w:val="000000" w:themeColor="text1"/>
          <w:spacing w:val="0"/>
        </w:rPr>
        <w:t>;</w:t>
      </w:r>
      <w:r w:rsidRPr="00F32643">
        <w:rPr>
          <w:color w:val="000000" w:themeColor="text1"/>
          <w:spacing w:val="0"/>
        </w:rPr>
        <w:t xml:space="preserve"> (B) la solicitud de interpretación sobre </w:t>
      </w:r>
      <w:r w:rsidR="007C5A91" w:rsidRPr="00F32643">
        <w:rPr>
          <w:color w:val="000000" w:themeColor="text1"/>
          <w:spacing w:val="0"/>
        </w:rPr>
        <w:t xml:space="preserve">los criterios que operan para </w:t>
      </w:r>
      <w:r w:rsidR="00310A1C" w:rsidRPr="00F32643">
        <w:rPr>
          <w:color w:val="000000" w:themeColor="text1"/>
          <w:spacing w:val="0"/>
        </w:rPr>
        <w:t>los pagos</w:t>
      </w:r>
      <w:r w:rsidR="007C5A91" w:rsidRPr="00F32643">
        <w:rPr>
          <w:color w:val="000000" w:themeColor="text1"/>
          <w:spacing w:val="0"/>
        </w:rPr>
        <w:t xml:space="preserve"> por restitución y </w:t>
      </w:r>
      <w:r w:rsidR="00E46828" w:rsidRPr="00F32643">
        <w:rPr>
          <w:color w:val="000000" w:themeColor="text1"/>
          <w:spacing w:val="0"/>
        </w:rPr>
        <w:t>los pagos</w:t>
      </w:r>
      <w:r w:rsidR="007C5A91" w:rsidRPr="00F32643">
        <w:rPr>
          <w:color w:val="000000" w:themeColor="text1"/>
          <w:spacing w:val="0"/>
        </w:rPr>
        <w:t xml:space="preserve"> por indemnización, </w:t>
      </w:r>
      <w:r w:rsidR="00B66DEE" w:rsidRPr="00F32643">
        <w:rPr>
          <w:color w:val="000000" w:themeColor="text1"/>
          <w:spacing w:val="0"/>
        </w:rPr>
        <w:t xml:space="preserve">y el reintegro de </w:t>
      </w:r>
      <w:r w:rsidR="007C5A91" w:rsidRPr="00F32643">
        <w:rPr>
          <w:color w:val="000000" w:themeColor="text1"/>
          <w:spacing w:val="0"/>
        </w:rPr>
        <w:t>costas</w:t>
      </w:r>
      <w:r w:rsidR="00B66DEE" w:rsidRPr="00F32643">
        <w:rPr>
          <w:color w:val="000000" w:themeColor="text1"/>
          <w:spacing w:val="0"/>
        </w:rPr>
        <w:t xml:space="preserve"> y gastos</w:t>
      </w:r>
      <w:r w:rsidR="007744AB" w:rsidRPr="00F32643">
        <w:rPr>
          <w:color w:val="000000" w:themeColor="text1"/>
          <w:spacing w:val="0"/>
        </w:rPr>
        <w:t xml:space="preserve">; (C) la solicitud de interpretación sobre </w:t>
      </w:r>
      <w:r w:rsidR="00D31668" w:rsidRPr="00F32643">
        <w:rPr>
          <w:color w:val="000000" w:themeColor="text1"/>
        </w:rPr>
        <w:t xml:space="preserve">el reajuste de los montos a pagarse en tres tractos anuales relativos a la medida de restitución y </w:t>
      </w:r>
      <w:r w:rsidR="007744AB" w:rsidRPr="00F32643">
        <w:rPr>
          <w:color w:val="000000" w:themeColor="text1"/>
          <w:spacing w:val="0"/>
        </w:rPr>
        <w:t>el cobr</w:t>
      </w:r>
      <w:r w:rsidR="008C3CBF" w:rsidRPr="00F32643">
        <w:rPr>
          <w:color w:val="000000" w:themeColor="text1"/>
          <w:spacing w:val="0"/>
        </w:rPr>
        <w:t>o</w:t>
      </w:r>
      <w:r w:rsidR="007744AB" w:rsidRPr="00F32643">
        <w:rPr>
          <w:color w:val="000000" w:themeColor="text1"/>
          <w:spacing w:val="0"/>
        </w:rPr>
        <w:t xml:space="preserve"> de intereses por mora sobre las sumas adeudadas</w:t>
      </w:r>
      <w:r w:rsidR="00CC574E" w:rsidRPr="00F32643">
        <w:rPr>
          <w:color w:val="000000" w:themeColor="text1"/>
          <w:spacing w:val="0"/>
        </w:rPr>
        <w:t xml:space="preserve">; </w:t>
      </w:r>
      <w:r w:rsidR="00B366EC" w:rsidRPr="00F32643">
        <w:rPr>
          <w:color w:val="000000" w:themeColor="text1"/>
          <w:spacing w:val="0"/>
        </w:rPr>
        <w:t>(</w:t>
      </w:r>
      <w:r w:rsidR="00A7635B" w:rsidRPr="00F32643">
        <w:rPr>
          <w:color w:val="000000" w:themeColor="text1"/>
          <w:spacing w:val="0"/>
        </w:rPr>
        <w:t>D</w:t>
      </w:r>
      <w:r w:rsidR="00B366EC" w:rsidRPr="00F32643">
        <w:rPr>
          <w:color w:val="000000" w:themeColor="text1"/>
          <w:spacing w:val="0"/>
        </w:rPr>
        <w:t xml:space="preserve">) la solicitud de interpretación sobre el procedimiento de búsqueda de herederos </w:t>
      </w:r>
      <w:r w:rsidR="0055083A" w:rsidRPr="00F32643">
        <w:rPr>
          <w:color w:val="000000" w:themeColor="text1"/>
          <w:spacing w:val="0"/>
        </w:rPr>
        <w:t xml:space="preserve">respecto </w:t>
      </w:r>
      <w:r w:rsidR="00B366EC" w:rsidRPr="00F32643">
        <w:rPr>
          <w:color w:val="000000" w:themeColor="text1"/>
          <w:spacing w:val="0"/>
        </w:rPr>
        <w:t xml:space="preserve">a beneficiarios que fallezcan </w:t>
      </w:r>
      <w:r w:rsidR="0097496B" w:rsidRPr="00F32643">
        <w:rPr>
          <w:color w:val="000000" w:themeColor="text1"/>
          <w:spacing w:val="0"/>
        </w:rPr>
        <w:t xml:space="preserve">o hayan fallecido </w:t>
      </w:r>
      <w:r w:rsidR="00B366EC" w:rsidRPr="00F32643">
        <w:rPr>
          <w:color w:val="000000" w:themeColor="text1"/>
          <w:spacing w:val="0"/>
        </w:rPr>
        <w:t xml:space="preserve">en el </w:t>
      </w:r>
      <w:r w:rsidR="0055083A" w:rsidRPr="00F32643">
        <w:rPr>
          <w:color w:val="000000" w:themeColor="text1"/>
          <w:spacing w:val="0"/>
        </w:rPr>
        <w:t xml:space="preserve">transcurso </w:t>
      </w:r>
      <w:r w:rsidR="00B366EC" w:rsidRPr="00F32643">
        <w:rPr>
          <w:color w:val="000000" w:themeColor="text1"/>
          <w:spacing w:val="0"/>
        </w:rPr>
        <w:t>de</w:t>
      </w:r>
      <w:r w:rsidR="0055083A" w:rsidRPr="00F32643">
        <w:rPr>
          <w:color w:val="000000" w:themeColor="text1"/>
          <w:spacing w:val="0"/>
        </w:rPr>
        <w:t>l</w:t>
      </w:r>
      <w:r w:rsidR="00B366EC" w:rsidRPr="00F32643">
        <w:rPr>
          <w:color w:val="000000" w:themeColor="text1"/>
          <w:spacing w:val="0"/>
        </w:rPr>
        <w:t xml:space="preserve"> cumplimiento de la Sentencia</w:t>
      </w:r>
      <w:r w:rsidR="00A7635B" w:rsidRPr="00F32643">
        <w:rPr>
          <w:color w:val="000000" w:themeColor="text1"/>
          <w:spacing w:val="0"/>
        </w:rPr>
        <w:t xml:space="preserve"> y (E) la solicitud de interpretación sobre el concepto de “operadores judiciales” en las garantías de no repetición,</w:t>
      </w:r>
    </w:p>
    <w:p w14:paraId="43F8FD08" w14:textId="77777777" w:rsidR="001003AC" w:rsidRPr="00F32643" w:rsidRDefault="001003AC" w:rsidP="001003AC">
      <w:pPr>
        <w:rPr>
          <w:color w:val="000000" w:themeColor="text1"/>
          <w:lang w:val="es-CR"/>
        </w:rPr>
      </w:pPr>
    </w:p>
    <w:p w14:paraId="420FEB68" w14:textId="36732B20" w:rsidR="001003AC" w:rsidRPr="00F32643" w:rsidRDefault="00AE012D" w:rsidP="001003AC">
      <w:pPr>
        <w:pStyle w:val="Ttulo2"/>
        <w:keepNext/>
        <w:numPr>
          <w:ilvl w:val="0"/>
          <w:numId w:val="3"/>
        </w:numPr>
        <w:tabs>
          <w:tab w:val="clear" w:pos="567"/>
          <w:tab w:val="clear" w:pos="993"/>
          <w:tab w:val="left" w:pos="1134"/>
        </w:tabs>
        <w:spacing w:before="0" w:after="0"/>
        <w:ind w:left="1134" w:hanging="567"/>
        <w:contextualSpacing w:val="0"/>
        <w:rPr>
          <w:color w:val="000000" w:themeColor="text1"/>
        </w:rPr>
      </w:pPr>
      <w:r w:rsidRPr="00F32643">
        <w:rPr>
          <w:color w:val="000000" w:themeColor="text1"/>
        </w:rPr>
        <w:t>Interpretación de la expresión “tractos anuales”</w:t>
      </w:r>
    </w:p>
    <w:p w14:paraId="77C6C3E7" w14:textId="77777777" w:rsidR="001003AC" w:rsidRPr="00F32643" w:rsidRDefault="001003AC" w:rsidP="001003AC">
      <w:pPr>
        <w:rPr>
          <w:color w:val="000000" w:themeColor="text1"/>
          <w:lang w:val="es-CR"/>
        </w:rPr>
      </w:pPr>
    </w:p>
    <w:p w14:paraId="1F566DEE" w14:textId="77777777" w:rsidR="001003AC" w:rsidRPr="00F32643" w:rsidRDefault="001003AC" w:rsidP="001003AC">
      <w:pPr>
        <w:pStyle w:val="Ttulo3"/>
        <w:spacing w:before="0" w:after="0"/>
        <w:rPr>
          <w:color w:val="000000" w:themeColor="text1"/>
          <w:lang w:val="es-CR"/>
        </w:rPr>
      </w:pPr>
      <w:bookmarkStart w:id="131" w:name="_Toc57872378"/>
      <w:r w:rsidRPr="00F32643">
        <w:rPr>
          <w:color w:val="000000" w:themeColor="text1"/>
          <w:lang w:val="es-CR"/>
        </w:rPr>
        <w:t>A.1. Argumentos de las partes y de la Comisión</w:t>
      </w:r>
      <w:bookmarkEnd w:id="131"/>
    </w:p>
    <w:p w14:paraId="51C4046C" w14:textId="77777777" w:rsidR="001003AC" w:rsidRPr="00F32643" w:rsidRDefault="001003AC" w:rsidP="001003AC">
      <w:pPr>
        <w:rPr>
          <w:color w:val="000000" w:themeColor="text1"/>
          <w:lang w:val="es-CR"/>
        </w:rPr>
      </w:pPr>
    </w:p>
    <w:p w14:paraId="67EA8F94" w14:textId="3EEF6C7B" w:rsidR="001003AC" w:rsidRPr="00F32643" w:rsidRDefault="001003AC" w:rsidP="001003AC">
      <w:pPr>
        <w:pStyle w:val="PrrafodeSentencia"/>
        <w:rPr>
          <w:b/>
          <w:color w:val="000000" w:themeColor="text1"/>
          <w:spacing w:val="0"/>
          <w:szCs w:val="20"/>
        </w:rPr>
      </w:pPr>
      <w:r w:rsidRPr="00F32643">
        <w:rPr>
          <w:color w:val="000000" w:themeColor="text1"/>
          <w:spacing w:val="0"/>
          <w:szCs w:val="20"/>
        </w:rPr>
        <w:t xml:space="preserve">El </w:t>
      </w:r>
      <w:r w:rsidRPr="00F32643">
        <w:rPr>
          <w:b/>
          <w:i/>
          <w:color w:val="000000" w:themeColor="text1"/>
          <w:spacing w:val="0"/>
          <w:szCs w:val="20"/>
        </w:rPr>
        <w:t xml:space="preserve">Estado </w:t>
      </w:r>
      <w:r w:rsidRPr="00F32643">
        <w:rPr>
          <w:color w:val="000000" w:themeColor="text1"/>
          <w:spacing w:val="0"/>
          <w:szCs w:val="20"/>
        </w:rPr>
        <w:t xml:space="preserve">solicitó una aclaración sobre </w:t>
      </w:r>
      <w:r w:rsidR="00817E3F" w:rsidRPr="00F32643">
        <w:rPr>
          <w:color w:val="000000" w:themeColor="text1"/>
          <w:spacing w:val="0"/>
          <w:szCs w:val="20"/>
        </w:rPr>
        <w:t xml:space="preserve">la expresión “tractos anuales” utilizada en el párrafo 232 </w:t>
      </w:r>
      <w:r w:rsidR="00113E18" w:rsidRPr="00F32643">
        <w:rPr>
          <w:color w:val="000000" w:themeColor="text1"/>
          <w:spacing w:val="0"/>
          <w:szCs w:val="20"/>
        </w:rPr>
        <w:t>del Fallo</w:t>
      </w:r>
      <w:r w:rsidR="00817E3F" w:rsidRPr="00F32643">
        <w:rPr>
          <w:color w:val="000000" w:themeColor="text1"/>
          <w:spacing w:val="0"/>
          <w:szCs w:val="20"/>
        </w:rPr>
        <w:t xml:space="preserve"> relativa a la modalidad del pa</w:t>
      </w:r>
      <w:r w:rsidR="00A850D8" w:rsidRPr="00F32643">
        <w:rPr>
          <w:color w:val="000000" w:themeColor="text1"/>
          <w:spacing w:val="0"/>
          <w:szCs w:val="20"/>
        </w:rPr>
        <w:t>go de los montos reconocidos por la Sentencia como medida de restitución. Alegó que, de acuerdo con el Diccionario de la Real Academia de la Lengua, existen diferentes acepciones de la palabra “tracto”, por lo que</w:t>
      </w:r>
      <w:r w:rsidR="0062430B" w:rsidRPr="00F32643">
        <w:rPr>
          <w:color w:val="000000" w:themeColor="text1"/>
          <w:spacing w:val="0"/>
          <w:szCs w:val="20"/>
        </w:rPr>
        <w:t xml:space="preserve"> solicitó que se indique a cuál hace referencia la Sentencia.</w:t>
      </w:r>
    </w:p>
    <w:p w14:paraId="38C2E70E" w14:textId="77777777" w:rsidR="001003AC" w:rsidRPr="00F32643" w:rsidRDefault="001003AC" w:rsidP="001003AC">
      <w:pPr>
        <w:rPr>
          <w:color w:val="000000" w:themeColor="text1"/>
          <w:lang w:val="es-CR" w:eastAsia="es-MX"/>
        </w:rPr>
      </w:pPr>
    </w:p>
    <w:p w14:paraId="2826DC5A" w14:textId="199C77CF" w:rsidR="001003AC" w:rsidRPr="00F32643" w:rsidRDefault="001003AC" w:rsidP="001003AC">
      <w:pPr>
        <w:pStyle w:val="PrrafodeSentencia"/>
        <w:rPr>
          <w:color w:val="000000" w:themeColor="text1"/>
          <w:spacing w:val="0"/>
        </w:rPr>
      </w:pPr>
      <w:r w:rsidRPr="00F32643">
        <w:rPr>
          <w:color w:val="000000" w:themeColor="text1"/>
          <w:spacing w:val="0"/>
        </w:rPr>
        <w:t xml:space="preserve">Los </w:t>
      </w:r>
      <w:r w:rsidRPr="00F32643">
        <w:rPr>
          <w:b/>
          <w:i/>
          <w:color w:val="000000" w:themeColor="text1"/>
          <w:spacing w:val="0"/>
        </w:rPr>
        <w:t>representantes</w:t>
      </w:r>
      <w:r w:rsidR="00FD6607" w:rsidRPr="00F32643">
        <w:rPr>
          <w:color w:val="000000" w:themeColor="text1"/>
          <w:spacing w:val="0"/>
        </w:rPr>
        <w:t xml:space="preserve"> </w:t>
      </w:r>
      <w:r w:rsidR="00ED2B2D" w:rsidRPr="00F32643">
        <w:rPr>
          <w:color w:val="000000" w:themeColor="text1"/>
          <w:spacing w:val="0"/>
        </w:rPr>
        <w:t xml:space="preserve">argumentaron que la palabra “tracto” debe entenderse </w:t>
      </w:r>
      <w:r w:rsidR="00181988" w:rsidRPr="00F32643">
        <w:rPr>
          <w:color w:val="000000" w:themeColor="text1"/>
          <w:spacing w:val="0"/>
        </w:rPr>
        <w:t xml:space="preserve">como “tres lapsos de tiempo anuales”, indicando que esta acepción es la más acorde con la propia </w:t>
      </w:r>
      <w:r w:rsidR="00113E18" w:rsidRPr="00F32643">
        <w:rPr>
          <w:color w:val="000000" w:themeColor="text1"/>
          <w:spacing w:val="0"/>
        </w:rPr>
        <w:t>S</w:t>
      </w:r>
      <w:r w:rsidR="00181988" w:rsidRPr="00F32643">
        <w:rPr>
          <w:color w:val="000000" w:themeColor="text1"/>
          <w:spacing w:val="0"/>
        </w:rPr>
        <w:t>entencia</w:t>
      </w:r>
      <w:r w:rsidR="00F045FB" w:rsidRPr="00F32643">
        <w:rPr>
          <w:color w:val="000000" w:themeColor="text1"/>
          <w:spacing w:val="0"/>
        </w:rPr>
        <w:t xml:space="preserve"> y la que permite asegurar el pago mediante un mecanismo reglado y progresivo en el tiempo para el cabal y oportuno cumplimiento de la </w:t>
      </w:r>
      <w:r w:rsidR="00113E18" w:rsidRPr="00F32643">
        <w:rPr>
          <w:color w:val="000000" w:themeColor="text1"/>
          <w:spacing w:val="0"/>
        </w:rPr>
        <w:t>S</w:t>
      </w:r>
      <w:r w:rsidR="00F045FB" w:rsidRPr="00F32643">
        <w:rPr>
          <w:color w:val="000000" w:themeColor="text1"/>
          <w:spacing w:val="0"/>
        </w:rPr>
        <w:t xml:space="preserve">entencia. </w:t>
      </w:r>
      <w:r w:rsidR="00F82A21" w:rsidRPr="00F32643">
        <w:rPr>
          <w:color w:val="000000" w:themeColor="text1"/>
          <w:spacing w:val="0"/>
        </w:rPr>
        <w:t xml:space="preserve">Agregaron </w:t>
      </w:r>
      <w:r w:rsidR="000E6B5A" w:rsidRPr="00F32643">
        <w:rPr>
          <w:color w:val="000000" w:themeColor="text1"/>
          <w:spacing w:val="0"/>
        </w:rPr>
        <w:t xml:space="preserve">que el primer tracto debe contarse en el plazo de un año de notificada la Sentencia, </w:t>
      </w:r>
      <w:r w:rsidR="00E45B4E" w:rsidRPr="00F32643">
        <w:rPr>
          <w:color w:val="000000" w:themeColor="text1"/>
          <w:spacing w:val="0"/>
        </w:rPr>
        <w:t>es decir a partir del</w:t>
      </w:r>
      <w:r w:rsidR="000E6B5A" w:rsidRPr="00F32643">
        <w:rPr>
          <w:color w:val="000000" w:themeColor="text1"/>
          <w:spacing w:val="0"/>
        </w:rPr>
        <w:t xml:space="preserve"> 21 de diciembre de 2021, </w:t>
      </w:r>
      <w:r w:rsidR="00E45B4E" w:rsidRPr="00F32643">
        <w:rPr>
          <w:color w:val="000000" w:themeColor="text1"/>
          <w:spacing w:val="0"/>
        </w:rPr>
        <w:t>lo</w:t>
      </w:r>
      <w:r w:rsidR="000E6B5A" w:rsidRPr="00F32643">
        <w:rPr>
          <w:color w:val="000000" w:themeColor="text1"/>
          <w:spacing w:val="0"/>
        </w:rPr>
        <w:t xml:space="preserve"> que se e</w:t>
      </w:r>
      <w:r w:rsidR="00B52DC6" w:rsidRPr="00F32643">
        <w:rPr>
          <w:color w:val="000000" w:themeColor="text1"/>
          <w:spacing w:val="0"/>
        </w:rPr>
        <w:t>x</w:t>
      </w:r>
      <w:r w:rsidR="000E6B5A" w:rsidRPr="00F32643">
        <w:rPr>
          <w:color w:val="000000" w:themeColor="text1"/>
          <w:spacing w:val="0"/>
        </w:rPr>
        <w:t>tiende hasta el 21 de diciembre del año 2022</w:t>
      </w:r>
      <w:r w:rsidR="00B52DC6" w:rsidRPr="00F32643">
        <w:rPr>
          <w:color w:val="000000" w:themeColor="text1"/>
          <w:spacing w:val="0"/>
        </w:rPr>
        <w:t>. Indicaron que tal modalidad de pago “busca prev</w:t>
      </w:r>
      <w:r w:rsidR="0070676F" w:rsidRPr="00F32643">
        <w:rPr>
          <w:color w:val="000000" w:themeColor="text1"/>
          <w:spacing w:val="0"/>
        </w:rPr>
        <w:t>e</w:t>
      </w:r>
      <w:r w:rsidR="00B52DC6" w:rsidRPr="00F32643">
        <w:rPr>
          <w:color w:val="000000" w:themeColor="text1"/>
          <w:spacing w:val="0"/>
        </w:rPr>
        <w:t xml:space="preserve">nir y evitar una mayor dilación del pago en la etapa de </w:t>
      </w:r>
      <w:r w:rsidR="0070676F" w:rsidRPr="00F32643">
        <w:rPr>
          <w:color w:val="000000" w:themeColor="text1"/>
          <w:spacing w:val="0"/>
        </w:rPr>
        <w:t>cumplimiento”.</w:t>
      </w:r>
    </w:p>
    <w:p w14:paraId="18EC5EF7" w14:textId="3F03E719" w:rsidR="00385B61" w:rsidRPr="00F32643" w:rsidRDefault="00385B61" w:rsidP="00385B61">
      <w:pPr>
        <w:rPr>
          <w:color w:val="000000" w:themeColor="text1"/>
          <w:lang w:val="es-CR" w:eastAsia="es-MX"/>
        </w:rPr>
      </w:pPr>
    </w:p>
    <w:p w14:paraId="13C57ADC" w14:textId="5FD947D9" w:rsidR="00385B61" w:rsidRPr="00F32643" w:rsidRDefault="00385B61" w:rsidP="00385B61">
      <w:pPr>
        <w:pStyle w:val="PrrafodeSentencia"/>
        <w:rPr>
          <w:color w:val="000000" w:themeColor="text1"/>
        </w:rPr>
      </w:pPr>
      <w:r w:rsidRPr="00F32643">
        <w:rPr>
          <w:color w:val="000000" w:themeColor="text1"/>
        </w:rPr>
        <w:t>Asimismo, los representantes</w:t>
      </w:r>
      <w:r w:rsidR="000D17CB" w:rsidRPr="00F32643">
        <w:rPr>
          <w:color w:val="000000" w:themeColor="text1"/>
        </w:rPr>
        <w:t xml:space="preserve"> solicitaron a la </w:t>
      </w:r>
      <w:r w:rsidR="00417AE3" w:rsidRPr="00F32643">
        <w:rPr>
          <w:color w:val="000000" w:themeColor="text1"/>
        </w:rPr>
        <w:t>C</w:t>
      </w:r>
      <w:r w:rsidR="000D17CB" w:rsidRPr="00F32643">
        <w:rPr>
          <w:color w:val="000000" w:themeColor="text1"/>
        </w:rPr>
        <w:t>orte asegurar un mecanismo rápido, eficiente, transparente y confiable para dar cumplimiento al pago que orden</w:t>
      </w:r>
      <w:r w:rsidR="00E46828" w:rsidRPr="00F32643">
        <w:rPr>
          <w:color w:val="000000" w:themeColor="text1"/>
        </w:rPr>
        <w:t>ó</w:t>
      </w:r>
      <w:r w:rsidR="000D17CB" w:rsidRPr="00F32643">
        <w:rPr>
          <w:color w:val="000000" w:themeColor="text1"/>
        </w:rPr>
        <w:t xml:space="preserve"> la Sentencia</w:t>
      </w:r>
      <w:r w:rsidR="003B3C52" w:rsidRPr="00F32643">
        <w:rPr>
          <w:color w:val="000000" w:themeColor="text1"/>
        </w:rPr>
        <w:t>, por lo que solicitaron a la Corte que requiera de manera urgente al Estado de Ch</w:t>
      </w:r>
      <w:r w:rsidR="0066144D" w:rsidRPr="00F32643">
        <w:rPr>
          <w:color w:val="000000" w:themeColor="text1"/>
        </w:rPr>
        <w:t>i</w:t>
      </w:r>
      <w:r w:rsidR="003B3C52" w:rsidRPr="00F32643">
        <w:rPr>
          <w:color w:val="000000" w:themeColor="text1"/>
        </w:rPr>
        <w:t xml:space="preserve">le para la designación de la </w:t>
      </w:r>
      <w:r w:rsidR="00EF122E" w:rsidRPr="00F32643">
        <w:rPr>
          <w:color w:val="000000" w:themeColor="text1"/>
        </w:rPr>
        <w:t>institución financiera chilena solvente a que se refiere el párrafo 23</w:t>
      </w:r>
      <w:r w:rsidR="0066144D" w:rsidRPr="00F32643">
        <w:rPr>
          <w:color w:val="000000" w:themeColor="text1"/>
        </w:rPr>
        <w:t xml:space="preserve">6 de la Sentencia y disponga que el mandatario concurra a dicha entidad designada por el Estado, acompañando los mandatos que le han sido otorgados por las víctimas del caso, </w:t>
      </w:r>
      <w:r w:rsidR="00B87167" w:rsidRPr="00F32643">
        <w:rPr>
          <w:color w:val="000000" w:themeColor="text1"/>
        </w:rPr>
        <w:t>para disponer la apertura de una cuenta corriente o certificado de depósito, en las condiciones financieras más favorables que permitan la legislación y la práctica bancaria en Chile</w:t>
      </w:r>
      <w:r w:rsidR="00E45B4E" w:rsidRPr="00F32643">
        <w:rPr>
          <w:color w:val="000000" w:themeColor="text1"/>
        </w:rPr>
        <w:t>. Agregaron que</w:t>
      </w:r>
      <w:r w:rsidR="00B87167" w:rsidRPr="00F32643">
        <w:rPr>
          <w:color w:val="000000" w:themeColor="text1"/>
        </w:rPr>
        <w:t xml:space="preserve">, en función de la regulación propia de las comisiones de confianza, </w:t>
      </w:r>
      <w:r w:rsidR="00E45B4E" w:rsidRPr="00F32643">
        <w:rPr>
          <w:color w:val="000000" w:themeColor="text1"/>
        </w:rPr>
        <w:t xml:space="preserve">sería necesario </w:t>
      </w:r>
      <w:r w:rsidR="00B87167" w:rsidRPr="00F32643">
        <w:rPr>
          <w:color w:val="000000" w:themeColor="text1"/>
        </w:rPr>
        <w:t xml:space="preserve">que el mandatario otorgue un mandato especial a dicha entidad para la administración financiera de los pagos en función del cumplimiento de la </w:t>
      </w:r>
      <w:r w:rsidR="00F84637" w:rsidRPr="00F32643">
        <w:rPr>
          <w:color w:val="000000" w:themeColor="text1"/>
        </w:rPr>
        <w:t>S</w:t>
      </w:r>
      <w:r w:rsidR="00B87167" w:rsidRPr="00F32643">
        <w:rPr>
          <w:color w:val="000000" w:themeColor="text1"/>
        </w:rPr>
        <w:t>entencia</w:t>
      </w:r>
      <w:r w:rsidR="00116BCE" w:rsidRPr="00F32643">
        <w:rPr>
          <w:color w:val="000000" w:themeColor="text1"/>
        </w:rPr>
        <w:t xml:space="preserve"> las </w:t>
      </w:r>
      <w:r w:rsidR="00116BCE" w:rsidRPr="00F32643">
        <w:rPr>
          <w:color w:val="000000" w:themeColor="text1"/>
        </w:rPr>
        <w:lastRenderedPageBreak/>
        <w:t>mejores prácticas bancarias de administración de fondos de terceros, con pleno respeto de la confidencialidad y datos personales de las víctimas y sus herederos</w:t>
      </w:r>
      <w:r w:rsidR="00E45B4E" w:rsidRPr="00F32643">
        <w:rPr>
          <w:color w:val="000000" w:themeColor="text1"/>
        </w:rPr>
        <w:t>. Asimismo</w:t>
      </w:r>
      <w:r w:rsidR="00116BCE" w:rsidRPr="00F32643">
        <w:rPr>
          <w:color w:val="000000" w:themeColor="text1"/>
        </w:rPr>
        <w:t>,</w:t>
      </w:r>
      <w:r w:rsidR="00E45B4E" w:rsidRPr="00F32643">
        <w:rPr>
          <w:color w:val="000000" w:themeColor="text1"/>
        </w:rPr>
        <w:t xml:space="preserve"> solicitaron que se</w:t>
      </w:r>
      <w:r w:rsidR="00116BCE" w:rsidRPr="00F32643">
        <w:rPr>
          <w:color w:val="000000" w:themeColor="text1"/>
        </w:rPr>
        <w:t xml:space="preserve"> orden</w:t>
      </w:r>
      <w:r w:rsidR="00E45B4E" w:rsidRPr="00F32643">
        <w:rPr>
          <w:color w:val="000000" w:themeColor="text1"/>
        </w:rPr>
        <w:t>e</w:t>
      </w:r>
      <w:r w:rsidR="00116BCE" w:rsidRPr="00F32643">
        <w:rPr>
          <w:color w:val="000000" w:themeColor="text1"/>
        </w:rPr>
        <w:t xml:space="preserve"> al Estado de Chile que la determinación actualizada de los montos y su pago para cada uno de los </w:t>
      </w:r>
      <w:r w:rsidR="00366CEC" w:rsidRPr="00F32643">
        <w:rPr>
          <w:color w:val="000000" w:themeColor="text1"/>
        </w:rPr>
        <w:t>tractos</w:t>
      </w:r>
      <w:r w:rsidR="00116BCE" w:rsidRPr="00F32643">
        <w:rPr>
          <w:color w:val="000000" w:themeColor="text1"/>
        </w:rPr>
        <w:t xml:space="preserve"> se realice directamente en la referida cuenta y con la colaboración de dicha entidad financiera, así como los gastos y costas durante la etapa de cumplimiento y la devolución actualizada de los saldos transcurridos 10 años de notificada la </w:t>
      </w:r>
      <w:r w:rsidR="00F84637" w:rsidRPr="00F32643">
        <w:rPr>
          <w:color w:val="000000" w:themeColor="text1"/>
        </w:rPr>
        <w:t>S</w:t>
      </w:r>
      <w:r w:rsidR="00116BCE" w:rsidRPr="00F32643">
        <w:rPr>
          <w:color w:val="000000" w:themeColor="text1"/>
        </w:rPr>
        <w:t>entencia, debiendo el mandatario y representante común informar a la Corte de haberse realizado dichos pagos.</w:t>
      </w:r>
    </w:p>
    <w:p w14:paraId="7AD1626D" w14:textId="4DB9F113" w:rsidR="00704038" w:rsidRPr="00F32643" w:rsidRDefault="00704038" w:rsidP="00704038">
      <w:pPr>
        <w:rPr>
          <w:color w:val="000000" w:themeColor="text1"/>
          <w:lang w:val="es-CR" w:eastAsia="es-MX"/>
        </w:rPr>
      </w:pPr>
    </w:p>
    <w:p w14:paraId="607C35F8" w14:textId="2DA626AD" w:rsidR="00704038" w:rsidRPr="00F32643" w:rsidRDefault="00704038" w:rsidP="00704038">
      <w:pPr>
        <w:pStyle w:val="PrrafodeSentencia"/>
        <w:rPr>
          <w:color w:val="000000" w:themeColor="text1"/>
          <w:spacing w:val="0"/>
        </w:rPr>
      </w:pPr>
      <w:r w:rsidRPr="00F32643">
        <w:rPr>
          <w:color w:val="000000" w:themeColor="text1"/>
          <w:spacing w:val="0"/>
        </w:rPr>
        <w:t xml:space="preserve">La </w:t>
      </w:r>
      <w:r w:rsidRPr="00F32643">
        <w:rPr>
          <w:b/>
          <w:i/>
          <w:color w:val="000000" w:themeColor="text1"/>
          <w:spacing w:val="0"/>
        </w:rPr>
        <w:t xml:space="preserve">Comisión </w:t>
      </w:r>
      <w:r w:rsidR="00DE043C" w:rsidRPr="00F32643">
        <w:rPr>
          <w:color w:val="000000" w:themeColor="text1"/>
          <w:spacing w:val="0"/>
        </w:rPr>
        <w:t xml:space="preserve">observó que la aclaración de las consultas planteadas por el Estado puede facilitar el proceso de supervisión de la </w:t>
      </w:r>
      <w:r w:rsidR="00F84637" w:rsidRPr="00F32643">
        <w:rPr>
          <w:color w:val="000000" w:themeColor="text1"/>
          <w:spacing w:val="0"/>
        </w:rPr>
        <w:t>S</w:t>
      </w:r>
      <w:r w:rsidR="00DE043C" w:rsidRPr="00F32643">
        <w:rPr>
          <w:color w:val="000000" w:themeColor="text1"/>
          <w:spacing w:val="0"/>
        </w:rPr>
        <w:t xml:space="preserve">entencia y agilizar el cumplimiento de las medidas de reparación, lo cual resulta de extrema importancia en el presente caso dada la edad avanzada de las víctimas. Sin embargo, no se pronunció de manera específica sobre </w:t>
      </w:r>
      <w:r w:rsidR="0060336E" w:rsidRPr="00F32643">
        <w:rPr>
          <w:color w:val="000000" w:themeColor="text1"/>
          <w:spacing w:val="0"/>
        </w:rPr>
        <w:t>los puntos sometidos a las solicitudes de interpretación.</w:t>
      </w:r>
    </w:p>
    <w:p w14:paraId="75E0417B" w14:textId="77777777" w:rsidR="001003AC" w:rsidRPr="00F32643" w:rsidRDefault="001003AC" w:rsidP="001003AC">
      <w:pPr>
        <w:rPr>
          <w:color w:val="000000" w:themeColor="text1"/>
          <w:lang w:val="es-CR" w:eastAsia="es-MX"/>
        </w:rPr>
      </w:pPr>
    </w:p>
    <w:p w14:paraId="373D1541" w14:textId="77777777" w:rsidR="001003AC" w:rsidRPr="00F32643" w:rsidRDefault="001003AC" w:rsidP="001003AC">
      <w:pPr>
        <w:pStyle w:val="Ttulo3"/>
        <w:spacing w:before="0" w:after="0"/>
        <w:rPr>
          <w:color w:val="000000" w:themeColor="text1"/>
          <w:lang w:val="es-CR" w:eastAsia="es-MX"/>
        </w:rPr>
      </w:pPr>
      <w:bookmarkStart w:id="132" w:name="_Toc57872379"/>
      <w:r w:rsidRPr="00F32643">
        <w:rPr>
          <w:color w:val="000000" w:themeColor="text1"/>
          <w:lang w:val="es-CR" w:eastAsia="es-MX"/>
        </w:rPr>
        <w:t>A.2. Consideraciones de la Corte</w:t>
      </w:r>
      <w:bookmarkEnd w:id="132"/>
    </w:p>
    <w:p w14:paraId="3D6524F9" w14:textId="77777777" w:rsidR="001003AC" w:rsidRPr="00F32643" w:rsidRDefault="001003AC" w:rsidP="001003AC">
      <w:pPr>
        <w:rPr>
          <w:color w:val="000000" w:themeColor="text1"/>
          <w:lang w:val="es-CR" w:eastAsia="es-MX"/>
        </w:rPr>
      </w:pPr>
    </w:p>
    <w:p w14:paraId="6C482D6F" w14:textId="14DF7648" w:rsidR="001003AC" w:rsidRPr="00F32643" w:rsidRDefault="001003AC" w:rsidP="001003AC">
      <w:pPr>
        <w:pStyle w:val="PrrafodeSentencia"/>
        <w:rPr>
          <w:color w:val="000000" w:themeColor="text1"/>
          <w:spacing w:val="0"/>
        </w:rPr>
      </w:pPr>
      <w:r w:rsidRPr="00F32643">
        <w:rPr>
          <w:color w:val="000000" w:themeColor="text1"/>
          <w:spacing w:val="0"/>
        </w:rPr>
        <w:t>La Corte considera pertinente aclarar el sentido</w:t>
      </w:r>
      <w:r w:rsidR="00574989" w:rsidRPr="00F32643">
        <w:rPr>
          <w:color w:val="000000" w:themeColor="text1"/>
          <w:spacing w:val="0"/>
        </w:rPr>
        <w:t xml:space="preserve"> de la expresión “tractos anuales” incorporada en el párrafo 232 de la Sentencia respecto de la modalidad de cumplimiento</w:t>
      </w:r>
      <w:r w:rsidRPr="00F32643">
        <w:rPr>
          <w:color w:val="000000" w:themeColor="text1"/>
          <w:spacing w:val="0"/>
        </w:rPr>
        <w:t xml:space="preserve"> de la medida de reparación ordenada en el punto resolutivo </w:t>
      </w:r>
      <w:r w:rsidR="00ED52DE" w:rsidRPr="00F32643">
        <w:rPr>
          <w:color w:val="000000" w:themeColor="text1"/>
          <w:spacing w:val="0"/>
        </w:rPr>
        <w:t>cuarto</w:t>
      </w:r>
      <w:r w:rsidR="006879FE" w:rsidRPr="00F32643">
        <w:rPr>
          <w:color w:val="000000" w:themeColor="text1"/>
          <w:spacing w:val="0"/>
        </w:rPr>
        <w:t xml:space="preserve"> según la cual</w:t>
      </w:r>
      <w:r w:rsidR="00574989" w:rsidRPr="00F32643">
        <w:rPr>
          <w:color w:val="000000" w:themeColor="text1"/>
          <w:spacing w:val="0"/>
        </w:rPr>
        <w:t>:</w:t>
      </w:r>
      <w:r w:rsidR="006879FE" w:rsidRPr="00F32643">
        <w:rPr>
          <w:color w:val="000000" w:themeColor="text1"/>
          <w:spacing w:val="0"/>
        </w:rPr>
        <w:t xml:space="preserve"> “</w:t>
      </w:r>
      <w:r w:rsidR="000415BC" w:rsidRPr="00F32643">
        <w:rPr>
          <w:color w:val="000000" w:themeColor="text1"/>
          <w:spacing w:val="0"/>
        </w:rPr>
        <w:t>[e]</w:t>
      </w:r>
      <w:r w:rsidR="006879FE" w:rsidRPr="00F32643">
        <w:rPr>
          <w:color w:val="000000" w:themeColor="text1"/>
          <w:spacing w:val="0"/>
        </w:rPr>
        <w:t>l Estado reali</w:t>
      </w:r>
      <w:r w:rsidR="00BE0161" w:rsidRPr="00F32643">
        <w:rPr>
          <w:color w:val="000000" w:themeColor="text1"/>
          <w:spacing w:val="0"/>
        </w:rPr>
        <w:t>z</w:t>
      </w:r>
      <w:r w:rsidR="006879FE" w:rsidRPr="00F32643">
        <w:rPr>
          <w:color w:val="000000" w:themeColor="text1"/>
          <w:spacing w:val="0"/>
        </w:rPr>
        <w:t>ará el pago efectivo de las sumas adeudadas</w:t>
      </w:r>
      <w:r w:rsidR="00BE0161" w:rsidRPr="00F32643">
        <w:rPr>
          <w:color w:val="000000" w:themeColor="text1"/>
          <w:spacing w:val="0"/>
        </w:rPr>
        <w:t xml:space="preserve"> a las víctimas por concepto de restitución, en los términos fijados en los párrafos 205 a 209 y 232 a 238 de </w:t>
      </w:r>
      <w:r w:rsidR="000415BC" w:rsidRPr="00F32643">
        <w:rPr>
          <w:color w:val="000000" w:themeColor="text1"/>
          <w:spacing w:val="0"/>
        </w:rPr>
        <w:t xml:space="preserve">[la] </w:t>
      </w:r>
      <w:r w:rsidR="00BE0161" w:rsidRPr="00F32643">
        <w:rPr>
          <w:color w:val="000000" w:themeColor="text1"/>
          <w:spacing w:val="0"/>
        </w:rPr>
        <w:t>Sentencia”</w:t>
      </w:r>
      <w:r w:rsidR="00574989" w:rsidRPr="00F32643">
        <w:rPr>
          <w:color w:val="000000" w:themeColor="text1"/>
          <w:spacing w:val="0"/>
        </w:rPr>
        <w:t>. En dicho párrafo</w:t>
      </w:r>
      <w:r w:rsidRPr="00F32643">
        <w:rPr>
          <w:color w:val="000000" w:themeColor="text1"/>
          <w:spacing w:val="0"/>
        </w:rPr>
        <w:t>, la Corte determinó lo siguiente:</w:t>
      </w:r>
    </w:p>
    <w:p w14:paraId="2803F862" w14:textId="77777777" w:rsidR="001003AC" w:rsidRPr="00F32643" w:rsidRDefault="001003AC" w:rsidP="001003AC">
      <w:pPr>
        <w:rPr>
          <w:color w:val="000000" w:themeColor="text1"/>
          <w:lang w:val="es-CR" w:eastAsia="es-MX"/>
        </w:rPr>
      </w:pPr>
    </w:p>
    <w:p w14:paraId="3B5C8139" w14:textId="21664684" w:rsidR="001003AC" w:rsidRPr="00F32643" w:rsidRDefault="004B633B" w:rsidP="001003AC">
      <w:pPr>
        <w:ind w:left="567" w:right="567"/>
        <w:rPr>
          <w:color w:val="000000" w:themeColor="text1"/>
          <w:sz w:val="18"/>
          <w:szCs w:val="18"/>
          <w:lang w:val="es-CR" w:eastAsia="es-MX"/>
        </w:rPr>
      </w:pPr>
      <w:r w:rsidRPr="00F32643">
        <w:rPr>
          <w:color w:val="000000" w:themeColor="text1"/>
          <w:sz w:val="18"/>
          <w:szCs w:val="18"/>
          <w:lang w:val="es-CR"/>
        </w:rPr>
        <w:t>232. El pago de los montos reconocidos por esta Sentencia como medida de restitución deberá ser entregado directamente a las personas indicadas en la lista Anexo 1, en tres tractos anuales, empezando a contar el primer tracto en el plazo de un año de notificada la Sentencia. Para el pago de estos tractos se debe tomar como base los montos establecidos en la lista Anexo 2 los cuales deberán actualizarse a la fecha efectiva de su pago tomando en cuenta el reajuste del IPC determinado por el Instituto Nacional de Estadística entre el 31 de julio de 2020 y el momento en que efectivamente se realice el pago y la tasa de interés máxima permitida para operaciones reajustables a partir de esa misma fecha, de acuerdo con lo establecido por el artículo 63 del Código de Trabajo (</w:t>
      </w:r>
      <w:r w:rsidRPr="00F32643">
        <w:rPr>
          <w:i/>
          <w:iCs/>
          <w:color w:val="000000" w:themeColor="text1"/>
          <w:sz w:val="18"/>
          <w:szCs w:val="18"/>
          <w:lang w:val="es-CR"/>
        </w:rPr>
        <w:t>supra</w:t>
      </w:r>
      <w:r w:rsidRPr="00F32643">
        <w:rPr>
          <w:color w:val="000000" w:themeColor="text1"/>
          <w:sz w:val="18"/>
          <w:szCs w:val="18"/>
          <w:lang w:val="es-CR"/>
        </w:rPr>
        <w:t xml:space="preserve"> párr. 207). Una vez que el Estado haga la determinación individualizada de los montos a pagar, deberá comunicarlo a la mayor brevedad a las personas beneficiarias y sus representantes.</w:t>
      </w:r>
    </w:p>
    <w:p w14:paraId="66D63555" w14:textId="77777777" w:rsidR="001003AC" w:rsidRPr="00F32643" w:rsidRDefault="001003AC" w:rsidP="001003AC">
      <w:pPr>
        <w:ind w:left="567" w:right="567"/>
        <w:rPr>
          <w:color w:val="000000" w:themeColor="text1"/>
          <w:sz w:val="18"/>
          <w:szCs w:val="18"/>
          <w:lang w:val="es-CR" w:eastAsia="es-MX"/>
        </w:rPr>
      </w:pPr>
    </w:p>
    <w:p w14:paraId="42C8DE9D" w14:textId="5A268254" w:rsidR="001003AC" w:rsidRPr="00F32643" w:rsidRDefault="001003AC" w:rsidP="001003AC">
      <w:pPr>
        <w:pStyle w:val="PrrafodeSentencia"/>
        <w:rPr>
          <w:color w:val="000000" w:themeColor="text1"/>
          <w:spacing w:val="0"/>
        </w:rPr>
      </w:pPr>
      <w:r w:rsidRPr="00F32643">
        <w:rPr>
          <w:color w:val="000000" w:themeColor="text1"/>
          <w:spacing w:val="0"/>
        </w:rPr>
        <w:t xml:space="preserve">En efecto, </w:t>
      </w:r>
      <w:r w:rsidR="00B50F39" w:rsidRPr="00F32643">
        <w:rPr>
          <w:color w:val="000000" w:themeColor="text1"/>
          <w:spacing w:val="0"/>
        </w:rPr>
        <w:t>de la lectura del párrafo pueden surgir dudas sobre el significado del término “tracto”</w:t>
      </w:r>
      <w:r w:rsidR="00BE19D5" w:rsidRPr="00F32643">
        <w:rPr>
          <w:color w:val="000000" w:themeColor="text1"/>
          <w:spacing w:val="0"/>
        </w:rPr>
        <w:t xml:space="preserve"> y lo anterior puede afectar el buen cumplimiento de lo ordenado, </w:t>
      </w:r>
      <w:r w:rsidR="004240E9" w:rsidRPr="00F32643">
        <w:rPr>
          <w:color w:val="000000" w:themeColor="text1"/>
          <w:spacing w:val="0"/>
        </w:rPr>
        <w:t xml:space="preserve">sin que esto signifique modificar el sentido </w:t>
      </w:r>
      <w:r w:rsidR="00F84637" w:rsidRPr="00F32643">
        <w:rPr>
          <w:color w:val="000000" w:themeColor="text1"/>
          <w:spacing w:val="0"/>
        </w:rPr>
        <w:t>del Fallo</w:t>
      </w:r>
      <w:r w:rsidR="004240E9" w:rsidRPr="00F32643">
        <w:rPr>
          <w:color w:val="000000" w:themeColor="text1"/>
          <w:spacing w:val="0"/>
        </w:rPr>
        <w:t>.</w:t>
      </w:r>
    </w:p>
    <w:p w14:paraId="2F10F39E" w14:textId="77777777" w:rsidR="001003AC" w:rsidRPr="00F32643" w:rsidRDefault="001003AC" w:rsidP="001003AC">
      <w:pPr>
        <w:rPr>
          <w:color w:val="000000" w:themeColor="text1"/>
          <w:lang w:val="es-CR" w:eastAsia="es-MX"/>
        </w:rPr>
      </w:pPr>
    </w:p>
    <w:p w14:paraId="385ED249" w14:textId="5BC95B1B" w:rsidR="001003AC" w:rsidRPr="00F32643" w:rsidRDefault="001003AC" w:rsidP="001003AC">
      <w:pPr>
        <w:pStyle w:val="PrrafodeSentencia"/>
        <w:rPr>
          <w:color w:val="000000" w:themeColor="text1"/>
          <w:spacing w:val="0"/>
        </w:rPr>
      </w:pPr>
      <w:r w:rsidRPr="00F32643">
        <w:rPr>
          <w:color w:val="000000" w:themeColor="text1"/>
          <w:spacing w:val="0"/>
        </w:rPr>
        <w:t xml:space="preserve">En consecuencia, la Corte </w:t>
      </w:r>
      <w:r w:rsidR="00BE0161" w:rsidRPr="00F32643">
        <w:rPr>
          <w:color w:val="000000" w:themeColor="text1"/>
          <w:spacing w:val="0"/>
        </w:rPr>
        <w:t>subraya</w:t>
      </w:r>
      <w:r w:rsidRPr="00F32643">
        <w:rPr>
          <w:color w:val="000000" w:themeColor="text1"/>
          <w:spacing w:val="0"/>
        </w:rPr>
        <w:t xml:space="preserve"> que el Estado </w:t>
      </w:r>
      <w:r w:rsidR="004240E9" w:rsidRPr="00F32643">
        <w:rPr>
          <w:color w:val="000000" w:themeColor="text1"/>
          <w:spacing w:val="0"/>
        </w:rPr>
        <w:t>debe</w:t>
      </w:r>
      <w:r w:rsidR="004D7AC2" w:rsidRPr="00F32643">
        <w:rPr>
          <w:color w:val="000000" w:themeColor="text1"/>
          <w:spacing w:val="0"/>
        </w:rPr>
        <w:t xml:space="preserve"> efectivame</w:t>
      </w:r>
      <w:r w:rsidR="00505C04" w:rsidRPr="00F32643">
        <w:rPr>
          <w:color w:val="000000" w:themeColor="text1"/>
          <w:spacing w:val="0"/>
        </w:rPr>
        <w:t>n</w:t>
      </w:r>
      <w:r w:rsidR="004D7AC2" w:rsidRPr="00F32643">
        <w:rPr>
          <w:color w:val="000000" w:themeColor="text1"/>
          <w:spacing w:val="0"/>
        </w:rPr>
        <w:t>te</w:t>
      </w:r>
      <w:r w:rsidR="004240E9" w:rsidRPr="00F32643">
        <w:rPr>
          <w:color w:val="000000" w:themeColor="text1"/>
          <w:spacing w:val="0"/>
        </w:rPr>
        <w:t xml:space="preserve"> pagar la totalidad de los montos reconocidos por </w:t>
      </w:r>
      <w:r w:rsidR="00C817DB" w:rsidRPr="00F32643">
        <w:rPr>
          <w:color w:val="000000" w:themeColor="text1"/>
          <w:spacing w:val="0"/>
        </w:rPr>
        <w:t xml:space="preserve">la </w:t>
      </w:r>
      <w:r w:rsidR="004240E9" w:rsidRPr="00F32643">
        <w:rPr>
          <w:color w:val="000000" w:themeColor="text1"/>
          <w:spacing w:val="0"/>
        </w:rPr>
        <w:t>Sentencia como medida de restitución</w:t>
      </w:r>
      <w:r w:rsidR="00BB3D31" w:rsidRPr="00F32643">
        <w:rPr>
          <w:color w:val="000000" w:themeColor="text1"/>
          <w:spacing w:val="0"/>
        </w:rPr>
        <w:t>. Este pago puede efectuarse en tres</w:t>
      </w:r>
      <w:r w:rsidR="003B4A09" w:rsidRPr="00F32643">
        <w:rPr>
          <w:color w:val="000000" w:themeColor="text1"/>
          <w:spacing w:val="0"/>
        </w:rPr>
        <w:t xml:space="preserve"> tractos o</w:t>
      </w:r>
      <w:r w:rsidR="00BB3D31" w:rsidRPr="00F32643">
        <w:rPr>
          <w:color w:val="000000" w:themeColor="text1"/>
          <w:spacing w:val="0"/>
        </w:rPr>
        <w:t xml:space="preserve"> cuotas</w:t>
      </w:r>
      <w:r w:rsidR="00031A8C" w:rsidRPr="00F32643">
        <w:rPr>
          <w:color w:val="000000" w:themeColor="text1"/>
          <w:spacing w:val="0"/>
        </w:rPr>
        <w:t xml:space="preserve">, la primera debiéndose pagar a más tardar el </w:t>
      </w:r>
      <w:r w:rsidR="00E67EE6" w:rsidRPr="00F32643">
        <w:rPr>
          <w:color w:val="000000" w:themeColor="text1"/>
          <w:spacing w:val="0"/>
        </w:rPr>
        <w:t>21 de diciembre de 2022</w:t>
      </w:r>
      <w:r w:rsidR="003B4A09" w:rsidRPr="00F32643">
        <w:rPr>
          <w:color w:val="000000" w:themeColor="text1"/>
          <w:spacing w:val="0"/>
        </w:rPr>
        <w:t>;</w:t>
      </w:r>
      <w:r w:rsidR="00E67EE6" w:rsidRPr="00F32643">
        <w:rPr>
          <w:color w:val="000000" w:themeColor="text1"/>
          <w:spacing w:val="0"/>
        </w:rPr>
        <w:t xml:space="preserve"> la segunda, a más tardar el 21 de diciembre de 2023</w:t>
      </w:r>
      <w:r w:rsidR="003B4A09" w:rsidRPr="00F32643">
        <w:rPr>
          <w:color w:val="000000" w:themeColor="text1"/>
          <w:spacing w:val="0"/>
        </w:rPr>
        <w:t>;</w:t>
      </w:r>
      <w:r w:rsidR="00E67EE6" w:rsidRPr="00F32643">
        <w:rPr>
          <w:color w:val="000000" w:themeColor="text1"/>
          <w:spacing w:val="0"/>
        </w:rPr>
        <w:t xml:space="preserve"> y la tercera</w:t>
      </w:r>
      <w:r w:rsidR="003B4A09" w:rsidRPr="00F32643">
        <w:rPr>
          <w:color w:val="000000" w:themeColor="text1"/>
          <w:spacing w:val="0"/>
        </w:rPr>
        <w:t>,</w:t>
      </w:r>
      <w:r w:rsidR="00E67EE6" w:rsidRPr="00F32643">
        <w:rPr>
          <w:color w:val="000000" w:themeColor="text1"/>
          <w:spacing w:val="0"/>
        </w:rPr>
        <w:t xml:space="preserve"> a más tardar el 21 de diciembre de 2024. Esta</w:t>
      </w:r>
      <w:r w:rsidR="00694F9B" w:rsidRPr="00F32643">
        <w:rPr>
          <w:color w:val="000000" w:themeColor="text1"/>
          <w:spacing w:val="0"/>
        </w:rPr>
        <w:t xml:space="preserve"> división del pago total en tres cuotas se entiende a beneficio del Estado</w:t>
      </w:r>
      <w:r w:rsidR="00C93DE5" w:rsidRPr="00F32643">
        <w:rPr>
          <w:color w:val="000000" w:themeColor="text1"/>
          <w:spacing w:val="0"/>
        </w:rPr>
        <w:t>.</w:t>
      </w:r>
      <w:r w:rsidR="00694F9B" w:rsidRPr="00F32643">
        <w:rPr>
          <w:color w:val="000000" w:themeColor="text1"/>
          <w:spacing w:val="0"/>
        </w:rPr>
        <w:t xml:space="preserve"> </w:t>
      </w:r>
      <w:r w:rsidR="00C93DE5" w:rsidRPr="00F32643">
        <w:rPr>
          <w:color w:val="000000" w:themeColor="text1"/>
          <w:spacing w:val="0"/>
        </w:rPr>
        <w:t>S</w:t>
      </w:r>
      <w:r w:rsidR="00C724AE" w:rsidRPr="00F32643">
        <w:rPr>
          <w:color w:val="000000" w:themeColor="text1"/>
          <w:spacing w:val="0"/>
        </w:rPr>
        <w:t xml:space="preserve">in perjuicio de lo </w:t>
      </w:r>
      <w:r w:rsidR="00C93DE5" w:rsidRPr="00F32643">
        <w:rPr>
          <w:color w:val="000000" w:themeColor="text1"/>
          <w:spacing w:val="0"/>
        </w:rPr>
        <w:t>anterior</w:t>
      </w:r>
      <w:r w:rsidR="00C724AE" w:rsidRPr="00F32643">
        <w:rPr>
          <w:color w:val="000000" w:themeColor="text1"/>
          <w:spacing w:val="0"/>
        </w:rPr>
        <w:t>, el Estado podrá optar por una forma de pago más benefi</w:t>
      </w:r>
      <w:r w:rsidR="00C93DE5" w:rsidRPr="00F32643">
        <w:rPr>
          <w:color w:val="000000" w:themeColor="text1"/>
          <w:spacing w:val="0"/>
        </w:rPr>
        <w:t xml:space="preserve">ciosa para las víctimas y, por ende, </w:t>
      </w:r>
      <w:r w:rsidR="00694F9B" w:rsidRPr="00F32643">
        <w:rPr>
          <w:color w:val="000000" w:themeColor="text1"/>
          <w:spacing w:val="0"/>
        </w:rPr>
        <w:t>entregar la totalidad de los montos reconocidos de una sola vez, a más tardar el 21 de diciembre de 2022.</w:t>
      </w:r>
    </w:p>
    <w:p w14:paraId="7E6ACB0E" w14:textId="61FCCC39" w:rsidR="00F377C6" w:rsidRPr="00F32643" w:rsidRDefault="00F377C6" w:rsidP="00F377C6">
      <w:pPr>
        <w:rPr>
          <w:color w:val="000000" w:themeColor="text1"/>
          <w:lang w:val="es-CR" w:eastAsia="es-MX"/>
        </w:rPr>
      </w:pPr>
    </w:p>
    <w:p w14:paraId="3A339587" w14:textId="2560EDA3" w:rsidR="00F377C6" w:rsidRPr="00F32643" w:rsidRDefault="00F377C6" w:rsidP="00F377C6">
      <w:pPr>
        <w:pStyle w:val="PrrafodeSentencia"/>
        <w:rPr>
          <w:color w:val="000000" w:themeColor="text1"/>
        </w:rPr>
      </w:pPr>
      <w:r w:rsidRPr="00F32643">
        <w:rPr>
          <w:color w:val="000000" w:themeColor="text1"/>
        </w:rPr>
        <w:t xml:space="preserve">Sobre </w:t>
      </w:r>
      <w:r w:rsidR="00AA4673" w:rsidRPr="00F32643">
        <w:rPr>
          <w:color w:val="000000" w:themeColor="text1"/>
        </w:rPr>
        <w:t>lo planteado</w:t>
      </w:r>
      <w:r w:rsidRPr="00F32643">
        <w:rPr>
          <w:color w:val="000000" w:themeColor="text1"/>
        </w:rPr>
        <w:t xml:space="preserve"> por los representantes </w:t>
      </w:r>
      <w:r w:rsidR="0072220B" w:rsidRPr="00F32643">
        <w:rPr>
          <w:color w:val="000000" w:themeColor="text1"/>
        </w:rPr>
        <w:t xml:space="preserve">en cuanto a </w:t>
      </w:r>
      <w:r w:rsidR="00C52581" w:rsidRPr="00F32643">
        <w:rPr>
          <w:color w:val="000000" w:themeColor="text1"/>
        </w:rPr>
        <w:t>que la Corte requiera al Estado un mecanismo de pago</w:t>
      </w:r>
      <w:r w:rsidR="009C16CD" w:rsidRPr="00F32643">
        <w:rPr>
          <w:color w:val="000000" w:themeColor="text1"/>
        </w:rPr>
        <w:t xml:space="preserve"> por medio del mandatario de las víctimas, esta Corte</w:t>
      </w:r>
      <w:r w:rsidR="00F63E8F" w:rsidRPr="00F32643">
        <w:rPr>
          <w:color w:val="000000" w:themeColor="text1"/>
        </w:rPr>
        <w:t xml:space="preserve"> constata</w:t>
      </w:r>
      <w:r w:rsidR="009C16CD" w:rsidRPr="00F32643">
        <w:rPr>
          <w:color w:val="000000" w:themeColor="text1"/>
        </w:rPr>
        <w:t xml:space="preserve"> </w:t>
      </w:r>
      <w:r w:rsidR="00D84DD1" w:rsidRPr="00F32643">
        <w:rPr>
          <w:color w:val="000000" w:themeColor="text1"/>
        </w:rPr>
        <w:t>que</w:t>
      </w:r>
      <w:r w:rsidR="001F5BA7" w:rsidRPr="00F32643">
        <w:rPr>
          <w:color w:val="000000" w:themeColor="text1"/>
        </w:rPr>
        <w:t xml:space="preserve"> los representantes ya habían realizado un pedido similar en el marco </w:t>
      </w:r>
      <w:r w:rsidR="00B5757E" w:rsidRPr="00F32643">
        <w:rPr>
          <w:color w:val="000000" w:themeColor="text1"/>
        </w:rPr>
        <w:t>del proceso</w:t>
      </w:r>
      <w:r w:rsidR="0062353D" w:rsidRPr="00F32643">
        <w:rPr>
          <w:color w:val="000000" w:themeColor="text1"/>
        </w:rPr>
        <w:t xml:space="preserve">, lo cual </w:t>
      </w:r>
      <w:r w:rsidR="00605D5D" w:rsidRPr="00F32643">
        <w:rPr>
          <w:color w:val="000000" w:themeColor="text1"/>
        </w:rPr>
        <w:lastRenderedPageBreak/>
        <w:t>fue</w:t>
      </w:r>
      <w:r w:rsidR="0062353D" w:rsidRPr="00F32643">
        <w:rPr>
          <w:color w:val="000000" w:themeColor="text1"/>
        </w:rPr>
        <w:t xml:space="preserve"> </w:t>
      </w:r>
      <w:r w:rsidR="00605D5D" w:rsidRPr="00F32643">
        <w:rPr>
          <w:color w:val="000000" w:themeColor="text1"/>
        </w:rPr>
        <w:t>indicado</w:t>
      </w:r>
      <w:r w:rsidR="0062353D" w:rsidRPr="00F32643">
        <w:rPr>
          <w:color w:val="000000" w:themeColor="text1"/>
        </w:rPr>
        <w:t xml:space="preserve"> en el </w:t>
      </w:r>
      <w:r w:rsidR="00D84DD1" w:rsidRPr="00F32643">
        <w:rPr>
          <w:color w:val="000000" w:themeColor="text1"/>
        </w:rPr>
        <w:t>párrafo 198 del Fallo</w:t>
      </w:r>
      <w:r w:rsidR="00B5757E" w:rsidRPr="00F32643">
        <w:rPr>
          <w:color w:val="000000" w:themeColor="text1"/>
        </w:rPr>
        <w:t>.</w:t>
      </w:r>
      <w:r w:rsidR="00D84DD1" w:rsidRPr="00F32643">
        <w:rPr>
          <w:color w:val="000000" w:themeColor="text1"/>
        </w:rPr>
        <w:t xml:space="preserve"> </w:t>
      </w:r>
      <w:r w:rsidR="00E339EA" w:rsidRPr="00F32643">
        <w:rPr>
          <w:color w:val="000000" w:themeColor="text1"/>
        </w:rPr>
        <w:t>Por otra parte</w:t>
      </w:r>
      <w:r w:rsidR="00D84DD1" w:rsidRPr="00F32643">
        <w:rPr>
          <w:color w:val="000000" w:themeColor="text1"/>
        </w:rPr>
        <w:t>,</w:t>
      </w:r>
      <w:r w:rsidR="00B5757E" w:rsidRPr="00F32643">
        <w:rPr>
          <w:color w:val="000000" w:themeColor="text1"/>
        </w:rPr>
        <w:t xml:space="preserve"> </w:t>
      </w:r>
      <w:r w:rsidR="00D84DD1" w:rsidRPr="00F32643">
        <w:rPr>
          <w:color w:val="000000" w:themeColor="text1"/>
        </w:rPr>
        <w:t>e</w:t>
      </w:r>
      <w:r w:rsidR="006169AD" w:rsidRPr="00F32643">
        <w:rPr>
          <w:color w:val="000000" w:themeColor="text1"/>
        </w:rPr>
        <w:t>n el párrafo 209</w:t>
      </w:r>
      <w:r w:rsidR="003B60FD" w:rsidRPr="00F32643">
        <w:rPr>
          <w:color w:val="000000" w:themeColor="text1"/>
        </w:rPr>
        <w:t xml:space="preserve"> de la Sentencia</w:t>
      </w:r>
      <w:r w:rsidR="006169AD" w:rsidRPr="00F32643">
        <w:rPr>
          <w:color w:val="000000" w:themeColor="text1"/>
        </w:rPr>
        <w:t>, el Tribunal dispuso ordenar al Estado “el pago de las sumas todavía debidas directamente</w:t>
      </w:r>
      <w:r w:rsidR="00033C0B" w:rsidRPr="00F32643">
        <w:rPr>
          <w:color w:val="000000" w:themeColor="text1"/>
        </w:rPr>
        <w:t xml:space="preserve"> a las víctimas enumeradas en la Lista Anexo 1 o a sus derechohabientes conforme al derecho interno aplicable”. </w:t>
      </w:r>
      <w:r w:rsidR="00DE561D" w:rsidRPr="00F32643">
        <w:rPr>
          <w:color w:val="000000" w:themeColor="text1"/>
        </w:rPr>
        <w:t xml:space="preserve">De esta forma, </w:t>
      </w:r>
      <w:r w:rsidR="00605D5D" w:rsidRPr="00F32643">
        <w:rPr>
          <w:color w:val="000000" w:themeColor="text1"/>
        </w:rPr>
        <w:t>la Corte</w:t>
      </w:r>
      <w:r w:rsidR="00DE561D" w:rsidRPr="00F32643">
        <w:rPr>
          <w:color w:val="000000" w:themeColor="text1"/>
        </w:rPr>
        <w:t xml:space="preserve"> </w:t>
      </w:r>
      <w:r w:rsidR="00605D5D" w:rsidRPr="00F32643">
        <w:rPr>
          <w:color w:val="000000" w:themeColor="text1"/>
        </w:rPr>
        <w:t xml:space="preserve">nota </w:t>
      </w:r>
      <w:r w:rsidR="00DE561D" w:rsidRPr="00F32643">
        <w:rPr>
          <w:color w:val="000000" w:themeColor="text1"/>
        </w:rPr>
        <w:t>que la cuestión fue decidida en la Sentencia, no siendo viable pretender la modificación de la medida de reparación ordenada mediante las observaciones a una solicitud de interpretación.</w:t>
      </w:r>
      <w:r w:rsidR="00B834A9" w:rsidRPr="00F32643">
        <w:rPr>
          <w:color w:val="000000" w:themeColor="text1"/>
        </w:rPr>
        <w:t xml:space="preserve"> </w:t>
      </w:r>
      <w:r w:rsidR="00A21C43" w:rsidRPr="00F32643">
        <w:rPr>
          <w:color w:val="000000" w:themeColor="text1"/>
        </w:rPr>
        <w:t>Sin perjuicio de lo anterior, es una cuestión que puede s</w:t>
      </w:r>
      <w:r w:rsidR="002A09A2" w:rsidRPr="00F32643">
        <w:rPr>
          <w:color w:val="000000" w:themeColor="text1"/>
        </w:rPr>
        <w:t>e</w:t>
      </w:r>
      <w:r w:rsidR="00A21C43" w:rsidRPr="00F32643">
        <w:rPr>
          <w:color w:val="000000" w:themeColor="text1"/>
        </w:rPr>
        <w:t xml:space="preserve">r planteada en el marco de la supervisión del cumplimiento de la </w:t>
      </w:r>
      <w:r w:rsidR="00EA038C" w:rsidRPr="00F32643">
        <w:rPr>
          <w:color w:val="000000" w:themeColor="text1"/>
        </w:rPr>
        <w:t>S</w:t>
      </w:r>
      <w:r w:rsidR="00A21C43" w:rsidRPr="00F32643">
        <w:rPr>
          <w:color w:val="000000" w:themeColor="text1"/>
        </w:rPr>
        <w:t>entencia.</w:t>
      </w:r>
    </w:p>
    <w:p w14:paraId="56F4A4E7" w14:textId="02671068" w:rsidR="00EA70DC" w:rsidRPr="00F32643" w:rsidRDefault="00EA70DC" w:rsidP="00EA70DC">
      <w:pPr>
        <w:rPr>
          <w:color w:val="000000" w:themeColor="text1"/>
          <w:lang w:val="es-CR" w:eastAsia="es-MX"/>
        </w:rPr>
      </w:pPr>
    </w:p>
    <w:p w14:paraId="46ED1B21" w14:textId="7938AA29" w:rsidR="00EA70DC" w:rsidRPr="00F32643" w:rsidRDefault="00EA70DC" w:rsidP="00EA70DC">
      <w:pPr>
        <w:pStyle w:val="PrrafodeSentencia"/>
        <w:rPr>
          <w:color w:val="000000" w:themeColor="text1"/>
        </w:rPr>
      </w:pPr>
      <w:r w:rsidRPr="00F32643">
        <w:rPr>
          <w:color w:val="000000" w:themeColor="text1"/>
        </w:rPr>
        <w:t xml:space="preserve">En conclusión, esta Corte interpreta que el término “tracto” debe ser </w:t>
      </w:r>
      <w:r w:rsidR="00616447" w:rsidRPr="00F32643">
        <w:rPr>
          <w:color w:val="000000" w:themeColor="text1"/>
        </w:rPr>
        <w:t xml:space="preserve">entendido </w:t>
      </w:r>
      <w:r w:rsidRPr="00F32643">
        <w:rPr>
          <w:color w:val="000000" w:themeColor="text1"/>
        </w:rPr>
        <w:t xml:space="preserve">como equivalente de “cuota” en el sentido </w:t>
      </w:r>
      <w:r w:rsidR="005B25B6" w:rsidRPr="00F32643">
        <w:rPr>
          <w:color w:val="000000" w:themeColor="text1"/>
        </w:rPr>
        <w:t xml:space="preserve">de que el pago de la totalidad de los montos reconocidos por esta Sentencia como medida de </w:t>
      </w:r>
      <w:r w:rsidR="0002689D" w:rsidRPr="00F32643">
        <w:rPr>
          <w:color w:val="000000" w:themeColor="text1"/>
        </w:rPr>
        <w:t>restitución</w:t>
      </w:r>
      <w:r w:rsidR="005B25B6" w:rsidRPr="00F32643">
        <w:rPr>
          <w:color w:val="000000" w:themeColor="text1"/>
        </w:rPr>
        <w:t xml:space="preserve"> puede efectuarse en tres cuotas, </w:t>
      </w:r>
      <w:r w:rsidR="0002689D" w:rsidRPr="00F32643">
        <w:rPr>
          <w:color w:val="000000" w:themeColor="text1"/>
          <w:spacing w:val="0"/>
        </w:rPr>
        <w:t xml:space="preserve">debiéndose pagar </w:t>
      </w:r>
      <w:r w:rsidR="003B60FD" w:rsidRPr="00F32643">
        <w:rPr>
          <w:color w:val="000000" w:themeColor="text1"/>
          <w:spacing w:val="0"/>
        </w:rPr>
        <w:t xml:space="preserve">la primera cuota </w:t>
      </w:r>
      <w:r w:rsidR="0002689D" w:rsidRPr="00F32643">
        <w:rPr>
          <w:color w:val="000000" w:themeColor="text1"/>
          <w:spacing w:val="0"/>
        </w:rPr>
        <w:t>a más tardar el 21 de diciembre de 2022; la segunda, a más tardar el 21 de diciembre de 2023; y la tercera, a más tardar el 21 de diciembre de 2024.</w:t>
      </w:r>
    </w:p>
    <w:p w14:paraId="2B7C4C09" w14:textId="5A7DCCC9" w:rsidR="005B25B6" w:rsidRPr="00F32643" w:rsidRDefault="005B25B6" w:rsidP="005B25B6">
      <w:pPr>
        <w:rPr>
          <w:color w:val="000000" w:themeColor="text1"/>
          <w:lang w:val="es-CR" w:eastAsia="es-MX"/>
        </w:rPr>
      </w:pPr>
    </w:p>
    <w:p w14:paraId="28B604DA" w14:textId="77777777" w:rsidR="001003AC" w:rsidRPr="00F32643" w:rsidRDefault="001003AC" w:rsidP="001003AC">
      <w:pPr>
        <w:rPr>
          <w:color w:val="000000" w:themeColor="text1"/>
          <w:lang w:val="es-CR" w:eastAsia="es-MX"/>
        </w:rPr>
      </w:pPr>
    </w:p>
    <w:p w14:paraId="69E4D9DD" w14:textId="766A0E30" w:rsidR="001003AC" w:rsidRPr="00F32643" w:rsidRDefault="0062430B" w:rsidP="001003AC">
      <w:pPr>
        <w:pStyle w:val="Ttulo2"/>
        <w:keepNext/>
        <w:numPr>
          <w:ilvl w:val="0"/>
          <w:numId w:val="3"/>
        </w:numPr>
        <w:tabs>
          <w:tab w:val="clear" w:pos="567"/>
          <w:tab w:val="clear" w:pos="993"/>
          <w:tab w:val="left" w:pos="1134"/>
        </w:tabs>
        <w:spacing w:before="0" w:after="0"/>
        <w:ind w:left="1134" w:hanging="567"/>
        <w:contextualSpacing w:val="0"/>
        <w:rPr>
          <w:color w:val="000000" w:themeColor="text1"/>
        </w:rPr>
      </w:pPr>
      <w:r w:rsidRPr="00F32643">
        <w:rPr>
          <w:color w:val="000000" w:themeColor="text1"/>
        </w:rPr>
        <w:t>Sobre los criterios que operan para el pago por restitución y el pago por indemnización,</w:t>
      </w:r>
      <w:r w:rsidR="00F264AA" w:rsidRPr="00F32643">
        <w:rPr>
          <w:color w:val="000000" w:themeColor="text1"/>
        </w:rPr>
        <w:t xml:space="preserve"> y el reintegro de</w:t>
      </w:r>
      <w:r w:rsidRPr="00F32643">
        <w:rPr>
          <w:color w:val="000000" w:themeColor="text1"/>
        </w:rPr>
        <w:t xml:space="preserve"> costas</w:t>
      </w:r>
      <w:r w:rsidR="00F264AA" w:rsidRPr="00F32643">
        <w:rPr>
          <w:color w:val="000000" w:themeColor="text1"/>
        </w:rPr>
        <w:t xml:space="preserve"> y gastos</w:t>
      </w:r>
    </w:p>
    <w:p w14:paraId="0B86D5BF" w14:textId="77777777" w:rsidR="001003AC" w:rsidRPr="00F32643" w:rsidRDefault="001003AC" w:rsidP="001003AC">
      <w:pPr>
        <w:rPr>
          <w:color w:val="000000" w:themeColor="text1"/>
          <w:lang w:val="es-CR"/>
        </w:rPr>
      </w:pPr>
    </w:p>
    <w:p w14:paraId="4EC2A76C" w14:textId="77777777" w:rsidR="001003AC" w:rsidRPr="00F32643" w:rsidRDefault="001003AC" w:rsidP="001003AC">
      <w:pPr>
        <w:pStyle w:val="Ttulo3"/>
        <w:spacing w:before="0" w:after="0"/>
        <w:rPr>
          <w:color w:val="000000" w:themeColor="text1"/>
          <w:lang w:val="es-CR"/>
        </w:rPr>
      </w:pPr>
      <w:bookmarkStart w:id="133" w:name="_Toc57872381"/>
      <w:r w:rsidRPr="00F32643">
        <w:rPr>
          <w:color w:val="000000" w:themeColor="text1"/>
          <w:lang w:val="es-CR"/>
        </w:rPr>
        <w:t>B.1. Alegatos de las partes y de la Comisión</w:t>
      </w:r>
      <w:bookmarkEnd w:id="133"/>
    </w:p>
    <w:p w14:paraId="1C9DCC6D" w14:textId="77777777" w:rsidR="001003AC" w:rsidRPr="00F32643" w:rsidRDefault="001003AC" w:rsidP="001003AC">
      <w:pPr>
        <w:rPr>
          <w:color w:val="000000" w:themeColor="text1"/>
          <w:lang w:val="es-CR"/>
        </w:rPr>
      </w:pPr>
    </w:p>
    <w:p w14:paraId="6CB8448A" w14:textId="128959FD" w:rsidR="001003AC" w:rsidRPr="00F32643" w:rsidRDefault="001003AC" w:rsidP="001003AC">
      <w:pPr>
        <w:pStyle w:val="PrrafodeSentencia"/>
        <w:rPr>
          <w:b/>
          <w:color w:val="000000" w:themeColor="text1"/>
          <w:spacing w:val="0"/>
          <w:szCs w:val="20"/>
        </w:rPr>
      </w:pPr>
      <w:r w:rsidRPr="00F32643">
        <w:rPr>
          <w:color w:val="000000" w:themeColor="text1"/>
          <w:spacing w:val="0"/>
          <w:szCs w:val="20"/>
        </w:rPr>
        <w:t xml:space="preserve">El </w:t>
      </w:r>
      <w:r w:rsidRPr="00F32643">
        <w:rPr>
          <w:b/>
          <w:i/>
          <w:color w:val="000000" w:themeColor="text1"/>
          <w:spacing w:val="0"/>
          <w:szCs w:val="20"/>
        </w:rPr>
        <w:t xml:space="preserve">Estado </w:t>
      </w:r>
      <w:r w:rsidR="006873B6" w:rsidRPr="00F32643">
        <w:rPr>
          <w:color w:val="000000" w:themeColor="text1"/>
          <w:spacing w:val="0"/>
          <w:szCs w:val="20"/>
        </w:rPr>
        <w:t>alegó que existe una falta de precisión respecto a los criterios que operan para los pagos ordenados en la Sentencia</w:t>
      </w:r>
      <w:r w:rsidR="00111F1E" w:rsidRPr="00F32643">
        <w:rPr>
          <w:color w:val="000000" w:themeColor="text1"/>
          <w:spacing w:val="0"/>
          <w:szCs w:val="20"/>
        </w:rPr>
        <w:t>. Indicó que el párrafo 232 de la Sentencia establece el plazo y los criterios particulares para actualizar los montos</w:t>
      </w:r>
      <w:r w:rsidR="004C2AFD" w:rsidRPr="00F32643">
        <w:rPr>
          <w:color w:val="000000" w:themeColor="text1"/>
          <w:spacing w:val="0"/>
          <w:szCs w:val="20"/>
        </w:rPr>
        <w:t xml:space="preserve"> ordenados como medida de restitución. Sin embargo, </w:t>
      </w:r>
      <w:r w:rsidR="00594C8B" w:rsidRPr="00F32643">
        <w:rPr>
          <w:color w:val="000000" w:themeColor="text1"/>
          <w:spacing w:val="0"/>
          <w:szCs w:val="20"/>
        </w:rPr>
        <w:t xml:space="preserve">alegó que </w:t>
      </w:r>
      <w:r w:rsidR="004C2AFD" w:rsidRPr="00F32643">
        <w:rPr>
          <w:color w:val="000000" w:themeColor="text1"/>
          <w:spacing w:val="0"/>
          <w:szCs w:val="20"/>
        </w:rPr>
        <w:t xml:space="preserve">el punto resolutivo </w:t>
      </w:r>
      <w:r w:rsidR="00E65334" w:rsidRPr="00F32643">
        <w:rPr>
          <w:color w:val="000000" w:themeColor="text1"/>
          <w:spacing w:val="0"/>
          <w:szCs w:val="20"/>
        </w:rPr>
        <w:t>octavo</w:t>
      </w:r>
      <w:r w:rsidR="00594C8B" w:rsidRPr="00F32643">
        <w:rPr>
          <w:color w:val="000000" w:themeColor="text1"/>
          <w:spacing w:val="0"/>
          <w:szCs w:val="20"/>
        </w:rPr>
        <w:t xml:space="preserve">, que hace referencia al pago de las indemnizaciones compensatorias y </w:t>
      </w:r>
      <w:r w:rsidR="00E65334" w:rsidRPr="00F32643">
        <w:rPr>
          <w:color w:val="000000" w:themeColor="text1"/>
          <w:spacing w:val="0"/>
          <w:szCs w:val="20"/>
        </w:rPr>
        <w:t xml:space="preserve">reintegro </w:t>
      </w:r>
      <w:r w:rsidR="00594C8B" w:rsidRPr="00F32643">
        <w:rPr>
          <w:color w:val="000000" w:themeColor="text1"/>
          <w:spacing w:val="0"/>
          <w:szCs w:val="20"/>
        </w:rPr>
        <w:t>de costas y gastos, también indica que debe realizars</w:t>
      </w:r>
      <w:r w:rsidR="000850AD" w:rsidRPr="00F32643">
        <w:rPr>
          <w:color w:val="000000" w:themeColor="text1"/>
          <w:spacing w:val="0"/>
          <w:szCs w:val="20"/>
        </w:rPr>
        <w:t xml:space="preserve">e en los términos fijados por los párrafos 232 a 238 de la Sentencia. </w:t>
      </w:r>
      <w:r w:rsidR="008C7275" w:rsidRPr="00F32643">
        <w:rPr>
          <w:color w:val="000000" w:themeColor="text1"/>
          <w:spacing w:val="0"/>
          <w:szCs w:val="20"/>
        </w:rPr>
        <w:t xml:space="preserve">De la misma manera, argumentó que el párrafo 233 hace mención </w:t>
      </w:r>
      <w:r w:rsidR="001A3FD5" w:rsidRPr="00F32643">
        <w:rPr>
          <w:color w:val="000000" w:themeColor="text1"/>
          <w:spacing w:val="0"/>
          <w:szCs w:val="20"/>
        </w:rPr>
        <w:t>del</w:t>
      </w:r>
      <w:r w:rsidR="008C7275" w:rsidRPr="00F32643">
        <w:rPr>
          <w:color w:val="000000" w:themeColor="text1"/>
          <w:spacing w:val="0"/>
          <w:szCs w:val="20"/>
        </w:rPr>
        <w:t xml:space="preserve"> plazo de un año </w:t>
      </w:r>
      <w:r w:rsidR="004E66F1" w:rsidRPr="00F32643">
        <w:rPr>
          <w:color w:val="000000" w:themeColor="text1"/>
          <w:spacing w:val="0"/>
          <w:szCs w:val="20"/>
        </w:rPr>
        <w:t xml:space="preserve">en el </w:t>
      </w:r>
      <w:r w:rsidR="008C7275" w:rsidRPr="00F32643">
        <w:rPr>
          <w:color w:val="000000" w:themeColor="text1"/>
          <w:spacing w:val="0"/>
          <w:szCs w:val="20"/>
        </w:rPr>
        <w:t>que deberá efectuarse el pago por indemnizaciones en concepto de daño inmaterial</w:t>
      </w:r>
      <w:r w:rsidR="00244FFC" w:rsidRPr="00F32643">
        <w:rPr>
          <w:color w:val="000000" w:themeColor="text1"/>
          <w:spacing w:val="0"/>
          <w:szCs w:val="20"/>
        </w:rPr>
        <w:t>,</w:t>
      </w:r>
      <w:r w:rsidR="00E65334" w:rsidRPr="00F32643">
        <w:rPr>
          <w:color w:val="000000" w:themeColor="text1"/>
          <w:spacing w:val="0"/>
          <w:szCs w:val="20"/>
        </w:rPr>
        <w:t xml:space="preserve"> y el reintegro de</w:t>
      </w:r>
      <w:r w:rsidR="00244FFC" w:rsidRPr="00F32643">
        <w:rPr>
          <w:color w:val="000000" w:themeColor="text1"/>
          <w:spacing w:val="0"/>
          <w:szCs w:val="20"/>
        </w:rPr>
        <w:t xml:space="preserve"> costas y gastos, sin hacer referencia al pago como medida de restitución</w:t>
      </w:r>
      <w:r w:rsidR="00E65334" w:rsidRPr="00F32643">
        <w:rPr>
          <w:color w:val="000000" w:themeColor="text1"/>
          <w:spacing w:val="0"/>
          <w:szCs w:val="20"/>
        </w:rPr>
        <w:t>.</w:t>
      </w:r>
      <w:r w:rsidR="000770CD" w:rsidRPr="00F32643">
        <w:rPr>
          <w:color w:val="000000" w:themeColor="text1"/>
          <w:spacing w:val="0"/>
          <w:szCs w:val="20"/>
        </w:rPr>
        <w:t xml:space="preserve"> </w:t>
      </w:r>
      <w:r w:rsidR="00E65334" w:rsidRPr="00F32643">
        <w:rPr>
          <w:color w:val="000000" w:themeColor="text1"/>
          <w:spacing w:val="0"/>
          <w:szCs w:val="20"/>
        </w:rPr>
        <w:t>S</w:t>
      </w:r>
      <w:r w:rsidR="000770CD" w:rsidRPr="00F32643">
        <w:rPr>
          <w:color w:val="000000" w:themeColor="text1"/>
          <w:spacing w:val="0"/>
          <w:szCs w:val="20"/>
        </w:rPr>
        <w:t xml:space="preserve">in </w:t>
      </w:r>
      <w:r w:rsidR="001A3FD5" w:rsidRPr="00F32643">
        <w:rPr>
          <w:color w:val="000000" w:themeColor="text1"/>
          <w:spacing w:val="0"/>
          <w:szCs w:val="20"/>
        </w:rPr>
        <w:t>embargo,</w:t>
      </w:r>
      <w:r w:rsidR="000770CD" w:rsidRPr="00F32643">
        <w:rPr>
          <w:color w:val="000000" w:themeColor="text1"/>
          <w:spacing w:val="0"/>
          <w:szCs w:val="20"/>
        </w:rPr>
        <w:t xml:space="preserve"> el punto resolutivo </w:t>
      </w:r>
      <w:r w:rsidR="00E65334" w:rsidRPr="00F32643">
        <w:rPr>
          <w:color w:val="000000" w:themeColor="text1"/>
          <w:spacing w:val="0"/>
          <w:szCs w:val="20"/>
        </w:rPr>
        <w:t>cuarto</w:t>
      </w:r>
      <w:r w:rsidR="000770CD" w:rsidRPr="00F32643">
        <w:rPr>
          <w:color w:val="000000" w:themeColor="text1"/>
          <w:spacing w:val="0"/>
          <w:szCs w:val="20"/>
        </w:rPr>
        <w:t xml:space="preserve"> sobre </w:t>
      </w:r>
      <w:r w:rsidR="00FB2679" w:rsidRPr="00F32643">
        <w:rPr>
          <w:color w:val="000000" w:themeColor="text1"/>
          <w:spacing w:val="0"/>
          <w:szCs w:val="20"/>
        </w:rPr>
        <w:t>la medida de restitución indica que el párrafo 2</w:t>
      </w:r>
      <w:r w:rsidR="00BA7962" w:rsidRPr="00F32643">
        <w:rPr>
          <w:color w:val="000000" w:themeColor="text1"/>
          <w:spacing w:val="0"/>
          <w:szCs w:val="20"/>
        </w:rPr>
        <w:t>33 también le resulta aplicable. Indicó, además, que los párrafos 234, 235 y 238 hacen referencia general a la “cantidad respectiva”, “las obligaciones monetarias” o</w:t>
      </w:r>
      <w:r w:rsidR="00E42289" w:rsidRPr="00F32643">
        <w:rPr>
          <w:color w:val="000000" w:themeColor="text1"/>
          <w:spacing w:val="0"/>
          <w:szCs w:val="20"/>
        </w:rPr>
        <w:t xml:space="preserve"> “la cantidad adeudada”, sin precisar </w:t>
      </w:r>
      <w:r w:rsidR="00E647D3" w:rsidRPr="00F32643">
        <w:rPr>
          <w:color w:val="000000" w:themeColor="text1"/>
          <w:spacing w:val="0"/>
          <w:szCs w:val="20"/>
        </w:rPr>
        <w:t>a</w:t>
      </w:r>
      <w:r w:rsidR="00E42289" w:rsidRPr="00F32643">
        <w:rPr>
          <w:color w:val="000000" w:themeColor="text1"/>
          <w:spacing w:val="0"/>
          <w:szCs w:val="20"/>
        </w:rPr>
        <w:t xml:space="preserve"> cuáles montos se refiere. Asimismo</w:t>
      </w:r>
      <w:r w:rsidR="005E0884" w:rsidRPr="00F32643">
        <w:rPr>
          <w:color w:val="000000" w:themeColor="text1"/>
          <w:spacing w:val="0"/>
          <w:szCs w:val="20"/>
        </w:rPr>
        <w:t>,</w:t>
      </w:r>
      <w:r w:rsidR="00E42289" w:rsidRPr="00F32643">
        <w:rPr>
          <w:color w:val="000000" w:themeColor="text1"/>
          <w:spacing w:val="0"/>
          <w:szCs w:val="20"/>
        </w:rPr>
        <w:t xml:space="preserve"> solicitó que se aclare si el párrafo 236 se aplica ta</w:t>
      </w:r>
      <w:r w:rsidR="00E65334" w:rsidRPr="00F32643">
        <w:rPr>
          <w:color w:val="000000" w:themeColor="text1"/>
          <w:spacing w:val="0"/>
          <w:szCs w:val="20"/>
        </w:rPr>
        <w:t>mbién</w:t>
      </w:r>
      <w:r w:rsidR="00E42289" w:rsidRPr="00F32643">
        <w:rPr>
          <w:color w:val="000000" w:themeColor="text1"/>
          <w:spacing w:val="0"/>
          <w:szCs w:val="20"/>
        </w:rPr>
        <w:t xml:space="preserve"> para el pago por restitución o sólo al pago por indemnización.</w:t>
      </w:r>
      <w:r w:rsidR="005E0884" w:rsidRPr="00F32643">
        <w:rPr>
          <w:color w:val="000000" w:themeColor="text1"/>
          <w:spacing w:val="0"/>
          <w:szCs w:val="20"/>
        </w:rPr>
        <w:t xml:space="preserve"> De esta forma, solicitó que </w:t>
      </w:r>
      <w:r w:rsidR="00A8293C" w:rsidRPr="00F32643">
        <w:rPr>
          <w:color w:val="000000" w:themeColor="text1"/>
          <w:spacing w:val="0"/>
          <w:szCs w:val="20"/>
        </w:rPr>
        <w:t xml:space="preserve">se precise, para cada una de las medidas ordenadas en los puntos resolutivos </w:t>
      </w:r>
      <w:r w:rsidR="00E65334" w:rsidRPr="00F32643">
        <w:rPr>
          <w:color w:val="000000" w:themeColor="text1"/>
          <w:spacing w:val="0"/>
          <w:szCs w:val="20"/>
        </w:rPr>
        <w:t>cuarto</w:t>
      </w:r>
      <w:r w:rsidR="00A8293C" w:rsidRPr="00F32643">
        <w:rPr>
          <w:color w:val="000000" w:themeColor="text1"/>
          <w:spacing w:val="0"/>
          <w:szCs w:val="20"/>
        </w:rPr>
        <w:t xml:space="preserve"> y </w:t>
      </w:r>
      <w:r w:rsidR="00E65334" w:rsidRPr="00F32643">
        <w:rPr>
          <w:color w:val="000000" w:themeColor="text1"/>
          <w:spacing w:val="0"/>
          <w:szCs w:val="20"/>
        </w:rPr>
        <w:t>octavo</w:t>
      </w:r>
      <w:r w:rsidR="00A8293C" w:rsidRPr="00F32643">
        <w:rPr>
          <w:color w:val="000000" w:themeColor="text1"/>
          <w:spacing w:val="0"/>
          <w:szCs w:val="20"/>
        </w:rPr>
        <w:t>, los criterios que deberían aplicarse para realizar tales pagos.</w:t>
      </w:r>
    </w:p>
    <w:p w14:paraId="2E9F21F3" w14:textId="77777777" w:rsidR="001003AC" w:rsidRPr="00F32643" w:rsidRDefault="001003AC" w:rsidP="001003AC">
      <w:pPr>
        <w:rPr>
          <w:color w:val="000000" w:themeColor="text1"/>
          <w:lang w:val="es-CR" w:eastAsia="es-MX"/>
        </w:rPr>
      </w:pPr>
    </w:p>
    <w:p w14:paraId="29E642D7" w14:textId="55B8650E" w:rsidR="001003AC" w:rsidRPr="00F32643" w:rsidRDefault="001003AC" w:rsidP="001003AC">
      <w:pPr>
        <w:pStyle w:val="PrrafodeSentencia"/>
        <w:rPr>
          <w:color w:val="000000" w:themeColor="text1"/>
          <w:spacing w:val="0"/>
        </w:rPr>
      </w:pPr>
      <w:r w:rsidRPr="00F32643">
        <w:rPr>
          <w:color w:val="000000" w:themeColor="text1"/>
          <w:spacing w:val="0"/>
        </w:rPr>
        <w:t xml:space="preserve">Los </w:t>
      </w:r>
      <w:r w:rsidRPr="00F32643">
        <w:rPr>
          <w:b/>
          <w:i/>
          <w:color w:val="000000" w:themeColor="text1"/>
          <w:spacing w:val="0"/>
        </w:rPr>
        <w:t xml:space="preserve">representantes </w:t>
      </w:r>
      <w:r w:rsidR="004E56EB" w:rsidRPr="00F32643">
        <w:rPr>
          <w:color w:val="000000" w:themeColor="text1"/>
          <w:spacing w:val="0"/>
        </w:rPr>
        <w:t xml:space="preserve">indicaron </w:t>
      </w:r>
      <w:r w:rsidR="00B707C3" w:rsidRPr="00F32643">
        <w:rPr>
          <w:color w:val="000000" w:themeColor="text1"/>
          <w:spacing w:val="0"/>
        </w:rPr>
        <w:t>que la modalidad</w:t>
      </w:r>
      <w:r w:rsidR="00684230" w:rsidRPr="00F32643">
        <w:rPr>
          <w:color w:val="000000" w:themeColor="text1"/>
          <w:spacing w:val="0"/>
        </w:rPr>
        <w:t xml:space="preserve"> de cumplimiento de los pagos ordenados, en función de la naturaleza de pago, debe entenderse como aquella más acorde con la propia </w:t>
      </w:r>
      <w:r w:rsidR="00EE2A1E" w:rsidRPr="00F32643">
        <w:rPr>
          <w:color w:val="000000" w:themeColor="text1"/>
          <w:spacing w:val="0"/>
        </w:rPr>
        <w:t>S</w:t>
      </w:r>
      <w:r w:rsidR="00684230" w:rsidRPr="00F32643">
        <w:rPr>
          <w:color w:val="000000" w:themeColor="text1"/>
          <w:spacing w:val="0"/>
        </w:rPr>
        <w:t xml:space="preserve">entencia respecto de asegurar el pago mediante un mecanismo reglado y progresivo en tiempo para el cabal y oportuno cumplimiento. De esta forma, consideraron que la referencia que se hace en los puntos resolutivos referidos a </w:t>
      </w:r>
      <w:r w:rsidR="001A3FD5" w:rsidRPr="00F32643">
        <w:rPr>
          <w:color w:val="000000" w:themeColor="text1"/>
          <w:spacing w:val="0"/>
        </w:rPr>
        <w:t>pagos</w:t>
      </w:r>
      <w:r w:rsidR="00684230" w:rsidRPr="00F32643">
        <w:rPr>
          <w:color w:val="000000" w:themeColor="text1"/>
          <w:spacing w:val="0"/>
        </w:rPr>
        <w:t xml:space="preserve"> debe entenderse efect</w:t>
      </w:r>
      <w:r w:rsidR="00853C01" w:rsidRPr="00F32643">
        <w:rPr>
          <w:color w:val="000000" w:themeColor="text1"/>
          <w:spacing w:val="0"/>
        </w:rPr>
        <w:t>ua</w:t>
      </w:r>
      <w:r w:rsidR="00684230" w:rsidRPr="00F32643">
        <w:rPr>
          <w:color w:val="000000" w:themeColor="text1"/>
          <w:spacing w:val="0"/>
        </w:rPr>
        <w:t>da a la tipología de pago descrita y no a otra, mant</w:t>
      </w:r>
      <w:r w:rsidR="00853C01" w:rsidRPr="00F32643">
        <w:rPr>
          <w:color w:val="000000" w:themeColor="text1"/>
          <w:spacing w:val="0"/>
        </w:rPr>
        <w:t xml:space="preserve">eniendo como modalidades comunes, aquellas que efectivamente tengan ese carácter, conforme a los propios párrafos 232 a 238. Agregaron que la consulta </w:t>
      </w:r>
      <w:r w:rsidR="00FC1F89" w:rsidRPr="00F32643">
        <w:rPr>
          <w:color w:val="000000" w:themeColor="text1"/>
          <w:spacing w:val="0"/>
        </w:rPr>
        <w:t>resulta impropia por no ser objeto del recurso de interpretación, pues no existe desacuerdo sob</w:t>
      </w:r>
      <w:r w:rsidR="00A0659B" w:rsidRPr="00F32643">
        <w:rPr>
          <w:color w:val="000000" w:themeColor="text1"/>
          <w:spacing w:val="0"/>
        </w:rPr>
        <w:t>r</w:t>
      </w:r>
      <w:r w:rsidR="00FC1F89" w:rsidRPr="00F32643">
        <w:rPr>
          <w:color w:val="000000" w:themeColor="text1"/>
          <w:spacing w:val="0"/>
        </w:rPr>
        <w:t xml:space="preserve">e el sentido o alcance del </w:t>
      </w:r>
      <w:r w:rsidR="00EE2A1E" w:rsidRPr="00F32643">
        <w:rPr>
          <w:color w:val="000000" w:themeColor="text1"/>
          <w:spacing w:val="0"/>
        </w:rPr>
        <w:t>F</w:t>
      </w:r>
      <w:r w:rsidR="00FC1F89" w:rsidRPr="00F32643">
        <w:rPr>
          <w:color w:val="000000" w:themeColor="text1"/>
          <w:spacing w:val="0"/>
        </w:rPr>
        <w:t xml:space="preserve">allo, toda vez que la </w:t>
      </w:r>
      <w:r w:rsidR="00A0659B" w:rsidRPr="00F32643">
        <w:rPr>
          <w:color w:val="000000" w:themeColor="text1"/>
          <w:spacing w:val="0"/>
        </w:rPr>
        <w:t>C</w:t>
      </w:r>
      <w:r w:rsidR="00FC1F89" w:rsidRPr="00F32643">
        <w:rPr>
          <w:color w:val="000000" w:themeColor="text1"/>
          <w:spacing w:val="0"/>
        </w:rPr>
        <w:t xml:space="preserve">orte ha recurrido a criterios comunes a otros </w:t>
      </w:r>
      <w:r w:rsidR="00EE2A1E" w:rsidRPr="00F32643">
        <w:rPr>
          <w:color w:val="000000" w:themeColor="text1"/>
          <w:spacing w:val="0"/>
        </w:rPr>
        <w:t>F</w:t>
      </w:r>
      <w:r w:rsidR="00FC1F89" w:rsidRPr="00F32643">
        <w:rPr>
          <w:color w:val="000000" w:themeColor="text1"/>
          <w:spacing w:val="0"/>
        </w:rPr>
        <w:t>allos, que han superado sin dificultades la fase de cumplimiento.</w:t>
      </w:r>
    </w:p>
    <w:p w14:paraId="7C517D9D" w14:textId="5D4CDFC0" w:rsidR="005D5301" w:rsidRPr="00F32643" w:rsidRDefault="005D5301" w:rsidP="005D5301">
      <w:pPr>
        <w:rPr>
          <w:color w:val="000000" w:themeColor="text1"/>
          <w:lang w:val="es-CR" w:eastAsia="es-MX"/>
        </w:rPr>
      </w:pPr>
    </w:p>
    <w:p w14:paraId="0E9D15B2" w14:textId="77777777" w:rsidR="005D5301" w:rsidRPr="00F32643" w:rsidRDefault="005D5301" w:rsidP="005D5301">
      <w:pPr>
        <w:pStyle w:val="PrrafodeSentencia"/>
        <w:rPr>
          <w:color w:val="000000" w:themeColor="text1"/>
          <w:spacing w:val="0"/>
        </w:rPr>
      </w:pPr>
      <w:r w:rsidRPr="00F32643">
        <w:rPr>
          <w:color w:val="000000" w:themeColor="text1"/>
          <w:spacing w:val="0"/>
        </w:rPr>
        <w:lastRenderedPageBreak/>
        <w:t xml:space="preserve">La </w:t>
      </w:r>
      <w:r w:rsidRPr="00F32643">
        <w:rPr>
          <w:b/>
          <w:i/>
          <w:color w:val="000000" w:themeColor="text1"/>
          <w:spacing w:val="0"/>
        </w:rPr>
        <w:t xml:space="preserve">Comisión </w:t>
      </w:r>
      <w:r w:rsidRPr="00F32643">
        <w:rPr>
          <w:color w:val="000000" w:themeColor="text1"/>
          <w:spacing w:val="0"/>
        </w:rPr>
        <w:t>observó que la aclaración de las consultas planteadas por el Estado puede facilitar el proceso de supervisión de la sentencia y agilizar el cumplimiento de las medidas de reparación, lo cual resulta de extrema importancia en el presente caso dada la edad avanzada de las víctimas. Sin embargo, no se pronunció de manera específica sobre los puntos sometidos a las solicitudes de interpretación.</w:t>
      </w:r>
    </w:p>
    <w:p w14:paraId="1655E7B9" w14:textId="77777777" w:rsidR="005D5301" w:rsidRPr="00F32643" w:rsidRDefault="005D5301" w:rsidP="001003AC">
      <w:pPr>
        <w:rPr>
          <w:color w:val="000000" w:themeColor="text1"/>
          <w:lang w:val="es-CR" w:eastAsia="es-MX"/>
        </w:rPr>
      </w:pPr>
    </w:p>
    <w:p w14:paraId="4D6656EA" w14:textId="77777777" w:rsidR="001003AC" w:rsidRPr="00F32643" w:rsidRDefault="001003AC" w:rsidP="001003AC">
      <w:pPr>
        <w:pStyle w:val="Ttulo3"/>
        <w:spacing w:before="0" w:after="0"/>
        <w:rPr>
          <w:color w:val="000000" w:themeColor="text1"/>
          <w:lang w:val="es-CR"/>
        </w:rPr>
      </w:pPr>
      <w:bookmarkStart w:id="134" w:name="_Toc57872382"/>
      <w:r w:rsidRPr="00F32643">
        <w:rPr>
          <w:color w:val="000000" w:themeColor="text1"/>
          <w:lang w:val="es-CR"/>
        </w:rPr>
        <w:t>B.2. Consideraciones de la Corte</w:t>
      </w:r>
      <w:bookmarkEnd w:id="134"/>
    </w:p>
    <w:p w14:paraId="6A2125D9" w14:textId="77777777" w:rsidR="001003AC" w:rsidRPr="00F32643" w:rsidRDefault="001003AC" w:rsidP="001003AC">
      <w:pPr>
        <w:rPr>
          <w:color w:val="000000" w:themeColor="text1"/>
          <w:lang w:val="es-CR"/>
        </w:rPr>
      </w:pPr>
    </w:p>
    <w:p w14:paraId="24D0E983" w14:textId="76C77FA9" w:rsidR="005B1965" w:rsidRPr="00F32643" w:rsidRDefault="00A0659B" w:rsidP="0063664B">
      <w:pPr>
        <w:pStyle w:val="PrrafodeSentencia"/>
        <w:rPr>
          <w:color w:val="000000" w:themeColor="text1"/>
        </w:rPr>
      </w:pPr>
      <w:r w:rsidRPr="00F32643">
        <w:rPr>
          <w:color w:val="000000" w:themeColor="text1"/>
        </w:rPr>
        <w:t>L</w:t>
      </w:r>
      <w:r w:rsidR="0063664B" w:rsidRPr="00F32643">
        <w:rPr>
          <w:color w:val="000000" w:themeColor="text1"/>
        </w:rPr>
        <w:t>a Corte di</w:t>
      </w:r>
      <w:r w:rsidR="00BA75BC" w:rsidRPr="00F32643">
        <w:rPr>
          <w:color w:val="000000" w:themeColor="text1"/>
        </w:rPr>
        <w:t>s</w:t>
      </w:r>
      <w:r w:rsidR="0063664B" w:rsidRPr="00F32643">
        <w:rPr>
          <w:color w:val="000000" w:themeColor="text1"/>
        </w:rPr>
        <w:t>puso en</w:t>
      </w:r>
      <w:r w:rsidR="00D6558A" w:rsidRPr="00F32643">
        <w:rPr>
          <w:color w:val="000000" w:themeColor="text1"/>
        </w:rPr>
        <w:t xml:space="preserve"> los puntos resolutivos de</w:t>
      </w:r>
      <w:r w:rsidR="0063664B" w:rsidRPr="00F32643">
        <w:rPr>
          <w:color w:val="000000" w:themeColor="text1"/>
        </w:rPr>
        <w:t xml:space="preserve"> la </w:t>
      </w:r>
      <w:r w:rsidR="00D6558A" w:rsidRPr="00F32643">
        <w:rPr>
          <w:color w:val="000000" w:themeColor="text1"/>
        </w:rPr>
        <w:t>S</w:t>
      </w:r>
      <w:r w:rsidR="0063664B" w:rsidRPr="00F32643">
        <w:rPr>
          <w:color w:val="000000" w:themeColor="text1"/>
        </w:rPr>
        <w:t>entencia que:</w:t>
      </w:r>
    </w:p>
    <w:p w14:paraId="6CFB7B5B" w14:textId="06B84753" w:rsidR="00D6558A" w:rsidRPr="00F32643" w:rsidRDefault="00D6558A" w:rsidP="00D6558A">
      <w:pPr>
        <w:rPr>
          <w:color w:val="000000" w:themeColor="text1"/>
          <w:lang w:val="es-CR" w:eastAsia="es-MX"/>
        </w:rPr>
      </w:pPr>
    </w:p>
    <w:p w14:paraId="6694F8F7" w14:textId="5E796822" w:rsidR="00D6558A" w:rsidRPr="00F32643" w:rsidRDefault="000B1727" w:rsidP="00F91349">
      <w:pPr>
        <w:ind w:left="567" w:right="567"/>
        <w:rPr>
          <w:color w:val="000000" w:themeColor="text1"/>
          <w:sz w:val="18"/>
          <w:szCs w:val="18"/>
          <w:lang w:val="es-CR" w:eastAsia="es-MX"/>
        </w:rPr>
      </w:pPr>
      <w:r w:rsidRPr="00F32643">
        <w:rPr>
          <w:color w:val="000000" w:themeColor="text1"/>
          <w:sz w:val="18"/>
          <w:szCs w:val="18"/>
          <w:lang w:val="es-CR" w:eastAsia="es-MX"/>
        </w:rPr>
        <w:t>4. El Estado realizará el pago efectivo de las sumas adeudadas a las víctimas por concepto de restitución, en los términos fijados en los párrafos 205 a 209 y 232 de</w:t>
      </w:r>
      <w:r w:rsidR="00A0659B" w:rsidRPr="00F32643">
        <w:rPr>
          <w:color w:val="000000" w:themeColor="text1"/>
          <w:sz w:val="18"/>
          <w:szCs w:val="18"/>
          <w:lang w:val="es-CR" w:eastAsia="es-MX"/>
        </w:rPr>
        <w:t xml:space="preserve"> [la]</w:t>
      </w:r>
      <w:r w:rsidRPr="00F32643">
        <w:rPr>
          <w:color w:val="000000" w:themeColor="text1"/>
          <w:sz w:val="18"/>
          <w:szCs w:val="18"/>
          <w:lang w:val="es-CR" w:eastAsia="es-MX"/>
        </w:rPr>
        <w:t xml:space="preserve"> Sentencia.</w:t>
      </w:r>
    </w:p>
    <w:p w14:paraId="3A4AC5D0" w14:textId="389CFAE4" w:rsidR="000B1727" w:rsidRPr="00F32643" w:rsidRDefault="000B1727" w:rsidP="00F91349">
      <w:pPr>
        <w:ind w:left="567" w:right="567"/>
        <w:rPr>
          <w:color w:val="000000" w:themeColor="text1"/>
          <w:sz w:val="18"/>
          <w:szCs w:val="18"/>
          <w:lang w:val="es-CR" w:eastAsia="es-MX"/>
        </w:rPr>
      </w:pPr>
      <w:r w:rsidRPr="00F32643">
        <w:rPr>
          <w:color w:val="000000" w:themeColor="text1"/>
          <w:sz w:val="18"/>
          <w:szCs w:val="18"/>
          <w:lang w:val="es-CR" w:eastAsia="es-MX"/>
        </w:rPr>
        <w:t>[…]</w:t>
      </w:r>
    </w:p>
    <w:p w14:paraId="1C97A0F6" w14:textId="729CD65C" w:rsidR="00CD3F91" w:rsidRPr="00F32643" w:rsidRDefault="000B1727" w:rsidP="00F91349">
      <w:pPr>
        <w:ind w:left="567" w:right="567"/>
        <w:rPr>
          <w:color w:val="000000" w:themeColor="text1"/>
          <w:sz w:val="18"/>
          <w:szCs w:val="18"/>
          <w:lang w:val="es-CR" w:eastAsia="es-MX"/>
        </w:rPr>
      </w:pPr>
      <w:r w:rsidRPr="00F32643">
        <w:rPr>
          <w:color w:val="000000" w:themeColor="text1"/>
          <w:sz w:val="18"/>
          <w:szCs w:val="18"/>
          <w:lang w:val="es-CR" w:eastAsia="es-MX"/>
        </w:rPr>
        <w:t>8. El Estado pagará las cantidades fijadas en los párrafos 228 y 231 de la presente Sentencia</w:t>
      </w:r>
      <w:r w:rsidR="003145F0" w:rsidRPr="00F32643">
        <w:rPr>
          <w:color w:val="000000" w:themeColor="text1"/>
          <w:sz w:val="18"/>
          <w:szCs w:val="18"/>
          <w:lang w:val="es-CR" w:eastAsia="es-MX"/>
        </w:rPr>
        <w:t xml:space="preserve"> por concepto de indemnización por daño inmaterial y costas y gastos, en los términos de los párrafos 232 a 238 de</w:t>
      </w:r>
      <w:r w:rsidR="00A0659B" w:rsidRPr="00F32643">
        <w:rPr>
          <w:color w:val="000000" w:themeColor="text1"/>
          <w:sz w:val="18"/>
          <w:szCs w:val="18"/>
          <w:lang w:val="es-CR" w:eastAsia="es-MX"/>
        </w:rPr>
        <w:t>[l]</w:t>
      </w:r>
      <w:r w:rsidR="003145F0" w:rsidRPr="00F32643">
        <w:rPr>
          <w:color w:val="000000" w:themeColor="text1"/>
          <w:sz w:val="18"/>
          <w:szCs w:val="18"/>
          <w:lang w:val="es-CR" w:eastAsia="es-MX"/>
        </w:rPr>
        <w:t xml:space="preserve"> fallo.</w:t>
      </w:r>
    </w:p>
    <w:p w14:paraId="3E0F440A" w14:textId="77777777" w:rsidR="00A0659B" w:rsidRPr="00F32643" w:rsidRDefault="00A0659B" w:rsidP="00F91349">
      <w:pPr>
        <w:ind w:left="567" w:right="567"/>
        <w:rPr>
          <w:color w:val="000000" w:themeColor="text1"/>
          <w:sz w:val="18"/>
          <w:szCs w:val="18"/>
          <w:lang w:val="es-CR" w:eastAsia="es-MX"/>
        </w:rPr>
      </w:pPr>
    </w:p>
    <w:p w14:paraId="136BDAEC" w14:textId="1F31B28B" w:rsidR="00F23BAC" w:rsidRPr="00F32643" w:rsidRDefault="003145F0" w:rsidP="00CD3F91">
      <w:pPr>
        <w:pStyle w:val="PrrafodeSentencia"/>
        <w:rPr>
          <w:color w:val="000000" w:themeColor="text1"/>
        </w:rPr>
      </w:pPr>
      <w:r w:rsidRPr="00F32643">
        <w:rPr>
          <w:color w:val="000000" w:themeColor="text1"/>
        </w:rPr>
        <w:t>Por su parte, se dispuso lo siguiente respecto a las modalidades de cumplimiento de</w:t>
      </w:r>
      <w:r w:rsidR="00A0659B" w:rsidRPr="00F32643">
        <w:rPr>
          <w:color w:val="000000" w:themeColor="text1"/>
        </w:rPr>
        <w:t xml:space="preserve"> los</w:t>
      </w:r>
      <w:r w:rsidRPr="00F32643">
        <w:rPr>
          <w:color w:val="000000" w:themeColor="text1"/>
        </w:rPr>
        <w:t xml:space="preserve"> pago</w:t>
      </w:r>
      <w:r w:rsidR="00A0659B" w:rsidRPr="00F32643">
        <w:rPr>
          <w:color w:val="000000" w:themeColor="text1"/>
        </w:rPr>
        <w:t>s ordenados</w:t>
      </w:r>
      <w:r w:rsidR="00F23BAC" w:rsidRPr="00F32643">
        <w:rPr>
          <w:color w:val="000000" w:themeColor="text1"/>
        </w:rPr>
        <w:t>:</w:t>
      </w:r>
    </w:p>
    <w:p w14:paraId="12242324" w14:textId="0AF2F43E" w:rsidR="00CD3F91" w:rsidRPr="00F32643" w:rsidRDefault="00CD3F91" w:rsidP="00CD3F91">
      <w:pPr>
        <w:rPr>
          <w:color w:val="000000" w:themeColor="text1"/>
          <w:lang w:val="es-CR" w:eastAsia="es-MX"/>
        </w:rPr>
      </w:pPr>
    </w:p>
    <w:p w14:paraId="4FE2308B" w14:textId="77777777" w:rsidR="00EE2B80" w:rsidRPr="00F32643" w:rsidRDefault="00EE2B80" w:rsidP="00F91349">
      <w:pPr>
        <w:spacing w:before="120" w:after="120"/>
        <w:ind w:left="567" w:right="567"/>
        <w:rPr>
          <w:color w:val="000000" w:themeColor="text1"/>
          <w:sz w:val="18"/>
          <w:szCs w:val="18"/>
          <w:lang w:val="es-CR"/>
        </w:rPr>
      </w:pPr>
      <w:r w:rsidRPr="00F32643">
        <w:rPr>
          <w:color w:val="000000" w:themeColor="text1"/>
          <w:sz w:val="18"/>
          <w:szCs w:val="18"/>
          <w:lang w:val="es-CR"/>
        </w:rPr>
        <w:t>232. El pago de los montos reconocidos por esta Sentencia como medida de restitución deberá ser entregado directamente a las personas indicadas en la lista Anexo 1, en tres tractos anuales, empezando a contar el primer tracto en el plazo de un año de notificada la Sentencia. Para el pago de estos tractos se debe tomar como base los montos establecidos en la lista Anexo 2 los cuales deberán actualizarse a la fecha efectiva de su pago tomando en cuenta el reajuste del IPC determinado por el Instituto Nacional de Estadística entre el 31 de julio de 2020 y el momento en que efectivamente se realice el pago y la tasa de interés máxima permitida para operaciones reajustables a partir de esa misma fecha, de acuerdo con lo establecido por el artículo 63 del Código de Trabajo (</w:t>
      </w:r>
      <w:r w:rsidRPr="00F32643">
        <w:rPr>
          <w:i/>
          <w:iCs/>
          <w:color w:val="000000" w:themeColor="text1"/>
          <w:sz w:val="18"/>
          <w:szCs w:val="18"/>
          <w:lang w:val="es-CR"/>
        </w:rPr>
        <w:t>supra</w:t>
      </w:r>
      <w:r w:rsidRPr="00F32643">
        <w:rPr>
          <w:color w:val="000000" w:themeColor="text1"/>
          <w:sz w:val="18"/>
          <w:szCs w:val="18"/>
          <w:lang w:val="es-CR"/>
        </w:rPr>
        <w:t xml:space="preserve"> párr. 207). Una vez que el Estado haga la determinación individualizada de los montos a pagar, deberá comunicarlo a la mayor brevedad a las personas beneficiarias y sus representantes. </w:t>
      </w:r>
    </w:p>
    <w:p w14:paraId="7B6E23B4" w14:textId="3A4DF53C" w:rsidR="00EE2B80" w:rsidRPr="00F32643" w:rsidRDefault="00EE2B80" w:rsidP="00F91349">
      <w:pPr>
        <w:spacing w:before="120" w:after="120"/>
        <w:ind w:left="567" w:right="567"/>
        <w:rPr>
          <w:color w:val="000000" w:themeColor="text1"/>
          <w:sz w:val="18"/>
          <w:szCs w:val="18"/>
          <w:lang w:val="es-CR"/>
        </w:rPr>
      </w:pPr>
      <w:r w:rsidRPr="00F32643">
        <w:rPr>
          <w:color w:val="000000" w:themeColor="text1"/>
          <w:sz w:val="18"/>
          <w:szCs w:val="18"/>
          <w:lang w:val="es-CR"/>
        </w:rPr>
        <w:t xml:space="preserve">233. El Estado deberá efectuar el pago de las indemnizaciones por concepto de daño inmaterial establecidas en la presente Sentencia directamente a las personas indicadas en la misma, de acuerdo con lo establecido en la lista del Anexo 1, así como el pago de las costas y gastos directamente a las personas indicadas en el párrafo 231, dentro del plazo de un año contado a partir de la notificación de la </w:t>
      </w:r>
      <w:r w:rsidR="009659EF" w:rsidRPr="00F32643">
        <w:rPr>
          <w:color w:val="000000" w:themeColor="text1"/>
          <w:sz w:val="18"/>
          <w:szCs w:val="18"/>
          <w:lang w:val="es-CR"/>
        </w:rPr>
        <w:t xml:space="preserve">[la] </w:t>
      </w:r>
      <w:r w:rsidRPr="00F32643">
        <w:rPr>
          <w:color w:val="000000" w:themeColor="text1"/>
          <w:sz w:val="18"/>
          <w:szCs w:val="18"/>
          <w:lang w:val="es-CR"/>
        </w:rPr>
        <w:t xml:space="preserve">Sentencia. </w:t>
      </w:r>
    </w:p>
    <w:p w14:paraId="31B0F4A6" w14:textId="77777777" w:rsidR="00F91349" w:rsidRPr="00F32643" w:rsidRDefault="00EE2B80" w:rsidP="00F91349">
      <w:pPr>
        <w:spacing w:before="120" w:after="120"/>
        <w:ind w:left="567" w:right="567"/>
        <w:rPr>
          <w:color w:val="000000" w:themeColor="text1"/>
          <w:sz w:val="18"/>
          <w:szCs w:val="18"/>
          <w:lang w:val="es-CR"/>
        </w:rPr>
      </w:pPr>
      <w:r w:rsidRPr="00F32643">
        <w:rPr>
          <w:color w:val="000000" w:themeColor="text1"/>
          <w:sz w:val="18"/>
          <w:szCs w:val="18"/>
          <w:lang w:val="es-CR"/>
        </w:rPr>
        <w:t>234. En caso de que la persona beneficiaria haya fallecido o fallezca antes de que le sea entregada la cantidad respectiva, esta se entregará directamente a sus derechohabientes, conforme al derecho interno aplicable. Esta Corte toma nota de que, de acuerdo con los</w:t>
      </w:r>
      <w:r w:rsidR="00F91349" w:rsidRPr="00F32643">
        <w:rPr>
          <w:color w:val="000000" w:themeColor="text1"/>
          <w:sz w:val="18"/>
          <w:szCs w:val="18"/>
          <w:lang w:val="es-CR"/>
        </w:rPr>
        <w:t xml:space="preserve"> representantes, no cuentan con información acerca de los herederos de las víctimas María Graciela Cisternas Cisternas, María Apolina Lara Pereira y Heriberto Antonio Martínez Salazar. Al respecto, la Corte estima que, con el fin de determinar los derechohabientes de estas personas, el Estado deberá realizar la publicación de por lo menos tres edictos en el Diario Oficial en un término de seis meses convocando a los familiares inmediatos de estas personas para que se presenten con la información necesaria e informando del procedimiento a seguir para estos fines. </w:t>
      </w:r>
    </w:p>
    <w:p w14:paraId="43CFF620" w14:textId="77777777" w:rsidR="00F91349" w:rsidRPr="00F32643" w:rsidRDefault="00F91349" w:rsidP="00F91349">
      <w:pPr>
        <w:spacing w:before="120" w:after="120"/>
        <w:ind w:left="567" w:right="567"/>
        <w:rPr>
          <w:color w:val="000000" w:themeColor="text1"/>
          <w:sz w:val="18"/>
          <w:szCs w:val="18"/>
          <w:lang w:val="es-CR"/>
        </w:rPr>
      </w:pPr>
      <w:r w:rsidRPr="00F32643">
        <w:rPr>
          <w:color w:val="000000" w:themeColor="text1"/>
          <w:sz w:val="18"/>
          <w:szCs w:val="18"/>
          <w:lang w:val="es-CR"/>
        </w:rPr>
        <w:t xml:space="preserve">235. El Estado deberá cumplir con las obligaciones monetarias mediante el pago en dólares de los Estados Unidos de América o su equivalente en moneda nacional, utilizando para el cálculo respectivo el tipo de cambio de mercado publicado o calculado por una autoridad bancaria o financiera pertinente, en la fecha más cercana al día del pago. </w:t>
      </w:r>
    </w:p>
    <w:p w14:paraId="5EA9CC63" w14:textId="77777777" w:rsidR="00F91349" w:rsidRPr="00F32643" w:rsidRDefault="00F91349" w:rsidP="00F91349">
      <w:pPr>
        <w:spacing w:before="120" w:after="120"/>
        <w:ind w:left="567" w:right="567"/>
        <w:rPr>
          <w:color w:val="000000" w:themeColor="text1"/>
          <w:sz w:val="18"/>
          <w:szCs w:val="18"/>
          <w:lang w:val="es-CR"/>
        </w:rPr>
      </w:pPr>
      <w:r w:rsidRPr="00F32643">
        <w:rPr>
          <w:color w:val="000000" w:themeColor="text1"/>
          <w:sz w:val="18"/>
          <w:szCs w:val="18"/>
          <w:lang w:val="es-CR"/>
        </w:rPr>
        <w:lastRenderedPageBreak/>
        <w:t xml:space="preserve">236. Si por causas atribuibles a las personas beneficiarias de las indemnizaciones o a sus derechohabientes no fuese posible el pago de las cantidades determinadas dentro del plazo indicado, el Estado consignará dichos montos a su favor en una cuenta o certificado de depósito en una institución financiera chilena solvente, en dólares de los Estados Unidos de América, y en las condiciones financieras más favorables que permitan la legislación y la práctica bancaria. Si no se reclama la indemnización correspondiente una vez transcurridos diez años, las cantidades serán devueltas al Estado con los intereses devengados. </w:t>
      </w:r>
    </w:p>
    <w:p w14:paraId="733E2E36" w14:textId="4E4BAB73" w:rsidR="00F91349" w:rsidRPr="00F32643" w:rsidRDefault="00F91349" w:rsidP="00F91349">
      <w:pPr>
        <w:spacing w:before="120" w:after="120"/>
        <w:ind w:left="567" w:right="567"/>
        <w:rPr>
          <w:color w:val="000000" w:themeColor="text1"/>
          <w:sz w:val="18"/>
          <w:szCs w:val="18"/>
          <w:lang w:val="es-CR"/>
        </w:rPr>
      </w:pPr>
      <w:r w:rsidRPr="00F32643">
        <w:rPr>
          <w:color w:val="000000" w:themeColor="text1"/>
          <w:sz w:val="18"/>
          <w:szCs w:val="18"/>
          <w:lang w:val="es-CR"/>
        </w:rPr>
        <w:t xml:space="preserve">237. Las cantidades asignadas en la </w:t>
      </w:r>
      <w:r w:rsidR="009659EF" w:rsidRPr="00F32643">
        <w:rPr>
          <w:color w:val="000000" w:themeColor="text1"/>
          <w:sz w:val="18"/>
          <w:szCs w:val="18"/>
          <w:lang w:val="es-CR"/>
        </w:rPr>
        <w:t xml:space="preserve">[la] </w:t>
      </w:r>
      <w:r w:rsidRPr="00F32643">
        <w:rPr>
          <w:color w:val="000000" w:themeColor="text1"/>
          <w:sz w:val="18"/>
          <w:szCs w:val="18"/>
          <w:lang w:val="es-CR"/>
        </w:rPr>
        <w:t xml:space="preserve">Sentencia como indemnización por concepto de restitución, daños inmateriales y como reintegro de costas y gastos, deberán ser entregadas a las personas beneficiarias indicadas en forma íntegra, conforme a lo establecido en </w:t>
      </w:r>
      <w:r w:rsidR="00BC0F9D" w:rsidRPr="00F32643">
        <w:rPr>
          <w:color w:val="000000" w:themeColor="text1"/>
          <w:sz w:val="18"/>
          <w:szCs w:val="18"/>
          <w:lang w:val="es-CR"/>
        </w:rPr>
        <w:t xml:space="preserve">[la] </w:t>
      </w:r>
      <w:r w:rsidRPr="00F32643">
        <w:rPr>
          <w:color w:val="000000" w:themeColor="text1"/>
          <w:sz w:val="18"/>
          <w:szCs w:val="18"/>
          <w:lang w:val="es-CR"/>
        </w:rPr>
        <w:t xml:space="preserve">Sentencia, sin reducciones derivadas de eventuales cargas fiscales. </w:t>
      </w:r>
    </w:p>
    <w:p w14:paraId="2590B3D6" w14:textId="3312CC8E" w:rsidR="00EE2B80" w:rsidRPr="00F32643" w:rsidRDefault="00F91349" w:rsidP="00F91349">
      <w:pPr>
        <w:spacing w:before="120" w:after="120"/>
        <w:ind w:left="567" w:right="567"/>
        <w:rPr>
          <w:color w:val="000000" w:themeColor="text1"/>
          <w:sz w:val="18"/>
          <w:szCs w:val="18"/>
          <w:lang w:val="es-CR" w:eastAsia="es-MX"/>
        </w:rPr>
      </w:pPr>
      <w:r w:rsidRPr="00F32643">
        <w:rPr>
          <w:color w:val="000000" w:themeColor="text1"/>
          <w:sz w:val="18"/>
          <w:szCs w:val="18"/>
          <w:lang w:val="es-CR"/>
        </w:rPr>
        <w:t>238. En caso de que el Estado incurriera en mora, deberá pagar un interés sobre la cantidad adeudada correspondiente al interés bancario moratorio en la República de Chile.</w:t>
      </w:r>
    </w:p>
    <w:p w14:paraId="0CF5EC8B" w14:textId="7FC067A8" w:rsidR="00D95AD0" w:rsidRPr="00F32643" w:rsidRDefault="00E559F8" w:rsidP="00D6558A">
      <w:pPr>
        <w:pStyle w:val="PrrafodeSentencia"/>
        <w:rPr>
          <w:color w:val="000000" w:themeColor="text1"/>
        </w:rPr>
      </w:pPr>
      <w:r w:rsidRPr="00F32643">
        <w:rPr>
          <w:color w:val="000000" w:themeColor="text1"/>
        </w:rPr>
        <w:t xml:space="preserve">El Estado considera que no quedan claros cuáles párrafos de este apartado son aplicables al pago por restitución, y cuáles son aplicables </w:t>
      </w:r>
      <w:r w:rsidR="0057249E" w:rsidRPr="00F32643">
        <w:rPr>
          <w:color w:val="000000" w:themeColor="text1"/>
        </w:rPr>
        <w:t xml:space="preserve">a los pagos por concepto de indemnizaciones, </w:t>
      </w:r>
      <w:r w:rsidR="00A0659B" w:rsidRPr="00F32643">
        <w:rPr>
          <w:color w:val="000000" w:themeColor="text1"/>
        </w:rPr>
        <w:t>y</w:t>
      </w:r>
      <w:r w:rsidR="001B240D" w:rsidRPr="00F32643">
        <w:rPr>
          <w:color w:val="000000" w:themeColor="text1"/>
        </w:rPr>
        <w:t xml:space="preserve"> al</w:t>
      </w:r>
      <w:r w:rsidR="00A0659B" w:rsidRPr="00F32643">
        <w:rPr>
          <w:color w:val="000000" w:themeColor="text1"/>
        </w:rPr>
        <w:t xml:space="preserve"> reintegro de </w:t>
      </w:r>
      <w:r w:rsidR="0057249E" w:rsidRPr="00F32643">
        <w:rPr>
          <w:color w:val="000000" w:themeColor="text1"/>
        </w:rPr>
        <w:t xml:space="preserve">costas y gastos. </w:t>
      </w:r>
      <w:r w:rsidR="00FE5812" w:rsidRPr="00F32643">
        <w:rPr>
          <w:color w:val="000000" w:themeColor="text1"/>
        </w:rPr>
        <w:t xml:space="preserve">Ante esta solicitud, esta Corte recuerda que es preciso que las partes realicen una lectura integral de la Sentencia y no consideren cada párrafo del Fallo como si fuese independiente del resto. </w:t>
      </w:r>
    </w:p>
    <w:p w14:paraId="3EB9F047" w14:textId="77777777" w:rsidR="00D95AD0" w:rsidRPr="00F32643" w:rsidRDefault="00D95AD0" w:rsidP="00D95AD0">
      <w:pPr>
        <w:rPr>
          <w:color w:val="000000" w:themeColor="text1"/>
          <w:lang w:val="es-CR" w:eastAsia="es-MX"/>
        </w:rPr>
      </w:pPr>
    </w:p>
    <w:p w14:paraId="22AFAFD9" w14:textId="583CFE8B" w:rsidR="00C52ED4" w:rsidRPr="00F32643" w:rsidRDefault="00FE5812" w:rsidP="00D6558A">
      <w:pPr>
        <w:pStyle w:val="PrrafodeSentencia"/>
        <w:rPr>
          <w:color w:val="000000" w:themeColor="text1"/>
        </w:rPr>
      </w:pPr>
      <w:r w:rsidRPr="00F32643">
        <w:rPr>
          <w:color w:val="000000" w:themeColor="text1"/>
        </w:rPr>
        <w:t>De esta forma,</w:t>
      </w:r>
      <w:r w:rsidR="00D95AD0" w:rsidRPr="00F32643">
        <w:rPr>
          <w:color w:val="000000" w:themeColor="text1"/>
        </w:rPr>
        <w:t xml:space="preserve"> este Tribunal considera que los criterios que operan para los pagos de las cantidades establecidas en la Sentencia por concepto de restitución e indemnización por daño inmaterial, así como </w:t>
      </w:r>
      <w:r w:rsidR="00067780" w:rsidRPr="00F32643">
        <w:rPr>
          <w:color w:val="000000" w:themeColor="text1"/>
        </w:rPr>
        <w:t xml:space="preserve">para </w:t>
      </w:r>
      <w:r w:rsidR="00D95AD0" w:rsidRPr="00F32643">
        <w:rPr>
          <w:color w:val="000000" w:themeColor="text1"/>
        </w:rPr>
        <w:t>el reintegro de costas y gastos ordenados por el Tribunal</w:t>
      </w:r>
      <w:r w:rsidR="00067780" w:rsidRPr="00F32643">
        <w:rPr>
          <w:color w:val="000000" w:themeColor="text1"/>
        </w:rPr>
        <w:t>,</w:t>
      </w:r>
      <w:r w:rsidR="00C64034" w:rsidRPr="00F32643">
        <w:rPr>
          <w:color w:val="000000" w:themeColor="text1"/>
        </w:rPr>
        <w:t xml:space="preserve"> son suficientemente claros y precisos. </w:t>
      </w:r>
    </w:p>
    <w:p w14:paraId="32D3DD8B" w14:textId="77777777" w:rsidR="00C52ED4" w:rsidRPr="00F32643" w:rsidRDefault="00C52ED4" w:rsidP="00C52ED4">
      <w:pPr>
        <w:rPr>
          <w:color w:val="000000" w:themeColor="text1"/>
          <w:lang w:val="es-CR" w:eastAsia="es-MX"/>
        </w:rPr>
      </w:pPr>
    </w:p>
    <w:p w14:paraId="265802E3" w14:textId="21E307A1" w:rsidR="00616447" w:rsidRPr="00F32643" w:rsidRDefault="00C64034" w:rsidP="00C52ED4">
      <w:pPr>
        <w:pStyle w:val="PrrafodeSentencia"/>
        <w:rPr>
          <w:color w:val="000000" w:themeColor="text1"/>
        </w:rPr>
      </w:pPr>
      <w:r w:rsidRPr="00F32643">
        <w:rPr>
          <w:color w:val="000000" w:themeColor="text1"/>
        </w:rPr>
        <w:t xml:space="preserve">Sin embargo, en aras de facilitar </w:t>
      </w:r>
      <w:r w:rsidR="0088005A" w:rsidRPr="00F32643">
        <w:rPr>
          <w:color w:val="000000" w:themeColor="text1"/>
        </w:rPr>
        <w:t>el cumplimiento de las medidas ordenadas, se subraya que,</w:t>
      </w:r>
      <w:r w:rsidR="00FE5812" w:rsidRPr="00F32643">
        <w:rPr>
          <w:color w:val="000000" w:themeColor="text1"/>
        </w:rPr>
        <w:t xml:space="preserve"> de una lectura en conjunta de los puntos resolutivos y de los párrafos sobre las modalidades de cumplimiento, se despre</w:t>
      </w:r>
      <w:r w:rsidR="00021447" w:rsidRPr="00F32643">
        <w:rPr>
          <w:color w:val="000000" w:themeColor="text1"/>
        </w:rPr>
        <w:t>nde que</w:t>
      </w:r>
      <w:r w:rsidR="000954A0" w:rsidRPr="00F32643">
        <w:rPr>
          <w:color w:val="000000" w:themeColor="text1"/>
        </w:rPr>
        <w:t xml:space="preserve"> el párrafo 232 se refiere</w:t>
      </w:r>
      <w:r w:rsidR="001A3F05" w:rsidRPr="00F32643">
        <w:rPr>
          <w:color w:val="000000" w:themeColor="text1"/>
        </w:rPr>
        <w:t xml:space="preserve"> únicamente</w:t>
      </w:r>
      <w:r w:rsidR="000954A0" w:rsidRPr="00F32643">
        <w:rPr>
          <w:color w:val="000000" w:themeColor="text1"/>
        </w:rPr>
        <w:t xml:space="preserve"> a la modalidad de cumplimiento </w:t>
      </w:r>
      <w:r w:rsidR="00634671" w:rsidRPr="00F32643">
        <w:rPr>
          <w:color w:val="000000" w:themeColor="text1"/>
        </w:rPr>
        <w:t>del pago de los montos reconocidos por esta Sentencia como medida de restitución.</w:t>
      </w:r>
      <w:r w:rsidR="008322CE" w:rsidRPr="00F32643">
        <w:rPr>
          <w:color w:val="000000" w:themeColor="text1"/>
        </w:rPr>
        <w:t xml:space="preserve"> Se </w:t>
      </w:r>
      <w:r w:rsidR="0065412B" w:rsidRPr="00F32643">
        <w:rPr>
          <w:color w:val="000000" w:themeColor="text1"/>
        </w:rPr>
        <w:t>aclara</w:t>
      </w:r>
      <w:r w:rsidR="008322CE" w:rsidRPr="00F32643">
        <w:rPr>
          <w:color w:val="000000" w:themeColor="text1"/>
        </w:rPr>
        <w:t xml:space="preserve"> que la posibilidad de</w:t>
      </w:r>
      <w:r w:rsidR="00C60431" w:rsidRPr="00F32643">
        <w:rPr>
          <w:color w:val="000000" w:themeColor="text1"/>
        </w:rPr>
        <w:t xml:space="preserve"> pagar en tres cuotas aplica únicamente para los montos reconocidos como medida de </w:t>
      </w:r>
      <w:r w:rsidR="002912D7" w:rsidRPr="00F32643">
        <w:rPr>
          <w:color w:val="000000" w:themeColor="text1"/>
        </w:rPr>
        <w:t>re</w:t>
      </w:r>
      <w:r w:rsidR="00C60431" w:rsidRPr="00F32643">
        <w:rPr>
          <w:color w:val="000000" w:themeColor="text1"/>
        </w:rPr>
        <w:t>stitución.</w:t>
      </w:r>
      <w:r w:rsidR="00634671" w:rsidRPr="00F32643">
        <w:rPr>
          <w:color w:val="000000" w:themeColor="text1"/>
        </w:rPr>
        <w:t xml:space="preserve"> De la misma manera, </w:t>
      </w:r>
      <w:r w:rsidR="001A3F05" w:rsidRPr="00F32643">
        <w:rPr>
          <w:color w:val="000000" w:themeColor="text1"/>
        </w:rPr>
        <w:t>el párrafo 233 establece literalmente que se aplica para el pago de indemnizaciones por daño inmaterial</w:t>
      </w:r>
      <w:r w:rsidR="00A0659B" w:rsidRPr="00F32643">
        <w:rPr>
          <w:color w:val="000000" w:themeColor="text1"/>
        </w:rPr>
        <w:t xml:space="preserve"> y al reintegro de costas y gastos</w:t>
      </w:r>
      <w:r w:rsidR="001A3F05" w:rsidRPr="00F32643">
        <w:rPr>
          <w:color w:val="000000" w:themeColor="text1"/>
        </w:rPr>
        <w:t xml:space="preserve">. </w:t>
      </w:r>
      <w:r w:rsidR="00BD5FE2" w:rsidRPr="00F32643">
        <w:rPr>
          <w:color w:val="000000" w:themeColor="text1"/>
        </w:rPr>
        <w:t>Por su parte, el párrafo 234 referido a la forma de pago de los beneficiarios</w:t>
      </w:r>
      <w:r w:rsidR="003C4311" w:rsidRPr="00F32643">
        <w:rPr>
          <w:color w:val="000000" w:themeColor="text1"/>
        </w:rPr>
        <w:t xml:space="preserve"> que hayan fallecido o que fallezcan antes de que les sea entregada la cantidad respectiva, se aplica para todos los montos debidos, ya sea por concepto de restitución</w:t>
      </w:r>
      <w:r w:rsidR="00E647D3" w:rsidRPr="00F32643">
        <w:rPr>
          <w:color w:val="000000" w:themeColor="text1"/>
        </w:rPr>
        <w:t xml:space="preserve"> o</w:t>
      </w:r>
      <w:r w:rsidR="003C4311" w:rsidRPr="00F32643">
        <w:rPr>
          <w:color w:val="000000" w:themeColor="text1"/>
        </w:rPr>
        <w:t xml:space="preserve"> </w:t>
      </w:r>
      <w:r w:rsidR="00287B35" w:rsidRPr="00F32643">
        <w:rPr>
          <w:color w:val="000000" w:themeColor="text1"/>
        </w:rPr>
        <w:t xml:space="preserve">de indemnización </w:t>
      </w:r>
      <w:r w:rsidR="00A0659B" w:rsidRPr="00F32643">
        <w:rPr>
          <w:color w:val="000000" w:themeColor="text1"/>
        </w:rPr>
        <w:t>por daño inmaterial</w:t>
      </w:r>
      <w:r w:rsidR="00287B35" w:rsidRPr="00F32643">
        <w:rPr>
          <w:color w:val="000000" w:themeColor="text1"/>
        </w:rPr>
        <w:t xml:space="preserve">. </w:t>
      </w:r>
      <w:r w:rsidR="00B061D5" w:rsidRPr="00F32643">
        <w:rPr>
          <w:color w:val="000000" w:themeColor="text1"/>
        </w:rPr>
        <w:t>De la misma manera</w:t>
      </w:r>
      <w:r w:rsidR="002B1DDB" w:rsidRPr="00F32643">
        <w:rPr>
          <w:color w:val="000000" w:themeColor="text1"/>
        </w:rPr>
        <w:t>,</w:t>
      </w:r>
      <w:r w:rsidR="00B061D5" w:rsidRPr="00F32643">
        <w:rPr>
          <w:color w:val="000000" w:themeColor="text1"/>
        </w:rPr>
        <w:t xml:space="preserve"> los párrafo</w:t>
      </w:r>
      <w:r w:rsidR="003607EB" w:rsidRPr="00F32643">
        <w:rPr>
          <w:color w:val="000000" w:themeColor="text1"/>
        </w:rPr>
        <w:t>s</w:t>
      </w:r>
      <w:r w:rsidR="00B061D5" w:rsidRPr="00F32643">
        <w:rPr>
          <w:color w:val="000000" w:themeColor="text1"/>
        </w:rPr>
        <w:t xml:space="preserve"> 235 y 236 son aplicables a los pagos de todos los montos debidos a los beneficiarios, tanto por concepto de restitución como por indemnizaciones</w:t>
      </w:r>
      <w:r w:rsidR="00D73AA2" w:rsidRPr="00F32643">
        <w:rPr>
          <w:color w:val="000000" w:themeColor="text1"/>
        </w:rPr>
        <w:t xml:space="preserve"> por daño inmaterial</w:t>
      </w:r>
      <w:r w:rsidR="00B061D5" w:rsidRPr="00F32643">
        <w:rPr>
          <w:color w:val="000000" w:themeColor="text1"/>
        </w:rPr>
        <w:t>.</w:t>
      </w:r>
      <w:r w:rsidR="003607EB" w:rsidRPr="00F32643">
        <w:rPr>
          <w:color w:val="000000" w:themeColor="text1"/>
        </w:rPr>
        <w:t xml:space="preserve"> Por otra parte, el </w:t>
      </w:r>
      <w:r w:rsidR="00D73AA2" w:rsidRPr="00F32643">
        <w:rPr>
          <w:color w:val="000000" w:themeColor="text1"/>
        </w:rPr>
        <w:t xml:space="preserve">párrafo </w:t>
      </w:r>
      <w:r w:rsidR="003607EB" w:rsidRPr="00F32643">
        <w:rPr>
          <w:color w:val="000000" w:themeColor="text1"/>
        </w:rPr>
        <w:t>237 estab</w:t>
      </w:r>
      <w:r w:rsidR="00D95F2E" w:rsidRPr="00F32643">
        <w:rPr>
          <w:color w:val="000000" w:themeColor="text1"/>
        </w:rPr>
        <w:t xml:space="preserve">lece de forma literal que se aplica a los pagos por concepto de restitución, </w:t>
      </w:r>
      <w:r w:rsidR="003D7E13" w:rsidRPr="00F32643">
        <w:rPr>
          <w:color w:val="000000" w:themeColor="text1"/>
        </w:rPr>
        <w:t>daños inmateriales y reintegro de costas y gastos.</w:t>
      </w:r>
      <w:r w:rsidR="00524A30" w:rsidRPr="00F32643">
        <w:rPr>
          <w:color w:val="000000" w:themeColor="text1"/>
        </w:rPr>
        <w:t xml:space="preserve"> </w:t>
      </w:r>
    </w:p>
    <w:p w14:paraId="7DC17264" w14:textId="77777777" w:rsidR="00616447" w:rsidRPr="00F32643" w:rsidRDefault="00616447" w:rsidP="00616447">
      <w:pPr>
        <w:pStyle w:val="PrrafodeSentencia"/>
        <w:numPr>
          <w:ilvl w:val="0"/>
          <w:numId w:val="0"/>
        </w:numPr>
        <w:rPr>
          <w:color w:val="000000" w:themeColor="text1"/>
        </w:rPr>
      </w:pPr>
    </w:p>
    <w:p w14:paraId="1C55DF5A" w14:textId="197377A3" w:rsidR="00F23BAC" w:rsidRPr="00F32643" w:rsidRDefault="00524A30" w:rsidP="00C52ED4">
      <w:pPr>
        <w:pStyle w:val="PrrafodeSentencia"/>
        <w:rPr>
          <w:color w:val="000000" w:themeColor="text1"/>
        </w:rPr>
      </w:pPr>
      <w:r w:rsidRPr="00F32643">
        <w:rPr>
          <w:color w:val="000000" w:themeColor="text1"/>
        </w:rPr>
        <w:t xml:space="preserve">De esta forma, se considera que este aspecto de la consulta del Estado encuentra su respuesta a partir de la </w:t>
      </w:r>
      <w:r w:rsidR="00D73AA2" w:rsidRPr="00F32643">
        <w:rPr>
          <w:color w:val="000000" w:themeColor="text1"/>
        </w:rPr>
        <w:t>literalidad</w:t>
      </w:r>
      <w:r w:rsidRPr="00F32643">
        <w:rPr>
          <w:color w:val="000000" w:themeColor="text1"/>
        </w:rPr>
        <w:t xml:space="preserve"> de los párrafos antes indicados.</w:t>
      </w:r>
      <w:r w:rsidR="00B91BFC" w:rsidRPr="00F32643">
        <w:rPr>
          <w:color w:val="000000" w:themeColor="text1"/>
        </w:rPr>
        <w:t xml:space="preserve"> Sobre la aplicabilidad del párrafo 238, la Corte se referirá en el siguiente apartado.</w:t>
      </w:r>
    </w:p>
    <w:p w14:paraId="6F25EF38" w14:textId="77777777" w:rsidR="004043F6" w:rsidRPr="00F32643" w:rsidRDefault="004043F6" w:rsidP="004043F6">
      <w:pPr>
        <w:rPr>
          <w:color w:val="000000" w:themeColor="text1"/>
          <w:lang w:val="es-CR" w:eastAsia="es-MX"/>
        </w:rPr>
      </w:pPr>
    </w:p>
    <w:p w14:paraId="7D9B03E1" w14:textId="65709DCB" w:rsidR="005B1965" w:rsidRPr="00F32643" w:rsidRDefault="005B1965" w:rsidP="005B1965">
      <w:pPr>
        <w:pStyle w:val="Ttulo2"/>
        <w:keepNext/>
        <w:numPr>
          <w:ilvl w:val="0"/>
          <w:numId w:val="3"/>
        </w:numPr>
        <w:tabs>
          <w:tab w:val="clear" w:pos="567"/>
          <w:tab w:val="clear" w:pos="993"/>
          <w:tab w:val="left" w:pos="1134"/>
        </w:tabs>
        <w:spacing w:before="0" w:after="0"/>
        <w:ind w:left="1134" w:hanging="567"/>
        <w:contextualSpacing w:val="0"/>
        <w:rPr>
          <w:color w:val="000000" w:themeColor="text1"/>
        </w:rPr>
      </w:pPr>
      <w:r w:rsidRPr="00F32643">
        <w:rPr>
          <w:color w:val="000000" w:themeColor="text1"/>
        </w:rPr>
        <w:t xml:space="preserve">Sobre </w:t>
      </w:r>
      <w:r w:rsidR="002F50ED" w:rsidRPr="00F32643">
        <w:rPr>
          <w:color w:val="000000" w:themeColor="text1"/>
        </w:rPr>
        <w:t>el</w:t>
      </w:r>
      <w:r w:rsidR="00D31668" w:rsidRPr="00F32643">
        <w:rPr>
          <w:color w:val="000000" w:themeColor="text1"/>
        </w:rPr>
        <w:t xml:space="preserve"> reajuste de los montos a pagarse en tres tractos anuales relativos a la medida de restitución y el</w:t>
      </w:r>
      <w:r w:rsidR="002F50ED" w:rsidRPr="00F32643">
        <w:rPr>
          <w:color w:val="000000" w:themeColor="text1"/>
        </w:rPr>
        <w:t xml:space="preserve"> cobro de intereses por mora sobre las sumas adeudadas</w:t>
      </w:r>
    </w:p>
    <w:p w14:paraId="3EF0BEE8" w14:textId="77777777" w:rsidR="005B1965" w:rsidRPr="00F32643" w:rsidRDefault="005B1965" w:rsidP="005B1965">
      <w:pPr>
        <w:rPr>
          <w:color w:val="000000" w:themeColor="text1"/>
          <w:lang w:val="es-CR"/>
        </w:rPr>
      </w:pPr>
    </w:p>
    <w:p w14:paraId="34D8A0F9" w14:textId="71C503F3" w:rsidR="005B1965" w:rsidRPr="00F32643" w:rsidRDefault="005B1965" w:rsidP="005B1965">
      <w:pPr>
        <w:pStyle w:val="Ttulo3"/>
        <w:spacing w:before="0" w:after="0"/>
        <w:rPr>
          <w:color w:val="000000" w:themeColor="text1"/>
          <w:lang w:val="es-CR"/>
        </w:rPr>
      </w:pPr>
      <w:r w:rsidRPr="00F32643">
        <w:rPr>
          <w:color w:val="000000" w:themeColor="text1"/>
          <w:lang w:val="es-CR"/>
        </w:rPr>
        <w:t>C.1. Alegatos de las partes y de la Comisión</w:t>
      </w:r>
    </w:p>
    <w:p w14:paraId="75A4505D" w14:textId="77777777" w:rsidR="005B1965" w:rsidRPr="00F32643" w:rsidRDefault="005B1965" w:rsidP="005B1965">
      <w:pPr>
        <w:rPr>
          <w:color w:val="000000" w:themeColor="text1"/>
          <w:lang w:val="es-CR"/>
        </w:rPr>
      </w:pPr>
    </w:p>
    <w:p w14:paraId="3BABECCE" w14:textId="48E3A9C8" w:rsidR="005B1965" w:rsidRPr="00F32643" w:rsidRDefault="005B1965" w:rsidP="005B1965">
      <w:pPr>
        <w:pStyle w:val="PrrafodeSentencia"/>
        <w:rPr>
          <w:b/>
          <w:color w:val="000000" w:themeColor="text1"/>
          <w:spacing w:val="0"/>
          <w:szCs w:val="20"/>
        </w:rPr>
      </w:pPr>
      <w:r w:rsidRPr="00F32643">
        <w:rPr>
          <w:color w:val="000000" w:themeColor="text1"/>
          <w:spacing w:val="0"/>
          <w:szCs w:val="20"/>
        </w:rPr>
        <w:lastRenderedPageBreak/>
        <w:t xml:space="preserve">El </w:t>
      </w:r>
      <w:r w:rsidRPr="00F32643">
        <w:rPr>
          <w:b/>
          <w:i/>
          <w:color w:val="000000" w:themeColor="text1"/>
          <w:spacing w:val="0"/>
          <w:szCs w:val="20"/>
        </w:rPr>
        <w:t xml:space="preserve">Estado </w:t>
      </w:r>
      <w:r w:rsidR="00687697" w:rsidRPr="00F32643">
        <w:rPr>
          <w:color w:val="000000" w:themeColor="text1"/>
          <w:spacing w:val="0"/>
          <w:szCs w:val="20"/>
        </w:rPr>
        <w:t xml:space="preserve">solicitó que se clarifique cómo opera el cálculo de intereses señalados en el párrafo 209 de la Sentencia, en relación con los párrafos 232 y 238 de la misma. En primer lugar, </w:t>
      </w:r>
      <w:r w:rsidR="00D469AB" w:rsidRPr="00F32643">
        <w:rPr>
          <w:color w:val="000000" w:themeColor="text1"/>
          <w:spacing w:val="0"/>
          <w:szCs w:val="20"/>
        </w:rPr>
        <w:t>solicitó que se aclare si el cómputo de intereses se detiene</w:t>
      </w:r>
      <w:r w:rsidR="006B56D3" w:rsidRPr="00F32643">
        <w:rPr>
          <w:color w:val="000000" w:themeColor="text1"/>
          <w:spacing w:val="0"/>
          <w:szCs w:val="20"/>
        </w:rPr>
        <w:t xml:space="preserve"> al momento de efectuar el primer pago, si los intereses se devengarían hasta el último pago del último tracto anual y</w:t>
      </w:r>
      <w:r w:rsidR="009D3D0B" w:rsidRPr="00F32643">
        <w:rPr>
          <w:color w:val="000000" w:themeColor="text1"/>
          <w:spacing w:val="0"/>
          <w:szCs w:val="20"/>
        </w:rPr>
        <w:t xml:space="preserve"> en qué momento y de qu</w:t>
      </w:r>
      <w:r w:rsidR="002F74C9" w:rsidRPr="00F32643">
        <w:rPr>
          <w:color w:val="000000" w:themeColor="text1"/>
          <w:spacing w:val="0"/>
          <w:szCs w:val="20"/>
        </w:rPr>
        <w:t>é</w:t>
      </w:r>
      <w:r w:rsidR="009D3D0B" w:rsidRPr="00F32643">
        <w:rPr>
          <w:color w:val="000000" w:themeColor="text1"/>
          <w:spacing w:val="0"/>
          <w:szCs w:val="20"/>
        </w:rPr>
        <w:t xml:space="preserve"> forma se incurriría en mora por parte del Estado y hasta cuando se incurriría en el devengamiento de intereses tanto respecto del pago de la indemnización por daño inmaterial, como de la restitución</w:t>
      </w:r>
      <w:r w:rsidR="000A3D84" w:rsidRPr="00F32643">
        <w:rPr>
          <w:color w:val="000000" w:themeColor="text1"/>
          <w:spacing w:val="0"/>
          <w:szCs w:val="20"/>
        </w:rPr>
        <w:t xml:space="preserve"> de los dineros adeudados respecto de aquellas víctimas fallecidas. Adicionalmente, consult</w:t>
      </w:r>
      <w:r w:rsidR="00770EB6" w:rsidRPr="00F32643">
        <w:rPr>
          <w:color w:val="000000" w:themeColor="text1"/>
          <w:spacing w:val="0"/>
          <w:szCs w:val="20"/>
        </w:rPr>
        <w:t>ó</w:t>
      </w:r>
      <w:r w:rsidR="000A3D84" w:rsidRPr="00F32643">
        <w:rPr>
          <w:color w:val="000000" w:themeColor="text1"/>
          <w:spacing w:val="0"/>
          <w:szCs w:val="20"/>
        </w:rPr>
        <w:t xml:space="preserve"> sobre cómo operaría el cómputo de intereses en lo</w:t>
      </w:r>
      <w:r w:rsidR="002F74C9" w:rsidRPr="00F32643">
        <w:rPr>
          <w:color w:val="000000" w:themeColor="text1"/>
          <w:spacing w:val="0"/>
          <w:szCs w:val="20"/>
        </w:rPr>
        <w:t>s</w:t>
      </w:r>
      <w:r w:rsidR="000A3D84" w:rsidRPr="00F32643">
        <w:rPr>
          <w:color w:val="000000" w:themeColor="text1"/>
          <w:spacing w:val="0"/>
          <w:szCs w:val="20"/>
        </w:rPr>
        <w:t xml:space="preserve"> casos en los que los herederos de alguno de los beneficia</w:t>
      </w:r>
      <w:r w:rsidR="00770EB6" w:rsidRPr="00F32643">
        <w:rPr>
          <w:color w:val="000000" w:themeColor="text1"/>
          <w:spacing w:val="0"/>
          <w:szCs w:val="20"/>
        </w:rPr>
        <w:t>ri</w:t>
      </w:r>
      <w:r w:rsidR="000A3D84" w:rsidRPr="00F32643">
        <w:rPr>
          <w:color w:val="000000" w:themeColor="text1"/>
          <w:spacing w:val="0"/>
          <w:szCs w:val="20"/>
        </w:rPr>
        <w:t>os no estén determinados</w:t>
      </w:r>
      <w:r w:rsidR="00FA33B2" w:rsidRPr="00F32643">
        <w:rPr>
          <w:color w:val="000000" w:themeColor="text1"/>
          <w:spacing w:val="0"/>
          <w:szCs w:val="20"/>
        </w:rPr>
        <w:t xml:space="preserve"> o, aunque estén determinados, no se hayan efectuado los trámites sucesorios para recibir tal dinero. En segundo lu</w:t>
      </w:r>
      <w:r w:rsidR="00693E5E" w:rsidRPr="00F32643">
        <w:rPr>
          <w:color w:val="000000" w:themeColor="text1"/>
          <w:spacing w:val="0"/>
          <w:szCs w:val="20"/>
        </w:rPr>
        <w:t>gar, solicitó aclarar si el reajust</w:t>
      </w:r>
      <w:r w:rsidR="00A63155" w:rsidRPr="00F32643">
        <w:rPr>
          <w:color w:val="000000" w:themeColor="text1"/>
          <w:spacing w:val="0"/>
          <w:szCs w:val="20"/>
        </w:rPr>
        <w:t>e</w:t>
      </w:r>
      <w:r w:rsidR="0088024A" w:rsidRPr="00F32643">
        <w:rPr>
          <w:color w:val="000000" w:themeColor="text1"/>
          <w:spacing w:val="0"/>
          <w:szCs w:val="20"/>
        </w:rPr>
        <w:t xml:space="preserve"> establecido opera respecto de cada tracto </w:t>
      </w:r>
      <w:r w:rsidR="002F74C9" w:rsidRPr="00F32643">
        <w:rPr>
          <w:color w:val="000000" w:themeColor="text1"/>
          <w:spacing w:val="0"/>
          <w:szCs w:val="20"/>
        </w:rPr>
        <w:t>en relación con</w:t>
      </w:r>
      <w:r w:rsidR="0088024A" w:rsidRPr="00F32643">
        <w:rPr>
          <w:color w:val="000000" w:themeColor="text1"/>
          <w:spacing w:val="0"/>
          <w:szCs w:val="20"/>
        </w:rPr>
        <w:t xml:space="preserve"> su fecha de pago, o del total de la suma adeudada posterior al pago de un tracto respectivo.</w:t>
      </w:r>
    </w:p>
    <w:p w14:paraId="5C041986" w14:textId="77777777" w:rsidR="005B1965" w:rsidRPr="00F32643" w:rsidRDefault="005B1965" w:rsidP="005B1965">
      <w:pPr>
        <w:rPr>
          <w:color w:val="000000" w:themeColor="text1"/>
          <w:lang w:val="es-CR" w:eastAsia="es-MX"/>
        </w:rPr>
      </w:pPr>
    </w:p>
    <w:p w14:paraId="245408FE" w14:textId="1E09B3BD" w:rsidR="005B1965" w:rsidRPr="00F32643" w:rsidRDefault="005B1965" w:rsidP="005B1965">
      <w:pPr>
        <w:pStyle w:val="PrrafodeSentencia"/>
        <w:rPr>
          <w:color w:val="000000" w:themeColor="text1"/>
          <w:spacing w:val="0"/>
        </w:rPr>
      </w:pPr>
      <w:r w:rsidRPr="00F32643">
        <w:rPr>
          <w:color w:val="000000" w:themeColor="text1"/>
          <w:spacing w:val="0"/>
        </w:rPr>
        <w:t xml:space="preserve">Los </w:t>
      </w:r>
      <w:r w:rsidRPr="00F32643">
        <w:rPr>
          <w:b/>
          <w:i/>
          <w:color w:val="000000" w:themeColor="text1"/>
          <w:spacing w:val="0"/>
        </w:rPr>
        <w:t xml:space="preserve">representantes </w:t>
      </w:r>
      <w:r w:rsidR="00EE59EB" w:rsidRPr="00F32643">
        <w:rPr>
          <w:color w:val="000000" w:themeColor="text1"/>
          <w:spacing w:val="0"/>
        </w:rPr>
        <w:t xml:space="preserve">consideraron que las respuestas frente a las preguntas formuladas por el Estado respecto al cálculo de reajustes e intereses, constitución en mora y eventuales dificultades para el pago de los montos adeudados a las víctimas fallecidas </w:t>
      </w:r>
      <w:r w:rsidR="008E7CEF" w:rsidRPr="00F32643">
        <w:rPr>
          <w:color w:val="000000" w:themeColor="text1"/>
          <w:spacing w:val="0"/>
        </w:rPr>
        <w:t xml:space="preserve">debe fundarse en la interpretación que sea más acorde con la propia </w:t>
      </w:r>
      <w:r w:rsidR="00126570" w:rsidRPr="00F32643">
        <w:rPr>
          <w:color w:val="000000" w:themeColor="text1"/>
          <w:spacing w:val="0"/>
        </w:rPr>
        <w:t>S</w:t>
      </w:r>
      <w:r w:rsidR="008E7CEF" w:rsidRPr="00F32643">
        <w:rPr>
          <w:color w:val="000000" w:themeColor="text1"/>
          <w:spacing w:val="0"/>
        </w:rPr>
        <w:t>entencia, respecto de asegurar el pago mediante un mecanismo reglado y progresivo en el tiempo, para el cabal y oportuno cumplimiento.</w:t>
      </w:r>
      <w:r w:rsidR="00172EFD" w:rsidRPr="00F32643">
        <w:rPr>
          <w:color w:val="000000" w:themeColor="text1"/>
          <w:spacing w:val="0"/>
        </w:rPr>
        <w:t xml:space="preserve"> Respecto al cálculo de reajustes e intereses, indicaron que el párrafo 232 es claro en señalar que éstos deben aplicarse entre el 31 de julio de 2020 y la fecha en que efectivamente se realice el pa</w:t>
      </w:r>
      <w:r w:rsidR="000D24EC" w:rsidRPr="00F32643">
        <w:rPr>
          <w:color w:val="000000" w:themeColor="text1"/>
          <w:spacing w:val="0"/>
        </w:rPr>
        <w:t xml:space="preserve">go. </w:t>
      </w:r>
      <w:r w:rsidR="004E2831" w:rsidRPr="00F32643">
        <w:rPr>
          <w:color w:val="000000" w:themeColor="text1"/>
          <w:spacing w:val="0"/>
        </w:rPr>
        <w:t>Precisaron que</w:t>
      </w:r>
      <w:r w:rsidR="005D21BC" w:rsidRPr="00F32643">
        <w:rPr>
          <w:color w:val="000000" w:themeColor="text1"/>
          <w:spacing w:val="0"/>
        </w:rPr>
        <w:t>,</w:t>
      </w:r>
      <w:r w:rsidR="004E2831" w:rsidRPr="00F32643">
        <w:rPr>
          <w:color w:val="000000" w:themeColor="text1"/>
          <w:spacing w:val="0"/>
        </w:rPr>
        <w:t xml:space="preserve"> si los montos de la medida de restitución son efectuados en tres oportunidades, a efectos de no perjudicar a las víctimas, el cálculo de reajustes e intereses debe aplicarse hasta la fecha del pago efectivo de cada una de las cuotas.</w:t>
      </w:r>
      <w:r w:rsidR="005D21BC" w:rsidRPr="00F32643">
        <w:rPr>
          <w:color w:val="000000" w:themeColor="text1"/>
          <w:spacing w:val="0"/>
        </w:rPr>
        <w:t xml:space="preserve"> Respecto a la constitución en </w:t>
      </w:r>
      <w:r w:rsidR="00544DEF" w:rsidRPr="00F32643">
        <w:rPr>
          <w:color w:val="000000" w:themeColor="text1"/>
          <w:spacing w:val="0"/>
        </w:rPr>
        <w:t>mora, indicaron</w:t>
      </w:r>
      <w:r w:rsidR="002A387E" w:rsidRPr="00F32643">
        <w:rPr>
          <w:color w:val="000000" w:themeColor="text1"/>
          <w:spacing w:val="0"/>
        </w:rPr>
        <w:t xml:space="preserve"> que, conforme al derecho interno, ello acontecerá cuando el Estado no cumpla con la obligación de pago dentro del término estipulado. </w:t>
      </w:r>
      <w:r w:rsidR="0081384C" w:rsidRPr="00F32643">
        <w:rPr>
          <w:color w:val="000000" w:themeColor="text1"/>
          <w:spacing w:val="0"/>
        </w:rPr>
        <w:t>Respecto al pago de los montos adeudados a las víctimas fallecidas y sus herederos, y ante eventuales dificultades en la determinación de sus derechohabientes, indicaron que el párrafo 236 resolvió</w:t>
      </w:r>
      <w:r w:rsidR="00B03018" w:rsidRPr="00F32643">
        <w:rPr>
          <w:color w:val="000000" w:themeColor="text1"/>
          <w:spacing w:val="0"/>
        </w:rPr>
        <w:t xml:space="preserve"> el problema directamente, exigiendo al Estado que, si en el plazo dispuesto para el cumplimiento no fuere posible efectuar el pago, éste debe consignar los montos en una cuenta o certificado de depósito en una institución financiera solvente.</w:t>
      </w:r>
    </w:p>
    <w:p w14:paraId="245827CE" w14:textId="64FBD822" w:rsidR="005D5301" w:rsidRPr="00F32643" w:rsidRDefault="005D5301" w:rsidP="005D5301">
      <w:pPr>
        <w:rPr>
          <w:color w:val="000000" w:themeColor="text1"/>
          <w:lang w:val="es-CR" w:eastAsia="es-MX"/>
        </w:rPr>
      </w:pPr>
    </w:p>
    <w:p w14:paraId="7F68558A" w14:textId="77777777" w:rsidR="005D5301" w:rsidRPr="00F32643" w:rsidRDefault="005D5301" w:rsidP="005D5301">
      <w:pPr>
        <w:pStyle w:val="PrrafodeSentencia"/>
        <w:rPr>
          <w:color w:val="000000" w:themeColor="text1"/>
          <w:spacing w:val="0"/>
        </w:rPr>
      </w:pPr>
      <w:r w:rsidRPr="00F32643">
        <w:rPr>
          <w:color w:val="000000" w:themeColor="text1"/>
          <w:spacing w:val="0"/>
        </w:rPr>
        <w:t xml:space="preserve">La </w:t>
      </w:r>
      <w:r w:rsidRPr="00F32643">
        <w:rPr>
          <w:b/>
          <w:i/>
          <w:color w:val="000000" w:themeColor="text1"/>
          <w:spacing w:val="0"/>
        </w:rPr>
        <w:t xml:space="preserve">Comisión </w:t>
      </w:r>
      <w:r w:rsidRPr="00F32643">
        <w:rPr>
          <w:color w:val="000000" w:themeColor="text1"/>
          <w:spacing w:val="0"/>
        </w:rPr>
        <w:t>observó que la aclaración de las consultas planteadas por el Estado puede facilitar el proceso de supervisión de la sentencia y agilizar el cumplimiento de las medidas de reparación, lo cual resulta de extrema importancia en el presente caso dada la edad avanzada de las víctimas. Sin embargo, no se pronunció de manera específica sobre los puntos sometidos a las solicitudes de interpretación.</w:t>
      </w:r>
    </w:p>
    <w:p w14:paraId="2C9F8970" w14:textId="77777777" w:rsidR="005D5301" w:rsidRPr="00F32643" w:rsidRDefault="005D5301" w:rsidP="005D5301">
      <w:pPr>
        <w:rPr>
          <w:color w:val="000000" w:themeColor="text1"/>
          <w:lang w:val="es-CR" w:eastAsia="es-MX"/>
        </w:rPr>
      </w:pPr>
    </w:p>
    <w:p w14:paraId="46E9AD8C" w14:textId="77777777" w:rsidR="005B1965" w:rsidRPr="00F32643" w:rsidRDefault="005B1965" w:rsidP="005B1965">
      <w:pPr>
        <w:rPr>
          <w:color w:val="000000" w:themeColor="text1"/>
          <w:lang w:val="es-CR" w:eastAsia="es-MX"/>
        </w:rPr>
      </w:pPr>
    </w:p>
    <w:p w14:paraId="0DB3B352" w14:textId="1D0F6D92" w:rsidR="005B1965" w:rsidRPr="00F32643" w:rsidRDefault="005B1965" w:rsidP="005B1965">
      <w:pPr>
        <w:pStyle w:val="Ttulo3"/>
        <w:spacing w:before="0" w:after="0"/>
        <w:rPr>
          <w:color w:val="000000" w:themeColor="text1"/>
          <w:lang w:val="es-CR"/>
        </w:rPr>
      </w:pPr>
      <w:r w:rsidRPr="00F32643">
        <w:rPr>
          <w:color w:val="000000" w:themeColor="text1"/>
          <w:lang w:val="es-CR"/>
        </w:rPr>
        <w:t>C.2. Consideraciones de la Corte</w:t>
      </w:r>
    </w:p>
    <w:p w14:paraId="73EB3814" w14:textId="21D34064" w:rsidR="000C216D" w:rsidRPr="00F32643" w:rsidRDefault="000C216D" w:rsidP="000C216D">
      <w:pPr>
        <w:rPr>
          <w:color w:val="000000" w:themeColor="text1"/>
          <w:lang w:val="es-CR"/>
        </w:rPr>
      </w:pPr>
    </w:p>
    <w:p w14:paraId="405A102C" w14:textId="3AFFA834" w:rsidR="000C216D" w:rsidRPr="00F32643" w:rsidRDefault="000C216D" w:rsidP="000C216D">
      <w:pPr>
        <w:pStyle w:val="PrrafodeSentencia"/>
        <w:rPr>
          <w:color w:val="000000" w:themeColor="text1"/>
        </w:rPr>
      </w:pPr>
      <w:r w:rsidRPr="00F32643">
        <w:rPr>
          <w:color w:val="000000" w:themeColor="text1"/>
        </w:rPr>
        <w:t>El Estado solicitó que se aclararan l</w:t>
      </w:r>
      <w:r w:rsidR="002F6532" w:rsidRPr="00F32643">
        <w:rPr>
          <w:color w:val="000000" w:themeColor="text1"/>
        </w:rPr>
        <w:t>as modalidades para el cálculo del interés, reajuste e intereses por mora, respecto a las sumas debidas a las víctimas por concepto de restitución. Al respecto</w:t>
      </w:r>
      <w:r w:rsidR="00FB2828" w:rsidRPr="00F32643">
        <w:rPr>
          <w:color w:val="000000" w:themeColor="text1"/>
        </w:rPr>
        <w:t>,</w:t>
      </w:r>
      <w:r w:rsidR="002F6532" w:rsidRPr="00F32643">
        <w:rPr>
          <w:color w:val="000000" w:themeColor="text1"/>
        </w:rPr>
        <w:t xml:space="preserve"> la Sentencia estableció:</w:t>
      </w:r>
    </w:p>
    <w:p w14:paraId="556EB0DA" w14:textId="12837F3A" w:rsidR="002F6532" w:rsidRPr="00F32643" w:rsidRDefault="002F6532" w:rsidP="002F6532">
      <w:pPr>
        <w:rPr>
          <w:color w:val="000000" w:themeColor="text1"/>
          <w:lang w:val="es-CR" w:eastAsia="es-MX"/>
        </w:rPr>
      </w:pPr>
    </w:p>
    <w:p w14:paraId="59B49A5A" w14:textId="7ABBE72F" w:rsidR="002F6532" w:rsidRPr="00F32643" w:rsidRDefault="00493657" w:rsidP="008A3362">
      <w:pPr>
        <w:ind w:left="567" w:right="567"/>
        <w:rPr>
          <w:color w:val="000000" w:themeColor="text1"/>
          <w:sz w:val="18"/>
          <w:szCs w:val="18"/>
          <w:lang w:val="es-CR"/>
        </w:rPr>
      </w:pPr>
      <w:r w:rsidRPr="00F32643">
        <w:rPr>
          <w:color w:val="000000" w:themeColor="text1"/>
          <w:sz w:val="18"/>
          <w:szCs w:val="18"/>
          <w:lang w:val="es-CR"/>
        </w:rPr>
        <w:t xml:space="preserve">209. La Corte ordena entonces al Estado el pago de las sumas todavía debidas directamente a las víctimas enumeradas en la Lista Anexo 1 o a sus derechohabientes conforme al derecho interno aplicable, de acuerdo con los montos establecidos en la Lista Anexo 2, de conformidad con lo señalado por el Informe económico “Estimación del Valor Actual adeudado por el Incumplimiento de Sentencias Judiciales dictadas en el Caso de Profesores por los Juzgados de Chañaral, Vallenar, Parral, Cauquenes y Chanco”. Los montos dispuestos a favor de cada una de las víctimas deberán ser actualizados al momento de su pago efectivo, tomando en cuenta el reajuste del IPC </w:t>
      </w:r>
      <w:r w:rsidRPr="00F32643">
        <w:rPr>
          <w:color w:val="000000" w:themeColor="text1"/>
          <w:sz w:val="18"/>
          <w:szCs w:val="18"/>
          <w:lang w:val="es-CR"/>
        </w:rPr>
        <w:lastRenderedPageBreak/>
        <w:t>determinado por el Instituto Nacional de Estadística entre el 31 de julio de 2020 y el momento en que efectivamente se realice el pago y la tasa de interés máxima permitida para operaciones reajustables a partir de esa misma fecha, de acuerdo con lo establecido por el artículo 63 del Código de Trabajo (</w:t>
      </w:r>
      <w:r w:rsidRPr="00F32643">
        <w:rPr>
          <w:i/>
          <w:iCs/>
          <w:color w:val="000000" w:themeColor="text1"/>
          <w:sz w:val="18"/>
          <w:szCs w:val="18"/>
          <w:lang w:val="es-CR"/>
        </w:rPr>
        <w:t>supra</w:t>
      </w:r>
      <w:r w:rsidRPr="00F32643">
        <w:rPr>
          <w:color w:val="000000" w:themeColor="text1"/>
          <w:sz w:val="18"/>
          <w:szCs w:val="18"/>
          <w:lang w:val="es-CR"/>
        </w:rPr>
        <w:t xml:space="preserve"> párr. 207), en el plazo establecido al efecto (</w:t>
      </w:r>
      <w:r w:rsidRPr="00F32643">
        <w:rPr>
          <w:i/>
          <w:iCs/>
          <w:color w:val="000000" w:themeColor="text1"/>
          <w:sz w:val="18"/>
          <w:szCs w:val="18"/>
          <w:lang w:val="es-CR"/>
        </w:rPr>
        <w:t>infra</w:t>
      </w:r>
      <w:r w:rsidRPr="00F32643">
        <w:rPr>
          <w:color w:val="000000" w:themeColor="text1"/>
          <w:sz w:val="18"/>
          <w:szCs w:val="18"/>
          <w:lang w:val="es-CR"/>
        </w:rPr>
        <w:t xml:space="preserve"> párr. 232).</w:t>
      </w:r>
    </w:p>
    <w:p w14:paraId="6AFEA56D" w14:textId="6F038CD9" w:rsidR="008A3362" w:rsidRPr="00F32643" w:rsidRDefault="008A3362" w:rsidP="008A3362">
      <w:pPr>
        <w:ind w:left="567" w:right="567"/>
        <w:rPr>
          <w:color w:val="000000" w:themeColor="text1"/>
          <w:sz w:val="18"/>
          <w:szCs w:val="18"/>
          <w:lang w:val="es-CR"/>
        </w:rPr>
      </w:pPr>
      <w:r w:rsidRPr="00F32643">
        <w:rPr>
          <w:color w:val="000000" w:themeColor="text1"/>
          <w:sz w:val="18"/>
          <w:szCs w:val="18"/>
          <w:lang w:val="es-CR"/>
        </w:rPr>
        <w:t>[…]</w:t>
      </w:r>
    </w:p>
    <w:p w14:paraId="38E3CB48" w14:textId="60F5479A" w:rsidR="008A3362" w:rsidRPr="00F32643" w:rsidRDefault="008A3362" w:rsidP="008A3362">
      <w:pPr>
        <w:ind w:left="567" w:right="567"/>
        <w:rPr>
          <w:color w:val="000000" w:themeColor="text1"/>
          <w:sz w:val="18"/>
          <w:szCs w:val="18"/>
          <w:lang w:val="es-CR"/>
        </w:rPr>
      </w:pPr>
      <w:r w:rsidRPr="00F32643">
        <w:rPr>
          <w:color w:val="000000" w:themeColor="text1"/>
          <w:sz w:val="18"/>
          <w:szCs w:val="18"/>
          <w:lang w:val="es-CR"/>
        </w:rPr>
        <w:t xml:space="preserve">232. El pago de los montos reconocidos por </w:t>
      </w:r>
      <w:r w:rsidR="00FB2828" w:rsidRPr="00F32643">
        <w:rPr>
          <w:color w:val="000000" w:themeColor="text1"/>
          <w:sz w:val="18"/>
          <w:szCs w:val="18"/>
          <w:lang w:val="es-CR"/>
        </w:rPr>
        <w:t xml:space="preserve">[la] </w:t>
      </w:r>
      <w:r w:rsidRPr="00F32643">
        <w:rPr>
          <w:color w:val="000000" w:themeColor="text1"/>
          <w:sz w:val="18"/>
          <w:szCs w:val="18"/>
          <w:lang w:val="es-CR"/>
        </w:rPr>
        <w:t>Sentencia como medida de restitución deberá ser entregado directamente a las personas indicadas en la lista Anexo 1, en tres tractos anuales, empezando a contar el primer tracto en el plazo de un año de notificada la Sentencia. Para el pago de estos tractos se debe tomar como base los montos establecidos en la lista Anexo 2 los cuales deberán actualizarse a la fecha efectiva de su pago tomando en cuenta el reajuste del IPC determinado por el Instituto Nacional de Estadística entre el 31 de julio de 2020 y el momento en que efectivamente se realice el pago y la tasa de interés máxima permitida para operaciones reajustables a partir de esa misma fecha, de acuerdo con lo establecido por el artículo 63 del Código de Trabajo (</w:t>
      </w:r>
      <w:r w:rsidRPr="00F32643">
        <w:rPr>
          <w:i/>
          <w:iCs/>
          <w:color w:val="000000" w:themeColor="text1"/>
          <w:sz w:val="18"/>
          <w:szCs w:val="18"/>
          <w:lang w:val="es-CR"/>
        </w:rPr>
        <w:t>supra</w:t>
      </w:r>
      <w:r w:rsidRPr="00F32643">
        <w:rPr>
          <w:color w:val="000000" w:themeColor="text1"/>
          <w:sz w:val="18"/>
          <w:szCs w:val="18"/>
          <w:lang w:val="es-CR"/>
        </w:rPr>
        <w:t xml:space="preserve"> párr. 207). Una vez que el Estado haga la determinación individualizada de los montos a pagar, deberá comunicarlo a la mayor brevedad a las personas beneficiarias y sus representantes.</w:t>
      </w:r>
    </w:p>
    <w:p w14:paraId="35BD74A4" w14:textId="403092FE" w:rsidR="008A3362" w:rsidRPr="00F32643" w:rsidRDefault="008A3362" w:rsidP="002F6532">
      <w:pPr>
        <w:rPr>
          <w:color w:val="000000" w:themeColor="text1"/>
          <w:lang w:val="es-CR"/>
        </w:rPr>
      </w:pPr>
    </w:p>
    <w:p w14:paraId="2283E4D4" w14:textId="6807F1E3" w:rsidR="008A3362" w:rsidRPr="00F32643" w:rsidRDefault="00E96FB8" w:rsidP="008A3362">
      <w:pPr>
        <w:pStyle w:val="PrrafodeSentencia"/>
        <w:rPr>
          <w:color w:val="000000" w:themeColor="text1"/>
        </w:rPr>
      </w:pPr>
      <w:r w:rsidRPr="00F32643">
        <w:rPr>
          <w:color w:val="000000" w:themeColor="text1"/>
        </w:rPr>
        <w:t xml:space="preserve">Respecto a la aplicación del reajuste y de los intereses, esta Corte considera que se desprende claramente del </w:t>
      </w:r>
      <w:r w:rsidR="008D44DD" w:rsidRPr="00F32643">
        <w:rPr>
          <w:color w:val="000000" w:themeColor="text1"/>
        </w:rPr>
        <w:t>párrafo 232 que los mismos deben ser calculados entre el 31 de julio de 2020 y el momento en que efectivamente se realice el pago. De esta forma, si el Estado decide</w:t>
      </w:r>
      <w:r w:rsidR="00972159" w:rsidRPr="00F32643">
        <w:rPr>
          <w:color w:val="000000" w:themeColor="text1"/>
        </w:rPr>
        <w:t xml:space="preserve"> realizar el pago en </w:t>
      </w:r>
      <w:r w:rsidR="007D1C8C" w:rsidRPr="00F32643">
        <w:rPr>
          <w:color w:val="000000" w:themeColor="text1"/>
        </w:rPr>
        <w:t xml:space="preserve">tres tractos o </w:t>
      </w:r>
      <w:r w:rsidR="00972159" w:rsidRPr="00F32643">
        <w:rPr>
          <w:color w:val="000000" w:themeColor="text1"/>
        </w:rPr>
        <w:t xml:space="preserve">cuotas, tal y cómo se definió </w:t>
      </w:r>
      <w:r w:rsidR="00972159" w:rsidRPr="00F32643">
        <w:rPr>
          <w:i/>
          <w:iCs/>
          <w:color w:val="000000" w:themeColor="text1"/>
        </w:rPr>
        <w:t xml:space="preserve">supra </w:t>
      </w:r>
      <w:r w:rsidR="00972159" w:rsidRPr="00F32643">
        <w:rPr>
          <w:color w:val="000000" w:themeColor="text1"/>
        </w:rPr>
        <w:t xml:space="preserve">(párrs. </w:t>
      </w:r>
      <w:r w:rsidR="00642B76" w:rsidRPr="00F32643">
        <w:rPr>
          <w:color w:val="000000" w:themeColor="text1"/>
        </w:rPr>
        <w:t>16 a 20</w:t>
      </w:r>
      <w:r w:rsidR="00972159" w:rsidRPr="00F32643">
        <w:rPr>
          <w:color w:val="000000" w:themeColor="text1"/>
        </w:rPr>
        <w:t>),</w:t>
      </w:r>
      <w:r w:rsidR="004B430D" w:rsidRPr="00F32643">
        <w:rPr>
          <w:color w:val="000000" w:themeColor="text1"/>
        </w:rPr>
        <w:t xml:space="preserve"> se aclara que</w:t>
      </w:r>
      <w:r w:rsidR="00972159" w:rsidRPr="00F32643">
        <w:rPr>
          <w:color w:val="000000" w:themeColor="text1"/>
        </w:rPr>
        <w:t xml:space="preserve"> el reajuste y los intereses deberán ser calculados sobre las sumas todavía debidas</w:t>
      </w:r>
      <w:r w:rsidR="008F26B2" w:rsidRPr="00F32643">
        <w:rPr>
          <w:color w:val="000000" w:themeColor="text1"/>
        </w:rPr>
        <w:t>, tomando como punto de partida el 31 de julio de 2020 y</w:t>
      </w:r>
      <w:r w:rsidR="00972159" w:rsidRPr="00F32643">
        <w:rPr>
          <w:color w:val="000000" w:themeColor="text1"/>
        </w:rPr>
        <w:t xml:space="preserve"> </w:t>
      </w:r>
      <w:r w:rsidR="008F26B2" w:rsidRPr="00F32643">
        <w:rPr>
          <w:color w:val="000000" w:themeColor="text1"/>
        </w:rPr>
        <w:t>hasta</w:t>
      </w:r>
      <w:r w:rsidR="00972159" w:rsidRPr="00F32643">
        <w:rPr>
          <w:color w:val="000000" w:themeColor="text1"/>
        </w:rPr>
        <w:t xml:space="preserve"> la fecha efectiva de sus pagos</w:t>
      </w:r>
      <w:r w:rsidR="00FE221B" w:rsidRPr="00F32643">
        <w:rPr>
          <w:color w:val="000000" w:themeColor="text1"/>
        </w:rPr>
        <w:t xml:space="preserve">, a </w:t>
      </w:r>
      <w:r w:rsidR="001A3FD5" w:rsidRPr="00F32643">
        <w:rPr>
          <w:color w:val="000000" w:themeColor="text1"/>
        </w:rPr>
        <w:t>saber,</w:t>
      </w:r>
      <w:r w:rsidR="00FE221B" w:rsidRPr="00F32643">
        <w:rPr>
          <w:color w:val="000000" w:themeColor="text1"/>
        </w:rPr>
        <w:t xml:space="preserve"> el 21 de diciembre de 2022, 21 de diciembre de 2023 y 21 de diciembre</w:t>
      </w:r>
      <w:r w:rsidR="00E10F7D" w:rsidRPr="00F32643">
        <w:rPr>
          <w:color w:val="000000" w:themeColor="text1"/>
        </w:rPr>
        <w:t xml:space="preserve"> de 2024.</w:t>
      </w:r>
      <w:r w:rsidR="002046B7" w:rsidRPr="00F32643">
        <w:rPr>
          <w:color w:val="000000" w:themeColor="text1"/>
        </w:rPr>
        <w:t xml:space="preserve"> </w:t>
      </w:r>
    </w:p>
    <w:p w14:paraId="27C47F46" w14:textId="251E96D5" w:rsidR="004A5099" w:rsidRPr="00F32643" w:rsidRDefault="004A5099" w:rsidP="004A5099">
      <w:pPr>
        <w:rPr>
          <w:color w:val="000000" w:themeColor="text1"/>
          <w:lang w:val="es-CR" w:eastAsia="es-MX"/>
        </w:rPr>
      </w:pPr>
    </w:p>
    <w:p w14:paraId="6E7D8A3B" w14:textId="3CC8D901" w:rsidR="00C01525" w:rsidRPr="00F32643" w:rsidRDefault="004A5099" w:rsidP="00A76636">
      <w:pPr>
        <w:pStyle w:val="PrrafodeSentencia"/>
        <w:rPr>
          <w:color w:val="000000" w:themeColor="text1"/>
        </w:rPr>
      </w:pPr>
      <w:r w:rsidRPr="00F32643">
        <w:rPr>
          <w:color w:val="000000" w:themeColor="text1"/>
        </w:rPr>
        <w:t>Sobre la aplicación de</w:t>
      </w:r>
      <w:r w:rsidR="007D1C8C" w:rsidRPr="00F32643">
        <w:rPr>
          <w:color w:val="000000" w:themeColor="text1"/>
        </w:rPr>
        <w:t xml:space="preserve"> la</w:t>
      </w:r>
      <w:r w:rsidRPr="00F32643">
        <w:rPr>
          <w:color w:val="000000" w:themeColor="text1"/>
        </w:rPr>
        <w:t xml:space="preserve"> mora</w:t>
      </w:r>
      <w:r w:rsidR="007D1C8C" w:rsidRPr="00F32643">
        <w:rPr>
          <w:color w:val="000000" w:themeColor="text1"/>
        </w:rPr>
        <w:t xml:space="preserve"> en el caso del pago de las sumas debidas por concepto de restitución y el cálculo de los intereses </w:t>
      </w:r>
      <w:r w:rsidR="005C3DC9" w:rsidRPr="00F32643">
        <w:rPr>
          <w:color w:val="000000" w:themeColor="text1"/>
        </w:rPr>
        <w:t>moratorios</w:t>
      </w:r>
      <w:r w:rsidR="00506034" w:rsidRPr="00F32643">
        <w:rPr>
          <w:color w:val="000000" w:themeColor="text1"/>
        </w:rPr>
        <w:t xml:space="preserve">, el párrafo 238 de la </w:t>
      </w:r>
      <w:r w:rsidR="007D1C8C" w:rsidRPr="00F32643">
        <w:rPr>
          <w:color w:val="000000" w:themeColor="text1"/>
        </w:rPr>
        <w:t>S</w:t>
      </w:r>
      <w:r w:rsidR="00506034" w:rsidRPr="00F32643">
        <w:rPr>
          <w:color w:val="000000" w:themeColor="text1"/>
        </w:rPr>
        <w:t xml:space="preserve">entencia establece de forma general </w:t>
      </w:r>
      <w:r w:rsidR="007D1C8C" w:rsidRPr="00F32643">
        <w:rPr>
          <w:color w:val="000000" w:themeColor="text1"/>
        </w:rPr>
        <w:t>que</w:t>
      </w:r>
      <w:r w:rsidR="008060C9" w:rsidRPr="00F32643">
        <w:rPr>
          <w:color w:val="000000" w:themeColor="text1"/>
        </w:rPr>
        <w:t>,</w:t>
      </w:r>
      <w:r w:rsidR="007D1C8C" w:rsidRPr="00F32643">
        <w:rPr>
          <w:color w:val="000000" w:themeColor="text1"/>
        </w:rPr>
        <w:t xml:space="preserve"> </w:t>
      </w:r>
      <w:r w:rsidR="00506034" w:rsidRPr="00F32643">
        <w:rPr>
          <w:color w:val="000000" w:themeColor="text1"/>
        </w:rPr>
        <w:t>“</w:t>
      </w:r>
      <w:r w:rsidR="008060C9" w:rsidRPr="00F32643">
        <w:rPr>
          <w:color w:val="000000" w:themeColor="text1"/>
        </w:rPr>
        <w:t>[e]</w:t>
      </w:r>
      <w:r w:rsidR="00506034" w:rsidRPr="00F32643">
        <w:rPr>
          <w:color w:val="000000" w:themeColor="text1"/>
        </w:rPr>
        <w:t xml:space="preserve">n caso de que el Estado incurriera en mora, deberá pagar un interés sobre la cantidad adeudada correspondiente al interés bancario moratorio en la República de Chile”. </w:t>
      </w:r>
    </w:p>
    <w:p w14:paraId="161E2C34" w14:textId="77777777" w:rsidR="00C01525" w:rsidRPr="00F32643" w:rsidRDefault="00C01525" w:rsidP="00C01525">
      <w:pPr>
        <w:rPr>
          <w:color w:val="000000" w:themeColor="text1"/>
          <w:lang w:val="es-CR" w:eastAsia="es-MX"/>
        </w:rPr>
      </w:pPr>
    </w:p>
    <w:p w14:paraId="35DD79E7" w14:textId="0039D116" w:rsidR="00A76636" w:rsidRPr="00F32643" w:rsidRDefault="00EA47AF" w:rsidP="00A76636">
      <w:pPr>
        <w:pStyle w:val="PrrafodeSentencia"/>
        <w:rPr>
          <w:color w:val="000000" w:themeColor="text1"/>
        </w:rPr>
      </w:pPr>
      <w:r w:rsidRPr="00F32643">
        <w:rPr>
          <w:color w:val="000000" w:themeColor="text1"/>
        </w:rPr>
        <w:t xml:space="preserve">Sobre este extremo, esta Corte considera pertinente aclarar </w:t>
      </w:r>
      <w:r w:rsidR="00147F12" w:rsidRPr="00F32643">
        <w:rPr>
          <w:color w:val="000000" w:themeColor="text1"/>
        </w:rPr>
        <w:t xml:space="preserve">que, </w:t>
      </w:r>
      <w:r w:rsidR="00EC6EC0" w:rsidRPr="00F32643">
        <w:rPr>
          <w:color w:val="000000" w:themeColor="text1"/>
        </w:rPr>
        <w:t xml:space="preserve">cómo se indicó </w:t>
      </w:r>
      <w:r w:rsidR="00EC6EC0" w:rsidRPr="00F32643">
        <w:rPr>
          <w:i/>
          <w:iCs/>
          <w:color w:val="000000" w:themeColor="text1"/>
        </w:rPr>
        <w:t>supra</w:t>
      </w:r>
      <w:r w:rsidR="00147F12" w:rsidRPr="00F32643">
        <w:rPr>
          <w:color w:val="000000" w:themeColor="text1"/>
        </w:rPr>
        <w:t xml:space="preserve">, para el cálculo y la actualización de los montos adeudados a las víctimas o sus derechohabientes por concepto de </w:t>
      </w:r>
      <w:r w:rsidR="001A6909" w:rsidRPr="00F32643">
        <w:rPr>
          <w:color w:val="000000" w:themeColor="text1"/>
        </w:rPr>
        <w:t xml:space="preserve">restitución, se debe tomar en cuenta el reajuste del Índice del Precio al Consumidor (IPC) determinado por el Instituto Nacional de Estadística. Asimismo, </w:t>
      </w:r>
      <w:r w:rsidR="008060C9" w:rsidRPr="00F32643">
        <w:rPr>
          <w:color w:val="000000" w:themeColor="text1"/>
        </w:rPr>
        <w:t xml:space="preserve">respecto de </w:t>
      </w:r>
      <w:r w:rsidR="001A6909" w:rsidRPr="00F32643">
        <w:rPr>
          <w:color w:val="000000" w:themeColor="text1"/>
        </w:rPr>
        <w:t xml:space="preserve">estas sumas reajustadas, devengarán el máximo interés permitido para operaciones reajustables, hasta el momento del pago efectivo. De esta forma, en el cálculo de estas sumas ya se está tomando en cuenta </w:t>
      </w:r>
      <w:r w:rsidR="00C248E7" w:rsidRPr="00F32643">
        <w:rPr>
          <w:color w:val="000000" w:themeColor="text1"/>
        </w:rPr>
        <w:t>un interés moratorio, el cual seguirá aplicándose sobre las sumas reajustadas hasta el momento en que el Estado efectivamente pague la totalidad de las sumas</w:t>
      </w:r>
      <w:r w:rsidR="00EC6EC0" w:rsidRPr="00F32643">
        <w:rPr>
          <w:color w:val="000000" w:themeColor="text1"/>
        </w:rPr>
        <w:t xml:space="preserve"> todavía</w:t>
      </w:r>
      <w:r w:rsidR="00C248E7" w:rsidRPr="00F32643">
        <w:rPr>
          <w:color w:val="000000" w:themeColor="text1"/>
        </w:rPr>
        <w:t xml:space="preserve"> debidas a las víctimas o sus derechohabientes. Por consiguiente, la aplicación de los intereses establecidos en el párrafo 238 sólo </w:t>
      </w:r>
      <w:r w:rsidR="00EC6EC0" w:rsidRPr="00F32643">
        <w:rPr>
          <w:color w:val="000000" w:themeColor="text1"/>
        </w:rPr>
        <w:t>concierne el</w:t>
      </w:r>
      <w:r w:rsidR="00C248E7" w:rsidRPr="00F32643">
        <w:rPr>
          <w:color w:val="000000" w:themeColor="text1"/>
        </w:rPr>
        <w:t xml:space="preserve"> pago de las indemnizaciones</w:t>
      </w:r>
      <w:r w:rsidR="004B4E5C" w:rsidRPr="00F32643">
        <w:rPr>
          <w:color w:val="000000" w:themeColor="text1"/>
        </w:rPr>
        <w:t xml:space="preserve"> por concepto de daño inmaterial</w:t>
      </w:r>
      <w:r w:rsidR="00EC6EC0" w:rsidRPr="00F32643">
        <w:rPr>
          <w:color w:val="000000" w:themeColor="text1"/>
        </w:rPr>
        <w:t>,</w:t>
      </w:r>
      <w:r w:rsidR="004B4E5C" w:rsidRPr="00F32643">
        <w:rPr>
          <w:color w:val="000000" w:themeColor="text1"/>
        </w:rPr>
        <w:t xml:space="preserve"> y el reintegro de</w:t>
      </w:r>
      <w:r w:rsidR="00EC6EC0" w:rsidRPr="00F32643">
        <w:rPr>
          <w:color w:val="000000" w:themeColor="text1"/>
        </w:rPr>
        <w:t xml:space="preserve"> costas y gastos.</w:t>
      </w:r>
    </w:p>
    <w:p w14:paraId="28D77274" w14:textId="6C4E96B1" w:rsidR="00C620D1" w:rsidRPr="00F32643" w:rsidRDefault="00C620D1" w:rsidP="00C620D1">
      <w:pPr>
        <w:rPr>
          <w:color w:val="000000" w:themeColor="text1"/>
          <w:lang w:val="es-CR" w:eastAsia="es-MX"/>
        </w:rPr>
      </w:pPr>
    </w:p>
    <w:p w14:paraId="3CDB845A" w14:textId="7A55D8D9" w:rsidR="001003AC" w:rsidRPr="00F32643" w:rsidRDefault="006E7C77" w:rsidP="003562C3">
      <w:pPr>
        <w:pStyle w:val="PrrafodeSentencia"/>
        <w:rPr>
          <w:color w:val="000000" w:themeColor="text1"/>
        </w:rPr>
      </w:pPr>
      <w:r w:rsidRPr="00F32643">
        <w:rPr>
          <w:color w:val="000000" w:themeColor="text1"/>
        </w:rPr>
        <w:t xml:space="preserve">Finalmente, respecto a la consulta sobre </w:t>
      </w:r>
      <w:r w:rsidRPr="00F32643">
        <w:rPr>
          <w:color w:val="000000" w:themeColor="text1"/>
          <w:spacing w:val="0"/>
          <w:szCs w:val="20"/>
        </w:rPr>
        <w:t>cómo operaría el cómputo de intereses en los casos en los que los herederos de alguno de los beneficia</w:t>
      </w:r>
      <w:r w:rsidR="001637EE" w:rsidRPr="00F32643">
        <w:rPr>
          <w:color w:val="000000" w:themeColor="text1"/>
          <w:spacing w:val="0"/>
          <w:szCs w:val="20"/>
        </w:rPr>
        <w:t>ri</w:t>
      </w:r>
      <w:r w:rsidRPr="00F32643">
        <w:rPr>
          <w:color w:val="000000" w:themeColor="text1"/>
          <w:spacing w:val="0"/>
          <w:szCs w:val="20"/>
        </w:rPr>
        <w:t>os no estén determinados o, aunque estén determinados, no se hayan efectuado los trámites sucesorios para recibir tal dinero</w:t>
      </w:r>
      <w:r w:rsidR="00AB283C" w:rsidRPr="00F32643">
        <w:rPr>
          <w:color w:val="000000" w:themeColor="text1"/>
          <w:spacing w:val="0"/>
          <w:szCs w:val="20"/>
        </w:rPr>
        <w:t xml:space="preserve">, esta Corte </w:t>
      </w:r>
      <w:r w:rsidR="003562C3" w:rsidRPr="00F32643">
        <w:rPr>
          <w:color w:val="000000" w:themeColor="text1"/>
          <w:spacing w:val="0"/>
          <w:szCs w:val="20"/>
        </w:rPr>
        <w:t xml:space="preserve">reitera </w:t>
      </w:r>
      <w:r w:rsidR="003562C3" w:rsidRPr="00F32643">
        <w:rPr>
          <w:color w:val="000000" w:themeColor="text1"/>
        </w:rPr>
        <w:t>que es preciso que las partes realicen una lectura integral de la Sentencia</w:t>
      </w:r>
      <w:r w:rsidR="004D3011" w:rsidRPr="00F32643">
        <w:rPr>
          <w:color w:val="000000" w:themeColor="text1"/>
        </w:rPr>
        <w:t xml:space="preserve">. En el caso de que no se puedan determinar los derechohabientes o que no se hayan efectuado los trámites sucesorios correspondientes, aplica el párrafo 236 de la </w:t>
      </w:r>
      <w:r w:rsidR="001637EE" w:rsidRPr="00F32643">
        <w:rPr>
          <w:color w:val="000000" w:themeColor="text1"/>
        </w:rPr>
        <w:t>S</w:t>
      </w:r>
      <w:r w:rsidR="004D3011" w:rsidRPr="00F32643">
        <w:rPr>
          <w:color w:val="000000" w:themeColor="text1"/>
        </w:rPr>
        <w:t>entencia que claramente establece que:</w:t>
      </w:r>
    </w:p>
    <w:p w14:paraId="32E6C8CA" w14:textId="5AB1C8F2" w:rsidR="007E12DF" w:rsidRPr="00F32643" w:rsidRDefault="007E12DF" w:rsidP="007E12DF">
      <w:pPr>
        <w:rPr>
          <w:color w:val="000000" w:themeColor="text1"/>
          <w:lang w:val="es-CR" w:eastAsia="es-MX"/>
        </w:rPr>
      </w:pPr>
    </w:p>
    <w:p w14:paraId="7459911C" w14:textId="271994FD" w:rsidR="007E12DF" w:rsidRPr="00F32643" w:rsidRDefault="007E12DF" w:rsidP="007E12DF">
      <w:pPr>
        <w:ind w:left="567" w:right="567"/>
        <w:rPr>
          <w:color w:val="000000" w:themeColor="text1"/>
          <w:sz w:val="18"/>
          <w:szCs w:val="18"/>
          <w:lang w:val="es-CR"/>
        </w:rPr>
      </w:pPr>
      <w:r w:rsidRPr="00F32643">
        <w:rPr>
          <w:color w:val="000000" w:themeColor="text1"/>
          <w:sz w:val="18"/>
          <w:szCs w:val="18"/>
          <w:lang w:val="es-CR"/>
        </w:rPr>
        <w:lastRenderedPageBreak/>
        <w:t>236. Si por causas atribuibles a las personas beneficiarias de las indemnizaciones o a sus derechohabientes no fuese posible el pago de las cantidades determinadas dentro del plazo indicado, el Estado consignará dichos montos a su favor en una cuenta o certificado de depósito en una institución financiera chilena solvente, en dólares de los Estados Unidos de América, y en las condiciones financieras más favorables que permitan la legislación y la práctica bancaria. Si no se reclama la indemnización correspondiente una vez transcurridos diez años, las cantidades serán devueltas al Estado con los intereses devengados.</w:t>
      </w:r>
    </w:p>
    <w:p w14:paraId="1B75825B" w14:textId="77777777" w:rsidR="000B5DC5" w:rsidRPr="00F32643" w:rsidRDefault="000B5DC5" w:rsidP="007E12DF">
      <w:pPr>
        <w:ind w:left="567" w:right="567"/>
        <w:rPr>
          <w:color w:val="000000" w:themeColor="text1"/>
          <w:sz w:val="18"/>
          <w:szCs w:val="18"/>
          <w:lang w:val="es-CR"/>
        </w:rPr>
      </w:pPr>
    </w:p>
    <w:p w14:paraId="7176C467" w14:textId="4FA7914C" w:rsidR="007E12DF" w:rsidRPr="00F32643" w:rsidRDefault="000B5DC5" w:rsidP="000B5DC5">
      <w:pPr>
        <w:pStyle w:val="PrrafodeSentencia"/>
        <w:rPr>
          <w:color w:val="000000" w:themeColor="text1"/>
        </w:rPr>
      </w:pPr>
      <w:r w:rsidRPr="00F32643">
        <w:rPr>
          <w:color w:val="000000" w:themeColor="text1"/>
        </w:rPr>
        <w:t xml:space="preserve">De esta forma, </w:t>
      </w:r>
      <w:r w:rsidR="00954236" w:rsidRPr="00F32643">
        <w:rPr>
          <w:color w:val="000000" w:themeColor="text1"/>
        </w:rPr>
        <w:t>est</w:t>
      </w:r>
      <w:r w:rsidR="00FB7912" w:rsidRPr="00F32643">
        <w:rPr>
          <w:color w:val="000000" w:themeColor="text1"/>
        </w:rPr>
        <w:t>e</w:t>
      </w:r>
      <w:r w:rsidR="00954236" w:rsidRPr="00F32643">
        <w:rPr>
          <w:color w:val="000000" w:themeColor="text1"/>
        </w:rPr>
        <w:t xml:space="preserve"> Tribunal concluye que la solicitud del Estado </w:t>
      </w:r>
      <w:r w:rsidR="00CA183D" w:rsidRPr="00F32643">
        <w:rPr>
          <w:color w:val="000000" w:themeColor="text1"/>
        </w:rPr>
        <w:t>en cuanto</w:t>
      </w:r>
      <w:r w:rsidR="00B86846" w:rsidRPr="00F32643">
        <w:rPr>
          <w:color w:val="000000" w:themeColor="text1"/>
        </w:rPr>
        <w:t xml:space="preserve"> a la interpretación sobre</w:t>
      </w:r>
      <w:r w:rsidR="006005AE" w:rsidRPr="00F32643">
        <w:rPr>
          <w:color w:val="000000" w:themeColor="text1"/>
        </w:rPr>
        <w:t xml:space="preserve"> </w:t>
      </w:r>
      <w:r w:rsidR="006005AE" w:rsidRPr="00F32643">
        <w:rPr>
          <w:color w:val="000000" w:themeColor="text1"/>
          <w:spacing w:val="0"/>
          <w:szCs w:val="20"/>
        </w:rPr>
        <w:t>cómo operaría el cómputo de intereses en los casos en los que los herederos de alguno de los beneficia</w:t>
      </w:r>
      <w:r w:rsidR="0085324B" w:rsidRPr="00F32643">
        <w:rPr>
          <w:color w:val="000000" w:themeColor="text1"/>
          <w:spacing w:val="0"/>
          <w:szCs w:val="20"/>
        </w:rPr>
        <w:t>ri</w:t>
      </w:r>
      <w:r w:rsidR="006005AE" w:rsidRPr="00F32643">
        <w:rPr>
          <w:color w:val="000000" w:themeColor="text1"/>
          <w:spacing w:val="0"/>
          <w:szCs w:val="20"/>
        </w:rPr>
        <w:t>os no estén determinados o, aunque estén determinados, no se hayan efectuado los trámites sucesorios para recibir tal dinero</w:t>
      </w:r>
      <w:r w:rsidR="005973CE" w:rsidRPr="00F32643">
        <w:rPr>
          <w:color w:val="000000" w:themeColor="text1"/>
          <w:spacing w:val="0"/>
          <w:szCs w:val="20"/>
        </w:rPr>
        <w:t xml:space="preserve">, </w:t>
      </w:r>
      <w:r w:rsidR="00954236" w:rsidRPr="00F32643">
        <w:rPr>
          <w:color w:val="000000" w:themeColor="text1"/>
        </w:rPr>
        <w:t>es improcedente.</w:t>
      </w:r>
    </w:p>
    <w:p w14:paraId="34E07CA3" w14:textId="231A3B01" w:rsidR="00E70BEC" w:rsidRPr="00F32643" w:rsidRDefault="00E70BEC" w:rsidP="00E70BEC">
      <w:pPr>
        <w:rPr>
          <w:color w:val="000000" w:themeColor="text1"/>
          <w:lang w:val="es-CR" w:eastAsia="es-MX"/>
        </w:rPr>
      </w:pPr>
    </w:p>
    <w:p w14:paraId="40565B46" w14:textId="6A7DF8C2" w:rsidR="00E70BEC" w:rsidRPr="00F32643" w:rsidRDefault="00E70BEC" w:rsidP="00E70BEC">
      <w:pPr>
        <w:pStyle w:val="PrrafodeSentencia"/>
        <w:rPr>
          <w:color w:val="000000" w:themeColor="text1"/>
        </w:rPr>
      </w:pPr>
      <w:r w:rsidRPr="00F32643">
        <w:rPr>
          <w:color w:val="000000" w:themeColor="text1"/>
        </w:rPr>
        <w:t xml:space="preserve">En conclusión, esta Corte aclara </w:t>
      </w:r>
      <w:r w:rsidR="006F2A5D" w:rsidRPr="00F32643">
        <w:rPr>
          <w:color w:val="000000" w:themeColor="text1"/>
        </w:rPr>
        <w:t>que</w:t>
      </w:r>
      <w:r w:rsidR="00973234" w:rsidRPr="00F32643">
        <w:rPr>
          <w:color w:val="000000" w:themeColor="text1"/>
        </w:rPr>
        <w:t xml:space="preserve">, </w:t>
      </w:r>
      <w:r w:rsidR="0000644E" w:rsidRPr="00F32643">
        <w:rPr>
          <w:color w:val="000000" w:themeColor="text1"/>
        </w:rPr>
        <w:t xml:space="preserve">si el Estado decide realizar el pago de los montos debidos por concepto de restitución en tres cuotas, el reajuste y los intereses deberán ser calculados sobre las sumas </w:t>
      </w:r>
      <w:r w:rsidR="00F14521" w:rsidRPr="00F32643">
        <w:rPr>
          <w:color w:val="000000" w:themeColor="text1"/>
        </w:rPr>
        <w:t>adeudadas</w:t>
      </w:r>
      <w:r w:rsidR="0000644E" w:rsidRPr="00F32643">
        <w:rPr>
          <w:color w:val="000000" w:themeColor="text1"/>
        </w:rPr>
        <w:t>, tomando como punto de partida el 31 de julio de 2020 y hasta la fecha efectiva de sus pagos</w:t>
      </w:r>
      <w:r w:rsidR="0042401D" w:rsidRPr="00F32643">
        <w:rPr>
          <w:color w:val="000000" w:themeColor="text1"/>
        </w:rPr>
        <w:t>, a saber</w:t>
      </w:r>
      <w:r w:rsidR="00973234" w:rsidRPr="00F32643">
        <w:rPr>
          <w:color w:val="000000" w:themeColor="text1"/>
        </w:rPr>
        <w:t>,</w:t>
      </w:r>
      <w:r w:rsidR="0042401D" w:rsidRPr="00F32643">
        <w:rPr>
          <w:color w:val="000000" w:themeColor="text1"/>
        </w:rPr>
        <w:t xml:space="preserve"> el 21 de diciembre de 2022, 21 de diciembre de 2023 y 21 de diciembre de 2024.</w:t>
      </w:r>
      <w:r w:rsidR="00372016" w:rsidRPr="00F32643">
        <w:rPr>
          <w:color w:val="000000" w:themeColor="text1"/>
        </w:rPr>
        <w:t xml:space="preserve"> Asimismo, respecto a la aplicación de intereses moratorios</w:t>
      </w:r>
      <w:r w:rsidR="005A18FB" w:rsidRPr="00F32643">
        <w:rPr>
          <w:color w:val="000000" w:themeColor="text1"/>
        </w:rPr>
        <w:t xml:space="preserve"> a los montos debidos por concepto de restitución</w:t>
      </w:r>
      <w:r w:rsidR="00372016" w:rsidRPr="00F32643">
        <w:rPr>
          <w:color w:val="000000" w:themeColor="text1"/>
        </w:rPr>
        <w:t>,</w:t>
      </w:r>
      <w:r w:rsidR="00775DDA" w:rsidRPr="00F32643">
        <w:rPr>
          <w:color w:val="000000" w:themeColor="text1"/>
        </w:rPr>
        <w:t xml:space="preserve"> </w:t>
      </w:r>
      <w:r w:rsidR="005A18FB" w:rsidRPr="00F32643">
        <w:rPr>
          <w:color w:val="000000" w:themeColor="text1"/>
        </w:rPr>
        <w:t>se interpreta que los mismos</w:t>
      </w:r>
      <w:r w:rsidR="00775DDA" w:rsidRPr="00F32643">
        <w:rPr>
          <w:color w:val="000000" w:themeColor="text1"/>
        </w:rPr>
        <w:t xml:space="preserve"> </w:t>
      </w:r>
      <w:r w:rsidR="00EC6EC0" w:rsidRPr="00F32643">
        <w:rPr>
          <w:color w:val="000000" w:themeColor="text1"/>
        </w:rPr>
        <w:t>ya se encuentran comprendidos en la forma de cálculo establecida para el pago de las sumas debidas por concepto de restitución, en aplicación del artículo 63 del Código de Trabajo</w:t>
      </w:r>
      <w:r w:rsidR="00254323" w:rsidRPr="00F32643">
        <w:rPr>
          <w:color w:val="000000" w:themeColor="text1"/>
        </w:rPr>
        <w:t xml:space="preserve"> y deberán aplicarse sobre las sumas reajustadas todavía debidas hasta el momento de pago efectivo de las sumas adeudadas.</w:t>
      </w:r>
      <w:r w:rsidR="00372016" w:rsidRPr="00F32643">
        <w:rPr>
          <w:color w:val="000000" w:themeColor="text1"/>
        </w:rPr>
        <w:t xml:space="preserve"> </w:t>
      </w:r>
      <w:r w:rsidR="00973234" w:rsidRPr="00F32643">
        <w:rPr>
          <w:color w:val="000000" w:themeColor="text1"/>
        </w:rPr>
        <w:t xml:space="preserve"> </w:t>
      </w:r>
      <w:r w:rsidR="00372016" w:rsidRPr="00F32643">
        <w:rPr>
          <w:color w:val="000000" w:themeColor="text1"/>
        </w:rPr>
        <w:t>Finalmente, r</w:t>
      </w:r>
      <w:r w:rsidR="00973234" w:rsidRPr="00F32643">
        <w:rPr>
          <w:color w:val="000000" w:themeColor="text1"/>
        </w:rPr>
        <w:t xml:space="preserve">especto a la solicitud de interpretación sobre el cómputo de intereses en los casos </w:t>
      </w:r>
      <w:r w:rsidR="00973234" w:rsidRPr="00F32643">
        <w:rPr>
          <w:color w:val="000000" w:themeColor="text1"/>
          <w:spacing w:val="0"/>
          <w:szCs w:val="20"/>
        </w:rPr>
        <w:t>en los que los herederos de alguno de los beneficia</w:t>
      </w:r>
      <w:r w:rsidR="00EA332B" w:rsidRPr="00F32643">
        <w:rPr>
          <w:color w:val="000000" w:themeColor="text1"/>
          <w:spacing w:val="0"/>
          <w:szCs w:val="20"/>
        </w:rPr>
        <w:t>ri</w:t>
      </w:r>
      <w:r w:rsidR="00973234" w:rsidRPr="00F32643">
        <w:rPr>
          <w:color w:val="000000" w:themeColor="text1"/>
          <w:spacing w:val="0"/>
          <w:szCs w:val="20"/>
        </w:rPr>
        <w:t>os no estén determinados o, aunque estén determinados, no se hayan efectuado los trámites sucesorios para recibir tal dinero, la misma es declarada improcedente.</w:t>
      </w:r>
    </w:p>
    <w:p w14:paraId="1B5BFAD5" w14:textId="77777777" w:rsidR="00323C1E" w:rsidRPr="00F32643" w:rsidRDefault="00323C1E" w:rsidP="00323C1E">
      <w:pPr>
        <w:rPr>
          <w:color w:val="000000" w:themeColor="text1"/>
          <w:lang w:val="es-CR"/>
        </w:rPr>
      </w:pPr>
    </w:p>
    <w:p w14:paraId="4B58A89D" w14:textId="23496162" w:rsidR="00294205" w:rsidRPr="00F32643" w:rsidRDefault="00294205" w:rsidP="00294205">
      <w:pPr>
        <w:rPr>
          <w:color w:val="000000" w:themeColor="text1"/>
          <w:lang w:val="es-CR"/>
        </w:rPr>
      </w:pPr>
    </w:p>
    <w:p w14:paraId="4883E7AF" w14:textId="0F6A6A6F" w:rsidR="00294205" w:rsidRPr="00F32643" w:rsidRDefault="00294205" w:rsidP="00294205">
      <w:pPr>
        <w:pStyle w:val="Ttulo2"/>
        <w:keepNext/>
        <w:numPr>
          <w:ilvl w:val="0"/>
          <w:numId w:val="3"/>
        </w:numPr>
        <w:tabs>
          <w:tab w:val="clear" w:pos="567"/>
          <w:tab w:val="clear" w:pos="993"/>
          <w:tab w:val="left" w:pos="1134"/>
        </w:tabs>
        <w:spacing w:before="0" w:after="0"/>
        <w:ind w:left="1134" w:hanging="567"/>
        <w:contextualSpacing w:val="0"/>
        <w:rPr>
          <w:color w:val="000000" w:themeColor="text1"/>
        </w:rPr>
      </w:pPr>
      <w:r w:rsidRPr="00F32643">
        <w:rPr>
          <w:color w:val="000000" w:themeColor="text1"/>
        </w:rPr>
        <w:t xml:space="preserve">Sobre el procedimiento de búsqueda de herederos </w:t>
      </w:r>
      <w:r w:rsidR="0097496B" w:rsidRPr="00F32643">
        <w:rPr>
          <w:color w:val="000000" w:themeColor="text1"/>
        </w:rPr>
        <w:t xml:space="preserve">respecto a </w:t>
      </w:r>
      <w:r w:rsidRPr="00F32643">
        <w:rPr>
          <w:color w:val="000000" w:themeColor="text1"/>
        </w:rPr>
        <w:t>beneficiarios que fallezcan</w:t>
      </w:r>
      <w:r w:rsidR="0097496B" w:rsidRPr="00F32643">
        <w:rPr>
          <w:color w:val="000000" w:themeColor="text1"/>
        </w:rPr>
        <w:t xml:space="preserve"> o hayan fallecido</w:t>
      </w:r>
      <w:r w:rsidRPr="00F32643">
        <w:rPr>
          <w:color w:val="000000" w:themeColor="text1"/>
        </w:rPr>
        <w:t xml:space="preserve"> en el </w:t>
      </w:r>
      <w:r w:rsidR="0097496B" w:rsidRPr="00F32643">
        <w:rPr>
          <w:color w:val="000000" w:themeColor="text1"/>
        </w:rPr>
        <w:t>transcurso</w:t>
      </w:r>
      <w:r w:rsidRPr="00F32643">
        <w:rPr>
          <w:color w:val="000000" w:themeColor="text1"/>
        </w:rPr>
        <w:t xml:space="preserve"> de</w:t>
      </w:r>
      <w:r w:rsidR="0097496B" w:rsidRPr="00F32643">
        <w:rPr>
          <w:color w:val="000000" w:themeColor="text1"/>
        </w:rPr>
        <w:t>l</w:t>
      </w:r>
      <w:r w:rsidRPr="00F32643">
        <w:rPr>
          <w:color w:val="000000" w:themeColor="text1"/>
        </w:rPr>
        <w:t xml:space="preserve"> cumplimiento de la Sentencia</w:t>
      </w:r>
    </w:p>
    <w:p w14:paraId="075BF3B4" w14:textId="77777777" w:rsidR="00294205" w:rsidRPr="00F32643" w:rsidRDefault="00294205" w:rsidP="00294205">
      <w:pPr>
        <w:rPr>
          <w:color w:val="000000" w:themeColor="text1"/>
          <w:lang w:val="es-CR"/>
        </w:rPr>
      </w:pPr>
    </w:p>
    <w:p w14:paraId="6DA0ECAC" w14:textId="72BBBF2C" w:rsidR="00294205" w:rsidRPr="00F32643" w:rsidRDefault="00790F64" w:rsidP="00294205">
      <w:pPr>
        <w:pStyle w:val="Ttulo3"/>
        <w:spacing w:before="0" w:after="0"/>
        <w:rPr>
          <w:color w:val="000000" w:themeColor="text1"/>
          <w:lang w:val="es-CR"/>
        </w:rPr>
      </w:pPr>
      <w:r w:rsidRPr="00F32643">
        <w:rPr>
          <w:color w:val="000000" w:themeColor="text1"/>
          <w:lang w:val="es-CR"/>
        </w:rPr>
        <w:t>D</w:t>
      </w:r>
      <w:r w:rsidR="00294205" w:rsidRPr="00F32643">
        <w:rPr>
          <w:color w:val="000000" w:themeColor="text1"/>
          <w:lang w:val="es-CR"/>
        </w:rPr>
        <w:t>.1. Alegatos de las partes y de la Comisión</w:t>
      </w:r>
    </w:p>
    <w:p w14:paraId="51A469BC" w14:textId="77777777" w:rsidR="00294205" w:rsidRPr="00F32643" w:rsidRDefault="00294205" w:rsidP="00294205">
      <w:pPr>
        <w:rPr>
          <w:color w:val="000000" w:themeColor="text1"/>
          <w:lang w:val="es-CR"/>
        </w:rPr>
      </w:pPr>
    </w:p>
    <w:p w14:paraId="2B7936D4" w14:textId="5A1E8948" w:rsidR="00294205" w:rsidRPr="00F32643" w:rsidRDefault="00294205" w:rsidP="00294205">
      <w:pPr>
        <w:pStyle w:val="PrrafodeSentencia"/>
        <w:rPr>
          <w:b/>
          <w:color w:val="000000" w:themeColor="text1"/>
          <w:spacing w:val="0"/>
          <w:szCs w:val="20"/>
        </w:rPr>
      </w:pPr>
      <w:r w:rsidRPr="00F32643">
        <w:rPr>
          <w:color w:val="000000" w:themeColor="text1"/>
          <w:spacing w:val="0"/>
          <w:szCs w:val="20"/>
        </w:rPr>
        <w:t xml:space="preserve">El </w:t>
      </w:r>
      <w:r w:rsidRPr="00F32643">
        <w:rPr>
          <w:b/>
          <w:i/>
          <w:color w:val="000000" w:themeColor="text1"/>
          <w:spacing w:val="0"/>
          <w:szCs w:val="20"/>
        </w:rPr>
        <w:t xml:space="preserve">Estado </w:t>
      </w:r>
      <w:r w:rsidRPr="00F32643">
        <w:rPr>
          <w:color w:val="000000" w:themeColor="text1"/>
          <w:spacing w:val="0"/>
          <w:szCs w:val="20"/>
        </w:rPr>
        <w:t xml:space="preserve">solicitó que se </w:t>
      </w:r>
      <w:r w:rsidR="00DB26FA" w:rsidRPr="00F32643">
        <w:rPr>
          <w:color w:val="000000" w:themeColor="text1"/>
          <w:spacing w:val="0"/>
          <w:szCs w:val="20"/>
        </w:rPr>
        <w:t xml:space="preserve">aclare si el mecanismo de avisos señalado en el párrafo 234 de la Sentencia para poder solucionar </w:t>
      </w:r>
      <w:r w:rsidR="007F52E2" w:rsidRPr="00F32643">
        <w:rPr>
          <w:color w:val="000000" w:themeColor="text1"/>
          <w:spacing w:val="0"/>
          <w:szCs w:val="20"/>
        </w:rPr>
        <w:t>la situación</w:t>
      </w:r>
      <w:r w:rsidR="00D238D7" w:rsidRPr="00F32643">
        <w:rPr>
          <w:color w:val="000000" w:themeColor="text1"/>
          <w:spacing w:val="0"/>
          <w:szCs w:val="20"/>
        </w:rPr>
        <w:t xml:space="preserve"> de los tres casos identificados de víctimas fallecidas respecto de las cuales no se pudo de</w:t>
      </w:r>
      <w:r w:rsidR="00FF1CB6" w:rsidRPr="00F32643">
        <w:rPr>
          <w:color w:val="000000" w:themeColor="text1"/>
          <w:spacing w:val="0"/>
          <w:szCs w:val="20"/>
        </w:rPr>
        <w:t>terminar sus herederos podía ser utilizado para la determinación de los derechohabientes de los beneficiarios que fallez</w:t>
      </w:r>
      <w:r w:rsidR="00C40FC0" w:rsidRPr="00F32643">
        <w:rPr>
          <w:color w:val="000000" w:themeColor="text1"/>
          <w:spacing w:val="0"/>
          <w:szCs w:val="20"/>
        </w:rPr>
        <w:t xml:space="preserve">can en el tiempo de ejecución de la Sentencia. </w:t>
      </w:r>
    </w:p>
    <w:p w14:paraId="0D984AEB" w14:textId="77777777" w:rsidR="00294205" w:rsidRPr="00F32643" w:rsidRDefault="00294205" w:rsidP="00294205">
      <w:pPr>
        <w:rPr>
          <w:color w:val="000000" w:themeColor="text1"/>
          <w:lang w:val="es-CR" w:eastAsia="es-MX"/>
        </w:rPr>
      </w:pPr>
    </w:p>
    <w:p w14:paraId="267ED8D6" w14:textId="068E9874" w:rsidR="00294205" w:rsidRPr="00F32643" w:rsidRDefault="00294205" w:rsidP="00294205">
      <w:pPr>
        <w:pStyle w:val="PrrafodeSentencia"/>
        <w:rPr>
          <w:color w:val="000000" w:themeColor="text1"/>
          <w:spacing w:val="0"/>
        </w:rPr>
      </w:pPr>
      <w:r w:rsidRPr="00F32643">
        <w:rPr>
          <w:color w:val="000000" w:themeColor="text1"/>
          <w:spacing w:val="0"/>
        </w:rPr>
        <w:t xml:space="preserve">Los </w:t>
      </w:r>
      <w:r w:rsidRPr="00F32643">
        <w:rPr>
          <w:b/>
          <w:i/>
          <w:color w:val="000000" w:themeColor="text1"/>
          <w:spacing w:val="0"/>
        </w:rPr>
        <w:t xml:space="preserve">representantes </w:t>
      </w:r>
      <w:r w:rsidR="00681642" w:rsidRPr="00F32643">
        <w:rPr>
          <w:color w:val="000000" w:themeColor="text1"/>
          <w:spacing w:val="0"/>
        </w:rPr>
        <w:t>alegaron que, ante el elevado número de víctimas mayores de edad, y su fallecimiento progresivo, la determinación de sus herederos presentes y futu</w:t>
      </w:r>
      <w:r w:rsidR="003A31C0" w:rsidRPr="00F32643">
        <w:rPr>
          <w:color w:val="000000" w:themeColor="text1"/>
          <w:spacing w:val="0"/>
        </w:rPr>
        <w:t xml:space="preserve">ros, en función del ordenamiento jurídico interno, exige de medidas adicionales de cuidado y resguardo de las víctimas beneficiarias y sus herederos, y de hacer valer su voluntad de trascendencia y legado. </w:t>
      </w:r>
      <w:r w:rsidR="00AB73E6" w:rsidRPr="00F32643">
        <w:rPr>
          <w:color w:val="000000" w:themeColor="text1"/>
          <w:spacing w:val="0"/>
        </w:rPr>
        <w:t>De esta forma</w:t>
      </w:r>
      <w:r w:rsidR="00843B00" w:rsidRPr="00F32643">
        <w:rPr>
          <w:color w:val="000000" w:themeColor="text1"/>
          <w:spacing w:val="0"/>
        </w:rPr>
        <w:t>,</w:t>
      </w:r>
      <w:r w:rsidR="00AB73E6" w:rsidRPr="00F32643">
        <w:rPr>
          <w:color w:val="000000" w:themeColor="text1"/>
          <w:spacing w:val="0"/>
        </w:rPr>
        <w:t xml:space="preserve"> consideraron que la propuesta de utiliza</w:t>
      </w:r>
      <w:r w:rsidR="00C46038" w:rsidRPr="00F32643">
        <w:rPr>
          <w:color w:val="000000" w:themeColor="text1"/>
          <w:spacing w:val="0"/>
        </w:rPr>
        <w:t>r</w:t>
      </w:r>
      <w:r w:rsidR="00AB73E6" w:rsidRPr="00F32643">
        <w:rPr>
          <w:color w:val="000000" w:themeColor="text1"/>
          <w:spacing w:val="0"/>
        </w:rPr>
        <w:t xml:space="preserve"> el mecanismo dispuesto en el párrafo a otras víctimas, las cuales tienen constituido un mandat</w:t>
      </w:r>
      <w:r w:rsidR="00C4667A" w:rsidRPr="00F32643">
        <w:rPr>
          <w:color w:val="000000" w:themeColor="text1"/>
          <w:spacing w:val="0"/>
        </w:rPr>
        <w:t xml:space="preserve">ario judicial con poder suficiente, </w:t>
      </w:r>
      <w:r w:rsidR="00843B00" w:rsidRPr="00F32643">
        <w:rPr>
          <w:color w:val="000000" w:themeColor="text1"/>
          <w:spacing w:val="0"/>
        </w:rPr>
        <w:t>“</w:t>
      </w:r>
      <w:r w:rsidR="00C4667A" w:rsidRPr="00F32643">
        <w:rPr>
          <w:color w:val="000000" w:themeColor="text1"/>
          <w:spacing w:val="0"/>
        </w:rPr>
        <w:t>pierde sentido y expone a los herederos de las víctimas a una publicidad innecesaria</w:t>
      </w:r>
      <w:r w:rsidR="00843B00" w:rsidRPr="00F32643">
        <w:rPr>
          <w:color w:val="000000" w:themeColor="text1"/>
          <w:spacing w:val="0"/>
        </w:rPr>
        <w:t>”</w:t>
      </w:r>
      <w:r w:rsidR="00C4667A" w:rsidRPr="00F32643">
        <w:rPr>
          <w:color w:val="000000" w:themeColor="text1"/>
          <w:spacing w:val="0"/>
        </w:rPr>
        <w:t>, pues existen mecanismos en el ordenamiento jurídico interno que permiten identificar a los herederos de una persona.</w:t>
      </w:r>
    </w:p>
    <w:p w14:paraId="6C7DB8F8" w14:textId="2E2DF9E8" w:rsidR="005D5301" w:rsidRPr="00F32643" w:rsidRDefault="005D5301" w:rsidP="005D5301">
      <w:pPr>
        <w:rPr>
          <w:color w:val="000000" w:themeColor="text1"/>
          <w:lang w:val="es-CR" w:eastAsia="es-MX"/>
        </w:rPr>
      </w:pPr>
    </w:p>
    <w:p w14:paraId="038F02AB" w14:textId="77777777" w:rsidR="005D5301" w:rsidRPr="00F32643" w:rsidRDefault="005D5301" w:rsidP="005D5301">
      <w:pPr>
        <w:pStyle w:val="PrrafodeSentencia"/>
        <w:rPr>
          <w:color w:val="000000" w:themeColor="text1"/>
          <w:spacing w:val="0"/>
        </w:rPr>
      </w:pPr>
      <w:r w:rsidRPr="00F32643">
        <w:rPr>
          <w:color w:val="000000" w:themeColor="text1"/>
          <w:spacing w:val="0"/>
        </w:rPr>
        <w:lastRenderedPageBreak/>
        <w:t xml:space="preserve">La </w:t>
      </w:r>
      <w:r w:rsidRPr="00F32643">
        <w:rPr>
          <w:b/>
          <w:i/>
          <w:color w:val="000000" w:themeColor="text1"/>
          <w:spacing w:val="0"/>
        </w:rPr>
        <w:t xml:space="preserve">Comisión </w:t>
      </w:r>
      <w:r w:rsidRPr="00F32643">
        <w:rPr>
          <w:color w:val="000000" w:themeColor="text1"/>
          <w:spacing w:val="0"/>
        </w:rPr>
        <w:t>observó que la aclaración de las consultas planteadas por el Estado puede facilitar el proceso de supervisión de la sentencia y agilizar el cumplimiento de las medidas de reparación, lo cual resulta de extrema importancia en el presente caso dada la edad avanzada de las víctimas. Sin embargo, no se pronunció de manera específica sobre los puntos sometidos a las solicitudes de interpretación.</w:t>
      </w:r>
    </w:p>
    <w:p w14:paraId="34D8FDD7" w14:textId="77777777" w:rsidR="005D5301" w:rsidRPr="00F32643" w:rsidRDefault="005D5301" w:rsidP="005D5301">
      <w:pPr>
        <w:rPr>
          <w:color w:val="000000" w:themeColor="text1"/>
          <w:lang w:val="es-CR" w:eastAsia="es-MX"/>
        </w:rPr>
      </w:pPr>
    </w:p>
    <w:p w14:paraId="6B515DCF" w14:textId="77777777" w:rsidR="00294205" w:rsidRPr="00F32643" w:rsidRDefault="00294205" w:rsidP="00294205">
      <w:pPr>
        <w:rPr>
          <w:color w:val="000000" w:themeColor="text1"/>
          <w:lang w:val="es-CR" w:eastAsia="es-MX"/>
        </w:rPr>
      </w:pPr>
    </w:p>
    <w:p w14:paraId="2B88C6C3" w14:textId="0A1D49FC" w:rsidR="00294205" w:rsidRPr="00F32643" w:rsidRDefault="00790F64" w:rsidP="00294205">
      <w:pPr>
        <w:pStyle w:val="Ttulo3"/>
        <w:spacing w:before="0" w:after="0"/>
        <w:rPr>
          <w:color w:val="000000" w:themeColor="text1"/>
          <w:lang w:val="es-CR"/>
        </w:rPr>
      </w:pPr>
      <w:r w:rsidRPr="00F32643">
        <w:rPr>
          <w:color w:val="000000" w:themeColor="text1"/>
          <w:lang w:val="es-CR"/>
        </w:rPr>
        <w:t>D</w:t>
      </w:r>
      <w:r w:rsidR="00294205" w:rsidRPr="00F32643">
        <w:rPr>
          <w:color w:val="000000" w:themeColor="text1"/>
          <w:lang w:val="es-CR"/>
        </w:rPr>
        <w:t>.2. Consideraciones de la Corte</w:t>
      </w:r>
    </w:p>
    <w:p w14:paraId="393DE45B" w14:textId="77777777" w:rsidR="00294205" w:rsidRPr="00F32643" w:rsidRDefault="00294205" w:rsidP="00294205">
      <w:pPr>
        <w:pStyle w:val="PrrafodeSentencia"/>
        <w:numPr>
          <w:ilvl w:val="0"/>
          <w:numId w:val="0"/>
        </w:numPr>
        <w:rPr>
          <w:color w:val="000000" w:themeColor="text1"/>
          <w:spacing w:val="0"/>
          <w:szCs w:val="20"/>
        </w:rPr>
      </w:pPr>
      <w:r w:rsidRPr="00F32643">
        <w:rPr>
          <w:color w:val="000000" w:themeColor="text1"/>
          <w:spacing w:val="0"/>
          <w:szCs w:val="20"/>
        </w:rPr>
        <w:t xml:space="preserve"> </w:t>
      </w:r>
    </w:p>
    <w:p w14:paraId="5129B7FB" w14:textId="7C55AB0F" w:rsidR="00294205" w:rsidRPr="00F32643" w:rsidRDefault="005F49EA" w:rsidP="005F49EA">
      <w:pPr>
        <w:pStyle w:val="PrrafodeSentencia"/>
        <w:rPr>
          <w:color w:val="000000" w:themeColor="text1"/>
        </w:rPr>
      </w:pPr>
      <w:r w:rsidRPr="00F32643">
        <w:rPr>
          <w:color w:val="000000" w:themeColor="text1"/>
        </w:rPr>
        <w:t>El párra</w:t>
      </w:r>
      <w:r w:rsidR="003D310C" w:rsidRPr="00F32643">
        <w:rPr>
          <w:color w:val="000000" w:themeColor="text1"/>
        </w:rPr>
        <w:t xml:space="preserve">fo 234 de la </w:t>
      </w:r>
      <w:r w:rsidR="002149FC" w:rsidRPr="00F32643">
        <w:rPr>
          <w:color w:val="000000" w:themeColor="text1"/>
        </w:rPr>
        <w:t>S</w:t>
      </w:r>
      <w:r w:rsidR="003D310C" w:rsidRPr="00F32643">
        <w:rPr>
          <w:color w:val="000000" w:themeColor="text1"/>
        </w:rPr>
        <w:t>entencia establece lo siguiente:</w:t>
      </w:r>
    </w:p>
    <w:p w14:paraId="16170315" w14:textId="0BDE05FD" w:rsidR="003D310C" w:rsidRPr="00F32643" w:rsidRDefault="003D310C" w:rsidP="003D310C">
      <w:pPr>
        <w:rPr>
          <w:color w:val="000000" w:themeColor="text1"/>
          <w:lang w:val="es-CR" w:eastAsia="es-MX"/>
        </w:rPr>
      </w:pPr>
    </w:p>
    <w:p w14:paraId="5F9867B7" w14:textId="5C449649" w:rsidR="003D310C" w:rsidRPr="00F32643" w:rsidRDefault="00667570" w:rsidP="001B080D">
      <w:pPr>
        <w:ind w:left="567" w:right="567"/>
        <w:rPr>
          <w:color w:val="000000" w:themeColor="text1"/>
          <w:sz w:val="18"/>
          <w:szCs w:val="18"/>
          <w:lang w:val="es-CR"/>
        </w:rPr>
      </w:pPr>
      <w:r w:rsidRPr="00F32643">
        <w:rPr>
          <w:color w:val="000000" w:themeColor="text1"/>
          <w:sz w:val="18"/>
          <w:szCs w:val="18"/>
          <w:lang w:val="es-CR"/>
        </w:rPr>
        <w:t>234. En caso de que la persona beneficiaria haya fallecido o fallezca antes de que le sea entregada la cantidad respectiva, esta se entregará directamente a sus derechohabientes, conforme al derecho interno aplicable. Esta Corte toma nota de que, de acuerdo con los representantes, no cuentan con información acerca de los herederos de las víctimas María Graciela Cisternas Cisternas, María Apolina Lara Pereira y Heriberto Antonio Martínez Salazar. Al respecto, la Corte estima que, con el fin de determinar los derechohabientes de estas personas, el Estado deberá realizar la publicación de por lo menos tres edictos en el Diario Oficial en un término de seis meses convocando a los familiares inmediatos de estas personas para que se presenten con la información necesaria e informando del procedimiento a seguir para estos fines.</w:t>
      </w:r>
    </w:p>
    <w:p w14:paraId="4E4662A8" w14:textId="7D43B5B2" w:rsidR="00667570" w:rsidRPr="00F32643" w:rsidRDefault="00667570" w:rsidP="003D310C">
      <w:pPr>
        <w:rPr>
          <w:color w:val="000000" w:themeColor="text1"/>
          <w:lang w:val="es-CR"/>
        </w:rPr>
      </w:pPr>
    </w:p>
    <w:p w14:paraId="299E78BC" w14:textId="26D6BB0E" w:rsidR="00667570" w:rsidRPr="00F32643" w:rsidRDefault="00153EE5" w:rsidP="00153EE5">
      <w:pPr>
        <w:pStyle w:val="PrrafodeSentencia"/>
        <w:rPr>
          <w:color w:val="000000" w:themeColor="text1"/>
        </w:rPr>
      </w:pPr>
      <w:r w:rsidRPr="00F32643">
        <w:rPr>
          <w:color w:val="000000" w:themeColor="text1"/>
        </w:rPr>
        <w:t>El Estado consultó si el mecanismo establecido en este párrafo podía s</w:t>
      </w:r>
      <w:r w:rsidR="00E23B71" w:rsidRPr="00F32643">
        <w:rPr>
          <w:color w:val="000000" w:themeColor="text1"/>
        </w:rPr>
        <w:t>e</w:t>
      </w:r>
      <w:r w:rsidRPr="00F32643">
        <w:rPr>
          <w:color w:val="000000" w:themeColor="text1"/>
        </w:rPr>
        <w:t xml:space="preserve">r utilizado </w:t>
      </w:r>
      <w:r w:rsidR="00276BB5" w:rsidRPr="00F32643">
        <w:rPr>
          <w:color w:val="000000" w:themeColor="text1"/>
        </w:rPr>
        <w:t xml:space="preserve">para la determinación de los derechohabientes </w:t>
      </w:r>
      <w:r w:rsidR="006B57AD" w:rsidRPr="00F32643">
        <w:rPr>
          <w:color w:val="000000" w:themeColor="text1"/>
        </w:rPr>
        <w:t xml:space="preserve">de los beneficiarios que fallezcan durante la etapa de ejecución del </w:t>
      </w:r>
      <w:r w:rsidR="00C46038" w:rsidRPr="00F32643">
        <w:rPr>
          <w:color w:val="000000" w:themeColor="text1"/>
        </w:rPr>
        <w:t>F</w:t>
      </w:r>
      <w:r w:rsidR="006B57AD" w:rsidRPr="00F32643">
        <w:rPr>
          <w:color w:val="000000" w:themeColor="text1"/>
        </w:rPr>
        <w:t xml:space="preserve">allo. Al respecto, esta </w:t>
      </w:r>
      <w:r w:rsidR="006B57AD" w:rsidRPr="00F32643">
        <w:rPr>
          <w:b/>
          <w:bCs/>
          <w:i/>
          <w:iCs/>
          <w:color w:val="000000" w:themeColor="text1"/>
        </w:rPr>
        <w:t>Corte</w:t>
      </w:r>
      <w:r w:rsidR="006B57AD" w:rsidRPr="00F32643">
        <w:rPr>
          <w:color w:val="000000" w:themeColor="text1"/>
        </w:rPr>
        <w:t xml:space="preserve"> reitera que </w:t>
      </w:r>
      <w:r w:rsidR="00125F2B" w:rsidRPr="00F32643">
        <w:rPr>
          <w:color w:val="000000" w:themeColor="text1"/>
        </w:rPr>
        <w:t>es preciso que las partes realicen una lectura integral de la Sentencia y no consideren cada párrafo del Fallo como si fuese independiente del resto</w:t>
      </w:r>
      <w:r w:rsidR="004F1F25" w:rsidRPr="00F32643">
        <w:rPr>
          <w:color w:val="000000" w:themeColor="text1"/>
        </w:rPr>
        <w:t>. De esta forma, para el caso de que exist</w:t>
      </w:r>
      <w:r w:rsidR="009857A4" w:rsidRPr="00F32643">
        <w:rPr>
          <w:color w:val="000000" w:themeColor="text1"/>
        </w:rPr>
        <w:t>a</w:t>
      </w:r>
      <w:r w:rsidR="004F1F25" w:rsidRPr="00F32643">
        <w:rPr>
          <w:color w:val="000000" w:themeColor="text1"/>
        </w:rPr>
        <w:t xml:space="preserve"> algún problema que impidiese pagar las sumas</w:t>
      </w:r>
      <w:r w:rsidR="001079F7" w:rsidRPr="00F32643">
        <w:rPr>
          <w:color w:val="000000" w:themeColor="text1"/>
        </w:rPr>
        <w:t xml:space="preserve"> a las personas beneficiarias, por falta de determinación de sus derechohabientes, la propia </w:t>
      </w:r>
      <w:r w:rsidR="00C46038" w:rsidRPr="00F32643">
        <w:rPr>
          <w:color w:val="000000" w:themeColor="text1"/>
        </w:rPr>
        <w:t>S</w:t>
      </w:r>
      <w:r w:rsidR="001079F7" w:rsidRPr="00F32643">
        <w:rPr>
          <w:color w:val="000000" w:themeColor="text1"/>
        </w:rPr>
        <w:t>entencia establece el mecanismo aplicable en el</w:t>
      </w:r>
      <w:r w:rsidR="00277A54" w:rsidRPr="00F32643">
        <w:rPr>
          <w:color w:val="000000" w:themeColor="text1"/>
        </w:rPr>
        <w:t xml:space="preserve"> </w:t>
      </w:r>
      <w:r w:rsidR="009649CD" w:rsidRPr="00F32643">
        <w:rPr>
          <w:color w:val="000000" w:themeColor="text1"/>
        </w:rPr>
        <w:t>propio párrafo</w:t>
      </w:r>
      <w:r w:rsidR="001079F7" w:rsidRPr="00F32643">
        <w:rPr>
          <w:color w:val="000000" w:themeColor="text1"/>
        </w:rPr>
        <w:t xml:space="preserve"> </w:t>
      </w:r>
      <w:r w:rsidR="00277A54" w:rsidRPr="00F32643">
        <w:rPr>
          <w:color w:val="000000" w:themeColor="text1"/>
        </w:rPr>
        <w:t xml:space="preserve">234 </w:t>
      </w:r>
      <w:r w:rsidR="00165F76" w:rsidRPr="00F32643">
        <w:rPr>
          <w:i/>
          <w:iCs/>
          <w:color w:val="000000" w:themeColor="text1"/>
        </w:rPr>
        <w:t>supra</w:t>
      </w:r>
      <w:r w:rsidR="00165F76" w:rsidRPr="00F32643">
        <w:rPr>
          <w:color w:val="000000" w:themeColor="text1"/>
        </w:rPr>
        <w:t xml:space="preserve"> citado</w:t>
      </w:r>
      <w:r w:rsidR="00277A54" w:rsidRPr="00F32643">
        <w:rPr>
          <w:color w:val="000000" w:themeColor="text1"/>
        </w:rPr>
        <w:t xml:space="preserve">, al establecer </w:t>
      </w:r>
      <w:r w:rsidR="00B5290F" w:rsidRPr="00F32643">
        <w:rPr>
          <w:color w:val="000000" w:themeColor="text1"/>
        </w:rPr>
        <w:t xml:space="preserve">que los derechohabientes se determinarán “conforme al derecho interno aplicable”. </w:t>
      </w:r>
      <w:r w:rsidR="000E6D0B" w:rsidRPr="00F32643">
        <w:rPr>
          <w:color w:val="000000" w:themeColor="text1"/>
        </w:rPr>
        <w:t>D</w:t>
      </w:r>
      <w:r w:rsidR="00B5290F" w:rsidRPr="00F32643">
        <w:rPr>
          <w:color w:val="000000" w:themeColor="text1"/>
        </w:rPr>
        <w:t xml:space="preserve">e existir algún obstáculo atribuible a las </w:t>
      </w:r>
      <w:r w:rsidR="009263D5" w:rsidRPr="00F32643">
        <w:rPr>
          <w:color w:val="000000" w:themeColor="text1"/>
        </w:rPr>
        <w:t>personas beneficiarias</w:t>
      </w:r>
      <w:r w:rsidR="00B5290F" w:rsidRPr="00F32643">
        <w:rPr>
          <w:color w:val="000000" w:themeColor="text1"/>
        </w:rPr>
        <w:t xml:space="preserve"> para </w:t>
      </w:r>
      <w:r w:rsidR="009263D5" w:rsidRPr="00F32643">
        <w:rPr>
          <w:color w:val="000000" w:themeColor="text1"/>
        </w:rPr>
        <w:t>el pago de los montos debidos, el párrafo 236</w:t>
      </w:r>
      <w:r w:rsidR="00FB3D18" w:rsidRPr="00F32643">
        <w:rPr>
          <w:color w:val="000000" w:themeColor="text1"/>
        </w:rPr>
        <w:t xml:space="preserve"> citado (</w:t>
      </w:r>
      <w:r w:rsidR="00F62F5F" w:rsidRPr="00F32643">
        <w:rPr>
          <w:i/>
          <w:iCs/>
          <w:color w:val="000000" w:themeColor="text1"/>
        </w:rPr>
        <w:t xml:space="preserve">supra </w:t>
      </w:r>
      <w:r w:rsidR="00FB3D18" w:rsidRPr="00F32643">
        <w:rPr>
          <w:color w:val="000000" w:themeColor="text1"/>
        </w:rPr>
        <w:t xml:space="preserve">párr. </w:t>
      </w:r>
      <w:r w:rsidR="00642B76" w:rsidRPr="00F32643">
        <w:rPr>
          <w:color w:val="000000" w:themeColor="text1"/>
        </w:rPr>
        <w:t>25</w:t>
      </w:r>
      <w:r w:rsidR="00FB3D18" w:rsidRPr="00F32643">
        <w:rPr>
          <w:color w:val="000000" w:themeColor="text1"/>
        </w:rPr>
        <w:t>)</w:t>
      </w:r>
      <w:r w:rsidR="009263D5" w:rsidRPr="00F32643">
        <w:rPr>
          <w:color w:val="000000" w:themeColor="text1"/>
        </w:rPr>
        <w:t xml:space="preserve"> establece el mecanismo a seguir</w:t>
      </w:r>
      <w:r w:rsidR="007E12DF" w:rsidRPr="00F32643">
        <w:rPr>
          <w:color w:val="000000" w:themeColor="text1"/>
        </w:rPr>
        <w:t>.</w:t>
      </w:r>
    </w:p>
    <w:p w14:paraId="17303979" w14:textId="301992AD" w:rsidR="000662C3" w:rsidRPr="00F32643" w:rsidRDefault="000662C3" w:rsidP="009263D5">
      <w:pPr>
        <w:rPr>
          <w:color w:val="000000" w:themeColor="text1"/>
          <w:lang w:val="es-CR"/>
        </w:rPr>
      </w:pPr>
    </w:p>
    <w:p w14:paraId="52A4348A" w14:textId="2CD55E27" w:rsidR="00657F08" w:rsidRPr="00F32643" w:rsidRDefault="00C53D71" w:rsidP="00294205">
      <w:pPr>
        <w:pStyle w:val="PrrafodeSentencia"/>
        <w:rPr>
          <w:color w:val="000000" w:themeColor="text1"/>
        </w:rPr>
      </w:pPr>
      <w:r w:rsidRPr="00F32643">
        <w:rPr>
          <w:color w:val="000000" w:themeColor="text1"/>
        </w:rPr>
        <w:t>E</w:t>
      </w:r>
      <w:r w:rsidR="000662C3" w:rsidRPr="00F32643">
        <w:rPr>
          <w:color w:val="000000" w:themeColor="text1"/>
        </w:rPr>
        <w:t xml:space="preserve">sta Corte considera que la determinación de los derechohabientes </w:t>
      </w:r>
      <w:r w:rsidR="00461CAF" w:rsidRPr="00F32643">
        <w:rPr>
          <w:color w:val="000000" w:themeColor="text1"/>
        </w:rPr>
        <w:t xml:space="preserve">en caso de que los beneficiarios </w:t>
      </w:r>
      <w:r w:rsidR="00700690" w:rsidRPr="00F32643">
        <w:rPr>
          <w:color w:val="000000" w:themeColor="text1"/>
        </w:rPr>
        <w:t xml:space="preserve">fallezcan </w:t>
      </w:r>
      <w:r w:rsidR="00461CAF" w:rsidRPr="00F32643">
        <w:rPr>
          <w:color w:val="000000" w:themeColor="text1"/>
        </w:rPr>
        <w:t xml:space="preserve">durante la ejecución de este Fallo es un aspecto referente a la supervisión del cumplimiento de la Sentencia y no puede determinarse en abstracto por medio de una interpretación de Sentencia. En consecuencia, declara </w:t>
      </w:r>
      <w:r w:rsidR="001B080D" w:rsidRPr="00F32643">
        <w:rPr>
          <w:color w:val="000000" w:themeColor="text1"/>
        </w:rPr>
        <w:t>improcedente la solicitud sobre este extremo.</w:t>
      </w:r>
    </w:p>
    <w:p w14:paraId="00916820" w14:textId="65543531" w:rsidR="00790F64" w:rsidRPr="00F32643" w:rsidRDefault="00790F64" w:rsidP="00790F64">
      <w:pPr>
        <w:rPr>
          <w:color w:val="000000" w:themeColor="text1"/>
          <w:lang w:val="es-CR" w:eastAsia="es-MX"/>
        </w:rPr>
      </w:pPr>
    </w:p>
    <w:p w14:paraId="3827C1E2" w14:textId="77777777" w:rsidR="00790F64" w:rsidRPr="00F32643" w:rsidRDefault="00790F64" w:rsidP="00790F64">
      <w:pPr>
        <w:pStyle w:val="Ttulo2"/>
        <w:keepNext/>
        <w:numPr>
          <w:ilvl w:val="0"/>
          <w:numId w:val="3"/>
        </w:numPr>
        <w:tabs>
          <w:tab w:val="clear" w:pos="567"/>
          <w:tab w:val="clear" w:pos="993"/>
          <w:tab w:val="left" w:pos="1134"/>
        </w:tabs>
        <w:spacing w:before="0" w:after="0"/>
        <w:ind w:left="1134" w:hanging="567"/>
        <w:contextualSpacing w:val="0"/>
        <w:rPr>
          <w:color w:val="000000" w:themeColor="text1"/>
        </w:rPr>
      </w:pPr>
      <w:r w:rsidRPr="00F32643">
        <w:rPr>
          <w:color w:val="000000" w:themeColor="text1"/>
        </w:rPr>
        <w:t>Sobre el concepto de “operadores judiciales” en las garantías de no repetición</w:t>
      </w:r>
    </w:p>
    <w:p w14:paraId="6845DADC" w14:textId="77777777" w:rsidR="00790F64" w:rsidRPr="00F32643" w:rsidRDefault="00790F64" w:rsidP="00790F64">
      <w:pPr>
        <w:rPr>
          <w:color w:val="000000" w:themeColor="text1"/>
          <w:lang w:val="es-CR"/>
        </w:rPr>
      </w:pPr>
    </w:p>
    <w:p w14:paraId="5AEA0901" w14:textId="291B9383" w:rsidR="00790F64" w:rsidRPr="00F32643" w:rsidRDefault="00790F64" w:rsidP="00790F64">
      <w:pPr>
        <w:pStyle w:val="Ttulo3"/>
        <w:spacing w:before="0" w:after="0"/>
        <w:rPr>
          <w:color w:val="000000" w:themeColor="text1"/>
          <w:lang w:val="es-CR"/>
        </w:rPr>
      </w:pPr>
      <w:r w:rsidRPr="00F32643">
        <w:rPr>
          <w:color w:val="000000" w:themeColor="text1"/>
          <w:lang w:val="es-CR"/>
        </w:rPr>
        <w:t>E.1. Alegatos de las partes y de la Comisión</w:t>
      </w:r>
    </w:p>
    <w:p w14:paraId="5F685875" w14:textId="77777777" w:rsidR="00790F64" w:rsidRPr="00F32643" w:rsidRDefault="00790F64" w:rsidP="00790F64">
      <w:pPr>
        <w:rPr>
          <w:color w:val="000000" w:themeColor="text1"/>
          <w:lang w:val="es-CR"/>
        </w:rPr>
      </w:pPr>
    </w:p>
    <w:p w14:paraId="41166C53" w14:textId="77777777" w:rsidR="00790F64" w:rsidRPr="00F32643" w:rsidRDefault="00790F64" w:rsidP="00790F64">
      <w:pPr>
        <w:pStyle w:val="PrrafodeSentencia"/>
        <w:rPr>
          <w:b/>
          <w:color w:val="000000" w:themeColor="text1"/>
          <w:spacing w:val="0"/>
          <w:szCs w:val="20"/>
        </w:rPr>
      </w:pPr>
      <w:r w:rsidRPr="00F32643">
        <w:rPr>
          <w:color w:val="000000" w:themeColor="text1"/>
          <w:spacing w:val="0"/>
          <w:szCs w:val="20"/>
        </w:rPr>
        <w:t xml:space="preserve">El </w:t>
      </w:r>
      <w:r w:rsidRPr="00F32643">
        <w:rPr>
          <w:b/>
          <w:i/>
          <w:color w:val="000000" w:themeColor="text1"/>
          <w:spacing w:val="0"/>
          <w:szCs w:val="20"/>
        </w:rPr>
        <w:t xml:space="preserve">Estado </w:t>
      </w:r>
      <w:r w:rsidRPr="00F32643">
        <w:rPr>
          <w:color w:val="000000" w:themeColor="text1"/>
          <w:spacing w:val="0"/>
          <w:szCs w:val="20"/>
        </w:rPr>
        <w:t xml:space="preserve">consultó cuál es el alcance de la denominación “operadores judiciales” señalada en el párrafo 216 de la Sentencia. Sobre este punto, alegó que el Poder Judicial ha trabajado de forma anterior y posterior a la notificación de la Sentencia, capacitando a los jueces y futuros jueces del país en relación con el trato y acceso a la justicia de las personas mayores. Al respecto, argumentó que existe un “Protocolo de Acceso a la Justicia de Personas Mayores”, aprobado por la Corte Suprema en pleno el 23 de noviembre de 2020. Asimismo, de conformidad con la resolución AD 1303-2021 emitida por la Corte Suprema de Chile el 31 de enero de 2022, se ha instruido a la Academia </w:t>
      </w:r>
      <w:r w:rsidRPr="00F32643">
        <w:rPr>
          <w:color w:val="000000" w:themeColor="text1"/>
          <w:spacing w:val="0"/>
          <w:szCs w:val="20"/>
        </w:rPr>
        <w:lastRenderedPageBreak/>
        <w:t>Judicial para que adopte las medidas necesarias a fin de impartir el curso de perfeccionamiento “Derechos de las personas mayores”. De esta, forma solicitó que se aclarara si la capacitación de jueces y juezas de la República “constituiría satisfacción del deber de garantía de no repetición”.</w:t>
      </w:r>
    </w:p>
    <w:p w14:paraId="1446949B" w14:textId="77777777" w:rsidR="00790F64" w:rsidRPr="00F32643" w:rsidRDefault="00790F64" w:rsidP="00790F64">
      <w:pPr>
        <w:rPr>
          <w:color w:val="000000" w:themeColor="text1"/>
          <w:lang w:val="es-CR" w:eastAsia="es-MX"/>
        </w:rPr>
      </w:pPr>
    </w:p>
    <w:p w14:paraId="72BFB9B9" w14:textId="072E5C52" w:rsidR="00790F64" w:rsidRPr="00F32643" w:rsidRDefault="00790F64" w:rsidP="00790F64">
      <w:pPr>
        <w:pStyle w:val="PrrafodeSentencia"/>
        <w:rPr>
          <w:color w:val="000000" w:themeColor="text1"/>
          <w:spacing w:val="0"/>
        </w:rPr>
      </w:pPr>
      <w:r w:rsidRPr="00F32643">
        <w:rPr>
          <w:color w:val="000000" w:themeColor="text1"/>
          <w:spacing w:val="0"/>
        </w:rPr>
        <w:t xml:space="preserve">Los </w:t>
      </w:r>
      <w:r w:rsidRPr="00F32643">
        <w:rPr>
          <w:b/>
          <w:i/>
          <w:color w:val="000000" w:themeColor="text1"/>
          <w:spacing w:val="0"/>
        </w:rPr>
        <w:t xml:space="preserve">representantes </w:t>
      </w:r>
      <w:r w:rsidRPr="00F32643">
        <w:rPr>
          <w:color w:val="000000" w:themeColor="text1"/>
          <w:spacing w:val="0"/>
        </w:rPr>
        <w:t>consideraron que el concepto de operadores judiciales debe ser entendido e interpretado con relación a lo señalado en la Convención Interamericana sobre la Protección de los Derechos Humanos de las Personas Mayores</w:t>
      </w:r>
      <w:r w:rsidR="00576347" w:rsidRPr="00F32643">
        <w:rPr>
          <w:color w:val="000000" w:themeColor="text1"/>
          <w:spacing w:val="0"/>
        </w:rPr>
        <w:t xml:space="preserve"> en sus artículos 3 n), 4 c) y 31 b)</w:t>
      </w:r>
      <w:r w:rsidR="00BA2992" w:rsidRPr="00F32643">
        <w:rPr>
          <w:color w:val="000000" w:themeColor="text1"/>
          <w:spacing w:val="0"/>
        </w:rPr>
        <w:t xml:space="preserve"> sobre la protección judicial y el acceso a la justicia</w:t>
      </w:r>
      <w:r w:rsidRPr="00F32643">
        <w:rPr>
          <w:color w:val="000000" w:themeColor="text1"/>
          <w:spacing w:val="0"/>
        </w:rPr>
        <w:t xml:space="preserve">. De esta forma, consideraron que un buen entendimiento del </w:t>
      </w:r>
      <w:r w:rsidR="00C46038" w:rsidRPr="00F32643">
        <w:rPr>
          <w:color w:val="000000" w:themeColor="text1"/>
          <w:spacing w:val="0"/>
        </w:rPr>
        <w:t>F</w:t>
      </w:r>
      <w:r w:rsidRPr="00F32643">
        <w:rPr>
          <w:color w:val="000000" w:themeColor="text1"/>
          <w:spacing w:val="0"/>
        </w:rPr>
        <w:t>allo y de la expresión “operadores judiciales”, no puede, en ningún caso, restringirse a los jueces y juezas, debiendo alcanzar al menos al personal relacionado con la administración de justicia, incluido el personal policial y penitenciario.</w:t>
      </w:r>
    </w:p>
    <w:p w14:paraId="4044EFFC" w14:textId="77777777" w:rsidR="00790F64" w:rsidRPr="00F32643" w:rsidRDefault="00790F64" w:rsidP="00790F64">
      <w:pPr>
        <w:rPr>
          <w:color w:val="000000" w:themeColor="text1"/>
          <w:lang w:val="es-CR" w:eastAsia="es-MX"/>
        </w:rPr>
      </w:pPr>
    </w:p>
    <w:p w14:paraId="2FB7611A" w14:textId="77777777" w:rsidR="00790F64" w:rsidRPr="00F32643" w:rsidRDefault="00790F64" w:rsidP="00790F64">
      <w:pPr>
        <w:pStyle w:val="PrrafodeSentencia"/>
        <w:rPr>
          <w:color w:val="000000" w:themeColor="text1"/>
          <w:spacing w:val="0"/>
        </w:rPr>
      </w:pPr>
      <w:r w:rsidRPr="00F32643">
        <w:rPr>
          <w:color w:val="000000" w:themeColor="text1"/>
          <w:spacing w:val="0"/>
        </w:rPr>
        <w:t xml:space="preserve">La </w:t>
      </w:r>
      <w:r w:rsidRPr="00F32643">
        <w:rPr>
          <w:b/>
          <w:i/>
          <w:color w:val="000000" w:themeColor="text1"/>
          <w:spacing w:val="0"/>
        </w:rPr>
        <w:t xml:space="preserve">Comisión </w:t>
      </w:r>
      <w:r w:rsidRPr="00F32643">
        <w:rPr>
          <w:color w:val="000000" w:themeColor="text1"/>
          <w:spacing w:val="0"/>
        </w:rPr>
        <w:t>observó que la aclaración de las consultas planteadas por el Estado puede facilitar el proceso de supervisión de la sentencia y agilizar el cumplimiento de las medidas de reparación, lo cual resulta de extrema importancia en el presente caso dada la edad avanzada de las víctimas. Sin embargo, no se pronunció de manera específica sobre los puntos sometidos a las solicitudes de interpretación.</w:t>
      </w:r>
    </w:p>
    <w:p w14:paraId="2914F205" w14:textId="77777777" w:rsidR="00790F64" w:rsidRPr="00F32643" w:rsidRDefault="00790F64" w:rsidP="00790F64">
      <w:pPr>
        <w:rPr>
          <w:color w:val="000000" w:themeColor="text1"/>
          <w:lang w:val="es-CR" w:eastAsia="es-MX"/>
        </w:rPr>
      </w:pPr>
    </w:p>
    <w:p w14:paraId="23957FE9" w14:textId="77777777" w:rsidR="00790F64" w:rsidRPr="00F32643" w:rsidRDefault="00790F64" w:rsidP="00790F64">
      <w:pPr>
        <w:rPr>
          <w:color w:val="000000" w:themeColor="text1"/>
          <w:lang w:val="es-CR" w:eastAsia="es-MX"/>
        </w:rPr>
      </w:pPr>
    </w:p>
    <w:p w14:paraId="3958DC2C" w14:textId="1642942E" w:rsidR="00790F64" w:rsidRPr="00F32643" w:rsidRDefault="00790F64" w:rsidP="00790F64">
      <w:pPr>
        <w:pStyle w:val="Ttulo3"/>
        <w:spacing w:before="0" w:after="0"/>
        <w:rPr>
          <w:color w:val="000000" w:themeColor="text1"/>
          <w:lang w:val="es-CR"/>
        </w:rPr>
      </w:pPr>
      <w:r w:rsidRPr="00F32643">
        <w:rPr>
          <w:color w:val="000000" w:themeColor="text1"/>
          <w:lang w:val="es-CR"/>
        </w:rPr>
        <w:t>E.2. Consideraciones de la Corte</w:t>
      </w:r>
    </w:p>
    <w:p w14:paraId="21034540" w14:textId="77777777" w:rsidR="00790F64" w:rsidRPr="00F32643" w:rsidRDefault="00790F64" w:rsidP="00790F64">
      <w:pPr>
        <w:rPr>
          <w:color w:val="000000" w:themeColor="text1"/>
          <w:lang w:val="es-CR"/>
        </w:rPr>
      </w:pPr>
    </w:p>
    <w:p w14:paraId="158463BF" w14:textId="77777777" w:rsidR="00790F64" w:rsidRPr="00F32643" w:rsidRDefault="00790F64" w:rsidP="00790F64">
      <w:pPr>
        <w:pStyle w:val="PrrafodeSentencia"/>
        <w:rPr>
          <w:color w:val="000000" w:themeColor="text1"/>
        </w:rPr>
      </w:pPr>
      <w:r w:rsidRPr="00F32643">
        <w:rPr>
          <w:color w:val="000000" w:themeColor="text1"/>
        </w:rPr>
        <w:t>En su Sentencia, la Corte ordenó como garantía de no repetición:</w:t>
      </w:r>
    </w:p>
    <w:p w14:paraId="12F35268" w14:textId="77777777" w:rsidR="00790F64" w:rsidRPr="00F32643" w:rsidRDefault="00790F64" w:rsidP="00790F64">
      <w:pPr>
        <w:rPr>
          <w:color w:val="000000" w:themeColor="text1"/>
          <w:lang w:val="es-CR" w:eastAsia="es-MX"/>
        </w:rPr>
      </w:pPr>
    </w:p>
    <w:p w14:paraId="1BAD2637" w14:textId="77777777" w:rsidR="00790F64" w:rsidRPr="00F32643" w:rsidRDefault="00790F64" w:rsidP="00790F64">
      <w:pPr>
        <w:ind w:left="567" w:right="567"/>
        <w:rPr>
          <w:color w:val="000000" w:themeColor="text1"/>
          <w:sz w:val="18"/>
          <w:szCs w:val="18"/>
          <w:lang w:val="es-CR"/>
        </w:rPr>
      </w:pPr>
      <w:r w:rsidRPr="00F32643">
        <w:rPr>
          <w:color w:val="000000" w:themeColor="text1"/>
          <w:sz w:val="18"/>
          <w:szCs w:val="18"/>
          <w:lang w:val="es-CR"/>
        </w:rPr>
        <w:t>216. En consideración de las violaciones al deber reforzado de garantizar la debida diligencia y el tratamiento preferencial a la persona mayor en el acceso a la justicia y de celeridad en los procesos, la Corte estima pertinente ordenar al Estado crear e implementar, en el plazo de un año, un plan de capacitación y sensibilización a los operadores judiciales sobre el acceso a la justicia de las personas mayores. Este plan de capacitación debe incluir indicadores que puedan ser verificados para evaluar los progresos que se realicen durante la implementación del plan.</w:t>
      </w:r>
    </w:p>
    <w:p w14:paraId="5C9FDBED" w14:textId="77777777" w:rsidR="00790F64" w:rsidRPr="00F32643" w:rsidRDefault="00790F64" w:rsidP="00790F64">
      <w:pPr>
        <w:rPr>
          <w:color w:val="000000" w:themeColor="text1"/>
          <w:lang w:val="es-CR"/>
        </w:rPr>
      </w:pPr>
    </w:p>
    <w:p w14:paraId="516B6F30" w14:textId="254F66A7" w:rsidR="00790F64" w:rsidRPr="00F32643" w:rsidRDefault="00790F64" w:rsidP="00790F64">
      <w:pPr>
        <w:pStyle w:val="PrrafodeSentencia"/>
        <w:rPr>
          <w:color w:val="000000" w:themeColor="text1"/>
          <w:spacing w:val="0"/>
        </w:rPr>
      </w:pPr>
      <w:r w:rsidRPr="00F32643">
        <w:rPr>
          <w:color w:val="000000" w:themeColor="text1"/>
          <w:spacing w:val="0"/>
        </w:rPr>
        <w:t>Sobre el primer punto consultado, la expresión “operadores de justicia” ha sido utilizada por esta Corte en sentido amplio, abarcando no sólo a los jueces y juezas, sino también, entre otros, a los fiscales</w:t>
      </w:r>
      <w:r w:rsidRPr="00F32643">
        <w:rPr>
          <w:rStyle w:val="Refdenotaalpie"/>
          <w:color w:val="000000" w:themeColor="text1"/>
          <w:spacing w:val="0"/>
        </w:rPr>
        <w:footnoteReference w:id="9"/>
      </w:r>
      <w:r w:rsidRPr="00F32643">
        <w:rPr>
          <w:color w:val="000000" w:themeColor="text1"/>
          <w:spacing w:val="0"/>
        </w:rPr>
        <w:t xml:space="preserve"> y a </w:t>
      </w:r>
      <w:r w:rsidR="00BA49B7" w:rsidRPr="00F32643">
        <w:rPr>
          <w:color w:val="000000" w:themeColor="text1"/>
          <w:spacing w:val="0"/>
        </w:rPr>
        <w:t>los defensores públicos</w:t>
      </w:r>
      <w:r w:rsidR="008E2E8B" w:rsidRPr="00F32643">
        <w:rPr>
          <w:rStyle w:val="Refdenotaalpie"/>
          <w:color w:val="000000" w:themeColor="text1"/>
          <w:spacing w:val="0"/>
        </w:rPr>
        <w:footnoteReference w:id="10"/>
      </w:r>
      <w:r w:rsidRPr="00F32643">
        <w:rPr>
          <w:color w:val="000000" w:themeColor="text1"/>
          <w:spacing w:val="0"/>
        </w:rPr>
        <w:t xml:space="preserve">. Por tanto, las capacitaciones para “operadores de justicia” </w:t>
      </w:r>
      <w:r w:rsidR="00AC4A3D" w:rsidRPr="00F32643">
        <w:rPr>
          <w:color w:val="000000" w:themeColor="text1"/>
          <w:spacing w:val="0"/>
        </w:rPr>
        <w:t>pueden</w:t>
      </w:r>
      <w:r w:rsidRPr="00F32643">
        <w:rPr>
          <w:color w:val="000000" w:themeColor="text1"/>
          <w:spacing w:val="0"/>
        </w:rPr>
        <w:t xml:space="preserve"> entenderse destinada</w:t>
      </w:r>
      <w:r w:rsidR="00AF4B5A" w:rsidRPr="00F32643">
        <w:rPr>
          <w:color w:val="000000" w:themeColor="text1"/>
          <w:spacing w:val="0"/>
        </w:rPr>
        <w:t>s</w:t>
      </w:r>
      <w:r w:rsidRPr="00F32643">
        <w:rPr>
          <w:color w:val="000000" w:themeColor="text1"/>
          <w:spacing w:val="0"/>
        </w:rPr>
        <w:t xml:space="preserve"> a aquellos funcionarios que ejercen un rol central para asegurar el acceso a la justicia de las personas mayores y </w:t>
      </w:r>
      <w:r w:rsidR="00AC4A3D" w:rsidRPr="00F32643">
        <w:rPr>
          <w:color w:val="000000" w:themeColor="text1"/>
          <w:spacing w:val="0"/>
        </w:rPr>
        <w:t>pueden</w:t>
      </w:r>
      <w:r w:rsidRPr="00F32643">
        <w:rPr>
          <w:color w:val="000000" w:themeColor="text1"/>
          <w:spacing w:val="0"/>
        </w:rPr>
        <w:t xml:space="preserve"> abarcar a jueces y juezas, fiscales, defensoras y defensores públicos.</w:t>
      </w:r>
      <w:r w:rsidR="00D66DC2" w:rsidRPr="00F32643">
        <w:rPr>
          <w:color w:val="000000" w:themeColor="text1"/>
          <w:spacing w:val="0"/>
        </w:rPr>
        <w:t xml:space="preserve"> Asimismo, dependiendo del contexto, la expresión “operadores de justicia” podría abarcar a otros actores</w:t>
      </w:r>
      <w:r w:rsidR="00411BF4" w:rsidRPr="00F32643">
        <w:rPr>
          <w:color w:val="000000" w:themeColor="text1"/>
          <w:spacing w:val="0"/>
        </w:rPr>
        <w:t xml:space="preserve">, incluyendo al personal penitenciario y de policía. </w:t>
      </w:r>
      <w:r w:rsidR="00134DB1" w:rsidRPr="00F32643">
        <w:rPr>
          <w:color w:val="000000" w:themeColor="text1"/>
          <w:spacing w:val="0"/>
        </w:rPr>
        <w:t>En el presente caso</w:t>
      </w:r>
      <w:r w:rsidR="002554E4" w:rsidRPr="00F32643">
        <w:rPr>
          <w:color w:val="000000" w:themeColor="text1"/>
          <w:spacing w:val="0"/>
        </w:rPr>
        <w:t>, la Corte considera que</w:t>
      </w:r>
      <w:r w:rsidR="005973CE" w:rsidRPr="00F32643">
        <w:rPr>
          <w:color w:val="000000" w:themeColor="text1"/>
          <w:spacing w:val="0"/>
        </w:rPr>
        <w:t>,</w:t>
      </w:r>
      <w:r w:rsidR="002554E4" w:rsidRPr="00F32643">
        <w:rPr>
          <w:color w:val="000000" w:themeColor="text1"/>
          <w:spacing w:val="0"/>
        </w:rPr>
        <w:t xml:space="preserve"> a la luz de los hechos y violaciones constatadas en el Fallo, el plan de capacitación debe estar dirigido a jueces y juezas.</w:t>
      </w:r>
    </w:p>
    <w:p w14:paraId="0AE792B0" w14:textId="77777777" w:rsidR="002554E4" w:rsidRPr="00F32643" w:rsidRDefault="002554E4" w:rsidP="002554E4">
      <w:pPr>
        <w:rPr>
          <w:color w:val="000000" w:themeColor="text1"/>
          <w:lang w:val="es-CR" w:eastAsia="es-MX"/>
        </w:rPr>
      </w:pPr>
    </w:p>
    <w:p w14:paraId="21956E03" w14:textId="712A457A" w:rsidR="00790F64" w:rsidRPr="00F32643" w:rsidRDefault="00790F64" w:rsidP="00790F64">
      <w:pPr>
        <w:pStyle w:val="PrrafodeSentencia"/>
        <w:rPr>
          <w:color w:val="000000" w:themeColor="text1"/>
          <w:spacing w:val="0"/>
        </w:rPr>
      </w:pPr>
      <w:r w:rsidRPr="00F32643">
        <w:rPr>
          <w:color w:val="000000" w:themeColor="text1"/>
          <w:spacing w:val="0"/>
        </w:rPr>
        <w:t>Por otra parte, la Corte considera que</w:t>
      </w:r>
      <w:r w:rsidR="00401F4E" w:rsidRPr="00F32643">
        <w:rPr>
          <w:color w:val="000000" w:themeColor="text1"/>
          <w:spacing w:val="0"/>
        </w:rPr>
        <w:t xml:space="preserve"> la evaluación de</w:t>
      </w:r>
      <w:r w:rsidRPr="00F32643">
        <w:rPr>
          <w:color w:val="000000" w:themeColor="text1"/>
          <w:spacing w:val="0"/>
        </w:rPr>
        <w:t xml:space="preserve"> los programas de capacitación destinados a jueces y juezas, así como a otros operadores </w:t>
      </w:r>
      <w:r w:rsidR="00F324A6" w:rsidRPr="00F32643">
        <w:rPr>
          <w:color w:val="000000" w:themeColor="text1"/>
          <w:spacing w:val="0"/>
        </w:rPr>
        <w:t>de justicia</w:t>
      </w:r>
      <w:r w:rsidRPr="00F32643">
        <w:rPr>
          <w:color w:val="000000" w:themeColor="text1"/>
          <w:spacing w:val="0"/>
        </w:rPr>
        <w:t xml:space="preserve">, que el Estado implemente es un aspecto referente a la supervisión del cumplimiento de la </w:t>
      </w:r>
      <w:r w:rsidRPr="00F32643">
        <w:rPr>
          <w:color w:val="000000" w:themeColor="text1"/>
          <w:spacing w:val="0"/>
        </w:rPr>
        <w:lastRenderedPageBreak/>
        <w:t>Sentencia y no debe ser objeto de un pronunciamiento en abstracto por parte de la Corte Interamericana en esta Sentencia. En consecuencia, declara improcedente la solicitud de interpretación sobre este extremo.</w:t>
      </w:r>
    </w:p>
    <w:p w14:paraId="7DB85ACB" w14:textId="24801928" w:rsidR="005465DC" w:rsidRPr="00F32643" w:rsidRDefault="005465DC" w:rsidP="005465DC">
      <w:pPr>
        <w:rPr>
          <w:color w:val="000000" w:themeColor="text1"/>
          <w:lang w:val="es-CR" w:eastAsia="es-MX"/>
        </w:rPr>
      </w:pPr>
    </w:p>
    <w:p w14:paraId="6151CD4D" w14:textId="0CB7E5E8" w:rsidR="005465DC" w:rsidRPr="00F32643" w:rsidRDefault="005465DC" w:rsidP="005465DC">
      <w:pPr>
        <w:pStyle w:val="PrrafodeSentencia"/>
        <w:rPr>
          <w:color w:val="000000" w:themeColor="text1"/>
          <w:spacing w:val="0"/>
        </w:rPr>
      </w:pPr>
      <w:r w:rsidRPr="00F32643">
        <w:rPr>
          <w:color w:val="000000" w:themeColor="text1"/>
          <w:spacing w:val="0"/>
        </w:rPr>
        <w:t>En conclusión, esta Corte interpreta</w:t>
      </w:r>
      <w:r w:rsidR="006B2681" w:rsidRPr="00F32643">
        <w:rPr>
          <w:color w:val="000000" w:themeColor="text1"/>
          <w:spacing w:val="0"/>
        </w:rPr>
        <w:t xml:space="preserve"> que, a la luz de los hechos y violaciones constatadas en el Fallo, el plan de capacitación al que se hace referencia en el párrafo 216 de la Sentencia como garantía de no repetición, de</w:t>
      </w:r>
      <w:r w:rsidR="008F3DAA" w:rsidRPr="00F32643">
        <w:rPr>
          <w:color w:val="000000" w:themeColor="text1"/>
          <w:spacing w:val="0"/>
        </w:rPr>
        <w:t>be estar dirigido a jueces y juezas.</w:t>
      </w:r>
    </w:p>
    <w:p w14:paraId="6A898106" w14:textId="77777777" w:rsidR="00790F64" w:rsidRPr="00F32643" w:rsidRDefault="00790F64" w:rsidP="00790F64">
      <w:pPr>
        <w:rPr>
          <w:color w:val="000000" w:themeColor="text1"/>
          <w:lang w:val="es-CR" w:eastAsia="es-MX"/>
        </w:rPr>
      </w:pPr>
    </w:p>
    <w:p w14:paraId="37E3451D" w14:textId="77777777" w:rsidR="00FD659A" w:rsidRPr="00F32643" w:rsidRDefault="00FD659A" w:rsidP="00FD659A">
      <w:pPr>
        <w:rPr>
          <w:color w:val="000000" w:themeColor="text1"/>
          <w:lang w:val="es-CR" w:eastAsia="es-MX"/>
        </w:rPr>
      </w:pPr>
    </w:p>
    <w:p w14:paraId="4C713854" w14:textId="77777777" w:rsidR="001003AC" w:rsidRPr="00F32643" w:rsidRDefault="001003AC" w:rsidP="001003AC">
      <w:pPr>
        <w:pStyle w:val="Ttulo1"/>
        <w:spacing w:before="0" w:after="0"/>
        <w:contextualSpacing/>
        <w:rPr>
          <w:color w:val="000000" w:themeColor="text1"/>
          <w:lang w:val="es-CR"/>
        </w:rPr>
      </w:pPr>
      <w:bookmarkStart w:id="135" w:name="_Toc50444514"/>
      <w:bookmarkStart w:id="136" w:name="_Toc52292075"/>
      <w:bookmarkStart w:id="137" w:name="_Toc54976322"/>
      <w:bookmarkStart w:id="138" w:name="_Toc54976374"/>
      <w:bookmarkStart w:id="139" w:name="_Toc55848951"/>
      <w:bookmarkStart w:id="140" w:name="_Toc57872383"/>
    </w:p>
    <w:p w14:paraId="2E8ABADE" w14:textId="77777777" w:rsidR="001003AC" w:rsidRPr="00F32643" w:rsidRDefault="001003AC" w:rsidP="001003AC">
      <w:pPr>
        <w:pStyle w:val="Ttulo1"/>
        <w:spacing w:before="0" w:after="0"/>
        <w:contextualSpacing/>
        <w:rPr>
          <w:color w:val="000000" w:themeColor="text1"/>
          <w:lang w:val="es-CR"/>
        </w:rPr>
      </w:pPr>
      <w:r w:rsidRPr="00F32643">
        <w:rPr>
          <w:color w:val="000000" w:themeColor="text1"/>
          <w:lang w:val="es-CR"/>
        </w:rPr>
        <w:t>V</w:t>
      </w:r>
      <w:bookmarkEnd w:id="135"/>
      <w:bookmarkEnd w:id="136"/>
      <w:bookmarkEnd w:id="137"/>
      <w:bookmarkEnd w:id="138"/>
      <w:bookmarkEnd w:id="139"/>
      <w:r w:rsidRPr="00F32643">
        <w:rPr>
          <w:color w:val="000000" w:themeColor="text1"/>
          <w:lang w:val="es-CR"/>
        </w:rPr>
        <w:br/>
      </w:r>
      <w:bookmarkEnd w:id="140"/>
      <w:r w:rsidRPr="00F32643">
        <w:rPr>
          <w:color w:val="000000" w:themeColor="text1"/>
          <w:lang w:val="es-CR"/>
        </w:rPr>
        <w:t>puntos resolutivos</w:t>
      </w:r>
    </w:p>
    <w:p w14:paraId="1B2FB403" w14:textId="77777777" w:rsidR="001003AC" w:rsidRPr="00F32643" w:rsidRDefault="001003AC" w:rsidP="001003AC">
      <w:pPr>
        <w:rPr>
          <w:color w:val="000000" w:themeColor="text1"/>
          <w:lang w:val="es-CR"/>
        </w:rPr>
      </w:pPr>
    </w:p>
    <w:p w14:paraId="10199702" w14:textId="77777777" w:rsidR="001003AC" w:rsidRPr="00F32643" w:rsidRDefault="001003AC" w:rsidP="001003AC">
      <w:pPr>
        <w:rPr>
          <w:color w:val="000000" w:themeColor="text1"/>
          <w:lang w:val="es-CR"/>
        </w:rPr>
      </w:pPr>
    </w:p>
    <w:p w14:paraId="40C2D8E1" w14:textId="77777777" w:rsidR="001003AC" w:rsidRPr="00F32643" w:rsidRDefault="001003AC" w:rsidP="001003AC">
      <w:pPr>
        <w:pStyle w:val="PrrafodeSentencia"/>
        <w:rPr>
          <w:b/>
          <w:color w:val="000000" w:themeColor="text1"/>
          <w:spacing w:val="0"/>
        </w:rPr>
      </w:pPr>
      <w:r w:rsidRPr="00F32643">
        <w:rPr>
          <w:color w:val="000000" w:themeColor="text1"/>
          <w:spacing w:val="0"/>
        </w:rPr>
        <w:t xml:space="preserve">Por tanto, </w:t>
      </w:r>
    </w:p>
    <w:p w14:paraId="0E070F93" w14:textId="77777777" w:rsidR="001003AC" w:rsidRPr="00F32643" w:rsidRDefault="001003AC" w:rsidP="001003AC">
      <w:pPr>
        <w:rPr>
          <w:color w:val="000000" w:themeColor="text1"/>
          <w:lang w:val="es-CR" w:eastAsia="es-MX"/>
        </w:rPr>
      </w:pPr>
    </w:p>
    <w:p w14:paraId="3FED3A17" w14:textId="77777777" w:rsidR="001003AC" w:rsidRPr="00F32643" w:rsidRDefault="001003AC" w:rsidP="001003AC">
      <w:pPr>
        <w:pStyle w:val="Prrafodelista"/>
        <w:tabs>
          <w:tab w:val="left" w:pos="567"/>
        </w:tabs>
        <w:ind w:left="0"/>
        <w:rPr>
          <w:b/>
          <w:color w:val="000000" w:themeColor="text1"/>
          <w:szCs w:val="20"/>
          <w:lang w:val="es-CR"/>
        </w:rPr>
      </w:pPr>
      <w:r w:rsidRPr="00F32643">
        <w:rPr>
          <w:b/>
          <w:color w:val="000000" w:themeColor="text1"/>
          <w:szCs w:val="20"/>
          <w:lang w:val="es-CR"/>
        </w:rPr>
        <w:t xml:space="preserve">LA CORTE </w:t>
      </w:r>
    </w:p>
    <w:p w14:paraId="0ADA6D55" w14:textId="77777777" w:rsidR="001003AC" w:rsidRPr="00F32643" w:rsidRDefault="001003AC" w:rsidP="001003AC">
      <w:pPr>
        <w:pStyle w:val="Prrafodelista"/>
        <w:tabs>
          <w:tab w:val="left" w:pos="567"/>
        </w:tabs>
        <w:ind w:left="0"/>
        <w:rPr>
          <w:b/>
          <w:color w:val="000000" w:themeColor="text1"/>
          <w:szCs w:val="20"/>
          <w:lang w:val="es-CR"/>
        </w:rPr>
      </w:pPr>
    </w:p>
    <w:p w14:paraId="78A11BB5" w14:textId="77777777" w:rsidR="001003AC" w:rsidRPr="00F32643" w:rsidRDefault="001003AC" w:rsidP="001003AC">
      <w:pPr>
        <w:pStyle w:val="Prrafodelista"/>
        <w:tabs>
          <w:tab w:val="left" w:pos="567"/>
        </w:tabs>
        <w:ind w:left="0"/>
        <w:rPr>
          <w:b/>
          <w:color w:val="000000" w:themeColor="text1"/>
          <w:szCs w:val="20"/>
          <w:lang w:val="es-CR"/>
        </w:rPr>
      </w:pPr>
      <w:r w:rsidRPr="00F32643">
        <w:rPr>
          <w:b/>
          <w:color w:val="000000" w:themeColor="text1"/>
          <w:szCs w:val="20"/>
          <w:lang w:val="es-CR"/>
        </w:rPr>
        <w:t>DECIDE,</w:t>
      </w:r>
    </w:p>
    <w:p w14:paraId="57B0FA0B" w14:textId="77777777" w:rsidR="001003AC" w:rsidRPr="00F32643" w:rsidRDefault="001003AC" w:rsidP="001003AC">
      <w:pPr>
        <w:pStyle w:val="Prrafodelista"/>
        <w:tabs>
          <w:tab w:val="left" w:pos="567"/>
        </w:tabs>
        <w:ind w:left="0"/>
        <w:rPr>
          <w:b/>
          <w:color w:val="000000" w:themeColor="text1"/>
          <w:szCs w:val="20"/>
          <w:lang w:val="es-CR"/>
        </w:rPr>
      </w:pPr>
    </w:p>
    <w:p w14:paraId="3B756B9C" w14:textId="25FE7B5D" w:rsidR="001003AC" w:rsidRPr="00F32643" w:rsidRDefault="001003AC" w:rsidP="001003AC">
      <w:pPr>
        <w:pStyle w:val="Prrafodelista"/>
        <w:tabs>
          <w:tab w:val="left" w:pos="567"/>
        </w:tabs>
        <w:ind w:left="0"/>
        <w:rPr>
          <w:color w:val="000000" w:themeColor="text1"/>
          <w:szCs w:val="20"/>
          <w:lang w:val="es-CR"/>
        </w:rPr>
      </w:pPr>
      <w:r w:rsidRPr="00F32643">
        <w:rPr>
          <w:color w:val="000000" w:themeColor="text1"/>
          <w:szCs w:val="20"/>
          <w:lang w:val="es-CR"/>
        </w:rPr>
        <w:t xml:space="preserve">Por </w:t>
      </w:r>
      <w:r w:rsidR="008D690D" w:rsidRPr="00F32643">
        <w:rPr>
          <w:color w:val="000000" w:themeColor="text1"/>
          <w:szCs w:val="20"/>
          <w:lang w:val="es-CR"/>
        </w:rPr>
        <w:t>unanimidad</w:t>
      </w:r>
      <w:r w:rsidRPr="00F32643">
        <w:rPr>
          <w:color w:val="000000" w:themeColor="text1"/>
          <w:szCs w:val="20"/>
          <w:lang w:val="es-CR"/>
        </w:rPr>
        <w:t>:</w:t>
      </w:r>
    </w:p>
    <w:p w14:paraId="22AE23EE" w14:textId="77777777" w:rsidR="001003AC" w:rsidRPr="00F32643" w:rsidRDefault="001003AC" w:rsidP="001003AC">
      <w:pPr>
        <w:pStyle w:val="Prrafodelista"/>
        <w:tabs>
          <w:tab w:val="left" w:pos="567"/>
        </w:tabs>
        <w:ind w:left="0"/>
        <w:contextualSpacing w:val="0"/>
        <w:rPr>
          <w:color w:val="000000" w:themeColor="text1"/>
          <w:szCs w:val="20"/>
          <w:lang w:val="es-CR"/>
        </w:rPr>
      </w:pPr>
    </w:p>
    <w:p w14:paraId="365F545A" w14:textId="77777777" w:rsidR="00D47E2E" w:rsidRPr="00F32643" w:rsidRDefault="00D47E2E" w:rsidP="001003AC">
      <w:pPr>
        <w:pStyle w:val="Prrafodelista"/>
        <w:tabs>
          <w:tab w:val="left" w:pos="567"/>
        </w:tabs>
        <w:ind w:left="0"/>
        <w:contextualSpacing w:val="0"/>
        <w:rPr>
          <w:color w:val="000000" w:themeColor="text1"/>
          <w:szCs w:val="20"/>
          <w:lang w:val="es-CR"/>
        </w:rPr>
      </w:pPr>
    </w:p>
    <w:p w14:paraId="7CEA9F57" w14:textId="278F5FBA" w:rsidR="001003AC" w:rsidRPr="00F32643" w:rsidRDefault="001003AC" w:rsidP="001003AC">
      <w:pPr>
        <w:pStyle w:val="Prrafodelista"/>
        <w:numPr>
          <w:ilvl w:val="0"/>
          <w:numId w:val="4"/>
        </w:numPr>
        <w:tabs>
          <w:tab w:val="left" w:pos="567"/>
        </w:tabs>
        <w:ind w:left="0" w:firstLine="0"/>
        <w:contextualSpacing w:val="0"/>
        <w:rPr>
          <w:color w:val="000000" w:themeColor="text1"/>
          <w:szCs w:val="20"/>
          <w:lang w:val="es-CR"/>
        </w:rPr>
      </w:pPr>
      <w:r w:rsidRPr="00F32643">
        <w:rPr>
          <w:color w:val="000000" w:themeColor="text1"/>
          <w:szCs w:val="20"/>
          <w:lang w:val="es-CR"/>
        </w:rPr>
        <w:t xml:space="preserve">Declarar admisible la solicitud de interpretación de la </w:t>
      </w:r>
      <w:r w:rsidR="005B39DF" w:rsidRPr="00F32643">
        <w:rPr>
          <w:color w:val="000000" w:themeColor="text1"/>
          <w:szCs w:val="20"/>
          <w:lang w:val="es-CR"/>
        </w:rPr>
        <w:t>Sentencia de Excepción Preliminar, Fondo</w:t>
      </w:r>
      <w:r w:rsidR="00D30A93" w:rsidRPr="00F32643">
        <w:rPr>
          <w:color w:val="000000" w:themeColor="text1"/>
          <w:szCs w:val="20"/>
          <w:lang w:val="es-CR"/>
        </w:rPr>
        <w:t>,</w:t>
      </w:r>
      <w:r w:rsidR="005B39DF" w:rsidRPr="00F32643">
        <w:rPr>
          <w:color w:val="000000" w:themeColor="text1"/>
          <w:szCs w:val="20"/>
          <w:lang w:val="es-CR"/>
        </w:rPr>
        <w:t xml:space="preserve"> Reparaciones</w:t>
      </w:r>
      <w:r w:rsidR="00D30A93" w:rsidRPr="00F32643">
        <w:rPr>
          <w:color w:val="000000" w:themeColor="text1"/>
          <w:szCs w:val="20"/>
          <w:lang w:val="es-CR"/>
        </w:rPr>
        <w:t xml:space="preserve"> y Costas</w:t>
      </w:r>
      <w:r w:rsidR="005B39DF" w:rsidRPr="00F32643">
        <w:rPr>
          <w:color w:val="000000" w:themeColor="text1"/>
          <w:szCs w:val="20"/>
          <w:lang w:val="es-CR"/>
        </w:rPr>
        <w:t xml:space="preserve"> en el caso </w:t>
      </w:r>
      <w:r w:rsidR="005B39DF" w:rsidRPr="00F32643">
        <w:rPr>
          <w:i/>
          <w:color w:val="000000" w:themeColor="text1"/>
          <w:szCs w:val="20"/>
          <w:lang w:val="es-CR"/>
        </w:rPr>
        <w:t xml:space="preserve">Profesores de Chañaral y otras Municipalidades Vs. Chile, </w:t>
      </w:r>
      <w:r w:rsidR="005B39DF" w:rsidRPr="00F32643">
        <w:rPr>
          <w:iCs/>
          <w:color w:val="000000" w:themeColor="text1"/>
          <w:szCs w:val="20"/>
          <w:lang w:val="es-CR"/>
        </w:rPr>
        <w:t>presentada por el Estado</w:t>
      </w:r>
      <w:r w:rsidRPr="00F32643">
        <w:rPr>
          <w:color w:val="000000" w:themeColor="text1"/>
          <w:szCs w:val="20"/>
          <w:lang w:val="es-CR"/>
        </w:rPr>
        <w:t>, en los términos de</w:t>
      </w:r>
      <w:r w:rsidR="005B39DF" w:rsidRPr="00F32643">
        <w:rPr>
          <w:color w:val="000000" w:themeColor="text1"/>
          <w:szCs w:val="20"/>
          <w:lang w:val="es-CR"/>
        </w:rPr>
        <w:t xml:space="preserve"> </w:t>
      </w:r>
      <w:r w:rsidRPr="00F32643">
        <w:rPr>
          <w:color w:val="000000" w:themeColor="text1"/>
          <w:szCs w:val="20"/>
          <w:lang w:val="es-CR"/>
        </w:rPr>
        <w:t>l</w:t>
      </w:r>
      <w:r w:rsidR="005B39DF" w:rsidRPr="00F32643">
        <w:rPr>
          <w:color w:val="000000" w:themeColor="text1"/>
          <w:szCs w:val="20"/>
          <w:lang w:val="es-CR"/>
        </w:rPr>
        <w:t>os</w:t>
      </w:r>
      <w:r w:rsidRPr="00F32643">
        <w:rPr>
          <w:color w:val="000000" w:themeColor="text1"/>
          <w:szCs w:val="20"/>
          <w:lang w:val="es-CR"/>
        </w:rPr>
        <w:t xml:space="preserve"> párrafo</w:t>
      </w:r>
      <w:r w:rsidR="005B39DF" w:rsidRPr="00F32643">
        <w:rPr>
          <w:color w:val="000000" w:themeColor="text1"/>
          <w:szCs w:val="20"/>
          <w:lang w:val="es-CR"/>
        </w:rPr>
        <w:t>s</w:t>
      </w:r>
      <w:r w:rsidRPr="00F32643">
        <w:rPr>
          <w:color w:val="000000" w:themeColor="text1"/>
          <w:szCs w:val="20"/>
          <w:lang w:val="es-CR"/>
        </w:rPr>
        <w:t xml:space="preserve"> </w:t>
      </w:r>
      <w:r w:rsidR="005B39DF" w:rsidRPr="00F32643">
        <w:rPr>
          <w:color w:val="000000" w:themeColor="text1"/>
          <w:szCs w:val="20"/>
          <w:lang w:val="es-CR"/>
        </w:rPr>
        <w:t>6 y 7</w:t>
      </w:r>
      <w:r w:rsidRPr="00F32643">
        <w:rPr>
          <w:color w:val="000000" w:themeColor="text1"/>
          <w:szCs w:val="20"/>
          <w:lang w:val="es-CR"/>
        </w:rPr>
        <w:t xml:space="preserve"> de la presente Sentencia de Interpretación.</w:t>
      </w:r>
    </w:p>
    <w:p w14:paraId="4FEFC7F0" w14:textId="77777777" w:rsidR="001003AC" w:rsidRPr="00F32643" w:rsidRDefault="001003AC" w:rsidP="001003AC">
      <w:pPr>
        <w:pStyle w:val="Prrafodelista"/>
        <w:tabs>
          <w:tab w:val="left" w:pos="567"/>
        </w:tabs>
        <w:ind w:left="0"/>
        <w:contextualSpacing w:val="0"/>
        <w:rPr>
          <w:color w:val="000000" w:themeColor="text1"/>
          <w:szCs w:val="20"/>
          <w:lang w:val="es-CR"/>
        </w:rPr>
      </w:pPr>
    </w:p>
    <w:p w14:paraId="3CD61B6D" w14:textId="76CDF3A9" w:rsidR="001003AC" w:rsidRPr="00F32643" w:rsidRDefault="001003AC" w:rsidP="001003AC">
      <w:pPr>
        <w:pStyle w:val="Prrafodelista"/>
        <w:numPr>
          <w:ilvl w:val="0"/>
          <w:numId w:val="4"/>
        </w:numPr>
        <w:tabs>
          <w:tab w:val="left" w:pos="567"/>
        </w:tabs>
        <w:ind w:left="0" w:firstLine="0"/>
        <w:contextualSpacing w:val="0"/>
        <w:rPr>
          <w:color w:val="000000" w:themeColor="text1"/>
          <w:szCs w:val="20"/>
          <w:lang w:val="es-CR"/>
        </w:rPr>
      </w:pPr>
      <w:r w:rsidRPr="00F32643">
        <w:rPr>
          <w:color w:val="000000" w:themeColor="text1"/>
          <w:szCs w:val="20"/>
          <w:lang w:val="es-CR"/>
        </w:rPr>
        <w:t>Aclarar, por medio de Interpretación, la Sentencia de Excepci</w:t>
      </w:r>
      <w:r w:rsidR="00D47E2E" w:rsidRPr="00F32643">
        <w:rPr>
          <w:color w:val="000000" w:themeColor="text1"/>
          <w:szCs w:val="20"/>
          <w:lang w:val="es-CR"/>
        </w:rPr>
        <w:t>ón</w:t>
      </w:r>
      <w:r w:rsidRPr="00F32643">
        <w:rPr>
          <w:color w:val="000000" w:themeColor="text1"/>
          <w:szCs w:val="20"/>
          <w:lang w:val="es-CR"/>
        </w:rPr>
        <w:t xml:space="preserve"> Preliminar, </w:t>
      </w:r>
      <w:r w:rsidR="00130E83" w:rsidRPr="00F32643">
        <w:rPr>
          <w:color w:val="000000" w:themeColor="text1"/>
          <w:szCs w:val="20"/>
          <w:lang w:val="es-CR"/>
        </w:rPr>
        <w:t>Fondo, Reparaciones</w:t>
      </w:r>
      <w:r w:rsidR="00097B99" w:rsidRPr="00F32643">
        <w:rPr>
          <w:color w:val="000000" w:themeColor="text1"/>
          <w:szCs w:val="20"/>
          <w:lang w:val="es-CR"/>
        </w:rPr>
        <w:t xml:space="preserve"> y Costas</w:t>
      </w:r>
      <w:r w:rsidRPr="00F32643">
        <w:rPr>
          <w:color w:val="000000" w:themeColor="text1"/>
          <w:szCs w:val="20"/>
          <w:lang w:val="es-CR"/>
        </w:rPr>
        <w:t xml:space="preserve"> en el caso </w:t>
      </w:r>
      <w:r w:rsidR="00000A6C" w:rsidRPr="00F32643">
        <w:rPr>
          <w:i/>
          <w:color w:val="000000" w:themeColor="text1"/>
          <w:szCs w:val="20"/>
          <w:lang w:val="es-CR"/>
        </w:rPr>
        <w:t>Profesores de Chañaral y otras Municipalidades Vs. Chile</w:t>
      </w:r>
      <w:r w:rsidRPr="00F32643">
        <w:rPr>
          <w:i/>
          <w:color w:val="000000" w:themeColor="text1"/>
          <w:szCs w:val="20"/>
          <w:lang w:val="es-CR"/>
        </w:rPr>
        <w:t>,</w:t>
      </w:r>
      <w:r w:rsidR="0014779C" w:rsidRPr="00F32643">
        <w:rPr>
          <w:i/>
          <w:color w:val="000000" w:themeColor="text1"/>
          <w:szCs w:val="20"/>
          <w:lang w:val="es-CR"/>
        </w:rPr>
        <w:t xml:space="preserve"> </w:t>
      </w:r>
      <w:r w:rsidR="0014779C" w:rsidRPr="00F32643">
        <w:rPr>
          <w:iCs/>
          <w:color w:val="000000" w:themeColor="text1"/>
          <w:szCs w:val="20"/>
          <w:lang w:val="es-CR"/>
        </w:rPr>
        <w:t>respecto a la utilización de la expresión “tractos anuales”</w:t>
      </w:r>
      <w:r w:rsidRPr="00F32643">
        <w:rPr>
          <w:i/>
          <w:color w:val="000000" w:themeColor="text1"/>
          <w:szCs w:val="20"/>
          <w:lang w:val="es-CR"/>
        </w:rPr>
        <w:t xml:space="preserve"> </w:t>
      </w:r>
      <w:r w:rsidRPr="00F32643">
        <w:rPr>
          <w:color w:val="000000" w:themeColor="text1"/>
          <w:szCs w:val="20"/>
          <w:lang w:val="es-CR"/>
        </w:rPr>
        <w:t xml:space="preserve">en los términos de los párrafos </w:t>
      </w:r>
      <w:r w:rsidR="0083550E" w:rsidRPr="00F32643">
        <w:rPr>
          <w:color w:val="000000" w:themeColor="text1"/>
          <w:szCs w:val="20"/>
          <w:lang w:val="es-CR"/>
        </w:rPr>
        <w:t xml:space="preserve">16 a </w:t>
      </w:r>
      <w:r w:rsidR="00C04D82" w:rsidRPr="00F32643">
        <w:rPr>
          <w:color w:val="000000" w:themeColor="text1"/>
          <w:szCs w:val="20"/>
          <w:lang w:val="es-CR"/>
        </w:rPr>
        <w:t>20</w:t>
      </w:r>
      <w:r w:rsidRPr="00F32643">
        <w:rPr>
          <w:color w:val="000000" w:themeColor="text1"/>
          <w:szCs w:val="20"/>
          <w:lang w:val="es-CR"/>
        </w:rPr>
        <w:t xml:space="preserve"> de la presente Sentencia de Interpretación.</w:t>
      </w:r>
    </w:p>
    <w:p w14:paraId="7CE70B3F" w14:textId="77777777" w:rsidR="001003AC" w:rsidRPr="00F32643" w:rsidRDefault="001003AC" w:rsidP="001003AC">
      <w:pPr>
        <w:pStyle w:val="Prrafodelista"/>
        <w:rPr>
          <w:color w:val="000000" w:themeColor="text1"/>
          <w:szCs w:val="20"/>
          <w:lang w:val="es-CR"/>
        </w:rPr>
      </w:pPr>
    </w:p>
    <w:p w14:paraId="46A76A3F" w14:textId="4BB994D8" w:rsidR="001003AC" w:rsidRPr="00F32643" w:rsidRDefault="00BF1620" w:rsidP="001003AC">
      <w:pPr>
        <w:pStyle w:val="Prrafodelista"/>
        <w:numPr>
          <w:ilvl w:val="0"/>
          <w:numId w:val="4"/>
        </w:numPr>
        <w:tabs>
          <w:tab w:val="left" w:pos="567"/>
        </w:tabs>
        <w:ind w:left="0" w:firstLine="0"/>
        <w:contextualSpacing w:val="0"/>
        <w:rPr>
          <w:color w:val="000000" w:themeColor="text1"/>
          <w:szCs w:val="20"/>
          <w:lang w:val="es-CR"/>
        </w:rPr>
      </w:pPr>
      <w:r w:rsidRPr="00F32643">
        <w:rPr>
          <w:color w:val="000000" w:themeColor="text1"/>
          <w:szCs w:val="20"/>
          <w:lang w:val="es-CR"/>
        </w:rPr>
        <w:t>Aclarar, por medio de Interpretación, la Sentencia de Excepción Preliminar, Fondo</w:t>
      </w:r>
      <w:r w:rsidR="00382627" w:rsidRPr="00F32643">
        <w:rPr>
          <w:color w:val="000000" w:themeColor="text1"/>
          <w:szCs w:val="20"/>
          <w:lang w:val="es-CR"/>
        </w:rPr>
        <w:t>,</w:t>
      </w:r>
      <w:r w:rsidRPr="00F32643">
        <w:rPr>
          <w:color w:val="000000" w:themeColor="text1"/>
          <w:szCs w:val="20"/>
          <w:lang w:val="es-CR"/>
        </w:rPr>
        <w:t xml:space="preserve"> Reparaciones</w:t>
      </w:r>
      <w:r w:rsidR="00382627" w:rsidRPr="00F32643">
        <w:rPr>
          <w:color w:val="000000" w:themeColor="text1"/>
          <w:szCs w:val="20"/>
          <w:lang w:val="es-CR"/>
        </w:rPr>
        <w:t xml:space="preserve"> y Costas</w:t>
      </w:r>
      <w:r w:rsidRPr="00F32643">
        <w:rPr>
          <w:color w:val="000000" w:themeColor="text1"/>
          <w:szCs w:val="20"/>
          <w:lang w:val="es-CR"/>
        </w:rPr>
        <w:t xml:space="preserve"> en el caso </w:t>
      </w:r>
      <w:r w:rsidRPr="00F32643">
        <w:rPr>
          <w:i/>
          <w:color w:val="000000" w:themeColor="text1"/>
          <w:szCs w:val="20"/>
          <w:lang w:val="es-CR"/>
        </w:rPr>
        <w:t xml:space="preserve">Profesores de Chañaral y otras Municipalidades Vs. Chile, </w:t>
      </w:r>
      <w:r w:rsidRPr="00F32643">
        <w:rPr>
          <w:iCs/>
          <w:color w:val="000000" w:themeColor="text1"/>
          <w:szCs w:val="20"/>
          <w:lang w:val="es-CR"/>
        </w:rPr>
        <w:t>respecto a</w:t>
      </w:r>
      <w:r w:rsidRPr="00F32643">
        <w:rPr>
          <w:color w:val="000000" w:themeColor="text1"/>
          <w:szCs w:val="20"/>
          <w:lang w:val="es-CR"/>
        </w:rPr>
        <w:t xml:space="preserve"> </w:t>
      </w:r>
      <w:r w:rsidR="00A83760" w:rsidRPr="00F32643">
        <w:rPr>
          <w:color w:val="000000" w:themeColor="text1"/>
          <w:szCs w:val="20"/>
          <w:lang w:val="es-CR"/>
        </w:rPr>
        <w:t>las modalidades</w:t>
      </w:r>
      <w:r w:rsidR="00DD2700" w:rsidRPr="00F32643">
        <w:rPr>
          <w:color w:val="000000" w:themeColor="text1"/>
          <w:szCs w:val="20"/>
          <w:lang w:val="es-CR"/>
        </w:rPr>
        <w:t xml:space="preserve"> de cumplimiento</w:t>
      </w:r>
      <w:r w:rsidR="00106D76" w:rsidRPr="00F32643">
        <w:rPr>
          <w:color w:val="000000" w:themeColor="text1"/>
          <w:szCs w:val="20"/>
          <w:lang w:val="es-CR"/>
        </w:rPr>
        <w:t xml:space="preserve"> </w:t>
      </w:r>
      <w:r w:rsidR="005A3058" w:rsidRPr="00F32643">
        <w:rPr>
          <w:color w:val="000000" w:themeColor="text1"/>
          <w:szCs w:val="20"/>
          <w:lang w:val="es-CR"/>
        </w:rPr>
        <w:t xml:space="preserve">de los pagos ordenados </w:t>
      </w:r>
      <w:r w:rsidR="001003AC" w:rsidRPr="00F32643">
        <w:rPr>
          <w:color w:val="000000" w:themeColor="text1"/>
          <w:szCs w:val="20"/>
          <w:lang w:val="es-CR"/>
        </w:rPr>
        <w:t>en los términos de</w:t>
      </w:r>
      <w:r w:rsidR="00DD2700" w:rsidRPr="00F32643">
        <w:rPr>
          <w:color w:val="000000" w:themeColor="text1"/>
          <w:szCs w:val="20"/>
          <w:lang w:val="es-CR"/>
        </w:rPr>
        <w:t xml:space="preserve"> </w:t>
      </w:r>
      <w:r w:rsidR="001003AC" w:rsidRPr="00F32643">
        <w:rPr>
          <w:color w:val="000000" w:themeColor="text1"/>
          <w:szCs w:val="20"/>
          <w:lang w:val="es-CR"/>
        </w:rPr>
        <w:t>l</w:t>
      </w:r>
      <w:r w:rsidR="00DD2700" w:rsidRPr="00F32643">
        <w:rPr>
          <w:color w:val="000000" w:themeColor="text1"/>
          <w:szCs w:val="20"/>
          <w:lang w:val="es-CR"/>
        </w:rPr>
        <w:t>os</w:t>
      </w:r>
      <w:r w:rsidR="001003AC" w:rsidRPr="00F32643">
        <w:rPr>
          <w:color w:val="000000" w:themeColor="text1"/>
          <w:szCs w:val="20"/>
          <w:lang w:val="es-CR"/>
        </w:rPr>
        <w:t xml:space="preserve"> párrafo</w:t>
      </w:r>
      <w:r w:rsidR="00DD2700" w:rsidRPr="00F32643">
        <w:rPr>
          <w:color w:val="000000" w:themeColor="text1"/>
          <w:szCs w:val="20"/>
          <w:lang w:val="es-CR"/>
        </w:rPr>
        <w:t>s</w:t>
      </w:r>
      <w:r w:rsidR="001003AC" w:rsidRPr="00F32643">
        <w:rPr>
          <w:color w:val="000000" w:themeColor="text1"/>
          <w:szCs w:val="20"/>
          <w:lang w:val="es-CR"/>
        </w:rPr>
        <w:t xml:space="preserve"> </w:t>
      </w:r>
      <w:r w:rsidR="001E22F3" w:rsidRPr="00F32643">
        <w:rPr>
          <w:color w:val="000000" w:themeColor="text1"/>
          <w:szCs w:val="20"/>
          <w:lang w:val="es-CR"/>
        </w:rPr>
        <w:t>28</w:t>
      </w:r>
      <w:r w:rsidR="00DD2700" w:rsidRPr="00F32643">
        <w:rPr>
          <w:color w:val="000000" w:themeColor="text1"/>
          <w:szCs w:val="20"/>
          <w:lang w:val="es-CR"/>
        </w:rPr>
        <w:t xml:space="preserve"> y </w:t>
      </w:r>
      <w:r w:rsidR="001E22F3" w:rsidRPr="00F32643">
        <w:rPr>
          <w:color w:val="000000" w:themeColor="text1"/>
          <w:szCs w:val="20"/>
          <w:lang w:val="es-CR"/>
        </w:rPr>
        <w:t>29</w:t>
      </w:r>
      <w:r w:rsidR="00DD2700" w:rsidRPr="00F32643">
        <w:rPr>
          <w:color w:val="000000" w:themeColor="text1"/>
          <w:szCs w:val="20"/>
          <w:lang w:val="es-CR"/>
        </w:rPr>
        <w:t xml:space="preserve"> </w:t>
      </w:r>
      <w:r w:rsidR="001003AC" w:rsidRPr="00F32643">
        <w:rPr>
          <w:color w:val="000000" w:themeColor="text1"/>
          <w:szCs w:val="20"/>
          <w:lang w:val="es-CR"/>
        </w:rPr>
        <w:t>de la presente Sentencia de Interpretación.</w:t>
      </w:r>
    </w:p>
    <w:p w14:paraId="6CA97088" w14:textId="77777777" w:rsidR="00B47632" w:rsidRPr="00F32643" w:rsidRDefault="00B47632" w:rsidP="00B47632">
      <w:pPr>
        <w:pStyle w:val="Prrafodelista"/>
        <w:rPr>
          <w:color w:val="000000" w:themeColor="text1"/>
          <w:szCs w:val="20"/>
          <w:lang w:val="es-CR"/>
        </w:rPr>
      </w:pPr>
    </w:p>
    <w:p w14:paraId="29884AC7" w14:textId="4326F167" w:rsidR="00B47632" w:rsidRPr="00F32643" w:rsidRDefault="00B47632" w:rsidP="001003AC">
      <w:pPr>
        <w:pStyle w:val="Prrafodelista"/>
        <w:numPr>
          <w:ilvl w:val="0"/>
          <w:numId w:val="4"/>
        </w:numPr>
        <w:tabs>
          <w:tab w:val="left" w:pos="567"/>
        </w:tabs>
        <w:ind w:left="0" w:firstLine="0"/>
        <w:contextualSpacing w:val="0"/>
        <w:rPr>
          <w:color w:val="000000" w:themeColor="text1"/>
          <w:szCs w:val="20"/>
          <w:lang w:val="es-CR"/>
        </w:rPr>
      </w:pPr>
      <w:r w:rsidRPr="00F32643">
        <w:rPr>
          <w:color w:val="000000" w:themeColor="text1"/>
          <w:szCs w:val="20"/>
          <w:lang w:val="es-CR"/>
        </w:rPr>
        <w:t xml:space="preserve">Aclarar, por medio de Interpretación, la Sentencia de Excepción Preliminar, </w:t>
      </w:r>
      <w:r w:rsidR="00130E83" w:rsidRPr="00F32643">
        <w:rPr>
          <w:color w:val="000000" w:themeColor="text1"/>
          <w:szCs w:val="20"/>
          <w:lang w:val="es-CR"/>
        </w:rPr>
        <w:t>Fondo, Reparaciones</w:t>
      </w:r>
      <w:r w:rsidR="00382627" w:rsidRPr="00F32643">
        <w:rPr>
          <w:color w:val="000000" w:themeColor="text1"/>
          <w:szCs w:val="20"/>
          <w:lang w:val="es-CR"/>
        </w:rPr>
        <w:t xml:space="preserve"> y Costas</w:t>
      </w:r>
      <w:r w:rsidRPr="00F32643">
        <w:rPr>
          <w:color w:val="000000" w:themeColor="text1"/>
          <w:szCs w:val="20"/>
          <w:lang w:val="es-CR"/>
        </w:rPr>
        <w:t xml:space="preserve"> en el caso </w:t>
      </w:r>
      <w:r w:rsidRPr="00F32643">
        <w:rPr>
          <w:i/>
          <w:color w:val="000000" w:themeColor="text1"/>
          <w:szCs w:val="20"/>
          <w:lang w:val="es-CR"/>
        </w:rPr>
        <w:t xml:space="preserve">Profesores de Chañaral y otras Municipalidades Vs. Chile, </w:t>
      </w:r>
      <w:r w:rsidR="0002357D" w:rsidRPr="00F32643">
        <w:rPr>
          <w:iCs/>
          <w:color w:val="000000" w:themeColor="text1"/>
          <w:szCs w:val="20"/>
          <w:lang w:val="es-CR"/>
        </w:rPr>
        <w:t>e</w:t>
      </w:r>
      <w:r w:rsidR="000710CB" w:rsidRPr="00F32643">
        <w:rPr>
          <w:iCs/>
          <w:color w:val="000000" w:themeColor="text1"/>
          <w:szCs w:val="20"/>
          <w:lang w:val="es-CR"/>
        </w:rPr>
        <w:t>n cuanto a</w:t>
      </w:r>
      <w:r w:rsidR="0002357D" w:rsidRPr="00F32643">
        <w:rPr>
          <w:iCs/>
          <w:color w:val="000000" w:themeColor="text1"/>
          <w:szCs w:val="20"/>
          <w:lang w:val="es-CR"/>
        </w:rPr>
        <w:t>l cálculo del reajuste</w:t>
      </w:r>
      <w:r w:rsidR="00AF7D59" w:rsidRPr="00F32643">
        <w:rPr>
          <w:iCs/>
          <w:color w:val="000000" w:themeColor="text1"/>
          <w:szCs w:val="20"/>
          <w:lang w:val="es-CR"/>
        </w:rPr>
        <w:t xml:space="preserve"> e intereses</w:t>
      </w:r>
      <w:r w:rsidR="00ED6451" w:rsidRPr="00F32643">
        <w:rPr>
          <w:iCs/>
          <w:color w:val="000000" w:themeColor="text1"/>
          <w:szCs w:val="20"/>
          <w:lang w:val="es-CR"/>
        </w:rPr>
        <w:t>,</w:t>
      </w:r>
      <w:r w:rsidR="00AF7D59" w:rsidRPr="00F32643">
        <w:rPr>
          <w:iCs/>
          <w:color w:val="000000" w:themeColor="text1"/>
          <w:szCs w:val="20"/>
          <w:lang w:val="es-CR"/>
        </w:rPr>
        <w:t xml:space="preserve"> así como </w:t>
      </w:r>
      <w:r w:rsidRPr="00F32643">
        <w:rPr>
          <w:iCs/>
          <w:color w:val="000000" w:themeColor="text1"/>
          <w:szCs w:val="20"/>
          <w:lang w:val="es-CR"/>
        </w:rPr>
        <w:t>la aplicación de los intereses en mora a las sumas debidas por concepto de restitución</w:t>
      </w:r>
      <w:r w:rsidR="000710CB" w:rsidRPr="00F32643">
        <w:rPr>
          <w:iCs/>
          <w:color w:val="000000" w:themeColor="text1"/>
          <w:szCs w:val="20"/>
          <w:lang w:val="es-CR"/>
        </w:rPr>
        <w:t>,</w:t>
      </w:r>
      <w:r w:rsidRPr="00F32643">
        <w:rPr>
          <w:i/>
          <w:color w:val="000000" w:themeColor="text1"/>
          <w:szCs w:val="20"/>
          <w:lang w:val="es-CR"/>
        </w:rPr>
        <w:t xml:space="preserve"> </w:t>
      </w:r>
      <w:r w:rsidRPr="00F32643">
        <w:rPr>
          <w:color w:val="000000" w:themeColor="text1"/>
          <w:szCs w:val="20"/>
          <w:lang w:val="es-CR"/>
        </w:rPr>
        <w:t xml:space="preserve">en los términos de los párrafos </w:t>
      </w:r>
      <w:r w:rsidR="00AF7D59" w:rsidRPr="00F32643">
        <w:rPr>
          <w:color w:val="000000" w:themeColor="text1"/>
          <w:szCs w:val="20"/>
          <w:lang w:val="es-CR"/>
        </w:rPr>
        <w:t>3</w:t>
      </w:r>
      <w:r w:rsidR="0017786E" w:rsidRPr="00F32643">
        <w:rPr>
          <w:color w:val="000000" w:themeColor="text1"/>
          <w:szCs w:val="20"/>
          <w:lang w:val="es-CR"/>
        </w:rPr>
        <w:t>4</w:t>
      </w:r>
      <w:r w:rsidR="00AF7D59" w:rsidRPr="00F32643">
        <w:rPr>
          <w:color w:val="000000" w:themeColor="text1"/>
          <w:szCs w:val="20"/>
          <w:lang w:val="es-CR"/>
        </w:rPr>
        <w:t xml:space="preserve"> a 3</w:t>
      </w:r>
      <w:r w:rsidR="00954FCE" w:rsidRPr="00F32643">
        <w:rPr>
          <w:color w:val="000000" w:themeColor="text1"/>
          <w:szCs w:val="20"/>
          <w:lang w:val="es-CR"/>
        </w:rPr>
        <w:t>6</w:t>
      </w:r>
      <w:r w:rsidR="0019669B" w:rsidRPr="00F32643">
        <w:rPr>
          <w:color w:val="000000" w:themeColor="text1"/>
          <w:szCs w:val="20"/>
          <w:lang w:val="es-CR"/>
        </w:rPr>
        <w:t xml:space="preserve"> y 39</w:t>
      </w:r>
      <w:r w:rsidRPr="00F32643">
        <w:rPr>
          <w:color w:val="000000" w:themeColor="text1"/>
          <w:szCs w:val="20"/>
          <w:lang w:val="es-CR"/>
        </w:rPr>
        <w:t xml:space="preserve"> de la presente Sentencia de Interpretación.</w:t>
      </w:r>
    </w:p>
    <w:p w14:paraId="3D9D3E13" w14:textId="77777777" w:rsidR="00C4407D" w:rsidRPr="00F32643" w:rsidRDefault="00C4407D" w:rsidP="00C4407D">
      <w:pPr>
        <w:pStyle w:val="Prrafodelista"/>
        <w:rPr>
          <w:color w:val="000000" w:themeColor="text1"/>
          <w:szCs w:val="20"/>
          <w:lang w:val="es-CR"/>
        </w:rPr>
      </w:pPr>
    </w:p>
    <w:p w14:paraId="2EE90B2E" w14:textId="7AFC0B4C" w:rsidR="00A0643F" w:rsidRPr="00F32643" w:rsidRDefault="00C4407D" w:rsidP="00F54452">
      <w:pPr>
        <w:pStyle w:val="Prrafodelista"/>
        <w:numPr>
          <w:ilvl w:val="0"/>
          <w:numId w:val="4"/>
        </w:numPr>
        <w:tabs>
          <w:tab w:val="left" w:pos="567"/>
        </w:tabs>
        <w:ind w:left="0" w:firstLine="0"/>
        <w:contextualSpacing w:val="0"/>
        <w:rPr>
          <w:color w:val="000000" w:themeColor="text1"/>
          <w:szCs w:val="20"/>
          <w:lang w:val="es-CR"/>
        </w:rPr>
      </w:pPr>
      <w:r w:rsidRPr="00F32643">
        <w:rPr>
          <w:color w:val="000000" w:themeColor="text1"/>
          <w:szCs w:val="20"/>
          <w:lang w:val="es-CR"/>
        </w:rPr>
        <w:t>Desestimar por improcedente la solicitud de interpretación de la Sentencia de Excepción Preliminar, Fondo</w:t>
      </w:r>
      <w:r w:rsidR="000710CB" w:rsidRPr="00F32643">
        <w:rPr>
          <w:color w:val="000000" w:themeColor="text1"/>
          <w:szCs w:val="20"/>
          <w:lang w:val="es-CR"/>
        </w:rPr>
        <w:t>,</w:t>
      </w:r>
      <w:r w:rsidRPr="00F32643">
        <w:rPr>
          <w:color w:val="000000" w:themeColor="text1"/>
          <w:szCs w:val="20"/>
          <w:lang w:val="es-CR"/>
        </w:rPr>
        <w:t xml:space="preserve"> Reparaciones</w:t>
      </w:r>
      <w:r w:rsidR="000710CB" w:rsidRPr="00F32643">
        <w:rPr>
          <w:color w:val="000000" w:themeColor="text1"/>
          <w:szCs w:val="20"/>
          <w:lang w:val="es-CR"/>
        </w:rPr>
        <w:t xml:space="preserve"> y Costas</w:t>
      </w:r>
      <w:r w:rsidRPr="00F32643">
        <w:rPr>
          <w:color w:val="000000" w:themeColor="text1"/>
          <w:szCs w:val="20"/>
          <w:lang w:val="es-CR"/>
        </w:rPr>
        <w:t xml:space="preserve"> en el caso </w:t>
      </w:r>
      <w:r w:rsidRPr="00F32643">
        <w:rPr>
          <w:i/>
          <w:color w:val="000000" w:themeColor="text1"/>
          <w:szCs w:val="20"/>
          <w:lang w:val="es-CR"/>
        </w:rPr>
        <w:t xml:space="preserve">Profesores de Chañaral y otras Municipalidades Vs. Chile, </w:t>
      </w:r>
      <w:r w:rsidRPr="00F32643">
        <w:rPr>
          <w:iCs/>
          <w:color w:val="000000" w:themeColor="text1"/>
          <w:szCs w:val="20"/>
          <w:lang w:val="es-CR"/>
        </w:rPr>
        <w:t xml:space="preserve">respecto al </w:t>
      </w:r>
      <w:r w:rsidRPr="00F32643">
        <w:rPr>
          <w:color w:val="000000" w:themeColor="text1"/>
          <w:szCs w:val="20"/>
          <w:lang w:val="es-CR"/>
        </w:rPr>
        <w:t>cómputo de intereses en los casos en los que los herederos de alguno de los beneficia</w:t>
      </w:r>
      <w:r w:rsidR="00EA332B" w:rsidRPr="00F32643">
        <w:rPr>
          <w:color w:val="000000" w:themeColor="text1"/>
          <w:szCs w:val="20"/>
          <w:lang w:val="es-CR"/>
        </w:rPr>
        <w:t>ri</w:t>
      </w:r>
      <w:r w:rsidRPr="00F32643">
        <w:rPr>
          <w:color w:val="000000" w:themeColor="text1"/>
          <w:szCs w:val="20"/>
          <w:lang w:val="es-CR"/>
        </w:rPr>
        <w:t>os no estén determinados o, aunque estén determinados, no se hayan efectuado los trámites sucesorios para recibir tal dinero</w:t>
      </w:r>
      <w:r w:rsidR="009045F7" w:rsidRPr="00F32643">
        <w:rPr>
          <w:color w:val="000000" w:themeColor="text1"/>
          <w:szCs w:val="20"/>
          <w:lang w:val="es-CR"/>
        </w:rPr>
        <w:t xml:space="preserve">, </w:t>
      </w:r>
      <w:r w:rsidR="009045F7" w:rsidRPr="00F32643">
        <w:rPr>
          <w:color w:val="000000" w:themeColor="text1"/>
          <w:lang w:val="es-CR"/>
        </w:rPr>
        <w:t xml:space="preserve">presentada por el Estado, en los términos </w:t>
      </w:r>
      <w:r w:rsidR="00B81731" w:rsidRPr="00F32643">
        <w:rPr>
          <w:color w:val="000000" w:themeColor="text1"/>
          <w:lang w:val="es-CR"/>
        </w:rPr>
        <w:t>de los párrafos 3</w:t>
      </w:r>
      <w:r w:rsidR="00954FCE" w:rsidRPr="00F32643">
        <w:rPr>
          <w:color w:val="000000" w:themeColor="text1"/>
          <w:lang w:val="es-CR"/>
        </w:rPr>
        <w:t>7</w:t>
      </w:r>
      <w:r w:rsidR="0019669B" w:rsidRPr="00F32643">
        <w:rPr>
          <w:color w:val="000000" w:themeColor="text1"/>
          <w:lang w:val="es-CR"/>
        </w:rPr>
        <w:t>,</w:t>
      </w:r>
      <w:r w:rsidR="00B81731" w:rsidRPr="00F32643">
        <w:rPr>
          <w:color w:val="000000" w:themeColor="text1"/>
          <w:lang w:val="es-CR"/>
        </w:rPr>
        <w:t xml:space="preserve"> 3</w:t>
      </w:r>
      <w:r w:rsidR="00954FCE" w:rsidRPr="00F32643">
        <w:rPr>
          <w:color w:val="000000" w:themeColor="text1"/>
          <w:lang w:val="es-CR"/>
        </w:rPr>
        <w:t>8</w:t>
      </w:r>
      <w:r w:rsidR="0019669B" w:rsidRPr="00F32643">
        <w:rPr>
          <w:color w:val="000000" w:themeColor="text1"/>
          <w:lang w:val="es-CR"/>
        </w:rPr>
        <w:t xml:space="preserve"> y 39</w:t>
      </w:r>
      <w:r w:rsidR="009045F7" w:rsidRPr="00F32643">
        <w:rPr>
          <w:color w:val="000000" w:themeColor="text1"/>
          <w:lang w:val="es-CR"/>
        </w:rPr>
        <w:t xml:space="preserve"> de la </w:t>
      </w:r>
      <w:r w:rsidR="009045F7" w:rsidRPr="00F32643">
        <w:rPr>
          <w:color w:val="000000" w:themeColor="text1"/>
          <w:szCs w:val="20"/>
          <w:lang w:val="es-CR"/>
        </w:rPr>
        <w:t>presente Sentencia de Interpretación.</w:t>
      </w:r>
    </w:p>
    <w:p w14:paraId="4E4A0535" w14:textId="77777777" w:rsidR="000544B9" w:rsidRPr="00F32643" w:rsidRDefault="000544B9" w:rsidP="008211CB">
      <w:pPr>
        <w:rPr>
          <w:color w:val="000000" w:themeColor="text1"/>
          <w:szCs w:val="20"/>
          <w:lang w:val="es-CR"/>
        </w:rPr>
      </w:pPr>
    </w:p>
    <w:p w14:paraId="23AA108F" w14:textId="324A5EC4" w:rsidR="000544B9" w:rsidRPr="00F32643" w:rsidRDefault="000544B9" w:rsidP="00635630">
      <w:pPr>
        <w:pStyle w:val="Prrafodelista"/>
        <w:numPr>
          <w:ilvl w:val="0"/>
          <w:numId w:val="4"/>
        </w:numPr>
        <w:tabs>
          <w:tab w:val="left" w:pos="567"/>
        </w:tabs>
        <w:ind w:left="0" w:firstLine="0"/>
        <w:contextualSpacing w:val="0"/>
        <w:rPr>
          <w:color w:val="000000" w:themeColor="text1"/>
          <w:szCs w:val="20"/>
          <w:lang w:val="es-CR"/>
        </w:rPr>
      </w:pPr>
      <w:r w:rsidRPr="00F32643">
        <w:rPr>
          <w:color w:val="000000" w:themeColor="text1"/>
          <w:szCs w:val="20"/>
          <w:lang w:val="es-CR"/>
        </w:rPr>
        <w:lastRenderedPageBreak/>
        <w:t>Desestimar por improcedente la solicitud de interpretación de la Sentencia de Excepción Preliminar, Fondo</w:t>
      </w:r>
      <w:r w:rsidR="00603C52" w:rsidRPr="00F32643">
        <w:rPr>
          <w:color w:val="000000" w:themeColor="text1"/>
          <w:szCs w:val="20"/>
          <w:lang w:val="es-CR"/>
        </w:rPr>
        <w:t>,</w:t>
      </w:r>
      <w:r w:rsidRPr="00F32643">
        <w:rPr>
          <w:color w:val="000000" w:themeColor="text1"/>
          <w:szCs w:val="20"/>
          <w:lang w:val="es-CR"/>
        </w:rPr>
        <w:t xml:space="preserve"> Reparaciones</w:t>
      </w:r>
      <w:r w:rsidR="00603C52" w:rsidRPr="00F32643">
        <w:rPr>
          <w:color w:val="000000" w:themeColor="text1"/>
          <w:szCs w:val="20"/>
          <w:lang w:val="es-CR"/>
        </w:rPr>
        <w:t xml:space="preserve"> y Costas</w:t>
      </w:r>
      <w:r w:rsidRPr="00F32643">
        <w:rPr>
          <w:color w:val="000000" w:themeColor="text1"/>
          <w:szCs w:val="20"/>
          <w:lang w:val="es-CR"/>
        </w:rPr>
        <w:t xml:space="preserve"> en el caso </w:t>
      </w:r>
      <w:r w:rsidRPr="00F32643">
        <w:rPr>
          <w:i/>
          <w:color w:val="000000" w:themeColor="text1"/>
          <w:szCs w:val="20"/>
          <w:lang w:val="es-CR"/>
        </w:rPr>
        <w:t xml:space="preserve">Profesores de Chañaral y otras Municipalidades Vs. Chile, </w:t>
      </w:r>
      <w:r w:rsidRPr="00F32643">
        <w:rPr>
          <w:iCs/>
          <w:color w:val="000000" w:themeColor="text1"/>
          <w:szCs w:val="20"/>
          <w:lang w:val="es-CR"/>
        </w:rPr>
        <w:t xml:space="preserve">respecto a los mecanismos aplicables para la búsqueda de herederos de los derechohabientes, presentada por el Estado, en los términos </w:t>
      </w:r>
      <w:r w:rsidR="00635630" w:rsidRPr="00F32643">
        <w:rPr>
          <w:iCs/>
          <w:color w:val="000000" w:themeColor="text1"/>
          <w:szCs w:val="20"/>
          <w:lang w:val="es-CR"/>
        </w:rPr>
        <w:t>de los párrafos 4</w:t>
      </w:r>
      <w:r w:rsidR="00882491" w:rsidRPr="00F32643">
        <w:rPr>
          <w:iCs/>
          <w:color w:val="000000" w:themeColor="text1"/>
          <w:szCs w:val="20"/>
          <w:lang w:val="es-CR"/>
        </w:rPr>
        <w:t>4</w:t>
      </w:r>
      <w:r w:rsidR="00635630" w:rsidRPr="00F32643">
        <w:rPr>
          <w:iCs/>
          <w:color w:val="000000" w:themeColor="text1"/>
          <w:szCs w:val="20"/>
          <w:lang w:val="es-CR"/>
        </w:rPr>
        <w:t xml:space="preserve"> y 4</w:t>
      </w:r>
      <w:r w:rsidR="00882491" w:rsidRPr="00F32643">
        <w:rPr>
          <w:iCs/>
          <w:color w:val="000000" w:themeColor="text1"/>
          <w:szCs w:val="20"/>
          <w:lang w:val="es-CR"/>
        </w:rPr>
        <w:t>5</w:t>
      </w:r>
      <w:r w:rsidRPr="00F32643">
        <w:rPr>
          <w:iCs/>
          <w:color w:val="000000" w:themeColor="text1"/>
          <w:szCs w:val="20"/>
          <w:lang w:val="es-CR"/>
        </w:rPr>
        <w:t xml:space="preserve"> de la presente Sentencia de Interpretación</w:t>
      </w:r>
      <w:r w:rsidR="00635630" w:rsidRPr="00F32643">
        <w:rPr>
          <w:iCs/>
          <w:color w:val="000000" w:themeColor="text1"/>
          <w:szCs w:val="20"/>
          <w:lang w:val="es-CR"/>
        </w:rPr>
        <w:t>.</w:t>
      </w:r>
    </w:p>
    <w:p w14:paraId="051E1002" w14:textId="77777777" w:rsidR="00F54452" w:rsidRPr="00F32643" w:rsidRDefault="00F54452" w:rsidP="00F54452">
      <w:pPr>
        <w:pStyle w:val="Prrafodelista"/>
        <w:rPr>
          <w:color w:val="000000" w:themeColor="text1"/>
          <w:szCs w:val="20"/>
          <w:lang w:val="es-CR"/>
        </w:rPr>
      </w:pPr>
    </w:p>
    <w:p w14:paraId="539E9099" w14:textId="23F3BCA5" w:rsidR="00F54452" w:rsidRPr="00F32643" w:rsidRDefault="00F54452" w:rsidP="00635630">
      <w:pPr>
        <w:pStyle w:val="Prrafodelista"/>
        <w:numPr>
          <w:ilvl w:val="0"/>
          <w:numId w:val="4"/>
        </w:numPr>
        <w:tabs>
          <w:tab w:val="left" w:pos="567"/>
        </w:tabs>
        <w:ind w:left="0" w:firstLine="0"/>
        <w:contextualSpacing w:val="0"/>
        <w:rPr>
          <w:color w:val="000000" w:themeColor="text1"/>
          <w:szCs w:val="20"/>
          <w:lang w:val="es-CR"/>
        </w:rPr>
      </w:pPr>
      <w:r w:rsidRPr="00F32643">
        <w:rPr>
          <w:color w:val="000000" w:themeColor="text1"/>
          <w:szCs w:val="20"/>
          <w:lang w:val="es-CR"/>
        </w:rPr>
        <w:t xml:space="preserve">Aclarar, por medio de Interpretación, la Sentencia de Excepción Preliminar, </w:t>
      </w:r>
      <w:r w:rsidR="00130E83" w:rsidRPr="00F32643">
        <w:rPr>
          <w:color w:val="000000" w:themeColor="text1"/>
          <w:szCs w:val="20"/>
          <w:lang w:val="es-CR"/>
        </w:rPr>
        <w:t>Fondo, Reparaciones</w:t>
      </w:r>
      <w:r w:rsidR="00603C52" w:rsidRPr="00F32643">
        <w:rPr>
          <w:color w:val="000000" w:themeColor="text1"/>
          <w:szCs w:val="20"/>
          <w:lang w:val="es-CR"/>
        </w:rPr>
        <w:t xml:space="preserve"> y Costas</w:t>
      </w:r>
      <w:r w:rsidRPr="00F32643">
        <w:rPr>
          <w:color w:val="000000" w:themeColor="text1"/>
          <w:szCs w:val="20"/>
          <w:lang w:val="es-CR"/>
        </w:rPr>
        <w:t xml:space="preserve"> en el caso </w:t>
      </w:r>
      <w:r w:rsidRPr="00F32643">
        <w:rPr>
          <w:i/>
          <w:color w:val="000000" w:themeColor="text1"/>
          <w:szCs w:val="20"/>
          <w:lang w:val="es-CR"/>
        </w:rPr>
        <w:t xml:space="preserve">Profesores de Chañaral y otras Municipalidades Vs. Chile, </w:t>
      </w:r>
      <w:r w:rsidRPr="00F32643">
        <w:rPr>
          <w:iCs/>
          <w:color w:val="000000" w:themeColor="text1"/>
          <w:szCs w:val="20"/>
          <w:lang w:val="es-CR"/>
        </w:rPr>
        <w:t>respecto a la utilización de la expresión “operadores judiciales”</w:t>
      </w:r>
      <w:r w:rsidR="00603C52" w:rsidRPr="00F32643">
        <w:rPr>
          <w:iCs/>
          <w:color w:val="000000" w:themeColor="text1"/>
          <w:szCs w:val="20"/>
          <w:lang w:val="es-CR"/>
        </w:rPr>
        <w:t>,</w:t>
      </w:r>
      <w:r w:rsidRPr="00F32643">
        <w:rPr>
          <w:i/>
          <w:color w:val="000000" w:themeColor="text1"/>
          <w:szCs w:val="20"/>
          <w:lang w:val="es-CR"/>
        </w:rPr>
        <w:t xml:space="preserve"> </w:t>
      </w:r>
      <w:r w:rsidRPr="00F32643">
        <w:rPr>
          <w:color w:val="000000" w:themeColor="text1"/>
          <w:szCs w:val="20"/>
          <w:lang w:val="es-CR"/>
        </w:rPr>
        <w:t xml:space="preserve">en los términos </w:t>
      </w:r>
      <w:r w:rsidR="003326E4" w:rsidRPr="00F32643">
        <w:rPr>
          <w:color w:val="000000" w:themeColor="text1"/>
          <w:szCs w:val="20"/>
          <w:lang w:val="es-CR"/>
        </w:rPr>
        <w:t xml:space="preserve">de los párrafos </w:t>
      </w:r>
      <w:r w:rsidR="001F08C8" w:rsidRPr="00F32643">
        <w:rPr>
          <w:color w:val="000000" w:themeColor="text1"/>
          <w:szCs w:val="20"/>
          <w:lang w:val="es-CR"/>
        </w:rPr>
        <w:t xml:space="preserve">50 </w:t>
      </w:r>
      <w:r w:rsidR="0019669B" w:rsidRPr="00F32643">
        <w:rPr>
          <w:color w:val="000000" w:themeColor="text1"/>
          <w:szCs w:val="20"/>
          <w:lang w:val="es-CR"/>
        </w:rPr>
        <w:t>y</w:t>
      </w:r>
      <w:r w:rsidR="001F08C8" w:rsidRPr="00F32643">
        <w:rPr>
          <w:color w:val="000000" w:themeColor="text1"/>
          <w:szCs w:val="20"/>
          <w:lang w:val="es-CR"/>
        </w:rPr>
        <w:t xml:space="preserve"> 52</w:t>
      </w:r>
      <w:r w:rsidRPr="00F32643">
        <w:rPr>
          <w:color w:val="000000" w:themeColor="text1"/>
          <w:szCs w:val="20"/>
          <w:lang w:val="es-CR"/>
        </w:rPr>
        <w:t xml:space="preserve"> de la presente Sentencia de Interpretación.</w:t>
      </w:r>
    </w:p>
    <w:p w14:paraId="6B6E2370" w14:textId="77777777" w:rsidR="008211CB" w:rsidRPr="00F32643" w:rsidRDefault="008211CB" w:rsidP="008211CB">
      <w:pPr>
        <w:pStyle w:val="Prrafodelista"/>
        <w:rPr>
          <w:color w:val="000000" w:themeColor="text1"/>
          <w:szCs w:val="20"/>
          <w:lang w:val="es-CR"/>
        </w:rPr>
      </w:pPr>
    </w:p>
    <w:p w14:paraId="48FEA0DD" w14:textId="43883BF6" w:rsidR="008211CB" w:rsidRPr="00F32643" w:rsidRDefault="008211CB" w:rsidP="008211CB">
      <w:pPr>
        <w:pStyle w:val="Prrafodelista"/>
        <w:numPr>
          <w:ilvl w:val="0"/>
          <w:numId w:val="4"/>
        </w:numPr>
        <w:tabs>
          <w:tab w:val="left" w:pos="567"/>
        </w:tabs>
        <w:ind w:left="0" w:firstLine="0"/>
        <w:contextualSpacing w:val="0"/>
        <w:rPr>
          <w:color w:val="000000" w:themeColor="text1"/>
          <w:szCs w:val="20"/>
          <w:lang w:val="es-CR"/>
        </w:rPr>
      </w:pPr>
      <w:r w:rsidRPr="00F32643">
        <w:rPr>
          <w:color w:val="000000" w:themeColor="text1"/>
          <w:szCs w:val="20"/>
          <w:lang w:val="es-CR"/>
        </w:rPr>
        <w:t>Desestimar por improcedente la solicitud de interpretación de la Sentencia de Excepción Preliminar, Fondo</w:t>
      </w:r>
      <w:r w:rsidR="00603C52" w:rsidRPr="00F32643">
        <w:rPr>
          <w:color w:val="000000" w:themeColor="text1"/>
          <w:szCs w:val="20"/>
          <w:lang w:val="es-CR"/>
        </w:rPr>
        <w:t>,</w:t>
      </w:r>
      <w:r w:rsidRPr="00F32643">
        <w:rPr>
          <w:color w:val="000000" w:themeColor="text1"/>
          <w:szCs w:val="20"/>
          <w:lang w:val="es-CR"/>
        </w:rPr>
        <w:t xml:space="preserve"> Reparaciones </w:t>
      </w:r>
      <w:r w:rsidR="00603C52" w:rsidRPr="00F32643">
        <w:rPr>
          <w:color w:val="000000" w:themeColor="text1"/>
          <w:szCs w:val="20"/>
          <w:lang w:val="es-CR"/>
        </w:rPr>
        <w:t xml:space="preserve">y Costas </w:t>
      </w:r>
      <w:r w:rsidRPr="00F32643">
        <w:rPr>
          <w:color w:val="000000" w:themeColor="text1"/>
          <w:szCs w:val="20"/>
          <w:lang w:val="es-CR"/>
        </w:rPr>
        <w:t xml:space="preserve">en el caso </w:t>
      </w:r>
      <w:r w:rsidRPr="00F32643">
        <w:rPr>
          <w:i/>
          <w:color w:val="000000" w:themeColor="text1"/>
          <w:szCs w:val="20"/>
          <w:lang w:val="es-CR"/>
        </w:rPr>
        <w:t xml:space="preserve">Profesores de Chañaral y otras Municipalidades Vs. Chile, </w:t>
      </w:r>
      <w:r w:rsidRPr="00F32643">
        <w:rPr>
          <w:iCs/>
          <w:color w:val="000000" w:themeColor="text1"/>
          <w:szCs w:val="20"/>
          <w:lang w:val="es-CR"/>
        </w:rPr>
        <w:t xml:space="preserve">respecto a las capacitaciones efectuadas a jueces y juezas en el ámbito interno, presentada por el Estado, en los términos del párrafo </w:t>
      </w:r>
      <w:r w:rsidR="001F4A44" w:rsidRPr="00F32643">
        <w:rPr>
          <w:iCs/>
          <w:color w:val="000000" w:themeColor="text1"/>
          <w:szCs w:val="20"/>
          <w:lang w:val="es-CR"/>
        </w:rPr>
        <w:t>51</w:t>
      </w:r>
      <w:r w:rsidRPr="00F32643">
        <w:rPr>
          <w:iCs/>
          <w:color w:val="000000" w:themeColor="text1"/>
          <w:szCs w:val="20"/>
          <w:lang w:val="es-CR"/>
        </w:rPr>
        <w:t xml:space="preserve"> de la presente Sentencia de Interpretación.</w:t>
      </w:r>
    </w:p>
    <w:p w14:paraId="1FA3BE31" w14:textId="77777777" w:rsidR="001003AC" w:rsidRPr="00F32643" w:rsidRDefault="001003AC" w:rsidP="001003AC">
      <w:pPr>
        <w:pStyle w:val="Prrafodelista"/>
        <w:tabs>
          <w:tab w:val="left" w:pos="567"/>
        </w:tabs>
        <w:ind w:left="0"/>
        <w:contextualSpacing w:val="0"/>
        <w:rPr>
          <w:color w:val="000000" w:themeColor="text1"/>
          <w:szCs w:val="20"/>
          <w:lang w:val="es-CR"/>
        </w:rPr>
      </w:pPr>
    </w:p>
    <w:p w14:paraId="67C42654" w14:textId="5519DA43" w:rsidR="001003AC" w:rsidRPr="00F32643" w:rsidRDefault="001003AC" w:rsidP="001003AC">
      <w:pPr>
        <w:pStyle w:val="Prrafodelista"/>
        <w:numPr>
          <w:ilvl w:val="0"/>
          <w:numId w:val="4"/>
        </w:numPr>
        <w:tabs>
          <w:tab w:val="left" w:pos="567"/>
        </w:tabs>
        <w:ind w:left="0" w:firstLine="0"/>
        <w:contextualSpacing w:val="0"/>
        <w:rPr>
          <w:color w:val="000000" w:themeColor="text1"/>
          <w:szCs w:val="20"/>
          <w:lang w:val="es-CR"/>
        </w:rPr>
      </w:pPr>
      <w:r w:rsidRPr="00F32643">
        <w:rPr>
          <w:color w:val="000000" w:themeColor="text1"/>
          <w:szCs w:val="20"/>
          <w:lang w:val="es-CR"/>
        </w:rPr>
        <w:t xml:space="preserve">Disponer que la Secretaría de la Corte notifique la presente Sentencia de Interpretación a la República de </w:t>
      </w:r>
      <w:r w:rsidR="004A12CB" w:rsidRPr="00F32643">
        <w:rPr>
          <w:color w:val="000000" w:themeColor="text1"/>
          <w:szCs w:val="20"/>
          <w:lang w:val="es-CR"/>
        </w:rPr>
        <w:t>Chile</w:t>
      </w:r>
      <w:r w:rsidRPr="00F32643">
        <w:rPr>
          <w:color w:val="000000" w:themeColor="text1"/>
          <w:szCs w:val="20"/>
          <w:lang w:val="es-CR"/>
        </w:rPr>
        <w:t>, a los representantes de la</w:t>
      </w:r>
      <w:r w:rsidR="004A12CB" w:rsidRPr="00F32643">
        <w:rPr>
          <w:color w:val="000000" w:themeColor="text1"/>
          <w:szCs w:val="20"/>
          <w:lang w:val="es-CR"/>
        </w:rPr>
        <w:t>s</w:t>
      </w:r>
      <w:r w:rsidRPr="00F32643">
        <w:rPr>
          <w:color w:val="000000" w:themeColor="text1"/>
          <w:szCs w:val="20"/>
          <w:lang w:val="es-CR"/>
        </w:rPr>
        <w:t xml:space="preserve"> víctima</w:t>
      </w:r>
      <w:r w:rsidR="004A12CB" w:rsidRPr="00F32643">
        <w:rPr>
          <w:color w:val="000000" w:themeColor="text1"/>
          <w:szCs w:val="20"/>
          <w:lang w:val="es-CR"/>
        </w:rPr>
        <w:t>s</w:t>
      </w:r>
      <w:r w:rsidRPr="00F32643">
        <w:rPr>
          <w:color w:val="000000" w:themeColor="text1"/>
          <w:szCs w:val="20"/>
          <w:lang w:val="es-CR"/>
        </w:rPr>
        <w:t xml:space="preserve"> y a la Comisión Interamericana de Derechos Humanos.</w:t>
      </w:r>
    </w:p>
    <w:p w14:paraId="6AFF5E1F" w14:textId="77777777" w:rsidR="001003AC" w:rsidRPr="00130E83" w:rsidRDefault="001003AC" w:rsidP="001003AC">
      <w:pPr>
        <w:pStyle w:val="Prrafodelista"/>
        <w:tabs>
          <w:tab w:val="left" w:pos="567"/>
        </w:tabs>
        <w:ind w:left="0"/>
        <w:rPr>
          <w:bCs/>
          <w:color w:val="000000" w:themeColor="text1"/>
          <w:szCs w:val="20"/>
          <w:lang w:val="es-CR"/>
        </w:rPr>
      </w:pPr>
    </w:p>
    <w:p w14:paraId="61CAC3E5" w14:textId="6806B592" w:rsidR="001003AC" w:rsidRDefault="001003AC" w:rsidP="001003AC">
      <w:pPr>
        <w:tabs>
          <w:tab w:val="left" w:pos="567"/>
        </w:tabs>
        <w:rPr>
          <w:bCs/>
          <w:color w:val="000000" w:themeColor="text1"/>
          <w:szCs w:val="20"/>
          <w:lang w:val="es-CR"/>
        </w:rPr>
      </w:pPr>
    </w:p>
    <w:p w14:paraId="64709461" w14:textId="4DF93996" w:rsidR="00D55618" w:rsidRDefault="00D55618" w:rsidP="001003AC">
      <w:pPr>
        <w:tabs>
          <w:tab w:val="left" w:pos="567"/>
        </w:tabs>
        <w:rPr>
          <w:bCs/>
          <w:color w:val="000000" w:themeColor="text1"/>
          <w:szCs w:val="20"/>
          <w:lang w:val="es-CR"/>
        </w:rPr>
      </w:pPr>
    </w:p>
    <w:p w14:paraId="6D22FBFE" w14:textId="722A2A91" w:rsidR="00D55618" w:rsidRDefault="00D55618" w:rsidP="001003AC">
      <w:pPr>
        <w:tabs>
          <w:tab w:val="left" w:pos="567"/>
        </w:tabs>
        <w:rPr>
          <w:bCs/>
          <w:color w:val="000000" w:themeColor="text1"/>
          <w:szCs w:val="20"/>
          <w:lang w:val="es-CR"/>
        </w:rPr>
      </w:pPr>
    </w:p>
    <w:p w14:paraId="56B00113" w14:textId="39260E3E" w:rsidR="00D55618" w:rsidRDefault="00D55618" w:rsidP="001003AC">
      <w:pPr>
        <w:tabs>
          <w:tab w:val="left" w:pos="567"/>
        </w:tabs>
        <w:rPr>
          <w:bCs/>
          <w:color w:val="000000" w:themeColor="text1"/>
          <w:szCs w:val="20"/>
          <w:lang w:val="es-CR"/>
        </w:rPr>
      </w:pPr>
    </w:p>
    <w:p w14:paraId="03FD4049" w14:textId="2597E93E" w:rsidR="00D55618" w:rsidRDefault="00D55618" w:rsidP="001003AC">
      <w:pPr>
        <w:tabs>
          <w:tab w:val="left" w:pos="567"/>
        </w:tabs>
        <w:rPr>
          <w:bCs/>
          <w:color w:val="000000" w:themeColor="text1"/>
          <w:szCs w:val="20"/>
          <w:lang w:val="es-CR"/>
        </w:rPr>
      </w:pPr>
    </w:p>
    <w:p w14:paraId="4FDBB641" w14:textId="3AEBC770" w:rsidR="00D55618" w:rsidRDefault="00D55618" w:rsidP="001003AC">
      <w:pPr>
        <w:tabs>
          <w:tab w:val="left" w:pos="567"/>
        </w:tabs>
        <w:rPr>
          <w:bCs/>
          <w:color w:val="000000" w:themeColor="text1"/>
          <w:szCs w:val="20"/>
          <w:lang w:val="es-CR"/>
        </w:rPr>
      </w:pPr>
    </w:p>
    <w:p w14:paraId="024ED5C7" w14:textId="256BEEB7" w:rsidR="00D55618" w:rsidRDefault="00D55618" w:rsidP="001003AC">
      <w:pPr>
        <w:tabs>
          <w:tab w:val="left" w:pos="567"/>
        </w:tabs>
        <w:rPr>
          <w:bCs/>
          <w:color w:val="000000" w:themeColor="text1"/>
          <w:szCs w:val="20"/>
          <w:lang w:val="es-CR"/>
        </w:rPr>
      </w:pPr>
    </w:p>
    <w:p w14:paraId="38B19788" w14:textId="100F1DF7" w:rsidR="00D55618" w:rsidRDefault="00D55618" w:rsidP="001003AC">
      <w:pPr>
        <w:tabs>
          <w:tab w:val="left" w:pos="567"/>
        </w:tabs>
        <w:rPr>
          <w:bCs/>
          <w:color w:val="000000" w:themeColor="text1"/>
          <w:szCs w:val="20"/>
          <w:lang w:val="es-CR"/>
        </w:rPr>
      </w:pPr>
    </w:p>
    <w:p w14:paraId="2EFD533D" w14:textId="476F2214" w:rsidR="00D55618" w:rsidRDefault="00D55618" w:rsidP="001003AC">
      <w:pPr>
        <w:tabs>
          <w:tab w:val="left" w:pos="567"/>
        </w:tabs>
        <w:rPr>
          <w:bCs/>
          <w:color w:val="000000" w:themeColor="text1"/>
          <w:szCs w:val="20"/>
          <w:lang w:val="es-CR"/>
        </w:rPr>
      </w:pPr>
    </w:p>
    <w:p w14:paraId="0D7B27B8" w14:textId="48AF7823" w:rsidR="00D55618" w:rsidRDefault="00D55618" w:rsidP="001003AC">
      <w:pPr>
        <w:tabs>
          <w:tab w:val="left" w:pos="567"/>
        </w:tabs>
        <w:rPr>
          <w:bCs/>
          <w:color w:val="000000" w:themeColor="text1"/>
          <w:szCs w:val="20"/>
          <w:lang w:val="es-CR"/>
        </w:rPr>
      </w:pPr>
    </w:p>
    <w:p w14:paraId="0EA0BCB2" w14:textId="4773B44F" w:rsidR="00D55618" w:rsidRDefault="00D55618" w:rsidP="001003AC">
      <w:pPr>
        <w:tabs>
          <w:tab w:val="left" w:pos="567"/>
        </w:tabs>
        <w:rPr>
          <w:bCs/>
          <w:color w:val="000000" w:themeColor="text1"/>
          <w:szCs w:val="20"/>
          <w:lang w:val="es-CR"/>
        </w:rPr>
      </w:pPr>
    </w:p>
    <w:p w14:paraId="3CD904A7" w14:textId="6C945F38" w:rsidR="00D55618" w:rsidRDefault="00D55618" w:rsidP="001003AC">
      <w:pPr>
        <w:tabs>
          <w:tab w:val="left" w:pos="567"/>
        </w:tabs>
        <w:rPr>
          <w:bCs/>
          <w:color w:val="000000" w:themeColor="text1"/>
          <w:szCs w:val="20"/>
          <w:lang w:val="es-CR"/>
        </w:rPr>
      </w:pPr>
    </w:p>
    <w:p w14:paraId="1315DE68" w14:textId="49020762" w:rsidR="00D55618" w:rsidRDefault="00D55618" w:rsidP="001003AC">
      <w:pPr>
        <w:tabs>
          <w:tab w:val="left" w:pos="567"/>
        </w:tabs>
        <w:rPr>
          <w:bCs/>
          <w:color w:val="000000" w:themeColor="text1"/>
          <w:szCs w:val="20"/>
          <w:lang w:val="es-CR"/>
        </w:rPr>
      </w:pPr>
    </w:p>
    <w:p w14:paraId="6DE21F01" w14:textId="16CC527E" w:rsidR="00D55618" w:rsidRDefault="00D55618" w:rsidP="001003AC">
      <w:pPr>
        <w:tabs>
          <w:tab w:val="left" w:pos="567"/>
        </w:tabs>
        <w:rPr>
          <w:bCs/>
          <w:color w:val="000000" w:themeColor="text1"/>
          <w:szCs w:val="20"/>
          <w:lang w:val="es-CR"/>
        </w:rPr>
      </w:pPr>
    </w:p>
    <w:p w14:paraId="37855941" w14:textId="11BDF645" w:rsidR="00D55618" w:rsidRDefault="00D55618" w:rsidP="001003AC">
      <w:pPr>
        <w:tabs>
          <w:tab w:val="left" w:pos="567"/>
        </w:tabs>
        <w:rPr>
          <w:bCs/>
          <w:color w:val="000000" w:themeColor="text1"/>
          <w:szCs w:val="20"/>
          <w:lang w:val="es-CR"/>
        </w:rPr>
      </w:pPr>
    </w:p>
    <w:p w14:paraId="3F9D7EDF" w14:textId="181907A2" w:rsidR="00D55618" w:rsidRDefault="00D55618" w:rsidP="001003AC">
      <w:pPr>
        <w:tabs>
          <w:tab w:val="left" w:pos="567"/>
        </w:tabs>
        <w:rPr>
          <w:bCs/>
          <w:color w:val="000000" w:themeColor="text1"/>
          <w:szCs w:val="20"/>
          <w:lang w:val="es-CR"/>
        </w:rPr>
      </w:pPr>
    </w:p>
    <w:p w14:paraId="1346846E" w14:textId="13533ABE" w:rsidR="00D55618" w:rsidRDefault="00D55618" w:rsidP="001003AC">
      <w:pPr>
        <w:tabs>
          <w:tab w:val="left" w:pos="567"/>
        </w:tabs>
        <w:rPr>
          <w:bCs/>
          <w:color w:val="000000" w:themeColor="text1"/>
          <w:szCs w:val="20"/>
          <w:lang w:val="es-CR"/>
        </w:rPr>
      </w:pPr>
    </w:p>
    <w:p w14:paraId="7B014923" w14:textId="7B5FB3CE" w:rsidR="00D55618" w:rsidRDefault="00D55618" w:rsidP="001003AC">
      <w:pPr>
        <w:tabs>
          <w:tab w:val="left" w:pos="567"/>
        </w:tabs>
        <w:rPr>
          <w:bCs/>
          <w:color w:val="000000" w:themeColor="text1"/>
          <w:szCs w:val="20"/>
          <w:lang w:val="es-CR"/>
        </w:rPr>
      </w:pPr>
    </w:p>
    <w:p w14:paraId="2181DBDA" w14:textId="0DDBF0F9" w:rsidR="00D55618" w:rsidRDefault="00D55618" w:rsidP="001003AC">
      <w:pPr>
        <w:tabs>
          <w:tab w:val="left" w:pos="567"/>
        </w:tabs>
        <w:rPr>
          <w:bCs/>
          <w:color w:val="000000" w:themeColor="text1"/>
          <w:szCs w:val="20"/>
          <w:lang w:val="es-CR"/>
        </w:rPr>
      </w:pPr>
    </w:p>
    <w:p w14:paraId="49B82B77" w14:textId="3968581C" w:rsidR="00D55618" w:rsidRDefault="00D55618" w:rsidP="001003AC">
      <w:pPr>
        <w:tabs>
          <w:tab w:val="left" w:pos="567"/>
        </w:tabs>
        <w:rPr>
          <w:bCs/>
          <w:color w:val="000000" w:themeColor="text1"/>
          <w:szCs w:val="20"/>
          <w:lang w:val="es-CR"/>
        </w:rPr>
      </w:pPr>
    </w:p>
    <w:p w14:paraId="730908E1" w14:textId="3CA6905B" w:rsidR="00D55618" w:rsidRDefault="00D55618" w:rsidP="001003AC">
      <w:pPr>
        <w:tabs>
          <w:tab w:val="left" w:pos="567"/>
        </w:tabs>
        <w:rPr>
          <w:bCs/>
          <w:color w:val="000000" w:themeColor="text1"/>
          <w:szCs w:val="20"/>
          <w:lang w:val="es-CR"/>
        </w:rPr>
      </w:pPr>
    </w:p>
    <w:p w14:paraId="5CFCCD32" w14:textId="6958E4B5" w:rsidR="00D55618" w:rsidRDefault="00D55618" w:rsidP="001003AC">
      <w:pPr>
        <w:tabs>
          <w:tab w:val="left" w:pos="567"/>
        </w:tabs>
        <w:rPr>
          <w:bCs/>
          <w:color w:val="000000" w:themeColor="text1"/>
          <w:szCs w:val="20"/>
          <w:lang w:val="es-CR"/>
        </w:rPr>
      </w:pPr>
    </w:p>
    <w:p w14:paraId="124AE307" w14:textId="5DF42CE7" w:rsidR="00D55618" w:rsidRDefault="00D55618" w:rsidP="001003AC">
      <w:pPr>
        <w:tabs>
          <w:tab w:val="left" w:pos="567"/>
        </w:tabs>
        <w:rPr>
          <w:bCs/>
          <w:color w:val="000000" w:themeColor="text1"/>
          <w:szCs w:val="20"/>
          <w:lang w:val="es-CR"/>
        </w:rPr>
      </w:pPr>
    </w:p>
    <w:p w14:paraId="7B6B7DF2" w14:textId="65CB998F" w:rsidR="00D55618" w:rsidRDefault="00D55618" w:rsidP="001003AC">
      <w:pPr>
        <w:tabs>
          <w:tab w:val="left" w:pos="567"/>
        </w:tabs>
        <w:rPr>
          <w:bCs/>
          <w:color w:val="000000" w:themeColor="text1"/>
          <w:szCs w:val="20"/>
          <w:lang w:val="es-CR"/>
        </w:rPr>
      </w:pPr>
    </w:p>
    <w:p w14:paraId="4ECEEB79" w14:textId="732C69B4" w:rsidR="00D55618" w:rsidRDefault="00D55618" w:rsidP="001003AC">
      <w:pPr>
        <w:tabs>
          <w:tab w:val="left" w:pos="567"/>
        </w:tabs>
        <w:rPr>
          <w:bCs/>
          <w:color w:val="000000" w:themeColor="text1"/>
          <w:szCs w:val="20"/>
          <w:lang w:val="es-CR"/>
        </w:rPr>
      </w:pPr>
    </w:p>
    <w:p w14:paraId="09E01C0D" w14:textId="75A0C35C" w:rsidR="00D55618" w:rsidRDefault="00D55618" w:rsidP="001003AC">
      <w:pPr>
        <w:tabs>
          <w:tab w:val="left" w:pos="567"/>
        </w:tabs>
        <w:rPr>
          <w:bCs/>
          <w:color w:val="000000" w:themeColor="text1"/>
          <w:szCs w:val="20"/>
          <w:lang w:val="es-CR"/>
        </w:rPr>
      </w:pPr>
    </w:p>
    <w:p w14:paraId="337399CF" w14:textId="74E05790" w:rsidR="00D55618" w:rsidRDefault="00D55618" w:rsidP="001003AC">
      <w:pPr>
        <w:tabs>
          <w:tab w:val="left" w:pos="567"/>
        </w:tabs>
        <w:rPr>
          <w:bCs/>
          <w:color w:val="000000" w:themeColor="text1"/>
          <w:szCs w:val="20"/>
          <w:lang w:val="es-CR"/>
        </w:rPr>
      </w:pPr>
    </w:p>
    <w:p w14:paraId="5D8C2672" w14:textId="64ABDC6C" w:rsidR="00D55618" w:rsidRDefault="00D55618" w:rsidP="001003AC">
      <w:pPr>
        <w:tabs>
          <w:tab w:val="left" w:pos="567"/>
        </w:tabs>
        <w:rPr>
          <w:bCs/>
          <w:color w:val="000000" w:themeColor="text1"/>
          <w:szCs w:val="20"/>
          <w:lang w:val="es-CR"/>
        </w:rPr>
      </w:pPr>
    </w:p>
    <w:p w14:paraId="3034027D" w14:textId="5650346C" w:rsidR="00D55618" w:rsidRDefault="00D55618" w:rsidP="001003AC">
      <w:pPr>
        <w:tabs>
          <w:tab w:val="left" w:pos="567"/>
        </w:tabs>
        <w:rPr>
          <w:bCs/>
          <w:color w:val="000000" w:themeColor="text1"/>
          <w:szCs w:val="20"/>
          <w:lang w:val="es-CR"/>
        </w:rPr>
      </w:pPr>
    </w:p>
    <w:p w14:paraId="5DF80A38" w14:textId="0FACF145" w:rsidR="00D55618" w:rsidRDefault="00D55618" w:rsidP="001003AC">
      <w:pPr>
        <w:tabs>
          <w:tab w:val="left" w:pos="567"/>
        </w:tabs>
        <w:rPr>
          <w:bCs/>
          <w:color w:val="000000" w:themeColor="text1"/>
          <w:szCs w:val="20"/>
          <w:lang w:val="es-CR"/>
        </w:rPr>
      </w:pPr>
    </w:p>
    <w:p w14:paraId="78B09F42" w14:textId="2ADA93D9" w:rsidR="00D55618" w:rsidRDefault="00D55618" w:rsidP="001003AC">
      <w:pPr>
        <w:tabs>
          <w:tab w:val="left" w:pos="567"/>
        </w:tabs>
        <w:rPr>
          <w:bCs/>
          <w:color w:val="000000" w:themeColor="text1"/>
          <w:szCs w:val="20"/>
          <w:lang w:val="es-CR"/>
        </w:rPr>
      </w:pPr>
    </w:p>
    <w:p w14:paraId="1E66C2D3" w14:textId="674CEE12" w:rsidR="00D55618" w:rsidRDefault="00D55618" w:rsidP="001003AC">
      <w:pPr>
        <w:tabs>
          <w:tab w:val="left" w:pos="567"/>
        </w:tabs>
        <w:rPr>
          <w:bCs/>
          <w:color w:val="000000" w:themeColor="text1"/>
          <w:szCs w:val="20"/>
          <w:lang w:val="es-CR"/>
        </w:rPr>
      </w:pPr>
    </w:p>
    <w:p w14:paraId="712DDF75" w14:textId="4349E2F1" w:rsidR="00D55618" w:rsidRPr="00D55618" w:rsidRDefault="00D55618" w:rsidP="00D55618">
      <w:pPr>
        <w:ind w:left="118" w:right="116"/>
        <w:rPr>
          <w:szCs w:val="20"/>
          <w:lang w:val="es-CO"/>
        </w:rPr>
      </w:pPr>
      <w:r w:rsidRPr="00D55618">
        <w:rPr>
          <w:szCs w:val="20"/>
          <w:lang w:val="es-CO"/>
        </w:rPr>
        <w:lastRenderedPageBreak/>
        <w:t xml:space="preserve">Corte IDH. </w:t>
      </w:r>
      <w:r w:rsidRPr="00D55618">
        <w:rPr>
          <w:i/>
          <w:szCs w:val="20"/>
          <w:lang w:val="es-CO"/>
        </w:rPr>
        <w:t xml:space="preserve">Caso Profesores de Chañaral y otras Municipalidades Vs. Chile. </w:t>
      </w:r>
      <w:r w:rsidRPr="00D55618">
        <w:rPr>
          <w:iCs/>
          <w:szCs w:val="20"/>
          <w:lang w:val="es-CO"/>
        </w:rPr>
        <w:t>Interpretación de la Sentencia de Excepción Preliminar</w:t>
      </w:r>
      <w:r w:rsidRPr="00D55618">
        <w:rPr>
          <w:szCs w:val="20"/>
          <w:lang w:val="es-CO"/>
        </w:rPr>
        <w:t>, Fondo, Reparaciones y Costas</w:t>
      </w:r>
      <w:r w:rsidRPr="00D55618">
        <w:rPr>
          <w:i/>
          <w:szCs w:val="20"/>
          <w:lang w:val="es-CO"/>
        </w:rPr>
        <w:t xml:space="preserve">. </w:t>
      </w:r>
      <w:r w:rsidRPr="00D55618">
        <w:rPr>
          <w:szCs w:val="20"/>
          <w:lang w:val="es-CO"/>
        </w:rPr>
        <w:t>Sentencia de 27 de julio de 2022. Sentencia adoptada en San José, Costa Rica por medio de sesión virtual.</w:t>
      </w:r>
    </w:p>
    <w:p w14:paraId="07E2777B" w14:textId="77777777" w:rsidR="00D55618" w:rsidRPr="00D55618" w:rsidRDefault="00D55618" w:rsidP="00D55618">
      <w:pPr>
        <w:rPr>
          <w:szCs w:val="20"/>
          <w:lang w:val="es-CO"/>
        </w:rPr>
      </w:pPr>
    </w:p>
    <w:p w14:paraId="160E536C" w14:textId="77777777" w:rsidR="00D55618" w:rsidRPr="00D55618" w:rsidRDefault="00D55618" w:rsidP="00D55618">
      <w:pPr>
        <w:rPr>
          <w:szCs w:val="20"/>
          <w:lang w:val="es-CO"/>
        </w:rPr>
      </w:pPr>
    </w:p>
    <w:p w14:paraId="3EA31061" w14:textId="77777777" w:rsidR="00D55618" w:rsidRPr="00D55618" w:rsidRDefault="00D55618" w:rsidP="00D55618">
      <w:pPr>
        <w:rPr>
          <w:szCs w:val="20"/>
          <w:lang w:val="es-CO"/>
        </w:rPr>
      </w:pPr>
    </w:p>
    <w:p w14:paraId="10B83148" w14:textId="77777777" w:rsidR="00D55618" w:rsidRPr="00D55618" w:rsidRDefault="00D55618" w:rsidP="00D55618">
      <w:pPr>
        <w:rPr>
          <w:szCs w:val="20"/>
          <w:lang w:val="es-CO"/>
        </w:rPr>
      </w:pPr>
    </w:p>
    <w:p w14:paraId="05475B0C" w14:textId="77777777" w:rsidR="00D55618" w:rsidRPr="00D55618" w:rsidRDefault="00D55618" w:rsidP="00D55618">
      <w:pPr>
        <w:rPr>
          <w:szCs w:val="20"/>
          <w:lang w:val="es-CO"/>
        </w:rPr>
      </w:pPr>
    </w:p>
    <w:p w14:paraId="1D7C7E34" w14:textId="77777777" w:rsidR="00D55618" w:rsidRPr="00D55618" w:rsidRDefault="00D55618" w:rsidP="00D55618">
      <w:pPr>
        <w:ind w:left="2832" w:right="3450"/>
        <w:jc w:val="center"/>
        <w:rPr>
          <w:szCs w:val="20"/>
          <w:lang w:val="es-CR"/>
        </w:rPr>
      </w:pPr>
      <w:r w:rsidRPr="00D55618">
        <w:rPr>
          <w:szCs w:val="20"/>
          <w:lang w:val="es-CR"/>
        </w:rPr>
        <w:t>L. Patricio</w:t>
      </w:r>
      <w:r w:rsidRPr="00D55618">
        <w:rPr>
          <w:spacing w:val="-6"/>
          <w:szCs w:val="20"/>
          <w:lang w:val="es-CR"/>
        </w:rPr>
        <w:t xml:space="preserve"> </w:t>
      </w:r>
      <w:r w:rsidRPr="00D55618">
        <w:rPr>
          <w:szCs w:val="20"/>
          <w:lang w:val="es-CR"/>
        </w:rPr>
        <w:t>Pazmiño</w:t>
      </w:r>
      <w:r w:rsidRPr="00D55618">
        <w:rPr>
          <w:spacing w:val="-3"/>
          <w:szCs w:val="20"/>
          <w:lang w:val="es-CR"/>
        </w:rPr>
        <w:t xml:space="preserve"> </w:t>
      </w:r>
      <w:r w:rsidRPr="00D55618">
        <w:rPr>
          <w:szCs w:val="20"/>
          <w:lang w:val="es-CR"/>
        </w:rPr>
        <w:t>Freire</w:t>
      </w:r>
    </w:p>
    <w:p w14:paraId="4C025620" w14:textId="0494081A" w:rsidR="00D55618" w:rsidRPr="00D55618" w:rsidRDefault="00D55618" w:rsidP="00D55618">
      <w:pPr>
        <w:ind w:left="2832" w:right="3450"/>
        <w:jc w:val="center"/>
        <w:rPr>
          <w:szCs w:val="20"/>
          <w:lang w:val="es-CR"/>
        </w:rPr>
      </w:pPr>
      <w:r w:rsidRPr="00D55618">
        <w:rPr>
          <w:szCs w:val="20"/>
          <w:lang w:val="es-CR"/>
        </w:rPr>
        <w:t>Presidente en ejercicio</w:t>
      </w:r>
    </w:p>
    <w:p w14:paraId="10AEDD2C" w14:textId="3E078B09" w:rsidR="00D55618" w:rsidRPr="00D55618" w:rsidRDefault="00D55618" w:rsidP="00D55618">
      <w:pPr>
        <w:rPr>
          <w:szCs w:val="20"/>
          <w:lang w:val="es-CR"/>
        </w:rPr>
      </w:pPr>
    </w:p>
    <w:p w14:paraId="1F67A8C5" w14:textId="77777777" w:rsidR="00D55618" w:rsidRPr="00D55618" w:rsidRDefault="00D55618" w:rsidP="00D55618">
      <w:pPr>
        <w:rPr>
          <w:szCs w:val="20"/>
          <w:lang w:val="es-CR"/>
        </w:rPr>
      </w:pPr>
    </w:p>
    <w:p w14:paraId="66C2417D" w14:textId="77777777" w:rsidR="00D55618" w:rsidRPr="00D55618" w:rsidRDefault="00D55618" w:rsidP="00D55618">
      <w:pPr>
        <w:rPr>
          <w:szCs w:val="20"/>
          <w:lang w:val="es-CR"/>
        </w:rPr>
      </w:pPr>
    </w:p>
    <w:p w14:paraId="455753E4" w14:textId="77777777" w:rsidR="00D55618" w:rsidRPr="00D55618" w:rsidRDefault="00D55618" w:rsidP="00D55618">
      <w:pPr>
        <w:rPr>
          <w:szCs w:val="20"/>
          <w:lang w:val="es-CR"/>
        </w:rPr>
      </w:pPr>
    </w:p>
    <w:p w14:paraId="423A38DB" w14:textId="77777777" w:rsidR="00D55618" w:rsidRPr="00D55618" w:rsidRDefault="00D55618" w:rsidP="00D55618">
      <w:pPr>
        <w:rPr>
          <w:szCs w:val="20"/>
          <w:lang w:val="es-CR"/>
        </w:rPr>
      </w:pPr>
    </w:p>
    <w:p w14:paraId="4EA3FA08" w14:textId="77777777" w:rsidR="00D55618" w:rsidRPr="00D55618" w:rsidRDefault="00D55618" w:rsidP="00D55618">
      <w:pPr>
        <w:tabs>
          <w:tab w:val="left" w:pos="5851"/>
        </w:tabs>
        <w:rPr>
          <w:szCs w:val="20"/>
          <w:lang w:val="pt-BR"/>
        </w:rPr>
      </w:pPr>
      <w:r w:rsidRPr="00D55618">
        <w:rPr>
          <w:szCs w:val="20"/>
          <w:lang w:val="pt-BR"/>
        </w:rPr>
        <w:t>Humberto Antonio Sierra Porto                                    Eduardo Ferrer Mac-Gregor Poisot</w:t>
      </w:r>
    </w:p>
    <w:p w14:paraId="03BBE1E5" w14:textId="071CD96A" w:rsidR="00D55618" w:rsidRPr="00D55618" w:rsidRDefault="00D55618" w:rsidP="00D55618">
      <w:pPr>
        <w:rPr>
          <w:szCs w:val="20"/>
          <w:lang w:val="pt-BR"/>
        </w:rPr>
      </w:pPr>
    </w:p>
    <w:p w14:paraId="59D5D1A0" w14:textId="426DBDF3" w:rsidR="00D55618" w:rsidRPr="00D55618" w:rsidRDefault="00D55618" w:rsidP="00D55618">
      <w:pPr>
        <w:rPr>
          <w:szCs w:val="20"/>
          <w:lang w:val="pt-BR"/>
        </w:rPr>
      </w:pPr>
    </w:p>
    <w:p w14:paraId="7AD7D33E" w14:textId="77777777" w:rsidR="00D55618" w:rsidRPr="00D55618" w:rsidRDefault="00D55618" w:rsidP="00D55618">
      <w:pPr>
        <w:rPr>
          <w:szCs w:val="20"/>
          <w:lang w:val="pt-BR"/>
        </w:rPr>
      </w:pPr>
    </w:p>
    <w:p w14:paraId="44CFF5D9" w14:textId="77777777" w:rsidR="00D55618" w:rsidRPr="00D55618" w:rsidRDefault="00D55618" w:rsidP="00D55618">
      <w:pPr>
        <w:rPr>
          <w:szCs w:val="20"/>
          <w:lang w:val="pt-BR"/>
        </w:rPr>
      </w:pPr>
    </w:p>
    <w:p w14:paraId="79175747" w14:textId="77777777" w:rsidR="00D55618" w:rsidRPr="00D55618" w:rsidRDefault="00D55618" w:rsidP="00D55618">
      <w:pPr>
        <w:rPr>
          <w:szCs w:val="20"/>
          <w:lang w:val="pt-BR"/>
        </w:rPr>
      </w:pPr>
    </w:p>
    <w:p w14:paraId="0F7C29A5" w14:textId="77777777" w:rsidR="00D55618" w:rsidRPr="00D55618" w:rsidRDefault="00D55618" w:rsidP="00D55618">
      <w:pPr>
        <w:tabs>
          <w:tab w:val="left" w:pos="6559"/>
        </w:tabs>
        <w:rPr>
          <w:szCs w:val="20"/>
          <w:lang w:val="pt-BR"/>
        </w:rPr>
      </w:pPr>
      <w:r w:rsidRPr="00D55618">
        <w:rPr>
          <w:szCs w:val="20"/>
          <w:lang w:val="pt-BR"/>
        </w:rPr>
        <w:t>Eugenio Raúl Zaffaroni                                                            Ricardo C. Pérez Manrique</w:t>
      </w:r>
    </w:p>
    <w:p w14:paraId="29565351" w14:textId="78CD6B94" w:rsidR="00D55618" w:rsidRPr="00D55618" w:rsidRDefault="00D55618" w:rsidP="00D55618">
      <w:pPr>
        <w:rPr>
          <w:szCs w:val="20"/>
          <w:lang w:val="pt-BR"/>
        </w:rPr>
      </w:pPr>
    </w:p>
    <w:p w14:paraId="6FC722FD" w14:textId="77777777" w:rsidR="00D55618" w:rsidRPr="00D55618" w:rsidRDefault="00D55618" w:rsidP="00D55618">
      <w:pPr>
        <w:rPr>
          <w:szCs w:val="20"/>
          <w:lang w:val="pt-BR"/>
        </w:rPr>
      </w:pPr>
    </w:p>
    <w:p w14:paraId="45963893" w14:textId="77777777" w:rsidR="00D55618" w:rsidRPr="00D55618" w:rsidRDefault="00D55618" w:rsidP="00D55618">
      <w:pPr>
        <w:rPr>
          <w:szCs w:val="20"/>
          <w:lang w:val="pt-BR"/>
        </w:rPr>
      </w:pPr>
    </w:p>
    <w:p w14:paraId="2F053233" w14:textId="77777777" w:rsidR="00D55618" w:rsidRPr="00D55618" w:rsidRDefault="00D55618" w:rsidP="00D55618">
      <w:pPr>
        <w:rPr>
          <w:szCs w:val="20"/>
          <w:lang w:val="pt-BR"/>
        </w:rPr>
      </w:pPr>
    </w:p>
    <w:p w14:paraId="75639D59" w14:textId="77777777" w:rsidR="00D55618" w:rsidRPr="00D55618" w:rsidRDefault="00D55618" w:rsidP="00D55618">
      <w:pPr>
        <w:rPr>
          <w:szCs w:val="20"/>
          <w:lang w:val="pt-BR"/>
        </w:rPr>
      </w:pPr>
    </w:p>
    <w:p w14:paraId="099862D6" w14:textId="77777777" w:rsidR="00D55618" w:rsidRPr="00D55618" w:rsidRDefault="00D55618" w:rsidP="00D55618">
      <w:pPr>
        <w:ind w:right="3592"/>
        <w:rPr>
          <w:szCs w:val="20"/>
          <w:lang w:val="pt-BR"/>
        </w:rPr>
      </w:pPr>
      <w:r w:rsidRPr="00D55618">
        <w:rPr>
          <w:szCs w:val="20"/>
          <w:lang w:val="pt-BR"/>
        </w:rPr>
        <w:t xml:space="preserve">                                             Romina I. Sijniensky </w:t>
      </w:r>
    </w:p>
    <w:p w14:paraId="361456D4" w14:textId="77777777" w:rsidR="00D55618" w:rsidRPr="00D55618" w:rsidRDefault="00D55618" w:rsidP="00D55618">
      <w:pPr>
        <w:ind w:right="3592"/>
        <w:rPr>
          <w:szCs w:val="20"/>
          <w:lang w:val="pt-BR"/>
        </w:rPr>
      </w:pPr>
      <w:r w:rsidRPr="00D55618">
        <w:rPr>
          <w:szCs w:val="20"/>
          <w:lang w:val="pt-BR"/>
        </w:rPr>
        <w:t xml:space="preserve">                                              Secretaria Adjunta</w:t>
      </w:r>
    </w:p>
    <w:p w14:paraId="4553C780" w14:textId="77777777" w:rsidR="00D55618" w:rsidRPr="00D55618" w:rsidRDefault="00D55618" w:rsidP="00D55618">
      <w:pPr>
        <w:rPr>
          <w:szCs w:val="20"/>
          <w:lang w:val="pt-BR"/>
        </w:rPr>
      </w:pPr>
    </w:p>
    <w:p w14:paraId="3A195417" w14:textId="77777777" w:rsidR="00D55618" w:rsidRPr="00D55618" w:rsidRDefault="00D55618" w:rsidP="00D55618">
      <w:pPr>
        <w:rPr>
          <w:szCs w:val="20"/>
          <w:lang w:val="pt-BR"/>
        </w:rPr>
      </w:pPr>
    </w:p>
    <w:p w14:paraId="78BBC0FB" w14:textId="77777777" w:rsidR="00D55618" w:rsidRPr="00D55618" w:rsidRDefault="00D55618" w:rsidP="00D55618">
      <w:pPr>
        <w:rPr>
          <w:szCs w:val="20"/>
          <w:lang w:val="pt-BR"/>
        </w:rPr>
      </w:pPr>
    </w:p>
    <w:p w14:paraId="55E75A17" w14:textId="77777777" w:rsidR="00D55618" w:rsidRPr="00D55618" w:rsidRDefault="00D55618" w:rsidP="00D55618">
      <w:pPr>
        <w:rPr>
          <w:szCs w:val="20"/>
          <w:lang w:val="pt-BR"/>
        </w:rPr>
      </w:pPr>
    </w:p>
    <w:p w14:paraId="2777F667" w14:textId="77777777" w:rsidR="00D55618" w:rsidRPr="00D55618" w:rsidRDefault="00D55618" w:rsidP="00D55618">
      <w:pPr>
        <w:rPr>
          <w:szCs w:val="20"/>
          <w:lang w:val="pt-BR"/>
        </w:rPr>
      </w:pPr>
    </w:p>
    <w:p w14:paraId="4034A349" w14:textId="7BA5162E" w:rsidR="00D55618" w:rsidRPr="00D55618" w:rsidRDefault="00D55618" w:rsidP="00D55618">
      <w:pPr>
        <w:rPr>
          <w:szCs w:val="20"/>
          <w:lang w:val="pt-BR"/>
        </w:rPr>
      </w:pPr>
      <w:r w:rsidRPr="00D55618">
        <w:rPr>
          <w:szCs w:val="20"/>
          <w:lang w:val="pt-BR"/>
        </w:rPr>
        <w:t>Comuníquese y ejecútese,</w:t>
      </w:r>
    </w:p>
    <w:p w14:paraId="3E690781" w14:textId="77777777" w:rsidR="00D55618" w:rsidRPr="00D55618" w:rsidRDefault="00D55618" w:rsidP="00D55618">
      <w:pPr>
        <w:rPr>
          <w:szCs w:val="20"/>
          <w:lang w:val="pt-BR"/>
        </w:rPr>
      </w:pPr>
    </w:p>
    <w:p w14:paraId="5E51AD7D" w14:textId="77777777" w:rsidR="00D55618" w:rsidRPr="00D55618" w:rsidRDefault="00D55618" w:rsidP="00D55618">
      <w:pPr>
        <w:rPr>
          <w:szCs w:val="20"/>
          <w:lang w:val="pt-BR"/>
        </w:rPr>
      </w:pPr>
    </w:p>
    <w:p w14:paraId="7E797524" w14:textId="77777777" w:rsidR="00D55618" w:rsidRPr="00D55618" w:rsidRDefault="00D55618" w:rsidP="00D55618">
      <w:pPr>
        <w:rPr>
          <w:szCs w:val="20"/>
          <w:lang w:val="pt-BR"/>
        </w:rPr>
      </w:pPr>
    </w:p>
    <w:p w14:paraId="148FD307" w14:textId="77777777" w:rsidR="00D55618" w:rsidRPr="00D55618" w:rsidRDefault="00D55618" w:rsidP="00D55618">
      <w:pPr>
        <w:rPr>
          <w:szCs w:val="20"/>
          <w:lang w:val="pt-BR"/>
        </w:rPr>
      </w:pPr>
    </w:p>
    <w:p w14:paraId="6C9F6B36" w14:textId="77777777" w:rsidR="00D55618" w:rsidRPr="00D55618" w:rsidRDefault="00D55618" w:rsidP="00D55618">
      <w:pPr>
        <w:rPr>
          <w:szCs w:val="20"/>
          <w:lang w:val="pt-BR"/>
        </w:rPr>
      </w:pPr>
    </w:p>
    <w:p w14:paraId="3AE0F53F" w14:textId="77777777" w:rsidR="00D55618" w:rsidRPr="00D55618" w:rsidRDefault="00D55618" w:rsidP="00D55618">
      <w:pPr>
        <w:ind w:right="332"/>
        <w:rPr>
          <w:szCs w:val="20"/>
          <w:lang w:val="pt-BR"/>
        </w:rPr>
      </w:pPr>
      <w:r w:rsidRPr="00D55618">
        <w:rPr>
          <w:szCs w:val="20"/>
          <w:lang w:val="pt-BR"/>
        </w:rPr>
        <w:t xml:space="preserve">                                                                                     L. Patricio</w:t>
      </w:r>
      <w:r w:rsidRPr="00D55618">
        <w:rPr>
          <w:spacing w:val="-6"/>
          <w:szCs w:val="20"/>
          <w:lang w:val="pt-BR"/>
        </w:rPr>
        <w:t xml:space="preserve"> </w:t>
      </w:r>
      <w:r w:rsidRPr="00D55618">
        <w:rPr>
          <w:szCs w:val="20"/>
          <w:lang w:val="pt-BR"/>
        </w:rPr>
        <w:t>Pazmiño</w:t>
      </w:r>
      <w:r w:rsidRPr="00D55618">
        <w:rPr>
          <w:spacing w:val="-3"/>
          <w:szCs w:val="20"/>
          <w:lang w:val="pt-BR"/>
        </w:rPr>
        <w:t xml:space="preserve"> </w:t>
      </w:r>
      <w:r w:rsidRPr="00D55618">
        <w:rPr>
          <w:szCs w:val="20"/>
          <w:lang w:val="pt-BR"/>
        </w:rPr>
        <w:t>Freire</w:t>
      </w:r>
    </w:p>
    <w:p w14:paraId="632D4AD3" w14:textId="77777777" w:rsidR="00D55618" w:rsidRPr="00D55618" w:rsidRDefault="00D55618" w:rsidP="00D55618">
      <w:pPr>
        <w:ind w:right="332"/>
        <w:rPr>
          <w:szCs w:val="20"/>
          <w:lang w:val="pt-BR"/>
        </w:rPr>
      </w:pPr>
      <w:r w:rsidRPr="00D55618">
        <w:rPr>
          <w:szCs w:val="20"/>
          <w:lang w:val="pt-BR"/>
        </w:rPr>
        <w:t xml:space="preserve">                                                                                      Presidente en ejercicio</w:t>
      </w:r>
    </w:p>
    <w:p w14:paraId="5B9C71CB" w14:textId="0750E803" w:rsidR="00D55618" w:rsidRPr="00D55618" w:rsidRDefault="00D55618" w:rsidP="00D55618">
      <w:pPr>
        <w:rPr>
          <w:szCs w:val="20"/>
          <w:lang w:val="pt-BR"/>
        </w:rPr>
      </w:pPr>
    </w:p>
    <w:p w14:paraId="1BC65D3A" w14:textId="77777777" w:rsidR="00D55618" w:rsidRPr="00D55618" w:rsidRDefault="00D55618" w:rsidP="00D55618">
      <w:pPr>
        <w:rPr>
          <w:szCs w:val="20"/>
          <w:lang w:val="pt-BR"/>
        </w:rPr>
      </w:pPr>
    </w:p>
    <w:p w14:paraId="23F343CD" w14:textId="77777777" w:rsidR="00D55618" w:rsidRPr="00D55618" w:rsidRDefault="00D55618" w:rsidP="00D55618">
      <w:pPr>
        <w:rPr>
          <w:szCs w:val="20"/>
          <w:lang w:val="pt-BR"/>
        </w:rPr>
      </w:pPr>
    </w:p>
    <w:p w14:paraId="467CDF1F" w14:textId="77777777" w:rsidR="00D55618" w:rsidRPr="00D55618" w:rsidRDefault="00D55618" w:rsidP="00D55618">
      <w:pPr>
        <w:rPr>
          <w:szCs w:val="20"/>
          <w:lang w:val="pt-BR"/>
        </w:rPr>
      </w:pPr>
    </w:p>
    <w:p w14:paraId="3F888553" w14:textId="77777777" w:rsidR="00D55618" w:rsidRPr="00D55618" w:rsidRDefault="00D55618" w:rsidP="00D55618">
      <w:pPr>
        <w:rPr>
          <w:szCs w:val="20"/>
          <w:lang w:val="pt-BR"/>
        </w:rPr>
      </w:pPr>
    </w:p>
    <w:p w14:paraId="736F8B8E" w14:textId="77777777" w:rsidR="00D55618" w:rsidRPr="00D55618" w:rsidRDefault="00D55618" w:rsidP="00D55618">
      <w:pPr>
        <w:tabs>
          <w:tab w:val="left" w:pos="567"/>
        </w:tabs>
        <w:adjustRightInd w:val="0"/>
        <w:contextualSpacing/>
        <w:textAlignment w:val="baseline"/>
        <w:rPr>
          <w:szCs w:val="20"/>
          <w:lang w:val="es-ES_tradnl"/>
        </w:rPr>
      </w:pPr>
      <w:r w:rsidRPr="00D55618">
        <w:rPr>
          <w:szCs w:val="20"/>
          <w:lang w:val="es-ES_tradnl"/>
        </w:rPr>
        <w:t xml:space="preserve">Romina I. Sijniensky </w:t>
      </w:r>
    </w:p>
    <w:p w14:paraId="2CF09130" w14:textId="5B3FAE3A" w:rsidR="00AB409C" w:rsidRPr="00D55618" w:rsidRDefault="00D55618" w:rsidP="00D55618">
      <w:pPr>
        <w:tabs>
          <w:tab w:val="left" w:pos="567"/>
        </w:tabs>
        <w:adjustRightInd w:val="0"/>
        <w:contextualSpacing/>
        <w:textAlignment w:val="baseline"/>
        <w:rPr>
          <w:bCs/>
          <w:szCs w:val="20"/>
          <w:highlight w:val="yellow"/>
          <w:lang w:val="es-ES_tradnl"/>
        </w:rPr>
      </w:pPr>
      <w:r w:rsidRPr="00D55618">
        <w:rPr>
          <w:szCs w:val="20"/>
          <w:lang w:val="es-ES_tradnl"/>
        </w:rPr>
        <w:t xml:space="preserve"> Secretaria Adjunta</w:t>
      </w:r>
    </w:p>
    <w:sectPr w:rsidR="00AB409C" w:rsidRPr="00D55618" w:rsidSect="00B84011">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C12D1" w14:textId="77777777" w:rsidR="00187951" w:rsidRDefault="00187951" w:rsidP="001003AC">
      <w:r>
        <w:separator/>
      </w:r>
    </w:p>
  </w:endnote>
  <w:endnote w:type="continuationSeparator" w:id="0">
    <w:p w14:paraId="02A73733" w14:textId="77777777" w:rsidR="00187951" w:rsidRDefault="00187951" w:rsidP="00100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alatino-Italic">
    <w:altName w:val="Times New Roman"/>
    <w:charset w:val="4D"/>
    <w:family w:val="auto"/>
    <w:pitch w:val="variable"/>
    <w:sig w:usb0="A00002FF" w:usb1="7800205A" w:usb2="14600000" w:usb3="00000000" w:csb0="00000193" w:csb1="00000000"/>
  </w:font>
  <w:font w:name="New York">
    <w:panose1 w:val="02040503060506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erdana Bold">
    <w:altName w:val="Times New Roman"/>
    <w:charset w:val="00"/>
    <w:family w:val="auto"/>
    <w:pitch w:val="variable"/>
    <w:sig w:usb0="00000001"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FA827" w14:textId="77777777" w:rsidR="00A7317D" w:rsidRDefault="00A7317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4915199"/>
      <w:docPartObj>
        <w:docPartGallery w:val="Page Numbers (Bottom of Page)"/>
        <w:docPartUnique/>
      </w:docPartObj>
    </w:sdtPr>
    <w:sdtContent>
      <w:p w14:paraId="6502FADB" w14:textId="52D133C2" w:rsidR="00EE5492" w:rsidRDefault="00EE5492">
        <w:pPr>
          <w:pStyle w:val="Piedepgina"/>
          <w:jc w:val="center"/>
        </w:pPr>
        <w:r>
          <w:fldChar w:fldCharType="begin"/>
        </w:r>
        <w:r>
          <w:instrText>PAGE   \* MERGEFORMAT</w:instrText>
        </w:r>
        <w:r>
          <w:fldChar w:fldCharType="separate"/>
        </w:r>
        <w:r>
          <w:rPr>
            <w:lang w:val="es-ES"/>
          </w:rPr>
          <w:t>2</w:t>
        </w:r>
        <w:r>
          <w:fldChar w:fldCharType="end"/>
        </w:r>
      </w:p>
    </w:sdtContent>
  </w:sdt>
  <w:p w14:paraId="5ED386DC" w14:textId="77777777" w:rsidR="00EE5492" w:rsidRDefault="00EE549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AB0DD" w14:textId="77777777" w:rsidR="00A7317D" w:rsidRDefault="00A7317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24194" w14:textId="77777777" w:rsidR="00187951" w:rsidRDefault="00187951" w:rsidP="001003AC">
      <w:r>
        <w:separator/>
      </w:r>
    </w:p>
  </w:footnote>
  <w:footnote w:type="continuationSeparator" w:id="0">
    <w:p w14:paraId="1758F1F1" w14:textId="77777777" w:rsidR="00187951" w:rsidRDefault="00187951" w:rsidP="001003AC">
      <w:r>
        <w:continuationSeparator/>
      </w:r>
    </w:p>
  </w:footnote>
  <w:footnote w:id="1">
    <w:p w14:paraId="3ACA131D" w14:textId="5E8A63C8" w:rsidR="001003AC" w:rsidRPr="00931740" w:rsidRDefault="001003AC" w:rsidP="001003AC">
      <w:pPr>
        <w:pStyle w:val="Textonotapie"/>
        <w:rPr>
          <w:szCs w:val="16"/>
          <w:lang w:val="es-ES"/>
        </w:rPr>
      </w:pPr>
      <w:r w:rsidRPr="00931740">
        <w:rPr>
          <w:rStyle w:val="Refdenotaalpie"/>
          <w:sz w:val="16"/>
          <w:szCs w:val="16"/>
          <w:lang w:val="es-ES"/>
        </w:rPr>
        <w:t>*</w:t>
      </w:r>
      <w:r w:rsidRPr="00931740">
        <w:rPr>
          <w:szCs w:val="16"/>
          <w:lang w:val="es-ES"/>
        </w:rPr>
        <w:t xml:space="preserve"> </w:t>
      </w:r>
      <w:r w:rsidRPr="00931740">
        <w:rPr>
          <w:szCs w:val="16"/>
          <w:lang w:val="es-ES"/>
        </w:rPr>
        <w:tab/>
      </w:r>
      <w:r w:rsidR="009A1495">
        <w:rPr>
          <w:szCs w:val="16"/>
          <w:lang w:val="es-ES"/>
        </w:rPr>
        <w:t>La presente Sentencia de Interpretación se dicta en el 65</w:t>
      </w:r>
      <w:r w:rsidR="004A414D">
        <w:rPr>
          <w:szCs w:val="16"/>
          <w:lang w:val="es-ES"/>
        </w:rPr>
        <w:t>°</w:t>
      </w:r>
      <w:r w:rsidR="009A1495">
        <w:rPr>
          <w:szCs w:val="16"/>
          <w:lang w:val="es-ES"/>
        </w:rPr>
        <w:t xml:space="preserve"> Periodo Extraordinario de Sesiones de la Corte</w:t>
      </w:r>
      <w:r w:rsidR="00064B3A">
        <w:rPr>
          <w:szCs w:val="16"/>
          <w:lang w:val="es-ES"/>
        </w:rPr>
        <w:t>,</w:t>
      </w:r>
      <w:r w:rsidR="009A1495">
        <w:rPr>
          <w:szCs w:val="16"/>
          <w:lang w:val="es-ES"/>
        </w:rPr>
        <w:t xml:space="preserve"> el cual se llevó a cabo de forma no presencial utilizando los medios tecnológicos de conformidad con lo establecido en el Reglamento de la Corte. La Jueza Elizabeth Odio Benito, por razones de fuerza mayor aceptadas por el Pleno del Tribunal, no participó en la deliberación y firma de la presente Sentencia de Interpretación. </w:t>
      </w:r>
      <w:r w:rsidRPr="00931740">
        <w:rPr>
          <w:szCs w:val="16"/>
          <w:lang w:val="es-ES"/>
        </w:rPr>
        <w:t xml:space="preserve">El Juez </w:t>
      </w:r>
      <w:r w:rsidR="00342C61">
        <w:rPr>
          <w:szCs w:val="16"/>
          <w:lang w:val="es-ES"/>
        </w:rPr>
        <w:t>Eduardo Vio Grossi</w:t>
      </w:r>
      <w:r w:rsidRPr="00931740">
        <w:rPr>
          <w:szCs w:val="16"/>
          <w:lang w:val="es-ES"/>
        </w:rPr>
        <w:t xml:space="preserve">, de nacionalidad </w:t>
      </w:r>
      <w:r w:rsidR="00342C61">
        <w:rPr>
          <w:szCs w:val="16"/>
          <w:lang w:val="es-ES"/>
        </w:rPr>
        <w:t>chilena</w:t>
      </w:r>
      <w:r w:rsidRPr="00931740">
        <w:rPr>
          <w:szCs w:val="16"/>
          <w:lang w:val="es-ES"/>
        </w:rPr>
        <w:t>, no participó en la deliberación y firma de esta Sentencia</w:t>
      </w:r>
      <w:r w:rsidR="005703A2">
        <w:rPr>
          <w:szCs w:val="16"/>
          <w:lang w:val="es-ES"/>
        </w:rPr>
        <w:t xml:space="preserve"> de Interpretación</w:t>
      </w:r>
      <w:r w:rsidRPr="00931740">
        <w:rPr>
          <w:szCs w:val="16"/>
          <w:lang w:val="es-ES"/>
        </w:rPr>
        <w:t>, de conformidad con lo dispuesto en los artículos 19.1 y 19.2 del Reglamento de la Corte.</w:t>
      </w:r>
    </w:p>
  </w:footnote>
  <w:footnote w:id="2">
    <w:p w14:paraId="754C2117" w14:textId="5C45B750" w:rsidR="001003AC" w:rsidRPr="00931740" w:rsidRDefault="001003AC" w:rsidP="001003AC">
      <w:pPr>
        <w:pStyle w:val="Textonotapie"/>
        <w:rPr>
          <w:szCs w:val="16"/>
        </w:rPr>
      </w:pPr>
      <w:r w:rsidRPr="00931740">
        <w:rPr>
          <w:rStyle w:val="Refdenotaalpie"/>
          <w:sz w:val="16"/>
          <w:szCs w:val="16"/>
        </w:rPr>
        <w:t>**</w:t>
      </w:r>
      <w:r w:rsidRPr="00931740">
        <w:rPr>
          <w:szCs w:val="16"/>
        </w:rPr>
        <w:t xml:space="preserve"> </w:t>
      </w:r>
      <w:r w:rsidRPr="00931740">
        <w:rPr>
          <w:szCs w:val="16"/>
        </w:rPr>
        <w:tab/>
        <w:t>El Secretario</w:t>
      </w:r>
      <w:r w:rsidR="00064B3A">
        <w:rPr>
          <w:szCs w:val="16"/>
        </w:rPr>
        <w:t xml:space="preserve"> de la Corte</w:t>
      </w:r>
      <w:r w:rsidRPr="00931740">
        <w:rPr>
          <w:szCs w:val="16"/>
        </w:rPr>
        <w:t xml:space="preserve">, Pablo Saavedra Alessandri, no participó en la tramitación del presente caso ni en la deliberación y firma de esta </w:t>
      </w:r>
      <w:r w:rsidR="004A414D">
        <w:rPr>
          <w:szCs w:val="16"/>
        </w:rPr>
        <w:t>S</w:t>
      </w:r>
      <w:r w:rsidRPr="00931740">
        <w:rPr>
          <w:szCs w:val="16"/>
        </w:rPr>
        <w:t>entencia.</w:t>
      </w:r>
    </w:p>
  </w:footnote>
  <w:footnote w:id="3">
    <w:p w14:paraId="049E5C3B" w14:textId="2B89850C" w:rsidR="001003AC" w:rsidRPr="003F0D73" w:rsidRDefault="001003AC" w:rsidP="001003AC">
      <w:pPr>
        <w:pStyle w:val="Textonotapie"/>
      </w:pPr>
      <w:r>
        <w:rPr>
          <w:rStyle w:val="Refdenotaalpie"/>
        </w:rPr>
        <w:footnoteRef/>
      </w:r>
      <w:r>
        <w:t xml:space="preserve"> </w:t>
      </w:r>
      <w:r>
        <w:tab/>
        <w:t xml:space="preserve">Los representantes de las víctimas son </w:t>
      </w:r>
      <w:r w:rsidR="001312BD">
        <w:t>Alexandra Orrego Da Silva, Giampiero Fava Cohen y Ciro Colombara López</w:t>
      </w:r>
      <w:r>
        <w:t>.</w:t>
      </w:r>
    </w:p>
  </w:footnote>
  <w:footnote w:id="4">
    <w:p w14:paraId="659B49DA" w14:textId="7D091B30" w:rsidR="00976776" w:rsidRPr="00976776" w:rsidRDefault="00976776">
      <w:pPr>
        <w:pStyle w:val="Textonotapie"/>
        <w:rPr>
          <w:lang w:val="es-MX"/>
        </w:rPr>
      </w:pPr>
      <w:r>
        <w:rPr>
          <w:rStyle w:val="Refdenotaalpie"/>
        </w:rPr>
        <w:footnoteRef/>
      </w:r>
      <w:r>
        <w:t xml:space="preserve"> </w:t>
      </w:r>
      <w:r w:rsidR="004E73CD">
        <w:rPr>
          <w:lang w:val="es-MX"/>
        </w:rPr>
        <w:tab/>
      </w:r>
      <w:r w:rsidR="004E73CD">
        <w:t>Dicho artículo dispone, en lo pertinente: “1. La solicitud de interpretación a que se refiere el artículo 67 de la Convención podrá promoverse en relación con las sentencias de excepciones preliminares, fondo o reparaciones y costas y se presentará en la Secretaría de la Corte indicándose en ella, con precisión, las cuestiones relativas al sentido o alcance de la sentencia cuya interpretación se pida. […] 4. La solicitud de interpretación no suspenderá la ejecución de la sentencia. 5. La Corte determinará el procedimiento que se seguirá y resolverá mediante una sentencia”.</w:t>
      </w:r>
    </w:p>
  </w:footnote>
  <w:footnote w:id="5">
    <w:p w14:paraId="76A7B6F8" w14:textId="7890C447" w:rsidR="001003AC" w:rsidRPr="005935E7" w:rsidRDefault="001003AC" w:rsidP="001003AC">
      <w:pPr>
        <w:pStyle w:val="Textonotapie"/>
        <w:rPr>
          <w:lang w:val="es-MX"/>
        </w:rPr>
      </w:pPr>
      <w:r>
        <w:rPr>
          <w:rStyle w:val="Refdenotaalpie"/>
        </w:rPr>
        <w:footnoteRef/>
      </w:r>
      <w:r>
        <w:t xml:space="preserve"> </w:t>
      </w:r>
      <w:r>
        <w:rPr>
          <w:lang w:val="es-MX"/>
        </w:rPr>
        <w:tab/>
      </w:r>
      <w:r w:rsidRPr="005935E7">
        <w:rPr>
          <w:i/>
          <w:lang w:val="es-MX"/>
        </w:rPr>
        <w:t>Cfr.</w:t>
      </w:r>
      <w:r w:rsidRPr="005935E7">
        <w:rPr>
          <w:lang w:val="es-MX"/>
        </w:rPr>
        <w:t xml:space="preserve"> </w:t>
      </w:r>
      <w:r w:rsidRPr="005935E7">
        <w:rPr>
          <w:i/>
          <w:lang w:val="es-MX"/>
        </w:rPr>
        <w:t>Caso Loayza Tamayo Vs. Perú.</w:t>
      </w:r>
      <w:r w:rsidRPr="005935E7">
        <w:rPr>
          <w:lang w:val="es-MX"/>
        </w:rPr>
        <w:t xml:space="preserve"> </w:t>
      </w:r>
      <w:r w:rsidRPr="00AB0465">
        <w:rPr>
          <w:i/>
          <w:lang w:val="es-MX"/>
        </w:rPr>
        <w:t>Interpretación de la Sentencia de Fondo</w:t>
      </w:r>
      <w:r>
        <w:rPr>
          <w:lang w:val="es-MX"/>
        </w:rPr>
        <w:t xml:space="preserve">. Resolución de la Corte </w:t>
      </w:r>
      <w:r w:rsidRPr="005935E7">
        <w:rPr>
          <w:lang w:val="es-MX"/>
        </w:rPr>
        <w:t>de 8 de marz</w:t>
      </w:r>
      <w:r>
        <w:rPr>
          <w:lang w:val="es-MX"/>
        </w:rPr>
        <w:t xml:space="preserve">o de 1998. Serie C No. 47, párr. </w:t>
      </w:r>
      <w:r w:rsidRPr="005935E7">
        <w:rPr>
          <w:lang w:val="es-MX"/>
        </w:rPr>
        <w:t>16, y</w:t>
      </w:r>
      <w:r>
        <w:rPr>
          <w:lang w:val="es-MX"/>
        </w:rPr>
        <w:t xml:space="preserve"> </w:t>
      </w:r>
      <w:r>
        <w:rPr>
          <w:i/>
          <w:lang w:val="es-MX"/>
        </w:rPr>
        <w:t xml:space="preserve">Caso </w:t>
      </w:r>
      <w:r w:rsidR="00235EB4">
        <w:rPr>
          <w:i/>
          <w:lang w:val="es-MX"/>
        </w:rPr>
        <w:t>Casa Nina Vs. Perú</w:t>
      </w:r>
      <w:r>
        <w:rPr>
          <w:i/>
          <w:lang w:val="es-MX"/>
        </w:rPr>
        <w:t xml:space="preserve">. </w:t>
      </w:r>
      <w:r w:rsidRPr="00AB0465">
        <w:rPr>
          <w:i/>
          <w:lang w:val="es-MX"/>
        </w:rPr>
        <w:t xml:space="preserve">Interpretación de la Sentencia de </w:t>
      </w:r>
      <w:r w:rsidR="00575EB9">
        <w:rPr>
          <w:i/>
          <w:lang w:val="es-MX"/>
        </w:rPr>
        <w:t xml:space="preserve">Excepciones Preliminares, </w:t>
      </w:r>
      <w:r w:rsidRPr="00AB0465">
        <w:rPr>
          <w:i/>
          <w:lang w:val="es-MX"/>
        </w:rPr>
        <w:t>Fondo, Reparaciones y Costas</w:t>
      </w:r>
      <w:r>
        <w:rPr>
          <w:lang w:val="es-MX"/>
        </w:rPr>
        <w:t xml:space="preserve">. Sentencia de </w:t>
      </w:r>
      <w:r w:rsidR="00575EB9">
        <w:rPr>
          <w:lang w:val="es-MX"/>
        </w:rPr>
        <w:t>1 de septiembre de 2021</w:t>
      </w:r>
      <w:r>
        <w:rPr>
          <w:lang w:val="es-MX"/>
        </w:rPr>
        <w:t>. Serie C No. 4</w:t>
      </w:r>
      <w:r w:rsidR="00575EB9">
        <w:rPr>
          <w:lang w:val="es-MX"/>
        </w:rPr>
        <w:t>33</w:t>
      </w:r>
      <w:r>
        <w:rPr>
          <w:lang w:val="es-MX"/>
        </w:rPr>
        <w:t xml:space="preserve">, párr. </w:t>
      </w:r>
      <w:r w:rsidR="00575EB9">
        <w:rPr>
          <w:lang w:val="es-MX"/>
        </w:rPr>
        <w:t>10</w:t>
      </w:r>
      <w:r>
        <w:rPr>
          <w:lang w:val="es-MX"/>
        </w:rPr>
        <w:t>.</w:t>
      </w:r>
    </w:p>
  </w:footnote>
  <w:footnote w:id="6">
    <w:p w14:paraId="1B232E73" w14:textId="045A73EB" w:rsidR="001003AC" w:rsidRPr="00583FA6" w:rsidRDefault="001003AC" w:rsidP="001003AC">
      <w:pPr>
        <w:pStyle w:val="Textonotapie"/>
        <w:rPr>
          <w:i/>
          <w:lang w:val="es-MX"/>
        </w:rPr>
      </w:pPr>
      <w:r>
        <w:rPr>
          <w:rStyle w:val="Refdenotaalpie"/>
        </w:rPr>
        <w:footnoteRef/>
      </w:r>
      <w:r>
        <w:t xml:space="preserve"> </w:t>
      </w:r>
      <w:r>
        <w:rPr>
          <w:lang w:val="es-MX"/>
        </w:rPr>
        <w:tab/>
      </w:r>
      <w:r>
        <w:rPr>
          <w:i/>
          <w:lang w:val="es-MX"/>
        </w:rPr>
        <w:t xml:space="preserve">Cfr. </w:t>
      </w:r>
      <w:r w:rsidRPr="005935E7">
        <w:rPr>
          <w:i/>
          <w:lang w:val="es-MX"/>
        </w:rPr>
        <w:t>Caso Loayza Tamayo Vs. Perú.</w:t>
      </w:r>
      <w:r w:rsidRPr="005935E7">
        <w:rPr>
          <w:lang w:val="es-MX"/>
        </w:rPr>
        <w:t xml:space="preserve"> </w:t>
      </w:r>
      <w:r w:rsidRPr="00AB0465">
        <w:rPr>
          <w:i/>
          <w:lang w:val="es-MX"/>
        </w:rPr>
        <w:t xml:space="preserve">Interpretación de la Sentencia de Reparaciones y </w:t>
      </w:r>
      <w:r>
        <w:rPr>
          <w:i/>
          <w:lang w:val="es-MX"/>
        </w:rPr>
        <w:t>Costas</w:t>
      </w:r>
      <w:r w:rsidR="00E46828">
        <w:rPr>
          <w:lang w:val="es-MX"/>
        </w:rPr>
        <w:t xml:space="preserve">, </w:t>
      </w:r>
      <w:r w:rsidR="00E46828">
        <w:rPr>
          <w:i/>
          <w:iCs/>
          <w:lang w:val="es-MX"/>
        </w:rPr>
        <w:t>supra</w:t>
      </w:r>
      <w:r>
        <w:rPr>
          <w:lang w:val="es-MX"/>
        </w:rPr>
        <w:t>, párr. 15</w:t>
      </w:r>
      <w:r w:rsidRPr="005935E7">
        <w:rPr>
          <w:lang w:val="es-MX"/>
        </w:rPr>
        <w:t>, y</w:t>
      </w:r>
      <w:r>
        <w:rPr>
          <w:lang w:val="es-MX"/>
        </w:rPr>
        <w:t xml:space="preserve"> </w:t>
      </w:r>
      <w:r w:rsidR="00804157">
        <w:rPr>
          <w:i/>
          <w:lang w:val="es-MX"/>
        </w:rPr>
        <w:t xml:space="preserve">Caso Casa Nina Vs. Perú. </w:t>
      </w:r>
      <w:r w:rsidR="00804157" w:rsidRPr="00AB0465">
        <w:rPr>
          <w:i/>
          <w:lang w:val="es-MX"/>
        </w:rPr>
        <w:t xml:space="preserve">Interpretación de la Sentencia de </w:t>
      </w:r>
      <w:r w:rsidR="00804157">
        <w:rPr>
          <w:i/>
          <w:lang w:val="es-MX"/>
        </w:rPr>
        <w:t xml:space="preserve">Excepciones Preliminares, </w:t>
      </w:r>
      <w:r w:rsidR="00804157" w:rsidRPr="00AB0465">
        <w:rPr>
          <w:i/>
          <w:lang w:val="es-MX"/>
        </w:rPr>
        <w:t>Fondo, Reparaciones y Costas</w:t>
      </w:r>
      <w:r w:rsidR="003367B8">
        <w:rPr>
          <w:lang w:val="es-MX"/>
        </w:rPr>
        <w:t xml:space="preserve">, </w:t>
      </w:r>
      <w:r w:rsidR="003367B8" w:rsidRPr="00E46828">
        <w:rPr>
          <w:i/>
          <w:iCs/>
          <w:lang w:val="es-MX"/>
        </w:rPr>
        <w:t>supra</w:t>
      </w:r>
      <w:r w:rsidR="00804157">
        <w:rPr>
          <w:lang w:val="es-MX"/>
        </w:rPr>
        <w:t>, párr. 11</w:t>
      </w:r>
      <w:r>
        <w:rPr>
          <w:lang w:val="es-MX"/>
        </w:rPr>
        <w:t>.</w:t>
      </w:r>
    </w:p>
  </w:footnote>
  <w:footnote w:id="7">
    <w:p w14:paraId="2FB9AA0D" w14:textId="205970B4" w:rsidR="001003AC" w:rsidRPr="008E5E23" w:rsidRDefault="001003AC" w:rsidP="001003AC">
      <w:pPr>
        <w:pStyle w:val="Textonotapie"/>
        <w:rPr>
          <w:lang w:val="es-MX"/>
        </w:rPr>
      </w:pPr>
      <w:r>
        <w:rPr>
          <w:rStyle w:val="Refdenotaalpie"/>
        </w:rPr>
        <w:footnoteRef/>
      </w:r>
      <w:r>
        <w:t xml:space="preserve"> </w:t>
      </w:r>
      <w:r>
        <w:rPr>
          <w:lang w:val="es-MX"/>
        </w:rPr>
        <w:tab/>
      </w:r>
      <w:r>
        <w:rPr>
          <w:i/>
          <w:lang w:val="es-MX"/>
        </w:rPr>
        <w:t xml:space="preserve">Cfr. Caso Salvador Chiriboga Vs. Ecuador. </w:t>
      </w:r>
      <w:r w:rsidRPr="00AB0465">
        <w:rPr>
          <w:i/>
          <w:lang w:val="es-MX"/>
        </w:rPr>
        <w:t>Interpretación de la Sentencia de Reparaciones y Costas</w:t>
      </w:r>
      <w:r>
        <w:rPr>
          <w:lang w:val="es-MX"/>
        </w:rPr>
        <w:t xml:space="preserve">. Sentencia de 29 de agosto de 2011. Serie C No. 230, párr. 30 y </w:t>
      </w:r>
      <w:r w:rsidR="003367B8">
        <w:rPr>
          <w:i/>
          <w:lang w:val="es-MX"/>
        </w:rPr>
        <w:t xml:space="preserve">Caso Casa Nina Vs. Perú. </w:t>
      </w:r>
      <w:r w:rsidR="003367B8" w:rsidRPr="00AB0465">
        <w:rPr>
          <w:i/>
          <w:lang w:val="es-MX"/>
        </w:rPr>
        <w:t xml:space="preserve">Interpretación de la Sentencia de </w:t>
      </w:r>
      <w:r w:rsidR="003367B8">
        <w:rPr>
          <w:i/>
          <w:lang w:val="es-MX"/>
        </w:rPr>
        <w:t xml:space="preserve">Excepciones Preliminares, </w:t>
      </w:r>
      <w:r w:rsidR="003367B8" w:rsidRPr="00AB0465">
        <w:rPr>
          <w:i/>
          <w:lang w:val="es-MX"/>
        </w:rPr>
        <w:t>Fondo, Reparaciones y Costas</w:t>
      </w:r>
      <w:r w:rsidR="003367B8">
        <w:rPr>
          <w:lang w:val="es-MX"/>
        </w:rPr>
        <w:t xml:space="preserve">, </w:t>
      </w:r>
      <w:r w:rsidR="003367B8" w:rsidRPr="00E46828">
        <w:rPr>
          <w:i/>
          <w:iCs/>
          <w:lang w:val="es-MX"/>
        </w:rPr>
        <w:t>supra,</w:t>
      </w:r>
      <w:r w:rsidR="003367B8">
        <w:rPr>
          <w:lang w:val="es-MX"/>
        </w:rPr>
        <w:t xml:space="preserve"> párr. 11.</w:t>
      </w:r>
    </w:p>
  </w:footnote>
  <w:footnote w:id="8">
    <w:p w14:paraId="00BD7803" w14:textId="28EA7C13" w:rsidR="001003AC" w:rsidRPr="008E5E23" w:rsidRDefault="001003AC" w:rsidP="001003AC">
      <w:pPr>
        <w:pStyle w:val="Textonotapie"/>
        <w:rPr>
          <w:lang w:val="es-MX"/>
        </w:rPr>
      </w:pPr>
      <w:r>
        <w:rPr>
          <w:rStyle w:val="Refdenotaalpie"/>
        </w:rPr>
        <w:footnoteRef/>
      </w:r>
      <w:r>
        <w:t xml:space="preserve"> </w:t>
      </w:r>
      <w:r>
        <w:rPr>
          <w:lang w:val="es-MX"/>
        </w:rPr>
        <w:tab/>
      </w:r>
      <w:r>
        <w:rPr>
          <w:i/>
          <w:lang w:val="es-MX"/>
        </w:rPr>
        <w:t xml:space="preserve">Cfr. Caso Escher y otros Vs. Brasil. </w:t>
      </w:r>
      <w:r w:rsidRPr="00AB0465">
        <w:rPr>
          <w:i/>
          <w:lang w:val="es-MX"/>
        </w:rPr>
        <w:t>Interpretación de la Sentencia de Excepciones Preliminares, Fondo, Reparaciones y Costas</w:t>
      </w:r>
      <w:r>
        <w:rPr>
          <w:lang w:val="es-MX"/>
        </w:rPr>
        <w:t xml:space="preserve">. Sentencia de 20 de noviembre de 2009. Serie C No. 208, párr. 11 </w:t>
      </w:r>
      <w:r w:rsidR="003367B8">
        <w:rPr>
          <w:i/>
          <w:lang w:val="es-MX"/>
        </w:rPr>
        <w:t xml:space="preserve">Caso Casa Nina Vs. Perú. </w:t>
      </w:r>
      <w:r w:rsidR="003367B8" w:rsidRPr="00AB0465">
        <w:rPr>
          <w:i/>
          <w:lang w:val="es-MX"/>
        </w:rPr>
        <w:t xml:space="preserve">Interpretación de la Sentencia de </w:t>
      </w:r>
      <w:r w:rsidR="003367B8">
        <w:rPr>
          <w:i/>
          <w:lang w:val="es-MX"/>
        </w:rPr>
        <w:t xml:space="preserve">Excepciones Preliminares, </w:t>
      </w:r>
      <w:r w:rsidR="003367B8" w:rsidRPr="00AB0465">
        <w:rPr>
          <w:i/>
          <w:lang w:val="es-MX"/>
        </w:rPr>
        <w:t>Fondo, Reparaciones y Costas</w:t>
      </w:r>
      <w:r w:rsidR="003367B8">
        <w:rPr>
          <w:lang w:val="es-MX"/>
        </w:rPr>
        <w:t xml:space="preserve">, </w:t>
      </w:r>
      <w:r w:rsidR="003367B8" w:rsidRPr="00E46828">
        <w:rPr>
          <w:i/>
          <w:iCs/>
          <w:lang w:val="es-MX"/>
        </w:rPr>
        <w:t>supra,</w:t>
      </w:r>
      <w:r w:rsidR="003367B8">
        <w:rPr>
          <w:lang w:val="es-MX"/>
        </w:rPr>
        <w:t xml:space="preserve"> párr. 11.</w:t>
      </w:r>
    </w:p>
  </w:footnote>
  <w:footnote w:id="9">
    <w:p w14:paraId="6CDE55A4" w14:textId="682FFAFA" w:rsidR="00790F64" w:rsidRPr="00223E03" w:rsidRDefault="00790F64" w:rsidP="00790F64">
      <w:pPr>
        <w:pStyle w:val="Textonotapie"/>
        <w:rPr>
          <w:lang w:val="es-MX"/>
        </w:rPr>
      </w:pPr>
      <w:r>
        <w:rPr>
          <w:rStyle w:val="Refdenotaalpie"/>
        </w:rPr>
        <w:footnoteRef/>
      </w:r>
      <w:r>
        <w:t xml:space="preserve"> </w:t>
      </w:r>
      <w:r>
        <w:rPr>
          <w:lang w:val="es-MX"/>
        </w:rPr>
        <w:tab/>
        <w:t xml:space="preserve"> </w:t>
      </w:r>
      <w:r w:rsidRPr="003254C9">
        <w:rPr>
          <w:i/>
          <w:iCs/>
          <w:lang w:val="es-MX"/>
        </w:rPr>
        <w:t>Cfr. Caso Martínez Esquivia Vs. Colombia. Excepciones preliminares, Fondo y Reparaciones.</w:t>
      </w:r>
      <w:r w:rsidRPr="009E7C92">
        <w:rPr>
          <w:lang w:val="es-MX"/>
        </w:rPr>
        <w:t xml:space="preserve"> Sentencia de 6 de octubre de 2020. Serie C No. 412</w:t>
      </w:r>
      <w:r>
        <w:rPr>
          <w:lang w:val="es-MX"/>
        </w:rPr>
        <w:t xml:space="preserve">, párr. </w:t>
      </w:r>
      <w:r w:rsidR="00C610BC">
        <w:rPr>
          <w:lang w:val="es-MX"/>
        </w:rPr>
        <w:t>94,</w:t>
      </w:r>
      <w:r>
        <w:rPr>
          <w:lang w:val="es-MX"/>
        </w:rPr>
        <w:t xml:space="preserve"> y </w:t>
      </w:r>
      <w:r w:rsidRPr="003254C9">
        <w:rPr>
          <w:i/>
          <w:iCs/>
          <w:lang w:val="es-MX"/>
        </w:rPr>
        <w:t>Caso Cuya Lavy y otros Vs. Perú. Excepciones preliminares, Fondo, Reparaciones y Costas.</w:t>
      </w:r>
      <w:r w:rsidRPr="005868DC">
        <w:rPr>
          <w:lang w:val="es-MX"/>
        </w:rPr>
        <w:t xml:space="preserve"> Sentencia de 28 de septiembre de 2021. Serie C No. 438</w:t>
      </w:r>
      <w:r>
        <w:rPr>
          <w:lang w:val="es-MX"/>
        </w:rPr>
        <w:t>, párr. 128.</w:t>
      </w:r>
    </w:p>
  </w:footnote>
  <w:footnote w:id="10">
    <w:p w14:paraId="280D0CD5" w14:textId="75760158" w:rsidR="008E2E8B" w:rsidRPr="008D690D" w:rsidRDefault="008E2E8B">
      <w:pPr>
        <w:pStyle w:val="Textonotapie"/>
        <w:rPr>
          <w:lang w:val="es-MX"/>
        </w:rPr>
      </w:pPr>
      <w:r>
        <w:rPr>
          <w:rStyle w:val="Refdenotaalpie"/>
        </w:rPr>
        <w:footnoteRef/>
      </w:r>
      <w:r>
        <w:t xml:space="preserve"> </w:t>
      </w:r>
      <w:r>
        <w:rPr>
          <w:lang w:val="es-MX"/>
        </w:rPr>
        <w:tab/>
      </w:r>
      <w:r>
        <w:rPr>
          <w:i/>
          <w:iCs/>
          <w:lang w:val="es-MX"/>
        </w:rPr>
        <w:t xml:space="preserve">Cfr. </w:t>
      </w:r>
      <w:r w:rsidR="005C7188">
        <w:rPr>
          <w:i/>
          <w:iCs/>
          <w:lang w:val="es-MX"/>
        </w:rPr>
        <w:t>Caso García Cruz y Sánchez</w:t>
      </w:r>
      <w:r w:rsidR="00131E63">
        <w:rPr>
          <w:i/>
          <w:iCs/>
          <w:lang w:val="es-MX"/>
        </w:rPr>
        <w:t xml:space="preserve"> Silvestre Vs. México. Fondo, Reparaciones y Costas</w:t>
      </w:r>
      <w:r w:rsidR="008D690D">
        <w:rPr>
          <w:i/>
          <w:iCs/>
          <w:lang w:val="es-MX"/>
        </w:rPr>
        <w:t xml:space="preserve">. </w:t>
      </w:r>
      <w:r w:rsidR="008D690D">
        <w:rPr>
          <w:lang w:val="es-MX"/>
        </w:rPr>
        <w:t>Sentencia de 26 de noviembre de 2013. Serie C No. 273, párr. 92.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39D8D" w14:textId="77777777" w:rsidR="00A7317D" w:rsidRDefault="00A7317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22F0D" w14:textId="799BBAA3" w:rsidR="00A7317D" w:rsidRDefault="00A7317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1988D" w14:textId="77777777" w:rsidR="00A7317D" w:rsidRDefault="00A7317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6B66"/>
    <w:multiLevelType w:val="hybridMultilevel"/>
    <w:tmpl w:val="3830D59E"/>
    <w:lvl w:ilvl="0" w:tplc="4E2A0C4C">
      <w:start w:val="1"/>
      <w:numFmt w:val="decimal"/>
      <w:pStyle w:val="PrrafodeSentencia"/>
      <w:lvlText w:val="%1."/>
      <w:lvlJc w:val="left"/>
      <w:pPr>
        <w:ind w:left="8015" w:hanging="360"/>
      </w:pPr>
      <w:rPr>
        <w:rFonts w:ascii="Verdana" w:hAnsi="Verdana" w:hint="default"/>
        <w:b w:val="0"/>
        <w:i w:val="0"/>
        <w:strike w:val="0"/>
        <w:dstrike w:val="0"/>
        <w:color w:val="auto"/>
        <w:sz w:val="20"/>
        <w:szCs w:val="20"/>
        <w:u w:val="none"/>
        <w:effect w:val="none"/>
        <w:vertAlign w:val="baseline"/>
        <w:lang w:val="es-CR"/>
      </w:rPr>
    </w:lvl>
    <w:lvl w:ilvl="1" w:tplc="CEA4ED48">
      <w:start w:val="1"/>
      <w:numFmt w:val="upp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102F13C8"/>
    <w:multiLevelType w:val="hybridMultilevel"/>
    <w:tmpl w:val="650610C4"/>
    <w:lvl w:ilvl="0" w:tplc="87901404">
      <w:start w:val="1"/>
      <w:numFmt w:val="decimal"/>
      <w:lvlText w:val="%1."/>
      <w:lvlJc w:val="left"/>
      <w:pPr>
        <w:ind w:left="930" w:hanging="57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3376654"/>
    <w:multiLevelType w:val="hybridMultilevel"/>
    <w:tmpl w:val="E4AC591A"/>
    <w:lvl w:ilvl="0" w:tplc="25742612">
      <w:start w:val="1"/>
      <w:numFmt w:val="upperLetter"/>
      <w:pStyle w:val="Ttulo2"/>
      <w:lvlText w:val="%1."/>
      <w:lvlJc w:val="left"/>
      <w:pPr>
        <w:ind w:left="927"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343122824">
    <w:abstractNumId w:val="0"/>
  </w:num>
  <w:num w:numId="2" w16cid:durableId="1467775949">
    <w:abstractNumId w:val="2"/>
  </w:num>
  <w:num w:numId="3" w16cid:durableId="725683392">
    <w:abstractNumId w:val="2"/>
    <w:lvlOverride w:ilvl="0">
      <w:startOverride w:val="1"/>
    </w:lvlOverride>
  </w:num>
  <w:num w:numId="4" w16cid:durableId="1155609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3AC"/>
    <w:rsid w:val="00000A6C"/>
    <w:rsid w:val="00004760"/>
    <w:rsid w:val="000054EB"/>
    <w:rsid w:val="0000644E"/>
    <w:rsid w:val="0000767E"/>
    <w:rsid w:val="00014D8B"/>
    <w:rsid w:val="00021447"/>
    <w:rsid w:val="0002357D"/>
    <w:rsid w:val="0002689D"/>
    <w:rsid w:val="00031A8C"/>
    <w:rsid w:val="00033C0B"/>
    <w:rsid w:val="000353C0"/>
    <w:rsid w:val="00037D87"/>
    <w:rsid w:val="000415BC"/>
    <w:rsid w:val="00042516"/>
    <w:rsid w:val="00050D95"/>
    <w:rsid w:val="000544B9"/>
    <w:rsid w:val="000610BE"/>
    <w:rsid w:val="00064B3A"/>
    <w:rsid w:val="000662C3"/>
    <w:rsid w:val="00067780"/>
    <w:rsid w:val="000710CB"/>
    <w:rsid w:val="00073D3B"/>
    <w:rsid w:val="000770CD"/>
    <w:rsid w:val="000850AD"/>
    <w:rsid w:val="00086DEA"/>
    <w:rsid w:val="000954A0"/>
    <w:rsid w:val="00097B99"/>
    <w:rsid w:val="000A0C95"/>
    <w:rsid w:val="000A3D84"/>
    <w:rsid w:val="000B1727"/>
    <w:rsid w:val="000B312C"/>
    <w:rsid w:val="000B5DC5"/>
    <w:rsid w:val="000C216D"/>
    <w:rsid w:val="000D17CB"/>
    <w:rsid w:val="000D24EC"/>
    <w:rsid w:val="000E6B5A"/>
    <w:rsid w:val="000E6D0B"/>
    <w:rsid w:val="001003AC"/>
    <w:rsid w:val="00106D76"/>
    <w:rsid w:val="001079F7"/>
    <w:rsid w:val="00111F1E"/>
    <w:rsid w:val="00113E18"/>
    <w:rsid w:val="00116BCE"/>
    <w:rsid w:val="00117304"/>
    <w:rsid w:val="00125F2B"/>
    <w:rsid w:val="00126570"/>
    <w:rsid w:val="00130E83"/>
    <w:rsid w:val="001312BD"/>
    <w:rsid w:val="00131E63"/>
    <w:rsid w:val="00134DB1"/>
    <w:rsid w:val="00145263"/>
    <w:rsid w:val="00145611"/>
    <w:rsid w:val="0014779C"/>
    <w:rsid w:val="00147F12"/>
    <w:rsid w:val="00150B6B"/>
    <w:rsid w:val="00153EE5"/>
    <w:rsid w:val="00155F70"/>
    <w:rsid w:val="001637EE"/>
    <w:rsid w:val="00165F76"/>
    <w:rsid w:val="00172EFD"/>
    <w:rsid w:val="0017786E"/>
    <w:rsid w:val="00180CF6"/>
    <w:rsid w:val="00181988"/>
    <w:rsid w:val="00187951"/>
    <w:rsid w:val="00191D10"/>
    <w:rsid w:val="0019669B"/>
    <w:rsid w:val="001A3F05"/>
    <w:rsid w:val="001A3FD5"/>
    <w:rsid w:val="001A536A"/>
    <w:rsid w:val="001A54FC"/>
    <w:rsid w:val="001A6909"/>
    <w:rsid w:val="001B080D"/>
    <w:rsid w:val="001B0BEF"/>
    <w:rsid w:val="001B240D"/>
    <w:rsid w:val="001B347E"/>
    <w:rsid w:val="001B3E37"/>
    <w:rsid w:val="001B6932"/>
    <w:rsid w:val="001B6997"/>
    <w:rsid w:val="001E22F3"/>
    <w:rsid w:val="001E6DD1"/>
    <w:rsid w:val="001F08C8"/>
    <w:rsid w:val="001F0EE4"/>
    <w:rsid w:val="001F4A44"/>
    <w:rsid w:val="001F5BA7"/>
    <w:rsid w:val="002046B7"/>
    <w:rsid w:val="002134A7"/>
    <w:rsid w:val="002149FC"/>
    <w:rsid w:val="00223E03"/>
    <w:rsid w:val="00226B2A"/>
    <w:rsid w:val="00235EB4"/>
    <w:rsid w:val="00237F1E"/>
    <w:rsid w:val="00244FFC"/>
    <w:rsid w:val="00247549"/>
    <w:rsid w:val="002505B6"/>
    <w:rsid w:val="00254323"/>
    <w:rsid w:val="002554E4"/>
    <w:rsid w:val="0025576F"/>
    <w:rsid w:val="00267E7C"/>
    <w:rsid w:val="00272CBE"/>
    <w:rsid w:val="00276BB5"/>
    <w:rsid w:val="00277A54"/>
    <w:rsid w:val="00281220"/>
    <w:rsid w:val="00282ADB"/>
    <w:rsid w:val="00283434"/>
    <w:rsid w:val="00285B91"/>
    <w:rsid w:val="00287B35"/>
    <w:rsid w:val="002912D7"/>
    <w:rsid w:val="002916E1"/>
    <w:rsid w:val="00293DE8"/>
    <w:rsid w:val="00294205"/>
    <w:rsid w:val="002A09A2"/>
    <w:rsid w:val="002A387E"/>
    <w:rsid w:val="002B1DDB"/>
    <w:rsid w:val="002B63EF"/>
    <w:rsid w:val="002B73F0"/>
    <w:rsid w:val="002C1DD8"/>
    <w:rsid w:val="002D76B7"/>
    <w:rsid w:val="002F50ED"/>
    <w:rsid w:val="002F6532"/>
    <w:rsid w:val="002F74C9"/>
    <w:rsid w:val="00310A1C"/>
    <w:rsid w:val="003145F0"/>
    <w:rsid w:val="00321197"/>
    <w:rsid w:val="00323C1E"/>
    <w:rsid w:val="0032536E"/>
    <w:rsid w:val="003254C9"/>
    <w:rsid w:val="00325C9A"/>
    <w:rsid w:val="003318B6"/>
    <w:rsid w:val="00331EB8"/>
    <w:rsid w:val="00332372"/>
    <w:rsid w:val="003326E4"/>
    <w:rsid w:val="00333E23"/>
    <w:rsid w:val="003367B8"/>
    <w:rsid w:val="00342C61"/>
    <w:rsid w:val="0035598B"/>
    <w:rsid w:val="003562C3"/>
    <w:rsid w:val="003568A9"/>
    <w:rsid w:val="003607EB"/>
    <w:rsid w:val="00362C5F"/>
    <w:rsid w:val="00366CEC"/>
    <w:rsid w:val="00370AE5"/>
    <w:rsid w:val="00372016"/>
    <w:rsid w:val="003755D0"/>
    <w:rsid w:val="00382627"/>
    <w:rsid w:val="00385B61"/>
    <w:rsid w:val="003A31C0"/>
    <w:rsid w:val="003A452B"/>
    <w:rsid w:val="003B0DDD"/>
    <w:rsid w:val="003B3C52"/>
    <w:rsid w:val="003B4A09"/>
    <w:rsid w:val="003B60FD"/>
    <w:rsid w:val="003B611D"/>
    <w:rsid w:val="003C3098"/>
    <w:rsid w:val="003C4311"/>
    <w:rsid w:val="003D310C"/>
    <w:rsid w:val="003D7E13"/>
    <w:rsid w:val="003F059C"/>
    <w:rsid w:val="003F3FBB"/>
    <w:rsid w:val="00401F4E"/>
    <w:rsid w:val="004043F6"/>
    <w:rsid w:val="00411BF4"/>
    <w:rsid w:val="00412EBD"/>
    <w:rsid w:val="00417AE3"/>
    <w:rsid w:val="00421893"/>
    <w:rsid w:val="0042247C"/>
    <w:rsid w:val="0042401D"/>
    <w:rsid w:val="004240E9"/>
    <w:rsid w:val="00426FD1"/>
    <w:rsid w:val="004426E0"/>
    <w:rsid w:val="00461CAF"/>
    <w:rsid w:val="00463C78"/>
    <w:rsid w:val="00465030"/>
    <w:rsid w:val="00481E9A"/>
    <w:rsid w:val="004832BB"/>
    <w:rsid w:val="00493657"/>
    <w:rsid w:val="004A12CB"/>
    <w:rsid w:val="004A414D"/>
    <w:rsid w:val="004A5099"/>
    <w:rsid w:val="004B430D"/>
    <w:rsid w:val="004B4E5C"/>
    <w:rsid w:val="004B584E"/>
    <w:rsid w:val="004B5AC4"/>
    <w:rsid w:val="004B633B"/>
    <w:rsid w:val="004C0146"/>
    <w:rsid w:val="004C0F26"/>
    <w:rsid w:val="004C2AFD"/>
    <w:rsid w:val="004D3011"/>
    <w:rsid w:val="004D7AC2"/>
    <w:rsid w:val="004E2831"/>
    <w:rsid w:val="004E2ECB"/>
    <w:rsid w:val="004E56EB"/>
    <w:rsid w:val="004E66F1"/>
    <w:rsid w:val="004E73CD"/>
    <w:rsid w:val="004F1F25"/>
    <w:rsid w:val="00505C04"/>
    <w:rsid w:val="00506034"/>
    <w:rsid w:val="00520419"/>
    <w:rsid w:val="00521AA4"/>
    <w:rsid w:val="00524A30"/>
    <w:rsid w:val="00524D4F"/>
    <w:rsid w:val="00531C04"/>
    <w:rsid w:val="00532A7A"/>
    <w:rsid w:val="00544DEF"/>
    <w:rsid w:val="005465DC"/>
    <w:rsid w:val="0055083A"/>
    <w:rsid w:val="005519A8"/>
    <w:rsid w:val="005703A2"/>
    <w:rsid w:val="0057249E"/>
    <w:rsid w:val="005743DA"/>
    <w:rsid w:val="00574989"/>
    <w:rsid w:val="00575EB9"/>
    <w:rsid w:val="00576347"/>
    <w:rsid w:val="005868DC"/>
    <w:rsid w:val="00594C8B"/>
    <w:rsid w:val="005973CE"/>
    <w:rsid w:val="005A18FB"/>
    <w:rsid w:val="005A2875"/>
    <w:rsid w:val="005A2D73"/>
    <w:rsid w:val="005A3058"/>
    <w:rsid w:val="005A7BC1"/>
    <w:rsid w:val="005B0DF8"/>
    <w:rsid w:val="005B1965"/>
    <w:rsid w:val="005B215E"/>
    <w:rsid w:val="005B25B6"/>
    <w:rsid w:val="005B39DF"/>
    <w:rsid w:val="005C3DC9"/>
    <w:rsid w:val="005C7188"/>
    <w:rsid w:val="005D21BC"/>
    <w:rsid w:val="005D5301"/>
    <w:rsid w:val="005D6C3D"/>
    <w:rsid w:val="005E0884"/>
    <w:rsid w:val="005E26AB"/>
    <w:rsid w:val="005E492E"/>
    <w:rsid w:val="005F144C"/>
    <w:rsid w:val="005F49EA"/>
    <w:rsid w:val="006005AE"/>
    <w:rsid w:val="0060336E"/>
    <w:rsid w:val="00603C52"/>
    <w:rsid w:val="00605D5D"/>
    <w:rsid w:val="00616447"/>
    <w:rsid w:val="006169AD"/>
    <w:rsid w:val="0062353D"/>
    <w:rsid w:val="0062430B"/>
    <w:rsid w:val="00634671"/>
    <w:rsid w:val="00635630"/>
    <w:rsid w:val="0063664B"/>
    <w:rsid w:val="00642B76"/>
    <w:rsid w:val="006536D6"/>
    <w:rsid w:val="0065412B"/>
    <w:rsid w:val="00657F08"/>
    <w:rsid w:val="00661218"/>
    <w:rsid w:val="0066144D"/>
    <w:rsid w:val="006636AD"/>
    <w:rsid w:val="00667247"/>
    <w:rsid w:val="00667570"/>
    <w:rsid w:val="0067065C"/>
    <w:rsid w:val="00681642"/>
    <w:rsid w:val="00684230"/>
    <w:rsid w:val="006873B6"/>
    <w:rsid w:val="00687697"/>
    <w:rsid w:val="006879FE"/>
    <w:rsid w:val="00693E5E"/>
    <w:rsid w:val="00694F9B"/>
    <w:rsid w:val="006A3E39"/>
    <w:rsid w:val="006B2681"/>
    <w:rsid w:val="006B327D"/>
    <w:rsid w:val="006B56D3"/>
    <w:rsid w:val="006B57AD"/>
    <w:rsid w:val="006B7D3C"/>
    <w:rsid w:val="006D63DF"/>
    <w:rsid w:val="006E7C77"/>
    <w:rsid w:val="006F2A5D"/>
    <w:rsid w:val="006F4437"/>
    <w:rsid w:val="00700690"/>
    <w:rsid w:val="00704038"/>
    <w:rsid w:val="0070676F"/>
    <w:rsid w:val="00720082"/>
    <w:rsid w:val="0072220B"/>
    <w:rsid w:val="00756116"/>
    <w:rsid w:val="00767513"/>
    <w:rsid w:val="00770EB6"/>
    <w:rsid w:val="007744AB"/>
    <w:rsid w:val="007750C3"/>
    <w:rsid w:val="00775DDA"/>
    <w:rsid w:val="00785265"/>
    <w:rsid w:val="00790F64"/>
    <w:rsid w:val="00793852"/>
    <w:rsid w:val="007C5A91"/>
    <w:rsid w:val="007D1C8C"/>
    <w:rsid w:val="007D5909"/>
    <w:rsid w:val="007E12DF"/>
    <w:rsid w:val="007E78AF"/>
    <w:rsid w:val="007F52E2"/>
    <w:rsid w:val="00804157"/>
    <w:rsid w:val="008060C9"/>
    <w:rsid w:val="00812C68"/>
    <w:rsid w:val="0081384C"/>
    <w:rsid w:val="00817E3F"/>
    <w:rsid w:val="00820A59"/>
    <w:rsid w:val="008211CB"/>
    <w:rsid w:val="008322CE"/>
    <w:rsid w:val="0083550E"/>
    <w:rsid w:val="00843B00"/>
    <w:rsid w:val="00844A88"/>
    <w:rsid w:val="0084586D"/>
    <w:rsid w:val="0085324B"/>
    <w:rsid w:val="00853C01"/>
    <w:rsid w:val="00856D83"/>
    <w:rsid w:val="00876FDF"/>
    <w:rsid w:val="0088005A"/>
    <w:rsid w:val="0088024A"/>
    <w:rsid w:val="00881DED"/>
    <w:rsid w:val="00882491"/>
    <w:rsid w:val="008873BD"/>
    <w:rsid w:val="008A04A7"/>
    <w:rsid w:val="008A18CE"/>
    <w:rsid w:val="008A3362"/>
    <w:rsid w:val="008B4BCA"/>
    <w:rsid w:val="008C2168"/>
    <w:rsid w:val="008C3CBF"/>
    <w:rsid w:val="008C7275"/>
    <w:rsid w:val="008D44DD"/>
    <w:rsid w:val="008D690D"/>
    <w:rsid w:val="008E2E8B"/>
    <w:rsid w:val="008E7CEF"/>
    <w:rsid w:val="008F26B2"/>
    <w:rsid w:val="008F3DAA"/>
    <w:rsid w:val="009045F7"/>
    <w:rsid w:val="00915EAD"/>
    <w:rsid w:val="009263D5"/>
    <w:rsid w:val="009411A3"/>
    <w:rsid w:val="00954236"/>
    <w:rsid w:val="00954FCE"/>
    <w:rsid w:val="00956B56"/>
    <w:rsid w:val="009649CD"/>
    <w:rsid w:val="009659EF"/>
    <w:rsid w:val="00972159"/>
    <w:rsid w:val="00973234"/>
    <w:rsid w:val="0097496B"/>
    <w:rsid w:val="00976776"/>
    <w:rsid w:val="009857A4"/>
    <w:rsid w:val="009975E6"/>
    <w:rsid w:val="009A1495"/>
    <w:rsid w:val="009C16CD"/>
    <w:rsid w:val="009C2931"/>
    <w:rsid w:val="009C5870"/>
    <w:rsid w:val="009D3D0B"/>
    <w:rsid w:val="009D45F2"/>
    <w:rsid w:val="009E1705"/>
    <w:rsid w:val="009E7C92"/>
    <w:rsid w:val="009E7E90"/>
    <w:rsid w:val="009F1033"/>
    <w:rsid w:val="00A0643F"/>
    <w:rsid w:val="00A0659B"/>
    <w:rsid w:val="00A168E6"/>
    <w:rsid w:val="00A21C43"/>
    <w:rsid w:val="00A25370"/>
    <w:rsid w:val="00A26963"/>
    <w:rsid w:val="00A44799"/>
    <w:rsid w:val="00A4677E"/>
    <w:rsid w:val="00A62224"/>
    <w:rsid w:val="00A63155"/>
    <w:rsid w:val="00A7317D"/>
    <w:rsid w:val="00A7635B"/>
    <w:rsid w:val="00A76636"/>
    <w:rsid w:val="00A8293C"/>
    <w:rsid w:val="00A83760"/>
    <w:rsid w:val="00A850D8"/>
    <w:rsid w:val="00AA4673"/>
    <w:rsid w:val="00AA6872"/>
    <w:rsid w:val="00AB283C"/>
    <w:rsid w:val="00AB2AE1"/>
    <w:rsid w:val="00AB409C"/>
    <w:rsid w:val="00AB73E6"/>
    <w:rsid w:val="00AC4A3D"/>
    <w:rsid w:val="00AD7219"/>
    <w:rsid w:val="00AE012D"/>
    <w:rsid w:val="00AF244A"/>
    <w:rsid w:val="00AF4B5A"/>
    <w:rsid w:val="00AF7D59"/>
    <w:rsid w:val="00B026E4"/>
    <w:rsid w:val="00B03018"/>
    <w:rsid w:val="00B061D5"/>
    <w:rsid w:val="00B14922"/>
    <w:rsid w:val="00B14B69"/>
    <w:rsid w:val="00B31096"/>
    <w:rsid w:val="00B327DF"/>
    <w:rsid w:val="00B32A4F"/>
    <w:rsid w:val="00B366EC"/>
    <w:rsid w:val="00B47632"/>
    <w:rsid w:val="00B50F39"/>
    <w:rsid w:val="00B5290F"/>
    <w:rsid w:val="00B52DC6"/>
    <w:rsid w:val="00B572CB"/>
    <w:rsid w:val="00B5757E"/>
    <w:rsid w:val="00B66DEE"/>
    <w:rsid w:val="00B707C3"/>
    <w:rsid w:val="00B732E9"/>
    <w:rsid w:val="00B75ECF"/>
    <w:rsid w:val="00B81731"/>
    <w:rsid w:val="00B834A9"/>
    <w:rsid w:val="00B83BB2"/>
    <w:rsid w:val="00B83EF5"/>
    <w:rsid w:val="00B84011"/>
    <w:rsid w:val="00B86846"/>
    <w:rsid w:val="00B87167"/>
    <w:rsid w:val="00B91BFC"/>
    <w:rsid w:val="00BA2992"/>
    <w:rsid w:val="00BA49B7"/>
    <w:rsid w:val="00BA5154"/>
    <w:rsid w:val="00BA7143"/>
    <w:rsid w:val="00BA75BC"/>
    <w:rsid w:val="00BA7962"/>
    <w:rsid w:val="00BB1602"/>
    <w:rsid w:val="00BB3D31"/>
    <w:rsid w:val="00BC0C91"/>
    <w:rsid w:val="00BC0F9D"/>
    <w:rsid w:val="00BD4237"/>
    <w:rsid w:val="00BD5FE2"/>
    <w:rsid w:val="00BE0161"/>
    <w:rsid w:val="00BE0CB2"/>
    <w:rsid w:val="00BE19D5"/>
    <w:rsid w:val="00BE211D"/>
    <w:rsid w:val="00BE601F"/>
    <w:rsid w:val="00BF1620"/>
    <w:rsid w:val="00C01525"/>
    <w:rsid w:val="00C04293"/>
    <w:rsid w:val="00C04D82"/>
    <w:rsid w:val="00C077D7"/>
    <w:rsid w:val="00C15928"/>
    <w:rsid w:val="00C248E7"/>
    <w:rsid w:val="00C337B3"/>
    <w:rsid w:val="00C40FC0"/>
    <w:rsid w:val="00C41815"/>
    <w:rsid w:val="00C4407D"/>
    <w:rsid w:val="00C46038"/>
    <w:rsid w:val="00C4667A"/>
    <w:rsid w:val="00C52581"/>
    <w:rsid w:val="00C52ED4"/>
    <w:rsid w:val="00C53174"/>
    <w:rsid w:val="00C53D71"/>
    <w:rsid w:val="00C60431"/>
    <w:rsid w:val="00C610BC"/>
    <w:rsid w:val="00C620D1"/>
    <w:rsid w:val="00C64034"/>
    <w:rsid w:val="00C67854"/>
    <w:rsid w:val="00C724AE"/>
    <w:rsid w:val="00C748FA"/>
    <w:rsid w:val="00C817DB"/>
    <w:rsid w:val="00C833CC"/>
    <w:rsid w:val="00C932CE"/>
    <w:rsid w:val="00C93DE5"/>
    <w:rsid w:val="00CA183D"/>
    <w:rsid w:val="00CB775B"/>
    <w:rsid w:val="00CC574E"/>
    <w:rsid w:val="00CD1117"/>
    <w:rsid w:val="00CD1852"/>
    <w:rsid w:val="00CD3F91"/>
    <w:rsid w:val="00CD752B"/>
    <w:rsid w:val="00CE0469"/>
    <w:rsid w:val="00D12465"/>
    <w:rsid w:val="00D12CD7"/>
    <w:rsid w:val="00D228A7"/>
    <w:rsid w:val="00D23727"/>
    <w:rsid w:val="00D238D7"/>
    <w:rsid w:val="00D30A93"/>
    <w:rsid w:val="00D31668"/>
    <w:rsid w:val="00D31C6A"/>
    <w:rsid w:val="00D37966"/>
    <w:rsid w:val="00D4492A"/>
    <w:rsid w:val="00D469AB"/>
    <w:rsid w:val="00D47E2E"/>
    <w:rsid w:val="00D53888"/>
    <w:rsid w:val="00D55618"/>
    <w:rsid w:val="00D61A15"/>
    <w:rsid w:val="00D6558A"/>
    <w:rsid w:val="00D66DC2"/>
    <w:rsid w:val="00D73AA2"/>
    <w:rsid w:val="00D84DD1"/>
    <w:rsid w:val="00D95AD0"/>
    <w:rsid w:val="00D95F2E"/>
    <w:rsid w:val="00DB26FA"/>
    <w:rsid w:val="00DB541B"/>
    <w:rsid w:val="00DB7617"/>
    <w:rsid w:val="00DD2700"/>
    <w:rsid w:val="00DE043C"/>
    <w:rsid w:val="00DE0675"/>
    <w:rsid w:val="00DE0683"/>
    <w:rsid w:val="00DE561D"/>
    <w:rsid w:val="00DE56D1"/>
    <w:rsid w:val="00DF2CD4"/>
    <w:rsid w:val="00E00B37"/>
    <w:rsid w:val="00E022D3"/>
    <w:rsid w:val="00E10F7D"/>
    <w:rsid w:val="00E23B71"/>
    <w:rsid w:val="00E339EA"/>
    <w:rsid w:val="00E35453"/>
    <w:rsid w:val="00E41CC5"/>
    <w:rsid w:val="00E42289"/>
    <w:rsid w:val="00E440E2"/>
    <w:rsid w:val="00E45B4E"/>
    <w:rsid w:val="00E46828"/>
    <w:rsid w:val="00E559F8"/>
    <w:rsid w:val="00E647D3"/>
    <w:rsid w:val="00E65334"/>
    <w:rsid w:val="00E67EE6"/>
    <w:rsid w:val="00E70BEC"/>
    <w:rsid w:val="00E96FB8"/>
    <w:rsid w:val="00EA038C"/>
    <w:rsid w:val="00EA17EA"/>
    <w:rsid w:val="00EA332B"/>
    <w:rsid w:val="00EA47AF"/>
    <w:rsid w:val="00EA70DC"/>
    <w:rsid w:val="00EB00AE"/>
    <w:rsid w:val="00EB1B24"/>
    <w:rsid w:val="00EB6306"/>
    <w:rsid w:val="00EC6EC0"/>
    <w:rsid w:val="00ED2B2D"/>
    <w:rsid w:val="00ED52DE"/>
    <w:rsid w:val="00ED6451"/>
    <w:rsid w:val="00EE2A1E"/>
    <w:rsid w:val="00EE2B80"/>
    <w:rsid w:val="00EE32D4"/>
    <w:rsid w:val="00EE5492"/>
    <w:rsid w:val="00EE59EB"/>
    <w:rsid w:val="00EE6670"/>
    <w:rsid w:val="00EF0018"/>
    <w:rsid w:val="00EF0030"/>
    <w:rsid w:val="00EF122E"/>
    <w:rsid w:val="00EF5A05"/>
    <w:rsid w:val="00F00E7B"/>
    <w:rsid w:val="00F045FB"/>
    <w:rsid w:val="00F11BA5"/>
    <w:rsid w:val="00F14521"/>
    <w:rsid w:val="00F23BAC"/>
    <w:rsid w:val="00F264AA"/>
    <w:rsid w:val="00F324A6"/>
    <w:rsid w:val="00F32643"/>
    <w:rsid w:val="00F3741A"/>
    <w:rsid w:val="00F377C6"/>
    <w:rsid w:val="00F46387"/>
    <w:rsid w:val="00F54452"/>
    <w:rsid w:val="00F56A80"/>
    <w:rsid w:val="00F62F5F"/>
    <w:rsid w:val="00F63E8F"/>
    <w:rsid w:val="00F63FF1"/>
    <w:rsid w:val="00F762DD"/>
    <w:rsid w:val="00F82A21"/>
    <w:rsid w:val="00F84637"/>
    <w:rsid w:val="00F91349"/>
    <w:rsid w:val="00FA33B2"/>
    <w:rsid w:val="00FB1A6D"/>
    <w:rsid w:val="00FB2679"/>
    <w:rsid w:val="00FB2828"/>
    <w:rsid w:val="00FB3D18"/>
    <w:rsid w:val="00FB7912"/>
    <w:rsid w:val="00FC1F89"/>
    <w:rsid w:val="00FD659A"/>
    <w:rsid w:val="00FD6607"/>
    <w:rsid w:val="00FE221B"/>
    <w:rsid w:val="00FE4F73"/>
    <w:rsid w:val="00FE5812"/>
    <w:rsid w:val="00FF1CB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2C7A9"/>
  <w15:chartTrackingRefBased/>
  <w15:docId w15:val="{9CC3236D-50C4-45CE-ADA5-2B4BC89F5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A5D"/>
    <w:pPr>
      <w:spacing w:after="0" w:line="240" w:lineRule="auto"/>
      <w:jc w:val="both"/>
    </w:pPr>
    <w:rPr>
      <w:rFonts w:ascii="Verdana" w:eastAsia="Times New Roman" w:hAnsi="Verdana" w:cs="Times New Roman"/>
      <w:sz w:val="20"/>
      <w:szCs w:val="24"/>
      <w:lang w:val="en-US"/>
    </w:rPr>
  </w:style>
  <w:style w:type="paragraph" w:styleId="Ttulo1">
    <w:name w:val="heading 1"/>
    <w:basedOn w:val="Normal"/>
    <w:next w:val="Normal"/>
    <w:link w:val="Ttulo1Car"/>
    <w:uiPriority w:val="9"/>
    <w:qFormat/>
    <w:rsid w:val="001003AC"/>
    <w:pPr>
      <w:keepNext/>
      <w:keepLines/>
      <w:spacing w:before="120" w:after="240"/>
      <w:jc w:val="center"/>
      <w:outlineLvl w:val="0"/>
    </w:pPr>
    <w:rPr>
      <w:rFonts w:eastAsiaTheme="majorEastAsia" w:cstheme="majorBidi"/>
      <w:b/>
      <w:bCs/>
      <w:caps/>
      <w:szCs w:val="28"/>
    </w:rPr>
  </w:style>
  <w:style w:type="paragraph" w:styleId="Ttulo2">
    <w:name w:val="heading 2"/>
    <w:basedOn w:val="Prrafodelista"/>
    <w:next w:val="Normal"/>
    <w:link w:val="Ttulo2Car"/>
    <w:qFormat/>
    <w:rsid w:val="001003AC"/>
    <w:pPr>
      <w:numPr>
        <w:numId w:val="2"/>
      </w:numPr>
      <w:tabs>
        <w:tab w:val="left" w:pos="567"/>
        <w:tab w:val="left" w:pos="993"/>
      </w:tabs>
      <w:spacing w:before="240" w:after="120"/>
      <w:ind w:left="924" w:hanging="357"/>
      <w:outlineLvl w:val="1"/>
    </w:pPr>
    <w:rPr>
      <w:b/>
      <w:i/>
      <w:szCs w:val="20"/>
      <w:lang w:val="es-CR"/>
    </w:rPr>
  </w:style>
  <w:style w:type="paragraph" w:styleId="Ttulo3">
    <w:name w:val="heading 3"/>
    <w:basedOn w:val="Prrafodelista"/>
    <w:next w:val="Normal"/>
    <w:link w:val="Ttulo3Car"/>
    <w:qFormat/>
    <w:rsid w:val="001003AC"/>
    <w:pPr>
      <w:tabs>
        <w:tab w:val="left" w:pos="567"/>
      </w:tabs>
      <w:spacing w:before="120" w:after="120"/>
      <w:ind w:left="1418"/>
      <w:outlineLvl w:val="2"/>
    </w:pPr>
    <w:rPr>
      <w:i/>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03AC"/>
    <w:rPr>
      <w:rFonts w:ascii="Verdana" w:eastAsiaTheme="majorEastAsia" w:hAnsi="Verdana" w:cstheme="majorBidi"/>
      <w:b/>
      <w:bCs/>
      <w:caps/>
      <w:sz w:val="20"/>
      <w:szCs w:val="28"/>
      <w:lang w:val="en-US"/>
    </w:rPr>
  </w:style>
  <w:style w:type="character" w:customStyle="1" w:styleId="Ttulo2Car">
    <w:name w:val="Título 2 Car"/>
    <w:basedOn w:val="Fuentedeprrafopredeter"/>
    <w:link w:val="Ttulo2"/>
    <w:rsid w:val="001003AC"/>
    <w:rPr>
      <w:rFonts w:ascii="Verdana" w:eastAsia="Times New Roman" w:hAnsi="Verdana" w:cs="Times New Roman"/>
      <w:b/>
      <w:i/>
      <w:sz w:val="20"/>
      <w:szCs w:val="20"/>
    </w:rPr>
  </w:style>
  <w:style w:type="character" w:customStyle="1" w:styleId="Ttulo3Car">
    <w:name w:val="Título 3 Car"/>
    <w:basedOn w:val="Fuentedeprrafopredeter"/>
    <w:link w:val="Ttulo3"/>
    <w:rsid w:val="001003AC"/>
    <w:rPr>
      <w:rFonts w:ascii="Verdana" w:eastAsia="Times New Roman" w:hAnsi="Verdana" w:cs="Times New Roman"/>
      <w:i/>
      <w:sz w:val="20"/>
      <w:szCs w:val="24"/>
      <w:lang w:val="es-CO"/>
    </w:rPr>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de nota al pie,norma"/>
    <w:link w:val="FootnotesrefssChar1Char"/>
    <w:uiPriority w:val="99"/>
    <w:qFormat/>
    <w:rsid w:val="001003AC"/>
    <w:rPr>
      <w:rFonts w:ascii="Verdana" w:hAnsi="Verdana"/>
      <w:sz w:val="20"/>
      <w:szCs w:val="20"/>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unhideWhenUsed/>
    <w:qFormat/>
    <w:rsid w:val="001003AC"/>
    <w:pPr>
      <w:tabs>
        <w:tab w:val="left" w:pos="567"/>
      </w:tabs>
      <w:spacing w:before="120" w:after="120"/>
    </w:pPr>
    <w:rPr>
      <w:sz w:val="16"/>
      <w:szCs w:val="20"/>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link w:val="Textonotapie"/>
    <w:qFormat/>
    <w:rsid w:val="001003AC"/>
    <w:rPr>
      <w:rFonts w:ascii="Verdana" w:eastAsia="Times New Roman" w:hAnsi="Verdana" w:cs="Times New Roman"/>
      <w:sz w:val="16"/>
      <w:szCs w:val="20"/>
      <w:lang w:val="es-ES_tradnl" w:eastAsia="es-ES"/>
    </w:rPr>
  </w:style>
  <w:style w:type="paragraph" w:customStyle="1" w:styleId="PrrafodeSentencia">
    <w:name w:val="*. Párrafo de Sentencia"/>
    <w:basedOn w:val="Normal"/>
    <w:next w:val="Normal"/>
    <w:link w:val="PrrafodeSentenciaChar"/>
    <w:qFormat/>
    <w:rsid w:val="001003AC"/>
    <w:pPr>
      <w:numPr>
        <w:numId w:val="1"/>
      </w:numPr>
      <w:tabs>
        <w:tab w:val="left" w:pos="567"/>
      </w:tabs>
      <w:ind w:left="0" w:firstLine="0"/>
    </w:pPr>
    <w:rPr>
      <w:rFonts w:eastAsia="Batang" w:cstheme="minorBidi"/>
      <w:spacing w:val="-4"/>
      <w:szCs w:val="22"/>
      <w:lang w:val="es-CR" w:eastAsia="es-MX"/>
    </w:rPr>
  </w:style>
  <w:style w:type="character" w:customStyle="1" w:styleId="PrrafodeSentenciaChar">
    <w:name w:val="*. Párrafo de Sentencia Char"/>
    <w:link w:val="PrrafodeSentencia"/>
    <w:locked/>
    <w:rsid w:val="001003AC"/>
    <w:rPr>
      <w:rFonts w:ascii="Verdana" w:eastAsia="Batang" w:hAnsi="Verdana"/>
      <w:spacing w:val="-4"/>
      <w:sz w:val="20"/>
      <w:lang w:eastAsia="es-MX"/>
    </w:rPr>
  </w:style>
  <w:style w:type="paragraph" w:styleId="Prrafodelista">
    <w:name w:val="List Paragraph"/>
    <w:aliases w:val="Párrafo de lista1,List Paragraph1,Colorful List - Accent 11,List Paragraph11,List Paragraph2,Lista vistosa - Énfasis 11,Subtle Emphasis1,Footnote1,Parrafos"/>
    <w:basedOn w:val="Normal"/>
    <w:link w:val="PrrafodelistaCar"/>
    <w:qFormat/>
    <w:rsid w:val="001003AC"/>
    <w:pPr>
      <w:ind w:left="720"/>
      <w:contextualSpacing/>
    </w:pPr>
  </w:style>
  <w:style w:type="paragraph" w:styleId="Textocomentario">
    <w:name w:val="annotation text"/>
    <w:basedOn w:val="Normal"/>
    <w:link w:val="TextocomentarioCar"/>
    <w:uiPriority w:val="99"/>
    <w:unhideWhenUsed/>
    <w:rsid w:val="001003AC"/>
    <w:rPr>
      <w:szCs w:val="20"/>
    </w:rPr>
  </w:style>
  <w:style w:type="character" w:customStyle="1" w:styleId="TextocomentarioCar">
    <w:name w:val="Texto comentario Car"/>
    <w:basedOn w:val="Fuentedeprrafopredeter"/>
    <w:link w:val="Textocomentario"/>
    <w:uiPriority w:val="99"/>
    <w:rsid w:val="001003AC"/>
    <w:rPr>
      <w:rFonts w:ascii="Verdana" w:eastAsia="Times New Roman" w:hAnsi="Verdana" w:cs="Times New Roman"/>
      <w:sz w:val="20"/>
      <w:szCs w:val="20"/>
      <w:lang w:val="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uiPriority w:val="99"/>
    <w:qFormat/>
    <w:rsid w:val="001003AC"/>
    <w:pPr>
      <w:spacing w:after="160" w:line="240" w:lineRule="exact"/>
    </w:pPr>
    <w:rPr>
      <w:rFonts w:eastAsiaTheme="minorHAnsi" w:cstheme="minorBidi"/>
      <w:szCs w:val="20"/>
      <w:vertAlign w:val="superscript"/>
      <w:lang w:val="es-CR"/>
    </w:rPr>
  </w:style>
  <w:style w:type="character" w:customStyle="1" w:styleId="PrrafodelistaCar">
    <w:name w:val="Párrafo de lista Car"/>
    <w:aliases w:val="Párrafo de lista1 Car,List Paragraph1 Car,Colorful List - Accent 11 Car,List Paragraph11 Car,List Paragraph2 Car,Lista vistosa - Énfasis 11 Car,Subtle Emphasis1 Car,Footnote1 Car,Parrafos Car"/>
    <w:link w:val="Prrafodelista"/>
    <w:locked/>
    <w:rsid w:val="001003AC"/>
    <w:rPr>
      <w:rFonts w:ascii="Verdana" w:eastAsia="Times New Roman" w:hAnsi="Verdana" w:cs="Times New Roman"/>
      <w:sz w:val="20"/>
      <w:szCs w:val="24"/>
      <w:lang w:val="en-US"/>
    </w:rPr>
  </w:style>
  <w:style w:type="paragraph" w:customStyle="1" w:styleId="Footnotes">
    <w:name w:val="**. Footnotes"/>
    <w:basedOn w:val="Textonotapie"/>
    <w:link w:val="FootnotesChar"/>
    <w:autoRedefine/>
    <w:qFormat/>
    <w:rsid w:val="00A44799"/>
    <w:pPr>
      <w:tabs>
        <w:tab w:val="clear" w:pos="567"/>
        <w:tab w:val="left" w:pos="426"/>
      </w:tabs>
      <w:spacing w:before="0" w:after="0"/>
    </w:pPr>
    <w:rPr>
      <w:rFonts w:cs="Palatino-Italic"/>
      <w:iCs/>
      <w:spacing w:val="-4"/>
      <w:szCs w:val="16"/>
      <w:lang w:val="es-ES" w:eastAsia="en-US" w:bidi="en-US"/>
    </w:rPr>
  </w:style>
  <w:style w:type="character" w:customStyle="1" w:styleId="FootnotesChar">
    <w:name w:val="**. Footnotes Char"/>
    <w:basedOn w:val="Fuentedeprrafopredeter"/>
    <w:link w:val="Footnotes"/>
    <w:rsid w:val="00A44799"/>
    <w:rPr>
      <w:rFonts w:ascii="Verdana" w:eastAsia="Times New Roman" w:hAnsi="Verdana" w:cs="Palatino-Italic"/>
      <w:iCs/>
      <w:spacing w:val="-4"/>
      <w:sz w:val="16"/>
      <w:szCs w:val="16"/>
      <w:lang w:val="es-ES" w:bidi="en-US"/>
    </w:rPr>
  </w:style>
  <w:style w:type="character" w:styleId="Textoennegrita">
    <w:name w:val="Strong"/>
    <w:aliases w:val="Heading 2.1"/>
    <w:basedOn w:val="Fuentedeprrafopredeter"/>
    <w:uiPriority w:val="22"/>
    <w:qFormat/>
    <w:rsid w:val="001003AC"/>
    <w:rPr>
      <w:b/>
      <w:bCs/>
    </w:rPr>
  </w:style>
  <w:style w:type="paragraph" w:styleId="Ttulo">
    <w:name w:val="Title"/>
    <w:basedOn w:val="Ttulo1"/>
    <w:next w:val="Normal"/>
    <w:link w:val="TtuloCar"/>
    <w:qFormat/>
    <w:rsid w:val="001003AC"/>
    <w:pPr>
      <w:keepNext w:val="0"/>
      <w:keepLines w:val="0"/>
      <w:tabs>
        <w:tab w:val="center" w:pos="4320"/>
        <w:tab w:val="right" w:pos="8640"/>
      </w:tabs>
      <w:spacing w:before="240"/>
    </w:pPr>
    <w:rPr>
      <w:rFonts w:eastAsia="Times New Roman" w:cs="Times New Roman"/>
      <w:bCs w:val="0"/>
      <w:caps w:val="0"/>
      <w:sz w:val="22"/>
      <w:szCs w:val="20"/>
      <w:lang w:val="es-CR" w:eastAsia="es-ES"/>
    </w:rPr>
  </w:style>
  <w:style w:type="character" w:customStyle="1" w:styleId="TtuloCar">
    <w:name w:val="Título Car"/>
    <w:basedOn w:val="Fuentedeprrafopredeter"/>
    <w:link w:val="Ttulo"/>
    <w:rsid w:val="001003AC"/>
    <w:rPr>
      <w:rFonts w:ascii="Verdana" w:eastAsia="Times New Roman" w:hAnsi="Verdana" w:cs="Times New Roman"/>
      <w:b/>
      <w:szCs w:val="20"/>
      <w:lang w:eastAsia="es-ES"/>
    </w:rPr>
  </w:style>
  <w:style w:type="paragraph" w:customStyle="1" w:styleId="Textoindependiente1">
    <w:name w:val="Texto independiente1"/>
    <w:basedOn w:val="Normal"/>
    <w:rsid w:val="001003AC"/>
    <w:pPr>
      <w:widowControl w:val="0"/>
    </w:pPr>
    <w:rPr>
      <w:rFonts w:ascii="New York" w:hAnsi="New York"/>
      <w:szCs w:val="20"/>
      <w:lang w:val="es-ES_tradnl"/>
    </w:rPr>
  </w:style>
  <w:style w:type="paragraph" w:styleId="Sinespaciado">
    <w:name w:val="No Spacing"/>
    <w:uiPriority w:val="1"/>
    <w:qFormat/>
    <w:rsid w:val="001003AC"/>
    <w:pPr>
      <w:spacing w:after="0" w:line="240" w:lineRule="auto"/>
    </w:pPr>
    <w:rPr>
      <w:rFonts w:ascii="Times New Roman" w:eastAsia="Times New Roman" w:hAnsi="Times New Roman" w:cs="Times New Roman"/>
      <w:sz w:val="24"/>
      <w:szCs w:val="24"/>
      <w:lang w:val="es-MX"/>
    </w:rPr>
  </w:style>
  <w:style w:type="paragraph" w:customStyle="1" w:styleId="citaindirecta">
    <w:name w:val="cita indirecta"/>
    <w:basedOn w:val="Normal"/>
    <w:uiPriority w:val="99"/>
    <w:rsid w:val="001003AC"/>
    <w:pPr>
      <w:ind w:left="708"/>
    </w:pPr>
    <w:rPr>
      <w:szCs w:val="20"/>
      <w:lang w:val="es-ES_tradnl" w:eastAsia="es-MX"/>
    </w:rPr>
  </w:style>
  <w:style w:type="character" w:styleId="Refdecomentario">
    <w:name w:val="annotation reference"/>
    <w:basedOn w:val="Fuentedeprrafopredeter"/>
    <w:uiPriority w:val="99"/>
    <w:semiHidden/>
    <w:unhideWhenUsed/>
    <w:rsid w:val="00325C9A"/>
    <w:rPr>
      <w:sz w:val="16"/>
      <w:szCs w:val="16"/>
    </w:rPr>
  </w:style>
  <w:style w:type="paragraph" w:styleId="Asuntodelcomentario">
    <w:name w:val="annotation subject"/>
    <w:basedOn w:val="Textocomentario"/>
    <w:next w:val="Textocomentario"/>
    <w:link w:val="AsuntodelcomentarioCar"/>
    <w:uiPriority w:val="99"/>
    <w:semiHidden/>
    <w:unhideWhenUsed/>
    <w:rsid w:val="00325C9A"/>
    <w:rPr>
      <w:b/>
      <w:bCs/>
    </w:rPr>
  </w:style>
  <w:style w:type="character" w:customStyle="1" w:styleId="AsuntodelcomentarioCar">
    <w:name w:val="Asunto del comentario Car"/>
    <w:basedOn w:val="TextocomentarioCar"/>
    <w:link w:val="Asuntodelcomentario"/>
    <w:uiPriority w:val="99"/>
    <w:semiHidden/>
    <w:rsid w:val="00325C9A"/>
    <w:rPr>
      <w:rFonts w:ascii="Verdana" w:eastAsia="Times New Roman" w:hAnsi="Verdana" w:cs="Times New Roman"/>
      <w:b/>
      <w:bCs/>
      <w:sz w:val="20"/>
      <w:szCs w:val="20"/>
      <w:lang w:val="en-US"/>
    </w:rPr>
  </w:style>
  <w:style w:type="paragraph" w:styleId="Revisin">
    <w:name w:val="Revision"/>
    <w:hidden/>
    <w:uiPriority w:val="99"/>
    <w:semiHidden/>
    <w:rsid w:val="008C3CBF"/>
    <w:pPr>
      <w:spacing w:after="0" w:line="240" w:lineRule="auto"/>
    </w:pPr>
    <w:rPr>
      <w:rFonts w:ascii="Verdana" w:eastAsia="Times New Roman" w:hAnsi="Verdana" w:cs="Times New Roman"/>
      <w:sz w:val="20"/>
      <w:szCs w:val="24"/>
      <w:lang w:val="en-US"/>
    </w:rPr>
  </w:style>
  <w:style w:type="paragraph" w:styleId="Encabezado">
    <w:name w:val="header"/>
    <w:basedOn w:val="Normal"/>
    <w:link w:val="EncabezadoCar"/>
    <w:uiPriority w:val="99"/>
    <w:unhideWhenUsed/>
    <w:rsid w:val="00EE5492"/>
    <w:pPr>
      <w:tabs>
        <w:tab w:val="center" w:pos="4419"/>
        <w:tab w:val="right" w:pos="8838"/>
      </w:tabs>
    </w:pPr>
  </w:style>
  <w:style w:type="character" w:customStyle="1" w:styleId="EncabezadoCar">
    <w:name w:val="Encabezado Car"/>
    <w:basedOn w:val="Fuentedeprrafopredeter"/>
    <w:link w:val="Encabezado"/>
    <w:uiPriority w:val="99"/>
    <w:rsid w:val="00EE5492"/>
    <w:rPr>
      <w:rFonts w:ascii="Verdana" w:eastAsia="Times New Roman" w:hAnsi="Verdana" w:cs="Times New Roman"/>
      <w:sz w:val="20"/>
      <w:szCs w:val="24"/>
      <w:lang w:val="en-US"/>
    </w:rPr>
  </w:style>
  <w:style w:type="paragraph" w:styleId="Piedepgina">
    <w:name w:val="footer"/>
    <w:basedOn w:val="Normal"/>
    <w:link w:val="PiedepginaCar"/>
    <w:uiPriority w:val="99"/>
    <w:unhideWhenUsed/>
    <w:rsid w:val="00EE5492"/>
    <w:pPr>
      <w:tabs>
        <w:tab w:val="center" w:pos="4419"/>
        <w:tab w:val="right" w:pos="8838"/>
      </w:tabs>
    </w:pPr>
  </w:style>
  <w:style w:type="character" w:customStyle="1" w:styleId="PiedepginaCar">
    <w:name w:val="Pie de página Car"/>
    <w:basedOn w:val="Fuentedeprrafopredeter"/>
    <w:link w:val="Piedepgina"/>
    <w:uiPriority w:val="99"/>
    <w:rsid w:val="00EE5492"/>
    <w:rPr>
      <w:rFonts w:ascii="Verdana" w:eastAsia="Times New Roman" w:hAnsi="Verdana" w:cs="Times New Roman"/>
      <w:sz w:val="20"/>
      <w:szCs w:val="24"/>
      <w:lang w:val="en-US"/>
    </w:rPr>
  </w:style>
  <w:style w:type="paragraph" w:styleId="HTMLconformatoprevio">
    <w:name w:val="HTML Preformatted"/>
    <w:basedOn w:val="Normal"/>
    <w:link w:val="HTMLconformatoprevioCar"/>
    <w:uiPriority w:val="99"/>
    <w:semiHidden/>
    <w:unhideWhenUsed/>
    <w:rsid w:val="001A6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val="es-CR" w:eastAsia="es-CR"/>
    </w:rPr>
  </w:style>
  <w:style w:type="character" w:customStyle="1" w:styleId="HTMLconformatoprevioCar">
    <w:name w:val="HTML con formato previo Car"/>
    <w:basedOn w:val="Fuentedeprrafopredeter"/>
    <w:link w:val="HTMLconformatoprevio"/>
    <w:uiPriority w:val="99"/>
    <w:semiHidden/>
    <w:rsid w:val="001A6909"/>
    <w:rPr>
      <w:rFonts w:ascii="Courier New" w:eastAsia="Times New Roman" w:hAnsi="Courier New" w:cs="Courier New"/>
      <w:sz w:val="20"/>
      <w:szCs w:val="20"/>
      <w:lang w:eastAsia="es-CR"/>
    </w:rPr>
  </w:style>
  <w:style w:type="character" w:styleId="Nmerodelnea">
    <w:name w:val="line number"/>
    <w:basedOn w:val="Fuentedeprrafopredeter"/>
    <w:uiPriority w:val="99"/>
    <w:semiHidden/>
    <w:unhideWhenUsed/>
    <w:rsid w:val="00A73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904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E5CEC-9F09-47C0-8EAD-8AAB2977F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7244</Words>
  <Characters>39848</Characters>
  <Application>Microsoft Office Word</Application>
  <DocSecurity>0</DocSecurity>
  <Lines>332</Lines>
  <Paragraphs>93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2022-09-06T15:30:00Z</cp:lastPrinted>
  <dcterms:created xsi:type="dcterms:W3CDTF">2022-09-20T18:08:00Z</dcterms:created>
  <dcterms:modified xsi:type="dcterms:W3CDTF">2022-09-20T18:08:00Z</dcterms:modified>
</cp:coreProperties>
</file>