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A08A2" w14:textId="4F5FE8C2" w:rsidR="00894FAC" w:rsidRPr="008C1F56" w:rsidRDefault="00894FAC" w:rsidP="007A6E9B">
      <w:pPr>
        <w:spacing w:before="120" w:after="120" w:line="240" w:lineRule="auto"/>
        <w:jc w:val="center"/>
        <w:rPr>
          <w:rFonts w:ascii="Verdana" w:hAnsi="Verdana"/>
          <w:b/>
          <w:sz w:val="20"/>
          <w:szCs w:val="20"/>
          <w:lang w:val="es-AR"/>
        </w:rPr>
      </w:pPr>
    </w:p>
    <w:p w14:paraId="59587E0C" w14:textId="77777777" w:rsidR="00894FAC" w:rsidRDefault="00894FAC" w:rsidP="007A6E9B">
      <w:pPr>
        <w:spacing w:before="120" w:after="120" w:line="240" w:lineRule="auto"/>
        <w:jc w:val="center"/>
        <w:rPr>
          <w:rFonts w:ascii="Verdana" w:hAnsi="Verdana"/>
          <w:b/>
          <w:sz w:val="20"/>
          <w:szCs w:val="20"/>
          <w:lang w:val="es-CR"/>
        </w:rPr>
      </w:pPr>
    </w:p>
    <w:p w14:paraId="18D0CD16" w14:textId="77777777" w:rsidR="00894FAC" w:rsidRDefault="00894FAC" w:rsidP="007A6E9B">
      <w:pPr>
        <w:spacing w:before="120" w:after="120" w:line="240" w:lineRule="auto"/>
        <w:rPr>
          <w:rFonts w:ascii="Verdana" w:hAnsi="Verdana"/>
          <w:b/>
          <w:sz w:val="20"/>
          <w:szCs w:val="20"/>
          <w:lang w:val="es-CR"/>
        </w:rPr>
      </w:pPr>
    </w:p>
    <w:p w14:paraId="1D5889C7" w14:textId="3FA61D6D" w:rsidR="00894FAC" w:rsidRDefault="00894FAC" w:rsidP="007A6E9B">
      <w:pPr>
        <w:spacing w:before="120" w:after="120" w:line="240" w:lineRule="auto"/>
        <w:jc w:val="center"/>
        <w:rPr>
          <w:rFonts w:ascii="Verdana" w:hAnsi="Verdana"/>
          <w:b/>
          <w:sz w:val="20"/>
          <w:szCs w:val="20"/>
          <w:lang w:val="es-CR"/>
        </w:rPr>
      </w:pPr>
    </w:p>
    <w:p w14:paraId="62C3A960" w14:textId="45B02C23" w:rsidR="00FF62D9" w:rsidRDefault="00FF62D9" w:rsidP="007A6E9B">
      <w:pPr>
        <w:spacing w:before="120" w:after="120" w:line="240" w:lineRule="auto"/>
        <w:jc w:val="center"/>
        <w:rPr>
          <w:rFonts w:ascii="Verdana" w:hAnsi="Verdana"/>
          <w:b/>
          <w:sz w:val="20"/>
          <w:szCs w:val="20"/>
          <w:lang w:val="es-CR"/>
        </w:rPr>
      </w:pPr>
    </w:p>
    <w:p w14:paraId="129A190D" w14:textId="77777777" w:rsidR="00FF62D9" w:rsidRDefault="00FF62D9" w:rsidP="007A6E9B">
      <w:pPr>
        <w:spacing w:before="120" w:after="120" w:line="240" w:lineRule="auto"/>
        <w:jc w:val="center"/>
        <w:rPr>
          <w:rFonts w:ascii="Verdana" w:hAnsi="Verdana"/>
          <w:b/>
          <w:sz w:val="20"/>
          <w:szCs w:val="20"/>
          <w:lang w:val="es-CR"/>
        </w:rPr>
      </w:pPr>
    </w:p>
    <w:p w14:paraId="68AA6764" w14:textId="77777777" w:rsidR="00F56ACD" w:rsidRDefault="00745AE4" w:rsidP="007A6E9B">
      <w:pPr>
        <w:spacing w:after="0" w:line="240" w:lineRule="auto"/>
        <w:jc w:val="center"/>
        <w:rPr>
          <w:rFonts w:ascii="Verdana" w:hAnsi="Verdana"/>
          <w:b/>
          <w:sz w:val="20"/>
          <w:szCs w:val="20"/>
          <w:lang w:val="es-CR"/>
        </w:rPr>
      </w:pPr>
      <w:r w:rsidRPr="00745AE4">
        <w:rPr>
          <w:rFonts w:ascii="Verdana" w:hAnsi="Verdana"/>
          <w:b/>
          <w:sz w:val="20"/>
          <w:szCs w:val="20"/>
          <w:lang w:val="es-CR"/>
        </w:rPr>
        <w:t xml:space="preserve">RESOLUCIÓN DE LA </w:t>
      </w:r>
    </w:p>
    <w:p w14:paraId="6C4D47D5" w14:textId="73325F17" w:rsidR="00FF7EEA" w:rsidRDefault="00745AE4" w:rsidP="007A6E9B">
      <w:pPr>
        <w:spacing w:after="0" w:line="240" w:lineRule="auto"/>
        <w:jc w:val="center"/>
        <w:rPr>
          <w:rFonts w:ascii="Verdana" w:hAnsi="Verdana"/>
          <w:b/>
          <w:smallCaps/>
          <w:sz w:val="20"/>
          <w:lang w:val="es-CR"/>
        </w:rPr>
      </w:pPr>
      <w:r w:rsidRPr="00745AE4">
        <w:rPr>
          <w:rFonts w:ascii="Verdana" w:hAnsi="Verdana"/>
          <w:b/>
          <w:sz w:val="20"/>
          <w:szCs w:val="20"/>
          <w:lang w:val="es-CR"/>
        </w:rPr>
        <w:t xml:space="preserve">CORTE INTERAMERICANA DE DERECHOS </w:t>
      </w:r>
      <w:r w:rsidRPr="00690FD3">
        <w:rPr>
          <w:rFonts w:ascii="Verdana" w:hAnsi="Verdana"/>
          <w:b/>
          <w:sz w:val="20"/>
          <w:szCs w:val="20"/>
          <w:lang w:val="es-CR"/>
        </w:rPr>
        <w:t>HUMANOS</w:t>
      </w:r>
      <w:r w:rsidR="00FF7EEA" w:rsidRPr="00FF7EEA">
        <w:rPr>
          <w:rStyle w:val="Refdenotaalpie"/>
          <w:rFonts w:ascii="Verdana" w:hAnsi="Verdana"/>
          <w:b/>
          <w:smallCaps/>
          <w:sz w:val="20"/>
          <w:lang w:val="es-CR"/>
        </w:rPr>
        <w:t xml:space="preserve"> </w:t>
      </w:r>
    </w:p>
    <w:p w14:paraId="6BC9B4C8" w14:textId="77777777" w:rsidR="00AD4184" w:rsidRPr="00745AE4" w:rsidRDefault="00AD4184" w:rsidP="007A6E9B">
      <w:pPr>
        <w:spacing w:after="0" w:line="240" w:lineRule="auto"/>
        <w:jc w:val="center"/>
        <w:rPr>
          <w:rFonts w:ascii="Verdana" w:hAnsi="Verdana"/>
          <w:b/>
          <w:sz w:val="20"/>
          <w:szCs w:val="20"/>
          <w:lang w:val="es-CR"/>
        </w:rPr>
      </w:pPr>
    </w:p>
    <w:p w14:paraId="342946FB" w14:textId="098B6519" w:rsidR="00745AE4" w:rsidRDefault="00D70EB2" w:rsidP="007A6E9B">
      <w:pPr>
        <w:spacing w:after="0" w:line="240" w:lineRule="auto"/>
        <w:jc w:val="center"/>
        <w:rPr>
          <w:rFonts w:ascii="Verdana" w:hAnsi="Verdana"/>
          <w:b/>
          <w:sz w:val="20"/>
          <w:szCs w:val="20"/>
          <w:lang w:val="es-CR"/>
        </w:rPr>
      </w:pPr>
      <w:r>
        <w:rPr>
          <w:rFonts w:ascii="Verdana" w:hAnsi="Verdana"/>
          <w:b/>
          <w:sz w:val="20"/>
          <w:szCs w:val="20"/>
          <w:lang w:val="es-CR"/>
        </w:rPr>
        <w:t xml:space="preserve">DE </w:t>
      </w:r>
      <w:r w:rsidR="00B06008">
        <w:rPr>
          <w:rFonts w:ascii="Verdana" w:hAnsi="Verdana"/>
          <w:b/>
          <w:sz w:val="20"/>
          <w:szCs w:val="20"/>
          <w:lang w:val="es-CR"/>
        </w:rPr>
        <w:t>24</w:t>
      </w:r>
      <w:r w:rsidR="00B06760">
        <w:rPr>
          <w:rFonts w:ascii="Verdana" w:hAnsi="Verdana"/>
          <w:b/>
          <w:sz w:val="20"/>
          <w:szCs w:val="20"/>
          <w:lang w:val="es-CR"/>
        </w:rPr>
        <w:t xml:space="preserve"> </w:t>
      </w:r>
      <w:r w:rsidR="00671120">
        <w:rPr>
          <w:rFonts w:ascii="Verdana" w:hAnsi="Verdana"/>
          <w:b/>
          <w:sz w:val="20"/>
          <w:szCs w:val="20"/>
          <w:lang w:val="es-CR"/>
        </w:rPr>
        <w:t xml:space="preserve">DE </w:t>
      </w:r>
      <w:r w:rsidR="00FB079D">
        <w:rPr>
          <w:rFonts w:ascii="Verdana" w:hAnsi="Verdana"/>
          <w:b/>
          <w:sz w:val="20"/>
          <w:szCs w:val="20"/>
          <w:lang w:val="es-CR"/>
        </w:rPr>
        <w:t>JUNIO</w:t>
      </w:r>
      <w:r w:rsidR="000A67DF">
        <w:rPr>
          <w:rFonts w:ascii="Verdana" w:hAnsi="Verdana"/>
          <w:b/>
          <w:sz w:val="20"/>
          <w:szCs w:val="20"/>
          <w:lang w:val="es-CR"/>
        </w:rPr>
        <w:t xml:space="preserve"> DE 2022</w:t>
      </w:r>
    </w:p>
    <w:p w14:paraId="2E94DB6F" w14:textId="77777777" w:rsidR="00AD4184" w:rsidRPr="00745AE4" w:rsidRDefault="00AD4184" w:rsidP="007A6E9B">
      <w:pPr>
        <w:spacing w:after="0" w:line="240" w:lineRule="auto"/>
        <w:jc w:val="center"/>
        <w:rPr>
          <w:rFonts w:ascii="Verdana" w:hAnsi="Verdana"/>
          <w:b/>
          <w:sz w:val="20"/>
          <w:szCs w:val="20"/>
          <w:lang w:val="es-CR"/>
        </w:rPr>
      </w:pPr>
    </w:p>
    <w:p w14:paraId="1FB2F968" w14:textId="77777777" w:rsidR="00745AE4" w:rsidRPr="009B4B9D" w:rsidRDefault="00745AE4" w:rsidP="007A6E9B">
      <w:pPr>
        <w:spacing w:after="0" w:line="240" w:lineRule="auto"/>
        <w:jc w:val="center"/>
        <w:rPr>
          <w:rFonts w:ascii="Verdana" w:hAnsi="Verdana"/>
          <w:b/>
          <w:i/>
          <w:sz w:val="20"/>
          <w:szCs w:val="20"/>
          <w:lang w:val="es-CR"/>
        </w:rPr>
      </w:pPr>
      <w:r w:rsidRPr="009B4B9D">
        <w:rPr>
          <w:rFonts w:ascii="Verdana" w:hAnsi="Verdana"/>
          <w:b/>
          <w:i/>
          <w:sz w:val="20"/>
          <w:szCs w:val="20"/>
          <w:lang w:val="es-CR"/>
        </w:rPr>
        <w:t xml:space="preserve">CASO </w:t>
      </w:r>
      <w:r w:rsidR="00894FAC">
        <w:rPr>
          <w:rFonts w:ascii="Verdana" w:hAnsi="Verdana"/>
          <w:b/>
          <w:i/>
          <w:sz w:val="20"/>
          <w:szCs w:val="20"/>
          <w:lang w:val="es-CR"/>
        </w:rPr>
        <w:t>J.</w:t>
      </w:r>
      <w:r w:rsidR="00A30048">
        <w:rPr>
          <w:rFonts w:ascii="Verdana" w:hAnsi="Verdana"/>
          <w:b/>
          <w:i/>
          <w:sz w:val="20"/>
          <w:szCs w:val="20"/>
          <w:lang w:val="es-CR"/>
        </w:rPr>
        <w:t xml:space="preserve"> VS. PERÚ</w:t>
      </w:r>
      <w:r w:rsidR="00B5610F">
        <w:rPr>
          <w:rFonts w:ascii="Verdana" w:hAnsi="Verdana"/>
          <w:b/>
          <w:i/>
          <w:sz w:val="20"/>
          <w:szCs w:val="20"/>
          <w:lang w:val="es-CR"/>
        </w:rPr>
        <w:t xml:space="preserve"> </w:t>
      </w:r>
    </w:p>
    <w:p w14:paraId="3016DA95" w14:textId="77777777" w:rsidR="00AD4184" w:rsidRPr="009B4B9D" w:rsidRDefault="00AD4184" w:rsidP="007A6E9B">
      <w:pPr>
        <w:spacing w:after="0" w:line="240" w:lineRule="auto"/>
        <w:jc w:val="center"/>
        <w:rPr>
          <w:rFonts w:ascii="Verdana" w:hAnsi="Verdana"/>
          <w:b/>
          <w:sz w:val="20"/>
          <w:szCs w:val="20"/>
          <w:lang w:val="es-CR"/>
        </w:rPr>
      </w:pPr>
    </w:p>
    <w:p w14:paraId="77CC4AC3" w14:textId="77777777" w:rsidR="00894FAC" w:rsidRDefault="00A30048" w:rsidP="007A6E9B">
      <w:pPr>
        <w:spacing w:after="0" w:line="240" w:lineRule="auto"/>
        <w:jc w:val="center"/>
        <w:rPr>
          <w:rFonts w:ascii="Verdana" w:hAnsi="Verdana"/>
          <w:b/>
          <w:sz w:val="20"/>
          <w:szCs w:val="20"/>
          <w:lang w:val="es-CR"/>
        </w:rPr>
      </w:pPr>
      <w:r>
        <w:rPr>
          <w:rFonts w:ascii="Verdana" w:hAnsi="Verdana"/>
          <w:b/>
          <w:sz w:val="20"/>
          <w:szCs w:val="20"/>
          <w:lang w:val="es-CR"/>
        </w:rPr>
        <w:t xml:space="preserve">SOLICITUD DE MEDIDAS PROVISIONALES </w:t>
      </w:r>
      <w:r w:rsidR="00894FAC">
        <w:rPr>
          <w:rFonts w:ascii="Verdana" w:hAnsi="Verdana"/>
          <w:b/>
          <w:sz w:val="20"/>
          <w:szCs w:val="20"/>
          <w:lang w:val="es-CR"/>
        </w:rPr>
        <w:t xml:space="preserve">Y </w:t>
      </w:r>
    </w:p>
    <w:p w14:paraId="735D035D" w14:textId="77777777" w:rsidR="00745AE4" w:rsidRPr="009B4B9D" w:rsidRDefault="00894FAC" w:rsidP="007A6E9B">
      <w:pPr>
        <w:spacing w:after="0" w:line="240" w:lineRule="auto"/>
        <w:jc w:val="center"/>
        <w:rPr>
          <w:rFonts w:ascii="Verdana" w:hAnsi="Verdana"/>
          <w:b/>
          <w:sz w:val="20"/>
          <w:szCs w:val="20"/>
          <w:lang w:val="es-CR"/>
        </w:rPr>
      </w:pPr>
      <w:r>
        <w:rPr>
          <w:rFonts w:ascii="Verdana" w:hAnsi="Verdana"/>
          <w:b/>
          <w:sz w:val="20"/>
          <w:szCs w:val="20"/>
          <w:lang w:val="es-CR"/>
        </w:rPr>
        <w:t>SUPERVISIÓN DE CUMPLIMIENTO DE SENTENCIA</w:t>
      </w:r>
    </w:p>
    <w:p w14:paraId="5256EF9C" w14:textId="77777777" w:rsidR="00AD4184" w:rsidRPr="009B4B9D" w:rsidRDefault="00AD4184" w:rsidP="007A6E9B">
      <w:pPr>
        <w:spacing w:before="120" w:after="120" w:line="240" w:lineRule="auto"/>
        <w:jc w:val="both"/>
        <w:rPr>
          <w:rFonts w:ascii="Verdana" w:hAnsi="Verdana"/>
          <w:b/>
          <w:sz w:val="20"/>
          <w:szCs w:val="20"/>
          <w:lang w:val="es-CR"/>
        </w:rPr>
      </w:pPr>
    </w:p>
    <w:p w14:paraId="6C331201" w14:textId="77777777" w:rsidR="00CD4DDE" w:rsidRDefault="005A1B3D" w:rsidP="00F864B3">
      <w:pPr>
        <w:spacing w:before="120" w:after="120" w:line="240" w:lineRule="auto"/>
        <w:ind w:left="720" w:hanging="720"/>
        <w:jc w:val="both"/>
        <w:rPr>
          <w:rFonts w:ascii="Verdana" w:hAnsi="Verdana"/>
          <w:b/>
          <w:sz w:val="20"/>
          <w:szCs w:val="20"/>
          <w:lang w:val="es-CR"/>
        </w:rPr>
      </w:pPr>
      <w:r w:rsidRPr="009B4B9D">
        <w:rPr>
          <w:rFonts w:ascii="Verdana" w:hAnsi="Verdana"/>
          <w:b/>
          <w:sz w:val="20"/>
          <w:szCs w:val="20"/>
          <w:lang w:val="es-CR"/>
        </w:rPr>
        <w:t>VISTO:</w:t>
      </w:r>
      <w:r w:rsidR="006D19D6">
        <w:rPr>
          <w:rFonts w:ascii="Verdana" w:hAnsi="Verdana"/>
          <w:b/>
          <w:sz w:val="20"/>
          <w:szCs w:val="20"/>
          <w:lang w:val="es-CR"/>
        </w:rPr>
        <w:t xml:space="preserve"> </w:t>
      </w:r>
    </w:p>
    <w:p w14:paraId="7E46A480" w14:textId="60CF0B30" w:rsidR="00975892" w:rsidRPr="00975892" w:rsidRDefault="005A1B3D" w:rsidP="007A6E9B">
      <w:pPr>
        <w:pStyle w:val="Prrafodelista"/>
        <w:numPr>
          <w:ilvl w:val="0"/>
          <w:numId w:val="1"/>
        </w:numPr>
        <w:spacing w:before="120" w:after="120" w:line="240" w:lineRule="auto"/>
        <w:ind w:left="0" w:firstLine="0"/>
        <w:contextualSpacing w:val="0"/>
        <w:jc w:val="both"/>
        <w:rPr>
          <w:rFonts w:ascii="Verdana" w:hAnsi="Verdana"/>
          <w:color w:val="000000"/>
          <w:sz w:val="20"/>
          <w:szCs w:val="20"/>
          <w:shd w:val="clear" w:color="auto" w:fill="FFFFFF"/>
          <w:lang w:val="es-CR"/>
        </w:rPr>
      </w:pPr>
      <w:r w:rsidRPr="00EF0B85">
        <w:rPr>
          <w:rFonts w:ascii="Verdana" w:hAnsi="Verdana"/>
          <w:sz w:val="20"/>
          <w:szCs w:val="20"/>
          <w:lang w:val="es-CR"/>
        </w:rPr>
        <w:t>La Sentencia</w:t>
      </w:r>
      <w:r w:rsidR="00975892">
        <w:rPr>
          <w:rFonts w:ascii="Verdana" w:hAnsi="Verdana"/>
          <w:sz w:val="20"/>
          <w:szCs w:val="20"/>
          <w:lang w:val="es-CR"/>
        </w:rPr>
        <w:t xml:space="preserve"> </w:t>
      </w:r>
      <w:r w:rsidR="001E40FE">
        <w:rPr>
          <w:rFonts w:ascii="Verdana" w:hAnsi="Verdana"/>
          <w:sz w:val="20"/>
          <w:szCs w:val="20"/>
          <w:lang w:val="es-CR"/>
        </w:rPr>
        <w:t xml:space="preserve">de excepción preliminar, fondo, reparaciones y costas </w:t>
      </w:r>
      <w:r w:rsidR="007D1216" w:rsidRPr="007D1216">
        <w:rPr>
          <w:rFonts w:ascii="Verdana" w:hAnsi="Verdana"/>
          <w:sz w:val="20"/>
          <w:szCs w:val="20"/>
          <w:lang w:val="es-CR"/>
        </w:rPr>
        <w:t>(en adelante “la Sentencia”)</w:t>
      </w:r>
      <w:r w:rsidR="00D96B23">
        <w:rPr>
          <w:rStyle w:val="Refdenotaalpie"/>
          <w:rFonts w:ascii="Verdana" w:hAnsi="Verdana"/>
          <w:sz w:val="20"/>
          <w:szCs w:val="20"/>
          <w:lang w:val="es-CR"/>
        </w:rPr>
        <w:footnoteReference w:id="1"/>
      </w:r>
      <w:r w:rsidR="00D96B23">
        <w:rPr>
          <w:rFonts w:ascii="Verdana" w:hAnsi="Verdana"/>
          <w:sz w:val="20"/>
          <w:szCs w:val="20"/>
          <w:lang w:val="es-CR"/>
        </w:rPr>
        <w:t xml:space="preserve"> y la </w:t>
      </w:r>
      <w:r w:rsidR="00FF62D9">
        <w:rPr>
          <w:rFonts w:ascii="Verdana" w:hAnsi="Verdana"/>
          <w:sz w:val="20"/>
          <w:szCs w:val="20"/>
          <w:lang w:val="es-CR"/>
        </w:rPr>
        <w:t xml:space="preserve">sentencia </w:t>
      </w:r>
      <w:r w:rsidR="00D96B23">
        <w:rPr>
          <w:rFonts w:ascii="Verdana" w:hAnsi="Verdana"/>
          <w:sz w:val="20"/>
          <w:szCs w:val="20"/>
          <w:lang w:val="es-CR"/>
        </w:rPr>
        <w:t xml:space="preserve">de </w:t>
      </w:r>
      <w:r w:rsidR="00D4004D">
        <w:rPr>
          <w:rFonts w:ascii="Verdana" w:hAnsi="Verdana"/>
          <w:sz w:val="20"/>
          <w:szCs w:val="20"/>
          <w:lang w:val="es-CR"/>
        </w:rPr>
        <w:t>i</w:t>
      </w:r>
      <w:r w:rsidR="00D96B23">
        <w:rPr>
          <w:rFonts w:ascii="Verdana" w:hAnsi="Verdana"/>
          <w:sz w:val="20"/>
          <w:szCs w:val="20"/>
          <w:lang w:val="es-CR"/>
        </w:rPr>
        <w:t>nterpretación</w:t>
      </w:r>
      <w:r w:rsidR="00D96B23">
        <w:rPr>
          <w:rStyle w:val="Refdenotaalpie"/>
          <w:rFonts w:ascii="Verdana" w:hAnsi="Verdana"/>
          <w:color w:val="000000"/>
          <w:sz w:val="20"/>
          <w:szCs w:val="20"/>
          <w:shd w:val="clear" w:color="auto" w:fill="FFFFFF"/>
          <w:lang w:val="es-CR"/>
        </w:rPr>
        <w:footnoteReference w:id="2"/>
      </w:r>
      <w:r w:rsidR="00D96B23">
        <w:rPr>
          <w:rFonts w:ascii="Verdana" w:hAnsi="Verdana"/>
          <w:sz w:val="20"/>
          <w:szCs w:val="20"/>
          <w:lang w:val="es-CR"/>
        </w:rPr>
        <w:t xml:space="preserve">, emitidas por </w:t>
      </w:r>
      <w:r w:rsidR="007D1216" w:rsidRPr="007D1216">
        <w:rPr>
          <w:rFonts w:ascii="Verdana" w:hAnsi="Verdana"/>
          <w:sz w:val="20"/>
          <w:szCs w:val="20"/>
          <w:lang w:val="es-CR"/>
        </w:rPr>
        <w:t>la Corte Interamericana de Derechos Humanos (en adelante “la Corte Interamericana”, “la Corte” o “el Tribunal”) el</w:t>
      </w:r>
      <w:r w:rsidR="007D1216">
        <w:rPr>
          <w:rFonts w:ascii="Verdana" w:hAnsi="Verdana"/>
          <w:sz w:val="20"/>
          <w:szCs w:val="20"/>
          <w:lang w:val="es-CR"/>
        </w:rPr>
        <w:t xml:space="preserve"> 27 de noviembre de 2013</w:t>
      </w:r>
      <w:r w:rsidR="00D96B23">
        <w:rPr>
          <w:rFonts w:ascii="Verdana" w:hAnsi="Verdana"/>
          <w:sz w:val="20"/>
          <w:szCs w:val="20"/>
          <w:lang w:val="es-CR"/>
        </w:rPr>
        <w:t xml:space="preserve"> y el 20 de noviembre de 2014, respectivamente</w:t>
      </w:r>
      <w:r w:rsidR="009E5E54" w:rsidRPr="00FA0A56">
        <w:rPr>
          <w:rFonts w:ascii="Verdana" w:hAnsi="Verdana"/>
          <w:sz w:val="20"/>
          <w:szCs w:val="20"/>
          <w:lang w:val="es-ES"/>
        </w:rPr>
        <w:t>.</w:t>
      </w:r>
    </w:p>
    <w:p w14:paraId="7721B151" w14:textId="32EAA19D" w:rsidR="007D5AB3" w:rsidRDefault="007D5AB3" w:rsidP="007A6E9B">
      <w:pPr>
        <w:pStyle w:val="Prrafodelista"/>
        <w:numPr>
          <w:ilvl w:val="0"/>
          <w:numId w:val="1"/>
        </w:numPr>
        <w:spacing w:before="120" w:after="120" w:line="240" w:lineRule="auto"/>
        <w:ind w:left="0" w:firstLine="0"/>
        <w:contextualSpacing w:val="0"/>
        <w:jc w:val="both"/>
        <w:rPr>
          <w:rFonts w:ascii="Verdana" w:hAnsi="Verdana"/>
          <w:color w:val="000000"/>
          <w:sz w:val="20"/>
          <w:szCs w:val="20"/>
          <w:shd w:val="clear" w:color="auto" w:fill="FFFFFF"/>
          <w:lang w:val="es-CR"/>
        </w:rPr>
      </w:pPr>
      <w:r>
        <w:rPr>
          <w:rFonts w:ascii="Verdana" w:hAnsi="Verdana"/>
          <w:color w:val="000000"/>
          <w:sz w:val="20"/>
          <w:szCs w:val="20"/>
          <w:shd w:val="clear" w:color="auto" w:fill="FFFFFF"/>
          <w:lang w:val="es-CR"/>
        </w:rPr>
        <w:t xml:space="preserve">La Resolución de reintegro al Fondo de Asistencia Legal de Víctimas de la Corte Interamericana </w:t>
      </w:r>
      <w:r w:rsidR="0007230B">
        <w:rPr>
          <w:rFonts w:ascii="Verdana" w:hAnsi="Verdana"/>
          <w:color w:val="000000"/>
          <w:sz w:val="20"/>
          <w:szCs w:val="20"/>
          <w:shd w:val="clear" w:color="auto" w:fill="FFFFFF"/>
          <w:lang w:val="es-CR"/>
        </w:rPr>
        <w:t>de</w:t>
      </w:r>
      <w:r>
        <w:rPr>
          <w:rFonts w:ascii="Verdana" w:hAnsi="Verdana"/>
          <w:color w:val="000000"/>
          <w:sz w:val="20"/>
          <w:szCs w:val="20"/>
          <w:shd w:val="clear" w:color="auto" w:fill="FFFFFF"/>
          <w:lang w:val="es-CR"/>
        </w:rPr>
        <w:t xml:space="preserve"> </w:t>
      </w:r>
      <w:r w:rsidR="002136CF">
        <w:rPr>
          <w:rFonts w:ascii="Verdana" w:hAnsi="Verdana"/>
          <w:color w:val="000000"/>
          <w:sz w:val="20"/>
          <w:szCs w:val="20"/>
          <w:shd w:val="clear" w:color="auto" w:fill="FFFFFF"/>
          <w:lang w:val="es-CR"/>
        </w:rPr>
        <w:t>14 de noviembre de 2017</w:t>
      </w:r>
      <w:r w:rsidR="002136CF">
        <w:rPr>
          <w:rStyle w:val="Refdenotaalpie"/>
          <w:rFonts w:ascii="Verdana" w:hAnsi="Verdana"/>
          <w:color w:val="000000"/>
          <w:sz w:val="20"/>
          <w:szCs w:val="20"/>
          <w:shd w:val="clear" w:color="auto" w:fill="FFFFFF"/>
          <w:lang w:val="es-CR"/>
        </w:rPr>
        <w:footnoteReference w:id="3"/>
      </w:r>
      <w:r w:rsidR="006B6156">
        <w:rPr>
          <w:rFonts w:ascii="Verdana" w:hAnsi="Verdana"/>
          <w:color w:val="000000"/>
          <w:sz w:val="20"/>
          <w:szCs w:val="20"/>
          <w:shd w:val="clear" w:color="auto" w:fill="FFFFFF"/>
          <w:lang w:val="es-CR"/>
        </w:rPr>
        <w:t>.</w:t>
      </w:r>
    </w:p>
    <w:p w14:paraId="629C6324" w14:textId="56F8965F" w:rsidR="00581E18" w:rsidRDefault="00581E18" w:rsidP="007A6E9B">
      <w:pPr>
        <w:pStyle w:val="Prrafodelista"/>
        <w:numPr>
          <w:ilvl w:val="0"/>
          <w:numId w:val="1"/>
        </w:numPr>
        <w:spacing w:before="120" w:after="120" w:line="240" w:lineRule="auto"/>
        <w:ind w:left="0" w:firstLine="0"/>
        <w:contextualSpacing w:val="0"/>
        <w:jc w:val="both"/>
        <w:rPr>
          <w:rFonts w:ascii="Verdana" w:hAnsi="Verdana"/>
          <w:color w:val="000000"/>
          <w:sz w:val="20"/>
          <w:szCs w:val="20"/>
          <w:shd w:val="clear" w:color="auto" w:fill="FFFFFF"/>
          <w:lang w:val="es-CR"/>
        </w:rPr>
      </w:pPr>
      <w:r w:rsidRPr="00581E18">
        <w:rPr>
          <w:rFonts w:ascii="Verdana" w:hAnsi="Verdana"/>
          <w:color w:val="000000"/>
          <w:sz w:val="20"/>
          <w:szCs w:val="20"/>
          <w:shd w:val="clear" w:color="auto" w:fill="FFFFFF"/>
          <w:lang w:val="es-CR"/>
        </w:rPr>
        <w:t xml:space="preserve">Los informes presentados por la República del </w:t>
      </w:r>
      <w:r>
        <w:rPr>
          <w:rFonts w:ascii="Verdana" w:hAnsi="Verdana"/>
          <w:color w:val="000000"/>
          <w:sz w:val="20"/>
          <w:szCs w:val="20"/>
          <w:shd w:val="clear" w:color="auto" w:fill="FFFFFF"/>
          <w:lang w:val="es-CR"/>
        </w:rPr>
        <w:t>Perú</w:t>
      </w:r>
      <w:r w:rsidRPr="00581E18">
        <w:rPr>
          <w:rFonts w:ascii="Verdana" w:hAnsi="Verdana"/>
          <w:color w:val="000000"/>
          <w:sz w:val="20"/>
          <w:szCs w:val="20"/>
          <w:shd w:val="clear" w:color="auto" w:fill="FFFFFF"/>
          <w:lang w:val="es-CR"/>
        </w:rPr>
        <w:t xml:space="preserve"> (en adelante “el Estado” o “</w:t>
      </w:r>
      <w:r>
        <w:rPr>
          <w:rFonts w:ascii="Verdana" w:hAnsi="Verdana"/>
          <w:color w:val="000000"/>
          <w:sz w:val="20"/>
          <w:szCs w:val="20"/>
          <w:shd w:val="clear" w:color="auto" w:fill="FFFFFF"/>
          <w:lang w:val="es-CR"/>
        </w:rPr>
        <w:t>Perú</w:t>
      </w:r>
      <w:r w:rsidRPr="00581E18">
        <w:rPr>
          <w:rFonts w:ascii="Verdana" w:hAnsi="Verdana"/>
          <w:color w:val="000000"/>
          <w:sz w:val="20"/>
          <w:szCs w:val="20"/>
          <w:shd w:val="clear" w:color="auto" w:fill="FFFFFF"/>
          <w:lang w:val="es-CR"/>
        </w:rPr>
        <w:t xml:space="preserve">”) entre </w:t>
      </w:r>
      <w:r w:rsidR="00D73902">
        <w:rPr>
          <w:rFonts w:ascii="Verdana" w:hAnsi="Verdana"/>
          <w:color w:val="000000"/>
          <w:sz w:val="20"/>
          <w:szCs w:val="20"/>
          <w:shd w:val="clear" w:color="auto" w:fill="FFFFFF"/>
          <w:lang w:val="es-CR"/>
        </w:rPr>
        <w:t>enero</w:t>
      </w:r>
      <w:r w:rsidRPr="00581E18">
        <w:rPr>
          <w:rFonts w:ascii="Verdana" w:hAnsi="Verdana"/>
          <w:color w:val="000000"/>
          <w:sz w:val="20"/>
          <w:szCs w:val="20"/>
          <w:shd w:val="clear" w:color="auto" w:fill="FFFFFF"/>
          <w:lang w:val="es-CR"/>
        </w:rPr>
        <w:t xml:space="preserve"> de </w:t>
      </w:r>
      <w:r w:rsidR="00D73902">
        <w:rPr>
          <w:rFonts w:ascii="Verdana" w:hAnsi="Verdana"/>
          <w:color w:val="000000"/>
          <w:sz w:val="20"/>
          <w:szCs w:val="20"/>
          <w:shd w:val="clear" w:color="auto" w:fill="FFFFFF"/>
          <w:lang w:val="es-CR"/>
        </w:rPr>
        <w:t>2015</w:t>
      </w:r>
      <w:r w:rsidRPr="00581E18">
        <w:rPr>
          <w:rFonts w:ascii="Verdana" w:hAnsi="Verdana"/>
          <w:color w:val="000000"/>
          <w:sz w:val="20"/>
          <w:szCs w:val="20"/>
          <w:shd w:val="clear" w:color="auto" w:fill="FFFFFF"/>
          <w:lang w:val="es-CR"/>
        </w:rPr>
        <w:t xml:space="preserve"> y </w:t>
      </w:r>
      <w:r w:rsidR="00BE5099">
        <w:rPr>
          <w:rFonts w:ascii="Verdana" w:hAnsi="Verdana"/>
          <w:color w:val="000000"/>
          <w:sz w:val="20"/>
          <w:szCs w:val="20"/>
          <w:shd w:val="clear" w:color="auto" w:fill="FFFFFF"/>
          <w:lang w:val="es-CR"/>
        </w:rPr>
        <w:t>junio</w:t>
      </w:r>
      <w:r w:rsidRPr="00581E18">
        <w:rPr>
          <w:rFonts w:ascii="Verdana" w:hAnsi="Verdana"/>
          <w:color w:val="000000"/>
          <w:sz w:val="20"/>
          <w:szCs w:val="20"/>
          <w:shd w:val="clear" w:color="auto" w:fill="FFFFFF"/>
          <w:lang w:val="es-CR"/>
        </w:rPr>
        <w:t xml:space="preserve"> de 2021, y los escritos presentados </w:t>
      </w:r>
      <w:r w:rsidR="00FB079D">
        <w:rPr>
          <w:rFonts w:ascii="Verdana" w:hAnsi="Verdana"/>
          <w:color w:val="000000"/>
          <w:sz w:val="20"/>
          <w:szCs w:val="20"/>
          <w:shd w:val="clear" w:color="auto" w:fill="FFFFFF"/>
          <w:lang w:val="es-CR"/>
        </w:rPr>
        <w:t xml:space="preserve">por </w:t>
      </w:r>
      <w:r w:rsidR="00764F66">
        <w:rPr>
          <w:rFonts w:ascii="Verdana" w:hAnsi="Verdana"/>
          <w:color w:val="000000"/>
          <w:sz w:val="20"/>
          <w:szCs w:val="20"/>
          <w:shd w:val="clear" w:color="auto" w:fill="FFFFFF"/>
          <w:lang w:val="es-CR"/>
        </w:rPr>
        <w:t>la representante de la víctima</w:t>
      </w:r>
      <w:r w:rsidRPr="00581E18">
        <w:rPr>
          <w:rFonts w:ascii="Verdana" w:hAnsi="Verdana"/>
          <w:color w:val="000000"/>
          <w:sz w:val="20"/>
          <w:szCs w:val="20"/>
          <w:shd w:val="clear" w:color="auto" w:fill="FFFFFF"/>
          <w:lang w:val="es-CR"/>
        </w:rPr>
        <w:t xml:space="preserve"> </w:t>
      </w:r>
      <w:r w:rsidR="00764F66">
        <w:rPr>
          <w:rFonts w:ascii="Verdana" w:hAnsi="Verdana"/>
          <w:color w:val="000000"/>
          <w:sz w:val="20"/>
          <w:szCs w:val="20"/>
          <w:shd w:val="clear" w:color="auto" w:fill="FFFFFF"/>
          <w:lang w:val="es-CR"/>
        </w:rPr>
        <w:t>(en adelante “la representante”)</w:t>
      </w:r>
      <w:r w:rsidR="00FF725D">
        <w:rPr>
          <w:rStyle w:val="Refdenotaalpie"/>
          <w:rFonts w:ascii="Verdana" w:hAnsi="Verdana"/>
          <w:sz w:val="20"/>
          <w:szCs w:val="20"/>
          <w:lang w:val="es-CR"/>
        </w:rPr>
        <w:footnoteReference w:id="4"/>
      </w:r>
      <w:r w:rsidR="00FF725D">
        <w:rPr>
          <w:rFonts w:ascii="Verdana" w:hAnsi="Verdana"/>
          <w:color w:val="000000"/>
          <w:sz w:val="20"/>
          <w:szCs w:val="20"/>
          <w:shd w:val="clear" w:color="auto" w:fill="FFFFFF"/>
          <w:lang w:val="es-CR"/>
        </w:rPr>
        <w:t xml:space="preserve"> </w:t>
      </w:r>
      <w:r w:rsidRPr="00581E18">
        <w:rPr>
          <w:rFonts w:ascii="Verdana" w:hAnsi="Verdana"/>
          <w:color w:val="000000"/>
          <w:sz w:val="20"/>
          <w:szCs w:val="20"/>
          <w:shd w:val="clear" w:color="auto" w:fill="FFFFFF"/>
          <w:lang w:val="es-CR"/>
        </w:rPr>
        <w:t xml:space="preserve">entre </w:t>
      </w:r>
      <w:r w:rsidR="00D73902">
        <w:rPr>
          <w:rFonts w:ascii="Verdana" w:hAnsi="Verdana"/>
          <w:color w:val="000000"/>
          <w:sz w:val="20"/>
          <w:szCs w:val="20"/>
          <w:shd w:val="clear" w:color="auto" w:fill="FFFFFF"/>
          <w:lang w:val="es-CR"/>
        </w:rPr>
        <w:t>marzo</w:t>
      </w:r>
      <w:r w:rsidRPr="00581E18">
        <w:rPr>
          <w:rFonts w:ascii="Verdana" w:hAnsi="Verdana"/>
          <w:color w:val="000000"/>
          <w:sz w:val="20"/>
          <w:szCs w:val="20"/>
          <w:shd w:val="clear" w:color="auto" w:fill="FFFFFF"/>
          <w:lang w:val="es-CR"/>
        </w:rPr>
        <w:t xml:space="preserve"> de </w:t>
      </w:r>
      <w:r w:rsidR="00D73902">
        <w:rPr>
          <w:rFonts w:ascii="Verdana" w:hAnsi="Verdana"/>
          <w:color w:val="000000"/>
          <w:sz w:val="20"/>
          <w:szCs w:val="20"/>
          <w:shd w:val="clear" w:color="auto" w:fill="FFFFFF"/>
          <w:lang w:val="es-CR"/>
        </w:rPr>
        <w:t>2015</w:t>
      </w:r>
      <w:r w:rsidRPr="00581E18">
        <w:rPr>
          <w:rFonts w:ascii="Verdana" w:hAnsi="Verdana"/>
          <w:color w:val="000000"/>
          <w:sz w:val="20"/>
          <w:szCs w:val="20"/>
          <w:shd w:val="clear" w:color="auto" w:fill="FFFFFF"/>
          <w:lang w:val="es-CR"/>
        </w:rPr>
        <w:t xml:space="preserve"> y </w:t>
      </w:r>
      <w:r w:rsidR="00BE5099">
        <w:rPr>
          <w:rFonts w:ascii="Verdana" w:hAnsi="Verdana"/>
          <w:color w:val="000000"/>
          <w:sz w:val="20"/>
          <w:szCs w:val="20"/>
          <w:shd w:val="clear" w:color="auto" w:fill="FFFFFF"/>
          <w:lang w:val="es-CR"/>
        </w:rPr>
        <w:t>julio</w:t>
      </w:r>
      <w:r w:rsidRPr="00581E18">
        <w:rPr>
          <w:rFonts w:ascii="Verdana" w:hAnsi="Verdana"/>
          <w:color w:val="000000"/>
          <w:sz w:val="20"/>
          <w:szCs w:val="20"/>
          <w:shd w:val="clear" w:color="auto" w:fill="FFFFFF"/>
          <w:lang w:val="es-CR"/>
        </w:rPr>
        <w:t xml:space="preserve"> de 2021, así como </w:t>
      </w:r>
      <w:r>
        <w:rPr>
          <w:rFonts w:ascii="Verdana" w:hAnsi="Verdana"/>
          <w:color w:val="000000"/>
          <w:sz w:val="20"/>
          <w:szCs w:val="20"/>
          <w:shd w:val="clear" w:color="auto" w:fill="FFFFFF"/>
          <w:lang w:val="es-CR"/>
        </w:rPr>
        <w:t>los</w:t>
      </w:r>
      <w:r w:rsidRPr="00581E18">
        <w:rPr>
          <w:rFonts w:ascii="Verdana" w:hAnsi="Verdana"/>
          <w:color w:val="000000"/>
          <w:sz w:val="20"/>
          <w:szCs w:val="20"/>
          <w:shd w:val="clear" w:color="auto" w:fill="FFFFFF"/>
          <w:lang w:val="es-CR"/>
        </w:rPr>
        <w:t xml:space="preserve"> presentado</w:t>
      </w:r>
      <w:r>
        <w:rPr>
          <w:rFonts w:ascii="Verdana" w:hAnsi="Verdana"/>
          <w:color w:val="000000"/>
          <w:sz w:val="20"/>
          <w:szCs w:val="20"/>
          <w:shd w:val="clear" w:color="auto" w:fill="FFFFFF"/>
          <w:lang w:val="es-CR"/>
        </w:rPr>
        <w:t>s</w:t>
      </w:r>
      <w:r w:rsidRPr="00581E18">
        <w:rPr>
          <w:rFonts w:ascii="Verdana" w:hAnsi="Verdana"/>
          <w:color w:val="000000"/>
          <w:sz w:val="20"/>
          <w:szCs w:val="20"/>
          <w:shd w:val="clear" w:color="auto" w:fill="FFFFFF"/>
          <w:lang w:val="es-CR"/>
        </w:rPr>
        <w:t xml:space="preserve"> por la Comisión Interamericana de Derechos Humanos (en adelante “la Comisión Interamericana” o “la Comisión”)</w:t>
      </w:r>
      <w:r>
        <w:rPr>
          <w:rFonts w:ascii="Verdana" w:hAnsi="Verdana"/>
          <w:color w:val="000000"/>
          <w:sz w:val="20"/>
          <w:szCs w:val="20"/>
          <w:shd w:val="clear" w:color="auto" w:fill="FFFFFF"/>
          <w:lang w:val="es-CR"/>
        </w:rPr>
        <w:t xml:space="preserve"> </w:t>
      </w:r>
      <w:r w:rsidR="00BE5099">
        <w:rPr>
          <w:rFonts w:ascii="Verdana" w:hAnsi="Verdana"/>
          <w:color w:val="000000"/>
          <w:sz w:val="20"/>
          <w:szCs w:val="20"/>
          <w:shd w:val="clear" w:color="auto" w:fill="FFFFFF"/>
          <w:lang w:val="es-CR"/>
        </w:rPr>
        <w:t xml:space="preserve">entre mayo de 2015 y abril de 2017; todos </w:t>
      </w:r>
      <w:r>
        <w:rPr>
          <w:rFonts w:ascii="Verdana" w:hAnsi="Verdana"/>
          <w:color w:val="000000"/>
          <w:sz w:val="20"/>
          <w:szCs w:val="20"/>
          <w:shd w:val="clear" w:color="auto" w:fill="FFFFFF"/>
          <w:lang w:val="es-CR"/>
        </w:rPr>
        <w:t>en el marco de la supervisión de cumplimiento de Sentencia</w:t>
      </w:r>
      <w:r w:rsidRPr="00581E18">
        <w:rPr>
          <w:rFonts w:ascii="Verdana" w:hAnsi="Verdana"/>
          <w:color w:val="000000"/>
          <w:sz w:val="20"/>
          <w:szCs w:val="20"/>
          <w:shd w:val="clear" w:color="auto" w:fill="FFFFFF"/>
          <w:lang w:val="es-CR"/>
        </w:rPr>
        <w:t>.</w:t>
      </w:r>
    </w:p>
    <w:p w14:paraId="24943984" w14:textId="5A534A98" w:rsidR="00AC76F5" w:rsidRPr="00BE7016" w:rsidRDefault="00764F66" w:rsidP="007A6E9B">
      <w:pPr>
        <w:pStyle w:val="Prrafodelista"/>
        <w:numPr>
          <w:ilvl w:val="0"/>
          <w:numId w:val="1"/>
        </w:numPr>
        <w:spacing w:before="120" w:after="120" w:line="240" w:lineRule="auto"/>
        <w:ind w:left="0" w:firstLine="0"/>
        <w:contextualSpacing w:val="0"/>
        <w:jc w:val="both"/>
        <w:rPr>
          <w:rFonts w:ascii="Verdana" w:hAnsi="Verdana"/>
          <w:color w:val="000000"/>
          <w:sz w:val="20"/>
          <w:szCs w:val="20"/>
          <w:shd w:val="clear" w:color="auto" w:fill="FFFFFF"/>
          <w:lang w:val="es-CR"/>
        </w:rPr>
      </w:pPr>
      <w:r>
        <w:rPr>
          <w:rFonts w:ascii="Verdana" w:hAnsi="Verdana"/>
          <w:color w:val="000000"/>
          <w:sz w:val="20"/>
          <w:szCs w:val="20"/>
          <w:shd w:val="clear" w:color="auto" w:fill="FFFFFF"/>
          <w:lang w:val="es-CR"/>
        </w:rPr>
        <w:t>El escrito presentado el 14 de abril de 2022</w:t>
      </w:r>
      <w:r w:rsidR="00FE4CA7">
        <w:rPr>
          <w:rFonts w:ascii="Verdana" w:hAnsi="Verdana"/>
          <w:color w:val="000000"/>
          <w:sz w:val="20"/>
          <w:szCs w:val="20"/>
          <w:shd w:val="clear" w:color="auto" w:fill="FFFFFF"/>
          <w:lang w:val="es-CR"/>
        </w:rPr>
        <w:t xml:space="preserve">, mediante </w:t>
      </w:r>
      <w:r>
        <w:rPr>
          <w:rFonts w:ascii="Verdana" w:hAnsi="Verdana"/>
          <w:color w:val="000000"/>
          <w:sz w:val="20"/>
          <w:szCs w:val="20"/>
          <w:shd w:val="clear" w:color="auto" w:fill="FFFFFF"/>
          <w:lang w:val="es-CR"/>
        </w:rPr>
        <w:t>el cual</w:t>
      </w:r>
      <w:r w:rsidR="00FE4CA7">
        <w:rPr>
          <w:rFonts w:ascii="Verdana" w:hAnsi="Verdana"/>
          <w:color w:val="000000"/>
          <w:sz w:val="20"/>
          <w:szCs w:val="20"/>
          <w:shd w:val="clear" w:color="auto" w:fill="FFFFFF"/>
          <w:lang w:val="es-CR"/>
        </w:rPr>
        <w:t xml:space="preserve"> </w:t>
      </w:r>
      <w:r>
        <w:rPr>
          <w:rFonts w:ascii="Verdana" w:hAnsi="Verdana"/>
          <w:color w:val="000000"/>
          <w:sz w:val="20"/>
          <w:szCs w:val="20"/>
          <w:shd w:val="clear" w:color="auto" w:fill="FFFFFF"/>
          <w:lang w:val="es-CR"/>
        </w:rPr>
        <w:t>la</w:t>
      </w:r>
      <w:r w:rsidR="00FE4CA7">
        <w:rPr>
          <w:rFonts w:ascii="Verdana" w:hAnsi="Verdana"/>
          <w:color w:val="000000"/>
          <w:sz w:val="20"/>
          <w:szCs w:val="20"/>
          <w:shd w:val="clear" w:color="auto" w:fill="FFFFFF"/>
          <w:lang w:val="es-CR"/>
        </w:rPr>
        <w:t xml:space="preserve"> representante de la víctima</w:t>
      </w:r>
      <w:r w:rsidR="00FF725D">
        <w:rPr>
          <w:rFonts w:ascii="Verdana" w:hAnsi="Verdana"/>
          <w:color w:val="000000"/>
          <w:sz w:val="20"/>
          <w:szCs w:val="20"/>
          <w:shd w:val="clear" w:color="auto" w:fill="FFFFFF"/>
          <w:lang w:val="es-CR"/>
        </w:rPr>
        <w:t xml:space="preserve"> </w:t>
      </w:r>
      <w:r w:rsidR="00FA0A56">
        <w:rPr>
          <w:rFonts w:ascii="Verdana" w:hAnsi="Verdana"/>
          <w:color w:val="000000"/>
          <w:sz w:val="20"/>
          <w:szCs w:val="20"/>
          <w:shd w:val="clear" w:color="auto" w:fill="FFFFFF"/>
          <w:lang w:val="es-CR"/>
        </w:rPr>
        <w:t>remiti</w:t>
      </w:r>
      <w:r>
        <w:rPr>
          <w:rFonts w:ascii="Verdana" w:hAnsi="Verdana"/>
          <w:color w:val="000000"/>
          <w:sz w:val="20"/>
          <w:szCs w:val="20"/>
          <w:shd w:val="clear" w:color="auto" w:fill="FFFFFF"/>
          <w:lang w:val="es-CR"/>
        </w:rPr>
        <w:t>ó</w:t>
      </w:r>
      <w:r w:rsidR="00BE7016">
        <w:rPr>
          <w:rFonts w:ascii="Verdana" w:hAnsi="Verdana"/>
          <w:color w:val="000000"/>
          <w:sz w:val="20"/>
          <w:szCs w:val="20"/>
          <w:shd w:val="clear" w:color="auto" w:fill="FFFFFF"/>
          <w:lang w:val="es-CR"/>
        </w:rPr>
        <w:t xml:space="preserve"> una solicitud de medidas provisionales</w:t>
      </w:r>
      <w:r w:rsidR="0002757F">
        <w:rPr>
          <w:rFonts w:ascii="Verdana" w:hAnsi="Verdana"/>
          <w:color w:val="000000"/>
          <w:sz w:val="20"/>
          <w:szCs w:val="20"/>
          <w:shd w:val="clear" w:color="auto" w:fill="FFFFFF"/>
          <w:lang w:val="es-CR"/>
        </w:rPr>
        <w:t>, “para</w:t>
      </w:r>
      <w:r w:rsidR="007906B1">
        <w:rPr>
          <w:rFonts w:ascii="Verdana" w:hAnsi="Verdana"/>
          <w:color w:val="000000"/>
          <w:sz w:val="20"/>
          <w:szCs w:val="20"/>
          <w:shd w:val="clear" w:color="auto" w:fill="FFFFFF"/>
          <w:lang w:val="es-CR"/>
        </w:rPr>
        <w:t xml:space="preserve"> que el derecho de la víctima a la libertad personal y al debido proceso bajo la Convención Americana, sea respetado”</w:t>
      </w:r>
      <w:r w:rsidR="009E5E54">
        <w:rPr>
          <w:rFonts w:ascii="Verdana" w:hAnsi="Verdana"/>
          <w:sz w:val="20"/>
          <w:szCs w:val="20"/>
          <w:lang w:val="es-CR"/>
        </w:rPr>
        <w:t>.</w:t>
      </w:r>
    </w:p>
    <w:p w14:paraId="656F43D5" w14:textId="26F49943" w:rsidR="000A67DF" w:rsidRPr="00916158" w:rsidRDefault="00213D05" w:rsidP="007A6E9B">
      <w:pPr>
        <w:pStyle w:val="Prrafodelista"/>
        <w:numPr>
          <w:ilvl w:val="0"/>
          <w:numId w:val="1"/>
        </w:numPr>
        <w:spacing w:before="120" w:after="120" w:line="240" w:lineRule="auto"/>
        <w:ind w:left="0" w:firstLine="0"/>
        <w:contextualSpacing w:val="0"/>
        <w:jc w:val="both"/>
        <w:rPr>
          <w:rFonts w:ascii="Verdana" w:hAnsi="Verdana"/>
          <w:color w:val="000000"/>
          <w:sz w:val="20"/>
          <w:szCs w:val="20"/>
          <w:shd w:val="clear" w:color="auto" w:fill="FFFFFF"/>
          <w:lang w:val="es-CR"/>
        </w:rPr>
      </w:pPr>
      <w:r>
        <w:rPr>
          <w:rFonts w:ascii="Verdana" w:hAnsi="Verdana"/>
          <w:sz w:val="20"/>
          <w:szCs w:val="20"/>
          <w:lang w:val="es-CR"/>
        </w:rPr>
        <w:lastRenderedPageBreak/>
        <w:t>El</w:t>
      </w:r>
      <w:r w:rsidR="00BE7016">
        <w:rPr>
          <w:rFonts w:ascii="Verdana" w:hAnsi="Verdana"/>
          <w:sz w:val="20"/>
          <w:szCs w:val="20"/>
          <w:lang w:val="es-CR"/>
        </w:rPr>
        <w:t xml:space="preserve"> </w:t>
      </w:r>
      <w:r w:rsidR="00954743">
        <w:rPr>
          <w:rFonts w:ascii="Verdana" w:hAnsi="Verdana"/>
          <w:sz w:val="20"/>
          <w:szCs w:val="20"/>
          <w:lang w:val="es-CR"/>
        </w:rPr>
        <w:t>escrito de observaciones a la solicitud de medidas provisionales</w:t>
      </w:r>
      <w:r w:rsidR="003A6088">
        <w:rPr>
          <w:rFonts w:ascii="Verdana" w:hAnsi="Verdana"/>
          <w:sz w:val="20"/>
          <w:szCs w:val="20"/>
          <w:lang w:val="es-CR"/>
        </w:rPr>
        <w:t xml:space="preserve"> y su anexo</w:t>
      </w:r>
      <w:r w:rsidR="00152BB5">
        <w:rPr>
          <w:rFonts w:ascii="Verdana" w:hAnsi="Verdana"/>
          <w:sz w:val="20"/>
          <w:szCs w:val="20"/>
          <w:lang w:val="es-CR"/>
        </w:rPr>
        <w:t xml:space="preserve">, </w:t>
      </w:r>
      <w:r w:rsidR="00BE7016">
        <w:rPr>
          <w:rFonts w:ascii="Verdana" w:hAnsi="Verdana"/>
          <w:sz w:val="20"/>
          <w:szCs w:val="20"/>
          <w:lang w:val="es-CR"/>
        </w:rPr>
        <w:t>presentado</w:t>
      </w:r>
      <w:r w:rsidR="00152BB5">
        <w:rPr>
          <w:rFonts w:ascii="Verdana" w:hAnsi="Verdana"/>
          <w:sz w:val="20"/>
          <w:szCs w:val="20"/>
          <w:lang w:val="es-CR"/>
        </w:rPr>
        <w:t>s</w:t>
      </w:r>
      <w:r w:rsidR="00BE7016">
        <w:rPr>
          <w:rFonts w:ascii="Verdana" w:hAnsi="Verdana"/>
          <w:sz w:val="20"/>
          <w:szCs w:val="20"/>
          <w:lang w:val="es-CR"/>
        </w:rPr>
        <w:t xml:space="preserve"> por el Estado </w:t>
      </w:r>
      <w:r w:rsidR="00BD1BC9">
        <w:rPr>
          <w:rFonts w:ascii="Verdana" w:hAnsi="Verdana"/>
          <w:sz w:val="20"/>
          <w:szCs w:val="20"/>
          <w:lang w:val="es-CR"/>
        </w:rPr>
        <w:t xml:space="preserve">el </w:t>
      </w:r>
      <w:r w:rsidR="003311E1">
        <w:rPr>
          <w:rFonts w:ascii="Verdana" w:hAnsi="Verdana"/>
          <w:sz w:val="20"/>
          <w:szCs w:val="20"/>
          <w:lang w:val="es-CR"/>
        </w:rPr>
        <w:t>4 de mayo de 2022</w:t>
      </w:r>
      <w:r w:rsidR="004840B5">
        <w:rPr>
          <w:rFonts w:ascii="Verdana" w:hAnsi="Verdana"/>
          <w:sz w:val="20"/>
          <w:szCs w:val="20"/>
          <w:lang w:val="es-CR"/>
        </w:rPr>
        <w:t xml:space="preserve">, en el que requirió a </w:t>
      </w:r>
      <w:r w:rsidR="004840B5" w:rsidRPr="000B070F">
        <w:rPr>
          <w:rFonts w:ascii="Verdana" w:hAnsi="Verdana"/>
          <w:sz w:val="20"/>
          <w:szCs w:val="20"/>
          <w:lang w:val="es-CR"/>
        </w:rPr>
        <w:t xml:space="preserve">la Corte </w:t>
      </w:r>
      <w:r w:rsidR="004840B5">
        <w:rPr>
          <w:rFonts w:ascii="Verdana" w:hAnsi="Verdana"/>
          <w:sz w:val="20"/>
          <w:szCs w:val="20"/>
          <w:lang w:val="es-CR"/>
        </w:rPr>
        <w:t>“</w:t>
      </w:r>
      <w:r w:rsidR="004840B5" w:rsidRPr="000B070F">
        <w:rPr>
          <w:rFonts w:ascii="Verdana" w:hAnsi="Verdana"/>
          <w:sz w:val="20"/>
          <w:szCs w:val="20"/>
          <w:lang w:val="es-CR"/>
        </w:rPr>
        <w:t>declarar</w:t>
      </w:r>
      <w:r w:rsidR="004840B5">
        <w:rPr>
          <w:rFonts w:ascii="Verdana" w:hAnsi="Verdana"/>
          <w:b/>
          <w:bCs/>
          <w:i/>
          <w:iCs/>
          <w:sz w:val="20"/>
          <w:szCs w:val="20"/>
          <w:lang w:val="es-CR"/>
        </w:rPr>
        <w:t xml:space="preserve"> </w:t>
      </w:r>
      <w:r w:rsidR="004840B5">
        <w:rPr>
          <w:rFonts w:ascii="Verdana" w:hAnsi="Verdana"/>
          <w:sz w:val="20"/>
          <w:szCs w:val="20"/>
          <w:lang w:val="es-CR"/>
        </w:rPr>
        <w:t xml:space="preserve">que […] no existe concurrencia de los tres […] requisitos” necesarios para el otorgamiento de medidas provisionales. </w:t>
      </w:r>
    </w:p>
    <w:p w14:paraId="6A31EAEC" w14:textId="0B9C4202" w:rsidR="00FF7E8A" w:rsidRPr="000C10DB" w:rsidRDefault="00F57591" w:rsidP="007A6E9B">
      <w:pPr>
        <w:pStyle w:val="Prrafodelista"/>
        <w:numPr>
          <w:ilvl w:val="0"/>
          <w:numId w:val="1"/>
        </w:numPr>
        <w:spacing w:before="120" w:after="120" w:line="240" w:lineRule="auto"/>
        <w:ind w:left="0" w:firstLine="0"/>
        <w:contextualSpacing w:val="0"/>
        <w:jc w:val="both"/>
        <w:rPr>
          <w:rFonts w:ascii="Verdana" w:hAnsi="Verdana"/>
          <w:color w:val="000000"/>
          <w:sz w:val="20"/>
          <w:szCs w:val="20"/>
          <w:shd w:val="clear" w:color="auto" w:fill="FFFFFF"/>
          <w:lang w:val="es-CR"/>
        </w:rPr>
      </w:pPr>
      <w:r>
        <w:rPr>
          <w:rFonts w:ascii="Verdana" w:hAnsi="Verdana"/>
          <w:sz w:val="20"/>
          <w:szCs w:val="20"/>
          <w:lang w:val="es-CR"/>
        </w:rPr>
        <w:t>El escrito</w:t>
      </w:r>
      <w:r w:rsidR="001143AB">
        <w:rPr>
          <w:rFonts w:ascii="Verdana" w:hAnsi="Verdana"/>
          <w:sz w:val="20"/>
          <w:szCs w:val="20"/>
          <w:lang w:val="es-CR"/>
        </w:rPr>
        <w:t xml:space="preserve"> presentado el 23 de mayo de 2022 por la representante, en el que </w:t>
      </w:r>
      <w:r w:rsidR="00A724C1">
        <w:rPr>
          <w:rFonts w:ascii="Verdana" w:hAnsi="Verdana"/>
          <w:sz w:val="20"/>
          <w:szCs w:val="20"/>
          <w:lang w:val="es-CR"/>
        </w:rPr>
        <w:t xml:space="preserve">remitió “observaciones al escrito del Estado” y solicitó al Tribunal </w:t>
      </w:r>
      <w:r w:rsidR="00AF4D8D">
        <w:rPr>
          <w:rFonts w:ascii="Verdana" w:hAnsi="Verdana"/>
          <w:sz w:val="20"/>
          <w:szCs w:val="20"/>
          <w:lang w:val="es-CR"/>
        </w:rPr>
        <w:t>que “llame a una audiencia para que se ventile el cumplimiento de las medidas de reparación ordenadas</w:t>
      </w:r>
      <w:r w:rsidR="000C10DB">
        <w:rPr>
          <w:rFonts w:ascii="Verdana" w:hAnsi="Verdana"/>
          <w:sz w:val="20"/>
          <w:szCs w:val="20"/>
          <w:lang w:val="es-CR"/>
        </w:rPr>
        <w:t>” en este caso</w:t>
      </w:r>
      <w:r w:rsidR="00FC483A">
        <w:rPr>
          <w:rStyle w:val="Refdenotaalpie"/>
          <w:rFonts w:ascii="Verdana" w:hAnsi="Verdana"/>
          <w:sz w:val="20"/>
          <w:szCs w:val="20"/>
          <w:lang w:val="es-CR"/>
        </w:rPr>
        <w:footnoteReference w:id="5"/>
      </w:r>
      <w:r w:rsidR="00250B8E">
        <w:rPr>
          <w:rFonts w:ascii="Verdana" w:hAnsi="Verdana"/>
          <w:sz w:val="20"/>
          <w:szCs w:val="20"/>
          <w:lang w:val="es-CR"/>
        </w:rPr>
        <w:t xml:space="preserve">. </w:t>
      </w:r>
    </w:p>
    <w:p w14:paraId="037C1A18" w14:textId="77777777" w:rsidR="000C10DB" w:rsidRPr="007A6E9B" w:rsidRDefault="000C10DB" w:rsidP="000C10DB">
      <w:pPr>
        <w:pStyle w:val="Prrafodelista"/>
        <w:spacing w:before="120" w:after="120" w:line="240" w:lineRule="auto"/>
        <w:ind w:left="0"/>
        <w:contextualSpacing w:val="0"/>
        <w:jc w:val="both"/>
        <w:rPr>
          <w:rFonts w:ascii="Verdana" w:hAnsi="Verdana"/>
          <w:color w:val="000000"/>
          <w:sz w:val="20"/>
          <w:szCs w:val="20"/>
          <w:shd w:val="clear" w:color="auto" w:fill="FFFFFF"/>
          <w:lang w:val="es-CR"/>
        </w:rPr>
      </w:pPr>
    </w:p>
    <w:p w14:paraId="180E4245" w14:textId="77777777" w:rsidR="00CF66EE" w:rsidRPr="006C0A91" w:rsidRDefault="005921C0" w:rsidP="007A6E9B">
      <w:pPr>
        <w:spacing w:before="120" w:after="120" w:line="240" w:lineRule="auto"/>
        <w:jc w:val="both"/>
        <w:rPr>
          <w:rFonts w:ascii="Verdana" w:hAnsi="Verdana"/>
          <w:b/>
          <w:sz w:val="20"/>
          <w:szCs w:val="20"/>
          <w:lang w:val="es-MX"/>
        </w:rPr>
      </w:pPr>
      <w:r w:rsidRPr="00234B3D">
        <w:rPr>
          <w:rFonts w:ascii="Verdana" w:hAnsi="Verdana"/>
          <w:b/>
          <w:sz w:val="20"/>
          <w:szCs w:val="20"/>
          <w:lang w:val="es-CR"/>
        </w:rPr>
        <w:t>C</w:t>
      </w:r>
      <w:r w:rsidR="008F5FD0" w:rsidRPr="00234B3D">
        <w:rPr>
          <w:rFonts w:ascii="Verdana" w:hAnsi="Verdana"/>
          <w:b/>
          <w:sz w:val="20"/>
          <w:szCs w:val="20"/>
          <w:lang w:val="es-MX"/>
        </w:rPr>
        <w:t xml:space="preserve">ONSIDERANDO QUE: </w:t>
      </w:r>
    </w:p>
    <w:p w14:paraId="7610FF12" w14:textId="2A8BB52E" w:rsidR="00B06742" w:rsidRPr="0056608D" w:rsidRDefault="00D153F9" w:rsidP="0056608D">
      <w:pPr>
        <w:pStyle w:val="Prrafodelista"/>
        <w:numPr>
          <w:ilvl w:val="0"/>
          <w:numId w:val="23"/>
        </w:numPr>
        <w:spacing w:before="120" w:after="120" w:line="240" w:lineRule="auto"/>
        <w:ind w:left="0" w:firstLine="0"/>
        <w:jc w:val="both"/>
        <w:rPr>
          <w:rFonts w:ascii="Verdana" w:hAnsi="Verdana"/>
          <w:sz w:val="20"/>
          <w:szCs w:val="20"/>
          <w:lang w:val="es-CR"/>
        </w:rPr>
      </w:pPr>
      <w:r>
        <w:rPr>
          <w:rFonts w:ascii="Verdana" w:hAnsi="Verdana"/>
          <w:sz w:val="20"/>
          <w:szCs w:val="20"/>
          <w:lang w:val="es-ES"/>
        </w:rPr>
        <w:t xml:space="preserve">La solicitud de medidas provisionales fue presentada por la representante de la víctima del </w:t>
      </w:r>
      <w:r w:rsidRPr="00D0358C">
        <w:rPr>
          <w:rFonts w:ascii="Verdana" w:hAnsi="Verdana"/>
          <w:i/>
          <w:iCs/>
          <w:sz w:val="20"/>
          <w:szCs w:val="20"/>
          <w:lang w:val="es-ES"/>
        </w:rPr>
        <w:t>caso J.</w:t>
      </w:r>
      <w:r>
        <w:rPr>
          <w:rFonts w:ascii="Verdana" w:hAnsi="Verdana"/>
          <w:sz w:val="20"/>
          <w:szCs w:val="20"/>
          <w:lang w:val="es-ES"/>
        </w:rPr>
        <w:t xml:space="preserve">, el cual se encuentra en etapa de supervisión de cumplimiento de </w:t>
      </w:r>
      <w:r w:rsidR="007E5B48">
        <w:rPr>
          <w:rFonts w:ascii="Verdana" w:hAnsi="Verdana"/>
          <w:sz w:val="20"/>
          <w:szCs w:val="20"/>
          <w:lang w:val="es-ES"/>
        </w:rPr>
        <w:t>S</w:t>
      </w:r>
      <w:r>
        <w:rPr>
          <w:rFonts w:ascii="Verdana" w:hAnsi="Verdana"/>
          <w:sz w:val="20"/>
          <w:szCs w:val="20"/>
          <w:lang w:val="es-ES"/>
        </w:rPr>
        <w:t>entencia</w:t>
      </w:r>
      <w:r w:rsidR="00044E1B">
        <w:rPr>
          <w:rFonts w:ascii="Verdana" w:hAnsi="Verdana"/>
          <w:sz w:val="20"/>
          <w:szCs w:val="20"/>
          <w:lang w:val="es-ES"/>
        </w:rPr>
        <w:t xml:space="preserve"> desde el 2013</w:t>
      </w:r>
      <w:r w:rsidR="00D0358C">
        <w:rPr>
          <w:rFonts w:ascii="Verdana" w:hAnsi="Verdana"/>
          <w:sz w:val="20"/>
          <w:szCs w:val="20"/>
          <w:lang w:val="es-ES"/>
        </w:rPr>
        <w:t xml:space="preserve"> (</w:t>
      </w:r>
      <w:r w:rsidR="00D0358C" w:rsidRPr="00D0358C">
        <w:rPr>
          <w:rFonts w:ascii="Verdana" w:hAnsi="Verdana"/>
          <w:i/>
          <w:iCs/>
          <w:sz w:val="20"/>
          <w:szCs w:val="20"/>
          <w:lang w:val="es-ES"/>
        </w:rPr>
        <w:t>supra</w:t>
      </w:r>
      <w:r w:rsidR="00D0358C">
        <w:rPr>
          <w:rFonts w:ascii="Verdana" w:hAnsi="Verdana"/>
          <w:sz w:val="20"/>
          <w:szCs w:val="20"/>
          <w:lang w:val="es-ES"/>
        </w:rPr>
        <w:t xml:space="preserve"> Visto 1)</w:t>
      </w:r>
      <w:r w:rsidR="0056608D">
        <w:rPr>
          <w:rFonts w:ascii="Verdana" w:hAnsi="Verdana"/>
          <w:sz w:val="20"/>
          <w:szCs w:val="20"/>
          <w:lang w:val="es-ES"/>
        </w:rPr>
        <w:t>.</w:t>
      </w:r>
      <w:r w:rsidR="00183463" w:rsidRPr="00183463">
        <w:rPr>
          <w:rFonts w:ascii="Verdana" w:hAnsi="Verdana"/>
          <w:sz w:val="20"/>
          <w:szCs w:val="20"/>
          <w:lang w:val="es-ES"/>
        </w:rPr>
        <w:t xml:space="preserve"> </w:t>
      </w:r>
      <w:r w:rsidR="00044E1B" w:rsidRPr="0056608D">
        <w:rPr>
          <w:rFonts w:ascii="Verdana" w:hAnsi="Verdana"/>
          <w:sz w:val="20"/>
          <w:szCs w:val="20"/>
          <w:lang w:val="es-ES"/>
        </w:rPr>
        <w:t>La representante</w:t>
      </w:r>
      <w:r w:rsidR="00044E1B" w:rsidRPr="0056608D">
        <w:rPr>
          <w:lang w:val="es-ES"/>
        </w:rPr>
        <w:t xml:space="preserve"> </w:t>
      </w:r>
      <w:r w:rsidR="00044E1B" w:rsidRPr="0056608D">
        <w:rPr>
          <w:rFonts w:ascii="Verdana" w:hAnsi="Verdana"/>
          <w:sz w:val="20"/>
          <w:szCs w:val="20"/>
          <w:lang w:val="es-ES"/>
        </w:rPr>
        <w:t xml:space="preserve">solicitó a la Corte la adopción de medidas provisionales </w:t>
      </w:r>
      <w:r w:rsidR="00C67853" w:rsidRPr="0056608D">
        <w:rPr>
          <w:rFonts w:ascii="Verdana" w:hAnsi="Verdana"/>
          <w:sz w:val="20"/>
          <w:szCs w:val="20"/>
          <w:lang w:val="es-ES"/>
        </w:rPr>
        <w:t>a</w:t>
      </w:r>
      <w:r w:rsidR="00044E1B" w:rsidRPr="0056608D">
        <w:rPr>
          <w:rFonts w:ascii="Verdana" w:hAnsi="Verdana"/>
          <w:sz w:val="20"/>
          <w:szCs w:val="20"/>
          <w:lang w:val="es-ES"/>
        </w:rPr>
        <w:t xml:space="preserve"> favor de la señora J. </w:t>
      </w:r>
      <w:r w:rsidR="00D0358C" w:rsidRPr="0056608D">
        <w:rPr>
          <w:rFonts w:ascii="Verdana" w:hAnsi="Verdana"/>
          <w:sz w:val="20"/>
          <w:szCs w:val="20"/>
          <w:lang w:val="es-ES"/>
        </w:rPr>
        <w:t xml:space="preserve">para proteger </w:t>
      </w:r>
      <w:r w:rsidR="00C67853" w:rsidRPr="0056608D">
        <w:rPr>
          <w:rFonts w:ascii="Verdana" w:hAnsi="Verdana"/>
          <w:sz w:val="20"/>
          <w:szCs w:val="20"/>
          <w:lang w:val="es-ES"/>
        </w:rPr>
        <w:t>sus</w:t>
      </w:r>
      <w:r w:rsidR="00D0358C" w:rsidRPr="0056608D">
        <w:rPr>
          <w:rFonts w:ascii="Verdana" w:hAnsi="Verdana"/>
          <w:sz w:val="20"/>
          <w:szCs w:val="20"/>
          <w:lang w:val="es-ES"/>
        </w:rPr>
        <w:t xml:space="preserve"> derechos </w:t>
      </w:r>
      <w:r w:rsidR="00044E1B" w:rsidRPr="0056608D">
        <w:rPr>
          <w:rFonts w:ascii="Verdana" w:hAnsi="Verdana"/>
          <w:sz w:val="20"/>
          <w:szCs w:val="20"/>
          <w:lang w:val="es-ES"/>
        </w:rPr>
        <w:t xml:space="preserve">“a la libertad personal y al debido proceso” </w:t>
      </w:r>
      <w:r w:rsidR="00D0358C" w:rsidRPr="0056608D">
        <w:rPr>
          <w:rFonts w:ascii="Verdana" w:hAnsi="Verdana"/>
          <w:sz w:val="20"/>
          <w:szCs w:val="20"/>
          <w:lang w:val="es-ES"/>
        </w:rPr>
        <w:t>(</w:t>
      </w:r>
      <w:r w:rsidR="00D0358C" w:rsidRPr="0056608D">
        <w:rPr>
          <w:rFonts w:ascii="Verdana" w:hAnsi="Verdana"/>
          <w:i/>
          <w:iCs/>
          <w:sz w:val="20"/>
          <w:szCs w:val="20"/>
          <w:lang w:val="es-ES"/>
        </w:rPr>
        <w:t>infra</w:t>
      </w:r>
      <w:r w:rsidR="00D0358C" w:rsidRPr="0056608D">
        <w:rPr>
          <w:rFonts w:ascii="Verdana" w:hAnsi="Verdana"/>
          <w:sz w:val="20"/>
          <w:szCs w:val="20"/>
          <w:lang w:val="es-ES"/>
        </w:rPr>
        <w:t xml:space="preserve"> Considerandos 3 a </w:t>
      </w:r>
      <w:r w:rsidR="00781E30">
        <w:rPr>
          <w:rFonts w:ascii="Verdana" w:hAnsi="Verdana"/>
          <w:sz w:val="20"/>
          <w:szCs w:val="20"/>
          <w:lang w:val="es-ES"/>
        </w:rPr>
        <w:t>6</w:t>
      </w:r>
      <w:r w:rsidR="00D0358C" w:rsidRPr="0056608D">
        <w:rPr>
          <w:rFonts w:ascii="Verdana" w:hAnsi="Verdana"/>
          <w:sz w:val="20"/>
          <w:szCs w:val="20"/>
          <w:lang w:val="es-ES"/>
        </w:rPr>
        <w:t xml:space="preserve">) </w:t>
      </w:r>
      <w:r w:rsidR="00044E1B" w:rsidRPr="0056608D">
        <w:rPr>
          <w:rFonts w:ascii="Verdana" w:hAnsi="Verdana"/>
          <w:sz w:val="20"/>
          <w:szCs w:val="20"/>
          <w:lang w:val="es-ES"/>
        </w:rPr>
        <w:t>y relacionó dicha petición con lo ordenado en el punto resolutivo décimo octavo</w:t>
      </w:r>
      <w:r w:rsidR="003A2914" w:rsidRPr="0056608D">
        <w:rPr>
          <w:rFonts w:ascii="Verdana" w:hAnsi="Verdana"/>
          <w:sz w:val="20"/>
          <w:szCs w:val="20"/>
          <w:lang w:val="es-ES"/>
        </w:rPr>
        <w:t xml:space="preserve"> </w:t>
      </w:r>
      <w:r w:rsidR="00044E1B" w:rsidRPr="0056608D">
        <w:rPr>
          <w:rFonts w:ascii="Verdana" w:hAnsi="Verdana"/>
          <w:sz w:val="20"/>
          <w:szCs w:val="20"/>
          <w:lang w:val="es-ES"/>
        </w:rPr>
        <w:t xml:space="preserve">de la Sentencia, en el cual se dispuso que </w:t>
      </w:r>
      <w:r w:rsidR="00D0358C" w:rsidRPr="0056608D">
        <w:rPr>
          <w:rFonts w:ascii="Verdana" w:hAnsi="Verdana"/>
          <w:sz w:val="20"/>
          <w:szCs w:val="20"/>
          <w:lang w:val="es-ES"/>
        </w:rPr>
        <w:t>el Estado “</w:t>
      </w:r>
      <w:r w:rsidR="00D0358C" w:rsidRPr="0056608D">
        <w:rPr>
          <w:rFonts w:ascii="Verdana" w:eastAsia="MS Mincho" w:hAnsi="Verdana" w:cs="Verdana"/>
          <w:spacing w:val="-2"/>
          <w:sz w:val="20"/>
          <w:szCs w:val="20"/>
          <w:lang w:val="es-ES_tradnl"/>
        </w:rPr>
        <w:t xml:space="preserve">debe asegurar que en el proceso seguido contra la señora J. se observen todas las exigencias del debido proceso legal, con plenas garantías de audiencia y defensa para la inculpada, </w:t>
      </w:r>
      <w:r w:rsidR="00D0358C" w:rsidRPr="0056608D">
        <w:rPr>
          <w:rFonts w:ascii="Verdana" w:eastAsia="Batang" w:hAnsi="Verdana" w:cs="Times"/>
          <w:spacing w:val="-2"/>
          <w:sz w:val="20"/>
          <w:szCs w:val="20"/>
          <w:lang w:val="es-ES"/>
        </w:rPr>
        <w:t>en los términos del párrafo</w:t>
      </w:r>
      <w:r w:rsidR="00756500">
        <w:rPr>
          <w:rFonts w:ascii="Verdana" w:eastAsia="Batang" w:hAnsi="Verdana" w:cs="Times"/>
          <w:spacing w:val="-2"/>
          <w:sz w:val="20"/>
          <w:szCs w:val="20"/>
          <w:lang w:val="es-ES"/>
        </w:rPr>
        <w:t xml:space="preserve"> 413</w:t>
      </w:r>
      <w:r w:rsidR="00D0358C" w:rsidRPr="0056608D">
        <w:rPr>
          <w:rFonts w:ascii="Verdana" w:eastAsia="Batang" w:hAnsi="Verdana" w:cs="Times"/>
          <w:spacing w:val="-2"/>
          <w:sz w:val="20"/>
          <w:szCs w:val="20"/>
          <w:lang w:val="es-ES_tradnl"/>
        </w:rPr>
        <w:t xml:space="preserve"> </w:t>
      </w:r>
      <w:r w:rsidR="00D0358C" w:rsidRPr="0056608D">
        <w:rPr>
          <w:rFonts w:ascii="Verdana" w:eastAsia="Batang" w:hAnsi="Verdana" w:cs="Times"/>
          <w:spacing w:val="-2"/>
          <w:sz w:val="20"/>
          <w:szCs w:val="20"/>
          <w:lang w:val="es-ES"/>
        </w:rPr>
        <w:t xml:space="preserve">de la </w:t>
      </w:r>
      <w:r w:rsidR="00C67853" w:rsidRPr="0056608D">
        <w:rPr>
          <w:rFonts w:ascii="Verdana" w:eastAsia="Batang" w:hAnsi="Verdana" w:cs="Times"/>
          <w:spacing w:val="-2"/>
          <w:sz w:val="20"/>
          <w:szCs w:val="20"/>
          <w:lang w:val="es-ES"/>
        </w:rPr>
        <w:t xml:space="preserve">[…] </w:t>
      </w:r>
      <w:r w:rsidR="00D0358C" w:rsidRPr="0056608D">
        <w:rPr>
          <w:rFonts w:ascii="Verdana" w:eastAsia="Batang" w:hAnsi="Verdana" w:cs="Times"/>
          <w:spacing w:val="-2"/>
          <w:sz w:val="20"/>
          <w:szCs w:val="20"/>
          <w:lang w:val="es-ES"/>
        </w:rPr>
        <w:t>Sentencia</w:t>
      </w:r>
      <w:r w:rsidR="00C67853" w:rsidRPr="0056608D">
        <w:rPr>
          <w:rFonts w:ascii="Verdana" w:eastAsia="Batang" w:hAnsi="Verdana" w:cs="Times"/>
          <w:spacing w:val="-2"/>
          <w:sz w:val="20"/>
          <w:szCs w:val="20"/>
          <w:lang w:val="es-ES"/>
        </w:rPr>
        <w:t>”</w:t>
      </w:r>
      <w:r w:rsidR="00743728">
        <w:rPr>
          <w:rStyle w:val="Refdenotaalpie"/>
          <w:rFonts w:ascii="Verdana" w:eastAsia="Batang" w:hAnsi="Verdana" w:cs="Times"/>
          <w:spacing w:val="-2"/>
          <w:sz w:val="20"/>
          <w:szCs w:val="20"/>
          <w:lang w:val="es-ES"/>
        </w:rPr>
        <w:footnoteReference w:id="6"/>
      </w:r>
      <w:r w:rsidR="00C67853" w:rsidRPr="0056608D">
        <w:rPr>
          <w:rFonts w:ascii="Verdana" w:eastAsia="Batang" w:hAnsi="Verdana" w:cs="Times"/>
          <w:spacing w:val="-2"/>
          <w:sz w:val="20"/>
          <w:szCs w:val="20"/>
          <w:lang w:val="es-ES"/>
        </w:rPr>
        <w:t>. En la Sentencia, la Corte constató que</w:t>
      </w:r>
      <w:r w:rsidR="007B45F9">
        <w:rPr>
          <w:rFonts w:ascii="Verdana" w:eastAsia="Batang" w:hAnsi="Verdana" w:cs="Times"/>
          <w:spacing w:val="-2"/>
          <w:sz w:val="20"/>
          <w:szCs w:val="20"/>
          <w:lang w:val="es-ES"/>
        </w:rPr>
        <w:t>,</w:t>
      </w:r>
      <w:r w:rsidR="00C67853" w:rsidRPr="0056608D">
        <w:rPr>
          <w:rFonts w:ascii="Verdana" w:eastAsia="Batang" w:hAnsi="Verdana" w:cs="Times"/>
          <w:spacing w:val="-2"/>
          <w:sz w:val="20"/>
          <w:szCs w:val="20"/>
          <w:lang w:val="es-ES"/>
        </w:rPr>
        <w:t xml:space="preserve"> </w:t>
      </w:r>
      <w:r w:rsidR="0046033D" w:rsidRPr="0056608D">
        <w:rPr>
          <w:rFonts w:ascii="Verdana" w:hAnsi="Verdana"/>
          <w:sz w:val="20"/>
          <w:szCs w:val="20"/>
          <w:lang w:val="es-ES"/>
        </w:rPr>
        <w:t xml:space="preserve">en </w:t>
      </w:r>
      <w:r w:rsidR="00C67853" w:rsidRPr="0056608D">
        <w:rPr>
          <w:rFonts w:ascii="Verdana" w:hAnsi="Verdana"/>
          <w:sz w:val="20"/>
          <w:szCs w:val="20"/>
          <w:lang w:val="es-ES"/>
        </w:rPr>
        <w:t xml:space="preserve">los años </w:t>
      </w:r>
      <w:r w:rsidR="0046033D" w:rsidRPr="0056608D">
        <w:rPr>
          <w:rFonts w:ascii="Verdana" w:hAnsi="Verdana"/>
          <w:sz w:val="20"/>
          <w:szCs w:val="20"/>
          <w:lang w:val="es-ES"/>
        </w:rPr>
        <w:t>1992 y 1993, la señora J.</w:t>
      </w:r>
      <w:r w:rsidR="0046033D" w:rsidRPr="0046033D">
        <w:rPr>
          <w:rFonts w:ascii="Verdana" w:hAnsi="Verdana"/>
          <w:sz w:val="20"/>
          <w:szCs w:val="20"/>
          <w:vertAlign w:val="superscript"/>
          <w:lang w:val="es-ES"/>
        </w:rPr>
        <w:footnoteReference w:id="7"/>
      </w:r>
      <w:r w:rsidR="0046033D" w:rsidRPr="0056608D">
        <w:rPr>
          <w:rFonts w:ascii="Verdana" w:hAnsi="Verdana"/>
          <w:sz w:val="20"/>
          <w:szCs w:val="20"/>
          <w:lang w:val="es-ES"/>
        </w:rPr>
        <w:t xml:space="preserve"> fue procesada por </w:t>
      </w:r>
      <w:r w:rsidR="004A2307" w:rsidRPr="0056608D">
        <w:rPr>
          <w:rFonts w:ascii="Verdana" w:hAnsi="Verdana"/>
          <w:sz w:val="20"/>
          <w:szCs w:val="20"/>
          <w:lang w:val="es-ES"/>
        </w:rPr>
        <w:t>los</w:t>
      </w:r>
      <w:r w:rsidR="0046033D" w:rsidRPr="0056608D">
        <w:rPr>
          <w:rFonts w:ascii="Verdana" w:hAnsi="Verdana"/>
          <w:sz w:val="20"/>
          <w:szCs w:val="20"/>
          <w:lang w:val="es-ES"/>
        </w:rPr>
        <w:t xml:space="preserve"> delito</w:t>
      </w:r>
      <w:r w:rsidR="004A2307" w:rsidRPr="0056608D">
        <w:rPr>
          <w:rFonts w:ascii="Verdana" w:hAnsi="Verdana"/>
          <w:sz w:val="20"/>
          <w:szCs w:val="20"/>
          <w:lang w:val="es-ES"/>
        </w:rPr>
        <w:t>s</w:t>
      </w:r>
      <w:r w:rsidR="0046033D" w:rsidRPr="0056608D">
        <w:rPr>
          <w:rFonts w:ascii="Verdana" w:hAnsi="Verdana"/>
          <w:sz w:val="20"/>
          <w:szCs w:val="20"/>
          <w:lang w:val="es-ES"/>
        </w:rPr>
        <w:t xml:space="preserve"> de terrorismo y asociación ilícita</w:t>
      </w:r>
      <w:r w:rsidR="00C67853" w:rsidRPr="0056608D">
        <w:rPr>
          <w:rFonts w:ascii="Verdana" w:hAnsi="Verdana"/>
          <w:sz w:val="20"/>
          <w:szCs w:val="20"/>
          <w:lang w:val="es-ES"/>
        </w:rPr>
        <w:t xml:space="preserve">, y en el </w:t>
      </w:r>
      <w:r w:rsidR="000E042D" w:rsidRPr="0056608D">
        <w:rPr>
          <w:rFonts w:ascii="Verdana" w:hAnsi="Verdana"/>
          <w:sz w:val="20"/>
          <w:szCs w:val="20"/>
          <w:lang w:val="es-ES"/>
        </w:rPr>
        <w:t>2003 se declaró nulo todo lo actuado en el proceso por haberse llevado a cabo ante jueces y fiscales con identidad reservada</w:t>
      </w:r>
      <w:r w:rsidR="00A7267A" w:rsidRPr="0056608D">
        <w:rPr>
          <w:rFonts w:ascii="Verdana" w:hAnsi="Verdana"/>
          <w:sz w:val="20"/>
          <w:szCs w:val="20"/>
          <w:lang w:val="es-ES"/>
        </w:rPr>
        <w:t>, y se retrotrajo el proceso al momento de emisión del dictamen acusatorio por parte del Ministerio Público.</w:t>
      </w:r>
      <w:r w:rsidR="00A7267A" w:rsidRPr="0056608D">
        <w:rPr>
          <w:rFonts w:ascii="Verdana" w:hAnsi="Verdana"/>
          <w:sz w:val="20"/>
          <w:lang w:val="es-CR"/>
        </w:rPr>
        <w:t xml:space="preserve"> Entre otras violaciones, la Corte </w:t>
      </w:r>
      <w:r w:rsidR="001939F2" w:rsidRPr="0056608D">
        <w:rPr>
          <w:rFonts w:ascii="Verdana" w:hAnsi="Verdana"/>
          <w:sz w:val="20"/>
          <w:lang w:val="es-CR"/>
        </w:rPr>
        <w:t xml:space="preserve">constató que </w:t>
      </w:r>
      <w:r w:rsidR="00646412" w:rsidRPr="0056608D">
        <w:rPr>
          <w:rFonts w:ascii="Verdana" w:hAnsi="Verdana"/>
          <w:sz w:val="20"/>
          <w:lang w:val="es-CR"/>
        </w:rPr>
        <w:t>se vulneró</w:t>
      </w:r>
      <w:r w:rsidR="001939F2" w:rsidRPr="0056608D">
        <w:rPr>
          <w:rFonts w:ascii="Verdana" w:hAnsi="Verdana"/>
          <w:sz w:val="20"/>
          <w:lang w:val="es-CR"/>
        </w:rPr>
        <w:t xml:space="preserve"> </w:t>
      </w:r>
      <w:r w:rsidR="00C67853" w:rsidRPr="0056608D">
        <w:rPr>
          <w:rFonts w:ascii="Verdana" w:hAnsi="Verdana"/>
          <w:sz w:val="20"/>
          <w:lang w:val="es-CR"/>
        </w:rPr>
        <w:t xml:space="preserve">el </w:t>
      </w:r>
      <w:r w:rsidR="00743728" w:rsidRPr="0056608D">
        <w:rPr>
          <w:rFonts w:ascii="Verdana" w:hAnsi="Verdana"/>
          <w:sz w:val="20"/>
          <w:lang w:val="es-CR"/>
        </w:rPr>
        <w:t xml:space="preserve">derecho de defensa </w:t>
      </w:r>
      <w:r w:rsidR="001939F2" w:rsidRPr="0056608D">
        <w:rPr>
          <w:rFonts w:ascii="Verdana" w:hAnsi="Verdana"/>
          <w:sz w:val="20"/>
          <w:lang w:val="es-CR"/>
        </w:rPr>
        <w:t>de la señora J.</w:t>
      </w:r>
      <w:r w:rsidR="00743728" w:rsidRPr="0056608D">
        <w:rPr>
          <w:rFonts w:ascii="Verdana" w:hAnsi="Verdana"/>
          <w:sz w:val="16"/>
          <w:szCs w:val="16"/>
          <w:lang w:val="es-CR"/>
        </w:rPr>
        <w:t xml:space="preserve"> </w:t>
      </w:r>
      <w:r w:rsidR="00743728" w:rsidRPr="0056608D">
        <w:rPr>
          <w:rFonts w:ascii="Verdana" w:hAnsi="Verdana"/>
          <w:sz w:val="20"/>
          <w:szCs w:val="20"/>
          <w:lang w:val="es-CR"/>
        </w:rPr>
        <w:t>por la indeterminación y vaguedad en la descripción de las conductas que supuestamente le eran atribuibles y por la ausencia de conductas que encuadraran dentro de todos los delitos por los cuales estaba siendo procesada</w:t>
      </w:r>
      <w:r w:rsidR="001939F2">
        <w:rPr>
          <w:rStyle w:val="Refdenotaalpie"/>
          <w:rFonts w:ascii="Verdana" w:hAnsi="Verdana"/>
          <w:sz w:val="20"/>
          <w:szCs w:val="20"/>
          <w:lang w:val="es-ES"/>
        </w:rPr>
        <w:footnoteReference w:id="8"/>
      </w:r>
      <w:r w:rsidR="00A7267A" w:rsidRPr="0056608D">
        <w:rPr>
          <w:rFonts w:ascii="Verdana" w:hAnsi="Verdana"/>
          <w:sz w:val="20"/>
          <w:lang w:val="es-CR"/>
        </w:rPr>
        <w:t>.</w:t>
      </w:r>
      <w:r w:rsidR="00646412" w:rsidRPr="0056608D">
        <w:rPr>
          <w:rFonts w:ascii="Verdana" w:hAnsi="Verdana"/>
          <w:sz w:val="20"/>
          <w:lang w:val="es-CR"/>
        </w:rPr>
        <w:t xml:space="preserve"> Adicionalmente, el Tribunal constató que</w:t>
      </w:r>
      <w:r w:rsidR="00EC2680">
        <w:rPr>
          <w:rFonts w:ascii="Verdana" w:hAnsi="Verdana"/>
          <w:sz w:val="20"/>
          <w:lang w:val="es-CR"/>
        </w:rPr>
        <w:t>,</w:t>
      </w:r>
      <w:r w:rsidR="00646412" w:rsidRPr="0056608D">
        <w:rPr>
          <w:rFonts w:ascii="Verdana" w:hAnsi="Verdana"/>
          <w:sz w:val="20"/>
          <w:lang w:val="es-CR"/>
        </w:rPr>
        <w:t xml:space="preserve"> en el 2005</w:t>
      </w:r>
      <w:r w:rsidR="00EC2680">
        <w:rPr>
          <w:rFonts w:ascii="Verdana" w:hAnsi="Verdana"/>
          <w:sz w:val="20"/>
          <w:lang w:val="es-CR"/>
        </w:rPr>
        <w:t>,</w:t>
      </w:r>
      <w:r w:rsidR="00646412" w:rsidRPr="0056608D">
        <w:rPr>
          <w:rFonts w:ascii="Verdana" w:hAnsi="Verdana"/>
          <w:sz w:val="20"/>
          <w:lang w:val="es-CR"/>
        </w:rPr>
        <w:t xml:space="preserve"> el Ministerio Público formuló una nueva acusación penal contra la señora J. por los delitos de apología y asociación ilícita terrorista. Al momento de la Sentencia, la señora J. había sido declarada reo contumaz y tenía órdenes de ubicación y captura. La Corte concluyó que, respecto de este nuevo proceso, Perú no violó la garantía del </w:t>
      </w:r>
      <w:r w:rsidR="00646412" w:rsidRPr="0056608D">
        <w:rPr>
          <w:rFonts w:ascii="Verdana" w:hAnsi="Verdana"/>
          <w:i/>
          <w:iCs/>
          <w:sz w:val="20"/>
          <w:lang w:val="es-CR"/>
        </w:rPr>
        <w:t>non bis in ídem</w:t>
      </w:r>
      <w:r w:rsidR="00646412" w:rsidRPr="0056608D">
        <w:rPr>
          <w:rFonts w:ascii="Verdana" w:hAnsi="Verdana"/>
          <w:sz w:val="20"/>
          <w:lang w:val="es-CR"/>
        </w:rPr>
        <w:t xml:space="preserve"> en perjuicio de la señora J.</w:t>
      </w:r>
      <w:r w:rsidR="004A2307">
        <w:rPr>
          <w:rStyle w:val="Refdenotaalpie"/>
          <w:rFonts w:ascii="Verdana" w:hAnsi="Verdana"/>
          <w:sz w:val="20"/>
          <w:lang w:val="es-CR"/>
        </w:rPr>
        <w:footnoteReference w:id="9"/>
      </w:r>
      <w:r w:rsidR="00646412" w:rsidRPr="0056608D">
        <w:rPr>
          <w:rFonts w:ascii="Verdana" w:hAnsi="Verdana"/>
          <w:sz w:val="20"/>
          <w:lang w:val="es-CR"/>
        </w:rPr>
        <w:t xml:space="preserve"> </w:t>
      </w:r>
      <w:r w:rsidR="000F6872" w:rsidRPr="0056608D">
        <w:rPr>
          <w:rFonts w:ascii="Verdana" w:hAnsi="Verdana"/>
          <w:sz w:val="20"/>
          <w:szCs w:val="20"/>
          <w:lang w:val="es-CR"/>
        </w:rPr>
        <w:t xml:space="preserve">y </w:t>
      </w:r>
      <w:r w:rsidR="00A1202D" w:rsidRPr="0056608D">
        <w:rPr>
          <w:rFonts w:ascii="Verdana" w:hAnsi="Verdana"/>
          <w:sz w:val="20"/>
          <w:szCs w:val="20"/>
          <w:lang w:val="es-CR"/>
        </w:rPr>
        <w:t>que no contaba con los elementos para concluir que el delito de apología por el cual es</w:t>
      </w:r>
      <w:r w:rsidR="00A97B30" w:rsidRPr="0056608D">
        <w:rPr>
          <w:rFonts w:ascii="Verdana" w:hAnsi="Verdana"/>
          <w:sz w:val="20"/>
          <w:szCs w:val="20"/>
          <w:lang w:val="es-CR"/>
        </w:rPr>
        <w:t>taba siendo</w:t>
      </w:r>
      <w:r w:rsidR="00A1202D" w:rsidRPr="0056608D">
        <w:rPr>
          <w:rFonts w:ascii="Verdana" w:hAnsi="Verdana"/>
          <w:sz w:val="20"/>
          <w:szCs w:val="20"/>
          <w:lang w:val="es-CR"/>
        </w:rPr>
        <w:t xml:space="preserve"> procesada se </w:t>
      </w:r>
      <w:r w:rsidR="00ED4EF7" w:rsidRPr="0056608D">
        <w:rPr>
          <w:rFonts w:ascii="Verdana" w:hAnsi="Verdana"/>
          <w:sz w:val="20"/>
          <w:szCs w:val="20"/>
          <w:lang w:val="es-CR"/>
        </w:rPr>
        <w:t>encontrara</w:t>
      </w:r>
      <w:r w:rsidR="00A1202D" w:rsidRPr="0056608D">
        <w:rPr>
          <w:rFonts w:ascii="Verdana" w:hAnsi="Verdana"/>
          <w:sz w:val="20"/>
          <w:szCs w:val="20"/>
          <w:lang w:val="es-CR"/>
        </w:rPr>
        <w:t xml:space="preserve"> prescrito. </w:t>
      </w:r>
      <w:r w:rsidR="00C126C7" w:rsidRPr="0056608D">
        <w:rPr>
          <w:rFonts w:ascii="Verdana" w:hAnsi="Verdana"/>
          <w:sz w:val="20"/>
          <w:szCs w:val="20"/>
          <w:lang w:val="es-CR"/>
        </w:rPr>
        <w:t xml:space="preserve">Por ello, sobre este proceso el Tribunal ordenó </w:t>
      </w:r>
      <w:r w:rsidR="00F3732F">
        <w:rPr>
          <w:rFonts w:ascii="Verdana" w:hAnsi="Verdana"/>
          <w:sz w:val="20"/>
          <w:szCs w:val="20"/>
          <w:lang w:val="es-CR"/>
        </w:rPr>
        <w:t xml:space="preserve">la referida </w:t>
      </w:r>
      <w:r w:rsidR="0097715B">
        <w:rPr>
          <w:rFonts w:ascii="Verdana" w:hAnsi="Verdana"/>
          <w:sz w:val="20"/>
          <w:szCs w:val="20"/>
          <w:lang w:val="es-CR"/>
        </w:rPr>
        <w:t xml:space="preserve">medida </w:t>
      </w:r>
      <w:r w:rsidR="0097715B" w:rsidRPr="0056608D">
        <w:rPr>
          <w:rFonts w:ascii="Verdana" w:hAnsi="Verdana"/>
          <w:sz w:val="20"/>
          <w:szCs w:val="20"/>
          <w:lang w:val="es-CR"/>
        </w:rPr>
        <w:t>indicada</w:t>
      </w:r>
      <w:r w:rsidR="00C126C7" w:rsidRPr="0056608D">
        <w:rPr>
          <w:rFonts w:ascii="Verdana" w:hAnsi="Verdana"/>
          <w:sz w:val="20"/>
          <w:szCs w:val="20"/>
          <w:lang w:val="es-CR"/>
        </w:rPr>
        <w:t xml:space="preserve"> en el punto resolutivo décimo octavo.</w:t>
      </w:r>
    </w:p>
    <w:p w14:paraId="4C2DCDD4" w14:textId="77777777" w:rsidR="00993142" w:rsidRPr="00993142" w:rsidRDefault="00993142" w:rsidP="00993142">
      <w:pPr>
        <w:pStyle w:val="Prrafodelista"/>
        <w:spacing w:before="120" w:after="120"/>
        <w:ind w:left="0"/>
        <w:jc w:val="both"/>
        <w:rPr>
          <w:rFonts w:ascii="Verdana" w:hAnsi="Verdana"/>
          <w:sz w:val="20"/>
          <w:szCs w:val="20"/>
          <w:lang w:val="es-CR"/>
        </w:rPr>
      </w:pPr>
    </w:p>
    <w:p w14:paraId="422C8B11" w14:textId="745AD83C" w:rsidR="00716123" w:rsidRPr="00F23AC6" w:rsidRDefault="00716123" w:rsidP="007A6E9B">
      <w:pPr>
        <w:pStyle w:val="Prrafodelista"/>
        <w:numPr>
          <w:ilvl w:val="0"/>
          <w:numId w:val="23"/>
        </w:numPr>
        <w:spacing w:before="120" w:after="120" w:line="240" w:lineRule="auto"/>
        <w:ind w:left="0" w:firstLine="0"/>
        <w:contextualSpacing w:val="0"/>
        <w:jc w:val="both"/>
        <w:rPr>
          <w:rFonts w:ascii="Verdana" w:hAnsi="Verdana"/>
          <w:sz w:val="20"/>
          <w:szCs w:val="20"/>
          <w:lang w:val="es-ES"/>
        </w:rPr>
      </w:pPr>
      <w:r>
        <w:rPr>
          <w:rFonts w:ascii="Verdana" w:hAnsi="Verdana"/>
          <w:sz w:val="20"/>
          <w:szCs w:val="20"/>
          <w:lang w:val="es-CR"/>
        </w:rPr>
        <w:lastRenderedPageBreak/>
        <w:t>En la presente Resolución, la Corte se pronunciará sobre la solicitud de medidas provisionales presentada por la representante (</w:t>
      </w:r>
      <w:r>
        <w:rPr>
          <w:rFonts w:ascii="Verdana" w:hAnsi="Verdana"/>
          <w:i/>
          <w:iCs/>
          <w:sz w:val="20"/>
          <w:szCs w:val="20"/>
          <w:lang w:val="es-CR"/>
        </w:rPr>
        <w:t xml:space="preserve">infra </w:t>
      </w:r>
      <w:r>
        <w:rPr>
          <w:rFonts w:ascii="Verdana" w:hAnsi="Verdana"/>
          <w:sz w:val="20"/>
          <w:szCs w:val="20"/>
          <w:lang w:val="es-CR"/>
        </w:rPr>
        <w:t xml:space="preserve">Considerandos </w:t>
      </w:r>
      <w:r w:rsidR="00964334">
        <w:rPr>
          <w:rFonts w:ascii="Verdana" w:hAnsi="Verdana"/>
          <w:sz w:val="20"/>
          <w:szCs w:val="20"/>
          <w:lang w:val="es-CR"/>
        </w:rPr>
        <w:t xml:space="preserve">3 a </w:t>
      </w:r>
      <w:r w:rsidR="00781E30">
        <w:rPr>
          <w:rFonts w:ascii="Verdana" w:hAnsi="Verdana"/>
          <w:sz w:val="20"/>
          <w:szCs w:val="20"/>
          <w:lang w:val="es-CR"/>
        </w:rPr>
        <w:t>6</w:t>
      </w:r>
      <w:r>
        <w:rPr>
          <w:rFonts w:ascii="Verdana" w:hAnsi="Verdana"/>
          <w:sz w:val="20"/>
          <w:szCs w:val="20"/>
          <w:lang w:val="es-CR"/>
        </w:rPr>
        <w:t>)</w:t>
      </w:r>
      <w:r w:rsidR="00550DE0">
        <w:rPr>
          <w:rFonts w:ascii="Verdana" w:hAnsi="Verdana"/>
          <w:sz w:val="20"/>
          <w:szCs w:val="20"/>
          <w:lang w:val="es-CR"/>
        </w:rPr>
        <w:t>, para lo cual</w:t>
      </w:r>
      <w:r w:rsidR="0056608D">
        <w:rPr>
          <w:rFonts w:ascii="Verdana" w:hAnsi="Verdana"/>
          <w:sz w:val="20"/>
          <w:szCs w:val="20"/>
          <w:lang w:val="es-CR"/>
        </w:rPr>
        <w:t xml:space="preserve"> </w:t>
      </w:r>
      <w:r>
        <w:rPr>
          <w:rFonts w:ascii="Verdana" w:hAnsi="Verdana"/>
          <w:sz w:val="20"/>
          <w:szCs w:val="20"/>
          <w:lang w:val="es-CR"/>
        </w:rPr>
        <w:t>tendrá en cuenta</w:t>
      </w:r>
      <w:r w:rsidR="004C102F">
        <w:rPr>
          <w:rFonts w:ascii="Verdana" w:hAnsi="Verdana"/>
          <w:sz w:val="20"/>
          <w:szCs w:val="20"/>
          <w:lang w:val="es-CR"/>
        </w:rPr>
        <w:t xml:space="preserve"> </w:t>
      </w:r>
      <w:r>
        <w:rPr>
          <w:rFonts w:ascii="Verdana" w:hAnsi="Verdana"/>
          <w:sz w:val="20"/>
          <w:szCs w:val="20"/>
          <w:lang w:val="es-CR"/>
        </w:rPr>
        <w:t>las observaciones del Estado (</w:t>
      </w:r>
      <w:r>
        <w:rPr>
          <w:rFonts w:ascii="Verdana" w:hAnsi="Verdana"/>
          <w:i/>
          <w:iCs/>
          <w:sz w:val="20"/>
          <w:szCs w:val="20"/>
          <w:lang w:val="es-CR"/>
        </w:rPr>
        <w:t xml:space="preserve">infra </w:t>
      </w:r>
      <w:r>
        <w:rPr>
          <w:rFonts w:ascii="Verdana" w:hAnsi="Verdana"/>
          <w:sz w:val="20"/>
          <w:szCs w:val="20"/>
          <w:lang w:val="es-CR"/>
        </w:rPr>
        <w:t xml:space="preserve">Considerandos </w:t>
      </w:r>
      <w:r w:rsidR="00781E30">
        <w:rPr>
          <w:rFonts w:ascii="Verdana" w:hAnsi="Verdana"/>
          <w:sz w:val="20"/>
          <w:szCs w:val="20"/>
          <w:lang w:val="es-CR"/>
        </w:rPr>
        <w:t>7</w:t>
      </w:r>
      <w:r w:rsidR="00964334">
        <w:rPr>
          <w:rFonts w:ascii="Verdana" w:hAnsi="Verdana"/>
          <w:sz w:val="20"/>
          <w:szCs w:val="20"/>
          <w:lang w:val="es-CR"/>
        </w:rPr>
        <w:t xml:space="preserve"> a </w:t>
      </w:r>
      <w:r w:rsidR="00781E30">
        <w:rPr>
          <w:rFonts w:ascii="Verdana" w:hAnsi="Verdana"/>
          <w:sz w:val="20"/>
          <w:szCs w:val="20"/>
          <w:lang w:val="es-CR"/>
        </w:rPr>
        <w:t>9</w:t>
      </w:r>
      <w:r>
        <w:rPr>
          <w:rFonts w:ascii="Verdana" w:hAnsi="Verdana"/>
          <w:sz w:val="20"/>
          <w:szCs w:val="20"/>
          <w:lang w:val="es-CR"/>
        </w:rPr>
        <w:t xml:space="preserve">). Asimismo, </w:t>
      </w:r>
      <w:r w:rsidR="007B4E5A">
        <w:rPr>
          <w:rFonts w:ascii="Verdana" w:hAnsi="Verdana"/>
          <w:sz w:val="20"/>
          <w:szCs w:val="20"/>
          <w:lang w:val="es-CR"/>
        </w:rPr>
        <w:t xml:space="preserve">el Tribunal </w:t>
      </w:r>
      <w:r>
        <w:rPr>
          <w:rFonts w:ascii="Verdana" w:hAnsi="Verdana"/>
          <w:sz w:val="20"/>
          <w:szCs w:val="20"/>
          <w:lang w:val="es-CR"/>
        </w:rPr>
        <w:t xml:space="preserve">realizará las consideraciones que correspondan efectuarse en el marco de la supervisión de cumplimiento de la Sentencia </w:t>
      </w:r>
      <w:r w:rsidR="007B4E5A">
        <w:rPr>
          <w:rFonts w:ascii="Verdana" w:hAnsi="Verdana"/>
          <w:sz w:val="20"/>
          <w:szCs w:val="20"/>
          <w:lang w:val="es-CR"/>
        </w:rPr>
        <w:t>respecto de</w:t>
      </w:r>
      <w:r w:rsidR="00262485">
        <w:rPr>
          <w:rFonts w:ascii="Verdana" w:hAnsi="Verdana"/>
          <w:sz w:val="20"/>
          <w:szCs w:val="20"/>
          <w:lang w:val="es-CR"/>
        </w:rPr>
        <w:t xml:space="preserve"> la medida relativa </w:t>
      </w:r>
      <w:r w:rsidR="00262485" w:rsidRPr="00F23AC6">
        <w:rPr>
          <w:rFonts w:ascii="Verdana" w:hAnsi="Verdana"/>
          <w:sz w:val="20"/>
          <w:szCs w:val="20"/>
          <w:lang w:val="es-CR"/>
        </w:rPr>
        <w:t>a asegurar que en el proceso seguido contra la señora J. se observen todas las exigencias del debido proceso legal</w:t>
      </w:r>
      <w:r w:rsidR="00262485">
        <w:rPr>
          <w:rFonts w:ascii="Verdana" w:hAnsi="Verdana"/>
          <w:sz w:val="20"/>
          <w:szCs w:val="20"/>
          <w:lang w:val="es-CR"/>
        </w:rPr>
        <w:t xml:space="preserve"> </w:t>
      </w:r>
      <w:r w:rsidR="00964334">
        <w:rPr>
          <w:rFonts w:ascii="Verdana" w:hAnsi="Verdana"/>
          <w:sz w:val="20"/>
          <w:szCs w:val="20"/>
          <w:lang w:val="es-CR"/>
        </w:rPr>
        <w:t>(</w:t>
      </w:r>
      <w:r w:rsidR="00262485">
        <w:rPr>
          <w:rFonts w:ascii="Verdana" w:hAnsi="Verdana"/>
          <w:i/>
          <w:iCs/>
          <w:sz w:val="20"/>
          <w:szCs w:val="20"/>
          <w:lang w:val="es-CR"/>
        </w:rPr>
        <w:t xml:space="preserve">infra </w:t>
      </w:r>
      <w:r w:rsidR="00262485">
        <w:rPr>
          <w:rFonts w:ascii="Verdana" w:hAnsi="Verdana"/>
          <w:sz w:val="20"/>
          <w:szCs w:val="20"/>
          <w:lang w:val="es-CR"/>
        </w:rPr>
        <w:t xml:space="preserve">Considerandos </w:t>
      </w:r>
      <w:r w:rsidR="009A7B1B">
        <w:rPr>
          <w:rFonts w:ascii="Verdana" w:hAnsi="Verdana"/>
          <w:sz w:val="20"/>
          <w:szCs w:val="20"/>
          <w:lang w:val="es-CR"/>
        </w:rPr>
        <w:t>18 a 2</w:t>
      </w:r>
      <w:r w:rsidR="00781E30">
        <w:rPr>
          <w:rFonts w:ascii="Verdana" w:hAnsi="Verdana"/>
          <w:sz w:val="20"/>
          <w:szCs w:val="20"/>
          <w:lang w:val="es-CR"/>
        </w:rPr>
        <w:t>1</w:t>
      </w:r>
      <w:r w:rsidR="00262485">
        <w:rPr>
          <w:rFonts w:ascii="Verdana" w:hAnsi="Verdana"/>
          <w:sz w:val="20"/>
          <w:szCs w:val="20"/>
          <w:lang w:val="es-CR"/>
        </w:rPr>
        <w:t>). Finalmente, la Corte se referirá a la supervisión de cumplimiento de las demás</w:t>
      </w:r>
      <w:r w:rsidR="007B4E5A">
        <w:rPr>
          <w:rFonts w:ascii="Verdana" w:hAnsi="Verdana"/>
          <w:sz w:val="20"/>
          <w:szCs w:val="20"/>
          <w:lang w:val="es-CR"/>
        </w:rPr>
        <w:t xml:space="preserve"> reparaciones ordenadas en la Sentencia</w:t>
      </w:r>
      <w:r w:rsidR="00262485">
        <w:rPr>
          <w:rFonts w:ascii="Verdana" w:hAnsi="Verdana"/>
          <w:sz w:val="20"/>
          <w:szCs w:val="20"/>
          <w:lang w:val="es-CR"/>
        </w:rPr>
        <w:t xml:space="preserve"> y a la solicitud de convocatoria a audiencia efectuada por la representante</w:t>
      </w:r>
      <w:r w:rsidR="007B4E5A">
        <w:rPr>
          <w:rFonts w:ascii="Verdana" w:hAnsi="Verdana"/>
          <w:sz w:val="20"/>
          <w:szCs w:val="20"/>
          <w:lang w:val="es-CR"/>
        </w:rPr>
        <w:t xml:space="preserve"> </w:t>
      </w:r>
      <w:r>
        <w:rPr>
          <w:rFonts w:ascii="Verdana" w:hAnsi="Verdana"/>
          <w:sz w:val="20"/>
          <w:szCs w:val="20"/>
          <w:lang w:val="es-CR"/>
        </w:rPr>
        <w:t>(</w:t>
      </w:r>
      <w:r>
        <w:rPr>
          <w:rFonts w:ascii="Verdana" w:hAnsi="Verdana"/>
          <w:i/>
          <w:iCs/>
          <w:sz w:val="20"/>
          <w:szCs w:val="20"/>
          <w:lang w:val="es-CR"/>
        </w:rPr>
        <w:t xml:space="preserve">infra </w:t>
      </w:r>
      <w:r>
        <w:rPr>
          <w:rFonts w:ascii="Verdana" w:hAnsi="Verdana"/>
          <w:sz w:val="20"/>
          <w:szCs w:val="20"/>
          <w:lang w:val="es-CR"/>
        </w:rPr>
        <w:t xml:space="preserve">Considerandos </w:t>
      </w:r>
      <w:r w:rsidR="00781E30">
        <w:rPr>
          <w:rFonts w:ascii="Verdana" w:hAnsi="Verdana"/>
          <w:sz w:val="20"/>
          <w:szCs w:val="20"/>
          <w:lang w:val="es-CR"/>
        </w:rPr>
        <w:t>22</w:t>
      </w:r>
      <w:r w:rsidR="00964334">
        <w:rPr>
          <w:rFonts w:ascii="Verdana" w:hAnsi="Verdana"/>
          <w:sz w:val="20"/>
          <w:szCs w:val="20"/>
          <w:lang w:val="es-CR"/>
        </w:rPr>
        <w:t xml:space="preserve"> a</w:t>
      </w:r>
      <w:r w:rsidR="0077447B">
        <w:rPr>
          <w:rFonts w:ascii="Verdana" w:hAnsi="Verdana"/>
          <w:sz w:val="20"/>
          <w:szCs w:val="20"/>
          <w:lang w:val="es-CR"/>
        </w:rPr>
        <w:t xml:space="preserve"> </w:t>
      </w:r>
      <w:r w:rsidR="00964334">
        <w:rPr>
          <w:rFonts w:ascii="Verdana" w:hAnsi="Verdana"/>
          <w:sz w:val="20"/>
          <w:szCs w:val="20"/>
          <w:lang w:val="es-CR"/>
        </w:rPr>
        <w:t>28</w:t>
      </w:r>
      <w:r>
        <w:rPr>
          <w:rFonts w:ascii="Verdana" w:hAnsi="Verdana"/>
          <w:sz w:val="20"/>
          <w:szCs w:val="20"/>
          <w:lang w:val="es-CR"/>
        </w:rPr>
        <w:t xml:space="preserve">). </w:t>
      </w:r>
      <w:r w:rsidR="00C46609">
        <w:rPr>
          <w:rFonts w:ascii="Verdana" w:hAnsi="Verdana"/>
          <w:sz w:val="20"/>
          <w:szCs w:val="20"/>
          <w:lang w:val="es-CR"/>
        </w:rPr>
        <w:t>El Tribunal estructurará sus consideraciones en el siguiente orden:</w:t>
      </w:r>
    </w:p>
    <w:sdt>
      <w:sdtPr>
        <w:rPr>
          <w:rFonts w:ascii="Calibri" w:eastAsia="Calibri" w:hAnsi="Calibri"/>
          <w:b w:val="0"/>
          <w:bCs w:val="0"/>
          <w:i w:val="0"/>
          <w:kern w:val="0"/>
          <w:sz w:val="16"/>
          <w:szCs w:val="16"/>
          <w:lang w:val="es-ES" w:eastAsia="en-US"/>
        </w:rPr>
        <w:id w:val="1158967123"/>
        <w:docPartObj>
          <w:docPartGallery w:val="Table of Contents"/>
          <w:docPartUnique/>
        </w:docPartObj>
      </w:sdtPr>
      <w:sdtContent>
        <w:p w14:paraId="39EB9966" w14:textId="105D1B1F" w:rsidR="00C46609" w:rsidRPr="00C960BC" w:rsidRDefault="00C46609" w:rsidP="00C46609">
          <w:pPr>
            <w:pStyle w:val="TtuloTDC"/>
            <w:numPr>
              <w:ilvl w:val="0"/>
              <w:numId w:val="0"/>
            </w:numPr>
            <w:ind w:left="1069"/>
            <w:rPr>
              <w:iCs/>
              <w:sz w:val="16"/>
              <w:szCs w:val="16"/>
            </w:rPr>
          </w:pPr>
        </w:p>
        <w:p w14:paraId="3C1CDF27" w14:textId="71E1A6E1" w:rsidR="00C960BC" w:rsidRPr="00C960BC" w:rsidRDefault="00C46609">
          <w:pPr>
            <w:pStyle w:val="TDC1"/>
            <w:rPr>
              <w:rFonts w:ascii="Verdana" w:eastAsiaTheme="minorEastAsia" w:hAnsi="Verdana" w:cstheme="minorBidi"/>
              <w:noProof/>
              <w:sz w:val="16"/>
              <w:szCs w:val="16"/>
              <w:lang w:val="es-CR" w:eastAsia="es-CR"/>
            </w:rPr>
          </w:pPr>
          <w:r w:rsidRPr="00C960BC">
            <w:rPr>
              <w:rFonts w:ascii="Verdana" w:hAnsi="Verdana"/>
              <w:i/>
              <w:iCs/>
              <w:sz w:val="16"/>
              <w:szCs w:val="16"/>
            </w:rPr>
            <w:fldChar w:fldCharType="begin"/>
          </w:r>
          <w:r w:rsidRPr="00C960BC">
            <w:rPr>
              <w:rFonts w:ascii="Verdana" w:hAnsi="Verdana"/>
              <w:i/>
              <w:iCs/>
              <w:sz w:val="16"/>
              <w:szCs w:val="16"/>
            </w:rPr>
            <w:instrText xml:space="preserve"> TOC \o "1-3" \h \z \u </w:instrText>
          </w:r>
          <w:r w:rsidRPr="00C960BC">
            <w:rPr>
              <w:rFonts w:ascii="Verdana" w:hAnsi="Verdana"/>
              <w:i/>
              <w:iCs/>
              <w:sz w:val="16"/>
              <w:szCs w:val="16"/>
            </w:rPr>
            <w:fldChar w:fldCharType="separate"/>
          </w:r>
          <w:hyperlink w:anchor="_Toc105592212" w:history="1">
            <w:r w:rsidR="00C960BC" w:rsidRPr="00C960BC">
              <w:rPr>
                <w:rStyle w:val="Hipervnculo"/>
                <w:rFonts w:ascii="Verdana" w:hAnsi="Verdana"/>
                <w:noProof/>
                <w:sz w:val="16"/>
                <w:szCs w:val="16"/>
              </w:rPr>
              <w:t xml:space="preserve">A. </w:t>
            </w:r>
            <w:r w:rsidR="00EB7691">
              <w:rPr>
                <w:rStyle w:val="Hipervnculo"/>
                <w:rFonts w:ascii="Verdana" w:hAnsi="Verdana"/>
                <w:noProof/>
                <w:sz w:val="16"/>
                <w:szCs w:val="16"/>
              </w:rPr>
              <w:tab/>
            </w:r>
            <w:r w:rsidR="00C960BC" w:rsidRPr="00C960BC">
              <w:rPr>
                <w:rStyle w:val="Hipervnculo"/>
                <w:rFonts w:ascii="Verdana" w:hAnsi="Verdana"/>
                <w:noProof/>
                <w:sz w:val="16"/>
                <w:szCs w:val="16"/>
              </w:rPr>
              <w:t>Solicitud de medidas provisionales presentada por la representante</w:t>
            </w:r>
            <w:r w:rsidR="00C960BC" w:rsidRPr="00C960BC">
              <w:rPr>
                <w:rFonts w:ascii="Verdana" w:hAnsi="Verdana"/>
                <w:noProof/>
                <w:webHidden/>
                <w:sz w:val="16"/>
                <w:szCs w:val="16"/>
              </w:rPr>
              <w:tab/>
            </w:r>
            <w:r w:rsidR="00C960BC">
              <w:rPr>
                <w:rFonts w:ascii="Verdana" w:hAnsi="Verdana"/>
                <w:noProof/>
                <w:webHidden/>
                <w:sz w:val="16"/>
                <w:szCs w:val="16"/>
              </w:rPr>
              <w:tab/>
            </w:r>
            <w:r w:rsidR="00C960BC">
              <w:rPr>
                <w:rFonts w:ascii="Verdana" w:hAnsi="Verdana"/>
                <w:noProof/>
                <w:webHidden/>
                <w:sz w:val="16"/>
                <w:szCs w:val="16"/>
              </w:rPr>
              <w:tab/>
            </w:r>
            <w:r w:rsidR="00C960BC" w:rsidRPr="00C960BC">
              <w:rPr>
                <w:rFonts w:ascii="Verdana" w:hAnsi="Verdana"/>
                <w:noProof/>
                <w:webHidden/>
                <w:sz w:val="16"/>
                <w:szCs w:val="16"/>
              </w:rPr>
              <w:fldChar w:fldCharType="begin"/>
            </w:r>
            <w:r w:rsidR="00C960BC" w:rsidRPr="00C960BC">
              <w:rPr>
                <w:rFonts w:ascii="Verdana" w:hAnsi="Verdana"/>
                <w:noProof/>
                <w:webHidden/>
                <w:sz w:val="16"/>
                <w:szCs w:val="16"/>
              </w:rPr>
              <w:instrText xml:space="preserve"> PAGEREF _Toc105592212 \h </w:instrText>
            </w:r>
            <w:r w:rsidR="00C960BC" w:rsidRPr="00C960BC">
              <w:rPr>
                <w:rFonts w:ascii="Verdana" w:hAnsi="Verdana"/>
                <w:noProof/>
                <w:webHidden/>
                <w:sz w:val="16"/>
                <w:szCs w:val="16"/>
              </w:rPr>
            </w:r>
            <w:r w:rsidR="00C960BC" w:rsidRPr="00C960BC">
              <w:rPr>
                <w:rFonts w:ascii="Verdana" w:hAnsi="Verdana"/>
                <w:noProof/>
                <w:webHidden/>
                <w:sz w:val="16"/>
                <w:szCs w:val="16"/>
              </w:rPr>
              <w:fldChar w:fldCharType="separate"/>
            </w:r>
            <w:r w:rsidR="00CC7541">
              <w:rPr>
                <w:rFonts w:ascii="Verdana" w:hAnsi="Verdana"/>
                <w:noProof/>
                <w:webHidden/>
                <w:sz w:val="16"/>
                <w:szCs w:val="16"/>
              </w:rPr>
              <w:t>3</w:t>
            </w:r>
            <w:r w:rsidR="00C960BC" w:rsidRPr="00C960BC">
              <w:rPr>
                <w:rFonts w:ascii="Verdana" w:hAnsi="Verdana"/>
                <w:noProof/>
                <w:webHidden/>
                <w:sz w:val="16"/>
                <w:szCs w:val="16"/>
              </w:rPr>
              <w:fldChar w:fldCharType="end"/>
            </w:r>
          </w:hyperlink>
        </w:p>
        <w:p w14:paraId="3AA9BE99" w14:textId="437D5DC9" w:rsidR="00C960BC" w:rsidRPr="00C960BC" w:rsidRDefault="00000000">
          <w:pPr>
            <w:pStyle w:val="TDC1"/>
            <w:rPr>
              <w:rFonts w:ascii="Verdana" w:eastAsiaTheme="minorEastAsia" w:hAnsi="Verdana" w:cstheme="minorBidi"/>
              <w:noProof/>
              <w:sz w:val="16"/>
              <w:szCs w:val="16"/>
              <w:lang w:val="es-CR" w:eastAsia="es-CR"/>
            </w:rPr>
          </w:pPr>
          <w:hyperlink w:anchor="_Toc105592213" w:history="1">
            <w:r w:rsidR="00C960BC" w:rsidRPr="00C960BC">
              <w:rPr>
                <w:rStyle w:val="Hipervnculo"/>
                <w:rFonts w:ascii="Verdana" w:hAnsi="Verdana"/>
                <w:noProof/>
                <w:sz w:val="16"/>
                <w:szCs w:val="16"/>
              </w:rPr>
              <w:t>B.</w:t>
            </w:r>
            <w:r w:rsidR="00C960BC" w:rsidRPr="00C960BC">
              <w:rPr>
                <w:rFonts w:ascii="Verdana" w:eastAsiaTheme="minorEastAsia" w:hAnsi="Verdana" w:cstheme="minorBidi"/>
                <w:noProof/>
                <w:sz w:val="16"/>
                <w:szCs w:val="16"/>
                <w:lang w:val="es-CR" w:eastAsia="es-CR"/>
              </w:rPr>
              <w:tab/>
            </w:r>
            <w:r w:rsidR="00C960BC" w:rsidRPr="00C960BC">
              <w:rPr>
                <w:rStyle w:val="Hipervnculo"/>
                <w:rFonts w:ascii="Verdana" w:hAnsi="Verdana"/>
                <w:noProof/>
                <w:sz w:val="16"/>
                <w:szCs w:val="16"/>
              </w:rPr>
              <w:t>Observaciones del Estado</w:t>
            </w:r>
            <w:r w:rsidR="00C960BC" w:rsidRPr="00C960BC">
              <w:rPr>
                <w:rFonts w:ascii="Verdana" w:hAnsi="Verdana"/>
                <w:noProof/>
                <w:webHidden/>
                <w:sz w:val="16"/>
                <w:szCs w:val="16"/>
              </w:rPr>
              <w:tab/>
            </w:r>
            <w:r w:rsidR="00C960BC">
              <w:rPr>
                <w:rFonts w:ascii="Verdana" w:hAnsi="Verdana"/>
                <w:noProof/>
                <w:webHidden/>
                <w:sz w:val="16"/>
                <w:szCs w:val="16"/>
              </w:rPr>
              <w:tab/>
            </w:r>
            <w:r w:rsidR="00C960BC">
              <w:rPr>
                <w:rFonts w:ascii="Verdana" w:hAnsi="Verdana"/>
                <w:noProof/>
                <w:webHidden/>
                <w:sz w:val="16"/>
                <w:szCs w:val="16"/>
              </w:rPr>
              <w:tab/>
            </w:r>
            <w:r w:rsidR="00C960BC" w:rsidRPr="00C960BC">
              <w:rPr>
                <w:rFonts w:ascii="Verdana" w:hAnsi="Verdana"/>
                <w:noProof/>
                <w:webHidden/>
                <w:sz w:val="16"/>
                <w:szCs w:val="16"/>
              </w:rPr>
              <w:fldChar w:fldCharType="begin"/>
            </w:r>
            <w:r w:rsidR="00C960BC" w:rsidRPr="00C960BC">
              <w:rPr>
                <w:rFonts w:ascii="Verdana" w:hAnsi="Verdana"/>
                <w:noProof/>
                <w:webHidden/>
                <w:sz w:val="16"/>
                <w:szCs w:val="16"/>
              </w:rPr>
              <w:instrText xml:space="preserve"> PAGEREF _Toc105592213 \h </w:instrText>
            </w:r>
            <w:r w:rsidR="00C960BC" w:rsidRPr="00C960BC">
              <w:rPr>
                <w:rFonts w:ascii="Verdana" w:hAnsi="Verdana"/>
                <w:noProof/>
                <w:webHidden/>
                <w:sz w:val="16"/>
                <w:szCs w:val="16"/>
              </w:rPr>
            </w:r>
            <w:r w:rsidR="00C960BC" w:rsidRPr="00C960BC">
              <w:rPr>
                <w:rFonts w:ascii="Verdana" w:hAnsi="Verdana"/>
                <w:noProof/>
                <w:webHidden/>
                <w:sz w:val="16"/>
                <w:szCs w:val="16"/>
              </w:rPr>
              <w:fldChar w:fldCharType="separate"/>
            </w:r>
            <w:r w:rsidR="00CC7541">
              <w:rPr>
                <w:rFonts w:ascii="Verdana" w:hAnsi="Verdana"/>
                <w:noProof/>
                <w:webHidden/>
                <w:sz w:val="16"/>
                <w:szCs w:val="16"/>
              </w:rPr>
              <w:t>4</w:t>
            </w:r>
            <w:r w:rsidR="00C960BC" w:rsidRPr="00C960BC">
              <w:rPr>
                <w:rFonts w:ascii="Verdana" w:hAnsi="Verdana"/>
                <w:noProof/>
                <w:webHidden/>
                <w:sz w:val="16"/>
                <w:szCs w:val="16"/>
              </w:rPr>
              <w:fldChar w:fldCharType="end"/>
            </w:r>
          </w:hyperlink>
        </w:p>
        <w:p w14:paraId="1D01CED9" w14:textId="46C27CD6" w:rsidR="00C960BC" w:rsidRPr="00C960BC" w:rsidRDefault="00000000">
          <w:pPr>
            <w:pStyle w:val="TDC1"/>
            <w:rPr>
              <w:rFonts w:ascii="Verdana" w:eastAsiaTheme="minorEastAsia" w:hAnsi="Verdana" w:cstheme="minorBidi"/>
              <w:noProof/>
              <w:sz w:val="16"/>
              <w:szCs w:val="16"/>
              <w:lang w:val="es-CR" w:eastAsia="es-CR"/>
            </w:rPr>
          </w:pPr>
          <w:hyperlink w:anchor="_Toc105592214" w:history="1">
            <w:r w:rsidR="00C960BC" w:rsidRPr="00C960BC">
              <w:rPr>
                <w:rStyle w:val="Hipervnculo"/>
                <w:rFonts w:ascii="Verdana" w:hAnsi="Verdana"/>
                <w:noProof/>
                <w:sz w:val="16"/>
                <w:szCs w:val="16"/>
              </w:rPr>
              <w:t>C.</w:t>
            </w:r>
            <w:r w:rsidR="00C960BC" w:rsidRPr="00C960BC">
              <w:rPr>
                <w:rFonts w:ascii="Verdana" w:eastAsiaTheme="minorEastAsia" w:hAnsi="Verdana" w:cstheme="minorBidi"/>
                <w:noProof/>
                <w:sz w:val="16"/>
                <w:szCs w:val="16"/>
                <w:lang w:val="es-CR" w:eastAsia="es-CR"/>
              </w:rPr>
              <w:tab/>
            </w:r>
            <w:r w:rsidR="00C960BC" w:rsidRPr="00C960BC">
              <w:rPr>
                <w:rStyle w:val="Hipervnculo"/>
                <w:rFonts w:ascii="Verdana" w:hAnsi="Verdana"/>
                <w:noProof/>
                <w:sz w:val="16"/>
                <w:szCs w:val="16"/>
              </w:rPr>
              <w:t>Consideraciones de la Corte respecto de la solicitud de medidas provisionales</w:t>
            </w:r>
            <w:r w:rsidR="00C960BC" w:rsidRPr="00C960BC">
              <w:rPr>
                <w:rFonts w:ascii="Verdana" w:hAnsi="Verdana"/>
                <w:noProof/>
                <w:webHidden/>
                <w:sz w:val="16"/>
                <w:szCs w:val="16"/>
              </w:rPr>
              <w:tab/>
            </w:r>
            <w:r w:rsidR="00C960BC">
              <w:rPr>
                <w:rFonts w:ascii="Verdana" w:hAnsi="Verdana"/>
                <w:noProof/>
                <w:webHidden/>
                <w:sz w:val="16"/>
                <w:szCs w:val="16"/>
              </w:rPr>
              <w:tab/>
            </w:r>
            <w:r w:rsidR="00C960BC">
              <w:rPr>
                <w:rFonts w:ascii="Verdana" w:hAnsi="Verdana"/>
                <w:noProof/>
                <w:webHidden/>
                <w:sz w:val="16"/>
                <w:szCs w:val="16"/>
              </w:rPr>
              <w:tab/>
            </w:r>
            <w:r w:rsidR="00C960BC" w:rsidRPr="00C960BC">
              <w:rPr>
                <w:rFonts w:ascii="Verdana" w:hAnsi="Verdana"/>
                <w:noProof/>
                <w:webHidden/>
                <w:sz w:val="16"/>
                <w:szCs w:val="16"/>
              </w:rPr>
              <w:fldChar w:fldCharType="begin"/>
            </w:r>
            <w:r w:rsidR="00C960BC" w:rsidRPr="00C960BC">
              <w:rPr>
                <w:rFonts w:ascii="Verdana" w:hAnsi="Verdana"/>
                <w:noProof/>
                <w:webHidden/>
                <w:sz w:val="16"/>
                <w:szCs w:val="16"/>
              </w:rPr>
              <w:instrText xml:space="preserve"> PAGEREF _Toc105592214 \h </w:instrText>
            </w:r>
            <w:r w:rsidR="00C960BC" w:rsidRPr="00C960BC">
              <w:rPr>
                <w:rFonts w:ascii="Verdana" w:hAnsi="Verdana"/>
                <w:noProof/>
                <w:webHidden/>
                <w:sz w:val="16"/>
                <w:szCs w:val="16"/>
              </w:rPr>
            </w:r>
            <w:r w:rsidR="00C960BC" w:rsidRPr="00C960BC">
              <w:rPr>
                <w:rFonts w:ascii="Verdana" w:hAnsi="Verdana"/>
                <w:noProof/>
                <w:webHidden/>
                <w:sz w:val="16"/>
                <w:szCs w:val="16"/>
              </w:rPr>
              <w:fldChar w:fldCharType="separate"/>
            </w:r>
            <w:r w:rsidR="00CC7541">
              <w:rPr>
                <w:rFonts w:ascii="Verdana" w:hAnsi="Verdana"/>
                <w:noProof/>
                <w:webHidden/>
                <w:sz w:val="16"/>
                <w:szCs w:val="16"/>
              </w:rPr>
              <w:t>5</w:t>
            </w:r>
            <w:r w:rsidR="00C960BC" w:rsidRPr="00C960BC">
              <w:rPr>
                <w:rFonts w:ascii="Verdana" w:hAnsi="Verdana"/>
                <w:noProof/>
                <w:webHidden/>
                <w:sz w:val="16"/>
                <w:szCs w:val="16"/>
              </w:rPr>
              <w:fldChar w:fldCharType="end"/>
            </w:r>
          </w:hyperlink>
        </w:p>
        <w:p w14:paraId="69691772" w14:textId="50420205" w:rsidR="00C960BC" w:rsidRPr="00C960BC" w:rsidRDefault="00000000">
          <w:pPr>
            <w:pStyle w:val="TDC1"/>
            <w:rPr>
              <w:rFonts w:ascii="Verdana" w:eastAsiaTheme="minorEastAsia" w:hAnsi="Verdana" w:cstheme="minorBidi"/>
              <w:noProof/>
              <w:sz w:val="16"/>
              <w:szCs w:val="16"/>
              <w:lang w:val="es-CR" w:eastAsia="es-CR"/>
            </w:rPr>
          </w:pPr>
          <w:hyperlink w:anchor="_Toc105592215" w:history="1">
            <w:r w:rsidR="00C960BC" w:rsidRPr="00C960BC">
              <w:rPr>
                <w:rStyle w:val="Hipervnculo"/>
                <w:rFonts w:ascii="Verdana" w:hAnsi="Verdana"/>
                <w:noProof/>
                <w:sz w:val="16"/>
                <w:szCs w:val="16"/>
              </w:rPr>
              <w:t>D.</w:t>
            </w:r>
            <w:r w:rsidR="00C960BC" w:rsidRPr="00C960BC">
              <w:rPr>
                <w:rFonts w:ascii="Verdana" w:eastAsiaTheme="minorEastAsia" w:hAnsi="Verdana" w:cstheme="minorBidi"/>
                <w:noProof/>
                <w:sz w:val="16"/>
                <w:szCs w:val="16"/>
                <w:lang w:val="es-CR" w:eastAsia="es-CR"/>
              </w:rPr>
              <w:tab/>
            </w:r>
            <w:r w:rsidR="00C960BC" w:rsidRPr="00C960BC">
              <w:rPr>
                <w:rStyle w:val="Hipervnculo"/>
                <w:rFonts w:ascii="Verdana" w:hAnsi="Verdana"/>
                <w:noProof/>
                <w:sz w:val="16"/>
                <w:szCs w:val="16"/>
              </w:rPr>
              <w:t>Supervisión de cumplimiento de la medida relativa a asegurar que en el proceso seguido contra la señora J. se observen todas las exigencias del debido proceso legal</w:t>
            </w:r>
            <w:r w:rsidR="00C960BC" w:rsidRPr="00C960BC">
              <w:rPr>
                <w:rFonts w:ascii="Verdana" w:hAnsi="Verdana"/>
                <w:noProof/>
                <w:webHidden/>
                <w:sz w:val="16"/>
                <w:szCs w:val="16"/>
              </w:rPr>
              <w:tab/>
            </w:r>
            <w:r w:rsidR="00C960BC">
              <w:rPr>
                <w:rFonts w:ascii="Verdana" w:hAnsi="Verdana"/>
                <w:noProof/>
                <w:webHidden/>
                <w:sz w:val="16"/>
                <w:szCs w:val="16"/>
              </w:rPr>
              <w:tab/>
            </w:r>
            <w:r w:rsidR="00C960BC">
              <w:rPr>
                <w:rFonts w:ascii="Verdana" w:hAnsi="Verdana"/>
                <w:noProof/>
                <w:webHidden/>
                <w:sz w:val="16"/>
                <w:szCs w:val="16"/>
              </w:rPr>
              <w:tab/>
            </w:r>
            <w:r w:rsidR="00C960BC" w:rsidRPr="00C960BC">
              <w:rPr>
                <w:rFonts w:ascii="Verdana" w:hAnsi="Verdana"/>
                <w:noProof/>
                <w:webHidden/>
                <w:sz w:val="16"/>
                <w:szCs w:val="16"/>
              </w:rPr>
              <w:fldChar w:fldCharType="begin"/>
            </w:r>
            <w:r w:rsidR="00C960BC" w:rsidRPr="00C960BC">
              <w:rPr>
                <w:rFonts w:ascii="Verdana" w:hAnsi="Verdana"/>
                <w:noProof/>
                <w:webHidden/>
                <w:sz w:val="16"/>
                <w:szCs w:val="16"/>
              </w:rPr>
              <w:instrText xml:space="preserve"> PAGEREF _Toc105592215 \h </w:instrText>
            </w:r>
            <w:r w:rsidR="00C960BC" w:rsidRPr="00C960BC">
              <w:rPr>
                <w:rFonts w:ascii="Verdana" w:hAnsi="Verdana"/>
                <w:noProof/>
                <w:webHidden/>
                <w:sz w:val="16"/>
                <w:szCs w:val="16"/>
              </w:rPr>
            </w:r>
            <w:r w:rsidR="00C960BC" w:rsidRPr="00C960BC">
              <w:rPr>
                <w:rFonts w:ascii="Verdana" w:hAnsi="Verdana"/>
                <w:noProof/>
                <w:webHidden/>
                <w:sz w:val="16"/>
                <w:szCs w:val="16"/>
              </w:rPr>
              <w:fldChar w:fldCharType="separate"/>
            </w:r>
            <w:r w:rsidR="00CC7541">
              <w:rPr>
                <w:rFonts w:ascii="Verdana" w:hAnsi="Verdana"/>
                <w:noProof/>
                <w:webHidden/>
                <w:sz w:val="16"/>
                <w:szCs w:val="16"/>
              </w:rPr>
              <w:t>6</w:t>
            </w:r>
            <w:r w:rsidR="00C960BC" w:rsidRPr="00C960BC">
              <w:rPr>
                <w:rFonts w:ascii="Verdana" w:hAnsi="Verdana"/>
                <w:noProof/>
                <w:webHidden/>
                <w:sz w:val="16"/>
                <w:szCs w:val="16"/>
              </w:rPr>
              <w:fldChar w:fldCharType="end"/>
            </w:r>
          </w:hyperlink>
        </w:p>
        <w:p w14:paraId="7FB56E97" w14:textId="338709C5" w:rsidR="00C960BC" w:rsidRPr="00C960BC" w:rsidRDefault="00000000">
          <w:pPr>
            <w:pStyle w:val="TDC1"/>
            <w:rPr>
              <w:rFonts w:ascii="Verdana" w:eastAsiaTheme="minorEastAsia" w:hAnsi="Verdana" w:cstheme="minorBidi"/>
              <w:noProof/>
              <w:sz w:val="16"/>
              <w:szCs w:val="16"/>
              <w:lang w:val="es-CR" w:eastAsia="es-CR"/>
            </w:rPr>
          </w:pPr>
          <w:hyperlink w:anchor="_Toc105592216" w:history="1">
            <w:r w:rsidR="00C960BC" w:rsidRPr="00C960BC">
              <w:rPr>
                <w:rStyle w:val="Hipervnculo"/>
                <w:rFonts w:ascii="Verdana" w:hAnsi="Verdana"/>
                <w:noProof/>
                <w:sz w:val="16"/>
                <w:szCs w:val="16"/>
              </w:rPr>
              <w:t>E.</w:t>
            </w:r>
            <w:r w:rsidR="00C960BC" w:rsidRPr="00C960BC">
              <w:rPr>
                <w:rFonts w:ascii="Verdana" w:eastAsiaTheme="minorEastAsia" w:hAnsi="Verdana" w:cstheme="minorBidi"/>
                <w:noProof/>
                <w:sz w:val="16"/>
                <w:szCs w:val="16"/>
                <w:lang w:val="es-CR" w:eastAsia="es-CR"/>
              </w:rPr>
              <w:tab/>
            </w:r>
            <w:r w:rsidR="00C960BC" w:rsidRPr="00C960BC">
              <w:rPr>
                <w:rStyle w:val="Hipervnculo"/>
                <w:rFonts w:ascii="Verdana" w:hAnsi="Verdana"/>
                <w:noProof/>
                <w:sz w:val="16"/>
                <w:szCs w:val="16"/>
              </w:rPr>
              <w:t>Supervisión de cumplimiento de las demás medidas ordenadas en la Sentencia y convocatoria a audiencia</w:t>
            </w:r>
            <w:r w:rsidR="00C960BC" w:rsidRPr="00C960BC">
              <w:rPr>
                <w:rFonts w:ascii="Verdana" w:hAnsi="Verdana"/>
                <w:noProof/>
                <w:webHidden/>
                <w:sz w:val="16"/>
                <w:szCs w:val="16"/>
              </w:rPr>
              <w:tab/>
            </w:r>
            <w:r w:rsidR="00C960BC">
              <w:rPr>
                <w:rFonts w:ascii="Verdana" w:hAnsi="Verdana"/>
                <w:noProof/>
                <w:webHidden/>
                <w:sz w:val="16"/>
                <w:szCs w:val="16"/>
              </w:rPr>
              <w:tab/>
            </w:r>
            <w:r w:rsidR="00C960BC">
              <w:rPr>
                <w:rFonts w:ascii="Verdana" w:hAnsi="Verdana"/>
                <w:noProof/>
                <w:webHidden/>
                <w:sz w:val="16"/>
                <w:szCs w:val="16"/>
              </w:rPr>
              <w:tab/>
            </w:r>
            <w:r w:rsidR="00C960BC" w:rsidRPr="00C960BC">
              <w:rPr>
                <w:rFonts w:ascii="Verdana" w:hAnsi="Verdana"/>
                <w:noProof/>
                <w:webHidden/>
                <w:sz w:val="16"/>
                <w:szCs w:val="16"/>
              </w:rPr>
              <w:fldChar w:fldCharType="begin"/>
            </w:r>
            <w:r w:rsidR="00C960BC" w:rsidRPr="00C960BC">
              <w:rPr>
                <w:rFonts w:ascii="Verdana" w:hAnsi="Verdana"/>
                <w:noProof/>
                <w:webHidden/>
                <w:sz w:val="16"/>
                <w:szCs w:val="16"/>
              </w:rPr>
              <w:instrText xml:space="preserve"> PAGEREF _Toc105592216 \h </w:instrText>
            </w:r>
            <w:r w:rsidR="00C960BC" w:rsidRPr="00C960BC">
              <w:rPr>
                <w:rFonts w:ascii="Verdana" w:hAnsi="Verdana"/>
                <w:noProof/>
                <w:webHidden/>
                <w:sz w:val="16"/>
                <w:szCs w:val="16"/>
              </w:rPr>
            </w:r>
            <w:r w:rsidR="00C960BC" w:rsidRPr="00C960BC">
              <w:rPr>
                <w:rFonts w:ascii="Verdana" w:hAnsi="Verdana"/>
                <w:noProof/>
                <w:webHidden/>
                <w:sz w:val="16"/>
                <w:szCs w:val="16"/>
              </w:rPr>
              <w:fldChar w:fldCharType="separate"/>
            </w:r>
            <w:r w:rsidR="00CC7541">
              <w:rPr>
                <w:rFonts w:ascii="Verdana" w:hAnsi="Verdana"/>
                <w:noProof/>
                <w:webHidden/>
                <w:sz w:val="16"/>
                <w:szCs w:val="16"/>
              </w:rPr>
              <w:t>7</w:t>
            </w:r>
            <w:r w:rsidR="00C960BC" w:rsidRPr="00C960BC">
              <w:rPr>
                <w:rFonts w:ascii="Verdana" w:hAnsi="Verdana"/>
                <w:noProof/>
                <w:webHidden/>
                <w:sz w:val="16"/>
                <w:szCs w:val="16"/>
              </w:rPr>
              <w:fldChar w:fldCharType="end"/>
            </w:r>
          </w:hyperlink>
        </w:p>
        <w:p w14:paraId="3CA1D8EE" w14:textId="75E44927" w:rsidR="00C46609" w:rsidRPr="00C46609" w:rsidRDefault="00C46609" w:rsidP="00C46609">
          <w:pPr>
            <w:rPr>
              <w:sz w:val="16"/>
              <w:szCs w:val="16"/>
            </w:rPr>
          </w:pPr>
          <w:r w:rsidRPr="00C960BC">
            <w:rPr>
              <w:rFonts w:ascii="Verdana" w:hAnsi="Verdana"/>
              <w:b/>
              <w:bCs/>
              <w:i/>
              <w:iCs/>
              <w:sz w:val="16"/>
              <w:szCs w:val="16"/>
              <w:lang w:val="es-ES"/>
            </w:rPr>
            <w:fldChar w:fldCharType="end"/>
          </w:r>
        </w:p>
      </w:sdtContent>
    </w:sdt>
    <w:p w14:paraId="41DFEB62" w14:textId="66C535AC" w:rsidR="00716123" w:rsidRPr="00716123" w:rsidRDefault="00262485" w:rsidP="00C46609">
      <w:pPr>
        <w:pStyle w:val="Ttulo1"/>
        <w:numPr>
          <w:ilvl w:val="0"/>
          <w:numId w:val="0"/>
        </w:numPr>
        <w:ind w:left="1069"/>
      </w:pPr>
      <w:bookmarkStart w:id="0" w:name="_Toc105592212"/>
      <w:r>
        <w:t xml:space="preserve">A. </w:t>
      </w:r>
      <w:r w:rsidR="00716123">
        <w:t xml:space="preserve">Solicitud </w:t>
      </w:r>
      <w:r w:rsidR="00716123" w:rsidRPr="00C46609">
        <w:rPr>
          <w:rStyle w:val="Ttulo1Car"/>
          <w:rFonts w:eastAsia="Calibri"/>
          <w:b/>
          <w:bCs/>
          <w:i/>
        </w:rPr>
        <w:t>de</w:t>
      </w:r>
      <w:r w:rsidR="00716123">
        <w:t xml:space="preserve"> medidas provisionales presentada por la representante</w:t>
      </w:r>
      <w:bookmarkEnd w:id="0"/>
    </w:p>
    <w:p w14:paraId="4BA3BD92" w14:textId="7CA12499" w:rsidR="005D7D37" w:rsidRPr="0019599B" w:rsidRDefault="005303AA" w:rsidP="00A2461D">
      <w:pPr>
        <w:pStyle w:val="Prrafodelista"/>
        <w:numPr>
          <w:ilvl w:val="0"/>
          <w:numId w:val="23"/>
        </w:numPr>
        <w:spacing w:before="120" w:after="120" w:line="240" w:lineRule="auto"/>
        <w:ind w:left="0" w:firstLine="0"/>
        <w:contextualSpacing w:val="0"/>
        <w:jc w:val="both"/>
        <w:rPr>
          <w:rFonts w:ascii="Verdana" w:hAnsi="Verdana"/>
          <w:sz w:val="20"/>
          <w:szCs w:val="20"/>
          <w:lang w:val="es-ES"/>
        </w:rPr>
      </w:pPr>
      <w:r w:rsidRPr="0019599B">
        <w:rPr>
          <w:rFonts w:ascii="Verdana" w:hAnsi="Verdana"/>
          <w:sz w:val="20"/>
          <w:szCs w:val="20"/>
          <w:lang w:val="es-ES"/>
        </w:rPr>
        <w:t xml:space="preserve">En su escrito de 14 de abril de 2022, la </w:t>
      </w:r>
      <w:r w:rsidRPr="0019599B">
        <w:rPr>
          <w:rFonts w:ascii="Verdana" w:hAnsi="Verdana"/>
          <w:b/>
          <w:bCs/>
          <w:i/>
          <w:iCs/>
          <w:sz w:val="20"/>
          <w:szCs w:val="20"/>
          <w:lang w:val="es-ES"/>
        </w:rPr>
        <w:t>representante</w:t>
      </w:r>
      <w:r w:rsidRPr="0019599B">
        <w:rPr>
          <w:rFonts w:ascii="Verdana" w:hAnsi="Verdana"/>
          <w:i/>
          <w:iCs/>
          <w:sz w:val="20"/>
          <w:szCs w:val="20"/>
          <w:lang w:val="es-ES"/>
        </w:rPr>
        <w:t xml:space="preserve"> </w:t>
      </w:r>
      <w:r w:rsidRPr="0019599B">
        <w:rPr>
          <w:rFonts w:ascii="Verdana" w:hAnsi="Verdana"/>
          <w:sz w:val="20"/>
          <w:szCs w:val="20"/>
          <w:lang w:val="es-ES"/>
        </w:rPr>
        <w:t>solicitó</w:t>
      </w:r>
      <w:r w:rsidR="00DB1460" w:rsidRPr="0019599B">
        <w:rPr>
          <w:rFonts w:ascii="Verdana" w:hAnsi="Verdana"/>
          <w:sz w:val="20"/>
          <w:szCs w:val="20"/>
          <w:lang w:val="es-ES"/>
        </w:rPr>
        <w:t xml:space="preserve"> a la Corte</w:t>
      </w:r>
      <w:r w:rsidRPr="0019599B">
        <w:rPr>
          <w:rFonts w:ascii="Verdana" w:hAnsi="Verdana"/>
          <w:sz w:val="20"/>
          <w:szCs w:val="20"/>
          <w:lang w:val="es-ES"/>
        </w:rPr>
        <w:t xml:space="preserve"> la adopción de medidas provisionales </w:t>
      </w:r>
      <w:r w:rsidR="009E479A" w:rsidRPr="0019599B">
        <w:rPr>
          <w:rFonts w:ascii="Verdana" w:hAnsi="Verdana"/>
          <w:sz w:val="20"/>
          <w:szCs w:val="20"/>
          <w:lang w:val="es-ES"/>
        </w:rPr>
        <w:t>en favor de la señora J.</w:t>
      </w:r>
      <w:r w:rsidR="009C2E33" w:rsidRPr="0019599B">
        <w:rPr>
          <w:rFonts w:ascii="Verdana" w:hAnsi="Verdana"/>
          <w:sz w:val="20"/>
          <w:szCs w:val="20"/>
          <w:lang w:val="es-ES"/>
        </w:rPr>
        <w:t xml:space="preserve"> “para que el derecho de la víctima a la libertad personal y al debido proceso</w:t>
      </w:r>
      <w:r w:rsidR="001E0C40" w:rsidRPr="0019599B">
        <w:rPr>
          <w:rFonts w:ascii="Verdana" w:hAnsi="Verdana"/>
          <w:sz w:val="20"/>
          <w:szCs w:val="20"/>
          <w:lang w:val="es-ES"/>
        </w:rPr>
        <w:t xml:space="preserve"> […] sea respetado”</w:t>
      </w:r>
      <w:r w:rsidR="008441FF" w:rsidRPr="0019599B">
        <w:rPr>
          <w:rFonts w:ascii="Verdana" w:hAnsi="Verdana"/>
          <w:sz w:val="20"/>
          <w:szCs w:val="20"/>
          <w:lang w:val="es-ES"/>
        </w:rPr>
        <w:t xml:space="preserve">. </w:t>
      </w:r>
      <w:r w:rsidR="00975EFC" w:rsidRPr="0019599B">
        <w:rPr>
          <w:rFonts w:ascii="Verdana" w:hAnsi="Verdana"/>
          <w:sz w:val="20"/>
          <w:szCs w:val="20"/>
          <w:lang w:val="es-ES"/>
        </w:rPr>
        <w:t xml:space="preserve">La representante </w:t>
      </w:r>
      <w:r w:rsidR="009F4786" w:rsidRPr="0019599B">
        <w:rPr>
          <w:rFonts w:ascii="Verdana" w:hAnsi="Verdana"/>
          <w:sz w:val="20"/>
          <w:szCs w:val="20"/>
          <w:lang w:val="es-ES"/>
        </w:rPr>
        <w:t xml:space="preserve">relacionó dicha petición con lo ordenado en el punto resolutivo décimo octavo </w:t>
      </w:r>
      <w:r w:rsidR="00F93D11" w:rsidRPr="0019599B">
        <w:rPr>
          <w:rFonts w:ascii="Verdana" w:hAnsi="Verdana"/>
          <w:sz w:val="20"/>
          <w:szCs w:val="20"/>
          <w:lang w:val="es-ES"/>
        </w:rPr>
        <w:t xml:space="preserve">y el </w:t>
      </w:r>
      <w:r w:rsidR="00942F67" w:rsidRPr="0019599B">
        <w:rPr>
          <w:rFonts w:ascii="Verdana" w:hAnsi="Verdana"/>
          <w:sz w:val="20"/>
          <w:szCs w:val="20"/>
          <w:lang w:val="es-ES"/>
        </w:rPr>
        <w:t>párrafo</w:t>
      </w:r>
      <w:r w:rsidR="00F93D11" w:rsidRPr="0019599B">
        <w:rPr>
          <w:rFonts w:ascii="Verdana" w:hAnsi="Verdana"/>
          <w:sz w:val="20"/>
          <w:szCs w:val="20"/>
          <w:lang w:val="es-ES"/>
        </w:rPr>
        <w:t xml:space="preserve"> 413 </w:t>
      </w:r>
      <w:r w:rsidR="009F4786" w:rsidRPr="0019599B">
        <w:rPr>
          <w:rFonts w:ascii="Verdana" w:hAnsi="Verdana"/>
          <w:sz w:val="20"/>
          <w:szCs w:val="20"/>
          <w:lang w:val="es-ES"/>
        </w:rPr>
        <w:t>de la Sentencia (</w:t>
      </w:r>
      <w:r w:rsidR="009F4786" w:rsidRPr="0019599B">
        <w:rPr>
          <w:rFonts w:ascii="Verdana" w:hAnsi="Verdana"/>
          <w:i/>
          <w:iCs/>
          <w:sz w:val="20"/>
          <w:szCs w:val="20"/>
          <w:lang w:val="es-ES"/>
        </w:rPr>
        <w:t xml:space="preserve">supra </w:t>
      </w:r>
      <w:r w:rsidR="009A7B1B">
        <w:rPr>
          <w:rFonts w:ascii="Verdana" w:hAnsi="Verdana"/>
          <w:sz w:val="20"/>
          <w:szCs w:val="20"/>
          <w:lang w:val="es-ES"/>
        </w:rPr>
        <w:t>Considerando</w:t>
      </w:r>
      <w:r w:rsidR="00E6371F" w:rsidRPr="0019599B">
        <w:rPr>
          <w:rFonts w:ascii="Verdana" w:hAnsi="Verdana"/>
          <w:sz w:val="20"/>
          <w:szCs w:val="20"/>
          <w:lang w:val="es-ES"/>
        </w:rPr>
        <w:t xml:space="preserve"> 1). </w:t>
      </w:r>
      <w:r w:rsidR="009A26F6" w:rsidRPr="0019599B">
        <w:rPr>
          <w:rFonts w:ascii="Verdana" w:hAnsi="Verdana"/>
          <w:sz w:val="20"/>
          <w:szCs w:val="20"/>
          <w:lang w:val="es-ES"/>
        </w:rPr>
        <w:t xml:space="preserve">En particular, solicitó a la Corte que </w:t>
      </w:r>
      <w:r w:rsidR="009E479A" w:rsidRPr="0019599B">
        <w:rPr>
          <w:rFonts w:ascii="Verdana" w:hAnsi="Verdana"/>
          <w:sz w:val="20"/>
          <w:szCs w:val="20"/>
          <w:lang w:val="es-ES"/>
        </w:rPr>
        <w:t xml:space="preserve">resuelva que: </w:t>
      </w:r>
    </w:p>
    <w:p w14:paraId="7B9C8752" w14:textId="77777777" w:rsidR="000805A1" w:rsidRPr="000805A1" w:rsidRDefault="009E479A" w:rsidP="009A7B1B">
      <w:pPr>
        <w:pStyle w:val="Prrafodelista"/>
        <w:numPr>
          <w:ilvl w:val="1"/>
          <w:numId w:val="28"/>
        </w:numPr>
        <w:spacing w:before="120" w:after="120" w:line="240" w:lineRule="auto"/>
        <w:ind w:left="1418" w:hanging="425"/>
        <w:contextualSpacing w:val="0"/>
        <w:jc w:val="both"/>
        <w:rPr>
          <w:rFonts w:ascii="Verdana" w:hAnsi="Verdana"/>
          <w:sz w:val="20"/>
          <w:szCs w:val="20"/>
          <w:lang w:val="es-ES"/>
        </w:rPr>
      </w:pPr>
      <w:r w:rsidRPr="000805A1">
        <w:rPr>
          <w:rFonts w:ascii="Verdana" w:hAnsi="Verdana"/>
          <w:sz w:val="20"/>
          <w:szCs w:val="20"/>
          <w:lang w:val="es-ES"/>
        </w:rPr>
        <w:t>“</w:t>
      </w:r>
      <w:r w:rsidRPr="000805A1">
        <w:rPr>
          <w:rFonts w:ascii="Verdana" w:hAnsi="Verdana"/>
          <w:sz w:val="20"/>
          <w:szCs w:val="20"/>
          <w:lang w:val="es-CR"/>
        </w:rPr>
        <w:t xml:space="preserve">se ha extinguido la acción penal contra la víctima […] por los delitos de apología […] y de asociación a una organización terrorista […], por prescripción extraordinaria”; </w:t>
      </w:r>
    </w:p>
    <w:p w14:paraId="6F453EFC" w14:textId="26F6F9B8" w:rsidR="000805A1" w:rsidRPr="000805A1" w:rsidRDefault="009E479A" w:rsidP="009A7B1B">
      <w:pPr>
        <w:pStyle w:val="Prrafodelista"/>
        <w:numPr>
          <w:ilvl w:val="1"/>
          <w:numId w:val="28"/>
        </w:numPr>
        <w:spacing w:before="120" w:after="120" w:line="240" w:lineRule="auto"/>
        <w:ind w:left="1418" w:hanging="425"/>
        <w:contextualSpacing w:val="0"/>
        <w:jc w:val="both"/>
        <w:rPr>
          <w:rFonts w:ascii="Verdana" w:hAnsi="Verdana"/>
          <w:sz w:val="20"/>
          <w:szCs w:val="20"/>
          <w:lang w:val="es-ES"/>
        </w:rPr>
      </w:pPr>
      <w:r w:rsidRPr="000805A1">
        <w:rPr>
          <w:rFonts w:ascii="Verdana" w:hAnsi="Verdana"/>
          <w:sz w:val="20"/>
          <w:szCs w:val="20"/>
          <w:lang w:val="es-CR"/>
        </w:rPr>
        <w:t xml:space="preserve">“la orden actual de arresto en el Perú contra la víctima sobre la base de una acción penal cuyo plazo extraordinario de prescripción ha vencido, es ilegal bajo la Convención Americana </w:t>
      </w:r>
      <w:r w:rsidR="002B031D">
        <w:rPr>
          <w:rFonts w:ascii="Verdana" w:hAnsi="Verdana"/>
          <w:sz w:val="20"/>
          <w:szCs w:val="20"/>
          <w:lang w:val="es-CR"/>
        </w:rPr>
        <w:t>[sobre]</w:t>
      </w:r>
      <w:r w:rsidR="002B031D" w:rsidRPr="000805A1">
        <w:rPr>
          <w:rFonts w:ascii="Verdana" w:hAnsi="Verdana"/>
          <w:sz w:val="20"/>
          <w:szCs w:val="20"/>
          <w:lang w:val="es-CR"/>
        </w:rPr>
        <w:t xml:space="preserve"> </w:t>
      </w:r>
      <w:r w:rsidRPr="000805A1">
        <w:rPr>
          <w:rFonts w:ascii="Verdana" w:hAnsi="Verdana"/>
          <w:sz w:val="20"/>
          <w:szCs w:val="20"/>
          <w:lang w:val="es-CR"/>
        </w:rPr>
        <w:t xml:space="preserve">Derechos Humanos y bajo la propia legislación peruana”, y </w:t>
      </w:r>
    </w:p>
    <w:p w14:paraId="4655F122" w14:textId="76B03118" w:rsidR="00716123" w:rsidRPr="000805A1" w:rsidRDefault="009E479A" w:rsidP="009A7B1B">
      <w:pPr>
        <w:pStyle w:val="Prrafodelista"/>
        <w:numPr>
          <w:ilvl w:val="1"/>
          <w:numId w:val="28"/>
        </w:numPr>
        <w:spacing w:before="120" w:after="120" w:line="240" w:lineRule="auto"/>
        <w:ind w:left="1418" w:hanging="425"/>
        <w:contextualSpacing w:val="0"/>
        <w:jc w:val="both"/>
        <w:rPr>
          <w:rFonts w:ascii="Verdana" w:hAnsi="Verdana"/>
          <w:sz w:val="20"/>
          <w:szCs w:val="20"/>
          <w:lang w:val="es-ES"/>
        </w:rPr>
      </w:pPr>
      <w:r w:rsidRPr="000805A1">
        <w:rPr>
          <w:rFonts w:ascii="Verdana" w:hAnsi="Verdana"/>
          <w:sz w:val="20"/>
          <w:szCs w:val="20"/>
          <w:lang w:val="es-CR"/>
        </w:rPr>
        <w:t>“</w:t>
      </w:r>
      <w:r w:rsidR="00597244" w:rsidRPr="000805A1">
        <w:rPr>
          <w:rFonts w:ascii="Verdana" w:hAnsi="Verdana"/>
          <w:sz w:val="20"/>
          <w:szCs w:val="20"/>
          <w:lang w:val="es-CR"/>
        </w:rPr>
        <w:t>ordene al Perú dejar sin efecto dicha orden de arresto y que se produzca el archivamiento del proceso penal contra la víctima en base a la extinción de la acción penal por prescripción extraordinaria”.</w:t>
      </w:r>
    </w:p>
    <w:p w14:paraId="35D3094E" w14:textId="3FFDBC35" w:rsidR="002011FC" w:rsidRPr="002011FC" w:rsidRDefault="00D653DC" w:rsidP="007A6E9B">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 xml:space="preserve">La representante alegó que “[u]na </w:t>
      </w:r>
      <w:r w:rsidRPr="00146FBD">
        <w:rPr>
          <w:rFonts w:ascii="Verdana" w:hAnsi="Verdana"/>
          <w:sz w:val="20"/>
          <w:szCs w:val="20"/>
          <w:lang w:val="es-CR"/>
        </w:rPr>
        <w:t>orden de arresto con orden de captura, sobre la base de una acción extinguida y un proceso penal abierto sobre la base de una acción penal que ha prescrito es una violación flagrante al derecho a la libertad personal y el debido proceso y por tanto configura un hecho grave</w:t>
      </w:r>
      <w:r>
        <w:rPr>
          <w:rFonts w:ascii="Verdana" w:hAnsi="Verdana"/>
          <w:sz w:val="20"/>
          <w:szCs w:val="20"/>
          <w:lang w:val="es-CR"/>
        </w:rPr>
        <w:t>”</w:t>
      </w:r>
      <w:r w:rsidR="00BE77EC">
        <w:rPr>
          <w:rFonts w:ascii="Verdana" w:hAnsi="Verdana"/>
          <w:sz w:val="20"/>
          <w:szCs w:val="20"/>
          <w:lang w:val="es-CR"/>
        </w:rPr>
        <w:t>. En este sentido, señaló que “[d]icho hecho grave</w:t>
      </w:r>
      <w:r w:rsidR="00D1201B">
        <w:rPr>
          <w:rFonts w:ascii="Verdana" w:hAnsi="Verdana"/>
          <w:sz w:val="20"/>
          <w:szCs w:val="20"/>
          <w:lang w:val="es-CR"/>
        </w:rPr>
        <w:t xml:space="preserve">, produce un daño irreparable a la víctima </w:t>
      </w:r>
      <w:r w:rsidR="00353A15">
        <w:rPr>
          <w:rFonts w:ascii="Verdana" w:hAnsi="Verdana"/>
          <w:sz w:val="20"/>
          <w:szCs w:val="20"/>
          <w:lang w:val="es-CR"/>
        </w:rPr>
        <w:t xml:space="preserve">en este caso </w:t>
      </w:r>
      <w:r w:rsidR="00D1201B">
        <w:rPr>
          <w:rFonts w:ascii="Verdana" w:hAnsi="Verdana"/>
          <w:sz w:val="20"/>
          <w:szCs w:val="20"/>
          <w:lang w:val="es-CR"/>
        </w:rPr>
        <w:t>y es por ello de urgencia</w:t>
      </w:r>
      <w:r w:rsidR="00227A54">
        <w:rPr>
          <w:rFonts w:ascii="Verdana" w:hAnsi="Verdana"/>
          <w:sz w:val="20"/>
          <w:szCs w:val="20"/>
          <w:lang w:val="es-CR"/>
        </w:rPr>
        <w:t>, que la Corte ejerza un control de convencionalidad”.</w:t>
      </w:r>
      <w:r w:rsidR="0021000B">
        <w:rPr>
          <w:rFonts w:ascii="Verdana" w:hAnsi="Verdana"/>
          <w:sz w:val="20"/>
          <w:szCs w:val="20"/>
          <w:lang w:val="es-CR"/>
        </w:rPr>
        <w:t xml:space="preserve"> Asimismo, la representante sostuvo que la solicitud presentada “cumple con lo requerido en el artículo 27.3 del Reglamento de la Corte Interamericana en lo que respecta a la legitimación para presentar la solicitud”.  </w:t>
      </w:r>
      <w:r w:rsidR="003F001D">
        <w:rPr>
          <w:rFonts w:ascii="Verdana" w:hAnsi="Verdana"/>
          <w:sz w:val="20"/>
          <w:szCs w:val="20"/>
          <w:lang w:val="es-CR"/>
        </w:rPr>
        <w:t xml:space="preserve">Por otra parte, en su escrito de 23 de mayo de 2022, la representante </w:t>
      </w:r>
      <w:r w:rsidR="00810938">
        <w:rPr>
          <w:rFonts w:ascii="Verdana" w:hAnsi="Verdana"/>
          <w:sz w:val="20"/>
          <w:szCs w:val="20"/>
          <w:lang w:val="es-CR"/>
        </w:rPr>
        <w:t xml:space="preserve">indicó que </w:t>
      </w:r>
      <w:r w:rsidR="004F7C82">
        <w:rPr>
          <w:rFonts w:ascii="Verdana" w:hAnsi="Verdana"/>
          <w:sz w:val="20"/>
          <w:szCs w:val="20"/>
          <w:lang w:val="es-CR"/>
        </w:rPr>
        <w:t>la violación al “derecho a ser libre de amenazas contra el derecho fundamental a la seguridad de la persona, a la libertad</w:t>
      </w:r>
      <w:r w:rsidR="00BC130D">
        <w:rPr>
          <w:rFonts w:ascii="Verdana" w:hAnsi="Verdana"/>
          <w:sz w:val="20"/>
          <w:szCs w:val="20"/>
          <w:lang w:val="es-CR"/>
        </w:rPr>
        <w:t>[</w:t>
      </w:r>
      <w:r w:rsidR="00C505C1">
        <w:rPr>
          <w:rFonts w:ascii="Verdana" w:hAnsi="Verdana"/>
          <w:sz w:val="20"/>
          <w:szCs w:val="20"/>
          <w:lang w:val="es-CR"/>
        </w:rPr>
        <w:t>,]</w:t>
      </w:r>
      <w:r w:rsidR="00BC130D">
        <w:rPr>
          <w:rFonts w:ascii="Verdana" w:hAnsi="Verdana"/>
          <w:sz w:val="20"/>
          <w:szCs w:val="20"/>
          <w:lang w:val="es-CR"/>
        </w:rPr>
        <w:t xml:space="preserve"> es flagrante y no meramente inminente</w:t>
      </w:r>
      <w:r w:rsidR="004F7C82">
        <w:rPr>
          <w:rFonts w:ascii="Verdana" w:hAnsi="Verdana"/>
          <w:sz w:val="20"/>
          <w:szCs w:val="20"/>
          <w:lang w:val="es-CR"/>
        </w:rPr>
        <w:t>”</w:t>
      </w:r>
      <w:r w:rsidR="00BC130D">
        <w:rPr>
          <w:rFonts w:ascii="Verdana" w:hAnsi="Verdana"/>
          <w:sz w:val="20"/>
          <w:szCs w:val="20"/>
          <w:lang w:val="es-CR"/>
        </w:rPr>
        <w:t xml:space="preserve">, </w:t>
      </w:r>
      <w:r w:rsidR="00B70D81">
        <w:rPr>
          <w:rFonts w:ascii="Verdana" w:hAnsi="Verdana"/>
          <w:sz w:val="20"/>
          <w:szCs w:val="20"/>
          <w:lang w:val="es-CR"/>
        </w:rPr>
        <w:t>y que el “requerimiento de arresto ilegal contra J</w:t>
      </w:r>
      <w:r w:rsidR="00C505C1">
        <w:rPr>
          <w:rFonts w:ascii="Verdana" w:hAnsi="Verdana"/>
          <w:sz w:val="20"/>
          <w:szCs w:val="20"/>
          <w:lang w:val="es-CR"/>
        </w:rPr>
        <w:t>.</w:t>
      </w:r>
      <w:r w:rsidR="00965DC1">
        <w:rPr>
          <w:rFonts w:ascii="Verdana" w:hAnsi="Verdana"/>
          <w:sz w:val="20"/>
          <w:szCs w:val="20"/>
          <w:lang w:val="es-CR"/>
        </w:rPr>
        <w:t xml:space="preserve"> […] afecta </w:t>
      </w:r>
      <w:r w:rsidR="00965DC1">
        <w:rPr>
          <w:rFonts w:ascii="Verdana" w:hAnsi="Verdana"/>
          <w:sz w:val="20"/>
          <w:szCs w:val="20"/>
          <w:lang w:val="es-CR"/>
        </w:rPr>
        <w:lastRenderedPageBreak/>
        <w:t>directamente sus derechos fundamentales[, l]os efectos son irreparables, y causan un profundo agravio físico […] y psicológico a J.</w:t>
      </w:r>
      <w:r w:rsidR="00BB36FD">
        <w:rPr>
          <w:rFonts w:ascii="Verdana" w:hAnsi="Verdana"/>
          <w:sz w:val="20"/>
          <w:szCs w:val="20"/>
          <w:lang w:val="es-CR"/>
        </w:rPr>
        <w:t>”</w:t>
      </w:r>
      <w:r w:rsidR="00BC130D">
        <w:rPr>
          <w:rFonts w:ascii="Verdana" w:hAnsi="Verdana"/>
          <w:sz w:val="20"/>
          <w:szCs w:val="20"/>
          <w:lang w:val="es-CR"/>
        </w:rPr>
        <w:t>.</w:t>
      </w:r>
    </w:p>
    <w:p w14:paraId="62DF4758" w14:textId="1D669CF6" w:rsidR="003D4752" w:rsidRPr="003D4752" w:rsidRDefault="0070446C" w:rsidP="00BB5BDF">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 xml:space="preserve">La representante </w:t>
      </w:r>
      <w:r w:rsidR="00BB7261">
        <w:rPr>
          <w:rFonts w:ascii="Verdana" w:hAnsi="Verdana"/>
          <w:sz w:val="20"/>
          <w:szCs w:val="20"/>
          <w:lang w:val="es-CR"/>
        </w:rPr>
        <w:t xml:space="preserve">alegó </w:t>
      </w:r>
      <w:r w:rsidR="006D3C4F">
        <w:rPr>
          <w:rFonts w:ascii="Verdana" w:hAnsi="Verdana"/>
          <w:sz w:val="20"/>
          <w:szCs w:val="20"/>
          <w:lang w:val="es-CR"/>
        </w:rPr>
        <w:t>que</w:t>
      </w:r>
      <w:r w:rsidR="00BB7261">
        <w:rPr>
          <w:rFonts w:ascii="Verdana" w:hAnsi="Verdana"/>
          <w:sz w:val="20"/>
          <w:szCs w:val="20"/>
          <w:lang w:val="es-CR"/>
        </w:rPr>
        <w:t xml:space="preserve">, con posterioridad a la Sentencia, el Estado </w:t>
      </w:r>
      <w:r w:rsidR="007C173A">
        <w:rPr>
          <w:rFonts w:ascii="Verdana" w:hAnsi="Verdana"/>
          <w:sz w:val="20"/>
          <w:szCs w:val="20"/>
          <w:lang w:val="es-CR"/>
        </w:rPr>
        <w:t>“</w:t>
      </w:r>
      <w:r w:rsidR="00BB7261">
        <w:rPr>
          <w:rFonts w:ascii="Verdana" w:hAnsi="Verdana"/>
          <w:sz w:val="20"/>
          <w:szCs w:val="20"/>
          <w:lang w:val="es-CR"/>
        </w:rPr>
        <w:t>no tomó ninguna medida para corregir [la] acusación” contra la señora J.</w:t>
      </w:r>
      <w:r w:rsidR="00266C5B">
        <w:rPr>
          <w:rStyle w:val="Refdenotaalpie"/>
          <w:rFonts w:ascii="Verdana" w:hAnsi="Verdana"/>
          <w:sz w:val="20"/>
          <w:szCs w:val="20"/>
          <w:lang w:val="es-CR"/>
        </w:rPr>
        <w:footnoteReference w:id="10"/>
      </w:r>
      <w:r w:rsidR="0077447B">
        <w:rPr>
          <w:rFonts w:ascii="Verdana" w:hAnsi="Verdana"/>
          <w:sz w:val="20"/>
          <w:szCs w:val="20"/>
          <w:lang w:val="es-CR"/>
        </w:rPr>
        <w:t>, ni para</w:t>
      </w:r>
      <w:r w:rsidR="004C102F">
        <w:rPr>
          <w:rFonts w:ascii="Verdana" w:hAnsi="Verdana"/>
          <w:sz w:val="20"/>
          <w:szCs w:val="20"/>
          <w:lang w:val="es-CR"/>
        </w:rPr>
        <w:t xml:space="preserve"> </w:t>
      </w:r>
      <w:r w:rsidR="0077447B">
        <w:rPr>
          <w:rFonts w:ascii="Verdana" w:hAnsi="Verdana"/>
          <w:sz w:val="20"/>
          <w:szCs w:val="20"/>
          <w:lang w:val="es-CR"/>
        </w:rPr>
        <w:t>“</w:t>
      </w:r>
      <w:r w:rsidR="00293020">
        <w:rPr>
          <w:rFonts w:ascii="Verdana" w:hAnsi="Verdana"/>
          <w:sz w:val="20"/>
          <w:szCs w:val="20"/>
          <w:lang w:val="es-CR"/>
        </w:rPr>
        <w:t xml:space="preserve">subsanar </w:t>
      </w:r>
      <w:r w:rsidR="00974D43">
        <w:rPr>
          <w:rFonts w:ascii="Verdana" w:hAnsi="Verdana"/>
          <w:sz w:val="20"/>
          <w:szCs w:val="20"/>
          <w:lang w:val="es-CR"/>
        </w:rPr>
        <w:t xml:space="preserve">las </w:t>
      </w:r>
      <w:r w:rsidR="005538CE">
        <w:rPr>
          <w:rFonts w:ascii="Verdana" w:hAnsi="Verdana"/>
          <w:sz w:val="20"/>
          <w:szCs w:val="20"/>
          <w:lang w:val="es-CR"/>
        </w:rPr>
        <w:t>violaciones” encontradas en la Sentencia sobre el proceso</w:t>
      </w:r>
      <w:r w:rsidR="006239EE">
        <w:rPr>
          <w:rFonts w:ascii="Verdana" w:hAnsi="Verdana"/>
          <w:sz w:val="20"/>
          <w:szCs w:val="20"/>
          <w:lang w:val="es-CR"/>
        </w:rPr>
        <w:t xml:space="preserve"> penal abierto en contra de </w:t>
      </w:r>
      <w:r w:rsidR="00C505C1">
        <w:rPr>
          <w:rFonts w:ascii="Verdana" w:hAnsi="Verdana"/>
          <w:sz w:val="20"/>
          <w:szCs w:val="20"/>
          <w:lang w:val="es-CR"/>
        </w:rPr>
        <w:t>ésta.</w:t>
      </w:r>
      <w:r w:rsidR="006239EE">
        <w:rPr>
          <w:rFonts w:ascii="Verdana" w:hAnsi="Verdana"/>
          <w:sz w:val="20"/>
          <w:szCs w:val="20"/>
          <w:lang w:val="es-CR"/>
        </w:rPr>
        <w:t xml:space="preserve"> </w:t>
      </w:r>
      <w:r w:rsidR="008D3B7B">
        <w:rPr>
          <w:rFonts w:ascii="Verdana" w:hAnsi="Verdana"/>
          <w:sz w:val="20"/>
          <w:szCs w:val="20"/>
          <w:lang w:val="es-CR"/>
        </w:rPr>
        <w:t>A</w:t>
      </w:r>
      <w:r w:rsidR="00AF1EFF">
        <w:rPr>
          <w:rFonts w:ascii="Verdana" w:hAnsi="Verdana"/>
          <w:sz w:val="20"/>
          <w:szCs w:val="20"/>
          <w:lang w:val="es-CR"/>
        </w:rPr>
        <w:t>l respecto, indicó que</w:t>
      </w:r>
      <w:r w:rsidR="00B7737B">
        <w:rPr>
          <w:rFonts w:ascii="Verdana" w:hAnsi="Verdana"/>
          <w:sz w:val="20"/>
          <w:szCs w:val="20"/>
          <w:lang w:val="es-CR"/>
        </w:rPr>
        <w:t xml:space="preserve"> el 13 de abril de 2022 “se cumplieron 30 años de la detención de la víctima </w:t>
      </w:r>
      <w:r w:rsidR="00A13588">
        <w:rPr>
          <w:rFonts w:ascii="Verdana" w:hAnsi="Verdana"/>
          <w:sz w:val="20"/>
          <w:szCs w:val="20"/>
          <w:lang w:val="es-CR"/>
        </w:rPr>
        <w:t>[que] origin[ó] el proceso penal”</w:t>
      </w:r>
      <w:r w:rsidR="008B6BC1">
        <w:rPr>
          <w:rFonts w:ascii="Verdana" w:hAnsi="Verdana"/>
          <w:sz w:val="20"/>
          <w:szCs w:val="20"/>
          <w:lang w:val="es-CR"/>
        </w:rPr>
        <w:t xml:space="preserve"> por los delitos de apología y de asociación a una organización terrorista</w:t>
      </w:r>
      <w:r w:rsidR="00E21B7E">
        <w:rPr>
          <w:rFonts w:ascii="Verdana" w:hAnsi="Verdana"/>
          <w:sz w:val="20"/>
          <w:szCs w:val="20"/>
          <w:lang w:val="es-CR"/>
        </w:rPr>
        <w:t xml:space="preserve">. </w:t>
      </w:r>
      <w:r w:rsidR="00AF1EFF">
        <w:rPr>
          <w:rFonts w:ascii="Verdana" w:hAnsi="Verdana"/>
          <w:sz w:val="20"/>
          <w:szCs w:val="20"/>
          <w:lang w:val="es-CR"/>
        </w:rPr>
        <w:t xml:space="preserve">Según la representante, </w:t>
      </w:r>
      <w:r w:rsidR="00303D25">
        <w:rPr>
          <w:rFonts w:ascii="Verdana" w:hAnsi="Verdana"/>
          <w:sz w:val="20"/>
          <w:szCs w:val="20"/>
          <w:lang w:val="es-CR"/>
        </w:rPr>
        <w:t>“[d]e conformidad con el Código P</w:t>
      </w:r>
      <w:r w:rsidR="006D73AE">
        <w:rPr>
          <w:rFonts w:ascii="Verdana" w:hAnsi="Verdana"/>
          <w:sz w:val="20"/>
          <w:szCs w:val="20"/>
          <w:lang w:val="es-CR"/>
        </w:rPr>
        <w:t>[rocesal] P</w:t>
      </w:r>
      <w:r w:rsidR="00303D25">
        <w:rPr>
          <w:rFonts w:ascii="Verdana" w:hAnsi="Verdana"/>
          <w:sz w:val="20"/>
          <w:szCs w:val="20"/>
          <w:lang w:val="es-CR"/>
        </w:rPr>
        <w:t xml:space="preserve">enal </w:t>
      </w:r>
      <w:r w:rsidR="006D73AE">
        <w:rPr>
          <w:rFonts w:ascii="Verdana" w:hAnsi="Verdana"/>
          <w:sz w:val="20"/>
          <w:szCs w:val="20"/>
          <w:lang w:val="es-CR"/>
        </w:rPr>
        <w:t>[…]</w:t>
      </w:r>
      <w:r w:rsidR="00303D25">
        <w:rPr>
          <w:rFonts w:ascii="Verdana" w:hAnsi="Verdana"/>
          <w:sz w:val="20"/>
          <w:szCs w:val="20"/>
          <w:lang w:val="es-CR"/>
        </w:rPr>
        <w:t xml:space="preserve"> de 1991 aplicable al presente caso, </w:t>
      </w:r>
      <w:r w:rsidR="00E8697B">
        <w:rPr>
          <w:rFonts w:ascii="Verdana" w:hAnsi="Verdana"/>
          <w:sz w:val="20"/>
          <w:szCs w:val="20"/>
          <w:lang w:val="es-CR"/>
        </w:rPr>
        <w:t>[…] se ha extinguido la acción penal, por prescripción extraordinaria</w:t>
      </w:r>
      <w:r w:rsidR="00AA5C4F">
        <w:rPr>
          <w:rFonts w:ascii="Verdana" w:hAnsi="Verdana"/>
          <w:sz w:val="20"/>
          <w:szCs w:val="20"/>
          <w:lang w:val="es-CR"/>
        </w:rPr>
        <w:t>”</w:t>
      </w:r>
      <w:r w:rsidR="00AA5C4F">
        <w:rPr>
          <w:rStyle w:val="Refdenotaalpie"/>
          <w:rFonts w:ascii="Verdana" w:hAnsi="Verdana"/>
          <w:sz w:val="20"/>
          <w:szCs w:val="20"/>
          <w:lang w:val="es-CR"/>
        </w:rPr>
        <w:footnoteReference w:id="11"/>
      </w:r>
      <w:r w:rsidR="006803B8">
        <w:rPr>
          <w:rFonts w:ascii="Verdana" w:hAnsi="Verdana"/>
          <w:sz w:val="20"/>
          <w:szCs w:val="20"/>
          <w:lang w:val="es-CR"/>
        </w:rPr>
        <w:t xml:space="preserve">, siendo que el plazo aplicable </w:t>
      </w:r>
      <w:r w:rsidR="00642AF5">
        <w:rPr>
          <w:rFonts w:ascii="Verdana" w:hAnsi="Verdana"/>
          <w:sz w:val="20"/>
          <w:szCs w:val="20"/>
          <w:lang w:val="es-CR"/>
        </w:rPr>
        <w:t>en este caso es 30 años</w:t>
      </w:r>
      <w:r w:rsidR="00642AF5">
        <w:rPr>
          <w:rStyle w:val="Refdenotaalpie"/>
          <w:rFonts w:ascii="Verdana" w:hAnsi="Verdana"/>
          <w:sz w:val="20"/>
          <w:szCs w:val="20"/>
          <w:lang w:val="es-CR"/>
        </w:rPr>
        <w:footnoteReference w:id="12"/>
      </w:r>
      <w:r w:rsidR="00F44727">
        <w:rPr>
          <w:rFonts w:ascii="Verdana" w:hAnsi="Verdana"/>
          <w:sz w:val="20"/>
          <w:szCs w:val="20"/>
          <w:lang w:val="es-CR"/>
        </w:rPr>
        <w:t>.</w:t>
      </w:r>
    </w:p>
    <w:p w14:paraId="5B009BC0" w14:textId="7D308C60" w:rsidR="009A7B1B" w:rsidRPr="009A7B1B" w:rsidRDefault="00B70E31" w:rsidP="00890FB0">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 xml:space="preserve">En su escrito de </w:t>
      </w:r>
      <w:r w:rsidR="000C24A9">
        <w:rPr>
          <w:rFonts w:ascii="Verdana" w:hAnsi="Verdana"/>
          <w:sz w:val="20"/>
          <w:szCs w:val="20"/>
          <w:lang w:val="es-CR"/>
        </w:rPr>
        <w:t>23 de mayo de 2022, la representante</w:t>
      </w:r>
      <w:r w:rsidR="00637963">
        <w:rPr>
          <w:rFonts w:ascii="Verdana" w:hAnsi="Verdana"/>
          <w:sz w:val="20"/>
          <w:szCs w:val="20"/>
          <w:lang w:val="es-CR"/>
        </w:rPr>
        <w:t xml:space="preserve"> </w:t>
      </w:r>
      <w:r w:rsidR="00C505C1">
        <w:rPr>
          <w:rFonts w:ascii="Verdana" w:hAnsi="Verdana"/>
          <w:sz w:val="20"/>
          <w:szCs w:val="20"/>
          <w:lang w:val="es-CR"/>
        </w:rPr>
        <w:t>manifestó</w:t>
      </w:r>
      <w:r w:rsidR="00637963">
        <w:rPr>
          <w:rFonts w:ascii="Verdana" w:hAnsi="Verdana"/>
          <w:sz w:val="20"/>
          <w:szCs w:val="20"/>
          <w:lang w:val="es-CR"/>
        </w:rPr>
        <w:t xml:space="preserve"> que “el Estado peruano pretende aplicar al caso de J[.], una ley de manera retroactiva</w:t>
      </w:r>
      <w:r w:rsidR="001E618C">
        <w:rPr>
          <w:rFonts w:ascii="Verdana" w:hAnsi="Verdana"/>
          <w:sz w:val="20"/>
          <w:szCs w:val="20"/>
          <w:lang w:val="es-CR"/>
        </w:rPr>
        <w:t>”</w:t>
      </w:r>
      <w:r w:rsidR="00574A9C">
        <w:rPr>
          <w:rFonts w:ascii="Verdana" w:hAnsi="Verdana"/>
          <w:sz w:val="20"/>
          <w:szCs w:val="20"/>
          <w:lang w:val="es-CR"/>
        </w:rPr>
        <w:t>, ya que la</w:t>
      </w:r>
      <w:r w:rsidR="00793C64">
        <w:rPr>
          <w:rFonts w:ascii="Verdana" w:hAnsi="Verdana"/>
          <w:sz w:val="20"/>
          <w:szCs w:val="20"/>
          <w:lang w:val="es-CR"/>
        </w:rPr>
        <w:t xml:space="preserve"> Ley N° 26641</w:t>
      </w:r>
      <w:r w:rsidR="00E75304">
        <w:rPr>
          <w:rFonts w:ascii="Verdana" w:hAnsi="Verdana"/>
          <w:sz w:val="20"/>
          <w:szCs w:val="20"/>
          <w:lang w:val="es-CR"/>
        </w:rPr>
        <w:t>, que regula la suspensión de la prescripción en casos de contumacia,</w:t>
      </w:r>
      <w:r w:rsidR="00D724DF">
        <w:rPr>
          <w:rFonts w:ascii="Verdana" w:hAnsi="Verdana"/>
          <w:sz w:val="20"/>
          <w:szCs w:val="20"/>
          <w:lang w:val="es-CR"/>
        </w:rPr>
        <w:t xml:space="preserve"> fue “emitida [cuatro] años más tarde, a los hechos ocurridos</w:t>
      </w:r>
      <w:r w:rsidR="001819A9">
        <w:rPr>
          <w:rFonts w:ascii="Verdana" w:hAnsi="Verdana"/>
          <w:sz w:val="20"/>
          <w:szCs w:val="20"/>
          <w:lang w:val="es-CR"/>
        </w:rPr>
        <w:t>”</w:t>
      </w:r>
      <w:r w:rsidR="001E618C">
        <w:rPr>
          <w:rFonts w:ascii="Verdana" w:hAnsi="Verdana"/>
          <w:sz w:val="20"/>
          <w:szCs w:val="20"/>
          <w:lang w:val="es-CR"/>
        </w:rPr>
        <w:t xml:space="preserve">. </w:t>
      </w:r>
      <w:r w:rsidR="00E342C2">
        <w:rPr>
          <w:rFonts w:ascii="Verdana" w:hAnsi="Verdana"/>
          <w:sz w:val="20"/>
          <w:szCs w:val="20"/>
          <w:lang w:val="es-CR"/>
        </w:rPr>
        <w:t xml:space="preserve">Asimismo, </w:t>
      </w:r>
      <w:r w:rsidR="00E75304">
        <w:rPr>
          <w:rFonts w:ascii="Verdana" w:hAnsi="Verdana"/>
          <w:sz w:val="20"/>
          <w:szCs w:val="20"/>
          <w:lang w:val="es-CR"/>
        </w:rPr>
        <w:t>alegó</w:t>
      </w:r>
      <w:r w:rsidR="0080074E">
        <w:rPr>
          <w:rFonts w:ascii="Verdana" w:hAnsi="Verdana"/>
          <w:sz w:val="20"/>
          <w:szCs w:val="20"/>
          <w:lang w:val="es-CR"/>
        </w:rPr>
        <w:t xml:space="preserve"> que “el Perú intenta convertir a las figuras penales del delito de apología […] y de asociación a una organización terrorista […] en figuras penales </w:t>
      </w:r>
      <w:r w:rsidR="00F65B86">
        <w:rPr>
          <w:rFonts w:ascii="Verdana" w:hAnsi="Verdana"/>
          <w:sz w:val="20"/>
          <w:szCs w:val="20"/>
          <w:lang w:val="es-CR"/>
        </w:rPr>
        <w:t>imprescriptibles porque señala que estas no prescriben ya que la suspensión de la prescripción por contumacia suspende todo efecto de prescripción”.</w:t>
      </w:r>
      <w:r w:rsidR="005D07B6">
        <w:rPr>
          <w:rFonts w:ascii="Verdana" w:hAnsi="Verdana"/>
          <w:sz w:val="20"/>
          <w:szCs w:val="20"/>
          <w:lang w:val="es-CR"/>
        </w:rPr>
        <w:t xml:space="preserve"> </w:t>
      </w:r>
      <w:r w:rsidR="00DA2E55">
        <w:rPr>
          <w:rFonts w:ascii="Verdana" w:hAnsi="Verdana"/>
          <w:sz w:val="20"/>
          <w:szCs w:val="20"/>
          <w:lang w:val="es-CR"/>
        </w:rPr>
        <w:t>L</w:t>
      </w:r>
      <w:r w:rsidR="00C56A14">
        <w:rPr>
          <w:rFonts w:ascii="Verdana" w:hAnsi="Verdana"/>
          <w:sz w:val="20"/>
          <w:szCs w:val="20"/>
          <w:lang w:val="es-CR"/>
        </w:rPr>
        <w:t xml:space="preserve">a representante indicó que estos delitos no se encuentran dentro de los delitos considerados como imprescriptibles </w:t>
      </w:r>
      <w:r w:rsidR="00857DA7">
        <w:rPr>
          <w:rFonts w:ascii="Verdana" w:hAnsi="Verdana"/>
          <w:sz w:val="20"/>
          <w:szCs w:val="20"/>
          <w:lang w:val="es-CR"/>
        </w:rPr>
        <w:t xml:space="preserve">dentro del sistema legal peruano. </w:t>
      </w:r>
      <w:r w:rsidR="00ED1138">
        <w:rPr>
          <w:rFonts w:ascii="Verdana" w:hAnsi="Verdana"/>
          <w:sz w:val="20"/>
          <w:szCs w:val="20"/>
          <w:lang w:val="es-CR"/>
        </w:rPr>
        <w:t xml:space="preserve">Respecto a la interrupción de la prescripción, la representante </w:t>
      </w:r>
      <w:r w:rsidR="00D37F17">
        <w:rPr>
          <w:rFonts w:ascii="Verdana" w:hAnsi="Verdana"/>
          <w:sz w:val="20"/>
          <w:szCs w:val="20"/>
          <w:lang w:val="es-CR"/>
        </w:rPr>
        <w:t>sostuvo que el último párrafo</w:t>
      </w:r>
      <w:r w:rsidR="00A520F0">
        <w:rPr>
          <w:rFonts w:ascii="Verdana" w:hAnsi="Verdana"/>
          <w:sz w:val="20"/>
          <w:szCs w:val="20"/>
          <w:lang w:val="es-CR"/>
        </w:rPr>
        <w:t xml:space="preserve"> del artículo 83 del Código Penal establece que</w:t>
      </w:r>
      <w:r w:rsidR="00E71AD4">
        <w:rPr>
          <w:rFonts w:ascii="Verdana" w:hAnsi="Verdana"/>
          <w:sz w:val="20"/>
          <w:szCs w:val="20"/>
          <w:lang w:val="es-CR"/>
        </w:rPr>
        <w:t>,</w:t>
      </w:r>
      <w:r w:rsidR="00FC66AD">
        <w:rPr>
          <w:rFonts w:ascii="Verdana" w:hAnsi="Verdana"/>
          <w:sz w:val="20"/>
          <w:szCs w:val="20"/>
          <w:lang w:val="es-CR"/>
        </w:rPr>
        <w:t xml:space="preserve"> </w:t>
      </w:r>
      <w:r w:rsidR="00264C40">
        <w:rPr>
          <w:rFonts w:ascii="Verdana" w:hAnsi="Verdana"/>
          <w:sz w:val="20"/>
          <w:szCs w:val="20"/>
          <w:lang w:val="es-CR"/>
        </w:rPr>
        <w:t xml:space="preserve">aun cuando </w:t>
      </w:r>
      <w:r w:rsidR="00FC66AD">
        <w:rPr>
          <w:rFonts w:ascii="Verdana" w:hAnsi="Verdana"/>
          <w:sz w:val="20"/>
          <w:szCs w:val="20"/>
          <w:lang w:val="es-CR"/>
        </w:rPr>
        <w:t>se da una interrupción de la prescripción</w:t>
      </w:r>
      <w:r w:rsidR="00264C40">
        <w:rPr>
          <w:rFonts w:ascii="Verdana" w:hAnsi="Verdana"/>
          <w:sz w:val="20"/>
          <w:szCs w:val="20"/>
          <w:lang w:val="es-CR"/>
        </w:rPr>
        <w:t>,</w:t>
      </w:r>
      <w:r w:rsidR="00FC66AD">
        <w:rPr>
          <w:rFonts w:ascii="Verdana" w:hAnsi="Verdana"/>
          <w:sz w:val="20"/>
          <w:szCs w:val="20"/>
          <w:lang w:val="es-CR"/>
        </w:rPr>
        <w:t xml:space="preserve"> </w:t>
      </w:r>
      <w:r w:rsidR="00264C40">
        <w:rPr>
          <w:rFonts w:ascii="Verdana" w:hAnsi="Verdana"/>
          <w:sz w:val="20"/>
          <w:szCs w:val="20"/>
          <w:lang w:val="es-CR"/>
        </w:rPr>
        <w:t>l</w:t>
      </w:r>
      <w:r w:rsidR="00DF6D29">
        <w:rPr>
          <w:rFonts w:ascii="Verdana" w:hAnsi="Verdana"/>
          <w:sz w:val="20"/>
          <w:szCs w:val="20"/>
          <w:lang w:val="es-CR"/>
        </w:rPr>
        <w:t xml:space="preserve">a acción prescribe </w:t>
      </w:r>
      <w:r w:rsidR="00264C40">
        <w:rPr>
          <w:rFonts w:ascii="Verdana" w:hAnsi="Verdana"/>
          <w:sz w:val="20"/>
          <w:szCs w:val="20"/>
          <w:lang w:val="es-CR"/>
        </w:rPr>
        <w:t>“</w:t>
      </w:r>
      <w:r w:rsidR="00DF6D29">
        <w:rPr>
          <w:rFonts w:ascii="Verdana" w:hAnsi="Verdana"/>
          <w:sz w:val="20"/>
          <w:szCs w:val="20"/>
          <w:lang w:val="es-CR"/>
        </w:rPr>
        <w:t>cuando el tiempo transcurrido</w:t>
      </w:r>
      <w:r w:rsidR="0051493B">
        <w:rPr>
          <w:rFonts w:ascii="Verdana" w:hAnsi="Verdana"/>
          <w:sz w:val="20"/>
          <w:szCs w:val="20"/>
          <w:lang w:val="es-CR"/>
        </w:rPr>
        <w:t xml:space="preserve"> sobrepasa en una mitad al plazo ordinario de prescripción”</w:t>
      </w:r>
      <w:r w:rsidR="00264C40">
        <w:rPr>
          <w:rFonts w:ascii="Verdana" w:hAnsi="Verdana"/>
          <w:sz w:val="20"/>
          <w:szCs w:val="20"/>
          <w:lang w:val="es-CR"/>
        </w:rPr>
        <w:t xml:space="preserve">, por lo </w:t>
      </w:r>
      <w:r w:rsidR="00227415">
        <w:rPr>
          <w:rFonts w:ascii="Verdana" w:hAnsi="Verdana"/>
          <w:sz w:val="20"/>
          <w:szCs w:val="20"/>
          <w:lang w:val="es-CR"/>
        </w:rPr>
        <w:t>que, transcurrido ese tiempo, “opera la prescripción extraordinaria”.</w:t>
      </w:r>
      <w:r w:rsidR="0051493B">
        <w:rPr>
          <w:rFonts w:ascii="Verdana" w:hAnsi="Verdana"/>
          <w:sz w:val="20"/>
          <w:szCs w:val="20"/>
          <w:lang w:val="es-CR"/>
        </w:rPr>
        <w:t xml:space="preserve"> </w:t>
      </w:r>
      <w:r w:rsidR="0077172D">
        <w:rPr>
          <w:rFonts w:ascii="Verdana" w:hAnsi="Verdana"/>
          <w:sz w:val="20"/>
          <w:szCs w:val="20"/>
          <w:lang w:val="es-CR"/>
        </w:rPr>
        <w:t xml:space="preserve">Además, </w:t>
      </w:r>
      <w:r w:rsidR="00E75E1E">
        <w:rPr>
          <w:rFonts w:ascii="Verdana" w:hAnsi="Verdana"/>
          <w:sz w:val="20"/>
          <w:szCs w:val="20"/>
          <w:lang w:val="es-CR"/>
        </w:rPr>
        <w:t xml:space="preserve">señaló </w:t>
      </w:r>
      <w:r w:rsidR="00CD7EDC">
        <w:rPr>
          <w:rFonts w:ascii="Verdana" w:hAnsi="Verdana"/>
          <w:sz w:val="20"/>
          <w:szCs w:val="20"/>
          <w:lang w:val="es-CR"/>
        </w:rPr>
        <w:t>que, “cuando</w:t>
      </w:r>
      <w:r w:rsidR="00E75E1E">
        <w:rPr>
          <w:rFonts w:ascii="Verdana" w:hAnsi="Verdana"/>
          <w:sz w:val="20"/>
          <w:szCs w:val="20"/>
          <w:lang w:val="es-CR"/>
        </w:rPr>
        <w:t xml:space="preserve"> hubiere la posibilidad de dos interpretaciones posibles, la interpretación más benigna al procesado se aplica en función del principio </w:t>
      </w:r>
      <w:r w:rsidR="00E75E1E">
        <w:rPr>
          <w:rFonts w:ascii="Verdana" w:hAnsi="Verdana"/>
          <w:i/>
          <w:iCs/>
          <w:sz w:val="20"/>
          <w:szCs w:val="20"/>
          <w:lang w:val="es-CR"/>
        </w:rPr>
        <w:t>indubio pro reo</w:t>
      </w:r>
      <w:r w:rsidR="00E75E1E">
        <w:rPr>
          <w:rFonts w:ascii="Verdana" w:hAnsi="Verdana"/>
          <w:sz w:val="20"/>
          <w:szCs w:val="20"/>
          <w:lang w:val="es-CR"/>
        </w:rPr>
        <w:t>”.</w:t>
      </w:r>
    </w:p>
    <w:p w14:paraId="1AFEC059" w14:textId="5C6CC52C" w:rsidR="00D6540E" w:rsidRPr="00D6540E" w:rsidRDefault="00D6540E" w:rsidP="00D70EB2">
      <w:pPr>
        <w:pStyle w:val="Ttulo1"/>
        <w:spacing w:before="360" w:after="240"/>
        <w:ind w:left="1066" w:hanging="357"/>
      </w:pPr>
      <w:bookmarkStart w:id="1" w:name="_Toc105592213"/>
      <w:r w:rsidRPr="00D6540E">
        <w:t>Observaciones</w:t>
      </w:r>
      <w:r>
        <w:t xml:space="preserve"> del Estado</w:t>
      </w:r>
      <w:bookmarkEnd w:id="1"/>
    </w:p>
    <w:p w14:paraId="23D882C7" w14:textId="767DAFB7" w:rsidR="00D96CDB" w:rsidRPr="00D96CDB" w:rsidRDefault="00837388" w:rsidP="007A6E9B">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 xml:space="preserve">El </w:t>
      </w:r>
      <w:r>
        <w:rPr>
          <w:rFonts w:ascii="Verdana" w:hAnsi="Verdana"/>
          <w:b/>
          <w:bCs/>
          <w:i/>
          <w:iCs/>
          <w:sz w:val="20"/>
          <w:szCs w:val="20"/>
          <w:lang w:val="es-CR"/>
        </w:rPr>
        <w:t xml:space="preserve">Estado </w:t>
      </w:r>
      <w:r w:rsidR="000B070F" w:rsidRPr="000B070F">
        <w:rPr>
          <w:rFonts w:ascii="Verdana" w:hAnsi="Verdana"/>
          <w:sz w:val="20"/>
          <w:szCs w:val="20"/>
          <w:lang w:val="es-CR"/>
        </w:rPr>
        <w:t xml:space="preserve">solicitó a la Corte </w:t>
      </w:r>
      <w:r w:rsidR="00610347">
        <w:rPr>
          <w:rFonts w:ascii="Verdana" w:hAnsi="Verdana"/>
          <w:sz w:val="20"/>
          <w:szCs w:val="20"/>
          <w:lang w:val="es-CR"/>
        </w:rPr>
        <w:t>“</w:t>
      </w:r>
      <w:r w:rsidR="000B070F" w:rsidRPr="000B070F">
        <w:rPr>
          <w:rFonts w:ascii="Verdana" w:hAnsi="Verdana"/>
          <w:sz w:val="20"/>
          <w:szCs w:val="20"/>
          <w:lang w:val="es-CR"/>
        </w:rPr>
        <w:t>declarar</w:t>
      </w:r>
      <w:r w:rsidR="000B070F">
        <w:rPr>
          <w:rFonts w:ascii="Verdana" w:hAnsi="Verdana"/>
          <w:b/>
          <w:bCs/>
          <w:i/>
          <w:iCs/>
          <w:sz w:val="20"/>
          <w:szCs w:val="20"/>
          <w:lang w:val="es-CR"/>
        </w:rPr>
        <w:t xml:space="preserve"> </w:t>
      </w:r>
      <w:r w:rsidR="009D2B03">
        <w:rPr>
          <w:rFonts w:ascii="Verdana" w:hAnsi="Verdana"/>
          <w:sz w:val="20"/>
          <w:szCs w:val="20"/>
          <w:lang w:val="es-CR"/>
        </w:rPr>
        <w:t xml:space="preserve">que […] no existe concurrencia de los tres […] requisitos” necesarios para el otorgamiento de medidas provisionales. </w:t>
      </w:r>
      <w:r w:rsidR="005D07B6">
        <w:rPr>
          <w:rFonts w:ascii="Verdana" w:hAnsi="Verdana"/>
          <w:sz w:val="20"/>
          <w:szCs w:val="20"/>
          <w:lang w:val="es-CR"/>
        </w:rPr>
        <w:t>Al respecto, s</w:t>
      </w:r>
      <w:r w:rsidR="00E34761">
        <w:rPr>
          <w:rFonts w:ascii="Verdana" w:hAnsi="Verdana"/>
          <w:sz w:val="20"/>
          <w:szCs w:val="20"/>
          <w:lang w:val="es-CR"/>
        </w:rPr>
        <w:t>eñal</w:t>
      </w:r>
      <w:r w:rsidR="00A5556E">
        <w:rPr>
          <w:rFonts w:ascii="Verdana" w:hAnsi="Verdana"/>
          <w:sz w:val="20"/>
          <w:szCs w:val="20"/>
          <w:lang w:val="es-CR"/>
        </w:rPr>
        <w:t xml:space="preserve">ó que </w:t>
      </w:r>
      <w:r w:rsidR="00052505">
        <w:rPr>
          <w:rFonts w:ascii="Verdana" w:hAnsi="Verdana"/>
          <w:sz w:val="20"/>
          <w:szCs w:val="20"/>
          <w:lang w:val="es-CR"/>
        </w:rPr>
        <w:t xml:space="preserve">la representante </w:t>
      </w:r>
      <w:r w:rsidR="001E7008">
        <w:rPr>
          <w:rFonts w:ascii="Verdana" w:hAnsi="Verdana"/>
          <w:sz w:val="20"/>
          <w:szCs w:val="20"/>
          <w:lang w:val="es-CR"/>
        </w:rPr>
        <w:t xml:space="preserve">no presentó “acervo documentario y/o argumentos que pudieran demostrar razonablemente un situación </w:t>
      </w:r>
      <w:r w:rsidR="001E7008">
        <w:rPr>
          <w:rFonts w:ascii="Verdana" w:hAnsi="Verdana"/>
          <w:i/>
          <w:iCs/>
          <w:sz w:val="20"/>
          <w:szCs w:val="20"/>
          <w:lang w:val="es-CR"/>
        </w:rPr>
        <w:t>prima facie</w:t>
      </w:r>
      <w:r w:rsidR="00953929">
        <w:rPr>
          <w:rFonts w:ascii="Verdana" w:hAnsi="Verdana"/>
          <w:sz w:val="20"/>
          <w:szCs w:val="20"/>
          <w:lang w:val="es-CR"/>
        </w:rPr>
        <w:t xml:space="preserve"> de extrema gravedad [y] urgencia[,] puesto que una supuesta violación </w:t>
      </w:r>
      <w:r w:rsidR="001531B2">
        <w:rPr>
          <w:rFonts w:ascii="Verdana" w:hAnsi="Verdana"/>
          <w:sz w:val="20"/>
          <w:szCs w:val="20"/>
          <w:lang w:val="es-CR"/>
        </w:rPr>
        <w:t xml:space="preserve">al derecho a la libertad personal no constituye </w:t>
      </w:r>
      <w:r w:rsidR="001531B2">
        <w:rPr>
          <w:rFonts w:ascii="Verdana" w:hAnsi="Verdana"/>
          <w:i/>
          <w:iCs/>
          <w:sz w:val="20"/>
          <w:szCs w:val="20"/>
          <w:lang w:val="es-CR"/>
        </w:rPr>
        <w:t>per se</w:t>
      </w:r>
      <w:r w:rsidR="001531B2">
        <w:rPr>
          <w:rFonts w:ascii="Verdana" w:hAnsi="Verdana"/>
          <w:sz w:val="20"/>
          <w:szCs w:val="20"/>
          <w:lang w:val="es-CR"/>
        </w:rPr>
        <w:t xml:space="preserve"> una situación inminente que pueda ser considerada a efectos de otorgar [m]edidas [p]rovisionales”. </w:t>
      </w:r>
      <w:r w:rsidR="00117F11">
        <w:rPr>
          <w:rFonts w:ascii="Verdana" w:hAnsi="Verdana"/>
          <w:sz w:val="20"/>
          <w:szCs w:val="20"/>
          <w:lang w:val="es-CR"/>
        </w:rPr>
        <w:t>Por otra parte</w:t>
      </w:r>
      <w:r w:rsidR="00693EE1">
        <w:rPr>
          <w:rFonts w:ascii="Verdana" w:hAnsi="Verdana"/>
          <w:sz w:val="20"/>
          <w:szCs w:val="20"/>
          <w:lang w:val="es-CR"/>
        </w:rPr>
        <w:t xml:space="preserve">, el Estado alegó que la representante </w:t>
      </w:r>
      <w:r w:rsidR="00BE04E4">
        <w:rPr>
          <w:rFonts w:ascii="Verdana" w:hAnsi="Verdana"/>
          <w:sz w:val="20"/>
          <w:szCs w:val="20"/>
          <w:lang w:val="es-CR"/>
        </w:rPr>
        <w:t xml:space="preserve">“no ha desarrollado en específico cómo se cumplirían los requisitos convencionales para el otorgamiento de la </w:t>
      </w:r>
      <w:r w:rsidR="0097715B">
        <w:rPr>
          <w:rFonts w:ascii="Verdana" w:hAnsi="Verdana"/>
          <w:sz w:val="20"/>
          <w:szCs w:val="20"/>
          <w:lang w:val="es-CR"/>
        </w:rPr>
        <w:t>M</w:t>
      </w:r>
      <w:r w:rsidR="00272B76">
        <w:rPr>
          <w:rFonts w:ascii="Verdana" w:hAnsi="Verdana"/>
          <w:sz w:val="20"/>
          <w:szCs w:val="20"/>
          <w:lang w:val="es-CR"/>
        </w:rPr>
        <w:t xml:space="preserve">edida </w:t>
      </w:r>
      <w:r w:rsidR="0097715B">
        <w:rPr>
          <w:rFonts w:ascii="Verdana" w:hAnsi="Verdana"/>
          <w:sz w:val="20"/>
          <w:szCs w:val="20"/>
          <w:lang w:val="es-CR"/>
        </w:rPr>
        <w:t>P</w:t>
      </w:r>
      <w:r w:rsidR="00272B76">
        <w:rPr>
          <w:rFonts w:ascii="Verdana" w:hAnsi="Verdana"/>
          <w:sz w:val="20"/>
          <w:szCs w:val="20"/>
          <w:lang w:val="es-CR"/>
        </w:rPr>
        <w:t>rovisional con relación a la irreparabilidad del daño”</w:t>
      </w:r>
      <w:r w:rsidR="003B495E">
        <w:rPr>
          <w:rFonts w:ascii="Verdana" w:hAnsi="Verdana"/>
          <w:sz w:val="20"/>
          <w:szCs w:val="20"/>
          <w:lang w:val="es-CR"/>
        </w:rPr>
        <w:t xml:space="preserve"> y resaltó que “la carga procesal de demostrar el </w:t>
      </w:r>
      <w:r w:rsidR="003B495E">
        <w:rPr>
          <w:rFonts w:ascii="Verdana" w:hAnsi="Verdana"/>
          <w:sz w:val="20"/>
          <w:szCs w:val="20"/>
          <w:lang w:val="es-CR"/>
        </w:rPr>
        <w:lastRenderedPageBreak/>
        <w:t>cumplimiento de dichos requisitos recae en la parte solicitante</w:t>
      </w:r>
      <w:r w:rsidR="00556E71">
        <w:rPr>
          <w:rFonts w:ascii="Verdana" w:hAnsi="Verdana"/>
          <w:sz w:val="20"/>
          <w:szCs w:val="20"/>
          <w:lang w:val="es-CR"/>
        </w:rPr>
        <w:t>”</w:t>
      </w:r>
      <w:r w:rsidR="003B495E">
        <w:rPr>
          <w:rFonts w:ascii="Verdana" w:hAnsi="Verdana"/>
          <w:sz w:val="20"/>
          <w:szCs w:val="20"/>
          <w:lang w:val="es-CR"/>
        </w:rPr>
        <w:t>.</w:t>
      </w:r>
      <w:r w:rsidR="007253A7">
        <w:rPr>
          <w:rFonts w:ascii="Verdana" w:hAnsi="Verdana"/>
          <w:sz w:val="20"/>
          <w:szCs w:val="20"/>
          <w:lang w:val="es-CR"/>
        </w:rPr>
        <w:t xml:space="preserve"> </w:t>
      </w:r>
      <w:r w:rsidR="00986FCD">
        <w:rPr>
          <w:rFonts w:ascii="Verdana" w:hAnsi="Verdana"/>
          <w:sz w:val="20"/>
          <w:szCs w:val="20"/>
          <w:lang w:val="es-CR"/>
        </w:rPr>
        <w:t xml:space="preserve">En este sentido, </w:t>
      </w:r>
      <w:r w:rsidR="00FF534D">
        <w:rPr>
          <w:rFonts w:ascii="Verdana" w:hAnsi="Verdana"/>
          <w:sz w:val="20"/>
          <w:szCs w:val="20"/>
          <w:lang w:val="es-CR"/>
        </w:rPr>
        <w:t xml:space="preserve">manifestó que la representante “se limitó a señalar que la orden de captura </w:t>
      </w:r>
      <w:r w:rsidR="005E2330">
        <w:rPr>
          <w:rFonts w:ascii="Verdana" w:hAnsi="Verdana"/>
          <w:sz w:val="20"/>
          <w:szCs w:val="20"/>
          <w:lang w:val="es-CR"/>
        </w:rPr>
        <w:t>[…] contra [la señora J.] produciría un daño irreparable en ella</w:t>
      </w:r>
      <w:r w:rsidR="00BB0BEB">
        <w:rPr>
          <w:rFonts w:ascii="Verdana" w:hAnsi="Verdana"/>
          <w:sz w:val="20"/>
          <w:szCs w:val="20"/>
          <w:lang w:val="es-CR"/>
        </w:rPr>
        <w:t xml:space="preserve">, pero no desarroll[ó] el modo en que este se materializaría”. </w:t>
      </w:r>
    </w:p>
    <w:p w14:paraId="3C3225E0" w14:textId="209B9552" w:rsidR="00D6540E" w:rsidRPr="001E2122" w:rsidRDefault="00343375" w:rsidP="007A6E9B">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Asimismo</w:t>
      </w:r>
      <w:r w:rsidR="00CE32BF">
        <w:rPr>
          <w:rFonts w:ascii="Verdana" w:hAnsi="Verdana"/>
          <w:sz w:val="20"/>
          <w:szCs w:val="20"/>
          <w:lang w:val="es-CR"/>
        </w:rPr>
        <w:t xml:space="preserve">, </w:t>
      </w:r>
      <w:r w:rsidR="00D96CDB">
        <w:rPr>
          <w:rFonts w:ascii="Verdana" w:hAnsi="Verdana"/>
          <w:sz w:val="20"/>
          <w:szCs w:val="20"/>
          <w:lang w:val="es-CR"/>
        </w:rPr>
        <w:t xml:space="preserve">el Estado </w:t>
      </w:r>
      <w:r w:rsidR="00C41485">
        <w:rPr>
          <w:rFonts w:ascii="Verdana" w:hAnsi="Verdana"/>
          <w:sz w:val="20"/>
          <w:szCs w:val="20"/>
          <w:lang w:val="es-CR"/>
        </w:rPr>
        <w:t xml:space="preserve">indicó que la solicitud no se acompaña de “documentación </w:t>
      </w:r>
      <w:r w:rsidR="00E54056">
        <w:rPr>
          <w:rFonts w:ascii="Verdana" w:hAnsi="Verdana"/>
          <w:sz w:val="20"/>
          <w:szCs w:val="20"/>
          <w:lang w:val="es-CR"/>
        </w:rPr>
        <w:t>idónea que acredite que la solicitante se haya apersonado al proceso penal, solicitando la prescripción [de] la acción penal”</w:t>
      </w:r>
      <w:r w:rsidR="00AC1FDD">
        <w:rPr>
          <w:rFonts w:ascii="Verdana" w:hAnsi="Verdana"/>
          <w:sz w:val="20"/>
          <w:szCs w:val="20"/>
          <w:lang w:val="es-CR"/>
        </w:rPr>
        <w:t xml:space="preserve">, y que la señora J. fue declarada “reo contumaz” </w:t>
      </w:r>
      <w:r w:rsidR="00F02B2C">
        <w:rPr>
          <w:rFonts w:ascii="Verdana" w:hAnsi="Verdana"/>
          <w:sz w:val="20"/>
          <w:szCs w:val="20"/>
          <w:lang w:val="es-CR"/>
        </w:rPr>
        <w:t xml:space="preserve">en el proceso penal. </w:t>
      </w:r>
      <w:r w:rsidR="0036257C">
        <w:rPr>
          <w:rFonts w:ascii="Verdana" w:hAnsi="Verdana"/>
          <w:sz w:val="20"/>
          <w:szCs w:val="20"/>
          <w:lang w:val="es-CR"/>
        </w:rPr>
        <w:t>Respecto del proceso penal seguido en contra de la señora J.</w:t>
      </w:r>
      <w:r w:rsidR="005427F6">
        <w:rPr>
          <w:rStyle w:val="Refdenotaalpie"/>
          <w:rFonts w:ascii="Verdana" w:hAnsi="Verdana"/>
          <w:sz w:val="20"/>
          <w:szCs w:val="20"/>
          <w:lang w:val="es-CR"/>
        </w:rPr>
        <w:footnoteReference w:id="13"/>
      </w:r>
      <w:r w:rsidR="00DE7AE2">
        <w:rPr>
          <w:rFonts w:ascii="Verdana" w:hAnsi="Verdana"/>
          <w:sz w:val="20"/>
          <w:szCs w:val="20"/>
          <w:lang w:val="es-CR"/>
        </w:rPr>
        <w:t xml:space="preserve">, el Estado </w:t>
      </w:r>
      <w:r w:rsidR="006268A6">
        <w:rPr>
          <w:rFonts w:ascii="Verdana" w:hAnsi="Verdana"/>
          <w:sz w:val="20"/>
          <w:szCs w:val="20"/>
          <w:lang w:val="es-CR"/>
        </w:rPr>
        <w:t xml:space="preserve">señaló que en octubre de 2019 “la Segunda Fiscalía Superior Penal Nacional </w:t>
      </w:r>
      <w:r w:rsidR="006A0228">
        <w:rPr>
          <w:rFonts w:ascii="Verdana" w:hAnsi="Verdana"/>
          <w:sz w:val="20"/>
          <w:szCs w:val="20"/>
          <w:lang w:val="es-CR"/>
        </w:rPr>
        <w:t xml:space="preserve">solicitó la suspensión de la prescripción de la acción penal, la cual fue acogida por la Sala Penal a mérito de la Ley </w:t>
      </w:r>
      <w:r w:rsidR="00DB5FC3">
        <w:rPr>
          <w:rFonts w:ascii="Verdana" w:hAnsi="Verdana"/>
          <w:sz w:val="20"/>
          <w:szCs w:val="20"/>
          <w:lang w:val="es-CR"/>
        </w:rPr>
        <w:t>N° 26641”</w:t>
      </w:r>
      <w:r w:rsidR="00DB5FC3">
        <w:rPr>
          <w:rStyle w:val="Refdenotaalpie"/>
          <w:rFonts w:ascii="Verdana" w:hAnsi="Verdana"/>
          <w:sz w:val="20"/>
          <w:szCs w:val="20"/>
          <w:lang w:val="es-CR"/>
        </w:rPr>
        <w:footnoteReference w:id="14"/>
      </w:r>
      <w:r w:rsidR="00A36766">
        <w:rPr>
          <w:rFonts w:ascii="Verdana" w:hAnsi="Verdana"/>
          <w:sz w:val="20"/>
          <w:szCs w:val="20"/>
          <w:lang w:val="es-CR"/>
        </w:rPr>
        <w:t>,</w:t>
      </w:r>
      <w:r w:rsidR="00B942A6">
        <w:rPr>
          <w:rFonts w:ascii="Verdana" w:hAnsi="Verdana"/>
          <w:sz w:val="20"/>
          <w:szCs w:val="20"/>
          <w:lang w:val="es-CR"/>
        </w:rPr>
        <w:t xml:space="preserve"> declarando “fundada la solicitud de suspensión del plazo prescriptorio</w:t>
      </w:r>
      <w:r w:rsidR="00C71FE4">
        <w:rPr>
          <w:rFonts w:ascii="Verdana" w:hAnsi="Verdana"/>
          <w:sz w:val="20"/>
          <w:szCs w:val="20"/>
          <w:lang w:val="es-CR"/>
        </w:rPr>
        <w:t xml:space="preserve"> […] desde el 29 de octubre de 2007 al 29 de octubre de 2010”. </w:t>
      </w:r>
      <w:r w:rsidR="00C910E9">
        <w:rPr>
          <w:rFonts w:ascii="Verdana" w:hAnsi="Verdana"/>
          <w:sz w:val="20"/>
          <w:szCs w:val="20"/>
          <w:lang w:val="es-CR"/>
        </w:rPr>
        <w:t>Por esta razón, concluyó que “los plazos aún no han pre</w:t>
      </w:r>
      <w:r w:rsidR="001A3854">
        <w:rPr>
          <w:rFonts w:ascii="Verdana" w:hAnsi="Verdana"/>
          <w:sz w:val="20"/>
          <w:szCs w:val="20"/>
          <w:lang w:val="es-CR"/>
        </w:rPr>
        <w:t>s</w:t>
      </w:r>
      <w:r w:rsidR="00C910E9">
        <w:rPr>
          <w:rFonts w:ascii="Verdana" w:hAnsi="Verdana"/>
          <w:sz w:val="20"/>
          <w:szCs w:val="20"/>
          <w:lang w:val="es-CR"/>
        </w:rPr>
        <w:t>crito”</w:t>
      </w:r>
      <w:r w:rsidR="001A3854">
        <w:rPr>
          <w:rFonts w:ascii="Verdana" w:hAnsi="Verdana"/>
          <w:sz w:val="20"/>
          <w:szCs w:val="20"/>
          <w:lang w:val="es-CR"/>
        </w:rPr>
        <w:t>.</w:t>
      </w:r>
      <w:r w:rsidR="00480BE0">
        <w:rPr>
          <w:rFonts w:ascii="Verdana" w:hAnsi="Verdana"/>
          <w:sz w:val="20"/>
          <w:szCs w:val="20"/>
          <w:lang w:val="es-CR"/>
        </w:rPr>
        <w:t xml:space="preserve"> Sobre este punto, señaló que “la evaluación sobre la prescripción ordinaria y extraordinaria a fin de extinguir la acción penal corresponde a los órganos del derecho interno peruano”.</w:t>
      </w:r>
    </w:p>
    <w:p w14:paraId="27EF07C3" w14:textId="4F65CF88" w:rsidR="001E2122" w:rsidRDefault="00FF402E" w:rsidP="007A6E9B">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Perú</w:t>
      </w:r>
      <w:r w:rsidR="0090673B">
        <w:rPr>
          <w:rFonts w:ascii="Verdana" w:hAnsi="Verdana"/>
          <w:sz w:val="20"/>
          <w:szCs w:val="20"/>
          <w:lang w:val="es-CR"/>
        </w:rPr>
        <w:t xml:space="preserve"> además solicitó al Tribunal que “tome en cuenta la complementariedad del Sistema Interamericano</w:t>
      </w:r>
      <w:r>
        <w:rPr>
          <w:rFonts w:ascii="Verdana" w:hAnsi="Verdana"/>
          <w:sz w:val="20"/>
          <w:szCs w:val="20"/>
          <w:lang w:val="es-CR"/>
        </w:rPr>
        <w:t xml:space="preserve">[, s]obre todo, al tratarse […] del análisis técnico jurídico de una situación propia del </w:t>
      </w:r>
      <w:r>
        <w:rPr>
          <w:rFonts w:ascii="Verdana" w:hAnsi="Verdana"/>
          <w:i/>
          <w:iCs/>
          <w:sz w:val="20"/>
          <w:szCs w:val="20"/>
          <w:lang w:val="es-CR"/>
        </w:rPr>
        <w:t xml:space="preserve">ius puniendi </w:t>
      </w:r>
      <w:r>
        <w:rPr>
          <w:rFonts w:ascii="Verdana" w:hAnsi="Verdana"/>
          <w:sz w:val="20"/>
          <w:szCs w:val="20"/>
          <w:lang w:val="es-CR"/>
        </w:rPr>
        <w:t xml:space="preserve">que ejerce el Estado”. </w:t>
      </w:r>
      <w:r w:rsidR="00550932">
        <w:rPr>
          <w:rFonts w:ascii="Verdana" w:hAnsi="Verdana"/>
          <w:sz w:val="20"/>
          <w:szCs w:val="20"/>
          <w:lang w:val="es-CR"/>
        </w:rPr>
        <w:t xml:space="preserve">Aunado a ello, consideró que “el cumplimiento de las reparaciones derivadas de la Sentencia […] corresponde analizarlo en la etapa de </w:t>
      </w:r>
      <w:r w:rsidR="0097715B">
        <w:rPr>
          <w:rFonts w:ascii="Verdana" w:hAnsi="Verdana"/>
          <w:sz w:val="20"/>
          <w:szCs w:val="20"/>
          <w:lang w:val="es-CR"/>
        </w:rPr>
        <w:t>S</w:t>
      </w:r>
      <w:r w:rsidR="00550932">
        <w:rPr>
          <w:rFonts w:ascii="Verdana" w:hAnsi="Verdana"/>
          <w:sz w:val="20"/>
          <w:szCs w:val="20"/>
          <w:lang w:val="es-CR"/>
        </w:rPr>
        <w:t xml:space="preserve">upervisión de </w:t>
      </w:r>
      <w:r w:rsidR="0097715B">
        <w:rPr>
          <w:rFonts w:ascii="Verdana" w:hAnsi="Verdana"/>
          <w:sz w:val="20"/>
          <w:szCs w:val="20"/>
          <w:lang w:val="es-CR"/>
        </w:rPr>
        <w:t>C</w:t>
      </w:r>
      <w:r w:rsidR="00550932">
        <w:rPr>
          <w:rFonts w:ascii="Verdana" w:hAnsi="Verdana"/>
          <w:sz w:val="20"/>
          <w:szCs w:val="20"/>
          <w:lang w:val="es-CR"/>
        </w:rPr>
        <w:t xml:space="preserve">umplimiento de Sentencia y no a través del mecanismo de </w:t>
      </w:r>
      <w:r w:rsidR="0097715B">
        <w:rPr>
          <w:rFonts w:ascii="Verdana" w:hAnsi="Verdana"/>
          <w:sz w:val="20"/>
          <w:szCs w:val="20"/>
          <w:lang w:val="es-CR"/>
        </w:rPr>
        <w:t>M</w:t>
      </w:r>
      <w:r w:rsidR="00550932">
        <w:rPr>
          <w:rFonts w:ascii="Verdana" w:hAnsi="Verdana"/>
          <w:sz w:val="20"/>
          <w:szCs w:val="20"/>
          <w:lang w:val="es-CR"/>
        </w:rPr>
        <w:t xml:space="preserve">edidas </w:t>
      </w:r>
      <w:r w:rsidR="0097715B">
        <w:rPr>
          <w:rFonts w:ascii="Verdana" w:hAnsi="Verdana"/>
          <w:sz w:val="20"/>
          <w:szCs w:val="20"/>
          <w:lang w:val="es-CR"/>
        </w:rPr>
        <w:t>P</w:t>
      </w:r>
      <w:r w:rsidR="00550932">
        <w:rPr>
          <w:rFonts w:ascii="Verdana" w:hAnsi="Verdana"/>
          <w:sz w:val="20"/>
          <w:szCs w:val="20"/>
          <w:lang w:val="es-CR"/>
        </w:rPr>
        <w:t>rovisional</w:t>
      </w:r>
      <w:r w:rsidR="00BC4AA0">
        <w:rPr>
          <w:rFonts w:ascii="Verdana" w:hAnsi="Verdana"/>
          <w:sz w:val="20"/>
          <w:szCs w:val="20"/>
          <w:lang w:val="es-CR"/>
        </w:rPr>
        <w:t>es”.</w:t>
      </w:r>
    </w:p>
    <w:p w14:paraId="6FD0A8DD" w14:textId="5886F19E" w:rsidR="00D6540E" w:rsidRDefault="00D6540E" w:rsidP="00D70EB2">
      <w:pPr>
        <w:pStyle w:val="Ttulo1"/>
        <w:spacing w:before="360" w:after="240"/>
        <w:ind w:left="1066" w:hanging="357"/>
      </w:pPr>
      <w:bookmarkStart w:id="2" w:name="_Toc105592214"/>
      <w:r>
        <w:t>Consideraciones de la Corte respecto de la solicitud de medidas provisionales</w:t>
      </w:r>
      <w:bookmarkEnd w:id="2"/>
    </w:p>
    <w:p w14:paraId="3BEC678A" w14:textId="067B1163" w:rsidR="00D6540E" w:rsidRPr="007A6E9B" w:rsidRDefault="00D6540E" w:rsidP="007A6E9B">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 xml:space="preserve">El </w:t>
      </w:r>
      <w:r w:rsidRPr="00D6540E">
        <w:rPr>
          <w:rFonts w:ascii="Verdana" w:hAnsi="Verdana"/>
          <w:sz w:val="20"/>
          <w:szCs w:val="20"/>
          <w:lang w:val="es-CR"/>
        </w:rPr>
        <w:t>artículo 63.2 de la Convención Americana sobre Derechos Humanos dispone, en lo relevante, que “[e]n casos de extrema gravedad y urgencia, y cuando se haga necesario evitar daños irreparables a las personas, la Corte, en los asuntos que esté conociendo, podrá tomar las medidas provisionales que considere pertinentes”.</w:t>
      </w:r>
    </w:p>
    <w:p w14:paraId="090A4F83" w14:textId="6D589DB4" w:rsidR="00D21F2C" w:rsidRPr="003904BB" w:rsidRDefault="00D6540E" w:rsidP="003904BB">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 xml:space="preserve">En el </w:t>
      </w:r>
      <w:r w:rsidRPr="00D6540E">
        <w:rPr>
          <w:rFonts w:ascii="Verdana" w:hAnsi="Verdana"/>
          <w:sz w:val="20"/>
          <w:szCs w:val="20"/>
          <w:lang w:val="es-CR"/>
        </w:rPr>
        <w:t>Derecho Internacional de los Derechos Humanos las medidas provisionales tienen un carácter no sólo cautelar, en el sentido de que preservan una situación jurídica, sino fundamentalmente tutelar por cuanto protegen derechos humanos y en la medida que buscan evitar daños irreparables a las personas. Éstas se aplican siempre y cuando se reúnan los requisitos básicos de extrema gravedad y urgencia y de la prevención de daños irreparables a las personas. De esta manera, las medidas provisionales se transforman en una verdadera garantía jurisdiccional de carácter preventivo</w:t>
      </w:r>
      <w:r>
        <w:rPr>
          <w:rStyle w:val="Refdenotaalpie"/>
          <w:rFonts w:ascii="Verdana" w:hAnsi="Verdana"/>
          <w:sz w:val="20"/>
          <w:szCs w:val="20"/>
          <w:lang w:val="es-CR"/>
        </w:rPr>
        <w:footnoteReference w:id="15"/>
      </w:r>
      <w:r w:rsidR="00D21F2C">
        <w:rPr>
          <w:rFonts w:ascii="Verdana" w:hAnsi="Verdana"/>
          <w:sz w:val="20"/>
          <w:szCs w:val="20"/>
          <w:lang w:val="es-CR"/>
        </w:rPr>
        <w:t>.</w:t>
      </w:r>
    </w:p>
    <w:p w14:paraId="137F4E47" w14:textId="714F5E01" w:rsidR="007A6E9B" w:rsidRPr="003904BB" w:rsidRDefault="00D21F2C" w:rsidP="003904BB">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 xml:space="preserve">Asimismo, el artículo 27.3 del Reglamento del Tribunal establece que “[e]n los casos contenciosos que se encuentren en conocimiento de la Corte, las víctimas o las presuntas </w:t>
      </w:r>
      <w:r>
        <w:rPr>
          <w:rFonts w:ascii="Verdana" w:hAnsi="Verdana"/>
          <w:sz w:val="20"/>
          <w:szCs w:val="20"/>
          <w:lang w:val="es-CR"/>
        </w:rPr>
        <w:lastRenderedPageBreak/>
        <w:t>víctimas, o sus representantes, podrán presentar directamente a ésta una solicitud de medidas provisionales, las que deberán tener relación con el objeto del caso”</w:t>
      </w:r>
      <w:r>
        <w:rPr>
          <w:rStyle w:val="Refdenotaalpie"/>
          <w:rFonts w:ascii="Verdana" w:hAnsi="Verdana"/>
          <w:sz w:val="20"/>
          <w:szCs w:val="20"/>
          <w:lang w:val="es-CR"/>
        </w:rPr>
        <w:footnoteReference w:id="16"/>
      </w:r>
      <w:r>
        <w:rPr>
          <w:rFonts w:ascii="Verdana" w:hAnsi="Verdana"/>
          <w:sz w:val="20"/>
          <w:szCs w:val="20"/>
          <w:lang w:val="es-CR"/>
        </w:rPr>
        <w:t>.</w:t>
      </w:r>
    </w:p>
    <w:p w14:paraId="0801FBB5" w14:textId="42153655" w:rsidR="007A6E9B" w:rsidRDefault="003904BB" w:rsidP="007A6E9B">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 xml:space="preserve">La solicitud de medidas provisionales fue presentada por la representante de la víctima del caso </w:t>
      </w:r>
      <w:r>
        <w:rPr>
          <w:rFonts w:ascii="Verdana" w:hAnsi="Verdana"/>
          <w:i/>
          <w:iCs/>
          <w:sz w:val="20"/>
          <w:szCs w:val="20"/>
          <w:lang w:val="es-CR"/>
        </w:rPr>
        <w:t>J.</w:t>
      </w:r>
      <w:r>
        <w:rPr>
          <w:rFonts w:ascii="Verdana" w:hAnsi="Verdana"/>
          <w:sz w:val="20"/>
          <w:szCs w:val="20"/>
          <w:lang w:val="es-CR"/>
        </w:rPr>
        <w:t xml:space="preserve">, el cual se encuentra actualmente en etapa de supervisión de cumplimiento de Sentencia, por lo que se cumple con lo requerido en dicho artículo 27.3 del Reglamento en lo que respecta a la legitimación para presentar la solicitud. </w:t>
      </w:r>
    </w:p>
    <w:p w14:paraId="280F6B29" w14:textId="59AA618D" w:rsidR="0094145B" w:rsidRDefault="003904BB" w:rsidP="007A6E9B">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 xml:space="preserve">Con esta solicitud, la representante busca proteger </w:t>
      </w:r>
      <w:r w:rsidR="003C7F07">
        <w:rPr>
          <w:rFonts w:ascii="Verdana" w:hAnsi="Verdana"/>
          <w:sz w:val="20"/>
          <w:szCs w:val="20"/>
          <w:lang w:val="es-CR"/>
        </w:rPr>
        <w:t xml:space="preserve">el derecho </w:t>
      </w:r>
      <w:r>
        <w:rPr>
          <w:rFonts w:ascii="Verdana" w:hAnsi="Verdana"/>
          <w:sz w:val="20"/>
          <w:szCs w:val="20"/>
          <w:lang w:val="es-CR"/>
        </w:rPr>
        <w:t xml:space="preserve">de la señora J. </w:t>
      </w:r>
      <w:r w:rsidR="003C7F07">
        <w:rPr>
          <w:rFonts w:ascii="Verdana" w:hAnsi="Verdana"/>
          <w:sz w:val="20"/>
          <w:szCs w:val="20"/>
          <w:lang w:val="es-CR"/>
        </w:rPr>
        <w:t>“a la libertad personal y al debido proceso”</w:t>
      </w:r>
      <w:r w:rsidR="00B92D06">
        <w:rPr>
          <w:rFonts w:ascii="Verdana" w:hAnsi="Verdana"/>
          <w:sz w:val="20"/>
          <w:szCs w:val="20"/>
          <w:lang w:val="es-CR"/>
        </w:rPr>
        <w:t xml:space="preserve"> (</w:t>
      </w:r>
      <w:r w:rsidR="00B92D06">
        <w:rPr>
          <w:rFonts w:ascii="Verdana" w:hAnsi="Verdana"/>
          <w:i/>
          <w:iCs/>
          <w:sz w:val="20"/>
          <w:szCs w:val="20"/>
          <w:lang w:val="es-CR"/>
        </w:rPr>
        <w:t xml:space="preserve">supra </w:t>
      </w:r>
      <w:r w:rsidR="00B92D06">
        <w:rPr>
          <w:rFonts w:ascii="Verdana" w:hAnsi="Verdana"/>
          <w:sz w:val="20"/>
          <w:szCs w:val="20"/>
          <w:lang w:val="es-CR"/>
        </w:rPr>
        <w:t xml:space="preserve">Considerando </w:t>
      </w:r>
      <w:r w:rsidR="008706A7">
        <w:rPr>
          <w:rFonts w:ascii="Verdana" w:hAnsi="Verdana"/>
          <w:sz w:val="20"/>
          <w:szCs w:val="20"/>
          <w:lang w:val="es-CR"/>
        </w:rPr>
        <w:t>3</w:t>
      </w:r>
      <w:r w:rsidR="00B92D06">
        <w:rPr>
          <w:rFonts w:ascii="Verdana" w:hAnsi="Verdana"/>
          <w:sz w:val="20"/>
          <w:szCs w:val="20"/>
          <w:lang w:val="es-CR"/>
        </w:rPr>
        <w:t>)</w:t>
      </w:r>
      <w:r w:rsidR="007F5BC2">
        <w:rPr>
          <w:rFonts w:ascii="Verdana" w:hAnsi="Verdana"/>
          <w:sz w:val="20"/>
          <w:szCs w:val="20"/>
          <w:lang w:val="es-CR"/>
        </w:rPr>
        <w:t xml:space="preserve"> en el marco de</w:t>
      </w:r>
      <w:r w:rsidR="001C50E3">
        <w:rPr>
          <w:rFonts w:ascii="Verdana" w:hAnsi="Verdana"/>
          <w:sz w:val="20"/>
          <w:szCs w:val="20"/>
          <w:lang w:val="es-CR"/>
        </w:rPr>
        <w:t xml:space="preserve">l proceso penal </w:t>
      </w:r>
      <w:r w:rsidR="008A555A">
        <w:rPr>
          <w:rFonts w:ascii="Verdana" w:hAnsi="Verdana"/>
          <w:sz w:val="20"/>
          <w:szCs w:val="20"/>
          <w:lang w:val="es-CR"/>
        </w:rPr>
        <w:t>que se sigue</w:t>
      </w:r>
      <w:r w:rsidR="001C50E3">
        <w:rPr>
          <w:rFonts w:ascii="Verdana" w:hAnsi="Verdana"/>
          <w:sz w:val="20"/>
          <w:szCs w:val="20"/>
          <w:lang w:val="es-CR"/>
        </w:rPr>
        <w:t xml:space="preserve"> en su contra</w:t>
      </w:r>
      <w:r w:rsidR="0043649C">
        <w:rPr>
          <w:rFonts w:ascii="Verdana" w:hAnsi="Verdana"/>
          <w:sz w:val="20"/>
          <w:szCs w:val="20"/>
          <w:lang w:val="es-CR"/>
        </w:rPr>
        <w:t xml:space="preserve">, respecto del cual la Corte </w:t>
      </w:r>
      <w:r w:rsidR="007F7FD1">
        <w:rPr>
          <w:rFonts w:ascii="Verdana" w:hAnsi="Verdana"/>
          <w:sz w:val="20"/>
          <w:szCs w:val="20"/>
          <w:lang w:val="es-CR"/>
        </w:rPr>
        <w:t xml:space="preserve">dispuso </w:t>
      </w:r>
      <w:r w:rsidR="009F4455">
        <w:rPr>
          <w:rFonts w:ascii="Verdana" w:hAnsi="Verdana"/>
          <w:sz w:val="20"/>
          <w:szCs w:val="20"/>
          <w:lang w:val="es-CR"/>
        </w:rPr>
        <w:t xml:space="preserve">una medida </w:t>
      </w:r>
      <w:r w:rsidR="007F7FD1">
        <w:rPr>
          <w:rFonts w:ascii="Verdana" w:hAnsi="Verdana"/>
          <w:sz w:val="20"/>
          <w:szCs w:val="20"/>
          <w:lang w:val="es-CR"/>
        </w:rPr>
        <w:t>en el punto resolutivo décimo octavo de la Sentencia</w:t>
      </w:r>
      <w:r w:rsidR="009F4455">
        <w:rPr>
          <w:rFonts w:ascii="Verdana" w:hAnsi="Verdana"/>
          <w:sz w:val="20"/>
          <w:szCs w:val="20"/>
          <w:lang w:val="es-CR"/>
        </w:rPr>
        <w:t xml:space="preserve"> </w:t>
      </w:r>
      <w:r w:rsidR="009F4455" w:rsidRPr="0097715B">
        <w:rPr>
          <w:rFonts w:ascii="Verdana" w:hAnsi="Verdana"/>
          <w:i/>
          <w:iCs/>
          <w:sz w:val="20"/>
          <w:szCs w:val="20"/>
          <w:lang w:val="es-CR"/>
        </w:rPr>
        <w:t xml:space="preserve">(supra </w:t>
      </w:r>
      <w:r w:rsidR="009F4455">
        <w:rPr>
          <w:rFonts w:ascii="Verdana" w:hAnsi="Verdana"/>
          <w:sz w:val="20"/>
          <w:szCs w:val="20"/>
          <w:lang w:val="es-CR"/>
        </w:rPr>
        <w:t>Considerando 1)</w:t>
      </w:r>
      <w:r w:rsidR="008A2A32">
        <w:rPr>
          <w:rFonts w:ascii="Verdana" w:hAnsi="Verdana"/>
          <w:sz w:val="20"/>
          <w:szCs w:val="20"/>
          <w:lang w:val="es-CR"/>
        </w:rPr>
        <w:t>.</w:t>
      </w:r>
      <w:r w:rsidR="00525504">
        <w:rPr>
          <w:rFonts w:ascii="Verdana" w:hAnsi="Verdana"/>
          <w:sz w:val="20"/>
          <w:szCs w:val="20"/>
          <w:lang w:val="es-CR"/>
        </w:rPr>
        <w:t xml:space="preserve"> </w:t>
      </w:r>
      <w:r w:rsidR="006B73D6">
        <w:rPr>
          <w:rFonts w:ascii="Verdana" w:hAnsi="Verdana"/>
          <w:sz w:val="20"/>
          <w:szCs w:val="20"/>
          <w:lang w:val="es-CR"/>
        </w:rPr>
        <w:t>L</w:t>
      </w:r>
      <w:r w:rsidR="00525504">
        <w:rPr>
          <w:rFonts w:ascii="Verdana" w:hAnsi="Verdana"/>
          <w:sz w:val="20"/>
          <w:szCs w:val="20"/>
          <w:lang w:val="es-CR"/>
        </w:rPr>
        <w:t>a representante</w:t>
      </w:r>
      <w:r w:rsidR="006B73D6">
        <w:rPr>
          <w:rFonts w:ascii="Verdana" w:hAnsi="Verdana"/>
          <w:sz w:val="20"/>
          <w:szCs w:val="20"/>
          <w:lang w:val="es-CR"/>
        </w:rPr>
        <w:t xml:space="preserve"> </w:t>
      </w:r>
      <w:r w:rsidR="000560D6">
        <w:rPr>
          <w:rFonts w:ascii="Verdana" w:hAnsi="Verdana"/>
          <w:sz w:val="20"/>
          <w:szCs w:val="20"/>
          <w:lang w:val="es-CR"/>
        </w:rPr>
        <w:t xml:space="preserve">solicitó a </w:t>
      </w:r>
      <w:r w:rsidR="00857C78">
        <w:rPr>
          <w:rFonts w:ascii="Verdana" w:hAnsi="Verdana"/>
          <w:sz w:val="20"/>
          <w:szCs w:val="20"/>
          <w:lang w:val="es-CR"/>
        </w:rPr>
        <w:t>la Corte resolver que se ha extinguido la acción penal</w:t>
      </w:r>
      <w:r w:rsidR="006B73D6">
        <w:rPr>
          <w:rFonts w:ascii="Verdana" w:hAnsi="Verdana"/>
          <w:sz w:val="20"/>
          <w:szCs w:val="20"/>
          <w:lang w:val="es-CR"/>
        </w:rPr>
        <w:t xml:space="preserve"> por prescripción</w:t>
      </w:r>
      <w:r w:rsidR="00925106">
        <w:rPr>
          <w:rFonts w:ascii="Verdana" w:hAnsi="Verdana"/>
          <w:sz w:val="20"/>
          <w:szCs w:val="20"/>
          <w:lang w:val="es-CR"/>
        </w:rPr>
        <w:t xml:space="preserve">, </w:t>
      </w:r>
      <w:r w:rsidR="006B73D6">
        <w:rPr>
          <w:rFonts w:ascii="Verdana" w:hAnsi="Verdana"/>
          <w:sz w:val="20"/>
          <w:szCs w:val="20"/>
          <w:lang w:val="es-CR"/>
        </w:rPr>
        <w:t xml:space="preserve">y </w:t>
      </w:r>
      <w:r w:rsidR="00925106">
        <w:rPr>
          <w:rFonts w:ascii="Verdana" w:hAnsi="Verdana"/>
          <w:sz w:val="20"/>
          <w:szCs w:val="20"/>
          <w:lang w:val="es-CR"/>
        </w:rPr>
        <w:t>orden</w:t>
      </w:r>
      <w:r w:rsidR="006B73D6">
        <w:rPr>
          <w:rFonts w:ascii="Verdana" w:hAnsi="Verdana"/>
          <w:sz w:val="20"/>
          <w:szCs w:val="20"/>
          <w:lang w:val="es-CR"/>
        </w:rPr>
        <w:t>ar</w:t>
      </w:r>
      <w:r w:rsidR="00925106">
        <w:rPr>
          <w:rFonts w:ascii="Verdana" w:hAnsi="Verdana"/>
          <w:sz w:val="20"/>
          <w:szCs w:val="20"/>
          <w:lang w:val="es-CR"/>
        </w:rPr>
        <w:t xml:space="preserve"> al Estado dejar sin efecto la orden de arresto existente en contra de J.</w:t>
      </w:r>
      <w:r w:rsidR="004042D6">
        <w:rPr>
          <w:rFonts w:ascii="Verdana" w:hAnsi="Verdana"/>
          <w:sz w:val="20"/>
          <w:szCs w:val="20"/>
          <w:lang w:val="es-CR"/>
        </w:rPr>
        <w:t xml:space="preserve"> </w:t>
      </w:r>
      <w:r w:rsidR="00236D2F">
        <w:rPr>
          <w:rFonts w:ascii="Verdana" w:hAnsi="Verdana"/>
          <w:sz w:val="20"/>
          <w:szCs w:val="20"/>
          <w:lang w:val="es-CR"/>
        </w:rPr>
        <w:t>y archiva</w:t>
      </w:r>
      <w:r w:rsidR="006B73D6">
        <w:rPr>
          <w:rFonts w:ascii="Verdana" w:hAnsi="Verdana"/>
          <w:sz w:val="20"/>
          <w:szCs w:val="20"/>
          <w:lang w:val="es-CR"/>
        </w:rPr>
        <w:t>r</w:t>
      </w:r>
      <w:r w:rsidR="00236D2F">
        <w:rPr>
          <w:rFonts w:ascii="Verdana" w:hAnsi="Verdana"/>
          <w:sz w:val="20"/>
          <w:szCs w:val="20"/>
          <w:lang w:val="es-CR"/>
        </w:rPr>
        <w:t xml:space="preserve"> el proceso penal</w:t>
      </w:r>
      <w:r w:rsidR="005E758E">
        <w:rPr>
          <w:rFonts w:ascii="Verdana" w:hAnsi="Verdana"/>
          <w:sz w:val="20"/>
          <w:szCs w:val="20"/>
          <w:lang w:val="es-CR"/>
        </w:rPr>
        <w:t xml:space="preserve"> (</w:t>
      </w:r>
      <w:r w:rsidR="005E758E">
        <w:rPr>
          <w:rFonts w:ascii="Verdana" w:hAnsi="Verdana"/>
          <w:i/>
          <w:iCs/>
          <w:sz w:val="20"/>
          <w:szCs w:val="20"/>
          <w:lang w:val="es-CR"/>
        </w:rPr>
        <w:t xml:space="preserve">supra </w:t>
      </w:r>
      <w:r w:rsidR="005E758E">
        <w:rPr>
          <w:rFonts w:ascii="Verdana" w:hAnsi="Verdana"/>
          <w:sz w:val="20"/>
          <w:szCs w:val="20"/>
          <w:lang w:val="es-CR"/>
        </w:rPr>
        <w:t xml:space="preserve">Considerando </w:t>
      </w:r>
      <w:r w:rsidR="008706A7">
        <w:rPr>
          <w:rFonts w:ascii="Verdana" w:hAnsi="Verdana"/>
          <w:sz w:val="20"/>
          <w:szCs w:val="20"/>
          <w:lang w:val="es-CR"/>
        </w:rPr>
        <w:t>3</w:t>
      </w:r>
      <w:r w:rsidR="005E758E">
        <w:rPr>
          <w:rFonts w:ascii="Verdana" w:hAnsi="Verdana"/>
          <w:sz w:val="20"/>
          <w:szCs w:val="20"/>
          <w:lang w:val="es-CR"/>
        </w:rPr>
        <w:t>).</w:t>
      </w:r>
    </w:p>
    <w:p w14:paraId="6ABF12E2" w14:textId="1CB00CE3" w:rsidR="008B1F4E" w:rsidRDefault="008B1F4E" w:rsidP="007A6E9B">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La</w:t>
      </w:r>
      <w:r w:rsidR="0096306A">
        <w:rPr>
          <w:rFonts w:ascii="Verdana" w:hAnsi="Verdana"/>
          <w:sz w:val="20"/>
          <w:szCs w:val="20"/>
          <w:lang w:val="es-CR"/>
        </w:rPr>
        <w:t xml:space="preserve"> Corte ha considerado como regla general que la valoración</w:t>
      </w:r>
      <w:r w:rsidR="00C860F2">
        <w:rPr>
          <w:rFonts w:ascii="Verdana" w:hAnsi="Verdana"/>
          <w:sz w:val="20"/>
          <w:szCs w:val="20"/>
          <w:lang w:val="es-CR"/>
        </w:rPr>
        <w:t xml:space="preserve"> de información relacionada con el cumplimiento de medidas de reparación ordenadas en las Sentencias debe ser evaluada en el marco de la supervisión de cumplimiento de Sentencia</w:t>
      </w:r>
      <w:r w:rsidR="00FB4D37">
        <w:rPr>
          <w:rStyle w:val="Refdenotaalpie"/>
          <w:rFonts w:ascii="Verdana" w:hAnsi="Verdana"/>
          <w:sz w:val="20"/>
          <w:szCs w:val="20"/>
          <w:lang w:val="es-CR"/>
        </w:rPr>
        <w:footnoteReference w:id="17"/>
      </w:r>
      <w:r w:rsidR="00FB4D37">
        <w:rPr>
          <w:rFonts w:ascii="Verdana" w:hAnsi="Verdana"/>
          <w:sz w:val="20"/>
          <w:szCs w:val="20"/>
          <w:lang w:val="es-CR"/>
        </w:rPr>
        <w:t>.</w:t>
      </w:r>
      <w:r w:rsidR="007E6AAA">
        <w:rPr>
          <w:rFonts w:ascii="Verdana" w:hAnsi="Verdana"/>
          <w:sz w:val="20"/>
          <w:szCs w:val="20"/>
          <w:lang w:val="es-CR"/>
        </w:rPr>
        <w:t xml:space="preserve"> Sin embargo, de forma excepcional</w:t>
      </w:r>
      <w:r w:rsidR="00AC077F">
        <w:rPr>
          <w:rFonts w:ascii="Verdana" w:hAnsi="Verdana"/>
          <w:sz w:val="20"/>
          <w:szCs w:val="20"/>
          <w:lang w:val="es-CR"/>
        </w:rPr>
        <w:t xml:space="preserve"> ha analizado si se configuran los requisitos para adoptar las medidas provisionales ante condiciones de particular gravedad cuando guardan relación con la Sentencia</w:t>
      </w:r>
      <w:r w:rsidR="00DB045E">
        <w:rPr>
          <w:rStyle w:val="Refdenotaalpie"/>
          <w:rFonts w:ascii="Verdana" w:hAnsi="Verdana"/>
          <w:sz w:val="20"/>
          <w:szCs w:val="20"/>
          <w:lang w:val="es-CR"/>
        </w:rPr>
        <w:footnoteReference w:id="18"/>
      </w:r>
      <w:r w:rsidR="000F0892">
        <w:rPr>
          <w:rFonts w:ascii="Verdana" w:hAnsi="Verdana"/>
          <w:sz w:val="20"/>
          <w:szCs w:val="20"/>
          <w:lang w:val="es-CR"/>
        </w:rPr>
        <w:t>.</w:t>
      </w:r>
    </w:p>
    <w:p w14:paraId="0AD166FE" w14:textId="084DB8F3" w:rsidR="000F0892" w:rsidRDefault="003E4749" w:rsidP="00C82E58">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sidRPr="003E4749">
        <w:rPr>
          <w:rFonts w:ascii="Verdana" w:hAnsi="Verdana"/>
          <w:sz w:val="20"/>
          <w:szCs w:val="20"/>
          <w:lang w:val="es-CR"/>
        </w:rPr>
        <w:t>Este Tribunal observa que lo solicitado por la representante está estrechamente vinculado con la medida de reparación ordenada en el punto resolutivo décimo octavo de la Sentencia y con los criterios establecidos en la misma que deben ser observados por el Estado en su implementación (</w:t>
      </w:r>
      <w:r w:rsidRPr="003E4749">
        <w:rPr>
          <w:rFonts w:ascii="Verdana" w:hAnsi="Verdana"/>
          <w:i/>
          <w:iCs/>
          <w:sz w:val="20"/>
          <w:szCs w:val="20"/>
          <w:lang w:val="es-CR"/>
        </w:rPr>
        <w:t xml:space="preserve">supra </w:t>
      </w:r>
      <w:r w:rsidRPr="003E4749">
        <w:rPr>
          <w:rFonts w:ascii="Verdana" w:hAnsi="Verdana"/>
          <w:sz w:val="20"/>
          <w:szCs w:val="20"/>
          <w:lang w:val="es-CR"/>
        </w:rPr>
        <w:t xml:space="preserve">Considerando </w:t>
      </w:r>
      <w:r w:rsidR="00477170">
        <w:rPr>
          <w:rFonts w:ascii="Verdana" w:hAnsi="Verdana"/>
          <w:sz w:val="20"/>
          <w:szCs w:val="20"/>
          <w:lang w:val="es-CR"/>
        </w:rPr>
        <w:t>1</w:t>
      </w:r>
      <w:r w:rsidRPr="003E4749">
        <w:rPr>
          <w:rFonts w:ascii="Verdana" w:hAnsi="Verdana"/>
          <w:sz w:val="20"/>
          <w:szCs w:val="20"/>
          <w:lang w:val="es-CR"/>
        </w:rPr>
        <w:t>).</w:t>
      </w:r>
      <w:r w:rsidR="008B43E4">
        <w:rPr>
          <w:rFonts w:ascii="Verdana" w:hAnsi="Verdana"/>
          <w:sz w:val="20"/>
          <w:szCs w:val="20"/>
          <w:lang w:val="es-CR"/>
        </w:rPr>
        <w:t xml:space="preserve"> </w:t>
      </w:r>
      <w:r w:rsidR="00C82E58">
        <w:rPr>
          <w:rFonts w:ascii="Verdana" w:hAnsi="Verdana"/>
          <w:sz w:val="20"/>
          <w:szCs w:val="20"/>
          <w:lang w:val="es-CR"/>
        </w:rPr>
        <w:t>L</w:t>
      </w:r>
      <w:r>
        <w:rPr>
          <w:rFonts w:ascii="Verdana" w:hAnsi="Verdana"/>
          <w:sz w:val="20"/>
          <w:szCs w:val="20"/>
          <w:lang w:val="es-CR"/>
        </w:rPr>
        <w:t>a Corte</w:t>
      </w:r>
      <w:r w:rsidR="000F0892" w:rsidRPr="003E4749">
        <w:rPr>
          <w:rFonts w:ascii="Verdana" w:hAnsi="Verdana"/>
          <w:sz w:val="20"/>
          <w:szCs w:val="20"/>
          <w:lang w:val="es-CR"/>
        </w:rPr>
        <w:t xml:space="preserve"> considera que la información y argumentos expuestos por la representante en la solicitud de medidas provisionales deben ser evaluados en el marco de la supervisión de cumplimiento de la Sentencia en cuestión y no bajo un análisis de los requisitos convencionales de las medidas provisionales. </w:t>
      </w:r>
      <w:r w:rsidR="00E72A37" w:rsidRPr="003E4749">
        <w:rPr>
          <w:rFonts w:ascii="Verdana" w:hAnsi="Verdana"/>
          <w:sz w:val="20"/>
          <w:szCs w:val="20"/>
          <w:lang w:val="es-CR"/>
        </w:rPr>
        <w:t>Por tanto, el Tribunal encuentra improcedente la adopción de las medidas provisionales solicitadas en este caso</w:t>
      </w:r>
      <w:r w:rsidR="005C33E9" w:rsidRPr="003E4749">
        <w:rPr>
          <w:rFonts w:ascii="Verdana" w:hAnsi="Verdana"/>
          <w:sz w:val="20"/>
          <w:szCs w:val="20"/>
          <w:lang w:val="es-CR"/>
        </w:rPr>
        <w:t>.</w:t>
      </w:r>
    </w:p>
    <w:p w14:paraId="7FC935AA" w14:textId="505A0C6F" w:rsidR="0035356C" w:rsidRDefault="0066213E" w:rsidP="00806742">
      <w:pPr>
        <w:pStyle w:val="Ttulo1"/>
        <w:spacing w:before="360"/>
        <w:ind w:left="1066" w:hanging="357"/>
      </w:pPr>
      <w:bookmarkStart w:id="3" w:name="_Toc105592215"/>
      <w:r>
        <w:t>Supervisión de cumplimiento de la</w:t>
      </w:r>
      <w:r w:rsidR="0035356C">
        <w:t xml:space="preserve"> medida relativa a asegurar que en el proceso seguido contra la señora J. se observen todas las exigencias del debido proceso legal</w:t>
      </w:r>
      <w:bookmarkEnd w:id="3"/>
    </w:p>
    <w:p w14:paraId="0C2F718F" w14:textId="0C1E17F4" w:rsidR="0035356C" w:rsidRDefault="0035356C" w:rsidP="0035356C">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 xml:space="preserve">Debido a que lo indicado en la solicitud de medidas provisionales se refiere al cumplimiento de </w:t>
      </w:r>
      <w:r w:rsidR="009F4455">
        <w:rPr>
          <w:rFonts w:ascii="Verdana" w:hAnsi="Verdana"/>
          <w:sz w:val="20"/>
          <w:szCs w:val="20"/>
          <w:lang w:val="es-CR"/>
        </w:rPr>
        <w:t>una</w:t>
      </w:r>
      <w:r>
        <w:rPr>
          <w:rFonts w:ascii="Verdana" w:hAnsi="Verdana"/>
          <w:sz w:val="20"/>
          <w:szCs w:val="20"/>
          <w:lang w:val="es-CR"/>
        </w:rPr>
        <w:t xml:space="preserve"> medida de reparación</w:t>
      </w:r>
      <w:r w:rsidR="00806742">
        <w:rPr>
          <w:rFonts w:ascii="Verdana" w:hAnsi="Verdana"/>
          <w:sz w:val="20"/>
          <w:szCs w:val="20"/>
          <w:lang w:val="es-CR"/>
        </w:rPr>
        <w:t xml:space="preserve"> ordenada en la Sentencia</w:t>
      </w:r>
      <w:r w:rsidR="009F4455">
        <w:rPr>
          <w:rFonts w:ascii="Verdana" w:hAnsi="Verdana"/>
          <w:sz w:val="20"/>
          <w:szCs w:val="20"/>
          <w:lang w:val="es-CR"/>
        </w:rPr>
        <w:t xml:space="preserve"> (</w:t>
      </w:r>
      <w:r w:rsidR="009F4455" w:rsidRPr="0097715B">
        <w:rPr>
          <w:rFonts w:ascii="Verdana" w:hAnsi="Verdana"/>
          <w:i/>
          <w:iCs/>
          <w:sz w:val="20"/>
          <w:szCs w:val="20"/>
          <w:lang w:val="es-CR"/>
        </w:rPr>
        <w:t>supra</w:t>
      </w:r>
      <w:r w:rsidR="009F4455">
        <w:rPr>
          <w:rFonts w:ascii="Verdana" w:hAnsi="Verdana"/>
          <w:sz w:val="20"/>
          <w:szCs w:val="20"/>
          <w:lang w:val="es-CR"/>
        </w:rPr>
        <w:t xml:space="preserve"> Considerandos 1</w:t>
      </w:r>
      <w:r w:rsidR="001F2DFB">
        <w:rPr>
          <w:rFonts w:ascii="Verdana" w:hAnsi="Verdana"/>
          <w:sz w:val="20"/>
          <w:szCs w:val="20"/>
          <w:lang w:val="es-CR"/>
        </w:rPr>
        <w:t>, 14</w:t>
      </w:r>
      <w:r w:rsidR="009F4455">
        <w:rPr>
          <w:rFonts w:ascii="Verdana" w:hAnsi="Verdana"/>
          <w:sz w:val="20"/>
          <w:szCs w:val="20"/>
          <w:lang w:val="es-CR"/>
        </w:rPr>
        <w:t xml:space="preserve"> y 1</w:t>
      </w:r>
      <w:r w:rsidR="001F2DFB">
        <w:rPr>
          <w:rFonts w:ascii="Verdana" w:hAnsi="Verdana"/>
          <w:sz w:val="20"/>
          <w:szCs w:val="20"/>
          <w:lang w:val="es-CR"/>
        </w:rPr>
        <w:t>6</w:t>
      </w:r>
      <w:r w:rsidR="009F4455">
        <w:rPr>
          <w:rFonts w:ascii="Verdana" w:hAnsi="Verdana"/>
          <w:sz w:val="20"/>
          <w:szCs w:val="20"/>
          <w:lang w:val="es-CR"/>
        </w:rPr>
        <w:t>)</w:t>
      </w:r>
      <w:r>
        <w:rPr>
          <w:rFonts w:ascii="Verdana" w:hAnsi="Verdana"/>
          <w:sz w:val="20"/>
          <w:szCs w:val="20"/>
          <w:lang w:val="es-CR"/>
        </w:rPr>
        <w:t>, la Corte procederá a incluir la información presentada por la representante y el Estado en el expediente relativo a dicha etapa de supervisión.</w:t>
      </w:r>
    </w:p>
    <w:p w14:paraId="50D7EF89" w14:textId="5DB35D35" w:rsidR="00F61917" w:rsidRDefault="0058716D" w:rsidP="0035356C">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 xml:space="preserve">Cuando </w:t>
      </w:r>
      <w:r w:rsidR="00F61917">
        <w:rPr>
          <w:rFonts w:ascii="Verdana" w:hAnsi="Verdana"/>
          <w:sz w:val="20"/>
          <w:szCs w:val="20"/>
          <w:lang w:val="es-CR"/>
        </w:rPr>
        <w:t>en la Sentencia ordenó que el Estado debía “</w:t>
      </w:r>
      <w:r w:rsidR="00CF6248">
        <w:rPr>
          <w:rFonts w:ascii="Verdana" w:hAnsi="Verdana"/>
          <w:sz w:val="20"/>
          <w:szCs w:val="20"/>
          <w:lang w:val="es-CR"/>
        </w:rPr>
        <w:t>asegurar que en el proceso seguido contra la señora J. se observen todas las exigencias del debido proceso legal” (</w:t>
      </w:r>
      <w:r w:rsidR="00CF6248">
        <w:rPr>
          <w:rFonts w:ascii="Verdana" w:hAnsi="Verdana"/>
          <w:i/>
          <w:iCs/>
          <w:sz w:val="20"/>
          <w:szCs w:val="20"/>
          <w:lang w:val="es-CR"/>
        </w:rPr>
        <w:t xml:space="preserve">supra </w:t>
      </w:r>
      <w:r w:rsidR="00CF6248">
        <w:rPr>
          <w:rFonts w:ascii="Verdana" w:hAnsi="Verdana"/>
          <w:sz w:val="20"/>
          <w:szCs w:val="20"/>
          <w:lang w:val="es-CR"/>
        </w:rPr>
        <w:t>Considerando 1)</w:t>
      </w:r>
      <w:r>
        <w:rPr>
          <w:rFonts w:ascii="Verdana" w:hAnsi="Verdana"/>
          <w:sz w:val="20"/>
          <w:szCs w:val="20"/>
          <w:lang w:val="es-CR"/>
        </w:rPr>
        <w:t>, l</w:t>
      </w:r>
      <w:r w:rsidR="00D22BD7">
        <w:rPr>
          <w:rFonts w:ascii="Verdana" w:hAnsi="Verdana"/>
          <w:sz w:val="20"/>
          <w:szCs w:val="20"/>
          <w:lang w:val="es-CR"/>
        </w:rPr>
        <w:t xml:space="preserve">a Corte </w:t>
      </w:r>
      <w:r w:rsidR="008C208C">
        <w:rPr>
          <w:rFonts w:ascii="Verdana" w:hAnsi="Verdana"/>
          <w:sz w:val="20"/>
          <w:szCs w:val="20"/>
          <w:lang w:val="es-CR"/>
        </w:rPr>
        <w:t xml:space="preserve">estimó que las autoridades judiciales internas debían “tener en cuenta las consideraciones de [la] Corte, en relación con las violaciones al debido proceso e integridad personal de la señora J., al momento de examinar la acusación actualmente vigente </w:t>
      </w:r>
      <w:r w:rsidR="008C208C">
        <w:rPr>
          <w:rFonts w:ascii="Verdana" w:hAnsi="Verdana"/>
          <w:sz w:val="20"/>
          <w:szCs w:val="20"/>
          <w:lang w:val="es-CR"/>
        </w:rPr>
        <w:lastRenderedPageBreak/>
        <w:t>en contra de la señora J.”</w:t>
      </w:r>
      <w:r w:rsidR="00D22BD7">
        <w:rPr>
          <w:rFonts w:ascii="Verdana" w:hAnsi="Verdana"/>
          <w:sz w:val="20"/>
          <w:szCs w:val="20"/>
          <w:lang w:val="es-CR"/>
        </w:rPr>
        <w:t>. Entre otros aspectos, la Corte destacó</w:t>
      </w:r>
      <w:r w:rsidR="008C208C">
        <w:rPr>
          <w:rFonts w:ascii="Verdana" w:hAnsi="Verdana"/>
          <w:sz w:val="20"/>
          <w:szCs w:val="20"/>
          <w:lang w:val="es-CR"/>
        </w:rPr>
        <w:t xml:space="preserve"> que “la invalidez de una fuente de prueba puede derivar de que su obtención se haya llevado a cabo sin un estricto respeto de los derechos fundamentales”</w:t>
      </w:r>
      <w:r w:rsidR="008C208C">
        <w:rPr>
          <w:rStyle w:val="Refdenotaalpie"/>
          <w:rFonts w:ascii="Verdana" w:hAnsi="Verdana"/>
          <w:sz w:val="20"/>
          <w:szCs w:val="20"/>
          <w:lang w:val="es-CR"/>
        </w:rPr>
        <w:footnoteReference w:id="19"/>
      </w:r>
      <w:r w:rsidR="00D22BD7">
        <w:rPr>
          <w:rFonts w:ascii="Verdana" w:hAnsi="Verdana"/>
          <w:sz w:val="20"/>
          <w:szCs w:val="20"/>
          <w:lang w:val="es-CR"/>
        </w:rPr>
        <w:t xml:space="preserve">. </w:t>
      </w:r>
      <w:r w:rsidR="00441F42">
        <w:rPr>
          <w:rFonts w:ascii="Verdana" w:hAnsi="Verdana"/>
          <w:sz w:val="20"/>
          <w:szCs w:val="20"/>
          <w:lang w:val="es-CR"/>
        </w:rPr>
        <w:t>Asimismo, el</w:t>
      </w:r>
      <w:r w:rsidR="00253476">
        <w:rPr>
          <w:rFonts w:ascii="Verdana" w:hAnsi="Verdana"/>
          <w:sz w:val="20"/>
          <w:szCs w:val="20"/>
          <w:lang w:val="es-CR"/>
        </w:rPr>
        <w:t xml:space="preserve"> Tribunal concluyó que la </w:t>
      </w:r>
      <w:r w:rsidR="00A54E30">
        <w:rPr>
          <w:rFonts w:ascii="Verdana" w:hAnsi="Verdana"/>
          <w:sz w:val="20"/>
          <w:szCs w:val="20"/>
          <w:lang w:val="es-CR"/>
        </w:rPr>
        <w:t xml:space="preserve">descripción de los hechos incluida en la </w:t>
      </w:r>
      <w:r w:rsidR="00253476">
        <w:rPr>
          <w:rFonts w:ascii="Verdana" w:hAnsi="Verdana"/>
          <w:sz w:val="20"/>
          <w:szCs w:val="20"/>
          <w:lang w:val="es-CR"/>
        </w:rPr>
        <w:t>acusación hecha por el Ministerio Público en el 2005</w:t>
      </w:r>
      <w:r w:rsidR="00A54E30">
        <w:rPr>
          <w:rFonts w:ascii="Verdana" w:hAnsi="Verdana"/>
          <w:sz w:val="20"/>
          <w:szCs w:val="20"/>
          <w:lang w:val="es-CR"/>
        </w:rPr>
        <w:t xml:space="preserve"> “no e</w:t>
      </w:r>
      <w:r w:rsidR="003472C8">
        <w:rPr>
          <w:rFonts w:ascii="Verdana" w:hAnsi="Verdana"/>
          <w:sz w:val="20"/>
          <w:szCs w:val="20"/>
          <w:lang w:val="es-CR"/>
        </w:rPr>
        <w:t>[ra]</w:t>
      </w:r>
      <w:r w:rsidR="00A54E30">
        <w:rPr>
          <w:rFonts w:ascii="Verdana" w:hAnsi="Verdana"/>
          <w:sz w:val="20"/>
          <w:szCs w:val="20"/>
          <w:lang w:val="es-CR"/>
        </w:rPr>
        <w:t xml:space="preserve"> lo suficientemente precisa para garantizar una adecuada defensa por parte de la acusada”, no indica</w:t>
      </w:r>
      <w:r w:rsidR="003472C8">
        <w:rPr>
          <w:rFonts w:ascii="Verdana" w:hAnsi="Verdana"/>
          <w:sz w:val="20"/>
          <w:szCs w:val="20"/>
          <w:lang w:val="es-CR"/>
        </w:rPr>
        <w:t>ba</w:t>
      </w:r>
      <w:r w:rsidR="00A54E30">
        <w:rPr>
          <w:rFonts w:ascii="Verdana" w:hAnsi="Verdana"/>
          <w:sz w:val="20"/>
          <w:szCs w:val="20"/>
          <w:lang w:val="es-CR"/>
        </w:rPr>
        <w:t xml:space="preserve"> “cuál sería el acto de terrorismo o delito del cual la señora J. habría hecho apología” y </w:t>
      </w:r>
      <w:r w:rsidR="00253476">
        <w:rPr>
          <w:rFonts w:ascii="Verdana" w:hAnsi="Verdana"/>
          <w:sz w:val="20"/>
          <w:szCs w:val="20"/>
          <w:lang w:val="es-CR"/>
        </w:rPr>
        <w:t>“no toma</w:t>
      </w:r>
      <w:r w:rsidR="003472C8">
        <w:rPr>
          <w:rFonts w:ascii="Verdana" w:hAnsi="Verdana"/>
          <w:sz w:val="20"/>
          <w:szCs w:val="20"/>
          <w:lang w:val="es-CR"/>
        </w:rPr>
        <w:t>[ba]</w:t>
      </w:r>
      <w:r w:rsidR="00253476">
        <w:rPr>
          <w:rFonts w:ascii="Verdana" w:hAnsi="Verdana"/>
          <w:sz w:val="20"/>
          <w:szCs w:val="20"/>
          <w:lang w:val="es-CR"/>
        </w:rPr>
        <w:t xml:space="preserve"> en cuenta elementos de prueba producidos</w:t>
      </w:r>
      <w:r w:rsidR="00A54E30">
        <w:rPr>
          <w:rFonts w:ascii="Verdana" w:hAnsi="Verdana"/>
          <w:sz w:val="20"/>
          <w:szCs w:val="20"/>
          <w:lang w:val="es-CR"/>
        </w:rPr>
        <w:t xml:space="preserve"> durante la primera etapa del proceso que favorecen la versión de la víctima sobre los hechos”</w:t>
      </w:r>
      <w:r w:rsidR="00A54E30">
        <w:rPr>
          <w:rStyle w:val="Refdenotaalpie"/>
          <w:rFonts w:ascii="Verdana" w:hAnsi="Verdana"/>
          <w:sz w:val="20"/>
          <w:szCs w:val="20"/>
          <w:lang w:val="es-CR"/>
        </w:rPr>
        <w:footnoteReference w:id="20"/>
      </w:r>
      <w:r w:rsidR="00A54E30">
        <w:rPr>
          <w:rFonts w:ascii="Verdana" w:hAnsi="Verdana"/>
          <w:sz w:val="20"/>
          <w:szCs w:val="20"/>
          <w:lang w:val="es-CR"/>
        </w:rPr>
        <w:t>.</w:t>
      </w:r>
    </w:p>
    <w:p w14:paraId="5BC8A4A5" w14:textId="111C9E17" w:rsidR="00EA18BC" w:rsidRDefault="00E32E13" w:rsidP="00EA18BC">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 xml:space="preserve">En primer término, </w:t>
      </w:r>
      <w:r w:rsidR="00CE70E4">
        <w:rPr>
          <w:rFonts w:ascii="Verdana" w:hAnsi="Verdana"/>
          <w:sz w:val="20"/>
          <w:szCs w:val="20"/>
          <w:lang w:val="es-CR"/>
        </w:rPr>
        <w:t xml:space="preserve">en cuanto a lo alegado por las partes </w:t>
      </w:r>
      <w:r w:rsidR="00BF0F9D">
        <w:rPr>
          <w:rFonts w:ascii="Verdana" w:hAnsi="Verdana"/>
          <w:sz w:val="20"/>
          <w:szCs w:val="20"/>
          <w:lang w:val="es-CR"/>
        </w:rPr>
        <w:t xml:space="preserve">sobre </w:t>
      </w:r>
      <w:r w:rsidR="00CE70E4">
        <w:rPr>
          <w:rFonts w:ascii="Verdana" w:hAnsi="Verdana"/>
          <w:sz w:val="20"/>
          <w:szCs w:val="20"/>
          <w:lang w:val="es-CR"/>
        </w:rPr>
        <w:t xml:space="preserve">la prescripción </w:t>
      </w:r>
      <w:r w:rsidR="00BF0F9D">
        <w:rPr>
          <w:rFonts w:ascii="Verdana" w:hAnsi="Verdana"/>
          <w:sz w:val="20"/>
          <w:szCs w:val="20"/>
          <w:lang w:val="es-CR"/>
        </w:rPr>
        <w:t xml:space="preserve">o no </w:t>
      </w:r>
      <w:r w:rsidR="00CE70E4">
        <w:rPr>
          <w:rFonts w:ascii="Verdana" w:hAnsi="Verdana"/>
          <w:sz w:val="20"/>
          <w:szCs w:val="20"/>
          <w:lang w:val="es-CR"/>
        </w:rPr>
        <w:t>de la acción penal</w:t>
      </w:r>
      <w:r w:rsidR="007B137B">
        <w:rPr>
          <w:rFonts w:ascii="Verdana" w:hAnsi="Verdana"/>
          <w:sz w:val="20"/>
          <w:szCs w:val="20"/>
          <w:lang w:val="es-CR"/>
        </w:rPr>
        <w:t xml:space="preserve"> en el proceso seguido contra la señora J.</w:t>
      </w:r>
      <w:r w:rsidR="00CE70E4">
        <w:rPr>
          <w:rFonts w:ascii="Verdana" w:hAnsi="Verdana"/>
          <w:sz w:val="20"/>
          <w:szCs w:val="20"/>
          <w:lang w:val="es-CR"/>
        </w:rPr>
        <w:t>, la Corte considera necesario obtener m</w:t>
      </w:r>
      <w:r w:rsidR="007B137B">
        <w:rPr>
          <w:rFonts w:ascii="Verdana" w:hAnsi="Verdana"/>
          <w:sz w:val="20"/>
          <w:szCs w:val="20"/>
          <w:lang w:val="es-CR"/>
        </w:rPr>
        <w:t>ás</w:t>
      </w:r>
      <w:r w:rsidR="00CE70E4">
        <w:rPr>
          <w:rFonts w:ascii="Verdana" w:hAnsi="Verdana"/>
          <w:sz w:val="20"/>
          <w:szCs w:val="20"/>
          <w:lang w:val="es-CR"/>
        </w:rPr>
        <w:t xml:space="preserve"> información respecto a </w:t>
      </w:r>
      <w:r w:rsidR="00AA4EE3">
        <w:rPr>
          <w:rFonts w:ascii="Verdana" w:hAnsi="Verdana"/>
          <w:sz w:val="20"/>
          <w:szCs w:val="20"/>
          <w:lang w:val="es-CR"/>
        </w:rPr>
        <w:t xml:space="preserve">los recursos judiciales que podría interponer la defensa de la señora J. para que sean analizados a nivel </w:t>
      </w:r>
      <w:r w:rsidR="00AA4EE3" w:rsidRPr="00AA4EE3">
        <w:rPr>
          <w:rFonts w:ascii="Verdana" w:hAnsi="Verdana"/>
          <w:sz w:val="20"/>
          <w:szCs w:val="20"/>
          <w:lang w:val="es-CR"/>
        </w:rPr>
        <w:t>interno los argumentos que expone respecto a</w:t>
      </w:r>
      <w:r w:rsidR="00BF0F9D">
        <w:rPr>
          <w:rFonts w:ascii="Verdana" w:hAnsi="Verdana"/>
          <w:sz w:val="20"/>
          <w:szCs w:val="20"/>
          <w:lang w:val="es-CR"/>
        </w:rPr>
        <w:t>:</w:t>
      </w:r>
      <w:r w:rsidR="00AA4EE3" w:rsidRPr="00AA4EE3">
        <w:rPr>
          <w:rFonts w:ascii="Verdana" w:hAnsi="Verdana"/>
          <w:sz w:val="20"/>
          <w:szCs w:val="20"/>
          <w:lang w:val="es-CR"/>
        </w:rPr>
        <w:t xml:space="preserve"> la aplicación de la prescripción </w:t>
      </w:r>
      <w:r w:rsidR="007B137B">
        <w:rPr>
          <w:rFonts w:ascii="Verdana" w:hAnsi="Verdana"/>
          <w:sz w:val="20"/>
          <w:szCs w:val="20"/>
          <w:lang w:val="es-CR"/>
        </w:rPr>
        <w:t xml:space="preserve">según lo </w:t>
      </w:r>
      <w:r w:rsidR="008504FA">
        <w:rPr>
          <w:rFonts w:ascii="Verdana" w:hAnsi="Verdana"/>
          <w:sz w:val="20"/>
          <w:szCs w:val="20"/>
          <w:lang w:val="es-CR"/>
        </w:rPr>
        <w:t>regulad</w:t>
      </w:r>
      <w:r w:rsidR="007B137B">
        <w:rPr>
          <w:rFonts w:ascii="Verdana" w:hAnsi="Verdana"/>
          <w:sz w:val="20"/>
          <w:szCs w:val="20"/>
          <w:lang w:val="es-CR"/>
        </w:rPr>
        <w:t>o en el último párrafo d</w:t>
      </w:r>
      <w:r w:rsidR="008504FA">
        <w:rPr>
          <w:rFonts w:ascii="Verdana" w:hAnsi="Verdana"/>
          <w:sz w:val="20"/>
          <w:szCs w:val="20"/>
          <w:lang w:val="es-CR"/>
        </w:rPr>
        <w:t xml:space="preserve">el </w:t>
      </w:r>
      <w:r w:rsidR="007B137B">
        <w:rPr>
          <w:rFonts w:ascii="Verdana" w:hAnsi="Verdana"/>
          <w:sz w:val="20"/>
          <w:szCs w:val="20"/>
          <w:lang w:val="es-CR"/>
        </w:rPr>
        <w:t>artículo 83 del Código Penal</w:t>
      </w:r>
      <w:r w:rsidR="00BF0F9D">
        <w:rPr>
          <w:rFonts w:ascii="Verdana" w:hAnsi="Verdana"/>
          <w:sz w:val="20"/>
          <w:szCs w:val="20"/>
          <w:lang w:val="es-CR"/>
        </w:rPr>
        <w:t>;</w:t>
      </w:r>
      <w:r w:rsidR="00AA4EE3" w:rsidRPr="00AA4EE3">
        <w:rPr>
          <w:rFonts w:ascii="Verdana" w:hAnsi="Verdana"/>
          <w:sz w:val="20"/>
          <w:szCs w:val="20"/>
          <w:lang w:val="es-CR"/>
        </w:rPr>
        <w:t xml:space="preserve"> la alegada aplicación retroactiva </w:t>
      </w:r>
      <w:r w:rsidR="007B137B">
        <w:rPr>
          <w:rFonts w:ascii="Verdana" w:hAnsi="Verdana"/>
          <w:sz w:val="20"/>
          <w:szCs w:val="20"/>
          <w:lang w:val="es-CR"/>
        </w:rPr>
        <w:t xml:space="preserve">que habría realizado la </w:t>
      </w:r>
      <w:r w:rsidR="00C16728">
        <w:rPr>
          <w:rFonts w:ascii="Verdana" w:hAnsi="Verdana"/>
          <w:sz w:val="20"/>
          <w:szCs w:val="20"/>
          <w:lang w:val="es-CR"/>
        </w:rPr>
        <w:t xml:space="preserve">Segunda </w:t>
      </w:r>
      <w:r w:rsidR="007B137B">
        <w:rPr>
          <w:rFonts w:ascii="Verdana" w:hAnsi="Verdana"/>
          <w:sz w:val="20"/>
          <w:szCs w:val="20"/>
          <w:lang w:val="es-CR"/>
        </w:rPr>
        <w:t xml:space="preserve">Sala Penal </w:t>
      </w:r>
      <w:r w:rsidR="00AA4EE3" w:rsidRPr="00AA4EE3">
        <w:rPr>
          <w:rFonts w:ascii="Verdana" w:hAnsi="Verdana"/>
          <w:sz w:val="20"/>
          <w:szCs w:val="20"/>
          <w:lang w:val="es-CR"/>
        </w:rPr>
        <w:t>de la Ley N° 26641</w:t>
      </w:r>
      <w:r w:rsidR="008504FA">
        <w:rPr>
          <w:rFonts w:ascii="Verdana" w:hAnsi="Verdana"/>
          <w:sz w:val="20"/>
          <w:szCs w:val="20"/>
          <w:lang w:val="es-CR"/>
        </w:rPr>
        <w:t xml:space="preserve"> en relación con la interrupción de la prescripción para reos contumaces</w:t>
      </w:r>
      <w:r w:rsidR="00AA4EE3" w:rsidRPr="00AA4EE3">
        <w:rPr>
          <w:rFonts w:ascii="Verdana" w:hAnsi="Verdana"/>
          <w:sz w:val="20"/>
          <w:szCs w:val="20"/>
          <w:lang w:val="es-CR"/>
        </w:rPr>
        <w:t xml:space="preserve">, </w:t>
      </w:r>
      <w:r w:rsidR="007B137B">
        <w:rPr>
          <w:rFonts w:ascii="Verdana" w:hAnsi="Verdana"/>
          <w:sz w:val="20"/>
          <w:szCs w:val="20"/>
          <w:lang w:val="es-CR"/>
        </w:rPr>
        <w:t xml:space="preserve">y la alegada incorrecta interpretación de esa ley que implicaría la imprescriptibilidad de todos los delitos </w:t>
      </w:r>
      <w:r w:rsidR="00AA4EE3" w:rsidRPr="00AA4EE3">
        <w:rPr>
          <w:rFonts w:ascii="Verdana" w:hAnsi="Verdana"/>
          <w:sz w:val="20"/>
          <w:szCs w:val="20"/>
          <w:lang w:val="es-CR"/>
        </w:rPr>
        <w:t>cuando el reo es contumaz.</w:t>
      </w:r>
      <w:r w:rsidR="00CE70E4">
        <w:rPr>
          <w:rFonts w:ascii="Verdana" w:hAnsi="Verdana"/>
          <w:sz w:val="20"/>
          <w:szCs w:val="20"/>
          <w:lang w:val="es-CR"/>
        </w:rPr>
        <w:t xml:space="preserve"> </w:t>
      </w:r>
    </w:p>
    <w:p w14:paraId="368529E3" w14:textId="187157AC" w:rsidR="00154F2B" w:rsidRPr="00EA18BC" w:rsidRDefault="00E32E13" w:rsidP="00EA18BC">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sidRPr="00EA18BC">
        <w:rPr>
          <w:rFonts w:ascii="Verdana" w:hAnsi="Verdana"/>
          <w:sz w:val="20"/>
          <w:szCs w:val="20"/>
          <w:lang w:val="es-CR"/>
        </w:rPr>
        <w:t>En segundo término, l</w:t>
      </w:r>
      <w:r w:rsidR="003C7BBB" w:rsidRPr="00EA18BC">
        <w:rPr>
          <w:rFonts w:ascii="Verdana" w:hAnsi="Verdana"/>
          <w:sz w:val="20"/>
          <w:szCs w:val="20"/>
          <w:lang w:val="es-CR"/>
        </w:rPr>
        <w:t xml:space="preserve">a Corte </w:t>
      </w:r>
      <w:r w:rsidR="000474EB" w:rsidRPr="00EA18BC">
        <w:rPr>
          <w:rFonts w:ascii="Verdana" w:hAnsi="Verdana"/>
          <w:sz w:val="20"/>
          <w:szCs w:val="20"/>
          <w:lang w:val="es-CR"/>
        </w:rPr>
        <w:t>considera que la información aportada por el Estado</w:t>
      </w:r>
      <w:r w:rsidR="00313076">
        <w:rPr>
          <w:rFonts w:ascii="Verdana" w:hAnsi="Verdana"/>
          <w:sz w:val="20"/>
          <w:szCs w:val="20"/>
          <w:lang w:val="es-CR"/>
        </w:rPr>
        <w:t>,</w:t>
      </w:r>
      <w:r w:rsidR="000474EB" w:rsidRPr="00EA18BC">
        <w:rPr>
          <w:rFonts w:ascii="Verdana" w:hAnsi="Verdana"/>
          <w:sz w:val="20"/>
          <w:szCs w:val="20"/>
          <w:lang w:val="es-CR"/>
        </w:rPr>
        <w:t xml:space="preserve"> </w:t>
      </w:r>
      <w:r w:rsidR="009A2AC7" w:rsidRPr="00EA18BC">
        <w:rPr>
          <w:rFonts w:ascii="Verdana" w:hAnsi="Verdana"/>
          <w:sz w:val="20"/>
          <w:szCs w:val="20"/>
          <w:lang w:val="es-CR"/>
        </w:rPr>
        <w:t>tanto en el marco de la solicitud de medidas provisionales como en</w:t>
      </w:r>
      <w:r w:rsidR="003C7BBB" w:rsidRPr="00EA18BC">
        <w:rPr>
          <w:rFonts w:ascii="Verdana" w:hAnsi="Verdana"/>
          <w:sz w:val="20"/>
          <w:szCs w:val="20"/>
          <w:lang w:val="es-CR"/>
        </w:rPr>
        <w:t xml:space="preserve"> </w:t>
      </w:r>
      <w:r w:rsidR="00404174">
        <w:rPr>
          <w:rFonts w:ascii="Verdana" w:hAnsi="Verdana"/>
          <w:sz w:val="20"/>
          <w:szCs w:val="20"/>
          <w:lang w:val="es-CR"/>
        </w:rPr>
        <w:t xml:space="preserve">más de ocho años que el caso ha estado en etapa de </w:t>
      </w:r>
      <w:r w:rsidR="003C7BBB" w:rsidRPr="00EA18BC">
        <w:rPr>
          <w:rFonts w:ascii="Verdana" w:hAnsi="Verdana"/>
          <w:sz w:val="20"/>
          <w:szCs w:val="20"/>
          <w:lang w:val="es-CR"/>
        </w:rPr>
        <w:t xml:space="preserve">supervisión de cumplimiento de Sentencia, </w:t>
      </w:r>
      <w:r w:rsidR="000474EB" w:rsidRPr="00EA18BC">
        <w:rPr>
          <w:rFonts w:ascii="Verdana" w:hAnsi="Verdana"/>
          <w:sz w:val="20"/>
          <w:szCs w:val="20"/>
          <w:lang w:val="es-CR"/>
        </w:rPr>
        <w:t xml:space="preserve">no permite al Tribunal conocer si las autoridades fiscales y judiciales en el proceso que se sigue contra la señora J. han </w:t>
      </w:r>
      <w:r w:rsidRPr="00EA18BC">
        <w:rPr>
          <w:rFonts w:ascii="Verdana" w:hAnsi="Verdana"/>
          <w:sz w:val="20"/>
          <w:szCs w:val="20"/>
          <w:lang w:val="es-CR"/>
        </w:rPr>
        <w:t>efectuado las correcciones necesarias para que la acusación contra aquella cumpla los estándares establecidos por el Tribunal</w:t>
      </w:r>
      <w:r w:rsidR="00313076">
        <w:rPr>
          <w:rFonts w:ascii="Verdana" w:hAnsi="Verdana"/>
          <w:sz w:val="20"/>
          <w:szCs w:val="20"/>
          <w:lang w:val="es-CR"/>
        </w:rPr>
        <w:t>,</w:t>
      </w:r>
      <w:r w:rsidRPr="00EA18BC">
        <w:rPr>
          <w:rFonts w:ascii="Verdana" w:hAnsi="Verdana"/>
          <w:sz w:val="20"/>
          <w:szCs w:val="20"/>
          <w:lang w:val="es-CR"/>
        </w:rPr>
        <w:t xml:space="preserve"> así como tomado las medidas necesarias para que no se vulnere su derecho de defensa de acuerdo a lo indicado en la Sentencia. </w:t>
      </w:r>
      <w:r w:rsidR="00404174">
        <w:rPr>
          <w:rFonts w:ascii="Verdana" w:hAnsi="Verdana"/>
          <w:sz w:val="20"/>
          <w:szCs w:val="20"/>
          <w:lang w:val="es-CR"/>
        </w:rPr>
        <w:t>E</w:t>
      </w:r>
      <w:r w:rsidR="003C7BBB" w:rsidRPr="00EA18BC">
        <w:rPr>
          <w:rFonts w:ascii="Verdana" w:hAnsi="Verdana"/>
          <w:sz w:val="20"/>
          <w:szCs w:val="20"/>
          <w:lang w:val="es-CR"/>
        </w:rPr>
        <w:t xml:space="preserve">l Estado </w:t>
      </w:r>
      <w:r w:rsidR="00404174">
        <w:rPr>
          <w:rFonts w:ascii="Verdana" w:hAnsi="Verdana"/>
          <w:sz w:val="20"/>
          <w:szCs w:val="20"/>
          <w:lang w:val="es-CR"/>
        </w:rPr>
        <w:t xml:space="preserve">únicamente </w:t>
      </w:r>
      <w:r w:rsidR="003C7BBB" w:rsidRPr="00EA18BC">
        <w:rPr>
          <w:rFonts w:ascii="Verdana" w:hAnsi="Verdana"/>
          <w:sz w:val="20"/>
          <w:szCs w:val="20"/>
          <w:lang w:val="es-CR"/>
        </w:rPr>
        <w:t xml:space="preserve">ha informado que aún no se ha iniciado el juicio oral debido a que la señora J. se encuentra </w:t>
      </w:r>
      <w:r w:rsidR="009A2AC7" w:rsidRPr="00EA18BC">
        <w:rPr>
          <w:rFonts w:ascii="Verdana" w:hAnsi="Verdana"/>
          <w:sz w:val="20"/>
          <w:szCs w:val="20"/>
          <w:lang w:val="es-CR"/>
        </w:rPr>
        <w:t>en calidad de “reo contumaz” (</w:t>
      </w:r>
      <w:r w:rsidR="009A2AC7" w:rsidRPr="00EA18BC">
        <w:rPr>
          <w:rFonts w:ascii="Verdana" w:hAnsi="Verdana"/>
          <w:i/>
          <w:iCs/>
          <w:sz w:val="20"/>
          <w:szCs w:val="20"/>
          <w:lang w:val="es-CR"/>
        </w:rPr>
        <w:t>supra</w:t>
      </w:r>
      <w:r w:rsidR="009A2AC7" w:rsidRPr="00EA18BC">
        <w:rPr>
          <w:rFonts w:ascii="Verdana" w:hAnsi="Verdana"/>
          <w:sz w:val="20"/>
          <w:szCs w:val="20"/>
          <w:lang w:val="es-CR"/>
        </w:rPr>
        <w:t xml:space="preserve"> Considerando </w:t>
      </w:r>
      <w:r w:rsidR="00781E30">
        <w:rPr>
          <w:rFonts w:ascii="Verdana" w:hAnsi="Verdana"/>
          <w:sz w:val="20"/>
          <w:szCs w:val="20"/>
          <w:lang w:val="es-CR"/>
        </w:rPr>
        <w:t>8</w:t>
      </w:r>
      <w:r w:rsidR="009A2AC7" w:rsidRPr="00EA18BC">
        <w:rPr>
          <w:rFonts w:ascii="Verdana" w:hAnsi="Verdana"/>
          <w:sz w:val="20"/>
          <w:szCs w:val="20"/>
          <w:lang w:val="es-CR"/>
        </w:rPr>
        <w:t>)</w:t>
      </w:r>
      <w:r w:rsidR="00A824E1">
        <w:rPr>
          <w:rFonts w:ascii="Verdana" w:hAnsi="Verdana"/>
          <w:sz w:val="20"/>
          <w:szCs w:val="20"/>
          <w:lang w:val="es-CR"/>
        </w:rPr>
        <w:t xml:space="preserve"> y</w:t>
      </w:r>
      <w:r w:rsidR="00441F42">
        <w:rPr>
          <w:rFonts w:ascii="Verdana" w:hAnsi="Verdana"/>
          <w:sz w:val="20"/>
          <w:szCs w:val="20"/>
          <w:lang w:val="es-CR"/>
        </w:rPr>
        <w:t>,</w:t>
      </w:r>
      <w:r w:rsidR="00A824E1">
        <w:rPr>
          <w:rFonts w:ascii="Verdana" w:hAnsi="Verdana"/>
          <w:sz w:val="20"/>
          <w:szCs w:val="20"/>
          <w:lang w:val="es-CR"/>
        </w:rPr>
        <w:t xml:space="preserve"> en</w:t>
      </w:r>
      <w:r w:rsidR="00441F42">
        <w:rPr>
          <w:rFonts w:ascii="Verdana" w:hAnsi="Verdana"/>
          <w:sz w:val="20"/>
          <w:szCs w:val="20"/>
          <w:lang w:val="es-CR"/>
        </w:rPr>
        <w:t xml:space="preserve"> su </w:t>
      </w:r>
      <w:r w:rsidR="00A824E1">
        <w:rPr>
          <w:rFonts w:ascii="Verdana" w:hAnsi="Verdana"/>
          <w:sz w:val="20"/>
          <w:szCs w:val="20"/>
          <w:lang w:val="es-CR"/>
        </w:rPr>
        <w:t xml:space="preserve">informe </w:t>
      </w:r>
      <w:r w:rsidR="00441F42">
        <w:rPr>
          <w:rFonts w:ascii="Verdana" w:hAnsi="Verdana"/>
          <w:sz w:val="20"/>
          <w:szCs w:val="20"/>
          <w:lang w:val="es-CR"/>
        </w:rPr>
        <w:t>de</w:t>
      </w:r>
      <w:r w:rsidR="00A824E1">
        <w:rPr>
          <w:rFonts w:ascii="Verdana" w:hAnsi="Verdana"/>
          <w:sz w:val="20"/>
          <w:szCs w:val="20"/>
          <w:lang w:val="es-CR"/>
        </w:rPr>
        <w:t xml:space="preserve"> </w:t>
      </w:r>
      <w:r w:rsidR="002A4840" w:rsidRPr="00EA18BC">
        <w:rPr>
          <w:rFonts w:ascii="Verdana" w:hAnsi="Verdana"/>
          <w:sz w:val="20"/>
          <w:szCs w:val="20"/>
          <w:lang w:val="es-CR"/>
        </w:rPr>
        <w:t>junio de 2021</w:t>
      </w:r>
      <w:r w:rsidR="009A2AC7" w:rsidRPr="00EA18BC">
        <w:rPr>
          <w:rFonts w:ascii="Verdana" w:hAnsi="Verdana"/>
          <w:sz w:val="20"/>
          <w:szCs w:val="20"/>
          <w:lang w:val="es-CR"/>
        </w:rPr>
        <w:t>,</w:t>
      </w:r>
      <w:r w:rsidR="002A4840" w:rsidRPr="00EA18BC">
        <w:rPr>
          <w:rFonts w:ascii="Verdana" w:hAnsi="Verdana"/>
          <w:sz w:val="20"/>
          <w:szCs w:val="20"/>
          <w:lang w:val="es-CR"/>
        </w:rPr>
        <w:t xml:space="preserve"> </w:t>
      </w:r>
      <w:r w:rsidR="009A2AC7" w:rsidRPr="00EA18BC">
        <w:rPr>
          <w:rFonts w:ascii="Verdana" w:hAnsi="Verdana"/>
          <w:sz w:val="20"/>
          <w:szCs w:val="20"/>
          <w:lang w:val="es-CR"/>
        </w:rPr>
        <w:t xml:space="preserve">indicó que se encontraba en trámite </w:t>
      </w:r>
      <w:r w:rsidR="00441F42">
        <w:rPr>
          <w:rFonts w:ascii="Verdana" w:hAnsi="Verdana"/>
          <w:sz w:val="20"/>
          <w:szCs w:val="20"/>
          <w:lang w:val="es-CR"/>
        </w:rPr>
        <w:t>el</w:t>
      </w:r>
      <w:r w:rsidR="009A2AC7" w:rsidRPr="00EA18BC">
        <w:rPr>
          <w:rFonts w:ascii="Verdana" w:hAnsi="Verdana"/>
          <w:sz w:val="20"/>
          <w:szCs w:val="20"/>
          <w:lang w:val="es-CR"/>
        </w:rPr>
        <w:t xml:space="preserve"> recurso de nulidad</w:t>
      </w:r>
      <w:r w:rsidR="003C3A2A">
        <w:rPr>
          <w:rFonts w:ascii="Verdana" w:hAnsi="Verdana"/>
          <w:sz w:val="20"/>
          <w:szCs w:val="20"/>
          <w:lang w:val="es-CR"/>
        </w:rPr>
        <w:t xml:space="preserve"> N°</w:t>
      </w:r>
      <w:r w:rsidR="00C56105">
        <w:rPr>
          <w:rFonts w:ascii="Verdana" w:hAnsi="Verdana"/>
          <w:sz w:val="20"/>
          <w:szCs w:val="20"/>
          <w:lang w:val="es-CR"/>
        </w:rPr>
        <w:t xml:space="preserve"> 959-2020</w:t>
      </w:r>
      <w:r w:rsidR="009A2AC7" w:rsidRPr="00EA18BC">
        <w:rPr>
          <w:rFonts w:ascii="Verdana" w:hAnsi="Verdana"/>
          <w:sz w:val="20"/>
          <w:szCs w:val="20"/>
          <w:lang w:val="es-CR"/>
        </w:rPr>
        <w:t xml:space="preserve"> </w:t>
      </w:r>
      <w:r w:rsidR="002A4840" w:rsidRPr="00EA18BC">
        <w:rPr>
          <w:rFonts w:ascii="Verdana" w:hAnsi="Verdana"/>
          <w:sz w:val="20"/>
          <w:szCs w:val="20"/>
          <w:lang w:val="es-CR"/>
        </w:rPr>
        <w:t>ante la Sala Penal Permanente de la Corte Suprema de Justicia respecto del proceso seguido en contra de la señora J.,</w:t>
      </w:r>
      <w:r w:rsidR="00C56105">
        <w:rPr>
          <w:rFonts w:ascii="Verdana" w:hAnsi="Verdana"/>
          <w:sz w:val="20"/>
          <w:szCs w:val="20"/>
          <w:lang w:val="es-CR"/>
        </w:rPr>
        <w:t xml:space="preserve"> el cual se referiría a la decisión que </w:t>
      </w:r>
      <w:r w:rsidR="002E0D42">
        <w:rPr>
          <w:rFonts w:ascii="Verdana" w:hAnsi="Verdana"/>
          <w:sz w:val="20"/>
          <w:szCs w:val="20"/>
          <w:lang w:val="es-CR"/>
        </w:rPr>
        <w:t>suspendió el plazo de la prescripción de la acción penal</w:t>
      </w:r>
      <w:r w:rsidR="00080A56">
        <w:rPr>
          <w:rFonts w:ascii="Verdana" w:hAnsi="Verdana"/>
          <w:sz w:val="20"/>
          <w:szCs w:val="20"/>
          <w:lang w:val="es-CR"/>
        </w:rPr>
        <w:t>. En dicho informe, Perú señaló que</w:t>
      </w:r>
      <w:r w:rsidR="002A4840" w:rsidRPr="00EA18BC">
        <w:rPr>
          <w:rFonts w:ascii="Verdana" w:hAnsi="Verdana"/>
          <w:sz w:val="20"/>
          <w:szCs w:val="20"/>
          <w:lang w:val="es-CR"/>
        </w:rPr>
        <w:t xml:space="preserve"> “se comunicarán las acciones llevadas a cabo para dar cumplimiento a las medidas de reparación ordenadas”</w:t>
      </w:r>
      <w:r w:rsidR="007E7B40">
        <w:rPr>
          <w:rStyle w:val="Refdenotaalpie"/>
          <w:rFonts w:ascii="Verdana" w:hAnsi="Verdana"/>
          <w:sz w:val="20"/>
          <w:szCs w:val="20"/>
          <w:lang w:val="es-CR"/>
        </w:rPr>
        <w:footnoteReference w:id="21"/>
      </w:r>
      <w:r w:rsidR="002A4840" w:rsidRPr="00EA18BC">
        <w:rPr>
          <w:rFonts w:ascii="Verdana" w:hAnsi="Verdana"/>
          <w:sz w:val="20"/>
          <w:szCs w:val="20"/>
          <w:lang w:val="es-CR"/>
        </w:rPr>
        <w:t xml:space="preserve">. </w:t>
      </w:r>
      <w:r w:rsidR="00A824E1" w:rsidRPr="00A824E1">
        <w:rPr>
          <w:rFonts w:ascii="Verdana" w:hAnsi="Verdana"/>
          <w:sz w:val="20"/>
          <w:szCs w:val="20"/>
          <w:lang w:val="es-CR"/>
        </w:rPr>
        <w:t>En consecuencia</w:t>
      </w:r>
      <w:r w:rsidR="003551CE" w:rsidRPr="00EA18BC">
        <w:rPr>
          <w:rFonts w:ascii="Verdana" w:hAnsi="Verdana"/>
          <w:sz w:val="20"/>
          <w:szCs w:val="20"/>
          <w:lang w:val="es-CR"/>
        </w:rPr>
        <w:t>, el Tribunal no cuenta con información detallada respecto de las acciones llevadas a cabo en el marco del proceso con el fin de dar cumplimiento a</w:t>
      </w:r>
      <w:r w:rsidR="00CB1160">
        <w:rPr>
          <w:rFonts w:ascii="Verdana" w:hAnsi="Verdana"/>
          <w:sz w:val="20"/>
          <w:szCs w:val="20"/>
          <w:lang w:val="es-CR"/>
        </w:rPr>
        <w:t xml:space="preserve"> la medida ordenada en</w:t>
      </w:r>
      <w:r w:rsidR="003551CE" w:rsidRPr="00EA18BC">
        <w:rPr>
          <w:rFonts w:ascii="Verdana" w:hAnsi="Verdana"/>
          <w:sz w:val="20"/>
          <w:szCs w:val="20"/>
          <w:lang w:val="es-CR"/>
        </w:rPr>
        <w:t xml:space="preserve"> la Sentencia.</w:t>
      </w:r>
    </w:p>
    <w:p w14:paraId="5E1ACC21" w14:textId="6645E7A1" w:rsidR="00E2575E" w:rsidRPr="00E2575E" w:rsidDel="00CE70E4" w:rsidRDefault="004A5EBC" w:rsidP="00E2575E">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 xml:space="preserve">Por consiguiente, la Corte considera que se encuentra pendiente de cumplimiento la medida ordenada en el punto resolutivo décimo octavo de la Sentencia. </w:t>
      </w:r>
    </w:p>
    <w:p w14:paraId="02710333" w14:textId="369CE6BC" w:rsidR="005704CF" w:rsidRDefault="005704CF" w:rsidP="00716B6B">
      <w:pPr>
        <w:pStyle w:val="Ttulo1"/>
        <w:spacing w:before="360"/>
        <w:ind w:left="1066" w:hanging="357"/>
      </w:pPr>
      <w:bookmarkStart w:id="4" w:name="_Toc105592216"/>
      <w:r>
        <w:t>Supervisión de cumplimiento de las demás medidas ordenadas en la Sentencia y convocatoria a audiencia</w:t>
      </w:r>
      <w:bookmarkEnd w:id="4"/>
      <w:r>
        <w:t xml:space="preserve"> </w:t>
      </w:r>
    </w:p>
    <w:p w14:paraId="4E97B59D" w14:textId="22D406D3" w:rsidR="00E2575E" w:rsidRDefault="001A3BA3" w:rsidP="00E2575E">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sidRPr="001A3BA3">
        <w:rPr>
          <w:rFonts w:ascii="Verdana" w:hAnsi="Verdana"/>
          <w:sz w:val="20"/>
          <w:szCs w:val="20"/>
          <w:lang w:val="es-CR"/>
        </w:rPr>
        <w:t xml:space="preserve">La Corte observa que la representante alegó que el Estado no ha cumplido con las medidas de reparación ordenadas en la Sentencia, y solicitó al Tribunal que “urgentemente llame a una audiencia” de supervisión. </w:t>
      </w:r>
      <w:r w:rsidR="009B59C9" w:rsidRPr="001A3BA3">
        <w:rPr>
          <w:rFonts w:ascii="Verdana" w:hAnsi="Verdana"/>
          <w:sz w:val="20"/>
          <w:szCs w:val="20"/>
          <w:lang w:val="es-CR"/>
        </w:rPr>
        <w:t xml:space="preserve">Previo a pronunciarse sobre </w:t>
      </w:r>
      <w:r>
        <w:rPr>
          <w:rFonts w:ascii="Verdana" w:hAnsi="Verdana"/>
          <w:sz w:val="20"/>
          <w:szCs w:val="20"/>
          <w:lang w:val="es-CR"/>
        </w:rPr>
        <w:t>la referida</w:t>
      </w:r>
      <w:r w:rsidR="009B59C9" w:rsidRPr="001A3BA3">
        <w:rPr>
          <w:rFonts w:ascii="Verdana" w:hAnsi="Verdana"/>
          <w:sz w:val="20"/>
          <w:szCs w:val="20"/>
          <w:lang w:val="es-CR"/>
        </w:rPr>
        <w:t xml:space="preserve"> </w:t>
      </w:r>
      <w:r w:rsidR="00E2575E">
        <w:rPr>
          <w:rFonts w:ascii="Verdana" w:hAnsi="Verdana"/>
          <w:sz w:val="20"/>
          <w:szCs w:val="20"/>
          <w:lang w:val="es-CR"/>
        </w:rPr>
        <w:t>solicitud</w:t>
      </w:r>
      <w:r w:rsidR="009B59C9" w:rsidRPr="001A3BA3">
        <w:rPr>
          <w:rFonts w:ascii="Verdana" w:hAnsi="Verdana"/>
          <w:sz w:val="20"/>
          <w:szCs w:val="20"/>
          <w:lang w:val="es-CR"/>
        </w:rPr>
        <w:t>, el Tribunal realizará alguna</w:t>
      </w:r>
      <w:r w:rsidR="00F72C2E" w:rsidRPr="001A3BA3">
        <w:rPr>
          <w:rFonts w:ascii="Verdana" w:hAnsi="Verdana"/>
          <w:sz w:val="20"/>
          <w:szCs w:val="20"/>
          <w:lang w:val="es-CR"/>
        </w:rPr>
        <w:t>s</w:t>
      </w:r>
      <w:r w:rsidR="009B59C9" w:rsidRPr="001A3BA3">
        <w:rPr>
          <w:rFonts w:ascii="Verdana" w:hAnsi="Verdana"/>
          <w:sz w:val="20"/>
          <w:szCs w:val="20"/>
          <w:lang w:val="es-CR"/>
        </w:rPr>
        <w:t xml:space="preserve"> consideraciones respecto a la información aportada sobre las restantes medidas de reparación ordenadas</w:t>
      </w:r>
      <w:r w:rsidR="00F23AC6" w:rsidRPr="001A3BA3">
        <w:rPr>
          <w:rFonts w:ascii="Verdana" w:hAnsi="Verdana"/>
          <w:sz w:val="20"/>
          <w:szCs w:val="20"/>
          <w:lang w:val="es-CR"/>
        </w:rPr>
        <w:t>.</w:t>
      </w:r>
    </w:p>
    <w:p w14:paraId="3B167F61" w14:textId="2A253734" w:rsidR="00E2575E" w:rsidRDefault="00E2575E" w:rsidP="00E2575E">
      <w:pPr>
        <w:spacing w:before="120" w:after="120" w:line="240" w:lineRule="auto"/>
        <w:jc w:val="both"/>
        <w:rPr>
          <w:rFonts w:ascii="Verdana" w:hAnsi="Verdana"/>
          <w:sz w:val="20"/>
          <w:szCs w:val="20"/>
          <w:lang w:val="es-CR"/>
        </w:rPr>
      </w:pPr>
    </w:p>
    <w:p w14:paraId="70C38008" w14:textId="77777777" w:rsidR="00E2575E" w:rsidRPr="00E2575E" w:rsidRDefault="00E2575E" w:rsidP="00E2575E">
      <w:pPr>
        <w:spacing w:before="120" w:after="120" w:line="240" w:lineRule="auto"/>
        <w:jc w:val="both"/>
        <w:rPr>
          <w:rFonts w:ascii="Verdana" w:hAnsi="Verdana"/>
          <w:sz w:val="20"/>
          <w:szCs w:val="20"/>
          <w:lang w:val="es-CR"/>
        </w:rPr>
      </w:pPr>
    </w:p>
    <w:p w14:paraId="17AF678B" w14:textId="58F51B2C" w:rsidR="00F23AC6" w:rsidRPr="00F23AC6" w:rsidRDefault="00F23AC6" w:rsidP="00F23AC6">
      <w:pPr>
        <w:pStyle w:val="Ttulo2"/>
      </w:pPr>
      <w:bookmarkStart w:id="5" w:name="_Toc105507133"/>
      <w:bookmarkStart w:id="6" w:name="_Toc105592217"/>
      <w:r w:rsidRPr="004D4B89">
        <w:lastRenderedPageBreak/>
        <w:t>E.1</w:t>
      </w:r>
      <w:r>
        <w:tab/>
      </w:r>
      <w:r w:rsidR="009B59C9">
        <w:t>P</w:t>
      </w:r>
      <w:r w:rsidRPr="00F23AC6">
        <w:t>ublicación y difusión de la Sentencia y su resumen oficial</w:t>
      </w:r>
      <w:bookmarkEnd w:id="5"/>
      <w:bookmarkEnd w:id="6"/>
    </w:p>
    <w:p w14:paraId="2A611D36" w14:textId="565C7822" w:rsidR="00135D4C" w:rsidRPr="00D33667" w:rsidRDefault="00E44CCD" w:rsidP="00135D4C">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En</w:t>
      </w:r>
      <w:r w:rsidR="00135D4C" w:rsidRPr="00D33667">
        <w:rPr>
          <w:rFonts w:ascii="Verdana" w:hAnsi="Verdana"/>
          <w:sz w:val="20"/>
          <w:szCs w:val="20"/>
          <w:lang w:val="es-CR"/>
        </w:rPr>
        <w:t xml:space="preserve"> cuanto a la medida de reparación ordenada en el punto resolutivo décimo séptimo y en el párrafo 398 de la Sentencia, relativa a la publicación y difusión de la Sentencia y su resumen oficial, la Corte dispuso que dichas publicaciones debían ser realizadas por el Estado “[s]i la señora J. así lo desea y manifiesta”</w:t>
      </w:r>
      <w:r w:rsidR="00135D4C">
        <w:rPr>
          <w:rStyle w:val="Refdenotaalpie"/>
          <w:rFonts w:ascii="Verdana" w:hAnsi="Verdana"/>
          <w:sz w:val="20"/>
          <w:szCs w:val="20"/>
          <w:lang w:val="es-CR"/>
        </w:rPr>
        <w:footnoteReference w:id="22"/>
      </w:r>
      <w:r w:rsidR="00135D4C" w:rsidRPr="00D33667">
        <w:rPr>
          <w:rFonts w:ascii="Verdana" w:hAnsi="Verdana"/>
          <w:sz w:val="20"/>
          <w:szCs w:val="20"/>
          <w:lang w:val="es-CR"/>
        </w:rPr>
        <w:t xml:space="preserve">. </w:t>
      </w:r>
      <w:r>
        <w:rPr>
          <w:rFonts w:ascii="Verdana" w:hAnsi="Verdana"/>
          <w:sz w:val="20"/>
          <w:szCs w:val="20"/>
          <w:lang w:val="es-CR"/>
        </w:rPr>
        <w:t xml:space="preserve">Debido a </w:t>
      </w:r>
      <w:r w:rsidR="00135D4C" w:rsidRPr="00D33667">
        <w:rPr>
          <w:rFonts w:ascii="Verdana" w:hAnsi="Verdana"/>
          <w:sz w:val="20"/>
          <w:szCs w:val="20"/>
          <w:lang w:val="es-CR"/>
        </w:rPr>
        <w:t>que la señora J. optó por no solicitar dicha medida de reparación</w:t>
      </w:r>
      <w:r w:rsidR="00135D4C">
        <w:rPr>
          <w:rStyle w:val="Refdenotaalpie"/>
          <w:rFonts w:ascii="Verdana" w:hAnsi="Verdana"/>
          <w:sz w:val="20"/>
          <w:szCs w:val="20"/>
          <w:lang w:val="es-CR"/>
        </w:rPr>
        <w:footnoteReference w:id="23"/>
      </w:r>
      <w:r w:rsidR="00135D4C">
        <w:rPr>
          <w:rFonts w:ascii="Verdana" w:hAnsi="Verdana"/>
          <w:sz w:val="20"/>
          <w:szCs w:val="20"/>
          <w:lang w:val="es-CR"/>
        </w:rPr>
        <w:t xml:space="preserve">, </w:t>
      </w:r>
      <w:r w:rsidR="00135D4C" w:rsidRPr="00D33667">
        <w:rPr>
          <w:rFonts w:ascii="Verdana" w:hAnsi="Verdana"/>
          <w:sz w:val="20"/>
          <w:szCs w:val="20"/>
          <w:lang w:val="es-CR"/>
        </w:rPr>
        <w:t>tomando en consideración la voluntad de la víctima</w:t>
      </w:r>
      <w:r w:rsidR="008E15D5">
        <w:rPr>
          <w:rFonts w:ascii="Verdana" w:hAnsi="Verdana"/>
          <w:sz w:val="20"/>
          <w:szCs w:val="20"/>
          <w:lang w:val="es-CR"/>
        </w:rPr>
        <w:t xml:space="preserve"> y de</w:t>
      </w:r>
      <w:r w:rsidR="008E15D5" w:rsidRPr="00D33667">
        <w:rPr>
          <w:rFonts w:ascii="Verdana" w:hAnsi="Verdana"/>
          <w:sz w:val="20"/>
          <w:szCs w:val="20"/>
          <w:lang w:val="es-CR"/>
        </w:rPr>
        <w:t xml:space="preserve"> la misma forma que ha procedido la Corte en situaciones similares</w:t>
      </w:r>
      <w:r w:rsidR="008E15D5">
        <w:rPr>
          <w:rStyle w:val="Refdenotaalpie"/>
          <w:rFonts w:ascii="Verdana" w:hAnsi="Verdana"/>
          <w:sz w:val="20"/>
          <w:szCs w:val="20"/>
          <w:lang w:val="es-CR"/>
        </w:rPr>
        <w:footnoteReference w:id="24"/>
      </w:r>
      <w:r w:rsidR="00135D4C" w:rsidRPr="00D33667">
        <w:rPr>
          <w:rFonts w:ascii="Verdana" w:hAnsi="Verdana"/>
          <w:sz w:val="20"/>
          <w:szCs w:val="20"/>
          <w:lang w:val="es-CR"/>
        </w:rPr>
        <w:t xml:space="preserve">, el Tribunal considera que el Estado no tiene que dar cumplimiento a esta medida y concluye la supervisión del punto resolutivo décimo séptimo de la Sentencia. </w:t>
      </w:r>
    </w:p>
    <w:p w14:paraId="7114A78C" w14:textId="60CFADFA" w:rsidR="00135D4C" w:rsidRDefault="004D4B89" w:rsidP="00716B6B">
      <w:pPr>
        <w:pStyle w:val="Ttulo2"/>
        <w:spacing w:before="360"/>
        <w:jc w:val="both"/>
      </w:pPr>
      <w:bookmarkStart w:id="7" w:name="_Toc105507134"/>
      <w:bookmarkStart w:id="8" w:name="_Toc105592218"/>
      <w:r>
        <w:t>E</w:t>
      </w:r>
      <w:r w:rsidR="00135D4C">
        <w:t>.2</w:t>
      </w:r>
      <w:r w:rsidR="00135D4C">
        <w:tab/>
      </w:r>
      <w:r w:rsidR="00F23AC6">
        <w:t>Otras</w:t>
      </w:r>
      <w:r w:rsidR="00A836D9">
        <w:t xml:space="preserve"> medidas de reparación pendientes de cumplimiento y convocatoria a audiencia de supervisión de cumplimiento de Sentencia</w:t>
      </w:r>
      <w:bookmarkEnd w:id="7"/>
      <w:bookmarkEnd w:id="8"/>
    </w:p>
    <w:p w14:paraId="3DB0EA37" w14:textId="1835D314" w:rsidR="004A5EBC" w:rsidRDefault="00A836D9" w:rsidP="009948C8">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sidRPr="00595784">
        <w:rPr>
          <w:rFonts w:ascii="Verdana" w:hAnsi="Verdana"/>
          <w:sz w:val="20"/>
          <w:szCs w:val="20"/>
          <w:lang w:val="es-CR"/>
        </w:rPr>
        <w:t>La Corte nota que el Estado no ha informado respecto de avances significativos en la implementación de las medidas ordenadas en la Sentencia.</w:t>
      </w:r>
      <w:r w:rsidR="00EC05D6">
        <w:rPr>
          <w:rFonts w:ascii="Verdana" w:hAnsi="Verdana"/>
          <w:sz w:val="20"/>
          <w:szCs w:val="20"/>
          <w:lang w:val="es-CR"/>
        </w:rPr>
        <w:t xml:space="preserve"> </w:t>
      </w:r>
      <w:r w:rsidR="00FA0DF9">
        <w:rPr>
          <w:rFonts w:ascii="Verdana" w:hAnsi="Verdana"/>
          <w:sz w:val="20"/>
          <w:szCs w:val="20"/>
          <w:lang w:val="es-CR"/>
        </w:rPr>
        <w:t xml:space="preserve">El Estado </w:t>
      </w:r>
      <w:r w:rsidR="00E1757D">
        <w:rPr>
          <w:rFonts w:ascii="Verdana" w:hAnsi="Verdana"/>
          <w:sz w:val="20"/>
          <w:szCs w:val="20"/>
          <w:lang w:val="es-CR"/>
        </w:rPr>
        <w:t xml:space="preserve">comunicó </w:t>
      </w:r>
      <w:r w:rsidR="00FA0DF9">
        <w:rPr>
          <w:rFonts w:ascii="Verdana" w:hAnsi="Verdana"/>
          <w:sz w:val="20"/>
          <w:szCs w:val="20"/>
          <w:lang w:val="es-CR"/>
        </w:rPr>
        <w:t xml:space="preserve">que se encuentra realizando los trámites internos para proceder </w:t>
      </w:r>
      <w:r w:rsidR="00E1757D">
        <w:rPr>
          <w:rFonts w:ascii="Verdana" w:hAnsi="Verdana"/>
          <w:sz w:val="20"/>
          <w:szCs w:val="20"/>
          <w:lang w:val="es-CR"/>
        </w:rPr>
        <w:t>a realizar e</w:t>
      </w:r>
      <w:r w:rsidR="00EC05D6">
        <w:rPr>
          <w:rFonts w:ascii="Verdana" w:hAnsi="Verdana"/>
          <w:sz w:val="20"/>
          <w:szCs w:val="20"/>
          <w:lang w:val="es-CR"/>
        </w:rPr>
        <w:t>l pago de indemnizaciones y reintegro de costas y gastos</w:t>
      </w:r>
      <w:r w:rsidR="00DE2D46">
        <w:rPr>
          <w:rFonts w:ascii="Verdana" w:hAnsi="Verdana"/>
          <w:sz w:val="20"/>
          <w:szCs w:val="20"/>
          <w:lang w:val="es-CR"/>
        </w:rPr>
        <w:t xml:space="preserve">, así como </w:t>
      </w:r>
      <w:r w:rsidR="008D3231">
        <w:rPr>
          <w:rFonts w:ascii="Verdana" w:hAnsi="Verdana"/>
          <w:sz w:val="20"/>
          <w:szCs w:val="20"/>
          <w:lang w:val="es-CR"/>
        </w:rPr>
        <w:t>e</w:t>
      </w:r>
      <w:r w:rsidR="00DE2D46">
        <w:rPr>
          <w:rFonts w:ascii="Verdana" w:hAnsi="Verdana"/>
          <w:sz w:val="20"/>
          <w:szCs w:val="20"/>
          <w:lang w:val="es-CR"/>
        </w:rPr>
        <w:t>l pago, por una única vez, de una suma por concepto de gastos por tratamiento psicológico o psiquiátrico</w:t>
      </w:r>
      <w:r w:rsidR="00FA0DF9">
        <w:rPr>
          <w:rFonts w:ascii="Verdana" w:hAnsi="Verdana"/>
          <w:sz w:val="20"/>
          <w:szCs w:val="20"/>
          <w:lang w:val="es-CR"/>
        </w:rPr>
        <w:t>.</w:t>
      </w:r>
      <w:r w:rsidR="00F72C2E">
        <w:rPr>
          <w:rFonts w:ascii="Verdana" w:hAnsi="Verdana"/>
          <w:sz w:val="20"/>
          <w:szCs w:val="20"/>
          <w:lang w:val="es-CR"/>
        </w:rPr>
        <w:t xml:space="preserve"> </w:t>
      </w:r>
      <w:r w:rsidR="009147D4">
        <w:rPr>
          <w:rFonts w:ascii="Verdana" w:hAnsi="Verdana"/>
          <w:sz w:val="20"/>
          <w:szCs w:val="20"/>
          <w:lang w:val="es-CR"/>
        </w:rPr>
        <w:t>Al respecto, e</w:t>
      </w:r>
      <w:r w:rsidR="00EC05D6">
        <w:rPr>
          <w:rFonts w:ascii="Verdana" w:hAnsi="Verdana"/>
          <w:sz w:val="20"/>
          <w:szCs w:val="20"/>
          <w:lang w:val="es-CR"/>
        </w:rPr>
        <w:t xml:space="preserve">l Tribunal </w:t>
      </w:r>
      <w:r w:rsidR="00DE2D46">
        <w:rPr>
          <w:rFonts w:ascii="Verdana" w:hAnsi="Verdana"/>
          <w:sz w:val="20"/>
          <w:szCs w:val="20"/>
          <w:lang w:val="es-CR"/>
        </w:rPr>
        <w:t>observa</w:t>
      </w:r>
      <w:r w:rsidR="00EC05D6">
        <w:rPr>
          <w:rFonts w:ascii="Verdana" w:hAnsi="Verdana"/>
          <w:sz w:val="20"/>
          <w:szCs w:val="20"/>
          <w:lang w:val="es-CR"/>
        </w:rPr>
        <w:t xml:space="preserve"> con preocupación que </w:t>
      </w:r>
      <w:r w:rsidR="00FA0DF9">
        <w:rPr>
          <w:rFonts w:ascii="Verdana" w:hAnsi="Verdana"/>
          <w:sz w:val="20"/>
          <w:szCs w:val="20"/>
          <w:lang w:val="es-CR"/>
        </w:rPr>
        <w:t xml:space="preserve">han transcurrido siete años </w:t>
      </w:r>
      <w:r w:rsidR="00EC05D6">
        <w:rPr>
          <w:rFonts w:ascii="Verdana" w:hAnsi="Verdana"/>
          <w:sz w:val="20"/>
          <w:szCs w:val="20"/>
          <w:lang w:val="es-CR"/>
        </w:rPr>
        <w:t>desde que vencieron los plazos para el cumplimiento de estas reparaciones</w:t>
      </w:r>
      <w:r w:rsidR="00FA0DF9">
        <w:rPr>
          <w:rFonts w:ascii="Verdana" w:hAnsi="Verdana"/>
          <w:sz w:val="20"/>
          <w:szCs w:val="20"/>
          <w:lang w:val="es-CR"/>
        </w:rPr>
        <w:t>, lo cual</w:t>
      </w:r>
      <w:r w:rsidR="00EC05D6">
        <w:rPr>
          <w:rFonts w:ascii="Verdana" w:hAnsi="Verdana"/>
          <w:sz w:val="20"/>
          <w:szCs w:val="20"/>
          <w:lang w:val="es-CR"/>
        </w:rPr>
        <w:t xml:space="preserve"> </w:t>
      </w:r>
      <w:r w:rsidR="00FA0DF9">
        <w:rPr>
          <w:rFonts w:ascii="Verdana" w:hAnsi="Verdana"/>
          <w:sz w:val="20"/>
          <w:szCs w:val="20"/>
          <w:lang w:val="es-CR"/>
        </w:rPr>
        <w:t>constituye un retraso</w:t>
      </w:r>
      <w:r w:rsidR="00EC05D6">
        <w:rPr>
          <w:rFonts w:ascii="Verdana" w:hAnsi="Verdana"/>
          <w:sz w:val="20"/>
          <w:szCs w:val="20"/>
          <w:lang w:val="es-CR"/>
        </w:rPr>
        <w:t xml:space="preserve"> excesivo</w:t>
      </w:r>
      <w:r w:rsidR="003268D6">
        <w:rPr>
          <w:rFonts w:ascii="Verdana" w:hAnsi="Verdana"/>
          <w:sz w:val="20"/>
          <w:szCs w:val="20"/>
          <w:lang w:val="es-CR"/>
        </w:rPr>
        <w:t>.</w:t>
      </w:r>
      <w:r w:rsidRPr="00595784">
        <w:rPr>
          <w:rFonts w:ascii="Verdana" w:hAnsi="Verdana"/>
          <w:sz w:val="20"/>
          <w:szCs w:val="20"/>
          <w:lang w:val="es-CR"/>
        </w:rPr>
        <w:t xml:space="preserve"> </w:t>
      </w:r>
      <w:r w:rsidR="00FA0DF9">
        <w:rPr>
          <w:rFonts w:ascii="Verdana" w:hAnsi="Verdana"/>
          <w:sz w:val="20"/>
          <w:szCs w:val="20"/>
          <w:lang w:val="es-CR"/>
        </w:rPr>
        <w:t>Por otra parte</w:t>
      </w:r>
      <w:r w:rsidR="00DE2D46">
        <w:rPr>
          <w:rFonts w:ascii="Verdana" w:hAnsi="Verdana"/>
          <w:sz w:val="20"/>
          <w:szCs w:val="20"/>
          <w:lang w:val="es-CR"/>
        </w:rPr>
        <w:t xml:space="preserve">, en cuanto a la investigación penal de los actos violatorios de la integridad personal cometidos en contra de la señora J., </w:t>
      </w:r>
      <w:r w:rsidR="005F29C4">
        <w:rPr>
          <w:rFonts w:ascii="Verdana" w:hAnsi="Verdana"/>
          <w:sz w:val="20"/>
          <w:szCs w:val="20"/>
          <w:lang w:val="es-CR"/>
        </w:rPr>
        <w:t>la información aportada es escueta</w:t>
      </w:r>
      <w:r w:rsidR="00FA0DF9">
        <w:rPr>
          <w:rFonts w:ascii="Verdana" w:hAnsi="Verdana"/>
          <w:sz w:val="20"/>
          <w:szCs w:val="20"/>
          <w:lang w:val="es-CR"/>
        </w:rPr>
        <w:t>.</w:t>
      </w:r>
      <w:r w:rsidR="005F29C4">
        <w:rPr>
          <w:rFonts w:ascii="Verdana" w:hAnsi="Verdana"/>
          <w:sz w:val="20"/>
          <w:szCs w:val="20"/>
          <w:lang w:val="es-CR"/>
        </w:rPr>
        <w:t xml:space="preserve"> </w:t>
      </w:r>
      <w:r w:rsidR="00FA0DF9">
        <w:rPr>
          <w:rFonts w:ascii="Verdana" w:hAnsi="Verdana"/>
          <w:sz w:val="20"/>
          <w:szCs w:val="20"/>
          <w:lang w:val="es-CR"/>
        </w:rPr>
        <w:t>E</w:t>
      </w:r>
      <w:r w:rsidR="00BE31A8">
        <w:rPr>
          <w:rFonts w:ascii="Verdana" w:hAnsi="Verdana"/>
          <w:sz w:val="20"/>
          <w:szCs w:val="20"/>
          <w:lang w:val="es-CR"/>
        </w:rPr>
        <w:t>n su último informe estatal de 2021, Perú señaló que la investigación se encontraba “aún en trámite” ante el Ministerio Público, y que “una vez se desarrollen las acciones correspondientes, se comunicarán”.</w:t>
      </w:r>
    </w:p>
    <w:p w14:paraId="4AEAF74D" w14:textId="36E73094" w:rsidR="008B6372" w:rsidRDefault="004A5EBC" w:rsidP="009948C8">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 xml:space="preserve">Por lo expuesto, la Corte considera que se encuentran pendientes de cumplimiento las reparaciones ordenadas en los puntos resolutivos </w:t>
      </w:r>
      <w:r w:rsidR="00F72C2E">
        <w:rPr>
          <w:rFonts w:ascii="Verdana" w:hAnsi="Verdana"/>
          <w:sz w:val="20"/>
          <w:szCs w:val="20"/>
          <w:lang w:val="es-CR"/>
        </w:rPr>
        <w:t>décimo</w:t>
      </w:r>
      <w:r w:rsidR="00603C67">
        <w:rPr>
          <w:rFonts w:ascii="Verdana" w:hAnsi="Verdana"/>
          <w:sz w:val="20"/>
          <w:szCs w:val="20"/>
          <w:lang w:val="es-CR"/>
        </w:rPr>
        <w:t xml:space="preserve"> quinto, </w:t>
      </w:r>
      <w:r w:rsidR="00F72C2E">
        <w:rPr>
          <w:rFonts w:ascii="Verdana" w:hAnsi="Verdana"/>
          <w:sz w:val="20"/>
          <w:szCs w:val="20"/>
          <w:lang w:val="es-CR"/>
        </w:rPr>
        <w:t>décimo</w:t>
      </w:r>
      <w:r w:rsidR="00603C67">
        <w:rPr>
          <w:rFonts w:ascii="Verdana" w:hAnsi="Verdana"/>
          <w:sz w:val="20"/>
          <w:szCs w:val="20"/>
          <w:lang w:val="es-CR"/>
        </w:rPr>
        <w:t xml:space="preserve"> sexto y décimo noveno de la Sentencia.</w:t>
      </w:r>
    </w:p>
    <w:p w14:paraId="50E81F89" w14:textId="3B8A63CF" w:rsidR="00E52870" w:rsidRDefault="009F170E" w:rsidP="009948C8">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Adicionalmente</w:t>
      </w:r>
      <w:r w:rsidR="00CA1AD0" w:rsidRPr="00595784">
        <w:rPr>
          <w:rFonts w:ascii="Verdana" w:hAnsi="Verdana"/>
          <w:sz w:val="20"/>
          <w:szCs w:val="20"/>
          <w:lang w:val="es-CR"/>
        </w:rPr>
        <w:t xml:space="preserve">, </w:t>
      </w:r>
      <w:r w:rsidR="001F4873">
        <w:rPr>
          <w:rFonts w:ascii="Verdana" w:hAnsi="Verdana"/>
          <w:sz w:val="20"/>
          <w:szCs w:val="20"/>
          <w:lang w:val="es-CR"/>
        </w:rPr>
        <w:t xml:space="preserve">la Corte </w:t>
      </w:r>
      <w:r w:rsidR="00E52870" w:rsidRPr="00595784">
        <w:rPr>
          <w:rFonts w:ascii="Verdana" w:hAnsi="Verdana"/>
          <w:sz w:val="20"/>
          <w:szCs w:val="20"/>
          <w:lang w:val="es-CR"/>
        </w:rPr>
        <w:t>considera</w:t>
      </w:r>
      <w:r w:rsidR="004D4B89">
        <w:rPr>
          <w:rFonts w:ascii="Verdana" w:hAnsi="Verdana"/>
          <w:sz w:val="20"/>
          <w:szCs w:val="20"/>
          <w:lang w:val="es-CR"/>
        </w:rPr>
        <w:t xml:space="preserve"> adecuado acceder a la solicitud </w:t>
      </w:r>
      <w:r w:rsidR="00FA0DF9">
        <w:rPr>
          <w:rFonts w:ascii="Verdana" w:hAnsi="Verdana"/>
          <w:sz w:val="20"/>
          <w:szCs w:val="20"/>
          <w:lang w:val="es-CR"/>
        </w:rPr>
        <w:t xml:space="preserve">efectuada </w:t>
      </w:r>
      <w:r w:rsidR="004D4B89">
        <w:rPr>
          <w:rFonts w:ascii="Verdana" w:hAnsi="Verdana"/>
          <w:sz w:val="20"/>
          <w:szCs w:val="20"/>
          <w:lang w:val="es-CR"/>
        </w:rPr>
        <w:t xml:space="preserve">por la representante de que se convoque a una audiencia </w:t>
      </w:r>
      <w:r w:rsidR="008B6372">
        <w:rPr>
          <w:rFonts w:ascii="Verdana" w:hAnsi="Verdana"/>
          <w:sz w:val="20"/>
          <w:szCs w:val="20"/>
          <w:lang w:val="es-CR"/>
        </w:rPr>
        <w:t>de supervisión de cumplimiento de sentencia</w:t>
      </w:r>
      <w:r w:rsidR="00F72C2E">
        <w:rPr>
          <w:rFonts w:ascii="Verdana" w:hAnsi="Verdana"/>
          <w:sz w:val="20"/>
          <w:szCs w:val="20"/>
          <w:lang w:val="es-CR"/>
        </w:rPr>
        <w:t xml:space="preserve"> </w:t>
      </w:r>
      <w:r w:rsidR="004D4B89">
        <w:rPr>
          <w:rFonts w:ascii="Verdana" w:hAnsi="Verdana"/>
          <w:sz w:val="20"/>
          <w:szCs w:val="20"/>
          <w:lang w:val="es-CR"/>
        </w:rPr>
        <w:t>(</w:t>
      </w:r>
      <w:r w:rsidR="004D4B89">
        <w:rPr>
          <w:rFonts w:ascii="Verdana" w:hAnsi="Verdana"/>
          <w:i/>
          <w:iCs/>
          <w:sz w:val="20"/>
          <w:szCs w:val="20"/>
          <w:lang w:val="es-CR"/>
        </w:rPr>
        <w:t xml:space="preserve">supra </w:t>
      </w:r>
      <w:r w:rsidR="004D4B89">
        <w:rPr>
          <w:rFonts w:ascii="Verdana" w:hAnsi="Verdana"/>
          <w:sz w:val="20"/>
          <w:szCs w:val="20"/>
          <w:lang w:val="es-CR"/>
        </w:rPr>
        <w:t xml:space="preserve">Considerando </w:t>
      </w:r>
      <w:r w:rsidR="00781E30">
        <w:rPr>
          <w:rFonts w:ascii="Verdana" w:hAnsi="Verdana"/>
          <w:sz w:val="20"/>
          <w:szCs w:val="20"/>
          <w:lang w:val="es-CR"/>
        </w:rPr>
        <w:t>22</w:t>
      </w:r>
      <w:r w:rsidR="004D4B89">
        <w:rPr>
          <w:rFonts w:ascii="Verdana" w:hAnsi="Verdana"/>
          <w:sz w:val="20"/>
          <w:szCs w:val="20"/>
          <w:lang w:val="es-CR"/>
        </w:rPr>
        <w:t>)</w:t>
      </w:r>
      <w:r w:rsidR="00AB6EF7">
        <w:rPr>
          <w:rFonts w:ascii="Verdana" w:hAnsi="Verdana"/>
          <w:sz w:val="20"/>
          <w:szCs w:val="20"/>
          <w:lang w:val="es-CR"/>
        </w:rPr>
        <w:t xml:space="preserve">, con el fin de que </w:t>
      </w:r>
      <w:r w:rsidR="00E52870" w:rsidRPr="00595784">
        <w:rPr>
          <w:rFonts w:ascii="Verdana" w:hAnsi="Verdana"/>
          <w:sz w:val="20"/>
          <w:szCs w:val="20"/>
          <w:lang w:val="es-CR"/>
        </w:rPr>
        <w:t xml:space="preserve">las partes presenten información </w:t>
      </w:r>
      <w:r w:rsidR="00FA0DF9">
        <w:rPr>
          <w:rFonts w:ascii="Verdana" w:hAnsi="Verdana"/>
          <w:sz w:val="20"/>
          <w:szCs w:val="20"/>
          <w:lang w:val="es-CR"/>
        </w:rPr>
        <w:t xml:space="preserve">actualizada </w:t>
      </w:r>
      <w:r w:rsidR="00E52870" w:rsidRPr="00595784">
        <w:rPr>
          <w:rFonts w:ascii="Verdana" w:hAnsi="Verdana"/>
          <w:sz w:val="20"/>
          <w:szCs w:val="20"/>
          <w:lang w:val="es-CR"/>
        </w:rPr>
        <w:t>y explicaciones adicionales a este Tribunal, que le brinden mayores elementos para valorar el grado de cumplimiento de</w:t>
      </w:r>
      <w:r w:rsidR="00BE31A8">
        <w:rPr>
          <w:rFonts w:ascii="Verdana" w:hAnsi="Verdana"/>
          <w:sz w:val="20"/>
          <w:szCs w:val="20"/>
          <w:lang w:val="es-CR"/>
        </w:rPr>
        <w:t xml:space="preserve"> todas</w:t>
      </w:r>
      <w:r w:rsidR="00E52870" w:rsidRPr="00595784">
        <w:rPr>
          <w:rFonts w:ascii="Verdana" w:hAnsi="Verdana"/>
          <w:sz w:val="20"/>
          <w:szCs w:val="20"/>
          <w:lang w:val="es-CR"/>
        </w:rPr>
        <w:t xml:space="preserve"> la</w:t>
      </w:r>
      <w:r w:rsidR="00BE31A8">
        <w:rPr>
          <w:rFonts w:ascii="Verdana" w:hAnsi="Verdana"/>
          <w:sz w:val="20"/>
          <w:szCs w:val="20"/>
          <w:lang w:val="es-CR"/>
        </w:rPr>
        <w:t>s</w:t>
      </w:r>
      <w:r w:rsidR="00091461" w:rsidRPr="00595784">
        <w:rPr>
          <w:rFonts w:ascii="Verdana" w:hAnsi="Verdana"/>
          <w:sz w:val="20"/>
          <w:szCs w:val="20"/>
          <w:lang w:val="es-CR"/>
        </w:rPr>
        <w:t xml:space="preserve"> medida</w:t>
      </w:r>
      <w:r w:rsidR="00BE31A8">
        <w:rPr>
          <w:rFonts w:ascii="Verdana" w:hAnsi="Verdana"/>
          <w:sz w:val="20"/>
          <w:szCs w:val="20"/>
          <w:lang w:val="es-CR"/>
        </w:rPr>
        <w:t>s</w:t>
      </w:r>
      <w:r w:rsidR="00091461" w:rsidRPr="00595784">
        <w:rPr>
          <w:rFonts w:ascii="Verdana" w:hAnsi="Verdana"/>
          <w:sz w:val="20"/>
          <w:szCs w:val="20"/>
          <w:lang w:val="es-CR"/>
        </w:rPr>
        <w:t xml:space="preserve"> </w:t>
      </w:r>
      <w:r w:rsidR="00BE31A8">
        <w:rPr>
          <w:rFonts w:ascii="Verdana" w:hAnsi="Verdana"/>
          <w:sz w:val="20"/>
          <w:szCs w:val="20"/>
          <w:lang w:val="es-CR"/>
        </w:rPr>
        <w:t xml:space="preserve">de reparación </w:t>
      </w:r>
      <w:r w:rsidR="00091461" w:rsidRPr="00595784">
        <w:rPr>
          <w:rFonts w:ascii="Verdana" w:hAnsi="Verdana"/>
          <w:sz w:val="20"/>
          <w:szCs w:val="20"/>
          <w:lang w:val="es-CR"/>
        </w:rPr>
        <w:t>ordenada</w:t>
      </w:r>
      <w:r w:rsidR="00BE31A8">
        <w:rPr>
          <w:rFonts w:ascii="Verdana" w:hAnsi="Verdana"/>
          <w:sz w:val="20"/>
          <w:szCs w:val="20"/>
          <w:lang w:val="es-CR"/>
        </w:rPr>
        <w:t>s</w:t>
      </w:r>
      <w:r w:rsidR="00E52870" w:rsidRPr="00595784">
        <w:rPr>
          <w:rFonts w:ascii="Verdana" w:hAnsi="Verdana"/>
          <w:sz w:val="20"/>
          <w:szCs w:val="20"/>
          <w:lang w:val="es-CR"/>
        </w:rPr>
        <w:t xml:space="preserve"> en este caso. </w:t>
      </w:r>
    </w:p>
    <w:p w14:paraId="740EA368" w14:textId="789D7B8E" w:rsidR="00E52870" w:rsidRDefault="00E52870" w:rsidP="00E52870">
      <w:pPr>
        <w:pStyle w:val="Prrafodelista"/>
        <w:numPr>
          <w:ilvl w:val="0"/>
          <w:numId w:val="23"/>
        </w:numPr>
        <w:spacing w:before="120" w:after="120" w:line="240" w:lineRule="auto"/>
        <w:ind w:left="0" w:firstLine="0"/>
        <w:contextualSpacing w:val="0"/>
        <w:jc w:val="both"/>
        <w:rPr>
          <w:rFonts w:ascii="Verdana" w:hAnsi="Verdana"/>
          <w:sz w:val="20"/>
          <w:szCs w:val="20"/>
          <w:lang w:val="es-CR"/>
        </w:rPr>
      </w:pPr>
      <w:r>
        <w:rPr>
          <w:rFonts w:ascii="Verdana" w:hAnsi="Verdana"/>
          <w:sz w:val="20"/>
          <w:szCs w:val="20"/>
          <w:lang w:val="es-CR"/>
        </w:rPr>
        <w:t>Por consiguiente, la Corte considera pertinente convocar a las partes y a la Comisión a una audiencia privada de supervisión de cumplimiento</w:t>
      </w:r>
      <w:r w:rsidR="001A3BA3">
        <w:rPr>
          <w:rFonts w:ascii="Verdana" w:hAnsi="Verdana"/>
          <w:sz w:val="20"/>
          <w:szCs w:val="20"/>
          <w:lang w:val="es-CR"/>
        </w:rPr>
        <w:t xml:space="preserve"> a celebrarse de manera virtual el 7 de octubre de 2022 de las 08:00 a las 09:30 horas, horario de Costa Rica, durante el </w:t>
      </w:r>
      <w:r w:rsidR="001A3BA3" w:rsidRPr="001A3BA3">
        <w:rPr>
          <w:rFonts w:ascii="Verdana" w:hAnsi="Verdana"/>
          <w:sz w:val="20"/>
          <w:szCs w:val="20"/>
          <w:lang w:val="es-CR"/>
        </w:rPr>
        <w:t>152° Período Ordinario de Sesiones de la Corte</w:t>
      </w:r>
      <w:r w:rsidR="00437926">
        <w:rPr>
          <w:rFonts w:ascii="Verdana" w:hAnsi="Verdana"/>
          <w:sz w:val="20"/>
          <w:szCs w:val="20"/>
          <w:lang w:val="es-CR"/>
        </w:rPr>
        <w:t xml:space="preserve">. </w:t>
      </w:r>
      <w:r>
        <w:rPr>
          <w:rFonts w:ascii="Verdana" w:hAnsi="Verdana"/>
          <w:sz w:val="20"/>
          <w:szCs w:val="20"/>
          <w:lang w:val="es-CR"/>
        </w:rPr>
        <w:t>La referida audiencia versará sobre las medidas de reparación ordenadas en</w:t>
      </w:r>
      <w:r w:rsidR="006624D6">
        <w:rPr>
          <w:rFonts w:ascii="Verdana" w:hAnsi="Verdana"/>
          <w:sz w:val="20"/>
          <w:szCs w:val="20"/>
          <w:lang w:val="es-CR"/>
        </w:rPr>
        <w:t xml:space="preserve"> los puntos resolutivos</w:t>
      </w:r>
      <w:r w:rsidR="00960265">
        <w:rPr>
          <w:rFonts w:ascii="Verdana" w:hAnsi="Verdana"/>
          <w:sz w:val="20"/>
          <w:szCs w:val="20"/>
          <w:lang w:val="es-CR"/>
        </w:rPr>
        <w:t xml:space="preserve"> décimo quinto, décimo sexto, décimo octavo</w:t>
      </w:r>
      <w:r w:rsidR="00B34C6F">
        <w:rPr>
          <w:rFonts w:ascii="Verdana" w:hAnsi="Verdana"/>
          <w:sz w:val="20"/>
          <w:szCs w:val="20"/>
          <w:lang w:val="es-CR"/>
        </w:rPr>
        <w:t xml:space="preserve"> y décimo noveno </w:t>
      </w:r>
      <w:r w:rsidR="00F71BA4">
        <w:rPr>
          <w:rFonts w:ascii="Verdana" w:hAnsi="Verdana"/>
          <w:sz w:val="20"/>
          <w:szCs w:val="20"/>
          <w:lang w:val="es-CR"/>
        </w:rPr>
        <w:t>de la Sentencia</w:t>
      </w:r>
      <w:r w:rsidR="006D7AFC">
        <w:rPr>
          <w:rFonts w:ascii="Verdana" w:hAnsi="Verdana"/>
          <w:sz w:val="20"/>
          <w:szCs w:val="20"/>
          <w:lang w:val="es-CR"/>
        </w:rPr>
        <w:t xml:space="preserve"> (</w:t>
      </w:r>
      <w:r w:rsidR="006D7AFC" w:rsidRPr="006D7AFC">
        <w:rPr>
          <w:rFonts w:ascii="Verdana" w:hAnsi="Verdana"/>
          <w:i/>
          <w:iCs/>
          <w:sz w:val="20"/>
          <w:szCs w:val="20"/>
          <w:lang w:val="es-CR"/>
        </w:rPr>
        <w:t>infra</w:t>
      </w:r>
      <w:r w:rsidR="006D7AFC">
        <w:rPr>
          <w:rFonts w:ascii="Verdana" w:hAnsi="Verdana"/>
          <w:sz w:val="20"/>
          <w:szCs w:val="20"/>
          <w:lang w:val="es-CR"/>
        </w:rPr>
        <w:t xml:space="preserve"> punto resolutivo tercero).</w:t>
      </w:r>
    </w:p>
    <w:p w14:paraId="7C7E20C0" w14:textId="77777777" w:rsidR="00146FBD" w:rsidRPr="00146FBD" w:rsidRDefault="00146FBD" w:rsidP="007A6E9B">
      <w:pPr>
        <w:pStyle w:val="Prrafodelista"/>
        <w:spacing w:before="120" w:after="120" w:line="240" w:lineRule="auto"/>
        <w:ind w:left="0"/>
        <w:contextualSpacing w:val="0"/>
        <w:jc w:val="both"/>
        <w:rPr>
          <w:rFonts w:ascii="Verdana" w:hAnsi="Verdana"/>
          <w:sz w:val="20"/>
          <w:szCs w:val="20"/>
          <w:lang w:val="es-CR"/>
        </w:rPr>
      </w:pPr>
    </w:p>
    <w:p w14:paraId="0DBB72C5" w14:textId="77777777" w:rsidR="009F78E3" w:rsidRPr="00141B12" w:rsidRDefault="009F78E3" w:rsidP="007A6E9B">
      <w:pPr>
        <w:pStyle w:val="Prrafodelista"/>
        <w:spacing w:before="120" w:after="120" w:line="240" w:lineRule="auto"/>
        <w:ind w:left="0"/>
        <w:contextualSpacing w:val="0"/>
        <w:jc w:val="both"/>
        <w:rPr>
          <w:rFonts w:ascii="Verdana" w:hAnsi="Verdana"/>
          <w:b/>
          <w:sz w:val="20"/>
          <w:szCs w:val="20"/>
          <w:lang w:val="es-MX"/>
        </w:rPr>
      </w:pPr>
      <w:r>
        <w:rPr>
          <w:rFonts w:ascii="Verdana" w:hAnsi="Verdana"/>
          <w:b/>
          <w:sz w:val="20"/>
          <w:szCs w:val="20"/>
          <w:lang w:val="es-MX"/>
        </w:rPr>
        <w:lastRenderedPageBreak/>
        <w:t>POR TANTO:</w:t>
      </w:r>
    </w:p>
    <w:p w14:paraId="6B2E9D58" w14:textId="77777777" w:rsidR="00625227" w:rsidRDefault="009F78E3" w:rsidP="007A6E9B">
      <w:pPr>
        <w:pStyle w:val="Textoindependiente"/>
        <w:tabs>
          <w:tab w:val="left" w:pos="360"/>
          <w:tab w:val="left" w:pos="567"/>
        </w:tabs>
        <w:spacing w:before="120" w:line="240" w:lineRule="auto"/>
        <w:jc w:val="both"/>
        <w:rPr>
          <w:rFonts w:ascii="Verdana" w:hAnsi="Verdana"/>
          <w:b/>
          <w:sz w:val="20"/>
          <w:lang w:val="es-CR"/>
        </w:rPr>
      </w:pPr>
      <w:r w:rsidRPr="00C16F1F">
        <w:rPr>
          <w:rFonts w:ascii="Verdana" w:hAnsi="Verdana"/>
          <w:b/>
          <w:sz w:val="20"/>
          <w:lang w:val="es-CR"/>
        </w:rPr>
        <w:t>LA CORTE INTERAMERICANA DE DERECHOS HUMANOS,</w:t>
      </w:r>
      <w:r w:rsidR="00625227">
        <w:rPr>
          <w:rFonts w:ascii="Verdana" w:hAnsi="Verdana"/>
          <w:b/>
          <w:sz w:val="20"/>
          <w:lang w:val="es-CR"/>
        </w:rPr>
        <w:t xml:space="preserve"> </w:t>
      </w:r>
    </w:p>
    <w:p w14:paraId="7657387E" w14:textId="358B6117" w:rsidR="009F78E3" w:rsidRPr="00625227" w:rsidRDefault="009F78E3" w:rsidP="007A6E9B">
      <w:pPr>
        <w:pStyle w:val="Textoindependiente"/>
        <w:tabs>
          <w:tab w:val="left" w:pos="360"/>
          <w:tab w:val="left" w:pos="567"/>
        </w:tabs>
        <w:spacing w:before="120" w:line="240" w:lineRule="auto"/>
        <w:jc w:val="both"/>
        <w:rPr>
          <w:rFonts w:ascii="Verdana" w:hAnsi="Verdana"/>
          <w:b/>
          <w:sz w:val="20"/>
          <w:lang w:val="es-CR"/>
        </w:rPr>
      </w:pPr>
      <w:r w:rsidRPr="009F78E3">
        <w:rPr>
          <w:rFonts w:ascii="Verdana" w:hAnsi="Verdana"/>
          <w:sz w:val="20"/>
          <w:lang w:val="es-CR"/>
        </w:rPr>
        <w:t xml:space="preserve">en el ejercicio de </w:t>
      </w:r>
      <w:r w:rsidR="002902B3">
        <w:rPr>
          <w:rFonts w:ascii="Verdana" w:hAnsi="Verdana"/>
          <w:sz w:val="20"/>
          <w:lang w:val="es-CR"/>
        </w:rPr>
        <w:t xml:space="preserve">las atribuciones que le confieren los artículos 63.2 y 68 de la Convención Americana sobre Derechos Humanos y 27, 31.2 </w:t>
      </w:r>
      <w:r w:rsidR="001D4651">
        <w:rPr>
          <w:rFonts w:ascii="Verdana" w:hAnsi="Verdana"/>
          <w:sz w:val="20"/>
          <w:lang w:val="es-CR"/>
        </w:rPr>
        <w:t>y 69 del Reglamento del Tribunal</w:t>
      </w:r>
      <w:r w:rsidRPr="009F78E3">
        <w:rPr>
          <w:rFonts w:ascii="Verdana" w:hAnsi="Verdana"/>
          <w:sz w:val="20"/>
          <w:lang w:val="es-CR"/>
        </w:rPr>
        <w:t>,</w:t>
      </w:r>
    </w:p>
    <w:p w14:paraId="0B1F3FF9" w14:textId="77777777" w:rsidR="00141B12" w:rsidRDefault="00141B12" w:rsidP="007A6E9B">
      <w:pPr>
        <w:tabs>
          <w:tab w:val="left" w:pos="567"/>
        </w:tabs>
        <w:spacing w:before="120" w:after="120" w:line="240" w:lineRule="auto"/>
        <w:ind w:right="22"/>
        <w:jc w:val="both"/>
        <w:rPr>
          <w:rFonts w:ascii="Verdana" w:hAnsi="Verdana"/>
          <w:b/>
          <w:sz w:val="20"/>
          <w:lang w:val="es-CR"/>
        </w:rPr>
      </w:pPr>
    </w:p>
    <w:p w14:paraId="48E5F339" w14:textId="77777777" w:rsidR="00576677" w:rsidRDefault="009F78E3" w:rsidP="007A6E9B">
      <w:pPr>
        <w:tabs>
          <w:tab w:val="left" w:pos="567"/>
        </w:tabs>
        <w:spacing w:before="120" w:after="120" w:line="240" w:lineRule="auto"/>
        <w:ind w:right="22"/>
        <w:jc w:val="both"/>
        <w:rPr>
          <w:rFonts w:ascii="Verdana" w:hAnsi="Verdana"/>
          <w:b/>
          <w:sz w:val="20"/>
          <w:lang w:val="es-CR"/>
        </w:rPr>
      </w:pPr>
      <w:r w:rsidRPr="006F0AF8">
        <w:rPr>
          <w:rFonts w:ascii="Verdana" w:hAnsi="Verdana"/>
          <w:b/>
          <w:sz w:val="20"/>
          <w:lang w:val="es-CR"/>
        </w:rPr>
        <w:t>RESUELVE:</w:t>
      </w:r>
      <w:r w:rsidR="006F0AF8" w:rsidRPr="006F0AF8">
        <w:rPr>
          <w:rFonts w:ascii="Verdana" w:hAnsi="Verdana"/>
          <w:b/>
          <w:sz w:val="20"/>
          <w:lang w:val="es-CR"/>
        </w:rPr>
        <w:t xml:space="preserve"> </w:t>
      </w:r>
    </w:p>
    <w:p w14:paraId="38B09B4A" w14:textId="09F6DAEC" w:rsidR="00B93E0E" w:rsidRDefault="00B93E0E" w:rsidP="007A6E9B">
      <w:pPr>
        <w:numPr>
          <w:ilvl w:val="0"/>
          <w:numId w:val="3"/>
        </w:numPr>
        <w:tabs>
          <w:tab w:val="left" w:pos="567"/>
        </w:tabs>
        <w:spacing w:before="120" w:after="120" w:line="240" w:lineRule="auto"/>
        <w:ind w:left="0" w:firstLine="0"/>
        <w:jc w:val="both"/>
        <w:rPr>
          <w:rFonts w:ascii="Verdana" w:hAnsi="Verdana"/>
          <w:sz w:val="20"/>
          <w:szCs w:val="20"/>
          <w:lang w:val="es-CR"/>
        </w:rPr>
      </w:pPr>
      <w:r w:rsidRPr="00B93E0E">
        <w:rPr>
          <w:rFonts w:ascii="Verdana" w:hAnsi="Verdana"/>
          <w:sz w:val="20"/>
          <w:szCs w:val="20"/>
          <w:lang w:val="es-CR"/>
        </w:rPr>
        <w:t xml:space="preserve">Declarar improcedente la adopción de las medidas provisionales solicitadas por la representante de la víctima </w:t>
      </w:r>
      <w:r w:rsidR="0027168D">
        <w:rPr>
          <w:rFonts w:ascii="Verdana" w:hAnsi="Verdana"/>
          <w:sz w:val="20"/>
          <w:szCs w:val="20"/>
          <w:lang w:val="es-CR"/>
        </w:rPr>
        <w:t xml:space="preserve">del </w:t>
      </w:r>
      <w:r w:rsidR="0027168D">
        <w:rPr>
          <w:rFonts w:ascii="Verdana" w:hAnsi="Verdana"/>
          <w:i/>
          <w:iCs/>
          <w:sz w:val="20"/>
          <w:szCs w:val="20"/>
          <w:lang w:val="es-CR"/>
        </w:rPr>
        <w:t>Caso J. Vs. Perú</w:t>
      </w:r>
      <w:r w:rsidR="0027168D">
        <w:rPr>
          <w:rFonts w:ascii="Verdana" w:hAnsi="Verdana"/>
          <w:sz w:val="20"/>
          <w:szCs w:val="20"/>
          <w:lang w:val="es-CR"/>
        </w:rPr>
        <w:t>, en virtud de que el asunto planteado ante el Tribunal no es materia de medidas provisionales en los términos del artículo 63.2 de la Convención Americana sobre Derechos Humanos, sino que corresponde ser</w:t>
      </w:r>
      <w:r w:rsidR="00ED03C6">
        <w:rPr>
          <w:rFonts w:ascii="Verdana" w:hAnsi="Verdana"/>
          <w:sz w:val="20"/>
          <w:szCs w:val="20"/>
          <w:lang w:val="es-CR"/>
        </w:rPr>
        <w:t xml:space="preserve"> evaluado en el marco de la supervisión de cumplimiento de la Sentencia.</w:t>
      </w:r>
    </w:p>
    <w:p w14:paraId="737CFC3C" w14:textId="13A33BBF" w:rsidR="0073490F" w:rsidRDefault="0073490F" w:rsidP="007A6E9B">
      <w:pPr>
        <w:numPr>
          <w:ilvl w:val="0"/>
          <w:numId w:val="3"/>
        </w:numPr>
        <w:tabs>
          <w:tab w:val="left" w:pos="567"/>
        </w:tabs>
        <w:spacing w:before="120" w:after="120" w:line="240" w:lineRule="auto"/>
        <w:ind w:left="0" w:firstLine="0"/>
        <w:jc w:val="both"/>
        <w:rPr>
          <w:rFonts w:ascii="Verdana" w:hAnsi="Verdana"/>
          <w:sz w:val="20"/>
          <w:szCs w:val="20"/>
          <w:lang w:val="es-CR"/>
        </w:rPr>
      </w:pPr>
      <w:r>
        <w:rPr>
          <w:rFonts w:ascii="Verdana" w:hAnsi="Verdana"/>
          <w:sz w:val="20"/>
          <w:szCs w:val="20"/>
          <w:lang w:val="es-CR"/>
        </w:rPr>
        <w:t xml:space="preserve">Declarar, de conformidad con lo indicado en </w:t>
      </w:r>
      <w:r w:rsidR="00441F42">
        <w:rPr>
          <w:rFonts w:ascii="Verdana" w:hAnsi="Verdana"/>
          <w:sz w:val="20"/>
          <w:szCs w:val="20"/>
          <w:lang w:val="es-CR"/>
        </w:rPr>
        <w:t>el</w:t>
      </w:r>
      <w:r>
        <w:rPr>
          <w:rFonts w:ascii="Verdana" w:hAnsi="Verdana"/>
          <w:sz w:val="20"/>
          <w:szCs w:val="20"/>
          <w:lang w:val="es-CR"/>
        </w:rPr>
        <w:t xml:space="preserve"> Considerando </w:t>
      </w:r>
      <w:r w:rsidR="004B766E">
        <w:rPr>
          <w:rFonts w:ascii="Verdana" w:hAnsi="Verdana"/>
          <w:sz w:val="20"/>
          <w:szCs w:val="20"/>
          <w:lang w:val="es-CR"/>
        </w:rPr>
        <w:t>24</w:t>
      </w:r>
      <w:r>
        <w:rPr>
          <w:rFonts w:ascii="Verdana" w:hAnsi="Verdana"/>
          <w:sz w:val="20"/>
          <w:szCs w:val="20"/>
          <w:lang w:val="es-CR"/>
        </w:rPr>
        <w:t xml:space="preserve"> de la presente Resolución, que ha concluido la supervisión de cumplimiento de las medidas de reparación relativas a la </w:t>
      </w:r>
      <w:r w:rsidR="001A7956">
        <w:rPr>
          <w:rFonts w:ascii="Verdana" w:hAnsi="Verdana"/>
          <w:sz w:val="20"/>
          <w:szCs w:val="20"/>
          <w:lang w:val="es-CR"/>
        </w:rPr>
        <w:t xml:space="preserve">publicación y difusión de la Sentencia y su resumen oficial </w:t>
      </w:r>
      <w:r w:rsidR="001A7956">
        <w:rPr>
          <w:rFonts w:ascii="Verdana" w:hAnsi="Verdana"/>
          <w:i/>
          <w:iCs/>
          <w:sz w:val="20"/>
          <w:szCs w:val="20"/>
          <w:lang w:val="es-CR"/>
        </w:rPr>
        <w:t xml:space="preserve">(punto resolutivo décimo </w:t>
      </w:r>
      <w:r w:rsidR="009B4971">
        <w:rPr>
          <w:rFonts w:ascii="Verdana" w:hAnsi="Verdana"/>
          <w:i/>
          <w:iCs/>
          <w:sz w:val="20"/>
          <w:szCs w:val="20"/>
          <w:lang w:val="es-CR"/>
        </w:rPr>
        <w:t>séptimo de la Sentencia).</w:t>
      </w:r>
    </w:p>
    <w:p w14:paraId="529144B4" w14:textId="305E6AB0" w:rsidR="00F32162" w:rsidRDefault="00441F42" w:rsidP="007A6E9B">
      <w:pPr>
        <w:numPr>
          <w:ilvl w:val="0"/>
          <w:numId w:val="3"/>
        </w:numPr>
        <w:tabs>
          <w:tab w:val="left" w:pos="567"/>
        </w:tabs>
        <w:spacing w:before="120" w:after="120" w:line="240" w:lineRule="auto"/>
        <w:ind w:left="0" w:firstLine="0"/>
        <w:jc w:val="both"/>
        <w:rPr>
          <w:rFonts w:ascii="Verdana" w:hAnsi="Verdana"/>
          <w:sz w:val="20"/>
          <w:szCs w:val="20"/>
          <w:lang w:val="es-CR"/>
        </w:rPr>
      </w:pPr>
      <w:r>
        <w:rPr>
          <w:rFonts w:ascii="Verdana" w:hAnsi="Verdana"/>
          <w:sz w:val="20"/>
          <w:szCs w:val="20"/>
          <w:lang w:val="es-CR"/>
        </w:rPr>
        <w:t xml:space="preserve">Declarar, de conformidad con lo indicado en los Considerandos </w:t>
      </w:r>
      <w:r w:rsidR="00FC6909">
        <w:rPr>
          <w:rFonts w:ascii="Verdana" w:hAnsi="Verdana"/>
          <w:sz w:val="20"/>
          <w:szCs w:val="20"/>
          <w:lang w:val="es-CR"/>
        </w:rPr>
        <w:t>22 y 26</w:t>
      </w:r>
      <w:r>
        <w:rPr>
          <w:rFonts w:ascii="Verdana" w:hAnsi="Verdana"/>
          <w:sz w:val="20"/>
          <w:szCs w:val="20"/>
          <w:lang w:val="es-CR"/>
        </w:rPr>
        <w:t xml:space="preserve"> de esta Resolución, que se encuentran pendientes de cumplimiento las medidas relativas a: </w:t>
      </w:r>
    </w:p>
    <w:p w14:paraId="24638BF4" w14:textId="5A161E02" w:rsidR="005F48FE" w:rsidRDefault="009400E8" w:rsidP="00447D02">
      <w:pPr>
        <w:numPr>
          <w:ilvl w:val="0"/>
          <w:numId w:val="27"/>
        </w:numPr>
        <w:tabs>
          <w:tab w:val="left" w:pos="567"/>
        </w:tabs>
        <w:spacing w:before="120" w:after="120" w:line="240" w:lineRule="auto"/>
        <w:jc w:val="both"/>
        <w:rPr>
          <w:rFonts w:ascii="Verdana" w:hAnsi="Verdana"/>
          <w:sz w:val="20"/>
          <w:szCs w:val="20"/>
          <w:lang w:val="es-CR"/>
        </w:rPr>
      </w:pPr>
      <w:r>
        <w:rPr>
          <w:rFonts w:ascii="Verdana" w:hAnsi="Verdana"/>
          <w:sz w:val="20"/>
          <w:szCs w:val="20"/>
          <w:lang w:val="es-CR"/>
        </w:rPr>
        <w:t xml:space="preserve">iniciar y conducir eficazmente la investigación penal de los actos violatorios de la integridad personal cometidos en contra de la señora J., para determinar las eventuales responsabilidades penales y, en su caso, aplicar efectivamente las sanciones y consecuencias que la ley prevea </w:t>
      </w:r>
      <w:r>
        <w:rPr>
          <w:rFonts w:ascii="Verdana" w:hAnsi="Verdana"/>
          <w:i/>
          <w:iCs/>
          <w:sz w:val="20"/>
          <w:szCs w:val="20"/>
          <w:lang w:val="es-CR"/>
        </w:rPr>
        <w:t>(punto resolutivo décimo quinto de la Sentencia)</w:t>
      </w:r>
      <w:r>
        <w:rPr>
          <w:rFonts w:ascii="Verdana" w:hAnsi="Verdana"/>
          <w:sz w:val="20"/>
          <w:szCs w:val="20"/>
          <w:lang w:val="es-CR"/>
        </w:rPr>
        <w:t>;</w:t>
      </w:r>
    </w:p>
    <w:p w14:paraId="1239831C" w14:textId="77777777" w:rsidR="00F17ADF" w:rsidRDefault="009400E8" w:rsidP="00F17ADF">
      <w:pPr>
        <w:numPr>
          <w:ilvl w:val="0"/>
          <w:numId w:val="27"/>
        </w:numPr>
        <w:tabs>
          <w:tab w:val="left" w:pos="567"/>
        </w:tabs>
        <w:spacing w:before="120" w:after="120" w:line="240" w:lineRule="auto"/>
        <w:jc w:val="both"/>
        <w:rPr>
          <w:rFonts w:ascii="Verdana" w:hAnsi="Verdana"/>
          <w:sz w:val="20"/>
          <w:szCs w:val="20"/>
          <w:lang w:val="es-CR"/>
        </w:rPr>
      </w:pPr>
      <w:r>
        <w:rPr>
          <w:rFonts w:ascii="Verdana" w:hAnsi="Verdana"/>
          <w:sz w:val="20"/>
          <w:szCs w:val="20"/>
          <w:lang w:val="es-CR"/>
        </w:rPr>
        <w:t xml:space="preserve">otorgar a la señora J., por una única vez, la cantidad fijada por concepto de gastos por tratamiento psicológico o psiquiátrico, para que pueda recibir dicha atención en su lugar de residencia </w:t>
      </w:r>
      <w:r>
        <w:rPr>
          <w:rFonts w:ascii="Verdana" w:hAnsi="Verdana"/>
          <w:i/>
          <w:iCs/>
          <w:sz w:val="20"/>
          <w:szCs w:val="20"/>
          <w:lang w:val="es-CR"/>
        </w:rPr>
        <w:t>(punto resolutivo décimo sexto de la Sentencia)</w:t>
      </w:r>
      <w:r>
        <w:rPr>
          <w:rFonts w:ascii="Verdana" w:hAnsi="Verdana"/>
          <w:sz w:val="20"/>
          <w:szCs w:val="20"/>
          <w:lang w:val="es-CR"/>
        </w:rPr>
        <w:t xml:space="preserve">; </w:t>
      </w:r>
    </w:p>
    <w:p w14:paraId="49BF3C92" w14:textId="76AC527B" w:rsidR="009400E8" w:rsidRDefault="00F17ADF" w:rsidP="00F17ADF">
      <w:pPr>
        <w:numPr>
          <w:ilvl w:val="0"/>
          <w:numId w:val="27"/>
        </w:numPr>
        <w:tabs>
          <w:tab w:val="left" w:pos="567"/>
        </w:tabs>
        <w:spacing w:before="120" w:after="120" w:line="240" w:lineRule="auto"/>
        <w:jc w:val="both"/>
        <w:rPr>
          <w:rFonts w:ascii="Verdana" w:hAnsi="Verdana"/>
          <w:sz w:val="20"/>
          <w:szCs w:val="20"/>
          <w:lang w:val="es-CR"/>
        </w:rPr>
      </w:pPr>
      <w:r>
        <w:rPr>
          <w:rFonts w:ascii="Verdana" w:hAnsi="Verdana"/>
          <w:sz w:val="20"/>
          <w:szCs w:val="20"/>
          <w:lang w:val="es-CR"/>
        </w:rPr>
        <w:t xml:space="preserve">  </w:t>
      </w:r>
      <w:r w:rsidRPr="00F17ADF">
        <w:rPr>
          <w:rFonts w:ascii="Verdana" w:hAnsi="Verdana"/>
          <w:sz w:val="20"/>
          <w:szCs w:val="20"/>
          <w:lang w:val="es-CR"/>
        </w:rPr>
        <w:t xml:space="preserve">asegurar que en el proceso seguido contra la señora J. se observen todas las exigencias del debido proceso legal, con plenas garantías de audiencia y defensa para la inculpada </w:t>
      </w:r>
      <w:r w:rsidRPr="00F17ADF">
        <w:rPr>
          <w:rFonts w:ascii="Verdana" w:hAnsi="Verdana"/>
          <w:i/>
          <w:iCs/>
          <w:sz w:val="20"/>
          <w:szCs w:val="20"/>
          <w:lang w:val="es-CR"/>
        </w:rPr>
        <w:t>(punto resolutivo décimo octavo</w:t>
      </w:r>
      <w:r w:rsidR="000D310A">
        <w:rPr>
          <w:rFonts w:ascii="Verdana" w:hAnsi="Verdana"/>
          <w:i/>
          <w:iCs/>
          <w:sz w:val="20"/>
          <w:szCs w:val="20"/>
          <w:lang w:val="es-CR"/>
        </w:rPr>
        <w:t xml:space="preserve"> de la Sentencia)</w:t>
      </w:r>
      <w:r w:rsidR="00C761D7">
        <w:rPr>
          <w:rFonts w:ascii="Verdana" w:hAnsi="Verdana"/>
          <w:i/>
          <w:iCs/>
          <w:sz w:val="20"/>
          <w:szCs w:val="20"/>
          <w:lang w:val="es-CR"/>
        </w:rPr>
        <w:t>;</w:t>
      </w:r>
    </w:p>
    <w:p w14:paraId="4BE7B104" w14:textId="497713F1" w:rsidR="000D310A" w:rsidRDefault="000D310A" w:rsidP="00F17ADF">
      <w:pPr>
        <w:numPr>
          <w:ilvl w:val="0"/>
          <w:numId w:val="27"/>
        </w:numPr>
        <w:tabs>
          <w:tab w:val="left" w:pos="567"/>
        </w:tabs>
        <w:spacing w:before="120" w:after="120" w:line="240" w:lineRule="auto"/>
        <w:jc w:val="both"/>
        <w:rPr>
          <w:rFonts w:ascii="Verdana" w:hAnsi="Verdana"/>
          <w:sz w:val="20"/>
          <w:szCs w:val="20"/>
          <w:lang w:val="es-CR"/>
        </w:rPr>
      </w:pPr>
      <w:r>
        <w:rPr>
          <w:rFonts w:ascii="Verdana" w:hAnsi="Verdana"/>
          <w:sz w:val="20"/>
          <w:szCs w:val="20"/>
          <w:lang w:val="es-CR"/>
        </w:rPr>
        <w:t xml:space="preserve">pagar las cantidades fijadas por concepto de indemnizaciones por daño material e inmaterial </w:t>
      </w:r>
      <w:r>
        <w:rPr>
          <w:rFonts w:ascii="Verdana" w:hAnsi="Verdana"/>
          <w:i/>
          <w:iCs/>
          <w:sz w:val="20"/>
          <w:szCs w:val="20"/>
          <w:lang w:val="es-CR"/>
        </w:rPr>
        <w:t>(punto resolutivo décimo noveno de la Sentencia)</w:t>
      </w:r>
      <w:r w:rsidR="00C761D7">
        <w:rPr>
          <w:rFonts w:ascii="Verdana" w:hAnsi="Verdana"/>
          <w:sz w:val="20"/>
          <w:szCs w:val="20"/>
          <w:lang w:val="es-CR"/>
        </w:rPr>
        <w:t>, y</w:t>
      </w:r>
    </w:p>
    <w:p w14:paraId="7844E581" w14:textId="014C85A3" w:rsidR="00C761D7" w:rsidRPr="00F17ADF" w:rsidRDefault="00C761D7" w:rsidP="00F17ADF">
      <w:pPr>
        <w:numPr>
          <w:ilvl w:val="0"/>
          <w:numId w:val="27"/>
        </w:numPr>
        <w:tabs>
          <w:tab w:val="left" w:pos="567"/>
        </w:tabs>
        <w:spacing w:before="120" w:after="120" w:line="240" w:lineRule="auto"/>
        <w:jc w:val="both"/>
        <w:rPr>
          <w:rFonts w:ascii="Verdana" w:hAnsi="Verdana"/>
          <w:sz w:val="20"/>
          <w:szCs w:val="20"/>
          <w:lang w:val="es-CR"/>
        </w:rPr>
      </w:pPr>
      <w:r>
        <w:rPr>
          <w:rFonts w:ascii="Verdana" w:hAnsi="Verdana"/>
          <w:sz w:val="20"/>
          <w:szCs w:val="20"/>
          <w:lang w:val="es-CR"/>
        </w:rPr>
        <w:t xml:space="preserve">reintegrar las sumas por concepto de costas y gastos </w:t>
      </w:r>
      <w:r>
        <w:rPr>
          <w:rFonts w:ascii="Verdana" w:hAnsi="Verdana"/>
          <w:i/>
          <w:iCs/>
          <w:sz w:val="20"/>
          <w:szCs w:val="20"/>
          <w:lang w:val="es-CR"/>
        </w:rPr>
        <w:t>(punto resolutivo décimo noveno de la Sentencia).</w:t>
      </w:r>
    </w:p>
    <w:p w14:paraId="273AB04A" w14:textId="31B738D6" w:rsidR="00441F42" w:rsidRDefault="00441F42" w:rsidP="007A6E9B">
      <w:pPr>
        <w:numPr>
          <w:ilvl w:val="0"/>
          <w:numId w:val="3"/>
        </w:numPr>
        <w:tabs>
          <w:tab w:val="left" w:pos="567"/>
        </w:tabs>
        <w:spacing w:before="120" w:after="120" w:line="240" w:lineRule="auto"/>
        <w:ind w:left="0" w:firstLine="0"/>
        <w:jc w:val="both"/>
        <w:rPr>
          <w:rFonts w:ascii="Verdana" w:hAnsi="Verdana"/>
          <w:sz w:val="20"/>
          <w:szCs w:val="20"/>
          <w:lang w:val="es-CR"/>
        </w:rPr>
      </w:pPr>
      <w:r>
        <w:rPr>
          <w:rFonts w:ascii="Verdana" w:hAnsi="Verdana"/>
          <w:sz w:val="20"/>
          <w:szCs w:val="20"/>
          <w:lang w:val="es-CR"/>
        </w:rPr>
        <w:t>Mantener abierto el procedimiento de supervisión de cumplimiento respecto de las medidas de reparación indicadas en el punto resolutivo tercero de esta Resolución.</w:t>
      </w:r>
    </w:p>
    <w:p w14:paraId="5CB7047F" w14:textId="0FF27133" w:rsidR="005F48FE" w:rsidRDefault="00292CC9" w:rsidP="007A6E9B">
      <w:pPr>
        <w:numPr>
          <w:ilvl w:val="0"/>
          <w:numId w:val="3"/>
        </w:numPr>
        <w:tabs>
          <w:tab w:val="left" w:pos="567"/>
        </w:tabs>
        <w:spacing w:before="120" w:after="120" w:line="240" w:lineRule="auto"/>
        <w:ind w:left="0" w:firstLine="0"/>
        <w:jc w:val="both"/>
        <w:rPr>
          <w:rFonts w:ascii="Verdana" w:hAnsi="Verdana"/>
          <w:sz w:val="20"/>
          <w:szCs w:val="20"/>
          <w:lang w:val="es-CR"/>
        </w:rPr>
      </w:pPr>
      <w:r>
        <w:rPr>
          <w:rFonts w:ascii="Verdana" w:hAnsi="Verdana"/>
          <w:sz w:val="20"/>
          <w:szCs w:val="20"/>
          <w:lang w:val="es-CR"/>
        </w:rPr>
        <w:t xml:space="preserve">Requerir al Estado que adopte, en definitiva y a la mayor brevedad, todas las </w:t>
      </w:r>
      <w:r w:rsidR="004A2E99">
        <w:rPr>
          <w:rFonts w:ascii="Verdana" w:hAnsi="Verdana"/>
          <w:sz w:val="20"/>
          <w:szCs w:val="20"/>
          <w:lang w:val="es-CR"/>
        </w:rPr>
        <w:t xml:space="preserve">medidas que sean necesarias para dar efectivo </w:t>
      </w:r>
      <w:r w:rsidR="00DB3599">
        <w:rPr>
          <w:rFonts w:ascii="Verdana" w:hAnsi="Verdana"/>
          <w:sz w:val="20"/>
          <w:szCs w:val="20"/>
          <w:lang w:val="es-CR"/>
        </w:rPr>
        <w:t xml:space="preserve">y pronto cumplimiento a las reparaciones indicadas en el punto resolutivo </w:t>
      </w:r>
      <w:r w:rsidR="00FC6909">
        <w:rPr>
          <w:rFonts w:ascii="Verdana" w:hAnsi="Verdana"/>
          <w:sz w:val="20"/>
          <w:szCs w:val="20"/>
          <w:lang w:val="es-CR"/>
        </w:rPr>
        <w:t>tercero</w:t>
      </w:r>
      <w:r w:rsidR="00DB3599">
        <w:rPr>
          <w:rFonts w:ascii="Verdana" w:hAnsi="Verdana"/>
          <w:sz w:val="20"/>
          <w:szCs w:val="20"/>
          <w:lang w:val="es-CR"/>
        </w:rPr>
        <w:t>,</w:t>
      </w:r>
      <w:r w:rsidR="00F37680">
        <w:rPr>
          <w:rFonts w:ascii="Verdana" w:hAnsi="Verdana"/>
          <w:sz w:val="20"/>
          <w:szCs w:val="20"/>
          <w:lang w:val="es-CR"/>
        </w:rPr>
        <w:t xml:space="preserve"> de acuerdo con lo considerado en la presente </w:t>
      </w:r>
      <w:r w:rsidR="0048619C">
        <w:rPr>
          <w:rFonts w:ascii="Verdana" w:hAnsi="Verdana"/>
          <w:sz w:val="20"/>
          <w:szCs w:val="20"/>
          <w:lang w:val="es-CR"/>
        </w:rPr>
        <w:t xml:space="preserve">Resolución, y con lo estipulado en el artículo 68.1 de la Convención Americana sobre Derechos Humanos. </w:t>
      </w:r>
    </w:p>
    <w:p w14:paraId="6B0A25EB" w14:textId="41F9BFE8" w:rsidR="0048619C" w:rsidRDefault="0048619C" w:rsidP="007A6E9B">
      <w:pPr>
        <w:numPr>
          <w:ilvl w:val="0"/>
          <w:numId w:val="3"/>
        </w:numPr>
        <w:tabs>
          <w:tab w:val="left" w:pos="567"/>
        </w:tabs>
        <w:spacing w:before="120" w:after="120" w:line="240" w:lineRule="auto"/>
        <w:ind w:left="0" w:firstLine="0"/>
        <w:jc w:val="both"/>
        <w:rPr>
          <w:rFonts w:ascii="Verdana" w:hAnsi="Verdana"/>
          <w:sz w:val="20"/>
          <w:szCs w:val="20"/>
          <w:lang w:val="es-CR"/>
        </w:rPr>
      </w:pPr>
      <w:r>
        <w:rPr>
          <w:rFonts w:ascii="Verdana" w:hAnsi="Verdana"/>
          <w:sz w:val="20"/>
          <w:szCs w:val="20"/>
          <w:lang w:val="es-CR"/>
        </w:rPr>
        <w:t xml:space="preserve">Convocar a la República del Perú, a la representante de la víctima y a la Comisión Interamericana de Derechos Humanos a una audiencia privada de supervisión de cumplimiento de Sentencia a celebrarse de manera virtual </w:t>
      </w:r>
      <w:r w:rsidR="00156A4D">
        <w:rPr>
          <w:rFonts w:ascii="Verdana" w:hAnsi="Verdana"/>
          <w:sz w:val="20"/>
          <w:szCs w:val="20"/>
          <w:lang w:val="es-CR"/>
        </w:rPr>
        <w:t xml:space="preserve">el </w:t>
      </w:r>
      <w:r w:rsidR="00506069">
        <w:rPr>
          <w:rFonts w:ascii="Verdana" w:hAnsi="Verdana"/>
          <w:sz w:val="20"/>
          <w:szCs w:val="20"/>
          <w:lang w:val="es-CR"/>
        </w:rPr>
        <w:t>7 de octubre de 2022</w:t>
      </w:r>
      <w:r w:rsidR="00156A4D">
        <w:rPr>
          <w:rFonts w:ascii="Verdana" w:hAnsi="Verdana"/>
          <w:sz w:val="20"/>
          <w:szCs w:val="20"/>
          <w:lang w:val="es-CR"/>
        </w:rPr>
        <w:t xml:space="preserve"> de las 08:00 a las 09:30 horas, horario de Costa Rica</w:t>
      </w:r>
      <w:r w:rsidR="00506069">
        <w:rPr>
          <w:rFonts w:ascii="Verdana" w:hAnsi="Verdana"/>
          <w:sz w:val="20"/>
          <w:szCs w:val="20"/>
          <w:lang w:val="es-CR"/>
        </w:rPr>
        <w:t xml:space="preserve">, </w:t>
      </w:r>
      <w:r w:rsidR="00F72C2E" w:rsidRPr="001A3BA3">
        <w:rPr>
          <w:rFonts w:ascii="Verdana" w:hAnsi="Verdana"/>
          <w:sz w:val="20"/>
          <w:szCs w:val="20"/>
          <w:lang w:val="es-CR"/>
        </w:rPr>
        <w:t>durante el 15</w:t>
      </w:r>
      <w:r w:rsidR="00FC6909" w:rsidRPr="001A3BA3">
        <w:rPr>
          <w:rFonts w:ascii="Verdana" w:hAnsi="Verdana"/>
          <w:sz w:val="20"/>
          <w:szCs w:val="20"/>
          <w:lang w:val="es-CR"/>
        </w:rPr>
        <w:t>2</w:t>
      </w:r>
      <w:r w:rsidR="00F72C2E" w:rsidRPr="001A3BA3">
        <w:rPr>
          <w:rFonts w:ascii="Verdana" w:hAnsi="Verdana"/>
          <w:sz w:val="20"/>
          <w:szCs w:val="20"/>
          <w:lang w:val="es-CR"/>
        </w:rPr>
        <w:t>° Período Ordinario de Sesiones de la Corte</w:t>
      </w:r>
      <w:r w:rsidR="00156A4D" w:rsidRPr="001A3BA3">
        <w:rPr>
          <w:rFonts w:ascii="Verdana" w:hAnsi="Verdana"/>
          <w:sz w:val="20"/>
          <w:szCs w:val="20"/>
          <w:lang w:val="es-CR"/>
        </w:rPr>
        <w:t>.</w:t>
      </w:r>
      <w:r w:rsidR="00F72C2E" w:rsidRPr="001A3BA3">
        <w:rPr>
          <w:rFonts w:ascii="Verdana" w:hAnsi="Verdana"/>
          <w:sz w:val="20"/>
          <w:szCs w:val="20"/>
          <w:lang w:val="es-CR"/>
        </w:rPr>
        <w:t xml:space="preserve"> </w:t>
      </w:r>
    </w:p>
    <w:p w14:paraId="3D45FF70" w14:textId="7A72BDE6" w:rsidR="00FC7FB6" w:rsidRDefault="003A5901" w:rsidP="007A6E9B">
      <w:pPr>
        <w:numPr>
          <w:ilvl w:val="0"/>
          <w:numId w:val="3"/>
        </w:numPr>
        <w:tabs>
          <w:tab w:val="left" w:pos="567"/>
        </w:tabs>
        <w:spacing w:before="120" w:after="120" w:line="240" w:lineRule="auto"/>
        <w:ind w:left="0" w:firstLine="0"/>
        <w:jc w:val="both"/>
        <w:rPr>
          <w:rFonts w:ascii="Verdana" w:hAnsi="Verdana"/>
          <w:sz w:val="20"/>
          <w:szCs w:val="20"/>
          <w:lang w:val="es-CR"/>
        </w:rPr>
      </w:pPr>
      <w:r>
        <w:rPr>
          <w:rFonts w:ascii="Verdana" w:hAnsi="Verdana"/>
          <w:sz w:val="20"/>
          <w:szCs w:val="20"/>
          <w:lang w:val="es-CR"/>
        </w:rPr>
        <w:t>Disponer que la Secretaría de la Corte notifique la presente Resolución al Estado</w:t>
      </w:r>
      <w:r w:rsidR="00962243">
        <w:rPr>
          <w:rFonts w:ascii="Verdana" w:hAnsi="Verdana"/>
          <w:sz w:val="20"/>
          <w:szCs w:val="20"/>
          <w:lang w:val="es-CR"/>
        </w:rPr>
        <w:t>, a la representante de la víctima y a la Comisión Interamericana de Derechos Humanos.</w:t>
      </w:r>
    </w:p>
    <w:p w14:paraId="1EEC0F87" w14:textId="77777777" w:rsidR="00FC7FB6" w:rsidRDefault="00FC7FB6">
      <w:pPr>
        <w:spacing w:after="0" w:line="240" w:lineRule="auto"/>
        <w:rPr>
          <w:rFonts w:ascii="Verdana" w:hAnsi="Verdana"/>
          <w:sz w:val="20"/>
          <w:szCs w:val="20"/>
          <w:lang w:val="es-CR"/>
        </w:rPr>
      </w:pPr>
      <w:r>
        <w:rPr>
          <w:rFonts w:ascii="Verdana" w:hAnsi="Verdana"/>
          <w:sz w:val="20"/>
          <w:szCs w:val="20"/>
          <w:lang w:val="es-CR"/>
        </w:rPr>
        <w:br w:type="page"/>
      </w:r>
    </w:p>
    <w:p w14:paraId="611C61F7" w14:textId="77777777" w:rsidR="00FC7FB6" w:rsidRPr="00DE3C38" w:rsidRDefault="00FC7FB6" w:rsidP="00FC7FB6">
      <w:pPr>
        <w:spacing w:after="0" w:line="240" w:lineRule="auto"/>
        <w:jc w:val="both"/>
        <w:rPr>
          <w:rFonts w:ascii="Verdana" w:hAnsi="Verdana"/>
          <w:sz w:val="20"/>
        </w:rPr>
      </w:pPr>
      <w:r w:rsidRPr="00DE3C38">
        <w:rPr>
          <w:rFonts w:ascii="Verdana" w:hAnsi="Verdana" w:cs="Times"/>
          <w:sz w:val="20"/>
          <w:szCs w:val="20"/>
          <w:lang w:eastAsia="es-ES"/>
        </w:rPr>
        <w:lastRenderedPageBreak/>
        <w:t xml:space="preserve">Corte IDH. </w:t>
      </w:r>
      <w:r w:rsidRPr="0095150A">
        <w:rPr>
          <w:rFonts w:ascii="Verdana" w:eastAsia="MS Mincho" w:hAnsi="Verdana"/>
          <w:i/>
          <w:sz w:val="20"/>
          <w:szCs w:val="20"/>
        </w:rPr>
        <w:t>Caso J. Vs. Perú</w:t>
      </w:r>
      <w:r w:rsidRPr="00672620">
        <w:rPr>
          <w:rFonts w:ascii="Verdana" w:eastAsia="MS Mincho" w:hAnsi="Verdana"/>
          <w:i/>
          <w:sz w:val="20"/>
          <w:szCs w:val="20"/>
        </w:rPr>
        <w:t>.</w:t>
      </w:r>
      <w:r w:rsidRPr="006C0215">
        <w:rPr>
          <w:rFonts w:ascii="Verdana" w:eastAsia="MS Mincho" w:hAnsi="Verdana"/>
          <w:i/>
          <w:sz w:val="20"/>
          <w:szCs w:val="20"/>
        </w:rPr>
        <w:t xml:space="preserve"> </w:t>
      </w:r>
      <w:r w:rsidRPr="00672620">
        <w:rPr>
          <w:rFonts w:ascii="Verdana" w:eastAsia="MS Mincho" w:hAnsi="Verdana"/>
          <w:iCs/>
          <w:sz w:val="20"/>
          <w:szCs w:val="20"/>
        </w:rPr>
        <w:t>S</w:t>
      </w:r>
      <w:r>
        <w:rPr>
          <w:rFonts w:ascii="Verdana" w:eastAsia="MS Mincho" w:hAnsi="Verdana"/>
          <w:iCs/>
          <w:sz w:val="20"/>
          <w:szCs w:val="20"/>
        </w:rPr>
        <w:t>olicitud de Medidas Provisionales y S</w:t>
      </w:r>
      <w:r w:rsidRPr="00672620">
        <w:rPr>
          <w:rFonts w:ascii="Verdana" w:eastAsia="MS Mincho" w:hAnsi="Verdana"/>
          <w:iCs/>
          <w:sz w:val="20"/>
          <w:szCs w:val="20"/>
        </w:rPr>
        <w:t>upervisión de Cumplimiento de Sentencia</w:t>
      </w:r>
      <w:r w:rsidRPr="00672620">
        <w:rPr>
          <w:rFonts w:ascii="Verdana" w:hAnsi="Verdana" w:cs="Arial"/>
          <w:iCs/>
          <w:sz w:val="20"/>
        </w:rPr>
        <w:t xml:space="preserve">. </w:t>
      </w:r>
      <w:r w:rsidRPr="00DE3C38">
        <w:rPr>
          <w:rFonts w:ascii="Verdana" w:hAnsi="Verdana"/>
          <w:sz w:val="20"/>
        </w:rPr>
        <w:t xml:space="preserve">Resolución de la Corte Interamericana de Derechos Humanos de </w:t>
      </w:r>
      <w:r>
        <w:rPr>
          <w:rFonts w:ascii="Verdana" w:hAnsi="Verdana"/>
          <w:sz w:val="20"/>
        </w:rPr>
        <w:t>24 de junio de 2022</w:t>
      </w:r>
      <w:r w:rsidRPr="00DE3C38">
        <w:rPr>
          <w:rFonts w:ascii="Verdana" w:hAnsi="Verdana"/>
          <w:sz w:val="20"/>
        </w:rPr>
        <w:t xml:space="preserve">. </w:t>
      </w:r>
      <w:r w:rsidRPr="00DE3C38">
        <w:rPr>
          <w:rFonts w:ascii="Verdana" w:hAnsi="Verdana"/>
          <w:iCs/>
          <w:sz w:val="20"/>
        </w:rPr>
        <w:t>Resolución adoptada en San José de Costa Rica</w:t>
      </w:r>
      <w:r>
        <w:rPr>
          <w:rFonts w:ascii="Verdana" w:hAnsi="Verdana"/>
          <w:iCs/>
          <w:sz w:val="20"/>
        </w:rPr>
        <w:t>.</w:t>
      </w:r>
    </w:p>
    <w:p w14:paraId="18E73C37" w14:textId="77777777" w:rsidR="00FC7FB6" w:rsidRPr="002454AD" w:rsidRDefault="00FC7FB6" w:rsidP="00FC7FB6">
      <w:pPr>
        <w:spacing w:after="0" w:line="240" w:lineRule="auto"/>
        <w:jc w:val="center"/>
        <w:rPr>
          <w:rFonts w:ascii="Verdana" w:eastAsia="Times" w:hAnsi="Verdana"/>
          <w:sz w:val="20"/>
          <w:szCs w:val="20"/>
        </w:rPr>
      </w:pPr>
    </w:p>
    <w:p w14:paraId="79FDCAA4" w14:textId="77777777" w:rsidR="00FC7FB6" w:rsidRPr="0095150A" w:rsidRDefault="00FC7FB6" w:rsidP="00FC7FB6">
      <w:pPr>
        <w:spacing w:after="0" w:line="240" w:lineRule="auto"/>
        <w:jc w:val="center"/>
        <w:rPr>
          <w:rFonts w:ascii="Verdana" w:eastAsia="Times" w:hAnsi="Verdana"/>
          <w:sz w:val="20"/>
          <w:szCs w:val="20"/>
        </w:rPr>
      </w:pPr>
    </w:p>
    <w:p w14:paraId="1853EC6B" w14:textId="77777777" w:rsidR="00FC7FB6" w:rsidRPr="00DE3C38" w:rsidRDefault="00FC7FB6" w:rsidP="00FC7FB6">
      <w:pPr>
        <w:spacing w:after="0" w:line="240" w:lineRule="auto"/>
        <w:jc w:val="center"/>
        <w:rPr>
          <w:rFonts w:ascii="Verdana" w:eastAsia="Times" w:hAnsi="Verdana"/>
          <w:sz w:val="20"/>
          <w:szCs w:val="20"/>
          <w:lang w:val="es-CR"/>
        </w:rPr>
      </w:pPr>
    </w:p>
    <w:p w14:paraId="66A17BA4" w14:textId="77777777" w:rsidR="00FC7FB6" w:rsidRPr="00DE3C38" w:rsidRDefault="00FC7FB6" w:rsidP="00FC7FB6">
      <w:pPr>
        <w:snapToGrid w:val="0"/>
        <w:spacing w:after="0" w:line="240" w:lineRule="auto"/>
        <w:ind w:left="2880" w:firstLine="720"/>
        <w:jc w:val="both"/>
        <w:rPr>
          <w:rFonts w:ascii="Verdana" w:hAnsi="Verdana"/>
          <w:sz w:val="20"/>
          <w:szCs w:val="20"/>
          <w:lang w:val="es-CR"/>
        </w:rPr>
      </w:pPr>
    </w:p>
    <w:p w14:paraId="5C113A50" w14:textId="77777777" w:rsidR="00FC7FB6" w:rsidRPr="00DE3C38" w:rsidRDefault="00FC7FB6" w:rsidP="00FC7FB6">
      <w:pPr>
        <w:snapToGrid w:val="0"/>
        <w:spacing w:after="0" w:line="240" w:lineRule="auto"/>
        <w:ind w:left="2880" w:firstLine="720"/>
        <w:jc w:val="both"/>
        <w:rPr>
          <w:rFonts w:ascii="Verdana" w:hAnsi="Verdana"/>
          <w:sz w:val="20"/>
          <w:szCs w:val="20"/>
          <w:lang w:val="es-CR"/>
        </w:rPr>
      </w:pPr>
    </w:p>
    <w:p w14:paraId="1BF6F2F2" w14:textId="77777777" w:rsidR="00FC7FB6" w:rsidRPr="00DE3C38" w:rsidRDefault="00FC7FB6" w:rsidP="00FC7FB6">
      <w:pPr>
        <w:snapToGrid w:val="0"/>
        <w:spacing w:after="0" w:line="240" w:lineRule="auto"/>
        <w:ind w:firstLine="720"/>
        <w:jc w:val="center"/>
        <w:rPr>
          <w:rFonts w:ascii="Verdana" w:hAnsi="Verdana"/>
          <w:sz w:val="20"/>
          <w:szCs w:val="20"/>
          <w:lang w:val="es-CR"/>
        </w:rPr>
      </w:pPr>
      <w:r w:rsidRPr="00DE3C38">
        <w:rPr>
          <w:rFonts w:ascii="Verdana" w:hAnsi="Verdana"/>
          <w:sz w:val="20"/>
          <w:szCs w:val="20"/>
          <w:lang w:val="es-CR"/>
        </w:rPr>
        <w:t>Ricardo C. Pérez Manrique</w:t>
      </w:r>
    </w:p>
    <w:p w14:paraId="6BD2E642" w14:textId="77777777" w:rsidR="00FC7FB6" w:rsidRPr="00DE3C38" w:rsidRDefault="00FC7FB6" w:rsidP="00FC7FB6">
      <w:pPr>
        <w:snapToGrid w:val="0"/>
        <w:spacing w:after="0" w:line="240" w:lineRule="auto"/>
        <w:ind w:firstLine="720"/>
        <w:jc w:val="center"/>
        <w:rPr>
          <w:rFonts w:ascii="Verdana" w:hAnsi="Verdana"/>
          <w:sz w:val="20"/>
          <w:szCs w:val="20"/>
          <w:lang w:val="es-CR"/>
        </w:rPr>
      </w:pPr>
      <w:r w:rsidRPr="00DE3C38">
        <w:rPr>
          <w:rFonts w:ascii="Verdana" w:hAnsi="Verdana"/>
          <w:sz w:val="20"/>
          <w:szCs w:val="20"/>
          <w:lang w:val="es-CR"/>
        </w:rPr>
        <w:t>Presidente</w:t>
      </w:r>
    </w:p>
    <w:p w14:paraId="14D86299" w14:textId="77777777" w:rsidR="00FC7FB6" w:rsidRPr="00DE3C38" w:rsidRDefault="00FC7FB6" w:rsidP="00FC7FB6">
      <w:pPr>
        <w:snapToGrid w:val="0"/>
        <w:spacing w:after="0" w:line="240" w:lineRule="auto"/>
        <w:ind w:left="2880" w:firstLine="720"/>
        <w:jc w:val="both"/>
        <w:rPr>
          <w:rFonts w:ascii="Verdana" w:hAnsi="Verdana"/>
          <w:sz w:val="20"/>
          <w:szCs w:val="20"/>
          <w:lang w:val="es-CR"/>
        </w:rPr>
      </w:pPr>
    </w:p>
    <w:p w14:paraId="4C4B3B5B" w14:textId="77777777" w:rsidR="00FC7FB6" w:rsidRPr="00DE3C38" w:rsidRDefault="00FC7FB6" w:rsidP="00FC7FB6">
      <w:pPr>
        <w:snapToGrid w:val="0"/>
        <w:spacing w:after="0" w:line="240" w:lineRule="auto"/>
        <w:jc w:val="both"/>
        <w:rPr>
          <w:rFonts w:ascii="Verdana" w:hAnsi="Verdana"/>
          <w:sz w:val="20"/>
          <w:szCs w:val="20"/>
          <w:lang w:val="es-CR"/>
        </w:rPr>
      </w:pPr>
    </w:p>
    <w:p w14:paraId="7D30FF9A" w14:textId="77777777" w:rsidR="00FC7FB6" w:rsidRPr="00DE3C38" w:rsidRDefault="00FC7FB6" w:rsidP="00FC7FB6">
      <w:pPr>
        <w:snapToGrid w:val="0"/>
        <w:spacing w:after="0" w:line="240" w:lineRule="auto"/>
        <w:jc w:val="both"/>
        <w:rPr>
          <w:rFonts w:ascii="Verdana" w:hAnsi="Verdana"/>
          <w:sz w:val="20"/>
          <w:szCs w:val="20"/>
          <w:lang w:val="es-CR"/>
        </w:rPr>
      </w:pPr>
    </w:p>
    <w:p w14:paraId="5BCAA636" w14:textId="77777777" w:rsidR="00FC7FB6" w:rsidRPr="00DE3C38" w:rsidRDefault="00FC7FB6" w:rsidP="00FC7FB6">
      <w:pPr>
        <w:snapToGrid w:val="0"/>
        <w:spacing w:after="0" w:line="240" w:lineRule="auto"/>
        <w:jc w:val="both"/>
        <w:rPr>
          <w:rFonts w:ascii="Verdana" w:hAnsi="Verdana"/>
          <w:sz w:val="20"/>
          <w:szCs w:val="20"/>
          <w:lang w:val="es-CR"/>
        </w:rPr>
      </w:pPr>
    </w:p>
    <w:p w14:paraId="08575BC8" w14:textId="77777777" w:rsidR="00FC7FB6" w:rsidRPr="00DE3C38" w:rsidRDefault="00FC7FB6" w:rsidP="00FC7FB6">
      <w:pPr>
        <w:snapToGrid w:val="0"/>
        <w:spacing w:after="0" w:line="240" w:lineRule="auto"/>
        <w:jc w:val="both"/>
        <w:rPr>
          <w:rFonts w:ascii="Verdana" w:hAnsi="Verdana"/>
          <w:sz w:val="20"/>
          <w:szCs w:val="20"/>
          <w:lang w:val="es-CR"/>
        </w:rPr>
      </w:pPr>
      <w:r w:rsidRPr="00DE3C38">
        <w:rPr>
          <w:rFonts w:ascii="Verdana" w:eastAsia="Times" w:hAnsi="Verdana"/>
          <w:sz w:val="20"/>
          <w:szCs w:val="20"/>
          <w:lang w:val="es-CR"/>
        </w:rPr>
        <w:t>Humberto Antonio Sierra Porto</w:t>
      </w:r>
      <w:r w:rsidRPr="00DE3C38">
        <w:rPr>
          <w:rFonts w:ascii="Verdana" w:hAnsi="Verdana"/>
          <w:sz w:val="20"/>
          <w:szCs w:val="20"/>
          <w:lang w:val="es-CR"/>
        </w:rPr>
        <w:tab/>
      </w:r>
      <w:r w:rsidRPr="00DE3C38">
        <w:rPr>
          <w:rFonts w:ascii="Verdana" w:hAnsi="Verdana"/>
          <w:sz w:val="20"/>
          <w:szCs w:val="20"/>
          <w:lang w:val="es-CR"/>
        </w:rPr>
        <w:tab/>
      </w:r>
      <w:r w:rsidRPr="00DE3C38">
        <w:rPr>
          <w:rFonts w:ascii="Verdana" w:hAnsi="Verdana"/>
          <w:sz w:val="20"/>
          <w:szCs w:val="20"/>
          <w:lang w:val="es-CR"/>
        </w:rPr>
        <w:tab/>
        <w:t xml:space="preserve">       Eduardo Ferrer Mac-Gregor Poisot</w:t>
      </w:r>
      <w:r w:rsidRPr="00DE3C38">
        <w:rPr>
          <w:rFonts w:ascii="Verdana" w:hAnsi="Verdana"/>
          <w:sz w:val="20"/>
          <w:szCs w:val="20"/>
          <w:lang w:val="es-CR"/>
        </w:rPr>
        <w:tab/>
      </w:r>
      <w:r w:rsidRPr="00DE3C38">
        <w:rPr>
          <w:rFonts w:ascii="Verdana" w:hAnsi="Verdana"/>
          <w:sz w:val="20"/>
          <w:szCs w:val="20"/>
          <w:lang w:val="es-CR"/>
        </w:rPr>
        <w:tab/>
      </w:r>
      <w:r w:rsidRPr="00DE3C38">
        <w:rPr>
          <w:rFonts w:ascii="Verdana" w:hAnsi="Verdana"/>
          <w:sz w:val="20"/>
          <w:szCs w:val="20"/>
          <w:lang w:val="es-CR"/>
        </w:rPr>
        <w:tab/>
      </w:r>
      <w:r w:rsidRPr="00DE3C38">
        <w:rPr>
          <w:rFonts w:ascii="Verdana" w:hAnsi="Verdana"/>
          <w:sz w:val="20"/>
          <w:szCs w:val="20"/>
          <w:lang w:val="es-CR"/>
        </w:rPr>
        <w:tab/>
        <w:t xml:space="preserve"> </w:t>
      </w:r>
    </w:p>
    <w:p w14:paraId="1A68CC4B" w14:textId="77777777" w:rsidR="00FC7FB6" w:rsidRPr="00DE3C38" w:rsidRDefault="00FC7FB6" w:rsidP="00FC7FB6">
      <w:pPr>
        <w:snapToGrid w:val="0"/>
        <w:spacing w:after="0" w:line="240" w:lineRule="auto"/>
        <w:jc w:val="both"/>
        <w:rPr>
          <w:rFonts w:ascii="Verdana" w:hAnsi="Verdana"/>
          <w:sz w:val="20"/>
          <w:szCs w:val="20"/>
          <w:lang w:val="es-CR"/>
        </w:rPr>
      </w:pPr>
    </w:p>
    <w:p w14:paraId="41721B68" w14:textId="77777777" w:rsidR="00FC7FB6" w:rsidRPr="00DE3C38" w:rsidRDefault="00FC7FB6" w:rsidP="00FC7FB6">
      <w:pPr>
        <w:snapToGrid w:val="0"/>
        <w:spacing w:after="0" w:line="240" w:lineRule="auto"/>
        <w:jc w:val="both"/>
        <w:rPr>
          <w:rFonts w:ascii="Verdana" w:hAnsi="Verdana"/>
          <w:sz w:val="20"/>
          <w:szCs w:val="20"/>
          <w:lang w:val="es-CR"/>
        </w:rPr>
      </w:pPr>
    </w:p>
    <w:p w14:paraId="51924D88" w14:textId="77777777" w:rsidR="00FC7FB6" w:rsidRPr="00DE3C38" w:rsidRDefault="00FC7FB6" w:rsidP="00FC7FB6">
      <w:pPr>
        <w:snapToGrid w:val="0"/>
        <w:spacing w:after="0" w:line="240" w:lineRule="auto"/>
        <w:jc w:val="both"/>
        <w:rPr>
          <w:rFonts w:ascii="Verdana" w:hAnsi="Verdana"/>
          <w:sz w:val="20"/>
          <w:szCs w:val="20"/>
          <w:lang w:val="es-CR"/>
        </w:rPr>
      </w:pPr>
    </w:p>
    <w:p w14:paraId="74B531B2" w14:textId="77777777" w:rsidR="00FC7FB6" w:rsidRPr="00DE3C38" w:rsidRDefault="00FC7FB6" w:rsidP="00FC7FB6">
      <w:pPr>
        <w:snapToGrid w:val="0"/>
        <w:spacing w:after="0" w:line="240" w:lineRule="auto"/>
        <w:jc w:val="both"/>
        <w:rPr>
          <w:rFonts w:ascii="Verdana" w:hAnsi="Verdana"/>
          <w:sz w:val="20"/>
          <w:szCs w:val="20"/>
          <w:lang w:val="es-CR"/>
        </w:rPr>
      </w:pPr>
    </w:p>
    <w:p w14:paraId="66406AF4" w14:textId="77777777" w:rsidR="00FC7FB6" w:rsidRPr="00DE3C38" w:rsidRDefault="00FC7FB6" w:rsidP="00FC7FB6">
      <w:pPr>
        <w:snapToGrid w:val="0"/>
        <w:spacing w:after="0" w:line="240" w:lineRule="auto"/>
        <w:jc w:val="both"/>
        <w:rPr>
          <w:rFonts w:ascii="Verdana" w:hAnsi="Verdana"/>
          <w:sz w:val="20"/>
          <w:szCs w:val="20"/>
          <w:lang w:val="es-CR"/>
        </w:rPr>
      </w:pPr>
    </w:p>
    <w:p w14:paraId="5054050E" w14:textId="77777777" w:rsidR="00FC7FB6" w:rsidRPr="00DE3C38" w:rsidRDefault="00FC7FB6" w:rsidP="00FC7FB6">
      <w:pPr>
        <w:snapToGrid w:val="0"/>
        <w:spacing w:after="0" w:line="240" w:lineRule="auto"/>
        <w:jc w:val="both"/>
        <w:rPr>
          <w:rFonts w:ascii="Verdana" w:hAnsi="Verdana"/>
          <w:sz w:val="20"/>
          <w:szCs w:val="20"/>
          <w:lang w:val="es-CR"/>
        </w:rPr>
      </w:pPr>
      <w:r w:rsidRPr="00DE3C38">
        <w:rPr>
          <w:rFonts w:ascii="Verdana" w:hAnsi="Verdana"/>
          <w:sz w:val="20"/>
          <w:szCs w:val="20"/>
          <w:lang w:val="es-CR"/>
        </w:rPr>
        <w:t>Nancy Hernández López</w:t>
      </w:r>
      <w:r w:rsidRPr="00DE3C38">
        <w:rPr>
          <w:rFonts w:ascii="Verdana" w:hAnsi="Verdana"/>
          <w:sz w:val="20"/>
          <w:szCs w:val="20"/>
          <w:lang w:val="es-CR"/>
        </w:rPr>
        <w:tab/>
      </w:r>
      <w:r w:rsidRPr="00DE3C38">
        <w:rPr>
          <w:rFonts w:ascii="Verdana" w:hAnsi="Verdana"/>
          <w:sz w:val="20"/>
          <w:szCs w:val="20"/>
          <w:lang w:val="es-CR"/>
        </w:rPr>
        <w:tab/>
      </w:r>
      <w:r w:rsidRPr="00DE3C38">
        <w:rPr>
          <w:rFonts w:ascii="Verdana" w:hAnsi="Verdana"/>
          <w:sz w:val="20"/>
          <w:szCs w:val="20"/>
          <w:lang w:val="es-CR"/>
        </w:rPr>
        <w:tab/>
      </w:r>
      <w:r w:rsidRPr="00DE3C38">
        <w:rPr>
          <w:rFonts w:ascii="Verdana" w:hAnsi="Verdana"/>
          <w:sz w:val="20"/>
          <w:szCs w:val="20"/>
          <w:lang w:val="es-CR"/>
        </w:rPr>
        <w:tab/>
      </w:r>
      <w:r w:rsidRPr="00DE3C38">
        <w:rPr>
          <w:rFonts w:ascii="Verdana" w:hAnsi="Verdana"/>
          <w:sz w:val="20"/>
          <w:szCs w:val="20"/>
          <w:lang w:val="es-CR"/>
        </w:rPr>
        <w:tab/>
      </w:r>
      <w:r w:rsidRPr="00DE3C38">
        <w:rPr>
          <w:rFonts w:ascii="Verdana" w:hAnsi="Verdana"/>
          <w:sz w:val="20"/>
          <w:szCs w:val="20"/>
          <w:lang w:val="es-CR"/>
        </w:rPr>
        <w:tab/>
        <w:t xml:space="preserve">           Verónica Gómez</w:t>
      </w:r>
    </w:p>
    <w:p w14:paraId="4252D1F0" w14:textId="77777777" w:rsidR="00FC7FB6" w:rsidRPr="00DE3C38" w:rsidRDefault="00FC7FB6" w:rsidP="00FC7FB6">
      <w:pPr>
        <w:snapToGrid w:val="0"/>
        <w:spacing w:after="0" w:line="240" w:lineRule="auto"/>
        <w:jc w:val="both"/>
        <w:rPr>
          <w:rFonts w:ascii="Verdana" w:hAnsi="Verdana"/>
          <w:sz w:val="20"/>
          <w:szCs w:val="20"/>
          <w:lang w:val="es-CR"/>
        </w:rPr>
      </w:pPr>
    </w:p>
    <w:p w14:paraId="7E4CB495" w14:textId="77777777" w:rsidR="00FC7FB6" w:rsidRPr="00DE3C38" w:rsidRDefault="00FC7FB6" w:rsidP="00FC7FB6">
      <w:pPr>
        <w:snapToGrid w:val="0"/>
        <w:spacing w:after="0" w:line="240" w:lineRule="auto"/>
        <w:jc w:val="both"/>
        <w:rPr>
          <w:rFonts w:ascii="Verdana" w:hAnsi="Verdana"/>
          <w:sz w:val="20"/>
          <w:szCs w:val="20"/>
          <w:lang w:val="es-CR"/>
        </w:rPr>
      </w:pPr>
    </w:p>
    <w:p w14:paraId="5FB8B482" w14:textId="77777777" w:rsidR="00FC7FB6" w:rsidRPr="00DE3C38" w:rsidRDefault="00FC7FB6" w:rsidP="00FC7FB6">
      <w:pPr>
        <w:snapToGrid w:val="0"/>
        <w:spacing w:after="0" w:line="240" w:lineRule="auto"/>
        <w:jc w:val="both"/>
        <w:rPr>
          <w:rFonts w:ascii="Verdana" w:hAnsi="Verdana"/>
          <w:sz w:val="20"/>
          <w:szCs w:val="20"/>
          <w:lang w:val="es-CR"/>
        </w:rPr>
      </w:pPr>
    </w:p>
    <w:p w14:paraId="4BF1CD25" w14:textId="77777777" w:rsidR="00FC7FB6" w:rsidRPr="00DE3C38" w:rsidRDefault="00FC7FB6" w:rsidP="00FC7FB6">
      <w:pPr>
        <w:snapToGrid w:val="0"/>
        <w:spacing w:after="0" w:line="240" w:lineRule="auto"/>
        <w:jc w:val="both"/>
        <w:rPr>
          <w:rFonts w:ascii="Verdana" w:hAnsi="Verdana"/>
          <w:sz w:val="20"/>
          <w:szCs w:val="20"/>
          <w:lang w:val="es-CR"/>
        </w:rPr>
      </w:pPr>
    </w:p>
    <w:p w14:paraId="1657F031" w14:textId="77777777" w:rsidR="00FC7FB6" w:rsidRPr="00DE3C38" w:rsidRDefault="00FC7FB6" w:rsidP="00FC7FB6">
      <w:pPr>
        <w:snapToGrid w:val="0"/>
        <w:spacing w:after="0" w:line="240" w:lineRule="auto"/>
        <w:jc w:val="both"/>
        <w:rPr>
          <w:rFonts w:ascii="Verdana" w:hAnsi="Verdana"/>
          <w:sz w:val="20"/>
          <w:szCs w:val="20"/>
          <w:lang w:val="es-CR"/>
        </w:rPr>
      </w:pPr>
    </w:p>
    <w:p w14:paraId="46A642EB" w14:textId="77777777" w:rsidR="00FC7FB6" w:rsidRPr="00DE3C38" w:rsidRDefault="00FC7FB6" w:rsidP="00FC7FB6">
      <w:pPr>
        <w:snapToGrid w:val="0"/>
        <w:spacing w:after="0" w:line="240" w:lineRule="auto"/>
        <w:jc w:val="both"/>
        <w:rPr>
          <w:rFonts w:ascii="Verdana" w:hAnsi="Verdana"/>
          <w:sz w:val="20"/>
          <w:szCs w:val="20"/>
          <w:lang w:val="es-CR"/>
        </w:rPr>
      </w:pPr>
    </w:p>
    <w:p w14:paraId="73621745" w14:textId="77777777" w:rsidR="00FC7FB6" w:rsidRPr="00DE3C38" w:rsidRDefault="00FC7FB6" w:rsidP="00FC7FB6">
      <w:pPr>
        <w:spacing w:after="0" w:line="240" w:lineRule="auto"/>
        <w:jc w:val="both"/>
        <w:rPr>
          <w:rFonts w:ascii="Verdana" w:hAnsi="Verdana"/>
          <w:sz w:val="20"/>
          <w:szCs w:val="20"/>
          <w:lang w:val="es-CR"/>
        </w:rPr>
      </w:pPr>
      <w:r w:rsidRPr="00DE3C38">
        <w:rPr>
          <w:rFonts w:ascii="Verdana" w:hAnsi="Verdana"/>
          <w:sz w:val="20"/>
          <w:szCs w:val="20"/>
          <w:lang w:val="es-CR"/>
        </w:rPr>
        <w:t xml:space="preserve">Patricia Pérez Goldberg </w:t>
      </w:r>
      <w:r w:rsidRPr="00DE3C38">
        <w:rPr>
          <w:rFonts w:ascii="Verdana" w:hAnsi="Verdana"/>
          <w:sz w:val="20"/>
          <w:szCs w:val="20"/>
          <w:lang w:val="es-CR"/>
        </w:rPr>
        <w:tab/>
      </w:r>
      <w:r w:rsidRPr="00DE3C38">
        <w:rPr>
          <w:rFonts w:ascii="Verdana" w:hAnsi="Verdana"/>
          <w:sz w:val="20"/>
          <w:szCs w:val="20"/>
          <w:lang w:val="es-CR"/>
        </w:rPr>
        <w:tab/>
      </w:r>
      <w:r w:rsidRPr="00DE3C38">
        <w:rPr>
          <w:rFonts w:ascii="Verdana" w:hAnsi="Verdana"/>
          <w:sz w:val="20"/>
          <w:szCs w:val="20"/>
          <w:lang w:val="es-CR"/>
        </w:rPr>
        <w:tab/>
      </w:r>
      <w:r w:rsidRPr="00DE3C38">
        <w:rPr>
          <w:rFonts w:ascii="Verdana" w:hAnsi="Verdana"/>
          <w:sz w:val="20"/>
          <w:szCs w:val="20"/>
          <w:lang w:val="es-CR"/>
        </w:rPr>
        <w:tab/>
        <w:t xml:space="preserve">     Rodrigo de Bittencourt </w:t>
      </w:r>
      <w:r w:rsidRPr="008605E3">
        <w:rPr>
          <w:rFonts w:ascii="Verdana" w:hAnsi="Verdana"/>
          <w:sz w:val="20"/>
          <w:szCs w:val="20"/>
          <w:lang w:val="es-CR"/>
        </w:rPr>
        <w:t>Mudrovitsch</w:t>
      </w:r>
    </w:p>
    <w:p w14:paraId="1523B378" w14:textId="77777777" w:rsidR="00FC7FB6" w:rsidRPr="00DE3C38" w:rsidRDefault="00FC7FB6" w:rsidP="00FC7FB6">
      <w:pPr>
        <w:spacing w:after="0" w:line="240" w:lineRule="auto"/>
        <w:rPr>
          <w:rFonts w:ascii="Verdana" w:eastAsia="Times" w:hAnsi="Verdana"/>
          <w:sz w:val="20"/>
          <w:szCs w:val="20"/>
          <w:lang w:val="es-CR"/>
        </w:rPr>
      </w:pPr>
    </w:p>
    <w:p w14:paraId="15A8D0BF" w14:textId="77777777" w:rsidR="00FC7FB6" w:rsidRPr="00DE3C38" w:rsidRDefault="00FC7FB6" w:rsidP="00FC7FB6">
      <w:pPr>
        <w:spacing w:after="0" w:line="240" w:lineRule="auto"/>
        <w:jc w:val="both"/>
        <w:rPr>
          <w:rFonts w:ascii="Verdana" w:eastAsia="Times" w:hAnsi="Verdana"/>
          <w:sz w:val="20"/>
          <w:szCs w:val="20"/>
          <w:lang w:val="es-CR"/>
        </w:rPr>
      </w:pPr>
    </w:p>
    <w:p w14:paraId="085CF42D" w14:textId="77777777" w:rsidR="00FC7FB6" w:rsidRPr="00DE3C38" w:rsidRDefault="00FC7FB6" w:rsidP="00FC7FB6">
      <w:pPr>
        <w:spacing w:after="0" w:line="240" w:lineRule="auto"/>
        <w:jc w:val="both"/>
        <w:rPr>
          <w:rFonts w:ascii="Verdana" w:eastAsia="Times" w:hAnsi="Verdana"/>
          <w:sz w:val="20"/>
          <w:szCs w:val="20"/>
          <w:lang w:val="es-CR"/>
        </w:rPr>
      </w:pPr>
    </w:p>
    <w:p w14:paraId="71100C14" w14:textId="77777777" w:rsidR="00FC7FB6" w:rsidRPr="00DE3C38" w:rsidRDefault="00FC7FB6" w:rsidP="00FC7FB6">
      <w:pPr>
        <w:spacing w:after="0" w:line="240" w:lineRule="auto"/>
        <w:jc w:val="both"/>
        <w:rPr>
          <w:rFonts w:ascii="Verdana" w:eastAsia="Times" w:hAnsi="Verdana"/>
          <w:sz w:val="20"/>
          <w:szCs w:val="20"/>
          <w:lang w:val="es-CR"/>
        </w:rPr>
      </w:pPr>
    </w:p>
    <w:p w14:paraId="0FAC6224" w14:textId="77777777" w:rsidR="00FC7FB6" w:rsidRPr="00DE3C38" w:rsidRDefault="00FC7FB6" w:rsidP="00FC7FB6">
      <w:pPr>
        <w:spacing w:after="0" w:line="240" w:lineRule="auto"/>
        <w:jc w:val="both"/>
        <w:rPr>
          <w:rFonts w:ascii="Verdana" w:eastAsia="Times" w:hAnsi="Verdana"/>
          <w:sz w:val="20"/>
          <w:szCs w:val="20"/>
          <w:lang w:val="es-CR"/>
        </w:rPr>
      </w:pPr>
    </w:p>
    <w:p w14:paraId="633DB0C1" w14:textId="77777777" w:rsidR="00FC7FB6" w:rsidRPr="00DE3C38" w:rsidRDefault="00FC7FB6" w:rsidP="00FC7FB6">
      <w:pPr>
        <w:spacing w:after="0" w:line="240" w:lineRule="auto"/>
        <w:jc w:val="both"/>
        <w:rPr>
          <w:rFonts w:ascii="Verdana" w:eastAsia="Times" w:hAnsi="Verdana"/>
          <w:sz w:val="20"/>
          <w:szCs w:val="20"/>
          <w:lang w:val="es-CR"/>
        </w:rPr>
      </w:pPr>
    </w:p>
    <w:p w14:paraId="50B2C65C" w14:textId="77777777" w:rsidR="00FC7FB6" w:rsidRPr="00DE3C38" w:rsidRDefault="00FC7FB6" w:rsidP="00FC7FB6">
      <w:pPr>
        <w:spacing w:after="0" w:line="240" w:lineRule="auto"/>
        <w:jc w:val="both"/>
        <w:rPr>
          <w:rFonts w:ascii="Verdana" w:eastAsia="Times" w:hAnsi="Verdana"/>
          <w:sz w:val="20"/>
          <w:szCs w:val="20"/>
          <w:lang w:val="es-CR"/>
        </w:rPr>
      </w:pPr>
    </w:p>
    <w:p w14:paraId="7570A6FD" w14:textId="77777777" w:rsidR="00FC7FB6" w:rsidRPr="00DE3C38" w:rsidRDefault="00FC7FB6" w:rsidP="00FC7FB6">
      <w:pPr>
        <w:spacing w:after="0" w:line="240" w:lineRule="auto"/>
        <w:jc w:val="center"/>
        <w:rPr>
          <w:rFonts w:ascii="Verdana" w:eastAsia="Times" w:hAnsi="Verdana"/>
          <w:sz w:val="20"/>
          <w:szCs w:val="20"/>
          <w:lang w:val="es-CR"/>
        </w:rPr>
      </w:pPr>
      <w:r w:rsidRPr="00DE3C38">
        <w:rPr>
          <w:rFonts w:ascii="Verdana" w:eastAsia="Times" w:hAnsi="Verdana"/>
          <w:sz w:val="20"/>
          <w:szCs w:val="20"/>
          <w:lang w:val="es-CR"/>
        </w:rPr>
        <w:t>Pablo Saavedra Alessandri</w:t>
      </w:r>
    </w:p>
    <w:p w14:paraId="7DC32381" w14:textId="77777777" w:rsidR="00FC7FB6" w:rsidRPr="00DE3C38" w:rsidRDefault="00FC7FB6" w:rsidP="00FC7FB6">
      <w:pPr>
        <w:spacing w:after="0" w:line="240" w:lineRule="auto"/>
        <w:jc w:val="center"/>
        <w:rPr>
          <w:rFonts w:ascii="Verdana" w:eastAsia="Times" w:hAnsi="Verdana"/>
          <w:sz w:val="20"/>
          <w:szCs w:val="20"/>
          <w:lang w:val="es-CR"/>
        </w:rPr>
      </w:pPr>
      <w:r w:rsidRPr="00DE3C38">
        <w:rPr>
          <w:rFonts w:ascii="Verdana" w:eastAsia="Times" w:hAnsi="Verdana"/>
          <w:sz w:val="20"/>
          <w:szCs w:val="20"/>
          <w:lang w:val="es-CR"/>
        </w:rPr>
        <w:t>Secretario</w:t>
      </w:r>
    </w:p>
    <w:p w14:paraId="423605C6" w14:textId="77777777" w:rsidR="00FC7FB6" w:rsidRPr="00DE3C38" w:rsidRDefault="00FC7FB6" w:rsidP="00FC7FB6">
      <w:pPr>
        <w:spacing w:after="0" w:line="240" w:lineRule="auto"/>
        <w:jc w:val="both"/>
        <w:rPr>
          <w:rFonts w:ascii="Verdana" w:eastAsia="Times" w:hAnsi="Verdana"/>
          <w:sz w:val="20"/>
          <w:szCs w:val="20"/>
          <w:lang w:val="es-CR"/>
        </w:rPr>
      </w:pPr>
    </w:p>
    <w:p w14:paraId="2D8844CA" w14:textId="77777777" w:rsidR="00FC7FB6" w:rsidRPr="00DE3C38" w:rsidRDefault="00FC7FB6" w:rsidP="00FC7FB6">
      <w:pPr>
        <w:spacing w:after="0" w:line="240" w:lineRule="auto"/>
        <w:jc w:val="both"/>
        <w:rPr>
          <w:rFonts w:ascii="Verdana" w:eastAsia="Times" w:hAnsi="Verdana"/>
          <w:sz w:val="20"/>
          <w:szCs w:val="20"/>
          <w:lang w:val="es-CR"/>
        </w:rPr>
      </w:pPr>
      <w:r w:rsidRPr="00DE3C38">
        <w:rPr>
          <w:rFonts w:ascii="Verdana" w:eastAsia="Times" w:hAnsi="Verdana"/>
          <w:sz w:val="20"/>
          <w:szCs w:val="20"/>
          <w:lang w:val="es-CR"/>
        </w:rPr>
        <w:t>Comuníquese y ejecútese,</w:t>
      </w:r>
    </w:p>
    <w:p w14:paraId="5FC3B446" w14:textId="77777777" w:rsidR="00FC7FB6" w:rsidRPr="00DE3C38" w:rsidRDefault="00FC7FB6" w:rsidP="00FC7FB6">
      <w:pPr>
        <w:spacing w:after="0" w:line="240" w:lineRule="auto"/>
        <w:jc w:val="both"/>
        <w:rPr>
          <w:rFonts w:ascii="Verdana" w:eastAsia="Times" w:hAnsi="Verdana"/>
          <w:sz w:val="20"/>
          <w:szCs w:val="20"/>
          <w:lang w:val="es-CR"/>
        </w:rPr>
      </w:pPr>
    </w:p>
    <w:p w14:paraId="71E7D8CA" w14:textId="77777777" w:rsidR="00FC7FB6" w:rsidRPr="00DE3C38" w:rsidRDefault="00FC7FB6" w:rsidP="00FC7FB6">
      <w:pPr>
        <w:spacing w:after="0" w:line="240" w:lineRule="auto"/>
        <w:jc w:val="both"/>
        <w:rPr>
          <w:rFonts w:ascii="Verdana" w:eastAsia="Times" w:hAnsi="Verdana"/>
          <w:sz w:val="20"/>
          <w:szCs w:val="20"/>
          <w:lang w:val="es-CR"/>
        </w:rPr>
      </w:pPr>
    </w:p>
    <w:p w14:paraId="6674A4C8" w14:textId="77777777" w:rsidR="00FC7FB6" w:rsidRPr="00DE3C38" w:rsidRDefault="00FC7FB6" w:rsidP="00FC7FB6">
      <w:pPr>
        <w:spacing w:after="0" w:line="240" w:lineRule="auto"/>
        <w:jc w:val="both"/>
        <w:rPr>
          <w:rFonts w:ascii="Verdana" w:eastAsia="Times" w:hAnsi="Verdana"/>
          <w:sz w:val="20"/>
          <w:szCs w:val="20"/>
          <w:lang w:val="es-CR"/>
        </w:rPr>
      </w:pPr>
    </w:p>
    <w:p w14:paraId="23E27FF9" w14:textId="77777777" w:rsidR="00FC7FB6" w:rsidRPr="00DE3C38" w:rsidRDefault="00FC7FB6" w:rsidP="00FC7FB6">
      <w:pPr>
        <w:snapToGrid w:val="0"/>
        <w:spacing w:after="0" w:line="240" w:lineRule="auto"/>
        <w:ind w:left="2820" w:firstLine="720"/>
        <w:jc w:val="center"/>
        <w:rPr>
          <w:rFonts w:ascii="Verdana" w:hAnsi="Verdana"/>
          <w:sz w:val="20"/>
          <w:szCs w:val="20"/>
          <w:lang w:val="es-CR"/>
        </w:rPr>
      </w:pPr>
      <w:r>
        <w:rPr>
          <w:rFonts w:ascii="Verdana" w:hAnsi="Verdana"/>
          <w:sz w:val="20"/>
          <w:szCs w:val="20"/>
          <w:lang w:val="es-CR"/>
        </w:rPr>
        <w:t xml:space="preserve">          </w:t>
      </w:r>
      <w:r w:rsidRPr="00DE3C38">
        <w:rPr>
          <w:rFonts w:ascii="Verdana" w:hAnsi="Verdana"/>
          <w:sz w:val="20"/>
          <w:szCs w:val="20"/>
          <w:lang w:val="es-CR"/>
        </w:rPr>
        <w:t>Ricardo C. Pérez Manrique</w:t>
      </w:r>
    </w:p>
    <w:p w14:paraId="43543BD6" w14:textId="77777777" w:rsidR="00FC7FB6" w:rsidRPr="00DE3C38" w:rsidRDefault="00FC7FB6" w:rsidP="00FC7FB6">
      <w:pPr>
        <w:snapToGrid w:val="0"/>
        <w:spacing w:after="0" w:line="240" w:lineRule="auto"/>
        <w:ind w:left="3528" w:firstLine="720"/>
        <w:jc w:val="center"/>
        <w:rPr>
          <w:rFonts w:ascii="Verdana" w:hAnsi="Verdana"/>
          <w:sz w:val="20"/>
          <w:szCs w:val="20"/>
          <w:lang w:val="es-CR"/>
        </w:rPr>
      </w:pPr>
      <w:r w:rsidRPr="00DE3C38">
        <w:rPr>
          <w:rFonts w:ascii="Verdana" w:hAnsi="Verdana"/>
          <w:sz w:val="20"/>
          <w:szCs w:val="20"/>
          <w:lang w:val="es-CR"/>
        </w:rPr>
        <w:t>Presidente</w:t>
      </w:r>
    </w:p>
    <w:p w14:paraId="11886C6B" w14:textId="77777777" w:rsidR="00FC7FB6" w:rsidRPr="00DE3C38" w:rsidRDefault="00FC7FB6" w:rsidP="00FC7FB6">
      <w:pPr>
        <w:spacing w:after="0" w:line="240" w:lineRule="auto"/>
        <w:jc w:val="both"/>
        <w:rPr>
          <w:rFonts w:ascii="Verdana" w:eastAsia="Times" w:hAnsi="Verdana"/>
          <w:sz w:val="20"/>
          <w:szCs w:val="20"/>
          <w:lang w:val="es-CR"/>
        </w:rPr>
      </w:pPr>
    </w:p>
    <w:p w14:paraId="39B3F906" w14:textId="77777777" w:rsidR="00FC7FB6" w:rsidRPr="00DE3C38" w:rsidRDefault="00FC7FB6" w:rsidP="00FC7FB6">
      <w:pPr>
        <w:spacing w:after="0" w:line="240" w:lineRule="auto"/>
        <w:jc w:val="both"/>
        <w:rPr>
          <w:rFonts w:ascii="Verdana" w:eastAsia="Times" w:hAnsi="Verdana"/>
          <w:sz w:val="20"/>
          <w:szCs w:val="20"/>
          <w:lang w:val="es-CR"/>
        </w:rPr>
      </w:pPr>
    </w:p>
    <w:p w14:paraId="48651ED7" w14:textId="77777777" w:rsidR="00FC7FB6" w:rsidRPr="00DE3C38" w:rsidRDefault="00FC7FB6" w:rsidP="00FC7FB6">
      <w:pPr>
        <w:spacing w:after="0" w:line="240" w:lineRule="auto"/>
        <w:jc w:val="both"/>
        <w:rPr>
          <w:rFonts w:ascii="Verdana" w:eastAsia="Times" w:hAnsi="Verdana"/>
          <w:sz w:val="20"/>
          <w:szCs w:val="20"/>
          <w:lang w:val="es-CR"/>
        </w:rPr>
      </w:pPr>
    </w:p>
    <w:p w14:paraId="6A5CF8C4" w14:textId="77777777" w:rsidR="00FC7FB6" w:rsidRPr="00DE3C38" w:rsidRDefault="00FC7FB6" w:rsidP="00FC7FB6">
      <w:pPr>
        <w:spacing w:after="0" w:line="240" w:lineRule="auto"/>
        <w:jc w:val="both"/>
        <w:rPr>
          <w:rFonts w:ascii="Verdana" w:eastAsia="Times" w:hAnsi="Verdana"/>
          <w:sz w:val="20"/>
          <w:szCs w:val="20"/>
          <w:lang w:val="es-CR"/>
        </w:rPr>
      </w:pPr>
    </w:p>
    <w:p w14:paraId="0BC06F2B" w14:textId="77777777" w:rsidR="00FC7FB6" w:rsidRPr="00DE3C38" w:rsidRDefault="00FC7FB6" w:rsidP="00FC7FB6">
      <w:pPr>
        <w:spacing w:after="0" w:line="240" w:lineRule="auto"/>
        <w:jc w:val="both"/>
        <w:rPr>
          <w:rFonts w:ascii="Verdana" w:eastAsia="Times" w:hAnsi="Verdana"/>
          <w:sz w:val="20"/>
          <w:szCs w:val="20"/>
          <w:lang w:val="es-CR"/>
        </w:rPr>
      </w:pPr>
    </w:p>
    <w:p w14:paraId="707570AD" w14:textId="77777777" w:rsidR="00FC7FB6" w:rsidRPr="00DE3C38" w:rsidRDefault="00FC7FB6" w:rsidP="00FC7FB6">
      <w:pPr>
        <w:spacing w:after="0" w:line="240" w:lineRule="auto"/>
        <w:jc w:val="both"/>
        <w:rPr>
          <w:rFonts w:ascii="Verdana" w:eastAsia="Times" w:hAnsi="Verdana"/>
          <w:sz w:val="20"/>
          <w:szCs w:val="20"/>
          <w:lang w:val="es-CR"/>
        </w:rPr>
      </w:pPr>
      <w:r w:rsidRPr="00DE3C38">
        <w:rPr>
          <w:rFonts w:ascii="Verdana" w:eastAsia="Times" w:hAnsi="Verdana"/>
          <w:sz w:val="20"/>
          <w:szCs w:val="20"/>
          <w:lang w:val="es-CR"/>
        </w:rPr>
        <w:t>Pablo Saavedra Alessandri</w:t>
      </w:r>
    </w:p>
    <w:p w14:paraId="45A2325C" w14:textId="163DFF83" w:rsidR="003A5901" w:rsidRPr="00FC7FB6" w:rsidRDefault="00FC7FB6" w:rsidP="00FC7FB6">
      <w:pPr>
        <w:spacing w:after="0" w:line="240" w:lineRule="auto"/>
        <w:rPr>
          <w:lang w:val="es-CR"/>
        </w:rPr>
      </w:pPr>
      <w:r w:rsidRPr="00DE3C38">
        <w:rPr>
          <w:rFonts w:ascii="Verdana" w:eastAsia="Times" w:hAnsi="Verdana"/>
          <w:sz w:val="20"/>
          <w:szCs w:val="20"/>
          <w:lang w:val="es-CR"/>
        </w:rPr>
        <w:tab/>
        <w:t>Secretario</w:t>
      </w:r>
    </w:p>
    <w:sectPr w:rsidR="003A5901" w:rsidRPr="00FC7FB6" w:rsidSect="00D4004D">
      <w:footerReference w:type="default" r:id="rId8"/>
      <w:pgSz w:w="12240" w:h="15840"/>
      <w:pgMar w:top="1440" w:right="1325"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C89D3" w14:textId="77777777" w:rsidR="00911171" w:rsidRDefault="00911171" w:rsidP="005A1B3D">
      <w:pPr>
        <w:spacing w:after="0" w:line="240" w:lineRule="auto"/>
      </w:pPr>
      <w:r>
        <w:separator/>
      </w:r>
    </w:p>
    <w:p w14:paraId="54805146" w14:textId="77777777" w:rsidR="00911171" w:rsidRDefault="00911171"/>
  </w:endnote>
  <w:endnote w:type="continuationSeparator" w:id="0">
    <w:p w14:paraId="6B8A0DF0" w14:textId="77777777" w:rsidR="00911171" w:rsidRDefault="00911171" w:rsidP="005A1B3D">
      <w:pPr>
        <w:spacing w:after="0" w:line="240" w:lineRule="auto"/>
      </w:pPr>
      <w:r>
        <w:continuationSeparator/>
      </w:r>
    </w:p>
    <w:p w14:paraId="2A459498" w14:textId="77777777" w:rsidR="00911171" w:rsidRDefault="009111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AED7A" w14:textId="5B6AEDB4" w:rsidR="006D75C5" w:rsidRDefault="008055DB">
    <w:pPr>
      <w:pStyle w:val="Piedepgina"/>
      <w:jc w:val="center"/>
    </w:pPr>
    <w:r>
      <w:t xml:space="preserve">- </w:t>
    </w:r>
    <w:r w:rsidR="006D75C5">
      <w:fldChar w:fldCharType="begin"/>
    </w:r>
    <w:r w:rsidR="006D75C5">
      <w:instrText>PAGE   \* MERGEFORMAT</w:instrText>
    </w:r>
    <w:r w:rsidR="006D75C5">
      <w:fldChar w:fldCharType="separate"/>
    </w:r>
    <w:r w:rsidR="006D75C5">
      <w:rPr>
        <w:lang w:val="es-ES"/>
      </w:rPr>
      <w:t>2</w:t>
    </w:r>
    <w:r w:rsidR="006D75C5">
      <w:fldChar w:fldCharType="end"/>
    </w:r>
    <w:r>
      <w:t xml:space="preserve"> -</w:t>
    </w:r>
  </w:p>
  <w:p w14:paraId="182415C9" w14:textId="77777777" w:rsidR="008127E6" w:rsidRDefault="008127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84C5D" w14:textId="77777777" w:rsidR="00911171" w:rsidRDefault="00911171" w:rsidP="005A1B3D">
      <w:pPr>
        <w:spacing w:after="0" w:line="240" w:lineRule="auto"/>
      </w:pPr>
      <w:r>
        <w:separator/>
      </w:r>
    </w:p>
  </w:footnote>
  <w:footnote w:type="continuationSeparator" w:id="0">
    <w:p w14:paraId="23F51B60" w14:textId="77777777" w:rsidR="00911171" w:rsidRDefault="00911171" w:rsidP="005A1B3D">
      <w:pPr>
        <w:spacing w:after="0" w:line="240" w:lineRule="auto"/>
      </w:pPr>
      <w:r>
        <w:continuationSeparator/>
      </w:r>
    </w:p>
  </w:footnote>
  <w:footnote w:id="1">
    <w:p w14:paraId="4C96A26C" w14:textId="4B9699D8" w:rsidR="00D96B23" w:rsidRPr="00122522" w:rsidRDefault="00D96B23" w:rsidP="00D96B23">
      <w:pPr>
        <w:pStyle w:val="Textonotapie"/>
        <w:jc w:val="both"/>
        <w:rPr>
          <w:rFonts w:ascii="Verdana" w:hAnsi="Verdana"/>
          <w:lang w:val="es-CR"/>
        </w:rPr>
      </w:pPr>
      <w:r w:rsidRPr="00122522">
        <w:rPr>
          <w:rStyle w:val="Refdenotaalpie"/>
          <w:rFonts w:ascii="Verdana" w:hAnsi="Verdana"/>
          <w:sz w:val="16"/>
          <w:szCs w:val="16"/>
        </w:rPr>
        <w:footnoteRef/>
      </w:r>
      <w:r w:rsidRPr="00122522">
        <w:rPr>
          <w:rFonts w:ascii="Verdana" w:hAnsi="Verdana"/>
          <w:sz w:val="16"/>
          <w:szCs w:val="16"/>
          <w:lang w:val="es-CR"/>
        </w:rPr>
        <w:t xml:space="preserve"> </w:t>
      </w:r>
      <w:r w:rsidRPr="00122522">
        <w:rPr>
          <w:rFonts w:ascii="Verdana" w:hAnsi="Verdana"/>
          <w:sz w:val="16"/>
          <w:szCs w:val="16"/>
          <w:lang w:val="es-CR"/>
        </w:rPr>
        <w:tab/>
      </w:r>
      <w:r w:rsidRPr="00122522">
        <w:rPr>
          <w:rFonts w:ascii="Verdana" w:hAnsi="Verdana"/>
          <w:i/>
          <w:iCs/>
          <w:sz w:val="16"/>
          <w:szCs w:val="16"/>
          <w:lang w:val="es-CR"/>
        </w:rPr>
        <w:t>Cfr. Caso J. Vs. Perú. Excepción Preliminar, Fondo, Reparaciones y Costas</w:t>
      </w:r>
      <w:r w:rsidRPr="00122522">
        <w:rPr>
          <w:rFonts w:ascii="Verdana" w:hAnsi="Verdana"/>
          <w:sz w:val="16"/>
          <w:szCs w:val="16"/>
          <w:lang w:val="es-CR"/>
        </w:rPr>
        <w:t xml:space="preserve">. Sentencia de 27 de noviembre de 2013. Serie C No. 275. El texto íntegro de la Sentencia se encuentra disponible en: </w:t>
      </w:r>
      <w:hyperlink r:id="rId1" w:history="1">
        <w:r w:rsidR="000C54BC" w:rsidRPr="006F4390">
          <w:rPr>
            <w:rStyle w:val="Hipervnculo"/>
            <w:rFonts w:ascii="Verdana" w:hAnsi="Verdana"/>
            <w:sz w:val="16"/>
            <w:szCs w:val="16"/>
            <w:lang w:val="es-CR"/>
          </w:rPr>
          <w:t>https://www.corteidh.or.cr/docs/casos/articulos/seriec_275_esp.pdf</w:t>
        </w:r>
      </w:hyperlink>
      <w:r w:rsidRPr="00122522">
        <w:rPr>
          <w:rFonts w:ascii="Verdana" w:hAnsi="Verdana"/>
          <w:sz w:val="16"/>
          <w:szCs w:val="16"/>
          <w:lang w:val="es-CR"/>
        </w:rPr>
        <w:t xml:space="preserve">. La Sentencia fue notificada el 23 de diciembre de 2013.  </w:t>
      </w:r>
    </w:p>
  </w:footnote>
  <w:footnote w:id="2">
    <w:p w14:paraId="49E1D4B0" w14:textId="77777777" w:rsidR="00D96B23" w:rsidRPr="004C4153" w:rsidRDefault="00D96B23" w:rsidP="00D96B23">
      <w:pPr>
        <w:pStyle w:val="Textonotapie"/>
        <w:jc w:val="both"/>
        <w:rPr>
          <w:rFonts w:ascii="Verdana" w:hAnsi="Verdana"/>
          <w:sz w:val="16"/>
          <w:szCs w:val="16"/>
          <w:lang w:val="es-ES"/>
        </w:rPr>
      </w:pPr>
      <w:r w:rsidRPr="004C4153">
        <w:rPr>
          <w:rStyle w:val="Refdenotaalpie"/>
          <w:rFonts w:ascii="Verdana" w:hAnsi="Verdana"/>
          <w:sz w:val="16"/>
          <w:szCs w:val="16"/>
        </w:rPr>
        <w:footnoteRef/>
      </w:r>
      <w:r w:rsidRPr="004C4153">
        <w:rPr>
          <w:rFonts w:ascii="Verdana" w:hAnsi="Verdana"/>
          <w:sz w:val="16"/>
          <w:szCs w:val="16"/>
          <w:lang w:val="es-ES"/>
        </w:rPr>
        <w:t xml:space="preserve"> </w:t>
      </w:r>
      <w:r w:rsidRPr="004C4153">
        <w:rPr>
          <w:rFonts w:ascii="Verdana" w:hAnsi="Verdana"/>
          <w:sz w:val="16"/>
          <w:szCs w:val="16"/>
          <w:lang w:val="es-ES"/>
        </w:rPr>
        <w:tab/>
      </w:r>
      <w:r w:rsidRPr="00122522">
        <w:rPr>
          <w:rFonts w:ascii="Verdana" w:hAnsi="Verdana"/>
          <w:i/>
          <w:iCs/>
          <w:sz w:val="16"/>
          <w:szCs w:val="16"/>
          <w:lang w:val="es-CR"/>
        </w:rPr>
        <w:t xml:space="preserve">Cfr. Caso J. Vs. Perú. </w:t>
      </w:r>
      <w:r>
        <w:rPr>
          <w:rFonts w:ascii="Verdana" w:hAnsi="Verdana"/>
          <w:i/>
          <w:iCs/>
          <w:sz w:val="16"/>
          <w:szCs w:val="16"/>
          <w:lang w:val="es-CR"/>
        </w:rPr>
        <w:t xml:space="preserve">Interpretación de la Sentencia de </w:t>
      </w:r>
      <w:r w:rsidRPr="00122522">
        <w:rPr>
          <w:rFonts w:ascii="Verdana" w:hAnsi="Verdana"/>
          <w:i/>
          <w:iCs/>
          <w:sz w:val="16"/>
          <w:szCs w:val="16"/>
          <w:lang w:val="es-CR"/>
        </w:rPr>
        <w:t>Excepción Preliminar, Fondo, Reparaciones y Costas</w:t>
      </w:r>
      <w:r w:rsidRPr="00122522">
        <w:rPr>
          <w:rFonts w:ascii="Verdana" w:hAnsi="Verdana"/>
          <w:sz w:val="16"/>
          <w:szCs w:val="16"/>
          <w:lang w:val="es-CR"/>
        </w:rPr>
        <w:t xml:space="preserve">. Sentencia de </w:t>
      </w:r>
      <w:r>
        <w:rPr>
          <w:rFonts w:ascii="Verdana" w:hAnsi="Verdana"/>
          <w:sz w:val="16"/>
          <w:szCs w:val="16"/>
          <w:lang w:val="es-CR"/>
        </w:rPr>
        <w:t>20</w:t>
      </w:r>
      <w:r w:rsidRPr="00122522">
        <w:rPr>
          <w:rFonts w:ascii="Verdana" w:hAnsi="Verdana"/>
          <w:sz w:val="16"/>
          <w:szCs w:val="16"/>
          <w:lang w:val="es-CR"/>
        </w:rPr>
        <w:t xml:space="preserve"> de noviembre de </w:t>
      </w:r>
      <w:r>
        <w:rPr>
          <w:rFonts w:ascii="Verdana" w:hAnsi="Verdana"/>
          <w:sz w:val="16"/>
          <w:szCs w:val="16"/>
          <w:lang w:val="es-CR"/>
        </w:rPr>
        <w:t>2014</w:t>
      </w:r>
      <w:r w:rsidRPr="00122522">
        <w:rPr>
          <w:rFonts w:ascii="Verdana" w:hAnsi="Verdana"/>
          <w:sz w:val="16"/>
          <w:szCs w:val="16"/>
          <w:lang w:val="es-CR"/>
        </w:rPr>
        <w:t xml:space="preserve">. Serie C No. </w:t>
      </w:r>
      <w:r>
        <w:rPr>
          <w:rFonts w:ascii="Verdana" w:hAnsi="Verdana"/>
          <w:sz w:val="16"/>
          <w:szCs w:val="16"/>
          <w:lang w:val="es-CR"/>
        </w:rPr>
        <w:t>291</w:t>
      </w:r>
      <w:r w:rsidRPr="00122522">
        <w:rPr>
          <w:rFonts w:ascii="Verdana" w:hAnsi="Verdana"/>
          <w:sz w:val="16"/>
          <w:szCs w:val="16"/>
          <w:lang w:val="es-CR"/>
        </w:rPr>
        <w:t>. El texto íntegro de la Sentencia se encuentra disponible en:</w:t>
      </w:r>
      <w:r>
        <w:rPr>
          <w:rFonts w:ascii="Verdana" w:hAnsi="Verdana"/>
          <w:sz w:val="16"/>
          <w:szCs w:val="16"/>
          <w:lang w:val="es-CR"/>
        </w:rPr>
        <w:t xml:space="preserve"> </w:t>
      </w:r>
      <w:hyperlink r:id="rId2" w:history="1">
        <w:r w:rsidRPr="00192B20">
          <w:rPr>
            <w:rStyle w:val="Hipervnculo"/>
            <w:rFonts w:ascii="Verdana" w:hAnsi="Verdana"/>
            <w:sz w:val="16"/>
            <w:szCs w:val="16"/>
            <w:lang w:val="es-CR"/>
          </w:rPr>
          <w:t>https://www.corteidh.or.cr/docs/casos/articulos/seriec_291_esp.pdf</w:t>
        </w:r>
      </w:hyperlink>
      <w:r>
        <w:rPr>
          <w:rFonts w:ascii="Verdana" w:hAnsi="Verdana"/>
          <w:sz w:val="16"/>
          <w:szCs w:val="16"/>
          <w:lang w:val="es-CR"/>
        </w:rPr>
        <w:t xml:space="preserve">. La Sentencia fue notificada el 18 de diciembre de 2014. </w:t>
      </w:r>
    </w:p>
  </w:footnote>
  <w:footnote w:id="3">
    <w:p w14:paraId="77A93A67" w14:textId="5DC07B71" w:rsidR="002136CF" w:rsidRPr="002136CF" w:rsidRDefault="002136CF" w:rsidP="002136CF">
      <w:pPr>
        <w:pStyle w:val="Textonotapie"/>
        <w:jc w:val="both"/>
        <w:rPr>
          <w:lang w:val="es-CR"/>
        </w:rPr>
      </w:pPr>
      <w:r>
        <w:rPr>
          <w:rStyle w:val="Refdenotaalpie"/>
        </w:rPr>
        <w:footnoteRef/>
      </w:r>
      <w:r w:rsidRPr="002136CF">
        <w:rPr>
          <w:lang w:val="es-CR"/>
        </w:rPr>
        <w:t xml:space="preserve"> </w:t>
      </w:r>
      <w:r>
        <w:rPr>
          <w:lang w:val="es-CR"/>
        </w:rPr>
        <w:tab/>
      </w:r>
      <w:r w:rsidRPr="00122522">
        <w:rPr>
          <w:rFonts w:ascii="Verdana" w:hAnsi="Verdana"/>
          <w:i/>
          <w:iCs/>
          <w:sz w:val="16"/>
          <w:szCs w:val="16"/>
          <w:lang w:val="es-CR"/>
        </w:rPr>
        <w:t>Cfr. Caso</w:t>
      </w:r>
      <w:r>
        <w:rPr>
          <w:rFonts w:ascii="Verdana" w:hAnsi="Verdana"/>
          <w:i/>
          <w:iCs/>
          <w:sz w:val="16"/>
          <w:szCs w:val="16"/>
          <w:lang w:val="es-CR"/>
        </w:rPr>
        <w:t xml:space="preserve">s Osorio Rivera y familiares, J., Penal Miguel Castro Castro, Tarazona Arrieta y otros, Espinoza González, Cruz Sánchez y otros, Canales Huapaya y otros, Comunidad Campesina de Santa Bárbara, Quispialaya Vilcapoma y Tenorio Roca y otros Vs. Perú. Reintegro al Fondo de Asistencia Legal de Víctimas. </w:t>
      </w:r>
      <w:r>
        <w:rPr>
          <w:rFonts w:ascii="Verdana" w:hAnsi="Verdana"/>
          <w:sz w:val="16"/>
          <w:szCs w:val="16"/>
          <w:lang w:val="es-CR"/>
        </w:rPr>
        <w:t xml:space="preserve">Resolución de la Corte Interamericana de Derechos Humanos de 14 de noviembre de 2017. Disponible en: </w:t>
      </w:r>
      <w:hyperlink r:id="rId3" w:history="1">
        <w:r w:rsidR="007534D7" w:rsidRPr="00462D73">
          <w:rPr>
            <w:rStyle w:val="Hipervnculo"/>
            <w:rFonts w:ascii="Verdana" w:hAnsi="Verdana"/>
            <w:sz w:val="16"/>
            <w:szCs w:val="16"/>
            <w:lang w:val="es-CR"/>
          </w:rPr>
          <w:t>https://www.corteidh.or.cr/docs/asuntos/osorivperu_fv_17.pdf</w:t>
        </w:r>
      </w:hyperlink>
      <w:r>
        <w:rPr>
          <w:rFonts w:ascii="Verdana" w:hAnsi="Verdana"/>
          <w:sz w:val="16"/>
          <w:szCs w:val="16"/>
          <w:lang w:val="es-CR"/>
        </w:rPr>
        <w:t xml:space="preserve"> </w:t>
      </w:r>
    </w:p>
  </w:footnote>
  <w:footnote w:id="4">
    <w:p w14:paraId="323272C9" w14:textId="77777777" w:rsidR="00FF725D" w:rsidRPr="00F86C72" w:rsidRDefault="00FF725D" w:rsidP="00FF725D">
      <w:pPr>
        <w:pStyle w:val="Textonotapie"/>
        <w:jc w:val="both"/>
        <w:rPr>
          <w:rFonts w:ascii="Verdana" w:hAnsi="Verdana"/>
          <w:sz w:val="16"/>
          <w:szCs w:val="16"/>
          <w:lang w:val="es-CR"/>
        </w:rPr>
      </w:pPr>
      <w:r w:rsidRPr="00F86C72">
        <w:rPr>
          <w:rStyle w:val="Refdenotaalpie"/>
          <w:rFonts w:ascii="Verdana" w:hAnsi="Verdana"/>
          <w:sz w:val="16"/>
          <w:szCs w:val="16"/>
        </w:rPr>
        <w:footnoteRef/>
      </w:r>
      <w:r w:rsidRPr="00F86C72">
        <w:rPr>
          <w:rFonts w:ascii="Verdana" w:hAnsi="Verdana"/>
          <w:sz w:val="16"/>
          <w:szCs w:val="16"/>
          <w:lang w:val="es-CR"/>
        </w:rPr>
        <w:t xml:space="preserve"> </w:t>
      </w:r>
      <w:r>
        <w:rPr>
          <w:rFonts w:ascii="Verdana" w:hAnsi="Verdana"/>
          <w:sz w:val="16"/>
          <w:szCs w:val="16"/>
          <w:lang w:val="es-CR"/>
        </w:rPr>
        <w:tab/>
      </w:r>
      <w:r w:rsidRPr="00F86C72">
        <w:rPr>
          <w:rFonts w:ascii="Verdana" w:hAnsi="Verdana"/>
          <w:sz w:val="16"/>
          <w:szCs w:val="16"/>
          <w:lang w:val="es-CR"/>
        </w:rPr>
        <w:t xml:space="preserve">La </w:t>
      </w:r>
      <w:r>
        <w:rPr>
          <w:rFonts w:ascii="Verdana" w:hAnsi="Verdana"/>
          <w:sz w:val="16"/>
          <w:szCs w:val="16"/>
          <w:lang w:val="es-CR"/>
        </w:rPr>
        <w:t>señora Mónica Feria Tinta.</w:t>
      </w:r>
    </w:p>
  </w:footnote>
  <w:footnote w:id="5">
    <w:p w14:paraId="691A73EC" w14:textId="5A4D691A" w:rsidR="00FC483A" w:rsidRPr="00744159" w:rsidRDefault="00FC483A" w:rsidP="00744159">
      <w:pPr>
        <w:pStyle w:val="Textonotapie"/>
        <w:jc w:val="both"/>
        <w:rPr>
          <w:rFonts w:ascii="Verdana" w:hAnsi="Verdana"/>
          <w:sz w:val="16"/>
          <w:szCs w:val="16"/>
          <w:lang w:val="es-ES"/>
        </w:rPr>
      </w:pPr>
      <w:r w:rsidRPr="00744159">
        <w:rPr>
          <w:rStyle w:val="Refdenotaalpie"/>
          <w:rFonts w:ascii="Verdana" w:hAnsi="Verdana"/>
          <w:sz w:val="16"/>
          <w:szCs w:val="16"/>
        </w:rPr>
        <w:footnoteRef/>
      </w:r>
      <w:r w:rsidRPr="00744159">
        <w:rPr>
          <w:rFonts w:ascii="Verdana" w:hAnsi="Verdana"/>
          <w:sz w:val="16"/>
          <w:szCs w:val="16"/>
          <w:lang w:val="es-ES"/>
        </w:rPr>
        <w:t xml:space="preserve"> </w:t>
      </w:r>
      <w:r w:rsidRPr="00744159">
        <w:rPr>
          <w:rFonts w:ascii="Verdana" w:hAnsi="Verdana"/>
          <w:sz w:val="16"/>
          <w:szCs w:val="16"/>
          <w:lang w:val="es-ES"/>
        </w:rPr>
        <w:tab/>
        <w:t xml:space="preserve">El </w:t>
      </w:r>
      <w:r w:rsidRPr="00744159">
        <w:rPr>
          <w:rFonts w:ascii="Verdana" w:hAnsi="Verdana"/>
          <w:sz w:val="16"/>
          <w:szCs w:val="16"/>
          <w:lang w:val="es-CR"/>
        </w:rPr>
        <w:t xml:space="preserve">1 de junio de 2022 </w:t>
      </w:r>
      <w:r w:rsidR="00890FB0">
        <w:rPr>
          <w:rFonts w:ascii="Verdana" w:hAnsi="Verdana"/>
          <w:sz w:val="16"/>
          <w:szCs w:val="16"/>
          <w:lang w:val="es-CR"/>
        </w:rPr>
        <w:t xml:space="preserve">la representante </w:t>
      </w:r>
      <w:r w:rsidRPr="00744159">
        <w:rPr>
          <w:rFonts w:ascii="Verdana" w:hAnsi="Verdana"/>
          <w:sz w:val="16"/>
          <w:szCs w:val="16"/>
          <w:lang w:val="es-CR"/>
        </w:rPr>
        <w:t xml:space="preserve">presentó un escrito, </w:t>
      </w:r>
      <w:r w:rsidR="00744159">
        <w:rPr>
          <w:rFonts w:ascii="Verdana" w:hAnsi="Verdana"/>
          <w:sz w:val="16"/>
          <w:szCs w:val="16"/>
          <w:lang w:val="es-CR"/>
        </w:rPr>
        <w:t xml:space="preserve">en </w:t>
      </w:r>
      <w:r w:rsidRPr="00744159">
        <w:rPr>
          <w:rFonts w:ascii="Verdana" w:hAnsi="Verdana"/>
          <w:sz w:val="16"/>
          <w:szCs w:val="16"/>
          <w:lang w:val="es-CR"/>
        </w:rPr>
        <w:t xml:space="preserve">el cual </w:t>
      </w:r>
      <w:r w:rsidR="00744159">
        <w:rPr>
          <w:rFonts w:ascii="Verdana" w:hAnsi="Verdana"/>
          <w:sz w:val="16"/>
          <w:szCs w:val="16"/>
          <w:lang w:val="es-CR"/>
        </w:rPr>
        <w:t>efectu</w:t>
      </w:r>
      <w:r w:rsidRPr="00744159">
        <w:rPr>
          <w:rFonts w:ascii="Verdana" w:hAnsi="Verdana"/>
          <w:sz w:val="16"/>
          <w:szCs w:val="16"/>
          <w:lang w:val="es-CR"/>
        </w:rPr>
        <w:t>ó la “correcci[ón] de tres errores tipográficos” de la comunicación de 23 de mayo de 2022.</w:t>
      </w:r>
    </w:p>
  </w:footnote>
  <w:footnote w:id="6">
    <w:p w14:paraId="441EDC4E" w14:textId="75F24EBB" w:rsidR="00743728" w:rsidRPr="00743728" w:rsidRDefault="00743728" w:rsidP="00743728">
      <w:pPr>
        <w:pStyle w:val="Textonotapie"/>
        <w:jc w:val="both"/>
        <w:rPr>
          <w:rFonts w:ascii="Verdana" w:hAnsi="Verdana"/>
          <w:sz w:val="16"/>
          <w:szCs w:val="16"/>
          <w:lang w:val="es-ES"/>
        </w:rPr>
      </w:pPr>
      <w:r w:rsidRPr="00743728">
        <w:rPr>
          <w:rStyle w:val="Refdenotaalpie"/>
          <w:rFonts w:ascii="Verdana" w:hAnsi="Verdana"/>
          <w:sz w:val="16"/>
          <w:szCs w:val="16"/>
        </w:rPr>
        <w:footnoteRef/>
      </w:r>
      <w:r w:rsidRPr="00743728">
        <w:rPr>
          <w:rFonts w:ascii="Verdana" w:hAnsi="Verdana"/>
          <w:sz w:val="16"/>
          <w:szCs w:val="16"/>
          <w:lang w:val="es-ES"/>
        </w:rPr>
        <w:t xml:space="preserve"> </w:t>
      </w:r>
      <w:r w:rsidRPr="00743728">
        <w:rPr>
          <w:rFonts w:ascii="Verdana" w:hAnsi="Verdana"/>
          <w:sz w:val="16"/>
          <w:szCs w:val="16"/>
          <w:lang w:val="es-ES"/>
        </w:rPr>
        <w:tab/>
        <w:t>En el párrafo 413</w:t>
      </w:r>
      <w:r w:rsidR="00C23C09">
        <w:rPr>
          <w:rFonts w:ascii="Verdana" w:hAnsi="Verdana"/>
          <w:sz w:val="16"/>
          <w:szCs w:val="16"/>
          <w:lang w:val="es-ES"/>
        </w:rPr>
        <w:t xml:space="preserve"> de la Sentencia,</w:t>
      </w:r>
      <w:r w:rsidRPr="00743728">
        <w:rPr>
          <w:rFonts w:ascii="Verdana" w:hAnsi="Verdana"/>
          <w:sz w:val="16"/>
          <w:szCs w:val="16"/>
          <w:lang w:val="es-ES"/>
        </w:rPr>
        <w:t xml:space="preserve"> </w:t>
      </w:r>
      <w:r w:rsidRPr="00743728">
        <w:rPr>
          <w:rFonts w:ascii="Verdana" w:hAnsi="Verdana"/>
          <w:sz w:val="16"/>
          <w:szCs w:val="16"/>
          <w:lang w:val="es-CR"/>
        </w:rPr>
        <w:t>la Corte indicó que el Estado debía tener en cuenta las conclusiones de la Corte y “asegurar que no se repitan las violaciones al debido proceso verificadas en la [Sentencia], así como, de ser el caso, determinar los efectos de las violaciones encontradas en [la] Sentencia sobre el proceso penal abierto en contra de la señora J.”.</w:t>
      </w:r>
    </w:p>
  </w:footnote>
  <w:footnote w:id="7">
    <w:p w14:paraId="5FA2C36D" w14:textId="19380FAD" w:rsidR="0046033D" w:rsidRPr="00646412" w:rsidRDefault="0046033D" w:rsidP="0046033D">
      <w:pPr>
        <w:pStyle w:val="Textonotapie"/>
        <w:jc w:val="both"/>
        <w:rPr>
          <w:rFonts w:ascii="Verdana" w:eastAsia="Times New Roman" w:hAnsi="Verdana"/>
          <w:sz w:val="16"/>
          <w:szCs w:val="16"/>
          <w:lang w:val="es-ES" w:eastAsia="es-ES"/>
        </w:rPr>
      </w:pPr>
      <w:r>
        <w:rPr>
          <w:rStyle w:val="Refdenotaalpie"/>
          <w:rFonts w:ascii="Verdana" w:hAnsi="Verdana"/>
          <w:sz w:val="16"/>
          <w:szCs w:val="16"/>
        </w:rPr>
        <w:footnoteRef/>
      </w:r>
      <w:r w:rsidRPr="00646412">
        <w:rPr>
          <w:rFonts w:ascii="Verdana" w:hAnsi="Verdana"/>
          <w:sz w:val="16"/>
          <w:szCs w:val="16"/>
          <w:lang w:val="es-CR"/>
        </w:rPr>
        <w:t xml:space="preserve"> </w:t>
      </w:r>
      <w:r w:rsidRPr="00646412">
        <w:rPr>
          <w:rFonts w:ascii="Verdana" w:hAnsi="Verdana"/>
          <w:sz w:val="16"/>
          <w:szCs w:val="16"/>
          <w:lang w:val="es-CR"/>
        </w:rPr>
        <w:tab/>
      </w:r>
      <w:r w:rsidR="00743728">
        <w:rPr>
          <w:rFonts w:ascii="Verdana" w:hAnsi="Verdana"/>
          <w:sz w:val="16"/>
          <w:szCs w:val="16"/>
          <w:lang w:val="es-CR"/>
        </w:rPr>
        <w:t>D</w:t>
      </w:r>
      <w:r w:rsidRPr="00646412">
        <w:rPr>
          <w:rFonts w:ascii="Verdana" w:hAnsi="Verdana"/>
          <w:sz w:val="16"/>
          <w:szCs w:val="16"/>
          <w:lang w:val="es-CR"/>
        </w:rPr>
        <w:t>urante la etapa de fondo del caso, la Corte decidió reservar la identidad de la víctima</w:t>
      </w:r>
      <w:r w:rsidR="00743728">
        <w:rPr>
          <w:rFonts w:ascii="Verdana" w:hAnsi="Verdana"/>
          <w:sz w:val="16"/>
          <w:szCs w:val="16"/>
          <w:lang w:val="es-CR"/>
        </w:rPr>
        <w:t>, ante la solicitud de ésta</w:t>
      </w:r>
      <w:r w:rsidRPr="00646412">
        <w:rPr>
          <w:rFonts w:ascii="Verdana" w:hAnsi="Verdana"/>
          <w:sz w:val="16"/>
          <w:szCs w:val="16"/>
          <w:lang w:val="es-CR"/>
        </w:rPr>
        <w:t xml:space="preserve">. </w:t>
      </w:r>
    </w:p>
  </w:footnote>
  <w:footnote w:id="8">
    <w:p w14:paraId="0447E0A9" w14:textId="51901599" w:rsidR="001939F2" w:rsidRPr="00646412" w:rsidRDefault="001939F2" w:rsidP="001939F2">
      <w:pPr>
        <w:pStyle w:val="Textonotapie"/>
        <w:jc w:val="both"/>
        <w:rPr>
          <w:rFonts w:ascii="Verdana" w:hAnsi="Verdana"/>
          <w:sz w:val="16"/>
          <w:szCs w:val="16"/>
          <w:lang w:val="es-CR"/>
        </w:rPr>
      </w:pPr>
      <w:r w:rsidRPr="00646412">
        <w:rPr>
          <w:rStyle w:val="Refdenotaalpie"/>
          <w:rFonts w:ascii="Verdana" w:hAnsi="Verdana"/>
          <w:sz w:val="16"/>
          <w:szCs w:val="16"/>
        </w:rPr>
        <w:footnoteRef/>
      </w:r>
      <w:r w:rsidRPr="00646412">
        <w:rPr>
          <w:rFonts w:ascii="Verdana" w:hAnsi="Verdana"/>
          <w:sz w:val="16"/>
          <w:szCs w:val="16"/>
          <w:lang w:val="es-CR"/>
        </w:rPr>
        <w:t xml:space="preserve"> </w:t>
      </w:r>
      <w:r w:rsidRPr="00646412">
        <w:rPr>
          <w:rFonts w:ascii="Verdana" w:hAnsi="Verdana"/>
          <w:sz w:val="16"/>
          <w:szCs w:val="16"/>
          <w:lang w:val="es-CR"/>
        </w:rPr>
        <w:tab/>
        <w:t xml:space="preserve">La Corte </w:t>
      </w:r>
      <w:r w:rsidR="00C67853">
        <w:rPr>
          <w:rFonts w:ascii="Verdana" w:hAnsi="Verdana"/>
          <w:sz w:val="16"/>
          <w:szCs w:val="16"/>
          <w:lang w:val="es-CR"/>
        </w:rPr>
        <w:t xml:space="preserve">también </w:t>
      </w:r>
      <w:r w:rsidRPr="00646412">
        <w:rPr>
          <w:rFonts w:ascii="Verdana" w:hAnsi="Verdana"/>
          <w:sz w:val="16"/>
          <w:szCs w:val="16"/>
          <w:lang w:val="es-CR"/>
        </w:rPr>
        <w:t xml:space="preserve">determinó que se violó su derecho a ser juzgada por un tribunal competente, independiente e imparcial </w:t>
      </w:r>
      <w:r w:rsidR="0078291A" w:rsidRPr="00646412">
        <w:rPr>
          <w:rFonts w:ascii="Verdana" w:hAnsi="Verdana"/>
          <w:sz w:val="16"/>
          <w:szCs w:val="16"/>
          <w:lang w:val="es-CR"/>
        </w:rPr>
        <w:t>al</w:t>
      </w:r>
      <w:r w:rsidRPr="00646412">
        <w:rPr>
          <w:rFonts w:ascii="Verdana" w:hAnsi="Verdana"/>
          <w:sz w:val="16"/>
          <w:szCs w:val="16"/>
          <w:lang w:val="es-CR"/>
        </w:rPr>
        <w:t xml:space="preserve"> haber sido procesada y juzgada por </w:t>
      </w:r>
      <w:r w:rsidR="0078291A" w:rsidRPr="00646412">
        <w:rPr>
          <w:rFonts w:ascii="Verdana" w:hAnsi="Verdana"/>
          <w:sz w:val="16"/>
          <w:szCs w:val="16"/>
          <w:lang w:val="es-CR"/>
        </w:rPr>
        <w:t>un fiscal</w:t>
      </w:r>
      <w:r w:rsidRPr="00646412">
        <w:rPr>
          <w:rFonts w:ascii="Verdana" w:hAnsi="Verdana"/>
          <w:sz w:val="16"/>
          <w:szCs w:val="16"/>
          <w:lang w:val="es-CR"/>
        </w:rPr>
        <w:t xml:space="preserve"> y jueces “sin rostro”</w:t>
      </w:r>
      <w:r w:rsidR="00C23C09">
        <w:rPr>
          <w:rFonts w:ascii="Verdana" w:hAnsi="Verdana"/>
          <w:sz w:val="16"/>
          <w:szCs w:val="16"/>
          <w:lang w:val="es-CR"/>
        </w:rPr>
        <w:t xml:space="preserve">, </w:t>
      </w:r>
      <w:r w:rsidR="0078291A" w:rsidRPr="00646412">
        <w:rPr>
          <w:rFonts w:ascii="Verdana" w:hAnsi="Verdana"/>
          <w:sz w:val="16"/>
          <w:szCs w:val="16"/>
          <w:lang w:val="es-CR"/>
        </w:rPr>
        <w:t xml:space="preserve">así como </w:t>
      </w:r>
      <w:r w:rsidR="00C23C09">
        <w:rPr>
          <w:rFonts w:ascii="Verdana" w:hAnsi="Verdana"/>
          <w:sz w:val="16"/>
          <w:szCs w:val="16"/>
          <w:lang w:val="es-CR"/>
        </w:rPr>
        <w:t>su</w:t>
      </w:r>
      <w:r w:rsidR="00C67853">
        <w:rPr>
          <w:rFonts w:ascii="Verdana" w:hAnsi="Verdana"/>
          <w:sz w:val="16"/>
          <w:szCs w:val="16"/>
          <w:lang w:val="es-CR"/>
        </w:rPr>
        <w:t xml:space="preserve"> derecho de defensa </w:t>
      </w:r>
      <w:r w:rsidR="0078291A" w:rsidRPr="00646412">
        <w:rPr>
          <w:rFonts w:ascii="Verdana" w:hAnsi="Verdana"/>
          <w:sz w:val="16"/>
          <w:szCs w:val="16"/>
          <w:lang w:val="es-CR"/>
        </w:rPr>
        <w:t>por las limitaciones que sufrió para comunicarse libremente y en privado con su abogado.</w:t>
      </w:r>
      <w:r w:rsidR="00646412" w:rsidRPr="00646412">
        <w:rPr>
          <w:rFonts w:ascii="Verdana" w:hAnsi="Verdana"/>
          <w:sz w:val="16"/>
          <w:szCs w:val="16"/>
          <w:lang w:val="es-CR"/>
        </w:rPr>
        <w:t xml:space="preserve"> Asimismo, la Corte consideró que, al haber sido presentada ante la prensa como una integrante de Sendero Luminoso, se violó su derecho a la presunción de inocencia. También, constató la violación a las garantías judiciales debido a que J. no fue informada adecuadamente de los motivos de su detención, las razones que llevaron al Estado a formular la imputación, los fundamentos probatorios de ésta y la caracterización legal que se daba a esos hechos, hasta la presentación de la denuncia penal en su contra, luego de que ya había rendido su primera declaración ante las autoridades policiales.</w:t>
      </w:r>
    </w:p>
  </w:footnote>
  <w:footnote w:id="9">
    <w:p w14:paraId="23FAAA4A" w14:textId="789497D7" w:rsidR="004A2307" w:rsidRPr="004A2307" w:rsidRDefault="004A2307" w:rsidP="004A2307">
      <w:pPr>
        <w:pStyle w:val="Textonotapie"/>
        <w:jc w:val="both"/>
        <w:rPr>
          <w:rFonts w:ascii="Verdana" w:hAnsi="Verdana"/>
          <w:sz w:val="16"/>
          <w:szCs w:val="16"/>
          <w:lang w:val="es-ES"/>
        </w:rPr>
      </w:pPr>
      <w:r w:rsidRPr="004A2307">
        <w:rPr>
          <w:rStyle w:val="Refdenotaalpie"/>
          <w:rFonts w:ascii="Verdana" w:hAnsi="Verdana"/>
          <w:sz w:val="16"/>
          <w:szCs w:val="16"/>
        </w:rPr>
        <w:footnoteRef/>
      </w:r>
      <w:r w:rsidRPr="004A2307">
        <w:rPr>
          <w:rFonts w:ascii="Verdana" w:hAnsi="Verdana"/>
          <w:sz w:val="16"/>
          <w:szCs w:val="16"/>
          <w:lang w:val="es-ES"/>
        </w:rPr>
        <w:t xml:space="preserve"> </w:t>
      </w:r>
      <w:r w:rsidRPr="004A2307">
        <w:rPr>
          <w:rFonts w:ascii="Verdana" w:hAnsi="Verdana"/>
          <w:sz w:val="16"/>
          <w:szCs w:val="16"/>
          <w:lang w:val="es-ES"/>
        </w:rPr>
        <w:tab/>
      </w:r>
      <w:r w:rsidR="00C23C09">
        <w:rPr>
          <w:rFonts w:ascii="Verdana" w:hAnsi="Verdana"/>
          <w:sz w:val="16"/>
          <w:szCs w:val="16"/>
          <w:lang w:val="es-CR"/>
        </w:rPr>
        <w:t>La Corte arribó a esta conclusión debido</w:t>
      </w:r>
      <w:r w:rsidRPr="004A2307">
        <w:rPr>
          <w:rFonts w:ascii="Verdana" w:hAnsi="Verdana"/>
          <w:sz w:val="16"/>
          <w:szCs w:val="16"/>
          <w:lang w:val="es-CR"/>
        </w:rPr>
        <w:t xml:space="preserve"> a que “no encontró ninguna razón en el presente caso que le permitiera concluir que la absolución de la señora J. hubiera constituido una sentencia firme a efectos del artículo 8.4 de la Convención”.</w:t>
      </w:r>
    </w:p>
  </w:footnote>
  <w:footnote w:id="10">
    <w:p w14:paraId="52A302B5" w14:textId="2047E832" w:rsidR="00266C5B" w:rsidRPr="00FB00EB" w:rsidRDefault="00266C5B" w:rsidP="00266C5B">
      <w:pPr>
        <w:pStyle w:val="Textonotapie"/>
        <w:jc w:val="both"/>
        <w:rPr>
          <w:rFonts w:ascii="Verdana" w:hAnsi="Verdana"/>
          <w:b/>
          <w:bCs/>
          <w:sz w:val="16"/>
          <w:szCs w:val="16"/>
          <w:lang w:val="es-CR"/>
        </w:rPr>
      </w:pPr>
      <w:r w:rsidRPr="00544A1B">
        <w:rPr>
          <w:rStyle w:val="Refdenotaalpie"/>
          <w:rFonts w:ascii="Verdana" w:hAnsi="Verdana"/>
          <w:sz w:val="16"/>
          <w:szCs w:val="16"/>
        </w:rPr>
        <w:footnoteRef/>
      </w:r>
      <w:r w:rsidRPr="00544A1B">
        <w:rPr>
          <w:rFonts w:ascii="Verdana" w:hAnsi="Verdana"/>
          <w:sz w:val="16"/>
          <w:szCs w:val="16"/>
          <w:lang w:val="es-CR"/>
        </w:rPr>
        <w:t xml:space="preserve"> </w:t>
      </w:r>
      <w:r w:rsidRPr="00544A1B">
        <w:rPr>
          <w:rFonts w:ascii="Verdana" w:hAnsi="Verdana"/>
          <w:sz w:val="16"/>
          <w:szCs w:val="16"/>
          <w:lang w:val="es-CR"/>
        </w:rPr>
        <w:tab/>
        <w:t xml:space="preserve">La representante señaló en su solicitud que “[e]n el párrafo 292 de la [S]entencia la Corte observó en relación al proceso penal abierto contra la víctima por los delitos de apología […] y de asociación a una organización terrorista en el Perú que: </w:t>
      </w:r>
      <w:r w:rsidRPr="00544A1B">
        <w:rPr>
          <w:rFonts w:ascii="Verdana" w:hAnsi="Verdana" w:cs="Calibri"/>
          <w:sz w:val="16"/>
          <w:szCs w:val="16"/>
          <w:lang w:val="es-CR"/>
        </w:rPr>
        <w:t>‘no se desprende de dicha acusación cuál sería el acto de terrorismo o delito del cual la señora J[.] habría hecho apología, conforme exige la norma penal por la cual está siendo acusada’</w:t>
      </w:r>
      <w:r>
        <w:rPr>
          <w:rFonts w:ascii="Verdana" w:hAnsi="Verdana" w:cs="Calibri"/>
          <w:sz w:val="16"/>
          <w:szCs w:val="16"/>
          <w:lang w:val="es-CR"/>
        </w:rPr>
        <w:t xml:space="preserve">”. </w:t>
      </w:r>
      <w:r>
        <w:rPr>
          <w:rFonts w:ascii="Verdana" w:hAnsi="Verdana" w:cs="Calibri"/>
          <w:i/>
          <w:iCs/>
          <w:sz w:val="16"/>
          <w:szCs w:val="16"/>
          <w:lang w:val="es-CR"/>
        </w:rPr>
        <w:t xml:space="preserve">Cfr. </w:t>
      </w:r>
      <w:r>
        <w:rPr>
          <w:rFonts w:ascii="Verdana" w:hAnsi="Verdana" w:cs="Calibri"/>
          <w:sz w:val="16"/>
          <w:szCs w:val="16"/>
          <w:lang w:val="es-CR"/>
        </w:rPr>
        <w:t>Escrito de solicitud de medidas provisionales presentado por la representante el 14 de abril de 2022.</w:t>
      </w:r>
    </w:p>
  </w:footnote>
  <w:footnote w:id="11">
    <w:p w14:paraId="7BE7C855" w14:textId="7F65D31A" w:rsidR="00AA5C4F" w:rsidRPr="00E42DCE" w:rsidRDefault="00AA5C4F" w:rsidP="00AF1CFB">
      <w:pPr>
        <w:pStyle w:val="Textonotapie"/>
        <w:jc w:val="both"/>
        <w:rPr>
          <w:rFonts w:ascii="Verdana" w:hAnsi="Verdana"/>
          <w:b/>
          <w:bCs/>
          <w:sz w:val="16"/>
          <w:szCs w:val="16"/>
          <w:lang w:val="es-CR"/>
        </w:rPr>
      </w:pPr>
      <w:r w:rsidRPr="00AF1CFB">
        <w:rPr>
          <w:rStyle w:val="Refdenotaalpie"/>
          <w:rFonts w:ascii="Verdana" w:hAnsi="Verdana"/>
          <w:sz w:val="16"/>
          <w:szCs w:val="16"/>
        </w:rPr>
        <w:footnoteRef/>
      </w:r>
      <w:r w:rsidRPr="00AF1CFB">
        <w:rPr>
          <w:rFonts w:ascii="Verdana" w:hAnsi="Verdana"/>
          <w:sz w:val="16"/>
          <w:szCs w:val="16"/>
          <w:lang w:val="es-CR"/>
        </w:rPr>
        <w:t xml:space="preserve"> </w:t>
      </w:r>
      <w:r w:rsidRPr="00AF1CFB">
        <w:rPr>
          <w:rFonts w:ascii="Verdana" w:hAnsi="Verdana"/>
          <w:sz w:val="16"/>
          <w:szCs w:val="16"/>
          <w:lang w:val="es-CR"/>
        </w:rPr>
        <w:tab/>
      </w:r>
      <w:r w:rsidR="00630952" w:rsidRPr="00AF1CFB">
        <w:rPr>
          <w:rFonts w:ascii="Verdana" w:hAnsi="Verdana"/>
          <w:sz w:val="16"/>
          <w:szCs w:val="16"/>
          <w:lang w:val="es-CR"/>
        </w:rPr>
        <w:t xml:space="preserve">La representante indicó que el artículo 82 del </w:t>
      </w:r>
      <w:r w:rsidR="002530BB" w:rsidRPr="00AF1CFB">
        <w:rPr>
          <w:rFonts w:ascii="Verdana" w:hAnsi="Verdana"/>
          <w:sz w:val="16"/>
          <w:szCs w:val="16"/>
          <w:lang w:val="es-CR"/>
        </w:rPr>
        <w:t>Código Procesal Penal de 1991 señala que “</w:t>
      </w:r>
      <w:r w:rsidR="00AF1CFB" w:rsidRPr="00AF1CFB">
        <w:rPr>
          <w:rFonts w:ascii="Verdana" w:hAnsi="Verdana"/>
          <w:sz w:val="16"/>
          <w:szCs w:val="16"/>
          <w:lang w:val="es-CR"/>
        </w:rPr>
        <w:t>[l]os plazos de prescripción de la acción penal comienzan: […] En el delito permanente, a partir del día en que cesó la permanencia”.</w:t>
      </w:r>
      <w:r w:rsidR="00E42DCE">
        <w:rPr>
          <w:rFonts w:ascii="Verdana" w:hAnsi="Verdana"/>
          <w:sz w:val="16"/>
          <w:szCs w:val="16"/>
          <w:lang w:val="es-CR"/>
        </w:rPr>
        <w:t xml:space="preserve"> Según la representante, en este caso “[e]l 13 de abril de 1992 es el día desde cuando se computa el término”. </w:t>
      </w:r>
      <w:r w:rsidR="00E42DCE">
        <w:rPr>
          <w:rFonts w:ascii="Verdana" w:hAnsi="Verdana" w:cs="Calibri"/>
          <w:i/>
          <w:iCs/>
          <w:sz w:val="16"/>
          <w:szCs w:val="16"/>
          <w:lang w:val="es-CR"/>
        </w:rPr>
        <w:t xml:space="preserve">Cfr. </w:t>
      </w:r>
      <w:r w:rsidR="00E42DCE">
        <w:rPr>
          <w:rFonts w:ascii="Verdana" w:hAnsi="Verdana" w:cs="Calibri"/>
          <w:sz w:val="16"/>
          <w:szCs w:val="16"/>
          <w:lang w:val="es-CR"/>
        </w:rPr>
        <w:t>Escrito de solicitud de medidas provisionales presentado por la representante el 14 de abril de 2022.</w:t>
      </w:r>
    </w:p>
  </w:footnote>
  <w:footnote w:id="12">
    <w:p w14:paraId="633ADF88" w14:textId="0CE65849" w:rsidR="00642AF5" w:rsidRPr="00E42DCE" w:rsidRDefault="00642AF5" w:rsidP="00642AF5">
      <w:pPr>
        <w:pStyle w:val="Textonotapie"/>
        <w:jc w:val="both"/>
        <w:rPr>
          <w:rFonts w:ascii="Verdana" w:hAnsi="Verdana"/>
          <w:b/>
          <w:bCs/>
          <w:sz w:val="16"/>
          <w:szCs w:val="16"/>
          <w:lang w:val="es-CR"/>
        </w:rPr>
      </w:pPr>
      <w:r w:rsidRPr="00AF1CFB">
        <w:rPr>
          <w:rStyle w:val="Refdenotaalpie"/>
          <w:rFonts w:ascii="Verdana" w:hAnsi="Verdana"/>
          <w:sz w:val="16"/>
          <w:szCs w:val="16"/>
        </w:rPr>
        <w:footnoteRef/>
      </w:r>
      <w:r w:rsidRPr="00AF1CFB">
        <w:rPr>
          <w:rFonts w:ascii="Verdana" w:hAnsi="Verdana"/>
          <w:sz w:val="16"/>
          <w:szCs w:val="16"/>
          <w:lang w:val="es-CR"/>
        </w:rPr>
        <w:t xml:space="preserve"> </w:t>
      </w:r>
      <w:r w:rsidRPr="00AF1CFB">
        <w:rPr>
          <w:rFonts w:ascii="Verdana" w:hAnsi="Verdana"/>
          <w:sz w:val="16"/>
          <w:szCs w:val="16"/>
          <w:lang w:val="es-CR"/>
        </w:rPr>
        <w:tab/>
      </w:r>
      <w:r>
        <w:rPr>
          <w:rFonts w:ascii="Verdana" w:hAnsi="Verdana"/>
          <w:sz w:val="16"/>
          <w:szCs w:val="16"/>
          <w:lang w:val="es-CR"/>
        </w:rPr>
        <w:t xml:space="preserve">La representante señaló que “siendo este caso descrito por el Estado como un concurso ideal de delitos, [de conformidad con el artículo 80 del Código Procesal Penal de 1991,] la acción penal prescribe ordinariamente cuando haya transcurrido un plazo igual al máximo correspondiente al delito más grave, esto es 20 años”. No obstante, indicó que “existe la prescripción extraordinaria establecida en el [a]rtículo 83 […] relativo a la interrupción de los plazos de prescripción”. En este sentido, estimó que “el plazo extraordinario requiere agregarle 10 años más (una mitad de sobrepaso)” al plazo ordinario de prescripción, siendo entonces “el plazo de prescripción extraordinario [...] de 30 años". </w:t>
      </w:r>
      <w:r>
        <w:rPr>
          <w:rFonts w:ascii="Verdana" w:hAnsi="Verdana" w:cs="Calibri"/>
          <w:i/>
          <w:iCs/>
          <w:sz w:val="16"/>
          <w:szCs w:val="16"/>
          <w:lang w:val="es-CR"/>
        </w:rPr>
        <w:t xml:space="preserve">Cfr. </w:t>
      </w:r>
      <w:r>
        <w:rPr>
          <w:rFonts w:ascii="Verdana" w:hAnsi="Verdana" w:cs="Calibri"/>
          <w:sz w:val="16"/>
          <w:szCs w:val="16"/>
          <w:lang w:val="es-CR"/>
        </w:rPr>
        <w:t>Escrito de solicitud de medidas provisionales presentado por la representante el 14 de abril de 2022.</w:t>
      </w:r>
    </w:p>
  </w:footnote>
  <w:footnote w:id="13">
    <w:p w14:paraId="0A140100" w14:textId="0B75BE15" w:rsidR="005427F6" w:rsidRPr="005427F6" w:rsidRDefault="005427F6" w:rsidP="005427F6">
      <w:pPr>
        <w:pStyle w:val="Textonotapie"/>
        <w:jc w:val="both"/>
        <w:rPr>
          <w:rFonts w:ascii="Verdana" w:hAnsi="Verdana"/>
          <w:b/>
          <w:bCs/>
          <w:sz w:val="16"/>
          <w:szCs w:val="16"/>
          <w:lang w:val="es-CR"/>
        </w:rPr>
      </w:pPr>
      <w:r w:rsidRPr="005427F6">
        <w:rPr>
          <w:rStyle w:val="Refdenotaalpie"/>
          <w:rFonts w:ascii="Verdana" w:hAnsi="Verdana"/>
          <w:sz w:val="16"/>
          <w:szCs w:val="16"/>
        </w:rPr>
        <w:footnoteRef/>
      </w:r>
      <w:r w:rsidRPr="005427F6">
        <w:rPr>
          <w:rFonts w:ascii="Verdana" w:hAnsi="Verdana"/>
          <w:sz w:val="16"/>
          <w:szCs w:val="16"/>
          <w:lang w:val="es-CR"/>
        </w:rPr>
        <w:t xml:space="preserve"> </w:t>
      </w:r>
      <w:r w:rsidRPr="005427F6">
        <w:rPr>
          <w:rFonts w:ascii="Verdana" w:hAnsi="Verdana"/>
          <w:sz w:val="16"/>
          <w:szCs w:val="16"/>
          <w:lang w:val="es-CR"/>
        </w:rPr>
        <w:tab/>
        <w:t xml:space="preserve">El Estado informó que “el proceso penal que se sigue en contra de la víctima del caso como autora del delito contra la tranquilidad pública – [t]errorismo se encuentra en la Corte Superior Penal Nacional de Justicia Penal Especializada desde el 25 de octubre de 2019”. </w:t>
      </w:r>
      <w:r w:rsidRPr="005427F6">
        <w:rPr>
          <w:rFonts w:ascii="Verdana" w:hAnsi="Verdana"/>
          <w:i/>
          <w:iCs/>
          <w:sz w:val="16"/>
          <w:szCs w:val="16"/>
          <w:lang w:val="es-CR"/>
        </w:rPr>
        <w:t xml:space="preserve">Cfr. </w:t>
      </w:r>
      <w:r w:rsidRPr="005427F6">
        <w:rPr>
          <w:rFonts w:ascii="Verdana" w:hAnsi="Verdana"/>
          <w:sz w:val="16"/>
          <w:szCs w:val="16"/>
          <w:lang w:val="es-CR"/>
        </w:rPr>
        <w:t>Escrito de observaciones del Estado de 4 de mayo de 2022.</w:t>
      </w:r>
    </w:p>
  </w:footnote>
  <w:footnote w:id="14">
    <w:p w14:paraId="2C610368" w14:textId="61CF52BE" w:rsidR="00DB5FC3" w:rsidRPr="005427F6" w:rsidRDefault="00DB5FC3" w:rsidP="00DB5FC3">
      <w:pPr>
        <w:pStyle w:val="Textonotapie"/>
        <w:jc w:val="both"/>
        <w:rPr>
          <w:rFonts w:ascii="Verdana" w:hAnsi="Verdana"/>
          <w:b/>
          <w:bCs/>
          <w:sz w:val="16"/>
          <w:szCs w:val="16"/>
          <w:lang w:val="es-CR"/>
        </w:rPr>
      </w:pPr>
      <w:r w:rsidRPr="005427F6">
        <w:rPr>
          <w:rStyle w:val="Refdenotaalpie"/>
          <w:rFonts w:ascii="Verdana" w:hAnsi="Verdana"/>
          <w:sz w:val="16"/>
          <w:szCs w:val="16"/>
        </w:rPr>
        <w:footnoteRef/>
      </w:r>
      <w:r w:rsidRPr="005427F6">
        <w:rPr>
          <w:rFonts w:ascii="Verdana" w:hAnsi="Verdana"/>
          <w:sz w:val="16"/>
          <w:szCs w:val="16"/>
          <w:lang w:val="es-CR"/>
        </w:rPr>
        <w:t xml:space="preserve"> </w:t>
      </w:r>
      <w:r w:rsidRPr="005427F6">
        <w:rPr>
          <w:rFonts w:ascii="Verdana" w:hAnsi="Verdana"/>
          <w:sz w:val="16"/>
          <w:szCs w:val="16"/>
          <w:lang w:val="es-CR"/>
        </w:rPr>
        <w:tab/>
        <w:t xml:space="preserve">El Estado </w:t>
      </w:r>
      <w:r w:rsidR="00831322">
        <w:rPr>
          <w:rFonts w:ascii="Verdana" w:hAnsi="Verdana"/>
          <w:sz w:val="16"/>
          <w:szCs w:val="16"/>
          <w:lang w:val="es-CR"/>
        </w:rPr>
        <w:t>indicó que el artículo 1 de la Ley N° 26641 señaló lo siguiente: “Artículo 1°. – Interprétese por la vía auténtica que, tratándose de contumaces, el principio de ser condenado en ausen</w:t>
      </w:r>
      <w:r w:rsidR="00484BE2">
        <w:rPr>
          <w:rFonts w:ascii="Verdana" w:hAnsi="Verdana"/>
          <w:sz w:val="16"/>
          <w:szCs w:val="16"/>
          <w:lang w:val="es-CR"/>
        </w:rPr>
        <w:t>cia se aplica sin perjuicio de la interrupción de los términos prescriptorios, la misma que opera desde que existen evidencias irrefutables que el acusado rehúye del proceso y hasta que el mismo se ponga a derecho. El Juez encargado del proceso declara la condición de contumaz y la suspensión de la prescripción</w:t>
      </w:r>
      <w:r w:rsidRPr="005427F6">
        <w:rPr>
          <w:rFonts w:ascii="Verdana" w:hAnsi="Verdana"/>
          <w:sz w:val="16"/>
          <w:szCs w:val="16"/>
          <w:lang w:val="es-CR"/>
        </w:rPr>
        <w:t xml:space="preserve">”. </w:t>
      </w:r>
      <w:r w:rsidRPr="005427F6">
        <w:rPr>
          <w:rFonts w:ascii="Verdana" w:hAnsi="Verdana"/>
          <w:i/>
          <w:iCs/>
          <w:sz w:val="16"/>
          <w:szCs w:val="16"/>
          <w:lang w:val="es-CR"/>
        </w:rPr>
        <w:t xml:space="preserve">Cfr. </w:t>
      </w:r>
      <w:r w:rsidRPr="005427F6">
        <w:rPr>
          <w:rFonts w:ascii="Verdana" w:hAnsi="Verdana"/>
          <w:sz w:val="16"/>
          <w:szCs w:val="16"/>
          <w:lang w:val="es-CR"/>
        </w:rPr>
        <w:t>Escrito de observaciones del Estado de 4 de mayo de 2022.</w:t>
      </w:r>
    </w:p>
  </w:footnote>
  <w:footnote w:id="15">
    <w:p w14:paraId="300BE505" w14:textId="0012A5FE" w:rsidR="00D6540E" w:rsidRPr="00380B08" w:rsidRDefault="00D6540E" w:rsidP="00D6540E">
      <w:pPr>
        <w:pStyle w:val="Textonotapie"/>
        <w:jc w:val="both"/>
        <w:rPr>
          <w:rFonts w:ascii="Verdana" w:hAnsi="Verdana"/>
          <w:sz w:val="16"/>
          <w:szCs w:val="16"/>
          <w:lang w:val="es-ES"/>
        </w:rPr>
      </w:pPr>
      <w:r w:rsidRPr="00D6540E">
        <w:rPr>
          <w:rStyle w:val="Refdenotaalpie"/>
          <w:rFonts w:ascii="Verdana" w:hAnsi="Verdana"/>
          <w:sz w:val="16"/>
          <w:szCs w:val="16"/>
        </w:rPr>
        <w:footnoteRef/>
      </w:r>
      <w:r w:rsidRPr="00D6540E">
        <w:rPr>
          <w:rFonts w:ascii="Verdana" w:hAnsi="Verdana"/>
          <w:sz w:val="16"/>
          <w:szCs w:val="16"/>
          <w:lang w:val="es-CR"/>
        </w:rPr>
        <w:t xml:space="preserve"> </w:t>
      </w:r>
      <w:r w:rsidRPr="00D6540E">
        <w:rPr>
          <w:rFonts w:ascii="Verdana" w:hAnsi="Verdana"/>
          <w:sz w:val="16"/>
          <w:szCs w:val="16"/>
          <w:lang w:val="es-ES"/>
        </w:rPr>
        <w:tab/>
      </w:r>
      <w:r w:rsidRPr="00D6540E">
        <w:rPr>
          <w:rFonts w:ascii="Verdana" w:hAnsi="Verdana"/>
          <w:i/>
          <w:iCs/>
          <w:sz w:val="16"/>
          <w:szCs w:val="16"/>
          <w:lang w:val="es-ES"/>
        </w:rPr>
        <w:t xml:space="preserve">Cfr. Caso Herrera Ulloa respecto de Costa Rica. Medidas Provisionales. </w:t>
      </w:r>
      <w:r w:rsidRPr="00D6540E">
        <w:rPr>
          <w:rFonts w:ascii="Verdana" w:hAnsi="Verdana"/>
          <w:sz w:val="16"/>
          <w:szCs w:val="16"/>
          <w:lang w:val="es-ES"/>
        </w:rPr>
        <w:t>Resolución de la Corte Interamericana de Derechos Humanos de 7 de septiembre de 2001, Considerando 4</w:t>
      </w:r>
      <w:r w:rsidR="00380B08">
        <w:rPr>
          <w:rFonts w:ascii="Verdana" w:hAnsi="Verdana"/>
          <w:sz w:val="16"/>
          <w:szCs w:val="16"/>
          <w:lang w:val="es-ES"/>
        </w:rPr>
        <w:t xml:space="preserve">, y </w:t>
      </w:r>
      <w:r w:rsidR="00380B08">
        <w:rPr>
          <w:rFonts w:ascii="Verdana" w:hAnsi="Verdana"/>
          <w:i/>
          <w:iCs/>
          <w:sz w:val="16"/>
          <w:szCs w:val="16"/>
          <w:lang w:val="es-ES"/>
        </w:rPr>
        <w:t xml:space="preserve">Asunto Pobladores de las Comunidades del Pueblo Indígena Miskitu de la Región Costa Caribe Norte respecto de Nicaragua. Ampliación de Medidas Provisionales. </w:t>
      </w:r>
      <w:r w:rsidR="00380B08">
        <w:rPr>
          <w:rFonts w:ascii="Verdana" w:hAnsi="Verdana"/>
          <w:sz w:val="16"/>
          <w:szCs w:val="16"/>
          <w:lang w:val="es-ES"/>
        </w:rPr>
        <w:t>Resolución de la Corte Interamericana de Derechos Humanos de 14 de octubre de 2021, Considerando 3.</w:t>
      </w:r>
    </w:p>
  </w:footnote>
  <w:footnote w:id="16">
    <w:p w14:paraId="59578072" w14:textId="2BA84BDD" w:rsidR="00D21F2C" w:rsidRPr="00380B08" w:rsidRDefault="00D21F2C" w:rsidP="00D21F2C">
      <w:pPr>
        <w:pStyle w:val="Textonotapie"/>
        <w:jc w:val="both"/>
        <w:rPr>
          <w:rFonts w:ascii="Verdana" w:hAnsi="Verdana"/>
          <w:sz w:val="16"/>
          <w:szCs w:val="16"/>
          <w:lang w:val="es-ES"/>
        </w:rPr>
      </w:pPr>
      <w:r w:rsidRPr="00D6540E">
        <w:rPr>
          <w:rStyle w:val="Refdenotaalpie"/>
          <w:rFonts w:ascii="Verdana" w:hAnsi="Verdana"/>
          <w:sz w:val="16"/>
          <w:szCs w:val="16"/>
        </w:rPr>
        <w:footnoteRef/>
      </w:r>
      <w:r w:rsidRPr="00037895">
        <w:rPr>
          <w:rFonts w:ascii="Verdana" w:hAnsi="Verdana"/>
          <w:sz w:val="16"/>
          <w:szCs w:val="16"/>
          <w:lang w:val="pt-BR"/>
        </w:rPr>
        <w:t xml:space="preserve"> </w:t>
      </w:r>
      <w:r w:rsidRPr="00037895">
        <w:rPr>
          <w:rFonts w:ascii="Verdana" w:hAnsi="Verdana"/>
          <w:sz w:val="16"/>
          <w:szCs w:val="16"/>
          <w:lang w:val="pt-BR"/>
        </w:rPr>
        <w:tab/>
      </w:r>
      <w:r w:rsidRPr="00037895">
        <w:rPr>
          <w:rFonts w:ascii="Verdana" w:hAnsi="Verdana"/>
          <w:i/>
          <w:iCs/>
          <w:sz w:val="16"/>
          <w:szCs w:val="16"/>
          <w:lang w:val="pt-BR"/>
        </w:rPr>
        <w:t xml:space="preserve">Cfr. Caso Favela Nova Brasília Vs. </w:t>
      </w:r>
      <w:r>
        <w:rPr>
          <w:rFonts w:ascii="Verdana" w:hAnsi="Verdana"/>
          <w:i/>
          <w:iCs/>
          <w:sz w:val="16"/>
          <w:szCs w:val="16"/>
          <w:lang w:val="es-ES"/>
        </w:rPr>
        <w:t>Brasil. Solicitud de Medidas Provisionales y Supervisión de Cumplimiento de Sentencia</w:t>
      </w:r>
      <w:r w:rsidRPr="00D6540E">
        <w:rPr>
          <w:rFonts w:ascii="Verdana" w:hAnsi="Verdana"/>
          <w:i/>
          <w:iCs/>
          <w:sz w:val="16"/>
          <w:szCs w:val="16"/>
          <w:lang w:val="es-ES"/>
        </w:rPr>
        <w:t xml:space="preserve">. </w:t>
      </w:r>
      <w:r w:rsidRPr="00D6540E">
        <w:rPr>
          <w:rFonts w:ascii="Verdana" w:hAnsi="Verdana"/>
          <w:sz w:val="16"/>
          <w:szCs w:val="16"/>
          <w:lang w:val="es-ES"/>
        </w:rPr>
        <w:t xml:space="preserve">Resolución de la Corte Interamericana de Derechos Humanos de </w:t>
      </w:r>
      <w:r>
        <w:rPr>
          <w:rFonts w:ascii="Verdana" w:hAnsi="Verdana"/>
          <w:sz w:val="16"/>
          <w:szCs w:val="16"/>
          <w:lang w:val="es-ES"/>
        </w:rPr>
        <w:t>21 de junio de 2021, Consider</w:t>
      </w:r>
      <w:r w:rsidRPr="00D6540E">
        <w:rPr>
          <w:rFonts w:ascii="Verdana" w:hAnsi="Verdana"/>
          <w:sz w:val="16"/>
          <w:szCs w:val="16"/>
          <w:lang w:val="es-ES"/>
        </w:rPr>
        <w:t xml:space="preserve">ando </w:t>
      </w:r>
      <w:r>
        <w:rPr>
          <w:rFonts w:ascii="Verdana" w:hAnsi="Verdana"/>
          <w:sz w:val="16"/>
          <w:szCs w:val="16"/>
          <w:lang w:val="es-ES"/>
        </w:rPr>
        <w:t xml:space="preserve">16. </w:t>
      </w:r>
    </w:p>
  </w:footnote>
  <w:footnote w:id="17">
    <w:p w14:paraId="34C82FED" w14:textId="4D7B53E8" w:rsidR="00FB4D37" w:rsidRPr="00FE2E50" w:rsidRDefault="00FB4D37" w:rsidP="00FB4D37">
      <w:pPr>
        <w:pStyle w:val="Textonotapie"/>
        <w:jc w:val="both"/>
        <w:rPr>
          <w:rFonts w:ascii="Verdana" w:hAnsi="Verdana"/>
          <w:sz w:val="16"/>
          <w:szCs w:val="16"/>
          <w:lang w:val="es-ES"/>
        </w:rPr>
      </w:pPr>
      <w:r w:rsidRPr="00D6540E">
        <w:rPr>
          <w:rStyle w:val="Refdenotaalpie"/>
          <w:rFonts w:ascii="Verdana" w:hAnsi="Verdana"/>
          <w:sz w:val="16"/>
          <w:szCs w:val="16"/>
        </w:rPr>
        <w:footnoteRef/>
      </w:r>
      <w:r w:rsidRPr="00D6540E">
        <w:rPr>
          <w:rFonts w:ascii="Verdana" w:hAnsi="Verdana"/>
          <w:sz w:val="16"/>
          <w:szCs w:val="16"/>
          <w:lang w:val="es-CR"/>
        </w:rPr>
        <w:t xml:space="preserve"> </w:t>
      </w:r>
      <w:r w:rsidRPr="00D6540E">
        <w:rPr>
          <w:rFonts w:ascii="Verdana" w:hAnsi="Verdana"/>
          <w:sz w:val="16"/>
          <w:szCs w:val="16"/>
          <w:lang w:val="es-ES"/>
        </w:rPr>
        <w:tab/>
      </w:r>
      <w:r w:rsidRPr="00D6540E">
        <w:rPr>
          <w:rFonts w:ascii="Verdana" w:hAnsi="Verdana"/>
          <w:i/>
          <w:iCs/>
          <w:sz w:val="16"/>
          <w:szCs w:val="16"/>
          <w:lang w:val="es-ES"/>
        </w:rPr>
        <w:t>Cfr.</w:t>
      </w:r>
      <w:r w:rsidR="00DA361A">
        <w:rPr>
          <w:rFonts w:ascii="Verdana" w:hAnsi="Verdana"/>
          <w:i/>
          <w:iCs/>
          <w:sz w:val="16"/>
          <w:szCs w:val="16"/>
          <w:lang w:val="es-ES"/>
        </w:rPr>
        <w:t xml:space="preserve"> </w:t>
      </w:r>
      <w:r w:rsidR="00DA361A">
        <w:rPr>
          <w:rFonts w:ascii="Verdana" w:hAnsi="Verdana"/>
          <w:sz w:val="16"/>
          <w:szCs w:val="16"/>
          <w:lang w:val="es-ES"/>
        </w:rPr>
        <w:t>Entre otros,</w:t>
      </w:r>
      <w:r w:rsidRPr="00D6540E">
        <w:rPr>
          <w:rFonts w:ascii="Verdana" w:hAnsi="Verdana"/>
          <w:i/>
          <w:iCs/>
          <w:sz w:val="16"/>
          <w:szCs w:val="16"/>
          <w:lang w:val="es-ES"/>
        </w:rPr>
        <w:t xml:space="preserve"> </w:t>
      </w:r>
      <w:r w:rsidR="00ED3A89">
        <w:rPr>
          <w:rFonts w:ascii="Verdana" w:hAnsi="Verdana"/>
          <w:i/>
          <w:iCs/>
          <w:sz w:val="16"/>
          <w:szCs w:val="16"/>
          <w:lang w:val="es-ES"/>
        </w:rPr>
        <w:t>Caso Juan Humberto Sánchez respecto de Honduras</w:t>
      </w:r>
      <w:r w:rsidR="00DD3BB7">
        <w:rPr>
          <w:rFonts w:ascii="Verdana" w:hAnsi="Verdana"/>
          <w:i/>
          <w:iCs/>
          <w:sz w:val="16"/>
          <w:szCs w:val="16"/>
          <w:lang w:val="es-ES"/>
        </w:rPr>
        <w:t>. Solicitud de Medidas Provisionales.</w:t>
      </w:r>
      <w:r w:rsidRPr="00D6540E">
        <w:rPr>
          <w:rFonts w:ascii="Verdana" w:hAnsi="Verdana"/>
          <w:i/>
          <w:iCs/>
          <w:sz w:val="16"/>
          <w:szCs w:val="16"/>
          <w:lang w:val="es-ES"/>
        </w:rPr>
        <w:t xml:space="preserve"> </w:t>
      </w:r>
      <w:r w:rsidRPr="00D6540E">
        <w:rPr>
          <w:rFonts w:ascii="Verdana" w:hAnsi="Verdana"/>
          <w:sz w:val="16"/>
          <w:szCs w:val="16"/>
          <w:lang w:val="es-ES"/>
        </w:rPr>
        <w:t xml:space="preserve">Resolución de la Corte Interamericana de Derechos Humanos de </w:t>
      </w:r>
      <w:r w:rsidR="00DD3BB7">
        <w:rPr>
          <w:rFonts w:ascii="Verdana" w:hAnsi="Verdana"/>
          <w:sz w:val="16"/>
          <w:szCs w:val="16"/>
          <w:lang w:val="es-ES"/>
        </w:rPr>
        <w:t xml:space="preserve">7 de febrero de 2006, Considerando 8, y </w:t>
      </w:r>
      <w:r w:rsidR="00FE2E50">
        <w:rPr>
          <w:rFonts w:ascii="Verdana" w:hAnsi="Verdana"/>
          <w:i/>
          <w:iCs/>
          <w:sz w:val="16"/>
          <w:szCs w:val="16"/>
          <w:lang w:val="es-ES"/>
        </w:rPr>
        <w:t xml:space="preserve">Caso Petro Urrego Vs. Colombia. Solicitud de Medidas Provisionales y Supervisión de Cumplimiento de Sentencia. </w:t>
      </w:r>
      <w:r w:rsidR="00FE2E50">
        <w:rPr>
          <w:rFonts w:ascii="Verdana" w:hAnsi="Verdana"/>
          <w:sz w:val="16"/>
          <w:szCs w:val="16"/>
          <w:lang w:val="es-ES"/>
        </w:rPr>
        <w:t>Resolución de la Corte Interamericana de Derechos Humanos de 24 de junio de 2021</w:t>
      </w:r>
      <w:r w:rsidR="00DA361A">
        <w:rPr>
          <w:rFonts w:ascii="Verdana" w:hAnsi="Verdana"/>
          <w:sz w:val="16"/>
          <w:szCs w:val="16"/>
          <w:lang w:val="es-ES"/>
        </w:rPr>
        <w:t>, Considerando 13.</w:t>
      </w:r>
    </w:p>
  </w:footnote>
  <w:footnote w:id="18">
    <w:p w14:paraId="2EA570E4" w14:textId="64F73C70" w:rsidR="00DB045E" w:rsidRPr="00FE2E50" w:rsidRDefault="00DB045E" w:rsidP="00DB045E">
      <w:pPr>
        <w:pStyle w:val="Textonotapie"/>
        <w:jc w:val="both"/>
        <w:rPr>
          <w:rFonts w:ascii="Verdana" w:hAnsi="Verdana"/>
          <w:sz w:val="16"/>
          <w:szCs w:val="16"/>
          <w:lang w:val="es-ES"/>
        </w:rPr>
      </w:pPr>
      <w:r w:rsidRPr="00D6540E">
        <w:rPr>
          <w:rStyle w:val="Refdenotaalpie"/>
          <w:rFonts w:ascii="Verdana" w:hAnsi="Verdana"/>
          <w:sz w:val="16"/>
          <w:szCs w:val="16"/>
        </w:rPr>
        <w:footnoteRef/>
      </w:r>
      <w:r w:rsidRPr="00D6540E">
        <w:rPr>
          <w:rFonts w:ascii="Verdana" w:hAnsi="Verdana"/>
          <w:sz w:val="16"/>
          <w:szCs w:val="16"/>
          <w:lang w:val="es-CR"/>
        </w:rPr>
        <w:t xml:space="preserve"> </w:t>
      </w:r>
      <w:r w:rsidRPr="00D6540E">
        <w:rPr>
          <w:rFonts w:ascii="Verdana" w:hAnsi="Verdana"/>
          <w:sz w:val="16"/>
          <w:szCs w:val="16"/>
          <w:lang w:val="es-ES"/>
        </w:rPr>
        <w:tab/>
      </w:r>
      <w:r w:rsidRPr="00D6540E">
        <w:rPr>
          <w:rFonts w:ascii="Verdana" w:hAnsi="Verdana"/>
          <w:i/>
          <w:iCs/>
          <w:sz w:val="16"/>
          <w:szCs w:val="16"/>
          <w:lang w:val="es-ES"/>
        </w:rPr>
        <w:t>Cfr.</w:t>
      </w:r>
      <w:r>
        <w:rPr>
          <w:rFonts w:ascii="Verdana" w:hAnsi="Verdana"/>
          <w:i/>
          <w:iCs/>
          <w:sz w:val="16"/>
          <w:szCs w:val="16"/>
          <w:lang w:val="es-ES"/>
        </w:rPr>
        <w:t xml:space="preserve"> </w:t>
      </w:r>
      <w:r w:rsidR="00FA0125" w:rsidRPr="00FA0125">
        <w:rPr>
          <w:rFonts w:ascii="Verdana" w:hAnsi="Verdana"/>
          <w:i/>
          <w:iCs/>
          <w:sz w:val="16"/>
          <w:szCs w:val="16"/>
          <w:lang w:val="es-CR"/>
        </w:rPr>
        <w:t xml:space="preserve">Caso Durand y Ugarte Vs. Perú. Medidas Provisionales. </w:t>
      </w:r>
      <w:r w:rsidR="00FA0125" w:rsidRPr="00FA0125">
        <w:rPr>
          <w:rFonts w:ascii="Verdana" w:hAnsi="Verdana"/>
          <w:sz w:val="16"/>
          <w:szCs w:val="16"/>
          <w:lang w:val="es-CR"/>
        </w:rPr>
        <w:t xml:space="preserve">Resolución de la Corte Interamericana de Derechos Humanos de 8 de febrero de 2018, Considerando 29, </w:t>
      </w:r>
      <w:r w:rsidR="00D06AF0">
        <w:rPr>
          <w:rFonts w:ascii="Verdana" w:hAnsi="Verdana"/>
          <w:sz w:val="16"/>
          <w:szCs w:val="16"/>
          <w:lang w:val="es-CR"/>
        </w:rPr>
        <w:t xml:space="preserve">y </w:t>
      </w:r>
      <w:r w:rsidR="00D06AF0" w:rsidRPr="00D06AF0">
        <w:rPr>
          <w:rFonts w:ascii="Verdana" w:hAnsi="Verdana"/>
          <w:i/>
          <w:iCs/>
          <w:sz w:val="16"/>
          <w:szCs w:val="16"/>
          <w:lang w:val="es-CR"/>
        </w:rPr>
        <w:t>Caso Vélez Loor Vs. Panamá. Medidas Provisionales</w:t>
      </w:r>
      <w:r w:rsidR="00D06AF0" w:rsidRPr="00D06AF0">
        <w:rPr>
          <w:rFonts w:ascii="Verdana" w:hAnsi="Verdana"/>
          <w:sz w:val="16"/>
          <w:szCs w:val="16"/>
          <w:lang w:val="es-CR"/>
        </w:rPr>
        <w:t xml:space="preserve">. Adopción de Medidas Provisionales. Resolución de la Corte Interamericana de Derechos Humanos de 29 de julio de 2020, Considerando 22. </w:t>
      </w:r>
    </w:p>
  </w:footnote>
  <w:footnote w:id="19">
    <w:p w14:paraId="280F4306" w14:textId="653AA227" w:rsidR="008C208C" w:rsidRPr="00253C03" w:rsidRDefault="008C208C" w:rsidP="008C208C">
      <w:pPr>
        <w:pStyle w:val="Textonotapie"/>
        <w:jc w:val="both"/>
        <w:rPr>
          <w:rFonts w:ascii="Verdana" w:hAnsi="Verdana"/>
          <w:sz w:val="16"/>
          <w:szCs w:val="16"/>
          <w:lang w:val="es-CR"/>
        </w:rPr>
      </w:pPr>
      <w:r w:rsidRPr="00253C03">
        <w:rPr>
          <w:rStyle w:val="Refdenotaalpie"/>
          <w:rFonts w:ascii="Verdana" w:hAnsi="Verdana"/>
          <w:sz w:val="16"/>
          <w:szCs w:val="16"/>
        </w:rPr>
        <w:footnoteRef/>
      </w:r>
      <w:r w:rsidRPr="00253C03">
        <w:rPr>
          <w:rFonts w:ascii="Verdana" w:hAnsi="Verdana"/>
          <w:sz w:val="16"/>
          <w:szCs w:val="16"/>
          <w:lang w:val="es-CR"/>
        </w:rPr>
        <w:t xml:space="preserve"> </w:t>
      </w:r>
      <w:r>
        <w:rPr>
          <w:rFonts w:ascii="Verdana" w:hAnsi="Verdana"/>
          <w:sz w:val="16"/>
          <w:szCs w:val="16"/>
          <w:lang w:val="es-CR"/>
        </w:rPr>
        <w:tab/>
      </w:r>
      <w:r>
        <w:rPr>
          <w:rFonts w:ascii="Verdana" w:hAnsi="Verdana"/>
          <w:i/>
          <w:iCs/>
          <w:sz w:val="16"/>
          <w:szCs w:val="16"/>
          <w:lang w:val="es-CR"/>
        </w:rPr>
        <w:t xml:space="preserve">Caso J. Vs. Perú, supra </w:t>
      </w:r>
      <w:r>
        <w:rPr>
          <w:rFonts w:ascii="Verdana" w:hAnsi="Verdana"/>
          <w:sz w:val="16"/>
          <w:szCs w:val="16"/>
          <w:lang w:val="es-CR"/>
        </w:rPr>
        <w:t xml:space="preserve">nota </w:t>
      </w:r>
      <w:r w:rsidR="003C32E4">
        <w:rPr>
          <w:rFonts w:ascii="Verdana" w:hAnsi="Verdana"/>
          <w:sz w:val="16"/>
          <w:szCs w:val="16"/>
          <w:lang w:val="es-CR"/>
        </w:rPr>
        <w:t>1</w:t>
      </w:r>
      <w:r>
        <w:rPr>
          <w:rFonts w:ascii="Verdana" w:hAnsi="Verdana"/>
          <w:sz w:val="16"/>
          <w:szCs w:val="16"/>
          <w:lang w:val="es-CR"/>
        </w:rPr>
        <w:t xml:space="preserve">, párr. 252. </w:t>
      </w:r>
    </w:p>
  </w:footnote>
  <w:footnote w:id="20">
    <w:p w14:paraId="5AD242A2" w14:textId="60BDB898" w:rsidR="00A54E30" w:rsidRPr="00253C03" w:rsidRDefault="00A54E30" w:rsidP="00A54E30">
      <w:pPr>
        <w:pStyle w:val="Textonotapie"/>
        <w:jc w:val="both"/>
        <w:rPr>
          <w:rFonts w:ascii="Verdana" w:hAnsi="Verdana"/>
          <w:sz w:val="16"/>
          <w:szCs w:val="16"/>
          <w:lang w:val="es-CR"/>
        </w:rPr>
      </w:pPr>
      <w:r w:rsidRPr="00253C03">
        <w:rPr>
          <w:rStyle w:val="Refdenotaalpie"/>
          <w:rFonts w:ascii="Verdana" w:hAnsi="Verdana"/>
          <w:sz w:val="16"/>
          <w:szCs w:val="16"/>
        </w:rPr>
        <w:footnoteRef/>
      </w:r>
      <w:r w:rsidRPr="00253C03">
        <w:rPr>
          <w:rFonts w:ascii="Verdana" w:hAnsi="Verdana"/>
          <w:sz w:val="16"/>
          <w:szCs w:val="16"/>
          <w:lang w:val="es-CR"/>
        </w:rPr>
        <w:t xml:space="preserve"> </w:t>
      </w:r>
      <w:r>
        <w:rPr>
          <w:rFonts w:ascii="Verdana" w:hAnsi="Verdana"/>
          <w:sz w:val="16"/>
          <w:szCs w:val="16"/>
          <w:lang w:val="es-CR"/>
        </w:rPr>
        <w:tab/>
      </w:r>
      <w:r>
        <w:rPr>
          <w:rFonts w:ascii="Verdana" w:hAnsi="Verdana"/>
          <w:i/>
          <w:iCs/>
          <w:sz w:val="16"/>
          <w:szCs w:val="16"/>
          <w:lang w:val="es-CR"/>
        </w:rPr>
        <w:t xml:space="preserve">Caso J. Vs. Perú, supra </w:t>
      </w:r>
      <w:r>
        <w:rPr>
          <w:rFonts w:ascii="Verdana" w:hAnsi="Verdana"/>
          <w:sz w:val="16"/>
          <w:szCs w:val="16"/>
          <w:lang w:val="es-CR"/>
        </w:rPr>
        <w:t xml:space="preserve">nota </w:t>
      </w:r>
      <w:r w:rsidR="003C32E4">
        <w:rPr>
          <w:rFonts w:ascii="Verdana" w:hAnsi="Verdana"/>
          <w:sz w:val="16"/>
          <w:szCs w:val="16"/>
          <w:lang w:val="es-CR"/>
        </w:rPr>
        <w:t>1</w:t>
      </w:r>
      <w:r>
        <w:rPr>
          <w:rFonts w:ascii="Verdana" w:hAnsi="Verdana"/>
          <w:sz w:val="16"/>
          <w:szCs w:val="16"/>
          <w:lang w:val="es-CR"/>
        </w:rPr>
        <w:t xml:space="preserve">, párrs. 292 y 293. </w:t>
      </w:r>
    </w:p>
  </w:footnote>
  <w:footnote w:id="21">
    <w:p w14:paraId="7C347184" w14:textId="086785FD" w:rsidR="007E7B40" w:rsidRPr="00716B6B" w:rsidRDefault="007E7B40">
      <w:pPr>
        <w:pStyle w:val="Textonotapie"/>
        <w:rPr>
          <w:rFonts w:ascii="Verdana" w:hAnsi="Verdana"/>
          <w:sz w:val="16"/>
          <w:szCs w:val="16"/>
          <w:lang w:val="es-CR"/>
        </w:rPr>
      </w:pPr>
      <w:r>
        <w:rPr>
          <w:rStyle w:val="Refdenotaalpie"/>
        </w:rPr>
        <w:footnoteRef/>
      </w:r>
      <w:r w:rsidRPr="00716B6B">
        <w:rPr>
          <w:lang w:val="es-CR"/>
        </w:rPr>
        <w:t xml:space="preserve"> </w:t>
      </w:r>
      <w:r>
        <w:rPr>
          <w:lang w:val="es-CR"/>
        </w:rPr>
        <w:tab/>
      </w:r>
      <w:r>
        <w:rPr>
          <w:rFonts w:ascii="Verdana" w:hAnsi="Verdana"/>
          <w:i/>
          <w:iCs/>
          <w:sz w:val="16"/>
          <w:szCs w:val="16"/>
          <w:lang w:val="es-CR"/>
        </w:rPr>
        <w:t xml:space="preserve">Cfr. </w:t>
      </w:r>
      <w:r>
        <w:rPr>
          <w:rFonts w:ascii="Verdana" w:hAnsi="Verdana"/>
          <w:sz w:val="16"/>
          <w:szCs w:val="16"/>
          <w:lang w:val="es-CR"/>
        </w:rPr>
        <w:t>Informe estatal de 3 de junio de 2021.</w:t>
      </w:r>
    </w:p>
  </w:footnote>
  <w:footnote w:id="22">
    <w:p w14:paraId="6AAA73A3" w14:textId="60558CAB" w:rsidR="00135D4C" w:rsidRPr="0073544B" w:rsidRDefault="00135D4C" w:rsidP="00135D4C">
      <w:pPr>
        <w:pStyle w:val="Textonotapie"/>
        <w:jc w:val="both"/>
        <w:rPr>
          <w:rFonts w:ascii="Verdana" w:hAnsi="Verdana"/>
          <w:sz w:val="16"/>
          <w:szCs w:val="16"/>
          <w:lang w:val="es-CR"/>
        </w:rPr>
      </w:pPr>
      <w:r w:rsidRPr="0073544B">
        <w:rPr>
          <w:rStyle w:val="Refdenotaalpie"/>
          <w:rFonts w:ascii="Verdana" w:hAnsi="Verdana"/>
          <w:sz w:val="16"/>
          <w:szCs w:val="16"/>
        </w:rPr>
        <w:footnoteRef/>
      </w:r>
      <w:r w:rsidRPr="0073544B">
        <w:rPr>
          <w:rFonts w:ascii="Verdana" w:hAnsi="Verdana"/>
          <w:sz w:val="16"/>
          <w:szCs w:val="16"/>
          <w:lang w:val="es-CR"/>
        </w:rPr>
        <w:t xml:space="preserve"> </w:t>
      </w:r>
      <w:r w:rsidRPr="0073544B">
        <w:rPr>
          <w:rFonts w:ascii="Verdana" w:hAnsi="Verdana"/>
          <w:sz w:val="16"/>
          <w:szCs w:val="16"/>
          <w:lang w:val="es-CR"/>
        </w:rPr>
        <w:tab/>
        <w:t>Para ello, el Tribunal señaló que la señora J. debía “informar en un plazo de tres meses, contado a partir de la notificación de [la] Sentencia, si desea que se realicen las publicaciones señaladas”.</w:t>
      </w:r>
      <w:r>
        <w:rPr>
          <w:rFonts w:ascii="Verdana" w:hAnsi="Verdana"/>
          <w:sz w:val="16"/>
          <w:szCs w:val="16"/>
          <w:lang w:val="es-CR"/>
        </w:rPr>
        <w:t xml:space="preserve"> </w:t>
      </w:r>
      <w:r>
        <w:rPr>
          <w:rFonts w:ascii="Verdana" w:hAnsi="Verdana"/>
          <w:i/>
          <w:iCs/>
          <w:sz w:val="16"/>
          <w:szCs w:val="16"/>
          <w:lang w:val="es-CR"/>
        </w:rPr>
        <w:t xml:space="preserve">Cfr. Caso J. Vs. Perú, supra </w:t>
      </w:r>
      <w:r>
        <w:rPr>
          <w:rFonts w:ascii="Verdana" w:hAnsi="Verdana"/>
          <w:sz w:val="16"/>
          <w:szCs w:val="16"/>
          <w:lang w:val="es-CR"/>
        </w:rPr>
        <w:t xml:space="preserve">nota </w:t>
      </w:r>
      <w:r w:rsidR="00A24ABE">
        <w:rPr>
          <w:rFonts w:ascii="Verdana" w:hAnsi="Verdana"/>
          <w:sz w:val="16"/>
          <w:szCs w:val="16"/>
          <w:lang w:val="es-CR"/>
        </w:rPr>
        <w:t>1</w:t>
      </w:r>
      <w:r>
        <w:rPr>
          <w:rFonts w:ascii="Verdana" w:hAnsi="Verdana"/>
          <w:sz w:val="16"/>
          <w:szCs w:val="16"/>
          <w:lang w:val="es-CR"/>
        </w:rPr>
        <w:t>, párr. 398.</w:t>
      </w:r>
    </w:p>
  </w:footnote>
  <w:footnote w:id="23">
    <w:p w14:paraId="282317F2" w14:textId="6A4A15CD" w:rsidR="00135D4C" w:rsidRPr="007D60C8" w:rsidRDefault="00135D4C" w:rsidP="00135D4C">
      <w:pPr>
        <w:pStyle w:val="Textonotapie"/>
        <w:jc w:val="both"/>
        <w:rPr>
          <w:rFonts w:ascii="Verdana" w:hAnsi="Verdana"/>
          <w:sz w:val="16"/>
          <w:szCs w:val="16"/>
          <w:lang w:val="es-CR"/>
        </w:rPr>
      </w:pPr>
      <w:r>
        <w:rPr>
          <w:rStyle w:val="Refdenotaalpie"/>
        </w:rPr>
        <w:footnoteRef/>
      </w:r>
      <w:r w:rsidRPr="00A673ED">
        <w:rPr>
          <w:lang w:val="es-CR"/>
        </w:rPr>
        <w:t xml:space="preserve"> </w:t>
      </w:r>
      <w:r>
        <w:rPr>
          <w:rFonts w:ascii="Verdana" w:hAnsi="Verdana"/>
          <w:sz w:val="16"/>
          <w:szCs w:val="16"/>
          <w:lang w:val="es-CR"/>
        </w:rPr>
        <w:tab/>
      </w:r>
      <w:r>
        <w:rPr>
          <w:rFonts w:ascii="Verdana" w:hAnsi="Verdana"/>
          <w:i/>
          <w:iCs/>
          <w:sz w:val="16"/>
          <w:szCs w:val="16"/>
          <w:lang w:val="es-CR"/>
        </w:rPr>
        <w:t xml:space="preserve">Cfr. </w:t>
      </w:r>
      <w:r>
        <w:rPr>
          <w:rFonts w:ascii="Verdana" w:hAnsi="Verdana"/>
          <w:sz w:val="16"/>
          <w:szCs w:val="16"/>
          <w:lang w:val="es-CR"/>
        </w:rPr>
        <w:t xml:space="preserve">Escrito de observaciones de la representante de 12 de marzo de 2015. Asimismo, </w:t>
      </w:r>
      <w:r w:rsidRPr="00D33667">
        <w:rPr>
          <w:rFonts w:ascii="Verdana" w:hAnsi="Verdana"/>
          <w:sz w:val="16"/>
          <w:szCs w:val="16"/>
          <w:lang w:val="es-CR"/>
        </w:rPr>
        <w:t xml:space="preserve">el Estado solicitó a la Corte “d[ar] por desistida la solicitud de ejecución de la medida […] y, en consecuencia, cierre el punto resolutivo”. En el mismo sentido, la Comisión tomó nota de que la señora J. “optó por no solicitar la medida de reparación”. </w:t>
      </w:r>
    </w:p>
  </w:footnote>
  <w:footnote w:id="24">
    <w:p w14:paraId="0E5D2C22" w14:textId="77777777" w:rsidR="008E15D5" w:rsidRPr="000115E8" w:rsidRDefault="008E15D5" w:rsidP="008E15D5">
      <w:pPr>
        <w:pStyle w:val="Textonotapie"/>
        <w:jc w:val="both"/>
        <w:rPr>
          <w:rFonts w:ascii="Verdana" w:hAnsi="Verdana"/>
          <w:sz w:val="16"/>
          <w:szCs w:val="16"/>
          <w:lang w:val="es-CR"/>
        </w:rPr>
      </w:pPr>
      <w:r w:rsidRPr="000115E8">
        <w:rPr>
          <w:rStyle w:val="Refdenotaalpie"/>
          <w:rFonts w:ascii="Verdana" w:hAnsi="Verdana"/>
          <w:sz w:val="16"/>
          <w:szCs w:val="16"/>
        </w:rPr>
        <w:footnoteRef/>
      </w:r>
      <w:r w:rsidRPr="000115E8">
        <w:rPr>
          <w:rFonts w:ascii="Verdana" w:hAnsi="Verdana"/>
          <w:sz w:val="16"/>
          <w:szCs w:val="16"/>
          <w:lang w:val="es-CR"/>
        </w:rPr>
        <w:t xml:space="preserve"> </w:t>
      </w:r>
      <w:r w:rsidRPr="000115E8">
        <w:rPr>
          <w:rFonts w:ascii="Verdana" w:hAnsi="Verdana"/>
          <w:sz w:val="16"/>
          <w:szCs w:val="16"/>
          <w:lang w:val="es-CR"/>
        </w:rPr>
        <w:tab/>
      </w:r>
      <w:r w:rsidRPr="00D04291">
        <w:rPr>
          <w:rFonts w:ascii="Verdana" w:hAnsi="Verdana"/>
          <w:i/>
          <w:iCs/>
          <w:sz w:val="16"/>
          <w:szCs w:val="16"/>
          <w:lang w:val="es-CR"/>
        </w:rPr>
        <w:t>Cfr</w:t>
      </w:r>
      <w:r w:rsidRPr="00D04291">
        <w:rPr>
          <w:rFonts w:ascii="Verdana" w:hAnsi="Verdana"/>
          <w:sz w:val="16"/>
          <w:szCs w:val="16"/>
          <w:lang w:val="es-CR"/>
        </w:rPr>
        <w:t xml:space="preserve">. </w:t>
      </w:r>
      <w:r w:rsidRPr="00D04291">
        <w:rPr>
          <w:rFonts w:ascii="Verdana" w:hAnsi="Verdana"/>
          <w:i/>
          <w:iCs/>
          <w:sz w:val="16"/>
          <w:szCs w:val="16"/>
          <w:lang w:val="es-CR"/>
        </w:rPr>
        <w:t>Caso Fernández Ortega y otros Vs. México. Supervisión de Cumplimiento de Sentencia</w:t>
      </w:r>
      <w:r w:rsidRPr="00D04291">
        <w:rPr>
          <w:rFonts w:ascii="Verdana" w:hAnsi="Verdana"/>
          <w:sz w:val="16"/>
          <w:szCs w:val="16"/>
          <w:lang w:val="es-CR"/>
        </w:rPr>
        <w:t>. Resolución de la Corte Interamericana de Derechos Humanos de 25 de noviembre de 2010, Considerando 6</w:t>
      </w:r>
      <w:r>
        <w:rPr>
          <w:rFonts w:ascii="Verdana" w:hAnsi="Verdana"/>
          <w:i/>
          <w:iCs/>
          <w:sz w:val="16"/>
          <w:szCs w:val="16"/>
          <w:lang w:val="es-CR"/>
        </w:rPr>
        <w:t xml:space="preserve">, </w:t>
      </w:r>
      <w:r w:rsidRPr="00DB6683">
        <w:rPr>
          <w:rFonts w:ascii="Verdana" w:hAnsi="Verdana"/>
          <w:sz w:val="16"/>
          <w:szCs w:val="16"/>
          <w:lang w:val="es-CR"/>
        </w:rPr>
        <w:t>y</w:t>
      </w:r>
      <w:r>
        <w:rPr>
          <w:rFonts w:ascii="Verdana" w:hAnsi="Verdana"/>
          <w:i/>
          <w:iCs/>
          <w:sz w:val="16"/>
          <w:szCs w:val="16"/>
          <w:lang w:val="es-CR"/>
        </w:rPr>
        <w:t xml:space="preserve"> </w:t>
      </w:r>
      <w:r w:rsidRPr="000115E8">
        <w:rPr>
          <w:rFonts w:ascii="Verdana" w:hAnsi="Verdana"/>
          <w:i/>
          <w:iCs/>
          <w:sz w:val="16"/>
          <w:szCs w:val="16"/>
          <w:lang w:val="es-CR"/>
        </w:rPr>
        <w:t>Caso Liakat Ali Alibux V</w:t>
      </w:r>
      <w:r>
        <w:rPr>
          <w:rFonts w:ascii="Verdana" w:hAnsi="Verdana"/>
          <w:i/>
          <w:iCs/>
          <w:sz w:val="16"/>
          <w:szCs w:val="16"/>
          <w:lang w:val="es-CR"/>
        </w:rPr>
        <w:t xml:space="preserve">s. Surinam. Supervisión de Cumplimiento de Sentencia. </w:t>
      </w:r>
      <w:r>
        <w:rPr>
          <w:rFonts w:ascii="Verdana" w:hAnsi="Verdana"/>
          <w:sz w:val="16"/>
          <w:szCs w:val="16"/>
          <w:lang w:val="es-CR"/>
        </w:rPr>
        <w:t>Resolución de la Corte Interamericana de Derechos Humanos de 9 de marzo de 2020, Considerando 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10857"/>
    <w:multiLevelType w:val="hybridMultilevel"/>
    <w:tmpl w:val="572E0C54"/>
    <w:lvl w:ilvl="0" w:tplc="140A0011">
      <w:start w:val="1"/>
      <w:numFmt w:val="decimal"/>
      <w:lvlText w:val="%1)"/>
      <w:lvlJc w:val="left"/>
      <w:pPr>
        <w:ind w:left="720" w:hanging="360"/>
      </w:pPr>
    </w:lvl>
    <w:lvl w:ilvl="1" w:tplc="140A0011">
      <w:start w:val="1"/>
      <w:numFmt w:val="decimal"/>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CF011F5"/>
    <w:multiLevelType w:val="hybridMultilevel"/>
    <w:tmpl w:val="D67CD274"/>
    <w:lvl w:ilvl="0" w:tplc="140A0017">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130A0D9B"/>
    <w:multiLevelType w:val="hybridMultilevel"/>
    <w:tmpl w:val="A7C0F7E8"/>
    <w:lvl w:ilvl="0" w:tplc="34BC66BE">
      <w:start w:val="1"/>
      <w:numFmt w:val="upperLetter"/>
      <w:lvlText w:val="%1."/>
      <w:lvlJc w:val="left"/>
      <w:pPr>
        <w:ind w:left="927" w:hanging="360"/>
      </w:pPr>
      <w:rPr>
        <w:b/>
        <w:bCs/>
        <w:i/>
        <w:iCs/>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3" w15:restartNumberingAfterBreak="0">
    <w:nsid w:val="138163E6"/>
    <w:multiLevelType w:val="hybridMultilevel"/>
    <w:tmpl w:val="09E4D636"/>
    <w:lvl w:ilvl="0" w:tplc="8C32DCAA">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 w15:restartNumberingAfterBreak="0">
    <w:nsid w:val="1A171B21"/>
    <w:multiLevelType w:val="hybridMultilevel"/>
    <w:tmpl w:val="C212B4D8"/>
    <w:lvl w:ilvl="0" w:tplc="0584F38C">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5" w15:restartNumberingAfterBreak="0">
    <w:nsid w:val="206620D0"/>
    <w:multiLevelType w:val="hybridMultilevel"/>
    <w:tmpl w:val="11C65A4E"/>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4841ED5"/>
    <w:multiLevelType w:val="hybridMultilevel"/>
    <w:tmpl w:val="C2C8012C"/>
    <w:lvl w:ilvl="0" w:tplc="D3329CEE">
      <w:start w:val="1"/>
      <w:numFmt w:val="upperRoman"/>
      <w:lvlText w:val="%1."/>
      <w:lvlJc w:val="left"/>
      <w:pPr>
        <w:ind w:left="1429" w:hanging="720"/>
      </w:pPr>
      <w:rPr>
        <w:rFonts w:hint="default"/>
        <w:b/>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7" w15:restartNumberingAfterBreak="0">
    <w:nsid w:val="268E4A37"/>
    <w:multiLevelType w:val="hybridMultilevel"/>
    <w:tmpl w:val="3DBA7C80"/>
    <w:lvl w:ilvl="0" w:tplc="FFFFFFFF">
      <w:start w:val="1"/>
      <w:numFmt w:val="lowerRoman"/>
      <w:lvlText w:val="%1."/>
      <w:lvlJc w:val="right"/>
      <w:pPr>
        <w:ind w:left="1440" w:hanging="360"/>
      </w:pPr>
      <w:rPr>
        <w:b w:val="0"/>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82E3233"/>
    <w:multiLevelType w:val="hybridMultilevel"/>
    <w:tmpl w:val="386AA44E"/>
    <w:lvl w:ilvl="0" w:tplc="77B2788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C4D4584"/>
    <w:multiLevelType w:val="hybridMultilevel"/>
    <w:tmpl w:val="AE7EBBCA"/>
    <w:lvl w:ilvl="0" w:tplc="3938730A">
      <w:start w:val="1"/>
      <w:numFmt w:val="decimal"/>
      <w:lvlText w:val="%1."/>
      <w:lvlJc w:val="left"/>
      <w:pPr>
        <w:ind w:left="360" w:hanging="360"/>
      </w:pPr>
      <w:rPr>
        <w:rFonts w:ascii="Verdana" w:hAnsi="Verdana" w:hint="default"/>
        <w:b w:val="0"/>
        <w:i w:val="0"/>
        <w:sz w:val="20"/>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F53484E"/>
    <w:multiLevelType w:val="hybridMultilevel"/>
    <w:tmpl w:val="16DE9ACE"/>
    <w:lvl w:ilvl="0" w:tplc="4156F484">
      <w:start w:val="1"/>
      <w:numFmt w:val="lowerLetter"/>
      <w:lvlText w:val="%1)"/>
      <w:lvlJc w:val="left"/>
      <w:pPr>
        <w:ind w:left="720" w:hanging="360"/>
      </w:pPr>
      <w:rPr>
        <w:b w:val="0"/>
        <w:bCs/>
        <w:color w:val="auto"/>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FE81BFF"/>
    <w:multiLevelType w:val="hybridMultilevel"/>
    <w:tmpl w:val="8482F76C"/>
    <w:lvl w:ilvl="0" w:tplc="140A0017">
      <w:start w:val="1"/>
      <w:numFmt w:val="lowerLetter"/>
      <w:lvlText w:val="%1)"/>
      <w:lvlJc w:val="left"/>
      <w:pPr>
        <w:ind w:left="360" w:hanging="360"/>
      </w:pPr>
    </w:lvl>
    <w:lvl w:ilvl="1" w:tplc="43D244F2">
      <w:start w:val="1"/>
      <w:numFmt w:val="lowerRoman"/>
      <w:lvlText w:val="%2)"/>
      <w:lvlJc w:val="left"/>
      <w:pPr>
        <w:ind w:left="1080" w:hanging="360"/>
      </w:pPr>
      <w:rPr>
        <w:rFonts w:hint="default"/>
      </w:rPr>
    </w:lvl>
    <w:lvl w:ilvl="2" w:tplc="140A001B">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2" w15:restartNumberingAfterBreak="0">
    <w:nsid w:val="30B43846"/>
    <w:multiLevelType w:val="hybridMultilevel"/>
    <w:tmpl w:val="3DBA7C80"/>
    <w:lvl w:ilvl="0" w:tplc="FFFFFFFF">
      <w:start w:val="1"/>
      <w:numFmt w:val="lowerRoman"/>
      <w:lvlText w:val="%1."/>
      <w:lvlJc w:val="right"/>
      <w:pPr>
        <w:ind w:left="1440" w:hanging="360"/>
      </w:pPr>
      <w:rPr>
        <w:b w:val="0"/>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10D7646"/>
    <w:multiLevelType w:val="hybridMultilevel"/>
    <w:tmpl w:val="0F64D4C2"/>
    <w:lvl w:ilvl="0" w:tplc="65D03538">
      <w:start w:val="1"/>
      <w:numFmt w:val="lowerLetter"/>
      <w:lvlText w:val="%1)"/>
      <w:lvlJc w:val="left"/>
      <w:pPr>
        <w:ind w:left="1069" w:hanging="360"/>
      </w:pPr>
      <w:rPr>
        <w:rFonts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4" w15:restartNumberingAfterBreak="0">
    <w:nsid w:val="393014FD"/>
    <w:multiLevelType w:val="hybridMultilevel"/>
    <w:tmpl w:val="7B561A5A"/>
    <w:lvl w:ilvl="0" w:tplc="140A000F">
      <w:start w:val="1"/>
      <w:numFmt w:val="decimal"/>
      <w:lvlText w:val="%1."/>
      <w:lvlJc w:val="left"/>
      <w:pPr>
        <w:ind w:left="6598" w:hanging="360"/>
      </w:pPr>
      <w:rPr>
        <w:rFonts w:hint="default"/>
      </w:rPr>
    </w:lvl>
    <w:lvl w:ilvl="1" w:tplc="140A0019">
      <w:start w:val="1"/>
      <w:numFmt w:val="lowerLetter"/>
      <w:lvlText w:val="%2."/>
      <w:lvlJc w:val="left"/>
      <w:pPr>
        <w:ind w:left="7318" w:hanging="360"/>
      </w:pPr>
    </w:lvl>
    <w:lvl w:ilvl="2" w:tplc="140A001B" w:tentative="1">
      <w:start w:val="1"/>
      <w:numFmt w:val="lowerRoman"/>
      <w:lvlText w:val="%3."/>
      <w:lvlJc w:val="right"/>
      <w:pPr>
        <w:ind w:left="8038" w:hanging="180"/>
      </w:pPr>
    </w:lvl>
    <w:lvl w:ilvl="3" w:tplc="140A000F" w:tentative="1">
      <w:start w:val="1"/>
      <w:numFmt w:val="decimal"/>
      <w:lvlText w:val="%4."/>
      <w:lvlJc w:val="left"/>
      <w:pPr>
        <w:ind w:left="8758" w:hanging="360"/>
      </w:pPr>
    </w:lvl>
    <w:lvl w:ilvl="4" w:tplc="140A0019" w:tentative="1">
      <w:start w:val="1"/>
      <w:numFmt w:val="lowerLetter"/>
      <w:lvlText w:val="%5."/>
      <w:lvlJc w:val="left"/>
      <w:pPr>
        <w:ind w:left="9478" w:hanging="360"/>
      </w:pPr>
    </w:lvl>
    <w:lvl w:ilvl="5" w:tplc="140A001B" w:tentative="1">
      <w:start w:val="1"/>
      <w:numFmt w:val="lowerRoman"/>
      <w:lvlText w:val="%6."/>
      <w:lvlJc w:val="right"/>
      <w:pPr>
        <w:ind w:left="10198" w:hanging="180"/>
      </w:pPr>
    </w:lvl>
    <w:lvl w:ilvl="6" w:tplc="140A000F" w:tentative="1">
      <w:start w:val="1"/>
      <w:numFmt w:val="decimal"/>
      <w:lvlText w:val="%7."/>
      <w:lvlJc w:val="left"/>
      <w:pPr>
        <w:ind w:left="10918" w:hanging="360"/>
      </w:pPr>
    </w:lvl>
    <w:lvl w:ilvl="7" w:tplc="140A0019" w:tentative="1">
      <w:start w:val="1"/>
      <w:numFmt w:val="lowerLetter"/>
      <w:lvlText w:val="%8."/>
      <w:lvlJc w:val="left"/>
      <w:pPr>
        <w:ind w:left="11638" w:hanging="360"/>
      </w:pPr>
    </w:lvl>
    <w:lvl w:ilvl="8" w:tplc="140A001B" w:tentative="1">
      <w:start w:val="1"/>
      <w:numFmt w:val="lowerRoman"/>
      <w:lvlText w:val="%9."/>
      <w:lvlJc w:val="right"/>
      <w:pPr>
        <w:ind w:left="12358" w:hanging="180"/>
      </w:pPr>
    </w:lvl>
  </w:abstractNum>
  <w:abstractNum w:abstractNumId="15" w15:restartNumberingAfterBreak="0">
    <w:nsid w:val="3DF770F4"/>
    <w:multiLevelType w:val="hybridMultilevel"/>
    <w:tmpl w:val="3DBA7C80"/>
    <w:lvl w:ilvl="0" w:tplc="FFFFFFFF">
      <w:start w:val="1"/>
      <w:numFmt w:val="lowerRoman"/>
      <w:lvlText w:val="%1."/>
      <w:lvlJc w:val="right"/>
      <w:pPr>
        <w:ind w:left="1440" w:hanging="360"/>
      </w:pPr>
      <w:rPr>
        <w:b w:val="0"/>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480D63EF"/>
    <w:multiLevelType w:val="hybridMultilevel"/>
    <w:tmpl w:val="2474E75E"/>
    <w:lvl w:ilvl="0" w:tplc="140A001B">
      <w:start w:val="1"/>
      <w:numFmt w:val="lowerRoman"/>
      <w:lvlText w:val="%1."/>
      <w:lvlJc w:val="right"/>
      <w:pPr>
        <w:ind w:left="1800" w:hanging="360"/>
      </w:p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17" w15:restartNumberingAfterBreak="0">
    <w:nsid w:val="4BBE0E90"/>
    <w:multiLevelType w:val="hybridMultilevel"/>
    <w:tmpl w:val="394C9A8A"/>
    <w:lvl w:ilvl="0" w:tplc="808636D4">
      <w:start w:val="1"/>
      <w:numFmt w:val="decimal"/>
      <w:lvlText w:val="%1."/>
      <w:lvlJc w:val="left"/>
      <w:pPr>
        <w:ind w:left="1069" w:hanging="360"/>
      </w:pPr>
      <w:rPr>
        <w:rFonts w:hint="default"/>
        <w:b w:val="0"/>
        <w:i w:val="0"/>
        <w:color w:val="auto"/>
      </w:rPr>
    </w:lvl>
    <w:lvl w:ilvl="1" w:tplc="140A0017">
      <w:start w:val="1"/>
      <w:numFmt w:val="lowerLetter"/>
      <w:lvlText w:val="%2)"/>
      <w:lvlJc w:val="left"/>
      <w:pPr>
        <w:ind w:left="1440" w:hanging="360"/>
      </w:pPr>
      <w:rPr>
        <w:color w:val="auto"/>
      </w:rPr>
    </w:lvl>
    <w:lvl w:ilvl="2" w:tplc="1A1056E8">
      <w:start w:val="1"/>
      <w:numFmt w:val="lowerRoman"/>
      <w:lvlText w:val="%3."/>
      <w:lvlJc w:val="right"/>
      <w:pPr>
        <w:ind w:left="2160" w:hanging="180"/>
      </w:pPr>
      <w:rPr>
        <w:color w:val="auto"/>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F1C26E0"/>
    <w:multiLevelType w:val="hybridMultilevel"/>
    <w:tmpl w:val="A7C0F7E8"/>
    <w:lvl w:ilvl="0" w:tplc="FFFFFFFF">
      <w:start w:val="1"/>
      <w:numFmt w:val="upperLetter"/>
      <w:lvlText w:val="%1."/>
      <w:lvlJc w:val="left"/>
      <w:pPr>
        <w:ind w:left="927" w:hanging="360"/>
      </w:pPr>
      <w:rPr>
        <w:b/>
        <w:bCs/>
        <w:i/>
        <w:iCs/>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 w15:restartNumberingAfterBreak="0">
    <w:nsid w:val="56857562"/>
    <w:multiLevelType w:val="hybridMultilevel"/>
    <w:tmpl w:val="65284814"/>
    <w:lvl w:ilvl="0" w:tplc="8BFE3276">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9055438"/>
    <w:multiLevelType w:val="hybridMultilevel"/>
    <w:tmpl w:val="65284814"/>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AEC4DC0"/>
    <w:multiLevelType w:val="hybridMultilevel"/>
    <w:tmpl w:val="3DBA7C80"/>
    <w:lvl w:ilvl="0" w:tplc="FFFFFFFF">
      <w:start w:val="1"/>
      <w:numFmt w:val="lowerRoman"/>
      <w:lvlText w:val="%1."/>
      <w:lvlJc w:val="right"/>
      <w:pPr>
        <w:ind w:left="1440" w:hanging="360"/>
      </w:pPr>
      <w:rPr>
        <w:b w:val="0"/>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64B65E28"/>
    <w:multiLevelType w:val="hybridMultilevel"/>
    <w:tmpl w:val="3E56BB96"/>
    <w:lvl w:ilvl="0" w:tplc="140A000F">
      <w:start w:val="1"/>
      <w:numFmt w:val="decimal"/>
      <w:lvlText w:val="%1."/>
      <w:lvlJc w:val="left"/>
      <w:pPr>
        <w:ind w:left="786" w:hanging="360"/>
      </w:pPr>
    </w:lvl>
    <w:lvl w:ilvl="1" w:tplc="140A0019">
      <w:start w:val="1"/>
      <w:numFmt w:val="lowerLetter"/>
      <w:lvlText w:val="%2."/>
      <w:lvlJc w:val="left"/>
      <w:pPr>
        <w:ind w:left="1506" w:hanging="360"/>
      </w:pPr>
    </w:lvl>
    <w:lvl w:ilvl="2" w:tplc="140A001B">
      <w:start w:val="1"/>
      <w:numFmt w:val="lowerRoman"/>
      <w:lvlText w:val="%3."/>
      <w:lvlJc w:val="right"/>
      <w:pPr>
        <w:ind w:left="2226" w:hanging="180"/>
      </w:pPr>
    </w:lvl>
    <w:lvl w:ilvl="3" w:tplc="140A000F">
      <w:start w:val="1"/>
      <w:numFmt w:val="decimal"/>
      <w:lvlText w:val="%4."/>
      <w:lvlJc w:val="left"/>
      <w:pPr>
        <w:ind w:left="2946" w:hanging="360"/>
      </w:pPr>
    </w:lvl>
    <w:lvl w:ilvl="4" w:tplc="140A0019">
      <w:start w:val="1"/>
      <w:numFmt w:val="lowerLetter"/>
      <w:lvlText w:val="%5."/>
      <w:lvlJc w:val="left"/>
      <w:pPr>
        <w:ind w:left="3666" w:hanging="360"/>
      </w:pPr>
    </w:lvl>
    <w:lvl w:ilvl="5" w:tplc="140A001B">
      <w:start w:val="1"/>
      <w:numFmt w:val="lowerRoman"/>
      <w:lvlText w:val="%6."/>
      <w:lvlJc w:val="right"/>
      <w:pPr>
        <w:ind w:left="4386" w:hanging="180"/>
      </w:pPr>
    </w:lvl>
    <w:lvl w:ilvl="6" w:tplc="140A000F">
      <w:start w:val="1"/>
      <w:numFmt w:val="decimal"/>
      <w:lvlText w:val="%7."/>
      <w:lvlJc w:val="left"/>
      <w:pPr>
        <w:ind w:left="5106" w:hanging="360"/>
      </w:pPr>
    </w:lvl>
    <w:lvl w:ilvl="7" w:tplc="140A0019">
      <w:start w:val="1"/>
      <w:numFmt w:val="lowerLetter"/>
      <w:lvlText w:val="%8."/>
      <w:lvlJc w:val="left"/>
      <w:pPr>
        <w:ind w:left="5826" w:hanging="360"/>
      </w:pPr>
    </w:lvl>
    <w:lvl w:ilvl="8" w:tplc="140A001B">
      <w:start w:val="1"/>
      <w:numFmt w:val="lowerRoman"/>
      <w:lvlText w:val="%9."/>
      <w:lvlJc w:val="right"/>
      <w:pPr>
        <w:ind w:left="6546" w:hanging="180"/>
      </w:pPr>
    </w:lvl>
  </w:abstractNum>
  <w:abstractNum w:abstractNumId="23" w15:restartNumberingAfterBreak="0">
    <w:nsid w:val="6A5923B7"/>
    <w:multiLevelType w:val="hybridMultilevel"/>
    <w:tmpl w:val="980EB812"/>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DA11262"/>
    <w:multiLevelType w:val="hybridMultilevel"/>
    <w:tmpl w:val="BF583CE4"/>
    <w:lvl w:ilvl="0" w:tplc="570AA9B8">
      <w:start w:val="1"/>
      <w:numFmt w:val="decimal"/>
      <w:lvlText w:val="%1."/>
      <w:lvlJc w:val="left"/>
      <w:pPr>
        <w:ind w:left="540" w:hanging="360"/>
      </w:pPr>
      <w:rPr>
        <w:b w:val="0"/>
        <w:i w:val="0"/>
        <w:strike w:val="0"/>
        <w:sz w:val="20"/>
        <w:lang w:val="es-CR"/>
      </w:rPr>
    </w:lvl>
    <w:lvl w:ilvl="1" w:tplc="140A0017">
      <w:start w:val="1"/>
      <w:numFmt w:val="lowerLetter"/>
      <w:lvlText w:val="%2)"/>
      <w:lvlJc w:val="left"/>
      <w:pPr>
        <w:ind w:left="1080" w:hanging="360"/>
      </w:pPr>
      <w:rPr>
        <w:b w:val="0"/>
        <w:i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15:restartNumberingAfterBreak="0">
    <w:nsid w:val="6E0C1547"/>
    <w:multiLevelType w:val="hybridMultilevel"/>
    <w:tmpl w:val="3DBA7C80"/>
    <w:lvl w:ilvl="0" w:tplc="BE429062">
      <w:start w:val="1"/>
      <w:numFmt w:val="lowerRoman"/>
      <w:lvlText w:val="%1."/>
      <w:lvlJc w:val="right"/>
      <w:pPr>
        <w:ind w:left="1440" w:hanging="360"/>
      </w:pPr>
      <w:rPr>
        <w:b w:val="0"/>
        <w:bCs/>
      </w:rPr>
    </w:lvl>
    <w:lvl w:ilvl="1" w:tplc="140A0019">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6" w15:restartNumberingAfterBreak="0">
    <w:nsid w:val="725E552C"/>
    <w:multiLevelType w:val="hybridMultilevel"/>
    <w:tmpl w:val="97422DEC"/>
    <w:lvl w:ilvl="0" w:tplc="FFFFFFFF">
      <w:start w:val="1"/>
      <w:numFmt w:val="decimal"/>
      <w:lvlText w:val="%1."/>
      <w:lvlJc w:val="left"/>
      <w:pPr>
        <w:ind w:left="-1065" w:hanging="360"/>
      </w:pPr>
      <w:rPr>
        <w:b w:val="0"/>
      </w:rPr>
    </w:lvl>
    <w:lvl w:ilvl="1" w:tplc="FFFFFFFF">
      <w:start w:val="1"/>
      <w:numFmt w:val="lowerLetter"/>
      <w:lvlText w:val="%2."/>
      <w:lvlJc w:val="left"/>
      <w:pPr>
        <w:ind w:left="-345" w:hanging="360"/>
      </w:pPr>
    </w:lvl>
    <w:lvl w:ilvl="2" w:tplc="3920113A">
      <w:start w:val="1"/>
      <w:numFmt w:val="lowerLetter"/>
      <w:lvlText w:val="%3)"/>
      <w:lvlJc w:val="left"/>
      <w:pPr>
        <w:ind w:left="555" w:hanging="360"/>
      </w:pPr>
      <w:rPr>
        <w:rFonts w:hint="default"/>
      </w:rPr>
    </w:lvl>
    <w:lvl w:ilvl="3" w:tplc="FFFFFFFF" w:tentative="1">
      <w:start w:val="1"/>
      <w:numFmt w:val="decimal"/>
      <w:lvlText w:val="%4."/>
      <w:lvlJc w:val="left"/>
      <w:pPr>
        <w:ind w:left="1095" w:hanging="360"/>
      </w:pPr>
    </w:lvl>
    <w:lvl w:ilvl="4" w:tplc="FFFFFFFF" w:tentative="1">
      <w:start w:val="1"/>
      <w:numFmt w:val="lowerLetter"/>
      <w:lvlText w:val="%5."/>
      <w:lvlJc w:val="left"/>
      <w:pPr>
        <w:ind w:left="1815" w:hanging="360"/>
      </w:pPr>
    </w:lvl>
    <w:lvl w:ilvl="5" w:tplc="FFFFFFFF" w:tentative="1">
      <w:start w:val="1"/>
      <w:numFmt w:val="lowerRoman"/>
      <w:lvlText w:val="%6."/>
      <w:lvlJc w:val="right"/>
      <w:pPr>
        <w:ind w:left="2535" w:hanging="180"/>
      </w:pPr>
    </w:lvl>
    <w:lvl w:ilvl="6" w:tplc="FFFFFFFF" w:tentative="1">
      <w:start w:val="1"/>
      <w:numFmt w:val="decimal"/>
      <w:lvlText w:val="%7."/>
      <w:lvlJc w:val="left"/>
      <w:pPr>
        <w:ind w:left="3255" w:hanging="360"/>
      </w:pPr>
    </w:lvl>
    <w:lvl w:ilvl="7" w:tplc="FFFFFFFF" w:tentative="1">
      <w:start w:val="1"/>
      <w:numFmt w:val="lowerLetter"/>
      <w:lvlText w:val="%8."/>
      <w:lvlJc w:val="left"/>
      <w:pPr>
        <w:ind w:left="3975" w:hanging="360"/>
      </w:pPr>
    </w:lvl>
    <w:lvl w:ilvl="8" w:tplc="FFFFFFFF" w:tentative="1">
      <w:start w:val="1"/>
      <w:numFmt w:val="lowerRoman"/>
      <w:lvlText w:val="%9."/>
      <w:lvlJc w:val="right"/>
      <w:pPr>
        <w:ind w:left="4695" w:hanging="180"/>
      </w:pPr>
    </w:lvl>
  </w:abstractNum>
  <w:abstractNum w:abstractNumId="27" w15:restartNumberingAfterBreak="0">
    <w:nsid w:val="771530D4"/>
    <w:multiLevelType w:val="hybridMultilevel"/>
    <w:tmpl w:val="A8925D30"/>
    <w:lvl w:ilvl="0" w:tplc="3938730A">
      <w:start w:val="1"/>
      <w:numFmt w:val="decimal"/>
      <w:lvlText w:val="%1."/>
      <w:lvlJc w:val="left"/>
      <w:pPr>
        <w:ind w:left="360" w:hanging="360"/>
      </w:pPr>
      <w:rPr>
        <w:rFonts w:ascii="Verdana" w:hAnsi="Verdana" w:hint="default"/>
        <w:b w:val="0"/>
        <w:i w:val="0"/>
        <w:sz w:val="20"/>
      </w:rPr>
    </w:lvl>
    <w:lvl w:ilvl="1" w:tplc="EB62B7A6">
      <w:start w:val="2"/>
      <w:numFmt w:val="upperLetter"/>
      <w:pStyle w:val="Ttulo1"/>
      <w:lvlText w:val="%2."/>
      <w:lvlJc w:val="left"/>
      <w:pPr>
        <w:ind w:left="1069" w:hanging="360"/>
      </w:pPr>
      <w:rPr>
        <w:rFonts w:hint="default"/>
        <w:b/>
      </w:rPr>
    </w:lvl>
    <w:lvl w:ilvl="2" w:tplc="08C85A28">
      <w:start w:val="1"/>
      <w:numFmt w:val="lowerLetter"/>
      <w:lvlText w:val="%3."/>
      <w:lvlJc w:val="left"/>
      <w:pPr>
        <w:ind w:left="2340" w:hanging="360"/>
      </w:pPr>
      <w:rPr>
        <w:rFonts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7AE91D52"/>
    <w:multiLevelType w:val="hybridMultilevel"/>
    <w:tmpl w:val="3DBA7C80"/>
    <w:lvl w:ilvl="0" w:tplc="FFFFFFFF">
      <w:start w:val="1"/>
      <w:numFmt w:val="lowerRoman"/>
      <w:lvlText w:val="%1."/>
      <w:lvlJc w:val="right"/>
      <w:pPr>
        <w:ind w:left="1440" w:hanging="360"/>
      </w:pPr>
      <w:rPr>
        <w:b w:val="0"/>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50924833">
    <w:abstractNumId w:val="19"/>
  </w:num>
  <w:num w:numId="2" w16cid:durableId="1508207310">
    <w:abstractNumId w:val="17"/>
  </w:num>
  <w:num w:numId="3" w16cid:durableId="1040126033">
    <w:abstractNumId w:val="14"/>
  </w:num>
  <w:num w:numId="4" w16cid:durableId="497236801">
    <w:abstractNumId w:val="4"/>
  </w:num>
  <w:num w:numId="5" w16cid:durableId="1691952832">
    <w:abstractNumId w:val="3"/>
  </w:num>
  <w:num w:numId="6" w16cid:durableId="12924389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7330458">
    <w:abstractNumId w:val="13"/>
  </w:num>
  <w:num w:numId="8" w16cid:durableId="198203559">
    <w:abstractNumId w:val="6"/>
  </w:num>
  <w:num w:numId="9" w16cid:durableId="1292633083">
    <w:abstractNumId w:val="23"/>
  </w:num>
  <w:num w:numId="10" w16cid:durableId="1769500958">
    <w:abstractNumId w:val="27"/>
  </w:num>
  <w:num w:numId="11" w16cid:durableId="1568808429">
    <w:abstractNumId w:val="9"/>
  </w:num>
  <w:num w:numId="12" w16cid:durableId="1039016719">
    <w:abstractNumId w:val="11"/>
  </w:num>
  <w:num w:numId="13" w16cid:durableId="920257688">
    <w:abstractNumId w:val="10"/>
  </w:num>
  <w:num w:numId="14" w16cid:durableId="1972006939">
    <w:abstractNumId w:val="25"/>
  </w:num>
  <w:num w:numId="15" w16cid:durableId="396821953">
    <w:abstractNumId w:val="28"/>
  </w:num>
  <w:num w:numId="16" w16cid:durableId="1557820027">
    <w:abstractNumId w:val="7"/>
  </w:num>
  <w:num w:numId="17" w16cid:durableId="858275087">
    <w:abstractNumId w:val="21"/>
  </w:num>
  <w:num w:numId="18" w16cid:durableId="667943876">
    <w:abstractNumId w:val="12"/>
  </w:num>
  <w:num w:numId="19" w16cid:durableId="655453275">
    <w:abstractNumId w:val="15"/>
  </w:num>
  <w:num w:numId="20" w16cid:durableId="451050656">
    <w:abstractNumId w:val="24"/>
  </w:num>
  <w:num w:numId="21" w16cid:durableId="1748109601">
    <w:abstractNumId w:val="8"/>
  </w:num>
  <w:num w:numId="22" w16cid:durableId="1454782808">
    <w:abstractNumId w:val="20"/>
  </w:num>
  <w:num w:numId="23" w16cid:durableId="817455631">
    <w:abstractNumId w:val="26"/>
  </w:num>
  <w:num w:numId="24" w16cid:durableId="732117754">
    <w:abstractNumId w:val="2"/>
  </w:num>
  <w:num w:numId="25" w16cid:durableId="672613326">
    <w:abstractNumId w:val="18"/>
  </w:num>
  <w:num w:numId="26" w16cid:durableId="686367073">
    <w:abstractNumId w:val="16"/>
  </w:num>
  <w:num w:numId="27" w16cid:durableId="642009697">
    <w:abstractNumId w:val="5"/>
  </w:num>
  <w:num w:numId="28" w16cid:durableId="128013073">
    <w:abstractNumId w:val="0"/>
  </w:num>
  <w:num w:numId="29" w16cid:durableId="60014377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D4F"/>
    <w:rsid w:val="00002D68"/>
    <w:rsid w:val="0000373F"/>
    <w:rsid w:val="00003F5E"/>
    <w:rsid w:val="0000424C"/>
    <w:rsid w:val="000059E6"/>
    <w:rsid w:val="0000617D"/>
    <w:rsid w:val="00006DB9"/>
    <w:rsid w:val="000115E8"/>
    <w:rsid w:val="000121ED"/>
    <w:rsid w:val="000142A3"/>
    <w:rsid w:val="00014366"/>
    <w:rsid w:val="00014B71"/>
    <w:rsid w:val="000159FF"/>
    <w:rsid w:val="00016F5B"/>
    <w:rsid w:val="0001785E"/>
    <w:rsid w:val="00017E73"/>
    <w:rsid w:val="000206A6"/>
    <w:rsid w:val="00020772"/>
    <w:rsid w:val="000218D5"/>
    <w:rsid w:val="0002220E"/>
    <w:rsid w:val="00022B67"/>
    <w:rsid w:val="00024A8B"/>
    <w:rsid w:val="00026289"/>
    <w:rsid w:val="000264F8"/>
    <w:rsid w:val="0002757F"/>
    <w:rsid w:val="00030050"/>
    <w:rsid w:val="00031CFC"/>
    <w:rsid w:val="0003263C"/>
    <w:rsid w:val="00032A4E"/>
    <w:rsid w:val="000368A4"/>
    <w:rsid w:val="00036946"/>
    <w:rsid w:val="00037483"/>
    <w:rsid w:val="000375F3"/>
    <w:rsid w:val="00037895"/>
    <w:rsid w:val="00037A36"/>
    <w:rsid w:val="00040684"/>
    <w:rsid w:val="0004178B"/>
    <w:rsid w:val="00041CD4"/>
    <w:rsid w:val="00043321"/>
    <w:rsid w:val="00043B6F"/>
    <w:rsid w:val="0004405E"/>
    <w:rsid w:val="000444EB"/>
    <w:rsid w:val="00044E1B"/>
    <w:rsid w:val="000457D4"/>
    <w:rsid w:val="00046F7E"/>
    <w:rsid w:val="00047288"/>
    <w:rsid w:val="000474EB"/>
    <w:rsid w:val="000477CE"/>
    <w:rsid w:val="000512D1"/>
    <w:rsid w:val="000515ED"/>
    <w:rsid w:val="00052505"/>
    <w:rsid w:val="000525E3"/>
    <w:rsid w:val="000534CE"/>
    <w:rsid w:val="00053644"/>
    <w:rsid w:val="00053874"/>
    <w:rsid w:val="00053BD5"/>
    <w:rsid w:val="00055FA5"/>
    <w:rsid w:val="000560D6"/>
    <w:rsid w:val="00056C08"/>
    <w:rsid w:val="0006095B"/>
    <w:rsid w:val="00060D08"/>
    <w:rsid w:val="0006218A"/>
    <w:rsid w:val="00062679"/>
    <w:rsid w:val="00064748"/>
    <w:rsid w:val="00065794"/>
    <w:rsid w:val="00065B58"/>
    <w:rsid w:val="0006620E"/>
    <w:rsid w:val="00071B33"/>
    <w:rsid w:val="00072210"/>
    <w:rsid w:val="0007230B"/>
    <w:rsid w:val="000727A5"/>
    <w:rsid w:val="000734F1"/>
    <w:rsid w:val="00073A50"/>
    <w:rsid w:val="00075189"/>
    <w:rsid w:val="00075633"/>
    <w:rsid w:val="00075F2A"/>
    <w:rsid w:val="00076512"/>
    <w:rsid w:val="00077139"/>
    <w:rsid w:val="000805A1"/>
    <w:rsid w:val="00080A56"/>
    <w:rsid w:val="000826F0"/>
    <w:rsid w:val="00086E89"/>
    <w:rsid w:val="00091461"/>
    <w:rsid w:val="0009166C"/>
    <w:rsid w:val="000931C3"/>
    <w:rsid w:val="00096CE4"/>
    <w:rsid w:val="00096DA0"/>
    <w:rsid w:val="000A01D4"/>
    <w:rsid w:val="000A0899"/>
    <w:rsid w:val="000A09B3"/>
    <w:rsid w:val="000A1035"/>
    <w:rsid w:val="000A2B57"/>
    <w:rsid w:val="000A3B1C"/>
    <w:rsid w:val="000A552E"/>
    <w:rsid w:val="000A67DF"/>
    <w:rsid w:val="000A7221"/>
    <w:rsid w:val="000B01FF"/>
    <w:rsid w:val="000B070F"/>
    <w:rsid w:val="000B1079"/>
    <w:rsid w:val="000B20D1"/>
    <w:rsid w:val="000B2395"/>
    <w:rsid w:val="000B3655"/>
    <w:rsid w:val="000B4C92"/>
    <w:rsid w:val="000C042D"/>
    <w:rsid w:val="000C071F"/>
    <w:rsid w:val="000C10DB"/>
    <w:rsid w:val="000C24A9"/>
    <w:rsid w:val="000C28EE"/>
    <w:rsid w:val="000C4D0E"/>
    <w:rsid w:val="000C4F9B"/>
    <w:rsid w:val="000C54BC"/>
    <w:rsid w:val="000C5B26"/>
    <w:rsid w:val="000C609F"/>
    <w:rsid w:val="000C63CF"/>
    <w:rsid w:val="000C64B2"/>
    <w:rsid w:val="000C6E8A"/>
    <w:rsid w:val="000C70E7"/>
    <w:rsid w:val="000D214A"/>
    <w:rsid w:val="000D21A7"/>
    <w:rsid w:val="000D23E2"/>
    <w:rsid w:val="000D310A"/>
    <w:rsid w:val="000D3EEA"/>
    <w:rsid w:val="000D435B"/>
    <w:rsid w:val="000D5673"/>
    <w:rsid w:val="000D5FAC"/>
    <w:rsid w:val="000D7053"/>
    <w:rsid w:val="000D7324"/>
    <w:rsid w:val="000D7BEC"/>
    <w:rsid w:val="000E0258"/>
    <w:rsid w:val="000E042D"/>
    <w:rsid w:val="000E1063"/>
    <w:rsid w:val="000E1DF3"/>
    <w:rsid w:val="000E213E"/>
    <w:rsid w:val="000E50D8"/>
    <w:rsid w:val="000E71A9"/>
    <w:rsid w:val="000E7572"/>
    <w:rsid w:val="000E7AEF"/>
    <w:rsid w:val="000F0892"/>
    <w:rsid w:val="000F0C43"/>
    <w:rsid w:val="000F1CF4"/>
    <w:rsid w:val="000F23F2"/>
    <w:rsid w:val="000F29C9"/>
    <w:rsid w:val="000F47CD"/>
    <w:rsid w:val="000F6872"/>
    <w:rsid w:val="001004CD"/>
    <w:rsid w:val="0010169C"/>
    <w:rsid w:val="00102481"/>
    <w:rsid w:val="0010288D"/>
    <w:rsid w:val="00102E0E"/>
    <w:rsid w:val="00103646"/>
    <w:rsid w:val="00103C22"/>
    <w:rsid w:val="00104788"/>
    <w:rsid w:val="001053E2"/>
    <w:rsid w:val="001057DE"/>
    <w:rsid w:val="00106618"/>
    <w:rsid w:val="00106CFE"/>
    <w:rsid w:val="00107BBE"/>
    <w:rsid w:val="00111A17"/>
    <w:rsid w:val="001141EE"/>
    <w:rsid w:val="001143AB"/>
    <w:rsid w:val="00115EEB"/>
    <w:rsid w:val="001164E8"/>
    <w:rsid w:val="001165CA"/>
    <w:rsid w:val="00116DD2"/>
    <w:rsid w:val="00117067"/>
    <w:rsid w:val="00117F11"/>
    <w:rsid w:val="00120C2D"/>
    <w:rsid w:val="00121288"/>
    <w:rsid w:val="00122522"/>
    <w:rsid w:val="001235EA"/>
    <w:rsid w:val="00123E2A"/>
    <w:rsid w:val="00127300"/>
    <w:rsid w:val="00127AC5"/>
    <w:rsid w:val="00130AFE"/>
    <w:rsid w:val="00131C6D"/>
    <w:rsid w:val="00132974"/>
    <w:rsid w:val="00132F50"/>
    <w:rsid w:val="00133D8E"/>
    <w:rsid w:val="00134D84"/>
    <w:rsid w:val="0013592E"/>
    <w:rsid w:val="00135D4C"/>
    <w:rsid w:val="00136053"/>
    <w:rsid w:val="00136725"/>
    <w:rsid w:val="00137A77"/>
    <w:rsid w:val="00137ADF"/>
    <w:rsid w:val="00141031"/>
    <w:rsid w:val="00141B12"/>
    <w:rsid w:val="00141C87"/>
    <w:rsid w:val="00144D66"/>
    <w:rsid w:val="00145EA9"/>
    <w:rsid w:val="00146FBD"/>
    <w:rsid w:val="00150C79"/>
    <w:rsid w:val="00151455"/>
    <w:rsid w:val="00152179"/>
    <w:rsid w:val="00152BB5"/>
    <w:rsid w:val="001531B2"/>
    <w:rsid w:val="001540F7"/>
    <w:rsid w:val="00154F2B"/>
    <w:rsid w:val="00156A4D"/>
    <w:rsid w:val="00156E17"/>
    <w:rsid w:val="00157974"/>
    <w:rsid w:val="00160228"/>
    <w:rsid w:val="00161AB6"/>
    <w:rsid w:val="001633AC"/>
    <w:rsid w:val="00163C46"/>
    <w:rsid w:val="00164C4D"/>
    <w:rsid w:val="00165457"/>
    <w:rsid w:val="0016772E"/>
    <w:rsid w:val="001702FD"/>
    <w:rsid w:val="0017118B"/>
    <w:rsid w:val="00171F59"/>
    <w:rsid w:val="001759FF"/>
    <w:rsid w:val="00176DCC"/>
    <w:rsid w:val="00177DD5"/>
    <w:rsid w:val="001812F9"/>
    <w:rsid w:val="001819A9"/>
    <w:rsid w:val="00181AA7"/>
    <w:rsid w:val="00183463"/>
    <w:rsid w:val="00184011"/>
    <w:rsid w:val="00184D28"/>
    <w:rsid w:val="0018552C"/>
    <w:rsid w:val="001877A4"/>
    <w:rsid w:val="00190BAA"/>
    <w:rsid w:val="001916B5"/>
    <w:rsid w:val="00191815"/>
    <w:rsid w:val="00191C8E"/>
    <w:rsid w:val="001939F2"/>
    <w:rsid w:val="00193CD3"/>
    <w:rsid w:val="0019599B"/>
    <w:rsid w:val="00196BAF"/>
    <w:rsid w:val="001970F4"/>
    <w:rsid w:val="00197484"/>
    <w:rsid w:val="001978C4"/>
    <w:rsid w:val="001978EC"/>
    <w:rsid w:val="00197F8D"/>
    <w:rsid w:val="001A019E"/>
    <w:rsid w:val="001A05A0"/>
    <w:rsid w:val="001A0FCF"/>
    <w:rsid w:val="001A23A8"/>
    <w:rsid w:val="001A27ED"/>
    <w:rsid w:val="001A3510"/>
    <w:rsid w:val="001A3854"/>
    <w:rsid w:val="001A3BA3"/>
    <w:rsid w:val="001A526E"/>
    <w:rsid w:val="001A5F22"/>
    <w:rsid w:val="001A6685"/>
    <w:rsid w:val="001A6C31"/>
    <w:rsid w:val="001A7956"/>
    <w:rsid w:val="001B0651"/>
    <w:rsid w:val="001B0BB6"/>
    <w:rsid w:val="001B1048"/>
    <w:rsid w:val="001B1AC7"/>
    <w:rsid w:val="001B4A07"/>
    <w:rsid w:val="001B501F"/>
    <w:rsid w:val="001B5547"/>
    <w:rsid w:val="001C048B"/>
    <w:rsid w:val="001C0DED"/>
    <w:rsid w:val="001C1572"/>
    <w:rsid w:val="001C16C2"/>
    <w:rsid w:val="001C1DBE"/>
    <w:rsid w:val="001C310C"/>
    <w:rsid w:val="001C3AB5"/>
    <w:rsid w:val="001C483E"/>
    <w:rsid w:val="001C50E3"/>
    <w:rsid w:val="001C5E0F"/>
    <w:rsid w:val="001C70A4"/>
    <w:rsid w:val="001C72D5"/>
    <w:rsid w:val="001C75A6"/>
    <w:rsid w:val="001D0D6F"/>
    <w:rsid w:val="001D4651"/>
    <w:rsid w:val="001D4F99"/>
    <w:rsid w:val="001D5469"/>
    <w:rsid w:val="001D5A19"/>
    <w:rsid w:val="001D64DA"/>
    <w:rsid w:val="001D6C95"/>
    <w:rsid w:val="001E0C40"/>
    <w:rsid w:val="001E19A3"/>
    <w:rsid w:val="001E2122"/>
    <w:rsid w:val="001E23A6"/>
    <w:rsid w:val="001E2DF6"/>
    <w:rsid w:val="001E40FE"/>
    <w:rsid w:val="001E4180"/>
    <w:rsid w:val="001E43A2"/>
    <w:rsid w:val="001E477F"/>
    <w:rsid w:val="001E557C"/>
    <w:rsid w:val="001E618C"/>
    <w:rsid w:val="001E64A7"/>
    <w:rsid w:val="001E6613"/>
    <w:rsid w:val="001E7008"/>
    <w:rsid w:val="001E7A43"/>
    <w:rsid w:val="001F019B"/>
    <w:rsid w:val="001F01E0"/>
    <w:rsid w:val="001F0F2A"/>
    <w:rsid w:val="001F1205"/>
    <w:rsid w:val="001F2DFB"/>
    <w:rsid w:val="001F3978"/>
    <w:rsid w:val="001F4873"/>
    <w:rsid w:val="001F4EB1"/>
    <w:rsid w:val="001F5824"/>
    <w:rsid w:val="001F62D3"/>
    <w:rsid w:val="001F62E9"/>
    <w:rsid w:val="001F6B66"/>
    <w:rsid w:val="001F6E26"/>
    <w:rsid w:val="002011FC"/>
    <w:rsid w:val="0020141E"/>
    <w:rsid w:val="00201896"/>
    <w:rsid w:val="00201CA9"/>
    <w:rsid w:val="00202C98"/>
    <w:rsid w:val="00202E30"/>
    <w:rsid w:val="00202EB7"/>
    <w:rsid w:val="002051AC"/>
    <w:rsid w:val="0020796A"/>
    <w:rsid w:val="0021000B"/>
    <w:rsid w:val="00211EE2"/>
    <w:rsid w:val="00212AC7"/>
    <w:rsid w:val="00212BE7"/>
    <w:rsid w:val="002136CF"/>
    <w:rsid w:val="00213D05"/>
    <w:rsid w:val="002174A2"/>
    <w:rsid w:val="00223516"/>
    <w:rsid w:val="00223962"/>
    <w:rsid w:val="0022415F"/>
    <w:rsid w:val="0022482E"/>
    <w:rsid w:val="002255EE"/>
    <w:rsid w:val="00227415"/>
    <w:rsid w:val="00227A54"/>
    <w:rsid w:val="0023290D"/>
    <w:rsid w:val="00232BDA"/>
    <w:rsid w:val="00234B3D"/>
    <w:rsid w:val="0023511E"/>
    <w:rsid w:val="0023570F"/>
    <w:rsid w:val="00235FA5"/>
    <w:rsid w:val="00236431"/>
    <w:rsid w:val="00236C4D"/>
    <w:rsid w:val="00236C62"/>
    <w:rsid w:val="00236D2F"/>
    <w:rsid w:val="00240E2F"/>
    <w:rsid w:val="00241F25"/>
    <w:rsid w:val="002439D0"/>
    <w:rsid w:val="00243B67"/>
    <w:rsid w:val="00244281"/>
    <w:rsid w:val="002446E6"/>
    <w:rsid w:val="00244797"/>
    <w:rsid w:val="00246221"/>
    <w:rsid w:val="002476A0"/>
    <w:rsid w:val="00247B4B"/>
    <w:rsid w:val="00250B8E"/>
    <w:rsid w:val="0025143F"/>
    <w:rsid w:val="00251DB6"/>
    <w:rsid w:val="002530BB"/>
    <w:rsid w:val="00253240"/>
    <w:rsid w:val="00253476"/>
    <w:rsid w:val="00253C03"/>
    <w:rsid w:val="002555C5"/>
    <w:rsid w:val="00255B9F"/>
    <w:rsid w:val="00256EE3"/>
    <w:rsid w:val="00257513"/>
    <w:rsid w:val="002620A0"/>
    <w:rsid w:val="00262485"/>
    <w:rsid w:val="00262F7A"/>
    <w:rsid w:val="00264887"/>
    <w:rsid w:val="00264C40"/>
    <w:rsid w:val="00265EBD"/>
    <w:rsid w:val="00266C5B"/>
    <w:rsid w:val="002670AC"/>
    <w:rsid w:val="00267A3F"/>
    <w:rsid w:val="00267DF3"/>
    <w:rsid w:val="0027168D"/>
    <w:rsid w:val="00271DC5"/>
    <w:rsid w:val="00272B76"/>
    <w:rsid w:val="002730EF"/>
    <w:rsid w:val="002733A0"/>
    <w:rsid w:val="002751B7"/>
    <w:rsid w:val="00276A9C"/>
    <w:rsid w:val="00277370"/>
    <w:rsid w:val="002776A8"/>
    <w:rsid w:val="0028017E"/>
    <w:rsid w:val="0028052D"/>
    <w:rsid w:val="0028124A"/>
    <w:rsid w:val="0028181B"/>
    <w:rsid w:val="00282B6A"/>
    <w:rsid w:val="00282E70"/>
    <w:rsid w:val="002833C2"/>
    <w:rsid w:val="002835BA"/>
    <w:rsid w:val="002838D9"/>
    <w:rsid w:val="002858F9"/>
    <w:rsid w:val="0028664B"/>
    <w:rsid w:val="00287785"/>
    <w:rsid w:val="002878F5"/>
    <w:rsid w:val="00290176"/>
    <w:rsid w:val="002902B3"/>
    <w:rsid w:val="002911F3"/>
    <w:rsid w:val="00292CC9"/>
    <w:rsid w:val="00293020"/>
    <w:rsid w:val="00293725"/>
    <w:rsid w:val="002970D4"/>
    <w:rsid w:val="002A3A96"/>
    <w:rsid w:val="002A4405"/>
    <w:rsid w:val="002A4433"/>
    <w:rsid w:val="002A4840"/>
    <w:rsid w:val="002A4E07"/>
    <w:rsid w:val="002A58E0"/>
    <w:rsid w:val="002A727E"/>
    <w:rsid w:val="002B031D"/>
    <w:rsid w:val="002B3552"/>
    <w:rsid w:val="002B3863"/>
    <w:rsid w:val="002B4690"/>
    <w:rsid w:val="002B4A45"/>
    <w:rsid w:val="002B5441"/>
    <w:rsid w:val="002B5F00"/>
    <w:rsid w:val="002B5F5F"/>
    <w:rsid w:val="002B604E"/>
    <w:rsid w:val="002B625E"/>
    <w:rsid w:val="002B71AA"/>
    <w:rsid w:val="002B7B26"/>
    <w:rsid w:val="002C1776"/>
    <w:rsid w:val="002C2A10"/>
    <w:rsid w:val="002C33E5"/>
    <w:rsid w:val="002C3BEB"/>
    <w:rsid w:val="002C3D66"/>
    <w:rsid w:val="002C4DDA"/>
    <w:rsid w:val="002C78C3"/>
    <w:rsid w:val="002D018B"/>
    <w:rsid w:val="002D3C53"/>
    <w:rsid w:val="002D41F3"/>
    <w:rsid w:val="002D43EB"/>
    <w:rsid w:val="002D7C72"/>
    <w:rsid w:val="002E0D42"/>
    <w:rsid w:val="002E1101"/>
    <w:rsid w:val="002E13EC"/>
    <w:rsid w:val="002E1EEC"/>
    <w:rsid w:val="002E305D"/>
    <w:rsid w:val="002E484D"/>
    <w:rsid w:val="002E6550"/>
    <w:rsid w:val="002E7EC2"/>
    <w:rsid w:val="002F006C"/>
    <w:rsid w:val="002F0369"/>
    <w:rsid w:val="002F13F9"/>
    <w:rsid w:val="002F3FC4"/>
    <w:rsid w:val="002F442A"/>
    <w:rsid w:val="002F4E5E"/>
    <w:rsid w:val="002F50F0"/>
    <w:rsid w:val="002F61CC"/>
    <w:rsid w:val="00300D02"/>
    <w:rsid w:val="0030185A"/>
    <w:rsid w:val="00302207"/>
    <w:rsid w:val="00302DAA"/>
    <w:rsid w:val="00303D25"/>
    <w:rsid w:val="0030486D"/>
    <w:rsid w:val="0030503E"/>
    <w:rsid w:val="003051D2"/>
    <w:rsid w:val="00306011"/>
    <w:rsid w:val="00306582"/>
    <w:rsid w:val="00306BBE"/>
    <w:rsid w:val="00310493"/>
    <w:rsid w:val="00310B6E"/>
    <w:rsid w:val="00312325"/>
    <w:rsid w:val="00313076"/>
    <w:rsid w:val="00313472"/>
    <w:rsid w:val="003139CB"/>
    <w:rsid w:val="00314A94"/>
    <w:rsid w:val="003151C8"/>
    <w:rsid w:val="00316149"/>
    <w:rsid w:val="0031749C"/>
    <w:rsid w:val="00317822"/>
    <w:rsid w:val="00317DB3"/>
    <w:rsid w:val="003202D8"/>
    <w:rsid w:val="003206E2"/>
    <w:rsid w:val="00322612"/>
    <w:rsid w:val="003232C4"/>
    <w:rsid w:val="00324D2D"/>
    <w:rsid w:val="0032570B"/>
    <w:rsid w:val="0032583C"/>
    <w:rsid w:val="00326322"/>
    <w:rsid w:val="003268D6"/>
    <w:rsid w:val="00327A3C"/>
    <w:rsid w:val="003301C7"/>
    <w:rsid w:val="003311E1"/>
    <w:rsid w:val="003320E3"/>
    <w:rsid w:val="003322B9"/>
    <w:rsid w:val="00332705"/>
    <w:rsid w:val="00332CBB"/>
    <w:rsid w:val="003362DD"/>
    <w:rsid w:val="00337FAA"/>
    <w:rsid w:val="00342BD7"/>
    <w:rsid w:val="00342CE4"/>
    <w:rsid w:val="00343375"/>
    <w:rsid w:val="00343DA4"/>
    <w:rsid w:val="00343FC2"/>
    <w:rsid w:val="00345172"/>
    <w:rsid w:val="003453C7"/>
    <w:rsid w:val="003453F7"/>
    <w:rsid w:val="003461D7"/>
    <w:rsid w:val="003472C8"/>
    <w:rsid w:val="00347664"/>
    <w:rsid w:val="00350DD0"/>
    <w:rsid w:val="0035356C"/>
    <w:rsid w:val="00353A15"/>
    <w:rsid w:val="00353B1C"/>
    <w:rsid w:val="00354A52"/>
    <w:rsid w:val="003551CE"/>
    <w:rsid w:val="003552B3"/>
    <w:rsid w:val="003556E8"/>
    <w:rsid w:val="003563C4"/>
    <w:rsid w:val="00357F47"/>
    <w:rsid w:val="003602E7"/>
    <w:rsid w:val="0036257C"/>
    <w:rsid w:val="0036260B"/>
    <w:rsid w:val="003626DC"/>
    <w:rsid w:val="003631F8"/>
    <w:rsid w:val="00363F23"/>
    <w:rsid w:val="00364344"/>
    <w:rsid w:val="003651D6"/>
    <w:rsid w:val="0036774A"/>
    <w:rsid w:val="00367E71"/>
    <w:rsid w:val="003712A6"/>
    <w:rsid w:val="0037190D"/>
    <w:rsid w:val="00372198"/>
    <w:rsid w:val="0037385E"/>
    <w:rsid w:val="00373956"/>
    <w:rsid w:val="00374AB2"/>
    <w:rsid w:val="00375E7C"/>
    <w:rsid w:val="003775B2"/>
    <w:rsid w:val="00380604"/>
    <w:rsid w:val="00380A8D"/>
    <w:rsid w:val="00380B08"/>
    <w:rsid w:val="00382381"/>
    <w:rsid w:val="003823DE"/>
    <w:rsid w:val="00382FBB"/>
    <w:rsid w:val="00383078"/>
    <w:rsid w:val="0038360F"/>
    <w:rsid w:val="003840A3"/>
    <w:rsid w:val="0038448B"/>
    <w:rsid w:val="0038451B"/>
    <w:rsid w:val="00384D60"/>
    <w:rsid w:val="00384F4E"/>
    <w:rsid w:val="00385396"/>
    <w:rsid w:val="0038562F"/>
    <w:rsid w:val="00387748"/>
    <w:rsid w:val="003878CA"/>
    <w:rsid w:val="003904BB"/>
    <w:rsid w:val="00390D23"/>
    <w:rsid w:val="00392FA8"/>
    <w:rsid w:val="00393991"/>
    <w:rsid w:val="00393D09"/>
    <w:rsid w:val="003956A2"/>
    <w:rsid w:val="0039685C"/>
    <w:rsid w:val="00397EC1"/>
    <w:rsid w:val="003A023E"/>
    <w:rsid w:val="003A0514"/>
    <w:rsid w:val="003A2914"/>
    <w:rsid w:val="003A292A"/>
    <w:rsid w:val="003A5901"/>
    <w:rsid w:val="003A6088"/>
    <w:rsid w:val="003A67C2"/>
    <w:rsid w:val="003A76C7"/>
    <w:rsid w:val="003B17AB"/>
    <w:rsid w:val="003B1BDF"/>
    <w:rsid w:val="003B495E"/>
    <w:rsid w:val="003B4EBF"/>
    <w:rsid w:val="003B6238"/>
    <w:rsid w:val="003B7D89"/>
    <w:rsid w:val="003C11A2"/>
    <w:rsid w:val="003C1505"/>
    <w:rsid w:val="003C2266"/>
    <w:rsid w:val="003C32E4"/>
    <w:rsid w:val="003C3A2A"/>
    <w:rsid w:val="003C7521"/>
    <w:rsid w:val="003C7BBB"/>
    <w:rsid w:val="003C7C14"/>
    <w:rsid w:val="003C7F07"/>
    <w:rsid w:val="003D0947"/>
    <w:rsid w:val="003D2021"/>
    <w:rsid w:val="003D30E0"/>
    <w:rsid w:val="003D3BA9"/>
    <w:rsid w:val="003D4752"/>
    <w:rsid w:val="003D4B93"/>
    <w:rsid w:val="003D63A1"/>
    <w:rsid w:val="003D71E5"/>
    <w:rsid w:val="003E00DA"/>
    <w:rsid w:val="003E35CF"/>
    <w:rsid w:val="003E423E"/>
    <w:rsid w:val="003E4608"/>
    <w:rsid w:val="003E4749"/>
    <w:rsid w:val="003E4CF5"/>
    <w:rsid w:val="003E5446"/>
    <w:rsid w:val="003E6CC4"/>
    <w:rsid w:val="003E70D1"/>
    <w:rsid w:val="003E7F86"/>
    <w:rsid w:val="003F001D"/>
    <w:rsid w:val="003F0F9F"/>
    <w:rsid w:val="003F1835"/>
    <w:rsid w:val="003F1D64"/>
    <w:rsid w:val="003F40A3"/>
    <w:rsid w:val="003F4CC4"/>
    <w:rsid w:val="003F5288"/>
    <w:rsid w:val="003F5F46"/>
    <w:rsid w:val="003F6DD2"/>
    <w:rsid w:val="00400727"/>
    <w:rsid w:val="00401899"/>
    <w:rsid w:val="00402358"/>
    <w:rsid w:val="00403022"/>
    <w:rsid w:val="00404174"/>
    <w:rsid w:val="004042D6"/>
    <w:rsid w:val="0040563D"/>
    <w:rsid w:val="004063E0"/>
    <w:rsid w:val="00407BB7"/>
    <w:rsid w:val="004128E1"/>
    <w:rsid w:val="0041668D"/>
    <w:rsid w:val="00417478"/>
    <w:rsid w:val="00417DE6"/>
    <w:rsid w:val="004203C4"/>
    <w:rsid w:val="004223BE"/>
    <w:rsid w:val="00422EFD"/>
    <w:rsid w:val="004267A7"/>
    <w:rsid w:val="00427378"/>
    <w:rsid w:val="004306EA"/>
    <w:rsid w:val="004340A0"/>
    <w:rsid w:val="004350B6"/>
    <w:rsid w:val="004357B3"/>
    <w:rsid w:val="0043649C"/>
    <w:rsid w:val="004372CF"/>
    <w:rsid w:val="00437926"/>
    <w:rsid w:val="00441DB4"/>
    <w:rsid w:val="00441F42"/>
    <w:rsid w:val="0044276E"/>
    <w:rsid w:val="00443987"/>
    <w:rsid w:val="00444550"/>
    <w:rsid w:val="00444BC9"/>
    <w:rsid w:val="00447D02"/>
    <w:rsid w:val="00450C8D"/>
    <w:rsid w:val="00450D75"/>
    <w:rsid w:val="004517B4"/>
    <w:rsid w:val="00452C6A"/>
    <w:rsid w:val="00452F98"/>
    <w:rsid w:val="00453865"/>
    <w:rsid w:val="0045541C"/>
    <w:rsid w:val="0045577E"/>
    <w:rsid w:val="00456387"/>
    <w:rsid w:val="00456633"/>
    <w:rsid w:val="0045756A"/>
    <w:rsid w:val="00457DF2"/>
    <w:rsid w:val="0046033D"/>
    <w:rsid w:val="00460C2E"/>
    <w:rsid w:val="004616CA"/>
    <w:rsid w:val="004633A4"/>
    <w:rsid w:val="0046383F"/>
    <w:rsid w:val="004650BD"/>
    <w:rsid w:val="00465C31"/>
    <w:rsid w:val="00465D6B"/>
    <w:rsid w:val="00466AF9"/>
    <w:rsid w:val="00467168"/>
    <w:rsid w:val="00467AED"/>
    <w:rsid w:val="00471329"/>
    <w:rsid w:val="00471923"/>
    <w:rsid w:val="0047217D"/>
    <w:rsid w:val="0047228E"/>
    <w:rsid w:val="00475416"/>
    <w:rsid w:val="00475CC5"/>
    <w:rsid w:val="00477170"/>
    <w:rsid w:val="004808C8"/>
    <w:rsid w:val="00480B28"/>
    <w:rsid w:val="00480BE0"/>
    <w:rsid w:val="00481D1D"/>
    <w:rsid w:val="004840B5"/>
    <w:rsid w:val="0048476A"/>
    <w:rsid w:val="00484BD0"/>
    <w:rsid w:val="00484BE2"/>
    <w:rsid w:val="00485674"/>
    <w:rsid w:val="0048619C"/>
    <w:rsid w:val="004865BE"/>
    <w:rsid w:val="00490BA1"/>
    <w:rsid w:val="00494310"/>
    <w:rsid w:val="004971B8"/>
    <w:rsid w:val="004A2307"/>
    <w:rsid w:val="004A2E99"/>
    <w:rsid w:val="004A31B5"/>
    <w:rsid w:val="004A3773"/>
    <w:rsid w:val="004A522D"/>
    <w:rsid w:val="004A5775"/>
    <w:rsid w:val="004A5EBC"/>
    <w:rsid w:val="004A6627"/>
    <w:rsid w:val="004A6A22"/>
    <w:rsid w:val="004A6F79"/>
    <w:rsid w:val="004B25C8"/>
    <w:rsid w:val="004B3A6F"/>
    <w:rsid w:val="004B3CEE"/>
    <w:rsid w:val="004B57C5"/>
    <w:rsid w:val="004B63D1"/>
    <w:rsid w:val="004B766E"/>
    <w:rsid w:val="004B76BF"/>
    <w:rsid w:val="004C04C4"/>
    <w:rsid w:val="004C04D2"/>
    <w:rsid w:val="004C102F"/>
    <w:rsid w:val="004C15F1"/>
    <w:rsid w:val="004C4153"/>
    <w:rsid w:val="004C41A4"/>
    <w:rsid w:val="004C430A"/>
    <w:rsid w:val="004C4411"/>
    <w:rsid w:val="004C60E2"/>
    <w:rsid w:val="004C682C"/>
    <w:rsid w:val="004C7B35"/>
    <w:rsid w:val="004C7E5C"/>
    <w:rsid w:val="004D1D90"/>
    <w:rsid w:val="004D3129"/>
    <w:rsid w:val="004D3929"/>
    <w:rsid w:val="004D40FA"/>
    <w:rsid w:val="004D4B89"/>
    <w:rsid w:val="004D4C34"/>
    <w:rsid w:val="004D50B3"/>
    <w:rsid w:val="004D6330"/>
    <w:rsid w:val="004D71CB"/>
    <w:rsid w:val="004D764E"/>
    <w:rsid w:val="004E21C0"/>
    <w:rsid w:val="004E385B"/>
    <w:rsid w:val="004E3998"/>
    <w:rsid w:val="004E6320"/>
    <w:rsid w:val="004E7702"/>
    <w:rsid w:val="004F15B3"/>
    <w:rsid w:val="004F283A"/>
    <w:rsid w:val="004F4B79"/>
    <w:rsid w:val="004F4CFB"/>
    <w:rsid w:val="004F5A34"/>
    <w:rsid w:val="004F7C82"/>
    <w:rsid w:val="005012E3"/>
    <w:rsid w:val="0050246B"/>
    <w:rsid w:val="005034A8"/>
    <w:rsid w:val="005034CA"/>
    <w:rsid w:val="005045A0"/>
    <w:rsid w:val="00505829"/>
    <w:rsid w:val="00506069"/>
    <w:rsid w:val="00506757"/>
    <w:rsid w:val="005068E5"/>
    <w:rsid w:val="00507339"/>
    <w:rsid w:val="0051068C"/>
    <w:rsid w:val="0051493B"/>
    <w:rsid w:val="0051635A"/>
    <w:rsid w:val="00520034"/>
    <w:rsid w:val="005206B6"/>
    <w:rsid w:val="00520868"/>
    <w:rsid w:val="00521176"/>
    <w:rsid w:val="00521208"/>
    <w:rsid w:val="005214CB"/>
    <w:rsid w:val="00523004"/>
    <w:rsid w:val="005237EB"/>
    <w:rsid w:val="00525504"/>
    <w:rsid w:val="00530289"/>
    <w:rsid w:val="005303AA"/>
    <w:rsid w:val="00531FDE"/>
    <w:rsid w:val="005326B7"/>
    <w:rsid w:val="00533307"/>
    <w:rsid w:val="00533703"/>
    <w:rsid w:val="00536AA4"/>
    <w:rsid w:val="00540471"/>
    <w:rsid w:val="00541208"/>
    <w:rsid w:val="00542007"/>
    <w:rsid w:val="005427F6"/>
    <w:rsid w:val="005439B2"/>
    <w:rsid w:val="00544A1B"/>
    <w:rsid w:val="005460D3"/>
    <w:rsid w:val="00546FDE"/>
    <w:rsid w:val="00550932"/>
    <w:rsid w:val="00550DE0"/>
    <w:rsid w:val="005538CE"/>
    <w:rsid w:val="00555371"/>
    <w:rsid w:val="00556E71"/>
    <w:rsid w:val="00560316"/>
    <w:rsid w:val="00561275"/>
    <w:rsid w:val="00561B39"/>
    <w:rsid w:val="00563C15"/>
    <w:rsid w:val="00563E3A"/>
    <w:rsid w:val="00565F2A"/>
    <w:rsid w:val="0056608D"/>
    <w:rsid w:val="00566647"/>
    <w:rsid w:val="00567043"/>
    <w:rsid w:val="00567598"/>
    <w:rsid w:val="005704CF"/>
    <w:rsid w:val="0057155D"/>
    <w:rsid w:val="00571888"/>
    <w:rsid w:val="00573EAD"/>
    <w:rsid w:val="00574A9C"/>
    <w:rsid w:val="0057609C"/>
    <w:rsid w:val="00576156"/>
    <w:rsid w:val="00576677"/>
    <w:rsid w:val="0057700D"/>
    <w:rsid w:val="0057790D"/>
    <w:rsid w:val="005809F6"/>
    <w:rsid w:val="00580B1A"/>
    <w:rsid w:val="00581E18"/>
    <w:rsid w:val="00582FFB"/>
    <w:rsid w:val="00583542"/>
    <w:rsid w:val="00585FB4"/>
    <w:rsid w:val="0058716D"/>
    <w:rsid w:val="00587204"/>
    <w:rsid w:val="0059174B"/>
    <w:rsid w:val="005921C0"/>
    <w:rsid w:val="005923F4"/>
    <w:rsid w:val="00593569"/>
    <w:rsid w:val="00593941"/>
    <w:rsid w:val="005944D0"/>
    <w:rsid w:val="0059487B"/>
    <w:rsid w:val="005952CF"/>
    <w:rsid w:val="00595699"/>
    <w:rsid w:val="00595784"/>
    <w:rsid w:val="0059605C"/>
    <w:rsid w:val="00596D5E"/>
    <w:rsid w:val="00597244"/>
    <w:rsid w:val="005A1B3D"/>
    <w:rsid w:val="005A1FF8"/>
    <w:rsid w:val="005A29F3"/>
    <w:rsid w:val="005A2E32"/>
    <w:rsid w:val="005A374C"/>
    <w:rsid w:val="005A5ECC"/>
    <w:rsid w:val="005B06FD"/>
    <w:rsid w:val="005B1C28"/>
    <w:rsid w:val="005B3B1C"/>
    <w:rsid w:val="005B4797"/>
    <w:rsid w:val="005B4A61"/>
    <w:rsid w:val="005B5252"/>
    <w:rsid w:val="005B5CF2"/>
    <w:rsid w:val="005B77C3"/>
    <w:rsid w:val="005C025D"/>
    <w:rsid w:val="005C0A99"/>
    <w:rsid w:val="005C0DF5"/>
    <w:rsid w:val="005C163A"/>
    <w:rsid w:val="005C208B"/>
    <w:rsid w:val="005C2177"/>
    <w:rsid w:val="005C25A3"/>
    <w:rsid w:val="005C33E9"/>
    <w:rsid w:val="005C3529"/>
    <w:rsid w:val="005C6019"/>
    <w:rsid w:val="005C71DF"/>
    <w:rsid w:val="005D03A1"/>
    <w:rsid w:val="005D07B6"/>
    <w:rsid w:val="005D26C7"/>
    <w:rsid w:val="005D2F01"/>
    <w:rsid w:val="005D5226"/>
    <w:rsid w:val="005D68FE"/>
    <w:rsid w:val="005D6A03"/>
    <w:rsid w:val="005D7D37"/>
    <w:rsid w:val="005E1062"/>
    <w:rsid w:val="005E2330"/>
    <w:rsid w:val="005E2E68"/>
    <w:rsid w:val="005E3AA2"/>
    <w:rsid w:val="005E758E"/>
    <w:rsid w:val="005F04A2"/>
    <w:rsid w:val="005F0D18"/>
    <w:rsid w:val="005F29C4"/>
    <w:rsid w:val="005F402B"/>
    <w:rsid w:val="005F48FE"/>
    <w:rsid w:val="005F4EA6"/>
    <w:rsid w:val="005F5FCA"/>
    <w:rsid w:val="005F6E4E"/>
    <w:rsid w:val="005F7C9B"/>
    <w:rsid w:val="0060189A"/>
    <w:rsid w:val="0060200A"/>
    <w:rsid w:val="006026F3"/>
    <w:rsid w:val="00603C67"/>
    <w:rsid w:val="00605A62"/>
    <w:rsid w:val="00605EA1"/>
    <w:rsid w:val="00605FC0"/>
    <w:rsid w:val="006063C0"/>
    <w:rsid w:val="006063D6"/>
    <w:rsid w:val="00606C37"/>
    <w:rsid w:val="00607744"/>
    <w:rsid w:val="00610347"/>
    <w:rsid w:val="00610A41"/>
    <w:rsid w:val="00611911"/>
    <w:rsid w:val="00612458"/>
    <w:rsid w:val="00613151"/>
    <w:rsid w:val="00613AA3"/>
    <w:rsid w:val="00613B0B"/>
    <w:rsid w:val="00614B6D"/>
    <w:rsid w:val="00615471"/>
    <w:rsid w:val="00617A05"/>
    <w:rsid w:val="006230A5"/>
    <w:rsid w:val="006232CA"/>
    <w:rsid w:val="006239EE"/>
    <w:rsid w:val="00624BAD"/>
    <w:rsid w:val="00625227"/>
    <w:rsid w:val="00625CC0"/>
    <w:rsid w:val="006268A6"/>
    <w:rsid w:val="00630050"/>
    <w:rsid w:val="00630952"/>
    <w:rsid w:val="006309D9"/>
    <w:rsid w:val="00631C51"/>
    <w:rsid w:val="0063205B"/>
    <w:rsid w:val="00632232"/>
    <w:rsid w:val="00633B06"/>
    <w:rsid w:val="00633F7C"/>
    <w:rsid w:val="00634041"/>
    <w:rsid w:val="006340A1"/>
    <w:rsid w:val="006341B8"/>
    <w:rsid w:val="006347AA"/>
    <w:rsid w:val="00636ADC"/>
    <w:rsid w:val="00637414"/>
    <w:rsid w:val="00637963"/>
    <w:rsid w:val="00637E9D"/>
    <w:rsid w:val="006402BF"/>
    <w:rsid w:val="00640CF1"/>
    <w:rsid w:val="006428E0"/>
    <w:rsid w:val="00642AF5"/>
    <w:rsid w:val="00643491"/>
    <w:rsid w:val="00643C4B"/>
    <w:rsid w:val="00644DAC"/>
    <w:rsid w:val="00646412"/>
    <w:rsid w:val="006468CC"/>
    <w:rsid w:val="006472F2"/>
    <w:rsid w:val="00647407"/>
    <w:rsid w:val="00651322"/>
    <w:rsid w:val="006520A8"/>
    <w:rsid w:val="00652CAD"/>
    <w:rsid w:val="0065457A"/>
    <w:rsid w:val="00656B92"/>
    <w:rsid w:val="00657109"/>
    <w:rsid w:val="00657427"/>
    <w:rsid w:val="00661BCB"/>
    <w:rsid w:val="0066213E"/>
    <w:rsid w:val="006624D6"/>
    <w:rsid w:val="00664A6E"/>
    <w:rsid w:val="0066670D"/>
    <w:rsid w:val="00667E87"/>
    <w:rsid w:val="0067007C"/>
    <w:rsid w:val="00671120"/>
    <w:rsid w:val="00671996"/>
    <w:rsid w:val="00673B23"/>
    <w:rsid w:val="006744E5"/>
    <w:rsid w:val="00675265"/>
    <w:rsid w:val="00675773"/>
    <w:rsid w:val="00677344"/>
    <w:rsid w:val="00677D57"/>
    <w:rsid w:val="00680283"/>
    <w:rsid w:val="006803B8"/>
    <w:rsid w:val="00681861"/>
    <w:rsid w:val="006818D3"/>
    <w:rsid w:val="0068468F"/>
    <w:rsid w:val="00684C4D"/>
    <w:rsid w:val="00685571"/>
    <w:rsid w:val="006858C6"/>
    <w:rsid w:val="00686A0C"/>
    <w:rsid w:val="00686CEF"/>
    <w:rsid w:val="0068776C"/>
    <w:rsid w:val="00690FD3"/>
    <w:rsid w:val="0069175D"/>
    <w:rsid w:val="00691A77"/>
    <w:rsid w:val="006921EA"/>
    <w:rsid w:val="00693515"/>
    <w:rsid w:val="00693EE1"/>
    <w:rsid w:val="00694EF7"/>
    <w:rsid w:val="00696F98"/>
    <w:rsid w:val="00697AFC"/>
    <w:rsid w:val="006A0228"/>
    <w:rsid w:val="006A0547"/>
    <w:rsid w:val="006A08FC"/>
    <w:rsid w:val="006A0BE8"/>
    <w:rsid w:val="006A44E3"/>
    <w:rsid w:val="006A7AD2"/>
    <w:rsid w:val="006B11C7"/>
    <w:rsid w:val="006B212E"/>
    <w:rsid w:val="006B4933"/>
    <w:rsid w:val="006B6156"/>
    <w:rsid w:val="006B61DF"/>
    <w:rsid w:val="006B61E1"/>
    <w:rsid w:val="006B6526"/>
    <w:rsid w:val="006B6721"/>
    <w:rsid w:val="006B73D6"/>
    <w:rsid w:val="006C0A91"/>
    <w:rsid w:val="006C2753"/>
    <w:rsid w:val="006C293D"/>
    <w:rsid w:val="006C42FF"/>
    <w:rsid w:val="006C4473"/>
    <w:rsid w:val="006C5BFF"/>
    <w:rsid w:val="006D19D6"/>
    <w:rsid w:val="006D27F6"/>
    <w:rsid w:val="006D3C4F"/>
    <w:rsid w:val="006D52AB"/>
    <w:rsid w:val="006D5A7B"/>
    <w:rsid w:val="006D73AE"/>
    <w:rsid w:val="006D75C5"/>
    <w:rsid w:val="006D7AFC"/>
    <w:rsid w:val="006E140D"/>
    <w:rsid w:val="006E175A"/>
    <w:rsid w:val="006E2B7A"/>
    <w:rsid w:val="006E30D3"/>
    <w:rsid w:val="006E46F7"/>
    <w:rsid w:val="006E5A73"/>
    <w:rsid w:val="006E64DE"/>
    <w:rsid w:val="006F0535"/>
    <w:rsid w:val="006F08DC"/>
    <w:rsid w:val="006F0AF8"/>
    <w:rsid w:val="006F1F9D"/>
    <w:rsid w:val="006F2CED"/>
    <w:rsid w:val="006F2F58"/>
    <w:rsid w:val="006F4AF1"/>
    <w:rsid w:val="006F4DDF"/>
    <w:rsid w:val="006F4E0F"/>
    <w:rsid w:val="006F527B"/>
    <w:rsid w:val="006F66CB"/>
    <w:rsid w:val="006F6910"/>
    <w:rsid w:val="006F7822"/>
    <w:rsid w:val="00702FB3"/>
    <w:rsid w:val="00703302"/>
    <w:rsid w:val="007041CC"/>
    <w:rsid w:val="0070446C"/>
    <w:rsid w:val="0070466E"/>
    <w:rsid w:val="00704DDA"/>
    <w:rsid w:val="00705AE9"/>
    <w:rsid w:val="00705C77"/>
    <w:rsid w:val="00705D08"/>
    <w:rsid w:val="00706734"/>
    <w:rsid w:val="007068AB"/>
    <w:rsid w:val="00707F54"/>
    <w:rsid w:val="00707F82"/>
    <w:rsid w:val="007102DB"/>
    <w:rsid w:val="00711C99"/>
    <w:rsid w:val="007121EE"/>
    <w:rsid w:val="007139FA"/>
    <w:rsid w:val="00715182"/>
    <w:rsid w:val="00715C62"/>
    <w:rsid w:val="00716123"/>
    <w:rsid w:val="00716946"/>
    <w:rsid w:val="00716B6B"/>
    <w:rsid w:val="00720785"/>
    <w:rsid w:val="00721D67"/>
    <w:rsid w:val="00722FDA"/>
    <w:rsid w:val="007231F2"/>
    <w:rsid w:val="00724623"/>
    <w:rsid w:val="00724847"/>
    <w:rsid w:val="007249D8"/>
    <w:rsid w:val="007249FC"/>
    <w:rsid w:val="007253A7"/>
    <w:rsid w:val="0072546D"/>
    <w:rsid w:val="007277CE"/>
    <w:rsid w:val="007303F6"/>
    <w:rsid w:val="00731176"/>
    <w:rsid w:val="00732F3C"/>
    <w:rsid w:val="00734431"/>
    <w:rsid w:val="007346C4"/>
    <w:rsid w:val="0073490F"/>
    <w:rsid w:val="00734A48"/>
    <w:rsid w:val="0073544B"/>
    <w:rsid w:val="00735935"/>
    <w:rsid w:val="00735E31"/>
    <w:rsid w:val="00740F3F"/>
    <w:rsid w:val="007424D6"/>
    <w:rsid w:val="00743728"/>
    <w:rsid w:val="00743E84"/>
    <w:rsid w:val="00744159"/>
    <w:rsid w:val="007454AB"/>
    <w:rsid w:val="00745AE4"/>
    <w:rsid w:val="00746102"/>
    <w:rsid w:val="00752A0B"/>
    <w:rsid w:val="00753471"/>
    <w:rsid w:val="007534D7"/>
    <w:rsid w:val="00753A39"/>
    <w:rsid w:val="00754618"/>
    <w:rsid w:val="00756500"/>
    <w:rsid w:val="00757ACB"/>
    <w:rsid w:val="00757F87"/>
    <w:rsid w:val="00760F6D"/>
    <w:rsid w:val="00761FD3"/>
    <w:rsid w:val="00762434"/>
    <w:rsid w:val="0076325C"/>
    <w:rsid w:val="007636AF"/>
    <w:rsid w:val="00764E47"/>
    <w:rsid w:val="00764F66"/>
    <w:rsid w:val="007653C4"/>
    <w:rsid w:val="00765675"/>
    <w:rsid w:val="007663ED"/>
    <w:rsid w:val="00766423"/>
    <w:rsid w:val="00766755"/>
    <w:rsid w:val="00767490"/>
    <w:rsid w:val="0077023A"/>
    <w:rsid w:val="007703C8"/>
    <w:rsid w:val="0077172D"/>
    <w:rsid w:val="007726CD"/>
    <w:rsid w:val="00772AA5"/>
    <w:rsid w:val="00773A9D"/>
    <w:rsid w:val="0077447B"/>
    <w:rsid w:val="007747E9"/>
    <w:rsid w:val="00774C04"/>
    <w:rsid w:val="00774E3E"/>
    <w:rsid w:val="00775D10"/>
    <w:rsid w:val="00776A05"/>
    <w:rsid w:val="00781E30"/>
    <w:rsid w:val="00782730"/>
    <w:rsid w:val="0078291A"/>
    <w:rsid w:val="00783B44"/>
    <w:rsid w:val="00784B91"/>
    <w:rsid w:val="00784D67"/>
    <w:rsid w:val="00785769"/>
    <w:rsid w:val="0078590F"/>
    <w:rsid w:val="00786D76"/>
    <w:rsid w:val="007874D5"/>
    <w:rsid w:val="00787641"/>
    <w:rsid w:val="00787DBD"/>
    <w:rsid w:val="00790114"/>
    <w:rsid w:val="007906B1"/>
    <w:rsid w:val="00790BFF"/>
    <w:rsid w:val="00791097"/>
    <w:rsid w:val="00793C64"/>
    <w:rsid w:val="007950EE"/>
    <w:rsid w:val="007962F8"/>
    <w:rsid w:val="00796D3F"/>
    <w:rsid w:val="007A0BE5"/>
    <w:rsid w:val="007A284E"/>
    <w:rsid w:val="007A2DDE"/>
    <w:rsid w:val="007A39F4"/>
    <w:rsid w:val="007A4EC7"/>
    <w:rsid w:val="007A6E9B"/>
    <w:rsid w:val="007B00F8"/>
    <w:rsid w:val="007B137B"/>
    <w:rsid w:val="007B1643"/>
    <w:rsid w:val="007B1D29"/>
    <w:rsid w:val="007B1ECB"/>
    <w:rsid w:val="007B45F9"/>
    <w:rsid w:val="007B4E5A"/>
    <w:rsid w:val="007B5310"/>
    <w:rsid w:val="007B5DC4"/>
    <w:rsid w:val="007C1660"/>
    <w:rsid w:val="007C173A"/>
    <w:rsid w:val="007C1C55"/>
    <w:rsid w:val="007C275D"/>
    <w:rsid w:val="007C39A6"/>
    <w:rsid w:val="007C5000"/>
    <w:rsid w:val="007C574A"/>
    <w:rsid w:val="007C6E1B"/>
    <w:rsid w:val="007D03BF"/>
    <w:rsid w:val="007D0C27"/>
    <w:rsid w:val="007D10FB"/>
    <w:rsid w:val="007D1216"/>
    <w:rsid w:val="007D382E"/>
    <w:rsid w:val="007D53A8"/>
    <w:rsid w:val="007D5587"/>
    <w:rsid w:val="007D5AB3"/>
    <w:rsid w:val="007D60C8"/>
    <w:rsid w:val="007D71C5"/>
    <w:rsid w:val="007E20C8"/>
    <w:rsid w:val="007E3D6E"/>
    <w:rsid w:val="007E5B48"/>
    <w:rsid w:val="007E62F7"/>
    <w:rsid w:val="007E6AAA"/>
    <w:rsid w:val="007E7B40"/>
    <w:rsid w:val="007E7DC9"/>
    <w:rsid w:val="007F0BB2"/>
    <w:rsid w:val="007F0BDA"/>
    <w:rsid w:val="007F2016"/>
    <w:rsid w:val="007F23A9"/>
    <w:rsid w:val="007F28AB"/>
    <w:rsid w:val="007F28D9"/>
    <w:rsid w:val="007F3106"/>
    <w:rsid w:val="007F3C4A"/>
    <w:rsid w:val="007F4BC5"/>
    <w:rsid w:val="007F5BC2"/>
    <w:rsid w:val="007F6CB5"/>
    <w:rsid w:val="007F7FD1"/>
    <w:rsid w:val="0080074E"/>
    <w:rsid w:val="00800C63"/>
    <w:rsid w:val="00801F0E"/>
    <w:rsid w:val="0080239B"/>
    <w:rsid w:val="00804486"/>
    <w:rsid w:val="008045E0"/>
    <w:rsid w:val="0080501C"/>
    <w:rsid w:val="008055DB"/>
    <w:rsid w:val="00806336"/>
    <w:rsid w:val="00806742"/>
    <w:rsid w:val="00807CE9"/>
    <w:rsid w:val="00810938"/>
    <w:rsid w:val="00810E7C"/>
    <w:rsid w:val="008127E6"/>
    <w:rsid w:val="00813FA9"/>
    <w:rsid w:val="00814445"/>
    <w:rsid w:val="00817967"/>
    <w:rsid w:val="0082082E"/>
    <w:rsid w:val="00820971"/>
    <w:rsid w:val="00820F28"/>
    <w:rsid w:val="0082117C"/>
    <w:rsid w:val="00823DFF"/>
    <w:rsid w:val="00824771"/>
    <w:rsid w:val="0082668D"/>
    <w:rsid w:val="00826A23"/>
    <w:rsid w:val="00831322"/>
    <w:rsid w:val="00831733"/>
    <w:rsid w:val="008342F7"/>
    <w:rsid w:val="00834D5C"/>
    <w:rsid w:val="00835460"/>
    <w:rsid w:val="00837080"/>
    <w:rsid w:val="00837388"/>
    <w:rsid w:val="00840559"/>
    <w:rsid w:val="008421B3"/>
    <w:rsid w:val="00843595"/>
    <w:rsid w:val="008438A1"/>
    <w:rsid w:val="008441FF"/>
    <w:rsid w:val="00844436"/>
    <w:rsid w:val="008458D2"/>
    <w:rsid w:val="00846413"/>
    <w:rsid w:val="0085029B"/>
    <w:rsid w:val="00850433"/>
    <w:rsid w:val="008504FA"/>
    <w:rsid w:val="008527B3"/>
    <w:rsid w:val="008542EF"/>
    <w:rsid w:val="008549E5"/>
    <w:rsid w:val="0085654B"/>
    <w:rsid w:val="008576DF"/>
    <w:rsid w:val="00857C78"/>
    <w:rsid w:val="00857DA7"/>
    <w:rsid w:val="0086082E"/>
    <w:rsid w:val="00861D6F"/>
    <w:rsid w:val="00862D86"/>
    <w:rsid w:val="00863257"/>
    <w:rsid w:val="00863C90"/>
    <w:rsid w:val="0086475A"/>
    <w:rsid w:val="008648F7"/>
    <w:rsid w:val="00865839"/>
    <w:rsid w:val="00866664"/>
    <w:rsid w:val="00866978"/>
    <w:rsid w:val="008706A7"/>
    <w:rsid w:val="00870E98"/>
    <w:rsid w:val="008729E6"/>
    <w:rsid w:val="00872A34"/>
    <w:rsid w:val="00874440"/>
    <w:rsid w:val="00875DCD"/>
    <w:rsid w:val="008802EC"/>
    <w:rsid w:val="008811F7"/>
    <w:rsid w:val="00884DDA"/>
    <w:rsid w:val="008854C8"/>
    <w:rsid w:val="00886247"/>
    <w:rsid w:val="00886837"/>
    <w:rsid w:val="00890FB0"/>
    <w:rsid w:val="008937EE"/>
    <w:rsid w:val="00893BCB"/>
    <w:rsid w:val="00894883"/>
    <w:rsid w:val="00894FAC"/>
    <w:rsid w:val="00896AA2"/>
    <w:rsid w:val="00897233"/>
    <w:rsid w:val="008A12E8"/>
    <w:rsid w:val="008A1D25"/>
    <w:rsid w:val="008A2A32"/>
    <w:rsid w:val="008A555A"/>
    <w:rsid w:val="008A625C"/>
    <w:rsid w:val="008B0E9B"/>
    <w:rsid w:val="008B1E68"/>
    <w:rsid w:val="008B1ECD"/>
    <w:rsid w:val="008B1F4E"/>
    <w:rsid w:val="008B43E4"/>
    <w:rsid w:val="008B5244"/>
    <w:rsid w:val="008B5CDF"/>
    <w:rsid w:val="008B6372"/>
    <w:rsid w:val="008B6BC1"/>
    <w:rsid w:val="008B7D43"/>
    <w:rsid w:val="008B7E95"/>
    <w:rsid w:val="008C0E58"/>
    <w:rsid w:val="008C1538"/>
    <w:rsid w:val="008C1F56"/>
    <w:rsid w:val="008C2062"/>
    <w:rsid w:val="008C2089"/>
    <w:rsid w:val="008C208C"/>
    <w:rsid w:val="008C4663"/>
    <w:rsid w:val="008C4881"/>
    <w:rsid w:val="008C4F2B"/>
    <w:rsid w:val="008C5F98"/>
    <w:rsid w:val="008C71A0"/>
    <w:rsid w:val="008D0655"/>
    <w:rsid w:val="008D1D36"/>
    <w:rsid w:val="008D2300"/>
    <w:rsid w:val="008D3231"/>
    <w:rsid w:val="008D3B7B"/>
    <w:rsid w:val="008D512C"/>
    <w:rsid w:val="008D5265"/>
    <w:rsid w:val="008D667F"/>
    <w:rsid w:val="008D7702"/>
    <w:rsid w:val="008E15D5"/>
    <w:rsid w:val="008E283B"/>
    <w:rsid w:val="008E310C"/>
    <w:rsid w:val="008E401F"/>
    <w:rsid w:val="008E5555"/>
    <w:rsid w:val="008E7360"/>
    <w:rsid w:val="008F172E"/>
    <w:rsid w:val="008F1ADF"/>
    <w:rsid w:val="008F2187"/>
    <w:rsid w:val="008F2F7B"/>
    <w:rsid w:val="008F30C1"/>
    <w:rsid w:val="008F3B2B"/>
    <w:rsid w:val="008F43DB"/>
    <w:rsid w:val="008F47E2"/>
    <w:rsid w:val="008F4CA8"/>
    <w:rsid w:val="008F57CE"/>
    <w:rsid w:val="008F5907"/>
    <w:rsid w:val="008F5E5D"/>
    <w:rsid w:val="008F5FD0"/>
    <w:rsid w:val="008F639C"/>
    <w:rsid w:val="008F7933"/>
    <w:rsid w:val="008F7C9F"/>
    <w:rsid w:val="00900F6C"/>
    <w:rsid w:val="00901C7A"/>
    <w:rsid w:val="00903E26"/>
    <w:rsid w:val="009044CD"/>
    <w:rsid w:val="0090673B"/>
    <w:rsid w:val="00911171"/>
    <w:rsid w:val="0091121C"/>
    <w:rsid w:val="00913E5A"/>
    <w:rsid w:val="00914764"/>
    <w:rsid w:val="009147D4"/>
    <w:rsid w:val="00916158"/>
    <w:rsid w:val="00917EC9"/>
    <w:rsid w:val="00921565"/>
    <w:rsid w:val="00921E63"/>
    <w:rsid w:val="00925106"/>
    <w:rsid w:val="009258CD"/>
    <w:rsid w:val="00926CE7"/>
    <w:rsid w:val="00930067"/>
    <w:rsid w:val="0093233E"/>
    <w:rsid w:val="009323FF"/>
    <w:rsid w:val="0093294F"/>
    <w:rsid w:val="009350E3"/>
    <w:rsid w:val="00935102"/>
    <w:rsid w:val="0093543D"/>
    <w:rsid w:val="00935E0A"/>
    <w:rsid w:val="00936EF1"/>
    <w:rsid w:val="00937CBE"/>
    <w:rsid w:val="009400E5"/>
    <w:rsid w:val="009400E8"/>
    <w:rsid w:val="00940C1C"/>
    <w:rsid w:val="0094145B"/>
    <w:rsid w:val="00941644"/>
    <w:rsid w:val="00941769"/>
    <w:rsid w:val="00942F67"/>
    <w:rsid w:val="00943428"/>
    <w:rsid w:val="009455D3"/>
    <w:rsid w:val="009468E5"/>
    <w:rsid w:val="00950263"/>
    <w:rsid w:val="009526CC"/>
    <w:rsid w:val="00953254"/>
    <w:rsid w:val="009534EC"/>
    <w:rsid w:val="00953929"/>
    <w:rsid w:val="00954743"/>
    <w:rsid w:val="0095489F"/>
    <w:rsid w:val="00956100"/>
    <w:rsid w:val="00957673"/>
    <w:rsid w:val="009578D2"/>
    <w:rsid w:val="00957DD9"/>
    <w:rsid w:val="00960265"/>
    <w:rsid w:val="009603D6"/>
    <w:rsid w:val="0096164F"/>
    <w:rsid w:val="00962243"/>
    <w:rsid w:val="009627CF"/>
    <w:rsid w:val="0096306A"/>
    <w:rsid w:val="00964334"/>
    <w:rsid w:val="00965335"/>
    <w:rsid w:val="00965CD3"/>
    <w:rsid w:val="00965DC1"/>
    <w:rsid w:val="00965E94"/>
    <w:rsid w:val="0096677E"/>
    <w:rsid w:val="00967037"/>
    <w:rsid w:val="0097275F"/>
    <w:rsid w:val="0097479E"/>
    <w:rsid w:val="00974C4A"/>
    <w:rsid w:val="00974D43"/>
    <w:rsid w:val="00975892"/>
    <w:rsid w:val="00975A07"/>
    <w:rsid w:val="00975B02"/>
    <w:rsid w:val="00975EFC"/>
    <w:rsid w:val="009770BC"/>
    <w:rsid w:val="0097715B"/>
    <w:rsid w:val="00977600"/>
    <w:rsid w:val="00977F0D"/>
    <w:rsid w:val="00980358"/>
    <w:rsid w:val="009807F9"/>
    <w:rsid w:val="00982B84"/>
    <w:rsid w:val="00984006"/>
    <w:rsid w:val="00984195"/>
    <w:rsid w:val="009849B0"/>
    <w:rsid w:val="00986FCD"/>
    <w:rsid w:val="00987E8F"/>
    <w:rsid w:val="00990A17"/>
    <w:rsid w:val="009919DB"/>
    <w:rsid w:val="00991C7A"/>
    <w:rsid w:val="009929D5"/>
    <w:rsid w:val="00993038"/>
    <w:rsid w:val="00993142"/>
    <w:rsid w:val="0099337B"/>
    <w:rsid w:val="00993FE3"/>
    <w:rsid w:val="0099471E"/>
    <w:rsid w:val="0099578D"/>
    <w:rsid w:val="0099604D"/>
    <w:rsid w:val="009975AF"/>
    <w:rsid w:val="009A04EC"/>
    <w:rsid w:val="009A080A"/>
    <w:rsid w:val="009A0C8F"/>
    <w:rsid w:val="009A26F6"/>
    <w:rsid w:val="009A2AC7"/>
    <w:rsid w:val="009A47C6"/>
    <w:rsid w:val="009A59D0"/>
    <w:rsid w:val="009A7171"/>
    <w:rsid w:val="009A7871"/>
    <w:rsid w:val="009A7B1B"/>
    <w:rsid w:val="009B2147"/>
    <w:rsid w:val="009B2AEB"/>
    <w:rsid w:val="009B2E64"/>
    <w:rsid w:val="009B476B"/>
    <w:rsid w:val="009B4971"/>
    <w:rsid w:val="009B4B9D"/>
    <w:rsid w:val="009B591D"/>
    <w:rsid w:val="009B59C9"/>
    <w:rsid w:val="009B6553"/>
    <w:rsid w:val="009B66C6"/>
    <w:rsid w:val="009B6BBE"/>
    <w:rsid w:val="009B6E87"/>
    <w:rsid w:val="009C1694"/>
    <w:rsid w:val="009C2E33"/>
    <w:rsid w:val="009C36DE"/>
    <w:rsid w:val="009C3DB4"/>
    <w:rsid w:val="009C5D40"/>
    <w:rsid w:val="009C5FB0"/>
    <w:rsid w:val="009C6416"/>
    <w:rsid w:val="009C73EA"/>
    <w:rsid w:val="009C7A15"/>
    <w:rsid w:val="009D0674"/>
    <w:rsid w:val="009D1BD2"/>
    <w:rsid w:val="009D25B9"/>
    <w:rsid w:val="009D2B03"/>
    <w:rsid w:val="009D2C91"/>
    <w:rsid w:val="009D2CD8"/>
    <w:rsid w:val="009D37CB"/>
    <w:rsid w:val="009D4381"/>
    <w:rsid w:val="009D4E57"/>
    <w:rsid w:val="009D5421"/>
    <w:rsid w:val="009D5A20"/>
    <w:rsid w:val="009D5AD7"/>
    <w:rsid w:val="009D6288"/>
    <w:rsid w:val="009D65A6"/>
    <w:rsid w:val="009E007E"/>
    <w:rsid w:val="009E1055"/>
    <w:rsid w:val="009E258A"/>
    <w:rsid w:val="009E2AE1"/>
    <w:rsid w:val="009E3502"/>
    <w:rsid w:val="009E41CE"/>
    <w:rsid w:val="009E4725"/>
    <w:rsid w:val="009E479A"/>
    <w:rsid w:val="009E4819"/>
    <w:rsid w:val="009E5E54"/>
    <w:rsid w:val="009E7B2E"/>
    <w:rsid w:val="009F02DB"/>
    <w:rsid w:val="009F0325"/>
    <w:rsid w:val="009F170E"/>
    <w:rsid w:val="009F18AA"/>
    <w:rsid w:val="009F215D"/>
    <w:rsid w:val="009F2ACC"/>
    <w:rsid w:val="009F2D15"/>
    <w:rsid w:val="009F418A"/>
    <w:rsid w:val="009F4455"/>
    <w:rsid w:val="009F4786"/>
    <w:rsid w:val="009F51F3"/>
    <w:rsid w:val="009F595C"/>
    <w:rsid w:val="009F6389"/>
    <w:rsid w:val="009F762F"/>
    <w:rsid w:val="009F78E3"/>
    <w:rsid w:val="00A00825"/>
    <w:rsid w:val="00A0422D"/>
    <w:rsid w:val="00A05369"/>
    <w:rsid w:val="00A05C61"/>
    <w:rsid w:val="00A05FFA"/>
    <w:rsid w:val="00A0685F"/>
    <w:rsid w:val="00A10E0A"/>
    <w:rsid w:val="00A1202D"/>
    <w:rsid w:val="00A12DF2"/>
    <w:rsid w:val="00A13588"/>
    <w:rsid w:val="00A145BA"/>
    <w:rsid w:val="00A168C5"/>
    <w:rsid w:val="00A17306"/>
    <w:rsid w:val="00A1762F"/>
    <w:rsid w:val="00A203FC"/>
    <w:rsid w:val="00A20847"/>
    <w:rsid w:val="00A21798"/>
    <w:rsid w:val="00A22792"/>
    <w:rsid w:val="00A22859"/>
    <w:rsid w:val="00A22AEC"/>
    <w:rsid w:val="00A23C67"/>
    <w:rsid w:val="00A23F9B"/>
    <w:rsid w:val="00A24291"/>
    <w:rsid w:val="00A244D1"/>
    <w:rsid w:val="00A24ABE"/>
    <w:rsid w:val="00A26A59"/>
    <w:rsid w:val="00A30048"/>
    <w:rsid w:val="00A31FEA"/>
    <w:rsid w:val="00A32C77"/>
    <w:rsid w:val="00A32FA1"/>
    <w:rsid w:val="00A36766"/>
    <w:rsid w:val="00A404CA"/>
    <w:rsid w:val="00A41670"/>
    <w:rsid w:val="00A4417E"/>
    <w:rsid w:val="00A44510"/>
    <w:rsid w:val="00A44DA6"/>
    <w:rsid w:val="00A47337"/>
    <w:rsid w:val="00A47401"/>
    <w:rsid w:val="00A4796F"/>
    <w:rsid w:val="00A51EC7"/>
    <w:rsid w:val="00A520F0"/>
    <w:rsid w:val="00A52936"/>
    <w:rsid w:val="00A52F18"/>
    <w:rsid w:val="00A54E30"/>
    <w:rsid w:val="00A5556E"/>
    <w:rsid w:val="00A56AC9"/>
    <w:rsid w:val="00A56F22"/>
    <w:rsid w:val="00A57C4C"/>
    <w:rsid w:val="00A60523"/>
    <w:rsid w:val="00A60CB8"/>
    <w:rsid w:val="00A611E0"/>
    <w:rsid w:val="00A61F3E"/>
    <w:rsid w:val="00A63ABA"/>
    <w:rsid w:val="00A64474"/>
    <w:rsid w:val="00A652C3"/>
    <w:rsid w:val="00A65EC9"/>
    <w:rsid w:val="00A66616"/>
    <w:rsid w:val="00A66FB2"/>
    <w:rsid w:val="00A673ED"/>
    <w:rsid w:val="00A67C81"/>
    <w:rsid w:val="00A702F9"/>
    <w:rsid w:val="00A7090A"/>
    <w:rsid w:val="00A724C1"/>
    <w:rsid w:val="00A7267A"/>
    <w:rsid w:val="00A7334B"/>
    <w:rsid w:val="00A75A08"/>
    <w:rsid w:val="00A75FA4"/>
    <w:rsid w:val="00A7610D"/>
    <w:rsid w:val="00A76391"/>
    <w:rsid w:val="00A77F1D"/>
    <w:rsid w:val="00A812DC"/>
    <w:rsid w:val="00A8159D"/>
    <w:rsid w:val="00A820F7"/>
    <w:rsid w:val="00A824E1"/>
    <w:rsid w:val="00A82CF5"/>
    <w:rsid w:val="00A83428"/>
    <w:rsid w:val="00A836D9"/>
    <w:rsid w:val="00A870DF"/>
    <w:rsid w:val="00A876A5"/>
    <w:rsid w:val="00A90374"/>
    <w:rsid w:val="00A90904"/>
    <w:rsid w:val="00A93D4F"/>
    <w:rsid w:val="00A94984"/>
    <w:rsid w:val="00A959A0"/>
    <w:rsid w:val="00A95EF8"/>
    <w:rsid w:val="00A96269"/>
    <w:rsid w:val="00A966FE"/>
    <w:rsid w:val="00A96B72"/>
    <w:rsid w:val="00A970D6"/>
    <w:rsid w:val="00A97B30"/>
    <w:rsid w:val="00AA1A10"/>
    <w:rsid w:val="00AA37CA"/>
    <w:rsid w:val="00AA4EE3"/>
    <w:rsid w:val="00AA535D"/>
    <w:rsid w:val="00AA5C4F"/>
    <w:rsid w:val="00AA6956"/>
    <w:rsid w:val="00AA6C40"/>
    <w:rsid w:val="00AB05C3"/>
    <w:rsid w:val="00AB0AC4"/>
    <w:rsid w:val="00AB0B52"/>
    <w:rsid w:val="00AB4626"/>
    <w:rsid w:val="00AB5ADA"/>
    <w:rsid w:val="00AB5CB9"/>
    <w:rsid w:val="00AB6EF7"/>
    <w:rsid w:val="00AC077F"/>
    <w:rsid w:val="00AC1FDD"/>
    <w:rsid w:val="00AC2872"/>
    <w:rsid w:val="00AC5615"/>
    <w:rsid w:val="00AC5F1D"/>
    <w:rsid w:val="00AC76F5"/>
    <w:rsid w:val="00AD00FC"/>
    <w:rsid w:val="00AD0131"/>
    <w:rsid w:val="00AD0589"/>
    <w:rsid w:val="00AD186A"/>
    <w:rsid w:val="00AD277C"/>
    <w:rsid w:val="00AD2B20"/>
    <w:rsid w:val="00AD38E8"/>
    <w:rsid w:val="00AD4184"/>
    <w:rsid w:val="00AD49D3"/>
    <w:rsid w:val="00AD5641"/>
    <w:rsid w:val="00AD61EB"/>
    <w:rsid w:val="00AD66CD"/>
    <w:rsid w:val="00AD788F"/>
    <w:rsid w:val="00AE04D0"/>
    <w:rsid w:val="00AE115F"/>
    <w:rsid w:val="00AE338B"/>
    <w:rsid w:val="00AE36A3"/>
    <w:rsid w:val="00AE5E44"/>
    <w:rsid w:val="00AE5F8B"/>
    <w:rsid w:val="00AE72B1"/>
    <w:rsid w:val="00AF03B0"/>
    <w:rsid w:val="00AF100B"/>
    <w:rsid w:val="00AF177E"/>
    <w:rsid w:val="00AF1CFB"/>
    <w:rsid w:val="00AF1D4D"/>
    <w:rsid w:val="00AF1EFF"/>
    <w:rsid w:val="00AF1F56"/>
    <w:rsid w:val="00AF216A"/>
    <w:rsid w:val="00AF33ED"/>
    <w:rsid w:val="00AF4D8D"/>
    <w:rsid w:val="00AF50C8"/>
    <w:rsid w:val="00AF556E"/>
    <w:rsid w:val="00AF5CFE"/>
    <w:rsid w:val="00AF6522"/>
    <w:rsid w:val="00AF6752"/>
    <w:rsid w:val="00B00248"/>
    <w:rsid w:val="00B006E2"/>
    <w:rsid w:val="00B00B5B"/>
    <w:rsid w:val="00B015AC"/>
    <w:rsid w:val="00B02687"/>
    <w:rsid w:val="00B02D14"/>
    <w:rsid w:val="00B030CB"/>
    <w:rsid w:val="00B03414"/>
    <w:rsid w:val="00B045AF"/>
    <w:rsid w:val="00B05FAE"/>
    <w:rsid w:val="00B06008"/>
    <w:rsid w:val="00B0650F"/>
    <w:rsid w:val="00B065D7"/>
    <w:rsid w:val="00B06742"/>
    <w:rsid w:val="00B06760"/>
    <w:rsid w:val="00B06C21"/>
    <w:rsid w:val="00B126F4"/>
    <w:rsid w:val="00B12851"/>
    <w:rsid w:val="00B14265"/>
    <w:rsid w:val="00B1448E"/>
    <w:rsid w:val="00B170CC"/>
    <w:rsid w:val="00B243BE"/>
    <w:rsid w:val="00B26E3A"/>
    <w:rsid w:val="00B26EB9"/>
    <w:rsid w:val="00B2714A"/>
    <w:rsid w:val="00B27C16"/>
    <w:rsid w:val="00B27E31"/>
    <w:rsid w:val="00B30315"/>
    <w:rsid w:val="00B316B5"/>
    <w:rsid w:val="00B3187D"/>
    <w:rsid w:val="00B32467"/>
    <w:rsid w:val="00B325DD"/>
    <w:rsid w:val="00B33115"/>
    <w:rsid w:val="00B33ABF"/>
    <w:rsid w:val="00B34617"/>
    <w:rsid w:val="00B34C6F"/>
    <w:rsid w:val="00B359EB"/>
    <w:rsid w:val="00B36822"/>
    <w:rsid w:val="00B36ACB"/>
    <w:rsid w:val="00B4033F"/>
    <w:rsid w:val="00B40954"/>
    <w:rsid w:val="00B40D9F"/>
    <w:rsid w:val="00B40EB2"/>
    <w:rsid w:val="00B4162B"/>
    <w:rsid w:val="00B43497"/>
    <w:rsid w:val="00B4505D"/>
    <w:rsid w:val="00B453BC"/>
    <w:rsid w:val="00B46AB1"/>
    <w:rsid w:val="00B51973"/>
    <w:rsid w:val="00B556D6"/>
    <w:rsid w:val="00B56017"/>
    <w:rsid w:val="00B5610F"/>
    <w:rsid w:val="00B56D98"/>
    <w:rsid w:val="00B577E2"/>
    <w:rsid w:val="00B57E89"/>
    <w:rsid w:val="00B60038"/>
    <w:rsid w:val="00B6014F"/>
    <w:rsid w:val="00B62613"/>
    <w:rsid w:val="00B62A84"/>
    <w:rsid w:val="00B62CA8"/>
    <w:rsid w:val="00B62DB1"/>
    <w:rsid w:val="00B65700"/>
    <w:rsid w:val="00B6634F"/>
    <w:rsid w:val="00B709E1"/>
    <w:rsid w:val="00B70D81"/>
    <w:rsid w:val="00B70E31"/>
    <w:rsid w:val="00B71BB4"/>
    <w:rsid w:val="00B72232"/>
    <w:rsid w:val="00B72976"/>
    <w:rsid w:val="00B72BAF"/>
    <w:rsid w:val="00B75CD4"/>
    <w:rsid w:val="00B76500"/>
    <w:rsid w:val="00B7737B"/>
    <w:rsid w:val="00B80E3F"/>
    <w:rsid w:val="00B81066"/>
    <w:rsid w:val="00B82998"/>
    <w:rsid w:val="00B83354"/>
    <w:rsid w:val="00B83976"/>
    <w:rsid w:val="00B86026"/>
    <w:rsid w:val="00B8781C"/>
    <w:rsid w:val="00B902FA"/>
    <w:rsid w:val="00B91E03"/>
    <w:rsid w:val="00B927A5"/>
    <w:rsid w:val="00B92D06"/>
    <w:rsid w:val="00B93917"/>
    <w:rsid w:val="00B93E0E"/>
    <w:rsid w:val="00B942A6"/>
    <w:rsid w:val="00B94831"/>
    <w:rsid w:val="00B94ED3"/>
    <w:rsid w:val="00B95C71"/>
    <w:rsid w:val="00B971F9"/>
    <w:rsid w:val="00BA2440"/>
    <w:rsid w:val="00BA2EEF"/>
    <w:rsid w:val="00BA37D2"/>
    <w:rsid w:val="00BA3862"/>
    <w:rsid w:val="00BA618E"/>
    <w:rsid w:val="00BA6D2A"/>
    <w:rsid w:val="00BA7C80"/>
    <w:rsid w:val="00BB0BEB"/>
    <w:rsid w:val="00BB25CB"/>
    <w:rsid w:val="00BB25F2"/>
    <w:rsid w:val="00BB36FD"/>
    <w:rsid w:val="00BB3A65"/>
    <w:rsid w:val="00BB5BDF"/>
    <w:rsid w:val="00BB7261"/>
    <w:rsid w:val="00BC06C2"/>
    <w:rsid w:val="00BC126B"/>
    <w:rsid w:val="00BC130D"/>
    <w:rsid w:val="00BC17FD"/>
    <w:rsid w:val="00BC1C0E"/>
    <w:rsid w:val="00BC4AA0"/>
    <w:rsid w:val="00BC63D2"/>
    <w:rsid w:val="00BC6974"/>
    <w:rsid w:val="00BC71EE"/>
    <w:rsid w:val="00BC7D17"/>
    <w:rsid w:val="00BD1BC9"/>
    <w:rsid w:val="00BD3694"/>
    <w:rsid w:val="00BD4BFA"/>
    <w:rsid w:val="00BD66D0"/>
    <w:rsid w:val="00BD6F58"/>
    <w:rsid w:val="00BE01DF"/>
    <w:rsid w:val="00BE04E4"/>
    <w:rsid w:val="00BE0A71"/>
    <w:rsid w:val="00BE3189"/>
    <w:rsid w:val="00BE31A8"/>
    <w:rsid w:val="00BE5099"/>
    <w:rsid w:val="00BE7016"/>
    <w:rsid w:val="00BE777B"/>
    <w:rsid w:val="00BE77EC"/>
    <w:rsid w:val="00BF0E49"/>
    <w:rsid w:val="00BF0F9D"/>
    <w:rsid w:val="00BF1478"/>
    <w:rsid w:val="00BF374F"/>
    <w:rsid w:val="00BF3894"/>
    <w:rsid w:val="00BF486E"/>
    <w:rsid w:val="00BF6F58"/>
    <w:rsid w:val="00C021B8"/>
    <w:rsid w:val="00C026F1"/>
    <w:rsid w:val="00C03332"/>
    <w:rsid w:val="00C0421E"/>
    <w:rsid w:val="00C05B98"/>
    <w:rsid w:val="00C05DD2"/>
    <w:rsid w:val="00C062F5"/>
    <w:rsid w:val="00C064CE"/>
    <w:rsid w:val="00C06BDB"/>
    <w:rsid w:val="00C10923"/>
    <w:rsid w:val="00C1243A"/>
    <w:rsid w:val="00C12457"/>
    <w:rsid w:val="00C125A3"/>
    <w:rsid w:val="00C126C7"/>
    <w:rsid w:val="00C13905"/>
    <w:rsid w:val="00C151CD"/>
    <w:rsid w:val="00C16728"/>
    <w:rsid w:val="00C16C8D"/>
    <w:rsid w:val="00C1710D"/>
    <w:rsid w:val="00C17D1D"/>
    <w:rsid w:val="00C21F6D"/>
    <w:rsid w:val="00C22F0A"/>
    <w:rsid w:val="00C234DD"/>
    <w:rsid w:val="00C23779"/>
    <w:rsid w:val="00C23C09"/>
    <w:rsid w:val="00C268B8"/>
    <w:rsid w:val="00C27A78"/>
    <w:rsid w:val="00C30352"/>
    <w:rsid w:val="00C3046A"/>
    <w:rsid w:val="00C3180A"/>
    <w:rsid w:val="00C337AA"/>
    <w:rsid w:val="00C343A0"/>
    <w:rsid w:val="00C346A6"/>
    <w:rsid w:val="00C36C69"/>
    <w:rsid w:val="00C36DD6"/>
    <w:rsid w:val="00C40404"/>
    <w:rsid w:val="00C41485"/>
    <w:rsid w:val="00C41BFE"/>
    <w:rsid w:val="00C42B83"/>
    <w:rsid w:val="00C44CD6"/>
    <w:rsid w:val="00C4596E"/>
    <w:rsid w:val="00C46609"/>
    <w:rsid w:val="00C47E3E"/>
    <w:rsid w:val="00C505C1"/>
    <w:rsid w:val="00C517D6"/>
    <w:rsid w:val="00C52368"/>
    <w:rsid w:val="00C52796"/>
    <w:rsid w:val="00C529A7"/>
    <w:rsid w:val="00C56105"/>
    <w:rsid w:val="00C56A14"/>
    <w:rsid w:val="00C578E8"/>
    <w:rsid w:val="00C60F1F"/>
    <w:rsid w:val="00C62877"/>
    <w:rsid w:val="00C640CA"/>
    <w:rsid w:val="00C6463C"/>
    <w:rsid w:val="00C64C26"/>
    <w:rsid w:val="00C67158"/>
    <w:rsid w:val="00C673D6"/>
    <w:rsid w:val="00C67853"/>
    <w:rsid w:val="00C70927"/>
    <w:rsid w:val="00C71288"/>
    <w:rsid w:val="00C71FE4"/>
    <w:rsid w:val="00C7213E"/>
    <w:rsid w:val="00C72B0D"/>
    <w:rsid w:val="00C72E11"/>
    <w:rsid w:val="00C737DB"/>
    <w:rsid w:val="00C755DC"/>
    <w:rsid w:val="00C75D67"/>
    <w:rsid w:val="00C761D7"/>
    <w:rsid w:val="00C77CCE"/>
    <w:rsid w:val="00C811B0"/>
    <w:rsid w:val="00C81C4C"/>
    <w:rsid w:val="00C82A1C"/>
    <w:rsid w:val="00C82E58"/>
    <w:rsid w:val="00C8434A"/>
    <w:rsid w:val="00C860F2"/>
    <w:rsid w:val="00C8619A"/>
    <w:rsid w:val="00C869E0"/>
    <w:rsid w:val="00C878BB"/>
    <w:rsid w:val="00C910E9"/>
    <w:rsid w:val="00C91444"/>
    <w:rsid w:val="00C9173D"/>
    <w:rsid w:val="00C91744"/>
    <w:rsid w:val="00C92351"/>
    <w:rsid w:val="00C93475"/>
    <w:rsid w:val="00C94C42"/>
    <w:rsid w:val="00C95F97"/>
    <w:rsid w:val="00C960BC"/>
    <w:rsid w:val="00C964B2"/>
    <w:rsid w:val="00CA1AD0"/>
    <w:rsid w:val="00CA2EA5"/>
    <w:rsid w:val="00CA63D4"/>
    <w:rsid w:val="00CB1160"/>
    <w:rsid w:val="00CB51F2"/>
    <w:rsid w:val="00CB5365"/>
    <w:rsid w:val="00CB560F"/>
    <w:rsid w:val="00CB6E08"/>
    <w:rsid w:val="00CB6FDA"/>
    <w:rsid w:val="00CC027B"/>
    <w:rsid w:val="00CC1D2C"/>
    <w:rsid w:val="00CC4CAB"/>
    <w:rsid w:val="00CC4F9B"/>
    <w:rsid w:val="00CC513A"/>
    <w:rsid w:val="00CC60E1"/>
    <w:rsid w:val="00CC6A52"/>
    <w:rsid w:val="00CC7541"/>
    <w:rsid w:val="00CD131C"/>
    <w:rsid w:val="00CD2BD7"/>
    <w:rsid w:val="00CD44FE"/>
    <w:rsid w:val="00CD4637"/>
    <w:rsid w:val="00CD4DDE"/>
    <w:rsid w:val="00CD4EE0"/>
    <w:rsid w:val="00CD56B1"/>
    <w:rsid w:val="00CD581C"/>
    <w:rsid w:val="00CD5CB8"/>
    <w:rsid w:val="00CD60EF"/>
    <w:rsid w:val="00CD79C6"/>
    <w:rsid w:val="00CD7EDC"/>
    <w:rsid w:val="00CE1D20"/>
    <w:rsid w:val="00CE269E"/>
    <w:rsid w:val="00CE2C33"/>
    <w:rsid w:val="00CE32BF"/>
    <w:rsid w:val="00CE612E"/>
    <w:rsid w:val="00CE6EE1"/>
    <w:rsid w:val="00CE70E4"/>
    <w:rsid w:val="00CF0138"/>
    <w:rsid w:val="00CF0524"/>
    <w:rsid w:val="00CF0D95"/>
    <w:rsid w:val="00CF42B7"/>
    <w:rsid w:val="00CF4882"/>
    <w:rsid w:val="00CF50CD"/>
    <w:rsid w:val="00CF5457"/>
    <w:rsid w:val="00CF6248"/>
    <w:rsid w:val="00CF66EE"/>
    <w:rsid w:val="00CF7B40"/>
    <w:rsid w:val="00CF7B9C"/>
    <w:rsid w:val="00CF7F8A"/>
    <w:rsid w:val="00D0014A"/>
    <w:rsid w:val="00D009BD"/>
    <w:rsid w:val="00D00BB1"/>
    <w:rsid w:val="00D00D2F"/>
    <w:rsid w:val="00D0178E"/>
    <w:rsid w:val="00D01897"/>
    <w:rsid w:val="00D03388"/>
    <w:rsid w:val="00D0358C"/>
    <w:rsid w:val="00D03615"/>
    <w:rsid w:val="00D04118"/>
    <w:rsid w:val="00D04291"/>
    <w:rsid w:val="00D06AF0"/>
    <w:rsid w:val="00D07246"/>
    <w:rsid w:val="00D1201B"/>
    <w:rsid w:val="00D13644"/>
    <w:rsid w:val="00D153F9"/>
    <w:rsid w:val="00D15EA2"/>
    <w:rsid w:val="00D1660B"/>
    <w:rsid w:val="00D21F2C"/>
    <w:rsid w:val="00D225A7"/>
    <w:rsid w:val="00D228E1"/>
    <w:rsid w:val="00D22BD7"/>
    <w:rsid w:val="00D22C63"/>
    <w:rsid w:val="00D24E51"/>
    <w:rsid w:val="00D24E80"/>
    <w:rsid w:val="00D251BB"/>
    <w:rsid w:val="00D2578C"/>
    <w:rsid w:val="00D25A1A"/>
    <w:rsid w:val="00D2775B"/>
    <w:rsid w:val="00D33667"/>
    <w:rsid w:val="00D33BB6"/>
    <w:rsid w:val="00D35DF8"/>
    <w:rsid w:val="00D36FDE"/>
    <w:rsid w:val="00D37730"/>
    <w:rsid w:val="00D37F17"/>
    <w:rsid w:val="00D4004D"/>
    <w:rsid w:val="00D42487"/>
    <w:rsid w:val="00D42842"/>
    <w:rsid w:val="00D42F0E"/>
    <w:rsid w:val="00D437EE"/>
    <w:rsid w:val="00D438FE"/>
    <w:rsid w:val="00D44BDC"/>
    <w:rsid w:val="00D4514A"/>
    <w:rsid w:val="00D45C74"/>
    <w:rsid w:val="00D4615A"/>
    <w:rsid w:val="00D50462"/>
    <w:rsid w:val="00D5192D"/>
    <w:rsid w:val="00D52410"/>
    <w:rsid w:val="00D529B7"/>
    <w:rsid w:val="00D548FD"/>
    <w:rsid w:val="00D56236"/>
    <w:rsid w:val="00D568FA"/>
    <w:rsid w:val="00D56924"/>
    <w:rsid w:val="00D57B97"/>
    <w:rsid w:val="00D6041F"/>
    <w:rsid w:val="00D60AB6"/>
    <w:rsid w:val="00D60C81"/>
    <w:rsid w:val="00D61114"/>
    <w:rsid w:val="00D61283"/>
    <w:rsid w:val="00D616F9"/>
    <w:rsid w:val="00D61C36"/>
    <w:rsid w:val="00D6438C"/>
    <w:rsid w:val="00D653DC"/>
    <w:rsid w:val="00D6540E"/>
    <w:rsid w:val="00D65D71"/>
    <w:rsid w:val="00D665C7"/>
    <w:rsid w:val="00D668CF"/>
    <w:rsid w:val="00D671C2"/>
    <w:rsid w:val="00D67524"/>
    <w:rsid w:val="00D6777E"/>
    <w:rsid w:val="00D677A7"/>
    <w:rsid w:val="00D7025B"/>
    <w:rsid w:val="00D70EB2"/>
    <w:rsid w:val="00D70F1E"/>
    <w:rsid w:val="00D711C7"/>
    <w:rsid w:val="00D7140A"/>
    <w:rsid w:val="00D724DF"/>
    <w:rsid w:val="00D72CFA"/>
    <w:rsid w:val="00D7381F"/>
    <w:rsid w:val="00D73902"/>
    <w:rsid w:val="00D73B08"/>
    <w:rsid w:val="00D76479"/>
    <w:rsid w:val="00D77DDB"/>
    <w:rsid w:val="00D8057A"/>
    <w:rsid w:val="00D82689"/>
    <w:rsid w:val="00D831AE"/>
    <w:rsid w:val="00D8432E"/>
    <w:rsid w:val="00D84638"/>
    <w:rsid w:val="00D85CA3"/>
    <w:rsid w:val="00D85E81"/>
    <w:rsid w:val="00D86B5C"/>
    <w:rsid w:val="00D87BE1"/>
    <w:rsid w:val="00D87EDD"/>
    <w:rsid w:val="00D900DA"/>
    <w:rsid w:val="00D90BA4"/>
    <w:rsid w:val="00D91164"/>
    <w:rsid w:val="00D9125D"/>
    <w:rsid w:val="00D934FD"/>
    <w:rsid w:val="00D9544D"/>
    <w:rsid w:val="00D95916"/>
    <w:rsid w:val="00D960AF"/>
    <w:rsid w:val="00D96B23"/>
    <w:rsid w:val="00D96CDB"/>
    <w:rsid w:val="00D97D7A"/>
    <w:rsid w:val="00D97F5B"/>
    <w:rsid w:val="00DA181E"/>
    <w:rsid w:val="00DA20D1"/>
    <w:rsid w:val="00DA2E55"/>
    <w:rsid w:val="00DA361A"/>
    <w:rsid w:val="00DA422A"/>
    <w:rsid w:val="00DA6B7A"/>
    <w:rsid w:val="00DB045E"/>
    <w:rsid w:val="00DB0F56"/>
    <w:rsid w:val="00DB12FE"/>
    <w:rsid w:val="00DB1460"/>
    <w:rsid w:val="00DB158B"/>
    <w:rsid w:val="00DB189E"/>
    <w:rsid w:val="00DB22CC"/>
    <w:rsid w:val="00DB3599"/>
    <w:rsid w:val="00DB416F"/>
    <w:rsid w:val="00DB48C4"/>
    <w:rsid w:val="00DB5E1F"/>
    <w:rsid w:val="00DB5FC3"/>
    <w:rsid w:val="00DB6683"/>
    <w:rsid w:val="00DC04FF"/>
    <w:rsid w:val="00DC3C92"/>
    <w:rsid w:val="00DC5099"/>
    <w:rsid w:val="00DC5D85"/>
    <w:rsid w:val="00DC6EC0"/>
    <w:rsid w:val="00DC7DF2"/>
    <w:rsid w:val="00DD0781"/>
    <w:rsid w:val="00DD08A1"/>
    <w:rsid w:val="00DD09C7"/>
    <w:rsid w:val="00DD173F"/>
    <w:rsid w:val="00DD2F02"/>
    <w:rsid w:val="00DD3BB7"/>
    <w:rsid w:val="00DD52A6"/>
    <w:rsid w:val="00DD55E9"/>
    <w:rsid w:val="00DD5F49"/>
    <w:rsid w:val="00DD6ADF"/>
    <w:rsid w:val="00DE150E"/>
    <w:rsid w:val="00DE247E"/>
    <w:rsid w:val="00DE2686"/>
    <w:rsid w:val="00DE2CC4"/>
    <w:rsid w:val="00DE2D46"/>
    <w:rsid w:val="00DE45A9"/>
    <w:rsid w:val="00DE78EA"/>
    <w:rsid w:val="00DE7AE2"/>
    <w:rsid w:val="00DE7BD4"/>
    <w:rsid w:val="00DF16B1"/>
    <w:rsid w:val="00DF37D4"/>
    <w:rsid w:val="00DF468E"/>
    <w:rsid w:val="00DF5080"/>
    <w:rsid w:val="00DF53D2"/>
    <w:rsid w:val="00DF5732"/>
    <w:rsid w:val="00DF63CB"/>
    <w:rsid w:val="00DF6D29"/>
    <w:rsid w:val="00E000D0"/>
    <w:rsid w:val="00E00F25"/>
    <w:rsid w:val="00E01714"/>
    <w:rsid w:val="00E019D7"/>
    <w:rsid w:val="00E023B3"/>
    <w:rsid w:val="00E03626"/>
    <w:rsid w:val="00E03813"/>
    <w:rsid w:val="00E03A34"/>
    <w:rsid w:val="00E07A61"/>
    <w:rsid w:val="00E111B1"/>
    <w:rsid w:val="00E12954"/>
    <w:rsid w:val="00E14E0A"/>
    <w:rsid w:val="00E16C3E"/>
    <w:rsid w:val="00E1753A"/>
    <w:rsid w:val="00E1757D"/>
    <w:rsid w:val="00E20179"/>
    <w:rsid w:val="00E20B65"/>
    <w:rsid w:val="00E21B7E"/>
    <w:rsid w:val="00E2428E"/>
    <w:rsid w:val="00E2575E"/>
    <w:rsid w:val="00E262FC"/>
    <w:rsid w:val="00E26C67"/>
    <w:rsid w:val="00E30719"/>
    <w:rsid w:val="00E30B3D"/>
    <w:rsid w:val="00E322AB"/>
    <w:rsid w:val="00E32403"/>
    <w:rsid w:val="00E32C4C"/>
    <w:rsid w:val="00E32E13"/>
    <w:rsid w:val="00E342C2"/>
    <w:rsid w:val="00E3432B"/>
    <w:rsid w:val="00E344B8"/>
    <w:rsid w:val="00E345A0"/>
    <w:rsid w:val="00E34761"/>
    <w:rsid w:val="00E37A65"/>
    <w:rsid w:val="00E40408"/>
    <w:rsid w:val="00E40645"/>
    <w:rsid w:val="00E408EC"/>
    <w:rsid w:val="00E410FD"/>
    <w:rsid w:val="00E41335"/>
    <w:rsid w:val="00E42A0B"/>
    <w:rsid w:val="00E42DCE"/>
    <w:rsid w:val="00E442DA"/>
    <w:rsid w:val="00E44740"/>
    <w:rsid w:val="00E44CCD"/>
    <w:rsid w:val="00E45840"/>
    <w:rsid w:val="00E4588A"/>
    <w:rsid w:val="00E474A8"/>
    <w:rsid w:val="00E475C7"/>
    <w:rsid w:val="00E521E3"/>
    <w:rsid w:val="00E52870"/>
    <w:rsid w:val="00E54056"/>
    <w:rsid w:val="00E54B4F"/>
    <w:rsid w:val="00E54EE8"/>
    <w:rsid w:val="00E550C1"/>
    <w:rsid w:val="00E57730"/>
    <w:rsid w:val="00E578B9"/>
    <w:rsid w:val="00E57B63"/>
    <w:rsid w:val="00E6023C"/>
    <w:rsid w:val="00E6253A"/>
    <w:rsid w:val="00E6371F"/>
    <w:rsid w:val="00E6408A"/>
    <w:rsid w:val="00E64746"/>
    <w:rsid w:val="00E67231"/>
    <w:rsid w:val="00E675B0"/>
    <w:rsid w:val="00E70660"/>
    <w:rsid w:val="00E71AD4"/>
    <w:rsid w:val="00E71DB0"/>
    <w:rsid w:val="00E72A37"/>
    <w:rsid w:val="00E72C19"/>
    <w:rsid w:val="00E72F60"/>
    <w:rsid w:val="00E73178"/>
    <w:rsid w:val="00E7340D"/>
    <w:rsid w:val="00E73ACC"/>
    <w:rsid w:val="00E74F37"/>
    <w:rsid w:val="00E75304"/>
    <w:rsid w:val="00E75E1E"/>
    <w:rsid w:val="00E765FB"/>
    <w:rsid w:val="00E76634"/>
    <w:rsid w:val="00E76E18"/>
    <w:rsid w:val="00E76F3C"/>
    <w:rsid w:val="00E7707A"/>
    <w:rsid w:val="00E80EA6"/>
    <w:rsid w:val="00E830B6"/>
    <w:rsid w:val="00E834A9"/>
    <w:rsid w:val="00E83D2C"/>
    <w:rsid w:val="00E83EB7"/>
    <w:rsid w:val="00E85F85"/>
    <w:rsid w:val="00E8697B"/>
    <w:rsid w:val="00E87A2D"/>
    <w:rsid w:val="00E87CF1"/>
    <w:rsid w:val="00E92125"/>
    <w:rsid w:val="00E921B2"/>
    <w:rsid w:val="00E927F8"/>
    <w:rsid w:val="00E93FB1"/>
    <w:rsid w:val="00E943DD"/>
    <w:rsid w:val="00E94542"/>
    <w:rsid w:val="00E948B4"/>
    <w:rsid w:val="00E94A75"/>
    <w:rsid w:val="00E95107"/>
    <w:rsid w:val="00E95989"/>
    <w:rsid w:val="00E96B07"/>
    <w:rsid w:val="00E96F7A"/>
    <w:rsid w:val="00EA0254"/>
    <w:rsid w:val="00EA0D9F"/>
    <w:rsid w:val="00EA0FEF"/>
    <w:rsid w:val="00EA18BC"/>
    <w:rsid w:val="00EA3445"/>
    <w:rsid w:val="00EA4809"/>
    <w:rsid w:val="00EA5155"/>
    <w:rsid w:val="00EA62B8"/>
    <w:rsid w:val="00EA6CFF"/>
    <w:rsid w:val="00EA78A0"/>
    <w:rsid w:val="00EB091F"/>
    <w:rsid w:val="00EB0F01"/>
    <w:rsid w:val="00EB0F87"/>
    <w:rsid w:val="00EB2584"/>
    <w:rsid w:val="00EB5230"/>
    <w:rsid w:val="00EB55F6"/>
    <w:rsid w:val="00EB5F06"/>
    <w:rsid w:val="00EB687C"/>
    <w:rsid w:val="00EB7691"/>
    <w:rsid w:val="00EB780D"/>
    <w:rsid w:val="00EB78B2"/>
    <w:rsid w:val="00EC05D6"/>
    <w:rsid w:val="00EC06A7"/>
    <w:rsid w:val="00EC1E26"/>
    <w:rsid w:val="00EC1F04"/>
    <w:rsid w:val="00EC2680"/>
    <w:rsid w:val="00EC3B7D"/>
    <w:rsid w:val="00EC462C"/>
    <w:rsid w:val="00EC6433"/>
    <w:rsid w:val="00EC6CF2"/>
    <w:rsid w:val="00EC700D"/>
    <w:rsid w:val="00EC7E45"/>
    <w:rsid w:val="00ED03C6"/>
    <w:rsid w:val="00ED1138"/>
    <w:rsid w:val="00ED1DDD"/>
    <w:rsid w:val="00ED3A89"/>
    <w:rsid w:val="00ED44D0"/>
    <w:rsid w:val="00ED4916"/>
    <w:rsid w:val="00ED4EF7"/>
    <w:rsid w:val="00ED5F3C"/>
    <w:rsid w:val="00ED6D6F"/>
    <w:rsid w:val="00EE037A"/>
    <w:rsid w:val="00EE16B6"/>
    <w:rsid w:val="00EE48F0"/>
    <w:rsid w:val="00EE5573"/>
    <w:rsid w:val="00EE7304"/>
    <w:rsid w:val="00EF0157"/>
    <w:rsid w:val="00EF0B85"/>
    <w:rsid w:val="00EF12A8"/>
    <w:rsid w:val="00EF287F"/>
    <w:rsid w:val="00EF3AA6"/>
    <w:rsid w:val="00EF41D5"/>
    <w:rsid w:val="00EF420E"/>
    <w:rsid w:val="00EF495F"/>
    <w:rsid w:val="00EF4A83"/>
    <w:rsid w:val="00EF6C9E"/>
    <w:rsid w:val="00EF7930"/>
    <w:rsid w:val="00EF7996"/>
    <w:rsid w:val="00F00C1C"/>
    <w:rsid w:val="00F0108A"/>
    <w:rsid w:val="00F02594"/>
    <w:rsid w:val="00F02B2C"/>
    <w:rsid w:val="00F0336F"/>
    <w:rsid w:val="00F03843"/>
    <w:rsid w:val="00F03D53"/>
    <w:rsid w:val="00F0474D"/>
    <w:rsid w:val="00F05282"/>
    <w:rsid w:val="00F05A17"/>
    <w:rsid w:val="00F07FDF"/>
    <w:rsid w:val="00F13016"/>
    <w:rsid w:val="00F13C1A"/>
    <w:rsid w:val="00F1487A"/>
    <w:rsid w:val="00F1594A"/>
    <w:rsid w:val="00F15D0F"/>
    <w:rsid w:val="00F16A34"/>
    <w:rsid w:val="00F170D1"/>
    <w:rsid w:val="00F17798"/>
    <w:rsid w:val="00F17ADF"/>
    <w:rsid w:val="00F22389"/>
    <w:rsid w:val="00F23AC6"/>
    <w:rsid w:val="00F252A6"/>
    <w:rsid w:val="00F2619C"/>
    <w:rsid w:val="00F31B7C"/>
    <w:rsid w:val="00F32162"/>
    <w:rsid w:val="00F325C2"/>
    <w:rsid w:val="00F32DFC"/>
    <w:rsid w:val="00F34035"/>
    <w:rsid w:val="00F34DAA"/>
    <w:rsid w:val="00F35D06"/>
    <w:rsid w:val="00F372F5"/>
    <w:rsid w:val="00F3732F"/>
    <w:rsid w:val="00F37680"/>
    <w:rsid w:val="00F37F62"/>
    <w:rsid w:val="00F44727"/>
    <w:rsid w:val="00F4512C"/>
    <w:rsid w:val="00F467BE"/>
    <w:rsid w:val="00F47AE3"/>
    <w:rsid w:val="00F53262"/>
    <w:rsid w:val="00F53A9A"/>
    <w:rsid w:val="00F55F82"/>
    <w:rsid w:val="00F56990"/>
    <w:rsid w:val="00F56ACD"/>
    <w:rsid w:val="00F57591"/>
    <w:rsid w:val="00F57856"/>
    <w:rsid w:val="00F6020E"/>
    <w:rsid w:val="00F608CD"/>
    <w:rsid w:val="00F61917"/>
    <w:rsid w:val="00F62F97"/>
    <w:rsid w:val="00F64953"/>
    <w:rsid w:val="00F65B86"/>
    <w:rsid w:val="00F669AC"/>
    <w:rsid w:val="00F67486"/>
    <w:rsid w:val="00F679E8"/>
    <w:rsid w:val="00F70B39"/>
    <w:rsid w:val="00F71436"/>
    <w:rsid w:val="00F7180F"/>
    <w:rsid w:val="00F71BA4"/>
    <w:rsid w:val="00F72B14"/>
    <w:rsid w:val="00F72C2E"/>
    <w:rsid w:val="00F7406C"/>
    <w:rsid w:val="00F749C0"/>
    <w:rsid w:val="00F76286"/>
    <w:rsid w:val="00F7684A"/>
    <w:rsid w:val="00F76BFB"/>
    <w:rsid w:val="00F77869"/>
    <w:rsid w:val="00F81399"/>
    <w:rsid w:val="00F8184B"/>
    <w:rsid w:val="00F81D73"/>
    <w:rsid w:val="00F828F6"/>
    <w:rsid w:val="00F83AFD"/>
    <w:rsid w:val="00F84F35"/>
    <w:rsid w:val="00F85D78"/>
    <w:rsid w:val="00F864B3"/>
    <w:rsid w:val="00F86A41"/>
    <w:rsid w:val="00F86C72"/>
    <w:rsid w:val="00F87D11"/>
    <w:rsid w:val="00F87D5C"/>
    <w:rsid w:val="00F90AD1"/>
    <w:rsid w:val="00F9143D"/>
    <w:rsid w:val="00F91E8C"/>
    <w:rsid w:val="00F93D11"/>
    <w:rsid w:val="00F97981"/>
    <w:rsid w:val="00FA010E"/>
    <w:rsid w:val="00FA0125"/>
    <w:rsid w:val="00FA0536"/>
    <w:rsid w:val="00FA0A56"/>
    <w:rsid w:val="00FA0DF9"/>
    <w:rsid w:val="00FA1BD6"/>
    <w:rsid w:val="00FA3531"/>
    <w:rsid w:val="00FA4FDB"/>
    <w:rsid w:val="00FA5F62"/>
    <w:rsid w:val="00FA722E"/>
    <w:rsid w:val="00FA78BA"/>
    <w:rsid w:val="00FB00EB"/>
    <w:rsid w:val="00FB069F"/>
    <w:rsid w:val="00FB079D"/>
    <w:rsid w:val="00FB0D0E"/>
    <w:rsid w:val="00FB101F"/>
    <w:rsid w:val="00FB2607"/>
    <w:rsid w:val="00FB36CA"/>
    <w:rsid w:val="00FB377C"/>
    <w:rsid w:val="00FB3834"/>
    <w:rsid w:val="00FB4D37"/>
    <w:rsid w:val="00FB4D85"/>
    <w:rsid w:val="00FB60D7"/>
    <w:rsid w:val="00FB6B78"/>
    <w:rsid w:val="00FB70A2"/>
    <w:rsid w:val="00FC04BE"/>
    <w:rsid w:val="00FC13A9"/>
    <w:rsid w:val="00FC1D1F"/>
    <w:rsid w:val="00FC4512"/>
    <w:rsid w:val="00FC483A"/>
    <w:rsid w:val="00FC4989"/>
    <w:rsid w:val="00FC4FCE"/>
    <w:rsid w:val="00FC54C1"/>
    <w:rsid w:val="00FC5CBC"/>
    <w:rsid w:val="00FC66AD"/>
    <w:rsid w:val="00FC6909"/>
    <w:rsid w:val="00FC72AC"/>
    <w:rsid w:val="00FC7FB6"/>
    <w:rsid w:val="00FD1EBA"/>
    <w:rsid w:val="00FD2D82"/>
    <w:rsid w:val="00FD3D2F"/>
    <w:rsid w:val="00FD5005"/>
    <w:rsid w:val="00FD6264"/>
    <w:rsid w:val="00FE0BB1"/>
    <w:rsid w:val="00FE2AC2"/>
    <w:rsid w:val="00FE2B31"/>
    <w:rsid w:val="00FE2E50"/>
    <w:rsid w:val="00FE3F6C"/>
    <w:rsid w:val="00FE4353"/>
    <w:rsid w:val="00FE4CA7"/>
    <w:rsid w:val="00FE6451"/>
    <w:rsid w:val="00FF016D"/>
    <w:rsid w:val="00FF04A0"/>
    <w:rsid w:val="00FF402E"/>
    <w:rsid w:val="00FF482C"/>
    <w:rsid w:val="00FF534D"/>
    <w:rsid w:val="00FF62D9"/>
    <w:rsid w:val="00FF6308"/>
    <w:rsid w:val="00FF725D"/>
    <w:rsid w:val="00FF7335"/>
    <w:rsid w:val="00FF7E8A"/>
    <w:rsid w:val="00FF7EE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0D44D7"/>
  <w15:chartTrackingRefBased/>
  <w15:docId w15:val="{9702D2BC-10AC-4B7B-A6BB-6D102D453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Ttulo1">
    <w:name w:val="heading 1"/>
    <w:basedOn w:val="Normal"/>
    <w:next w:val="Normal"/>
    <w:link w:val="Ttulo1Car"/>
    <w:uiPriority w:val="9"/>
    <w:qFormat/>
    <w:rsid w:val="0077023A"/>
    <w:pPr>
      <w:widowControl w:val="0"/>
      <w:numPr>
        <w:ilvl w:val="1"/>
        <w:numId w:val="10"/>
      </w:numPr>
      <w:spacing w:before="120" w:after="120" w:line="240" w:lineRule="auto"/>
      <w:jc w:val="both"/>
      <w:outlineLvl w:val="0"/>
    </w:pPr>
    <w:rPr>
      <w:rFonts w:ascii="Verdana" w:eastAsia="Times New Roman" w:hAnsi="Verdana"/>
      <w:b/>
      <w:bCs/>
      <w:i/>
      <w:kern w:val="32"/>
      <w:sz w:val="20"/>
      <w:szCs w:val="32"/>
      <w:lang w:val="es-CO"/>
    </w:rPr>
  </w:style>
  <w:style w:type="paragraph" w:styleId="Ttulo2">
    <w:name w:val="heading 2"/>
    <w:basedOn w:val="Normal"/>
    <w:next w:val="Normal"/>
    <w:link w:val="Ttulo2Car"/>
    <w:uiPriority w:val="9"/>
    <w:unhideWhenUsed/>
    <w:qFormat/>
    <w:rsid w:val="000D7053"/>
    <w:pPr>
      <w:ind w:left="709"/>
      <w:outlineLvl w:val="1"/>
    </w:pPr>
    <w:rPr>
      <w:rFonts w:ascii="Verdana" w:hAnsi="Verdana"/>
      <w:i/>
      <w:iCs/>
      <w:sz w:val="20"/>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unhideWhenUsed/>
    <w:qFormat/>
    <w:rsid w:val="005A1B3D"/>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uiPriority w:val="99"/>
    <w:qFormat/>
    <w:rsid w:val="005A1B3D"/>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nhideWhenUsed/>
    <w:qFormat/>
    <w:rsid w:val="005A1B3D"/>
    <w:rPr>
      <w:vertAlign w:val="superscript"/>
    </w:rPr>
  </w:style>
  <w:style w:type="character" w:styleId="Hipervnculo">
    <w:name w:val="Hyperlink"/>
    <w:uiPriority w:val="99"/>
    <w:unhideWhenUsed/>
    <w:rsid w:val="00D665C7"/>
    <w:rPr>
      <w:color w:val="0000FF"/>
      <w:u w:val="single"/>
    </w:rPr>
  </w:style>
  <w:style w:type="paragraph" w:styleId="Prrafodelista">
    <w:name w:val="List Paragraph"/>
    <w:aliases w:val="Footnote,Párrafo de lista1,Colorful List - Accent 11,Cuadrícula clara - Énfasis 31,List Paragraph1,List Paragraph2,Lista vistosa - Énfasis 11"/>
    <w:basedOn w:val="Normal"/>
    <w:link w:val="PrrafodelistaCar"/>
    <w:uiPriority w:val="34"/>
    <w:qFormat/>
    <w:rsid w:val="00D665C7"/>
    <w:pPr>
      <w:ind w:left="720"/>
      <w:contextualSpacing/>
    </w:p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
    <w:link w:val="Prrafodelista"/>
    <w:uiPriority w:val="34"/>
    <w:locked/>
    <w:rsid w:val="008F5FD0"/>
  </w:style>
  <w:style w:type="table" w:styleId="Tablaconcuadrcula">
    <w:name w:val="Table Grid"/>
    <w:basedOn w:val="Tablanormal"/>
    <w:uiPriority w:val="59"/>
    <w:rsid w:val="00F3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F0336F"/>
  </w:style>
  <w:style w:type="character" w:customStyle="1" w:styleId="apple-converted-space">
    <w:name w:val="apple-converted-space"/>
    <w:basedOn w:val="Fuentedeprrafopredeter"/>
    <w:rsid w:val="001C0DED"/>
  </w:style>
  <w:style w:type="paragraph" w:styleId="Encabezado">
    <w:name w:val="header"/>
    <w:aliases w:val="encabezado"/>
    <w:basedOn w:val="Normal"/>
    <w:link w:val="EncabezadoCar"/>
    <w:uiPriority w:val="99"/>
    <w:unhideWhenUsed/>
    <w:rsid w:val="00F56ACD"/>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rsid w:val="00F56ACD"/>
  </w:style>
  <w:style w:type="paragraph" w:styleId="Piedepgina">
    <w:name w:val="footer"/>
    <w:basedOn w:val="Normal"/>
    <w:link w:val="PiedepginaCar"/>
    <w:uiPriority w:val="99"/>
    <w:unhideWhenUsed/>
    <w:rsid w:val="00F56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CD"/>
  </w:style>
  <w:style w:type="paragraph" w:styleId="Textodeglobo">
    <w:name w:val="Balloon Text"/>
    <w:basedOn w:val="Normal"/>
    <w:link w:val="TextodegloboCar"/>
    <w:uiPriority w:val="99"/>
    <w:semiHidden/>
    <w:unhideWhenUsed/>
    <w:rsid w:val="00F56AC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56ACD"/>
    <w:rPr>
      <w:rFonts w:ascii="Tahoma" w:hAnsi="Tahoma" w:cs="Tahoma"/>
      <w:sz w:val="16"/>
      <w:szCs w:val="16"/>
    </w:rPr>
  </w:style>
  <w:style w:type="character" w:styleId="Textoennegrita">
    <w:name w:val="Strong"/>
    <w:aliases w:val="Heading 2.1"/>
    <w:uiPriority w:val="22"/>
    <w:qFormat/>
    <w:rsid w:val="005A2E32"/>
    <w:rPr>
      <w:b/>
      <w:bCs/>
    </w:rPr>
  </w:style>
  <w:style w:type="paragraph" w:styleId="Textoindependiente">
    <w:name w:val="Body Text"/>
    <w:basedOn w:val="Normal"/>
    <w:link w:val="TextoindependienteCar"/>
    <w:uiPriority w:val="99"/>
    <w:unhideWhenUsed/>
    <w:rsid w:val="009F78E3"/>
    <w:pPr>
      <w:spacing w:after="120"/>
    </w:pPr>
  </w:style>
  <w:style w:type="character" w:customStyle="1" w:styleId="TextoindependienteCar">
    <w:name w:val="Texto independiente Car"/>
    <w:link w:val="Textoindependiente"/>
    <w:uiPriority w:val="99"/>
    <w:rsid w:val="009F78E3"/>
    <w:rPr>
      <w:rFonts w:ascii="Calibri" w:eastAsia="Calibri" w:hAnsi="Calibri" w:cs="Times New Roman"/>
    </w:rPr>
  </w:style>
  <w:style w:type="character" w:styleId="Refdecomentario">
    <w:name w:val="annotation reference"/>
    <w:unhideWhenUsed/>
    <w:rsid w:val="005B4A61"/>
    <w:rPr>
      <w:sz w:val="16"/>
      <w:szCs w:val="16"/>
    </w:rPr>
  </w:style>
  <w:style w:type="paragraph" w:styleId="Textocomentario">
    <w:name w:val="annotation text"/>
    <w:basedOn w:val="Normal"/>
    <w:link w:val="TextocomentarioCar"/>
    <w:uiPriority w:val="99"/>
    <w:unhideWhenUsed/>
    <w:rsid w:val="005B4A61"/>
    <w:pPr>
      <w:spacing w:line="240" w:lineRule="auto"/>
    </w:pPr>
    <w:rPr>
      <w:sz w:val="20"/>
      <w:szCs w:val="20"/>
    </w:rPr>
  </w:style>
  <w:style w:type="character" w:customStyle="1" w:styleId="TextocomentarioCar">
    <w:name w:val="Texto comentario Car"/>
    <w:link w:val="Textocomentario"/>
    <w:uiPriority w:val="99"/>
    <w:rsid w:val="005B4A61"/>
    <w:rPr>
      <w:sz w:val="20"/>
      <w:szCs w:val="20"/>
    </w:rPr>
  </w:style>
  <w:style w:type="paragraph" w:styleId="Asuntodelcomentario">
    <w:name w:val="annotation subject"/>
    <w:basedOn w:val="Textocomentario"/>
    <w:next w:val="Textocomentario"/>
    <w:link w:val="AsuntodelcomentarioCar"/>
    <w:uiPriority w:val="99"/>
    <w:semiHidden/>
    <w:unhideWhenUsed/>
    <w:rsid w:val="005B4A61"/>
    <w:rPr>
      <w:b/>
      <w:bCs/>
    </w:rPr>
  </w:style>
  <w:style w:type="character" w:customStyle="1" w:styleId="AsuntodelcomentarioCar">
    <w:name w:val="Asunto del comentario Car"/>
    <w:link w:val="Asuntodelcomentario"/>
    <w:uiPriority w:val="99"/>
    <w:semiHidden/>
    <w:rsid w:val="005B4A61"/>
    <w:rPr>
      <w:b/>
      <w:bCs/>
      <w:sz w:val="20"/>
      <w:szCs w:val="20"/>
    </w:rPr>
  </w:style>
  <w:style w:type="character" w:styleId="Nmerodelnea">
    <w:name w:val="line number"/>
    <w:basedOn w:val="Fuentedeprrafopredeter"/>
    <w:uiPriority w:val="99"/>
    <w:semiHidden/>
    <w:unhideWhenUsed/>
    <w:rsid w:val="00AE338B"/>
  </w:style>
  <w:style w:type="paragraph" w:styleId="Revisin">
    <w:name w:val="Revision"/>
    <w:hidden/>
    <w:uiPriority w:val="99"/>
    <w:semiHidden/>
    <w:rsid w:val="00790114"/>
    <w:rPr>
      <w:sz w:val="22"/>
      <w:szCs w:val="22"/>
      <w:lang w:val="en-US" w:eastAsia="en-US"/>
    </w:rPr>
  </w:style>
  <w:style w:type="paragraph" w:styleId="TDC1">
    <w:name w:val="toc 1"/>
    <w:basedOn w:val="Normal"/>
    <w:next w:val="Normal"/>
    <w:autoRedefine/>
    <w:uiPriority w:val="39"/>
    <w:unhideWhenUsed/>
    <w:qFormat/>
    <w:rsid w:val="00202E30"/>
    <w:pPr>
      <w:tabs>
        <w:tab w:val="left" w:pos="709"/>
        <w:tab w:val="left" w:pos="8505"/>
      </w:tabs>
      <w:spacing w:after="100"/>
      <w:ind w:left="284" w:right="996"/>
      <w:jc w:val="both"/>
    </w:pPr>
  </w:style>
  <w:style w:type="character" w:customStyle="1" w:styleId="Ttulo1Car">
    <w:name w:val="Título 1 Car"/>
    <w:link w:val="Ttulo1"/>
    <w:uiPriority w:val="9"/>
    <w:rsid w:val="0077023A"/>
    <w:rPr>
      <w:rFonts w:ascii="Verdana" w:eastAsia="Times New Roman" w:hAnsi="Verdana"/>
      <w:b/>
      <w:bCs/>
      <w:i/>
      <w:kern w:val="32"/>
      <w:szCs w:val="32"/>
      <w:lang w:val="es-CO" w:eastAsia="en-US"/>
    </w:rPr>
  </w:style>
  <w:style w:type="paragraph" w:styleId="TtuloTDC">
    <w:name w:val="TOC Heading"/>
    <w:aliases w:val="Título de TDC"/>
    <w:basedOn w:val="Ttulo1"/>
    <w:next w:val="Normal"/>
    <w:uiPriority w:val="39"/>
    <w:unhideWhenUsed/>
    <w:qFormat/>
    <w:rsid w:val="00D82689"/>
    <w:pPr>
      <w:outlineLvl w:val="9"/>
    </w:pPr>
    <w:rPr>
      <w:lang w:val="es-CR" w:eastAsia="es-CR"/>
    </w:rPr>
  </w:style>
  <w:style w:type="paragraph" w:styleId="TDC2">
    <w:name w:val="toc 2"/>
    <w:basedOn w:val="Normal"/>
    <w:next w:val="Normal"/>
    <w:autoRedefine/>
    <w:uiPriority w:val="39"/>
    <w:unhideWhenUsed/>
    <w:qFormat/>
    <w:rsid w:val="00D82689"/>
    <w:pPr>
      <w:spacing w:after="100"/>
      <w:ind w:left="220"/>
    </w:pPr>
    <w:rPr>
      <w:rFonts w:eastAsia="MS Mincho"/>
      <w:lang w:val="es-CR" w:eastAsia="es-CR"/>
    </w:rPr>
  </w:style>
  <w:style w:type="paragraph" w:styleId="TDC3">
    <w:name w:val="toc 3"/>
    <w:basedOn w:val="Normal"/>
    <w:next w:val="Normal"/>
    <w:autoRedefine/>
    <w:uiPriority w:val="39"/>
    <w:semiHidden/>
    <w:unhideWhenUsed/>
    <w:qFormat/>
    <w:rsid w:val="00D82689"/>
    <w:pPr>
      <w:spacing w:after="100"/>
      <w:ind w:left="440"/>
    </w:pPr>
    <w:rPr>
      <w:rFonts w:eastAsia="MS Mincho"/>
      <w:lang w:val="es-CR" w:eastAsia="es-CR"/>
    </w:rPr>
  </w:style>
  <w:style w:type="paragraph" w:customStyle="1" w:styleId="Default">
    <w:name w:val="Default"/>
    <w:rsid w:val="004C682C"/>
    <w:pPr>
      <w:autoSpaceDE w:val="0"/>
      <w:autoSpaceDN w:val="0"/>
      <w:adjustRightInd w:val="0"/>
    </w:pPr>
    <w:rPr>
      <w:rFonts w:ascii="Verdana" w:hAnsi="Verdana" w:cs="Verdana"/>
      <w:color w:val="000000"/>
      <w:sz w:val="24"/>
      <w:szCs w:val="24"/>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075F2A"/>
    <w:pPr>
      <w:spacing w:after="0" w:line="240" w:lineRule="auto"/>
      <w:jc w:val="both"/>
    </w:pPr>
    <w:rPr>
      <w:sz w:val="20"/>
      <w:szCs w:val="20"/>
      <w:vertAlign w:val="superscript"/>
      <w:lang w:val="es-CR" w:eastAsia="es-CR"/>
    </w:rPr>
  </w:style>
  <w:style w:type="character" w:styleId="Mencinsinresolver">
    <w:name w:val="Unresolved Mention"/>
    <w:uiPriority w:val="99"/>
    <w:semiHidden/>
    <w:unhideWhenUsed/>
    <w:rsid w:val="00685571"/>
    <w:rPr>
      <w:color w:val="605E5C"/>
      <w:shd w:val="clear" w:color="auto" w:fill="E1DFDD"/>
    </w:rPr>
  </w:style>
  <w:style w:type="character" w:customStyle="1" w:styleId="ColorfulList-Accent1Char">
    <w:name w:val="Colorful List - Accent 1 Char"/>
    <w:aliases w:val="Footnote Char,Párrafo de lista1 Char"/>
    <w:uiPriority w:val="34"/>
    <w:rsid w:val="002C4DDA"/>
    <w:rPr>
      <w:rFonts w:ascii="Times" w:eastAsia="Times" w:hAnsi="Times"/>
      <w:lang w:val="es-ES_tradnl"/>
    </w:rPr>
  </w:style>
  <w:style w:type="character" w:customStyle="1" w:styleId="Ttulo2Car">
    <w:name w:val="Título 2 Car"/>
    <w:link w:val="Ttulo2"/>
    <w:uiPriority w:val="9"/>
    <w:rsid w:val="000D7053"/>
    <w:rPr>
      <w:rFonts w:ascii="Verdana" w:hAnsi="Verdana"/>
      <w:i/>
      <w:iCs/>
      <w:lang w:val="es-CO" w:eastAsia="en-US"/>
    </w:rPr>
  </w:style>
  <w:style w:type="character" w:customStyle="1" w:styleId="cf01">
    <w:name w:val="cf01"/>
    <w:basedOn w:val="Fuentedeprrafopredeter"/>
    <w:rsid w:val="003551C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266349">
      <w:bodyDiv w:val="1"/>
      <w:marLeft w:val="0"/>
      <w:marRight w:val="0"/>
      <w:marTop w:val="0"/>
      <w:marBottom w:val="0"/>
      <w:divBdr>
        <w:top w:val="none" w:sz="0" w:space="0" w:color="auto"/>
        <w:left w:val="none" w:sz="0" w:space="0" w:color="auto"/>
        <w:bottom w:val="none" w:sz="0" w:space="0" w:color="auto"/>
        <w:right w:val="none" w:sz="0" w:space="0" w:color="auto"/>
      </w:divBdr>
    </w:div>
    <w:div w:id="338773389">
      <w:bodyDiv w:val="1"/>
      <w:marLeft w:val="0"/>
      <w:marRight w:val="0"/>
      <w:marTop w:val="0"/>
      <w:marBottom w:val="0"/>
      <w:divBdr>
        <w:top w:val="none" w:sz="0" w:space="0" w:color="auto"/>
        <w:left w:val="none" w:sz="0" w:space="0" w:color="auto"/>
        <w:bottom w:val="none" w:sz="0" w:space="0" w:color="auto"/>
        <w:right w:val="none" w:sz="0" w:space="0" w:color="auto"/>
      </w:divBdr>
    </w:div>
    <w:div w:id="375545506">
      <w:bodyDiv w:val="1"/>
      <w:marLeft w:val="0"/>
      <w:marRight w:val="0"/>
      <w:marTop w:val="0"/>
      <w:marBottom w:val="0"/>
      <w:divBdr>
        <w:top w:val="none" w:sz="0" w:space="0" w:color="auto"/>
        <w:left w:val="none" w:sz="0" w:space="0" w:color="auto"/>
        <w:bottom w:val="none" w:sz="0" w:space="0" w:color="auto"/>
        <w:right w:val="none" w:sz="0" w:space="0" w:color="auto"/>
      </w:divBdr>
    </w:div>
    <w:div w:id="414281715">
      <w:bodyDiv w:val="1"/>
      <w:marLeft w:val="0"/>
      <w:marRight w:val="0"/>
      <w:marTop w:val="0"/>
      <w:marBottom w:val="0"/>
      <w:divBdr>
        <w:top w:val="none" w:sz="0" w:space="0" w:color="auto"/>
        <w:left w:val="none" w:sz="0" w:space="0" w:color="auto"/>
        <w:bottom w:val="none" w:sz="0" w:space="0" w:color="auto"/>
        <w:right w:val="none" w:sz="0" w:space="0" w:color="auto"/>
      </w:divBdr>
    </w:div>
    <w:div w:id="449739708">
      <w:bodyDiv w:val="1"/>
      <w:marLeft w:val="0"/>
      <w:marRight w:val="0"/>
      <w:marTop w:val="0"/>
      <w:marBottom w:val="0"/>
      <w:divBdr>
        <w:top w:val="none" w:sz="0" w:space="0" w:color="auto"/>
        <w:left w:val="none" w:sz="0" w:space="0" w:color="auto"/>
        <w:bottom w:val="none" w:sz="0" w:space="0" w:color="auto"/>
        <w:right w:val="none" w:sz="0" w:space="0" w:color="auto"/>
      </w:divBdr>
    </w:div>
    <w:div w:id="701782565">
      <w:bodyDiv w:val="1"/>
      <w:marLeft w:val="0"/>
      <w:marRight w:val="0"/>
      <w:marTop w:val="0"/>
      <w:marBottom w:val="0"/>
      <w:divBdr>
        <w:top w:val="none" w:sz="0" w:space="0" w:color="auto"/>
        <w:left w:val="none" w:sz="0" w:space="0" w:color="auto"/>
        <w:bottom w:val="none" w:sz="0" w:space="0" w:color="auto"/>
        <w:right w:val="none" w:sz="0" w:space="0" w:color="auto"/>
      </w:divBdr>
    </w:div>
    <w:div w:id="1467972950">
      <w:bodyDiv w:val="1"/>
      <w:marLeft w:val="0"/>
      <w:marRight w:val="0"/>
      <w:marTop w:val="0"/>
      <w:marBottom w:val="0"/>
      <w:divBdr>
        <w:top w:val="none" w:sz="0" w:space="0" w:color="auto"/>
        <w:left w:val="none" w:sz="0" w:space="0" w:color="auto"/>
        <w:bottom w:val="none" w:sz="0" w:space="0" w:color="auto"/>
        <w:right w:val="none" w:sz="0" w:space="0" w:color="auto"/>
      </w:divBdr>
    </w:div>
    <w:div w:id="1586261030">
      <w:bodyDiv w:val="1"/>
      <w:marLeft w:val="0"/>
      <w:marRight w:val="0"/>
      <w:marTop w:val="0"/>
      <w:marBottom w:val="0"/>
      <w:divBdr>
        <w:top w:val="none" w:sz="0" w:space="0" w:color="auto"/>
        <w:left w:val="none" w:sz="0" w:space="0" w:color="auto"/>
        <w:bottom w:val="none" w:sz="0" w:space="0" w:color="auto"/>
        <w:right w:val="none" w:sz="0" w:space="0" w:color="auto"/>
      </w:divBdr>
    </w:div>
    <w:div w:id="1831796867">
      <w:bodyDiv w:val="1"/>
      <w:marLeft w:val="0"/>
      <w:marRight w:val="0"/>
      <w:marTop w:val="0"/>
      <w:marBottom w:val="0"/>
      <w:divBdr>
        <w:top w:val="none" w:sz="0" w:space="0" w:color="auto"/>
        <w:left w:val="none" w:sz="0" w:space="0" w:color="auto"/>
        <w:bottom w:val="none" w:sz="0" w:space="0" w:color="auto"/>
        <w:right w:val="none" w:sz="0" w:space="0" w:color="auto"/>
      </w:divBdr>
    </w:div>
    <w:div w:id="1914848989">
      <w:bodyDiv w:val="1"/>
      <w:marLeft w:val="0"/>
      <w:marRight w:val="0"/>
      <w:marTop w:val="0"/>
      <w:marBottom w:val="0"/>
      <w:divBdr>
        <w:top w:val="none" w:sz="0" w:space="0" w:color="auto"/>
        <w:left w:val="none" w:sz="0" w:space="0" w:color="auto"/>
        <w:bottom w:val="none" w:sz="0" w:space="0" w:color="auto"/>
        <w:right w:val="none" w:sz="0" w:space="0" w:color="auto"/>
      </w:divBdr>
    </w:div>
    <w:div w:id="213636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orteidh.or.cr/docs/asuntos/osorivperu_fv_17.pdf" TargetMode="External"/><Relationship Id="rId2" Type="http://schemas.openxmlformats.org/officeDocument/2006/relationships/hyperlink" Target="https://www.corteidh.or.cr/docs/casos/articulos/seriec_291_esp.pdf" TargetMode="External"/><Relationship Id="rId1" Type="http://schemas.openxmlformats.org/officeDocument/2006/relationships/hyperlink" Target="https://www.corteidh.or.cr/docs/casos/articulos/seriec_275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0C0AB-8F04-4988-9A62-AFF2C538D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4223</Words>
  <Characters>23230</Characters>
  <Application>Microsoft Office Word</Application>
  <DocSecurity>0</DocSecurity>
  <Lines>193</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27399</CharactersWithSpaces>
  <SharedDoc>false</SharedDoc>
  <HLinks>
    <vt:vector size="18" baseType="variant">
      <vt:variant>
        <vt:i4>7012470</vt:i4>
      </vt:variant>
      <vt:variant>
        <vt:i4>6</vt:i4>
      </vt:variant>
      <vt:variant>
        <vt:i4>0</vt:i4>
      </vt:variant>
      <vt:variant>
        <vt:i4>5</vt:i4>
      </vt:variant>
      <vt:variant>
        <vt:lpwstr>https://www.corteidh.or.cr/docs/asuntos/osorivperu_fv_17.pdf</vt:lpwstr>
      </vt:variant>
      <vt:variant>
        <vt:lpwstr/>
      </vt:variant>
      <vt:variant>
        <vt:i4>2687026</vt:i4>
      </vt:variant>
      <vt:variant>
        <vt:i4>3</vt:i4>
      </vt:variant>
      <vt:variant>
        <vt:i4>0</vt:i4>
      </vt:variant>
      <vt:variant>
        <vt:i4>5</vt:i4>
      </vt:variant>
      <vt:variant>
        <vt:lpwstr>https://www.corteidh.or.cr/docs/casos/articulos/seriec_291_esp.pdf</vt:lpwstr>
      </vt:variant>
      <vt:variant>
        <vt:lpwstr/>
      </vt:variant>
      <vt:variant>
        <vt:i4>2949180</vt:i4>
      </vt:variant>
      <vt:variant>
        <vt:i4>0</vt:i4>
      </vt:variant>
      <vt:variant>
        <vt:i4>0</vt:i4>
      </vt:variant>
      <vt:variant>
        <vt:i4>5</vt:i4>
      </vt:variant>
      <vt:variant>
        <vt:lpwstr>https://www.corteidh.or.cr/docs/casos/articulos/seriec_275_esp.pdf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cp:lastModifiedBy>Liliana Tojo</cp:lastModifiedBy>
  <cp:revision>2</cp:revision>
  <cp:lastPrinted>2019-04-26T18:10:00Z</cp:lastPrinted>
  <dcterms:created xsi:type="dcterms:W3CDTF">2022-09-20T18:12:00Z</dcterms:created>
  <dcterms:modified xsi:type="dcterms:W3CDTF">2022-09-20T18:12:00Z</dcterms:modified>
</cp:coreProperties>
</file>