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9238D" w14:textId="596F5BDD" w:rsidR="00721EA7" w:rsidRPr="008E5B95" w:rsidRDefault="00721EA7" w:rsidP="00E97AA8"/>
    <w:p w14:paraId="4E122AAA" w14:textId="77777777" w:rsidR="00BA6210" w:rsidRPr="008E5B95" w:rsidRDefault="00BA6210" w:rsidP="00E97AA8"/>
    <w:p w14:paraId="2D7D028F" w14:textId="77777777" w:rsidR="00553094" w:rsidRPr="008E5B95" w:rsidRDefault="00553094" w:rsidP="00E97AA8">
      <w:bookmarkStart w:id="0" w:name="_Hlk96606749"/>
    </w:p>
    <w:p w14:paraId="2FD7FF04" w14:textId="015CAA30" w:rsidR="007E7781" w:rsidRPr="008E5B95" w:rsidRDefault="00016191" w:rsidP="00C41CF4">
      <w:pPr>
        <w:jc w:val="center"/>
        <w:rPr>
          <w:b/>
        </w:rPr>
      </w:pPr>
      <w:r w:rsidRPr="008E5B95">
        <w:rPr>
          <w:b/>
        </w:rPr>
        <w:t xml:space="preserve">RESOLUCIÓN </w:t>
      </w:r>
      <w:r w:rsidR="00FF1357">
        <w:rPr>
          <w:b/>
        </w:rPr>
        <w:t xml:space="preserve">DEL PRESIDENTE DE LA </w:t>
      </w:r>
    </w:p>
    <w:p w14:paraId="0C5F18D8" w14:textId="7DC5A841" w:rsidR="00FF6AD7" w:rsidRPr="008E5B95" w:rsidRDefault="00016191" w:rsidP="00C41CF4">
      <w:pPr>
        <w:jc w:val="center"/>
        <w:rPr>
          <w:b/>
        </w:rPr>
      </w:pPr>
      <w:r w:rsidRPr="008E5B95">
        <w:rPr>
          <w:b/>
        </w:rPr>
        <w:t>CORTE INTERAMERICANA DE DERECHOS HUMANOS</w:t>
      </w:r>
    </w:p>
    <w:p w14:paraId="653C319A" w14:textId="77777777" w:rsidR="00DF5305" w:rsidRPr="008E5B95" w:rsidRDefault="00DF5305" w:rsidP="00C41CF4">
      <w:pPr>
        <w:jc w:val="center"/>
        <w:rPr>
          <w:b/>
        </w:rPr>
      </w:pPr>
    </w:p>
    <w:p w14:paraId="1E1F28CE" w14:textId="008746D9" w:rsidR="00DF5305" w:rsidRPr="008E5B95" w:rsidRDefault="00016191" w:rsidP="00FF7896">
      <w:pPr>
        <w:jc w:val="center"/>
        <w:rPr>
          <w:b/>
        </w:rPr>
      </w:pPr>
      <w:r w:rsidRPr="008E5B95">
        <w:rPr>
          <w:b/>
        </w:rPr>
        <w:t>DE</w:t>
      </w:r>
      <w:r w:rsidR="00093B23" w:rsidRPr="008E5B95">
        <w:rPr>
          <w:b/>
        </w:rPr>
        <w:t xml:space="preserve"> </w:t>
      </w:r>
      <w:r w:rsidR="005E6D53">
        <w:rPr>
          <w:b/>
        </w:rPr>
        <w:t>12</w:t>
      </w:r>
      <w:r w:rsidR="00FF7896" w:rsidRPr="008E5B95">
        <w:rPr>
          <w:b/>
        </w:rPr>
        <w:t xml:space="preserve"> DE </w:t>
      </w:r>
      <w:r w:rsidR="008D59FF" w:rsidRPr="00A2253F">
        <w:rPr>
          <w:b/>
        </w:rPr>
        <w:t>SEPTIEMBRE</w:t>
      </w:r>
      <w:r w:rsidR="00FF7896" w:rsidRPr="008E5B95">
        <w:rPr>
          <w:b/>
        </w:rPr>
        <w:t xml:space="preserve"> </w:t>
      </w:r>
      <w:r w:rsidR="00106103" w:rsidRPr="008E5B95">
        <w:rPr>
          <w:b/>
        </w:rPr>
        <w:t xml:space="preserve">DE </w:t>
      </w:r>
      <w:r w:rsidR="00CC4B93" w:rsidRPr="008E5B95">
        <w:rPr>
          <w:b/>
        </w:rPr>
        <w:t>202</w:t>
      </w:r>
      <w:r w:rsidR="00EC1817">
        <w:rPr>
          <w:b/>
        </w:rPr>
        <w:t>2</w:t>
      </w:r>
    </w:p>
    <w:p w14:paraId="3871CDDC" w14:textId="77777777" w:rsidR="0016379E" w:rsidRPr="008E5B95" w:rsidRDefault="0016379E" w:rsidP="00C41CF4">
      <w:pPr>
        <w:jc w:val="center"/>
        <w:rPr>
          <w:b/>
        </w:rPr>
      </w:pPr>
    </w:p>
    <w:p w14:paraId="541CAB36" w14:textId="196FF64C" w:rsidR="006709EC" w:rsidRDefault="00493BE3" w:rsidP="00C41CF4">
      <w:pPr>
        <w:jc w:val="center"/>
        <w:rPr>
          <w:b/>
          <w:caps/>
        </w:rPr>
      </w:pPr>
      <w:r>
        <w:rPr>
          <w:b/>
          <w:caps/>
        </w:rPr>
        <w:t xml:space="preserve">CASO </w:t>
      </w:r>
      <w:r w:rsidR="00E54AC3">
        <w:rPr>
          <w:b/>
          <w:caps/>
        </w:rPr>
        <w:t>COMUNIDAD DE LA OROYA</w:t>
      </w:r>
      <w:r w:rsidR="00725657">
        <w:rPr>
          <w:rStyle w:val="Refdenotaalpie"/>
          <w:b/>
          <w:caps/>
        </w:rPr>
        <w:footnoteReference w:id="2"/>
      </w:r>
      <w:r w:rsidR="00917FD1">
        <w:rPr>
          <w:b/>
          <w:caps/>
        </w:rPr>
        <w:t xml:space="preserve"> VS. </w:t>
      </w:r>
      <w:r w:rsidR="00E54AC3">
        <w:rPr>
          <w:b/>
          <w:caps/>
        </w:rPr>
        <w:t>PERÚ</w:t>
      </w:r>
    </w:p>
    <w:p w14:paraId="4D2E5CEB" w14:textId="5419C505" w:rsidR="00E471D0" w:rsidRPr="00E471D0" w:rsidRDefault="00E471D0" w:rsidP="00C41CF4">
      <w:pPr>
        <w:jc w:val="center"/>
        <w:rPr>
          <w:b/>
        </w:rPr>
      </w:pPr>
    </w:p>
    <w:p w14:paraId="7DFE88D4" w14:textId="7A7F17C5" w:rsidR="002C0961" w:rsidRPr="008E5B95" w:rsidRDefault="002C0961" w:rsidP="00C41CF4">
      <w:pPr>
        <w:jc w:val="center"/>
        <w:rPr>
          <w:b/>
          <w:caps/>
        </w:rPr>
      </w:pPr>
    </w:p>
    <w:p w14:paraId="3A0BF325" w14:textId="368FA3A3" w:rsidR="008A6894" w:rsidRPr="008E5B95" w:rsidRDefault="008A6894" w:rsidP="00C41CF4">
      <w:pPr>
        <w:jc w:val="center"/>
        <w:rPr>
          <w:b/>
        </w:rPr>
      </w:pPr>
    </w:p>
    <w:p w14:paraId="317E7E9B" w14:textId="77777777" w:rsidR="00016191" w:rsidRPr="008E5B95" w:rsidRDefault="00016191" w:rsidP="00E97AA8">
      <w:pPr>
        <w:rPr>
          <w:b/>
        </w:rPr>
      </w:pPr>
      <w:r w:rsidRPr="008E5B95">
        <w:rPr>
          <w:b/>
        </w:rPr>
        <w:t>VISTO:</w:t>
      </w:r>
    </w:p>
    <w:p w14:paraId="70F282D6" w14:textId="77777777" w:rsidR="00BF78B5" w:rsidRPr="008E5B95" w:rsidRDefault="00BF78B5" w:rsidP="00E97AA8"/>
    <w:p w14:paraId="00E8AC79" w14:textId="13603EDC" w:rsidR="006C2730" w:rsidRPr="0008586F" w:rsidRDefault="00016191" w:rsidP="00A54E14">
      <w:pPr>
        <w:pStyle w:val="Sinespaciado"/>
        <w:ind w:left="0" w:firstLine="0"/>
        <w:rPr>
          <w:lang w:eastAsia="es-ES"/>
        </w:rPr>
      </w:pPr>
      <w:r w:rsidRPr="0008586F">
        <w:t>El escrito de sometimiento del caso y el Informe de Fondo de la Comisión Interamericana de Derechos Humanos (en adelante “la Comisión Interamericana” o “la Comisión”);</w:t>
      </w:r>
      <w:r w:rsidR="00105D77" w:rsidRPr="0008586F">
        <w:t xml:space="preserve"> </w:t>
      </w:r>
      <w:r w:rsidRPr="0008586F">
        <w:t>el escrito de solicitudes, argumentos y pruebas</w:t>
      </w:r>
      <w:r w:rsidR="00844163" w:rsidRPr="0008586F">
        <w:t xml:space="preserve"> </w:t>
      </w:r>
      <w:r w:rsidRPr="0008586F">
        <w:t xml:space="preserve">(en adelante el “escrito de solicitudes y argumentos”) </w:t>
      </w:r>
      <w:r w:rsidR="00917FD1">
        <w:t>de los representantes</w:t>
      </w:r>
      <w:r w:rsidR="00EB4920" w:rsidRPr="0008586F">
        <w:t xml:space="preserve"> </w:t>
      </w:r>
      <w:r w:rsidR="00482C53" w:rsidRPr="0008586F">
        <w:t>de la</w:t>
      </w:r>
      <w:r w:rsidR="00E54AC3">
        <w:t>s</w:t>
      </w:r>
      <w:r w:rsidR="004E76A1" w:rsidRPr="0008586F">
        <w:t xml:space="preserve"> presunta</w:t>
      </w:r>
      <w:r w:rsidR="00E54AC3">
        <w:t>s</w:t>
      </w:r>
      <w:r w:rsidR="00482C53" w:rsidRPr="0008586F">
        <w:t xml:space="preserve"> víctima</w:t>
      </w:r>
      <w:r w:rsidR="00E54AC3">
        <w:t>s</w:t>
      </w:r>
      <w:r w:rsidRPr="0008586F">
        <w:t xml:space="preserve"> (en adelante “</w:t>
      </w:r>
      <w:r w:rsidR="00917FD1">
        <w:t>los representantes</w:t>
      </w:r>
      <w:r w:rsidR="00895A6A" w:rsidRPr="0008586F">
        <w:t>”)</w:t>
      </w:r>
      <w:r w:rsidR="00BB6DAC" w:rsidRPr="00752DF7">
        <w:rPr>
          <w:rStyle w:val="Refdenotaalpie"/>
          <w:sz w:val="20"/>
          <w:szCs w:val="20"/>
        </w:rPr>
        <w:footnoteReference w:id="3"/>
      </w:r>
      <w:r w:rsidR="00BC0D48">
        <w:t xml:space="preserve">; </w:t>
      </w:r>
      <w:r w:rsidR="00DE2CC1" w:rsidRPr="0008586F">
        <w:t xml:space="preserve">el escrito de interposición de </w:t>
      </w:r>
      <w:r w:rsidR="00917FD1">
        <w:t xml:space="preserve">excepciones preliminares </w:t>
      </w:r>
      <w:r w:rsidR="00DE2CC1" w:rsidRPr="0008586F">
        <w:t>y de contestación al sometimiento del caso y al escrito de solicitudes y argumentos (en adelante “escrito de contestación”) del Estado de Perú (en adelante “</w:t>
      </w:r>
      <w:r w:rsidR="00917FD1">
        <w:t>Perú</w:t>
      </w:r>
      <w:r w:rsidR="00DE2CC1" w:rsidRPr="0008586F">
        <w:t>” o “el Estado”)</w:t>
      </w:r>
      <w:r w:rsidR="00BC0D48">
        <w:t>, y la documentación anexa a esos escritos, así como los escritos de observaciones a las excepciones preliminares formuladas por el Estado, presentados por los representantes y la Comisión</w:t>
      </w:r>
      <w:r w:rsidR="00B15931">
        <w:t>, respectivamente</w:t>
      </w:r>
      <w:r w:rsidR="00093B23" w:rsidRPr="0008586F">
        <w:t xml:space="preserve">. </w:t>
      </w:r>
    </w:p>
    <w:p w14:paraId="28421627" w14:textId="77777777" w:rsidR="00C37A99" w:rsidRDefault="00C37A99" w:rsidP="00C37A99">
      <w:pPr>
        <w:rPr>
          <w:lang w:eastAsia="es-ES"/>
        </w:rPr>
      </w:pPr>
    </w:p>
    <w:p w14:paraId="2B99042E" w14:textId="59E10E69" w:rsidR="00C37A99" w:rsidRDefault="00840D63" w:rsidP="001F0928">
      <w:pPr>
        <w:pStyle w:val="Sinespaciado"/>
        <w:ind w:left="0" w:firstLine="0"/>
        <w:rPr>
          <w:lang w:eastAsia="es-ES"/>
        </w:rPr>
      </w:pPr>
      <w:r>
        <w:t>La nota de Secretaría de 12 de agosto de 2022, mediante la cual, siguiendo instrucciones de la Presidencia, se declaró procedente la solicitud de las presuntas víctimas de acogerse al Fondo de Asistencia Legal de Víctimas de la Corte Interamericana de Derechos Humanos (en adelante “Fondo de Asistencia Legal de Víctimas”).</w:t>
      </w:r>
    </w:p>
    <w:p w14:paraId="239DB53D" w14:textId="77777777" w:rsidR="00840D63" w:rsidRDefault="00840D63" w:rsidP="00840D63">
      <w:pPr>
        <w:rPr>
          <w:lang w:eastAsia="es-ES"/>
        </w:rPr>
      </w:pPr>
    </w:p>
    <w:p w14:paraId="3C33A069" w14:textId="14CCCC06" w:rsidR="00840D63" w:rsidRPr="00121498" w:rsidRDefault="00840D63" w:rsidP="00840D63">
      <w:pPr>
        <w:pStyle w:val="Sinespaciado"/>
        <w:ind w:left="0" w:firstLine="0"/>
        <w:rPr>
          <w:lang w:eastAsia="es-ES"/>
        </w:rPr>
      </w:pPr>
      <w:r w:rsidRPr="00121498">
        <w:t>Las listas definitivas de declarantes presentadas por las partes y la Comisión, así como las correspondientes observaciones a dichas listas</w:t>
      </w:r>
      <w:r w:rsidR="00D5104A" w:rsidRPr="00121498">
        <w:t xml:space="preserve">, y las observaciones realizadas por los peritos </w:t>
      </w:r>
      <w:r w:rsidR="000C7727" w:rsidRPr="00121498">
        <w:t>Patricia Mercedes Gallegos Quesquén y Federico Chunga Fiestas, respecto de las respectivas recusaciones presentadas en su contra.</w:t>
      </w:r>
    </w:p>
    <w:p w14:paraId="1DFB4880" w14:textId="6479A3DE" w:rsidR="009E745E" w:rsidRPr="00A2253F" w:rsidRDefault="009E745E" w:rsidP="001F0928">
      <w:pPr>
        <w:pStyle w:val="Sinespaciado"/>
        <w:numPr>
          <w:ilvl w:val="0"/>
          <w:numId w:val="0"/>
        </w:numPr>
      </w:pPr>
    </w:p>
    <w:p w14:paraId="3ACF6B32" w14:textId="77777777" w:rsidR="006B5876" w:rsidRPr="008E5B95" w:rsidRDefault="006B5876" w:rsidP="00C41CF4">
      <w:pPr>
        <w:pStyle w:val="Prrafodelista"/>
        <w:ind w:left="0"/>
        <w:rPr>
          <w:b/>
        </w:rPr>
      </w:pPr>
      <w:r w:rsidRPr="008E5B95">
        <w:rPr>
          <w:b/>
        </w:rPr>
        <w:t xml:space="preserve">CONSIDERANDO QUE: </w:t>
      </w:r>
    </w:p>
    <w:p w14:paraId="3AEA0501" w14:textId="77777777" w:rsidR="001C3BCD" w:rsidRPr="008E5B95" w:rsidRDefault="001C3BCD" w:rsidP="00E97AA8"/>
    <w:p w14:paraId="77287E56" w14:textId="60B5A302" w:rsidR="00C41CF4" w:rsidRPr="0009437C" w:rsidRDefault="00902AB2" w:rsidP="001B30D2">
      <w:pPr>
        <w:pStyle w:val="Sinespaciado"/>
        <w:numPr>
          <w:ilvl w:val="0"/>
          <w:numId w:val="9"/>
        </w:numPr>
        <w:ind w:left="0" w:firstLine="0"/>
        <w:rPr>
          <w:rFonts w:cs="Times New Roman"/>
        </w:rPr>
      </w:pPr>
      <w:r w:rsidRPr="008E5B95">
        <w:t>El ofrecimiento y la admisión de la prueba, así como la citación de presuntas víctimas, testigos y peritos, se encuentran regulados en los artículos 35.1.f, 40.2.c, 41.1.c, 46,</w:t>
      </w:r>
      <w:r w:rsidR="00B400D6" w:rsidRPr="008E5B95">
        <w:t xml:space="preserve"> 47</w:t>
      </w:r>
      <w:r w:rsidR="00D85549" w:rsidRPr="008E5B95">
        <w:t>,</w:t>
      </w:r>
      <w:r w:rsidR="00840D63">
        <w:t xml:space="preserve"> 48, 49,</w:t>
      </w:r>
      <w:r w:rsidRPr="008E5B95">
        <w:t xml:space="preserve"> 50 y 57 del Reglamento de la Corte Interamericana de Derechos Humanos (en adelante “la Corte” o “el Tribunal”).</w:t>
      </w:r>
    </w:p>
    <w:p w14:paraId="054C8E04" w14:textId="77777777" w:rsidR="00C41CF4" w:rsidRPr="008E5B95" w:rsidRDefault="00C41CF4" w:rsidP="00C41CF4">
      <w:pPr>
        <w:pStyle w:val="Sinespaciado"/>
        <w:numPr>
          <w:ilvl w:val="0"/>
          <w:numId w:val="0"/>
        </w:numPr>
        <w:rPr>
          <w:rFonts w:cs="Times New Roman"/>
        </w:rPr>
      </w:pPr>
    </w:p>
    <w:p w14:paraId="5E6962BE" w14:textId="5B5E366F" w:rsidR="00C67E09" w:rsidRDefault="008C143E" w:rsidP="00C67E09">
      <w:pPr>
        <w:pStyle w:val="Sinespaciado"/>
        <w:ind w:left="0" w:firstLine="0"/>
        <w:rPr>
          <w:rFonts w:cs="Times New Roman"/>
        </w:rPr>
      </w:pPr>
      <w:bookmarkStart w:id="1" w:name="_Hlk108085564"/>
      <w:r>
        <w:t xml:space="preserve"> </w:t>
      </w:r>
      <w:r w:rsidR="00FF1C4B">
        <w:t>L</w:t>
      </w:r>
      <w:r>
        <w:t xml:space="preserve">a Comisión </w:t>
      </w:r>
      <w:r w:rsidR="007645C7">
        <w:t>ofreció</w:t>
      </w:r>
      <w:r w:rsidR="00840D63">
        <w:t xml:space="preserve"> como prueba</w:t>
      </w:r>
      <w:r w:rsidR="007645C7">
        <w:t xml:space="preserve"> la declaración de dos peritos</w:t>
      </w:r>
      <w:r w:rsidR="004F5C9C" w:rsidRPr="004F5C9C">
        <w:rPr>
          <w:rStyle w:val="Refdenotaalpie"/>
          <w:sz w:val="20"/>
          <w:szCs w:val="20"/>
        </w:rPr>
        <w:footnoteReference w:id="4"/>
      </w:r>
      <w:r w:rsidR="000F741B">
        <w:t>, y solicitó que las mismas fueran recibidas en audiencia</w:t>
      </w:r>
      <w:r>
        <w:t>; l</w:t>
      </w:r>
      <w:r w:rsidR="00FF1C4B">
        <w:t>os representantes ofrecieron</w:t>
      </w:r>
      <w:r w:rsidR="00493BE3" w:rsidRPr="008D132F">
        <w:t xml:space="preserve"> </w:t>
      </w:r>
      <w:bookmarkEnd w:id="1"/>
      <w:r w:rsidR="00616F88" w:rsidRPr="008D132F">
        <w:t xml:space="preserve">la declaración </w:t>
      </w:r>
      <w:r w:rsidR="00AC46A0" w:rsidRPr="008D132F">
        <w:t>de</w:t>
      </w:r>
      <w:r w:rsidR="00C8722B">
        <w:t xml:space="preserve"> </w:t>
      </w:r>
      <w:r w:rsidR="00593DF2">
        <w:t xml:space="preserve">26 </w:t>
      </w:r>
      <w:r w:rsidR="00C8722B">
        <w:t>presunta</w:t>
      </w:r>
      <w:r w:rsidR="007645C7">
        <w:t>s</w:t>
      </w:r>
      <w:r w:rsidR="00C8722B">
        <w:t xml:space="preserve"> víctima</w:t>
      </w:r>
      <w:r w:rsidR="007645C7">
        <w:t>s</w:t>
      </w:r>
      <w:r w:rsidR="00C8722B" w:rsidRPr="00752DF7">
        <w:rPr>
          <w:rStyle w:val="Refdenotaalpie"/>
          <w:sz w:val="20"/>
          <w:szCs w:val="20"/>
        </w:rPr>
        <w:footnoteReference w:id="5"/>
      </w:r>
      <w:r w:rsidR="002717D8">
        <w:t>,</w:t>
      </w:r>
      <w:r w:rsidR="00AC46A0" w:rsidRPr="002717D8">
        <w:t xml:space="preserve"> </w:t>
      </w:r>
      <w:r w:rsidR="007C538F">
        <w:t>cuatro testigos</w:t>
      </w:r>
      <w:r w:rsidR="007C538F" w:rsidRPr="004F5C9C">
        <w:rPr>
          <w:rStyle w:val="Refdenotaalpie"/>
          <w:sz w:val="20"/>
          <w:szCs w:val="20"/>
        </w:rPr>
        <w:footnoteReference w:id="6"/>
      </w:r>
      <w:r w:rsidR="007C538F">
        <w:t xml:space="preserve"> y </w:t>
      </w:r>
      <w:r w:rsidR="007F3910">
        <w:t>ocho</w:t>
      </w:r>
      <w:r w:rsidR="007C538F">
        <w:t xml:space="preserve"> </w:t>
      </w:r>
      <w:r w:rsidR="00616F88" w:rsidRPr="008D132F">
        <w:t>peritos</w:t>
      </w:r>
      <w:r w:rsidR="00616F88" w:rsidRPr="004F5C9C">
        <w:rPr>
          <w:rStyle w:val="Refdenotaalpie"/>
          <w:sz w:val="20"/>
          <w:szCs w:val="20"/>
        </w:rPr>
        <w:footnoteReference w:id="7"/>
      </w:r>
      <w:r w:rsidR="008F27D0">
        <w:t>, y solicitó que fueran recibidas en audiencia las declaraciones de tres presuntas víctimas y dos peritos</w:t>
      </w:r>
      <w:r w:rsidR="00EC4C0B">
        <w:t>;</w:t>
      </w:r>
      <w:r w:rsidR="00B50BDB">
        <w:t xml:space="preserve"> y el Estado ofreció la declaración de </w:t>
      </w:r>
      <w:r w:rsidR="007C538F">
        <w:t>tres testigos</w:t>
      </w:r>
      <w:r w:rsidR="004C591C" w:rsidRPr="004F5C9C">
        <w:rPr>
          <w:rStyle w:val="Refdenotaalpie"/>
          <w:sz w:val="20"/>
          <w:szCs w:val="20"/>
        </w:rPr>
        <w:footnoteReference w:id="8"/>
      </w:r>
      <w:r w:rsidR="007C538F">
        <w:t xml:space="preserve"> y dos</w:t>
      </w:r>
      <w:r w:rsidR="00B50BDB">
        <w:t xml:space="preserve"> perito</w:t>
      </w:r>
      <w:r w:rsidR="007C538F">
        <w:t>s</w:t>
      </w:r>
      <w:r w:rsidR="00B50BDB" w:rsidRPr="004F5C9C">
        <w:rPr>
          <w:rStyle w:val="Refdenotaalpie"/>
          <w:sz w:val="20"/>
          <w:szCs w:val="20"/>
        </w:rPr>
        <w:footnoteReference w:id="9"/>
      </w:r>
      <w:r w:rsidR="008F27D0">
        <w:t>, y solicitó que fueran recibidas en audiencia las declaraciones de un perito y tres testigos</w:t>
      </w:r>
      <w:r w:rsidR="00616F88" w:rsidRPr="008D132F">
        <w:t>.</w:t>
      </w:r>
      <w:r w:rsidR="00B50BDB">
        <w:t xml:space="preserve"> </w:t>
      </w:r>
    </w:p>
    <w:p w14:paraId="2B152230" w14:textId="77777777" w:rsidR="00C67E09" w:rsidRDefault="00C67E09" w:rsidP="00C67E09">
      <w:pPr>
        <w:pStyle w:val="Sinespaciado"/>
        <w:numPr>
          <w:ilvl w:val="0"/>
          <w:numId w:val="0"/>
        </w:numPr>
        <w:rPr>
          <w:rFonts w:cs="Times New Roman"/>
        </w:rPr>
      </w:pPr>
    </w:p>
    <w:p w14:paraId="244BC829" w14:textId="2B752462" w:rsidR="00C67E09" w:rsidRPr="00511629" w:rsidRDefault="00C67E09" w:rsidP="00C67E09">
      <w:pPr>
        <w:pStyle w:val="Sinespaciado"/>
        <w:ind w:left="0" w:firstLine="0"/>
        <w:rPr>
          <w:rFonts w:cs="Times New Roman"/>
        </w:rPr>
      </w:pPr>
      <w:r w:rsidRPr="00511629">
        <w:rPr>
          <w:lang w:val="es-ES"/>
        </w:rPr>
        <w:t xml:space="preserve">La Comisión, en su lista definitiva, reiteró el ofrecimiento de la prueba ofrecida mediante el sometimiento de la Corte, y solicitó que </w:t>
      </w:r>
      <w:r w:rsidR="00C71F4B">
        <w:rPr>
          <w:lang w:val="es-ES"/>
        </w:rPr>
        <w:t>sus peritajes ofrecidos</w:t>
      </w:r>
      <w:r w:rsidRPr="00511629">
        <w:rPr>
          <w:lang w:val="es-ES"/>
        </w:rPr>
        <w:t xml:space="preserve"> fuera</w:t>
      </w:r>
      <w:r w:rsidR="00C71F4B">
        <w:rPr>
          <w:lang w:val="es-ES"/>
        </w:rPr>
        <w:t>n</w:t>
      </w:r>
      <w:r w:rsidRPr="00511629">
        <w:rPr>
          <w:lang w:val="es-ES"/>
        </w:rPr>
        <w:t xml:space="preserve"> recibido</w:t>
      </w:r>
      <w:r w:rsidR="00C71F4B">
        <w:rPr>
          <w:lang w:val="es-ES"/>
        </w:rPr>
        <w:t>s</w:t>
      </w:r>
      <w:r w:rsidRPr="00511629">
        <w:rPr>
          <w:lang w:val="es-ES"/>
        </w:rPr>
        <w:t xml:space="preserve"> en audiencia pública. Adicionalmente, la Comisión manifestó no tener observaciones a las listas definitivas de las partes, pero solicitó la oportunidad de </w:t>
      </w:r>
      <w:r w:rsidRPr="002448D5">
        <w:rPr>
          <w:lang w:val="es-ES"/>
        </w:rPr>
        <w:t xml:space="preserve">formular preguntas </w:t>
      </w:r>
      <w:r w:rsidR="00511629" w:rsidRPr="002448D5">
        <w:rPr>
          <w:lang w:val="es-ES"/>
        </w:rPr>
        <w:t xml:space="preserve">a la perita Patricia </w:t>
      </w:r>
      <w:r w:rsidR="004E595E" w:rsidRPr="002448D5">
        <w:rPr>
          <w:lang w:val="es-ES"/>
        </w:rPr>
        <w:t>Mercedes</w:t>
      </w:r>
      <w:r w:rsidR="00511629" w:rsidRPr="002448D5">
        <w:rPr>
          <w:lang w:val="es-ES"/>
        </w:rPr>
        <w:t xml:space="preserve"> Gallegos Quesquén</w:t>
      </w:r>
      <w:r w:rsidR="00511629" w:rsidRPr="00511629">
        <w:rPr>
          <w:lang w:val="es-ES"/>
        </w:rPr>
        <w:t>, ofrecida por el Estado</w:t>
      </w:r>
      <w:r w:rsidRPr="00511629">
        <w:rPr>
          <w:lang w:val="es-ES"/>
        </w:rPr>
        <w:t>.</w:t>
      </w:r>
    </w:p>
    <w:p w14:paraId="0A4A9C3F" w14:textId="77777777" w:rsidR="00C67E09" w:rsidRPr="00C67E09" w:rsidRDefault="00C67E09" w:rsidP="00C67E09">
      <w:pPr>
        <w:rPr>
          <w:highlight w:val="yellow"/>
          <w:lang w:val="es-ES"/>
        </w:rPr>
      </w:pPr>
    </w:p>
    <w:p w14:paraId="32E45983" w14:textId="77777777" w:rsidR="001244D3" w:rsidRDefault="00C67E09" w:rsidP="001244D3">
      <w:pPr>
        <w:pStyle w:val="Sinespaciado"/>
        <w:ind w:left="0" w:firstLine="0"/>
        <w:rPr>
          <w:rFonts w:asciiTheme="minorHAnsi" w:eastAsiaTheme="minorEastAsia" w:hAnsiTheme="minorHAnsi"/>
          <w:lang w:val="es-ES"/>
        </w:rPr>
      </w:pPr>
      <w:r w:rsidRPr="001B21C4">
        <w:rPr>
          <w:lang w:val="es-ES"/>
        </w:rPr>
        <w:t xml:space="preserve">Los representantes, en su lista definitiva, </w:t>
      </w:r>
      <w:r w:rsidR="00D419E5" w:rsidRPr="001B21C4">
        <w:rPr>
          <w:lang w:val="es-ES"/>
        </w:rPr>
        <w:t>solicitaron que</w:t>
      </w:r>
      <w:r w:rsidRPr="001B21C4">
        <w:rPr>
          <w:lang w:val="es-ES"/>
        </w:rPr>
        <w:t xml:space="preserve"> </w:t>
      </w:r>
      <w:r w:rsidR="00D419E5" w:rsidRPr="001B21C4">
        <w:rPr>
          <w:lang w:val="es-ES"/>
        </w:rPr>
        <w:t>tres</w:t>
      </w:r>
      <w:r w:rsidRPr="001B21C4">
        <w:rPr>
          <w:lang w:val="es-ES"/>
        </w:rPr>
        <w:t xml:space="preserve"> declaraciones y dos peritajes ofrecidos en su escrito de solicitudes y argumentos fueran rendidos en audiencia pública</w:t>
      </w:r>
      <w:r w:rsidR="00461FE8">
        <w:rPr>
          <w:rStyle w:val="Refdenotaalpie"/>
        </w:rPr>
        <w:footnoteReference w:id="10"/>
      </w:r>
      <w:r w:rsidRPr="001B21C4">
        <w:rPr>
          <w:lang w:val="es-ES"/>
        </w:rPr>
        <w:t xml:space="preserve">, y solicitaron que las declaraciones de </w:t>
      </w:r>
      <w:r w:rsidR="00FE23BD">
        <w:rPr>
          <w:lang w:val="es-ES"/>
        </w:rPr>
        <w:t>2</w:t>
      </w:r>
      <w:r w:rsidR="004C7F7C">
        <w:rPr>
          <w:lang w:val="es-ES"/>
        </w:rPr>
        <w:t>0</w:t>
      </w:r>
      <w:r w:rsidRPr="001B21C4">
        <w:rPr>
          <w:lang w:val="es-ES"/>
        </w:rPr>
        <w:t xml:space="preserve"> presuntas víctimas</w:t>
      </w:r>
      <w:r w:rsidR="000C38EA">
        <w:rPr>
          <w:rStyle w:val="Refdenotaalpie"/>
        </w:rPr>
        <w:footnoteReference w:id="11"/>
      </w:r>
      <w:r w:rsidRPr="001B21C4">
        <w:rPr>
          <w:lang w:val="es-ES"/>
        </w:rPr>
        <w:t xml:space="preserve">, cuatro testigos, y </w:t>
      </w:r>
      <w:r w:rsidR="00D419E5" w:rsidRPr="001B21C4">
        <w:rPr>
          <w:lang w:val="es-ES"/>
        </w:rPr>
        <w:t>seis</w:t>
      </w:r>
      <w:r w:rsidRPr="001B21C4">
        <w:rPr>
          <w:lang w:val="es-ES"/>
        </w:rPr>
        <w:t xml:space="preserve"> peritos se rindieran mediante declaración jurada (</w:t>
      </w:r>
      <w:r w:rsidRPr="4CA6750B">
        <w:rPr>
          <w:rFonts w:cs="Verdana"/>
          <w:i/>
          <w:lang w:val="es-ES"/>
        </w:rPr>
        <w:t>affidavit</w:t>
      </w:r>
      <w:r w:rsidRPr="001B21C4">
        <w:rPr>
          <w:rFonts w:cs="Verdana"/>
          <w:lang w:val="es-ES"/>
        </w:rPr>
        <w:t xml:space="preserve">). Adicionalmente, en sus observaciones a las listas definitivas, recusaron a </w:t>
      </w:r>
      <w:r w:rsidR="001B21C4" w:rsidRPr="001B21C4">
        <w:rPr>
          <w:rFonts w:cs="Verdana"/>
          <w:lang w:val="es-ES"/>
        </w:rPr>
        <w:t>Patricia Mercedes Gallegos Quesquén y a Federico Chunga Fiestas</w:t>
      </w:r>
      <w:r w:rsidRPr="001B21C4">
        <w:rPr>
          <w:rFonts w:cs="Verdana"/>
          <w:lang w:val="es-ES"/>
        </w:rPr>
        <w:t>, perito</w:t>
      </w:r>
      <w:r w:rsidR="001B21C4" w:rsidRPr="001B21C4">
        <w:rPr>
          <w:rFonts w:cs="Verdana"/>
          <w:lang w:val="es-ES"/>
        </w:rPr>
        <w:t>s</w:t>
      </w:r>
      <w:r w:rsidRPr="001B21C4">
        <w:rPr>
          <w:rFonts w:cs="Verdana"/>
          <w:lang w:val="es-ES"/>
        </w:rPr>
        <w:t xml:space="preserve"> propuesto</w:t>
      </w:r>
      <w:r w:rsidR="001B21C4" w:rsidRPr="001B21C4">
        <w:rPr>
          <w:rFonts w:cs="Verdana"/>
          <w:lang w:val="es-ES"/>
        </w:rPr>
        <w:t>s</w:t>
      </w:r>
      <w:r w:rsidRPr="001B21C4">
        <w:rPr>
          <w:rFonts w:cs="Verdana"/>
          <w:lang w:val="es-ES"/>
        </w:rPr>
        <w:t xml:space="preserve"> por el Estado, solicitaron que se </w:t>
      </w:r>
      <w:r w:rsidR="001B21C4" w:rsidRPr="001B21C4">
        <w:rPr>
          <w:rFonts w:cs="Verdana"/>
          <w:lang w:val="es-ES"/>
        </w:rPr>
        <w:t>analice</w:t>
      </w:r>
      <w:r w:rsidRPr="001B21C4">
        <w:rPr>
          <w:rFonts w:cs="Verdana"/>
          <w:lang w:val="es-ES"/>
        </w:rPr>
        <w:t xml:space="preserve"> el objeto de </w:t>
      </w:r>
      <w:r w:rsidR="001B21C4" w:rsidRPr="001B21C4">
        <w:rPr>
          <w:rFonts w:cs="Verdana"/>
          <w:lang w:val="es-ES"/>
        </w:rPr>
        <w:t>la declaración de dos testigos</w:t>
      </w:r>
      <w:r w:rsidRPr="001B21C4">
        <w:rPr>
          <w:rFonts w:cs="Verdana"/>
          <w:lang w:val="es-ES"/>
        </w:rPr>
        <w:t xml:space="preserve"> ofrecidos por el Estado</w:t>
      </w:r>
      <w:r w:rsidR="001B21C4" w:rsidRPr="001B21C4">
        <w:rPr>
          <w:rFonts w:cs="Verdana"/>
          <w:lang w:val="es-ES"/>
        </w:rPr>
        <w:t>, y presentaron el desistimiento de un peritaje</w:t>
      </w:r>
      <w:r w:rsidRPr="001B21C4">
        <w:rPr>
          <w:rFonts w:cs="Verdana"/>
          <w:lang w:val="es-ES"/>
        </w:rPr>
        <w:t>.</w:t>
      </w:r>
    </w:p>
    <w:p w14:paraId="7D4AC722" w14:textId="77777777" w:rsidR="001244D3" w:rsidRPr="001244D3" w:rsidRDefault="001244D3" w:rsidP="001244D3">
      <w:pPr>
        <w:rPr>
          <w:rFonts w:cs="Verdana"/>
          <w:color w:val="000000" w:themeColor="text1"/>
          <w:lang w:val="es-ES"/>
        </w:rPr>
      </w:pPr>
    </w:p>
    <w:p w14:paraId="55EF4FA5" w14:textId="7ED7ABBC" w:rsidR="00C67E09" w:rsidRPr="001244D3" w:rsidRDefault="4CA6750B" w:rsidP="001244D3">
      <w:pPr>
        <w:pStyle w:val="Sinespaciado"/>
        <w:ind w:left="0" w:firstLine="0"/>
        <w:rPr>
          <w:rFonts w:asciiTheme="minorHAnsi" w:eastAsiaTheme="minorEastAsia" w:hAnsiTheme="minorHAnsi"/>
          <w:lang w:val="es-ES"/>
        </w:rPr>
      </w:pPr>
      <w:r w:rsidRPr="001244D3">
        <w:rPr>
          <w:rFonts w:cs="Verdana"/>
          <w:color w:val="000000" w:themeColor="text1"/>
          <w:lang w:val="es-ES"/>
        </w:rPr>
        <w:t xml:space="preserve">El Estado, en su lista definitiva, solicitó que las declaraciones de un perito y tres testigos fueran rendidas en audiencia pública, y la declaración de un perito fuera rendida mediante declaración jurada </w:t>
      </w:r>
      <w:r w:rsidRPr="001244D3">
        <w:rPr>
          <w:rFonts w:cs="Verdana"/>
          <w:i/>
          <w:color w:val="000000" w:themeColor="text1"/>
          <w:lang w:val="es-ES"/>
        </w:rPr>
        <w:t>(affidavit</w:t>
      </w:r>
      <w:r w:rsidRPr="001244D3">
        <w:rPr>
          <w:rFonts w:cs="Verdana"/>
          <w:color w:val="000000" w:themeColor="text1"/>
          <w:lang w:val="es-ES"/>
        </w:rPr>
        <w:t>). En sus observaciones a las listas definitivas, el Estado presentó diversas objeciones respecto a la admisibilidad y el alcance de las declaraciones de los dos peritos ofrecidos por la Comisión, las veintitrés presuntas víctimas, los cuatro testigos, y los ocho peritos ofrecidos por los representantes.</w:t>
      </w:r>
    </w:p>
    <w:p w14:paraId="1BD6364C" w14:textId="3E0B6973" w:rsidR="007752BC" w:rsidRPr="00764564" w:rsidRDefault="007752BC" w:rsidP="00617636">
      <w:pPr>
        <w:pStyle w:val="Sinespaciado"/>
        <w:numPr>
          <w:ilvl w:val="0"/>
          <w:numId w:val="0"/>
        </w:numPr>
        <w:rPr>
          <w:rFonts w:eastAsia="Times New Roman" w:cs="Verdana"/>
          <w:lang w:val="es-CO"/>
        </w:rPr>
      </w:pPr>
    </w:p>
    <w:bookmarkEnd w:id="0"/>
    <w:p w14:paraId="2773AE7B" w14:textId="09871BD5" w:rsidR="00AE412F" w:rsidRDefault="4CA6750B" w:rsidP="00AE412F">
      <w:pPr>
        <w:pStyle w:val="Sinespaciado"/>
        <w:ind w:left="0" w:firstLine="0"/>
        <w:rPr>
          <w:rFonts w:cs="Times New Roman"/>
        </w:rPr>
      </w:pPr>
      <w:r w:rsidRPr="4CA6750B">
        <w:rPr>
          <w:rFonts w:cs="Times New Roman"/>
        </w:rPr>
        <w:t>El Presidente de la Corte (en adelante “el Presidente” o “esta Presidencia”) ha decidido que es necesario convocar a una audiencia pública durante la cual se recibirán las declaraciones que sean admitidas para tales efectos, así como los alegatos y observaciones finales orales de las partes y la Comisión Interamericana, respectivamente.</w:t>
      </w:r>
    </w:p>
    <w:p w14:paraId="1BF969EB" w14:textId="77777777" w:rsidR="00AE412F" w:rsidRDefault="00AE412F" w:rsidP="0043522A"/>
    <w:p w14:paraId="38C72DB6" w14:textId="7817B8CF" w:rsidR="00692CBA" w:rsidRPr="002C6A99" w:rsidRDefault="4CA6750B" w:rsidP="00AE412F">
      <w:pPr>
        <w:pStyle w:val="Sinespaciado"/>
        <w:ind w:left="0" w:firstLine="0"/>
        <w:rPr>
          <w:rFonts w:cs="Times New Roman"/>
        </w:rPr>
      </w:pPr>
      <w:r>
        <w:t>Esta Presidencia considera procedente recabar la declaración de Katherine Andrea Melgar, testigo ofrecida por el Estado, la cual no fue objetada,</w:t>
      </w:r>
      <w:r w:rsidRPr="4CA6750B">
        <w:rPr>
          <w:rStyle w:val="Refdenotaalpie"/>
        </w:rPr>
        <w:t xml:space="preserve"> </w:t>
      </w:r>
      <w:r>
        <w:t xml:space="preserve">a efecto de que el Tribunal aprecie su valor en la debida oportunidad procesal, dentro del contexto del acervo probatorio existente, y según las reglas de la sana crítica. Por consiguiente, el Presidente admite la declaración antes señalada, propuesta por el Estado, según el objeto y modalidad determinados en la parte resolutiva de la presente Resolución </w:t>
      </w:r>
      <w:r w:rsidRPr="00F15BAB">
        <w:t>(</w:t>
      </w:r>
      <w:r w:rsidRPr="00F15BAB">
        <w:rPr>
          <w:i/>
        </w:rPr>
        <w:t>infra</w:t>
      </w:r>
      <w:r w:rsidRPr="00F15BAB">
        <w:t xml:space="preserve"> punto resolutivo 3)</w:t>
      </w:r>
      <w:r>
        <w:t xml:space="preserve">. </w:t>
      </w:r>
    </w:p>
    <w:p w14:paraId="41641CB0" w14:textId="1F434E95" w:rsidR="00AE412F" w:rsidRPr="00AE412F" w:rsidRDefault="00AE412F" w:rsidP="00337763">
      <w:pPr>
        <w:pStyle w:val="Sinespaciado"/>
        <w:numPr>
          <w:ilvl w:val="0"/>
          <w:numId w:val="0"/>
        </w:numPr>
        <w:rPr>
          <w:rFonts w:cs="Times New Roman"/>
        </w:rPr>
      </w:pPr>
    </w:p>
    <w:p w14:paraId="235BC9E3" w14:textId="761F5B02" w:rsidR="00A16BDB" w:rsidRPr="00C71F4B" w:rsidRDefault="4CA6750B" w:rsidP="00C71F4B">
      <w:pPr>
        <w:pStyle w:val="Sinespaciado"/>
        <w:ind w:left="0" w:firstLine="0"/>
        <w:rPr>
          <w:lang w:val="es-ES"/>
        </w:rPr>
      </w:pPr>
      <w:r w:rsidRPr="4CA6750B">
        <w:rPr>
          <w:rFonts w:eastAsia="Times New Roman" w:cs="Verdana"/>
          <w:lang w:val="es-CO"/>
        </w:rPr>
        <w:t>Tomando en consideración lo anterior, a</w:t>
      </w:r>
      <w:r w:rsidRPr="4CA6750B">
        <w:rPr>
          <w:lang w:val="es-CO"/>
        </w:rPr>
        <w:t xml:space="preserve"> continuación, el Presidente examinará en forma particular: a) la admisibilidad de las declaraciones ofrecidas por los representantes; </w:t>
      </w:r>
      <w:r w:rsidR="00C71F4B">
        <w:rPr>
          <w:lang w:val="es-CO"/>
        </w:rPr>
        <w:t>b</w:t>
      </w:r>
      <w:r w:rsidRPr="4CA6750B">
        <w:rPr>
          <w:lang w:val="es-CO"/>
        </w:rPr>
        <w:t xml:space="preserve">) la admisibilidad de las declaraciones ofrecidas por el Estado; </w:t>
      </w:r>
      <w:r w:rsidR="00C71F4B">
        <w:rPr>
          <w:lang w:val="es-CO"/>
        </w:rPr>
        <w:t>c</w:t>
      </w:r>
      <w:r w:rsidRPr="4CA6750B">
        <w:rPr>
          <w:lang w:val="es-CO"/>
        </w:rPr>
        <w:t>)</w:t>
      </w:r>
      <w:r w:rsidR="00C71F4B">
        <w:rPr>
          <w:lang w:val="es-CO"/>
        </w:rPr>
        <w:t xml:space="preserve"> </w:t>
      </w:r>
      <w:r w:rsidR="00C71F4B" w:rsidRPr="4CA6750B">
        <w:rPr>
          <w:lang w:val="es-CO"/>
        </w:rPr>
        <w:t>la admisibilidad de las declaraciones ofrecidas por la Comisión</w:t>
      </w:r>
      <w:r w:rsidR="00C71F4B">
        <w:rPr>
          <w:lang w:val="es-CO"/>
        </w:rPr>
        <w:t xml:space="preserve"> y</w:t>
      </w:r>
      <w:r w:rsidRPr="4CA6750B">
        <w:rPr>
          <w:lang w:val="es-CO"/>
        </w:rPr>
        <w:t xml:space="preserve"> la solicitud de interrogar a una perita propuesta por el Estado, y d) la aplicación del Fondo de Asistencia Legal de Víctimas ante la Corte.</w:t>
      </w:r>
    </w:p>
    <w:p w14:paraId="51FA60A1" w14:textId="0A51CC22" w:rsidR="00A16BDB" w:rsidRDefault="00A16BDB" w:rsidP="007752BC">
      <w:pPr>
        <w:pStyle w:val="Prrafodelista"/>
        <w:ind w:left="0"/>
        <w:rPr>
          <w:rFonts w:cs="Arial"/>
          <w:lang w:val="es-CO"/>
        </w:rPr>
      </w:pPr>
    </w:p>
    <w:p w14:paraId="60AAB2F7" w14:textId="17E43DEB" w:rsidR="00563F21" w:rsidRPr="00AC27BA" w:rsidRDefault="00AC27BA" w:rsidP="00563F21">
      <w:pPr>
        <w:pStyle w:val="Prrafodelista"/>
        <w:numPr>
          <w:ilvl w:val="0"/>
          <w:numId w:val="11"/>
        </w:numPr>
        <w:spacing w:line="240" w:lineRule="auto"/>
        <w:ind w:right="11"/>
        <w:contextualSpacing w:val="0"/>
        <w:jc w:val="both"/>
        <w:rPr>
          <w:b/>
          <w:i/>
          <w:lang w:val="es-CO"/>
        </w:rPr>
      </w:pPr>
      <w:r>
        <w:rPr>
          <w:b/>
          <w:i/>
          <w:lang w:val="es-CO"/>
        </w:rPr>
        <w:t>A</w:t>
      </w:r>
      <w:r w:rsidR="00563F21" w:rsidRPr="00AC27BA">
        <w:rPr>
          <w:b/>
          <w:i/>
          <w:lang w:val="es-CO"/>
        </w:rPr>
        <w:t xml:space="preserve">dmisibilidad de </w:t>
      </w:r>
      <w:r w:rsidR="006D0469" w:rsidRPr="00AC27BA">
        <w:rPr>
          <w:b/>
          <w:i/>
          <w:lang w:val="es-CO"/>
        </w:rPr>
        <w:t xml:space="preserve">las declaraciones </w:t>
      </w:r>
      <w:r w:rsidR="00563F21" w:rsidRPr="00AC27BA">
        <w:rPr>
          <w:b/>
          <w:i/>
          <w:lang w:val="es-CO"/>
        </w:rPr>
        <w:t>ofrecida</w:t>
      </w:r>
      <w:r w:rsidR="006D0469" w:rsidRPr="00AC27BA">
        <w:rPr>
          <w:b/>
          <w:i/>
          <w:lang w:val="es-CO"/>
        </w:rPr>
        <w:t>s</w:t>
      </w:r>
      <w:r w:rsidR="00563F21" w:rsidRPr="00AC27BA">
        <w:rPr>
          <w:b/>
          <w:i/>
          <w:lang w:val="es-CO"/>
        </w:rPr>
        <w:t xml:space="preserve"> por </w:t>
      </w:r>
      <w:r w:rsidR="006D0469" w:rsidRPr="00AC27BA">
        <w:rPr>
          <w:b/>
          <w:i/>
          <w:lang w:val="es-CO"/>
        </w:rPr>
        <w:t>los representantes</w:t>
      </w:r>
      <w:r w:rsidR="00563F21" w:rsidRPr="00AC27BA">
        <w:rPr>
          <w:b/>
          <w:i/>
          <w:lang w:val="es-CO"/>
        </w:rPr>
        <w:t xml:space="preserve"> </w:t>
      </w:r>
    </w:p>
    <w:p w14:paraId="14945977" w14:textId="5F047D09" w:rsidR="00563F21" w:rsidRPr="00AC27BA" w:rsidRDefault="00563F21" w:rsidP="007752BC">
      <w:pPr>
        <w:pStyle w:val="Prrafodelista"/>
        <w:ind w:left="0"/>
        <w:rPr>
          <w:rFonts w:cs="Arial"/>
          <w:lang w:val="es-CO"/>
        </w:rPr>
      </w:pPr>
    </w:p>
    <w:p w14:paraId="4A3DABFE" w14:textId="4199FBC7" w:rsidR="00AC27BA" w:rsidRPr="00AC27BA" w:rsidRDefault="001244D3" w:rsidP="001D4B78">
      <w:pPr>
        <w:pStyle w:val="Prrafodelista"/>
        <w:ind w:left="0"/>
        <w:jc w:val="both"/>
        <w:rPr>
          <w:rFonts w:cs="Arial"/>
          <w:b/>
          <w:bCs/>
          <w:i/>
          <w:iCs/>
          <w:lang w:val="es-CO"/>
        </w:rPr>
      </w:pPr>
      <w:r>
        <w:rPr>
          <w:rFonts w:cs="Arial"/>
          <w:b/>
          <w:bCs/>
          <w:i/>
          <w:iCs/>
          <w:lang w:val="es-CO"/>
        </w:rPr>
        <w:t>A</w:t>
      </w:r>
      <w:r w:rsidR="00AC27BA" w:rsidRPr="00AC27BA">
        <w:rPr>
          <w:rFonts w:cs="Arial"/>
          <w:b/>
          <w:bCs/>
          <w:i/>
          <w:iCs/>
          <w:lang w:val="es-CO"/>
        </w:rPr>
        <w:t xml:space="preserve">.1. </w:t>
      </w:r>
      <w:r w:rsidR="00AC27BA">
        <w:rPr>
          <w:rFonts w:cs="Arial"/>
          <w:b/>
          <w:bCs/>
          <w:i/>
          <w:iCs/>
          <w:lang w:val="es-CO"/>
        </w:rPr>
        <w:t>Admisibilidad de las declaraciones de las presuntas víctimas ofrecidas por los representantes.</w:t>
      </w:r>
    </w:p>
    <w:p w14:paraId="73A87BAD" w14:textId="77777777" w:rsidR="00AC27BA" w:rsidRPr="0019533F" w:rsidRDefault="00AC27BA" w:rsidP="007752BC">
      <w:pPr>
        <w:pStyle w:val="Prrafodelista"/>
        <w:ind w:left="0"/>
        <w:rPr>
          <w:rFonts w:cs="Arial"/>
          <w:highlight w:val="yellow"/>
          <w:lang w:val="es-CO"/>
        </w:rPr>
      </w:pPr>
    </w:p>
    <w:p w14:paraId="569B31B0" w14:textId="2CAC6E17" w:rsidR="00966EED" w:rsidRPr="00E2767E" w:rsidRDefault="000A42DF" w:rsidP="00966EED">
      <w:pPr>
        <w:pStyle w:val="Sinespaciado"/>
        <w:ind w:left="0" w:firstLine="0"/>
        <w:rPr>
          <w:lang w:val="es-CO"/>
        </w:rPr>
      </w:pPr>
      <w:r w:rsidRPr="00E2767E">
        <w:rPr>
          <w:lang w:val="es-CO"/>
        </w:rPr>
        <w:t>Los</w:t>
      </w:r>
      <w:r w:rsidR="002F02B4" w:rsidRPr="00E2767E">
        <w:rPr>
          <w:lang w:val="es-CO"/>
        </w:rPr>
        <w:t xml:space="preserve"> </w:t>
      </w:r>
      <w:r w:rsidR="002F02B4" w:rsidRPr="4CA6750B">
        <w:rPr>
          <w:b/>
          <w:i/>
          <w:lang w:val="es-CO"/>
        </w:rPr>
        <w:t>representante</w:t>
      </w:r>
      <w:r w:rsidRPr="4CA6750B">
        <w:rPr>
          <w:b/>
          <w:i/>
          <w:lang w:val="es-CO"/>
        </w:rPr>
        <w:t>s</w:t>
      </w:r>
      <w:r w:rsidR="002F02B4" w:rsidRPr="4CA6750B">
        <w:rPr>
          <w:b/>
          <w:i/>
          <w:lang w:val="es-CO"/>
        </w:rPr>
        <w:t xml:space="preserve"> </w:t>
      </w:r>
      <w:r w:rsidR="00024C3E" w:rsidRPr="00E2767E">
        <w:rPr>
          <w:lang w:val="es-CO"/>
        </w:rPr>
        <w:t>ofrecieron las declaraciones de María 9</w:t>
      </w:r>
      <w:r w:rsidR="00E87663" w:rsidRPr="00E2767E">
        <w:rPr>
          <w:rStyle w:val="Refdenotaalpie"/>
          <w:sz w:val="20"/>
          <w:szCs w:val="20"/>
          <w:lang w:val="es-CO"/>
        </w:rPr>
        <w:footnoteReference w:id="12"/>
      </w:r>
      <w:r w:rsidR="00024C3E" w:rsidRPr="00E2767E">
        <w:rPr>
          <w:lang w:val="es-CO"/>
        </w:rPr>
        <w:t>, María 13</w:t>
      </w:r>
      <w:r w:rsidR="00024C3E" w:rsidRPr="00E2767E">
        <w:rPr>
          <w:rStyle w:val="Refdenotaalpie"/>
          <w:sz w:val="20"/>
          <w:szCs w:val="20"/>
          <w:lang w:val="es-CO"/>
        </w:rPr>
        <w:footnoteReference w:id="13"/>
      </w:r>
      <w:r w:rsidR="00024C3E" w:rsidRPr="00E2767E">
        <w:rPr>
          <w:lang w:val="es-CO"/>
        </w:rPr>
        <w:t>, Mar</w:t>
      </w:r>
      <w:r w:rsidR="00986946" w:rsidRPr="00E2767E">
        <w:rPr>
          <w:lang w:val="es-CO"/>
        </w:rPr>
        <w:t>ía 15</w:t>
      </w:r>
      <w:r w:rsidR="00986946" w:rsidRPr="00E2767E">
        <w:rPr>
          <w:rStyle w:val="Refdenotaalpie"/>
          <w:sz w:val="20"/>
          <w:szCs w:val="20"/>
          <w:lang w:val="es-CO"/>
        </w:rPr>
        <w:footnoteReference w:id="14"/>
      </w:r>
      <w:r w:rsidR="00986946" w:rsidRPr="00E2767E">
        <w:rPr>
          <w:lang w:val="es-CO"/>
        </w:rPr>
        <w:t>, y Juan 10, Juan 8, Juan 18, Juan 15, Juan 13, María 1, María 32, María 24, Juan 6, Juan 2, Juan 1, María 3, María 37, Juan 25, María 16, María 33, Juan 30, María 25, María 10</w:t>
      </w:r>
      <w:r w:rsidR="00F861EE" w:rsidRPr="00E2767E">
        <w:rPr>
          <w:lang w:val="es-CO"/>
        </w:rPr>
        <w:t xml:space="preserve"> y Juan 12</w:t>
      </w:r>
      <w:r w:rsidR="00F861EE" w:rsidRPr="00E2767E">
        <w:rPr>
          <w:rStyle w:val="Refdenotaalpie"/>
          <w:sz w:val="20"/>
          <w:szCs w:val="20"/>
          <w:lang w:val="es-CO"/>
        </w:rPr>
        <w:footnoteReference w:id="15"/>
      </w:r>
      <w:r w:rsidR="002F02B4" w:rsidRPr="00E2767E">
        <w:rPr>
          <w:iCs w:val="0"/>
        </w:rPr>
        <w:t>.</w:t>
      </w:r>
      <w:r w:rsidR="002F02B4" w:rsidRPr="00E2767E">
        <w:rPr>
          <w:lang w:val="es-CO"/>
        </w:rPr>
        <w:t xml:space="preserve"> </w:t>
      </w:r>
      <w:r w:rsidR="000D7C07">
        <w:rPr>
          <w:lang w:val="es-CO"/>
        </w:rPr>
        <w:t>En relación con Juan 12, los representantes señalaron que “</w:t>
      </w:r>
      <w:r w:rsidR="005230E5">
        <w:rPr>
          <w:lang w:val="es-CO"/>
        </w:rPr>
        <w:t xml:space="preserve">C.M. [declararía] en representación de su padre fallecido”. </w:t>
      </w:r>
      <w:r w:rsidR="00C508C9" w:rsidRPr="00E2767E">
        <w:rPr>
          <w:lang w:val="es-CO"/>
        </w:rPr>
        <w:t xml:space="preserve">El </w:t>
      </w:r>
      <w:r w:rsidR="00C508C9" w:rsidRPr="4CA6750B">
        <w:rPr>
          <w:b/>
          <w:i/>
          <w:lang w:val="es-CO"/>
        </w:rPr>
        <w:t>Estado</w:t>
      </w:r>
      <w:r w:rsidR="00C508C9" w:rsidRPr="00E2767E">
        <w:rPr>
          <w:lang w:val="es-CO"/>
        </w:rPr>
        <w:t xml:space="preserve"> </w:t>
      </w:r>
      <w:r w:rsidR="00AD60D4" w:rsidRPr="00E2767E">
        <w:rPr>
          <w:lang w:val="es-CO"/>
        </w:rPr>
        <w:t>observó que los representantes no identificaron las razones para incluir a tal cantidad de presuntas víctimas como declarantes y el valor de sus declaraciones, más teniendo en cuenta que todas las presuntas víctimas enfrentaron contextos similares</w:t>
      </w:r>
      <w:r w:rsidR="00CD6C88" w:rsidRPr="00E2767E">
        <w:rPr>
          <w:lang w:val="es-CO"/>
        </w:rPr>
        <w:t>.</w:t>
      </w:r>
      <w:r w:rsidR="00AD60D4" w:rsidRPr="00E2767E">
        <w:rPr>
          <w:lang w:val="es-CO"/>
        </w:rPr>
        <w:t xml:space="preserve"> De esta forma, expresó que no tienen mayor valor probatorio. En consecuencia, solicitó que fueran desestimadas</w:t>
      </w:r>
      <w:r w:rsidR="0039588F">
        <w:rPr>
          <w:lang w:val="es-CO"/>
        </w:rPr>
        <w:t xml:space="preserve"> o en suma se tome una declaración en audiencia y una por </w:t>
      </w:r>
      <w:r w:rsidR="0039588F" w:rsidRPr="4CA6750B">
        <w:rPr>
          <w:i/>
          <w:lang w:val="es-CO"/>
        </w:rPr>
        <w:t>affidavit</w:t>
      </w:r>
      <w:r w:rsidR="00AD60D4" w:rsidRPr="00E2767E">
        <w:rPr>
          <w:lang w:val="es-CO"/>
        </w:rPr>
        <w:t>. Adicionalmente, el Estado expresó que los representantes ofrecieron primero el testimonio de Juan 12, y posteriormente indicaron que declararía su hijo C.M., por lo cual dicha declaración no debe ser admitida.</w:t>
      </w:r>
      <w:r w:rsidR="00F8695E" w:rsidRPr="00E2767E">
        <w:rPr>
          <w:lang w:val="es-CO"/>
        </w:rPr>
        <w:t xml:space="preserve"> </w:t>
      </w:r>
      <w:r w:rsidR="002F02B4" w:rsidRPr="00E2767E">
        <w:rPr>
          <w:lang w:val="es-CO"/>
        </w:rPr>
        <w:t xml:space="preserve">La </w:t>
      </w:r>
      <w:r w:rsidR="002F02B4" w:rsidRPr="4CA6750B">
        <w:rPr>
          <w:b/>
          <w:i/>
          <w:lang w:val="es-CO"/>
        </w:rPr>
        <w:t xml:space="preserve">Comisión </w:t>
      </w:r>
      <w:r w:rsidR="002F02B4" w:rsidRPr="00E2767E">
        <w:rPr>
          <w:lang w:val="es-CO"/>
        </w:rPr>
        <w:lastRenderedPageBreak/>
        <w:t xml:space="preserve">informó que no tenía observaciones que formular sobre el particular. </w:t>
      </w:r>
    </w:p>
    <w:p w14:paraId="16434611" w14:textId="77777777" w:rsidR="0039588F" w:rsidRPr="0019533F" w:rsidRDefault="0039588F" w:rsidP="00966EED">
      <w:pPr>
        <w:pStyle w:val="Sinespaciado"/>
        <w:numPr>
          <w:ilvl w:val="0"/>
          <w:numId w:val="0"/>
        </w:numPr>
        <w:rPr>
          <w:highlight w:val="yellow"/>
          <w:lang w:val="es-CO"/>
        </w:rPr>
      </w:pPr>
    </w:p>
    <w:p w14:paraId="462559B3" w14:textId="0A6F3C4E" w:rsidR="004C7189" w:rsidRPr="0039588F" w:rsidRDefault="004354C2" w:rsidP="0039588F">
      <w:pPr>
        <w:pStyle w:val="Sinespaciado"/>
        <w:ind w:left="0" w:firstLine="0"/>
        <w:rPr>
          <w:lang w:val="es-CO"/>
        </w:rPr>
      </w:pPr>
      <w:r w:rsidRPr="0039588F">
        <w:rPr>
          <w:lang w:val="es-CO"/>
        </w:rPr>
        <w:t>El</w:t>
      </w:r>
      <w:r w:rsidR="00966EED" w:rsidRPr="0039588F">
        <w:rPr>
          <w:lang w:val="es-CO"/>
        </w:rPr>
        <w:t xml:space="preserve"> </w:t>
      </w:r>
      <w:r w:rsidR="00966EED" w:rsidRPr="4CA6750B">
        <w:rPr>
          <w:b/>
          <w:i/>
          <w:lang w:val="es-CO"/>
        </w:rPr>
        <w:t>Presidente</w:t>
      </w:r>
      <w:r w:rsidR="00966EED" w:rsidRPr="0039588F">
        <w:rPr>
          <w:lang w:val="es-CO"/>
        </w:rPr>
        <w:t xml:space="preserve"> </w:t>
      </w:r>
      <w:r w:rsidR="00E2767E" w:rsidRPr="0039588F">
        <w:rPr>
          <w:lang w:val="es-CO"/>
        </w:rPr>
        <w:t>considera</w:t>
      </w:r>
      <w:r w:rsidR="00854486" w:rsidRPr="0039588F">
        <w:rPr>
          <w:lang w:val="es-CO"/>
        </w:rPr>
        <w:t xml:space="preserve"> que </w:t>
      </w:r>
      <w:r w:rsidR="0039588F" w:rsidRPr="0039588F">
        <w:rPr>
          <w:lang w:val="es-CO"/>
        </w:rPr>
        <w:t>las declaraciones de las presuntas víctimas son útiles en la medida en que pueden proporcionar mayor información respecto de las alegadas violaciones y las consecuencias que estas tuvieron. Adicionalmente, el Presidente recuerda que corresponde a cada parte establecer su estrategia de litigio.</w:t>
      </w:r>
      <w:r w:rsidR="004C7189" w:rsidRPr="0039588F">
        <w:rPr>
          <w:rFonts w:eastAsia="Batang" w:cs="Verdana"/>
          <w:lang w:val="es-MX"/>
        </w:rPr>
        <w:t xml:space="preserve"> La relevancia y pertinencia de la prueba ofrecida por las partes en el trámite del proceso, así como una eventual superabundancia o inutilidad de la misma, hace parte de su respectiva estrategia de litigio</w:t>
      </w:r>
      <w:r w:rsidR="004C7189" w:rsidRPr="0039588F">
        <w:rPr>
          <w:vertAlign w:val="superscript"/>
          <w:lang w:val="es-MX"/>
        </w:rPr>
        <w:footnoteReference w:id="16"/>
      </w:r>
      <w:r w:rsidR="004C7189" w:rsidRPr="0039588F">
        <w:rPr>
          <w:rFonts w:eastAsia="Batang" w:cs="Verdana"/>
          <w:lang w:val="es-MX"/>
        </w:rPr>
        <w:t xml:space="preserve">. </w:t>
      </w:r>
      <w:r w:rsidR="00E36229" w:rsidRPr="0039588F">
        <w:rPr>
          <w:rFonts w:eastAsia="Batang" w:cs="Verdana"/>
          <w:lang w:val="es-MX"/>
        </w:rPr>
        <w:t>Adicionalmente</w:t>
      </w:r>
      <w:r w:rsidR="004C7189" w:rsidRPr="0039588F">
        <w:rPr>
          <w:rFonts w:eastAsia="Batang" w:cs="Verdana"/>
          <w:lang w:val="es-MX"/>
        </w:rPr>
        <w:t>, el</w:t>
      </w:r>
      <w:r w:rsidR="00E36229" w:rsidRPr="0039588F">
        <w:rPr>
          <w:rFonts w:eastAsia="Batang" w:cs="Verdana"/>
          <w:lang w:val="es-MX"/>
        </w:rPr>
        <w:t xml:space="preserve"> Presidente considera que el</w:t>
      </w:r>
      <w:r w:rsidR="004C7189" w:rsidRPr="0039588F">
        <w:rPr>
          <w:rFonts w:eastAsia="Batang" w:cs="Verdana"/>
          <w:lang w:val="es-MX"/>
        </w:rPr>
        <w:t xml:space="preserve"> Estado también ha tenido oportunidad de ofrecer la prueba que ha estimado pertinente que este Tribunal reciba, y gozará de la oportunidad procesal para presentar sus observaciones y objeciones al contenido de dichos </w:t>
      </w:r>
      <w:r w:rsidR="0039588F" w:rsidRPr="0039588F">
        <w:rPr>
          <w:rFonts w:eastAsia="Batang" w:cs="Verdana"/>
          <w:lang w:val="es-MX"/>
        </w:rPr>
        <w:t>testimonios</w:t>
      </w:r>
      <w:r w:rsidR="004C7189" w:rsidRPr="0039588F">
        <w:rPr>
          <w:rFonts w:eastAsia="Batang" w:cs="Verdana"/>
          <w:lang w:val="es-ES" w:eastAsia="es-ES"/>
        </w:rPr>
        <w:t xml:space="preserve">. En este sentido, </w:t>
      </w:r>
      <w:r w:rsidR="00C86A09">
        <w:rPr>
          <w:rFonts w:eastAsia="Batang" w:cs="Verdana"/>
          <w:lang w:val="es-ES" w:eastAsia="es-ES"/>
        </w:rPr>
        <w:t>con</w:t>
      </w:r>
      <w:r w:rsidR="003C0B9E">
        <w:rPr>
          <w:rFonts w:eastAsia="Batang" w:cs="Verdana"/>
          <w:lang w:val="es-ES" w:eastAsia="es-ES"/>
        </w:rPr>
        <w:t xml:space="preserve">cluye que </w:t>
      </w:r>
      <w:r w:rsidR="004C7189" w:rsidRPr="0039588F">
        <w:rPr>
          <w:rFonts w:eastAsia="Batang" w:cs="Verdana"/>
          <w:lang w:val="es-ES" w:eastAsia="es-ES"/>
        </w:rPr>
        <w:t xml:space="preserve">no es </w:t>
      </w:r>
      <w:r w:rsidR="004C7189" w:rsidRPr="0039588F">
        <w:rPr>
          <w:rFonts w:eastAsia="Batang" w:cs="Verdana"/>
          <w:lang w:val="es-MX"/>
        </w:rPr>
        <w:t xml:space="preserve">procedente la solicitud del Estado de que se </w:t>
      </w:r>
      <w:r w:rsidR="009753F7" w:rsidRPr="0039588F">
        <w:rPr>
          <w:rFonts w:eastAsia="Batang" w:cs="Verdana"/>
          <w:lang w:val="es-MX"/>
        </w:rPr>
        <w:t>excluya</w:t>
      </w:r>
      <w:r w:rsidR="0039588F" w:rsidRPr="0039588F">
        <w:rPr>
          <w:rFonts w:eastAsia="Batang" w:cs="Verdana"/>
          <w:lang w:val="es-MX"/>
        </w:rPr>
        <w:t xml:space="preserve">n los testimonios ofrecidos o se limite </w:t>
      </w:r>
      <w:r w:rsidR="00344761">
        <w:rPr>
          <w:rFonts w:eastAsia="Batang" w:cs="Verdana"/>
          <w:lang w:val="es-MX"/>
        </w:rPr>
        <w:t>la cantidad de éstos que será rendida ante el Tribunal</w:t>
      </w:r>
      <w:r w:rsidR="004C7189" w:rsidRPr="0039588F">
        <w:rPr>
          <w:rFonts w:eastAsia="Batang" w:cs="Verdana"/>
        </w:rPr>
        <w:t>.</w:t>
      </w:r>
    </w:p>
    <w:p w14:paraId="3ACF9892" w14:textId="77777777" w:rsidR="0039588F" w:rsidRPr="0039588F" w:rsidRDefault="0039588F" w:rsidP="0039588F">
      <w:pPr>
        <w:pStyle w:val="Sinespaciado"/>
        <w:numPr>
          <w:ilvl w:val="0"/>
          <w:numId w:val="0"/>
        </w:numPr>
        <w:rPr>
          <w:lang w:val="es-CO"/>
        </w:rPr>
      </w:pPr>
    </w:p>
    <w:p w14:paraId="6BDF5271" w14:textId="4407F264" w:rsidR="000D7C07" w:rsidRPr="000D7C07" w:rsidRDefault="0039588F" w:rsidP="005C6527">
      <w:pPr>
        <w:pStyle w:val="Sinespaciado"/>
        <w:ind w:left="0" w:firstLine="0"/>
        <w:rPr>
          <w:lang w:val="es-CO"/>
        </w:rPr>
      </w:pPr>
      <w:r>
        <w:rPr>
          <w:lang w:val="es-CO"/>
        </w:rPr>
        <w:t xml:space="preserve">Por otra parte, </w:t>
      </w:r>
      <w:r w:rsidR="005230E5">
        <w:t>el Presidente</w:t>
      </w:r>
      <w:r w:rsidR="000D7C07">
        <w:t xml:space="preserve"> observa que los representantes, en sus listas definitivas,</w:t>
      </w:r>
      <w:r w:rsidR="005230E5">
        <w:t xml:space="preserve"> ofrecieron a Juan 12 como declarante, pero señalaron que declararía “C.M., en representación de su padre fallecido”. </w:t>
      </w:r>
      <w:r w:rsidR="005230E5" w:rsidRPr="00585597">
        <w:t xml:space="preserve">En ese sentido, el Presidente </w:t>
      </w:r>
      <w:r w:rsidR="007B14AE" w:rsidRPr="00585597">
        <w:t>recuerda que el artículo 49 del Reglamento señala que</w:t>
      </w:r>
      <w:r w:rsidR="007B14AE">
        <w:t xml:space="preserve"> “</w:t>
      </w:r>
      <w:r w:rsidR="007B14AE">
        <w:rPr>
          <w:rFonts w:cs="Open Sans"/>
          <w:shd w:val="clear" w:color="auto" w:fill="FFFFFF"/>
        </w:rPr>
        <w:t>[e]</w:t>
      </w:r>
      <w:r w:rsidR="007B14AE" w:rsidRPr="000D7C07">
        <w:rPr>
          <w:rFonts w:cs="Open Sans"/>
          <w:shd w:val="clear" w:color="auto" w:fill="FFFFFF"/>
        </w:rPr>
        <w:t>xcepcionalmente, frente a solicitud fundada y oído el parecer de la contraparte, la Corte podrá aceptar la sustitución de un declarante siempre que se individualice al sustituto y se respete el objeto de la declaración, testimonio o peritaje originalmente ofrecido</w:t>
      </w:r>
      <w:r w:rsidR="007B14AE">
        <w:rPr>
          <w:rFonts w:cs="Open Sans"/>
          <w:shd w:val="clear" w:color="auto" w:fill="FFFFFF"/>
        </w:rPr>
        <w:t>”</w:t>
      </w:r>
      <w:r w:rsidR="007B14AE" w:rsidRPr="000D7C07">
        <w:rPr>
          <w:rFonts w:cs="Open Sans"/>
          <w:shd w:val="clear" w:color="auto" w:fill="FFFFFF"/>
        </w:rPr>
        <w:t>.</w:t>
      </w:r>
      <w:r w:rsidR="0056034C">
        <w:rPr>
          <w:rFonts w:cs="Open Sans"/>
          <w:shd w:val="clear" w:color="auto" w:fill="FFFFFF"/>
        </w:rPr>
        <w:t xml:space="preserve"> En este punto, el Presidente advierte que </w:t>
      </w:r>
      <w:r w:rsidR="008147B7">
        <w:rPr>
          <w:rFonts w:cs="Open Sans"/>
          <w:shd w:val="clear" w:color="auto" w:fill="FFFFFF"/>
        </w:rPr>
        <w:t>se desprende del ofrecimiento de la declaración de C.M. que la razón por la cual sustituiría a su padre</w:t>
      </w:r>
      <w:r w:rsidR="001244D3">
        <w:rPr>
          <w:rFonts w:cs="Open Sans"/>
          <w:shd w:val="clear" w:color="auto" w:fill="FFFFFF"/>
        </w:rPr>
        <w:t xml:space="preserve"> como declarante</w:t>
      </w:r>
      <w:r w:rsidR="008147B7">
        <w:rPr>
          <w:rFonts w:cs="Open Sans"/>
          <w:shd w:val="clear" w:color="auto" w:fill="FFFFFF"/>
        </w:rPr>
        <w:t xml:space="preserve"> </w:t>
      </w:r>
      <w:r w:rsidR="004E595E">
        <w:rPr>
          <w:rFonts w:cs="Open Sans"/>
          <w:shd w:val="clear" w:color="auto" w:fill="FFFFFF"/>
        </w:rPr>
        <w:t xml:space="preserve">es </w:t>
      </w:r>
      <w:r w:rsidR="008147B7">
        <w:rPr>
          <w:rFonts w:cs="Open Sans"/>
          <w:shd w:val="clear" w:color="auto" w:fill="FFFFFF"/>
        </w:rPr>
        <w:t>por el fallecimiento de este último</w:t>
      </w:r>
      <w:r w:rsidR="00E27CE5">
        <w:rPr>
          <w:rFonts w:cs="Open Sans"/>
          <w:shd w:val="clear" w:color="auto" w:fill="FFFFFF"/>
        </w:rPr>
        <w:t>.</w:t>
      </w:r>
      <w:r w:rsidR="00511683">
        <w:rPr>
          <w:rFonts w:cs="Open Sans"/>
          <w:shd w:val="clear" w:color="auto" w:fill="FFFFFF"/>
        </w:rPr>
        <w:t xml:space="preserve"> Adicionalmente, </w:t>
      </w:r>
      <w:r w:rsidR="008147B7">
        <w:rPr>
          <w:rFonts w:cs="Open Sans"/>
          <w:shd w:val="clear" w:color="auto" w:fill="FFFFFF"/>
        </w:rPr>
        <w:t>el Presidente considera que</w:t>
      </w:r>
      <w:r w:rsidR="00511683">
        <w:rPr>
          <w:rFonts w:cs="Open Sans"/>
          <w:shd w:val="clear" w:color="auto" w:fill="FFFFFF"/>
        </w:rPr>
        <w:t xml:space="preserve"> </w:t>
      </w:r>
      <w:r w:rsidR="008147B7">
        <w:rPr>
          <w:rFonts w:cs="Open Sans"/>
          <w:shd w:val="clear" w:color="auto" w:fill="FFFFFF"/>
        </w:rPr>
        <w:t>la relación familiar entre C.M. y</w:t>
      </w:r>
      <w:r w:rsidR="00511683">
        <w:rPr>
          <w:rFonts w:cs="Open Sans"/>
          <w:shd w:val="clear" w:color="auto" w:fill="FFFFFF"/>
        </w:rPr>
        <w:t xml:space="preserve"> Juan 12 </w:t>
      </w:r>
      <w:r w:rsidR="008147B7">
        <w:rPr>
          <w:rFonts w:cs="Open Sans"/>
          <w:shd w:val="clear" w:color="auto" w:fill="FFFFFF"/>
        </w:rPr>
        <w:t xml:space="preserve">constituye un elemento suficiente para considerar </w:t>
      </w:r>
      <w:r w:rsidR="001244D3">
        <w:rPr>
          <w:rFonts w:cs="Open Sans"/>
          <w:shd w:val="clear" w:color="auto" w:fill="FFFFFF"/>
        </w:rPr>
        <w:t>que C.M. puede</w:t>
      </w:r>
      <w:r w:rsidR="00F762FC">
        <w:rPr>
          <w:rFonts w:cs="Open Sans"/>
          <w:shd w:val="clear" w:color="auto" w:fill="FFFFFF"/>
        </w:rPr>
        <w:t xml:space="preserve"> declara</w:t>
      </w:r>
      <w:r w:rsidR="001244D3">
        <w:rPr>
          <w:rFonts w:cs="Open Sans"/>
          <w:shd w:val="clear" w:color="auto" w:fill="FFFFFF"/>
        </w:rPr>
        <w:t>r</w:t>
      </w:r>
      <w:r w:rsidR="00F762FC">
        <w:rPr>
          <w:rFonts w:cs="Open Sans"/>
          <w:shd w:val="clear" w:color="auto" w:fill="FFFFFF"/>
        </w:rPr>
        <w:t xml:space="preserve"> </w:t>
      </w:r>
      <w:r w:rsidR="001244D3">
        <w:rPr>
          <w:rFonts w:cs="Open Sans"/>
          <w:shd w:val="clear" w:color="auto" w:fill="FFFFFF"/>
        </w:rPr>
        <w:t>sobre el mismo objeto con el que fue ofrecida la declaración de Juan 12</w:t>
      </w:r>
      <w:r w:rsidR="00675549">
        <w:rPr>
          <w:rFonts w:cs="Open Sans"/>
          <w:shd w:val="clear" w:color="auto" w:fill="FFFFFF"/>
        </w:rPr>
        <w:t>.</w:t>
      </w:r>
      <w:r w:rsidR="007B14AE">
        <w:rPr>
          <w:rFonts w:cs="Open Sans"/>
          <w:shd w:val="clear" w:color="auto" w:fill="FFFFFF"/>
        </w:rPr>
        <w:t xml:space="preserve"> </w:t>
      </w:r>
      <w:r w:rsidR="007B14AE">
        <w:t xml:space="preserve">En consecuencia, </w:t>
      </w:r>
      <w:r w:rsidR="008147B7">
        <w:t>el</w:t>
      </w:r>
      <w:r w:rsidR="001244D3">
        <w:t xml:space="preserve"> Presidente</w:t>
      </w:r>
      <w:r w:rsidR="000D7C07">
        <w:t xml:space="preserve"> considera pertinente </w:t>
      </w:r>
      <w:r w:rsidR="008147B7">
        <w:t>aceptar</w:t>
      </w:r>
      <w:r w:rsidR="00675549">
        <w:t xml:space="preserve"> la solicitud de</w:t>
      </w:r>
      <w:r w:rsidR="009D5380">
        <w:t xml:space="preserve"> sustitución de</w:t>
      </w:r>
      <w:r w:rsidR="00675549">
        <w:t xml:space="preserve"> los representantes</w:t>
      </w:r>
      <w:r w:rsidR="009D5380">
        <w:t>, por las razones antes señaladas</w:t>
      </w:r>
      <w:r w:rsidR="000D7C07">
        <w:t>.</w:t>
      </w:r>
    </w:p>
    <w:p w14:paraId="114867D0" w14:textId="77777777" w:rsidR="000D7C07" w:rsidRPr="0019533F" w:rsidRDefault="000D7C07" w:rsidP="005C6527">
      <w:pPr>
        <w:rPr>
          <w:highlight w:val="yellow"/>
          <w:lang w:val="es-CO"/>
        </w:rPr>
      </w:pPr>
    </w:p>
    <w:p w14:paraId="79907626" w14:textId="1900770A" w:rsidR="00AB0092" w:rsidRPr="007B14AE" w:rsidRDefault="4CA6750B" w:rsidP="008F5BBA">
      <w:pPr>
        <w:pStyle w:val="Sinespaciado"/>
        <w:ind w:left="0" w:firstLine="0"/>
        <w:rPr>
          <w:lang w:val="es-CO"/>
        </w:rPr>
      </w:pPr>
      <w:r w:rsidRPr="4CA6750B">
        <w:rPr>
          <w:lang w:val="es-CO"/>
        </w:rPr>
        <w:t xml:space="preserve">En </w:t>
      </w:r>
      <w:r w:rsidR="009D5380">
        <w:rPr>
          <w:lang w:val="es-CO"/>
        </w:rPr>
        <w:t>razón de todo lo anterior</w:t>
      </w:r>
      <w:r w:rsidRPr="4CA6750B">
        <w:rPr>
          <w:lang w:val="es-CO"/>
        </w:rPr>
        <w:t xml:space="preserve">, el Presidente </w:t>
      </w:r>
      <w:r>
        <w:t xml:space="preserve">concluye que las objeciones del Estado a la admisibilidad de las declaraciones de </w:t>
      </w:r>
      <w:r w:rsidRPr="4CA6750B">
        <w:rPr>
          <w:lang w:val="es-CO"/>
        </w:rPr>
        <w:t>María 9, María 13, María 15, y Juan 10, Juan 8, Juan 18, Juan 15, Juan 13, María 1, María 32, María 24, Juan 6, Juan 2, Juan 1, María 3, María 37, Juan 25, María 16, María 33, Juan 30, María 25 y María 10</w:t>
      </w:r>
      <w:r>
        <w:t xml:space="preserve"> son improcedentes, por lo que resulta pertinente recabar dichas declaraciones. Asimismo, concluye que la objeción del Estado respecto de la declaración de Juan 12 resulta </w:t>
      </w:r>
      <w:r w:rsidR="00EA29B0">
        <w:t>im</w:t>
      </w:r>
      <w:r>
        <w:t xml:space="preserve">procedente, por lo que C.M. podrá rendir la declaración en lugar de su padre. El objeto y la modalidad de las declaraciones de las presuntas víctimas se determinará en la parte resolutiva de la presente Resolución </w:t>
      </w:r>
      <w:r w:rsidRPr="00F15BAB">
        <w:t>(</w:t>
      </w:r>
      <w:r w:rsidRPr="00F15BAB">
        <w:rPr>
          <w:i/>
        </w:rPr>
        <w:t>infra</w:t>
      </w:r>
      <w:r w:rsidRPr="00F15BAB">
        <w:t xml:space="preserve"> puntos resolutivos 1 y 3)</w:t>
      </w:r>
      <w:r>
        <w:t>.</w:t>
      </w:r>
    </w:p>
    <w:p w14:paraId="1A8DF7A3" w14:textId="359B43EF" w:rsidR="00F034FC" w:rsidRDefault="00F034FC" w:rsidP="007752BC">
      <w:pPr>
        <w:pStyle w:val="Prrafodelista"/>
        <w:ind w:left="0"/>
        <w:rPr>
          <w:rFonts w:cs="Arial"/>
          <w:highlight w:val="yellow"/>
          <w:lang w:val="es-CO"/>
        </w:rPr>
      </w:pPr>
    </w:p>
    <w:p w14:paraId="59FB9F46" w14:textId="502315E4" w:rsidR="00DA5A09" w:rsidRPr="00AC27BA" w:rsidRDefault="009D5380" w:rsidP="003B5715">
      <w:pPr>
        <w:pStyle w:val="Prrafodelista"/>
        <w:ind w:left="0"/>
        <w:jc w:val="both"/>
        <w:rPr>
          <w:rFonts w:cs="Arial"/>
          <w:b/>
          <w:bCs/>
          <w:i/>
          <w:iCs/>
          <w:lang w:val="es-CO"/>
        </w:rPr>
      </w:pPr>
      <w:r>
        <w:rPr>
          <w:rFonts w:cs="Arial"/>
          <w:b/>
          <w:bCs/>
          <w:i/>
          <w:iCs/>
          <w:lang w:val="es-CO"/>
        </w:rPr>
        <w:t>A</w:t>
      </w:r>
      <w:r w:rsidR="00DA5A09" w:rsidRPr="00AC27BA">
        <w:rPr>
          <w:rFonts w:cs="Arial"/>
          <w:b/>
          <w:bCs/>
          <w:i/>
          <w:iCs/>
          <w:lang w:val="es-CO"/>
        </w:rPr>
        <w:t>.</w:t>
      </w:r>
      <w:r w:rsidR="00DA5A09">
        <w:rPr>
          <w:rFonts w:cs="Arial"/>
          <w:b/>
          <w:bCs/>
          <w:i/>
          <w:iCs/>
          <w:lang w:val="es-CO"/>
        </w:rPr>
        <w:t>2</w:t>
      </w:r>
      <w:r w:rsidR="00DA5A09" w:rsidRPr="00AC27BA">
        <w:rPr>
          <w:rFonts w:cs="Arial"/>
          <w:b/>
          <w:bCs/>
          <w:i/>
          <w:iCs/>
          <w:lang w:val="es-CO"/>
        </w:rPr>
        <w:t xml:space="preserve">. </w:t>
      </w:r>
      <w:r w:rsidR="00DA5A09">
        <w:rPr>
          <w:rFonts w:cs="Arial"/>
          <w:b/>
          <w:bCs/>
          <w:i/>
          <w:iCs/>
          <w:lang w:val="es-CO"/>
        </w:rPr>
        <w:t xml:space="preserve">Admisibilidad de las declaraciones </w:t>
      </w:r>
      <w:r w:rsidR="003B5715">
        <w:rPr>
          <w:rFonts w:cs="Arial"/>
          <w:b/>
          <w:bCs/>
          <w:i/>
          <w:iCs/>
          <w:lang w:val="es-CO"/>
        </w:rPr>
        <w:t>testimoniales</w:t>
      </w:r>
      <w:r w:rsidR="00DA5A09">
        <w:rPr>
          <w:rFonts w:cs="Arial"/>
          <w:b/>
          <w:bCs/>
          <w:i/>
          <w:iCs/>
          <w:lang w:val="es-CO"/>
        </w:rPr>
        <w:t xml:space="preserve"> ofrecidas por los representantes.</w:t>
      </w:r>
    </w:p>
    <w:p w14:paraId="208A05DD" w14:textId="1C6C0A1B" w:rsidR="00DA5A09" w:rsidRPr="00F321E7" w:rsidRDefault="00DA5A09" w:rsidP="007752BC">
      <w:pPr>
        <w:pStyle w:val="Prrafodelista"/>
        <w:ind w:left="0"/>
        <w:rPr>
          <w:rFonts w:cs="Arial"/>
          <w:lang w:val="es-CO"/>
        </w:rPr>
      </w:pPr>
    </w:p>
    <w:p w14:paraId="77CC6BEC" w14:textId="5AAA1E9E" w:rsidR="003B5715" w:rsidRPr="00F321E7" w:rsidRDefault="00F321E7" w:rsidP="00F321E7">
      <w:pPr>
        <w:pStyle w:val="Sinespaciado"/>
        <w:ind w:left="0" w:firstLine="0"/>
        <w:rPr>
          <w:lang w:val="es-CO"/>
        </w:rPr>
      </w:pPr>
      <w:r>
        <w:rPr>
          <w:lang w:val="es-CO"/>
        </w:rPr>
        <w:t xml:space="preserve">Los </w:t>
      </w:r>
      <w:r w:rsidRPr="4CA6750B">
        <w:rPr>
          <w:b/>
          <w:i/>
          <w:lang w:val="es-CO"/>
        </w:rPr>
        <w:t xml:space="preserve">representantes </w:t>
      </w:r>
      <w:r>
        <w:rPr>
          <w:lang w:val="es-CO"/>
        </w:rPr>
        <w:t xml:space="preserve">ofrecieron </w:t>
      </w:r>
      <w:r w:rsidR="000D543E">
        <w:rPr>
          <w:lang w:val="es-CO"/>
        </w:rPr>
        <w:t xml:space="preserve">las declaraciones testimoniales de </w:t>
      </w:r>
      <w:r w:rsidR="00C61D52">
        <w:rPr>
          <w:lang w:val="es-CO"/>
        </w:rPr>
        <w:t>Pedro Barreto</w:t>
      </w:r>
      <w:r w:rsidR="00D355FB" w:rsidRPr="00E2767E">
        <w:rPr>
          <w:rStyle w:val="Refdenotaalpie"/>
          <w:sz w:val="20"/>
          <w:szCs w:val="20"/>
          <w:lang w:val="es-CO"/>
        </w:rPr>
        <w:footnoteReference w:id="17"/>
      </w:r>
      <w:r w:rsidR="00C61D52">
        <w:rPr>
          <w:lang w:val="es-CO"/>
        </w:rPr>
        <w:t xml:space="preserve">, </w:t>
      </w:r>
      <w:r w:rsidR="00D355FB">
        <w:rPr>
          <w:lang w:val="es-CO"/>
        </w:rPr>
        <w:lastRenderedPageBreak/>
        <w:t>Hugo Villa</w:t>
      </w:r>
      <w:r w:rsidR="00837602" w:rsidRPr="00E2767E">
        <w:rPr>
          <w:rStyle w:val="Refdenotaalpie"/>
          <w:sz w:val="20"/>
          <w:szCs w:val="20"/>
          <w:lang w:val="es-CO"/>
        </w:rPr>
        <w:footnoteReference w:id="18"/>
      </w:r>
      <w:r w:rsidR="00D355FB">
        <w:rPr>
          <w:lang w:val="es-CO"/>
        </w:rPr>
        <w:t>, Mercedes Lu</w:t>
      </w:r>
      <w:r w:rsidR="00837602" w:rsidRPr="00E2767E">
        <w:rPr>
          <w:rStyle w:val="Refdenotaalpie"/>
          <w:sz w:val="20"/>
          <w:szCs w:val="20"/>
          <w:lang w:val="es-CO"/>
        </w:rPr>
        <w:footnoteReference w:id="19"/>
      </w:r>
      <w:r w:rsidR="00D355FB">
        <w:rPr>
          <w:lang w:val="es-CO"/>
        </w:rPr>
        <w:t>, y Hunter Farrell</w:t>
      </w:r>
      <w:r w:rsidR="00837602" w:rsidRPr="00E2767E">
        <w:rPr>
          <w:rStyle w:val="Refdenotaalpie"/>
          <w:sz w:val="20"/>
          <w:szCs w:val="20"/>
          <w:lang w:val="es-CO"/>
        </w:rPr>
        <w:footnoteReference w:id="20"/>
      </w:r>
      <w:r w:rsidR="00D355FB">
        <w:rPr>
          <w:lang w:val="es-CO"/>
        </w:rPr>
        <w:t>.</w:t>
      </w:r>
      <w:r w:rsidR="007059BB">
        <w:rPr>
          <w:lang w:val="es-CO"/>
        </w:rPr>
        <w:t xml:space="preserve"> El </w:t>
      </w:r>
      <w:r w:rsidR="007059BB" w:rsidRPr="4CA6750B">
        <w:rPr>
          <w:b/>
          <w:i/>
          <w:lang w:val="es-CO"/>
        </w:rPr>
        <w:t>Estado</w:t>
      </w:r>
      <w:r w:rsidR="007059BB">
        <w:rPr>
          <w:lang w:val="es-CO"/>
        </w:rPr>
        <w:t xml:space="preserve"> formuló observaciones en relación con dichos ofrecimientos. En particular, respecto a Pedro Barreto, señaló que </w:t>
      </w:r>
      <w:r w:rsidR="00CC59E3">
        <w:rPr>
          <w:lang w:val="es-CO"/>
        </w:rPr>
        <w:t>el objeto de su declaración ya será abordado por aquella de una presunta víctima</w:t>
      </w:r>
      <w:r w:rsidR="00351830">
        <w:rPr>
          <w:lang w:val="es-CO"/>
        </w:rPr>
        <w:t xml:space="preserve">, por lo que su declaración resulta sobreabundante. Respecto de </w:t>
      </w:r>
      <w:r w:rsidR="00D622CD">
        <w:rPr>
          <w:lang w:val="es-CO"/>
        </w:rPr>
        <w:t xml:space="preserve">Hugo Villa, señaló que la Corte debe tomar en cuenta </w:t>
      </w:r>
      <w:r w:rsidR="00A07E7C">
        <w:rPr>
          <w:lang w:val="es-CO"/>
        </w:rPr>
        <w:t>que</w:t>
      </w:r>
      <w:r w:rsidR="008F7443">
        <w:rPr>
          <w:lang w:val="es-CO"/>
        </w:rPr>
        <w:t>,</w:t>
      </w:r>
      <w:r w:rsidR="00A07E7C">
        <w:rPr>
          <w:lang w:val="es-CO"/>
        </w:rPr>
        <w:t xml:space="preserve"> al ser este parte de un grupo de expertos que emitió una recomendación al Estado peruano en atención a la salud de las presuntas víctimas, tiene un sesgo de opinión</w:t>
      </w:r>
      <w:r w:rsidR="008F7443">
        <w:rPr>
          <w:lang w:val="es-CO"/>
        </w:rPr>
        <w:t>, por lo que</w:t>
      </w:r>
      <w:r w:rsidR="00A07E7C">
        <w:rPr>
          <w:lang w:val="es-CO"/>
        </w:rPr>
        <w:t xml:space="preserve"> </w:t>
      </w:r>
      <w:r w:rsidR="0011305D">
        <w:rPr>
          <w:lang w:val="es-CO"/>
        </w:rPr>
        <w:t xml:space="preserve">la credibilidad de su declaración se encuentra comprometida. </w:t>
      </w:r>
      <w:r w:rsidR="008F7443">
        <w:rPr>
          <w:lang w:val="es-CO"/>
        </w:rPr>
        <w:t xml:space="preserve">Respecto de Mercedes Lu, señaló que </w:t>
      </w:r>
      <w:r w:rsidR="000E707A">
        <w:rPr>
          <w:lang w:val="es-CO"/>
        </w:rPr>
        <w:t>no cuenta con un nivel de experiencia suficiente para pronunciarse sobre una c</w:t>
      </w:r>
      <w:r w:rsidR="005E32DF">
        <w:rPr>
          <w:lang w:val="es-CO"/>
        </w:rPr>
        <w:t xml:space="preserve">risis de salud pública, por lo que en caso de admitirse su declaración debería estar limitada </w:t>
      </w:r>
      <w:r w:rsidR="00A03273">
        <w:rPr>
          <w:lang w:val="es-CO"/>
        </w:rPr>
        <w:t xml:space="preserve">a los aspectos que conoce. En relación con Hunter Farrell, el Estado señaló que </w:t>
      </w:r>
      <w:r w:rsidR="009A1F64">
        <w:rPr>
          <w:lang w:val="es-CO"/>
        </w:rPr>
        <w:t xml:space="preserve">no podría realizar una declaración respecto del objeto propuesto pues no es su especialidad, además de que </w:t>
      </w:r>
      <w:r w:rsidR="00CA581F">
        <w:rPr>
          <w:lang w:val="es-CO"/>
        </w:rPr>
        <w:t xml:space="preserve">la declaración no tiene un valor para mejor resolver para la Corte. </w:t>
      </w:r>
      <w:r w:rsidR="00FF747C">
        <w:rPr>
          <w:lang w:val="es-CO"/>
        </w:rPr>
        <w:t>En suma, el Estado solicitó que no se admitan las declaraciones de Pedro Barreto y Hunter Farrell, puesto que su imparcialidad se encuentra comprometida</w:t>
      </w:r>
      <w:r w:rsidR="009000F7">
        <w:rPr>
          <w:lang w:val="es-CO"/>
        </w:rPr>
        <w:t xml:space="preserve"> y su postura implica un prejuzgamiento de los hechos, y si se admiten las declaraciones de Hugo Villa y Mercedes Lu, se delimite el objeto de su declaración.</w:t>
      </w:r>
      <w:r w:rsidR="00A203E2">
        <w:rPr>
          <w:lang w:val="es-CO"/>
        </w:rPr>
        <w:t xml:space="preserve"> </w:t>
      </w:r>
      <w:r w:rsidR="00A203E2" w:rsidRPr="00E2767E">
        <w:rPr>
          <w:lang w:val="es-CO"/>
        </w:rPr>
        <w:t xml:space="preserve">La </w:t>
      </w:r>
      <w:r w:rsidR="00A203E2" w:rsidRPr="4CA6750B">
        <w:rPr>
          <w:b/>
          <w:i/>
          <w:lang w:val="es-CO"/>
        </w:rPr>
        <w:t xml:space="preserve">Comisión </w:t>
      </w:r>
      <w:r w:rsidR="00A203E2" w:rsidRPr="00E2767E">
        <w:rPr>
          <w:lang w:val="es-CO"/>
        </w:rPr>
        <w:t>informó que no tenía observaciones que formular sobre el particular.</w:t>
      </w:r>
    </w:p>
    <w:p w14:paraId="74A7873A" w14:textId="2B82B419" w:rsidR="00DA5A09" w:rsidRDefault="00DA5A09" w:rsidP="007752BC">
      <w:pPr>
        <w:pStyle w:val="Prrafodelista"/>
        <w:ind w:left="0"/>
        <w:rPr>
          <w:rFonts w:cs="Arial"/>
          <w:lang w:val="es-CO"/>
        </w:rPr>
      </w:pPr>
    </w:p>
    <w:p w14:paraId="0F8A1453" w14:textId="27DB9036" w:rsidR="00BA78D9" w:rsidRPr="0056356E" w:rsidRDefault="00BA78D9" w:rsidP="00BA78D9">
      <w:pPr>
        <w:pStyle w:val="Sinespaciado"/>
        <w:ind w:left="0" w:firstLine="0"/>
        <w:rPr>
          <w:rFonts w:cs="Verdana"/>
          <w:lang w:bidi="en-US"/>
        </w:rPr>
      </w:pPr>
      <w:r w:rsidRPr="00013DE3">
        <w:t xml:space="preserve">En relación con los argumentos presentados por </w:t>
      </w:r>
      <w:r>
        <w:t xml:space="preserve">el Estado respecto a la falta de </w:t>
      </w:r>
      <w:r w:rsidR="006A5133">
        <w:t>imparcialidad</w:t>
      </w:r>
      <w:r w:rsidR="00D1275B">
        <w:t xml:space="preserve"> </w:t>
      </w:r>
      <w:r>
        <w:t>de los testigos propuestos</w:t>
      </w:r>
      <w:r w:rsidR="00D1275B">
        <w:t>,</w:t>
      </w:r>
      <w:r w:rsidRPr="00013DE3">
        <w:t xml:space="preserve"> </w:t>
      </w:r>
      <w:r w:rsidR="006A5133">
        <w:t>el Presidente</w:t>
      </w:r>
      <w:r>
        <w:t xml:space="preserve"> recuerda que </w:t>
      </w:r>
      <w:r w:rsidRPr="001E0D50">
        <w:t>los declarantes fueron propuestos como testigos, para quienes rige el deber consagrado en el artículo 51.3 del Reglamento de decir “la verdad, toda la verdad y nada más que la verdad” respecto a los hechos y circunstancias que les consten</w:t>
      </w:r>
      <w:r>
        <w:rPr>
          <w:rStyle w:val="Refdenotaalpie"/>
        </w:rPr>
        <w:footnoteReference w:id="21"/>
      </w:r>
      <w:r w:rsidRPr="001E0D50">
        <w:t xml:space="preserve">. Por tal razón, no corresponde analizar los alegatos relacionados con su presunta falta de </w:t>
      </w:r>
      <w:r w:rsidR="00304F9B">
        <w:t>imparcialidad</w:t>
      </w:r>
      <w:r>
        <w:t>, pues</w:t>
      </w:r>
      <w:r w:rsidRPr="001E0D50">
        <w:t xml:space="preserve"> </w:t>
      </w:r>
      <w:r w:rsidRPr="00461FE8">
        <w:rPr>
          <w:rFonts w:eastAsia="Verdana" w:cs="Verdana"/>
        </w:rPr>
        <w:t xml:space="preserve">ésta </w:t>
      </w:r>
      <w:r w:rsidRPr="001E0D50">
        <w:t>no es exigible a los testigos, como sí lo es respecto de los peritos</w:t>
      </w:r>
      <w:r w:rsidRPr="001E0D50">
        <w:rPr>
          <w:rStyle w:val="Refdenotaalpie"/>
        </w:rPr>
        <w:footnoteReference w:id="22"/>
      </w:r>
      <w:r w:rsidRPr="001E0D50">
        <w:t>.</w:t>
      </w:r>
      <w:r>
        <w:t xml:space="preserve"> </w:t>
      </w:r>
      <w:r w:rsidR="00C81E78">
        <w:t>Asimismo, e</w:t>
      </w:r>
      <w:r>
        <w:t xml:space="preserve">n relación con la falta de </w:t>
      </w:r>
      <w:r w:rsidR="00C90222">
        <w:t>experticia o experiencia respecto a</w:t>
      </w:r>
      <w:r w:rsidR="009C6404">
        <w:t xml:space="preserve"> </w:t>
      </w:r>
      <w:r w:rsidR="00C90222">
        <w:t>l</w:t>
      </w:r>
      <w:r w:rsidR="009C6404">
        <w:t xml:space="preserve">as temáticas que se abordarían </w:t>
      </w:r>
      <w:r w:rsidR="00C57F05">
        <w:t>en</w:t>
      </w:r>
      <w:r w:rsidR="00C90222">
        <w:t xml:space="preserve"> las declaraciones</w:t>
      </w:r>
      <w:r>
        <w:t xml:space="preserve"> de algunos de los testigos propuestos por los representantes, </w:t>
      </w:r>
      <w:r w:rsidR="00B56179">
        <w:t>el</w:t>
      </w:r>
      <w:r>
        <w:t xml:space="preserve"> President</w:t>
      </w:r>
      <w:r w:rsidR="00B56179">
        <w:t>e</w:t>
      </w:r>
      <w:r>
        <w:t xml:space="preserve"> considera que </w:t>
      </w:r>
      <w:r w:rsidR="00251610" w:rsidRPr="00661448">
        <w:rPr>
          <w:rFonts w:cs="Verdana"/>
          <w:lang w:val="es-MX"/>
        </w:rPr>
        <w:t xml:space="preserve">la objeción presentada por el </w:t>
      </w:r>
      <w:r w:rsidR="00251610">
        <w:rPr>
          <w:rFonts w:cs="Verdana"/>
          <w:lang w:val="es-MX"/>
        </w:rPr>
        <w:t>Estado</w:t>
      </w:r>
      <w:r w:rsidR="00251610" w:rsidRPr="00661448">
        <w:rPr>
          <w:rFonts w:cs="Verdana"/>
          <w:lang w:val="es-MX"/>
        </w:rPr>
        <w:t xml:space="preserve"> no constituye necesariamente un obstáculo para su eventual declaración </w:t>
      </w:r>
      <w:r w:rsidR="00251610" w:rsidRPr="00661448">
        <w:rPr>
          <w:rFonts w:cs="Verdana"/>
        </w:rPr>
        <w:t xml:space="preserve">como testigo, ya que </w:t>
      </w:r>
      <w:r w:rsidR="00251610" w:rsidRPr="00661448">
        <w:rPr>
          <w:rFonts w:cs="Verdana"/>
          <w:lang w:val="es-MX"/>
        </w:rPr>
        <w:t xml:space="preserve">a los testigos no se les requiere </w:t>
      </w:r>
      <w:r w:rsidR="00035053">
        <w:rPr>
          <w:rFonts w:cs="Verdana"/>
          <w:lang w:val="es-MX"/>
        </w:rPr>
        <w:t xml:space="preserve">que tengan una experticia en </w:t>
      </w:r>
      <w:r w:rsidR="004D262D">
        <w:rPr>
          <w:rFonts w:cs="Verdana"/>
          <w:lang w:val="es-MX"/>
        </w:rPr>
        <w:t>la</w:t>
      </w:r>
      <w:r w:rsidR="00035053">
        <w:rPr>
          <w:rFonts w:cs="Verdana"/>
          <w:lang w:val="es-MX"/>
        </w:rPr>
        <w:t xml:space="preserve"> materia</w:t>
      </w:r>
      <w:r w:rsidR="004D262D">
        <w:rPr>
          <w:rFonts w:cs="Verdana"/>
          <w:lang w:val="es-MX"/>
        </w:rPr>
        <w:t xml:space="preserve"> objeto de su declaración</w:t>
      </w:r>
      <w:r>
        <w:t>. Lo anterior sin perjuicio de considerar que l</w:t>
      </w:r>
      <w:r w:rsidRPr="001E0D50">
        <w:t>as características personales o situación particular de los testigos</w:t>
      </w:r>
      <w:r>
        <w:t>, podrían ser tomada</w:t>
      </w:r>
      <w:r w:rsidRPr="001E0D50">
        <w:t>s en cuenta por el Tribunal a la hora de evaluar el peso probatorio de su declaración</w:t>
      </w:r>
      <w:r w:rsidRPr="001E0D50">
        <w:rPr>
          <w:rStyle w:val="Refdenotaalpie"/>
        </w:rPr>
        <w:footnoteReference w:id="23"/>
      </w:r>
      <w:r w:rsidRPr="001E0D50">
        <w:t xml:space="preserve">. </w:t>
      </w:r>
      <w:r w:rsidR="00076D8C">
        <w:t xml:space="preserve">Finalmente, respecto a la observación del Estado sobre la </w:t>
      </w:r>
      <w:r w:rsidR="00465D21">
        <w:t xml:space="preserve">sobreabundancia de declaraciones, </w:t>
      </w:r>
      <w:r w:rsidR="00354738">
        <w:t xml:space="preserve">y por lo tanto su alegada </w:t>
      </w:r>
      <w:r w:rsidR="00E369C9">
        <w:t xml:space="preserve">falta de valor probatorio, </w:t>
      </w:r>
      <w:r w:rsidR="00465D21">
        <w:t>el Presidente recuerda que, tal como lo señaló previamente</w:t>
      </w:r>
      <w:r w:rsidR="00E369C9">
        <w:t xml:space="preserve">, que corresponde a </w:t>
      </w:r>
      <w:r w:rsidR="00E369C9">
        <w:lastRenderedPageBreak/>
        <w:t xml:space="preserve">cada parte establecer su </w:t>
      </w:r>
      <w:r w:rsidR="00FB4FF8">
        <w:t xml:space="preserve">estrategia de litigio, lo que incluye </w:t>
      </w:r>
      <w:r w:rsidR="00F4138C">
        <w:t xml:space="preserve">la posibilidad de </w:t>
      </w:r>
      <w:r w:rsidR="00666A21">
        <w:t>ofrecer las declaraciones que consideren</w:t>
      </w:r>
      <w:r w:rsidR="00FB4FF8">
        <w:t xml:space="preserve"> relevan</w:t>
      </w:r>
      <w:r w:rsidR="00666A21">
        <w:t>tes</w:t>
      </w:r>
      <w:r w:rsidR="00FB4FF8">
        <w:t xml:space="preserve"> y pertinen</w:t>
      </w:r>
      <w:r w:rsidR="00666A21">
        <w:t>tes</w:t>
      </w:r>
      <w:r w:rsidR="00FB4FF8">
        <w:t>. Además, el Presidente considera que dichas declaraciones pueden ser útiles en la medida en que pueden proporcionar mayor información sobre el objeto de análisis del presente caso, y que el Estado tendrá la oportunidad de presentar sus observaciones y objeciones sobre el contenido de dichas declaraciones.</w:t>
      </w:r>
    </w:p>
    <w:p w14:paraId="5043FFEB" w14:textId="179DA568" w:rsidR="00BA78D9" w:rsidRDefault="00BA78D9" w:rsidP="007752BC">
      <w:pPr>
        <w:pStyle w:val="Prrafodelista"/>
        <w:ind w:left="0"/>
        <w:rPr>
          <w:rFonts w:cs="Arial"/>
        </w:rPr>
      </w:pPr>
    </w:p>
    <w:p w14:paraId="300FC48C" w14:textId="73890417" w:rsidR="00FD4C57" w:rsidRPr="001061A0" w:rsidRDefault="4CA6750B" w:rsidP="00FD4C57">
      <w:pPr>
        <w:pStyle w:val="Sinespaciado"/>
        <w:ind w:left="0" w:firstLine="0"/>
        <w:rPr>
          <w:rFonts w:cs="Verdana"/>
          <w:lang w:bidi="en-US"/>
        </w:rPr>
      </w:pPr>
      <w:r>
        <w:t xml:space="preserve">En consideración a todo lo anterior, el Presidente admite las declaraciones de </w:t>
      </w:r>
      <w:r w:rsidRPr="4CA6750B">
        <w:rPr>
          <w:lang w:val="es-CO"/>
        </w:rPr>
        <w:t>testimoniales de Pedro Barreto, Hugo Villa, Mercedes Lu, y Hunter Farrell</w:t>
      </w:r>
      <w:r>
        <w:t xml:space="preserve">. El objeto y la modalidad de dichas declaraciones se determinará en la parte resolutiva de la presente Resolución </w:t>
      </w:r>
      <w:r w:rsidRPr="00F15BAB">
        <w:t>(</w:t>
      </w:r>
      <w:r w:rsidRPr="00F15BAB">
        <w:rPr>
          <w:i/>
        </w:rPr>
        <w:t>infra</w:t>
      </w:r>
      <w:r w:rsidRPr="00F15BAB">
        <w:t xml:space="preserve"> punto resolutivo 3)</w:t>
      </w:r>
      <w:r w:rsidR="00F15BAB">
        <w:t>.</w:t>
      </w:r>
    </w:p>
    <w:p w14:paraId="1804E9CD" w14:textId="6B1F32D7" w:rsidR="00BA78D9" w:rsidRDefault="00BA78D9" w:rsidP="007752BC">
      <w:pPr>
        <w:pStyle w:val="Prrafodelista"/>
        <w:ind w:left="0"/>
        <w:rPr>
          <w:rFonts w:cs="Arial"/>
          <w:lang w:val="es-CO"/>
        </w:rPr>
      </w:pPr>
    </w:p>
    <w:p w14:paraId="3536F4C2" w14:textId="1078584B" w:rsidR="00FD4C57" w:rsidRPr="00AC27BA" w:rsidRDefault="009D5380" w:rsidP="00FD4C57">
      <w:pPr>
        <w:pStyle w:val="Prrafodelista"/>
        <w:ind w:left="0"/>
        <w:jc w:val="both"/>
        <w:rPr>
          <w:rFonts w:cs="Arial"/>
          <w:b/>
          <w:bCs/>
          <w:i/>
          <w:iCs/>
          <w:lang w:val="es-CO"/>
        </w:rPr>
      </w:pPr>
      <w:r>
        <w:rPr>
          <w:rFonts w:cs="Arial"/>
          <w:b/>
          <w:bCs/>
          <w:i/>
          <w:iCs/>
          <w:lang w:val="es-CO"/>
        </w:rPr>
        <w:t>A</w:t>
      </w:r>
      <w:r w:rsidR="004861E2">
        <w:rPr>
          <w:rFonts w:cs="Arial"/>
          <w:b/>
          <w:bCs/>
          <w:i/>
          <w:iCs/>
          <w:lang w:val="es-CO"/>
        </w:rPr>
        <w:t>.3</w:t>
      </w:r>
      <w:r w:rsidR="00FD4C57" w:rsidRPr="00AC27BA">
        <w:rPr>
          <w:rFonts w:cs="Arial"/>
          <w:b/>
          <w:bCs/>
          <w:i/>
          <w:iCs/>
          <w:lang w:val="es-CO"/>
        </w:rPr>
        <w:t xml:space="preserve">. </w:t>
      </w:r>
      <w:r w:rsidR="00FD4C57">
        <w:rPr>
          <w:rFonts w:cs="Arial"/>
          <w:b/>
          <w:bCs/>
          <w:i/>
          <w:iCs/>
          <w:lang w:val="es-CO"/>
        </w:rPr>
        <w:t>Admisibilidad de las declaraciones periciales ofrecidas por los representantes</w:t>
      </w:r>
    </w:p>
    <w:p w14:paraId="26EE5AD1" w14:textId="6095D15C" w:rsidR="00FD4C57" w:rsidRDefault="00FD4C57" w:rsidP="007752BC">
      <w:pPr>
        <w:pStyle w:val="Prrafodelista"/>
        <w:ind w:left="0"/>
        <w:rPr>
          <w:rFonts w:cs="Arial"/>
          <w:lang w:val="es-CO"/>
        </w:rPr>
      </w:pPr>
    </w:p>
    <w:p w14:paraId="6E8DB306" w14:textId="5D3E724A" w:rsidR="00FD4C57" w:rsidRDefault="00FD4C57" w:rsidP="00FD4C57">
      <w:pPr>
        <w:pStyle w:val="Sinespaciado"/>
        <w:ind w:left="0" w:firstLine="0"/>
        <w:rPr>
          <w:lang w:val="es-CO"/>
        </w:rPr>
      </w:pPr>
      <w:r>
        <w:rPr>
          <w:lang w:val="es-CO"/>
        </w:rPr>
        <w:t xml:space="preserve">Los </w:t>
      </w:r>
      <w:r w:rsidRPr="207833A6">
        <w:rPr>
          <w:b/>
          <w:i/>
          <w:lang w:val="es-CO"/>
        </w:rPr>
        <w:t xml:space="preserve">representantes </w:t>
      </w:r>
      <w:r w:rsidR="004B0533">
        <w:rPr>
          <w:lang w:val="es-CO"/>
        </w:rPr>
        <w:t xml:space="preserve">ofrecieron las declaraciones periciales de </w:t>
      </w:r>
      <w:r w:rsidR="009A4FDF">
        <w:rPr>
          <w:lang w:val="es-CO"/>
        </w:rPr>
        <w:t>Marisol Yañez de la Cruz</w:t>
      </w:r>
      <w:r w:rsidR="009F44EE">
        <w:rPr>
          <w:rStyle w:val="Refdenotaalpie"/>
        </w:rPr>
        <w:footnoteReference w:id="24"/>
      </w:r>
      <w:r w:rsidR="009A4FDF">
        <w:rPr>
          <w:lang w:val="es-CO"/>
        </w:rPr>
        <w:t>, Marcos Orellana</w:t>
      </w:r>
      <w:r w:rsidR="00076FB6">
        <w:rPr>
          <w:rStyle w:val="Refdenotaalpie"/>
        </w:rPr>
        <w:footnoteReference w:id="25"/>
      </w:r>
      <w:r w:rsidR="009A4FDF">
        <w:rPr>
          <w:lang w:val="es-CO"/>
        </w:rPr>
        <w:t xml:space="preserve">, </w:t>
      </w:r>
      <w:r w:rsidR="00090091">
        <w:rPr>
          <w:lang w:val="es-CO"/>
        </w:rPr>
        <w:t>Oscar Cabrera</w:t>
      </w:r>
      <w:r w:rsidR="00076FB6">
        <w:rPr>
          <w:rStyle w:val="Refdenotaalpie"/>
        </w:rPr>
        <w:footnoteReference w:id="26"/>
      </w:r>
      <w:r w:rsidR="004A187D">
        <w:rPr>
          <w:lang w:val="es-CO"/>
        </w:rPr>
        <w:t>, Fernando Serrano</w:t>
      </w:r>
      <w:r w:rsidR="00076FB6">
        <w:rPr>
          <w:rStyle w:val="Refdenotaalpie"/>
        </w:rPr>
        <w:footnoteReference w:id="27"/>
      </w:r>
      <w:r w:rsidR="004A187D">
        <w:rPr>
          <w:lang w:val="es-CO"/>
        </w:rPr>
        <w:t>, Howard Mielke</w:t>
      </w:r>
      <w:r w:rsidR="00076FB6">
        <w:rPr>
          <w:rStyle w:val="Refdenotaalpie"/>
        </w:rPr>
        <w:footnoteReference w:id="28"/>
      </w:r>
      <w:r w:rsidR="004A187D">
        <w:rPr>
          <w:lang w:val="es-CO"/>
        </w:rPr>
        <w:t>, Carolina Weill</w:t>
      </w:r>
      <w:r w:rsidR="00076FB6">
        <w:rPr>
          <w:rStyle w:val="Refdenotaalpie"/>
        </w:rPr>
        <w:footnoteReference w:id="29"/>
      </w:r>
      <w:r w:rsidR="004A187D">
        <w:rPr>
          <w:lang w:val="es-CO"/>
        </w:rPr>
        <w:t xml:space="preserve">, </w:t>
      </w:r>
      <w:r w:rsidR="004A1729">
        <w:rPr>
          <w:lang w:val="es-CO"/>
        </w:rPr>
        <w:t xml:space="preserve">y </w:t>
      </w:r>
      <w:r w:rsidR="004A187D">
        <w:rPr>
          <w:lang w:val="es-CO"/>
        </w:rPr>
        <w:t>Diego Miguel Quirama Aguilar</w:t>
      </w:r>
      <w:r w:rsidR="00076FB6">
        <w:rPr>
          <w:rStyle w:val="Refdenotaalpie"/>
        </w:rPr>
        <w:footnoteReference w:id="30"/>
      </w:r>
      <w:r w:rsidR="00C43060">
        <w:rPr>
          <w:lang w:val="es-CO"/>
        </w:rPr>
        <w:t xml:space="preserve">. </w:t>
      </w:r>
      <w:r w:rsidR="00EA29B0">
        <w:rPr>
          <w:lang w:val="es-CO"/>
        </w:rPr>
        <w:t>R</w:t>
      </w:r>
      <w:r w:rsidR="006745A7">
        <w:rPr>
          <w:lang w:val="es-CO"/>
        </w:rPr>
        <w:t>especto de Marisol Yañez de la Cruz</w:t>
      </w:r>
      <w:r w:rsidR="00F52191">
        <w:rPr>
          <w:lang w:val="es-CO"/>
        </w:rPr>
        <w:t>,</w:t>
      </w:r>
      <w:r w:rsidR="00EA29B0">
        <w:rPr>
          <w:lang w:val="es-CO"/>
        </w:rPr>
        <w:t xml:space="preserve"> el </w:t>
      </w:r>
      <w:r w:rsidR="00EA29B0">
        <w:rPr>
          <w:b/>
          <w:bCs w:val="0"/>
          <w:i/>
          <w:iCs w:val="0"/>
          <w:lang w:val="es-CO"/>
        </w:rPr>
        <w:t>Estado</w:t>
      </w:r>
      <w:r w:rsidR="00F52191">
        <w:rPr>
          <w:lang w:val="es-CO"/>
        </w:rPr>
        <w:t xml:space="preserve"> </w:t>
      </w:r>
      <w:r w:rsidR="00F52191">
        <w:rPr>
          <w:lang w:val="es-CO"/>
        </w:rPr>
        <w:lastRenderedPageBreak/>
        <w:t>notó que “declarará sobre daños psicosociales a las víctimas producidos por violaciones a sus derechos desde una óptica general”, y en ese sentido</w:t>
      </w:r>
      <w:r w:rsidR="006745A7">
        <w:rPr>
          <w:lang w:val="es-CO"/>
        </w:rPr>
        <w:t xml:space="preserve"> sostuvo que </w:t>
      </w:r>
      <w:r w:rsidR="001C5258">
        <w:rPr>
          <w:lang w:val="es-CO"/>
        </w:rPr>
        <w:t xml:space="preserve">es razonable </w:t>
      </w:r>
      <w:r w:rsidR="009B223D">
        <w:rPr>
          <w:lang w:val="es-CO"/>
        </w:rPr>
        <w:t xml:space="preserve">para el Estado que la perita </w:t>
      </w:r>
      <w:r w:rsidR="003E659A">
        <w:rPr>
          <w:lang w:val="es-CO"/>
        </w:rPr>
        <w:t>“</w:t>
      </w:r>
      <w:r w:rsidR="009B223D">
        <w:rPr>
          <w:lang w:val="es-CO"/>
        </w:rPr>
        <w:t xml:space="preserve">realice </w:t>
      </w:r>
      <w:r w:rsidR="003E659A">
        <w:rPr>
          <w:lang w:val="es-CO"/>
        </w:rPr>
        <w:t xml:space="preserve">un análisis de las víctimas del caso en concreto que permitirá realizar una pericia adecuada para el caso”. Respecto de Marcos Orellana, </w:t>
      </w:r>
      <w:r w:rsidR="00D84401">
        <w:rPr>
          <w:lang w:val="es-CO"/>
        </w:rPr>
        <w:t>solicitó que se realizara una delimitación del objeto de su peri</w:t>
      </w:r>
      <w:r w:rsidR="00EA29B0">
        <w:rPr>
          <w:lang w:val="es-CO"/>
        </w:rPr>
        <w:t>taje</w:t>
      </w:r>
      <w:r w:rsidR="003F4228">
        <w:rPr>
          <w:lang w:val="es-CO"/>
        </w:rPr>
        <w:t xml:space="preserve"> con especial incidencia en los hechos del caso</w:t>
      </w:r>
      <w:r w:rsidR="00D84401">
        <w:rPr>
          <w:lang w:val="es-CO"/>
        </w:rPr>
        <w:t xml:space="preserve">. Sobre </w:t>
      </w:r>
      <w:r w:rsidR="003F4228">
        <w:rPr>
          <w:lang w:val="es-CO"/>
        </w:rPr>
        <w:t>Oscar Cabrera, observó que el objeto de su declaración excede su experiencia</w:t>
      </w:r>
      <w:r w:rsidR="00FA261D">
        <w:rPr>
          <w:lang w:val="es-CO"/>
        </w:rPr>
        <w:t xml:space="preserve">, por lo que su declaración debía ser rechazada. En relación con Fernando Serrano, sostuvo que </w:t>
      </w:r>
      <w:r w:rsidR="002410A0">
        <w:rPr>
          <w:lang w:val="es-CO"/>
        </w:rPr>
        <w:t xml:space="preserve">no resulta necesario sobreabundar en declaraciones que aportan </w:t>
      </w:r>
      <w:r w:rsidR="00200C3B">
        <w:rPr>
          <w:lang w:val="es-CO"/>
        </w:rPr>
        <w:t>elementos que no tienen una mayor relevancia o valor probatorio</w:t>
      </w:r>
      <w:r w:rsidR="00E40BBC">
        <w:rPr>
          <w:lang w:val="es-CO"/>
        </w:rPr>
        <w:t>, por lo que debía ser rechazada;</w:t>
      </w:r>
      <w:r w:rsidR="005E0F8A">
        <w:rPr>
          <w:lang w:val="es-CO"/>
        </w:rPr>
        <w:t xml:space="preserve"> y que en caso de ser admitida</w:t>
      </w:r>
      <w:r w:rsidR="00E40BBC">
        <w:rPr>
          <w:lang w:val="es-CO"/>
        </w:rPr>
        <w:t>,</w:t>
      </w:r>
      <w:r w:rsidR="005E0F8A">
        <w:rPr>
          <w:lang w:val="es-CO"/>
        </w:rPr>
        <w:t xml:space="preserve"> se debe enfocar en el caso de La Oroya. Respecto de Howard Mielke, </w:t>
      </w:r>
      <w:r w:rsidR="00A81C23">
        <w:rPr>
          <w:lang w:val="es-CO"/>
        </w:rPr>
        <w:t>observó que aborda temáticas similares que el peritaje de Fernando Serrano</w:t>
      </w:r>
      <w:r w:rsidR="00AE06A7">
        <w:rPr>
          <w:lang w:val="es-CO"/>
        </w:rPr>
        <w:t xml:space="preserve">, por lo que los representantes debían justificar la pertinencia del ofrecimiento conjunto de ambos peritajes. </w:t>
      </w:r>
      <w:r w:rsidR="007C746D">
        <w:rPr>
          <w:lang w:val="es-CO"/>
        </w:rPr>
        <w:t>En relación con Carolina Weil</w:t>
      </w:r>
      <w:r w:rsidR="00737F94">
        <w:rPr>
          <w:lang w:val="es-CO"/>
        </w:rPr>
        <w:t>l, el Estado observ</w:t>
      </w:r>
      <w:r w:rsidR="00EA29B0">
        <w:rPr>
          <w:lang w:val="es-CO"/>
        </w:rPr>
        <w:t>ó</w:t>
      </w:r>
      <w:r w:rsidR="00737F94">
        <w:rPr>
          <w:lang w:val="es-CO"/>
        </w:rPr>
        <w:t xml:space="preserve"> que su </w:t>
      </w:r>
      <w:r w:rsidR="00EA29B0">
        <w:rPr>
          <w:lang w:val="es-CO"/>
        </w:rPr>
        <w:t>dictamen</w:t>
      </w:r>
      <w:r w:rsidR="00737F94">
        <w:rPr>
          <w:lang w:val="es-CO"/>
        </w:rPr>
        <w:t xml:space="preserve"> aborda</w:t>
      </w:r>
      <w:r w:rsidR="00EA29B0">
        <w:rPr>
          <w:lang w:val="es-CO"/>
        </w:rPr>
        <w:t>rá</w:t>
      </w:r>
      <w:r w:rsidR="00737F94">
        <w:rPr>
          <w:lang w:val="es-CO"/>
        </w:rPr>
        <w:t xml:space="preserve"> objetos similares sobre contaminación, y además que </w:t>
      </w:r>
      <w:r w:rsidR="00CE01C0">
        <w:rPr>
          <w:lang w:val="es-CO"/>
        </w:rPr>
        <w:t>“</w:t>
      </w:r>
      <w:r w:rsidR="00737F94">
        <w:rPr>
          <w:lang w:val="es-CO"/>
        </w:rPr>
        <w:t>la cuestión de género</w:t>
      </w:r>
      <w:r w:rsidR="00CE01C0">
        <w:rPr>
          <w:lang w:val="es-CO"/>
        </w:rPr>
        <w:t>”</w:t>
      </w:r>
      <w:r w:rsidR="00737F94">
        <w:rPr>
          <w:lang w:val="es-CO"/>
        </w:rPr>
        <w:t xml:space="preserve"> no forma parte de los puntos en controversia en el caso</w:t>
      </w:r>
      <w:r w:rsidR="00740CD6">
        <w:rPr>
          <w:lang w:val="es-CO"/>
        </w:rPr>
        <w:t xml:space="preserve"> por lo que debe ser desestimada. Finalmente, en relación con Diego Miguel Quirama Aguilar, sostuvo </w:t>
      </w:r>
      <w:r w:rsidR="003F4110">
        <w:rPr>
          <w:lang w:val="es-CO"/>
        </w:rPr>
        <w:t>que el objeto aborda cuestiones respecto a la medición de la calidad del aire</w:t>
      </w:r>
      <w:r w:rsidR="00853A7F">
        <w:rPr>
          <w:lang w:val="es-CO"/>
        </w:rPr>
        <w:t xml:space="preserve"> </w:t>
      </w:r>
      <w:r w:rsidR="00EA29B0">
        <w:rPr>
          <w:lang w:val="es-CO"/>
        </w:rPr>
        <w:t>con</w:t>
      </w:r>
      <w:r w:rsidR="00853A7F">
        <w:rPr>
          <w:lang w:val="es-CO"/>
        </w:rPr>
        <w:t xml:space="preserve"> relación a decisiones de política pública </w:t>
      </w:r>
      <w:r w:rsidR="008B2B69">
        <w:rPr>
          <w:lang w:val="es-CO"/>
        </w:rPr>
        <w:t>y protección de la salud</w:t>
      </w:r>
      <w:r w:rsidR="003F4110">
        <w:rPr>
          <w:lang w:val="es-CO"/>
        </w:rPr>
        <w:t xml:space="preserve">, lo cual exceden sus conocimientos </w:t>
      </w:r>
      <w:r w:rsidR="00AB72EF">
        <w:rPr>
          <w:lang w:val="es-CO"/>
        </w:rPr>
        <w:t xml:space="preserve">al ser experto en calidad del aire y dispersión atmosférica. </w:t>
      </w:r>
      <w:r w:rsidR="00AB72EF" w:rsidRPr="00E2767E">
        <w:rPr>
          <w:lang w:val="es-CO"/>
        </w:rPr>
        <w:t xml:space="preserve">La </w:t>
      </w:r>
      <w:r w:rsidR="00AB72EF" w:rsidRPr="207833A6">
        <w:rPr>
          <w:b/>
          <w:i/>
          <w:lang w:val="es-CO"/>
        </w:rPr>
        <w:t xml:space="preserve">Comisión </w:t>
      </w:r>
      <w:r w:rsidR="00AB72EF" w:rsidRPr="00E2767E">
        <w:rPr>
          <w:lang w:val="es-CO"/>
        </w:rPr>
        <w:t>informó que no tenía observaciones que formular sobre el particular.</w:t>
      </w:r>
    </w:p>
    <w:p w14:paraId="73760318" w14:textId="77777777" w:rsidR="005814E8" w:rsidRDefault="005814E8" w:rsidP="005814E8">
      <w:pPr>
        <w:pStyle w:val="Sinespaciado"/>
        <w:numPr>
          <w:ilvl w:val="0"/>
          <w:numId w:val="0"/>
        </w:numPr>
        <w:rPr>
          <w:lang w:val="es-CO"/>
        </w:rPr>
      </w:pPr>
    </w:p>
    <w:p w14:paraId="760CE31A" w14:textId="76535570" w:rsidR="009151FD" w:rsidRDefault="4CA6750B" w:rsidP="009151FD">
      <w:pPr>
        <w:pStyle w:val="Sinespaciado"/>
        <w:ind w:left="0" w:firstLine="0"/>
        <w:rPr>
          <w:lang w:val="es-CO"/>
        </w:rPr>
      </w:pPr>
      <w:r w:rsidRPr="4CA6750B">
        <w:rPr>
          <w:lang w:val="es-CO"/>
        </w:rPr>
        <w:t xml:space="preserve">En relación con las observaciones planteadas por el Estado al peritaje de Marisol Yañez de la Cruz, el </w:t>
      </w:r>
      <w:r w:rsidRPr="00EA29B0">
        <w:rPr>
          <w:b/>
          <w:bCs w:val="0"/>
          <w:i/>
          <w:iCs w:val="0"/>
          <w:lang w:val="es-CO"/>
        </w:rPr>
        <w:t>Presidente</w:t>
      </w:r>
      <w:r w:rsidRPr="4CA6750B">
        <w:rPr>
          <w:lang w:val="es-CO"/>
        </w:rPr>
        <w:t xml:space="preserve"> advierte que el objeto de su declaración incluye que la perita se refiera a “los daños e impactos psicosociales de las víctimas, producidos por las violaciones a derechos humanos en el presente caso y la falta de respuesta por parte del Estado. La perita emitirá recomendaciones en materia de reparación integral en el caso concreto”. En ese sentido, el Presidente considera que el objeto del peritaje ofrecido por los representantes permite que la perita se refiera de manera específica a las presuntas víctimas del presente caso, por lo que no considera necesario modificar dicho peritaje en razón de lo expuesto por el Estado en sus observaciones. </w:t>
      </w:r>
    </w:p>
    <w:p w14:paraId="5EE826D9" w14:textId="77777777" w:rsidR="009151FD" w:rsidRPr="009151FD" w:rsidRDefault="009151FD" w:rsidP="009151FD">
      <w:pPr>
        <w:pStyle w:val="Sinespaciado"/>
        <w:numPr>
          <w:ilvl w:val="0"/>
          <w:numId w:val="0"/>
        </w:numPr>
        <w:rPr>
          <w:lang w:val="es-CO"/>
        </w:rPr>
      </w:pPr>
    </w:p>
    <w:p w14:paraId="2E9AC587" w14:textId="3A1A80DB" w:rsidR="007525A9" w:rsidRDefault="00732320" w:rsidP="007752BC">
      <w:pPr>
        <w:pStyle w:val="Sinespaciado"/>
        <w:ind w:left="0" w:firstLine="0"/>
        <w:rPr>
          <w:lang w:val="es-CO"/>
        </w:rPr>
      </w:pPr>
      <w:r>
        <w:rPr>
          <w:lang w:val="es-CO"/>
        </w:rPr>
        <w:t>R</w:t>
      </w:r>
      <w:r w:rsidR="00ED332A">
        <w:rPr>
          <w:lang w:val="es-CO"/>
        </w:rPr>
        <w:t>especto de</w:t>
      </w:r>
      <w:r w:rsidR="002F6161">
        <w:rPr>
          <w:lang w:val="es-CO"/>
        </w:rPr>
        <w:t xml:space="preserve"> </w:t>
      </w:r>
      <w:r w:rsidR="00ED332A">
        <w:rPr>
          <w:lang w:val="es-CO"/>
        </w:rPr>
        <w:t>l</w:t>
      </w:r>
      <w:r w:rsidR="002F6161">
        <w:rPr>
          <w:lang w:val="es-CO"/>
        </w:rPr>
        <w:t>as observaciones</w:t>
      </w:r>
      <w:r w:rsidR="009151FD">
        <w:rPr>
          <w:lang w:val="es-CO"/>
        </w:rPr>
        <w:t xml:space="preserve"> del Estado</w:t>
      </w:r>
      <w:r w:rsidR="002F6161">
        <w:rPr>
          <w:lang w:val="es-CO"/>
        </w:rPr>
        <w:t xml:space="preserve"> </w:t>
      </w:r>
      <w:r w:rsidR="009151FD">
        <w:rPr>
          <w:lang w:val="es-CO"/>
        </w:rPr>
        <w:t>sobre</w:t>
      </w:r>
      <w:r w:rsidR="002F6161">
        <w:rPr>
          <w:lang w:val="es-CO"/>
        </w:rPr>
        <w:t xml:space="preserve"> el</w:t>
      </w:r>
      <w:r w:rsidR="00ED332A">
        <w:rPr>
          <w:lang w:val="es-CO"/>
        </w:rPr>
        <w:t xml:space="preserve"> alcance del peritaje de Marcos Orellana, el Presidente advierte </w:t>
      </w:r>
      <w:r w:rsidR="00CA0948">
        <w:rPr>
          <w:lang w:val="es-CO"/>
        </w:rPr>
        <w:t>que</w:t>
      </w:r>
      <w:r w:rsidR="009151FD">
        <w:rPr>
          <w:lang w:val="es-CO"/>
        </w:rPr>
        <w:t xml:space="preserve"> -tal como lo expresó la Comisión Interamericana en el sometimiento del caso-</w:t>
      </w:r>
      <w:r w:rsidR="00CA0948">
        <w:rPr>
          <w:lang w:val="es-CO"/>
        </w:rPr>
        <w:t xml:space="preserve"> </w:t>
      </w:r>
      <w:r w:rsidR="00FD5838">
        <w:rPr>
          <w:lang w:val="es-CO"/>
        </w:rPr>
        <w:t>el presente caso se re</w:t>
      </w:r>
      <w:r>
        <w:rPr>
          <w:lang w:val="es-CO"/>
        </w:rPr>
        <w:t>laciona con la alegada “responsabilidad del Estado por los perjuicios causados a un grupo de pobladores de la Comunidad de La Oroya, como consecuencia de actos de contaminación realizados por un complejo metalúrgico de dicha comunidad”</w:t>
      </w:r>
      <w:r>
        <w:rPr>
          <w:rStyle w:val="Refdenotaalpie"/>
        </w:rPr>
        <w:footnoteReference w:id="31"/>
      </w:r>
      <w:r>
        <w:rPr>
          <w:lang w:val="es-CO"/>
        </w:rPr>
        <w:t xml:space="preserve">. </w:t>
      </w:r>
      <w:r w:rsidR="00401CF2">
        <w:rPr>
          <w:lang w:val="es-CO"/>
        </w:rPr>
        <w:t>En ese sentido</w:t>
      </w:r>
      <w:r w:rsidR="00833362">
        <w:rPr>
          <w:lang w:val="es-CO"/>
        </w:rPr>
        <w:t>,</w:t>
      </w:r>
      <w:r w:rsidR="00DD6596">
        <w:rPr>
          <w:lang w:val="es-CO"/>
        </w:rPr>
        <w:t xml:space="preserve"> el Presidente advierte que el objeto del peritaje de Marcos Orellana </w:t>
      </w:r>
      <w:r w:rsidR="00C7585F">
        <w:rPr>
          <w:lang w:val="es-CO"/>
        </w:rPr>
        <w:t>busca</w:t>
      </w:r>
      <w:r w:rsidR="00BA1566">
        <w:rPr>
          <w:lang w:val="es-CO"/>
        </w:rPr>
        <w:t xml:space="preserve">, entre otras cuestiones, </w:t>
      </w:r>
      <w:r w:rsidR="00DD6596">
        <w:rPr>
          <w:lang w:val="es-CO"/>
        </w:rPr>
        <w:t>abordar “los efectos adversos de la contaminación en el goce efectivo de los derechos humanos”</w:t>
      </w:r>
      <w:r w:rsidR="008A2AE6">
        <w:rPr>
          <w:lang w:val="es-CO"/>
        </w:rPr>
        <w:t>, y que</w:t>
      </w:r>
      <w:r w:rsidR="009151FD">
        <w:rPr>
          <w:lang w:val="es-CO"/>
        </w:rPr>
        <w:t xml:space="preserve"> </w:t>
      </w:r>
      <w:r w:rsidR="006123F2">
        <w:rPr>
          <w:lang w:val="es-CO"/>
        </w:rPr>
        <w:t>“</w:t>
      </w:r>
      <w:r w:rsidR="0071716A">
        <w:rPr>
          <w:lang w:val="es-CO"/>
        </w:rPr>
        <w:t>[e]n el desarrollo de su peritaje, el experto podrá pronunciarse sobre los hechos del caso”.</w:t>
      </w:r>
      <w:r w:rsidR="00833362">
        <w:rPr>
          <w:lang w:val="es-CO"/>
        </w:rPr>
        <w:t xml:space="preserve"> </w:t>
      </w:r>
      <w:r w:rsidR="007525A9">
        <w:rPr>
          <w:lang w:val="es-CO"/>
        </w:rPr>
        <w:t xml:space="preserve">De </w:t>
      </w:r>
      <w:r w:rsidR="00E06AC7">
        <w:rPr>
          <w:lang w:val="es-CO"/>
        </w:rPr>
        <w:t>esta</w:t>
      </w:r>
      <w:r w:rsidR="007525A9">
        <w:rPr>
          <w:lang w:val="es-CO"/>
        </w:rPr>
        <w:t xml:space="preserve"> forma</w:t>
      </w:r>
      <w:r w:rsidR="003B1B26">
        <w:rPr>
          <w:lang w:val="es-CO"/>
        </w:rPr>
        <w:t>,</w:t>
      </w:r>
      <w:r w:rsidR="008A2AE6">
        <w:rPr>
          <w:lang w:val="es-CO"/>
        </w:rPr>
        <w:t xml:space="preserve"> el Presidente considera que el objeto del peritaje</w:t>
      </w:r>
      <w:r w:rsidR="00993951">
        <w:rPr>
          <w:lang w:val="es-CO"/>
        </w:rPr>
        <w:t xml:space="preserve"> </w:t>
      </w:r>
      <w:r w:rsidR="00376FE3">
        <w:rPr>
          <w:lang w:val="es-CO"/>
        </w:rPr>
        <w:t xml:space="preserve">claramente </w:t>
      </w:r>
      <w:r w:rsidR="008A2AE6">
        <w:rPr>
          <w:lang w:val="es-CO"/>
        </w:rPr>
        <w:t>busca abordar</w:t>
      </w:r>
      <w:r w:rsidR="00246AA3">
        <w:rPr>
          <w:lang w:val="es-CO"/>
        </w:rPr>
        <w:t xml:space="preserve"> temáticas </w:t>
      </w:r>
      <w:r w:rsidR="008A2AE6">
        <w:rPr>
          <w:lang w:val="es-CO"/>
        </w:rPr>
        <w:t xml:space="preserve">relacionadas con </w:t>
      </w:r>
      <w:r w:rsidR="00376FE3">
        <w:rPr>
          <w:lang w:val="es-CO"/>
        </w:rPr>
        <w:t>una de las</w:t>
      </w:r>
      <w:r w:rsidR="00ED011A">
        <w:rPr>
          <w:lang w:val="es-CO"/>
        </w:rPr>
        <w:t xml:space="preserve"> controversia</w:t>
      </w:r>
      <w:r w:rsidR="00376FE3">
        <w:rPr>
          <w:lang w:val="es-CO"/>
        </w:rPr>
        <w:t>s centrales</w:t>
      </w:r>
      <w:r w:rsidR="00ED011A">
        <w:rPr>
          <w:lang w:val="es-CO"/>
        </w:rPr>
        <w:t xml:space="preserve"> planteada en el </w:t>
      </w:r>
      <w:r w:rsidR="00246AA3">
        <w:rPr>
          <w:lang w:val="es-CO"/>
        </w:rPr>
        <w:t>presente caso,</w:t>
      </w:r>
      <w:r w:rsidR="008A2AE6">
        <w:rPr>
          <w:lang w:val="es-CO"/>
        </w:rPr>
        <w:t xml:space="preserve"> y con los hechos específicos del mismo,</w:t>
      </w:r>
      <w:r w:rsidR="00246AA3">
        <w:rPr>
          <w:lang w:val="es-CO"/>
        </w:rPr>
        <w:t xml:space="preserve"> por lo que </w:t>
      </w:r>
      <w:r w:rsidR="007525A9">
        <w:rPr>
          <w:lang w:val="es-CO"/>
        </w:rPr>
        <w:t>no considera necesario modificar el objeto del peritaje en razón de las observaciones del Estado.</w:t>
      </w:r>
    </w:p>
    <w:p w14:paraId="3D1CA9C6" w14:textId="77777777" w:rsidR="007525A9" w:rsidRPr="007525A9" w:rsidRDefault="007525A9" w:rsidP="007525A9">
      <w:pPr>
        <w:rPr>
          <w:lang w:val="es-CO"/>
        </w:rPr>
      </w:pPr>
    </w:p>
    <w:p w14:paraId="334D720A" w14:textId="792996BE" w:rsidR="007525A9" w:rsidRDefault="007525A9" w:rsidP="007752BC">
      <w:pPr>
        <w:pStyle w:val="Sinespaciado"/>
        <w:ind w:left="0" w:firstLine="0"/>
        <w:rPr>
          <w:lang w:val="es-CO"/>
        </w:rPr>
      </w:pPr>
      <w:r>
        <w:rPr>
          <w:lang w:val="es-CO"/>
        </w:rPr>
        <w:t>Respecto de</w:t>
      </w:r>
      <w:r w:rsidR="00750217">
        <w:rPr>
          <w:lang w:val="es-CO"/>
        </w:rPr>
        <w:t xml:space="preserve"> las observaciones al peritaje de Oscar Cabrera, </w:t>
      </w:r>
      <w:r w:rsidR="00DC17D5">
        <w:rPr>
          <w:lang w:val="es-CO"/>
        </w:rPr>
        <w:t xml:space="preserve">el Presidente recuerda que uno de los puntos de debate del presente caso consiste en determinar si </w:t>
      </w:r>
      <w:r w:rsidR="00902C51">
        <w:rPr>
          <w:lang w:val="es-CO"/>
        </w:rPr>
        <w:t xml:space="preserve">existió una </w:t>
      </w:r>
      <w:r w:rsidR="0055415F">
        <w:rPr>
          <w:lang w:val="es-CO"/>
        </w:rPr>
        <w:t xml:space="preserve">afectación al derecho a la salud de las </w:t>
      </w:r>
      <w:r w:rsidR="007239F9">
        <w:rPr>
          <w:lang w:val="es-CO"/>
        </w:rPr>
        <w:t xml:space="preserve">presuntas víctimas. En ese sentido, el Presidente advierte que el objeto del peritaje de Oscar Cabrera se refiere a </w:t>
      </w:r>
      <w:r w:rsidR="00A84EAA">
        <w:rPr>
          <w:lang w:val="es-CO"/>
        </w:rPr>
        <w:t xml:space="preserve">“la responsabilidad internacional de los Estados frente a los </w:t>
      </w:r>
      <w:r w:rsidR="00373590">
        <w:rPr>
          <w:lang w:val="es-CO"/>
        </w:rPr>
        <w:t>riesgos e impactos</w:t>
      </w:r>
      <w:r w:rsidR="00845CCC">
        <w:rPr>
          <w:lang w:val="es-CO"/>
        </w:rPr>
        <w:t xml:space="preserve"> </w:t>
      </w:r>
      <w:r w:rsidR="00FE57BA">
        <w:rPr>
          <w:lang w:val="es-CO"/>
        </w:rPr>
        <w:t xml:space="preserve">adversos </w:t>
      </w:r>
      <w:r w:rsidR="00845CCC">
        <w:rPr>
          <w:lang w:val="es-CO"/>
        </w:rPr>
        <w:t>a la salud</w:t>
      </w:r>
      <w:r w:rsidR="00373590">
        <w:rPr>
          <w:lang w:val="es-CO"/>
        </w:rPr>
        <w:t xml:space="preserve"> generados por la contaminación ambiental, considerando su rol en la creación y continuidad de dichos riesgos”. Asimismo, </w:t>
      </w:r>
      <w:r w:rsidR="00871D81">
        <w:rPr>
          <w:lang w:val="es-CO"/>
        </w:rPr>
        <w:lastRenderedPageBreak/>
        <w:t>observa</w:t>
      </w:r>
      <w:r w:rsidR="00373590">
        <w:rPr>
          <w:lang w:val="es-CO"/>
        </w:rPr>
        <w:t xml:space="preserve"> que el perito ofrecido cuenta </w:t>
      </w:r>
      <w:r w:rsidR="00871D81">
        <w:rPr>
          <w:lang w:val="es-CO"/>
        </w:rPr>
        <w:t>con una trayectoria especializad</w:t>
      </w:r>
      <w:r w:rsidR="00B32FF3">
        <w:rPr>
          <w:lang w:val="es-CO"/>
        </w:rPr>
        <w:t>a</w:t>
      </w:r>
      <w:r w:rsidR="00871D81">
        <w:rPr>
          <w:lang w:val="es-CO"/>
        </w:rPr>
        <w:t xml:space="preserve"> </w:t>
      </w:r>
      <w:r w:rsidR="00902C51">
        <w:rPr>
          <w:lang w:val="es-CO"/>
        </w:rPr>
        <w:t>en relación con</w:t>
      </w:r>
      <w:r w:rsidR="004A1D50">
        <w:rPr>
          <w:lang w:val="es-CO"/>
        </w:rPr>
        <w:t xml:space="preserve"> el derecho a la salud</w:t>
      </w:r>
      <w:r w:rsidR="00403C28">
        <w:rPr>
          <w:lang w:val="es-CO"/>
        </w:rPr>
        <w:t>. Esta trayectoria se advierte de</w:t>
      </w:r>
      <w:r w:rsidR="00137006">
        <w:rPr>
          <w:lang w:val="es-CO"/>
        </w:rPr>
        <w:t xml:space="preserve"> </w:t>
      </w:r>
      <w:r w:rsidR="00B32FF3">
        <w:rPr>
          <w:lang w:val="es-CO"/>
        </w:rPr>
        <w:t>sus actividades profesionales</w:t>
      </w:r>
      <w:r w:rsidR="00902C51">
        <w:rPr>
          <w:lang w:val="es-CO"/>
        </w:rPr>
        <w:t>, y</w:t>
      </w:r>
      <w:r w:rsidR="00B32FF3">
        <w:rPr>
          <w:lang w:val="es-CO"/>
        </w:rPr>
        <w:t xml:space="preserve"> de sus múltiples publicaciones y actividades académicas </w:t>
      </w:r>
      <w:r w:rsidR="002425EF">
        <w:rPr>
          <w:lang w:val="es-CO"/>
        </w:rPr>
        <w:t>relacionadas con la materia, las cuales se reflejan en su hoja de vida</w:t>
      </w:r>
      <w:r w:rsidR="00253FC2">
        <w:rPr>
          <w:rStyle w:val="Refdenotaalpie"/>
        </w:rPr>
        <w:footnoteReference w:id="32"/>
      </w:r>
      <w:r w:rsidR="002425EF">
        <w:rPr>
          <w:lang w:val="es-CO"/>
        </w:rPr>
        <w:t xml:space="preserve">. En ese sentido, el Presidente considera que </w:t>
      </w:r>
      <w:r w:rsidR="00B0674A">
        <w:rPr>
          <w:lang w:val="es-CO"/>
        </w:rPr>
        <w:t>el perito cuenta con la experticia suficiente para emitir una opinión técnica en el presente caso</w:t>
      </w:r>
      <w:r w:rsidR="00256AB1">
        <w:rPr>
          <w:lang w:val="es-CO"/>
        </w:rPr>
        <w:t xml:space="preserve"> en relación con el objeto de su peritaje</w:t>
      </w:r>
      <w:r w:rsidR="00B0674A">
        <w:rPr>
          <w:lang w:val="es-CO"/>
        </w:rPr>
        <w:t>.</w:t>
      </w:r>
      <w:r w:rsidR="00256AB1">
        <w:rPr>
          <w:lang w:val="es-CO"/>
        </w:rPr>
        <w:t xml:space="preserve"> En consecuencia, el Presidente rechaza la solicitud del Estado.</w:t>
      </w:r>
    </w:p>
    <w:p w14:paraId="37F2D82A" w14:textId="77777777" w:rsidR="00BC062F" w:rsidRDefault="00BC062F" w:rsidP="00BC062F">
      <w:pPr>
        <w:pStyle w:val="Sinespaciado"/>
        <w:numPr>
          <w:ilvl w:val="0"/>
          <w:numId w:val="0"/>
        </w:numPr>
        <w:rPr>
          <w:lang w:val="es-CO"/>
        </w:rPr>
      </w:pPr>
    </w:p>
    <w:p w14:paraId="5DF591DA" w14:textId="718D1420" w:rsidR="006B1307" w:rsidRPr="005D62AD" w:rsidRDefault="4CA6750B" w:rsidP="007752BC">
      <w:pPr>
        <w:pStyle w:val="Sinespaciado"/>
        <w:ind w:left="0" w:firstLine="0"/>
        <w:rPr>
          <w:lang w:val="es-CO"/>
        </w:rPr>
      </w:pPr>
      <w:r w:rsidRPr="4CA6750B">
        <w:rPr>
          <w:lang w:val="es-CO"/>
        </w:rPr>
        <w:t xml:space="preserve">Respecto de las observaciones del Estado sobre la falta de relevancia de los peritajes de Fernando Serrano, Howard Mielke, y Carolina Weil por la similitud de sus objetos, el Presidente advierte que, en efecto, los objetos de dichos peritajes guardan ciertas similitudes entre ellos, pues todos tienen relación con los riesgos que produce la contaminación ambiental en los derechos de las personas o el medio ambiente, y sobre la calificación de las acciones que el Estado ha realizado, o la determinación de aquellas que debería de realizar, para mitigar dichos riesgos. Sin embargo, el Presidente considera que cada uno de estos peritajes se refiere a cuestiones específicas de la problemática general que es objeto de análisis en el presente caso. En ese sentido, el Presidente considera que dichas declaraciones son útiles en la medida en que pueden proveer información relevante a la Corte para la resolución de las controversias planteadas en el caso. Asimismo, respecto a la observación del Estado sobre que “la cuestión de género” no forma parte de los aspectos bajo análisis, el Presidente recuerda que la controversia del caso incluye presuntas víctimas mujeres y niñas, lo cual resulta suficiente para que el caso pueda eventualmente tener ciertas connotaciones que ameriten un análisis desde una perspectiva de género. </w:t>
      </w:r>
      <w:r w:rsidRPr="4CA6750B">
        <w:rPr>
          <w:rFonts w:eastAsia="Batang" w:cs="Verdana"/>
          <w:lang w:val="es-ES" w:eastAsia="es-ES"/>
        </w:rPr>
        <w:t xml:space="preserve">En consecuencia, el Presidente concluye que no es </w:t>
      </w:r>
      <w:r w:rsidRPr="4CA6750B">
        <w:rPr>
          <w:rFonts w:eastAsia="Batang" w:cs="Verdana"/>
          <w:lang w:val="es-MX"/>
        </w:rPr>
        <w:t>procedente la solicitud del Estado de que se excluyan las declaraciones antes referidas, se limite su cantidad o se limite su objeto en los términos planteados en sus observaciones</w:t>
      </w:r>
      <w:r w:rsidRPr="4CA6750B">
        <w:rPr>
          <w:rFonts w:eastAsia="Batang" w:cs="Verdana"/>
        </w:rPr>
        <w:t>.</w:t>
      </w:r>
    </w:p>
    <w:p w14:paraId="19F201A7" w14:textId="77777777" w:rsidR="005D62AD" w:rsidRPr="005D62AD" w:rsidRDefault="005D62AD" w:rsidP="005D62AD">
      <w:pPr>
        <w:rPr>
          <w:lang w:val="es-CO"/>
        </w:rPr>
      </w:pPr>
    </w:p>
    <w:p w14:paraId="1D2E9C4E" w14:textId="313B85B1" w:rsidR="009E11DE" w:rsidRPr="00687EFE" w:rsidRDefault="4CA6750B" w:rsidP="00337763">
      <w:pPr>
        <w:pStyle w:val="Sinespaciado"/>
        <w:ind w:left="0" w:firstLine="0"/>
        <w:rPr>
          <w:rFonts w:cs="Arial"/>
          <w:lang w:val="es-CO"/>
        </w:rPr>
      </w:pPr>
      <w:r w:rsidRPr="4CA6750B">
        <w:rPr>
          <w:lang w:val="es-CO"/>
        </w:rPr>
        <w:t>Finalmente, en relación con las observaciones respecto de la</w:t>
      </w:r>
      <w:r w:rsidR="00EA29B0">
        <w:rPr>
          <w:lang w:val="es-CO"/>
        </w:rPr>
        <w:t xml:space="preserve"> supuesta</w:t>
      </w:r>
      <w:r w:rsidRPr="4CA6750B">
        <w:rPr>
          <w:lang w:val="es-CO"/>
        </w:rPr>
        <w:t xml:space="preserve"> falta de conocimientos del perito Diego Miguel Quirama Aguilar para rendir el peritaje en los términos ofrecidos por los representantes, el Presidente advierte que el objeto de la declaración se refiere, entre otras cuestiones a: “la declaración de las mediciones de calidad de aire en La Oroya y el uso de estándares y límites máximos locales propios en La Oroya para la toma de decisiones de política pública y la protección de la salud pública”. Al respecto, el Presidente advierte que, del análisis de la hoja de vida del perito, el señor Quirama Aguilar es, en efecto, especialista en temas relacionados con la calidad del aire y dispersión de contaminantes. Asimismo, el Presidente </w:t>
      </w:r>
      <w:r w:rsidR="00EA29B0">
        <w:rPr>
          <w:lang w:val="es-CO"/>
        </w:rPr>
        <w:t>nota</w:t>
      </w:r>
      <w:r w:rsidRPr="4CA6750B">
        <w:rPr>
          <w:lang w:val="es-CO"/>
        </w:rPr>
        <w:t xml:space="preserve"> que dicho perito ha realizado diversas actividades académicas -incluidas publicaciones y conferencias- relacionadas con las estrategias para el mejoramiento de la calidad del aire y la justicia ambiental. Para esta Presidencia, dicha información resulta suficiente para demostrar la idoneidad del perito para pronunciarse sobre la política pública en materia de calidad del aire y protección de la salud. En consecuencia, el Presidente rechaza la solicitud del Estado de modificación del objeto del peritaje en los términos planteados en sus observaciones.</w:t>
      </w:r>
    </w:p>
    <w:p w14:paraId="5D2A1093" w14:textId="77777777" w:rsidR="00687EFE" w:rsidRPr="00687EFE" w:rsidRDefault="00687EFE" w:rsidP="00687EFE">
      <w:pPr>
        <w:pStyle w:val="Sinespaciado"/>
        <w:numPr>
          <w:ilvl w:val="0"/>
          <w:numId w:val="0"/>
        </w:numPr>
        <w:rPr>
          <w:rFonts w:cs="Arial"/>
          <w:lang w:val="es-CO"/>
        </w:rPr>
      </w:pPr>
    </w:p>
    <w:p w14:paraId="6DBB275D" w14:textId="6A6EE55B" w:rsidR="00687EFE" w:rsidRPr="00687EFE" w:rsidRDefault="4CA6750B" w:rsidP="00687EFE">
      <w:pPr>
        <w:pStyle w:val="Sinespaciado"/>
        <w:ind w:left="0" w:firstLine="0"/>
        <w:rPr>
          <w:rFonts w:cs="Verdana"/>
          <w:lang w:bidi="en-US"/>
        </w:rPr>
      </w:pPr>
      <w:r>
        <w:t xml:space="preserve">En consideración a todo lo anterior, el Presidente admite </w:t>
      </w:r>
      <w:r w:rsidR="00EA29B0">
        <w:t>los peritaje</w:t>
      </w:r>
      <w:r w:rsidRPr="4CA6750B">
        <w:rPr>
          <w:lang w:val="es-CO"/>
        </w:rPr>
        <w:t xml:space="preserve"> de Marisol Yañez de la Cruz, Marcos Orellana, Oscar Cabrera, Fernando Serrano, Howard Mielke, Carolina Weill, y Diego Miguel Quirama Aguilar.</w:t>
      </w:r>
      <w:r>
        <w:t xml:space="preserve"> El objeto y la modalidad de dichas declaraciones se determinará en la parte resolutiva de la presente Resolución </w:t>
      </w:r>
      <w:r w:rsidRPr="00F15BAB">
        <w:t>(</w:t>
      </w:r>
      <w:r w:rsidRPr="00F15BAB">
        <w:rPr>
          <w:i/>
        </w:rPr>
        <w:t>infra</w:t>
      </w:r>
      <w:r w:rsidRPr="00F15BAB">
        <w:t xml:space="preserve"> puntos resolutivos 1 y 3)</w:t>
      </w:r>
      <w:r w:rsidR="00F15BAB" w:rsidRPr="00F15BAB">
        <w:t>.</w:t>
      </w:r>
    </w:p>
    <w:p w14:paraId="10AC6828" w14:textId="77777777" w:rsidR="00844492" w:rsidRPr="00F321E7" w:rsidRDefault="00844492" w:rsidP="007752BC">
      <w:pPr>
        <w:pStyle w:val="Prrafodelista"/>
        <w:ind w:left="0"/>
        <w:rPr>
          <w:rFonts w:cs="Arial"/>
          <w:lang w:val="es-CO"/>
        </w:rPr>
      </w:pPr>
    </w:p>
    <w:p w14:paraId="39EE9A9F" w14:textId="418AA41C" w:rsidR="000F1DB9" w:rsidRPr="00BE4A4C" w:rsidRDefault="000F1DB9" w:rsidP="000F1DB9">
      <w:pPr>
        <w:pStyle w:val="Prrafodelista"/>
        <w:numPr>
          <w:ilvl w:val="0"/>
          <w:numId w:val="11"/>
        </w:numPr>
        <w:spacing w:line="240" w:lineRule="auto"/>
        <w:ind w:right="11"/>
        <w:contextualSpacing w:val="0"/>
        <w:jc w:val="both"/>
        <w:rPr>
          <w:b/>
          <w:i/>
          <w:lang w:val="es-CO"/>
        </w:rPr>
      </w:pPr>
      <w:r w:rsidRPr="00BE4A4C">
        <w:rPr>
          <w:b/>
          <w:i/>
          <w:lang w:val="es-CO"/>
        </w:rPr>
        <w:t>Admisibilidad de las declaraciones ofrecidas por el Estado</w:t>
      </w:r>
    </w:p>
    <w:p w14:paraId="11AE88D3" w14:textId="77777777" w:rsidR="000F1DB9" w:rsidRPr="00AC27BA" w:rsidRDefault="000F1DB9" w:rsidP="000F1DB9">
      <w:pPr>
        <w:pStyle w:val="Prrafodelista"/>
        <w:ind w:left="0"/>
        <w:rPr>
          <w:rFonts w:cs="Arial"/>
          <w:lang w:val="es-CO"/>
        </w:rPr>
      </w:pPr>
    </w:p>
    <w:p w14:paraId="6FC3CFEE" w14:textId="501C7B6E" w:rsidR="000F1DB9" w:rsidRDefault="004F1C0E" w:rsidP="000F1DB9">
      <w:pPr>
        <w:pStyle w:val="Prrafodelista"/>
        <w:ind w:left="0"/>
        <w:rPr>
          <w:rFonts w:cs="Arial"/>
          <w:b/>
          <w:bCs/>
          <w:i/>
          <w:iCs/>
          <w:lang w:val="es-CO"/>
        </w:rPr>
      </w:pPr>
      <w:r>
        <w:rPr>
          <w:rFonts w:cs="Arial"/>
          <w:b/>
          <w:bCs/>
          <w:i/>
          <w:iCs/>
          <w:lang w:val="es-CO"/>
        </w:rPr>
        <w:lastRenderedPageBreak/>
        <w:t>B</w:t>
      </w:r>
      <w:r w:rsidR="000F1DB9" w:rsidRPr="00AC27BA">
        <w:rPr>
          <w:rFonts w:cs="Arial"/>
          <w:b/>
          <w:bCs/>
          <w:i/>
          <w:iCs/>
          <w:lang w:val="es-CO"/>
        </w:rPr>
        <w:t xml:space="preserve">.1. </w:t>
      </w:r>
      <w:r w:rsidR="000F1DB9">
        <w:rPr>
          <w:rFonts w:cs="Arial"/>
          <w:b/>
          <w:bCs/>
          <w:i/>
          <w:iCs/>
          <w:lang w:val="es-CO"/>
        </w:rPr>
        <w:t>Admisibilidad de las declaraciones testimoniales ofrecidas por el Estado</w:t>
      </w:r>
    </w:p>
    <w:p w14:paraId="162CF58F" w14:textId="293F715D" w:rsidR="000F1DB9" w:rsidRDefault="000F1DB9" w:rsidP="000F1DB9">
      <w:pPr>
        <w:pStyle w:val="Prrafodelista"/>
        <w:ind w:left="0"/>
        <w:rPr>
          <w:rFonts w:cs="Arial"/>
          <w:lang w:val="es-CO"/>
        </w:rPr>
      </w:pPr>
    </w:p>
    <w:p w14:paraId="22105A30" w14:textId="6A193BFB" w:rsidR="000F1DB9" w:rsidRDefault="00103572" w:rsidP="000F1DB9">
      <w:pPr>
        <w:pStyle w:val="Sinespaciado"/>
        <w:ind w:left="0" w:firstLine="0"/>
        <w:rPr>
          <w:lang w:val="es-CO"/>
        </w:rPr>
      </w:pPr>
      <w:r>
        <w:rPr>
          <w:lang w:val="es-CO"/>
        </w:rPr>
        <w:t xml:space="preserve">El </w:t>
      </w:r>
      <w:r w:rsidRPr="4CA6750B">
        <w:rPr>
          <w:b/>
          <w:i/>
          <w:lang w:val="es-CO"/>
        </w:rPr>
        <w:t xml:space="preserve">Estado </w:t>
      </w:r>
      <w:r>
        <w:rPr>
          <w:lang w:val="es-CO"/>
        </w:rPr>
        <w:t xml:space="preserve">ofreció las declaraciones testimoniales de </w:t>
      </w:r>
      <w:r w:rsidR="0053730F">
        <w:rPr>
          <w:lang w:val="es-CO"/>
        </w:rPr>
        <w:t>Jon</w:t>
      </w:r>
      <w:r w:rsidR="0069740A">
        <w:rPr>
          <w:lang w:val="es-CO"/>
        </w:rPr>
        <w:t>h</w:t>
      </w:r>
      <w:r w:rsidR="0053730F">
        <w:rPr>
          <w:lang w:val="es-CO"/>
        </w:rPr>
        <w:t xml:space="preserve"> Maximiliano Astete Cornejo</w:t>
      </w:r>
      <w:r w:rsidR="009631C1" w:rsidRPr="00E2767E">
        <w:rPr>
          <w:rStyle w:val="Refdenotaalpie"/>
          <w:sz w:val="20"/>
          <w:szCs w:val="20"/>
          <w:lang w:val="es-CO"/>
        </w:rPr>
        <w:footnoteReference w:id="33"/>
      </w:r>
      <w:r w:rsidR="000B2824">
        <w:rPr>
          <w:lang w:val="es-CO"/>
        </w:rPr>
        <w:t xml:space="preserve">, </w:t>
      </w:r>
      <w:r w:rsidR="00050D64">
        <w:rPr>
          <w:lang w:val="es-CO"/>
        </w:rPr>
        <w:t xml:space="preserve">y </w:t>
      </w:r>
      <w:r w:rsidR="005D026E">
        <w:rPr>
          <w:lang w:val="es-CO"/>
        </w:rPr>
        <w:t>Jazmín</w:t>
      </w:r>
      <w:r w:rsidR="00956261">
        <w:rPr>
          <w:lang w:val="es-CO"/>
        </w:rPr>
        <w:t xml:space="preserve"> Monr</w:t>
      </w:r>
      <w:r w:rsidR="005D026E">
        <w:rPr>
          <w:lang w:val="es-CO"/>
        </w:rPr>
        <w:t>r</w:t>
      </w:r>
      <w:r w:rsidR="00956261">
        <w:rPr>
          <w:lang w:val="es-CO"/>
        </w:rPr>
        <w:t>oy Polanco</w:t>
      </w:r>
      <w:r w:rsidR="00122221" w:rsidRPr="00E2767E">
        <w:rPr>
          <w:rStyle w:val="Refdenotaalpie"/>
          <w:sz w:val="20"/>
          <w:szCs w:val="20"/>
          <w:lang w:val="es-CO"/>
        </w:rPr>
        <w:footnoteReference w:id="34"/>
      </w:r>
      <w:r w:rsidR="009631C1">
        <w:rPr>
          <w:lang w:val="es-CO"/>
        </w:rPr>
        <w:t>.</w:t>
      </w:r>
      <w:r w:rsidR="000629B7">
        <w:rPr>
          <w:lang w:val="es-CO"/>
        </w:rPr>
        <w:t xml:space="preserve"> Los </w:t>
      </w:r>
      <w:r w:rsidR="000629B7" w:rsidRPr="4CA6750B">
        <w:rPr>
          <w:b/>
          <w:i/>
          <w:lang w:val="es-CO"/>
        </w:rPr>
        <w:t>representantes</w:t>
      </w:r>
      <w:r w:rsidR="000629B7">
        <w:rPr>
          <w:lang w:val="es-CO"/>
        </w:rPr>
        <w:t xml:space="preserve"> </w:t>
      </w:r>
      <w:r w:rsidR="00BC530A">
        <w:rPr>
          <w:lang w:val="es-CO"/>
        </w:rPr>
        <w:t xml:space="preserve">consideraron que los objetos de los testimonios antes señalados </w:t>
      </w:r>
      <w:r w:rsidR="00030DBF">
        <w:rPr>
          <w:lang w:val="es-CO"/>
        </w:rPr>
        <w:t xml:space="preserve">pretendían “delimitar el marco fáctico </w:t>
      </w:r>
      <w:r w:rsidR="00F53CD4">
        <w:rPr>
          <w:lang w:val="es-CO"/>
        </w:rPr>
        <w:t xml:space="preserve">del caso en aspectos que hacen </w:t>
      </w:r>
      <w:r w:rsidR="0011631A">
        <w:rPr>
          <w:lang w:val="es-CO"/>
        </w:rPr>
        <w:t xml:space="preserve">parte de la controversia </w:t>
      </w:r>
      <w:r w:rsidR="005278A6">
        <w:rPr>
          <w:lang w:val="es-CO"/>
        </w:rPr>
        <w:t>y limitan la comprensión de la Corte en torno a elementos fundamentales del debate”.</w:t>
      </w:r>
      <w:r w:rsidR="007D677E">
        <w:rPr>
          <w:lang w:val="es-CO"/>
        </w:rPr>
        <w:t xml:space="preserve"> En razón de ello</w:t>
      </w:r>
      <w:r w:rsidR="00722D6C">
        <w:rPr>
          <w:lang w:val="es-CO"/>
        </w:rPr>
        <w:t xml:space="preserve">, respecto del testimonio de John Maximiliano Astete Cornejo, expresaron que </w:t>
      </w:r>
      <w:r w:rsidR="00CB599F">
        <w:rPr>
          <w:lang w:val="es-CO"/>
        </w:rPr>
        <w:t xml:space="preserve">circunscribir </w:t>
      </w:r>
      <w:r w:rsidR="007D2AAD">
        <w:rPr>
          <w:lang w:val="es-CO"/>
        </w:rPr>
        <w:t xml:space="preserve">la declaración del testigo </w:t>
      </w:r>
      <w:r w:rsidR="00163724">
        <w:rPr>
          <w:lang w:val="es-CO"/>
        </w:rPr>
        <w:t>a la evaluación de los dosajes limitaría el ámbito de comprensión</w:t>
      </w:r>
      <w:r w:rsidR="001F7AAE">
        <w:rPr>
          <w:lang w:val="es-CO"/>
        </w:rPr>
        <w:t xml:space="preserve"> de la Corte en torno a las evaluaciones médicas </w:t>
      </w:r>
      <w:r w:rsidR="00DE5F7F">
        <w:rPr>
          <w:lang w:val="es-CO"/>
        </w:rPr>
        <w:t>y su idoneidad en el caso.</w:t>
      </w:r>
      <w:r w:rsidR="00CF229B">
        <w:rPr>
          <w:lang w:val="es-CO"/>
        </w:rPr>
        <w:t xml:space="preserve"> En ese sentido, señalaron que el objeto del testimonio es </w:t>
      </w:r>
      <w:r w:rsidR="000A1780">
        <w:rPr>
          <w:lang w:val="es-CO"/>
        </w:rPr>
        <w:t>abiertamente restrictivo</w:t>
      </w:r>
      <w:r w:rsidR="00377617">
        <w:rPr>
          <w:lang w:val="es-CO"/>
        </w:rPr>
        <w:t xml:space="preserve">. Respecto del objeto del </w:t>
      </w:r>
      <w:r w:rsidR="006252CC">
        <w:rPr>
          <w:lang w:val="es-CO"/>
        </w:rPr>
        <w:t xml:space="preserve">testimonio de </w:t>
      </w:r>
      <w:r w:rsidR="005D026E">
        <w:rPr>
          <w:lang w:val="es-CO"/>
        </w:rPr>
        <w:t>Jazmín</w:t>
      </w:r>
      <w:r w:rsidR="006252CC">
        <w:rPr>
          <w:lang w:val="es-CO"/>
        </w:rPr>
        <w:t xml:space="preserve"> </w:t>
      </w:r>
      <w:r w:rsidR="005D026E">
        <w:rPr>
          <w:lang w:val="es-CO"/>
        </w:rPr>
        <w:t>Monrroy</w:t>
      </w:r>
      <w:r w:rsidR="006252CC">
        <w:rPr>
          <w:lang w:val="es-CO"/>
        </w:rPr>
        <w:t xml:space="preserve"> Polanco, consideraron que </w:t>
      </w:r>
      <w:r w:rsidR="00D9665D">
        <w:rPr>
          <w:lang w:val="es-CO"/>
        </w:rPr>
        <w:t>es igualmente restrictivo teniendo en cuenta los hechos del caso.</w:t>
      </w:r>
      <w:r w:rsidR="004E11A1">
        <w:rPr>
          <w:lang w:val="es-CO"/>
        </w:rPr>
        <w:t xml:space="preserve"> </w:t>
      </w:r>
      <w:r w:rsidR="004E11A1" w:rsidRPr="00E2767E">
        <w:rPr>
          <w:lang w:val="es-CO"/>
        </w:rPr>
        <w:t xml:space="preserve">La </w:t>
      </w:r>
      <w:r w:rsidR="004E11A1" w:rsidRPr="4CA6750B">
        <w:rPr>
          <w:b/>
          <w:i/>
          <w:lang w:val="es-CO"/>
        </w:rPr>
        <w:t xml:space="preserve">Comisión </w:t>
      </w:r>
      <w:r w:rsidR="004E11A1" w:rsidRPr="00E2767E">
        <w:rPr>
          <w:lang w:val="es-CO"/>
        </w:rPr>
        <w:t>informó que no tenía observaciones que formular sobre el particular.</w:t>
      </w:r>
    </w:p>
    <w:p w14:paraId="7D4CDD18" w14:textId="293F715D" w:rsidR="004E11A1" w:rsidRDefault="004E11A1" w:rsidP="004E11A1">
      <w:pPr>
        <w:pStyle w:val="Sinespaciado"/>
        <w:numPr>
          <w:ilvl w:val="0"/>
          <w:numId w:val="0"/>
        </w:numPr>
        <w:rPr>
          <w:lang w:val="es-CO"/>
        </w:rPr>
      </w:pPr>
    </w:p>
    <w:p w14:paraId="57D49C68" w14:textId="347A6541" w:rsidR="004E11A1" w:rsidRPr="004E11A1" w:rsidRDefault="00F96F4C" w:rsidP="000F1DB9">
      <w:pPr>
        <w:pStyle w:val="Sinespaciado"/>
        <w:ind w:left="0" w:firstLine="0"/>
        <w:rPr>
          <w:lang w:val="es-CO"/>
        </w:rPr>
      </w:pPr>
      <w:r>
        <w:rPr>
          <w:lang w:val="es-CO"/>
        </w:rPr>
        <w:t xml:space="preserve">El </w:t>
      </w:r>
      <w:r w:rsidRPr="4CA6750B">
        <w:rPr>
          <w:b/>
          <w:i/>
          <w:lang w:val="es-CO"/>
        </w:rPr>
        <w:t xml:space="preserve">Presidente </w:t>
      </w:r>
      <w:r w:rsidR="002D03C4">
        <w:rPr>
          <w:lang w:val="es-CO"/>
        </w:rPr>
        <w:t>advierte</w:t>
      </w:r>
      <w:r w:rsidR="000C4928">
        <w:rPr>
          <w:lang w:val="es-CO"/>
        </w:rPr>
        <w:t xml:space="preserve"> que </w:t>
      </w:r>
      <w:r w:rsidR="009B0FE0">
        <w:rPr>
          <w:lang w:val="es-CO"/>
        </w:rPr>
        <w:t>la Corte</w:t>
      </w:r>
      <w:r w:rsidR="00CB571A">
        <w:rPr>
          <w:lang w:val="es-CO"/>
        </w:rPr>
        <w:t>, en el momento procesal oportuno, determinar</w:t>
      </w:r>
      <w:r w:rsidR="00AA7D92">
        <w:rPr>
          <w:lang w:val="es-CO"/>
        </w:rPr>
        <w:t>á</w:t>
      </w:r>
      <w:r w:rsidR="00CB571A">
        <w:rPr>
          <w:lang w:val="es-CO"/>
        </w:rPr>
        <w:t xml:space="preserve"> los hechos del presente caso y las consecuencias jurídicas que se deriven de los mismos, luego de considerar los argumentos de las partes y con base en la evaluación de la prueba presentada, según las reglas de la sana crítica</w:t>
      </w:r>
      <w:r w:rsidR="00CB571A" w:rsidRPr="009F4C40">
        <w:rPr>
          <w:rFonts w:eastAsia="Calibri" w:cs="Calibri"/>
          <w:vertAlign w:val="superscript"/>
        </w:rPr>
        <w:footnoteReference w:id="35"/>
      </w:r>
      <w:r w:rsidR="00CB571A">
        <w:rPr>
          <w:lang w:val="es-CO"/>
        </w:rPr>
        <w:t xml:space="preserve">. De esta forma, las observaciones de los representantes sobre </w:t>
      </w:r>
      <w:r w:rsidR="009703EA">
        <w:rPr>
          <w:lang w:val="es-CO"/>
        </w:rPr>
        <w:t>a</w:t>
      </w:r>
      <w:r w:rsidR="00EE1A6B">
        <w:rPr>
          <w:lang w:val="es-CO"/>
        </w:rPr>
        <w:t xml:space="preserve">l alcance del objeto de los testimonios presentados por el Estado </w:t>
      </w:r>
      <w:r w:rsidR="0043334B">
        <w:rPr>
          <w:lang w:val="es-CO"/>
        </w:rPr>
        <w:t xml:space="preserve">son cuestiones cuya calificación no corresponde en la </w:t>
      </w:r>
      <w:r w:rsidR="005806E6">
        <w:rPr>
          <w:lang w:val="es-CO"/>
        </w:rPr>
        <w:t>actual etapa procesal. Dichas objeciones</w:t>
      </w:r>
      <w:r w:rsidR="00920308">
        <w:rPr>
          <w:lang w:val="es-CO"/>
        </w:rPr>
        <w:t xml:space="preserve"> a las pruebas testimoniales ofrecidas por el Estado</w:t>
      </w:r>
      <w:r w:rsidR="005806E6">
        <w:rPr>
          <w:lang w:val="es-CO"/>
        </w:rPr>
        <w:t xml:space="preserve"> </w:t>
      </w:r>
      <w:r w:rsidR="00F40353">
        <w:rPr>
          <w:lang w:val="es-CO"/>
        </w:rPr>
        <w:t xml:space="preserve">constituyen </w:t>
      </w:r>
      <w:r w:rsidR="003E2233">
        <w:rPr>
          <w:lang w:val="es-CO"/>
        </w:rPr>
        <w:t xml:space="preserve">alegatos sobre cuestiones </w:t>
      </w:r>
      <w:r w:rsidR="000A46C6">
        <w:rPr>
          <w:lang w:val="es-CO"/>
        </w:rPr>
        <w:t>que son parte del litigio</w:t>
      </w:r>
      <w:r w:rsidR="00920308">
        <w:rPr>
          <w:lang w:val="es-CO"/>
        </w:rPr>
        <w:t xml:space="preserve"> y sobre las cuales los representantes tendrán la oportunidad de presentar sus observaciones</w:t>
      </w:r>
      <w:r w:rsidR="003E0384">
        <w:rPr>
          <w:lang w:val="es-CO"/>
        </w:rPr>
        <w:t xml:space="preserve"> junto con sus alegatos finales escritos. </w:t>
      </w:r>
      <w:r w:rsidR="002C373F">
        <w:rPr>
          <w:lang w:val="es-CO"/>
        </w:rPr>
        <w:t xml:space="preserve">Además, esta Presidencia recuerda que corresponde </w:t>
      </w:r>
      <w:r w:rsidR="00D636A7">
        <w:rPr>
          <w:lang w:val="es-CO"/>
        </w:rPr>
        <w:t>a cada parte establecer su estrategia de litigio</w:t>
      </w:r>
      <w:r w:rsidR="000F4D29">
        <w:rPr>
          <w:lang w:val="es-CO"/>
        </w:rPr>
        <w:t xml:space="preserve">, </w:t>
      </w:r>
      <w:r w:rsidR="00D26659">
        <w:rPr>
          <w:lang w:val="es-CO"/>
        </w:rPr>
        <w:t xml:space="preserve">incluido el alcance </w:t>
      </w:r>
      <w:r w:rsidR="00E25D25">
        <w:rPr>
          <w:lang w:val="es-CO"/>
        </w:rPr>
        <w:t>del objeto de sus peritajes ofrecidos durante el proceso</w:t>
      </w:r>
      <w:r w:rsidR="00D26659">
        <w:rPr>
          <w:lang w:val="es-CO"/>
        </w:rPr>
        <w:t xml:space="preserve">. </w:t>
      </w:r>
    </w:p>
    <w:p w14:paraId="77EECBD3" w14:textId="77777777" w:rsidR="00F260B8" w:rsidRDefault="00F260B8" w:rsidP="000F1DB9">
      <w:pPr>
        <w:pStyle w:val="Prrafodelista"/>
        <w:ind w:left="0"/>
        <w:rPr>
          <w:rFonts w:cs="Arial"/>
          <w:lang w:val="es-CO"/>
        </w:rPr>
      </w:pPr>
    </w:p>
    <w:p w14:paraId="281FDC32" w14:textId="4BDA50AD" w:rsidR="00E25D25" w:rsidRPr="00F15BAB" w:rsidRDefault="4CA6750B" w:rsidP="00E25D25">
      <w:pPr>
        <w:pStyle w:val="Sinespaciado"/>
        <w:ind w:left="0" w:firstLine="0"/>
        <w:rPr>
          <w:rFonts w:cs="Verdana"/>
          <w:lang w:bidi="en-US"/>
        </w:rPr>
      </w:pPr>
      <w:r>
        <w:t>Teniendo en consideración lo anterior, el Presidente admite las declaraciones testimoniales</w:t>
      </w:r>
      <w:r w:rsidRPr="4CA6750B">
        <w:rPr>
          <w:lang w:val="es-CO"/>
        </w:rPr>
        <w:t xml:space="preserve"> de John Maximiliano Astete Cornejo y </w:t>
      </w:r>
      <w:r w:rsidR="005D026E">
        <w:rPr>
          <w:lang w:val="es-CO"/>
        </w:rPr>
        <w:t>Jazmín</w:t>
      </w:r>
      <w:r w:rsidRPr="4CA6750B">
        <w:rPr>
          <w:lang w:val="es-CO"/>
        </w:rPr>
        <w:t xml:space="preserve"> </w:t>
      </w:r>
      <w:r w:rsidR="005D026E">
        <w:rPr>
          <w:lang w:val="es-CO"/>
        </w:rPr>
        <w:t>Monrroy</w:t>
      </w:r>
      <w:r w:rsidRPr="4CA6750B">
        <w:rPr>
          <w:lang w:val="es-CO"/>
        </w:rPr>
        <w:t xml:space="preserve"> Polanco.</w:t>
      </w:r>
      <w:r>
        <w:t xml:space="preserve"> El objeto y la modalidad de dichas declaraciones se determinará en la parte resolutiva de la presente Resolución </w:t>
      </w:r>
      <w:r w:rsidRPr="00F15BAB">
        <w:t>(</w:t>
      </w:r>
      <w:r w:rsidRPr="00F15BAB">
        <w:rPr>
          <w:i/>
        </w:rPr>
        <w:t>infra</w:t>
      </w:r>
      <w:r w:rsidRPr="00F15BAB">
        <w:t xml:space="preserve"> puntos resolutivos 1 y 3).</w:t>
      </w:r>
    </w:p>
    <w:p w14:paraId="070FAD30" w14:textId="77777777" w:rsidR="00103572" w:rsidRPr="000F1DB9" w:rsidRDefault="00103572" w:rsidP="000F1DB9">
      <w:pPr>
        <w:pStyle w:val="Prrafodelista"/>
        <w:ind w:left="0"/>
        <w:rPr>
          <w:rFonts w:cs="Arial"/>
          <w:lang w:val="es-CO"/>
        </w:rPr>
      </w:pPr>
    </w:p>
    <w:p w14:paraId="1B09E8F3" w14:textId="03016E1D" w:rsidR="000F1DB9" w:rsidRDefault="004F1C0E" w:rsidP="000F1DB9">
      <w:pPr>
        <w:pStyle w:val="Prrafodelista"/>
        <w:ind w:left="0"/>
        <w:rPr>
          <w:rFonts w:cs="Arial"/>
          <w:b/>
          <w:bCs/>
          <w:i/>
          <w:iCs/>
          <w:lang w:val="es-CO"/>
        </w:rPr>
      </w:pPr>
      <w:r>
        <w:rPr>
          <w:rFonts w:cs="Arial"/>
          <w:b/>
          <w:bCs/>
          <w:i/>
          <w:iCs/>
          <w:lang w:val="es-CO"/>
        </w:rPr>
        <w:t>B</w:t>
      </w:r>
      <w:r w:rsidR="000F1DB9" w:rsidRPr="00AC27BA">
        <w:rPr>
          <w:rFonts w:cs="Arial"/>
          <w:b/>
          <w:bCs/>
          <w:i/>
          <w:iCs/>
          <w:lang w:val="es-CO"/>
        </w:rPr>
        <w:t>.</w:t>
      </w:r>
      <w:r w:rsidR="00103572">
        <w:rPr>
          <w:rFonts w:cs="Arial"/>
          <w:b/>
          <w:bCs/>
          <w:i/>
          <w:iCs/>
          <w:lang w:val="es-CO"/>
        </w:rPr>
        <w:t>2</w:t>
      </w:r>
      <w:r w:rsidR="000F1DB9" w:rsidRPr="00AC27BA">
        <w:rPr>
          <w:rFonts w:cs="Arial"/>
          <w:b/>
          <w:bCs/>
          <w:i/>
          <w:iCs/>
          <w:lang w:val="es-CO"/>
        </w:rPr>
        <w:t xml:space="preserve">. </w:t>
      </w:r>
      <w:r w:rsidR="000F1DB9">
        <w:rPr>
          <w:rFonts w:cs="Arial"/>
          <w:b/>
          <w:bCs/>
          <w:i/>
          <w:iCs/>
          <w:lang w:val="es-CO"/>
        </w:rPr>
        <w:t>Admisibilidad de las declaraciones periciales ofrecidas por el Estado</w:t>
      </w:r>
    </w:p>
    <w:p w14:paraId="43B878CC" w14:textId="79C44A01" w:rsidR="007F06F9" w:rsidRDefault="007F06F9" w:rsidP="0019533F">
      <w:pPr>
        <w:spacing w:line="240" w:lineRule="auto"/>
        <w:ind w:right="11"/>
        <w:jc w:val="both"/>
        <w:rPr>
          <w:bCs/>
          <w:iCs/>
          <w:highlight w:val="yellow"/>
          <w:lang w:val="es-CO"/>
        </w:rPr>
      </w:pPr>
    </w:p>
    <w:p w14:paraId="0B018631" w14:textId="1D4BC565" w:rsidR="00E17B8C" w:rsidRDefault="007F06F9" w:rsidP="005C68EE">
      <w:pPr>
        <w:pStyle w:val="Sinespaciado"/>
        <w:ind w:left="0" w:firstLine="0"/>
        <w:rPr>
          <w:lang w:val="es-CO"/>
        </w:rPr>
      </w:pPr>
      <w:r>
        <w:rPr>
          <w:lang w:val="es-CO"/>
        </w:rPr>
        <w:t xml:space="preserve">El </w:t>
      </w:r>
      <w:r w:rsidRPr="4CA6750B">
        <w:rPr>
          <w:b/>
          <w:i/>
          <w:lang w:val="es-CO"/>
        </w:rPr>
        <w:t xml:space="preserve">Estado </w:t>
      </w:r>
      <w:r>
        <w:rPr>
          <w:lang w:val="es-CO"/>
        </w:rPr>
        <w:t xml:space="preserve">ofreció las declaraciones periciales de </w:t>
      </w:r>
      <w:r w:rsidR="00394F91">
        <w:rPr>
          <w:lang w:val="es-CO"/>
        </w:rPr>
        <w:t>Patricia Mercedes Gallegos Quesquén</w:t>
      </w:r>
      <w:r w:rsidR="0057743D">
        <w:rPr>
          <w:rStyle w:val="Refdenotaalpie"/>
        </w:rPr>
        <w:footnoteReference w:id="36"/>
      </w:r>
      <w:r w:rsidR="0068378A">
        <w:rPr>
          <w:lang w:val="es-CO"/>
        </w:rPr>
        <w:t xml:space="preserve"> </w:t>
      </w:r>
      <w:r w:rsidR="0068378A">
        <w:rPr>
          <w:lang w:val="es-CO"/>
        </w:rPr>
        <w:lastRenderedPageBreak/>
        <w:t xml:space="preserve">y de </w:t>
      </w:r>
      <w:r w:rsidR="009414A6">
        <w:rPr>
          <w:lang w:val="es-CO"/>
        </w:rPr>
        <w:t>Federico Chunga Fiestas</w:t>
      </w:r>
      <w:r w:rsidR="0057743D">
        <w:rPr>
          <w:rStyle w:val="Refdenotaalpie"/>
        </w:rPr>
        <w:footnoteReference w:id="37"/>
      </w:r>
      <w:r w:rsidR="001229FA">
        <w:rPr>
          <w:lang w:val="es-CO"/>
        </w:rPr>
        <w:t xml:space="preserve">. Los </w:t>
      </w:r>
      <w:r w:rsidR="001229FA" w:rsidRPr="4CA6750B">
        <w:rPr>
          <w:b/>
          <w:i/>
          <w:lang w:val="es-CO"/>
        </w:rPr>
        <w:t xml:space="preserve">representantes </w:t>
      </w:r>
      <w:r w:rsidR="0014491E">
        <w:rPr>
          <w:lang w:val="es-CO"/>
        </w:rPr>
        <w:t xml:space="preserve">recusaron a ambos peritos. En </w:t>
      </w:r>
      <w:r w:rsidR="00C32360">
        <w:rPr>
          <w:lang w:val="es-CO"/>
        </w:rPr>
        <w:t>particular,</w:t>
      </w:r>
      <w:r w:rsidR="0014491E">
        <w:rPr>
          <w:lang w:val="es-CO"/>
        </w:rPr>
        <w:t xml:space="preserve"> señalaron que </w:t>
      </w:r>
      <w:r w:rsidR="00C32360">
        <w:rPr>
          <w:lang w:val="es-CO"/>
        </w:rPr>
        <w:t>los peritos ofrecidos</w:t>
      </w:r>
      <w:r w:rsidR="00674AFC">
        <w:rPr>
          <w:lang w:val="es-CO"/>
        </w:rPr>
        <w:t xml:space="preserve"> ha</w:t>
      </w:r>
      <w:r w:rsidR="00C32360">
        <w:rPr>
          <w:lang w:val="es-CO"/>
        </w:rPr>
        <w:t>n</w:t>
      </w:r>
      <w:r w:rsidR="00674AFC">
        <w:rPr>
          <w:lang w:val="es-CO"/>
        </w:rPr>
        <w:t xml:space="preserve"> trabajado </w:t>
      </w:r>
      <w:r w:rsidR="0055609F">
        <w:rPr>
          <w:lang w:val="es-CO"/>
        </w:rPr>
        <w:t xml:space="preserve">en cargos </w:t>
      </w:r>
      <w:r w:rsidR="00DA41C3">
        <w:rPr>
          <w:lang w:val="es-CO"/>
        </w:rPr>
        <w:t>de confianza dependientes de la rama ejecutiva del poder público en asunto</w:t>
      </w:r>
      <w:r w:rsidR="0034274C">
        <w:rPr>
          <w:lang w:val="es-CO"/>
        </w:rPr>
        <w:t>s</w:t>
      </w:r>
      <w:r w:rsidR="00DA41C3">
        <w:rPr>
          <w:lang w:val="es-CO"/>
        </w:rPr>
        <w:t xml:space="preserve"> que se relacionan de manera directa con el objeto del debate en el presente caso. </w:t>
      </w:r>
      <w:r w:rsidR="00FD649D">
        <w:rPr>
          <w:lang w:val="es-CO"/>
        </w:rPr>
        <w:t xml:space="preserve">En razón de ello, consideraron que </w:t>
      </w:r>
      <w:r w:rsidR="006A7DEE">
        <w:rPr>
          <w:lang w:val="es-CO"/>
        </w:rPr>
        <w:t>tiene</w:t>
      </w:r>
      <w:r w:rsidR="00C32360">
        <w:rPr>
          <w:lang w:val="es-CO"/>
        </w:rPr>
        <w:t>n</w:t>
      </w:r>
      <w:r w:rsidR="006A7DEE">
        <w:rPr>
          <w:lang w:val="es-CO"/>
        </w:rPr>
        <w:t xml:space="preserve"> un interés evidente en demostrar que la gestión de las entidades en que se ha</w:t>
      </w:r>
      <w:r w:rsidR="00C32360">
        <w:rPr>
          <w:lang w:val="es-CO"/>
        </w:rPr>
        <w:t>n</w:t>
      </w:r>
      <w:r w:rsidR="006A7DEE">
        <w:rPr>
          <w:lang w:val="es-CO"/>
        </w:rPr>
        <w:t xml:space="preserve"> desempeñado </w:t>
      </w:r>
      <w:r w:rsidR="00A17E03">
        <w:rPr>
          <w:lang w:val="es-CO"/>
        </w:rPr>
        <w:t xml:space="preserve">fue adecuado, por lo que </w:t>
      </w:r>
      <w:r w:rsidR="00C32820">
        <w:rPr>
          <w:lang w:val="es-CO"/>
        </w:rPr>
        <w:t>su proposición como expert</w:t>
      </w:r>
      <w:r w:rsidR="00186E7C">
        <w:rPr>
          <w:lang w:val="es-CO"/>
        </w:rPr>
        <w:t>os</w:t>
      </w:r>
      <w:r w:rsidR="00C32820">
        <w:rPr>
          <w:lang w:val="es-CO"/>
        </w:rPr>
        <w:t xml:space="preserve"> carece de objetividad</w:t>
      </w:r>
      <w:r w:rsidR="003810AC">
        <w:rPr>
          <w:lang w:val="es-CO"/>
        </w:rPr>
        <w:t xml:space="preserve"> y</w:t>
      </w:r>
      <w:r w:rsidR="0034274C">
        <w:rPr>
          <w:lang w:val="es-CO"/>
        </w:rPr>
        <w:t>,</w:t>
      </w:r>
      <w:r w:rsidR="003810AC">
        <w:rPr>
          <w:lang w:val="es-CO"/>
        </w:rPr>
        <w:t xml:space="preserve"> por lo tanto</w:t>
      </w:r>
      <w:r w:rsidR="0034274C">
        <w:rPr>
          <w:lang w:val="es-CO"/>
        </w:rPr>
        <w:t>,</w:t>
      </w:r>
      <w:r w:rsidR="003810AC">
        <w:rPr>
          <w:lang w:val="es-CO"/>
        </w:rPr>
        <w:t xml:space="preserve"> debe ser rechazad</w:t>
      </w:r>
      <w:r w:rsidR="00186E7C">
        <w:rPr>
          <w:lang w:val="es-CO"/>
        </w:rPr>
        <w:t>a</w:t>
      </w:r>
      <w:r w:rsidR="003810AC">
        <w:rPr>
          <w:lang w:val="es-CO"/>
        </w:rPr>
        <w:t xml:space="preserve">. </w:t>
      </w:r>
    </w:p>
    <w:p w14:paraId="2BC80BF2" w14:textId="77777777" w:rsidR="00E17B8C" w:rsidRDefault="00E17B8C" w:rsidP="00E17B8C">
      <w:pPr>
        <w:pStyle w:val="Sinespaciado"/>
        <w:numPr>
          <w:ilvl w:val="0"/>
          <w:numId w:val="0"/>
        </w:numPr>
        <w:rPr>
          <w:lang w:val="es-CO"/>
        </w:rPr>
      </w:pPr>
    </w:p>
    <w:p w14:paraId="4A10F075" w14:textId="40404062" w:rsidR="006620A4" w:rsidRPr="003B1B27" w:rsidRDefault="00186E7C" w:rsidP="003B1B27">
      <w:pPr>
        <w:pStyle w:val="Sinespaciado"/>
        <w:numPr>
          <w:ilvl w:val="0"/>
          <w:numId w:val="1"/>
        </w:numPr>
        <w:ind w:left="0" w:firstLine="0"/>
        <w:rPr>
          <w:lang w:val="es-CO"/>
        </w:rPr>
      </w:pPr>
      <w:r w:rsidRPr="005C68EE">
        <w:rPr>
          <w:lang w:val="es-CO"/>
        </w:rPr>
        <w:t xml:space="preserve">En sus observaciones, la </w:t>
      </w:r>
      <w:r w:rsidRPr="005C68EE">
        <w:rPr>
          <w:b/>
          <w:bCs w:val="0"/>
          <w:i/>
          <w:iCs w:val="0"/>
          <w:lang w:val="es-CO"/>
        </w:rPr>
        <w:t>perita</w:t>
      </w:r>
      <w:r w:rsidRPr="005C68EE">
        <w:rPr>
          <w:lang w:val="es-CO"/>
        </w:rPr>
        <w:t xml:space="preserve"> Patricia Mercedes Gallegos Quesquén</w:t>
      </w:r>
      <w:r w:rsidR="0034585D" w:rsidRPr="005C68EE">
        <w:rPr>
          <w:lang w:val="es-CO"/>
        </w:rPr>
        <w:t xml:space="preserve"> expresó que la recusación</w:t>
      </w:r>
      <w:r w:rsidR="0034274C">
        <w:rPr>
          <w:lang w:val="es-CO"/>
        </w:rPr>
        <w:t xml:space="preserve"> interpuesta</w:t>
      </w:r>
      <w:r w:rsidR="0034585D" w:rsidRPr="005C68EE">
        <w:rPr>
          <w:lang w:val="es-CO"/>
        </w:rPr>
        <w:t xml:space="preserve"> carece de </w:t>
      </w:r>
      <w:r w:rsidR="000E3953" w:rsidRPr="005C68EE">
        <w:rPr>
          <w:lang w:val="es-CO"/>
        </w:rPr>
        <w:t xml:space="preserve">fundamento </w:t>
      </w:r>
      <w:r w:rsidR="006532D3" w:rsidRPr="005C68EE">
        <w:rPr>
          <w:lang w:val="es-CO"/>
        </w:rPr>
        <w:t xml:space="preserve">pues </w:t>
      </w:r>
      <w:r w:rsidR="00402F3A" w:rsidRPr="005C68EE">
        <w:rPr>
          <w:lang w:val="es-CO"/>
        </w:rPr>
        <w:t xml:space="preserve">en la actualidad no posee ningún cargo </w:t>
      </w:r>
      <w:r w:rsidR="00241633" w:rsidRPr="005C68EE">
        <w:rPr>
          <w:lang w:val="es-CO"/>
        </w:rPr>
        <w:t>que implique un vínculo laboral o funcional con ninguna entidad del Estado y</w:t>
      </w:r>
      <w:r w:rsidR="0034274C">
        <w:rPr>
          <w:lang w:val="es-CO"/>
        </w:rPr>
        <w:t>,</w:t>
      </w:r>
      <w:r w:rsidR="00241633" w:rsidRPr="005C68EE">
        <w:rPr>
          <w:lang w:val="es-CO"/>
        </w:rPr>
        <w:t xml:space="preserve"> por el contrario</w:t>
      </w:r>
      <w:r w:rsidR="0034274C">
        <w:rPr>
          <w:lang w:val="es-CO"/>
        </w:rPr>
        <w:t>,</w:t>
      </w:r>
      <w:r w:rsidR="00241633" w:rsidRPr="005C68EE">
        <w:rPr>
          <w:lang w:val="es-CO"/>
        </w:rPr>
        <w:t xml:space="preserve"> se dedica al libre ejercicio de la profesión en el ámbito privado. </w:t>
      </w:r>
      <w:r w:rsidR="00F67C41" w:rsidRPr="005C68EE">
        <w:rPr>
          <w:lang w:val="es-CO"/>
        </w:rPr>
        <w:t>Por otro lado, expresó que</w:t>
      </w:r>
      <w:r w:rsidR="0034274C">
        <w:rPr>
          <w:lang w:val="es-CO"/>
        </w:rPr>
        <w:t>,</w:t>
      </w:r>
      <w:r w:rsidR="00F67C41" w:rsidRPr="005C68EE">
        <w:rPr>
          <w:lang w:val="es-CO"/>
        </w:rPr>
        <w:t xml:space="preserve"> </w:t>
      </w:r>
      <w:r w:rsidR="00356366" w:rsidRPr="005C68EE">
        <w:rPr>
          <w:lang w:val="es-CO"/>
        </w:rPr>
        <w:t xml:space="preserve">contrariamente a lo afirmado por los representantes, </w:t>
      </w:r>
      <w:r w:rsidR="00780405" w:rsidRPr="005C68EE">
        <w:rPr>
          <w:lang w:val="es-CO"/>
        </w:rPr>
        <w:t>las posiciones que ha ocupado en el ámbito público le han permitido adquirir una importante experiencia en la materia objeto de su peritaje</w:t>
      </w:r>
      <w:r w:rsidR="00EC7DE6" w:rsidRPr="005C68EE">
        <w:rPr>
          <w:lang w:val="es-CO"/>
        </w:rPr>
        <w:t xml:space="preserve"> </w:t>
      </w:r>
      <w:r w:rsidR="00892FD6" w:rsidRPr="005C68EE">
        <w:rPr>
          <w:lang w:val="es-CO"/>
        </w:rPr>
        <w:t xml:space="preserve">y que este hecho no afecta su imparcialidad. </w:t>
      </w:r>
      <w:r w:rsidR="00892FD6" w:rsidRPr="003B1B27">
        <w:rPr>
          <w:lang w:val="es-CO"/>
        </w:rPr>
        <w:t xml:space="preserve">Por su parte, el </w:t>
      </w:r>
      <w:r w:rsidR="00892FD6" w:rsidRPr="003B1B27">
        <w:rPr>
          <w:b/>
          <w:bCs w:val="0"/>
          <w:i/>
          <w:iCs w:val="0"/>
          <w:lang w:val="es-CO"/>
        </w:rPr>
        <w:t xml:space="preserve">perito </w:t>
      </w:r>
      <w:r w:rsidR="00892FD6" w:rsidRPr="003B1B27">
        <w:rPr>
          <w:lang w:val="es-CO"/>
        </w:rPr>
        <w:t>Federico Chunga Fiestas expresó que</w:t>
      </w:r>
      <w:r w:rsidR="00B83A4F" w:rsidRPr="003B1B27">
        <w:rPr>
          <w:lang w:val="es-CO"/>
        </w:rPr>
        <w:t xml:space="preserve"> </w:t>
      </w:r>
      <w:r w:rsidR="00A27A2D" w:rsidRPr="003B1B27">
        <w:rPr>
          <w:lang w:val="es-CO"/>
        </w:rPr>
        <w:t xml:space="preserve">haber </w:t>
      </w:r>
      <w:r w:rsidR="00E17B8C" w:rsidRPr="003B1B27">
        <w:rPr>
          <w:lang w:val="es-CO"/>
        </w:rPr>
        <w:t>participado en el Plan Nacional de Acción sobre Empresas y Derechos Humanos</w:t>
      </w:r>
      <w:r w:rsidR="0034274C">
        <w:rPr>
          <w:lang w:val="es-CO"/>
        </w:rPr>
        <w:t>,</w:t>
      </w:r>
      <w:r w:rsidR="00E17B8C" w:rsidRPr="003B1B27">
        <w:rPr>
          <w:lang w:val="es-CO"/>
        </w:rPr>
        <w:t xml:space="preserve"> desde su etapa de agendamiento en 2017, hasta la primera etapa de su implementación en 2021</w:t>
      </w:r>
      <w:r w:rsidR="0034274C">
        <w:rPr>
          <w:lang w:val="es-CO"/>
        </w:rPr>
        <w:t>,</w:t>
      </w:r>
      <w:r w:rsidR="00E17B8C" w:rsidRPr="003B1B27">
        <w:rPr>
          <w:lang w:val="es-CO"/>
        </w:rPr>
        <w:t xml:space="preserve"> </w:t>
      </w:r>
      <w:r w:rsidR="00D049BE" w:rsidRPr="003B1B27">
        <w:rPr>
          <w:lang w:val="es-CO"/>
        </w:rPr>
        <w:t xml:space="preserve">le permitió conocer los elementos de dicho instrumento </w:t>
      </w:r>
      <w:r w:rsidR="00602DA6" w:rsidRPr="003B1B27">
        <w:rPr>
          <w:lang w:val="es-CO"/>
        </w:rPr>
        <w:t xml:space="preserve">y su vinculación con otras políticas nacionales </w:t>
      </w:r>
      <w:r w:rsidR="00034A9C" w:rsidRPr="003B1B27">
        <w:rPr>
          <w:lang w:val="es-CO"/>
        </w:rPr>
        <w:t xml:space="preserve">en relación con las actividades extractivas. </w:t>
      </w:r>
      <w:r w:rsidR="00197982" w:rsidRPr="003B1B27">
        <w:rPr>
          <w:lang w:val="es-CO"/>
        </w:rPr>
        <w:t xml:space="preserve">Por esta razón, </w:t>
      </w:r>
      <w:r w:rsidR="008F5E2B" w:rsidRPr="003B1B27">
        <w:rPr>
          <w:lang w:val="es-CO"/>
        </w:rPr>
        <w:t xml:space="preserve">consideró que </w:t>
      </w:r>
      <w:r w:rsidR="00750D6B" w:rsidRPr="003B1B27">
        <w:rPr>
          <w:lang w:val="es-CO"/>
        </w:rPr>
        <w:t xml:space="preserve">cumple con las cualidades para ejercer como </w:t>
      </w:r>
      <w:r w:rsidR="00B81AD7" w:rsidRPr="003B1B27">
        <w:rPr>
          <w:lang w:val="es-CO"/>
        </w:rPr>
        <w:t xml:space="preserve">experto. </w:t>
      </w:r>
      <w:r w:rsidR="00F90C16" w:rsidRPr="003B1B27">
        <w:rPr>
          <w:lang w:val="es-CO"/>
        </w:rPr>
        <w:t xml:space="preserve">Por otro lado, expresó que </w:t>
      </w:r>
      <w:r w:rsidR="00FC30AC" w:rsidRPr="003B1B27">
        <w:rPr>
          <w:lang w:val="es-CO"/>
        </w:rPr>
        <w:t xml:space="preserve">sus funciones no implicaron una </w:t>
      </w:r>
      <w:r w:rsidR="00AE320C" w:rsidRPr="003B1B27">
        <w:rPr>
          <w:lang w:val="es-CO"/>
        </w:rPr>
        <w:t xml:space="preserve">relación </w:t>
      </w:r>
      <w:r w:rsidR="00343D1A" w:rsidRPr="003B1B27">
        <w:rPr>
          <w:lang w:val="es-CO"/>
        </w:rPr>
        <w:t xml:space="preserve">funcional con la </w:t>
      </w:r>
      <w:r w:rsidR="00B54A3A" w:rsidRPr="003B1B27">
        <w:rPr>
          <w:lang w:val="es-CO"/>
        </w:rPr>
        <w:t xml:space="preserve">Procuraduría Pública Especializada Supranacional que </w:t>
      </w:r>
      <w:r w:rsidR="00087AFC" w:rsidRPr="003B1B27">
        <w:rPr>
          <w:lang w:val="es-CO"/>
        </w:rPr>
        <w:t>comprometa su imparcialidad para ejercer el cargo</w:t>
      </w:r>
      <w:r w:rsidR="00D826CD" w:rsidRPr="003B1B27">
        <w:rPr>
          <w:lang w:val="es-CO"/>
        </w:rPr>
        <w:t>, y</w:t>
      </w:r>
      <w:r w:rsidR="00A02448" w:rsidRPr="003B1B27">
        <w:rPr>
          <w:lang w:val="es-CO"/>
        </w:rPr>
        <w:t xml:space="preserve"> que </w:t>
      </w:r>
      <w:r w:rsidR="00163DB8" w:rsidRPr="003B1B27">
        <w:rPr>
          <w:lang w:val="es-CO"/>
        </w:rPr>
        <w:t xml:space="preserve">actualmente no se desempeña como funcionario público </w:t>
      </w:r>
      <w:r w:rsidR="00A961F9" w:rsidRPr="003B1B27">
        <w:rPr>
          <w:lang w:val="es-CO"/>
        </w:rPr>
        <w:t>y no guarda relación con ningún órgano estatal</w:t>
      </w:r>
      <w:r w:rsidR="005C68EE" w:rsidRPr="003B1B27">
        <w:rPr>
          <w:lang w:val="es-CO"/>
        </w:rPr>
        <w:t>.</w:t>
      </w:r>
    </w:p>
    <w:p w14:paraId="167D7634" w14:textId="77777777" w:rsidR="00E17B8C" w:rsidRDefault="00E17B8C" w:rsidP="005C68EE">
      <w:pPr>
        <w:pStyle w:val="Sinespaciado"/>
        <w:numPr>
          <w:ilvl w:val="0"/>
          <w:numId w:val="0"/>
        </w:numPr>
        <w:rPr>
          <w:lang w:val="es-CO"/>
        </w:rPr>
      </w:pPr>
    </w:p>
    <w:p w14:paraId="23621DA8" w14:textId="7CDEEB2D" w:rsidR="00C667E7" w:rsidRPr="00C667E7" w:rsidRDefault="00C667E7" w:rsidP="00C667E7">
      <w:pPr>
        <w:pStyle w:val="Sinespaciado"/>
        <w:numPr>
          <w:ilvl w:val="0"/>
          <w:numId w:val="1"/>
        </w:numPr>
        <w:ind w:left="0" w:firstLine="0"/>
        <w:rPr>
          <w:lang w:val="es-CO"/>
        </w:rPr>
      </w:pPr>
      <w:r>
        <w:t xml:space="preserve">El </w:t>
      </w:r>
      <w:r w:rsidRPr="4CA6750B">
        <w:rPr>
          <w:b/>
          <w:i/>
        </w:rPr>
        <w:t>Presidente</w:t>
      </w:r>
      <w:r>
        <w:t xml:space="preserve"> advierte que los </w:t>
      </w:r>
      <w:r w:rsidRPr="009D62A5">
        <w:t>representantes plantearon una causal de recusación respecto de los referidos peritos por sus posibles vínculos de subordinación con el Estado</w:t>
      </w:r>
      <w:r>
        <w:t>, lo cual afectaría su imparcialidad</w:t>
      </w:r>
      <w:r w:rsidRPr="009D62A5">
        <w:t>.</w:t>
      </w:r>
      <w:r>
        <w:t xml:space="preserve"> Al respecto, </w:t>
      </w:r>
      <w:r w:rsidR="00AF4D21">
        <w:t>el Presidente</w:t>
      </w:r>
      <w:r>
        <w:t xml:space="preserve"> recuerda que, d</w:t>
      </w:r>
      <w:r w:rsidRPr="009D62A5">
        <w:t>e conformidad con el artículo 48.1.c) del Reglamento</w:t>
      </w:r>
      <w:r>
        <w:rPr>
          <w:rStyle w:val="Refdenotaalpie"/>
        </w:rPr>
        <w:footnoteReference w:id="38"/>
      </w:r>
      <w:r w:rsidRPr="009D62A5">
        <w:t>, para que la recusación de un perito sea procedente en virtud de dicha disposición</w:t>
      </w:r>
      <w:r>
        <w:t>,</w:t>
      </w:r>
      <w:r w:rsidRPr="009D62A5">
        <w:t xml:space="preserve"> deben concurrir dos supuestos, a saber, la existencia de un vínculo determinado del perito con la parte proponente y que, adicionalmente, esa relación, a criterio del Tribunal, afecte su imparcialidad</w:t>
      </w:r>
      <w:r w:rsidRPr="009D62A5">
        <w:rPr>
          <w:vertAlign w:val="superscript"/>
          <w:lang w:val="es-ES"/>
        </w:rPr>
        <w:footnoteReference w:id="39"/>
      </w:r>
      <w:r w:rsidRPr="00C667E7">
        <w:rPr>
          <w:lang w:val="es-ES"/>
        </w:rPr>
        <w:t>.</w:t>
      </w:r>
      <w:r w:rsidRPr="009D62A5">
        <w:t xml:space="preserve"> </w:t>
      </w:r>
      <w:r>
        <w:t xml:space="preserve">En ese sentido, </w:t>
      </w:r>
      <w:r w:rsidR="00AF4D21">
        <w:rPr>
          <w:lang w:val="es-MX"/>
        </w:rPr>
        <w:t>el Presidente</w:t>
      </w:r>
      <w:r w:rsidRPr="00C667E7">
        <w:rPr>
          <w:lang w:val="es-MX"/>
        </w:rPr>
        <w:t xml:space="preserve"> recuerda que el ejercicio de una función pública no debe ser automáticamente entendido como una causal de impedimento para participar como perito en un proceso internacional ante este Tribunal, ya que es necesario valorar si los cargos ocupados por el perito ofrecido pudieran afectar su </w:t>
      </w:r>
      <w:r w:rsidRPr="00C667E7">
        <w:rPr>
          <w:lang w:val="es-MX"/>
        </w:rPr>
        <w:lastRenderedPageBreak/>
        <w:t>imparcialidad para rendir el dictamen pericial para el cual fue propuesto</w:t>
      </w:r>
      <w:r w:rsidRPr="009D62A5">
        <w:rPr>
          <w:vertAlign w:val="superscript"/>
          <w:lang w:val="es-MX"/>
        </w:rPr>
        <w:footnoteReference w:id="40"/>
      </w:r>
      <w:r w:rsidRPr="00C667E7">
        <w:rPr>
          <w:lang w:val="es-MX"/>
        </w:rPr>
        <w:t xml:space="preserve">. </w:t>
      </w:r>
    </w:p>
    <w:p w14:paraId="06188A1B" w14:textId="77777777" w:rsidR="00C667E7" w:rsidRPr="00213509" w:rsidRDefault="00C667E7" w:rsidP="00C667E7">
      <w:pPr>
        <w:rPr>
          <w:rFonts w:cs="Cambria"/>
          <w:lang w:val="es-ES_tradnl"/>
        </w:rPr>
      </w:pPr>
    </w:p>
    <w:p w14:paraId="7676D9A3" w14:textId="0D52C7B6" w:rsidR="00C667E7" w:rsidRPr="00077840" w:rsidRDefault="4CA6750B" w:rsidP="00C667E7">
      <w:pPr>
        <w:pStyle w:val="Sinespaciado"/>
        <w:ind w:left="0" w:firstLine="0"/>
        <w:rPr>
          <w:rFonts w:cs="Verdana"/>
          <w:lang w:bidi="en-US"/>
        </w:rPr>
      </w:pPr>
      <w:r w:rsidRPr="4CA6750B">
        <w:rPr>
          <w:rFonts w:cs="Cambria"/>
          <w:lang w:val="es-ES"/>
        </w:rPr>
        <w:t xml:space="preserve">En el presente caso, el Presidente considera que el hecho de que los peritos propuestos hayan formado parte de la administración pública, no implica, </w:t>
      </w:r>
      <w:r w:rsidRPr="4CA6750B">
        <w:rPr>
          <w:rFonts w:cs="Cambria"/>
          <w:i/>
          <w:lang w:val="es-ES"/>
        </w:rPr>
        <w:t>per se</w:t>
      </w:r>
      <w:r w:rsidRPr="4CA6750B">
        <w:rPr>
          <w:rFonts w:cs="Cambria"/>
          <w:lang w:val="es-ES"/>
        </w:rPr>
        <w:t xml:space="preserve">, una necesaria falta de objetividad o imparcialidad para realizar sus peritajes. En ese sentido, el Presidente advierte que, de la información aportada al Tribunal, incluyendo las observaciones que los propios peritos sometieron a la Corte, no es posible advertir que, aun cuando la señora Gallegos Quesquén y el señor </w:t>
      </w:r>
      <w:r w:rsidRPr="4CA6750B">
        <w:rPr>
          <w:lang w:val="es-CO"/>
        </w:rPr>
        <w:t>Chunga Fiestas</w:t>
      </w:r>
      <w:r w:rsidRPr="4CA6750B">
        <w:rPr>
          <w:rFonts w:cs="Cambria"/>
          <w:lang w:val="es-ES"/>
        </w:rPr>
        <w:t xml:space="preserve"> fueron funcionarios del Estado, la existencia de esa relación pudiera afectar su imparcialidad para rendir el peritaje, más aún considerando que en la actualidad ninguno de los dos peritos propuestos continúa trabajando para el Estado. Por otra parte, es pertinente notar que la objetividad de los peritajes en cuestión podrá ser evaluada por el Tribunal al analizar qué tan precisos, claros y suficientes son los argumentos técnicos desarrollados en sus dictámenes. Por lo anterior, el Presidente rechaza la objeción planteada por los representantes.</w:t>
      </w:r>
    </w:p>
    <w:p w14:paraId="3117C109" w14:textId="77777777" w:rsidR="006620A4" w:rsidRPr="00C667E7" w:rsidRDefault="006620A4" w:rsidP="006620A4">
      <w:pPr>
        <w:pStyle w:val="Sinespaciado"/>
        <w:numPr>
          <w:ilvl w:val="0"/>
          <w:numId w:val="0"/>
        </w:numPr>
      </w:pPr>
    </w:p>
    <w:p w14:paraId="451AD494" w14:textId="1C211A83" w:rsidR="00CE1D05" w:rsidRPr="00C71F4B" w:rsidRDefault="4CA6750B" w:rsidP="00CE1D05">
      <w:pPr>
        <w:pStyle w:val="Sinespaciado"/>
        <w:ind w:left="0" w:firstLine="0"/>
        <w:rPr>
          <w:rFonts w:cs="Verdana"/>
          <w:lang w:bidi="en-US"/>
        </w:rPr>
      </w:pPr>
      <w:r>
        <w:t>Por lo anterior, el Presidente admite las declaraciones periciales</w:t>
      </w:r>
      <w:r w:rsidRPr="4CA6750B">
        <w:rPr>
          <w:lang w:val="es-CO"/>
        </w:rPr>
        <w:t xml:space="preserve"> de Patricia Mercedes Gallegos Quesquén y Federico Chunga Fiestas.</w:t>
      </w:r>
      <w:r>
        <w:t xml:space="preserve"> El objeto y la modalidad de dichas declaraciones se determinará en la parte resolutiva de la presente </w:t>
      </w:r>
      <w:r w:rsidRPr="00F15BAB">
        <w:t>Resolución (</w:t>
      </w:r>
      <w:r w:rsidRPr="00F15BAB">
        <w:rPr>
          <w:i/>
        </w:rPr>
        <w:t>infra</w:t>
      </w:r>
      <w:r w:rsidRPr="00F15BAB">
        <w:t xml:space="preserve"> puntos resolutivos 1 y 3).</w:t>
      </w:r>
    </w:p>
    <w:p w14:paraId="3D02E783" w14:textId="77777777" w:rsidR="00C71F4B" w:rsidRPr="00687EFE" w:rsidRDefault="00C71F4B" w:rsidP="00C71F4B">
      <w:pPr>
        <w:pStyle w:val="Sinespaciado"/>
        <w:numPr>
          <w:ilvl w:val="0"/>
          <w:numId w:val="0"/>
        </w:numPr>
        <w:rPr>
          <w:rFonts w:cs="Verdana"/>
          <w:lang w:bidi="en-US"/>
        </w:rPr>
      </w:pPr>
    </w:p>
    <w:p w14:paraId="2BF365AC" w14:textId="473046F2" w:rsidR="00C71F4B" w:rsidRPr="008147B7" w:rsidRDefault="00C71F4B" w:rsidP="00C71F4B">
      <w:pPr>
        <w:pStyle w:val="Prrafodelista"/>
        <w:numPr>
          <w:ilvl w:val="0"/>
          <w:numId w:val="11"/>
        </w:numPr>
        <w:spacing w:line="240" w:lineRule="auto"/>
        <w:ind w:right="11"/>
        <w:jc w:val="both"/>
        <w:rPr>
          <w:b/>
          <w:i/>
          <w:lang w:val="es-CO"/>
        </w:rPr>
      </w:pPr>
      <w:r w:rsidRPr="008147B7">
        <w:rPr>
          <w:b/>
          <w:i/>
          <w:lang w:val="es-CO"/>
        </w:rPr>
        <w:t xml:space="preserve">Admisibilidad de las declaraciones periciales ofrecidas por la Comisión y la </w:t>
      </w:r>
      <w:r w:rsidRPr="008147B7">
        <w:rPr>
          <w:b/>
          <w:i/>
        </w:rPr>
        <w:t>solicitud de interrogar a una perita propuesta por el Estado</w:t>
      </w:r>
    </w:p>
    <w:p w14:paraId="33903A65" w14:textId="77777777" w:rsidR="00C71F4B" w:rsidRPr="00000D42" w:rsidRDefault="00C71F4B" w:rsidP="00C71F4B">
      <w:pPr>
        <w:pStyle w:val="Prrafodelista"/>
        <w:ind w:left="0" w:right="11"/>
        <w:jc w:val="both"/>
        <w:rPr>
          <w:lang w:val="es-CO"/>
        </w:rPr>
      </w:pPr>
    </w:p>
    <w:p w14:paraId="3F1D1666" w14:textId="66D7DE3C" w:rsidR="00C71F4B" w:rsidRPr="00981AE5" w:rsidRDefault="00C71F4B" w:rsidP="00C71F4B">
      <w:pPr>
        <w:pStyle w:val="Sinespaciado"/>
        <w:ind w:left="0" w:firstLine="0"/>
        <w:rPr>
          <w:rFonts w:asciiTheme="minorHAnsi" w:eastAsiaTheme="minorEastAsia" w:hAnsiTheme="minorHAnsi"/>
          <w:sz w:val="16"/>
          <w:szCs w:val="16"/>
          <w:lang w:val="es-CO"/>
        </w:rPr>
      </w:pPr>
      <w:r w:rsidRPr="00000D42">
        <w:rPr>
          <w:lang w:val="es-CO"/>
        </w:rPr>
        <w:t xml:space="preserve">La </w:t>
      </w:r>
      <w:r w:rsidRPr="4CA6750B">
        <w:rPr>
          <w:b/>
          <w:i/>
          <w:lang w:val="es-CO"/>
        </w:rPr>
        <w:t>Comisión</w:t>
      </w:r>
      <w:r w:rsidRPr="00000D42">
        <w:rPr>
          <w:lang w:val="es-CO"/>
        </w:rPr>
        <w:t xml:space="preserve"> ofreció los peritajes de Christian</w:t>
      </w:r>
      <w:r>
        <w:rPr>
          <w:lang w:val="es-CO"/>
        </w:rPr>
        <w:t xml:space="preserve"> Courtis</w:t>
      </w:r>
      <w:r w:rsidRPr="00000D42">
        <w:rPr>
          <w:rStyle w:val="Refdenotaalpie"/>
          <w:sz w:val="20"/>
          <w:szCs w:val="20"/>
        </w:rPr>
        <w:footnoteReference w:id="41"/>
      </w:r>
      <w:r>
        <w:rPr>
          <w:lang w:val="es-CO"/>
        </w:rPr>
        <w:t xml:space="preserve"> y Juan Pablo Olmedo Bustos</w:t>
      </w:r>
      <w:r w:rsidRPr="00000D42">
        <w:rPr>
          <w:rStyle w:val="Refdenotaalpie"/>
          <w:sz w:val="20"/>
          <w:szCs w:val="20"/>
        </w:rPr>
        <w:footnoteReference w:id="42"/>
      </w:r>
      <w:r w:rsidRPr="77C40E70">
        <w:rPr>
          <w:lang w:val="es-CO"/>
        </w:rPr>
        <w:t>,</w:t>
      </w:r>
      <w:r w:rsidRPr="00000D42">
        <w:rPr>
          <w:lang w:val="es-CO"/>
        </w:rPr>
        <w:t xml:space="preserve"> argumentando que permitirán a la Corte contar con elementos de información de temas que trascienden el interés de las partes y se traducen en aspectos de orden público interamericano. </w:t>
      </w:r>
      <w:r w:rsidRPr="00981AE5">
        <w:rPr>
          <w:lang w:val="es-CO"/>
        </w:rPr>
        <w:t xml:space="preserve">El </w:t>
      </w:r>
      <w:r w:rsidRPr="4CA6750B">
        <w:rPr>
          <w:b/>
          <w:i/>
          <w:lang w:val="es-CO"/>
        </w:rPr>
        <w:t>Estado</w:t>
      </w:r>
      <w:r w:rsidRPr="00981AE5">
        <w:rPr>
          <w:lang w:val="es-CO"/>
        </w:rPr>
        <w:t xml:space="preserve"> argumentó que la Comisión no ha acreditado la necesidad de que los peritos participen en el proceso, ni que su vinculación se relacione “con las supuestas afectaciones al orden público interamericano”. Por otra parte, señaló que el objeto del peritaje de Christian Courtis es excesivamente amplio y se relaciona con las obligaciones generales del Estado, pero no aborda la aplicación de estas obligaciones al caso concreto. En este sentido, solicitó precisar el objeto del peritaje, o, en su defecto, inadmitirlo. Asimismo, el Estado solicitó no admitir el peritaje del señor Juan Pablo </w:t>
      </w:r>
      <w:r w:rsidR="00131670">
        <w:rPr>
          <w:lang w:val="es-CO"/>
        </w:rPr>
        <w:t>Olmedo</w:t>
      </w:r>
      <w:r w:rsidRPr="00981AE5">
        <w:rPr>
          <w:lang w:val="es-CO"/>
        </w:rPr>
        <w:t xml:space="preserve"> Bustos, pues</w:t>
      </w:r>
      <w:r w:rsidRPr="4CA6750B">
        <w:rPr>
          <w:rFonts w:eastAsiaTheme="minorEastAsia"/>
          <w:lang w:val="es-CO"/>
        </w:rPr>
        <w:t xml:space="preserve"> el </w:t>
      </w:r>
      <w:r w:rsidRPr="00981AE5">
        <w:rPr>
          <w:lang w:val="es-CO"/>
        </w:rPr>
        <w:t xml:space="preserve">“perito no cuenta con la experticia suficiente” señalando que “no se observa de su hoja de vida que, el mismo tenga experiencia sobre [el acceso a la información y participación pública] aplicado a actividades empresariales y tampoco respecto a la temática de impacto ambiental, ni que conozca la normativa peruan[a] relativa a actividades extractivas, sobre las que versa el presente caso”. </w:t>
      </w:r>
      <w:r>
        <w:rPr>
          <w:lang w:val="es-CO"/>
        </w:rPr>
        <w:t xml:space="preserve">Los </w:t>
      </w:r>
      <w:r w:rsidRPr="4CA6750B">
        <w:rPr>
          <w:b/>
          <w:i/>
          <w:lang w:val="es-CO"/>
        </w:rPr>
        <w:t>representantes</w:t>
      </w:r>
      <w:r>
        <w:rPr>
          <w:lang w:val="es-CO"/>
        </w:rPr>
        <w:t xml:space="preserve"> no se pronunciaron sobre el particular.</w:t>
      </w:r>
    </w:p>
    <w:p w14:paraId="59F11B7F" w14:textId="77777777" w:rsidR="00C71F4B" w:rsidRDefault="00C71F4B" w:rsidP="00C71F4B">
      <w:pPr>
        <w:pStyle w:val="Sinespaciado"/>
        <w:numPr>
          <w:ilvl w:val="0"/>
          <w:numId w:val="0"/>
        </w:numPr>
        <w:rPr>
          <w:rFonts w:eastAsiaTheme="minorEastAsia"/>
          <w:lang w:val="es-CO"/>
        </w:rPr>
      </w:pPr>
    </w:p>
    <w:p w14:paraId="11B8CC2E" w14:textId="77777777" w:rsidR="00C71F4B" w:rsidRDefault="00C71F4B" w:rsidP="00C71F4B">
      <w:pPr>
        <w:pStyle w:val="Sinespaciado"/>
        <w:ind w:left="0" w:firstLine="0"/>
        <w:rPr>
          <w:rFonts w:eastAsiaTheme="minorEastAsia"/>
          <w:lang w:val="es-CO"/>
        </w:rPr>
      </w:pPr>
      <w:r>
        <w:rPr>
          <w:lang w:val="es-CO"/>
        </w:rPr>
        <w:t xml:space="preserve">El </w:t>
      </w:r>
      <w:r w:rsidRPr="4CA6750B">
        <w:rPr>
          <w:b/>
          <w:i/>
          <w:lang w:val="es-CO"/>
        </w:rPr>
        <w:t>Presidente</w:t>
      </w:r>
      <w:r w:rsidRPr="00C40501">
        <w:t xml:space="preserve"> procederá a analizar la admisibilidad de los peritajes ofrecidos por la </w:t>
      </w:r>
      <w:r w:rsidRPr="00C40501">
        <w:lastRenderedPageBreak/>
        <w:t xml:space="preserve">Comisión, </w:t>
      </w:r>
      <w:r w:rsidRPr="234D9C67">
        <w:rPr>
          <w:lang w:val="es-ES"/>
        </w:rPr>
        <w:t>con fundamento en el artículo 35.1.f del Reglamento de la Corte</w:t>
      </w:r>
      <w:r w:rsidRPr="234D9C67">
        <w:rPr>
          <w:vertAlign w:val="superscript"/>
          <w:lang w:val="es-ES"/>
        </w:rPr>
        <w:footnoteReference w:id="43"/>
      </w:r>
      <w:r w:rsidRPr="234D9C67">
        <w:rPr>
          <w:lang w:val="es-ES"/>
        </w:rPr>
        <w:t>, en donde se supedita el eventual ofrecimiento de peritos cuando se afecte de manera relevante el orden público interamericano de los derechos humanos, lo cual corresponde a la Comisión sustentar</w:t>
      </w:r>
      <w:r w:rsidRPr="234D9C67">
        <w:rPr>
          <w:vertAlign w:val="superscript"/>
          <w:lang w:val="es-ES"/>
        </w:rPr>
        <w:footnoteReference w:id="44"/>
      </w:r>
      <w:r w:rsidRPr="00C40501">
        <w:t>.</w:t>
      </w:r>
    </w:p>
    <w:p w14:paraId="797DA98B" w14:textId="77777777" w:rsidR="00C71F4B" w:rsidRPr="005707C2" w:rsidRDefault="00C71F4B" w:rsidP="005707C2">
      <w:pPr>
        <w:rPr>
          <w:rFonts w:cs="Arial"/>
        </w:rPr>
      </w:pPr>
    </w:p>
    <w:p w14:paraId="64DE3979" w14:textId="77777777" w:rsidR="00C71F4B" w:rsidRPr="00981AE5" w:rsidRDefault="00C71F4B" w:rsidP="00C71F4B">
      <w:pPr>
        <w:pStyle w:val="Sinespaciado"/>
        <w:ind w:left="0" w:firstLine="0"/>
        <w:rPr>
          <w:rFonts w:eastAsiaTheme="minorEastAsia"/>
          <w:lang w:val="es-CO"/>
        </w:rPr>
      </w:pPr>
      <w:r w:rsidRPr="4CA6750B">
        <w:rPr>
          <w:rFonts w:cs="Arial"/>
        </w:rPr>
        <w:t>Según la Comisión, este caso involucra cuestiones de orden público interamericano, pues:</w:t>
      </w:r>
    </w:p>
    <w:p w14:paraId="3C4FBA16" w14:textId="77777777" w:rsidR="00C71F4B" w:rsidRPr="00981AE5" w:rsidRDefault="00C71F4B" w:rsidP="00C71F4B">
      <w:pPr>
        <w:pStyle w:val="Sinespaciado"/>
        <w:numPr>
          <w:ilvl w:val="0"/>
          <w:numId w:val="0"/>
        </w:numPr>
        <w:rPr>
          <w:rFonts w:eastAsiaTheme="minorEastAsia"/>
          <w:lang w:val="es-CO"/>
        </w:rPr>
      </w:pPr>
    </w:p>
    <w:p w14:paraId="59A2C3BE" w14:textId="77777777" w:rsidR="00C71F4B" w:rsidRPr="00981AE5" w:rsidRDefault="00C71F4B" w:rsidP="00C71F4B">
      <w:pPr>
        <w:pStyle w:val="Sinespaciado"/>
        <w:numPr>
          <w:ilvl w:val="0"/>
          <w:numId w:val="0"/>
        </w:numPr>
        <w:ind w:left="567" w:right="899"/>
        <w:rPr>
          <w:rFonts w:eastAsiaTheme="minorEastAsia"/>
          <w:sz w:val="18"/>
          <w:szCs w:val="18"/>
          <w:lang w:val="es-CL"/>
        </w:rPr>
      </w:pPr>
      <w:r w:rsidRPr="00981AE5">
        <w:rPr>
          <w:sz w:val="18"/>
          <w:szCs w:val="18"/>
          <w:lang w:val="es-CO"/>
        </w:rPr>
        <w:t>“[P]ermitirá a la [</w:t>
      </w:r>
      <w:r>
        <w:rPr>
          <w:sz w:val="18"/>
          <w:szCs w:val="18"/>
          <w:lang w:val="es-CO"/>
        </w:rPr>
        <w:t>…</w:t>
      </w:r>
      <w:r w:rsidRPr="00981AE5">
        <w:rPr>
          <w:sz w:val="18"/>
          <w:szCs w:val="18"/>
          <w:lang w:val="es-CO"/>
        </w:rPr>
        <w:t>] Corte continuar desarrollando su jurisprudencia sobre el derecho a un medio ambiente sano como derecho autónomo, así como su interdependencia con otros derechos fundamentales. En particular, los estándares relativos a la obligación de los Estados de prevenir daños ambientales significativos mediante la regulación, supervisión y fiscalización de las actividades públicas o privadas bajo su jurisdicción, que puedan producir un daño al medio ambiente y afectar los derechos a la salud y medio ambiente de las personas. Asimismo, la Corte podría continuar consolidando su jurisprudencia en materia de los derechos al acceso a la información, la participación pública de las personas en la toma de decisiones y el acceso a la justicia, en relación con las afectaciones y obligaciones ambientales estatales”.</w:t>
      </w:r>
    </w:p>
    <w:p w14:paraId="543C437D" w14:textId="77777777" w:rsidR="00C71F4B" w:rsidRDefault="00C71F4B" w:rsidP="00C71F4B">
      <w:pPr>
        <w:pStyle w:val="Sinespaciado"/>
        <w:numPr>
          <w:ilvl w:val="0"/>
          <w:numId w:val="0"/>
        </w:numPr>
        <w:rPr>
          <w:rFonts w:eastAsiaTheme="minorEastAsia"/>
          <w:lang w:val="es-CO"/>
        </w:rPr>
      </w:pPr>
    </w:p>
    <w:p w14:paraId="4985BD5B" w14:textId="2ABE224D" w:rsidR="008316C7" w:rsidRPr="008316C7" w:rsidRDefault="00733300" w:rsidP="008316C7">
      <w:pPr>
        <w:pStyle w:val="Sinespaciado"/>
        <w:ind w:left="0" w:firstLine="0"/>
        <w:rPr>
          <w:rFonts w:eastAsiaTheme="minorEastAsia"/>
          <w:lang w:val="es-CO"/>
        </w:rPr>
      </w:pPr>
      <w:r w:rsidRPr="00EB2E51">
        <w:rPr>
          <w:lang w:val="es-CO"/>
        </w:rPr>
        <w:t xml:space="preserve">En primer </w:t>
      </w:r>
      <w:r w:rsidR="00B22B32">
        <w:rPr>
          <w:lang w:val="es-CO"/>
        </w:rPr>
        <w:t>lugar</w:t>
      </w:r>
      <w:r w:rsidRPr="00EB2E51">
        <w:rPr>
          <w:lang w:val="es-CO"/>
        </w:rPr>
        <w:t>, el Presidente destaca que el presente caso puede contribuir a fortalecer las capacidades de protección del sistema interamericano de derechos humanos en un aspecto que resulta de particular relevancia para los retos regionales: las obligaciones de derechos humanos en materia medioambiental, y en particular las garantías que deben existir para la protección de los derechos de las personas que puedan verse afectadas por actos de contaminación ambiental de terceros. Además, esta Presidencia considera que los objetos de ambos peritajes trascienden el interés y objeto del presente caso y abordan cuestiones que son de orden público interamericano. Por lo tanto, el Presidente desestima las objeciones a su admisibilidad planteadas por el Estado en este aspecto.</w:t>
      </w:r>
    </w:p>
    <w:p w14:paraId="5B36C06F" w14:textId="77777777" w:rsidR="008316C7" w:rsidRPr="008316C7" w:rsidRDefault="008316C7" w:rsidP="008316C7">
      <w:pPr>
        <w:pStyle w:val="Sinespaciado"/>
        <w:numPr>
          <w:ilvl w:val="0"/>
          <w:numId w:val="0"/>
        </w:numPr>
        <w:rPr>
          <w:rFonts w:eastAsiaTheme="minorEastAsia"/>
          <w:lang w:val="es-CO"/>
        </w:rPr>
      </w:pPr>
    </w:p>
    <w:p w14:paraId="0722E83E" w14:textId="77777777" w:rsidR="00DB05FC" w:rsidRDefault="00B22B32" w:rsidP="00DB05FC">
      <w:pPr>
        <w:pStyle w:val="Sinespaciado"/>
        <w:ind w:left="0" w:firstLine="0"/>
        <w:rPr>
          <w:rFonts w:eastAsiaTheme="minorEastAsia"/>
          <w:lang w:val="es-CO"/>
        </w:rPr>
      </w:pPr>
      <w:r w:rsidRPr="008316C7">
        <w:rPr>
          <w:rFonts w:eastAsiaTheme="minorEastAsia"/>
          <w:lang w:val="es-CO"/>
        </w:rPr>
        <w:t>En segundo lugar</w:t>
      </w:r>
      <w:r w:rsidR="00C71F4B" w:rsidRPr="008316C7">
        <w:rPr>
          <w:rFonts w:eastAsiaTheme="minorEastAsia"/>
          <w:lang w:val="es-CO"/>
        </w:rPr>
        <w:t xml:space="preserve">, </w:t>
      </w:r>
      <w:r w:rsidR="008316C7" w:rsidRPr="008316C7">
        <w:t>e</w:t>
      </w:r>
      <w:r w:rsidR="008316C7" w:rsidRPr="008316C7">
        <w:rPr>
          <w:lang w:val="es-CO"/>
        </w:rPr>
        <w:t>n cuanto al alegado carácter general del objeto del peritaje</w:t>
      </w:r>
      <w:r w:rsidR="0075201B">
        <w:rPr>
          <w:lang w:val="es-CO"/>
        </w:rPr>
        <w:t xml:space="preserve"> de Christian Courtis</w:t>
      </w:r>
      <w:r w:rsidR="008316C7" w:rsidRPr="008316C7">
        <w:rPr>
          <w:lang w:val="es-CO"/>
        </w:rPr>
        <w:t>, el Presidente recuerda que el objeto de las declaraciones y dictámenes periciales deben ser determinados por las partes de manera precisa tomando en cuenta su relación con los hechos y los alegatos del caso</w:t>
      </w:r>
      <w:r w:rsidR="008316C7" w:rsidRPr="00DC702B">
        <w:rPr>
          <w:rStyle w:val="Refdenotaalpie"/>
          <w:lang w:val="es-CO"/>
        </w:rPr>
        <w:footnoteReference w:id="45"/>
      </w:r>
      <w:r w:rsidR="008316C7" w:rsidRPr="008316C7">
        <w:rPr>
          <w:lang w:val="es-CO"/>
        </w:rPr>
        <w:t>, ello sin perjuicio de la determinación final del respectivo objeto que efectúa la Presidencia en su debida oportunidad. Por ello, atendiendo al argumento esgrimido</w:t>
      </w:r>
      <w:r w:rsidR="0075201B">
        <w:rPr>
          <w:lang w:val="es-CO"/>
        </w:rPr>
        <w:t xml:space="preserve"> por el Estado,</w:t>
      </w:r>
      <w:r w:rsidR="008316C7" w:rsidRPr="008316C7">
        <w:rPr>
          <w:lang w:val="es-CO"/>
        </w:rPr>
        <w:t xml:space="preserve"> y de conformidad con la práctica más reciente de este Tribunal, tras analizar tal objeto y evaluar lo que resulte pertinente para el conocimiento del presente caso, el Presidente lo delimitará de conformidad con el artículo 50 del Reglamento e indicará, en la parte resolutiva, la forma en que será recibido y los puntos específicos a los que deberá circunscribirse.</w:t>
      </w:r>
    </w:p>
    <w:p w14:paraId="61344A1E" w14:textId="77777777" w:rsidR="00DB05FC" w:rsidRDefault="00DB05FC" w:rsidP="00DB05FC"/>
    <w:p w14:paraId="7F9B4EDE" w14:textId="6A0E9FF1" w:rsidR="00DB05FC" w:rsidRPr="00DB05FC" w:rsidRDefault="00A52C4D" w:rsidP="00DB05FC">
      <w:pPr>
        <w:pStyle w:val="Sinespaciado"/>
        <w:ind w:left="0" w:firstLine="0"/>
        <w:rPr>
          <w:rFonts w:eastAsiaTheme="minorEastAsia"/>
          <w:lang w:val="es-CO"/>
        </w:rPr>
      </w:pPr>
      <w:r w:rsidRPr="00D173BA">
        <w:t xml:space="preserve">En tercer lugar, respecto a la idoneidad del perito </w:t>
      </w:r>
      <w:r w:rsidRPr="00DB05FC">
        <w:rPr>
          <w:lang w:val="es-CO"/>
        </w:rPr>
        <w:t xml:space="preserve">Juan Pablo </w:t>
      </w:r>
      <w:r w:rsidR="00131670">
        <w:rPr>
          <w:lang w:val="es-CO"/>
        </w:rPr>
        <w:t>Olmedo</w:t>
      </w:r>
      <w:r w:rsidRPr="00DB05FC">
        <w:rPr>
          <w:lang w:val="es-CO"/>
        </w:rPr>
        <w:t xml:space="preserve"> Bustos</w:t>
      </w:r>
      <w:r w:rsidRPr="00D173BA">
        <w:t xml:space="preserve">, el </w:t>
      </w:r>
      <w:r w:rsidRPr="00D173BA">
        <w:lastRenderedPageBreak/>
        <w:t xml:space="preserve">Presidente </w:t>
      </w:r>
      <w:r w:rsidR="00DB05FC">
        <w:t>advierte</w:t>
      </w:r>
      <w:r w:rsidRPr="00D173BA">
        <w:t xml:space="preserve"> que, de acuerdo a su </w:t>
      </w:r>
      <w:r w:rsidR="005707C2">
        <w:t>hoja de vida</w:t>
      </w:r>
      <w:r w:rsidRPr="00DB05FC">
        <w:t>, ha tenido como principales campos de investigació</w:t>
      </w:r>
      <w:r w:rsidRPr="00D173BA">
        <w:t xml:space="preserve">n </w:t>
      </w:r>
      <w:r w:rsidR="00D173BA" w:rsidRPr="00D173BA">
        <w:t>y ejercicio profesional las áreas de libertad de expresión, acceso a la información pública y protección de datos personales</w:t>
      </w:r>
      <w:r w:rsidRPr="00D173BA">
        <w:t xml:space="preserve">, </w:t>
      </w:r>
      <w:r w:rsidR="00DB05FC">
        <w:t>y que el objeto del peritaje propuesto por la Comisión</w:t>
      </w:r>
      <w:r w:rsidR="00D173BA" w:rsidRPr="00D173BA">
        <w:t xml:space="preserve"> se refiere, precisamente, a </w:t>
      </w:r>
      <w:r w:rsidR="00DB05FC">
        <w:t>abordar</w:t>
      </w:r>
      <w:r w:rsidR="00D173BA">
        <w:t xml:space="preserve"> aspectos relevantes en el caso respecto a derecho al acceso a la información y la participación pública en materia ambiental.</w:t>
      </w:r>
      <w:r w:rsidRPr="00DB05FC">
        <w:t xml:space="preserve"> </w:t>
      </w:r>
      <w:r w:rsidR="00DB05FC" w:rsidRPr="4CA6750B">
        <w:rPr>
          <w:rFonts w:eastAsiaTheme="minorEastAsia"/>
          <w:lang w:val="es-CO"/>
        </w:rPr>
        <w:t xml:space="preserve">Así, </w:t>
      </w:r>
      <w:r w:rsidR="00DB05FC">
        <w:rPr>
          <w:rFonts w:eastAsiaTheme="minorEastAsia"/>
          <w:lang w:val="es-CO"/>
        </w:rPr>
        <w:t xml:space="preserve">el Presidente considera que el perito </w:t>
      </w:r>
      <w:r w:rsidR="00DB05FC" w:rsidRPr="4CA6750B">
        <w:rPr>
          <w:rFonts w:eastAsiaTheme="minorEastAsia"/>
          <w:lang w:val="es-CO"/>
        </w:rPr>
        <w:t>tiene una experticia suficiente para pronunciarse sobre los temas incluidos en el objeto propuesto de su peritaje</w:t>
      </w:r>
      <w:r w:rsidR="00DB05FC" w:rsidRPr="4CA6750B">
        <w:rPr>
          <w:rStyle w:val="Refdenotaalpie"/>
          <w:rFonts w:eastAsiaTheme="minorEastAsia"/>
          <w:sz w:val="20"/>
          <w:szCs w:val="20"/>
        </w:rPr>
        <w:footnoteReference w:id="46"/>
      </w:r>
      <w:r w:rsidR="00DB05FC" w:rsidRPr="4CA6750B">
        <w:rPr>
          <w:rFonts w:eastAsiaTheme="minorEastAsia"/>
        </w:rPr>
        <w:t>.</w:t>
      </w:r>
      <w:r w:rsidR="00DB05FC">
        <w:rPr>
          <w:rFonts w:eastAsiaTheme="minorEastAsia"/>
        </w:rPr>
        <w:t xml:space="preserve"> </w:t>
      </w:r>
      <w:r w:rsidR="00DB05FC" w:rsidRPr="00EB2E51">
        <w:rPr>
          <w:lang w:val="es-CO"/>
        </w:rPr>
        <w:t>Por lo tanto, el Presidente desestima la objeci</w:t>
      </w:r>
      <w:r w:rsidR="00DB05FC">
        <w:rPr>
          <w:lang w:val="es-CO"/>
        </w:rPr>
        <w:t>ón</w:t>
      </w:r>
      <w:r w:rsidR="00DB05FC" w:rsidRPr="00EB2E51">
        <w:rPr>
          <w:lang w:val="es-CO"/>
        </w:rPr>
        <w:t xml:space="preserve"> a su admisibilidad planteada por el Estado.</w:t>
      </w:r>
    </w:p>
    <w:p w14:paraId="042DA711" w14:textId="77777777" w:rsidR="00DB05FC" w:rsidRDefault="00DB05FC" w:rsidP="00DB05FC"/>
    <w:p w14:paraId="781A92DB" w14:textId="07F5E693" w:rsidR="00C71F4B" w:rsidRPr="00DB05FC" w:rsidRDefault="00C71F4B" w:rsidP="00DB05FC">
      <w:pPr>
        <w:pStyle w:val="Sinespaciado"/>
        <w:ind w:left="0" w:firstLine="0"/>
        <w:rPr>
          <w:rFonts w:eastAsiaTheme="minorEastAsia"/>
          <w:lang w:val="es-CO"/>
        </w:rPr>
      </w:pPr>
      <w:r>
        <w:t>En consecuencia, el Presidente admite las declaraciones periciales</w:t>
      </w:r>
      <w:r w:rsidRPr="00DB05FC">
        <w:rPr>
          <w:lang w:val="es-CO"/>
        </w:rPr>
        <w:t xml:space="preserve"> de Christian Courtis y Juan Pablo Olmedo Bustos.</w:t>
      </w:r>
      <w:r>
        <w:t xml:space="preserve"> El objeto y la modalidad de dichas declaraciones se determinará en la parte resolutiva de la presente Resolución </w:t>
      </w:r>
      <w:r w:rsidRPr="00F15BAB">
        <w:t>(</w:t>
      </w:r>
      <w:r w:rsidRPr="00F15BAB">
        <w:rPr>
          <w:i/>
        </w:rPr>
        <w:t>infra</w:t>
      </w:r>
      <w:r w:rsidRPr="00F15BAB">
        <w:t xml:space="preserve"> puntos resolutivos 1 y 3).</w:t>
      </w:r>
    </w:p>
    <w:p w14:paraId="5569A741" w14:textId="0A51CC22" w:rsidR="00A16BDB" w:rsidRPr="008E5B95" w:rsidRDefault="00A16BDB" w:rsidP="00A16BDB"/>
    <w:p w14:paraId="51424898" w14:textId="073C1EBD" w:rsidR="00A16BDB" w:rsidRPr="008E5B95" w:rsidRDefault="00DB05FC" w:rsidP="00A16BDB">
      <w:pPr>
        <w:pStyle w:val="Sinespaciado"/>
        <w:numPr>
          <w:ilvl w:val="0"/>
          <w:numId w:val="1"/>
        </w:numPr>
        <w:ind w:left="0" w:firstLine="0"/>
        <w:rPr>
          <w:rFonts w:cs="Verdana"/>
          <w:color w:val="000000"/>
        </w:rPr>
      </w:pPr>
      <w:r>
        <w:rPr>
          <w:rFonts w:cs="Verdana"/>
          <w:color w:val="000000" w:themeColor="text1"/>
        </w:rPr>
        <w:t>Por otro lado, l</w:t>
      </w:r>
      <w:r w:rsidR="75A1D16E" w:rsidRPr="75A1D16E">
        <w:rPr>
          <w:rFonts w:cs="Verdana"/>
          <w:color w:val="000000" w:themeColor="text1"/>
        </w:rPr>
        <w:t xml:space="preserve">a </w:t>
      </w:r>
      <w:r w:rsidR="75A1D16E" w:rsidRPr="75A1D16E">
        <w:rPr>
          <w:rFonts w:cs="Verdana"/>
          <w:b/>
          <w:i/>
          <w:color w:val="000000" w:themeColor="text1"/>
        </w:rPr>
        <w:t xml:space="preserve">Comisión </w:t>
      </w:r>
      <w:r w:rsidR="75A1D16E" w:rsidRPr="75A1D16E">
        <w:rPr>
          <w:rFonts w:cs="Verdana"/>
          <w:color w:val="000000" w:themeColor="text1"/>
        </w:rPr>
        <w:t xml:space="preserve">solicitó se le conceda la oportunidad de formular preguntas a la perita Patricia Mercedes Gallegos Quesquén. La Comisión fundamentó su petición en el hecho de que su declaración se relaciona tanto con el orden público interamericano como con parte de la materia sobre la cual versa el peritaje ofrecido por la Comisión. En este sentido señaló que el Estado ofreció el peritaje antes señalado para que declare, entre otros puntos, sobre “las obligaciones de control del Estado frente a las empresas del sector minero-ambiental”. Este peritaje, afirmó la Comisión, guarda relación con aquel ofrecido por el perito Christian Courtis. </w:t>
      </w:r>
    </w:p>
    <w:p w14:paraId="76E7E334" w14:textId="0A51CC22" w:rsidR="00A16BDB" w:rsidRPr="008E5B95" w:rsidRDefault="00A16BDB" w:rsidP="00A16BDB">
      <w:pPr>
        <w:pStyle w:val="Sinespaciado"/>
        <w:numPr>
          <w:ilvl w:val="0"/>
          <w:numId w:val="0"/>
        </w:numPr>
        <w:rPr>
          <w:rFonts w:cs="Verdana"/>
          <w:color w:val="000000"/>
        </w:rPr>
      </w:pPr>
    </w:p>
    <w:p w14:paraId="2C0A2455" w14:textId="33949693" w:rsidR="00E34D9B" w:rsidRDefault="00ED148A" w:rsidP="00E34D9B">
      <w:pPr>
        <w:pStyle w:val="Sinespaciado"/>
        <w:numPr>
          <w:ilvl w:val="0"/>
          <w:numId w:val="1"/>
        </w:numPr>
        <w:ind w:left="0" w:firstLine="0"/>
        <w:rPr>
          <w:rFonts w:cs="Verdana"/>
          <w:color w:val="000000"/>
        </w:rPr>
      </w:pPr>
      <w:r>
        <w:rPr>
          <w:rFonts w:cs="Calibri"/>
        </w:rPr>
        <w:t xml:space="preserve">Al respecto, </w:t>
      </w:r>
      <w:r w:rsidR="00EA422F">
        <w:t xml:space="preserve">el </w:t>
      </w:r>
      <w:r w:rsidR="00EA422F" w:rsidRPr="23C3A98D">
        <w:rPr>
          <w:b/>
          <w:i/>
        </w:rPr>
        <w:t>Presidente</w:t>
      </w:r>
      <w:r w:rsidR="00A16BDB" w:rsidRPr="008E5B95">
        <w:t xml:space="preserve"> recuerda </w:t>
      </w:r>
      <w:r w:rsidR="00E34D9B">
        <w:t xml:space="preserve">que </w:t>
      </w:r>
      <w:r w:rsidR="00A16BDB" w:rsidRPr="008E5B95">
        <w:t>la facultad</w:t>
      </w:r>
      <w:r w:rsidR="00E34D9B">
        <w:t xml:space="preserve"> de la Comisión</w:t>
      </w:r>
      <w:r w:rsidR="00A16BDB" w:rsidRPr="008E5B95">
        <w:t xml:space="preserve"> para interrogar a los </w:t>
      </w:r>
      <w:r w:rsidR="00A16BDB" w:rsidRPr="00485BA7">
        <w:rPr>
          <w:rFonts w:cs="Verdana"/>
          <w:color w:val="000000"/>
        </w:rPr>
        <w:t>declarantes</w:t>
      </w:r>
      <w:r w:rsidR="00A16BDB" w:rsidRPr="008E5B95">
        <w:t xml:space="preserve"> ofrecidos por las partes</w:t>
      </w:r>
      <w:r w:rsidR="00E34D9B">
        <w:rPr>
          <w:rStyle w:val="Refdenotaalpie"/>
        </w:rPr>
        <w:t xml:space="preserve"> </w:t>
      </w:r>
      <w:r w:rsidR="00E34D9B">
        <w:rPr>
          <w:rFonts w:cs="Verdana"/>
          <w:color w:val="000000"/>
        </w:rPr>
        <w:t>se encuentra reconocida en</w:t>
      </w:r>
      <w:r w:rsidR="00A16BDB" w:rsidRPr="00485BA7">
        <w:rPr>
          <w:rFonts w:cs="Verdana"/>
          <w:color w:val="000000"/>
        </w:rPr>
        <w:t xml:space="preserve"> los artículos 50.5 y 52.3 del Reglamento</w:t>
      </w:r>
      <w:r w:rsidR="00A16BDB">
        <w:rPr>
          <w:rStyle w:val="Refdenotaalpie"/>
          <w:rFonts w:cs="Verdana"/>
          <w:color w:val="000000"/>
        </w:rPr>
        <w:footnoteReference w:id="47"/>
      </w:r>
      <w:r w:rsidR="00E34D9B">
        <w:rPr>
          <w:rFonts w:cs="Verdana"/>
          <w:color w:val="000000"/>
        </w:rPr>
        <w:t>. De estas normas se desprende</w:t>
      </w:r>
      <w:r w:rsidR="00A16BDB" w:rsidRPr="00485BA7">
        <w:rPr>
          <w:rFonts w:cs="Verdana"/>
          <w:color w:val="000000"/>
        </w:rPr>
        <w:t xml:space="preserve"> que corresponde a la Comisión fundamentar en cada caso cuál es el vínculo tanto con el orden público interamericano como con la materia sobre la que verse un peritaje, para que pueda evaluarse la solicitud oportunamente y, si corresponde, autorizar la posibilidad de que la Comisión haga su interrogatorio.</w:t>
      </w:r>
      <w:r w:rsidR="00E34D9B">
        <w:rPr>
          <w:rFonts w:cs="Verdana"/>
          <w:color w:val="000000"/>
        </w:rPr>
        <w:t xml:space="preserve"> </w:t>
      </w:r>
    </w:p>
    <w:p w14:paraId="1C209EBB" w14:textId="77777777" w:rsidR="00E34D9B" w:rsidRPr="00E34D9B" w:rsidRDefault="00E34D9B" w:rsidP="00E34D9B">
      <w:pPr>
        <w:rPr>
          <w:rFonts w:cs="Verdana"/>
          <w:color w:val="000000"/>
        </w:rPr>
      </w:pPr>
    </w:p>
    <w:p w14:paraId="28311788" w14:textId="3EA0AE56" w:rsidR="00A16BDB" w:rsidRPr="00E34D9B" w:rsidRDefault="207833A6" w:rsidP="00E34D9B">
      <w:pPr>
        <w:pStyle w:val="Sinespaciado"/>
        <w:numPr>
          <w:ilvl w:val="0"/>
          <w:numId w:val="1"/>
        </w:numPr>
        <w:ind w:left="0" w:firstLine="0"/>
        <w:rPr>
          <w:rFonts w:cs="Verdana"/>
          <w:color w:val="000000"/>
        </w:rPr>
      </w:pPr>
      <w:r w:rsidRPr="207833A6">
        <w:rPr>
          <w:rFonts w:cs="Verdana"/>
          <w:color w:val="000000" w:themeColor="text1"/>
        </w:rPr>
        <w:t xml:space="preserve">En el presente caso, </w:t>
      </w:r>
      <w:r>
        <w:t xml:space="preserve">el Presidente considera que, efectivamente, el dictamen pericial de </w:t>
      </w:r>
      <w:r w:rsidRPr="207833A6">
        <w:rPr>
          <w:rFonts w:cs="Verdana"/>
          <w:color w:val="000000" w:themeColor="text1"/>
        </w:rPr>
        <w:t>Patricia Mercedes Gallegos Quesquén</w:t>
      </w:r>
      <w:r>
        <w:t xml:space="preserve"> se encuentra relacionado con el objeto del peritaje de Christian Courtis, propuesto por la Comisión, pues ambos se refieren al alcance de las obligaciones del Estado de control frente a empresas que puedan producir impactos en el medio ambiente y los derechos de las personas, motivo por el cual considera procedente, conforme a los artículos 50.5 y 52.3 del Reglamento, conceder oportunidad a la Comisión para formular preguntas al mencionado declarante.</w:t>
      </w:r>
    </w:p>
    <w:p w14:paraId="526B4CD8" w14:textId="0A51CC22" w:rsidR="00A16BDB" w:rsidRPr="000256E3" w:rsidRDefault="00A16BDB" w:rsidP="00000D42">
      <w:pPr>
        <w:pStyle w:val="Sinespaciado"/>
        <w:numPr>
          <w:ilvl w:val="0"/>
          <w:numId w:val="0"/>
        </w:numPr>
        <w:rPr>
          <w:rFonts w:eastAsiaTheme="minorEastAsia"/>
          <w:highlight w:val="yellow"/>
          <w:lang w:val="es-CO"/>
        </w:rPr>
      </w:pPr>
    </w:p>
    <w:p w14:paraId="1E0573DF" w14:textId="05B758BC" w:rsidR="0019533F" w:rsidRPr="00ED148A" w:rsidRDefault="0019533F" w:rsidP="00ED148A">
      <w:pPr>
        <w:pStyle w:val="Prrafodelista"/>
        <w:numPr>
          <w:ilvl w:val="0"/>
          <w:numId w:val="11"/>
        </w:numPr>
        <w:spacing w:line="240" w:lineRule="auto"/>
        <w:ind w:right="11"/>
        <w:jc w:val="both"/>
        <w:rPr>
          <w:b/>
          <w:i/>
          <w:lang w:val="es-CO"/>
        </w:rPr>
      </w:pPr>
      <w:r w:rsidRPr="00ED148A">
        <w:rPr>
          <w:b/>
          <w:i/>
          <w:lang w:val="es-CO"/>
        </w:rPr>
        <w:t>La aplicación del Fondo de Asistencia Legal de Víctimas</w:t>
      </w:r>
      <w:r w:rsidR="00E43E59" w:rsidRPr="00ED148A">
        <w:rPr>
          <w:b/>
          <w:i/>
          <w:lang w:val="es-CO"/>
        </w:rPr>
        <w:t xml:space="preserve"> ante la Corte</w:t>
      </w:r>
    </w:p>
    <w:p w14:paraId="0016E260" w14:textId="08F736A6" w:rsidR="0019533F" w:rsidRPr="0019533F" w:rsidRDefault="0019533F" w:rsidP="007752BC">
      <w:pPr>
        <w:pStyle w:val="Prrafodelista"/>
        <w:ind w:left="0"/>
        <w:rPr>
          <w:rFonts w:cs="Arial"/>
          <w:lang w:val="es-CO"/>
        </w:rPr>
      </w:pPr>
    </w:p>
    <w:p w14:paraId="06C43D16" w14:textId="66CC795C" w:rsidR="00E43E59" w:rsidRPr="000A1532" w:rsidRDefault="00E43E59" w:rsidP="007752BC">
      <w:pPr>
        <w:pStyle w:val="Sinespaciado"/>
        <w:ind w:left="0" w:firstLine="0"/>
      </w:pPr>
      <w:r w:rsidRPr="000A1532">
        <w:t xml:space="preserve">Mediante nota de Secretaría de 12 de agosto de 2022 se resolvió declarar procedente la solicitud realizada por las presuntas víctimas para acogerse al Fondo de Asistencia Legal de </w:t>
      </w:r>
      <w:r w:rsidRPr="000A1532">
        <w:lastRenderedPageBreak/>
        <w:t xml:space="preserve">Víctimas, de modo que se otorgaría el apoyo económico necesario, con cargo al Fondo, </w:t>
      </w:r>
      <w:r w:rsidR="000A1532" w:rsidRPr="000A1532">
        <w:rPr>
          <w:rFonts w:eastAsia="Calibri" w:cs="Verdana"/>
          <w:spacing w:val="-2"/>
        </w:rPr>
        <w:t xml:space="preserve">para solventar los gastos que ocasionaría la presentación </w:t>
      </w:r>
      <w:r w:rsidR="000A1532" w:rsidRPr="000A1532">
        <w:t>de un máximo de cuatro declaraciones en audiencia pública y 10 declaraciones por afidávit</w:t>
      </w:r>
      <w:r w:rsidRPr="000A1532">
        <w:t xml:space="preserve">. Corresponde seguidamente precisar el destino y objeto específicos de dicha asistencia. </w:t>
      </w:r>
    </w:p>
    <w:p w14:paraId="027565D3" w14:textId="77777777" w:rsidR="00E43E59" w:rsidRDefault="00E43E59" w:rsidP="00E43E59">
      <w:pPr>
        <w:pStyle w:val="Sinespaciado"/>
        <w:numPr>
          <w:ilvl w:val="0"/>
          <w:numId w:val="0"/>
        </w:numPr>
      </w:pPr>
    </w:p>
    <w:p w14:paraId="13B0E5C0" w14:textId="5BF7DBF3" w:rsidR="00E43E59" w:rsidRDefault="4CA6750B" w:rsidP="007752BC">
      <w:pPr>
        <w:pStyle w:val="Sinespaciado"/>
        <w:ind w:left="0" w:firstLine="0"/>
      </w:pPr>
      <w:r>
        <w:t>El Presidente dispone que la asistencia económica estará asignada para cubrir los gastos de viaje y estadía necesarios para la presunta víctima María 9,</w:t>
      </w:r>
      <w:r w:rsidR="00C11C94">
        <w:t xml:space="preserve"> María 13, María 15,y</w:t>
      </w:r>
      <w:r>
        <w:t xml:space="preserve"> </w:t>
      </w:r>
      <w:r w:rsidR="00C11C94">
        <w:t>de la perita</w:t>
      </w:r>
      <w:r>
        <w:t xml:space="preserve"> Marisol Yañez de la Cruz, a fin de que comparezcan ante el Tribunal a rendir sus declaraciones en la audiencia pública por celebrarse en el presente caso. Adicionalmente, esta Presidencia determina que los gastos razonables de formalización y envío del affidávit de 10 declarantes, podrá ser cubierto con recursos del Fondo de Asistencia Legal de Víctimas. Los representantes deberán especificar los declarantes que serían cubiertos por el Fondo y remitir a la Corte la cotización del costo de la formalización de las referidas declaraciones ante fedatario público en el país de residencia de los declarantes y de su envío, en el plazo establecido en la parte resolutiva de la presente Resolución. </w:t>
      </w:r>
    </w:p>
    <w:p w14:paraId="046AA5F5" w14:textId="77777777" w:rsidR="00E43E59" w:rsidRDefault="00E43E59" w:rsidP="00E43E59"/>
    <w:p w14:paraId="78B79CCF" w14:textId="77777777" w:rsidR="00E43E59" w:rsidRDefault="4CA6750B" w:rsidP="007752BC">
      <w:pPr>
        <w:pStyle w:val="Sinespaciado"/>
        <w:ind w:left="0" w:firstLine="0"/>
      </w:pPr>
      <w:r>
        <w:t xml:space="preserve">La Corte realizará las gestiones pertinentes y necesarias para cubrir los costos de traslado, alojamiento y manutención de las personas comparecientes con recursos provenientes del Fondo de Asistencia Legal de Víctimas. </w:t>
      </w:r>
    </w:p>
    <w:p w14:paraId="3707B5F9" w14:textId="77777777" w:rsidR="00E43E59" w:rsidRDefault="00E43E59" w:rsidP="00E43E59"/>
    <w:p w14:paraId="27F353DA" w14:textId="77777777" w:rsidR="00E43E59" w:rsidRDefault="4CA6750B" w:rsidP="007752BC">
      <w:pPr>
        <w:pStyle w:val="Sinespaciado"/>
        <w:ind w:left="0" w:firstLine="0"/>
      </w:pPr>
      <w:r>
        <w:t xml:space="preserve">Según lo requerido por el artículo 4 del Reglamento de la Corte sobre el Funcionamiento del Fondo de Asistencia Legal de Víctimas, se dispone que la Secretaría abra un expediente de gastos con el fin de llevar la contabilidad y en el cual se documentará cada una de las erogaciones que se realicen en relación con el referido Fondo. </w:t>
      </w:r>
    </w:p>
    <w:p w14:paraId="3CE4A524" w14:textId="77777777" w:rsidR="00E43E59" w:rsidRDefault="00E43E59" w:rsidP="00E43E59">
      <w:pPr>
        <w:pStyle w:val="Prrafodelista"/>
      </w:pPr>
    </w:p>
    <w:p w14:paraId="0EF83382" w14:textId="540EFB19" w:rsidR="0019533F" w:rsidRPr="00E43E59" w:rsidRDefault="4CA6750B" w:rsidP="007752BC">
      <w:pPr>
        <w:pStyle w:val="Sinespaciado"/>
        <w:ind w:left="0" w:firstLine="0"/>
      </w:pPr>
      <w:r>
        <w:t>Finalmente, el Presidente recuerda que, según el artículo 5 del Reglamento del Fondo, se informará oportunamente al Estado demandado las erogaciones realizadas en aplicación del Fondo de Asistencia Legal de Víctimas, para que presente sus observaciones, si así lo desea, dentro del plazo que se establezca al efecto.</w:t>
      </w:r>
    </w:p>
    <w:p w14:paraId="3C18321E" w14:textId="5DC3C9F1" w:rsidR="00E43E59" w:rsidRDefault="00E43E59" w:rsidP="007752BC">
      <w:pPr>
        <w:pStyle w:val="Prrafodelista"/>
        <w:ind w:left="0"/>
        <w:rPr>
          <w:rFonts w:cs="Arial"/>
        </w:rPr>
      </w:pPr>
    </w:p>
    <w:p w14:paraId="3B2716EA" w14:textId="77777777" w:rsidR="00E43E59" w:rsidRDefault="00E43E59" w:rsidP="007752BC">
      <w:pPr>
        <w:pStyle w:val="Prrafodelista"/>
        <w:ind w:left="0"/>
        <w:rPr>
          <w:rFonts w:cs="Arial"/>
        </w:rPr>
      </w:pPr>
    </w:p>
    <w:p w14:paraId="07FAEB70" w14:textId="77777777" w:rsidR="00802BD5" w:rsidRPr="008E5B95" w:rsidRDefault="00802BD5" w:rsidP="005643E0">
      <w:pPr>
        <w:spacing w:line="240" w:lineRule="auto"/>
        <w:rPr>
          <w:b/>
        </w:rPr>
      </w:pPr>
      <w:r w:rsidRPr="008E5B95">
        <w:rPr>
          <w:b/>
        </w:rPr>
        <w:t>POR TANTO:</w:t>
      </w:r>
    </w:p>
    <w:p w14:paraId="254F06D7" w14:textId="77777777" w:rsidR="00721EA7" w:rsidRPr="008E5B95" w:rsidRDefault="00721EA7" w:rsidP="005643E0">
      <w:pPr>
        <w:spacing w:line="240" w:lineRule="auto"/>
        <w:rPr>
          <w:b/>
        </w:rPr>
      </w:pPr>
    </w:p>
    <w:p w14:paraId="308CCB15" w14:textId="4245F80E" w:rsidR="00802BD5" w:rsidRPr="008E5B95" w:rsidRDefault="00FF1357" w:rsidP="00CB3A5B">
      <w:pPr>
        <w:spacing w:line="240" w:lineRule="auto"/>
        <w:jc w:val="both"/>
        <w:rPr>
          <w:b/>
        </w:rPr>
      </w:pPr>
      <w:r>
        <w:rPr>
          <w:b/>
        </w:rPr>
        <w:t xml:space="preserve">EL PRESIDENTE </w:t>
      </w:r>
      <w:r w:rsidR="00802BD5" w:rsidRPr="008E5B95">
        <w:rPr>
          <w:b/>
        </w:rPr>
        <w:t xml:space="preserve">DE LA CORTE INTERAMERICANA DE DERECHOS HUMANOS, </w:t>
      </w:r>
    </w:p>
    <w:p w14:paraId="11A90F4C" w14:textId="77777777" w:rsidR="00ED2EB4" w:rsidRPr="008E5B95" w:rsidRDefault="00ED2EB4" w:rsidP="005643E0">
      <w:pPr>
        <w:spacing w:line="240" w:lineRule="auto"/>
      </w:pPr>
    </w:p>
    <w:p w14:paraId="537DE6EC" w14:textId="417489DE" w:rsidR="00802BD5" w:rsidRPr="008E5B95" w:rsidRDefault="00802BD5" w:rsidP="00B9306E">
      <w:pPr>
        <w:spacing w:line="240" w:lineRule="auto"/>
        <w:jc w:val="both"/>
      </w:pPr>
      <w:r w:rsidRPr="008E5B95">
        <w:t xml:space="preserve">de conformidad con los artículos </w:t>
      </w:r>
      <w:r w:rsidR="00E949E1" w:rsidRPr="008E5B95">
        <w:t xml:space="preserve">24.1 </w:t>
      </w:r>
      <w:r w:rsidR="009430D0" w:rsidRPr="008E5B95">
        <w:t xml:space="preserve">y 25.2 </w:t>
      </w:r>
      <w:r w:rsidRPr="008E5B95">
        <w:t xml:space="preserve">del Estatuto de la Corte y con los artículos </w:t>
      </w:r>
      <w:r w:rsidR="009430D0" w:rsidRPr="008E5B95">
        <w:t xml:space="preserve">4, 15, 26.1, 31.2, 35.1, 40.2, 41.1, </w:t>
      </w:r>
      <w:r w:rsidR="00E949E1" w:rsidRPr="008E5B95">
        <w:t>45, 46, 47, 48.</w:t>
      </w:r>
      <w:r w:rsidR="009430D0" w:rsidRPr="008E5B95">
        <w:t>1.</w:t>
      </w:r>
      <w:r w:rsidR="001A20B9">
        <w:t>d</w:t>
      </w:r>
      <w:r w:rsidR="00E949E1" w:rsidRPr="008E5B95">
        <w:t xml:space="preserve">, </w:t>
      </w:r>
      <w:r w:rsidR="00E756DE" w:rsidRPr="008E5B95">
        <w:t xml:space="preserve">49, </w:t>
      </w:r>
      <w:r w:rsidR="00E949E1" w:rsidRPr="008E5B95">
        <w:t>50</w:t>
      </w:r>
      <w:r w:rsidR="00AF1B9E" w:rsidRPr="008E5B95">
        <w:t xml:space="preserve"> a 56 y 60</w:t>
      </w:r>
      <w:r w:rsidR="00E949E1" w:rsidRPr="008E5B95">
        <w:t xml:space="preserve"> </w:t>
      </w:r>
      <w:r w:rsidRPr="008E5B95">
        <w:t>del Reglamento</w:t>
      </w:r>
      <w:r w:rsidR="009430D0" w:rsidRPr="008E5B95">
        <w:t xml:space="preserve"> de la Corte</w:t>
      </w:r>
      <w:r w:rsidRPr="008E5B95">
        <w:t xml:space="preserve">, </w:t>
      </w:r>
    </w:p>
    <w:p w14:paraId="63C63FA5" w14:textId="6BE3C0DF" w:rsidR="00721EA7" w:rsidRPr="008E5B95" w:rsidRDefault="00721EA7" w:rsidP="005643E0">
      <w:pPr>
        <w:spacing w:line="240" w:lineRule="auto"/>
      </w:pPr>
    </w:p>
    <w:p w14:paraId="75193694" w14:textId="1A834DCE" w:rsidR="00802BD5" w:rsidRPr="008E5B95" w:rsidRDefault="00802BD5" w:rsidP="005643E0">
      <w:pPr>
        <w:spacing w:line="240" w:lineRule="auto"/>
        <w:rPr>
          <w:b/>
        </w:rPr>
      </w:pPr>
      <w:r w:rsidRPr="008E5B95">
        <w:rPr>
          <w:b/>
        </w:rPr>
        <w:t>RESUELVE:</w:t>
      </w:r>
    </w:p>
    <w:p w14:paraId="3A4C931B" w14:textId="77777777" w:rsidR="00CF1C87" w:rsidRPr="008E5B95" w:rsidRDefault="00CF1C87" w:rsidP="005643E0">
      <w:pPr>
        <w:spacing w:line="240" w:lineRule="auto"/>
      </w:pPr>
    </w:p>
    <w:p w14:paraId="3EC4065F" w14:textId="3C630963" w:rsidR="00E471D0" w:rsidRDefault="00E471D0" w:rsidP="00E471D0">
      <w:pPr>
        <w:pStyle w:val="Prrafodelista"/>
        <w:numPr>
          <w:ilvl w:val="0"/>
          <w:numId w:val="4"/>
        </w:numPr>
        <w:tabs>
          <w:tab w:val="left" w:pos="567"/>
        </w:tabs>
        <w:spacing w:line="240" w:lineRule="auto"/>
        <w:ind w:left="0" w:firstLine="0"/>
        <w:jc w:val="both"/>
      </w:pPr>
      <w:bookmarkStart w:id="4" w:name="_Ref445286350"/>
      <w:r w:rsidRPr="001977CD">
        <w:t xml:space="preserve">Convocar al Estado de </w:t>
      </w:r>
      <w:r w:rsidR="000749D1">
        <w:t>Perú</w:t>
      </w:r>
      <w:r w:rsidRPr="001977CD">
        <w:t xml:space="preserve">, </w:t>
      </w:r>
      <w:r w:rsidR="000F369B">
        <w:t>a los representantes</w:t>
      </w:r>
      <w:r w:rsidRPr="001977CD">
        <w:t xml:space="preserve"> y a la Comisión Interamericana de Derechos Humanos a una audiencia pública que se celebrará</w:t>
      </w:r>
      <w:r w:rsidR="00185498">
        <w:t xml:space="preserve"> </w:t>
      </w:r>
      <w:r w:rsidR="00962BB9">
        <w:t>los días</w:t>
      </w:r>
      <w:r w:rsidRPr="001977CD">
        <w:t xml:space="preserve"> </w:t>
      </w:r>
      <w:r w:rsidR="00962BB9">
        <w:t>12 y 13</w:t>
      </w:r>
      <w:r w:rsidRPr="001977CD">
        <w:t xml:space="preserve"> de </w:t>
      </w:r>
      <w:r w:rsidR="00962BB9">
        <w:t>octubre</w:t>
      </w:r>
      <w:r w:rsidRPr="001977CD">
        <w:t xml:space="preserve"> </w:t>
      </w:r>
      <w:r w:rsidR="00CB3A5B">
        <w:t xml:space="preserve">de </w:t>
      </w:r>
      <w:r>
        <w:t>2022</w:t>
      </w:r>
      <w:r w:rsidR="00185498">
        <w:t>,</w:t>
      </w:r>
      <w:r w:rsidRPr="001977CD">
        <w:t xml:space="preserve"> a partir de las </w:t>
      </w:r>
      <w:r w:rsidR="00241F4C">
        <w:t>8</w:t>
      </w:r>
      <w:r w:rsidRPr="00FB3D29">
        <w:t>:</w:t>
      </w:r>
      <w:r w:rsidR="00241F4C">
        <w:t>3</w:t>
      </w:r>
      <w:r w:rsidR="00FB3D29" w:rsidRPr="00FB3D29">
        <w:t>0</w:t>
      </w:r>
      <w:r w:rsidRPr="001977CD">
        <w:t xml:space="preserve"> horas, durante el </w:t>
      </w:r>
      <w:r w:rsidR="00CB3A5B">
        <w:t>1</w:t>
      </w:r>
      <w:r w:rsidR="000F369B">
        <w:t>5</w:t>
      </w:r>
      <w:r w:rsidR="00962BB9">
        <w:t>3</w:t>
      </w:r>
      <w:r w:rsidRPr="001977CD">
        <w:t xml:space="preserve">° Período Ordinario de Sesiones que se llevará a cabo en </w:t>
      </w:r>
      <w:r w:rsidR="00962BB9">
        <w:t>Montevideo</w:t>
      </w:r>
      <w:r w:rsidRPr="008D5EE6">
        <w:t xml:space="preserve">, </w:t>
      </w:r>
      <w:r w:rsidR="00962BB9">
        <w:t>Uruguay</w:t>
      </w:r>
      <w:r w:rsidRPr="001977CD">
        <w:t>, para recibir sus alegatos y observaciones finales orales, respectivamente, sobre</w:t>
      </w:r>
      <w:r w:rsidR="0021414A">
        <w:t xml:space="preserve"> </w:t>
      </w:r>
      <w:r w:rsidR="000F369B">
        <w:t>las excepciones preliminares</w:t>
      </w:r>
      <w:r w:rsidR="0021414A">
        <w:t xml:space="preserve"> y</w:t>
      </w:r>
      <w:r w:rsidRPr="001977CD">
        <w:t xml:space="preserve"> </w:t>
      </w:r>
      <w:r w:rsidR="000F369B">
        <w:t>eventuales</w:t>
      </w:r>
      <w:r w:rsidRPr="00705AD3">
        <w:t xml:space="preserve"> fondo, reparaciones y costas, así como la</w:t>
      </w:r>
      <w:r w:rsidR="000F369B">
        <w:t xml:space="preserve">s declaraciones de las siguientes </w:t>
      </w:r>
      <w:r w:rsidRPr="00705AD3">
        <w:t>persona</w:t>
      </w:r>
      <w:r w:rsidR="000F369B">
        <w:t>s</w:t>
      </w:r>
      <w:r w:rsidRPr="00705AD3">
        <w:t>:</w:t>
      </w:r>
    </w:p>
    <w:p w14:paraId="6E7F62E0" w14:textId="440A1A45" w:rsidR="0053557B" w:rsidRDefault="0053557B" w:rsidP="00A74249">
      <w:pPr>
        <w:pStyle w:val="Prrafodelista"/>
        <w:tabs>
          <w:tab w:val="left" w:pos="567"/>
        </w:tabs>
        <w:spacing w:line="240" w:lineRule="auto"/>
        <w:ind w:left="0"/>
        <w:jc w:val="both"/>
      </w:pPr>
    </w:p>
    <w:p w14:paraId="7FE7FF6D" w14:textId="2F0B25E3" w:rsidR="008A14DD" w:rsidRPr="002D0FC6" w:rsidRDefault="00931D35" w:rsidP="00194D24">
      <w:pPr>
        <w:pStyle w:val="Prrafodelista"/>
        <w:numPr>
          <w:ilvl w:val="0"/>
          <w:numId w:val="5"/>
        </w:numPr>
        <w:spacing w:line="240" w:lineRule="auto"/>
        <w:jc w:val="both"/>
        <w:rPr>
          <w:b/>
        </w:rPr>
      </w:pPr>
      <w:bookmarkStart w:id="5" w:name="_Ref477386390"/>
      <w:r w:rsidRPr="002D0FC6">
        <w:rPr>
          <w:b/>
        </w:rPr>
        <w:t>P</w:t>
      </w:r>
      <w:r w:rsidR="000F369B" w:rsidRPr="002D0FC6">
        <w:rPr>
          <w:b/>
        </w:rPr>
        <w:t>resunta</w:t>
      </w:r>
      <w:r w:rsidR="0034274C">
        <w:rPr>
          <w:b/>
        </w:rPr>
        <w:t>s</w:t>
      </w:r>
      <w:r w:rsidR="000F369B" w:rsidRPr="002D0FC6">
        <w:rPr>
          <w:b/>
        </w:rPr>
        <w:t xml:space="preserve"> víctima</w:t>
      </w:r>
      <w:r w:rsidR="0034274C">
        <w:rPr>
          <w:b/>
        </w:rPr>
        <w:t>s</w:t>
      </w:r>
    </w:p>
    <w:p w14:paraId="0799DA58" w14:textId="313F05C2" w:rsidR="000F369B" w:rsidRPr="006C278A" w:rsidRDefault="000F369B" w:rsidP="00FB3D29">
      <w:pPr>
        <w:spacing w:line="240" w:lineRule="auto"/>
        <w:jc w:val="both"/>
        <w:rPr>
          <w:bCs/>
          <w:highlight w:val="yellow"/>
        </w:rPr>
      </w:pPr>
    </w:p>
    <w:p w14:paraId="6E10315B" w14:textId="77777777" w:rsidR="00434153" w:rsidRPr="00506B1B" w:rsidRDefault="00434153" w:rsidP="00434153">
      <w:pPr>
        <w:pStyle w:val="Prrafodelista"/>
        <w:spacing w:line="240" w:lineRule="auto"/>
        <w:jc w:val="both"/>
        <w:rPr>
          <w:i/>
        </w:rPr>
      </w:pPr>
      <w:r w:rsidRPr="00506B1B">
        <w:rPr>
          <w:i/>
        </w:rPr>
        <w:t xml:space="preserve">(Propuesta por los representantes) </w:t>
      </w:r>
    </w:p>
    <w:p w14:paraId="59CCADBB" w14:textId="77777777" w:rsidR="00434153" w:rsidRPr="006C278A" w:rsidRDefault="00434153" w:rsidP="00FB3D29">
      <w:pPr>
        <w:spacing w:line="240" w:lineRule="auto"/>
        <w:jc w:val="both"/>
        <w:rPr>
          <w:bCs/>
        </w:rPr>
      </w:pPr>
    </w:p>
    <w:p w14:paraId="15194D4B" w14:textId="557EFA74" w:rsidR="00506B1B" w:rsidRPr="0034274C" w:rsidRDefault="00506B1B" w:rsidP="00506B1B">
      <w:pPr>
        <w:pStyle w:val="Prrafodelista"/>
        <w:numPr>
          <w:ilvl w:val="0"/>
          <w:numId w:val="6"/>
        </w:numPr>
        <w:tabs>
          <w:tab w:val="left" w:pos="900"/>
        </w:tabs>
        <w:spacing w:line="240" w:lineRule="auto"/>
        <w:jc w:val="both"/>
        <w:rPr>
          <w:rFonts w:cs="Times New Roman"/>
          <w:lang w:val="es-ES_tradnl"/>
        </w:rPr>
      </w:pPr>
      <w:r w:rsidRPr="00506B1B">
        <w:rPr>
          <w:i/>
          <w:iCs/>
        </w:rPr>
        <w:lastRenderedPageBreak/>
        <w:t>María 9</w:t>
      </w:r>
      <w:r w:rsidRPr="00506B1B">
        <w:t>, quien declarará respecto de los daños y afectaciones que ella, su familia y la comunidad han sufrido como consecuencia de la contaminación generada por el Complejo Metalúrgico de La Oroya, así como de</w:t>
      </w:r>
      <w:r w:rsidR="00243451">
        <w:t xml:space="preserve"> los</w:t>
      </w:r>
      <w:r w:rsidRPr="00506B1B">
        <w:t xml:space="preserve"> hostigamientos, amenazas y estigmatizaciones en contra suya y de su familia. Además, </w:t>
      </w:r>
      <w:r w:rsidR="00243451">
        <w:t>la declarante se referiría</w:t>
      </w:r>
      <w:r w:rsidRPr="00506B1B">
        <w:t xml:space="preserve"> a las acciones que ha emprendido en busca de verdad, justicia y reparación por los hechos del caso, así como sus valoraciones en relación con las respuestas brindadas por el Estado. </w:t>
      </w:r>
    </w:p>
    <w:p w14:paraId="035B0DC2" w14:textId="77777777" w:rsidR="0034274C" w:rsidRPr="0034274C" w:rsidRDefault="0034274C" w:rsidP="0034274C">
      <w:pPr>
        <w:pStyle w:val="Prrafodelista"/>
        <w:tabs>
          <w:tab w:val="left" w:pos="900"/>
        </w:tabs>
        <w:spacing w:line="240" w:lineRule="auto"/>
        <w:ind w:left="786"/>
        <w:jc w:val="both"/>
        <w:rPr>
          <w:rFonts w:cs="Times New Roman"/>
          <w:lang w:val="es-ES_tradnl"/>
        </w:rPr>
      </w:pPr>
    </w:p>
    <w:p w14:paraId="15BB8235" w14:textId="0E27C2EE" w:rsidR="0034274C" w:rsidRDefault="0034274C" w:rsidP="0034274C">
      <w:pPr>
        <w:pStyle w:val="Prrafodelista"/>
        <w:numPr>
          <w:ilvl w:val="0"/>
          <w:numId w:val="6"/>
        </w:numPr>
        <w:tabs>
          <w:tab w:val="left" w:pos="900"/>
        </w:tabs>
        <w:spacing w:line="240" w:lineRule="auto"/>
        <w:jc w:val="both"/>
      </w:pPr>
      <w:r w:rsidRPr="009F2800">
        <w:rPr>
          <w:i/>
          <w:iCs/>
        </w:rPr>
        <w:t>María 13,</w:t>
      </w:r>
      <w:r w:rsidRPr="009F2800">
        <w:rPr>
          <w:b/>
          <w:bCs/>
        </w:rPr>
        <w:t xml:space="preserve"> </w:t>
      </w:r>
      <w:r w:rsidRPr="009F2800">
        <w:t xml:space="preserve">quien declarará respecto </w:t>
      </w:r>
      <w:r>
        <w:t>del impacto que los hechos del presente caso</w:t>
      </w:r>
      <w:r w:rsidRPr="009F2800">
        <w:t xml:space="preserve"> ha</w:t>
      </w:r>
      <w:r>
        <w:t>n</w:t>
      </w:r>
      <w:r w:rsidRPr="009F2800">
        <w:t xml:space="preserve"> </w:t>
      </w:r>
      <w:r>
        <w:t>tenido</w:t>
      </w:r>
      <w:r w:rsidRPr="009F2800">
        <w:t xml:space="preserve"> en su vida, familia y en su comunidad. Además, </w:t>
      </w:r>
      <w:r>
        <w:t xml:space="preserve">la declarante </w:t>
      </w:r>
      <w:r w:rsidRPr="009F2800">
        <w:t>podrá pronunciarse respecto de las acciones que ha emprendido en busca de verdad, justicia y reparación</w:t>
      </w:r>
      <w:r>
        <w:t>, y sobre</w:t>
      </w:r>
      <w:r w:rsidRPr="009F2800">
        <w:t xml:space="preserve"> los hostigamientos, amenazas y estigmatizaciones en contra suya. La declarante podrá pronunciarse respecto de las respuestas dadas por el Estado.</w:t>
      </w:r>
    </w:p>
    <w:p w14:paraId="266DD7A4" w14:textId="77777777" w:rsidR="0049385F" w:rsidRDefault="0049385F" w:rsidP="0049385F">
      <w:pPr>
        <w:tabs>
          <w:tab w:val="left" w:pos="900"/>
        </w:tabs>
        <w:spacing w:line="240" w:lineRule="auto"/>
        <w:jc w:val="both"/>
      </w:pPr>
    </w:p>
    <w:p w14:paraId="1CB63928" w14:textId="5B51E3EC" w:rsidR="0034274C" w:rsidRPr="0049385F" w:rsidRDefault="0049385F" w:rsidP="00506B1B">
      <w:pPr>
        <w:pStyle w:val="Prrafodelista"/>
        <w:numPr>
          <w:ilvl w:val="0"/>
          <w:numId w:val="6"/>
        </w:numPr>
        <w:tabs>
          <w:tab w:val="left" w:pos="900"/>
        </w:tabs>
        <w:spacing w:line="240" w:lineRule="auto"/>
        <w:jc w:val="both"/>
        <w:rPr>
          <w:rFonts w:cs="Times New Roman"/>
          <w:lang w:val="es-ES_tradnl"/>
        </w:rPr>
      </w:pPr>
      <w:r w:rsidRPr="0049385F">
        <w:rPr>
          <w:i/>
          <w:iCs/>
          <w:lang w:val="es-ES"/>
        </w:rPr>
        <w:t>María 15</w:t>
      </w:r>
      <w:r>
        <w:rPr>
          <w:lang w:val="es-ES"/>
        </w:rPr>
        <w:t>, quien declarará</w:t>
      </w:r>
      <w:r w:rsidRPr="0049385F">
        <w:rPr>
          <w:lang w:val="es-ES"/>
        </w:rPr>
        <w:t xml:space="preserve"> sobre</w:t>
      </w:r>
      <w:r>
        <w:rPr>
          <w:lang w:val="es-ES"/>
        </w:rPr>
        <w:t xml:space="preserve"> los hechos del presente caso y el impacto que</w:t>
      </w:r>
      <w:r>
        <w:t xml:space="preserve"> le han generado a ella y su familia. En particular, la declarante podrá pronunciarse sobre</w:t>
      </w:r>
      <w:r w:rsidRPr="0049385F">
        <w:t xml:space="preserve"> los daños y consecuencias que </w:t>
      </w:r>
      <w:r>
        <w:t>la contaminación en La Oroya le</w:t>
      </w:r>
      <w:r w:rsidRPr="0049385F">
        <w:t xml:space="preserve"> ha generado </w:t>
      </w:r>
      <w:r>
        <w:t>a</w:t>
      </w:r>
      <w:r w:rsidRPr="0049385F">
        <w:t xml:space="preserve"> ella, su comunidad y su familia. La declarante informará sobre su valoración respecto al comportamiento del Estado peruano”.</w:t>
      </w:r>
    </w:p>
    <w:p w14:paraId="5F715B70" w14:textId="54B8D6C5" w:rsidR="00506B1B" w:rsidRDefault="00506B1B" w:rsidP="000F369B">
      <w:pPr>
        <w:spacing w:line="240" w:lineRule="auto"/>
        <w:ind w:left="360"/>
        <w:jc w:val="both"/>
        <w:rPr>
          <w:b/>
          <w:highlight w:val="yellow"/>
        </w:rPr>
      </w:pPr>
    </w:p>
    <w:p w14:paraId="15200290" w14:textId="77777777" w:rsidR="006C278A" w:rsidRPr="006C7614" w:rsidRDefault="006C278A" w:rsidP="006C278A">
      <w:pPr>
        <w:pStyle w:val="Prrafodelista"/>
        <w:numPr>
          <w:ilvl w:val="0"/>
          <w:numId w:val="5"/>
        </w:numPr>
        <w:spacing w:line="240" w:lineRule="auto"/>
        <w:jc w:val="both"/>
        <w:rPr>
          <w:b/>
        </w:rPr>
      </w:pPr>
      <w:r>
        <w:rPr>
          <w:b/>
        </w:rPr>
        <w:t>Testigos</w:t>
      </w:r>
      <w:r w:rsidRPr="006C7614">
        <w:rPr>
          <w:b/>
        </w:rPr>
        <w:t xml:space="preserve"> </w:t>
      </w:r>
    </w:p>
    <w:p w14:paraId="52143681" w14:textId="42151BF2" w:rsidR="006C278A" w:rsidRPr="006C278A" w:rsidRDefault="006C278A" w:rsidP="000F369B">
      <w:pPr>
        <w:spacing w:line="240" w:lineRule="auto"/>
        <w:ind w:left="360"/>
        <w:jc w:val="both"/>
        <w:rPr>
          <w:bCs/>
          <w:highlight w:val="yellow"/>
        </w:rPr>
      </w:pPr>
    </w:p>
    <w:p w14:paraId="602CF82D" w14:textId="483C0D68" w:rsidR="006C278A" w:rsidRPr="00506B1B" w:rsidRDefault="006C278A" w:rsidP="006C278A">
      <w:pPr>
        <w:pStyle w:val="Prrafodelista"/>
        <w:spacing w:line="240" w:lineRule="auto"/>
        <w:jc w:val="both"/>
        <w:rPr>
          <w:i/>
        </w:rPr>
      </w:pPr>
      <w:r w:rsidRPr="00506B1B">
        <w:rPr>
          <w:i/>
        </w:rPr>
        <w:t>(Propuest</w:t>
      </w:r>
      <w:r>
        <w:rPr>
          <w:i/>
        </w:rPr>
        <w:t>os</w:t>
      </w:r>
      <w:r w:rsidRPr="00506B1B">
        <w:rPr>
          <w:i/>
        </w:rPr>
        <w:t xml:space="preserve"> por </w:t>
      </w:r>
      <w:r>
        <w:rPr>
          <w:i/>
        </w:rPr>
        <w:t>el Estado</w:t>
      </w:r>
      <w:r w:rsidRPr="00506B1B">
        <w:rPr>
          <w:i/>
        </w:rPr>
        <w:t xml:space="preserve">) </w:t>
      </w:r>
    </w:p>
    <w:p w14:paraId="3EDDDB25" w14:textId="42DB2E64" w:rsidR="006C278A" w:rsidRDefault="006C278A" w:rsidP="000F369B">
      <w:pPr>
        <w:spacing w:line="240" w:lineRule="auto"/>
        <w:ind w:left="360"/>
        <w:jc w:val="both"/>
        <w:rPr>
          <w:bCs/>
          <w:highlight w:val="yellow"/>
        </w:rPr>
      </w:pPr>
    </w:p>
    <w:p w14:paraId="39B8DFBB" w14:textId="11D8DEB5" w:rsidR="00850A93" w:rsidRPr="00850A93" w:rsidRDefault="00850A93" w:rsidP="00850A93">
      <w:pPr>
        <w:pStyle w:val="Prrafodelista"/>
        <w:numPr>
          <w:ilvl w:val="0"/>
          <w:numId w:val="6"/>
        </w:numPr>
        <w:tabs>
          <w:tab w:val="left" w:pos="900"/>
        </w:tabs>
        <w:spacing w:line="240" w:lineRule="auto"/>
        <w:jc w:val="both"/>
        <w:rPr>
          <w:rFonts w:cs="Times New Roman"/>
          <w:lang w:val="es-ES_tradnl"/>
        </w:rPr>
      </w:pPr>
      <w:r w:rsidRPr="00850A93">
        <w:rPr>
          <w:rFonts w:cs="Arial"/>
          <w:i/>
          <w:iCs/>
          <w:color w:val="000000"/>
          <w:lang w:val="es-ES"/>
        </w:rPr>
        <w:t>Jonh Maximiliano Astete Cornejo</w:t>
      </w:r>
      <w:r w:rsidRPr="00850A93">
        <w:rPr>
          <w:rFonts w:cs="Arial"/>
          <w:color w:val="000000"/>
          <w:lang w:val="es-ES"/>
        </w:rPr>
        <w:t>, médico cirujano profesional del Centro Nacional de Salud Ocupacional y Protección del Medio Ambiente para la Salud</w:t>
      </w:r>
      <w:r w:rsidR="00243451">
        <w:rPr>
          <w:rFonts w:cs="Arial"/>
          <w:color w:val="000000"/>
          <w:lang w:val="es-ES"/>
        </w:rPr>
        <w:t xml:space="preserve"> (CENSOPAS)</w:t>
      </w:r>
      <w:r w:rsidRPr="00850A93">
        <w:rPr>
          <w:rFonts w:cs="Arial"/>
          <w:color w:val="000000"/>
          <w:lang w:val="es-ES"/>
        </w:rPr>
        <w:t xml:space="preserve"> del Instituto Nacional de Salud, quien declarará sobre las funciones </w:t>
      </w:r>
      <w:r w:rsidR="00243451">
        <w:rPr>
          <w:rFonts w:cs="Arial"/>
          <w:color w:val="000000"/>
          <w:lang w:val="es-ES"/>
        </w:rPr>
        <w:t>de dicho centro</w:t>
      </w:r>
      <w:r w:rsidRPr="00850A93">
        <w:rPr>
          <w:rFonts w:cs="Arial"/>
          <w:color w:val="000000"/>
          <w:lang w:val="es-ES"/>
        </w:rPr>
        <w:t xml:space="preserve">. En su declaración, el testigo se podrá referir a las fuentes de exposición a metales pesados </w:t>
      </w:r>
      <w:r w:rsidR="00243451">
        <w:rPr>
          <w:rFonts w:cs="Arial"/>
          <w:color w:val="000000"/>
          <w:lang w:val="es-ES"/>
        </w:rPr>
        <w:t xml:space="preserve">que </w:t>
      </w:r>
      <w:r w:rsidRPr="00850A93">
        <w:rPr>
          <w:rFonts w:cs="Arial"/>
          <w:color w:val="000000"/>
          <w:lang w:val="es-ES"/>
        </w:rPr>
        <w:t>existen (naturales y antropogénicas)</w:t>
      </w:r>
      <w:r w:rsidR="00243451">
        <w:rPr>
          <w:rFonts w:cs="Arial"/>
          <w:color w:val="000000"/>
          <w:lang w:val="es-ES"/>
        </w:rPr>
        <w:t xml:space="preserve"> en La Oroya</w:t>
      </w:r>
      <w:r w:rsidRPr="00850A93">
        <w:rPr>
          <w:rFonts w:cs="Arial"/>
          <w:color w:val="000000"/>
          <w:lang w:val="es-ES"/>
        </w:rPr>
        <w:t xml:space="preserve">, la evolución de los resultados de los dosajes a las presuntas víctimas, y explicar la forma en que se realiza el manejo e interpretación de datos destinados a exámenes o evaluaciones médicas. </w:t>
      </w:r>
    </w:p>
    <w:p w14:paraId="6811FCE6" w14:textId="77777777" w:rsidR="006C278A" w:rsidRPr="00243451" w:rsidRDefault="006C278A" w:rsidP="000F369B">
      <w:pPr>
        <w:spacing w:line="240" w:lineRule="auto"/>
        <w:ind w:left="360"/>
        <w:jc w:val="both"/>
        <w:rPr>
          <w:bCs/>
          <w:highlight w:val="yellow"/>
          <w:lang w:val="es-ES_tradnl"/>
        </w:rPr>
      </w:pPr>
    </w:p>
    <w:p w14:paraId="5612550B" w14:textId="77777777" w:rsidR="000F369B" w:rsidRPr="006C7614" w:rsidRDefault="000F369B" w:rsidP="000F369B">
      <w:pPr>
        <w:pStyle w:val="Prrafodelista"/>
        <w:numPr>
          <w:ilvl w:val="0"/>
          <w:numId w:val="5"/>
        </w:numPr>
        <w:spacing w:line="240" w:lineRule="auto"/>
        <w:jc w:val="both"/>
        <w:rPr>
          <w:b/>
        </w:rPr>
      </w:pPr>
      <w:r w:rsidRPr="006C7614">
        <w:rPr>
          <w:b/>
        </w:rPr>
        <w:t xml:space="preserve">Peritos </w:t>
      </w:r>
    </w:p>
    <w:p w14:paraId="30D77F16" w14:textId="77777777" w:rsidR="008A14DD" w:rsidRPr="006C7614" w:rsidRDefault="008A14DD" w:rsidP="008A14DD">
      <w:pPr>
        <w:pStyle w:val="Prrafodelista"/>
        <w:spacing w:line="240" w:lineRule="auto"/>
        <w:jc w:val="both"/>
        <w:rPr>
          <w:b/>
        </w:rPr>
      </w:pPr>
    </w:p>
    <w:p w14:paraId="6021B5A9" w14:textId="2DDBF315" w:rsidR="00D33870" w:rsidRPr="006C7614" w:rsidRDefault="00D33870" w:rsidP="00D33870">
      <w:pPr>
        <w:pStyle w:val="Prrafodelista"/>
        <w:spacing w:line="240" w:lineRule="auto"/>
        <w:jc w:val="both"/>
        <w:rPr>
          <w:i/>
        </w:rPr>
      </w:pPr>
      <w:r w:rsidRPr="006C7614">
        <w:rPr>
          <w:i/>
        </w:rPr>
        <w:t>(</w:t>
      </w:r>
      <w:r w:rsidR="000F3445" w:rsidRPr="006C7614">
        <w:rPr>
          <w:i/>
        </w:rPr>
        <w:t>Propuest</w:t>
      </w:r>
      <w:r w:rsidR="00506B1B" w:rsidRPr="006C7614">
        <w:rPr>
          <w:i/>
        </w:rPr>
        <w:t>os</w:t>
      </w:r>
      <w:r w:rsidR="000F369B" w:rsidRPr="006C7614">
        <w:rPr>
          <w:i/>
        </w:rPr>
        <w:t xml:space="preserve"> por los representantes</w:t>
      </w:r>
      <w:r w:rsidRPr="006C7614">
        <w:rPr>
          <w:i/>
        </w:rPr>
        <w:t xml:space="preserve">) </w:t>
      </w:r>
    </w:p>
    <w:p w14:paraId="5E9379E0" w14:textId="17C627CB" w:rsidR="00D33870" w:rsidRPr="006C7614" w:rsidRDefault="00D33870" w:rsidP="00D33870">
      <w:pPr>
        <w:pStyle w:val="Prrafodelista"/>
        <w:spacing w:line="240" w:lineRule="auto"/>
        <w:jc w:val="both"/>
        <w:rPr>
          <w:i/>
        </w:rPr>
      </w:pPr>
    </w:p>
    <w:p w14:paraId="23C6DC5A" w14:textId="3062B250" w:rsidR="007A789D" w:rsidRDefault="007A789D" w:rsidP="002D0FC6">
      <w:pPr>
        <w:pStyle w:val="Prrafodelista"/>
        <w:numPr>
          <w:ilvl w:val="0"/>
          <w:numId w:val="6"/>
        </w:numPr>
        <w:tabs>
          <w:tab w:val="left" w:pos="900"/>
        </w:tabs>
        <w:spacing w:line="240" w:lineRule="auto"/>
        <w:jc w:val="both"/>
      </w:pPr>
      <w:r w:rsidRPr="007A789D">
        <w:rPr>
          <w:i/>
          <w:iCs/>
          <w:lang w:val="es-CO"/>
        </w:rPr>
        <w:t>Marcos Orellana</w:t>
      </w:r>
      <w:r w:rsidR="008576C9" w:rsidRPr="007A789D">
        <w:rPr>
          <w:lang w:val="es-CO"/>
        </w:rPr>
        <w:t xml:space="preserve">, </w:t>
      </w:r>
      <w:r w:rsidRPr="007A789D">
        <w:rPr>
          <w:lang w:val="es-CO"/>
        </w:rPr>
        <w:t>Relator Especial de la Organización de las Naciones Unidas sobre sustancias tóxicas y derechos humanos</w:t>
      </w:r>
      <w:r w:rsidR="008576C9" w:rsidRPr="007A789D">
        <w:rPr>
          <w:lang w:val="es-CO"/>
        </w:rPr>
        <w:t>, quien rendirá peritaje sobre</w:t>
      </w:r>
      <w:r w:rsidR="008576C9" w:rsidRPr="007A789D">
        <w:rPr>
          <w:i/>
          <w:iCs/>
          <w:lang w:val="es-CO"/>
        </w:rPr>
        <w:t xml:space="preserve"> </w:t>
      </w:r>
      <w:r w:rsidRPr="007A789D">
        <w:t xml:space="preserve">los efectos adversos de la contaminación en el goce efectivo de los derechos humanos, en particular </w:t>
      </w:r>
      <w:r w:rsidR="0049385F">
        <w:t>los</w:t>
      </w:r>
      <w:r w:rsidRPr="007A789D">
        <w:t xml:space="preserve"> derecho</w:t>
      </w:r>
      <w:r w:rsidR="0049385F">
        <w:t>s</w:t>
      </w:r>
      <w:r w:rsidRPr="007A789D">
        <w:t xml:space="preserve"> a la vida, la salud, la integridad personal y un medio ambiente limpio, saludable y sostenible. El perito analizará las obligaciones de los Estados frente a los riesgos y daños generados por la exposición a sustancias tóxicas como son contaminantes, metales y desechos peligrosos. En su análisis, el perito podrá referirse al alcance y contenido de las obligaciones del Estado en materia de prevención de riesgos y daños a la salud humana y el medio ambiente, incluyendo estándares relativos a la regulación, supervisión y fiscalización de actores públicos y privados. </w:t>
      </w:r>
      <w:r w:rsidR="00243451">
        <w:t>E</w:t>
      </w:r>
      <w:r w:rsidRPr="007A789D">
        <w:t>l perito también podrá referirse a la relación entre estándares internacionales y las normas internas del Estado, a la luz de obligaciones de progresividad y no regresión. En el desarrollo de su peritaje, el experto podrá pronunciarse sobre los hechos del caso.</w:t>
      </w:r>
    </w:p>
    <w:p w14:paraId="1B45FC92" w14:textId="77777777" w:rsidR="007A789D" w:rsidRDefault="007A789D" w:rsidP="007A789D">
      <w:pPr>
        <w:pStyle w:val="Prrafodelista"/>
        <w:tabs>
          <w:tab w:val="left" w:pos="900"/>
        </w:tabs>
        <w:spacing w:line="240" w:lineRule="auto"/>
        <w:ind w:left="786"/>
        <w:jc w:val="both"/>
      </w:pPr>
    </w:p>
    <w:p w14:paraId="0DB90DFC" w14:textId="183EEB27" w:rsidR="007A789D" w:rsidRPr="006C7614" w:rsidRDefault="007A789D" w:rsidP="007A789D">
      <w:pPr>
        <w:pStyle w:val="Prrafodelista"/>
        <w:numPr>
          <w:ilvl w:val="0"/>
          <w:numId w:val="6"/>
        </w:numPr>
        <w:tabs>
          <w:tab w:val="left" w:pos="900"/>
        </w:tabs>
        <w:spacing w:line="240" w:lineRule="auto"/>
        <w:jc w:val="both"/>
      </w:pPr>
      <w:r w:rsidRPr="006C7614">
        <w:rPr>
          <w:i/>
          <w:iCs/>
        </w:rPr>
        <w:lastRenderedPageBreak/>
        <w:t xml:space="preserve">Marisol Yañez de la Cruz, </w:t>
      </w:r>
      <w:r w:rsidR="00243451">
        <w:t>p</w:t>
      </w:r>
      <w:r w:rsidRPr="006C7614">
        <w:t>rofesora e investigadora en la Universidad Centroamericana José Simeón Cañas de El Salvador</w:t>
      </w:r>
      <w:r w:rsidR="006C7614" w:rsidRPr="006C7614">
        <w:t xml:space="preserve">, quien rendirá peritaje sobre </w:t>
      </w:r>
      <w:r w:rsidR="00243451">
        <w:t xml:space="preserve">el alcance de </w:t>
      </w:r>
      <w:r w:rsidRPr="006C7614">
        <w:t xml:space="preserve">los daños e impactos psicosociales </w:t>
      </w:r>
      <w:r w:rsidR="006C7614" w:rsidRPr="006C7614">
        <w:t>sufridos por las presuntas</w:t>
      </w:r>
      <w:r w:rsidRPr="006C7614">
        <w:t xml:space="preserve"> víctimas en el presente caso</w:t>
      </w:r>
      <w:r w:rsidR="006C7614" w:rsidRPr="006C7614">
        <w:t>,</w:t>
      </w:r>
      <w:r w:rsidRPr="006C7614">
        <w:t xml:space="preserve"> y </w:t>
      </w:r>
      <w:r w:rsidR="006C7614" w:rsidRPr="006C7614">
        <w:t>respecto de</w:t>
      </w:r>
      <w:r w:rsidR="00243451">
        <w:t xml:space="preserve"> la</w:t>
      </w:r>
      <w:r w:rsidR="006C7614" w:rsidRPr="006C7614">
        <w:t xml:space="preserve"> </w:t>
      </w:r>
      <w:r w:rsidRPr="006C7614">
        <w:t>respuesta por parte del Estado</w:t>
      </w:r>
      <w:r w:rsidR="006C7614" w:rsidRPr="006C7614">
        <w:t xml:space="preserve"> </w:t>
      </w:r>
      <w:r w:rsidR="00243451">
        <w:t>a</w:t>
      </w:r>
      <w:r w:rsidR="006C7614" w:rsidRPr="006C7614">
        <w:t xml:space="preserve"> de las alegadas violaciones a los derechos humanos cometidas en el presente caso</w:t>
      </w:r>
      <w:r w:rsidRPr="006C7614">
        <w:t xml:space="preserve">. La </w:t>
      </w:r>
      <w:r w:rsidR="002D0FC6">
        <w:t>p</w:t>
      </w:r>
      <w:r w:rsidRPr="006C7614">
        <w:t xml:space="preserve">erita </w:t>
      </w:r>
      <w:r w:rsidR="006C7614" w:rsidRPr="006C7614">
        <w:t xml:space="preserve">podrá emitir </w:t>
      </w:r>
      <w:r w:rsidRPr="006C7614">
        <w:t>recomendaciones en materia de reparación integral para el caso concreto.</w:t>
      </w:r>
    </w:p>
    <w:p w14:paraId="739BEE11" w14:textId="77777777" w:rsidR="007A789D" w:rsidRPr="00962BB9" w:rsidRDefault="007A789D" w:rsidP="00C015C2">
      <w:pPr>
        <w:tabs>
          <w:tab w:val="left" w:pos="900"/>
        </w:tabs>
        <w:spacing w:line="240" w:lineRule="auto"/>
        <w:jc w:val="both"/>
        <w:rPr>
          <w:highlight w:val="yellow"/>
          <w:lang w:val="es-CO"/>
        </w:rPr>
      </w:pPr>
    </w:p>
    <w:p w14:paraId="53449DA8" w14:textId="408B3F4A" w:rsidR="00C015C2" w:rsidRPr="006C7614" w:rsidRDefault="00C015C2" w:rsidP="00C015C2">
      <w:pPr>
        <w:pStyle w:val="Prrafodelista"/>
        <w:spacing w:line="240" w:lineRule="auto"/>
        <w:jc w:val="both"/>
        <w:rPr>
          <w:i/>
        </w:rPr>
      </w:pPr>
      <w:r w:rsidRPr="006C7614">
        <w:rPr>
          <w:i/>
        </w:rPr>
        <w:t>(Propuest</w:t>
      </w:r>
      <w:r w:rsidR="002D0FC6">
        <w:rPr>
          <w:i/>
        </w:rPr>
        <w:t>a</w:t>
      </w:r>
      <w:r w:rsidRPr="006C7614">
        <w:rPr>
          <w:i/>
        </w:rPr>
        <w:t xml:space="preserve"> por el Estado) </w:t>
      </w:r>
    </w:p>
    <w:p w14:paraId="7E5BF45F" w14:textId="3D5E7430" w:rsidR="00C015C2" w:rsidRDefault="00C015C2" w:rsidP="00C015C2">
      <w:pPr>
        <w:tabs>
          <w:tab w:val="left" w:pos="900"/>
        </w:tabs>
        <w:spacing w:line="240" w:lineRule="auto"/>
        <w:jc w:val="both"/>
        <w:rPr>
          <w:highlight w:val="yellow"/>
          <w:lang w:val="es-CO"/>
        </w:rPr>
      </w:pPr>
    </w:p>
    <w:p w14:paraId="0D5D91E2" w14:textId="3922ABAA" w:rsidR="00850A93" w:rsidRPr="00D61435" w:rsidRDefault="006C7614" w:rsidP="00D61435">
      <w:pPr>
        <w:pStyle w:val="Prrafodelista"/>
        <w:numPr>
          <w:ilvl w:val="0"/>
          <w:numId w:val="6"/>
        </w:numPr>
        <w:tabs>
          <w:tab w:val="left" w:pos="900"/>
        </w:tabs>
        <w:spacing w:line="240" w:lineRule="auto"/>
        <w:jc w:val="both"/>
        <w:rPr>
          <w:rFonts w:cs="Arial"/>
          <w:color w:val="000000"/>
          <w:lang w:val="es-ES"/>
        </w:rPr>
      </w:pPr>
      <w:r w:rsidRPr="002D0FC6">
        <w:rPr>
          <w:rFonts w:cs="Arial"/>
          <w:i/>
          <w:iCs/>
          <w:color w:val="000000"/>
          <w:lang w:val="es-ES"/>
        </w:rPr>
        <w:t>Patricia Mercedes Gallegos Quesquén</w:t>
      </w:r>
      <w:r w:rsidRPr="002D0FC6">
        <w:rPr>
          <w:rFonts w:cs="Arial"/>
          <w:color w:val="000000"/>
          <w:lang w:val="es-ES"/>
        </w:rPr>
        <w:t xml:space="preserve">, abogada especializada en materia minero ambiental y regulación minero-energética, quien rendirá peritaje sobre la evolución normativa en materia ambiental-minero en el Perú desde el año 2006. La perita podrá referirse a las acciones que ha adoptado el Estado </w:t>
      </w:r>
      <w:r w:rsidRPr="006C7614">
        <w:rPr>
          <w:rFonts w:cs="Arial"/>
          <w:color w:val="000000"/>
          <w:lang w:val="es-ES"/>
        </w:rPr>
        <w:t xml:space="preserve">a fin de adecuar la normativa peruana a los estándares </w:t>
      </w:r>
      <w:r w:rsidRPr="002D0FC6">
        <w:rPr>
          <w:rFonts w:cs="Arial"/>
          <w:color w:val="000000"/>
          <w:lang w:val="es-ES"/>
        </w:rPr>
        <w:t xml:space="preserve">en materia </w:t>
      </w:r>
      <w:r w:rsidR="002D0FC6" w:rsidRPr="002D0FC6">
        <w:rPr>
          <w:rFonts w:cs="Arial"/>
          <w:color w:val="000000"/>
          <w:lang w:val="es-ES"/>
        </w:rPr>
        <w:t>ambiental, la evolución institucional en la materia en el Perú, el alcance de las obligaciones del Estado frente a empresas del sector minero-ambiental, y las acciones del Estado en la materia para garantizar el cumplimiento de dichas obligaciones</w:t>
      </w:r>
      <w:r w:rsidRPr="006C7614">
        <w:rPr>
          <w:rFonts w:cs="Arial"/>
          <w:color w:val="000000"/>
          <w:lang w:val="es-ES"/>
        </w:rPr>
        <w:t>.</w:t>
      </w:r>
      <w:r w:rsidR="002D0FC6" w:rsidRPr="002D0FC6">
        <w:rPr>
          <w:rFonts w:cs="Arial"/>
          <w:color w:val="000000"/>
          <w:lang w:val="es-ES"/>
        </w:rPr>
        <w:t xml:space="preserve"> </w:t>
      </w:r>
      <w:r w:rsidR="002D0FC6" w:rsidRPr="002D0FC6">
        <w:t xml:space="preserve">En el desarrollo de su peritaje, </w:t>
      </w:r>
      <w:r w:rsidR="00243451">
        <w:t>la</w:t>
      </w:r>
      <w:r w:rsidR="002D0FC6" w:rsidRPr="002D0FC6">
        <w:t xml:space="preserve"> expert</w:t>
      </w:r>
      <w:r w:rsidR="00243451">
        <w:t>a</w:t>
      </w:r>
      <w:r w:rsidR="002D0FC6" w:rsidRPr="002D0FC6">
        <w:t xml:space="preserve"> podrá pronunciarse sobre los hechos del caso.</w:t>
      </w:r>
    </w:p>
    <w:p w14:paraId="79347D8C" w14:textId="32F4EB9E" w:rsidR="002D0FC6" w:rsidRPr="00770230" w:rsidRDefault="002D0FC6" w:rsidP="00770230">
      <w:pPr>
        <w:tabs>
          <w:tab w:val="left" w:pos="900"/>
        </w:tabs>
        <w:spacing w:line="240" w:lineRule="auto"/>
        <w:jc w:val="both"/>
        <w:rPr>
          <w:lang w:val="es-CO"/>
        </w:rPr>
      </w:pPr>
    </w:p>
    <w:p w14:paraId="161A8986" w14:textId="76C4B5A4" w:rsidR="00770230" w:rsidRPr="00770230" w:rsidRDefault="00770230" w:rsidP="00770230">
      <w:pPr>
        <w:pStyle w:val="Prrafodelista"/>
        <w:numPr>
          <w:ilvl w:val="0"/>
          <w:numId w:val="4"/>
        </w:numPr>
        <w:tabs>
          <w:tab w:val="left" w:pos="900"/>
        </w:tabs>
        <w:spacing w:line="240" w:lineRule="auto"/>
        <w:ind w:left="0" w:firstLine="0"/>
        <w:jc w:val="both"/>
        <w:rPr>
          <w:lang w:val="es-CO"/>
        </w:rPr>
      </w:pPr>
      <w:r w:rsidRPr="00770230">
        <w:t xml:space="preserve">Solicitar al Estado de </w:t>
      </w:r>
      <w:r>
        <w:t>Uruguay</w:t>
      </w:r>
      <w:r w:rsidRPr="00770230">
        <w:t xml:space="preserve">, de conformidad con lo dispuesto en el artículo 26 incisos 1 y 3 del Reglamento de la Corte, su cooperación para llevar a cabo la audiencia pública sobre las excepciones preliminares y eventuales fondo, reparaciones y costas, por celebrarse en ese país, convocada mediante la presente Resolución, así como para facilitar la entrada y salida de su territorio de las personas que fueron citadas a rendir su declaración ante la Corte Interamericana en la referida audiencia y de quienes representarán a la Comisión Interamericana, a Perú y a los representantes, durante la misma. Para tal efecto se dispone que la Secretaría notifique la presente Resolución a la República </w:t>
      </w:r>
      <w:r>
        <w:t>Oriental</w:t>
      </w:r>
      <w:r w:rsidRPr="00770230">
        <w:t xml:space="preserve"> de</w:t>
      </w:r>
      <w:r>
        <w:t>l</w:t>
      </w:r>
      <w:r w:rsidRPr="00770230">
        <w:t xml:space="preserve"> </w:t>
      </w:r>
      <w:r>
        <w:t>Uruguay</w:t>
      </w:r>
      <w:r w:rsidRPr="00770230">
        <w:t>.</w:t>
      </w:r>
    </w:p>
    <w:p w14:paraId="252D6464" w14:textId="77777777" w:rsidR="00770230" w:rsidRPr="00770230" w:rsidRDefault="00770230" w:rsidP="002D0FC6">
      <w:pPr>
        <w:tabs>
          <w:tab w:val="left" w:pos="900"/>
        </w:tabs>
        <w:spacing w:line="240" w:lineRule="auto"/>
        <w:jc w:val="both"/>
        <w:rPr>
          <w:lang w:val="es-CO"/>
        </w:rPr>
      </w:pPr>
    </w:p>
    <w:p w14:paraId="4647F924" w14:textId="2FE82A55" w:rsidR="00CF2AEE" w:rsidRPr="00770230" w:rsidRDefault="0053557B" w:rsidP="001977CD">
      <w:pPr>
        <w:pStyle w:val="Prrafodelista"/>
        <w:numPr>
          <w:ilvl w:val="0"/>
          <w:numId w:val="4"/>
        </w:numPr>
        <w:tabs>
          <w:tab w:val="left" w:pos="567"/>
        </w:tabs>
        <w:spacing w:line="240" w:lineRule="auto"/>
        <w:ind w:left="0" w:firstLine="0"/>
        <w:jc w:val="both"/>
      </w:pPr>
      <w:bookmarkStart w:id="6" w:name="_Ref532315339"/>
      <w:r w:rsidRPr="00770230">
        <w:t>Requerir, de conformidad con el principio de economía procesal y de la facultad que le otorga el artículo 50.1 del Reglamento de la Corte, que la</w:t>
      </w:r>
      <w:r w:rsidR="00770230">
        <w:t>s</w:t>
      </w:r>
      <w:r w:rsidRPr="00770230">
        <w:t xml:space="preserve"> siguiente</w:t>
      </w:r>
      <w:r w:rsidR="00770230">
        <w:t>s</w:t>
      </w:r>
      <w:r w:rsidRPr="00770230">
        <w:t xml:space="preserve"> persona</w:t>
      </w:r>
      <w:r w:rsidR="00770230">
        <w:t>s</w:t>
      </w:r>
      <w:r w:rsidRPr="00770230">
        <w:t xml:space="preserve"> preste</w:t>
      </w:r>
      <w:r w:rsidR="00770230">
        <w:t>n</w:t>
      </w:r>
      <w:r w:rsidRPr="00770230">
        <w:t xml:space="preserve"> su declaración ante fedatario público:</w:t>
      </w:r>
      <w:bookmarkEnd w:id="4"/>
      <w:bookmarkEnd w:id="5"/>
      <w:bookmarkEnd w:id="6"/>
    </w:p>
    <w:p w14:paraId="0A959714" w14:textId="0CC563C8" w:rsidR="0083088A" w:rsidRPr="00962BB9" w:rsidRDefault="0083088A" w:rsidP="000F3445">
      <w:pPr>
        <w:tabs>
          <w:tab w:val="left" w:pos="900"/>
        </w:tabs>
        <w:spacing w:line="240" w:lineRule="auto"/>
        <w:jc w:val="both"/>
        <w:rPr>
          <w:highlight w:val="yellow"/>
        </w:rPr>
      </w:pPr>
    </w:p>
    <w:p w14:paraId="318AAA69" w14:textId="1A91B45A" w:rsidR="001C2372" w:rsidRPr="00FD2D02" w:rsidRDefault="001C2372" w:rsidP="004C7415">
      <w:pPr>
        <w:pStyle w:val="Prrafodelista"/>
        <w:numPr>
          <w:ilvl w:val="0"/>
          <w:numId w:val="29"/>
        </w:numPr>
        <w:spacing w:line="240" w:lineRule="auto"/>
        <w:jc w:val="both"/>
        <w:rPr>
          <w:b/>
        </w:rPr>
      </w:pPr>
      <w:r w:rsidRPr="00FD2D02">
        <w:rPr>
          <w:b/>
        </w:rPr>
        <w:t>Presuntas víctimas</w:t>
      </w:r>
    </w:p>
    <w:p w14:paraId="2FB84E3F" w14:textId="77777777" w:rsidR="001C2372" w:rsidRPr="00243451" w:rsidRDefault="001C2372" w:rsidP="001C2372">
      <w:pPr>
        <w:spacing w:line="240" w:lineRule="auto"/>
        <w:ind w:left="360"/>
        <w:jc w:val="both"/>
        <w:rPr>
          <w:bCs/>
          <w:highlight w:val="yellow"/>
          <w:lang w:val="es-ES"/>
        </w:rPr>
      </w:pPr>
    </w:p>
    <w:p w14:paraId="4C9E8108" w14:textId="62C09CB6" w:rsidR="001C2372" w:rsidRPr="00506B1B" w:rsidRDefault="001C2372" w:rsidP="001C2372">
      <w:pPr>
        <w:pStyle w:val="Prrafodelista"/>
        <w:spacing w:line="240" w:lineRule="auto"/>
        <w:jc w:val="both"/>
        <w:rPr>
          <w:i/>
        </w:rPr>
      </w:pPr>
      <w:r w:rsidRPr="00506B1B">
        <w:rPr>
          <w:i/>
        </w:rPr>
        <w:t>(Propuesta</w:t>
      </w:r>
      <w:r>
        <w:rPr>
          <w:i/>
        </w:rPr>
        <w:t>s</w:t>
      </w:r>
      <w:r w:rsidRPr="00506B1B">
        <w:rPr>
          <w:i/>
        </w:rPr>
        <w:t xml:space="preserve"> por los representantes) </w:t>
      </w:r>
    </w:p>
    <w:p w14:paraId="01E721CA" w14:textId="77777777" w:rsidR="006C0344" w:rsidRDefault="006C0344" w:rsidP="0034274C">
      <w:pPr>
        <w:tabs>
          <w:tab w:val="left" w:pos="900"/>
        </w:tabs>
        <w:spacing w:line="240" w:lineRule="auto"/>
        <w:jc w:val="both"/>
      </w:pPr>
    </w:p>
    <w:p w14:paraId="5728B120" w14:textId="2434E7AF" w:rsidR="006C0344" w:rsidRPr="006C0344" w:rsidRDefault="006C0344" w:rsidP="00F11461">
      <w:pPr>
        <w:pStyle w:val="Prrafodelista"/>
        <w:numPr>
          <w:ilvl w:val="0"/>
          <w:numId w:val="19"/>
        </w:numPr>
        <w:tabs>
          <w:tab w:val="left" w:pos="900"/>
        </w:tabs>
        <w:spacing w:line="240" w:lineRule="auto"/>
        <w:jc w:val="both"/>
      </w:pPr>
      <w:r w:rsidRPr="006C0344">
        <w:rPr>
          <w:i/>
          <w:iCs/>
        </w:rPr>
        <w:t>Juan 10, Juan 8, Juan 18, Juan 15, Juan 13, María 1, María 32, María 24, Juan 6, Juan 2, Juan 1, María 3, María 37, Juan 25, María 16, María 33, Juan 30, María 25, María 10,</w:t>
      </w:r>
      <w:r w:rsidR="00F31911">
        <w:rPr>
          <w:i/>
          <w:iCs/>
        </w:rPr>
        <w:t xml:space="preserve"> </w:t>
      </w:r>
      <w:r w:rsidR="00F31911" w:rsidRPr="00F31911">
        <w:rPr>
          <w:i/>
          <w:iCs/>
        </w:rPr>
        <w:t>y C.M.</w:t>
      </w:r>
      <w:r w:rsidR="00F31911">
        <w:t>,</w:t>
      </w:r>
      <w:r w:rsidRPr="006C0344">
        <w:rPr>
          <w:i/>
          <w:iCs/>
        </w:rPr>
        <w:t xml:space="preserve"> </w:t>
      </w:r>
      <w:r w:rsidRPr="006C0344">
        <w:t>quienes declararán sobre los impactos que la contaminación en la ciudad de La Oroya</w:t>
      </w:r>
      <w:r w:rsidR="009E1383">
        <w:t>,</w:t>
      </w:r>
      <w:r w:rsidRPr="006C0344">
        <w:t xml:space="preserve"> y la operación del </w:t>
      </w:r>
      <w:r w:rsidR="00FD2D02" w:rsidRPr="00506B1B">
        <w:t>Complejo Metalúrgico de La Oroya</w:t>
      </w:r>
      <w:r w:rsidR="009E1383">
        <w:t>,</w:t>
      </w:r>
      <w:r w:rsidRPr="006C0344">
        <w:t xml:space="preserve"> han tenido en su vida, familia y comunidad. Además, los declarantes podrán informar a la Corte sobre las acciones que han emprendido en busca de verdad, justicia y reparación por los hechos del presente caso, y sus valoraciones en relación con las respuestas dadas por el Estado. Finalmente, se podrán pronunciar sobre las propuestas de reparación integral que tengan.</w:t>
      </w:r>
    </w:p>
    <w:p w14:paraId="3E19AF12" w14:textId="77777777" w:rsidR="009F2800" w:rsidRDefault="009F2800" w:rsidP="001C2372">
      <w:pPr>
        <w:spacing w:line="240" w:lineRule="auto"/>
        <w:ind w:left="360"/>
        <w:jc w:val="both"/>
        <w:rPr>
          <w:b/>
          <w:highlight w:val="yellow"/>
        </w:rPr>
      </w:pPr>
    </w:p>
    <w:p w14:paraId="71023F47" w14:textId="77777777" w:rsidR="001C2372" w:rsidRPr="00F00E4A" w:rsidRDefault="001C2372" w:rsidP="004C7415">
      <w:pPr>
        <w:pStyle w:val="Prrafodelista"/>
        <w:numPr>
          <w:ilvl w:val="0"/>
          <w:numId w:val="29"/>
        </w:numPr>
        <w:spacing w:line="240" w:lineRule="auto"/>
        <w:jc w:val="both"/>
        <w:rPr>
          <w:b/>
        </w:rPr>
      </w:pPr>
      <w:r w:rsidRPr="00F00E4A">
        <w:rPr>
          <w:b/>
        </w:rPr>
        <w:t xml:space="preserve">Testigos </w:t>
      </w:r>
    </w:p>
    <w:p w14:paraId="7E427F6D" w14:textId="3A15A585" w:rsidR="001C2372" w:rsidRPr="00F00E4A" w:rsidRDefault="001C2372" w:rsidP="00F00E4A">
      <w:pPr>
        <w:spacing w:line="240" w:lineRule="auto"/>
        <w:ind w:left="360"/>
        <w:jc w:val="both"/>
        <w:rPr>
          <w:bCs/>
          <w:highlight w:val="yellow"/>
        </w:rPr>
      </w:pPr>
    </w:p>
    <w:p w14:paraId="2D592B30" w14:textId="0E49E5A1" w:rsidR="006C0344" w:rsidRPr="00F00E4A" w:rsidRDefault="006C0344" w:rsidP="00F00E4A">
      <w:pPr>
        <w:pStyle w:val="Prrafodelista"/>
        <w:spacing w:line="240" w:lineRule="auto"/>
        <w:jc w:val="both"/>
        <w:rPr>
          <w:i/>
        </w:rPr>
      </w:pPr>
      <w:r w:rsidRPr="00F00E4A">
        <w:rPr>
          <w:i/>
        </w:rPr>
        <w:t xml:space="preserve">(Propuestos por los representantes) </w:t>
      </w:r>
    </w:p>
    <w:p w14:paraId="6B7BB3E8" w14:textId="43FB1BBE" w:rsidR="006C0344" w:rsidRPr="00F00E4A" w:rsidRDefault="006C0344" w:rsidP="00F00E4A">
      <w:pPr>
        <w:spacing w:line="240" w:lineRule="auto"/>
        <w:jc w:val="both"/>
        <w:rPr>
          <w:bCs/>
          <w:highlight w:val="yellow"/>
        </w:rPr>
      </w:pPr>
    </w:p>
    <w:p w14:paraId="2316FE74" w14:textId="34E2FC67" w:rsidR="00F11461" w:rsidRPr="00F00E4A" w:rsidRDefault="00F11461" w:rsidP="00F00E4A">
      <w:pPr>
        <w:pStyle w:val="Prrafodelista"/>
        <w:numPr>
          <w:ilvl w:val="0"/>
          <w:numId w:val="19"/>
        </w:numPr>
        <w:tabs>
          <w:tab w:val="left" w:pos="900"/>
        </w:tabs>
        <w:spacing w:line="240" w:lineRule="auto"/>
        <w:jc w:val="both"/>
      </w:pPr>
      <w:r w:rsidRPr="00F00E4A">
        <w:rPr>
          <w:i/>
          <w:iCs/>
        </w:rPr>
        <w:t>Pedro Barreto</w:t>
      </w:r>
      <w:r w:rsidRPr="00F00E4A">
        <w:t xml:space="preserve">, obispo de Huancayo desde el 5 de septiembre del 2004 hasta el 28 de junio de 2018, quien rendirá su testimonio sobre la operación del Complejo </w:t>
      </w:r>
      <w:r w:rsidRPr="00F00E4A">
        <w:lastRenderedPageBreak/>
        <w:t>Metalúrgico de La Oroya, los impactos que ha producido en la población, y las medidas que ha tomado el Estado para responder a esta problemática.</w:t>
      </w:r>
    </w:p>
    <w:p w14:paraId="284B0F41" w14:textId="77777777" w:rsidR="00F11461" w:rsidRPr="00F00E4A" w:rsidRDefault="00F11461" w:rsidP="00F00E4A">
      <w:pPr>
        <w:tabs>
          <w:tab w:val="left" w:pos="900"/>
        </w:tabs>
        <w:spacing w:line="240" w:lineRule="auto"/>
        <w:jc w:val="both"/>
      </w:pPr>
    </w:p>
    <w:p w14:paraId="766DF00C" w14:textId="77777777" w:rsidR="00F11461" w:rsidRPr="00F00E4A" w:rsidRDefault="00F11461" w:rsidP="00F00E4A">
      <w:pPr>
        <w:pStyle w:val="Prrafodelista"/>
        <w:numPr>
          <w:ilvl w:val="0"/>
          <w:numId w:val="19"/>
        </w:numPr>
        <w:tabs>
          <w:tab w:val="left" w:pos="900"/>
        </w:tabs>
        <w:spacing w:line="240" w:lineRule="auto"/>
        <w:jc w:val="both"/>
      </w:pPr>
      <w:r w:rsidRPr="00F00E4A">
        <w:rPr>
          <w:i/>
          <w:iCs/>
        </w:rPr>
        <w:t>Hugo Villa</w:t>
      </w:r>
      <w:r w:rsidRPr="00F00E4A">
        <w:t xml:space="preserve">, médico de la Asociación Consorcio por la Salud, Ambiente y Desarrollo, quien brindará su testimonio sobre los hechos que conoció con relación a la situación de salud pública de La Oroya y la respuesta del Estado para atenderla. </w:t>
      </w:r>
    </w:p>
    <w:p w14:paraId="729EE256" w14:textId="77777777" w:rsidR="00F11461" w:rsidRPr="00F00E4A" w:rsidRDefault="00F11461" w:rsidP="00F00E4A">
      <w:pPr>
        <w:jc w:val="both"/>
      </w:pPr>
    </w:p>
    <w:p w14:paraId="41DBF57A" w14:textId="77777777" w:rsidR="00F11461" w:rsidRPr="00F00E4A" w:rsidRDefault="00F11461" w:rsidP="00F00E4A">
      <w:pPr>
        <w:pStyle w:val="Prrafodelista"/>
        <w:numPr>
          <w:ilvl w:val="0"/>
          <w:numId w:val="19"/>
        </w:numPr>
        <w:tabs>
          <w:tab w:val="left" w:pos="900"/>
        </w:tabs>
        <w:spacing w:line="240" w:lineRule="auto"/>
        <w:jc w:val="both"/>
      </w:pPr>
      <w:r w:rsidRPr="00F00E4A">
        <w:t xml:space="preserve"> </w:t>
      </w:r>
      <w:r w:rsidRPr="00F00E4A">
        <w:rPr>
          <w:i/>
          <w:iCs/>
        </w:rPr>
        <w:t>Mercedes Lu</w:t>
      </w:r>
      <w:r w:rsidRPr="00F00E4A">
        <w:t xml:space="preserve">, geógrafa y científica de la Alianza Mundial de Derecho Ambiental (ELAW), quien brindará su testimonio sobre su experiencia analizando y documentando evidencia sobre la presencia de metales pesados en los suelos y polvo de La Oroya, además de actividades para alertar a las autoridades y al Estado peruano sobre la situación de contaminación y la crisis de salud pública en dicha localidad. </w:t>
      </w:r>
    </w:p>
    <w:p w14:paraId="2E6528B5" w14:textId="77777777" w:rsidR="00F11461" w:rsidRPr="00F00E4A" w:rsidRDefault="00F11461" w:rsidP="00F00E4A">
      <w:pPr>
        <w:pStyle w:val="Prrafodelista"/>
        <w:jc w:val="both"/>
        <w:rPr>
          <w:b/>
          <w:bCs/>
        </w:rPr>
      </w:pPr>
    </w:p>
    <w:p w14:paraId="004D41E1" w14:textId="59008FB7" w:rsidR="00F11461" w:rsidRPr="00F00E4A" w:rsidRDefault="00F11461" w:rsidP="00F00E4A">
      <w:pPr>
        <w:pStyle w:val="Prrafodelista"/>
        <w:numPr>
          <w:ilvl w:val="0"/>
          <w:numId w:val="19"/>
        </w:numPr>
        <w:tabs>
          <w:tab w:val="left" w:pos="900"/>
        </w:tabs>
        <w:spacing w:line="240" w:lineRule="auto"/>
        <w:jc w:val="both"/>
      </w:pPr>
      <w:r w:rsidRPr="00F00E4A">
        <w:rPr>
          <w:i/>
          <w:iCs/>
        </w:rPr>
        <w:t>Hunter Farrell</w:t>
      </w:r>
      <w:r w:rsidRPr="00F00E4A">
        <w:t xml:space="preserve">, doctor en antropología cultural y ministro presbiteriano, quien brindará testimonio sobre su experiencia presenciando y documentando la contaminación en la ciudad, los daños individuales, sociales y culturales experimentados por los pobladores, y sus actividades para visibilizar la situación de La Oroya ante distintos agentes y órganos del Estado. </w:t>
      </w:r>
    </w:p>
    <w:p w14:paraId="574280EF" w14:textId="77777777" w:rsidR="006C0344" w:rsidRPr="00F00E4A" w:rsidRDefault="006C0344" w:rsidP="00F00E4A">
      <w:pPr>
        <w:spacing w:line="240" w:lineRule="auto"/>
        <w:ind w:left="360"/>
        <w:jc w:val="both"/>
        <w:rPr>
          <w:bCs/>
          <w:highlight w:val="yellow"/>
        </w:rPr>
      </w:pPr>
    </w:p>
    <w:p w14:paraId="581F6EE9" w14:textId="77777777" w:rsidR="001C2372" w:rsidRPr="00F00E4A" w:rsidRDefault="001C2372" w:rsidP="00F00E4A">
      <w:pPr>
        <w:pStyle w:val="Prrafodelista"/>
        <w:spacing w:line="240" w:lineRule="auto"/>
        <w:jc w:val="both"/>
        <w:rPr>
          <w:i/>
        </w:rPr>
      </w:pPr>
      <w:r w:rsidRPr="00F00E4A">
        <w:rPr>
          <w:i/>
        </w:rPr>
        <w:t xml:space="preserve">(Propuestos por el Estado) </w:t>
      </w:r>
    </w:p>
    <w:p w14:paraId="48EEB34A" w14:textId="77777777" w:rsidR="001C2372" w:rsidRPr="00F00E4A" w:rsidRDefault="001C2372" w:rsidP="00F00E4A">
      <w:pPr>
        <w:spacing w:line="240" w:lineRule="auto"/>
        <w:ind w:left="360"/>
        <w:jc w:val="both"/>
        <w:rPr>
          <w:bCs/>
          <w:highlight w:val="yellow"/>
        </w:rPr>
      </w:pPr>
    </w:p>
    <w:p w14:paraId="4CA86D29" w14:textId="0199C07C" w:rsidR="003B626F" w:rsidRPr="00F00E4A" w:rsidRDefault="003B626F" w:rsidP="00F00E4A">
      <w:pPr>
        <w:pStyle w:val="Prrafodelista"/>
        <w:numPr>
          <w:ilvl w:val="0"/>
          <w:numId w:val="19"/>
        </w:numPr>
        <w:tabs>
          <w:tab w:val="left" w:pos="900"/>
        </w:tabs>
        <w:spacing w:line="240" w:lineRule="auto"/>
        <w:jc w:val="both"/>
        <w:rPr>
          <w:rFonts w:cs="Arial"/>
          <w:color w:val="000000"/>
          <w:lang w:val="es-ES"/>
        </w:rPr>
      </w:pPr>
      <w:r w:rsidRPr="00F00E4A">
        <w:rPr>
          <w:rFonts w:cs="Arial"/>
          <w:i/>
          <w:iCs/>
          <w:lang w:val="es-ES"/>
        </w:rPr>
        <w:t>Jazmín Monrroy Polanco</w:t>
      </w:r>
      <w:r w:rsidRPr="00FD2D02">
        <w:rPr>
          <w:rFonts w:cs="Arial"/>
          <w:lang w:val="es-ES"/>
        </w:rPr>
        <w:t xml:space="preserve">, </w:t>
      </w:r>
      <w:r w:rsidRPr="00F00E4A">
        <w:rPr>
          <w:rFonts w:cs="Arial"/>
          <w:lang w:val="es-ES"/>
        </w:rPr>
        <w:t>abogada de la Procuraduría del Ministerio de Salud</w:t>
      </w:r>
      <w:r w:rsidR="00FD2D02">
        <w:rPr>
          <w:rFonts w:cs="Arial"/>
          <w:lang w:val="es-ES"/>
        </w:rPr>
        <w:t xml:space="preserve"> </w:t>
      </w:r>
      <w:r w:rsidRPr="00F00E4A">
        <w:rPr>
          <w:rFonts w:cs="Arial"/>
          <w:lang w:val="es-ES"/>
        </w:rPr>
        <w:t>-</w:t>
      </w:r>
      <w:r w:rsidR="00FD2D02">
        <w:rPr>
          <w:rFonts w:cs="Arial"/>
          <w:lang w:val="es-ES"/>
        </w:rPr>
        <w:t xml:space="preserve"> </w:t>
      </w:r>
      <w:r w:rsidRPr="00F00E4A">
        <w:rPr>
          <w:rFonts w:cs="Arial"/>
          <w:lang w:val="es-ES"/>
        </w:rPr>
        <w:t>MINSA, quien declarará s</w:t>
      </w:r>
      <w:r w:rsidRPr="00F00E4A">
        <w:rPr>
          <w:rFonts w:cs="Arial"/>
          <w:color w:val="000000"/>
          <w:lang w:val="es-ES"/>
        </w:rPr>
        <w:t xml:space="preserve">obre las competencias del MINSA en relación con la problemática socioambiental de la Oroya; las funciones de la Procuraduría Publica del Ministerio de Salud y su relación con la temática de la Oroya; el desarrollo del proceso de cumplimiento </w:t>
      </w:r>
      <w:r w:rsidR="00FD2D02">
        <w:rPr>
          <w:rFonts w:cs="Arial"/>
          <w:color w:val="000000"/>
          <w:lang w:val="es-ES"/>
        </w:rPr>
        <w:t xml:space="preserve">radicado en el </w:t>
      </w:r>
      <w:r w:rsidRPr="00F00E4A">
        <w:rPr>
          <w:rFonts w:cs="Arial"/>
          <w:color w:val="000000"/>
          <w:lang w:val="es-ES"/>
        </w:rPr>
        <w:t xml:space="preserve">Exp. 2002-2006-AC; las medidas adoptadas por el Ministerio de Salud que se han realizado en cumplimiento del informe de fondo de la Comisión Interamericana; y las acciones programadas a mediano y corto plazo para las recomendaciones que no han sido implementadas, dentro de las competencias del sector salud. </w:t>
      </w:r>
    </w:p>
    <w:p w14:paraId="215F779B" w14:textId="77777777" w:rsidR="003B626F" w:rsidRPr="00F00E4A" w:rsidRDefault="003B626F" w:rsidP="00F00E4A">
      <w:pPr>
        <w:pStyle w:val="Prrafodelista"/>
        <w:tabs>
          <w:tab w:val="left" w:pos="900"/>
        </w:tabs>
        <w:spacing w:line="240" w:lineRule="auto"/>
        <w:ind w:left="786"/>
        <w:jc w:val="both"/>
        <w:rPr>
          <w:rFonts w:cs="Arial"/>
          <w:color w:val="000000"/>
          <w:lang w:val="es-ES"/>
        </w:rPr>
      </w:pPr>
    </w:p>
    <w:p w14:paraId="08E1EA14" w14:textId="0E9F3570" w:rsidR="003B626F" w:rsidRPr="00F00E4A" w:rsidRDefault="003B626F" w:rsidP="00F00E4A">
      <w:pPr>
        <w:pStyle w:val="Prrafodelista"/>
        <w:numPr>
          <w:ilvl w:val="0"/>
          <w:numId w:val="19"/>
        </w:numPr>
        <w:tabs>
          <w:tab w:val="left" w:pos="900"/>
        </w:tabs>
        <w:spacing w:line="240" w:lineRule="auto"/>
        <w:jc w:val="both"/>
        <w:rPr>
          <w:rFonts w:cs="Arial"/>
          <w:color w:val="000000"/>
          <w:lang w:val="es-ES"/>
        </w:rPr>
      </w:pPr>
      <w:r w:rsidRPr="00F00E4A">
        <w:rPr>
          <w:rFonts w:cs="Arial"/>
          <w:i/>
          <w:iCs/>
          <w:color w:val="000000"/>
          <w:lang w:val="es-ES"/>
        </w:rPr>
        <w:t>Katherine Andrea Melgar Támara</w:t>
      </w:r>
      <w:r w:rsidRPr="00F00E4A">
        <w:rPr>
          <w:rFonts w:cs="Arial"/>
          <w:b/>
          <w:bCs/>
          <w:color w:val="000000"/>
          <w:lang w:val="es-ES"/>
        </w:rPr>
        <w:t xml:space="preserve">, </w:t>
      </w:r>
      <w:r w:rsidRPr="00F00E4A">
        <w:rPr>
          <w:rFonts w:cs="Arial"/>
          <w:color w:val="000000"/>
          <w:lang w:val="es-ES"/>
        </w:rPr>
        <w:t xml:space="preserve">Directora de Supervisión en Energía y Minas del Organismo de Evaluación y Fiscalización Ambiental - OEFA, quien declarará sobre el papel del OEFA </w:t>
      </w:r>
      <w:r w:rsidR="00B13C0E" w:rsidRPr="00F00E4A">
        <w:rPr>
          <w:rFonts w:cs="Arial"/>
          <w:color w:val="000000"/>
          <w:lang w:val="es-ES"/>
        </w:rPr>
        <w:t>en</w:t>
      </w:r>
      <w:r w:rsidRPr="00F00E4A">
        <w:rPr>
          <w:rFonts w:cs="Arial"/>
          <w:color w:val="000000"/>
          <w:lang w:val="es-ES"/>
        </w:rPr>
        <w:t xml:space="preserve"> relación </w:t>
      </w:r>
      <w:r w:rsidR="00B13C0E" w:rsidRPr="00F00E4A">
        <w:rPr>
          <w:rFonts w:cs="Arial"/>
          <w:color w:val="000000"/>
          <w:lang w:val="es-ES"/>
        </w:rPr>
        <w:t>a las</w:t>
      </w:r>
      <w:r w:rsidRPr="00F00E4A">
        <w:rPr>
          <w:rFonts w:cs="Arial"/>
          <w:color w:val="000000"/>
          <w:lang w:val="es-ES"/>
        </w:rPr>
        <w:t xml:space="preserve"> medidas adoptadas para mitigar impacto medioambiental</w:t>
      </w:r>
      <w:r w:rsidR="00B13C0E" w:rsidRPr="00F00E4A">
        <w:rPr>
          <w:rFonts w:cs="Arial"/>
          <w:color w:val="000000"/>
          <w:lang w:val="es-ES"/>
        </w:rPr>
        <w:t xml:space="preserve"> en La Oroya; sobre </w:t>
      </w:r>
      <w:r w:rsidRPr="00F00E4A">
        <w:rPr>
          <w:rFonts w:cs="Arial"/>
          <w:color w:val="000000"/>
          <w:lang w:val="es-ES"/>
        </w:rPr>
        <w:t>las competencias y marco normativo de la OEFA</w:t>
      </w:r>
      <w:r w:rsidR="00B13C0E" w:rsidRPr="00F00E4A">
        <w:rPr>
          <w:rFonts w:cs="Arial"/>
          <w:color w:val="000000"/>
          <w:lang w:val="es-ES"/>
        </w:rPr>
        <w:t>,</w:t>
      </w:r>
      <w:r w:rsidRPr="00F00E4A">
        <w:rPr>
          <w:rFonts w:cs="Arial"/>
          <w:color w:val="000000"/>
          <w:lang w:val="es-ES"/>
        </w:rPr>
        <w:t xml:space="preserve"> detallando la evolución que ha tenido dicho organismo como ente autónomo</w:t>
      </w:r>
      <w:r w:rsidR="00B13C0E" w:rsidRPr="00F00E4A">
        <w:rPr>
          <w:rFonts w:cs="Arial"/>
          <w:color w:val="000000"/>
          <w:lang w:val="es-ES"/>
        </w:rPr>
        <w:t xml:space="preserve">; </w:t>
      </w:r>
      <w:r w:rsidRPr="00F00E4A">
        <w:rPr>
          <w:rFonts w:cs="Arial"/>
          <w:color w:val="000000"/>
          <w:lang w:val="es-ES"/>
        </w:rPr>
        <w:t>las funciones de OEFA en la supervisión y vigilancia en el cuidado del medio ambiente</w:t>
      </w:r>
      <w:r w:rsidR="00B13C0E" w:rsidRPr="00F00E4A">
        <w:rPr>
          <w:rFonts w:cs="Arial"/>
          <w:color w:val="000000"/>
          <w:lang w:val="es-ES"/>
        </w:rPr>
        <w:t xml:space="preserve">; la función </w:t>
      </w:r>
      <w:r w:rsidRPr="00F00E4A">
        <w:rPr>
          <w:rFonts w:cs="Arial"/>
          <w:color w:val="000000"/>
          <w:lang w:val="es-ES"/>
        </w:rPr>
        <w:t>sancionador</w:t>
      </w:r>
      <w:r w:rsidR="00B13C0E" w:rsidRPr="00F00E4A">
        <w:rPr>
          <w:rFonts w:cs="Arial"/>
          <w:color w:val="000000"/>
          <w:lang w:val="es-ES"/>
        </w:rPr>
        <w:t>a</w:t>
      </w:r>
      <w:r w:rsidRPr="00F00E4A">
        <w:rPr>
          <w:rFonts w:cs="Arial"/>
          <w:color w:val="000000"/>
          <w:lang w:val="es-ES"/>
        </w:rPr>
        <w:t xml:space="preserve"> de la OEFA, así como sus prerrogativas en la protección del medio ambiente</w:t>
      </w:r>
      <w:r w:rsidR="00B13C0E" w:rsidRPr="00F00E4A">
        <w:rPr>
          <w:rFonts w:cs="Arial"/>
          <w:color w:val="000000"/>
          <w:lang w:val="es-ES"/>
        </w:rPr>
        <w:t>;</w:t>
      </w:r>
      <w:r w:rsidRPr="00F00E4A">
        <w:rPr>
          <w:rFonts w:cs="Arial"/>
          <w:color w:val="000000"/>
          <w:lang w:val="es-ES"/>
        </w:rPr>
        <w:t xml:space="preserve"> el estado de los procesos sancionadores y sanciones adoptadas contra DOE RUN</w:t>
      </w:r>
      <w:r w:rsidR="00B13C0E" w:rsidRPr="00F00E4A">
        <w:rPr>
          <w:rFonts w:cs="Arial"/>
          <w:color w:val="000000"/>
          <w:lang w:val="es-ES"/>
        </w:rPr>
        <w:t xml:space="preserve">; </w:t>
      </w:r>
      <w:r w:rsidRPr="00F00E4A">
        <w:rPr>
          <w:rFonts w:cs="Arial"/>
          <w:color w:val="000000"/>
          <w:lang w:val="es-ES"/>
        </w:rPr>
        <w:t>la intervención de la OEFA en el cumplimiento de la sentencia del Tribunal Constitucional. Exp. 2002-2006-AC/TC</w:t>
      </w:r>
      <w:r w:rsidR="00F00E4A" w:rsidRPr="00F00E4A">
        <w:rPr>
          <w:rFonts w:cs="Arial"/>
          <w:color w:val="000000"/>
          <w:lang w:val="es-ES"/>
        </w:rPr>
        <w:t>;</w:t>
      </w:r>
      <w:r w:rsidRPr="00F00E4A">
        <w:rPr>
          <w:rFonts w:cs="Arial"/>
          <w:color w:val="000000"/>
          <w:lang w:val="es-ES"/>
        </w:rPr>
        <w:t xml:space="preserve"> </w:t>
      </w:r>
      <w:r w:rsidR="00F00E4A" w:rsidRPr="00F00E4A">
        <w:rPr>
          <w:rFonts w:cs="Arial"/>
          <w:color w:val="000000"/>
          <w:lang w:val="es-ES"/>
        </w:rPr>
        <w:t>l</w:t>
      </w:r>
      <w:r w:rsidRPr="00F00E4A">
        <w:rPr>
          <w:rFonts w:cs="Arial"/>
          <w:color w:val="000000"/>
          <w:lang w:val="es-ES"/>
        </w:rPr>
        <w:t>a adecuación de la normativa peruana a los estándares o tendencias internacionales.</w:t>
      </w:r>
      <w:r w:rsidR="00F00E4A" w:rsidRPr="00F00E4A">
        <w:rPr>
          <w:rFonts w:cs="Arial"/>
          <w:color w:val="000000"/>
          <w:lang w:val="es-ES"/>
        </w:rPr>
        <w:t xml:space="preserve"> El testigo podrá</w:t>
      </w:r>
      <w:r w:rsidRPr="00F00E4A">
        <w:rPr>
          <w:rFonts w:cs="Arial"/>
          <w:color w:val="000000"/>
          <w:lang w:val="es-ES"/>
        </w:rPr>
        <w:t xml:space="preserve"> </w:t>
      </w:r>
      <w:r w:rsidR="00F00E4A" w:rsidRPr="00F00E4A">
        <w:rPr>
          <w:rFonts w:cs="Arial"/>
          <w:color w:val="000000"/>
          <w:lang w:val="es-ES"/>
        </w:rPr>
        <w:t>explicar</w:t>
      </w:r>
      <w:r w:rsidRPr="00F00E4A">
        <w:rPr>
          <w:rFonts w:cs="Arial"/>
          <w:color w:val="000000"/>
          <w:lang w:val="es-ES"/>
        </w:rPr>
        <w:t xml:space="preserve"> las obligaciones de control del Estado frente a las empresas del sector minero-ambiental en materia de supervisión con la OEFA. </w:t>
      </w:r>
    </w:p>
    <w:p w14:paraId="5DDDC347" w14:textId="77777777" w:rsidR="003B626F" w:rsidRPr="003B626F" w:rsidRDefault="003B626F" w:rsidP="003B626F">
      <w:pPr>
        <w:numPr>
          <w:ilvl w:val="1"/>
          <w:numId w:val="21"/>
        </w:numPr>
        <w:autoSpaceDE w:val="0"/>
        <w:autoSpaceDN w:val="0"/>
        <w:adjustRightInd w:val="0"/>
        <w:spacing w:line="240" w:lineRule="auto"/>
        <w:rPr>
          <w:rFonts w:ascii="Arial" w:hAnsi="Arial" w:cs="Arial"/>
          <w:color w:val="000000"/>
          <w:sz w:val="22"/>
          <w:szCs w:val="22"/>
          <w:lang w:val="es-ES"/>
        </w:rPr>
      </w:pPr>
    </w:p>
    <w:p w14:paraId="0C1DAC8F" w14:textId="77777777" w:rsidR="001C2372" w:rsidRPr="006C7614" w:rsidRDefault="001C2372" w:rsidP="004C7415">
      <w:pPr>
        <w:pStyle w:val="Prrafodelista"/>
        <w:numPr>
          <w:ilvl w:val="0"/>
          <w:numId w:val="29"/>
        </w:numPr>
        <w:spacing w:line="240" w:lineRule="auto"/>
        <w:jc w:val="both"/>
        <w:rPr>
          <w:b/>
        </w:rPr>
      </w:pPr>
      <w:r w:rsidRPr="006C7614">
        <w:rPr>
          <w:b/>
        </w:rPr>
        <w:t xml:space="preserve">Peritos </w:t>
      </w:r>
    </w:p>
    <w:p w14:paraId="6971AE82" w14:textId="77777777" w:rsidR="001C2372" w:rsidRPr="006C7614" w:rsidRDefault="001C2372" w:rsidP="001C2372">
      <w:pPr>
        <w:pStyle w:val="Prrafodelista"/>
        <w:spacing w:line="240" w:lineRule="auto"/>
        <w:jc w:val="both"/>
        <w:rPr>
          <w:b/>
        </w:rPr>
      </w:pPr>
    </w:p>
    <w:p w14:paraId="494092C8" w14:textId="77777777" w:rsidR="001C2372" w:rsidRPr="006C7614" w:rsidRDefault="001C2372" w:rsidP="001C2372">
      <w:pPr>
        <w:pStyle w:val="Prrafodelista"/>
        <w:spacing w:line="240" w:lineRule="auto"/>
        <w:jc w:val="both"/>
        <w:rPr>
          <w:i/>
        </w:rPr>
      </w:pPr>
      <w:r w:rsidRPr="006C7614">
        <w:rPr>
          <w:i/>
        </w:rPr>
        <w:t xml:space="preserve">(Propuestos por los representantes) </w:t>
      </w:r>
    </w:p>
    <w:p w14:paraId="4D4BEF87" w14:textId="77777777" w:rsidR="001C2372" w:rsidRPr="00106633" w:rsidRDefault="001C2372" w:rsidP="00106633">
      <w:pPr>
        <w:spacing w:line="240" w:lineRule="auto"/>
        <w:jc w:val="both"/>
        <w:rPr>
          <w:iCs/>
        </w:rPr>
      </w:pPr>
    </w:p>
    <w:p w14:paraId="5CB6F5F9" w14:textId="6C08A5B6" w:rsidR="00106633" w:rsidRPr="00F74C4F" w:rsidRDefault="00F00E4A" w:rsidP="00F00E4A">
      <w:pPr>
        <w:pStyle w:val="Prrafodelista"/>
        <w:numPr>
          <w:ilvl w:val="0"/>
          <w:numId w:val="19"/>
        </w:numPr>
        <w:tabs>
          <w:tab w:val="left" w:pos="900"/>
        </w:tabs>
        <w:spacing w:line="240" w:lineRule="auto"/>
        <w:jc w:val="both"/>
      </w:pPr>
      <w:r w:rsidRPr="00F74C4F">
        <w:rPr>
          <w:i/>
          <w:iCs/>
        </w:rPr>
        <w:t>Oscar Cabrera</w:t>
      </w:r>
      <w:r w:rsidRPr="00F74C4F">
        <w:t>,</w:t>
      </w:r>
      <w:r w:rsidRPr="00F74C4F">
        <w:rPr>
          <w:b/>
          <w:bCs/>
        </w:rPr>
        <w:t xml:space="preserve"> </w:t>
      </w:r>
      <w:r w:rsidRPr="00F74C4F">
        <w:t>Director de la Iniciativa de Familias Saludables del Instituto O'Neill y profesor visitante de Derecho en la Universidad de Georgetown</w:t>
      </w:r>
      <w:r w:rsidR="00106633" w:rsidRPr="00F74C4F">
        <w:t>, quien d</w:t>
      </w:r>
      <w:r w:rsidRPr="00F74C4F">
        <w:t xml:space="preserve">eclarará sobre </w:t>
      </w:r>
      <w:r w:rsidR="005734A0">
        <w:t xml:space="preserve">el alcance de las obligaciones internacionales de </w:t>
      </w:r>
      <w:r w:rsidRPr="00F74C4F">
        <w:t xml:space="preserve">los Estados frente a los riesgos e </w:t>
      </w:r>
      <w:r w:rsidRPr="00F74C4F">
        <w:lastRenderedPageBreak/>
        <w:t xml:space="preserve">impactos adversos a la salud generados por la contaminación ambiental, considerando su </w:t>
      </w:r>
      <w:r w:rsidR="00106633" w:rsidRPr="00F74C4F">
        <w:t>función</w:t>
      </w:r>
      <w:r w:rsidRPr="00F74C4F">
        <w:t xml:space="preserve"> en la creación y continuidad de dichos riesgos. En su análisis, el perito se </w:t>
      </w:r>
      <w:r w:rsidR="00C31A55">
        <w:t>podrá referir</w:t>
      </w:r>
      <w:r w:rsidRPr="00F74C4F">
        <w:t xml:space="preserve"> al alcance y contenido de las obligaciones de regulación, supervisión y fiscalización de actores públicos privados en este contexto. En el desarrollo de su peritaje, el experto podrá pronunciarse sobre los hechos del caso. </w:t>
      </w:r>
    </w:p>
    <w:p w14:paraId="1B732D7C" w14:textId="77777777" w:rsidR="00106633" w:rsidRPr="00F74C4F" w:rsidRDefault="00106633" w:rsidP="00106633">
      <w:pPr>
        <w:tabs>
          <w:tab w:val="left" w:pos="900"/>
        </w:tabs>
        <w:spacing w:line="240" w:lineRule="auto"/>
        <w:jc w:val="both"/>
      </w:pPr>
    </w:p>
    <w:p w14:paraId="64612E65" w14:textId="162D03E3" w:rsidR="00106633" w:rsidRPr="00F74C4F" w:rsidRDefault="00F00E4A" w:rsidP="00F00E4A">
      <w:pPr>
        <w:pStyle w:val="Prrafodelista"/>
        <w:numPr>
          <w:ilvl w:val="0"/>
          <w:numId w:val="19"/>
        </w:numPr>
        <w:tabs>
          <w:tab w:val="left" w:pos="900"/>
        </w:tabs>
        <w:spacing w:line="240" w:lineRule="auto"/>
        <w:jc w:val="both"/>
      </w:pPr>
      <w:r w:rsidRPr="00F74C4F">
        <w:rPr>
          <w:i/>
          <w:iCs/>
          <w:lang w:val="es-ES"/>
        </w:rPr>
        <w:t xml:space="preserve">Fernando Serrano, </w:t>
      </w:r>
      <w:r w:rsidRPr="00F74C4F">
        <w:rPr>
          <w:lang w:val="es-ES"/>
        </w:rPr>
        <w:t>Ph.D., M.A. College for Public Health and Social Justice, Saint Louis University</w:t>
      </w:r>
      <w:r w:rsidR="00106633" w:rsidRPr="00F74C4F">
        <w:rPr>
          <w:lang w:val="es-ES"/>
        </w:rPr>
        <w:t>, quien</w:t>
      </w:r>
      <w:r w:rsidRPr="00F74C4F">
        <w:rPr>
          <w:lang w:val="es-ES"/>
        </w:rPr>
        <w:t xml:space="preserve"> </w:t>
      </w:r>
      <w:r w:rsidR="00106633" w:rsidRPr="00F74C4F">
        <w:rPr>
          <w:lang w:val="es-ES"/>
        </w:rPr>
        <w:t>d</w:t>
      </w:r>
      <w:r w:rsidRPr="00F74C4F">
        <w:t>eclarará sobre los riesgos y consecuencias para la salud humana de la exposición a metales pesados en Perú</w:t>
      </w:r>
      <w:r w:rsidR="00106633" w:rsidRPr="00F74C4F">
        <w:t>,</w:t>
      </w:r>
      <w:r w:rsidRPr="00F74C4F">
        <w:t xml:space="preserve"> y especialmente en La Oroya</w:t>
      </w:r>
      <w:r w:rsidR="00106633" w:rsidRPr="00F74C4F">
        <w:t>. El perito realizar</w:t>
      </w:r>
      <w:r w:rsidR="00521FDD">
        <w:t>á</w:t>
      </w:r>
      <w:r w:rsidR="00106633" w:rsidRPr="00F74C4F">
        <w:t xml:space="preserve"> una</w:t>
      </w:r>
      <w:r w:rsidRPr="00F74C4F">
        <w:t xml:space="preserve"> valoración sobre la eficacia de las medidas que ha </w:t>
      </w:r>
      <w:r w:rsidR="00C31A55">
        <w:t>adoptado el Estado</w:t>
      </w:r>
      <w:r w:rsidRPr="00F74C4F">
        <w:t xml:space="preserve"> para atender a la problemática de salud pública derivada de dicha exp</w:t>
      </w:r>
      <w:r w:rsidR="00106633" w:rsidRPr="00F74C4F">
        <w:t>osición</w:t>
      </w:r>
      <w:r w:rsidRPr="00F74C4F">
        <w:t>.</w:t>
      </w:r>
      <w:r w:rsidR="00106633" w:rsidRPr="00F74C4F">
        <w:t xml:space="preserve"> Asimismo,</w:t>
      </w:r>
      <w:r w:rsidRPr="00F74C4F">
        <w:t xml:space="preserve"> </w:t>
      </w:r>
      <w:r w:rsidR="00106633" w:rsidRPr="00F74C4F">
        <w:t>p</w:t>
      </w:r>
      <w:r w:rsidRPr="00F74C4F">
        <w:t>resentar</w:t>
      </w:r>
      <w:r w:rsidR="00521FDD">
        <w:t>á</w:t>
      </w:r>
      <w:r w:rsidRPr="00F74C4F">
        <w:t xml:space="preserve"> recomendaciones relacionadas con las acciones que el Estado debe</w:t>
      </w:r>
      <w:r w:rsidR="00521FDD">
        <w:t>ría</w:t>
      </w:r>
      <w:r w:rsidRPr="00F74C4F">
        <w:t xml:space="preserve"> implementar para atender la problemática. En el desarrollo de su peritaje, el experto </w:t>
      </w:r>
      <w:r w:rsidR="00521FDD">
        <w:t>podrá pronunciarse</w:t>
      </w:r>
      <w:r w:rsidRPr="00F74C4F">
        <w:t xml:space="preserve"> sobre el contexto del país y los hechos del caso. </w:t>
      </w:r>
    </w:p>
    <w:p w14:paraId="7F3DB753" w14:textId="77777777" w:rsidR="00106633" w:rsidRPr="00F74C4F" w:rsidRDefault="00106633" w:rsidP="00106633">
      <w:pPr>
        <w:pStyle w:val="Prrafodelista"/>
        <w:rPr>
          <w:b/>
          <w:bCs/>
          <w:color w:val="212121"/>
        </w:rPr>
      </w:pPr>
    </w:p>
    <w:p w14:paraId="76CA92E1" w14:textId="60409460" w:rsidR="00106633" w:rsidRPr="00F74C4F" w:rsidRDefault="00F00E4A" w:rsidP="00F00E4A">
      <w:pPr>
        <w:pStyle w:val="Prrafodelista"/>
        <w:numPr>
          <w:ilvl w:val="0"/>
          <w:numId w:val="19"/>
        </w:numPr>
        <w:tabs>
          <w:tab w:val="left" w:pos="900"/>
        </w:tabs>
        <w:spacing w:line="240" w:lineRule="auto"/>
        <w:jc w:val="both"/>
      </w:pPr>
      <w:r w:rsidRPr="00F74C4F">
        <w:rPr>
          <w:i/>
          <w:iCs/>
          <w:color w:val="212121"/>
        </w:rPr>
        <w:t>Howard Mielke</w:t>
      </w:r>
      <w:r w:rsidR="00106633" w:rsidRPr="00F74C4F">
        <w:rPr>
          <w:i/>
          <w:iCs/>
          <w:color w:val="212121"/>
        </w:rPr>
        <w:t>,</w:t>
      </w:r>
      <w:r w:rsidRPr="00F74C4F">
        <w:rPr>
          <w:b/>
          <w:bCs/>
          <w:color w:val="212121"/>
        </w:rPr>
        <w:t xml:space="preserve"> </w:t>
      </w:r>
      <w:r w:rsidR="00106633" w:rsidRPr="00F74C4F">
        <w:t>P</w:t>
      </w:r>
      <w:r w:rsidRPr="00F74C4F">
        <w:t>rofesor en el Departamento de Farmacología, Facultad de Medicina, Universidad de Tulane</w:t>
      </w:r>
      <w:r w:rsidR="00106633" w:rsidRPr="00F74C4F">
        <w:t>, quien</w:t>
      </w:r>
      <w:r w:rsidRPr="00F74C4F">
        <w:t xml:space="preserve"> </w:t>
      </w:r>
      <w:r w:rsidR="00106633" w:rsidRPr="00F74C4F">
        <w:t>d</w:t>
      </w:r>
      <w:r w:rsidRPr="00F74C4F">
        <w:t xml:space="preserve">eclarará sobre los impactos a la salud por la exposición prolongada a metales pesados tóxicos presentes en La Oroya (plomo, cadmio, arsénico, y otros), y en particular para poblaciones en situaciones de vulnerabilidad. </w:t>
      </w:r>
      <w:r w:rsidR="00106633" w:rsidRPr="00F74C4F">
        <w:t xml:space="preserve">El perito </w:t>
      </w:r>
      <w:r w:rsidR="00D80143">
        <w:t>presentar</w:t>
      </w:r>
      <w:r w:rsidR="00521FDD">
        <w:t>á</w:t>
      </w:r>
      <w:r w:rsidR="00D80143">
        <w:t xml:space="preserve"> </w:t>
      </w:r>
      <w:r w:rsidRPr="00F74C4F">
        <w:t xml:space="preserve">recomendaciones para proteger la salud pública y mitigar el riesgo persistente de contaminación en la ciudad. En el desarrollo de su peritaje, el experto podrá pronunciarse sobre los hechos del caso. </w:t>
      </w:r>
    </w:p>
    <w:p w14:paraId="4219AD83" w14:textId="77777777" w:rsidR="00F74C4F" w:rsidRPr="00F74C4F" w:rsidRDefault="00F74C4F" w:rsidP="00F74C4F">
      <w:pPr>
        <w:tabs>
          <w:tab w:val="left" w:pos="900"/>
        </w:tabs>
        <w:spacing w:line="240" w:lineRule="auto"/>
        <w:jc w:val="both"/>
      </w:pPr>
    </w:p>
    <w:p w14:paraId="0945C043" w14:textId="33B0FE41" w:rsidR="00F74C4F" w:rsidRPr="00F74C4F" w:rsidRDefault="207833A6" w:rsidP="00F00E4A">
      <w:pPr>
        <w:pStyle w:val="Prrafodelista"/>
        <w:numPr>
          <w:ilvl w:val="0"/>
          <w:numId w:val="19"/>
        </w:numPr>
        <w:tabs>
          <w:tab w:val="left" w:pos="900"/>
        </w:tabs>
        <w:spacing w:line="240" w:lineRule="auto"/>
        <w:jc w:val="both"/>
      </w:pPr>
      <w:r w:rsidRPr="207833A6">
        <w:rPr>
          <w:i/>
          <w:iCs/>
        </w:rPr>
        <w:t>Carolina Weill</w:t>
      </w:r>
      <w:r>
        <w:t>, investigadora y doctoranda en ciencias sociales, especializada en relaciones de género e industrias extractivas, quien declarará sobre los impactos específicos y diferenciados de la contaminación ambiental en la vida y los cuerpos de las mujeres, la forma en que ello puede repercutir en las desigualdades entre hombres y mujeres, y las relaciones de dependencia y vulnerabilidad de género. La experta también ha</w:t>
      </w:r>
      <w:r w:rsidR="00521FDD">
        <w:t>rá</w:t>
      </w:r>
      <w:r>
        <w:t xml:space="preserve"> recomendaciones sobre las medidas que debe tomar el Estado para prevenir dichos impactos y mitigar aquellos ya materializados. En el desarrollo de su peritaje, la experta podrá pronunciarse sobre los hechos del caso. </w:t>
      </w:r>
    </w:p>
    <w:p w14:paraId="53ED8C20" w14:textId="77777777" w:rsidR="00F74C4F" w:rsidRPr="00F74C4F" w:rsidRDefault="00F74C4F" w:rsidP="00F74C4F">
      <w:pPr>
        <w:pStyle w:val="Prrafodelista"/>
        <w:rPr>
          <w:b/>
          <w:bCs/>
        </w:rPr>
      </w:pPr>
    </w:p>
    <w:p w14:paraId="2DCED3C5" w14:textId="5BC2AE8B" w:rsidR="00F00E4A" w:rsidRPr="00F74C4F" w:rsidRDefault="207833A6" w:rsidP="00F00E4A">
      <w:pPr>
        <w:pStyle w:val="Prrafodelista"/>
        <w:numPr>
          <w:ilvl w:val="0"/>
          <w:numId w:val="19"/>
        </w:numPr>
        <w:tabs>
          <w:tab w:val="left" w:pos="900"/>
        </w:tabs>
        <w:spacing w:line="240" w:lineRule="auto"/>
        <w:jc w:val="both"/>
      </w:pPr>
      <w:r w:rsidRPr="207833A6">
        <w:rPr>
          <w:i/>
          <w:iCs/>
        </w:rPr>
        <w:t>Diego Miguel Quirama Aguilar</w:t>
      </w:r>
      <w:r>
        <w:t>, investigador y docente universitario experto en calidad del aire y dispersión atmosférica de contaminantes, quien declarará sobre la efectividad de las mediciones de calidad de aire en La Oroya y el uso de estándares y límites máximos locales propios en La Oroya para la toma de decisiones de política pública y la protección de la salud pública. El perito ha</w:t>
      </w:r>
      <w:r w:rsidR="00521FDD">
        <w:t>rá</w:t>
      </w:r>
      <w:r>
        <w:t xml:space="preserve"> recomendaciones sobre las mejores prácticas de monitoreo y control de calidad de aire, y </w:t>
      </w:r>
      <w:r w:rsidR="00521FDD">
        <w:t>se</w:t>
      </w:r>
      <w:r>
        <w:t xml:space="preserve"> referir</w:t>
      </w:r>
      <w:r w:rsidR="00521FDD">
        <w:t>á</w:t>
      </w:r>
      <w:r>
        <w:t xml:space="preserve"> al sistema de monitoreo de calidad del aire alrededor del complejo metalúrgico, y su idoneidad para conocer la exposición personal a la contaminación de La Oroya. En el desarrollo de su peritaje, podrá pronunciarse sobre los hechos del caso. </w:t>
      </w:r>
    </w:p>
    <w:p w14:paraId="7DDC7586" w14:textId="77777777" w:rsidR="00F00E4A" w:rsidRPr="00962BB9" w:rsidRDefault="00F00E4A" w:rsidP="001C2372">
      <w:pPr>
        <w:tabs>
          <w:tab w:val="left" w:pos="900"/>
        </w:tabs>
        <w:spacing w:line="240" w:lineRule="auto"/>
        <w:jc w:val="both"/>
        <w:rPr>
          <w:highlight w:val="yellow"/>
          <w:lang w:val="es-CO"/>
        </w:rPr>
      </w:pPr>
    </w:p>
    <w:p w14:paraId="03960695" w14:textId="78B9A26E" w:rsidR="001C2372" w:rsidRPr="006C7614" w:rsidRDefault="001C2372" w:rsidP="001C2372">
      <w:pPr>
        <w:pStyle w:val="Prrafodelista"/>
        <w:spacing w:line="240" w:lineRule="auto"/>
        <w:jc w:val="both"/>
        <w:rPr>
          <w:i/>
        </w:rPr>
      </w:pPr>
      <w:r w:rsidRPr="006C7614">
        <w:rPr>
          <w:i/>
        </w:rPr>
        <w:t>(Propuest</w:t>
      </w:r>
      <w:r w:rsidR="00F74C4F">
        <w:rPr>
          <w:i/>
        </w:rPr>
        <w:t>o</w:t>
      </w:r>
      <w:r w:rsidRPr="006C7614">
        <w:rPr>
          <w:i/>
        </w:rPr>
        <w:t xml:space="preserve"> por el Estado) </w:t>
      </w:r>
    </w:p>
    <w:p w14:paraId="2D8721FA" w14:textId="77777777" w:rsidR="001C2372" w:rsidRDefault="001C2372" w:rsidP="001C2372">
      <w:pPr>
        <w:tabs>
          <w:tab w:val="left" w:pos="900"/>
        </w:tabs>
        <w:spacing w:line="240" w:lineRule="auto"/>
        <w:jc w:val="both"/>
        <w:rPr>
          <w:highlight w:val="yellow"/>
          <w:lang w:val="es-CO"/>
        </w:rPr>
      </w:pPr>
    </w:p>
    <w:p w14:paraId="4D834870" w14:textId="12F130D3" w:rsidR="00F00E4A" w:rsidRPr="00F74C4F" w:rsidRDefault="207833A6" w:rsidP="00337763">
      <w:pPr>
        <w:pStyle w:val="Prrafodelista"/>
        <w:numPr>
          <w:ilvl w:val="0"/>
          <w:numId w:val="19"/>
        </w:numPr>
        <w:tabs>
          <w:tab w:val="left" w:pos="900"/>
        </w:tabs>
        <w:autoSpaceDE w:val="0"/>
        <w:autoSpaceDN w:val="0"/>
        <w:adjustRightInd w:val="0"/>
        <w:spacing w:line="240" w:lineRule="auto"/>
        <w:jc w:val="both"/>
        <w:rPr>
          <w:lang w:val="es-CO"/>
        </w:rPr>
      </w:pPr>
      <w:r w:rsidRPr="207833A6">
        <w:rPr>
          <w:rFonts w:cs="Arial"/>
          <w:i/>
          <w:iCs/>
          <w:color w:val="000000" w:themeColor="text1"/>
          <w:lang w:val="es-ES"/>
        </w:rPr>
        <w:t>Federico Chunga Fiestas</w:t>
      </w:r>
      <w:r w:rsidRPr="207833A6">
        <w:rPr>
          <w:rFonts w:cs="Arial"/>
          <w:color w:val="000000" w:themeColor="text1"/>
          <w:lang w:val="es-ES"/>
        </w:rPr>
        <w:t xml:space="preserve">, abogado experto en políticas públicas, quien declarará sobre la adopción, por parte del Estado peruano —en el marco del Plan Nacional de Derechos Humanos 2018-2021 y el Plan Nacional de Acción sobre Empresas y Derechos Humanos 2021-2025, y las particularidades de su construcción— sobre el contenido de las medidas que exigen, promueven y orientan a las empresas del sector extractivo a realizar la debida diligencia en materia de derechos humanos en el Perú, en particular en relación con el derecho al medio ambiente adecuado y saludable. Para poder </w:t>
      </w:r>
      <w:r w:rsidRPr="207833A6">
        <w:rPr>
          <w:rFonts w:cs="Arial"/>
          <w:color w:val="000000" w:themeColor="text1"/>
          <w:lang w:val="es-ES"/>
        </w:rPr>
        <w:lastRenderedPageBreak/>
        <w:t>ejemplificar su intervención pericial, el perito podrá referirse a los hechos del presente caso y a la jurisprudencia nacional y supranacional sobre la materia.</w:t>
      </w:r>
    </w:p>
    <w:p w14:paraId="5B3AD988" w14:textId="77777777" w:rsidR="00F00E4A" w:rsidRPr="00F74C4F" w:rsidRDefault="00F00E4A" w:rsidP="001C2372">
      <w:pPr>
        <w:tabs>
          <w:tab w:val="left" w:pos="900"/>
        </w:tabs>
        <w:spacing w:line="240" w:lineRule="auto"/>
        <w:jc w:val="both"/>
        <w:rPr>
          <w:lang w:val="es-CO"/>
        </w:rPr>
      </w:pPr>
    </w:p>
    <w:p w14:paraId="728C0490" w14:textId="77777777" w:rsidR="001C2372" w:rsidRPr="006C7614" w:rsidRDefault="001C2372" w:rsidP="001C2372">
      <w:pPr>
        <w:pStyle w:val="Prrafodelista"/>
        <w:spacing w:line="240" w:lineRule="auto"/>
        <w:jc w:val="both"/>
        <w:rPr>
          <w:i/>
        </w:rPr>
      </w:pPr>
      <w:r w:rsidRPr="006C7614">
        <w:rPr>
          <w:i/>
        </w:rPr>
        <w:t>(Propuest</w:t>
      </w:r>
      <w:r>
        <w:rPr>
          <w:i/>
        </w:rPr>
        <w:t>o</w:t>
      </w:r>
      <w:r w:rsidRPr="006C7614">
        <w:rPr>
          <w:i/>
        </w:rPr>
        <w:t xml:space="preserve"> por </w:t>
      </w:r>
      <w:r>
        <w:rPr>
          <w:i/>
        </w:rPr>
        <w:t>la</w:t>
      </w:r>
      <w:r w:rsidRPr="006C7614">
        <w:rPr>
          <w:i/>
        </w:rPr>
        <w:t xml:space="preserve"> </w:t>
      </w:r>
      <w:r>
        <w:rPr>
          <w:i/>
        </w:rPr>
        <w:t>Comisión</w:t>
      </w:r>
      <w:r w:rsidRPr="006C7614">
        <w:rPr>
          <w:i/>
        </w:rPr>
        <w:t xml:space="preserve">) </w:t>
      </w:r>
    </w:p>
    <w:p w14:paraId="0097F018" w14:textId="0220663D" w:rsidR="001C2372" w:rsidRDefault="001C2372" w:rsidP="001C2372">
      <w:pPr>
        <w:tabs>
          <w:tab w:val="left" w:pos="900"/>
        </w:tabs>
        <w:spacing w:line="240" w:lineRule="auto"/>
        <w:jc w:val="both"/>
        <w:rPr>
          <w:highlight w:val="yellow"/>
          <w:lang w:val="es-CO"/>
        </w:rPr>
      </w:pPr>
    </w:p>
    <w:p w14:paraId="2FFEDE98" w14:textId="19956949" w:rsidR="00D61435" w:rsidRPr="00D61435" w:rsidRDefault="00D61435" w:rsidP="00D61435">
      <w:pPr>
        <w:pStyle w:val="Prrafodelista"/>
        <w:numPr>
          <w:ilvl w:val="0"/>
          <w:numId w:val="19"/>
        </w:numPr>
        <w:tabs>
          <w:tab w:val="left" w:pos="900"/>
        </w:tabs>
        <w:spacing w:line="240" w:lineRule="auto"/>
        <w:jc w:val="both"/>
        <w:rPr>
          <w:rFonts w:cs="Arial"/>
          <w:color w:val="000000"/>
          <w:lang w:val="es-ES"/>
        </w:rPr>
      </w:pPr>
      <w:r w:rsidRPr="00D61435">
        <w:rPr>
          <w:rFonts w:cs="Cambria"/>
          <w:i/>
          <w:iCs/>
          <w:color w:val="000000"/>
          <w:lang w:val="es-ES"/>
        </w:rPr>
        <w:t>Christian Courtis,</w:t>
      </w:r>
      <w:r w:rsidRPr="00D61435">
        <w:rPr>
          <w:rFonts w:cs="Cambria"/>
          <w:b/>
          <w:bCs/>
          <w:color w:val="000000"/>
          <w:lang w:val="es-ES"/>
        </w:rPr>
        <w:t xml:space="preserve"> </w:t>
      </w:r>
      <w:r w:rsidRPr="00D61435">
        <w:rPr>
          <w:rFonts w:cs="Cambria"/>
          <w:color w:val="000000"/>
          <w:lang w:val="es-ES"/>
        </w:rPr>
        <w:t xml:space="preserve">oficial de derechos humanos de la Oficina del Alto Comisionado de las Naciones Unidas para los Derechos Humanos, quien declarará sobre las obligaciones internacionales del Estado en materia de protección del derecho a un medio ambiente sano, y el alcance de los deberes de regulación, supervisión y fiscalización de actividades públicas o privadas que puedan producir un daño al medio ambiente y a la salud de las personas. </w:t>
      </w:r>
      <w:r w:rsidR="00521FDD">
        <w:rPr>
          <w:rFonts w:cs="Cambria"/>
          <w:color w:val="000000"/>
          <w:lang w:val="es-ES"/>
        </w:rPr>
        <w:t xml:space="preserve">En </w:t>
      </w:r>
      <w:r w:rsidR="0035522A">
        <w:rPr>
          <w:rFonts w:cs="Cambria"/>
          <w:color w:val="000000"/>
          <w:lang w:val="es-ES"/>
        </w:rPr>
        <w:t>su peritaje</w:t>
      </w:r>
      <w:r w:rsidR="00521FDD">
        <w:rPr>
          <w:rFonts w:cs="Cambria"/>
          <w:color w:val="000000"/>
          <w:lang w:val="es-ES"/>
        </w:rPr>
        <w:t>, el perito se</w:t>
      </w:r>
      <w:r w:rsidR="0035522A">
        <w:rPr>
          <w:rFonts w:cs="Cambria"/>
          <w:color w:val="000000"/>
          <w:lang w:val="es-ES"/>
        </w:rPr>
        <w:t xml:space="preserve"> deberá</w:t>
      </w:r>
      <w:r w:rsidR="00521FDD">
        <w:rPr>
          <w:rFonts w:cs="Cambria"/>
          <w:color w:val="000000"/>
          <w:lang w:val="es-ES"/>
        </w:rPr>
        <w:t xml:space="preserve"> pronunciar sobre el alcance de las obligaciones del Estado </w:t>
      </w:r>
      <w:r w:rsidR="0035522A">
        <w:rPr>
          <w:rFonts w:cs="Cambria"/>
          <w:color w:val="000000"/>
          <w:lang w:val="es-ES"/>
        </w:rPr>
        <w:t>respecto de las actividades de empresas extractivas. El perito podrá referirse a los hechos del caso.</w:t>
      </w:r>
    </w:p>
    <w:p w14:paraId="3A426623" w14:textId="77777777" w:rsidR="00D61435" w:rsidRDefault="00D61435" w:rsidP="001C2372">
      <w:pPr>
        <w:tabs>
          <w:tab w:val="left" w:pos="900"/>
        </w:tabs>
        <w:spacing w:line="240" w:lineRule="auto"/>
        <w:jc w:val="both"/>
        <w:rPr>
          <w:highlight w:val="yellow"/>
          <w:lang w:val="es-CO"/>
        </w:rPr>
      </w:pPr>
    </w:p>
    <w:p w14:paraId="70D0722E" w14:textId="7649D7C1" w:rsidR="00F74C4F" w:rsidRPr="002815B4" w:rsidRDefault="207833A6" w:rsidP="00032B2E">
      <w:pPr>
        <w:pStyle w:val="Prrafodelista"/>
        <w:numPr>
          <w:ilvl w:val="0"/>
          <w:numId w:val="19"/>
        </w:numPr>
        <w:tabs>
          <w:tab w:val="left" w:pos="900"/>
        </w:tabs>
        <w:spacing w:line="240" w:lineRule="auto"/>
        <w:jc w:val="both"/>
        <w:rPr>
          <w:rFonts w:cs="Arial"/>
          <w:color w:val="000000"/>
          <w:lang w:val="es-ES"/>
        </w:rPr>
      </w:pPr>
      <w:r w:rsidRPr="207833A6">
        <w:rPr>
          <w:i/>
          <w:iCs/>
        </w:rPr>
        <w:t>Juan Pablo Olmedo Bustos</w:t>
      </w:r>
      <w:r>
        <w:t>, presidente de la Fundación Pro Acceso, quien declarará sobre el derecho al acceso a la información y a la participación pública en materia ambiental, en particular respecto de actividades empresariales que tengan un impacto ambiental.</w:t>
      </w:r>
    </w:p>
    <w:p w14:paraId="6A8B3EF6" w14:textId="77777777" w:rsidR="00F74C4F" w:rsidRPr="001C2372" w:rsidRDefault="00F74C4F" w:rsidP="00032B2E">
      <w:pPr>
        <w:spacing w:line="240" w:lineRule="auto"/>
        <w:jc w:val="both"/>
        <w:rPr>
          <w:lang w:val="es-ES"/>
        </w:rPr>
      </w:pPr>
    </w:p>
    <w:p w14:paraId="74308AE9" w14:textId="7A4FD43F" w:rsidR="005C0F81" w:rsidRPr="00F15BAB" w:rsidRDefault="005C0F81" w:rsidP="000D150C">
      <w:pPr>
        <w:pStyle w:val="Prrafodelista"/>
        <w:numPr>
          <w:ilvl w:val="0"/>
          <w:numId w:val="4"/>
        </w:numPr>
        <w:tabs>
          <w:tab w:val="left" w:pos="567"/>
        </w:tabs>
        <w:autoSpaceDE w:val="0"/>
        <w:autoSpaceDN w:val="0"/>
        <w:adjustRightInd w:val="0"/>
        <w:spacing w:line="240" w:lineRule="auto"/>
        <w:ind w:left="0" w:firstLine="0"/>
        <w:jc w:val="both"/>
        <w:rPr>
          <w:rFonts w:cs="Verdana"/>
          <w:color w:val="000000"/>
        </w:rPr>
      </w:pPr>
      <w:r w:rsidRPr="00D33870">
        <w:t xml:space="preserve">Requerir </w:t>
      </w:r>
      <w:r w:rsidR="00666842">
        <w:t>a las partes y a la Comisión</w:t>
      </w:r>
      <w:r w:rsidR="00434153">
        <w:t xml:space="preserve"> </w:t>
      </w:r>
      <w:r w:rsidRPr="00D33870">
        <w:t xml:space="preserve">que notifiquen la presente Resolución a los declarantes propuestos por ellos, de conformidad </w:t>
      </w:r>
      <w:r w:rsidRPr="00F15BAB">
        <w:t xml:space="preserve">con lo dispuesto en los artículos 50.2 y 50.4 del Reglamento. </w:t>
      </w:r>
      <w:r w:rsidR="00D02DDD" w:rsidRPr="00F15BAB">
        <w:rPr>
          <w:rFonts w:cs="Verdana"/>
          <w:color w:val="000000"/>
        </w:rPr>
        <w:t>Los</w:t>
      </w:r>
      <w:r w:rsidR="00E90780" w:rsidRPr="00F15BAB">
        <w:rPr>
          <w:rFonts w:cs="Verdana"/>
          <w:color w:val="000000"/>
        </w:rPr>
        <w:t xml:space="preserve"> </w:t>
      </w:r>
      <w:r w:rsidR="00D02DDD" w:rsidRPr="00F15BAB">
        <w:rPr>
          <w:rFonts w:cs="Verdana"/>
          <w:color w:val="000000"/>
        </w:rPr>
        <w:t xml:space="preserve">peritos </w:t>
      </w:r>
      <w:r w:rsidR="00E90780" w:rsidRPr="00F15BAB">
        <w:rPr>
          <w:rFonts w:cs="Verdana"/>
          <w:color w:val="000000"/>
        </w:rPr>
        <w:t>convocad</w:t>
      </w:r>
      <w:r w:rsidR="005A2728" w:rsidRPr="00F15BAB">
        <w:rPr>
          <w:rFonts w:cs="Verdana"/>
          <w:color w:val="000000"/>
        </w:rPr>
        <w:t>o</w:t>
      </w:r>
      <w:r w:rsidR="00D02DDD" w:rsidRPr="00F15BAB">
        <w:rPr>
          <w:rFonts w:cs="Verdana"/>
          <w:color w:val="000000"/>
        </w:rPr>
        <w:t>s</w:t>
      </w:r>
      <w:r w:rsidR="00E90780" w:rsidRPr="00F15BAB">
        <w:rPr>
          <w:rFonts w:cs="Verdana"/>
          <w:color w:val="000000"/>
        </w:rPr>
        <w:t xml:space="preserve"> a declarar durante la audiencia </w:t>
      </w:r>
      <w:r w:rsidR="00D02DDD" w:rsidRPr="00F15BAB">
        <w:rPr>
          <w:rFonts w:cs="Verdana"/>
          <w:color w:val="000000"/>
        </w:rPr>
        <w:t>deberán</w:t>
      </w:r>
      <w:r w:rsidR="004E2AD9" w:rsidRPr="00F15BAB">
        <w:rPr>
          <w:rFonts w:cs="Verdana"/>
          <w:color w:val="000000"/>
        </w:rPr>
        <w:t xml:space="preserve"> </w:t>
      </w:r>
      <w:r w:rsidR="00E90780" w:rsidRPr="00F15BAB">
        <w:rPr>
          <w:rFonts w:cs="Verdana"/>
          <w:color w:val="000000"/>
        </w:rPr>
        <w:t xml:space="preserve">presentar una versión escrita de su peritaje a más tardar el </w:t>
      </w:r>
      <w:r w:rsidR="0035522A" w:rsidRPr="00F15BAB">
        <w:rPr>
          <w:rFonts w:cs="Verdana"/>
          <w:color w:val="000000"/>
        </w:rPr>
        <w:t>10</w:t>
      </w:r>
      <w:r w:rsidR="00E90780" w:rsidRPr="00F15BAB">
        <w:rPr>
          <w:rFonts w:cs="Verdana"/>
          <w:color w:val="000000"/>
        </w:rPr>
        <w:t xml:space="preserve"> de </w:t>
      </w:r>
      <w:r w:rsidR="00962BB9" w:rsidRPr="00F15BAB">
        <w:rPr>
          <w:rFonts w:cs="Verdana"/>
          <w:color w:val="000000"/>
        </w:rPr>
        <w:t>octubre</w:t>
      </w:r>
      <w:r w:rsidR="000B0602" w:rsidRPr="00F15BAB">
        <w:rPr>
          <w:rFonts w:cs="Verdana"/>
          <w:color w:val="000000"/>
        </w:rPr>
        <w:t xml:space="preserve"> </w:t>
      </w:r>
      <w:r w:rsidR="00E756DE" w:rsidRPr="00F15BAB">
        <w:rPr>
          <w:rFonts w:cs="Verdana"/>
          <w:color w:val="000000"/>
        </w:rPr>
        <w:t xml:space="preserve">de </w:t>
      </w:r>
      <w:r w:rsidR="003F0F99" w:rsidRPr="00F15BAB">
        <w:rPr>
          <w:rFonts w:cs="Verdana"/>
          <w:color w:val="000000"/>
        </w:rPr>
        <w:t>2022</w:t>
      </w:r>
      <w:r w:rsidR="00E90780" w:rsidRPr="00F15BAB">
        <w:rPr>
          <w:rFonts w:cs="Verdana"/>
          <w:color w:val="000000"/>
        </w:rPr>
        <w:t>.</w:t>
      </w:r>
    </w:p>
    <w:p w14:paraId="7DE40FA6" w14:textId="77777777" w:rsidR="005C0F81" w:rsidRPr="00F15BAB" w:rsidRDefault="005C0F81" w:rsidP="005C0F81">
      <w:pPr>
        <w:pStyle w:val="Prrafodelista"/>
        <w:tabs>
          <w:tab w:val="left" w:pos="567"/>
        </w:tabs>
        <w:spacing w:line="240" w:lineRule="auto"/>
        <w:ind w:left="0"/>
        <w:jc w:val="both"/>
      </w:pPr>
    </w:p>
    <w:p w14:paraId="3D30FB9D" w14:textId="02156A25" w:rsidR="005C0F81" w:rsidRPr="00F15BAB" w:rsidRDefault="00666842" w:rsidP="005C0F81">
      <w:pPr>
        <w:pStyle w:val="Prrafodelista"/>
        <w:numPr>
          <w:ilvl w:val="0"/>
          <w:numId w:val="4"/>
        </w:numPr>
        <w:tabs>
          <w:tab w:val="left" w:pos="567"/>
        </w:tabs>
        <w:spacing w:line="240" w:lineRule="auto"/>
        <w:ind w:left="0" w:firstLine="0"/>
        <w:jc w:val="both"/>
      </w:pPr>
      <w:r w:rsidRPr="00F15BAB">
        <w:rPr>
          <w:lang w:val="es-CO"/>
        </w:rPr>
        <w:t>Requerir al Estado y a los representantes que remitan, en los términos del artículo 50.5 del Reglamento y de considerarlo pertinente, en el plazo improrrogable que vence el 1</w:t>
      </w:r>
      <w:r w:rsidR="00A93620">
        <w:rPr>
          <w:lang w:val="es-CO"/>
        </w:rPr>
        <w:t>9</w:t>
      </w:r>
      <w:r w:rsidRPr="00F15BAB">
        <w:rPr>
          <w:lang w:val="es-CO"/>
        </w:rPr>
        <w:t xml:space="preserve"> de septiembre de 2022, las preguntas que estimen pertinente formular, a través de la Corte Interamericana, a los declarantes indicados en el punto resolutivo 3 de la presente Resolución.</w:t>
      </w:r>
      <w:r w:rsidR="005C0F81" w:rsidRPr="00F15BAB">
        <w:t xml:space="preserve"> </w:t>
      </w:r>
    </w:p>
    <w:p w14:paraId="35E5A371" w14:textId="77777777" w:rsidR="005C0F81" w:rsidRPr="00F15BAB" w:rsidRDefault="005C0F81" w:rsidP="005C0F81">
      <w:pPr>
        <w:pStyle w:val="Prrafodelista"/>
      </w:pPr>
    </w:p>
    <w:p w14:paraId="7929590C" w14:textId="695FB415" w:rsidR="005C0F81" w:rsidRPr="00F15BAB" w:rsidRDefault="00666842" w:rsidP="005C0F81">
      <w:pPr>
        <w:pStyle w:val="Prrafodelista"/>
        <w:numPr>
          <w:ilvl w:val="0"/>
          <w:numId w:val="4"/>
        </w:numPr>
        <w:tabs>
          <w:tab w:val="left" w:pos="567"/>
        </w:tabs>
        <w:spacing w:line="240" w:lineRule="auto"/>
        <w:ind w:left="0" w:firstLine="0"/>
        <w:jc w:val="both"/>
      </w:pPr>
      <w:r w:rsidRPr="00F15BAB">
        <w:rPr>
          <w:lang w:val="es-CO"/>
        </w:rPr>
        <w:t xml:space="preserve">Requerir a la Comisión y a las partes que realicen las diligencias necesarias para que, una vez recibidas las preguntas, los declarantes y los peritos incluyan las respuestas en sus respectivas declaraciones y dictámenes rendidos ante fedatario público, salvo que el Presidente disponga lo contrario cuando la Secretaría de la Corte las transmita. Las declaraciones y los peritajes requeridos en el referido punto resolutivo 3 de la presente Resolución deberán ser presentados a más tardar el </w:t>
      </w:r>
      <w:r w:rsidR="004132C1" w:rsidRPr="00F15BAB">
        <w:rPr>
          <w:lang w:val="es-CO"/>
        </w:rPr>
        <w:t>10</w:t>
      </w:r>
      <w:r w:rsidRPr="00F15BAB">
        <w:rPr>
          <w:lang w:val="es-CO"/>
        </w:rPr>
        <w:t xml:space="preserve"> de octubre de 202</w:t>
      </w:r>
      <w:r w:rsidR="00A93620">
        <w:rPr>
          <w:lang w:val="es-CO"/>
        </w:rPr>
        <w:t>2</w:t>
      </w:r>
      <w:r w:rsidRPr="00F15BAB">
        <w:rPr>
          <w:lang w:val="es-CO"/>
        </w:rPr>
        <w:t>.</w:t>
      </w:r>
      <w:r w:rsidR="005C0F81" w:rsidRPr="00F15BAB">
        <w:t xml:space="preserve"> </w:t>
      </w:r>
    </w:p>
    <w:p w14:paraId="1BBB694A" w14:textId="77777777" w:rsidR="005C0F81" w:rsidRPr="00F15BAB" w:rsidRDefault="005C0F81" w:rsidP="005C0F81">
      <w:pPr>
        <w:pStyle w:val="Prrafodelista"/>
      </w:pPr>
    </w:p>
    <w:p w14:paraId="2CE47A8C" w14:textId="53E04512" w:rsidR="00471B69" w:rsidRPr="00F15BAB" w:rsidRDefault="00666842" w:rsidP="00471B69">
      <w:pPr>
        <w:pStyle w:val="Prrafodelista"/>
        <w:numPr>
          <w:ilvl w:val="0"/>
          <w:numId w:val="4"/>
        </w:numPr>
        <w:tabs>
          <w:tab w:val="left" w:pos="567"/>
        </w:tabs>
        <w:spacing w:line="240" w:lineRule="auto"/>
        <w:ind w:left="0" w:firstLine="0"/>
        <w:jc w:val="both"/>
        <w:rPr>
          <w:rFonts w:cs="Calibri"/>
          <w:color w:val="000000"/>
        </w:rPr>
      </w:pPr>
      <w:r w:rsidRPr="00F15BAB">
        <w:rPr>
          <w:lang w:val="es-CO"/>
        </w:rPr>
        <w:t>Disponer, conforme al artículo 50.6 del Reglamento que, una vez recibidas las declaraciones requeridas en el punto resolutivo 3, la Secretaría de la Corte Interamericana las transmita a las partes y a la Comisión para que, si lo estiman necesario, presenten sus observaciones a dichas declaraciones, a más tardar con sus alegatos u observaciones finales escritos, respectivamente.</w:t>
      </w:r>
      <w:r w:rsidR="005C0F81" w:rsidRPr="00F15BAB">
        <w:t xml:space="preserve"> </w:t>
      </w:r>
    </w:p>
    <w:p w14:paraId="543E1A09" w14:textId="77777777" w:rsidR="00471B69" w:rsidRPr="00F15BAB" w:rsidRDefault="00471B69" w:rsidP="00471B69">
      <w:pPr>
        <w:pStyle w:val="Prrafodelista"/>
      </w:pPr>
    </w:p>
    <w:p w14:paraId="39AC5BB2" w14:textId="77777777" w:rsidR="00A17E67" w:rsidRPr="00A17E67" w:rsidRDefault="0036778A" w:rsidP="00A17E67">
      <w:pPr>
        <w:pStyle w:val="Prrafodelista"/>
        <w:numPr>
          <w:ilvl w:val="0"/>
          <w:numId w:val="4"/>
        </w:numPr>
        <w:tabs>
          <w:tab w:val="left" w:pos="567"/>
        </w:tabs>
        <w:spacing w:line="240" w:lineRule="auto"/>
        <w:ind w:left="0" w:firstLine="0"/>
        <w:jc w:val="both"/>
        <w:rPr>
          <w:rFonts w:cs="Calibri"/>
          <w:color w:val="000000"/>
        </w:rPr>
      </w:pPr>
      <w:r w:rsidRPr="00F15BAB">
        <w:t>Informar a las partes y a la Comisión que deben cubrir los gastos que ocasione la aportación de la prueba propuesta por ellos, de conformidad con lo dispuesto en el artículo 60 del Reglamento, sin perjuicio de lo que resulte pertinente en aplicación del Fondo de Asistencia Legal de Víctimas en el presente caso.</w:t>
      </w:r>
    </w:p>
    <w:p w14:paraId="244696AB" w14:textId="77777777" w:rsidR="00A17E67" w:rsidRPr="00A17E67" w:rsidRDefault="00A17E67" w:rsidP="00A17E67">
      <w:pPr>
        <w:rPr>
          <w:rFonts w:cs="Verdana"/>
          <w:color w:val="000000"/>
          <w:lang w:val="es-ES"/>
        </w:rPr>
      </w:pPr>
    </w:p>
    <w:p w14:paraId="45E85B54" w14:textId="794D74D8" w:rsidR="002C2A99" w:rsidRPr="00A17E67" w:rsidRDefault="00A17E67" w:rsidP="00A17E67">
      <w:pPr>
        <w:pStyle w:val="Prrafodelista"/>
        <w:numPr>
          <w:ilvl w:val="0"/>
          <w:numId w:val="4"/>
        </w:numPr>
        <w:tabs>
          <w:tab w:val="left" w:pos="567"/>
        </w:tabs>
        <w:spacing w:line="240" w:lineRule="auto"/>
        <w:ind w:left="0" w:firstLine="0"/>
        <w:jc w:val="both"/>
        <w:rPr>
          <w:rFonts w:cs="Calibri"/>
          <w:color w:val="000000"/>
        </w:rPr>
      </w:pPr>
      <w:r w:rsidRPr="00A17E67">
        <w:rPr>
          <w:rFonts w:cs="Verdana"/>
          <w:color w:val="000000"/>
          <w:lang w:val="es-ES"/>
        </w:rPr>
        <w:t xml:space="preserve">Requerir a los representantes que comuniquen y remitan a la Corte, a más tardar el </w:t>
      </w:r>
      <w:r>
        <w:rPr>
          <w:rFonts w:cs="Verdana"/>
          <w:color w:val="000000"/>
          <w:lang w:val="es-ES"/>
        </w:rPr>
        <w:t>19</w:t>
      </w:r>
      <w:r w:rsidRPr="00A17E67">
        <w:rPr>
          <w:rFonts w:cs="Verdana"/>
          <w:color w:val="000000"/>
          <w:lang w:val="es-ES"/>
        </w:rPr>
        <w:t xml:space="preserve"> de </w:t>
      </w:r>
      <w:r>
        <w:rPr>
          <w:rFonts w:cs="Verdana"/>
          <w:color w:val="000000"/>
          <w:lang w:val="es-ES"/>
        </w:rPr>
        <w:t>septiembre</w:t>
      </w:r>
      <w:r w:rsidRPr="00A17E67">
        <w:rPr>
          <w:rFonts w:cs="Verdana"/>
          <w:color w:val="000000"/>
          <w:lang w:val="es-ES"/>
        </w:rPr>
        <w:t xml:space="preserve"> de 2022, una cotización del costo de la formalización de las </w:t>
      </w:r>
      <w:r w:rsidR="00ED0369">
        <w:rPr>
          <w:rFonts w:cs="Verdana"/>
          <w:color w:val="000000"/>
          <w:lang w:val="es-ES"/>
        </w:rPr>
        <w:t>10</w:t>
      </w:r>
      <w:r w:rsidRPr="00A17E67">
        <w:rPr>
          <w:rFonts w:cs="Verdana"/>
          <w:color w:val="000000"/>
          <w:lang w:val="es-ES"/>
        </w:rPr>
        <w:t xml:space="preserve"> declaraciones ante fedatario público rendidas en el país de residencia de los declarantes que correspondan, y de su respectivo envío, a fin de que dichos gastos sean cubiertos por el Fondo de Asistencia, de conformidad con lo establecido en la presente Resolución. Los representantes, a más tardar </w:t>
      </w:r>
      <w:r w:rsidRPr="00A17E67">
        <w:rPr>
          <w:rFonts w:cs="Verdana"/>
          <w:color w:val="000000"/>
          <w:lang w:val="es-ES"/>
        </w:rPr>
        <w:lastRenderedPageBreak/>
        <w:t>con sus alegatos finales escritos, que deben ser presentados en la fecha señalada en el punto resolutivo 1</w:t>
      </w:r>
      <w:r w:rsidR="00ED0369">
        <w:rPr>
          <w:rFonts w:cs="Verdana"/>
          <w:color w:val="000000"/>
          <w:lang w:val="es-ES"/>
        </w:rPr>
        <w:t>3</w:t>
      </w:r>
      <w:r w:rsidRPr="00A17E67">
        <w:rPr>
          <w:rFonts w:cs="Verdana"/>
          <w:color w:val="000000"/>
          <w:lang w:val="es-ES"/>
        </w:rPr>
        <w:t xml:space="preserve">, deberán presentar los comprobantes que acrediten debidamente los gastos efectuados. El reintegro de los gastos se efectuará luego de la recepción de los comprobantes correspondientes. </w:t>
      </w:r>
    </w:p>
    <w:p w14:paraId="7E048426" w14:textId="77777777" w:rsidR="002C2A99" w:rsidRPr="00F15BAB" w:rsidRDefault="002C2A99" w:rsidP="002C2A99"/>
    <w:p w14:paraId="3ADFA91B" w14:textId="7F02F4AF" w:rsidR="005A2728" w:rsidRPr="00F15BAB" w:rsidRDefault="002C2A99" w:rsidP="002C2A99">
      <w:pPr>
        <w:pStyle w:val="Prrafodelista"/>
        <w:numPr>
          <w:ilvl w:val="0"/>
          <w:numId w:val="4"/>
        </w:numPr>
        <w:tabs>
          <w:tab w:val="left" w:pos="567"/>
        </w:tabs>
        <w:spacing w:line="240" w:lineRule="auto"/>
        <w:ind w:left="0" w:firstLine="0"/>
        <w:jc w:val="both"/>
        <w:rPr>
          <w:rFonts w:cs="Calibri"/>
          <w:color w:val="000000"/>
        </w:rPr>
      </w:pPr>
      <w:r w:rsidRPr="00F15BAB">
        <w:t>Requerir a las partes y a la Comisión 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w:t>
      </w:r>
    </w:p>
    <w:p w14:paraId="2F71D5E9" w14:textId="77777777" w:rsidR="002C2A99" w:rsidRPr="00F15BAB" w:rsidRDefault="002C2A99" w:rsidP="002C2A99">
      <w:pPr>
        <w:pStyle w:val="Prrafodelista"/>
        <w:tabs>
          <w:tab w:val="left" w:pos="567"/>
        </w:tabs>
        <w:spacing w:line="240" w:lineRule="auto"/>
        <w:ind w:left="0"/>
        <w:jc w:val="both"/>
        <w:rPr>
          <w:rFonts w:cs="Calibri"/>
          <w:color w:val="000000"/>
        </w:rPr>
      </w:pPr>
    </w:p>
    <w:p w14:paraId="337A6027" w14:textId="081E073E" w:rsidR="005C0F81" w:rsidRPr="00F15BAB" w:rsidRDefault="005C0F81" w:rsidP="006A3E5B">
      <w:pPr>
        <w:pStyle w:val="Prrafodelista"/>
        <w:numPr>
          <w:ilvl w:val="0"/>
          <w:numId w:val="4"/>
        </w:numPr>
        <w:tabs>
          <w:tab w:val="left" w:pos="567"/>
        </w:tabs>
        <w:spacing w:line="240" w:lineRule="auto"/>
        <w:ind w:left="0" w:firstLine="0"/>
        <w:jc w:val="both"/>
      </w:pPr>
      <w:r w:rsidRPr="00F15BAB">
        <w:t xml:space="preserve">Informar </w:t>
      </w:r>
      <w:r w:rsidR="007A0CCC" w:rsidRPr="00F15BAB">
        <w:t xml:space="preserve">a las partes y a la Comisión </w:t>
      </w:r>
      <w:r w:rsidRPr="00F15BAB">
        <w:t xml:space="preserve">que, al término de las declaraciones rendidas en la audiencia pública, podrán presentar ante el Tribunal sus alegatos finales orales y observaciones finales orales, respectivamente, sobre </w:t>
      </w:r>
      <w:r w:rsidR="00655D3B" w:rsidRPr="00F15BAB">
        <w:t>las excepciones preliminares y eventuales</w:t>
      </w:r>
      <w:r w:rsidR="00B63135" w:rsidRPr="00F15BAB">
        <w:t xml:space="preserve"> </w:t>
      </w:r>
      <w:r w:rsidR="00C47D16" w:rsidRPr="00F15BAB">
        <w:t>fondo,</w:t>
      </w:r>
      <w:r w:rsidR="006A3E5B" w:rsidRPr="00F15BAB">
        <w:t xml:space="preserve"> </w:t>
      </w:r>
      <w:r w:rsidRPr="00F15BAB">
        <w:t>reparaciones y costas en el presente caso.</w:t>
      </w:r>
    </w:p>
    <w:p w14:paraId="45C23855" w14:textId="77777777" w:rsidR="006A3E5B" w:rsidRPr="00F15BAB" w:rsidRDefault="006A3E5B" w:rsidP="006A3E5B"/>
    <w:p w14:paraId="79BC762A" w14:textId="07E6398F" w:rsidR="005C0F81" w:rsidRPr="00F15BAB" w:rsidRDefault="005C0F81" w:rsidP="005C0F81">
      <w:pPr>
        <w:pStyle w:val="Prrafodelista"/>
        <w:numPr>
          <w:ilvl w:val="0"/>
          <w:numId w:val="4"/>
        </w:numPr>
        <w:tabs>
          <w:tab w:val="left" w:pos="567"/>
        </w:tabs>
        <w:spacing w:line="240" w:lineRule="auto"/>
        <w:ind w:left="0" w:firstLine="0"/>
        <w:jc w:val="both"/>
      </w:pPr>
      <w:r w:rsidRPr="00F15BAB">
        <w:t xml:space="preserve">Disponer que la Secretaría de la Corte, de conformidad con lo dispuesto en el artículo 55.3 del Reglamento, indique a </w:t>
      </w:r>
      <w:r w:rsidR="007A0CCC" w:rsidRPr="00F15BAB">
        <w:t xml:space="preserve">las partes y a la Comisión </w:t>
      </w:r>
      <w:r w:rsidRPr="00F15BAB">
        <w:t xml:space="preserve">el enlace donde se encontrará disponible la grabación de la audiencia pública </w:t>
      </w:r>
      <w:r w:rsidR="00C47D16" w:rsidRPr="00F15BAB">
        <w:t xml:space="preserve">sobre </w:t>
      </w:r>
      <w:r w:rsidR="005A2728" w:rsidRPr="00F15BAB">
        <w:t>las excepciones preliminares y</w:t>
      </w:r>
      <w:r w:rsidR="006A3E5B" w:rsidRPr="00F15BAB">
        <w:t xml:space="preserve"> eventual</w:t>
      </w:r>
      <w:r w:rsidR="00655D3B" w:rsidRPr="00F15BAB">
        <w:t>es</w:t>
      </w:r>
      <w:r w:rsidR="006A3E5B" w:rsidRPr="00F15BAB">
        <w:t xml:space="preserve"> </w:t>
      </w:r>
      <w:r w:rsidR="00C47D16" w:rsidRPr="00F15BAB">
        <w:t>fondo, reparaciones y costas</w:t>
      </w:r>
      <w:r w:rsidRPr="00F15BAB">
        <w:t xml:space="preserve">, a la brevedad posible luego de la celebración de la referida audiencia. </w:t>
      </w:r>
    </w:p>
    <w:p w14:paraId="5892AE2C" w14:textId="77777777" w:rsidR="005C0F81" w:rsidRPr="00F15BAB" w:rsidRDefault="005C0F81" w:rsidP="003F6FFE"/>
    <w:p w14:paraId="27080886" w14:textId="77777777" w:rsidR="003F6FFE" w:rsidRPr="00F15BAB" w:rsidRDefault="005C0F81" w:rsidP="00CA27DE">
      <w:pPr>
        <w:pStyle w:val="Prrafodelista"/>
        <w:numPr>
          <w:ilvl w:val="0"/>
          <w:numId w:val="4"/>
        </w:numPr>
        <w:tabs>
          <w:tab w:val="left" w:pos="567"/>
        </w:tabs>
        <w:spacing w:line="240" w:lineRule="auto"/>
        <w:ind w:left="0" w:firstLine="0"/>
        <w:jc w:val="both"/>
      </w:pPr>
      <w:r w:rsidRPr="00F15BAB">
        <w:t xml:space="preserve">Informar a </w:t>
      </w:r>
      <w:r w:rsidR="007A0CCC" w:rsidRPr="00F15BAB">
        <w:t xml:space="preserve">las partes y a la Comisión </w:t>
      </w:r>
      <w:r w:rsidRPr="00F15BAB">
        <w:t xml:space="preserve">que, en los términos del artículo 56 del Reglamento, cuentan con plazo hasta el </w:t>
      </w:r>
      <w:r w:rsidR="007C6670" w:rsidRPr="00F15BAB">
        <w:t>14</w:t>
      </w:r>
      <w:r w:rsidR="00672FBF" w:rsidRPr="00F15BAB">
        <w:t xml:space="preserve"> </w:t>
      </w:r>
      <w:r w:rsidRPr="00F15BAB">
        <w:t>de</w:t>
      </w:r>
      <w:r w:rsidR="00D02DDD" w:rsidRPr="00F15BAB">
        <w:t xml:space="preserve"> </w:t>
      </w:r>
      <w:r w:rsidR="007C6670" w:rsidRPr="00F15BAB">
        <w:t>noviembre</w:t>
      </w:r>
      <w:r w:rsidR="0011736D" w:rsidRPr="00F15BAB">
        <w:t xml:space="preserve"> de</w:t>
      </w:r>
      <w:r w:rsidRPr="00F15BAB">
        <w:t xml:space="preserve"> </w:t>
      </w:r>
      <w:r w:rsidR="003F0F99" w:rsidRPr="00F15BAB">
        <w:t>2022</w:t>
      </w:r>
      <w:r w:rsidRPr="00F15BAB">
        <w:t>, para presentar sus alegatos finales escritos y observaciones finales escritas, respectivamente, en relación con</w:t>
      </w:r>
      <w:r w:rsidR="006A3E5B" w:rsidRPr="00F15BAB">
        <w:t xml:space="preserve"> </w:t>
      </w:r>
      <w:r w:rsidR="005A2728" w:rsidRPr="00F15BAB">
        <w:t xml:space="preserve">las excepciones preliminares y </w:t>
      </w:r>
      <w:r w:rsidR="00655D3B" w:rsidRPr="00F15BAB">
        <w:t>eventuales</w:t>
      </w:r>
      <w:r w:rsidR="00C47D16" w:rsidRPr="00F15BAB">
        <w:t xml:space="preserve"> fondo, reparaciones y costas</w:t>
      </w:r>
      <w:r w:rsidRPr="00F15BAB">
        <w:t xml:space="preserve"> en el presente caso. Este plazo es improrrogable.</w:t>
      </w:r>
    </w:p>
    <w:p w14:paraId="7A3BD3E5" w14:textId="77777777" w:rsidR="003F6FFE" w:rsidRPr="00F15BAB" w:rsidRDefault="003F6FFE" w:rsidP="003F6FFE"/>
    <w:p w14:paraId="5C675814" w14:textId="4EBDD97C" w:rsidR="003F6FFE" w:rsidRPr="00F15BAB" w:rsidRDefault="003F6FFE" w:rsidP="00CA27DE">
      <w:pPr>
        <w:pStyle w:val="Prrafodelista"/>
        <w:numPr>
          <w:ilvl w:val="0"/>
          <w:numId w:val="4"/>
        </w:numPr>
        <w:tabs>
          <w:tab w:val="left" w:pos="567"/>
        </w:tabs>
        <w:spacing w:line="240" w:lineRule="auto"/>
        <w:ind w:left="0" w:firstLine="0"/>
        <w:jc w:val="both"/>
      </w:pPr>
      <w:r w:rsidRPr="00F15BAB">
        <w:t xml:space="preserve">Declarar procedente la aplicación </w:t>
      </w:r>
      <w:r w:rsidR="00C11C94">
        <w:t>d</w:t>
      </w:r>
      <w:r w:rsidRPr="00F15BAB">
        <w:t>el Fondo de Asistencia Legal de Víctimas de la Corte en los términos dispuestos en esta Resolución.</w:t>
      </w:r>
    </w:p>
    <w:p w14:paraId="6A9076AC" w14:textId="77777777" w:rsidR="003F6FFE" w:rsidRPr="00F15BAB" w:rsidRDefault="003F6FFE" w:rsidP="003F6FFE">
      <w:pPr>
        <w:pStyle w:val="Prrafodelista"/>
      </w:pPr>
    </w:p>
    <w:p w14:paraId="17AD3329" w14:textId="0EFDA967" w:rsidR="003F6FFE" w:rsidRPr="00F15BAB" w:rsidRDefault="003F6FFE" w:rsidP="00CA27DE">
      <w:pPr>
        <w:pStyle w:val="Prrafodelista"/>
        <w:numPr>
          <w:ilvl w:val="0"/>
          <w:numId w:val="4"/>
        </w:numPr>
        <w:tabs>
          <w:tab w:val="left" w:pos="567"/>
        </w:tabs>
        <w:spacing w:line="240" w:lineRule="auto"/>
        <w:ind w:left="0" w:firstLine="0"/>
        <w:jc w:val="both"/>
      </w:pPr>
      <w:r w:rsidRPr="00F15BAB">
        <w:t>Disponer, de conformidad con el artículo 4 del Reglamento de la Corte sobre el Funcionamiento del Fondo de Asistencia Legal de Víctimas, que la Secretaría del Tribunal abra un expediente de gastos, donde se documentará cada una de las erogaciones que se realicen con el Fondo de Asistencia Legal de Víctimas.</w:t>
      </w:r>
    </w:p>
    <w:p w14:paraId="4B7DE679" w14:textId="77777777" w:rsidR="003F6FFE" w:rsidRPr="00F15BAB" w:rsidRDefault="003F6FFE" w:rsidP="00CA27DE">
      <w:pPr>
        <w:pStyle w:val="Prrafodelista"/>
        <w:tabs>
          <w:tab w:val="left" w:pos="567"/>
        </w:tabs>
        <w:spacing w:line="240" w:lineRule="auto"/>
        <w:ind w:left="0"/>
        <w:jc w:val="both"/>
      </w:pPr>
    </w:p>
    <w:p w14:paraId="7180BE18" w14:textId="0F33399F" w:rsidR="00563E96" w:rsidRPr="00F15BAB" w:rsidRDefault="005C0F81" w:rsidP="005643E0">
      <w:pPr>
        <w:pStyle w:val="Prrafodelista"/>
        <w:numPr>
          <w:ilvl w:val="0"/>
          <w:numId w:val="4"/>
        </w:numPr>
        <w:tabs>
          <w:tab w:val="left" w:pos="567"/>
        </w:tabs>
        <w:spacing w:line="240" w:lineRule="auto"/>
        <w:ind w:left="0" w:firstLine="0"/>
        <w:jc w:val="both"/>
      </w:pPr>
      <w:r w:rsidRPr="00F15BAB">
        <w:t xml:space="preserve">Disponer que la Secretaría de la Corte Interamericana notifique la presente Resolución a la Comisión Interamericana de Derechos Humanos, </w:t>
      </w:r>
      <w:r w:rsidR="00655D3B" w:rsidRPr="00F15BAB">
        <w:t>los representantes</w:t>
      </w:r>
      <w:r w:rsidR="00BD1F0D" w:rsidRPr="00F15BAB">
        <w:t xml:space="preserve"> </w:t>
      </w:r>
      <w:r w:rsidRPr="00F15BAB">
        <w:t>de la pr</w:t>
      </w:r>
      <w:r w:rsidR="007A0CCC" w:rsidRPr="00F15BAB">
        <w:t>esunta víctima y a</w:t>
      </w:r>
      <w:r w:rsidR="005A2728" w:rsidRPr="00F15BAB">
        <w:t xml:space="preserve">l Estado de </w:t>
      </w:r>
      <w:r w:rsidR="007C6670" w:rsidRPr="00F15BAB">
        <w:t>Perú</w:t>
      </w:r>
      <w:r w:rsidRPr="00F15BAB">
        <w:t>.</w:t>
      </w:r>
    </w:p>
    <w:p w14:paraId="16818547" w14:textId="644D4C93" w:rsidR="00F01944" w:rsidRDefault="00F01944" w:rsidP="003F6FFE"/>
    <w:p w14:paraId="047F9E24" w14:textId="2EE26C6C" w:rsidR="00C11C94" w:rsidRDefault="00C11C94" w:rsidP="003F6FFE"/>
    <w:p w14:paraId="3F663E8E" w14:textId="507AA6D3" w:rsidR="00C11C94" w:rsidRDefault="00C11C94" w:rsidP="003F6FFE"/>
    <w:p w14:paraId="0C5ED34F" w14:textId="2CDD2B55" w:rsidR="00C11C94" w:rsidRDefault="00C11C94" w:rsidP="003F6FFE"/>
    <w:p w14:paraId="3BD4271C" w14:textId="54ED1EBC" w:rsidR="00C11C94" w:rsidRDefault="00C11C94" w:rsidP="003F6FFE"/>
    <w:p w14:paraId="27C0E9AA" w14:textId="2ED0F0A8" w:rsidR="00C11C94" w:rsidRDefault="00C11C94" w:rsidP="003F6FFE"/>
    <w:p w14:paraId="20AD24F7" w14:textId="2D6FD998" w:rsidR="00C11C94" w:rsidRDefault="00C11C94" w:rsidP="003F6FFE"/>
    <w:p w14:paraId="36FB6919" w14:textId="65FBA57E" w:rsidR="00C11C94" w:rsidRDefault="00C11C94" w:rsidP="003F6FFE"/>
    <w:p w14:paraId="0208C292" w14:textId="251D0ED1" w:rsidR="00C11C94" w:rsidRDefault="00C11C94" w:rsidP="003F6FFE"/>
    <w:p w14:paraId="66CE2F1C" w14:textId="0EF22515" w:rsidR="00C11C94" w:rsidRDefault="00C11C94" w:rsidP="003F6FFE"/>
    <w:p w14:paraId="206DE807" w14:textId="5A16002F" w:rsidR="00F01944" w:rsidRDefault="00F01944" w:rsidP="00F01944">
      <w:pPr>
        <w:jc w:val="both"/>
        <w:rPr>
          <w:rFonts w:cs="Arial"/>
        </w:rPr>
      </w:pPr>
      <w:r w:rsidRPr="00A66982">
        <w:rPr>
          <w:rFonts w:cs="Arial"/>
        </w:rPr>
        <w:lastRenderedPageBreak/>
        <w:t xml:space="preserve">Corte IDH. </w:t>
      </w:r>
      <w:r w:rsidRPr="00A66982">
        <w:rPr>
          <w:rFonts w:cs="Arial"/>
          <w:i/>
        </w:rPr>
        <w:t xml:space="preserve">Caso </w:t>
      </w:r>
      <w:r w:rsidR="007C6670" w:rsidRPr="00A66982">
        <w:rPr>
          <w:rFonts w:cs="Arial"/>
          <w:i/>
          <w:iCs/>
        </w:rPr>
        <w:t>Comunidad de La Oroya</w:t>
      </w:r>
      <w:r w:rsidR="00BE3986" w:rsidRPr="00A66982">
        <w:rPr>
          <w:rFonts w:cs="Arial"/>
          <w:i/>
          <w:iCs/>
        </w:rPr>
        <w:t xml:space="preserve"> Vs. </w:t>
      </w:r>
      <w:r w:rsidR="007C6670">
        <w:rPr>
          <w:rFonts w:cs="Arial"/>
          <w:i/>
          <w:iCs/>
        </w:rPr>
        <w:t>Perú</w:t>
      </w:r>
      <w:r w:rsidRPr="00716EB6">
        <w:rPr>
          <w:rFonts w:cs="Arial"/>
          <w:iCs/>
        </w:rPr>
        <w:t>. Resolución</w:t>
      </w:r>
      <w:r>
        <w:rPr>
          <w:rFonts w:cs="Arial"/>
        </w:rPr>
        <w:t xml:space="preserve"> del Presidente </w:t>
      </w:r>
      <w:r w:rsidRPr="00716EB6">
        <w:rPr>
          <w:rFonts w:cs="Arial"/>
        </w:rPr>
        <w:t xml:space="preserve">de la Corte Interamericana de Derechos Humanos de </w:t>
      </w:r>
      <w:r w:rsidR="00ED0369">
        <w:rPr>
          <w:rFonts w:cs="Arial"/>
        </w:rPr>
        <w:t>12</w:t>
      </w:r>
      <w:r w:rsidRPr="002E5E8F">
        <w:rPr>
          <w:rFonts w:cs="Arial"/>
        </w:rPr>
        <w:t xml:space="preserve"> de </w:t>
      </w:r>
      <w:r w:rsidR="007C6670" w:rsidRPr="00ED0369">
        <w:rPr>
          <w:rFonts w:cs="Arial"/>
        </w:rPr>
        <w:t>septiembre</w:t>
      </w:r>
      <w:r w:rsidRPr="002E5E8F">
        <w:rPr>
          <w:rFonts w:cs="Arial"/>
        </w:rPr>
        <w:t xml:space="preserve"> de 2022.</w:t>
      </w:r>
    </w:p>
    <w:p w14:paraId="336B0C71" w14:textId="0E94F8AA" w:rsidR="00F01944" w:rsidRDefault="00F01944" w:rsidP="00F01944"/>
    <w:p w14:paraId="2CC911DC" w14:textId="77777777" w:rsidR="00F01944" w:rsidRDefault="00F01944" w:rsidP="00F01944"/>
    <w:p w14:paraId="04D47C86" w14:textId="1427CC9B" w:rsidR="00ED0369" w:rsidRDefault="00ED0369" w:rsidP="00F01944"/>
    <w:p w14:paraId="01C936B9" w14:textId="7CD769E7" w:rsidR="00A66982" w:rsidRDefault="00A66982" w:rsidP="00F01944"/>
    <w:p w14:paraId="2D21808D" w14:textId="04145B0B" w:rsidR="00F01944" w:rsidRDefault="00F01944" w:rsidP="00F01944"/>
    <w:p w14:paraId="794D791C" w14:textId="1919A52E" w:rsidR="00F01944" w:rsidRPr="00CD72B7" w:rsidRDefault="00F01944" w:rsidP="00F01944">
      <w:pPr>
        <w:ind w:left="6237"/>
        <w:jc w:val="center"/>
      </w:pPr>
      <w:r>
        <w:t>Ricardo C. Pérez Manrique</w:t>
      </w:r>
    </w:p>
    <w:p w14:paraId="2C2C29D9" w14:textId="1EABF21A" w:rsidR="00F01944" w:rsidRPr="004B5595" w:rsidRDefault="00F01944" w:rsidP="00F01944">
      <w:pPr>
        <w:ind w:left="6237" w:right="48"/>
        <w:jc w:val="center"/>
      </w:pPr>
      <w:r>
        <w:t>Presidente</w:t>
      </w:r>
    </w:p>
    <w:p w14:paraId="354E3B48" w14:textId="73D41583" w:rsidR="00F01944" w:rsidRDefault="00F01944" w:rsidP="00F01944"/>
    <w:p w14:paraId="1544FDA5" w14:textId="3D1851C3" w:rsidR="00F01944" w:rsidRDefault="00F01944" w:rsidP="00F01944"/>
    <w:p w14:paraId="3A2BC88E" w14:textId="07DEC5FE" w:rsidR="00F01944" w:rsidRDefault="00F01944" w:rsidP="00F01944"/>
    <w:p w14:paraId="3F3D4316" w14:textId="2856BCA5" w:rsidR="00F01944" w:rsidRDefault="00F01944" w:rsidP="00F01944"/>
    <w:p w14:paraId="12C3572B" w14:textId="77777777" w:rsidR="00F01944" w:rsidRDefault="00F01944" w:rsidP="00F01944">
      <w:pPr>
        <w:tabs>
          <w:tab w:val="left" w:pos="8460"/>
          <w:tab w:val="left" w:pos="8640"/>
        </w:tabs>
      </w:pPr>
    </w:p>
    <w:p w14:paraId="279588CB" w14:textId="57BB3444" w:rsidR="00F01944" w:rsidRPr="0035522A" w:rsidRDefault="00F01944" w:rsidP="00F01944">
      <w:r>
        <w:tab/>
      </w:r>
      <w:r w:rsidR="0035522A" w:rsidRPr="0035522A">
        <w:t>Pablo Saavedra Alessandri</w:t>
      </w:r>
    </w:p>
    <w:p w14:paraId="2EADA5CB" w14:textId="411696ED" w:rsidR="00F01944" w:rsidRDefault="00F01944" w:rsidP="00F01944">
      <w:r w:rsidRPr="0035522A">
        <w:tab/>
      </w:r>
      <w:r w:rsidR="00DB075A" w:rsidRPr="0035522A">
        <w:t xml:space="preserve"> </w:t>
      </w:r>
      <w:r w:rsidR="0035522A" w:rsidRPr="0035522A">
        <w:tab/>
      </w:r>
      <w:r w:rsidRPr="0035522A">
        <w:t>Secretari</w:t>
      </w:r>
      <w:r w:rsidR="0035522A" w:rsidRPr="0035522A">
        <w:t>o</w:t>
      </w:r>
    </w:p>
    <w:p w14:paraId="56BE329D" w14:textId="3F84C10D" w:rsidR="00F01944" w:rsidRDefault="00F01944" w:rsidP="00F01944"/>
    <w:p w14:paraId="2EBA0946" w14:textId="1A243058" w:rsidR="00F01944" w:rsidRDefault="00F01944" w:rsidP="00F01944"/>
    <w:p w14:paraId="795F57CA" w14:textId="59B7C695" w:rsidR="00A66982" w:rsidRDefault="00A66982" w:rsidP="00F01944"/>
    <w:p w14:paraId="7A4A3909" w14:textId="77777777" w:rsidR="00A66982" w:rsidRDefault="00A66982" w:rsidP="00F01944"/>
    <w:p w14:paraId="32D03A71" w14:textId="6B5A9760" w:rsidR="00F01944" w:rsidRDefault="00F01944" w:rsidP="00F01944"/>
    <w:p w14:paraId="795EE1C8" w14:textId="398574A7" w:rsidR="00F01944" w:rsidRDefault="00F01944" w:rsidP="00F01944">
      <w:pPr>
        <w:tabs>
          <w:tab w:val="left" w:pos="8460"/>
          <w:tab w:val="left" w:pos="8640"/>
        </w:tabs>
      </w:pPr>
      <w:r>
        <w:t>Comuníquese y ejecútese,</w:t>
      </w:r>
    </w:p>
    <w:p w14:paraId="4808A29A" w14:textId="1BF55AD6" w:rsidR="00F01944" w:rsidRDefault="00F01944" w:rsidP="00F01944"/>
    <w:p w14:paraId="696B1851" w14:textId="4DF43BC3" w:rsidR="00A66982" w:rsidRDefault="00A66982" w:rsidP="00F01944"/>
    <w:p w14:paraId="6B692B1E" w14:textId="6CAAD918" w:rsidR="00A66982" w:rsidRDefault="00A66982" w:rsidP="00F01944"/>
    <w:p w14:paraId="0E52CBFC" w14:textId="35B34E76" w:rsidR="00F01944" w:rsidRDefault="00F01944" w:rsidP="00F01944"/>
    <w:p w14:paraId="272F4BE4" w14:textId="2EAA932B" w:rsidR="00F01944" w:rsidRDefault="00F01944" w:rsidP="00F01944"/>
    <w:p w14:paraId="4DB0F891" w14:textId="6345AE7D" w:rsidR="00F01944" w:rsidRPr="00CD72B7" w:rsidRDefault="00F01944" w:rsidP="00F01944">
      <w:pPr>
        <w:ind w:left="6237"/>
        <w:jc w:val="center"/>
      </w:pPr>
      <w:r>
        <w:t>Ricardo C. Pérez Manrique</w:t>
      </w:r>
    </w:p>
    <w:p w14:paraId="193CB5E2" w14:textId="68A27BF2" w:rsidR="00F01944" w:rsidRPr="004B5595" w:rsidRDefault="00F01944" w:rsidP="00F01944">
      <w:pPr>
        <w:ind w:left="6237" w:right="48"/>
        <w:jc w:val="center"/>
      </w:pPr>
      <w:r>
        <w:t>Presidente</w:t>
      </w:r>
    </w:p>
    <w:p w14:paraId="491A6576" w14:textId="17FC0564" w:rsidR="00F01944" w:rsidRDefault="00F01944" w:rsidP="00F01944">
      <w:pPr>
        <w:tabs>
          <w:tab w:val="left" w:pos="8460"/>
          <w:tab w:val="left" w:pos="8640"/>
        </w:tabs>
      </w:pPr>
    </w:p>
    <w:p w14:paraId="14B328DA" w14:textId="77777777" w:rsidR="00F01944" w:rsidRDefault="00F01944" w:rsidP="00F01944">
      <w:pPr>
        <w:tabs>
          <w:tab w:val="left" w:pos="8460"/>
          <w:tab w:val="left" w:pos="8640"/>
        </w:tabs>
      </w:pPr>
    </w:p>
    <w:p w14:paraId="3832E386" w14:textId="723C2E39" w:rsidR="00F01944" w:rsidRDefault="00F01944" w:rsidP="00F01944">
      <w:pPr>
        <w:tabs>
          <w:tab w:val="left" w:pos="8460"/>
          <w:tab w:val="left" w:pos="8640"/>
        </w:tabs>
      </w:pPr>
    </w:p>
    <w:p w14:paraId="134F6B97" w14:textId="69EA4E21" w:rsidR="00F01944" w:rsidRDefault="00F01944" w:rsidP="00F01944">
      <w:pPr>
        <w:tabs>
          <w:tab w:val="left" w:pos="8460"/>
          <w:tab w:val="left" w:pos="8640"/>
        </w:tabs>
      </w:pPr>
    </w:p>
    <w:p w14:paraId="68DF4683" w14:textId="77777777" w:rsidR="00F01944" w:rsidRDefault="00F01944" w:rsidP="00F01944">
      <w:pPr>
        <w:tabs>
          <w:tab w:val="left" w:pos="8460"/>
          <w:tab w:val="left" w:pos="8640"/>
        </w:tabs>
      </w:pPr>
    </w:p>
    <w:p w14:paraId="2C56DE91" w14:textId="77777777" w:rsidR="0035522A" w:rsidRPr="0035522A" w:rsidRDefault="0035522A" w:rsidP="0035522A">
      <w:pPr>
        <w:ind w:firstLine="720"/>
      </w:pPr>
      <w:r w:rsidRPr="0035522A">
        <w:t>Pablo Saavedra Alessandri</w:t>
      </w:r>
    </w:p>
    <w:p w14:paraId="1BA51B80" w14:textId="77777777" w:rsidR="0035522A" w:rsidRDefault="0035522A" w:rsidP="0035522A">
      <w:r w:rsidRPr="0035522A">
        <w:tab/>
        <w:t xml:space="preserve"> </w:t>
      </w:r>
      <w:r w:rsidRPr="0035522A">
        <w:tab/>
        <w:t>Secretario</w:t>
      </w:r>
    </w:p>
    <w:sectPr w:rsidR="0035522A" w:rsidSect="00C872B7">
      <w:headerReference w:type="even" r:id="rId8"/>
      <w:headerReference w:type="default" r:id="rId9"/>
      <w:pgSz w:w="12240" w:h="15840"/>
      <w:pgMar w:top="1440"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35868" w14:textId="77777777" w:rsidR="004160D1" w:rsidRDefault="004160D1" w:rsidP="00E97AA8">
      <w:r>
        <w:separator/>
      </w:r>
    </w:p>
    <w:p w14:paraId="72433F88" w14:textId="77777777" w:rsidR="004160D1" w:rsidRDefault="004160D1" w:rsidP="00E97AA8"/>
  </w:endnote>
  <w:endnote w:type="continuationSeparator" w:id="0">
    <w:p w14:paraId="45BB0049" w14:textId="77777777" w:rsidR="004160D1" w:rsidRDefault="004160D1" w:rsidP="00E97AA8">
      <w:r>
        <w:continuationSeparator/>
      </w:r>
    </w:p>
    <w:p w14:paraId="3206BD19" w14:textId="77777777" w:rsidR="004160D1" w:rsidRDefault="004160D1" w:rsidP="00E97AA8"/>
  </w:endnote>
  <w:endnote w:type="continuationNotice" w:id="1">
    <w:p w14:paraId="28842476" w14:textId="77777777" w:rsidR="004160D1" w:rsidRDefault="004160D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70225" w14:textId="77777777" w:rsidR="004160D1" w:rsidRDefault="004160D1" w:rsidP="00E97AA8">
      <w:r>
        <w:separator/>
      </w:r>
    </w:p>
  </w:footnote>
  <w:footnote w:type="continuationSeparator" w:id="0">
    <w:p w14:paraId="2B547D8A" w14:textId="77777777" w:rsidR="004160D1" w:rsidRDefault="004160D1" w:rsidP="00E97AA8">
      <w:r>
        <w:continuationSeparator/>
      </w:r>
    </w:p>
    <w:p w14:paraId="6360DC24" w14:textId="77777777" w:rsidR="004160D1" w:rsidRDefault="004160D1" w:rsidP="00E97AA8"/>
  </w:footnote>
  <w:footnote w:type="continuationNotice" w:id="1">
    <w:p w14:paraId="552997C6" w14:textId="77777777" w:rsidR="004160D1" w:rsidRDefault="004160D1">
      <w:pPr>
        <w:spacing w:line="240" w:lineRule="auto"/>
      </w:pPr>
    </w:p>
  </w:footnote>
  <w:footnote w:id="2">
    <w:p w14:paraId="774871EF" w14:textId="2EB41C0E" w:rsidR="00725657" w:rsidRPr="002448D5" w:rsidRDefault="00725657" w:rsidP="0043522A">
      <w:pPr>
        <w:pStyle w:val="Default"/>
        <w:spacing w:before="120" w:after="120"/>
        <w:jc w:val="both"/>
        <w:rPr>
          <w:rFonts w:ascii="Verdana" w:hAnsi="Verdana" w:cs="Verdana"/>
          <w:sz w:val="16"/>
          <w:szCs w:val="16"/>
          <w:lang w:val="es-ES"/>
        </w:rPr>
      </w:pPr>
      <w:r w:rsidRPr="002448D5">
        <w:rPr>
          <w:rStyle w:val="Refdenotaalpie"/>
        </w:rPr>
        <w:footnoteRef/>
      </w:r>
      <w:r w:rsidRPr="002448D5">
        <w:rPr>
          <w:rFonts w:ascii="Verdana" w:hAnsi="Verdana"/>
          <w:sz w:val="16"/>
          <w:szCs w:val="16"/>
        </w:rPr>
        <w:t xml:space="preserve"> </w:t>
      </w:r>
      <w:r w:rsidRPr="002448D5">
        <w:rPr>
          <w:rFonts w:ascii="Verdana" w:hAnsi="Verdana"/>
          <w:sz w:val="16"/>
          <w:szCs w:val="16"/>
        </w:rPr>
        <w:tab/>
      </w:r>
      <w:r w:rsidRPr="002448D5">
        <w:rPr>
          <w:rFonts w:ascii="Verdana" w:hAnsi="Verdana" w:cs="Verdana"/>
          <w:sz w:val="16"/>
          <w:szCs w:val="16"/>
          <w:lang w:val="es-ES"/>
        </w:rPr>
        <w:t xml:space="preserve"> De conformidad con lo indicado por la Comisión en su Informe No. 330/20, “debido a una solicitud expresa de los peticionarios</w:t>
      </w:r>
      <w:r w:rsidR="007C7B9B" w:rsidRPr="002448D5">
        <w:rPr>
          <w:rFonts w:ascii="Verdana" w:hAnsi="Verdana" w:cs="Verdana"/>
          <w:sz w:val="16"/>
          <w:szCs w:val="16"/>
          <w:lang w:val="es-ES"/>
        </w:rPr>
        <w:t>, los nombres de las presuntas víctimas serán mantenidos en reserva y denominados como María y Juan con un número respectivo. El Estado tiene conocimiento de los nombres reales que corresponden a cada uno de los seudónimos utilizados</w:t>
      </w:r>
      <w:r w:rsidRPr="002448D5">
        <w:rPr>
          <w:rFonts w:ascii="Verdana" w:hAnsi="Verdana" w:cs="Verdana"/>
          <w:sz w:val="16"/>
          <w:szCs w:val="16"/>
          <w:lang w:val="es-ES"/>
        </w:rPr>
        <w:t>”.</w:t>
      </w:r>
      <w:r w:rsidR="007C7B9B" w:rsidRPr="002448D5">
        <w:rPr>
          <w:rFonts w:ascii="Verdana" w:hAnsi="Verdana" w:cs="Verdana"/>
          <w:sz w:val="16"/>
          <w:szCs w:val="16"/>
          <w:lang w:val="es-ES"/>
        </w:rPr>
        <w:t xml:space="preserve"> Posteriormente, los representantes reiteraron su solicitud ante la Corte para que se mantenga la reserva de identidad.</w:t>
      </w:r>
      <w:r w:rsidRPr="002448D5">
        <w:rPr>
          <w:rFonts w:ascii="Verdana" w:hAnsi="Verdana" w:cs="Verdana"/>
          <w:sz w:val="16"/>
          <w:szCs w:val="16"/>
          <w:lang w:val="es-ES"/>
        </w:rPr>
        <w:t xml:space="preserve"> En este sentido,</w:t>
      </w:r>
      <w:r w:rsidR="007C7B9B" w:rsidRPr="002448D5">
        <w:rPr>
          <w:rFonts w:ascii="Verdana" w:hAnsi="Verdana" w:cs="Verdana"/>
          <w:sz w:val="16"/>
          <w:szCs w:val="16"/>
          <w:lang w:val="es-ES"/>
        </w:rPr>
        <w:t xml:space="preserve"> en la presente </w:t>
      </w:r>
      <w:r w:rsidR="5350D34D" w:rsidRPr="002448D5">
        <w:rPr>
          <w:rFonts w:ascii="Verdana" w:hAnsi="Verdana" w:cs="Verdana"/>
          <w:sz w:val="16"/>
          <w:szCs w:val="16"/>
          <w:lang w:val="es-ES"/>
        </w:rPr>
        <w:t>Resolución</w:t>
      </w:r>
      <w:r w:rsidRPr="002448D5">
        <w:rPr>
          <w:rFonts w:ascii="Verdana" w:hAnsi="Verdana" w:cs="Verdana"/>
          <w:sz w:val="16"/>
          <w:szCs w:val="16"/>
          <w:lang w:val="es-ES"/>
        </w:rPr>
        <w:t xml:space="preserve"> se </w:t>
      </w:r>
      <w:r w:rsidR="007C7B9B" w:rsidRPr="002448D5">
        <w:rPr>
          <w:rFonts w:ascii="Verdana" w:hAnsi="Verdana" w:cs="Verdana"/>
          <w:sz w:val="16"/>
          <w:szCs w:val="16"/>
          <w:lang w:val="es-ES"/>
        </w:rPr>
        <w:t>identificará a las presuntas víctimas con los seudónimos de Juan y María y el número que se les ha asignado desde el trámite ante la Comisión Interamericana</w:t>
      </w:r>
      <w:r w:rsidRPr="002448D5">
        <w:rPr>
          <w:rFonts w:ascii="Verdana" w:hAnsi="Verdana" w:cs="Verdana"/>
          <w:sz w:val="16"/>
          <w:szCs w:val="16"/>
          <w:lang w:val="es-ES"/>
        </w:rPr>
        <w:t>.</w:t>
      </w:r>
    </w:p>
  </w:footnote>
  <w:footnote w:id="3">
    <w:p w14:paraId="27F01F2C" w14:textId="5C5FF0C2" w:rsidR="00BB6DAC" w:rsidRPr="002448D5" w:rsidRDefault="00BB6DAC" w:rsidP="0043522A">
      <w:pPr>
        <w:pStyle w:val="Textonotapie"/>
        <w:spacing w:before="120" w:after="120"/>
        <w:jc w:val="both"/>
        <w:rPr>
          <w:rStyle w:val="FootnotesChar"/>
        </w:rPr>
      </w:pPr>
      <w:r w:rsidRPr="002448D5">
        <w:rPr>
          <w:rStyle w:val="FootnotesChar"/>
          <w:vertAlign w:val="superscript"/>
        </w:rPr>
        <w:footnoteRef/>
      </w:r>
      <w:r w:rsidRPr="002448D5">
        <w:rPr>
          <w:sz w:val="16"/>
          <w:szCs w:val="16"/>
        </w:rPr>
        <w:t xml:space="preserve"> </w:t>
      </w:r>
      <w:r w:rsidRPr="002448D5">
        <w:rPr>
          <w:sz w:val="16"/>
          <w:szCs w:val="16"/>
        </w:rPr>
        <w:tab/>
      </w:r>
      <w:r w:rsidR="00917FD1" w:rsidRPr="002448D5">
        <w:rPr>
          <w:rStyle w:val="FootnotesChar"/>
        </w:rPr>
        <w:t>La representación de la</w:t>
      </w:r>
      <w:r w:rsidR="00E54AC3" w:rsidRPr="002448D5">
        <w:rPr>
          <w:rStyle w:val="FootnotesChar"/>
        </w:rPr>
        <w:t>s</w:t>
      </w:r>
      <w:r w:rsidR="00917FD1" w:rsidRPr="002448D5">
        <w:rPr>
          <w:rStyle w:val="FootnotesChar"/>
        </w:rPr>
        <w:t xml:space="preserve"> presunta</w:t>
      </w:r>
      <w:r w:rsidR="00E54AC3" w:rsidRPr="002448D5">
        <w:rPr>
          <w:rStyle w:val="FootnotesChar"/>
        </w:rPr>
        <w:t>s</w:t>
      </w:r>
      <w:r w:rsidR="00917FD1" w:rsidRPr="002448D5">
        <w:rPr>
          <w:rStyle w:val="FootnotesChar"/>
        </w:rPr>
        <w:t xml:space="preserve"> víctima</w:t>
      </w:r>
      <w:r w:rsidR="00E54AC3" w:rsidRPr="002448D5">
        <w:rPr>
          <w:rStyle w:val="FootnotesChar"/>
        </w:rPr>
        <w:t xml:space="preserve">s </w:t>
      </w:r>
      <w:r w:rsidR="00917FD1" w:rsidRPr="002448D5">
        <w:rPr>
          <w:rStyle w:val="FootnotesChar"/>
        </w:rPr>
        <w:t xml:space="preserve">es ejercida por </w:t>
      </w:r>
      <w:r w:rsidR="00E54AC3" w:rsidRPr="002448D5">
        <w:rPr>
          <w:rStyle w:val="FootnotesChar"/>
        </w:rPr>
        <w:t>la Asociación Pro Derechos Humanos (APRODEH) y la Asociación Interamericana para la Defensa del Ambiente (AIDA)</w:t>
      </w:r>
      <w:r w:rsidR="00917FD1" w:rsidRPr="002448D5">
        <w:rPr>
          <w:rStyle w:val="FootnotesChar"/>
        </w:rPr>
        <w:t>.</w:t>
      </w:r>
    </w:p>
  </w:footnote>
  <w:footnote w:id="4">
    <w:p w14:paraId="7AE7CFAD" w14:textId="79A06507" w:rsidR="004F5C9C" w:rsidRPr="002448D5" w:rsidRDefault="004F5C9C" w:rsidP="0043522A">
      <w:pPr>
        <w:pStyle w:val="Textonotapie"/>
        <w:spacing w:before="120" w:after="120"/>
        <w:jc w:val="both"/>
        <w:rPr>
          <w:sz w:val="16"/>
          <w:szCs w:val="16"/>
        </w:rPr>
      </w:pPr>
      <w:r w:rsidRPr="002448D5">
        <w:rPr>
          <w:rStyle w:val="Refdenotaalpie"/>
        </w:rPr>
        <w:footnoteRef/>
      </w:r>
      <w:r w:rsidRPr="002448D5">
        <w:rPr>
          <w:sz w:val="16"/>
          <w:szCs w:val="16"/>
        </w:rPr>
        <w:t xml:space="preserve">  </w:t>
      </w:r>
      <w:r w:rsidRPr="002448D5">
        <w:rPr>
          <w:sz w:val="16"/>
          <w:szCs w:val="16"/>
        </w:rPr>
        <w:tab/>
      </w:r>
      <w:r w:rsidR="007645C7" w:rsidRPr="002448D5">
        <w:rPr>
          <w:sz w:val="16"/>
          <w:szCs w:val="16"/>
        </w:rPr>
        <w:t>La Comisión ofreció las declaraciones periciales de Christian Courtis y Juan Pablo Olmedo Bustos</w:t>
      </w:r>
      <w:r w:rsidRPr="002448D5">
        <w:rPr>
          <w:sz w:val="16"/>
          <w:szCs w:val="16"/>
        </w:rPr>
        <w:t xml:space="preserve">. </w:t>
      </w:r>
    </w:p>
  </w:footnote>
  <w:footnote w:id="5">
    <w:p w14:paraId="7B423FCF" w14:textId="6C8C9F59" w:rsidR="00C8722B" w:rsidRPr="002448D5" w:rsidRDefault="00C8722B" w:rsidP="0043522A">
      <w:pPr>
        <w:pStyle w:val="Textonotapie"/>
        <w:spacing w:before="120" w:after="120"/>
        <w:jc w:val="both"/>
        <w:rPr>
          <w:sz w:val="16"/>
          <w:szCs w:val="16"/>
        </w:rPr>
      </w:pPr>
      <w:r w:rsidRPr="002448D5">
        <w:rPr>
          <w:rStyle w:val="Refdenotaalpie"/>
        </w:rPr>
        <w:footnoteRef/>
      </w:r>
      <w:r w:rsidRPr="002448D5">
        <w:rPr>
          <w:sz w:val="16"/>
          <w:szCs w:val="16"/>
        </w:rPr>
        <w:t xml:space="preserve"> </w:t>
      </w:r>
      <w:r w:rsidR="00FF1C4B" w:rsidRPr="002448D5">
        <w:rPr>
          <w:sz w:val="16"/>
          <w:szCs w:val="16"/>
        </w:rPr>
        <w:t xml:space="preserve"> </w:t>
      </w:r>
      <w:r w:rsidR="00FF1C4B" w:rsidRPr="002448D5">
        <w:rPr>
          <w:sz w:val="16"/>
          <w:szCs w:val="16"/>
        </w:rPr>
        <w:tab/>
        <w:t xml:space="preserve">Los representantes ofrecieron la declaración de </w:t>
      </w:r>
      <w:bookmarkStart w:id="2" w:name="_Hlk108102367"/>
      <w:r w:rsidR="00AA1C0D" w:rsidRPr="002448D5">
        <w:rPr>
          <w:sz w:val="16"/>
          <w:szCs w:val="16"/>
        </w:rPr>
        <w:t xml:space="preserve">Juan 31, </w:t>
      </w:r>
      <w:r w:rsidR="004E4B7B" w:rsidRPr="002448D5">
        <w:rPr>
          <w:sz w:val="16"/>
          <w:szCs w:val="16"/>
        </w:rPr>
        <w:t xml:space="preserve">María 17, María 35, </w:t>
      </w:r>
      <w:r w:rsidR="007645C7" w:rsidRPr="002448D5">
        <w:rPr>
          <w:sz w:val="16"/>
          <w:szCs w:val="16"/>
        </w:rPr>
        <w:t>María 9, María 13, María 15, Juan 10, Juan 8, Juan 18, Juan 15, Juan 13, María 1, María 32, María 24, Juan 6, Juan 2, Juan 1, María 3, María 37, Juan 25, María 16, María 33, Juan 30, María 25, María 10</w:t>
      </w:r>
      <w:r w:rsidR="00CE5D4A">
        <w:rPr>
          <w:sz w:val="16"/>
          <w:szCs w:val="16"/>
        </w:rPr>
        <w:t>, y Juan 12</w:t>
      </w:r>
      <w:r w:rsidR="00FF1C4B" w:rsidRPr="002448D5">
        <w:rPr>
          <w:sz w:val="16"/>
          <w:szCs w:val="16"/>
        </w:rPr>
        <w:t>.</w:t>
      </w:r>
      <w:bookmarkEnd w:id="2"/>
      <w:r w:rsidR="00461FE8">
        <w:rPr>
          <w:sz w:val="16"/>
          <w:szCs w:val="16"/>
        </w:rPr>
        <w:t xml:space="preserve"> </w:t>
      </w:r>
    </w:p>
  </w:footnote>
  <w:footnote w:id="6">
    <w:p w14:paraId="7C27A852" w14:textId="77777777" w:rsidR="007C538F" w:rsidRPr="002448D5" w:rsidRDefault="007C538F" w:rsidP="0043522A">
      <w:pPr>
        <w:pStyle w:val="Textonotapie"/>
        <w:spacing w:before="120" w:after="120"/>
        <w:jc w:val="both"/>
        <w:rPr>
          <w:sz w:val="16"/>
          <w:szCs w:val="16"/>
        </w:rPr>
      </w:pPr>
      <w:r w:rsidRPr="002448D5">
        <w:rPr>
          <w:rStyle w:val="Refdenotaalpie"/>
        </w:rPr>
        <w:footnoteRef/>
      </w:r>
      <w:r w:rsidRPr="002448D5">
        <w:rPr>
          <w:sz w:val="16"/>
          <w:szCs w:val="16"/>
        </w:rPr>
        <w:t xml:space="preserve"> </w:t>
      </w:r>
      <w:r w:rsidRPr="002448D5">
        <w:rPr>
          <w:sz w:val="16"/>
          <w:szCs w:val="16"/>
        </w:rPr>
        <w:tab/>
        <w:t xml:space="preserve">Los representantes ofrecieron las declaraciones testimoniales de Pedro Barreto, Hugo Villa, Mercedes Lu, y Hunter Farrell. </w:t>
      </w:r>
    </w:p>
  </w:footnote>
  <w:footnote w:id="7">
    <w:p w14:paraId="290F369F" w14:textId="7B9FCF16" w:rsidR="00616F88" w:rsidRPr="002448D5" w:rsidRDefault="00616F88" w:rsidP="0043522A">
      <w:pPr>
        <w:pStyle w:val="Textonotapie"/>
        <w:spacing w:before="120" w:after="120"/>
        <w:jc w:val="both"/>
        <w:rPr>
          <w:rFonts w:eastAsia="Calibri"/>
        </w:rPr>
      </w:pPr>
      <w:r w:rsidRPr="002448D5">
        <w:rPr>
          <w:rStyle w:val="Refdenotaalpie"/>
        </w:rPr>
        <w:footnoteRef/>
      </w:r>
      <w:r w:rsidRPr="002448D5">
        <w:rPr>
          <w:sz w:val="16"/>
          <w:szCs w:val="16"/>
        </w:rPr>
        <w:t xml:space="preserve"> </w:t>
      </w:r>
      <w:r w:rsidRPr="002448D5">
        <w:rPr>
          <w:sz w:val="16"/>
          <w:szCs w:val="16"/>
        </w:rPr>
        <w:tab/>
      </w:r>
      <w:r w:rsidR="00FF1C4B" w:rsidRPr="002448D5">
        <w:rPr>
          <w:sz w:val="16"/>
          <w:szCs w:val="16"/>
        </w:rPr>
        <w:t xml:space="preserve">Los representantes ofrecieron </w:t>
      </w:r>
      <w:r w:rsidRPr="002448D5">
        <w:rPr>
          <w:sz w:val="16"/>
          <w:szCs w:val="16"/>
        </w:rPr>
        <w:t xml:space="preserve">las declaraciones </w:t>
      </w:r>
      <w:r w:rsidR="007C538F" w:rsidRPr="002448D5">
        <w:rPr>
          <w:sz w:val="16"/>
          <w:szCs w:val="16"/>
        </w:rPr>
        <w:t>periciales</w:t>
      </w:r>
      <w:r w:rsidRPr="002448D5">
        <w:rPr>
          <w:sz w:val="16"/>
          <w:szCs w:val="16"/>
        </w:rPr>
        <w:t xml:space="preserve"> de </w:t>
      </w:r>
      <w:r w:rsidR="007C538F" w:rsidRPr="002448D5">
        <w:rPr>
          <w:sz w:val="16"/>
          <w:szCs w:val="16"/>
        </w:rPr>
        <w:t>Marisol Yañez de la Cruz, Marcos Orellana, Oscar Cabrera, Fernando Serrano, Howard Mielke, Martha María T</w:t>
      </w:r>
      <w:r w:rsidR="00CE5D4A">
        <w:rPr>
          <w:sz w:val="16"/>
          <w:szCs w:val="16"/>
        </w:rPr>
        <w:t>é</w:t>
      </w:r>
      <w:r w:rsidR="007C538F" w:rsidRPr="002448D5">
        <w:rPr>
          <w:sz w:val="16"/>
          <w:szCs w:val="16"/>
        </w:rPr>
        <w:t>llez Rojo, Carolina Weill, y Diego Miguel Quirama Aguilar</w:t>
      </w:r>
      <w:r w:rsidR="00FF1C4B" w:rsidRPr="002448D5">
        <w:rPr>
          <w:sz w:val="16"/>
          <w:szCs w:val="16"/>
        </w:rPr>
        <w:t>.</w:t>
      </w:r>
      <w:r w:rsidR="00736343" w:rsidRPr="002448D5">
        <w:rPr>
          <w:sz w:val="16"/>
          <w:szCs w:val="16"/>
        </w:rPr>
        <w:t xml:space="preserve"> </w:t>
      </w:r>
    </w:p>
  </w:footnote>
  <w:footnote w:id="8">
    <w:p w14:paraId="22730E84" w14:textId="41B25AA8" w:rsidR="004C591C" w:rsidRPr="002448D5" w:rsidRDefault="004C591C" w:rsidP="0043522A">
      <w:pPr>
        <w:pStyle w:val="Textonotapie"/>
        <w:spacing w:before="120" w:after="120"/>
        <w:jc w:val="both"/>
        <w:rPr>
          <w:sz w:val="16"/>
          <w:szCs w:val="16"/>
        </w:rPr>
      </w:pPr>
      <w:r w:rsidRPr="002448D5">
        <w:rPr>
          <w:rStyle w:val="Refdenotaalpie"/>
        </w:rPr>
        <w:footnoteRef/>
      </w:r>
      <w:r w:rsidRPr="002448D5">
        <w:rPr>
          <w:sz w:val="16"/>
          <w:szCs w:val="16"/>
        </w:rPr>
        <w:t xml:space="preserve">  </w:t>
      </w:r>
      <w:r w:rsidRPr="002448D5">
        <w:rPr>
          <w:sz w:val="16"/>
          <w:szCs w:val="16"/>
        </w:rPr>
        <w:tab/>
        <w:t xml:space="preserve">El Estado ofreció las declaraciones testimoniales de </w:t>
      </w:r>
      <w:r w:rsidRPr="002448D5">
        <w:rPr>
          <w:rFonts w:cs="Times New Roman"/>
          <w:sz w:val="16"/>
          <w:szCs w:val="16"/>
        </w:rPr>
        <w:t xml:space="preserve">Jonh Maximiliano Astete Cornejo, Jazmín Monrroy Polanco y Katherine Andrea Melgar Támara. </w:t>
      </w:r>
    </w:p>
  </w:footnote>
  <w:footnote w:id="9">
    <w:p w14:paraId="401614B2" w14:textId="2474B2FD" w:rsidR="00B50BDB" w:rsidRPr="002448D5" w:rsidRDefault="00B50BDB" w:rsidP="0043522A">
      <w:pPr>
        <w:pStyle w:val="Textonotapie"/>
        <w:spacing w:before="120" w:after="120"/>
        <w:jc w:val="both"/>
        <w:rPr>
          <w:sz w:val="16"/>
          <w:szCs w:val="16"/>
        </w:rPr>
      </w:pPr>
      <w:r w:rsidRPr="002448D5">
        <w:rPr>
          <w:rStyle w:val="Refdenotaalpie"/>
        </w:rPr>
        <w:footnoteRef/>
      </w:r>
      <w:r w:rsidRPr="002448D5">
        <w:rPr>
          <w:sz w:val="16"/>
          <w:szCs w:val="16"/>
        </w:rPr>
        <w:t xml:space="preserve">  </w:t>
      </w:r>
      <w:r w:rsidRPr="002448D5">
        <w:rPr>
          <w:sz w:val="16"/>
          <w:szCs w:val="16"/>
        </w:rPr>
        <w:tab/>
      </w:r>
      <w:r w:rsidR="00736343" w:rsidRPr="002448D5">
        <w:rPr>
          <w:sz w:val="16"/>
          <w:szCs w:val="16"/>
        </w:rPr>
        <w:t xml:space="preserve">El Estado </w:t>
      </w:r>
      <w:r w:rsidR="00EC4C0B" w:rsidRPr="002448D5">
        <w:rPr>
          <w:sz w:val="16"/>
          <w:szCs w:val="16"/>
        </w:rPr>
        <w:t>ofreció</w:t>
      </w:r>
      <w:r w:rsidR="00736343" w:rsidRPr="002448D5">
        <w:rPr>
          <w:sz w:val="16"/>
          <w:szCs w:val="16"/>
        </w:rPr>
        <w:t xml:space="preserve"> la</w:t>
      </w:r>
      <w:r w:rsidR="004C591C" w:rsidRPr="002448D5">
        <w:rPr>
          <w:sz w:val="16"/>
          <w:szCs w:val="16"/>
        </w:rPr>
        <w:t>s</w:t>
      </w:r>
      <w:r w:rsidR="00736343" w:rsidRPr="002448D5">
        <w:rPr>
          <w:sz w:val="16"/>
          <w:szCs w:val="16"/>
        </w:rPr>
        <w:t xml:space="preserve"> declaraci</w:t>
      </w:r>
      <w:r w:rsidR="004C591C" w:rsidRPr="002448D5">
        <w:rPr>
          <w:sz w:val="16"/>
          <w:szCs w:val="16"/>
        </w:rPr>
        <w:t>ones</w:t>
      </w:r>
      <w:r w:rsidR="00736343" w:rsidRPr="002448D5">
        <w:rPr>
          <w:sz w:val="16"/>
          <w:szCs w:val="16"/>
        </w:rPr>
        <w:t xml:space="preserve"> pericial</w:t>
      </w:r>
      <w:r w:rsidR="004C591C" w:rsidRPr="002448D5">
        <w:rPr>
          <w:sz w:val="16"/>
          <w:szCs w:val="16"/>
        </w:rPr>
        <w:t>es</w:t>
      </w:r>
      <w:r w:rsidR="00736343" w:rsidRPr="002448D5">
        <w:rPr>
          <w:sz w:val="16"/>
          <w:szCs w:val="16"/>
        </w:rPr>
        <w:t xml:space="preserve"> de </w:t>
      </w:r>
      <w:r w:rsidR="004C591C" w:rsidRPr="002448D5">
        <w:rPr>
          <w:rFonts w:cs="Times New Roman"/>
          <w:sz w:val="16"/>
          <w:szCs w:val="16"/>
        </w:rPr>
        <w:t>Patricia Mercedes Gallegos Quesquén y Federico Chunga Fiestas</w:t>
      </w:r>
      <w:r w:rsidR="00736343" w:rsidRPr="002448D5">
        <w:rPr>
          <w:rFonts w:cs="Times New Roman"/>
          <w:sz w:val="16"/>
          <w:szCs w:val="16"/>
        </w:rPr>
        <w:t xml:space="preserve">. </w:t>
      </w:r>
    </w:p>
  </w:footnote>
  <w:footnote w:id="10">
    <w:p w14:paraId="1D0A55F0" w14:textId="3CD88530" w:rsidR="00461FE8" w:rsidRPr="00461FE8" w:rsidRDefault="00461FE8" w:rsidP="0043522A">
      <w:pPr>
        <w:pStyle w:val="Textonotapie"/>
        <w:jc w:val="both"/>
        <w:rPr>
          <w:sz w:val="16"/>
          <w:szCs w:val="16"/>
        </w:rPr>
      </w:pPr>
      <w:r w:rsidRPr="00461FE8">
        <w:rPr>
          <w:rStyle w:val="Refdenotaalpie"/>
        </w:rPr>
        <w:footnoteRef/>
      </w:r>
      <w:r w:rsidRPr="00461FE8">
        <w:rPr>
          <w:sz w:val="16"/>
          <w:szCs w:val="16"/>
        </w:rPr>
        <w:t xml:space="preserve"> </w:t>
      </w:r>
      <w:r w:rsidRPr="00461FE8">
        <w:rPr>
          <w:sz w:val="16"/>
          <w:szCs w:val="16"/>
        </w:rPr>
        <w:tab/>
        <w:t xml:space="preserve">Los representantes, en su lista definitiva, </w:t>
      </w:r>
      <w:r w:rsidRPr="00461FE8">
        <w:rPr>
          <w:rFonts w:eastAsia="Verdana" w:cs="Verdana"/>
          <w:sz w:val="16"/>
          <w:szCs w:val="16"/>
        </w:rPr>
        <w:t xml:space="preserve">desistieron del peritaje de la señora Martha María </w:t>
      </w:r>
      <w:r w:rsidR="00B4685E" w:rsidRPr="00461FE8">
        <w:rPr>
          <w:rFonts w:eastAsia="Verdana" w:cs="Verdana"/>
          <w:sz w:val="16"/>
          <w:szCs w:val="16"/>
        </w:rPr>
        <w:t>Téllez</w:t>
      </w:r>
      <w:r w:rsidRPr="00461FE8">
        <w:rPr>
          <w:rFonts w:eastAsia="Verdana" w:cs="Verdana"/>
          <w:sz w:val="16"/>
          <w:szCs w:val="16"/>
        </w:rPr>
        <w:t xml:space="preserve"> Rojo</w:t>
      </w:r>
      <w:r>
        <w:rPr>
          <w:rFonts w:eastAsia="Verdana" w:cs="Verdana"/>
          <w:sz w:val="16"/>
          <w:szCs w:val="16"/>
        </w:rPr>
        <w:t>.</w:t>
      </w:r>
    </w:p>
  </w:footnote>
  <w:footnote w:id="11">
    <w:p w14:paraId="750AB3FE" w14:textId="3E695316" w:rsidR="000C38EA" w:rsidRPr="002448D5" w:rsidRDefault="000C38EA" w:rsidP="0043522A">
      <w:pPr>
        <w:pStyle w:val="Textonotapie"/>
        <w:spacing w:before="120" w:after="120"/>
        <w:jc w:val="both"/>
        <w:rPr>
          <w:sz w:val="16"/>
          <w:szCs w:val="16"/>
        </w:rPr>
      </w:pPr>
      <w:r w:rsidRPr="002448D5">
        <w:rPr>
          <w:rStyle w:val="Refdenotaalpie"/>
        </w:rPr>
        <w:footnoteRef/>
      </w:r>
      <w:r w:rsidRPr="002448D5">
        <w:rPr>
          <w:sz w:val="16"/>
          <w:szCs w:val="16"/>
        </w:rPr>
        <w:t xml:space="preserve"> </w:t>
      </w:r>
      <w:r w:rsidRPr="002448D5">
        <w:rPr>
          <w:sz w:val="16"/>
          <w:szCs w:val="16"/>
        </w:rPr>
        <w:tab/>
        <w:t xml:space="preserve">Los representantes </w:t>
      </w:r>
      <w:r w:rsidR="004C28FA" w:rsidRPr="002448D5">
        <w:rPr>
          <w:sz w:val="16"/>
          <w:szCs w:val="16"/>
        </w:rPr>
        <w:t xml:space="preserve">se desistieron de las declaraciones de Juan 31, María 17, </w:t>
      </w:r>
      <w:r w:rsidR="0084440F">
        <w:rPr>
          <w:sz w:val="16"/>
          <w:szCs w:val="16"/>
        </w:rPr>
        <w:t xml:space="preserve">y </w:t>
      </w:r>
      <w:r w:rsidR="004C28FA" w:rsidRPr="002448D5">
        <w:rPr>
          <w:sz w:val="16"/>
          <w:szCs w:val="16"/>
        </w:rPr>
        <w:t>María 35</w:t>
      </w:r>
      <w:r w:rsidR="0084440F">
        <w:rPr>
          <w:sz w:val="16"/>
          <w:szCs w:val="16"/>
        </w:rPr>
        <w:t xml:space="preserve">. Asimismo se hace notar que la declaración de María 1 </w:t>
      </w:r>
      <w:r w:rsidR="00BD0006">
        <w:rPr>
          <w:sz w:val="16"/>
          <w:szCs w:val="16"/>
        </w:rPr>
        <w:t>fue</w:t>
      </w:r>
      <w:r w:rsidR="0084440F">
        <w:rPr>
          <w:sz w:val="16"/>
          <w:szCs w:val="16"/>
        </w:rPr>
        <w:t xml:space="preserve"> ofrecida dos veces en el escrito de argumentos y pruebas.</w:t>
      </w:r>
    </w:p>
  </w:footnote>
  <w:footnote w:id="12">
    <w:p w14:paraId="344E4369" w14:textId="2A19A815" w:rsidR="00024C3E" w:rsidRPr="002448D5" w:rsidRDefault="00E87663" w:rsidP="0043522A">
      <w:pPr>
        <w:autoSpaceDE w:val="0"/>
        <w:autoSpaceDN w:val="0"/>
        <w:adjustRightInd w:val="0"/>
        <w:spacing w:before="120" w:after="120" w:line="240" w:lineRule="auto"/>
        <w:jc w:val="both"/>
        <w:rPr>
          <w:sz w:val="16"/>
          <w:szCs w:val="16"/>
        </w:rPr>
      </w:pPr>
      <w:r w:rsidRPr="002448D5">
        <w:rPr>
          <w:rStyle w:val="Refdenotaalpie"/>
        </w:rPr>
        <w:footnoteRef/>
      </w:r>
      <w:r w:rsidRPr="002448D5">
        <w:rPr>
          <w:sz w:val="16"/>
          <w:szCs w:val="16"/>
        </w:rPr>
        <w:t xml:space="preserve"> </w:t>
      </w:r>
      <w:r w:rsidRPr="002448D5">
        <w:rPr>
          <w:sz w:val="16"/>
          <w:szCs w:val="16"/>
        </w:rPr>
        <w:tab/>
      </w:r>
      <w:bookmarkStart w:id="3" w:name="_Hlk108101789"/>
      <w:r w:rsidR="00024C3E" w:rsidRPr="002448D5">
        <w:rPr>
          <w:sz w:val="16"/>
          <w:szCs w:val="16"/>
          <w:lang w:val="es-ES"/>
        </w:rPr>
        <w:t>María 9</w:t>
      </w:r>
      <w:r w:rsidR="00CD6C88" w:rsidRPr="002448D5">
        <w:rPr>
          <w:sz w:val="16"/>
          <w:szCs w:val="16"/>
          <w:lang w:val="es-ES"/>
        </w:rPr>
        <w:t xml:space="preserve"> fue ofrecid</w:t>
      </w:r>
      <w:r w:rsidR="00024C3E" w:rsidRPr="002448D5">
        <w:rPr>
          <w:sz w:val="16"/>
          <w:szCs w:val="16"/>
          <w:lang w:val="es-ES"/>
        </w:rPr>
        <w:t>a</w:t>
      </w:r>
      <w:r w:rsidR="00CD6C88" w:rsidRPr="002448D5">
        <w:rPr>
          <w:sz w:val="16"/>
          <w:szCs w:val="16"/>
          <w:lang w:val="es-ES"/>
        </w:rPr>
        <w:t xml:space="preserve"> para</w:t>
      </w:r>
      <w:r w:rsidR="000A42DF" w:rsidRPr="002448D5">
        <w:rPr>
          <w:sz w:val="16"/>
          <w:szCs w:val="16"/>
          <w:lang w:val="es-ES"/>
        </w:rPr>
        <w:t xml:space="preserve"> declarar</w:t>
      </w:r>
      <w:r w:rsidR="00CD6C88" w:rsidRPr="002448D5">
        <w:rPr>
          <w:sz w:val="16"/>
          <w:szCs w:val="16"/>
          <w:lang w:val="es-ES"/>
        </w:rPr>
        <w:t xml:space="preserve"> sobre</w:t>
      </w:r>
      <w:r w:rsidR="000A42DF" w:rsidRPr="002448D5">
        <w:rPr>
          <w:sz w:val="16"/>
          <w:szCs w:val="16"/>
          <w:lang w:val="es-ES"/>
        </w:rPr>
        <w:t xml:space="preserve"> “</w:t>
      </w:r>
      <w:bookmarkEnd w:id="3"/>
      <w:r w:rsidR="00024C3E" w:rsidRPr="002448D5">
        <w:rPr>
          <w:sz w:val="16"/>
          <w:szCs w:val="16"/>
        </w:rPr>
        <w:t>los hechos del caso, los daños y afectaciones que ella, su familia y la comunidad han venido sufriendo como consecuencia de la contaminación generada por el CMLO, así como de los hostigamientos, amenazas y estigmatizaciones en contra suya y de su familia. Además, informará a la Corte sobre las acciones que ha emprendido en busca de verdad, justicia y reparación por los hechos del presente caso, así como sus valoraciones con relación a las respuestas brindadas por el Estado. Finalmente, informará sobre los daños y propuestas de reparación integral”.</w:t>
      </w:r>
    </w:p>
  </w:footnote>
  <w:footnote w:id="13">
    <w:p w14:paraId="54569114" w14:textId="084B4922" w:rsidR="00024C3E" w:rsidRPr="002448D5" w:rsidRDefault="00024C3E" w:rsidP="0043522A">
      <w:pPr>
        <w:pStyle w:val="Default"/>
        <w:spacing w:before="120" w:after="120"/>
        <w:jc w:val="both"/>
        <w:rPr>
          <w:rFonts w:ascii="Verdana" w:hAnsi="Verdana"/>
          <w:sz w:val="16"/>
          <w:szCs w:val="16"/>
        </w:rPr>
      </w:pPr>
      <w:r w:rsidRPr="002448D5">
        <w:rPr>
          <w:rStyle w:val="Refdenotaalpie"/>
        </w:rPr>
        <w:footnoteRef/>
      </w:r>
      <w:r w:rsidRPr="002448D5">
        <w:rPr>
          <w:rFonts w:ascii="Verdana" w:hAnsi="Verdana"/>
          <w:sz w:val="16"/>
          <w:szCs w:val="16"/>
        </w:rPr>
        <w:t xml:space="preserve"> </w:t>
      </w:r>
      <w:r w:rsidRPr="002448D5">
        <w:rPr>
          <w:rFonts w:ascii="Verdana" w:hAnsi="Verdana"/>
          <w:sz w:val="16"/>
          <w:szCs w:val="16"/>
        </w:rPr>
        <w:tab/>
      </w:r>
      <w:r w:rsidRPr="002448D5">
        <w:rPr>
          <w:rFonts w:ascii="Verdana" w:hAnsi="Verdana"/>
          <w:sz w:val="16"/>
          <w:szCs w:val="16"/>
          <w:lang w:val="es-ES"/>
        </w:rPr>
        <w:t xml:space="preserve">María </w:t>
      </w:r>
      <w:r w:rsidR="00986946" w:rsidRPr="002448D5">
        <w:rPr>
          <w:rFonts w:ascii="Verdana" w:hAnsi="Verdana"/>
          <w:sz w:val="16"/>
          <w:szCs w:val="16"/>
          <w:lang w:val="es-ES"/>
        </w:rPr>
        <w:t>13</w:t>
      </w:r>
      <w:r w:rsidRPr="002448D5">
        <w:rPr>
          <w:rFonts w:ascii="Verdana" w:hAnsi="Verdana"/>
          <w:sz w:val="16"/>
          <w:szCs w:val="16"/>
          <w:lang w:val="es-ES"/>
        </w:rPr>
        <w:t xml:space="preserve"> fue ofrecida para declarar sobre </w:t>
      </w:r>
      <w:r w:rsidRPr="002448D5">
        <w:rPr>
          <w:rFonts w:ascii="Verdana" w:hAnsi="Verdana"/>
          <w:sz w:val="16"/>
          <w:szCs w:val="16"/>
        </w:rPr>
        <w:t>“los hechos del caso, y los impactos que ello ha representado en su vida, familia y en su comunidad. Además, informará a la Corte sobre las acciones que ha emprendido en busca de verdad, justicia y reparación por los hechos del presente caso incluidos los hostigamientos, amenazas y estigmatizaciones en contra suya, los cuales han sido diferenciadas al ser mujer. Así mismo, sus valoraciones con relación a las respuestas dadas por el Estado”.</w:t>
      </w:r>
    </w:p>
  </w:footnote>
  <w:footnote w:id="14">
    <w:p w14:paraId="20CF83FD" w14:textId="3FDF2586" w:rsidR="00986946" w:rsidRPr="002448D5" w:rsidRDefault="00986946" w:rsidP="0043522A">
      <w:pPr>
        <w:pStyle w:val="Default"/>
        <w:spacing w:before="120" w:after="120"/>
        <w:jc w:val="both"/>
        <w:rPr>
          <w:rFonts w:ascii="Verdana" w:hAnsi="Verdana"/>
          <w:sz w:val="16"/>
          <w:szCs w:val="16"/>
        </w:rPr>
      </w:pPr>
      <w:r w:rsidRPr="002448D5">
        <w:rPr>
          <w:rStyle w:val="Refdenotaalpie"/>
        </w:rPr>
        <w:footnoteRef/>
      </w:r>
      <w:r w:rsidRPr="002448D5">
        <w:rPr>
          <w:rFonts w:ascii="Verdana" w:hAnsi="Verdana"/>
          <w:sz w:val="16"/>
          <w:szCs w:val="16"/>
        </w:rPr>
        <w:t xml:space="preserve"> </w:t>
      </w:r>
      <w:r w:rsidRPr="002448D5">
        <w:rPr>
          <w:rFonts w:ascii="Verdana" w:hAnsi="Verdana"/>
          <w:sz w:val="16"/>
          <w:szCs w:val="16"/>
        </w:rPr>
        <w:tab/>
      </w:r>
      <w:r w:rsidRPr="002448D5">
        <w:rPr>
          <w:rFonts w:ascii="Verdana" w:hAnsi="Verdana"/>
          <w:sz w:val="16"/>
          <w:szCs w:val="16"/>
          <w:lang w:val="es-ES"/>
        </w:rPr>
        <w:t xml:space="preserve">María 15 fue ofrecida para declarar sobre </w:t>
      </w:r>
      <w:r w:rsidRPr="002448D5">
        <w:rPr>
          <w:rFonts w:ascii="Verdana" w:hAnsi="Verdana"/>
          <w:sz w:val="16"/>
          <w:szCs w:val="16"/>
        </w:rPr>
        <w:t>“los hechos del caso, los daños y consecuencias que ello ha generado para ella, su comunidad y su familia quienes además tuvieron que migrar de La Oroya a otra zona debido a las afectaciones por la contaminación. La declarante informará sobre su valoración respecto al comportamiento del Estado peruano”.</w:t>
      </w:r>
    </w:p>
  </w:footnote>
  <w:footnote w:id="15">
    <w:p w14:paraId="79AF87E6" w14:textId="26166432" w:rsidR="00F861EE" w:rsidRPr="00461FE8" w:rsidRDefault="00F861EE" w:rsidP="0043522A">
      <w:pPr>
        <w:pStyle w:val="Default"/>
        <w:spacing w:before="120" w:after="120"/>
        <w:jc w:val="both"/>
        <w:rPr>
          <w:rFonts w:ascii="Verdana" w:hAnsi="Verdana"/>
          <w:color w:val="auto"/>
          <w:sz w:val="16"/>
          <w:szCs w:val="16"/>
        </w:rPr>
      </w:pPr>
      <w:r w:rsidRPr="002448D5">
        <w:rPr>
          <w:rStyle w:val="Refdenotaalpie"/>
          <w:color w:val="auto"/>
        </w:rPr>
        <w:footnoteRef/>
      </w:r>
      <w:r w:rsidRPr="002448D5">
        <w:rPr>
          <w:rFonts w:ascii="Verdana" w:hAnsi="Verdana"/>
          <w:color w:val="auto"/>
          <w:sz w:val="16"/>
          <w:szCs w:val="16"/>
        </w:rPr>
        <w:t xml:space="preserve"> </w:t>
      </w:r>
      <w:r w:rsidRPr="002448D5">
        <w:rPr>
          <w:rFonts w:ascii="Verdana" w:hAnsi="Verdana"/>
          <w:color w:val="auto"/>
          <w:sz w:val="16"/>
          <w:szCs w:val="16"/>
        </w:rPr>
        <w:tab/>
      </w:r>
      <w:r w:rsidRPr="002448D5">
        <w:rPr>
          <w:rFonts w:ascii="Verdana" w:hAnsi="Verdana"/>
          <w:color w:val="auto"/>
          <w:sz w:val="16"/>
          <w:szCs w:val="16"/>
          <w:lang w:val="es-CO"/>
        </w:rPr>
        <w:t xml:space="preserve">Juan 10, Juan 8, Juan 18, Juan 15, Juan 13, María 1, María 32, María 24, Juan 6, Juan 2, Juan 1, María 3, María 37, Juan 25, María 16, María 33, Juan 30, María 25, María 10 y Juan 12 </w:t>
      </w:r>
      <w:r w:rsidRPr="002448D5">
        <w:rPr>
          <w:rFonts w:ascii="Verdana" w:hAnsi="Verdana"/>
          <w:color w:val="auto"/>
          <w:sz w:val="16"/>
          <w:szCs w:val="16"/>
          <w:lang w:val="es-ES"/>
        </w:rPr>
        <w:t xml:space="preserve">fueron ofrecidos para declarar sobre </w:t>
      </w:r>
      <w:r w:rsidRPr="002448D5">
        <w:rPr>
          <w:rFonts w:ascii="Verdana" w:hAnsi="Verdana"/>
          <w:color w:val="auto"/>
          <w:sz w:val="16"/>
          <w:szCs w:val="16"/>
        </w:rPr>
        <w:t>“la contaminación en la ciudad de La Oroya, la información que tiene sobre la operación del Complejo Metalúrgico y los impactos que ello ha representado en su vida, familia y comunidad. Además, informará</w:t>
      </w:r>
      <w:r w:rsidR="00884B3E">
        <w:rPr>
          <w:rFonts w:ascii="Verdana" w:hAnsi="Verdana"/>
          <w:color w:val="auto"/>
          <w:sz w:val="16"/>
          <w:szCs w:val="16"/>
        </w:rPr>
        <w:t xml:space="preserve"> [n]</w:t>
      </w:r>
      <w:r w:rsidRPr="002448D5">
        <w:rPr>
          <w:rFonts w:ascii="Verdana" w:hAnsi="Verdana"/>
          <w:color w:val="auto"/>
          <w:sz w:val="16"/>
          <w:szCs w:val="16"/>
        </w:rPr>
        <w:t xml:space="preserve"> a la Corte sobre las acciones que ha emprendido en busca de verdad, justicia y reparación por los hechos del presente caso y sus valoraciones en relación con las respuestas dadas por el Estado. Finalmente, informará</w:t>
      </w:r>
      <w:r w:rsidR="00884B3E">
        <w:rPr>
          <w:rFonts w:ascii="Verdana" w:hAnsi="Verdana"/>
          <w:color w:val="auto"/>
          <w:sz w:val="16"/>
          <w:szCs w:val="16"/>
        </w:rPr>
        <w:t>[n]</w:t>
      </w:r>
      <w:r w:rsidRPr="002448D5">
        <w:rPr>
          <w:rFonts w:ascii="Verdana" w:hAnsi="Verdana"/>
          <w:color w:val="auto"/>
          <w:sz w:val="16"/>
          <w:szCs w:val="16"/>
        </w:rPr>
        <w:t xml:space="preserve"> sobre los daños y propuestas de reparación integral”.</w:t>
      </w:r>
    </w:p>
  </w:footnote>
  <w:footnote w:id="16">
    <w:p w14:paraId="21EF00BF" w14:textId="74DBCA6F" w:rsidR="004C7189" w:rsidRPr="002448D5" w:rsidRDefault="004C7189" w:rsidP="0043522A">
      <w:pPr>
        <w:pStyle w:val="Textonotapie"/>
        <w:spacing w:before="120" w:after="120"/>
        <w:jc w:val="both"/>
        <w:rPr>
          <w:rFonts w:eastAsia="Times New Roman"/>
          <w:sz w:val="16"/>
          <w:szCs w:val="16"/>
          <w:lang w:val="es-BO"/>
        </w:rPr>
      </w:pPr>
      <w:r w:rsidRPr="002448D5">
        <w:rPr>
          <w:rStyle w:val="Refdenotaalpie"/>
        </w:rPr>
        <w:footnoteRef/>
      </w:r>
      <w:r w:rsidRPr="002448D5">
        <w:rPr>
          <w:sz w:val="16"/>
          <w:szCs w:val="16"/>
          <w:lang w:val="es-BO"/>
        </w:rPr>
        <w:t xml:space="preserve"> </w:t>
      </w:r>
      <w:r w:rsidRPr="002448D5">
        <w:rPr>
          <w:sz w:val="16"/>
          <w:szCs w:val="16"/>
          <w:lang w:val="es-BO"/>
        </w:rPr>
        <w:tab/>
      </w:r>
      <w:r w:rsidRPr="002448D5">
        <w:rPr>
          <w:i/>
          <w:iCs/>
          <w:sz w:val="16"/>
          <w:szCs w:val="16"/>
          <w:lang w:val="es-BO"/>
        </w:rPr>
        <w:t>Cfr.</w:t>
      </w:r>
      <w:r w:rsidRPr="002448D5">
        <w:rPr>
          <w:sz w:val="16"/>
          <w:szCs w:val="16"/>
          <w:lang w:val="es-BO"/>
        </w:rPr>
        <w:t xml:space="preserve"> </w:t>
      </w:r>
      <w:r w:rsidRPr="002448D5">
        <w:rPr>
          <w:i/>
          <w:iCs/>
          <w:sz w:val="16"/>
          <w:szCs w:val="16"/>
          <w:lang w:val="es-BO"/>
        </w:rPr>
        <w:t>Caso Néstor José y Luis Uzcátegui Vs. Venezuela.</w:t>
      </w:r>
      <w:r w:rsidRPr="002448D5">
        <w:rPr>
          <w:sz w:val="16"/>
          <w:szCs w:val="16"/>
          <w:lang w:val="es-BO"/>
        </w:rPr>
        <w:t xml:space="preserve"> Resolución del Presidente de la Corte Interamericana de Derechos Humanos de 3 de noviembre de 2011, Considerando 6</w:t>
      </w:r>
      <w:r w:rsidR="004A7A0C" w:rsidRPr="002448D5">
        <w:rPr>
          <w:sz w:val="16"/>
          <w:szCs w:val="16"/>
          <w:lang w:val="es-BO"/>
        </w:rPr>
        <w:t xml:space="preserve">, y </w:t>
      </w:r>
      <w:r w:rsidR="00B050B9" w:rsidRPr="002448D5">
        <w:rPr>
          <w:i/>
          <w:iCs/>
          <w:sz w:val="16"/>
          <w:szCs w:val="16"/>
          <w:lang w:val="es-BO"/>
        </w:rPr>
        <w:t>Caso Valencia Campos y otros Vs. Bolivia</w:t>
      </w:r>
      <w:r w:rsidR="00B050B9" w:rsidRPr="002448D5">
        <w:rPr>
          <w:sz w:val="16"/>
          <w:szCs w:val="16"/>
          <w:lang w:val="es-BO"/>
        </w:rPr>
        <w:t>. Convocatoria a audiencia. Resolución del Presidente de la Corte Interamericana de Derechos Humanos de 25 de mayo de 2022, Considerando 27.</w:t>
      </w:r>
    </w:p>
  </w:footnote>
  <w:footnote w:id="17">
    <w:p w14:paraId="60E7A4A3" w14:textId="122C840A" w:rsidR="00D355FB" w:rsidRPr="002448D5" w:rsidRDefault="00D355FB" w:rsidP="0043522A">
      <w:pPr>
        <w:pStyle w:val="NormalWeb"/>
        <w:spacing w:before="120" w:beforeAutospacing="0" w:after="120" w:afterAutospacing="0"/>
        <w:jc w:val="both"/>
        <w:rPr>
          <w:rFonts w:ascii="Verdana" w:eastAsia="Times New Roman" w:hAnsi="Verdana"/>
          <w:sz w:val="16"/>
          <w:szCs w:val="16"/>
          <w:lang w:val="es-CR" w:eastAsia="es-MX"/>
        </w:rPr>
      </w:pPr>
      <w:r w:rsidRPr="002448D5">
        <w:rPr>
          <w:rStyle w:val="Refdenotaalpie"/>
        </w:rPr>
        <w:footnoteRef/>
      </w:r>
      <w:r w:rsidRPr="002448D5">
        <w:rPr>
          <w:rFonts w:ascii="Verdana" w:hAnsi="Verdana"/>
          <w:sz w:val="16"/>
          <w:szCs w:val="16"/>
        </w:rPr>
        <w:t xml:space="preserve"> </w:t>
      </w:r>
      <w:r w:rsidRPr="002448D5">
        <w:rPr>
          <w:rFonts w:ascii="Verdana" w:hAnsi="Verdana"/>
          <w:sz w:val="16"/>
          <w:szCs w:val="16"/>
        </w:rPr>
        <w:tab/>
      </w:r>
      <w:r w:rsidRPr="002448D5">
        <w:rPr>
          <w:rFonts w:ascii="Verdana" w:hAnsi="Verdana"/>
          <w:sz w:val="16"/>
          <w:szCs w:val="16"/>
          <w:lang w:val="es-ES"/>
        </w:rPr>
        <w:t>Pedro Barreto fue ofrecido para declarar sobre “</w:t>
      </w:r>
      <w:r w:rsidR="002D686A" w:rsidRPr="002448D5">
        <w:rPr>
          <w:rFonts w:ascii="Verdana" w:eastAsia="Times New Roman" w:hAnsi="Verdana"/>
          <w:sz w:val="16"/>
          <w:szCs w:val="16"/>
          <w:lang w:val="es-CR" w:eastAsia="es-MX"/>
        </w:rPr>
        <w:t>información que le consta sobre la operación del complejo metalúrgico, los impactos que ha producido en la población y las medidas que ha tomado el Estado para responder a esta problemática</w:t>
      </w:r>
      <w:r w:rsidRPr="002448D5">
        <w:rPr>
          <w:rFonts w:ascii="Verdana" w:hAnsi="Verdana"/>
          <w:sz w:val="16"/>
          <w:szCs w:val="16"/>
        </w:rPr>
        <w:t>”.</w:t>
      </w:r>
    </w:p>
  </w:footnote>
  <w:footnote w:id="18">
    <w:p w14:paraId="4870642D" w14:textId="64F66500" w:rsidR="00837602" w:rsidRPr="002448D5" w:rsidRDefault="00837602" w:rsidP="0043522A">
      <w:pPr>
        <w:pStyle w:val="NormalWeb"/>
        <w:shd w:val="clear" w:color="auto" w:fill="FFFFFF"/>
        <w:spacing w:before="120" w:beforeAutospacing="0" w:after="120" w:afterAutospacing="0"/>
        <w:jc w:val="both"/>
        <w:rPr>
          <w:rFonts w:ascii="Verdana" w:eastAsia="Times New Roman" w:hAnsi="Verdana"/>
          <w:sz w:val="16"/>
          <w:szCs w:val="16"/>
          <w:lang w:val="es-CR" w:eastAsia="es-MX"/>
        </w:rPr>
      </w:pPr>
      <w:r w:rsidRPr="002448D5">
        <w:rPr>
          <w:rStyle w:val="Refdenotaalpie"/>
        </w:rPr>
        <w:footnoteRef/>
      </w:r>
      <w:r w:rsidRPr="002448D5">
        <w:rPr>
          <w:rFonts w:ascii="Verdana" w:hAnsi="Verdana"/>
          <w:sz w:val="16"/>
          <w:szCs w:val="16"/>
        </w:rPr>
        <w:t xml:space="preserve"> </w:t>
      </w:r>
      <w:r w:rsidRPr="002448D5">
        <w:rPr>
          <w:rFonts w:ascii="Verdana" w:hAnsi="Verdana"/>
          <w:sz w:val="16"/>
          <w:szCs w:val="16"/>
        </w:rPr>
        <w:tab/>
      </w:r>
      <w:r w:rsidR="00D56F66" w:rsidRPr="002448D5">
        <w:rPr>
          <w:rFonts w:ascii="Verdana" w:hAnsi="Verdana"/>
          <w:sz w:val="16"/>
          <w:szCs w:val="16"/>
          <w:lang w:val="es-ES"/>
        </w:rPr>
        <w:t>Hugo Villa</w:t>
      </w:r>
      <w:r w:rsidRPr="002448D5">
        <w:rPr>
          <w:rFonts w:ascii="Verdana" w:hAnsi="Verdana"/>
          <w:sz w:val="16"/>
          <w:szCs w:val="16"/>
          <w:lang w:val="es-ES"/>
        </w:rPr>
        <w:t xml:space="preserve"> fue ofrecido para declarar sobre “</w:t>
      </w:r>
      <w:r w:rsidR="00D56F66" w:rsidRPr="002448D5">
        <w:rPr>
          <w:rFonts w:ascii="Verdana" w:eastAsia="Times New Roman" w:hAnsi="Verdana"/>
          <w:sz w:val="16"/>
          <w:szCs w:val="16"/>
          <w:lang w:val="es-CR" w:eastAsia="es-MX"/>
        </w:rPr>
        <w:t xml:space="preserve">los hechos que </w:t>
      </w:r>
      <w:r w:rsidR="00AB430E" w:rsidRPr="002448D5">
        <w:rPr>
          <w:rFonts w:ascii="Verdana" w:eastAsia="Times New Roman" w:hAnsi="Verdana"/>
          <w:sz w:val="16"/>
          <w:szCs w:val="16"/>
          <w:lang w:val="es-CR" w:eastAsia="es-MX"/>
        </w:rPr>
        <w:t>conoció</w:t>
      </w:r>
      <w:r w:rsidR="00D56F66" w:rsidRPr="002448D5">
        <w:rPr>
          <w:rFonts w:ascii="Verdana" w:eastAsia="Times New Roman" w:hAnsi="Verdana"/>
          <w:sz w:val="16"/>
          <w:szCs w:val="16"/>
          <w:lang w:val="es-CR" w:eastAsia="es-MX"/>
        </w:rPr>
        <w:t xml:space="preserve">́ con relación a la </w:t>
      </w:r>
      <w:r w:rsidR="00AB430E" w:rsidRPr="002448D5">
        <w:rPr>
          <w:rFonts w:ascii="Verdana" w:eastAsia="Times New Roman" w:hAnsi="Verdana"/>
          <w:sz w:val="16"/>
          <w:szCs w:val="16"/>
          <w:lang w:val="es-CR" w:eastAsia="es-MX"/>
        </w:rPr>
        <w:t>situación</w:t>
      </w:r>
      <w:r w:rsidR="00D56F66" w:rsidRPr="002448D5">
        <w:rPr>
          <w:rFonts w:ascii="Verdana" w:eastAsia="Times New Roman" w:hAnsi="Verdana"/>
          <w:sz w:val="16"/>
          <w:szCs w:val="16"/>
          <w:lang w:val="es-CR" w:eastAsia="es-MX"/>
        </w:rPr>
        <w:t xml:space="preserve"> de salud </w:t>
      </w:r>
      <w:r w:rsidR="00AB430E" w:rsidRPr="002448D5">
        <w:rPr>
          <w:rFonts w:ascii="Verdana" w:eastAsia="Times New Roman" w:hAnsi="Verdana"/>
          <w:sz w:val="16"/>
          <w:szCs w:val="16"/>
          <w:lang w:val="es-CR" w:eastAsia="es-MX"/>
        </w:rPr>
        <w:t>pública</w:t>
      </w:r>
      <w:r w:rsidR="00D56F66" w:rsidRPr="002448D5">
        <w:rPr>
          <w:rFonts w:ascii="Verdana" w:eastAsia="Times New Roman" w:hAnsi="Verdana"/>
          <w:sz w:val="16"/>
          <w:szCs w:val="16"/>
          <w:lang w:val="es-CR" w:eastAsia="es-MX"/>
        </w:rPr>
        <w:t xml:space="preserve"> </w:t>
      </w:r>
      <w:r w:rsidR="00D56F66" w:rsidRPr="002448D5">
        <w:rPr>
          <w:rFonts w:ascii="Verdana" w:eastAsia="Times New Roman" w:hAnsi="Verdana"/>
          <w:sz w:val="16"/>
          <w:szCs w:val="16"/>
          <w:lang w:eastAsia="es-MX"/>
        </w:rPr>
        <w:t>de La Oroya y la respuesta del Estado para atenderla</w:t>
      </w:r>
      <w:r w:rsidRPr="002448D5">
        <w:rPr>
          <w:rFonts w:ascii="Verdana" w:hAnsi="Verdana"/>
          <w:sz w:val="16"/>
          <w:szCs w:val="16"/>
        </w:rPr>
        <w:t>”.</w:t>
      </w:r>
    </w:p>
  </w:footnote>
  <w:footnote w:id="19">
    <w:p w14:paraId="525B8203" w14:textId="18FB19E1" w:rsidR="00837602" w:rsidRPr="002448D5" w:rsidRDefault="00837602" w:rsidP="0043522A">
      <w:pPr>
        <w:pStyle w:val="NormalWeb"/>
        <w:shd w:val="clear" w:color="auto" w:fill="FFFFFF"/>
        <w:spacing w:before="120" w:beforeAutospacing="0" w:after="120" w:afterAutospacing="0"/>
        <w:jc w:val="both"/>
        <w:rPr>
          <w:rFonts w:ascii="Verdana" w:eastAsia="Times New Roman" w:hAnsi="Verdana"/>
          <w:sz w:val="16"/>
          <w:szCs w:val="16"/>
          <w:lang w:val="es-CR" w:eastAsia="es-MX"/>
        </w:rPr>
      </w:pPr>
      <w:r w:rsidRPr="002448D5">
        <w:rPr>
          <w:rStyle w:val="Refdenotaalpie"/>
        </w:rPr>
        <w:footnoteRef/>
      </w:r>
      <w:r w:rsidRPr="002448D5">
        <w:rPr>
          <w:rFonts w:ascii="Verdana" w:hAnsi="Verdana"/>
          <w:sz w:val="16"/>
          <w:szCs w:val="16"/>
        </w:rPr>
        <w:t xml:space="preserve"> </w:t>
      </w:r>
      <w:r w:rsidRPr="002448D5">
        <w:rPr>
          <w:rFonts w:ascii="Verdana" w:hAnsi="Verdana"/>
          <w:sz w:val="16"/>
          <w:szCs w:val="16"/>
        </w:rPr>
        <w:tab/>
      </w:r>
      <w:r w:rsidR="00D56F66" w:rsidRPr="002448D5">
        <w:rPr>
          <w:rFonts w:ascii="Verdana" w:hAnsi="Verdana"/>
          <w:sz w:val="16"/>
          <w:szCs w:val="16"/>
          <w:lang w:val="es-ES"/>
        </w:rPr>
        <w:t>Mercedes Lu</w:t>
      </w:r>
      <w:r w:rsidRPr="002448D5">
        <w:rPr>
          <w:rFonts w:ascii="Verdana" w:hAnsi="Verdana"/>
          <w:sz w:val="16"/>
          <w:szCs w:val="16"/>
          <w:lang w:val="es-ES"/>
        </w:rPr>
        <w:t xml:space="preserve"> fue ofrecid</w:t>
      </w:r>
      <w:r w:rsidR="00D56F66" w:rsidRPr="002448D5">
        <w:rPr>
          <w:rFonts w:ascii="Verdana" w:hAnsi="Verdana"/>
          <w:sz w:val="16"/>
          <w:szCs w:val="16"/>
          <w:lang w:val="es-ES"/>
        </w:rPr>
        <w:t>a</w:t>
      </w:r>
      <w:r w:rsidRPr="002448D5">
        <w:rPr>
          <w:rFonts w:ascii="Verdana" w:hAnsi="Verdana"/>
          <w:sz w:val="16"/>
          <w:szCs w:val="16"/>
          <w:lang w:val="es-ES"/>
        </w:rPr>
        <w:t xml:space="preserve"> para declarar sobre “</w:t>
      </w:r>
      <w:r w:rsidR="007432C1" w:rsidRPr="002448D5">
        <w:rPr>
          <w:rFonts w:ascii="Verdana" w:eastAsia="Times New Roman" w:hAnsi="Verdana"/>
          <w:sz w:val="16"/>
          <w:szCs w:val="16"/>
          <w:lang w:val="es-CR" w:eastAsia="es-MX"/>
        </w:rPr>
        <w:t xml:space="preserve">su experiencia analizando y documentando evidencia sobre la presencia de metales pesados en los suelos y polvo de La Oroya, </w:t>
      </w:r>
      <w:r w:rsidR="00AB430E" w:rsidRPr="002448D5">
        <w:rPr>
          <w:rFonts w:ascii="Verdana" w:eastAsia="Times New Roman" w:hAnsi="Verdana"/>
          <w:sz w:val="16"/>
          <w:szCs w:val="16"/>
          <w:lang w:val="es-CR" w:eastAsia="es-MX"/>
        </w:rPr>
        <w:t>además</w:t>
      </w:r>
      <w:r w:rsidR="007432C1" w:rsidRPr="002448D5">
        <w:rPr>
          <w:rFonts w:ascii="Verdana" w:eastAsia="Times New Roman" w:hAnsi="Verdana"/>
          <w:sz w:val="16"/>
          <w:szCs w:val="16"/>
          <w:lang w:val="es-CR" w:eastAsia="es-MX"/>
        </w:rPr>
        <w:t xml:space="preserve"> de actividades para alertar a las autoridades y al Estado peruano sobre la </w:t>
      </w:r>
      <w:r w:rsidR="00AB430E" w:rsidRPr="002448D5">
        <w:rPr>
          <w:rFonts w:ascii="Verdana" w:eastAsia="Times New Roman" w:hAnsi="Verdana"/>
          <w:sz w:val="16"/>
          <w:szCs w:val="16"/>
          <w:lang w:val="es-CR" w:eastAsia="es-MX"/>
        </w:rPr>
        <w:t>situación</w:t>
      </w:r>
      <w:r w:rsidR="007432C1" w:rsidRPr="002448D5">
        <w:rPr>
          <w:rFonts w:ascii="Verdana" w:eastAsia="Times New Roman" w:hAnsi="Verdana"/>
          <w:sz w:val="16"/>
          <w:szCs w:val="16"/>
          <w:lang w:val="es-CR" w:eastAsia="es-MX"/>
        </w:rPr>
        <w:t xml:space="preserve"> de </w:t>
      </w:r>
      <w:r w:rsidR="00AB430E" w:rsidRPr="002448D5">
        <w:rPr>
          <w:rFonts w:ascii="Verdana" w:eastAsia="Times New Roman" w:hAnsi="Verdana"/>
          <w:sz w:val="16"/>
          <w:szCs w:val="16"/>
          <w:lang w:val="es-CR" w:eastAsia="es-MX"/>
        </w:rPr>
        <w:t>contaminación</w:t>
      </w:r>
      <w:r w:rsidR="007432C1" w:rsidRPr="002448D5">
        <w:rPr>
          <w:rFonts w:ascii="Verdana" w:eastAsia="Times New Roman" w:hAnsi="Verdana"/>
          <w:sz w:val="16"/>
          <w:szCs w:val="16"/>
          <w:lang w:val="es-CR" w:eastAsia="es-MX"/>
        </w:rPr>
        <w:t xml:space="preserve"> y la crisis de salud </w:t>
      </w:r>
      <w:r w:rsidR="00AB430E" w:rsidRPr="002448D5">
        <w:rPr>
          <w:rFonts w:ascii="Verdana" w:eastAsia="Times New Roman" w:hAnsi="Verdana"/>
          <w:sz w:val="16"/>
          <w:szCs w:val="16"/>
          <w:lang w:eastAsia="es-MX"/>
        </w:rPr>
        <w:t>pública</w:t>
      </w:r>
      <w:r w:rsidR="007432C1" w:rsidRPr="002448D5">
        <w:rPr>
          <w:rFonts w:ascii="Verdana" w:eastAsia="Times New Roman" w:hAnsi="Verdana"/>
          <w:sz w:val="16"/>
          <w:szCs w:val="16"/>
          <w:lang w:eastAsia="es-MX"/>
        </w:rPr>
        <w:t xml:space="preserve"> en dicha localidad</w:t>
      </w:r>
      <w:r w:rsidRPr="002448D5">
        <w:rPr>
          <w:rFonts w:ascii="Verdana" w:hAnsi="Verdana"/>
          <w:sz w:val="16"/>
          <w:szCs w:val="16"/>
        </w:rPr>
        <w:t>”.</w:t>
      </w:r>
    </w:p>
  </w:footnote>
  <w:footnote w:id="20">
    <w:p w14:paraId="1E14D62A" w14:textId="6F043E7B" w:rsidR="00837602" w:rsidRPr="002448D5" w:rsidRDefault="00837602" w:rsidP="0043522A">
      <w:pPr>
        <w:pStyle w:val="NormalWeb"/>
        <w:shd w:val="clear" w:color="auto" w:fill="FFFFFF"/>
        <w:spacing w:before="120" w:beforeAutospacing="0" w:after="120" w:afterAutospacing="0"/>
        <w:jc w:val="both"/>
        <w:rPr>
          <w:rFonts w:ascii="Verdana" w:eastAsia="Times New Roman" w:hAnsi="Verdana"/>
          <w:sz w:val="16"/>
          <w:szCs w:val="16"/>
          <w:lang w:val="es-CR" w:eastAsia="es-MX"/>
        </w:rPr>
      </w:pPr>
      <w:r w:rsidRPr="002448D5">
        <w:rPr>
          <w:rStyle w:val="Refdenotaalpie"/>
        </w:rPr>
        <w:footnoteRef/>
      </w:r>
      <w:r w:rsidRPr="002448D5">
        <w:rPr>
          <w:rFonts w:ascii="Verdana" w:hAnsi="Verdana"/>
          <w:sz w:val="16"/>
          <w:szCs w:val="16"/>
        </w:rPr>
        <w:t xml:space="preserve"> </w:t>
      </w:r>
      <w:r w:rsidRPr="002448D5">
        <w:rPr>
          <w:rFonts w:ascii="Verdana" w:hAnsi="Verdana"/>
          <w:sz w:val="16"/>
          <w:szCs w:val="16"/>
        </w:rPr>
        <w:tab/>
      </w:r>
      <w:r w:rsidR="00AB430E" w:rsidRPr="002448D5">
        <w:rPr>
          <w:rFonts w:ascii="Verdana" w:hAnsi="Verdana"/>
          <w:sz w:val="16"/>
          <w:szCs w:val="16"/>
          <w:lang w:val="es-ES"/>
        </w:rPr>
        <w:t>Hunter Farrell</w:t>
      </w:r>
      <w:r w:rsidRPr="002448D5">
        <w:rPr>
          <w:rFonts w:ascii="Verdana" w:hAnsi="Verdana"/>
          <w:sz w:val="16"/>
          <w:szCs w:val="16"/>
          <w:lang w:val="es-ES"/>
        </w:rPr>
        <w:t xml:space="preserve"> fue ofrecido para declarar sobre “</w:t>
      </w:r>
      <w:r w:rsidR="00AB430E" w:rsidRPr="002448D5">
        <w:rPr>
          <w:rFonts w:ascii="Verdana" w:eastAsia="Times New Roman" w:hAnsi="Verdana"/>
          <w:sz w:val="16"/>
          <w:szCs w:val="16"/>
          <w:lang w:val="es-CR" w:eastAsia="es-MX"/>
        </w:rPr>
        <w:t xml:space="preserve">su experiencia presenciando y documentando la contaminación en la ciudad, los daños individuales, sociales y culturales experimentados por los pobladores, y sus actividades para </w:t>
      </w:r>
      <w:r w:rsidR="00AB430E" w:rsidRPr="002448D5">
        <w:rPr>
          <w:rFonts w:ascii="Verdana" w:eastAsia="Times New Roman" w:hAnsi="Verdana"/>
          <w:sz w:val="16"/>
          <w:szCs w:val="16"/>
          <w:lang w:eastAsia="es-MX"/>
        </w:rPr>
        <w:t>visibilizar la situación de La Oroya ante distintos agentes y órganos del Estado</w:t>
      </w:r>
      <w:r w:rsidRPr="002448D5">
        <w:rPr>
          <w:rFonts w:ascii="Verdana" w:hAnsi="Verdana"/>
          <w:sz w:val="16"/>
          <w:szCs w:val="16"/>
        </w:rPr>
        <w:t>”.</w:t>
      </w:r>
    </w:p>
  </w:footnote>
  <w:footnote w:id="21">
    <w:p w14:paraId="3F3A6621" w14:textId="77777777" w:rsidR="00BA78D9" w:rsidRPr="002448D5" w:rsidRDefault="00BA78D9" w:rsidP="0043522A">
      <w:pPr>
        <w:pStyle w:val="Textonotapie"/>
        <w:spacing w:before="120" w:after="120"/>
        <w:jc w:val="both"/>
        <w:rPr>
          <w:sz w:val="16"/>
          <w:szCs w:val="16"/>
        </w:rPr>
      </w:pPr>
      <w:r w:rsidRPr="002448D5">
        <w:rPr>
          <w:rStyle w:val="Refdenotaalpie"/>
        </w:rPr>
        <w:footnoteRef/>
      </w:r>
      <w:r w:rsidRPr="002448D5">
        <w:rPr>
          <w:sz w:val="16"/>
          <w:szCs w:val="16"/>
        </w:rPr>
        <w:t xml:space="preserve"> </w:t>
      </w:r>
      <w:r w:rsidRPr="002448D5">
        <w:rPr>
          <w:sz w:val="16"/>
          <w:szCs w:val="16"/>
        </w:rPr>
        <w:tab/>
        <w:t>El artículo 51.3 del Reglamento establece lo siguiente: “</w:t>
      </w:r>
      <w:r w:rsidRPr="002448D5">
        <w:rPr>
          <w:rFonts w:cs="Arial"/>
          <w:sz w:val="16"/>
          <w:szCs w:val="16"/>
          <w:shd w:val="clear" w:color="auto" w:fill="FFFFFF"/>
        </w:rPr>
        <w:t>3. Después de verificada su identidad y antes de declarar, el testigo prestará juramento o hará una declaración en que afirmará que dirá la verdad, toda la verdad y nada más que la verdad</w:t>
      </w:r>
      <w:r w:rsidRPr="002448D5">
        <w:rPr>
          <w:sz w:val="16"/>
          <w:szCs w:val="16"/>
        </w:rPr>
        <w:t>”.</w:t>
      </w:r>
    </w:p>
  </w:footnote>
  <w:footnote w:id="22">
    <w:p w14:paraId="3E6CDFBF" w14:textId="5B20E345" w:rsidR="00BA78D9" w:rsidRPr="002448D5" w:rsidRDefault="00BA78D9" w:rsidP="0043522A">
      <w:pPr>
        <w:spacing w:before="120" w:after="120" w:line="240" w:lineRule="auto"/>
        <w:jc w:val="both"/>
        <w:rPr>
          <w:rFonts w:eastAsia="Times New Roman" w:cs="Times New Roman"/>
          <w:color w:val="000000" w:themeColor="text1"/>
          <w:sz w:val="16"/>
          <w:szCs w:val="16"/>
          <w:lang w:eastAsia="es-MX"/>
        </w:rPr>
      </w:pPr>
      <w:r w:rsidRPr="002448D5">
        <w:rPr>
          <w:rStyle w:val="Refdenotaalpie"/>
          <w:color w:val="000000" w:themeColor="text1"/>
        </w:rPr>
        <w:footnoteRef/>
      </w:r>
      <w:r w:rsidRPr="002448D5">
        <w:rPr>
          <w:color w:val="000000" w:themeColor="text1"/>
          <w:sz w:val="16"/>
          <w:szCs w:val="16"/>
        </w:rPr>
        <w:t xml:space="preserve"> </w:t>
      </w:r>
      <w:r w:rsidRPr="002448D5">
        <w:rPr>
          <w:color w:val="000000" w:themeColor="text1"/>
          <w:sz w:val="16"/>
          <w:szCs w:val="16"/>
        </w:rPr>
        <w:tab/>
      </w:r>
      <w:r w:rsidRPr="002448D5">
        <w:rPr>
          <w:i/>
          <w:color w:val="000000" w:themeColor="text1"/>
          <w:sz w:val="16"/>
          <w:szCs w:val="16"/>
        </w:rPr>
        <w:t>Cfr. Caso Gabriela Perozo y otros Vs. Venezuela.</w:t>
      </w:r>
      <w:r w:rsidRPr="002448D5">
        <w:rPr>
          <w:color w:val="000000" w:themeColor="text1"/>
          <w:sz w:val="16"/>
          <w:szCs w:val="16"/>
        </w:rPr>
        <w:t xml:space="preserve"> Resolución de la Corte de 2 de mayo de 2008, párrafo considerativo 5, y </w:t>
      </w:r>
      <w:r w:rsidR="00304F9B" w:rsidRPr="002448D5">
        <w:rPr>
          <w:rFonts w:eastAsia="Times New Roman" w:cs="Open Sans"/>
          <w:i/>
          <w:iCs/>
          <w:color w:val="000000" w:themeColor="text1"/>
          <w:sz w:val="16"/>
          <w:szCs w:val="16"/>
          <w:shd w:val="clear" w:color="auto" w:fill="FFFFFF"/>
          <w:lang w:eastAsia="es-MX"/>
        </w:rPr>
        <w:t xml:space="preserve">Caso Palacio Urrutia y otros Vs. Ecuador. </w:t>
      </w:r>
      <w:r w:rsidR="00304F9B" w:rsidRPr="002448D5">
        <w:rPr>
          <w:rFonts w:eastAsia="Times New Roman" w:cs="Open Sans"/>
          <w:color w:val="000000" w:themeColor="text1"/>
          <w:sz w:val="16"/>
          <w:szCs w:val="16"/>
          <w:shd w:val="clear" w:color="auto" w:fill="FFFFFF"/>
          <w:lang w:eastAsia="es-MX"/>
        </w:rPr>
        <w:t>Convocatoria a audiencia. Resolución de la Presidenta de la Corte Interamericana de Derechos Humanos de 12 de abril de 2021</w:t>
      </w:r>
      <w:r w:rsidR="006926C0" w:rsidRPr="002448D5">
        <w:rPr>
          <w:rFonts w:eastAsia="Times New Roman" w:cs="Open Sans"/>
          <w:color w:val="000000" w:themeColor="text1"/>
          <w:sz w:val="16"/>
          <w:szCs w:val="16"/>
          <w:shd w:val="clear" w:color="auto" w:fill="FFFFFF"/>
          <w:lang w:eastAsia="es-MX"/>
        </w:rPr>
        <w:t xml:space="preserve">, Considerando </w:t>
      </w:r>
      <w:r w:rsidR="001D3EB0" w:rsidRPr="002448D5">
        <w:rPr>
          <w:rFonts w:eastAsia="Times New Roman" w:cs="Open Sans"/>
          <w:color w:val="000000" w:themeColor="text1"/>
          <w:sz w:val="16"/>
          <w:szCs w:val="16"/>
          <w:shd w:val="clear" w:color="auto" w:fill="FFFFFF"/>
          <w:lang w:eastAsia="es-MX"/>
        </w:rPr>
        <w:t>21.</w:t>
      </w:r>
    </w:p>
  </w:footnote>
  <w:footnote w:id="23">
    <w:p w14:paraId="71D08178" w14:textId="77777777" w:rsidR="00BA78D9" w:rsidRPr="002448D5" w:rsidRDefault="00BA78D9" w:rsidP="0043522A">
      <w:pPr>
        <w:spacing w:before="120" w:after="120" w:line="240" w:lineRule="auto"/>
        <w:jc w:val="both"/>
        <w:rPr>
          <w:sz w:val="16"/>
          <w:szCs w:val="16"/>
        </w:rPr>
      </w:pPr>
      <w:r w:rsidRPr="002448D5">
        <w:rPr>
          <w:rStyle w:val="Refdenotaalpie"/>
        </w:rPr>
        <w:footnoteRef/>
      </w:r>
      <w:r w:rsidRPr="002448D5">
        <w:rPr>
          <w:sz w:val="16"/>
          <w:szCs w:val="16"/>
        </w:rPr>
        <w:t xml:space="preserve"> </w:t>
      </w:r>
      <w:r w:rsidRPr="002448D5">
        <w:rPr>
          <w:sz w:val="16"/>
          <w:szCs w:val="16"/>
        </w:rPr>
        <w:tab/>
      </w:r>
      <w:r w:rsidRPr="002448D5">
        <w:rPr>
          <w:i/>
          <w:sz w:val="16"/>
          <w:szCs w:val="16"/>
        </w:rPr>
        <w:t>Cfr. Caso González y otras (“Campo Algodonero”) Vs. México</w:t>
      </w:r>
      <w:r w:rsidRPr="002448D5">
        <w:rPr>
          <w:sz w:val="16"/>
          <w:szCs w:val="16"/>
        </w:rPr>
        <w:t xml:space="preserve">. </w:t>
      </w:r>
      <w:r w:rsidRPr="002448D5">
        <w:rPr>
          <w:i/>
          <w:sz w:val="16"/>
          <w:szCs w:val="16"/>
        </w:rPr>
        <w:t>Convocatoria a audiencia</w:t>
      </w:r>
      <w:r w:rsidRPr="002448D5">
        <w:rPr>
          <w:sz w:val="16"/>
          <w:szCs w:val="16"/>
        </w:rPr>
        <w:t xml:space="preserve">. Resolución de la Presidenta de la Corte Interamericana de Derechos Humanos de 18 de marzo de 2009, párrafos considerativos 44 y 45, y </w:t>
      </w:r>
      <w:r w:rsidRPr="002448D5">
        <w:rPr>
          <w:rFonts w:cs="Arial"/>
          <w:i/>
          <w:sz w:val="16"/>
          <w:szCs w:val="16"/>
          <w:shd w:val="clear" w:color="auto" w:fill="FFFFFF"/>
        </w:rPr>
        <w:t>Caso Pollo Rivera y otros Vs. Perú.</w:t>
      </w:r>
      <w:r w:rsidRPr="002448D5">
        <w:rPr>
          <w:rFonts w:cs="Arial"/>
          <w:sz w:val="16"/>
          <w:szCs w:val="16"/>
          <w:shd w:val="clear" w:color="auto" w:fill="FFFFFF"/>
        </w:rPr>
        <w:t xml:space="preserve"> </w:t>
      </w:r>
      <w:r w:rsidRPr="002448D5">
        <w:rPr>
          <w:rFonts w:cs="Arial"/>
          <w:i/>
          <w:sz w:val="16"/>
          <w:szCs w:val="16"/>
          <w:shd w:val="clear" w:color="auto" w:fill="FFFFFF"/>
        </w:rPr>
        <w:t>Convocatoria a audiencia</w:t>
      </w:r>
      <w:r w:rsidRPr="002448D5">
        <w:rPr>
          <w:rFonts w:cs="Arial"/>
          <w:sz w:val="16"/>
          <w:szCs w:val="16"/>
          <w:shd w:val="clear" w:color="auto" w:fill="FFFFFF"/>
        </w:rPr>
        <w:t>. Resolución del Presidente de la Corte Interamericana de Derechos Humanos de 10 de marzo de 2016, considerando 30.</w:t>
      </w:r>
    </w:p>
  </w:footnote>
  <w:footnote w:id="24">
    <w:p w14:paraId="0D6016F6" w14:textId="43E399FA" w:rsidR="009F44EE" w:rsidRPr="002448D5" w:rsidRDefault="009F44EE" w:rsidP="0043522A">
      <w:pPr>
        <w:pStyle w:val="NormalWeb"/>
        <w:spacing w:before="120" w:beforeAutospacing="0" w:after="120" w:afterAutospacing="0"/>
        <w:jc w:val="both"/>
        <w:rPr>
          <w:rFonts w:ascii="Verdana" w:eastAsia="Times New Roman" w:hAnsi="Verdana"/>
          <w:sz w:val="16"/>
          <w:szCs w:val="16"/>
          <w:lang w:val="es-CR" w:eastAsia="es-MX"/>
        </w:rPr>
      </w:pPr>
      <w:r w:rsidRPr="002448D5">
        <w:rPr>
          <w:rStyle w:val="Refdenotaalpie"/>
        </w:rPr>
        <w:footnoteRef/>
      </w:r>
      <w:r w:rsidRPr="002448D5">
        <w:rPr>
          <w:rFonts w:ascii="Verdana" w:hAnsi="Verdana"/>
          <w:sz w:val="16"/>
          <w:szCs w:val="16"/>
        </w:rPr>
        <w:t xml:space="preserve"> </w:t>
      </w:r>
      <w:r w:rsidRPr="002448D5">
        <w:rPr>
          <w:rFonts w:ascii="Verdana" w:hAnsi="Verdana"/>
          <w:sz w:val="16"/>
          <w:szCs w:val="16"/>
        </w:rPr>
        <w:tab/>
      </w:r>
      <w:r w:rsidR="00076FB6" w:rsidRPr="002448D5">
        <w:rPr>
          <w:rFonts w:ascii="Verdana" w:hAnsi="Verdana"/>
          <w:sz w:val="16"/>
          <w:szCs w:val="16"/>
        </w:rPr>
        <w:t>Marisol Yañez de la Cruz fue ofrecida para declarar sobre “</w:t>
      </w:r>
      <w:r w:rsidRPr="002448D5">
        <w:rPr>
          <w:rFonts w:ascii="Verdana" w:eastAsia="Times New Roman" w:hAnsi="Verdana"/>
          <w:sz w:val="16"/>
          <w:szCs w:val="16"/>
          <w:lang w:val="es-CR" w:eastAsia="es-MX"/>
        </w:rPr>
        <w:t xml:space="preserve">los </w:t>
      </w:r>
      <w:r w:rsidR="00720B45" w:rsidRPr="002448D5">
        <w:rPr>
          <w:rFonts w:ascii="Verdana" w:eastAsia="Times New Roman" w:hAnsi="Verdana"/>
          <w:sz w:val="16"/>
          <w:szCs w:val="16"/>
          <w:lang w:val="es-CR" w:eastAsia="es-MX"/>
        </w:rPr>
        <w:t>daños</w:t>
      </w:r>
      <w:r w:rsidRPr="002448D5">
        <w:rPr>
          <w:rFonts w:ascii="Verdana" w:eastAsia="Times New Roman" w:hAnsi="Verdana"/>
          <w:sz w:val="16"/>
          <w:szCs w:val="16"/>
          <w:lang w:val="es-CR" w:eastAsia="es-MX"/>
        </w:rPr>
        <w:t xml:space="preserve"> e impactos psicosociales de las </w:t>
      </w:r>
      <w:r w:rsidR="00720B45" w:rsidRPr="002448D5">
        <w:rPr>
          <w:rFonts w:ascii="Verdana" w:eastAsia="Times New Roman" w:hAnsi="Verdana"/>
          <w:sz w:val="16"/>
          <w:szCs w:val="16"/>
          <w:lang w:val="es-CR" w:eastAsia="es-MX"/>
        </w:rPr>
        <w:t>víctimas</w:t>
      </w:r>
      <w:r w:rsidRPr="002448D5">
        <w:rPr>
          <w:rFonts w:ascii="Verdana" w:eastAsia="Times New Roman" w:hAnsi="Verdana"/>
          <w:sz w:val="16"/>
          <w:szCs w:val="16"/>
          <w:lang w:val="es-CR" w:eastAsia="es-MX"/>
        </w:rPr>
        <w:t xml:space="preserve">, producidos por las violaciones a derechos humanos en el presente caso y la falta de respuesta por parte del Estado. La Perita </w:t>
      </w:r>
      <w:r w:rsidR="00720B45" w:rsidRPr="002448D5">
        <w:rPr>
          <w:rFonts w:ascii="Verdana" w:eastAsia="Times New Roman" w:hAnsi="Verdana"/>
          <w:sz w:val="16"/>
          <w:szCs w:val="16"/>
          <w:lang w:val="es-CR" w:eastAsia="es-MX"/>
        </w:rPr>
        <w:t>emitirá</w:t>
      </w:r>
      <w:r w:rsidRPr="002448D5">
        <w:rPr>
          <w:rFonts w:ascii="Verdana" w:eastAsia="Times New Roman" w:hAnsi="Verdana"/>
          <w:sz w:val="16"/>
          <w:szCs w:val="16"/>
          <w:lang w:val="es-CR" w:eastAsia="es-MX"/>
        </w:rPr>
        <w:t xml:space="preserve">́ recomendaciones en materia de </w:t>
      </w:r>
      <w:r w:rsidR="00720B45" w:rsidRPr="002448D5">
        <w:rPr>
          <w:rFonts w:ascii="Verdana" w:eastAsia="Times New Roman" w:hAnsi="Verdana"/>
          <w:sz w:val="16"/>
          <w:szCs w:val="16"/>
          <w:lang w:val="es-CR" w:eastAsia="es-MX"/>
        </w:rPr>
        <w:t>reparación</w:t>
      </w:r>
      <w:r w:rsidRPr="002448D5">
        <w:rPr>
          <w:rFonts w:ascii="Verdana" w:eastAsia="Times New Roman" w:hAnsi="Verdana"/>
          <w:sz w:val="16"/>
          <w:szCs w:val="16"/>
          <w:lang w:val="es-CR" w:eastAsia="es-MX"/>
        </w:rPr>
        <w:t xml:space="preserve"> integral para el caso concreto.</w:t>
      </w:r>
      <w:r w:rsidR="00076FB6" w:rsidRPr="002448D5">
        <w:rPr>
          <w:rFonts w:ascii="Verdana" w:eastAsia="Times New Roman" w:hAnsi="Verdana"/>
          <w:sz w:val="16"/>
          <w:szCs w:val="16"/>
          <w:lang w:val="es-CR" w:eastAsia="es-MX"/>
        </w:rPr>
        <w:t>”</w:t>
      </w:r>
      <w:r w:rsidR="00884B3E">
        <w:rPr>
          <w:rFonts w:ascii="Verdana" w:eastAsia="Times New Roman" w:hAnsi="Verdana"/>
          <w:sz w:val="16"/>
          <w:szCs w:val="16"/>
          <w:lang w:val="es-CR" w:eastAsia="es-MX"/>
        </w:rPr>
        <w:t>.</w:t>
      </w:r>
    </w:p>
  </w:footnote>
  <w:footnote w:id="25">
    <w:p w14:paraId="03076CB7" w14:textId="22F45985" w:rsidR="00D32FAF" w:rsidRPr="002448D5" w:rsidRDefault="00076FB6" w:rsidP="0043522A">
      <w:pPr>
        <w:pStyle w:val="NormalWeb"/>
        <w:spacing w:before="120" w:beforeAutospacing="0" w:after="120" w:afterAutospacing="0"/>
        <w:jc w:val="both"/>
        <w:rPr>
          <w:rFonts w:ascii="Verdana" w:eastAsia="Times New Roman" w:hAnsi="Verdana"/>
          <w:sz w:val="16"/>
          <w:szCs w:val="16"/>
          <w:lang w:eastAsia="es-MX"/>
        </w:rPr>
      </w:pPr>
      <w:r w:rsidRPr="002448D5">
        <w:rPr>
          <w:rStyle w:val="Refdenotaalpie"/>
        </w:rPr>
        <w:footnoteRef/>
      </w:r>
      <w:r w:rsidRPr="002448D5">
        <w:rPr>
          <w:rFonts w:ascii="Verdana" w:hAnsi="Verdana"/>
          <w:sz w:val="16"/>
          <w:szCs w:val="16"/>
        </w:rPr>
        <w:t xml:space="preserve"> </w:t>
      </w:r>
      <w:r w:rsidRPr="002448D5">
        <w:rPr>
          <w:rFonts w:ascii="Verdana" w:hAnsi="Verdana"/>
          <w:sz w:val="16"/>
          <w:szCs w:val="16"/>
        </w:rPr>
        <w:tab/>
      </w:r>
      <w:r w:rsidR="00D32FAF" w:rsidRPr="002448D5">
        <w:rPr>
          <w:rFonts w:ascii="Verdana" w:hAnsi="Verdana"/>
          <w:sz w:val="16"/>
          <w:szCs w:val="16"/>
        </w:rPr>
        <w:t>Marcos Orellana</w:t>
      </w:r>
      <w:r w:rsidRPr="002448D5">
        <w:rPr>
          <w:rFonts w:ascii="Verdana" w:hAnsi="Verdana"/>
          <w:sz w:val="16"/>
          <w:szCs w:val="16"/>
        </w:rPr>
        <w:t xml:space="preserve"> fue ofrecid</w:t>
      </w:r>
      <w:r w:rsidR="00D32FAF" w:rsidRPr="002448D5">
        <w:rPr>
          <w:rFonts w:ascii="Verdana" w:hAnsi="Verdana"/>
          <w:sz w:val="16"/>
          <w:szCs w:val="16"/>
        </w:rPr>
        <w:t>o</w:t>
      </w:r>
      <w:r w:rsidRPr="002448D5">
        <w:rPr>
          <w:rFonts w:ascii="Verdana" w:hAnsi="Verdana"/>
          <w:sz w:val="16"/>
          <w:szCs w:val="16"/>
        </w:rPr>
        <w:t xml:space="preserve"> para declarar sobre “</w:t>
      </w:r>
      <w:r w:rsidR="00D32FAF" w:rsidRPr="002448D5">
        <w:rPr>
          <w:rFonts w:ascii="Verdana" w:eastAsia="Times New Roman" w:hAnsi="Verdana"/>
          <w:sz w:val="16"/>
          <w:szCs w:val="16"/>
          <w:lang w:eastAsia="es-MX"/>
        </w:rPr>
        <w:t>los efectos adversos de la contaminación en el goce efectivo de los derechos humanos, en particular el derecho a la vida, la salud, la integridad personal y un medio ambiente limpio, saludable y sostenible. Analizará las obligaciones de los Estados frente a los riesgos y daños generados por la exposición a sustancias tóxicas como son contaminantes, metales y desechos peligrosos. En sus análisis, el perito se referirá́ al alcance y contenido de las obligaciones del Estado en materia de prevención de riesgos y daños a la salud humana y el medio ambiente, incluyendo estándares relativos a la regulación, supervisión y fiscalización de actores públicos y privados. En su análisis, el perito también se referirá́ a la relación entre estándares internacionales y las normas internas del Estado, a la luz de obligaciones de progresividad y no regresión. En el desarrollo de su peritaje, el experto podrá́ pronunciarse sobre los hechos del caso”</w:t>
      </w:r>
      <w:r w:rsidR="00884B3E">
        <w:rPr>
          <w:rFonts w:ascii="Verdana" w:eastAsia="Times New Roman" w:hAnsi="Verdana"/>
          <w:sz w:val="16"/>
          <w:szCs w:val="16"/>
          <w:lang w:eastAsia="es-MX"/>
        </w:rPr>
        <w:t>.</w:t>
      </w:r>
      <w:r w:rsidR="00D32FAF" w:rsidRPr="002448D5">
        <w:rPr>
          <w:rFonts w:ascii="Verdana" w:eastAsia="Times New Roman" w:hAnsi="Verdana"/>
          <w:sz w:val="16"/>
          <w:szCs w:val="16"/>
          <w:lang w:eastAsia="es-MX"/>
        </w:rPr>
        <w:t xml:space="preserve"> </w:t>
      </w:r>
    </w:p>
  </w:footnote>
  <w:footnote w:id="26">
    <w:p w14:paraId="0CDE2F5D" w14:textId="5F546AB4" w:rsidR="00CA2F25" w:rsidRPr="002448D5" w:rsidRDefault="00076FB6" w:rsidP="0043522A">
      <w:pPr>
        <w:pStyle w:val="NormalWeb"/>
        <w:spacing w:before="120" w:beforeAutospacing="0" w:after="120" w:afterAutospacing="0"/>
        <w:jc w:val="both"/>
        <w:rPr>
          <w:rFonts w:ascii="Verdana" w:eastAsia="Times New Roman" w:hAnsi="Verdana"/>
          <w:sz w:val="16"/>
          <w:szCs w:val="16"/>
          <w:lang w:eastAsia="es-MX"/>
        </w:rPr>
      </w:pPr>
      <w:r w:rsidRPr="002448D5">
        <w:rPr>
          <w:rStyle w:val="Refdenotaalpie"/>
        </w:rPr>
        <w:footnoteRef/>
      </w:r>
      <w:r w:rsidRPr="002448D5">
        <w:rPr>
          <w:rFonts w:ascii="Verdana" w:hAnsi="Verdana"/>
          <w:sz w:val="16"/>
          <w:szCs w:val="16"/>
        </w:rPr>
        <w:t xml:space="preserve"> </w:t>
      </w:r>
      <w:r w:rsidRPr="002448D5">
        <w:rPr>
          <w:rFonts w:ascii="Verdana" w:hAnsi="Verdana"/>
          <w:sz w:val="16"/>
          <w:szCs w:val="16"/>
        </w:rPr>
        <w:tab/>
      </w:r>
      <w:r w:rsidR="00CA2F25" w:rsidRPr="002448D5">
        <w:rPr>
          <w:rFonts w:ascii="Verdana" w:hAnsi="Verdana"/>
          <w:sz w:val="16"/>
          <w:szCs w:val="16"/>
        </w:rPr>
        <w:t>Oscar Cabrera</w:t>
      </w:r>
      <w:r w:rsidRPr="002448D5">
        <w:rPr>
          <w:rFonts w:ascii="Verdana" w:hAnsi="Verdana"/>
          <w:sz w:val="16"/>
          <w:szCs w:val="16"/>
        </w:rPr>
        <w:t xml:space="preserve"> fue ofrecid</w:t>
      </w:r>
      <w:r w:rsidR="00CA2F25" w:rsidRPr="002448D5">
        <w:rPr>
          <w:rFonts w:ascii="Verdana" w:hAnsi="Verdana"/>
          <w:sz w:val="16"/>
          <w:szCs w:val="16"/>
        </w:rPr>
        <w:t>o</w:t>
      </w:r>
      <w:r w:rsidRPr="002448D5">
        <w:rPr>
          <w:rFonts w:ascii="Verdana" w:hAnsi="Verdana"/>
          <w:sz w:val="16"/>
          <w:szCs w:val="16"/>
        </w:rPr>
        <w:t xml:space="preserve"> para declarar sobre “</w:t>
      </w:r>
      <w:r w:rsidR="00CA2F25" w:rsidRPr="002448D5">
        <w:rPr>
          <w:rFonts w:ascii="Verdana" w:eastAsia="Times New Roman" w:hAnsi="Verdana"/>
          <w:sz w:val="16"/>
          <w:szCs w:val="16"/>
          <w:lang w:eastAsia="es-MX"/>
        </w:rPr>
        <w:t>la responsabilidad internacional de los Estados frente a los riesgos e impactos adversos a la salud generados por la contaminación ambiental, considerando su rol en la creación y continuidad de dichos riesgos. En su análisis, el perito se referirá́ al alcance y contenido de las obligaciones de regulación, supervisión y fiscalización de actores públicos privados en este contexto. En el desarrollo de su peritaje, el experto podrá́ pronunciarse sobre los hechos del caso”</w:t>
      </w:r>
      <w:r w:rsidR="00884B3E">
        <w:rPr>
          <w:rFonts w:ascii="Verdana" w:eastAsia="Times New Roman" w:hAnsi="Verdana"/>
          <w:sz w:val="16"/>
          <w:szCs w:val="16"/>
          <w:lang w:eastAsia="es-MX"/>
        </w:rPr>
        <w:t>.</w:t>
      </w:r>
    </w:p>
  </w:footnote>
  <w:footnote w:id="27">
    <w:p w14:paraId="30AB9B6C" w14:textId="2C4D101B" w:rsidR="00076FB6" w:rsidRPr="002448D5" w:rsidRDefault="00076FB6" w:rsidP="0043522A">
      <w:pPr>
        <w:pStyle w:val="NormalWeb"/>
        <w:spacing w:before="120" w:beforeAutospacing="0" w:after="120" w:afterAutospacing="0"/>
        <w:jc w:val="both"/>
        <w:rPr>
          <w:rFonts w:ascii="Verdana" w:eastAsia="Times New Roman" w:hAnsi="Verdana"/>
          <w:sz w:val="16"/>
          <w:szCs w:val="16"/>
          <w:lang w:eastAsia="es-MX"/>
        </w:rPr>
      </w:pPr>
      <w:r w:rsidRPr="002448D5">
        <w:rPr>
          <w:rStyle w:val="Refdenotaalpie"/>
        </w:rPr>
        <w:footnoteRef/>
      </w:r>
      <w:r w:rsidRPr="002448D5">
        <w:rPr>
          <w:rFonts w:ascii="Verdana" w:hAnsi="Verdana"/>
          <w:sz w:val="16"/>
          <w:szCs w:val="16"/>
        </w:rPr>
        <w:t xml:space="preserve"> </w:t>
      </w:r>
      <w:r w:rsidRPr="002448D5">
        <w:rPr>
          <w:rFonts w:ascii="Verdana" w:hAnsi="Verdana"/>
          <w:sz w:val="16"/>
          <w:szCs w:val="16"/>
        </w:rPr>
        <w:tab/>
      </w:r>
      <w:r w:rsidR="00BE345B" w:rsidRPr="002448D5">
        <w:rPr>
          <w:rFonts w:ascii="Verdana" w:hAnsi="Verdana"/>
          <w:sz w:val="16"/>
          <w:szCs w:val="16"/>
        </w:rPr>
        <w:t>Fernando Serrano</w:t>
      </w:r>
      <w:r w:rsidRPr="002448D5">
        <w:rPr>
          <w:rFonts w:ascii="Verdana" w:hAnsi="Verdana"/>
          <w:sz w:val="16"/>
          <w:szCs w:val="16"/>
        </w:rPr>
        <w:t xml:space="preserve"> fue ofrecid</w:t>
      </w:r>
      <w:r w:rsidR="00BE345B" w:rsidRPr="002448D5">
        <w:rPr>
          <w:rFonts w:ascii="Verdana" w:hAnsi="Verdana"/>
          <w:sz w:val="16"/>
          <w:szCs w:val="16"/>
        </w:rPr>
        <w:t>o</w:t>
      </w:r>
      <w:r w:rsidRPr="002448D5">
        <w:rPr>
          <w:rFonts w:ascii="Verdana" w:hAnsi="Verdana"/>
          <w:sz w:val="16"/>
          <w:szCs w:val="16"/>
        </w:rPr>
        <w:t xml:space="preserve"> para declarar sobre “</w:t>
      </w:r>
      <w:r w:rsidR="007C0E6F" w:rsidRPr="002448D5">
        <w:rPr>
          <w:rFonts w:ascii="Verdana" w:eastAsia="Times New Roman" w:hAnsi="Verdana"/>
          <w:sz w:val="16"/>
          <w:szCs w:val="16"/>
          <w:lang w:val="es-CR" w:eastAsia="es-MX"/>
        </w:rPr>
        <w:t xml:space="preserve">los riesgos y consecuencias para la salud humana de la </w:t>
      </w:r>
      <w:r w:rsidR="00BE345B" w:rsidRPr="002448D5">
        <w:rPr>
          <w:rFonts w:ascii="Verdana" w:eastAsia="Times New Roman" w:hAnsi="Verdana"/>
          <w:sz w:val="16"/>
          <w:szCs w:val="16"/>
          <w:lang w:val="es-CR" w:eastAsia="es-MX"/>
        </w:rPr>
        <w:t>exposición</w:t>
      </w:r>
      <w:r w:rsidR="007C0E6F" w:rsidRPr="002448D5">
        <w:rPr>
          <w:rFonts w:ascii="Verdana" w:eastAsia="Times New Roman" w:hAnsi="Verdana"/>
          <w:sz w:val="16"/>
          <w:szCs w:val="16"/>
          <w:lang w:val="es-CR" w:eastAsia="es-MX"/>
        </w:rPr>
        <w:t xml:space="preserve"> a metales pesados en </w:t>
      </w:r>
      <w:r w:rsidR="00BE345B" w:rsidRPr="002448D5">
        <w:rPr>
          <w:rFonts w:ascii="Verdana" w:eastAsia="Times New Roman" w:hAnsi="Verdana"/>
          <w:sz w:val="16"/>
          <w:szCs w:val="16"/>
          <w:lang w:val="es-CR" w:eastAsia="es-MX"/>
        </w:rPr>
        <w:t>Perú</w:t>
      </w:r>
      <w:r w:rsidR="007C0E6F" w:rsidRPr="002448D5">
        <w:rPr>
          <w:rFonts w:ascii="Verdana" w:eastAsia="Times New Roman" w:hAnsi="Verdana"/>
          <w:sz w:val="16"/>
          <w:szCs w:val="16"/>
          <w:lang w:val="es-CR" w:eastAsia="es-MX"/>
        </w:rPr>
        <w:t xml:space="preserve">́ y especialmente en La Oroya, incluida su </w:t>
      </w:r>
      <w:r w:rsidR="00BE345B" w:rsidRPr="002448D5">
        <w:rPr>
          <w:rFonts w:ascii="Verdana" w:eastAsia="Times New Roman" w:hAnsi="Verdana"/>
          <w:sz w:val="16"/>
          <w:szCs w:val="16"/>
          <w:lang w:val="es-CR" w:eastAsia="es-MX"/>
        </w:rPr>
        <w:t>valoración</w:t>
      </w:r>
      <w:r w:rsidR="007C0E6F" w:rsidRPr="002448D5">
        <w:rPr>
          <w:rFonts w:ascii="Verdana" w:eastAsia="Times New Roman" w:hAnsi="Verdana"/>
          <w:sz w:val="16"/>
          <w:szCs w:val="16"/>
          <w:lang w:val="es-CR" w:eastAsia="es-MX"/>
        </w:rPr>
        <w:t xml:space="preserve"> sobre la eficacia de las medidas que ha tomado </w:t>
      </w:r>
      <w:r w:rsidR="00BE345B" w:rsidRPr="002448D5">
        <w:rPr>
          <w:rFonts w:ascii="Verdana" w:eastAsia="Times New Roman" w:hAnsi="Verdana"/>
          <w:sz w:val="16"/>
          <w:szCs w:val="16"/>
          <w:lang w:val="es-CR" w:eastAsia="es-MX"/>
        </w:rPr>
        <w:t>Perú</w:t>
      </w:r>
      <w:r w:rsidR="007C0E6F" w:rsidRPr="002448D5">
        <w:rPr>
          <w:rFonts w:ascii="Verdana" w:eastAsia="Times New Roman" w:hAnsi="Verdana"/>
          <w:sz w:val="16"/>
          <w:szCs w:val="16"/>
          <w:lang w:val="es-CR" w:eastAsia="es-MX"/>
        </w:rPr>
        <w:t xml:space="preserve">́ para atender a la </w:t>
      </w:r>
      <w:r w:rsidR="00BE345B" w:rsidRPr="002448D5">
        <w:rPr>
          <w:rFonts w:ascii="Verdana" w:eastAsia="Times New Roman" w:hAnsi="Verdana"/>
          <w:sz w:val="16"/>
          <w:szCs w:val="16"/>
          <w:lang w:val="es-CR" w:eastAsia="es-MX"/>
        </w:rPr>
        <w:t>problemática</w:t>
      </w:r>
      <w:r w:rsidR="007C0E6F" w:rsidRPr="002448D5">
        <w:rPr>
          <w:rFonts w:ascii="Verdana" w:eastAsia="Times New Roman" w:hAnsi="Verdana"/>
          <w:sz w:val="16"/>
          <w:szCs w:val="16"/>
          <w:lang w:val="es-CR" w:eastAsia="es-MX"/>
        </w:rPr>
        <w:t xml:space="preserve"> de salud </w:t>
      </w:r>
      <w:r w:rsidR="00BE345B" w:rsidRPr="002448D5">
        <w:rPr>
          <w:rFonts w:ascii="Verdana" w:eastAsia="Times New Roman" w:hAnsi="Verdana"/>
          <w:sz w:val="16"/>
          <w:szCs w:val="16"/>
          <w:lang w:val="es-CR" w:eastAsia="es-MX"/>
        </w:rPr>
        <w:t>pública</w:t>
      </w:r>
      <w:r w:rsidR="007C0E6F" w:rsidRPr="002448D5">
        <w:rPr>
          <w:rFonts w:ascii="Verdana" w:eastAsia="Times New Roman" w:hAnsi="Verdana"/>
          <w:sz w:val="16"/>
          <w:szCs w:val="16"/>
          <w:lang w:val="es-CR" w:eastAsia="es-MX"/>
        </w:rPr>
        <w:t xml:space="preserve"> derivada de dicha explosión. </w:t>
      </w:r>
      <w:r w:rsidR="00BE345B" w:rsidRPr="002448D5">
        <w:rPr>
          <w:rFonts w:ascii="Verdana" w:eastAsia="Times New Roman" w:hAnsi="Verdana"/>
          <w:sz w:val="16"/>
          <w:szCs w:val="16"/>
          <w:lang w:val="es-CR" w:eastAsia="es-MX"/>
        </w:rPr>
        <w:t xml:space="preserve">Presentará </w:t>
      </w:r>
      <w:r w:rsidR="007C0E6F" w:rsidRPr="002448D5">
        <w:rPr>
          <w:rFonts w:ascii="Verdana" w:eastAsia="Times New Roman" w:hAnsi="Verdana"/>
          <w:sz w:val="16"/>
          <w:szCs w:val="16"/>
          <w:lang w:eastAsia="es-MX"/>
        </w:rPr>
        <w:t xml:space="preserve">recomendaciones relacionadas con las acciones que el Estado </w:t>
      </w:r>
      <w:r w:rsidR="00BE345B" w:rsidRPr="002448D5">
        <w:rPr>
          <w:rFonts w:ascii="Verdana" w:eastAsia="Times New Roman" w:hAnsi="Verdana"/>
          <w:sz w:val="16"/>
          <w:szCs w:val="16"/>
          <w:lang w:eastAsia="es-MX"/>
        </w:rPr>
        <w:t>debería</w:t>
      </w:r>
      <w:r w:rsidR="007C0E6F" w:rsidRPr="002448D5">
        <w:rPr>
          <w:rFonts w:ascii="Verdana" w:eastAsia="Times New Roman" w:hAnsi="Verdana"/>
          <w:sz w:val="16"/>
          <w:szCs w:val="16"/>
          <w:lang w:eastAsia="es-MX"/>
        </w:rPr>
        <w:t xml:space="preserve"> implementar para atender la </w:t>
      </w:r>
      <w:r w:rsidR="00BE345B" w:rsidRPr="002448D5">
        <w:rPr>
          <w:rFonts w:ascii="Verdana" w:eastAsia="Times New Roman" w:hAnsi="Verdana"/>
          <w:sz w:val="16"/>
          <w:szCs w:val="16"/>
          <w:lang w:eastAsia="es-MX"/>
        </w:rPr>
        <w:t>problemática</w:t>
      </w:r>
      <w:r w:rsidR="007C0E6F" w:rsidRPr="002448D5">
        <w:rPr>
          <w:rFonts w:ascii="Verdana" w:eastAsia="Times New Roman" w:hAnsi="Verdana"/>
          <w:sz w:val="16"/>
          <w:szCs w:val="16"/>
          <w:lang w:eastAsia="es-MX"/>
        </w:rPr>
        <w:t xml:space="preserve">. En el desarrollo de su peritaje, el experto </w:t>
      </w:r>
      <w:r w:rsidR="00BE345B" w:rsidRPr="002448D5">
        <w:rPr>
          <w:rFonts w:ascii="Verdana" w:eastAsia="Times New Roman" w:hAnsi="Verdana"/>
          <w:sz w:val="16"/>
          <w:szCs w:val="16"/>
          <w:lang w:eastAsia="es-MX"/>
        </w:rPr>
        <w:t>podrá</w:t>
      </w:r>
      <w:r w:rsidR="007C0E6F" w:rsidRPr="002448D5">
        <w:rPr>
          <w:rFonts w:ascii="Verdana" w:eastAsia="Times New Roman" w:hAnsi="Verdana"/>
          <w:sz w:val="16"/>
          <w:szCs w:val="16"/>
          <w:lang w:eastAsia="es-MX"/>
        </w:rPr>
        <w:t xml:space="preserve">́ pronunciarse sobre el contexto del </w:t>
      </w:r>
      <w:r w:rsidR="00BE345B" w:rsidRPr="002448D5">
        <w:rPr>
          <w:rFonts w:ascii="Verdana" w:eastAsia="Times New Roman" w:hAnsi="Verdana"/>
          <w:sz w:val="16"/>
          <w:szCs w:val="16"/>
          <w:lang w:eastAsia="es-MX"/>
        </w:rPr>
        <w:t>país</w:t>
      </w:r>
      <w:r w:rsidR="007C0E6F" w:rsidRPr="002448D5">
        <w:rPr>
          <w:rFonts w:ascii="Verdana" w:eastAsia="Times New Roman" w:hAnsi="Verdana"/>
          <w:sz w:val="16"/>
          <w:szCs w:val="16"/>
          <w:lang w:eastAsia="es-MX"/>
        </w:rPr>
        <w:t xml:space="preserve"> y los hechos del caso</w:t>
      </w:r>
      <w:r w:rsidRPr="002448D5">
        <w:rPr>
          <w:rFonts w:ascii="Verdana" w:eastAsia="Times New Roman" w:hAnsi="Verdana"/>
          <w:sz w:val="16"/>
          <w:szCs w:val="16"/>
          <w:lang w:val="es-CR" w:eastAsia="es-MX"/>
        </w:rPr>
        <w:t>”</w:t>
      </w:r>
      <w:r w:rsidR="00884B3E">
        <w:rPr>
          <w:rFonts w:ascii="Verdana" w:eastAsia="Times New Roman" w:hAnsi="Verdana"/>
          <w:sz w:val="16"/>
          <w:szCs w:val="16"/>
          <w:lang w:val="es-CR" w:eastAsia="es-MX"/>
        </w:rPr>
        <w:t>.</w:t>
      </w:r>
    </w:p>
  </w:footnote>
  <w:footnote w:id="28">
    <w:p w14:paraId="4177A023" w14:textId="5E2D8734" w:rsidR="00076FB6" w:rsidRPr="002448D5" w:rsidRDefault="00076FB6" w:rsidP="0043522A">
      <w:pPr>
        <w:pStyle w:val="NormalWeb"/>
        <w:spacing w:before="120" w:beforeAutospacing="0" w:after="120" w:afterAutospacing="0"/>
        <w:jc w:val="both"/>
        <w:rPr>
          <w:rFonts w:ascii="Verdana" w:eastAsia="Times New Roman" w:hAnsi="Verdana"/>
          <w:sz w:val="16"/>
          <w:szCs w:val="16"/>
          <w:lang w:val="es-CR" w:eastAsia="es-MX"/>
        </w:rPr>
      </w:pPr>
      <w:r w:rsidRPr="002448D5">
        <w:rPr>
          <w:rStyle w:val="Refdenotaalpie"/>
        </w:rPr>
        <w:footnoteRef/>
      </w:r>
      <w:r w:rsidRPr="002448D5">
        <w:rPr>
          <w:rFonts w:ascii="Verdana" w:hAnsi="Verdana"/>
          <w:sz w:val="16"/>
          <w:szCs w:val="16"/>
        </w:rPr>
        <w:t xml:space="preserve"> </w:t>
      </w:r>
      <w:r w:rsidRPr="002448D5">
        <w:rPr>
          <w:rFonts w:ascii="Verdana" w:hAnsi="Verdana"/>
          <w:sz w:val="16"/>
          <w:szCs w:val="16"/>
        </w:rPr>
        <w:tab/>
      </w:r>
      <w:r w:rsidR="00EF5FBC" w:rsidRPr="002448D5">
        <w:rPr>
          <w:rFonts w:ascii="Verdana" w:hAnsi="Verdana"/>
          <w:sz w:val="16"/>
          <w:szCs w:val="16"/>
          <w:lang w:val="es-CO"/>
        </w:rPr>
        <w:t>Howard Mielke fue</w:t>
      </w:r>
      <w:r w:rsidRPr="002448D5">
        <w:rPr>
          <w:rFonts w:ascii="Verdana" w:hAnsi="Verdana"/>
          <w:sz w:val="16"/>
          <w:szCs w:val="16"/>
        </w:rPr>
        <w:t xml:space="preserve"> ofrecid</w:t>
      </w:r>
      <w:r w:rsidR="00EF5FBC" w:rsidRPr="002448D5">
        <w:rPr>
          <w:rFonts w:ascii="Verdana" w:hAnsi="Verdana"/>
          <w:sz w:val="16"/>
          <w:szCs w:val="16"/>
        </w:rPr>
        <w:t>o</w:t>
      </w:r>
      <w:r w:rsidRPr="002448D5">
        <w:rPr>
          <w:rFonts w:ascii="Verdana" w:hAnsi="Verdana"/>
          <w:sz w:val="16"/>
          <w:szCs w:val="16"/>
        </w:rPr>
        <w:t xml:space="preserve"> para declarar sobre “</w:t>
      </w:r>
      <w:r w:rsidR="00EF5FBC" w:rsidRPr="002448D5">
        <w:rPr>
          <w:rFonts w:ascii="Verdana" w:eastAsia="Times New Roman" w:hAnsi="Verdana"/>
          <w:sz w:val="16"/>
          <w:szCs w:val="16"/>
          <w:lang w:val="es-CR" w:eastAsia="es-MX"/>
        </w:rPr>
        <w:t>los impactos a la salud por la exposición prolongada a metales pesados tóxicos presentes en La Oroya (plomo, cadmio, arsénico, y otros), y en particular para poblaciones en situaciones de vulnerabilidad. Presentará recomendaciones para proteger la salud pública y mitigar el riesgo persistente de contaminación en la ciudad. En el desarrollo de su peritaje, el experto podrá́ pronunciarse sobre los hechos del caso</w:t>
      </w:r>
      <w:r w:rsidRPr="002448D5">
        <w:rPr>
          <w:rFonts w:ascii="Verdana" w:eastAsia="Times New Roman" w:hAnsi="Verdana"/>
          <w:sz w:val="16"/>
          <w:szCs w:val="16"/>
          <w:lang w:val="es-CR" w:eastAsia="es-MX"/>
        </w:rPr>
        <w:t>”</w:t>
      </w:r>
      <w:r w:rsidR="00884B3E">
        <w:rPr>
          <w:rFonts w:ascii="Verdana" w:eastAsia="Times New Roman" w:hAnsi="Verdana"/>
          <w:sz w:val="16"/>
          <w:szCs w:val="16"/>
          <w:lang w:val="es-CR" w:eastAsia="es-MX"/>
        </w:rPr>
        <w:t>.</w:t>
      </w:r>
    </w:p>
  </w:footnote>
  <w:footnote w:id="29">
    <w:p w14:paraId="21217A71" w14:textId="7FDD7909" w:rsidR="00076FB6" w:rsidRPr="002448D5" w:rsidRDefault="00076FB6" w:rsidP="0043522A">
      <w:pPr>
        <w:pStyle w:val="NormalWeb"/>
        <w:spacing w:before="120" w:beforeAutospacing="0" w:after="120" w:afterAutospacing="0"/>
        <w:jc w:val="both"/>
        <w:rPr>
          <w:rFonts w:ascii="Verdana" w:eastAsia="Times New Roman" w:hAnsi="Verdana"/>
          <w:sz w:val="16"/>
          <w:szCs w:val="16"/>
          <w:lang w:val="es-CR" w:eastAsia="es-MX"/>
        </w:rPr>
      </w:pPr>
      <w:r w:rsidRPr="002448D5">
        <w:rPr>
          <w:rStyle w:val="Refdenotaalpie"/>
        </w:rPr>
        <w:footnoteRef/>
      </w:r>
      <w:r w:rsidRPr="002448D5">
        <w:rPr>
          <w:rFonts w:ascii="Verdana" w:hAnsi="Verdana"/>
          <w:sz w:val="16"/>
          <w:szCs w:val="16"/>
        </w:rPr>
        <w:t xml:space="preserve"> </w:t>
      </w:r>
      <w:r w:rsidRPr="002448D5">
        <w:rPr>
          <w:rFonts w:ascii="Verdana" w:hAnsi="Verdana"/>
          <w:sz w:val="16"/>
          <w:szCs w:val="16"/>
        </w:rPr>
        <w:tab/>
      </w:r>
      <w:r w:rsidR="006522A0" w:rsidRPr="002448D5">
        <w:rPr>
          <w:rFonts w:ascii="Verdana" w:hAnsi="Verdana"/>
          <w:sz w:val="16"/>
          <w:szCs w:val="16"/>
          <w:lang w:val="es-CO"/>
        </w:rPr>
        <w:t>Carolina Weill</w:t>
      </w:r>
      <w:r w:rsidR="006522A0" w:rsidRPr="002448D5">
        <w:rPr>
          <w:rFonts w:ascii="Verdana" w:hAnsi="Verdana"/>
          <w:sz w:val="16"/>
          <w:szCs w:val="16"/>
        </w:rPr>
        <w:t xml:space="preserve"> </w:t>
      </w:r>
      <w:r w:rsidRPr="002448D5">
        <w:rPr>
          <w:rFonts w:ascii="Verdana" w:hAnsi="Verdana"/>
          <w:sz w:val="16"/>
          <w:szCs w:val="16"/>
        </w:rPr>
        <w:t>fue ofrecida para declarar sobre “</w:t>
      </w:r>
      <w:r w:rsidR="00E70E3C" w:rsidRPr="002448D5">
        <w:rPr>
          <w:rFonts w:ascii="Verdana" w:eastAsia="Times New Roman" w:hAnsi="Verdana"/>
          <w:sz w:val="16"/>
          <w:szCs w:val="16"/>
          <w:lang w:val="es-CR" w:eastAsia="es-MX"/>
        </w:rPr>
        <w:t>los impactos específicos y diferenciados de la contaminación ambiental en la vida y los cuerpos de las mujeres, la forma en que ello puede repercutir en las desigualdades entre hombres y mujeres y las relaciones de dependencia y vulnerabilidad de género. También, hará́ recomendaciones sobre medidas que debe tomar el Estado para prevenir dichos impactos y mitigar aquellos ya materializados. En el desarrollo de su peritaje, la experta podrá́ pronunciarse sobre los hechos del caso</w:t>
      </w:r>
      <w:r w:rsidRPr="002448D5">
        <w:rPr>
          <w:rFonts w:ascii="Verdana" w:eastAsia="Times New Roman" w:hAnsi="Verdana"/>
          <w:sz w:val="16"/>
          <w:szCs w:val="16"/>
          <w:lang w:val="es-CR" w:eastAsia="es-MX"/>
        </w:rPr>
        <w:t>”</w:t>
      </w:r>
      <w:r w:rsidR="006A7A6B">
        <w:rPr>
          <w:rFonts w:ascii="Verdana" w:eastAsia="Times New Roman" w:hAnsi="Verdana"/>
          <w:sz w:val="16"/>
          <w:szCs w:val="16"/>
          <w:lang w:val="es-CR" w:eastAsia="es-MX"/>
        </w:rPr>
        <w:t>.</w:t>
      </w:r>
    </w:p>
  </w:footnote>
  <w:footnote w:id="30">
    <w:p w14:paraId="1797722B" w14:textId="73DFDCBB" w:rsidR="00076FB6" w:rsidRPr="009D5380" w:rsidRDefault="00076FB6" w:rsidP="0043522A">
      <w:pPr>
        <w:pStyle w:val="NormalWeb"/>
        <w:spacing w:before="120" w:beforeAutospacing="0" w:after="120" w:afterAutospacing="0"/>
        <w:jc w:val="both"/>
        <w:rPr>
          <w:rFonts w:ascii="Verdana" w:eastAsia="Times New Roman" w:hAnsi="Verdana"/>
          <w:sz w:val="16"/>
          <w:szCs w:val="16"/>
          <w:lang w:val="es-CR" w:eastAsia="es-MX"/>
        </w:rPr>
      </w:pPr>
      <w:r w:rsidRPr="002448D5">
        <w:rPr>
          <w:rStyle w:val="Refdenotaalpie"/>
        </w:rPr>
        <w:footnoteRef/>
      </w:r>
      <w:r w:rsidRPr="002448D5">
        <w:rPr>
          <w:rFonts w:ascii="Verdana" w:hAnsi="Verdana"/>
          <w:sz w:val="16"/>
          <w:szCs w:val="16"/>
        </w:rPr>
        <w:t xml:space="preserve"> </w:t>
      </w:r>
      <w:r w:rsidRPr="002448D5">
        <w:rPr>
          <w:rFonts w:ascii="Verdana" w:hAnsi="Verdana"/>
          <w:sz w:val="16"/>
          <w:szCs w:val="16"/>
        </w:rPr>
        <w:tab/>
      </w:r>
      <w:r w:rsidR="00E70E3C" w:rsidRPr="002448D5">
        <w:rPr>
          <w:rFonts w:ascii="Verdana" w:hAnsi="Verdana"/>
          <w:sz w:val="16"/>
          <w:szCs w:val="16"/>
          <w:lang w:val="es-CO"/>
        </w:rPr>
        <w:t>Diego Miguel Quirama Aguilar</w:t>
      </w:r>
      <w:r w:rsidR="00E70E3C" w:rsidRPr="002448D5">
        <w:rPr>
          <w:rFonts w:ascii="Verdana" w:hAnsi="Verdana"/>
          <w:sz w:val="16"/>
          <w:szCs w:val="16"/>
        </w:rPr>
        <w:t xml:space="preserve"> </w:t>
      </w:r>
      <w:r w:rsidRPr="002448D5">
        <w:rPr>
          <w:rFonts w:ascii="Verdana" w:hAnsi="Verdana"/>
          <w:sz w:val="16"/>
          <w:szCs w:val="16"/>
        </w:rPr>
        <w:t>fue ofrecid</w:t>
      </w:r>
      <w:r w:rsidR="00E70E3C" w:rsidRPr="002448D5">
        <w:rPr>
          <w:rFonts w:ascii="Verdana" w:hAnsi="Verdana"/>
          <w:sz w:val="16"/>
          <w:szCs w:val="16"/>
        </w:rPr>
        <w:t>o</w:t>
      </w:r>
      <w:r w:rsidRPr="002448D5">
        <w:rPr>
          <w:rFonts w:ascii="Verdana" w:hAnsi="Verdana"/>
          <w:sz w:val="16"/>
          <w:szCs w:val="16"/>
        </w:rPr>
        <w:t xml:space="preserve"> para declarar sobre “</w:t>
      </w:r>
      <w:r w:rsidR="001746DE" w:rsidRPr="002448D5">
        <w:rPr>
          <w:rFonts w:ascii="Verdana" w:eastAsia="Times New Roman" w:hAnsi="Verdana"/>
          <w:sz w:val="16"/>
          <w:szCs w:val="16"/>
          <w:lang w:val="es-CR" w:eastAsia="es-MX"/>
        </w:rPr>
        <w:t>la efectividad de las mediciones de calidad de aire en La Oroya y el uso de estándares y límites máximos locales propios en La Oroya para la toma de decisiones de política pública y la protección de la salud pública. Hará́ recomendaciones sobre las mejores prácticas de monitoreo y control de calidad de aire, y podrá́ referirse al sistema de monitoreo de calidad del aire alrededor del Complejo y su idoneidad para conocer la exposición personal a la contaminación de La Oroya. En el desarrollo de su peritaje, podrá́ pronunciarse sobre los hechos del caso</w:t>
      </w:r>
      <w:r w:rsidRPr="002448D5">
        <w:rPr>
          <w:rFonts w:ascii="Verdana" w:eastAsia="Times New Roman" w:hAnsi="Verdana"/>
          <w:sz w:val="16"/>
          <w:szCs w:val="16"/>
          <w:lang w:val="es-CR" w:eastAsia="es-MX"/>
        </w:rPr>
        <w:t>”</w:t>
      </w:r>
      <w:r w:rsidR="001746DE" w:rsidRPr="002448D5">
        <w:rPr>
          <w:rFonts w:ascii="Verdana" w:eastAsia="Times New Roman" w:hAnsi="Verdana"/>
          <w:sz w:val="16"/>
          <w:szCs w:val="16"/>
          <w:lang w:val="es-CR" w:eastAsia="es-MX"/>
        </w:rPr>
        <w:t>.</w:t>
      </w:r>
    </w:p>
  </w:footnote>
  <w:footnote w:id="31">
    <w:p w14:paraId="4BC1ECBD" w14:textId="79DCCAE6" w:rsidR="00732320" w:rsidRPr="002448D5" w:rsidRDefault="00732320" w:rsidP="0043522A">
      <w:pPr>
        <w:pStyle w:val="Textonotapie"/>
        <w:spacing w:before="120" w:after="120"/>
        <w:jc w:val="both"/>
        <w:rPr>
          <w:sz w:val="16"/>
          <w:szCs w:val="16"/>
        </w:rPr>
      </w:pPr>
      <w:r w:rsidRPr="002448D5">
        <w:rPr>
          <w:rStyle w:val="Refdenotaalpie"/>
        </w:rPr>
        <w:footnoteRef/>
      </w:r>
      <w:r w:rsidRPr="002448D5">
        <w:rPr>
          <w:sz w:val="16"/>
          <w:szCs w:val="16"/>
        </w:rPr>
        <w:t xml:space="preserve"> </w:t>
      </w:r>
      <w:r w:rsidRPr="002448D5">
        <w:rPr>
          <w:sz w:val="16"/>
          <w:szCs w:val="16"/>
        </w:rPr>
        <w:tab/>
        <w:t>Sometimiento del caso por parte de la CIDH (expediente de fondo, folio 2).</w:t>
      </w:r>
    </w:p>
  </w:footnote>
  <w:footnote w:id="32">
    <w:p w14:paraId="7A384C2E" w14:textId="7F91AD3B" w:rsidR="00253FC2" w:rsidRPr="002448D5" w:rsidRDefault="00253FC2" w:rsidP="0043522A">
      <w:pPr>
        <w:pStyle w:val="Textonotapie"/>
        <w:spacing w:before="120" w:after="120"/>
        <w:jc w:val="both"/>
        <w:rPr>
          <w:sz w:val="16"/>
          <w:szCs w:val="16"/>
        </w:rPr>
      </w:pPr>
      <w:r w:rsidRPr="002448D5">
        <w:rPr>
          <w:rStyle w:val="Refdenotaalpie"/>
        </w:rPr>
        <w:footnoteRef/>
      </w:r>
      <w:r w:rsidRPr="002448D5">
        <w:rPr>
          <w:sz w:val="16"/>
          <w:szCs w:val="16"/>
        </w:rPr>
        <w:t xml:space="preserve"> </w:t>
      </w:r>
      <w:r w:rsidRPr="002448D5">
        <w:rPr>
          <w:sz w:val="16"/>
          <w:szCs w:val="16"/>
        </w:rPr>
        <w:tab/>
        <w:t xml:space="preserve">Dentro de las actividades referidas por el perito en su hoja de vida se encuentran haber fungido como Director del </w:t>
      </w:r>
      <w:r w:rsidR="001E6081" w:rsidRPr="002448D5">
        <w:rPr>
          <w:i/>
          <w:iCs/>
          <w:sz w:val="16"/>
          <w:szCs w:val="16"/>
        </w:rPr>
        <w:t>Global Center for Legal Innovation on Food Environments</w:t>
      </w:r>
      <w:r w:rsidR="001E6081" w:rsidRPr="002448D5">
        <w:rPr>
          <w:sz w:val="16"/>
          <w:szCs w:val="16"/>
        </w:rPr>
        <w:t xml:space="preserve"> y Director del </w:t>
      </w:r>
      <w:r w:rsidR="001E6081" w:rsidRPr="002448D5">
        <w:rPr>
          <w:i/>
          <w:iCs/>
          <w:sz w:val="16"/>
          <w:szCs w:val="16"/>
        </w:rPr>
        <w:t>O’Neill Institute for National and Global Health Law</w:t>
      </w:r>
      <w:r w:rsidR="001E6081" w:rsidRPr="002448D5">
        <w:rPr>
          <w:sz w:val="16"/>
          <w:szCs w:val="16"/>
        </w:rPr>
        <w:t xml:space="preserve"> de la Universidad de Georgetown </w:t>
      </w:r>
      <w:r w:rsidR="006B1307" w:rsidRPr="002448D5">
        <w:rPr>
          <w:sz w:val="16"/>
          <w:szCs w:val="16"/>
        </w:rPr>
        <w:t>(expediente de prueba, folio 26580)</w:t>
      </w:r>
      <w:r w:rsidR="001E6081" w:rsidRPr="002448D5">
        <w:rPr>
          <w:sz w:val="16"/>
          <w:szCs w:val="16"/>
        </w:rPr>
        <w:t xml:space="preserve">. </w:t>
      </w:r>
    </w:p>
  </w:footnote>
  <w:footnote w:id="33">
    <w:p w14:paraId="55393B47" w14:textId="2DDED49B" w:rsidR="009631C1" w:rsidRPr="002448D5" w:rsidRDefault="009631C1" w:rsidP="0043522A">
      <w:pPr>
        <w:pStyle w:val="NormalWeb"/>
        <w:spacing w:before="120" w:beforeAutospacing="0" w:after="120" w:afterAutospacing="0"/>
        <w:jc w:val="both"/>
        <w:rPr>
          <w:rFonts w:ascii="Verdana" w:eastAsia="Times New Roman" w:hAnsi="Verdana"/>
          <w:sz w:val="16"/>
          <w:szCs w:val="16"/>
          <w:lang w:val="es-CR" w:eastAsia="es-MX"/>
        </w:rPr>
      </w:pPr>
      <w:r w:rsidRPr="002448D5">
        <w:rPr>
          <w:rStyle w:val="Refdenotaalpie"/>
        </w:rPr>
        <w:footnoteRef/>
      </w:r>
      <w:r w:rsidRPr="002448D5">
        <w:rPr>
          <w:rFonts w:ascii="Verdana" w:hAnsi="Verdana"/>
          <w:sz w:val="16"/>
          <w:szCs w:val="16"/>
        </w:rPr>
        <w:t xml:space="preserve"> </w:t>
      </w:r>
      <w:r w:rsidRPr="002448D5">
        <w:rPr>
          <w:rFonts w:ascii="Verdana" w:hAnsi="Verdana"/>
          <w:sz w:val="16"/>
          <w:szCs w:val="16"/>
        </w:rPr>
        <w:tab/>
      </w:r>
      <w:r w:rsidRPr="002448D5">
        <w:rPr>
          <w:rFonts w:ascii="Verdana" w:hAnsi="Verdana"/>
          <w:sz w:val="16"/>
          <w:szCs w:val="16"/>
          <w:lang w:val="es-CO"/>
        </w:rPr>
        <w:t>Jon</w:t>
      </w:r>
      <w:r w:rsidR="0069740A">
        <w:rPr>
          <w:rFonts w:ascii="Verdana" w:hAnsi="Verdana"/>
          <w:sz w:val="16"/>
          <w:szCs w:val="16"/>
          <w:lang w:val="es-CO"/>
        </w:rPr>
        <w:t>h</w:t>
      </w:r>
      <w:r w:rsidRPr="002448D5">
        <w:rPr>
          <w:rFonts w:ascii="Verdana" w:hAnsi="Verdana"/>
          <w:sz w:val="16"/>
          <w:szCs w:val="16"/>
          <w:lang w:val="es-CO"/>
        </w:rPr>
        <w:t xml:space="preserve"> Maximiliano Astete Cornejo</w:t>
      </w:r>
      <w:r w:rsidRPr="002448D5">
        <w:rPr>
          <w:rFonts w:ascii="Verdana" w:hAnsi="Verdana"/>
          <w:sz w:val="16"/>
          <w:szCs w:val="16"/>
          <w:lang w:val="es-ES"/>
        </w:rPr>
        <w:t xml:space="preserve"> fue ofrecido para declarar sobre </w:t>
      </w:r>
      <w:r w:rsidR="000D708F" w:rsidRPr="002448D5">
        <w:rPr>
          <w:rFonts w:ascii="Verdana" w:hAnsi="Verdana"/>
          <w:sz w:val="16"/>
          <w:szCs w:val="16"/>
          <w:lang w:val="es-ES"/>
        </w:rPr>
        <w:t>“</w:t>
      </w:r>
      <w:r w:rsidR="00216A3A" w:rsidRPr="002448D5">
        <w:rPr>
          <w:rFonts w:ascii="Verdana" w:hAnsi="Verdana"/>
          <w:sz w:val="16"/>
          <w:szCs w:val="16"/>
          <w:lang w:val="es-ES"/>
        </w:rPr>
        <w:t>[l]</w:t>
      </w:r>
      <w:r w:rsidR="000D708F" w:rsidRPr="002448D5">
        <w:rPr>
          <w:rFonts w:ascii="Verdana" w:eastAsia="Times New Roman" w:hAnsi="Verdana"/>
          <w:sz w:val="16"/>
          <w:szCs w:val="16"/>
          <w:lang w:val="es-CR" w:eastAsia="es-MX"/>
        </w:rPr>
        <w:t>as funciones de</w:t>
      </w:r>
      <w:r w:rsidR="00DB368B" w:rsidRPr="002448D5">
        <w:rPr>
          <w:rFonts w:ascii="Verdana" w:eastAsia="Times New Roman" w:hAnsi="Verdana"/>
          <w:sz w:val="16"/>
          <w:szCs w:val="16"/>
          <w:lang w:val="es-CR" w:eastAsia="es-MX"/>
        </w:rPr>
        <w:t>l</w:t>
      </w:r>
      <w:r w:rsidR="000D708F" w:rsidRPr="002448D5">
        <w:rPr>
          <w:rFonts w:ascii="Verdana" w:eastAsia="Times New Roman" w:hAnsi="Verdana"/>
          <w:sz w:val="16"/>
          <w:szCs w:val="16"/>
          <w:lang w:val="es-CR" w:eastAsia="es-MX"/>
        </w:rPr>
        <w:t xml:space="preserve"> Centro Nacional de Salud Ocupacional y </w:t>
      </w:r>
      <w:r w:rsidR="00122221" w:rsidRPr="002448D5">
        <w:rPr>
          <w:rFonts w:ascii="Verdana" w:eastAsia="Times New Roman" w:hAnsi="Verdana"/>
          <w:sz w:val="16"/>
          <w:szCs w:val="16"/>
          <w:lang w:val="es-CR" w:eastAsia="es-MX"/>
        </w:rPr>
        <w:t>Protección</w:t>
      </w:r>
      <w:r w:rsidR="000D708F" w:rsidRPr="002448D5">
        <w:rPr>
          <w:rFonts w:ascii="Verdana" w:eastAsia="Times New Roman" w:hAnsi="Verdana"/>
          <w:sz w:val="16"/>
          <w:szCs w:val="16"/>
          <w:lang w:val="es-CR" w:eastAsia="es-MX"/>
        </w:rPr>
        <w:t xml:space="preserve"> del Ambiente. </w:t>
      </w:r>
      <w:r w:rsidR="000D708F" w:rsidRPr="002448D5">
        <w:rPr>
          <w:rFonts w:ascii="Verdana" w:eastAsia="Times New Roman" w:hAnsi="Verdana"/>
          <w:sz w:val="16"/>
          <w:szCs w:val="16"/>
          <w:lang w:eastAsia="es-MX"/>
        </w:rPr>
        <w:t xml:space="preserve">Describir las fuentes de </w:t>
      </w:r>
      <w:r w:rsidR="00122221" w:rsidRPr="002448D5">
        <w:rPr>
          <w:rFonts w:ascii="Verdana" w:eastAsia="Times New Roman" w:hAnsi="Verdana"/>
          <w:sz w:val="16"/>
          <w:szCs w:val="16"/>
          <w:lang w:eastAsia="es-MX"/>
        </w:rPr>
        <w:t>exposición</w:t>
      </w:r>
      <w:r w:rsidR="000D708F" w:rsidRPr="002448D5">
        <w:rPr>
          <w:rFonts w:ascii="Verdana" w:eastAsia="Times New Roman" w:hAnsi="Verdana"/>
          <w:sz w:val="16"/>
          <w:szCs w:val="16"/>
          <w:lang w:eastAsia="es-MX"/>
        </w:rPr>
        <w:t xml:space="preserve"> a metales pesados existen (naturales y </w:t>
      </w:r>
      <w:r w:rsidR="00122221" w:rsidRPr="002448D5">
        <w:rPr>
          <w:rFonts w:ascii="Verdana" w:eastAsia="Times New Roman" w:hAnsi="Verdana"/>
          <w:sz w:val="16"/>
          <w:szCs w:val="16"/>
          <w:lang w:eastAsia="es-MX"/>
        </w:rPr>
        <w:t>antropogénicas</w:t>
      </w:r>
      <w:r w:rsidR="000D708F" w:rsidRPr="002448D5">
        <w:rPr>
          <w:rFonts w:ascii="Verdana" w:eastAsia="Times New Roman" w:hAnsi="Verdana"/>
          <w:sz w:val="16"/>
          <w:szCs w:val="16"/>
          <w:lang w:eastAsia="es-MX"/>
        </w:rPr>
        <w:t xml:space="preserve">). </w:t>
      </w:r>
      <w:r w:rsidR="00122221" w:rsidRPr="002448D5">
        <w:rPr>
          <w:rFonts w:ascii="Verdana" w:eastAsia="Times New Roman" w:hAnsi="Verdana"/>
          <w:sz w:val="16"/>
          <w:szCs w:val="16"/>
          <w:lang w:eastAsia="es-MX"/>
        </w:rPr>
        <w:t>Evolución</w:t>
      </w:r>
      <w:r w:rsidR="000D708F" w:rsidRPr="002448D5">
        <w:rPr>
          <w:rFonts w:ascii="Verdana" w:eastAsia="Times New Roman" w:hAnsi="Verdana"/>
          <w:sz w:val="16"/>
          <w:szCs w:val="16"/>
          <w:lang w:eastAsia="es-MX"/>
        </w:rPr>
        <w:t xml:space="preserve"> de los resultados de los dosajes a las presuntas </w:t>
      </w:r>
      <w:r w:rsidR="00122221" w:rsidRPr="002448D5">
        <w:rPr>
          <w:rFonts w:ascii="Verdana" w:eastAsia="Times New Roman" w:hAnsi="Verdana"/>
          <w:sz w:val="16"/>
          <w:szCs w:val="16"/>
          <w:lang w:eastAsia="es-MX"/>
        </w:rPr>
        <w:t>víctimas</w:t>
      </w:r>
      <w:r w:rsidR="000D708F" w:rsidRPr="002448D5">
        <w:rPr>
          <w:rFonts w:ascii="Verdana" w:eastAsia="Times New Roman" w:hAnsi="Verdana"/>
          <w:sz w:val="16"/>
          <w:szCs w:val="16"/>
          <w:lang w:eastAsia="es-MX"/>
        </w:rPr>
        <w:t xml:space="preserve">. </w:t>
      </w:r>
      <w:r w:rsidR="00122221" w:rsidRPr="002448D5">
        <w:rPr>
          <w:rFonts w:ascii="Verdana" w:eastAsia="Times New Roman" w:hAnsi="Verdana"/>
          <w:sz w:val="16"/>
          <w:szCs w:val="16"/>
          <w:lang w:eastAsia="es-MX"/>
        </w:rPr>
        <w:t>Explicación</w:t>
      </w:r>
      <w:r w:rsidR="000D708F" w:rsidRPr="002448D5">
        <w:rPr>
          <w:rFonts w:ascii="Verdana" w:eastAsia="Times New Roman" w:hAnsi="Verdana"/>
          <w:sz w:val="16"/>
          <w:szCs w:val="16"/>
          <w:lang w:eastAsia="es-MX"/>
        </w:rPr>
        <w:t xml:space="preserve"> sobre el manejo e </w:t>
      </w:r>
      <w:r w:rsidR="00122221" w:rsidRPr="002448D5">
        <w:rPr>
          <w:rFonts w:ascii="Verdana" w:eastAsia="Times New Roman" w:hAnsi="Verdana"/>
          <w:sz w:val="16"/>
          <w:szCs w:val="16"/>
          <w:lang w:eastAsia="es-MX"/>
        </w:rPr>
        <w:t>interpretación</w:t>
      </w:r>
      <w:r w:rsidR="000D708F" w:rsidRPr="002448D5">
        <w:rPr>
          <w:rFonts w:ascii="Verdana" w:eastAsia="Times New Roman" w:hAnsi="Verdana"/>
          <w:sz w:val="16"/>
          <w:szCs w:val="16"/>
          <w:lang w:eastAsia="es-MX"/>
        </w:rPr>
        <w:t xml:space="preserve"> correcta de datos destinados a </w:t>
      </w:r>
      <w:r w:rsidR="00122221" w:rsidRPr="002448D5">
        <w:rPr>
          <w:rFonts w:ascii="Verdana" w:eastAsia="Times New Roman" w:hAnsi="Verdana"/>
          <w:sz w:val="16"/>
          <w:szCs w:val="16"/>
          <w:lang w:eastAsia="es-MX"/>
        </w:rPr>
        <w:t>exámenes</w:t>
      </w:r>
      <w:r w:rsidR="000D708F" w:rsidRPr="002448D5">
        <w:rPr>
          <w:rFonts w:ascii="Verdana" w:eastAsia="Times New Roman" w:hAnsi="Verdana"/>
          <w:sz w:val="16"/>
          <w:szCs w:val="16"/>
          <w:lang w:eastAsia="es-MX"/>
        </w:rPr>
        <w:t xml:space="preserve"> o evaluaciones </w:t>
      </w:r>
      <w:r w:rsidR="00122221" w:rsidRPr="002448D5">
        <w:rPr>
          <w:rFonts w:ascii="Verdana" w:eastAsia="Times New Roman" w:hAnsi="Verdana"/>
          <w:sz w:val="16"/>
          <w:szCs w:val="16"/>
          <w:lang w:eastAsia="es-MX"/>
        </w:rPr>
        <w:t>médicas”</w:t>
      </w:r>
      <w:r w:rsidR="0069740A">
        <w:rPr>
          <w:rFonts w:ascii="Verdana" w:eastAsia="Times New Roman" w:hAnsi="Verdana"/>
          <w:sz w:val="16"/>
          <w:szCs w:val="16"/>
          <w:lang w:eastAsia="es-MX"/>
        </w:rPr>
        <w:t>.</w:t>
      </w:r>
    </w:p>
  </w:footnote>
  <w:footnote w:id="34">
    <w:p w14:paraId="2177082D" w14:textId="2E633C8B" w:rsidR="002A795E" w:rsidRPr="002448D5" w:rsidRDefault="00122221" w:rsidP="0043522A">
      <w:pPr>
        <w:pStyle w:val="NormalWeb"/>
        <w:spacing w:before="120" w:beforeAutospacing="0" w:after="120" w:afterAutospacing="0"/>
        <w:jc w:val="both"/>
        <w:rPr>
          <w:rFonts w:ascii="Verdana" w:eastAsia="Times New Roman" w:hAnsi="Verdana"/>
          <w:sz w:val="16"/>
          <w:szCs w:val="16"/>
          <w:lang w:eastAsia="es-MX"/>
        </w:rPr>
      </w:pPr>
      <w:r w:rsidRPr="002448D5">
        <w:rPr>
          <w:rStyle w:val="Refdenotaalpie"/>
        </w:rPr>
        <w:footnoteRef/>
      </w:r>
      <w:r w:rsidRPr="002448D5">
        <w:rPr>
          <w:rFonts w:ascii="Verdana" w:hAnsi="Verdana"/>
          <w:sz w:val="16"/>
          <w:szCs w:val="16"/>
        </w:rPr>
        <w:t xml:space="preserve"> </w:t>
      </w:r>
      <w:r w:rsidRPr="002448D5">
        <w:rPr>
          <w:rFonts w:ascii="Verdana" w:hAnsi="Verdana"/>
          <w:sz w:val="16"/>
          <w:szCs w:val="16"/>
        </w:rPr>
        <w:tab/>
      </w:r>
      <w:r w:rsidR="005D026E">
        <w:rPr>
          <w:rFonts w:ascii="Verdana" w:hAnsi="Verdana"/>
          <w:sz w:val="16"/>
          <w:szCs w:val="16"/>
          <w:lang w:val="es-CO"/>
        </w:rPr>
        <w:t>Jazmín</w:t>
      </w:r>
      <w:r w:rsidRPr="002448D5">
        <w:rPr>
          <w:rFonts w:ascii="Verdana" w:hAnsi="Verdana"/>
          <w:sz w:val="16"/>
          <w:szCs w:val="16"/>
          <w:lang w:val="es-CO"/>
        </w:rPr>
        <w:t xml:space="preserve"> Monr</w:t>
      </w:r>
      <w:r w:rsidR="005D026E">
        <w:rPr>
          <w:rFonts w:ascii="Verdana" w:hAnsi="Verdana"/>
          <w:sz w:val="16"/>
          <w:szCs w:val="16"/>
          <w:lang w:val="es-CO"/>
        </w:rPr>
        <w:t>r</w:t>
      </w:r>
      <w:r w:rsidRPr="002448D5">
        <w:rPr>
          <w:rFonts w:ascii="Verdana" w:hAnsi="Verdana"/>
          <w:sz w:val="16"/>
          <w:szCs w:val="16"/>
          <w:lang w:val="es-CO"/>
        </w:rPr>
        <w:t>oy Polanco</w:t>
      </w:r>
      <w:r w:rsidRPr="002448D5">
        <w:rPr>
          <w:rFonts w:ascii="Verdana" w:hAnsi="Verdana"/>
          <w:sz w:val="16"/>
          <w:szCs w:val="16"/>
          <w:lang w:val="es-ES"/>
        </w:rPr>
        <w:t xml:space="preserve"> fue ofrecida para declarar sobre </w:t>
      </w:r>
      <w:r w:rsidR="002A795E" w:rsidRPr="002448D5">
        <w:rPr>
          <w:rFonts w:ascii="Verdana" w:eastAsia="Times New Roman" w:hAnsi="Verdana"/>
          <w:sz w:val="16"/>
          <w:szCs w:val="16"/>
          <w:lang w:eastAsia="es-MX"/>
        </w:rPr>
        <w:t xml:space="preserve">“las competencias del MINSA en </w:t>
      </w:r>
      <w:r w:rsidR="00D077D2" w:rsidRPr="002448D5">
        <w:rPr>
          <w:rFonts w:ascii="Verdana" w:eastAsia="Times New Roman" w:hAnsi="Verdana"/>
          <w:sz w:val="16"/>
          <w:szCs w:val="16"/>
          <w:lang w:eastAsia="es-MX"/>
        </w:rPr>
        <w:t>relación</w:t>
      </w:r>
      <w:r w:rsidR="002A795E" w:rsidRPr="002448D5">
        <w:rPr>
          <w:rFonts w:ascii="Verdana" w:eastAsia="Times New Roman" w:hAnsi="Verdana"/>
          <w:sz w:val="16"/>
          <w:szCs w:val="16"/>
          <w:lang w:eastAsia="es-MX"/>
        </w:rPr>
        <w:t xml:space="preserve"> con la </w:t>
      </w:r>
      <w:r w:rsidR="00D077D2" w:rsidRPr="002448D5">
        <w:rPr>
          <w:rFonts w:ascii="Verdana" w:eastAsia="Times New Roman" w:hAnsi="Verdana"/>
          <w:sz w:val="16"/>
          <w:szCs w:val="16"/>
          <w:lang w:eastAsia="es-MX"/>
        </w:rPr>
        <w:t>problemática</w:t>
      </w:r>
      <w:r w:rsidR="002A795E" w:rsidRPr="002448D5">
        <w:rPr>
          <w:rFonts w:ascii="Verdana" w:eastAsia="Times New Roman" w:hAnsi="Verdana"/>
          <w:sz w:val="16"/>
          <w:szCs w:val="16"/>
          <w:lang w:eastAsia="es-MX"/>
        </w:rPr>
        <w:t xml:space="preserve"> socioambiental de la Oroya. Sobre las funciones de la </w:t>
      </w:r>
      <w:r w:rsidR="00D077D2" w:rsidRPr="002448D5">
        <w:rPr>
          <w:rFonts w:ascii="Verdana" w:eastAsia="Times New Roman" w:hAnsi="Verdana"/>
          <w:sz w:val="16"/>
          <w:szCs w:val="16"/>
          <w:lang w:eastAsia="es-MX"/>
        </w:rPr>
        <w:t>Procuraduría</w:t>
      </w:r>
      <w:r w:rsidR="002A795E" w:rsidRPr="002448D5">
        <w:rPr>
          <w:rFonts w:ascii="Verdana" w:eastAsia="Times New Roman" w:hAnsi="Verdana"/>
          <w:sz w:val="16"/>
          <w:szCs w:val="16"/>
          <w:lang w:eastAsia="es-MX"/>
        </w:rPr>
        <w:t xml:space="preserve"> Publica del Ministerio de Salud y su </w:t>
      </w:r>
      <w:r w:rsidR="00D077D2" w:rsidRPr="002448D5">
        <w:rPr>
          <w:rFonts w:ascii="Verdana" w:eastAsia="Times New Roman" w:hAnsi="Verdana"/>
          <w:sz w:val="16"/>
          <w:szCs w:val="16"/>
          <w:lang w:eastAsia="es-MX"/>
        </w:rPr>
        <w:t>relación</w:t>
      </w:r>
      <w:r w:rsidR="002A795E" w:rsidRPr="002448D5">
        <w:rPr>
          <w:rFonts w:ascii="Verdana" w:eastAsia="Times New Roman" w:hAnsi="Verdana"/>
          <w:sz w:val="16"/>
          <w:szCs w:val="16"/>
          <w:lang w:eastAsia="es-MX"/>
        </w:rPr>
        <w:t xml:space="preserve"> con la </w:t>
      </w:r>
      <w:r w:rsidR="00D077D2" w:rsidRPr="002448D5">
        <w:rPr>
          <w:rFonts w:ascii="Verdana" w:eastAsia="Times New Roman" w:hAnsi="Verdana"/>
          <w:sz w:val="16"/>
          <w:szCs w:val="16"/>
          <w:lang w:eastAsia="es-MX"/>
        </w:rPr>
        <w:t>temática</w:t>
      </w:r>
      <w:r w:rsidR="002A795E" w:rsidRPr="002448D5">
        <w:rPr>
          <w:rFonts w:ascii="Verdana" w:eastAsia="Times New Roman" w:hAnsi="Verdana"/>
          <w:sz w:val="16"/>
          <w:szCs w:val="16"/>
          <w:lang w:eastAsia="es-MX"/>
        </w:rPr>
        <w:t xml:space="preserve"> de la Oroya. Sobre el desarrollo del proceso de cumplimiento (Exp. 2002-2006-AC) </w:t>
      </w:r>
      <w:r w:rsidR="00D077D2" w:rsidRPr="002448D5">
        <w:rPr>
          <w:rFonts w:ascii="Verdana" w:eastAsia="Times New Roman" w:hAnsi="Verdana"/>
          <w:sz w:val="16"/>
          <w:szCs w:val="16"/>
          <w:lang w:eastAsia="es-MX"/>
        </w:rPr>
        <w:t>relación</w:t>
      </w:r>
      <w:r w:rsidR="002A795E" w:rsidRPr="002448D5">
        <w:rPr>
          <w:rFonts w:ascii="Verdana" w:eastAsia="Times New Roman" w:hAnsi="Verdana"/>
          <w:sz w:val="16"/>
          <w:szCs w:val="16"/>
          <w:lang w:eastAsia="es-MX"/>
        </w:rPr>
        <w:t xml:space="preserve">, especificando la </w:t>
      </w:r>
      <w:r w:rsidR="00D077D2" w:rsidRPr="002448D5">
        <w:rPr>
          <w:rFonts w:ascii="Verdana" w:eastAsia="Times New Roman" w:hAnsi="Verdana"/>
          <w:sz w:val="16"/>
          <w:szCs w:val="16"/>
          <w:lang w:eastAsia="es-MX"/>
        </w:rPr>
        <w:t>delimitación</w:t>
      </w:r>
      <w:r w:rsidR="002A795E" w:rsidRPr="002448D5">
        <w:rPr>
          <w:rFonts w:ascii="Verdana" w:eastAsia="Times New Roman" w:hAnsi="Verdana"/>
          <w:sz w:val="16"/>
          <w:szCs w:val="16"/>
          <w:lang w:eastAsia="es-MX"/>
        </w:rPr>
        <w:t xml:space="preserve"> de la controversia y del petitorio. El estado actual de la </w:t>
      </w:r>
      <w:r w:rsidR="00D077D2" w:rsidRPr="002448D5">
        <w:rPr>
          <w:rFonts w:ascii="Verdana" w:eastAsia="Times New Roman" w:hAnsi="Verdana"/>
          <w:sz w:val="16"/>
          <w:szCs w:val="16"/>
          <w:lang w:eastAsia="es-MX"/>
        </w:rPr>
        <w:t>Acción</w:t>
      </w:r>
      <w:r w:rsidR="002A795E" w:rsidRPr="002448D5">
        <w:rPr>
          <w:rFonts w:ascii="Verdana" w:eastAsia="Times New Roman" w:hAnsi="Verdana"/>
          <w:sz w:val="16"/>
          <w:szCs w:val="16"/>
          <w:lang w:eastAsia="es-MX"/>
        </w:rPr>
        <w:t xml:space="preserve"> de Cumplimiento, </w:t>
      </w:r>
      <w:r w:rsidR="00D077D2" w:rsidRPr="002448D5">
        <w:rPr>
          <w:rFonts w:ascii="Verdana" w:eastAsia="Times New Roman" w:hAnsi="Verdana"/>
          <w:sz w:val="16"/>
          <w:szCs w:val="16"/>
          <w:lang w:eastAsia="es-MX"/>
        </w:rPr>
        <w:t>recaído</w:t>
      </w:r>
      <w:r w:rsidR="002A795E" w:rsidRPr="002448D5">
        <w:rPr>
          <w:rFonts w:ascii="Verdana" w:eastAsia="Times New Roman" w:hAnsi="Verdana"/>
          <w:sz w:val="16"/>
          <w:szCs w:val="16"/>
          <w:lang w:eastAsia="es-MX"/>
        </w:rPr>
        <w:t xml:space="preserve"> en el Exp. 02002-2006- AC. Que medidas adoptadas por Ministerio de Salud se han realizado en cumplimiento del informe de fondo / en </w:t>
      </w:r>
      <w:r w:rsidR="00D077D2" w:rsidRPr="002448D5">
        <w:rPr>
          <w:rFonts w:ascii="Verdana" w:eastAsia="Times New Roman" w:hAnsi="Verdana"/>
          <w:sz w:val="16"/>
          <w:szCs w:val="16"/>
          <w:lang w:eastAsia="es-MX"/>
        </w:rPr>
        <w:t>atención</w:t>
      </w:r>
      <w:r w:rsidR="002A795E" w:rsidRPr="002448D5">
        <w:rPr>
          <w:rFonts w:ascii="Verdana" w:eastAsia="Times New Roman" w:hAnsi="Verdana"/>
          <w:sz w:val="16"/>
          <w:szCs w:val="16"/>
          <w:lang w:eastAsia="es-MX"/>
        </w:rPr>
        <w:t xml:space="preserve"> al cumplimiento de lo ordenado por el TC. Que acciones se tiene programado a mediano / corto plazo para las recomendaciones que no han sido implementadas, dentro de las competencias del sector salud”</w:t>
      </w:r>
      <w:r w:rsidR="0069740A">
        <w:rPr>
          <w:rFonts w:ascii="Verdana" w:eastAsia="Times New Roman" w:hAnsi="Verdana"/>
          <w:sz w:val="16"/>
          <w:szCs w:val="16"/>
          <w:lang w:eastAsia="es-MX"/>
        </w:rPr>
        <w:t>.</w:t>
      </w:r>
    </w:p>
  </w:footnote>
  <w:footnote w:id="35">
    <w:p w14:paraId="6A15F675" w14:textId="77777777" w:rsidR="00CB571A" w:rsidRPr="002448D5" w:rsidRDefault="00CB571A" w:rsidP="0043522A">
      <w:pPr>
        <w:pStyle w:val="Textonotapie"/>
        <w:spacing w:before="120" w:after="120"/>
        <w:jc w:val="both"/>
        <w:rPr>
          <w:sz w:val="16"/>
          <w:szCs w:val="16"/>
          <w:lang w:val="es-BO"/>
        </w:rPr>
      </w:pPr>
      <w:r w:rsidRPr="002448D5">
        <w:rPr>
          <w:rStyle w:val="Refdenotaalpie"/>
        </w:rPr>
        <w:footnoteRef/>
      </w:r>
      <w:r w:rsidRPr="002448D5">
        <w:rPr>
          <w:sz w:val="16"/>
          <w:szCs w:val="16"/>
          <w:lang w:val="es-BO"/>
        </w:rPr>
        <w:t xml:space="preserve"> </w:t>
      </w:r>
      <w:r w:rsidRPr="002448D5">
        <w:rPr>
          <w:sz w:val="16"/>
          <w:szCs w:val="16"/>
          <w:lang w:val="es-BO"/>
        </w:rPr>
        <w:tab/>
      </w:r>
      <w:r w:rsidRPr="002448D5">
        <w:rPr>
          <w:i/>
          <w:sz w:val="16"/>
          <w:szCs w:val="16"/>
          <w:lang w:val="es-BO"/>
        </w:rPr>
        <w:t>Cfr. Caso Valle Jaramillo y otros Vs. Colombia</w:t>
      </w:r>
      <w:r w:rsidRPr="002448D5">
        <w:rPr>
          <w:sz w:val="16"/>
          <w:szCs w:val="16"/>
          <w:lang w:val="es-BO"/>
        </w:rPr>
        <w:t xml:space="preserve">. Resolución del Presidente de la Corte Interamericana de Derechos Humanos de 30 de noviembre de 2007, Considerando 11, y </w:t>
      </w:r>
      <w:r w:rsidRPr="002448D5">
        <w:rPr>
          <w:i/>
          <w:sz w:val="16"/>
          <w:szCs w:val="16"/>
          <w:lang w:val="es-BO"/>
        </w:rPr>
        <w:t>Caso Hermanos Landaeta Mejías y otros Vs. Venezuela.</w:t>
      </w:r>
      <w:r w:rsidRPr="002448D5">
        <w:rPr>
          <w:sz w:val="16"/>
          <w:szCs w:val="16"/>
          <w:lang w:val="es-BO"/>
        </w:rPr>
        <w:t xml:space="preserve"> Resolución del Presidente de la Corte Interamericana de Derechos Humanos de 26 de diciembre de 2013</w:t>
      </w:r>
      <w:r w:rsidRPr="002448D5">
        <w:rPr>
          <w:rFonts w:cs="Arial"/>
          <w:sz w:val="16"/>
          <w:szCs w:val="16"/>
          <w:shd w:val="clear" w:color="auto" w:fill="FFFFFF"/>
          <w:lang w:val="es-BO"/>
        </w:rPr>
        <w:t>, Considerando 23</w:t>
      </w:r>
      <w:r w:rsidRPr="002448D5">
        <w:rPr>
          <w:sz w:val="16"/>
          <w:szCs w:val="16"/>
          <w:lang w:val="es-BO"/>
        </w:rPr>
        <w:t>.</w:t>
      </w:r>
    </w:p>
  </w:footnote>
  <w:footnote w:id="36">
    <w:p w14:paraId="4B0FB06A" w14:textId="5BABF605" w:rsidR="0057743D" w:rsidRPr="002448D5" w:rsidRDefault="0057743D" w:rsidP="0043522A">
      <w:pPr>
        <w:pStyle w:val="Sinespaciado"/>
        <w:numPr>
          <w:ilvl w:val="0"/>
          <w:numId w:val="0"/>
        </w:numPr>
        <w:spacing w:before="120" w:after="120"/>
        <w:rPr>
          <w:sz w:val="16"/>
          <w:szCs w:val="16"/>
          <w:lang w:val="es-CO"/>
        </w:rPr>
      </w:pPr>
      <w:r w:rsidRPr="002448D5">
        <w:rPr>
          <w:rStyle w:val="Refdenotaalpie"/>
        </w:rPr>
        <w:footnoteRef/>
      </w:r>
      <w:r w:rsidRPr="002448D5">
        <w:rPr>
          <w:sz w:val="16"/>
          <w:szCs w:val="16"/>
        </w:rPr>
        <w:t xml:space="preserve"> </w:t>
      </w:r>
      <w:r w:rsidRPr="002448D5">
        <w:rPr>
          <w:sz w:val="16"/>
          <w:szCs w:val="16"/>
        </w:rPr>
        <w:tab/>
      </w:r>
      <w:r w:rsidRPr="002448D5">
        <w:rPr>
          <w:sz w:val="16"/>
          <w:szCs w:val="16"/>
          <w:lang w:val="es-CO"/>
        </w:rPr>
        <w:t>Patricia Mercedes Gallegos Quesquén</w:t>
      </w:r>
      <w:r w:rsidRPr="002448D5">
        <w:rPr>
          <w:sz w:val="16"/>
          <w:szCs w:val="16"/>
          <w:lang w:val="es-ES"/>
        </w:rPr>
        <w:t xml:space="preserve"> fue ofrecida para que explique </w:t>
      </w:r>
      <w:r w:rsidRPr="002448D5">
        <w:rPr>
          <w:rFonts w:eastAsia="Times New Roman"/>
          <w:sz w:val="16"/>
          <w:szCs w:val="16"/>
          <w:lang w:eastAsia="es-MX"/>
        </w:rPr>
        <w:t>“</w:t>
      </w:r>
      <w:r w:rsidRPr="000B5278">
        <w:rPr>
          <w:rFonts w:eastAsia="Times New Roman" w:cs="Times New Roman"/>
          <w:sz w:val="16"/>
          <w:szCs w:val="16"/>
          <w:lang w:eastAsia="es-MX"/>
        </w:rPr>
        <w:t xml:space="preserve">la </w:t>
      </w:r>
      <w:r w:rsidRPr="002448D5">
        <w:rPr>
          <w:rFonts w:eastAsia="Times New Roman"/>
          <w:sz w:val="16"/>
          <w:szCs w:val="16"/>
          <w:lang w:eastAsia="es-MX"/>
        </w:rPr>
        <w:t>evolución</w:t>
      </w:r>
      <w:r w:rsidRPr="000B5278">
        <w:rPr>
          <w:rFonts w:eastAsia="Times New Roman" w:cs="Times New Roman"/>
          <w:sz w:val="16"/>
          <w:szCs w:val="16"/>
          <w:lang w:eastAsia="es-MX"/>
        </w:rPr>
        <w:t xml:space="preserve"> normativa en materia ambiental-minero, con</w:t>
      </w:r>
      <w:r w:rsidRPr="002448D5">
        <w:rPr>
          <w:rFonts w:eastAsia="Times New Roman" w:cs="Times New Roman"/>
          <w:sz w:val="16"/>
          <w:szCs w:val="16"/>
          <w:lang w:eastAsia="es-MX"/>
        </w:rPr>
        <w:t xml:space="preserve"> </w:t>
      </w:r>
      <w:r w:rsidRPr="000B5278">
        <w:rPr>
          <w:rFonts w:eastAsia="Times New Roman" w:cs="Times New Roman"/>
          <w:sz w:val="16"/>
          <w:szCs w:val="16"/>
          <w:lang w:eastAsia="es-MX"/>
        </w:rPr>
        <w:t>posterioridad a la sentencia del TC (2006) a la fecha en el Perú.</w:t>
      </w:r>
      <w:r w:rsidRPr="002448D5">
        <w:rPr>
          <w:rFonts w:eastAsia="Times New Roman" w:cs="Times New Roman"/>
          <w:sz w:val="16"/>
          <w:szCs w:val="16"/>
          <w:lang w:eastAsia="es-MX"/>
        </w:rPr>
        <w:t xml:space="preserve"> </w:t>
      </w:r>
      <w:r w:rsidRPr="000B5278">
        <w:rPr>
          <w:rFonts w:eastAsia="Times New Roman" w:cs="Times New Roman"/>
          <w:sz w:val="16"/>
          <w:szCs w:val="16"/>
          <w:lang w:eastAsia="es-MX"/>
        </w:rPr>
        <w:t xml:space="preserve">Que explique las acciones del Estado a fin de adecuar la normativa peruana a los </w:t>
      </w:r>
      <w:r w:rsidRPr="002448D5">
        <w:rPr>
          <w:rFonts w:eastAsia="Times New Roman"/>
          <w:sz w:val="16"/>
          <w:szCs w:val="16"/>
          <w:lang w:eastAsia="es-MX"/>
        </w:rPr>
        <w:t>estándares</w:t>
      </w:r>
      <w:r w:rsidRPr="000B5278">
        <w:rPr>
          <w:rFonts w:eastAsia="Times New Roman" w:cs="Times New Roman"/>
          <w:sz w:val="16"/>
          <w:szCs w:val="16"/>
          <w:lang w:eastAsia="es-MX"/>
        </w:rPr>
        <w:t xml:space="preserve"> o tendencias internacionales (acentuando en los LMP y ECAS y su </w:t>
      </w:r>
      <w:r w:rsidRPr="002448D5">
        <w:rPr>
          <w:rFonts w:eastAsia="Times New Roman"/>
          <w:sz w:val="16"/>
          <w:szCs w:val="16"/>
          <w:lang w:eastAsia="es-MX"/>
        </w:rPr>
        <w:t>relación</w:t>
      </w:r>
      <w:r w:rsidRPr="000B5278">
        <w:rPr>
          <w:rFonts w:eastAsia="Times New Roman" w:cs="Times New Roman"/>
          <w:sz w:val="16"/>
          <w:szCs w:val="16"/>
          <w:lang w:eastAsia="es-MX"/>
        </w:rPr>
        <w:t xml:space="preserve"> con </w:t>
      </w:r>
      <w:r w:rsidRPr="002448D5">
        <w:rPr>
          <w:rFonts w:eastAsia="Times New Roman"/>
          <w:sz w:val="16"/>
          <w:szCs w:val="16"/>
          <w:lang w:eastAsia="es-MX"/>
        </w:rPr>
        <w:t>estándares</w:t>
      </w:r>
      <w:r w:rsidRPr="000B5278">
        <w:rPr>
          <w:rFonts w:eastAsia="Times New Roman" w:cs="Times New Roman"/>
          <w:sz w:val="16"/>
          <w:szCs w:val="16"/>
          <w:lang w:eastAsia="es-MX"/>
        </w:rPr>
        <w:t xml:space="preserve"> internacionales).</w:t>
      </w:r>
      <w:r w:rsidRPr="002448D5">
        <w:rPr>
          <w:sz w:val="16"/>
          <w:szCs w:val="16"/>
        </w:rPr>
        <w:t xml:space="preserve"> </w:t>
      </w:r>
      <w:r w:rsidRPr="0046536F">
        <w:rPr>
          <w:rFonts w:eastAsia="Times New Roman" w:cs="Times New Roman"/>
          <w:sz w:val="16"/>
          <w:szCs w:val="16"/>
          <w:lang w:eastAsia="es-MX"/>
        </w:rPr>
        <w:t xml:space="preserve">Que explique la </w:t>
      </w:r>
      <w:r w:rsidRPr="002448D5">
        <w:rPr>
          <w:rFonts w:eastAsia="Times New Roman"/>
          <w:sz w:val="16"/>
          <w:szCs w:val="16"/>
          <w:lang w:eastAsia="es-MX"/>
        </w:rPr>
        <w:t>evolución</w:t>
      </w:r>
      <w:r w:rsidRPr="0046536F">
        <w:rPr>
          <w:rFonts w:eastAsia="Times New Roman" w:cs="Times New Roman"/>
          <w:sz w:val="16"/>
          <w:szCs w:val="16"/>
          <w:lang w:eastAsia="es-MX"/>
        </w:rPr>
        <w:t xml:space="preserve"> institucional del sector ambiente en el </w:t>
      </w:r>
      <w:r w:rsidRPr="002448D5">
        <w:rPr>
          <w:rFonts w:eastAsia="Times New Roman"/>
          <w:sz w:val="16"/>
          <w:szCs w:val="16"/>
          <w:lang w:eastAsia="es-MX"/>
        </w:rPr>
        <w:t>Perú</w:t>
      </w:r>
      <w:r w:rsidRPr="0046536F">
        <w:rPr>
          <w:rFonts w:eastAsia="Times New Roman" w:cs="Times New Roman"/>
          <w:sz w:val="16"/>
          <w:szCs w:val="16"/>
          <w:lang w:eastAsia="es-MX"/>
        </w:rPr>
        <w:t>́. Que explique las obligaciones de control del Estado frente a las empresas del sector minero-ambiental.</w:t>
      </w:r>
      <w:r w:rsidRPr="002448D5">
        <w:rPr>
          <w:rFonts w:eastAsia="Times New Roman" w:cs="Times New Roman"/>
          <w:sz w:val="16"/>
          <w:szCs w:val="16"/>
          <w:lang w:eastAsia="es-MX"/>
        </w:rPr>
        <w:t xml:space="preserve"> </w:t>
      </w:r>
      <w:r w:rsidRPr="0046536F">
        <w:rPr>
          <w:rFonts w:eastAsia="Times New Roman" w:cs="Times New Roman"/>
          <w:sz w:val="16"/>
          <w:szCs w:val="16"/>
          <w:lang w:eastAsia="es-MX"/>
        </w:rPr>
        <w:t>Que analice si las acciones del Estado peruano han garantizado el resguardo de los derechos de las personas que habitan La Oroya.</w:t>
      </w:r>
      <w:r w:rsidRPr="002448D5">
        <w:rPr>
          <w:rFonts w:eastAsia="Times New Roman"/>
          <w:sz w:val="16"/>
          <w:szCs w:val="16"/>
          <w:lang w:eastAsia="es-MX"/>
        </w:rPr>
        <w:t xml:space="preserve"> </w:t>
      </w:r>
      <w:r w:rsidRPr="0046536F">
        <w:rPr>
          <w:rFonts w:eastAsia="Times New Roman" w:cs="Times New Roman"/>
          <w:sz w:val="16"/>
          <w:szCs w:val="16"/>
          <w:lang w:eastAsia="es-MX"/>
        </w:rPr>
        <w:t xml:space="preserve">Para poder ejemplificar su </w:t>
      </w:r>
      <w:r w:rsidRPr="002448D5">
        <w:rPr>
          <w:rFonts w:eastAsia="Times New Roman"/>
          <w:sz w:val="16"/>
          <w:szCs w:val="16"/>
          <w:lang w:eastAsia="es-MX"/>
        </w:rPr>
        <w:t>intervención</w:t>
      </w:r>
      <w:r w:rsidRPr="0046536F">
        <w:rPr>
          <w:rFonts w:eastAsia="Times New Roman" w:cs="Times New Roman"/>
          <w:sz w:val="16"/>
          <w:szCs w:val="16"/>
          <w:lang w:eastAsia="es-MX"/>
        </w:rPr>
        <w:t xml:space="preserve"> pericial, el perito </w:t>
      </w:r>
      <w:r w:rsidRPr="002448D5">
        <w:rPr>
          <w:rFonts w:eastAsia="Times New Roman"/>
          <w:sz w:val="16"/>
          <w:szCs w:val="16"/>
          <w:lang w:eastAsia="es-MX"/>
        </w:rPr>
        <w:t>podrá</w:t>
      </w:r>
      <w:r w:rsidRPr="0046536F">
        <w:rPr>
          <w:rFonts w:eastAsia="Times New Roman" w:cs="Times New Roman"/>
          <w:sz w:val="16"/>
          <w:szCs w:val="16"/>
          <w:lang w:eastAsia="es-MX"/>
        </w:rPr>
        <w:t xml:space="preserve">́ referirse a los hechos del presente caso y </w:t>
      </w:r>
      <w:r w:rsidRPr="002448D5">
        <w:rPr>
          <w:rFonts w:eastAsia="Times New Roman"/>
          <w:sz w:val="16"/>
          <w:szCs w:val="16"/>
          <w:lang w:eastAsia="es-MX"/>
        </w:rPr>
        <w:t>a la jurisprudencia nacional y supranacional sobre la materia”</w:t>
      </w:r>
      <w:r w:rsidR="0069740A">
        <w:rPr>
          <w:rFonts w:eastAsia="Times New Roman"/>
          <w:sz w:val="16"/>
          <w:szCs w:val="16"/>
          <w:lang w:eastAsia="es-MX"/>
        </w:rPr>
        <w:t>.</w:t>
      </w:r>
    </w:p>
  </w:footnote>
  <w:footnote w:id="37">
    <w:p w14:paraId="65303FF3" w14:textId="01796760" w:rsidR="0057743D" w:rsidRPr="002448D5" w:rsidRDefault="0057743D" w:rsidP="0043522A">
      <w:pPr>
        <w:shd w:val="clear" w:color="auto" w:fill="FFFFFF" w:themeFill="background1"/>
        <w:spacing w:before="120" w:after="120" w:line="240" w:lineRule="auto"/>
        <w:jc w:val="both"/>
        <w:rPr>
          <w:rFonts w:eastAsia="Times New Roman" w:cs="Times New Roman"/>
          <w:sz w:val="16"/>
          <w:szCs w:val="16"/>
          <w:lang w:eastAsia="es-MX"/>
        </w:rPr>
      </w:pPr>
      <w:r w:rsidRPr="002448D5">
        <w:rPr>
          <w:rStyle w:val="Refdenotaalpie"/>
        </w:rPr>
        <w:footnoteRef/>
      </w:r>
      <w:r w:rsidRPr="002448D5">
        <w:rPr>
          <w:sz w:val="16"/>
          <w:szCs w:val="16"/>
        </w:rPr>
        <w:t xml:space="preserve"> </w:t>
      </w:r>
      <w:r w:rsidRPr="002448D5">
        <w:rPr>
          <w:sz w:val="16"/>
          <w:szCs w:val="16"/>
        </w:rPr>
        <w:tab/>
      </w:r>
      <w:r w:rsidR="001229FA" w:rsidRPr="002448D5">
        <w:rPr>
          <w:sz w:val="16"/>
          <w:szCs w:val="16"/>
          <w:lang w:val="es-CO"/>
        </w:rPr>
        <w:t>Federico Chunga Fiestas</w:t>
      </w:r>
      <w:r w:rsidR="001229FA" w:rsidRPr="002448D5">
        <w:rPr>
          <w:rFonts w:eastAsia="Times New Roman" w:cs="Times New Roman"/>
          <w:sz w:val="16"/>
          <w:szCs w:val="16"/>
          <w:lang w:eastAsia="es-MX"/>
        </w:rPr>
        <w:t xml:space="preserve"> fue ofrecido para declarar s</w:t>
      </w:r>
      <w:r w:rsidRPr="00444E9D">
        <w:rPr>
          <w:rFonts w:eastAsia="Times New Roman" w:cs="Times New Roman"/>
          <w:sz w:val="16"/>
          <w:szCs w:val="16"/>
          <w:lang w:eastAsia="es-MX"/>
        </w:rPr>
        <w:t xml:space="preserve">obre </w:t>
      </w:r>
      <w:r w:rsidR="001229FA" w:rsidRPr="002448D5">
        <w:rPr>
          <w:rFonts w:eastAsia="Times New Roman" w:cs="Times New Roman"/>
          <w:sz w:val="16"/>
          <w:szCs w:val="16"/>
          <w:lang w:eastAsia="es-MX"/>
        </w:rPr>
        <w:t>“</w:t>
      </w:r>
      <w:r w:rsidRPr="00444E9D">
        <w:rPr>
          <w:rFonts w:eastAsia="Times New Roman" w:cs="Times New Roman"/>
          <w:sz w:val="16"/>
          <w:szCs w:val="16"/>
          <w:lang w:eastAsia="es-MX"/>
        </w:rPr>
        <w:t xml:space="preserve">la </w:t>
      </w:r>
      <w:r w:rsidRPr="002448D5">
        <w:rPr>
          <w:rFonts w:eastAsia="Times New Roman" w:cs="Times New Roman"/>
          <w:sz w:val="16"/>
          <w:szCs w:val="16"/>
          <w:lang w:eastAsia="es-MX"/>
        </w:rPr>
        <w:t>adopción</w:t>
      </w:r>
      <w:r w:rsidRPr="00444E9D">
        <w:rPr>
          <w:rFonts w:eastAsia="Times New Roman" w:cs="Times New Roman"/>
          <w:sz w:val="16"/>
          <w:szCs w:val="16"/>
          <w:lang w:eastAsia="es-MX"/>
        </w:rPr>
        <w:t xml:space="preserve">, por parte del Estado peruano —en el marco del Plan Nacional de Derechos Humanos 2018-2021 y el Plan Nacional de </w:t>
      </w:r>
      <w:r w:rsidRPr="002448D5">
        <w:rPr>
          <w:rFonts w:eastAsia="Times New Roman" w:cs="Times New Roman"/>
          <w:sz w:val="16"/>
          <w:szCs w:val="16"/>
          <w:lang w:eastAsia="es-MX"/>
        </w:rPr>
        <w:t>Acción</w:t>
      </w:r>
      <w:r w:rsidRPr="00444E9D">
        <w:rPr>
          <w:rFonts w:eastAsia="Times New Roman" w:cs="Times New Roman"/>
          <w:sz w:val="16"/>
          <w:szCs w:val="16"/>
          <w:lang w:eastAsia="es-MX"/>
        </w:rPr>
        <w:t xml:space="preserve"> sobre Empresas y Derechos Humanos 2021-2025, y las particularidades de su </w:t>
      </w:r>
      <w:r w:rsidRPr="002448D5">
        <w:rPr>
          <w:rFonts w:eastAsia="Times New Roman" w:cs="Times New Roman"/>
          <w:sz w:val="16"/>
          <w:szCs w:val="16"/>
          <w:lang w:eastAsia="es-MX"/>
        </w:rPr>
        <w:t>construcción</w:t>
      </w:r>
      <w:r w:rsidRPr="00444E9D">
        <w:rPr>
          <w:rFonts w:eastAsia="Times New Roman" w:cs="Times New Roman"/>
          <w:sz w:val="16"/>
          <w:szCs w:val="16"/>
          <w:lang w:eastAsia="es-MX"/>
        </w:rPr>
        <w:t xml:space="preserve">— de medidas que exijan, promuevan y orienten a las empresas del sector extractivo a realizar la debida diligencia en materia de derechos humanos, en particular en </w:t>
      </w:r>
      <w:r w:rsidRPr="002448D5">
        <w:rPr>
          <w:rFonts w:eastAsia="Times New Roman" w:cs="Times New Roman"/>
          <w:sz w:val="16"/>
          <w:szCs w:val="16"/>
          <w:lang w:eastAsia="es-MX"/>
        </w:rPr>
        <w:t>relación</w:t>
      </w:r>
      <w:r w:rsidRPr="00444E9D">
        <w:rPr>
          <w:rFonts w:eastAsia="Times New Roman" w:cs="Times New Roman"/>
          <w:sz w:val="16"/>
          <w:szCs w:val="16"/>
          <w:lang w:eastAsia="es-MX"/>
        </w:rPr>
        <w:t xml:space="preserve"> con el derecho al medio ambiente adecuado y saludable. Para poder ejemplificar su </w:t>
      </w:r>
      <w:r w:rsidRPr="002448D5">
        <w:rPr>
          <w:rFonts w:eastAsia="Times New Roman" w:cs="Times New Roman"/>
          <w:sz w:val="16"/>
          <w:szCs w:val="16"/>
          <w:lang w:eastAsia="es-MX"/>
        </w:rPr>
        <w:t>intervención</w:t>
      </w:r>
      <w:r w:rsidRPr="00444E9D">
        <w:rPr>
          <w:rFonts w:eastAsia="Times New Roman" w:cs="Times New Roman"/>
          <w:sz w:val="16"/>
          <w:szCs w:val="16"/>
          <w:lang w:eastAsia="es-MX"/>
        </w:rPr>
        <w:t xml:space="preserve"> pericial, el perito </w:t>
      </w:r>
      <w:r w:rsidRPr="002448D5">
        <w:rPr>
          <w:rFonts w:eastAsia="Times New Roman" w:cs="Times New Roman"/>
          <w:sz w:val="16"/>
          <w:szCs w:val="16"/>
          <w:lang w:eastAsia="es-MX"/>
        </w:rPr>
        <w:t>podrá</w:t>
      </w:r>
      <w:r w:rsidRPr="00444E9D">
        <w:rPr>
          <w:rFonts w:eastAsia="Times New Roman" w:cs="Times New Roman"/>
          <w:sz w:val="16"/>
          <w:szCs w:val="16"/>
          <w:lang w:eastAsia="es-MX"/>
        </w:rPr>
        <w:t>́ referirse a los hechos del presente caso y a la jurisprudencia nacional y supranacional sobre la materia.</w:t>
      </w:r>
      <w:r w:rsidR="001229FA" w:rsidRPr="002448D5">
        <w:rPr>
          <w:rFonts w:eastAsia="Times New Roman" w:cs="Times New Roman"/>
          <w:sz w:val="16"/>
          <w:szCs w:val="16"/>
          <w:lang w:eastAsia="es-MX"/>
        </w:rPr>
        <w:t>”</w:t>
      </w:r>
    </w:p>
  </w:footnote>
  <w:footnote w:id="38">
    <w:p w14:paraId="48884C62" w14:textId="77777777" w:rsidR="00C667E7" w:rsidRPr="002448D5" w:rsidRDefault="00C667E7" w:rsidP="0043522A">
      <w:pPr>
        <w:pStyle w:val="Textonotapie"/>
        <w:spacing w:before="120" w:after="120"/>
        <w:jc w:val="both"/>
        <w:rPr>
          <w:sz w:val="16"/>
          <w:szCs w:val="16"/>
          <w:lang w:val="es-ES"/>
        </w:rPr>
      </w:pPr>
      <w:r w:rsidRPr="002448D5">
        <w:rPr>
          <w:rStyle w:val="Refdenotaalpie"/>
        </w:rPr>
        <w:footnoteRef/>
      </w:r>
      <w:r w:rsidRPr="002448D5">
        <w:rPr>
          <w:sz w:val="16"/>
          <w:szCs w:val="16"/>
        </w:rPr>
        <w:t xml:space="preserve"> </w:t>
      </w:r>
      <w:r w:rsidRPr="002448D5">
        <w:rPr>
          <w:sz w:val="16"/>
          <w:szCs w:val="16"/>
        </w:rPr>
        <w:tab/>
        <w:t>El artículo 48.1.c del Reglamento establece lo siguiente: “</w:t>
      </w:r>
      <w:r w:rsidRPr="002448D5">
        <w:rPr>
          <w:rFonts w:cs="Arial"/>
          <w:sz w:val="16"/>
          <w:szCs w:val="16"/>
          <w:shd w:val="clear" w:color="auto" w:fill="FFFFFF"/>
        </w:rPr>
        <w:t>1. Los peritos podrán ser recusados cuando incurran en alguna de las siguientes causales: c. tener o haber tenido vínculos estrechos o relación de subordinación funcional con la parte que lo propone y que a juicio de la Corte pudiera afectar su imparcialidad”.</w:t>
      </w:r>
    </w:p>
  </w:footnote>
  <w:footnote w:id="39">
    <w:p w14:paraId="2FE72358" w14:textId="5974DA39" w:rsidR="00C667E7" w:rsidRPr="002448D5" w:rsidRDefault="00C667E7" w:rsidP="0043522A">
      <w:pPr>
        <w:spacing w:before="120" w:after="120" w:line="240" w:lineRule="auto"/>
        <w:jc w:val="both"/>
        <w:rPr>
          <w:rFonts w:eastAsia="Times New Roman" w:cs="Times New Roman"/>
          <w:color w:val="000000" w:themeColor="text1"/>
          <w:sz w:val="16"/>
          <w:szCs w:val="16"/>
          <w:lang w:eastAsia="es-MX"/>
        </w:rPr>
      </w:pPr>
      <w:r w:rsidRPr="002448D5">
        <w:rPr>
          <w:rStyle w:val="Refdenotaalpie"/>
          <w:color w:val="000000" w:themeColor="text1"/>
        </w:rPr>
        <w:footnoteRef/>
      </w:r>
      <w:r w:rsidRPr="002448D5">
        <w:rPr>
          <w:rStyle w:val="Refdenotaalpie"/>
          <w:color w:val="000000" w:themeColor="text1"/>
          <w:lang w:val="es-BO"/>
        </w:rPr>
        <w:t xml:space="preserve"> </w:t>
      </w:r>
      <w:r w:rsidRPr="002448D5">
        <w:rPr>
          <w:color w:val="000000" w:themeColor="text1"/>
          <w:sz w:val="16"/>
          <w:szCs w:val="16"/>
          <w:lang w:val="es-BO"/>
        </w:rPr>
        <w:tab/>
      </w:r>
      <w:r w:rsidRPr="002448D5">
        <w:rPr>
          <w:rStyle w:val="Textoennegrita"/>
          <w:b w:val="0"/>
          <w:i/>
          <w:color w:val="000000" w:themeColor="text1"/>
          <w:sz w:val="16"/>
          <w:szCs w:val="16"/>
          <w:shd w:val="clear" w:color="auto" w:fill="FFFFFF"/>
          <w:lang w:val="es-BO"/>
        </w:rPr>
        <w:t>Cfr. Caso Díaz Peña Vs. Venezuela</w:t>
      </w:r>
      <w:r w:rsidRPr="002448D5">
        <w:rPr>
          <w:rStyle w:val="Textoennegrita"/>
          <w:b w:val="0"/>
          <w:color w:val="000000" w:themeColor="text1"/>
          <w:sz w:val="16"/>
          <w:szCs w:val="16"/>
          <w:shd w:val="clear" w:color="auto" w:fill="FFFFFF"/>
          <w:lang w:val="es-BO"/>
        </w:rPr>
        <w:t xml:space="preserve">. </w:t>
      </w:r>
      <w:r w:rsidRPr="002448D5">
        <w:rPr>
          <w:rStyle w:val="Textoennegrita"/>
          <w:b w:val="0"/>
          <w:i/>
          <w:color w:val="000000" w:themeColor="text1"/>
          <w:sz w:val="16"/>
          <w:szCs w:val="16"/>
          <w:shd w:val="clear" w:color="auto" w:fill="FFFFFF"/>
          <w:lang w:val="es-BO"/>
        </w:rPr>
        <w:t>Convocatoria a audiencia</w:t>
      </w:r>
      <w:r w:rsidRPr="002448D5">
        <w:rPr>
          <w:rStyle w:val="Textoennegrita"/>
          <w:b w:val="0"/>
          <w:color w:val="000000" w:themeColor="text1"/>
          <w:sz w:val="16"/>
          <w:szCs w:val="16"/>
          <w:shd w:val="clear" w:color="auto" w:fill="FFFFFF"/>
          <w:lang w:val="es-BO"/>
        </w:rPr>
        <w:t xml:space="preserve">. Resolución del Presidente de la Corte de 2 de noviembre de 2011, Considerando 11, y </w:t>
      </w:r>
      <w:r w:rsidR="009F08F1" w:rsidRPr="002448D5">
        <w:rPr>
          <w:rFonts w:eastAsia="Times New Roman" w:cs="Open Sans"/>
          <w:i/>
          <w:iCs/>
          <w:color w:val="000000" w:themeColor="text1"/>
          <w:sz w:val="16"/>
          <w:szCs w:val="16"/>
          <w:shd w:val="clear" w:color="auto" w:fill="FFFFFF"/>
          <w:lang w:eastAsia="es-MX"/>
        </w:rPr>
        <w:t>Caso Palacio Urrutia y otros Vs. Ecuador. Convocatoria a audiencia</w:t>
      </w:r>
      <w:r w:rsidR="009F08F1" w:rsidRPr="002448D5">
        <w:rPr>
          <w:rFonts w:eastAsia="Times New Roman" w:cs="Open Sans"/>
          <w:color w:val="000000" w:themeColor="text1"/>
          <w:sz w:val="16"/>
          <w:szCs w:val="16"/>
          <w:shd w:val="clear" w:color="auto" w:fill="FFFFFF"/>
          <w:lang w:eastAsia="es-MX"/>
        </w:rPr>
        <w:t>. Resolución de la Presidenta de la Corte Interamericana de Derechos Humanos de 12 de abril de 2021</w:t>
      </w:r>
      <w:r w:rsidR="00036C74" w:rsidRPr="002448D5">
        <w:rPr>
          <w:rFonts w:eastAsia="Times New Roman" w:cs="Open Sans"/>
          <w:color w:val="000000" w:themeColor="text1"/>
          <w:sz w:val="16"/>
          <w:szCs w:val="16"/>
          <w:shd w:val="clear" w:color="auto" w:fill="FFFFFF"/>
          <w:lang w:eastAsia="es-MX"/>
        </w:rPr>
        <w:t>, Considerando 43.</w:t>
      </w:r>
    </w:p>
  </w:footnote>
  <w:footnote w:id="40">
    <w:p w14:paraId="5143B558" w14:textId="67FF0D70" w:rsidR="00C667E7" w:rsidRPr="002448D5" w:rsidRDefault="00C667E7" w:rsidP="0043522A">
      <w:pPr>
        <w:pStyle w:val="Textonotapie"/>
        <w:spacing w:before="120" w:after="120"/>
        <w:jc w:val="both"/>
        <w:rPr>
          <w:sz w:val="16"/>
          <w:szCs w:val="16"/>
        </w:rPr>
      </w:pPr>
      <w:r w:rsidRPr="002448D5">
        <w:rPr>
          <w:rStyle w:val="Refdenotaalpie"/>
        </w:rPr>
        <w:footnoteRef/>
      </w:r>
      <w:r w:rsidRPr="002448D5">
        <w:rPr>
          <w:sz w:val="16"/>
          <w:szCs w:val="16"/>
          <w:lang w:val="es-BO"/>
        </w:rPr>
        <w:t xml:space="preserve"> </w:t>
      </w:r>
      <w:r w:rsidRPr="002448D5">
        <w:rPr>
          <w:sz w:val="16"/>
          <w:szCs w:val="16"/>
          <w:lang w:val="es-BO"/>
        </w:rPr>
        <w:tab/>
      </w:r>
      <w:r w:rsidRPr="002448D5">
        <w:rPr>
          <w:i/>
          <w:iCs/>
          <w:sz w:val="16"/>
          <w:szCs w:val="16"/>
          <w:lang w:val="es-BO"/>
        </w:rPr>
        <w:t xml:space="preserve">Cfr. </w:t>
      </w:r>
      <w:r w:rsidRPr="002448D5">
        <w:rPr>
          <w:i/>
          <w:sz w:val="16"/>
          <w:szCs w:val="16"/>
          <w:lang w:val="es-BO"/>
        </w:rPr>
        <w:t>Caso Zulema Tarazona Arrieta y otros Vs. Perú</w:t>
      </w:r>
      <w:r w:rsidRPr="002448D5">
        <w:rPr>
          <w:sz w:val="16"/>
          <w:szCs w:val="16"/>
          <w:lang w:val="es-BO"/>
        </w:rPr>
        <w:t xml:space="preserve">. </w:t>
      </w:r>
      <w:r w:rsidRPr="002448D5">
        <w:rPr>
          <w:i/>
          <w:sz w:val="16"/>
          <w:szCs w:val="16"/>
          <w:lang w:val="es-BO"/>
        </w:rPr>
        <w:t>Convocatoria a audiencia</w:t>
      </w:r>
      <w:r w:rsidRPr="002448D5">
        <w:rPr>
          <w:sz w:val="16"/>
          <w:szCs w:val="16"/>
          <w:lang w:val="es-BO"/>
        </w:rPr>
        <w:t>. Resolución del Presidente de la Corte de 26 de marzo de 2014, Considerando 32</w:t>
      </w:r>
      <w:r w:rsidR="007A2B1B" w:rsidRPr="002448D5">
        <w:rPr>
          <w:rStyle w:val="Textoennegrita"/>
          <w:b w:val="0"/>
          <w:color w:val="000000" w:themeColor="text1"/>
          <w:sz w:val="16"/>
          <w:szCs w:val="16"/>
          <w:shd w:val="clear" w:color="auto" w:fill="FFFFFF"/>
          <w:lang w:val="es-BO"/>
        </w:rPr>
        <w:t xml:space="preserve">, y </w:t>
      </w:r>
      <w:r w:rsidR="007A2B1B" w:rsidRPr="002448D5">
        <w:rPr>
          <w:rFonts w:eastAsia="Times New Roman" w:cs="Open Sans"/>
          <w:i/>
          <w:iCs/>
          <w:color w:val="000000" w:themeColor="text1"/>
          <w:sz w:val="16"/>
          <w:szCs w:val="16"/>
          <w:shd w:val="clear" w:color="auto" w:fill="FFFFFF"/>
          <w:lang w:eastAsia="es-MX"/>
        </w:rPr>
        <w:t>Caso Palacio Urrutia y otros Vs. Ecuador. Convocatoria a audiencia</w:t>
      </w:r>
      <w:r w:rsidR="007A2B1B" w:rsidRPr="002448D5">
        <w:rPr>
          <w:rFonts w:eastAsia="Times New Roman" w:cs="Open Sans"/>
          <w:color w:val="000000" w:themeColor="text1"/>
          <w:sz w:val="16"/>
          <w:szCs w:val="16"/>
          <w:shd w:val="clear" w:color="auto" w:fill="FFFFFF"/>
          <w:lang w:eastAsia="es-MX"/>
        </w:rPr>
        <w:t>. Resolución de la Presidenta de la Corte Interamericana de Derechos Humanos de 12 de abril de 2021, Considerando 43.</w:t>
      </w:r>
    </w:p>
  </w:footnote>
  <w:footnote w:id="41">
    <w:p w14:paraId="114063A8" w14:textId="1080B7D5" w:rsidR="00C71F4B" w:rsidRPr="002448D5" w:rsidRDefault="00C71F4B" w:rsidP="0043522A">
      <w:pPr>
        <w:pStyle w:val="Textonotapie"/>
        <w:spacing w:before="120" w:after="120"/>
        <w:jc w:val="both"/>
        <w:rPr>
          <w:sz w:val="16"/>
          <w:szCs w:val="16"/>
        </w:rPr>
      </w:pPr>
      <w:r w:rsidRPr="002448D5">
        <w:rPr>
          <w:rStyle w:val="Refdenotaalpie"/>
        </w:rPr>
        <w:footnoteRef/>
      </w:r>
      <w:r w:rsidRPr="002448D5">
        <w:rPr>
          <w:sz w:val="16"/>
          <w:szCs w:val="16"/>
        </w:rPr>
        <w:t xml:space="preserve">  </w:t>
      </w:r>
      <w:r w:rsidRPr="002448D5">
        <w:rPr>
          <w:sz w:val="16"/>
          <w:szCs w:val="16"/>
        </w:rPr>
        <w:tab/>
        <w:t xml:space="preserve">Christian Courtis fue ofrecido para declarar sobre “las obligaciones internacionales del Estado en materia de protección del derecho a un medio ambiente sano, y el alcance de los deberes de regulación, supervisión y fiscalización de actividades públicas o privadas que puedan producir un daño al medio ambiente y a la salud de las personas”. </w:t>
      </w:r>
    </w:p>
  </w:footnote>
  <w:footnote w:id="42">
    <w:p w14:paraId="6E3BD33C" w14:textId="35191AC1" w:rsidR="00C71F4B" w:rsidRPr="002448D5" w:rsidRDefault="00C71F4B" w:rsidP="0043522A">
      <w:pPr>
        <w:pStyle w:val="Textonotapie"/>
        <w:spacing w:before="120" w:after="120"/>
        <w:jc w:val="both"/>
        <w:rPr>
          <w:sz w:val="16"/>
          <w:szCs w:val="16"/>
        </w:rPr>
      </w:pPr>
      <w:r w:rsidRPr="002448D5">
        <w:rPr>
          <w:rStyle w:val="Refdenotaalpie"/>
        </w:rPr>
        <w:footnoteRef/>
      </w:r>
      <w:r w:rsidRPr="002448D5">
        <w:rPr>
          <w:sz w:val="16"/>
          <w:szCs w:val="16"/>
        </w:rPr>
        <w:t xml:space="preserve">  </w:t>
      </w:r>
      <w:r w:rsidRPr="002448D5">
        <w:rPr>
          <w:sz w:val="16"/>
          <w:szCs w:val="16"/>
        </w:rPr>
        <w:tab/>
        <w:t xml:space="preserve">Juan Pablo Olmedo Bustos fue ofrecido para declarar sobre “el derecho al acceso a la información y a la participación pública en materia ambiental, en particular respecto de actividades empresariales que tengan un impacto ambiental”. </w:t>
      </w:r>
    </w:p>
  </w:footnote>
  <w:footnote w:id="43">
    <w:p w14:paraId="08238F46" w14:textId="77777777" w:rsidR="00C71F4B" w:rsidRPr="002448D5" w:rsidRDefault="00C71F4B" w:rsidP="0043522A">
      <w:pPr>
        <w:pStyle w:val="Textonotapie"/>
        <w:spacing w:before="120" w:after="120"/>
        <w:jc w:val="both"/>
        <w:rPr>
          <w:sz w:val="16"/>
          <w:szCs w:val="16"/>
        </w:rPr>
      </w:pPr>
      <w:r w:rsidRPr="002448D5">
        <w:rPr>
          <w:rStyle w:val="Refdenotaalpie"/>
          <w:rFonts w:eastAsia="Batang"/>
        </w:rPr>
        <w:footnoteRef/>
      </w:r>
      <w:r w:rsidRPr="002448D5">
        <w:rPr>
          <w:sz w:val="16"/>
          <w:szCs w:val="16"/>
        </w:rPr>
        <w:t xml:space="preserve"> </w:t>
      </w:r>
      <w:r w:rsidRPr="002448D5">
        <w:rPr>
          <w:sz w:val="16"/>
          <w:szCs w:val="16"/>
        </w:rPr>
        <w:tab/>
        <w:t>El artículo 35.1.f del Reglamento establece lo siguiente: “1. El caso será sometido a la Corte mediante la presentación del informe al que se refiere el artículo 50 de la Convención, que contenga todos los hechos supuestamente violatorios, inclusive la identificación de las presuntas víctimas. Para que el caso pueda ser examinado, la Corte deberá recibir la siguiente información: […] f. cuando se afecte de manera relevante el orden público interamericano de los derechos humanos, la eventual designación de peritos, indicando el objeto de sus declaraciones y acompañando su hoja de vida”.</w:t>
      </w:r>
    </w:p>
  </w:footnote>
  <w:footnote w:id="44">
    <w:p w14:paraId="573C2840" w14:textId="77777777" w:rsidR="00C71F4B" w:rsidRPr="002448D5" w:rsidRDefault="00C71F4B" w:rsidP="0043522A">
      <w:pPr>
        <w:pStyle w:val="Textonotapie"/>
        <w:spacing w:before="120" w:after="120"/>
        <w:jc w:val="both"/>
        <w:rPr>
          <w:sz w:val="16"/>
          <w:szCs w:val="16"/>
        </w:rPr>
      </w:pPr>
      <w:r w:rsidRPr="002448D5">
        <w:rPr>
          <w:rStyle w:val="Refdenotaalpie"/>
          <w:rFonts w:eastAsia="Batang"/>
        </w:rPr>
        <w:footnoteRef/>
      </w:r>
      <w:r w:rsidRPr="002448D5">
        <w:rPr>
          <w:sz w:val="16"/>
          <w:szCs w:val="16"/>
          <w:lang w:val="pt-BR"/>
        </w:rPr>
        <w:t xml:space="preserve"> </w:t>
      </w:r>
      <w:r w:rsidRPr="002448D5">
        <w:rPr>
          <w:sz w:val="16"/>
          <w:szCs w:val="16"/>
          <w:lang w:val="pt-BR"/>
        </w:rPr>
        <w:tab/>
      </w:r>
      <w:r w:rsidRPr="002448D5">
        <w:rPr>
          <w:i/>
          <w:sz w:val="16"/>
          <w:szCs w:val="16"/>
          <w:lang w:val="pt-BR"/>
        </w:rPr>
        <w:t xml:space="preserve">Cfr. Caso Pedro Miguel Vera Vera y otros Vs. </w:t>
      </w:r>
      <w:r w:rsidRPr="002448D5">
        <w:rPr>
          <w:i/>
          <w:sz w:val="16"/>
          <w:szCs w:val="16"/>
        </w:rPr>
        <w:t>Ecuador. Convocatoria a audiencia</w:t>
      </w:r>
      <w:r w:rsidRPr="002448D5">
        <w:rPr>
          <w:sz w:val="16"/>
          <w:szCs w:val="16"/>
        </w:rPr>
        <w:t xml:space="preserve">. Resolución del Presidente de la Corte Interamericana de Derechos Humanos de 23 de diciembre de 2010, Considerando 9, y </w:t>
      </w:r>
      <w:r w:rsidRPr="002448D5">
        <w:rPr>
          <w:rFonts w:cs="Arial"/>
          <w:i/>
          <w:sz w:val="16"/>
          <w:szCs w:val="16"/>
          <w:shd w:val="clear" w:color="auto" w:fill="FFFFFF"/>
        </w:rPr>
        <w:t>Caso Julien Grisonas y otros Vs. Argentina. Convocatoria a audiencia.</w:t>
      </w:r>
      <w:r w:rsidRPr="002448D5">
        <w:rPr>
          <w:rFonts w:cs="Arial"/>
          <w:sz w:val="16"/>
          <w:szCs w:val="16"/>
          <w:shd w:val="clear" w:color="auto" w:fill="FFFFFF"/>
        </w:rPr>
        <w:t xml:space="preserve"> Resolución de la Presidenta de la Corte Interamericana de Derechos Humanos de 24 de marzo de 2021, Considerando 13.</w:t>
      </w:r>
    </w:p>
  </w:footnote>
  <w:footnote w:id="45">
    <w:p w14:paraId="7E14B245" w14:textId="687F5EC2" w:rsidR="008316C7" w:rsidRPr="00D173BA" w:rsidRDefault="008316C7" w:rsidP="0043522A">
      <w:pPr>
        <w:pStyle w:val="Textonotapie"/>
        <w:jc w:val="both"/>
        <w:rPr>
          <w:sz w:val="16"/>
          <w:szCs w:val="16"/>
          <w:lang w:val="es-ES_tradnl"/>
        </w:rPr>
      </w:pPr>
      <w:r w:rsidRPr="008316C7">
        <w:rPr>
          <w:rStyle w:val="Refdenotaalpie"/>
        </w:rPr>
        <w:footnoteRef/>
      </w:r>
      <w:r w:rsidRPr="00C76B4F">
        <w:rPr>
          <w:sz w:val="16"/>
          <w:szCs w:val="16"/>
          <w:lang w:val="es-ES_tradnl"/>
        </w:rPr>
        <w:t xml:space="preserve"> </w:t>
      </w:r>
      <w:r w:rsidR="00D173BA">
        <w:rPr>
          <w:sz w:val="16"/>
          <w:szCs w:val="16"/>
          <w:lang w:val="es-ES_tradnl"/>
        </w:rPr>
        <w:tab/>
      </w:r>
      <w:r w:rsidRPr="00D173BA">
        <w:rPr>
          <w:i/>
          <w:sz w:val="16"/>
          <w:szCs w:val="16"/>
          <w:lang w:val="es-ES_tradnl"/>
        </w:rPr>
        <w:t>Cfr. Caso Ibsen Cárdenas e Ibsen Peña Vs. Bolivia.</w:t>
      </w:r>
      <w:r w:rsidRPr="00D173BA">
        <w:rPr>
          <w:sz w:val="16"/>
          <w:szCs w:val="16"/>
          <w:lang w:val="es-ES_tradnl"/>
        </w:rPr>
        <w:t xml:space="preserve"> Resolución del Presidente de la Corte Interamericana de Derechos Humanos de 10 de marzo de 2010, Considerando 15, y </w:t>
      </w:r>
      <w:r w:rsidRPr="00D173BA">
        <w:rPr>
          <w:i/>
          <w:sz w:val="16"/>
          <w:szCs w:val="16"/>
          <w:lang w:val="es-ES_tradnl"/>
        </w:rPr>
        <w:t>Caso Osorio Rivera y familiares Vs. Perú.</w:t>
      </w:r>
      <w:r w:rsidRPr="00D173BA">
        <w:rPr>
          <w:sz w:val="16"/>
          <w:szCs w:val="16"/>
          <w:lang w:val="es-ES_tradnl"/>
        </w:rPr>
        <w:t xml:space="preserve"> Resolución del Presidente de la Corte Interamericana de Derechos Humanos de 8 de julio de 2013, Considerando 25.</w:t>
      </w:r>
    </w:p>
  </w:footnote>
  <w:footnote w:id="46">
    <w:p w14:paraId="7D90E8AD" w14:textId="7935FC72" w:rsidR="00DB05FC" w:rsidRPr="002448D5" w:rsidRDefault="00DB05FC" w:rsidP="0043522A">
      <w:pPr>
        <w:pStyle w:val="Textonotapie"/>
        <w:spacing w:before="120" w:after="120"/>
        <w:jc w:val="both"/>
        <w:rPr>
          <w:sz w:val="16"/>
          <w:szCs w:val="16"/>
        </w:rPr>
      </w:pPr>
      <w:r w:rsidRPr="002448D5">
        <w:rPr>
          <w:rStyle w:val="Refdenotaalpie"/>
        </w:rPr>
        <w:footnoteRef/>
      </w:r>
      <w:r w:rsidRPr="002448D5">
        <w:rPr>
          <w:sz w:val="16"/>
          <w:szCs w:val="16"/>
        </w:rPr>
        <w:t xml:space="preserve">  </w:t>
      </w:r>
      <w:r w:rsidRPr="002448D5">
        <w:rPr>
          <w:sz w:val="16"/>
          <w:szCs w:val="16"/>
        </w:rPr>
        <w:tab/>
      </w:r>
      <w:r w:rsidRPr="002448D5">
        <w:rPr>
          <w:i/>
          <w:iCs/>
          <w:sz w:val="16"/>
          <w:szCs w:val="16"/>
        </w:rPr>
        <w:t>Cfr</w:t>
      </w:r>
      <w:r w:rsidRPr="002448D5">
        <w:rPr>
          <w:sz w:val="16"/>
          <w:szCs w:val="16"/>
        </w:rPr>
        <w:t>. Hoja</w:t>
      </w:r>
      <w:r w:rsidR="0069740A">
        <w:rPr>
          <w:sz w:val="16"/>
          <w:szCs w:val="16"/>
        </w:rPr>
        <w:t xml:space="preserve"> </w:t>
      </w:r>
      <w:r w:rsidRPr="002448D5">
        <w:rPr>
          <w:sz w:val="16"/>
          <w:szCs w:val="16"/>
        </w:rPr>
        <w:t xml:space="preserve">de vida de </w:t>
      </w:r>
      <w:r w:rsidRPr="002448D5">
        <w:rPr>
          <w:sz w:val="16"/>
          <w:szCs w:val="16"/>
          <w:lang w:val="es-CO"/>
        </w:rPr>
        <w:t>Juan Pablo Olmedo Bustos (expediente de fondo, folios 73.1</w:t>
      </w:r>
      <w:r>
        <w:rPr>
          <w:sz w:val="16"/>
          <w:szCs w:val="16"/>
          <w:lang w:val="es-CO"/>
        </w:rPr>
        <w:t>7</w:t>
      </w:r>
      <w:r w:rsidRPr="002448D5">
        <w:rPr>
          <w:sz w:val="16"/>
          <w:szCs w:val="16"/>
          <w:lang w:val="es-CO"/>
        </w:rPr>
        <w:t xml:space="preserve"> a 73.2</w:t>
      </w:r>
      <w:r>
        <w:rPr>
          <w:sz w:val="16"/>
          <w:szCs w:val="16"/>
          <w:lang w:val="es-CO"/>
        </w:rPr>
        <w:t>0</w:t>
      </w:r>
      <w:r w:rsidRPr="002448D5">
        <w:rPr>
          <w:sz w:val="16"/>
          <w:szCs w:val="16"/>
          <w:lang w:val="es-CO"/>
        </w:rPr>
        <w:t>).</w:t>
      </w:r>
    </w:p>
  </w:footnote>
  <w:footnote w:id="47">
    <w:p w14:paraId="5785622F" w14:textId="77777777" w:rsidR="00A16BDB" w:rsidRPr="002448D5" w:rsidRDefault="00A16BDB" w:rsidP="0043522A">
      <w:pPr>
        <w:pStyle w:val="Textonotapie"/>
        <w:spacing w:before="120" w:after="120"/>
        <w:jc w:val="both"/>
        <w:rPr>
          <w:sz w:val="16"/>
          <w:szCs w:val="16"/>
          <w:lang w:val="es-ES"/>
        </w:rPr>
      </w:pPr>
      <w:r w:rsidRPr="002448D5">
        <w:rPr>
          <w:rStyle w:val="Refdenotaalpie"/>
        </w:rPr>
        <w:footnoteRef/>
      </w:r>
      <w:r w:rsidRPr="002448D5">
        <w:rPr>
          <w:sz w:val="16"/>
          <w:szCs w:val="16"/>
        </w:rPr>
        <w:t xml:space="preserve"> </w:t>
      </w:r>
      <w:r w:rsidRPr="002448D5">
        <w:rPr>
          <w:sz w:val="16"/>
          <w:szCs w:val="16"/>
          <w:lang w:val="es-ES"/>
        </w:rPr>
        <w:tab/>
      </w:r>
      <w:r w:rsidRPr="002448D5">
        <w:rPr>
          <w:sz w:val="16"/>
          <w:szCs w:val="16"/>
        </w:rPr>
        <w:t>El artículo 50.3 y 50.5 del Reglamento establece lo siguiente: “</w:t>
      </w:r>
      <w:r w:rsidRPr="002448D5">
        <w:rPr>
          <w:rFonts w:cs="Arial"/>
          <w:sz w:val="16"/>
          <w:szCs w:val="16"/>
          <w:shd w:val="clear" w:color="auto" w:fill="FFFFFF"/>
        </w:rPr>
        <w:t>3. Las declaraciones versarán únicamente sobre el objeto que la Corte definió en la resolución a la que hace referencia el numeral 1 del presente artículo. Excepcionalmente, ante solicitud fundada y oído el parecer de la contraparte, la Corte podrá modificar el objeto de la declaración o aceptar una declaración que haya excedido el objeto fijado” y “5. Las presuntas víctimas o sus representantes, el Estado demandado y, en su caso, el Estado demandante podrán formular preguntas por escrito a los declarantes ofrecidos por la contraparte y, en su caso, por la Comisión, que hayan sido llamados a prestar declaración ante fedatario público (</w:t>
      </w:r>
      <w:r w:rsidRPr="002448D5">
        <w:rPr>
          <w:rStyle w:val="nfasis"/>
          <w:rFonts w:cs="Arial"/>
          <w:bCs/>
          <w:sz w:val="16"/>
          <w:szCs w:val="16"/>
          <w:shd w:val="clear" w:color="auto" w:fill="FFFFFF"/>
        </w:rPr>
        <w:t>affidávit</w:t>
      </w:r>
      <w:r w:rsidRPr="002448D5">
        <w:rPr>
          <w:rFonts w:cs="Arial"/>
          <w:sz w:val="16"/>
          <w:szCs w:val="16"/>
          <w:shd w:val="clear" w:color="auto" w:fill="FFFFFF"/>
        </w:rPr>
        <w:t>). La Presidencia estará facultada para resolver sobre la pertinencia de las preguntas formuladas y para dispensar de responderlas a la persona a quien vayan dirigidas, a menos que la Corte resuelva otra cosa. No serán admitidas las preguntas que induzcan las respuestas y que no se refieran al objeto determinado oportunamente”.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195D6" w14:textId="77777777" w:rsidR="004823AE" w:rsidRDefault="004823AE" w:rsidP="00E97AA8">
    <w:pPr>
      <w:pStyle w:val="Encabezado"/>
      <w:rPr>
        <w:rStyle w:val="Nmerodepgina"/>
      </w:rPr>
    </w:pPr>
    <w:r>
      <w:rPr>
        <w:rStyle w:val="Nmerodepgina"/>
      </w:rPr>
      <w:fldChar w:fldCharType="begin"/>
    </w:r>
    <w:r>
      <w:rPr>
        <w:rStyle w:val="Nmerodepgina"/>
      </w:rPr>
      <w:instrText xml:space="preserve">PAGE  </w:instrText>
    </w:r>
    <w:r>
      <w:rPr>
        <w:rStyle w:val="Nmerodepgina"/>
      </w:rPr>
      <w:fldChar w:fldCharType="end"/>
    </w:r>
  </w:p>
  <w:p w14:paraId="02E3986A" w14:textId="77777777" w:rsidR="004823AE" w:rsidRDefault="004823AE" w:rsidP="00E97AA8">
    <w:pPr>
      <w:pStyle w:val="Encabezado"/>
    </w:pPr>
  </w:p>
  <w:p w14:paraId="2773835B" w14:textId="77777777" w:rsidR="004823AE" w:rsidRDefault="004823AE" w:rsidP="00E97A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E2202" w14:textId="5BD0C634" w:rsidR="004823AE" w:rsidRDefault="004823AE" w:rsidP="00E97AA8">
    <w:pPr>
      <w:pStyle w:val="Encabezado"/>
      <w:jc w:val="center"/>
      <w:rPr>
        <w:rStyle w:val="Nmerodepgina"/>
      </w:rPr>
    </w:pPr>
    <w:r w:rsidRPr="00205583">
      <w:rPr>
        <w:rStyle w:val="Nmerodepgina"/>
      </w:rPr>
      <w:t xml:space="preserve">- </w:t>
    </w:r>
    <w:r w:rsidRPr="00205583">
      <w:rPr>
        <w:rStyle w:val="Nmerodepgina"/>
      </w:rPr>
      <w:fldChar w:fldCharType="begin"/>
    </w:r>
    <w:r w:rsidRPr="00205583">
      <w:rPr>
        <w:rStyle w:val="Nmerodepgina"/>
      </w:rPr>
      <w:instrText xml:space="preserve">PAGE  </w:instrText>
    </w:r>
    <w:r w:rsidRPr="00205583">
      <w:rPr>
        <w:rStyle w:val="Nmerodepgina"/>
      </w:rPr>
      <w:fldChar w:fldCharType="separate"/>
    </w:r>
    <w:r w:rsidR="004B3D9E">
      <w:rPr>
        <w:rStyle w:val="Nmerodepgina"/>
        <w:noProof/>
      </w:rPr>
      <w:t>6</w:t>
    </w:r>
    <w:r w:rsidRPr="00205583">
      <w:rPr>
        <w:rStyle w:val="Nmerodepgina"/>
      </w:rPr>
      <w:fldChar w:fldCharType="end"/>
    </w:r>
    <w:r>
      <w:rPr>
        <w:rStyle w:val="Nmerodepgina"/>
      </w:rPr>
      <w:t xml:space="preserve"> -</w:t>
    </w:r>
  </w:p>
  <w:p w14:paraId="6907126A" w14:textId="77777777" w:rsidR="004823AE" w:rsidRDefault="004823AE" w:rsidP="00E97AA8">
    <w:pPr>
      <w:pStyle w:val="Encabezado"/>
    </w:pPr>
  </w:p>
  <w:p w14:paraId="34E6923E" w14:textId="77777777" w:rsidR="004823AE" w:rsidRDefault="004823AE" w:rsidP="00E97AA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73A180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7B78EC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4F941D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0B1BFF"/>
    <w:multiLevelType w:val="hybridMultilevel"/>
    <w:tmpl w:val="9C9452C2"/>
    <w:lvl w:ilvl="0" w:tplc="42E26D32">
      <w:start w:val="1"/>
      <w:numFmt w:val="upperLetter"/>
      <w:lvlText w:val="%1."/>
      <w:lvlJc w:val="left"/>
      <w:pPr>
        <w:ind w:left="720" w:hanging="360"/>
      </w:pPr>
      <w:rPr>
        <w:b w:val="0"/>
      </w:rPr>
    </w:lvl>
    <w:lvl w:ilvl="1" w:tplc="1160E910">
      <w:start w:val="1"/>
      <w:numFmt w:val="decimal"/>
      <w:lvlText w:val="%2)"/>
      <w:lvlJc w:val="left"/>
      <w:pPr>
        <w:ind w:left="1440" w:hanging="360"/>
      </w:pPr>
      <w:rPr>
        <w:rFonts w:ascii="Verdana" w:eastAsia="Batang" w:hAnsi="Verdana" w:cs="Calibri"/>
        <w:b w:val="0"/>
        <w:bCs w:val="0"/>
        <w:i w:val="0"/>
        <w:iCs w:val="0"/>
      </w:rPr>
    </w:lvl>
    <w:lvl w:ilvl="2" w:tplc="0409001B">
      <w:start w:val="1"/>
      <w:numFmt w:val="lowerRoman"/>
      <w:lvlText w:val="%3."/>
      <w:lvlJc w:val="right"/>
      <w:pPr>
        <w:ind w:left="2160" w:hanging="180"/>
      </w:pPr>
    </w:lvl>
    <w:lvl w:ilvl="3" w:tplc="50005FF6">
      <w:start w:val="1"/>
      <w:numFmt w:val="decimal"/>
      <w:lvlText w:val="%4."/>
      <w:lvlJc w:val="left"/>
      <w:pPr>
        <w:ind w:left="2880" w:hanging="360"/>
      </w:pPr>
      <w:rPr>
        <w:b w:val="0"/>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70278FA"/>
    <w:multiLevelType w:val="multilevel"/>
    <w:tmpl w:val="E5D6D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4C790E"/>
    <w:multiLevelType w:val="hybridMultilevel"/>
    <w:tmpl w:val="D34A4374"/>
    <w:lvl w:ilvl="0" w:tplc="887A47F8">
      <w:start w:val="1"/>
      <w:numFmt w:val="decimal"/>
      <w:pStyle w:val="PrrafodeSentencia"/>
      <w:lvlText w:val="%1."/>
      <w:lvlJc w:val="left"/>
      <w:pPr>
        <w:ind w:left="720" w:hanging="360"/>
      </w:pPr>
      <w:rPr>
        <w:rFonts w:ascii="Verdana" w:hAnsi="Verdana" w:hint="default"/>
        <w:b w:val="0"/>
        <w:i w:val="0"/>
        <w:strike w:val="0"/>
        <w:dstrike w:val="0"/>
        <w:color w:val="auto"/>
        <w:sz w:val="20"/>
        <w:szCs w:val="20"/>
        <w:u w:val="none"/>
        <w:effect w:val="none"/>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0F555492"/>
    <w:multiLevelType w:val="hybridMultilevel"/>
    <w:tmpl w:val="B840F306"/>
    <w:lvl w:ilvl="0" w:tplc="115EB01E">
      <w:start w:val="1"/>
      <w:numFmt w:val="upperLetter"/>
      <w:pStyle w:val="Ttulo1"/>
      <w:lvlText w:val="%1."/>
      <w:lvlJc w:val="left"/>
      <w:pPr>
        <w:ind w:left="4188" w:hanging="360"/>
      </w:pPr>
      <w:rPr>
        <w:rFonts w:hint="default"/>
        <w:b/>
        <w:i/>
        <w:color w:val="auto"/>
        <w:sz w:val="20"/>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6FFC71A2">
      <w:start w:val="1"/>
      <w:numFmt w:val="decimal"/>
      <w:lvlText w:val="%4."/>
      <w:lvlJc w:val="left"/>
      <w:pPr>
        <w:ind w:left="2062" w:hanging="360"/>
      </w:pPr>
      <w:rPr>
        <w:rFonts w:ascii="Verdana" w:eastAsiaTheme="minorHAnsi" w:hAnsi="Verdana" w:cstheme="minorBidi"/>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F266CF58">
      <w:start w:val="1"/>
      <w:numFmt w:val="decimal"/>
      <w:lvlText w:val="%7."/>
      <w:lvlJc w:val="left"/>
      <w:pPr>
        <w:ind w:left="2062" w:hanging="360"/>
      </w:pPr>
      <w:rPr>
        <w:i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83137B5"/>
    <w:multiLevelType w:val="multilevel"/>
    <w:tmpl w:val="A6E8AA72"/>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2A780770"/>
    <w:multiLevelType w:val="hybridMultilevel"/>
    <w:tmpl w:val="98F2108C"/>
    <w:lvl w:ilvl="0" w:tplc="67E07D4A">
      <w:start w:val="1"/>
      <w:numFmt w:val="decimal"/>
      <w:lvlText w:val="%1."/>
      <w:lvlJc w:val="left"/>
      <w:pPr>
        <w:ind w:left="720" w:hanging="720"/>
      </w:pPr>
      <w:rPr>
        <w:b w:val="0"/>
        <w:i w:val="0"/>
        <w:color w:val="auto"/>
      </w:rPr>
    </w:lvl>
    <w:lvl w:ilvl="1" w:tplc="7C2C13CE">
      <w:start w:val="1"/>
      <w:numFmt w:val="lowerRoman"/>
      <w:lvlText w:val="%2."/>
      <w:lvlJc w:val="left"/>
      <w:pPr>
        <w:ind w:left="1800" w:hanging="720"/>
      </w:pPr>
    </w:lvl>
    <w:lvl w:ilvl="2" w:tplc="841219D4">
      <w:start w:val="1"/>
      <w:numFmt w:val="upperRoman"/>
      <w:lvlText w:val="%3."/>
      <w:lvlJc w:val="left"/>
      <w:pPr>
        <w:ind w:left="2700" w:hanging="72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5A826F0"/>
    <w:multiLevelType w:val="hybridMultilevel"/>
    <w:tmpl w:val="F52C34B0"/>
    <w:lvl w:ilvl="0" w:tplc="A3C8BA86">
      <w:start w:val="1"/>
      <w:numFmt w:val="decimal"/>
      <w:lvlText w:val="%1."/>
      <w:lvlJc w:val="left"/>
      <w:pPr>
        <w:ind w:left="1080" w:hanging="720"/>
      </w:pPr>
      <w:rPr>
        <w:rFonts w:ascii="Verdana" w:hAnsi="Verdana"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38404A"/>
    <w:multiLevelType w:val="hybridMultilevel"/>
    <w:tmpl w:val="FABCC80C"/>
    <w:lvl w:ilvl="0" w:tplc="96607EE2">
      <w:start w:val="1"/>
      <w:numFmt w:val="decimal"/>
      <w:lvlText w:val="%1."/>
      <w:lvlJc w:val="left"/>
      <w:pPr>
        <w:tabs>
          <w:tab w:val="num" w:pos="3870"/>
        </w:tabs>
      </w:pPr>
      <w:rPr>
        <w:rFonts w:ascii="Verdana" w:hAnsi="Verdana" w:cs="Times New Roman" w:hint="default"/>
        <w:b w:val="0"/>
        <w:i w:val="0"/>
        <w:color w:val="auto"/>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1" w15:restartNumberingAfterBreak="0">
    <w:nsid w:val="3E4E7652"/>
    <w:multiLevelType w:val="hybridMultilevel"/>
    <w:tmpl w:val="D6762670"/>
    <w:lvl w:ilvl="0" w:tplc="06E03C86">
      <w:start w:val="1"/>
      <w:numFmt w:val="decimal"/>
      <w:lvlText w:val="%1."/>
      <w:lvlJc w:val="left"/>
      <w:pPr>
        <w:ind w:left="786"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5464E95"/>
    <w:multiLevelType w:val="multilevel"/>
    <w:tmpl w:val="E5AC9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A612BD2"/>
    <w:multiLevelType w:val="hybridMultilevel"/>
    <w:tmpl w:val="4BEE7F42"/>
    <w:lvl w:ilvl="0" w:tplc="669E31B0">
      <w:start w:val="1"/>
      <w:numFmt w:val="upperLetter"/>
      <w:lvlText w:val="%1)"/>
      <w:lvlJc w:val="left"/>
      <w:pPr>
        <w:ind w:left="720" w:hanging="360"/>
      </w:pPr>
      <w:rPr>
        <w:rFonts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4C78541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1C65E08"/>
    <w:multiLevelType w:val="multilevel"/>
    <w:tmpl w:val="45F43090"/>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 w15:restartNumberingAfterBreak="0">
    <w:nsid w:val="5206736D"/>
    <w:multiLevelType w:val="multilevel"/>
    <w:tmpl w:val="BCDCB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449336C"/>
    <w:multiLevelType w:val="hybridMultilevel"/>
    <w:tmpl w:val="0B68D926"/>
    <w:lvl w:ilvl="0" w:tplc="FFFFFFFF">
      <w:start w:val="1"/>
      <w:numFmt w:val="upp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5ADD25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DDB6DC6"/>
    <w:multiLevelType w:val="hybridMultilevel"/>
    <w:tmpl w:val="5DFE6406"/>
    <w:lvl w:ilvl="0" w:tplc="99FE4F9E">
      <w:start w:val="1"/>
      <w:numFmt w:val="decimal"/>
      <w:pStyle w:val="Sinespaciado"/>
      <w:lvlText w:val="%1."/>
      <w:lvlJc w:val="left"/>
      <w:pPr>
        <w:ind w:left="4188" w:hanging="360"/>
      </w:pPr>
      <w:rPr>
        <w:rFonts w:ascii="Verdana" w:hAnsi="Verdana" w:hint="default"/>
        <w:b w:val="0"/>
        <w:i w:val="0"/>
        <w:color w:val="auto"/>
        <w:sz w:val="20"/>
        <w:szCs w:val="20"/>
        <w:lang w:val="es-CR"/>
      </w:rPr>
    </w:lvl>
    <w:lvl w:ilvl="1" w:tplc="04090019">
      <w:start w:val="1"/>
      <w:numFmt w:val="lowerLetter"/>
      <w:lvlText w:val="%2."/>
      <w:lvlJc w:val="left"/>
      <w:pPr>
        <w:ind w:left="8217" w:hanging="360"/>
      </w:pPr>
    </w:lvl>
    <w:lvl w:ilvl="2" w:tplc="0409001B" w:tentative="1">
      <w:start w:val="1"/>
      <w:numFmt w:val="lowerRoman"/>
      <w:lvlText w:val="%3."/>
      <w:lvlJc w:val="right"/>
      <w:pPr>
        <w:ind w:left="8937" w:hanging="180"/>
      </w:pPr>
    </w:lvl>
    <w:lvl w:ilvl="3" w:tplc="0409000F" w:tentative="1">
      <w:start w:val="1"/>
      <w:numFmt w:val="decimal"/>
      <w:lvlText w:val="%4."/>
      <w:lvlJc w:val="left"/>
      <w:pPr>
        <w:ind w:left="9657" w:hanging="360"/>
      </w:pPr>
    </w:lvl>
    <w:lvl w:ilvl="4" w:tplc="04090019" w:tentative="1">
      <w:start w:val="1"/>
      <w:numFmt w:val="lowerLetter"/>
      <w:lvlText w:val="%5."/>
      <w:lvlJc w:val="left"/>
      <w:pPr>
        <w:ind w:left="10377" w:hanging="360"/>
      </w:pPr>
    </w:lvl>
    <w:lvl w:ilvl="5" w:tplc="0409001B" w:tentative="1">
      <w:start w:val="1"/>
      <w:numFmt w:val="lowerRoman"/>
      <w:lvlText w:val="%6."/>
      <w:lvlJc w:val="right"/>
      <w:pPr>
        <w:ind w:left="11097" w:hanging="180"/>
      </w:pPr>
    </w:lvl>
    <w:lvl w:ilvl="6" w:tplc="0409000F" w:tentative="1">
      <w:start w:val="1"/>
      <w:numFmt w:val="decimal"/>
      <w:lvlText w:val="%7."/>
      <w:lvlJc w:val="left"/>
      <w:pPr>
        <w:ind w:left="11817" w:hanging="360"/>
      </w:pPr>
    </w:lvl>
    <w:lvl w:ilvl="7" w:tplc="04090019" w:tentative="1">
      <w:start w:val="1"/>
      <w:numFmt w:val="lowerLetter"/>
      <w:lvlText w:val="%8."/>
      <w:lvlJc w:val="left"/>
      <w:pPr>
        <w:ind w:left="12537" w:hanging="360"/>
      </w:pPr>
    </w:lvl>
    <w:lvl w:ilvl="8" w:tplc="0409001B" w:tentative="1">
      <w:start w:val="1"/>
      <w:numFmt w:val="lowerRoman"/>
      <w:lvlText w:val="%9."/>
      <w:lvlJc w:val="right"/>
      <w:pPr>
        <w:ind w:left="13257" w:hanging="180"/>
      </w:pPr>
    </w:lvl>
  </w:abstractNum>
  <w:abstractNum w:abstractNumId="20" w15:restartNumberingAfterBreak="0">
    <w:nsid w:val="64C8295A"/>
    <w:multiLevelType w:val="hybridMultilevel"/>
    <w:tmpl w:val="0B68D926"/>
    <w:lvl w:ilvl="0" w:tplc="17848532">
      <w:start w:val="1"/>
      <w:numFmt w:val="upperLetter"/>
      <w:lvlText w:val="%1)"/>
      <w:lvlJc w:val="left"/>
      <w:pPr>
        <w:ind w:left="720" w:hanging="360"/>
      </w:pPr>
      <w:rPr>
        <w:rFonts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73D51A2"/>
    <w:multiLevelType w:val="hybridMultilevel"/>
    <w:tmpl w:val="84120ADC"/>
    <w:lvl w:ilvl="0" w:tplc="FFFFFFFF">
      <w:start w:val="1"/>
      <w:numFmt w:val="decimal"/>
      <w:lvlText w:val="%1)"/>
      <w:lvlJc w:val="left"/>
      <w:pPr>
        <w:ind w:left="786" w:hanging="360"/>
      </w:pPr>
      <w:rPr>
        <w:rFonts w:hint="default"/>
        <w:b w:val="0"/>
        <w:i w:val="0"/>
        <w:color w:val="auto"/>
        <w:sz w:val="2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75AB6DE9"/>
    <w:multiLevelType w:val="hybridMultilevel"/>
    <w:tmpl w:val="8CC25C8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5FB7C72"/>
    <w:multiLevelType w:val="hybridMultilevel"/>
    <w:tmpl w:val="78E0B1B8"/>
    <w:lvl w:ilvl="0" w:tplc="637E5634">
      <w:start w:val="1"/>
      <w:numFmt w:val="upperLetter"/>
      <w:lvlText w:val="%1."/>
      <w:lvlJc w:val="left"/>
      <w:pPr>
        <w:ind w:left="360" w:hanging="360"/>
      </w:pPr>
      <w:rPr>
        <w:rFonts w:hint="default"/>
        <w:b/>
        <w:i/>
      </w:rPr>
    </w:lvl>
    <w:lvl w:ilvl="1" w:tplc="323EEAAC">
      <w:start w:val="1"/>
      <w:numFmt w:val="lowerLetter"/>
      <w:lvlText w:val="%2."/>
      <w:lvlJc w:val="left"/>
      <w:pPr>
        <w:ind w:left="1350" w:hanging="360"/>
      </w:pPr>
    </w:lvl>
    <w:lvl w:ilvl="2" w:tplc="518033A8">
      <w:start w:val="1"/>
      <w:numFmt w:val="decimal"/>
      <w:lvlText w:val="(%3)"/>
      <w:lvlJc w:val="left"/>
      <w:pPr>
        <w:ind w:left="2280" w:hanging="390"/>
      </w:pPr>
      <w:rPr>
        <w:rFonts w:cs="Arial" w:hint="default"/>
      </w:rPr>
    </w:lvl>
    <w:lvl w:ilvl="3" w:tplc="2C0A000F" w:tentative="1">
      <w:start w:val="1"/>
      <w:numFmt w:val="decimal"/>
      <w:lvlText w:val="%4."/>
      <w:lvlJc w:val="left"/>
      <w:pPr>
        <w:ind w:left="2790" w:hanging="360"/>
      </w:pPr>
    </w:lvl>
    <w:lvl w:ilvl="4" w:tplc="2C0A0019" w:tentative="1">
      <w:start w:val="1"/>
      <w:numFmt w:val="lowerLetter"/>
      <w:lvlText w:val="%5."/>
      <w:lvlJc w:val="left"/>
      <w:pPr>
        <w:ind w:left="3510" w:hanging="360"/>
      </w:pPr>
    </w:lvl>
    <w:lvl w:ilvl="5" w:tplc="2C0A001B" w:tentative="1">
      <w:start w:val="1"/>
      <w:numFmt w:val="lowerRoman"/>
      <w:lvlText w:val="%6."/>
      <w:lvlJc w:val="right"/>
      <w:pPr>
        <w:ind w:left="4230" w:hanging="180"/>
      </w:pPr>
    </w:lvl>
    <w:lvl w:ilvl="6" w:tplc="2C0A000F" w:tentative="1">
      <w:start w:val="1"/>
      <w:numFmt w:val="decimal"/>
      <w:lvlText w:val="%7."/>
      <w:lvlJc w:val="left"/>
      <w:pPr>
        <w:ind w:left="4950" w:hanging="360"/>
      </w:pPr>
    </w:lvl>
    <w:lvl w:ilvl="7" w:tplc="2C0A0019" w:tentative="1">
      <w:start w:val="1"/>
      <w:numFmt w:val="lowerLetter"/>
      <w:lvlText w:val="%8."/>
      <w:lvlJc w:val="left"/>
      <w:pPr>
        <w:ind w:left="5670" w:hanging="360"/>
      </w:pPr>
    </w:lvl>
    <w:lvl w:ilvl="8" w:tplc="2C0A001B" w:tentative="1">
      <w:start w:val="1"/>
      <w:numFmt w:val="lowerRoman"/>
      <w:lvlText w:val="%9."/>
      <w:lvlJc w:val="right"/>
      <w:pPr>
        <w:ind w:left="6390" w:hanging="180"/>
      </w:pPr>
    </w:lvl>
  </w:abstractNum>
  <w:abstractNum w:abstractNumId="24" w15:restartNumberingAfterBreak="0">
    <w:nsid w:val="79254642"/>
    <w:multiLevelType w:val="hybridMultilevel"/>
    <w:tmpl w:val="044C14BA"/>
    <w:lvl w:ilvl="0" w:tplc="140A0019">
      <w:start w:val="1"/>
      <w:numFmt w:val="lowerLetter"/>
      <w:lvlText w:val="%1."/>
      <w:lvlJc w:val="left"/>
      <w:pPr>
        <w:ind w:left="862" w:hanging="360"/>
      </w:pPr>
      <w:rPr>
        <w:rFonts w:hint="default"/>
        <w:b w:val="0"/>
        <w:i w:val="0"/>
      </w:rPr>
    </w:lvl>
    <w:lvl w:ilvl="1" w:tplc="140A0019" w:tentative="1">
      <w:start w:val="1"/>
      <w:numFmt w:val="lowerLetter"/>
      <w:lvlText w:val="%2."/>
      <w:lvlJc w:val="left"/>
      <w:pPr>
        <w:ind w:left="1582" w:hanging="360"/>
      </w:pPr>
    </w:lvl>
    <w:lvl w:ilvl="2" w:tplc="140A001B" w:tentative="1">
      <w:start w:val="1"/>
      <w:numFmt w:val="lowerRoman"/>
      <w:lvlText w:val="%3."/>
      <w:lvlJc w:val="right"/>
      <w:pPr>
        <w:ind w:left="2302" w:hanging="180"/>
      </w:pPr>
    </w:lvl>
    <w:lvl w:ilvl="3" w:tplc="140A000F" w:tentative="1">
      <w:start w:val="1"/>
      <w:numFmt w:val="decimal"/>
      <w:lvlText w:val="%4."/>
      <w:lvlJc w:val="left"/>
      <w:pPr>
        <w:ind w:left="3022" w:hanging="360"/>
      </w:pPr>
    </w:lvl>
    <w:lvl w:ilvl="4" w:tplc="140A0019" w:tentative="1">
      <w:start w:val="1"/>
      <w:numFmt w:val="lowerLetter"/>
      <w:lvlText w:val="%5."/>
      <w:lvlJc w:val="left"/>
      <w:pPr>
        <w:ind w:left="3742" w:hanging="360"/>
      </w:pPr>
    </w:lvl>
    <w:lvl w:ilvl="5" w:tplc="140A001B" w:tentative="1">
      <w:start w:val="1"/>
      <w:numFmt w:val="lowerRoman"/>
      <w:lvlText w:val="%6."/>
      <w:lvlJc w:val="right"/>
      <w:pPr>
        <w:ind w:left="4462" w:hanging="180"/>
      </w:pPr>
    </w:lvl>
    <w:lvl w:ilvl="6" w:tplc="140A000F" w:tentative="1">
      <w:start w:val="1"/>
      <w:numFmt w:val="decimal"/>
      <w:lvlText w:val="%7."/>
      <w:lvlJc w:val="left"/>
      <w:pPr>
        <w:ind w:left="5182" w:hanging="360"/>
      </w:pPr>
    </w:lvl>
    <w:lvl w:ilvl="7" w:tplc="140A0019" w:tentative="1">
      <w:start w:val="1"/>
      <w:numFmt w:val="lowerLetter"/>
      <w:lvlText w:val="%8."/>
      <w:lvlJc w:val="left"/>
      <w:pPr>
        <w:ind w:left="5902" w:hanging="360"/>
      </w:pPr>
    </w:lvl>
    <w:lvl w:ilvl="8" w:tplc="140A001B" w:tentative="1">
      <w:start w:val="1"/>
      <w:numFmt w:val="lowerRoman"/>
      <w:lvlText w:val="%9."/>
      <w:lvlJc w:val="right"/>
      <w:pPr>
        <w:ind w:left="6622" w:hanging="180"/>
      </w:pPr>
    </w:lvl>
  </w:abstractNum>
  <w:abstractNum w:abstractNumId="25" w15:restartNumberingAfterBreak="0">
    <w:nsid w:val="7A852245"/>
    <w:multiLevelType w:val="hybridMultilevel"/>
    <w:tmpl w:val="84120ADC"/>
    <w:lvl w:ilvl="0" w:tplc="04090011">
      <w:start w:val="1"/>
      <w:numFmt w:val="decimal"/>
      <w:lvlText w:val="%1)"/>
      <w:lvlJc w:val="left"/>
      <w:pPr>
        <w:ind w:left="786" w:hanging="360"/>
      </w:pPr>
      <w:rPr>
        <w:rFonts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CEB12EE"/>
    <w:multiLevelType w:val="multilevel"/>
    <w:tmpl w:val="B1DA8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96604381">
    <w:abstractNumId w:val="19"/>
  </w:num>
  <w:num w:numId="2" w16cid:durableId="198208874">
    <w:abstractNumId w:val="6"/>
  </w:num>
  <w:num w:numId="3" w16cid:durableId="539170148">
    <w:abstractNumId w:val="5"/>
  </w:num>
  <w:num w:numId="4" w16cid:durableId="1921983458">
    <w:abstractNumId w:val="11"/>
  </w:num>
  <w:num w:numId="5" w16cid:durableId="824205231">
    <w:abstractNumId w:val="20"/>
  </w:num>
  <w:num w:numId="6" w16cid:durableId="513806569">
    <w:abstractNumId w:val="25"/>
  </w:num>
  <w:num w:numId="7" w16cid:durableId="1809738324">
    <w:abstractNumId w:val="13"/>
  </w:num>
  <w:num w:numId="8" w16cid:durableId="575285979">
    <w:abstractNumId w:val="24"/>
  </w:num>
  <w:num w:numId="9" w16cid:durableId="175383490">
    <w:abstractNumId w:val="19"/>
    <w:lvlOverride w:ilvl="0">
      <w:startOverride w:val="1"/>
    </w:lvlOverride>
  </w:num>
  <w:num w:numId="10" w16cid:durableId="1283342551">
    <w:abstractNumId w:val="10"/>
  </w:num>
  <w:num w:numId="11" w16cid:durableId="1815947336">
    <w:abstractNumId w:val="23"/>
  </w:num>
  <w:num w:numId="12" w16cid:durableId="67646787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4126713">
    <w:abstractNumId w:val="9"/>
  </w:num>
  <w:num w:numId="14" w16cid:durableId="1921868105">
    <w:abstractNumId w:val="3"/>
  </w:num>
  <w:num w:numId="15" w16cid:durableId="18271595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65663354">
    <w:abstractNumId w:val="0"/>
  </w:num>
  <w:num w:numId="17" w16cid:durableId="1844778401">
    <w:abstractNumId w:val="18"/>
  </w:num>
  <w:num w:numId="18" w16cid:durableId="575941592">
    <w:abstractNumId w:val="2"/>
  </w:num>
  <w:num w:numId="19" w16cid:durableId="2121486530">
    <w:abstractNumId w:val="21"/>
  </w:num>
  <w:num w:numId="20" w16cid:durableId="1118374871">
    <w:abstractNumId w:val="1"/>
  </w:num>
  <w:num w:numId="21" w16cid:durableId="2089113420">
    <w:abstractNumId w:val="14"/>
  </w:num>
  <w:num w:numId="22" w16cid:durableId="741367843">
    <w:abstractNumId w:val="7"/>
  </w:num>
  <w:num w:numId="23" w16cid:durableId="36706011">
    <w:abstractNumId w:val="15"/>
  </w:num>
  <w:num w:numId="24" w16cid:durableId="1149051240">
    <w:abstractNumId w:val="26"/>
  </w:num>
  <w:num w:numId="25" w16cid:durableId="1739328561">
    <w:abstractNumId w:val="22"/>
  </w:num>
  <w:num w:numId="26" w16cid:durableId="1623993879">
    <w:abstractNumId w:val="12"/>
  </w:num>
  <w:num w:numId="27" w16cid:durableId="981958429">
    <w:abstractNumId w:val="16"/>
  </w:num>
  <w:num w:numId="28" w16cid:durableId="2047220792">
    <w:abstractNumId w:val="4"/>
  </w:num>
  <w:num w:numId="29" w16cid:durableId="1692561531">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s-CR"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CO" w:vendorID="64" w:dllVersion="0" w:nlCheck="1" w:checkStyle="0"/>
  <w:activeWritingStyle w:appName="MSWord" w:lang="es-MX" w:vendorID="64" w:dllVersion="0" w:nlCheck="1" w:checkStyle="0"/>
  <w:activeWritingStyle w:appName="MSWord" w:lang="pt-BR" w:vendorID="64" w:dllVersion="0" w:nlCheck="1" w:checkStyle="0"/>
  <w:activeWritingStyle w:appName="MSWord" w:lang="es-BO" w:vendorID="64" w:dllVersion="0" w:nlCheck="1" w:checkStyle="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191"/>
    <w:rsid w:val="0000022D"/>
    <w:rsid w:val="00000D42"/>
    <w:rsid w:val="00000EE6"/>
    <w:rsid w:val="00000EE8"/>
    <w:rsid w:val="000033D7"/>
    <w:rsid w:val="000054D5"/>
    <w:rsid w:val="00005C3B"/>
    <w:rsid w:val="00010226"/>
    <w:rsid w:val="00010255"/>
    <w:rsid w:val="00011410"/>
    <w:rsid w:val="00012E73"/>
    <w:rsid w:val="00013BA9"/>
    <w:rsid w:val="00014289"/>
    <w:rsid w:val="000142CB"/>
    <w:rsid w:val="00014AD2"/>
    <w:rsid w:val="00014C78"/>
    <w:rsid w:val="00016191"/>
    <w:rsid w:val="00017AD6"/>
    <w:rsid w:val="00020044"/>
    <w:rsid w:val="000205AC"/>
    <w:rsid w:val="0002209F"/>
    <w:rsid w:val="000223CE"/>
    <w:rsid w:val="00024C3E"/>
    <w:rsid w:val="00025C64"/>
    <w:rsid w:val="000270C0"/>
    <w:rsid w:val="00030DBF"/>
    <w:rsid w:val="00030F6D"/>
    <w:rsid w:val="00032B2E"/>
    <w:rsid w:val="000335D8"/>
    <w:rsid w:val="000338F0"/>
    <w:rsid w:val="000341DA"/>
    <w:rsid w:val="00034A9C"/>
    <w:rsid w:val="00035053"/>
    <w:rsid w:val="00035149"/>
    <w:rsid w:val="00035A57"/>
    <w:rsid w:val="00036095"/>
    <w:rsid w:val="0003650B"/>
    <w:rsid w:val="00036B28"/>
    <w:rsid w:val="00036C74"/>
    <w:rsid w:val="000411C8"/>
    <w:rsid w:val="00042140"/>
    <w:rsid w:val="0004268F"/>
    <w:rsid w:val="00043F00"/>
    <w:rsid w:val="0004502D"/>
    <w:rsid w:val="0004514C"/>
    <w:rsid w:val="00045F17"/>
    <w:rsid w:val="00047269"/>
    <w:rsid w:val="00047780"/>
    <w:rsid w:val="00050D64"/>
    <w:rsid w:val="00051300"/>
    <w:rsid w:val="00055052"/>
    <w:rsid w:val="000572C5"/>
    <w:rsid w:val="00060660"/>
    <w:rsid w:val="00060D7E"/>
    <w:rsid w:val="00062639"/>
    <w:rsid w:val="000629B7"/>
    <w:rsid w:val="00062C4F"/>
    <w:rsid w:val="00063C33"/>
    <w:rsid w:val="00063E3C"/>
    <w:rsid w:val="0006429F"/>
    <w:rsid w:val="000656B9"/>
    <w:rsid w:val="00065FFD"/>
    <w:rsid w:val="00066CD6"/>
    <w:rsid w:val="00067B7C"/>
    <w:rsid w:val="000719A4"/>
    <w:rsid w:val="00073E13"/>
    <w:rsid w:val="00073E69"/>
    <w:rsid w:val="000749D1"/>
    <w:rsid w:val="00074C60"/>
    <w:rsid w:val="000759AC"/>
    <w:rsid w:val="00075ACB"/>
    <w:rsid w:val="00076D8C"/>
    <w:rsid w:val="00076FB6"/>
    <w:rsid w:val="0008015A"/>
    <w:rsid w:val="0008188C"/>
    <w:rsid w:val="00081A2A"/>
    <w:rsid w:val="00082CF9"/>
    <w:rsid w:val="00084BFF"/>
    <w:rsid w:val="0008586F"/>
    <w:rsid w:val="00086C27"/>
    <w:rsid w:val="00087AFC"/>
    <w:rsid w:val="00090091"/>
    <w:rsid w:val="0009389A"/>
    <w:rsid w:val="00093B23"/>
    <w:rsid w:val="0009437C"/>
    <w:rsid w:val="00094A32"/>
    <w:rsid w:val="000951A5"/>
    <w:rsid w:val="00096CC8"/>
    <w:rsid w:val="00096D19"/>
    <w:rsid w:val="000A07F1"/>
    <w:rsid w:val="000A0FDA"/>
    <w:rsid w:val="000A1532"/>
    <w:rsid w:val="000A1780"/>
    <w:rsid w:val="000A380C"/>
    <w:rsid w:val="000A41E4"/>
    <w:rsid w:val="000A42DF"/>
    <w:rsid w:val="000A4368"/>
    <w:rsid w:val="000A46C6"/>
    <w:rsid w:val="000A6FEA"/>
    <w:rsid w:val="000A7575"/>
    <w:rsid w:val="000B0602"/>
    <w:rsid w:val="000B2824"/>
    <w:rsid w:val="000B3001"/>
    <w:rsid w:val="000B3065"/>
    <w:rsid w:val="000B398F"/>
    <w:rsid w:val="000B5278"/>
    <w:rsid w:val="000B59E4"/>
    <w:rsid w:val="000B61CF"/>
    <w:rsid w:val="000C00AC"/>
    <w:rsid w:val="000C1E0E"/>
    <w:rsid w:val="000C38EA"/>
    <w:rsid w:val="000C41A4"/>
    <w:rsid w:val="000C4928"/>
    <w:rsid w:val="000C54D2"/>
    <w:rsid w:val="000C5F41"/>
    <w:rsid w:val="000C7727"/>
    <w:rsid w:val="000C7882"/>
    <w:rsid w:val="000C7B74"/>
    <w:rsid w:val="000D0F0E"/>
    <w:rsid w:val="000D150C"/>
    <w:rsid w:val="000D3879"/>
    <w:rsid w:val="000D4C2C"/>
    <w:rsid w:val="000D4C8E"/>
    <w:rsid w:val="000D543E"/>
    <w:rsid w:val="000D56FA"/>
    <w:rsid w:val="000D608F"/>
    <w:rsid w:val="000D7065"/>
    <w:rsid w:val="000D708F"/>
    <w:rsid w:val="000D7B5F"/>
    <w:rsid w:val="000D7C07"/>
    <w:rsid w:val="000E3953"/>
    <w:rsid w:val="000E46C5"/>
    <w:rsid w:val="000E4D84"/>
    <w:rsid w:val="000E707A"/>
    <w:rsid w:val="000F00E0"/>
    <w:rsid w:val="000F095D"/>
    <w:rsid w:val="000F1688"/>
    <w:rsid w:val="000F1A7C"/>
    <w:rsid w:val="000F1DB9"/>
    <w:rsid w:val="000F3445"/>
    <w:rsid w:val="000F369B"/>
    <w:rsid w:val="000F4504"/>
    <w:rsid w:val="000F48D5"/>
    <w:rsid w:val="000F4D29"/>
    <w:rsid w:val="000F741B"/>
    <w:rsid w:val="000F74B5"/>
    <w:rsid w:val="001001D1"/>
    <w:rsid w:val="0010097D"/>
    <w:rsid w:val="00100A49"/>
    <w:rsid w:val="00101232"/>
    <w:rsid w:val="00101B65"/>
    <w:rsid w:val="00102153"/>
    <w:rsid w:val="00102B89"/>
    <w:rsid w:val="001031A7"/>
    <w:rsid w:val="00103572"/>
    <w:rsid w:val="00103B5A"/>
    <w:rsid w:val="00104220"/>
    <w:rsid w:val="0010433F"/>
    <w:rsid w:val="0010494F"/>
    <w:rsid w:val="00105D77"/>
    <w:rsid w:val="00106103"/>
    <w:rsid w:val="00106633"/>
    <w:rsid w:val="001075B9"/>
    <w:rsid w:val="00107F5E"/>
    <w:rsid w:val="00110401"/>
    <w:rsid w:val="001124DC"/>
    <w:rsid w:val="0011305D"/>
    <w:rsid w:val="00113DF4"/>
    <w:rsid w:val="00113F6D"/>
    <w:rsid w:val="0011434A"/>
    <w:rsid w:val="00115083"/>
    <w:rsid w:val="00115A14"/>
    <w:rsid w:val="0011631A"/>
    <w:rsid w:val="00116C7B"/>
    <w:rsid w:val="00116EE9"/>
    <w:rsid w:val="0011736D"/>
    <w:rsid w:val="00117C4F"/>
    <w:rsid w:val="00117CED"/>
    <w:rsid w:val="00121498"/>
    <w:rsid w:val="00122221"/>
    <w:rsid w:val="001229FA"/>
    <w:rsid w:val="00122A75"/>
    <w:rsid w:val="00122B93"/>
    <w:rsid w:val="00123050"/>
    <w:rsid w:val="00123C72"/>
    <w:rsid w:val="001244D3"/>
    <w:rsid w:val="0012551A"/>
    <w:rsid w:val="00126567"/>
    <w:rsid w:val="001275D0"/>
    <w:rsid w:val="00131670"/>
    <w:rsid w:val="001335E6"/>
    <w:rsid w:val="0013375B"/>
    <w:rsid w:val="00133CE7"/>
    <w:rsid w:val="00135069"/>
    <w:rsid w:val="001362D7"/>
    <w:rsid w:val="001369CA"/>
    <w:rsid w:val="00136A3D"/>
    <w:rsid w:val="00136EDC"/>
    <w:rsid w:val="00137006"/>
    <w:rsid w:val="00137784"/>
    <w:rsid w:val="001418D3"/>
    <w:rsid w:val="00141F7E"/>
    <w:rsid w:val="00143B34"/>
    <w:rsid w:val="001448E6"/>
    <w:rsid w:val="0014491E"/>
    <w:rsid w:val="00146E1C"/>
    <w:rsid w:val="00150BD8"/>
    <w:rsid w:val="001517BD"/>
    <w:rsid w:val="00155125"/>
    <w:rsid w:val="0015536C"/>
    <w:rsid w:val="00155D07"/>
    <w:rsid w:val="00155FB3"/>
    <w:rsid w:val="00157446"/>
    <w:rsid w:val="00160C39"/>
    <w:rsid w:val="00160E30"/>
    <w:rsid w:val="00162BD2"/>
    <w:rsid w:val="00163724"/>
    <w:rsid w:val="0016379E"/>
    <w:rsid w:val="00163DB8"/>
    <w:rsid w:val="0016461B"/>
    <w:rsid w:val="00164C90"/>
    <w:rsid w:val="00165C80"/>
    <w:rsid w:val="00167396"/>
    <w:rsid w:val="00171A62"/>
    <w:rsid w:val="00171AAD"/>
    <w:rsid w:val="0017204D"/>
    <w:rsid w:val="00172662"/>
    <w:rsid w:val="001728EB"/>
    <w:rsid w:val="001735A7"/>
    <w:rsid w:val="001746DE"/>
    <w:rsid w:val="00174B71"/>
    <w:rsid w:val="001804D1"/>
    <w:rsid w:val="00183C61"/>
    <w:rsid w:val="00184D44"/>
    <w:rsid w:val="00185498"/>
    <w:rsid w:val="001859C1"/>
    <w:rsid w:val="00186B85"/>
    <w:rsid w:val="00186E7C"/>
    <w:rsid w:val="00187EE7"/>
    <w:rsid w:val="0019023E"/>
    <w:rsid w:val="00191BEF"/>
    <w:rsid w:val="00191CE9"/>
    <w:rsid w:val="001921B7"/>
    <w:rsid w:val="00192232"/>
    <w:rsid w:val="00194D24"/>
    <w:rsid w:val="0019533C"/>
    <w:rsid w:val="0019533F"/>
    <w:rsid w:val="001977CD"/>
    <w:rsid w:val="00197982"/>
    <w:rsid w:val="001A0EFB"/>
    <w:rsid w:val="001A20B9"/>
    <w:rsid w:val="001A26F3"/>
    <w:rsid w:val="001A339A"/>
    <w:rsid w:val="001A4569"/>
    <w:rsid w:val="001A5338"/>
    <w:rsid w:val="001A5456"/>
    <w:rsid w:val="001A549A"/>
    <w:rsid w:val="001B0154"/>
    <w:rsid w:val="001B03B6"/>
    <w:rsid w:val="001B21C4"/>
    <w:rsid w:val="001B2DF7"/>
    <w:rsid w:val="001B30D2"/>
    <w:rsid w:val="001B41FF"/>
    <w:rsid w:val="001B475B"/>
    <w:rsid w:val="001B480E"/>
    <w:rsid w:val="001B5010"/>
    <w:rsid w:val="001B5654"/>
    <w:rsid w:val="001B73FC"/>
    <w:rsid w:val="001B7D90"/>
    <w:rsid w:val="001C04CC"/>
    <w:rsid w:val="001C06F9"/>
    <w:rsid w:val="001C2372"/>
    <w:rsid w:val="001C2B5C"/>
    <w:rsid w:val="001C338D"/>
    <w:rsid w:val="001C3BCD"/>
    <w:rsid w:val="001C4535"/>
    <w:rsid w:val="001C4681"/>
    <w:rsid w:val="001C510E"/>
    <w:rsid w:val="001C5258"/>
    <w:rsid w:val="001D05D4"/>
    <w:rsid w:val="001D221F"/>
    <w:rsid w:val="001D33D6"/>
    <w:rsid w:val="001D3EB0"/>
    <w:rsid w:val="001D4B78"/>
    <w:rsid w:val="001D4D9C"/>
    <w:rsid w:val="001D5765"/>
    <w:rsid w:val="001E10EE"/>
    <w:rsid w:val="001E1C89"/>
    <w:rsid w:val="001E245F"/>
    <w:rsid w:val="001E33CC"/>
    <w:rsid w:val="001E35BA"/>
    <w:rsid w:val="001E47F0"/>
    <w:rsid w:val="001E506B"/>
    <w:rsid w:val="001E54E5"/>
    <w:rsid w:val="001E5716"/>
    <w:rsid w:val="001E582A"/>
    <w:rsid w:val="001E6081"/>
    <w:rsid w:val="001F06EF"/>
    <w:rsid w:val="001F0928"/>
    <w:rsid w:val="001F0CAB"/>
    <w:rsid w:val="001F1FFC"/>
    <w:rsid w:val="001F3986"/>
    <w:rsid w:val="001F6A02"/>
    <w:rsid w:val="001F6CFD"/>
    <w:rsid w:val="001F7AAE"/>
    <w:rsid w:val="00200C3B"/>
    <w:rsid w:val="00201075"/>
    <w:rsid w:val="002045CB"/>
    <w:rsid w:val="002049B3"/>
    <w:rsid w:val="00205583"/>
    <w:rsid w:val="00205F3D"/>
    <w:rsid w:val="00206ECA"/>
    <w:rsid w:val="00210D02"/>
    <w:rsid w:val="002114F5"/>
    <w:rsid w:val="00211C49"/>
    <w:rsid w:val="002133D6"/>
    <w:rsid w:val="00213D56"/>
    <w:rsid w:val="0021414A"/>
    <w:rsid w:val="00216A3A"/>
    <w:rsid w:val="00216C80"/>
    <w:rsid w:val="00220455"/>
    <w:rsid w:val="002232C5"/>
    <w:rsid w:val="00223A2A"/>
    <w:rsid w:val="00226D4A"/>
    <w:rsid w:val="00226F80"/>
    <w:rsid w:val="00227A4B"/>
    <w:rsid w:val="00227C0B"/>
    <w:rsid w:val="0023047A"/>
    <w:rsid w:val="002320B9"/>
    <w:rsid w:val="00233193"/>
    <w:rsid w:val="00235244"/>
    <w:rsid w:val="00237232"/>
    <w:rsid w:val="002374FD"/>
    <w:rsid w:val="00237B9F"/>
    <w:rsid w:val="00240A37"/>
    <w:rsid w:val="00240A3F"/>
    <w:rsid w:val="002410A0"/>
    <w:rsid w:val="00241633"/>
    <w:rsid w:val="00241C69"/>
    <w:rsid w:val="00241D46"/>
    <w:rsid w:val="00241F49"/>
    <w:rsid w:val="00241F4C"/>
    <w:rsid w:val="002420E2"/>
    <w:rsid w:val="002425EF"/>
    <w:rsid w:val="00243451"/>
    <w:rsid w:val="002448D5"/>
    <w:rsid w:val="0024649B"/>
    <w:rsid w:val="00246AA3"/>
    <w:rsid w:val="00247084"/>
    <w:rsid w:val="00247B1B"/>
    <w:rsid w:val="00247C7C"/>
    <w:rsid w:val="002507D6"/>
    <w:rsid w:val="002509A8"/>
    <w:rsid w:val="00250AE1"/>
    <w:rsid w:val="00251166"/>
    <w:rsid w:val="00251610"/>
    <w:rsid w:val="00251F34"/>
    <w:rsid w:val="00253FC2"/>
    <w:rsid w:val="002543B5"/>
    <w:rsid w:val="002556F5"/>
    <w:rsid w:val="00256AB1"/>
    <w:rsid w:val="00263F87"/>
    <w:rsid w:val="0026413C"/>
    <w:rsid w:val="00264697"/>
    <w:rsid w:val="00264ECD"/>
    <w:rsid w:val="002651D3"/>
    <w:rsid w:val="00265230"/>
    <w:rsid w:val="0026641E"/>
    <w:rsid w:val="00266BB1"/>
    <w:rsid w:val="0027102B"/>
    <w:rsid w:val="002717D8"/>
    <w:rsid w:val="00271C1F"/>
    <w:rsid w:val="00271CF5"/>
    <w:rsid w:val="00271F05"/>
    <w:rsid w:val="00273A56"/>
    <w:rsid w:val="002759D8"/>
    <w:rsid w:val="0027661B"/>
    <w:rsid w:val="00277D66"/>
    <w:rsid w:val="002815B4"/>
    <w:rsid w:val="00284AE5"/>
    <w:rsid w:val="00285304"/>
    <w:rsid w:val="0028701A"/>
    <w:rsid w:val="00287B48"/>
    <w:rsid w:val="00292673"/>
    <w:rsid w:val="002929AD"/>
    <w:rsid w:val="0029345B"/>
    <w:rsid w:val="002956F5"/>
    <w:rsid w:val="0029627E"/>
    <w:rsid w:val="002A1F81"/>
    <w:rsid w:val="002A5342"/>
    <w:rsid w:val="002A60B8"/>
    <w:rsid w:val="002A6C1F"/>
    <w:rsid w:val="002A6EFA"/>
    <w:rsid w:val="002A795E"/>
    <w:rsid w:val="002B0877"/>
    <w:rsid w:val="002B0E72"/>
    <w:rsid w:val="002B0FEB"/>
    <w:rsid w:val="002B12E1"/>
    <w:rsid w:val="002B13C6"/>
    <w:rsid w:val="002B22C5"/>
    <w:rsid w:val="002B3048"/>
    <w:rsid w:val="002B3B86"/>
    <w:rsid w:val="002B6AC0"/>
    <w:rsid w:val="002B7AF6"/>
    <w:rsid w:val="002C039F"/>
    <w:rsid w:val="002C03B3"/>
    <w:rsid w:val="002C0961"/>
    <w:rsid w:val="002C152E"/>
    <w:rsid w:val="002C2A99"/>
    <w:rsid w:val="002C32E0"/>
    <w:rsid w:val="002C373F"/>
    <w:rsid w:val="002C49A5"/>
    <w:rsid w:val="002C4F31"/>
    <w:rsid w:val="002C5F94"/>
    <w:rsid w:val="002C64FF"/>
    <w:rsid w:val="002C6A99"/>
    <w:rsid w:val="002C6E2F"/>
    <w:rsid w:val="002D03C4"/>
    <w:rsid w:val="002D0D39"/>
    <w:rsid w:val="002D0FC6"/>
    <w:rsid w:val="002D3F56"/>
    <w:rsid w:val="002D496A"/>
    <w:rsid w:val="002D4FC6"/>
    <w:rsid w:val="002D5571"/>
    <w:rsid w:val="002D60E4"/>
    <w:rsid w:val="002D686A"/>
    <w:rsid w:val="002D6B08"/>
    <w:rsid w:val="002E25EB"/>
    <w:rsid w:val="002E2762"/>
    <w:rsid w:val="002E27BE"/>
    <w:rsid w:val="002E32C7"/>
    <w:rsid w:val="002E5E8F"/>
    <w:rsid w:val="002E6E4E"/>
    <w:rsid w:val="002E7285"/>
    <w:rsid w:val="002F02B4"/>
    <w:rsid w:val="002F07BD"/>
    <w:rsid w:val="002F1E83"/>
    <w:rsid w:val="002F254E"/>
    <w:rsid w:val="002F421E"/>
    <w:rsid w:val="002F47B9"/>
    <w:rsid w:val="002F4E07"/>
    <w:rsid w:val="002F530B"/>
    <w:rsid w:val="002F548B"/>
    <w:rsid w:val="002F6161"/>
    <w:rsid w:val="002F6D60"/>
    <w:rsid w:val="003008EB"/>
    <w:rsid w:val="00300EE1"/>
    <w:rsid w:val="00301F23"/>
    <w:rsid w:val="0030272E"/>
    <w:rsid w:val="00304EF4"/>
    <w:rsid w:val="00304F9B"/>
    <w:rsid w:val="003056CA"/>
    <w:rsid w:val="00305A57"/>
    <w:rsid w:val="00305EFF"/>
    <w:rsid w:val="003071BB"/>
    <w:rsid w:val="00310C35"/>
    <w:rsid w:val="003113F3"/>
    <w:rsid w:val="00311412"/>
    <w:rsid w:val="00312E2A"/>
    <w:rsid w:val="0031397A"/>
    <w:rsid w:val="00313DAF"/>
    <w:rsid w:val="003142ED"/>
    <w:rsid w:val="00314476"/>
    <w:rsid w:val="003148C2"/>
    <w:rsid w:val="00314927"/>
    <w:rsid w:val="00316550"/>
    <w:rsid w:val="00316B6E"/>
    <w:rsid w:val="00316D90"/>
    <w:rsid w:val="00317041"/>
    <w:rsid w:val="00320AD0"/>
    <w:rsid w:val="00321749"/>
    <w:rsid w:val="003227E3"/>
    <w:rsid w:val="00325BE7"/>
    <w:rsid w:val="00325C61"/>
    <w:rsid w:val="003264BA"/>
    <w:rsid w:val="00327854"/>
    <w:rsid w:val="00330D62"/>
    <w:rsid w:val="00331A60"/>
    <w:rsid w:val="00332454"/>
    <w:rsid w:val="003326BA"/>
    <w:rsid w:val="00332909"/>
    <w:rsid w:val="00332A4B"/>
    <w:rsid w:val="00333A97"/>
    <w:rsid w:val="003344D3"/>
    <w:rsid w:val="00335797"/>
    <w:rsid w:val="00336479"/>
    <w:rsid w:val="0033759D"/>
    <w:rsid w:val="00337604"/>
    <w:rsid w:val="00337763"/>
    <w:rsid w:val="00340C76"/>
    <w:rsid w:val="00340DD9"/>
    <w:rsid w:val="00341753"/>
    <w:rsid w:val="003426AC"/>
    <w:rsid w:val="0034274C"/>
    <w:rsid w:val="00342A8B"/>
    <w:rsid w:val="00343D1A"/>
    <w:rsid w:val="00344761"/>
    <w:rsid w:val="00344BA0"/>
    <w:rsid w:val="00344E69"/>
    <w:rsid w:val="00344EF3"/>
    <w:rsid w:val="00345597"/>
    <w:rsid w:val="0034585D"/>
    <w:rsid w:val="00351830"/>
    <w:rsid w:val="00351965"/>
    <w:rsid w:val="00352332"/>
    <w:rsid w:val="00352C5B"/>
    <w:rsid w:val="00353501"/>
    <w:rsid w:val="00354738"/>
    <w:rsid w:val="00354CF0"/>
    <w:rsid w:val="0035522A"/>
    <w:rsid w:val="00355A97"/>
    <w:rsid w:val="00356366"/>
    <w:rsid w:val="00357610"/>
    <w:rsid w:val="00357794"/>
    <w:rsid w:val="0036290C"/>
    <w:rsid w:val="00363877"/>
    <w:rsid w:val="00366B0C"/>
    <w:rsid w:val="0036778A"/>
    <w:rsid w:val="003678AE"/>
    <w:rsid w:val="00370B0A"/>
    <w:rsid w:val="00371604"/>
    <w:rsid w:val="00371A50"/>
    <w:rsid w:val="00371CC7"/>
    <w:rsid w:val="00372891"/>
    <w:rsid w:val="003729C8"/>
    <w:rsid w:val="00373590"/>
    <w:rsid w:val="0037466D"/>
    <w:rsid w:val="00374C6E"/>
    <w:rsid w:val="0037566C"/>
    <w:rsid w:val="00376FE3"/>
    <w:rsid w:val="00377617"/>
    <w:rsid w:val="003810AC"/>
    <w:rsid w:val="003825E7"/>
    <w:rsid w:val="00384AAA"/>
    <w:rsid w:val="0038607F"/>
    <w:rsid w:val="003862C7"/>
    <w:rsid w:val="00387450"/>
    <w:rsid w:val="00387D2B"/>
    <w:rsid w:val="00391C4F"/>
    <w:rsid w:val="00393472"/>
    <w:rsid w:val="00393775"/>
    <w:rsid w:val="003945D3"/>
    <w:rsid w:val="00394ACD"/>
    <w:rsid w:val="00394F91"/>
    <w:rsid w:val="0039588F"/>
    <w:rsid w:val="00395A68"/>
    <w:rsid w:val="00397E8F"/>
    <w:rsid w:val="003A018B"/>
    <w:rsid w:val="003A2389"/>
    <w:rsid w:val="003A364D"/>
    <w:rsid w:val="003A44F5"/>
    <w:rsid w:val="003A4FA8"/>
    <w:rsid w:val="003A6106"/>
    <w:rsid w:val="003B01EB"/>
    <w:rsid w:val="003B1B26"/>
    <w:rsid w:val="003B1B27"/>
    <w:rsid w:val="003B2554"/>
    <w:rsid w:val="003B26FC"/>
    <w:rsid w:val="003B38A5"/>
    <w:rsid w:val="003B3F36"/>
    <w:rsid w:val="003B5715"/>
    <w:rsid w:val="003B626F"/>
    <w:rsid w:val="003B657E"/>
    <w:rsid w:val="003B6952"/>
    <w:rsid w:val="003B706E"/>
    <w:rsid w:val="003B787B"/>
    <w:rsid w:val="003C0856"/>
    <w:rsid w:val="003C0B9E"/>
    <w:rsid w:val="003C18C6"/>
    <w:rsid w:val="003C2C2D"/>
    <w:rsid w:val="003C2E75"/>
    <w:rsid w:val="003C2F9A"/>
    <w:rsid w:val="003C3526"/>
    <w:rsid w:val="003C3723"/>
    <w:rsid w:val="003C3755"/>
    <w:rsid w:val="003C51F4"/>
    <w:rsid w:val="003C7F68"/>
    <w:rsid w:val="003D07FD"/>
    <w:rsid w:val="003D1077"/>
    <w:rsid w:val="003D1F38"/>
    <w:rsid w:val="003D25B3"/>
    <w:rsid w:val="003D2AFA"/>
    <w:rsid w:val="003D3EA0"/>
    <w:rsid w:val="003D4F39"/>
    <w:rsid w:val="003D7D50"/>
    <w:rsid w:val="003E0384"/>
    <w:rsid w:val="003E055B"/>
    <w:rsid w:val="003E09BD"/>
    <w:rsid w:val="003E171E"/>
    <w:rsid w:val="003E1E0B"/>
    <w:rsid w:val="003E1E70"/>
    <w:rsid w:val="003E2233"/>
    <w:rsid w:val="003E2736"/>
    <w:rsid w:val="003E2807"/>
    <w:rsid w:val="003E37E2"/>
    <w:rsid w:val="003E4D23"/>
    <w:rsid w:val="003E520F"/>
    <w:rsid w:val="003E659A"/>
    <w:rsid w:val="003E70A7"/>
    <w:rsid w:val="003E77F1"/>
    <w:rsid w:val="003F0B72"/>
    <w:rsid w:val="003F0F99"/>
    <w:rsid w:val="003F4110"/>
    <w:rsid w:val="003F4228"/>
    <w:rsid w:val="003F6603"/>
    <w:rsid w:val="003F6FFE"/>
    <w:rsid w:val="003F74D2"/>
    <w:rsid w:val="00401CF2"/>
    <w:rsid w:val="00402F3A"/>
    <w:rsid w:val="00403C28"/>
    <w:rsid w:val="00404D39"/>
    <w:rsid w:val="00404DE4"/>
    <w:rsid w:val="004065DD"/>
    <w:rsid w:val="0040751B"/>
    <w:rsid w:val="00410156"/>
    <w:rsid w:val="00410C75"/>
    <w:rsid w:val="00412A02"/>
    <w:rsid w:val="00412EEC"/>
    <w:rsid w:val="004132C1"/>
    <w:rsid w:val="004139A3"/>
    <w:rsid w:val="004149C3"/>
    <w:rsid w:val="00414B1C"/>
    <w:rsid w:val="0041570E"/>
    <w:rsid w:val="0041576C"/>
    <w:rsid w:val="0041579F"/>
    <w:rsid w:val="004160D1"/>
    <w:rsid w:val="00416450"/>
    <w:rsid w:val="004166A6"/>
    <w:rsid w:val="00421DD4"/>
    <w:rsid w:val="0042377F"/>
    <w:rsid w:val="00426042"/>
    <w:rsid w:val="004260E7"/>
    <w:rsid w:val="0043334B"/>
    <w:rsid w:val="00434006"/>
    <w:rsid w:val="00434153"/>
    <w:rsid w:val="0043522A"/>
    <w:rsid w:val="004354C2"/>
    <w:rsid w:val="00435A39"/>
    <w:rsid w:val="0044039C"/>
    <w:rsid w:val="0044136C"/>
    <w:rsid w:val="004416D4"/>
    <w:rsid w:val="004419E0"/>
    <w:rsid w:val="00442B83"/>
    <w:rsid w:val="0044308A"/>
    <w:rsid w:val="00444E9D"/>
    <w:rsid w:val="00445F10"/>
    <w:rsid w:val="004468E7"/>
    <w:rsid w:val="004477CC"/>
    <w:rsid w:val="00450A75"/>
    <w:rsid w:val="00451255"/>
    <w:rsid w:val="004522A7"/>
    <w:rsid w:val="004539F3"/>
    <w:rsid w:val="00454412"/>
    <w:rsid w:val="00454E64"/>
    <w:rsid w:val="00455B1E"/>
    <w:rsid w:val="00456572"/>
    <w:rsid w:val="00456601"/>
    <w:rsid w:val="00457D89"/>
    <w:rsid w:val="004606D7"/>
    <w:rsid w:val="0046106D"/>
    <w:rsid w:val="00461461"/>
    <w:rsid w:val="00461FE8"/>
    <w:rsid w:val="004621BE"/>
    <w:rsid w:val="0046323D"/>
    <w:rsid w:val="00463738"/>
    <w:rsid w:val="0046536F"/>
    <w:rsid w:val="00465D21"/>
    <w:rsid w:val="00466837"/>
    <w:rsid w:val="00467027"/>
    <w:rsid w:val="0046717C"/>
    <w:rsid w:val="0046718C"/>
    <w:rsid w:val="0046734A"/>
    <w:rsid w:val="004676EC"/>
    <w:rsid w:val="00467E9F"/>
    <w:rsid w:val="00470241"/>
    <w:rsid w:val="004707F8"/>
    <w:rsid w:val="004718FD"/>
    <w:rsid w:val="00471B69"/>
    <w:rsid w:val="00474425"/>
    <w:rsid w:val="00475934"/>
    <w:rsid w:val="00477642"/>
    <w:rsid w:val="00482112"/>
    <w:rsid w:val="004822C3"/>
    <w:rsid w:val="004823AE"/>
    <w:rsid w:val="00482A2E"/>
    <w:rsid w:val="00482C53"/>
    <w:rsid w:val="004836BA"/>
    <w:rsid w:val="00484610"/>
    <w:rsid w:val="00485BA2"/>
    <w:rsid w:val="00485BA7"/>
    <w:rsid w:val="00485D0B"/>
    <w:rsid w:val="004861E2"/>
    <w:rsid w:val="00486335"/>
    <w:rsid w:val="004863CD"/>
    <w:rsid w:val="0048700D"/>
    <w:rsid w:val="0048750C"/>
    <w:rsid w:val="00487AE7"/>
    <w:rsid w:val="00487FF6"/>
    <w:rsid w:val="0049025D"/>
    <w:rsid w:val="00491515"/>
    <w:rsid w:val="0049385F"/>
    <w:rsid w:val="00493BE3"/>
    <w:rsid w:val="00494CF8"/>
    <w:rsid w:val="004969BD"/>
    <w:rsid w:val="00496C79"/>
    <w:rsid w:val="00496EA3"/>
    <w:rsid w:val="00497516"/>
    <w:rsid w:val="00497960"/>
    <w:rsid w:val="00497C16"/>
    <w:rsid w:val="004A08DF"/>
    <w:rsid w:val="004A1516"/>
    <w:rsid w:val="004A1695"/>
    <w:rsid w:val="004A1729"/>
    <w:rsid w:val="004A187D"/>
    <w:rsid w:val="004A1D50"/>
    <w:rsid w:val="004A1DF8"/>
    <w:rsid w:val="004A234B"/>
    <w:rsid w:val="004A48FE"/>
    <w:rsid w:val="004A4C8E"/>
    <w:rsid w:val="004A5AB0"/>
    <w:rsid w:val="004A7A0C"/>
    <w:rsid w:val="004B0533"/>
    <w:rsid w:val="004B2167"/>
    <w:rsid w:val="004B249E"/>
    <w:rsid w:val="004B2698"/>
    <w:rsid w:val="004B3910"/>
    <w:rsid w:val="004B3B1D"/>
    <w:rsid w:val="004B3D1B"/>
    <w:rsid w:val="004B3D9E"/>
    <w:rsid w:val="004B5999"/>
    <w:rsid w:val="004B609C"/>
    <w:rsid w:val="004B634F"/>
    <w:rsid w:val="004B75E3"/>
    <w:rsid w:val="004B7966"/>
    <w:rsid w:val="004C0F6E"/>
    <w:rsid w:val="004C1066"/>
    <w:rsid w:val="004C139E"/>
    <w:rsid w:val="004C28FA"/>
    <w:rsid w:val="004C3045"/>
    <w:rsid w:val="004C3A43"/>
    <w:rsid w:val="004C4537"/>
    <w:rsid w:val="004C591C"/>
    <w:rsid w:val="004C7189"/>
    <w:rsid w:val="004C7415"/>
    <w:rsid w:val="004C7F7C"/>
    <w:rsid w:val="004D24A4"/>
    <w:rsid w:val="004D262D"/>
    <w:rsid w:val="004D657A"/>
    <w:rsid w:val="004D65C8"/>
    <w:rsid w:val="004D7FAA"/>
    <w:rsid w:val="004E11A1"/>
    <w:rsid w:val="004E2AD9"/>
    <w:rsid w:val="004E3C65"/>
    <w:rsid w:val="004E3D3D"/>
    <w:rsid w:val="004E4058"/>
    <w:rsid w:val="004E4B7B"/>
    <w:rsid w:val="004E4C9C"/>
    <w:rsid w:val="004E5443"/>
    <w:rsid w:val="004E595E"/>
    <w:rsid w:val="004E6889"/>
    <w:rsid w:val="004E698B"/>
    <w:rsid w:val="004E76A1"/>
    <w:rsid w:val="004F0195"/>
    <w:rsid w:val="004F1C0E"/>
    <w:rsid w:val="004F1C46"/>
    <w:rsid w:val="004F30E5"/>
    <w:rsid w:val="004F5858"/>
    <w:rsid w:val="004F5AD2"/>
    <w:rsid w:val="004F5C9C"/>
    <w:rsid w:val="004F670C"/>
    <w:rsid w:val="004F6DA0"/>
    <w:rsid w:val="004F6E47"/>
    <w:rsid w:val="004F708F"/>
    <w:rsid w:val="004F7121"/>
    <w:rsid w:val="004F75CB"/>
    <w:rsid w:val="00501D23"/>
    <w:rsid w:val="005020C1"/>
    <w:rsid w:val="00506232"/>
    <w:rsid w:val="00506AF2"/>
    <w:rsid w:val="00506B1B"/>
    <w:rsid w:val="00506B75"/>
    <w:rsid w:val="00507CF0"/>
    <w:rsid w:val="00511629"/>
    <w:rsid w:val="00511683"/>
    <w:rsid w:val="005117D8"/>
    <w:rsid w:val="00511937"/>
    <w:rsid w:val="00512CB8"/>
    <w:rsid w:val="00513D5C"/>
    <w:rsid w:val="00514089"/>
    <w:rsid w:val="00514246"/>
    <w:rsid w:val="005145B8"/>
    <w:rsid w:val="0052032D"/>
    <w:rsid w:val="00521EEC"/>
    <w:rsid w:val="00521FDD"/>
    <w:rsid w:val="00522E0A"/>
    <w:rsid w:val="00523069"/>
    <w:rsid w:val="005230E5"/>
    <w:rsid w:val="005236B8"/>
    <w:rsid w:val="005237C5"/>
    <w:rsid w:val="00523AC8"/>
    <w:rsid w:val="005245EB"/>
    <w:rsid w:val="005252CC"/>
    <w:rsid w:val="00525495"/>
    <w:rsid w:val="00526998"/>
    <w:rsid w:val="005278A6"/>
    <w:rsid w:val="00530162"/>
    <w:rsid w:val="005352E1"/>
    <w:rsid w:val="0053557B"/>
    <w:rsid w:val="00536C09"/>
    <w:rsid w:val="005370D6"/>
    <w:rsid w:val="0053730F"/>
    <w:rsid w:val="00537B8E"/>
    <w:rsid w:val="00540E03"/>
    <w:rsid w:val="00540E70"/>
    <w:rsid w:val="00541C53"/>
    <w:rsid w:val="00542633"/>
    <w:rsid w:val="00543911"/>
    <w:rsid w:val="0054465C"/>
    <w:rsid w:val="00544E5A"/>
    <w:rsid w:val="00546CE6"/>
    <w:rsid w:val="00547329"/>
    <w:rsid w:val="00547633"/>
    <w:rsid w:val="005509C5"/>
    <w:rsid w:val="0055209C"/>
    <w:rsid w:val="00552AE0"/>
    <w:rsid w:val="00553094"/>
    <w:rsid w:val="0055415F"/>
    <w:rsid w:val="0055609F"/>
    <w:rsid w:val="00556A78"/>
    <w:rsid w:val="00557B43"/>
    <w:rsid w:val="0056034C"/>
    <w:rsid w:val="00561917"/>
    <w:rsid w:val="005620AF"/>
    <w:rsid w:val="005624D4"/>
    <w:rsid w:val="00563E96"/>
    <w:rsid w:val="00563F21"/>
    <w:rsid w:val="005643E0"/>
    <w:rsid w:val="00564E82"/>
    <w:rsid w:val="00564EC8"/>
    <w:rsid w:val="00565022"/>
    <w:rsid w:val="005657F8"/>
    <w:rsid w:val="0056628D"/>
    <w:rsid w:val="00567054"/>
    <w:rsid w:val="00567C99"/>
    <w:rsid w:val="005704D4"/>
    <w:rsid w:val="005705AB"/>
    <w:rsid w:val="005707C2"/>
    <w:rsid w:val="00572CAE"/>
    <w:rsid w:val="005734A0"/>
    <w:rsid w:val="00573849"/>
    <w:rsid w:val="00574629"/>
    <w:rsid w:val="00575D79"/>
    <w:rsid w:val="00576413"/>
    <w:rsid w:val="00576AEA"/>
    <w:rsid w:val="0057712C"/>
    <w:rsid w:val="0057743D"/>
    <w:rsid w:val="005806E6"/>
    <w:rsid w:val="00580898"/>
    <w:rsid w:val="005814E8"/>
    <w:rsid w:val="00582D26"/>
    <w:rsid w:val="00583C58"/>
    <w:rsid w:val="00584797"/>
    <w:rsid w:val="00584FC4"/>
    <w:rsid w:val="00585597"/>
    <w:rsid w:val="00585877"/>
    <w:rsid w:val="005872DB"/>
    <w:rsid w:val="00590A58"/>
    <w:rsid w:val="005917E0"/>
    <w:rsid w:val="005931DB"/>
    <w:rsid w:val="0059335C"/>
    <w:rsid w:val="005937AA"/>
    <w:rsid w:val="00593AB1"/>
    <w:rsid w:val="00593DF2"/>
    <w:rsid w:val="00595502"/>
    <w:rsid w:val="00595564"/>
    <w:rsid w:val="0059627C"/>
    <w:rsid w:val="005A21F8"/>
    <w:rsid w:val="005A2728"/>
    <w:rsid w:val="005A2E9C"/>
    <w:rsid w:val="005A3225"/>
    <w:rsid w:val="005A327A"/>
    <w:rsid w:val="005A36DC"/>
    <w:rsid w:val="005A5192"/>
    <w:rsid w:val="005A5627"/>
    <w:rsid w:val="005A5A75"/>
    <w:rsid w:val="005B1813"/>
    <w:rsid w:val="005B368E"/>
    <w:rsid w:val="005B3DE6"/>
    <w:rsid w:val="005B5B88"/>
    <w:rsid w:val="005B65A2"/>
    <w:rsid w:val="005B69AA"/>
    <w:rsid w:val="005B6B36"/>
    <w:rsid w:val="005B6B9A"/>
    <w:rsid w:val="005B701F"/>
    <w:rsid w:val="005B7699"/>
    <w:rsid w:val="005C0F81"/>
    <w:rsid w:val="005C206A"/>
    <w:rsid w:val="005C20CF"/>
    <w:rsid w:val="005C45FB"/>
    <w:rsid w:val="005C5664"/>
    <w:rsid w:val="005C5EF4"/>
    <w:rsid w:val="005C6527"/>
    <w:rsid w:val="005C68EE"/>
    <w:rsid w:val="005C6C93"/>
    <w:rsid w:val="005D026E"/>
    <w:rsid w:val="005D25DF"/>
    <w:rsid w:val="005D355A"/>
    <w:rsid w:val="005D4FAC"/>
    <w:rsid w:val="005D62AD"/>
    <w:rsid w:val="005E0853"/>
    <w:rsid w:val="005E0F8A"/>
    <w:rsid w:val="005E1076"/>
    <w:rsid w:val="005E1BF7"/>
    <w:rsid w:val="005E291F"/>
    <w:rsid w:val="005E32DF"/>
    <w:rsid w:val="005E3C5C"/>
    <w:rsid w:val="005E54E7"/>
    <w:rsid w:val="005E59AE"/>
    <w:rsid w:val="005E66F8"/>
    <w:rsid w:val="005E698B"/>
    <w:rsid w:val="005E6D53"/>
    <w:rsid w:val="005F152E"/>
    <w:rsid w:val="005F201B"/>
    <w:rsid w:val="005F40E2"/>
    <w:rsid w:val="005F4EF2"/>
    <w:rsid w:val="005F548F"/>
    <w:rsid w:val="005F5770"/>
    <w:rsid w:val="005F632C"/>
    <w:rsid w:val="005F7B36"/>
    <w:rsid w:val="00601AE8"/>
    <w:rsid w:val="00602DA6"/>
    <w:rsid w:val="0060495D"/>
    <w:rsid w:val="00605EAB"/>
    <w:rsid w:val="006064E0"/>
    <w:rsid w:val="0060651A"/>
    <w:rsid w:val="00607755"/>
    <w:rsid w:val="00610B14"/>
    <w:rsid w:val="00610DE5"/>
    <w:rsid w:val="006112B3"/>
    <w:rsid w:val="0061191B"/>
    <w:rsid w:val="006123F2"/>
    <w:rsid w:val="006145F1"/>
    <w:rsid w:val="00614D4B"/>
    <w:rsid w:val="006155CB"/>
    <w:rsid w:val="006157EB"/>
    <w:rsid w:val="00615A5B"/>
    <w:rsid w:val="00615CCA"/>
    <w:rsid w:val="0061651F"/>
    <w:rsid w:val="00616F88"/>
    <w:rsid w:val="00617636"/>
    <w:rsid w:val="00620393"/>
    <w:rsid w:val="006203C4"/>
    <w:rsid w:val="00622405"/>
    <w:rsid w:val="00623828"/>
    <w:rsid w:val="00624328"/>
    <w:rsid w:val="006252CC"/>
    <w:rsid w:val="006306B6"/>
    <w:rsid w:val="00630F17"/>
    <w:rsid w:val="00631CDF"/>
    <w:rsid w:val="00631E58"/>
    <w:rsid w:val="006328EB"/>
    <w:rsid w:val="0063525A"/>
    <w:rsid w:val="006422E8"/>
    <w:rsid w:val="00643A12"/>
    <w:rsid w:val="0064579C"/>
    <w:rsid w:val="006457FF"/>
    <w:rsid w:val="00645A5F"/>
    <w:rsid w:val="00647660"/>
    <w:rsid w:val="006520ED"/>
    <w:rsid w:val="006522A0"/>
    <w:rsid w:val="00652D45"/>
    <w:rsid w:val="00652E83"/>
    <w:rsid w:val="006532D3"/>
    <w:rsid w:val="0065403A"/>
    <w:rsid w:val="0065468B"/>
    <w:rsid w:val="00654FAD"/>
    <w:rsid w:val="00655762"/>
    <w:rsid w:val="00655850"/>
    <w:rsid w:val="00655D3B"/>
    <w:rsid w:val="00656E82"/>
    <w:rsid w:val="00657EBA"/>
    <w:rsid w:val="00660BF5"/>
    <w:rsid w:val="006620A4"/>
    <w:rsid w:val="00662AE7"/>
    <w:rsid w:val="006631BD"/>
    <w:rsid w:val="006637F7"/>
    <w:rsid w:val="0066415E"/>
    <w:rsid w:val="00666842"/>
    <w:rsid w:val="00666A21"/>
    <w:rsid w:val="00666A2C"/>
    <w:rsid w:val="00666ABF"/>
    <w:rsid w:val="00666B62"/>
    <w:rsid w:val="006701EE"/>
    <w:rsid w:val="00670333"/>
    <w:rsid w:val="006707EE"/>
    <w:rsid w:val="006709EC"/>
    <w:rsid w:val="00670B1E"/>
    <w:rsid w:val="00671964"/>
    <w:rsid w:val="00671AC8"/>
    <w:rsid w:val="006720F9"/>
    <w:rsid w:val="00672FBF"/>
    <w:rsid w:val="006745A7"/>
    <w:rsid w:val="00674AFC"/>
    <w:rsid w:val="00675549"/>
    <w:rsid w:val="00675915"/>
    <w:rsid w:val="00677DC8"/>
    <w:rsid w:val="00677E19"/>
    <w:rsid w:val="006810D4"/>
    <w:rsid w:val="0068378A"/>
    <w:rsid w:val="006846AE"/>
    <w:rsid w:val="006852B1"/>
    <w:rsid w:val="00685F6B"/>
    <w:rsid w:val="00686AA6"/>
    <w:rsid w:val="00687787"/>
    <w:rsid w:val="00687EFE"/>
    <w:rsid w:val="00690509"/>
    <w:rsid w:val="00691AF7"/>
    <w:rsid w:val="00691E1F"/>
    <w:rsid w:val="006926C0"/>
    <w:rsid w:val="006929A3"/>
    <w:rsid w:val="00692CBA"/>
    <w:rsid w:val="0069322E"/>
    <w:rsid w:val="00695284"/>
    <w:rsid w:val="006954FE"/>
    <w:rsid w:val="00695A38"/>
    <w:rsid w:val="00696DC4"/>
    <w:rsid w:val="0069740A"/>
    <w:rsid w:val="00697CB5"/>
    <w:rsid w:val="006A0BE5"/>
    <w:rsid w:val="006A117D"/>
    <w:rsid w:val="006A3BB1"/>
    <w:rsid w:val="006A3E5B"/>
    <w:rsid w:val="006A47BC"/>
    <w:rsid w:val="006A5133"/>
    <w:rsid w:val="006A51A3"/>
    <w:rsid w:val="006A60ED"/>
    <w:rsid w:val="006A6EED"/>
    <w:rsid w:val="006A7A6B"/>
    <w:rsid w:val="006A7DEE"/>
    <w:rsid w:val="006B1307"/>
    <w:rsid w:val="006B1B61"/>
    <w:rsid w:val="006B279B"/>
    <w:rsid w:val="006B36C4"/>
    <w:rsid w:val="006B47E5"/>
    <w:rsid w:val="006B5876"/>
    <w:rsid w:val="006B6D4D"/>
    <w:rsid w:val="006C0344"/>
    <w:rsid w:val="006C2730"/>
    <w:rsid w:val="006C278A"/>
    <w:rsid w:val="006C38AC"/>
    <w:rsid w:val="006C7614"/>
    <w:rsid w:val="006C7E81"/>
    <w:rsid w:val="006D0469"/>
    <w:rsid w:val="006D05AE"/>
    <w:rsid w:val="006D0C9B"/>
    <w:rsid w:val="006D565D"/>
    <w:rsid w:val="006D68FA"/>
    <w:rsid w:val="006D7485"/>
    <w:rsid w:val="006E1807"/>
    <w:rsid w:val="006E19D2"/>
    <w:rsid w:val="006E4645"/>
    <w:rsid w:val="006E576F"/>
    <w:rsid w:val="006E5B3E"/>
    <w:rsid w:val="006E66B4"/>
    <w:rsid w:val="006E713F"/>
    <w:rsid w:val="006F168C"/>
    <w:rsid w:val="006F1A47"/>
    <w:rsid w:val="006F3D8D"/>
    <w:rsid w:val="006F7C96"/>
    <w:rsid w:val="00700515"/>
    <w:rsid w:val="00701420"/>
    <w:rsid w:val="00702526"/>
    <w:rsid w:val="00702CEE"/>
    <w:rsid w:val="0070396C"/>
    <w:rsid w:val="00704831"/>
    <w:rsid w:val="007051D8"/>
    <w:rsid w:val="007059BB"/>
    <w:rsid w:val="00705AD3"/>
    <w:rsid w:val="00706A10"/>
    <w:rsid w:val="00707F27"/>
    <w:rsid w:val="007118D1"/>
    <w:rsid w:val="0071192E"/>
    <w:rsid w:val="00711F2A"/>
    <w:rsid w:val="0071244C"/>
    <w:rsid w:val="00715227"/>
    <w:rsid w:val="00716FE0"/>
    <w:rsid w:val="0071716A"/>
    <w:rsid w:val="00720B45"/>
    <w:rsid w:val="007216D3"/>
    <w:rsid w:val="00721EA7"/>
    <w:rsid w:val="00722D6C"/>
    <w:rsid w:val="007239F9"/>
    <w:rsid w:val="00723B0F"/>
    <w:rsid w:val="00725657"/>
    <w:rsid w:val="00725A67"/>
    <w:rsid w:val="00727142"/>
    <w:rsid w:val="007274BE"/>
    <w:rsid w:val="00727EB6"/>
    <w:rsid w:val="0073014D"/>
    <w:rsid w:val="00730250"/>
    <w:rsid w:val="0073089C"/>
    <w:rsid w:val="0073103B"/>
    <w:rsid w:val="00732320"/>
    <w:rsid w:val="00733300"/>
    <w:rsid w:val="007339F3"/>
    <w:rsid w:val="00736343"/>
    <w:rsid w:val="00736BAF"/>
    <w:rsid w:val="00737F94"/>
    <w:rsid w:val="0074090B"/>
    <w:rsid w:val="00740C5E"/>
    <w:rsid w:val="00740CD6"/>
    <w:rsid w:val="007414E1"/>
    <w:rsid w:val="007414EF"/>
    <w:rsid w:val="007422B4"/>
    <w:rsid w:val="00742CB6"/>
    <w:rsid w:val="007432C1"/>
    <w:rsid w:val="00743421"/>
    <w:rsid w:val="00743707"/>
    <w:rsid w:val="0074410D"/>
    <w:rsid w:val="00745F74"/>
    <w:rsid w:val="0074657A"/>
    <w:rsid w:val="0074714D"/>
    <w:rsid w:val="00747EEE"/>
    <w:rsid w:val="00750217"/>
    <w:rsid w:val="00750D6B"/>
    <w:rsid w:val="00750F33"/>
    <w:rsid w:val="00751245"/>
    <w:rsid w:val="0075201B"/>
    <w:rsid w:val="00752152"/>
    <w:rsid w:val="007521F8"/>
    <w:rsid w:val="0075254D"/>
    <w:rsid w:val="007525A9"/>
    <w:rsid w:val="00752DF7"/>
    <w:rsid w:val="00754CCF"/>
    <w:rsid w:val="00754DCB"/>
    <w:rsid w:val="00755142"/>
    <w:rsid w:val="00760193"/>
    <w:rsid w:val="00762974"/>
    <w:rsid w:val="00764564"/>
    <w:rsid w:val="007645C7"/>
    <w:rsid w:val="0076551D"/>
    <w:rsid w:val="00766C3F"/>
    <w:rsid w:val="00766DD3"/>
    <w:rsid w:val="00770230"/>
    <w:rsid w:val="007702C3"/>
    <w:rsid w:val="00770E9C"/>
    <w:rsid w:val="00771038"/>
    <w:rsid w:val="00772254"/>
    <w:rsid w:val="0077293A"/>
    <w:rsid w:val="007743B9"/>
    <w:rsid w:val="007752BC"/>
    <w:rsid w:val="007764B3"/>
    <w:rsid w:val="0077745B"/>
    <w:rsid w:val="0077750B"/>
    <w:rsid w:val="00780405"/>
    <w:rsid w:val="00781FBE"/>
    <w:rsid w:val="00783444"/>
    <w:rsid w:val="0078376F"/>
    <w:rsid w:val="00784A6C"/>
    <w:rsid w:val="0078543D"/>
    <w:rsid w:val="007856AF"/>
    <w:rsid w:val="00787F35"/>
    <w:rsid w:val="00790AB4"/>
    <w:rsid w:val="0079123B"/>
    <w:rsid w:val="00793F1D"/>
    <w:rsid w:val="0079442E"/>
    <w:rsid w:val="00794D07"/>
    <w:rsid w:val="00796032"/>
    <w:rsid w:val="007960FD"/>
    <w:rsid w:val="00796E22"/>
    <w:rsid w:val="0079705C"/>
    <w:rsid w:val="007A0CCC"/>
    <w:rsid w:val="007A0FB6"/>
    <w:rsid w:val="007A2B1B"/>
    <w:rsid w:val="007A3312"/>
    <w:rsid w:val="007A4028"/>
    <w:rsid w:val="007A4D1E"/>
    <w:rsid w:val="007A581C"/>
    <w:rsid w:val="007A5EE8"/>
    <w:rsid w:val="007A6841"/>
    <w:rsid w:val="007A6A1E"/>
    <w:rsid w:val="007A70FB"/>
    <w:rsid w:val="007A7106"/>
    <w:rsid w:val="007A789D"/>
    <w:rsid w:val="007B14AE"/>
    <w:rsid w:val="007B1D63"/>
    <w:rsid w:val="007B46A8"/>
    <w:rsid w:val="007B50AF"/>
    <w:rsid w:val="007B5BB0"/>
    <w:rsid w:val="007B6003"/>
    <w:rsid w:val="007B7AB7"/>
    <w:rsid w:val="007C00CB"/>
    <w:rsid w:val="007C03FD"/>
    <w:rsid w:val="007C0881"/>
    <w:rsid w:val="007C0E6F"/>
    <w:rsid w:val="007C1A2F"/>
    <w:rsid w:val="007C1F48"/>
    <w:rsid w:val="007C32EE"/>
    <w:rsid w:val="007C47F0"/>
    <w:rsid w:val="007C538F"/>
    <w:rsid w:val="007C5933"/>
    <w:rsid w:val="007C6670"/>
    <w:rsid w:val="007C6787"/>
    <w:rsid w:val="007C746D"/>
    <w:rsid w:val="007C7B9B"/>
    <w:rsid w:val="007D0789"/>
    <w:rsid w:val="007D1558"/>
    <w:rsid w:val="007D1957"/>
    <w:rsid w:val="007D244B"/>
    <w:rsid w:val="007D2464"/>
    <w:rsid w:val="007D2AAD"/>
    <w:rsid w:val="007D3859"/>
    <w:rsid w:val="007D4727"/>
    <w:rsid w:val="007D6628"/>
    <w:rsid w:val="007D677E"/>
    <w:rsid w:val="007E04D4"/>
    <w:rsid w:val="007E05D6"/>
    <w:rsid w:val="007E1372"/>
    <w:rsid w:val="007E151D"/>
    <w:rsid w:val="007E2B3D"/>
    <w:rsid w:val="007E3522"/>
    <w:rsid w:val="007E3782"/>
    <w:rsid w:val="007E503E"/>
    <w:rsid w:val="007E5130"/>
    <w:rsid w:val="007E7781"/>
    <w:rsid w:val="007E7815"/>
    <w:rsid w:val="007F06F9"/>
    <w:rsid w:val="007F0C73"/>
    <w:rsid w:val="007F2C0D"/>
    <w:rsid w:val="007F3910"/>
    <w:rsid w:val="007F3AAA"/>
    <w:rsid w:val="007F5785"/>
    <w:rsid w:val="007F58A9"/>
    <w:rsid w:val="007F5F37"/>
    <w:rsid w:val="00802BD5"/>
    <w:rsid w:val="00802D50"/>
    <w:rsid w:val="0080477C"/>
    <w:rsid w:val="00805A8D"/>
    <w:rsid w:val="00810709"/>
    <w:rsid w:val="008147B7"/>
    <w:rsid w:val="00815649"/>
    <w:rsid w:val="00815F5A"/>
    <w:rsid w:val="0082056B"/>
    <w:rsid w:val="00821219"/>
    <w:rsid w:val="00822165"/>
    <w:rsid w:val="00822BEF"/>
    <w:rsid w:val="00822F45"/>
    <w:rsid w:val="00823FDA"/>
    <w:rsid w:val="00824870"/>
    <w:rsid w:val="00824C61"/>
    <w:rsid w:val="008274AA"/>
    <w:rsid w:val="008277DE"/>
    <w:rsid w:val="008279F3"/>
    <w:rsid w:val="0083088A"/>
    <w:rsid w:val="008316C7"/>
    <w:rsid w:val="00831A60"/>
    <w:rsid w:val="00831B5A"/>
    <w:rsid w:val="00833277"/>
    <w:rsid w:val="00833362"/>
    <w:rsid w:val="0083405E"/>
    <w:rsid w:val="00837140"/>
    <w:rsid w:val="0083721A"/>
    <w:rsid w:val="00837602"/>
    <w:rsid w:val="00837746"/>
    <w:rsid w:val="00837AEB"/>
    <w:rsid w:val="00840D63"/>
    <w:rsid w:val="0084168F"/>
    <w:rsid w:val="008418CF"/>
    <w:rsid w:val="00842B11"/>
    <w:rsid w:val="00844163"/>
    <w:rsid w:val="0084440D"/>
    <w:rsid w:val="0084440F"/>
    <w:rsid w:val="00844492"/>
    <w:rsid w:val="00845017"/>
    <w:rsid w:val="008455A6"/>
    <w:rsid w:val="00845CCC"/>
    <w:rsid w:val="00850A93"/>
    <w:rsid w:val="00850EBD"/>
    <w:rsid w:val="008526E3"/>
    <w:rsid w:val="00853A7F"/>
    <w:rsid w:val="00854486"/>
    <w:rsid w:val="00854FA7"/>
    <w:rsid w:val="0085713C"/>
    <w:rsid w:val="008576C9"/>
    <w:rsid w:val="0086029A"/>
    <w:rsid w:val="008606A8"/>
    <w:rsid w:val="00860A9B"/>
    <w:rsid w:val="00860FDA"/>
    <w:rsid w:val="00861D6B"/>
    <w:rsid w:val="00864CC2"/>
    <w:rsid w:val="00864F68"/>
    <w:rsid w:val="00865380"/>
    <w:rsid w:val="008662E3"/>
    <w:rsid w:val="00866371"/>
    <w:rsid w:val="00866938"/>
    <w:rsid w:val="008679A8"/>
    <w:rsid w:val="00870BE2"/>
    <w:rsid w:val="00871010"/>
    <w:rsid w:val="00871D81"/>
    <w:rsid w:val="00873CFF"/>
    <w:rsid w:val="00874312"/>
    <w:rsid w:val="008805D5"/>
    <w:rsid w:val="00880E65"/>
    <w:rsid w:val="0088228E"/>
    <w:rsid w:val="00884B3E"/>
    <w:rsid w:val="00884B6A"/>
    <w:rsid w:val="00884B7F"/>
    <w:rsid w:val="00885622"/>
    <w:rsid w:val="00886AA1"/>
    <w:rsid w:val="0088784D"/>
    <w:rsid w:val="00891EF9"/>
    <w:rsid w:val="00892FD6"/>
    <w:rsid w:val="00895A6A"/>
    <w:rsid w:val="008974B0"/>
    <w:rsid w:val="00897846"/>
    <w:rsid w:val="00897B18"/>
    <w:rsid w:val="00897F01"/>
    <w:rsid w:val="008A14DD"/>
    <w:rsid w:val="008A26E0"/>
    <w:rsid w:val="008A2AE6"/>
    <w:rsid w:val="008A2D33"/>
    <w:rsid w:val="008A327A"/>
    <w:rsid w:val="008A3537"/>
    <w:rsid w:val="008A4229"/>
    <w:rsid w:val="008A61FF"/>
    <w:rsid w:val="008A6894"/>
    <w:rsid w:val="008A68D5"/>
    <w:rsid w:val="008A748C"/>
    <w:rsid w:val="008B0C8B"/>
    <w:rsid w:val="008B1260"/>
    <w:rsid w:val="008B2B69"/>
    <w:rsid w:val="008B3852"/>
    <w:rsid w:val="008B55C3"/>
    <w:rsid w:val="008B6223"/>
    <w:rsid w:val="008B64C0"/>
    <w:rsid w:val="008B69D6"/>
    <w:rsid w:val="008C024E"/>
    <w:rsid w:val="008C0F48"/>
    <w:rsid w:val="008C143E"/>
    <w:rsid w:val="008C1B7B"/>
    <w:rsid w:val="008C2726"/>
    <w:rsid w:val="008C2AF0"/>
    <w:rsid w:val="008C2D49"/>
    <w:rsid w:val="008C49E5"/>
    <w:rsid w:val="008C4C56"/>
    <w:rsid w:val="008C4F57"/>
    <w:rsid w:val="008D0467"/>
    <w:rsid w:val="008D132F"/>
    <w:rsid w:val="008D21FF"/>
    <w:rsid w:val="008D2380"/>
    <w:rsid w:val="008D2A98"/>
    <w:rsid w:val="008D3E20"/>
    <w:rsid w:val="008D44FA"/>
    <w:rsid w:val="008D4676"/>
    <w:rsid w:val="008D59FF"/>
    <w:rsid w:val="008D5BAC"/>
    <w:rsid w:val="008D5BEB"/>
    <w:rsid w:val="008D5DDF"/>
    <w:rsid w:val="008D5EE6"/>
    <w:rsid w:val="008D6573"/>
    <w:rsid w:val="008D7101"/>
    <w:rsid w:val="008E194C"/>
    <w:rsid w:val="008E474C"/>
    <w:rsid w:val="008E4D9A"/>
    <w:rsid w:val="008E5B95"/>
    <w:rsid w:val="008E60CA"/>
    <w:rsid w:val="008E6444"/>
    <w:rsid w:val="008E6F90"/>
    <w:rsid w:val="008E7E64"/>
    <w:rsid w:val="008F0658"/>
    <w:rsid w:val="008F27D0"/>
    <w:rsid w:val="008F3F54"/>
    <w:rsid w:val="008F5BBA"/>
    <w:rsid w:val="008F5E2B"/>
    <w:rsid w:val="008F7143"/>
    <w:rsid w:val="008F7443"/>
    <w:rsid w:val="008F757F"/>
    <w:rsid w:val="009000F7"/>
    <w:rsid w:val="009002F4"/>
    <w:rsid w:val="00901513"/>
    <w:rsid w:val="00901AE0"/>
    <w:rsid w:val="00902AB2"/>
    <w:rsid w:val="00902C51"/>
    <w:rsid w:val="00903666"/>
    <w:rsid w:val="00903EFA"/>
    <w:rsid w:val="009042C4"/>
    <w:rsid w:val="0090445B"/>
    <w:rsid w:val="009050C9"/>
    <w:rsid w:val="00911AD7"/>
    <w:rsid w:val="00913666"/>
    <w:rsid w:val="00913E6B"/>
    <w:rsid w:val="00913F87"/>
    <w:rsid w:val="009151FD"/>
    <w:rsid w:val="00915580"/>
    <w:rsid w:val="009167EA"/>
    <w:rsid w:val="00917FD1"/>
    <w:rsid w:val="00920308"/>
    <w:rsid w:val="00921C02"/>
    <w:rsid w:val="009230D3"/>
    <w:rsid w:val="00924F1F"/>
    <w:rsid w:val="009311AB"/>
    <w:rsid w:val="00931D35"/>
    <w:rsid w:val="00932A7B"/>
    <w:rsid w:val="00932AE5"/>
    <w:rsid w:val="0093392B"/>
    <w:rsid w:val="00934478"/>
    <w:rsid w:val="009365A1"/>
    <w:rsid w:val="009366A7"/>
    <w:rsid w:val="00936935"/>
    <w:rsid w:val="00936BB0"/>
    <w:rsid w:val="00940A45"/>
    <w:rsid w:val="009414A6"/>
    <w:rsid w:val="009426A8"/>
    <w:rsid w:val="00942758"/>
    <w:rsid w:val="009430D0"/>
    <w:rsid w:val="00943224"/>
    <w:rsid w:val="00943C6B"/>
    <w:rsid w:val="00954D63"/>
    <w:rsid w:val="009551EF"/>
    <w:rsid w:val="00955248"/>
    <w:rsid w:val="009557CE"/>
    <w:rsid w:val="00955EE9"/>
    <w:rsid w:val="00956261"/>
    <w:rsid w:val="009565D6"/>
    <w:rsid w:val="00956916"/>
    <w:rsid w:val="00956993"/>
    <w:rsid w:val="009573B3"/>
    <w:rsid w:val="009604A3"/>
    <w:rsid w:val="009605F0"/>
    <w:rsid w:val="009615F4"/>
    <w:rsid w:val="00961704"/>
    <w:rsid w:val="00962BB9"/>
    <w:rsid w:val="00962F9D"/>
    <w:rsid w:val="009631C1"/>
    <w:rsid w:val="00963A24"/>
    <w:rsid w:val="00963F0D"/>
    <w:rsid w:val="009649A4"/>
    <w:rsid w:val="00964EBE"/>
    <w:rsid w:val="00965A58"/>
    <w:rsid w:val="00966BB2"/>
    <w:rsid w:val="00966C7F"/>
    <w:rsid w:val="00966EED"/>
    <w:rsid w:val="009703EA"/>
    <w:rsid w:val="00972551"/>
    <w:rsid w:val="00974C90"/>
    <w:rsid w:val="009753F7"/>
    <w:rsid w:val="00976EF7"/>
    <w:rsid w:val="00977843"/>
    <w:rsid w:val="00980597"/>
    <w:rsid w:val="00980AE7"/>
    <w:rsid w:val="00981708"/>
    <w:rsid w:val="00981AE5"/>
    <w:rsid w:val="00981EC7"/>
    <w:rsid w:val="00982D01"/>
    <w:rsid w:val="00982D7C"/>
    <w:rsid w:val="00982E9E"/>
    <w:rsid w:val="00983032"/>
    <w:rsid w:val="00984870"/>
    <w:rsid w:val="009855E5"/>
    <w:rsid w:val="00985AC3"/>
    <w:rsid w:val="0098615C"/>
    <w:rsid w:val="009868B7"/>
    <w:rsid w:val="00986946"/>
    <w:rsid w:val="009876CB"/>
    <w:rsid w:val="00991CA9"/>
    <w:rsid w:val="00992076"/>
    <w:rsid w:val="00993951"/>
    <w:rsid w:val="009948FD"/>
    <w:rsid w:val="00994AB3"/>
    <w:rsid w:val="00995865"/>
    <w:rsid w:val="00995CA4"/>
    <w:rsid w:val="00996530"/>
    <w:rsid w:val="00997ED8"/>
    <w:rsid w:val="009A0C4C"/>
    <w:rsid w:val="009A0F43"/>
    <w:rsid w:val="009A1008"/>
    <w:rsid w:val="009A1764"/>
    <w:rsid w:val="009A1F64"/>
    <w:rsid w:val="009A38DB"/>
    <w:rsid w:val="009A4FDF"/>
    <w:rsid w:val="009A6777"/>
    <w:rsid w:val="009A7363"/>
    <w:rsid w:val="009B0FE0"/>
    <w:rsid w:val="009B223D"/>
    <w:rsid w:val="009B3872"/>
    <w:rsid w:val="009B5283"/>
    <w:rsid w:val="009B5775"/>
    <w:rsid w:val="009B617B"/>
    <w:rsid w:val="009B7E8A"/>
    <w:rsid w:val="009C0110"/>
    <w:rsid w:val="009C14DC"/>
    <w:rsid w:val="009C2AF5"/>
    <w:rsid w:val="009C6404"/>
    <w:rsid w:val="009C7768"/>
    <w:rsid w:val="009D0142"/>
    <w:rsid w:val="009D078A"/>
    <w:rsid w:val="009D194E"/>
    <w:rsid w:val="009D2232"/>
    <w:rsid w:val="009D2EA3"/>
    <w:rsid w:val="009D5380"/>
    <w:rsid w:val="009D6F17"/>
    <w:rsid w:val="009D7164"/>
    <w:rsid w:val="009E0E5F"/>
    <w:rsid w:val="009E11DE"/>
    <w:rsid w:val="009E1383"/>
    <w:rsid w:val="009E37F2"/>
    <w:rsid w:val="009E5C52"/>
    <w:rsid w:val="009E645F"/>
    <w:rsid w:val="009E6C4C"/>
    <w:rsid w:val="009E6DF2"/>
    <w:rsid w:val="009E6F36"/>
    <w:rsid w:val="009E745E"/>
    <w:rsid w:val="009F0251"/>
    <w:rsid w:val="009F08F1"/>
    <w:rsid w:val="009F15A3"/>
    <w:rsid w:val="009F1DCB"/>
    <w:rsid w:val="009F2719"/>
    <w:rsid w:val="009F2800"/>
    <w:rsid w:val="009F2E3C"/>
    <w:rsid w:val="009F40AC"/>
    <w:rsid w:val="009F44A5"/>
    <w:rsid w:val="009F44EE"/>
    <w:rsid w:val="009F450E"/>
    <w:rsid w:val="009F4A9C"/>
    <w:rsid w:val="009F4D08"/>
    <w:rsid w:val="009F5B4F"/>
    <w:rsid w:val="009F6DBE"/>
    <w:rsid w:val="00A00E05"/>
    <w:rsid w:val="00A01EAC"/>
    <w:rsid w:val="00A02448"/>
    <w:rsid w:val="00A0286B"/>
    <w:rsid w:val="00A0297E"/>
    <w:rsid w:val="00A029C1"/>
    <w:rsid w:val="00A03273"/>
    <w:rsid w:val="00A06170"/>
    <w:rsid w:val="00A06994"/>
    <w:rsid w:val="00A07E7C"/>
    <w:rsid w:val="00A1109D"/>
    <w:rsid w:val="00A113A8"/>
    <w:rsid w:val="00A11AA5"/>
    <w:rsid w:val="00A138D5"/>
    <w:rsid w:val="00A140EB"/>
    <w:rsid w:val="00A146BE"/>
    <w:rsid w:val="00A15F82"/>
    <w:rsid w:val="00A166D6"/>
    <w:rsid w:val="00A16BDB"/>
    <w:rsid w:val="00A17557"/>
    <w:rsid w:val="00A17E03"/>
    <w:rsid w:val="00A17E67"/>
    <w:rsid w:val="00A20177"/>
    <w:rsid w:val="00A203E2"/>
    <w:rsid w:val="00A2139A"/>
    <w:rsid w:val="00A21F4D"/>
    <w:rsid w:val="00A21F5E"/>
    <w:rsid w:val="00A21F72"/>
    <w:rsid w:val="00A22125"/>
    <w:rsid w:val="00A221A4"/>
    <w:rsid w:val="00A2253F"/>
    <w:rsid w:val="00A232BF"/>
    <w:rsid w:val="00A24A0E"/>
    <w:rsid w:val="00A25BB2"/>
    <w:rsid w:val="00A27A2D"/>
    <w:rsid w:val="00A310BE"/>
    <w:rsid w:val="00A31777"/>
    <w:rsid w:val="00A324EA"/>
    <w:rsid w:val="00A33D8B"/>
    <w:rsid w:val="00A35B20"/>
    <w:rsid w:val="00A366BF"/>
    <w:rsid w:val="00A3764B"/>
    <w:rsid w:val="00A37A21"/>
    <w:rsid w:val="00A40638"/>
    <w:rsid w:val="00A4195E"/>
    <w:rsid w:val="00A451AF"/>
    <w:rsid w:val="00A4549C"/>
    <w:rsid w:val="00A47102"/>
    <w:rsid w:val="00A50558"/>
    <w:rsid w:val="00A5121E"/>
    <w:rsid w:val="00A5182E"/>
    <w:rsid w:val="00A52C4D"/>
    <w:rsid w:val="00A52D5F"/>
    <w:rsid w:val="00A534C7"/>
    <w:rsid w:val="00A5486B"/>
    <w:rsid w:val="00A54E14"/>
    <w:rsid w:val="00A5763C"/>
    <w:rsid w:val="00A609DE"/>
    <w:rsid w:val="00A60BFB"/>
    <w:rsid w:val="00A6200D"/>
    <w:rsid w:val="00A62CB6"/>
    <w:rsid w:val="00A63841"/>
    <w:rsid w:val="00A64DCF"/>
    <w:rsid w:val="00A651AE"/>
    <w:rsid w:val="00A66982"/>
    <w:rsid w:val="00A669FA"/>
    <w:rsid w:val="00A673CE"/>
    <w:rsid w:val="00A675BA"/>
    <w:rsid w:val="00A71713"/>
    <w:rsid w:val="00A73EFD"/>
    <w:rsid w:val="00A74249"/>
    <w:rsid w:val="00A74423"/>
    <w:rsid w:val="00A74BC1"/>
    <w:rsid w:val="00A76228"/>
    <w:rsid w:val="00A76AF5"/>
    <w:rsid w:val="00A81731"/>
    <w:rsid w:val="00A81839"/>
    <w:rsid w:val="00A81B57"/>
    <w:rsid w:val="00A81C23"/>
    <w:rsid w:val="00A81E8A"/>
    <w:rsid w:val="00A822D8"/>
    <w:rsid w:val="00A827A0"/>
    <w:rsid w:val="00A82E3B"/>
    <w:rsid w:val="00A83462"/>
    <w:rsid w:val="00A84670"/>
    <w:rsid w:val="00A84EAA"/>
    <w:rsid w:val="00A84FCB"/>
    <w:rsid w:val="00A862C6"/>
    <w:rsid w:val="00A87E60"/>
    <w:rsid w:val="00A9031D"/>
    <w:rsid w:val="00A91A1C"/>
    <w:rsid w:val="00A92848"/>
    <w:rsid w:val="00A934BC"/>
    <w:rsid w:val="00A93620"/>
    <w:rsid w:val="00A94AF1"/>
    <w:rsid w:val="00A94EA3"/>
    <w:rsid w:val="00A951B6"/>
    <w:rsid w:val="00A961F9"/>
    <w:rsid w:val="00A9685E"/>
    <w:rsid w:val="00A9698F"/>
    <w:rsid w:val="00AA1C0D"/>
    <w:rsid w:val="00AA1D35"/>
    <w:rsid w:val="00AA337F"/>
    <w:rsid w:val="00AA34C6"/>
    <w:rsid w:val="00AA48D7"/>
    <w:rsid w:val="00AA53AD"/>
    <w:rsid w:val="00AA55AA"/>
    <w:rsid w:val="00AA7D92"/>
    <w:rsid w:val="00AB0092"/>
    <w:rsid w:val="00AB2A8E"/>
    <w:rsid w:val="00AB37F0"/>
    <w:rsid w:val="00AB430E"/>
    <w:rsid w:val="00AB72EF"/>
    <w:rsid w:val="00AB7BE9"/>
    <w:rsid w:val="00AC02E5"/>
    <w:rsid w:val="00AC27BA"/>
    <w:rsid w:val="00AC2E2B"/>
    <w:rsid w:val="00AC3D61"/>
    <w:rsid w:val="00AC3DFD"/>
    <w:rsid w:val="00AC46A0"/>
    <w:rsid w:val="00AC489D"/>
    <w:rsid w:val="00AC57C1"/>
    <w:rsid w:val="00AC5CB4"/>
    <w:rsid w:val="00AC5FAD"/>
    <w:rsid w:val="00AC7647"/>
    <w:rsid w:val="00AC7AB0"/>
    <w:rsid w:val="00AC7F48"/>
    <w:rsid w:val="00AD18AD"/>
    <w:rsid w:val="00AD3AA3"/>
    <w:rsid w:val="00AD4454"/>
    <w:rsid w:val="00AD4863"/>
    <w:rsid w:val="00AD60D4"/>
    <w:rsid w:val="00AD6AE9"/>
    <w:rsid w:val="00AD6BA7"/>
    <w:rsid w:val="00AD6E59"/>
    <w:rsid w:val="00AD7167"/>
    <w:rsid w:val="00AE06A7"/>
    <w:rsid w:val="00AE18A6"/>
    <w:rsid w:val="00AE2B46"/>
    <w:rsid w:val="00AE320C"/>
    <w:rsid w:val="00AE3BB0"/>
    <w:rsid w:val="00AE3C45"/>
    <w:rsid w:val="00AE3CDF"/>
    <w:rsid w:val="00AE412F"/>
    <w:rsid w:val="00AE45CE"/>
    <w:rsid w:val="00AE6899"/>
    <w:rsid w:val="00AF0661"/>
    <w:rsid w:val="00AF0E62"/>
    <w:rsid w:val="00AF1B9E"/>
    <w:rsid w:val="00AF1E16"/>
    <w:rsid w:val="00AF28DC"/>
    <w:rsid w:val="00AF3442"/>
    <w:rsid w:val="00AF388A"/>
    <w:rsid w:val="00AF4D21"/>
    <w:rsid w:val="00B01CEE"/>
    <w:rsid w:val="00B01CFF"/>
    <w:rsid w:val="00B050B9"/>
    <w:rsid w:val="00B0532B"/>
    <w:rsid w:val="00B05548"/>
    <w:rsid w:val="00B0564F"/>
    <w:rsid w:val="00B05CE3"/>
    <w:rsid w:val="00B0674A"/>
    <w:rsid w:val="00B07D05"/>
    <w:rsid w:val="00B10052"/>
    <w:rsid w:val="00B10C05"/>
    <w:rsid w:val="00B11004"/>
    <w:rsid w:val="00B13C0E"/>
    <w:rsid w:val="00B14505"/>
    <w:rsid w:val="00B15143"/>
    <w:rsid w:val="00B157E6"/>
    <w:rsid w:val="00B15931"/>
    <w:rsid w:val="00B15EC1"/>
    <w:rsid w:val="00B17811"/>
    <w:rsid w:val="00B17958"/>
    <w:rsid w:val="00B17B2B"/>
    <w:rsid w:val="00B223B0"/>
    <w:rsid w:val="00B22B32"/>
    <w:rsid w:val="00B22B99"/>
    <w:rsid w:val="00B23BDB"/>
    <w:rsid w:val="00B2418E"/>
    <w:rsid w:val="00B242D1"/>
    <w:rsid w:val="00B243FD"/>
    <w:rsid w:val="00B26D97"/>
    <w:rsid w:val="00B27779"/>
    <w:rsid w:val="00B30169"/>
    <w:rsid w:val="00B31CC4"/>
    <w:rsid w:val="00B32FF3"/>
    <w:rsid w:val="00B33E13"/>
    <w:rsid w:val="00B34A76"/>
    <w:rsid w:val="00B35224"/>
    <w:rsid w:val="00B3526D"/>
    <w:rsid w:val="00B36939"/>
    <w:rsid w:val="00B379C0"/>
    <w:rsid w:val="00B400D6"/>
    <w:rsid w:val="00B40176"/>
    <w:rsid w:val="00B41044"/>
    <w:rsid w:val="00B43305"/>
    <w:rsid w:val="00B43C78"/>
    <w:rsid w:val="00B4685E"/>
    <w:rsid w:val="00B47C1E"/>
    <w:rsid w:val="00B50BDB"/>
    <w:rsid w:val="00B5111E"/>
    <w:rsid w:val="00B51D9B"/>
    <w:rsid w:val="00B51F1B"/>
    <w:rsid w:val="00B53A26"/>
    <w:rsid w:val="00B53D50"/>
    <w:rsid w:val="00B53E1F"/>
    <w:rsid w:val="00B54A3A"/>
    <w:rsid w:val="00B55BF9"/>
    <w:rsid w:val="00B56179"/>
    <w:rsid w:val="00B57FCA"/>
    <w:rsid w:val="00B60EA2"/>
    <w:rsid w:val="00B61A99"/>
    <w:rsid w:val="00B62304"/>
    <w:rsid w:val="00B62ADC"/>
    <w:rsid w:val="00B63135"/>
    <w:rsid w:val="00B63C0E"/>
    <w:rsid w:val="00B64B6F"/>
    <w:rsid w:val="00B64CCB"/>
    <w:rsid w:val="00B654A6"/>
    <w:rsid w:val="00B67B2D"/>
    <w:rsid w:val="00B67F60"/>
    <w:rsid w:val="00B71B60"/>
    <w:rsid w:val="00B72EB2"/>
    <w:rsid w:val="00B72FBD"/>
    <w:rsid w:val="00B73637"/>
    <w:rsid w:val="00B73E67"/>
    <w:rsid w:val="00B8008C"/>
    <w:rsid w:val="00B80F9E"/>
    <w:rsid w:val="00B81A87"/>
    <w:rsid w:val="00B81AD7"/>
    <w:rsid w:val="00B81FBB"/>
    <w:rsid w:val="00B82897"/>
    <w:rsid w:val="00B82AF8"/>
    <w:rsid w:val="00B8377B"/>
    <w:rsid w:val="00B83A4F"/>
    <w:rsid w:val="00B83B81"/>
    <w:rsid w:val="00B84C9C"/>
    <w:rsid w:val="00B855A5"/>
    <w:rsid w:val="00B863F5"/>
    <w:rsid w:val="00B91DF7"/>
    <w:rsid w:val="00B9306E"/>
    <w:rsid w:val="00B93E45"/>
    <w:rsid w:val="00B952F5"/>
    <w:rsid w:val="00BA00EE"/>
    <w:rsid w:val="00BA0675"/>
    <w:rsid w:val="00BA1328"/>
    <w:rsid w:val="00BA1566"/>
    <w:rsid w:val="00BA1C2A"/>
    <w:rsid w:val="00BA2335"/>
    <w:rsid w:val="00BA3628"/>
    <w:rsid w:val="00BA5ACA"/>
    <w:rsid w:val="00BA6210"/>
    <w:rsid w:val="00BA78D9"/>
    <w:rsid w:val="00BA7C0D"/>
    <w:rsid w:val="00BA7E23"/>
    <w:rsid w:val="00BB2FDD"/>
    <w:rsid w:val="00BB44AC"/>
    <w:rsid w:val="00BB66EA"/>
    <w:rsid w:val="00BB6DAC"/>
    <w:rsid w:val="00BB7BCF"/>
    <w:rsid w:val="00BC0019"/>
    <w:rsid w:val="00BC062F"/>
    <w:rsid w:val="00BC0D48"/>
    <w:rsid w:val="00BC3D03"/>
    <w:rsid w:val="00BC5157"/>
    <w:rsid w:val="00BC5189"/>
    <w:rsid w:val="00BC530A"/>
    <w:rsid w:val="00BC7A7F"/>
    <w:rsid w:val="00BD0006"/>
    <w:rsid w:val="00BD0FDA"/>
    <w:rsid w:val="00BD1F0D"/>
    <w:rsid w:val="00BD485A"/>
    <w:rsid w:val="00BD4898"/>
    <w:rsid w:val="00BD530A"/>
    <w:rsid w:val="00BD639F"/>
    <w:rsid w:val="00BD6995"/>
    <w:rsid w:val="00BE0EEB"/>
    <w:rsid w:val="00BE1287"/>
    <w:rsid w:val="00BE345B"/>
    <w:rsid w:val="00BE3986"/>
    <w:rsid w:val="00BE4A4C"/>
    <w:rsid w:val="00BE5BBC"/>
    <w:rsid w:val="00BE7FD0"/>
    <w:rsid w:val="00BF0249"/>
    <w:rsid w:val="00BF2458"/>
    <w:rsid w:val="00BF2B66"/>
    <w:rsid w:val="00BF3149"/>
    <w:rsid w:val="00BF40FC"/>
    <w:rsid w:val="00BF4631"/>
    <w:rsid w:val="00BF6548"/>
    <w:rsid w:val="00BF78B5"/>
    <w:rsid w:val="00C015C2"/>
    <w:rsid w:val="00C04D12"/>
    <w:rsid w:val="00C07F13"/>
    <w:rsid w:val="00C10454"/>
    <w:rsid w:val="00C1111F"/>
    <w:rsid w:val="00C11C94"/>
    <w:rsid w:val="00C12030"/>
    <w:rsid w:val="00C12A5D"/>
    <w:rsid w:val="00C13654"/>
    <w:rsid w:val="00C14099"/>
    <w:rsid w:val="00C14996"/>
    <w:rsid w:val="00C16549"/>
    <w:rsid w:val="00C17AFD"/>
    <w:rsid w:val="00C200CF"/>
    <w:rsid w:val="00C20360"/>
    <w:rsid w:val="00C20FE3"/>
    <w:rsid w:val="00C220B9"/>
    <w:rsid w:val="00C25585"/>
    <w:rsid w:val="00C26738"/>
    <w:rsid w:val="00C26A61"/>
    <w:rsid w:val="00C319F5"/>
    <w:rsid w:val="00C31A55"/>
    <w:rsid w:val="00C31AD4"/>
    <w:rsid w:val="00C32360"/>
    <w:rsid w:val="00C32820"/>
    <w:rsid w:val="00C33C9B"/>
    <w:rsid w:val="00C33F93"/>
    <w:rsid w:val="00C34570"/>
    <w:rsid w:val="00C35123"/>
    <w:rsid w:val="00C3598D"/>
    <w:rsid w:val="00C3672E"/>
    <w:rsid w:val="00C37A99"/>
    <w:rsid w:val="00C41151"/>
    <w:rsid w:val="00C414A0"/>
    <w:rsid w:val="00C41522"/>
    <w:rsid w:val="00C41CF4"/>
    <w:rsid w:val="00C42693"/>
    <w:rsid w:val="00C428D1"/>
    <w:rsid w:val="00C43060"/>
    <w:rsid w:val="00C43841"/>
    <w:rsid w:val="00C44021"/>
    <w:rsid w:val="00C44461"/>
    <w:rsid w:val="00C44DAF"/>
    <w:rsid w:val="00C47D16"/>
    <w:rsid w:val="00C50713"/>
    <w:rsid w:val="00C508C9"/>
    <w:rsid w:val="00C51ED9"/>
    <w:rsid w:val="00C524FA"/>
    <w:rsid w:val="00C5428A"/>
    <w:rsid w:val="00C54F12"/>
    <w:rsid w:val="00C5525E"/>
    <w:rsid w:val="00C55A95"/>
    <w:rsid w:val="00C56CE4"/>
    <w:rsid w:val="00C57004"/>
    <w:rsid w:val="00C57751"/>
    <w:rsid w:val="00C57F05"/>
    <w:rsid w:val="00C60969"/>
    <w:rsid w:val="00C60C5B"/>
    <w:rsid w:val="00C61AC0"/>
    <w:rsid w:val="00C61C5E"/>
    <w:rsid w:val="00C61D52"/>
    <w:rsid w:val="00C631E0"/>
    <w:rsid w:val="00C64DBD"/>
    <w:rsid w:val="00C667E7"/>
    <w:rsid w:val="00C66A19"/>
    <w:rsid w:val="00C66AAF"/>
    <w:rsid w:val="00C66FEA"/>
    <w:rsid w:val="00C67690"/>
    <w:rsid w:val="00C67E09"/>
    <w:rsid w:val="00C7035C"/>
    <w:rsid w:val="00C71F4B"/>
    <w:rsid w:val="00C73FBA"/>
    <w:rsid w:val="00C74022"/>
    <w:rsid w:val="00C74CCD"/>
    <w:rsid w:val="00C7585F"/>
    <w:rsid w:val="00C7656F"/>
    <w:rsid w:val="00C77B5B"/>
    <w:rsid w:val="00C80327"/>
    <w:rsid w:val="00C807A8"/>
    <w:rsid w:val="00C80DBD"/>
    <w:rsid w:val="00C8141A"/>
    <w:rsid w:val="00C81E78"/>
    <w:rsid w:val="00C841D2"/>
    <w:rsid w:val="00C84D79"/>
    <w:rsid w:val="00C86A09"/>
    <w:rsid w:val="00C86BDC"/>
    <w:rsid w:val="00C86C9B"/>
    <w:rsid w:val="00C8722B"/>
    <w:rsid w:val="00C872B7"/>
    <w:rsid w:val="00C90222"/>
    <w:rsid w:val="00C90BE1"/>
    <w:rsid w:val="00C9167B"/>
    <w:rsid w:val="00C9221B"/>
    <w:rsid w:val="00C92895"/>
    <w:rsid w:val="00C92D82"/>
    <w:rsid w:val="00C94B21"/>
    <w:rsid w:val="00C94DEE"/>
    <w:rsid w:val="00C95294"/>
    <w:rsid w:val="00C95CAE"/>
    <w:rsid w:val="00C967B5"/>
    <w:rsid w:val="00C9786D"/>
    <w:rsid w:val="00CA0948"/>
    <w:rsid w:val="00CA144D"/>
    <w:rsid w:val="00CA26C6"/>
    <w:rsid w:val="00CA27DE"/>
    <w:rsid w:val="00CA2F25"/>
    <w:rsid w:val="00CA372D"/>
    <w:rsid w:val="00CA43E5"/>
    <w:rsid w:val="00CA488F"/>
    <w:rsid w:val="00CA4F8E"/>
    <w:rsid w:val="00CA581F"/>
    <w:rsid w:val="00CB1CFE"/>
    <w:rsid w:val="00CB1E8F"/>
    <w:rsid w:val="00CB3465"/>
    <w:rsid w:val="00CB3A5B"/>
    <w:rsid w:val="00CB571A"/>
    <w:rsid w:val="00CB599F"/>
    <w:rsid w:val="00CB643B"/>
    <w:rsid w:val="00CB74EB"/>
    <w:rsid w:val="00CB79FA"/>
    <w:rsid w:val="00CB7FDB"/>
    <w:rsid w:val="00CC002D"/>
    <w:rsid w:val="00CC0FB1"/>
    <w:rsid w:val="00CC23C9"/>
    <w:rsid w:val="00CC3AD7"/>
    <w:rsid w:val="00CC3C93"/>
    <w:rsid w:val="00CC4B93"/>
    <w:rsid w:val="00CC59E3"/>
    <w:rsid w:val="00CC6484"/>
    <w:rsid w:val="00CC69AA"/>
    <w:rsid w:val="00CC74FC"/>
    <w:rsid w:val="00CD0EAC"/>
    <w:rsid w:val="00CD1842"/>
    <w:rsid w:val="00CD2200"/>
    <w:rsid w:val="00CD327A"/>
    <w:rsid w:val="00CD33AA"/>
    <w:rsid w:val="00CD3750"/>
    <w:rsid w:val="00CD3DEB"/>
    <w:rsid w:val="00CD48D7"/>
    <w:rsid w:val="00CD5D52"/>
    <w:rsid w:val="00CD6C88"/>
    <w:rsid w:val="00CD77F2"/>
    <w:rsid w:val="00CD7E87"/>
    <w:rsid w:val="00CD7F19"/>
    <w:rsid w:val="00CE01C0"/>
    <w:rsid w:val="00CE16DE"/>
    <w:rsid w:val="00CE1C2A"/>
    <w:rsid w:val="00CE1D05"/>
    <w:rsid w:val="00CE2865"/>
    <w:rsid w:val="00CE5D4A"/>
    <w:rsid w:val="00CE647D"/>
    <w:rsid w:val="00CE74DA"/>
    <w:rsid w:val="00CE75B9"/>
    <w:rsid w:val="00CE794A"/>
    <w:rsid w:val="00CF1408"/>
    <w:rsid w:val="00CF1C87"/>
    <w:rsid w:val="00CF229B"/>
    <w:rsid w:val="00CF2AEE"/>
    <w:rsid w:val="00CF3CF0"/>
    <w:rsid w:val="00CF5CA7"/>
    <w:rsid w:val="00D00103"/>
    <w:rsid w:val="00D01A04"/>
    <w:rsid w:val="00D01E11"/>
    <w:rsid w:val="00D01E1E"/>
    <w:rsid w:val="00D02DDD"/>
    <w:rsid w:val="00D049BE"/>
    <w:rsid w:val="00D06B51"/>
    <w:rsid w:val="00D06FC4"/>
    <w:rsid w:val="00D0766A"/>
    <w:rsid w:val="00D077D2"/>
    <w:rsid w:val="00D1213D"/>
    <w:rsid w:val="00D1275B"/>
    <w:rsid w:val="00D12DC5"/>
    <w:rsid w:val="00D14531"/>
    <w:rsid w:val="00D14A21"/>
    <w:rsid w:val="00D1644F"/>
    <w:rsid w:val="00D173BA"/>
    <w:rsid w:val="00D21542"/>
    <w:rsid w:val="00D21A6F"/>
    <w:rsid w:val="00D22112"/>
    <w:rsid w:val="00D2294E"/>
    <w:rsid w:val="00D24541"/>
    <w:rsid w:val="00D24CBB"/>
    <w:rsid w:val="00D25560"/>
    <w:rsid w:val="00D25B3E"/>
    <w:rsid w:val="00D26659"/>
    <w:rsid w:val="00D26D13"/>
    <w:rsid w:val="00D277E6"/>
    <w:rsid w:val="00D303E5"/>
    <w:rsid w:val="00D31ECF"/>
    <w:rsid w:val="00D326AD"/>
    <w:rsid w:val="00D32FAF"/>
    <w:rsid w:val="00D3317E"/>
    <w:rsid w:val="00D33298"/>
    <w:rsid w:val="00D336D8"/>
    <w:rsid w:val="00D33870"/>
    <w:rsid w:val="00D348BF"/>
    <w:rsid w:val="00D351F8"/>
    <w:rsid w:val="00D355FB"/>
    <w:rsid w:val="00D36B0D"/>
    <w:rsid w:val="00D37330"/>
    <w:rsid w:val="00D375D1"/>
    <w:rsid w:val="00D37D4F"/>
    <w:rsid w:val="00D419E5"/>
    <w:rsid w:val="00D42BEB"/>
    <w:rsid w:val="00D43BDF"/>
    <w:rsid w:val="00D440BB"/>
    <w:rsid w:val="00D447EB"/>
    <w:rsid w:val="00D44A68"/>
    <w:rsid w:val="00D470B2"/>
    <w:rsid w:val="00D47459"/>
    <w:rsid w:val="00D47A3C"/>
    <w:rsid w:val="00D50BFD"/>
    <w:rsid w:val="00D5104A"/>
    <w:rsid w:val="00D514DD"/>
    <w:rsid w:val="00D51DEB"/>
    <w:rsid w:val="00D54C6F"/>
    <w:rsid w:val="00D5689B"/>
    <w:rsid w:val="00D56D9D"/>
    <w:rsid w:val="00D56F66"/>
    <w:rsid w:val="00D57727"/>
    <w:rsid w:val="00D61435"/>
    <w:rsid w:val="00D622CD"/>
    <w:rsid w:val="00D62F17"/>
    <w:rsid w:val="00D6345F"/>
    <w:rsid w:val="00D636A7"/>
    <w:rsid w:val="00D643EE"/>
    <w:rsid w:val="00D6699F"/>
    <w:rsid w:val="00D66C3C"/>
    <w:rsid w:val="00D67107"/>
    <w:rsid w:val="00D76AB0"/>
    <w:rsid w:val="00D80143"/>
    <w:rsid w:val="00D804EC"/>
    <w:rsid w:val="00D81370"/>
    <w:rsid w:val="00D81515"/>
    <w:rsid w:val="00D81DE4"/>
    <w:rsid w:val="00D81E43"/>
    <w:rsid w:val="00D82234"/>
    <w:rsid w:val="00D826CD"/>
    <w:rsid w:val="00D828ED"/>
    <w:rsid w:val="00D82D3B"/>
    <w:rsid w:val="00D8329B"/>
    <w:rsid w:val="00D8389D"/>
    <w:rsid w:val="00D83B62"/>
    <w:rsid w:val="00D83CB9"/>
    <w:rsid w:val="00D83FC4"/>
    <w:rsid w:val="00D84401"/>
    <w:rsid w:val="00D85549"/>
    <w:rsid w:val="00D85B24"/>
    <w:rsid w:val="00D86B7F"/>
    <w:rsid w:val="00D9010B"/>
    <w:rsid w:val="00D90640"/>
    <w:rsid w:val="00D909CB"/>
    <w:rsid w:val="00D917B5"/>
    <w:rsid w:val="00D925BC"/>
    <w:rsid w:val="00D940BF"/>
    <w:rsid w:val="00D9665D"/>
    <w:rsid w:val="00D97C4E"/>
    <w:rsid w:val="00DA087C"/>
    <w:rsid w:val="00DA13CC"/>
    <w:rsid w:val="00DA41C3"/>
    <w:rsid w:val="00DA468B"/>
    <w:rsid w:val="00DA5A09"/>
    <w:rsid w:val="00DA5B2D"/>
    <w:rsid w:val="00DA69CC"/>
    <w:rsid w:val="00DA7CBA"/>
    <w:rsid w:val="00DB05FC"/>
    <w:rsid w:val="00DB075A"/>
    <w:rsid w:val="00DB0F9A"/>
    <w:rsid w:val="00DB368B"/>
    <w:rsid w:val="00DB3763"/>
    <w:rsid w:val="00DB38D3"/>
    <w:rsid w:val="00DB3B8F"/>
    <w:rsid w:val="00DB3E4B"/>
    <w:rsid w:val="00DB4289"/>
    <w:rsid w:val="00DB4395"/>
    <w:rsid w:val="00DB4A3F"/>
    <w:rsid w:val="00DB649B"/>
    <w:rsid w:val="00DB7037"/>
    <w:rsid w:val="00DC17D5"/>
    <w:rsid w:val="00DC1800"/>
    <w:rsid w:val="00DC2403"/>
    <w:rsid w:val="00DC2405"/>
    <w:rsid w:val="00DC3027"/>
    <w:rsid w:val="00DC30A0"/>
    <w:rsid w:val="00DC3F23"/>
    <w:rsid w:val="00DC4872"/>
    <w:rsid w:val="00DC51E6"/>
    <w:rsid w:val="00DC6638"/>
    <w:rsid w:val="00DC766E"/>
    <w:rsid w:val="00DD25BE"/>
    <w:rsid w:val="00DD4CCD"/>
    <w:rsid w:val="00DD4E69"/>
    <w:rsid w:val="00DD52D9"/>
    <w:rsid w:val="00DD5787"/>
    <w:rsid w:val="00DD647C"/>
    <w:rsid w:val="00DD6596"/>
    <w:rsid w:val="00DE0C1B"/>
    <w:rsid w:val="00DE2427"/>
    <w:rsid w:val="00DE2CC1"/>
    <w:rsid w:val="00DE3635"/>
    <w:rsid w:val="00DE4095"/>
    <w:rsid w:val="00DE422C"/>
    <w:rsid w:val="00DE4349"/>
    <w:rsid w:val="00DE50B3"/>
    <w:rsid w:val="00DE5F7F"/>
    <w:rsid w:val="00DF0810"/>
    <w:rsid w:val="00DF0EC3"/>
    <w:rsid w:val="00DF10A8"/>
    <w:rsid w:val="00DF2CBC"/>
    <w:rsid w:val="00DF5305"/>
    <w:rsid w:val="00DF5B63"/>
    <w:rsid w:val="00DF5C67"/>
    <w:rsid w:val="00DF62D2"/>
    <w:rsid w:val="00DF68EB"/>
    <w:rsid w:val="00DF6BBD"/>
    <w:rsid w:val="00DF75C5"/>
    <w:rsid w:val="00E0037C"/>
    <w:rsid w:val="00E031AA"/>
    <w:rsid w:val="00E03794"/>
    <w:rsid w:val="00E04AD8"/>
    <w:rsid w:val="00E04FF8"/>
    <w:rsid w:val="00E05358"/>
    <w:rsid w:val="00E065B3"/>
    <w:rsid w:val="00E06AC7"/>
    <w:rsid w:val="00E1130E"/>
    <w:rsid w:val="00E11A4F"/>
    <w:rsid w:val="00E1444A"/>
    <w:rsid w:val="00E14C6B"/>
    <w:rsid w:val="00E15368"/>
    <w:rsid w:val="00E16756"/>
    <w:rsid w:val="00E170F0"/>
    <w:rsid w:val="00E17956"/>
    <w:rsid w:val="00E179EE"/>
    <w:rsid w:val="00E17B8C"/>
    <w:rsid w:val="00E206D7"/>
    <w:rsid w:val="00E20AE5"/>
    <w:rsid w:val="00E21708"/>
    <w:rsid w:val="00E22361"/>
    <w:rsid w:val="00E22E8F"/>
    <w:rsid w:val="00E23B6C"/>
    <w:rsid w:val="00E23D61"/>
    <w:rsid w:val="00E25682"/>
    <w:rsid w:val="00E25D25"/>
    <w:rsid w:val="00E26B05"/>
    <w:rsid w:val="00E26E05"/>
    <w:rsid w:val="00E2767E"/>
    <w:rsid w:val="00E27CE5"/>
    <w:rsid w:val="00E300F8"/>
    <w:rsid w:val="00E30604"/>
    <w:rsid w:val="00E33948"/>
    <w:rsid w:val="00E340C2"/>
    <w:rsid w:val="00E34A30"/>
    <w:rsid w:val="00E34D9B"/>
    <w:rsid w:val="00E35BA0"/>
    <w:rsid w:val="00E36229"/>
    <w:rsid w:val="00E366F0"/>
    <w:rsid w:val="00E369C9"/>
    <w:rsid w:val="00E4054B"/>
    <w:rsid w:val="00E4080D"/>
    <w:rsid w:val="00E40BBC"/>
    <w:rsid w:val="00E40E0A"/>
    <w:rsid w:val="00E43E59"/>
    <w:rsid w:val="00E43EC4"/>
    <w:rsid w:val="00E471D0"/>
    <w:rsid w:val="00E47711"/>
    <w:rsid w:val="00E50AC5"/>
    <w:rsid w:val="00E53AA4"/>
    <w:rsid w:val="00E5453C"/>
    <w:rsid w:val="00E54AC3"/>
    <w:rsid w:val="00E579CA"/>
    <w:rsid w:val="00E62414"/>
    <w:rsid w:val="00E62A51"/>
    <w:rsid w:val="00E6434E"/>
    <w:rsid w:val="00E64D54"/>
    <w:rsid w:val="00E6602E"/>
    <w:rsid w:val="00E66096"/>
    <w:rsid w:val="00E70596"/>
    <w:rsid w:val="00E70E3C"/>
    <w:rsid w:val="00E716F3"/>
    <w:rsid w:val="00E71CBE"/>
    <w:rsid w:val="00E72D76"/>
    <w:rsid w:val="00E73E5B"/>
    <w:rsid w:val="00E743E2"/>
    <w:rsid w:val="00E74D80"/>
    <w:rsid w:val="00E7515E"/>
    <w:rsid w:val="00E75338"/>
    <w:rsid w:val="00E756DE"/>
    <w:rsid w:val="00E758C6"/>
    <w:rsid w:val="00E760B2"/>
    <w:rsid w:val="00E82F6E"/>
    <w:rsid w:val="00E8338D"/>
    <w:rsid w:val="00E83D45"/>
    <w:rsid w:val="00E85855"/>
    <w:rsid w:val="00E8671B"/>
    <w:rsid w:val="00E87663"/>
    <w:rsid w:val="00E87E21"/>
    <w:rsid w:val="00E90780"/>
    <w:rsid w:val="00E911EF"/>
    <w:rsid w:val="00E91200"/>
    <w:rsid w:val="00E91797"/>
    <w:rsid w:val="00E918AD"/>
    <w:rsid w:val="00E92832"/>
    <w:rsid w:val="00E92AA5"/>
    <w:rsid w:val="00E93486"/>
    <w:rsid w:val="00E949E1"/>
    <w:rsid w:val="00E951D9"/>
    <w:rsid w:val="00E95B7D"/>
    <w:rsid w:val="00E962EC"/>
    <w:rsid w:val="00E96D59"/>
    <w:rsid w:val="00E96E82"/>
    <w:rsid w:val="00E97294"/>
    <w:rsid w:val="00E97461"/>
    <w:rsid w:val="00E97AA8"/>
    <w:rsid w:val="00EA0F7B"/>
    <w:rsid w:val="00EA29B0"/>
    <w:rsid w:val="00EA3ECA"/>
    <w:rsid w:val="00EA422F"/>
    <w:rsid w:val="00EA4BE8"/>
    <w:rsid w:val="00EA5E6B"/>
    <w:rsid w:val="00EA71EC"/>
    <w:rsid w:val="00EA7F7F"/>
    <w:rsid w:val="00EB0412"/>
    <w:rsid w:val="00EB0A77"/>
    <w:rsid w:val="00EB2297"/>
    <w:rsid w:val="00EB48FA"/>
    <w:rsid w:val="00EB4920"/>
    <w:rsid w:val="00EB753C"/>
    <w:rsid w:val="00EC042E"/>
    <w:rsid w:val="00EC0566"/>
    <w:rsid w:val="00EC1817"/>
    <w:rsid w:val="00EC1883"/>
    <w:rsid w:val="00EC24E4"/>
    <w:rsid w:val="00EC394B"/>
    <w:rsid w:val="00EC4C0B"/>
    <w:rsid w:val="00EC5169"/>
    <w:rsid w:val="00EC5585"/>
    <w:rsid w:val="00EC5EFF"/>
    <w:rsid w:val="00EC644B"/>
    <w:rsid w:val="00EC6EE2"/>
    <w:rsid w:val="00EC7DE6"/>
    <w:rsid w:val="00ED011A"/>
    <w:rsid w:val="00ED0369"/>
    <w:rsid w:val="00ED12CE"/>
    <w:rsid w:val="00ED13F4"/>
    <w:rsid w:val="00ED148A"/>
    <w:rsid w:val="00ED18DC"/>
    <w:rsid w:val="00ED233D"/>
    <w:rsid w:val="00ED2CDA"/>
    <w:rsid w:val="00ED2EB4"/>
    <w:rsid w:val="00ED332A"/>
    <w:rsid w:val="00ED3795"/>
    <w:rsid w:val="00ED3B4E"/>
    <w:rsid w:val="00ED4988"/>
    <w:rsid w:val="00ED4F5D"/>
    <w:rsid w:val="00ED6E80"/>
    <w:rsid w:val="00ED7BDD"/>
    <w:rsid w:val="00EE01E6"/>
    <w:rsid w:val="00EE15DD"/>
    <w:rsid w:val="00EE1A6B"/>
    <w:rsid w:val="00EE1C2C"/>
    <w:rsid w:val="00EE3410"/>
    <w:rsid w:val="00EE45DC"/>
    <w:rsid w:val="00EE49ED"/>
    <w:rsid w:val="00EE4DBC"/>
    <w:rsid w:val="00EE52D3"/>
    <w:rsid w:val="00EE55CC"/>
    <w:rsid w:val="00EE56A8"/>
    <w:rsid w:val="00EE5846"/>
    <w:rsid w:val="00EE6554"/>
    <w:rsid w:val="00EE74CF"/>
    <w:rsid w:val="00EE7921"/>
    <w:rsid w:val="00EF0034"/>
    <w:rsid w:val="00EF0ACA"/>
    <w:rsid w:val="00EF17B6"/>
    <w:rsid w:val="00EF1BE0"/>
    <w:rsid w:val="00EF1FA6"/>
    <w:rsid w:val="00EF21C1"/>
    <w:rsid w:val="00EF2BDD"/>
    <w:rsid w:val="00EF345D"/>
    <w:rsid w:val="00EF51DC"/>
    <w:rsid w:val="00EF5FBC"/>
    <w:rsid w:val="00EF6C60"/>
    <w:rsid w:val="00EF780A"/>
    <w:rsid w:val="00EF79E9"/>
    <w:rsid w:val="00F00CD6"/>
    <w:rsid w:val="00F00E4A"/>
    <w:rsid w:val="00F01944"/>
    <w:rsid w:val="00F01EE5"/>
    <w:rsid w:val="00F02548"/>
    <w:rsid w:val="00F0339C"/>
    <w:rsid w:val="00F034FC"/>
    <w:rsid w:val="00F03CBF"/>
    <w:rsid w:val="00F04AE1"/>
    <w:rsid w:val="00F05AE7"/>
    <w:rsid w:val="00F06D4A"/>
    <w:rsid w:val="00F10119"/>
    <w:rsid w:val="00F11461"/>
    <w:rsid w:val="00F11F99"/>
    <w:rsid w:val="00F12D7B"/>
    <w:rsid w:val="00F12F79"/>
    <w:rsid w:val="00F13E2D"/>
    <w:rsid w:val="00F13FF4"/>
    <w:rsid w:val="00F15BAB"/>
    <w:rsid w:val="00F17D7C"/>
    <w:rsid w:val="00F206A7"/>
    <w:rsid w:val="00F20A17"/>
    <w:rsid w:val="00F20F60"/>
    <w:rsid w:val="00F21589"/>
    <w:rsid w:val="00F21FF2"/>
    <w:rsid w:val="00F2290E"/>
    <w:rsid w:val="00F23D85"/>
    <w:rsid w:val="00F254DF"/>
    <w:rsid w:val="00F260B8"/>
    <w:rsid w:val="00F3082B"/>
    <w:rsid w:val="00F31911"/>
    <w:rsid w:val="00F321E7"/>
    <w:rsid w:val="00F32956"/>
    <w:rsid w:val="00F34B0F"/>
    <w:rsid w:val="00F35D08"/>
    <w:rsid w:val="00F36125"/>
    <w:rsid w:val="00F364C2"/>
    <w:rsid w:val="00F36D1A"/>
    <w:rsid w:val="00F377DA"/>
    <w:rsid w:val="00F402CB"/>
    <w:rsid w:val="00F40353"/>
    <w:rsid w:val="00F4079F"/>
    <w:rsid w:val="00F4138C"/>
    <w:rsid w:val="00F41E57"/>
    <w:rsid w:val="00F42DE9"/>
    <w:rsid w:val="00F435BD"/>
    <w:rsid w:val="00F46A93"/>
    <w:rsid w:val="00F52191"/>
    <w:rsid w:val="00F52407"/>
    <w:rsid w:val="00F53CD4"/>
    <w:rsid w:val="00F54591"/>
    <w:rsid w:val="00F54B0B"/>
    <w:rsid w:val="00F54B12"/>
    <w:rsid w:val="00F561DE"/>
    <w:rsid w:val="00F56B6A"/>
    <w:rsid w:val="00F6094C"/>
    <w:rsid w:val="00F66814"/>
    <w:rsid w:val="00F66B9C"/>
    <w:rsid w:val="00F67455"/>
    <w:rsid w:val="00F67C41"/>
    <w:rsid w:val="00F67C76"/>
    <w:rsid w:val="00F7020E"/>
    <w:rsid w:val="00F71093"/>
    <w:rsid w:val="00F71814"/>
    <w:rsid w:val="00F71F56"/>
    <w:rsid w:val="00F728FB"/>
    <w:rsid w:val="00F72EF5"/>
    <w:rsid w:val="00F73665"/>
    <w:rsid w:val="00F73BFB"/>
    <w:rsid w:val="00F7468B"/>
    <w:rsid w:val="00F74C4F"/>
    <w:rsid w:val="00F762FC"/>
    <w:rsid w:val="00F80DD2"/>
    <w:rsid w:val="00F814D1"/>
    <w:rsid w:val="00F81A80"/>
    <w:rsid w:val="00F81ADC"/>
    <w:rsid w:val="00F81D74"/>
    <w:rsid w:val="00F81F70"/>
    <w:rsid w:val="00F82439"/>
    <w:rsid w:val="00F8279C"/>
    <w:rsid w:val="00F8288B"/>
    <w:rsid w:val="00F82B11"/>
    <w:rsid w:val="00F83459"/>
    <w:rsid w:val="00F861EE"/>
    <w:rsid w:val="00F86255"/>
    <w:rsid w:val="00F8695E"/>
    <w:rsid w:val="00F86DF3"/>
    <w:rsid w:val="00F90C16"/>
    <w:rsid w:val="00F91CE5"/>
    <w:rsid w:val="00F91EDB"/>
    <w:rsid w:val="00F923BC"/>
    <w:rsid w:val="00F93DCA"/>
    <w:rsid w:val="00F95EAC"/>
    <w:rsid w:val="00F96F4C"/>
    <w:rsid w:val="00F97012"/>
    <w:rsid w:val="00FA261D"/>
    <w:rsid w:val="00FA32DC"/>
    <w:rsid w:val="00FA3A59"/>
    <w:rsid w:val="00FA3AA6"/>
    <w:rsid w:val="00FA3BB6"/>
    <w:rsid w:val="00FA56C4"/>
    <w:rsid w:val="00FB0D98"/>
    <w:rsid w:val="00FB0EE1"/>
    <w:rsid w:val="00FB1F93"/>
    <w:rsid w:val="00FB3D29"/>
    <w:rsid w:val="00FB4E42"/>
    <w:rsid w:val="00FB4FF8"/>
    <w:rsid w:val="00FB6218"/>
    <w:rsid w:val="00FB70EF"/>
    <w:rsid w:val="00FB7869"/>
    <w:rsid w:val="00FC0BC2"/>
    <w:rsid w:val="00FC30AC"/>
    <w:rsid w:val="00FC354B"/>
    <w:rsid w:val="00FC38F8"/>
    <w:rsid w:val="00FC4252"/>
    <w:rsid w:val="00FC55E6"/>
    <w:rsid w:val="00FC72B9"/>
    <w:rsid w:val="00FC76D1"/>
    <w:rsid w:val="00FC7CB8"/>
    <w:rsid w:val="00FD126D"/>
    <w:rsid w:val="00FD1695"/>
    <w:rsid w:val="00FD2D02"/>
    <w:rsid w:val="00FD37E4"/>
    <w:rsid w:val="00FD4ABD"/>
    <w:rsid w:val="00FD4C57"/>
    <w:rsid w:val="00FD4C59"/>
    <w:rsid w:val="00FD5838"/>
    <w:rsid w:val="00FD631D"/>
    <w:rsid w:val="00FD649D"/>
    <w:rsid w:val="00FD6873"/>
    <w:rsid w:val="00FE0C7E"/>
    <w:rsid w:val="00FE135C"/>
    <w:rsid w:val="00FE23BD"/>
    <w:rsid w:val="00FE57BA"/>
    <w:rsid w:val="00FE61C7"/>
    <w:rsid w:val="00FE66A7"/>
    <w:rsid w:val="00FF00AE"/>
    <w:rsid w:val="00FF082F"/>
    <w:rsid w:val="00FF08A6"/>
    <w:rsid w:val="00FF0DDE"/>
    <w:rsid w:val="00FF1357"/>
    <w:rsid w:val="00FF1C4B"/>
    <w:rsid w:val="00FF2ACE"/>
    <w:rsid w:val="00FF30EE"/>
    <w:rsid w:val="00FF3D83"/>
    <w:rsid w:val="00FF5A5D"/>
    <w:rsid w:val="00FF5B5F"/>
    <w:rsid w:val="00FF630C"/>
    <w:rsid w:val="00FF651B"/>
    <w:rsid w:val="00FF6AD7"/>
    <w:rsid w:val="00FF747C"/>
    <w:rsid w:val="00FF7896"/>
    <w:rsid w:val="13DDFEA6"/>
    <w:rsid w:val="207833A6"/>
    <w:rsid w:val="234D9C67"/>
    <w:rsid w:val="23C3A98D"/>
    <w:rsid w:val="46071A0E"/>
    <w:rsid w:val="4A4A81C8"/>
    <w:rsid w:val="4B5E524D"/>
    <w:rsid w:val="4CA6750B"/>
    <w:rsid w:val="4E520E0E"/>
    <w:rsid w:val="4E84EA0E"/>
    <w:rsid w:val="50245D0E"/>
    <w:rsid w:val="502BE4F2"/>
    <w:rsid w:val="5350D34D"/>
    <w:rsid w:val="58A853D0"/>
    <w:rsid w:val="6C29F07B"/>
    <w:rsid w:val="75A1D16E"/>
    <w:rsid w:val="77C40E70"/>
    <w:rsid w:val="79C4D187"/>
    <w:rsid w:val="7A6E73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35756C"/>
  <w15:docId w15:val="{23F595E3-EFD5-4AB0-8821-097CFD695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249"/>
    <w:pPr>
      <w:spacing w:after="0"/>
    </w:pPr>
    <w:rPr>
      <w:rFonts w:ascii="Verdana" w:hAnsi="Verdana"/>
      <w:sz w:val="20"/>
      <w:szCs w:val="20"/>
      <w:lang w:val="es-CR"/>
    </w:rPr>
  </w:style>
  <w:style w:type="paragraph" w:styleId="Ttulo1">
    <w:name w:val="heading 1"/>
    <w:basedOn w:val="Normal"/>
    <w:next w:val="Normal"/>
    <w:link w:val="Ttulo1Car"/>
    <w:uiPriority w:val="9"/>
    <w:qFormat/>
    <w:rsid w:val="006637F7"/>
    <w:pPr>
      <w:keepNext/>
      <w:numPr>
        <w:numId w:val="2"/>
      </w:numPr>
      <w:tabs>
        <w:tab w:val="left" w:pos="567"/>
      </w:tabs>
      <w:spacing w:line="240" w:lineRule="auto"/>
      <w:jc w:val="both"/>
      <w:outlineLvl w:val="0"/>
    </w:pPr>
    <w:rPr>
      <w:rFonts w:eastAsia="Calibri" w:cs="Verdana"/>
      <w:b/>
      <w:bCs/>
      <w:i/>
      <w:iCs/>
    </w:rPr>
  </w:style>
  <w:style w:type="paragraph" w:styleId="Ttulo2">
    <w:name w:val="heading 2"/>
    <w:basedOn w:val="Normal"/>
    <w:next w:val="Normal"/>
    <w:link w:val="Ttulo2Car"/>
    <w:uiPriority w:val="9"/>
    <w:unhideWhenUsed/>
    <w:qFormat/>
    <w:rsid w:val="00450A75"/>
    <w:pPr>
      <w:keepNext/>
      <w:keepLines/>
      <w:spacing w:before="40"/>
      <w:ind w:left="1276"/>
      <w:outlineLvl w:val="1"/>
    </w:pPr>
    <w:rPr>
      <w:rFonts w:eastAsiaTheme="majorEastAsia" w:cstheme="majorBidi"/>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List Paragraph2,List Paragraph1,Lista vistosa - Énfasis 11,Párrafo de lista1,Colorful List - Accent 11,List Paragraph11,Subtle Emphasis1,Footnote1,Parrafos"/>
    <w:basedOn w:val="Normal"/>
    <w:link w:val="PrrafodelistaCar"/>
    <w:uiPriority w:val="34"/>
    <w:qFormat/>
    <w:rsid w:val="00016191"/>
    <w:pPr>
      <w:ind w:left="720"/>
      <w:contextualSpacing/>
    </w:pPr>
  </w:style>
  <w:style w:type="character" w:styleId="Refdecomentario">
    <w:name w:val="annotation reference"/>
    <w:basedOn w:val="Fuentedeprrafopredeter"/>
    <w:uiPriority w:val="99"/>
    <w:semiHidden/>
    <w:unhideWhenUsed/>
    <w:rsid w:val="00995865"/>
    <w:rPr>
      <w:sz w:val="16"/>
      <w:szCs w:val="16"/>
    </w:rPr>
  </w:style>
  <w:style w:type="paragraph" w:styleId="Textocomentario">
    <w:name w:val="annotation text"/>
    <w:basedOn w:val="Normal"/>
    <w:link w:val="TextocomentarioCar"/>
    <w:uiPriority w:val="99"/>
    <w:unhideWhenUsed/>
    <w:rsid w:val="00995865"/>
    <w:pPr>
      <w:spacing w:line="240" w:lineRule="auto"/>
    </w:pPr>
  </w:style>
  <w:style w:type="character" w:customStyle="1" w:styleId="TextocomentarioCar">
    <w:name w:val="Texto comentario Car"/>
    <w:basedOn w:val="Fuentedeprrafopredeter"/>
    <w:link w:val="Textocomentario"/>
    <w:uiPriority w:val="99"/>
    <w:rsid w:val="00995865"/>
    <w:rPr>
      <w:sz w:val="20"/>
      <w:szCs w:val="20"/>
      <w:lang w:val="es-CR"/>
    </w:rPr>
  </w:style>
  <w:style w:type="paragraph" w:styleId="Asuntodelcomentario">
    <w:name w:val="annotation subject"/>
    <w:basedOn w:val="Textocomentario"/>
    <w:next w:val="Textocomentario"/>
    <w:link w:val="AsuntodelcomentarioCar"/>
    <w:uiPriority w:val="99"/>
    <w:semiHidden/>
    <w:unhideWhenUsed/>
    <w:rsid w:val="00995865"/>
    <w:rPr>
      <w:b/>
      <w:bCs/>
    </w:rPr>
  </w:style>
  <w:style w:type="character" w:customStyle="1" w:styleId="AsuntodelcomentarioCar">
    <w:name w:val="Asunto del comentario Car"/>
    <w:basedOn w:val="TextocomentarioCar"/>
    <w:link w:val="Asuntodelcomentario"/>
    <w:uiPriority w:val="99"/>
    <w:semiHidden/>
    <w:rsid w:val="00995865"/>
    <w:rPr>
      <w:b/>
      <w:bCs/>
      <w:sz w:val="20"/>
      <w:szCs w:val="20"/>
      <w:lang w:val="es-CR"/>
    </w:rPr>
  </w:style>
  <w:style w:type="paragraph" w:styleId="Textodeglobo">
    <w:name w:val="Balloon Text"/>
    <w:basedOn w:val="Normal"/>
    <w:link w:val="TextodegloboCar"/>
    <w:uiPriority w:val="99"/>
    <w:semiHidden/>
    <w:unhideWhenUsed/>
    <w:rsid w:val="00995865"/>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95865"/>
    <w:rPr>
      <w:rFonts w:ascii="Tahoma" w:hAnsi="Tahoma" w:cs="Tahoma"/>
      <w:sz w:val="16"/>
      <w:szCs w:val="16"/>
      <w:lang w:val="es-CR"/>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nhideWhenUsed/>
    <w:qFormat/>
    <w:rsid w:val="006A0BE5"/>
    <w:pPr>
      <w:spacing w:line="240" w:lineRule="auto"/>
    </w:p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qFormat/>
    <w:rsid w:val="006A0BE5"/>
    <w:rPr>
      <w:sz w:val="20"/>
      <w:szCs w:val="20"/>
      <w:lang w:val="es-CR"/>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link w:val="4GChar"/>
    <w:uiPriority w:val="99"/>
    <w:unhideWhenUsed/>
    <w:qFormat/>
    <w:rsid w:val="003678AE"/>
    <w:rPr>
      <w:rFonts w:ascii="Verdana" w:hAnsi="Verdana"/>
      <w:sz w:val="16"/>
      <w:szCs w:val="16"/>
      <w:vertAlign w:val="superscript"/>
      <w:lang w:val="es-CR"/>
    </w:rPr>
  </w:style>
  <w:style w:type="character" w:styleId="Textoennegrita">
    <w:name w:val="Strong"/>
    <w:uiPriority w:val="22"/>
    <w:qFormat/>
    <w:rsid w:val="00CB74EB"/>
    <w:rPr>
      <w:b/>
      <w:bCs/>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basedOn w:val="Fuentedeprrafopredeter"/>
    <w:uiPriority w:val="99"/>
    <w:locked/>
    <w:rsid w:val="006B279B"/>
    <w:rPr>
      <w:rFonts w:ascii="Verdana" w:hAnsi="Verdana" w:cs="Verdana"/>
      <w:sz w:val="16"/>
      <w:szCs w:val="16"/>
      <w:lang w:val="es-ES_tradnl" w:eastAsia="es-ES"/>
    </w:rPr>
  </w:style>
  <w:style w:type="paragraph" w:styleId="Encabezado">
    <w:name w:val="header"/>
    <w:basedOn w:val="Normal"/>
    <w:link w:val="EncabezadoCar"/>
    <w:uiPriority w:val="99"/>
    <w:unhideWhenUsed/>
    <w:rsid w:val="007B50AF"/>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7B50AF"/>
    <w:rPr>
      <w:lang w:val="es-CR"/>
    </w:rPr>
  </w:style>
  <w:style w:type="paragraph" w:styleId="Piedepgina">
    <w:name w:val="footer"/>
    <w:basedOn w:val="Normal"/>
    <w:link w:val="PiedepginaCar"/>
    <w:uiPriority w:val="99"/>
    <w:unhideWhenUsed/>
    <w:rsid w:val="007B50AF"/>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7B50AF"/>
    <w:rPr>
      <w:lang w:val="es-CR"/>
    </w:rPr>
  </w:style>
  <w:style w:type="paragraph" w:styleId="NormalWeb">
    <w:name w:val="Normal (Web)"/>
    <w:basedOn w:val="Normal"/>
    <w:uiPriority w:val="99"/>
    <w:unhideWhenUsed/>
    <w:rsid w:val="00063E3C"/>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Ttulo2Car">
    <w:name w:val="Título 2 Car"/>
    <w:basedOn w:val="Fuentedeprrafopredeter"/>
    <w:link w:val="Ttulo2"/>
    <w:uiPriority w:val="9"/>
    <w:rsid w:val="00450A75"/>
    <w:rPr>
      <w:rFonts w:ascii="Verdana" w:eastAsiaTheme="majorEastAsia" w:hAnsi="Verdana" w:cstheme="majorBidi"/>
      <w:b/>
      <w:sz w:val="20"/>
      <w:szCs w:val="20"/>
      <w:lang w:val="es-CR"/>
    </w:rPr>
  </w:style>
  <w:style w:type="character" w:styleId="Nmerodepgina">
    <w:name w:val="page number"/>
    <w:basedOn w:val="Fuentedeprrafopredeter"/>
    <w:uiPriority w:val="99"/>
    <w:semiHidden/>
    <w:unhideWhenUsed/>
    <w:rsid w:val="00205583"/>
  </w:style>
  <w:style w:type="character" w:customStyle="1" w:styleId="Ttulo1Car">
    <w:name w:val="Título 1 Car"/>
    <w:basedOn w:val="Fuentedeprrafopredeter"/>
    <w:link w:val="Ttulo1"/>
    <w:uiPriority w:val="9"/>
    <w:rsid w:val="006637F7"/>
    <w:rPr>
      <w:rFonts w:ascii="Verdana" w:eastAsia="Calibri" w:hAnsi="Verdana" w:cs="Verdana"/>
      <w:b/>
      <w:bCs/>
      <w:i/>
      <w:iCs/>
      <w:sz w:val="20"/>
      <w:szCs w:val="20"/>
      <w:lang w:val="es-CR"/>
    </w:rPr>
  </w:style>
  <w:style w:type="character" w:styleId="Hipervnculo">
    <w:name w:val="Hyperlink"/>
    <w:basedOn w:val="Fuentedeprrafopredeter"/>
    <w:uiPriority w:val="99"/>
    <w:unhideWhenUsed/>
    <w:rsid w:val="00E53AA4"/>
    <w:rPr>
      <w:color w:val="0000FF" w:themeColor="hyperlink"/>
      <w:u w:val="single"/>
    </w:rPr>
  </w:style>
  <w:style w:type="character" w:styleId="Hipervnculovisitado">
    <w:name w:val="FollowedHyperlink"/>
    <w:basedOn w:val="Fuentedeprrafopredeter"/>
    <w:uiPriority w:val="99"/>
    <w:semiHidden/>
    <w:unhideWhenUsed/>
    <w:rsid w:val="00E53AA4"/>
    <w:rPr>
      <w:color w:val="800080" w:themeColor="followedHyperlink"/>
      <w:u w:val="single"/>
    </w:rPr>
  </w:style>
  <w:style w:type="character" w:styleId="Nmerodelnea">
    <w:name w:val="line number"/>
    <w:basedOn w:val="Fuentedeprrafopredeter"/>
    <w:uiPriority w:val="99"/>
    <w:semiHidden/>
    <w:unhideWhenUsed/>
    <w:rsid w:val="00E6602E"/>
  </w:style>
  <w:style w:type="paragraph" w:styleId="Ttulo">
    <w:name w:val="Title"/>
    <w:basedOn w:val="Normal"/>
    <w:link w:val="TtuloCar"/>
    <w:uiPriority w:val="99"/>
    <w:qFormat/>
    <w:rsid w:val="00796E22"/>
    <w:pPr>
      <w:spacing w:line="240" w:lineRule="auto"/>
      <w:jc w:val="center"/>
    </w:pPr>
    <w:rPr>
      <w:rFonts w:ascii="Garamond" w:eastAsia="Times New Roman" w:hAnsi="Garamond" w:cs="Times New Roman"/>
      <w:b/>
      <w:sz w:val="32"/>
      <w:lang w:val="es-ES_tradnl" w:eastAsia="es-ES"/>
    </w:rPr>
  </w:style>
  <w:style w:type="character" w:customStyle="1" w:styleId="TtuloCar">
    <w:name w:val="Título Car"/>
    <w:basedOn w:val="Fuentedeprrafopredeter"/>
    <w:link w:val="Ttulo"/>
    <w:uiPriority w:val="99"/>
    <w:rsid w:val="00796E22"/>
    <w:rPr>
      <w:rFonts w:ascii="Garamond" w:eastAsia="Times New Roman" w:hAnsi="Garamond" w:cs="Times New Roman"/>
      <w:b/>
      <w:sz w:val="32"/>
      <w:szCs w:val="20"/>
      <w:lang w:val="es-ES_tradnl" w:eastAsia="es-ES"/>
    </w:rPr>
  </w:style>
  <w:style w:type="character" w:styleId="nfasissutil">
    <w:name w:val="Subtle Emphasis"/>
    <w:uiPriority w:val="19"/>
    <w:qFormat/>
    <w:rsid w:val="00796E22"/>
    <w:rPr>
      <w:rFonts w:ascii="Verdana" w:hAnsi="Verdana"/>
      <w:i/>
      <w:iCs/>
      <w:color w:val="808080"/>
      <w:sz w:val="20"/>
      <w:u w:val="single"/>
    </w:rPr>
  </w:style>
  <w:style w:type="paragraph" w:customStyle="1" w:styleId="PrrafodeSentencia">
    <w:name w:val="*. Párrafo de Sentencia"/>
    <w:basedOn w:val="Normal"/>
    <w:rsid w:val="00AC5CB4"/>
    <w:pPr>
      <w:numPr>
        <w:numId w:val="3"/>
      </w:numPr>
    </w:pPr>
  </w:style>
  <w:style w:type="character" w:customStyle="1" w:styleId="PrrafodelistaCar">
    <w:name w:val="Párrafo de lista Car"/>
    <w:aliases w:val="Footnote Car,List Paragraph2 Car,List Paragraph1 Car,Lista vistosa - Énfasis 11 Car,Párrafo de lista1 Car,Colorful List - Accent 11 Car,List Paragraph11 Car,Subtle Emphasis1 Car,Footnote1 Car,Parrafos Car"/>
    <w:link w:val="Prrafodelista"/>
    <w:uiPriority w:val="34"/>
    <w:locked/>
    <w:rsid w:val="00C33F93"/>
    <w:rPr>
      <w:lang w:val="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Textonotapie"/>
    <w:link w:val="Refdenotaalpie"/>
    <w:autoRedefine/>
    <w:qFormat/>
    <w:rsid w:val="003678AE"/>
    <w:pPr>
      <w:jc w:val="both"/>
    </w:pPr>
    <w:rPr>
      <w:sz w:val="16"/>
      <w:szCs w:val="16"/>
      <w:vertAlign w:val="superscript"/>
    </w:rPr>
  </w:style>
  <w:style w:type="paragraph" w:styleId="Sinespaciado">
    <w:name w:val="No Spacing"/>
    <w:basedOn w:val="Prrafodelista"/>
    <w:uiPriority w:val="1"/>
    <w:qFormat/>
    <w:rsid w:val="00F81ADC"/>
    <w:pPr>
      <w:widowControl w:val="0"/>
      <w:numPr>
        <w:numId w:val="12"/>
      </w:numPr>
      <w:tabs>
        <w:tab w:val="left" w:pos="0"/>
        <w:tab w:val="left" w:pos="567"/>
      </w:tabs>
      <w:autoSpaceDE w:val="0"/>
      <w:autoSpaceDN w:val="0"/>
      <w:adjustRightInd w:val="0"/>
      <w:spacing w:line="240" w:lineRule="auto"/>
      <w:ind w:right="22"/>
      <w:jc w:val="both"/>
    </w:pPr>
    <w:rPr>
      <w:bCs/>
      <w:iCs/>
    </w:rPr>
  </w:style>
  <w:style w:type="paragraph" w:styleId="HTMLconformatoprevio">
    <w:name w:val="HTML Preformatted"/>
    <w:basedOn w:val="Normal"/>
    <w:link w:val="HTMLconformatoprevioCar"/>
    <w:uiPriority w:val="99"/>
    <w:unhideWhenUsed/>
    <w:rsid w:val="00CE1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lang w:eastAsia="es-CR"/>
    </w:rPr>
  </w:style>
  <w:style w:type="character" w:customStyle="1" w:styleId="HTMLconformatoprevioCar">
    <w:name w:val="HTML con formato previo Car"/>
    <w:basedOn w:val="Fuentedeprrafopredeter"/>
    <w:link w:val="HTMLconformatoprevio"/>
    <w:uiPriority w:val="99"/>
    <w:rsid w:val="00CE16DE"/>
    <w:rPr>
      <w:rFonts w:ascii="Courier New" w:eastAsia="Times New Roman" w:hAnsi="Courier New" w:cs="Courier New"/>
      <w:sz w:val="20"/>
      <w:szCs w:val="20"/>
      <w:lang w:val="es-CR" w:eastAsia="es-CR"/>
    </w:rPr>
  </w:style>
  <w:style w:type="paragraph" w:customStyle="1" w:styleId="Default">
    <w:name w:val="Default"/>
    <w:rsid w:val="00E14C6B"/>
    <w:pPr>
      <w:autoSpaceDE w:val="0"/>
      <w:autoSpaceDN w:val="0"/>
      <w:adjustRightInd w:val="0"/>
      <w:spacing w:after="0" w:line="240" w:lineRule="auto"/>
    </w:pPr>
    <w:rPr>
      <w:rFonts w:ascii="Times New Roman" w:hAnsi="Times New Roman" w:cs="Times New Roman"/>
      <w:color w:val="000000"/>
      <w:sz w:val="24"/>
      <w:szCs w:val="24"/>
      <w:lang w:val="es-CR"/>
    </w:rPr>
  </w:style>
  <w:style w:type="paragraph" w:styleId="Revisin">
    <w:name w:val="Revision"/>
    <w:hidden/>
    <w:uiPriority w:val="99"/>
    <w:semiHidden/>
    <w:rsid w:val="00B93E45"/>
    <w:pPr>
      <w:spacing w:after="0" w:line="240" w:lineRule="auto"/>
    </w:pPr>
    <w:rPr>
      <w:rFonts w:ascii="Verdana" w:hAnsi="Verdana"/>
      <w:sz w:val="20"/>
      <w:szCs w:val="20"/>
      <w:lang w:val="es-CR"/>
    </w:rPr>
  </w:style>
  <w:style w:type="character" w:customStyle="1" w:styleId="markedcontent">
    <w:name w:val="markedcontent"/>
    <w:basedOn w:val="Fuentedeprrafopredeter"/>
    <w:rsid w:val="00081A2A"/>
  </w:style>
  <w:style w:type="character" w:customStyle="1" w:styleId="highlight">
    <w:name w:val="highlight"/>
    <w:basedOn w:val="Fuentedeprrafopredeter"/>
    <w:rsid w:val="00081A2A"/>
  </w:style>
  <w:style w:type="character" w:styleId="nfasis">
    <w:name w:val="Emphasis"/>
    <w:uiPriority w:val="20"/>
    <w:qFormat/>
    <w:rsid w:val="007752BC"/>
    <w:rPr>
      <w:i/>
      <w:iCs/>
    </w:rPr>
  </w:style>
  <w:style w:type="paragraph" w:customStyle="1" w:styleId="Footnotes">
    <w:name w:val="**. Footnotes"/>
    <w:basedOn w:val="Textonotapie"/>
    <w:link w:val="FootnotesChar"/>
    <w:qFormat/>
    <w:rsid w:val="00DC2405"/>
    <w:pPr>
      <w:spacing w:beforeLines="40" w:before="96" w:after="40"/>
      <w:jc w:val="both"/>
    </w:pPr>
    <w:rPr>
      <w:sz w:val="16"/>
      <w:szCs w:val="16"/>
    </w:rPr>
  </w:style>
  <w:style w:type="character" w:customStyle="1" w:styleId="FootnotesChar">
    <w:name w:val="**. Footnotes Char"/>
    <w:basedOn w:val="Fuentedeprrafopredeter"/>
    <w:link w:val="Footnotes"/>
    <w:rsid w:val="00DC2405"/>
    <w:rPr>
      <w:rFonts w:ascii="Verdana" w:hAnsi="Verdana"/>
      <w:sz w:val="16"/>
      <w:szCs w:val="16"/>
      <w:lang w:val="es-CR"/>
    </w:rPr>
  </w:style>
  <w:style w:type="paragraph" w:styleId="Subttulo">
    <w:name w:val="Subtitle"/>
    <w:basedOn w:val="Normal"/>
    <w:next w:val="Normal"/>
    <w:link w:val="SubttuloCar"/>
    <w:uiPriority w:val="11"/>
    <w:qFormat/>
    <w:rsid w:val="009E745E"/>
    <w:pPr>
      <w:spacing w:line="240" w:lineRule="auto"/>
      <w:ind w:left="708" w:firstLine="2"/>
      <w:contextualSpacing/>
      <w:jc w:val="both"/>
    </w:pPr>
    <w:rPr>
      <w:rFonts w:eastAsia="Times New Roman" w:cs="Times New Roman"/>
      <w:bCs/>
      <w:u w:val="single"/>
      <w:lang w:val="es-ES_tradnl" w:eastAsia="es-MX"/>
    </w:rPr>
  </w:style>
  <w:style w:type="character" w:customStyle="1" w:styleId="SubttuloCar">
    <w:name w:val="Subtítulo Car"/>
    <w:basedOn w:val="Fuentedeprrafopredeter"/>
    <w:link w:val="Subttulo"/>
    <w:uiPriority w:val="11"/>
    <w:rsid w:val="009E745E"/>
    <w:rPr>
      <w:rFonts w:ascii="Verdana" w:eastAsia="Times New Roman" w:hAnsi="Verdana" w:cs="Times New Roman"/>
      <w:bCs/>
      <w:sz w:val="20"/>
      <w:szCs w:val="20"/>
      <w:u w:val="single"/>
      <w:lang w:val="es-ES_tradnl" w:eastAsia="es-MX"/>
    </w:rPr>
  </w:style>
  <w:style w:type="character" w:styleId="Referenciaintensa">
    <w:name w:val="Intense Reference"/>
    <w:basedOn w:val="Fuentedeprrafopredeter"/>
    <w:uiPriority w:val="32"/>
    <w:qFormat/>
    <w:rsid w:val="009E745E"/>
    <w:rPr>
      <w:b/>
      <w:bCs/>
      <w:smallCaps/>
      <w:color w:val="4F81BD" w:themeColor="accent1"/>
      <w:spacing w:val="5"/>
    </w:rPr>
  </w:style>
  <w:style w:type="character" w:customStyle="1" w:styleId="apple-converted-space">
    <w:name w:val="apple-converted-space"/>
    <w:basedOn w:val="Fuentedeprrafopredeter"/>
    <w:rsid w:val="00304F9B"/>
  </w:style>
  <w:style w:type="table" w:styleId="Tablaconcuadrcula">
    <w:name w:val="Table Grid"/>
    <w:basedOn w:val="Tablanormal"/>
    <w:uiPriority w:val="59"/>
    <w:rsid w:val="00660B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47675">
      <w:bodyDiv w:val="1"/>
      <w:marLeft w:val="0"/>
      <w:marRight w:val="0"/>
      <w:marTop w:val="0"/>
      <w:marBottom w:val="0"/>
      <w:divBdr>
        <w:top w:val="none" w:sz="0" w:space="0" w:color="auto"/>
        <w:left w:val="none" w:sz="0" w:space="0" w:color="auto"/>
        <w:bottom w:val="none" w:sz="0" w:space="0" w:color="auto"/>
        <w:right w:val="none" w:sz="0" w:space="0" w:color="auto"/>
      </w:divBdr>
      <w:divsChild>
        <w:div w:id="371342811">
          <w:marLeft w:val="0"/>
          <w:marRight w:val="0"/>
          <w:marTop w:val="0"/>
          <w:marBottom w:val="0"/>
          <w:divBdr>
            <w:top w:val="none" w:sz="0" w:space="0" w:color="auto"/>
            <w:left w:val="none" w:sz="0" w:space="0" w:color="auto"/>
            <w:bottom w:val="none" w:sz="0" w:space="0" w:color="auto"/>
            <w:right w:val="none" w:sz="0" w:space="0" w:color="auto"/>
          </w:divBdr>
          <w:divsChild>
            <w:div w:id="856845100">
              <w:marLeft w:val="0"/>
              <w:marRight w:val="0"/>
              <w:marTop w:val="0"/>
              <w:marBottom w:val="0"/>
              <w:divBdr>
                <w:top w:val="none" w:sz="0" w:space="0" w:color="auto"/>
                <w:left w:val="none" w:sz="0" w:space="0" w:color="auto"/>
                <w:bottom w:val="none" w:sz="0" w:space="0" w:color="auto"/>
                <w:right w:val="none" w:sz="0" w:space="0" w:color="auto"/>
              </w:divBdr>
            </w:div>
          </w:divsChild>
        </w:div>
        <w:div w:id="718481303">
          <w:marLeft w:val="0"/>
          <w:marRight w:val="0"/>
          <w:marTop w:val="0"/>
          <w:marBottom w:val="0"/>
          <w:divBdr>
            <w:top w:val="none" w:sz="0" w:space="0" w:color="auto"/>
            <w:left w:val="none" w:sz="0" w:space="0" w:color="auto"/>
            <w:bottom w:val="none" w:sz="0" w:space="0" w:color="auto"/>
            <w:right w:val="none" w:sz="0" w:space="0" w:color="auto"/>
          </w:divBdr>
          <w:divsChild>
            <w:div w:id="170874060">
              <w:marLeft w:val="0"/>
              <w:marRight w:val="0"/>
              <w:marTop w:val="0"/>
              <w:marBottom w:val="0"/>
              <w:divBdr>
                <w:top w:val="none" w:sz="0" w:space="0" w:color="auto"/>
                <w:left w:val="none" w:sz="0" w:space="0" w:color="auto"/>
                <w:bottom w:val="none" w:sz="0" w:space="0" w:color="auto"/>
                <w:right w:val="none" w:sz="0" w:space="0" w:color="auto"/>
              </w:divBdr>
            </w:div>
            <w:div w:id="284625508">
              <w:marLeft w:val="0"/>
              <w:marRight w:val="0"/>
              <w:marTop w:val="0"/>
              <w:marBottom w:val="0"/>
              <w:divBdr>
                <w:top w:val="none" w:sz="0" w:space="0" w:color="auto"/>
                <w:left w:val="none" w:sz="0" w:space="0" w:color="auto"/>
                <w:bottom w:val="none" w:sz="0" w:space="0" w:color="auto"/>
                <w:right w:val="none" w:sz="0" w:space="0" w:color="auto"/>
              </w:divBdr>
            </w:div>
            <w:div w:id="425074819">
              <w:marLeft w:val="0"/>
              <w:marRight w:val="0"/>
              <w:marTop w:val="0"/>
              <w:marBottom w:val="0"/>
              <w:divBdr>
                <w:top w:val="none" w:sz="0" w:space="0" w:color="auto"/>
                <w:left w:val="none" w:sz="0" w:space="0" w:color="auto"/>
                <w:bottom w:val="none" w:sz="0" w:space="0" w:color="auto"/>
                <w:right w:val="none" w:sz="0" w:space="0" w:color="auto"/>
              </w:divBdr>
            </w:div>
            <w:div w:id="801268046">
              <w:marLeft w:val="0"/>
              <w:marRight w:val="0"/>
              <w:marTop w:val="0"/>
              <w:marBottom w:val="0"/>
              <w:divBdr>
                <w:top w:val="none" w:sz="0" w:space="0" w:color="auto"/>
                <w:left w:val="none" w:sz="0" w:space="0" w:color="auto"/>
                <w:bottom w:val="none" w:sz="0" w:space="0" w:color="auto"/>
                <w:right w:val="none" w:sz="0" w:space="0" w:color="auto"/>
              </w:divBdr>
            </w:div>
            <w:div w:id="1157302934">
              <w:marLeft w:val="0"/>
              <w:marRight w:val="0"/>
              <w:marTop w:val="0"/>
              <w:marBottom w:val="0"/>
              <w:divBdr>
                <w:top w:val="none" w:sz="0" w:space="0" w:color="auto"/>
                <w:left w:val="none" w:sz="0" w:space="0" w:color="auto"/>
                <w:bottom w:val="none" w:sz="0" w:space="0" w:color="auto"/>
                <w:right w:val="none" w:sz="0" w:space="0" w:color="auto"/>
              </w:divBdr>
            </w:div>
            <w:div w:id="1623533639">
              <w:marLeft w:val="0"/>
              <w:marRight w:val="0"/>
              <w:marTop w:val="0"/>
              <w:marBottom w:val="0"/>
              <w:divBdr>
                <w:top w:val="none" w:sz="0" w:space="0" w:color="auto"/>
                <w:left w:val="none" w:sz="0" w:space="0" w:color="auto"/>
                <w:bottom w:val="none" w:sz="0" w:space="0" w:color="auto"/>
                <w:right w:val="none" w:sz="0" w:space="0" w:color="auto"/>
              </w:divBdr>
            </w:div>
          </w:divsChild>
        </w:div>
        <w:div w:id="1402293461">
          <w:marLeft w:val="0"/>
          <w:marRight w:val="0"/>
          <w:marTop w:val="0"/>
          <w:marBottom w:val="0"/>
          <w:divBdr>
            <w:top w:val="none" w:sz="0" w:space="0" w:color="auto"/>
            <w:left w:val="none" w:sz="0" w:space="0" w:color="auto"/>
            <w:bottom w:val="none" w:sz="0" w:space="0" w:color="auto"/>
            <w:right w:val="none" w:sz="0" w:space="0" w:color="auto"/>
          </w:divBdr>
          <w:divsChild>
            <w:div w:id="300110341">
              <w:marLeft w:val="0"/>
              <w:marRight w:val="0"/>
              <w:marTop w:val="0"/>
              <w:marBottom w:val="0"/>
              <w:divBdr>
                <w:top w:val="none" w:sz="0" w:space="0" w:color="auto"/>
                <w:left w:val="none" w:sz="0" w:space="0" w:color="auto"/>
                <w:bottom w:val="none" w:sz="0" w:space="0" w:color="auto"/>
                <w:right w:val="none" w:sz="0" w:space="0" w:color="auto"/>
              </w:divBdr>
            </w:div>
            <w:div w:id="522670329">
              <w:marLeft w:val="0"/>
              <w:marRight w:val="0"/>
              <w:marTop w:val="0"/>
              <w:marBottom w:val="0"/>
              <w:divBdr>
                <w:top w:val="none" w:sz="0" w:space="0" w:color="auto"/>
                <w:left w:val="none" w:sz="0" w:space="0" w:color="auto"/>
                <w:bottom w:val="none" w:sz="0" w:space="0" w:color="auto"/>
                <w:right w:val="none" w:sz="0" w:space="0" w:color="auto"/>
              </w:divBdr>
            </w:div>
            <w:div w:id="563951085">
              <w:marLeft w:val="0"/>
              <w:marRight w:val="0"/>
              <w:marTop w:val="0"/>
              <w:marBottom w:val="0"/>
              <w:divBdr>
                <w:top w:val="none" w:sz="0" w:space="0" w:color="auto"/>
                <w:left w:val="none" w:sz="0" w:space="0" w:color="auto"/>
                <w:bottom w:val="none" w:sz="0" w:space="0" w:color="auto"/>
                <w:right w:val="none" w:sz="0" w:space="0" w:color="auto"/>
              </w:divBdr>
            </w:div>
            <w:div w:id="590050326">
              <w:marLeft w:val="0"/>
              <w:marRight w:val="0"/>
              <w:marTop w:val="0"/>
              <w:marBottom w:val="0"/>
              <w:divBdr>
                <w:top w:val="none" w:sz="0" w:space="0" w:color="auto"/>
                <w:left w:val="none" w:sz="0" w:space="0" w:color="auto"/>
                <w:bottom w:val="none" w:sz="0" w:space="0" w:color="auto"/>
                <w:right w:val="none" w:sz="0" w:space="0" w:color="auto"/>
              </w:divBdr>
            </w:div>
            <w:div w:id="756244227">
              <w:marLeft w:val="0"/>
              <w:marRight w:val="0"/>
              <w:marTop w:val="0"/>
              <w:marBottom w:val="0"/>
              <w:divBdr>
                <w:top w:val="none" w:sz="0" w:space="0" w:color="auto"/>
                <w:left w:val="none" w:sz="0" w:space="0" w:color="auto"/>
                <w:bottom w:val="none" w:sz="0" w:space="0" w:color="auto"/>
                <w:right w:val="none" w:sz="0" w:space="0" w:color="auto"/>
              </w:divBdr>
            </w:div>
            <w:div w:id="889342151">
              <w:marLeft w:val="0"/>
              <w:marRight w:val="0"/>
              <w:marTop w:val="0"/>
              <w:marBottom w:val="0"/>
              <w:divBdr>
                <w:top w:val="none" w:sz="0" w:space="0" w:color="auto"/>
                <w:left w:val="none" w:sz="0" w:space="0" w:color="auto"/>
                <w:bottom w:val="none" w:sz="0" w:space="0" w:color="auto"/>
                <w:right w:val="none" w:sz="0" w:space="0" w:color="auto"/>
              </w:divBdr>
            </w:div>
            <w:div w:id="1258248776">
              <w:marLeft w:val="0"/>
              <w:marRight w:val="0"/>
              <w:marTop w:val="0"/>
              <w:marBottom w:val="0"/>
              <w:divBdr>
                <w:top w:val="none" w:sz="0" w:space="0" w:color="auto"/>
                <w:left w:val="none" w:sz="0" w:space="0" w:color="auto"/>
                <w:bottom w:val="none" w:sz="0" w:space="0" w:color="auto"/>
                <w:right w:val="none" w:sz="0" w:space="0" w:color="auto"/>
              </w:divBdr>
            </w:div>
            <w:div w:id="1344815638">
              <w:marLeft w:val="0"/>
              <w:marRight w:val="0"/>
              <w:marTop w:val="0"/>
              <w:marBottom w:val="0"/>
              <w:divBdr>
                <w:top w:val="none" w:sz="0" w:space="0" w:color="auto"/>
                <w:left w:val="none" w:sz="0" w:space="0" w:color="auto"/>
                <w:bottom w:val="none" w:sz="0" w:space="0" w:color="auto"/>
                <w:right w:val="none" w:sz="0" w:space="0" w:color="auto"/>
              </w:divBdr>
              <w:divsChild>
                <w:div w:id="26109427">
                  <w:marLeft w:val="0"/>
                  <w:marRight w:val="0"/>
                  <w:marTop w:val="0"/>
                  <w:marBottom w:val="0"/>
                  <w:divBdr>
                    <w:top w:val="none" w:sz="0" w:space="0" w:color="auto"/>
                    <w:left w:val="none" w:sz="0" w:space="0" w:color="auto"/>
                    <w:bottom w:val="none" w:sz="0" w:space="0" w:color="auto"/>
                    <w:right w:val="none" w:sz="0" w:space="0" w:color="auto"/>
                  </w:divBdr>
                </w:div>
              </w:divsChild>
            </w:div>
            <w:div w:id="1412311649">
              <w:marLeft w:val="0"/>
              <w:marRight w:val="0"/>
              <w:marTop w:val="0"/>
              <w:marBottom w:val="0"/>
              <w:divBdr>
                <w:top w:val="none" w:sz="0" w:space="0" w:color="auto"/>
                <w:left w:val="none" w:sz="0" w:space="0" w:color="auto"/>
                <w:bottom w:val="none" w:sz="0" w:space="0" w:color="auto"/>
                <w:right w:val="none" w:sz="0" w:space="0" w:color="auto"/>
              </w:divBdr>
            </w:div>
            <w:div w:id="1523088634">
              <w:marLeft w:val="0"/>
              <w:marRight w:val="0"/>
              <w:marTop w:val="0"/>
              <w:marBottom w:val="0"/>
              <w:divBdr>
                <w:top w:val="none" w:sz="0" w:space="0" w:color="auto"/>
                <w:left w:val="none" w:sz="0" w:space="0" w:color="auto"/>
                <w:bottom w:val="none" w:sz="0" w:space="0" w:color="auto"/>
                <w:right w:val="none" w:sz="0" w:space="0" w:color="auto"/>
              </w:divBdr>
            </w:div>
          </w:divsChild>
        </w:div>
        <w:div w:id="1535121796">
          <w:marLeft w:val="0"/>
          <w:marRight w:val="0"/>
          <w:marTop w:val="0"/>
          <w:marBottom w:val="0"/>
          <w:divBdr>
            <w:top w:val="none" w:sz="0" w:space="0" w:color="auto"/>
            <w:left w:val="none" w:sz="0" w:space="0" w:color="auto"/>
            <w:bottom w:val="none" w:sz="0" w:space="0" w:color="auto"/>
            <w:right w:val="none" w:sz="0" w:space="0" w:color="auto"/>
          </w:divBdr>
        </w:div>
        <w:div w:id="1654597532">
          <w:marLeft w:val="0"/>
          <w:marRight w:val="0"/>
          <w:marTop w:val="0"/>
          <w:marBottom w:val="0"/>
          <w:divBdr>
            <w:top w:val="none" w:sz="0" w:space="0" w:color="auto"/>
            <w:left w:val="none" w:sz="0" w:space="0" w:color="auto"/>
            <w:bottom w:val="none" w:sz="0" w:space="0" w:color="auto"/>
            <w:right w:val="none" w:sz="0" w:space="0" w:color="auto"/>
          </w:divBdr>
          <w:divsChild>
            <w:div w:id="404642281">
              <w:marLeft w:val="0"/>
              <w:marRight w:val="0"/>
              <w:marTop w:val="0"/>
              <w:marBottom w:val="0"/>
              <w:divBdr>
                <w:top w:val="none" w:sz="0" w:space="0" w:color="auto"/>
                <w:left w:val="none" w:sz="0" w:space="0" w:color="auto"/>
                <w:bottom w:val="none" w:sz="0" w:space="0" w:color="auto"/>
                <w:right w:val="none" w:sz="0" w:space="0" w:color="auto"/>
              </w:divBdr>
              <w:divsChild>
                <w:div w:id="203370792">
                  <w:marLeft w:val="0"/>
                  <w:marRight w:val="0"/>
                  <w:marTop w:val="0"/>
                  <w:marBottom w:val="0"/>
                  <w:divBdr>
                    <w:top w:val="none" w:sz="0" w:space="0" w:color="auto"/>
                    <w:left w:val="none" w:sz="0" w:space="0" w:color="auto"/>
                    <w:bottom w:val="none" w:sz="0" w:space="0" w:color="auto"/>
                    <w:right w:val="none" w:sz="0" w:space="0" w:color="auto"/>
                  </w:divBdr>
                </w:div>
                <w:div w:id="242885411">
                  <w:marLeft w:val="0"/>
                  <w:marRight w:val="0"/>
                  <w:marTop w:val="0"/>
                  <w:marBottom w:val="0"/>
                  <w:divBdr>
                    <w:top w:val="none" w:sz="0" w:space="0" w:color="auto"/>
                    <w:left w:val="none" w:sz="0" w:space="0" w:color="auto"/>
                    <w:bottom w:val="none" w:sz="0" w:space="0" w:color="auto"/>
                    <w:right w:val="none" w:sz="0" w:space="0" w:color="auto"/>
                  </w:divBdr>
                </w:div>
                <w:div w:id="668630717">
                  <w:marLeft w:val="0"/>
                  <w:marRight w:val="0"/>
                  <w:marTop w:val="0"/>
                  <w:marBottom w:val="0"/>
                  <w:divBdr>
                    <w:top w:val="none" w:sz="0" w:space="0" w:color="auto"/>
                    <w:left w:val="none" w:sz="0" w:space="0" w:color="auto"/>
                    <w:bottom w:val="none" w:sz="0" w:space="0" w:color="auto"/>
                    <w:right w:val="none" w:sz="0" w:space="0" w:color="auto"/>
                  </w:divBdr>
                </w:div>
                <w:div w:id="1119184646">
                  <w:marLeft w:val="0"/>
                  <w:marRight w:val="0"/>
                  <w:marTop w:val="0"/>
                  <w:marBottom w:val="0"/>
                  <w:divBdr>
                    <w:top w:val="none" w:sz="0" w:space="0" w:color="auto"/>
                    <w:left w:val="none" w:sz="0" w:space="0" w:color="auto"/>
                    <w:bottom w:val="none" w:sz="0" w:space="0" w:color="auto"/>
                    <w:right w:val="none" w:sz="0" w:space="0" w:color="auto"/>
                  </w:divBdr>
                </w:div>
                <w:div w:id="1173102608">
                  <w:marLeft w:val="0"/>
                  <w:marRight w:val="0"/>
                  <w:marTop w:val="0"/>
                  <w:marBottom w:val="0"/>
                  <w:divBdr>
                    <w:top w:val="none" w:sz="0" w:space="0" w:color="auto"/>
                    <w:left w:val="none" w:sz="0" w:space="0" w:color="auto"/>
                    <w:bottom w:val="none" w:sz="0" w:space="0" w:color="auto"/>
                    <w:right w:val="none" w:sz="0" w:space="0" w:color="auto"/>
                  </w:divBdr>
                </w:div>
                <w:div w:id="1370300082">
                  <w:marLeft w:val="0"/>
                  <w:marRight w:val="0"/>
                  <w:marTop w:val="0"/>
                  <w:marBottom w:val="0"/>
                  <w:divBdr>
                    <w:top w:val="none" w:sz="0" w:space="0" w:color="auto"/>
                    <w:left w:val="none" w:sz="0" w:space="0" w:color="auto"/>
                    <w:bottom w:val="none" w:sz="0" w:space="0" w:color="auto"/>
                    <w:right w:val="none" w:sz="0" w:space="0" w:color="auto"/>
                  </w:divBdr>
                </w:div>
                <w:div w:id="1502087090">
                  <w:marLeft w:val="0"/>
                  <w:marRight w:val="0"/>
                  <w:marTop w:val="0"/>
                  <w:marBottom w:val="0"/>
                  <w:divBdr>
                    <w:top w:val="none" w:sz="0" w:space="0" w:color="auto"/>
                    <w:left w:val="none" w:sz="0" w:space="0" w:color="auto"/>
                    <w:bottom w:val="none" w:sz="0" w:space="0" w:color="auto"/>
                    <w:right w:val="none" w:sz="0" w:space="0" w:color="auto"/>
                  </w:divBdr>
                </w:div>
                <w:div w:id="1924029687">
                  <w:marLeft w:val="0"/>
                  <w:marRight w:val="0"/>
                  <w:marTop w:val="0"/>
                  <w:marBottom w:val="0"/>
                  <w:divBdr>
                    <w:top w:val="none" w:sz="0" w:space="0" w:color="auto"/>
                    <w:left w:val="none" w:sz="0" w:space="0" w:color="auto"/>
                    <w:bottom w:val="none" w:sz="0" w:space="0" w:color="auto"/>
                    <w:right w:val="none" w:sz="0" w:space="0" w:color="auto"/>
                  </w:divBdr>
                  <w:divsChild>
                    <w:div w:id="35935276">
                      <w:marLeft w:val="0"/>
                      <w:marRight w:val="0"/>
                      <w:marTop w:val="0"/>
                      <w:marBottom w:val="0"/>
                      <w:divBdr>
                        <w:top w:val="none" w:sz="0" w:space="0" w:color="auto"/>
                        <w:left w:val="none" w:sz="0" w:space="0" w:color="auto"/>
                        <w:bottom w:val="none" w:sz="0" w:space="0" w:color="auto"/>
                        <w:right w:val="none" w:sz="0" w:space="0" w:color="auto"/>
                      </w:divBdr>
                    </w:div>
                    <w:div w:id="167403798">
                      <w:marLeft w:val="0"/>
                      <w:marRight w:val="0"/>
                      <w:marTop w:val="0"/>
                      <w:marBottom w:val="0"/>
                      <w:divBdr>
                        <w:top w:val="none" w:sz="0" w:space="0" w:color="auto"/>
                        <w:left w:val="none" w:sz="0" w:space="0" w:color="auto"/>
                        <w:bottom w:val="none" w:sz="0" w:space="0" w:color="auto"/>
                        <w:right w:val="none" w:sz="0" w:space="0" w:color="auto"/>
                      </w:divBdr>
                      <w:divsChild>
                        <w:div w:id="1772356211">
                          <w:marLeft w:val="0"/>
                          <w:marRight w:val="0"/>
                          <w:marTop w:val="0"/>
                          <w:marBottom w:val="0"/>
                          <w:divBdr>
                            <w:top w:val="none" w:sz="0" w:space="0" w:color="auto"/>
                            <w:left w:val="none" w:sz="0" w:space="0" w:color="auto"/>
                            <w:bottom w:val="none" w:sz="0" w:space="0" w:color="auto"/>
                            <w:right w:val="none" w:sz="0" w:space="0" w:color="auto"/>
                          </w:divBdr>
                        </w:div>
                      </w:divsChild>
                    </w:div>
                    <w:div w:id="475413358">
                      <w:marLeft w:val="0"/>
                      <w:marRight w:val="0"/>
                      <w:marTop w:val="0"/>
                      <w:marBottom w:val="0"/>
                      <w:divBdr>
                        <w:top w:val="none" w:sz="0" w:space="0" w:color="auto"/>
                        <w:left w:val="none" w:sz="0" w:space="0" w:color="auto"/>
                        <w:bottom w:val="none" w:sz="0" w:space="0" w:color="auto"/>
                        <w:right w:val="none" w:sz="0" w:space="0" w:color="auto"/>
                      </w:divBdr>
                    </w:div>
                    <w:div w:id="870069975">
                      <w:marLeft w:val="0"/>
                      <w:marRight w:val="0"/>
                      <w:marTop w:val="0"/>
                      <w:marBottom w:val="0"/>
                      <w:divBdr>
                        <w:top w:val="none" w:sz="0" w:space="0" w:color="auto"/>
                        <w:left w:val="none" w:sz="0" w:space="0" w:color="auto"/>
                        <w:bottom w:val="none" w:sz="0" w:space="0" w:color="auto"/>
                        <w:right w:val="none" w:sz="0" w:space="0" w:color="auto"/>
                      </w:divBdr>
                    </w:div>
                    <w:div w:id="886378710">
                      <w:marLeft w:val="0"/>
                      <w:marRight w:val="0"/>
                      <w:marTop w:val="0"/>
                      <w:marBottom w:val="0"/>
                      <w:divBdr>
                        <w:top w:val="none" w:sz="0" w:space="0" w:color="auto"/>
                        <w:left w:val="none" w:sz="0" w:space="0" w:color="auto"/>
                        <w:bottom w:val="none" w:sz="0" w:space="0" w:color="auto"/>
                        <w:right w:val="none" w:sz="0" w:space="0" w:color="auto"/>
                      </w:divBdr>
                    </w:div>
                    <w:div w:id="1811243356">
                      <w:marLeft w:val="0"/>
                      <w:marRight w:val="0"/>
                      <w:marTop w:val="0"/>
                      <w:marBottom w:val="0"/>
                      <w:divBdr>
                        <w:top w:val="none" w:sz="0" w:space="0" w:color="auto"/>
                        <w:left w:val="none" w:sz="0" w:space="0" w:color="auto"/>
                        <w:bottom w:val="none" w:sz="0" w:space="0" w:color="auto"/>
                        <w:right w:val="none" w:sz="0" w:space="0" w:color="auto"/>
                      </w:divBdr>
                    </w:div>
                  </w:divsChild>
                </w:div>
                <w:div w:id="1975981605">
                  <w:marLeft w:val="0"/>
                  <w:marRight w:val="0"/>
                  <w:marTop w:val="0"/>
                  <w:marBottom w:val="0"/>
                  <w:divBdr>
                    <w:top w:val="none" w:sz="0" w:space="0" w:color="auto"/>
                    <w:left w:val="none" w:sz="0" w:space="0" w:color="auto"/>
                    <w:bottom w:val="none" w:sz="0" w:space="0" w:color="auto"/>
                    <w:right w:val="none" w:sz="0" w:space="0" w:color="auto"/>
                  </w:divBdr>
                </w:div>
              </w:divsChild>
            </w:div>
            <w:div w:id="1681466465">
              <w:marLeft w:val="0"/>
              <w:marRight w:val="0"/>
              <w:marTop w:val="0"/>
              <w:marBottom w:val="0"/>
              <w:divBdr>
                <w:top w:val="none" w:sz="0" w:space="0" w:color="auto"/>
                <w:left w:val="none" w:sz="0" w:space="0" w:color="auto"/>
                <w:bottom w:val="none" w:sz="0" w:space="0" w:color="auto"/>
                <w:right w:val="none" w:sz="0" w:space="0" w:color="auto"/>
              </w:divBdr>
            </w:div>
          </w:divsChild>
        </w:div>
        <w:div w:id="1860198233">
          <w:marLeft w:val="0"/>
          <w:marRight w:val="0"/>
          <w:marTop w:val="0"/>
          <w:marBottom w:val="0"/>
          <w:divBdr>
            <w:top w:val="none" w:sz="0" w:space="0" w:color="auto"/>
            <w:left w:val="none" w:sz="0" w:space="0" w:color="auto"/>
            <w:bottom w:val="none" w:sz="0" w:space="0" w:color="auto"/>
            <w:right w:val="none" w:sz="0" w:space="0" w:color="auto"/>
          </w:divBdr>
        </w:div>
        <w:div w:id="1890528678">
          <w:marLeft w:val="0"/>
          <w:marRight w:val="0"/>
          <w:marTop w:val="0"/>
          <w:marBottom w:val="0"/>
          <w:divBdr>
            <w:top w:val="none" w:sz="0" w:space="0" w:color="auto"/>
            <w:left w:val="none" w:sz="0" w:space="0" w:color="auto"/>
            <w:bottom w:val="none" w:sz="0" w:space="0" w:color="auto"/>
            <w:right w:val="none" w:sz="0" w:space="0" w:color="auto"/>
          </w:divBdr>
          <w:divsChild>
            <w:div w:id="1914393352">
              <w:marLeft w:val="0"/>
              <w:marRight w:val="0"/>
              <w:marTop w:val="0"/>
              <w:marBottom w:val="0"/>
              <w:divBdr>
                <w:top w:val="none" w:sz="0" w:space="0" w:color="auto"/>
                <w:left w:val="none" w:sz="0" w:space="0" w:color="auto"/>
                <w:bottom w:val="none" w:sz="0" w:space="0" w:color="auto"/>
                <w:right w:val="none" w:sz="0" w:space="0" w:color="auto"/>
              </w:divBdr>
            </w:div>
          </w:divsChild>
        </w:div>
        <w:div w:id="2013101181">
          <w:marLeft w:val="0"/>
          <w:marRight w:val="0"/>
          <w:marTop w:val="0"/>
          <w:marBottom w:val="0"/>
          <w:divBdr>
            <w:top w:val="none" w:sz="0" w:space="0" w:color="auto"/>
            <w:left w:val="none" w:sz="0" w:space="0" w:color="auto"/>
            <w:bottom w:val="none" w:sz="0" w:space="0" w:color="auto"/>
            <w:right w:val="none" w:sz="0" w:space="0" w:color="auto"/>
          </w:divBdr>
        </w:div>
      </w:divsChild>
    </w:div>
    <w:div w:id="50034432">
      <w:bodyDiv w:val="1"/>
      <w:marLeft w:val="0"/>
      <w:marRight w:val="0"/>
      <w:marTop w:val="0"/>
      <w:marBottom w:val="0"/>
      <w:divBdr>
        <w:top w:val="none" w:sz="0" w:space="0" w:color="auto"/>
        <w:left w:val="none" w:sz="0" w:space="0" w:color="auto"/>
        <w:bottom w:val="none" w:sz="0" w:space="0" w:color="auto"/>
        <w:right w:val="none" w:sz="0" w:space="0" w:color="auto"/>
      </w:divBdr>
    </w:div>
    <w:div w:id="78523708">
      <w:bodyDiv w:val="1"/>
      <w:marLeft w:val="0"/>
      <w:marRight w:val="0"/>
      <w:marTop w:val="0"/>
      <w:marBottom w:val="0"/>
      <w:divBdr>
        <w:top w:val="none" w:sz="0" w:space="0" w:color="auto"/>
        <w:left w:val="none" w:sz="0" w:space="0" w:color="auto"/>
        <w:bottom w:val="none" w:sz="0" w:space="0" w:color="auto"/>
        <w:right w:val="none" w:sz="0" w:space="0" w:color="auto"/>
      </w:divBdr>
      <w:divsChild>
        <w:div w:id="1201896236">
          <w:marLeft w:val="0"/>
          <w:marRight w:val="0"/>
          <w:marTop w:val="0"/>
          <w:marBottom w:val="0"/>
          <w:divBdr>
            <w:top w:val="none" w:sz="0" w:space="0" w:color="auto"/>
            <w:left w:val="none" w:sz="0" w:space="0" w:color="auto"/>
            <w:bottom w:val="none" w:sz="0" w:space="0" w:color="auto"/>
            <w:right w:val="none" w:sz="0" w:space="0" w:color="auto"/>
          </w:divBdr>
          <w:divsChild>
            <w:div w:id="1623732456">
              <w:marLeft w:val="0"/>
              <w:marRight w:val="0"/>
              <w:marTop w:val="0"/>
              <w:marBottom w:val="0"/>
              <w:divBdr>
                <w:top w:val="none" w:sz="0" w:space="0" w:color="auto"/>
                <w:left w:val="none" w:sz="0" w:space="0" w:color="auto"/>
                <w:bottom w:val="none" w:sz="0" w:space="0" w:color="auto"/>
                <w:right w:val="none" w:sz="0" w:space="0" w:color="auto"/>
              </w:divBdr>
              <w:divsChild>
                <w:div w:id="154752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7367">
      <w:bodyDiv w:val="1"/>
      <w:marLeft w:val="0"/>
      <w:marRight w:val="0"/>
      <w:marTop w:val="0"/>
      <w:marBottom w:val="0"/>
      <w:divBdr>
        <w:top w:val="none" w:sz="0" w:space="0" w:color="auto"/>
        <w:left w:val="none" w:sz="0" w:space="0" w:color="auto"/>
        <w:bottom w:val="none" w:sz="0" w:space="0" w:color="auto"/>
        <w:right w:val="none" w:sz="0" w:space="0" w:color="auto"/>
      </w:divBdr>
      <w:divsChild>
        <w:div w:id="120003639">
          <w:marLeft w:val="0"/>
          <w:marRight w:val="0"/>
          <w:marTop w:val="0"/>
          <w:marBottom w:val="0"/>
          <w:divBdr>
            <w:top w:val="none" w:sz="0" w:space="0" w:color="auto"/>
            <w:left w:val="none" w:sz="0" w:space="0" w:color="auto"/>
            <w:bottom w:val="none" w:sz="0" w:space="0" w:color="auto"/>
            <w:right w:val="none" w:sz="0" w:space="0" w:color="auto"/>
          </w:divBdr>
          <w:divsChild>
            <w:div w:id="179007519">
              <w:marLeft w:val="0"/>
              <w:marRight w:val="0"/>
              <w:marTop w:val="0"/>
              <w:marBottom w:val="0"/>
              <w:divBdr>
                <w:top w:val="none" w:sz="0" w:space="0" w:color="auto"/>
                <w:left w:val="none" w:sz="0" w:space="0" w:color="auto"/>
                <w:bottom w:val="none" w:sz="0" w:space="0" w:color="auto"/>
                <w:right w:val="none" w:sz="0" w:space="0" w:color="auto"/>
              </w:divBdr>
              <w:divsChild>
                <w:div w:id="118227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6801">
      <w:bodyDiv w:val="1"/>
      <w:marLeft w:val="0"/>
      <w:marRight w:val="0"/>
      <w:marTop w:val="0"/>
      <w:marBottom w:val="0"/>
      <w:divBdr>
        <w:top w:val="none" w:sz="0" w:space="0" w:color="auto"/>
        <w:left w:val="none" w:sz="0" w:space="0" w:color="auto"/>
        <w:bottom w:val="none" w:sz="0" w:space="0" w:color="auto"/>
        <w:right w:val="none" w:sz="0" w:space="0" w:color="auto"/>
      </w:divBdr>
      <w:divsChild>
        <w:div w:id="848375281">
          <w:marLeft w:val="0"/>
          <w:marRight w:val="0"/>
          <w:marTop w:val="0"/>
          <w:marBottom w:val="0"/>
          <w:divBdr>
            <w:top w:val="none" w:sz="0" w:space="0" w:color="auto"/>
            <w:left w:val="none" w:sz="0" w:space="0" w:color="auto"/>
            <w:bottom w:val="none" w:sz="0" w:space="0" w:color="auto"/>
            <w:right w:val="none" w:sz="0" w:space="0" w:color="auto"/>
          </w:divBdr>
          <w:divsChild>
            <w:div w:id="836457928">
              <w:marLeft w:val="0"/>
              <w:marRight w:val="0"/>
              <w:marTop w:val="0"/>
              <w:marBottom w:val="0"/>
              <w:divBdr>
                <w:top w:val="none" w:sz="0" w:space="0" w:color="auto"/>
                <w:left w:val="none" w:sz="0" w:space="0" w:color="auto"/>
                <w:bottom w:val="none" w:sz="0" w:space="0" w:color="auto"/>
                <w:right w:val="none" w:sz="0" w:space="0" w:color="auto"/>
              </w:divBdr>
              <w:divsChild>
                <w:div w:id="1017972718">
                  <w:marLeft w:val="0"/>
                  <w:marRight w:val="0"/>
                  <w:marTop w:val="0"/>
                  <w:marBottom w:val="0"/>
                  <w:divBdr>
                    <w:top w:val="none" w:sz="0" w:space="0" w:color="auto"/>
                    <w:left w:val="none" w:sz="0" w:space="0" w:color="auto"/>
                    <w:bottom w:val="none" w:sz="0" w:space="0" w:color="auto"/>
                    <w:right w:val="none" w:sz="0" w:space="0" w:color="auto"/>
                  </w:divBdr>
                </w:div>
              </w:divsChild>
            </w:div>
            <w:div w:id="1017273715">
              <w:marLeft w:val="0"/>
              <w:marRight w:val="0"/>
              <w:marTop w:val="0"/>
              <w:marBottom w:val="0"/>
              <w:divBdr>
                <w:top w:val="none" w:sz="0" w:space="0" w:color="auto"/>
                <w:left w:val="none" w:sz="0" w:space="0" w:color="auto"/>
                <w:bottom w:val="none" w:sz="0" w:space="0" w:color="auto"/>
                <w:right w:val="none" w:sz="0" w:space="0" w:color="auto"/>
              </w:divBdr>
              <w:divsChild>
                <w:div w:id="18482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75201">
      <w:bodyDiv w:val="1"/>
      <w:marLeft w:val="0"/>
      <w:marRight w:val="0"/>
      <w:marTop w:val="0"/>
      <w:marBottom w:val="0"/>
      <w:divBdr>
        <w:top w:val="none" w:sz="0" w:space="0" w:color="auto"/>
        <w:left w:val="none" w:sz="0" w:space="0" w:color="auto"/>
        <w:bottom w:val="none" w:sz="0" w:space="0" w:color="auto"/>
        <w:right w:val="none" w:sz="0" w:space="0" w:color="auto"/>
      </w:divBdr>
      <w:divsChild>
        <w:div w:id="1954631125">
          <w:marLeft w:val="0"/>
          <w:marRight w:val="0"/>
          <w:marTop w:val="0"/>
          <w:marBottom w:val="0"/>
          <w:divBdr>
            <w:top w:val="none" w:sz="0" w:space="0" w:color="auto"/>
            <w:left w:val="none" w:sz="0" w:space="0" w:color="auto"/>
            <w:bottom w:val="none" w:sz="0" w:space="0" w:color="auto"/>
            <w:right w:val="none" w:sz="0" w:space="0" w:color="auto"/>
          </w:divBdr>
          <w:divsChild>
            <w:div w:id="450438453">
              <w:marLeft w:val="0"/>
              <w:marRight w:val="0"/>
              <w:marTop w:val="0"/>
              <w:marBottom w:val="0"/>
              <w:divBdr>
                <w:top w:val="none" w:sz="0" w:space="0" w:color="auto"/>
                <w:left w:val="none" w:sz="0" w:space="0" w:color="auto"/>
                <w:bottom w:val="none" w:sz="0" w:space="0" w:color="auto"/>
                <w:right w:val="none" w:sz="0" w:space="0" w:color="auto"/>
              </w:divBdr>
              <w:divsChild>
                <w:div w:id="1204101885">
                  <w:marLeft w:val="0"/>
                  <w:marRight w:val="0"/>
                  <w:marTop w:val="0"/>
                  <w:marBottom w:val="0"/>
                  <w:divBdr>
                    <w:top w:val="none" w:sz="0" w:space="0" w:color="auto"/>
                    <w:left w:val="none" w:sz="0" w:space="0" w:color="auto"/>
                    <w:bottom w:val="none" w:sz="0" w:space="0" w:color="auto"/>
                    <w:right w:val="none" w:sz="0" w:space="0" w:color="auto"/>
                  </w:divBdr>
                  <w:divsChild>
                    <w:div w:id="947541583">
                      <w:marLeft w:val="0"/>
                      <w:marRight w:val="0"/>
                      <w:marTop w:val="0"/>
                      <w:marBottom w:val="0"/>
                      <w:divBdr>
                        <w:top w:val="none" w:sz="0" w:space="0" w:color="auto"/>
                        <w:left w:val="none" w:sz="0" w:space="0" w:color="auto"/>
                        <w:bottom w:val="none" w:sz="0" w:space="0" w:color="auto"/>
                        <w:right w:val="none" w:sz="0" w:space="0" w:color="auto"/>
                      </w:divBdr>
                      <w:divsChild>
                        <w:div w:id="73015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212875">
                  <w:marLeft w:val="0"/>
                  <w:marRight w:val="0"/>
                  <w:marTop w:val="0"/>
                  <w:marBottom w:val="0"/>
                  <w:divBdr>
                    <w:top w:val="none" w:sz="0" w:space="0" w:color="auto"/>
                    <w:left w:val="none" w:sz="0" w:space="0" w:color="auto"/>
                    <w:bottom w:val="none" w:sz="0" w:space="0" w:color="auto"/>
                    <w:right w:val="none" w:sz="0" w:space="0" w:color="auto"/>
                  </w:divBdr>
                  <w:divsChild>
                    <w:div w:id="864638585">
                      <w:marLeft w:val="0"/>
                      <w:marRight w:val="0"/>
                      <w:marTop w:val="0"/>
                      <w:marBottom w:val="0"/>
                      <w:divBdr>
                        <w:top w:val="none" w:sz="0" w:space="0" w:color="auto"/>
                        <w:left w:val="none" w:sz="0" w:space="0" w:color="auto"/>
                        <w:bottom w:val="none" w:sz="0" w:space="0" w:color="auto"/>
                        <w:right w:val="none" w:sz="0" w:space="0" w:color="auto"/>
                      </w:divBdr>
                      <w:divsChild>
                        <w:div w:id="125627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292086">
      <w:bodyDiv w:val="1"/>
      <w:marLeft w:val="0"/>
      <w:marRight w:val="0"/>
      <w:marTop w:val="0"/>
      <w:marBottom w:val="0"/>
      <w:divBdr>
        <w:top w:val="none" w:sz="0" w:space="0" w:color="auto"/>
        <w:left w:val="none" w:sz="0" w:space="0" w:color="auto"/>
        <w:bottom w:val="none" w:sz="0" w:space="0" w:color="auto"/>
        <w:right w:val="none" w:sz="0" w:space="0" w:color="auto"/>
      </w:divBdr>
      <w:divsChild>
        <w:div w:id="1118521896">
          <w:marLeft w:val="0"/>
          <w:marRight w:val="0"/>
          <w:marTop w:val="0"/>
          <w:marBottom w:val="0"/>
          <w:divBdr>
            <w:top w:val="none" w:sz="0" w:space="0" w:color="auto"/>
            <w:left w:val="none" w:sz="0" w:space="0" w:color="auto"/>
            <w:bottom w:val="none" w:sz="0" w:space="0" w:color="auto"/>
            <w:right w:val="none" w:sz="0" w:space="0" w:color="auto"/>
          </w:divBdr>
          <w:divsChild>
            <w:div w:id="435029541">
              <w:marLeft w:val="0"/>
              <w:marRight w:val="0"/>
              <w:marTop w:val="0"/>
              <w:marBottom w:val="0"/>
              <w:divBdr>
                <w:top w:val="none" w:sz="0" w:space="0" w:color="auto"/>
                <w:left w:val="none" w:sz="0" w:space="0" w:color="auto"/>
                <w:bottom w:val="none" w:sz="0" w:space="0" w:color="auto"/>
                <w:right w:val="none" w:sz="0" w:space="0" w:color="auto"/>
              </w:divBdr>
              <w:divsChild>
                <w:div w:id="8393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941046">
      <w:bodyDiv w:val="1"/>
      <w:marLeft w:val="0"/>
      <w:marRight w:val="0"/>
      <w:marTop w:val="0"/>
      <w:marBottom w:val="0"/>
      <w:divBdr>
        <w:top w:val="none" w:sz="0" w:space="0" w:color="auto"/>
        <w:left w:val="none" w:sz="0" w:space="0" w:color="auto"/>
        <w:bottom w:val="none" w:sz="0" w:space="0" w:color="auto"/>
        <w:right w:val="none" w:sz="0" w:space="0" w:color="auto"/>
      </w:divBdr>
    </w:div>
    <w:div w:id="277952851">
      <w:bodyDiv w:val="1"/>
      <w:marLeft w:val="0"/>
      <w:marRight w:val="0"/>
      <w:marTop w:val="0"/>
      <w:marBottom w:val="0"/>
      <w:divBdr>
        <w:top w:val="none" w:sz="0" w:space="0" w:color="auto"/>
        <w:left w:val="none" w:sz="0" w:space="0" w:color="auto"/>
        <w:bottom w:val="none" w:sz="0" w:space="0" w:color="auto"/>
        <w:right w:val="none" w:sz="0" w:space="0" w:color="auto"/>
      </w:divBdr>
    </w:div>
    <w:div w:id="280311183">
      <w:bodyDiv w:val="1"/>
      <w:marLeft w:val="0"/>
      <w:marRight w:val="0"/>
      <w:marTop w:val="0"/>
      <w:marBottom w:val="0"/>
      <w:divBdr>
        <w:top w:val="none" w:sz="0" w:space="0" w:color="auto"/>
        <w:left w:val="none" w:sz="0" w:space="0" w:color="auto"/>
        <w:bottom w:val="none" w:sz="0" w:space="0" w:color="auto"/>
        <w:right w:val="none" w:sz="0" w:space="0" w:color="auto"/>
      </w:divBdr>
    </w:div>
    <w:div w:id="295724844">
      <w:bodyDiv w:val="1"/>
      <w:marLeft w:val="0"/>
      <w:marRight w:val="0"/>
      <w:marTop w:val="0"/>
      <w:marBottom w:val="0"/>
      <w:divBdr>
        <w:top w:val="none" w:sz="0" w:space="0" w:color="auto"/>
        <w:left w:val="none" w:sz="0" w:space="0" w:color="auto"/>
        <w:bottom w:val="none" w:sz="0" w:space="0" w:color="auto"/>
        <w:right w:val="none" w:sz="0" w:space="0" w:color="auto"/>
      </w:divBdr>
    </w:div>
    <w:div w:id="306975770">
      <w:bodyDiv w:val="1"/>
      <w:marLeft w:val="0"/>
      <w:marRight w:val="0"/>
      <w:marTop w:val="0"/>
      <w:marBottom w:val="0"/>
      <w:divBdr>
        <w:top w:val="none" w:sz="0" w:space="0" w:color="auto"/>
        <w:left w:val="none" w:sz="0" w:space="0" w:color="auto"/>
        <w:bottom w:val="none" w:sz="0" w:space="0" w:color="auto"/>
        <w:right w:val="none" w:sz="0" w:space="0" w:color="auto"/>
      </w:divBdr>
      <w:divsChild>
        <w:div w:id="303236164">
          <w:marLeft w:val="0"/>
          <w:marRight w:val="0"/>
          <w:marTop w:val="0"/>
          <w:marBottom w:val="0"/>
          <w:divBdr>
            <w:top w:val="none" w:sz="0" w:space="0" w:color="auto"/>
            <w:left w:val="none" w:sz="0" w:space="0" w:color="auto"/>
            <w:bottom w:val="none" w:sz="0" w:space="0" w:color="auto"/>
            <w:right w:val="none" w:sz="0" w:space="0" w:color="auto"/>
          </w:divBdr>
          <w:divsChild>
            <w:div w:id="400908248">
              <w:marLeft w:val="0"/>
              <w:marRight w:val="0"/>
              <w:marTop w:val="0"/>
              <w:marBottom w:val="0"/>
              <w:divBdr>
                <w:top w:val="none" w:sz="0" w:space="0" w:color="auto"/>
                <w:left w:val="none" w:sz="0" w:space="0" w:color="auto"/>
                <w:bottom w:val="none" w:sz="0" w:space="0" w:color="auto"/>
                <w:right w:val="none" w:sz="0" w:space="0" w:color="auto"/>
              </w:divBdr>
              <w:divsChild>
                <w:div w:id="769393278">
                  <w:marLeft w:val="0"/>
                  <w:marRight w:val="0"/>
                  <w:marTop w:val="0"/>
                  <w:marBottom w:val="0"/>
                  <w:divBdr>
                    <w:top w:val="none" w:sz="0" w:space="0" w:color="auto"/>
                    <w:left w:val="none" w:sz="0" w:space="0" w:color="auto"/>
                    <w:bottom w:val="none" w:sz="0" w:space="0" w:color="auto"/>
                    <w:right w:val="none" w:sz="0" w:space="0" w:color="auto"/>
                  </w:divBdr>
                </w:div>
              </w:divsChild>
            </w:div>
            <w:div w:id="1681157142">
              <w:marLeft w:val="0"/>
              <w:marRight w:val="0"/>
              <w:marTop w:val="0"/>
              <w:marBottom w:val="0"/>
              <w:divBdr>
                <w:top w:val="none" w:sz="0" w:space="0" w:color="auto"/>
                <w:left w:val="none" w:sz="0" w:space="0" w:color="auto"/>
                <w:bottom w:val="none" w:sz="0" w:space="0" w:color="auto"/>
                <w:right w:val="none" w:sz="0" w:space="0" w:color="auto"/>
              </w:divBdr>
              <w:divsChild>
                <w:div w:id="2248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137573">
          <w:marLeft w:val="0"/>
          <w:marRight w:val="0"/>
          <w:marTop w:val="0"/>
          <w:marBottom w:val="0"/>
          <w:divBdr>
            <w:top w:val="none" w:sz="0" w:space="0" w:color="auto"/>
            <w:left w:val="none" w:sz="0" w:space="0" w:color="auto"/>
            <w:bottom w:val="none" w:sz="0" w:space="0" w:color="auto"/>
            <w:right w:val="none" w:sz="0" w:space="0" w:color="auto"/>
          </w:divBdr>
          <w:divsChild>
            <w:div w:id="666445111">
              <w:marLeft w:val="0"/>
              <w:marRight w:val="0"/>
              <w:marTop w:val="0"/>
              <w:marBottom w:val="0"/>
              <w:divBdr>
                <w:top w:val="none" w:sz="0" w:space="0" w:color="auto"/>
                <w:left w:val="none" w:sz="0" w:space="0" w:color="auto"/>
                <w:bottom w:val="none" w:sz="0" w:space="0" w:color="auto"/>
                <w:right w:val="none" w:sz="0" w:space="0" w:color="auto"/>
              </w:divBdr>
              <w:divsChild>
                <w:div w:id="61055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998730">
      <w:bodyDiv w:val="1"/>
      <w:marLeft w:val="0"/>
      <w:marRight w:val="0"/>
      <w:marTop w:val="0"/>
      <w:marBottom w:val="0"/>
      <w:divBdr>
        <w:top w:val="none" w:sz="0" w:space="0" w:color="auto"/>
        <w:left w:val="none" w:sz="0" w:space="0" w:color="auto"/>
        <w:bottom w:val="none" w:sz="0" w:space="0" w:color="auto"/>
        <w:right w:val="none" w:sz="0" w:space="0" w:color="auto"/>
      </w:divBdr>
    </w:div>
    <w:div w:id="358627866">
      <w:bodyDiv w:val="1"/>
      <w:marLeft w:val="0"/>
      <w:marRight w:val="0"/>
      <w:marTop w:val="0"/>
      <w:marBottom w:val="0"/>
      <w:divBdr>
        <w:top w:val="none" w:sz="0" w:space="0" w:color="auto"/>
        <w:left w:val="none" w:sz="0" w:space="0" w:color="auto"/>
        <w:bottom w:val="none" w:sz="0" w:space="0" w:color="auto"/>
        <w:right w:val="none" w:sz="0" w:space="0" w:color="auto"/>
      </w:divBdr>
    </w:div>
    <w:div w:id="361437330">
      <w:bodyDiv w:val="1"/>
      <w:marLeft w:val="0"/>
      <w:marRight w:val="0"/>
      <w:marTop w:val="0"/>
      <w:marBottom w:val="0"/>
      <w:divBdr>
        <w:top w:val="none" w:sz="0" w:space="0" w:color="auto"/>
        <w:left w:val="none" w:sz="0" w:space="0" w:color="auto"/>
        <w:bottom w:val="none" w:sz="0" w:space="0" w:color="auto"/>
        <w:right w:val="none" w:sz="0" w:space="0" w:color="auto"/>
      </w:divBdr>
    </w:div>
    <w:div w:id="409890146">
      <w:bodyDiv w:val="1"/>
      <w:marLeft w:val="0"/>
      <w:marRight w:val="0"/>
      <w:marTop w:val="0"/>
      <w:marBottom w:val="0"/>
      <w:divBdr>
        <w:top w:val="none" w:sz="0" w:space="0" w:color="auto"/>
        <w:left w:val="none" w:sz="0" w:space="0" w:color="auto"/>
        <w:bottom w:val="none" w:sz="0" w:space="0" w:color="auto"/>
        <w:right w:val="none" w:sz="0" w:space="0" w:color="auto"/>
      </w:divBdr>
      <w:divsChild>
        <w:div w:id="944574709">
          <w:marLeft w:val="0"/>
          <w:marRight w:val="0"/>
          <w:marTop w:val="0"/>
          <w:marBottom w:val="0"/>
          <w:divBdr>
            <w:top w:val="none" w:sz="0" w:space="0" w:color="auto"/>
            <w:left w:val="none" w:sz="0" w:space="0" w:color="auto"/>
            <w:bottom w:val="none" w:sz="0" w:space="0" w:color="auto"/>
            <w:right w:val="none" w:sz="0" w:space="0" w:color="auto"/>
          </w:divBdr>
          <w:divsChild>
            <w:div w:id="1842312211">
              <w:marLeft w:val="0"/>
              <w:marRight w:val="0"/>
              <w:marTop w:val="0"/>
              <w:marBottom w:val="0"/>
              <w:divBdr>
                <w:top w:val="none" w:sz="0" w:space="0" w:color="auto"/>
                <w:left w:val="none" w:sz="0" w:space="0" w:color="auto"/>
                <w:bottom w:val="none" w:sz="0" w:space="0" w:color="auto"/>
                <w:right w:val="none" w:sz="0" w:space="0" w:color="auto"/>
              </w:divBdr>
              <w:divsChild>
                <w:div w:id="200011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7111">
      <w:bodyDiv w:val="1"/>
      <w:marLeft w:val="0"/>
      <w:marRight w:val="0"/>
      <w:marTop w:val="0"/>
      <w:marBottom w:val="0"/>
      <w:divBdr>
        <w:top w:val="none" w:sz="0" w:space="0" w:color="auto"/>
        <w:left w:val="none" w:sz="0" w:space="0" w:color="auto"/>
        <w:bottom w:val="none" w:sz="0" w:space="0" w:color="auto"/>
        <w:right w:val="none" w:sz="0" w:space="0" w:color="auto"/>
      </w:divBdr>
    </w:div>
    <w:div w:id="457720052">
      <w:bodyDiv w:val="1"/>
      <w:marLeft w:val="0"/>
      <w:marRight w:val="0"/>
      <w:marTop w:val="0"/>
      <w:marBottom w:val="0"/>
      <w:divBdr>
        <w:top w:val="none" w:sz="0" w:space="0" w:color="auto"/>
        <w:left w:val="none" w:sz="0" w:space="0" w:color="auto"/>
        <w:bottom w:val="none" w:sz="0" w:space="0" w:color="auto"/>
        <w:right w:val="none" w:sz="0" w:space="0" w:color="auto"/>
      </w:divBdr>
      <w:divsChild>
        <w:div w:id="1364398686">
          <w:marLeft w:val="0"/>
          <w:marRight w:val="0"/>
          <w:marTop w:val="0"/>
          <w:marBottom w:val="0"/>
          <w:divBdr>
            <w:top w:val="none" w:sz="0" w:space="0" w:color="auto"/>
            <w:left w:val="none" w:sz="0" w:space="0" w:color="auto"/>
            <w:bottom w:val="none" w:sz="0" w:space="0" w:color="auto"/>
            <w:right w:val="none" w:sz="0" w:space="0" w:color="auto"/>
          </w:divBdr>
          <w:divsChild>
            <w:div w:id="1568569972">
              <w:marLeft w:val="0"/>
              <w:marRight w:val="0"/>
              <w:marTop w:val="0"/>
              <w:marBottom w:val="0"/>
              <w:divBdr>
                <w:top w:val="none" w:sz="0" w:space="0" w:color="auto"/>
                <w:left w:val="none" w:sz="0" w:space="0" w:color="auto"/>
                <w:bottom w:val="none" w:sz="0" w:space="0" w:color="auto"/>
                <w:right w:val="none" w:sz="0" w:space="0" w:color="auto"/>
              </w:divBdr>
              <w:divsChild>
                <w:div w:id="57416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436069">
      <w:bodyDiv w:val="1"/>
      <w:marLeft w:val="0"/>
      <w:marRight w:val="0"/>
      <w:marTop w:val="0"/>
      <w:marBottom w:val="0"/>
      <w:divBdr>
        <w:top w:val="none" w:sz="0" w:space="0" w:color="auto"/>
        <w:left w:val="none" w:sz="0" w:space="0" w:color="auto"/>
        <w:bottom w:val="none" w:sz="0" w:space="0" w:color="auto"/>
        <w:right w:val="none" w:sz="0" w:space="0" w:color="auto"/>
      </w:divBdr>
    </w:div>
    <w:div w:id="519318760">
      <w:bodyDiv w:val="1"/>
      <w:marLeft w:val="0"/>
      <w:marRight w:val="0"/>
      <w:marTop w:val="0"/>
      <w:marBottom w:val="0"/>
      <w:divBdr>
        <w:top w:val="none" w:sz="0" w:space="0" w:color="auto"/>
        <w:left w:val="none" w:sz="0" w:space="0" w:color="auto"/>
        <w:bottom w:val="none" w:sz="0" w:space="0" w:color="auto"/>
        <w:right w:val="none" w:sz="0" w:space="0" w:color="auto"/>
      </w:divBdr>
    </w:div>
    <w:div w:id="539830079">
      <w:bodyDiv w:val="1"/>
      <w:marLeft w:val="0"/>
      <w:marRight w:val="0"/>
      <w:marTop w:val="0"/>
      <w:marBottom w:val="0"/>
      <w:divBdr>
        <w:top w:val="none" w:sz="0" w:space="0" w:color="auto"/>
        <w:left w:val="none" w:sz="0" w:space="0" w:color="auto"/>
        <w:bottom w:val="none" w:sz="0" w:space="0" w:color="auto"/>
        <w:right w:val="none" w:sz="0" w:space="0" w:color="auto"/>
      </w:divBdr>
      <w:divsChild>
        <w:div w:id="1290867037">
          <w:marLeft w:val="0"/>
          <w:marRight w:val="0"/>
          <w:marTop w:val="0"/>
          <w:marBottom w:val="0"/>
          <w:divBdr>
            <w:top w:val="none" w:sz="0" w:space="0" w:color="auto"/>
            <w:left w:val="none" w:sz="0" w:space="0" w:color="auto"/>
            <w:bottom w:val="none" w:sz="0" w:space="0" w:color="auto"/>
            <w:right w:val="none" w:sz="0" w:space="0" w:color="auto"/>
          </w:divBdr>
          <w:divsChild>
            <w:div w:id="839855727">
              <w:marLeft w:val="0"/>
              <w:marRight w:val="0"/>
              <w:marTop w:val="0"/>
              <w:marBottom w:val="0"/>
              <w:divBdr>
                <w:top w:val="none" w:sz="0" w:space="0" w:color="auto"/>
                <w:left w:val="none" w:sz="0" w:space="0" w:color="auto"/>
                <w:bottom w:val="none" w:sz="0" w:space="0" w:color="auto"/>
                <w:right w:val="none" w:sz="0" w:space="0" w:color="auto"/>
              </w:divBdr>
              <w:divsChild>
                <w:div w:id="1417435941">
                  <w:marLeft w:val="0"/>
                  <w:marRight w:val="0"/>
                  <w:marTop w:val="0"/>
                  <w:marBottom w:val="0"/>
                  <w:divBdr>
                    <w:top w:val="none" w:sz="0" w:space="0" w:color="auto"/>
                    <w:left w:val="none" w:sz="0" w:space="0" w:color="auto"/>
                    <w:bottom w:val="none" w:sz="0" w:space="0" w:color="auto"/>
                    <w:right w:val="none" w:sz="0" w:space="0" w:color="auto"/>
                  </w:divBdr>
                  <w:divsChild>
                    <w:div w:id="11455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983545">
              <w:marLeft w:val="0"/>
              <w:marRight w:val="0"/>
              <w:marTop w:val="0"/>
              <w:marBottom w:val="0"/>
              <w:divBdr>
                <w:top w:val="none" w:sz="0" w:space="0" w:color="auto"/>
                <w:left w:val="none" w:sz="0" w:space="0" w:color="auto"/>
                <w:bottom w:val="none" w:sz="0" w:space="0" w:color="auto"/>
                <w:right w:val="none" w:sz="0" w:space="0" w:color="auto"/>
              </w:divBdr>
              <w:divsChild>
                <w:div w:id="153415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534513">
      <w:bodyDiv w:val="1"/>
      <w:marLeft w:val="0"/>
      <w:marRight w:val="0"/>
      <w:marTop w:val="0"/>
      <w:marBottom w:val="0"/>
      <w:divBdr>
        <w:top w:val="none" w:sz="0" w:space="0" w:color="auto"/>
        <w:left w:val="none" w:sz="0" w:space="0" w:color="auto"/>
        <w:bottom w:val="none" w:sz="0" w:space="0" w:color="auto"/>
        <w:right w:val="none" w:sz="0" w:space="0" w:color="auto"/>
      </w:divBdr>
      <w:divsChild>
        <w:div w:id="24644329">
          <w:marLeft w:val="0"/>
          <w:marRight w:val="0"/>
          <w:marTop w:val="0"/>
          <w:marBottom w:val="0"/>
          <w:divBdr>
            <w:top w:val="none" w:sz="0" w:space="0" w:color="auto"/>
            <w:left w:val="none" w:sz="0" w:space="0" w:color="auto"/>
            <w:bottom w:val="none" w:sz="0" w:space="0" w:color="auto"/>
            <w:right w:val="none" w:sz="0" w:space="0" w:color="auto"/>
          </w:divBdr>
          <w:divsChild>
            <w:div w:id="196627921">
              <w:marLeft w:val="0"/>
              <w:marRight w:val="0"/>
              <w:marTop w:val="0"/>
              <w:marBottom w:val="0"/>
              <w:divBdr>
                <w:top w:val="none" w:sz="0" w:space="0" w:color="auto"/>
                <w:left w:val="none" w:sz="0" w:space="0" w:color="auto"/>
                <w:bottom w:val="none" w:sz="0" w:space="0" w:color="auto"/>
                <w:right w:val="none" w:sz="0" w:space="0" w:color="auto"/>
              </w:divBdr>
              <w:divsChild>
                <w:div w:id="1732576293">
                  <w:marLeft w:val="0"/>
                  <w:marRight w:val="0"/>
                  <w:marTop w:val="0"/>
                  <w:marBottom w:val="0"/>
                  <w:divBdr>
                    <w:top w:val="none" w:sz="0" w:space="0" w:color="auto"/>
                    <w:left w:val="none" w:sz="0" w:space="0" w:color="auto"/>
                    <w:bottom w:val="none" w:sz="0" w:space="0" w:color="auto"/>
                    <w:right w:val="none" w:sz="0" w:space="0" w:color="auto"/>
                  </w:divBdr>
                </w:div>
              </w:divsChild>
            </w:div>
            <w:div w:id="1028872207">
              <w:marLeft w:val="0"/>
              <w:marRight w:val="0"/>
              <w:marTop w:val="0"/>
              <w:marBottom w:val="0"/>
              <w:divBdr>
                <w:top w:val="none" w:sz="0" w:space="0" w:color="auto"/>
                <w:left w:val="none" w:sz="0" w:space="0" w:color="auto"/>
                <w:bottom w:val="none" w:sz="0" w:space="0" w:color="auto"/>
                <w:right w:val="none" w:sz="0" w:space="0" w:color="auto"/>
              </w:divBdr>
              <w:divsChild>
                <w:div w:id="65375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143014">
      <w:bodyDiv w:val="1"/>
      <w:marLeft w:val="0"/>
      <w:marRight w:val="0"/>
      <w:marTop w:val="0"/>
      <w:marBottom w:val="0"/>
      <w:divBdr>
        <w:top w:val="none" w:sz="0" w:space="0" w:color="auto"/>
        <w:left w:val="none" w:sz="0" w:space="0" w:color="auto"/>
        <w:bottom w:val="none" w:sz="0" w:space="0" w:color="auto"/>
        <w:right w:val="none" w:sz="0" w:space="0" w:color="auto"/>
      </w:divBdr>
      <w:divsChild>
        <w:div w:id="157578829">
          <w:marLeft w:val="0"/>
          <w:marRight w:val="0"/>
          <w:marTop w:val="0"/>
          <w:marBottom w:val="0"/>
          <w:divBdr>
            <w:top w:val="none" w:sz="0" w:space="0" w:color="auto"/>
            <w:left w:val="none" w:sz="0" w:space="0" w:color="auto"/>
            <w:bottom w:val="none" w:sz="0" w:space="0" w:color="auto"/>
            <w:right w:val="none" w:sz="0" w:space="0" w:color="auto"/>
          </w:divBdr>
          <w:divsChild>
            <w:div w:id="1778910872">
              <w:marLeft w:val="0"/>
              <w:marRight w:val="0"/>
              <w:marTop w:val="0"/>
              <w:marBottom w:val="0"/>
              <w:divBdr>
                <w:top w:val="none" w:sz="0" w:space="0" w:color="auto"/>
                <w:left w:val="none" w:sz="0" w:space="0" w:color="auto"/>
                <w:bottom w:val="none" w:sz="0" w:space="0" w:color="auto"/>
                <w:right w:val="none" w:sz="0" w:space="0" w:color="auto"/>
              </w:divBdr>
              <w:divsChild>
                <w:div w:id="132588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961840">
      <w:bodyDiv w:val="1"/>
      <w:marLeft w:val="0"/>
      <w:marRight w:val="0"/>
      <w:marTop w:val="0"/>
      <w:marBottom w:val="0"/>
      <w:divBdr>
        <w:top w:val="none" w:sz="0" w:space="0" w:color="auto"/>
        <w:left w:val="none" w:sz="0" w:space="0" w:color="auto"/>
        <w:bottom w:val="none" w:sz="0" w:space="0" w:color="auto"/>
        <w:right w:val="none" w:sz="0" w:space="0" w:color="auto"/>
      </w:divBdr>
      <w:divsChild>
        <w:div w:id="341707974">
          <w:marLeft w:val="0"/>
          <w:marRight w:val="0"/>
          <w:marTop w:val="0"/>
          <w:marBottom w:val="0"/>
          <w:divBdr>
            <w:top w:val="none" w:sz="0" w:space="0" w:color="auto"/>
            <w:left w:val="none" w:sz="0" w:space="0" w:color="auto"/>
            <w:bottom w:val="none" w:sz="0" w:space="0" w:color="auto"/>
            <w:right w:val="none" w:sz="0" w:space="0" w:color="auto"/>
          </w:divBdr>
          <w:divsChild>
            <w:div w:id="2021658655">
              <w:marLeft w:val="0"/>
              <w:marRight w:val="0"/>
              <w:marTop w:val="0"/>
              <w:marBottom w:val="0"/>
              <w:divBdr>
                <w:top w:val="none" w:sz="0" w:space="0" w:color="auto"/>
                <w:left w:val="none" w:sz="0" w:space="0" w:color="auto"/>
                <w:bottom w:val="none" w:sz="0" w:space="0" w:color="auto"/>
                <w:right w:val="none" w:sz="0" w:space="0" w:color="auto"/>
              </w:divBdr>
              <w:divsChild>
                <w:div w:id="97926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665546">
      <w:bodyDiv w:val="1"/>
      <w:marLeft w:val="0"/>
      <w:marRight w:val="0"/>
      <w:marTop w:val="0"/>
      <w:marBottom w:val="0"/>
      <w:divBdr>
        <w:top w:val="none" w:sz="0" w:space="0" w:color="auto"/>
        <w:left w:val="none" w:sz="0" w:space="0" w:color="auto"/>
        <w:bottom w:val="none" w:sz="0" w:space="0" w:color="auto"/>
        <w:right w:val="none" w:sz="0" w:space="0" w:color="auto"/>
      </w:divBdr>
      <w:divsChild>
        <w:div w:id="1038090518">
          <w:marLeft w:val="0"/>
          <w:marRight w:val="0"/>
          <w:marTop w:val="0"/>
          <w:marBottom w:val="0"/>
          <w:divBdr>
            <w:top w:val="none" w:sz="0" w:space="0" w:color="auto"/>
            <w:left w:val="none" w:sz="0" w:space="0" w:color="auto"/>
            <w:bottom w:val="none" w:sz="0" w:space="0" w:color="auto"/>
            <w:right w:val="none" w:sz="0" w:space="0" w:color="auto"/>
          </w:divBdr>
          <w:divsChild>
            <w:div w:id="1707102012">
              <w:marLeft w:val="0"/>
              <w:marRight w:val="0"/>
              <w:marTop w:val="0"/>
              <w:marBottom w:val="0"/>
              <w:divBdr>
                <w:top w:val="none" w:sz="0" w:space="0" w:color="auto"/>
                <w:left w:val="none" w:sz="0" w:space="0" w:color="auto"/>
                <w:bottom w:val="none" w:sz="0" w:space="0" w:color="auto"/>
                <w:right w:val="none" w:sz="0" w:space="0" w:color="auto"/>
              </w:divBdr>
              <w:divsChild>
                <w:div w:id="1516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638056">
      <w:bodyDiv w:val="1"/>
      <w:marLeft w:val="0"/>
      <w:marRight w:val="0"/>
      <w:marTop w:val="0"/>
      <w:marBottom w:val="0"/>
      <w:divBdr>
        <w:top w:val="none" w:sz="0" w:space="0" w:color="auto"/>
        <w:left w:val="none" w:sz="0" w:space="0" w:color="auto"/>
        <w:bottom w:val="none" w:sz="0" w:space="0" w:color="auto"/>
        <w:right w:val="none" w:sz="0" w:space="0" w:color="auto"/>
      </w:divBdr>
    </w:div>
    <w:div w:id="716852903">
      <w:bodyDiv w:val="1"/>
      <w:marLeft w:val="0"/>
      <w:marRight w:val="0"/>
      <w:marTop w:val="0"/>
      <w:marBottom w:val="0"/>
      <w:divBdr>
        <w:top w:val="none" w:sz="0" w:space="0" w:color="auto"/>
        <w:left w:val="none" w:sz="0" w:space="0" w:color="auto"/>
        <w:bottom w:val="none" w:sz="0" w:space="0" w:color="auto"/>
        <w:right w:val="none" w:sz="0" w:space="0" w:color="auto"/>
      </w:divBdr>
      <w:divsChild>
        <w:div w:id="1939096842">
          <w:marLeft w:val="0"/>
          <w:marRight w:val="0"/>
          <w:marTop w:val="0"/>
          <w:marBottom w:val="0"/>
          <w:divBdr>
            <w:top w:val="none" w:sz="0" w:space="0" w:color="auto"/>
            <w:left w:val="none" w:sz="0" w:space="0" w:color="auto"/>
            <w:bottom w:val="none" w:sz="0" w:space="0" w:color="auto"/>
            <w:right w:val="none" w:sz="0" w:space="0" w:color="auto"/>
          </w:divBdr>
          <w:divsChild>
            <w:div w:id="278494633">
              <w:marLeft w:val="0"/>
              <w:marRight w:val="0"/>
              <w:marTop w:val="0"/>
              <w:marBottom w:val="0"/>
              <w:divBdr>
                <w:top w:val="none" w:sz="0" w:space="0" w:color="auto"/>
                <w:left w:val="none" w:sz="0" w:space="0" w:color="auto"/>
                <w:bottom w:val="none" w:sz="0" w:space="0" w:color="auto"/>
                <w:right w:val="none" w:sz="0" w:space="0" w:color="auto"/>
              </w:divBdr>
              <w:divsChild>
                <w:div w:id="75964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842679">
      <w:bodyDiv w:val="1"/>
      <w:marLeft w:val="0"/>
      <w:marRight w:val="0"/>
      <w:marTop w:val="0"/>
      <w:marBottom w:val="0"/>
      <w:divBdr>
        <w:top w:val="none" w:sz="0" w:space="0" w:color="auto"/>
        <w:left w:val="none" w:sz="0" w:space="0" w:color="auto"/>
        <w:bottom w:val="none" w:sz="0" w:space="0" w:color="auto"/>
        <w:right w:val="none" w:sz="0" w:space="0" w:color="auto"/>
      </w:divBdr>
      <w:divsChild>
        <w:div w:id="1367828495">
          <w:marLeft w:val="0"/>
          <w:marRight w:val="0"/>
          <w:marTop w:val="0"/>
          <w:marBottom w:val="0"/>
          <w:divBdr>
            <w:top w:val="none" w:sz="0" w:space="0" w:color="auto"/>
            <w:left w:val="none" w:sz="0" w:space="0" w:color="auto"/>
            <w:bottom w:val="none" w:sz="0" w:space="0" w:color="auto"/>
            <w:right w:val="none" w:sz="0" w:space="0" w:color="auto"/>
          </w:divBdr>
          <w:divsChild>
            <w:div w:id="1893685586">
              <w:marLeft w:val="0"/>
              <w:marRight w:val="0"/>
              <w:marTop w:val="0"/>
              <w:marBottom w:val="0"/>
              <w:divBdr>
                <w:top w:val="none" w:sz="0" w:space="0" w:color="auto"/>
                <w:left w:val="none" w:sz="0" w:space="0" w:color="auto"/>
                <w:bottom w:val="none" w:sz="0" w:space="0" w:color="auto"/>
                <w:right w:val="none" w:sz="0" w:space="0" w:color="auto"/>
              </w:divBdr>
              <w:divsChild>
                <w:div w:id="72503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977909">
      <w:bodyDiv w:val="1"/>
      <w:marLeft w:val="0"/>
      <w:marRight w:val="0"/>
      <w:marTop w:val="0"/>
      <w:marBottom w:val="0"/>
      <w:divBdr>
        <w:top w:val="none" w:sz="0" w:space="0" w:color="auto"/>
        <w:left w:val="none" w:sz="0" w:space="0" w:color="auto"/>
        <w:bottom w:val="none" w:sz="0" w:space="0" w:color="auto"/>
        <w:right w:val="none" w:sz="0" w:space="0" w:color="auto"/>
      </w:divBdr>
      <w:divsChild>
        <w:div w:id="141430940">
          <w:marLeft w:val="0"/>
          <w:marRight w:val="0"/>
          <w:marTop w:val="0"/>
          <w:marBottom w:val="0"/>
          <w:divBdr>
            <w:top w:val="none" w:sz="0" w:space="0" w:color="auto"/>
            <w:left w:val="none" w:sz="0" w:space="0" w:color="auto"/>
            <w:bottom w:val="none" w:sz="0" w:space="0" w:color="auto"/>
            <w:right w:val="none" w:sz="0" w:space="0" w:color="auto"/>
          </w:divBdr>
          <w:divsChild>
            <w:div w:id="1337809706">
              <w:marLeft w:val="0"/>
              <w:marRight w:val="0"/>
              <w:marTop w:val="0"/>
              <w:marBottom w:val="0"/>
              <w:divBdr>
                <w:top w:val="none" w:sz="0" w:space="0" w:color="auto"/>
                <w:left w:val="none" w:sz="0" w:space="0" w:color="auto"/>
                <w:bottom w:val="none" w:sz="0" w:space="0" w:color="auto"/>
                <w:right w:val="none" w:sz="0" w:space="0" w:color="auto"/>
              </w:divBdr>
              <w:divsChild>
                <w:div w:id="124133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404212">
      <w:bodyDiv w:val="1"/>
      <w:marLeft w:val="0"/>
      <w:marRight w:val="0"/>
      <w:marTop w:val="0"/>
      <w:marBottom w:val="0"/>
      <w:divBdr>
        <w:top w:val="none" w:sz="0" w:space="0" w:color="auto"/>
        <w:left w:val="none" w:sz="0" w:space="0" w:color="auto"/>
        <w:bottom w:val="none" w:sz="0" w:space="0" w:color="auto"/>
        <w:right w:val="none" w:sz="0" w:space="0" w:color="auto"/>
      </w:divBdr>
    </w:div>
    <w:div w:id="817965806">
      <w:bodyDiv w:val="1"/>
      <w:marLeft w:val="0"/>
      <w:marRight w:val="0"/>
      <w:marTop w:val="0"/>
      <w:marBottom w:val="0"/>
      <w:divBdr>
        <w:top w:val="none" w:sz="0" w:space="0" w:color="auto"/>
        <w:left w:val="none" w:sz="0" w:space="0" w:color="auto"/>
        <w:bottom w:val="none" w:sz="0" w:space="0" w:color="auto"/>
        <w:right w:val="none" w:sz="0" w:space="0" w:color="auto"/>
      </w:divBdr>
    </w:div>
    <w:div w:id="852576250">
      <w:bodyDiv w:val="1"/>
      <w:marLeft w:val="0"/>
      <w:marRight w:val="0"/>
      <w:marTop w:val="0"/>
      <w:marBottom w:val="0"/>
      <w:divBdr>
        <w:top w:val="none" w:sz="0" w:space="0" w:color="auto"/>
        <w:left w:val="none" w:sz="0" w:space="0" w:color="auto"/>
        <w:bottom w:val="none" w:sz="0" w:space="0" w:color="auto"/>
        <w:right w:val="none" w:sz="0" w:space="0" w:color="auto"/>
      </w:divBdr>
      <w:divsChild>
        <w:div w:id="580795844">
          <w:marLeft w:val="0"/>
          <w:marRight w:val="0"/>
          <w:marTop w:val="0"/>
          <w:marBottom w:val="0"/>
          <w:divBdr>
            <w:top w:val="none" w:sz="0" w:space="0" w:color="auto"/>
            <w:left w:val="none" w:sz="0" w:space="0" w:color="auto"/>
            <w:bottom w:val="none" w:sz="0" w:space="0" w:color="auto"/>
            <w:right w:val="none" w:sz="0" w:space="0" w:color="auto"/>
          </w:divBdr>
          <w:divsChild>
            <w:div w:id="1327857313">
              <w:marLeft w:val="0"/>
              <w:marRight w:val="0"/>
              <w:marTop w:val="0"/>
              <w:marBottom w:val="0"/>
              <w:divBdr>
                <w:top w:val="none" w:sz="0" w:space="0" w:color="auto"/>
                <w:left w:val="none" w:sz="0" w:space="0" w:color="auto"/>
                <w:bottom w:val="none" w:sz="0" w:space="0" w:color="auto"/>
                <w:right w:val="none" w:sz="0" w:space="0" w:color="auto"/>
              </w:divBdr>
              <w:divsChild>
                <w:div w:id="213636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786714">
      <w:bodyDiv w:val="1"/>
      <w:marLeft w:val="0"/>
      <w:marRight w:val="0"/>
      <w:marTop w:val="0"/>
      <w:marBottom w:val="0"/>
      <w:divBdr>
        <w:top w:val="none" w:sz="0" w:space="0" w:color="auto"/>
        <w:left w:val="none" w:sz="0" w:space="0" w:color="auto"/>
        <w:bottom w:val="none" w:sz="0" w:space="0" w:color="auto"/>
        <w:right w:val="none" w:sz="0" w:space="0" w:color="auto"/>
      </w:divBdr>
      <w:divsChild>
        <w:div w:id="723599940">
          <w:marLeft w:val="0"/>
          <w:marRight w:val="0"/>
          <w:marTop w:val="0"/>
          <w:marBottom w:val="0"/>
          <w:divBdr>
            <w:top w:val="none" w:sz="0" w:space="0" w:color="auto"/>
            <w:left w:val="none" w:sz="0" w:space="0" w:color="auto"/>
            <w:bottom w:val="none" w:sz="0" w:space="0" w:color="auto"/>
            <w:right w:val="none" w:sz="0" w:space="0" w:color="auto"/>
          </w:divBdr>
          <w:divsChild>
            <w:div w:id="1686444699">
              <w:marLeft w:val="0"/>
              <w:marRight w:val="0"/>
              <w:marTop w:val="0"/>
              <w:marBottom w:val="0"/>
              <w:divBdr>
                <w:top w:val="none" w:sz="0" w:space="0" w:color="auto"/>
                <w:left w:val="none" w:sz="0" w:space="0" w:color="auto"/>
                <w:bottom w:val="none" w:sz="0" w:space="0" w:color="auto"/>
                <w:right w:val="none" w:sz="0" w:space="0" w:color="auto"/>
              </w:divBdr>
              <w:divsChild>
                <w:div w:id="51078015">
                  <w:marLeft w:val="0"/>
                  <w:marRight w:val="0"/>
                  <w:marTop w:val="0"/>
                  <w:marBottom w:val="0"/>
                  <w:divBdr>
                    <w:top w:val="none" w:sz="0" w:space="0" w:color="auto"/>
                    <w:left w:val="none" w:sz="0" w:space="0" w:color="auto"/>
                    <w:bottom w:val="none" w:sz="0" w:space="0" w:color="auto"/>
                    <w:right w:val="none" w:sz="0" w:space="0" w:color="auto"/>
                  </w:divBdr>
                  <w:divsChild>
                    <w:div w:id="1391684809">
                      <w:marLeft w:val="0"/>
                      <w:marRight w:val="0"/>
                      <w:marTop w:val="0"/>
                      <w:marBottom w:val="0"/>
                      <w:divBdr>
                        <w:top w:val="none" w:sz="0" w:space="0" w:color="auto"/>
                        <w:left w:val="none" w:sz="0" w:space="0" w:color="auto"/>
                        <w:bottom w:val="none" w:sz="0" w:space="0" w:color="auto"/>
                        <w:right w:val="none" w:sz="0" w:space="0" w:color="auto"/>
                      </w:divBdr>
                      <w:divsChild>
                        <w:div w:id="26269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452086">
                  <w:marLeft w:val="0"/>
                  <w:marRight w:val="0"/>
                  <w:marTop w:val="0"/>
                  <w:marBottom w:val="0"/>
                  <w:divBdr>
                    <w:top w:val="none" w:sz="0" w:space="0" w:color="auto"/>
                    <w:left w:val="none" w:sz="0" w:space="0" w:color="auto"/>
                    <w:bottom w:val="none" w:sz="0" w:space="0" w:color="auto"/>
                    <w:right w:val="none" w:sz="0" w:space="0" w:color="auto"/>
                  </w:divBdr>
                  <w:divsChild>
                    <w:div w:id="329263184">
                      <w:marLeft w:val="0"/>
                      <w:marRight w:val="0"/>
                      <w:marTop w:val="0"/>
                      <w:marBottom w:val="0"/>
                      <w:divBdr>
                        <w:top w:val="none" w:sz="0" w:space="0" w:color="auto"/>
                        <w:left w:val="none" w:sz="0" w:space="0" w:color="auto"/>
                        <w:bottom w:val="none" w:sz="0" w:space="0" w:color="auto"/>
                        <w:right w:val="none" w:sz="0" w:space="0" w:color="auto"/>
                      </w:divBdr>
                      <w:divsChild>
                        <w:div w:id="88521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9794760">
      <w:bodyDiv w:val="1"/>
      <w:marLeft w:val="0"/>
      <w:marRight w:val="0"/>
      <w:marTop w:val="0"/>
      <w:marBottom w:val="0"/>
      <w:divBdr>
        <w:top w:val="none" w:sz="0" w:space="0" w:color="auto"/>
        <w:left w:val="none" w:sz="0" w:space="0" w:color="auto"/>
        <w:bottom w:val="none" w:sz="0" w:space="0" w:color="auto"/>
        <w:right w:val="none" w:sz="0" w:space="0" w:color="auto"/>
      </w:divBdr>
    </w:div>
    <w:div w:id="978919537">
      <w:bodyDiv w:val="1"/>
      <w:marLeft w:val="0"/>
      <w:marRight w:val="0"/>
      <w:marTop w:val="0"/>
      <w:marBottom w:val="0"/>
      <w:divBdr>
        <w:top w:val="none" w:sz="0" w:space="0" w:color="auto"/>
        <w:left w:val="none" w:sz="0" w:space="0" w:color="auto"/>
        <w:bottom w:val="none" w:sz="0" w:space="0" w:color="auto"/>
        <w:right w:val="none" w:sz="0" w:space="0" w:color="auto"/>
      </w:divBdr>
    </w:div>
    <w:div w:id="1005329277">
      <w:bodyDiv w:val="1"/>
      <w:marLeft w:val="0"/>
      <w:marRight w:val="0"/>
      <w:marTop w:val="0"/>
      <w:marBottom w:val="0"/>
      <w:divBdr>
        <w:top w:val="none" w:sz="0" w:space="0" w:color="auto"/>
        <w:left w:val="none" w:sz="0" w:space="0" w:color="auto"/>
        <w:bottom w:val="none" w:sz="0" w:space="0" w:color="auto"/>
        <w:right w:val="none" w:sz="0" w:space="0" w:color="auto"/>
      </w:divBdr>
      <w:divsChild>
        <w:div w:id="299114336">
          <w:marLeft w:val="0"/>
          <w:marRight w:val="0"/>
          <w:marTop w:val="0"/>
          <w:marBottom w:val="0"/>
          <w:divBdr>
            <w:top w:val="none" w:sz="0" w:space="0" w:color="auto"/>
            <w:left w:val="none" w:sz="0" w:space="0" w:color="auto"/>
            <w:bottom w:val="none" w:sz="0" w:space="0" w:color="auto"/>
            <w:right w:val="none" w:sz="0" w:space="0" w:color="auto"/>
          </w:divBdr>
          <w:divsChild>
            <w:div w:id="1066106499">
              <w:marLeft w:val="0"/>
              <w:marRight w:val="0"/>
              <w:marTop w:val="0"/>
              <w:marBottom w:val="0"/>
              <w:divBdr>
                <w:top w:val="none" w:sz="0" w:space="0" w:color="auto"/>
                <w:left w:val="none" w:sz="0" w:space="0" w:color="auto"/>
                <w:bottom w:val="none" w:sz="0" w:space="0" w:color="auto"/>
                <w:right w:val="none" w:sz="0" w:space="0" w:color="auto"/>
              </w:divBdr>
              <w:divsChild>
                <w:div w:id="205981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020805">
      <w:bodyDiv w:val="1"/>
      <w:marLeft w:val="0"/>
      <w:marRight w:val="0"/>
      <w:marTop w:val="0"/>
      <w:marBottom w:val="0"/>
      <w:divBdr>
        <w:top w:val="none" w:sz="0" w:space="0" w:color="auto"/>
        <w:left w:val="none" w:sz="0" w:space="0" w:color="auto"/>
        <w:bottom w:val="none" w:sz="0" w:space="0" w:color="auto"/>
        <w:right w:val="none" w:sz="0" w:space="0" w:color="auto"/>
      </w:divBdr>
    </w:div>
    <w:div w:id="1080172794">
      <w:bodyDiv w:val="1"/>
      <w:marLeft w:val="0"/>
      <w:marRight w:val="0"/>
      <w:marTop w:val="0"/>
      <w:marBottom w:val="0"/>
      <w:divBdr>
        <w:top w:val="none" w:sz="0" w:space="0" w:color="auto"/>
        <w:left w:val="none" w:sz="0" w:space="0" w:color="auto"/>
        <w:bottom w:val="none" w:sz="0" w:space="0" w:color="auto"/>
        <w:right w:val="none" w:sz="0" w:space="0" w:color="auto"/>
      </w:divBdr>
    </w:div>
    <w:div w:id="1102532189">
      <w:bodyDiv w:val="1"/>
      <w:marLeft w:val="0"/>
      <w:marRight w:val="0"/>
      <w:marTop w:val="0"/>
      <w:marBottom w:val="0"/>
      <w:divBdr>
        <w:top w:val="none" w:sz="0" w:space="0" w:color="auto"/>
        <w:left w:val="none" w:sz="0" w:space="0" w:color="auto"/>
        <w:bottom w:val="none" w:sz="0" w:space="0" w:color="auto"/>
        <w:right w:val="none" w:sz="0" w:space="0" w:color="auto"/>
      </w:divBdr>
      <w:divsChild>
        <w:div w:id="1246380772">
          <w:marLeft w:val="0"/>
          <w:marRight w:val="0"/>
          <w:marTop w:val="0"/>
          <w:marBottom w:val="0"/>
          <w:divBdr>
            <w:top w:val="none" w:sz="0" w:space="0" w:color="auto"/>
            <w:left w:val="none" w:sz="0" w:space="0" w:color="auto"/>
            <w:bottom w:val="none" w:sz="0" w:space="0" w:color="auto"/>
            <w:right w:val="none" w:sz="0" w:space="0" w:color="auto"/>
          </w:divBdr>
          <w:divsChild>
            <w:div w:id="94786247">
              <w:marLeft w:val="0"/>
              <w:marRight w:val="0"/>
              <w:marTop w:val="0"/>
              <w:marBottom w:val="0"/>
              <w:divBdr>
                <w:top w:val="none" w:sz="0" w:space="0" w:color="auto"/>
                <w:left w:val="none" w:sz="0" w:space="0" w:color="auto"/>
                <w:bottom w:val="none" w:sz="0" w:space="0" w:color="auto"/>
                <w:right w:val="none" w:sz="0" w:space="0" w:color="auto"/>
              </w:divBdr>
              <w:divsChild>
                <w:div w:id="7670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572664">
      <w:bodyDiv w:val="1"/>
      <w:marLeft w:val="0"/>
      <w:marRight w:val="0"/>
      <w:marTop w:val="0"/>
      <w:marBottom w:val="0"/>
      <w:divBdr>
        <w:top w:val="none" w:sz="0" w:space="0" w:color="auto"/>
        <w:left w:val="none" w:sz="0" w:space="0" w:color="auto"/>
        <w:bottom w:val="none" w:sz="0" w:space="0" w:color="auto"/>
        <w:right w:val="none" w:sz="0" w:space="0" w:color="auto"/>
      </w:divBdr>
      <w:divsChild>
        <w:div w:id="1664159016">
          <w:marLeft w:val="0"/>
          <w:marRight w:val="0"/>
          <w:marTop w:val="0"/>
          <w:marBottom w:val="0"/>
          <w:divBdr>
            <w:top w:val="none" w:sz="0" w:space="0" w:color="auto"/>
            <w:left w:val="none" w:sz="0" w:space="0" w:color="auto"/>
            <w:bottom w:val="none" w:sz="0" w:space="0" w:color="auto"/>
            <w:right w:val="none" w:sz="0" w:space="0" w:color="auto"/>
          </w:divBdr>
          <w:divsChild>
            <w:div w:id="826479113">
              <w:marLeft w:val="0"/>
              <w:marRight w:val="0"/>
              <w:marTop w:val="0"/>
              <w:marBottom w:val="0"/>
              <w:divBdr>
                <w:top w:val="none" w:sz="0" w:space="0" w:color="auto"/>
                <w:left w:val="none" w:sz="0" w:space="0" w:color="auto"/>
                <w:bottom w:val="none" w:sz="0" w:space="0" w:color="auto"/>
                <w:right w:val="none" w:sz="0" w:space="0" w:color="auto"/>
              </w:divBdr>
              <w:divsChild>
                <w:div w:id="33797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84345">
      <w:bodyDiv w:val="1"/>
      <w:marLeft w:val="0"/>
      <w:marRight w:val="0"/>
      <w:marTop w:val="0"/>
      <w:marBottom w:val="0"/>
      <w:divBdr>
        <w:top w:val="none" w:sz="0" w:space="0" w:color="auto"/>
        <w:left w:val="none" w:sz="0" w:space="0" w:color="auto"/>
        <w:bottom w:val="none" w:sz="0" w:space="0" w:color="auto"/>
        <w:right w:val="none" w:sz="0" w:space="0" w:color="auto"/>
      </w:divBdr>
    </w:div>
    <w:div w:id="1117480073">
      <w:bodyDiv w:val="1"/>
      <w:marLeft w:val="0"/>
      <w:marRight w:val="0"/>
      <w:marTop w:val="0"/>
      <w:marBottom w:val="0"/>
      <w:divBdr>
        <w:top w:val="none" w:sz="0" w:space="0" w:color="auto"/>
        <w:left w:val="none" w:sz="0" w:space="0" w:color="auto"/>
        <w:bottom w:val="none" w:sz="0" w:space="0" w:color="auto"/>
        <w:right w:val="none" w:sz="0" w:space="0" w:color="auto"/>
      </w:divBdr>
      <w:divsChild>
        <w:div w:id="1620450668">
          <w:marLeft w:val="0"/>
          <w:marRight w:val="0"/>
          <w:marTop w:val="0"/>
          <w:marBottom w:val="0"/>
          <w:divBdr>
            <w:top w:val="none" w:sz="0" w:space="0" w:color="auto"/>
            <w:left w:val="none" w:sz="0" w:space="0" w:color="auto"/>
            <w:bottom w:val="none" w:sz="0" w:space="0" w:color="auto"/>
            <w:right w:val="none" w:sz="0" w:space="0" w:color="auto"/>
          </w:divBdr>
          <w:divsChild>
            <w:div w:id="38747409">
              <w:marLeft w:val="0"/>
              <w:marRight w:val="0"/>
              <w:marTop w:val="0"/>
              <w:marBottom w:val="0"/>
              <w:divBdr>
                <w:top w:val="none" w:sz="0" w:space="0" w:color="auto"/>
                <w:left w:val="none" w:sz="0" w:space="0" w:color="auto"/>
                <w:bottom w:val="none" w:sz="0" w:space="0" w:color="auto"/>
                <w:right w:val="none" w:sz="0" w:space="0" w:color="auto"/>
              </w:divBdr>
              <w:divsChild>
                <w:div w:id="213729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303439">
      <w:bodyDiv w:val="1"/>
      <w:marLeft w:val="0"/>
      <w:marRight w:val="0"/>
      <w:marTop w:val="0"/>
      <w:marBottom w:val="0"/>
      <w:divBdr>
        <w:top w:val="none" w:sz="0" w:space="0" w:color="auto"/>
        <w:left w:val="none" w:sz="0" w:space="0" w:color="auto"/>
        <w:bottom w:val="none" w:sz="0" w:space="0" w:color="auto"/>
        <w:right w:val="none" w:sz="0" w:space="0" w:color="auto"/>
      </w:divBdr>
      <w:divsChild>
        <w:div w:id="61802168">
          <w:marLeft w:val="0"/>
          <w:marRight w:val="0"/>
          <w:marTop w:val="0"/>
          <w:marBottom w:val="0"/>
          <w:divBdr>
            <w:top w:val="none" w:sz="0" w:space="0" w:color="auto"/>
            <w:left w:val="none" w:sz="0" w:space="0" w:color="auto"/>
            <w:bottom w:val="none" w:sz="0" w:space="0" w:color="auto"/>
            <w:right w:val="none" w:sz="0" w:space="0" w:color="auto"/>
          </w:divBdr>
          <w:divsChild>
            <w:div w:id="993877712">
              <w:marLeft w:val="0"/>
              <w:marRight w:val="0"/>
              <w:marTop w:val="0"/>
              <w:marBottom w:val="0"/>
              <w:divBdr>
                <w:top w:val="none" w:sz="0" w:space="0" w:color="auto"/>
                <w:left w:val="none" w:sz="0" w:space="0" w:color="auto"/>
                <w:bottom w:val="none" w:sz="0" w:space="0" w:color="auto"/>
                <w:right w:val="none" w:sz="0" w:space="0" w:color="auto"/>
              </w:divBdr>
              <w:divsChild>
                <w:div w:id="1173838606">
                  <w:marLeft w:val="0"/>
                  <w:marRight w:val="0"/>
                  <w:marTop w:val="0"/>
                  <w:marBottom w:val="0"/>
                  <w:divBdr>
                    <w:top w:val="none" w:sz="0" w:space="0" w:color="auto"/>
                    <w:left w:val="none" w:sz="0" w:space="0" w:color="auto"/>
                    <w:bottom w:val="none" w:sz="0" w:space="0" w:color="auto"/>
                    <w:right w:val="none" w:sz="0" w:space="0" w:color="auto"/>
                  </w:divBdr>
                </w:div>
              </w:divsChild>
            </w:div>
            <w:div w:id="1285887691">
              <w:marLeft w:val="0"/>
              <w:marRight w:val="0"/>
              <w:marTop w:val="0"/>
              <w:marBottom w:val="0"/>
              <w:divBdr>
                <w:top w:val="none" w:sz="0" w:space="0" w:color="auto"/>
                <w:left w:val="none" w:sz="0" w:space="0" w:color="auto"/>
                <w:bottom w:val="none" w:sz="0" w:space="0" w:color="auto"/>
                <w:right w:val="none" w:sz="0" w:space="0" w:color="auto"/>
              </w:divBdr>
              <w:divsChild>
                <w:div w:id="945499795">
                  <w:marLeft w:val="0"/>
                  <w:marRight w:val="0"/>
                  <w:marTop w:val="0"/>
                  <w:marBottom w:val="0"/>
                  <w:divBdr>
                    <w:top w:val="none" w:sz="0" w:space="0" w:color="auto"/>
                    <w:left w:val="none" w:sz="0" w:space="0" w:color="auto"/>
                    <w:bottom w:val="none" w:sz="0" w:space="0" w:color="auto"/>
                    <w:right w:val="none" w:sz="0" w:space="0" w:color="auto"/>
                  </w:divBdr>
                </w:div>
              </w:divsChild>
            </w:div>
            <w:div w:id="1667904147">
              <w:marLeft w:val="0"/>
              <w:marRight w:val="0"/>
              <w:marTop w:val="0"/>
              <w:marBottom w:val="0"/>
              <w:divBdr>
                <w:top w:val="none" w:sz="0" w:space="0" w:color="auto"/>
                <w:left w:val="none" w:sz="0" w:space="0" w:color="auto"/>
                <w:bottom w:val="none" w:sz="0" w:space="0" w:color="auto"/>
                <w:right w:val="none" w:sz="0" w:space="0" w:color="auto"/>
              </w:divBdr>
              <w:divsChild>
                <w:div w:id="1778719295">
                  <w:marLeft w:val="0"/>
                  <w:marRight w:val="0"/>
                  <w:marTop w:val="0"/>
                  <w:marBottom w:val="0"/>
                  <w:divBdr>
                    <w:top w:val="none" w:sz="0" w:space="0" w:color="auto"/>
                    <w:left w:val="none" w:sz="0" w:space="0" w:color="auto"/>
                    <w:bottom w:val="none" w:sz="0" w:space="0" w:color="auto"/>
                    <w:right w:val="none" w:sz="0" w:space="0" w:color="auto"/>
                  </w:divBdr>
                </w:div>
              </w:divsChild>
            </w:div>
            <w:div w:id="1676761960">
              <w:marLeft w:val="0"/>
              <w:marRight w:val="0"/>
              <w:marTop w:val="0"/>
              <w:marBottom w:val="0"/>
              <w:divBdr>
                <w:top w:val="none" w:sz="0" w:space="0" w:color="auto"/>
                <w:left w:val="none" w:sz="0" w:space="0" w:color="auto"/>
                <w:bottom w:val="none" w:sz="0" w:space="0" w:color="auto"/>
                <w:right w:val="none" w:sz="0" w:space="0" w:color="auto"/>
              </w:divBdr>
              <w:divsChild>
                <w:div w:id="2072345308">
                  <w:marLeft w:val="0"/>
                  <w:marRight w:val="0"/>
                  <w:marTop w:val="0"/>
                  <w:marBottom w:val="0"/>
                  <w:divBdr>
                    <w:top w:val="none" w:sz="0" w:space="0" w:color="auto"/>
                    <w:left w:val="none" w:sz="0" w:space="0" w:color="auto"/>
                    <w:bottom w:val="none" w:sz="0" w:space="0" w:color="auto"/>
                    <w:right w:val="none" w:sz="0" w:space="0" w:color="auto"/>
                  </w:divBdr>
                </w:div>
              </w:divsChild>
            </w:div>
            <w:div w:id="1816414706">
              <w:marLeft w:val="0"/>
              <w:marRight w:val="0"/>
              <w:marTop w:val="0"/>
              <w:marBottom w:val="0"/>
              <w:divBdr>
                <w:top w:val="none" w:sz="0" w:space="0" w:color="auto"/>
                <w:left w:val="none" w:sz="0" w:space="0" w:color="auto"/>
                <w:bottom w:val="none" w:sz="0" w:space="0" w:color="auto"/>
                <w:right w:val="none" w:sz="0" w:space="0" w:color="auto"/>
              </w:divBdr>
              <w:divsChild>
                <w:div w:id="9799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565213">
      <w:bodyDiv w:val="1"/>
      <w:marLeft w:val="0"/>
      <w:marRight w:val="0"/>
      <w:marTop w:val="0"/>
      <w:marBottom w:val="0"/>
      <w:divBdr>
        <w:top w:val="none" w:sz="0" w:space="0" w:color="auto"/>
        <w:left w:val="none" w:sz="0" w:space="0" w:color="auto"/>
        <w:bottom w:val="none" w:sz="0" w:space="0" w:color="auto"/>
        <w:right w:val="none" w:sz="0" w:space="0" w:color="auto"/>
      </w:divBdr>
    </w:div>
    <w:div w:id="1220439615">
      <w:bodyDiv w:val="1"/>
      <w:marLeft w:val="0"/>
      <w:marRight w:val="0"/>
      <w:marTop w:val="0"/>
      <w:marBottom w:val="0"/>
      <w:divBdr>
        <w:top w:val="none" w:sz="0" w:space="0" w:color="auto"/>
        <w:left w:val="none" w:sz="0" w:space="0" w:color="auto"/>
        <w:bottom w:val="none" w:sz="0" w:space="0" w:color="auto"/>
        <w:right w:val="none" w:sz="0" w:space="0" w:color="auto"/>
      </w:divBdr>
    </w:div>
    <w:div w:id="1227302377">
      <w:bodyDiv w:val="1"/>
      <w:marLeft w:val="0"/>
      <w:marRight w:val="0"/>
      <w:marTop w:val="0"/>
      <w:marBottom w:val="0"/>
      <w:divBdr>
        <w:top w:val="none" w:sz="0" w:space="0" w:color="auto"/>
        <w:left w:val="none" w:sz="0" w:space="0" w:color="auto"/>
        <w:bottom w:val="none" w:sz="0" w:space="0" w:color="auto"/>
        <w:right w:val="none" w:sz="0" w:space="0" w:color="auto"/>
      </w:divBdr>
    </w:div>
    <w:div w:id="1267737826">
      <w:bodyDiv w:val="1"/>
      <w:marLeft w:val="0"/>
      <w:marRight w:val="0"/>
      <w:marTop w:val="0"/>
      <w:marBottom w:val="0"/>
      <w:divBdr>
        <w:top w:val="none" w:sz="0" w:space="0" w:color="auto"/>
        <w:left w:val="none" w:sz="0" w:space="0" w:color="auto"/>
        <w:bottom w:val="none" w:sz="0" w:space="0" w:color="auto"/>
        <w:right w:val="none" w:sz="0" w:space="0" w:color="auto"/>
      </w:divBdr>
    </w:div>
    <w:div w:id="1273243385">
      <w:bodyDiv w:val="1"/>
      <w:marLeft w:val="0"/>
      <w:marRight w:val="0"/>
      <w:marTop w:val="0"/>
      <w:marBottom w:val="0"/>
      <w:divBdr>
        <w:top w:val="none" w:sz="0" w:space="0" w:color="auto"/>
        <w:left w:val="none" w:sz="0" w:space="0" w:color="auto"/>
        <w:bottom w:val="none" w:sz="0" w:space="0" w:color="auto"/>
        <w:right w:val="none" w:sz="0" w:space="0" w:color="auto"/>
      </w:divBdr>
      <w:divsChild>
        <w:div w:id="2065904198">
          <w:marLeft w:val="0"/>
          <w:marRight w:val="0"/>
          <w:marTop w:val="0"/>
          <w:marBottom w:val="0"/>
          <w:divBdr>
            <w:top w:val="none" w:sz="0" w:space="0" w:color="auto"/>
            <w:left w:val="none" w:sz="0" w:space="0" w:color="auto"/>
            <w:bottom w:val="none" w:sz="0" w:space="0" w:color="auto"/>
            <w:right w:val="none" w:sz="0" w:space="0" w:color="auto"/>
          </w:divBdr>
          <w:divsChild>
            <w:div w:id="2029142264">
              <w:marLeft w:val="0"/>
              <w:marRight w:val="0"/>
              <w:marTop w:val="0"/>
              <w:marBottom w:val="0"/>
              <w:divBdr>
                <w:top w:val="none" w:sz="0" w:space="0" w:color="auto"/>
                <w:left w:val="none" w:sz="0" w:space="0" w:color="auto"/>
                <w:bottom w:val="none" w:sz="0" w:space="0" w:color="auto"/>
                <w:right w:val="none" w:sz="0" w:space="0" w:color="auto"/>
              </w:divBdr>
              <w:divsChild>
                <w:div w:id="74260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603572">
      <w:bodyDiv w:val="1"/>
      <w:marLeft w:val="0"/>
      <w:marRight w:val="0"/>
      <w:marTop w:val="0"/>
      <w:marBottom w:val="0"/>
      <w:divBdr>
        <w:top w:val="none" w:sz="0" w:space="0" w:color="auto"/>
        <w:left w:val="none" w:sz="0" w:space="0" w:color="auto"/>
        <w:bottom w:val="none" w:sz="0" w:space="0" w:color="auto"/>
        <w:right w:val="none" w:sz="0" w:space="0" w:color="auto"/>
      </w:divBdr>
    </w:div>
    <w:div w:id="1321470265">
      <w:bodyDiv w:val="1"/>
      <w:marLeft w:val="0"/>
      <w:marRight w:val="0"/>
      <w:marTop w:val="0"/>
      <w:marBottom w:val="0"/>
      <w:divBdr>
        <w:top w:val="none" w:sz="0" w:space="0" w:color="auto"/>
        <w:left w:val="none" w:sz="0" w:space="0" w:color="auto"/>
        <w:bottom w:val="none" w:sz="0" w:space="0" w:color="auto"/>
        <w:right w:val="none" w:sz="0" w:space="0" w:color="auto"/>
      </w:divBdr>
    </w:div>
    <w:div w:id="1330525404">
      <w:bodyDiv w:val="1"/>
      <w:marLeft w:val="0"/>
      <w:marRight w:val="0"/>
      <w:marTop w:val="0"/>
      <w:marBottom w:val="0"/>
      <w:divBdr>
        <w:top w:val="none" w:sz="0" w:space="0" w:color="auto"/>
        <w:left w:val="none" w:sz="0" w:space="0" w:color="auto"/>
        <w:bottom w:val="none" w:sz="0" w:space="0" w:color="auto"/>
        <w:right w:val="none" w:sz="0" w:space="0" w:color="auto"/>
      </w:divBdr>
    </w:div>
    <w:div w:id="1406150717">
      <w:bodyDiv w:val="1"/>
      <w:marLeft w:val="0"/>
      <w:marRight w:val="0"/>
      <w:marTop w:val="0"/>
      <w:marBottom w:val="0"/>
      <w:divBdr>
        <w:top w:val="none" w:sz="0" w:space="0" w:color="auto"/>
        <w:left w:val="none" w:sz="0" w:space="0" w:color="auto"/>
        <w:bottom w:val="none" w:sz="0" w:space="0" w:color="auto"/>
        <w:right w:val="none" w:sz="0" w:space="0" w:color="auto"/>
      </w:divBdr>
    </w:div>
    <w:div w:id="1410422618">
      <w:bodyDiv w:val="1"/>
      <w:marLeft w:val="0"/>
      <w:marRight w:val="0"/>
      <w:marTop w:val="0"/>
      <w:marBottom w:val="0"/>
      <w:divBdr>
        <w:top w:val="none" w:sz="0" w:space="0" w:color="auto"/>
        <w:left w:val="none" w:sz="0" w:space="0" w:color="auto"/>
        <w:bottom w:val="none" w:sz="0" w:space="0" w:color="auto"/>
        <w:right w:val="none" w:sz="0" w:space="0" w:color="auto"/>
      </w:divBdr>
      <w:divsChild>
        <w:div w:id="1339237654">
          <w:marLeft w:val="0"/>
          <w:marRight w:val="0"/>
          <w:marTop w:val="0"/>
          <w:marBottom w:val="0"/>
          <w:divBdr>
            <w:top w:val="none" w:sz="0" w:space="0" w:color="auto"/>
            <w:left w:val="none" w:sz="0" w:space="0" w:color="auto"/>
            <w:bottom w:val="none" w:sz="0" w:space="0" w:color="auto"/>
            <w:right w:val="none" w:sz="0" w:space="0" w:color="auto"/>
          </w:divBdr>
          <w:divsChild>
            <w:div w:id="574707230">
              <w:marLeft w:val="0"/>
              <w:marRight w:val="0"/>
              <w:marTop w:val="0"/>
              <w:marBottom w:val="0"/>
              <w:divBdr>
                <w:top w:val="none" w:sz="0" w:space="0" w:color="auto"/>
                <w:left w:val="none" w:sz="0" w:space="0" w:color="auto"/>
                <w:bottom w:val="none" w:sz="0" w:space="0" w:color="auto"/>
                <w:right w:val="none" w:sz="0" w:space="0" w:color="auto"/>
              </w:divBdr>
              <w:divsChild>
                <w:div w:id="115352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119776">
      <w:bodyDiv w:val="1"/>
      <w:marLeft w:val="0"/>
      <w:marRight w:val="0"/>
      <w:marTop w:val="0"/>
      <w:marBottom w:val="0"/>
      <w:divBdr>
        <w:top w:val="none" w:sz="0" w:space="0" w:color="auto"/>
        <w:left w:val="none" w:sz="0" w:space="0" w:color="auto"/>
        <w:bottom w:val="none" w:sz="0" w:space="0" w:color="auto"/>
        <w:right w:val="none" w:sz="0" w:space="0" w:color="auto"/>
      </w:divBdr>
      <w:divsChild>
        <w:div w:id="625739839">
          <w:marLeft w:val="0"/>
          <w:marRight w:val="0"/>
          <w:marTop w:val="0"/>
          <w:marBottom w:val="0"/>
          <w:divBdr>
            <w:top w:val="none" w:sz="0" w:space="0" w:color="auto"/>
            <w:left w:val="none" w:sz="0" w:space="0" w:color="auto"/>
            <w:bottom w:val="none" w:sz="0" w:space="0" w:color="auto"/>
            <w:right w:val="none" w:sz="0" w:space="0" w:color="auto"/>
          </w:divBdr>
          <w:divsChild>
            <w:div w:id="798382708">
              <w:marLeft w:val="0"/>
              <w:marRight w:val="0"/>
              <w:marTop w:val="0"/>
              <w:marBottom w:val="0"/>
              <w:divBdr>
                <w:top w:val="none" w:sz="0" w:space="0" w:color="auto"/>
                <w:left w:val="none" w:sz="0" w:space="0" w:color="auto"/>
                <w:bottom w:val="none" w:sz="0" w:space="0" w:color="auto"/>
                <w:right w:val="none" w:sz="0" w:space="0" w:color="auto"/>
              </w:divBdr>
              <w:divsChild>
                <w:div w:id="200678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07582">
      <w:bodyDiv w:val="1"/>
      <w:marLeft w:val="0"/>
      <w:marRight w:val="0"/>
      <w:marTop w:val="0"/>
      <w:marBottom w:val="0"/>
      <w:divBdr>
        <w:top w:val="none" w:sz="0" w:space="0" w:color="auto"/>
        <w:left w:val="none" w:sz="0" w:space="0" w:color="auto"/>
        <w:bottom w:val="none" w:sz="0" w:space="0" w:color="auto"/>
        <w:right w:val="none" w:sz="0" w:space="0" w:color="auto"/>
      </w:divBdr>
      <w:divsChild>
        <w:div w:id="842430815">
          <w:marLeft w:val="0"/>
          <w:marRight w:val="0"/>
          <w:marTop w:val="0"/>
          <w:marBottom w:val="0"/>
          <w:divBdr>
            <w:top w:val="none" w:sz="0" w:space="0" w:color="auto"/>
            <w:left w:val="none" w:sz="0" w:space="0" w:color="auto"/>
            <w:bottom w:val="none" w:sz="0" w:space="0" w:color="auto"/>
            <w:right w:val="none" w:sz="0" w:space="0" w:color="auto"/>
          </w:divBdr>
          <w:divsChild>
            <w:div w:id="1537543287">
              <w:marLeft w:val="0"/>
              <w:marRight w:val="0"/>
              <w:marTop w:val="0"/>
              <w:marBottom w:val="0"/>
              <w:divBdr>
                <w:top w:val="none" w:sz="0" w:space="0" w:color="auto"/>
                <w:left w:val="none" w:sz="0" w:space="0" w:color="auto"/>
                <w:bottom w:val="none" w:sz="0" w:space="0" w:color="auto"/>
                <w:right w:val="none" w:sz="0" w:space="0" w:color="auto"/>
              </w:divBdr>
              <w:divsChild>
                <w:div w:id="6044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870435">
      <w:bodyDiv w:val="1"/>
      <w:marLeft w:val="0"/>
      <w:marRight w:val="0"/>
      <w:marTop w:val="0"/>
      <w:marBottom w:val="0"/>
      <w:divBdr>
        <w:top w:val="none" w:sz="0" w:space="0" w:color="auto"/>
        <w:left w:val="none" w:sz="0" w:space="0" w:color="auto"/>
        <w:bottom w:val="none" w:sz="0" w:space="0" w:color="auto"/>
        <w:right w:val="none" w:sz="0" w:space="0" w:color="auto"/>
      </w:divBdr>
    </w:div>
    <w:div w:id="1484002027">
      <w:bodyDiv w:val="1"/>
      <w:marLeft w:val="0"/>
      <w:marRight w:val="0"/>
      <w:marTop w:val="0"/>
      <w:marBottom w:val="0"/>
      <w:divBdr>
        <w:top w:val="none" w:sz="0" w:space="0" w:color="auto"/>
        <w:left w:val="none" w:sz="0" w:space="0" w:color="auto"/>
        <w:bottom w:val="none" w:sz="0" w:space="0" w:color="auto"/>
        <w:right w:val="none" w:sz="0" w:space="0" w:color="auto"/>
      </w:divBdr>
    </w:div>
    <w:div w:id="1514149141">
      <w:bodyDiv w:val="1"/>
      <w:marLeft w:val="0"/>
      <w:marRight w:val="0"/>
      <w:marTop w:val="0"/>
      <w:marBottom w:val="0"/>
      <w:divBdr>
        <w:top w:val="none" w:sz="0" w:space="0" w:color="auto"/>
        <w:left w:val="none" w:sz="0" w:space="0" w:color="auto"/>
        <w:bottom w:val="none" w:sz="0" w:space="0" w:color="auto"/>
        <w:right w:val="none" w:sz="0" w:space="0" w:color="auto"/>
      </w:divBdr>
      <w:divsChild>
        <w:div w:id="890002057">
          <w:marLeft w:val="0"/>
          <w:marRight w:val="0"/>
          <w:marTop w:val="0"/>
          <w:marBottom w:val="0"/>
          <w:divBdr>
            <w:top w:val="none" w:sz="0" w:space="0" w:color="auto"/>
            <w:left w:val="none" w:sz="0" w:space="0" w:color="auto"/>
            <w:bottom w:val="none" w:sz="0" w:space="0" w:color="auto"/>
            <w:right w:val="none" w:sz="0" w:space="0" w:color="auto"/>
          </w:divBdr>
          <w:divsChild>
            <w:div w:id="1299652498">
              <w:marLeft w:val="0"/>
              <w:marRight w:val="0"/>
              <w:marTop w:val="0"/>
              <w:marBottom w:val="0"/>
              <w:divBdr>
                <w:top w:val="none" w:sz="0" w:space="0" w:color="auto"/>
                <w:left w:val="none" w:sz="0" w:space="0" w:color="auto"/>
                <w:bottom w:val="none" w:sz="0" w:space="0" w:color="auto"/>
                <w:right w:val="none" w:sz="0" w:space="0" w:color="auto"/>
              </w:divBdr>
              <w:divsChild>
                <w:div w:id="198392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417885">
      <w:bodyDiv w:val="1"/>
      <w:marLeft w:val="0"/>
      <w:marRight w:val="0"/>
      <w:marTop w:val="0"/>
      <w:marBottom w:val="0"/>
      <w:divBdr>
        <w:top w:val="none" w:sz="0" w:space="0" w:color="auto"/>
        <w:left w:val="none" w:sz="0" w:space="0" w:color="auto"/>
        <w:bottom w:val="none" w:sz="0" w:space="0" w:color="auto"/>
        <w:right w:val="none" w:sz="0" w:space="0" w:color="auto"/>
      </w:divBdr>
    </w:div>
    <w:div w:id="1583685190">
      <w:bodyDiv w:val="1"/>
      <w:marLeft w:val="0"/>
      <w:marRight w:val="0"/>
      <w:marTop w:val="0"/>
      <w:marBottom w:val="0"/>
      <w:divBdr>
        <w:top w:val="none" w:sz="0" w:space="0" w:color="auto"/>
        <w:left w:val="none" w:sz="0" w:space="0" w:color="auto"/>
        <w:bottom w:val="none" w:sz="0" w:space="0" w:color="auto"/>
        <w:right w:val="none" w:sz="0" w:space="0" w:color="auto"/>
      </w:divBdr>
      <w:divsChild>
        <w:div w:id="397364532">
          <w:marLeft w:val="0"/>
          <w:marRight w:val="0"/>
          <w:marTop w:val="0"/>
          <w:marBottom w:val="0"/>
          <w:divBdr>
            <w:top w:val="none" w:sz="0" w:space="0" w:color="auto"/>
            <w:left w:val="none" w:sz="0" w:space="0" w:color="auto"/>
            <w:bottom w:val="none" w:sz="0" w:space="0" w:color="auto"/>
            <w:right w:val="none" w:sz="0" w:space="0" w:color="auto"/>
          </w:divBdr>
          <w:divsChild>
            <w:div w:id="210464347">
              <w:marLeft w:val="0"/>
              <w:marRight w:val="0"/>
              <w:marTop w:val="0"/>
              <w:marBottom w:val="0"/>
              <w:divBdr>
                <w:top w:val="none" w:sz="0" w:space="0" w:color="auto"/>
                <w:left w:val="none" w:sz="0" w:space="0" w:color="auto"/>
                <w:bottom w:val="none" w:sz="0" w:space="0" w:color="auto"/>
                <w:right w:val="none" w:sz="0" w:space="0" w:color="auto"/>
              </w:divBdr>
              <w:divsChild>
                <w:div w:id="1978099840">
                  <w:marLeft w:val="0"/>
                  <w:marRight w:val="0"/>
                  <w:marTop w:val="0"/>
                  <w:marBottom w:val="0"/>
                  <w:divBdr>
                    <w:top w:val="none" w:sz="0" w:space="0" w:color="auto"/>
                    <w:left w:val="none" w:sz="0" w:space="0" w:color="auto"/>
                    <w:bottom w:val="none" w:sz="0" w:space="0" w:color="auto"/>
                    <w:right w:val="none" w:sz="0" w:space="0" w:color="auto"/>
                  </w:divBdr>
                </w:div>
              </w:divsChild>
            </w:div>
            <w:div w:id="1897162646">
              <w:marLeft w:val="0"/>
              <w:marRight w:val="0"/>
              <w:marTop w:val="0"/>
              <w:marBottom w:val="0"/>
              <w:divBdr>
                <w:top w:val="none" w:sz="0" w:space="0" w:color="auto"/>
                <w:left w:val="none" w:sz="0" w:space="0" w:color="auto"/>
                <w:bottom w:val="none" w:sz="0" w:space="0" w:color="auto"/>
                <w:right w:val="none" w:sz="0" w:space="0" w:color="auto"/>
              </w:divBdr>
              <w:divsChild>
                <w:div w:id="137149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563547">
      <w:bodyDiv w:val="1"/>
      <w:marLeft w:val="0"/>
      <w:marRight w:val="0"/>
      <w:marTop w:val="0"/>
      <w:marBottom w:val="0"/>
      <w:divBdr>
        <w:top w:val="none" w:sz="0" w:space="0" w:color="auto"/>
        <w:left w:val="none" w:sz="0" w:space="0" w:color="auto"/>
        <w:bottom w:val="none" w:sz="0" w:space="0" w:color="auto"/>
        <w:right w:val="none" w:sz="0" w:space="0" w:color="auto"/>
      </w:divBdr>
      <w:divsChild>
        <w:div w:id="1979526433">
          <w:marLeft w:val="0"/>
          <w:marRight w:val="0"/>
          <w:marTop w:val="0"/>
          <w:marBottom w:val="0"/>
          <w:divBdr>
            <w:top w:val="none" w:sz="0" w:space="0" w:color="auto"/>
            <w:left w:val="none" w:sz="0" w:space="0" w:color="auto"/>
            <w:bottom w:val="none" w:sz="0" w:space="0" w:color="auto"/>
            <w:right w:val="none" w:sz="0" w:space="0" w:color="auto"/>
          </w:divBdr>
          <w:divsChild>
            <w:div w:id="304742446">
              <w:marLeft w:val="0"/>
              <w:marRight w:val="0"/>
              <w:marTop w:val="0"/>
              <w:marBottom w:val="0"/>
              <w:divBdr>
                <w:top w:val="none" w:sz="0" w:space="0" w:color="auto"/>
                <w:left w:val="none" w:sz="0" w:space="0" w:color="auto"/>
                <w:bottom w:val="none" w:sz="0" w:space="0" w:color="auto"/>
                <w:right w:val="none" w:sz="0" w:space="0" w:color="auto"/>
              </w:divBdr>
              <w:divsChild>
                <w:div w:id="2314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983415">
      <w:bodyDiv w:val="1"/>
      <w:marLeft w:val="0"/>
      <w:marRight w:val="0"/>
      <w:marTop w:val="0"/>
      <w:marBottom w:val="0"/>
      <w:divBdr>
        <w:top w:val="none" w:sz="0" w:space="0" w:color="auto"/>
        <w:left w:val="none" w:sz="0" w:space="0" w:color="auto"/>
        <w:bottom w:val="none" w:sz="0" w:space="0" w:color="auto"/>
        <w:right w:val="none" w:sz="0" w:space="0" w:color="auto"/>
      </w:divBdr>
      <w:divsChild>
        <w:div w:id="775054295">
          <w:marLeft w:val="0"/>
          <w:marRight w:val="0"/>
          <w:marTop w:val="0"/>
          <w:marBottom w:val="0"/>
          <w:divBdr>
            <w:top w:val="none" w:sz="0" w:space="0" w:color="auto"/>
            <w:left w:val="none" w:sz="0" w:space="0" w:color="auto"/>
            <w:bottom w:val="none" w:sz="0" w:space="0" w:color="auto"/>
            <w:right w:val="none" w:sz="0" w:space="0" w:color="auto"/>
          </w:divBdr>
          <w:divsChild>
            <w:div w:id="869533137">
              <w:marLeft w:val="0"/>
              <w:marRight w:val="0"/>
              <w:marTop w:val="0"/>
              <w:marBottom w:val="0"/>
              <w:divBdr>
                <w:top w:val="none" w:sz="0" w:space="0" w:color="auto"/>
                <w:left w:val="none" w:sz="0" w:space="0" w:color="auto"/>
                <w:bottom w:val="none" w:sz="0" w:space="0" w:color="auto"/>
                <w:right w:val="none" w:sz="0" w:space="0" w:color="auto"/>
              </w:divBdr>
              <w:divsChild>
                <w:div w:id="36020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23222">
      <w:bodyDiv w:val="1"/>
      <w:marLeft w:val="0"/>
      <w:marRight w:val="0"/>
      <w:marTop w:val="0"/>
      <w:marBottom w:val="0"/>
      <w:divBdr>
        <w:top w:val="none" w:sz="0" w:space="0" w:color="auto"/>
        <w:left w:val="none" w:sz="0" w:space="0" w:color="auto"/>
        <w:bottom w:val="none" w:sz="0" w:space="0" w:color="auto"/>
        <w:right w:val="none" w:sz="0" w:space="0" w:color="auto"/>
      </w:divBdr>
      <w:divsChild>
        <w:div w:id="2125035437">
          <w:marLeft w:val="0"/>
          <w:marRight w:val="0"/>
          <w:marTop w:val="0"/>
          <w:marBottom w:val="0"/>
          <w:divBdr>
            <w:top w:val="none" w:sz="0" w:space="0" w:color="auto"/>
            <w:left w:val="none" w:sz="0" w:space="0" w:color="auto"/>
            <w:bottom w:val="none" w:sz="0" w:space="0" w:color="auto"/>
            <w:right w:val="none" w:sz="0" w:space="0" w:color="auto"/>
          </w:divBdr>
          <w:divsChild>
            <w:div w:id="419638328">
              <w:marLeft w:val="0"/>
              <w:marRight w:val="0"/>
              <w:marTop w:val="0"/>
              <w:marBottom w:val="0"/>
              <w:divBdr>
                <w:top w:val="none" w:sz="0" w:space="0" w:color="auto"/>
                <w:left w:val="none" w:sz="0" w:space="0" w:color="auto"/>
                <w:bottom w:val="none" w:sz="0" w:space="0" w:color="auto"/>
                <w:right w:val="none" w:sz="0" w:space="0" w:color="auto"/>
              </w:divBdr>
              <w:divsChild>
                <w:div w:id="151980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344289">
      <w:bodyDiv w:val="1"/>
      <w:marLeft w:val="0"/>
      <w:marRight w:val="0"/>
      <w:marTop w:val="0"/>
      <w:marBottom w:val="0"/>
      <w:divBdr>
        <w:top w:val="none" w:sz="0" w:space="0" w:color="auto"/>
        <w:left w:val="none" w:sz="0" w:space="0" w:color="auto"/>
        <w:bottom w:val="none" w:sz="0" w:space="0" w:color="auto"/>
        <w:right w:val="none" w:sz="0" w:space="0" w:color="auto"/>
      </w:divBdr>
      <w:divsChild>
        <w:div w:id="1319502207">
          <w:marLeft w:val="0"/>
          <w:marRight w:val="0"/>
          <w:marTop w:val="0"/>
          <w:marBottom w:val="0"/>
          <w:divBdr>
            <w:top w:val="none" w:sz="0" w:space="0" w:color="auto"/>
            <w:left w:val="none" w:sz="0" w:space="0" w:color="auto"/>
            <w:bottom w:val="none" w:sz="0" w:space="0" w:color="auto"/>
            <w:right w:val="none" w:sz="0" w:space="0" w:color="auto"/>
          </w:divBdr>
          <w:divsChild>
            <w:div w:id="1988823530">
              <w:marLeft w:val="0"/>
              <w:marRight w:val="0"/>
              <w:marTop w:val="0"/>
              <w:marBottom w:val="0"/>
              <w:divBdr>
                <w:top w:val="none" w:sz="0" w:space="0" w:color="auto"/>
                <w:left w:val="none" w:sz="0" w:space="0" w:color="auto"/>
                <w:bottom w:val="none" w:sz="0" w:space="0" w:color="auto"/>
                <w:right w:val="none" w:sz="0" w:space="0" w:color="auto"/>
              </w:divBdr>
              <w:divsChild>
                <w:div w:id="1211068414">
                  <w:marLeft w:val="0"/>
                  <w:marRight w:val="0"/>
                  <w:marTop w:val="0"/>
                  <w:marBottom w:val="0"/>
                  <w:divBdr>
                    <w:top w:val="none" w:sz="0" w:space="0" w:color="auto"/>
                    <w:left w:val="none" w:sz="0" w:space="0" w:color="auto"/>
                    <w:bottom w:val="none" w:sz="0" w:space="0" w:color="auto"/>
                    <w:right w:val="none" w:sz="0" w:space="0" w:color="auto"/>
                  </w:divBdr>
                  <w:divsChild>
                    <w:div w:id="1477334337">
                      <w:marLeft w:val="0"/>
                      <w:marRight w:val="0"/>
                      <w:marTop w:val="0"/>
                      <w:marBottom w:val="0"/>
                      <w:divBdr>
                        <w:top w:val="none" w:sz="0" w:space="0" w:color="auto"/>
                        <w:left w:val="none" w:sz="0" w:space="0" w:color="auto"/>
                        <w:bottom w:val="none" w:sz="0" w:space="0" w:color="auto"/>
                        <w:right w:val="none" w:sz="0" w:space="0" w:color="auto"/>
                      </w:divBdr>
                      <w:divsChild>
                        <w:div w:id="168296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885045">
                  <w:marLeft w:val="0"/>
                  <w:marRight w:val="0"/>
                  <w:marTop w:val="0"/>
                  <w:marBottom w:val="0"/>
                  <w:divBdr>
                    <w:top w:val="none" w:sz="0" w:space="0" w:color="auto"/>
                    <w:left w:val="none" w:sz="0" w:space="0" w:color="auto"/>
                    <w:bottom w:val="none" w:sz="0" w:space="0" w:color="auto"/>
                    <w:right w:val="none" w:sz="0" w:space="0" w:color="auto"/>
                  </w:divBdr>
                  <w:divsChild>
                    <w:div w:id="1774125839">
                      <w:marLeft w:val="0"/>
                      <w:marRight w:val="0"/>
                      <w:marTop w:val="0"/>
                      <w:marBottom w:val="0"/>
                      <w:divBdr>
                        <w:top w:val="none" w:sz="0" w:space="0" w:color="auto"/>
                        <w:left w:val="none" w:sz="0" w:space="0" w:color="auto"/>
                        <w:bottom w:val="none" w:sz="0" w:space="0" w:color="auto"/>
                        <w:right w:val="none" w:sz="0" w:space="0" w:color="auto"/>
                      </w:divBdr>
                      <w:divsChild>
                        <w:div w:id="2080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8813826">
      <w:bodyDiv w:val="1"/>
      <w:marLeft w:val="0"/>
      <w:marRight w:val="0"/>
      <w:marTop w:val="0"/>
      <w:marBottom w:val="0"/>
      <w:divBdr>
        <w:top w:val="none" w:sz="0" w:space="0" w:color="auto"/>
        <w:left w:val="none" w:sz="0" w:space="0" w:color="auto"/>
        <w:bottom w:val="none" w:sz="0" w:space="0" w:color="auto"/>
        <w:right w:val="none" w:sz="0" w:space="0" w:color="auto"/>
      </w:divBdr>
      <w:divsChild>
        <w:div w:id="912853042">
          <w:marLeft w:val="0"/>
          <w:marRight w:val="0"/>
          <w:marTop w:val="0"/>
          <w:marBottom w:val="0"/>
          <w:divBdr>
            <w:top w:val="none" w:sz="0" w:space="0" w:color="auto"/>
            <w:left w:val="none" w:sz="0" w:space="0" w:color="auto"/>
            <w:bottom w:val="none" w:sz="0" w:space="0" w:color="auto"/>
            <w:right w:val="none" w:sz="0" w:space="0" w:color="auto"/>
          </w:divBdr>
          <w:divsChild>
            <w:div w:id="1913157735">
              <w:marLeft w:val="0"/>
              <w:marRight w:val="0"/>
              <w:marTop w:val="0"/>
              <w:marBottom w:val="0"/>
              <w:divBdr>
                <w:top w:val="none" w:sz="0" w:space="0" w:color="auto"/>
                <w:left w:val="none" w:sz="0" w:space="0" w:color="auto"/>
                <w:bottom w:val="none" w:sz="0" w:space="0" w:color="auto"/>
                <w:right w:val="none" w:sz="0" w:space="0" w:color="auto"/>
              </w:divBdr>
              <w:divsChild>
                <w:div w:id="166030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629975">
      <w:bodyDiv w:val="1"/>
      <w:marLeft w:val="0"/>
      <w:marRight w:val="0"/>
      <w:marTop w:val="0"/>
      <w:marBottom w:val="0"/>
      <w:divBdr>
        <w:top w:val="none" w:sz="0" w:space="0" w:color="auto"/>
        <w:left w:val="none" w:sz="0" w:space="0" w:color="auto"/>
        <w:bottom w:val="none" w:sz="0" w:space="0" w:color="auto"/>
        <w:right w:val="none" w:sz="0" w:space="0" w:color="auto"/>
      </w:divBdr>
      <w:divsChild>
        <w:div w:id="422261820">
          <w:marLeft w:val="0"/>
          <w:marRight w:val="0"/>
          <w:marTop w:val="0"/>
          <w:marBottom w:val="0"/>
          <w:divBdr>
            <w:top w:val="none" w:sz="0" w:space="0" w:color="auto"/>
            <w:left w:val="none" w:sz="0" w:space="0" w:color="auto"/>
            <w:bottom w:val="none" w:sz="0" w:space="0" w:color="auto"/>
            <w:right w:val="none" w:sz="0" w:space="0" w:color="auto"/>
          </w:divBdr>
          <w:divsChild>
            <w:div w:id="875121046">
              <w:marLeft w:val="0"/>
              <w:marRight w:val="0"/>
              <w:marTop w:val="0"/>
              <w:marBottom w:val="0"/>
              <w:divBdr>
                <w:top w:val="none" w:sz="0" w:space="0" w:color="auto"/>
                <w:left w:val="none" w:sz="0" w:space="0" w:color="auto"/>
                <w:bottom w:val="none" w:sz="0" w:space="0" w:color="auto"/>
                <w:right w:val="none" w:sz="0" w:space="0" w:color="auto"/>
              </w:divBdr>
              <w:divsChild>
                <w:div w:id="29703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665845">
      <w:bodyDiv w:val="1"/>
      <w:marLeft w:val="0"/>
      <w:marRight w:val="0"/>
      <w:marTop w:val="0"/>
      <w:marBottom w:val="0"/>
      <w:divBdr>
        <w:top w:val="none" w:sz="0" w:space="0" w:color="auto"/>
        <w:left w:val="none" w:sz="0" w:space="0" w:color="auto"/>
        <w:bottom w:val="none" w:sz="0" w:space="0" w:color="auto"/>
        <w:right w:val="none" w:sz="0" w:space="0" w:color="auto"/>
      </w:divBdr>
    </w:div>
    <w:div w:id="1770276370">
      <w:bodyDiv w:val="1"/>
      <w:marLeft w:val="0"/>
      <w:marRight w:val="0"/>
      <w:marTop w:val="0"/>
      <w:marBottom w:val="0"/>
      <w:divBdr>
        <w:top w:val="none" w:sz="0" w:space="0" w:color="auto"/>
        <w:left w:val="none" w:sz="0" w:space="0" w:color="auto"/>
        <w:bottom w:val="none" w:sz="0" w:space="0" w:color="auto"/>
        <w:right w:val="none" w:sz="0" w:space="0" w:color="auto"/>
      </w:divBdr>
      <w:divsChild>
        <w:div w:id="1085766727">
          <w:marLeft w:val="0"/>
          <w:marRight w:val="0"/>
          <w:marTop w:val="0"/>
          <w:marBottom w:val="0"/>
          <w:divBdr>
            <w:top w:val="none" w:sz="0" w:space="0" w:color="auto"/>
            <w:left w:val="none" w:sz="0" w:space="0" w:color="auto"/>
            <w:bottom w:val="none" w:sz="0" w:space="0" w:color="auto"/>
            <w:right w:val="none" w:sz="0" w:space="0" w:color="auto"/>
          </w:divBdr>
          <w:divsChild>
            <w:div w:id="601189158">
              <w:marLeft w:val="0"/>
              <w:marRight w:val="0"/>
              <w:marTop w:val="0"/>
              <w:marBottom w:val="0"/>
              <w:divBdr>
                <w:top w:val="none" w:sz="0" w:space="0" w:color="auto"/>
                <w:left w:val="none" w:sz="0" w:space="0" w:color="auto"/>
                <w:bottom w:val="none" w:sz="0" w:space="0" w:color="auto"/>
                <w:right w:val="none" w:sz="0" w:space="0" w:color="auto"/>
              </w:divBdr>
              <w:divsChild>
                <w:div w:id="3504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662719">
      <w:bodyDiv w:val="1"/>
      <w:marLeft w:val="0"/>
      <w:marRight w:val="0"/>
      <w:marTop w:val="0"/>
      <w:marBottom w:val="0"/>
      <w:divBdr>
        <w:top w:val="none" w:sz="0" w:space="0" w:color="auto"/>
        <w:left w:val="none" w:sz="0" w:space="0" w:color="auto"/>
        <w:bottom w:val="none" w:sz="0" w:space="0" w:color="auto"/>
        <w:right w:val="none" w:sz="0" w:space="0" w:color="auto"/>
      </w:divBdr>
      <w:divsChild>
        <w:div w:id="986208528">
          <w:marLeft w:val="0"/>
          <w:marRight w:val="0"/>
          <w:marTop w:val="0"/>
          <w:marBottom w:val="0"/>
          <w:divBdr>
            <w:top w:val="none" w:sz="0" w:space="0" w:color="auto"/>
            <w:left w:val="none" w:sz="0" w:space="0" w:color="auto"/>
            <w:bottom w:val="none" w:sz="0" w:space="0" w:color="auto"/>
            <w:right w:val="none" w:sz="0" w:space="0" w:color="auto"/>
          </w:divBdr>
          <w:divsChild>
            <w:div w:id="2145466153">
              <w:marLeft w:val="0"/>
              <w:marRight w:val="0"/>
              <w:marTop w:val="0"/>
              <w:marBottom w:val="0"/>
              <w:divBdr>
                <w:top w:val="none" w:sz="0" w:space="0" w:color="auto"/>
                <w:left w:val="none" w:sz="0" w:space="0" w:color="auto"/>
                <w:bottom w:val="none" w:sz="0" w:space="0" w:color="auto"/>
                <w:right w:val="none" w:sz="0" w:space="0" w:color="auto"/>
              </w:divBdr>
              <w:divsChild>
                <w:div w:id="16108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3113">
      <w:bodyDiv w:val="1"/>
      <w:marLeft w:val="0"/>
      <w:marRight w:val="0"/>
      <w:marTop w:val="0"/>
      <w:marBottom w:val="0"/>
      <w:divBdr>
        <w:top w:val="none" w:sz="0" w:space="0" w:color="auto"/>
        <w:left w:val="none" w:sz="0" w:space="0" w:color="auto"/>
        <w:bottom w:val="none" w:sz="0" w:space="0" w:color="auto"/>
        <w:right w:val="none" w:sz="0" w:space="0" w:color="auto"/>
      </w:divBdr>
    </w:div>
    <w:div w:id="1816557841">
      <w:bodyDiv w:val="1"/>
      <w:marLeft w:val="0"/>
      <w:marRight w:val="0"/>
      <w:marTop w:val="0"/>
      <w:marBottom w:val="0"/>
      <w:divBdr>
        <w:top w:val="none" w:sz="0" w:space="0" w:color="auto"/>
        <w:left w:val="none" w:sz="0" w:space="0" w:color="auto"/>
        <w:bottom w:val="none" w:sz="0" w:space="0" w:color="auto"/>
        <w:right w:val="none" w:sz="0" w:space="0" w:color="auto"/>
      </w:divBdr>
    </w:div>
    <w:div w:id="1840196841">
      <w:bodyDiv w:val="1"/>
      <w:marLeft w:val="0"/>
      <w:marRight w:val="0"/>
      <w:marTop w:val="0"/>
      <w:marBottom w:val="0"/>
      <w:divBdr>
        <w:top w:val="none" w:sz="0" w:space="0" w:color="auto"/>
        <w:left w:val="none" w:sz="0" w:space="0" w:color="auto"/>
        <w:bottom w:val="none" w:sz="0" w:space="0" w:color="auto"/>
        <w:right w:val="none" w:sz="0" w:space="0" w:color="auto"/>
      </w:divBdr>
    </w:div>
    <w:div w:id="1861550136">
      <w:bodyDiv w:val="1"/>
      <w:marLeft w:val="0"/>
      <w:marRight w:val="0"/>
      <w:marTop w:val="0"/>
      <w:marBottom w:val="0"/>
      <w:divBdr>
        <w:top w:val="none" w:sz="0" w:space="0" w:color="auto"/>
        <w:left w:val="none" w:sz="0" w:space="0" w:color="auto"/>
        <w:bottom w:val="none" w:sz="0" w:space="0" w:color="auto"/>
        <w:right w:val="none" w:sz="0" w:space="0" w:color="auto"/>
      </w:divBdr>
      <w:divsChild>
        <w:div w:id="667632811">
          <w:marLeft w:val="0"/>
          <w:marRight w:val="0"/>
          <w:marTop w:val="0"/>
          <w:marBottom w:val="0"/>
          <w:divBdr>
            <w:top w:val="none" w:sz="0" w:space="0" w:color="auto"/>
            <w:left w:val="none" w:sz="0" w:space="0" w:color="auto"/>
            <w:bottom w:val="none" w:sz="0" w:space="0" w:color="auto"/>
            <w:right w:val="none" w:sz="0" w:space="0" w:color="auto"/>
          </w:divBdr>
          <w:divsChild>
            <w:div w:id="125314822">
              <w:marLeft w:val="0"/>
              <w:marRight w:val="0"/>
              <w:marTop w:val="0"/>
              <w:marBottom w:val="0"/>
              <w:divBdr>
                <w:top w:val="none" w:sz="0" w:space="0" w:color="auto"/>
                <w:left w:val="none" w:sz="0" w:space="0" w:color="auto"/>
                <w:bottom w:val="none" w:sz="0" w:space="0" w:color="auto"/>
                <w:right w:val="none" w:sz="0" w:space="0" w:color="auto"/>
              </w:divBdr>
              <w:divsChild>
                <w:div w:id="102787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52123">
      <w:bodyDiv w:val="1"/>
      <w:marLeft w:val="0"/>
      <w:marRight w:val="0"/>
      <w:marTop w:val="0"/>
      <w:marBottom w:val="0"/>
      <w:divBdr>
        <w:top w:val="none" w:sz="0" w:space="0" w:color="auto"/>
        <w:left w:val="none" w:sz="0" w:space="0" w:color="auto"/>
        <w:bottom w:val="none" w:sz="0" w:space="0" w:color="auto"/>
        <w:right w:val="none" w:sz="0" w:space="0" w:color="auto"/>
      </w:divBdr>
      <w:divsChild>
        <w:div w:id="523204609">
          <w:marLeft w:val="0"/>
          <w:marRight w:val="0"/>
          <w:marTop w:val="0"/>
          <w:marBottom w:val="0"/>
          <w:divBdr>
            <w:top w:val="none" w:sz="0" w:space="0" w:color="auto"/>
            <w:left w:val="none" w:sz="0" w:space="0" w:color="auto"/>
            <w:bottom w:val="none" w:sz="0" w:space="0" w:color="auto"/>
            <w:right w:val="none" w:sz="0" w:space="0" w:color="auto"/>
          </w:divBdr>
          <w:divsChild>
            <w:div w:id="2086871877">
              <w:marLeft w:val="0"/>
              <w:marRight w:val="0"/>
              <w:marTop w:val="0"/>
              <w:marBottom w:val="0"/>
              <w:divBdr>
                <w:top w:val="none" w:sz="0" w:space="0" w:color="auto"/>
                <w:left w:val="none" w:sz="0" w:space="0" w:color="auto"/>
                <w:bottom w:val="none" w:sz="0" w:space="0" w:color="auto"/>
                <w:right w:val="none" w:sz="0" w:space="0" w:color="auto"/>
              </w:divBdr>
              <w:divsChild>
                <w:div w:id="69928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213065">
      <w:bodyDiv w:val="1"/>
      <w:marLeft w:val="0"/>
      <w:marRight w:val="0"/>
      <w:marTop w:val="0"/>
      <w:marBottom w:val="0"/>
      <w:divBdr>
        <w:top w:val="none" w:sz="0" w:space="0" w:color="auto"/>
        <w:left w:val="none" w:sz="0" w:space="0" w:color="auto"/>
        <w:bottom w:val="none" w:sz="0" w:space="0" w:color="auto"/>
        <w:right w:val="none" w:sz="0" w:space="0" w:color="auto"/>
      </w:divBdr>
    </w:div>
    <w:div w:id="1943802661">
      <w:bodyDiv w:val="1"/>
      <w:marLeft w:val="0"/>
      <w:marRight w:val="0"/>
      <w:marTop w:val="0"/>
      <w:marBottom w:val="0"/>
      <w:divBdr>
        <w:top w:val="none" w:sz="0" w:space="0" w:color="auto"/>
        <w:left w:val="none" w:sz="0" w:space="0" w:color="auto"/>
        <w:bottom w:val="none" w:sz="0" w:space="0" w:color="auto"/>
        <w:right w:val="none" w:sz="0" w:space="0" w:color="auto"/>
      </w:divBdr>
    </w:div>
    <w:div w:id="1948999507">
      <w:bodyDiv w:val="1"/>
      <w:marLeft w:val="0"/>
      <w:marRight w:val="0"/>
      <w:marTop w:val="0"/>
      <w:marBottom w:val="0"/>
      <w:divBdr>
        <w:top w:val="none" w:sz="0" w:space="0" w:color="auto"/>
        <w:left w:val="none" w:sz="0" w:space="0" w:color="auto"/>
        <w:bottom w:val="none" w:sz="0" w:space="0" w:color="auto"/>
        <w:right w:val="none" w:sz="0" w:space="0" w:color="auto"/>
      </w:divBdr>
      <w:divsChild>
        <w:div w:id="127478436">
          <w:marLeft w:val="0"/>
          <w:marRight w:val="0"/>
          <w:marTop w:val="0"/>
          <w:marBottom w:val="0"/>
          <w:divBdr>
            <w:top w:val="none" w:sz="0" w:space="0" w:color="auto"/>
            <w:left w:val="none" w:sz="0" w:space="0" w:color="auto"/>
            <w:bottom w:val="none" w:sz="0" w:space="0" w:color="auto"/>
            <w:right w:val="none" w:sz="0" w:space="0" w:color="auto"/>
          </w:divBdr>
          <w:divsChild>
            <w:div w:id="498934206">
              <w:marLeft w:val="0"/>
              <w:marRight w:val="0"/>
              <w:marTop w:val="0"/>
              <w:marBottom w:val="0"/>
              <w:divBdr>
                <w:top w:val="none" w:sz="0" w:space="0" w:color="auto"/>
                <w:left w:val="none" w:sz="0" w:space="0" w:color="auto"/>
                <w:bottom w:val="none" w:sz="0" w:space="0" w:color="auto"/>
                <w:right w:val="none" w:sz="0" w:space="0" w:color="auto"/>
              </w:divBdr>
              <w:divsChild>
                <w:div w:id="96778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566497">
      <w:bodyDiv w:val="1"/>
      <w:marLeft w:val="0"/>
      <w:marRight w:val="0"/>
      <w:marTop w:val="0"/>
      <w:marBottom w:val="0"/>
      <w:divBdr>
        <w:top w:val="none" w:sz="0" w:space="0" w:color="auto"/>
        <w:left w:val="none" w:sz="0" w:space="0" w:color="auto"/>
        <w:bottom w:val="none" w:sz="0" w:space="0" w:color="auto"/>
        <w:right w:val="none" w:sz="0" w:space="0" w:color="auto"/>
      </w:divBdr>
      <w:divsChild>
        <w:div w:id="1565487502">
          <w:marLeft w:val="0"/>
          <w:marRight w:val="0"/>
          <w:marTop w:val="0"/>
          <w:marBottom w:val="0"/>
          <w:divBdr>
            <w:top w:val="none" w:sz="0" w:space="0" w:color="auto"/>
            <w:left w:val="none" w:sz="0" w:space="0" w:color="auto"/>
            <w:bottom w:val="none" w:sz="0" w:space="0" w:color="auto"/>
            <w:right w:val="none" w:sz="0" w:space="0" w:color="auto"/>
          </w:divBdr>
          <w:divsChild>
            <w:div w:id="1632596332">
              <w:marLeft w:val="0"/>
              <w:marRight w:val="0"/>
              <w:marTop w:val="0"/>
              <w:marBottom w:val="0"/>
              <w:divBdr>
                <w:top w:val="none" w:sz="0" w:space="0" w:color="auto"/>
                <w:left w:val="none" w:sz="0" w:space="0" w:color="auto"/>
                <w:bottom w:val="none" w:sz="0" w:space="0" w:color="auto"/>
                <w:right w:val="none" w:sz="0" w:space="0" w:color="auto"/>
              </w:divBdr>
              <w:divsChild>
                <w:div w:id="109794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378130">
      <w:bodyDiv w:val="1"/>
      <w:marLeft w:val="0"/>
      <w:marRight w:val="0"/>
      <w:marTop w:val="0"/>
      <w:marBottom w:val="0"/>
      <w:divBdr>
        <w:top w:val="none" w:sz="0" w:space="0" w:color="auto"/>
        <w:left w:val="none" w:sz="0" w:space="0" w:color="auto"/>
        <w:bottom w:val="none" w:sz="0" w:space="0" w:color="auto"/>
        <w:right w:val="none" w:sz="0" w:space="0" w:color="auto"/>
      </w:divBdr>
      <w:divsChild>
        <w:div w:id="1138887036">
          <w:marLeft w:val="0"/>
          <w:marRight w:val="0"/>
          <w:marTop w:val="0"/>
          <w:marBottom w:val="0"/>
          <w:divBdr>
            <w:top w:val="none" w:sz="0" w:space="0" w:color="auto"/>
            <w:left w:val="none" w:sz="0" w:space="0" w:color="auto"/>
            <w:bottom w:val="none" w:sz="0" w:space="0" w:color="auto"/>
            <w:right w:val="none" w:sz="0" w:space="0" w:color="auto"/>
          </w:divBdr>
          <w:divsChild>
            <w:div w:id="392697026">
              <w:marLeft w:val="0"/>
              <w:marRight w:val="0"/>
              <w:marTop w:val="0"/>
              <w:marBottom w:val="0"/>
              <w:divBdr>
                <w:top w:val="none" w:sz="0" w:space="0" w:color="auto"/>
                <w:left w:val="none" w:sz="0" w:space="0" w:color="auto"/>
                <w:bottom w:val="none" w:sz="0" w:space="0" w:color="auto"/>
                <w:right w:val="none" w:sz="0" w:space="0" w:color="auto"/>
              </w:divBdr>
              <w:divsChild>
                <w:div w:id="1700350521">
                  <w:marLeft w:val="0"/>
                  <w:marRight w:val="0"/>
                  <w:marTop w:val="0"/>
                  <w:marBottom w:val="0"/>
                  <w:divBdr>
                    <w:top w:val="none" w:sz="0" w:space="0" w:color="auto"/>
                    <w:left w:val="none" w:sz="0" w:space="0" w:color="auto"/>
                    <w:bottom w:val="none" w:sz="0" w:space="0" w:color="auto"/>
                    <w:right w:val="none" w:sz="0" w:space="0" w:color="auto"/>
                  </w:divBdr>
                  <w:divsChild>
                    <w:div w:id="38687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584142">
              <w:marLeft w:val="0"/>
              <w:marRight w:val="0"/>
              <w:marTop w:val="0"/>
              <w:marBottom w:val="0"/>
              <w:divBdr>
                <w:top w:val="none" w:sz="0" w:space="0" w:color="auto"/>
                <w:left w:val="none" w:sz="0" w:space="0" w:color="auto"/>
                <w:bottom w:val="none" w:sz="0" w:space="0" w:color="auto"/>
                <w:right w:val="none" w:sz="0" w:space="0" w:color="auto"/>
              </w:divBdr>
              <w:divsChild>
                <w:div w:id="142137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730951">
      <w:bodyDiv w:val="1"/>
      <w:marLeft w:val="0"/>
      <w:marRight w:val="0"/>
      <w:marTop w:val="0"/>
      <w:marBottom w:val="0"/>
      <w:divBdr>
        <w:top w:val="none" w:sz="0" w:space="0" w:color="auto"/>
        <w:left w:val="none" w:sz="0" w:space="0" w:color="auto"/>
        <w:bottom w:val="none" w:sz="0" w:space="0" w:color="auto"/>
        <w:right w:val="none" w:sz="0" w:space="0" w:color="auto"/>
      </w:divBdr>
    </w:div>
    <w:div w:id="2022929243">
      <w:bodyDiv w:val="1"/>
      <w:marLeft w:val="0"/>
      <w:marRight w:val="0"/>
      <w:marTop w:val="0"/>
      <w:marBottom w:val="0"/>
      <w:divBdr>
        <w:top w:val="none" w:sz="0" w:space="0" w:color="auto"/>
        <w:left w:val="none" w:sz="0" w:space="0" w:color="auto"/>
        <w:bottom w:val="none" w:sz="0" w:space="0" w:color="auto"/>
        <w:right w:val="none" w:sz="0" w:space="0" w:color="auto"/>
      </w:divBdr>
    </w:div>
    <w:div w:id="2025472710">
      <w:bodyDiv w:val="1"/>
      <w:marLeft w:val="0"/>
      <w:marRight w:val="0"/>
      <w:marTop w:val="0"/>
      <w:marBottom w:val="0"/>
      <w:divBdr>
        <w:top w:val="none" w:sz="0" w:space="0" w:color="auto"/>
        <w:left w:val="none" w:sz="0" w:space="0" w:color="auto"/>
        <w:bottom w:val="none" w:sz="0" w:space="0" w:color="auto"/>
        <w:right w:val="none" w:sz="0" w:space="0" w:color="auto"/>
      </w:divBdr>
    </w:div>
    <w:div w:id="2025938117">
      <w:bodyDiv w:val="1"/>
      <w:marLeft w:val="0"/>
      <w:marRight w:val="0"/>
      <w:marTop w:val="0"/>
      <w:marBottom w:val="0"/>
      <w:divBdr>
        <w:top w:val="none" w:sz="0" w:space="0" w:color="auto"/>
        <w:left w:val="none" w:sz="0" w:space="0" w:color="auto"/>
        <w:bottom w:val="none" w:sz="0" w:space="0" w:color="auto"/>
        <w:right w:val="none" w:sz="0" w:space="0" w:color="auto"/>
      </w:divBdr>
    </w:div>
    <w:div w:id="2031949609">
      <w:bodyDiv w:val="1"/>
      <w:marLeft w:val="0"/>
      <w:marRight w:val="0"/>
      <w:marTop w:val="0"/>
      <w:marBottom w:val="0"/>
      <w:divBdr>
        <w:top w:val="none" w:sz="0" w:space="0" w:color="auto"/>
        <w:left w:val="none" w:sz="0" w:space="0" w:color="auto"/>
        <w:bottom w:val="none" w:sz="0" w:space="0" w:color="auto"/>
        <w:right w:val="none" w:sz="0" w:space="0" w:color="auto"/>
      </w:divBdr>
      <w:divsChild>
        <w:div w:id="1332560023">
          <w:marLeft w:val="0"/>
          <w:marRight w:val="0"/>
          <w:marTop w:val="0"/>
          <w:marBottom w:val="0"/>
          <w:divBdr>
            <w:top w:val="none" w:sz="0" w:space="0" w:color="auto"/>
            <w:left w:val="none" w:sz="0" w:space="0" w:color="auto"/>
            <w:bottom w:val="none" w:sz="0" w:space="0" w:color="auto"/>
            <w:right w:val="none" w:sz="0" w:space="0" w:color="auto"/>
          </w:divBdr>
          <w:divsChild>
            <w:div w:id="275868462">
              <w:marLeft w:val="0"/>
              <w:marRight w:val="0"/>
              <w:marTop w:val="0"/>
              <w:marBottom w:val="0"/>
              <w:divBdr>
                <w:top w:val="none" w:sz="0" w:space="0" w:color="auto"/>
                <w:left w:val="none" w:sz="0" w:space="0" w:color="auto"/>
                <w:bottom w:val="none" w:sz="0" w:space="0" w:color="auto"/>
                <w:right w:val="none" w:sz="0" w:space="0" w:color="auto"/>
              </w:divBdr>
              <w:divsChild>
                <w:div w:id="81804433">
                  <w:marLeft w:val="0"/>
                  <w:marRight w:val="0"/>
                  <w:marTop w:val="0"/>
                  <w:marBottom w:val="0"/>
                  <w:divBdr>
                    <w:top w:val="none" w:sz="0" w:space="0" w:color="auto"/>
                    <w:left w:val="none" w:sz="0" w:space="0" w:color="auto"/>
                    <w:bottom w:val="none" w:sz="0" w:space="0" w:color="auto"/>
                    <w:right w:val="none" w:sz="0" w:space="0" w:color="auto"/>
                  </w:divBdr>
                  <w:divsChild>
                    <w:div w:id="76631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35052">
              <w:marLeft w:val="0"/>
              <w:marRight w:val="0"/>
              <w:marTop w:val="0"/>
              <w:marBottom w:val="0"/>
              <w:divBdr>
                <w:top w:val="none" w:sz="0" w:space="0" w:color="auto"/>
                <w:left w:val="none" w:sz="0" w:space="0" w:color="auto"/>
                <w:bottom w:val="none" w:sz="0" w:space="0" w:color="auto"/>
                <w:right w:val="none" w:sz="0" w:space="0" w:color="auto"/>
              </w:divBdr>
              <w:divsChild>
                <w:div w:id="199120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535411">
      <w:bodyDiv w:val="1"/>
      <w:marLeft w:val="0"/>
      <w:marRight w:val="0"/>
      <w:marTop w:val="0"/>
      <w:marBottom w:val="0"/>
      <w:divBdr>
        <w:top w:val="none" w:sz="0" w:space="0" w:color="auto"/>
        <w:left w:val="none" w:sz="0" w:space="0" w:color="auto"/>
        <w:bottom w:val="none" w:sz="0" w:space="0" w:color="auto"/>
        <w:right w:val="none" w:sz="0" w:space="0" w:color="auto"/>
      </w:divBdr>
      <w:divsChild>
        <w:div w:id="1491017893">
          <w:marLeft w:val="0"/>
          <w:marRight w:val="0"/>
          <w:marTop w:val="0"/>
          <w:marBottom w:val="0"/>
          <w:divBdr>
            <w:top w:val="none" w:sz="0" w:space="0" w:color="auto"/>
            <w:left w:val="none" w:sz="0" w:space="0" w:color="auto"/>
            <w:bottom w:val="none" w:sz="0" w:space="0" w:color="auto"/>
            <w:right w:val="none" w:sz="0" w:space="0" w:color="auto"/>
          </w:divBdr>
          <w:divsChild>
            <w:div w:id="463624116">
              <w:marLeft w:val="0"/>
              <w:marRight w:val="0"/>
              <w:marTop w:val="0"/>
              <w:marBottom w:val="0"/>
              <w:divBdr>
                <w:top w:val="none" w:sz="0" w:space="0" w:color="auto"/>
                <w:left w:val="none" w:sz="0" w:space="0" w:color="auto"/>
                <w:bottom w:val="none" w:sz="0" w:space="0" w:color="auto"/>
                <w:right w:val="none" w:sz="0" w:space="0" w:color="auto"/>
              </w:divBdr>
              <w:divsChild>
                <w:div w:id="2027054708">
                  <w:marLeft w:val="0"/>
                  <w:marRight w:val="0"/>
                  <w:marTop w:val="0"/>
                  <w:marBottom w:val="0"/>
                  <w:divBdr>
                    <w:top w:val="none" w:sz="0" w:space="0" w:color="auto"/>
                    <w:left w:val="none" w:sz="0" w:space="0" w:color="auto"/>
                    <w:bottom w:val="none" w:sz="0" w:space="0" w:color="auto"/>
                    <w:right w:val="none" w:sz="0" w:space="0" w:color="auto"/>
                  </w:divBdr>
                </w:div>
              </w:divsChild>
            </w:div>
            <w:div w:id="940380848">
              <w:marLeft w:val="0"/>
              <w:marRight w:val="0"/>
              <w:marTop w:val="0"/>
              <w:marBottom w:val="0"/>
              <w:divBdr>
                <w:top w:val="none" w:sz="0" w:space="0" w:color="auto"/>
                <w:left w:val="none" w:sz="0" w:space="0" w:color="auto"/>
                <w:bottom w:val="none" w:sz="0" w:space="0" w:color="auto"/>
                <w:right w:val="none" w:sz="0" w:space="0" w:color="auto"/>
              </w:divBdr>
              <w:divsChild>
                <w:div w:id="134316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682532">
      <w:bodyDiv w:val="1"/>
      <w:marLeft w:val="0"/>
      <w:marRight w:val="0"/>
      <w:marTop w:val="0"/>
      <w:marBottom w:val="0"/>
      <w:divBdr>
        <w:top w:val="none" w:sz="0" w:space="0" w:color="auto"/>
        <w:left w:val="none" w:sz="0" w:space="0" w:color="auto"/>
        <w:bottom w:val="none" w:sz="0" w:space="0" w:color="auto"/>
        <w:right w:val="none" w:sz="0" w:space="0" w:color="auto"/>
      </w:divBdr>
      <w:divsChild>
        <w:div w:id="52236442">
          <w:marLeft w:val="0"/>
          <w:marRight w:val="0"/>
          <w:marTop w:val="0"/>
          <w:marBottom w:val="0"/>
          <w:divBdr>
            <w:top w:val="none" w:sz="0" w:space="0" w:color="auto"/>
            <w:left w:val="none" w:sz="0" w:space="0" w:color="auto"/>
            <w:bottom w:val="none" w:sz="0" w:space="0" w:color="auto"/>
            <w:right w:val="none" w:sz="0" w:space="0" w:color="auto"/>
          </w:divBdr>
          <w:divsChild>
            <w:div w:id="979845972">
              <w:marLeft w:val="0"/>
              <w:marRight w:val="0"/>
              <w:marTop w:val="0"/>
              <w:marBottom w:val="0"/>
              <w:divBdr>
                <w:top w:val="none" w:sz="0" w:space="0" w:color="auto"/>
                <w:left w:val="none" w:sz="0" w:space="0" w:color="auto"/>
                <w:bottom w:val="none" w:sz="0" w:space="0" w:color="auto"/>
                <w:right w:val="none" w:sz="0" w:space="0" w:color="auto"/>
              </w:divBdr>
              <w:divsChild>
                <w:div w:id="39671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294360">
          <w:marLeft w:val="0"/>
          <w:marRight w:val="0"/>
          <w:marTop w:val="0"/>
          <w:marBottom w:val="0"/>
          <w:divBdr>
            <w:top w:val="none" w:sz="0" w:space="0" w:color="auto"/>
            <w:left w:val="none" w:sz="0" w:space="0" w:color="auto"/>
            <w:bottom w:val="none" w:sz="0" w:space="0" w:color="auto"/>
            <w:right w:val="none" w:sz="0" w:space="0" w:color="auto"/>
          </w:divBdr>
          <w:divsChild>
            <w:div w:id="76365837">
              <w:marLeft w:val="0"/>
              <w:marRight w:val="0"/>
              <w:marTop w:val="0"/>
              <w:marBottom w:val="0"/>
              <w:divBdr>
                <w:top w:val="none" w:sz="0" w:space="0" w:color="auto"/>
                <w:left w:val="none" w:sz="0" w:space="0" w:color="auto"/>
                <w:bottom w:val="none" w:sz="0" w:space="0" w:color="auto"/>
                <w:right w:val="none" w:sz="0" w:space="0" w:color="auto"/>
              </w:divBdr>
              <w:divsChild>
                <w:div w:id="1990788170">
                  <w:marLeft w:val="0"/>
                  <w:marRight w:val="0"/>
                  <w:marTop w:val="0"/>
                  <w:marBottom w:val="0"/>
                  <w:divBdr>
                    <w:top w:val="none" w:sz="0" w:space="0" w:color="auto"/>
                    <w:left w:val="none" w:sz="0" w:space="0" w:color="auto"/>
                    <w:bottom w:val="none" w:sz="0" w:space="0" w:color="auto"/>
                    <w:right w:val="none" w:sz="0" w:space="0" w:color="auto"/>
                  </w:divBdr>
                </w:div>
              </w:divsChild>
            </w:div>
            <w:div w:id="222298678">
              <w:marLeft w:val="0"/>
              <w:marRight w:val="0"/>
              <w:marTop w:val="0"/>
              <w:marBottom w:val="0"/>
              <w:divBdr>
                <w:top w:val="none" w:sz="0" w:space="0" w:color="auto"/>
                <w:left w:val="none" w:sz="0" w:space="0" w:color="auto"/>
                <w:bottom w:val="none" w:sz="0" w:space="0" w:color="auto"/>
                <w:right w:val="none" w:sz="0" w:space="0" w:color="auto"/>
              </w:divBdr>
              <w:divsChild>
                <w:div w:id="147144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398735">
      <w:bodyDiv w:val="1"/>
      <w:marLeft w:val="0"/>
      <w:marRight w:val="0"/>
      <w:marTop w:val="0"/>
      <w:marBottom w:val="0"/>
      <w:divBdr>
        <w:top w:val="none" w:sz="0" w:space="0" w:color="auto"/>
        <w:left w:val="none" w:sz="0" w:space="0" w:color="auto"/>
        <w:bottom w:val="none" w:sz="0" w:space="0" w:color="auto"/>
        <w:right w:val="none" w:sz="0" w:space="0" w:color="auto"/>
      </w:divBdr>
      <w:divsChild>
        <w:div w:id="94792067">
          <w:marLeft w:val="0"/>
          <w:marRight w:val="0"/>
          <w:marTop w:val="0"/>
          <w:marBottom w:val="0"/>
          <w:divBdr>
            <w:top w:val="none" w:sz="0" w:space="0" w:color="auto"/>
            <w:left w:val="none" w:sz="0" w:space="0" w:color="auto"/>
            <w:bottom w:val="none" w:sz="0" w:space="0" w:color="auto"/>
            <w:right w:val="none" w:sz="0" w:space="0" w:color="auto"/>
          </w:divBdr>
          <w:divsChild>
            <w:div w:id="1079640181">
              <w:marLeft w:val="0"/>
              <w:marRight w:val="0"/>
              <w:marTop w:val="0"/>
              <w:marBottom w:val="0"/>
              <w:divBdr>
                <w:top w:val="none" w:sz="0" w:space="0" w:color="auto"/>
                <w:left w:val="none" w:sz="0" w:space="0" w:color="auto"/>
                <w:bottom w:val="none" w:sz="0" w:space="0" w:color="auto"/>
                <w:right w:val="none" w:sz="0" w:space="0" w:color="auto"/>
              </w:divBdr>
              <w:divsChild>
                <w:div w:id="85965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E6638-9C37-4EEE-8840-BBD7F5C57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8943</Words>
  <Characters>49187</Characters>
  <Application>Microsoft Office Word</Application>
  <DocSecurity>0</DocSecurity>
  <Lines>409</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cp:lastModifiedBy>Liliana Tojo</cp:lastModifiedBy>
  <cp:revision>2</cp:revision>
  <cp:lastPrinted>2022-09-20T16:04:00Z</cp:lastPrinted>
  <dcterms:created xsi:type="dcterms:W3CDTF">2022-09-20T20:26:00Z</dcterms:created>
  <dcterms:modified xsi:type="dcterms:W3CDTF">2022-09-20T20:26:00Z</dcterms:modified>
</cp:coreProperties>
</file>