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A38C0" w14:textId="77777777" w:rsidR="00BA5C07" w:rsidRPr="00BA5C07" w:rsidRDefault="00BA5C07" w:rsidP="00BA5C07">
      <w:pPr>
        <w:spacing w:line="276" w:lineRule="auto"/>
        <w:jc w:val="center"/>
        <w:rPr>
          <w:rFonts w:asciiTheme="majorHAnsi" w:hAnsiTheme="majorHAnsi" w:cs="Arial"/>
          <w:b/>
          <w:bCs/>
          <w:color w:val="0D0D0D" w:themeColor="text1" w:themeTint="F2"/>
          <w:sz w:val="22"/>
          <w:szCs w:val="22"/>
        </w:rPr>
      </w:pPr>
      <w:bookmarkStart w:id="0" w:name="_Toc69410053"/>
      <w:r w:rsidRPr="00BA5C07">
        <w:rPr>
          <w:rFonts w:asciiTheme="majorHAnsi" w:hAnsiTheme="majorHAnsi" w:cs="Arial"/>
          <w:b/>
          <w:bCs/>
          <w:color w:val="0D0D0D" w:themeColor="text1" w:themeTint="F2"/>
          <w:sz w:val="22"/>
          <w:szCs w:val="22"/>
        </w:rPr>
        <w:t>REPORT No. 74/21</w:t>
      </w:r>
    </w:p>
    <w:p w14:paraId="6A1FCB74" w14:textId="77777777" w:rsidR="00BA5C07" w:rsidRPr="00BA5C07" w:rsidRDefault="00BA5C07" w:rsidP="00BA5C07">
      <w:pPr>
        <w:spacing w:line="276" w:lineRule="auto"/>
        <w:jc w:val="center"/>
        <w:rPr>
          <w:rFonts w:asciiTheme="majorHAnsi" w:hAnsiTheme="majorHAnsi" w:cs="Arial"/>
          <w:b/>
          <w:color w:val="0D0D0D" w:themeColor="text1" w:themeTint="F2"/>
          <w:sz w:val="22"/>
          <w:szCs w:val="22"/>
        </w:rPr>
      </w:pPr>
      <w:r w:rsidRPr="00BA5C07">
        <w:rPr>
          <w:rFonts w:asciiTheme="majorHAnsi" w:hAnsiTheme="majorHAnsi" w:cs="Arial"/>
          <w:b/>
          <w:color w:val="0D0D0D" w:themeColor="text1" w:themeTint="F2"/>
          <w:sz w:val="22"/>
          <w:szCs w:val="22"/>
        </w:rPr>
        <w:t>CASE 13.638</w:t>
      </w:r>
    </w:p>
    <w:p w14:paraId="60CD19B3" w14:textId="2321200E" w:rsidR="00BA5C07" w:rsidRPr="00BA5C07" w:rsidRDefault="00BA5C07" w:rsidP="00BA5C07">
      <w:pPr>
        <w:spacing w:line="276" w:lineRule="auto"/>
        <w:jc w:val="center"/>
        <w:rPr>
          <w:rFonts w:asciiTheme="majorHAnsi" w:hAnsiTheme="majorHAnsi" w:cs="Arial"/>
          <w:sz w:val="22"/>
          <w:szCs w:val="22"/>
        </w:rPr>
      </w:pPr>
      <w:r w:rsidRPr="00BA5C07">
        <w:rPr>
          <w:rFonts w:asciiTheme="majorHAnsi" w:hAnsiTheme="majorHAnsi" w:cs="Arial"/>
          <w:sz w:val="22"/>
          <w:szCs w:val="22"/>
        </w:rPr>
        <w:t>REPORT ON MERITS</w:t>
      </w:r>
    </w:p>
    <w:p w14:paraId="375FCBD5" w14:textId="77777777" w:rsidR="00BA5C07" w:rsidRPr="00BA5C07" w:rsidRDefault="00BA5C07" w:rsidP="00BA5C07">
      <w:pPr>
        <w:spacing w:line="276" w:lineRule="auto"/>
        <w:jc w:val="center"/>
        <w:rPr>
          <w:rFonts w:asciiTheme="majorHAnsi" w:hAnsiTheme="majorHAnsi" w:cs="Arial"/>
          <w:color w:val="0D0D0D" w:themeColor="text1" w:themeTint="F2"/>
          <w:sz w:val="22"/>
          <w:szCs w:val="22"/>
          <w:lang w:val="es-BO"/>
        </w:rPr>
      </w:pPr>
      <w:r w:rsidRPr="00BA5C07">
        <w:rPr>
          <w:rFonts w:asciiTheme="majorHAnsi" w:hAnsiTheme="majorHAnsi" w:cs="Arial"/>
          <w:color w:val="0D0D0D" w:themeColor="text1" w:themeTint="F2"/>
          <w:sz w:val="22"/>
          <w:szCs w:val="22"/>
          <w:lang w:val="es-ES_tradnl"/>
        </w:rPr>
        <w:t>JOS</w:t>
      </w:r>
      <w:r w:rsidRPr="00BA5C07">
        <w:rPr>
          <w:rFonts w:asciiTheme="majorHAnsi" w:hAnsiTheme="majorHAnsi" w:cs="Arial"/>
          <w:color w:val="0D0D0D" w:themeColor="text1" w:themeTint="F2"/>
          <w:sz w:val="22"/>
          <w:szCs w:val="22"/>
          <w:lang w:val="es-BO"/>
        </w:rPr>
        <w:t>É ANTONIO GUTIÉRREZ NAVAS ET AL.</w:t>
      </w:r>
    </w:p>
    <w:p w14:paraId="711B821E" w14:textId="77777777" w:rsidR="00BA5C07" w:rsidRDefault="00BA5C07" w:rsidP="00BA5C07">
      <w:pPr>
        <w:spacing w:line="276" w:lineRule="auto"/>
        <w:jc w:val="center"/>
        <w:rPr>
          <w:rFonts w:asciiTheme="majorHAnsi" w:hAnsiTheme="majorHAnsi" w:cs="Arial"/>
          <w:color w:val="0D0D0D" w:themeColor="text1" w:themeTint="F2"/>
          <w:sz w:val="22"/>
          <w:szCs w:val="22"/>
          <w:lang w:val="es-BO"/>
        </w:rPr>
      </w:pPr>
      <w:r w:rsidRPr="00BA5C07">
        <w:rPr>
          <w:rFonts w:asciiTheme="majorHAnsi" w:hAnsiTheme="majorHAnsi" w:cs="Arial"/>
          <w:color w:val="0D0D0D" w:themeColor="text1" w:themeTint="F2"/>
          <w:sz w:val="22"/>
          <w:szCs w:val="22"/>
          <w:lang w:val="es-BO"/>
        </w:rPr>
        <w:t>HONDURAS</w:t>
      </w:r>
    </w:p>
    <w:p w14:paraId="475BADA3" w14:textId="77777777" w:rsidR="00BA5C07" w:rsidRPr="00BA5C07" w:rsidRDefault="00BA5C07" w:rsidP="00BA5C07">
      <w:pPr>
        <w:spacing w:line="276" w:lineRule="auto"/>
        <w:jc w:val="center"/>
        <w:rPr>
          <w:rFonts w:asciiTheme="majorHAnsi" w:hAnsiTheme="majorHAnsi" w:cs="Arial"/>
          <w:color w:val="0D0D0D" w:themeColor="text1" w:themeTint="F2"/>
          <w:sz w:val="22"/>
          <w:szCs w:val="22"/>
          <w:lang w:val="es-BO"/>
        </w:rPr>
      </w:pPr>
      <w:proofErr w:type="gramStart"/>
      <w:r w:rsidRPr="00BA5C07">
        <w:rPr>
          <w:rFonts w:asciiTheme="majorHAnsi" w:hAnsiTheme="majorHAnsi"/>
          <w:color w:val="0D0D0D" w:themeColor="text1" w:themeTint="F2"/>
          <w:sz w:val="22"/>
          <w:szCs w:val="22"/>
        </w:rPr>
        <w:t>April,</w:t>
      </w:r>
      <w:proofErr w:type="gramEnd"/>
      <w:r w:rsidRPr="00BA5C07">
        <w:rPr>
          <w:rFonts w:asciiTheme="majorHAnsi" w:hAnsiTheme="majorHAnsi"/>
          <w:color w:val="0D0D0D" w:themeColor="text1" w:themeTint="F2"/>
          <w:sz w:val="22"/>
          <w:szCs w:val="22"/>
        </w:rPr>
        <w:t xml:space="preserve"> 16, 2021</w:t>
      </w:r>
    </w:p>
    <w:p w14:paraId="300039E8" w14:textId="77777777" w:rsidR="00BA5C07" w:rsidRDefault="00BA5C07" w:rsidP="00E6692A">
      <w:pPr>
        <w:pStyle w:val="Ttulo1"/>
      </w:pPr>
    </w:p>
    <w:p w14:paraId="1C6A36B5" w14:textId="37FAEA6D" w:rsidR="00E6692A" w:rsidRDefault="00C269CB" w:rsidP="00E6692A">
      <w:pPr>
        <w:pStyle w:val="Ttulo1"/>
      </w:pPr>
      <w:r>
        <w:t>I</w:t>
      </w:r>
      <w:r w:rsidR="00E6692A">
        <w:t xml:space="preserve">. </w:t>
      </w:r>
      <w:r w:rsidR="00E6692A" w:rsidRPr="00E6692A">
        <w:t xml:space="preserve"> </w:t>
      </w:r>
      <w:r w:rsidR="00E6692A">
        <w:t>INTRODUCTION</w:t>
      </w:r>
      <w:bookmarkEnd w:id="0"/>
    </w:p>
    <w:p w14:paraId="322F405B" w14:textId="77777777" w:rsidR="00E6692A" w:rsidRPr="00E6692A" w:rsidRDefault="00E6692A" w:rsidP="00E6692A">
      <w:pPr>
        <w:rPr>
          <w:lang w:val="en" w:eastAsia="es-ES"/>
        </w:rPr>
      </w:pPr>
    </w:p>
    <w:p w14:paraId="31C184DD" w14:textId="77777777" w:rsidR="00E6692A" w:rsidRPr="00176F4A" w:rsidRDefault="00E6692A" w:rsidP="00E6692A">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ind w:left="0" w:firstLine="0"/>
        <w:jc w:val="both"/>
        <w:rPr>
          <w:rFonts w:asciiTheme="majorHAnsi" w:hAnsiTheme="majorHAnsi"/>
          <w:color w:val="000000" w:themeColor="text1"/>
          <w:sz w:val="20"/>
          <w:szCs w:val="20"/>
        </w:rPr>
      </w:pPr>
      <w:r w:rsidRPr="00176F4A">
        <w:rPr>
          <w:rFonts w:asciiTheme="majorHAnsi" w:hAnsiTheme="majorHAnsi"/>
          <w:sz w:val="20"/>
          <w:szCs w:val="20"/>
        </w:rPr>
        <w:t xml:space="preserve">On February 5, 2013, the Inter-American Commission on Human Rights (hereinafter “the Inter-American Commission,” “the Commission,” or “the IACHR”) received a petition lodged by José Antonio Gutiérrez </w:t>
      </w:r>
      <w:proofErr w:type="spellStart"/>
      <w:r w:rsidRPr="00176F4A">
        <w:rPr>
          <w:rFonts w:asciiTheme="majorHAnsi" w:hAnsiTheme="majorHAnsi"/>
          <w:sz w:val="20"/>
          <w:szCs w:val="20"/>
        </w:rPr>
        <w:t>Navas</w:t>
      </w:r>
      <w:proofErr w:type="spellEnd"/>
      <w:r w:rsidRPr="00176F4A">
        <w:rPr>
          <w:rFonts w:asciiTheme="majorHAnsi" w:hAnsiTheme="majorHAnsi"/>
          <w:sz w:val="20"/>
          <w:szCs w:val="20"/>
        </w:rPr>
        <w:t xml:space="preserve">, Rosalinda Cruz </w:t>
      </w:r>
      <w:proofErr w:type="spellStart"/>
      <w:r w:rsidRPr="00176F4A">
        <w:rPr>
          <w:rFonts w:asciiTheme="majorHAnsi" w:hAnsiTheme="majorHAnsi"/>
          <w:sz w:val="20"/>
          <w:szCs w:val="20"/>
        </w:rPr>
        <w:t>Sequeira</w:t>
      </w:r>
      <w:proofErr w:type="spellEnd"/>
      <w:r w:rsidRPr="00176F4A">
        <w:rPr>
          <w:rFonts w:asciiTheme="majorHAnsi" w:hAnsiTheme="majorHAnsi"/>
          <w:sz w:val="20"/>
          <w:szCs w:val="20"/>
        </w:rPr>
        <w:t xml:space="preserve">, José Francisco Ruiz </w:t>
      </w:r>
      <w:proofErr w:type="spellStart"/>
      <w:r w:rsidRPr="00176F4A">
        <w:rPr>
          <w:rFonts w:asciiTheme="majorHAnsi" w:hAnsiTheme="majorHAnsi"/>
          <w:sz w:val="20"/>
          <w:szCs w:val="20"/>
        </w:rPr>
        <w:t>Gaekel</w:t>
      </w:r>
      <w:proofErr w:type="spellEnd"/>
      <w:r w:rsidRPr="00176F4A">
        <w:rPr>
          <w:rFonts w:asciiTheme="majorHAnsi" w:hAnsiTheme="majorHAnsi"/>
          <w:sz w:val="20"/>
          <w:szCs w:val="20"/>
        </w:rPr>
        <w:t xml:space="preserve">, Gustavo Enrique Bustillo Palma, and the </w:t>
      </w:r>
      <w:r w:rsidRPr="00176F4A">
        <w:rPr>
          <w:rFonts w:asciiTheme="majorHAnsi" w:hAnsiTheme="majorHAnsi"/>
          <w:i/>
          <w:iCs/>
          <w:sz w:val="20"/>
          <w:szCs w:val="20"/>
        </w:rPr>
        <w:t xml:space="preserve">Centro </w:t>
      </w:r>
      <w:proofErr w:type="spellStart"/>
      <w:r w:rsidRPr="00176F4A">
        <w:rPr>
          <w:rFonts w:asciiTheme="majorHAnsi" w:hAnsiTheme="majorHAnsi"/>
          <w:i/>
          <w:iCs/>
          <w:sz w:val="20"/>
          <w:szCs w:val="20"/>
        </w:rPr>
        <w:t>Latinoamericano</w:t>
      </w:r>
      <w:proofErr w:type="spellEnd"/>
      <w:r w:rsidRPr="00176F4A">
        <w:rPr>
          <w:rFonts w:asciiTheme="majorHAnsi" w:hAnsiTheme="majorHAnsi"/>
          <w:i/>
          <w:iCs/>
          <w:sz w:val="20"/>
          <w:szCs w:val="20"/>
        </w:rPr>
        <w:t xml:space="preserve"> de Derechos Humanos</w:t>
      </w:r>
      <w:r w:rsidRPr="00176F4A">
        <w:rPr>
          <w:rFonts w:asciiTheme="majorHAnsi" w:hAnsiTheme="majorHAnsi"/>
          <w:sz w:val="20"/>
          <w:szCs w:val="20"/>
        </w:rPr>
        <w:t xml:space="preserve"> (hereinafter “the petitioners”)</w:t>
      </w:r>
      <w:r>
        <w:rPr>
          <w:rFonts w:asciiTheme="majorHAnsi" w:hAnsiTheme="majorHAnsi"/>
          <w:sz w:val="20"/>
          <w:szCs w:val="20"/>
        </w:rPr>
        <w:t xml:space="preserve"> alleging </w:t>
      </w:r>
      <w:r w:rsidRPr="00176F4A">
        <w:rPr>
          <w:rFonts w:asciiTheme="majorHAnsi" w:hAnsiTheme="majorHAnsi"/>
          <w:sz w:val="20"/>
          <w:szCs w:val="20"/>
        </w:rPr>
        <w:t xml:space="preserve">the international responsibility of Honduras (hereinafter “the Honduran State,” “the State,” or “Honduras”) to the detriment of José Antonio Gutiérrez </w:t>
      </w:r>
      <w:proofErr w:type="spellStart"/>
      <w:r w:rsidRPr="00176F4A">
        <w:rPr>
          <w:rFonts w:asciiTheme="majorHAnsi" w:hAnsiTheme="majorHAnsi"/>
          <w:sz w:val="20"/>
          <w:szCs w:val="20"/>
        </w:rPr>
        <w:t>Navas</w:t>
      </w:r>
      <w:proofErr w:type="spellEnd"/>
      <w:r w:rsidRPr="00176F4A">
        <w:rPr>
          <w:rFonts w:asciiTheme="majorHAnsi" w:hAnsiTheme="majorHAnsi"/>
          <w:sz w:val="20"/>
          <w:szCs w:val="20"/>
        </w:rPr>
        <w:t xml:space="preserve">, Rosalinda Cruz </w:t>
      </w:r>
      <w:proofErr w:type="spellStart"/>
      <w:r w:rsidRPr="00176F4A">
        <w:rPr>
          <w:rFonts w:asciiTheme="majorHAnsi" w:hAnsiTheme="majorHAnsi"/>
          <w:sz w:val="20"/>
          <w:szCs w:val="20"/>
        </w:rPr>
        <w:t>Sequeira</w:t>
      </w:r>
      <w:proofErr w:type="spellEnd"/>
      <w:r w:rsidRPr="00176F4A">
        <w:rPr>
          <w:rFonts w:asciiTheme="majorHAnsi" w:hAnsiTheme="majorHAnsi"/>
          <w:sz w:val="20"/>
          <w:szCs w:val="20"/>
        </w:rPr>
        <w:t xml:space="preserve">, José Francisco Ruiz </w:t>
      </w:r>
      <w:proofErr w:type="spellStart"/>
      <w:r w:rsidRPr="00176F4A">
        <w:rPr>
          <w:rFonts w:asciiTheme="majorHAnsi" w:hAnsiTheme="majorHAnsi"/>
          <w:sz w:val="20"/>
          <w:szCs w:val="20"/>
        </w:rPr>
        <w:t>Gaekel</w:t>
      </w:r>
      <w:proofErr w:type="spellEnd"/>
      <w:r w:rsidRPr="00176F4A">
        <w:rPr>
          <w:rFonts w:asciiTheme="majorHAnsi" w:hAnsiTheme="majorHAnsi"/>
          <w:sz w:val="20"/>
          <w:szCs w:val="20"/>
        </w:rPr>
        <w:t>, and Gustavo Enrique Bustillo Palma (hereinafter “the alleged victims”) for their purported arbitrary and illegal removal from office as justices of the Constitutional Chamber of the Supreme Court</w:t>
      </w:r>
      <w:r>
        <w:rPr>
          <w:rFonts w:asciiTheme="majorHAnsi" w:hAnsiTheme="majorHAnsi"/>
          <w:sz w:val="20"/>
          <w:szCs w:val="20"/>
        </w:rPr>
        <w:t xml:space="preserve"> of Justice</w:t>
      </w:r>
      <w:r w:rsidRPr="00176F4A">
        <w:rPr>
          <w:rFonts w:asciiTheme="majorHAnsi" w:hAnsiTheme="majorHAnsi"/>
          <w:sz w:val="20"/>
          <w:szCs w:val="20"/>
        </w:rPr>
        <w:t xml:space="preserve">, in an act of political retaliation by the Honduran National Congress. </w:t>
      </w:r>
    </w:p>
    <w:p w14:paraId="6812D438" w14:textId="77777777" w:rsidR="00E6692A" w:rsidRPr="00176F4A" w:rsidRDefault="00E6692A" w:rsidP="00E6692A">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jc w:val="both"/>
        <w:rPr>
          <w:rFonts w:asciiTheme="majorHAnsi" w:hAnsiTheme="majorHAnsi"/>
          <w:color w:val="000000" w:themeColor="text1"/>
          <w:sz w:val="20"/>
          <w:szCs w:val="20"/>
        </w:rPr>
      </w:pPr>
    </w:p>
    <w:p w14:paraId="3564628E" w14:textId="6A5C1A11" w:rsidR="00E6692A" w:rsidRPr="00E6692A" w:rsidRDefault="00E6692A" w:rsidP="00E6692A">
      <w:pPr>
        <w:pStyle w:val="parrafos"/>
        <w:rPr>
          <w:lang w:val="en-US"/>
        </w:rPr>
      </w:pPr>
      <w:r w:rsidRPr="00176F4A">
        <w:rPr>
          <w:lang w:val="en-US"/>
        </w:rPr>
        <w:t xml:space="preserve">The Commission approved Admissibility Report No. 83/18 </w:t>
      </w:r>
      <w:r w:rsidRPr="00F7005E">
        <w:rPr>
          <w:lang w:val="en-US"/>
        </w:rPr>
        <w:t>o</w:t>
      </w:r>
      <w:r>
        <w:rPr>
          <w:lang w:val="en-US"/>
        </w:rPr>
        <w:t>n</w:t>
      </w:r>
      <w:r w:rsidRPr="00F7005E">
        <w:rPr>
          <w:lang w:val="en-US"/>
        </w:rPr>
        <w:t xml:space="preserve"> July</w:t>
      </w:r>
      <w:r w:rsidRPr="00176F4A">
        <w:rPr>
          <w:lang w:val="en-US"/>
        </w:rPr>
        <w:t xml:space="preserve"> 17</w:t>
      </w:r>
      <w:r w:rsidRPr="00F7005E">
        <w:rPr>
          <w:lang w:val="en-US"/>
        </w:rPr>
        <w:t xml:space="preserve">, </w:t>
      </w:r>
      <w:r w:rsidRPr="00176F4A">
        <w:rPr>
          <w:lang w:val="en-US"/>
        </w:rPr>
        <w:t>2018</w:t>
      </w:r>
      <w:r w:rsidRPr="00F7005E">
        <w:rPr>
          <w:lang w:val="en-US"/>
        </w:rPr>
        <w:t>.</w:t>
      </w:r>
      <w:r w:rsidRPr="00836EFD">
        <w:rPr>
          <w:rStyle w:val="Refdenotaalpie"/>
        </w:rPr>
        <w:footnoteReference w:id="2"/>
      </w:r>
      <w:r w:rsidRPr="00176F4A">
        <w:rPr>
          <w:lang w:val="en-US"/>
        </w:rPr>
        <w:t xml:space="preserve"> </w:t>
      </w:r>
      <w:r w:rsidRPr="00F7005E">
        <w:rPr>
          <w:lang w:val="en-US"/>
        </w:rPr>
        <w:t>On July 20, 2018, the Commission notified the parties of the report and</w:t>
      </w:r>
      <w:r w:rsidRPr="00F7005E">
        <w:rPr>
          <w:color w:val="auto"/>
          <w:lang w:val="en-US"/>
        </w:rPr>
        <w:t xml:space="preserve"> </w:t>
      </w:r>
      <w:r w:rsidRPr="009F62D6">
        <w:rPr>
          <w:color w:val="auto"/>
          <w:lang w:val="en-US"/>
        </w:rPr>
        <w:t xml:space="preserve">made itself available to them to reach a friendly settlement, but </w:t>
      </w:r>
      <w:r>
        <w:rPr>
          <w:color w:val="auto"/>
          <w:lang w:val="en-US"/>
        </w:rPr>
        <w:t xml:space="preserve">the conditions were not in place to initiate such a proceeding. </w:t>
      </w:r>
      <w:r w:rsidRPr="009F62D6">
        <w:rPr>
          <w:color w:val="auto"/>
          <w:lang w:val="en-US"/>
        </w:rPr>
        <w:t xml:space="preserve">The parties had the requisite time frames in which to submit additional comments on the merits. All the information the Commission received was duly </w:t>
      </w:r>
      <w:r>
        <w:rPr>
          <w:color w:val="auto"/>
          <w:lang w:val="en-US"/>
        </w:rPr>
        <w:t>forwarded to</w:t>
      </w:r>
      <w:r w:rsidRPr="009F62D6">
        <w:rPr>
          <w:color w:val="auto"/>
          <w:lang w:val="en-US"/>
        </w:rPr>
        <w:t xml:space="preserve"> the parties.</w:t>
      </w:r>
    </w:p>
    <w:p w14:paraId="6A60E174" w14:textId="77777777" w:rsidR="00E6692A" w:rsidRPr="00F7005E" w:rsidRDefault="00E6692A" w:rsidP="00E6692A">
      <w:pPr>
        <w:pStyle w:val="parrafos"/>
        <w:numPr>
          <w:ilvl w:val="0"/>
          <w:numId w:val="0"/>
        </w:numPr>
        <w:rPr>
          <w:lang w:val="en-US"/>
        </w:rPr>
      </w:pPr>
    </w:p>
    <w:p w14:paraId="59C4B4E2" w14:textId="77777777" w:rsidR="00E6692A" w:rsidRPr="00EE18B6" w:rsidRDefault="00E6692A" w:rsidP="00E6692A">
      <w:pPr>
        <w:pStyle w:val="Ttulo1"/>
      </w:pPr>
      <w:bookmarkStart w:id="1" w:name="_Toc69410054"/>
      <w:r>
        <w:t xml:space="preserve">II. </w:t>
      </w:r>
      <w:r w:rsidRPr="00EE18B6">
        <w:t>POSITIONS OF THE PARTIES</w:t>
      </w:r>
      <w:bookmarkEnd w:id="1"/>
    </w:p>
    <w:p w14:paraId="67259EE0" w14:textId="77777777" w:rsidR="00E6692A" w:rsidRPr="00F7005E" w:rsidRDefault="00E6692A" w:rsidP="00E6692A"/>
    <w:p w14:paraId="294CE78B" w14:textId="77777777" w:rsidR="00E6692A" w:rsidRPr="00DB55CD" w:rsidRDefault="00E6692A" w:rsidP="00E6692A">
      <w:pPr>
        <w:pStyle w:val="Ttulo2"/>
        <w:numPr>
          <w:ilvl w:val="0"/>
          <w:numId w:val="66"/>
        </w:numPr>
        <w:jc w:val="left"/>
      </w:pPr>
      <w:bookmarkStart w:id="2" w:name="_Toc69410055"/>
      <w:r>
        <w:t>Petitioners</w:t>
      </w:r>
      <w:bookmarkEnd w:id="2"/>
    </w:p>
    <w:p w14:paraId="065B961E" w14:textId="77777777" w:rsidR="00E6692A" w:rsidRPr="00DB55CD" w:rsidRDefault="00E6692A" w:rsidP="00E6692A">
      <w:pPr>
        <w:tabs>
          <w:tab w:val="left" w:pos="360"/>
        </w:tabs>
        <w:suppressAutoHyphens/>
        <w:rPr>
          <w:rFonts w:asciiTheme="majorHAnsi" w:hAnsiTheme="majorHAnsi"/>
          <w:sz w:val="20"/>
          <w:szCs w:val="20"/>
          <w:lang w:val="es-ES_tradnl"/>
        </w:rPr>
      </w:pPr>
    </w:p>
    <w:p w14:paraId="029AAF7B" w14:textId="77777777" w:rsidR="00E6692A" w:rsidRPr="00230DD7" w:rsidRDefault="00E6692A" w:rsidP="00E6692A">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ind w:left="0" w:firstLine="0"/>
        <w:jc w:val="both"/>
        <w:rPr>
          <w:rFonts w:asciiTheme="majorHAnsi" w:hAnsiTheme="majorHAnsi"/>
          <w:color w:val="000000" w:themeColor="text1"/>
          <w:sz w:val="20"/>
          <w:szCs w:val="20"/>
        </w:rPr>
      </w:pPr>
      <w:r w:rsidRPr="00230DD7">
        <w:rPr>
          <w:rFonts w:asciiTheme="majorHAnsi" w:hAnsiTheme="majorHAnsi"/>
          <w:color w:val="000000" w:themeColor="text1"/>
          <w:sz w:val="20"/>
          <w:szCs w:val="20"/>
        </w:rPr>
        <w:t xml:space="preserve">The petitioners indicate that the alleged victims were justices of the Constitutional </w:t>
      </w:r>
      <w:r w:rsidRPr="00230DD7">
        <w:rPr>
          <w:rFonts w:asciiTheme="majorHAnsi" w:hAnsiTheme="majorHAnsi"/>
          <w:sz w:val="20"/>
          <w:szCs w:val="20"/>
        </w:rPr>
        <w:t>Chamber of the Supreme Court of</w:t>
      </w:r>
      <w:r w:rsidRPr="00230DD7">
        <w:rPr>
          <w:rFonts w:asciiTheme="majorHAnsi" w:hAnsiTheme="majorHAnsi"/>
          <w:color w:val="000000" w:themeColor="text1"/>
          <w:sz w:val="20"/>
          <w:szCs w:val="20"/>
        </w:rPr>
        <w:t xml:space="preserve"> Honduras. </w:t>
      </w:r>
    </w:p>
    <w:p w14:paraId="034AA61A" w14:textId="77777777" w:rsidR="00E6692A" w:rsidRPr="00230DD7" w:rsidRDefault="00E6692A" w:rsidP="00E6692A">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jc w:val="both"/>
        <w:rPr>
          <w:rFonts w:asciiTheme="majorHAnsi" w:hAnsiTheme="majorHAnsi"/>
          <w:color w:val="000000" w:themeColor="text1"/>
          <w:sz w:val="20"/>
          <w:szCs w:val="20"/>
        </w:rPr>
      </w:pPr>
    </w:p>
    <w:p w14:paraId="61D2F190" w14:textId="77777777" w:rsidR="00E6692A" w:rsidRPr="006F7B04" w:rsidRDefault="00E6692A" w:rsidP="00E6692A">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ind w:left="0" w:firstLine="0"/>
        <w:jc w:val="both"/>
        <w:rPr>
          <w:rFonts w:asciiTheme="majorHAnsi" w:hAnsiTheme="majorHAnsi"/>
          <w:color w:val="000000" w:themeColor="text1"/>
          <w:sz w:val="20"/>
          <w:szCs w:val="20"/>
        </w:rPr>
      </w:pPr>
      <w:r w:rsidRPr="00A71530">
        <w:rPr>
          <w:rFonts w:asciiTheme="majorHAnsi" w:hAnsiTheme="majorHAnsi"/>
          <w:sz w:val="20"/>
          <w:szCs w:val="20"/>
        </w:rPr>
        <w:t xml:space="preserve">They </w:t>
      </w:r>
      <w:r>
        <w:rPr>
          <w:rFonts w:asciiTheme="majorHAnsi" w:hAnsiTheme="majorHAnsi"/>
          <w:sz w:val="20"/>
          <w:szCs w:val="20"/>
        </w:rPr>
        <w:t>indicate</w:t>
      </w:r>
      <w:r w:rsidRPr="00A71530">
        <w:rPr>
          <w:rFonts w:asciiTheme="majorHAnsi" w:hAnsiTheme="majorHAnsi"/>
          <w:sz w:val="20"/>
          <w:szCs w:val="20"/>
        </w:rPr>
        <w:t xml:space="preserve"> that the </w:t>
      </w:r>
      <w:r w:rsidRPr="00D202E5">
        <w:rPr>
          <w:rFonts w:asciiTheme="majorHAnsi" w:hAnsiTheme="majorHAnsi"/>
          <w:sz w:val="20"/>
          <w:szCs w:val="20"/>
        </w:rPr>
        <w:t>National Congress, by means of Decree No. 89-2012, passed the Special Law to Purge the Police Force of Corruption (</w:t>
      </w:r>
      <w:bookmarkStart w:id="3" w:name="_Hlk69146458"/>
      <w:r w:rsidRPr="009863A7">
        <w:rPr>
          <w:rFonts w:asciiTheme="majorHAnsi" w:hAnsiTheme="majorHAnsi"/>
          <w:i/>
          <w:iCs/>
          <w:sz w:val="20"/>
          <w:szCs w:val="20"/>
        </w:rPr>
        <w:t xml:space="preserve">Ley Especial de </w:t>
      </w:r>
      <w:proofErr w:type="spellStart"/>
      <w:r w:rsidRPr="009863A7">
        <w:rPr>
          <w:rFonts w:asciiTheme="majorHAnsi" w:hAnsiTheme="majorHAnsi"/>
          <w:i/>
          <w:iCs/>
          <w:sz w:val="20"/>
          <w:szCs w:val="20"/>
        </w:rPr>
        <w:t>Depuración</w:t>
      </w:r>
      <w:proofErr w:type="spellEnd"/>
      <w:r w:rsidRPr="009863A7">
        <w:rPr>
          <w:rFonts w:asciiTheme="majorHAnsi" w:hAnsiTheme="majorHAnsi"/>
          <w:i/>
          <w:iCs/>
          <w:sz w:val="20"/>
          <w:szCs w:val="20"/>
        </w:rPr>
        <w:t xml:space="preserve"> </w:t>
      </w:r>
      <w:proofErr w:type="spellStart"/>
      <w:r w:rsidRPr="009863A7">
        <w:rPr>
          <w:rFonts w:asciiTheme="majorHAnsi" w:hAnsiTheme="majorHAnsi"/>
          <w:i/>
          <w:iCs/>
          <w:sz w:val="20"/>
          <w:szCs w:val="20"/>
        </w:rPr>
        <w:t>Policial</w:t>
      </w:r>
      <w:bookmarkEnd w:id="3"/>
      <w:proofErr w:type="spellEnd"/>
      <w:r>
        <w:rPr>
          <w:rFonts w:asciiTheme="majorHAnsi" w:hAnsiTheme="majorHAnsi"/>
          <w:sz w:val="20"/>
          <w:szCs w:val="20"/>
        </w:rPr>
        <w:t>)</w:t>
      </w:r>
      <w:r w:rsidRPr="009863A7">
        <w:rPr>
          <w:rFonts w:asciiTheme="majorHAnsi" w:hAnsiTheme="majorHAnsi"/>
          <w:sz w:val="20"/>
          <w:szCs w:val="20"/>
        </w:rPr>
        <w:t xml:space="preserve">, which entered into </w:t>
      </w:r>
      <w:r>
        <w:rPr>
          <w:rFonts w:asciiTheme="majorHAnsi" w:hAnsiTheme="majorHAnsi"/>
          <w:sz w:val="20"/>
          <w:szCs w:val="20"/>
        </w:rPr>
        <w:t>force</w:t>
      </w:r>
      <w:r w:rsidRPr="009863A7">
        <w:rPr>
          <w:rFonts w:asciiTheme="majorHAnsi" w:hAnsiTheme="majorHAnsi"/>
          <w:sz w:val="20"/>
          <w:szCs w:val="20"/>
        </w:rPr>
        <w:t xml:space="preserve"> on May 25, 2012. They </w:t>
      </w:r>
      <w:r>
        <w:rPr>
          <w:rFonts w:asciiTheme="majorHAnsi" w:hAnsiTheme="majorHAnsi"/>
          <w:sz w:val="20"/>
          <w:szCs w:val="20"/>
        </w:rPr>
        <w:t>report</w:t>
      </w:r>
      <w:r w:rsidRPr="009863A7">
        <w:rPr>
          <w:rFonts w:asciiTheme="majorHAnsi" w:hAnsiTheme="majorHAnsi"/>
          <w:sz w:val="20"/>
          <w:szCs w:val="20"/>
        </w:rPr>
        <w:t xml:space="preserve"> th</w:t>
      </w:r>
      <w:r w:rsidRPr="00A71530">
        <w:rPr>
          <w:rFonts w:asciiTheme="majorHAnsi" w:hAnsiTheme="majorHAnsi"/>
          <w:sz w:val="20"/>
          <w:szCs w:val="20"/>
        </w:rPr>
        <w:t xml:space="preserve">at </w:t>
      </w:r>
      <w:proofErr w:type="gramStart"/>
      <w:r w:rsidRPr="00A71530">
        <w:rPr>
          <w:rFonts w:asciiTheme="majorHAnsi" w:hAnsiTheme="majorHAnsi"/>
          <w:sz w:val="20"/>
          <w:szCs w:val="20"/>
        </w:rPr>
        <w:t>a number of</w:t>
      </w:r>
      <w:proofErr w:type="gramEnd"/>
      <w:r w:rsidRPr="00A71530">
        <w:rPr>
          <w:rFonts w:asciiTheme="majorHAnsi" w:hAnsiTheme="majorHAnsi"/>
          <w:sz w:val="20"/>
          <w:szCs w:val="20"/>
        </w:rPr>
        <w:t xml:space="preserve"> citizens </w:t>
      </w:r>
      <w:r>
        <w:rPr>
          <w:rFonts w:asciiTheme="majorHAnsi" w:hAnsiTheme="majorHAnsi"/>
          <w:sz w:val="20"/>
          <w:szCs w:val="20"/>
        </w:rPr>
        <w:t>brought</w:t>
      </w:r>
      <w:r w:rsidRPr="00A71530">
        <w:rPr>
          <w:rFonts w:asciiTheme="majorHAnsi" w:hAnsiTheme="majorHAnsi"/>
          <w:sz w:val="20"/>
          <w:szCs w:val="20"/>
        </w:rPr>
        <w:t xml:space="preserve"> a constitutional complaint before the Constitutional Chamber, on grounds that the law violated provisions of the Honduran Constitution. They indicate that after the legal proceedings were completed, on November 27, 2012, the Constitutional Chamber voted on the </w:t>
      </w:r>
      <w:r>
        <w:rPr>
          <w:rFonts w:asciiTheme="majorHAnsi" w:hAnsiTheme="majorHAnsi"/>
          <w:sz w:val="20"/>
          <w:szCs w:val="20"/>
        </w:rPr>
        <w:t>matter</w:t>
      </w:r>
      <w:r w:rsidRPr="00A71530">
        <w:rPr>
          <w:rFonts w:asciiTheme="majorHAnsi" w:hAnsiTheme="majorHAnsi"/>
          <w:sz w:val="20"/>
          <w:szCs w:val="20"/>
        </w:rPr>
        <w:t xml:space="preserve"> but that </w:t>
      </w:r>
      <w:r w:rsidRPr="009A2D86">
        <w:rPr>
          <w:rFonts w:asciiTheme="majorHAnsi" w:hAnsiTheme="majorHAnsi"/>
          <w:sz w:val="20"/>
          <w:szCs w:val="20"/>
        </w:rPr>
        <w:t>the draft judgment did not</w:t>
      </w:r>
      <w:r>
        <w:rPr>
          <w:rFonts w:asciiTheme="majorHAnsi" w:hAnsiTheme="majorHAnsi"/>
          <w:sz w:val="20"/>
          <w:szCs w:val="20"/>
        </w:rPr>
        <w:t xml:space="preserve"> have the unanimous vote needed for it to be approved. </w:t>
      </w:r>
      <w:r w:rsidRPr="006F7B04">
        <w:rPr>
          <w:rFonts w:asciiTheme="majorHAnsi" w:hAnsiTheme="majorHAnsi"/>
          <w:sz w:val="20"/>
          <w:szCs w:val="20"/>
        </w:rPr>
        <w:t xml:space="preserve">They explain that the four alleged victims voted to declare that the </w:t>
      </w:r>
      <w:proofErr w:type="gramStart"/>
      <w:r w:rsidRPr="006F7B04">
        <w:rPr>
          <w:rFonts w:asciiTheme="majorHAnsi" w:hAnsiTheme="majorHAnsi"/>
          <w:sz w:val="20"/>
          <w:szCs w:val="20"/>
        </w:rPr>
        <w:t>aforementioned law</w:t>
      </w:r>
      <w:proofErr w:type="gramEnd"/>
      <w:r w:rsidRPr="006F7B04">
        <w:rPr>
          <w:rFonts w:asciiTheme="majorHAnsi" w:hAnsiTheme="majorHAnsi"/>
          <w:sz w:val="20"/>
          <w:szCs w:val="20"/>
        </w:rPr>
        <w:t xml:space="preserve"> was unconstitutional and that only one justice voted to declare i</w:t>
      </w:r>
      <w:r>
        <w:rPr>
          <w:rFonts w:asciiTheme="majorHAnsi" w:hAnsiTheme="majorHAnsi"/>
          <w:sz w:val="20"/>
          <w:szCs w:val="20"/>
        </w:rPr>
        <w:t xml:space="preserve">t constitutional. </w:t>
      </w:r>
      <w:r w:rsidRPr="006F7B04">
        <w:rPr>
          <w:rFonts w:asciiTheme="majorHAnsi" w:hAnsiTheme="majorHAnsi"/>
          <w:sz w:val="20"/>
          <w:szCs w:val="20"/>
        </w:rPr>
        <w:t>Therefore, pursuant to established procedure, the complaint was submitted to the Plenary of the Supreme Cour</w:t>
      </w:r>
      <w:r>
        <w:rPr>
          <w:rFonts w:asciiTheme="majorHAnsi" w:hAnsiTheme="majorHAnsi"/>
          <w:sz w:val="20"/>
          <w:szCs w:val="20"/>
        </w:rPr>
        <w:t>t for its decision.</w:t>
      </w:r>
      <w:r w:rsidRPr="006F7B04">
        <w:rPr>
          <w:rFonts w:asciiTheme="majorHAnsi" w:hAnsiTheme="majorHAnsi"/>
          <w:sz w:val="20"/>
          <w:szCs w:val="20"/>
        </w:rPr>
        <w:t xml:space="preserve"> </w:t>
      </w:r>
    </w:p>
    <w:p w14:paraId="748A020A" w14:textId="77777777" w:rsidR="00E6692A" w:rsidRPr="006F7B04" w:rsidRDefault="00E6692A" w:rsidP="00E6692A">
      <w:pPr>
        <w:pStyle w:val="Prrafodelista"/>
        <w:rPr>
          <w:rFonts w:asciiTheme="majorHAnsi" w:hAnsiTheme="majorHAnsi"/>
          <w:sz w:val="20"/>
          <w:szCs w:val="20"/>
          <w:lang w:val="en-US"/>
        </w:rPr>
      </w:pPr>
    </w:p>
    <w:p w14:paraId="6D7D1EEF" w14:textId="77777777" w:rsidR="00E6692A" w:rsidRPr="00D74878" w:rsidRDefault="00E6692A" w:rsidP="00E6692A">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ind w:left="0" w:firstLine="0"/>
        <w:jc w:val="both"/>
        <w:rPr>
          <w:rFonts w:asciiTheme="majorHAnsi" w:hAnsiTheme="majorHAnsi"/>
          <w:color w:val="000000" w:themeColor="text1"/>
          <w:sz w:val="20"/>
          <w:szCs w:val="20"/>
        </w:rPr>
      </w:pPr>
      <w:r w:rsidRPr="0090683F">
        <w:rPr>
          <w:rFonts w:asciiTheme="majorHAnsi" w:hAnsiTheme="majorHAnsi"/>
          <w:sz w:val="20"/>
          <w:szCs w:val="20"/>
        </w:rPr>
        <w:t xml:space="preserve">The petitioners allege that in retaliation for the events described above, on December 10, 2012, the Congress appointed a </w:t>
      </w:r>
      <w:proofErr w:type="gramStart"/>
      <w:r>
        <w:rPr>
          <w:rFonts w:asciiTheme="majorHAnsi" w:hAnsiTheme="majorHAnsi"/>
          <w:sz w:val="20"/>
          <w:szCs w:val="20"/>
        </w:rPr>
        <w:t>C</w:t>
      </w:r>
      <w:r w:rsidRPr="0090683F">
        <w:rPr>
          <w:rFonts w:asciiTheme="majorHAnsi" w:hAnsiTheme="majorHAnsi"/>
          <w:sz w:val="20"/>
          <w:szCs w:val="20"/>
        </w:rPr>
        <w:t>ommittee</w:t>
      </w:r>
      <w:proofErr w:type="gramEnd"/>
      <w:r w:rsidRPr="0090683F">
        <w:rPr>
          <w:rFonts w:asciiTheme="majorHAnsi" w:hAnsiTheme="majorHAnsi"/>
          <w:sz w:val="20"/>
          <w:szCs w:val="20"/>
        </w:rPr>
        <w:t>, made up of representatives of the ruling party, with</w:t>
      </w:r>
      <w:r>
        <w:rPr>
          <w:rFonts w:asciiTheme="majorHAnsi" w:hAnsiTheme="majorHAnsi"/>
          <w:sz w:val="20"/>
          <w:szCs w:val="20"/>
        </w:rPr>
        <w:t xml:space="preserve"> the mandate to investigate the administrative conduct of the judiciary. </w:t>
      </w:r>
      <w:r w:rsidRPr="001C214F">
        <w:rPr>
          <w:rFonts w:asciiTheme="majorHAnsi" w:hAnsiTheme="majorHAnsi"/>
          <w:sz w:val="20"/>
          <w:szCs w:val="20"/>
        </w:rPr>
        <w:t>On the evening</w:t>
      </w:r>
      <w:r w:rsidRPr="0090683F">
        <w:rPr>
          <w:rFonts w:asciiTheme="majorHAnsi" w:hAnsiTheme="majorHAnsi"/>
          <w:sz w:val="20"/>
          <w:szCs w:val="20"/>
        </w:rPr>
        <w:t xml:space="preserve"> of December 11, 2012, th</w:t>
      </w:r>
      <w:r>
        <w:rPr>
          <w:rFonts w:asciiTheme="majorHAnsi" w:hAnsiTheme="majorHAnsi"/>
          <w:sz w:val="20"/>
          <w:szCs w:val="20"/>
        </w:rPr>
        <w:t>at</w:t>
      </w:r>
      <w:r w:rsidRPr="0090683F">
        <w:rPr>
          <w:rFonts w:asciiTheme="majorHAnsi" w:hAnsiTheme="majorHAnsi"/>
          <w:sz w:val="20"/>
          <w:szCs w:val="20"/>
        </w:rPr>
        <w:t xml:space="preserve"> </w:t>
      </w:r>
      <w:r>
        <w:rPr>
          <w:rFonts w:asciiTheme="majorHAnsi" w:hAnsiTheme="majorHAnsi"/>
          <w:sz w:val="20"/>
          <w:szCs w:val="20"/>
        </w:rPr>
        <w:t>C</w:t>
      </w:r>
      <w:r w:rsidRPr="0090683F">
        <w:rPr>
          <w:rFonts w:asciiTheme="majorHAnsi" w:hAnsiTheme="majorHAnsi"/>
          <w:sz w:val="20"/>
          <w:szCs w:val="20"/>
        </w:rPr>
        <w:t xml:space="preserve">ommittee presented its report to the Congress, establishing that there had been administrative irregularities in the processing of the constitutional complaint </w:t>
      </w:r>
      <w:r>
        <w:rPr>
          <w:rFonts w:asciiTheme="majorHAnsi" w:hAnsiTheme="majorHAnsi"/>
          <w:sz w:val="20"/>
          <w:szCs w:val="20"/>
        </w:rPr>
        <w:t xml:space="preserve">filed against the </w:t>
      </w:r>
      <w:r w:rsidRPr="00D202E5">
        <w:rPr>
          <w:rFonts w:asciiTheme="majorHAnsi" w:hAnsiTheme="majorHAnsi"/>
          <w:sz w:val="20"/>
          <w:szCs w:val="20"/>
        </w:rPr>
        <w:t>Special Law to Purge the Police Force of Corruption</w:t>
      </w:r>
      <w:r>
        <w:rPr>
          <w:rFonts w:asciiTheme="majorHAnsi" w:hAnsiTheme="majorHAnsi"/>
          <w:sz w:val="20"/>
          <w:szCs w:val="20"/>
        </w:rPr>
        <w:t xml:space="preserve">. According to the petitioners, the report indicated that the Constitutional Chamber’s decision with respect to that law was inconsistent with the security policy adopted by the executive and legislative branches of government and that this caused serious harm to the State. </w:t>
      </w:r>
      <w:r w:rsidRPr="002B04D0">
        <w:rPr>
          <w:rFonts w:asciiTheme="majorHAnsi" w:hAnsiTheme="majorHAnsi"/>
          <w:sz w:val="20"/>
          <w:szCs w:val="20"/>
        </w:rPr>
        <w:t xml:space="preserve">They note that this congressional session was held </w:t>
      </w:r>
      <w:r>
        <w:rPr>
          <w:rFonts w:asciiTheme="majorHAnsi" w:hAnsiTheme="majorHAnsi"/>
          <w:sz w:val="20"/>
          <w:szCs w:val="20"/>
        </w:rPr>
        <w:lastRenderedPageBreak/>
        <w:t>with</w:t>
      </w:r>
      <w:r w:rsidRPr="002B04D0">
        <w:rPr>
          <w:rFonts w:asciiTheme="majorHAnsi" w:hAnsiTheme="majorHAnsi"/>
          <w:sz w:val="20"/>
          <w:szCs w:val="20"/>
        </w:rPr>
        <w:t xml:space="preserve"> the building surrounded by memb</w:t>
      </w:r>
      <w:r>
        <w:rPr>
          <w:rFonts w:asciiTheme="majorHAnsi" w:hAnsiTheme="majorHAnsi"/>
          <w:sz w:val="20"/>
          <w:szCs w:val="20"/>
        </w:rPr>
        <w:t xml:space="preserve">ers of the armed forces. </w:t>
      </w:r>
      <w:r w:rsidRPr="00D74878">
        <w:rPr>
          <w:rFonts w:asciiTheme="majorHAnsi" w:hAnsiTheme="majorHAnsi"/>
          <w:sz w:val="20"/>
          <w:szCs w:val="20"/>
        </w:rPr>
        <w:t xml:space="preserve">They state that at 4 a.m. on December 12, 2012, the Congress </w:t>
      </w:r>
      <w:r w:rsidRPr="00D202E5">
        <w:rPr>
          <w:rFonts w:asciiTheme="majorHAnsi" w:hAnsiTheme="majorHAnsi"/>
          <w:sz w:val="20"/>
          <w:szCs w:val="20"/>
        </w:rPr>
        <w:t>voted in favor of dismissing four of the five justices of the Constitutional Chamber (those who voted that the Special Law to Purge the Police Force of Corruption was</w:t>
      </w:r>
      <w:r>
        <w:rPr>
          <w:rFonts w:asciiTheme="majorHAnsi" w:hAnsiTheme="majorHAnsi"/>
          <w:sz w:val="20"/>
          <w:szCs w:val="20"/>
        </w:rPr>
        <w:t xml:space="preserve"> unconstitutional) </w:t>
      </w:r>
      <w:r w:rsidRPr="00096CAF">
        <w:rPr>
          <w:rFonts w:asciiTheme="majorHAnsi" w:hAnsiTheme="majorHAnsi"/>
          <w:sz w:val="20"/>
          <w:szCs w:val="20"/>
        </w:rPr>
        <w:t>and elected four</w:t>
      </w:r>
      <w:r>
        <w:rPr>
          <w:rFonts w:asciiTheme="majorHAnsi" w:hAnsiTheme="majorHAnsi"/>
          <w:sz w:val="20"/>
          <w:szCs w:val="20"/>
        </w:rPr>
        <w:t xml:space="preserve"> replacements.</w:t>
      </w:r>
      <w:r w:rsidRPr="00D74878">
        <w:rPr>
          <w:rFonts w:asciiTheme="majorHAnsi" w:hAnsiTheme="majorHAnsi"/>
          <w:sz w:val="20"/>
          <w:szCs w:val="20"/>
        </w:rPr>
        <w:t xml:space="preserve"> </w:t>
      </w:r>
    </w:p>
    <w:p w14:paraId="7418A6D7" w14:textId="77777777" w:rsidR="00E6692A" w:rsidRPr="00D74878" w:rsidRDefault="00E6692A" w:rsidP="00E6692A">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jc w:val="both"/>
        <w:rPr>
          <w:rFonts w:asciiTheme="majorHAnsi" w:hAnsiTheme="majorHAnsi"/>
          <w:color w:val="000000" w:themeColor="text1"/>
          <w:sz w:val="20"/>
          <w:szCs w:val="20"/>
        </w:rPr>
      </w:pPr>
    </w:p>
    <w:p w14:paraId="70C57539" w14:textId="77777777" w:rsidR="00E6692A" w:rsidRPr="00A15B33" w:rsidRDefault="00E6692A" w:rsidP="00E6692A">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ind w:left="0" w:firstLine="0"/>
        <w:jc w:val="both"/>
        <w:rPr>
          <w:rFonts w:asciiTheme="majorHAnsi" w:hAnsiTheme="majorHAnsi"/>
          <w:color w:val="000000" w:themeColor="text1"/>
          <w:sz w:val="20"/>
          <w:szCs w:val="20"/>
        </w:rPr>
      </w:pPr>
      <w:r w:rsidRPr="00D202E5">
        <w:rPr>
          <w:rFonts w:asciiTheme="majorHAnsi" w:hAnsiTheme="majorHAnsi"/>
          <w:sz w:val="20"/>
          <w:szCs w:val="20"/>
        </w:rPr>
        <w:t>The petitioners argue</w:t>
      </w:r>
      <w:r w:rsidRPr="008D0FA1">
        <w:rPr>
          <w:rFonts w:asciiTheme="majorHAnsi" w:hAnsiTheme="majorHAnsi"/>
          <w:sz w:val="20"/>
          <w:szCs w:val="20"/>
        </w:rPr>
        <w:t xml:space="preserve"> that the alleged victims were unable to defend their rights and that their removal </w:t>
      </w:r>
      <w:r>
        <w:rPr>
          <w:rFonts w:asciiTheme="majorHAnsi" w:hAnsiTheme="majorHAnsi"/>
          <w:sz w:val="20"/>
          <w:szCs w:val="20"/>
        </w:rPr>
        <w:t>from office</w:t>
      </w:r>
      <w:r w:rsidRPr="008D0FA1">
        <w:rPr>
          <w:rFonts w:asciiTheme="majorHAnsi" w:hAnsiTheme="majorHAnsi"/>
          <w:sz w:val="20"/>
          <w:szCs w:val="20"/>
        </w:rPr>
        <w:t xml:space="preserve"> was </w:t>
      </w:r>
      <w:r>
        <w:rPr>
          <w:rFonts w:asciiTheme="majorHAnsi" w:hAnsiTheme="majorHAnsi"/>
          <w:sz w:val="20"/>
          <w:szCs w:val="20"/>
        </w:rPr>
        <w:t>illegal</w:t>
      </w:r>
      <w:r w:rsidRPr="008D0FA1">
        <w:rPr>
          <w:rFonts w:asciiTheme="majorHAnsi" w:hAnsiTheme="majorHAnsi"/>
          <w:sz w:val="20"/>
          <w:szCs w:val="20"/>
        </w:rPr>
        <w:t xml:space="preserve">, as </w:t>
      </w:r>
      <w:r>
        <w:rPr>
          <w:rFonts w:asciiTheme="majorHAnsi" w:hAnsiTheme="majorHAnsi"/>
          <w:sz w:val="20"/>
          <w:szCs w:val="20"/>
        </w:rPr>
        <w:t>the Congress</w:t>
      </w:r>
      <w:r w:rsidRPr="008D0FA1">
        <w:rPr>
          <w:rFonts w:asciiTheme="majorHAnsi" w:hAnsiTheme="majorHAnsi"/>
          <w:sz w:val="20"/>
          <w:szCs w:val="20"/>
        </w:rPr>
        <w:t xml:space="preserve"> </w:t>
      </w:r>
      <w:r>
        <w:rPr>
          <w:rFonts w:asciiTheme="majorHAnsi" w:hAnsiTheme="majorHAnsi"/>
          <w:sz w:val="20"/>
          <w:szCs w:val="20"/>
        </w:rPr>
        <w:t>did not have the authority to do so and there were no legal procedures in place for prosecuting the highest authorities of the Supreme Court</w:t>
      </w:r>
      <w:r w:rsidRPr="008D0FA1">
        <w:rPr>
          <w:rFonts w:asciiTheme="majorHAnsi" w:hAnsiTheme="majorHAnsi"/>
          <w:sz w:val="20"/>
          <w:szCs w:val="20"/>
        </w:rPr>
        <w:t xml:space="preserve">. </w:t>
      </w:r>
      <w:r w:rsidRPr="005F65E0">
        <w:rPr>
          <w:rFonts w:asciiTheme="majorHAnsi" w:hAnsiTheme="majorHAnsi"/>
          <w:sz w:val="20"/>
          <w:szCs w:val="20"/>
        </w:rPr>
        <w:t xml:space="preserve">They allege that under the Honduran legal system, the purported administrative irregularities were not a legal cause for the </w:t>
      </w:r>
      <w:r>
        <w:rPr>
          <w:rFonts w:asciiTheme="majorHAnsi" w:hAnsiTheme="majorHAnsi"/>
          <w:sz w:val="20"/>
          <w:szCs w:val="20"/>
        </w:rPr>
        <w:t xml:space="preserve">justices’ </w:t>
      </w:r>
      <w:r w:rsidRPr="005F65E0">
        <w:rPr>
          <w:rFonts w:asciiTheme="majorHAnsi" w:hAnsiTheme="majorHAnsi"/>
          <w:sz w:val="20"/>
          <w:szCs w:val="20"/>
        </w:rPr>
        <w:t>removal</w:t>
      </w:r>
      <w:r>
        <w:rPr>
          <w:rFonts w:asciiTheme="majorHAnsi" w:hAnsiTheme="majorHAnsi"/>
          <w:sz w:val="20"/>
          <w:szCs w:val="20"/>
        </w:rPr>
        <w:t xml:space="preserve">. </w:t>
      </w:r>
      <w:r w:rsidRPr="00A15B33">
        <w:rPr>
          <w:rFonts w:asciiTheme="majorHAnsi" w:hAnsiTheme="majorHAnsi"/>
          <w:sz w:val="20"/>
          <w:szCs w:val="20"/>
        </w:rPr>
        <w:t xml:space="preserve">They indicate that it was not the dismissed justices but the President of the Supreme Court who </w:t>
      </w:r>
      <w:r>
        <w:rPr>
          <w:rFonts w:asciiTheme="majorHAnsi" w:hAnsiTheme="majorHAnsi"/>
          <w:sz w:val="20"/>
          <w:szCs w:val="20"/>
        </w:rPr>
        <w:t>had</w:t>
      </w:r>
      <w:r w:rsidRPr="00A15B33">
        <w:rPr>
          <w:rFonts w:asciiTheme="majorHAnsi" w:hAnsiTheme="majorHAnsi"/>
          <w:sz w:val="20"/>
          <w:szCs w:val="20"/>
        </w:rPr>
        <w:t xml:space="preserve"> administrative functions, by order of the Congress itself, through Decree</w:t>
      </w:r>
      <w:r>
        <w:rPr>
          <w:rFonts w:asciiTheme="majorHAnsi" w:hAnsiTheme="majorHAnsi"/>
          <w:sz w:val="20"/>
          <w:szCs w:val="20"/>
        </w:rPr>
        <w:t xml:space="preserve">s </w:t>
      </w:r>
      <w:r w:rsidRPr="00A15B33">
        <w:rPr>
          <w:rFonts w:asciiTheme="majorHAnsi" w:hAnsiTheme="majorHAnsi"/>
          <w:sz w:val="20"/>
          <w:szCs w:val="20"/>
        </w:rPr>
        <w:t xml:space="preserve">282-2010 </w:t>
      </w:r>
      <w:r>
        <w:rPr>
          <w:rFonts w:asciiTheme="majorHAnsi" w:hAnsiTheme="majorHAnsi"/>
          <w:sz w:val="20"/>
          <w:szCs w:val="20"/>
        </w:rPr>
        <w:t>and</w:t>
      </w:r>
      <w:r w:rsidRPr="00A15B33">
        <w:rPr>
          <w:rFonts w:asciiTheme="majorHAnsi" w:hAnsiTheme="majorHAnsi"/>
          <w:sz w:val="20"/>
          <w:szCs w:val="20"/>
        </w:rPr>
        <w:t xml:space="preserve"> 5-2011. They add that in an act of </w:t>
      </w:r>
      <w:r>
        <w:rPr>
          <w:rFonts w:asciiTheme="majorHAnsi" w:hAnsiTheme="majorHAnsi"/>
          <w:sz w:val="20"/>
          <w:szCs w:val="20"/>
        </w:rPr>
        <w:t>acquiescence</w:t>
      </w:r>
      <w:r w:rsidRPr="00A15B33">
        <w:rPr>
          <w:rFonts w:asciiTheme="majorHAnsi" w:hAnsiTheme="majorHAnsi"/>
          <w:sz w:val="20"/>
          <w:szCs w:val="20"/>
        </w:rPr>
        <w:t xml:space="preserve"> and submission, the President of the Supreme Court swore in the new justices on the morning of December 12</w:t>
      </w:r>
      <w:r>
        <w:rPr>
          <w:rFonts w:asciiTheme="majorHAnsi" w:hAnsiTheme="majorHAnsi"/>
          <w:sz w:val="20"/>
          <w:szCs w:val="20"/>
        </w:rPr>
        <w:t xml:space="preserve">, </w:t>
      </w:r>
      <w:r w:rsidRPr="00A15B33">
        <w:rPr>
          <w:rFonts w:asciiTheme="majorHAnsi" w:hAnsiTheme="majorHAnsi"/>
          <w:sz w:val="20"/>
          <w:szCs w:val="20"/>
        </w:rPr>
        <w:t xml:space="preserve">2012, </w:t>
      </w:r>
      <w:r>
        <w:rPr>
          <w:rFonts w:asciiTheme="majorHAnsi" w:hAnsiTheme="majorHAnsi"/>
          <w:sz w:val="20"/>
          <w:szCs w:val="20"/>
        </w:rPr>
        <w:t xml:space="preserve">thus implementing a “political coup of the judicial institution”. </w:t>
      </w:r>
    </w:p>
    <w:p w14:paraId="622EF3EE" w14:textId="77777777" w:rsidR="00E6692A" w:rsidRPr="00A15B33" w:rsidRDefault="00E6692A" w:rsidP="00E6692A">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jc w:val="both"/>
        <w:rPr>
          <w:rFonts w:asciiTheme="majorHAnsi" w:hAnsiTheme="majorHAnsi"/>
          <w:color w:val="000000" w:themeColor="text1"/>
          <w:sz w:val="20"/>
          <w:szCs w:val="20"/>
        </w:rPr>
      </w:pPr>
    </w:p>
    <w:p w14:paraId="3E50E4C7" w14:textId="77777777" w:rsidR="00E6692A" w:rsidRPr="00F77FBD" w:rsidRDefault="00E6692A" w:rsidP="00E6692A">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ind w:left="0" w:firstLine="0"/>
        <w:jc w:val="both"/>
        <w:rPr>
          <w:rFonts w:asciiTheme="majorHAnsi" w:hAnsiTheme="majorHAnsi"/>
          <w:color w:val="000000" w:themeColor="text1"/>
          <w:sz w:val="20"/>
          <w:szCs w:val="20"/>
        </w:rPr>
      </w:pPr>
      <w:r w:rsidRPr="00A15B33">
        <w:rPr>
          <w:rFonts w:asciiTheme="majorHAnsi" w:hAnsiTheme="majorHAnsi"/>
          <w:sz w:val="20"/>
          <w:szCs w:val="20"/>
        </w:rPr>
        <w:t xml:space="preserve">The petitioners claim that since there were no legal procedures in place to remove Supreme Court justices, the investigation undertaken by the Committee of </w:t>
      </w:r>
      <w:r>
        <w:rPr>
          <w:rFonts w:asciiTheme="majorHAnsi" w:hAnsiTheme="majorHAnsi"/>
          <w:sz w:val="20"/>
          <w:szCs w:val="20"/>
        </w:rPr>
        <w:t>Deputies</w:t>
      </w:r>
      <w:r w:rsidRPr="00A15B33">
        <w:rPr>
          <w:rFonts w:asciiTheme="majorHAnsi" w:hAnsiTheme="majorHAnsi"/>
          <w:sz w:val="20"/>
          <w:szCs w:val="20"/>
        </w:rPr>
        <w:t xml:space="preserve"> and the subsequen</w:t>
      </w:r>
      <w:r>
        <w:rPr>
          <w:rFonts w:asciiTheme="majorHAnsi" w:hAnsiTheme="majorHAnsi"/>
          <w:sz w:val="20"/>
          <w:szCs w:val="20"/>
        </w:rPr>
        <w:t>t</w:t>
      </w:r>
      <w:r w:rsidRPr="00A15B33">
        <w:rPr>
          <w:rFonts w:asciiTheme="majorHAnsi" w:hAnsiTheme="majorHAnsi"/>
          <w:sz w:val="20"/>
          <w:szCs w:val="20"/>
        </w:rPr>
        <w:t xml:space="preserve"> motion filed by the Congress were illegal and arbitrary mechanisms used as legal grounds for dismissing the alleged victims. They state </w:t>
      </w:r>
      <w:r>
        <w:rPr>
          <w:rFonts w:asciiTheme="majorHAnsi" w:hAnsiTheme="majorHAnsi"/>
          <w:sz w:val="20"/>
          <w:szCs w:val="20"/>
        </w:rPr>
        <w:t xml:space="preserve">that </w:t>
      </w:r>
      <w:r w:rsidRPr="00A15B33">
        <w:rPr>
          <w:rFonts w:asciiTheme="majorHAnsi" w:hAnsiTheme="majorHAnsi"/>
          <w:sz w:val="20"/>
          <w:szCs w:val="20"/>
        </w:rPr>
        <w:t xml:space="preserve">their removal came in retaliation for actions that were inherent to the alleged victims’ judicial </w:t>
      </w:r>
      <w:r>
        <w:rPr>
          <w:rFonts w:asciiTheme="majorHAnsi" w:hAnsiTheme="majorHAnsi"/>
          <w:sz w:val="20"/>
          <w:szCs w:val="20"/>
        </w:rPr>
        <w:t>office</w:t>
      </w:r>
      <w:r w:rsidRPr="00A15B33">
        <w:rPr>
          <w:rFonts w:asciiTheme="majorHAnsi" w:hAnsiTheme="majorHAnsi"/>
          <w:sz w:val="20"/>
          <w:szCs w:val="20"/>
        </w:rPr>
        <w:t xml:space="preserve">, which they carried out within the boundaries of </w:t>
      </w:r>
      <w:r>
        <w:rPr>
          <w:rFonts w:asciiTheme="majorHAnsi" w:hAnsiTheme="majorHAnsi"/>
          <w:sz w:val="20"/>
          <w:szCs w:val="20"/>
        </w:rPr>
        <w:t xml:space="preserve">their constitutional and legal powers. </w:t>
      </w:r>
      <w:r w:rsidRPr="00F77FBD">
        <w:rPr>
          <w:rFonts w:asciiTheme="majorHAnsi" w:hAnsiTheme="majorHAnsi"/>
          <w:sz w:val="20"/>
          <w:szCs w:val="20"/>
        </w:rPr>
        <w:t>In addition, they indicate that the then</w:t>
      </w:r>
      <w:r>
        <w:rPr>
          <w:rFonts w:asciiTheme="majorHAnsi" w:hAnsiTheme="majorHAnsi"/>
          <w:sz w:val="20"/>
          <w:szCs w:val="20"/>
        </w:rPr>
        <w:t>-</w:t>
      </w:r>
      <w:r w:rsidRPr="00F77FBD">
        <w:rPr>
          <w:rFonts w:asciiTheme="majorHAnsi" w:hAnsiTheme="majorHAnsi"/>
          <w:sz w:val="20"/>
          <w:szCs w:val="20"/>
        </w:rPr>
        <w:t xml:space="preserve">President of the Congress justified the </w:t>
      </w:r>
      <w:r>
        <w:rPr>
          <w:rFonts w:asciiTheme="majorHAnsi" w:hAnsiTheme="majorHAnsi"/>
          <w:sz w:val="20"/>
          <w:szCs w:val="20"/>
        </w:rPr>
        <w:t>legislative branch’s</w:t>
      </w:r>
      <w:r w:rsidRPr="00F77FBD">
        <w:rPr>
          <w:rFonts w:asciiTheme="majorHAnsi" w:hAnsiTheme="majorHAnsi"/>
          <w:sz w:val="20"/>
          <w:szCs w:val="20"/>
        </w:rPr>
        <w:t xml:space="preserve"> illegal actions, declaring that it had been found that the justices of the Constitutional Chamber had cons</w:t>
      </w:r>
      <w:r>
        <w:rPr>
          <w:rFonts w:asciiTheme="majorHAnsi" w:hAnsiTheme="majorHAnsi"/>
          <w:sz w:val="20"/>
          <w:szCs w:val="20"/>
        </w:rPr>
        <w:t>pired against decisions of the Congress.</w:t>
      </w:r>
    </w:p>
    <w:p w14:paraId="40656EAD" w14:textId="77777777" w:rsidR="00E6692A" w:rsidRPr="00F77FBD" w:rsidRDefault="00E6692A" w:rsidP="00E6692A">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jc w:val="both"/>
        <w:rPr>
          <w:rFonts w:asciiTheme="majorHAnsi" w:hAnsiTheme="majorHAnsi"/>
          <w:color w:val="000000" w:themeColor="text1"/>
          <w:sz w:val="20"/>
          <w:szCs w:val="20"/>
        </w:rPr>
      </w:pPr>
    </w:p>
    <w:p w14:paraId="0E53A829" w14:textId="77777777" w:rsidR="00E6692A" w:rsidRPr="00DD18DE" w:rsidRDefault="00E6692A" w:rsidP="00E6692A">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ind w:left="0" w:firstLine="0"/>
        <w:jc w:val="both"/>
        <w:rPr>
          <w:rFonts w:asciiTheme="majorHAnsi" w:hAnsiTheme="majorHAnsi"/>
          <w:color w:val="000000" w:themeColor="text1"/>
          <w:sz w:val="20"/>
          <w:szCs w:val="20"/>
        </w:rPr>
      </w:pPr>
      <w:r w:rsidRPr="00FF5042">
        <w:rPr>
          <w:rFonts w:asciiTheme="majorHAnsi" w:hAnsiTheme="majorHAnsi"/>
          <w:sz w:val="20"/>
          <w:szCs w:val="20"/>
        </w:rPr>
        <w:t>The petitioners indicate that in response to this situation, the alleged victims lodged a</w:t>
      </w:r>
      <w:r>
        <w:rPr>
          <w:rFonts w:asciiTheme="majorHAnsi" w:hAnsiTheme="majorHAnsi"/>
          <w:sz w:val="20"/>
          <w:szCs w:val="20"/>
        </w:rPr>
        <w:t>n</w:t>
      </w:r>
      <w:r w:rsidRPr="00FF5042">
        <w:rPr>
          <w:rFonts w:asciiTheme="majorHAnsi" w:hAnsiTheme="majorHAnsi"/>
          <w:sz w:val="20"/>
          <w:szCs w:val="20"/>
        </w:rPr>
        <w:t xml:space="preserve"> appeal</w:t>
      </w:r>
      <w:r>
        <w:rPr>
          <w:rFonts w:asciiTheme="majorHAnsi" w:hAnsiTheme="majorHAnsi"/>
          <w:sz w:val="20"/>
          <w:szCs w:val="20"/>
        </w:rPr>
        <w:t xml:space="preserve"> for protection of constitutional rights (</w:t>
      </w:r>
      <w:proofErr w:type="spellStart"/>
      <w:r>
        <w:rPr>
          <w:rFonts w:asciiTheme="majorHAnsi" w:hAnsiTheme="majorHAnsi"/>
          <w:i/>
          <w:iCs/>
          <w:sz w:val="20"/>
          <w:szCs w:val="20"/>
        </w:rPr>
        <w:t>recurso</w:t>
      </w:r>
      <w:proofErr w:type="spellEnd"/>
      <w:r>
        <w:rPr>
          <w:rFonts w:asciiTheme="majorHAnsi" w:hAnsiTheme="majorHAnsi"/>
          <w:i/>
          <w:iCs/>
          <w:sz w:val="20"/>
          <w:szCs w:val="20"/>
        </w:rPr>
        <w:t xml:space="preserve"> de a</w:t>
      </w:r>
      <w:r w:rsidRPr="00A44FEF">
        <w:rPr>
          <w:rFonts w:asciiTheme="majorHAnsi" w:hAnsiTheme="majorHAnsi"/>
          <w:i/>
          <w:iCs/>
          <w:sz w:val="20"/>
          <w:szCs w:val="20"/>
        </w:rPr>
        <w:t>mparo</w:t>
      </w:r>
      <w:r>
        <w:rPr>
          <w:rFonts w:asciiTheme="majorHAnsi" w:hAnsiTheme="majorHAnsi"/>
          <w:sz w:val="20"/>
          <w:szCs w:val="20"/>
        </w:rPr>
        <w:t>)</w:t>
      </w:r>
      <w:r w:rsidRPr="00FF5042">
        <w:rPr>
          <w:rFonts w:asciiTheme="majorHAnsi" w:hAnsiTheme="majorHAnsi"/>
          <w:sz w:val="20"/>
          <w:szCs w:val="20"/>
        </w:rPr>
        <w:t xml:space="preserve"> on December 12, 2012, </w:t>
      </w:r>
      <w:r w:rsidRPr="00114CEC">
        <w:rPr>
          <w:rFonts w:asciiTheme="majorHAnsi" w:hAnsiTheme="majorHAnsi"/>
          <w:sz w:val="20"/>
          <w:szCs w:val="20"/>
        </w:rPr>
        <w:t>including objections to the</w:t>
      </w:r>
      <w:r w:rsidRPr="00FF5042">
        <w:rPr>
          <w:rFonts w:asciiTheme="majorHAnsi" w:hAnsiTheme="majorHAnsi"/>
          <w:sz w:val="20"/>
          <w:szCs w:val="20"/>
        </w:rPr>
        <w:t xml:space="preserve"> four newly appo</w:t>
      </w:r>
      <w:r>
        <w:rPr>
          <w:rFonts w:asciiTheme="majorHAnsi" w:hAnsiTheme="majorHAnsi"/>
          <w:sz w:val="20"/>
          <w:szCs w:val="20"/>
        </w:rPr>
        <w:t xml:space="preserve">inted justices and the justice who was not removed from office, in the belief that these individuals would have a direct interest in the case if it were to come before them. </w:t>
      </w:r>
      <w:r w:rsidRPr="00FF5042">
        <w:rPr>
          <w:rFonts w:asciiTheme="majorHAnsi" w:hAnsiTheme="majorHAnsi"/>
          <w:sz w:val="20"/>
          <w:szCs w:val="20"/>
        </w:rPr>
        <w:t>Moreover, on th</w:t>
      </w:r>
      <w:r>
        <w:rPr>
          <w:rFonts w:asciiTheme="majorHAnsi" w:hAnsiTheme="majorHAnsi"/>
          <w:sz w:val="20"/>
          <w:szCs w:val="20"/>
        </w:rPr>
        <w:t>at</w:t>
      </w:r>
      <w:r w:rsidRPr="00FF5042">
        <w:rPr>
          <w:rFonts w:asciiTheme="majorHAnsi" w:hAnsiTheme="majorHAnsi"/>
          <w:sz w:val="20"/>
          <w:szCs w:val="20"/>
        </w:rPr>
        <w:t xml:space="preserve"> same date</w:t>
      </w:r>
      <w:r>
        <w:rPr>
          <w:rFonts w:asciiTheme="majorHAnsi" w:hAnsiTheme="majorHAnsi"/>
          <w:sz w:val="20"/>
          <w:szCs w:val="20"/>
        </w:rPr>
        <w:t xml:space="preserve">, a </w:t>
      </w:r>
      <w:r w:rsidRPr="00FF5042">
        <w:rPr>
          <w:rFonts w:asciiTheme="majorHAnsi" w:hAnsiTheme="majorHAnsi"/>
          <w:sz w:val="20"/>
          <w:szCs w:val="20"/>
        </w:rPr>
        <w:t xml:space="preserve">civil organization </w:t>
      </w:r>
      <w:r>
        <w:rPr>
          <w:rFonts w:asciiTheme="majorHAnsi" w:hAnsiTheme="majorHAnsi"/>
          <w:sz w:val="20"/>
          <w:szCs w:val="20"/>
        </w:rPr>
        <w:t xml:space="preserve">called </w:t>
      </w:r>
      <w:r w:rsidRPr="00FF5042">
        <w:rPr>
          <w:rFonts w:asciiTheme="majorHAnsi" w:hAnsiTheme="majorHAnsi"/>
          <w:sz w:val="20"/>
          <w:szCs w:val="20"/>
        </w:rPr>
        <w:t>the “Bar of Anti-Corruption Lawyers” (</w:t>
      </w:r>
      <w:r w:rsidRPr="00FF5042">
        <w:rPr>
          <w:rFonts w:asciiTheme="majorHAnsi" w:hAnsiTheme="majorHAnsi"/>
          <w:i/>
          <w:iCs/>
          <w:sz w:val="20"/>
          <w:szCs w:val="20"/>
        </w:rPr>
        <w:t xml:space="preserve">Barra de Abogados </w:t>
      </w:r>
      <w:proofErr w:type="spellStart"/>
      <w:r w:rsidRPr="00FF5042">
        <w:rPr>
          <w:rFonts w:asciiTheme="majorHAnsi" w:hAnsiTheme="majorHAnsi"/>
          <w:i/>
          <w:iCs/>
          <w:sz w:val="20"/>
          <w:szCs w:val="20"/>
        </w:rPr>
        <w:t>Hondureños</w:t>
      </w:r>
      <w:proofErr w:type="spellEnd"/>
      <w:r w:rsidRPr="00FF5042">
        <w:rPr>
          <w:rFonts w:asciiTheme="majorHAnsi" w:hAnsiTheme="majorHAnsi"/>
          <w:i/>
          <w:iCs/>
          <w:sz w:val="20"/>
          <w:szCs w:val="20"/>
        </w:rPr>
        <w:t xml:space="preserve"> </w:t>
      </w:r>
      <w:proofErr w:type="spellStart"/>
      <w:r w:rsidRPr="00FF5042">
        <w:rPr>
          <w:rFonts w:asciiTheme="majorHAnsi" w:hAnsiTheme="majorHAnsi"/>
          <w:i/>
          <w:iCs/>
          <w:sz w:val="20"/>
          <w:szCs w:val="20"/>
        </w:rPr>
        <w:t>Anticorrupción</w:t>
      </w:r>
      <w:proofErr w:type="spellEnd"/>
      <w:r w:rsidRPr="00FF5042">
        <w:rPr>
          <w:rFonts w:asciiTheme="majorHAnsi" w:hAnsiTheme="majorHAnsi"/>
          <w:sz w:val="20"/>
          <w:szCs w:val="20"/>
        </w:rPr>
        <w:t xml:space="preserve">) filed another </w:t>
      </w:r>
      <w:r>
        <w:rPr>
          <w:rFonts w:asciiTheme="majorHAnsi" w:hAnsiTheme="majorHAnsi"/>
          <w:i/>
          <w:iCs/>
          <w:sz w:val="20"/>
          <w:szCs w:val="20"/>
        </w:rPr>
        <w:t>a</w:t>
      </w:r>
      <w:r w:rsidRPr="00A44FEF">
        <w:rPr>
          <w:rFonts w:asciiTheme="majorHAnsi" w:hAnsiTheme="majorHAnsi"/>
          <w:i/>
          <w:iCs/>
          <w:sz w:val="20"/>
          <w:szCs w:val="20"/>
        </w:rPr>
        <w:t>mparo</w:t>
      </w:r>
      <w:r w:rsidRPr="00FF5042">
        <w:rPr>
          <w:rFonts w:asciiTheme="majorHAnsi" w:hAnsiTheme="majorHAnsi"/>
          <w:sz w:val="20"/>
          <w:szCs w:val="20"/>
        </w:rPr>
        <w:t xml:space="preserve"> appeal, which was joined with the first appeal filed by</w:t>
      </w:r>
      <w:r>
        <w:rPr>
          <w:rFonts w:asciiTheme="majorHAnsi" w:hAnsiTheme="majorHAnsi"/>
          <w:sz w:val="20"/>
          <w:szCs w:val="20"/>
        </w:rPr>
        <w:t xml:space="preserve"> the alleged victims, to be resolved jointly. </w:t>
      </w:r>
      <w:r w:rsidRPr="00DD18DE">
        <w:rPr>
          <w:rFonts w:asciiTheme="majorHAnsi" w:hAnsiTheme="majorHAnsi"/>
          <w:sz w:val="20"/>
          <w:szCs w:val="20"/>
        </w:rPr>
        <w:t xml:space="preserve">The petitioners indicate that the newly constituted Constitutional Chamber </w:t>
      </w:r>
      <w:r>
        <w:rPr>
          <w:rFonts w:asciiTheme="majorHAnsi" w:hAnsiTheme="majorHAnsi"/>
          <w:sz w:val="20"/>
          <w:szCs w:val="20"/>
        </w:rPr>
        <w:t>declined to hear</w:t>
      </w:r>
      <w:r w:rsidRPr="00DD18DE">
        <w:rPr>
          <w:rFonts w:asciiTheme="majorHAnsi" w:hAnsiTheme="majorHAnsi"/>
          <w:sz w:val="20"/>
          <w:szCs w:val="20"/>
        </w:rPr>
        <w:t xml:space="preserve"> the case and that the President of the Supreme Court then proceeded to </w:t>
      </w:r>
      <w:r>
        <w:rPr>
          <w:rFonts w:asciiTheme="majorHAnsi" w:hAnsiTheme="majorHAnsi"/>
          <w:sz w:val="20"/>
          <w:szCs w:val="20"/>
        </w:rPr>
        <w:t>set up</w:t>
      </w:r>
      <w:r w:rsidRPr="00DD18DE">
        <w:rPr>
          <w:rFonts w:asciiTheme="majorHAnsi" w:hAnsiTheme="majorHAnsi"/>
          <w:sz w:val="20"/>
          <w:szCs w:val="20"/>
        </w:rPr>
        <w:t xml:space="preserve"> a Second Special Chamber made up of other Supreme Court justices. They </w:t>
      </w:r>
      <w:r>
        <w:rPr>
          <w:rFonts w:asciiTheme="majorHAnsi" w:hAnsiTheme="majorHAnsi"/>
          <w:sz w:val="20"/>
          <w:szCs w:val="20"/>
        </w:rPr>
        <w:t>explain</w:t>
      </w:r>
      <w:r w:rsidRPr="00DD18DE">
        <w:rPr>
          <w:rFonts w:asciiTheme="majorHAnsi" w:hAnsiTheme="majorHAnsi"/>
          <w:sz w:val="20"/>
          <w:szCs w:val="20"/>
        </w:rPr>
        <w:t xml:space="preserve"> that the new Special Chamber also </w:t>
      </w:r>
      <w:r>
        <w:rPr>
          <w:rFonts w:asciiTheme="majorHAnsi" w:hAnsiTheme="majorHAnsi"/>
          <w:sz w:val="20"/>
          <w:szCs w:val="20"/>
        </w:rPr>
        <w:t xml:space="preserve">declined to hear </w:t>
      </w:r>
      <w:r w:rsidRPr="00DD18DE">
        <w:rPr>
          <w:rFonts w:asciiTheme="majorHAnsi" w:hAnsiTheme="majorHAnsi"/>
          <w:sz w:val="20"/>
          <w:szCs w:val="20"/>
        </w:rPr>
        <w:t>the case and that as a result</w:t>
      </w:r>
      <w:r>
        <w:rPr>
          <w:rFonts w:asciiTheme="majorHAnsi" w:hAnsiTheme="majorHAnsi"/>
          <w:sz w:val="20"/>
          <w:szCs w:val="20"/>
        </w:rPr>
        <w:t xml:space="preserve">, </w:t>
      </w:r>
      <w:r w:rsidRPr="00DD18DE">
        <w:rPr>
          <w:rFonts w:asciiTheme="majorHAnsi" w:hAnsiTheme="majorHAnsi"/>
          <w:sz w:val="20"/>
          <w:szCs w:val="20"/>
        </w:rPr>
        <w:t xml:space="preserve">the President of the </w:t>
      </w:r>
      <w:r>
        <w:rPr>
          <w:rFonts w:asciiTheme="majorHAnsi" w:hAnsiTheme="majorHAnsi"/>
          <w:sz w:val="20"/>
          <w:szCs w:val="20"/>
        </w:rPr>
        <w:t xml:space="preserve">Supreme </w:t>
      </w:r>
      <w:r w:rsidRPr="00DD18DE">
        <w:rPr>
          <w:rFonts w:asciiTheme="majorHAnsi" w:hAnsiTheme="majorHAnsi"/>
          <w:sz w:val="20"/>
          <w:szCs w:val="20"/>
        </w:rPr>
        <w:t>Court</w:t>
      </w:r>
      <w:r>
        <w:rPr>
          <w:rFonts w:asciiTheme="majorHAnsi" w:hAnsiTheme="majorHAnsi"/>
          <w:sz w:val="20"/>
          <w:szCs w:val="20"/>
        </w:rPr>
        <w:t xml:space="preserve"> created a Third Special Chamber</w:t>
      </w:r>
      <w:r w:rsidRPr="00DD18DE">
        <w:rPr>
          <w:rFonts w:asciiTheme="majorHAnsi" w:hAnsiTheme="majorHAnsi"/>
          <w:sz w:val="20"/>
          <w:szCs w:val="20"/>
        </w:rPr>
        <w:t xml:space="preserve">. </w:t>
      </w:r>
    </w:p>
    <w:p w14:paraId="3A66E10C" w14:textId="77777777" w:rsidR="00E6692A" w:rsidRPr="00DD18DE" w:rsidRDefault="00E6692A" w:rsidP="00E6692A">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jc w:val="both"/>
        <w:rPr>
          <w:rFonts w:asciiTheme="majorHAnsi" w:hAnsiTheme="majorHAnsi"/>
          <w:color w:val="000000" w:themeColor="text1"/>
          <w:sz w:val="20"/>
          <w:szCs w:val="20"/>
        </w:rPr>
      </w:pPr>
    </w:p>
    <w:p w14:paraId="17D44D06" w14:textId="77777777" w:rsidR="00E6692A" w:rsidRPr="00893540" w:rsidRDefault="00E6692A" w:rsidP="00E6692A">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ind w:left="0" w:firstLine="0"/>
        <w:jc w:val="both"/>
        <w:rPr>
          <w:rFonts w:asciiTheme="majorHAnsi" w:hAnsiTheme="majorHAnsi"/>
          <w:color w:val="000000" w:themeColor="text1"/>
          <w:sz w:val="20"/>
          <w:szCs w:val="20"/>
        </w:rPr>
      </w:pPr>
      <w:r w:rsidRPr="00673E1C">
        <w:rPr>
          <w:rFonts w:asciiTheme="majorHAnsi" w:hAnsiTheme="majorHAnsi"/>
          <w:sz w:val="20"/>
          <w:szCs w:val="20"/>
        </w:rPr>
        <w:t xml:space="preserve">The petitioners indicate that on January 29, 2013, the Special Chamber, by a majority of votes (four to one) refused </w:t>
      </w:r>
      <w:r>
        <w:rPr>
          <w:rFonts w:asciiTheme="majorHAnsi" w:hAnsiTheme="majorHAnsi"/>
          <w:sz w:val="20"/>
          <w:szCs w:val="20"/>
        </w:rPr>
        <w:t xml:space="preserve">from the outset </w:t>
      </w:r>
      <w:r w:rsidRPr="00673E1C">
        <w:rPr>
          <w:rFonts w:asciiTheme="majorHAnsi" w:hAnsiTheme="majorHAnsi"/>
          <w:sz w:val="20"/>
          <w:szCs w:val="20"/>
        </w:rPr>
        <w:t>to grant constitutional protection,</w:t>
      </w:r>
      <w:r>
        <w:rPr>
          <w:rFonts w:asciiTheme="majorHAnsi" w:hAnsiTheme="majorHAnsi"/>
          <w:sz w:val="20"/>
          <w:szCs w:val="20"/>
        </w:rPr>
        <w:t xml:space="preserve"> arguing that the actions of the Congress were beyond this Chamber’s jurisdiction. </w:t>
      </w:r>
      <w:r w:rsidRPr="00673E1C">
        <w:rPr>
          <w:rFonts w:asciiTheme="majorHAnsi" w:hAnsiTheme="majorHAnsi"/>
          <w:sz w:val="20"/>
          <w:szCs w:val="20"/>
        </w:rPr>
        <w:t xml:space="preserve">It found that </w:t>
      </w:r>
      <w:r>
        <w:rPr>
          <w:rFonts w:asciiTheme="majorHAnsi" w:hAnsiTheme="majorHAnsi"/>
          <w:sz w:val="20"/>
          <w:szCs w:val="20"/>
        </w:rPr>
        <w:t xml:space="preserve">congressional </w:t>
      </w:r>
      <w:r w:rsidRPr="00673E1C">
        <w:rPr>
          <w:rFonts w:asciiTheme="majorHAnsi" w:hAnsiTheme="majorHAnsi"/>
          <w:sz w:val="20"/>
          <w:szCs w:val="20"/>
        </w:rPr>
        <w:t>deputies</w:t>
      </w:r>
      <w:r>
        <w:rPr>
          <w:rFonts w:asciiTheme="majorHAnsi" w:hAnsiTheme="majorHAnsi"/>
          <w:sz w:val="20"/>
          <w:szCs w:val="20"/>
        </w:rPr>
        <w:t xml:space="preserve"> </w:t>
      </w:r>
      <w:r w:rsidRPr="00673E1C">
        <w:rPr>
          <w:rFonts w:asciiTheme="majorHAnsi" w:hAnsiTheme="majorHAnsi"/>
          <w:sz w:val="20"/>
          <w:szCs w:val="20"/>
        </w:rPr>
        <w:t xml:space="preserve">have only legislative functions and that they </w:t>
      </w:r>
      <w:r>
        <w:rPr>
          <w:rFonts w:asciiTheme="majorHAnsi" w:hAnsiTheme="majorHAnsi"/>
          <w:sz w:val="20"/>
          <w:szCs w:val="20"/>
        </w:rPr>
        <w:t>do</w:t>
      </w:r>
      <w:r w:rsidRPr="00673E1C">
        <w:rPr>
          <w:rFonts w:asciiTheme="majorHAnsi" w:hAnsiTheme="majorHAnsi"/>
          <w:sz w:val="20"/>
          <w:szCs w:val="20"/>
        </w:rPr>
        <w:t xml:space="preserve"> not fall under the </w:t>
      </w:r>
      <w:r>
        <w:rPr>
          <w:rFonts w:asciiTheme="majorHAnsi" w:hAnsiTheme="majorHAnsi"/>
          <w:sz w:val="20"/>
          <w:szCs w:val="20"/>
        </w:rPr>
        <w:t>category</w:t>
      </w:r>
      <w:r w:rsidRPr="00673E1C">
        <w:rPr>
          <w:rFonts w:asciiTheme="majorHAnsi" w:hAnsiTheme="majorHAnsi"/>
          <w:sz w:val="20"/>
          <w:szCs w:val="20"/>
        </w:rPr>
        <w:t xml:space="preserve"> of public officials, whose actions can be </w:t>
      </w:r>
      <w:r>
        <w:rPr>
          <w:rFonts w:asciiTheme="majorHAnsi" w:hAnsiTheme="majorHAnsi"/>
          <w:sz w:val="20"/>
          <w:szCs w:val="20"/>
        </w:rPr>
        <w:t xml:space="preserve">subject to </w:t>
      </w:r>
      <w:r w:rsidRPr="00B843C2">
        <w:rPr>
          <w:rFonts w:asciiTheme="majorHAnsi" w:hAnsiTheme="majorHAnsi"/>
          <w:sz w:val="20"/>
          <w:szCs w:val="20"/>
        </w:rPr>
        <w:t xml:space="preserve">constitutional </w:t>
      </w:r>
      <w:r>
        <w:rPr>
          <w:rFonts w:asciiTheme="majorHAnsi" w:hAnsiTheme="majorHAnsi"/>
          <w:sz w:val="20"/>
          <w:szCs w:val="20"/>
        </w:rPr>
        <w:t>appeals.</w:t>
      </w:r>
      <w:r w:rsidRPr="00673E1C">
        <w:rPr>
          <w:rFonts w:asciiTheme="majorHAnsi" w:hAnsiTheme="majorHAnsi"/>
          <w:sz w:val="20"/>
          <w:szCs w:val="20"/>
        </w:rPr>
        <w:t xml:space="preserve"> </w:t>
      </w:r>
      <w:r w:rsidRPr="00B843C2">
        <w:rPr>
          <w:rFonts w:asciiTheme="majorHAnsi" w:hAnsiTheme="majorHAnsi"/>
          <w:sz w:val="20"/>
          <w:szCs w:val="20"/>
        </w:rPr>
        <w:t xml:space="preserve">The petitioners indicate that provisions of the Law on Constitutional Justice establish that when the jurisdictional body </w:t>
      </w:r>
      <w:r>
        <w:rPr>
          <w:rFonts w:asciiTheme="majorHAnsi" w:hAnsiTheme="majorHAnsi"/>
          <w:sz w:val="20"/>
          <w:szCs w:val="20"/>
        </w:rPr>
        <w:t>declares</w:t>
      </w:r>
      <w:r w:rsidRPr="00B843C2">
        <w:rPr>
          <w:rFonts w:asciiTheme="majorHAnsi" w:hAnsiTheme="majorHAnsi"/>
          <w:sz w:val="20"/>
          <w:szCs w:val="20"/>
        </w:rPr>
        <w:t xml:space="preserve"> that it lacks competence to hear a constitutional appeal, it must </w:t>
      </w:r>
      <w:r>
        <w:rPr>
          <w:rFonts w:asciiTheme="majorHAnsi" w:hAnsiTheme="majorHAnsi"/>
          <w:sz w:val="20"/>
          <w:szCs w:val="20"/>
        </w:rPr>
        <w:t>forward</w:t>
      </w:r>
      <w:r w:rsidRPr="00B843C2">
        <w:rPr>
          <w:rFonts w:asciiTheme="majorHAnsi" w:hAnsiTheme="majorHAnsi"/>
          <w:sz w:val="20"/>
          <w:szCs w:val="20"/>
        </w:rPr>
        <w:t xml:space="preserve"> the case to the </w:t>
      </w:r>
      <w:r w:rsidRPr="00B94188">
        <w:rPr>
          <w:rFonts w:asciiTheme="majorHAnsi" w:hAnsiTheme="majorHAnsi"/>
          <w:sz w:val="20"/>
          <w:szCs w:val="20"/>
        </w:rPr>
        <w:t xml:space="preserve">competent </w:t>
      </w:r>
      <w:r>
        <w:rPr>
          <w:rFonts w:asciiTheme="majorHAnsi" w:hAnsiTheme="majorHAnsi"/>
          <w:sz w:val="20"/>
          <w:szCs w:val="20"/>
        </w:rPr>
        <w:t>officer</w:t>
      </w:r>
      <w:r w:rsidRPr="00B94188">
        <w:rPr>
          <w:rFonts w:asciiTheme="majorHAnsi" w:hAnsiTheme="majorHAnsi"/>
          <w:sz w:val="20"/>
          <w:szCs w:val="20"/>
        </w:rPr>
        <w:t xml:space="preserve"> within</w:t>
      </w:r>
      <w:r>
        <w:rPr>
          <w:rFonts w:asciiTheme="majorHAnsi" w:hAnsiTheme="majorHAnsi"/>
          <w:sz w:val="20"/>
          <w:szCs w:val="20"/>
        </w:rPr>
        <w:t xml:space="preserve"> the following</w:t>
      </w:r>
      <w:r w:rsidRPr="00B843C2">
        <w:rPr>
          <w:rFonts w:asciiTheme="majorHAnsi" w:hAnsiTheme="majorHAnsi"/>
          <w:sz w:val="20"/>
          <w:szCs w:val="20"/>
        </w:rPr>
        <w:t xml:space="preserve"> 24 </w:t>
      </w:r>
      <w:r>
        <w:rPr>
          <w:rFonts w:asciiTheme="majorHAnsi" w:hAnsiTheme="majorHAnsi"/>
          <w:sz w:val="20"/>
          <w:szCs w:val="20"/>
        </w:rPr>
        <w:t>hours</w:t>
      </w:r>
      <w:r w:rsidRPr="00B843C2">
        <w:rPr>
          <w:rFonts w:asciiTheme="majorHAnsi" w:hAnsiTheme="majorHAnsi"/>
          <w:sz w:val="20"/>
          <w:szCs w:val="20"/>
        </w:rPr>
        <w:t xml:space="preserve">. </w:t>
      </w:r>
      <w:r w:rsidRPr="00063368">
        <w:rPr>
          <w:rFonts w:asciiTheme="majorHAnsi" w:hAnsiTheme="majorHAnsi"/>
          <w:sz w:val="20"/>
          <w:szCs w:val="20"/>
        </w:rPr>
        <w:t xml:space="preserve">They maintain, however, that the Special Chamber refrained from </w:t>
      </w:r>
      <w:r>
        <w:rPr>
          <w:rFonts w:asciiTheme="majorHAnsi" w:hAnsiTheme="majorHAnsi"/>
          <w:sz w:val="20"/>
          <w:szCs w:val="20"/>
        </w:rPr>
        <w:t>sending</w:t>
      </w:r>
      <w:r w:rsidRPr="00063368">
        <w:rPr>
          <w:rFonts w:asciiTheme="majorHAnsi" w:hAnsiTheme="majorHAnsi"/>
          <w:sz w:val="20"/>
          <w:szCs w:val="20"/>
        </w:rPr>
        <w:t xml:space="preserve"> the case file to </w:t>
      </w:r>
      <w:r>
        <w:rPr>
          <w:rFonts w:asciiTheme="majorHAnsi" w:hAnsiTheme="majorHAnsi"/>
          <w:sz w:val="20"/>
          <w:szCs w:val="20"/>
        </w:rPr>
        <w:t xml:space="preserve">any other authority. </w:t>
      </w:r>
      <w:r w:rsidRPr="00063368">
        <w:rPr>
          <w:rFonts w:asciiTheme="majorHAnsi" w:hAnsiTheme="majorHAnsi"/>
          <w:sz w:val="20"/>
          <w:szCs w:val="20"/>
        </w:rPr>
        <w:t xml:space="preserve">They submit that the arbitrary interpretation of the Constitution violated the alleged victims’ right of </w:t>
      </w:r>
      <w:r>
        <w:rPr>
          <w:rFonts w:asciiTheme="majorHAnsi" w:hAnsiTheme="majorHAnsi"/>
          <w:sz w:val="20"/>
          <w:szCs w:val="20"/>
        </w:rPr>
        <w:t>access to justice.</w:t>
      </w:r>
      <w:r w:rsidRPr="00893540">
        <w:rPr>
          <w:rFonts w:asciiTheme="majorHAnsi" w:hAnsiTheme="majorHAnsi"/>
          <w:sz w:val="20"/>
          <w:szCs w:val="20"/>
        </w:rPr>
        <w:t xml:space="preserve"> </w:t>
      </w:r>
    </w:p>
    <w:p w14:paraId="469B937B" w14:textId="77777777" w:rsidR="00E6692A" w:rsidRPr="00893540" w:rsidRDefault="00E6692A" w:rsidP="00E6692A">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jc w:val="both"/>
        <w:rPr>
          <w:rFonts w:asciiTheme="majorHAnsi" w:hAnsiTheme="majorHAnsi"/>
          <w:color w:val="000000" w:themeColor="text1"/>
          <w:sz w:val="20"/>
          <w:szCs w:val="20"/>
        </w:rPr>
      </w:pPr>
    </w:p>
    <w:p w14:paraId="5975A747" w14:textId="77777777" w:rsidR="00E6692A" w:rsidRPr="007620B6" w:rsidRDefault="00E6692A" w:rsidP="00E6692A">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ind w:left="0" w:firstLine="0"/>
        <w:jc w:val="both"/>
        <w:rPr>
          <w:rFonts w:asciiTheme="majorHAnsi" w:hAnsiTheme="majorHAnsi"/>
          <w:color w:val="000000" w:themeColor="text1"/>
          <w:sz w:val="20"/>
          <w:szCs w:val="20"/>
        </w:rPr>
      </w:pPr>
      <w:r w:rsidRPr="00893540">
        <w:rPr>
          <w:rFonts w:asciiTheme="majorHAnsi" w:hAnsiTheme="majorHAnsi"/>
          <w:sz w:val="20"/>
          <w:szCs w:val="20"/>
        </w:rPr>
        <w:t xml:space="preserve">The petitioners </w:t>
      </w:r>
      <w:r>
        <w:rPr>
          <w:rFonts w:asciiTheme="majorHAnsi" w:hAnsiTheme="majorHAnsi"/>
          <w:sz w:val="20"/>
          <w:szCs w:val="20"/>
        </w:rPr>
        <w:t>say</w:t>
      </w:r>
      <w:r w:rsidRPr="00893540">
        <w:rPr>
          <w:rFonts w:asciiTheme="majorHAnsi" w:hAnsiTheme="majorHAnsi"/>
          <w:sz w:val="20"/>
          <w:szCs w:val="20"/>
        </w:rPr>
        <w:t xml:space="preserve"> that since the </w:t>
      </w:r>
      <w:proofErr w:type="gramStart"/>
      <w:r w:rsidRPr="00893540">
        <w:rPr>
          <w:rFonts w:asciiTheme="majorHAnsi" w:hAnsiTheme="majorHAnsi"/>
          <w:sz w:val="20"/>
          <w:szCs w:val="20"/>
        </w:rPr>
        <w:t>aforementioned judgment</w:t>
      </w:r>
      <w:proofErr w:type="gramEnd"/>
      <w:r w:rsidRPr="00893540">
        <w:rPr>
          <w:rFonts w:asciiTheme="majorHAnsi" w:hAnsiTheme="majorHAnsi"/>
          <w:sz w:val="20"/>
          <w:szCs w:val="20"/>
        </w:rPr>
        <w:t xml:space="preserve"> was not unanimous, the Plenary of the Supreme Court analyzed the </w:t>
      </w:r>
      <w:r>
        <w:rPr>
          <w:rFonts w:asciiTheme="majorHAnsi" w:hAnsiTheme="majorHAnsi"/>
          <w:i/>
          <w:iCs/>
          <w:sz w:val="20"/>
          <w:szCs w:val="20"/>
        </w:rPr>
        <w:t>a</w:t>
      </w:r>
      <w:r w:rsidRPr="00A44FEF">
        <w:rPr>
          <w:rFonts w:asciiTheme="majorHAnsi" w:hAnsiTheme="majorHAnsi"/>
          <w:i/>
          <w:iCs/>
          <w:sz w:val="20"/>
          <w:szCs w:val="20"/>
        </w:rPr>
        <w:t>mparo</w:t>
      </w:r>
      <w:r w:rsidRPr="00FF5042">
        <w:rPr>
          <w:rFonts w:asciiTheme="majorHAnsi" w:hAnsiTheme="majorHAnsi"/>
          <w:sz w:val="20"/>
          <w:szCs w:val="20"/>
        </w:rPr>
        <w:t xml:space="preserve"> </w:t>
      </w:r>
      <w:r w:rsidRPr="00893540">
        <w:rPr>
          <w:rFonts w:asciiTheme="majorHAnsi" w:hAnsiTheme="majorHAnsi"/>
          <w:sz w:val="20"/>
          <w:szCs w:val="20"/>
        </w:rPr>
        <w:t xml:space="preserve">appeal filed by the alleged victims, and that on February </w:t>
      </w:r>
      <w:r>
        <w:rPr>
          <w:rFonts w:asciiTheme="majorHAnsi" w:hAnsiTheme="majorHAnsi"/>
          <w:sz w:val="20"/>
          <w:szCs w:val="20"/>
        </w:rPr>
        <w:t xml:space="preserve">6, </w:t>
      </w:r>
      <w:r w:rsidRPr="00893540">
        <w:rPr>
          <w:rFonts w:asciiTheme="majorHAnsi" w:hAnsiTheme="majorHAnsi"/>
          <w:sz w:val="20"/>
          <w:szCs w:val="20"/>
        </w:rPr>
        <w:t>2013</w:t>
      </w:r>
      <w:r>
        <w:rPr>
          <w:rFonts w:asciiTheme="majorHAnsi" w:hAnsiTheme="majorHAnsi"/>
          <w:sz w:val="20"/>
          <w:szCs w:val="20"/>
        </w:rPr>
        <w:t>, it ruled to dismiss it</w:t>
      </w:r>
      <w:r w:rsidRPr="00893540">
        <w:rPr>
          <w:rFonts w:asciiTheme="majorHAnsi" w:hAnsiTheme="majorHAnsi"/>
          <w:sz w:val="20"/>
          <w:szCs w:val="20"/>
        </w:rPr>
        <w:t xml:space="preserve"> (</w:t>
      </w:r>
      <w:r>
        <w:rPr>
          <w:rFonts w:asciiTheme="majorHAnsi" w:hAnsiTheme="majorHAnsi"/>
          <w:sz w:val="20"/>
          <w:szCs w:val="20"/>
        </w:rPr>
        <w:t>by</w:t>
      </w:r>
      <w:r w:rsidRPr="00893540">
        <w:rPr>
          <w:rFonts w:asciiTheme="majorHAnsi" w:hAnsiTheme="majorHAnsi"/>
          <w:sz w:val="20"/>
          <w:szCs w:val="20"/>
        </w:rPr>
        <w:t xml:space="preserve"> 13 </w:t>
      </w:r>
      <w:r>
        <w:rPr>
          <w:rFonts w:asciiTheme="majorHAnsi" w:hAnsiTheme="majorHAnsi"/>
          <w:sz w:val="20"/>
          <w:szCs w:val="20"/>
        </w:rPr>
        <w:t>votes in</w:t>
      </w:r>
      <w:r w:rsidRPr="00893540">
        <w:rPr>
          <w:rFonts w:asciiTheme="majorHAnsi" w:hAnsiTheme="majorHAnsi"/>
          <w:sz w:val="20"/>
          <w:szCs w:val="20"/>
        </w:rPr>
        <w:t xml:space="preserve"> favor </w:t>
      </w:r>
      <w:r>
        <w:rPr>
          <w:rFonts w:asciiTheme="majorHAnsi" w:hAnsiTheme="majorHAnsi"/>
          <w:sz w:val="20"/>
          <w:szCs w:val="20"/>
        </w:rPr>
        <w:t>and</w:t>
      </w:r>
      <w:r w:rsidRPr="00893540">
        <w:rPr>
          <w:rFonts w:asciiTheme="majorHAnsi" w:hAnsiTheme="majorHAnsi"/>
          <w:sz w:val="20"/>
          <w:szCs w:val="20"/>
        </w:rPr>
        <w:t xml:space="preserve"> 2 </w:t>
      </w:r>
      <w:r>
        <w:rPr>
          <w:rFonts w:asciiTheme="majorHAnsi" w:hAnsiTheme="majorHAnsi"/>
          <w:sz w:val="20"/>
          <w:szCs w:val="20"/>
        </w:rPr>
        <w:t>votes against</w:t>
      </w:r>
      <w:r w:rsidRPr="00893540">
        <w:rPr>
          <w:rFonts w:asciiTheme="majorHAnsi" w:hAnsiTheme="majorHAnsi"/>
          <w:sz w:val="20"/>
          <w:szCs w:val="20"/>
        </w:rPr>
        <w:t xml:space="preserve">), </w:t>
      </w:r>
      <w:r>
        <w:rPr>
          <w:rFonts w:asciiTheme="majorHAnsi" w:hAnsiTheme="majorHAnsi"/>
          <w:sz w:val="20"/>
          <w:szCs w:val="20"/>
        </w:rPr>
        <w:t xml:space="preserve">arguing that it lacked jurisdiction to hear or decide it. </w:t>
      </w:r>
      <w:r w:rsidRPr="00893540">
        <w:rPr>
          <w:rFonts w:asciiTheme="majorHAnsi" w:hAnsiTheme="majorHAnsi"/>
          <w:sz w:val="20"/>
          <w:szCs w:val="20"/>
        </w:rPr>
        <w:t>The</w:t>
      </w:r>
      <w:r>
        <w:rPr>
          <w:rFonts w:asciiTheme="majorHAnsi" w:hAnsiTheme="majorHAnsi"/>
          <w:sz w:val="20"/>
          <w:szCs w:val="20"/>
        </w:rPr>
        <w:t xml:space="preserve"> petitioners</w:t>
      </w:r>
      <w:r w:rsidRPr="00893540">
        <w:rPr>
          <w:rFonts w:asciiTheme="majorHAnsi" w:hAnsiTheme="majorHAnsi"/>
          <w:sz w:val="20"/>
          <w:szCs w:val="20"/>
        </w:rPr>
        <w:t xml:space="preserve"> indicate that the ruling simply reiterated the arguments of the </w:t>
      </w:r>
      <w:r>
        <w:rPr>
          <w:rFonts w:asciiTheme="majorHAnsi" w:hAnsiTheme="majorHAnsi"/>
          <w:sz w:val="20"/>
          <w:szCs w:val="20"/>
        </w:rPr>
        <w:t>judgment of January 29,</w:t>
      </w:r>
      <w:r w:rsidRPr="00893540">
        <w:rPr>
          <w:rFonts w:asciiTheme="majorHAnsi" w:hAnsiTheme="majorHAnsi"/>
          <w:sz w:val="20"/>
          <w:szCs w:val="20"/>
        </w:rPr>
        <w:t xml:space="preserve"> 2013. They submit that this demonstrates the ineffectiveness of the domestic remedies, the distorted interpretation of basic rights, and the lack of judicial independence of the Supreme </w:t>
      </w:r>
      <w:r w:rsidRPr="007620B6">
        <w:rPr>
          <w:rFonts w:asciiTheme="majorHAnsi" w:hAnsiTheme="majorHAnsi"/>
          <w:sz w:val="20"/>
          <w:szCs w:val="20"/>
        </w:rPr>
        <w:t xml:space="preserve">Court of Justice. </w:t>
      </w:r>
    </w:p>
    <w:p w14:paraId="119F4795" w14:textId="77777777" w:rsidR="00E6692A" w:rsidRPr="00893540" w:rsidRDefault="00E6692A" w:rsidP="00E6692A">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jc w:val="both"/>
        <w:rPr>
          <w:rFonts w:asciiTheme="majorHAnsi" w:hAnsiTheme="majorHAnsi"/>
          <w:color w:val="000000" w:themeColor="text1"/>
          <w:sz w:val="20"/>
          <w:szCs w:val="20"/>
        </w:rPr>
      </w:pPr>
    </w:p>
    <w:p w14:paraId="2689CB1D" w14:textId="77777777" w:rsidR="00E6692A" w:rsidRPr="00AE6803" w:rsidRDefault="00E6692A" w:rsidP="00E6692A">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ind w:left="0" w:firstLine="0"/>
        <w:jc w:val="both"/>
        <w:rPr>
          <w:rFonts w:asciiTheme="majorHAnsi" w:hAnsiTheme="majorHAnsi"/>
          <w:color w:val="000000" w:themeColor="text1"/>
          <w:sz w:val="20"/>
          <w:szCs w:val="20"/>
        </w:rPr>
      </w:pPr>
      <w:r w:rsidRPr="00893540">
        <w:rPr>
          <w:rFonts w:asciiTheme="majorHAnsi" w:hAnsiTheme="majorHAnsi"/>
          <w:sz w:val="20"/>
          <w:szCs w:val="20"/>
        </w:rPr>
        <w:t xml:space="preserve">The petitioners state that they filed an appeal for review of that decision </w:t>
      </w:r>
      <w:r>
        <w:rPr>
          <w:rFonts w:asciiTheme="majorHAnsi" w:hAnsiTheme="majorHAnsi"/>
          <w:sz w:val="20"/>
          <w:szCs w:val="20"/>
        </w:rPr>
        <w:t>(</w:t>
      </w:r>
      <w:proofErr w:type="spellStart"/>
      <w:r w:rsidRPr="00466298">
        <w:rPr>
          <w:rFonts w:asciiTheme="majorHAnsi" w:hAnsiTheme="majorHAnsi"/>
          <w:i/>
          <w:iCs/>
          <w:sz w:val="20"/>
          <w:szCs w:val="20"/>
        </w:rPr>
        <w:t>recurso</w:t>
      </w:r>
      <w:proofErr w:type="spellEnd"/>
      <w:r w:rsidRPr="00466298">
        <w:rPr>
          <w:rFonts w:asciiTheme="majorHAnsi" w:hAnsiTheme="majorHAnsi"/>
          <w:i/>
          <w:iCs/>
          <w:sz w:val="20"/>
          <w:szCs w:val="20"/>
        </w:rPr>
        <w:t xml:space="preserve"> de </w:t>
      </w:r>
      <w:proofErr w:type="spellStart"/>
      <w:r w:rsidRPr="00466298">
        <w:rPr>
          <w:rFonts w:asciiTheme="majorHAnsi" w:hAnsiTheme="majorHAnsi"/>
          <w:i/>
          <w:iCs/>
          <w:sz w:val="20"/>
          <w:szCs w:val="20"/>
        </w:rPr>
        <w:t>reposición</w:t>
      </w:r>
      <w:proofErr w:type="spellEnd"/>
      <w:r>
        <w:rPr>
          <w:rFonts w:asciiTheme="majorHAnsi" w:hAnsiTheme="majorHAnsi"/>
          <w:sz w:val="20"/>
          <w:szCs w:val="20"/>
        </w:rPr>
        <w:t xml:space="preserve">) </w:t>
      </w:r>
      <w:r w:rsidRPr="00893540">
        <w:rPr>
          <w:rFonts w:asciiTheme="majorHAnsi" w:hAnsiTheme="majorHAnsi"/>
          <w:sz w:val="20"/>
          <w:szCs w:val="20"/>
        </w:rPr>
        <w:t xml:space="preserve">but that </w:t>
      </w:r>
      <w:r>
        <w:rPr>
          <w:rFonts w:asciiTheme="majorHAnsi" w:hAnsiTheme="majorHAnsi"/>
          <w:sz w:val="20"/>
          <w:szCs w:val="20"/>
        </w:rPr>
        <w:t xml:space="preserve">on February 18, 2013, </w:t>
      </w:r>
      <w:r w:rsidRPr="00893540">
        <w:rPr>
          <w:rFonts w:asciiTheme="majorHAnsi" w:hAnsiTheme="majorHAnsi"/>
          <w:sz w:val="20"/>
          <w:szCs w:val="20"/>
        </w:rPr>
        <w:t>the Plenary of the Supreme Court dismissed it (again by 13 votes in favor and 2 against)</w:t>
      </w:r>
      <w:r>
        <w:rPr>
          <w:rFonts w:asciiTheme="majorHAnsi" w:hAnsiTheme="majorHAnsi"/>
          <w:sz w:val="20"/>
          <w:szCs w:val="20"/>
        </w:rPr>
        <w:t>, on the grounds that judgments, once signed, cannot be changed.</w:t>
      </w:r>
      <w:r w:rsidRPr="00893540">
        <w:rPr>
          <w:rFonts w:asciiTheme="majorHAnsi" w:hAnsiTheme="majorHAnsi"/>
          <w:sz w:val="20"/>
          <w:szCs w:val="20"/>
        </w:rPr>
        <w:t xml:space="preserve"> </w:t>
      </w:r>
      <w:r w:rsidRPr="00AE6803">
        <w:rPr>
          <w:rFonts w:asciiTheme="majorHAnsi" w:hAnsiTheme="majorHAnsi"/>
          <w:sz w:val="20"/>
          <w:szCs w:val="20"/>
        </w:rPr>
        <w:t xml:space="preserve">They </w:t>
      </w:r>
      <w:r>
        <w:rPr>
          <w:rFonts w:asciiTheme="majorHAnsi" w:hAnsiTheme="majorHAnsi"/>
          <w:sz w:val="20"/>
          <w:szCs w:val="20"/>
        </w:rPr>
        <w:t>argue</w:t>
      </w:r>
      <w:r w:rsidRPr="00AE6803">
        <w:rPr>
          <w:rFonts w:asciiTheme="majorHAnsi" w:hAnsiTheme="majorHAnsi"/>
          <w:sz w:val="20"/>
          <w:szCs w:val="20"/>
        </w:rPr>
        <w:t xml:space="preserve"> that this confirmed that the domestic remedies are merely useless and ineffective formalities, as</w:t>
      </w:r>
      <w:r>
        <w:rPr>
          <w:rFonts w:asciiTheme="majorHAnsi" w:hAnsiTheme="majorHAnsi"/>
          <w:sz w:val="20"/>
          <w:szCs w:val="20"/>
        </w:rPr>
        <w:t xml:space="preserve"> they led to the complete denial of justice to the alleged victims. </w:t>
      </w:r>
      <w:r w:rsidRPr="00AE6803">
        <w:rPr>
          <w:rFonts w:asciiTheme="majorHAnsi" w:hAnsiTheme="majorHAnsi"/>
          <w:sz w:val="20"/>
          <w:szCs w:val="20"/>
        </w:rPr>
        <w:t xml:space="preserve">They also maintain that having been illegally and arbitrarily dismissed, the alleged </w:t>
      </w:r>
      <w:r w:rsidRPr="00AE6803">
        <w:rPr>
          <w:rFonts w:asciiTheme="majorHAnsi" w:hAnsiTheme="majorHAnsi"/>
          <w:sz w:val="20"/>
          <w:szCs w:val="20"/>
        </w:rPr>
        <w:lastRenderedPageBreak/>
        <w:t>victims have been deprived of th</w:t>
      </w:r>
      <w:r>
        <w:rPr>
          <w:rFonts w:asciiTheme="majorHAnsi" w:hAnsiTheme="majorHAnsi"/>
          <w:sz w:val="20"/>
          <w:szCs w:val="20"/>
        </w:rPr>
        <w:t>eir right to remain in office and of the opportunity to be reelected, which thus violated their right to work.</w:t>
      </w:r>
    </w:p>
    <w:p w14:paraId="0F41E2EB" w14:textId="77777777" w:rsidR="00E6692A" w:rsidRPr="00AE6803" w:rsidRDefault="00E6692A" w:rsidP="00E6692A">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jc w:val="both"/>
        <w:rPr>
          <w:rFonts w:asciiTheme="majorHAnsi" w:hAnsiTheme="majorHAnsi"/>
          <w:color w:val="000000" w:themeColor="text1"/>
          <w:sz w:val="20"/>
          <w:szCs w:val="20"/>
        </w:rPr>
      </w:pPr>
    </w:p>
    <w:p w14:paraId="6DAAFA81" w14:textId="77777777" w:rsidR="00E6692A" w:rsidRPr="002115E2" w:rsidRDefault="00E6692A" w:rsidP="00E6692A">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ind w:left="0" w:firstLine="0"/>
        <w:jc w:val="both"/>
        <w:rPr>
          <w:rFonts w:asciiTheme="majorHAnsi" w:hAnsiTheme="majorHAnsi"/>
          <w:color w:val="000000" w:themeColor="text1"/>
          <w:sz w:val="20"/>
          <w:szCs w:val="20"/>
        </w:rPr>
      </w:pPr>
      <w:r w:rsidRPr="002700E4">
        <w:rPr>
          <w:rFonts w:asciiTheme="majorHAnsi" w:hAnsiTheme="majorHAnsi"/>
          <w:sz w:val="20"/>
          <w:szCs w:val="20"/>
        </w:rPr>
        <w:t xml:space="preserve">The petitioners </w:t>
      </w:r>
      <w:r>
        <w:rPr>
          <w:rFonts w:asciiTheme="majorHAnsi" w:hAnsiTheme="majorHAnsi"/>
          <w:sz w:val="20"/>
          <w:szCs w:val="20"/>
        </w:rPr>
        <w:t>point out</w:t>
      </w:r>
      <w:r w:rsidRPr="002700E4">
        <w:rPr>
          <w:rFonts w:asciiTheme="majorHAnsi" w:hAnsiTheme="majorHAnsi"/>
          <w:sz w:val="20"/>
          <w:szCs w:val="20"/>
        </w:rPr>
        <w:t xml:space="preserve"> that since the four justices were wrongfully removed, the Constitutional Chamber is made up of illegally appointed </w:t>
      </w:r>
      <w:r>
        <w:rPr>
          <w:rFonts w:asciiTheme="majorHAnsi" w:hAnsiTheme="majorHAnsi"/>
          <w:sz w:val="20"/>
          <w:szCs w:val="20"/>
        </w:rPr>
        <w:t xml:space="preserve">replacements. </w:t>
      </w:r>
      <w:r w:rsidRPr="002115E2">
        <w:rPr>
          <w:rFonts w:asciiTheme="majorHAnsi" w:hAnsiTheme="majorHAnsi"/>
          <w:sz w:val="20"/>
          <w:szCs w:val="20"/>
        </w:rPr>
        <w:t>They indicate that this demonstrates the judiciary</w:t>
      </w:r>
      <w:r>
        <w:rPr>
          <w:rFonts w:asciiTheme="majorHAnsi" w:hAnsiTheme="majorHAnsi"/>
          <w:sz w:val="20"/>
          <w:szCs w:val="20"/>
        </w:rPr>
        <w:t>’s</w:t>
      </w:r>
      <w:r w:rsidRPr="002115E2">
        <w:rPr>
          <w:rFonts w:asciiTheme="majorHAnsi" w:hAnsiTheme="majorHAnsi"/>
          <w:sz w:val="20"/>
          <w:szCs w:val="20"/>
        </w:rPr>
        <w:t xml:space="preserve"> submission </w:t>
      </w:r>
      <w:r>
        <w:rPr>
          <w:rFonts w:asciiTheme="majorHAnsi" w:hAnsiTheme="majorHAnsi"/>
          <w:sz w:val="20"/>
          <w:szCs w:val="20"/>
        </w:rPr>
        <w:t xml:space="preserve">to the legislative and executive branches. </w:t>
      </w:r>
      <w:r w:rsidRPr="002115E2">
        <w:rPr>
          <w:rFonts w:asciiTheme="majorHAnsi" w:hAnsiTheme="majorHAnsi"/>
          <w:sz w:val="20"/>
          <w:szCs w:val="20"/>
        </w:rPr>
        <w:t>Moreover, they claim that the alleged victims, since their dismissal, have been constantly threatened and harassed by police officers an</w:t>
      </w:r>
      <w:r>
        <w:rPr>
          <w:rFonts w:asciiTheme="majorHAnsi" w:hAnsiTheme="majorHAnsi"/>
          <w:sz w:val="20"/>
          <w:szCs w:val="20"/>
        </w:rPr>
        <w:t xml:space="preserve">d unidentified individuals. </w:t>
      </w:r>
      <w:r w:rsidRPr="002115E2">
        <w:rPr>
          <w:rFonts w:asciiTheme="majorHAnsi" w:hAnsiTheme="majorHAnsi"/>
          <w:sz w:val="20"/>
          <w:szCs w:val="20"/>
        </w:rPr>
        <w:t xml:space="preserve">They submit that these incidents have been </w:t>
      </w:r>
      <w:r w:rsidRPr="00FA14E5">
        <w:rPr>
          <w:rFonts w:asciiTheme="majorHAnsi" w:hAnsiTheme="majorHAnsi"/>
          <w:sz w:val="20"/>
          <w:szCs w:val="20"/>
        </w:rPr>
        <w:t>reported to the Attorney General’s Office and</w:t>
      </w:r>
      <w:r w:rsidRPr="002115E2">
        <w:rPr>
          <w:rFonts w:asciiTheme="majorHAnsi" w:hAnsiTheme="majorHAnsi"/>
          <w:sz w:val="20"/>
          <w:szCs w:val="20"/>
        </w:rPr>
        <w:t xml:space="preserve"> brought to the attention of the National Human Rights Commission</w:t>
      </w:r>
      <w:r>
        <w:rPr>
          <w:rFonts w:asciiTheme="majorHAnsi" w:hAnsiTheme="majorHAnsi"/>
          <w:sz w:val="20"/>
          <w:szCs w:val="20"/>
        </w:rPr>
        <w:t xml:space="preserve"> </w:t>
      </w:r>
      <w:r w:rsidRPr="002115E2">
        <w:rPr>
          <w:rFonts w:asciiTheme="majorHAnsi" w:hAnsiTheme="majorHAnsi"/>
          <w:sz w:val="20"/>
          <w:szCs w:val="20"/>
        </w:rPr>
        <w:t xml:space="preserve">and the Committee of Relatives of the </w:t>
      </w:r>
      <w:proofErr w:type="gramStart"/>
      <w:r>
        <w:rPr>
          <w:rFonts w:asciiTheme="majorHAnsi" w:hAnsiTheme="majorHAnsi"/>
          <w:sz w:val="20"/>
          <w:szCs w:val="20"/>
        </w:rPr>
        <w:t>Detained–</w:t>
      </w:r>
      <w:r w:rsidRPr="002115E2">
        <w:rPr>
          <w:rFonts w:asciiTheme="majorHAnsi" w:hAnsiTheme="majorHAnsi"/>
          <w:sz w:val="20"/>
          <w:szCs w:val="20"/>
        </w:rPr>
        <w:t>Disappeared</w:t>
      </w:r>
      <w:proofErr w:type="gramEnd"/>
      <w:r w:rsidRPr="002115E2">
        <w:rPr>
          <w:rFonts w:asciiTheme="majorHAnsi" w:hAnsiTheme="majorHAnsi"/>
          <w:sz w:val="20"/>
          <w:szCs w:val="20"/>
        </w:rPr>
        <w:t xml:space="preserve"> in Honduras but that St</w:t>
      </w:r>
      <w:r>
        <w:rPr>
          <w:rFonts w:asciiTheme="majorHAnsi" w:hAnsiTheme="majorHAnsi"/>
          <w:sz w:val="20"/>
          <w:szCs w:val="20"/>
        </w:rPr>
        <w:t xml:space="preserve">ate authorities have failed to take any steps to investigate or afford protection. </w:t>
      </w:r>
      <w:r w:rsidRPr="002115E2">
        <w:rPr>
          <w:rFonts w:asciiTheme="majorHAnsi" w:hAnsiTheme="majorHAnsi"/>
          <w:sz w:val="20"/>
          <w:szCs w:val="20"/>
        </w:rPr>
        <w:t>Furthermore, the petitioners claim that both the President of the Republic and the President and deputies of the Congress have lodged frivolous and malicious accusations against the alleged victims, which harm the dign</w:t>
      </w:r>
      <w:r>
        <w:rPr>
          <w:rFonts w:asciiTheme="majorHAnsi" w:hAnsiTheme="majorHAnsi"/>
          <w:sz w:val="20"/>
          <w:szCs w:val="20"/>
        </w:rPr>
        <w:t xml:space="preserve">ity and honor of the alleged victims themselves and their families. </w:t>
      </w:r>
    </w:p>
    <w:p w14:paraId="53591C5A" w14:textId="77777777" w:rsidR="00E6692A" w:rsidRPr="002115E2" w:rsidRDefault="00E6692A" w:rsidP="00E6692A">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jc w:val="both"/>
        <w:rPr>
          <w:rFonts w:asciiTheme="majorHAnsi" w:hAnsiTheme="majorHAnsi"/>
          <w:color w:val="000000" w:themeColor="text1"/>
          <w:sz w:val="20"/>
          <w:szCs w:val="20"/>
        </w:rPr>
      </w:pPr>
    </w:p>
    <w:p w14:paraId="1CA17B58" w14:textId="77777777" w:rsidR="00E6692A" w:rsidRPr="00DB55CD" w:rsidRDefault="00E6692A" w:rsidP="00E6692A">
      <w:pPr>
        <w:pStyle w:val="Ttulo2"/>
        <w:numPr>
          <w:ilvl w:val="0"/>
          <w:numId w:val="66"/>
        </w:numPr>
        <w:jc w:val="left"/>
      </w:pPr>
      <w:bookmarkStart w:id="4" w:name="_Toc69410056"/>
      <w:r>
        <w:t>State</w:t>
      </w:r>
      <w:bookmarkEnd w:id="4"/>
      <w:r w:rsidRPr="00DB55CD">
        <w:t xml:space="preserve"> </w:t>
      </w:r>
    </w:p>
    <w:p w14:paraId="7A059FDA" w14:textId="77777777" w:rsidR="00E6692A" w:rsidRPr="00DB55CD" w:rsidRDefault="00E6692A" w:rsidP="00E6692A">
      <w:pPr>
        <w:tabs>
          <w:tab w:val="left" w:pos="360"/>
        </w:tabs>
        <w:suppressAutoHyphens/>
        <w:rPr>
          <w:rFonts w:asciiTheme="majorHAnsi" w:hAnsiTheme="majorHAnsi"/>
          <w:sz w:val="20"/>
          <w:szCs w:val="20"/>
          <w:lang w:val="es-ES_tradnl"/>
        </w:rPr>
      </w:pPr>
    </w:p>
    <w:p w14:paraId="44D279F0" w14:textId="77777777" w:rsidR="00E6692A" w:rsidRPr="006F26CA" w:rsidRDefault="00E6692A" w:rsidP="00E6692A">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ind w:left="0" w:firstLine="0"/>
        <w:jc w:val="both"/>
        <w:rPr>
          <w:rFonts w:asciiTheme="majorHAnsi" w:hAnsiTheme="majorHAnsi"/>
          <w:color w:val="000000" w:themeColor="text1"/>
          <w:sz w:val="20"/>
          <w:szCs w:val="20"/>
        </w:rPr>
      </w:pPr>
      <w:r w:rsidRPr="006F26CA">
        <w:rPr>
          <w:rFonts w:asciiTheme="majorHAnsi" w:hAnsiTheme="majorHAnsi"/>
          <w:sz w:val="20"/>
          <w:szCs w:val="20"/>
        </w:rPr>
        <w:t xml:space="preserve">For its part, the State maintains that the procedure followed by the National Congress ensured the alleged victims’ right of due process. It claims that on December 10, 2012, the Congress created a </w:t>
      </w:r>
      <w:r>
        <w:rPr>
          <w:rFonts w:asciiTheme="majorHAnsi" w:hAnsiTheme="majorHAnsi"/>
          <w:sz w:val="20"/>
          <w:szCs w:val="20"/>
        </w:rPr>
        <w:t>S</w:t>
      </w:r>
      <w:r w:rsidRPr="006F26CA">
        <w:rPr>
          <w:rFonts w:asciiTheme="majorHAnsi" w:hAnsiTheme="majorHAnsi"/>
          <w:sz w:val="20"/>
          <w:szCs w:val="20"/>
        </w:rPr>
        <w:t>pecial Committee that investigated the administrative conduct of the justices of the Supreme Court</w:t>
      </w:r>
      <w:r>
        <w:rPr>
          <w:rFonts w:asciiTheme="majorHAnsi" w:hAnsiTheme="majorHAnsi"/>
          <w:sz w:val="20"/>
          <w:szCs w:val="20"/>
        </w:rPr>
        <w:t xml:space="preserve">, </w:t>
      </w:r>
      <w:proofErr w:type="gramStart"/>
      <w:r>
        <w:rPr>
          <w:rFonts w:asciiTheme="majorHAnsi" w:hAnsiTheme="majorHAnsi"/>
          <w:sz w:val="20"/>
          <w:szCs w:val="20"/>
        </w:rPr>
        <w:t>in particular those</w:t>
      </w:r>
      <w:proofErr w:type="gramEnd"/>
      <w:r>
        <w:rPr>
          <w:rFonts w:asciiTheme="majorHAnsi" w:hAnsiTheme="majorHAnsi"/>
          <w:sz w:val="20"/>
          <w:szCs w:val="20"/>
        </w:rPr>
        <w:t xml:space="preserve"> on the Constitutional Chamber. </w:t>
      </w:r>
      <w:r w:rsidRPr="006F26CA">
        <w:rPr>
          <w:rFonts w:asciiTheme="majorHAnsi" w:hAnsiTheme="majorHAnsi"/>
          <w:sz w:val="20"/>
          <w:szCs w:val="20"/>
        </w:rPr>
        <w:t>It points out that the investigation concerned “their administrative conduct in matters of public security, by way of complementing the efforts made by the Congress in reforming the Constitution and</w:t>
      </w:r>
      <w:r>
        <w:rPr>
          <w:rFonts w:asciiTheme="majorHAnsi" w:hAnsiTheme="majorHAnsi"/>
          <w:sz w:val="20"/>
          <w:szCs w:val="20"/>
        </w:rPr>
        <w:t xml:space="preserve"> issuing specific laws to afford more security to the citizens.”</w:t>
      </w:r>
      <w:r w:rsidRPr="006F26CA">
        <w:rPr>
          <w:rFonts w:asciiTheme="majorHAnsi" w:hAnsiTheme="majorHAnsi"/>
          <w:sz w:val="20"/>
          <w:szCs w:val="20"/>
        </w:rPr>
        <w:t xml:space="preserve"> </w:t>
      </w:r>
    </w:p>
    <w:p w14:paraId="599CBCE2" w14:textId="77777777" w:rsidR="00E6692A" w:rsidRPr="00E903DC" w:rsidRDefault="00E6692A" w:rsidP="00E6692A">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jc w:val="both"/>
        <w:rPr>
          <w:rFonts w:asciiTheme="majorHAnsi" w:hAnsiTheme="majorHAnsi"/>
          <w:color w:val="000000" w:themeColor="text1"/>
          <w:sz w:val="20"/>
          <w:szCs w:val="20"/>
        </w:rPr>
      </w:pPr>
    </w:p>
    <w:p w14:paraId="6D071BFD" w14:textId="77777777" w:rsidR="00E6692A" w:rsidRPr="00AF341F" w:rsidRDefault="00E6692A" w:rsidP="00E6692A">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ind w:left="0" w:firstLine="0"/>
        <w:jc w:val="both"/>
        <w:rPr>
          <w:rFonts w:asciiTheme="majorHAnsi" w:hAnsiTheme="majorHAnsi"/>
          <w:color w:val="000000" w:themeColor="text1"/>
          <w:sz w:val="20"/>
          <w:szCs w:val="20"/>
        </w:rPr>
      </w:pPr>
      <w:r w:rsidRPr="00E903DC">
        <w:rPr>
          <w:rFonts w:asciiTheme="majorHAnsi" w:hAnsiTheme="majorHAnsi"/>
          <w:sz w:val="20"/>
          <w:szCs w:val="20"/>
        </w:rPr>
        <w:t xml:space="preserve">The State </w:t>
      </w:r>
      <w:r>
        <w:rPr>
          <w:rFonts w:asciiTheme="majorHAnsi" w:hAnsiTheme="majorHAnsi"/>
          <w:sz w:val="20"/>
          <w:szCs w:val="20"/>
        </w:rPr>
        <w:t>submits</w:t>
      </w:r>
      <w:r w:rsidRPr="00E903DC">
        <w:rPr>
          <w:rFonts w:asciiTheme="majorHAnsi" w:hAnsiTheme="majorHAnsi"/>
          <w:sz w:val="20"/>
          <w:szCs w:val="20"/>
        </w:rPr>
        <w:t xml:space="preserve"> that the Committee’s report established that the constitutional complaint filed to challenge the </w:t>
      </w:r>
      <w:r w:rsidRPr="00A44339">
        <w:rPr>
          <w:rFonts w:asciiTheme="majorHAnsi" w:hAnsiTheme="majorHAnsi"/>
          <w:sz w:val="20"/>
          <w:szCs w:val="20"/>
        </w:rPr>
        <w:t xml:space="preserve">Special Law to Purge the Police Force of Corruption was resolved on November 27, 2012, </w:t>
      </w:r>
      <w:r>
        <w:rPr>
          <w:rFonts w:asciiTheme="majorHAnsi" w:hAnsiTheme="majorHAnsi"/>
          <w:sz w:val="20"/>
          <w:szCs w:val="20"/>
        </w:rPr>
        <w:t>after</w:t>
      </w:r>
      <w:r w:rsidRPr="00A44339">
        <w:rPr>
          <w:rFonts w:asciiTheme="majorHAnsi" w:hAnsiTheme="majorHAnsi"/>
          <w:sz w:val="20"/>
          <w:szCs w:val="20"/>
        </w:rPr>
        <w:t xml:space="preserve"> that law was no longer in force. In this regard, it notes that Decree 89-2012 concerning the Special Law to Purge the Police Force of Corruption</w:t>
      </w:r>
      <w:r w:rsidRPr="00E903DC">
        <w:rPr>
          <w:rFonts w:asciiTheme="majorHAnsi" w:hAnsiTheme="majorHAnsi"/>
          <w:sz w:val="20"/>
          <w:szCs w:val="20"/>
        </w:rPr>
        <w:t xml:space="preserve"> was i</w:t>
      </w:r>
      <w:r>
        <w:rPr>
          <w:rFonts w:asciiTheme="majorHAnsi" w:hAnsiTheme="majorHAnsi"/>
          <w:sz w:val="20"/>
          <w:szCs w:val="20"/>
        </w:rPr>
        <w:t xml:space="preserve">n force from May 25, </w:t>
      </w:r>
      <w:r w:rsidRPr="00E903DC">
        <w:rPr>
          <w:rFonts w:asciiTheme="majorHAnsi" w:hAnsiTheme="majorHAnsi"/>
          <w:sz w:val="20"/>
          <w:szCs w:val="20"/>
        </w:rPr>
        <w:t>2012</w:t>
      </w:r>
      <w:r>
        <w:rPr>
          <w:rFonts w:asciiTheme="majorHAnsi" w:hAnsiTheme="majorHAnsi"/>
          <w:sz w:val="20"/>
          <w:szCs w:val="20"/>
        </w:rPr>
        <w:t xml:space="preserve">, to November </w:t>
      </w:r>
      <w:r w:rsidRPr="00E903DC">
        <w:rPr>
          <w:rFonts w:asciiTheme="majorHAnsi" w:hAnsiTheme="majorHAnsi"/>
          <w:sz w:val="20"/>
          <w:szCs w:val="20"/>
        </w:rPr>
        <w:t>25</w:t>
      </w:r>
      <w:r>
        <w:rPr>
          <w:rFonts w:asciiTheme="majorHAnsi" w:hAnsiTheme="majorHAnsi"/>
          <w:sz w:val="20"/>
          <w:szCs w:val="20"/>
        </w:rPr>
        <w:t xml:space="preserve">, </w:t>
      </w:r>
      <w:r w:rsidRPr="00E903DC">
        <w:rPr>
          <w:rFonts w:asciiTheme="majorHAnsi" w:hAnsiTheme="majorHAnsi"/>
          <w:sz w:val="20"/>
          <w:szCs w:val="20"/>
        </w:rPr>
        <w:t xml:space="preserve">2012. </w:t>
      </w:r>
      <w:r w:rsidRPr="00AF341F">
        <w:rPr>
          <w:rFonts w:asciiTheme="majorHAnsi" w:hAnsiTheme="majorHAnsi"/>
          <w:sz w:val="20"/>
          <w:szCs w:val="20"/>
        </w:rPr>
        <w:t xml:space="preserve">The Committee therefore deemed that the Constitutional Chamber’s decision was inconsistent with the security policy implemented by the legislative and executive branches, and </w:t>
      </w:r>
      <w:r w:rsidRPr="00600363">
        <w:rPr>
          <w:rFonts w:asciiTheme="majorHAnsi" w:hAnsiTheme="majorHAnsi"/>
          <w:sz w:val="20"/>
          <w:szCs w:val="20"/>
        </w:rPr>
        <w:t>that it caused serious harm</w:t>
      </w:r>
      <w:r w:rsidRPr="00AF341F">
        <w:rPr>
          <w:rFonts w:asciiTheme="majorHAnsi" w:hAnsiTheme="majorHAnsi"/>
          <w:sz w:val="20"/>
          <w:szCs w:val="20"/>
        </w:rPr>
        <w:t xml:space="preserve"> </w:t>
      </w:r>
      <w:r>
        <w:rPr>
          <w:rFonts w:asciiTheme="majorHAnsi" w:hAnsiTheme="majorHAnsi"/>
          <w:sz w:val="20"/>
          <w:szCs w:val="20"/>
        </w:rPr>
        <w:t>to</w:t>
      </w:r>
      <w:r w:rsidRPr="00AF341F">
        <w:rPr>
          <w:rFonts w:asciiTheme="majorHAnsi" w:hAnsiTheme="majorHAnsi"/>
          <w:sz w:val="20"/>
          <w:szCs w:val="20"/>
        </w:rPr>
        <w:t xml:space="preserve"> the State</w:t>
      </w:r>
      <w:r>
        <w:rPr>
          <w:rFonts w:asciiTheme="majorHAnsi" w:hAnsiTheme="majorHAnsi"/>
          <w:sz w:val="20"/>
          <w:szCs w:val="20"/>
        </w:rPr>
        <w:t xml:space="preserve"> because it represented </w:t>
      </w:r>
      <w:r w:rsidRPr="00AF341F">
        <w:rPr>
          <w:rFonts w:asciiTheme="majorHAnsi" w:hAnsiTheme="majorHAnsi"/>
          <w:sz w:val="20"/>
          <w:szCs w:val="20"/>
        </w:rPr>
        <w:t xml:space="preserve">a setback in the progress </w:t>
      </w:r>
      <w:r>
        <w:rPr>
          <w:rFonts w:asciiTheme="majorHAnsi" w:hAnsiTheme="majorHAnsi"/>
          <w:sz w:val="20"/>
          <w:szCs w:val="20"/>
        </w:rPr>
        <w:t>made</w:t>
      </w:r>
      <w:r w:rsidRPr="00AF341F">
        <w:rPr>
          <w:rFonts w:asciiTheme="majorHAnsi" w:hAnsiTheme="majorHAnsi"/>
          <w:sz w:val="20"/>
          <w:szCs w:val="20"/>
        </w:rPr>
        <w:t xml:space="preserve"> in </w:t>
      </w:r>
      <w:r>
        <w:rPr>
          <w:rFonts w:asciiTheme="majorHAnsi" w:hAnsiTheme="majorHAnsi"/>
          <w:sz w:val="20"/>
          <w:szCs w:val="20"/>
        </w:rPr>
        <w:t>fighting</w:t>
      </w:r>
      <w:r w:rsidRPr="00AF341F">
        <w:rPr>
          <w:rFonts w:asciiTheme="majorHAnsi" w:hAnsiTheme="majorHAnsi"/>
          <w:sz w:val="20"/>
          <w:szCs w:val="20"/>
        </w:rPr>
        <w:t xml:space="preserve"> crime and jeopardized the security of people and their property. </w:t>
      </w:r>
    </w:p>
    <w:p w14:paraId="44C9BCB6" w14:textId="77777777" w:rsidR="00E6692A" w:rsidRPr="00AF341F" w:rsidRDefault="00E6692A" w:rsidP="00E6692A">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jc w:val="both"/>
        <w:rPr>
          <w:rFonts w:asciiTheme="majorHAnsi" w:hAnsiTheme="majorHAnsi"/>
          <w:color w:val="000000" w:themeColor="text1"/>
          <w:sz w:val="20"/>
          <w:szCs w:val="20"/>
        </w:rPr>
      </w:pPr>
    </w:p>
    <w:p w14:paraId="0A595914" w14:textId="77777777" w:rsidR="00E6692A" w:rsidRPr="00AF341F" w:rsidRDefault="00E6692A" w:rsidP="00E6692A">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ind w:left="0" w:firstLine="0"/>
        <w:jc w:val="both"/>
        <w:rPr>
          <w:rFonts w:asciiTheme="majorHAnsi" w:hAnsiTheme="majorHAnsi"/>
          <w:color w:val="000000" w:themeColor="text1"/>
          <w:sz w:val="20"/>
          <w:szCs w:val="20"/>
        </w:rPr>
      </w:pPr>
      <w:r w:rsidRPr="00AF341F">
        <w:rPr>
          <w:rFonts w:asciiTheme="majorHAnsi" w:hAnsiTheme="majorHAnsi"/>
          <w:sz w:val="20"/>
          <w:szCs w:val="20"/>
        </w:rPr>
        <w:t xml:space="preserve">The State indicates that several congressional </w:t>
      </w:r>
      <w:r>
        <w:rPr>
          <w:rFonts w:asciiTheme="majorHAnsi" w:hAnsiTheme="majorHAnsi"/>
          <w:sz w:val="20"/>
          <w:szCs w:val="20"/>
        </w:rPr>
        <w:t>deputies</w:t>
      </w:r>
      <w:r w:rsidRPr="00AF341F">
        <w:rPr>
          <w:rFonts w:asciiTheme="majorHAnsi" w:hAnsiTheme="majorHAnsi"/>
          <w:sz w:val="20"/>
          <w:szCs w:val="20"/>
        </w:rPr>
        <w:t xml:space="preserve"> believed that the conduct of the justices of the Constitutional Chamber was manifestly contrary to the State’s public interest and that, as a result, they lodged a motion request</w:t>
      </w:r>
      <w:r>
        <w:rPr>
          <w:rFonts w:asciiTheme="majorHAnsi" w:hAnsiTheme="majorHAnsi"/>
          <w:sz w:val="20"/>
          <w:szCs w:val="20"/>
        </w:rPr>
        <w:t>ing</w:t>
      </w:r>
      <w:r w:rsidRPr="00AF341F">
        <w:rPr>
          <w:rFonts w:asciiTheme="majorHAnsi" w:hAnsiTheme="majorHAnsi"/>
          <w:sz w:val="20"/>
          <w:szCs w:val="20"/>
        </w:rPr>
        <w:t xml:space="preserve"> their immediate removal from of</w:t>
      </w:r>
      <w:r>
        <w:rPr>
          <w:rFonts w:asciiTheme="majorHAnsi" w:hAnsiTheme="majorHAnsi"/>
          <w:sz w:val="20"/>
          <w:szCs w:val="20"/>
        </w:rPr>
        <w:t xml:space="preserve">fice. </w:t>
      </w:r>
      <w:r w:rsidRPr="00AF341F">
        <w:rPr>
          <w:rFonts w:asciiTheme="majorHAnsi" w:hAnsiTheme="majorHAnsi"/>
          <w:sz w:val="20"/>
          <w:szCs w:val="20"/>
        </w:rPr>
        <w:t xml:space="preserve">The State submits that afterward, the judicial vacancies were filled pursuant to </w:t>
      </w:r>
      <w:r>
        <w:rPr>
          <w:rFonts w:asciiTheme="majorHAnsi" w:hAnsiTheme="majorHAnsi"/>
          <w:sz w:val="20"/>
          <w:szCs w:val="20"/>
        </w:rPr>
        <w:t xml:space="preserve">the provisions of </w:t>
      </w:r>
      <w:r w:rsidRPr="00AF341F">
        <w:rPr>
          <w:rFonts w:asciiTheme="majorHAnsi" w:hAnsiTheme="majorHAnsi"/>
          <w:sz w:val="20"/>
          <w:szCs w:val="20"/>
        </w:rPr>
        <w:t xml:space="preserve">domestic </w:t>
      </w:r>
      <w:r>
        <w:rPr>
          <w:rFonts w:asciiTheme="majorHAnsi" w:hAnsiTheme="majorHAnsi"/>
          <w:sz w:val="20"/>
          <w:szCs w:val="20"/>
        </w:rPr>
        <w:t>law.</w:t>
      </w:r>
      <w:r w:rsidRPr="00AF341F">
        <w:rPr>
          <w:rFonts w:asciiTheme="majorHAnsi" w:hAnsiTheme="majorHAnsi"/>
          <w:sz w:val="20"/>
          <w:szCs w:val="20"/>
        </w:rPr>
        <w:t xml:space="preserve">  </w:t>
      </w:r>
    </w:p>
    <w:p w14:paraId="20BB0845" w14:textId="77777777" w:rsidR="00E6692A" w:rsidRPr="00AF341F" w:rsidRDefault="00E6692A" w:rsidP="00E6692A">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jc w:val="both"/>
        <w:rPr>
          <w:rFonts w:asciiTheme="majorHAnsi" w:hAnsiTheme="majorHAnsi"/>
          <w:color w:val="000000" w:themeColor="text1"/>
          <w:sz w:val="20"/>
          <w:szCs w:val="20"/>
        </w:rPr>
      </w:pPr>
    </w:p>
    <w:p w14:paraId="4238F4CA" w14:textId="77777777" w:rsidR="00E6692A" w:rsidRPr="00AF341F" w:rsidRDefault="00E6692A" w:rsidP="00E6692A">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ind w:left="0" w:firstLine="0"/>
        <w:jc w:val="both"/>
        <w:rPr>
          <w:rFonts w:asciiTheme="majorHAnsi" w:hAnsiTheme="majorHAnsi"/>
          <w:color w:val="000000" w:themeColor="text1"/>
          <w:sz w:val="20"/>
          <w:szCs w:val="20"/>
        </w:rPr>
      </w:pPr>
      <w:r w:rsidRPr="00AF341F">
        <w:rPr>
          <w:rFonts w:asciiTheme="majorHAnsi" w:hAnsiTheme="majorHAnsi"/>
          <w:sz w:val="20"/>
          <w:szCs w:val="20"/>
        </w:rPr>
        <w:t>Lastly, the State affirms that the processing and resolution of the constitutional appeal and the appeal for review were done in full observation of the rights of access to justice and due proces</w:t>
      </w:r>
      <w:r>
        <w:rPr>
          <w:rFonts w:asciiTheme="majorHAnsi" w:hAnsiTheme="majorHAnsi"/>
          <w:sz w:val="20"/>
          <w:szCs w:val="20"/>
        </w:rPr>
        <w:t xml:space="preserve">s, without any constraints on the alleged victims. </w:t>
      </w:r>
    </w:p>
    <w:p w14:paraId="1E13CC4A" w14:textId="77777777" w:rsidR="00E6692A" w:rsidRPr="00AF341F" w:rsidRDefault="00E6692A" w:rsidP="00E6692A">
      <w:pPr>
        <w:pStyle w:val="Prrafodelista"/>
        <w:rPr>
          <w:lang w:val="en-US"/>
        </w:rPr>
      </w:pPr>
    </w:p>
    <w:p w14:paraId="789103BA" w14:textId="3D18D3F8" w:rsidR="00E6692A" w:rsidRPr="00FA1D55" w:rsidRDefault="00E6692A" w:rsidP="00E6692A">
      <w:pPr>
        <w:pStyle w:val="Ttulo1"/>
      </w:pPr>
      <w:bookmarkStart w:id="5" w:name="_Toc69410057"/>
      <w:r>
        <w:t xml:space="preserve">III. </w:t>
      </w:r>
      <w:r w:rsidRPr="00FA1D55">
        <w:t>DETERMINATIONS OF FACT</w:t>
      </w:r>
      <w:bookmarkEnd w:id="5"/>
      <w:r w:rsidRPr="00FA1D55">
        <w:t xml:space="preserve"> </w:t>
      </w:r>
    </w:p>
    <w:p w14:paraId="6E48F665" w14:textId="77777777" w:rsidR="00E6692A" w:rsidRPr="00E6692A" w:rsidRDefault="00E6692A" w:rsidP="00E6692A">
      <w:pPr>
        <w:tabs>
          <w:tab w:val="left" w:pos="360"/>
        </w:tabs>
        <w:rPr>
          <w:rFonts w:asciiTheme="majorHAnsi" w:hAnsiTheme="majorHAnsi"/>
          <w:b/>
          <w:color w:val="FF0000"/>
          <w:sz w:val="20"/>
          <w:szCs w:val="20"/>
        </w:rPr>
      </w:pPr>
    </w:p>
    <w:p w14:paraId="00217C67" w14:textId="77777777" w:rsidR="00E6692A" w:rsidRPr="00DB55CD" w:rsidRDefault="00E6692A" w:rsidP="00E6692A">
      <w:pPr>
        <w:pStyle w:val="Ttulo2"/>
      </w:pPr>
      <w:bookmarkStart w:id="6" w:name="_Toc65248160"/>
      <w:bookmarkStart w:id="7" w:name="_Toc69410058"/>
      <w:r w:rsidRPr="00DB55CD">
        <w:t xml:space="preserve">A. </w:t>
      </w:r>
      <w:bookmarkEnd w:id="6"/>
      <w:r>
        <w:t>Relevant legal framework</w:t>
      </w:r>
      <w:bookmarkEnd w:id="7"/>
    </w:p>
    <w:p w14:paraId="1FAE2AB3" w14:textId="77777777" w:rsidR="00E6692A" w:rsidRPr="00E6692A" w:rsidRDefault="00E6692A" w:rsidP="00E6692A"/>
    <w:p w14:paraId="77A8E01B" w14:textId="77777777" w:rsidR="00E6692A" w:rsidRPr="00F32C92" w:rsidRDefault="00E6692A" w:rsidP="00E6692A">
      <w:pPr>
        <w:pStyle w:val="parrafos"/>
        <w:ind w:left="360" w:hanging="360"/>
        <w:rPr>
          <w:lang w:val="en-US"/>
        </w:rPr>
      </w:pPr>
      <w:r w:rsidRPr="00F32C92">
        <w:rPr>
          <w:lang w:val="en-US"/>
        </w:rPr>
        <w:t>The Constitution of Honduras establishes the following:</w:t>
      </w:r>
    </w:p>
    <w:p w14:paraId="24AA5430" w14:textId="77777777" w:rsidR="00E6692A" w:rsidRPr="00F32C92" w:rsidRDefault="00E6692A" w:rsidP="00E6692A">
      <w:pPr>
        <w:pStyle w:val="parrafos"/>
        <w:numPr>
          <w:ilvl w:val="0"/>
          <w:numId w:val="0"/>
        </w:numPr>
        <w:rPr>
          <w:lang w:val="en-US"/>
        </w:rPr>
      </w:pPr>
    </w:p>
    <w:p w14:paraId="356C69F7" w14:textId="77777777" w:rsidR="00E6692A" w:rsidRPr="00F32C92" w:rsidRDefault="00E6692A" w:rsidP="00E6692A">
      <w:pPr>
        <w:pStyle w:val="parrafos"/>
        <w:numPr>
          <w:ilvl w:val="0"/>
          <w:numId w:val="0"/>
        </w:numPr>
        <w:rPr>
          <w:lang w:val="en-US"/>
        </w:rPr>
      </w:pPr>
      <w:r w:rsidRPr="00515399">
        <w:rPr>
          <w:lang w:val="en-US"/>
        </w:rPr>
        <w:t xml:space="preserve">Article 205. </w:t>
      </w:r>
      <w:r w:rsidRPr="00F32C92">
        <w:rPr>
          <w:lang w:val="en-US"/>
        </w:rPr>
        <w:t>The National Congress shall have the following powers:</w:t>
      </w:r>
    </w:p>
    <w:p w14:paraId="1B29E8DF" w14:textId="77777777" w:rsidR="00E6692A" w:rsidRPr="00F32C92" w:rsidRDefault="00E6692A" w:rsidP="00E6692A">
      <w:pPr>
        <w:pStyle w:val="parrafos"/>
        <w:numPr>
          <w:ilvl w:val="0"/>
          <w:numId w:val="0"/>
        </w:numPr>
        <w:rPr>
          <w:lang w:val="en-US"/>
        </w:rPr>
      </w:pPr>
    </w:p>
    <w:p w14:paraId="31D77912" w14:textId="77777777" w:rsidR="00E6692A" w:rsidRPr="002F7C4A" w:rsidRDefault="00E6692A" w:rsidP="00E6692A">
      <w:pPr>
        <w:pStyle w:val="parrafos"/>
        <w:numPr>
          <w:ilvl w:val="0"/>
          <w:numId w:val="0"/>
        </w:numPr>
        <w:rPr>
          <w:lang w:val="en-US"/>
        </w:rPr>
      </w:pPr>
      <w:r>
        <w:rPr>
          <w:lang w:val="en-US"/>
        </w:rPr>
        <w:t xml:space="preserve">…. </w:t>
      </w:r>
      <w:r w:rsidRPr="002F7C4A">
        <w:rPr>
          <w:lang w:val="en-US"/>
        </w:rPr>
        <w:t xml:space="preserve">9. To elect for the corresponding term, and from the nominee pool of candidates proposed by the Nominating Board referred to in this </w:t>
      </w:r>
      <w:r>
        <w:rPr>
          <w:lang w:val="en-US"/>
        </w:rPr>
        <w:t>C</w:t>
      </w:r>
      <w:r w:rsidRPr="002F7C4A">
        <w:rPr>
          <w:lang w:val="en-US"/>
        </w:rPr>
        <w:t>onstitution, the Justices of the Supre</w:t>
      </w:r>
      <w:r>
        <w:rPr>
          <w:lang w:val="en-US"/>
        </w:rPr>
        <w:t xml:space="preserve">me Court of Justice…. </w:t>
      </w:r>
    </w:p>
    <w:p w14:paraId="324C7B03" w14:textId="77777777" w:rsidR="00E6692A" w:rsidRPr="00515399" w:rsidRDefault="00E6692A" w:rsidP="00E6692A">
      <w:pPr>
        <w:pStyle w:val="parrafos"/>
        <w:numPr>
          <w:ilvl w:val="0"/>
          <w:numId w:val="0"/>
        </w:numPr>
        <w:rPr>
          <w:lang w:val="en-US"/>
        </w:rPr>
      </w:pPr>
      <w:r w:rsidRPr="00515399">
        <w:rPr>
          <w:lang w:val="en-US"/>
        </w:rPr>
        <w:t>20. To approve or disapprove the administrative conduct of the executive branch, the judicial branch and the Supreme Election</w:t>
      </w:r>
      <w:r>
        <w:rPr>
          <w:lang w:val="en-US"/>
        </w:rPr>
        <w:t>s</w:t>
      </w:r>
      <w:r w:rsidRPr="00515399">
        <w:rPr>
          <w:lang w:val="en-US"/>
        </w:rPr>
        <w:t xml:space="preserve"> Tribunal, the Superior Tribunal of Accounts, the Office of the Attorney General of the Republic, the Office of the Attorney for the Environment, </w:t>
      </w:r>
      <w:r w:rsidRPr="00DD66AA">
        <w:rPr>
          <w:lang w:val="en-US"/>
        </w:rPr>
        <w:t>Public Ministry,</w:t>
      </w:r>
      <w:r w:rsidRPr="00515399">
        <w:rPr>
          <w:lang w:val="en-US"/>
        </w:rPr>
        <w:t xml:space="preserve"> Of</w:t>
      </w:r>
      <w:r>
        <w:rPr>
          <w:lang w:val="en-US"/>
        </w:rPr>
        <w:t>fice of the National Commissioner of Human Rights, National Registry of Persons, decentralized institutions and other Auxiliary and Special Institutions of the Stat</w:t>
      </w:r>
      <w:r w:rsidRPr="00DD66AA">
        <w:rPr>
          <w:lang w:val="en-US"/>
        </w:rPr>
        <w:t>e</w:t>
      </w:r>
      <w:r>
        <w:rPr>
          <w:lang w:val="en-US"/>
        </w:rPr>
        <w:t xml:space="preserve">. </w:t>
      </w:r>
    </w:p>
    <w:p w14:paraId="3B17E2E7" w14:textId="77777777" w:rsidR="00E6692A" w:rsidRPr="00515399" w:rsidRDefault="00E6692A" w:rsidP="00E6692A">
      <w:pPr>
        <w:pStyle w:val="parrafos"/>
        <w:numPr>
          <w:ilvl w:val="0"/>
          <w:numId w:val="0"/>
        </w:numPr>
        <w:rPr>
          <w:lang w:val="en-US"/>
        </w:rPr>
      </w:pPr>
      <w:r w:rsidRPr="00515399">
        <w:rPr>
          <w:lang w:val="en-US"/>
        </w:rPr>
        <w:lastRenderedPageBreak/>
        <w:t xml:space="preserve">21. To appoint special committees to investigate matters of national interest. The summons of such committees shall be compulsory under the </w:t>
      </w:r>
      <w:r>
        <w:rPr>
          <w:lang w:val="en-US"/>
        </w:rPr>
        <w:t xml:space="preserve">same penalty </w:t>
      </w:r>
      <w:r w:rsidRPr="00DD66AA">
        <w:rPr>
          <w:lang w:val="en-US"/>
        </w:rPr>
        <w:t>of contempt as</w:t>
      </w:r>
      <w:r>
        <w:rPr>
          <w:lang w:val="en-US"/>
        </w:rPr>
        <w:t xml:space="preserve"> the one used in the judicial process…. </w:t>
      </w:r>
    </w:p>
    <w:p w14:paraId="1E689654" w14:textId="77777777" w:rsidR="00E6692A" w:rsidRPr="00515399" w:rsidRDefault="00E6692A" w:rsidP="00E6692A">
      <w:pPr>
        <w:pStyle w:val="parrafos"/>
        <w:numPr>
          <w:ilvl w:val="0"/>
          <w:numId w:val="0"/>
        </w:numPr>
        <w:rPr>
          <w:lang w:val="en-US"/>
        </w:rPr>
      </w:pPr>
    </w:p>
    <w:p w14:paraId="2D5BE943" w14:textId="77777777" w:rsidR="00E6692A" w:rsidRPr="00515399" w:rsidRDefault="00E6692A" w:rsidP="00E6692A">
      <w:pPr>
        <w:pStyle w:val="parrafos"/>
        <w:numPr>
          <w:ilvl w:val="0"/>
          <w:numId w:val="0"/>
        </w:numPr>
        <w:rPr>
          <w:lang w:val="en-US"/>
        </w:rPr>
      </w:pPr>
      <w:r w:rsidRPr="003D05E9">
        <w:rPr>
          <w:lang w:val="en-US"/>
        </w:rPr>
        <w:t xml:space="preserve">Article 303. </w:t>
      </w:r>
      <w:r w:rsidRPr="00515399">
        <w:rPr>
          <w:lang w:val="en-US"/>
        </w:rPr>
        <w:t xml:space="preserve">The power to dispense justice emanates from the people and is administered free of charge on behalf of the State by independent justices and judges, subject only to the Constitution and the laws. The judicial branch consists of a Supreme Court of Justice, the Courts of Appeals, the courts, </w:t>
      </w:r>
      <w:r>
        <w:rPr>
          <w:lang w:val="en-US"/>
        </w:rPr>
        <w:t xml:space="preserve">by </w:t>
      </w:r>
      <w:r w:rsidRPr="00515399">
        <w:rPr>
          <w:lang w:val="en-US"/>
        </w:rPr>
        <w:t xml:space="preserve">tribunals with exclusive </w:t>
      </w:r>
      <w:r>
        <w:rPr>
          <w:lang w:val="en-US"/>
        </w:rPr>
        <w:t>competence in zones</w:t>
      </w:r>
      <w:r w:rsidRPr="00515399">
        <w:rPr>
          <w:lang w:val="en-US"/>
        </w:rPr>
        <w:t xml:space="preserve"> of the country subject to special regimes created by the Constitution of the Republic and additional offices specified by la</w:t>
      </w:r>
      <w:r>
        <w:rPr>
          <w:lang w:val="en-US"/>
        </w:rPr>
        <w:t xml:space="preserve">w…. </w:t>
      </w:r>
    </w:p>
    <w:p w14:paraId="3A107386" w14:textId="77777777" w:rsidR="00E6692A" w:rsidRPr="00515399" w:rsidRDefault="00E6692A" w:rsidP="00E6692A">
      <w:pPr>
        <w:pStyle w:val="parrafos"/>
        <w:numPr>
          <w:ilvl w:val="0"/>
          <w:numId w:val="0"/>
        </w:numPr>
        <w:rPr>
          <w:lang w:val="en-US"/>
        </w:rPr>
      </w:pPr>
    </w:p>
    <w:p w14:paraId="242CC0C3" w14:textId="77777777" w:rsidR="00E6692A" w:rsidRPr="003D05E9" w:rsidRDefault="00E6692A" w:rsidP="00E6692A">
      <w:pPr>
        <w:pStyle w:val="parrafos"/>
        <w:numPr>
          <w:ilvl w:val="0"/>
          <w:numId w:val="0"/>
        </w:numPr>
        <w:rPr>
          <w:lang w:val="en-US"/>
        </w:rPr>
      </w:pPr>
      <w:r w:rsidRPr="003D05E9">
        <w:rPr>
          <w:lang w:val="en-US"/>
        </w:rPr>
        <w:t xml:space="preserve">Article 311. </w:t>
      </w:r>
      <w:r w:rsidRPr="00515399">
        <w:rPr>
          <w:lang w:val="en-US"/>
        </w:rPr>
        <w:t xml:space="preserve">The Justices of the Supreme Court of Justice shall be elected by the National Congress, with the favorable vote of two thirds of its total membership, from a nominee pool of candidates of no </w:t>
      </w:r>
      <w:r>
        <w:rPr>
          <w:lang w:val="en-US"/>
        </w:rPr>
        <w:t>less</w:t>
      </w:r>
      <w:r w:rsidRPr="00515399">
        <w:rPr>
          <w:lang w:val="en-US"/>
        </w:rPr>
        <w:t xml:space="preserve"> than three for each one of the justices to be elected</w:t>
      </w:r>
      <w:r>
        <w:rPr>
          <w:lang w:val="en-US"/>
        </w:rPr>
        <w:t>….</w:t>
      </w:r>
    </w:p>
    <w:p w14:paraId="63EBAD96" w14:textId="77777777" w:rsidR="00E6692A" w:rsidRPr="003D05E9" w:rsidRDefault="00E6692A" w:rsidP="00E6692A">
      <w:pPr>
        <w:pStyle w:val="parrafos"/>
        <w:numPr>
          <w:ilvl w:val="0"/>
          <w:numId w:val="0"/>
        </w:numPr>
        <w:rPr>
          <w:lang w:val="en-US"/>
        </w:rPr>
      </w:pPr>
    </w:p>
    <w:p w14:paraId="636F4EE6" w14:textId="77777777" w:rsidR="00E6692A" w:rsidRPr="008B5C08" w:rsidRDefault="00E6692A" w:rsidP="00E6692A">
      <w:pPr>
        <w:pStyle w:val="parrafos"/>
        <w:numPr>
          <w:ilvl w:val="0"/>
          <w:numId w:val="0"/>
        </w:numPr>
        <w:rPr>
          <w:lang w:val="en-US"/>
        </w:rPr>
      </w:pPr>
      <w:r w:rsidRPr="003D05E9">
        <w:rPr>
          <w:lang w:val="en-US"/>
        </w:rPr>
        <w:t xml:space="preserve">Article 314. </w:t>
      </w:r>
      <w:r w:rsidRPr="008B5C08">
        <w:rPr>
          <w:lang w:val="en-US"/>
        </w:rPr>
        <w:t xml:space="preserve">The term of </w:t>
      </w:r>
      <w:r>
        <w:rPr>
          <w:lang w:val="en-US"/>
        </w:rPr>
        <w:t xml:space="preserve">the </w:t>
      </w:r>
      <w:r w:rsidRPr="008B5C08">
        <w:rPr>
          <w:lang w:val="en-US"/>
        </w:rPr>
        <w:t>Justice of the Supreme Court of Justice shall be seven years beginning at the date on which they take oath, and they may be re-elected. In the case of death, disability that impedes the exercise of office, substitution for legal reasons or resignation, the Justice that fills the vacancy shall occupy the office for the rest of the term and shall be elected by the National Congress through th</w:t>
      </w:r>
      <w:r>
        <w:rPr>
          <w:lang w:val="en-US"/>
        </w:rPr>
        <w:t xml:space="preserve">e favorable vote of two thirds of the total membership. </w:t>
      </w:r>
      <w:r w:rsidRPr="008B5C08">
        <w:rPr>
          <w:lang w:val="en-US"/>
        </w:rPr>
        <w:t xml:space="preserve">The substitute shall be elected from the remaining candidates proposed by the Nominating Board at the beginning of the term. </w:t>
      </w:r>
    </w:p>
    <w:p w14:paraId="4032AD9D" w14:textId="77777777" w:rsidR="00E6692A" w:rsidRPr="008B5C08" w:rsidRDefault="00E6692A" w:rsidP="00E6692A">
      <w:pPr>
        <w:pStyle w:val="parrafos"/>
        <w:numPr>
          <w:ilvl w:val="0"/>
          <w:numId w:val="0"/>
        </w:numPr>
        <w:rPr>
          <w:lang w:val="en-US"/>
        </w:rPr>
      </w:pPr>
    </w:p>
    <w:p w14:paraId="733B34A0" w14:textId="77777777" w:rsidR="00E6692A" w:rsidRPr="003E1265" w:rsidRDefault="00E6692A" w:rsidP="00E6692A">
      <w:pPr>
        <w:pStyle w:val="parrafos"/>
        <w:numPr>
          <w:ilvl w:val="0"/>
          <w:numId w:val="0"/>
        </w:numPr>
        <w:rPr>
          <w:lang w:val="en-US"/>
        </w:rPr>
      </w:pPr>
      <w:r w:rsidRPr="003D05E9">
        <w:rPr>
          <w:lang w:val="en-US"/>
        </w:rPr>
        <w:t xml:space="preserve">Article 316. </w:t>
      </w:r>
      <w:r w:rsidRPr="003714C7">
        <w:rPr>
          <w:lang w:val="en-US"/>
        </w:rPr>
        <w:t xml:space="preserve">The Supreme Court of Justice is organized in chambers, one of which is the Constitutional </w:t>
      </w:r>
      <w:r>
        <w:rPr>
          <w:lang w:val="en-US"/>
        </w:rPr>
        <w:t>[</w:t>
      </w:r>
      <w:r w:rsidRPr="003714C7">
        <w:rPr>
          <w:lang w:val="en-US"/>
        </w:rPr>
        <w:t>Chamber</w:t>
      </w:r>
      <w:r>
        <w:rPr>
          <w:lang w:val="en-US"/>
        </w:rPr>
        <w:t>]</w:t>
      </w:r>
      <w:r w:rsidRPr="003714C7">
        <w:rPr>
          <w:lang w:val="en-US"/>
        </w:rPr>
        <w:t xml:space="preserve">, formed by five Justices. When the decisions of the chambers are pronounced by unanimity of votes, they must be put forth in the name of the Supreme Court of Justice and </w:t>
      </w:r>
      <w:r w:rsidRPr="00A15114">
        <w:rPr>
          <w:lang w:val="en-US"/>
        </w:rPr>
        <w:t>have decisive character.</w:t>
      </w:r>
      <w:r w:rsidRPr="003714C7">
        <w:rPr>
          <w:lang w:val="en-US"/>
        </w:rPr>
        <w:t xml:space="preserve">  When there is not unanimity in making the decision on the matter, the justices who have participated in the chamber may not be included in the full court. </w:t>
      </w:r>
      <w:r w:rsidRPr="003E1265">
        <w:rPr>
          <w:lang w:val="en-US"/>
        </w:rPr>
        <w:t xml:space="preserve">The </w:t>
      </w:r>
      <w:r>
        <w:rPr>
          <w:lang w:val="en-US"/>
        </w:rPr>
        <w:t>c</w:t>
      </w:r>
      <w:r w:rsidRPr="003E1265">
        <w:rPr>
          <w:lang w:val="en-US"/>
        </w:rPr>
        <w:t xml:space="preserve">onstitutional </w:t>
      </w:r>
      <w:r>
        <w:rPr>
          <w:lang w:val="en-US"/>
        </w:rPr>
        <w:t>c</w:t>
      </w:r>
      <w:r w:rsidRPr="003E1265">
        <w:rPr>
          <w:lang w:val="en-US"/>
        </w:rPr>
        <w:t xml:space="preserve">hamber has the following powers and duties: </w:t>
      </w:r>
    </w:p>
    <w:p w14:paraId="415EE11A" w14:textId="77777777" w:rsidR="00E6692A" w:rsidRPr="003714C7" w:rsidRDefault="00E6692A" w:rsidP="00E6692A">
      <w:pPr>
        <w:pStyle w:val="parrafos"/>
        <w:numPr>
          <w:ilvl w:val="0"/>
          <w:numId w:val="0"/>
        </w:numPr>
        <w:rPr>
          <w:lang w:val="en-US"/>
        </w:rPr>
      </w:pPr>
      <w:r w:rsidRPr="003714C7">
        <w:rPr>
          <w:lang w:val="en-US"/>
        </w:rPr>
        <w:t>1. To take cognizance</w:t>
      </w:r>
      <w:r>
        <w:rPr>
          <w:lang w:val="en-US"/>
        </w:rPr>
        <w:t xml:space="preserve"> of</w:t>
      </w:r>
      <w:r w:rsidRPr="003714C7">
        <w:rPr>
          <w:lang w:val="en-US"/>
        </w:rPr>
        <w:t>, in accordance with th</w:t>
      </w:r>
      <w:r>
        <w:rPr>
          <w:lang w:val="en-US"/>
        </w:rPr>
        <w:t>is</w:t>
      </w:r>
      <w:r w:rsidRPr="003714C7">
        <w:rPr>
          <w:lang w:val="en-US"/>
        </w:rPr>
        <w:t xml:space="preserve"> Constitution and the law, of writs of habeas corpus or personal appearance, habeas data, </w:t>
      </w:r>
      <w:r w:rsidRPr="0091374A">
        <w:rPr>
          <w:lang w:val="en-US"/>
        </w:rPr>
        <w:t>amparo</w:t>
      </w:r>
      <w:r w:rsidRPr="003714C7">
        <w:rPr>
          <w:lang w:val="en-US"/>
        </w:rPr>
        <w:t xml:space="preserve">, unconstitutionality, and review; and </w:t>
      </w:r>
    </w:p>
    <w:p w14:paraId="6FEE6966" w14:textId="77777777" w:rsidR="00E6692A" w:rsidRPr="003714C7" w:rsidRDefault="00E6692A" w:rsidP="00E6692A">
      <w:pPr>
        <w:pStyle w:val="parrafos"/>
        <w:numPr>
          <w:ilvl w:val="0"/>
          <w:numId w:val="0"/>
        </w:numPr>
        <w:rPr>
          <w:lang w:val="en-US"/>
        </w:rPr>
      </w:pPr>
      <w:r w:rsidRPr="003714C7">
        <w:rPr>
          <w:lang w:val="en-US"/>
        </w:rPr>
        <w:t xml:space="preserve">2. To resolve conflicts between the powers of state, including the Supreme Elections Tribunal, as well as between the other entities and bodies indicated by law. The decisions in which unconstitutionality of a law is declared are of immediate execution and have general effect, and abrogate the unconstitutional law, and must be communicated to the National Congress, which shall make it published in the </w:t>
      </w:r>
      <w:r>
        <w:rPr>
          <w:lang w:val="en-US"/>
        </w:rPr>
        <w:t xml:space="preserve">official journal La </w:t>
      </w:r>
      <w:proofErr w:type="spellStart"/>
      <w:r>
        <w:rPr>
          <w:lang w:val="en-US"/>
        </w:rPr>
        <w:t>Gaceta</w:t>
      </w:r>
      <w:proofErr w:type="spellEnd"/>
      <w:r w:rsidRPr="003714C7">
        <w:rPr>
          <w:lang w:val="en-US"/>
        </w:rPr>
        <w:t xml:space="preserve">. The regulations shall establish the organization and operation of the chambers. </w:t>
      </w:r>
    </w:p>
    <w:p w14:paraId="284E6EC9" w14:textId="77777777" w:rsidR="00E6692A" w:rsidRPr="003714C7" w:rsidRDefault="00E6692A" w:rsidP="00E6692A"/>
    <w:p w14:paraId="63FCCAE4" w14:textId="77777777" w:rsidR="00E6692A" w:rsidRPr="003E1265" w:rsidRDefault="00E6692A" w:rsidP="00E6692A">
      <w:pPr>
        <w:pStyle w:val="Ttulo2"/>
        <w:rPr>
          <w:lang w:val="en-US"/>
        </w:rPr>
      </w:pPr>
      <w:bookmarkStart w:id="8" w:name="_Toc65248161"/>
      <w:bookmarkStart w:id="9" w:name="_Toc69410059"/>
      <w:r w:rsidRPr="003E1265">
        <w:rPr>
          <w:lang w:val="en-US"/>
        </w:rPr>
        <w:t xml:space="preserve">B. </w:t>
      </w:r>
      <w:r>
        <w:rPr>
          <w:lang w:val="en-US"/>
        </w:rPr>
        <w:t>A</w:t>
      </w:r>
      <w:r w:rsidRPr="003E1265">
        <w:rPr>
          <w:lang w:val="en-US"/>
        </w:rPr>
        <w:t>ppointment of the alleged victims and decisions issued by the Constitutional Chamber of the Supreme Court</w:t>
      </w:r>
      <w:bookmarkEnd w:id="8"/>
      <w:bookmarkEnd w:id="9"/>
      <w:r w:rsidRPr="003E1265">
        <w:rPr>
          <w:lang w:val="en-US"/>
        </w:rPr>
        <w:t xml:space="preserve">  </w:t>
      </w:r>
    </w:p>
    <w:p w14:paraId="74007DAB" w14:textId="77777777" w:rsidR="00E6692A" w:rsidRPr="003E1265" w:rsidRDefault="00E6692A" w:rsidP="00E6692A">
      <w:pPr>
        <w:pStyle w:val="parrafos"/>
        <w:numPr>
          <w:ilvl w:val="0"/>
          <w:numId w:val="0"/>
        </w:numPr>
        <w:rPr>
          <w:b/>
          <w:color w:val="auto"/>
          <w:lang w:val="en-US"/>
        </w:rPr>
      </w:pPr>
    </w:p>
    <w:p w14:paraId="51E1F817" w14:textId="77777777" w:rsidR="00E6692A" w:rsidRPr="003E1265" w:rsidRDefault="00E6692A" w:rsidP="00E6692A">
      <w:pPr>
        <w:pStyle w:val="parrafos"/>
        <w:numPr>
          <w:ilvl w:val="0"/>
          <w:numId w:val="0"/>
        </w:numPr>
        <w:rPr>
          <w:b/>
          <w:color w:val="auto"/>
          <w:lang w:val="en-US"/>
        </w:rPr>
      </w:pPr>
    </w:p>
    <w:p w14:paraId="64F764A4" w14:textId="77777777" w:rsidR="00E6692A" w:rsidRPr="008E12EC" w:rsidRDefault="00E6692A" w:rsidP="00E6692A">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ind w:left="0" w:firstLine="0"/>
        <w:jc w:val="both"/>
        <w:rPr>
          <w:rFonts w:asciiTheme="majorHAnsi" w:hAnsiTheme="majorHAnsi"/>
          <w:color w:val="000000" w:themeColor="text1"/>
          <w:sz w:val="20"/>
          <w:szCs w:val="20"/>
        </w:rPr>
      </w:pPr>
      <w:r w:rsidRPr="008E12EC">
        <w:rPr>
          <w:rFonts w:asciiTheme="majorHAnsi" w:hAnsiTheme="majorHAnsi"/>
          <w:sz w:val="20"/>
          <w:szCs w:val="20"/>
        </w:rPr>
        <w:t xml:space="preserve">José Francisco Ruiz </w:t>
      </w:r>
      <w:proofErr w:type="spellStart"/>
      <w:r w:rsidRPr="008E12EC">
        <w:rPr>
          <w:rFonts w:asciiTheme="majorHAnsi" w:hAnsiTheme="majorHAnsi"/>
          <w:sz w:val="20"/>
          <w:szCs w:val="20"/>
        </w:rPr>
        <w:t>Gaekel</w:t>
      </w:r>
      <w:proofErr w:type="spellEnd"/>
      <w:r w:rsidRPr="008E12EC">
        <w:rPr>
          <w:rFonts w:asciiTheme="majorHAnsi" w:hAnsiTheme="majorHAnsi"/>
          <w:sz w:val="20"/>
          <w:szCs w:val="20"/>
        </w:rPr>
        <w:t xml:space="preserve">, José Antonio Gutiérrez </w:t>
      </w:r>
      <w:proofErr w:type="spellStart"/>
      <w:r w:rsidRPr="008E12EC">
        <w:rPr>
          <w:rFonts w:asciiTheme="majorHAnsi" w:hAnsiTheme="majorHAnsi"/>
          <w:sz w:val="20"/>
          <w:szCs w:val="20"/>
        </w:rPr>
        <w:t>Navas</w:t>
      </w:r>
      <w:proofErr w:type="spellEnd"/>
      <w:r w:rsidRPr="008E12EC">
        <w:rPr>
          <w:rFonts w:asciiTheme="majorHAnsi" w:hAnsiTheme="majorHAnsi"/>
          <w:sz w:val="20"/>
          <w:szCs w:val="20"/>
        </w:rPr>
        <w:t xml:space="preserve">, Gustavo Enrique Bustillo Palma, and Rosalinda Cruz </w:t>
      </w:r>
      <w:proofErr w:type="spellStart"/>
      <w:r w:rsidRPr="008E12EC">
        <w:rPr>
          <w:rFonts w:asciiTheme="majorHAnsi" w:hAnsiTheme="majorHAnsi"/>
          <w:sz w:val="20"/>
          <w:szCs w:val="20"/>
        </w:rPr>
        <w:t>Sequeira</w:t>
      </w:r>
      <w:proofErr w:type="spellEnd"/>
      <w:r w:rsidRPr="008E12EC">
        <w:rPr>
          <w:rFonts w:asciiTheme="majorHAnsi" w:hAnsiTheme="majorHAnsi"/>
          <w:sz w:val="20"/>
          <w:szCs w:val="20"/>
        </w:rPr>
        <w:t xml:space="preserve"> were elected by the Congress of the Republic, by means of Decree No. 02-2009 of January 26, 2009, as justices of the Constitutional Chamber of the Supreme Court for the constitutional term of January 26, 2009,</w:t>
      </w:r>
      <w:r>
        <w:rPr>
          <w:rFonts w:asciiTheme="majorHAnsi" w:hAnsiTheme="majorHAnsi"/>
          <w:sz w:val="20"/>
          <w:szCs w:val="20"/>
        </w:rPr>
        <w:t xml:space="preserve"> to January </w:t>
      </w:r>
      <w:r w:rsidRPr="008E12EC">
        <w:rPr>
          <w:rFonts w:asciiTheme="majorHAnsi" w:hAnsiTheme="majorHAnsi"/>
          <w:sz w:val="20"/>
          <w:szCs w:val="20"/>
        </w:rPr>
        <w:t>25</w:t>
      </w:r>
      <w:r>
        <w:rPr>
          <w:rFonts w:asciiTheme="majorHAnsi" w:hAnsiTheme="majorHAnsi"/>
          <w:sz w:val="20"/>
          <w:szCs w:val="20"/>
        </w:rPr>
        <w:t>,</w:t>
      </w:r>
      <w:r w:rsidRPr="008E12EC">
        <w:rPr>
          <w:rFonts w:asciiTheme="majorHAnsi" w:hAnsiTheme="majorHAnsi"/>
          <w:sz w:val="20"/>
          <w:szCs w:val="20"/>
        </w:rPr>
        <w:t xml:space="preserve"> 2016</w:t>
      </w:r>
      <w:r>
        <w:rPr>
          <w:rFonts w:asciiTheme="majorHAnsi" w:hAnsiTheme="majorHAnsi"/>
          <w:sz w:val="20"/>
          <w:szCs w:val="20"/>
        </w:rPr>
        <w:t>.</w:t>
      </w:r>
      <w:r w:rsidRPr="00961EF3">
        <w:rPr>
          <w:rStyle w:val="Refdenotaalpie"/>
          <w:rFonts w:asciiTheme="majorHAnsi" w:hAnsiTheme="majorHAnsi"/>
          <w:sz w:val="20"/>
          <w:szCs w:val="20"/>
        </w:rPr>
        <w:footnoteReference w:id="3"/>
      </w:r>
    </w:p>
    <w:p w14:paraId="01DCE310" w14:textId="77777777" w:rsidR="00E6692A" w:rsidRPr="008E12EC" w:rsidRDefault="00E6692A" w:rsidP="00E6692A">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jc w:val="both"/>
        <w:rPr>
          <w:rFonts w:asciiTheme="majorHAnsi" w:hAnsiTheme="majorHAnsi"/>
          <w:color w:val="000000" w:themeColor="text1"/>
          <w:sz w:val="20"/>
          <w:szCs w:val="20"/>
        </w:rPr>
      </w:pPr>
    </w:p>
    <w:p w14:paraId="11FF9D7B" w14:textId="77777777" w:rsidR="00E6692A" w:rsidRDefault="00E6692A" w:rsidP="00E6692A">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jc w:val="both"/>
        <w:rPr>
          <w:rFonts w:asciiTheme="majorHAnsi" w:hAnsiTheme="majorHAnsi"/>
          <w:sz w:val="20"/>
          <w:szCs w:val="20"/>
        </w:rPr>
      </w:pPr>
      <w:r w:rsidRPr="004B7048">
        <w:rPr>
          <w:rFonts w:asciiTheme="majorHAnsi" w:hAnsiTheme="majorHAnsi"/>
          <w:sz w:val="20"/>
          <w:szCs w:val="20"/>
        </w:rPr>
        <w:t xml:space="preserve">19. </w:t>
      </w:r>
      <w:r w:rsidRPr="00393FEB">
        <w:rPr>
          <w:rFonts w:asciiTheme="majorHAnsi" w:hAnsiTheme="majorHAnsi"/>
          <w:sz w:val="20"/>
          <w:szCs w:val="20"/>
        </w:rPr>
        <w:t>Since the beginning of</w:t>
      </w:r>
      <w:r w:rsidRPr="004B7048">
        <w:rPr>
          <w:rFonts w:asciiTheme="majorHAnsi" w:hAnsiTheme="majorHAnsi"/>
          <w:sz w:val="20"/>
          <w:szCs w:val="20"/>
        </w:rPr>
        <w:t xml:space="preserve"> </w:t>
      </w:r>
      <w:r>
        <w:rPr>
          <w:rFonts w:asciiTheme="majorHAnsi" w:hAnsiTheme="majorHAnsi"/>
          <w:sz w:val="20"/>
          <w:szCs w:val="20"/>
        </w:rPr>
        <w:t>its</w:t>
      </w:r>
      <w:r w:rsidRPr="004B7048">
        <w:rPr>
          <w:rFonts w:asciiTheme="majorHAnsi" w:hAnsiTheme="majorHAnsi"/>
          <w:sz w:val="20"/>
          <w:szCs w:val="20"/>
        </w:rPr>
        <w:t xml:space="preserve"> judicial term, the Constitutional Chamber </w:t>
      </w:r>
      <w:r>
        <w:rPr>
          <w:rFonts w:asciiTheme="majorHAnsi" w:hAnsiTheme="majorHAnsi"/>
          <w:sz w:val="20"/>
          <w:szCs w:val="20"/>
        </w:rPr>
        <w:t xml:space="preserve">heard and ruled on </w:t>
      </w:r>
      <w:r w:rsidRPr="00247F5E">
        <w:rPr>
          <w:rFonts w:asciiTheme="majorHAnsi" w:hAnsiTheme="majorHAnsi"/>
          <w:sz w:val="20"/>
          <w:szCs w:val="20"/>
        </w:rPr>
        <w:t>several laws</w:t>
      </w:r>
      <w:r>
        <w:rPr>
          <w:rFonts w:asciiTheme="majorHAnsi" w:hAnsiTheme="majorHAnsi"/>
          <w:sz w:val="20"/>
          <w:szCs w:val="20"/>
        </w:rPr>
        <w:t xml:space="preserve"> passed </w:t>
      </w:r>
      <w:r w:rsidRPr="004B7048">
        <w:rPr>
          <w:rFonts w:asciiTheme="majorHAnsi" w:hAnsiTheme="majorHAnsi"/>
          <w:sz w:val="20"/>
          <w:szCs w:val="20"/>
        </w:rPr>
        <w:t xml:space="preserve">by the Congress </w:t>
      </w:r>
      <w:r>
        <w:rPr>
          <w:rFonts w:asciiTheme="majorHAnsi" w:hAnsiTheme="majorHAnsi"/>
          <w:sz w:val="20"/>
          <w:szCs w:val="20"/>
        </w:rPr>
        <w:t>that it found unconstitutional</w:t>
      </w:r>
      <w:r w:rsidRPr="004B7048">
        <w:rPr>
          <w:rFonts w:asciiTheme="majorHAnsi" w:hAnsiTheme="majorHAnsi"/>
          <w:sz w:val="20"/>
          <w:szCs w:val="20"/>
        </w:rPr>
        <w:t xml:space="preserve">, </w:t>
      </w:r>
      <w:r>
        <w:rPr>
          <w:rFonts w:asciiTheme="majorHAnsi" w:hAnsiTheme="majorHAnsi"/>
          <w:sz w:val="20"/>
          <w:szCs w:val="20"/>
        </w:rPr>
        <w:t xml:space="preserve">having deemed them to be contrary to the supreme law of Honduras. </w:t>
      </w:r>
      <w:r w:rsidRPr="004B7048">
        <w:rPr>
          <w:rFonts w:asciiTheme="majorHAnsi" w:hAnsiTheme="majorHAnsi"/>
          <w:sz w:val="20"/>
          <w:szCs w:val="20"/>
        </w:rPr>
        <w:t>On February 1, 2012, it declared that Legislative Decree 108-11, known as the “1% Law,”</w:t>
      </w:r>
      <w:r w:rsidRPr="00961EF3">
        <w:rPr>
          <w:rStyle w:val="Refdenotaalpie"/>
          <w:rFonts w:asciiTheme="majorHAnsi" w:hAnsiTheme="majorHAnsi"/>
          <w:sz w:val="20"/>
          <w:szCs w:val="20"/>
        </w:rPr>
        <w:footnoteReference w:id="4"/>
      </w:r>
      <w:r w:rsidRPr="004B7048">
        <w:rPr>
          <w:rFonts w:asciiTheme="majorHAnsi" w:hAnsiTheme="majorHAnsi"/>
          <w:sz w:val="20"/>
          <w:szCs w:val="20"/>
        </w:rPr>
        <w:t xml:space="preserve"> was unconstitutional, which </w:t>
      </w:r>
      <w:r>
        <w:rPr>
          <w:rFonts w:asciiTheme="majorHAnsi" w:hAnsiTheme="majorHAnsi"/>
          <w:sz w:val="20"/>
          <w:szCs w:val="20"/>
        </w:rPr>
        <w:t>prompted</w:t>
      </w:r>
      <w:r w:rsidRPr="004B7048">
        <w:rPr>
          <w:rFonts w:asciiTheme="majorHAnsi" w:hAnsiTheme="majorHAnsi"/>
          <w:sz w:val="20"/>
          <w:szCs w:val="20"/>
        </w:rPr>
        <w:t xml:space="preserve"> the then-President of the Rep</w:t>
      </w:r>
      <w:r>
        <w:rPr>
          <w:rFonts w:asciiTheme="majorHAnsi" w:hAnsiTheme="majorHAnsi"/>
          <w:sz w:val="20"/>
          <w:szCs w:val="20"/>
        </w:rPr>
        <w:t>ublic</w:t>
      </w:r>
      <w:r w:rsidRPr="004B7048">
        <w:rPr>
          <w:rFonts w:asciiTheme="majorHAnsi" w:hAnsiTheme="majorHAnsi"/>
          <w:sz w:val="20"/>
          <w:szCs w:val="20"/>
        </w:rPr>
        <w:t xml:space="preserve">, Porfirio Lobo, </w:t>
      </w:r>
      <w:r>
        <w:rPr>
          <w:rFonts w:asciiTheme="majorHAnsi" w:hAnsiTheme="majorHAnsi"/>
          <w:sz w:val="20"/>
          <w:szCs w:val="20"/>
        </w:rPr>
        <w:t>to make statements about that action by the judicial branch.</w:t>
      </w:r>
      <w:r w:rsidRPr="00961EF3">
        <w:rPr>
          <w:rStyle w:val="Refdenotaalpie"/>
          <w:rFonts w:asciiTheme="majorHAnsi" w:hAnsiTheme="majorHAnsi"/>
          <w:sz w:val="20"/>
          <w:szCs w:val="20"/>
        </w:rPr>
        <w:footnoteReference w:id="5"/>
      </w:r>
    </w:p>
    <w:p w14:paraId="164921CC" w14:textId="77777777" w:rsidR="00E6692A" w:rsidRPr="004B7048" w:rsidRDefault="00E6692A" w:rsidP="00E6692A">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jc w:val="both"/>
        <w:rPr>
          <w:rFonts w:asciiTheme="majorHAnsi" w:hAnsiTheme="majorHAnsi"/>
          <w:sz w:val="20"/>
          <w:szCs w:val="20"/>
        </w:rPr>
      </w:pPr>
    </w:p>
    <w:p w14:paraId="0EA25CBD" w14:textId="77777777" w:rsidR="00E6692A" w:rsidRPr="003D05E9" w:rsidRDefault="00E6692A" w:rsidP="00E6692A">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jc w:val="both"/>
        <w:rPr>
          <w:rFonts w:asciiTheme="majorHAnsi" w:hAnsiTheme="majorHAnsi"/>
          <w:sz w:val="20"/>
          <w:szCs w:val="20"/>
        </w:rPr>
      </w:pPr>
      <w:r w:rsidRPr="003D05E9">
        <w:rPr>
          <w:rFonts w:asciiTheme="majorHAnsi" w:hAnsiTheme="majorHAnsi"/>
          <w:sz w:val="20"/>
          <w:szCs w:val="20"/>
        </w:rPr>
        <w:t xml:space="preserve">20. Subsequently, the Constitutional Chamber </w:t>
      </w:r>
      <w:r>
        <w:rPr>
          <w:rFonts w:asciiTheme="majorHAnsi" w:hAnsiTheme="majorHAnsi"/>
          <w:sz w:val="20"/>
          <w:szCs w:val="20"/>
        </w:rPr>
        <w:t>declared</w:t>
      </w:r>
      <w:r w:rsidRPr="003D05E9">
        <w:rPr>
          <w:rFonts w:asciiTheme="majorHAnsi" w:hAnsiTheme="majorHAnsi"/>
          <w:sz w:val="20"/>
          <w:szCs w:val="20"/>
        </w:rPr>
        <w:t xml:space="preserve"> Decree No. 185-2010, called the “Framework Law on the Evangelical Church in Honduras,”</w:t>
      </w:r>
      <w:r w:rsidRPr="00961EF3">
        <w:rPr>
          <w:rStyle w:val="Refdenotaalpie"/>
          <w:rFonts w:asciiTheme="majorHAnsi" w:hAnsiTheme="majorHAnsi"/>
          <w:sz w:val="20"/>
          <w:szCs w:val="20"/>
        </w:rPr>
        <w:footnoteReference w:id="6"/>
      </w:r>
      <w:r w:rsidRPr="003D05E9">
        <w:rPr>
          <w:rFonts w:asciiTheme="majorHAnsi" w:hAnsiTheme="majorHAnsi"/>
          <w:sz w:val="20"/>
          <w:szCs w:val="20"/>
        </w:rPr>
        <w:t xml:space="preserve"> to be </w:t>
      </w:r>
      <w:r>
        <w:rPr>
          <w:rFonts w:asciiTheme="majorHAnsi" w:hAnsiTheme="majorHAnsi"/>
          <w:sz w:val="20"/>
          <w:szCs w:val="20"/>
        </w:rPr>
        <w:t>un</w:t>
      </w:r>
      <w:r w:rsidRPr="003D05E9">
        <w:rPr>
          <w:rFonts w:asciiTheme="majorHAnsi" w:hAnsiTheme="majorHAnsi"/>
          <w:sz w:val="20"/>
          <w:szCs w:val="20"/>
        </w:rPr>
        <w:t>constitutional.</w:t>
      </w:r>
      <w:r>
        <w:rPr>
          <w:rFonts w:asciiTheme="majorHAnsi" w:hAnsiTheme="majorHAnsi"/>
          <w:sz w:val="20"/>
          <w:szCs w:val="20"/>
        </w:rPr>
        <w:t xml:space="preserve"> </w:t>
      </w:r>
      <w:r w:rsidRPr="003D05E9">
        <w:rPr>
          <w:rFonts w:asciiTheme="majorHAnsi" w:hAnsiTheme="majorHAnsi"/>
          <w:sz w:val="20"/>
          <w:szCs w:val="20"/>
        </w:rPr>
        <w:t>In response, the then</w:t>
      </w:r>
      <w:r>
        <w:rPr>
          <w:rFonts w:asciiTheme="majorHAnsi" w:hAnsiTheme="majorHAnsi"/>
          <w:sz w:val="20"/>
          <w:szCs w:val="20"/>
        </w:rPr>
        <w:t>-</w:t>
      </w:r>
      <w:r w:rsidRPr="003D05E9">
        <w:rPr>
          <w:rFonts w:asciiTheme="majorHAnsi" w:hAnsiTheme="majorHAnsi"/>
          <w:sz w:val="20"/>
          <w:szCs w:val="20"/>
        </w:rPr>
        <w:t xml:space="preserve">President referred to the Supreme Court publicly, </w:t>
      </w:r>
      <w:r>
        <w:rPr>
          <w:rFonts w:asciiTheme="majorHAnsi" w:hAnsiTheme="majorHAnsi"/>
          <w:sz w:val="20"/>
          <w:szCs w:val="20"/>
        </w:rPr>
        <w:t xml:space="preserve">calling </w:t>
      </w:r>
      <w:r w:rsidRPr="003D05E9">
        <w:rPr>
          <w:rFonts w:asciiTheme="majorHAnsi" w:hAnsiTheme="majorHAnsi"/>
          <w:sz w:val="20"/>
          <w:szCs w:val="20"/>
        </w:rPr>
        <w:t xml:space="preserve">its actions </w:t>
      </w:r>
      <w:r>
        <w:rPr>
          <w:rFonts w:asciiTheme="majorHAnsi" w:hAnsiTheme="majorHAnsi"/>
          <w:sz w:val="20"/>
          <w:szCs w:val="20"/>
        </w:rPr>
        <w:t>into question.</w:t>
      </w:r>
      <w:r w:rsidRPr="00961EF3">
        <w:rPr>
          <w:rStyle w:val="Refdenotaalpie"/>
          <w:rFonts w:asciiTheme="majorHAnsi" w:hAnsiTheme="majorHAnsi"/>
          <w:sz w:val="20"/>
          <w:szCs w:val="20"/>
        </w:rPr>
        <w:footnoteReference w:id="7"/>
      </w:r>
      <w:r w:rsidRPr="003D05E9">
        <w:rPr>
          <w:rFonts w:asciiTheme="majorHAnsi" w:hAnsiTheme="majorHAnsi"/>
          <w:sz w:val="20"/>
          <w:szCs w:val="20"/>
        </w:rPr>
        <w:t xml:space="preserve">  </w:t>
      </w:r>
    </w:p>
    <w:p w14:paraId="05CC7908" w14:textId="77777777" w:rsidR="00E6692A" w:rsidRPr="003D05E9" w:rsidRDefault="00E6692A" w:rsidP="00E6692A">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jc w:val="both"/>
        <w:rPr>
          <w:rFonts w:asciiTheme="majorHAnsi" w:hAnsiTheme="majorHAnsi"/>
          <w:sz w:val="20"/>
          <w:szCs w:val="20"/>
        </w:rPr>
      </w:pPr>
    </w:p>
    <w:p w14:paraId="104BEE7E" w14:textId="77777777" w:rsidR="00E6692A" w:rsidRPr="004204E0" w:rsidRDefault="00E6692A" w:rsidP="00E6692A">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jc w:val="both"/>
        <w:rPr>
          <w:rFonts w:asciiTheme="majorHAnsi" w:hAnsiTheme="majorHAnsi"/>
          <w:sz w:val="20"/>
          <w:szCs w:val="20"/>
        </w:rPr>
      </w:pPr>
      <w:r w:rsidRPr="004204E0">
        <w:rPr>
          <w:rFonts w:asciiTheme="majorHAnsi" w:hAnsiTheme="majorHAnsi"/>
          <w:sz w:val="20"/>
          <w:szCs w:val="20"/>
        </w:rPr>
        <w:t xml:space="preserve">21. </w:t>
      </w:r>
      <w:r w:rsidRPr="00991F2B">
        <w:rPr>
          <w:rFonts w:asciiTheme="majorHAnsi" w:hAnsiTheme="majorHAnsi"/>
          <w:sz w:val="20"/>
          <w:szCs w:val="20"/>
        </w:rPr>
        <w:t xml:space="preserve">Another law </w:t>
      </w:r>
      <w:r w:rsidRPr="004204E0">
        <w:rPr>
          <w:rFonts w:asciiTheme="majorHAnsi" w:hAnsiTheme="majorHAnsi"/>
          <w:sz w:val="20"/>
          <w:szCs w:val="20"/>
        </w:rPr>
        <w:t>the Supreme Court found to be unconstitutional was Legislative Decree No. 283-2010,</w:t>
      </w:r>
      <w:r>
        <w:rPr>
          <w:rFonts w:asciiTheme="majorHAnsi" w:hAnsiTheme="majorHAnsi"/>
          <w:sz w:val="20"/>
          <w:szCs w:val="20"/>
        </w:rPr>
        <w:t xml:space="preserve"> known as the “Model Cities Law,”</w:t>
      </w:r>
      <w:r w:rsidRPr="004204E0">
        <w:rPr>
          <w:rFonts w:asciiTheme="majorHAnsi" w:hAnsiTheme="majorHAnsi"/>
          <w:sz w:val="20"/>
          <w:szCs w:val="20"/>
        </w:rPr>
        <w:t xml:space="preserve"> whic</w:t>
      </w:r>
      <w:r>
        <w:rPr>
          <w:rFonts w:asciiTheme="majorHAnsi" w:hAnsiTheme="majorHAnsi"/>
          <w:sz w:val="20"/>
          <w:szCs w:val="20"/>
        </w:rPr>
        <w:t>h created Special Development Regions.</w:t>
      </w:r>
      <w:r w:rsidRPr="00961EF3">
        <w:rPr>
          <w:rStyle w:val="Refdenotaalpie"/>
          <w:rFonts w:asciiTheme="majorHAnsi" w:hAnsiTheme="majorHAnsi"/>
          <w:sz w:val="20"/>
          <w:szCs w:val="20"/>
        </w:rPr>
        <w:footnoteReference w:id="8"/>
      </w:r>
      <w:r w:rsidRPr="004204E0">
        <w:rPr>
          <w:rFonts w:asciiTheme="majorHAnsi" w:hAnsiTheme="majorHAnsi"/>
          <w:sz w:val="20"/>
          <w:szCs w:val="20"/>
        </w:rPr>
        <w:t xml:space="preserve"> Following the ruling</w:t>
      </w:r>
      <w:r>
        <w:rPr>
          <w:rFonts w:asciiTheme="majorHAnsi" w:hAnsiTheme="majorHAnsi"/>
          <w:sz w:val="20"/>
          <w:szCs w:val="20"/>
        </w:rPr>
        <w:t>,</w:t>
      </w:r>
      <w:r w:rsidRPr="004204E0">
        <w:rPr>
          <w:rFonts w:asciiTheme="majorHAnsi" w:hAnsiTheme="majorHAnsi"/>
          <w:sz w:val="20"/>
          <w:szCs w:val="20"/>
        </w:rPr>
        <w:t xml:space="preserve"> Porfirio Lobo said that “it is lamentable, the ju</w:t>
      </w:r>
      <w:r>
        <w:rPr>
          <w:rFonts w:asciiTheme="majorHAnsi" w:hAnsiTheme="majorHAnsi"/>
          <w:sz w:val="20"/>
          <w:szCs w:val="20"/>
        </w:rPr>
        <w:t>stices are doing great harm to the country.</w:t>
      </w:r>
      <w:r w:rsidRPr="004204E0">
        <w:rPr>
          <w:rFonts w:asciiTheme="majorHAnsi" w:hAnsiTheme="majorHAnsi"/>
          <w:sz w:val="20"/>
          <w:szCs w:val="20"/>
        </w:rPr>
        <w:t>”</w:t>
      </w:r>
      <w:r w:rsidRPr="00961EF3">
        <w:rPr>
          <w:rStyle w:val="Refdenotaalpie"/>
          <w:rFonts w:asciiTheme="majorHAnsi" w:hAnsiTheme="majorHAnsi"/>
          <w:sz w:val="20"/>
          <w:szCs w:val="20"/>
        </w:rPr>
        <w:footnoteReference w:id="9"/>
      </w:r>
    </w:p>
    <w:p w14:paraId="4C090F4B" w14:textId="77777777" w:rsidR="00E6692A" w:rsidRPr="004204E0" w:rsidRDefault="00E6692A" w:rsidP="00E6692A">
      <w:pPr>
        <w:pStyle w:val="Prrafodelista"/>
        <w:rPr>
          <w:lang w:val="en-US"/>
        </w:rPr>
      </w:pPr>
    </w:p>
    <w:p w14:paraId="129CA0F1" w14:textId="77777777" w:rsidR="00E6692A" w:rsidRPr="005372C8" w:rsidRDefault="00E6692A" w:rsidP="00E6692A">
      <w:pPr>
        <w:pStyle w:val="Ttulo2"/>
        <w:rPr>
          <w:lang w:val="en-US"/>
        </w:rPr>
      </w:pPr>
      <w:bookmarkStart w:id="10" w:name="_Toc65248162"/>
      <w:bookmarkStart w:id="11" w:name="_Toc69410060"/>
      <w:r w:rsidRPr="005372C8">
        <w:rPr>
          <w:lang w:val="en-US"/>
        </w:rPr>
        <w:t xml:space="preserve">C. </w:t>
      </w:r>
      <w:r>
        <w:rPr>
          <w:lang w:val="en-US"/>
        </w:rPr>
        <w:t>D</w:t>
      </w:r>
      <w:r w:rsidRPr="005372C8">
        <w:rPr>
          <w:lang w:val="en-US"/>
        </w:rPr>
        <w:t xml:space="preserve">raft </w:t>
      </w:r>
      <w:r w:rsidRPr="00ED7157">
        <w:rPr>
          <w:lang w:val="en-US"/>
        </w:rPr>
        <w:t xml:space="preserve">judgment on the unconstitutionality of the </w:t>
      </w:r>
      <w:r w:rsidRPr="00ED7157">
        <w:rPr>
          <w:rFonts w:asciiTheme="majorHAnsi" w:hAnsiTheme="majorHAnsi"/>
          <w:szCs w:val="20"/>
          <w:lang w:val="en-US"/>
        </w:rPr>
        <w:t>Special Law to Purge the Police Force of Corruption</w:t>
      </w:r>
      <w:r w:rsidRPr="00ED7157">
        <w:rPr>
          <w:lang w:val="en-US"/>
        </w:rPr>
        <w:t xml:space="preserve"> an</w:t>
      </w:r>
      <w:r>
        <w:rPr>
          <w:lang w:val="en-US"/>
        </w:rPr>
        <w:t>d the alleged victims’ dismissal</w:t>
      </w:r>
      <w:bookmarkEnd w:id="10"/>
      <w:bookmarkEnd w:id="11"/>
      <w:r>
        <w:rPr>
          <w:lang w:val="en-US"/>
        </w:rPr>
        <w:t xml:space="preserve"> </w:t>
      </w:r>
    </w:p>
    <w:p w14:paraId="1DD6F839" w14:textId="77777777" w:rsidR="00E6692A" w:rsidRPr="005372C8" w:rsidRDefault="00E6692A" w:rsidP="00E6692A">
      <w:pPr>
        <w:pStyle w:val="parrafos"/>
        <w:numPr>
          <w:ilvl w:val="0"/>
          <w:numId w:val="0"/>
        </w:numPr>
        <w:tabs>
          <w:tab w:val="clear" w:pos="360"/>
          <w:tab w:val="left" w:pos="5266"/>
        </w:tabs>
        <w:rPr>
          <w:lang w:val="en-US"/>
        </w:rPr>
      </w:pPr>
      <w:r w:rsidRPr="005372C8">
        <w:rPr>
          <w:lang w:val="en-US"/>
        </w:rPr>
        <w:tab/>
      </w:r>
    </w:p>
    <w:p w14:paraId="5AFD5ECC" w14:textId="77777777" w:rsidR="00E6692A" w:rsidRPr="00061319" w:rsidRDefault="00E6692A" w:rsidP="00E6692A">
      <w:pPr>
        <w:pStyle w:val="parrafos"/>
        <w:numPr>
          <w:ilvl w:val="0"/>
          <w:numId w:val="0"/>
        </w:numPr>
        <w:rPr>
          <w:lang w:val="en-US"/>
        </w:rPr>
      </w:pPr>
      <w:r w:rsidRPr="00061319">
        <w:rPr>
          <w:lang w:val="en-US"/>
        </w:rPr>
        <w:t xml:space="preserve">22. </w:t>
      </w:r>
      <w:r>
        <w:rPr>
          <w:lang w:val="en-US"/>
        </w:rPr>
        <w:t>In the course of fulfilling</w:t>
      </w:r>
      <w:r w:rsidRPr="00061319">
        <w:rPr>
          <w:lang w:val="en-US"/>
        </w:rPr>
        <w:t xml:space="preserve"> its duties, the Constitutional Chamber heard two appeals filed by a number of citizens challenging the</w:t>
      </w:r>
      <w:r>
        <w:rPr>
          <w:lang w:val="en-US"/>
        </w:rPr>
        <w:t xml:space="preserve"> constitutionality of </w:t>
      </w:r>
      <w:r w:rsidRPr="00AA7D63">
        <w:rPr>
          <w:lang w:val="en-US"/>
        </w:rPr>
        <w:t>the Special Law to Purge the Police Force of Corruption</w:t>
      </w:r>
      <w:r>
        <w:rPr>
          <w:lang w:val="en-US"/>
        </w:rPr>
        <w:t>,</w:t>
      </w:r>
      <w:r w:rsidRPr="00AA7D63">
        <w:rPr>
          <w:lang w:val="en-US"/>
        </w:rPr>
        <w:t xml:space="preserve"> contained</w:t>
      </w:r>
      <w:r w:rsidRPr="00061319">
        <w:rPr>
          <w:lang w:val="en-US"/>
        </w:rPr>
        <w:t xml:space="preserve"> in Decree 89-2012 </w:t>
      </w:r>
      <w:r>
        <w:rPr>
          <w:lang w:val="en-US"/>
        </w:rPr>
        <w:t>of May</w:t>
      </w:r>
      <w:r w:rsidRPr="00061319">
        <w:rPr>
          <w:lang w:val="en-US"/>
        </w:rPr>
        <w:t xml:space="preserve"> 25</w:t>
      </w:r>
      <w:r>
        <w:rPr>
          <w:lang w:val="en-US"/>
        </w:rPr>
        <w:t xml:space="preserve">, </w:t>
      </w:r>
      <w:r w:rsidRPr="00061319">
        <w:rPr>
          <w:lang w:val="en-US"/>
        </w:rPr>
        <w:t xml:space="preserve">2012, </w:t>
      </w:r>
      <w:r>
        <w:rPr>
          <w:lang w:val="en-US"/>
        </w:rPr>
        <w:t>as well as other regulations related to the institution of the Honduran police.</w:t>
      </w:r>
      <w:r w:rsidRPr="00DB55CD">
        <w:rPr>
          <w:rStyle w:val="Refdenotaalpie"/>
        </w:rPr>
        <w:footnoteReference w:id="10"/>
      </w:r>
      <w:r w:rsidRPr="00061319">
        <w:rPr>
          <w:lang w:val="en-US"/>
        </w:rPr>
        <w:t xml:space="preserve"> </w:t>
      </w:r>
      <w:r>
        <w:rPr>
          <w:lang w:val="en-US"/>
        </w:rPr>
        <w:t>As part of</w:t>
      </w:r>
      <w:r w:rsidRPr="00061319">
        <w:rPr>
          <w:lang w:val="en-US"/>
        </w:rPr>
        <w:t xml:space="preserve"> the constitutional proceedings, the Office of the Public Prosecutor </w:t>
      </w:r>
      <w:r>
        <w:rPr>
          <w:lang w:val="en-US"/>
        </w:rPr>
        <w:t>[</w:t>
      </w:r>
      <w:proofErr w:type="spellStart"/>
      <w:r w:rsidRPr="00203C37">
        <w:rPr>
          <w:i/>
          <w:iCs/>
          <w:lang w:val="en-US"/>
        </w:rPr>
        <w:t>Ministerio</w:t>
      </w:r>
      <w:proofErr w:type="spellEnd"/>
      <w:r w:rsidRPr="00203C37">
        <w:rPr>
          <w:i/>
          <w:iCs/>
          <w:lang w:val="en-US"/>
        </w:rPr>
        <w:t xml:space="preserve"> </w:t>
      </w:r>
      <w:proofErr w:type="spellStart"/>
      <w:r w:rsidRPr="00203C37">
        <w:rPr>
          <w:i/>
          <w:iCs/>
          <w:lang w:val="en-US"/>
        </w:rPr>
        <w:t>Público</w:t>
      </w:r>
      <w:proofErr w:type="spellEnd"/>
      <w:r>
        <w:rPr>
          <w:lang w:val="en-US"/>
        </w:rPr>
        <w:t>]</w:t>
      </w:r>
      <w:r w:rsidRPr="00061319">
        <w:rPr>
          <w:lang w:val="en-US"/>
        </w:rPr>
        <w:t xml:space="preserve"> issued an </w:t>
      </w:r>
      <w:r>
        <w:rPr>
          <w:lang w:val="en-US"/>
        </w:rPr>
        <w:t xml:space="preserve">expert </w:t>
      </w:r>
      <w:r w:rsidRPr="00061319">
        <w:rPr>
          <w:lang w:val="en-US"/>
        </w:rPr>
        <w:t>opinion on August</w:t>
      </w:r>
      <w:r>
        <w:rPr>
          <w:lang w:val="en-US"/>
        </w:rPr>
        <w:t xml:space="preserve"> </w:t>
      </w:r>
      <w:r w:rsidRPr="00061319">
        <w:rPr>
          <w:lang w:val="en-US"/>
        </w:rPr>
        <w:t>7</w:t>
      </w:r>
      <w:r>
        <w:rPr>
          <w:lang w:val="en-US"/>
        </w:rPr>
        <w:t xml:space="preserve">, </w:t>
      </w:r>
      <w:r w:rsidRPr="00061319">
        <w:rPr>
          <w:lang w:val="en-US"/>
        </w:rPr>
        <w:t xml:space="preserve">2012, </w:t>
      </w:r>
      <w:r>
        <w:rPr>
          <w:lang w:val="en-US"/>
        </w:rPr>
        <w:t>which deemed that the laws being challenged should be declared unconstitutional.</w:t>
      </w:r>
      <w:r w:rsidRPr="00DB55CD">
        <w:rPr>
          <w:rStyle w:val="Refdenotaalpie"/>
        </w:rPr>
        <w:footnoteReference w:id="11"/>
      </w:r>
      <w:r w:rsidRPr="00061319">
        <w:rPr>
          <w:lang w:val="en-US"/>
        </w:rPr>
        <w:t xml:space="preserve"> </w:t>
      </w:r>
    </w:p>
    <w:p w14:paraId="452AABE0" w14:textId="77777777" w:rsidR="00E6692A" w:rsidRPr="00061319" w:rsidRDefault="00E6692A" w:rsidP="00E6692A">
      <w:pPr>
        <w:pStyle w:val="parrafos"/>
        <w:numPr>
          <w:ilvl w:val="0"/>
          <w:numId w:val="0"/>
        </w:numPr>
        <w:rPr>
          <w:lang w:val="en-US"/>
        </w:rPr>
      </w:pPr>
    </w:p>
    <w:p w14:paraId="11107C35" w14:textId="77777777" w:rsidR="00E6692A" w:rsidRPr="009863A7" w:rsidRDefault="00E6692A" w:rsidP="00E6692A">
      <w:pPr>
        <w:pStyle w:val="parrafos"/>
        <w:numPr>
          <w:ilvl w:val="0"/>
          <w:numId w:val="0"/>
        </w:numPr>
        <w:rPr>
          <w:lang w:val="en-US"/>
        </w:rPr>
      </w:pPr>
      <w:r w:rsidRPr="00203C37">
        <w:rPr>
          <w:lang w:val="en-US"/>
        </w:rPr>
        <w:t xml:space="preserve">23. On November 27, 2012, the Constitutional Chamber, by a vote of four in favor and one against, declared that the police </w:t>
      </w:r>
      <w:r>
        <w:rPr>
          <w:lang w:val="en-US"/>
        </w:rPr>
        <w:t>regulations</w:t>
      </w:r>
      <w:r w:rsidRPr="00203C37">
        <w:rPr>
          <w:lang w:val="en-US"/>
        </w:rPr>
        <w:t xml:space="preserve"> being </w:t>
      </w:r>
      <w:r>
        <w:rPr>
          <w:lang w:val="en-US"/>
        </w:rPr>
        <w:t>challenged</w:t>
      </w:r>
      <w:r w:rsidRPr="00203C37">
        <w:rPr>
          <w:lang w:val="en-US"/>
        </w:rPr>
        <w:t xml:space="preserve"> wer</w:t>
      </w:r>
      <w:r>
        <w:rPr>
          <w:lang w:val="en-US"/>
        </w:rPr>
        <w:t xml:space="preserve">e unconstitutional and could not be enforced. </w:t>
      </w:r>
      <w:r w:rsidRPr="001E2D1F">
        <w:rPr>
          <w:lang w:val="en-US"/>
        </w:rPr>
        <w:t xml:space="preserve">Nevertheless, since the judgment was not unanimous, as required by law at that time, the </w:t>
      </w:r>
      <w:r>
        <w:rPr>
          <w:lang w:val="en-US"/>
        </w:rPr>
        <w:t xml:space="preserve">ruling was sent to the Plenary of the Supreme Court of </w:t>
      </w:r>
      <w:r w:rsidRPr="00A72CC3">
        <w:rPr>
          <w:lang w:val="en-US"/>
        </w:rPr>
        <w:t>Justice for a final decision.</w:t>
      </w:r>
      <w:r w:rsidRPr="00A72CC3">
        <w:rPr>
          <w:rStyle w:val="Refdenotaalpie"/>
        </w:rPr>
        <w:footnoteReference w:id="12"/>
      </w:r>
      <w:r w:rsidRPr="009863A7">
        <w:rPr>
          <w:lang w:val="en-US"/>
        </w:rPr>
        <w:t xml:space="preserve"> The four votes in favor were issued by the alleged </w:t>
      </w:r>
      <w:r>
        <w:rPr>
          <w:lang w:val="en-US"/>
        </w:rPr>
        <w:t xml:space="preserve">victims. </w:t>
      </w:r>
    </w:p>
    <w:p w14:paraId="4079A9D6" w14:textId="77777777" w:rsidR="00E6692A" w:rsidRPr="009863A7" w:rsidRDefault="00E6692A" w:rsidP="00E6692A">
      <w:pPr>
        <w:pStyle w:val="parrafos"/>
        <w:numPr>
          <w:ilvl w:val="0"/>
          <w:numId w:val="0"/>
        </w:numPr>
        <w:rPr>
          <w:lang w:val="en-US"/>
        </w:rPr>
      </w:pPr>
    </w:p>
    <w:p w14:paraId="16755382" w14:textId="77777777" w:rsidR="00E6692A" w:rsidRPr="009863A7" w:rsidRDefault="00E6692A" w:rsidP="00E6692A">
      <w:pPr>
        <w:pStyle w:val="parrafos"/>
        <w:numPr>
          <w:ilvl w:val="0"/>
          <w:numId w:val="0"/>
        </w:numPr>
        <w:rPr>
          <w:lang w:val="en-US"/>
        </w:rPr>
      </w:pPr>
      <w:r w:rsidRPr="009863A7">
        <w:rPr>
          <w:lang w:val="en-US"/>
        </w:rPr>
        <w:t>24. On December 4, 2012, the then</w:t>
      </w:r>
      <w:r>
        <w:rPr>
          <w:lang w:val="en-US"/>
        </w:rPr>
        <w:t>-</w:t>
      </w:r>
      <w:r w:rsidRPr="009863A7">
        <w:rPr>
          <w:lang w:val="en-US"/>
        </w:rPr>
        <w:t xml:space="preserve">President called into question the justices of the Constitutional Chamber for their decision, which was reported </w:t>
      </w:r>
      <w:r>
        <w:rPr>
          <w:lang w:val="en-US"/>
        </w:rPr>
        <w:t>in the press as follows:</w:t>
      </w:r>
      <w:r w:rsidRPr="009863A7">
        <w:rPr>
          <w:lang w:val="en-US"/>
        </w:rPr>
        <w:t xml:space="preserve"> </w:t>
      </w:r>
    </w:p>
    <w:p w14:paraId="2E1150C2" w14:textId="77777777" w:rsidR="00E6692A" w:rsidRPr="009863A7" w:rsidRDefault="00E6692A" w:rsidP="00E6692A">
      <w:pPr>
        <w:pStyle w:val="Prrafodelista"/>
        <w:rPr>
          <w:lang w:val="en-US"/>
        </w:rPr>
      </w:pPr>
    </w:p>
    <w:p w14:paraId="6953F499" w14:textId="77777777" w:rsidR="00E6692A" w:rsidRPr="006C2465" w:rsidRDefault="00E6692A" w:rsidP="00E6692A">
      <w:pPr>
        <w:pStyle w:val="parrafos"/>
        <w:numPr>
          <w:ilvl w:val="0"/>
          <w:numId w:val="0"/>
        </w:numPr>
        <w:ind w:left="357" w:right="357"/>
        <w:rPr>
          <w:sz w:val="18"/>
          <w:szCs w:val="18"/>
          <w:lang w:val="en-US"/>
        </w:rPr>
      </w:pPr>
      <w:r w:rsidRPr="009A2D86">
        <w:rPr>
          <w:sz w:val="18"/>
          <w:szCs w:val="18"/>
          <w:lang w:val="en-US"/>
        </w:rPr>
        <w:t>“…</w:t>
      </w:r>
      <w:r>
        <w:rPr>
          <w:sz w:val="18"/>
          <w:szCs w:val="18"/>
          <w:lang w:val="en-US"/>
        </w:rPr>
        <w:t xml:space="preserve">. </w:t>
      </w:r>
      <w:r w:rsidRPr="006C2465">
        <w:rPr>
          <w:sz w:val="18"/>
          <w:szCs w:val="18"/>
          <w:lang w:val="en-US"/>
        </w:rPr>
        <w:t>In recent weeks, Lobo unleashed his anger against the Court after the Constitutional Chamber declared (on November 27) tha</w:t>
      </w:r>
      <w:r w:rsidRPr="009A2D86">
        <w:rPr>
          <w:sz w:val="18"/>
          <w:szCs w:val="18"/>
          <w:lang w:val="en-US"/>
        </w:rPr>
        <w:t>t the Special Law to Purge the Police Force of Corruption,</w:t>
      </w:r>
      <w:r w:rsidRPr="006C2465">
        <w:rPr>
          <w:sz w:val="18"/>
          <w:szCs w:val="18"/>
          <w:lang w:val="en-US"/>
        </w:rPr>
        <w:t xml:space="preserve"> approved for six months until November 25, was unconstitutional. </w:t>
      </w:r>
    </w:p>
    <w:p w14:paraId="54DB6E6B" w14:textId="77777777" w:rsidR="00E6692A" w:rsidRPr="00DE3E53" w:rsidRDefault="00E6692A" w:rsidP="00E6692A">
      <w:pPr>
        <w:pStyle w:val="parrafos"/>
        <w:numPr>
          <w:ilvl w:val="0"/>
          <w:numId w:val="0"/>
        </w:numPr>
        <w:ind w:left="357" w:right="357"/>
        <w:rPr>
          <w:sz w:val="18"/>
          <w:szCs w:val="18"/>
          <w:lang w:val="en-US"/>
        </w:rPr>
      </w:pPr>
      <w:r>
        <w:rPr>
          <w:sz w:val="18"/>
          <w:szCs w:val="18"/>
          <w:lang w:val="en-US"/>
        </w:rPr>
        <w:t>“</w:t>
      </w:r>
      <w:r w:rsidRPr="00DE3E53">
        <w:rPr>
          <w:sz w:val="18"/>
          <w:szCs w:val="18"/>
          <w:lang w:val="en-US"/>
        </w:rPr>
        <w:t xml:space="preserve">In last week’s Council of Ministers, the president said </w:t>
      </w:r>
      <w:r>
        <w:rPr>
          <w:sz w:val="18"/>
          <w:szCs w:val="18"/>
          <w:lang w:val="en-US"/>
        </w:rPr>
        <w:t xml:space="preserve">aloud </w:t>
      </w:r>
      <w:r w:rsidRPr="00DE3E53">
        <w:rPr>
          <w:sz w:val="18"/>
          <w:szCs w:val="18"/>
          <w:lang w:val="en-US"/>
        </w:rPr>
        <w:t xml:space="preserve">the names of the four justices of the Constitutional Chamber who voted against the police purge and </w:t>
      </w:r>
      <w:r>
        <w:rPr>
          <w:sz w:val="18"/>
          <w:szCs w:val="18"/>
          <w:lang w:val="en-US"/>
        </w:rPr>
        <w:t>asked</w:t>
      </w:r>
      <w:r w:rsidRPr="00DE3E53">
        <w:rPr>
          <w:sz w:val="18"/>
          <w:szCs w:val="18"/>
          <w:lang w:val="en-US"/>
        </w:rPr>
        <w:t xml:space="preserve">, </w:t>
      </w:r>
      <w:r>
        <w:rPr>
          <w:sz w:val="18"/>
          <w:szCs w:val="18"/>
          <w:lang w:val="en-US"/>
        </w:rPr>
        <w:t>‘Whose</w:t>
      </w:r>
      <w:r w:rsidRPr="00DE3E53">
        <w:rPr>
          <w:sz w:val="18"/>
          <w:szCs w:val="18"/>
          <w:lang w:val="en-US"/>
        </w:rPr>
        <w:t xml:space="preserve"> side are they on</w:t>
      </w:r>
      <w:r>
        <w:rPr>
          <w:sz w:val="18"/>
          <w:szCs w:val="18"/>
          <w:lang w:val="en-US"/>
        </w:rPr>
        <w:t xml:space="preserve">? On the </w:t>
      </w:r>
      <w:r w:rsidRPr="00DE3E53">
        <w:rPr>
          <w:sz w:val="18"/>
          <w:szCs w:val="18"/>
          <w:lang w:val="en-US"/>
        </w:rPr>
        <w:t>side of</w:t>
      </w:r>
      <w:r>
        <w:rPr>
          <w:sz w:val="18"/>
          <w:szCs w:val="18"/>
          <w:lang w:val="en-US"/>
        </w:rPr>
        <w:t xml:space="preserve"> </w:t>
      </w:r>
      <w:r w:rsidRPr="00DE3E53">
        <w:rPr>
          <w:sz w:val="18"/>
          <w:szCs w:val="18"/>
          <w:lang w:val="en-US"/>
        </w:rPr>
        <w:t xml:space="preserve">criminals or </w:t>
      </w:r>
      <w:r>
        <w:rPr>
          <w:sz w:val="18"/>
          <w:szCs w:val="18"/>
          <w:lang w:val="en-US"/>
        </w:rPr>
        <w:t xml:space="preserve">on </w:t>
      </w:r>
      <w:r w:rsidRPr="00DE3E53">
        <w:rPr>
          <w:sz w:val="18"/>
          <w:szCs w:val="18"/>
          <w:lang w:val="en-US"/>
        </w:rPr>
        <w:t xml:space="preserve">the side of the </w:t>
      </w:r>
      <w:r>
        <w:rPr>
          <w:sz w:val="18"/>
          <w:szCs w:val="18"/>
          <w:lang w:val="en-US"/>
        </w:rPr>
        <w:t>honest</w:t>
      </w:r>
      <w:r w:rsidRPr="00DE3E53">
        <w:rPr>
          <w:sz w:val="18"/>
          <w:szCs w:val="18"/>
          <w:lang w:val="en-US"/>
        </w:rPr>
        <w:t xml:space="preserve"> people of</w:t>
      </w:r>
      <w:r>
        <w:rPr>
          <w:sz w:val="18"/>
          <w:szCs w:val="18"/>
          <w:lang w:val="en-US"/>
        </w:rPr>
        <w:t xml:space="preserve"> this country? </w:t>
      </w:r>
      <w:r w:rsidRPr="00DE3E53">
        <w:rPr>
          <w:sz w:val="18"/>
          <w:szCs w:val="18"/>
          <w:lang w:val="en-US"/>
        </w:rPr>
        <w:t>W</w:t>
      </w:r>
      <w:r>
        <w:rPr>
          <w:sz w:val="18"/>
          <w:szCs w:val="18"/>
          <w:lang w:val="en-US"/>
        </w:rPr>
        <w:t>hose</w:t>
      </w:r>
      <w:r w:rsidRPr="00DE3E53">
        <w:rPr>
          <w:sz w:val="18"/>
          <w:szCs w:val="18"/>
          <w:lang w:val="en-US"/>
        </w:rPr>
        <w:t xml:space="preserve"> side are they on</w:t>
      </w:r>
      <w:r>
        <w:rPr>
          <w:sz w:val="18"/>
          <w:szCs w:val="18"/>
          <w:lang w:val="en-US"/>
        </w:rPr>
        <w:t>? The victims or their assailants? I tell you this:</w:t>
      </w:r>
      <w:r w:rsidRPr="00DE3E53">
        <w:rPr>
          <w:sz w:val="18"/>
          <w:szCs w:val="18"/>
          <w:lang w:val="en-US"/>
        </w:rPr>
        <w:t xml:space="preserve"> I</w:t>
      </w:r>
      <w:r>
        <w:rPr>
          <w:sz w:val="18"/>
          <w:szCs w:val="18"/>
          <w:lang w:val="en-US"/>
        </w:rPr>
        <w:t xml:space="preserve"> feel deceived </w:t>
      </w:r>
      <w:r w:rsidRPr="00DE3E53">
        <w:rPr>
          <w:sz w:val="18"/>
          <w:szCs w:val="18"/>
          <w:lang w:val="en-US"/>
        </w:rPr>
        <w:t>[there was silence while he made a gesture of di</w:t>
      </w:r>
      <w:r>
        <w:rPr>
          <w:sz w:val="18"/>
          <w:szCs w:val="18"/>
          <w:lang w:val="en-US"/>
        </w:rPr>
        <w:t xml:space="preserve">sapproval and hit one of his fists on the table], I sincerely do.’ </w:t>
      </w:r>
    </w:p>
    <w:p w14:paraId="0127DABD" w14:textId="77777777" w:rsidR="00E6692A" w:rsidRPr="00DE3E53" w:rsidRDefault="00E6692A" w:rsidP="00E6692A">
      <w:pPr>
        <w:pStyle w:val="parrafos"/>
        <w:numPr>
          <w:ilvl w:val="0"/>
          <w:numId w:val="0"/>
        </w:numPr>
        <w:ind w:left="357" w:right="357"/>
        <w:rPr>
          <w:sz w:val="18"/>
          <w:szCs w:val="18"/>
          <w:lang w:val="en-US"/>
        </w:rPr>
      </w:pPr>
      <w:r>
        <w:rPr>
          <w:sz w:val="18"/>
          <w:szCs w:val="18"/>
          <w:lang w:val="en-US"/>
        </w:rPr>
        <w:t>“</w:t>
      </w:r>
      <w:r w:rsidRPr="00DE3E53">
        <w:rPr>
          <w:sz w:val="18"/>
          <w:szCs w:val="18"/>
          <w:lang w:val="en-US"/>
        </w:rPr>
        <w:t>Last Friday, after participating in a ceremony at the General Francisco Morazán Military Academy,</w:t>
      </w:r>
      <w:r>
        <w:rPr>
          <w:sz w:val="18"/>
          <w:szCs w:val="18"/>
          <w:lang w:val="en-US"/>
        </w:rPr>
        <w:t xml:space="preserve"> </w:t>
      </w:r>
      <w:r w:rsidRPr="00DE3E53">
        <w:rPr>
          <w:sz w:val="18"/>
          <w:szCs w:val="18"/>
          <w:lang w:val="en-US"/>
        </w:rPr>
        <w:t xml:space="preserve">he again called into question the justices of the Constitutional </w:t>
      </w:r>
      <w:r>
        <w:rPr>
          <w:sz w:val="18"/>
          <w:szCs w:val="18"/>
          <w:lang w:val="en-US"/>
        </w:rPr>
        <w:t>Chamber</w:t>
      </w:r>
      <w:r w:rsidRPr="00DE3E53">
        <w:rPr>
          <w:sz w:val="18"/>
          <w:szCs w:val="18"/>
          <w:lang w:val="en-US"/>
        </w:rPr>
        <w:t xml:space="preserve">, and this time he accused </w:t>
      </w:r>
      <w:r w:rsidRPr="00DE3E53">
        <w:rPr>
          <w:i/>
          <w:iCs/>
          <w:sz w:val="18"/>
          <w:szCs w:val="18"/>
          <w:lang w:val="en-US"/>
        </w:rPr>
        <w:t xml:space="preserve">El </w:t>
      </w:r>
      <w:proofErr w:type="spellStart"/>
      <w:r w:rsidRPr="00DE3E53">
        <w:rPr>
          <w:i/>
          <w:iCs/>
          <w:sz w:val="18"/>
          <w:szCs w:val="18"/>
          <w:lang w:val="en-US"/>
        </w:rPr>
        <w:t>Heraldo</w:t>
      </w:r>
      <w:proofErr w:type="spellEnd"/>
      <w:r w:rsidRPr="00DE3E53">
        <w:rPr>
          <w:sz w:val="18"/>
          <w:szCs w:val="18"/>
          <w:lang w:val="en-US"/>
        </w:rPr>
        <w:t xml:space="preserve"> </w:t>
      </w:r>
      <w:r>
        <w:rPr>
          <w:sz w:val="18"/>
          <w:szCs w:val="18"/>
          <w:lang w:val="en-US"/>
        </w:rPr>
        <w:t>and</w:t>
      </w:r>
      <w:r w:rsidRPr="00DE3E53">
        <w:rPr>
          <w:sz w:val="18"/>
          <w:szCs w:val="18"/>
          <w:lang w:val="en-US"/>
        </w:rPr>
        <w:t xml:space="preserve"> </w:t>
      </w:r>
      <w:r w:rsidRPr="00DE3E53">
        <w:rPr>
          <w:i/>
          <w:iCs/>
          <w:sz w:val="18"/>
          <w:szCs w:val="18"/>
          <w:lang w:val="en-US"/>
        </w:rPr>
        <w:t xml:space="preserve">La </w:t>
      </w:r>
      <w:proofErr w:type="spellStart"/>
      <w:r w:rsidRPr="00DE3E53">
        <w:rPr>
          <w:i/>
          <w:iCs/>
          <w:sz w:val="18"/>
          <w:szCs w:val="18"/>
          <w:lang w:val="en-US"/>
        </w:rPr>
        <w:t>Prensa</w:t>
      </w:r>
      <w:proofErr w:type="spellEnd"/>
      <w:r w:rsidRPr="00DE3E53">
        <w:rPr>
          <w:sz w:val="18"/>
          <w:szCs w:val="18"/>
          <w:lang w:val="en-US"/>
        </w:rPr>
        <w:t xml:space="preserve"> </w:t>
      </w:r>
      <w:r>
        <w:rPr>
          <w:sz w:val="18"/>
          <w:szCs w:val="18"/>
          <w:lang w:val="en-US"/>
        </w:rPr>
        <w:t>of conspiring to act as a conduit for reactions from justices, judges, and church sources who called for the independence of powers to be respected.</w:t>
      </w:r>
      <w:r w:rsidRPr="00DE3E53">
        <w:rPr>
          <w:sz w:val="18"/>
          <w:szCs w:val="18"/>
          <w:lang w:val="en-US"/>
        </w:rPr>
        <w:t>”</w:t>
      </w:r>
      <w:r w:rsidRPr="00DB55CD">
        <w:rPr>
          <w:rStyle w:val="Refdenotaalpie"/>
          <w:sz w:val="18"/>
          <w:szCs w:val="18"/>
        </w:rPr>
        <w:footnoteReference w:id="13"/>
      </w:r>
      <w:r w:rsidRPr="00DE3E53">
        <w:rPr>
          <w:sz w:val="18"/>
          <w:szCs w:val="18"/>
          <w:lang w:val="en-US"/>
        </w:rPr>
        <w:t xml:space="preserve"> </w:t>
      </w:r>
    </w:p>
    <w:p w14:paraId="70FF2C4B" w14:textId="77777777" w:rsidR="00E6692A" w:rsidRPr="00DE3E53" w:rsidRDefault="00E6692A" w:rsidP="00E6692A">
      <w:pPr>
        <w:pStyle w:val="Prrafodelista"/>
        <w:rPr>
          <w:lang w:val="en-US"/>
        </w:rPr>
      </w:pPr>
    </w:p>
    <w:p w14:paraId="08533CD3" w14:textId="77777777" w:rsidR="00E6692A" w:rsidRPr="00A869F0" w:rsidRDefault="00E6692A" w:rsidP="00E6692A">
      <w:pPr>
        <w:pStyle w:val="parrafos"/>
        <w:numPr>
          <w:ilvl w:val="0"/>
          <w:numId w:val="0"/>
        </w:numPr>
        <w:rPr>
          <w:lang w:val="en-US"/>
        </w:rPr>
      </w:pPr>
      <w:r w:rsidRPr="00A869F0">
        <w:rPr>
          <w:lang w:val="en-US"/>
        </w:rPr>
        <w:t>25. On December 5, 2012, twelve Supreme Court</w:t>
      </w:r>
      <w:r w:rsidRPr="00DB4D2B">
        <w:rPr>
          <w:lang w:val="en-US"/>
        </w:rPr>
        <w:t xml:space="preserve"> </w:t>
      </w:r>
      <w:r>
        <w:rPr>
          <w:lang w:val="en-US"/>
        </w:rPr>
        <w:t>j</w:t>
      </w:r>
      <w:r w:rsidRPr="00A869F0">
        <w:rPr>
          <w:lang w:val="en-US"/>
        </w:rPr>
        <w:t>ustices</w:t>
      </w:r>
      <w:r>
        <w:rPr>
          <w:lang w:val="en-US"/>
        </w:rPr>
        <w:t xml:space="preserve"> </w:t>
      </w:r>
      <w:r w:rsidRPr="006429DA">
        <w:rPr>
          <w:lang w:val="en-US"/>
        </w:rPr>
        <w:t xml:space="preserve">issued a press release about comments questioning actions </w:t>
      </w:r>
      <w:r>
        <w:rPr>
          <w:lang w:val="en-US"/>
        </w:rPr>
        <w:t>the</w:t>
      </w:r>
      <w:r w:rsidRPr="006429DA">
        <w:rPr>
          <w:lang w:val="en-US"/>
        </w:rPr>
        <w:t xml:space="preserve"> Court had taken through the Constitutional Chamber, </w:t>
      </w:r>
      <w:r>
        <w:rPr>
          <w:lang w:val="en-US"/>
        </w:rPr>
        <w:t>in which they stated</w:t>
      </w:r>
      <w:r w:rsidRPr="006429DA">
        <w:rPr>
          <w:lang w:val="en-US"/>
        </w:rPr>
        <w:t>:</w:t>
      </w:r>
      <w:r>
        <w:rPr>
          <w:lang w:val="en-US"/>
        </w:rPr>
        <w:t xml:space="preserve"> </w:t>
      </w:r>
    </w:p>
    <w:p w14:paraId="7C51282A" w14:textId="77777777" w:rsidR="00E6692A" w:rsidRPr="00A869F0" w:rsidRDefault="00E6692A" w:rsidP="00E6692A">
      <w:pPr>
        <w:pStyle w:val="Prrafodelista"/>
        <w:rPr>
          <w:lang w:val="en-US"/>
        </w:rPr>
      </w:pPr>
    </w:p>
    <w:p w14:paraId="507ED854" w14:textId="77777777" w:rsidR="00E6692A" w:rsidRPr="00A62BE0" w:rsidRDefault="00E6692A" w:rsidP="00E6692A">
      <w:pPr>
        <w:pStyle w:val="parrafos"/>
        <w:numPr>
          <w:ilvl w:val="0"/>
          <w:numId w:val="0"/>
        </w:numPr>
        <w:ind w:left="357" w:right="357"/>
        <w:rPr>
          <w:sz w:val="18"/>
          <w:szCs w:val="18"/>
          <w:lang w:val="en-US"/>
        </w:rPr>
      </w:pPr>
      <w:r w:rsidRPr="001E795D">
        <w:rPr>
          <w:sz w:val="18"/>
          <w:szCs w:val="18"/>
          <w:lang w:val="en-US"/>
        </w:rPr>
        <w:lastRenderedPageBreak/>
        <w:t>“…</w:t>
      </w:r>
      <w:r>
        <w:rPr>
          <w:sz w:val="18"/>
          <w:szCs w:val="18"/>
          <w:lang w:val="en-US"/>
        </w:rPr>
        <w:t>.</w:t>
      </w:r>
      <w:r w:rsidRPr="001E795D">
        <w:rPr>
          <w:sz w:val="18"/>
          <w:szCs w:val="18"/>
          <w:lang w:val="en-US"/>
        </w:rPr>
        <w:t xml:space="preserve"> </w:t>
      </w:r>
      <w:r>
        <w:rPr>
          <w:sz w:val="18"/>
          <w:szCs w:val="18"/>
          <w:lang w:val="en-US"/>
        </w:rPr>
        <w:t>Likewise</w:t>
      </w:r>
      <w:r w:rsidRPr="001E795D">
        <w:rPr>
          <w:sz w:val="18"/>
          <w:szCs w:val="18"/>
          <w:lang w:val="en-US"/>
        </w:rPr>
        <w:t>, exercising control</w:t>
      </w:r>
      <w:r w:rsidRPr="00A62BE0">
        <w:rPr>
          <w:sz w:val="18"/>
          <w:szCs w:val="18"/>
          <w:lang w:val="en-US"/>
        </w:rPr>
        <w:t xml:space="preserve"> </w:t>
      </w:r>
      <w:r w:rsidRPr="00DE2FBA">
        <w:rPr>
          <w:sz w:val="18"/>
          <w:szCs w:val="18"/>
          <w:lang w:val="en-US"/>
        </w:rPr>
        <w:t>over</w:t>
      </w:r>
      <w:r w:rsidRPr="00DE2FBA">
        <w:rPr>
          <w:color w:val="auto"/>
          <w:sz w:val="18"/>
          <w:szCs w:val="18"/>
          <w:lang w:val="en-US"/>
        </w:rPr>
        <w:t xml:space="preserve"> [the </w:t>
      </w:r>
      <w:r w:rsidRPr="00DE2FBA">
        <w:rPr>
          <w:sz w:val="18"/>
          <w:szCs w:val="18"/>
          <w:lang w:val="en-US"/>
        </w:rPr>
        <w:t>guarantees] granted to the Supreme Court of Justice through the Constitutional Chamber, in its indisputable capacity</w:t>
      </w:r>
      <w:r w:rsidRPr="00A62BE0">
        <w:rPr>
          <w:sz w:val="18"/>
          <w:szCs w:val="18"/>
          <w:lang w:val="en-US"/>
        </w:rPr>
        <w:t xml:space="preserve"> </w:t>
      </w:r>
      <w:r>
        <w:rPr>
          <w:sz w:val="18"/>
          <w:szCs w:val="18"/>
          <w:lang w:val="en-US"/>
        </w:rPr>
        <w:t>as</w:t>
      </w:r>
      <w:r w:rsidRPr="00A62BE0">
        <w:rPr>
          <w:sz w:val="18"/>
          <w:szCs w:val="18"/>
          <w:lang w:val="en-US"/>
        </w:rPr>
        <w:t xml:space="preserve"> the last and definitive interpreter in the making of decisions submitted </w:t>
      </w:r>
      <w:r>
        <w:rPr>
          <w:sz w:val="18"/>
          <w:szCs w:val="18"/>
          <w:lang w:val="en-US"/>
        </w:rPr>
        <w:t xml:space="preserve">for its consideration. </w:t>
      </w:r>
      <w:r w:rsidRPr="00A62BE0">
        <w:rPr>
          <w:sz w:val="18"/>
          <w:szCs w:val="18"/>
          <w:lang w:val="en-US"/>
        </w:rPr>
        <w:t>When its decisions</w:t>
      </w:r>
      <w:r>
        <w:rPr>
          <w:sz w:val="18"/>
          <w:szCs w:val="18"/>
          <w:lang w:val="en-US"/>
        </w:rPr>
        <w:t xml:space="preserve"> are not unanimous</w:t>
      </w:r>
      <w:r w:rsidRPr="00A62BE0">
        <w:rPr>
          <w:sz w:val="18"/>
          <w:szCs w:val="18"/>
          <w:lang w:val="en-US"/>
        </w:rPr>
        <w:t xml:space="preserve">, [the matter] goes </w:t>
      </w:r>
      <w:r>
        <w:rPr>
          <w:sz w:val="18"/>
          <w:szCs w:val="18"/>
          <w:lang w:val="en-US"/>
        </w:rPr>
        <w:t xml:space="preserve">before </w:t>
      </w:r>
      <w:r w:rsidRPr="00A62BE0">
        <w:rPr>
          <w:sz w:val="18"/>
          <w:szCs w:val="18"/>
          <w:lang w:val="en-US"/>
        </w:rPr>
        <w:t xml:space="preserve">the </w:t>
      </w:r>
      <w:r>
        <w:rPr>
          <w:sz w:val="18"/>
          <w:szCs w:val="18"/>
          <w:lang w:val="en-US"/>
        </w:rPr>
        <w:t>Pl</w:t>
      </w:r>
      <w:r w:rsidRPr="00A62BE0">
        <w:rPr>
          <w:sz w:val="18"/>
          <w:szCs w:val="18"/>
          <w:lang w:val="en-US"/>
        </w:rPr>
        <w:t xml:space="preserve">enary of </w:t>
      </w:r>
      <w:r>
        <w:rPr>
          <w:sz w:val="18"/>
          <w:szCs w:val="18"/>
          <w:lang w:val="en-US"/>
        </w:rPr>
        <w:t>J</w:t>
      </w:r>
      <w:r w:rsidRPr="00A62BE0">
        <w:rPr>
          <w:sz w:val="18"/>
          <w:szCs w:val="18"/>
          <w:lang w:val="en-US"/>
        </w:rPr>
        <w:t xml:space="preserve">ustices to be heard and decided upon. </w:t>
      </w:r>
    </w:p>
    <w:p w14:paraId="2D3DFF22" w14:textId="77777777" w:rsidR="00E6692A" w:rsidRPr="002300C6" w:rsidRDefault="00E6692A" w:rsidP="00E6692A">
      <w:pPr>
        <w:pStyle w:val="parrafos"/>
        <w:numPr>
          <w:ilvl w:val="0"/>
          <w:numId w:val="0"/>
        </w:numPr>
        <w:ind w:left="357" w:right="357"/>
        <w:rPr>
          <w:sz w:val="18"/>
          <w:szCs w:val="18"/>
          <w:lang w:val="en-US"/>
        </w:rPr>
      </w:pPr>
      <w:r>
        <w:rPr>
          <w:sz w:val="18"/>
          <w:szCs w:val="18"/>
          <w:lang w:val="en-US"/>
        </w:rPr>
        <w:t>“</w:t>
      </w:r>
      <w:r w:rsidRPr="002300C6">
        <w:rPr>
          <w:sz w:val="18"/>
          <w:szCs w:val="18"/>
          <w:lang w:val="en-US"/>
        </w:rPr>
        <w:t>That [the Court]</w:t>
      </w:r>
      <w:r>
        <w:rPr>
          <w:sz w:val="18"/>
          <w:szCs w:val="18"/>
          <w:lang w:val="en-US"/>
        </w:rPr>
        <w:t>,</w:t>
      </w:r>
      <w:r w:rsidRPr="002300C6">
        <w:rPr>
          <w:sz w:val="18"/>
          <w:szCs w:val="18"/>
          <w:lang w:val="en-US"/>
        </w:rPr>
        <w:t xml:space="preserve"> fully </w:t>
      </w:r>
      <w:r>
        <w:rPr>
          <w:sz w:val="18"/>
          <w:szCs w:val="18"/>
          <w:lang w:val="en-US"/>
        </w:rPr>
        <w:t>embracing</w:t>
      </w:r>
      <w:r w:rsidRPr="002300C6">
        <w:rPr>
          <w:sz w:val="18"/>
          <w:szCs w:val="18"/>
          <w:lang w:val="en-US"/>
        </w:rPr>
        <w:t xml:space="preserve"> </w:t>
      </w:r>
      <w:r>
        <w:rPr>
          <w:sz w:val="18"/>
          <w:szCs w:val="18"/>
          <w:lang w:val="en-US"/>
        </w:rPr>
        <w:t xml:space="preserve">the </w:t>
      </w:r>
      <w:r w:rsidRPr="002300C6">
        <w:rPr>
          <w:sz w:val="18"/>
          <w:szCs w:val="18"/>
          <w:lang w:val="en-US"/>
        </w:rPr>
        <w:t xml:space="preserve">promise under the law </w:t>
      </w:r>
      <w:r>
        <w:rPr>
          <w:sz w:val="18"/>
          <w:szCs w:val="18"/>
          <w:lang w:val="en-US"/>
        </w:rPr>
        <w:t>‘</w:t>
      </w:r>
      <w:r w:rsidRPr="002300C6">
        <w:rPr>
          <w:sz w:val="18"/>
          <w:szCs w:val="18"/>
          <w:lang w:val="en-US"/>
        </w:rPr>
        <w:t>to be faithful to the Republic, to comply with and enforce the Constitution and laws,</w:t>
      </w:r>
      <w:r>
        <w:rPr>
          <w:sz w:val="18"/>
          <w:szCs w:val="18"/>
          <w:lang w:val="en-US"/>
        </w:rPr>
        <w:t>’</w:t>
      </w:r>
      <w:r w:rsidRPr="002300C6">
        <w:rPr>
          <w:sz w:val="18"/>
          <w:szCs w:val="18"/>
          <w:lang w:val="en-US"/>
        </w:rPr>
        <w:t xml:space="preserve"> with independence of legal judgment and disregarding exogenous elements of any kind, firmly rejects the insinuation that the decisions issued by the Constitutional Court of the Supreme Court of Justice are biased toward one sector of </w:t>
      </w:r>
      <w:r>
        <w:rPr>
          <w:sz w:val="18"/>
          <w:szCs w:val="18"/>
          <w:lang w:val="en-US"/>
        </w:rPr>
        <w:t>the Honduran</w:t>
      </w:r>
      <w:r w:rsidRPr="002300C6">
        <w:rPr>
          <w:sz w:val="18"/>
          <w:szCs w:val="18"/>
          <w:lang w:val="en-US"/>
        </w:rPr>
        <w:t xml:space="preserve"> nation, </w:t>
      </w:r>
      <w:r>
        <w:rPr>
          <w:sz w:val="18"/>
          <w:szCs w:val="18"/>
          <w:lang w:val="en-US"/>
        </w:rPr>
        <w:t xml:space="preserve">something that is incongruous because its decisions are made solely in compliance with the Constitution and the laws in effect, so that it acts properly, without applying anything beyond the legal criteria. </w:t>
      </w:r>
    </w:p>
    <w:p w14:paraId="3E71956A" w14:textId="77777777" w:rsidR="00E6692A" w:rsidRPr="00EE3051" w:rsidRDefault="00E6692A" w:rsidP="00E6692A">
      <w:pPr>
        <w:pStyle w:val="parrafos"/>
        <w:numPr>
          <w:ilvl w:val="0"/>
          <w:numId w:val="0"/>
        </w:numPr>
        <w:ind w:left="357" w:right="357"/>
        <w:rPr>
          <w:sz w:val="18"/>
          <w:szCs w:val="18"/>
          <w:lang w:val="en-US"/>
        </w:rPr>
      </w:pPr>
      <w:r>
        <w:rPr>
          <w:sz w:val="18"/>
          <w:szCs w:val="18"/>
          <w:lang w:val="en-US"/>
        </w:rPr>
        <w:t>“</w:t>
      </w:r>
      <w:r w:rsidRPr="00EE3051">
        <w:rPr>
          <w:sz w:val="18"/>
          <w:szCs w:val="18"/>
          <w:lang w:val="en-US"/>
        </w:rPr>
        <w:t xml:space="preserve">…. </w:t>
      </w:r>
      <w:r w:rsidRPr="0006119D">
        <w:rPr>
          <w:sz w:val="18"/>
          <w:szCs w:val="18"/>
          <w:lang w:val="en-US"/>
        </w:rPr>
        <w:t xml:space="preserve">It is once again affirmed that the Constitutional Chamber and the Supreme Court of Justice will continue to </w:t>
      </w:r>
      <w:r>
        <w:rPr>
          <w:sz w:val="18"/>
          <w:szCs w:val="18"/>
          <w:lang w:val="en-US"/>
        </w:rPr>
        <w:t>purposefully</w:t>
      </w:r>
      <w:r w:rsidRPr="0006119D">
        <w:rPr>
          <w:sz w:val="18"/>
          <w:szCs w:val="18"/>
          <w:lang w:val="en-US"/>
        </w:rPr>
        <w:t xml:space="preserve"> assume the democratic role that they must maintain </w:t>
      </w:r>
      <w:proofErr w:type="gramStart"/>
      <w:r w:rsidRPr="0006119D">
        <w:rPr>
          <w:sz w:val="18"/>
          <w:szCs w:val="18"/>
          <w:lang w:val="en-US"/>
        </w:rPr>
        <w:t>in order to</w:t>
      </w:r>
      <w:proofErr w:type="gramEnd"/>
      <w:r w:rsidRPr="0006119D">
        <w:rPr>
          <w:sz w:val="18"/>
          <w:szCs w:val="18"/>
          <w:lang w:val="en-US"/>
        </w:rPr>
        <w:t xml:space="preserve"> ensure unrestricted constitutional supremacy, controlling and submitting to the judicial system the actions of the other branches of government when th</w:t>
      </w:r>
      <w:r>
        <w:rPr>
          <w:sz w:val="18"/>
          <w:szCs w:val="18"/>
          <w:lang w:val="en-US"/>
        </w:rPr>
        <w:t xml:space="preserve">ese do </w:t>
      </w:r>
      <w:r w:rsidRPr="006429DA">
        <w:rPr>
          <w:sz w:val="18"/>
          <w:szCs w:val="18"/>
          <w:lang w:val="en-US"/>
        </w:rPr>
        <w:t>not fit in harmoniously</w:t>
      </w:r>
      <w:r>
        <w:rPr>
          <w:sz w:val="18"/>
          <w:szCs w:val="18"/>
          <w:lang w:val="en-US"/>
        </w:rPr>
        <w:t xml:space="preserve"> with the international human rights instruments, the Constitution, and the laws…. </w:t>
      </w:r>
    </w:p>
    <w:p w14:paraId="267DEA16" w14:textId="77777777" w:rsidR="00E6692A" w:rsidRPr="00E26040" w:rsidRDefault="00E6692A" w:rsidP="00E6692A">
      <w:pPr>
        <w:pStyle w:val="parrafos"/>
        <w:numPr>
          <w:ilvl w:val="0"/>
          <w:numId w:val="0"/>
        </w:numPr>
        <w:ind w:left="357" w:right="357"/>
        <w:rPr>
          <w:sz w:val="18"/>
          <w:szCs w:val="18"/>
          <w:lang w:val="en-US"/>
        </w:rPr>
      </w:pPr>
      <w:r>
        <w:rPr>
          <w:sz w:val="18"/>
          <w:szCs w:val="18"/>
          <w:lang w:val="en-US"/>
        </w:rPr>
        <w:t>“</w:t>
      </w:r>
      <w:r w:rsidRPr="00E26040">
        <w:rPr>
          <w:sz w:val="18"/>
          <w:szCs w:val="18"/>
          <w:lang w:val="en-US"/>
        </w:rPr>
        <w:t xml:space="preserve">For the sake of institutional tranquility </w:t>
      </w:r>
      <w:r w:rsidRPr="00E60BF3">
        <w:rPr>
          <w:sz w:val="18"/>
          <w:szCs w:val="18"/>
          <w:lang w:val="en-US"/>
        </w:rPr>
        <w:t>and respect for the principle of powers, we</w:t>
      </w:r>
      <w:r w:rsidRPr="00E26040">
        <w:rPr>
          <w:sz w:val="18"/>
          <w:szCs w:val="18"/>
          <w:lang w:val="en-US"/>
        </w:rPr>
        <w:t xml:space="preserve"> believe that the attacks on the independence of the judiciary and on democratic institutions must cease, given that the branches of government do not have any more powers than those granted to them expressly by the Constitution and the law, and they must submit themselves to the </w:t>
      </w:r>
      <w:r>
        <w:rPr>
          <w:sz w:val="18"/>
          <w:szCs w:val="18"/>
          <w:lang w:val="en-US"/>
        </w:rPr>
        <w:t>rule of law</w:t>
      </w:r>
      <w:r w:rsidRPr="005D67F4">
        <w:rPr>
          <w:sz w:val="18"/>
          <w:szCs w:val="18"/>
          <w:lang w:val="en-US"/>
        </w:rPr>
        <w:t>.”</w:t>
      </w:r>
      <w:r w:rsidRPr="005D67F4">
        <w:rPr>
          <w:rStyle w:val="Refdenotaalpie"/>
          <w:sz w:val="18"/>
          <w:szCs w:val="18"/>
          <w:lang w:val="es-ES"/>
        </w:rPr>
        <w:footnoteReference w:id="14"/>
      </w:r>
    </w:p>
    <w:p w14:paraId="478A1B05" w14:textId="77777777" w:rsidR="00E6692A" w:rsidRPr="00E26040" w:rsidRDefault="00E6692A" w:rsidP="00E6692A">
      <w:pPr>
        <w:pStyle w:val="parrafos"/>
        <w:numPr>
          <w:ilvl w:val="0"/>
          <w:numId w:val="0"/>
        </w:numPr>
        <w:ind w:right="357"/>
        <w:rPr>
          <w:sz w:val="18"/>
          <w:szCs w:val="18"/>
          <w:lang w:val="en-US"/>
        </w:rPr>
      </w:pPr>
    </w:p>
    <w:p w14:paraId="183B5E2B" w14:textId="77777777" w:rsidR="00E6692A" w:rsidRPr="004134FF" w:rsidRDefault="00E6692A" w:rsidP="00E6692A">
      <w:pPr>
        <w:pStyle w:val="parrafos"/>
        <w:numPr>
          <w:ilvl w:val="0"/>
          <w:numId w:val="0"/>
        </w:numPr>
        <w:rPr>
          <w:lang w:val="en-US"/>
        </w:rPr>
      </w:pPr>
      <w:r w:rsidRPr="006C35CE">
        <w:rPr>
          <w:lang w:val="en-US"/>
        </w:rPr>
        <w:t xml:space="preserve">26. Subsequently, </w:t>
      </w:r>
      <w:r>
        <w:rPr>
          <w:lang w:val="en-US"/>
        </w:rPr>
        <w:t>Deputy</w:t>
      </w:r>
      <w:r w:rsidRPr="006C35CE">
        <w:rPr>
          <w:lang w:val="en-US"/>
        </w:rPr>
        <w:t xml:space="preserve"> Rodolfo Zelaya of the ruling party, using his prerogative of legislative initiative, presented a motion to the Congress to establish a Special Comm</w:t>
      </w:r>
      <w:r>
        <w:rPr>
          <w:lang w:val="en-US"/>
        </w:rPr>
        <w:t>ittee</w:t>
      </w:r>
      <w:r w:rsidRPr="006C35CE">
        <w:rPr>
          <w:lang w:val="en-US"/>
        </w:rPr>
        <w:t xml:space="preserve"> to investigate the supposed “administrative conduct of the justices of the Supreme Court of Justice of Honduras.”</w:t>
      </w:r>
      <w:r w:rsidRPr="00DB55CD">
        <w:rPr>
          <w:rStyle w:val="Refdenotaalpie"/>
        </w:rPr>
        <w:footnoteReference w:id="15"/>
      </w:r>
    </w:p>
    <w:p w14:paraId="389858CF" w14:textId="77777777" w:rsidR="00E6692A" w:rsidRPr="004134FF" w:rsidRDefault="00E6692A" w:rsidP="00E6692A">
      <w:pPr>
        <w:pStyle w:val="parrafos"/>
        <w:numPr>
          <w:ilvl w:val="0"/>
          <w:numId w:val="0"/>
        </w:numPr>
        <w:rPr>
          <w:lang w:val="en-US"/>
        </w:rPr>
      </w:pPr>
    </w:p>
    <w:p w14:paraId="4793D816" w14:textId="77777777" w:rsidR="00E6692A" w:rsidRPr="004134FF" w:rsidRDefault="00E6692A" w:rsidP="00E6692A">
      <w:pPr>
        <w:pStyle w:val="parrafos"/>
        <w:numPr>
          <w:ilvl w:val="0"/>
          <w:numId w:val="0"/>
        </w:numPr>
        <w:rPr>
          <w:lang w:val="en-US"/>
        </w:rPr>
      </w:pPr>
      <w:r w:rsidRPr="00BE5CAC">
        <w:rPr>
          <w:lang w:val="en-US"/>
        </w:rPr>
        <w:t xml:space="preserve">27. As the information attached to the case file shows, on December 10, 2012, the </w:t>
      </w:r>
      <w:r>
        <w:rPr>
          <w:lang w:val="en-US"/>
        </w:rPr>
        <w:t xml:space="preserve">Honduran </w:t>
      </w:r>
      <w:r w:rsidRPr="00BE5CAC">
        <w:rPr>
          <w:lang w:val="en-US"/>
        </w:rPr>
        <w:t xml:space="preserve">Congress created a committee to investigate the conduct of the justices of the Constitutional Chamber of the Supreme Court who voted to declare </w:t>
      </w:r>
      <w:r w:rsidRPr="00A75A65">
        <w:rPr>
          <w:lang w:val="en-US"/>
        </w:rPr>
        <w:t>the Special Law to Purge the Police Force of Corruption to be</w:t>
      </w:r>
      <w:r w:rsidRPr="00BE5CAC">
        <w:rPr>
          <w:lang w:val="en-US"/>
        </w:rPr>
        <w:t xml:space="preserve"> unconstitutional. </w:t>
      </w:r>
      <w:r w:rsidRPr="004134FF">
        <w:rPr>
          <w:lang w:val="en-US"/>
        </w:rPr>
        <w:t xml:space="preserve">One news </w:t>
      </w:r>
      <w:r>
        <w:rPr>
          <w:lang w:val="en-US"/>
        </w:rPr>
        <w:t xml:space="preserve">account </w:t>
      </w:r>
      <w:r w:rsidRPr="004134FF">
        <w:rPr>
          <w:lang w:val="en-US"/>
        </w:rPr>
        <w:t>report</w:t>
      </w:r>
      <w:r>
        <w:rPr>
          <w:lang w:val="en-US"/>
        </w:rPr>
        <w:t xml:space="preserve">ed </w:t>
      </w:r>
      <w:r w:rsidRPr="004134FF">
        <w:rPr>
          <w:lang w:val="en-US"/>
        </w:rPr>
        <w:t>the following:</w:t>
      </w:r>
    </w:p>
    <w:p w14:paraId="0DD5AA7F" w14:textId="77777777" w:rsidR="00E6692A" w:rsidRPr="004134FF" w:rsidRDefault="00E6692A" w:rsidP="00E6692A">
      <w:pPr>
        <w:pStyle w:val="Prrafodelista"/>
        <w:rPr>
          <w:lang w:val="en-US"/>
        </w:rPr>
      </w:pPr>
    </w:p>
    <w:p w14:paraId="58FA9032" w14:textId="77777777" w:rsidR="00E6692A" w:rsidRPr="00BE5CAC" w:rsidRDefault="00E6692A" w:rsidP="00E6692A">
      <w:pPr>
        <w:pStyle w:val="parrafos"/>
        <w:numPr>
          <w:ilvl w:val="0"/>
          <w:numId w:val="0"/>
        </w:numPr>
        <w:ind w:left="357" w:right="357"/>
        <w:rPr>
          <w:sz w:val="18"/>
          <w:szCs w:val="18"/>
          <w:lang w:val="en-US"/>
        </w:rPr>
      </w:pPr>
      <w:r w:rsidRPr="00BE5CAC">
        <w:rPr>
          <w:sz w:val="18"/>
          <w:szCs w:val="18"/>
          <w:lang w:val="en-US"/>
        </w:rPr>
        <w:t>“The National Congress create</w:t>
      </w:r>
      <w:r>
        <w:rPr>
          <w:sz w:val="18"/>
          <w:szCs w:val="18"/>
          <w:lang w:val="en-US"/>
        </w:rPr>
        <w:t>d</w:t>
      </w:r>
      <w:r w:rsidRPr="00BE5CAC">
        <w:rPr>
          <w:sz w:val="18"/>
          <w:szCs w:val="18"/>
          <w:lang w:val="en-US"/>
        </w:rPr>
        <w:t xml:space="preserve"> a committee made up of four </w:t>
      </w:r>
      <w:proofErr w:type="spellStart"/>
      <w:r w:rsidRPr="00BE5CAC">
        <w:rPr>
          <w:i/>
          <w:iCs/>
          <w:sz w:val="18"/>
          <w:szCs w:val="18"/>
          <w:lang w:val="en-US"/>
        </w:rPr>
        <w:t>juanorlandista</w:t>
      </w:r>
      <w:proofErr w:type="spellEnd"/>
      <w:r w:rsidRPr="00BE5CAC">
        <w:rPr>
          <w:sz w:val="18"/>
          <w:szCs w:val="18"/>
          <w:lang w:val="en-US"/>
        </w:rPr>
        <w:t xml:space="preserve"> deputies, two from the liberal party, one from the UD, an</w:t>
      </w:r>
      <w:r>
        <w:rPr>
          <w:sz w:val="18"/>
          <w:szCs w:val="18"/>
          <w:lang w:val="en-US"/>
        </w:rPr>
        <w:t xml:space="preserve">d another one from the </w:t>
      </w:r>
      <w:r w:rsidRPr="00BE5CAC">
        <w:rPr>
          <w:sz w:val="18"/>
          <w:szCs w:val="18"/>
          <w:lang w:val="en-US"/>
        </w:rPr>
        <w:t>DC</w:t>
      </w:r>
      <w:r>
        <w:rPr>
          <w:sz w:val="18"/>
          <w:szCs w:val="18"/>
          <w:lang w:val="en-US"/>
        </w:rPr>
        <w:t>, to examine the conduct of the justices of the Constitutional Chamber</w:t>
      </w:r>
      <w:r w:rsidRPr="00BE5CAC">
        <w:rPr>
          <w:sz w:val="18"/>
          <w:szCs w:val="18"/>
          <w:lang w:val="en-US"/>
        </w:rPr>
        <w:t xml:space="preserve">. The measure </w:t>
      </w:r>
      <w:r>
        <w:rPr>
          <w:sz w:val="18"/>
          <w:szCs w:val="18"/>
          <w:lang w:val="en-US"/>
        </w:rPr>
        <w:t>took place</w:t>
      </w:r>
      <w:r w:rsidRPr="00BE5CAC">
        <w:rPr>
          <w:sz w:val="18"/>
          <w:szCs w:val="18"/>
          <w:lang w:val="en-US"/>
        </w:rPr>
        <w:t xml:space="preserve"> two hours after the plenary of the </w:t>
      </w:r>
      <w:r>
        <w:rPr>
          <w:sz w:val="18"/>
          <w:szCs w:val="18"/>
          <w:lang w:val="en-US"/>
        </w:rPr>
        <w:t>CSJ [</w:t>
      </w:r>
      <w:r w:rsidRPr="00BE5CAC">
        <w:rPr>
          <w:sz w:val="18"/>
          <w:szCs w:val="18"/>
          <w:lang w:val="en-US"/>
        </w:rPr>
        <w:t>Supreme Court</w:t>
      </w:r>
      <w:r>
        <w:rPr>
          <w:sz w:val="18"/>
          <w:szCs w:val="18"/>
          <w:lang w:val="en-US"/>
        </w:rPr>
        <w:t>]</w:t>
      </w:r>
      <w:r w:rsidRPr="00BE5CAC">
        <w:rPr>
          <w:sz w:val="18"/>
          <w:szCs w:val="18"/>
          <w:lang w:val="en-US"/>
        </w:rPr>
        <w:t xml:space="preserve"> </w:t>
      </w:r>
      <w:r w:rsidRPr="00A75A65">
        <w:rPr>
          <w:sz w:val="18"/>
          <w:szCs w:val="18"/>
          <w:lang w:val="en-US"/>
        </w:rPr>
        <w:t xml:space="preserve">issued a decision on the legality of the decree that allows members of the police force to be terminated based on </w:t>
      </w:r>
      <w:r>
        <w:rPr>
          <w:sz w:val="18"/>
          <w:szCs w:val="18"/>
          <w:lang w:val="en-US"/>
        </w:rPr>
        <w:t>confidence</w:t>
      </w:r>
      <w:r w:rsidRPr="00A75A65">
        <w:rPr>
          <w:sz w:val="18"/>
          <w:szCs w:val="18"/>
          <w:lang w:val="en-US"/>
        </w:rPr>
        <w:t xml:space="preserve"> tests.</w:t>
      </w:r>
    </w:p>
    <w:p w14:paraId="1F7AA1A3" w14:textId="77777777" w:rsidR="00E6692A" w:rsidRPr="004134FF" w:rsidRDefault="00E6692A" w:rsidP="00E6692A">
      <w:pPr>
        <w:pStyle w:val="parrafos"/>
        <w:numPr>
          <w:ilvl w:val="0"/>
          <w:numId w:val="0"/>
        </w:numPr>
        <w:ind w:left="357" w:right="357"/>
        <w:rPr>
          <w:sz w:val="18"/>
          <w:szCs w:val="18"/>
          <w:lang w:val="en-US"/>
        </w:rPr>
      </w:pPr>
      <w:r>
        <w:rPr>
          <w:sz w:val="18"/>
          <w:szCs w:val="18"/>
          <w:lang w:val="en-US"/>
        </w:rPr>
        <w:t>“</w:t>
      </w:r>
      <w:r w:rsidRPr="00BE5CAC">
        <w:rPr>
          <w:sz w:val="18"/>
          <w:szCs w:val="18"/>
          <w:lang w:val="en-US"/>
        </w:rPr>
        <w:t>…</w:t>
      </w:r>
      <w:r>
        <w:rPr>
          <w:sz w:val="18"/>
          <w:szCs w:val="18"/>
          <w:lang w:val="en-US"/>
        </w:rPr>
        <w:t>.</w:t>
      </w:r>
      <w:r w:rsidRPr="00BE5CAC">
        <w:rPr>
          <w:sz w:val="18"/>
          <w:szCs w:val="18"/>
          <w:lang w:val="en-US"/>
        </w:rPr>
        <w:t xml:space="preserve"> This decision came about after the legislative and executive </w:t>
      </w:r>
      <w:r w:rsidRPr="00271A6F">
        <w:rPr>
          <w:sz w:val="18"/>
          <w:szCs w:val="18"/>
          <w:lang w:val="en-US"/>
        </w:rPr>
        <w:t>branches launched a series</w:t>
      </w:r>
      <w:r w:rsidRPr="00BE5CAC">
        <w:rPr>
          <w:sz w:val="18"/>
          <w:szCs w:val="18"/>
          <w:lang w:val="en-US"/>
        </w:rPr>
        <w:t xml:space="preserve"> of attacks on the </w:t>
      </w:r>
      <w:r>
        <w:rPr>
          <w:sz w:val="18"/>
          <w:szCs w:val="18"/>
          <w:lang w:val="en-US"/>
        </w:rPr>
        <w:t>judiciary</w:t>
      </w:r>
      <w:r w:rsidRPr="00BE5CAC">
        <w:rPr>
          <w:sz w:val="18"/>
          <w:szCs w:val="18"/>
          <w:lang w:val="en-US"/>
        </w:rPr>
        <w:t>, after the Constitutional Chamber voted 4 to 1 against the decree re</w:t>
      </w:r>
      <w:r>
        <w:rPr>
          <w:sz w:val="18"/>
          <w:szCs w:val="18"/>
          <w:lang w:val="en-US"/>
        </w:rPr>
        <w:t>lated to the police purge because they considered it to be unconstitutional.</w:t>
      </w:r>
      <w:r w:rsidRPr="00BE5CAC">
        <w:rPr>
          <w:sz w:val="18"/>
          <w:szCs w:val="18"/>
          <w:lang w:val="en-US"/>
        </w:rPr>
        <w:t>”</w:t>
      </w:r>
      <w:r w:rsidRPr="00DB55CD">
        <w:rPr>
          <w:rStyle w:val="Refdenotaalpie"/>
          <w:sz w:val="18"/>
          <w:szCs w:val="18"/>
        </w:rPr>
        <w:footnoteReference w:id="16"/>
      </w:r>
    </w:p>
    <w:p w14:paraId="3E97AB07" w14:textId="77777777" w:rsidR="00E6692A" w:rsidRPr="00BE5CAC" w:rsidRDefault="00E6692A" w:rsidP="00E6692A">
      <w:pPr>
        <w:pStyle w:val="parrafos"/>
        <w:numPr>
          <w:ilvl w:val="0"/>
          <w:numId w:val="0"/>
        </w:numPr>
        <w:ind w:right="357"/>
        <w:rPr>
          <w:sz w:val="18"/>
          <w:szCs w:val="18"/>
          <w:lang w:val="en-US"/>
        </w:rPr>
      </w:pPr>
    </w:p>
    <w:p w14:paraId="5B8909F4" w14:textId="77777777" w:rsidR="00E6692A" w:rsidRPr="00AF4594" w:rsidRDefault="00E6692A" w:rsidP="00E6692A">
      <w:pPr>
        <w:pStyle w:val="parrafos"/>
        <w:numPr>
          <w:ilvl w:val="0"/>
          <w:numId w:val="0"/>
        </w:numPr>
        <w:rPr>
          <w:lang w:val="en-US"/>
        </w:rPr>
      </w:pPr>
      <w:r w:rsidRPr="00AF4594">
        <w:rPr>
          <w:lang w:val="en-US"/>
        </w:rPr>
        <w:t xml:space="preserve">28. On the evening of December 11, 2012, the Special Committee appointed by the </w:t>
      </w:r>
      <w:r>
        <w:rPr>
          <w:lang w:val="en-US"/>
        </w:rPr>
        <w:t xml:space="preserve">Honduran </w:t>
      </w:r>
      <w:r w:rsidRPr="00AF4594">
        <w:rPr>
          <w:lang w:val="en-US"/>
        </w:rPr>
        <w:t xml:space="preserve">Congress issued a report </w:t>
      </w:r>
      <w:r>
        <w:rPr>
          <w:lang w:val="en-US"/>
        </w:rPr>
        <w:t xml:space="preserve">affirming </w:t>
      </w:r>
      <w:r w:rsidRPr="00AF4594">
        <w:rPr>
          <w:lang w:val="en-US"/>
        </w:rPr>
        <w:t xml:space="preserve">that administrative irregularities had been committed in the proceeding </w:t>
      </w:r>
      <w:r>
        <w:rPr>
          <w:lang w:val="en-US"/>
        </w:rPr>
        <w:t>related to</w:t>
      </w:r>
      <w:r w:rsidRPr="00AF4594">
        <w:rPr>
          <w:lang w:val="en-US"/>
        </w:rPr>
        <w:t xml:space="preserve"> the </w:t>
      </w:r>
      <w:r>
        <w:rPr>
          <w:lang w:val="en-US"/>
        </w:rPr>
        <w:t xml:space="preserve">constitutional challenge filed against the </w:t>
      </w:r>
      <w:r w:rsidRPr="00271A6F">
        <w:rPr>
          <w:lang w:val="en-US"/>
        </w:rPr>
        <w:t>Special Law to Purge the Police Force of Corruption.</w:t>
      </w:r>
      <w:r>
        <w:rPr>
          <w:lang w:val="en-US"/>
        </w:rPr>
        <w:t xml:space="preserve"> </w:t>
      </w:r>
      <w:r w:rsidRPr="00AF4594">
        <w:rPr>
          <w:lang w:val="en-US"/>
        </w:rPr>
        <w:t xml:space="preserve">This report was approved by the </w:t>
      </w:r>
      <w:r>
        <w:rPr>
          <w:lang w:val="en-US"/>
        </w:rPr>
        <w:t>P</w:t>
      </w:r>
      <w:r w:rsidRPr="00AF4594">
        <w:rPr>
          <w:lang w:val="en-US"/>
        </w:rPr>
        <w:t xml:space="preserve">lenary of the </w:t>
      </w:r>
      <w:r>
        <w:rPr>
          <w:lang w:val="en-US"/>
        </w:rPr>
        <w:t>L</w:t>
      </w:r>
      <w:r w:rsidRPr="00AF4594">
        <w:rPr>
          <w:lang w:val="en-US"/>
        </w:rPr>
        <w:t xml:space="preserve">egislative </w:t>
      </w:r>
      <w:r>
        <w:rPr>
          <w:lang w:val="en-US"/>
        </w:rPr>
        <w:t>C</w:t>
      </w:r>
      <w:r w:rsidRPr="00AF4594">
        <w:rPr>
          <w:lang w:val="en-US"/>
        </w:rPr>
        <w:t>hamber</w:t>
      </w:r>
      <w:r>
        <w:rPr>
          <w:lang w:val="en-US"/>
        </w:rPr>
        <w:t>,</w:t>
      </w:r>
      <w:r w:rsidRPr="00AF4594">
        <w:rPr>
          <w:lang w:val="en-US"/>
        </w:rPr>
        <w:t xml:space="preserve"> and consequently a motion was presented, signed by </w:t>
      </w:r>
      <w:proofErr w:type="gramStart"/>
      <w:r w:rsidRPr="00AF4594">
        <w:rPr>
          <w:lang w:val="en-US"/>
        </w:rPr>
        <w:t>a number of</w:t>
      </w:r>
      <w:proofErr w:type="gramEnd"/>
      <w:r w:rsidRPr="00AF4594">
        <w:rPr>
          <w:lang w:val="en-US"/>
        </w:rPr>
        <w:t xml:space="preserve"> congressional deputies, calling for the </w:t>
      </w:r>
      <w:r>
        <w:rPr>
          <w:lang w:val="en-US"/>
        </w:rPr>
        <w:t>dismissal</w:t>
      </w:r>
      <w:r w:rsidRPr="00AF4594">
        <w:rPr>
          <w:lang w:val="en-US"/>
        </w:rPr>
        <w:t xml:space="preserve"> of the justices of the Constitutional Chamber for conduct “contrary to th</w:t>
      </w:r>
      <w:r>
        <w:rPr>
          <w:lang w:val="en-US"/>
        </w:rPr>
        <w:t>e public interest.”</w:t>
      </w:r>
      <w:r w:rsidRPr="00DB55CD">
        <w:rPr>
          <w:rStyle w:val="Refdenotaalpie"/>
        </w:rPr>
        <w:footnoteReference w:id="17"/>
      </w:r>
      <w:r w:rsidRPr="00AF4594">
        <w:rPr>
          <w:lang w:val="en-US"/>
        </w:rPr>
        <w:t xml:space="preserve"> According to publicly available information, the session of Congress took place with the building surrounded by members of t</w:t>
      </w:r>
      <w:r>
        <w:rPr>
          <w:lang w:val="en-US"/>
        </w:rPr>
        <w:t>he armed forces.</w:t>
      </w:r>
      <w:r w:rsidRPr="00DB55CD">
        <w:rPr>
          <w:rStyle w:val="Refdenotaalpie"/>
        </w:rPr>
        <w:footnoteReference w:id="18"/>
      </w:r>
    </w:p>
    <w:p w14:paraId="334FAA63" w14:textId="77777777" w:rsidR="00E6692A" w:rsidRPr="00AF4594" w:rsidRDefault="00E6692A" w:rsidP="00E6692A">
      <w:pPr>
        <w:pStyle w:val="parrafos"/>
        <w:numPr>
          <w:ilvl w:val="0"/>
          <w:numId w:val="0"/>
        </w:numPr>
        <w:rPr>
          <w:lang w:val="en-US"/>
        </w:rPr>
      </w:pPr>
    </w:p>
    <w:p w14:paraId="12485C27" w14:textId="77777777" w:rsidR="00E6692A" w:rsidRPr="004134FF" w:rsidRDefault="00E6692A" w:rsidP="00E6692A">
      <w:pPr>
        <w:pStyle w:val="parrafos"/>
        <w:numPr>
          <w:ilvl w:val="0"/>
          <w:numId w:val="0"/>
        </w:numPr>
        <w:rPr>
          <w:lang w:val="en-US"/>
        </w:rPr>
      </w:pPr>
      <w:r w:rsidRPr="00FD15A0">
        <w:rPr>
          <w:lang w:val="en-US"/>
        </w:rPr>
        <w:t xml:space="preserve">29. </w:t>
      </w:r>
      <w:r>
        <w:rPr>
          <w:lang w:val="en-US"/>
        </w:rPr>
        <w:t xml:space="preserve">Meeting </w:t>
      </w:r>
      <w:r w:rsidRPr="00FD15A0">
        <w:rPr>
          <w:lang w:val="en-US"/>
        </w:rPr>
        <w:t xml:space="preserve">in session </w:t>
      </w:r>
      <w:r>
        <w:rPr>
          <w:lang w:val="en-US"/>
        </w:rPr>
        <w:t>during</w:t>
      </w:r>
      <w:r w:rsidRPr="00FD15A0">
        <w:rPr>
          <w:lang w:val="en-US"/>
        </w:rPr>
        <w:t xml:space="preserve"> the early morning hours of December 12, 2012, </w:t>
      </w:r>
      <w:r>
        <w:rPr>
          <w:lang w:val="en-US"/>
        </w:rPr>
        <w:t xml:space="preserve">the Honduran Congress decided to remove the </w:t>
      </w:r>
      <w:r w:rsidRPr="00FD15A0">
        <w:rPr>
          <w:lang w:val="en-US"/>
        </w:rPr>
        <w:t>alleged victims</w:t>
      </w:r>
      <w:r>
        <w:rPr>
          <w:lang w:val="en-US"/>
        </w:rPr>
        <w:t xml:space="preserve"> from their posts as justices of the Constitutional Chamber of the Supreme Court. </w:t>
      </w:r>
      <w:r w:rsidRPr="00FD15A0">
        <w:rPr>
          <w:lang w:val="en-US"/>
        </w:rPr>
        <w:t xml:space="preserve">It was also </w:t>
      </w:r>
      <w:r>
        <w:rPr>
          <w:lang w:val="en-US"/>
        </w:rPr>
        <w:t xml:space="preserve">determined </w:t>
      </w:r>
      <w:r w:rsidRPr="00FD15A0">
        <w:rPr>
          <w:lang w:val="en-US"/>
        </w:rPr>
        <w:t xml:space="preserve">that they </w:t>
      </w:r>
      <w:r>
        <w:rPr>
          <w:lang w:val="en-US"/>
        </w:rPr>
        <w:t xml:space="preserve">would </w:t>
      </w:r>
      <w:r w:rsidRPr="00FD15A0">
        <w:rPr>
          <w:lang w:val="en-US"/>
        </w:rPr>
        <w:t xml:space="preserve">be replaced by </w:t>
      </w:r>
      <w:r>
        <w:rPr>
          <w:lang w:val="en-US"/>
        </w:rPr>
        <w:t xml:space="preserve">the </w:t>
      </w:r>
      <w:r w:rsidRPr="00FD15A0">
        <w:rPr>
          <w:lang w:val="en-US"/>
        </w:rPr>
        <w:t xml:space="preserve">attorneys Germán Vicente García, Silvia Trinidad </w:t>
      </w:r>
      <w:r w:rsidRPr="00FD15A0">
        <w:rPr>
          <w:lang w:val="en-US"/>
        </w:rPr>
        <w:lastRenderedPageBreak/>
        <w:t xml:space="preserve">Santos Moncada, José Elmer </w:t>
      </w:r>
      <w:proofErr w:type="spellStart"/>
      <w:r w:rsidRPr="00FD15A0">
        <w:rPr>
          <w:lang w:val="en-US"/>
        </w:rPr>
        <w:t>Lizardo</w:t>
      </w:r>
      <w:proofErr w:type="spellEnd"/>
      <w:r>
        <w:rPr>
          <w:lang w:val="en-US"/>
        </w:rPr>
        <w:t>, and</w:t>
      </w:r>
      <w:r w:rsidRPr="00FD15A0">
        <w:rPr>
          <w:lang w:val="en-US"/>
        </w:rPr>
        <w:t xml:space="preserve"> Víctor Manuel Lozano</w:t>
      </w:r>
      <w:r>
        <w:rPr>
          <w:lang w:val="en-US"/>
        </w:rPr>
        <w:t>.</w:t>
      </w:r>
      <w:r w:rsidRPr="00DB55CD">
        <w:rPr>
          <w:rStyle w:val="Refdenotaalpie"/>
        </w:rPr>
        <w:footnoteReference w:id="19"/>
      </w:r>
      <w:r w:rsidRPr="00FD15A0">
        <w:rPr>
          <w:lang w:val="en-US"/>
        </w:rPr>
        <w:t xml:space="preserve"> These decisions were later formalized </w:t>
      </w:r>
      <w:r>
        <w:rPr>
          <w:lang w:val="en-US"/>
        </w:rPr>
        <w:t>through</w:t>
      </w:r>
      <w:r w:rsidRPr="00FD15A0">
        <w:rPr>
          <w:lang w:val="en-US"/>
        </w:rPr>
        <w:t xml:space="preserve"> Decree No. 191-2012 published in the Official Gaz</w:t>
      </w:r>
      <w:r>
        <w:rPr>
          <w:lang w:val="en-US"/>
        </w:rPr>
        <w:t xml:space="preserve">ette on December </w:t>
      </w:r>
      <w:r w:rsidRPr="00FD15A0">
        <w:rPr>
          <w:lang w:val="en-US"/>
        </w:rPr>
        <w:t>29</w:t>
      </w:r>
      <w:r>
        <w:rPr>
          <w:lang w:val="en-US"/>
        </w:rPr>
        <w:t xml:space="preserve">, </w:t>
      </w:r>
      <w:r w:rsidRPr="00FD15A0">
        <w:rPr>
          <w:lang w:val="en-US"/>
        </w:rPr>
        <w:t>2012</w:t>
      </w:r>
      <w:r>
        <w:rPr>
          <w:lang w:val="en-US"/>
        </w:rPr>
        <w:t>.</w:t>
      </w:r>
      <w:r w:rsidRPr="00DB55CD">
        <w:rPr>
          <w:rStyle w:val="Refdenotaalpie"/>
        </w:rPr>
        <w:footnoteReference w:id="20"/>
      </w:r>
      <w:r w:rsidRPr="00FD15A0">
        <w:rPr>
          <w:lang w:val="en-US"/>
        </w:rPr>
        <w:t xml:space="preserve"> </w:t>
      </w:r>
      <w:r w:rsidRPr="004134FF">
        <w:rPr>
          <w:lang w:val="en-US"/>
        </w:rPr>
        <w:t>Th</w:t>
      </w:r>
      <w:r>
        <w:rPr>
          <w:lang w:val="en-US"/>
        </w:rPr>
        <w:t>at</w:t>
      </w:r>
      <w:r w:rsidRPr="004134FF">
        <w:rPr>
          <w:lang w:val="en-US"/>
        </w:rPr>
        <w:t xml:space="preserve"> decree stated the following:</w:t>
      </w:r>
    </w:p>
    <w:p w14:paraId="7D0402E1" w14:textId="77777777" w:rsidR="00E6692A" w:rsidRPr="004134FF" w:rsidRDefault="00E6692A" w:rsidP="00E6692A">
      <w:pPr>
        <w:pStyle w:val="Prrafodelista"/>
        <w:rPr>
          <w:lang w:val="en-US"/>
        </w:rPr>
      </w:pPr>
    </w:p>
    <w:p w14:paraId="1DEF7337" w14:textId="77777777" w:rsidR="00E6692A" w:rsidRPr="00FD15A0" w:rsidRDefault="00E6692A" w:rsidP="00E6692A">
      <w:pPr>
        <w:pStyle w:val="parrafos"/>
        <w:numPr>
          <w:ilvl w:val="0"/>
          <w:numId w:val="0"/>
        </w:numPr>
        <w:ind w:left="357" w:right="357"/>
        <w:rPr>
          <w:sz w:val="18"/>
          <w:szCs w:val="18"/>
          <w:lang w:val="en-US"/>
        </w:rPr>
      </w:pPr>
      <w:r w:rsidRPr="00FD15A0">
        <w:rPr>
          <w:sz w:val="18"/>
          <w:szCs w:val="18"/>
          <w:lang w:val="en-US"/>
        </w:rPr>
        <w:t>“CONSIDERING: That four (4) Justices that belonged to the Constitutional Chamber of the Judicia</w:t>
      </w:r>
      <w:r>
        <w:rPr>
          <w:sz w:val="18"/>
          <w:szCs w:val="18"/>
          <w:lang w:val="en-US"/>
        </w:rPr>
        <w:t>ry</w:t>
      </w:r>
      <w:r w:rsidRPr="00FD15A0">
        <w:rPr>
          <w:sz w:val="18"/>
          <w:szCs w:val="18"/>
          <w:lang w:val="en-US"/>
        </w:rPr>
        <w:t xml:space="preserve"> were removed from office due to disapproval of their administrative conduct, in accordance with Article 205</w:t>
      </w:r>
      <w:r>
        <w:rPr>
          <w:sz w:val="18"/>
          <w:szCs w:val="18"/>
          <w:lang w:val="en-US"/>
        </w:rPr>
        <w:t>,</w:t>
      </w:r>
      <w:r w:rsidRPr="00FD15A0">
        <w:rPr>
          <w:sz w:val="18"/>
          <w:szCs w:val="18"/>
          <w:lang w:val="en-US"/>
        </w:rPr>
        <w:t xml:space="preserve"> Powers, paragraphs 20) and 21) of the Constitution of the Republic, </w:t>
      </w:r>
      <w:r>
        <w:rPr>
          <w:sz w:val="18"/>
          <w:szCs w:val="18"/>
          <w:lang w:val="en-US"/>
        </w:rPr>
        <w:t>the respective vacancies remain, which must be filled to complete the remainder of the term of the substituted justices.</w:t>
      </w:r>
      <w:r w:rsidRPr="00FD15A0">
        <w:rPr>
          <w:sz w:val="18"/>
          <w:szCs w:val="18"/>
          <w:lang w:val="en-US"/>
        </w:rPr>
        <w:t>”</w:t>
      </w:r>
      <w:r w:rsidRPr="00DB55CD">
        <w:rPr>
          <w:rStyle w:val="Refdenotaalpie"/>
          <w:sz w:val="18"/>
          <w:szCs w:val="18"/>
        </w:rPr>
        <w:footnoteReference w:id="21"/>
      </w:r>
      <w:r w:rsidRPr="00FD15A0">
        <w:rPr>
          <w:sz w:val="18"/>
          <w:szCs w:val="18"/>
          <w:lang w:val="en-US"/>
        </w:rPr>
        <w:t xml:space="preserve"> </w:t>
      </w:r>
    </w:p>
    <w:p w14:paraId="0623DA07" w14:textId="77777777" w:rsidR="00E6692A" w:rsidRPr="00FD15A0" w:rsidRDefault="00E6692A" w:rsidP="00E6692A">
      <w:pPr>
        <w:pStyle w:val="parrafos"/>
        <w:numPr>
          <w:ilvl w:val="0"/>
          <w:numId w:val="0"/>
        </w:numPr>
        <w:ind w:right="357"/>
        <w:rPr>
          <w:sz w:val="18"/>
          <w:szCs w:val="18"/>
          <w:lang w:val="en-US"/>
        </w:rPr>
      </w:pPr>
    </w:p>
    <w:p w14:paraId="286FF83D" w14:textId="77777777" w:rsidR="00E6692A" w:rsidRPr="004134FF" w:rsidRDefault="00E6692A" w:rsidP="00E6692A">
      <w:pPr>
        <w:pStyle w:val="parrafos"/>
        <w:numPr>
          <w:ilvl w:val="0"/>
          <w:numId w:val="0"/>
        </w:numPr>
        <w:rPr>
          <w:lang w:val="en-US"/>
        </w:rPr>
      </w:pPr>
      <w:r w:rsidRPr="00F175D5">
        <w:rPr>
          <w:lang w:val="en-US"/>
        </w:rPr>
        <w:t xml:space="preserve">30. </w:t>
      </w:r>
      <w:r w:rsidRPr="00EE3051">
        <w:rPr>
          <w:lang w:val="en-US"/>
        </w:rPr>
        <w:t xml:space="preserve">In </w:t>
      </w:r>
      <w:r>
        <w:rPr>
          <w:lang w:val="en-US"/>
        </w:rPr>
        <w:t>the face of</w:t>
      </w:r>
      <w:r w:rsidRPr="00EE3051">
        <w:rPr>
          <w:lang w:val="en-US"/>
        </w:rPr>
        <w:t xml:space="preserve"> this</w:t>
      </w:r>
      <w:r w:rsidRPr="00F175D5">
        <w:rPr>
          <w:lang w:val="en-US"/>
        </w:rPr>
        <w:t xml:space="preserve"> situation, the alleged victims issued a communiqué </w:t>
      </w:r>
      <w:r>
        <w:rPr>
          <w:lang w:val="en-US"/>
        </w:rPr>
        <w:t>stating</w:t>
      </w:r>
      <w:r w:rsidRPr="00F175D5">
        <w:rPr>
          <w:lang w:val="en-US"/>
        </w:rPr>
        <w:t xml:space="preserve"> that their </w:t>
      </w:r>
      <w:r>
        <w:rPr>
          <w:lang w:val="en-US"/>
        </w:rPr>
        <w:t>dismissal</w:t>
      </w:r>
      <w:r w:rsidRPr="00F175D5">
        <w:rPr>
          <w:lang w:val="en-US"/>
        </w:rPr>
        <w:t xml:space="preserve"> </w:t>
      </w:r>
      <w:r>
        <w:rPr>
          <w:lang w:val="en-US"/>
        </w:rPr>
        <w:t>was for</w:t>
      </w:r>
      <w:r w:rsidRPr="00F175D5">
        <w:rPr>
          <w:lang w:val="en-US"/>
        </w:rPr>
        <w:t xml:space="preserve"> political, not </w:t>
      </w:r>
      <w:r>
        <w:rPr>
          <w:lang w:val="en-US"/>
        </w:rPr>
        <w:t>juridical</w:t>
      </w:r>
      <w:r w:rsidRPr="00F175D5">
        <w:rPr>
          <w:lang w:val="en-US"/>
        </w:rPr>
        <w:t xml:space="preserve">, reasons, </w:t>
      </w:r>
      <w:r>
        <w:rPr>
          <w:lang w:val="en-US"/>
        </w:rPr>
        <w:t>since</w:t>
      </w:r>
      <w:r w:rsidRPr="00F175D5">
        <w:rPr>
          <w:lang w:val="en-US"/>
        </w:rPr>
        <w:t xml:space="preserve"> they had issued their decisions in a reasoned and independent manner, with</w:t>
      </w:r>
      <w:r>
        <w:rPr>
          <w:lang w:val="en-US"/>
        </w:rPr>
        <w:t xml:space="preserve">out submitting to any type of pressure. </w:t>
      </w:r>
      <w:r w:rsidRPr="004134FF">
        <w:rPr>
          <w:lang w:val="en-US"/>
        </w:rPr>
        <w:t>They also indicated the following:</w:t>
      </w:r>
    </w:p>
    <w:p w14:paraId="6A9310C0" w14:textId="77777777" w:rsidR="00E6692A" w:rsidRPr="004134FF" w:rsidRDefault="00E6692A" w:rsidP="00E6692A">
      <w:pPr>
        <w:pStyle w:val="parrafos"/>
        <w:numPr>
          <w:ilvl w:val="0"/>
          <w:numId w:val="0"/>
        </w:numPr>
        <w:rPr>
          <w:lang w:val="en-US"/>
        </w:rPr>
      </w:pPr>
    </w:p>
    <w:p w14:paraId="26F698BA" w14:textId="77777777" w:rsidR="00E6692A" w:rsidRPr="00F175D5" w:rsidRDefault="00E6692A" w:rsidP="00E6692A">
      <w:pPr>
        <w:pStyle w:val="parrafos"/>
        <w:numPr>
          <w:ilvl w:val="0"/>
          <w:numId w:val="0"/>
        </w:numPr>
        <w:ind w:left="357" w:right="357"/>
        <w:rPr>
          <w:sz w:val="18"/>
          <w:szCs w:val="18"/>
          <w:lang w:val="en-US"/>
        </w:rPr>
      </w:pPr>
      <w:r w:rsidRPr="004134FF">
        <w:rPr>
          <w:sz w:val="18"/>
          <w:szCs w:val="18"/>
          <w:lang w:val="en-US"/>
        </w:rPr>
        <w:t>“</w:t>
      </w:r>
      <w:r>
        <w:rPr>
          <w:sz w:val="18"/>
          <w:szCs w:val="18"/>
          <w:lang w:val="en-US"/>
        </w:rPr>
        <w:t xml:space="preserve">…. </w:t>
      </w:r>
      <w:r w:rsidRPr="00F175D5">
        <w:rPr>
          <w:sz w:val="18"/>
          <w:szCs w:val="18"/>
          <w:lang w:val="en-US"/>
        </w:rPr>
        <w:t xml:space="preserve">That the </w:t>
      </w:r>
      <w:r>
        <w:rPr>
          <w:sz w:val="18"/>
          <w:szCs w:val="18"/>
          <w:lang w:val="en-US"/>
        </w:rPr>
        <w:t>dismissal p</w:t>
      </w:r>
      <w:r w:rsidRPr="00F175D5">
        <w:rPr>
          <w:sz w:val="18"/>
          <w:szCs w:val="18"/>
          <w:lang w:val="en-US"/>
        </w:rPr>
        <w:t>roce</w:t>
      </w:r>
      <w:r>
        <w:rPr>
          <w:sz w:val="18"/>
          <w:szCs w:val="18"/>
          <w:lang w:val="en-US"/>
        </w:rPr>
        <w:t xml:space="preserve">eding </w:t>
      </w:r>
      <w:r w:rsidRPr="00F175D5">
        <w:rPr>
          <w:sz w:val="18"/>
          <w:szCs w:val="18"/>
          <w:lang w:val="en-US"/>
        </w:rPr>
        <w:t xml:space="preserve">that was carried out has no legal basis whatsoever. The </w:t>
      </w:r>
      <w:r>
        <w:rPr>
          <w:sz w:val="18"/>
          <w:szCs w:val="18"/>
          <w:lang w:val="en-US"/>
        </w:rPr>
        <w:t>ostensible</w:t>
      </w:r>
      <w:r w:rsidRPr="00F175D5">
        <w:rPr>
          <w:sz w:val="18"/>
          <w:szCs w:val="18"/>
          <w:lang w:val="en-US"/>
        </w:rPr>
        <w:t xml:space="preserve"> ground for this action was our </w:t>
      </w:r>
      <w:r>
        <w:rPr>
          <w:sz w:val="18"/>
          <w:szCs w:val="18"/>
          <w:lang w:val="en-US"/>
        </w:rPr>
        <w:t>‘</w:t>
      </w:r>
      <w:r w:rsidRPr="00F175D5">
        <w:rPr>
          <w:sz w:val="18"/>
          <w:szCs w:val="18"/>
          <w:lang w:val="en-US"/>
        </w:rPr>
        <w:t>administrative conduct,</w:t>
      </w:r>
      <w:r>
        <w:rPr>
          <w:sz w:val="18"/>
          <w:szCs w:val="18"/>
          <w:lang w:val="en-US"/>
        </w:rPr>
        <w:t>’</w:t>
      </w:r>
      <w:r w:rsidRPr="00F175D5">
        <w:rPr>
          <w:sz w:val="18"/>
          <w:szCs w:val="18"/>
          <w:lang w:val="en-US"/>
        </w:rPr>
        <w:t xml:space="preserve"> </w:t>
      </w:r>
      <w:r>
        <w:rPr>
          <w:sz w:val="18"/>
          <w:szCs w:val="18"/>
          <w:lang w:val="en-US"/>
        </w:rPr>
        <w:t>pursuant to</w:t>
      </w:r>
      <w:r w:rsidRPr="00F175D5">
        <w:rPr>
          <w:sz w:val="18"/>
          <w:szCs w:val="18"/>
          <w:lang w:val="en-US"/>
        </w:rPr>
        <w:t xml:space="preserve"> the power contained in paragraph 20 of Article 205 of the Constitution of the Republic, and the report that was read in the Legislative Chamber refers to a decision issued by the Constitutional </w:t>
      </w:r>
      <w:r>
        <w:rPr>
          <w:sz w:val="18"/>
          <w:szCs w:val="18"/>
          <w:lang w:val="en-US"/>
        </w:rPr>
        <w:t xml:space="preserve">Chamber, which is not yet final, as it was not unanimous and therefore was sent to be heard and decided upon by the Plenary of the Supreme Court of Justice. </w:t>
      </w:r>
      <w:r w:rsidRPr="00F175D5">
        <w:rPr>
          <w:sz w:val="18"/>
          <w:szCs w:val="18"/>
          <w:lang w:val="en-US"/>
        </w:rPr>
        <w:t xml:space="preserve">Said decision was issued pursuant to the </w:t>
      </w:r>
      <w:r>
        <w:rPr>
          <w:sz w:val="18"/>
          <w:szCs w:val="18"/>
          <w:lang w:val="en-US"/>
        </w:rPr>
        <w:t>l</w:t>
      </w:r>
      <w:r w:rsidRPr="00F175D5">
        <w:rPr>
          <w:sz w:val="18"/>
          <w:szCs w:val="18"/>
          <w:lang w:val="en-US"/>
        </w:rPr>
        <w:t xml:space="preserve">aw, as the product of a jurisdictional function of the </w:t>
      </w:r>
      <w:r>
        <w:rPr>
          <w:sz w:val="18"/>
          <w:szCs w:val="18"/>
          <w:lang w:val="en-US"/>
        </w:rPr>
        <w:t>j</w:t>
      </w:r>
      <w:r w:rsidRPr="00F175D5">
        <w:rPr>
          <w:sz w:val="18"/>
          <w:szCs w:val="18"/>
          <w:lang w:val="en-US"/>
        </w:rPr>
        <w:t xml:space="preserve">udicial </w:t>
      </w:r>
      <w:r>
        <w:rPr>
          <w:sz w:val="18"/>
          <w:szCs w:val="18"/>
          <w:lang w:val="en-US"/>
        </w:rPr>
        <w:t>b</w:t>
      </w:r>
      <w:r w:rsidRPr="00F175D5">
        <w:rPr>
          <w:sz w:val="18"/>
          <w:szCs w:val="18"/>
          <w:lang w:val="en-US"/>
        </w:rPr>
        <w:t xml:space="preserve">ranch. It is worth remembering that we justices on the various Chambers of the Supreme Court </w:t>
      </w:r>
      <w:r>
        <w:rPr>
          <w:sz w:val="18"/>
          <w:szCs w:val="18"/>
          <w:lang w:val="en-US"/>
        </w:rPr>
        <w:t xml:space="preserve">of Justice </w:t>
      </w:r>
      <w:r w:rsidRPr="00F175D5">
        <w:rPr>
          <w:sz w:val="18"/>
          <w:szCs w:val="18"/>
          <w:lang w:val="en-US"/>
        </w:rPr>
        <w:t xml:space="preserve">have </w:t>
      </w:r>
      <w:r>
        <w:rPr>
          <w:sz w:val="18"/>
          <w:szCs w:val="18"/>
          <w:lang w:val="en-US"/>
        </w:rPr>
        <w:t xml:space="preserve">no </w:t>
      </w:r>
      <w:r w:rsidRPr="00F175D5">
        <w:rPr>
          <w:sz w:val="18"/>
          <w:szCs w:val="18"/>
          <w:lang w:val="en-US"/>
        </w:rPr>
        <w:t>administrative functions</w:t>
      </w:r>
      <w:r>
        <w:rPr>
          <w:sz w:val="18"/>
          <w:szCs w:val="18"/>
          <w:lang w:val="en-US"/>
        </w:rPr>
        <w:t>, because</w:t>
      </w:r>
      <w:r w:rsidRPr="00F175D5">
        <w:rPr>
          <w:sz w:val="18"/>
          <w:szCs w:val="18"/>
          <w:lang w:val="en-US"/>
        </w:rPr>
        <w:t xml:space="preserve"> the National Congress it</w:t>
      </w:r>
      <w:r>
        <w:rPr>
          <w:sz w:val="18"/>
          <w:szCs w:val="18"/>
          <w:lang w:val="en-US"/>
        </w:rPr>
        <w:t>self</w:t>
      </w:r>
      <w:r w:rsidRPr="005D12D2">
        <w:rPr>
          <w:sz w:val="18"/>
          <w:szCs w:val="18"/>
          <w:lang w:val="en-US"/>
        </w:rPr>
        <w:t xml:space="preserve"> </w:t>
      </w:r>
      <w:r>
        <w:rPr>
          <w:sz w:val="18"/>
          <w:szCs w:val="18"/>
          <w:lang w:val="en-US"/>
        </w:rPr>
        <w:t xml:space="preserve">determined that to be the case since January </w:t>
      </w:r>
      <w:r w:rsidRPr="00F175D5">
        <w:rPr>
          <w:sz w:val="18"/>
          <w:szCs w:val="18"/>
          <w:lang w:val="en-US"/>
        </w:rPr>
        <w:t>2011. The only person in charge of administrative functions is the President of t</w:t>
      </w:r>
      <w:r>
        <w:rPr>
          <w:sz w:val="18"/>
          <w:szCs w:val="18"/>
          <w:lang w:val="en-US"/>
        </w:rPr>
        <w:t xml:space="preserve">he Court, </w:t>
      </w:r>
      <w:r w:rsidRPr="00F175D5">
        <w:rPr>
          <w:sz w:val="18"/>
          <w:szCs w:val="18"/>
          <w:lang w:val="en-US"/>
        </w:rPr>
        <w:t xml:space="preserve">Jorge Alberto Rivera </w:t>
      </w:r>
      <w:proofErr w:type="spellStart"/>
      <w:r w:rsidRPr="00F175D5">
        <w:rPr>
          <w:sz w:val="18"/>
          <w:szCs w:val="18"/>
          <w:lang w:val="en-US"/>
        </w:rPr>
        <w:t>Avilés</w:t>
      </w:r>
      <w:proofErr w:type="spellEnd"/>
      <w:r w:rsidRPr="00F175D5">
        <w:rPr>
          <w:sz w:val="18"/>
          <w:szCs w:val="18"/>
          <w:lang w:val="en-US"/>
        </w:rPr>
        <w:t xml:space="preserve">. </w:t>
      </w:r>
    </w:p>
    <w:p w14:paraId="5D4DDE87" w14:textId="77777777" w:rsidR="00E6692A" w:rsidRPr="00353D9E" w:rsidRDefault="00E6692A" w:rsidP="00E6692A">
      <w:pPr>
        <w:pStyle w:val="parrafos"/>
        <w:numPr>
          <w:ilvl w:val="0"/>
          <w:numId w:val="0"/>
        </w:numPr>
        <w:ind w:left="357" w:right="357"/>
        <w:rPr>
          <w:sz w:val="18"/>
          <w:szCs w:val="18"/>
          <w:lang w:val="en-US"/>
        </w:rPr>
      </w:pPr>
      <w:r>
        <w:rPr>
          <w:sz w:val="18"/>
          <w:szCs w:val="18"/>
          <w:lang w:val="en-US"/>
        </w:rPr>
        <w:t>“</w:t>
      </w:r>
      <w:r w:rsidRPr="00353D9E">
        <w:rPr>
          <w:sz w:val="18"/>
          <w:szCs w:val="18"/>
          <w:lang w:val="en-US"/>
        </w:rPr>
        <w:t xml:space="preserve">That our </w:t>
      </w:r>
      <w:r>
        <w:rPr>
          <w:sz w:val="18"/>
          <w:szCs w:val="18"/>
          <w:lang w:val="en-US"/>
        </w:rPr>
        <w:t>dismissal</w:t>
      </w:r>
      <w:r w:rsidRPr="00353D9E">
        <w:rPr>
          <w:sz w:val="18"/>
          <w:szCs w:val="18"/>
          <w:lang w:val="en-US"/>
        </w:rPr>
        <w:t xml:space="preserve"> has violated our constitutional rights, such as due process, the right </w:t>
      </w:r>
      <w:r>
        <w:rPr>
          <w:sz w:val="18"/>
          <w:szCs w:val="18"/>
          <w:lang w:val="en-US"/>
        </w:rPr>
        <w:t>of</w:t>
      </w:r>
      <w:r w:rsidRPr="00353D9E">
        <w:rPr>
          <w:sz w:val="18"/>
          <w:szCs w:val="18"/>
          <w:lang w:val="en-US"/>
        </w:rPr>
        <w:t xml:space="preserve"> defense, the right to be heard, and other fundamental rights which are recognized in the national as well as international framework and which we will </w:t>
      </w:r>
      <w:r>
        <w:rPr>
          <w:sz w:val="18"/>
          <w:szCs w:val="18"/>
          <w:lang w:val="en-US"/>
        </w:rPr>
        <w:t xml:space="preserve">vindicate by legal means. </w:t>
      </w:r>
    </w:p>
    <w:p w14:paraId="0F5EBB69" w14:textId="77777777" w:rsidR="00E6692A" w:rsidRPr="004379EE" w:rsidRDefault="00E6692A" w:rsidP="00E6692A">
      <w:pPr>
        <w:pStyle w:val="parrafos"/>
        <w:numPr>
          <w:ilvl w:val="0"/>
          <w:numId w:val="0"/>
        </w:numPr>
        <w:ind w:left="357" w:right="357"/>
        <w:rPr>
          <w:lang w:val="en-US"/>
        </w:rPr>
      </w:pPr>
      <w:r>
        <w:rPr>
          <w:sz w:val="18"/>
          <w:szCs w:val="18"/>
          <w:lang w:val="en-US"/>
        </w:rPr>
        <w:t>“</w:t>
      </w:r>
      <w:r w:rsidRPr="004379EE">
        <w:rPr>
          <w:sz w:val="18"/>
          <w:szCs w:val="18"/>
          <w:lang w:val="en-US"/>
        </w:rPr>
        <w:t xml:space="preserve">That the action carried out by a segment of the National Congress of the Republic violates the principle of separation of </w:t>
      </w:r>
      <w:r>
        <w:rPr>
          <w:sz w:val="18"/>
          <w:szCs w:val="18"/>
          <w:lang w:val="en-US"/>
        </w:rPr>
        <w:t>p</w:t>
      </w:r>
      <w:r w:rsidRPr="004379EE">
        <w:rPr>
          <w:sz w:val="18"/>
          <w:szCs w:val="18"/>
          <w:lang w:val="en-US"/>
        </w:rPr>
        <w:t xml:space="preserve">owers contained in the Constitution of the Republic and has abruptly interfered with the jurisdictional function of this </w:t>
      </w:r>
      <w:r>
        <w:rPr>
          <w:sz w:val="18"/>
          <w:szCs w:val="18"/>
          <w:lang w:val="en-US"/>
        </w:rPr>
        <w:t>b</w:t>
      </w:r>
      <w:r w:rsidRPr="004379EE">
        <w:rPr>
          <w:sz w:val="18"/>
          <w:szCs w:val="18"/>
          <w:lang w:val="en-US"/>
        </w:rPr>
        <w:t xml:space="preserve">ranch of </w:t>
      </w:r>
      <w:r>
        <w:rPr>
          <w:sz w:val="18"/>
          <w:szCs w:val="18"/>
          <w:lang w:val="en-US"/>
        </w:rPr>
        <w:t>g</w:t>
      </w:r>
      <w:r w:rsidRPr="004379EE">
        <w:rPr>
          <w:sz w:val="18"/>
          <w:szCs w:val="18"/>
          <w:lang w:val="en-US"/>
        </w:rPr>
        <w:t>overnment, in such a way that it has resulted in an alte</w:t>
      </w:r>
      <w:r>
        <w:rPr>
          <w:sz w:val="18"/>
          <w:szCs w:val="18"/>
          <w:lang w:val="en-US"/>
        </w:rPr>
        <w:t>ration of the constitutional order, as the Congress does not have the authority to take that action.</w:t>
      </w:r>
      <w:r w:rsidRPr="004379EE">
        <w:rPr>
          <w:sz w:val="18"/>
          <w:szCs w:val="18"/>
          <w:lang w:val="en-US"/>
        </w:rPr>
        <w:t>”</w:t>
      </w:r>
      <w:r w:rsidRPr="00DB55CD">
        <w:rPr>
          <w:rStyle w:val="Refdenotaalpie"/>
          <w:sz w:val="18"/>
          <w:szCs w:val="18"/>
        </w:rPr>
        <w:footnoteReference w:id="22"/>
      </w:r>
      <w:r w:rsidRPr="004379EE">
        <w:rPr>
          <w:sz w:val="18"/>
          <w:szCs w:val="18"/>
          <w:lang w:val="en-US"/>
        </w:rPr>
        <w:t xml:space="preserve"> </w:t>
      </w:r>
    </w:p>
    <w:p w14:paraId="404860DE" w14:textId="77777777" w:rsidR="00E6692A" w:rsidRPr="004379EE" w:rsidRDefault="00E6692A" w:rsidP="00E6692A">
      <w:pPr>
        <w:pStyle w:val="parrafos"/>
        <w:numPr>
          <w:ilvl w:val="0"/>
          <w:numId w:val="0"/>
        </w:numPr>
        <w:ind w:right="357"/>
        <w:rPr>
          <w:sz w:val="18"/>
          <w:szCs w:val="18"/>
          <w:lang w:val="en-US"/>
        </w:rPr>
      </w:pPr>
    </w:p>
    <w:p w14:paraId="33B9078E" w14:textId="77777777" w:rsidR="00E6692A" w:rsidRPr="00362666" w:rsidRDefault="00E6692A" w:rsidP="00E6692A">
      <w:pPr>
        <w:pStyle w:val="parrafos"/>
        <w:numPr>
          <w:ilvl w:val="0"/>
          <w:numId w:val="0"/>
        </w:numPr>
        <w:rPr>
          <w:lang w:val="en-US"/>
        </w:rPr>
      </w:pPr>
      <w:r w:rsidRPr="00362666">
        <w:rPr>
          <w:lang w:val="en-US"/>
        </w:rPr>
        <w:t xml:space="preserve">31. Along the same lines, seven </w:t>
      </w:r>
      <w:r>
        <w:rPr>
          <w:lang w:val="en-US"/>
        </w:rPr>
        <w:t>j</w:t>
      </w:r>
      <w:r w:rsidRPr="00362666">
        <w:rPr>
          <w:lang w:val="en-US"/>
        </w:rPr>
        <w:t xml:space="preserve">ustices of the Supreme Court also issued a communiqué expressing their concern regarding </w:t>
      </w:r>
      <w:r>
        <w:rPr>
          <w:lang w:val="en-US"/>
        </w:rPr>
        <w:t xml:space="preserve">their </w:t>
      </w:r>
      <w:r w:rsidRPr="00362666">
        <w:rPr>
          <w:lang w:val="en-US"/>
        </w:rPr>
        <w:t>colleagues</w:t>
      </w:r>
      <w:r>
        <w:rPr>
          <w:lang w:val="en-US"/>
        </w:rPr>
        <w:t>’ dismissal</w:t>
      </w:r>
      <w:r w:rsidRPr="00362666">
        <w:rPr>
          <w:lang w:val="en-US"/>
        </w:rPr>
        <w:t xml:space="preserve">:  </w:t>
      </w:r>
    </w:p>
    <w:p w14:paraId="5C63A36F" w14:textId="77777777" w:rsidR="00E6692A" w:rsidRPr="00362666" w:rsidRDefault="00E6692A" w:rsidP="00E6692A">
      <w:pPr>
        <w:pStyle w:val="parrafos"/>
        <w:numPr>
          <w:ilvl w:val="0"/>
          <w:numId w:val="0"/>
        </w:numPr>
        <w:rPr>
          <w:lang w:val="en-US"/>
        </w:rPr>
      </w:pPr>
    </w:p>
    <w:p w14:paraId="7581B2C9" w14:textId="77777777" w:rsidR="00E6692A" w:rsidRPr="00B270D1" w:rsidRDefault="00E6692A" w:rsidP="00E6692A">
      <w:pPr>
        <w:pStyle w:val="parrafos"/>
        <w:numPr>
          <w:ilvl w:val="0"/>
          <w:numId w:val="0"/>
        </w:numPr>
        <w:ind w:left="357" w:right="357"/>
        <w:rPr>
          <w:sz w:val="18"/>
          <w:szCs w:val="18"/>
          <w:lang w:val="en-US"/>
        </w:rPr>
      </w:pPr>
      <w:r w:rsidRPr="00B270D1">
        <w:rPr>
          <w:sz w:val="18"/>
          <w:szCs w:val="18"/>
          <w:lang w:val="en-US"/>
        </w:rPr>
        <w:t>“…</w:t>
      </w:r>
      <w:r>
        <w:rPr>
          <w:sz w:val="18"/>
          <w:szCs w:val="18"/>
          <w:lang w:val="en-US"/>
        </w:rPr>
        <w:t>.</w:t>
      </w:r>
      <w:r w:rsidRPr="00B270D1">
        <w:rPr>
          <w:sz w:val="18"/>
          <w:szCs w:val="18"/>
          <w:lang w:val="en-US"/>
        </w:rPr>
        <w:t xml:space="preserve"> That given the decision by a branch of the State that resulted in the substitution of four Justices of the Constitutional Chamber, we consider that this is not consistent with democratic institutions and represents an attack on</w:t>
      </w:r>
      <w:r>
        <w:rPr>
          <w:sz w:val="18"/>
          <w:szCs w:val="18"/>
          <w:lang w:val="en-US"/>
        </w:rPr>
        <w:t xml:space="preserve"> the independence of the judicial branch</w:t>
      </w:r>
      <w:r w:rsidRPr="00B270D1">
        <w:rPr>
          <w:sz w:val="18"/>
          <w:szCs w:val="18"/>
          <w:lang w:val="en-US"/>
        </w:rPr>
        <w:t xml:space="preserve">. </w:t>
      </w:r>
    </w:p>
    <w:p w14:paraId="0BB4C494" w14:textId="77777777" w:rsidR="00E6692A" w:rsidRPr="00B270D1" w:rsidRDefault="00E6692A" w:rsidP="00E6692A">
      <w:pPr>
        <w:pStyle w:val="parrafos"/>
        <w:numPr>
          <w:ilvl w:val="0"/>
          <w:numId w:val="0"/>
        </w:numPr>
        <w:ind w:left="357" w:right="357"/>
        <w:rPr>
          <w:sz w:val="18"/>
          <w:szCs w:val="18"/>
          <w:lang w:val="en-US"/>
        </w:rPr>
      </w:pPr>
      <w:r>
        <w:rPr>
          <w:sz w:val="18"/>
          <w:szCs w:val="18"/>
          <w:lang w:val="en-US"/>
        </w:rPr>
        <w:t>“</w:t>
      </w:r>
      <w:r w:rsidRPr="00B270D1">
        <w:rPr>
          <w:sz w:val="18"/>
          <w:szCs w:val="18"/>
          <w:lang w:val="en-US"/>
        </w:rPr>
        <w:t xml:space="preserve">That judicial independence is not a privilege of Judges and Justices but a right of citizens, so that the cases that are </w:t>
      </w:r>
      <w:r>
        <w:rPr>
          <w:sz w:val="18"/>
          <w:szCs w:val="18"/>
          <w:lang w:val="en-US"/>
        </w:rPr>
        <w:t>brought</w:t>
      </w:r>
      <w:r w:rsidRPr="00B270D1">
        <w:rPr>
          <w:sz w:val="18"/>
          <w:szCs w:val="18"/>
          <w:lang w:val="en-US"/>
        </w:rPr>
        <w:t xml:space="preserve"> before the judicial system may be resolved without undue interference from any authority or individuals, but only in accordance with the proven facts of the case and the applic</w:t>
      </w:r>
      <w:r>
        <w:rPr>
          <w:sz w:val="18"/>
          <w:szCs w:val="18"/>
          <w:lang w:val="en-US"/>
        </w:rPr>
        <w:t>ation of the legal regime.</w:t>
      </w:r>
      <w:r w:rsidRPr="00B270D1">
        <w:rPr>
          <w:sz w:val="18"/>
          <w:szCs w:val="18"/>
          <w:lang w:val="en-US"/>
        </w:rPr>
        <w:t>”</w:t>
      </w:r>
      <w:r w:rsidRPr="00DB55CD">
        <w:rPr>
          <w:rStyle w:val="Refdenotaalpie"/>
          <w:sz w:val="18"/>
          <w:szCs w:val="18"/>
        </w:rPr>
        <w:footnoteReference w:id="23"/>
      </w:r>
      <w:r w:rsidRPr="00B270D1">
        <w:rPr>
          <w:sz w:val="18"/>
          <w:szCs w:val="18"/>
          <w:lang w:val="en-US"/>
        </w:rPr>
        <w:t xml:space="preserve"> </w:t>
      </w:r>
    </w:p>
    <w:p w14:paraId="30E62979" w14:textId="77777777" w:rsidR="00E6692A" w:rsidRPr="00B270D1" w:rsidRDefault="00E6692A" w:rsidP="00E6692A">
      <w:pPr>
        <w:pStyle w:val="parrafos"/>
        <w:numPr>
          <w:ilvl w:val="0"/>
          <w:numId w:val="0"/>
        </w:numPr>
        <w:rPr>
          <w:lang w:val="en-US"/>
        </w:rPr>
      </w:pPr>
    </w:p>
    <w:p w14:paraId="08D1DA48" w14:textId="77777777" w:rsidR="00E6692A" w:rsidRPr="00D9529D" w:rsidRDefault="00E6692A" w:rsidP="00E6692A">
      <w:pPr>
        <w:pStyle w:val="parrafos"/>
        <w:numPr>
          <w:ilvl w:val="0"/>
          <w:numId w:val="0"/>
        </w:numPr>
        <w:rPr>
          <w:lang w:val="en-US"/>
        </w:rPr>
      </w:pPr>
      <w:r w:rsidRPr="004134FF">
        <w:rPr>
          <w:lang w:val="en-US"/>
        </w:rPr>
        <w:t xml:space="preserve">32.  </w:t>
      </w:r>
      <w:r w:rsidRPr="00D9529D">
        <w:rPr>
          <w:lang w:val="en-US"/>
        </w:rPr>
        <w:t>On January 3, 2013, the President of the Supreme Court</w:t>
      </w:r>
      <w:r>
        <w:rPr>
          <w:lang w:val="en-US"/>
        </w:rPr>
        <w:t xml:space="preserve"> of Justice</w:t>
      </w:r>
      <w:r w:rsidRPr="00D9529D">
        <w:rPr>
          <w:lang w:val="en-US"/>
        </w:rPr>
        <w:t xml:space="preserve">, Jorge Rivera </w:t>
      </w:r>
      <w:proofErr w:type="spellStart"/>
      <w:r w:rsidRPr="00D9529D">
        <w:rPr>
          <w:lang w:val="en-US"/>
        </w:rPr>
        <w:t>Avilés</w:t>
      </w:r>
      <w:proofErr w:type="spellEnd"/>
      <w:r w:rsidRPr="00D9529D">
        <w:rPr>
          <w:lang w:val="en-US"/>
        </w:rPr>
        <w:t xml:space="preserve">, issued </w:t>
      </w:r>
      <w:r>
        <w:rPr>
          <w:lang w:val="en-US"/>
        </w:rPr>
        <w:t>O</w:t>
      </w:r>
      <w:r w:rsidRPr="00D9529D">
        <w:rPr>
          <w:lang w:val="en-US"/>
        </w:rPr>
        <w:t xml:space="preserve">fficial </w:t>
      </w:r>
      <w:r>
        <w:rPr>
          <w:lang w:val="en-US"/>
        </w:rPr>
        <w:t>Letter</w:t>
      </w:r>
      <w:r w:rsidRPr="00D9529D">
        <w:rPr>
          <w:lang w:val="en-US"/>
        </w:rPr>
        <w:t xml:space="preserve"> PCSJ No. 001-2013, addressed to the Justices of the Supreme Court, in which he st</w:t>
      </w:r>
      <w:r>
        <w:rPr>
          <w:lang w:val="en-US"/>
        </w:rPr>
        <w:t>ated</w:t>
      </w:r>
      <w:r w:rsidRPr="00D9529D">
        <w:rPr>
          <w:lang w:val="en-US"/>
        </w:rPr>
        <w:t>:</w:t>
      </w:r>
    </w:p>
    <w:p w14:paraId="75AFAF08" w14:textId="77777777" w:rsidR="00E6692A" w:rsidRPr="00D9529D" w:rsidRDefault="00E6692A" w:rsidP="00E6692A">
      <w:pPr>
        <w:pStyle w:val="parrafos"/>
        <w:numPr>
          <w:ilvl w:val="0"/>
          <w:numId w:val="0"/>
        </w:numPr>
        <w:rPr>
          <w:lang w:val="en-US"/>
        </w:rPr>
      </w:pPr>
    </w:p>
    <w:p w14:paraId="6FDAAC8E" w14:textId="77777777" w:rsidR="00E6692A" w:rsidRPr="00AC7A11" w:rsidRDefault="00E6692A" w:rsidP="00E6692A">
      <w:pPr>
        <w:pStyle w:val="parrafos"/>
        <w:numPr>
          <w:ilvl w:val="0"/>
          <w:numId w:val="0"/>
        </w:numPr>
        <w:ind w:left="357" w:right="357"/>
        <w:rPr>
          <w:sz w:val="18"/>
          <w:szCs w:val="18"/>
          <w:lang w:val="en-US"/>
        </w:rPr>
      </w:pPr>
      <w:r w:rsidRPr="00AC7A11">
        <w:rPr>
          <w:sz w:val="18"/>
          <w:szCs w:val="18"/>
          <w:lang w:val="en-US"/>
        </w:rPr>
        <w:t xml:space="preserve">“For your information, you are being sent a copy of Official </w:t>
      </w:r>
      <w:r>
        <w:rPr>
          <w:sz w:val="18"/>
          <w:szCs w:val="18"/>
          <w:lang w:val="en-US"/>
        </w:rPr>
        <w:t>Letter</w:t>
      </w:r>
      <w:r w:rsidRPr="00AC7A11">
        <w:rPr>
          <w:sz w:val="18"/>
          <w:szCs w:val="18"/>
          <w:lang w:val="en-US"/>
        </w:rPr>
        <w:t xml:space="preserve"> No. 462-2012/CN dated December 12, 2012, </w:t>
      </w:r>
      <w:r>
        <w:rPr>
          <w:sz w:val="18"/>
          <w:szCs w:val="18"/>
          <w:lang w:val="en-US"/>
        </w:rPr>
        <w:t xml:space="preserve">subscribed </w:t>
      </w:r>
      <w:r w:rsidRPr="00AC7A11">
        <w:rPr>
          <w:sz w:val="18"/>
          <w:szCs w:val="18"/>
          <w:lang w:val="en-US"/>
        </w:rPr>
        <w:t>by Gladys Aurora López Calderón, Secretary of the Nationa</w:t>
      </w:r>
      <w:r>
        <w:rPr>
          <w:sz w:val="18"/>
          <w:szCs w:val="18"/>
          <w:lang w:val="en-US"/>
        </w:rPr>
        <w:t xml:space="preserve">l Congress, and the Certification dated December 19, 2012, subscribed by Attorney </w:t>
      </w:r>
      <w:r w:rsidRPr="00AC7A11">
        <w:rPr>
          <w:sz w:val="18"/>
          <w:szCs w:val="18"/>
          <w:lang w:val="en-US"/>
        </w:rPr>
        <w:t xml:space="preserve">Rigoberto Chang Castillo, </w:t>
      </w:r>
      <w:r>
        <w:rPr>
          <w:sz w:val="18"/>
          <w:szCs w:val="18"/>
          <w:lang w:val="en-US"/>
        </w:rPr>
        <w:t xml:space="preserve">First Secretary of the National Congress. </w:t>
      </w:r>
    </w:p>
    <w:p w14:paraId="331ABE18" w14:textId="77777777" w:rsidR="00E6692A" w:rsidRPr="00A44FEF" w:rsidRDefault="00E6692A" w:rsidP="00E6692A">
      <w:pPr>
        <w:pStyle w:val="parrafos"/>
        <w:numPr>
          <w:ilvl w:val="0"/>
          <w:numId w:val="0"/>
        </w:numPr>
        <w:ind w:left="357" w:right="357"/>
        <w:rPr>
          <w:sz w:val="18"/>
          <w:szCs w:val="18"/>
          <w:lang w:val="en-US"/>
        </w:rPr>
      </w:pPr>
      <w:r>
        <w:rPr>
          <w:sz w:val="18"/>
          <w:szCs w:val="18"/>
          <w:lang w:val="en-US"/>
        </w:rPr>
        <w:t>“</w:t>
      </w:r>
      <w:r w:rsidRPr="00A44FEF">
        <w:rPr>
          <w:sz w:val="18"/>
          <w:szCs w:val="18"/>
          <w:lang w:val="en-US"/>
        </w:rPr>
        <w:t xml:space="preserve">Taking into consideration the aforementioned documents and </w:t>
      </w:r>
      <w:proofErr w:type="gramStart"/>
      <w:r w:rsidRPr="00A44FEF">
        <w:rPr>
          <w:sz w:val="18"/>
          <w:szCs w:val="18"/>
          <w:lang w:val="en-US"/>
        </w:rPr>
        <w:t>in order for</w:t>
      </w:r>
      <w:proofErr w:type="gramEnd"/>
      <w:r w:rsidRPr="00A44FEF">
        <w:rPr>
          <w:sz w:val="18"/>
          <w:szCs w:val="18"/>
          <w:lang w:val="en-US"/>
        </w:rPr>
        <w:t xml:space="preserve"> you to express an opinion regarding the invitation to refrain from hearing </w:t>
      </w:r>
      <w:r w:rsidRPr="008C4C06">
        <w:rPr>
          <w:i/>
          <w:iCs/>
          <w:sz w:val="18"/>
          <w:szCs w:val="18"/>
          <w:lang w:val="en-US"/>
        </w:rPr>
        <w:t>amparo</w:t>
      </w:r>
      <w:r w:rsidRPr="00A44FEF">
        <w:rPr>
          <w:sz w:val="18"/>
          <w:szCs w:val="18"/>
          <w:lang w:val="en-US"/>
        </w:rPr>
        <w:t xml:space="preserve"> </w:t>
      </w:r>
      <w:r>
        <w:rPr>
          <w:sz w:val="18"/>
          <w:szCs w:val="18"/>
          <w:lang w:val="en-US"/>
        </w:rPr>
        <w:t xml:space="preserve">appeal </w:t>
      </w:r>
      <w:r w:rsidRPr="00A44FEF">
        <w:rPr>
          <w:sz w:val="18"/>
          <w:szCs w:val="18"/>
          <w:lang w:val="en-US"/>
        </w:rPr>
        <w:t>No. 1026-12, t</w:t>
      </w:r>
      <w:r>
        <w:rPr>
          <w:sz w:val="18"/>
          <w:szCs w:val="18"/>
          <w:lang w:val="en-US"/>
        </w:rPr>
        <w:t xml:space="preserve">he Presidency of the Supreme Court of Justice, pursuant to the provisions established in Article </w:t>
      </w:r>
      <w:r w:rsidRPr="00A44FEF">
        <w:rPr>
          <w:sz w:val="18"/>
          <w:szCs w:val="18"/>
          <w:lang w:val="en-US"/>
        </w:rPr>
        <w:t xml:space="preserve">16 </w:t>
      </w:r>
      <w:r>
        <w:rPr>
          <w:sz w:val="18"/>
          <w:szCs w:val="18"/>
          <w:lang w:val="en-US"/>
        </w:rPr>
        <w:t>of the Internal Rules of Procedure of this Supreme Court, determines to</w:t>
      </w:r>
      <w:r w:rsidRPr="00A44FEF">
        <w:rPr>
          <w:sz w:val="18"/>
          <w:szCs w:val="18"/>
          <w:lang w:val="en-US"/>
        </w:rPr>
        <w:t xml:space="preserve">: </w:t>
      </w:r>
    </w:p>
    <w:p w14:paraId="23FB77F6" w14:textId="77777777" w:rsidR="00E6692A" w:rsidRPr="00A44FEF" w:rsidRDefault="00E6692A" w:rsidP="00E6692A">
      <w:pPr>
        <w:pStyle w:val="parrafos"/>
        <w:numPr>
          <w:ilvl w:val="0"/>
          <w:numId w:val="0"/>
        </w:numPr>
        <w:ind w:left="357" w:right="357"/>
        <w:rPr>
          <w:sz w:val="18"/>
          <w:szCs w:val="18"/>
          <w:lang w:val="en-US"/>
        </w:rPr>
      </w:pPr>
      <w:r>
        <w:rPr>
          <w:sz w:val="18"/>
          <w:szCs w:val="18"/>
          <w:lang w:val="en-US"/>
        </w:rPr>
        <w:lastRenderedPageBreak/>
        <w:t>“</w:t>
      </w:r>
      <w:r w:rsidRPr="00A44FEF">
        <w:rPr>
          <w:sz w:val="18"/>
          <w:szCs w:val="18"/>
          <w:lang w:val="en-US"/>
        </w:rPr>
        <w:t>1. Designate as members of the Constitutional Chamber, in addition to Justice Oscar Fernando Chinchilla Banegas, who is alrea</w:t>
      </w:r>
      <w:r>
        <w:rPr>
          <w:sz w:val="18"/>
          <w:szCs w:val="18"/>
          <w:lang w:val="en-US"/>
        </w:rPr>
        <w:t xml:space="preserve">dy a member, the attorneys </w:t>
      </w:r>
      <w:r w:rsidRPr="00A44FEF">
        <w:rPr>
          <w:sz w:val="18"/>
          <w:szCs w:val="18"/>
          <w:lang w:val="en-US"/>
        </w:rPr>
        <w:t xml:space="preserve">Silvia Trinidad Santos Moncada, Germán Vicente García, José Elmer </w:t>
      </w:r>
      <w:proofErr w:type="spellStart"/>
      <w:r w:rsidRPr="00A44FEF">
        <w:rPr>
          <w:sz w:val="18"/>
          <w:szCs w:val="18"/>
          <w:lang w:val="en-US"/>
        </w:rPr>
        <w:t>Lizardo</w:t>
      </w:r>
      <w:proofErr w:type="spellEnd"/>
      <w:r>
        <w:rPr>
          <w:sz w:val="18"/>
          <w:szCs w:val="18"/>
          <w:lang w:val="en-US"/>
        </w:rPr>
        <w:t xml:space="preserve">, and </w:t>
      </w:r>
      <w:r w:rsidRPr="00A44FEF">
        <w:rPr>
          <w:sz w:val="18"/>
          <w:szCs w:val="18"/>
          <w:lang w:val="en-US"/>
        </w:rPr>
        <w:t>Víctor Manuel Lozano.</w:t>
      </w:r>
    </w:p>
    <w:p w14:paraId="0135D8A9" w14:textId="77777777" w:rsidR="00E6692A" w:rsidRPr="00A44FEF" w:rsidRDefault="00E6692A" w:rsidP="00E6692A">
      <w:pPr>
        <w:pStyle w:val="parrafos"/>
        <w:numPr>
          <w:ilvl w:val="0"/>
          <w:numId w:val="0"/>
        </w:numPr>
        <w:ind w:left="357" w:right="357"/>
        <w:rPr>
          <w:sz w:val="18"/>
          <w:szCs w:val="18"/>
          <w:lang w:val="en-US"/>
        </w:rPr>
      </w:pPr>
      <w:r>
        <w:rPr>
          <w:sz w:val="18"/>
          <w:szCs w:val="18"/>
          <w:lang w:val="en-US"/>
        </w:rPr>
        <w:t>“</w:t>
      </w:r>
      <w:r w:rsidRPr="00A44FEF">
        <w:rPr>
          <w:sz w:val="18"/>
          <w:szCs w:val="18"/>
          <w:lang w:val="en-US"/>
        </w:rPr>
        <w:t>2. Designate Justice Oscar Fernando Chinchilla Banegas as President of the Constitutional Chamber as of today’s date and until January 27, 201[illegible].”</w:t>
      </w:r>
      <w:r w:rsidRPr="00DB55CD">
        <w:rPr>
          <w:rStyle w:val="Refdenotaalpie"/>
          <w:sz w:val="18"/>
          <w:szCs w:val="18"/>
        </w:rPr>
        <w:footnoteReference w:id="24"/>
      </w:r>
      <w:r w:rsidRPr="00A44FEF">
        <w:rPr>
          <w:sz w:val="18"/>
          <w:szCs w:val="18"/>
          <w:lang w:val="en-US"/>
        </w:rPr>
        <w:t xml:space="preserve"> </w:t>
      </w:r>
    </w:p>
    <w:p w14:paraId="09C57908" w14:textId="77777777" w:rsidR="00E6692A" w:rsidRPr="00A44FEF" w:rsidRDefault="00E6692A" w:rsidP="00E6692A">
      <w:pPr>
        <w:rPr>
          <w:rFonts w:asciiTheme="majorHAnsi" w:hAnsiTheme="majorHAnsi"/>
          <w:b/>
          <w:sz w:val="20"/>
          <w:szCs w:val="20"/>
        </w:rPr>
      </w:pPr>
    </w:p>
    <w:p w14:paraId="77C0CCC5" w14:textId="77777777" w:rsidR="00E6692A" w:rsidRPr="0054745D" w:rsidRDefault="00E6692A" w:rsidP="00E6692A">
      <w:pPr>
        <w:pStyle w:val="Ttulo2"/>
        <w:rPr>
          <w:lang w:val="en-US"/>
        </w:rPr>
      </w:pPr>
      <w:bookmarkStart w:id="13" w:name="_Toc65248163"/>
      <w:bookmarkStart w:id="14" w:name="_Toc69410061"/>
      <w:r w:rsidRPr="0054745D">
        <w:rPr>
          <w:lang w:val="en-US"/>
        </w:rPr>
        <w:t xml:space="preserve">D. </w:t>
      </w:r>
      <w:r>
        <w:rPr>
          <w:lang w:val="en-US"/>
        </w:rPr>
        <w:t>Constitutional</w:t>
      </w:r>
      <w:r w:rsidRPr="0054745D">
        <w:rPr>
          <w:lang w:val="en-US"/>
        </w:rPr>
        <w:t xml:space="preserve"> appeal filed to challenge the </w:t>
      </w:r>
      <w:r>
        <w:rPr>
          <w:lang w:val="en-US"/>
        </w:rPr>
        <w:t>dismissal</w:t>
      </w:r>
      <w:r w:rsidRPr="0054745D">
        <w:rPr>
          <w:lang w:val="en-US"/>
        </w:rPr>
        <w:t xml:space="preserve"> decision</w:t>
      </w:r>
      <w:bookmarkEnd w:id="13"/>
      <w:bookmarkEnd w:id="14"/>
      <w:r w:rsidRPr="0054745D">
        <w:rPr>
          <w:lang w:val="en-US"/>
        </w:rPr>
        <w:t xml:space="preserve"> </w:t>
      </w:r>
    </w:p>
    <w:p w14:paraId="3A7C94FE" w14:textId="77777777" w:rsidR="00E6692A" w:rsidRPr="0054745D" w:rsidRDefault="00E6692A" w:rsidP="00E6692A">
      <w:pPr>
        <w:rPr>
          <w:rFonts w:asciiTheme="majorHAnsi" w:hAnsiTheme="majorHAnsi"/>
          <w:b/>
          <w:sz w:val="20"/>
          <w:szCs w:val="20"/>
        </w:rPr>
      </w:pPr>
    </w:p>
    <w:p w14:paraId="586CBA66" w14:textId="77777777" w:rsidR="00E6692A" w:rsidRPr="00FD42C3" w:rsidRDefault="00E6692A" w:rsidP="00E6692A">
      <w:pPr>
        <w:pStyle w:val="parrafos"/>
        <w:numPr>
          <w:ilvl w:val="0"/>
          <w:numId w:val="0"/>
        </w:numPr>
        <w:rPr>
          <w:lang w:val="en-US"/>
        </w:rPr>
      </w:pPr>
      <w:r w:rsidRPr="0054745D">
        <w:rPr>
          <w:lang w:val="en-US"/>
        </w:rPr>
        <w:t xml:space="preserve">33. On December 12, 2012, José Francisco Ruiz </w:t>
      </w:r>
      <w:proofErr w:type="spellStart"/>
      <w:r w:rsidRPr="0054745D">
        <w:rPr>
          <w:lang w:val="en-US"/>
        </w:rPr>
        <w:t>Gaekel</w:t>
      </w:r>
      <w:proofErr w:type="spellEnd"/>
      <w:r w:rsidRPr="0054745D">
        <w:rPr>
          <w:lang w:val="en-US"/>
        </w:rPr>
        <w:t xml:space="preserve">, José Antonio Gutiérrez </w:t>
      </w:r>
      <w:proofErr w:type="spellStart"/>
      <w:r w:rsidRPr="0054745D">
        <w:rPr>
          <w:lang w:val="en-US"/>
        </w:rPr>
        <w:t>Navas</w:t>
      </w:r>
      <w:proofErr w:type="spellEnd"/>
      <w:r w:rsidRPr="0054745D">
        <w:rPr>
          <w:lang w:val="en-US"/>
        </w:rPr>
        <w:t xml:space="preserve">, Gustavo Enrique Bustillo Palma, and Rosalinda Cruz </w:t>
      </w:r>
      <w:proofErr w:type="spellStart"/>
      <w:r w:rsidRPr="0054745D">
        <w:rPr>
          <w:lang w:val="en-US"/>
        </w:rPr>
        <w:t>Sequeira</w:t>
      </w:r>
      <w:proofErr w:type="spellEnd"/>
      <w:r w:rsidRPr="0054745D">
        <w:rPr>
          <w:lang w:val="en-US"/>
        </w:rPr>
        <w:t xml:space="preserve">, representing themselves, </w:t>
      </w:r>
      <w:r>
        <w:rPr>
          <w:lang w:val="en-US"/>
        </w:rPr>
        <w:t>lodged</w:t>
      </w:r>
      <w:r w:rsidRPr="0054745D">
        <w:rPr>
          <w:lang w:val="en-US"/>
        </w:rPr>
        <w:t xml:space="preserve"> an appeal for protection of constitutional rights (</w:t>
      </w:r>
      <w:proofErr w:type="spellStart"/>
      <w:r w:rsidRPr="0054745D">
        <w:rPr>
          <w:i/>
          <w:iCs/>
          <w:lang w:val="en-US"/>
        </w:rPr>
        <w:t>recurso</w:t>
      </w:r>
      <w:proofErr w:type="spellEnd"/>
      <w:r w:rsidRPr="0054745D">
        <w:rPr>
          <w:i/>
          <w:iCs/>
          <w:lang w:val="en-US"/>
        </w:rPr>
        <w:t xml:space="preserve"> de amparo</w:t>
      </w:r>
      <w:r w:rsidRPr="0054745D">
        <w:rPr>
          <w:lang w:val="en-US"/>
        </w:rPr>
        <w:t xml:space="preserve">) challenging the decision made by the Congress of the Republic to </w:t>
      </w:r>
      <w:r>
        <w:rPr>
          <w:lang w:val="en-US"/>
        </w:rPr>
        <w:t>dismiss</w:t>
      </w:r>
      <w:r w:rsidRPr="0054745D">
        <w:rPr>
          <w:lang w:val="en-US"/>
        </w:rPr>
        <w:t xml:space="preserve"> them</w:t>
      </w:r>
      <w:r>
        <w:rPr>
          <w:lang w:val="en-US"/>
        </w:rPr>
        <w:t xml:space="preserve"> from office</w:t>
      </w:r>
      <w:r w:rsidRPr="0054745D">
        <w:rPr>
          <w:lang w:val="en-US"/>
        </w:rPr>
        <w:t>.</w:t>
      </w:r>
      <w:r w:rsidRPr="00DB55CD">
        <w:rPr>
          <w:rStyle w:val="Refdenotaalpie"/>
        </w:rPr>
        <w:footnoteReference w:id="25"/>
      </w:r>
      <w:r w:rsidRPr="0054745D">
        <w:rPr>
          <w:lang w:val="en-US"/>
        </w:rPr>
        <w:t xml:space="preserve"> </w:t>
      </w:r>
      <w:r w:rsidRPr="00FD42C3">
        <w:rPr>
          <w:lang w:val="en-US"/>
        </w:rPr>
        <w:t xml:space="preserve">In addition, Mauricio Torres </w:t>
      </w:r>
      <w:proofErr w:type="spellStart"/>
      <w:r w:rsidRPr="00FD42C3">
        <w:rPr>
          <w:lang w:val="en-US"/>
        </w:rPr>
        <w:t>Molinero</w:t>
      </w:r>
      <w:proofErr w:type="spellEnd"/>
      <w:r w:rsidRPr="00FD42C3">
        <w:rPr>
          <w:lang w:val="en-US"/>
        </w:rPr>
        <w:t xml:space="preserve"> and Rafael Virgilio Padilla Paz filed another writ of </w:t>
      </w:r>
      <w:r w:rsidRPr="00E64231">
        <w:rPr>
          <w:i/>
          <w:iCs/>
          <w:lang w:val="en-US"/>
        </w:rPr>
        <w:t>amparo</w:t>
      </w:r>
      <w:r w:rsidRPr="00FD42C3">
        <w:rPr>
          <w:lang w:val="en-US"/>
        </w:rPr>
        <w:t xml:space="preserve"> on behalf</w:t>
      </w:r>
      <w:r>
        <w:rPr>
          <w:lang w:val="en-US"/>
        </w:rPr>
        <w:t xml:space="preserve"> </w:t>
      </w:r>
      <w:r w:rsidRPr="00FD42C3">
        <w:rPr>
          <w:lang w:val="en-US"/>
        </w:rPr>
        <w:t xml:space="preserve">of the alleged victims </w:t>
      </w:r>
      <w:r>
        <w:rPr>
          <w:lang w:val="en-US"/>
        </w:rPr>
        <w:t>to appeal</w:t>
      </w:r>
      <w:r w:rsidRPr="00FD42C3">
        <w:rPr>
          <w:lang w:val="en-US"/>
        </w:rPr>
        <w:t xml:space="preserve"> their separation</w:t>
      </w:r>
      <w:r>
        <w:rPr>
          <w:lang w:val="en-US"/>
        </w:rPr>
        <w:t>.</w:t>
      </w:r>
      <w:r w:rsidRPr="00DB55CD">
        <w:rPr>
          <w:rStyle w:val="Refdenotaalpie"/>
        </w:rPr>
        <w:footnoteReference w:id="26"/>
      </w:r>
    </w:p>
    <w:p w14:paraId="5E37CAFF" w14:textId="77777777" w:rsidR="00E6692A" w:rsidRPr="00FD42C3" w:rsidRDefault="00E6692A" w:rsidP="00E6692A">
      <w:pPr>
        <w:pStyle w:val="parrafos"/>
        <w:numPr>
          <w:ilvl w:val="0"/>
          <w:numId w:val="0"/>
        </w:numPr>
        <w:rPr>
          <w:lang w:val="en-US"/>
        </w:rPr>
      </w:pPr>
    </w:p>
    <w:p w14:paraId="1D7380B7" w14:textId="77777777" w:rsidR="00E6692A" w:rsidRPr="001D2683" w:rsidRDefault="00E6692A" w:rsidP="00E6692A">
      <w:pPr>
        <w:pStyle w:val="parrafos"/>
        <w:numPr>
          <w:ilvl w:val="0"/>
          <w:numId w:val="0"/>
        </w:numPr>
        <w:rPr>
          <w:lang w:val="en-US"/>
        </w:rPr>
      </w:pPr>
      <w:r w:rsidRPr="001D2683">
        <w:rPr>
          <w:lang w:val="en-US"/>
        </w:rPr>
        <w:t xml:space="preserve">34. The alleged victims argued that the Honduran Congress arrogated to itself the power to remove them from their positions as justices, even though that power had not been conferred on </w:t>
      </w:r>
      <w:r>
        <w:rPr>
          <w:lang w:val="en-US"/>
        </w:rPr>
        <w:t xml:space="preserve">it </w:t>
      </w:r>
      <w:r w:rsidRPr="001D2683">
        <w:rPr>
          <w:lang w:val="en-US"/>
        </w:rPr>
        <w:t>by the Constitution</w:t>
      </w:r>
      <w:r>
        <w:rPr>
          <w:lang w:val="en-US"/>
        </w:rPr>
        <w:t>,</w:t>
      </w:r>
      <w:r w:rsidRPr="001D2683">
        <w:rPr>
          <w:lang w:val="en-US"/>
        </w:rPr>
        <w:t xml:space="preserve"> and </w:t>
      </w:r>
      <w:r>
        <w:rPr>
          <w:lang w:val="en-US"/>
        </w:rPr>
        <w:t xml:space="preserve">that this was </w:t>
      </w:r>
      <w:r w:rsidRPr="001D2683">
        <w:rPr>
          <w:lang w:val="en-US"/>
        </w:rPr>
        <w:t>th</w:t>
      </w:r>
      <w:r>
        <w:rPr>
          <w:lang w:val="en-US"/>
        </w:rPr>
        <w:t>erefore an arbitrary and illegal act. T</w:t>
      </w:r>
      <w:r w:rsidRPr="001D2683">
        <w:rPr>
          <w:lang w:val="en-US"/>
        </w:rPr>
        <w:t xml:space="preserve">hey </w:t>
      </w:r>
      <w:r>
        <w:rPr>
          <w:lang w:val="en-US"/>
        </w:rPr>
        <w:t>further claimed</w:t>
      </w:r>
      <w:r w:rsidRPr="001D2683">
        <w:rPr>
          <w:lang w:val="en-US"/>
        </w:rPr>
        <w:t xml:space="preserve"> that there had been a violation of judicial independence and </w:t>
      </w:r>
      <w:r>
        <w:rPr>
          <w:lang w:val="en-US"/>
        </w:rPr>
        <w:t xml:space="preserve">the </w:t>
      </w:r>
      <w:r w:rsidRPr="001D2683">
        <w:rPr>
          <w:lang w:val="en-US"/>
        </w:rPr>
        <w:t xml:space="preserve">minimum guarantees </w:t>
      </w:r>
      <w:r>
        <w:rPr>
          <w:lang w:val="en-US"/>
        </w:rPr>
        <w:t xml:space="preserve">of </w:t>
      </w:r>
      <w:r w:rsidRPr="001D2683">
        <w:rPr>
          <w:lang w:val="en-US"/>
        </w:rPr>
        <w:t xml:space="preserve">due </w:t>
      </w:r>
      <w:proofErr w:type="gramStart"/>
      <w:r w:rsidRPr="001D2683">
        <w:rPr>
          <w:lang w:val="en-US"/>
        </w:rPr>
        <w:t>process, and</w:t>
      </w:r>
      <w:proofErr w:type="gramEnd"/>
      <w:r w:rsidRPr="001D2683">
        <w:rPr>
          <w:lang w:val="en-US"/>
        </w:rPr>
        <w:t xml:space="preserve"> noted that the decision to </w:t>
      </w:r>
      <w:r>
        <w:rPr>
          <w:lang w:val="en-US"/>
        </w:rPr>
        <w:t>dismiss</w:t>
      </w:r>
      <w:r w:rsidRPr="001D2683">
        <w:rPr>
          <w:lang w:val="en-US"/>
        </w:rPr>
        <w:t xml:space="preserve"> them was an unnecessary response to a judgment issued by the justices of the Constitutional Chamber in the exercise of their j</w:t>
      </w:r>
      <w:r>
        <w:rPr>
          <w:lang w:val="en-US"/>
        </w:rPr>
        <w:t xml:space="preserve">urisdictional authority. </w:t>
      </w:r>
      <w:r w:rsidRPr="001D2683">
        <w:rPr>
          <w:lang w:val="en-US"/>
        </w:rPr>
        <w:t xml:space="preserve">Lastly, they requested that Justice Oscar Fernando Chinchilla Banegas recuse himself from hearing the </w:t>
      </w:r>
      <w:r w:rsidRPr="001D2683">
        <w:rPr>
          <w:i/>
          <w:iCs/>
          <w:lang w:val="en-US"/>
        </w:rPr>
        <w:t>amparo</w:t>
      </w:r>
      <w:r>
        <w:rPr>
          <w:lang w:val="en-US"/>
        </w:rPr>
        <w:t xml:space="preserve"> case</w:t>
      </w:r>
      <w:r w:rsidRPr="001D2683">
        <w:rPr>
          <w:lang w:val="en-US"/>
        </w:rPr>
        <w:t xml:space="preserve">, </w:t>
      </w:r>
      <w:r>
        <w:rPr>
          <w:lang w:val="en-US"/>
        </w:rPr>
        <w:t>due to his personal and direct relationship with the act being challenged.</w:t>
      </w:r>
      <w:r w:rsidRPr="00DB55CD">
        <w:rPr>
          <w:rStyle w:val="Refdenotaalpie"/>
          <w:lang w:val="es-BO"/>
        </w:rPr>
        <w:footnoteReference w:id="27"/>
      </w:r>
      <w:r w:rsidRPr="001D2683">
        <w:rPr>
          <w:lang w:val="en-US"/>
        </w:rPr>
        <w:t xml:space="preserve">  </w:t>
      </w:r>
    </w:p>
    <w:p w14:paraId="731DAB6B" w14:textId="77777777" w:rsidR="00E6692A" w:rsidRPr="001D2683" w:rsidRDefault="00E6692A" w:rsidP="00E6692A">
      <w:pPr>
        <w:pStyle w:val="parrafos"/>
        <w:numPr>
          <w:ilvl w:val="0"/>
          <w:numId w:val="0"/>
        </w:numPr>
        <w:rPr>
          <w:lang w:val="en-US"/>
        </w:rPr>
      </w:pPr>
    </w:p>
    <w:p w14:paraId="544617E3" w14:textId="77777777" w:rsidR="00E6692A" w:rsidRPr="005D6D31" w:rsidRDefault="00E6692A" w:rsidP="00E6692A">
      <w:pPr>
        <w:pStyle w:val="parrafos"/>
        <w:numPr>
          <w:ilvl w:val="0"/>
          <w:numId w:val="0"/>
        </w:numPr>
        <w:rPr>
          <w:lang w:val="en-US"/>
        </w:rPr>
      </w:pPr>
      <w:r w:rsidRPr="00912095">
        <w:rPr>
          <w:lang w:val="en-US"/>
        </w:rPr>
        <w:t xml:space="preserve">35. The </w:t>
      </w:r>
      <w:proofErr w:type="gramStart"/>
      <w:r w:rsidRPr="00912095">
        <w:rPr>
          <w:lang w:val="en-US"/>
        </w:rPr>
        <w:t>aforementioned constitutional</w:t>
      </w:r>
      <w:proofErr w:type="gramEnd"/>
      <w:r w:rsidRPr="00912095">
        <w:rPr>
          <w:lang w:val="en-US"/>
        </w:rPr>
        <w:t xml:space="preserve"> actions were registered </w:t>
      </w:r>
      <w:r>
        <w:rPr>
          <w:lang w:val="en-US"/>
        </w:rPr>
        <w:t>under</w:t>
      </w:r>
      <w:r w:rsidRPr="00912095">
        <w:rPr>
          <w:lang w:val="en-US"/>
        </w:rPr>
        <w:t xml:space="preserve"> the numbers 1019 and 1026 of 2012, but </w:t>
      </w:r>
      <w:r>
        <w:rPr>
          <w:lang w:val="en-US"/>
        </w:rPr>
        <w:t>because they were pursuing the same objective, they were joined for a joint decision.</w:t>
      </w:r>
      <w:r w:rsidRPr="00DB55CD">
        <w:rPr>
          <w:rStyle w:val="Refdenotaalpie"/>
        </w:rPr>
        <w:footnoteReference w:id="28"/>
      </w:r>
      <w:r w:rsidRPr="00912095">
        <w:rPr>
          <w:lang w:val="en-US"/>
        </w:rPr>
        <w:t xml:space="preserve"> </w:t>
      </w:r>
      <w:r w:rsidRPr="00BD1E34">
        <w:rPr>
          <w:lang w:val="en-US"/>
        </w:rPr>
        <w:t xml:space="preserve">The petitioners </w:t>
      </w:r>
      <w:r>
        <w:rPr>
          <w:lang w:val="en-US"/>
        </w:rPr>
        <w:t>argued</w:t>
      </w:r>
      <w:r w:rsidRPr="00BD1E34">
        <w:rPr>
          <w:lang w:val="en-US"/>
        </w:rPr>
        <w:t xml:space="preserve"> that the President of the Supreme Court installed the </w:t>
      </w:r>
      <w:r>
        <w:rPr>
          <w:lang w:val="en-US"/>
        </w:rPr>
        <w:t>replacement</w:t>
      </w:r>
      <w:r w:rsidRPr="00BD1E34">
        <w:rPr>
          <w:lang w:val="en-US"/>
        </w:rPr>
        <w:t xml:space="preserve"> justice</w:t>
      </w:r>
      <w:r>
        <w:rPr>
          <w:lang w:val="en-US"/>
        </w:rPr>
        <w:t>s</w:t>
      </w:r>
      <w:r w:rsidRPr="00BD1E34">
        <w:rPr>
          <w:lang w:val="en-US"/>
        </w:rPr>
        <w:t xml:space="preserve"> without first having resolved the constitutional</w:t>
      </w:r>
      <w:r>
        <w:rPr>
          <w:lang w:val="en-US"/>
        </w:rPr>
        <w:t xml:space="preserve"> appeal. </w:t>
      </w:r>
      <w:r w:rsidRPr="00BD1E34">
        <w:rPr>
          <w:lang w:val="en-US"/>
        </w:rPr>
        <w:t xml:space="preserve">Subsequently, the Constitutional Chamber </w:t>
      </w:r>
      <w:r>
        <w:rPr>
          <w:lang w:val="en-US"/>
        </w:rPr>
        <w:t>declined to hear</w:t>
      </w:r>
      <w:r w:rsidRPr="00BD1E34">
        <w:rPr>
          <w:lang w:val="en-US"/>
        </w:rPr>
        <w:t xml:space="preserve"> the action in question, and so the President of the Supreme Court proceeded to </w:t>
      </w:r>
      <w:r>
        <w:rPr>
          <w:lang w:val="en-US"/>
        </w:rPr>
        <w:t>set up</w:t>
      </w:r>
      <w:r w:rsidRPr="00BD1E34">
        <w:rPr>
          <w:lang w:val="en-US"/>
        </w:rPr>
        <w:t xml:space="preserve"> a Special Chamber with other justices from the </w:t>
      </w:r>
      <w:r>
        <w:rPr>
          <w:lang w:val="en-US"/>
        </w:rPr>
        <w:t>P</w:t>
      </w:r>
      <w:r w:rsidRPr="00BD1E34">
        <w:rPr>
          <w:lang w:val="en-US"/>
        </w:rPr>
        <w:t>lenary, who in turn</w:t>
      </w:r>
      <w:r>
        <w:rPr>
          <w:lang w:val="en-US"/>
        </w:rPr>
        <w:t xml:space="preserve"> declined to hear the case. </w:t>
      </w:r>
      <w:r w:rsidRPr="00DD1CEF">
        <w:rPr>
          <w:lang w:val="en-US"/>
        </w:rPr>
        <w:t xml:space="preserve">Finally, a Special Chamber was established, made up three justices from the </w:t>
      </w:r>
      <w:r>
        <w:rPr>
          <w:lang w:val="en-US"/>
        </w:rPr>
        <w:t>P</w:t>
      </w:r>
      <w:r w:rsidRPr="00DD1CEF">
        <w:rPr>
          <w:lang w:val="en-US"/>
        </w:rPr>
        <w:t xml:space="preserve">lenary, </w:t>
      </w:r>
      <w:r>
        <w:rPr>
          <w:lang w:val="en-US"/>
        </w:rPr>
        <w:t>including</w:t>
      </w:r>
      <w:r w:rsidRPr="00DD1CEF">
        <w:rPr>
          <w:lang w:val="en-US"/>
        </w:rPr>
        <w:t xml:space="preserve"> the President of the Court and two member justices.</w:t>
      </w:r>
      <w:r w:rsidRPr="00DB55CD">
        <w:rPr>
          <w:rStyle w:val="Refdenotaalpie"/>
        </w:rPr>
        <w:footnoteReference w:id="29"/>
      </w:r>
      <w:r w:rsidRPr="005D6D31">
        <w:rPr>
          <w:lang w:val="en-US"/>
        </w:rPr>
        <w:t xml:space="preserve">     </w:t>
      </w:r>
    </w:p>
    <w:p w14:paraId="200F4E96" w14:textId="77777777" w:rsidR="00E6692A" w:rsidRPr="005D6D31" w:rsidRDefault="00E6692A" w:rsidP="00E6692A">
      <w:pPr>
        <w:pStyle w:val="Prrafodelista"/>
        <w:rPr>
          <w:lang w:val="en-US"/>
        </w:rPr>
      </w:pPr>
    </w:p>
    <w:p w14:paraId="06469248" w14:textId="77777777" w:rsidR="00E6692A" w:rsidRPr="005D6D31" w:rsidRDefault="00E6692A" w:rsidP="00E6692A">
      <w:pPr>
        <w:pStyle w:val="parrafos"/>
        <w:numPr>
          <w:ilvl w:val="0"/>
          <w:numId w:val="0"/>
        </w:numPr>
        <w:rPr>
          <w:lang w:val="en-US"/>
        </w:rPr>
      </w:pPr>
      <w:r w:rsidRPr="005D6D31">
        <w:rPr>
          <w:lang w:val="en-US"/>
        </w:rPr>
        <w:t xml:space="preserve">36. On January 29, 2013, the Special Constitutional Chamber of the Supreme Court </w:t>
      </w:r>
      <w:r>
        <w:rPr>
          <w:lang w:val="en-US"/>
        </w:rPr>
        <w:t xml:space="preserve">of Justice </w:t>
      </w:r>
      <w:r w:rsidRPr="005D6D31">
        <w:rPr>
          <w:lang w:val="en-US"/>
        </w:rPr>
        <w:t xml:space="preserve">decided to reject the </w:t>
      </w:r>
      <w:r w:rsidRPr="005D6D31">
        <w:rPr>
          <w:i/>
          <w:iCs/>
          <w:lang w:val="en-US"/>
        </w:rPr>
        <w:t>amparo</w:t>
      </w:r>
      <w:r w:rsidRPr="005D6D31">
        <w:rPr>
          <w:lang w:val="en-US"/>
        </w:rPr>
        <w:t xml:space="preserve"> appeal, indicating </w:t>
      </w:r>
      <w:r>
        <w:rPr>
          <w:lang w:val="en-US"/>
        </w:rPr>
        <w:t>the following</w:t>
      </w:r>
      <w:r w:rsidRPr="005D6D31">
        <w:rPr>
          <w:lang w:val="en-US"/>
        </w:rPr>
        <w:t>:</w:t>
      </w:r>
    </w:p>
    <w:p w14:paraId="5C669A10" w14:textId="77777777" w:rsidR="00E6692A" w:rsidRPr="005D6D31" w:rsidRDefault="00E6692A" w:rsidP="00E6692A">
      <w:pPr>
        <w:pStyle w:val="Prrafodelista"/>
        <w:rPr>
          <w:lang w:val="en-US"/>
        </w:rPr>
      </w:pPr>
    </w:p>
    <w:p w14:paraId="673143B5" w14:textId="77777777" w:rsidR="00E6692A" w:rsidRPr="0077788B" w:rsidRDefault="00E6692A" w:rsidP="00E6692A">
      <w:pPr>
        <w:pStyle w:val="parrafos"/>
        <w:numPr>
          <w:ilvl w:val="0"/>
          <w:numId w:val="0"/>
        </w:numPr>
        <w:ind w:left="357" w:right="357"/>
        <w:rPr>
          <w:sz w:val="18"/>
          <w:szCs w:val="18"/>
          <w:lang w:val="en-US"/>
        </w:rPr>
      </w:pPr>
      <w:r w:rsidRPr="0077788B">
        <w:rPr>
          <w:sz w:val="18"/>
          <w:szCs w:val="18"/>
          <w:lang w:val="en-US"/>
        </w:rPr>
        <w:t>“…</w:t>
      </w:r>
      <w:r>
        <w:rPr>
          <w:sz w:val="18"/>
          <w:szCs w:val="18"/>
          <w:lang w:val="en-US"/>
        </w:rPr>
        <w:t>.</w:t>
      </w:r>
      <w:r w:rsidRPr="0077788B">
        <w:rPr>
          <w:sz w:val="18"/>
          <w:szCs w:val="18"/>
          <w:lang w:val="en-US"/>
        </w:rPr>
        <w:t xml:space="preserve"> </w:t>
      </w:r>
      <w:r w:rsidRPr="00C03C71">
        <w:rPr>
          <w:sz w:val="18"/>
          <w:szCs w:val="18"/>
          <w:lang w:val="en-US"/>
        </w:rPr>
        <w:t>It can be concluded</w:t>
      </w:r>
      <w:r w:rsidRPr="0077788B">
        <w:rPr>
          <w:sz w:val="18"/>
          <w:szCs w:val="18"/>
          <w:lang w:val="en-US"/>
        </w:rPr>
        <w:t xml:space="preserve"> </w:t>
      </w:r>
      <w:r>
        <w:rPr>
          <w:sz w:val="18"/>
          <w:szCs w:val="18"/>
          <w:lang w:val="en-US"/>
        </w:rPr>
        <w:t>by</w:t>
      </w:r>
      <w:r w:rsidRPr="0077788B">
        <w:rPr>
          <w:sz w:val="18"/>
          <w:szCs w:val="18"/>
          <w:lang w:val="en-US"/>
        </w:rPr>
        <w:t xml:space="preserve"> constitutional </w:t>
      </w:r>
      <w:r>
        <w:rPr>
          <w:sz w:val="18"/>
          <w:szCs w:val="18"/>
          <w:lang w:val="en-US"/>
        </w:rPr>
        <w:t>provision</w:t>
      </w:r>
      <w:r w:rsidRPr="0077788B">
        <w:rPr>
          <w:sz w:val="18"/>
          <w:szCs w:val="18"/>
          <w:lang w:val="en-US"/>
        </w:rPr>
        <w:t>, as well as the provisions of Article 9</w:t>
      </w:r>
      <w:r>
        <w:rPr>
          <w:sz w:val="18"/>
          <w:szCs w:val="18"/>
          <w:lang w:val="en-US"/>
        </w:rPr>
        <w:t>,</w:t>
      </w:r>
      <w:r w:rsidRPr="0077788B">
        <w:rPr>
          <w:sz w:val="18"/>
          <w:szCs w:val="18"/>
          <w:lang w:val="en-US"/>
        </w:rPr>
        <w:t xml:space="preserve"> paragraph 2</w:t>
      </w:r>
      <w:r>
        <w:rPr>
          <w:sz w:val="18"/>
          <w:szCs w:val="18"/>
          <w:lang w:val="en-US"/>
        </w:rPr>
        <w:t>,</w:t>
      </w:r>
      <w:r w:rsidRPr="0077788B">
        <w:rPr>
          <w:sz w:val="18"/>
          <w:szCs w:val="18"/>
          <w:lang w:val="en-US"/>
        </w:rPr>
        <w:t xml:space="preserve"> and paragraph 3</w:t>
      </w:r>
      <w:r>
        <w:rPr>
          <w:sz w:val="18"/>
          <w:szCs w:val="18"/>
          <w:lang w:val="en-US"/>
        </w:rPr>
        <w:t>,</w:t>
      </w:r>
      <w:r w:rsidRPr="0077788B">
        <w:rPr>
          <w:sz w:val="18"/>
          <w:szCs w:val="18"/>
          <w:lang w:val="en-US"/>
        </w:rPr>
        <w:t xml:space="preserve"> subparagraphs a), b), c), and d)</w:t>
      </w:r>
      <w:r>
        <w:rPr>
          <w:sz w:val="18"/>
          <w:szCs w:val="18"/>
          <w:lang w:val="en-US"/>
        </w:rPr>
        <w:t>,</w:t>
      </w:r>
      <w:r w:rsidRPr="0077788B">
        <w:rPr>
          <w:sz w:val="18"/>
          <w:szCs w:val="18"/>
          <w:lang w:val="en-US"/>
        </w:rPr>
        <w:t xml:space="preserve"> of the </w:t>
      </w:r>
      <w:r>
        <w:rPr>
          <w:sz w:val="18"/>
          <w:szCs w:val="18"/>
          <w:lang w:val="en-US"/>
        </w:rPr>
        <w:t xml:space="preserve">Law on </w:t>
      </w:r>
      <w:r w:rsidRPr="0077788B">
        <w:rPr>
          <w:sz w:val="18"/>
          <w:szCs w:val="18"/>
          <w:lang w:val="en-US"/>
        </w:rPr>
        <w:t xml:space="preserve">Constitutional Justice, that the actions arising from the legislative branch in the exercise of its powers, which those affected believe violate fundamental rights, are not subject to challenge by means of an </w:t>
      </w:r>
      <w:r w:rsidRPr="00F01512">
        <w:rPr>
          <w:i/>
          <w:iCs/>
          <w:sz w:val="18"/>
          <w:szCs w:val="18"/>
          <w:lang w:val="en-US"/>
        </w:rPr>
        <w:t>amparo</w:t>
      </w:r>
      <w:r w:rsidRPr="0077788B">
        <w:rPr>
          <w:sz w:val="18"/>
          <w:szCs w:val="18"/>
          <w:lang w:val="en-US"/>
        </w:rPr>
        <w:t xml:space="preserve"> action, given that the members of the legislative branch (DEPUTIES) are not considered OFFIC</w:t>
      </w:r>
      <w:r>
        <w:rPr>
          <w:sz w:val="18"/>
          <w:szCs w:val="18"/>
          <w:lang w:val="en-US"/>
        </w:rPr>
        <w:t>ER</w:t>
      </w:r>
      <w:r w:rsidRPr="0077788B">
        <w:rPr>
          <w:sz w:val="18"/>
          <w:szCs w:val="18"/>
          <w:lang w:val="en-US"/>
        </w:rPr>
        <w:t xml:space="preserve">S imbued with authority or power </w:t>
      </w:r>
      <w:r>
        <w:rPr>
          <w:sz w:val="18"/>
          <w:szCs w:val="18"/>
          <w:lang w:val="en-US"/>
        </w:rPr>
        <w:t>derived</w:t>
      </w:r>
      <w:r w:rsidRPr="0077788B">
        <w:rPr>
          <w:sz w:val="18"/>
          <w:szCs w:val="18"/>
          <w:lang w:val="en-US"/>
        </w:rPr>
        <w:t xml:space="preserve"> from the application of laws in the jurisdictional and administrative </w:t>
      </w:r>
      <w:r>
        <w:rPr>
          <w:sz w:val="18"/>
          <w:szCs w:val="18"/>
          <w:lang w:val="en-US"/>
        </w:rPr>
        <w:t>system. C</w:t>
      </w:r>
      <w:r w:rsidRPr="0077788B">
        <w:rPr>
          <w:sz w:val="18"/>
          <w:szCs w:val="18"/>
          <w:lang w:val="en-US"/>
        </w:rPr>
        <w:t xml:space="preserve">onsequently, the act of the National Congress that occurred on December 12, 2012, </w:t>
      </w:r>
      <w:r>
        <w:rPr>
          <w:sz w:val="18"/>
          <w:szCs w:val="18"/>
          <w:lang w:val="en-US"/>
        </w:rPr>
        <w:t xml:space="preserve">having been challenged by means of an </w:t>
      </w:r>
      <w:r w:rsidRPr="00C03C71">
        <w:rPr>
          <w:i/>
          <w:iCs/>
          <w:sz w:val="18"/>
          <w:szCs w:val="18"/>
          <w:lang w:val="en-US"/>
        </w:rPr>
        <w:t>amparo</w:t>
      </w:r>
      <w:r w:rsidRPr="0077788B">
        <w:rPr>
          <w:sz w:val="18"/>
          <w:szCs w:val="18"/>
          <w:lang w:val="en-US"/>
        </w:rPr>
        <w:t xml:space="preserve"> </w:t>
      </w:r>
      <w:r>
        <w:rPr>
          <w:sz w:val="18"/>
          <w:szCs w:val="18"/>
          <w:lang w:val="en-US"/>
        </w:rPr>
        <w:t>a</w:t>
      </w:r>
      <w:r w:rsidRPr="0077788B">
        <w:rPr>
          <w:sz w:val="18"/>
          <w:szCs w:val="18"/>
          <w:lang w:val="en-US"/>
        </w:rPr>
        <w:t xml:space="preserve">ction or </w:t>
      </w:r>
      <w:r>
        <w:rPr>
          <w:sz w:val="18"/>
          <w:szCs w:val="18"/>
          <w:lang w:val="en-US"/>
        </w:rPr>
        <w:t>g</w:t>
      </w:r>
      <w:r w:rsidRPr="0077788B">
        <w:rPr>
          <w:sz w:val="18"/>
          <w:szCs w:val="18"/>
          <w:lang w:val="en-US"/>
        </w:rPr>
        <w:t>uarantee</w:t>
      </w:r>
      <w:r>
        <w:rPr>
          <w:sz w:val="18"/>
          <w:szCs w:val="18"/>
          <w:lang w:val="en-US"/>
        </w:rPr>
        <w:t xml:space="preserve"> of protection,</w:t>
      </w:r>
      <w:r w:rsidRPr="0077788B">
        <w:rPr>
          <w:sz w:val="18"/>
          <w:szCs w:val="18"/>
          <w:lang w:val="en-US"/>
        </w:rPr>
        <w:t xml:space="preserve"> falls outside the purview of the Constitutional Chamber of the Honorable Supreme Court of </w:t>
      </w:r>
      <w:r>
        <w:rPr>
          <w:sz w:val="18"/>
          <w:szCs w:val="18"/>
          <w:lang w:val="en-US"/>
        </w:rPr>
        <w:t>Justice, as that body lacks jurisdiction or authority to hear and decide upon it; therefore, this Supreme Court of Justice deems it appropriate to refuse from the outset to hear this appeal or action for the reasons indicated above.</w:t>
      </w:r>
      <w:r w:rsidRPr="0077788B">
        <w:rPr>
          <w:sz w:val="18"/>
          <w:szCs w:val="18"/>
          <w:lang w:val="en-US"/>
        </w:rPr>
        <w:t>”</w:t>
      </w:r>
      <w:r w:rsidRPr="00DB55CD">
        <w:rPr>
          <w:rStyle w:val="Refdenotaalpie"/>
          <w:sz w:val="18"/>
          <w:szCs w:val="18"/>
          <w:lang w:val="es-ES_tradnl"/>
        </w:rPr>
        <w:footnoteReference w:id="30"/>
      </w:r>
      <w:r w:rsidRPr="0077788B">
        <w:rPr>
          <w:sz w:val="18"/>
          <w:szCs w:val="18"/>
          <w:lang w:val="en-US"/>
        </w:rPr>
        <w:t xml:space="preserve"> </w:t>
      </w:r>
    </w:p>
    <w:p w14:paraId="67FF662C" w14:textId="77777777" w:rsidR="00E6692A" w:rsidRPr="0077788B" w:rsidRDefault="00E6692A" w:rsidP="00E6692A"/>
    <w:p w14:paraId="4BFF83A5" w14:textId="77777777" w:rsidR="00E6692A" w:rsidRPr="00AC20BE" w:rsidRDefault="00E6692A" w:rsidP="00E6692A">
      <w:pPr>
        <w:pStyle w:val="parrafos"/>
        <w:numPr>
          <w:ilvl w:val="0"/>
          <w:numId w:val="67"/>
        </w:numPr>
        <w:rPr>
          <w:lang w:val="en-US"/>
        </w:rPr>
      </w:pPr>
      <w:r w:rsidRPr="00AC20BE">
        <w:rPr>
          <w:lang w:val="en-US"/>
        </w:rPr>
        <w:t>It likewise indicated the following:</w:t>
      </w:r>
    </w:p>
    <w:p w14:paraId="246A2CBB" w14:textId="77777777" w:rsidR="00E6692A" w:rsidRPr="00AC20BE" w:rsidRDefault="00E6692A" w:rsidP="00E6692A">
      <w:pPr>
        <w:pStyle w:val="parrafos"/>
        <w:numPr>
          <w:ilvl w:val="0"/>
          <w:numId w:val="0"/>
        </w:numPr>
        <w:rPr>
          <w:lang w:val="en-US"/>
        </w:rPr>
      </w:pPr>
    </w:p>
    <w:p w14:paraId="1842C8F8" w14:textId="77777777" w:rsidR="00E6692A" w:rsidRPr="00896D4D" w:rsidRDefault="00E6692A" w:rsidP="00E6692A">
      <w:pPr>
        <w:pStyle w:val="parrafos"/>
        <w:numPr>
          <w:ilvl w:val="0"/>
          <w:numId w:val="0"/>
        </w:numPr>
        <w:ind w:left="357" w:right="357"/>
        <w:rPr>
          <w:sz w:val="18"/>
          <w:szCs w:val="18"/>
          <w:lang w:val="en-US"/>
        </w:rPr>
      </w:pPr>
      <w:r w:rsidRPr="007C61C5">
        <w:rPr>
          <w:sz w:val="18"/>
          <w:szCs w:val="18"/>
          <w:lang w:val="en-US"/>
        </w:rPr>
        <w:t xml:space="preserve">“CONSIDERING: That in accordance with the provisions established in Article 41, final paragraph, and Article 70 of the Law on Constitutional Justice, when the jurisdictional body declares that it lacks competence to consider an </w:t>
      </w:r>
      <w:r w:rsidRPr="005A05D0">
        <w:rPr>
          <w:i/>
          <w:iCs/>
          <w:sz w:val="18"/>
          <w:szCs w:val="18"/>
          <w:lang w:val="en-US"/>
        </w:rPr>
        <w:t>amparo</w:t>
      </w:r>
      <w:r w:rsidRPr="007C61C5">
        <w:rPr>
          <w:sz w:val="18"/>
          <w:szCs w:val="18"/>
          <w:lang w:val="en-US"/>
        </w:rPr>
        <w:t xml:space="preserve"> action, it shall </w:t>
      </w:r>
      <w:r>
        <w:rPr>
          <w:sz w:val="18"/>
          <w:szCs w:val="18"/>
          <w:lang w:val="en-US"/>
        </w:rPr>
        <w:t>forward</w:t>
      </w:r>
      <w:r w:rsidRPr="007C61C5">
        <w:rPr>
          <w:sz w:val="18"/>
          <w:szCs w:val="18"/>
          <w:lang w:val="en-US"/>
        </w:rPr>
        <w:t xml:space="preserve"> the original to the competent </w:t>
      </w:r>
      <w:r>
        <w:rPr>
          <w:sz w:val="18"/>
          <w:szCs w:val="18"/>
          <w:lang w:val="en-US"/>
        </w:rPr>
        <w:t>officer</w:t>
      </w:r>
      <w:r w:rsidRPr="007C61C5">
        <w:rPr>
          <w:sz w:val="18"/>
          <w:szCs w:val="18"/>
          <w:lang w:val="en-US"/>
        </w:rPr>
        <w:t xml:space="preserve"> within no later than twenty-four hours </w:t>
      </w:r>
      <w:r>
        <w:rPr>
          <w:sz w:val="18"/>
          <w:szCs w:val="18"/>
          <w:lang w:val="en-US"/>
        </w:rPr>
        <w:t xml:space="preserve">for the proper course of action. However, such a situation, due to the legal nature of the Constitutional Chamber’s lack of jurisdiction to hear the appeal, as well as the impossibility of another jurisdictional body having competence to hear and decide the case, [the Special Constitutional Chamber] declines to forward the </w:t>
      </w:r>
      <w:r w:rsidRPr="005A05D0">
        <w:rPr>
          <w:i/>
          <w:iCs/>
          <w:sz w:val="18"/>
          <w:szCs w:val="18"/>
          <w:lang w:val="en-US"/>
        </w:rPr>
        <w:t>amparo</w:t>
      </w:r>
      <w:r>
        <w:rPr>
          <w:sz w:val="18"/>
          <w:szCs w:val="18"/>
          <w:lang w:val="en-US"/>
        </w:rPr>
        <w:t xml:space="preserve"> briefs to a particular official or Court.</w:t>
      </w:r>
      <w:r w:rsidRPr="00896D4D">
        <w:rPr>
          <w:sz w:val="18"/>
          <w:szCs w:val="18"/>
          <w:lang w:val="en-US"/>
        </w:rPr>
        <w:t>”</w:t>
      </w:r>
      <w:r w:rsidRPr="00DB55CD">
        <w:rPr>
          <w:rStyle w:val="Refdenotaalpie"/>
          <w:sz w:val="18"/>
          <w:szCs w:val="18"/>
        </w:rPr>
        <w:footnoteReference w:id="31"/>
      </w:r>
    </w:p>
    <w:p w14:paraId="55248D10" w14:textId="77777777" w:rsidR="00E6692A" w:rsidRPr="00896D4D" w:rsidRDefault="00E6692A" w:rsidP="00E6692A">
      <w:pPr>
        <w:pStyle w:val="parrafos"/>
        <w:numPr>
          <w:ilvl w:val="0"/>
          <w:numId w:val="0"/>
        </w:numPr>
        <w:rPr>
          <w:lang w:val="en-US"/>
        </w:rPr>
      </w:pPr>
    </w:p>
    <w:p w14:paraId="764476C6" w14:textId="77777777" w:rsidR="00E6692A" w:rsidRPr="004134FF" w:rsidRDefault="00E6692A" w:rsidP="00E6692A">
      <w:pPr>
        <w:pStyle w:val="parrafos"/>
        <w:numPr>
          <w:ilvl w:val="0"/>
          <w:numId w:val="0"/>
        </w:numPr>
        <w:rPr>
          <w:lang w:val="en-US"/>
        </w:rPr>
      </w:pPr>
      <w:r w:rsidRPr="00DF5231">
        <w:rPr>
          <w:lang w:val="en-US"/>
        </w:rPr>
        <w:t xml:space="preserve">38. For his part, </w:t>
      </w:r>
      <w:r>
        <w:rPr>
          <w:lang w:val="en-US"/>
        </w:rPr>
        <w:t>J</w:t>
      </w:r>
      <w:r w:rsidRPr="00DF5231">
        <w:rPr>
          <w:lang w:val="en-US"/>
        </w:rPr>
        <w:t xml:space="preserve">ustice Raúl Henriquez </w:t>
      </w:r>
      <w:proofErr w:type="spellStart"/>
      <w:r w:rsidRPr="00DF5231">
        <w:rPr>
          <w:lang w:val="en-US"/>
        </w:rPr>
        <w:t>Interiano</w:t>
      </w:r>
      <w:proofErr w:type="spellEnd"/>
      <w:r w:rsidRPr="00DF5231">
        <w:rPr>
          <w:lang w:val="en-US"/>
        </w:rPr>
        <w:t xml:space="preserve"> </w:t>
      </w:r>
      <w:r>
        <w:rPr>
          <w:lang w:val="en-US"/>
        </w:rPr>
        <w:t>cast</w:t>
      </w:r>
      <w:r w:rsidRPr="00DF5231">
        <w:rPr>
          <w:lang w:val="en-US"/>
        </w:rPr>
        <w:t xml:space="preserve"> his individual vote on February 4, 2013, in which he</w:t>
      </w:r>
      <w:r>
        <w:rPr>
          <w:lang w:val="en-US"/>
        </w:rPr>
        <w:t xml:space="preserve"> expressed his</w:t>
      </w:r>
      <w:r w:rsidRPr="00DF5231">
        <w:rPr>
          <w:lang w:val="en-US"/>
        </w:rPr>
        <w:t xml:space="preserve"> dissent from the January 29, 2013</w:t>
      </w:r>
      <w:r>
        <w:rPr>
          <w:lang w:val="en-US"/>
        </w:rPr>
        <w:t xml:space="preserve">, </w:t>
      </w:r>
      <w:r w:rsidRPr="00DF5231">
        <w:rPr>
          <w:lang w:val="en-US"/>
        </w:rPr>
        <w:t xml:space="preserve">resolution </w:t>
      </w:r>
      <w:r>
        <w:rPr>
          <w:lang w:val="en-US"/>
        </w:rPr>
        <w:t xml:space="preserve">that rejected the </w:t>
      </w:r>
      <w:r w:rsidRPr="00075398">
        <w:rPr>
          <w:i/>
          <w:iCs/>
          <w:lang w:val="en-US"/>
        </w:rPr>
        <w:t>amparo</w:t>
      </w:r>
      <w:r>
        <w:rPr>
          <w:lang w:val="en-US"/>
        </w:rPr>
        <w:t xml:space="preserve"> outright, because he believed that the constitutional appeal should have been admitted and the alleged victims reinstated in their positions.</w:t>
      </w:r>
      <w:r w:rsidRPr="00DB55CD">
        <w:rPr>
          <w:rStyle w:val="Refdenotaalpie"/>
        </w:rPr>
        <w:footnoteReference w:id="32"/>
      </w:r>
      <w:r w:rsidRPr="00DF5231">
        <w:rPr>
          <w:lang w:val="en-US"/>
        </w:rPr>
        <w:t xml:space="preserve"> </w:t>
      </w:r>
      <w:r w:rsidRPr="004134FF">
        <w:rPr>
          <w:lang w:val="en-US"/>
        </w:rPr>
        <w:t>The dissenting justice indicated the following with his vote:</w:t>
      </w:r>
    </w:p>
    <w:p w14:paraId="3B8D9393" w14:textId="77777777" w:rsidR="00E6692A" w:rsidRPr="004134FF" w:rsidRDefault="00E6692A" w:rsidP="00E6692A">
      <w:pPr>
        <w:pStyle w:val="parrafos"/>
        <w:numPr>
          <w:ilvl w:val="0"/>
          <w:numId w:val="0"/>
        </w:numPr>
        <w:rPr>
          <w:lang w:val="en-US"/>
        </w:rPr>
      </w:pPr>
    </w:p>
    <w:p w14:paraId="41633BCE" w14:textId="77777777" w:rsidR="00E6692A" w:rsidRPr="004E79A4" w:rsidRDefault="00E6692A" w:rsidP="00E6692A">
      <w:pPr>
        <w:pStyle w:val="parrafos"/>
        <w:numPr>
          <w:ilvl w:val="0"/>
          <w:numId w:val="0"/>
        </w:numPr>
        <w:ind w:left="357" w:right="357"/>
        <w:rPr>
          <w:sz w:val="18"/>
          <w:szCs w:val="18"/>
          <w:lang w:val="en-US"/>
        </w:rPr>
      </w:pPr>
      <w:r w:rsidRPr="00CC57DD">
        <w:rPr>
          <w:sz w:val="18"/>
          <w:szCs w:val="18"/>
          <w:lang w:val="en-US"/>
        </w:rPr>
        <w:t>“…</w:t>
      </w:r>
      <w:r>
        <w:rPr>
          <w:sz w:val="18"/>
          <w:szCs w:val="18"/>
          <w:lang w:val="en-US"/>
        </w:rPr>
        <w:t>.</w:t>
      </w:r>
      <w:r w:rsidRPr="00CC57DD">
        <w:rPr>
          <w:sz w:val="18"/>
          <w:szCs w:val="18"/>
          <w:lang w:val="en-US"/>
        </w:rPr>
        <w:t xml:space="preserve"> I am voicing my opinion in that respect, expressing my surprise that my colleagues in the Chamber have avoided referring to Article 42 </w:t>
      </w:r>
      <w:r>
        <w:rPr>
          <w:sz w:val="18"/>
          <w:szCs w:val="18"/>
          <w:lang w:val="en-US"/>
        </w:rPr>
        <w:t xml:space="preserve">of the Law on Constitutional Justice; to the contrary, they skipped from Article 41 to 43, it being precisely Article </w:t>
      </w:r>
      <w:r w:rsidRPr="005351AC">
        <w:rPr>
          <w:sz w:val="18"/>
          <w:szCs w:val="18"/>
          <w:lang w:val="en-US"/>
        </w:rPr>
        <w:t xml:space="preserve">42 </w:t>
      </w:r>
      <w:r>
        <w:rPr>
          <w:sz w:val="18"/>
          <w:szCs w:val="18"/>
          <w:lang w:val="en-US"/>
        </w:rPr>
        <w:t>that allows constitutional</w:t>
      </w:r>
      <w:r w:rsidRPr="00F008D1">
        <w:rPr>
          <w:sz w:val="18"/>
          <w:szCs w:val="18"/>
          <w:lang w:val="en-US"/>
        </w:rPr>
        <w:t xml:space="preserve"> protection</w:t>
      </w:r>
      <w:r>
        <w:rPr>
          <w:sz w:val="18"/>
          <w:szCs w:val="18"/>
          <w:lang w:val="en-US"/>
        </w:rPr>
        <w:t xml:space="preserve"> actions directed against the National Congress to be admitted and resolved. </w:t>
      </w:r>
      <w:r w:rsidRPr="00863366">
        <w:rPr>
          <w:sz w:val="18"/>
          <w:szCs w:val="18"/>
          <w:lang w:val="en-US"/>
        </w:rPr>
        <w:t xml:space="preserve">That article dictates that an </w:t>
      </w:r>
      <w:r w:rsidRPr="00F008D1">
        <w:rPr>
          <w:i/>
          <w:iCs/>
          <w:sz w:val="18"/>
          <w:szCs w:val="18"/>
          <w:lang w:val="en-US"/>
        </w:rPr>
        <w:t>amparo</w:t>
      </w:r>
      <w:r w:rsidRPr="00863366">
        <w:rPr>
          <w:sz w:val="18"/>
          <w:szCs w:val="18"/>
          <w:lang w:val="en-US"/>
        </w:rPr>
        <w:t xml:space="preserve"> action </w:t>
      </w:r>
      <w:r>
        <w:rPr>
          <w:sz w:val="18"/>
          <w:szCs w:val="18"/>
          <w:lang w:val="en-US"/>
        </w:rPr>
        <w:t>is appropriate</w:t>
      </w:r>
      <w:r w:rsidRPr="00863366">
        <w:rPr>
          <w:sz w:val="18"/>
          <w:szCs w:val="18"/>
          <w:lang w:val="en-US"/>
        </w:rPr>
        <w:t xml:space="preserve"> against resolutions, acts, and </w:t>
      </w:r>
      <w:r>
        <w:rPr>
          <w:sz w:val="18"/>
          <w:szCs w:val="18"/>
          <w:lang w:val="en-US"/>
        </w:rPr>
        <w:t>deeds</w:t>
      </w:r>
      <w:r w:rsidRPr="00863366">
        <w:rPr>
          <w:sz w:val="18"/>
          <w:szCs w:val="18"/>
          <w:lang w:val="en-US"/>
        </w:rPr>
        <w:t xml:space="preserve"> of the </w:t>
      </w:r>
      <w:r>
        <w:rPr>
          <w:sz w:val="18"/>
          <w:szCs w:val="18"/>
          <w:lang w:val="en-US"/>
        </w:rPr>
        <w:t>b</w:t>
      </w:r>
      <w:r w:rsidRPr="00863366">
        <w:rPr>
          <w:sz w:val="18"/>
          <w:szCs w:val="18"/>
          <w:lang w:val="en-US"/>
        </w:rPr>
        <w:t>ranches of the St</w:t>
      </w:r>
      <w:r>
        <w:rPr>
          <w:sz w:val="18"/>
          <w:szCs w:val="18"/>
          <w:lang w:val="en-US"/>
        </w:rPr>
        <w:t xml:space="preserve">ate. </w:t>
      </w:r>
      <w:r w:rsidRPr="00863366">
        <w:rPr>
          <w:sz w:val="18"/>
          <w:szCs w:val="18"/>
          <w:lang w:val="en-US"/>
        </w:rPr>
        <w:t xml:space="preserve">The National Congress being the body of the </w:t>
      </w:r>
      <w:r>
        <w:rPr>
          <w:sz w:val="18"/>
          <w:szCs w:val="18"/>
          <w:lang w:val="en-US"/>
        </w:rPr>
        <w:t>l</w:t>
      </w:r>
      <w:r w:rsidRPr="00863366">
        <w:rPr>
          <w:sz w:val="18"/>
          <w:szCs w:val="18"/>
          <w:lang w:val="en-US"/>
        </w:rPr>
        <w:t xml:space="preserve">egislative </w:t>
      </w:r>
      <w:r>
        <w:rPr>
          <w:sz w:val="18"/>
          <w:szCs w:val="18"/>
          <w:lang w:val="en-US"/>
        </w:rPr>
        <w:t>b</w:t>
      </w:r>
      <w:r w:rsidRPr="00863366">
        <w:rPr>
          <w:sz w:val="18"/>
          <w:szCs w:val="18"/>
          <w:lang w:val="en-US"/>
        </w:rPr>
        <w:t xml:space="preserve">ranch and this being a </w:t>
      </w:r>
      <w:r>
        <w:rPr>
          <w:sz w:val="18"/>
          <w:szCs w:val="18"/>
          <w:lang w:val="en-US"/>
        </w:rPr>
        <w:t>b</w:t>
      </w:r>
      <w:r w:rsidRPr="00863366">
        <w:rPr>
          <w:sz w:val="18"/>
          <w:szCs w:val="18"/>
          <w:lang w:val="en-US"/>
        </w:rPr>
        <w:t>ranch of the St</w:t>
      </w:r>
      <w:r>
        <w:rPr>
          <w:sz w:val="18"/>
          <w:szCs w:val="18"/>
          <w:lang w:val="en-US"/>
        </w:rPr>
        <w:t xml:space="preserve">ate, the </w:t>
      </w:r>
      <w:r w:rsidRPr="0094026C">
        <w:rPr>
          <w:i/>
          <w:iCs/>
          <w:sz w:val="18"/>
          <w:szCs w:val="18"/>
          <w:lang w:val="en-US"/>
        </w:rPr>
        <w:t>amparo</w:t>
      </w:r>
      <w:r>
        <w:rPr>
          <w:sz w:val="18"/>
          <w:szCs w:val="18"/>
          <w:lang w:val="en-US"/>
        </w:rPr>
        <w:t xml:space="preserve"> guarantees should have been found to be admissible. </w:t>
      </w:r>
    </w:p>
    <w:p w14:paraId="16FA19AB" w14:textId="77777777" w:rsidR="00E6692A" w:rsidRPr="00EC6182" w:rsidRDefault="00E6692A" w:rsidP="00E6692A">
      <w:pPr>
        <w:pStyle w:val="parrafos"/>
        <w:numPr>
          <w:ilvl w:val="0"/>
          <w:numId w:val="0"/>
        </w:numPr>
        <w:ind w:left="357" w:right="357"/>
        <w:rPr>
          <w:sz w:val="18"/>
          <w:szCs w:val="18"/>
          <w:lang w:val="en-US"/>
        </w:rPr>
      </w:pPr>
      <w:r>
        <w:rPr>
          <w:sz w:val="18"/>
          <w:szCs w:val="18"/>
          <w:lang w:val="en-US"/>
        </w:rPr>
        <w:t>“</w:t>
      </w:r>
      <w:r w:rsidRPr="00EB2E69">
        <w:rPr>
          <w:sz w:val="18"/>
          <w:szCs w:val="18"/>
          <w:lang w:val="en-US"/>
        </w:rPr>
        <w:t>…</w:t>
      </w:r>
      <w:r>
        <w:rPr>
          <w:sz w:val="18"/>
          <w:szCs w:val="18"/>
          <w:lang w:val="en-US"/>
        </w:rPr>
        <w:t>.</w:t>
      </w:r>
      <w:r w:rsidRPr="00EB2E69">
        <w:rPr>
          <w:sz w:val="18"/>
          <w:szCs w:val="18"/>
          <w:lang w:val="en-US"/>
        </w:rPr>
        <w:t xml:space="preserve"> To think about exceptions, as my colleagues in this Chamber are doing, would be to “create islands of power” in the State, an absolute and unlimited power, dangerous </w:t>
      </w:r>
      <w:r>
        <w:rPr>
          <w:sz w:val="18"/>
          <w:szCs w:val="18"/>
          <w:lang w:val="en-US"/>
        </w:rPr>
        <w:t>to</w:t>
      </w:r>
      <w:r w:rsidRPr="00EB2E69">
        <w:rPr>
          <w:sz w:val="18"/>
          <w:szCs w:val="18"/>
          <w:lang w:val="en-US"/>
        </w:rPr>
        <w:t xml:space="preserve"> </w:t>
      </w:r>
      <w:r>
        <w:rPr>
          <w:sz w:val="18"/>
          <w:szCs w:val="18"/>
          <w:lang w:val="en-US"/>
        </w:rPr>
        <w:t>all the country’s citizens.</w:t>
      </w:r>
      <w:r w:rsidRPr="00EB2E69">
        <w:rPr>
          <w:sz w:val="18"/>
          <w:szCs w:val="18"/>
          <w:lang w:val="en-US"/>
        </w:rPr>
        <w:t xml:space="preserve"> </w:t>
      </w:r>
      <w:r w:rsidRPr="00EC6182">
        <w:rPr>
          <w:sz w:val="18"/>
          <w:szCs w:val="18"/>
          <w:lang w:val="en-US"/>
        </w:rPr>
        <w:t xml:space="preserve">To make interpretations such as </w:t>
      </w:r>
      <w:r>
        <w:rPr>
          <w:sz w:val="18"/>
          <w:szCs w:val="18"/>
          <w:lang w:val="en-US"/>
        </w:rPr>
        <w:t xml:space="preserve">those made by </w:t>
      </w:r>
      <w:r w:rsidRPr="00EC6182">
        <w:rPr>
          <w:sz w:val="18"/>
          <w:szCs w:val="18"/>
          <w:lang w:val="en-US"/>
        </w:rPr>
        <w:t>my colleagues in the Chamber</w:t>
      </w:r>
      <w:r>
        <w:rPr>
          <w:sz w:val="18"/>
          <w:szCs w:val="18"/>
          <w:lang w:val="en-US"/>
        </w:rPr>
        <w:t xml:space="preserve"> </w:t>
      </w:r>
      <w:r w:rsidRPr="00EC6182">
        <w:rPr>
          <w:sz w:val="18"/>
          <w:szCs w:val="18"/>
          <w:lang w:val="en-US"/>
        </w:rPr>
        <w:t xml:space="preserve">is to leave vacuums that would allow citizens to be left </w:t>
      </w:r>
      <w:r>
        <w:rPr>
          <w:sz w:val="18"/>
          <w:szCs w:val="18"/>
          <w:lang w:val="en-US"/>
        </w:rPr>
        <w:t>abandoned</w:t>
      </w:r>
      <w:r w:rsidRPr="00EC6182">
        <w:rPr>
          <w:sz w:val="18"/>
          <w:szCs w:val="18"/>
          <w:lang w:val="en-US"/>
        </w:rPr>
        <w:t xml:space="preserve"> or without protection from </w:t>
      </w:r>
      <w:r>
        <w:rPr>
          <w:sz w:val="18"/>
          <w:szCs w:val="18"/>
          <w:lang w:val="en-US"/>
        </w:rPr>
        <w:t xml:space="preserve">actions of the State, specifically on the part of the National Congress, which would be left with the authority to violate individual rights and guarantees with no accountability. </w:t>
      </w:r>
    </w:p>
    <w:p w14:paraId="13B761B5" w14:textId="77777777" w:rsidR="00E6692A" w:rsidRPr="00EC6182" w:rsidRDefault="00E6692A" w:rsidP="00E6692A">
      <w:pPr>
        <w:pStyle w:val="parrafos"/>
        <w:numPr>
          <w:ilvl w:val="0"/>
          <w:numId w:val="0"/>
        </w:numPr>
        <w:ind w:left="357" w:right="357"/>
        <w:rPr>
          <w:sz w:val="18"/>
          <w:szCs w:val="18"/>
          <w:lang w:val="en-US"/>
        </w:rPr>
      </w:pPr>
      <w:r>
        <w:rPr>
          <w:sz w:val="18"/>
          <w:szCs w:val="18"/>
          <w:lang w:val="en-US"/>
        </w:rPr>
        <w:t>“</w:t>
      </w:r>
      <w:r w:rsidRPr="00EC6182">
        <w:rPr>
          <w:sz w:val="18"/>
          <w:szCs w:val="18"/>
          <w:lang w:val="en-US"/>
        </w:rPr>
        <w:t>…</w:t>
      </w:r>
      <w:r>
        <w:rPr>
          <w:sz w:val="18"/>
          <w:szCs w:val="18"/>
          <w:lang w:val="en-US"/>
        </w:rPr>
        <w:t>.</w:t>
      </w:r>
      <w:r w:rsidRPr="00EC6182">
        <w:rPr>
          <w:sz w:val="18"/>
          <w:szCs w:val="18"/>
          <w:lang w:val="en-US"/>
        </w:rPr>
        <w:t xml:space="preserve"> How is it possible that judges, who </w:t>
      </w:r>
      <w:r>
        <w:rPr>
          <w:sz w:val="18"/>
          <w:szCs w:val="18"/>
          <w:lang w:val="en-US"/>
        </w:rPr>
        <w:t xml:space="preserve">can be assumed to be </w:t>
      </w:r>
      <w:r w:rsidRPr="00EC6182">
        <w:rPr>
          <w:sz w:val="18"/>
          <w:szCs w:val="18"/>
          <w:lang w:val="en-US"/>
        </w:rPr>
        <w:t xml:space="preserve">guarantors of protection of fundamental rights, </w:t>
      </w:r>
      <w:r>
        <w:rPr>
          <w:sz w:val="18"/>
          <w:szCs w:val="18"/>
          <w:lang w:val="en-US"/>
        </w:rPr>
        <w:t>refuse to</w:t>
      </w:r>
      <w:r w:rsidRPr="00EC6182">
        <w:rPr>
          <w:sz w:val="18"/>
          <w:szCs w:val="18"/>
          <w:lang w:val="en-US"/>
        </w:rPr>
        <w:t xml:space="preserve"> review acts of authority that </w:t>
      </w:r>
      <w:r>
        <w:rPr>
          <w:sz w:val="18"/>
          <w:szCs w:val="18"/>
          <w:lang w:val="en-US"/>
        </w:rPr>
        <w:t xml:space="preserve">might be in violation of human rights? </w:t>
      </w:r>
      <w:r w:rsidRPr="00EC6182">
        <w:rPr>
          <w:sz w:val="18"/>
          <w:szCs w:val="18"/>
          <w:lang w:val="en-US"/>
        </w:rPr>
        <w:t>In their eagerness to avoid hearing the case</w:t>
      </w:r>
      <w:r>
        <w:rPr>
          <w:sz w:val="18"/>
          <w:szCs w:val="18"/>
          <w:lang w:val="en-US"/>
        </w:rPr>
        <w:t xml:space="preserve"> at hand</w:t>
      </w:r>
      <w:r w:rsidRPr="00EC6182">
        <w:rPr>
          <w:sz w:val="18"/>
          <w:szCs w:val="18"/>
          <w:lang w:val="en-US"/>
        </w:rPr>
        <w:t xml:space="preserve">, they did not even realize that the act that is the subject </w:t>
      </w:r>
      <w:r>
        <w:rPr>
          <w:sz w:val="18"/>
          <w:szCs w:val="18"/>
          <w:lang w:val="en-US"/>
        </w:rPr>
        <w:t>of the challenge was not</w:t>
      </w:r>
      <w:r w:rsidRPr="00044BBA">
        <w:rPr>
          <w:sz w:val="18"/>
          <w:szCs w:val="18"/>
          <w:lang w:val="en-US"/>
        </w:rPr>
        <w:t xml:space="preserve"> </w:t>
      </w:r>
      <w:r>
        <w:rPr>
          <w:sz w:val="18"/>
          <w:szCs w:val="18"/>
          <w:lang w:val="en-US"/>
        </w:rPr>
        <w:t xml:space="preserve">committed </w:t>
      </w:r>
      <w:r w:rsidRPr="00EC6182">
        <w:rPr>
          <w:sz w:val="18"/>
          <w:szCs w:val="18"/>
          <w:lang w:val="en-US"/>
        </w:rPr>
        <w:t>in any case</w:t>
      </w:r>
      <w:r>
        <w:rPr>
          <w:sz w:val="18"/>
          <w:szCs w:val="18"/>
          <w:lang w:val="en-US"/>
        </w:rPr>
        <w:t xml:space="preserve"> by a deputy or a group of deputies but by the National Congress as a whole.</w:t>
      </w:r>
      <w:r w:rsidRPr="00EC6182">
        <w:rPr>
          <w:sz w:val="18"/>
          <w:szCs w:val="18"/>
          <w:lang w:val="en-US"/>
        </w:rPr>
        <w:t>”</w:t>
      </w:r>
      <w:r w:rsidRPr="00DB55CD">
        <w:rPr>
          <w:rStyle w:val="Refdenotaalpie"/>
          <w:sz w:val="18"/>
          <w:szCs w:val="18"/>
        </w:rPr>
        <w:footnoteReference w:id="33"/>
      </w:r>
    </w:p>
    <w:p w14:paraId="7D2C1326" w14:textId="77777777" w:rsidR="00E6692A" w:rsidRPr="00EC6182" w:rsidRDefault="00E6692A" w:rsidP="00E6692A">
      <w:pPr>
        <w:pStyle w:val="parrafos"/>
        <w:numPr>
          <w:ilvl w:val="0"/>
          <w:numId w:val="0"/>
        </w:numPr>
        <w:rPr>
          <w:lang w:val="en-US"/>
        </w:rPr>
      </w:pPr>
    </w:p>
    <w:p w14:paraId="1EE79410" w14:textId="77777777" w:rsidR="00E6692A" w:rsidRPr="004337CC" w:rsidRDefault="00E6692A" w:rsidP="00E6692A">
      <w:pPr>
        <w:pStyle w:val="parrafos"/>
        <w:numPr>
          <w:ilvl w:val="0"/>
          <w:numId w:val="0"/>
        </w:numPr>
        <w:rPr>
          <w:lang w:val="en-US"/>
        </w:rPr>
      </w:pPr>
      <w:r w:rsidRPr="00EB58F7">
        <w:rPr>
          <w:lang w:val="en-US"/>
        </w:rPr>
        <w:t xml:space="preserve">39. In response to this situation, on February 13, 2013, the alleged victims filed an appeal for review, arguing that the Supreme Court’s rejection of the </w:t>
      </w:r>
      <w:r w:rsidRPr="00795366">
        <w:rPr>
          <w:i/>
          <w:iCs/>
          <w:lang w:val="en-US"/>
        </w:rPr>
        <w:t>amparo</w:t>
      </w:r>
      <w:r w:rsidRPr="00EB58F7">
        <w:rPr>
          <w:lang w:val="en-US"/>
        </w:rPr>
        <w:t xml:space="preserve"> appeal constituted an absolute denial of justice and resulted in a situation in which the </w:t>
      </w:r>
      <w:r>
        <w:rPr>
          <w:lang w:val="en-US"/>
        </w:rPr>
        <w:t>dismissed</w:t>
      </w:r>
      <w:r w:rsidRPr="00EB58F7">
        <w:rPr>
          <w:lang w:val="en-US"/>
        </w:rPr>
        <w:t xml:space="preserve"> justices were </w:t>
      </w:r>
      <w:r>
        <w:rPr>
          <w:lang w:val="en-US"/>
        </w:rPr>
        <w:t xml:space="preserve">left </w:t>
      </w:r>
      <w:r w:rsidRPr="00EB58F7">
        <w:rPr>
          <w:lang w:val="en-US"/>
        </w:rPr>
        <w:t>defensel</w:t>
      </w:r>
      <w:r>
        <w:rPr>
          <w:lang w:val="en-US"/>
        </w:rPr>
        <w:t>e</w:t>
      </w:r>
      <w:r w:rsidRPr="00EB58F7">
        <w:rPr>
          <w:lang w:val="en-US"/>
        </w:rPr>
        <w:t>s</w:t>
      </w:r>
      <w:r>
        <w:rPr>
          <w:lang w:val="en-US"/>
        </w:rPr>
        <w:t>s.</w:t>
      </w:r>
      <w:r w:rsidRPr="00DB55CD">
        <w:rPr>
          <w:rStyle w:val="Refdenotaalpie"/>
        </w:rPr>
        <w:footnoteReference w:id="34"/>
      </w:r>
      <w:r w:rsidRPr="00EB58F7">
        <w:rPr>
          <w:lang w:val="en-US"/>
        </w:rPr>
        <w:t xml:space="preserve"> </w:t>
      </w:r>
      <w:r w:rsidRPr="004337CC">
        <w:rPr>
          <w:lang w:val="en-US"/>
        </w:rPr>
        <w:t xml:space="preserve">Mauricio Torres </w:t>
      </w:r>
      <w:proofErr w:type="spellStart"/>
      <w:r w:rsidRPr="004337CC">
        <w:rPr>
          <w:lang w:val="en-US"/>
        </w:rPr>
        <w:t>Molinero</w:t>
      </w:r>
      <w:proofErr w:type="spellEnd"/>
      <w:r w:rsidRPr="004337CC">
        <w:rPr>
          <w:lang w:val="en-US"/>
        </w:rPr>
        <w:t xml:space="preserve"> and Rafael Virgilio Padilla Paz also filed an appeal for review of the decision rejecting the constitutional </w:t>
      </w:r>
      <w:r w:rsidRPr="00A93E93">
        <w:rPr>
          <w:i/>
          <w:iCs/>
          <w:lang w:val="en-US"/>
        </w:rPr>
        <w:t>amparo</w:t>
      </w:r>
      <w:r>
        <w:rPr>
          <w:lang w:val="en-US"/>
        </w:rPr>
        <w:t xml:space="preserve"> action.</w:t>
      </w:r>
      <w:r w:rsidRPr="00DB55CD">
        <w:rPr>
          <w:rStyle w:val="Refdenotaalpie"/>
        </w:rPr>
        <w:footnoteReference w:id="35"/>
      </w:r>
    </w:p>
    <w:p w14:paraId="3527FC03" w14:textId="77777777" w:rsidR="00E6692A" w:rsidRPr="004337CC" w:rsidRDefault="00E6692A" w:rsidP="00E6692A">
      <w:pPr>
        <w:pStyle w:val="parrafos"/>
        <w:numPr>
          <w:ilvl w:val="0"/>
          <w:numId w:val="0"/>
        </w:numPr>
        <w:rPr>
          <w:lang w:val="en-US"/>
        </w:rPr>
      </w:pPr>
    </w:p>
    <w:p w14:paraId="59FBBC88" w14:textId="77777777" w:rsidR="00E6692A" w:rsidRPr="004134FF" w:rsidRDefault="00E6692A" w:rsidP="00E6692A">
      <w:pPr>
        <w:pStyle w:val="parrafos"/>
        <w:numPr>
          <w:ilvl w:val="0"/>
          <w:numId w:val="0"/>
        </w:numPr>
        <w:rPr>
          <w:lang w:val="en-US"/>
        </w:rPr>
      </w:pPr>
      <w:r w:rsidRPr="004337CC">
        <w:rPr>
          <w:lang w:val="en-US"/>
        </w:rPr>
        <w:t>40. On February 18, 2013, the Supreme Court declared the appeal for review filed by the alleged victims to be</w:t>
      </w:r>
      <w:r>
        <w:rPr>
          <w:lang w:val="en-US"/>
        </w:rPr>
        <w:t xml:space="preserve"> inadmissible. </w:t>
      </w:r>
      <w:r w:rsidRPr="004134FF">
        <w:rPr>
          <w:lang w:val="en-US"/>
        </w:rPr>
        <w:t xml:space="preserve">It argued that: </w:t>
      </w:r>
    </w:p>
    <w:p w14:paraId="297C8526" w14:textId="77777777" w:rsidR="00E6692A" w:rsidRPr="004134FF" w:rsidRDefault="00E6692A" w:rsidP="00E6692A">
      <w:pPr>
        <w:pStyle w:val="Prrafodelista"/>
        <w:rPr>
          <w:lang w:val="en-US"/>
        </w:rPr>
      </w:pPr>
    </w:p>
    <w:p w14:paraId="290CD12E" w14:textId="77777777" w:rsidR="00E6692A" w:rsidRPr="00976A9C" w:rsidRDefault="00E6692A" w:rsidP="00E6692A">
      <w:pPr>
        <w:pStyle w:val="parrafos"/>
        <w:numPr>
          <w:ilvl w:val="0"/>
          <w:numId w:val="0"/>
        </w:numPr>
        <w:ind w:left="357" w:right="357"/>
        <w:rPr>
          <w:sz w:val="18"/>
          <w:szCs w:val="18"/>
          <w:lang w:val="en-US"/>
        </w:rPr>
      </w:pPr>
      <w:r w:rsidRPr="00976A9C">
        <w:rPr>
          <w:sz w:val="18"/>
          <w:szCs w:val="18"/>
          <w:lang w:val="en-US"/>
        </w:rPr>
        <w:t>“…</w:t>
      </w:r>
      <w:r>
        <w:rPr>
          <w:sz w:val="18"/>
          <w:szCs w:val="18"/>
          <w:lang w:val="en-US"/>
        </w:rPr>
        <w:t>.</w:t>
      </w:r>
      <w:r w:rsidRPr="00976A9C">
        <w:rPr>
          <w:sz w:val="18"/>
          <w:szCs w:val="18"/>
          <w:lang w:val="en-US"/>
        </w:rPr>
        <w:t xml:space="preserve"> in view of the principle of the immutability of judgments, Article 6 of the</w:t>
      </w:r>
      <w:r>
        <w:rPr>
          <w:sz w:val="18"/>
          <w:szCs w:val="18"/>
          <w:lang w:val="en-US"/>
        </w:rPr>
        <w:t xml:space="preserve"> </w:t>
      </w:r>
      <w:r w:rsidRPr="00976A9C">
        <w:rPr>
          <w:sz w:val="18"/>
          <w:szCs w:val="18"/>
          <w:lang w:val="en-US"/>
        </w:rPr>
        <w:t>Law on Constitutional Justice</w:t>
      </w:r>
      <w:r>
        <w:rPr>
          <w:sz w:val="18"/>
          <w:szCs w:val="18"/>
          <w:lang w:val="en-US"/>
        </w:rPr>
        <w:t xml:space="preserve"> itself</w:t>
      </w:r>
      <w:r w:rsidRPr="00976A9C">
        <w:rPr>
          <w:sz w:val="18"/>
          <w:szCs w:val="18"/>
          <w:lang w:val="en-US"/>
        </w:rPr>
        <w:t>, in its first paragraph, states: The jurisdictional bodies, in the exercise of constitutional justice, may not change or modify their judgments once they are signed</w:t>
      </w:r>
      <w:r>
        <w:rPr>
          <w:sz w:val="18"/>
          <w:szCs w:val="18"/>
          <w:lang w:val="en-US"/>
        </w:rPr>
        <w:t>,</w:t>
      </w:r>
      <w:r w:rsidRPr="00976A9C">
        <w:rPr>
          <w:sz w:val="18"/>
          <w:szCs w:val="18"/>
          <w:lang w:val="en-US"/>
        </w:rPr>
        <w:t xml:space="preserve"> but may clarify </w:t>
      </w:r>
      <w:r>
        <w:rPr>
          <w:sz w:val="18"/>
          <w:szCs w:val="18"/>
          <w:lang w:val="en-US"/>
        </w:rPr>
        <w:t>an</w:t>
      </w:r>
      <w:r w:rsidRPr="00976A9C">
        <w:rPr>
          <w:sz w:val="18"/>
          <w:szCs w:val="18"/>
          <w:lang w:val="en-US"/>
        </w:rPr>
        <w:t xml:space="preserve"> unclear concept or correct material errors.”</w:t>
      </w:r>
      <w:r w:rsidRPr="00DB55CD">
        <w:rPr>
          <w:rStyle w:val="Refdenotaalpie"/>
          <w:sz w:val="18"/>
          <w:szCs w:val="18"/>
        </w:rPr>
        <w:footnoteReference w:id="36"/>
      </w:r>
      <w:r w:rsidRPr="00976A9C">
        <w:rPr>
          <w:sz w:val="18"/>
          <w:szCs w:val="18"/>
          <w:lang w:val="en-US"/>
        </w:rPr>
        <w:t xml:space="preserve"> </w:t>
      </w:r>
    </w:p>
    <w:p w14:paraId="6BC1AB66" w14:textId="77777777" w:rsidR="00E6692A" w:rsidRPr="00976A9C" w:rsidRDefault="00E6692A" w:rsidP="00E6692A"/>
    <w:p w14:paraId="7FD95226" w14:textId="77777777" w:rsidR="00E6692A" w:rsidRPr="009F1DD3" w:rsidRDefault="00E6692A" w:rsidP="00E6692A">
      <w:pPr>
        <w:pStyle w:val="Ttulo2"/>
        <w:rPr>
          <w:lang w:val="en-US"/>
        </w:rPr>
      </w:pPr>
      <w:bookmarkStart w:id="15" w:name="_Toc65248164"/>
      <w:bookmarkStart w:id="16" w:name="_Toc69410062"/>
      <w:r w:rsidRPr="009F1DD3">
        <w:rPr>
          <w:lang w:val="en-US"/>
        </w:rPr>
        <w:t xml:space="preserve">E. Complaints </w:t>
      </w:r>
      <w:r>
        <w:rPr>
          <w:lang w:val="en-US"/>
        </w:rPr>
        <w:t>regarding</w:t>
      </w:r>
      <w:r w:rsidRPr="009F1DD3">
        <w:rPr>
          <w:lang w:val="en-US"/>
        </w:rPr>
        <w:t xml:space="preserve"> the violation of judicial independence by the legislative and executive br</w:t>
      </w:r>
      <w:r>
        <w:rPr>
          <w:lang w:val="en-US"/>
        </w:rPr>
        <w:t>anches</w:t>
      </w:r>
      <w:bookmarkEnd w:id="15"/>
      <w:bookmarkEnd w:id="16"/>
    </w:p>
    <w:p w14:paraId="4F3183CD" w14:textId="77777777" w:rsidR="00E6692A" w:rsidRPr="009F1DD3" w:rsidRDefault="00E6692A" w:rsidP="00E6692A">
      <w:pPr>
        <w:rPr>
          <w:rFonts w:asciiTheme="majorHAnsi" w:hAnsiTheme="majorHAnsi"/>
          <w:b/>
          <w:sz w:val="20"/>
          <w:szCs w:val="20"/>
        </w:rPr>
      </w:pPr>
    </w:p>
    <w:p w14:paraId="399A1D06" w14:textId="77777777" w:rsidR="00E6692A" w:rsidRPr="00B11F99" w:rsidRDefault="00E6692A" w:rsidP="00E6692A">
      <w:pPr>
        <w:pStyle w:val="parrafos"/>
        <w:numPr>
          <w:ilvl w:val="0"/>
          <w:numId w:val="0"/>
        </w:numPr>
        <w:rPr>
          <w:lang w:val="en-US"/>
        </w:rPr>
      </w:pPr>
      <w:r w:rsidRPr="00B11F99">
        <w:rPr>
          <w:lang w:val="en-US"/>
        </w:rPr>
        <w:t>41. The case file includes information regarding statements that the then</w:t>
      </w:r>
      <w:r>
        <w:rPr>
          <w:lang w:val="en-US"/>
        </w:rPr>
        <w:t>-</w:t>
      </w:r>
      <w:r w:rsidRPr="00B11F99">
        <w:rPr>
          <w:lang w:val="en-US"/>
        </w:rPr>
        <w:t>President of the Republic made against the justice</w:t>
      </w:r>
      <w:r>
        <w:rPr>
          <w:lang w:val="en-US"/>
        </w:rPr>
        <w:t>s</w:t>
      </w:r>
      <w:r w:rsidRPr="00B11F99">
        <w:rPr>
          <w:lang w:val="en-US"/>
        </w:rPr>
        <w:t xml:space="preserve"> of the Constitution</w:t>
      </w:r>
      <w:r>
        <w:rPr>
          <w:lang w:val="en-US"/>
        </w:rPr>
        <w:t xml:space="preserve">al Chamber of the Supreme Court. </w:t>
      </w:r>
      <w:r w:rsidRPr="00B11F99">
        <w:rPr>
          <w:lang w:val="en-US"/>
        </w:rPr>
        <w:t>The former leader expressed his approval of the alleged victims</w:t>
      </w:r>
      <w:r>
        <w:rPr>
          <w:lang w:val="en-US"/>
        </w:rPr>
        <w:t>’ dismissal</w:t>
      </w:r>
      <w:r w:rsidRPr="00B11F99">
        <w:rPr>
          <w:lang w:val="en-US"/>
        </w:rPr>
        <w:t>:</w:t>
      </w:r>
    </w:p>
    <w:p w14:paraId="685848F1" w14:textId="77777777" w:rsidR="00E6692A" w:rsidRPr="00B11F99" w:rsidRDefault="00E6692A" w:rsidP="00E6692A">
      <w:pPr>
        <w:pStyle w:val="parrafos"/>
        <w:numPr>
          <w:ilvl w:val="0"/>
          <w:numId w:val="0"/>
        </w:numPr>
        <w:rPr>
          <w:lang w:val="en-US"/>
        </w:rPr>
      </w:pPr>
    </w:p>
    <w:p w14:paraId="1DF3369F" w14:textId="77777777" w:rsidR="00E6692A" w:rsidRPr="00B11F99" w:rsidRDefault="00E6692A" w:rsidP="00E6692A">
      <w:pPr>
        <w:pStyle w:val="parrafos"/>
        <w:numPr>
          <w:ilvl w:val="0"/>
          <w:numId w:val="0"/>
        </w:numPr>
        <w:ind w:left="357" w:right="357"/>
        <w:rPr>
          <w:sz w:val="18"/>
          <w:szCs w:val="18"/>
          <w:lang w:val="en-US"/>
        </w:rPr>
      </w:pPr>
      <w:r w:rsidRPr="00B11F99">
        <w:rPr>
          <w:sz w:val="18"/>
          <w:szCs w:val="18"/>
          <w:lang w:val="en-US"/>
        </w:rPr>
        <w:lastRenderedPageBreak/>
        <w:t xml:space="preserve">“President Porfirio Lobo yesterday reiterated his support of the decision by the National Congress which last week </w:t>
      </w:r>
      <w:r>
        <w:rPr>
          <w:sz w:val="18"/>
          <w:szCs w:val="18"/>
          <w:lang w:val="en-US"/>
        </w:rPr>
        <w:t>dismissed</w:t>
      </w:r>
      <w:r w:rsidRPr="00B11F99">
        <w:rPr>
          <w:sz w:val="18"/>
          <w:szCs w:val="18"/>
          <w:lang w:val="en-US"/>
        </w:rPr>
        <w:t xml:space="preserve"> four of the five justices of the Constitution</w:t>
      </w:r>
      <w:r>
        <w:rPr>
          <w:sz w:val="18"/>
          <w:szCs w:val="18"/>
          <w:lang w:val="en-US"/>
        </w:rPr>
        <w:t xml:space="preserve">al Chamber of the Supreme Court of Justice. </w:t>
      </w:r>
    </w:p>
    <w:p w14:paraId="168328E9" w14:textId="77777777" w:rsidR="00E6692A" w:rsidRPr="00B11F99" w:rsidRDefault="00E6692A" w:rsidP="00E6692A">
      <w:pPr>
        <w:pStyle w:val="parrafos"/>
        <w:numPr>
          <w:ilvl w:val="0"/>
          <w:numId w:val="0"/>
        </w:numPr>
        <w:ind w:left="357" w:right="357"/>
        <w:rPr>
          <w:sz w:val="18"/>
          <w:szCs w:val="18"/>
          <w:lang w:val="en-US"/>
        </w:rPr>
      </w:pPr>
      <w:r>
        <w:rPr>
          <w:sz w:val="18"/>
          <w:szCs w:val="18"/>
          <w:lang w:val="en-US"/>
        </w:rPr>
        <w:t>“</w:t>
      </w:r>
      <w:r w:rsidRPr="00B11F99">
        <w:rPr>
          <w:sz w:val="18"/>
          <w:szCs w:val="18"/>
          <w:lang w:val="en-US"/>
        </w:rPr>
        <w:t xml:space="preserve">The head of the executive branch maintained that he is </w:t>
      </w:r>
      <w:r>
        <w:rPr>
          <w:sz w:val="18"/>
          <w:szCs w:val="18"/>
          <w:lang w:val="en-US"/>
        </w:rPr>
        <w:t>‘</w:t>
      </w:r>
      <w:r w:rsidRPr="00B11F99">
        <w:rPr>
          <w:sz w:val="18"/>
          <w:szCs w:val="18"/>
          <w:lang w:val="en-US"/>
        </w:rPr>
        <w:t>totally in agreement</w:t>
      </w:r>
      <w:r>
        <w:rPr>
          <w:sz w:val="18"/>
          <w:szCs w:val="18"/>
          <w:lang w:val="en-US"/>
        </w:rPr>
        <w:t>’</w:t>
      </w:r>
      <w:r w:rsidRPr="00B11F99">
        <w:rPr>
          <w:sz w:val="18"/>
          <w:szCs w:val="18"/>
          <w:lang w:val="en-US"/>
        </w:rPr>
        <w:t xml:space="preserve"> with the </w:t>
      </w:r>
      <w:r>
        <w:rPr>
          <w:sz w:val="18"/>
          <w:szCs w:val="18"/>
          <w:lang w:val="en-US"/>
        </w:rPr>
        <w:t>dismissal</w:t>
      </w:r>
      <w:r w:rsidRPr="00B11F99">
        <w:rPr>
          <w:sz w:val="18"/>
          <w:szCs w:val="18"/>
          <w:lang w:val="en-US"/>
        </w:rPr>
        <w:t xml:space="preserve"> of the justices, who were </w:t>
      </w:r>
      <w:r>
        <w:rPr>
          <w:sz w:val="18"/>
          <w:szCs w:val="18"/>
          <w:lang w:val="en-US"/>
        </w:rPr>
        <w:t>removed from office</w:t>
      </w:r>
      <w:r w:rsidRPr="00B11F99">
        <w:rPr>
          <w:sz w:val="18"/>
          <w:szCs w:val="18"/>
          <w:lang w:val="en-US"/>
        </w:rPr>
        <w:t xml:space="preserve"> for declaring </w:t>
      </w:r>
      <w:r w:rsidRPr="00886E40">
        <w:rPr>
          <w:sz w:val="18"/>
          <w:szCs w:val="18"/>
          <w:lang w:val="en-US"/>
        </w:rPr>
        <w:t>the Special Law to Purge the Police Force of Corruption to</w:t>
      </w:r>
      <w:r>
        <w:rPr>
          <w:sz w:val="18"/>
          <w:szCs w:val="18"/>
          <w:lang w:val="en-US"/>
        </w:rPr>
        <w:t xml:space="preserve"> be unconstitutional. </w:t>
      </w:r>
    </w:p>
    <w:p w14:paraId="40C5407F" w14:textId="77777777" w:rsidR="00E6692A" w:rsidRPr="00B11F99" w:rsidRDefault="00E6692A" w:rsidP="00E6692A">
      <w:pPr>
        <w:pStyle w:val="parrafos"/>
        <w:numPr>
          <w:ilvl w:val="0"/>
          <w:numId w:val="0"/>
        </w:numPr>
        <w:ind w:left="357" w:right="357"/>
        <w:rPr>
          <w:sz w:val="18"/>
          <w:szCs w:val="18"/>
          <w:lang w:val="en-US"/>
        </w:rPr>
      </w:pPr>
      <w:r>
        <w:rPr>
          <w:sz w:val="18"/>
          <w:szCs w:val="18"/>
          <w:lang w:val="en-US"/>
        </w:rPr>
        <w:t>“</w:t>
      </w:r>
      <w:r w:rsidRPr="00B11F99">
        <w:rPr>
          <w:sz w:val="18"/>
          <w:szCs w:val="18"/>
          <w:lang w:val="en-US"/>
        </w:rPr>
        <w:t xml:space="preserve">Lobo said that if asked if he </w:t>
      </w:r>
      <w:proofErr w:type="gramStart"/>
      <w:r w:rsidRPr="00B11F99">
        <w:rPr>
          <w:sz w:val="18"/>
          <w:szCs w:val="18"/>
          <w:lang w:val="en-US"/>
        </w:rPr>
        <w:t>is</w:t>
      </w:r>
      <w:proofErr w:type="gramEnd"/>
      <w:r w:rsidRPr="00B11F99">
        <w:rPr>
          <w:sz w:val="18"/>
          <w:szCs w:val="18"/>
          <w:lang w:val="en-US"/>
        </w:rPr>
        <w:t xml:space="preserve"> in favor of the justices’ removal, he would raise his hand and even his feet because in his opinion, the members of the Constitutional Chamber do not </w:t>
      </w:r>
      <w:r>
        <w:rPr>
          <w:sz w:val="18"/>
          <w:szCs w:val="18"/>
          <w:lang w:val="en-US"/>
        </w:rPr>
        <w:t>deserve</w:t>
      </w:r>
      <w:r w:rsidRPr="00B11F99">
        <w:rPr>
          <w:sz w:val="18"/>
          <w:szCs w:val="18"/>
          <w:lang w:val="en-US"/>
        </w:rPr>
        <w:t xml:space="preserve"> the </w:t>
      </w:r>
      <w:r>
        <w:rPr>
          <w:sz w:val="18"/>
          <w:szCs w:val="18"/>
          <w:lang w:val="en-US"/>
        </w:rPr>
        <w:t>trust</w:t>
      </w:r>
      <w:r w:rsidRPr="00B11F99">
        <w:rPr>
          <w:sz w:val="18"/>
          <w:szCs w:val="18"/>
          <w:lang w:val="en-US"/>
        </w:rPr>
        <w:t xml:space="preserve"> of the Honduran people for </w:t>
      </w:r>
      <w:r>
        <w:rPr>
          <w:sz w:val="18"/>
          <w:szCs w:val="18"/>
          <w:lang w:val="en-US"/>
        </w:rPr>
        <w:t xml:space="preserve">opposing the police purge. </w:t>
      </w:r>
    </w:p>
    <w:p w14:paraId="6A481769" w14:textId="77777777" w:rsidR="00E6692A" w:rsidRPr="00D848A4" w:rsidRDefault="00E6692A" w:rsidP="00E6692A">
      <w:pPr>
        <w:pStyle w:val="parrafos"/>
        <w:numPr>
          <w:ilvl w:val="0"/>
          <w:numId w:val="0"/>
        </w:numPr>
        <w:ind w:left="357" w:right="357"/>
        <w:rPr>
          <w:sz w:val="18"/>
          <w:szCs w:val="18"/>
          <w:lang w:val="en-US"/>
        </w:rPr>
      </w:pPr>
      <w:r w:rsidRPr="00B11F99">
        <w:rPr>
          <w:sz w:val="18"/>
          <w:szCs w:val="18"/>
          <w:lang w:val="en-US"/>
        </w:rPr>
        <w:t>“</w:t>
      </w:r>
      <w:r>
        <w:rPr>
          <w:sz w:val="18"/>
          <w:szCs w:val="18"/>
          <w:lang w:val="en-US"/>
        </w:rPr>
        <w:t>‘</w:t>
      </w:r>
      <w:r w:rsidRPr="00B11F99">
        <w:rPr>
          <w:sz w:val="18"/>
          <w:szCs w:val="18"/>
          <w:lang w:val="en-US"/>
        </w:rPr>
        <w:t xml:space="preserve">Who elects the President? The Honduran people. </w:t>
      </w:r>
      <w:r>
        <w:rPr>
          <w:sz w:val="18"/>
          <w:szCs w:val="18"/>
          <w:lang w:val="en-US"/>
        </w:rPr>
        <w:t xml:space="preserve">Who elects the deputies? The people. Who elects the Court? The deputies, and if the Court misbehaves, what does the Congress have to do? Cut them. </w:t>
      </w:r>
      <w:r w:rsidRPr="00D848A4">
        <w:rPr>
          <w:sz w:val="18"/>
          <w:szCs w:val="18"/>
          <w:lang w:val="en-US"/>
        </w:rPr>
        <w:t>What’s the problem?’ he said.”</w:t>
      </w:r>
      <w:r w:rsidRPr="00DB55CD">
        <w:rPr>
          <w:rStyle w:val="Refdenotaalpie"/>
          <w:sz w:val="18"/>
          <w:szCs w:val="18"/>
        </w:rPr>
        <w:footnoteReference w:id="37"/>
      </w:r>
    </w:p>
    <w:p w14:paraId="6AB6F7BA" w14:textId="77777777" w:rsidR="00E6692A" w:rsidRPr="00D848A4" w:rsidRDefault="00E6692A" w:rsidP="00E6692A">
      <w:pPr>
        <w:pStyle w:val="parrafos"/>
        <w:numPr>
          <w:ilvl w:val="0"/>
          <w:numId w:val="0"/>
        </w:numPr>
        <w:ind w:right="357"/>
        <w:rPr>
          <w:sz w:val="18"/>
          <w:szCs w:val="18"/>
          <w:lang w:val="en-US"/>
        </w:rPr>
      </w:pPr>
    </w:p>
    <w:p w14:paraId="084A7995" w14:textId="77777777" w:rsidR="00E6692A" w:rsidRPr="004F39FA" w:rsidRDefault="00E6692A" w:rsidP="00E6692A">
      <w:pPr>
        <w:pStyle w:val="parrafos"/>
        <w:numPr>
          <w:ilvl w:val="0"/>
          <w:numId w:val="0"/>
        </w:numPr>
        <w:rPr>
          <w:lang w:val="en-US"/>
        </w:rPr>
      </w:pPr>
      <w:r w:rsidRPr="004F39FA">
        <w:rPr>
          <w:lang w:val="en-US"/>
        </w:rPr>
        <w:t>42. Along the same lines, according to press reports, the then</w:t>
      </w:r>
      <w:r>
        <w:rPr>
          <w:lang w:val="en-US"/>
        </w:rPr>
        <w:t>-</w:t>
      </w:r>
      <w:r w:rsidRPr="004F39FA">
        <w:rPr>
          <w:lang w:val="en-US"/>
        </w:rPr>
        <w:t>President of the Congress, Juan Orlando Hernández, had told a media outlet that “he had discussed the issue of the justices</w:t>
      </w:r>
      <w:r>
        <w:rPr>
          <w:lang w:val="en-US"/>
        </w:rPr>
        <w:t xml:space="preserve">’ </w:t>
      </w:r>
      <w:r w:rsidRPr="004F39FA">
        <w:rPr>
          <w:lang w:val="en-US"/>
        </w:rPr>
        <w:t xml:space="preserve">removal with President Lobo and that they had </w:t>
      </w:r>
      <w:r>
        <w:rPr>
          <w:lang w:val="en-US"/>
        </w:rPr>
        <w:t>come to</w:t>
      </w:r>
      <w:r w:rsidRPr="004F39FA">
        <w:rPr>
          <w:lang w:val="en-US"/>
        </w:rPr>
        <w:t xml:space="preserve"> a consensus that this would be best for the country</w:t>
      </w:r>
      <w:r>
        <w:rPr>
          <w:lang w:val="en-US"/>
        </w:rPr>
        <w:t>,</w:t>
      </w:r>
      <w:r w:rsidRPr="004F39FA">
        <w:rPr>
          <w:lang w:val="en-US"/>
        </w:rPr>
        <w:t xml:space="preserve"> and that agreement had been reached with the President of the Supreme Court </w:t>
      </w:r>
      <w:r>
        <w:rPr>
          <w:lang w:val="en-US"/>
        </w:rPr>
        <w:t xml:space="preserve">of Justice </w:t>
      </w:r>
      <w:r w:rsidRPr="004F39FA">
        <w:rPr>
          <w:lang w:val="en-US"/>
        </w:rPr>
        <w:t>regarding the appointment of the new justices.”</w:t>
      </w:r>
      <w:r w:rsidRPr="00DB55CD">
        <w:rPr>
          <w:rStyle w:val="Refdenotaalpie"/>
        </w:rPr>
        <w:footnoteReference w:id="38"/>
      </w:r>
      <w:r w:rsidRPr="004F39FA">
        <w:rPr>
          <w:lang w:val="en-US"/>
        </w:rPr>
        <w:t xml:space="preserve"> </w:t>
      </w:r>
    </w:p>
    <w:p w14:paraId="2C2708E5" w14:textId="77777777" w:rsidR="00E6692A" w:rsidRPr="004F39FA" w:rsidRDefault="00E6692A" w:rsidP="00E6692A">
      <w:pPr>
        <w:pStyle w:val="parrafos"/>
        <w:numPr>
          <w:ilvl w:val="0"/>
          <w:numId w:val="0"/>
        </w:numPr>
        <w:rPr>
          <w:lang w:val="en-US"/>
        </w:rPr>
      </w:pPr>
    </w:p>
    <w:p w14:paraId="708D02C5" w14:textId="77777777" w:rsidR="00E6692A" w:rsidRPr="00D848A4" w:rsidRDefault="00E6692A" w:rsidP="00E6692A">
      <w:pPr>
        <w:pStyle w:val="parrafos"/>
        <w:numPr>
          <w:ilvl w:val="0"/>
          <w:numId w:val="0"/>
        </w:numPr>
        <w:rPr>
          <w:lang w:val="en-US"/>
        </w:rPr>
      </w:pPr>
      <w:r w:rsidRPr="004F5EFD">
        <w:rPr>
          <w:lang w:val="en-US"/>
        </w:rPr>
        <w:t xml:space="preserve">43. On January 4, 2013, the National Human Rights Commission presented a report on the State’s institutional crisis </w:t>
      </w:r>
      <w:proofErr w:type="gramStart"/>
      <w:r w:rsidRPr="004F5EFD">
        <w:rPr>
          <w:lang w:val="en-US"/>
        </w:rPr>
        <w:t>as a result of</w:t>
      </w:r>
      <w:proofErr w:type="gramEnd"/>
      <w:r w:rsidRPr="004F5EFD">
        <w:rPr>
          <w:lang w:val="en-US"/>
        </w:rPr>
        <w:t xml:space="preserve"> the replacement of the justices of the Constitutional Chamber of the Supreme Court and recommended rectification of the</w:t>
      </w:r>
      <w:r>
        <w:rPr>
          <w:lang w:val="en-US"/>
        </w:rPr>
        <w:t>ir</w:t>
      </w:r>
      <w:r w:rsidRPr="004F5EFD">
        <w:rPr>
          <w:lang w:val="en-US"/>
        </w:rPr>
        <w:t xml:space="preserve"> dismissal, which </w:t>
      </w:r>
      <w:r>
        <w:rPr>
          <w:lang w:val="en-US"/>
        </w:rPr>
        <w:t>it</w:t>
      </w:r>
      <w:r w:rsidRPr="004F5EFD">
        <w:rPr>
          <w:lang w:val="en-US"/>
        </w:rPr>
        <w:t xml:space="preserve"> considered illegal. </w:t>
      </w:r>
      <w:r w:rsidRPr="00D848A4">
        <w:rPr>
          <w:lang w:val="en-US"/>
        </w:rPr>
        <w:t>I</w:t>
      </w:r>
      <w:r>
        <w:rPr>
          <w:lang w:val="en-US"/>
        </w:rPr>
        <w:t>t stated the following</w:t>
      </w:r>
      <w:r w:rsidRPr="00D848A4">
        <w:rPr>
          <w:lang w:val="en-US"/>
        </w:rPr>
        <w:t xml:space="preserve">: </w:t>
      </w:r>
    </w:p>
    <w:p w14:paraId="6CB027A4" w14:textId="77777777" w:rsidR="00E6692A" w:rsidRPr="00D848A4" w:rsidRDefault="00E6692A" w:rsidP="00E6692A">
      <w:pPr>
        <w:pStyle w:val="parrafos"/>
        <w:numPr>
          <w:ilvl w:val="0"/>
          <w:numId w:val="0"/>
        </w:numPr>
        <w:rPr>
          <w:lang w:val="en-US"/>
        </w:rPr>
      </w:pPr>
    </w:p>
    <w:p w14:paraId="3CEDA3F5" w14:textId="77777777" w:rsidR="00E6692A" w:rsidRPr="004F5EFD" w:rsidRDefault="00E6692A" w:rsidP="00E6692A">
      <w:pPr>
        <w:pStyle w:val="parrafos"/>
        <w:numPr>
          <w:ilvl w:val="0"/>
          <w:numId w:val="0"/>
        </w:numPr>
        <w:ind w:left="357" w:right="357"/>
        <w:rPr>
          <w:sz w:val="18"/>
          <w:szCs w:val="18"/>
          <w:lang w:val="en-US"/>
        </w:rPr>
      </w:pPr>
      <w:r w:rsidRPr="004F5EFD">
        <w:rPr>
          <w:sz w:val="18"/>
          <w:szCs w:val="18"/>
          <w:lang w:val="en-US"/>
        </w:rPr>
        <w:t xml:space="preserve">“The four justices of the Supreme Court </w:t>
      </w:r>
      <w:r>
        <w:rPr>
          <w:sz w:val="18"/>
          <w:szCs w:val="18"/>
          <w:lang w:val="en-US"/>
        </w:rPr>
        <w:t xml:space="preserve">of Justice </w:t>
      </w:r>
      <w:r w:rsidRPr="004F5EFD">
        <w:rPr>
          <w:sz w:val="18"/>
          <w:szCs w:val="18"/>
          <w:lang w:val="en-US"/>
        </w:rPr>
        <w:t xml:space="preserve">were dismissed without any legal cause having been established. </w:t>
      </w:r>
    </w:p>
    <w:p w14:paraId="03B7BEB5" w14:textId="77777777" w:rsidR="00E6692A" w:rsidRPr="00574184" w:rsidRDefault="00E6692A" w:rsidP="00E6692A">
      <w:pPr>
        <w:pStyle w:val="parrafos"/>
        <w:numPr>
          <w:ilvl w:val="0"/>
          <w:numId w:val="0"/>
        </w:numPr>
        <w:ind w:left="357" w:right="357"/>
        <w:rPr>
          <w:sz w:val="18"/>
          <w:szCs w:val="18"/>
          <w:lang w:val="en-US"/>
        </w:rPr>
      </w:pPr>
      <w:r w:rsidRPr="00574184">
        <w:rPr>
          <w:sz w:val="18"/>
          <w:szCs w:val="18"/>
          <w:lang w:val="en-US"/>
        </w:rPr>
        <w:t>“The act</w:t>
      </w:r>
      <w:r>
        <w:rPr>
          <w:sz w:val="18"/>
          <w:szCs w:val="18"/>
          <w:lang w:val="en-US"/>
        </w:rPr>
        <w:t>ion</w:t>
      </w:r>
      <w:r w:rsidRPr="00574184">
        <w:rPr>
          <w:sz w:val="18"/>
          <w:szCs w:val="18"/>
          <w:lang w:val="en-US"/>
        </w:rPr>
        <w:t xml:space="preserve"> of replacement may be an incorrect way to do things, through an arbitrary, abusive, and flawed act </w:t>
      </w:r>
      <w:r>
        <w:rPr>
          <w:sz w:val="18"/>
          <w:szCs w:val="18"/>
          <w:lang w:val="en-US"/>
        </w:rPr>
        <w:t>performed by</w:t>
      </w:r>
      <w:r w:rsidRPr="00574184">
        <w:rPr>
          <w:sz w:val="18"/>
          <w:szCs w:val="18"/>
          <w:lang w:val="en-US"/>
        </w:rPr>
        <w:t xml:space="preserve"> the National Congress of the Republic, ignoring </w:t>
      </w:r>
      <w:r>
        <w:rPr>
          <w:sz w:val="18"/>
          <w:szCs w:val="18"/>
          <w:lang w:val="en-US"/>
        </w:rPr>
        <w:t xml:space="preserve">the fact </w:t>
      </w:r>
      <w:r w:rsidRPr="00574184">
        <w:rPr>
          <w:sz w:val="18"/>
          <w:szCs w:val="18"/>
          <w:lang w:val="en-US"/>
        </w:rPr>
        <w:t xml:space="preserve">that Article 314 </w:t>
      </w:r>
      <w:r>
        <w:rPr>
          <w:sz w:val="18"/>
          <w:szCs w:val="18"/>
          <w:lang w:val="en-US"/>
        </w:rPr>
        <w:t xml:space="preserve">of the Constitution of the Republic establishes that justices of the CSJ [Supreme Court] may be removed only due to death, disability that impedes the exercise of office, substitution for </w:t>
      </w:r>
      <w:r w:rsidRPr="000E1F3C">
        <w:rPr>
          <w:sz w:val="18"/>
          <w:szCs w:val="18"/>
          <w:lang w:val="en-US"/>
        </w:rPr>
        <w:t xml:space="preserve">legal </w:t>
      </w:r>
      <w:r>
        <w:rPr>
          <w:sz w:val="18"/>
          <w:szCs w:val="18"/>
          <w:lang w:val="en-US"/>
        </w:rPr>
        <w:t>reasons</w:t>
      </w:r>
      <w:r w:rsidRPr="000E1F3C">
        <w:rPr>
          <w:sz w:val="18"/>
          <w:szCs w:val="18"/>
          <w:lang w:val="en-US"/>
        </w:rPr>
        <w:t>,</w:t>
      </w:r>
      <w:r>
        <w:rPr>
          <w:sz w:val="18"/>
          <w:szCs w:val="18"/>
          <w:lang w:val="en-US"/>
        </w:rPr>
        <w:t xml:space="preserve"> or resignation. </w:t>
      </w:r>
      <w:r w:rsidRPr="00574184">
        <w:rPr>
          <w:sz w:val="18"/>
          <w:szCs w:val="18"/>
          <w:lang w:val="en-US"/>
        </w:rPr>
        <w:t xml:space="preserve">According to several legal dictionaries, </w:t>
      </w:r>
      <w:r w:rsidRPr="004873CC">
        <w:rPr>
          <w:sz w:val="18"/>
          <w:szCs w:val="18"/>
          <w:lang w:val="en-US"/>
        </w:rPr>
        <w:t>legal cause is the</w:t>
      </w:r>
      <w:r w:rsidRPr="00574184">
        <w:rPr>
          <w:sz w:val="18"/>
          <w:szCs w:val="18"/>
          <w:lang w:val="en-US"/>
        </w:rPr>
        <w:t xml:space="preserve"> </w:t>
      </w:r>
      <w:r>
        <w:rPr>
          <w:sz w:val="18"/>
          <w:szCs w:val="18"/>
          <w:lang w:val="en-US"/>
        </w:rPr>
        <w:t>‘</w:t>
      </w:r>
      <w:r w:rsidRPr="00574184">
        <w:rPr>
          <w:sz w:val="18"/>
          <w:szCs w:val="18"/>
          <w:lang w:val="en-US"/>
        </w:rPr>
        <w:t>file or proceeding</w:t>
      </w:r>
      <w:r>
        <w:rPr>
          <w:sz w:val="18"/>
          <w:szCs w:val="18"/>
          <w:lang w:val="en-US"/>
        </w:rPr>
        <w:t>s</w:t>
      </w:r>
      <w:r w:rsidRPr="00574184">
        <w:rPr>
          <w:sz w:val="18"/>
          <w:szCs w:val="18"/>
          <w:lang w:val="en-US"/>
        </w:rPr>
        <w:t xml:space="preserve"> created to investigate an act and establish the appropriate resolution.</w:t>
      </w:r>
      <w:r>
        <w:rPr>
          <w:sz w:val="18"/>
          <w:szCs w:val="18"/>
          <w:lang w:val="en-US"/>
        </w:rPr>
        <w:t xml:space="preserve">’ </w:t>
      </w:r>
      <w:r w:rsidRPr="00574184">
        <w:rPr>
          <w:sz w:val="18"/>
          <w:szCs w:val="18"/>
          <w:lang w:val="en-US"/>
        </w:rPr>
        <w:t>A</w:t>
      </w:r>
      <w:r>
        <w:rPr>
          <w:sz w:val="18"/>
          <w:szCs w:val="18"/>
          <w:lang w:val="en-US"/>
        </w:rPr>
        <w:t xml:space="preserve">nd so far, </w:t>
      </w:r>
      <w:r w:rsidRPr="00574184">
        <w:rPr>
          <w:sz w:val="18"/>
          <w:szCs w:val="18"/>
          <w:lang w:val="en-US"/>
        </w:rPr>
        <w:t xml:space="preserve">I </w:t>
      </w:r>
      <w:r>
        <w:rPr>
          <w:sz w:val="18"/>
          <w:szCs w:val="18"/>
          <w:lang w:val="en-US"/>
        </w:rPr>
        <w:t>must</w:t>
      </w:r>
      <w:r w:rsidRPr="00574184">
        <w:rPr>
          <w:sz w:val="18"/>
          <w:szCs w:val="18"/>
          <w:lang w:val="en-US"/>
        </w:rPr>
        <w:t xml:space="preserve"> and do understand that none of the four justices was subject to a legal cause that would </w:t>
      </w:r>
      <w:r>
        <w:rPr>
          <w:sz w:val="18"/>
          <w:szCs w:val="18"/>
          <w:lang w:val="en-US"/>
        </w:rPr>
        <w:t>provide grounds for</w:t>
      </w:r>
      <w:r w:rsidRPr="00574184">
        <w:rPr>
          <w:sz w:val="18"/>
          <w:szCs w:val="18"/>
          <w:lang w:val="en-US"/>
        </w:rPr>
        <w:t xml:space="preserve"> </w:t>
      </w:r>
      <w:r>
        <w:rPr>
          <w:sz w:val="18"/>
          <w:szCs w:val="18"/>
          <w:lang w:val="en-US"/>
        </w:rPr>
        <w:t xml:space="preserve">his or her replacement for legal reasons as established in Article </w:t>
      </w:r>
      <w:r w:rsidRPr="00574184">
        <w:rPr>
          <w:sz w:val="18"/>
          <w:szCs w:val="18"/>
          <w:lang w:val="en-US"/>
        </w:rPr>
        <w:t xml:space="preserve">314 </w:t>
      </w:r>
      <w:r>
        <w:rPr>
          <w:sz w:val="18"/>
          <w:szCs w:val="18"/>
          <w:lang w:val="en-US"/>
        </w:rPr>
        <w:t>of the Constitution</w:t>
      </w:r>
      <w:r w:rsidRPr="00574184">
        <w:rPr>
          <w:sz w:val="18"/>
          <w:szCs w:val="18"/>
          <w:lang w:val="en-US"/>
        </w:rPr>
        <w:t>.</w:t>
      </w:r>
    </w:p>
    <w:p w14:paraId="3B1BCAEB" w14:textId="77777777" w:rsidR="00E6692A" w:rsidRPr="009B484B" w:rsidRDefault="00E6692A" w:rsidP="00E6692A">
      <w:pPr>
        <w:pStyle w:val="parrafos"/>
        <w:numPr>
          <w:ilvl w:val="0"/>
          <w:numId w:val="0"/>
        </w:numPr>
        <w:ind w:left="357" w:right="357"/>
        <w:rPr>
          <w:lang w:val="en-US"/>
        </w:rPr>
      </w:pPr>
      <w:r w:rsidRPr="009B484B">
        <w:rPr>
          <w:sz w:val="18"/>
          <w:szCs w:val="18"/>
          <w:lang w:val="en-US"/>
        </w:rPr>
        <w:t>“The President of the Supreme Court’s acquiescence with what was approved by the National Congress in this case</w:t>
      </w:r>
      <w:r>
        <w:rPr>
          <w:sz w:val="18"/>
          <w:szCs w:val="18"/>
          <w:lang w:val="en-US"/>
        </w:rPr>
        <w:t>…</w:t>
      </w:r>
      <w:r w:rsidRPr="009B484B">
        <w:rPr>
          <w:sz w:val="18"/>
          <w:szCs w:val="18"/>
          <w:lang w:val="en-US"/>
        </w:rPr>
        <w:t>is</w:t>
      </w:r>
      <w:r>
        <w:rPr>
          <w:sz w:val="18"/>
          <w:szCs w:val="18"/>
          <w:lang w:val="en-US"/>
        </w:rPr>
        <w:t xml:space="preserve">, </w:t>
      </w:r>
      <w:r w:rsidRPr="009B484B">
        <w:rPr>
          <w:sz w:val="18"/>
          <w:szCs w:val="18"/>
          <w:lang w:val="en-US"/>
        </w:rPr>
        <w:t>ipso facto</w:t>
      </w:r>
      <w:r>
        <w:rPr>
          <w:sz w:val="18"/>
          <w:szCs w:val="18"/>
          <w:lang w:val="en-US"/>
        </w:rPr>
        <w:t>,</w:t>
      </w:r>
      <w:r w:rsidRPr="009B484B">
        <w:rPr>
          <w:sz w:val="18"/>
          <w:szCs w:val="18"/>
          <w:lang w:val="en-US"/>
        </w:rPr>
        <w:t xml:space="preserve"> an example of unconstitutional subordination which instead of resolving</w:t>
      </w:r>
      <w:r>
        <w:rPr>
          <w:sz w:val="18"/>
          <w:szCs w:val="18"/>
          <w:lang w:val="en-US"/>
        </w:rPr>
        <w:t xml:space="preserve"> </w:t>
      </w:r>
      <w:r w:rsidRPr="009B484B">
        <w:rPr>
          <w:sz w:val="18"/>
          <w:szCs w:val="18"/>
          <w:lang w:val="en-US"/>
        </w:rPr>
        <w:t>the crisis affecting the State’s institutional framework instead ends up complicating it, without resol</w:t>
      </w:r>
      <w:r>
        <w:rPr>
          <w:sz w:val="18"/>
          <w:szCs w:val="18"/>
          <w:lang w:val="en-US"/>
        </w:rPr>
        <w:t xml:space="preserve">ving what has an institutional and constitutional solution, because all actions in jurisdictional matters from now on may have the </w:t>
      </w:r>
      <w:r w:rsidRPr="00FB5B19">
        <w:rPr>
          <w:sz w:val="18"/>
          <w:szCs w:val="18"/>
          <w:lang w:val="en-US"/>
        </w:rPr>
        <w:t>taint</w:t>
      </w:r>
      <w:r>
        <w:rPr>
          <w:sz w:val="18"/>
          <w:szCs w:val="18"/>
          <w:lang w:val="en-US"/>
        </w:rPr>
        <w:t xml:space="preserve"> of</w:t>
      </w:r>
      <w:r w:rsidRPr="00FB5B19">
        <w:rPr>
          <w:sz w:val="18"/>
          <w:szCs w:val="18"/>
          <w:lang w:val="en-US"/>
        </w:rPr>
        <w:t xml:space="preserve"> invalid</w:t>
      </w:r>
      <w:r>
        <w:rPr>
          <w:sz w:val="18"/>
          <w:szCs w:val="18"/>
          <w:lang w:val="en-US"/>
        </w:rPr>
        <w:t>ity</w:t>
      </w:r>
      <w:r w:rsidRPr="00FB5B19">
        <w:rPr>
          <w:sz w:val="18"/>
          <w:szCs w:val="18"/>
          <w:lang w:val="en-US"/>
        </w:rPr>
        <w:t>.</w:t>
      </w:r>
      <w:r>
        <w:rPr>
          <w:sz w:val="18"/>
          <w:szCs w:val="18"/>
          <w:lang w:val="en-US"/>
        </w:rPr>
        <w:t xml:space="preserve"> </w:t>
      </w:r>
      <w:r w:rsidRPr="009B484B">
        <w:rPr>
          <w:sz w:val="18"/>
          <w:szCs w:val="18"/>
          <w:lang w:val="en-US"/>
        </w:rPr>
        <w:t xml:space="preserve">If the note that is circulating, </w:t>
      </w:r>
      <w:r>
        <w:rPr>
          <w:sz w:val="18"/>
          <w:szCs w:val="18"/>
          <w:lang w:val="en-US"/>
        </w:rPr>
        <w:t>signed</w:t>
      </w:r>
      <w:r w:rsidRPr="009B484B">
        <w:rPr>
          <w:sz w:val="18"/>
          <w:szCs w:val="18"/>
          <w:lang w:val="en-US"/>
        </w:rPr>
        <w:t xml:space="preserve"> by </w:t>
      </w:r>
      <w:r>
        <w:rPr>
          <w:sz w:val="18"/>
          <w:szCs w:val="18"/>
          <w:lang w:val="en-US"/>
        </w:rPr>
        <w:t>the</w:t>
      </w:r>
      <w:r w:rsidRPr="009B484B">
        <w:rPr>
          <w:sz w:val="18"/>
          <w:szCs w:val="18"/>
          <w:lang w:val="en-US"/>
        </w:rPr>
        <w:t xml:space="preserve"> Secretary of the National Congress, is genuine, asking that the </w:t>
      </w:r>
      <w:r>
        <w:rPr>
          <w:sz w:val="18"/>
          <w:szCs w:val="18"/>
          <w:lang w:val="en-US"/>
        </w:rPr>
        <w:t>replacements</w:t>
      </w:r>
      <w:r w:rsidRPr="009B484B">
        <w:rPr>
          <w:sz w:val="18"/>
          <w:szCs w:val="18"/>
          <w:lang w:val="en-US"/>
        </w:rPr>
        <w:t xml:space="preserve"> please be incorporated, </w:t>
      </w:r>
      <w:r>
        <w:rPr>
          <w:sz w:val="18"/>
          <w:szCs w:val="18"/>
          <w:lang w:val="en-US"/>
        </w:rPr>
        <w:t>this</w:t>
      </w:r>
      <w:r w:rsidRPr="009B484B">
        <w:rPr>
          <w:sz w:val="18"/>
          <w:szCs w:val="18"/>
          <w:lang w:val="en-US"/>
        </w:rPr>
        <w:t xml:space="preserve"> is yet another reason to express our disagreement with the way </w:t>
      </w:r>
      <w:r>
        <w:rPr>
          <w:sz w:val="18"/>
          <w:szCs w:val="18"/>
          <w:lang w:val="en-US"/>
        </w:rPr>
        <w:t xml:space="preserve">that relations among the branches of the </w:t>
      </w:r>
      <w:r w:rsidRPr="009B484B">
        <w:rPr>
          <w:sz w:val="18"/>
          <w:szCs w:val="18"/>
          <w:lang w:val="en-US"/>
        </w:rPr>
        <w:t>S</w:t>
      </w:r>
      <w:r>
        <w:rPr>
          <w:sz w:val="18"/>
          <w:szCs w:val="18"/>
          <w:lang w:val="en-US"/>
        </w:rPr>
        <w:t>tate are unfolding.</w:t>
      </w:r>
      <w:r w:rsidRPr="009B484B">
        <w:rPr>
          <w:sz w:val="18"/>
          <w:szCs w:val="18"/>
          <w:lang w:val="en-US"/>
        </w:rPr>
        <w:t>”</w:t>
      </w:r>
      <w:r w:rsidRPr="00DB55CD">
        <w:rPr>
          <w:rStyle w:val="Refdenotaalpie"/>
          <w:sz w:val="18"/>
          <w:szCs w:val="18"/>
        </w:rPr>
        <w:footnoteReference w:id="39"/>
      </w:r>
      <w:r w:rsidRPr="009B484B">
        <w:rPr>
          <w:lang w:val="en-US"/>
        </w:rPr>
        <w:t xml:space="preserve"> </w:t>
      </w:r>
    </w:p>
    <w:p w14:paraId="344476CF" w14:textId="77777777" w:rsidR="00E6692A" w:rsidRPr="009B484B" w:rsidRDefault="00E6692A" w:rsidP="00E6692A">
      <w:pPr>
        <w:pStyle w:val="parrafos"/>
        <w:numPr>
          <w:ilvl w:val="0"/>
          <w:numId w:val="0"/>
        </w:numPr>
        <w:ind w:right="357"/>
        <w:rPr>
          <w:lang w:val="en-US"/>
        </w:rPr>
      </w:pPr>
    </w:p>
    <w:p w14:paraId="418EAA15" w14:textId="77777777" w:rsidR="00E6692A" w:rsidRPr="00235801" w:rsidRDefault="00E6692A" w:rsidP="00E6692A">
      <w:pPr>
        <w:pStyle w:val="parrafos"/>
        <w:numPr>
          <w:ilvl w:val="0"/>
          <w:numId w:val="0"/>
        </w:numPr>
        <w:rPr>
          <w:lang w:val="en-US"/>
        </w:rPr>
      </w:pPr>
      <w:r w:rsidRPr="002A59ED">
        <w:rPr>
          <w:lang w:val="en-US"/>
        </w:rPr>
        <w:t>44. On January 3, 2013, the Inter-American Commission on Human Rights, in response to the situation involving the justices of the Constitutional Chamber of the Supreme Court</w:t>
      </w:r>
      <w:r>
        <w:rPr>
          <w:lang w:val="en-US"/>
        </w:rPr>
        <w:t xml:space="preserve"> of Honduras</w:t>
      </w:r>
      <w:r w:rsidRPr="002A59ED">
        <w:rPr>
          <w:lang w:val="en-US"/>
        </w:rPr>
        <w:t xml:space="preserve">, issued a press release stressing the importance of the principle </w:t>
      </w:r>
      <w:r w:rsidRPr="006E2126">
        <w:rPr>
          <w:lang w:val="en-US"/>
        </w:rPr>
        <w:t>of separation and independence of</w:t>
      </w:r>
      <w:r w:rsidRPr="002A59ED">
        <w:rPr>
          <w:lang w:val="en-US"/>
        </w:rPr>
        <w:t xml:space="preserve"> the branches of government as an </w:t>
      </w:r>
      <w:r>
        <w:rPr>
          <w:lang w:val="en-US"/>
        </w:rPr>
        <w:t xml:space="preserve">essential element of the rule of law. </w:t>
      </w:r>
      <w:r w:rsidRPr="00235801">
        <w:rPr>
          <w:lang w:val="en-US"/>
        </w:rPr>
        <w:t>It indicated that the grounds for disciplinary sanctions imposed on a judge should never be the legal judgment developed in a decision.</w:t>
      </w:r>
      <w:r w:rsidRPr="00DB55CD">
        <w:rPr>
          <w:rStyle w:val="Refdenotaalpie"/>
        </w:rPr>
        <w:footnoteReference w:id="40"/>
      </w:r>
      <w:r w:rsidRPr="00235801">
        <w:rPr>
          <w:lang w:val="en-US"/>
        </w:rPr>
        <w:t xml:space="preserve"> </w:t>
      </w:r>
    </w:p>
    <w:p w14:paraId="191FBB07" w14:textId="77777777" w:rsidR="00E6692A" w:rsidRPr="00235801" w:rsidRDefault="00E6692A" w:rsidP="00E6692A">
      <w:pPr>
        <w:pStyle w:val="parrafos"/>
        <w:numPr>
          <w:ilvl w:val="0"/>
          <w:numId w:val="0"/>
        </w:numPr>
        <w:rPr>
          <w:lang w:val="en-US"/>
        </w:rPr>
      </w:pPr>
    </w:p>
    <w:p w14:paraId="7156B563" w14:textId="77777777" w:rsidR="00E6692A" w:rsidRPr="00962CE5" w:rsidRDefault="00E6692A" w:rsidP="00E6692A">
      <w:pPr>
        <w:pStyle w:val="parrafos"/>
        <w:numPr>
          <w:ilvl w:val="0"/>
          <w:numId w:val="0"/>
        </w:numPr>
        <w:rPr>
          <w:lang w:val="en-US"/>
        </w:rPr>
      </w:pPr>
      <w:r w:rsidRPr="00962CE5">
        <w:rPr>
          <w:lang w:val="en-US"/>
        </w:rPr>
        <w:t xml:space="preserve">45. On January 29, 2013, the United Nations Special Rapporteur on the </w:t>
      </w:r>
      <w:r>
        <w:rPr>
          <w:lang w:val="en-US"/>
        </w:rPr>
        <w:t>independence of judges</w:t>
      </w:r>
      <w:r w:rsidRPr="00962CE5">
        <w:rPr>
          <w:lang w:val="en-US"/>
        </w:rPr>
        <w:t xml:space="preserve"> and lawyers issued a press release expressing her concern about the </w:t>
      </w:r>
      <w:r>
        <w:rPr>
          <w:lang w:val="en-US"/>
        </w:rPr>
        <w:t>dismissal</w:t>
      </w:r>
      <w:r w:rsidRPr="00962CE5">
        <w:rPr>
          <w:lang w:val="en-US"/>
        </w:rPr>
        <w:t xml:space="preserve"> of the alleged victims and stated: </w:t>
      </w:r>
    </w:p>
    <w:p w14:paraId="2679797F" w14:textId="77777777" w:rsidR="00E6692A" w:rsidRPr="00962CE5" w:rsidRDefault="00E6692A" w:rsidP="00E6692A">
      <w:pPr>
        <w:pStyle w:val="parrafos"/>
        <w:numPr>
          <w:ilvl w:val="0"/>
          <w:numId w:val="0"/>
        </w:numPr>
        <w:rPr>
          <w:lang w:val="en-US"/>
        </w:rPr>
      </w:pPr>
    </w:p>
    <w:p w14:paraId="1D36D195" w14:textId="77777777" w:rsidR="00E6692A" w:rsidRPr="00D848A4" w:rsidRDefault="00E6692A" w:rsidP="00E6692A">
      <w:pPr>
        <w:pStyle w:val="parrafos"/>
        <w:numPr>
          <w:ilvl w:val="0"/>
          <w:numId w:val="0"/>
        </w:numPr>
        <w:ind w:left="357" w:right="357"/>
        <w:rPr>
          <w:sz w:val="18"/>
          <w:szCs w:val="18"/>
          <w:lang w:val="en-US"/>
        </w:rPr>
      </w:pPr>
      <w:r w:rsidRPr="00962CE5">
        <w:rPr>
          <w:sz w:val="18"/>
          <w:szCs w:val="18"/>
          <w:lang w:val="en-US"/>
        </w:rPr>
        <w:lastRenderedPageBreak/>
        <w:t xml:space="preserve">“The National Congress of Honduras exercises considerable control over the judiciary, which is incompatible with the principle of separation of powers and the independence of the judiciary, fundamental elements of every democracy and </w:t>
      </w:r>
      <w:r>
        <w:rPr>
          <w:sz w:val="18"/>
          <w:szCs w:val="18"/>
          <w:lang w:val="en-US"/>
        </w:rPr>
        <w:t xml:space="preserve">the </w:t>
      </w:r>
      <w:r w:rsidRPr="00962CE5">
        <w:rPr>
          <w:sz w:val="18"/>
          <w:szCs w:val="18"/>
          <w:lang w:val="en-US"/>
        </w:rPr>
        <w:t xml:space="preserve">rule of </w:t>
      </w:r>
      <w:r>
        <w:rPr>
          <w:sz w:val="18"/>
          <w:szCs w:val="18"/>
          <w:lang w:val="en-US"/>
        </w:rPr>
        <w:t>law.</w:t>
      </w:r>
      <w:r w:rsidRPr="00962CE5">
        <w:rPr>
          <w:sz w:val="18"/>
          <w:szCs w:val="18"/>
          <w:lang w:val="en-US"/>
        </w:rPr>
        <w:t>”</w:t>
      </w:r>
      <w:r w:rsidRPr="00DB55CD">
        <w:rPr>
          <w:rStyle w:val="Refdenotaalpie"/>
          <w:sz w:val="18"/>
          <w:szCs w:val="18"/>
        </w:rPr>
        <w:footnoteReference w:id="41"/>
      </w:r>
    </w:p>
    <w:p w14:paraId="5B130FCD" w14:textId="77777777" w:rsidR="00E6692A" w:rsidRPr="00962CE5" w:rsidRDefault="00E6692A" w:rsidP="00E6692A">
      <w:pPr>
        <w:pStyle w:val="parrafos"/>
        <w:numPr>
          <w:ilvl w:val="0"/>
          <w:numId w:val="0"/>
        </w:numPr>
        <w:ind w:right="357"/>
        <w:rPr>
          <w:sz w:val="18"/>
          <w:szCs w:val="18"/>
          <w:lang w:val="en-US"/>
        </w:rPr>
      </w:pPr>
    </w:p>
    <w:p w14:paraId="0552210A" w14:textId="77777777" w:rsidR="00E6692A" w:rsidRPr="00962CE5" w:rsidRDefault="00E6692A" w:rsidP="00E6692A">
      <w:pPr>
        <w:pStyle w:val="Ttulo2"/>
        <w:rPr>
          <w:lang w:val="en-US"/>
        </w:rPr>
      </w:pPr>
      <w:bookmarkStart w:id="17" w:name="_Toc65248165"/>
      <w:bookmarkStart w:id="18" w:name="_Toc69410063"/>
      <w:r w:rsidRPr="00D848A4">
        <w:rPr>
          <w:lang w:val="en-US"/>
        </w:rPr>
        <w:t xml:space="preserve">F.  </w:t>
      </w:r>
      <w:r>
        <w:rPr>
          <w:lang w:val="en-US"/>
        </w:rPr>
        <w:t>Purported</w:t>
      </w:r>
      <w:r w:rsidRPr="00962CE5">
        <w:rPr>
          <w:lang w:val="en-US"/>
        </w:rPr>
        <w:t xml:space="preserve"> harassment and threats against the alleged victims</w:t>
      </w:r>
      <w:bookmarkEnd w:id="17"/>
      <w:bookmarkEnd w:id="18"/>
      <w:r w:rsidRPr="00962CE5">
        <w:rPr>
          <w:lang w:val="en-US"/>
        </w:rPr>
        <w:t xml:space="preserve"> </w:t>
      </w:r>
    </w:p>
    <w:p w14:paraId="3ACA2FE2" w14:textId="77777777" w:rsidR="00E6692A" w:rsidRPr="00962CE5" w:rsidRDefault="00E6692A" w:rsidP="00E6692A">
      <w:pPr>
        <w:pStyle w:val="parrafos"/>
        <w:numPr>
          <w:ilvl w:val="0"/>
          <w:numId w:val="0"/>
        </w:numPr>
        <w:ind w:right="357"/>
        <w:rPr>
          <w:b/>
          <w:bCs/>
          <w:lang w:val="en-US"/>
        </w:rPr>
      </w:pPr>
    </w:p>
    <w:p w14:paraId="799BD43A" w14:textId="77777777" w:rsidR="00E6692A" w:rsidRPr="00E0470E" w:rsidRDefault="00E6692A" w:rsidP="00E6692A">
      <w:pPr>
        <w:pStyle w:val="parrafos"/>
        <w:numPr>
          <w:ilvl w:val="0"/>
          <w:numId w:val="0"/>
        </w:numPr>
        <w:rPr>
          <w:lang w:val="en-US"/>
        </w:rPr>
      </w:pPr>
      <w:r w:rsidRPr="00D269B5">
        <w:rPr>
          <w:lang w:val="en-US"/>
        </w:rPr>
        <w:t xml:space="preserve">46. In December 2012, Justice Gutiérrez </w:t>
      </w:r>
      <w:proofErr w:type="spellStart"/>
      <w:r w:rsidRPr="00D269B5">
        <w:rPr>
          <w:lang w:val="en-US"/>
        </w:rPr>
        <w:t>Navas</w:t>
      </w:r>
      <w:proofErr w:type="spellEnd"/>
      <w:r w:rsidRPr="00D269B5">
        <w:rPr>
          <w:lang w:val="en-US"/>
        </w:rPr>
        <w:t xml:space="preserve"> reported that he had received a death threat by telephone after he appeared on a television program. He stated: “They called and told me that i</w:t>
      </w:r>
      <w:r>
        <w:rPr>
          <w:lang w:val="en-US"/>
        </w:rPr>
        <w:t>f</w:t>
      </w:r>
      <w:r w:rsidRPr="00D269B5">
        <w:rPr>
          <w:lang w:val="en-US"/>
        </w:rPr>
        <w:t xml:space="preserve"> I continued </w:t>
      </w:r>
      <w:r>
        <w:rPr>
          <w:lang w:val="en-US"/>
        </w:rPr>
        <w:t>down that path, my life would be in danger.</w:t>
      </w:r>
      <w:r w:rsidRPr="00D269B5">
        <w:rPr>
          <w:lang w:val="en-US"/>
        </w:rPr>
        <w:t>”</w:t>
      </w:r>
      <w:r w:rsidRPr="00DB55CD">
        <w:rPr>
          <w:rStyle w:val="Refdenotaalpie"/>
        </w:rPr>
        <w:footnoteReference w:id="42"/>
      </w:r>
      <w:r w:rsidRPr="00D269B5">
        <w:rPr>
          <w:lang w:val="en-US"/>
        </w:rPr>
        <w:t xml:space="preserve"> </w:t>
      </w:r>
      <w:r>
        <w:rPr>
          <w:lang w:val="en-US"/>
        </w:rPr>
        <w:t>Due to t</w:t>
      </w:r>
      <w:r w:rsidRPr="00E0470E">
        <w:rPr>
          <w:lang w:val="en-US"/>
        </w:rPr>
        <w:t>he fear of suffering an attack on his life and integrity and on that of his family, the alleged victim left the country fo</w:t>
      </w:r>
      <w:r>
        <w:rPr>
          <w:lang w:val="en-US"/>
        </w:rPr>
        <w:t>r a time and sought political asylum in Spain.</w:t>
      </w:r>
      <w:r w:rsidRPr="00DB55CD">
        <w:rPr>
          <w:rStyle w:val="Refdenotaalpie"/>
        </w:rPr>
        <w:footnoteReference w:id="43"/>
      </w:r>
    </w:p>
    <w:p w14:paraId="6A29C12F" w14:textId="77777777" w:rsidR="00E6692A" w:rsidRPr="00E0470E" w:rsidRDefault="00E6692A" w:rsidP="00E6692A">
      <w:pPr>
        <w:pStyle w:val="parrafos"/>
        <w:numPr>
          <w:ilvl w:val="0"/>
          <w:numId w:val="0"/>
        </w:numPr>
        <w:rPr>
          <w:lang w:val="en-US"/>
        </w:rPr>
      </w:pPr>
    </w:p>
    <w:p w14:paraId="5EE51BB0" w14:textId="77777777" w:rsidR="00E6692A" w:rsidRPr="00BE21E2" w:rsidRDefault="00E6692A" w:rsidP="00E6692A">
      <w:pPr>
        <w:pStyle w:val="parrafos"/>
        <w:numPr>
          <w:ilvl w:val="0"/>
          <w:numId w:val="0"/>
        </w:numPr>
        <w:rPr>
          <w:lang w:val="en-US"/>
        </w:rPr>
      </w:pPr>
      <w:r w:rsidRPr="00B32D5C">
        <w:rPr>
          <w:lang w:val="en-US"/>
        </w:rPr>
        <w:t>47. On October 13, 2014, while the alleged victim was working as a university professor, he received an anonymous package that contained a keepsake from the end of the novena held for the death of his father, whic</w:t>
      </w:r>
      <w:r>
        <w:rPr>
          <w:lang w:val="en-US"/>
        </w:rPr>
        <w:t xml:space="preserve">h had taken place in </w:t>
      </w:r>
      <w:r w:rsidRPr="00B32D5C">
        <w:rPr>
          <w:lang w:val="en-US"/>
        </w:rPr>
        <w:t xml:space="preserve">2012. </w:t>
      </w:r>
      <w:r w:rsidRPr="00BE21E2">
        <w:rPr>
          <w:lang w:val="en-US"/>
        </w:rPr>
        <w:t xml:space="preserve">Mr. Gutiérrez </w:t>
      </w:r>
      <w:proofErr w:type="spellStart"/>
      <w:r w:rsidRPr="00BE21E2">
        <w:rPr>
          <w:lang w:val="en-US"/>
        </w:rPr>
        <w:t>Navas</w:t>
      </w:r>
      <w:proofErr w:type="spellEnd"/>
      <w:r w:rsidRPr="00BE21E2">
        <w:rPr>
          <w:lang w:val="en-US"/>
        </w:rPr>
        <w:t xml:space="preserve"> reported the incidents to the Committee of Relatives of the </w:t>
      </w:r>
      <w:proofErr w:type="gramStart"/>
      <w:r w:rsidRPr="00BE21E2">
        <w:rPr>
          <w:lang w:val="en-US"/>
        </w:rPr>
        <w:t>Detained</w:t>
      </w:r>
      <w:r>
        <w:rPr>
          <w:lang w:val="en-US"/>
        </w:rPr>
        <w:t>–Disappeared</w:t>
      </w:r>
      <w:proofErr w:type="gramEnd"/>
      <w:r>
        <w:rPr>
          <w:lang w:val="en-US"/>
        </w:rPr>
        <w:t xml:space="preserve"> in</w:t>
      </w:r>
      <w:r w:rsidRPr="00BE21E2">
        <w:rPr>
          <w:lang w:val="en-US"/>
        </w:rPr>
        <w:t xml:space="preserve"> Honduras</w:t>
      </w:r>
      <w:r>
        <w:rPr>
          <w:lang w:val="en-US"/>
        </w:rPr>
        <w:t>.</w:t>
      </w:r>
      <w:r w:rsidRPr="00DB55CD">
        <w:rPr>
          <w:rStyle w:val="Refdenotaalpie"/>
        </w:rPr>
        <w:footnoteReference w:id="44"/>
      </w:r>
      <w:r w:rsidRPr="00BE21E2">
        <w:rPr>
          <w:lang w:val="en-US"/>
        </w:rPr>
        <w:t xml:space="preserve"> </w:t>
      </w:r>
    </w:p>
    <w:p w14:paraId="16641332" w14:textId="77777777" w:rsidR="00E6692A" w:rsidRPr="00BE21E2" w:rsidRDefault="00E6692A" w:rsidP="00E6692A">
      <w:pPr>
        <w:pStyle w:val="Prrafodelista"/>
        <w:rPr>
          <w:lang w:val="en-US"/>
        </w:rPr>
      </w:pPr>
    </w:p>
    <w:p w14:paraId="184119FE" w14:textId="77777777" w:rsidR="00E6692A" w:rsidRPr="00044F8C" w:rsidRDefault="00E6692A" w:rsidP="00E6692A">
      <w:pPr>
        <w:pStyle w:val="parrafos"/>
        <w:numPr>
          <w:ilvl w:val="0"/>
          <w:numId w:val="0"/>
        </w:numPr>
        <w:rPr>
          <w:lang w:val="en-US"/>
        </w:rPr>
      </w:pPr>
      <w:r w:rsidRPr="00CF15EC">
        <w:rPr>
          <w:lang w:val="en-US"/>
        </w:rPr>
        <w:t xml:space="preserve">48. On February 21, 2013, one of Justice Cruz </w:t>
      </w:r>
      <w:proofErr w:type="spellStart"/>
      <w:r w:rsidRPr="00CF15EC">
        <w:rPr>
          <w:lang w:val="en-US"/>
        </w:rPr>
        <w:t>Sequeira’s</w:t>
      </w:r>
      <w:proofErr w:type="spellEnd"/>
      <w:r w:rsidRPr="00CF15EC">
        <w:rPr>
          <w:lang w:val="en-US"/>
        </w:rPr>
        <w:t xml:space="preserve"> daughters was </w:t>
      </w:r>
      <w:r>
        <w:rPr>
          <w:lang w:val="en-US"/>
        </w:rPr>
        <w:t>the target of</w:t>
      </w:r>
      <w:r w:rsidRPr="00CF15EC">
        <w:rPr>
          <w:lang w:val="en-US"/>
        </w:rPr>
        <w:t xml:space="preserve"> a car chase, and later the home </w:t>
      </w:r>
      <w:r>
        <w:rPr>
          <w:lang w:val="en-US"/>
        </w:rPr>
        <w:t xml:space="preserve">of the </w:t>
      </w:r>
      <w:r w:rsidRPr="00CF15EC">
        <w:rPr>
          <w:lang w:val="en-US"/>
        </w:rPr>
        <w:t xml:space="preserve">alleged victim’s </w:t>
      </w:r>
      <w:r>
        <w:rPr>
          <w:lang w:val="en-US"/>
        </w:rPr>
        <w:t xml:space="preserve">family </w:t>
      </w:r>
      <w:r w:rsidRPr="00CF15EC">
        <w:rPr>
          <w:lang w:val="en-US"/>
        </w:rPr>
        <w:t xml:space="preserve">was surveilled at night by unidentified subjects </w:t>
      </w:r>
      <w:r>
        <w:rPr>
          <w:lang w:val="en-US"/>
        </w:rPr>
        <w:t xml:space="preserve">in a dark vehicle. </w:t>
      </w:r>
      <w:r w:rsidRPr="00044F8C">
        <w:rPr>
          <w:lang w:val="en-US"/>
        </w:rPr>
        <w:t xml:space="preserve">Mrs. Cruz </w:t>
      </w:r>
      <w:proofErr w:type="spellStart"/>
      <w:r w:rsidRPr="00044F8C">
        <w:rPr>
          <w:lang w:val="en-US"/>
        </w:rPr>
        <w:t>Sequeira</w:t>
      </w:r>
      <w:proofErr w:type="spellEnd"/>
      <w:r w:rsidRPr="00044F8C">
        <w:rPr>
          <w:lang w:val="en-US"/>
        </w:rPr>
        <w:t xml:space="preserve"> reported the incidents and requested security measures from the National Human Rights Commission, an agency that </w:t>
      </w:r>
      <w:r>
        <w:rPr>
          <w:lang w:val="en-US"/>
        </w:rPr>
        <w:t>for a time</w:t>
      </w:r>
      <w:r w:rsidRPr="00044F8C">
        <w:rPr>
          <w:lang w:val="en-US"/>
        </w:rPr>
        <w:t xml:space="preserve"> as</w:t>
      </w:r>
      <w:r>
        <w:rPr>
          <w:lang w:val="en-US"/>
        </w:rPr>
        <w:t>signed her</w:t>
      </w:r>
      <w:r w:rsidRPr="00044F8C">
        <w:rPr>
          <w:lang w:val="en-US"/>
        </w:rPr>
        <w:t xml:space="preserve"> a police officer for protection</w:t>
      </w:r>
      <w:r>
        <w:rPr>
          <w:lang w:val="en-US"/>
        </w:rPr>
        <w:t>.</w:t>
      </w:r>
      <w:r w:rsidRPr="00DB55CD">
        <w:rPr>
          <w:rStyle w:val="Refdenotaalpie"/>
        </w:rPr>
        <w:footnoteReference w:id="45"/>
      </w:r>
      <w:r w:rsidRPr="00044F8C">
        <w:rPr>
          <w:lang w:val="en-US"/>
        </w:rPr>
        <w:t xml:space="preserve">  </w:t>
      </w:r>
    </w:p>
    <w:p w14:paraId="148EDAED" w14:textId="77777777" w:rsidR="00E6692A" w:rsidRPr="00044F8C" w:rsidRDefault="00E6692A" w:rsidP="00E6692A">
      <w:pPr>
        <w:pStyle w:val="Prrafodelista"/>
        <w:rPr>
          <w:lang w:val="en-US"/>
        </w:rPr>
      </w:pPr>
    </w:p>
    <w:p w14:paraId="47716BAC" w14:textId="77777777" w:rsidR="00E6692A" w:rsidRPr="00D370C0" w:rsidRDefault="00E6692A" w:rsidP="00E6692A">
      <w:pPr>
        <w:pStyle w:val="parrafos"/>
        <w:numPr>
          <w:ilvl w:val="0"/>
          <w:numId w:val="0"/>
        </w:numPr>
        <w:rPr>
          <w:lang w:val="en-US"/>
        </w:rPr>
      </w:pPr>
      <w:r w:rsidRPr="00D370C0">
        <w:rPr>
          <w:lang w:val="en-US"/>
        </w:rPr>
        <w:t xml:space="preserve">49. The petitioners alleged that the State authorities failed to </w:t>
      </w:r>
      <w:r>
        <w:rPr>
          <w:lang w:val="en-US"/>
        </w:rPr>
        <w:t xml:space="preserve">take any </w:t>
      </w:r>
      <w:r w:rsidRPr="00656553">
        <w:rPr>
          <w:lang w:val="en-US"/>
        </w:rPr>
        <w:t>steps to investigate or afford protection</w:t>
      </w:r>
      <w:r>
        <w:rPr>
          <w:lang w:val="en-US"/>
        </w:rPr>
        <w:t xml:space="preserve"> in response to the incidents that were reported.</w:t>
      </w:r>
      <w:r w:rsidRPr="00DB55CD">
        <w:rPr>
          <w:rStyle w:val="Refdenotaalpie"/>
        </w:rPr>
        <w:footnoteReference w:id="46"/>
      </w:r>
    </w:p>
    <w:p w14:paraId="653C7A73" w14:textId="77777777" w:rsidR="00E6692A" w:rsidRPr="00D370C0" w:rsidRDefault="00E6692A" w:rsidP="00E6692A">
      <w:pPr>
        <w:pStyle w:val="parrafos"/>
        <w:numPr>
          <w:ilvl w:val="0"/>
          <w:numId w:val="0"/>
        </w:numPr>
        <w:ind w:right="357"/>
        <w:rPr>
          <w:lang w:val="en-US"/>
        </w:rPr>
      </w:pPr>
    </w:p>
    <w:p w14:paraId="5C328D3B" w14:textId="1D7981E7" w:rsidR="00E6692A" w:rsidRPr="00DB55CD" w:rsidRDefault="00E6692A" w:rsidP="00E6692A">
      <w:pPr>
        <w:pStyle w:val="Ttulo1"/>
      </w:pPr>
      <w:bookmarkStart w:id="19" w:name="_Toc69410064"/>
      <w:r>
        <w:t>IV. ANALYSIS OF LAW</w:t>
      </w:r>
      <w:bookmarkEnd w:id="19"/>
    </w:p>
    <w:p w14:paraId="1A60E927" w14:textId="77777777" w:rsidR="00E6692A" w:rsidRPr="00E6692A" w:rsidRDefault="00E6692A" w:rsidP="00E6692A">
      <w:pPr>
        <w:rPr>
          <w:rFonts w:asciiTheme="majorHAnsi" w:hAnsiTheme="majorHAnsi"/>
          <w:sz w:val="20"/>
          <w:szCs w:val="20"/>
        </w:rPr>
      </w:pPr>
    </w:p>
    <w:p w14:paraId="12DD330B" w14:textId="77777777" w:rsidR="00E6692A" w:rsidRPr="00EB29A9" w:rsidRDefault="00E6692A" w:rsidP="00E6692A">
      <w:pPr>
        <w:pStyle w:val="Ttulo2"/>
        <w:rPr>
          <w:lang w:val="en-US"/>
        </w:rPr>
      </w:pPr>
      <w:bookmarkStart w:id="20" w:name="_Toc514247647"/>
      <w:bookmarkStart w:id="21" w:name="_Toc42786701"/>
      <w:bookmarkStart w:id="22" w:name="_Toc65248167"/>
      <w:bookmarkStart w:id="23" w:name="_Toc69410065"/>
      <w:r w:rsidRPr="00EB29A9">
        <w:rPr>
          <w:lang w:val="en-US"/>
        </w:rPr>
        <w:t xml:space="preserve">A. Right to </w:t>
      </w:r>
      <w:r>
        <w:rPr>
          <w:lang w:val="en-US"/>
        </w:rPr>
        <w:t>judicial guarantees</w:t>
      </w:r>
      <w:r w:rsidRPr="00EB29A9">
        <w:rPr>
          <w:lang w:val="en-US"/>
        </w:rPr>
        <w:t>, principle of legality, principle of judicial independence and judicial protection, and political rights</w:t>
      </w:r>
      <w:bookmarkStart w:id="24" w:name="_Toc505936567"/>
      <w:bookmarkEnd w:id="20"/>
      <w:bookmarkEnd w:id="21"/>
      <w:bookmarkEnd w:id="22"/>
      <w:bookmarkEnd w:id="23"/>
      <w:r w:rsidRPr="00EB29A9">
        <w:rPr>
          <w:lang w:val="en-US"/>
        </w:rPr>
        <w:t xml:space="preserve"> </w:t>
      </w:r>
    </w:p>
    <w:p w14:paraId="4AFBF779" w14:textId="77777777" w:rsidR="00E6692A" w:rsidRPr="00EB29A9" w:rsidRDefault="00E6692A" w:rsidP="00E6692A"/>
    <w:p w14:paraId="3F51CBED" w14:textId="77777777" w:rsidR="00E6692A" w:rsidRPr="00BB7BDC" w:rsidRDefault="00E6692A" w:rsidP="00E6692A">
      <w:pPr>
        <w:pStyle w:val="Ttulo3"/>
        <w:numPr>
          <w:ilvl w:val="0"/>
          <w:numId w:val="0"/>
        </w:numPr>
      </w:pPr>
      <w:bookmarkStart w:id="25" w:name="_Toc514247648"/>
      <w:bookmarkStart w:id="26" w:name="_Toc42786702"/>
      <w:bookmarkStart w:id="27" w:name="_Toc65248168"/>
      <w:bookmarkStart w:id="28" w:name="_Toc69410066"/>
      <w:r w:rsidRPr="00BB7BDC">
        <w:t xml:space="preserve">1. General considerations </w:t>
      </w:r>
      <w:r>
        <w:t>regarding</w:t>
      </w:r>
      <w:r w:rsidRPr="00BB7BDC">
        <w:t xml:space="preserve"> applicable guarantees</w:t>
      </w:r>
      <w:bookmarkEnd w:id="24"/>
      <w:bookmarkEnd w:id="25"/>
      <w:bookmarkEnd w:id="26"/>
      <w:bookmarkEnd w:id="27"/>
      <w:bookmarkEnd w:id="28"/>
      <w:r w:rsidRPr="00BB7BDC">
        <w:t xml:space="preserve">  </w:t>
      </w:r>
    </w:p>
    <w:p w14:paraId="40091D50" w14:textId="77777777" w:rsidR="00E6692A" w:rsidRPr="00BB7BDC" w:rsidRDefault="00E6692A" w:rsidP="00E6692A">
      <w:pPr>
        <w:tabs>
          <w:tab w:val="left" w:pos="720"/>
          <w:tab w:val="left" w:pos="1440"/>
        </w:tabs>
        <w:jc w:val="both"/>
        <w:rPr>
          <w:rFonts w:asciiTheme="majorHAnsi" w:hAnsiTheme="majorHAnsi"/>
          <w:sz w:val="20"/>
          <w:szCs w:val="20"/>
          <w:lang w:eastAsia="es-ES"/>
        </w:rPr>
      </w:pPr>
    </w:p>
    <w:p w14:paraId="38B65437" w14:textId="77777777" w:rsidR="00E6692A" w:rsidRPr="00E87F38" w:rsidRDefault="00E6692A" w:rsidP="00E6692A">
      <w:pPr>
        <w:pStyle w:val="parrafos"/>
        <w:numPr>
          <w:ilvl w:val="0"/>
          <w:numId w:val="0"/>
        </w:numPr>
        <w:rPr>
          <w:lang w:val="en-US"/>
        </w:rPr>
      </w:pPr>
      <w:r w:rsidRPr="007910BB">
        <w:rPr>
          <w:lang w:val="en-US"/>
        </w:rPr>
        <w:t xml:space="preserve">50. The Commission </w:t>
      </w:r>
      <w:r>
        <w:rPr>
          <w:lang w:val="en-US"/>
        </w:rPr>
        <w:t>recalls</w:t>
      </w:r>
      <w:r w:rsidRPr="007910BB">
        <w:rPr>
          <w:lang w:val="en-US"/>
        </w:rPr>
        <w:t xml:space="preserve"> that both bodies of the inter-American</w:t>
      </w:r>
      <w:r>
        <w:rPr>
          <w:lang w:val="en-US"/>
        </w:rPr>
        <w:t xml:space="preserve"> </w:t>
      </w:r>
      <w:r w:rsidRPr="007910BB">
        <w:rPr>
          <w:lang w:val="en-US"/>
        </w:rPr>
        <w:t xml:space="preserve">system have indicated that the guarantees </w:t>
      </w:r>
      <w:r>
        <w:rPr>
          <w:lang w:val="en-US"/>
        </w:rPr>
        <w:t>set forth</w:t>
      </w:r>
      <w:r w:rsidRPr="007910BB">
        <w:rPr>
          <w:lang w:val="en-US"/>
        </w:rPr>
        <w:t xml:space="preserve"> in Article 8 o</w:t>
      </w:r>
      <w:r>
        <w:rPr>
          <w:lang w:val="en-US"/>
        </w:rPr>
        <w:t>f the American Convention are not confined to criminal proceedings but are applicable to other types of proceedings as well.</w:t>
      </w:r>
      <w:r w:rsidRPr="00DB55CD">
        <w:rPr>
          <w:vertAlign w:val="superscript"/>
        </w:rPr>
        <w:footnoteReference w:id="47"/>
      </w:r>
      <w:r w:rsidRPr="007910BB">
        <w:rPr>
          <w:lang w:val="en-US"/>
        </w:rPr>
        <w:t xml:space="preserve"> </w:t>
      </w:r>
      <w:r w:rsidRPr="000012EB">
        <w:rPr>
          <w:lang w:val="en-US"/>
        </w:rPr>
        <w:t>Specifically, both</w:t>
      </w:r>
      <w:r>
        <w:rPr>
          <w:lang w:val="en-US"/>
        </w:rPr>
        <w:t xml:space="preserve"> </w:t>
      </w:r>
      <w:r w:rsidRPr="000012EB">
        <w:rPr>
          <w:lang w:val="en-US"/>
        </w:rPr>
        <w:t xml:space="preserve">bodies have indicated that the guarantees for criminal proceedings apply </w:t>
      </w:r>
      <w:r>
        <w:rPr>
          <w:lang w:val="en-US"/>
        </w:rPr>
        <w:t>by analogy</w:t>
      </w:r>
      <w:r w:rsidRPr="004C7344">
        <w:rPr>
          <w:lang w:val="en-US"/>
        </w:rPr>
        <w:t xml:space="preserve"> </w:t>
      </w:r>
      <w:r>
        <w:rPr>
          <w:lang w:val="en-US"/>
        </w:rPr>
        <w:t xml:space="preserve">to sanctions proceedings, </w:t>
      </w:r>
      <w:r w:rsidRPr="000012EB">
        <w:rPr>
          <w:lang w:val="en-US"/>
        </w:rPr>
        <w:t>as</w:t>
      </w:r>
      <w:r>
        <w:rPr>
          <w:lang w:val="en-US"/>
        </w:rPr>
        <w:t xml:space="preserve"> </w:t>
      </w:r>
      <w:r w:rsidRPr="000012EB">
        <w:rPr>
          <w:lang w:val="en-US"/>
        </w:rPr>
        <w:t>the</w:t>
      </w:r>
      <w:r>
        <w:rPr>
          <w:lang w:val="en-US"/>
        </w:rPr>
        <w:t>se involve the</w:t>
      </w:r>
      <w:r w:rsidRPr="000012EB">
        <w:rPr>
          <w:lang w:val="en-US"/>
        </w:rPr>
        <w:t xml:space="preserve"> exercise of</w:t>
      </w:r>
      <w:r>
        <w:rPr>
          <w:lang w:val="en-US"/>
        </w:rPr>
        <w:t xml:space="preserve"> the State’s punitive power.</w:t>
      </w:r>
      <w:r w:rsidRPr="00DB55CD">
        <w:rPr>
          <w:vertAlign w:val="superscript"/>
        </w:rPr>
        <w:footnoteReference w:id="48"/>
      </w:r>
      <w:r w:rsidRPr="000012EB">
        <w:rPr>
          <w:lang w:val="en-US"/>
        </w:rPr>
        <w:t xml:space="preserve"> </w:t>
      </w:r>
      <w:r w:rsidRPr="00E87F38">
        <w:rPr>
          <w:lang w:val="en-US"/>
        </w:rPr>
        <w:t xml:space="preserve">Given that in the instant case the alleged victims were removed from office as justices of the </w:t>
      </w:r>
      <w:r w:rsidRPr="00E87F38">
        <w:rPr>
          <w:lang w:val="en-US"/>
        </w:rPr>
        <w:lastRenderedPageBreak/>
        <w:t xml:space="preserve">Constitutional Chamber of the Supreme Court, the guarantees of due process and the principle of legality are applicable, in accordance with Articles 8(1), 8(2), and 9 of the American Convention. </w:t>
      </w:r>
    </w:p>
    <w:p w14:paraId="45C986C4" w14:textId="77777777" w:rsidR="00E6692A" w:rsidRPr="00E87F38" w:rsidRDefault="00E6692A" w:rsidP="00E6692A">
      <w:pPr>
        <w:pStyle w:val="parrafos"/>
        <w:numPr>
          <w:ilvl w:val="0"/>
          <w:numId w:val="0"/>
        </w:numPr>
        <w:rPr>
          <w:lang w:val="en-US"/>
        </w:rPr>
      </w:pPr>
    </w:p>
    <w:p w14:paraId="5F43DD4D" w14:textId="77777777" w:rsidR="00E6692A" w:rsidRPr="00372A7F" w:rsidRDefault="00E6692A" w:rsidP="00E6692A">
      <w:pPr>
        <w:pStyle w:val="parrafos"/>
        <w:numPr>
          <w:ilvl w:val="0"/>
          <w:numId w:val="0"/>
        </w:numPr>
        <w:rPr>
          <w:lang w:val="en-US"/>
        </w:rPr>
      </w:pPr>
      <w:r w:rsidRPr="0094176E">
        <w:rPr>
          <w:lang w:val="en-US" w:eastAsia="es-ES"/>
        </w:rPr>
        <w:t>51. In addition, the IACHR notes that disciplinary proceedings against justice operators must be exercised in a way that is compatible with</w:t>
      </w:r>
      <w:r>
        <w:rPr>
          <w:lang w:val="en-US" w:eastAsia="es-ES"/>
        </w:rPr>
        <w:t xml:space="preserve"> the principle of judicial independence. </w:t>
      </w:r>
      <w:r w:rsidRPr="005B0E0C">
        <w:rPr>
          <w:rFonts w:ascii="Cambria" w:hAnsi="Cambria"/>
          <w:lang w:val="en-US"/>
        </w:rPr>
        <w:t>Th</w:t>
      </w:r>
      <w:r>
        <w:rPr>
          <w:rFonts w:ascii="Cambria" w:hAnsi="Cambria"/>
          <w:lang w:val="en-US"/>
        </w:rPr>
        <w:t>is</w:t>
      </w:r>
      <w:r w:rsidRPr="005B0E0C">
        <w:rPr>
          <w:lang w:val="en-US" w:eastAsia="es-ES"/>
        </w:rPr>
        <w:t xml:space="preserve"> principle is</w:t>
      </w:r>
      <w:r w:rsidRPr="005B0E0C">
        <w:rPr>
          <w:rFonts w:ascii="Cambria" w:hAnsi="Cambria"/>
          <w:lang w:val="en-US"/>
        </w:rPr>
        <w:t xml:space="preserve"> an inherent requirement of a democratic system and a fundamental prerequisite for the protection of human ri</w:t>
      </w:r>
      <w:r>
        <w:rPr>
          <w:rFonts w:ascii="Cambria" w:hAnsi="Cambria"/>
          <w:lang w:val="en-US"/>
        </w:rPr>
        <w:t>ghts.</w:t>
      </w:r>
      <w:r w:rsidRPr="00DB55CD">
        <w:rPr>
          <w:rStyle w:val="Refdenotaalpie"/>
          <w:rFonts w:ascii="Cambria" w:hAnsi="Cambria"/>
          <w:lang w:val="es-CO"/>
        </w:rPr>
        <w:footnoteReference w:id="49"/>
      </w:r>
      <w:r w:rsidRPr="005B0E0C">
        <w:rPr>
          <w:rFonts w:ascii="Cambria" w:hAnsi="Cambria"/>
          <w:lang w:val="en-US"/>
        </w:rPr>
        <w:t xml:space="preserve"> </w:t>
      </w:r>
      <w:r w:rsidRPr="00A35BC1">
        <w:rPr>
          <w:rFonts w:ascii="Cambria" w:hAnsi="Cambria"/>
          <w:lang w:val="en-US"/>
        </w:rPr>
        <w:t>Th</w:t>
      </w:r>
      <w:r>
        <w:rPr>
          <w:rFonts w:ascii="Cambria" w:hAnsi="Cambria"/>
          <w:lang w:val="en-US"/>
        </w:rPr>
        <w:t>e principle</w:t>
      </w:r>
      <w:r w:rsidRPr="00132A08">
        <w:rPr>
          <w:lang w:val="en-US" w:eastAsia="es-ES"/>
        </w:rPr>
        <w:t xml:space="preserve"> </w:t>
      </w:r>
      <w:r w:rsidRPr="005B0E0C">
        <w:rPr>
          <w:lang w:val="en-US" w:eastAsia="es-ES"/>
        </w:rPr>
        <w:t>of judicial independence</w:t>
      </w:r>
      <w:r w:rsidRPr="00A35BC1">
        <w:rPr>
          <w:rFonts w:ascii="Cambria" w:hAnsi="Cambria"/>
          <w:lang w:val="en-US"/>
        </w:rPr>
        <w:t xml:space="preserve"> is </w:t>
      </w:r>
      <w:r>
        <w:rPr>
          <w:rFonts w:ascii="Cambria" w:hAnsi="Cambria"/>
          <w:lang w:val="en-US"/>
        </w:rPr>
        <w:t>enshrined</w:t>
      </w:r>
      <w:r w:rsidRPr="00A35BC1">
        <w:rPr>
          <w:rFonts w:ascii="Cambria" w:hAnsi="Cambria"/>
          <w:lang w:val="en-US"/>
        </w:rPr>
        <w:t xml:space="preserve"> as one of the guarantees </w:t>
      </w:r>
      <w:r>
        <w:rPr>
          <w:rFonts w:ascii="Cambria" w:hAnsi="Cambria"/>
          <w:lang w:val="en-US"/>
        </w:rPr>
        <w:t xml:space="preserve">of </w:t>
      </w:r>
      <w:r w:rsidRPr="00A35BC1">
        <w:rPr>
          <w:rFonts w:ascii="Cambria" w:hAnsi="Cambria"/>
          <w:lang w:val="en-US"/>
        </w:rPr>
        <w:t xml:space="preserve">due process </w:t>
      </w:r>
      <w:r>
        <w:rPr>
          <w:rFonts w:ascii="Cambria" w:hAnsi="Cambria"/>
          <w:lang w:val="en-US"/>
        </w:rPr>
        <w:t xml:space="preserve">of law </w:t>
      </w:r>
      <w:r w:rsidRPr="00A35BC1">
        <w:rPr>
          <w:rFonts w:ascii="Cambria" w:hAnsi="Cambria"/>
          <w:lang w:val="en-US"/>
        </w:rPr>
        <w:t>protected by Article 8(1)</w:t>
      </w:r>
      <w:r>
        <w:rPr>
          <w:rFonts w:ascii="Cambria" w:hAnsi="Cambria"/>
          <w:lang w:val="en-US"/>
        </w:rPr>
        <w:t xml:space="preserve"> </w:t>
      </w:r>
      <w:r w:rsidRPr="00A35BC1">
        <w:rPr>
          <w:rFonts w:ascii="Cambria" w:hAnsi="Cambria"/>
          <w:lang w:val="en-US"/>
        </w:rPr>
        <w:t xml:space="preserve">of the American Convention and, moreover, </w:t>
      </w:r>
      <w:r>
        <w:rPr>
          <w:rFonts w:ascii="Cambria" w:hAnsi="Cambria"/>
          <w:lang w:val="en-US"/>
        </w:rPr>
        <w:t xml:space="preserve">this principle gives rise to </w:t>
      </w:r>
      <w:r w:rsidRPr="00A35BC1">
        <w:rPr>
          <w:rFonts w:ascii="Cambria" w:hAnsi="Cambria"/>
          <w:lang w:val="en-US"/>
        </w:rPr>
        <w:t>“reinforced”</w:t>
      </w:r>
      <w:r w:rsidRPr="00DB55CD">
        <w:rPr>
          <w:rStyle w:val="Refdenotaalpie"/>
          <w:rFonts w:ascii="Cambria" w:hAnsi="Cambria"/>
          <w:lang w:val="es-CO"/>
        </w:rPr>
        <w:footnoteReference w:id="50"/>
      </w:r>
      <w:r w:rsidRPr="00A35BC1">
        <w:rPr>
          <w:rFonts w:ascii="Cambria" w:hAnsi="Cambria"/>
          <w:lang w:val="en-US"/>
        </w:rPr>
        <w:t xml:space="preserve"> </w:t>
      </w:r>
      <w:r>
        <w:rPr>
          <w:rFonts w:ascii="Cambria" w:hAnsi="Cambria"/>
          <w:lang w:val="en-US"/>
        </w:rPr>
        <w:t>guarantees that States must provide judges in order to ensure their independence.</w:t>
      </w:r>
      <w:r w:rsidRPr="00DB55CD">
        <w:rPr>
          <w:rStyle w:val="Refdenotaalpie"/>
          <w:rFonts w:ascii="Cambria" w:hAnsi="Cambria"/>
          <w:lang w:val="es-CO"/>
        </w:rPr>
        <w:footnoteReference w:id="51"/>
      </w:r>
      <w:r w:rsidRPr="00A35BC1">
        <w:rPr>
          <w:rFonts w:ascii="Cambria" w:hAnsi="Cambria"/>
          <w:lang w:val="en-US"/>
        </w:rPr>
        <w:t xml:space="preserve"> </w:t>
      </w:r>
      <w:r w:rsidRPr="008048EA">
        <w:rPr>
          <w:rFonts w:ascii="Cambria" w:hAnsi="Cambria"/>
          <w:lang w:val="en-US"/>
        </w:rPr>
        <w:t xml:space="preserve">The bodies of the inter-American system have interpreted the principle of judicial independence in the sense of incorporating the following guarantees: an </w:t>
      </w:r>
      <w:r>
        <w:rPr>
          <w:rFonts w:ascii="Cambria" w:hAnsi="Cambria"/>
          <w:lang w:val="en-US"/>
        </w:rPr>
        <w:t>appropriate</w:t>
      </w:r>
      <w:r w:rsidRPr="008048EA">
        <w:rPr>
          <w:rFonts w:ascii="Cambria" w:hAnsi="Cambria"/>
          <w:lang w:val="en-US"/>
        </w:rPr>
        <w:t xml:space="preserve"> appointment process, tenure in the position, and the guarantee against external pressures.</w:t>
      </w:r>
      <w:r w:rsidRPr="00DB55CD">
        <w:rPr>
          <w:rStyle w:val="Refdenotaalpie"/>
          <w:rFonts w:ascii="Cambria" w:hAnsi="Cambria"/>
          <w:lang w:val="es-CO"/>
        </w:rPr>
        <w:footnoteReference w:id="52"/>
      </w:r>
      <w:r w:rsidRPr="008048EA">
        <w:rPr>
          <w:rFonts w:ascii="Cambria" w:hAnsi="Cambria"/>
          <w:lang w:val="en-US"/>
        </w:rPr>
        <w:t xml:space="preserve"> Specifically, as pertains to the instant case, the Court has indicated with respect to guaranteed tenure that “the scope of judicial independence results in the subjective right of judges to be dismissed exclusively for the reasons permitted, either by a proceeding that complies with judicial guarantees or because their mandate has terminated.</w:t>
      </w:r>
      <w:r w:rsidRPr="008048EA">
        <w:rPr>
          <w:rFonts w:ascii="Cambria" w:eastAsia="Times New Roman" w:hAnsi="Cambria"/>
          <w:lang w:val="en-US"/>
        </w:rPr>
        <w:t>”</w:t>
      </w:r>
      <w:r w:rsidRPr="00DB55CD">
        <w:rPr>
          <w:rStyle w:val="Refdenotaalpie"/>
          <w:rFonts w:ascii="Cambria" w:hAnsi="Cambria"/>
          <w:lang w:val="es-CO"/>
        </w:rPr>
        <w:footnoteReference w:id="53"/>
      </w:r>
      <w:r w:rsidRPr="008048EA">
        <w:rPr>
          <w:rFonts w:ascii="Cambria" w:eastAsia="Times New Roman" w:hAnsi="Cambria"/>
          <w:lang w:val="en-US"/>
        </w:rPr>
        <w:t xml:space="preserve"> </w:t>
      </w:r>
      <w:r w:rsidRPr="00372A7F">
        <w:rPr>
          <w:rFonts w:ascii="Cambria" w:eastAsia="Times New Roman" w:hAnsi="Cambria"/>
          <w:lang w:val="en-US"/>
        </w:rPr>
        <w:t>When judges’ tenure is arbitrarily impaired, “the right to judicial independence recognized in Article 8(1) of the American Convention is violated.”</w:t>
      </w:r>
      <w:r w:rsidRPr="00DB55CD">
        <w:rPr>
          <w:rStyle w:val="Refdenotaalpie"/>
          <w:rFonts w:ascii="Cambria" w:hAnsi="Cambria"/>
          <w:lang w:val="es-CO"/>
        </w:rPr>
        <w:footnoteReference w:id="54"/>
      </w:r>
      <w:r w:rsidRPr="00372A7F">
        <w:rPr>
          <w:rFonts w:ascii="Cambria" w:eastAsia="Times New Roman" w:hAnsi="Cambria"/>
          <w:lang w:val="en-US"/>
        </w:rPr>
        <w:t xml:space="preserve"> </w:t>
      </w:r>
    </w:p>
    <w:p w14:paraId="498DB37B" w14:textId="77777777" w:rsidR="00E6692A" w:rsidRPr="00372A7F" w:rsidRDefault="00E6692A" w:rsidP="00E669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sz w:val="20"/>
          <w:szCs w:val="20"/>
          <w:lang w:eastAsia="es-ES"/>
        </w:rPr>
      </w:pPr>
    </w:p>
    <w:p w14:paraId="5C2B4DB9" w14:textId="77777777" w:rsidR="00E6692A" w:rsidRPr="00D848A4" w:rsidRDefault="00E6692A" w:rsidP="00E6692A">
      <w:pPr>
        <w:pStyle w:val="Ttulo3"/>
        <w:numPr>
          <w:ilvl w:val="0"/>
          <w:numId w:val="0"/>
        </w:numPr>
        <w:jc w:val="both"/>
        <w:rPr>
          <w:szCs w:val="20"/>
        </w:rPr>
      </w:pPr>
      <w:bookmarkStart w:id="29" w:name="_Toc65248169"/>
      <w:bookmarkStart w:id="30" w:name="_Toc69410067"/>
      <w:bookmarkStart w:id="31" w:name="_Toc514247649"/>
      <w:bookmarkStart w:id="32" w:name="_Toc42786703"/>
      <w:r w:rsidRPr="00D848A4">
        <w:rPr>
          <w:szCs w:val="20"/>
        </w:rPr>
        <w:t xml:space="preserve">2. </w:t>
      </w:r>
      <w:bookmarkEnd w:id="29"/>
      <w:r>
        <w:rPr>
          <w:szCs w:val="20"/>
        </w:rPr>
        <w:t>G</w:t>
      </w:r>
      <w:r w:rsidRPr="00D848A4">
        <w:rPr>
          <w:szCs w:val="20"/>
        </w:rPr>
        <w:t>uarantee of competence</w:t>
      </w:r>
      <w:bookmarkEnd w:id="30"/>
    </w:p>
    <w:p w14:paraId="04519C76" w14:textId="77777777" w:rsidR="00E6692A" w:rsidRPr="00D848A4" w:rsidRDefault="00E6692A" w:rsidP="00E6692A">
      <w:pPr>
        <w:pStyle w:val="Ttulo3"/>
        <w:numPr>
          <w:ilvl w:val="0"/>
          <w:numId w:val="0"/>
        </w:numPr>
        <w:jc w:val="both"/>
        <w:rPr>
          <w:szCs w:val="20"/>
        </w:rPr>
      </w:pPr>
    </w:p>
    <w:p w14:paraId="49EBFDB5" w14:textId="77777777" w:rsidR="00E6692A" w:rsidRPr="00452729" w:rsidRDefault="00E6692A" w:rsidP="00E6692A">
      <w:pPr>
        <w:pStyle w:val="parrafos"/>
        <w:numPr>
          <w:ilvl w:val="0"/>
          <w:numId w:val="0"/>
        </w:numPr>
        <w:rPr>
          <w:lang w:val="en-US"/>
        </w:rPr>
      </w:pPr>
      <w:r w:rsidRPr="009D4935">
        <w:rPr>
          <w:lang w:val="en-US"/>
        </w:rPr>
        <w:t>52. Under Article 8(1) of the Convention, decisions affecting the rights of persons must be adopted by a competent authority, in accordance with domestic law.</w:t>
      </w:r>
      <w:r w:rsidRPr="00DB55CD">
        <w:rPr>
          <w:rStyle w:val="Refdenotaalpie"/>
        </w:rPr>
        <w:footnoteReference w:id="55"/>
      </w:r>
      <w:r w:rsidRPr="009D4935">
        <w:rPr>
          <w:lang w:val="en-US"/>
        </w:rPr>
        <w:t xml:space="preserve"> </w:t>
      </w:r>
      <w:r w:rsidRPr="000525C3">
        <w:rPr>
          <w:rFonts w:eastAsia="MS Mincho"/>
          <w:bCs/>
          <w:color w:val="auto"/>
          <w:bdr w:val="none" w:sz="0" w:space="0" w:color="auto"/>
          <w:lang w:val="en-US"/>
        </w:rPr>
        <w:t>Thus, “everyone shall have the right to be tried by ordinary courts or tribunals using establishe</w:t>
      </w:r>
      <w:r>
        <w:rPr>
          <w:rFonts w:eastAsia="MS Mincho"/>
          <w:bCs/>
          <w:color w:val="auto"/>
          <w:bdr w:val="none" w:sz="0" w:space="0" w:color="auto"/>
          <w:lang w:val="en-US"/>
        </w:rPr>
        <w:t xml:space="preserve">d legal procedures. </w:t>
      </w:r>
      <w:r w:rsidRPr="000525C3">
        <w:rPr>
          <w:rFonts w:eastAsia="MS Mincho"/>
          <w:bCs/>
          <w:color w:val="auto"/>
          <w:bdr w:val="none" w:sz="0" w:space="0" w:color="auto"/>
          <w:lang w:val="en-US"/>
        </w:rPr>
        <w:t>T</w:t>
      </w:r>
      <w:r w:rsidRPr="000525C3">
        <w:rPr>
          <w:rFonts w:eastAsia="MS Mincho"/>
          <w:color w:val="auto"/>
          <w:bdr w:val="none" w:sz="0" w:space="0" w:color="auto"/>
          <w:lang w:val="en-US"/>
        </w:rPr>
        <w:t>ribunals that do not use the duly established procedures of the legal process shall not be created to displace the jurisdiction belong</w:t>
      </w:r>
      <w:r>
        <w:rPr>
          <w:rFonts w:eastAsia="MS Mincho"/>
          <w:color w:val="auto"/>
          <w:bdr w:val="none" w:sz="0" w:space="0" w:color="auto"/>
          <w:lang w:val="en-US"/>
        </w:rPr>
        <w:t>ing to the ordinary courts or judicial tribunals.</w:t>
      </w:r>
      <w:r w:rsidRPr="000525C3">
        <w:rPr>
          <w:rFonts w:eastAsia="MS Mincho"/>
          <w:color w:val="auto"/>
          <w:bdr w:val="none" w:sz="0" w:space="0" w:color="auto"/>
          <w:lang w:val="en-US"/>
        </w:rPr>
        <w:t>”</w:t>
      </w:r>
      <w:r w:rsidRPr="00DB55CD">
        <w:rPr>
          <w:rFonts w:eastAsia="MS Mincho"/>
          <w:color w:val="auto"/>
          <w:bdr w:val="none" w:sz="0" w:space="0" w:color="auto"/>
          <w:vertAlign w:val="superscript"/>
          <w:lang w:val="es-UY"/>
        </w:rPr>
        <w:footnoteReference w:id="56"/>
      </w:r>
      <w:r w:rsidRPr="000525C3">
        <w:rPr>
          <w:rFonts w:eastAsia="MS Mincho"/>
          <w:color w:val="auto"/>
          <w:bdr w:val="none" w:sz="0" w:space="0" w:color="auto"/>
          <w:lang w:val="en-US"/>
        </w:rPr>
        <w:t xml:space="preserve"> </w:t>
      </w:r>
      <w:r>
        <w:rPr>
          <w:rFonts w:eastAsia="MS Mincho"/>
          <w:color w:val="auto"/>
          <w:bdr w:val="none" w:sz="0" w:space="0" w:color="auto"/>
          <w:lang w:val="en-US"/>
        </w:rPr>
        <w:t xml:space="preserve">The purpose of this is </w:t>
      </w:r>
      <w:r w:rsidRPr="00452729">
        <w:rPr>
          <w:rFonts w:eastAsia="MS Mincho"/>
          <w:color w:val="auto"/>
          <w:bdr w:val="none" w:sz="0" w:space="0" w:color="auto"/>
          <w:lang w:val="en-US"/>
        </w:rPr>
        <w:t xml:space="preserve">to </w:t>
      </w:r>
      <w:r>
        <w:rPr>
          <w:rFonts w:eastAsia="MS Mincho"/>
          <w:color w:val="auto"/>
          <w:bdr w:val="none" w:sz="0" w:space="0" w:color="auto"/>
          <w:lang w:val="en-US"/>
        </w:rPr>
        <w:t>prevent</w:t>
      </w:r>
      <w:r w:rsidRPr="00452729">
        <w:rPr>
          <w:rFonts w:eastAsia="MS Mincho"/>
          <w:color w:val="auto"/>
          <w:bdr w:val="none" w:sz="0" w:space="0" w:color="auto"/>
          <w:lang w:val="en-US"/>
        </w:rPr>
        <w:t xml:space="preserve"> </w:t>
      </w:r>
      <w:r>
        <w:rPr>
          <w:rFonts w:eastAsia="MS Mincho"/>
          <w:color w:val="auto"/>
          <w:bdr w:val="none" w:sz="0" w:space="0" w:color="auto"/>
          <w:lang w:val="en-US"/>
        </w:rPr>
        <w:t>individuals</w:t>
      </w:r>
      <w:r w:rsidRPr="00452729">
        <w:rPr>
          <w:rFonts w:eastAsia="MS Mincho"/>
          <w:color w:val="auto"/>
          <w:bdr w:val="none" w:sz="0" w:space="0" w:color="auto"/>
          <w:lang w:val="en-US"/>
        </w:rPr>
        <w:t xml:space="preserve"> </w:t>
      </w:r>
      <w:r>
        <w:rPr>
          <w:rFonts w:eastAsia="MS Mincho"/>
          <w:color w:val="auto"/>
          <w:bdr w:val="none" w:sz="0" w:space="0" w:color="auto"/>
          <w:lang w:val="en-US"/>
        </w:rPr>
        <w:t>from being</w:t>
      </w:r>
      <w:r w:rsidRPr="00452729">
        <w:rPr>
          <w:rFonts w:eastAsia="MS Mincho"/>
          <w:color w:val="auto"/>
          <w:bdr w:val="none" w:sz="0" w:space="0" w:color="auto"/>
          <w:lang w:val="en-US"/>
        </w:rPr>
        <w:t xml:space="preserve"> tried </w:t>
      </w:r>
      <w:r>
        <w:rPr>
          <w:rFonts w:eastAsia="MS Mincho"/>
          <w:color w:val="auto"/>
          <w:bdr w:val="none" w:sz="0" w:space="0" w:color="auto"/>
          <w:lang w:val="en-US"/>
        </w:rPr>
        <w:t>by special or ad hoc tribunals.</w:t>
      </w:r>
      <w:r w:rsidRPr="00DB55CD">
        <w:rPr>
          <w:rFonts w:eastAsia="MS Mincho"/>
          <w:color w:val="auto"/>
          <w:bdr w:val="none" w:sz="0" w:space="0" w:color="auto"/>
          <w:vertAlign w:val="superscript"/>
          <w:lang w:val="es-UY"/>
        </w:rPr>
        <w:footnoteReference w:id="57"/>
      </w:r>
    </w:p>
    <w:p w14:paraId="7D70F459" w14:textId="77777777" w:rsidR="00E6692A" w:rsidRPr="00452729" w:rsidRDefault="00E6692A" w:rsidP="00E6692A">
      <w:pPr>
        <w:pStyle w:val="parrafos"/>
        <w:numPr>
          <w:ilvl w:val="0"/>
          <w:numId w:val="0"/>
        </w:numPr>
        <w:rPr>
          <w:lang w:val="en-US"/>
        </w:rPr>
      </w:pPr>
    </w:p>
    <w:p w14:paraId="715AF43D" w14:textId="77777777" w:rsidR="00E6692A" w:rsidRPr="00D636CD" w:rsidRDefault="00E6692A" w:rsidP="00E6692A">
      <w:pPr>
        <w:pStyle w:val="parrafos"/>
        <w:numPr>
          <w:ilvl w:val="0"/>
          <w:numId w:val="0"/>
        </w:numPr>
        <w:rPr>
          <w:lang w:val="en-US"/>
        </w:rPr>
      </w:pPr>
      <w:r w:rsidRPr="00D636CD">
        <w:rPr>
          <w:lang w:val="en-US"/>
        </w:rPr>
        <w:t xml:space="preserve">53. In the case at hand, the Commission observes that when the </w:t>
      </w:r>
      <w:r>
        <w:rPr>
          <w:lang w:val="en-US"/>
        </w:rPr>
        <w:t>National</w:t>
      </w:r>
      <w:r w:rsidRPr="00D636CD">
        <w:rPr>
          <w:lang w:val="en-US"/>
        </w:rPr>
        <w:t xml:space="preserve"> Congress decided to </w:t>
      </w:r>
      <w:r>
        <w:rPr>
          <w:lang w:val="en-US"/>
        </w:rPr>
        <w:t>dismiss</w:t>
      </w:r>
      <w:r w:rsidRPr="00D636CD">
        <w:rPr>
          <w:lang w:val="en-US"/>
        </w:rPr>
        <w:t xml:space="preserve"> the four justices </w:t>
      </w:r>
      <w:r>
        <w:rPr>
          <w:lang w:val="en-US"/>
        </w:rPr>
        <w:t xml:space="preserve">of the </w:t>
      </w:r>
      <w:r w:rsidRPr="00D636CD">
        <w:rPr>
          <w:lang w:val="en-US"/>
        </w:rPr>
        <w:t xml:space="preserve">Constitutional </w:t>
      </w:r>
      <w:r>
        <w:rPr>
          <w:lang w:val="en-US"/>
        </w:rPr>
        <w:t>Chamber</w:t>
      </w:r>
      <w:r w:rsidRPr="00D636CD">
        <w:rPr>
          <w:lang w:val="en-US"/>
        </w:rPr>
        <w:t xml:space="preserve">, Honduras did not have any legal or constitutional provisions </w:t>
      </w:r>
      <w:r>
        <w:rPr>
          <w:lang w:val="en-US"/>
        </w:rPr>
        <w:t xml:space="preserve">in place </w:t>
      </w:r>
      <w:r w:rsidRPr="00D636CD">
        <w:rPr>
          <w:lang w:val="en-US"/>
        </w:rPr>
        <w:t xml:space="preserve">to regulate </w:t>
      </w:r>
      <w:r>
        <w:rPr>
          <w:lang w:val="en-US"/>
        </w:rPr>
        <w:t>disciplinary proceedings</w:t>
      </w:r>
      <w:r w:rsidRPr="00D636CD">
        <w:rPr>
          <w:lang w:val="en-US"/>
        </w:rPr>
        <w:t xml:space="preserve"> </w:t>
      </w:r>
      <w:r>
        <w:rPr>
          <w:lang w:val="en-US"/>
        </w:rPr>
        <w:t>against</w:t>
      </w:r>
      <w:r w:rsidRPr="00D636CD">
        <w:rPr>
          <w:lang w:val="en-US"/>
        </w:rPr>
        <w:t xml:space="preserve"> justices of the Supreme Court. </w:t>
      </w:r>
      <w:r>
        <w:rPr>
          <w:lang w:val="en-US"/>
        </w:rPr>
        <w:t>Nor is it evident from the constitutional framework that the Congress had jurisdiction to remove the members of the highest court through any type of summary proceeding</w:t>
      </w:r>
      <w:r w:rsidRPr="00D636CD">
        <w:rPr>
          <w:lang w:val="en-US"/>
        </w:rPr>
        <w:t xml:space="preserve">. </w:t>
      </w:r>
    </w:p>
    <w:p w14:paraId="4958B661" w14:textId="77777777" w:rsidR="00E6692A" w:rsidRPr="00D636CD" w:rsidRDefault="00E6692A" w:rsidP="00E6692A">
      <w:pPr>
        <w:pStyle w:val="Prrafodelista"/>
        <w:rPr>
          <w:lang w:val="en-US"/>
        </w:rPr>
      </w:pPr>
    </w:p>
    <w:p w14:paraId="6B598891" w14:textId="77777777" w:rsidR="00E6692A" w:rsidRPr="001164D3" w:rsidRDefault="00E6692A" w:rsidP="00E6692A">
      <w:pPr>
        <w:pStyle w:val="parrafos"/>
        <w:numPr>
          <w:ilvl w:val="0"/>
          <w:numId w:val="0"/>
        </w:numPr>
        <w:rPr>
          <w:lang w:val="en-US"/>
        </w:rPr>
      </w:pPr>
      <w:r w:rsidRPr="00A60025">
        <w:rPr>
          <w:lang w:val="en-US"/>
        </w:rPr>
        <w:lastRenderedPageBreak/>
        <w:t xml:space="preserve">54. </w:t>
      </w:r>
      <w:r>
        <w:rPr>
          <w:lang w:val="en-US"/>
        </w:rPr>
        <w:t>The Commission notes</w:t>
      </w:r>
      <w:r w:rsidRPr="00A60025">
        <w:rPr>
          <w:lang w:val="en-US"/>
        </w:rPr>
        <w:t xml:space="preserve"> that the provisions contained in Article 205, paragraphs 20 and 21, of the Constitution, which determine that the National Congress has the power to “approve or disapprove the administrative conduct…of the judicial branch” and to “appoint special committees to investigate matters of national </w:t>
      </w:r>
      <w:r w:rsidRPr="00191D78">
        <w:rPr>
          <w:lang w:val="en-US"/>
        </w:rPr>
        <w:t>interest,” do not comply with the terms established for regular disciplinary proceedings, previously established by law, pursued against justices of the Supreme Court. Moreover, the reference to “administrative conduct” does not imply that the National Congress has competence to judge justices based on their decisions. Consequently, these cannot serve as the justification</w:t>
      </w:r>
      <w:r w:rsidRPr="000D029A">
        <w:rPr>
          <w:lang w:val="en-US"/>
        </w:rPr>
        <w:t xml:space="preserve"> or basis for the summary decisions to remove justices who were properly appointed to their positions. </w:t>
      </w:r>
    </w:p>
    <w:p w14:paraId="64D92101" w14:textId="77777777" w:rsidR="00E6692A" w:rsidRPr="000D029A" w:rsidRDefault="00E6692A" w:rsidP="00E6692A">
      <w:pPr>
        <w:pStyle w:val="Prrafodelista"/>
        <w:rPr>
          <w:lang w:val="en-US"/>
        </w:rPr>
      </w:pPr>
    </w:p>
    <w:p w14:paraId="78D406CA" w14:textId="77777777" w:rsidR="00E6692A" w:rsidRDefault="00E6692A" w:rsidP="00E6692A">
      <w:pPr>
        <w:pStyle w:val="parrafos"/>
        <w:numPr>
          <w:ilvl w:val="0"/>
          <w:numId w:val="0"/>
        </w:numPr>
        <w:rPr>
          <w:lang w:val="en-US"/>
        </w:rPr>
      </w:pPr>
      <w:r w:rsidRPr="00D848A4">
        <w:rPr>
          <w:lang w:val="en-US"/>
        </w:rPr>
        <w:t xml:space="preserve">55. In this regard, the Commission considers that the legal framework in existence at that time lacked provisions that would govern the </w:t>
      </w:r>
      <w:r>
        <w:rPr>
          <w:lang w:val="en-US"/>
        </w:rPr>
        <w:t>jurisdiction</w:t>
      </w:r>
      <w:r w:rsidRPr="00D848A4">
        <w:rPr>
          <w:lang w:val="en-US"/>
        </w:rPr>
        <w:t xml:space="preserve"> of an authority and the </w:t>
      </w:r>
      <w:r>
        <w:rPr>
          <w:lang w:val="en-US"/>
        </w:rPr>
        <w:t>sanctions</w:t>
      </w:r>
      <w:r w:rsidRPr="00D848A4">
        <w:rPr>
          <w:lang w:val="en-US"/>
        </w:rPr>
        <w:t xml:space="preserve"> </w:t>
      </w:r>
      <w:r>
        <w:rPr>
          <w:lang w:val="en-US"/>
        </w:rPr>
        <w:t>proceedings</w:t>
      </w:r>
      <w:r w:rsidRPr="001164D3">
        <w:rPr>
          <w:lang w:val="en-US"/>
        </w:rPr>
        <w:t xml:space="preserve"> </w:t>
      </w:r>
      <w:r w:rsidRPr="00D848A4">
        <w:rPr>
          <w:lang w:val="en-US"/>
        </w:rPr>
        <w:t>of a political nature to which the four justices of the Con</w:t>
      </w:r>
      <w:r>
        <w:rPr>
          <w:lang w:val="en-US"/>
        </w:rPr>
        <w:t xml:space="preserve">stitutional Chamber were subjected. </w:t>
      </w:r>
      <w:r w:rsidRPr="00D848A4">
        <w:rPr>
          <w:lang w:val="en-US"/>
        </w:rPr>
        <w:t xml:space="preserve">The text of the Constitution granted </w:t>
      </w:r>
      <w:r>
        <w:rPr>
          <w:lang w:val="en-US"/>
        </w:rPr>
        <w:t xml:space="preserve">the Honduran </w:t>
      </w:r>
      <w:r w:rsidRPr="00D848A4">
        <w:rPr>
          <w:lang w:val="en-US"/>
        </w:rPr>
        <w:t xml:space="preserve">Congress competence to elect Supreme Court justices and to approve or disapprove of their administrative conduct but did not grant </w:t>
      </w:r>
      <w:r>
        <w:rPr>
          <w:lang w:val="en-US"/>
        </w:rPr>
        <w:t>the Congress</w:t>
      </w:r>
      <w:r w:rsidRPr="00D848A4">
        <w:rPr>
          <w:lang w:val="en-US"/>
        </w:rPr>
        <w:t xml:space="preserve"> competence to </w:t>
      </w:r>
      <w:r>
        <w:rPr>
          <w:lang w:val="en-US"/>
        </w:rPr>
        <w:t>remove them from office or to establish itself as the deciding body in an impeachment proceeding against them</w:t>
      </w:r>
      <w:r w:rsidRPr="00D848A4">
        <w:rPr>
          <w:bdr w:val="none" w:sz="0" w:space="0" w:color="auto"/>
          <w:lang w:val="en-US"/>
        </w:rPr>
        <w:t>. In other words, as the Congress was not a competent authority to decide on the alleged victims</w:t>
      </w:r>
      <w:r>
        <w:rPr>
          <w:bdr w:val="none" w:sz="0" w:space="0" w:color="auto"/>
          <w:lang w:val="en-US"/>
        </w:rPr>
        <w:t>’</w:t>
      </w:r>
      <w:r w:rsidRPr="00D848A4">
        <w:rPr>
          <w:bdr w:val="none" w:sz="0" w:space="0" w:color="auto"/>
          <w:lang w:val="en-US"/>
        </w:rPr>
        <w:t xml:space="preserve"> dismissal</w:t>
      </w:r>
      <w:r w:rsidRPr="000A2F23">
        <w:rPr>
          <w:bdr w:val="none" w:sz="0" w:space="0" w:color="auto"/>
          <w:lang w:val="en-US"/>
        </w:rPr>
        <w:t xml:space="preserve">, </w:t>
      </w:r>
      <w:r>
        <w:rPr>
          <w:bdr w:val="none" w:sz="0" w:space="0" w:color="auto"/>
          <w:lang w:val="en-US"/>
        </w:rPr>
        <w:t>in effect</w:t>
      </w:r>
      <w:r w:rsidRPr="000A2F23">
        <w:rPr>
          <w:bdr w:val="none" w:sz="0" w:space="0" w:color="auto"/>
          <w:lang w:val="en-US"/>
        </w:rPr>
        <w:t xml:space="preserve"> it</w:t>
      </w:r>
      <w:r w:rsidRPr="00D848A4">
        <w:rPr>
          <w:bdr w:val="none" w:sz="0" w:space="0" w:color="auto"/>
          <w:lang w:val="en-US"/>
        </w:rPr>
        <w:t xml:space="preserve"> created an ad hoc mechanism used to </w:t>
      </w:r>
      <w:r>
        <w:rPr>
          <w:bdr w:val="none" w:sz="0" w:space="0" w:color="auto"/>
          <w:lang w:val="en-US"/>
        </w:rPr>
        <w:t>remove</w:t>
      </w:r>
      <w:r w:rsidRPr="00D848A4">
        <w:rPr>
          <w:bdr w:val="none" w:sz="0" w:space="0" w:color="auto"/>
          <w:lang w:val="en-US"/>
        </w:rPr>
        <w:t xml:space="preserve"> th</w:t>
      </w:r>
      <w:r>
        <w:rPr>
          <w:bdr w:val="none" w:sz="0" w:space="0" w:color="auto"/>
          <w:lang w:val="en-US"/>
        </w:rPr>
        <w:t>em from office.</w:t>
      </w:r>
      <w:r>
        <w:rPr>
          <w:lang w:val="en-US"/>
        </w:rPr>
        <w:t xml:space="preserve"> </w:t>
      </w:r>
    </w:p>
    <w:p w14:paraId="79157501" w14:textId="77777777" w:rsidR="00E6692A" w:rsidRPr="00D848A4" w:rsidRDefault="00E6692A" w:rsidP="00E6692A">
      <w:pPr>
        <w:pStyle w:val="parrafos"/>
        <w:numPr>
          <w:ilvl w:val="0"/>
          <w:numId w:val="0"/>
        </w:numPr>
        <w:rPr>
          <w:lang w:val="en-US"/>
        </w:rPr>
      </w:pPr>
    </w:p>
    <w:p w14:paraId="4736B0DB" w14:textId="77777777" w:rsidR="00E6692A" w:rsidRPr="003F6A8B" w:rsidRDefault="00E6692A" w:rsidP="00E6692A">
      <w:pPr>
        <w:pStyle w:val="parrafos"/>
        <w:numPr>
          <w:ilvl w:val="0"/>
          <w:numId w:val="0"/>
        </w:numPr>
        <w:rPr>
          <w:lang w:val="en-US"/>
        </w:rPr>
      </w:pPr>
      <w:r w:rsidRPr="00836133">
        <w:rPr>
          <w:lang w:val="en-US"/>
        </w:rPr>
        <w:t xml:space="preserve">56. In addition, the Commission </w:t>
      </w:r>
      <w:proofErr w:type="gramStart"/>
      <w:r w:rsidRPr="00836133">
        <w:rPr>
          <w:lang w:val="en-US"/>
        </w:rPr>
        <w:t>takes into account</w:t>
      </w:r>
      <w:proofErr w:type="gramEnd"/>
      <w:r w:rsidRPr="00836133">
        <w:rPr>
          <w:lang w:val="en-US"/>
        </w:rPr>
        <w:t xml:space="preserve"> that only in January 2013 did the </w:t>
      </w:r>
      <w:r>
        <w:rPr>
          <w:lang w:val="en-US"/>
        </w:rPr>
        <w:t xml:space="preserve">Honduran </w:t>
      </w:r>
      <w:r w:rsidRPr="00836133">
        <w:rPr>
          <w:lang w:val="en-US"/>
        </w:rPr>
        <w:t xml:space="preserve">Congress </w:t>
      </w:r>
      <w:r>
        <w:rPr>
          <w:lang w:val="en-US"/>
        </w:rPr>
        <w:t>amend</w:t>
      </w:r>
      <w:r w:rsidRPr="00836133">
        <w:rPr>
          <w:lang w:val="en-US"/>
        </w:rPr>
        <w:t xml:space="preserve"> Article 234 of the Constitution</w:t>
      </w:r>
      <w:r>
        <w:rPr>
          <w:lang w:val="en-US"/>
        </w:rPr>
        <w:t xml:space="preserve"> to include</w:t>
      </w:r>
      <w:r w:rsidRPr="00836133">
        <w:rPr>
          <w:lang w:val="en-US"/>
        </w:rPr>
        <w:t xml:space="preserve"> Supreme Court</w:t>
      </w:r>
      <w:r>
        <w:rPr>
          <w:lang w:val="en-US"/>
        </w:rPr>
        <w:t xml:space="preserve"> </w:t>
      </w:r>
      <w:r w:rsidRPr="00836133">
        <w:rPr>
          <w:lang w:val="en-US"/>
        </w:rPr>
        <w:t xml:space="preserve">justices </w:t>
      </w:r>
      <w:r>
        <w:rPr>
          <w:lang w:val="en-US"/>
        </w:rPr>
        <w:t xml:space="preserve">on the list of authorities who could be investigated and prosecuted through an impeachment proceeding carried out by the Congress. </w:t>
      </w:r>
      <w:r w:rsidRPr="00836133">
        <w:rPr>
          <w:lang w:val="en-US"/>
        </w:rPr>
        <w:t xml:space="preserve">In this regard, the Special Impeachment Law was approved on April 5, 2013, </w:t>
      </w:r>
      <w:r>
        <w:rPr>
          <w:lang w:val="en-US"/>
        </w:rPr>
        <w:t xml:space="preserve">through Decree No. 51-2013, </w:t>
      </w:r>
      <w:r w:rsidRPr="00836133">
        <w:rPr>
          <w:lang w:val="en-US"/>
        </w:rPr>
        <w:t xml:space="preserve">and published in Official Gazette No. 33093 </w:t>
      </w:r>
      <w:r>
        <w:rPr>
          <w:lang w:val="en-US"/>
        </w:rPr>
        <w:t xml:space="preserve">of April </w:t>
      </w:r>
      <w:r w:rsidRPr="00836133">
        <w:rPr>
          <w:lang w:val="en-US"/>
        </w:rPr>
        <w:t>8</w:t>
      </w:r>
      <w:r>
        <w:rPr>
          <w:lang w:val="en-US"/>
        </w:rPr>
        <w:t xml:space="preserve">, </w:t>
      </w:r>
      <w:r w:rsidRPr="00836133">
        <w:rPr>
          <w:lang w:val="en-US"/>
        </w:rPr>
        <w:t xml:space="preserve">2013. </w:t>
      </w:r>
      <w:r w:rsidRPr="003F6A8B">
        <w:rPr>
          <w:lang w:val="en-US"/>
        </w:rPr>
        <w:t xml:space="preserve">That legal provision, which was adopted </w:t>
      </w:r>
      <w:proofErr w:type="gramStart"/>
      <w:r w:rsidRPr="003F6A8B">
        <w:rPr>
          <w:lang w:val="en-US"/>
        </w:rPr>
        <w:t>subsequent to</w:t>
      </w:r>
      <w:proofErr w:type="gramEnd"/>
      <w:r w:rsidRPr="003F6A8B">
        <w:rPr>
          <w:lang w:val="en-US"/>
        </w:rPr>
        <w:t xml:space="preserve"> the </w:t>
      </w:r>
      <w:r>
        <w:rPr>
          <w:lang w:val="en-US"/>
        </w:rPr>
        <w:t>events</w:t>
      </w:r>
      <w:r w:rsidRPr="003F6A8B">
        <w:rPr>
          <w:lang w:val="en-US"/>
        </w:rPr>
        <w:t xml:space="preserve"> that are the subject of this petition, establishes an impeachment proceeding against high</w:t>
      </w:r>
      <w:r>
        <w:rPr>
          <w:lang w:val="en-US"/>
        </w:rPr>
        <w:t xml:space="preserve">-level State authorities and regulates its various procedural stages. </w:t>
      </w:r>
    </w:p>
    <w:p w14:paraId="182BA764" w14:textId="77777777" w:rsidR="00E6692A" w:rsidRPr="003F6A8B" w:rsidRDefault="00E6692A" w:rsidP="00E6692A">
      <w:pPr>
        <w:pStyle w:val="Prrafodelista"/>
        <w:rPr>
          <w:lang w:val="en-US"/>
        </w:rPr>
      </w:pPr>
    </w:p>
    <w:p w14:paraId="5DC15508" w14:textId="77777777" w:rsidR="00E6692A" w:rsidRPr="002310E4" w:rsidRDefault="00E6692A" w:rsidP="00E6692A">
      <w:pPr>
        <w:pStyle w:val="parrafos"/>
        <w:numPr>
          <w:ilvl w:val="0"/>
          <w:numId w:val="0"/>
        </w:numPr>
        <w:rPr>
          <w:lang w:val="en-US"/>
        </w:rPr>
      </w:pPr>
      <w:r w:rsidRPr="0039579F">
        <w:rPr>
          <w:lang w:val="en-US"/>
        </w:rPr>
        <w:t xml:space="preserve">57. </w:t>
      </w:r>
      <w:r>
        <w:rPr>
          <w:lang w:val="en-US"/>
        </w:rPr>
        <w:t xml:space="preserve">It having been </w:t>
      </w:r>
      <w:r w:rsidRPr="0039579F">
        <w:rPr>
          <w:lang w:val="en-US"/>
        </w:rPr>
        <w:t xml:space="preserve">determined that the </w:t>
      </w:r>
      <w:r>
        <w:rPr>
          <w:lang w:val="en-US"/>
        </w:rPr>
        <w:t xml:space="preserve">National </w:t>
      </w:r>
      <w:r w:rsidRPr="0039579F">
        <w:rPr>
          <w:lang w:val="en-US"/>
        </w:rPr>
        <w:t xml:space="preserve">Congress was not the competent body </w:t>
      </w:r>
      <w:r>
        <w:rPr>
          <w:lang w:val="en-US"/>
        </w:rPr>
        <w:t xml:space="preserve">in this case </w:t>
      </w:r>
      <w:r w:rsidRPr="0039579F">
        <w:rPr>
          <w:lang w:val="en-US"/>
        </w:rPr>
        <w:t xml:space="preserve">and that there was no previously established procedure in place, the Commission concludes that all the actions </w:t>
      </w:r>
      <w:r>
        <w:rPr>
          <w:lang w:val="en-US"/>
        </w:rPr>
        <w:t>that flowed</w:t>
      </w:r>
      <w:r w:rsidRPr="0039579F">
        <w:rPr>
          <w:lang w:val="en-US"/>
        </w:rPr>
        <w:t xml:space="preserve"> from </w:t>
      </w:r>
      <w:r>
        <w:rPr>
          <w:lang w:val="en-US"/>
        </w:rPr>
        <w:t>the Congress</w:t>
      </w:r>
      <w:r w:rsidRPr="0039579F">
        <w:rPr>
          <w:lang w:val="en-US"/>
        </w:rPr>
        <w:t xml:space="preserve"> </w:t>
      </w:r>
      <w:r>
        <w:rPr>
          <w:lang w:val="en-US"/>
        </w:rPr>
        <w:t>in the framework</w:t>
      </w:r>
      <w:r w:rsidRPr="0039579F">
        <w:rPr>
          <w:lang w:val="en-US"/>
        </w:rPr>
        <w:t xml:space="preserve"> of the ad hoc proce</w:t>
      </w:r>
      <w:r>
        <w:rPr>
          <w:lang w:val="en-US"/>
        </w:rPr>
        <w:t xml:space="preserve">dure that was adopted </w:t>
      </w:r>
      <w:r w:rsidRPr="0039579F">
        <w:rPr>
          <w:lang w:val="en-US"/>
        </w:rPr>
        <w:t>in th</w:t>
      </w:r>
      <w:r>
        <w:rPr>
          <w:lang w:val="en-US"/>
        </w:rPr>
        <w:t>e</w:t>
      </w:r>
      <w:r w:rsidRPr="0039579F">
        <w:rPr>
          <w:lang w:val="en-US"/>
        </w:rPr>
        <w:t xml:space="preserve"> case </w:t>
      </w:r>
      <w:r>
        <w:rPr>
          <w:lang w:val="en-US"/>
        </w:rPr>
        <w:t>violated</w:t>
      </w:r>
      <w:r w:rsidRPr="0039579F">
        <w:rPr>
          <w:lang w:val="en-US"/>
        </w:rPr>
        <w:t xml:space="preserve"> Article </w:t>
      </w:r>
      <w:r w:rsidRPr="0039579F">
        <w:rPr>
          <w:bCs/>
          <w:lang w:val="en-US"/>
        </w:rPr>
        <w:t xml:space="preserve">8 </w:t>
      </w:r>
      <w:r>
        <w:rPr>
          <w:bCs/>
          <w:lang w:val="en-US"/>
        </w:rPr>
        <w:t>of the American Convention, rendering it unnecessary to analyze the other guarantees of due process.</w:t>
      </w:r>
      <w:r w:rsidRPr="00DB55CD">
        <w:rPr>
          <w:rStyle w:val="Refdenotaalpie"/>
          <w:bCs/>
          <w:lang w:val="es-CO"/>
        </w:rPr>
        <w:footnoteReference w:id="58"/>
      </w:r>
      <w:r w:rsidRPr="0039579F">
        <w:rPr>
          <w:bCs/>
          <w:lang w:val="en-US"/>
        </w:rPr>
        <w:t xml:space="preserve"> </w:t>
      </w:r>
      <w:r>
        <w:rPr>
          <w:bCs/>
          <w:lang w:val="en-US"/>
        </w:rPr>
        <w:t>Nevertheless</w:t>
      </w:r>
      <w:r w:rsidRPr="002310E4">
        <w:rPr>
          <w:bCs/>
          <w:lang w:val="en-US"/>
        </w:rPr>
        <w:t xml:space="preserve">, in order </w:t>
      </w:r>
      <w:r>
        <w:rPr>
          <w:bCs/>
          <w:lang w:val="en-US"/>
        </w:rPr>
        <w:t>that the</w:t>
      </w:r>
      <w:r w:rsidRPr="002310E4">
        <w:rPr>
          <w:bCs/>
          <w:lang w:val="en-US"/>
        </w:rPr>
        <w:t xml:space="preserve"> State </w:t>
      </w:r>
      <w:r>
        <w:rPr>
          <w:bCs/>
          <w:lang w:val="en-US"/>
        </w:rPr>
        <w:t>may</w:t>
      </w:r>
      <w:r w:rsidRPr="002310E4">
        <w:rPr>
          <w:bCs/>
          <w:lang w:val="en-US"/>
        </w:rPr>
        <w:t xml:space="preserve"> adopt </w:t>
      </w:r>
      <w:r>
        <w:rPr>
          <w:bCs/>
          <w:lang w:val="en-US"/>
        </w:rPr>
        <w:t>appropriate</w:t>
      </w:r>
      <w:r w:rsidRPr="002310E4">
        <w:rPr>
          <w:bCs/>
          <w:lang w:val="en-US"/>
        </w:rPr>
        <w:t xml:space="preserve"> measures to avoid a recurrence of </w:t>
      </w:r>
      <w:r>
        <w:rPr>
          <w:bCs/>
          <w:lang w:val="en-US"/>
        </w:rPr>
        <w:t>events</w:t>
      </w:r>
      <w:r w:rsidRPr="002310E4">
        <w:rPr>
          <w:bCs/>
          <w:lang w:val="en-US"/>
        </w:rPr>
        <w:t xml:space="preserve"> such as those </w:t>
      </w:r>
      <w:r>
        <w:rPr>
          <w:bCs/>
          <w:lang w:val="en-US"/>
        </w:rPr>
        <w:t xml:space="preserve">that occurred </w:t>
      </w:r>
      <w:r w:rsidRPr="002310E4">
        <w:rPr>
          <w:bCs/>
          <w:lang w:val="en-US"/>
        </w:rPr>
        <w:t xml:space="preserve">in </w:t>
      </w:r>
      <w:r>
        <w:rPr>
          <w:bCs/>
          <w:lang w:val="en-US"/>
        </w:rPr>
        <w:t>the</w:t>
      </w:r>
      <w:r w:rsidRPr="002310E4">
        <w:rPr>
          <w:bCs/>
          <w:lang w:val="en-US"/>
        </w:rPr>
        <w:t xml:space="preserve"> case</w:t>
      </w:r>
      <w:r>
        <w:rPr>
          <w:bCs/>
          <w:lang w:val="en-US"/>
        </w:rPr>
        <w:t xml:space="preserve"> at hand</w:t>
      </w:r>
      <w:r w:rsidRPr="002310E4">
        <w:rPr>
          <w:bCs/>
          <w:lang w:val="en-US"/>
        </w:rPr>
        <w:t xml:space="preserve">, the Commission considers it </w:t>
      </w:r>
      <w:r>
        <w:rPr>
          <w:bCs/>
          <w:lang w:val="en-US"/>
        </w:rPr>
        <w:t>pertinent</w:t>
      </w:r>
      <w:r w:rsidRPr="002310E4">
        <w:rPr>
          <w:bCs/>
          <w:lang w:val="en-US"/>
        </w:rPr>
        <w:t xml:space="preserve"> to examine the guarantees </w:t>
      </w:r>
      <w:r>
        <w:rPr>
          <w:bCs/>
          <w:lang w:val="en-US"/>
        </w:rPr>
        <w:t>that apply to</w:t>
      </w:r>
      <w:r w:rsidRPr="002310E4">
        <w:rPr>
          <w:bCs/>
          <w:lang w:val="en-US"/>
        </w:rPr>
        <w:t xml:space="preserve"> the disciplinary procedure against </w:t>
      </w:r>
      <w:r w:rsidRPr="002310E4">
        <w:rPr>
          <w:lang w:val="en-US"/>
        </w:rPr>
        <w:t xml:space="preserve">José Antonio Gutiérrez </w:t>
      </w:r>
      <w:proofErr w:type="spellStart"/>
      <w:r w:rsidRPr="002310E4">
        <w:rPr>
          <w:lang w:val="en-US"/>
        </w:rPr>
        <w:t>Navas</w:t>
      </w:r>
      <w:proofErr w:type="spellEnd"/>
      <w:r w:rsidRPr="002310E4">
        <w:rPr>
          <w:lang w:val="en-US"/>
        </w:rPr>
        <w:t xml:space="preserve">, Rosalinda Cruz </w:t>
      </w:r>
      <w:proofErr w:type="spellStart"/>
      <w:r w:rsidRPr="002310E4">
        <w:rPr>
          <w:lang w:val="en-US"/>
        </w:rPr>
        <w:t>Sequeira</w:t>
      </w:r>
      <w:proofErr w:type="spellEnd"/>
      <w:r w:rsidRPr="002310E4">
        <w:rPr>
          <w:lang w:val="en-US"/>
        </w:rPr>
        <w:t xml:space="preserve">, José Francisco Ruiz </w:t>
      </w:r>
      <w:proofErr w:type="spellStart"/>
      <w:r w:rsidRPr="002310E4">
        <w:rPr>
          <w:lang w:val="en-US"/>
        </w:rPr>
        <w:t>Gaekel</w:t>
      </w:r>
      <w:proofErr w:type="spellEnd"/>
      <w:r>
        <w:rPr>
          <w:lang w:val="en-US"/>
        </w:rPr>
        <w:t>, and</w:t>
      </w:r>
      <w:r w:rsidRPr="002310E4">
        <w:rPr>
          <w:lang w:val="en-US"/>
        </w:rPr>
        <w:t xml:space="preserve"> Gustavo Enrique Bustillo Palma.</w:t>
      </w:r>
    </w:p>
    <w:p w14:paraId="5CE80C77" w14:textId="77777777" w:rsidR="00E6692A" w:rsidRPr="002310E4" w:rsidRDefault="00E6692A" w:rsidP="00E6692A">
      <w:pPr>
        <w:pStyle w:val="parrafos"/>
        <w:numPr>
          <w:ilvl w:val="0"/>
          <w:numId w:val="0"/>
        </w:numPr>
        <w:rPr>
          <w:lang w:val="en-US"/>
        </w:rPr>
      </w:pPr>
    </w:p>
    <w:p w14:paraId="4D331509" w14:textId="77777777" w:rsidR="00E6692A" w:rsidRPr="00F0467B" w:rsidRDefault="00E6692A" w:rsidP="00E6692A">
      <w:pPr>
        <w:pStyle w:val="Ttulo3"/>
        <w:numPr>
          <w:ilvl w:val="0"/>
          <w:numId w:val="0"/>
        </w:numPr>
        <w:jc w:val="both"/>
        <w:rPr>
          <w:szCs w:val="20"/>
        </w:rPr>
      </w:pPr>
      <w:bookmarkStart w:id="33" w:name="_Toc65248170"/>
      <w:bookmarkStart w:id="34" w:name="_Toc69410068"/>
      <w:r w:rsidRPr="00F0467B">
        <w:rPr>
          <w:szCs w:val="20"/>
        </w:rPr>
        <w:t xml:space="preserve">3. </w:t>
      </w:r>
      <w:r>
        <w:rPr>
          <w:szCs w:val="20"/>
        </w:rPr>
        <w:t>P</w:t>
      </w:r>
      <w:r w:rsidRPr="00F0467B">
        <w:rPr>
          <w:szCs w:val="20"/>
        </w:rPr>
        <w:t xml:space="preserve">rinciple of </w:t>
      </w:r>
      <w:r>
        <w:rPr>
          <w:szCs w:val="20"/>
        </w:rPr>
        <w:t>legality</w:t>
      </w:r>
      <w:r w:rsidRPr="00DB55CD">
        <w:rPr>
          <w:rStyle w:val="Refdenotaalpie"/>
          <w:szCs w:val="20"/>
        </w:rPr>
        <w:footnoteReference w:id="59"/>
      </w:r>
      <w:bookmarkEnd w:id="31"/>
      <w:bookmarkEnd w:id="32"/>
      <w:bookmarkEnd w:id="33"/>
      <w:bookmarkEnd w:id="34"/>
    </w:p>
    <w:p w14:paraId="3BBAD203" w14:textId="77777777" w:rsidR="00E6692A" w:rsidRPr="00F0467B" w:rsidRDefault="00E6692A" w:rsidP="00E6692A"/>
    <w:p w14:paraId="09178B78" w14:textId="77777777" w:rsidR="00E6692A" w:rsidRPr="007D7F02" w:rsidRDefault="00E6692A" w:rsidP="00E6692A">
      <w:pPr>
        <w:pStyle w:val="parrafos"/>
        <w:numPr>
          <w:ilvl w:val="0"/>
          <w:numId w:val="0"/>
        </w:numPr>
        <w:rPr>
          <w:lang w:val="en-US"/>
        </w:rPr>
      </w:pPr>
      <w:r w:rsidRPr="00AA189F">
        <w:rPr>
          <w:lang w:val="en-US"/>
        </w:rPr>
        <w:t xml:space="preserve">58. The principle of </w:t>
      </w:r>
      <w:r>
        <w:rPr>
          <w:lang w:val="en-US"/>
        </w:rPr>
        <w:t>legality (freedom from ex post facto laws)</w:t>
      </w:r>
      <w:r w:rsidRPr="00AA189F">
        <w:rPr>
          <w:lang w:val="en-US"/>
        </w:rPr>
        <w:t xml:space="preserve"> recognized in Article 9 of the Convention governs the </w:t>
      </w:r>
      <w:r>
        <w:rPr>
          <w:lang w:val="en-US"/>
        </w:rPr>
        <w:t>actions</w:t>
      </w:r>
      <w:r w:rsidRPr="00AA189F">
        <w:rPr>
          <w:lang w:val="en-US"/>
        </w:rPr>
        <w:t xml:space="preserve"> of State bodies </w:t>
      </w:r>
      <w:r>
        <w:rPr>
          <w:lang w:val="en-US"/>
        </w:rPr>
        <w:t>when</w:t>
      </w:r>
      <w:r w:rsidRPr="00AA189F">
        <w:rPr>
          <w:lang w:val="en-US"/>
        </w:rPr>
        <w:t xml:space="preserve"> the</w:t>
      </w:r>
      <w:r>
        <w:rPr>
          <w:lang w:val="en-US"/>
        </w:rPr>
        <w:t>y</w:t>
      </w:r>
      <w:r w:rsidRPr="00AA189F">
        <w:rPr>
          <w:lang w:val="en-US"/>
        </w:rPr>
        <w:t xml:space="preserve"> exercise </w:t>
      </w:r>
      <w:r>
        <w:rPr>
          <w:lang w:val="en-US"/>
        </w:rPr>
        <w:t>their power to punish.</w:t>
      </w:r>
      <w:r w:rsidRPr="00DB55CD">
        <w:rPr>
          <w:vertAlign w:val="superscript"/>
        </w:rPr>
        <w:footnoteReference w:id="60"/>
      </w:r>
      <w:r w:rsidRPr="00AA189F">
        <w:rPr>
          <w:lang w:val="en-US"/>
        </w:rPr>
        <w:t xml:space="preserve"> </w:t>
      </w:r>
      <w:r w:rsidRPr="00892154">
        <w:rPr>
          <w:lang w:val="en-US"/>
        </w:rPr>
        <w:t xml:space="preserve">As indicated above, this principle is applicable to disciplinary </w:t>
      </w:r>
      <w:r>
        <w:rPr>
          <w:lang w:val="en-US"/>
        </w:rPr>
        <w:t>proceedings</w:t>
      </w:r>
      <w:r w:rsidRPr="00892154">
        <w:rPr>
          <w:lang w:val="en-US"/>
        </w:rPr>
        <w:t>, which are “an expression of the punitive powers of the State” as they entail impairment o</w:t>
      </w:r>
      <w:r>
        <w:rPr>
          <w:lang w:val="en-US"/>
        </w:rPr>
        <w:t>r</w:t>
      </w:r>
      <w:r w:rsidRPr="00892154">
        <w:rPr>
          <w:lang w:val="en-US"/>
        </w:rPr>
        <w:t xml:space="preserve"> alteration of human rights </w:t>
      </w:r>
      <w:proofErr w:type="gramStart"/>
      <w:r w:rsidRPr="00892154">
        <w:rPr>
          <w:lang w:val="en-US"/>
        </w:rPr>
        <w:t>as a consequence of</w:t>
      </w:r>
      <w:proofErr w:type="gramEnd"/>
      <w:r w:rsidRPr="00892154">
        <w:rPr>
          <w:lang w:val="en-US"/>
        </w:rPr>
        <w:t xml:space="preserve"> </w:t>
      </w:r>
      <w:r>
        <w:rPr>
          <w:lang w:val="en-US"/>
        </w:rPr>
        <w:t>wrongful</w:t>
      </w:r>
      <w:r w:rsidRPr="00892154">
        <w:rPr>
          <w:lang w:val="en-US"/>
        </w:rPr>
        <w:t xml:space="preserve"> conduct.</w:t>
      </w:r>
      <w:r w:rsidRPr="00DB55CD">
        <w:rPr>
          <w:vertAlign w:val="superscript"/>
        </w:rPr>
        <w:footnoteReference w:id="61"/>
      </w:r>
      <w:r w:rsidRPr="007D7F02">
        <w:rPr>
          <w:lang w:val="en-US"/>
        </w:rPr>
        <w:t xml:space="preserve"> </w:t>
      </w:r>
    </w:p>
    <w:p w14:paraId="674E2DEB" w14:textId="77777777" w:rsidR="00E6692A" w:rsidRPr="007D7F02" w:rsidRDefault="00E6692A" w:rsidP="00E6692A">
      <w:pPr>
        <w:pStyle w:val="parrafos"/>
        <w:numPr>
          <w:ilvl w:val="0"/>
          <w:numId w:val="0"/>
        </w:numPr>
        <w:rPr>
          <w:lang w:val="en-US"/>
        </w:rPr>
      </w:pPr>
    </w:p>
    <w:p w14:paraId="3D447A78" w14:textId="77777777" w:rsidR="00E6692A" w:rsidRPr="00E831CB" w:rsidRDefault="00E6692A" w:rsidP="00E6692A">
      <w:pPr>
        <w:pStyle w:val="parrafos"/>
        <w:numPr>
          <w:ilvl w:val="0"/>
          <w:numId w:val="0"/>
        </w:numPr>
        <w:rPr>
          <w:lang w:val="en-US"/>
        </w:rPr>
      </w:pPr>
      <w:r w:rsidRPr="00FC1041">
        <w:rPr>
          <w:lang w:val="en-US"/>
        </w:rPr>
        <w:t xml:space="preserve">59. The Commission notes that States have the authority to design and organize disciplinary </w:t>
      </w:r>
      <w:r>
        <w:rPr>
          <w:lang w:val="en-US"/>
        </w:rPr>
        <w:t>proceedings</w:t>
      </w:r>
      <w:r w:rsidRPr="00FC1041">
        <w:rPr>
          <w:lang w:val="en-US"/>
        </w:rPr>
        <w:t xml:space="preserve">; however, these must be </w:t>
      </w:r>
      <w:r>
        <w:rPr>
          <w:lang w:val="en-US"/>
        </w:rPr>
        <w:t>implemented</w:t>
      </w:r>
      <w:r w:rsidRPr="00FC1041">
        <w:rPr>
          <w:lang w:val="en-US"/>
        </w:rPr>
        <w:t xml:space="preserve"> according to pre-established procedures that indicate the authorities an</w:t>
      </w:r>
      <w:r>
        <w:rPr>
          <w:lang w:val="en-US"/>
        </w:rPr>
        <w:t xml:space="preserve">d </w:t>
      </w:r>
      <w:r>
        <w:rPr>
          <w:lang w:val="en-US"/>
        </w:rPr>
        <w:lastRenderedPageBreak/>
        <w:t>the procedural rules that apply.</w:t>
      </w:r>
      <w:r w:rsidRPr="00DB55CD">
        <w:rPr>
          <w:rStyle w:val="Refdenotaalpie"/>
        </w:rPr>
        <w:footnoteReference w:id="62"/>
      </w:r>
      <w:r w:rsidRPr="00FC1041">
        <w:rPr>
          <w:lang w:val="en-US"/>
        </w:rPr>
        <w:t xml:space="preserve"> </w:t>
      </w:r>
      <w:r w:rsidRPr="00021817">
        <w:rPr>
          <w:lang w:val="en-US"/>
        </w:rPr>
        <w:t xml:space="preserve">In disciplinary matters, the principle of legality requires that the law give detailed guidance on the infractions that may trigger disciplinary measures, including the seriousness of the infraction </w:t>
      </w:r>
      <w:r>
        <w:rPr>
          <w:lang w:val="en-US"/>
        </w:rPr>
        <w:t>and the type of</w:t>
      </w:r>
      <w:r w:rsidRPr="00021817">
        <w:rPr>
          <w:lang w:val="en-US"/>
        </w:rPr>
        <w:t xml:space="preserve"> disciplinary measure </w:t>
      </w:r>
      <w:r>
        <w:rPr>
          <w:lang w:val="en-US"/>
        </w:rPr>
        <w:t>that may</w:t>
      </w:r>
      <w:r w:rsidRPr="00021817">
        <w:rPr>
          <w:lang w:val="en-US"/>
        </w:rPr>
        <w:t xml:space="preserve"> be applied</w:t>
      </w:r>
      <w:r>
        <w:rPr>
          <w:lang w:val="en-US"/>
        </w:rPr>
        <w:t xml:space="preserve"> in different cases</w:t>
      </w:r>
      <w:r w:rsidRPr="00021817">
        <w:rPr>
          <w:lang w:val="en-US"/>
        </w:rPr>
        <w:t>.</w:t>
      </w:r>
      <w:r>
        <w:rPr>
          <w:lang w:val="en-US"/>
        </w:rPr>
        <w:t xml:space="preserve"> </w:t>
      </w:r>
      <w:r w:rsidRPr="00E831CB">
        <w:rPr>
          <w:lang w:val="en-US"/>
        </w:rPr>
        <w:t xml:space="preserve">The principle of legality requires not only that the impugned measure should have some basis in domestic law, but also that the law containing </w:t>
      </w:r>
      <w:r>
        <w:rPr>
          <w:lang w:val="en-US"/>
        </w:rPr>
        <w:t>the measure</w:t>
      </w:r>
      <w:r w:rsidRPr="00E831CB">
        <w:rPr>
          <w:lang w:val="en-US"/>
        </w:rPr>
        <w:t xml:space="preserve"> should be accessible to the persons concerned and formulated with sufficient precision to enable them </w:t>
      </w:r>
      <w:r>
        <w:rPr>
          <w:lang w:val="en-US"/>
        </w:rPr>
        <w:t>to foresee, to a degree that is reasonable in the circumstances, the consequences which a given action may entail</w:t>
      </w:r>
      <w:r>
        <w:rPr>
          <w:lang w:val="en-US" w:eastAsia="es-ES"/>
        </w:rPr>
        <w:t>.</w:t>
      </w:r>
      <w:r w:rsidRPr="00DB55CD">
        <w:rPr>
          <w:vertAlign w:val="superscript"/>
        </w:rPr>
        <w:footnoteReference w:id="63"/>
      </w:r>
    </w:p>
    <w:p w14:paraId="071B2F3B" w14:textId="77777777" w:rsidR="00E6692A" w:rsidRPr="00E831CB" w:rsidRDefault="00E6692A" w:rsidP="00E6692A">
      <w:pPr>
        <w:pStyle w:val="Prrafodelista"/>
        <w:rPr>
          <w:rFonts w:cs="Verdana"/>
          <w:lang w:val="en-US"/>
        </w:rPr>
      </w:pPr>
    </w:p>
    <w:p w14:paraId="38EF918C" w14:textId="77777777" w:rsidR="00E6692A" w:rsidRPr="00D071B9" w:rsidRDefault="00E6692A" w:rsidP="00E6692A">
      <w:pPr>
        <w:pStyle w:val="parrafos"/>
        <w:numPr>
          <w:ilvl w:val="0"/>
          <w:numId w:val="0"/>
        </w:numPr>
        <w:rPr>
          <w:lang w:val="en-US"/>
        </w:rPr>
      </w:pPr>
      <w:r w:rsidRPr="003D16E3">
        <w:rPr>
          <w:rFonts w:cs="Verdana"/>
          <w:lang w:val="en-US"/>
        </w:rPr>
        <w:t>60. Both the Court and the Commission have indicated that the greater the restriction</w:t>
      </w:r>
      <w:r>
        <w:rPr>
          <w:rFonts w:cs="Verdana"/>
          <w:lang w:val="en-US"/>
        </w:rPr>
        <w:t xml:space="preserve"> on a human right</w:t>
      </w:r>
      <w:r w:rsidRPr="003D16E3">
        <w:rPr>
          <w:rFonts w:cs="Verdana"/>
          <w:lang w:val="en-US"/>
        </w:rPr>
        <w:t xml:space="preserve">, the </w:t>
      </w:r>
      <w:r w:rsidRPr="00107D0E">
        <w:rPr>
          <w:rFonts w:cs="Verdana"/>
          <w:lang w:val="en-US"/>
        </w:rPr>
        <w:t>more precise the</w:t>
      </w:r>
      <w:r>
        <w:rPr>
          <w:rFonts w:cs="Verdana"/>
          <w:lang w:val="en-US"/>
        </w:rPr>
        <w:t xml:space="preserve"> provisions establishing that restriction must be.</w:t>
      </w:r>
      <w:r w:rsidRPr="00DB55CD">
        <w:rPr>
          <w:rStyle w:val="Refdenotaalpie"/>
        </w:rPr>
        <w:footnoteReference w:id="64"/>
      </w:r>
      <w:r w:rsidRPr="003D16E3">
        <w:rPr>
          <w:rFonts w:cs="Verdana"/>
          <w:lang w:val="en-US"/>
        </w:rPr>
        <w:t xml:space="preserve"> </w:t>
      </w:r>
      <w:r w:rsidRPr="00D071B9">
        <w:rPr>
          <w:rFonts w:cs="Verdana"/>
          <w:lang w:val="en-US"/>
        </w:rPr>
        <w:t xml:space="preserve">In terms of judges, the IACHR has indicated that the penalties of suspension or </w:t>
      </w:r>
      <w:r>
        <w:rPr>
          <w:rFonts w:cs="Verdana"/>
          <w:lang w:val="en-US"/>
        </w:rPr>
        <w:t>dismissal</w:t>
      </w:r>
      <w:r w:rsidRPr="00D071B9">
        <w:rPr>
          <w:rFonts w:cs="Verdana"/>
          <w:lang w:val="en-US"/>
        </w:rPr>
        <w:t xml:space="preserve"> must be applied only in</w:t>
      </w:r>
      <w:r>
        <w:rPr>
          <w:rFonts w:cs="Verdana"/>
          <w:lang w:val="en-US"/>
        </w:rPr>
        <w:t xml:space="preserve"> the case of the most serious misconduct</w:t>
      </w:r>
      <w:r w:rsidRPr="00D071B9">
        <w:rPr>
          <w:lang w:val="en-US"/>
        </w:rPr>
        <w:t>. As the Council of Europe recommended with respect to disciplinary offenses, disciplinary measures should become stricter as the seriousness of the offense increases, and can include removal of cases from a judge, assigning the judge other tasks, economic sanctions, and suspension.</w:t>
      </w:r>
      <w:r w:rsidRPr="00DB55CD">
        <w:rPr>
          <w:rStyle w:val="Refdenotaalpie"/>
          <w:lang w:val="es-CO"/>
        </w:rPr>
        <w:footnoteReference w:id="65"/>
      </w:r>
      <w:r w:rsidRPr="00D071B9">
        <w:rPr>
          <w:lang w:val="en-US"/>
        </w:rPr>
        <w:t xml:space="preserve"> </w:t>
      </w:r>
    </w:p>
    <w:p w14:paraId="59AF7AA7" w14:textId="77777777" w:rsidR="00E6692A" w:rsidRPr="00D071B9" w:rsidRDefault="00E6692A" w:rsidP="00E6692A">
      <w:pPr>
        <w:pStyle w:val="Prrafodelista"/>
        <w:rPr>
          <w:lang w:val="en-US"/>
        </w:rPr>
      </w:pPr>
    </w:p>
    <w:p w14:paraId="3C014DDB" w14:textId="77777777" w:rsidR="00E6692A" w:rsidRPr="002B4913" w:rsidRDefault="00E6692A" w:rsidP="00E6692A">
      <w:pPr>
        <w:pStyle w:val="parrafos"/>
        <w:numPr>
          <w:ilvl w:val="0"/>
          <w:numId w:val="0"/>
        </w:numPr>
        <w:rPr>
          <w:lang w:val="en-US"/>
        </w:rPr>
      </w:pPr>
      <w:r w:rsidRPr="00DF7569">
        <w:rPr>
          <w:lang w:val="en-US"/>
        </w:rPr>
        <w:t xml:space="preserve">61. Along these same lines, the Court has indicated that </w:t>
      </w:r>
      <w:r>
        <w:rPr>
          <w:lang w:val="en-US"/>
        </w:rPr>
        <w:t>an overly broad</w:t>
      </w:r>
      <w:r w:rsidRPr="00107D0E">
        <w:rPr>
          <w:lang w:val="en-US"/>
        </w:rPr>
        <w:t xml:space="preserve"> r</w:t>
      </w:r>
      <w:r w:rsidRPr="00DF7569">
        <w:rPr>
          <w:lang w:val="en-US"/>
        </w:rPr>
        <w:t xml:space="preserve">egulatory framework affects the predictability of the sanctions because it permits the dismissal of a judge based on </w:t>
      </w:r>
      <w:r w:rsidRPr="00B04F26">
        <w:rPr>
          <w:lang w:val="en-US"/>
        </w:rPr>
        <w:t>open-ended grounds</w:t>
      </w:r>
      <w:r w:rsidRPr="00DF7569">
        <w:rPr>
          <w:lang w:val="en-US"/>
        </w:rPr>
        <w:t xml:space="preserve"> that </w:t>
      </w:r>
      <w:r>
        <w:rPr>
          <w:lang w:val="en-US"/>
        </w:rPr>
        <w:t>grant</w:t>
      </w:r>
      <w:r w:rsidRPr="00DF7569">
        <w:rPr>
          <w:lang w:val="en-US"/>
        </w:rPr>
        <w:t xml:space="preserve"> excessive discretion</w:t>
      </w:r>
      <w:r>
        <w:rPr>
          <w:lang w:val="en-US"/>
        </w:rPr>
        <w:t>ary power</w:t>
      </w:r>
      <w:r w:rsidRPr="00DF7569">
        <w:rPr>
          <w:lang w:val="en-US"/>
        </w:rPr>
        <w:t xml:space="preserve"> to the body</w:t>
      </w:r>
      <w:r>
        <w:rPr>
          <w:lang w:val="en-US"/>
        </w:rPr>
        <w:t xml:space="preserve"> responsible for applying the sanction.</w:t>
      </w:r>
      <w:r w:rsidRPr="00DB55CD">
        <w:rPr>
          <w:rStyle w:val="Refdenotaalpie"/>
        </w:rPr>
        <w:footnoteReference w:id="66"/>
      </w:r>
      <w:r w:rsidRPr="00DF7569">
        <w:rPr>
          <w:lang w:val="en-US"/>
        </w:rPr>
        <w:t xml:space="preserve"> </w:t>
      </w:r>
      <w:r w:rsidRPr="002B4913">
        <w:rPr>
          <w:lang w:val="en-US"/>
        </w:rPr>
        <w:t xml:space="preserve">The Court has indicated that </w:t>
      </w:r>
      <w:r>
        <w:rPr>
          <w:lang w:val="en-US"/>
        </w:rPr>
        <w:t>some</w:t>
      </w:r>
      <w:r w:rsidRPr="002B4913">
        <w:rPr>
          <w:lang w:val="en-US"/>
        </w:rPr>
        <w:t xml:space="preserve"> degree of </w:t>
      </w:r>
      <w:r>
        <w:rPr>
          <w:lang w:val="en-US"/>
        </w:rPr>
        <w:t>imprecision</w:t>
      </w:r>
      <w:r w:rsidRPr="002B4913">
        <w:rPr>
          <w:lang w:val="en-US"/>
        </w:rPr>
        <w:t xml:space="preserve"> does not </w:t>
      </w:r>
      <w:r>
        <w:rPr>
          <w:lang w:val="en-US"/>
        </w:rPr>
        <w:t xml:space="preserve">result, </w:t>
      </w:r>
      <w:r w:rsidRPr="002B4913">
        <w:rPr>
          <w:lang w:val="en-US"/>
        </w:rPr>
        <w:t>per se</w:t>
      </w:r>
      <w:r>
        <w:rPr>
          <w:lang w:val="en-US"/>
        </w:rPr>
        <w:t>, in</w:t>
      </w:r>
      <w:r w:rsidRPr="002B4913">
        <w:rPr>
          <w:lang w:val="en-US"/>
        </w:rPr>
        <w:t xml:space="preserve"> a violation of the Convention</w:t>
      </w:r>
      <w:r>
        <w:rPr>
          <w:lang w:val="en-US"/>
        </w:rPr>
        <w:t xml:space="preserve">; in other words, </w:t>
      </w:r>
      <w:r w:rsidRPr="002B4913">
        <w:rPr>
          <w:lang w:val="en-US"/>
        </w:rPr>
        <w:t xml:space="preserve">the fact that a </w:t>
      </w:r>
      <w:r>
        <w:rPr>
          <w:lang w:val="en-US"/>
        </w:rPr>
        <w:t>law</w:t>
      </w:r>
      <w:r w:rsidRPr="002B4913">
        <w:rPr>
          <w:lang w:val="en-US"/>
        </w:rPr>
        <w:t xml:space="preserve"> grants some discretion</w:t>
      </w:r>
      <w:r>
        <w:rPr>
          <w:lang w:val="en-US"/>
        </w:rPr>
        <w:t>ary power</w:t>
      </w:r>
      <w:r w:rsidRPr="002B4913">
        <w:rPr>
          <w:lang w:val="en-US"/>
        </w:rPr>
        <w:t xml:space="preserve"> is not </w:t>
      </w:r>
      <w:r>
        <w:rPr>
          <w:lang w:val="en-US"/>
        </w:rPr>
        <w:t>incompatible</w:t>
      </w:r>
      <w:r w:rsidRPr="002B4913">
        <w:rPr>
          <w:lang w:val="en-US"/>
        </w:rPr>
        <w:t xml:space="preserve"> with the degree of </w:t>
      </w:r>
      <w:r>
        <w:rPr>
          <w:lang w:val="en-US"/>
        </w:rPr>
        <w:t>predictability</w:t>
      </w:r>
      <w:r w:rsidRPr="002B4913">
        <w:rPr>
          <w:lang w:val="en-US"/>
        </w:rPr>
        <w:t xml:space="preserve"> </w:t>
      </w:r>
      <w:r>
        <w:rPr>
          <w:lang w:val="en-US"/>
        </w:rPr>
        <w:t>required</w:t>
      </w:r>
      <w:r w:rsidRPr="002B4913">
        <w:rPr>
          <w:lang w:val="en-US"/>
        </w:rPr>
        <w:t xml:space="preserve">, provided that the scope of </w:t>
      </w:r>
      <w:r>
        <w:rPr>
          <w:lang w:val="en-US"/>
        </w:rPr>
        <w:t xml:space="preserve">the </w:t>
      </w:r>
      <w:r w:rsidRPr="002B4913">
        <w:rPr>
          <w:lang w:val="en-US"/>
        </w:rPr>
        <w:t xml:space="preserve">discretion and the </w:t>
      </w:r>
      <w:r>
        <w:rPr>
          <w:lang w:val="en-US"/>
        </w:rPr>
        <w:t xml:space="preserve">way </w:t>
      </w:r>
      <w:r w:rsidRPr="002B4913">
        <w:rPr>
          <w:lang w:val="en-US"/>
        </w:rPr>
        <w:t xml:space="preserve">in which it should be exercised </w:t>
      </w:r>
      <w:r>
        <w:rPr>
          <w:lang w:val="en-US"/>
        </w:rPr>
        <w:t>are</w:t>
      </w:r>
      <w:r w:rsidRPr="002B4913">
        <w:rPr>
          <w:lang w:val="en-US"/>
        </w:rPr>
        <w:t xml:space="preserve"> indicated with sufficient clarity so as to provi</w:t>
      </w:r>
      <w:r>
        <w:rPr>
          <w:lang w:val="en-US"/>
        </w:rPr>
        <w:t>d</w:t>
      </w:r>
      <w:r w:rsidRPr="002B4913">
        <w:rPr>
          <w:lang w:val="en-US"/>
        </w:rPr>
        <w:t>e adequate</w:t>
      </w:r>
      <w:r>
        <w:rPr>
          <w:lang w:val="en-US"/>
        </w:rPr>
        <w:t xml:space="preserve"> protection against arbitrary interference.</w:t>
      </w:r>
      <w:r w:rsidRPr="00DB55CD">
        <w:rPr>
          <w:rStyle w:val="Refdenotaalpie"/>
        </w:rPr>
        <w:footnoteReference w:id="67"/>
      </w:r>
    </w:p>
    <w:p w14:paraId="1914A7B2" w14:textId="77777777" w:rsidR="00E6692A" w:rsidRPr="002B4913" w:rsidRDefault="00E6692A" w:rsidP="00E6692A">
      <w:pPr>
        <w:pStyle w:val="Prrafodelista"/>
        <w:rPr>
          <w:lang w:val="en-US"/>
        </w:rPr>
      </w:pPr>
    </w:p>
    <w:p w14:paraId="48722909" w14:textId="77777777" w:rsidR="00E6692A" w:rsidRPr="00DE25FB" w:rsidRDefault="00E6692A" w:rsidP="00E6692A">
      <w:pPr>
        <w:pStyle w:val="parrafos"/>
        <w:numPr>
          <w:ilvl w:val="0"/>
          <w:numId w:val="0"/>
        </w:numPr>
        <w:rPr>
          <w:lang w:val="en-US"/>
        </w:rPr>
      </w:pPr>
      <w:r w:rsidRPr="007E2F20">
        <w:rPr>
          <w:lang w:val="en-US"/>
        </w:rPr>
        <w:t xml:space="preserve">62. In the case at hand, the Commission </w:t>
      </w:r>
      <w:r>
        <w:rPr>
          <w:lang w:val="en-US"/>
        </w:rPr>
        <w:t>observes</w:t>
      </w:r>
      <w:r w:rsidRPr="007E2F20">
        <w:rPr>
          <w:lang w:val="en-US"/>
        </w:rPr>
        <w:t xml:space="preserve"> that Article 205</w:t>
      </w:r>
      <w:r>
        <w:rPr>
          <w:lang w:val="en-US"/>
        </w:rPr>
        <w:t xml:space="preserve">, </w:t>
      </w:r>
      <w:r w:rsidRPr="007E2F20">
        <w:rPr>
          <w:lang w:val="en-US"/>
        </w:rPr>
        <w:t>paragraph 20</w:t>
      </w:r>
      <w:r>
        <w:rPr>
          <w:lang w:val="en-US"/>
        </w:rPr>
        <w:t>,</w:t>
      </w:r>
      <w:r w:rsidRPr="007E2F20">
        <w:rPr>
          <w:lang w:val="en-US"/>
        </w:rPr>
        <w:t xml:space="preserve"> of the Constitution states tha</w:t>
      </w:r>
      <w:r>
        <w:rPr>
          <w:lang w:val="en-US"/>
        </w:rPr>
        <w:t xml:space="preserve">t the Congress has the power to “approve or disapprove the administrative conduct…of the judicial branch.” </w:t>
      </w:r>
      <w:proofErr w:type="gramStart"/>
      <w:r w:rsidRPr="00DE25FB">
        <w:rPr>
          <w:lang w:val="en-US"/>
        </w:rPr>
        <w:t>First of all</w:t>
      </w:r>
      <w:proofErr w:type="gramEnd"/>
      <w:r w:rsidRPr="00DE25FB">
        <w:rPr>
          <w:lang w:val="en-US"/>
        </w:rPr>
        <w:t xml:space="preserve">, as established earlier in the context of </w:t>
      </w:r>
      <w:r>
        <w:rPr>
          <w:lang w:val="en-US"/>
        </w:rPr>
        <w:t xml:space="preserve">the guarantee of </w:t>
      </w:r>
      <w:r w:rsidRPr="00DE25FB">
        <w:rPr>
          <w:lang w:val="en-US"/>
        </w:rPr>
        <w:t xml:space="preserve">competence, this provision may not serve as the justification or basis for the summary decisions made by the </w:t>
      </w:r>
      <w:r>
        <w:rPr>
          <w:lang w:val="en-US"/>
        </w:rPr>
        <w:t xml:space="preserve">National </w:t>
      </w:r>
      <w:r w:rsidRPr="00DE25FB">
        <w:rPr>
          <w:lang w:val="en-US"/>
        </w:rPr>
        <w:t>Cong</w:t>
      </w:r>
      <w:r>
        <w:rPr>
          <w:lang w:val="en-US"/>
        </w:rPr>
        <w:t xml:space="preserve">ress </w:t>
      </w:r>
      <w:r w:rsidRPr="00DE25FB">
        <w:rPr>
          <w:lang w:val="en-US"/>
        </w:rPr>
        <w:t xml:space="preserve">to remove </w:t>
      </w:r>
      <w:r>
        <w:rPr>
          <w:lang w:val="en-US"/>
        </w:rPr>
        <w:t xml:space="preserve">the </w:t>
      </w:r>
      <w:r w:rsidRPr="00DE25FB">
        <w:rPr>
          <w:lang w:val="en-US"/>
        </w:rPr>
        <w:t>justices</w:t>
      </w:r>
      <w:r>
        <w:rPr>
          <w:lang w:val="en-US"/>
        </w:rPr>
        <w:t xml:space="preserve"> from office</w:t>
      </w:r>
      <w:r w:rsidRPr="00DE25FB">
        <w:rPr>
          <w:lang w:val="en-US"/>
        </w:rPr>
        <w:t xml:space="preserve">. </w:t>
      </w:r>
    </w:p>
    <w:p w14:paraId="5E9D2226" w14:textId="77777777" w:rsidR="00E6692A" w:rsidRPr="00DE25FB" w:rsidRDefault="00E6692A" w:rsidP="00E6692A">
      <w:pPr>
        <w:pStyle w:val="Prrafodelista"/>
        <w:rPr>
          <w:lang w:val="en-US"/>
        </w:rPr>
      </w:pPr>
    </w:p>
    <w:p w14:paraId="4D33EA83" w14:textId="77777777" w:rsidR="00E6692A" w:rsidRPr="00025920" w:rsidRDefault="00E6692A" w:rsidP="00E6692A">
      <w:pPr>
        <w:pStyle w:val="parrafos"/>
        <w:numPr>
          <w:ilvl w:val="0"/>
          <w:numId w:val="0"/>
        </w:numPr>
        <w:rPr>
          <w:lang w:val="en-US"/>
        </w:rPr>
      </w:pPr>
      <w:r w:rsidRPr="00025920">
        <w:rPr>
          <w:lang w:val="en-US"/>
        </w:rPr>
        <w:t xml:space="preserve">63. </w:t>
      </w:r>
      <w:proofErr w:type="gramStart"/>
      <w:r w:rsidRPr="00025920">
        <w:rPr>
          <w:lang w:val="en-US"/>
        </w:rPr>
        <w:t>Second of all</w:t>
      </w:r>
      <w:proofErr w:type="gramEnd"/>
      <w:r w:rsidRPr="00025920">
        <w:rPr>
          <w:lang w:val="en-US"/>
        </w:rPr>
        <w:t xml:space="preserve">, the Commission </w:t>
      </w:r>
      <w:r>
        <w:rPr>
          <w:lang w:val="en-US"/>
        </w:rPr>
        <w:t>notes</w:t>
      </w:r>
      <w:r w:rsidRPr="00025920">
        <w:rPr>
          <w:lang w:val="en-US"/>
        </w:rPr>
        <w:t xml:space="preserve"> that the aforementioned constitutional provision is very broad, as it does not determine </w:t>
      </w:r>
      <w:r>
        <w:rPr>
          <w:lang w:val="en-US"/>
        </w:rPr>
        <w:t xml:space="preserve">or specify particular conduct that would be reproachable from a disciplinary standpoint. </w:t>
      </w:r>
      <w:r w:rsidRPr="00025920">
        <w:rPr>
          <w:lang w:val="en-US"/>
        </w:rPr>
        <w:t xml:space="preserve">The Commission further notes that, contrary to the standards that have been cited, the legal framework </w:t>
      </w:r>
      <w:r>
        <w:rPr>
          <w:lang w:val="en-US"/>
        </w:rPr>
        <w:t xml:space="preserve">does not even </w:t>
      </w:r>
      <w:r w:rsidRPr="00025920">
        <w:rPr>
          <w:lang w:val="en-US"/>
        </w:rPr>
        <w:t>establish the groun</w:t>
      </w:r>
      <w:r>
        <w:rPr>
          <w:lang w:val="en-US"/>
        </w:rPr>
        <w:t xml:space="preserve">ds or the sanctions that would apply if such administrative conduct were to be proved. </w:t>
      </w:r>
      <w:r w:rsidRPr="00025920">
        <w:rPr>
          <w:lang w:val="en-US"/>
        </w:rPr>
        <w:t xml:space="preserve">Finally, the Commission considers that this lack of predictability allowed the </w:t>
      </w:r>
      <w:r>
        <w:rPr>
          <w:lang w:val="en-US"/>
        </w:rPr>
        <w:t xml:space="preserve">National </w:t>
      </w:r>
      <w:r w:rsidRPr="00025920">
        <w:rPr>
          <w:lang w:val="en-US"/>
        </w:rPr>
        <w:t>Congress to have excessive discretion when it came to applying the most</w:t>
      </w:r>
      <w:r>
        <w:rPr>
          <w:lang w:val="en-US"/>
        </w:rPr>
        <w:t xml:space="preserve"> severe sanction, as occurred in this case. </w:t>
      </w:r>
    </w:p>
    <w:p w14:paraId="5BB89435" w14:textId="77777777" w:rsidR="00E6692A" w:rsidRPr="00025920" w:rsidRDefault="00E6692A" w:rsidP="00E6692A">
      <w:pPr>
        <w:pStyle w:val="parrafos"/>
        <w:numPr>
          <w:ilvl w:val="0"/>
          <w:numId w:val="0"/>
        </w:numPr>
        <w:rPr>
          <w:lang w:val="en-US"/>
        </w:rPr>
      </w:pPr>
    </w:p>
    <w:p w14:paraId="531A8F51" w14:textId="77777777" w:rsidR="00E6692A" w:rsidRPr="00DF5E9D" w:rsidRDefault="00E6692A" w:rsidP="00E6692A">
      <w:pPr>
        <w:pStyle w:val="parrafos"/>
        <w:numPr>
          <w:ilvl w:val="0"/>
          <w:numId w:val="0"/>
        </w:numPr>
        <w:rPr>
          <w:lang w:val="en-US"/>
        </w:rPr>
      </w:pPr>
      <w:r w:rsidRPr="00DF5E9D">
        <w:rPr>
          <w:rFonts w:cs="Verdana"/>
          <w:lang w:val="en-US"/>
        </w:rPr>
        <w:t xml:space="preserve">64. Consequently, the Commission considers that basing the dismissal of the four justices from the Constitutional Chamber of the Supreme Court on that article is </w:t>
      </w:r>
      <w:r>
        <w:rPr>
          <w:rFonts w:cs="Verdana"/>
          <w:lang w:val="en-US"/>
        </w:rPr>
        <w:t>clearly</w:t>
      </w:r>
      <w:r w:rsidRPr="00DF5E9D">
        <w:rPr>
          <w:rFonts w:cs="Verdana"/>
          <w:lang w:val="en-US"/>
        </w:rPr>
        <w:t xml:space="preserve"> contrary to the principle of legality in disciplinary matt</w:t>
      </w:r>
      <w:r>
        <w:rPr>
          <w:rFonts w:cs="Verdana"/>
          <w:lang w:val="en-US"/>
        </w:rPr>
        <w:t>ers.</w:t>
      </w:r>
    </w:p>
    <w:p w14:paraId="3CF8FD01" w14:textId="77777777" w:rsidR="00E6692A" w:rsidRPr="00DF5E9D" w:rsidRDefault="00E6692A" w:rsidP="00E6692A">
      <w:pPr>
        <w:pStyle w:val="Prrafodelista"/>
        <w:rPr>
          <w:lang w:val="en-US"/>
        </w:rPr>
      </w:pPr>
    </w:p>
    <w:p w14:paraId="370EDC64" w14:textId="77777777" w:rsidR="00E6692A" w:rsidRPr="004E0AC9" w:rsidRDefault="00E6692A" w:rsidP="00E6692A">
      <w:pPr>
        <w:pStyle w:val="parrafos"/>
        <w:numPr>
          <w:ilvl w:val="0"/>
          <w:numId w:val="0"/>
        </w:numPr>
        <w:rPr>
          <w:rFonts w:cs="Verdana"/>
          <w:lang w:val="en-US"/>
        </w:rPr>
      </w:pPr>
      <w:r w:rsidRPr="004E0AC9">
        <w:rPr>
          <w:lang w:val="en-US"/>
        </w:rPr>
        <w:t xml:space="preserve">65. In view of the above considerations, the IACHR concludes that the Honduran State violated Article 9 of the American Convention </w:t>
      </w:r>
      <w:r>
        <w:rPr>
          <w:lang w:val="en-US"/>
        </w:rPr>
        <w:t>in connection with</w:t>
      </w:r>
      <w:r w:rsidRPr="004E0AC9">
        <w:rPr>
          <w:lang w:val="en-US"/>
        </w:rPr>
        <w:t xml:space="preserve"> Articles 1</w:t>
      </w:r>
      <w:r>
        <w:rPr>
          <w:lang w:val="en-US"/>
        </w:rPr>
        <w:t>(</w:t>
      </w:r>
      <w:r w:rsidRPr="004E0AC9">
        <w:rPr>
          <w:lang w:val="en-US"/>
        </w:rPr>
        <w:t>1</w:t>
      </w:r>
      <w:r>
        <w:rPr>
          <w:lang w:val="en-US"/>
        </w:rPr>
        <w:t xml:space="preserve">) and </w:t>
      </w:r>
      <w:r w:rsidRPr="004E0AC9">
        <w:rPr>
          <w:lang w:val="en-US"/>
        </w:rPr>
        <w:t xml:space="preserve">2 </w:t>
      </w:r>
      <w:r>
        <w:rPr>
          <w:lang w:val="en-US"/>
        </w:rPr>
        <w:t xml:space="preserve">thereof, to the detriment of </w:t>
      </w:r>
      <w:r w:rsidRPr="004E0AC9">
        <w:rPr>
          <w:lang w:val="en-US"/>
        </w:rPr>
        <w:t xml:space="preserve">José Antonio Gutiérrez </w:t>
      </w:r>
      <w:proofErr w:type="spellStart"/>
      <w:r w:rsidRPr="004E0AC9">
        <w:rPr>
          <w:lang w:val="en-US"/>
        </w:rPr>
        <w:t>Navas</w:t>
      </w:r>
      <w:proofErr w:type="spellEnd"/>
      <w:r w:rsidRPr="004E0AC9">
        <w:rPr>
          <w:lang w:val="en-US"/>
        </w:rPr>
        <w:t xml:space="preserve">, Rosalinda Cruz </w:t>
      </w:r>
      <w:proofErr w:type="spellStart"/>
      <w:r w:rsidRPr="004E0AC9">
        <w:rPr>
          <w:lang w:val="en-US"/>
        </w:rPr>
        <w:t>Sequeira</w:t>
      </w:r>
      <w:proofErr w:type="spellEnd"/>
      <w:r w:rsidRPr="004E0AC9">
        <w:rPr>
          <w:lang w:val="en-US"/>
        </w:rPr>
        <w:t xml:space="preserve">, José Francisco Ruiz </w:t>
      </w:r>
      <w:proofErr w:type="spellStart"/>
      <w:r w:rsidRPr="004E0AC9">
        <w:rPr>
          <w:lang w:val="en-US"/>
        </w:rPr>
        <w:t>Gaekel</w:t>
      </w:r>
      <w:proofErr w:type="spellEnd"/>
      <w:r>
        <w:rPr>
          <w:lang w:val="en-US"/>
        </w:rPr>
        <w:t xml:space="preserve">, and </w:t>
      </w:r>
      <w:r w:rsidRPr="004E0AC9">
        <w:rPr>
          <w:lang w:val="en-US"/>
        </w:rPr>
        <w:t>Gustavo Enrique Bustillo Palma.</w:t>
      </w:r>
    </w:p>
    <w:p w14:paraId="5029B7AD" w14:textId="77777777" w:rsidR="00E6692A" w:rsidRPr="004E0AC9" w:rsidRDefault="00E6692A" w:rsidP="00E6692A">
      <w:pPr>
        <w:pStyle w:val="Prrafodelista"/>
        <w:rPr>
          <w:lang w:val="en-US"/>
        </w:rPr>
      </w:pPr>
    </w:p>
    <w:p w14:paraId="6B784F65" w14:textId="77777777" w:rsidR="00E6692A" w:rsidRPr="00C22DDB" w:rsidRDefault="00E6692A" w:rsidP="00E6692A">
      <w:pPr>
        <w:pStyle w:val="Ttulo3"/>
        <w:numPr>
          <w:ilvl w:val="0"/>
          <w:numId w:val="0"/>
        </w:numPr>
      </w:pPr>
      <w:bookmarkStart w:id="35" w:name="_Toc65248171"/>
      <w:bookmarkStart w:id="36" w:name="_Toc69410069"/>
      <w:r w:rsidRPr="00C22DDB">
        <w:lastRenderedPageBreak/>
        <w:t xml:space="preserve">4. </w:t>
      </w:r>
      <w:r>
        <w:t>R</w:t>
      </w:r>
      <w:r w:rsidRPr="00C22DDB">
        <w:t xml:space="preserve">ight </w:t>
      </w:r>
      <w:r>
        <w:t>of</w:t>
      </w:r>
      <w:r w:rsidRPr="00C22DDB">
        <w:t xml:space="preserve"> defense</w:t>
      </w:r>
      <w:r w:rsidRPr="00DB55CD">
        <w:rPr>
          <w:rStyle w:val="Refdenotaalpie"/>
          <w:b w:val="0"/>
          <w:bCs w:val="0"/>
          <w:lang w:val="es-ES"/>
        </w:rPr>
        <w:footnoteReference w:id="68"/>
      </w:r>
      <w:r w:rsidRPr="00C22DDB">
        <w:t xml:space="preserve"> and </w:t>
      </w:r>
      <w:r w:rsidRPr="00472334">
        <w:t>right to duly substantiated decisions</w:t>
      </w:r>
      <w:r w:rsidRPr="00DB55CD">
        <w:rPr>
          <w:rStyle w:val="Refdenotaalpie"/>
          <w:b w:val="0"/>
          <w:bCs w:val="0"/>
          <w:lang w:val="es-ES"/>
        </w:rPr>
        <w:footnoteReference w:id="69"/>
      </w:r>
      <w:bookmarkEnd w:id="35"/>
      <w:bookmarkEnd w:id="36"/>
      <w:r w:rsidRPr="00C22DDB">
        <w:rPr>
          <w:rStyle w:val="Refdenotaalpie"/>
          <w:vertAlign w:val="baseline"/>
        </w:rPr>
        <w:t xml:space="preserve"> </w:t>
      </w:r>
    </w:p>
    <w:p w14:paraId="018AD6F2" w14:textId="77777777" w:rsidR="00E6692A" w:rsidRPr="00C22DDB" w:rsidRDefault="00E6692A" w:rsidP="00E6692A"/>
    <w:p w14:paraId="4664C221" w14:textId="77777777" w:rsidR="00E6692A" w:rsidRPr="00C961D2" w:rsidRDefault="00E6692A" w:rsidP="00E6692A">
      <w:pPr>
        <w:pStyle w:val="parrafos"/>
        <w:numPr>
          <w:ilvl w:val="0"/>
          <w:numId w:val="0"/>
        </w:numPr>
        <w:rPr>
          <w:bdr w:val="none" w:sz="0" w:space="0" w:color="auto"/>
          <w:lang w:val="en-US"/>
        </w:rPr>
      </w:pPr>
      <w:r w:rsidRPr="00C961D2">
        <w:rPr>
          <w:bdr w:val="none" w:sz="0" w:space="0" w:color="auto"/>
          <w:lang w:val="en-US"/>
        </w:rPr>
        <w:t xml:space="preserve">66. </w:t>
      </w:r>
      <w:r>
        <w:rPr>
          <w:bdr w:val="none" w:sz="0" w:space="0" w:color="auto"/>
          <w:lang w:val="en-US"/>
        </w:rPr>
        <w:t>T</w:t>
      </w:r>
      <w:r w:rsidRPr="00C961D2">
        <w:rPr>
          <w:bdr w:val="none" w:sz="0" w:space="0" w:color="auto"/>
          <w:lang w:val="en-US"/>
        </w:rPr>
        <w:t xml:space="preserve">he Inter-American Court has established that </w:t>
      </w:r>
      <w:r>
        <w:rPr>
          <w:bdr w:val="none" w:sz="0" w:space="0" w:color="auto"/>
          <w:lang w:val="en-US"/>
        </w:rPr>
        <w:t>under</w:t>
      </w:r>
      <w:r w:rsidRPr="00C961D2">
        <w:rPr>
          <w:bdr w:val="none" w:sz="0" w:space="0" w:color="auto"/>
          <w:lang w:val="en-US"/>
        </w:rPr>
        <w:t xml:space="preserve"> Article 8 of the Convention, </w:t>
      </w:r>
      <w:r>
        <w:rPr>
          <w:bdr w:val="none" w:sz="0" w:space="0" w:color="auto"/>
          <w:lang w:val="en-US"/>
        </w:rPr>
        <w:t xml:space="preserve">the </w:t>
      </w:r>
      <w:r w:rsidRPr="00C961D2">
        <w:rPr>
          <w:bdr w:val="none" w:sz="0" w:space="0" w:color="auto"/>
          <w:lang w:val="en-US"/>
        </w:rPr>
        <w:t xml:space="preserve">right </w:t>
      </w:r>
      <w:r>
        <w:rPr>
          <w:bdr w:val="none" w:sz="0" w:space="0" w:color="auto"/>
          <w:lang w:val="en-US"/>
        </w:rPr>
        <w:t>of</w:t>
      </w:r>
      <w:r w:rsidRPr="00C961D2">
        <w:rPr>
          <w:bdr w:val="none" w:sz="0" w:space="0" w:color="auto"/>
          <w:lang w:val="en-US"/>
        </w:rPr>
        <w:t xml:space="preserve"> defense is </w:t>
      </w:r>
      <w:r>
        <w:rPr>
          <w:bdr w:val="none" w:sz="0" w:space="0" w:color="auto"/>
          <w:lang w:val="en-US"/>
        </w:rPr>
        <w:t>part</w:t>
      </w:r>
      <w:r w:rsidRPr="00C961D2">
        <w:rPr>
          <w:bdr w:val="none" w:sz="0" w:space="0" w:color="auto"/>
          <w:lang w:val="en-US"/>
        </w:rPr>
        <w:t xml:space="preserve"> of due process and that f</w:t>
      </w:r>
      <w:r w:rsidRPr="006A3A94">
        <w:rPr>
          <w:bdr w:val="none" w:sz="0" w:space="0" w:color="auto"/>
          <w:lang w:val="en-US"/>
        </w:rPr>
        <w:t>or that</w:t>
      </w:r>
      <w:r>
        <w:rPr>
          <w:bdr w:val="none" w:sz="0" w:space="0" w:color="auto"/>
          <w:lang w:val="en-US"/>
        </w:rPr>
        <w:t xml:space="preserve"> right</w:t>
      </w:r>
      <w:r w:rsidRPr="00C961D2">
        <w:rPr>
          <w:bdr w:val="none" w:sz="0" w:space="0" w:color="auto"/>
          <w:lang w:val="en-US"/>
        </w:rPr>
        <w:t xml:space="preserve"> to be observed, a defendant must be able to </w:t>
      </w:r>
      <w:r>
        <w:rPr>
          <w:bdr w:val="none" w:sz="0" w:space="0" w:color="auto"/>
          <w:lang w:val="en-US"/>
        </w:rPr>
        <w:t xml:space="preserve">exercise his rights and </w:t>
      </w:r>
      <w:r w:rsidRPr="00C961D2">
        <w:rPr>
          <w:bdr w:val="none" w:sz="0" w:space="0" w:color="auto"/>
          <w:lang w:val="en-US"/>
        </w:rPr>
        <w:t>defend his interests</w:t>
      </w:r>
      <w:r>
        <w:rPr>
          <w:bdr w:val="none" w:sz="0" w:space="0" w:color="auto"/>
          <w:lang w:val="en-US"/>
        </w:rPr>
        <w:t xml:space="preserve"> </w:t>
      </w:r>
      <w:r w:rsidRPr="00C961D2">
        <w:rPr>
          <w:bdr w:val="none" w:sz="0" w:space="0" w:color="auto"/>
          <w:lang w:val="en-US"/>
        </w:rPr>
        <w:t xml:space="preserve">effectively and in full </w:t>
      </w:r>
      <w:r>
        <w:rPr>
          <w:bdr w:val="none" w:sz="0" w:space="0" w:color="auto"/>
          <w:lang w:val="en-US"/>
        </w:rPr>
        <w:t>procedural equality with other defendants</w:t>
      </w:r>
      <w:r w:rsidRPr="00DB55CD">
        <w:rPr>
          <w:bdr w:val="none" w:sz="0" w:space="0" w:color="auto"/>
          <w:vertAlign w:val="superscript"/>
        </w:rPr>
        <w:footnoteReference w:id="70"/>
      </w:r>
      <w:r w:rsidRPr="00C961D2">
        <w:rPr>
          <w:bdr w:val="none" w:sz="0" w:space="0" w:color="auto"/>
          <w:lang w:val="en-US"/>
        </w:rPr>
        <w:t xml:space="preserve"> </w:t>
      </w:r>
      <w:r>
        <w:rPr>
          <w:bdr w:val="none" w:sz="0" w:space="0" w:color="auto"/>
          <w:lang w:val="en-US"/>
        </w:rPr>
        <w:t>and must be fully informed of the charges against him.</w:t>
      </w:r>
      <w:r w:rsidRPr="00DB55CD">
        <w:rPr>
          <w:bdr w:val="none" w:sz="0" w:space="0" w:color="auto"/>
          <w:vertAlign w:val="superscript"/>
        </w:rPr>
        <w:footnoteReference w:id="71"/>
      </w:r>
      <w:r w:rsidRPr="00C961D2">
        <w:rPr>
          <w:bdr w:val="none" w:sz="0" w:space="0" w:color="auto"/>
          <w:lang w:val="en-US"/>
        </w:rPr>
        <w:t xml:space="preserve"> </w:t>
      </w:r>
    </w:p>
    <w:p w14:paraId="22783905" w14:textId="77777777" w:rsidR="00E6692A" w:rsidRPr="00C961D2" w:rsidRDefault="00E6692A" w:rsidP="00E6692A">
      <w:pPr>
        <w:pStyle w:val="Prrafodelista"/>
        <w:rPr>
          <w:bdr w:val="none" w:sz="0" w:space="0" w:color="auto"/>
          <w:lang w:val="en-US"/>
        </w:rPr>
      </w:pPr>
    </w:p>
    <w:p w14:paraId="79302943" w14:textId="77777777" w:rsidR="00E6692A" w:rsidRPr="00CD5726" w:rsidRDefault="00E6692A" w:rsidP="00E6692A">
      <w:pPr>
        <w:pStyle w:val="parrafos"/>
        <w:numPr>
          <w:ilvl w:val="0"/>
          <w:numId w:val="0"/>
        </w:numPr>
        <w:rPr>
          <w:bdr w:val="none" w:sz="0" w:space="0" w:color="auto"/>
          <w:lang w:val="en-US"/>
        </w:rPr>
      </w:pPr>
      <w:r w:rsidRPr="00517B2B">
        <w:rPr>
          <w:lang w:val="en-US"/>
        </w:rPr>
        <w:t xml:space="preserve">67. </w:t>
      </w:r>
      <w:r>
        <w:rPr>
          <w:lang w:val="en-US"/>
        </w:rPr>
        <w:t>In the case of</w:t>
      </w:r>
      <w:r w:rsidRPr="00517B2B">
        <w:rPr>
          <w:lang w:val="en-US"/>
        </w:rPr>
        <w:t xml:space="preserve"> disciplinary </w:t>
      </w:r>
      <w:r>
        <w:rPr>
          <w:lang w:val="en-US"/>
        </w:rPr>
        <w:t>proceedings against</w:t>
      </w:r>
      <w:r w:rsidRPr="00517B2B">
        <w:rPr>
          <w:lang w:val="en-US"/>
        </w:rPr>
        <w:t xml:space="preserve"> justice operators, </w:t>
      </w:r>
      <w:r>
        <w:rPr>
          <w:lang w:val="en-US"/>
        </w:rPr>
        <w:t>various</w:t>
      </w:r>
      <w:r w:rsidRPr="00517B2B">
        <w:rPr>
          <w:lang w:val="en-US"/>
        </w:rPr>
        <w:t xml:space="preserve"> instruments of international law </w:t>
      </w:r>
      <w:r w:rsidRPr="002D411E">
        <w:rPr>
          <w:lang w:val="en-US"/>
        </w:rPr>
        <w:t>establish</w:t>
      </w:r>
      <w:r w:rsidRPr="00517B2B">
        <w:rPr>
          <w:lang w:val="en-US"/>
        </w:rPr>
        <w:t xml:space="preserve"> the</w:t>
      </w:r>
      <w:r>
        <w:rPr>
          <w:lang w:val="en-US"/>
        </w:rPr>
        <w:t>ir</w:t>
      </w:r>
      <w:r w:rsidRPr="00517B2B">
        <w:rPr>
          <w:lang w:val="en-US"/>
        </w:rPr>
        <w:t xml:space="preserve"> right to </w:t>
      </w:r>
      <w:r>
        <w:rPr>
          <w:lang w:val="en-US"/>
        </w:rPr>
        <w:t xml:space="preserve">be heard </w:t>
      </w:r>
      <w:r w:rsidRPr="00517B2B">
        <w:rPr>
          <w:lang w:val="en-US"/>
        </w:rPr>
        <w:t xml:space="preserve">in a </w:t>
      </w:r>
      <w:r w:rsidRPr="00191D78">
        <w:rPr>
          <w:lang w:val="en-US"/>
        </w:rPr>
        <w:t>disciplinary proceeding and to exercise their right of defense. In that regard, the Inter-American Court has indicated, in keeping with the United Nations Basic Principles on the Independence of the Judiciary, that the authority in charge of the disciplinary proceeding must behave in accordance with the procedure established for the purpose and allow the justice operator to exercise his or her right of defense.</w:t>
      </w:r>
      <w:r w:rsidRPr="00191D78">
        <w:rPr>
          <w:rStyle w:val="Refdenotaalpie"/>
        </w:rPr>
        <w:footnoteReference w:id="72"/>
      </w:r>
      <w:r w:rsidRPr="00191D78">
        <w:rPr>
          <w:lang w:val="en-US"/>
        </w:rPr>
        <w:t xml:space="preserve"> Likewise, the Venice Commission</w:t>
      </w:r>
      <w:r w:rsidRPr="00CD5726">
        <w:rPr>
          <w:lang w:val="en-US"/>
        </w:rPr>
        <w:t xml:space="preserve"> has recognized that prosecutors are entitled to be heard in adversarial proceedings,</w:t>
      </w:r>
      <w:r w:rsidRPr="00DB55CD">
        <w:rPr>
          <w:rStyle w:val="Refdenotaalpie"/>
        </w:rPr>
        <w:footnoteReference w:id="73"/>
      </w:r>
      <w:r w:rsidRPr="00CD5726">
        <w:rPr>
          <w:lang w:val="en-US"/>
        </w:rPr>
        <w:t xml:space="preserve"> and the Basic Principles on the Role of Lawyers, which also apply to public defenders, provide the </w:t>
      </w:r>
      <w:r>
        <w:rPr>
          <w:lang w:val="en-US"/>
        </w:rPr>
        <w:t>right to a fair hearing and the right to be assisted by a lawyer of their choice.</w:t>
      </w:r>
      <w:r w:rsidRPr="00DB55CD">
        <w:rPr>
          <w:rStyle w:val="Refdenotaalpie"/>
        </w:rPr>
        <w:footnoteReference w:id="74"/>
      </w:r>
    </w:p>
    <w:p w14:paraId="47ABF53D" w14:textId="77777777" w:rsidR="00E6692A" w:rsidRPr="00CD5726" w:rsidRDefault="00E6692A" w:rsidP="00E6692A">
      <w:pPr>
        <w:pStyle w:val="Prrafodelista"/>
        <w:rPr>
          <w:bdr w:val="none" w:sz="0" w:space="0" w:color="auto"/>
          <w:lang w:val="en-US"/>
        </w:rPr>
      </w:pPr>
    </w:p>
    <w:p w14:paraId="2AEBEF6A" w14:textId="77777777" w:rsidR="00E6692A" w:rsidRPr="00F571A8" w:rsidRDefault="00E6692A" w:rsidP="00E6692A">
      <w:pPr>
        <w:pStyle w:val="parrafos"/>
        <w:numPr>
          <w:ilvl w:val="0"/>
          <w:numId w:val="0"/>
        </w:numPr>
        <w:rPr>
          <w:bdr w:val="none" w:sz="0" w:space="0" w:color="auto"/>
          <w:lang w:val="en-US"/>
        </w:rPr>
      </w:pPr>
      <w:r w:rsidRPr="00F571A8">
        <w:rPr>
          <w:lang w:val="en-US"/>
        </w:rPr>
        <w:t xml:space="preserve">68. In the </w:t>
      </w:r>
      <w:r w:rsidRPr="00F571A8">
        <w:rPr>
          <w:i/>
          <w:iCs/>
          <w:lang w:val="en-US"/>
        </w:rPr>
        <w:t>Case of the Constitutional Court v. Peru</w:t>
      </w:r>
      <w:r w:rsidRPr="00F571A8">
        <w:rPr>
          <w:lang w:val="en-US"/>
        </w:rPr>
        <w:t xml:space="preserve">, the Inter-American Court indicated that the period of time granted for exercising the right of defense, considering the need to examine the case and review the evidence, as well as the possibility </w:t>
      </w:r>
      <w:r>
        <w:rPr>
          <w:lang w:val="en-US"/>
        </w:rPr>
        <w:t>of</w:t>
      </w:r>
      <w:r w:rsidRPr="00F571A8">
        <w:rPr>
          <w:lang w:val="en-US"/>
        </w:rPr>
        <w:t xml:space="preserve"> cross-examin</w:t>
      </w:r>
      <w:r>
        <w:rPr>
          <w:lang w:val="en-US"/>
        </w:rPr>
        <w:t>ing</w:t>
      </w:r>
      <w:r w:rsidRPr="00F571A8">
        <w:rPr>
          <w:lang w:val="en-US"/>
        </w:rPr>
        <w:t xml:space="preserve"> the witnesses whose testimony formed the basis of th</w:t>
      </w:r>
      <w:r>
        <w:rPr>
          <w:lang w:val="en-US"/>
        </w:rPr>
        <w:t>e charge, constituted elements to be analyzed in considering whether it was possible for the dismissed justices to defend themselves.</w:t>
      </w:r>
      <w:r w:rsidRPr="00DB55CD">
        <w:rPr>
          <w:rStyle w:val="Refdenotaalpie"/>
        </w:rPr>
        <w:footnoteReference w:id="75"/>
      </w:r>
    </w:p>
    <w:p w14:paraId="384C8F93" w14:textId="77777777" w:rsidR="00E6692A" w:rsidRPr="00F571A8" w:rsidRDefault="00E6692A" w:rsidP="00E6692A">
      <w:pPr>
        <w:pStyle w:val="Prrafodelista"/>
        <w:rPr>
          <w:bdr w:val="none" w:sz="0" w:space="0" w:color="auto"/>
          <w:lang w:val="en-US"/>
        </w:rPr>
      </w:pPr>
    </w:p>
    <w:p w14:paraId="6C2CBA9D" w14:textId="77777777" w:rsidR="00E6692A" w:rsidRPr="00EE6D01" w:rsidRDefault="00E6692A" w:rsidP="00E6692A">
      <w:pPr>
        <w:pStyle w:val="parrafos"/>
        <w:numPr>
          <w:ilvl w:val="0"/>
          <w:numId w:val="0"/>
        </w:numPr>
        <w:rPr>
          <w:bdr w:val="none" w:sz="0" w:space="0" w:color="auto"/>
          <w:lang w:val="en-US"/>
        </w:rPr>
      </w:pPr>
      <w:r w:rsidRPr="00EE6D01">
        <w:rPr>
          <w:lang w:val="en-US"/>
        </w:rPr>
        <w:t>69. The Inter-American Commission observes that in the instant case, the four justices of the Constitutional Chamber of the Supreme Court did not have the opportunity to be heard and to prepare an adequate d</w:t>
      </w:r>
      <w:r>
        <w:rPr>
          <w:lang w:val="en-US"/>
        </w:rPr>
        <w:t xml:space="preserve">efense. </w:t>
      </w:r>
      <w:r w:rsidRPr="00EE6D01">
        <w:rPr>
          <w:lang w:val="en-US"/>
        </w:rPr>
        <w:t xml:space="preserve">The Commission notes that neither the Special Committee nor the National Congress summoned the alleged victims involved to exercise their right of defense, since among other aspects of the act of </w:t>
      </w:r>
      <w:r w:rsidRPr="00EE6D01">
        <w:rPr>
          <w:bdr w:val="none" w:sz="0" w:space="0" w:color="auto"/>
          <w:lang w:val="en-US"/>
        </w:rPr>
        <w:t>separation</w:t>
      </w:r>
      <w:r>
        <w:rPr>
          <w:lang w:val="en-US"/>
        </w:rPr>
        <w:t xml:space="preserve">, it was held through a summary proceeding, as established above. </w:t>
      </w:r>
    </w:p>
    <w:p w14:paraId="0B000C6E" w14:textId="77777777" w:rsidR="00E6692A" w:rsidRPr="00EE6D01" w:rsidRDefault="00E6692A" w:rsidP="00E6692A">
      <w:pPr>
        <w:pStyle w:val="Prrafodelista"/>
        <w:rPr>
          <w:bdr w:val="none" w:sz="0" w:space="0" w:color="auto"/>
          <w:lang w:val="en-US"/>
        </w:rPr>
      </w:pPr>
    </w:p>
    <w:p w14:paraId="1BE980F3" w14:textId="77777777" w:rsidR="00E6692A" w:rsidRPr="00EE6D01" w:rsidRDefault="00E6692A" w:rsidP="00E6692A">
      <w:pPr>
        <w:pStyle w:val="parrafos"/>
        <w:numPr>
          <w:ilvl w:val="0"/>
          <w:numId w:val="0"/>
        </w:numPr>
        <w:rPr>
          <w:bdr w:val="none" w:sz="0" w:space="0" w:color="auto"/>
          <w:lang w:val="en-US"/>
        </w:rPr>
      </w:pPr>
      <w:r w:rsidRPr="00EE6D01">
        <w:rPr>
          <w:bdr w:val="none" w:sz="0" w:space="0" w:color="auto"/>
          <w:lang w:val="en-US"/>
        </w:rPr>
        <w:t xml:space="preserve">70. Specifically, the Commission notes that the justices were not even legally notified beforehand </w:t>
      </w:r>
      <w:r>
        <w:rPr>
          <w:bdr w:val="none" w:sz="0" w:space="0" w:color="auto"/>
          <w:lang w:val="en-US"/>
        </w:rPr>
        <w:t xml:space="preserve">of </w:t>
      </w:r>
      <w:r w:rsidRPr="00EE6D01">
        <w:rPr>
          <w:bdr w:val="none" w:sz="0" w:space="0" w:color="auto"/>
          <w:lang w:val="en-US"/>
        </w:rPr>
        <w:t xml:space="preserve">some sort of charge or </w:t>
      </w:r>
      <w:r>
        <w:rPr>
          <w:bdr w:val="none" w:sz="0" w:space="0" w:color="auto"/>
          <w:lang w:val="en-US"/>
        </w:rPr>
        <w:t xml:space="preserve">the </w:t>
      </w:r>
      <w:r w:rsidRPr="00EE6D01">
        <w:rPr>
          <w:bdr w:val="none" w:sz="0" w:space="0" w:color="auto"/>
          <w:lang w:val="en-US"/>
        </w:rPr>
        <w:t xml:space="preserve">opening of a disciplinary proceeding; nor were they summoned to testify before the Special Committee of Deputies or before the </w:t>
      </w:r>
      <w:r>
        <w:rPr>
          <w:bdr w:val="none" w:sz="0" w:space="0" w:color="auto"/>
          <w:lang w:val="en-US"/>
        </w:rPr>
        <w:t xml:space="preserve">National </w:t>
      </w:r>
      <w:r w:rsidRPr="00EE6D01">
        <w:rPr>
          <w:bdr w:val="none" w:sz="0" w:space="0" w:color="auto"/>
          <w:lang w:val="en-US"/>
        </w:rPr>
        <w:t xml:space="preserve">Congress that determined their </w:t>
      </w:r>
      <w:r>
        <w:rPr>
          <w:bdr w:val="none" w:sz="0" w:space="0" w:color="auto"/>
          <w:lang w:val="en-US"/>
        </w:rPr>
        <w:t xml:space="preserve">removal from office. </w:t>
      </w:r>
      <w:r w:rsidRPr="00EE6D01">
        <w:rPr>
          <w:bdr w:val="none" w:sz="0" w:space="0" w:color="auto"/>
          <w:lang w:val="en-US"/>
        </w:rPr>
        <w:t xml:space="preserve">In addition, the Commission observes that the alleged victims did not have the opportunity to dispute the arguments that formed the basis for their dismissal, or to present evidence to be analyzed by the relevant authorities. </w:t>
      </w:r>
    </w:p>
    <w:p w14:paraId="6804AB76" w14:textId="77777777" w:rsidR="00E6692A" w:rsidRPr="00EE6D01" w:rsidRDefault="00E6692A" w:rsidP="00E6692A">
      <w:pPr>
        <w:pStyle w:val="Prrafodelista"/>
        <w:rPr>
          <w:bdr w:val="none" w:sz="0" w:space="0" w:color="auto"/>
          <w:lang w:val="en-US"/>
        </w:rPr>
      </w:pPr>
    </w:p>
    <w:p w14:paraId="1632CF1F" w14:textId="77777777" w:rsidR="00E6692A" w:rsidRPr="00845FE0" w:rsidRDefault="00E6692A" w:rsidP="00E6692A">
      <w:pPr>
        <w:pStyle w:val="parrafos"/>
        <w:numPr>
          <w:ilvl w:val="0"/>
          <w:numId w:val="0"/>
        </w:numPr>
        <w:rPr>
          <w:bdr w:val="none" w:sz="0" w:space="0" w:color="auto"/>
          <w:lang w:val="en-US"/>
        </w:rPr>
      </w:pPr>
      <w:r w:rsidRPr="005A7BF0">
        <w:rPr>
          <w:bdr w:val="none" w:sz="0" w:space="0" w:color="auto"/>
          <w:lang w:val="en-US"/>
        </w:rPr>
        <w:t xml:space="preserve">71. Moreover, the Commission considers that the speed by which the Congress determined the maximum penalty against the four justices of the Constitutional Chamber violated their right of defense. The evidence shows that on December 10, 2012, the Congress created a Special Committee to investigate the alleged victims’ </w:t>
      </w:r>
      <w:r w:rsidRPr="005A7BF0">
        <w:rPr>
          <w:bdr w:val="none" w:sz="0" w:space="0" w:color="auto"/>
          <w:lang w:val="en-US"/>
        </w:rPr>
        <w:lastRenderedPageBreak/>
        <w:t>administrative conduct; on the evening of December 11, 2012, th</w:t>
      </w:r>
      <w:r>
        <w:rPr>
          <w:bdr w:val="none" w:sz="0" w:space="0" w:color="auto"/>
          <w:lang w:val="en-US"/>
        </w:rPr>
        <w:t xml:space="preserve">e Congress approved the Special Committee’s report; and in the early morning hours of December </w:t>
      </w:r>
      <w:r w:rsidRPr="005A7BF0">
        <w:rPr>
          <w:bdr w:val="none" w:sz="0" w:space="0" w:color="auto"/>
          <w:lang w:val="en-US"/>
        </w:rPr>
        <w:t>12</w:t>
      </w:r>
      <w:r>
        <w:rPr>
          <w:bdr w:val="none" w:sz="0" w:space="0" w:color="auto"/>
          <w:lang w:val="en-US"/>
        </w:rPr>
        <w:t xml:space="preserve">, </w:t>
      </w:r>
      <w:r w:rsidRPr="005A7BF0">
        <w:rPr>
          <w:bdr w:val="none" w:sz="0" w:space="0" w:color="auto"/>
          <w:lang w:val="en-US"/>
        </w:rPr>
        <w:t>2012</w:t>
      </w:r>
      <w:r>
        <w:rPr>
          <w:bdr w:val="none" w:sz="0" w:space="0" w:color="auto"/>
          <w:lang w:val="en-US"/>
        </w:rPr>
        <w:t xml:space="preserve">—only hours later, it must be said—the justices were dismissed. </w:t>
      </w:r>
      <w:r w:rsidRPr="00845FE0">
        <w:rPr>
          <w:bdr w:val="none" w:sz="0" w:space="0" w:color="auto"/>
          <w:lang w:val="en-US"/>
        </w:rPr>
        <w:t>The Commission deems that</w:t>
      </w:r>
      <w:r>
        <w:rPr>
          <w:bdr w:val="none" w:sz="0" w:space="0" w:color="auto"/>
          <w:lang w:val="en-US"/>
        </w:rPr>
        <w:t xml:space="preserve"> </w:t>
      </w:r>
      <w:r w:rsidRPr="00845FE0">
        <w:rPr>
          <w:bdr w:val="none" w:sz="0" w:space="0" w:color="auto"/>
          <w:lang w:val="en-US"/>
        </w:rPr>
        <w:t xml:space="preserve">the excessive speed with which the </w:t>
      </w:r>
      <w:r>
        <w:rPr>
          <w:bdr w:val="none" w:sz="0" w:space="0" w:color="auto"/>
          <w:lang w:val="en-US"/>
        </w:rPr>
        <w:t>Congress acted allowed no room for even a minimal defense on technical or material grounds on the part of the alleged victims.</w:t>
      </w:r>
    </w:p>
    <w:p w14:paraId="36409867" w14:textId="77777777" w:rsidR="00E6692A" w:rsidRPr="00845FE0" w:rsidRDefault="00E6692A" w:rsidP="00E6692A">
      <w:pPr>
        <w:pStyle w:val="Prrafodelista"/>
        <w:rPr>
          <w:lang w:val="en-US"/>
        </w:rPr>
      </w:pPr>
    </w:p>
    <w:p w14:paraId="67236D79" w14:textId="77777777" w:rsidR="00E6692A" w:rsidRPr="001767F4" w:rsidRDefault="00E6692A" w:rsidP="00E6692A">
      <w:pPr>
        <w:pStyle w:val="parrafos"/>
        <w:numPr>
          <w:ilvl w:val="0"/>
          <w:numId w:val="0"/>
        </w:numPr>
        <w:rPr>
          <w:bdr w:val="none" w:sz="0" w:space="0" w:color="auto"/>
          <w:lang w:val="en-US"/>
        </w:rPr>
      </w:pPr>
      <w:r w:rsidRPr="001767F4">
        <w:rPr>
          <w:lang w:val="en-US"/>
        </w:rPr>
        <w:t xml:space="preserve">72. Finally, the Commission </w:t>
      </w:r>
      <w:r>
        <w:rPr>
          <w:lang w:val="en-US"/>
        </w:rPr>
        <w:t>takes note</w:t>
      </w:r>
      <w:r w:rsidRPr="001767F4">
        <w:rPr>
          <w:lang w:val="en-US"/>
        </w:rPr>
        <w:t xml:space="preserve"> that the </w:t>
      </w:r>
      <w:r w:rsidRPr="001767F4">
        <w:rPr>
          <w:bdr w:val="none" w:sz="0" w:space="0" w:color="auto"/>
          <w:lang w:val="en-US"/>
        </w:rPr>
        <w:t xml:space="preserve">four justices of the Constitutional Chamber learned </w:t>
      </w:r>
      <w:r>
        <w:rPr>
          <w:bdr w:val="none" w:sz="0" w:space="0" w:color="auto"/>
          <w:lang w:val="en-US"/>
        </w:rPr>
        <w:t>that they had been removed from office</w:t>
      </w:r>
      <w:r w:rsidRPr="001767F4">
        <w:rPr>
          <w:bdr w:val="none" w:sz="0" w:space="0" w:color="auto"/>
          <w:lang w:val="en-US"/>
        </w:rPr>
        <w:t xml:space="preserve"> after the Congress had already announced the sanction, </w:t>
      </w:r>
      <w:r>
        <w:rPr>
          <w:bdr w:val="none" w:sz="0" w:space="0" w:color="auto"/>
          <w:lang w:val="en-US"/>
        </w:rPr>
        <w:t>as</w:t>
      </w:r>
      <w:r w:rsidRPr="001767F4">
        <w:rPr>
          <w:bdr w:val="none" w:sz="0" w:space="0" w:color="auto"/>
          <w:lang w:val="en-US"/>
        </w:rPr>
        <w:t xml:space="preserve"> they were never provided official noti</w:t>
      </w:r>
      <w:r>
        <w:rPr>
          <w:bdr w:val="none" w:sz="0" w:space="0" w:color="auto"/>
          <w:lang w:val="en-US"/>
        </w:rPr>
        <w:t>fication</w:t>
      </w:r>
      <w:r w:rsidRPr="001767F4">
        <w:rPr>
          <w:bdr w:val="none" w:sz="0" w:space="0" w:color="auto"/>
          <w:lang w:val="en-US"/>
        </w:rPr>
        <w:t xml:space="preserve"> of their dismissal.</w:t>
      </w:r>
      <w:r w:rsidRPr="001767F4">
        <w:rPr>
          <w:lang w:val="en-US"/>
        </w:rPr>
        <w:t xml:space="preserve"> </w:t>
      </w:r>
    </w:p>
    <w:p w14:paraId="552BB4CA" w14:textId="77777777" w:rsidR="00E6692A" w:rsidRPr="001767F4" w:rsidRDefault="00E6692A" w:rsidP="00E6692A">
      <w:pPr>
        <w:pStyle w:val="Prrafodelista"/>
        <w:rPr>
          <w:bdr w:val="none" w:sz="0" w:space="0" w:color="auto"/>
          <w:lang w:val="en-US"/>
        </w:rPr>
      </w:pPr>
    </w:p>
    <w:p w14:paraId="08C39090" w14:textId="77777777" w:rsidR="00E6692A" w:rsidRPr="00BB7BDC" w:rsidRDefault="00E6692A" w:rsidP="00E6692A">
      <w:pPr>
        <w:pStyle w:val="parrafos"/>
        <w:numPr>
          <w:ilvl w:val="0"/>
          <w:numId w:val="0"/>
        </w:numPr>
        <w:rPr>
          <w:bdr w:val="none" w:sz="0" w:space="0" w:color="auto"/>
          <w:lang w:val="en-US"/>
        </w:rPr>
      </w:pPr>
      <w:r w:rsidRPr="001767F4">
        <w:rPr>
          <w:rFonts w:ascii="Cambria" w:hAnsi="Cambria"/>
          <w:lang w:val="en-US"/>
        </w:rPr>
        <w:t xml:space="preserve">73. In </w:t>
      </w:r>
      <w:r>
        <w:rPr>
          <w:rFonts w:ascii="Cambria" w:hAnsi="Cambria"/>
          <w:lang w:val="en-US"/>
        </w:rPr>
        <w:t>view</w:t>
      </w:r>
      <w:r w:rsidRPr="001767F4">
        <w:rPr>
          <w:rFonts w:ascii="Cambria" w:hAnsi="Cambria"/>
          <w:lang w:val="en-US"/>
        </w:rPr>
        <w:t xml:space="preserve"> of the foregoing considerations, the IACHR considers that the Honduran State is responsible for violating the rights established in Articles </w:t>
      </w:r>
      <w:r w:rsidRPr="001767F4">
        <w:rPr>
          <w:lang w:val="en-US"/>
        </w:rPr>
        <w:t xml:space="preserve">8(1) and 8(2)(b), (c), and (d) </w:t>
      </w:r>
      <w:r>
        <w:rPr>
          <w:lang w:val="en-US"/>
        </w:rPr>
        <w:t xml:space="preserve">of the American Convention in connection with Article 1(1) thereof, to the detriment of </w:t>
      </w:r>
      <w:r w:rsidRPr="001767F4">
        <w:rPr>
          <w:lang w:val="en-US"/>
        </w:rPr>
        <w:t xml:space="preserve">José Antonio Gutiérrez </w:t>
      </w:r>
      <w:proofErr w:type="spellStart"/>
      <w:r w:rsidRPr="001767F4">
        <w:rPr>
          <w:lang w:val="en-US"/>
        </w:rPr>
        <w:t>Navas</w:t>
      </w:r>
      <w:proofErr w:type="spellEnd"/>
      <w:r w:rsidRPr="001767F4">
        <w:rPr>
          <w:lang w:val="en-US"/>
        </w:rPr>
        <w:t xml:space="preserve">, Rosalinda Cruz </w:t>
      </w:r>
      <w:proofErr w:type="spellStart"/>
      <w:r w:rsidRPr="001767F4">
        <w:rPr>
          <w:lang w:val="en-US"/>
        </w:rPr>
        <w:t>Sequeira</w:t>
      </w:r>
      <w:proofErr w:type="spellEnd"/>
      <w:r w:rsidRPr="001767F4">
        <w:rPr>
          <w:lang w:val="en-US"/>
        </w:rPr>
        <w:t xml:space="preserve">, José </w:t>
      </w:r>
      <w:r w:rsidRPr="00BB7BDC">
        <w:rPr>
          <w:lang w:val="en-US"/>
        </w:rPr>
        <w:t xml:space="preserve">Francisco Ruiz </w:t>
      </w:r>
      <w:proofErr w:type="spellStart"/>
      <w:r w:rsidRPr="00BB7BDC">
        <w:rPr>
          <w:lang w:val="en-US"/>
        </w:rPr>
        <w:t>Gaekel</w:t>
      </w:r>
      <w:proofErr w:type="spellEnd"/>
      <w:r w:rsidRPr="00BB7BDC">
        <w:rPr>
          <w:lang w:val="en-US"/>
        </w:rPr>
        <w:t>, and Gustavo Enrique Bustillo Palma.</w:t>
      </w:r>
    </w:p>
    <w:p w14:paraId="518D9C5C" w14:textId="77777777" w:rsidR="00E6692A" w:rsidRPr="00BB7BDC" w:rsidRDefault="00E6692A" w:rsidP="00E6692A">
      <w:pPr>
        <w:pStyle w:val="Prrafodelista"/>
        <w:rPr>
          <w:bdr w:val="none" w:sz="0" w:space="0" w:color="auto"/>
          <w:lang w:val="en-US"/>
        </w:rPr>
      </w:pPr>
    </w:p>
    <w:p w14:paraId="40B44A2B" w14:textId="77777777" w:rsidR="00E6692A" w:rsidRPr="00E14577" w:rsidRDefault="00E6692A" w:rsidP="00E6692A">
      <w:pPr>
        <w:pStyle w:val="parrafos"/>
        <w:numPr>
          <w:ilvl w:val="0"/>
          <w:numId w:val="0"/>
        </w:numPr>
        <w:rPr>
          <w:lang w:val="en-US"/>
        </w:rPr>
      </w:pPr>
      <w:r w:rsidRPr="00217931">
        <w:rPr>
          <w:lang w:val="en-US"/>
        </w:rPr>
        <w:t>74</w:t>
      </w:r>
      <w:r w:rsidRPr="00D32D30">
        <w:rPr>
          <w:lang w:val="en-US"/>
        </w:rPr>
        <w:t>. As to the obligation to provide grounds for decisions, inter-American case law has indicated that this translates into the</w:t>
      </w:r>
      <w:r w:rsidRPr="00217931">
        <w:rPr>
          <w:lang w:val="en-US"/>
        </w:rPr>
        <w:t xml:space="preserve"> “reasoned justification” that allows the judge to </w:t>
      </w:r>
      <w:r>
        <w:rPr>
          <w:lang w:val="en-US"/>
        </w:rPr>
        <w:t>arrive at a conclusion.</w:t>
      </w:r>
      <w:r w:rsidRPr="00DB55CD">
        <w:rPr>
          <w:rStyle w:val="Refdenotaalpie"/>
          <w:rFonts w:ascii="Cambria" w:hAnsi="Cambria" w:cs="Verdana"/>
          <w:lang w:val="es-UY"/>
        </w:rPr>
        <w:footnoteReference w:id="76"/>
      </w:r>
      <w:r w:rsidRPr="00217931">
        <w:rPr>
          <w:lang w:val="en-US"/>
        </w:rPr>
        <w:t xml:space="preserve"> </w:t>
      </w:r>
      <w:r w:rsidRPr="00DE7EA5">
        <w:rPr>
          <w:lang w:val="en-US"/>
        </w:rPr>
        <w:t>The Court has indicated that this “is a guarantee related to the correct administration of justice, which protects the right of the people to be tried for the reasons established by law and grants credibility to judicial decisions in a democratic society.”</w:t>
      </w:r>
      <w:r w:rsidRPr="00DB55CD">
        <w:rPr>
          <w:rStyle w:val="Refdenotaalpie"/>
          <w:rFonts w:ascii="Cambria" w:hAnsi="Cambria"/>
          <w:lang w:val="es-AR"/>
        </w:rPr>
        <w:footnoteReference w:id="77"/>
      </w:r>
      <w:r w:rsidRPr="00DE7EA5">
        <w:rPr>
          <w:lang w:val="en-US"/>
        </w:rPr>
        <w:t xml:space="preserve"> </w:t>
      </w:r>
      <w:r w:rsidRPr="00360AEA">
        <w:rPr>
          <w:lang w:val="en-US"/>
        </w:rPr>
        <w:t xml:space="preserve">According to the Inter-American Court, administrative disciplinary decisions must indicate the violation precisely </w:t>
      </w:r>
      <w:r w:rsidRPr="007868D4">
        <w:rPr>
          <w:lang w:val="en-US"/>
        </w:rPr>
        <w:t xml:space="preserve">and submit arguments that allow it to be concluded that what occurred is </w:t>
      </w:r>
      <w:r>
        <w:rPr>
          <w:lang w:val="en-US"/>
        </w:rPr>
        <w:t>sufficiently serious</w:t>
      </w:r>
      <w:r w:rsidRPr="007868D4">
        <w:rPr>
          <w:lang w:val="en-US"/>
        </w:rPr>
        <w:t xml:space="preserve"> to justify removing [a public official] from a post.</w:t>
      </w:r>
      <w:r w:rsidRPr="007868D4">
        <w:rPr>
          <w:rStyle w:val="Refdenotaalpie"/>
          <w:rFonts w:ascii="Cambria" w:hAnsi="Cambria"/>
          <w:lang w:val="es-AR"/>
        </w:rPr>
        <w:footnoteReference w:id="78"/>
      </w:r>
      <w:r w:rsidRPr="00360AEA">
        <w:rPr>
          <w:lang w:val="en-US"/>
        </w:rPr>
        <w:t xml:space="preserve"> </w:t>
      </w:r>
      <w:r w:rsidRPr="00E14577">
        <w:rPr>
          <w:lang w:val="en-US"/>
        </w:rPr>
        <w:t>Moreover, the requirement for proper justification is extremely important because the purpose of disciplinary oversight is to assess a public official</w:t>
      </w:r>
      <w:r>
        <w:rPr>
          <w:lang w:val="en-US"/>
        </w:rPr>
        <w:t xml:space="preserve">’s </w:t>
      </w:r>
      <w:r w:rsidRPr="00E14577">
        <w:rPr>
          <w:lang w:val="en-US"/>
        </w:rPr>
        <w:t>conduct, suitability</w:t>
      </w:r>
      <w:r>
        <w:rPr>
          <w:lang w:val="en-US"/>
        </w:rPr>
        <w:t>,</w:t>
      </w:r>
      <w:r w:rsidRPr="00E14577">
        <w:rPr>
          <w:lang w:val="en-US"/>
        </w:rPr>
        <w:t xml:space="preserve"> and performance, and </w:t>
      </w:r>
      <w:r w:rsidRPr="001B6201">
        <w:rPr>
          <w:lang w:val="en-US"/>
        </w:rPr>
        <w:t>therefore it is in the justification itself where the seriousness of the conduct and the proportionality of the sanction should be analyzed.</w:t>
      </w:r>
      <w:r w:rsidRPr="001B6201">
        <w:rPr>
          <w:rStyle w:val="Refdenotaalpie"/>
          <w:rFonts w:ascii="Cambria" w:hAnsi="Cambria" w:cs="Calibri"/>
        </w:rPr>
        <w:footnoteReference w:id="79"/>
      </w:r>
    </w:p>
    <w:p w14:paraId="5F8E17CE" w14:textId="77777777" w:rsidR="00E6692A" w:rsidRPr="00E14577" w:rsidRDefault="00E6692A" w:rsidP="00E6692A">
      <w:pPr>
        <w:pStyle w:val="parrafos"/>
        <w:numPr>
          <w:ilvl w:val="0"/>
          <w:numId w:val="0"/>
        </w:numPr>
        <w:rPr>
          <w:lang w:val="en-US"/>
        </w:rPr>
      </w:pPr>
    </w:p>
    <w:p w14:paraId="69341EE9" w14:textId="77777777" w:rsidR="00E6692A" w:rsidRPr="007E1F7D" w:rsidRDefault="00E6692A" w:rsidP="00E6692A">
      <w:pPr>
        <w:pStyle w:val="parrafos"/>
        <w:numPr>
          <w:ilvl w:val="0"/>
          <w:numId w:val="0"/>
        </w:numPr>
        <w:rPr>
          <w:lang w:val="en-US"/>
        </w:rPr>
      </w:pPr>
      <w:r w:rsidRPr="00E14577">
        <w:rPr>
          <w:lang w:val="en-US" w:eastAsia="ko-KR"/>
        </w:rPr>
        <w:t>75. In this regard, it is not the IACHR</w:t>
      </w:r>
      <w:r>
        <w:rPr>
          <w:lang w:val="en-US" w:eastAsia="ko-KR"/>
        </w:rPr>
        <w:t>’s role</w:t>
      </w:r>
      <w:r w:rsidRPr="00E14577">
        <w:rPr>
          <w:lang w:val="en-US" w:eastAsia="ko-KR"/>
        </w:rPr>
        <w:t xml:space="preserve"> to determine whether the laws being challenged were in fact unconstitutional, or whether the decisions issued by the Constitutional </w:t>
      </w:r>
      <w:r>
        <w:rPr>
          <w:lang w:val="en-US" w:eastAsia="ko-KR"/>
        </w:rPr>
        <w:t>Chamber</w:t>
      </w:r>
      <w:r w:rsidRPr="00E14577">
        <w:rPr>
          <w:lang w:val="en-US" w:eastAsia="ko-KR"/>
        </w:rPr>
        <w:t xml:space="preserve"> in</w:t>
      </w:r>
      <w:r>
        <w:rPr>
          <w:lang w:val="en-US" w:eastAsia="ko-KR"/>
        </w:rPr>
        <w:t xml:space="preserve"> relation to those cases were correct, nor whether the alleged victims committed administrative irregularities. </w:t>
      </w:r>
      <w:r w:rsidRPr="007E1F7D">
        <w:rPr>
          <w:lang w:val="en-US" w:eastAsia="ko-KR"/>
        </w:rPr>
        <w:t xml:space="preserve">However, under the standards cited </w:t>
      </w:r>
      <w:proofErr w:type="gramStart"/>
      <w:r w:rsidRPr="007E1F7D">
        <w:rPr>
          <w:lang w:val="en-US" w:eastAsia="ko-KR"/>
        </w:rPr>
        <w:t>with regard to</w:t>
      </w:r>
      <w:proofErr w:type="gramEnd"/>
      <w:r w:rsidRPr="007E1F7D">
        <w:rPr>
          <w:lang w:val="en-US" w:eastAsia="ko-KR"/>
        </w:rPr>
        <w:t xml:space="preserve"> judicial independence and under the domestic legal framework itself, in a case such as </w:t>
      </w:r>
      <w:r>
        <w:rPr>
          <w:lang w:val="en-US" w:eastAsia="ko-KR"/>
        </w:rPr>
        <w:t xml:space="preserve">the one at hand </w:t>
      </w:r>
      <w:r w:rsidRPr="007E1F7D">
        <w:rPr>
          <w:lang w:val="en-US" w:eastAsia="ko-KR"/>
        </w:rPr>
        <w:t xml:space="preserve">it was the obligation of the authority that decided </w:t>
      </w:r>
      <w:r>
        <w:rPr>
          <w:lang w:val="en-US" w:eastAsia="ko-KR"/>
        </w:rPr>
        <w:t>up</w:t>
      </w:r>
      <w:r w:rsidRPr="007E1F7D">
        <w:rPr>
          <w:lang w:val="en-US" w:eastAsia="ko-KR"/>
        </w:rPr>
        <w:t>on the alle</w:t>
      </w:r>
      <w:r>
        <w:rPr>
          <w:lang w:val="en-US" w:eastAsia="ko-KR"/>
        </w:rPr>
        <w:t>ged victims’ dismissal, in this case the National Congress, to provide a justification that would clearly establish the reasons for the determination to impose</w:t>
      </w:r>
      <w:r w:rsidRPr="007E1F7D">
        <w:rPr>
          <w:lang w:val="en-US" w:eastAsia="ko-KR"/>
        </w:rPr>
        <w:t xml:space="preserve"> </w:t>
      </w:r>
      <w:r>
        <w:rPr>
          <w:lang w:val="en-US" w:eastAsia="ko-KR"/>
        </w:rPr>
        <w:t xml:space="preserve">the most severe sanction. </w:t>
      </w:r>
    </w:p>
    <w:p w14:paraId="0F92D220" w14:textId="77777777" w:rsidR="00E6692A" w:rsidRPr="007E1F7D" w:rsidRDefault="00E6692A" w:rsidP="00E6692A">
      <w:pPr>
        <w:pStyle w:val="Prrafodelista"/>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rPr>
          <w:rFonts w:asciiTheme="majorHAnsi" w:hAnsiTheme="majorHAnsi"/>
          <w:sz w:val="20"/>
          <w:szCs w:val="20"/>
          <w:lang w:val="en-US"/>
        </w:rPr>
      </w:pPr>
    </w:p>
    <w:p w14:paraId="0E93C44F" w14:textId="77777777" w:rsidR="00E6692A" w:rsidRPr="00E15222" w:rsidRDefault="00E6692A" w:rsidP="00E6692A">
      <w:pPr>
        <w:pStyle w:val="parrafos"/>
        <w:numPr>
          <w:ilvl w:val="0"/>
          <w:numId w:val="0"/>
        </w:numPr>
        <w:rPr>
          <w:lang w:val="en-US" w:eastAsia="ko-KR"/>
        </w:rPr>
      </w:pPr>
      <w:r w:rsidRPr="001C214F">
        <w:rPr>
          <w:lang w:val="en-US"/>
        </w:rPr>
        <w:t xml:space="preserve">76.  </w:t>
      </w:r>
      <w:r>
        <w:rPr>
          <w:lang w:val="en-US"/>
        </w:rPr>
        <w:t>On that point</w:t>
      </w:r>
      <w:r w:rsidRPr="00CC528B">
        <w:rPr>
          <w:lang w:val="en-US"/>
        </w:rPr>
        <w:t>, the Commission considers that Decree No.</w:t>
      </w:r>
      <w:r>
        <w:rPr>
          <w:lang w:val="en-US"/>
        </w:rPr>
        <w:t xml:space="preserve"> </w:t>
      </w:r>
      <w:r w:rsidRPr="00CC528B">
        <w:rPr>
          <w:lang w:val="en-US"/>
        </w:rPr>
        <w:t xml:space="preserve">191-2012 fails to provide any justification and simply indicates that </w:t>
      </w:r>
      <w:r>
        <w:rPr>
          <w:lang w:val="en-US"/>
        </w:rPr>
        <w:t xml:space="preserve">there was disapproval of </w:t>
      </w:r>
      <w:r w:rsidRPr="00CC528B">
        <w:rPr>
          <w:lang w:val="en-US"/>
        </w:rPr>
        <w:t>the administrative conduct of the four justices of the Constitutional Chambe</w:t>
      </w:r>
      <w:r>
        <w:rPr>
          <w:lang w:val="en-US"/>
        </w:rPr>
        <w:t>r</w:t>
      </w:r>
      <w:r w:rsidRPr="00CC528B">
        <w:rPr>
          <w:lang w:val="en-US"/>
        </w:rPr>
        <w:t>, and that their positions had been left vacant in accordance with Article 205</w:t>
      </w:r>
      <w:r>
        <w:rPr>
          <w:lang w:val="en-US"/>
        </w:rPr>
        <w:t>,</w:t>
      </w:r>
      <w:r w:rsidRPr="00CC528B">
        <w:rPr>
          <w:lang w:val="en-US"/>
        </w:rPr>
        <w:t xml:space="preserve"> </w:t>
      </w:r>
      <w:r>
        <w:rPr>
          <w:lang w:val="en-US"/>
        </w:rPr>
        <w:t xml:space="preserve">paragraphs </w:t>
      </w:r>
      <w:r w:rsidRPr="00CC528B">
        <w:rPr>
          <w:lang w:val="en-US"/>
        </w:rPr>
        <w:t xml:space="preserve">20 </w:t>
      </w:r>
      <w:r>
        <w:rPr>
          <w:lang w:val="en-US"/>
        </w:rPr>
        <w:t>and</w:t>
      </w:r>
      <w:r w:rsidRPr="00CC528B">
        <w:rPr>
          <w:lang w:val="en-US"/>
        </w:rPr>
        <w:t xml:space="preserve"> </w:t>
      </w:r>
      <w:proofErr w:type="gramStart"/>
      <w:r w:rsidRPr="00CC528B">
        <w:rPr>
          <w:lang w:val="en-US"/>
        </w:rPr>
        <w:t>21</w:t>
      </w:r>
      <w:r>
        <w:rPr>
          <w:lang w:val="en-US"/>
        </w:rPr>
        <w:t>,</w:t>
      </w:r>
      <w:proofErr w:type="gramEnd"/>
      <w:r w:rsidRPr="00CC528B">
        <w:rPr>
          <w:lang w:val="en-US"/>
        </w:rPr>
        <w:t xml:space="preserve"> </w:t>
      </w:r>
      <w:r>
        <w:rPr>
          <w:lang w:val="en-US"/>
        </w:rPr>
        <w:t>of the Constitution</w:t>
      </w:r>
      <w:r w:rsidRPr="00CC528B">
        <w:rPr>
          <w:lang w:val="en-US"/>
        </w:rPr>
        <w:t xml:space="preserve">. The Commission </w:t>
      </w:r>
      <w:r>
        <w:rPr>
          <w:lang w:val="en-US"/>
        </w:rPr>
        <w:t>takes note</w:t>
      </w:r>
      <w:r w:rsidRPr="00CC528B">
        <w:rPr>
          <w:lang w:val="en-US"/>
        </w:rPr>
        <w:t xml:space="preserve"> that the decision of </w:t>
      </w:r>
      <w:r>
        <w:rPr>
          <w:lang w:val="en-US"/>
        </w:rPr>
        <w:t>dismissal</w:t>
      </w:r>
      <w:r w:rsidRPr="00CC528B">
        <w:rPr>
          <w:lang w:val="en-US"/>
        </w:rPr>
        <w:t xml:space="preserve"> does not include a</w:t>
      </w:r>
      <w:r>
        <w:rPr>
          <w:lang w:val="en-US"/>
        </w:rPr>
        <w:t>ny</w:t>
      </w:r>
      <w:r w:rsidRPr="00CC528B">
        <w:rPr>
          <w:lang w:val="en-US"/>
        </w:rPr>
        <w:t xml:space="preserve"> precise indication of what, in the judgment of the </w:t>
      </w:r>
      <w:r>
        <w:rPr>
          <w:lang w:val="en-US"/>
        </w:rPr>
        <w:t xml:space="preserve">Honduran </w:t>
      </w:r>
      <w:r w:rsidRPr="00CC528B">
        <w:rPr>
          <w:lang w:val="en-US"/>
        </w:rPr>
        <w:t xml:space="preserve">Congress, may have constituted a serious offense or even the alleged </w:t>
      </w:r>
      <w:r>
        <w:rPr>
          <w:lang w:val="en-US"/>
        </w:rPr>
        <w:t>“</w:t>
      </w:r>
      <w:r w:rsidRPr="0008200B">
        <w:rPr>
          <w:lang w:val="en-US"/>
        </w:rPr>
        <w:t>disapproved administrative conduct</w:t>
      </w:r>
      <w:r>
        <w:rPr>
          <w:lang w:val="en-US"/>
        </w:rPr>
        <w:t xml:space="preserve">” on the part of the justices. </w:t>
      </w:r>
      <w:r w:rsidRPr="00E15222">
        <w:rPr>
          <w:lang w:val="en-US"/>
        </w:rPr>
        <w:t>The terse line</w:t>
      </w:r>
      <w:r>
        <w:rPr>
          <w:lang w:val="en-US"/>
        </w:rPr>
        <w:t>s</w:t>
      </w:r>
      <w:r w:rsidRPr="00E15222">
        <w:rPr>
          <w:lang w:val="en-US"/>
        </w:rPr>
        <w:t xml:space="preserve"> </w:t>
      </w:r>
      <w:r>
        <w:rPr>
          <w:lang w:val="en-US"/>
        </w:rPr>
        <w:t xml:space="preserve">of the </w:t>
      </w:r>
      <w:r w:rsidRPr="00E15222">
        <w:rPr>
          <w:lang w:val="en-US"/>
        </w:rPr>
        <w:t>decree in question</w:t>
      </w:r>
      <w:r>
        <w:rPr>
          <w:lang w:val="en-US"/>
        </w:rPr>
        <w:t xml:space="preserve"> </w:t>
      </w:r>
      <w:r w:rsidRPr="00E15222">
        <w:rPr>
          <w:lang w:val="en-US"/>
        </w:rPr>
        <w:t xml:space="preserve">did not develop arguments that would make it possible to conclude that the comments on the alleged victims’ conduct </w:t>
      </w:r>
      <w:r>
        <w:rPr>
          <w:lang w:val="en-US"/>
        </w:rPr>
        <w:t>were</w:t>
      </w:r>
      <w:r w:rsidRPr="00E15222">
        <w:rPr>
          <w:lang w:val="en-US"/>
        </w:rPr>
        <w:t xml:space="preserve"> sufficient</w:t>
      </w:r>
      <w:r>
        <w:rPr>
          <w:lang w:val="en-US"/>
        </w:rPr>
        <w:t xml:space="preserve">ly </w:t>
      </w:r>
      <w:r w:rsidRPr="008F7FFB">
        <w:rPr>
          <w:lang w:val="en-US"/>
        </w:rPr>
        <w:t>serious to warrant removing them from their posts.</w:t>
      </w:r>
      <w:r>
        <w:rPr>
          <w:lang w:val="en-US"/>
        </w:rPr>
        <w:t xml:space="preserve"> </w:t>
      </w:r>
    </w:p>
    <w:p w14:paraId="55DEC465" w14:textId="77777777" w:rsidR="00E6692A" w:rsidRPr="00E15222" w:rsidRDefault="00E6692A" w:rsidP="00E6692A">
      <w:pPr>
        <w:pStyle w:val="Prrafodelista"/>
        <w:rPr>
          <w:lang w:val="en-US" w:eastAsia="ko-KR"/>
        </w:rPr>
      </w:pPr>
    </w:p>
    <w:p w14:paraId="5E212B49" w14:textId="77777777" w:rsidR="00E6692A" w:rsidRPr="00E15222" w:rsidRDefault="00E6692A" w:rsidP="00E6692A">
      <w:pPr>
        <w:pStyle w:val="parrafos"/>
        <w:numPr>
          <w:ilvl w:val="0"/>
          <w:numId w:val="0"/>
        </w:numPr>
        <w:rPr>
          <w:lang w:val="en-US" w:eastAsia="ko-KR"/>
        </w:rPr>
      </w:pPr>
      <w:r w:rsidRPr="00E15222">
        <w:rPr>
          <w:lang w:val="en-US" w:eastAsia="ko-KR"/>
        </w:rPr>
        <w:t xml:space="preserve">77. The Commission also observes that this complete lack of argumentation is </w:t>
      </w:r>
      <w:proofErr w:type="gramStart"/>
      <w:r>
        <w:rPr>
          <w:lang w:val="en-US" w:eastAsia="ko-KR"/>
        </w:rPr>
        <w:t xml:space="preserve">in itself </w:t>
      </w:r>
      <w:r w:rsidRPr="00E15222">
        <w:rPr>
          <w:lang w:val="en-US" w:eastAsia="ko-KR"/>
        </w:rPr>
        <w:t>also</w:t>
      </w:r>
      <w:proofErr w:type="gramEnd"/>
      <w:r w:rsidRPr="00E15222">
        <w:rPr>
          <w:lang w:val="en-US" w:eastAsia="ko-KR"/>
        </w:rPr>
        <w:t xml:space="preserve"> </w:t>
      </w:r>
      <w:r>
        <w:rPr>
          <w:lang w:val="en-US" w:eastAsia="ko-KR"/>
        </w:rPr>
        <w:t>a</w:t>
      </w:r>
      <w:r w:rsidRPr="00E15222">
        <w:rPr>
          <w:lang w:val="en-US" w:eastAsia="ko-KR"/>
        </w:rPr>
        <w:t xml:space="preserve"> result of the legal vacuum on disciplinary proceedings against high-level judges and </w:t>
      </w:r>
      <w:r>
        <w:rPr>
          <w:lang w:val="en-US" w:eastAsia="ko-KR"/>
        </w:rPr>
        <w:t>a</w:t>
      </w:r>
      <w:r w:rsidRPr="00E15222">
        <w:rPr>
          <w:lang w:val="en-US" w:eastAsia="ko-KR"/>
        </w:rPr>
        <w:t xml:space="preserve"> violation of the principle of</w:t>
      </w:r>
      <w:r>
        <w:rPr>
          <w:lang w:val="en-US" w:eastAsia="ko-KR"/>
        </w:rPr>
        <w:t xml:space="preserve"> legality, as explained above.</w:t>
      </w:r>
    </w:p>
    <w:p w14:paraId="39866C22" w14:textId="77777777" w:rsidR="00E6692A" w:rsidRPr="00E15222" w:rsidRDefault="00E6692A" w:rsidP="00E669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sz w:val="20"/>
          <w:szCs w:val="20"/>
          <w:lang w:eastAsia="ko-KR"/>
        </w:rPr>
      </w:pPr>
    </w:p>
    <w:p w14:paraId="74EF1B4E" w14:textId="77777777" w:rsidR="00E6692A" w:rsidRPr="007A02D9" w:rsidRDefault="00E6692A" w:rsidP="00E6692A">
      <w:pPr>
        <w:pStyle w:val="parrafos"/>
        <w:numPr>
          <w:ilvl w:val="0"/>
          <w:numId w:val="0"/>
        </w:numPr>
        <w:rPr>
          <w:lang w:val="en-US" w:eastAsia="ko-KR"/>
        </w:rPr>
      </w:pPr>
      <w:r w:rsidRPr="007A02D9">
        <w:rPr>
          <w:lang w:val="en-US" w:eastAsia="ko-KR"/>
        </w:rPr>
        <w:lastRenderedPageBreak/>
        <w:t xml:space="preserve">78. In view of the foregoing considerations, the Commission concludes that the Honduran State, to the detriment of </w:t>
      </w:r>
      <w:r w:rsidRPr="007A02D9">
        <w:rPr>
          <w:lang w:val="en-US"/>
        </w:rPr>
        <w:t xml:space="preserve">José Antonio Gutiérrez </w:t>
      </w:r>
      <w:proofErr w:type="spellStart"/>
      <w:r w:rsidRPr="007A02D9">
        <w:rPr>
          <w:lang w:val="en-US"/>
        </w:rPr>
        <w:t>Navas</w:t>
      </w:r>
      <w:proofErr w:type="spellEnd"/>
      <w:r w:rsidRPr="007A02D9">
        <w:rPr>
          <w:lang w:val="en-US"/>
        </w:rPr>
        <w:t xml:space="preserve">, Rosalinda Cruz </w:t>
      </w:r>
      <w:proofErr w:type="spellStart"/>
      <w:r w:rsidRPr="007A02D9">
        <w:rPr>
          <w:lang w:val="en-US"/>
        </w:rPr>
        <w:t>Sequeira</w:t>
      </w:r>
      <w:proofErr w:type="spellEnd"/>
      <w:r w:rsidRPr="007A02D9">
        <w:rPr>
          <w:lang w:val="en-US"/>
        </w:rPr>
        <w:t xml:space="preserve">, José Francisco Ruiz </w:t>
      </w:r>
      <w:proofErr w:type="spellStart"/>
      <w:r w:rsidRPr="007A02D9">
        <w:rPr>
          <w:lang w:val="en-US"/>
        </w:rPr>
        <w:t>Gaekel</w:t>
      </w:r>
      <w:proofErr w:type="spellEnd"/>
      <w:r w:rsidRPr="007A02D9">
        <w:rPr>
          <w:lang w:val="en-US"/>
        </w:rPr>
        <w:t>, and Gustavo Enrique Bustillo Palma</w:t>
      </w:r>
      <w:r w:rsidRPr="007A02D9">
        <w:rPr>
          <w:lang w:val="en-US" w:eastAsia="ko-KR"/>
        </w:rPr>
        <w:t>, violated the right to duly substantiated decisions</w:t>
      </w:r>
      <w:r>
        <w:rPr>
          <w:lang w:val="en-US" w:eastAsia="ko-KR"/>
        </w:rPr>
        <w:t>,</w:t>
      </w:r>
      <w:r w:rsidRPr="007A02D9">
        <w:rPr>
          <w:lang w:val="en-US" w:eastAsia="ko-KR"/>
        </w:rPr>
        <w:t xml:space="preserve"> established in Article 8</w:t>
      </w:r>
      <w:r>
        <w:rPr>
          <w:lang w:val="en-US" w:eastAsia="ko-KR"/>
        </w:rPr>
        <w:t>(</w:t>
      </w:r>
      <w:r w:rsidRPr="007A02D9">
        <w:rPr>
          <w:lang w:val="en-US" w:eastAsia="ko-KR"/>
        </w:rPr>
        <w:t>1</w:t>
      </w:r>
      <w:r>
        <w:rPr>
          <w:lang w:val="en-US" w:eastAsia="ko-KR"/>
        </w:rPr>
        <w:t xml:space="preserve">) of the American Convention </w:t>
      </w:r>
      <w:r>
        <w:rPr>
          <w:lang w:val="en-US"/>
        </w:rPr>
        <w:t>in connection with</w:t>
      </w:r>
      <w:r w:rsidRPr="004E0AC9">
        <w:rPr>
          <w:lang w:val="en-US"/>
        </w:rPr>
        <w:t xml:space="preserve"> </w:t>
      </w:r>
      <w:r>
        <w:rPr>
          <w:lang w:val="en-US" w:eastAsia="ko-KR"/>
        </w:rPr>
        <w:t xml:space="preserve">Article 1(1) thereof. </w:t>
      </w:r>
    </w:p>
    <w:p w14:paraId="13F78011" w14:textId="77777777" w:rsidR="00E6692A" w:rsidRPr="007A02D9" w:rsidRDefault="00E6692A" w:rsidP="00E6692A">
      <w:pPr>
        <w:pStyle w:val="parrafos"/>
        <w:numPr>
          <w:ilvl w:val="0"/>
          <w:numId w:val="0"/>
        </w:numPr>
        <w:rPr>
          <w:lang w:val="en-US"/>
        </w:rPr>
      </w:pPr>
    </w:p>
    <w:p w14:paraId="18F8C20D" w14:textId="197FA429" w:rsidR="00E6692A" w:rsidRPr="00722254" w:rsidRDefault="00E6692A" w:rsidP="00E6692A">
      <w:pPr>
        <w:pStyle w:val="Ttulo3"/>
        <w:numPr>
          <w:ilvl w:val="0"/>
          <w:numId w:val="0"/>
        </w:numPr>
        <w:ind w:left="90"/>
        <w:jc w:val="both"/>
        <w:rPr>
          <w:szCs w:val="20"/>
        </w:rPr>
      </w:pPr>
      <w:bookmarkStart w:id="37" w:name="_Toc65248173"/>
      <w:bookmarkStart w:id="38" w:name="_Toc69410070"/>
      <w:r>
        <w:t>5</w:t>
      </w:r>
      <w:r w:rsidRPr="00722254">
        <w:t xml:space="preserve">. </w:t>
      </w:r>
      <w:r>
        <w:rPr>
          <w:szCs w:val="20"/>
        </w:rPr>
        <w:t>R</w:t>
      </w:r>
      <w:r w:rsidRPr="00722254">
        <w:rPr>
          <w:szCs w:val="20"/>
        </w:rPr>
        <w:t>ight to judicial protection</w:t>
      </w:r>
      <w:r w:rsidRPr="00DB55CD">
        <w:rPr>
          <w:szCs w:val="20"/>
          <w:vertAlign w:val="superscript"/>
        </w:rPr>
        <w:footnoteReference w:id="80"/>
      </w:r>
      <w:r w:rsidRPr="00722254">
        <w:rPr>
          <w:szCs w:val="20"/>
        </w:rPr>
        <w:t xml:space="preserve"> and right to </w:t>
      </w:r>
      <w:r>
        <w:rPr>
          <w:szCs w:val="20"/>
        </w:rPr>
        <w:t>judicial guarantees</w:t>
      </w:r>
      <w:r w:rsidRPr="00DB55CD">
        <w:rPr>
          <w:rStyle w:val="Refdenotaalpie"/>
          <w:lang w:val="es-ES"/>
        </w:rPr>
        <w:footnoteReference w:id="81"/>
      </w:r>
      <w:bookmarkEnd w:id="37"/>
      <w:bookmarkEnd w:id="38"/>
      <w:r w:rsidRPr="00722254">
        <w:t xml:space="preserve"> </w:t>
      </w:r>
    </w:p>
    <w:p w14:paraId="1A393734" w14:textId="77777777" w:rsidR="00E6692A" w:rsidRPr="00722254" w:rsidRDefault="00E6692A" w:rsidP="00E6692A">
      <w:pPr>
        <w:pStyle w:val="parrafos"/>
        <w:numPr>
          <w:ilvl w:val="0"/>
          <w:numId w:val="0"/>
        </w:numPr>
        <w:rPr>
          <w:lang w:val="en-US"/>
        </w:rPr>
      </w:pPr>
    </w:p>
    <w:p w14:paraId="20078E80" w14:textId="77777777" w:rsidR="00E6692A" w:rsidRPr="00440959" w:rsidRDefault="00E6692A" w:rsidP="00E6692A">
      <w:pPr>
        <w:pStyle w:val="parrafos"/>
        <w:numPr>
          <w:ilvl w:val="0"/>
          <w:numId w:val="0"/>
        </w:numPr>
        <w:rPr>
          <w:bdr w:val="none" w:sz="0" w:space="0" w:color="auto"/>
          <w:lang w:val="en-US"/>
        </w:rPr>
      </w:pPr>
      <w:r w:rsidRPr="00E46A79">
        <w:rPr>
          <w:lang w:val="en-US"/>
        </w:rPr>
        <w:t>79. The IACHR calls to mind that State</w:t>
      </w:r>
      <w:r>
        <w:rPr>
          <w:lang w:val="en-US"/>
        </w:rPr>
        <w:t>s</w:t>
      </w:r>
      <w:r w:rsidRPr="00E46A79">
        <w:rPr>
          <w:lang w:val="en-US"/>
        </w:rPr>
        <w:t xml:space="preserve"> ha</w:t>
      </w:r>
      <w:r>
        <w:rPr>
          <w:lang w:val="en-US"/>
        </w:rPr>
        <w:t>ve</w:t>
      </w:r>
      <w:r w:rsidRPr="00E46A79">
        <w:rPr>
          <w:lang w:val="en-US"/>
        </w:rPr>
        <w:t xml:space="preserve"> a general obligation to provide effective judicial </w:t>
      </w:r>
      <w:r>
        <w:rPr>
          <w:lang w:val="en-US"/>
        </w:rPr>
        <w:t>remedies</w:t>
      </w:r>
      <w:r w:rsidRPr="00E46A79">
        <w:rPr>
          <w:lang w:val="en-US"/>
        </w:rPr>
        <w:t xml:space="preserve"> to </w:t>
      </w:r>
      <w:r>
        <w:rPr>
          <w:lang w:val="en-US"/>
        </w:rPr>
        <w:t>persons who allege having been</w:t>
      </w:r>
      <w:r w:rsidRPr="00E46A79">
        <w:rPr>
          <w:lang w:val="en-US"/>
        </w:rPr>
        <w:t xml:space="preserve"> victim</w:t>
      </w:r>
      <w:r>
        <w:rPr>
          <w:lang w:val="en-US"/>
        </w:rPr>
        <w:t>s</w:t>
      </w:r>
      <w:r w:rsidRPr="00E46A79">
        <w:rPr>
          <w:lang w:val="en-US"/>
        </w:rPr>
        <w:t xml:space="preserve"> of human rights violations (Article 25), </w:t>
      </w:r>
      <w:r>
        <w:rPr>
          <w:lang w:val="en-US"/>
        </w:rPr>
        <w:t xml:space="preserve">remedies which must be substantiated according to the rules of due process of law </w:t>
      </w:r>
      <w:r w:rsidRPr="00E46A79">
        <w:rPr>
          <w:lang w:val="en-US"/>
        </w:rPr>
        <w:t>(</w:t>
      </w:r>
      <w:r>
        <w:rPr>
          <w:lang w:val="en-US"/>
        </w:rPr>
        <w:t>Article</w:t>
      </w:r>
      <w:r w:rsidRPr="00E46A79">
        <w:rPr>
          <w:lang w:val="en-US"/>
        </w:rPr>
        <w:t xml:space="preserve"> 8</w:t>
      </w:r>
      <w:r>
        <w:rPr>
          <w:lang w:val="en-US"/>
        </w:rPr>
        <w:t>(</w:t>
      </w:r>
      <w:r w:rsidRPr="00E46A79">
        <w:rPr>
          <w:lang w:val="en-US"/>
        </w:rPr>
        <w:t>1</w:t>
      </w:r>
      <w:r>
        <w:rPr>
          <w:lang w:val="en-US"/>
        </w:rPr>
        <w:t>)</w:t>
      </w:r>
      <w:r w:rsidRPr="00E46A79">
        <w:rPr>
          <w:lang w:val="en-US"/>
        </w:rPr>
        <w:t xml:space="preserve">). </w:t>
      </w:r>
      <w:r w:rsidRPr="00440959">
        <w:rPr>
          <w:lang w:val="en-US"/>
        </w:rPr>
        <w:t>For an effective remedy to exist, it is not enough for it to be established by law; rather, it needs to be truly appropriate for establishing whether ther</w:t>
      </w:r>
      <w:r>
        <w:rPr>
          <w:lang w:val="en-US"/>
        </w:rPr>
        <w:t>e has been a human rights violation and for providing whatever is necessary to remedy it.</w:t>
      </w:r>
      <w:r w:rsidRPr="00DB55CD">
        <w:rPr>
          <w:vertAlign w:val="superscript"/>
        </w:rPr>
        <w:footnoteReference w:id="82"/>
      </w:r>
      <w:r w:rsidRPr="00440959">
        <w:rPr>
          <w:lang w:val="en-US"/>
        </w:rPr>
        <w:t xml:space="preserve"> </w:t>
      </w:r>
    </w:p>
    <w:p w14:paraId="5CF27859" w14:textId="77777777" w:rsidR="00E6692A" w:rsidRPr="00440959" w:rsidRDefault="00E6692A" w:rsidP="00E6692A">
      <w:pPr>
        <w:pStyle w:val="parrafos"/>
        <w:numPr>
          <w:ilvl w:val="0"/>
          <w:numId w:val="0"/>
        </w:numPr>
        <w:rPr>
          <w:bdr w:val="none" w:sz="0" w:space="0" w:color="auto"/>
          <w:lang w:val="en-US"/>
        </w:rPr>
      </w:pPr>
    </w:p>
    <w:p w14:paraId="5CFFE2D8" w14:textId="77777777" w:rsidR="00E6692A" w:rsidRPr="00645C0B" w:rsidRDefault="00E6692A" w:rsidP="00E6692A">
      <w:pPr>
        <w:pStyle w:val="parrafos"/>
        <w:numPr>
          <w:ilvl w:val="0"/>
          <w:numId w:val="0"/>
        </w:numPr>
        <w:rPr>
          <w:bdr w:val="none" w:sz="0" w:space="0" w:color="auto"/>
          <w:lang w:val="en-US"/>
        </w:rPr>
      </w:pPr>
      <w:r w:rsidRPr="00FD1857">
        <w:rPr>
          <w:bdr w:val="none" w:sz="0" w:space="0" w:color="auto"/>
          <w:lang w:val="en-US"/>
        </w:rPr>
        <w:t xml:space="preserve">80. Article 8(1) of the Convention </w:t>
      </w:r>
      <w:r>
        <w:rPr>
          <w:bdr w:val="none" w:sz="0" w:space="0" w:color="auto"/>
          <w:lang w:val="en-US"/>
        </w:rPr>
        <w:t>recognizes</w:t>
      </w:r>
      <w:r w:rsidRPr="00FD1857">
        <w:rPr>
          <w:bdr w:val="none" w:sz="0" w:space="0" w:color="auto"/>
          <w:lang w:val="en-US"/>
        </w:rPr>
        <w:t xml:space="preserve"> the right to </w:t>
      </w:r>
      <w:r>
        <w:rPr>
          <w:bdr w:val="none" w:sz="0" w:space="0" w:color="auto"/>
          <w:lang w:val="en-US"/>
        </w:rPr>
        <w:t>be heard</w:t>
      </w:r>
      <w:r w:rsidRPr="00FD1857">
        <w:rPr>
          <w:bdr w:val="none" w:sz="0" w:space="0" w:color="auto"/>
          <w:lang w:val="en-US"/>
        </w:rPr>
        <w:t xml:space="preserve"> “by a competent…tribunal, previously established by law.” </w:t>
      </w:r>
      <w:r w:rsidRPr="00DA3685">
        <w:rPr>
          <w:bdr w:val="none" w:sz="0" w:space="0" w:color="auto"/>
          <w:lang w:val="en-US"/>
        </w:rPr>
        <w:t xml:space="preserve">Thus, </w:t>
      </w:r>
      <w:r>
        <w:rPr>
          <w:bdr w:val="none" w:sz="0" w:space="0" w:color="auto"/>
          <w:lang w:val="en-US"/>
        </w:rPr>
        <w:t>“</w:t>
      </w:r>
      <w:r w:rsidRPr="00DA3685">
        <w:rPr>
          <w:bdr w:val="none" w:sz="0" w:space="0" w:color="auto"/>
          <w:lang w:val="en-US"/>
        </w:rPr>
        <w:t>people have the right to be tried, in general, by a competent tribunal, in accordance with legally establishe</w:t>
      </w:r>
      <w:r>
        <w:rPr>
          <w:bdr w:val="none" w:sz="0" w:space="0" w:color="auto"/>
          <w:lang w:val="en-US"/>
        </w:rPr>
        <w:t xml:space="preserve">d procedures.” </w:t>
      </w:r>
      <w:r w:rsidRPr="009C04C0">
        <w:rPr>
          <w:bdr w:val="none" w:sz="0" w:space="0" w:color="auto"/>
          <w:lang w:val="en-US"/>
        </w:rPr>
        <w:t xml:space="preserve">The State must not create tribunals that do not </w:t>
      </w:r>
      <w:r>
        <w:rPr>
          <w:bdr w:val="none" w:sz="0" w:space="0" w:color="auto"/>
          <w:lang w:val="en-US"/>
        </w:rPr>
        <w:t>use the</w:t>
      </w:r>
      <w:r w:rsidRPr="009C04C0">
        <w:rPr>
          <w:bdr w:val="none" w:sz="0" w:space="0" w:color="auto"/>
          <w:lang w:val="en-US"/>
        </w:rPr>
        <w:t xml:space="preserve"> duly established procedur</w:t>
      </w:r>
      <w:r>
        <w:rPr>
          <w:bdr w:val="none" w:sz="0" w:space="0" w:color="auto"/>
          <w:lang w:val="en-US"/>
        </w:rPr>
        <w:t xml:space="preserve">es of the legal process “to displace the jurisdiction belonging to the ordinary courts or judicial tribunals.” </w:t>
      </w:r>
      <w:r>
        <w:rPr>
          <w:rFonts w:eastAsia="MS Mincho"/>
          <w:color w:val="auto"/>
          <w:bdr w:val="none" w:sz="0" w:space="0" w:color="auto"/>
          <w:lang w:val="en-US"/>
        </w:rPr>
        <w:t xml:space="preserve">The purpose of this is </w:t>
      </w:r>
      <w:r w:rsidRPr="00452729">
        <w:rPr>
          <w:rFonts w:eastAsia="MS Mincho"/>
          <w:color w:val="auto"/>
          <w:bdr w:val="none" w:sz="0" w:space="0" w:color="auto"/>
          <w:lang w:val="en-US"/>
        </w:rPr>
        <w:t xml:space="preserve">to </w:t>
      </w:r>
      <w:r>
        <w:rPr>
          <w:rFonts w:eastAsia="MS Mincho"/>
          <w:color w:val="auto"/>
          <w:bdr w:val="none" w:sz="0" w:space="0" w:color="auto"/>
          <w:lang w:val="en-US"/>
        </w:rPr>
        <w:t>prevent</w:t>
      </w:r>
      <w:r w:rsidRPr="00452729">
        <w:rPr>
          <w:rFonts w:eastAsia="MS Mincho"/>
          <w:color w:val="auto"/>
          <w:bdr w:val="none" w:sz="0" w:space="0" w:color="auto"/>
          <w:lang w:val="en-US"/>
        </w:rPr>
        <w:t xml:space="preserve"> </w:t>
      </w:r>
      <w:r>
        <w:rPr>
          <w:rFonts w:eastAsia="MS Mincho"/>
          <w:color w:val="auto"/>
          <w:bdr w:val="none" w:sz="0" w:space="0" w:color="auto"/>
          <w:lang w:val="en-US"/>
        </w:rPr>
        <w:t>individuals</w:t>
      </w:r>
      <w:r w:rsidRPr="00452729">
        <w:rPr>
          <w:rFonts w:eastAsia="MS Mincho"/>
          <w:color w:val="auto"/>
          <w:bdr w:val="none" w:sz="0" w:space="0" w:color="auto"/>
          <w:lang w:val="en-US"/>
        </w:rPr>
        <w:t xml:space="preserve"> </w:t>
      </w:r>
      <w:r>
        <w:rPr>
          <w:rFonts w:eastAsia="MS Mincho"/>
          <w:color w:val="auto"/>
          <w:bdr w:val="none" w:sz="0" w:space="0" w:color="auto"/>
          <w:lang w:val="en-US"/>
        </w:rPr>
        <w:t>from being</w:t>
      </w:r>
      <w:r w:rsidRPr="00452729">
        <w:rPr>
          <w:rFonts w:eastAsia="MS Mincho"/>
          <w:color w:val="auto"/>
          <w:bdr w:val="none" w:sz="0" w:space="0" w:color="auto"/>
          <w:lang w:val="en-US"/>
        </w:rPr>
        <w:t xml:space="preserve"> tried </w:t>
      </w:r>
      <w:r>
        <w:rPr>
          <w:rFonts w:eastAsia="MS Mincho"/>
          <w:color w:val="auto"/>
          <w:bdr w:val="none" w:sz="0" w:space="0" w:color="auto"/>
          <w:lang w:val="en-US"/>
        </w:rPr>
        <w:t>by special or ad hoc tribunals.</w:t>
      </w:r>
      <w:r w:rsidRPr="00DB55CD">
        <w:rPr>
          <w:bdr w:val="none" w:sz="0" w:space="0" w:color="auto"/>
          <w:vertAlign w:val="superscript"/>
        </w:rPr>
        <w:footnoteReference w:id="83"/>
      </w:r>
    </w:p>
    <w:p w14:paraId="5FAE639D" w14:textId="77777777" w:rsidR="00E6692A" w:rsidRPr="00645C0B" w:rsidRDefault="00E6692A" w:rsidP="00E6692A">
      <w:pPr>
        <w:pStyle w:val="parrafos"/>
        <w:numPr>
          <w:ilvl w:val="0"/>
          <w:numId w:val="0"/>
        </w:numPr>
        <w:rPr>
          <w:bdr w:val="none" w:sz="0" w:space="0" w:color="auto"/>
          <w:lang w:val="en-US"/>
        </w:rPr>
      </w:pPr>
    </w:p>
    <w:p w14:paraId="4030747F" w14:textId="77777777" w:rsidR="00E6692A" w:rsidRPr="008E7340" w:rsidRDefault="00E6692A" w:rsidP="00E6692A">
      <w:pPr>
        <w:pStyle w:val="parrafos"/>
        <w:numPr>
          <w:ilvl w:val="0"/>
          <w:numId w:val="0"/>
        </w:numPr>
        <w:rPr>
          <w:bdr w:val="none" w:sz="0" w:space="0" w:color="auto"/>
          <w:lang w:val="en-US"/>
        </w:rPr>
      </w:pPr>
      <w:r w:rsidRPr="00A67D2D">
        <w:rPr>
          <w:bdr w:val="none" w:sz="0" w:space="0" w:color="auto"/>
          <w:lang w:val="en-US"/>
        </w:rPr>
        <w:t>81. The independence of judges must be ensured even with</w:t>
      </w:r>
      <w:r>
        <w:rPr>
          <w:bdr w:val="none" w:sz="0" w:space="0" w:color="auto"/>
          <w:lang w:val="en-US"/>
        </w:rPr>
        <w:t xml:space="preserve">in the judicial branch. </w:t>
      </w:r>
      <w:r w:rsidRPr="00A67D2D">
        <w:rPr>
          <w:bdr w:val="none" w:sz="0" w:space="0" w:color="auto"/>
          <w:lang w:val="en-US"/>
        </w:rPr>
        <w:t xml:space="preserve">The purpose of </w:t>
      </w:r>
      <w:r>
        <w:rPr>
          <w:bdr w:val="none" w:sz="0" w:space="0" w:color="auto"/>
          <w:lang w:val="en-US"/>
        </w:rPr>
        <w:t>this</w:t>
      </w:r>
      <w:r w:rsidRPr="00A67D2D">
        <w:rPr>
          <w:bdr w:val="none" w:sz="0" w:space="0" w:color="auto"/>
          <w:lang w:val="en-US"/>
        </w:rPr>
        <w:t xml:space="preserve"> protection </w:t>
      </w:r>
      <w:r>
        <w:rPr>
          <w:bdr w:val="none" w:sz="0" w:space="0" w:color="auto"/>
          <w:lang w:val="en-US"/>
        </w:rPr>
        <w:t>has to do with</w:t>
      </w:r>
      <w:r w:rsidRPr="00A67D2D">
        <w:rPr>
          <w:bdr w:val="none" w:sz="0" w:space="0" w:color="auto"/>
          <w:lang w:val="en-US"/>
        </w:rPr>
        <w:t xml:space="preserve"> </w:t>
      </w:r>
      <w:r>
        <w:rPr>
          <w:bdr w:val="none" w:sz="0" w:space="0" w:color="auto"/>
          <w:lang w:val="en-US"/>
        </w:rPr>
        <w:t>preventing</w:t>
      </w:r>
      <w:r w:rsidRPr="00A67D2D">
        <w:rPr>
          <w:bdr w:val="none" w:sz="0" w:space="0" w:color="auto"/>
          <w:lang w:val="en-US"/>
        </w:rPr>
        <w:t xml:space="preserve"> the judicial sy</w:t>
      </w:r>
      <w:r>
        <w:rPr>
          <w:bdr w:val="none" w:sz="0" w:space="0" w:color="auto"/>
          <w:lang w:val="en-US"/>
        </w:rPr>
        <w:t xml:space="preserve">stem in general, and its </w:t>
      </w:r>
      <w:proofErr w:type="gramStart"/>
      <w:r>
        <w:rPr>
          <w:bdr w:val="none" w:sz="0" w:space="0" w:color="auto"/>
          <w:lang w:val="en-US"/>
        </w:rPr>
        <w:t>members in particular, from</w:t>
      </w:r>
      <w:proofErr w:type="gramEnd"/>
      <w:r>
        <w:rPr>
          <w:bdr w:val="none" w:sz="0" w:space="0" w:color="auto"/>
          <w:lang w:val="en-US"/>
        </w:rPr>
        <w:t xml:space="preserve"> being subjected to possible undue constraints in the exercise of their function by bodies outside the judiciary or even by those judges who exercise review or appeal functions.</w:t>
      </w:r>
      <w:r w:rsidRPr="00DB55CD">
        <w:rPr>
          <w:bdr w:val="none" w:sz="0" w:space="0" w:color="auto"/>
          <w:vertAlign w:val="superscript"/>
        </w:rPr>
        <w:footnoteReference w:id="84"/>
      </w:r>
      <w:r w:rsidRPr="005A2126">
        <w:rPr>
          <w:bdr w:val="none" w:sz="0" w:space="0" w:color="auto"/>
          <w:lang w:val="en-US"/>
        </w:rPr>
        <w:t xml:space="preserve"> </w:t>
      </w:r>
      <w:r w:rsidRPr="008E7340">
        <w:rPr>
          <w:bdr w:val="none" w:sz="0" w:space="0" w:color="auto"/>
          <w:lang w:val="en-US"/>
        </w:rPr>
        <w:t xml:space="preserve">The </w:t>
      </w:r>
      <w:r>
        <w:rPr>
          <w:bdr w:val="none" w:sz="0" w:space="0" w:color="auto"/>
          <w:lang w:val="en-US"/>
        </w:rPr>
        <w:t>parties</w:t>
      </w:r>
      <w:r w:rsidRPr="008E7340">
        <w:rPr>
          <w:bdr w:val="none" w:sz="0" w:space="0" w:color="auto"/>
          <w:lang w:val="en-US"/>
        </w:rPr>
        <w:t xml:space="preserve"> have the right, derived from the American Convention, </w:t>
      </w:r>
      <w:r>
        <w:rPr>
          <w:bdr w:val="none" w:sz="0" w:space="0" w:color="auto"/>
          <w:lang w:val="en-US"/>
        </w:rPr>
        <w:t>for the</w:t>
      </w:r>
      <w:r w:rsidRPr="008E7340">
        <w:rPr>
          <w:bdr w:val="none" w:sz="0" w:space="0" w:color="auto"/>
          <w:lang w:val="en-US"/>
        </w:rPr>
        <w:t xml:space="preserve"> judges </w:t>
      </w:r>
      <w:r>
        <w:rPr>
          <w:bdr w:val="none" w:sz="0" w:space="0" w:color="auto"/>
          <w:lang w:val="en-US"/>
        </w:rPr>
        <w:t>deciding their disputes to be and to appear to be independent.</w:t>
      </w:r>
      <w:r w:rsidRPr="00DB55CD">
        <w:rPr>
          <w:bdr w:val="none" w:sz="0" w:space="0" w:color="auto"/>
          <w:vertAlign w:val="superscript"/>
        </w:rPr>
        <w:footnoteReference w:id="85"/>
      </w:r>
    </w:p>
    <w:p w14:paraId="1DF20CA6" w14:textId="77777777" w:rsidR="00E6692A" w:rsidRPr="008E7340" w:rsidRDefault="00E6692A" w:rsidP="00E6692A">
      <w:pPr>
        <w:rPr>
          <w:bdr w:val="none" w:sz="0" w:space="0" w:color="auto"/>
        </w:rPr>
      </w:pPr>
    </w:p>
    <w:p w14:paraId="69DBEDFB" w14:textId="77777777" w:rsidR="00E6692A" w:rsidRPr="000A3385" w:rsidRDefault="00E6692A" w:rsidP="00E6692A">
      <w:pPr>
        <w:pStyle w:val="parrafos"/>
        <w:numPr>
          <w:ilvl w:val="0"/>
          <w:numId w:val="0"/>
        </w:numPr>
        <w:rPr>
          <w:bdr w:val="none" w:sz="0" w:space="0" w:color="auto"/>
          <w:lang w:val="en-US"/>
        </w:rPr>
      </w:pPr>
      <w:r w:rsidRPr="009535D8">
        <w:rPr>
          <w:rFonts w:ascii="Cambria" w:hAnsi="Cambria"/>
          <w:bdr w:val="none" w:sz="0" w:space="0" w:color="auto"/>
          <w:lang w:val="en-US"/>
        </w:rPr>
        <w:t>82. The guarantee of impartiality implies that the disciplinary authority or the members of the disciplinary tribunal that hear and decide the case “have no direct interest in, a pre-established viewpoint on, or a preference for one of the parties, and that they are not involv</w:t>
      </w:r>
      <w:r>
        <w:rPr>
          <w:rFonts w:ascii="Cambria" w:hAnsi="Cambria"/>
          <w:bdr w:val="none" w:sz="0" w:space="0" w:color="auto"/>
          <w:lang w:val="en-US"/>
        </w:rPr>
        <w:t>ed in the controversy.</w:t>
      </w:r>
      <w:r w:rsidRPr="009535D8">
        <w:rPr>
          <w:rFonts w:ascii="Cambria" w:hAnsi="Cambria" w:cs="Calibri"/>
          <w:bdr w:val="none" w:sz="0" w:space="0" w:color="auto"/>
          <w:lang w:val="en-US"/>
        </w:rPr>
        <w:t>”</w:t>
      </w:r>
      <w:r w:rsidRPr="00DB55CD">
        <w:rPr>
          <w:rFonts w:cs="Calibri"/>
          <w:bdr w:val="none" w:sz="0" w:space="0" w:color="auto"/>
          <w:vertAlign w:val="superscript"/>
        </w:rPr>
        <w:footnoteReference w:id="86"/>
      </w:r>
      <w:r w:rsidRPr="009535D8">
        <w:rPr>
          <w:rFonts w:ascii="Cambria" w:hAnsi="Cambria" w:cs="Calibri"/>
          <w:bdr w:val="none" w:sz="0" w:space="0" w:color="auto"/>
          <w:lang w:val="en-US"/>
        </w:rPr>
        <w:t xml:space="preserve"> </w:t>
      </w:r>
      <w:r>
        <w:rPr>
          <w:rFonts w:ascii="Cambria" w:hAnsi="Cambria" w:cs="Calibri"/>
          <w:bdr w:val="none" w:sz="0" w:space="0" w:color="auto"/>
          <w:lang w:val="en-US"/>
        </w:rPr>
        <w:t>When</w:t>
      </w:r>
      <w:r w:rsidRPr="0056783E">
        <w:rPr>
          <w:rFonts w:ascii="Cambria" w:hAnsi="Cambria" w:cs="Calibri"/>
          <w:bdr w:val="none" w:sz="0" w:space="0" w:color="auto"/>
          <w:lang w:val="en-US"/>
        </w:rPr>
        <w:t xml:space="preserve"> impartiality</w:t>
      </w:r>
      <w:r>
        <w:rPr>
          <w:rFonts w:ascii="Cambria" w:hAnsi="Cambria" w:cs="Calibri"/>
          <w:bdr w:val="none" w:sz="0" w:space="0" w:color="auto"/>
          <w:lang w:val="en-US"/>
        </w:rPr>
        <w:t xml:space="preserve"> is being determined</w:t>
      </w:r>
      <w:r w:rsidRPr="0056783E">
        <w:rPr>
          <w:rFonts w:ascii="Cambria" w:hAnsi="Cambria" w:cs="Calibri"/>
          <w:bdr w:val="none" w:sz="0" w:space="0" w:color="auto"/>
          <w:lang w:val="en-US"/>
        </w:rPr>
        <w:t xml:space="preserve">, </w:t>
      </w:r>
      <w:r>
        <w:rPr>
          <w:rFonts w:ascii="Cambria" w:hAnsi="Cambria" w:cs="Calibri"/>
          <w:bdr w:val="none" w:sz="0" w:space="0" w:color="auto"/>
          <w:lang w:val="en-US"/>
        </w:rPr>
        <w:t xml:space="preserve">regard must be had, from </w:t>
      </w:r>
      <w:r w:rsidRPr="0056783E">
        <w:rPr>
          <w:rFonts w:ascii="Cambria" w:hAnsi="Cambria" w:cs="Calibri"/>
          <w:bdr w:val="none" w:sz="0" w:space="0" w:color="auto"/>
          <w:lang w:val="en-US"/>
        </w:rPr>
        <w:t xml:space="preserve">a subjective </w:t>
      </w:r>
      <w:r>
        <w:rPr>
          <w:rFonts w:ascii="Cambria" w:hAnsi="Cambria" w:cs="Calibri"/>
          <w:bdr w:val="none" w:sz="0" w:space="0" w:color="auto"/>
          <w:lang w:val="en-US"/>
        </w:rPr>
        <w:t>standpoint</w:t>
      </w:r>
      <w:r w:rsidRPr="0056783E">
        <w:rPr>
          <w:rFonts w:ascii="Cambria" w:hAnsi="Cambria" w:cs="Calibri"/>
          <w:bdr w:val="none" w:sz="0" w:space="0" w:color="auto"/>
          <w:lang w:val="en-US"/>
        </w:rPr>
        <w:t xml:space="preserve">, </w:t>
      </w:r>
      <w:r>
        <w:rPr>
          <w:rFonts w:ascii="Cambria" w:hAnsi="Cambria" w:cs="Calibri"/>
          <w:bdr w:val="none" w:sz="0" w:space="0" w:color="auto"/>
          <w:lang w:val="en-US"/>
        </w:rPr>
        <w:t xml:space="preserve">to </w:t>
      </w:r>
      <w:r w:rsidRPr="0056783E">
        <w:rPr>
          <w:rFonts w:ascii="Cambria" w:hAnsi="Cambria" w:cs="Calibri"/>
          <w:bdr w:val="none" w:sz="0" w:space="0" w:color="auto"/>
          <w:lang w:val="en-US"/>
        </w:rPr>
        <w:t>the personal conviction and behavior of a judge in a given case but also,</w:t>
      </w:r>
      <w:r>
        <w:rPr>
          <w:rFonts w:ascii="Cambria" w:hAnsi="Cambria" w:cs="Calibri"/>
          <w:bdr w:val="none" w:sz="0" w:space="0" w:color="auto"/>
          <w:lang w:val="en-US"/>
        </w:rPr>
        <w:t xml:space="preserve"> </w:t>
      </w:r>
      <w:r w:rsidRPr="0056783E">
        <w:rPr>
          <w:rFonts w:ascii="Cambria" w:hAnsi="Cambria" w:cs="Calibri"/>
          <w:bdr w:val="none" w:sz="0" w:space="0" w:color="auto"/>
          <w:lang w:val="en-US"/>
        </w:rPr>
        <w:t xml:space="preserve">from an objective perspective, </w:t>
      </w:r>
      <w:r>
        <w:rPr>
          <w:rFonts w:ascii="Cambria" w:hAnsi="Cambria" w:cs="Calibri"/>
          <w:bdr w:val="none" w:sz="0" w:space="0" w:color="auto"/>
          <w:lang w:val="en-US"/>
        </w:rPr>
        <w:t xml:space="preserve">to </w:t>
      </w:r>
      <w:r w:rsidRPr="0056783E">
        <w:rPr>
          <w:rFonts w:ascii="Cambria" w:hAnsi="Cambria" w:cs="Calibri"/>
          <w:bdr w:val="none" w:sz="0" w:space="0" w:color="auto"/>
          <w:lang w:val="en-US"/>
        </w:rPr>
        <w:t xml:space="preserve">whether </w:t>
      </w:r>
      <w:r>
        <w:rPr>
          <w:rFonts w:ascii="Cambria" w:hAnsi="Cambria" w:cs="Calibri"/>
          <w:bdr w:val="none" w:sz="0" w:space="0" w:color="auto"/>
          <w:lang w:val="en-US"/>
        </w:rPr>
        <w:t xml:space="preserve">the proceeding offers </w:t>
      </w:r>
      <w:r w:rsidRPr="0056783E">
        <w:rPr>
          <w:rFonts w:ascii="Cambria" w:hAnsi="Cambria" w:cs="Calibri"/>
          <w:bdr w:val="none" w:sz="0" w:space="0" w:color="auto"/>
          <w:lang w:val="en-US"/>
        </w:rPr>
        <w:t xml:space="preserve">sufficient guarantees </w:t>
      </w:r>
      <w:r>
        <w:rPr>
          <w:rFonts w:ascii="Cambria" w:hAnsi="Cambria" w:cs="Calibri"/>
          <w:bdr w:val="none" w:sz="0" w:space="0" w:color="auto"/>
          <w:lang w:val="en-US"/>
        </w:rPr>
        <w:t>to exclude any legitimate doubt in that respect.</w:t>
      </w:r>
      <w:r w:rsidRPr="00DB55CD">
        <w:rPr>
          <w:rFonts w:cs="Calibri"/>
          <w:bdr w:val="none" w:sz="0" w:space="0" w:color="auto"/>
          <w:vertAlign w:val="superscript"/>
        </w:rPr>
        <w:footnoteReference w:id="87"/>
      </w:r>
      <w:r w:rsidRPr="0056783E">
        <w:rPr>
          <w:rFonts w:ascii="Cambria" w:hAnsi="Cambria" w:cs="Calibri"/>
          <w:bdr w:val="none" w:sz="0" w:space="0" w:color="auto"/>
          <w:lang w:val="en-US"/>
        </w:rPr>
        <w:t xml:space="preserve"> </w:t>
      </w:r>
      <w:r w:rsidRPr="000A3385">
        <w:rPr>
          <w:rFonts w:ascii="Cambria" w:hAnsi="Cambria" w:cs="Calibri"/>
          <w:bdr w:val="none" w:sz="0" w:space="0" w:color="auto"/>
          <w:lang w:val="en-US"/>
        </w:rPr>
        <w:t>The right to an impartial tribunal is the guarantee that the decision will be adopted based on the reasons that the law provides and not on other criteria that have nothing to</w:t>
      </w:r>
      <w:r>
        <w:rPr>
          <w:rFonts w:ascii="Cambria" w:hAnsi="Cambria" w:cs="Calibri"/>
          <w:bdr w:val="none" w:sz="0" w:space="0" w:color="auto"/>
          <w:lang w:val="en-US"/>
        </w:rPr>
        <w:t xml:space="preserve"> do with the legal framework. </w:t>
      </w:r>
      <w:r w:rsidRPr="000A3385">
        <w:rPr>
          <w:rFonts w:ascii="Cambria" w:hAnsi="Cambria" w:cs="Calibri"/>
          <w:bdr w:val="none" w:sz="0" w:space="0" w:color="auto"/>
          <w:lang w:val="en-US"/>
        </w:rPr>
        <w:t xml:space="preserve">The importance of that is particularly acute where punitive matters are concerned and even more so in punitive proceedings against judges, bearing in mind the principle of judicial independence, as described earlier. </w:t>
      </w:r>
    </w:p>
    <w:p w14:paraId="3545A06F" w14:textId="77777777" w:rsidR="00E6692A" w:rsidRPr="000A3385" w:rsidRDefault="00E6692A" w:rsidP="00E6692A">
      <w:pPr>
        <w:rPr>
          <w:bdr w:val="none" w:sz="0" w:space="0" w:color="auto"/>
        </w:rPr>
      </w:pPr>
    </w:p>
    <w:p w14:paraId="4B288B87" w14:textId="77777777" w:rsidR="00E6692A" w:rsidRPr="00650AB3" w:rsidRDefault="00E6692A" w:rsidP="00E6692A">
      <w:pPr>
        <w:pStyle w:val="parrafos"/>
        <w:numPr>
          <w:ilvl w:val="0"/>
          <w:numId w:val="0"/>
        </w:numPr>
        <w:rPr>
          <w:bdr w:val="none" w:sz="0" w:space="0" w:color="auto"/>
          <w:lang w:val="en-US"/>
        </w:rPr>
      </w:pPr>
      <w:r w:rsidRPr="00FB7D60">
        <w:rPr>
          <w:bdr w:val="none" w:sz="0" w:space="0" w:color="auto"/>
          <w:lang w:val="en-US"/>
        </w:rPr>
        <w:lastRenderedPageBreak/>
        <w:t xml:space="preserve">83. In the instant case, </w:t>
      </w:r>
      <w:proofErr w:type="gramStart"/>
      <w:r w:rsidRPr="00FB7D60">
        <w:rPr>
          <w:bdr w:val="none" w:sz="0" w:space="0" w:color="auto"/>
          <w:lang w:val="en-US"/>
        </w:rPr>
        <w:t>with regard to</w:t>
      </w:r>
      <w:proofErr w:type="gramEnd"/>
      <w:r w:rsidRPr="00FB7D60">
        <w:rPr>
          <w:bdr w:val="none" w:sz="0" w:space="0" w:color="auto"/>
          <w:lang w:val="en-US"/>
        </w:rPr>
        <w:t xml:space="preserve"> the guarantee of impartiality, the Commission observes that while the </w:t>
      </w:r>
      <w:r w:rsidRPr="00FB7D60">
        <w:rPr>
          <w:i/>
          <w:iCs/>
          <w:bdr w:val="none" w:sz="0" w:space="0" w:color="auto"/>
          <w:lang w:val="en-US"/>
        </w:rPr>
        <w:t>amparo</w:t>
      </w:r>
      <w:r w:rsidRPr="00FB7D60">
        <w:rPr>
          <w:bdr w:val="none" w:sz="0" w:space="0" w:color="auto"/>
          <w:lang w:val="en-US"/>
        </w:rPr>
        <w:t xml:space="preserve"> appeal lodged by the alleged victims was being processed and a decision was pending before the Supreme Court</w:t>
      </w:r>
      <w:r>
        <w:rPr>
          <w:bdr w:val="none" w:sz="0" w:space="0" w:color="auto"/>
          <w:lang w:val="en-US"/>
        </w:rPr>
        <w:t xml:space="preserve"> of Justice</w:t>
      </w:r>
      <w:r w:rsidRPr="00FB7D60">
        <w:rPr>
          <w:bdr w:val="none" w:sz="0" w:space="0" w:color="auto"/>
          <w:lang w:val="en-US"/>
        </w:rPr>
        <w:t xml:space="preserve">, the President of the Supreme Court, </w:t>
      </w:r>
      <w:r w:rsidRPr="00FB7D60">
        <w:rPr>
          <w:lang w:val="en-US"/>
        </w:rPr>
        <w:t xml:space="preserve">Jorge Rivera </w:t>
      </w:r>
      <w:proofErr w:type="spellStart"/>
      <w:r w:rsidRPr="00FB7D60">
        <w:rPr>
          <w:lang w:val="en-US"/>
        </w:rPr>
        <w:t>Avilés</w:t>
      </w:r>
      <w:proofErr w:type="spellEnd"/>
      <w:r w:rsidRPr="00FB7D60">
        <w:rPr>
          <w:lang w:val="en-US"/>
        </w:rPr>
        <w:t xml:space="preserve">, </w:t>
      </w:r>
      <w:r>
        <w:rPr>
          <w:lang w:val="en-US"/>
        </w:rPr>
        <w:t xml:space="preserve">issued an official statement on January 3, </w:t>
      </w:r>
      <w:r w:rsidRPr="00FB7D60">
        <w:rPr>
          <w:lang w:val="en-US"/>
        </w:rPr>
        <w:t xml:space="preserve">2013, </w:t>
      </w:r>
      <w:r>
        <w:rPr>
          <w:lang w:val="en-US"/>
        </w:rPr>
        <w:t xml:space="preserve">ordering the replacement of the four justices who had been dismissed. </w:t>
      </w:r>
      <w:r w:rsidRPr="00D55C0E">
        <w:rPr>
          <w:lang w:val="en-US"/>
        </w:rPr>
        <w:t xml:space="preserve">The Commission notes that the </w:t>
      </w:r>
      <w:proofErr w:type="gramStart"/>
      <w:r w:rsidRPr="00D55C0E">
        <w:rPr>
          <w:lang w:val="en-US"/>
        </w:rPr>
        <w:t>aforementioned justice</w:t>
      </w:r>
      <w:proofErr w:type="gramEnd"/>
      <w:r w:rsidRPr="00D55C0E">
        <w:rPr>
          <w:lang w:val="en-US"/>
        </w:rPr>
        <w:t xml:space="preserve">, as </w:t>
      </w:r>
      <w:r>
        <w:rPr>
          <w:lang w:val="en-US"/>
        </w:rPr>
        <w:t>head</w:t>
      </w:r>
      <w:r w:rsidRPr="00D55C0E">
        <w:rPr>
          <w:lang w:val="en-US"/>
        </w:rPr>
        <w:t xml:space="preserve"> of the </w:t>
      </w:r>
      <w:r>
        <w:rPr>
          <w:lang w:val="en-US"/>
        </w:rPr>
        <w:t>judiciary</w:t>
      </w:r>
      <w:r w:rsidRPr="00D55C0E">
        <w:rPr>
          <w:lang w:val="en-US"/>
        </w:rPr>
        <w:t xml:space="preserve">, </w:t>
      </w:r>
      <w:r>
        <w:rPr>
          <w:lang w:val="en-US"/>
        </w:rPr>
        <w:t xml:space="preserve">was later part of the Special Constitutional Chamber that rejected the alleged victims’ challenge on constitutional grounds and rejected the </w:t>
      </w:r>
      <w:r w:rsidRPr="00D55C0E">
        <w:rPr>
          <w:lang w:val="en-US"/>
        </w:rPr>
        <w:t>subsequent</w:t>
      </w:r>
      <w:r>
        <w:rPr>
          <w:lang w:val="en-US"/>
        </w:rPr>
        <w:t xml:space="preserve"> appeal for review</w:t>
      </w:r>
      <w:r w:rsidRPr="00650AB3">
        <w:rPr>
          <w:lang w:val="en-US"/>
        </w:rPr>
        <w:t xml:space="preserve">. </w:t>
      </w:r>
    </w:p>
    <w:p w14:paraId="6D7DA5A3" w14:textId="77777777" w:rsidR="00E6692A" w:rsidRPr="00650AB3" w:rsidRDefault="00E6692A" w:rsidP="00E6692A">
      <w:pPr>
        <w:pStyle w:val="Prrafodelista"/>
        <w:rPr>
          <w:lang w:val="en-US"/>
        </w:rPr>
      </w:pPr>
    </w:p>
    <w:p w14:paraId="08485820" w14:textId="77777777" w:rsidR="00E6692A" w:rsidRPr="00650AB3" w:rsidRDefault="00E6692A" w:rsidP="00E6692A">
      <w:pPr>
        <w:pStyle w:val="parrafos"/>
        <w:numPr>
          <w:ilvl w:val="0"/>
          <w:numId w:val="0"/>
        </w:numPr>
        <w:rPr>
          <w:bdr w:val="none" w:sz="0" w:space="0" w:color="auto"/>
          <w:lang w:val="en-US"/>
        </w:rPr>
      </w:pPr>
      <w:r w:rsidRPr="00650AB3">
        <w:rPr>
          <w:lang w:val="en-US"/>
        </w:rPr>
        <w:t>84. These actions are problematic, in the Commission’s view, considering that this justice ordered the justices’ replacement and there</w:t>
      </w:r>
      <w:r>
        <w:rPr>
          <w:lang w:val="en-US"/>
        </w:rPr>
        <w:t>by</w:t>
      </w:r>
      <w:r w:rsidRPr="00650AB3">
        <w:rPr>
          <w:lang w:val="en-US"/>
        </w:rPr>
        <w:t xml:space="preserve"> upheld the dismissal that was being challenged by means of a constitutional action that was under his consideration and was pending a decision. </w:t>
      </w:r>
    </w:p>
    <w:p w14:paraId="5A698B7B" w14:textId="77777777" w:rsidR="00E6692A" w:rsidRPr="00650AB3" w:rsidRDefault="00E6692A" w:rsidP="00E6692A">
      <w:pPr>
        <w:pStyle w:val="Prrafodelista"/>
        <w:rPr>
          <w:bdr w:val="none" w:sz="0" w:space="0" w:color="auto"/>
          <w:lang w:val="en-US"/>
        </w:rPr>
      </w:pPr>
    </w:p>
    <w:p w14:paraId="1E18CEF1" w14:textId="77777777" w:rsidR="00E6692A" w:rsidRPr="004A2E14" w:rsidRDefault="00E6692A" w:rsidP="00E6692A">
      <w:pPr>
        <w:pStyle w:val="parrafos"/>
        <w:numPr>
          <w:ilvl w:val="0"/>
          <w:numId w:val="0"/>
        </w:numPr>
        <w:rPr>
          <w:bdr w:val="none" w:sz="0" w:space="0" w:color="auto"/>
          <w:lang w:val="en-US"/>
        </w:rPr>
      </w:pPr>
      <w:r w:rsidRPr="004A2E14">
        <w:rPr>
          <w:bdr w:val="none" w:sz="0" w:space="0" w:color="auto"/>
          <w:lang w:val="en-US"/>
        </w:rPr>
        <w:t xml:space="preserve">85. The Commission considers that this situation raises serious doubts about his partiality, as it reveals that his approach to the case </w:t>
      </w:r>
      <w:r>
        <w:rPr>
          <w:bdr w:val="none" w:sz="0" w:space="0" w:color="auto"/>
          <w:lang w:val="en-US"/>
        </w:rPr>
        <w:t>was not devoid of bias and subjectivity</w:t>
      </w:r>
      <w:r w:rsidRPr="004A2E14">
        <w:rPr>
          <w:rFonts w:ascii="Cambria" w:hAnsi="Cambria" w:cs="Calibri"/>
          <w:bdr w:val="none" w:sz="0" w:space="0" w:color="auto"/>
          <w:lang w:val="en-US"/>
        </w:rPr>
        <w:t xml:space="preserve">. Likewise, the Commission does not </w:t>
      </w:r>
      <w:r>
        <w:rPr>
          <w:rFonts w:ascii="Cambria" w:hAnsi="Cambria" w:cs="Calibri"/>
          <w:bdr w:val="none" w:sz="0" w:space="0" w:color="auto"/>
          <w:lang w:val="en-US"/>
        </w:rPr>
        <w:t>observe</w:t>
      </w:r>
      <w:r w:rsidRPr="004A2E14">
        <w:rPr>
          <w:rFonts w:ascii="Cambria" w:hAnsi="Cambria" w:cs="Calibri"/>
          <w:bdr w:val="none" w:sz="0" w:space="0" w:color="auto"/>
          <w:lang w:val="en-US"/>
        </w:rPr>
        <w:t xml:space="preserve"> that the justice </w:t>
      </w:r>
      <w:r>
        <w:rPr>
          <w:rFonts w:ascii="Cambria" w:hAnsi="Cambria" w:cs="Calibri"/>
          <w:bdr w:val="none" w:sz="0" w:space="0" w:color="auto"/>
          <w:lang w:val="en-US"/>
        </w:rPr>
        <w:t>called into</w:t>
      </w:r>
      <w:r w:rsidRPr="004A2E14">
        <w:rPr>
          <w:rFonts w:ascii="Cambria" w:hAnsi="Cambria" w:cs="Calibri"/>
          <w:bdr w:val="none" w:sz="0" w:space="0" w:color="auto"/>
          <w:lang w:val="en-US"/>
        </w:rPr>
        <w:t xml:space="preserve"> question provided convincing evidence that would </w:t>
      </w:r>
      <w:r>
        <w:rPr>
          <w:rFonts w:ascii="Cambria" w:hAnsi="Cambria" w:cs="Calibri"/>
          <w:bdr w:val="none" w:sz="0" w:space="0" w:color="auto"/>
          <w:lang w:val="en-US"/>
        </w:rPr>
        <w:t>erase</w:t>
      </w:r>
      <w:r w:rsidRPr="004A2E14">
        <w:rPr>
          <w:rFonts w:ascii="Cambria" w:hAnsi="Cambria" w:cs="Calibri"/>
          <w:bdr w:val="none" w:sz="0" w:space="0" w:color="auto"/>
          <w:lang w:val="en-US"/>
        </w:rPr>
        <w:t xml:space="preserve"> legitimate </w:t>
      </w:r>
      <w:r>
        <w:rPr>
          <w:rFonts w:ascii="Cambria" w:hAnsi="Cambria" w:cs="Calibri"/>
          <w:bdr w:val="none" w:sz="0" w:space="0" w:color="auto"/>
          <w:lang w:val="en-US"/>
        </w:rPr>
        <w:t xml:space="preserve">fears or reasonable suspicions about his partiality. </w:t>
      </w:r>
    </w:p>
    <w:p w14:paraId="38C7C48D" w14:textId="77777777" w:rsidR="00E6692A" w:rsidRPr="004A2E14" w:rsidRDefault="00E6692A" w:rsidP="00E6692A">
      <w:pPr>
        <w:pStyle w:val="parrafos"/>
        <w:numPr>
          <w:ilvl w:val="0"/>
          <w:numId w:val="0"/>
        </w:numPr>
        <w:rPr>
          <w:lang w:val="en-US"/>
        </w:rPr>
      </w:pPr>
    </w:p>
    <w:p w14:paraId="62CC1642" w14:textId="77777777" w:rsidR="00E6692A" w:rsidRPr="00B509EB" w:rsidRDefault="00E6692A" w:rsidP="00E6692A">
      <w:pPr>
        <w:pStyle w:val="parrafos"/>
        <w:numPr>
          <w:ilvl w:val="0"/>
          <w:numId w:val="0"/>
        </w:numPr>
        <w:rPr>
          <w:lang w:val="en-US"/>
        </w:rPr>
      </w:pPr>
      <w:r w:rsidRPr="00B509EB">
        <w:rPr>
          <w:lang w:val="en-US"/>
        </w:rPr>
        <w:t xml:space="preserve">86. In addition, the Commission </w:t>
      </w:r>
      <w:r>
        <w:rPr>
          <w:lang w:val="en-US"/>
        </w:rPr>
        <w:t>underscores</w:t>
      </w:r>
      <w:r w:rsidRPr="00B509EB">
        <w:rPr>
          <w:lang w:val="en-US"/>
        </w:rPr>
        <w:t xml:space="preserve"> that on January 29, 2013, the Special Chamber of the Supreme Court rejected the </w:t>
      </w:r>
      <w:r>
        <w:rPr>
          <w:lang w:val="en-US"/>
        </w:rPr>
        <w:t>alleged victims’</w:t>
      </w:r>
      <w:r w:rsidRPr="00B509EB">
        <w:rPr>
          <w:lang w:val="en-US"/>
        </w:rPr>
        <w:t xml:space="preserve"> constitutional appeal </w:t>
      </w:r>
      <w:r w:rsidRPr="00B509EB">
        <w:rPr>
          <w:i/>
          <w:iCs/>
          <w:lang w:val="en-US"/>
        </w:rPr>
        <w:t xml:space="preserve">in </w:t>
      </w:r>
      <w:proofErr w:type="spellStart"/>
      <w:r w:rsidRPr="00B509EB">
        <w:rPr>
          <w:i/>
          <w:iCs/>
          <w:lang w:val="en-US"/>
        </w:rPr>
        <w:t>limine</w:t>
      </w:r>
      <w:proofErr w:type="spellEnd"/>
      <w:r w:rsidRPr="00B509EB">
        <w:rPr>
          <w:lang w:val="en-US"/>
        </w:rPr>
        <w:t>, in other words without examining the merits of the matter</w:t>
      </w:r>
      <w:r>
        <w:rPr>
          <w:lang w:val="en-US"/>
        </w:rPr>
        <w:t xml:space="preserve">, as it deemed that it did not have the authority to hear </w:t>
      </w:r>
      <w:r w:rsidRPr="00B509EB">
        <w:rPr>
          <w:i/>
          <w:iCs/>
          <w:lang w:val="en-US"/>
        </w:rPr>
        <w:t>amparo</w:t>
      </w:r>
      <w:r>
        <w:rPr>
          <w:lang w:val="en-US"/>
        </w:rPr>
        <w:t xml:space="preserve"> appeals filed against the National Congress. </w:t>
      </w:r>
    </w:p>
    <w:p w14:paraId="4A7ED54A" w14:textId="77777777" w:rsidR="00E6692A" w:rsidRPr="00B509EB" w:rsidRDefault="00E6692A" w:rsidP="00E6692A">
      <w:pPr>
        <w:pStyle w:val="Prrafodelista"/>
        <w:rPr>
          <w:lang w:val="en-US"/>
        </w:rPr>
      </w:pPr>
    </w:p>
    <w:p w14:paraId="7EC966A0" w14:textId="77777777" w:rsidR="00E6692A" w:rsidRPr="008E6946" w:rsidRDefault="00E6692A" w:rsidP="00E6692A">
      <w:pPr>
        <w:pStyle w:val="parrafos"/>
        <w:numPr>
          <w:ilvl w:val="0"/>
          <w:numId w:val="0"/>
        </w:numPr>
        <w:rPr>
          <w:lang w:val="en-US"/>
        </w:rPr>
      </w:pPr>
      <w:r w:rsidRPr="00B509EB">
        <w:rPr>
          <w:lang w:val="en-US"/>
        </w:rPr>
        <w:t>87. The Commission notes that the alleged victims attempted to challenge the decision to reject the</w:t>
      </w:r>
      <w:r>
        <w:rPr>
          <w:lang w:val="en-US"/>
        </w:rPr>
        <w:t>ir</w:t>
      </w:r>
      <w:r w:rsidRPr="00B509EB">
        <w:rPr>
          <w:lang w:val="en-US"/>
        </w:rPr>
        <w:t xml:space="preserve"> appeal, filing an appeal for review with the Plenary of the Supreme Court, which was rejected on</w:t>
      </w:r>
      <w:r>
        <w:rPr>
          <w:lang w:val="en-US"/>
        </w:rPr>
        <w:t xml:space="preserve"> February </w:t>
      </w:r>
      <w:r w:rsidRPr="00B509EB">
        <w:rPr>
          <w:lang w:val="en-US"/>
        </w:rPr>
        <w:t>18</w:t>
      </w:r>
      <w:r>
        <w:rPr>
          <w:lang w:val="en-US"/>
        </w:rPr>
        <w:t xml:space="preserve">, </w:t>
      </w:r>
      <w:r w:rsidRPr="00B509EB">
        <w:rPr>
          <w:lang w:val="en-US"/>
        </w:rPr>
        <w:t>2013.</w:t>
      </w:r>
      <w:r>
        <w:rPr>
          <w:lang w:val="en-US"/>
        </w:rPr>
        <w:t xml:space="preserve"> </w:t>
      </w:r>
      <w:r w:rsidRPr="008E6946">
        <w:rPr>
          <w:lang w:val="en-US"/>
        </w:rPr>
        <w:t>The Commission observes that the President of the Supreme Court created the Special Chamber that hear</w:t>
      </w:r>
      <w:r>
        <w:rPr>
          <w:lang w:val="en-US"/>
        </w:rPr>
        <w:t>d</w:t>
      </w:r>
      <w:r w:rsidRPr="008E6946">
        <w:rPr>
          <w:lang w:val="en-US"/>
        </w:rPr>
        <w:t xml:space="preserve"> and decided </w:t>
      </w:r>
      <w:r>
        <w:rPr>
          <w:lang w:val="en-US"/>
        </w:rPr>
        <w:t>up</w:t>
      </w:r>
      <w:r w:rsidRPr="008E6946">
        <w:rPr>
          <w:lang w:val="en-US"/>
        </w:rPr>
        <w:t>on the constitutional appeal, and then later he was part of the Plenary that rejected the appeal for review</w:t>
      </w:r>
      <w:r>
        <w:rPr>
          <w:lang w:val="en-US"/>
        </w:rPr>
        <w:t xml:space="preserve"> lodged by the dismissed justices, as was explained earlier. </w:t>
      </w:r>
    </w:p>
    <w:p w14:paraId="0F72F3CD" w14:textId="77777777" w:rsidR="00E6692A" w:rsidRPr="008E6946" w:rsidRDefault="00E6692A" w:rsidP="00E6692A">
      <w:pPr>
        <w:pStyle w:val="Prrafodelista"/>
        <w:rPr>
          <w:lang w:val="en-US"/>
        </w:rPr>
      </w:pPr>
    </w:p>
    <w:p w14:paraId="47FFB3B3" w14:textId="77777777" w:rsidR="00E6692A" w:rsidRPr="0021492C" w:rsidRDefault="00E6692A" w:rsidP="00E6692A">
      <w:pPr>
        <w:pStyle w:val="parrafos"/>
        <w:numPr>
          <w:ilvl w:val="0"/>
          <w:numId w:val="0"/>
        </w:numPr>
        <w:rPr>
          <w:lang w:val="en-US"/>
        </w:rPr>
      </w:pPr>
      <w:r w:rsidRPr="0021492C">
        <w:rPr>
          <w:lang w:val="en-US"/>
        </w:rPr>
        <w:t xml:space="preserve">88. In the Commission’s view, the </w:t>
      </w:r>
      <w:r w:rsidRPr="005133FB">
        <w:rPr>
          <w:i/>
          <w:iCs/>
          <w:lang w:val="en-US"/>
        </w:rPr>
        <w:t>amparo</w:t>
      </w:r>
      <w:r w:rsidRPr="0021492C">
        <w:rPr>
          <w:lang w:val="en-US"/>
        </w:rPr>
        <w:t xml:space="preserve"> appeal that was filed ended up being ineffective to protect </w:t>
      </w:r>
      <w:r>
        <w:rPr>
          <w:lang w:val="en-US"/>
        </w:rPr>
        <w:t xml:space="preserve">the rights in question. </w:t>
      </w:r>
      <w:r w:rsidRPr="0021492C">
        <w:rPr>
          <w:lang w:val="en-US"/>
        </w:rPr>
        <w:t>Therefore, the Supreme Court, through its Special Chamber and later as a Plenary, by declining to review the decision of the Congress on the merits, left the alleged victims completely defense</w:t>
      </w:r>
      <w:r>
        <w:rPr>
          <w:lang w:val="en-US"/>
        </w:rPr>
        <w:t>less</w:t>
      </w:r>
      <w:r w:rsidRPr="0021492C">
        <w:rPr>
          <w:lang w:val="en-US"/>
        </w:rPr>
        <w:t>, as it failed to fully examine th</w:t>
      </w:r>
      <w:r>
        <w:rPr>
          <w:lang w:val="en-US"/>
        </w:rPr>
        <w:t xml:space="preserve">e aspects of </w:t>
      </w:r>
      <w:r w:rsidRPr="0021492C">
        <w:rPr>
          <w:lang w:val="en-US"/>
        </w:rPr>
        <w:t xml:space="preserve">both </w:t>
      </w:r>
      <w:r>
        <w:rPr>
          <w:lang w:val="en-US"/>
        </w:rPr>
        <w:t>fact and law with respect to the decision to remove the four justices of the Constitutional Chamber</w:t>
      </w:r>
      <w:r w:rsidRPr="0021492C">
        <w:rPr>
          <w:lang w:val="en-US"/>
        </w:rPr>
        <w:t xml:space="preserve">, </w:t>
      </w:r>
      <w:r>
        <w:rPr>
          <w:lang w:val="en-US"/>
        </w:rPr>
        <w:t xml:space="preserve">limiting its analysis to matters of jurisdiction. </w:t>
      </w:r>
      <w:r w:rsidRPr="0021492C">
        <w:rPr>
          <w:lang w:val="en-US"/>
        </w:rPr>
        <w:t xml:space="preserve">In addition, the Commission considers that the President of the Supreme Court’s actions </w:t>
      </w:r>
      <w:r>
        <w:rPr>
          <w:lang w:val="en-US"/>
        </w:rPr>
        <w:t xml:space="preserve">as </w:t>
      </w:r>
      <w:r w:rsidRPr="0021492C">
        <w:rPr>
          <w:lang w:val="en-US"/>
        </w:rPr>
        <w:t xml:space="preserve">described earlier </w:t>
      </w:r>
      <w:r>
        <w:rPr>
          <w:lang w:val="en-US"/>
        </w:rPr>
        <w:t>violated</w:t>
      </w:r>
      <w:r w:rsidRPr="0021492C">
        <w:rPr>
          <w:lang w:val="en-US"/>
        </w:rPr>
        <w:t xml:space="preserve"> the guarantee of impartiality in the context of the constitutional </w:t>
      </w:r>
      <w:r w:rsidRPr="002B7DA4">
        <w:rPr>
          <w:i/>
          <w:iCs/>
          <w:lang w:val="en-US"/>
        </w:rPr>
        <w:t>amparo</w:t>
      </w:r>
      <w:r w:rsidRPr="0021492C">
        <w:rPr>
          <w:lang w:val="en-US"/>
        </w:rPr>
        <w:t xml:space="preserve"> appeal lodged by the alleged victims. </w:t>
      </w:r>
    </w:p>
    <w:p w14:paraId="379DA4A8" w14:textId="77777777" w:rsidR="00E6692A" w:rsidRPr="0021492C" w:rsidRDefault="00E6692A" w:rsidP="00E6692A">
      <w:pPr>
        <w:pStyle w:val="parrafos"/>
        <w:numPr>
          <w:ilvl w:val="0"/>
          <w:numId w:val="0"/>
        </w:numPr>
        <w:rPr>
          <w:lang w:val="en-US"/>
        </w:rPr>
      </w:pPr>
    </w:p>
    <w:p w14:paraId="35C29793" w14:textId="77777777" w:rsidR="00E6692A" w:rsidRPr="0021492C" w:rsidRDefault="00E6692A" w:rsidP="00E6692A">
      <w:pPr>
        <w:pStyle w:val="parrafos"/>
        <w:numPr>
          <w:ilvl w:val="0"/>
          <w:numId w:val="0"/>
        </w:numPr>
        <w:rPr>
          <w:lang w:val="en-US"/>
        </w:rPr>
      </w:pPr>
      <w:r w:rsidRPr="0021492C">
        <w:rPr>
          <w:lang w:val="en-US"/>
        </w:rPr>
        <w:t xml:space="preserve">89. In view of the foregoing, the Commission concludes that the </w:t>
      </w:r>
      <w:r w:rsidRPr="00967EE8">
        <w:rPr>
          <w:lang w:val="en-US"/>
        </w:rPr>
        <w:t>Honduran State</w:t>
      </w:r>
      <w:r w:rsidRPr="0021492C">
        <w:rPr>
          <w:lang w:val="en-US"/>
        </w:rPr>
        <w:t xml:space="preserve"> is responsible for violating the rights established in Articles 8(1) and 25(1) of</w:t>
      </w:r>
      <w:r>
        <w:rPr>
          <w:lang w:val="en-US"/>
        </w:rPr>
        <w:t xml:space="preserve"> the American Convention in connection with Article 1(1) thereof, to the detriment of </w:t>
      </w:r>
      <w:r w:rsidRPr="0021492C">
        <w:rPr>
          <w:lang w:val="en-US"/>
        </w:rPr>
        <w:t xml:space="preserve">José Antonio Gutiérrez </w:t>
      </w:r>
      <w:proofErr w:type="spellStart"/>
      <w:r w:rsidRPr="0021492C">
        <w:rPr>
          <w:lang w:val="en-US"/>
        </w:rPr>
        <w:t>Navas</w:t>
      </w:r>
      <w:proofErr w:type="spellEnd"/>
      <w:r w:rsidRPr="0021492C">
        <w:rPr>
          <w:lang w:val="en-US"/>
        </w:rPr>
        <w:t xml:space="preserve">, Rosalinda Cruz </w:t>
      </w:r>
      <w:proofErr w:type="spellStart"/>
      <w:r w:rsidRPr="0021492C">
        <w:rPr>
          <w:lang w:val="en-US"/>
        </w:rPr>
        <w:t>Sequeira</w:t>
      </w:r>
      <w:proofErr w:type="spellEnd"/>
      <w:r w:rsidRPr="0021492C">
        <w:rPr>
          <w:lang w:val="en-US"/>
        </w:rPr>
        <w:t xml:space="preserve">, José Francisco Ruiz </w:t>
      </w:r>
      <w:proofErr w:type="spellStart"/>
      <w:r w:rsidRPr="0021492C">
        <w:rPr>
          <w:lang w:val="en-US"/>
        </w:rPr>
        <w:t>Gaekel</w:t>
      </w:r>
      <w:proofErr w:type="spellEnd"/>
      <w:r>
        <w:rPr>
          <w:lang w:val="en-US"/>
        </w:rPr>
        <w:t xml:space="preserve">, and </w:t>
      </w:r>
      <w:r w:rsidRPr="0021492C">
        <w:rPr>
          <w:lang w:val="en-US"/>
        </w:rPr>
        <w:t xml:space="preserve">Gustavo Enrique Bustillo Palma. </w:t>
      </w:r>
    </w:p>
    <w:p w14:paraId="053DB461" w14:textId="77777777" w:rsidR="00E6692A" w:rsidRPr="0021492C" w:rsidRDefault="00E6692A" w:rsidP="00E6692A">
      <w:pPr>
        <w:tabs>
          <w:tab w:val="left" w:pos="720"/>
          <w:tab w:val="left" w:pos="1440"/>
        </w:tabs>
        <w:jc w:val="both"/>
        <w:rPr>
          <w:rFonts w:asciiTheme="majorHAnsi" w:hAnsiTheme="majorHAnsi"/>
          <w:sz w:val="20"/>
          <w:szCs w:val="20"/>
        </w:rPr>
      </w:pPr>
    </w:p>
    <w:p w14:paraId="2B3D95C7" w14:textId="5958154E" w:rsidR="00E6692A" w:rsidRPr="001C214F" w:rsidRDefault="00E6692A" w:rsidP="00E6692A">
      <w:pPr>
        <w:pStyle w:val="Ttulo3"/>
        <w:numPr>
          <w:ilvl w:val="0"/>
          <w:numId w:val="0"/>
        </w:numPr>
        <w:ind w:left="90"/>
        <w:jc w:val="both"/>
      </w:pPr>
      <w:bookmarkStart w:id="39" w:name="_Toc65248175"/>
      <w:bookmarkStart w:id="40" w:name="_Toc69410071"/>
      <w:bookmarkStart w:id="41" w:name="_Toc514247652"/>
      <w:bookmarkStart w:id="42" w:name="_Toc42786706"/>
      <w:r>
        <w:t>6</w:t>
      </w:r>
      <w:r w:rsidRPr="001C214F">
        <w:t xml:space="preserve">. </w:t>
      </w:r>
      <w:r w:rsidRPr="00885D55">
        <w:t>Political rights</w:t>
      </w:r>
      <w:r w:rsidRPr="00885D55">
        <w:rPr>
          <w:vertAlign w:val="superscript"/>
          <w:lang w:val="es-BO"/>
        </w:rPr>
        <w:footnoteReference w:id="88"/>
      </w:r>
      <w:bookmarkEnd w:id="39"/>
      <w:bookmarkEnd w:id="40"/>
      <w:r w:rsidRPr="001C214F">
        <w:t xml:space="preserve"> </w:t>
      </w:r>
      <w:bookmarkEnd w:id="41"/>
      <w:bookmarkEnd w:id="42"/>
    </w:p>
    <w:p w14:paraId="74A7B108" w14:textId="77777777" w:rsidR="00E6692A" w:rsidRPr="001C214F" w:rsidRDefault="00E6692A" w:rsidP="00E6692A">
      <w:pPr>
        <w:pStyle w:val="parrafos"/>
        <w:numPr>
          <w:ilvl w:val="0"/>
          <w:numId w:val="0"/>
        </w:numPr>
        <w:rPr>
          <w:rFonts w:ascii="Cambria" w:eastAsia="Cambria" w:hAnsi="Cambria" w:cs="Cambria"/>
          <w:color w:val="000000"/>
          <w:sz w:val="18"/>
          <w:szCs w:val="24"/>
          <w:u w:color="000000"/>
          <w:lang w:val="en-US" w:eastAsia="es-ES"/>
        </w:rPr>
      </w:pPr>
    </w:p>
    <w:p w14:paraId="603F7385" w14:textId="77777777" w:rsidR="00E6692A" w:rsidRPr="00990066" w:rsidRDefault="00E6692A" w:rsidP="00E6692A">
      <w:pPr>
        <w:pStyle w:val="parrafos"/>
        <w:numPr>
          <w:ilvl w:val="0"/>
          <w:numId w:val="0"/>
        </w:numPr>
        <w:rPr>
          <w:rFonts w:ascii="Cambria" w:eastAsia="Cambria" w:hAnsi="Cambria" w:cs="Cambria"/>
          <w:color w:val="000000"/>
          <w:sz w:val="18"/>
          <w:szCs w:val="24"/>
          <w:u w:color="000000"/>
          <w:lang w:val="en-US" w:eastAsia="es-ES"/>
        </w:rPr>
      </w:pPr>
      <w:r w:rsidRPr="00FF59F7">
        <w:rPr>
          <w:rFonts w:ascii="Cambria" w:eastAsia="Cambria" w:hAnsi="Cambria" w:cs="Cambria"/>
          <w:color w:val="000000"/>
          <w:sz w:val="18"/>
          <w:szCs w:val="24"/>
          <w:u w:color="000000"/>
          <w:lang w:val="en-US" w:eastAsia="es-ES"/>
        </w:rPr>
        <w:t xml:space="preserve">90. </w:t>
      </w:r>
      <w:r w:rsidRPr="00FF59F7">
        <w:rPr>
          <w:rFonts w:ascii="Cambria" w:eastAsia="Cambria" w:hAnsi="Cambria" w:cs="Cambria"/>
          <w:color w:val="000000"/>
          <w:u w:color="000000"/>
          <w:lang w:val="en-US" w:eastAsia="es-ES"/>
        </w:rPr>
        <w:t xml:space="preserve">The </w:t>
      </w:r>
      <w:r>
        <w:rPr>
          <w:rFonts w:ascii="Cambria" w:eastAsia="Cambria" w:hAnsi="Cambria" w:cs="Cambria"/>
          <w:color w:val="000000"/>
          <w:u w:color="000000"/>
          <w:lang w:val="en-US" w:eastAsia="es-ES"/>
        </w:rPr>
        <w:t xml:space="preserve">Inter-American </w:t>
      </w:r>
      <w:r w:rsidRPr="00FF59F7">
        <w:rPr>
          <w:rFonts w:ascii="Cambria" w:eastAsia="Cambria" w:hAnsi="Cambria" w:cs="Cambria"/>
          <w:color w:val="000000"/>
          <w:u w:color="000000"/>
          <w:lang w:val="en-US" w:eastAsia="es-ES"/>
        </w:rPr>
        <w:t>Court has indicated that</w:t>
      </w:r>
      <w:r w:rsidRPr="00FF59F7">
        <w:rPr>
          <w:lang w:val="en-US"/>
        </w:rPr>
        <w:t xml:space="preserve">: </w:t>
      </w:r>
      <w:proofErr w:type="spellStart"/>
      <w:r w:rsidRPr="00FF59F7">
        <w:rPr>
          <w:lang w:val="en-US"/>
        </w:rPr>
        <w:t>i</w:t>
      </w:r>
      <w:proofErr w:type="spellEnd"/>
      <w:r w:rsidRPr="00FF59F7">
        <w:rPr>
          <w:lang w:val="en-US"/>
        </w:rPr>
        <w:t xml:space="preserve">) respect for judicial guarantees </w:t>
      </w:r>
      <w:r w:rsidRPr="007444DA">
        <w:rPr>
          <w:lang w:val="en-US"/>
        </w:rPr>
        <w:t>implies respect for judicial independence;</w:t>
      </w:r>
      <w:r>
        <w:rPr>
          <w:lang w:val="en-US"/>
        </w:rPr>
        <w:t xml:space="preserve"> </w:t>
      </w:r>
      <w:r w:rsidRPr="007444DA">
        <w:rPr>
          <w:lang w:val="en-US"/>
        </w:rPr>
        <w:t>ii) the scope of judicial independence translates into a judge’s subjective right to be dismissed from his position exclusively for the reasons permitted, either by means of a process that complies with judicial guarantees or because the term or period of his mandate has expired, and iii) when a judge’s tenure is affected in an arbitrary manner, the right to judicial independence is violated</w:t>
      </w:r>
      <w:r>
        <w:rPr>
          <w:lang w:val="en-US"/>
        </w:rPr>
        <w:t>, in conjunction with the right to have access to and remain in public office, under general conditions of equality,</w:t>
      </w:r>
      <w:r w:rsidRPr="007444DA">
        <w:rPr>
          <w:lang w:val="en-US"/>
        </w:rPr>
        <w:t xml:space="preserve"> established in Article 23(1)(c) of the American Convention.</w:t>
      </w:r>
      <w:r w:rsidRPr="00DB55CD">
        <w:rPr>
          <w:rStyle w:val="Refdenotaalpie"/>
        </w:rPr>
        <w:footnoteReference w:id="89"/>
      </w:r>
      <w:r w:rsidRPr="007444DA">
        <w:rPr>
          <w:lang w:val="en-US"/>
        </w:rPr>
        <w:t xml:space="preserve"> </w:t>
      </w:r>
      <w:r w:rsidRPr="00F34880">
        <w:rPr>
          <w:lang w:val="en-US"/>
        </w:rPr>
        <w:t xml:space="preserve">The Court has </w:t>
      </w:r>
      <w:r>
        <w:rPr>
          <w:lang w:val="en-US"/>
        </w:rPr>
        <w:t>found</w:t>
      </w:r>
      <w:r w:rsidRPr="00F34880">
        <w:rPr>
          <w:lang w:val="en-US"/>
        </w:rPr>
        <w:t xml:space="preserve"> that access in equal conditions would constitute an insufficient </w:t>
      </w:r>
      <w:r w:rsidRPr="00F34880">
        <w:rPr>
          <w:lang w:val="en-US"/>
        </w:rPr>
        <w:lastRenderedPageBreak/>
        <w:t>guarantee if it were not accompanied by the effective protection of the continuance in what is accessed, which is related to observance of the principle of tenure for judges and the prohibition of their arbitrary dismissal.</w:t>
      </w:r>
      <w:r>
        <w:rPr>
          <w:rStyle w:val="Refdenotaalpie"/>
        </w:rPr>
        <w:footnoteReference w:id="90"/>
      </w:r>
    </w:p>
    <w:p w14:paraId="7D3F99A4" w14:textId="77777777" w:rsidR="00E6692A" w:rsidRPr="00990066" w:rsidRDefault="00E6692A" w:rsidP="00E6692A">
      <w:pPr>
        <w:pStyle w:val="parrafos"/>
        <w:numPr>
          <w:ilvl w:val="0"/>
          <w:numId w:val="0"/>
        </w:numPr>
        <w:rPr>
          <w:rFonts w:ascii="Cambria" w:eastAsia="Cambria" w:hAnsi="Cambria" w:cs="Cambria"/>
          <w:color w:val="000000"/>
          <w:sz w:val="18"/>
          <w:szCs w:val="24"/>
          <w:u w:color="000000"/>
          <w:lang w:val="en-US" w:eastAsia="es-ES"/>
        </w:rPr>
      </w:pPr>
    </w:p>
    <w:p w14:paraId="0BF6311A" w14:textId="77777777" w:rsidR="00E6692A" w:rsidRPr="00167C92" w:rsidRDefault="00E6692A" w:rsidP="00E6692A">
      <w:pPr>
        <w:pStyle w:val="parrafos"/>
        <w:numPr>
          <w:ilvl w:val="0"/>
          <w:numId w:val="0"/>
        </w:numPr>
        <w:rPr>
          <w:lang w:val="en-US"/>
        </w:rPr>
      </w:pPr>
      <w:r w:rsidRPr="00544AD1">
        <w:rPr>
          <w:lang w:val="en-US"/>
        </w:rPr>
        <w:t xml:space="preserve">91. In the instant case, as has been indicated, the alleged victims’ separation was carried out arbitrarily, without observing due process guarantees, which in addition to having a concrete impact on the individual victims, must be </w:t>
      </w:r>
      <w:r>
        <w:rPr>
          <w:lang w:val="en-US"/>
        </w:rPr>
        <w:t>understood</w:t>
      </w:r>
      <w:r w:rsidRPr="00544AD1">
        <w:rPr>
          <w:lang w:val="en-US"/>
        </w:rPr>
        <w:t xml:space="preserve"> </w:t>
      </w:r>
      <w:r>
        <w:rPr>
          <w:lang w:val="en-US"/>
        </w:rPr>
        <w:t>in relation to</w:t>
      </w:r>
      <w:r w:rsidRPr="00544AD1">
        <w:rPr>
          <w:lang w:val="en-US"/>
        </w:rPr>
        <w:t xml:space="preserve"> the interference</w:t>
      </w:r>
      <w:r>
        <w:rPr>
          <w:lang w:val="en-US"/>
        </w:rPr>
        <w:t xml:space="preserve"> </w:t>
      </w:r>
      <w:r w:rsidRPr="00544AD1">
        <w:rPr>
          <w:lang w:val="en-US"/>
        </w:rPr>
        <w:t xml:space="preserve">with the principle of judicial independence. </w:t>
      </w:r>
      <w:r w:rsidRPr="00167C92">
        <w:rPr>
          <w:lang w:val="en-US"/>
        </w:rPr>
        <w:t xml:space="preserve">In this regard, the Commission </w:t>
      </w:r>
      <w:r>
        <w:rPr>
          <w:lang w:val="en-US"/>
        </w:rPr>
        <w:t>notes</w:t>
      </w:r>
      <w:r w:rsidRPr="00167C92">
        <w:rPr>
          <w:lang w:val="en-US"/>
        </w:rPr>
        <w:t xml:space="preserve"> that in the context </w:t>
      </w:r>
      <w:r>
        <w:rPr>
          <w:lang w:val="en-US"/>
        </w:rPr>
        <w:t>of</w:t>
      </w:r>
      <w:r w:rsidRPr="00167C92">
        <w:rPr>
          <w:lang w:val="en-US"/>
        </w:rPr>
        <w:t xml:space="preserve"> the events of this case, prior to the justices’ dismissal the Constitutional Chamber had declared unconstitutional at least three other laws approved by the government in office</w:t>
      </w:r>
      <w:r>
        <w:rPr>
          <w:lang w:val="en-US"/>
        </w:rPr>
        <w:t>,</w:t>
      </w:r>
      <w:r w:rsidRPr="00167C92">
        <w:rPr>
          <w:lang w:val="en-US"/>
        </w:rPr>
        <w:t xml:space="preserve"> and that </w:t>
      </w:r>
      <w:r>
        <w:rPr>
          <w:lang w:val="en-US"/>
        </w:rPr>
        <w:t>on those occasions</w:t>
      </w:r>
      <w:r w:rsidRPr="00167C92">
        <w:rPr>
          <w:lang w:val="en-US"/>
        </w:rPr>
        <w:t xml:space="preserve">, the Honduran </w:t>
      </w:r>
      <w:r>
        <w:rPr>
          <w:lang w:val="en-US"/>
        </w:rPr>
        <w:t>President</w:t>
      </w:r>
      <w:r w:rsidRPr="00167C92">
        <w:rPr>
          <w:lang w:val="en-US"/>
        </w:rPr>
        <w:t xml:space="preserve"> severely criticized the</w:t>
      </w:r>
      <w:r>
        <w:rPr>
          <w:lang w:val="en-US"/>
        </w:rPr>
        <w:t>se</w:t>
      </w:r>
      <w:r w:rsidRPr="00167C92">
        <w:rPr>
          <w:lang w:val="en-US"/>
        </w:rPr>
        <w:t xml:space="preserve"> judicial decisions.</w:t>
      </w:r>
      <w:r>
        <w:rPr>
          <w:lang w:val="en-US"/>
        </w:rPr>
        <w:t xml:space="preserve"> </w:t>
      </w:r>
    </w:p>
    <w:p w14:paraId="7EC6641F" w14:textId="77777777" w:rsidR="00E6692A" w:rsidRPr="00167C92" w:rsidRDefault="00E6692A" w:rsidP="00E6692A">
      <w:pPr>
        <w:pStyle w:val="Prrafodelista"/>
        <w:rPr>
          <w:lang w:val="en-US"/>
        </w:rPr>
      </w:pPr>
    </w:p>
    <w:p w14:paraId="1BFBE383" w14:textId="77777777" w:rsidR="00E6692A" w:rsidRPr="001B183F" w:rsidRDefault="00E6692A" w:rsidP="00E6692A">
      <w:pPr>
        <w:pStyle w:val="parrafos"/>
        <w:numPr>
          <w:ilvl w:val="0"/>
          <w:numId w:val="0"/>
        </w:numPr>
        <w:rPr>
          <w:lang w:val="en-US"/>
        </w:rPr>
      </w:pPr>
      <w:r w:rsidRPr="00F757A2">
        <w:rPr>
          <w:lang w:val="en-US"/>
        </w:rPr>
        <w:t>92. The documents attached to the case file show that the then</w:t>
      </w:r>
      <w:r>
        <w:rPr>
          <w:lang w:val="en-US"/>
        </w:rPr>
        <w:t>-</w:t>
      </w:r>
      <w:r w:rsidRPr="00F757A2">
        <w:rPr>
          <w:lang w:val="en-US"/>
        </w:rPr>
        <w:t xml:space="preserve">President of the Republic, Porfirio Lobo, gave public statements </w:t>
      </w:r>
      <w:r>
        <w:rPr>
          <w:lang w:val="en-US"/>
        </w:rPr>
        <w:t>related</w:t>
      </w:r>
      <w:r w:rsidRPr="00F757A2">
        <w:rPr>
          <w:lang w:val="en-US"/>
        </w:rPr>
        <w:t xml:space="preserve"> the decision by the Constitutional Ch</w:t>
      </w:r>
      <w:r>
        <w:rPr>
          <w:lang w:val="en-US"/>
        </w:rPr>
        <w:t>amber of the Supreme Court</w:t>
      </w:r>
      <w:r w:rsidRPr="00F757A2">
        <w:rPr>
          <w:lang w:val="en-US"/>
        </w:rPr>
        <w:t xml:space="preserve"> to declare the </w:t>
      </w:r>
      <w:r w:rsidRPr="00804789">
        <w:rPr>
          <w:lang w:val="en-US"/>
        </w:rPr>
        <w:t>Special Law to Purge the Police Force of Corruption</w:t>
      </w:r>
      <w:r w:rsidRPr="00F757A2">
        <w:rPr>
          <w:lang w:val="en-US"/>
        </w:rPr>
        <w:t xml:space="preserve"> unconstitu</w:t>
      </w:r>
      <w:r>
        <w:rPr>
          <w:lang w:val="en-US"/>
        </w:rPr>
        <w:t xml:space="preserve">tional. </w:t>
      </w:r>
      <w:r w:rsidRPr="00F757A2">
        <w:rPr>
          <w:lang w:val="en-US"/>
        </w:rPr>
        <w:t xml:space="preserve">He mentioned the names of the four alleged victims to the media, and the motion to set up a Special Committee to investigate </w:t>
      </w:r>
      <w:r>
        <w:rPr>
          <w:lang w:val="en-US"/>
        </w:rPr>
        <w:t xml:space="preserve">the </w:t>
      </w:r>
      <w:r w:rsidRPr="00F757A2">
        <w:rPr>
          <w:lang w:val="en-US"/>
        </w:rPr>
        <w:t xml:space="preserve">“administrative conduct </w:t>
      </w:r>
      <w:r>
        <w:rPr>
          <w:lang w:val="en-US"/>
        </w:rPr>
        <w:t xml:space="preserve">of the justices” </w:t>
      </w:r>
      <w:r w:rsidRPr="00F757A2">
        <w:rPr>
          <w:lang w:val="en-US"/>
        </w:rPr>
        <w:t xml:space="preserve">was put forward by a deputy </w:t>
      </w:r>
      <w:r>
        <w:rPr>
          <w:lang w:val="en-US"/>
        </w:rPr>
        <w:t xml:space="preserve">from the ruling party. </w:t>
      </w:r>
      <w:r w:rsidRPr="00F757A2">
        <w:rPr>
          <w:lang w:val="en-US"/>
        </w:rPr>
        <w:t xml:space="preserve">According to what has already been described, the </w:t>
      </w:r>
      <w:proofErr w:type="gramStart"/>
      <w:r w:rsidRPr="00F757A2">
        <w:rPr>
          <w:lang w:val="en-US"/>
        </w:rPr>
        <w:t>aforementioned former</w:t>
      </w:r>
      <w:proofErr w:type="gramEnd"/>
      <w:r w:rsidRPr="00F757A2">
        <w:rPr>
          <w:lang w:val="en-US"/>
        </w:rPr>
        <w:t xml:space="preserve"> President said </w:t>
      </w:r>
      <w:r>
        <w:rPr>
          <w:lang w:val="en-US"/>
        </w:rPr>
        <w:t xml:space="preserve">that </w:t>
      </w:r>
      <w:r w:rsidRPr="00F757A2">
        <w:rPr>
          <w:lang w:val="en-US"/>
        </w:rPr>
        <w:t>he was “total</w:t>
      </w:r>
      <w:r>
        <w:rPr>
          <w:lang w:val="en-US"/>
        </w:rPr>
        <w:t>ly in agreement” with the alleged victims’</w:t>
      </w:r>
      <w:r w:rsidRPr="00F757A2">
        <w:rPr>
          <w:sz w:val="18"/>
          <w:szCs w:val="18"/>
          <w:lang w:val="en-US"/>
        </w:rPr>
        <w:t xml:space="preserve"> </w:t>
      </w:r>
      <w:r>
        <w:rPr>
          <w:lang w:val="en-US"/>
        </w:rPr>
        <w:t xml:space="preserve">dismissal and </w:t>
      </w:r>
      <w:r w:rsidRPr="005966D8">
        <w:rPr>
          <w:lang w:val="en-US"/>
        </w:rPr>
        <w:t xml:space="preserve">indicated that </w:t>
      </w:r>
      <w:r>
        <w:rPr>
          <w:lang w:val="en-US"/>
        </w:rPr>
        <w:t>“</w:t>
      </w:r>
      <w:r w:rsidRPr="005966D8">
        <w:rPr>
          <w:lang w:val="en-US"/>
        </w:rPr>
        <w:t>in his opinion, the members of the Constitutional Chamber do not deserve the trust of the Honduran people for opposing the police purge</w:t>
      </w:r>
      <w:r>
        <w:rPr>
          <w:lang w:val="en-US"/>
        </w:rPr>
        <w:t>.</w:t>
      </w:r>
      <w:r w:rsidRPr="005966D8">
        <w:rPr>
          <w:lang w:val="en-US"/>
        </w:rPr>
        <w:t xml:space="preserve">” </w:t>
      </w:r>
      <w:r w:rsidRPr="001B183F">
        <w:rPr>
          <w:lang w:val="en-US"/>
        </w:rPr>
        <w:t>Furthermore, the Commission considers it extremely serious that during the debate that ended with the justices</w:t>
      </w:r>
      <w:r>
        <w:rPr>
          <w:lang w:val="en-US"/>
        </w:rPr>
        <w:t>’</w:t>
      </w:r>
      <w:r w:rsidRPr="001B183F">
        <w:rPr>
          <w:lang w:val="en-US"/>
        </w:rPr>
        <w:t xml:space="preserve"> dismissal, military and police forces surrounded</w:t>
      </w:r>
      <w:r>
        <w:rPr>
          <w:lang w:val="en-US"/>
        </w:rPr>
        <w:t xml:space="preserve"> the parliamentary building. </w:t>
      </w:r>
      <w:r w:rsidRPr="001B183F">
        <w:rPr>
          <w:lang w:val="en-US"/>
        </w:rPr>
        <w:t>There is no doubt that this facto</w:t>
      </w:r>
      <w:r>
        <w:rPr>
          <w:lang w:val="en-US"/>
        </w:rPr>
        <w:t>r</w:t>
      </w:r>
      <w:r w:rsidRPr="001B183F">
        <w:rPr>
          <w:lang w:val="en-US"/>
        </w:rPr>
        <w:t xml:space="preserve"> clear</w:t>
      </w:r>
      <w:r>
        <w:rPr>
          <w:lang w:val="en-US"/>
        </w:rPr>
        <w:t>ly</w:t>
      </w:r>
      <w:r w:rsidRPr="001B183F">
        <w:rPr>
          <w:lang w:val="en-US"/>
        </w:rPr>
        <w:t xml:space="preserve"> </w:t>
      </w:r>
      <w:r>
        <w:rPr>
          <w:lang w:val="en-US"/>
        </w:rPr>
        <w:t>put</w:t>
      </w:r>
      <w:r w:rsidRPr="001B183F">
        <w:rPr>
          <w:lang w:val="en-US"/>
        </w:rPr>
        <w:t xml:space="preserve"> symbolic and material pressure on a democratically elected branch of government. Added to that situation is the statement by the then</w:t>
      </w:r>
      <w:r>
        <w:rPr>
          <w:lang w:val="en-US"/>
        </w:rPr>
        <w:t>-</w:t>
      </w:r>
      <w:r w:rsidRPr="001B183F">
        <w:rPr>
          <w:lang w:val="en-US"/>
        </w:rPr>
        <w:t xml:space="preserve">President of </w:t>
      </w:r>
      <w:r>
        <w:rPr>
          <w:lang w:val="en-US"/>
        </w:rPr>
        <w:t xml:space="preserve">the </w:t>
      </w:r>
      <w:r w:rsidRPr="001B183F">
        <w:rPr>
          <w:lang w:val="en-US"/>
        </w:rPr>
        <w:t xml:space="preserve">Congress, who told a media outlet that </w:t>
      </w:r>
      <w:r w:rsidRPr="004F39FA">
        <w:rPr>
          <w:lang w:val="en-US"/>
        </w:rPr>
        <w:t xml:space="preserve">“he had discussed the issue of the </w:t>
      </w:r>
      <w:r>
        <w:rPr>
          <w:lang w:val="en-US"/>
        </w:rPr>
        <w:t xml:space="preserve">justices’ </w:t>
      </w:r>
      <w:r w:rsidRPr="004F39FA">
        <w:rPr>
          <w:lang w:val="en-US"/>
        </w:rPr>
        <w:t xml:space="preserve">removal with President Lobo and that they had </w:t>
      </w:r>
      <w:r>
        <w:rPr>
          <w:lang w:val="en-US"/>
        </w:rPr>
        <w:t>come to</w:t>
      </w:r>
      <w:r w:rsidRPr="004F39FA">
        <w:rPr>
          <w:lang w:val="en-US"/>
        </w:rPr>
        <w:t xml:space="preserve"> a consensus that this would be best for the country</w:t>
      </w:r>
      <w:r>
        <w:rPr>
          <w:lang w:val="en-US"/>
        </w:rPr>
        <w:t>,</w:t>
      </w:r>
      <w:r w:rsidRPr="004F39FA">
        <w:rPr>
          <w:lang w:val="en-US"/>
        </w:rPr>
        <w:t xml:space="preserve"> and that agreement had been reached with the President of the Supreme Court regarding the appointment of the new justices</w:t>
      </w:r>
      <w:r>
        <w:rPr>
          <w:lang w:val="en-US"/>
        </w:rPr>
        <w:t>.”</w:t>
      </w:r>
    </w:p>
    <w:p w14:paraId="2953E1F2" w14:textId="77777777" w:rsidR="00E6692A" w:rsidRPr="001B183F" w:rsidRDefault="00E6692A" w:rsidP="00E6692A">
      <w:pPr>
        <w:pStyle w:val="parrafos"/>
        <w:numPr>
          <w:ilvl w:val="0"/>
          <w:numId w:val="0"/>
        </w:numPr>
        <w:rPr>
          <w:lang w:val="en-US"/>
        </w:rPr>
      </w:pPr>
    </w:p>
    <w:p w14:paraId="120FD416" w14:textId="77777777" w:rsidR="00E6692A" w:rsidRPr="004B2A55" w:rsidRDefault="00E6692A" w:rsidP="00E6692A">
      <w:pPr>
        <w:pStyle w:val="parrafos"/>
        <w:numPr>
          <w:ilvl w:val="0"/>
          <w:numId w:val="0"/>
        </w:numPr>
        <w:rPr>
          <w:lang w:val="en-US"/>
        </w:rPr>
      </w:pPr>
      <w:r w:rsidRPr="000E2CE2">
        <w:rPr>
          <w:lang w:val="en-US"/>
        </w:rPr>
        <w:t xml:space="preserve">93. Consequently, the Commission </w:t>
      </w:r>
      <w:r>
        <w:rPr>
          <w:lang w:val="en-US"/>
        </w:rPr>
        <w:t>observes</w:t>
      </w:r>
      <w:r w:rsidRPr="000E2CE2">
        <w:rPr>
          <w:lang w:val="en-US"/>
        </w:rPr>
        <w:t xml:space="preserve"> that there was a causal relationship between the statements </w:t>
      </w:r>
      <w:r>
        <w:rPr>
          <w:lang w:val="en-US"/>
        </w:rPr>
        <w:t xml:space="preserve">made by the </w:t>
      </w:r>
      <w:r w:rsidRPr="000E2CE2">
        <w:rPr>
          <w:lang w:val="en-US"/>
        </w:rPr>
        <w:t xml:space="preserve">President of the Republic regarding rulings </w:t>
      </w:r>
      <w:r>
        <w:rPr>
          <w:lang w:val="en-US"/>
        </w:rPr>
        <w:t xml:space="preserve">against </w:t>
      </w:r>
      <w:r w:rsidRPr="000E2CE2">
        <w:rPr>
          <w:lang w:val="en-US"/>
        </w:rPr>
        <w:t xml:space="preserve">the </w:t>
      </w:r>
      <w:r>
        <w:rPr>
          <w:lang w:val="en-US"/>
        </w:rPr>
        <w:t xml:space="preserve">government’s </w:t>
      </w:r>
      <w:r w:rsidRPr="000E2CE2">
        <w:rPr>
          <w:lang w:val="en-US"/>
        </w:rPr>
        <w:t>interests</w:t>
      </w:r>
      <w:r>
        <w:rPr>
          <w:lang w:val="en-US"/>
        </w:rPr>
        <w:t xml:space="preserve"> </w:t>
      </w:r>
      <w:r w:rsidRPr="000E2CE2">
        <w:rPr>
          <w:lang w:val="en-US"/>
        </w:rPr>
        <w:t xml:space="preserve">and the special investigation that was carried out by the </w:t>
      </w:r>
      <w:r>
        <w:rPr>
          <w:lang w:val="en-US"/>
        </w:rPr>
        <w:t xml:space="preserve">Honduran </w:t>
      </w:r>
      <w:r w:rsidRPr="000E2CE2">
        <w:rPr>
          <w:lang w:val="en-US"/>
        </w:rPr>
        <w:t>Congress</w:t>
      </w:r>
      <w:r>
        <w:rPr>
          <w:lang w:val="en-US"/>
        </w:rPr>
        <w:t xml:space="preserve"> and that resulted in the victims’ dismissal. </w:t>
      </w:r>
      <w:r w:rsidRPr="004B2A55">
        <w:rPr>
          <w:lang w:val="en-US"/>
        </w:rPr>
        <w:t>In the Commission’s view, the facts laid out show that the executive and legislative branches exer</w:t>
      </w:r>
      <w:r>
        <w:rPr>
          <w:lang w:val="en-US"/>
        </w:rPr>
        <w:t>ted</w:t>
      </w:r>
      <w:r w:rsidRPr="004B2A55">
        <w:rPr>
          <w:lang w:val="en-US"/>
        </w:rPr>
        <w:t xml:space="preserve"> clear pressur</w:t>
      </w:r>
      <w:r>
        <w:rPr>
          <w:lang w:val="en-US"/>
        </w:rPr>
        <w:t>e</w:t>
      </w:r>
      <w:r w:rsidRPr="004B2A55">
        <w:rPr>
          <w:lang w:val="en-US"/>
        </w:rPr>
        <w:t xml:space="preserve"> against the Constitutional Chamber, </w:t>
      </w:r>
      <w:r>
        <w:rPr>
          <w:lang w:val="en-US"/>
        </w:rPr>
        <w:t>which was serious and ran contrary to the principle of judicial independence enshrined in the American Convention</w:t>
      </w:r>
      <w:r w:rsidRPr="004B2A55">
        <w:rPr>
          <w:lang w:val="en-US"/>
        </w:rPr>
        <w:t>.</w:t>
      </w:r>
    </w:p>
    <w:p w14:paraId="04481B4D" w14:textId="77777777" w:rsidR="00E6692A" w:rsidRPr="004B2A55" w:rsidRDefault="00E6692A" w:rsidP="00E6692A">
      <w:pPr>
        <w:pStyle w:val="Prrafodelista"/>
        <w:rPr>
          <w:lang w:val="en-US"/>
        </w:rPr>
      </w:pPr>
    </w:p>
    <w:p w14:paraId="5D4BFB23" w14:textId="77777777" w:rsidR="00E6692A" w:rsidRPr="00E35E5C" w:rsidRDefault="00E6692A" w:rsidP="00E6692A">
      <w:pPr>
        <w:pStyle w:val="parrafos"/>
        <w:numPr>
          <w:ilvl w:val="0"/>
          <w:numId w:val="0"/>
        </w:numPr>
        <w:rPr>
          <w:lang w:val="en-US"/>
        </w:rPr>
      </w:pPr>
      <w:r w:rsidRPr="00E35E5C">
        <w:rPr>
          <w:lang w:val="en-US"/>
        </w:rPr>
        <w:t xml:space="preserve">94. In this regard, the Commission observes that the arbitrary decision of the Congress was not adopted </w:t>
      </w:r>
      <w:r>
        <w:rPr>
          <w:lang w:val="en-US"/>
        </w:rPr>
        <w:t>because of</w:t>
      </w:r>
      <w:r w:rsidRPr="00E35E5C">
        <w:rPr>
          <w:lang w:val="en-US"/>
        </w:rPr>
        <w:t xml:space="preserve"> any possible administrative </w:t>
      </w:r>
      <w:r>
        <w:rPr>
          <w:lang w:val="en-US"/>
        </w:rPr>
        <w:t>actions</w:t>
      </w:r>
      <w:r w:rsidRPr="00E35E5C">
        <w:rPr>
          <w:lang w:val="en-US"/>
        </w:rPr>
        <w:t xml:space="preserve"> or infractions that led to some type of responsibility on the part of the dismissed judges; rather, it</w:t>
      </w:r>
      <w:r>
        <w:rPr>
          <w:lang w:val="en-US"/>
        </w:rPr>
        <w:t xml:space="preserve"> was in pursuit of a completely different purpose and had to do with an abuse of power. </w:t>
      </w:r>
      <w:r w:rsidRPr="00E35E5C">
        <w:rPr>
          <w:lang w:val="en-US"/>
        </w:rPr>
        <w:t xml:space="preserve">This had a highly negative impact on </w:t>
      </w:r>
      <w:r>
        <w:rPr>
          <w:lang w:val="en-US"/>
        </w:rPr>
        <w:t xml:space="preserve">the </w:t>
      </w:r>
      <w:r w:rsidRPr="00E35E5C">
        <w:rPr>
          <w:lang w:val="en-US"/>
        </w:rPr>
        <w:t xml:space="preserve">institutional aspect </w:t>
      </w:r>
      <w:r>
        <w:rPr>
          <w:lang w:val="en-US"/>
        </w:rPr>
        <w:t xml:space="preserve">of </w:t>
      </w:r>
      <w:r w:rsidRPr="00E35E5C">
        <w:rPr>
          <w:lang w:val="en-US"/>
        </w:rPr>
        <w:t>judicial independence, as it constituted an attack on the institution, altered the democratic order and the rule of law, and meant that at that moment there was no real separation of powers</w:t>
      </w:r>
      <w:r>
        <w:rPr>
          <w:lang w:val="en-US"/>
        </w:rPr>
        <w:t xml:space="preserve">. </w:t>
      </w:r>
    </w:p>
    <w:p w14:paraId="46EE6753" w14:textId="77777777" w:rsidR="00E6692A" w:rsidRPr="00E35E5C" w:rsidRDefault="00E6692A" w:rsidP="00E6692A">
      <w:pPr>
        <w:pStyle w:val="parrafos"/>
        <w:numPr>
          <w:ilvl w:val="0"/>
          <w:numId w:val="0"/>
        </w:numPr>
        <w:rPr>
          <w:rFonts w:eastAsia="Times New Roman"/>
          <w:lang w:val="en-US"/>
        </w:rPr>
      </w:pPr>
    </w:p>
    <w:p w14:paraId="42FEAD6C" w14:textId="77777777" w:rsidR="00E6692A" w:rsidRPr="005504E0" w:rsidRDefault="00E6692A" w:rsidP="00E6692A">
      <w:pPr>
        <w:pStyle w:val="parrafos"/>
        <w:numPr>
          <w:ilvl w:val="0"/>
          <w:numId w:val="0"/>
        </w:numPr>
        <w:rPr>
          <w:lang w:val="en-US"/>
        </w:rPr>
      </w:pPr>
      <w:r w:rsidRPr="00F74BBD">
        <w:rPr>
          <w:rFonts w:eastAsia="Times New Roman"/>
          <w:lang w:val="en-US"/>
        </w:rPr>
        <w:t xml:space="preserve">95. </w:t>
      </w:r>
      <w:r w:rsidRPr="00F74BBD">
        <w:rPr>
          <w:lang w:val="en-US"/>
        </w:rPr>
        <w:t xml:space="preserve">In view of what has been laid out, the Commission concludes that in the case </w:t>
      </w:r>
      <w:r>
        <w:rPr>
          <w:lang w:val="en-US"/>
        </w:rPr>
        <w:t xml:space="preserve">at hand </w:t>
      </w:r>
      <w:r w:rsidRPr="00F74BBD">
        <w:rPr>
          <w:lang w:val="en-US"/>
        </w:rPr>
        <w:t xml:space="preserve">it has been established that José Antonio Gutiérrez </w:t>
      </w:r>
      <w:proofErr w:type="spellStart"/>
      <w:r w:rsidRPr="00F74BBD">
        <w:rPr>
          <w:lang w:val="en-US"/>
        </w:rPr>
        <w:t>Navas</w:t>
      </w:r>
      <w:proofErr w:type="spellEnd"/>
      <w:r w:rsidRPr="00F74BBD">
        <w:rPr>
          <w:lang w:val="en-US"/>
        </w:rPr>
        <w:t xml:space="preserve">, Rosalinda Cruz </w:t>
      </w:r>
      <w:proofErr w:type="spellStart"/>
      <w:r w:rsidRPr="00F74BBD">
        <w:rPr>
          <w:lang w:val="en-US"/>
        </w:rPr>
        <w:t>Sequeira</w:t>
      </w:r>
      <w:proofErr w:type="spellEnd"/>
      <w:r w:rsidRPr="00F74BBD">
        <w:rPr>
          <w:lang w:val="en-US"/>
        </w:rPr>
        <w:t xml:space="preserve">, José Francisco Ruiz </w:t>
      </w:r>
      <w:proofErr w:type="spellStart"/>
      <w:r w:rsidRPr="00F74BBD">
        <w:rPr>
          <w:lang w:val="en-US"/>
        </w:rPr>
        <w:t>Gaekel</w:t>
      </w:r>
      <w:proofErr w:type="spellEnd"/>
      <w:r w:rsidRPr="00F74BBD">
        <w:rPr>
          <w:lang w:val="en-US"/>
        </w:rPr>
        <w:t xml:space="preserve">, and Gustavo Enrique Bustillo Palma were </w:t>
      </w:r>
      <w:r>
        <w:rPr>
          <w:lang w:val="en-US"/>
        </w:rPr>
        <w:t>removed from office</w:t>
      </w:r>
      <w:r w:rsidRPr="00F74BBD">
        <w:rPr>
          <w:lang w:val="en-US"/>
        </w:rPr>
        <w:t xml:space="preserve"> in a proceeding in which there were viola</w:t>
      </w:r>
      <w:r>
        <w:rPr>
          <w:lang w:val="en-US"/>
        </w:rPr>
        <w:t xml:space="preserve">tions both to due process of law as well as to the principle of legality under the terms explained throughout this report on the merits. </w:t>
      </w:r>
      <w:r w:rsidRPr="001C214F">
        <w:rPr>
          <w:lang w:val="en-US"/>
        </w:rPr>
        <w:t xml:space="preserve">In addition, it was established that the dismissal </w:t>
      </w:r>
      <w:r w:rsidRPr="00F74BBD">
        <w:rPr>
          <w:lang w:val="en-US"/>
        </w:rPr>
        <w:t xml:space="preserve">proceeding </w:t>
      </w:r>
      <w:r w:rsidRPr="001C214F">
        <w:rPr>
          <w:lang w:val="en-US"/>
        </w:rPr>
        <w:t>carried out by the Congress was implemented arbitrarily,</w:t>
      </w:r>
      <w:r>
        <w:rPr>
          <w:lang w:val="en-US"/>
        </w:rPr>
        <w:t xml:space="preserve"> </w:t>
      </w:r>
      <w:r w:rsidRPr="001C214F">
        <w:rPr>
          <w:lang w:val="en-US"/>
        </w:rPr>
        <w:t xml:space="preserve">in breach of the principle of judicial independence. </w:t>
      </w:r>
      <w:r w:rsidRPr="005504E0">
        <w:rPr>
          <w:lang w:val="en-US"/>
        </w:rPr>
        <w:t xml:space="preserve">Under these circumstances, and in keeping with the criterion mentioned in the preceding paragraph, the Commission considers that the State also violated the right to </w:t>
      </w:r>
      <w:r>
        <w:rPr>
          <w:lang w:val="en-US"/>
        </w:rPr>
        <w:t xml:space="preserve">have </w:t>
      </w:r>
      <w:r w:rsidRPr="005504E0">
        <w:rPr>
          <w:lang w:val="en-US"/>
        </w:rPr>
        <w:t xml:space="preserve">access </w:t>
      </w:r>
      <w:r>
        <w:rPr>
          <w:lang w:val="en-US"/>
        </w:rPr>
        <w:t xml:space="preserve">to </w:t>
      </w:r>
      <w:r w:rsidRPr="005504E0">
        <w:rPr>
          <w:lang w:val="en-US"/>
        </w:rPr>
        <w:t xml:space="preserve">and remain in public office, </w:t>
      </w:r>
      <w:r>
        <w:rPr>
          <w:lang w:val="en-US"/>
        </w:rPr>
        <w:t>under</w:t>
      </w:r>
      <w:r w:rsidRPr="005504E0">
        <w:rPr>
          <w:lang w:val="en-US"/>
        </w:rPr>
        <w:t xml:space="preserve"> general </w:t>
      </w:r>
      <w:r>
        <w:rPr>
          <w:lang w:val="en-US"/>
        </w:rPr>
        <w:t>conditions</w:t>
      </w:r>
      <w:r w:rsidRPr="005504E0">
        <w:rPr>
          <w:lang w:val="en-US"/>
        </w:rPr>
        <w:t xml:space="preserve"> of equality, established in Article 23(1)(c) of the American Convention in connection with Article 1(1) th</w:t>
      </w:r>
      <w:r>
        <w:rPr>
          <w:lang w:val="en-US"/>
        </w:rPr>
        <w:t>ereof,</w:t>
      </w:r>
      <w:r w:rsidRPr="00DB55CD">
        <w:rPr>
          <w:rStyle w:val="Refdenotaalpie"/>
          <w:lang w:val="es-CO"/>
        </w:rPr>
        <w:footnoteReference w:id="91"/>
      </w:r>
      <w:r w:rsidRPr="005504E0">
        <w:rPr>
          <w:lang w:val="en-US"/>
        </w:rPr>
        <w:t xml:space="preserve"> </w:t>
      </w:r>
      <w:r>
        <w:rPr>
          <w:lang w:val="en-US"/>
        </w:rPr>
        <w:t>to the detriment of</w:t>
      </w:r>
      <w:bookmarkStart w:id="43" w:name="_Hlk63692507"/>
      <w:r>
        <w:rPr>
          <w:lang w:val="en-US"/>
        </w:rPr>
        <w:t xml:space="preserve"> </w:t>
      </w:r>
      <w:r w:rsidRPr="005504E0">
        <w:rPr>
          <w:lang w:val="en-US"/>
        </w:rPr>
        <w:t xml:space="preserve">José Antonio Gutiérrez </w:t>
      </w:r>
      <w:proofErr w:type="spellStart"/>
      <w:r w:rsidRPr="005504E0">
        <w:rPr>
          <w:lang w:val="en-US"/>
        </w:rPr>
        <w:t>Navas</w:t>
      </w:r>
      <w:proofErr w:type="spellEnd"/>
      <w:r w:rsidRPr="005504E0">
        <w:rPr>
          <w:lang w:val="en-US"/>
        </w:rPr>
        <w:t xml:space="preserve">, Rosalinda Cruz </w:t>
      </w:r>
      <w:proofErr w:type="spellStart"/>
      <w:r w:rsidRPr="005504E0">
        <w:rPr>
          <w:lang w:val="en-US"/>
        </w:rPr>
        <w:t>Sequeira</w:t>
      </w:r>
      <w:proofErr w:type="spellEnd"/>
      <w:r w:rsidRPr="005504E0">
        <w:rPr>
          <w:lang w:val="en-US"/>
        </w:rPr>
        <w:t xml:space="preserve">, José Francisco Ruiz </w:t>
      </w:r>
      <w:proofErr w:type="spellStart"/>
      <w:r w:rsidRPr="005504E0">
        <w:rPr>
          <w:lang w:val="en-US"/>
        </w:rPr>
        <w:t>Gaekel</w:t>
      </w:r>
      <w:proofErr w:type="spellEnd"/>
      <w:r>
        <w:rPr>
          <w:lang w:val="en-US"/>
        </w:rPr>
        <w:t>, and</w:t>
      </w:r>
      <w:r w:rsidRPr="005504E0">
        <w:rPr>
          <w:lang w:val="en-US"/>
        </w:rPr>
        <w:t xml:space="preserve"> Gustavo Enrique Bustillo Palma.</w:t>
      </w:r>
      <w:bookmarkEnd w:id="43"/>
    </w:p>
    <w:p w14:paraId="3F4FF302" w14:textId="77777777" w:rsidR="00E6692A" w:rsidRPr="005504E0" w:rsidRDefault="00E6692A" w:rsidP="00E6692A">
      <w:pPr>
        <w:pStyle w:val="parrafos"/>
        <w:numPr>
          <w:ilvl w:val="0"/>
          <w:numId w:val="0"/>
        </w:numPr>
        <w:rPr>
          <w:lang w:val="en-US"/>
        </w:rPr>
      </w:pPr>
    </w:p>
    <w:p w14:paraId="792A6758" w14:textId="77777777" w:rsidR="00E6692A" w:rsidRPr="00F7097F" w:rsidRDefault="00E6692A" w:rsidP="00E6692A">
      <w:pPr>
        <w:pStyle w:val="Ttulo2"/>
        <w:numPr>
          <w:ilvl w:val="0"/>
          <w:numId w:val="66"/>
        </w:numPr>
        <w:jc w:val="left"/>
        <w:rPr>
          <w:lang w:val="en-US"/>
        </w:rPr>
      </w:pPr>
      <w:bookmarkStart w:id="44" w:name="_Toc69410072"/>
      <w:r>
        <w:rPr>
          <w:lang w:val="en-US"/>
        </w:rPr>
        <w:t>R</w:t>
      </w:r>
      <w:r w:rsidRPr="00F7097F">
        <w:rPr>
          <w:lang w:val="en-US"/>
        </w:rPr>
        <w:t>ight to personal i</w:t>
      </w:r>
      <w:r>
        <w:rPr>
          <w:lang w:val="en-US"/>
        </w:rPr>
        <w:t>ntegrity</w:t>
      </w:r>
      <w:bookmarkEnd w:id="44"/>
    </w:p>
    <w:p w14:paraId="6ACB9014" w14:textId="77777777" w:rsidR="00E6692A" w:rsidRPr="00F7097F" w:rsidRDefault="00E6692A" w:rsidP="00E6692A"/>
    <w:p w14:paraId="1E634BE0" w14:textId="77777777" w:rsidR="00E6692A" w:rsidRPr="00F7097F" w:rsidRDefault="00E6692A" w:rsidP="00E6692A">
      <w:pPr>
        <w:jc w:val="both"/>
        <w:rPr>
          <w:rFonts w:asciiTheme="majorHAnsi" w:hAnsiTheme="majorHAnsi"/>
          <w:sz w:val="20"/>
          <w:szCs w:val="20"/>
          <w:bdr w:val="none" w:sz="0" w:space="0" w:color="auto"/>
        </w:rPr>
      </w:pPr>
      <w:r w:rsidRPr="00F7097F">
        <w:rPr>
          <w:rFonts w:asciiTheme="majorHAnsi" w:hAnsiTheme="majorHAnsi"/>
          <w:sz w:val="20"/>
          <w:szCs w:val="20"/>
        </w:rPr>
        <w:t xml:space="preserve">96. </w:t>
      </w:r>
      <w:r>
        <w:rPr>
          <w:rFonts w:asciiTheme="majorHAnsi" w:hAnsiTheme="majorHAnsi"/>
          <w:sz w:val="20"/>
          <w:szCs w:val="20"/>
          <w:bdr w:val="none" w:sz="0" w:space="0" w:color="auto"/>
        </w:rPr>
        <w:t xml:space="preserve">On </w:t>
      </w:r>
      <w:proofErr w:type="gramStart"/>
      <w:r>
        <w:rPr>
          <w:rFonts w:asciiTheme="majorHAnsi" w:hAnsiTheme="majorHAnsi"/>
          <w:sz w:val="20"/>
          <w:szCs w:val="20"/>
          <w:bdr w:val="none" w:sz="0" w:space="0" w:color="auto"/>
        </w:rPr>
        <w:t>a number of</w:t>
      </w:r>
      <w:proofErr w:type="gramEnd"/>
      <w:r>
        <w:rPr>
          <w:rFonts w:asciiTheme="majorHAnsi" w:hAnsiTheme="majorHAnsi"/>
          <w:sz w:val="20"/>
          <w:szCs w:val="20"/>
          <w:bdr w:val="none" w:sz="0" w:space="0" w:color="auto"/>
        </w:rPr>
        <w:t xml:space="preserve"> occasions</w:t>
      </w:r>
      <w:r w:rsidRPr="00F7097F">
        <w:rPr>
          <w:rFonts w:asciiTheme="majorHAnsi" w:hAnsiTheme="majorHAnsi"/>
          <w:sz w:val="20"/>
          <w:szCs w:val="20"/>
          <w:bdr w:val="none" w:sz="0" w:space="0" w:color="auto"/>
        </w:rPr>
        <w:t xml:space="preserve">, </w:t>
      </w:r>
      <w:r>
        <w:rPr>
          <w:rFonts w:asciiTheme="majorHAnsi" w:hAnsiTheme="majorHAnsi"/>
          <w:sz w:val="20"/>
          <w:szCs w:val="20"/>
          <w:bdr w:val="none" w:sz="0" w:space="0" w:color="auto"/>
        </w:rPr>
        <w:t>pursuant to</w:t>
      </w:r>
      <w:r w:rsidRPr="00F7097F">
        <w:rPr>
          <w:rFonts w:asciiTheme="majorHAnsi" w:hAnsiTheme="majorHAnsi"/>
          <w:sz w:val="20"/>
          <w:szCs w:val="20"/>
          <w:bdr w:val="none" w:sz="0" w:space="0" w:color="auto"/>
        </w:rPr>
        <w:t xml:space="preserve"> the cases </w:t>
      </w:r>
      <w:r>
        <w:rPr>
          <w:rFonts w:asciiTheme="majorHAnsi" w:hAnsiTheme="majorHAnsi"/>
          <w:sz w:val="20"/>
          <w:szCs w:val="20"/>
          <w:bdr w:val="none" w:sz="0" w:space="0" w:color="auto"/>
        </w:rPr>
        <w:t>heard</w:t>
      </w:r>
      <w:r w:rsidRPr="00F7097F">
        <w:rPr>
          <w:rFonts w:asciiTheme="majorHAnsi" w:hAnsiTheme="majorHAnsi"/>
          <w:sz w:val="20"/>
          <w:szCs w:val="20"/>
          <w:bdr w:val="none" w:sz="0" w:space="0" w:color="auto"/>
        </w:rPr>
        <w:t>,</w:t>
      </w:r>
      <w:r>
        <w:rPr>
          <w:rFonts w:asciiTheme="majorHAnsi" w:hAnsiTheme="majorHAnsi"/>
          <w:sz w:val="20"/>
          <w:szCs w:val="20"/>
          <w:bdr w:val="none" w:sz="0" w:space="0" w:color="auto"/>
        </w:rPr>
        <w:t xml:space="preserve"> t</w:t>
      </w:r>
      <w:r w:rsidRPr="00F7097F">
        <w:rPr>
          <w:rFonts w:asciiTheme="majorHAnsi" w:hAnsiTheme="majorHAnsi"/>
          <w:sz w:val="20"/>
          <w:szCs w:val="20"/>
          <w:bdr w:val="none" w:sz="0" w:space="0" w:color="auto"/>
        </w:rPr>
        <w:t xml:space="preserve">he case law of the </w:t>
      </w:r>
      <w:r>
        <w:rPr>
          <w:rFonts w:asciiTheme="majorHAnsi" w:hAnsiTheme="majorHAnsi"/>
          <w:sz w:val="20"/>
          <w:szCs w:val="20"/>
          <w:bdr w:val="none" w:sz="0" w:space="0" w:color="auto"/>
        </w:rPr>
        <w:t xml:space="preserve">Inter-American </w:t>
      </w:r>
      <w:r w:rsidRPr="00F7097F">
        <w:rPr>
          <w:rFonts w:asciiTheme="majorHAnsi" w:hAnsiTheme="majorHAnsi"/>
          <w:sz w:val="20"/>
          <w:szCs w:val="20"/>
          <w:bdr w:val="none" w:sz="0" w:space="0" w:color="auto"/>
        </w:rPr>
        <w:t xml:space="preserve">Court </w:t>
      </w:r>
      <w:r>
        <w:rPr>
          <w:rFonts w:asciiTheme="majorHAnsi" w:hAnsiTheme="majorHAnsi"/>
          <w:sz w:val="20"/>
          <w:szCs w:val="20"/>
          <w:bdr w:val="none" w:sz="0" w:space="0" w:color="auto"/>
        </w:rPr>
        <w:t xml:space="preserve">has referred </w:t>
      </w:r>
      <w:r w:rsidRPr="00F7097F">
        <w:rPr>
          <w:rFonts w:asciiTheme="majorHAnsi" w:hAnsiTheme="majorHAnsi"/>
          <w:sz w:val="20"/>
          <w:szCs w:val="20"/>
          <w:bdr w:val="none" w:sz="0" w:space="0" w:color="auto"/>
        </w:rPr>
        <w:t>to the obligation to investigate attacks on people’s personal integrity</w:t>
      </w:r>
      <w:r>
        <w:rPr>
          <w:rFonts w:asciiTheme="majorHAnsi" w:hAnsiTheme="majorHAnsi"/>
          <w:sz w:val="20"/>
          <w:szCs w:val="20"/>
          <w:bdr w:val="none" w:sz="0" w:space="0" w:color="auto"/>
        </w:rPr>
        <w:t xml:space="preserve"> and on their lives, but also threats or acts of harassment. </w:t>
      </w:r>
      <w:r w:rsidRPr="00F7097F">
        <w:rPr>
          <w:rFonts w:asciiTheme="majorHAnsi" w:hAnsiTheme="majorHAnsi"/>
          <w:sz w:val="20"/>
          <w:szCs w:val="20"/>
          <w:bdr w:val="none" w:sz="0" w:space="0" w:color="auto"/>
        </w:rPr>
        <w:t>The Court has held that the “obligation to investigate” is derived not only from international obligations but “that it is also derived from domestic legislation that refers to the duty to pr</w:t>
      </w:r>
      <w:r>
        <w:rPr>
          <w:rFonts w:asciiTheme="majorHAnsi" w:hAnsiTheme="majorHAnsi"/>
          <w:sz w:val="20"/>
          <w:szCs w:val="20"/>
          <w:bdr w:val="none" w:sz="0" w:space="0" w:color="auto"/>
        </w:rPr>
        <w:t>oactively investigate certain illicit conduct.</w:t>
      </w:r>
      <w:r w:rsidRPr="00F7097F">
        <w:rPr>
          <w:rFonts w:asciiTheme="majorHAnsi" w:hAnsiTheme="majorHAnsi"/>
          <w:sz w:val="20"/>
          <w:szCs w:val="20"/>
          <w:bdr w:val="none" w:sz="0" w:space="0" w:color="auto"/>
        </w:rPr>
        <w:t>”</w:t>
      </w:r>
      <w:r w:rsidRPr="00DB55CD">
        <w:rPr>
          <w:rFonts w:asciiTheme="majorHAnsi" w:hAnsiTheme="majorHAnsi"/>
          <w:sz w:val="20"/>
          <w:szCs w:val="20"/>
          <w:bdr w:val="none" w:sz="0" w:space="0" w:color="auto"/>
          <w:vertAlign w:val="superscript"/>
        </w:rPr>
        <w:footnoteReference w:id="92"/>
      </w:r>
    </w:p>
    <w:p w14:paraId="6262868C" w14:textId="77777777" w:rsidR="00E6692A" w:rsidRPr="00F7097F" w:rsidRDefault="00E6692A" w:rsidP="00E6692A">
      <w:pPr>
        <w:jc w:val="both"/>
        <w:rPr>
          <w:rFonts w:asciiTheme="majorHAnsi" w:hAnsiTheme="majorHAnsi"/>
          <w:sz w:val="20"/>
          <w:szCs w:val="20"/>
          <w:bdr w:val="none" w:sz="0" w:space="0" w:color="auto"/>
        </w:rPr>
      </w:pPr>
    </w:p>
    <w:p w14:paraId="78D08F35" w14:textId="77777777" w:rsidR="00E6692A" w:rsidRPr="0021268C" w:rsidRDefault="00E6692A" w:rsidP="00E6692A">
      <w:pPr>
        <w:jc w:val="both"/>
        <w:rPr>
          <w:rFonts w:asciiTheme="majorHAnsi" w:hAnsiTheme="majorHAnsi"/>
          <w:sz w:val="20"/>
          <w:szCs w:val="20"/>
        </w:rPr>
      </w:pPr>
      <w:r w:rsidRPr="00073F58">
        <w:rPr>
          <w:rFonts w:asciiTheme="majorHAnsi" w:hAnsiTheme="majorHAnsi"/>
          <w:sz w:val="20"/>
          <w:szCs w:val="20"/>
          <w:bdr w:val="none" w:sz="0" w:space="0" w:color="auto"/>
        </w:rPr>
        <w:t xml:space="preserve">97. In the instant case, the Commission recalls that the alleged victims reported that they had been </w:t>
      </w:r>
      <w:r>
        <w:rPr>
          <w:rFonts w:asciiTheme="majorHAnsi" w:hAnsiTheme="majorHAnsi"/>
          <w:sz w:val="20"/>
          <w:szCs w:val="20"/>
          <w:bdr w:val="none" w:sz="0" w:space="0" w:color="auto"/>
        </w:rPr>
        <w:t>targets of</w:t>
      </w:r>
      <w:r w:rsidRPr="00073F58">
        <w:rPr>
          <w:rFonts w:asciiTheme="majorHAnsi" w:hAnsiTheme="majorHAnsi"/>
          <w:sz w:val="20"/>
          <w:szCs w:val="20"/>
          <w:bdr w:val="none" w:sz="0" w:space="0" w:color="auto"/>
        </w:rPr>
        <w:t xml:space="preserve"> threats and harassment </w:t>
      </w:r>
      <w:proofErr w:type="gramStart"/>
      <w:r w:rsidRPr="00073F58">
        <w:rPr>
          <w:rFonts w:asciiTheme="majorHAnsi" w:hAnsiTheme="majorHAnsi"/>
          <w:sz w:val="20"/>
          <w:szCs w:val="20"/>
          <w:bdr w:val="none" w:sz="0" w:space="0" w:color="auto"/>
        </w:rPr>
        <w:t>subsequent to</w:t>
      </w:r>
      <w:proofErr w:type="gramEnd"/>
      <w:r w:rsidRPr="00073F58">
        <w:rPr>
          <w:rFonts w:asciiTheme="majorHAnsi" w:hAnsiTheme="majorHAnsi"/>
          <w:sz w:val="20"/>
          <w:szCs w:val="20"/>
          <w:bdr w:val="none" w:sz="0" w:space="0" w:color="auto"/>
        </w:rPr>
        <w:t xml:space="preserve"> their </w:t>
      </w:r>
      <w:r>
        <w:rPr>
          <w:rFonts w:asciiTheme="majorHAnsi" w:hAnsiTheme="majorHAnsi"/>
          <w:sz w:val="20"/>
          <w:szCs w:val="20"/>
          <w:bdr w:val="none" w:sz="0" w:space="0" w:color="auto"/>
        </w:rPr>
        <w:t>dismissal</w:t>
      </w:r>
      <w:r w:rsidRPr="00073F58">
        <w:rPr>
          <w:rFonts w:asciiTheme="majorHAnsi" w:hAnsiTheme="majorHAnsi"/>
          <w:sz w:val="20"/>
          <w:szCs w:val="20"/>
          <w:bdr w:val="none" w:sz="0" w:space="0" w:color="auto"/>
        </w:rPr>
        <w:t xml:space="preserve"> as justices of the Supreme Court</w:t>
      </w:r>
      <w:r>
        <w:rPr>
          <w:rFonts w:asciiTheme="majorHAnsi" w:hAnsiTheme="majorHAnsi"/>
          <w:sz w:val="20"/>
          <w:szCs w:val="20"/>
          <w:bdr w:val="none" w:sz="0" w:space="0" w:color="auto"/>
        </w:rPr>
        <w:t>,</w:t>
      </w:r>
      <w:r w:rsidRPr="00073F58">
        <w:rPr>
          <w:rFonts w:asciiTheme="majorHAnsi" w:hAnsiTheme="majorHAnsi"/>
          <w:sz w:val="20"/>
          <w:szCs w:val="20"/>
          <w:bdr w:val="none" w:sz="0" w:space="0" w:color="auto"/>
        </w:rPr>
        <w:t xml:space="preserve"> and</w:t>
      </w:r>
      <w:r>
        <w:rPr>
          <w:rFonts w:asciiTheme="majorHAnsi" w:hAnsiTheme="majorHAnsi"/>
          <w:sz w:val="20"/>
          <w:szCs w:val="20"/>
          <w:bdr w:val="none" w:sz="0" w:space="0" w:color="auto"/>
        </w:rPr>
        <w:t xml:space="preserve"> even ended up leaving the country. </w:t>
      </w:r>
      <w:r w:rsidRPr="00073F58">
        <w:rPr>
          <w:rFonts w:asciiTheme="majorHAnsi" w:hAnsiTheme="majorHAnsi"/>
          <w:sz w:val="20"/>
          <w:szCs w:val="20"/>
          <w:bdr w:val="none" w:sz="0" w:space="0" w:color="auto"/>
        </w:rPr>
        <w:t xml:space="preserve">Both Mr. Gutiérrez </w:t>
      </w:r>
      <w:proofErr w:type="spellStart"/>
      <w:r w:rsidRPr="00073F58">
        <w:rPr>
          <w:rFonts w:asciiTheme="majorHAnsi" w:hAnsiTheme="majorHAnsi"/>
          <w:sz w:val="20"/>
          <w:szCs w:val="20"/>
          <w:bdr w:val="none" w:sz="0" w:space="0" w:color="auto"/>
        </w:rPr>
        <w:t>Navas</w:t>
      </w:r>
      <w:proofErr w:type="spellEnd"/>
      <w:r w:rsidRPr="00073F58">
        <w:rPr>
          <w:rFonts w:asciiTheme="majorHAnsi" w:hAnsiTheme="majorHAnsi"/>
          <w:sz w:val="20"/>
          <w:szCs w:val="20"/>
          <w:bdr w:val="none" w:sz="0" w:space="0" w:color="auto"/>
        </w:rPr>
        <w:t xml:space="preserve"> and Mrs. Cruz </w:t>
      </w:r>
      <w:proofErr w:type="spellStart"/>
      <w:r w:rsidRPr="00073F58">
        <w:rPr>
          <w:rFonts w:asciiTheme="majorHAnsi" w:hAnsiTheme="majorHAnsi"/>
          <w:sz w:val="20"/>
          <w:szCs w:val="20"/>
          <w:bdr w:val="none" w:sz="0" w:space="0" w:color="auto"/>
        </w:rPr>
        <w:t>Sequeira</w:t>
      </w:r>
      <w:proofErr w:type="spellEnd"/>
      <w:r w:rsidRPr="00073F58">
        <w:rPr>
          <w:rFonts w:asciiTheme="majorHAnsi" w:hAnsiTheme="majorHAnsi"/>
          <w:sz w:val="20"/>
          <w:szCs w:val="20"/>
          <w:bdr w:val="none" w:sz="0" w:space="0" w:color="auto"/>
        </w:rPr>
        <w:t xml:space="preserve"> lodged complaints about the threat</w:t>
      </w:r>
      <w:r>
        <w:rPr>
          <w:rFonts w:asciiTheme="majorHAnsi" w:hAnsiTheme="majorHAnsi"/>
          <w:sz w:val="20"/>
          <w:szCs w:val="20"/>
          <w:bdr w:val="none" w:sz="0" w:space="0" w:color="auto"/>
        </w:rPr>
        <w:t xml:space="preserve">s they had received. </w:t>
      </w:r>
      <w:r w:rsidRPr="00F54972">
        <w:rPr>
          <w:rFonts w:asciiTheme="majorHAnsi" w:hAnsiTheme="majorHAnsi"/>
          <w:sz w:val="20"/>
          <w:szCs w:val="20"/>
          <w:bdr w:val="none" w:sz="0" w:space="0" w:color="auto"/>
        </w:rPr>
        <w:t xml:space="preserve">In addition, in the specific case of Rosalinda Cruz </w:t>
      </w:r>
      <w:proofErr w:type="spellStart"/>
      <w:r w:rsidRPr="00F54972">
        <w:rPr>
          <w:rFonts w:asciiTheme="majorHAnsi" w:hAnsiTheme="majorHAnsi"/>
          <w:sz w:val="20"/>
          <w:szCs w:val="20"/>
          <w:bdr w:val="none" w:sz="0" w:space="0" w:color="auto"/>
        </w:rPr>
        <w:t>Sequeira</w:t>
      </w:r>
      <w:proofErr w:type="spellEnd"/>
      <w:r w:rsidRPr="00F54972">
        <w:rPr>
          <w:rFonts w:asciiTheme="majorHAnsi" w:hAnsiTheme="majorHAnsi"/>
          <w:sz w:val="20"/>
          <w:szCs w:val="20"/>
          <w:bdr w:val="none" w:sz="0" w:space="0" w:color="auto"/>
        </w:rPr>
        <w:t>, the National Human Rights Commission granted security me</w:t>
      </w:r>
      <w:r>
        <w:rPr>
          <w:rFonts w:asciiTheme="majorHAnsi" w:hAnsiTheme="majorHAnsi"/>
          <w:sz w:val="20"/>
          <w:szCs w:val="20"/>
          <w:bdr w:val="none" w:sz="0" w:space="0" w:color="auto"/>
        </w:rPr>
        <w:t xml:space="preserve">asures for only a certain amount of time. </w:t>
      </w:r>
      <w:r w:rsidRPr="00F54972">
        <w:rPr>
          <w:rFonts w:asciiTheme="majorHAnsi" w:hAnsiTheme="majorHAnsi"/>
          <w:sz w:val="20"/>
          <w:szCs w:val="20"/>
          <w:bdr w:val="none" w:sz="0" w:space="0" w:color="auto"/>
        </w:rPr>
        <w:t>The case file does not show that the State authorities took any</w:t>
      </w:r>
      <w:r>
        <w:rPr>
          <w:rFonts w:asciiTheme="majorHAnsi" w:hAnsiTheme="majorHAnsi"/>
          <w:sz w:val="20"/>
          <w:szCs w:val="20"/>
          <w:bdr w:val="none" w:sz="0" w:space="0" w:color="auto"/>
        </w:rPr>
        <w:t xml:space="preserve"> </w:t>
      </w:r>
      <w:r w:rsidRPr="00F54972">
        <w:rPr>
          <w:rFonts w:asciiTheme="majorHAnsi" w:hAnsiTheme="majorHAnsi"/>
          <w:sz w:val="20"/>
          <w:szCs w:val="20"/>
          <w:bdr w:val="none" w:sz="0" w:space="0" w:color="auto"/>
        </w:rPr>
        <w:t xml:space="preserve">steps </w:t>
      </w:r>
      <w:r>
        <w:rPr>
          <w:rFonts w:asciiTheme="majorHAnsi" w:hAnsiTheme="majorHAnsi"/>
          <w:sz w:val="20"/>
          <w:szCs w:val="20"/>
          <w:bdr w:val="none" w:sz="0" w:space="0" w:color="auto"/>
        </w:rPr>
        <w:t xml:space="preserve">to </w:t>
      </w:r>
      <w:r>
        <w:rPr>
          <w:rFonts w:asciiTheme="majorHAnsi" w:hAnsiTheme="majorHAnsi"/>
          <w:sz w:val="20"/>
          <w:szCs w:val="20"/>
        </w:rPr>
        <w:t>investigate or afford protection</w:t>
      </w:r>
      <w:r>
        <w:rPr>
          <w:rFonts w:asciiTheme="majorHAnsi" w:hAnsiTheme="majorHAnsi"/>
          <w:sz w:val="20"/>
          <w:szCs w:val="20"/>
          <w:bdr w:val="none" w:sz="0" w:space="0" w:color="auto"/>
        </w:rPr>
        <w:t xml:space="preserve"> in response to the incidents that were reported.</w:t>
      </w:r>
      <w:r w:rsidRPr="00DB55CD">
        <w:rPr>
          <w:rStyle w:val="Refdenotaalpie"/>
          <w:rFonts w:asciiTheme="majorHAnsi" w:hAnsiTheme="majorHAnsi"/>
          <w:sz w:val="20"/>
          <w:szCs w:val="20"/>
        </w:rPr>
        <w:footnoteReference w:id="93"/>
      </w:r>
    </w:p>
    <w:p w14:paraId="7412E919" w14:textId="77777777" w:rsidR="00E6692A" w:rsidRPr="0021268C" w:rsidRDefault="00E6692A" w:rsidP="00E6692A">
      <w:pPr>
        <w:jc w:val="both"/>
        <w:rPr>
          <w:rFonts w:asciiTheme="majorHAnsi" w:hAnsiTheme="majorHAnsi"/>
          <w:sz w:val="20"/>
          <w:szCs w:val="20"/>
        </w:rPr>
      </w:pPr>
    </w:p>
    <w:p w14:paraId="1485663C" w14:textId="77777777" w:rsidR="00E6692A" w:rsidRPr="0021268C" w:rsidRDefault="00E6692A" w:rsidP="00E6692A">
      <w:pPr>
        <w:jc w:val="both"/>
        <w:rPr>
          <w:rFonts w:asciiTheme="majorHAnsi" w:hAnsiTheme="majorHAnsi"/>
          <w:sz w:val="20"/>
          <w:szCs w:val="20"/>
        </w:rPr>
      </w:pPr>
      <w:r w:rsidRPr="0021268C">
        <w:rPr>
          <w:rFonts w:asciiTheme="majorHAnsi" w:hAnsiTheme="majorHAnsi"/>
          <w:sz w:val="20"/>
          <w:szCs w:val="20"/>
        </w:rPr>
        <w:t>98. The Commission considers that it has not been established that the State undertook any criminal or administrative investigations with respect to the acts of harassment and threats that were reported by the alleged victims and th</w:t>
      </w:r>
      <w:r>
        <w:rPr>
          <w:rFonts w:asciiTheme="majorHAnsi" w:hAnsiTheme="majorHAnsi"/>
          <w:sz w:val="20"/>
          <w:szCs w:val="20"/>
        </w:rPr>
        <w:t xml:space="preserve">at were publicly known. </w:t>
      </w:r>
      <w:r w:rsidRPr="0021268C">
        <w:rPr>
          <w:rFonts w:asciiTheme="majorHAnsi" w:hAnsiTheme="majorHAnsi"/>
          <w:sz w:val="20"/>
          <w:szCs w:val="20"/>
        </w:rPr>
        <w:t>Nor i</w:t>
      </w:r>
      <w:r>
        <w:rPr>
          <w:rFonts w:asciiTheme="majorHAnsi" w:hAnsiTheme="majorHAnsi"/>
          <w:sz w:val="20"/>
          <w:szCs w:val="20"/>
        </w:rPr>
        <w:t>s</w:t>
      </w:r>
      <w:r w:rsidRPr="0021268C">
        <w:rPr>
          <w:rFonts w:asciiTheme="majorHAnsi" w:hAnsiTheme="majorHAnsi"/>
          <w:sz w:val="20"/>
          <w:szCs w:val="20"/>
        </w:rPr>
        <w:t xml:space="preserve"> the Commission aware that any protection measures were adopted for the alleged victims or their family members in the context of such risks. </w:t>
      </w:r>
    </w:p>
    <w:p w14:paraId="5CAFD2E7" w14:textId="77777777" w:rsidR="00E6692A" w:rsidRPr="0021268C" w:rsidRDefault="00E6692A" w:rsidP="00E6692A">
      <w:pPr>
        <w:pStyle w:val="parrafos"/>
        <w:numPr>
          <w:ilvl w:val="0"/>
          <w:numId w:val="0"/>
        </w:numPr>
        <w:rPr>
          <w:lang w:val="en-US"/>
        </w:rPr>
      </w:pPr>
    </w:p>
    <w:p w14:paraId="603AD037" w14:textId="77777777" w:rsidR="00E6692A" w:rsidRPr="0021268C" w:rsidRDefault="00E6692A" w:rsidP="00E6692A">
      <w:pPr>
        <w:pStyle w:val="parrafos"/>
        <w:numPr>
          <w:ilvl w:val="0"/>
          <w:numId w:val="0"/>
        </w:numPr>
        <w:rPr>
          <w:lang w:val="en-US"/>
        </w:rPr>
      </w:pPr>
      <w:r w:rsidRPr="0021268C">
        <w:rPr>
          <w:lang w:val="en-US"/>
        </w:rPr>
        <w:t xml:space="preserve">99. Therefore, the Commission </w:t>
      </w:r>
      <w:r>
        <w:rPr>
          <w:lang w:val="en-US"/>
        </w:rPr>
        <w:t>deems</w:t>
      </w:r>
      <w:r w:rsidRPr="0021268C">
        <w:rPr>
          <w:lang w:val="en-US"/>
        </w:rPr>
        <w:t xml:space="preserve"> that the State is responsible for violating Articles 8(1) and 25(1) of the American Convention in connection with Articles 5 </w:t>
      </w:r>
      <w:r>
        <w:rPr>
          <w:lang w:val="en-US"/>
        </w:rPr>
        <w:t>and</w:t>
      </w:r>
      <w:r w:rsidRPr="0021268C">
        <w:rPr>
          <w:lang w:val="en-US"/>
        </w:rPr>
        <w:t xml:space="preserve"> 1</w:t>
      </w:r>
      <w:r>
        <w:rPr>
          <w:lang w:val="en-US"/>
        </w:rPr>
        <w:t>(</w:t>
      </w:r>
      <w:r w:rsidRPr="0021268C">
        <w:rPr>
          <w:lang w:val="en-US"/>
        </w:rPr>
        <w:t>1</w:t>
      </w:r>
      <w:r>
        <w:rPr>
          <w:lang w:val="en-US"/>
        </w:rPr>
        <w:t xml:space="preserve">) thereof, to the detriment of </w:t>
      </w:r>
      <w:r w:rsidRPr="0021268C">
        <w:rPr>
          <w:lang w:val="en-US"/>
        </w:rPr>
        <w:t xml:space="preserve">José Antonio Gutiérrez </w:t>
      </w:r>
      <w:proofErr w:type="spellStart"/>
      <w:r w:rsidRPr="0021268C">
        <w:rPr>
          <w:lang w:val="en-US"/>
        </w:rPr>
        <w:t>Navas</w:t>
      </w:r>
      <w:proofErr w:type="spellEnd"/>
      <w:r w:rsidRPr="0021268C">
        <w:rPr>
          <w:lang w:val="en-US"/>
        </w:rPr>
        <w:t xml:space="preserve">, Rosalinda Cruz </w:t>
      </w:r>
      <w:proofErr w:type="spellStart"/>
      <w:r w:rsidRPr="0021268C">
        <w:rPr>
          <w:lang w:val="en-US"/>
        </w:rPr>
        <w:t>Sequeira</w:t>
      </w:r>
      <w:proofErr w:type="spellEnd"/>
      <w:r w:rsidRPr="0021268C">
        <w:rPr>
          <w:lang w:val="en-US"/>
        </w:rPr>
        <w:t xml:space="preserve">, José Francisco Ruiz </w:t>
      </w:r>
      <w:proofErr w:type="spellStart"/>
      <w:r w:rsidRPr="0021268C">
        <w:rPr>
          <w:lang w:val="en-US"/>
        </w:rPr>
        <w:t>Gaekel</w:t>
      </w:r>
      <w:proofErr w:type="spellEnd"/>
      <w:r>
        <w:rPr>
          <w:lang w:val="en-US"/>
        </w:rPr>
        <w:t>, and</w:t>
      </w:r>
      <w:r w:rsidRPr="0021268C">
        <w:rPr>
          <w:lang w:val="en-US"/>
        </w:rPr>
        <w:t xml:space="preserve"> Gustavo Enrique Bustillo Palma.</w:t>
      </w:r>
    </w:p>
    <w:p w14:paraId="4B52C830" w14:textId="77777777" w:rsidR="00E6692A" w:rsidRPr="0021268C" w:rsidRDefault="00E6692A" w:rsidP="00E6692A">
      <w:pPr>
        <w:pStyle w:val="parrafos"/>
        <w:numPr>
          <w:ilvl w:val="0"/>
          <w:numId w:val="0"/>
        </w:numPr>
        <w:rPr>
          <w:rFonts w:eastAsia="Times New Roman"/>
          <w:b/>
          <w:bCs/>
          <w:lang w:val="en-US"/>
        </w:rPr>
      </w:pPr>
    </w:p>
    <w:p w14:paraId="41D6BD18" w14:textId="77777777" w:rsidR="00E6692A" w:rsidRPr="0021268C" w:rsidRDefault="00E6692A" w:rsidP="00E6692A">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jc w:val="both"/>
        <w:rPr>
          <w:rFonts w:asciiTheme="majorHAnsi" w:hAnsiTheme="majorHAnsi"/>
          <w:sz w:val="20"/>
          <w:szCs w:val="20"/>
        </w:rPr>
      </w:pPr>
    </w:p>
    <w:p w14:paraId="66210B85" w14:textId="6A37663A" w:rsidR="00E6692A" w:rsidRPr="00DB55CD" w:rsidRDefault="00E6692A" w:rsidP="00E6692A">
      <w:pPr>
        <w:pStyle w:val="Ttulo1"/>
      </w:pPr>
      <w:bookmarkStart w:id="45" w:name="_Toc65248177"/>
      <w:bookmarkStart w:id="46" w:name="_Toc69410073"/>
      <w:r>
        <w:t>V. CONCLUSIONS AND RECOMMENDATIONS</w:t>
      </w:r>
      <w:bookmarkEnd w:id="45"/>
      <w:bookmarkEnd w:id="46"/>
      <w:r w:rsidRPr="00DB55CD">
        <w:t xml:space="preserve"> </w:t>
      </w:r>
    </w:p>
    <w:p w14:paraId="1CC3EA4D" w14:textId="77777777" w:rsidR="00E6692A" w:rsidRPr="00E6692A" w:rsidRDefault="00E6692A" w:rsidP="00E6692A">
      <w:pPr>
        <w:tabs>
          <w:tab w:val="left" w:pos="360"/>
        </w:tabs>
        <w:suppressAutoHyphens/>
        <w:rPr>
          <w:rFonts w:asciiTheme="majorHAnsi" w:hAnsiTheme="majorHAnsi"/>
          <w:b/>
          <w:sz w:val="20"/>
          <w:szCs w:val="20"/>
        </w:rPr>
      </w:pPr>
    </w:p>
    <w:p w14:paraId="23003E8D" w14:textId="77777777" w:rsidR="00E6692A" w:rsidRPr="002E1B3E" w:rsidRDefault="00E6692A" w:rsidP="00E6692A">
      <w:pPr>
        <w:tabs>
          <w:tab w:val="left" w:pos="360"/>
        </w:tabs>
        <w:suppressAutoHyphens/>
        <w:jc w:val="both"/>
        <w:rPr>
          <w:rFonts w:asciiTheme="majorHAnsi" w:hAnsiTheme="majorHAnsi"/>
          <w:sz w:val="20"/>
          <w:szCs w:val="20"/>
        </w:rPr>
      </w:pPr>
      <w:r w:rsidRPr="002E1B3E">
        <w:rPr>
          <w:rFonts w:asciiTheme="majorHAnsi" w:hAnsiTheme="majorHAnsi"/>
          <w:sz w:val="20"/>
          <w:szCs w:val="20"/>
        </w:rPr>
        <w:t>100. The Commission concludes that the Honduran State is responsible for violating the right</w:t>
      </w:r>
      <w:r>
        <w:rPr>
          <w:rFonts w:asciiTheme="majorHAnsi" w:hAnsiTheme="majorHAnsi"/>
          <w:sz w:val="20"/>
          <w:szCs w:val="20"/>
        </w:rPr>
        <w:t>s</w:t>
      </w:r>
      <w:r w:rsidRPr="002E1B3E">
        <w:rPr>
          <w:rFonts w:asciiTheme="majorHAnsi" w:hAnsiTheme="majorHAnsi"/>
          <w:sz w:val="20"/>
          <w:szCs w:val="20"/>
        </w:rPr>
        <w:t xml:space="preserve"> to </w:t>
      </w:r>
      <w:r>
        <w:rPr>
          <w:rFonts w:asciiTheme="majorHAnsi" w:hAnsiTheme="majorHAnsi"/>
          <w:sz w:val="20"/>
          <w:szCs w:val="20"/>
        </w:rPr>
        <w:t>judicial guarantees</w:t>
      </w:r>
      <w:r w:rsidRPr="002E1B3E">
        <w:rPr>
          <w:rFonts w:asciiTheme="majorHAnsi" w:hAnsiTheme="majorHAnsi"/>
          <w:sz w:val="20"/>
          <w:szCs w:val="20"/>
        </w:rPr>
        <w:t xml:space="preserve">, the principle of legality, the guarantee of judicial independence, political rights, and judicial protection established in Articles 5, 8(1), 8(2)(b), (c), and (d), 9, 23(1)(c), and 25(1) of the American Convention in connection with </w:t>
      </w:r>
      <w:r>
        <w:rPr>
          <w:rFonts w:asciiTheme="majorHAnsi" w:hAnsiTheme="majorHAnsi"/>
          <w:sz w:val="20"/>
          <w:szCs w:val="20"/>
        </w:rPr>
        <w:t xml:space="preserve">the obligations established in </w:t>
      </w:r>
      <w:r w:rsidRPr="002E1B3E">
        <w:rPr>
          <w:rFonts w:asciiTheme="majorHAnsi" w:hAnsiTheme="majorHAnsi"/>
          <w:sz w:val="20"/>
          <w:szCs w:val="20"/>
        </w:rPr>
        <w:t>Articles 1</w:t>
      </w:r>
      <w:r>
        <w:rPr>
          <w:rFonts w:asciiTheme="majorHAnsi" w:hAnsiTheme="majorHAnsi"/>
          <w:sz w:val="20"/>
          <w:szCs w:val="20"/>
        </w:rPr>
        <w:t>(</w:t>
      </w:r>
      <w:r w:rsidRPr="002E1B3E">
        <w:rPr>
          <w:rFonts w:asciiTheme="majorHAnsi" w:hAnsiTheme="majorHAnsi"/>
          <w:sz w:val="20"/>
          <w:szCs w:val="20"/>
        </w:rPr>
        <w:t>1</w:t>
      </w:r>
      <w:r>
        <w:rPr>
          <w:rFonts w:asciiTheme="majorHAnsi" w:hAnsiTheme="majorHAnsi"/>
          <w:sz w:val="20"/>
          <w:szCs w:val="20"/>
        </w:rPr>
        <w:t xml:space="preserve">) and </w:t>
      </w:r>
      <w:r w:rsidRPr="002E1B3E">
        <w:rPr>
          <w:rFonts w:asciiTheme="majorHAnsi" w:hAnsiTheme="majorHAnsi"/>
          <w:sz w:val="20"/>
          <w:szCs w:val="20"/>
        </w:rPr>
        <w:t xml:space="preserve">2 </w:t>
      </w:r>
      <w:r>
        <w:rPr>
          <w:rFonts w:asciiTheme="majorHAnsi" w:hAnsiTheme="majorHAnsi"/>
          <w:sz w:val="20"/>
          <w:szCs w:val="20"/>
        </w:rPr>
        <w:t xml:space="preserve">thereof, to the detriment of </w:t>
      </w:r>
      <w:r w:rsidRPr="002E1B3E">
        <w:rPr>
          <w:rFonts w:asciiTheme="majorHAnsi" w:hAnsiTheme="majorHAnsi"/>
          <w:sz w:val="20"/>
          <w:szCs w:val="20"/>
        </w:rPr>
        <w:t xml:space="preserve">José Antonio Gutiérrez </w:t>
      </w:r>
      <w:proofErr w:type="spellStart"/>
      <w:r w:rsidRPr="002E1B3E">
        <w:rPr>
          <w:rFonts w:asciiTheme="majorHAnsi" w:hAnsiTheme="majorHAnsi"/>
          <w:sz w:val="20"/>
          <w:szCs w:val="20"/>
        </w:rPr>
        <w:t>Navas</w:t>
      </w:r>
      <w:proofErr w:type="spellEnd"/>
      <w:r w:rsidRPr="002E1B3E">
        <w:rPr>
          <w:rFonts w:asciiTheme="majorHAnsi" w:hAnsiTheme="majorHAnsi"/>
          <w:sz w:val="20"/>
          <w:szCs w:val="20"/>
        </w:rPr>
        <w:t xml:space="preserve">, Rosalinda Cruz </w:t>
      </w:r>
      <w:proofErr w:type="spellStart"/>
      <w:r w:rsidRPr="002E1B3E">
        <w:rPr>
          <w:rFonts w:asciiTheme="majorHAnsi" w:hAnsiTheme="majorHAnsi"/>
          <w:sz w:val="20"/>
          <w:szCs w:val="20"/>
        </w:rPr>
        <w:t>Sequeira</w:t>
      </w:r>
      <w:proofErr w:type="spellEnd"/>
      <w:r w:rsidRPr="002E1B3E">
        <w:rPr>
          <w:rFonts w:asciiTheme="majorHAnsi" w:hAnsiTheme="majorHAnsi"/>
          <w:sz w:val="20"/>
          <w:szCs w:val="20"/>
        </w:rPr>
        <w:t xml:space="preserve">, José Francisco Ruiz </w:t>
      </w:r>
      <w:proofErr w:type="spellStart"/>
      <w:r w:rsidRPr="002E1B3E">
        <w:rPr>
          <w:rFonts w:asciiTheme="majorHAnsi" w:hAnsiTheme="majorHAnsi"/>
          <w:sz w:val="20"/>
          <w:szCs w:val="20"/>
        </w:rPr>
        <w:t>Gaekel</w:t>
      </w:r>
      <w:proofErr w:type="spellEnd"/>
      <w:r>
        <w:rPr>
          <w:rFonts w:asciiTheme="majorHAnsi" w:hAnsiTheme="majorHAnsi"/>
          <w:sz w:val="20"/>
          <w:szCs w:val="20"/>
        </w:rPr>
        <w:t>, and</w:t>
      </w:r>
      <w:r w:rsidRPr="002E1B3E">
        <w:rPr>
          <w:rFonts w:asciiTheme="majorHAnsi" w:hAnsiTheme="majorHAnsi"/>
          <w:sz w:val="20"/>
          <w:szCs w:val="20"/>
        </w:rPr>
        <w:t xml:space="preserve"> Gustavo Enrique Bustillo Palma.</w:t>
      </w:r>
    </w:p>
    <w:p w14:paraId="5B6C7200" w14:textId="77777777" w:rsidR="00E6692A" w:rsidRPr="002E1B3E" w:rsidRDefault="00E6692A" w:rsidP="00E6692A">
      <w:pPr>
        <w:tabs>
          <w:tab w:val="left" w:pos="360"/>
        </w:tabs>
        <w:suppressAutoHyphens/>
        <w:jc w:val="both"/>
        <w:rPr>
          <w:rFonts w:asciiTheme="majorHAnsi" w:hAnsiTheme="majorHAnsi"/>
          <w:sz w:val="20"/>
          <w:szCs w:val="20"/>
        </w:rPr>
      </w:pPr>
    </w:p>
    <w:p w14:paraId="6A5E4E7A" w14:textId="77777777" w:rsidR="00E6692A" w:rsidRPr="0055419B" w:rsidRDefault="00E6692A" w:rsidP="00E669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sz w:val="20"/>
          <w:szCs w:val="20"/>
          <w:bdr w:val="none" w:sz="0" w:space="0" w:color="auto"/>
        </w:rPr>
      </w:pPr>
      <w:r w:rsidRPr="0055419B">
        <w:rPr>
          <w:rFonts w:asciiTheme="majorHAnsi" w:hAnsiTheme="majorHAnsi"/>
          <w:sz w:val="20"/>
          <w:szCs w:val="20"/>
          <w:bdr w:val="none" w:sz="0" w:space="0" w:color="auto"/>
        </w:rPr>
        <w:t>101. Based on the foregoing conclusions,</w:t>
      </w:r>
    </w:p>
    <w:p w14:paraId="3EF58E6A" w14:textId="77777777" w:rsidR="00E6692A" w:rsidRPr="0055419B" w:rsidRDefault="00E6692A" w:rsidP="00E6692A">
      <w:pPr>
        <w:tabs>
          <w:tab w:val="left" w:pos="360"/>
        </w:tabs>
        <w:suppressAutoHyphens/>
        <w:jc w:val="both"/>
        <w:rPr>
          <w:rFonts w:asciiTheme="majorHAnsi" w:hAnsiTheme="majorHAnsi"/>
          <w:sz w:val="20"/>
          <w:szCs w:val="20"/>
        </w:rPr>
      </w:pPr>
    </w:p>
    <w:p w14:paraId="6D654827" w14:textId="77777777" w:rsidR="00E6692A" w:rsidRPr="00914555" w:rsidRDefault="00E6692A" w:rsidP="00E6692A">
      <w:pPr>
        <w:tabs>
          <w:tab w:val="left" w:pos="360"/>
        </w:tabs>
        <w:jc w:val="both"/>
        <w:rPr>
          <w:rFonts w:ascii="Cambria" w:hAnsi="Cambria"/>
          <w:b/>
          <w:sz w:val="20"/>
          <w:szCs w:val="20"/>
        </w:rPr>
      </w:pPr>
      <w:r w:rsidRPr="00914555">
        <w:rPr>
          <w:rFonts w:ascii="Cambria" w:hAnsi="Cambria"/>
          <w:b/>
          <w:sz w:val="20"/>
          <w:szCs w:val="20"/>
        </w:rPr>
        <w:t>THE INTER-AMERICAN COMMISSION ON HUMAN RIGHTS RECOMMENDS THAT THE ST</w:t>
      </w:r>
      <w:r>
        <w:rPr>
          <w:rFonts w:ascii="Cambria" w:hAnsi="Cambria"/>
          <w:b/>
          <w:sz w:val="20"/>
          <w:szCs w:val="20"/>
        </w:rPr>
        <w:t xml:space="preserve">ATE OF </w:t>
      </w:r>
      <w:r w:rsidRPr="00914555">
        <w:rPr>
          <w:rFonts w:ascii="Cambria" w:hAnsi="Cambria"/>
          <w:b/>
          <w:sz w:val="20"/>
          <w:szCs w:val="20"/>
        </w:rPr>
        <w:t>HONDURAS</w:t>
      </w:r>
    </w:p>
    <w:p w14:paraId="618E0397" w14:textId="77777777" w:rsidR="00E6692A" w:rsidRPr="00914555" w:rsidRDefault="00E6692A" w:rsidP="00E669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jc w:val="both"/>
        <w:rPr>
          <w:rFonts w:asciiTheme="majorHAnsi" w:hAnsiTheme="majorHAnsi"/>
          <w:sz w:val="20"/>
          <w:szCs w:val="20"/>
          <w:bdr w:val="none" w:sz="0" w:space="0" w:color="auto"/>
        </w:rPr>
      </w:pPr>
    </w:p>
    <w:p w14:paraId="202CA8C6" w14:textId="77777777" w:rsidR="00E6692A" w:rsidRPr="0068252E" w:rsidRDefault="00E6692A" w:rsidP="00E6692A">
      <w:pPr>
        <w:pStyle w:val="Textoindependiente3"/>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tabs>
          <w:tab w:val="clear" w:pos="1860"/>
          <w:tab w:val="num" w:pos="0"/>
          <w:tab w:val="left" w:pos="720"/>
          <w:tab w:val="left" w:pos="1440"/>
          <w:tab w:val="left" w:pos="9360"/>
        </w:tabs>
        <w:spacing w:after="0"/>
        <w:ind w:left="0" w:firstLine="720"/>
        <w:jc w:val="both"/>
        <w:rPr>
          <w:rFonts w:asciiTheme="majorHAnsi" w:hAnsiTheme="majorHAnsi"/>
          <w:sz w:val="20"/>
          <w:szCs w:val="20"/>
        </w:rPr>
      </w:pPr>
      <w:r>
        <w:rPr>
          <w:rFonts w:asciiTheme="majorHAnsi" w:hAnsiTheme="majorHAnsi"/>
          <w:sz w:val="20"/>
          <w:szCs w:val="20"/>
          <w:lang w:val="en"/>
        </w:rPr>
        <w:t xml:space="preserve">Reinstate the victims—should they so wish—to positions </w:t>
      </w:r>
      <w:proofErr w:type="gramStart"/>
      <w:r>
        <w:rPr>
          <w:rFonts w:asciiTheme="majorHAnsi" w:hAnsiTheme="majorHAnsi"/>
          <w:sz w:val="20"/>
          <w:szCs w:val="20"/>
          <w:lang w:val="en"/>
        </w:rPr>
        <w:t>similar to</w:t>
      </w:r>
      <w:proofErr w:type="gramEnd"/>
      <w:r>
        <w:rPr>
          <w:rFonts w:asciiTheme="majorHAnsi" w:hAnsiTheme="majorHAnsi"/>
          <w:sz w:val="20"/>
          <w:szCs w:val="20"/>
          <w:lang w:val="en"/>
        </w:rPr>
        <w:t xml:space="preserve"> the one they held in the Judicial Branch, with the same compensation, benefits, and rank that they would have today if they had not been dismissed. If, for well-justified reasons, reinstatement is not possible, they should be paid an alternative compensation.</w:t>
      </w:r>
    </w:p>
    <w:p w14:paraId="6C538380" w14:textId="77777777" w:rsidR="00E6692A" w:rsidRPr="005C23AF" w:rsidRDefault="00E6692A" w:rsidP="00E6692A">
      <w:pPr>
        <w:pStyle w:val="Textoindependiente3"/>
        <w:pBdr>
          <w:top w:val="none" w:sz="0" w:space="0" w:color="auto"/>
          <w:left w:val="none" w:sz="0" w:space="0" w:color="auto"/>
          <w:bottom w:val="none" w:sz="0" w:space="0" w:color="auto"/>
          <w:right w:val="none" w:sz="0" w:space="0" w:color="auto"/>
        </w:pBdr>
        <w:tabs>
          <w:tab w:val="left" w:pos="720"/>
          <w:tab w:val="left" w:pos="1440"/>
          <w:tab w:val="left" w:pos="9360"/>
        </w:tabs>
        <w:spacing w:after="0"/>
        <w:ind w:left="720"/>
        <w:jc w:val="both"/>
        <w:rPr>
          <w:rFonts w:asciiTheme="majorHAnsi" w:hAnsiTheme="majorHAnsi"/>
          <w:sz w:val="20"/>
          <w:szCs w:val="20"/>
        </w:rPr>
      </w:pPr>
    </w:p>
    <w:p w14:paraId="5AE8C1F4" w14:textId="77777777" w:rsidR="00E6692A" w:rsidRPr="005C23AF" w:rsidRDefault="00E6692A" w:rsidP="00E6692A">
      <w:pPr>
        <w:pStyle w:val="Textoindependiente3"/>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tabs>
          <w:tab w:val="clear" w:pos="1860"/>
          <w:tab w:val="num" w:pos="0"/>
          <w:tab w:val="left" w:pos="720"/>
          <w:tab w:val="left" w:pos="1440"/>
          <w:tab w:val="left" w:pos="9360"/>
        </w:tabs>
        <w:spacing w:after="0"/>
        <w:ind w:left="0" w:firstLine="720"/>
        <w:jc w:val="both"/>
        <w:rPr>
          <w:rFonts w:asciiTheme="majorHAnsi" w:hAnsiTheme="majorHAnsi"/>
          <w:sz w:val="20"/>
          <w:szCs w:val="20"/>
        </w:rPr>
      </w:pPr>
      <w:r w:rsidRPr="005C23AF">
        <w:rPr>
          <w:rFonts w:asciiTheme="majorHAnsi" w:hAnsiTheme="majorHAnsi"/>
          <w:sz w:val="20"/>
          <w:szCs w:val="20"/>
          <w:lang w:val="en"/>
        </w:rPr>
        <w:t xml:space="preserve">Provide full pecuniary and nonpecuniary reparations for the rights violations declared in this report, including the payment of compensation for pecuniary and nonpecuniary damages. </w:t>
      </w:r>
    </w:p>
    <w:p w14:paraId="2E65A29B" w14:textId="77777777" w:rsidR="00E6692A" w:rsidRPr="005C23AF" w:rsidRDefault="00E6692A" w:rsidP="00E6692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ind w:left="720"/>
        <w:jc w:val="both"/>
        <w:rPr>
          <w:rFonts w:asciiTheme="majorHAnsi" w:hAnsiTheme="majorHAnsi"/>
          <w:sz w:val="20"/>
          <w:szCs w:val="20"/>
          <w:bdr w:val="none" w:sz="0" w:space="0" w:color="auto"/>
        </w:rPr>
      </w:pPr>
    </w:p>
    <w:p w14:paraId="0C1BDC8B" w14:textId="77777777" w:rsidR="00E6692A" w:rsidRPr="005C23AF" w:rsidRDefault="00E6692A" w:rsidP="00E6692A">
      <w:pPr>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tabs>
          <w:tab w:val="clear" w:pos="1860"/>
          <w:tab w:val="num" w:pos="0"/>
          <w:tab w:val="left" w:pos="720"/>
          <w:tab w:val="left" w:pos="1440"/>
          <w:tab w:val="left" w:pos="9360"/>
        </w:tabs>
        <w:ind w:left="0" w:firstLine="720"/>
        <w:jc w:val="both"/>
        <w:rPr>
          <w:rFonts w:ascii="Cambria" w:hAnsi="Cambria"/>
          <w:sz w:val="20"/>
          <w:szCs w:val="20"/>
        </w:rPr>
      </w:pPr>
      <w:r w:rsidRPr="005C23AF">
        <w:rPr>
          <w:rFonts w:asciiTheme="majorHAnsi" w:hAnsiTheme="majorHAnsi"/>
          <w:sz w:val="20"/>
          <w:szCs w:val="20"/>
          <w:bdr w:val="none" w:sz="0" w:space="0" w:color="auto"/>
        </w:rPr>
        <w:lastRenderedPageBreak/>
        <w:t xml:space="preserve">Adapt its domestic laws to ensure that disciplinary proceedings against the highest-level authorities of the judicial branch are compatible with the standards of judicial independence established in this report and comply with all due process guarantees and with the principle of legality. </w:t>
      </w:r>
    </w:p>
    <w:p w14:paraId="56EFA395" w14:textId="23E877DF" w:rsidR="00FB53C3" w:rsidRPr="003F2493" w:rsidRDefault="00FB53C3" w:rsidP="00E6692A">
      <w:pPr>
        <w:pStyle w:val="Ttulo1"/>
        <w:rPr>
          <w:lang w:val="en-US"/>
        </w:rPr>
      </w:pPr>
    </w:p>
    <w:sectPr w:rsidR="00FB53C3" w:rsidRPr="003F2493" w:rsidSect="00934A2C">
      <w:headerReference w:type="even" r:id="rId11"/>
      <w:headerReference w:type="default" r:id="rId12"/>
      <w:footerReference w:type="default" r:id="rId13"/>
      <w:footerReference w:type="first" r:id="rId14"/>
      <w:type w:val="oddPage"/>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E2A2D" w14:textId="77777777" w:rsidR="009963DC" w:rsidRDefault="009963DC">
      <w:r>
        <w:separator/>
      </w:r>
    </w:p>
  </w:endnote>
  <w:endnote w:type="continuationSeparator" w:id="0">
    <w:p w14:paraId="668C9350" w14:textId="77777777" w:rsidR="009963DC" w:rsidRDefault="00996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5294112"/>
      <w:docPartObj>
        <w:docPartGallery w:val="Page Numbers (Bottom of Page)"/>
        <w:docPartUnique/>
      </w:docPartObj>
    </w:sdtPr>
    <w:sdtEndPr>
      <w:rPr>
        <w:noProof/>
        <w:sz w:val="16"/>
        <w:szCs w:val="22"/>
      </w:rPr>
    </w:sdtEndPr>
    <w:sdtContent>
      <w:p w14:paraId="2D3E8EA9" w14:textId="77777777" w:rsidR="00E6692A" w:rsidRPr="00934A2C" w:rsidRDefault="00E6692A">
        <w:pPr>
          <w:pStyle w:val="Piedepgina"/>
          <w:jc w:val="center"/>
          <w:rPr>
            <w:sz w:val="16"/>
            <w:szCs w:val="22"/>
          </w:rPr>
        </w:pPr>
        <w:r>
          <w:rPr>
            <w:sz w:val="16"/>
            <w:szCs w:val="22"/>
            <w:lang w:val="en"/>
          </w:rPr>
          <w:fldChar w:fldCharType="begin"/>
        </w:r>
        <w:r>
          <w:rPr>
            <w:sz w:val="16"/>
            <w:szCs w:val="22"/>
            <w:lang w:val="en"/>
          </w:rPr>
          <w:instrText xml:space="preserve"> PAGE   \* MERGEFORMAT </w:instrText>
        </w:r>
        <w:r>
          <w:rPr>
            <w:sz w:val="16"/>
            <w:szCs w:val="22"/>
            <w:lang w:val="en"/>
          </w:rPr>
          <w:fldChar w:fldCharType="separate"/>
        </w:r>
        <w:r>
          <w:rPr>
            <w:noProof/>
            <w:sz w:val="16"/>
            <w:szCs w:val="22"/>
            <w:lang w:val="en"/>
          </w:rPr>
          <w:t>1</w:t>
        </w:r>
        <w:r>
          <w:rPr>
            <w:noProof/>
            <w:sz w:val="16"/>
            <w:szCs w:val="22"/>
            <w:lang w:val="en"/>
          </w:rPr>
          <w:fldChar w:fldCharType="end"/>
        </w:r>
      </w:p>
    </w:sdtContent>
  </w:sdt>
  <w:p w14:paraId="53F3B811" w14:textId="77777777" w:rsidR="00E6692A" w:rsidRDefault="00E6692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48146" w14:textId="77777777" w:rsidR="00E6692A" w:rsidRPr="00934A2C" w:rsidRDefault="00E6692A">
    <w:pPr>
      <w:pStyle w:val="Piedepgina"/>
      <w:jc w:val="center"/>
      <w:rPr>
        <w:sz w:val="16"/>
        <w:szCs w:val="22"/>
      </w:rPr>
    </w:pPr>
  </w:p>
  <w:p w14:paraId="39803D8F" w14:textId="77777777" w:rsidR="00E6692A" w:rsidRDefault="00E6692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B28DA" w14:textId="77777777" w:rsidR="009963DC" w:rsidRPr="000F35ED" w:rsidRDefault="009963DC">
      <w:pPr>
        <w:rPr>
          <w:rFonts w:asciiTheme="majorHAnsi" w:hAnsiTheme="majorHAnsi"/>
          <w:sz w:val="16"/>
          <w:szCs w:val="16"/>
        </w:rPr>
      </w:pPr>
      <w:r>
        <w:rPr>
          <w:rFonts w:asciiTheme="majorHAnsi" w:hAnsiTheme="majorHAnsi"/>
          <w:sz w:val="16"/>
          <w:szCs w:val="16"/>
        </w:rPr>
        <w:separator/>
      </w:r>
    </w:p>
  </w:footnote>
  <w:footnote w:type="continuationSeparator" w:id="0">
    <w:p w14:paraId="528019DA" w14:textId="77777777" w:rsidR="009963DC" w:rsidRPr="000F35ED" w:rsidRDefault="009963DC" w:rsidP="000F35ED">
      <w:pPr>
        <w:rPr>
          <w:rFonts w:asciiTheme="majorHAnsi" w:hAnsiTheme="majorHAnsi"/>
          <w:sz w:val="16"/>
          <w:szCs w:val="16"/>
        </w:rPr>
      </w:pPr>
      <w:r>
        <w:rPr>
          <w:rFonts w:asciiTheme="majorHAnsi" w:hAnsiTheme="majorHAnsi"/>
          <w:sz w:val="16"/>
          <w:szCs w:val="16"/>
        </w:rPr>
        <w:separator/>
      </w:r>
    </w:p>
    <w:p w14:paraId="176CB16A" w14:textId="77777777" w:rsidR="009963DC" w:rsidRPr="000F35ED" w:rsidRDefault="009963DC" w:rsidP="000F35ED">
      <w:pPr>
        <w:pStyle w:val="Piedepgina"/>
        <w:rPr>
          <w:rFonts w:asciiTheme="majorHAnsi" w:hAnsiTheme="majorHAnsi"/>
          <w:sz w:val="16"/>
          <w:szCs w:val="16"/>
        </w:rPr>
      </w:pPr>
      <w:r>
        <w:rPr>
          <w:rFonts w:asciiTheme="majorHAnsi" w:hAnsiTheme="majorHAnsi"/>
          <w:sz w:val="16"/>
          <w:szCs w:val="16"/>
        </w:rPr>
        <w:t xml:space="preserve">[… </w:t>
      </w:r>
      <w:proofErr w:type="spellStart"/>
      <w:r>
        <w:rPr>
          <w:rFonts w:asciiTheme="majorHAnsi" w:hAnsiTheme="majorHAnsi"/>
          <w:sz w:val="16"/>
          <w:szCs w:val="16"/>
        </w:rPr>
        <w:t>continuación</w:t>
      </w:r>
      <w:proofErr w:type="spellEnd"/>
      <w:r>
        <w:rPr>
          <w:rFonts w:asciiTheme="majorHAnsi" w:hAnsiTheme="majorHAnsi"/>
          <w:sz w:val="16"/>
          <w:szCs w:val="16"/>
        </w:rPr>
        <w:t>]</w:t>
      </w:r>
    </w:p>
  </w:footnote>
  <w:footnote w:type="continuationNotice" w:id="1">
    <w:p w14:paraId="675A30D3" w14:textId="77777777" w:rsidR="009963DC" w:rsidRPr="000F35ED" w:rsidRDefault="009963DC" w:rsidP="000F35ED">
      <w:pPr>
        <w:jc w:val="right"/>
        <w:rPr>
          <w:rFonts w:asciiTheme="majorHAnsi" w:hAnsiTheme="majorHAnsi"/>
          <w:sz w:val="16"/>
          <w:szCs w:val="16"/>
        </w:rPr>
      </w:pPr>
      <w:r>
        <w:rPr>
          <w:rFonts w:asciiTheme="majorHAnsi" w:hAnsiTheme="majorHAnsi"/>
          <w:sz w:val="16"/>
          <w:szCs w:val="16"/>
        </w:rPr>
        <w:t>[</w:t>
      </w:r>
      <w:proofErr w:type="spellStart"/>
      <w:r>
        <w:rPr>
          <w:rFonts w:asciiTheme="majorHAnsi" w:hAnsiTheme="majorHAnsi"/>
          <w:sz w:val="16"/>
          <w:szCs w:val="16"/>
        </w:rPr>
        <w:t>continúa</w:t>
      </w:r>
      <w:proofErr w:type="spellEnd"/>
      <w:r>
        <w:rPr>
          <w:rFonts w:asciiTheme="majorHAnsi" w:hAnsiTheme="majorHAnsi"/>
          <w:sz w:val="16"/>
          <w:szCs w:val="16"/>
        </w:rPr>
        <w:t>…]</w:t>
      </w:r>
    </w:p>
  </w:footnote>
  <w:footnote w:id="2">
    <w:p w14:paraId="284B6268" w14:textId="77777777" w:rsidR="00E6692A" w:rsidRPr="00D74878" w:rsidRDefault="00E6692A" w:rsidP="00E6692A">
      <w:pPr>
        <w:pStyle w:val="Textonotapie"/>
        <w:rPr>
          <w:color w:val="FF0000"/>
        </w:rPr>
      </w:pPr>
      <w:r w:rsidRPr="00F20660">
        <w:rPr>
          <w:rStyle w:val="Refdenotaalpie"/>
          <w:color w:val="auto"/>
        </w:rPr>
        <w:footnoteRef/>
      </w:r>
      <w:r w:rsidRPr="00C60B81">
        <w:rPr>
          <w:color w:val="auto"/>
          <w:lang w:val="es-CO"/>
        </w:rPr>
        <w:t xml:space="preserve"> IACHR, </w:t>
      </w:r>
      <w:proofErr w:type="spellStart"/>
      <w:r w:rsidRPr="00C60B81">
        <w:rPr>
          <w:color w:val="auto"/>
          <w:lang w:val="es-CO"/>
        </w:rPr>
        <w:t>Report</w:t>
      </w:r>
      <w:proofErr w:type="spellEnd"/>
      <w:r w:rsidRPr="00C60B81">
        <w:rPr>
          <w:color w:val="auto"/>
          <w:lang w:val="es-CO"/>
        </w:rPr>
        <w:t xml:space="preserve"> No. 83/18, </w:t>
      </w:r>
      <w:proofErr w:type="spellStart"/>
      <w:r w:rsidRPr="00C60B81">
        <w:rPr>
          <w:color w:val="auto"/>
          <w:lang w:val="es-CO"/>
        </w:rPr>
        <w:t>Petition</w:t>
      </w:r>
      <w:proofErr w:type="spellEnd"/>
      <w:r w:rsidRPr="00C60B81">
        <w:rPr>
          <w:color w:val="auto"/>
          <w:lang w:val="es-CO"/>
        </w:rPr>
        <w:t xml:space="preserve"> 455-13, </w:t>
      </w:r>
      <w:proofErr w:type="spellStart"/>
      <w:r w:rsidRPr="00C60B81">
        <w:rPr>
          <w:color w:val="auto"/>
          <w:lang w:val="es-CO"/>
        </w:rPr>
        <w:t>Admissibility</w:t>
      </w:r>
      <w:proofErr w:type="spellEnd"/>
      <w:r w:rsidRPr="00C60B81">
        <w:rPr>
          <w:color w:val="auto"/>
          <w:lang w:val="es-CO"/>
        </w:rPr>
        <w:t>, José Antonio Gutiérrez Navas et al</w:t>
      </w:r>
      <w:r>
        <w:rPr>
          <w:color w:val="auto"/>
          <w:lang w:val="es-CO"/>
        </w:rPr>
        <w:t>.</w:t>
      </w:r>
      <w:r w:rsidRPr="00C60B81">
        <w:rPr>
          <w:color w:val="auto"/>
          <w:lang w:val="es-CO"/>
        </w:rPr>
        <w:t>, Honduras,</w:t>
      </w:r>
      <w:r>
        <w:rPr>
          <w:color w:val="auto"/>
          <w:lang w:val="es-CO"/>
        </w:rPr>
        <w:t xml:space="preserve"> </w:t>
      </w:r>
      <w:proofErr w:type="spellStart"/>
      <w:r w:rsidRPr="00C60B81">
        <w:rPr>
          <w:color w:val="auto"/>
          <w:lang w:val="es-CO"/>
        </w:rPr>
        <w:t>July</w:t>
      </w:r>
      <w:proofErr w:type="spellEnd"/>
      <w:r w:rsidRPr="00C60B81">
        <w:rPr>
          <w:color w:val="auto"/>
          <w:lang w:val="es-CO"/>
        </w:rPr>
        <w:t xml:space="preserve"> 17, 2018. </w:t>
      </w:r>
      <w:r w:rsidRPr="00D74878">
        <w:rPr>
          <w:color w:val="auto"/>
        </w:rPr>
        <w:t xml:space="preserve">The Commission declared the petition admissible in relation to Articles 5, 8, 9, 23, 25, and 26 of the American Convention, in </w:t>
      </w:r>
      <w:r>
        <w:rPr>
          <w:color w:val="auto"/>
        </w:rPr>
        <w:t>conjunction with</w:t>
      </w:r>
      <w:r w:rsidRPr="00D74878">
        <w:rPr>
          <w:color w:val="auto"/>
        </w:rPr>
        <w:t xml:space="preserve"> Articles 1(1) and 2 thereof. The Commission found the petition inadmissible in </w:t>
      </w:r>
      <w:r>
        <w:rPr>
          <w:color w:val="auto"/>
        </w:rPr>
        <w:t xml:space="preserve">relation to </w:t>
      </w:r>
      <w:r w:rsidRPr="00D74878">
        <w:rPr>
          <w:color w:val="auto"/>
        </w:rPr>
        <w:t xml:space="preserve">Article 11 </w:t>
      </w:r>
      <w:r>
        <w:rPr>
          <w:color w:val="auto"/>
        </w:rPr>
        <w:t>of the American Convention.</w:t>
      </w:r>
    </w:p>
  </w:footnote>
  <w:footnote w:id="3">
    <w:p w14:paraId="6F0AF2B1" w14:textId="76FFA8BD" w:rsidR="00E6692A" w:rsidRPr="003D05E9" w:rsidRDefault="00E6692A" w:rsidP="00E6692A">
      <w:pPr>
        <w:pStyle w:val="Textonotapie"/>
      </w:pPr>
      <w:r>
        <w:rPr>
          <w:rStyle w:val="Refdenotaalpie"/>
        </w:rPr>
        <w:footnoteRef/>
      </w:r>
      <w:r w:rsidRPr="003D05E9">
        <w:t xml:space="preserve"> </w:t>
      </w:r>
      <w:r w:rsidR="00177DB9">
        <w:t xml:space="preserve">Annex 1. </w:t>
      </w:r>
      <w:r w:rsidRPr="003D05E9">
        <w:t xml:space="preserve">National Congress of the Republic, Decree No. 02-2009 of January 26, 2009, published in </w:t>
      </w:r>
      <w:r>
        <w:t xml:space="preserve">the Official Gazette, No. </w:t>
      </w:r>
      <w:r w:rsidRPr="003D05E9">
        <w:t xml:space="preserve">31,828 </w:t>
      </w:r>
      <w:r>
        <w:t>of February</w:t>
      </w:r>
      <w:r w:rsidRPr="003D05E9">
        <w:t xml:space="preserve"> 3</w:t>
      </w:r>
      <w:r>
        <w:t xml:space="preserve">, </w:t>
      </w:r>
      <w:r w:rsidRPr="003D05E9">
        <w:t>2009</w:t>
      </w:r>
      <w:r>
        <w:t xml:space="preserve">. Annex to the initial petition of February 5, </w:t>
      </w:r>
      <w:r w:rsidRPr="003D05E9">
        <w:t xml:space="preserve">2013. </w:t>
      </w:r>
    </w:p>
  </w:footnote>
  <w:footnote w:id="4">
    <w:p w14:paraId="120D5203" w14:textId="398BFEF7" w:rsidR="00E6692A" w:rsidRPr="00A4322F" w:rsidRDefault="00E6692A" w:rsidP="00E6692A">
      <w:pPr>
        <w:pStyle w:val="Textonotapie"/>
      </w:pPr>
      <w:r>
        <w:rPr>
          <w:rStyle w:val="Refdenotaalpie"/>
        </w:rPr>
        <w:footnoteRef/>
      </w:r>
      <w:r w:rsidRPr="00A4322F">
        <w:t xml:space="preserve"> </w:t>
      </w:r>
      <w:r w:rsidR="00177DB9">
        <w:t xml:space="preserve">Annex 2. </w:t>
      </w:r>
      <w:r w:rsidRPr="00A4322F">
        <w:t>Constitutional Chamber of the Supreme Court</w:t>
      </w:r>
      <w:r>
        <w:t xml:space="preserve"> of Justice</w:t>
      </w:r>
      <w:r w:rsidRPr="00A4322F">
        <w:t>, Judgment of February 1, 2012</w:t>
      </w:r>
      <w:r>
        <w:t>.</w:t>
      </w:r>
      <w:r w:rsidRPr="00A4322F">
        <w:t xml:space="preserve"> Annex to</w:t>
      </w:r>
      <w:r>
        <w:t xml:space="preserve"> the petitioners’ brief of November 20, </w:t>
      </w:r>
      <w:r w:rsidRPr="00A4322F">
        <w:t>2018.</w:t>
      </w:r>
    </w:p>
  </w:footnote>
  <w:footnote w:id="5">
    <w:p w14:paraId="240FEB2C" w14:textId="34C60266" w:rsidR="00E6692A" w:rsidRPr="00A4322F" w:rsidRDefault="00E6692A" w:rsidP="00E6692A">
      <w:pPr>
        <w:pStyle w:val="Textonotapie"/>
      </w:pPr>
      <w:r>
        <w:rPr>
          <w:rStyle w:val="Refdenotaalpie"/>
        </w:rPr>
        <w:footnoteRef/>
      </w:r>
      <w:r w:rsidR="00177DB9">
        <w:t xml:space="preserve"> Annex 3. </w:t>
      </w:r>
      <w:r w:rsidRPr="00A4322F">
        <w:t xml:space="preserve">Press reports: </w:t>
      </w:r>
      <w:r w:rsidRPr="00A4322F">
        <w:rPr>
          <w:i/>
          <w:iCs/>
        </w:rPr>
        <w:t xml:space="preserve">El </w:t>
      </w:r>
      <w:proofErr w:type="spellStart"/>
      <w:r w:rsidRPr="00A4322F">
        <w:rPr>
          <w:i/>
          <w:iCs/>
        </w:rPr>
        <w:t>Heraldo</w:t>
      </w:r>
      <w:proofErr w:type="spellEnd"/>
      <w:r w:rsidRPr="00A4322F">
        <w:t>, Friday, December 14, 2012, available at</w:t>
      </w:r>
      <w:r>
        <w:t xml:space="preserve"> </w:t>
      </w:r>
      <w:hyperlink r:id="rId1" w:history="1">
        <w:r w:rsidRPr="00A4322F">
          <w:rPr>
            <w:rStyle w:val="Hipervnculo"/>
          </w:rPr>
          <w:t>https://www.elheraldo.hn/alfrente/565663-209/hechos-que-originaron-zarpazo-contra-el-poder-judicial</w:t>
        </w:r>
      </w:hyperlink>
      <w:r>
        <w:t xml:space="preserve">, and </w:t>
      </w:r>
      <w:r w:rsidRPr="00A4322F">
        <w:rPr>
          <w:i/>
          <w:iCs/>
        </w:rPr>
        <w:t xml:space="preserve">El </w:t>
      </w:r>
      <w:proofErr w:type="spellStart"/>
      <w:r w:rsidRPr="00A4322F">
        <w:rPr>
          <w:i/>
          <w:iCs/>
        </w:rPr>
        <w:t>Heraldo</w:t>
      </w:r>
      <w:proofErr w:type="spellEnd"/>
      <w:r>
        <w:t xml:space="preserve">, Thursday, February </w:t>
      </w:r>
      <w:r w:rsidRPr="00A4322F">
        <w:t>23</w:t>
      </w:r>
      <w:r>
        <w:t xml:space="preserve">, </w:t>
      </w:r>
      <w:r w:rsidRPr="00A4322F">
        <w:t>2012</w:t>
      </w:r>
      <w:r>
        <w:t>, available at</w:t>
      </w:r>
      <w:r w:rsidRPr="00A4322F">
        <w:t xml:space="preserve"> </w:t>
      </w:r>
      <w:hyperlink r:id="rId2" w:history="1">
        <w:r w:rsidRPr="00A4322F">
          <w:rPr>
            <w:rStyle w:val="Hipervnculo"/>
          </w:rPr>
          <w:t>https://www.elheraldo.hn/pais/569202-214/pepe-contratara-comision-para-evaluar-fallos-de-la-corte-suprema-de-justicia</w:t>
        </w:r>
      </w:hyperlink>
      <w:r w:rsidRPr="00A4322F">
        <w:t>. Annex</w:t>
      </w:r>
      <w:r>
        <w:t>es</w:t>
      </w:r>
      <w:r w:rsidRPr="00A4322F">
        <w:t xml:space="preserve"> to</w:t>
      </w:r>
      <w:r>
        <w:t xml:space="preserve"> the petitioners’ brief of November 20, </w:t>
      </w:r>
      <w:r w:rsidRPr="00A4322F">
        <w:t>2018.</w:t>
      </w:r>
    </w:p>
  </w:footnote>
  <w:footnote w:id="6">
    <w:p w14:paraId="11BDC5AA" w14:textId="594ED0FB" w:rsidR="00E6692A" w:rsidRPr="00A4322F" w:rsidRDefault="00E6692A" w:rsidP="00E6692A">
      <w:pPr>
        <w:pStyle w:val="Textonotapie"/>
      </w:pPr>
      <w:r>
        <w:rPr>
          <w:rStyle w:val="Refdenotaalpie"/>
        </w:rPr>
        <w:footnoteRef/>
      </w:r>
      <w:r w:rsidRPr="00A4322F">
        <w:t xml:space="preserve"> </w:t>
      </w:r>
      <w:r w:rsidR="00177DB9">
        <w:t xml:space="preserve">Annex 4. </w:t>
      </w:r>
      <w:r w:rsidRPr="00A4322F">
        <w:t>Constitutional Chamber of the Supreme Court</w:t>
      </w:r>
      <w:r>
        <w:t xml:space="preserve"> of Justice</w:t>
      </w:r>
      <w:r w:rsidRPr="00A4322F">
        <w:t>, Judgment of February 7</w:t>
      </w:r>
      <w:r>
        <w:t xml:space="preserve">, </w:t>
      </w:r>
      <w:r w:rsidRPr="00A4322F">
        <w:t>2012. Annex to</w:t>
      </w:r>
      <w:r>
        <w:t xml:space="preserve"> the petitioners’ brief of November 20, </w:t>
      </w:r>
      <w:r w:rsidRPr="00A4322F">
        <w:t>2018.</w:t>
      </w:r>
    </w:p>
  </w:footnote>
  <w:footnote w:id="7">
    <w:p w14:paraId="3854B398" w14:textId="28D74763" w:rsidR="00E6692A" w:rsidRPr="00A4322F" w:rsidRDefault="00E6692A" w:rsidP="00E6692A">
      <w:pPr>
        <w:pStyle w:val="Textonotapie"/>
      </w:pPr>
      <w:r>
        <w:rPr>
          <w:rStyle w:val="Refdenotaalpie"/>
        </w:rPr>
        <w:footnoteRef/>
      </w:r>
      <w:r w:rsidRPr="004204E0">
        <w:t xml:space="preserve"> </w:t>
      </w:r>
      <w:r w:rsidR="00177DB9">
        <w:t xml:space="preserve">Annex 5. </w:t>
      </w:r>
      <w:r w:rsidRPr="004204E0">
        <w:t xml:space="preserve">Press report, </w:t>
      </w:r>
      <w:r w:rsidRPr="004204E0">
        <w:rPr>
          <w:i/>
          <w:iCs/>
        </w:rPr>
        <w:t xml:space="preserve">La </w:t>
      </w:r>
      <w:proofErr w:type="spellStart"/>
      <w:r w:rsidRPr="004204E0">
        <w:rPr>
          <w:i/>
          <w:iCs/>
        </w:rPr>
        <w:t>Tribuna</w:t>
      </w:r>
      <w:proofErr w:type="spellEnd"/>
      <w:r w:rsidRPr="004204E0">
        <w:t xml:space="preserve">, Thursday, February 23, 2012. </w:t>
      </w:r>
      <w:r w:rsidRPr="00A4322F">
        <w:t>Annex to</w:t>
      </w:r>
      <w:r>
        <w:t xml:space="preserve"> the petitioners’ brief of November 20, </w:t>
      </w:r>
      <w:r w:rsidRPr="00A4322F">
        <w:t>2018.</w:t>
      </w:r>
    </w:p>
  </w:footnote>
  <w:footnote w:id="8">
    <w:p w14:paraId="247AA7D6" w14:textId="760CF8D9" w:rsidR="00E6692A" w:rsidRPr="00096929" w:rsidRDefault="00E6692A" w:rsidP="00E6692A">
      <w:pPr>
        <w:pStyle w:val="Textonotapie"/>
      </w:pPr>
      <w:r>
        <w:rPr>
          <w:rStyle w:val="Refdenotaalpie"/>
        </w:rPr>
        <w:footnoteRef/>
      </w:r>
      <w:r w:rsidRPr="00096929">
        <w:t xml:space="preserve"> </w:t>
      </w:r>
      <w:r w:rsidR="00177DB9">
        <w:t xml:space="preserve">Annex 6. </w:t>
      </w:r>
      <w:r w:rsidRPr="00096929">
        <w:t xml:space="preserve">Constitutional Chamber of the Supreme Court, Judgment of October 17, 2012. </w:t>
      </w:r>
      <w:r w:rsidRPr="00A4322F">
        <w:t>Annex to</w:t>
      </w:r>
      <w:r>
        <w:t xml:space="preserve"> the petitioners’ brief of November 20, </w:t>
      </w:r>
      <w:r w:rsidRPr="00A4322F">
        <w:t>2018</w:t>
      </w:r>
      <w:r w:rsidRPr="00096929">
        <w:t>.</w:t>
      </w:r>
    </w:p>
  </w:footnote>
  <w:footnote w:id="9">
    <w:p w14:paraId="10857983" w14:textId="12C3E0C1" w:rsidR="00E6692A" w:rsidRPr="004134FF" w:rsidRDefault="00E6692A" w:rsidP="00E6692A">
      <w:pPr>
        <w:pStyle w:val="Textonotapie"/>
      </w:pPr>
      <w:r>
        <w:rPr>
          <w:rStyle w:val="Refdenotaalpie"/>
        </w:rPr>
        <w:footnoteRef/>
      </w:r>
      <w:r w:rsidRPr="00BA5C07">
        <w:t xml:space="preserve"> </w:t>
      </w:r>
      <w:r w:rsidR="00177DB9" w:rsidRPr="00BA5C07">
        <w:t xml:space="preserve">Annex 7. </w:t>
      </w:r>
      <w:r w:rsidRPr="00BA5C07">
        <w:t xml:space="preserve">Press report, </w:t>
      </w:r>
      <w:r w:rsidRPr="00BA5C07">
        <w:rPr>
          <w:i/>
          <w:iCs/>
        </w:rPr>
        <w:t>El Heraldo</w:t>
      </w:r>
      <w:r w:rsidRPr="00BA5C07">
        <w:t xml:space="preserve">: </w:t>
      </w:r>
      <w:r w:rsidRPr="00BA5C07">
        <w:rPr>
          <w:i/>
          <w:iCs/>
        </w:rPr>
        <w:t>Hechos que originaron el zarpazo contra el Poder Judicial</w:t>
      </w:r>
      <w:r w:rsidRPr="00BA5C07">
        <w:t xml:space="preserve">, Friday, December 14, 2012. </w:t>
      </w:r>
      <w:r w:rsidRPr="004134FF">
        <w:t>Annex to the petitioners’ brief of November 20, 2018.</w:t>
      </w:r>
    </w:p>
  </w:footnote>
  <w:footnote w:id="10">
    <w:p w14:paraId="6B9355FA" w14:textId="4586455F" w:rsidR="00E6692A" w:rsidRPr="00E566E3" w:rsidRDefault="00E6692A" w:rsidP="00E6692A">
      <w:pPr>
        <w:pStyle w:val="Textonotapie"/>
      </w:pPr>
      <w:r>
        <w:rPr>
          <w:rStyle w:val="Refdenotaalpie"/>
        </w:rPr>
        <w:footnoteRef/>
      </w:r>
      <w:r w:rsidRPr="00E566E3">
        <w:t xml:space="preserve"> </w:t>
      </w:r>
      <w:r w:rsidR="00177DB9">
        <w:t xml:space="preserve">Annex 8. </w:t>
      </w:r>
      <w:r w:rsidRPr="00096929">
        <w:t>Constitutional Chamber of the Supreme Court, Judgment of</w:t>
      </w:r>
      <w:r w:rsidRPr="00E566E3">
        <w:t xml:space="preserve"> N</w:t>
      </w:r>
      <w:r>
        <w:t xml:space="preserve">ovember </w:t>
      </w:r>
      <w:r w:rsidRPr="00E566E3">
        <w:t>27</w:t>
      </w:r>
      <w:r>
        <w:t xml:space="preserve">, </w:t>
      </w:r>
      <w:r w:rsidRPr="00E566E3">
        <w:t xml:space="preserve">2012. </w:t>
      </w:r>
      <w:r w:rsidRPr="00A4322F">
        <w:t>Annex to</w:t>
      </w:r>
      <w:r>
        <w:t xml:space="preserve"> the petitioners’ brief of November 20, </w:t>
      </w:r>
      <w:r w:rsidRPr="00A4322F">
        <w:t>2018</w:t>
      </w:r>
      <w:r w:rsidRPr="00E566E3">
        <w:t xml:space="preserve">. </w:t>
      </w:r>
    </w:p>
  </w:footnote>
  <w:footnote w:id="11">
    <w:p w14:paraId="0E564B4A" w14:textId="35156C03" w:rsidR="00E6692A" w:rsidRPr="00E566E3" w:rsidRDefault="00E6692A" w:rsidP="00E6692A">
      <w:pPr>
        <w:pStyle w:val="Textonotapie"/>
      </w:pPr>
      <w:r>
        <w:rPr>
          <w:rStyle w:val="Refdenotaalpie"/>
        </w:rPr>
        <w:footnoteRef/>
      </w:r>
      <w:r w:rsidRPr="00E566E3">
        <w:t xml:space="preserve"> </w:t>
      </w:r>
      <w:r w:rsidR="00177DB9">
        <w:t xml:space="preserve">Annex 9. </w:t>
      </w:r>
      <w:r w:rsidRPr="00E566E3">
        <w:t>Office of the Public Prosecutor, Expert Opinion of</w:t>
      </w:r>
      <w:r>
        <w:t xml:space="preserve"> August </w:t>
      </w:r>
      <w:r w:rsidRPr="00E566E3">
        <w:t>7</w:t>
      </w:r>
      <w:r>
        <w:t>,</w:t>
      </w:r>
      <w:r w:rsidRPr="00E566E3">
        <w:t xml:space="preserve"> 2012. Annex to the initial petition of February 5, 2013.</w:t>
      </w:r>
    </w:p>
  </w:footnote>
  <w:footnote w:id="12">
    <w:p w14:paraId="1F9305EA" w14:textId="23BF8D47" w:rsidR="00E6692A" w:rsidRPr="004134FF" w:rsidRDefault="00E6692A" w:rsidP="00E6692A">
      <w:pPr>
        <w:pStyle w:val="Textonotapie"/>
      </w:pPr>
      <w:r>
        <w:rPr>
          <w:rStyle w:val="Refdenotaalpie"/>
        </w:rPr>
        <w:footnoteRef/>
      </w:r>
      <w:r w:rsidRPr="00E566E3">
        <w:t xml:space="preserve"> </w:t>
      </w:r>
      <w:r w:rsidR="00177DB9">
        <w:t xml:space="preserve">Annex 8. </w:t>
      </w:r>
      <w:r w:rsidRPr="00096929">
        <w:t xml:space="preserve">Constitutional Chamber of the Supreme Court, Judgment of </w:t>
      </w:r>
      <w:r>
        <w:t xml:space="preserve">November </w:t>
      </w:r>
      <w:r w:rsidRPr="00E566E3">
        <w:t>27</w:t>
      </w:r>
      <w:r>
        <w:t xml:space="preserve">, </w:t>
      </w:r>
      <w:r w:rsidRPr="00E566E3">
        <w:t xml:space="preserve">2012. </w:t>
      </w:r>
      <w:r w:rsidRPr="004134FF">
        <w:t xml:space="preserve">Annex to the initial petition of February 5, 2013. </w:t>
      </w:r>
    </w:p>
  </w:footnote>
  <w:footnote w:id="13">
    <w:p w14:paraId="6656A60A" w14:textId="5D7BDFF5" w:rsidR="00E6692A" w:rsidRPr="00E566E3" w:rsidRDefault="00E6692A" w:rsidP="00E6692A">
      <w:pPr>
        <w:pStyle w:val="Textonotapie"/>
      </w:pPr>
      <w:r>
        <w:rPr>
          <w:rStyle w:val="Refdenotaalpie"/>
        </w:rPr>
        <w:footnoteRef/>
      </w:r>
      <w:r w:rsidRPr="00BA5C07">
        <w:t xml:space="preserve"> </w:t>
      </w:r>
      <w:r w:rsidR="00177DB9" w:rsidRPr="00BA5C07">
        <w:t xml:space="preserve">Annex 10. </w:t>
      </w:r>
      <w:r w:rsidRPr="00BA5C07">
        <w:t xml:space="preserve">Press report, </w:t>
      </w:r>
      <w:r w:rsidRPr="00BA5C07">
        <w:rPr>
          <w:i/>
          <w:iCs/>
        </w:rPr>
        <w:t>LaPrensa.HN</w:t>
      </w:r>
      <w:r w:rsidRPr="00BA5C07">
        <w:t xml:space="preserve">: </w:t>
      </w:r>
      <w:r w:rsidRPr="00BA5C07">
        <w:rPr>
          <w:i/>
          <w:iCs/>
        </w:rPr>
        <w:t>Lobo arremete contra la Corte ¿de qué lado están?</w:t>
      </w:r>
      <w:r w:rsidRPr="00BA5C07">
        <w:t xml:space="preserve">, December 4, 2012, available at </w:t>
      </w:r>
      <w:bookmarkStart w:id="12" w:name="_Hlk69406475"/>
      <w:r>
        <w:fldChar w:fldCharType="begin"/>
      </w:r>
      <w:r w:rsidRPr="00BA5C07">
        <w:instrText xml:space="preserve"> HYPERLINK "https://www.laprensa.hn/honduras/tegucigalpa/330819-98/lobo-arremete-contra-la-corte-de-qu%C3%A9-lado-est%C3%A1n-dice" </w:instrText>
      </w:r>
      <w:r>
        <w:fldChar w:fldCharType="separate"/>
      </w:r>
      <w:r w:rsidRPr="00BA5C07">
        <w:rPr>
          <w:rStyle w:val="Hipervnculo"/>
        </w:rPr>
        <w:t>https://www.laprensa.hn/honduras/tegucigalpa/330819-98/lobo-arremete-contra-la-corte-de-qu%C3%A9-lado-est%C3%A1n-dice</w:t>
      </w:r>
      <w:r>
        <w:rPr>
          <w:rStyle w:val="Hipervnculo"/>
          <w:lang w:val="es-CO"/>
        </w:rPr>
        <w:fldChar w:fldCharType="end"/>
      </w:r>
      <w:r w:rsidRPr="00BA5C07">
        <w:t xml:space="preserve">. </w:t>
      </w:r>
      <w:bookmarkEnd w:id="12"/>
      <w:r w:rsidRPr="00DE2FBA">
        <w:t xml:space="preserve">Annex to the petitioners’ brief of November 20, 2018; </w:t>
      </w:r>
      <w:r w:rsidRPr="00DE2FBA">
        <w:rPr>
          <w:i/>
          <w:iCs/>
        </w:rPr>
        <w:t xml:space="preserve">El </w:t>
      </w:r>
      <w:proofErr w:type="spellStart"/>
      <w:r w:rsidRPr="00DE2FBA">
        <w:rPr>
          <w:i/>
          <w:iCs/>
        </w:rPr>
        <w:t>Heraldo</w:t>
      </w:r>
      <w:proofErr w:type="spellEnd"/>
      <w:r w:rsidRPr="00DE2FBA">
        <w:t xml:space="preserve">, press report: </w:t>
      </w:r>
      <w:proofErr w:type="spellStart"/>
      <w:r w:rsidRPr="00DE2FBA">
        <w:rPr>
          <w:i/>
          <w:iCs/>
        </w:rPr>
        <w:t>Hechos</w:t>
      </w:r>
      <w:proofErr w:type="spellEnd"/>
      <w:r w:rsidRPr="00DE2FBA">
        <w:rPr>
          <w:i/>
          <w:iCs/>
        </w:rPr>
        <w:t xml:space="preserve"> que </w:t>
      </w:r>
      <w:proofErr w:type="spellStart"/>
      <w:r w:rsidRPr="00DE2FBA">
        <w:rPr>
          <w:i/>
          <w:iCs/>
        </w:rPr>
        <w:t>originaron</w:t>
      </w:r>
      <w:proofErr w:type="spellEnd"/>
      <w:r w:rsidRPr="00DE2FBA">
        <w:rPr>
          <w:i/>
          <w:iCs/>
        </w:rPr>
        <w:t xml:space="preserve"> </w:t>
      </w:r>
      <w:proofErr w:type="spellStart"/>
      <w:r w:rsidRPr="00DE2FBA">
        <w:rPr>
          <w:i/>
          <w:iCs/>
        </w:rPr>
        <w:t>zarpazo</w:t>
      </w:r>
      <w:proofErr w:type="spellEnd"/>
      <w:r w:rsidRPr="00DE2FBA">
        <w:rPr>
          <w:i/>
          <w:iCs/>
        </w:rPr>
        <w:t xml:space="preserve"> contra </w:t>
      </w:r>
      <w:proofErr w:type="spellStart"/>
      <w:r w:rsidRPr="00DE2FBA">
        <w:rPr>
          <w:i/>
          <w:iCs/>
        </w:rPr>
        <w:t>el</w:t>
      </w:r>
      <w:proofErr w:type="spellEnd"/>
      <w:r w:rsidRPr="00DE2FBA">
        <w:rPr>
          <w:i/>
          <w:iCs/>
        </w:rPr>
        <w:t xml:space="preserve"> </w:t>
      </w:r>
      <w:proofErr w:type="spellStart"/>
      <w:r w:rsidRPr="00DE2FBA">
        <w:rPr>
          <w:i/>
          <w:iCs/>
        </w:rPr>
        <w:t>Poder</w:t>
      </w:r>
      <w:proofErr w:type="spellEnd"/>
      <w:r w:rsidRPr="00DE2FBA">
        <w:rPr>
          <w:i/>
          <w:iCs/>
        </w:rPr>
        <w:t xml:space="preserve"> Judicial</w:t>
      </w:r>
      <w:r w:rsidRPr="00DE2FBA">
        <w:t xml:space="preserve">, Friday, December 14, 2012. </w:t>
      </w:r>
      <w:r w:rsidRPr="00E566E3">
        <w:t xml:space="preserve">Annex to the initial petition of February 5, 2013. </w:t>
      </w:r>
    </w:p>
  </w:footnote>
  <w:footnote w:id="14">
    <w:p w14:paraId="252CCB24" w14:textId="1630C3B4" w:rsidR="00E6692A" w:rsidRPr="00FF7302" w:rsidRDefault="00E6692A" w:rsidP="00E6692A">
      <w:pPr>
        <w:pStyle w:val="Textonotapie"/>
      </w:pPr>
      <w:r>
        <w:rPr>
          <w:rStyle w:val="Refdenotaalpie"/>
        </w:rPr>
        <w:footnoteRef/>
      </w:r>
      <w:r w:rsidRPr="00896C24">
        <w:t xml:space="preserve"> </w:t>
      </w:r>
      <w:r w:rsidR="00177DB9">
        <w:t xml:space="preserve">Annex 11. </w:t>
      </w:r>
      <w:r w:rsidRPr="00896C24">
        <w:t xml:space="preserve">Judiciary of Honduras, </w:t>
      </w:r>
      <w:r>
        <w:t>p</w:t>
      </w:r>
      <w:r w:rsidRPr="00896C24">
        <w:t xml:space="preserve">ublic communiqué of December 5, 2012. </w:t>
      </w:r>
      <w:r w:rsidRPr="00E566E3">
        <w:t>Annex to the initial petition of February 5, 2013</w:t>
      </w:r>
      <w:r w:rsidRPr="00FF7302">
        <w:t xml:space="preserve">. </w:t>
      </w:r>
    </w:p>
  </w:footnote>
  <w:footnote w:id="15">
    <w:p w14:paraId="4279E112" w14:textId="5D8C73E7" w:rsidR="00E6692A" w:rsidRPr="00BA5C07" w:rsidRDefault="00E6692A" w:rsidP="00E6692A">
      <w:pPr>
        <w:pStyle w:val="Textonotapie"/>
        <w:rPr>
          <w:lang w:val="pt-BR"/>
        </w:rPr>
      </w:pPr>
      <w:r>
        <w:rPr>
          <w:rStyle w:val="Refdenotaalpie"/>
        </w:rPr>
        <w:footnoteRef/>
      </w:r>
      <w:r w:rsidRPr="003A36EE">
        <w:rPr>
          <w:lang w:val="pt-BR"/>
        </w:rPr>
        <w:t xml:space="preserve"> </w:t>
      </w:r>
      <w:proofErr w:type="spellStart"/>
      <w:r w:rsidR="00177DB9">
        <w:rPr>
          <w:lang w:val="pt-BR"/>
        </w:rPr>
        <w:t>Annex</w:t>
      </w:r>
      <w:proofErr w:type="spellEnd"/>
      <w:r w:rsidR="00177DB9">
        <w:rPr>
          <w:lang w:val="pt-BR"/>
        </w:rPr>
        <w:t xml:space="preserve"> 12. </w:t>
      </w:r>
      <w:proofErr w:type="spellStart"/>
      <w:r>
        <w:rPr>
          <w:lang w:val="pt-BR"/>
        </w:rPr>
        <w:t>National</w:t>
      </w:r>
      <w:proofErr w:type="spellEnd"/>
      <w:r>
        <w:rPr>
          <w:lang w:val="pt-BR"/>
        </w:rPr>
        <w:t xml:space="preserve"> Congress, </w:t>
      </w:r>
      <w:proofErr w:type="spellStart"/>
      <w:r>
        <w:rPr>
          <w:lang w:val="pt-BR"/>
        </w:rPr>
        <w:t>Official</w:t>
      </w:r>
      <w:proofErr w:type="spellEnd"/>
      <w:r>
        <w:rPr>
          <w:lang w:val="pt-BR"/>
        </w:rPr>
        <w:t xml:space="preserve"> </w:t>
      </w:r>
      <w:proofErr w:type="spellStart"/>
      <w:r>
        <w:rPr>
          <w:lang w:val="pt-BR"/>
        </w:rPr>
        <w:t>Document</w:t>
      </w:r>
      <w:proofErr w:type="spellEnd"/>
      <w:r>
        <w:rPr>
          <w:lang w:val="pt-BR"/>
        </w:rPr>
        <w:t xml:space="preserve"> No. </w:t>
      </w:r>
      <w:r w:rsidRPr="003A36EE">
        <w:rPr>
          <w:lang w:val="pt-BR"/>
        </w:rPr>
        <w:t xml:space="preserve">480-2012/CN. </w:t>
      </w:r>
      <w:r w:rsidRPr="00BA5C07">
        <w:rPr>
          <w:lang w:val="pt-BR"/>
        </w:rPr>
        <w:t>Annex to the petitioners’ brief of November 20, 2018.</w:t>
      </w:r>
    </w:p>
  </w:footnote>
  <w:footnote w:id="16">
    <w:p w14:paraId="58BC43D5" w14:textId="4CC879FC" w:rsidR="00E6692A" w:rsidRPr="004134FF" w:rsidRDefault="00E6692A" w:rsidP="00E6692A">
      <w:pPr>
        <w:pStyle w:val="Textonotapie"/>
        <w:rPr>
          <w:lang w:val="es-CO"/>
        </w:rPr>
      </w:pPr>
      <w:r>
        <w:rPr>
          <w:rStyle w:val="Refdenotaalpie"/>
        </w:rPr>
        <w:footnoteRef/>
      </w:r>
      <w:r w:rsidRPr="00BA5C07">
        <w:rPr>
          <w:lang w:val="pt-BR"/>
        </w:rPr>
        <w:t xml:space="preserve"> </w:t>
      </w:r>
      <w:r w:rsidR="00177DB9" w:rsidRPr="00BA5C07">
        <w:rPr>
          <w:lang w:val="pt-BR"/>
        </w:rPr>
        <w:t xml:space="preserve">Annex 13. </w:t>
      </w:r>
      <w:r w:rsidRPr="00BA5C07">
        <w:rPr>
          <w:i/>
          <w:iCs/>
          <w:lang w:val="pt-BR"/>
        </w:rPr>
        <w:t>El Heraldo</w:t>
      </w:r>
      <w:r w:rsidRPr="00BA5C07">
        <w:rPr>
          <w:lang w:val="pt-BR"/>
        </w:rPr>
        <w:t xml:space="preserve">, press report: </w:t>
      </w:r>
      <w:r w:rsidRPr="00BA5C07">
        <w:rPr>
          <w:i/>
          <w:iCs/>
          <w:lang w:val="pt-BR"/>
        </w:rPr>
        <w:t>Aplanadora nacionalista aprueba investigar conducta de magistrados</w:t>
      </w:r>
      <w:r w:rsidRPr="00BA5C07">
        <w:rPr>
          <w:lang w:val="pt-BR"/>
        </w:rPr>
        <w:t xml:space="preserve">, Tuesday, December 11, 2012. </w:t>
      </w:r>
      <w:proofErr w:type="spellStart"/>
      <w:r w:rsidRPr="004134FF">
        <w:rPr>
          <w:lang w:val="es-CO"/>
        </w:rPr>
        <w:t>Annex</w:t>
      </w:r>
      <w:proofErr w:type="spellEnd"/>
      <w:r w:rsidRPr="004134FF">
        <w:rPr>
          <w:lang w:val="es-CO"/>
        </w:rPr>
        <w:t xml:space="preserve"> </w:t>
      </w:r>
      <w:proofErr w:type="spellStart"/>
      <w:r w:rsidRPr="004134FF">
        <w:rPr>
          <w:lang w:val="es-CO"/>
        </w:rPr>
        <w:t>to</w:t>
      </w:r>
      <w:proofErr w:type="spellEnd"/>
      <w:r w:rsidRPr="004134FF">
        <w:rPr>
          <w:lang w:val="es-CO"/>
        </w:rPr>
        <w:t xml:space="preserve"> </w:t>
      </w:r>
      <w:proofErr w:type="spellStart"/>
      <w:r w:rsidRPr="004134FF">
        <w:rPr>
          <w:lang w:val="es-CO"/>
        </w:rPr>
        <w:t>the</w:t>
      </w:r>
      <w:proofErr w:type="spellEnd"/>
      <w:r w:rsidRPr="004134FF">
        <w:rPr>
          <w:lang w:val="es-CO"/>
        </w:rPr>
        <w:t xml:space="preserve"> </w:t>
      </w:r>
      <w:proofErr w:type="spellStart"/>
      <w:r w:rsidRPr="004134FF">
        <w:rPr>
          <w:lang w:val="es-CO"/>
        </w:rPr>
        <w:t>initial</w:t>
      </w:r>
      <w:proofErr w:type="spellEnd"/>
      <w:r w:rsidRPr="004134FF">
        <w:rPr>
          <w:lang w:val="es-CO"/>
        </w:rPr>
        <w:t xml:space="preserve"> </w:t>
      </w:r>
      <w:proofErr w:type="spellStart"/>
      <w:r w:rsidRPr="004134FF">
        <w:rPr>
          <w:lang w:val="es-CO"/>
        </w:rPr>
        <w:t>petition</w:t>
      </w:r>
      <w:proofErr w:type="spellEnd"/>
      <w:r w:rsidRPr="004134FF">
        <w:rPr>
          <w:lang w:val="es-CO"/>
        </w:rPr>
        <w:t xml:space="preserve"> </w:t>
      </w:r>
      <w:proofErr w:type="spellStart"/>
      <w:r w:rsidRPr="004134FF">
        <w:rPr>
          <w:lang w:val="es-CO"/>
        </w:rPr>
        <w:t>of</w:t>
      </w:r>
      <w:proofErr w:type="spellEnd"/>
      <w:r w:rsidRPr="004134FF">
        <w:rPr>
          <w:lang w:val="es-CO"/>
        </w:rPr>
        <w:t xml:space="preserve"> </w:t>
      </w:r>
      <w:proofErr w:type="spellStart"/>
      <w:r w:rsidRPr="004134FF">
        <w:rPr>
          <w:lang w:val="es-CO"/>
        </w:rPr>
        <w:t>February</w:t>
      </w:r>
      <w:proofErr w:type="spellEnd"/>
      <w:r w:rsidRPr="004134FF">
        <w:rPr>
          <w:lang w:val="es-CO"/>
        </w:rPr>
        <w:t xml:space="preserve"> 5, 2013.</w:t>
      </w:r>
      <w:r>
        <w:rPr>
          <w:lang w:val="es-CO"/>
        </w:rPr>
        <w:t xml:space="preserve"> </w:t>
      </w:r>
    </w:p>
  </w:footnote>
  <w:footnote w:id="17">
    <w:p w14:paraId="4983297B" w14:textId="5B3563F9" w:rsidR="00E6692A" w:rsidRPr="00EF7E60" w:rsidRDefault="00E6692A" w:rsidP="00E6692A">
      <w:pPr>
        <w:pStyle w:val="Textonotapie"/>
        <w:rPr>
          <w:lang w:val="es-BO"/>
        </w:rPr>
      </w:pPr>
      <w:r>
        <w:rPr>
          <w:rStyle w:val="Refdenotaalpie"/>
        </w:rPr>
        <w:footnoteRef/>
      </w:r>
      <w:r w:rsidRPr="009873BF">
        <w:rPr>
          <w:lang w:val="es-CO"/>
        </w:rPr>
        <w:t xml:space="preserve"> </w:t>
      </w:r>
      <w:proofErr w:type="spellStart"/>
      <w:r w:rsidR="00177DB9">
        <w:rPr>
          <w:lang w:val="es-CO"/>
        </w:rPr>
        <w:t>Annex</w:t>
      </w:r>
      <w:proofErr w:type="spellEnd"/>
      <w:r w:rsidR="00177DB9">
        <w:rPr>
          <w:lang w:val="es-CO"/>
        </w:rPr>
        <w:t xml:space="preserve"> 14. </w:t>
      </w:r>
      <w:proofErr w:type="spellStart"/>
      <w:r w:rsidRPr="009873BF">
        <w:rPr>
          <w:lang w:val="es-CO"/>
        </w:rPr>
        <w:t>Press</w:t>
      </w:r>
      <w:proofErr w:type="spellEnd"/>
      <w:r w:rsidRPr="009873BF">
        <w:rPr>
          <w:lang w:val="es-CO"/>
        </w:rPr>
        <w:t xml:space="preserve"> </w:t>
      </w:r>
      <w:proofErr w:type="spellStart"/>
      <w:r w:rsidRPr="009873BF">
        <w:rPr>
          <w:lang w:val="es-CO"/>
        </w:rPr>
        <w:t>report</w:t>
      </w:r>
      <w:proofErr w:type="spellEnd"/>
      <w:r w:rsidRPr="009873BF">
        <w:rPr>
          <w:lang w:val="es-CO"/>
        </w:rPr>
        <w:t xml:space="preserve">, </w:t>
      </w:r>
      <w:r w:rsidRPr="009873BF">
        <w:rPr>
          <w:i/>
          <w:iCs/>
          <w:lang w:val="es-CO"/>
        </w:rPr>
        <w:t>Diario Tiempo</w:t>
      </w:r>
      <w:r>
        <w:rPr>
          <w:lang w:val="es-CO"/>
        </w:rPr>
        <w:t>:</w:t>
      </w:r>
      <w:r w:rsidRPr="009873BF">
        <w:rPr>
          <w:lang w:val="es-CO"/>
        </w:rPr>
        <w:t xml:space="preserve"> </w:t>
      </w:r>
      <w:r w:rsidRPr="009873BF">
        <w:rPr>
          <w:i/>
          <w:iCs/>
          <w:lang w:val="es-BO"/>
        </w:rPr>
        <w:t>Aprobada moción para investigar la conducta de magistrados de la CSJ</w:t>
      </w:r>
      <w:r>
        <w:rPr>
          <w:lang w:val="es-BO"/>
        </w:rPr>
        <w:t xml:space="preserve">, </w:t>
      </w:r>
      <w:proofErr w:type="spellStart"/>
      <w:r>
        <w:rPr>
          <w:lang w:val="es-BO"/>
        </w:rPr>
        <w:t>Tuesday</w:t>
      </w:r>
      <w:proofErr w:type="spellEnd"/>
      <w:r>
        <w:rPr>
          <w:lang w:val="es-BO"/>
        </w:rPr>
        <w:t xml:space="preserve">, </w:t>
      </w:r>
      <w:proofErr w:type="spellStart"/>
      <w:r>
        <w:rPr>
          <w:lang w:val="es-BO"/>
        </w:rPr>
        <w:t>December</w:t>
      </w:r>
      <w:proofErr w:type="spellEnd"/>
      <w:r>
        <w:rPr>
          <w:lang w:val="es-BO"/>
        </w:rPr>
        <w:t xml:space="preserve"> 11, 2012. </w:t>
      </w:r>
      <w:proofErr w:type="spellStart"/>
      <w:r w:rsidRPr="009873BF">
        <w:rPr>
          <w:lang w:val="es-CO"/>
        </w:rPr>
        <w:t>Annex</w:t>
      </w:r>
      <w:proofErr w:type="spellEnd"/>
      <w:r w:rsidRPr="009873BF">
        <w:rPr>
          <w:lang w:val="es-CO"/>
        </w:rPr>
        <w:t xml:space="preserve"> </w:t>
      </w:r>
      <w:proofErr w:type="spellStart"/>
      <w:r w:rsidRPr="009873BF">
        <w:rPr>
          <w:lang w:val="es-CO"/>
        </w:rPr>
        <w:t>to</w:t>
      </w:r>
      <w:proofErr w:type="spellEnd"/>
      <w:r w:rsidRPr="009873BF">
        <w:rPr>
          <w:lang w:val="es-CO"/>
        </w:rPr>
        <w:t xml:space="preserve"> </w:t>
      </w:r>
      <w:proofErr w:type="spellStart"/>
      <w:r w:rsidRPr="009873BF">
        <w:rPr>
          <w:lang w:val="es-CO"/>
        </w:rPr>
        <w:t>the</w:t>
      </w:r>
      <w:proofErr w:type="spellEnd"/>
      <w:r w:rsidRPr="009873BF">
        <w:rPr>
          <w:lang w:val="es-CO"/>
        </w:rPr>
        <w:t xml:space="preserve"> </w:t>
      </w:r>
      <w:proofErr w:type="spellStart"/>
      <w:r w:rsidRPr="009873BF">
        <w:rPr>
          <w:lang w:val="es-CO"/>
        </w:rPr>
        <w:t>petitioners</w:t>
      </w:r>
      <w:proofErr w:type="spellEnd"/>
      <w:r w:rsidRPr="009873BF">
        <w:rPr>
          <w:lang w:val="es-CO"/>
        </w:rPr>
        <w:t xml:space="preserve">’ </w:t>
      </w:r>
      <w:proofErr w:type="spellStart"/>
      <w:r w:rsidRPr="009873BF">
        <w:rPr>
          <w:lang w:val="es-CO"/>
        </w:rPr>
        <w:t>brief</w:t>
      </w:r>
      <w:proofErr w:type="spellEnd"/>
      <w:r w:rsidRPr="009873BF">
        <w:rPr>
          <w:lang w:val="es-CO"/>
        </w:rPr>
        <w:t xml:space="preserve"> </w:t>
      </w:r>
      <w:proofErr w:type="spellStart"/>
      <w:r w:rsidRPr="009873BF">
        <w:rPr>
          <w:lang w:val="es-CO"/>
        </w:rPr>
        <w:t>of</w:t>
      </w:r>
      <w:proofErr w:type="spellEnd"/>
      <w:r w:rsidRPr="009873BF">
        <w:rPr>
          <w:lang w:val="es-CO"/>
        </w:rPr>
        <w:t xml:space="preserve"> </w:t>
      </w:r>
      <w:proofErr w:type="spellStart"/>
      <w:r w:rsidRPr="009873BF">
        <w:rPr>
          <w:lang w:val="es-CO"/>
        </w:rPr>
        <w:t>November</w:t>
      </w:r>
      <w:proofErr w:type="spellEnd"/>
      <w:r w:rsidRPr="009873BF">
        <w:rPr>
          <w:lang w:val="es-CO"/>
        </w:rPr>
        <w:t xml:space="preserve"> 20, 2018</w:t>
      </w:r>
      <w:r>
        <w:rPr>
          <w:lang w:val="es-BO"/>
        </w:rPr>
        <w:t>.</w:t>
      </w:r>
    </w:p>
  </w:footnote>
  <w:footnote w:id="18">
    <w:p w14:paraId="47DB2B20" w14:textId="3E28016D" w:rsidR="00E6692A" w:rsidRPr="004134FF" w:rsidRDefault="00E6692A" w:rsidP="00E6692A">
      <w:pPr>
        <w:pStyle w:val="Textonotapie"/>
      </w:pPr>
      <w:r>
        <w:rPr>
          <w:rStyle w:val="Refdenotaalpie"/>
        </w:rPr>
        <w:footnoteRef/>
      </w:r>
      <w:r w:rsidRPr="005146AF">
        <w:rPr>
          <w:lang w:val="es-BO"/>
        </w:rPr>
        <w:t xml:space="preserve"> </w:t>
      </w:r>
      <w:proofErr w:type="spellStart"/>
      <w:r w:rsidR="00177DB9">
        <w:rPr>
          <w:lang w:val="es-BO"/>
        </w:rPr>
        <w:t>Annex</w:t>
      </w:r>
      <w:proofErr w:type="spellEnd"/>
      <w:r w:rsidR="00177DB9">
        <w:rPr>
          <w:lang w:val="es-BO"/>
        </w:rPr>
        <w:t xml:space="preserve"> 15. </w:t>
      </w:r>
      <w:proofErr w:type="spellStart"/>
      <w:r w:rsidRPr="009873BF">
        <w:rPr>
          <w:lang w:val="es-CO"/>
        </w:rPr>
        <w:t>Press</w:t>
      </w:r>
      <w:proofErr w:type="spellEnd"/>
      <w:r w:rsidRPr="009873BF">
        <w:rPr>
          <w:lang w:val="es-CO"/>
        </w:rPr>
        <w:t xml:space="preserve"> </w:t>
      </w:r>
      <w:proofErr w:type="spellStart"/>
      <w:r w:rsidRPr="009873BF">
        <w:rPr>
          <w:lang w:val="es-CO"/>
        </w:rPr>
        <w:t>report</w:t>
      </w:r>
      <w:proofErr w:type="spellEnd"/>
      <w:r w:rsidRPr="009873BF">
        <w:rPr>
          <w:lang w:val="es-CO"/>
        </w:rPr>
        <w:t xml:space="preserve">, </w:t>
      </w:r>
      <w:r w:rsidRPr="00F409B3">
        <w:rPr>
          <w:i/>
          <w:iCs/>
          <w:lang w:val="es-BO"/>
        </w:rPr>
        <w:t>El Heraldo</w:t>
      </w:r>
      <w:r>
        <w:rPr>
          <w:lang w:val="es-BO"/>
        </w:rPr>
        <w:t xml:space="preserve">: </w:t>
      </w:r>
      <w:r w:rsidRPr="00F409B3">
        <w:rPr>
          <w:i/>
          <w:iCs/>
          <w:lang w:val="es-BO"/>
        </w:rPr>
        <w:t>Congreso de Honduras asesta golpe técnico al poder judicial</w:t>
      </w:r>
      <w:r>
        <w:rPr>
          <w:lang w:val="es-BO"/>
        </w:rPr>
        <w:t xml:space="preserve">, </w:t>
      </w:r>
      <w:proofErr w:type="spellStart"/>
      <w:r>
        <w:rPr>
          <w:lang w:val="es-BO"/>
        </w:rPr>
        <w:t>December</w:t>
      </w:r>
      <w:proofErr w:type="spellEnd"/>
      <w:r w:rsidRPr="005146AF">
        <w:rPr>
          <w:lang w:val="es-BO"/>
        </w:rPr>
        <w:t xml:space="preserve"> 12</w:t>
      </w:r>
      <w:r>
        <w:rPr>
          <w:lang w:val="es-BO"/>
        </w:rPr>
        <w:t xml:space="preserve">, </w:t>
      </w:r>
      <w:r w:rsidRPr="005146AF">
        <w:rPr>
          <w:lang w:val="es-BO"/>
        </w:rPr>
        <w:t xml:space="preserve">2012, </w:t>
      </w:r>
      <w:proofErr w:type="spellStart"/>
      <w:r>
        <w:rPr>
          <w:lang w:val="es-BO"/>
        </w:rPr>
        <w:t>available</w:t>
      </w:r>
      <w:proofErr w:type="spellEnd"/>
      <w:r>
        <w:rPr>
          <w:lang w:val="es-BO"/>
        </w:rPr>
        <w:t xml:space="preserve"> at</w:t>
      </w:r>
      <w:r w:rsidRPr="005146AF">
        <w:rPr>
          <w:lang w:val="es-BO"/>
        </w:rPr>
        <w:t xml:space="preserve"> </w:t>
      </w:r>
      <w:hyperlink r:id="rId3" w:history="1">
        <w:r w:rsidRPr="005D6B39">
          <w:rPr>
            <w:rStyle w:val="Hipervnculo"/>
            <w:lang w:val="es-BO"/>
          </w:rPr>
          <w:t>http://www.elheraldo.hn/Secciones-Principales/Al-Frente/Congreso-de-Honduras-asesta-golpe-tecnico-a-la-CSJ</w:t>
        </w:r>
      </w:hyperlink>
      <w:r>
        <w:rPr>
          <w:lang w:val="es-BO"/>
        </w:rPr>
        <w:t xml:space="preserve">. </w:t>
      </w:r>
      <w:r w:rsidRPr="004134FF">
        <w:t>Annex to the petitioners’ brief of November 20, 2018.</w:t>
      </w:r>
    </w:p>
  </w:footnote>
  <w:footnote w:id="19">
    <w:p w14:paraId="3E12437E" w14:textId="3B860C14" w:rsidR="00E6692A" w:rsidRPr="00F409B3" w:rsidRDefault="00E6692A" w:rsidP="00E6692A">
      <w:pPr>
        <w:pStyle w:val="Textonotapie"/>
      </w:pPr>
      <w:r>
        <w:rPr>
          <w:rStyle w:val="Refdenotaalpie"/>
        </w:rPr>
        <w:footnoteRef/>
      </w:r>
      <w:r w:rsidRPr="00F409B3">
        <w:t xml:space="preserve"> </w:t>
      </w:r>
      <w:r w:rsidR="00177DB9">
        <w:t xml:space="preserve">Annex 16. </w:t>
      </w:r>
      <w:r w:rsidRPr="00F409B3">
        <w:t>Secretariat of the National Congress, Offici</w:t>
      </w:r>
      <w:r>
        <w:t xml:space="preserve">al Letter No. </w:t>
      </w:r>
      <w:r w:rsidRPr="00F409B3">
        <w:t>482-2012/CN of December 12,</w:t>
      </w:r>
      <w:r>
        <w:t xml:space="preserve"> </w:t>
      </w:r>
      <w:r w:rsidRPr="00F409B3">
        <w:t>2012</w:t>
      </w:r>
      <w:r>
        <w:t xml:space="preserve">; </w:t>
      </w:r>
      <w:r w:rsidRPr="00F409B3">
        <w:t>Secretariat of the National Congress</w:t>
      </w:r>
      <w:r>
        <w:t xml:space="preserve">, Certification of Session held on </w:t>
      </w:r>
      <w:r w:rsidRPr="00F409B3">
        <w:t>December 12,</w:t>
      </w:r>
      <w:r>
        <w:t xml:space="preserve"> </w:t>
      </w:r>
      <w:r w:rsidRPr="00F409B3">
        <w:t xml:space="preserve">2012. </w:t>
      </w:r>
      <w:r w:rsidRPr="00A4322F">
        <w:t>Annex</w:t>
      </w:r>
      <w:r>
        <w:t>es</w:t>
      </w:r>
      <w:r w:rsidRPr="00A4322F">
        <w:t xml:space="preserve"> to</w:t>
      </w:r>
      <w:r>
        <w:t xml:space="preserve"> the petitioners’ brief of November 20, </w:t>
      </w:r>
      <w:r w:rsidRPr="00A4322F">
        <w:t>2018</w:t>
      </w:r>
      <w:r w:rsidRPr="00F409B3">
        <w:t>.</w:t>
      </w:r>
    </w:p>
  </w:footnote>
  <w:footnote w:id="20">
    <w:p w14:paraId="5DB3FC95" w14:textId="07A71DAE" w:rsidR="00E6692A" w:rsidRPr="00F409B3" w:rsidRDefault="00E6692A" w:rsidP="00E6692A">
      <w:pPr>
        <w:pStyle w:val="Textonotapie"/>
      </w:pPr>
      <w:r>
        <w:rPr>
          <w:rStyle w:val="Refdenotaalpie"/>
        </w:rPr>
        <w:footnoteRef/>
      </w:r>
      <w:r w:rsidRPr="00F409B3">
        <w:t xml:space="preserve"> </w:t>
      </w:r>
      <w:r w:rsidR="00177DB9">
        <w:t xml:space="preserve">Annex. 17. </w:t>
      </w:r>
      <w:r w:rsidRPr="00F409B3">
        <w:t xml:space="preserve">Official Gazette of the Republic of Honduras, Decree No. 191-2012 </w:t>
      </w:r>
      <w:r>
        <w:t xml:space="preserve">of December </w:t>
      </w:r>
      <w:r w:rsidRPr="00F409B3">
        <w:t>29</w:t>
      </w:r>
      <w:r>
        <w:t xml:space="preserve">, </w:t>
      </w:r>
      <w:r w:rsidRPr="00F409B3">
        <w:t xml:space="preserve">2012. </w:t>
      </w:r>
      <w:r w:rsidRPr="00E566E3">
        <w:t>Annex to the initial petition of February 5, 2013</w:t>
      </w:r>
      <w:r w:rsidRPr="00F409B3">
        <w:t>.</w:t>
      </w:r>
    </w:p>
  </w:footnote>
  <w:footnote w:id="21">
    <w:p w14:paraId="5CEDC8BA" w14:textId="0388985B" w:rsidR="00E6692A" w:rsidRPr="00F409B3" w:rsidRDefault="00E6692A" w:rsidP="00E6692A">
      <w:pPr>
        <w:pStyle w:val="Textonotapie"/>
      </w:pPr>
      <w:r>
        <w:rPr>
          <w:rStyle w:val="Refdenotaalpie"/>
        </w:rPr>
        <w:footnoteRef/>
      </w:r>
      <w:r w:rsidRPr="00F409B3">
        <w:t xml:space="preserve"> </w:t>
      </w:r>
      <w:r w:rsidR="00177DB9">
        <w:t xml:space="preserve">Annex 17. </w:t>
      </w:r>
      <w:r w:rsidRPr="00F409B3">
        <w:t xml:space="preserve">Official Gazette of the Republic of Honduras, Decree No. 191-2012 </w:t>
      </w:r>
      <w:r>
        <w:t xml:space="preserve">of December </w:t>
      </w:r>
      <w:r w:rsidRPr="00F409B3">
        <w:t>29</w:t>
      </w:r>
      <w:r>
        <w:t xml:space="preserve">, </w:t>
      </w:r>
      <w:r w:rsidRPr="00F409B3">
        <w:t xml:space="preserve">2012. </w:t>
      </w:r>
      <w:r w:rsidRPr="00E566E3">
        <w:t>Annex to the initial petition of February 5, 2013</w:t>
      </w:r>
      <w:r w:rsidRPr="00F409B3">
        <w:t>.</w:t>
      </w:r>
    </w:p>
  </w:footnote>
  <w:footnote w:id="22">
    <w:p w14:paraId="293A774A" w14:textId="575F633C" w:rsidR="00E6692A" w:rsidRPr="00544BD8" w:rsidRDefault="00E6692A" w:rsidP="00E6692A">
      <w:pPr>
        <w:pStyle w:val="Textonotapie"/>
      </w:pPr>
      <w:r>
        <w:rPr>
          <w:rStyle w:val="Refdenotaalpie"/>
        </w:rPr>
        <w:footnoteRef/>
      </w:r>
      <w:r w:rsidRPr="0069691A">
        <w:t xml:space="preserve"> </w:t>
      </w:r>
      <w:r w:rsidR="00177DB9">
        <w:t xml:space="preserve">Annex 18. </w:t>
      </w:r>
      <w:r w:rsidRPr="0069691A">
        <w:t xml:space="preserve">Communiqué of December 12, 2012. </w:t>
      </w:r>
      <w:r w:rsidRPr="00E566E3">
        <w:t>Annex to the initial petition of February 5, 2013</w:t>
      </w:r>
      <w:r w:rsidRPr="00544BD8">
        <w:t>.</w:t>
      </w:r>
    </w:p>
  </w:footnote>
  <w:footnote w:id="23">
    <w:p w14:paraId="42FF250E" w14:textId="4A40978D" w:rsidR="00E6692A" w:rsidRPr="00544BD8" w:rsidRDefault="00E6692A" w:rsidP="00E6692A">
      <w:pPr>
        <w:pStyle w:val="Textonotapie"/>
      </w:pPr>
      <w:r>
        <w:rPr>
          <w:rStyle w:val="Refdenotaalpie"/>
        </w:rPr>
        <w:footnoteRef/>
      </w:r>
      <w:r w:rsidRPr="00CE212A">
        <w:t xml:space="preserve"> </w:t>
      </w:r>
      <w:r w:rsidR="00177DB9">
        <w:t xml:space="preserve">Annex19. </w:t>
      </w:r>
      <w:r w:rsidRPr="00CE212A">
        <w:t xml:space="preserve">Communiqué of December 13, 2012. </w:t>
      </w:r>
      <w:r w:rsidRPr="00E566E3">
        <w:t>Annex to the initial petition of February 5, 2013</w:t>
      </w:r>
      <w:r w:rsidRPr="00544BD8">
        <w:t>.</w:t>
      </w:r>
    </w:p>
  </w:footnote>
  <w:footnote w:id="24">
    <w:p w14:paraId="513D5563" w14:textId="4D6E7417" w:rsidR="00E6692A" w:rsidRPr="004134FF" w:rsidRDefault="00E6692A" w:rsidP="00E6692A">
      <w:pPr>
        <w:pStyle w:val="Textonotapie"/>
      </w:pPr>
      <w:r>
        <w:rPr>
          <w:rStyle w:val="Refdenotaalpie"/>
        </w:rPr>
        <w:footnoteRef/>
      </w:r>
      <w:r w:rsidRPr="00CE212A">
        <w:t xml:space="preserve"> </w:t>
      </w:r>
      <w:r w:rsidR="00177DB9">
        <w:t xml:space="preserve">Annex 20. </w:t>
      </w:r>
      <w:r w:rsidRPr="00CE212A">
        <w:t>Presidency of the Supreme Court of Justice, Of</w:t>
      </w:r>
      <w:r>
        <w:t xml:space="preserve">ficial Letter </w:t>
      </w:r>
      <w:r w:rsidRPr="00CE212A">
        <w:t xml:space="preserve">PCSJ N°001-2013 </w:t>
      </w:r>
      <w:r>
        <w:t>of January</w:t>
      </w:r>
      <w:r w:rsidRPr="00CE212A">
        <w:t xml:space="preserve"> 3</w:t>
      </w:r>
      <w:r>
        <w:t xml:space="preserve">, </w:t>
      </w:r>
      <w:r w:rsidRPr="00CE212A">
        <w:t xml:space="preserve">2013. </w:t>
      </w:r>
      <w:r w:rsidRPr="004134FF">
        <w:t xml:space="preserve">Annex to the initial petition of February 5, 2013. </w:t>
      </w:r>
    </w:p>
  </w:footnote>
  <w:footnote w:id="25">
    <w:p w14:paraId="3901A5DC" w14:textId="12B8D32D" w:rsidR="00E6692A" w:rsidRPr="00EF5907" w:rsidRDefault="00E6692A" w:rsidP="00E6692A">
      <w:pPr>
        <w:pStyle w:val="Textonotapie"/>
      </w:pPr>
      <w:r>
        <w:rPr>
          <w:rStyle w:val="Refdenotaalpie"/>
        </w:rPr>
        <w:footnoteRef/>
      </w:r>
      <w:r w:rsidRPr="00544BD8">
        <w:t xml:space="preserve"> </w:t>
      </w:r>
      <w:r w:rsidR="00177DB9">
        <w:t xml:space="preserve">Annex 21. </w:t>
      </w:r>
      <w:r w:rsidRPr="00544BD8">
        <w:t xml:space="preserve">Constitutional </w:t>
      </w:r>
      <w:r w:rsidRPr="009F1DF0">
        <w:rPr>
          <w:i/>
          <w:iCs/>
        </w:rPr>
        <w:t>amparo</w:t>
      </w:r>
      <w:r w:rsidRPr="00544BD8">
        <w:t xml:space="preserve"> action lodged by the alleged victims on December 12, 2012. </w:t>
      </w:r>
      <w:r w:rsidRPr="00EF5907">
        <w:t xml:space="preserve">Annex to the initial petition of February 5, 2013. </w:t>
      </w:r>
    </w:p>
  </w:footnote>
  <w:footnote w:id="26">
    <w:p w14:paraId="0F44BC2C" w14:textId="48E5BA14" w:rsidR="00E6692A" w:rsidRPr="00EF5907" w:rsidRDefault="00E6692A" w:rsidP="00E6692A">
      <w:pPr>
        <w:pStyle w:val="Textonotapie"/>
      </w:pPr>
      <w:r>
        <w:rPr>
          <w:rStyle w:val="Refdenotaalpie"/>
        </w:rPr>
        <w:footnoteRef/>
      </w:r>
      <w:r w:rsidRPr="00EF5907">
        <w:t xml:space="preserve"> </w:t>
      </w:r>
      <w:r w:rsidR="00177DB9">
        <w:t xml:space="preserve">Annex 22. </w:t>
      </w:r>
      <w:r w:rsidRPr="00EF5907">
        <w:t xml:space="preserve">Supreme Court of Justice, </w:t>
      </w:r>
      <w:r>
        <w:t>Resolution</w:t>
      </w:r>
      <w:r w:rsidRPr="00EF5907">
        <w:t xml:space="preserve"> of February 6, 2013. </w:t>
      </w:r>
      <w:r w:rsidRPr="00544BD8">
        <w:t>Annex to the petitioners’ communication of September 30, 2013</w:t>
      </w:r>
      <w:r>
        <w:t>.</w:t>
      </w:r>
    </w:p>
  </w:footnote>
  <w:footnote w:id="27">
    <w:p w14:paraId="5AF38FE4" w14:textId="57ED6DE6" w:rsidR="00E6692A" w:rsidRPr="00B01433" w:rsidRDefault="00E6692A" w:rsidP="00E6692A">
      <w:pPr>
        <w:pStyle w:val="Textonotapie"/>
      </w:pPr>
      <w:r>
        <w:rPr>
          <w:rStyle w:val="Refdenotaalpie"/>
        </w:rPr>
        <w:footnoteRef/>
      </w:r>
      <w:r w:rsidRPr="00B01433">
        <w:t xml:space="preserve"> </w:t>
      </w:r>
      <w:r w:rsidR="00177DB9">
        <w:t xml:space="preserve">Annex 21. </w:t>
      </w:r>
      <w:r w:rsidRPr="00544BD8">
        <w:t xml:space="preserve">Constitutional </w:t>
      </w:r>
      <w:r w:rsidRPr="009F1DF0">
        <w:rPr>
          <w:i/>
          <w:iCs/>
        </w:rPr>
        <w:t>amparo</w:t>
      </w:r>
      <w:r w:rsidRPr="00544BD8">
        <w:t xml:space="preserve"> action lodged by the alleged victims on December 12, 2012</w:t>
      </w:r>
      <w:r w:rsidRPr="00B01433">
        <w:t xml:space="preserve">. </w:t>
      </w:r>
      <w:r w:rsidRPr="00E566E3">
        <w:t>Annex to the initial petition of February 5, 2013</w:t>
      </w:r>
      <w:r w:rsidRPr="00B01433">
        <w:t>.</w:t>
      </w:r>
    </w:p>
  </w:footnote>
  <w:footnote w:id="28">
    <w:p w14:paraId="4CE4089A" w14:textId="6455F523" w:rsidR="00E6692A" w:rsidRPr="00B01433" w:rsidRDefault="00E6692A" w:rsidP="00E6692A">
      <w:pPr>
        <w:pStyle w:val="Textonotapie"/>
      </w:pPr>
      <w:r>
        <w:rPr>
          <w:rStyle w:val="Refdenotaalpie"/>
        </w:rPr>
        <w:footnoteRef/>
      </w:r>
      <w:r w:rsidRPr="00B01433">
        <w:t xml:space="preserve"> </w:t>
      </w:r>
      <w:r w:rsidR="00177DB9">
        <w:t xml:space="preserve">Annex 23. </w:t>
      </w:r>
      <w:r w:rsidRPr="00B01433">
        <w:t xml:space="preserve">Supreme Court of Justice, Special Constitutional Chamber, </w:t>
      </w:r>
      <w:r>
        <w:t>Resolution</w:t>
      </w:r>
      <w:r w:rsidRPr="00B01433">
        <w:t xml:space="preserve"> of January 29, 2013. </w:t>
      </w:r>
      <w:r w:rsidRPr="00544BD8">
        <w:t>Annex to the petitioners’ communication of September 30, 2013</w:t>
      </w:r>
      <w:r w:rsidRPr="00B01433">
        <w:t>.</w:t>
      </w:r>
    </w:p>
  </w:footnote>
  <w:footnote w:id="29">
    <w:p w14:paraId="632ACF90" w14:textId="708C0BAD" w:rsidR="00E6692A" w:rsidRPr="00426A2D" w:rsidRDefault="00E6692A" w:rsidP="00E6692A">
      <w:pPr>
        <w:pStyle w:val="Textonotapie"/>
      </w:pPr>
      <w:r>
        <w:rPr>
          <w:rStyle w:val="Refdenotaalpie"/>
        </w:rPr>
        <w:footnoteRef/>
      </w:r>
      <w:r w:rsidRPr="00426A2D">
        <w:t xml:space="preserve"> </w:t>
      </w:r>
      <w:r w:rsidR="00177DB9">
        <w:t xml:space="preserve">Annex 24. </w:t>
      </w:r>
      <w:r w:rsidRPr="00683BBF">
        <w:t>In</w:t>
      </w:r>
      <w:r>
        <w:t>di</w:t>
      </w:r>
      <w:r w:rsidRPr="00683BBF">
        <w:t xml:space="preserve">vidual dissenting vote of Justice Raúl Henriquez </w:t>
      </w:r>
      <w:proofErr w:type="spellStart"/>
      <w:r w:rsidRPr="00683BBF">
        <w:t>Interiano</w:t>
      </w:r>
      <w:proofErr w:type="spellEnd"/>
      <w:r w:rsidRPr="00683BBF">
        <w:t xml:space="preserve"> of February 4, 2013</w:t>
      </w:r>
      <w:r w:rsidRPr="00426A2D">
        <w:t xml:space="preserve">. </w:t>
      </w:r>
      <w:r w:rsidRPr="00544BD8">
        <w:t>Annex to the petitioners’ communication of September 30, 2013</w:t>
      </w:r>
      <w:r w:rsidRPr="00426A2D">
        <w:t>.</w:t>
      </w:r>
    </w:p>
  </w:footnote>
  <w:footnote w:id="30">
    <w:p w14:paraId="7C69BC6C" w14:textId="55AE2AAD" w:rsidR="00E6692A" w:rsidRPr="00426A2D" w:rsidRDefault="00E6692A" w:rsidP="00E6692A">
      <w:pPr>
        <w:pStyle w:val="Textonotapie"/>
      </w:pPr>
      <w:r>
        <w:rPr>
          <w:rStyle w:val="Refdenotaalpie"/>
        </w:rPr>
        <w:footnoteRef/>
      </w:r>
      <w:r w:rsidRPr="00426A2D">
        <w:t xml:space="preserve"> </w:t>
      </w:r>
      <w:r w:rsidR="00177DB9">
        <w:t xml:space="preserve">Annex 22. </w:t>
      </w:r>
      <w:r w:rsidRPr="00EF5907">
        <w:t xml:space="preserve">Supreme Court of Justice, </w:t>
      </w:r>
      <w:r>
        <w:t>Resolution</w:t>
      </w:r>
      <w:r w:rsidRPr="00B01433">
        <w:t xml:space="preserve"> </w:t>
      </w:r>
      <w:r w:rsidRPr="00EF5907">
        <w:t>of February 6, 2013</w:t>
      </w:r>
      <w:r w:rsidRPr="00426A2D">
        <w:t xml:space="preserve">. </w:t>
      </w:r>
      <w:r w:rsidRPr="00544BD8">
        <w:t>Annex to the petitioners’ communication of September 30, 2013</w:t>
      </w:r>
      <w:r w:rsidRPr="00426A2D">
        <w:t>.</w:t>
      </w:r>
    </w:p>
  </w:footnote>
  <w:footnote w:id="31">
    <w:p w14:paraId="7F6E77C3" w14:textId="52CAE2B4" w:rsidR="00E6692A" w:rsidRPr="00544BD8" w:rsidRDefault="00E6692A" w:rsidP="00E6692A">
      <w:pPr>
        <w:pStyle w:val="Textonotapie"/>
      </w:pPr>
      <w:r>
        <w:rPr>
          <w:rStyle w:val="Refdenotaalpie"/>
        </w:rPr>
        <w:footnoteRef/>
      </w:r>
      <w:r w:rsidRPr="00426A2D">
        <w:t xml:space="preserve"> </w:t>
      </w:r>
      <w:r w:rsidR="00177DB9">
        <w:t xml:space="preserve">Annex 22. </w:t>
      </w:r>
      <w:r w:rsidRPr="00EF5907">
        <w:t xml:space="preserve">Supreme Court of Justice, </w:t>
      </w:r>
      <w:r>
        <w:t>Resolution</w:t>
      </w:r>
      <w:r w:rsidRPr="00B01433">
        <w:t xml:space="preserve"> </w:t>
      </w:r>
      <w:r w:rsidRPr="00EF5907">
        <w:t>of February 6, 2013</w:t>
      </w:r>
      <w:r w:rsidRPr="00426A2D">
        <w:t xml:space="preserve">. </w:t>
      </w:r>
      <w:r w:rsidRPr="00544BD8">
        <w:t>Annex to the petitioners’ communication of September 30, 2013.</w:t>
      </w:r>
    </w:p>
  </w:footnote>
  <w:footnote w:id="32">
    <w:p w14:paraId="4BF56FD9" w14:textId="4F52ADF9" w:rsidR="00E6692A" w:rsidRPr="00544BD8" w:rsidRDefault="00E6692A" w:rsidP="00E6692A">
      <w:pPr>
        <w:pStyle w:val="Textonotapie"/>
      </w:pPr>
      <w:r>
        <w:rPr>
          <w:rStyle w:val="Refdenotaalpie"/>
        </w:rPr>
        <w:footnoteRef/>
      </w:r>
      <w:r w:rsidRPr="00683BBF">
        <w:t xml:space="preserve"> </w:t>
      </w:r>
      <w:r w:rsidR="00177DB9">
        <w:t xml:space="preserve">Annex 24. </w:t>
      </w:r>
      <w:r w:rsidRPr="00683BBF">
        <w:t>In</w:t>
      </w:r>
      <w:r>
        <w:t>di</w:t>
      </w:r>
      <w:r w:rsidRPr="00683BBF">
        <w:t xml:space="preserve">vidual dissenting vote of Justice Raúl Henriquez </w:t>
      </w:r>
      <w:proofErr w:type="spellStart"/>
      <w:r w:rsidRPr="00683BBF">
        <w:t>Interiano</w:t>
      </w:r>
      <w:proofErr w:type="spellEnd"/>
      <w:r w:rsidRPr="00683BBF">
        <w:t xml:space="preserve"> of February 4, 2013. </w:t>
      </w:r>
      <w:r w:rsidRPr="00544BD8">
        <w:t>Annex to the petitioners’ communication of September 30, 2013.</w:t>
      </w:r>
    </w:p>
  </w:footnote>
  <w:footnote w:id="33">
    <w:p w14:paraId="21D0A2FD" w14:textId="5ED2FF57" w:rsidR="00E6692A" w:rsidRPr="006C461E" w:rsidRDefault="00E6692A" w:rsidP="00E6692A">
      <w:pPr>
        <w:pStyle w:val="Textonotapie"/>
      </w:pPr>
      <w:r>
        <w:rPr>
          <w:rStyle w:val="Refdenotaalpie"/>
        </w:rPr>
        <w:footnoteRef/>
      </w:r>
      <w:r w:rsidRPr="006C461E">
        <w:t xml:space="preserve"> </w:t>
      </w:r>
      <w:r w:rsidR="00177DB9">
        <w:t xml:space="preserve">Annex 24. </w:t>
      </w:r>
      <w:r w:rsidRPr="00683BBF">
        <w:t>In</w:t>
      </w:r>
      <w:r>
        <w:t>di</w:t>
      </w:r>
      <w:r w:rsidRPr="00683BBF">
        <w:t xml:space="preserve">vidual dissenting vote of Justice Raúl Henriquez </w:t>
      </w:r>
      <w:proofErr w:type="spellStart"/>
      <w:r w:rsidRPr="00683BBF">
        <w:t>Interiano</w:t>
      </w:r>
      <w:proofErr w:type="spellEnd"/>
      <w:r w:rsidRPr="00683BBF">
        <w:t xml:space="preserve"> of February 4, 2013</w:t>
      </w:r>
      <w:r w:rsidRPr="006C461E">
        <w:t xml:space="preserve">. </w:t>
      </w:r>
      <w:r w:rsidRPr="00544BD8">
        <w:t>Annex to the petitioners’ communication of September 30, 2013</w:t>
      </w:r>
      <w:r w:rsidRPr="006C461E">
        <w:t>.</w:t>
      </w:r>
    </w:p>
  </w:footnote>
  <w:footnote w:id="34">
    <w:p w14:paraId="5C097E81" w14:textId="11DE06D6" w:rsidR="00E6692A" w:rsidRPr="00544BD8" w:rsidRDefault="00E6692A" w:rsidP="00E6692A">
      <w:pPr>
        <w:pStyle w:val="Textonotapie"/>
      </w:pPr>
      <w:r>
        <w:rPr>
          <w:rStyle w:val="Refdenotaalpie"/>
        </w:rPr>
        <w:footnoteRef/>
      </w:r>
      <w:r w:rsidRPr="00FC4244">
        <w:t xml:space="preserve"> </w:t>
      </w:r>
      <w:r w:rsidR="00177DB9">
        <w:t xml:space="preserve">Annex 25. </w:t>
      </w:r>
      <w:r w:rsidRPr="00FC4244">
        <w:t xml:space="preserve">Appeal for review lodged on February 13, 2013. </w:t>
      </w:r>
      <w:r w:rsidRPr="00544BD8">
        <w:t>Annex to the petitioners’ communication of September 30, 2013.</w:t>
      </w:r>
    </w:p>
  </w:footnote>
  <w:footnote w:id="35">
    <w:p w14:paraId="7346F659" w14:textId="43FF8515" w:rsidR="00E6692A" w:rsidRPr="00FC4244" w:rsidRDefault="00E6692A" w:rsidP="00E6692A">
      <w:pPr>
        <w:pStyle w:val="Textonotapie"/>
      </w:pPr>
      <w:r>
        <w:rPr>
          <w:rStyle w:val="Refdenotaalpie"/>
        </w:rPr>
        <w:footnoteRef/>
      </w:r>
      <w:r w:rsidRPr="00FC4244">
        <w:t xml:space="preserve"> </w:t>
      </w:r>
      <w:r w:rsidR="00177DB9">
        <w:t xml:space="preserve">Annex 25. </w:t>
      </w:r>
      <w:r w:rsidRPr="00FC4244">
        <w:t xml:space="preserve">Appeal for review lodged on February 13, 2013. </w:t>
      </w:r>
      <w:r w:rsidRPr="00544BD8">
        <w:t>Annex to the petitioners’ communication of</w:t>
      </w:r>
      <w:r w:rsidRPr="00FC4244">
        <w:t xml:space="preserve"> N</w:t>
      </w:r>
      <w:r>
        <w:t xml:space="preserve">ovember </w:t>
      </w:r>
      <w:r w:rsidRPr="00FC4244">
        <w:t>20</w:t>
      </w:r>
      <w:r>
        <w:t xml:space="preserve">, </w:t>
      </w:r>
      <w:r w:rsidRPr="00FC4244">
        <w:t>2018.</w:t>
      </w:r>
    </w:p>
  </w:footnote>
  <w:footnote w:id="36">
    <w:p w14:paraId="0465AC39" w14:textId="3405B1D4" w:rsidR="00E6692A" w:rsidRPr="004134FF" w:rsidRDefault="00E6692A" w:rsidP="00E6692A">
      <w:pPr>
        <w:pStyle w:val="Textonotapie"/>
      </w:pPr>
      <w:r>
        <w:rPr>
          <w:rStyle w:val="Refdenotaalpie"/>
        </w:rPr>
        <w:footnoteRef/>
      </w:r>
      <w:r w:rsidRPr="005D5187">
        <w:t xml:space="preserve"> </w:t>
      </w:r>
      <w:r w:rsidR="00177DB9">
        <w:t xml:space="preserve">Annex 26. </w:t>
      </w:r>
      <w:r w:rsidRPr="005D5187">
        <w:t xml:space="preserve">Supreme Court of Justice, </w:t>
      </w:r>
      <w:r>
        <w:t>Resolution</w:t>
      </w:r>
      <w:r w:rsidRPr="005D5187">
        <w:t xml:space="preserve"> of February</w:t>
      </w:r>
      <w:r>
        <w:t xml:space="preserve"> </w:t>
      </w:r>
      <w:r w:rsidRPr="005D5187">
        <w:t>18</w:t>
      </w:r>
      <w:r>
        <w:t xml:space="preserve">, </w:t>
      </w:r>
      <w:r w:rsidRPr="005D5187">
        <w:t xml:space="preserve">2013. </w:t>
      </w:r>
      <w:r w:rsidRPr="00544BD8">
        <w:t>Annex to the petitioners’ communication of September 30, 2013</w:t>
      </w:r>
      <w:r w:rsidRPr="004134FF">
        <w:t>.</w:t>
      </w:r>
    </w:p>
  </w:footnote>
  <w:footnote w:id="37">
    <w:p w14:paraId="4B8CABCC" w14:textId="5F85A9B8" w:rsidR="00E6692A" w:rsidRPr="00BA5C07" w:rsidRDefault="00E6692A" w:rsidP="00E6692A">
      <w:pPr>
        <w:pStyle w:val="Textonotapie"/>
      </w:pPr>
      <w:r>
        <w:rPr>
          <w:rStyle w:val="Refdenotaalpie"/>
        </w:rPr>
        <w:footnoteRef/>
      </w:r>
      <w:r w:rsidRPr="00BA5C07">
        <w:t xml:space="preserve"> </w:t>
      </w:r>
      <w:r w:rsidR="00177DB9" w:rsidRPr="00BA5C07">
        <w:t xml:space="preserve">Annex 27. </w:t>
      </w:r>
      <w:r w:rsidRPr="00BA5C07">
        <w:rPr>
          <w:i/>
          <w:iCs/>
        </w:rPr>
        <w:t>El Heraldo</w:t>
      </w:r>
      <w:r w:rsidRPr="00BA5C07">
        <w:t xml:space="preserve">, press report, </w:t>
      </w:r>
      <w:r w:rsidRPr="00BA5C07">
        <w:rPr>
          <w:i/>
          <w:iCs/>
        </w:rPr>
        <w:t>“Totalmente de acuerdo con salida de magistrados,”</w:t>
      </w:r>
      <w:r w:rsidRPr="00BA5C07">
        <w:t xml:space="preserve"> Thursday, December 20, 2012. Annex to the initial petition of February 5, 2013. </w:t>
      </w:r>
    </w:p>
  </w:footnote>
  <w:footnote w:id="38">
    <w:p w14:paraId="6EA78793" w14:textId="7F4EAC80" w:rsidR="00E6692A" w:rsidRPr="00D848A4" w:rsidRDefault="00E6692A" w:rsidP="00E6692A">
      <w:pPr>
        <w:pStyle w:val="Textonotapie"/>
      </w:pPr>
      <w:r>
        <w:rPr>
          <w:rStyle w:val="Refdenotaalpie"/>
        </w:rPr>
        <w:footnoteRef/>
      </w:r>
      <w:r w:rsidRPr="00BA5C07">
        <w:t xml:space="preserve"> </w:t>
      </w:r>
      <w:r w:rsidR="00177DB9" w:rsidRPr="00BA5C07">
        <w:t xml:space="preserve">Annex 28. </w:t>
      </w:r>
      <w:r w:rsidRPr="00BA5C07">
        <w:t xml:space="preserve">Press report, </w:t>
      </w:r>
      <w:r w:rsidRPr="00BA5C07">
        <w:rPr>
          <w:i/>
          <w:iCs/>
        </w:rPr>
        <w:t>El Heraldo</w:t>
      </w:r>
      <w:r w:rsidRPr="00BA5C07">
        <w:t xml:space="preserve">: </w:t>
      </w:r>
      <w:r w:rsidRPr="00BA5C07">
        <w:rPr>
          <w:i/>
          <w:iCs/>
        </w:rPr>
        <w:t>Avilés concertó propuestas de nuevos magistrados</w:t>
      </w:r>
      <w:r w:rsidRPr="00BA5C07">
        <w:t xml:space="preserve">, April 7, 2014, available at </w:t>
      </w:r>
      <w:hyperlink r:id="rId4" w:history="1">
        <w:r w:rsidRPr="00BA5C07">
          <w:rPr>
            <w:rStyle w:val="Hipervnculo"/>
          </w:rPr>
          <w:t>https://www.elheraldo.hn/alfrente/565674-209/aviles-concerto-propuestas-de-nuevos-magistrados</w:t>
        </w:r>
      </w:hyperlink>
      <w:r w:rsidRPr="00BA5C07">
        <w:t xml:space="preserve">. </w:t>
      </w:r>
      <w:r w:rsidRPr="00544BD8">
        <w:t xml:space="preserve">Annex to the petitioners’ </w:t>
      </w:r>
      <w:r>
        <w:t>brief</w:t>
      </w:r>
      <w:r w:rsidRPr="00544BD8">
        <w:t xml:space="preserve"> of</w:t>
      </w:r>
      <w:r w:rsidRPr="00FC4244">
        <w:t xml:space="preserve"> N</w:t>
      </w:r>
      <w:r>
        <w:t xml:space="preserve">ovember </w:t>
      </w:r>
      <w:r w:rsidRPr="00FC4244">
        <w:t>20</w:t>
      </w:r>
      <w:r>
        <w:t xml:space="preserve">, </w:t>
      </w:r>
      <w:r w:rsidRPr="00FC4244">
        <w:t>2018</w:t>
      </w:r>
      <w:r w:rsidRPr="00D848A4">
        <w:t>.</w:t>
      </w:r>
    </w:p>
  </w:footnote>
  <w:footnote w:id="39">
    <w:p w14:paraId="2C0903C5" w14:textId="068B68A7" w:rsidR="00E6692A" w:rsidRPr="00D848A4" w:rsidRDefault="00E6692A" w:rsidP="00E6692A">
      <w:pPr>
        <w:pStyle w:val="Textonotapie"/>
      </w:pPr>
      <w:r>
        <w:rPr>
          <w:rStyle w:val="Refdenotaalpie"/>
        </w:rPr>
        <w:footnoteRef/>
      </w:r>
      <w:r w:rsidRPr="00DC7194">
        <w:t xml:space="preserve"> </w:t>
      </w:r>
      <w:r w:rsidR="00177DB9">
        <w:t xml:space="preserve">Annex 29. </w:t>
      </w:r>
      <w:r w:rsidRPr="00DC7194">
        <w:t xml:space="preserve">National Human Rights Commission, Report on the institutional crisis of the State of Honduras </w:t>
      </w:r>
      <w:proofErr w:type="gramStart"/>
      <w:r w:rsidRPr="00DC7194">
        <w:t>as a result of</w:t>
      </w:r>
      <w:proofErr w:type="gramEnd"/>
      <w:r w:rsidRPr="00DC7194">
        <w:t xml:space="preserve"> the </w:t>
      </w:r>
      <w:r>
        <w:t>replacement</w:t>
      </w:r>
      <w:r w:rsidRPr="00DC7194">
        <w:t xml:space="preserve"> of four of the five justices of the Constitutional Chamber of the judiciary based on the December 12, 2102, decision by the legislative branch, January 4, 2013. </w:t>
      </w:r>
      <w:r w:rsidRPr="00962CE5">
        <w:t>Annex to the initial petition of February 5, 2013</w:t>
      </w:r>
      <w:r w:rsidRPr="00D848A4">
        <w:t xml:space="preserve">. </w:t>
      </w:r>
    </w:p>
  </w:footnote>
  <w:footnote w:id="40">
    <w:p w14:paraId="70E26FA9" w14:textId="258EDB61" w:rsidR="00E6692A" w:rsidRPr="004134FF" w:rsidRDefault="00E6692A" w:rsidP="00E6692A">
      <w:pPr>
        <w:pStyle w:val="Textonotapie"/>
      </w:pPr>
      <w:r>
        <w:rPr>
          <w:rStyle w:val="Refdenotaalpie"/>
        </w:rPr>
        <w:footnoteRef/>
      </w:r>
      <w:r w:rsidRPr="00235801">
        <w:t xml:space="preserve"> </w:t>
      </w:r>
      <w:r w:rsidR="00177DB9">
        <w:t xml:space="preserve">Annex 30. </w:t>
      </w:r>
      <w:r w:rsidRPr="00235801">
        <w:t xml:space="preserve">IACHR, Press Release No. 3/13, “In View of Situation in Honduras, IACHR Stresses Importance of Principle of Independence of the Judiciary,” </w:t>
      </w:r>
      <w:r>
        <w:t xml:space="preserve">January </w:t>
      </w:r>
      <w:r w:rsidRPr="004134FF">
        <w:t>3</w:t>
      </w:r>
      <w:r>
        <w:t xml:space="preserve">, </w:t>
      </w:r>
      <w:r w:rsidRPr="004134FF">
        <w:t xml:space="preserve">2013. </w:t>
      </w:r>
      <w:r w:rsidRPr="00E566E3">
        <w:t>Annex to the initial petition of February 5, 2013</w:t>
      </w:r>
      <w:r w:rsidRPr="004134FF">
        <w:t>.</w:t>
      </w:r>
    </w:p>
  </w:footnote>
  <w:footnote w:id="41">
    <w:p w14:paraId="39E29118" w14:textId="5E0149A5" w:rsidR="00E6692A" w:rsidRPr="00D848A4" w:rsidRDefault="00E6692A" w:rsidP="00E6692A">
      <w:pPr>
        <w:pStyle w:val="Textonotapie"/>
      </w:pPr>
      <w:r>
        <w:rPr>
          <w:rStyle w:val="Refdenotaalpie"/>
        </w:rPr>
        <w:footnoteRef/>
      </w:r>
      <w:r w:rsidRPr="00962CE5">
        <w:t xml:space="preserve"> </w:t>
      </w:r>
      <w:r w:rsidR="00177DB9">
        <w:t xml:space="preserve">Annex 31. </w:t>
      </w:r>
      <w:r w:rsidRPr="00962CE5">
        <w:t>United Nations Special Rapporteur on the independence of judges</w:t>
      </w:r>
      <w:r>
        <w:t xml:space="preserve"> and lawyers, Press release [in Spanish] of January 29, </w:t>
      </w:r>
      <w:r w:rsidRPr="00962CE5">
        <w:t xml:space="preserve">2013. </w:t>
      </w:r>
      <w:r w:rsidRPr="00544BD8">
        <w:t xml:space="preserve">Annex to the petitioners’ </w:t>
      </w:r>
      <w:r>
        <w:t>brief</w:t>
      </w:r>
      <w:r w:rsidRPr="00544BD8">
        <w:t xml:space="preserve"> of</w:t>
      </w:r>
      <w:r w:rsidRPr="00FC4244">
        <w:t xml:space="preserve"> N</w:t>
      </w:r>
      <w:r>
        <w:t xml:space="preserve">ovember </w:t>
      </w:r>
      <w:r w:rsidRPr="00FC4244">
        <w:t>20</w:t>
      </w:r>
      <w:r>
        <w:t xml:space="preserve">, </w:t>
      </w:r>
      <w:r w:rsidRPr="00FC4244">
        <w:t>2018</w:t>
      </w:r>
      <w:r w:rsidRPr="00D848A4">
        <w:t>.</w:t>
      </w:r>
    </w:p>
  </w:footnote>
  <w:footnote w:id="42">
    <w:p w14:paraId="43E5125F" w14:textId="01EEA3D8" w:rsidR="00E6692A" w:rsidRPr="0069691A" w:rsidRDefault="00E6692A" w:rsidP="00E6692A">
      <w:pPr>
        <w:pStyle w:val="Textonotapie"/>
      </w:pPr>
      <w:r>
        <w:rPr>
          <w:rStyle w:val="Refdenotaalpie"/>
        </w:rPr>
        <w:footnoteRef/>
      </w:r>
      <w:r w:rsidRPr="00BA5C07">
        <w:t xml:space="preserve"> </w:t>
      </w:r>
      <w:r w:rsidR="00177DB9" w:rsidRPr="00BA5C07">
        <w:t xml:space="preserve">Annex 32. </w:t>
      </w:r>
      <w:r w:rsidRPr="00BA5C07">
        <w:t xml:space="preserve">Press report, </w:t>
      </w:r>
      <w:r w:rsidRPr="00BA5C07">
        <w:rPr>
          <w:i/>
          <w:iCs/>
        </w:rPr>
        <w:t>Proceso Digital</w:t>
      </w:r>
      <w:r w:rsidRPr="00BA5C07">
        <w:t xml:space="preserve">: </w:t>
      </w:r>
      <w:r w:rsidRPr="00BA5C07">
        <w:rPr>
          <w:i/>
          <w:iCs/>
        </w:rPr>
        <w:t>Por amenazas salió del país ex magistrado José Antonio Gutiérrez Navas</w:t>
      </w:r>
      <w:r w:rsidRPr="00BA5C07">
        <w:t xml:space="preserve">, available at </w:t>
      </w:r>
      <w:hyperlink r:id="rId5" w:anchor=":~:text=Tegucigalpa%2D%20El%20ex%20magistrado%20de,amenazas%20por%20la%20v%C3%ADa%20telef%C3%B3nica" w:history="1">
        <w:r w:rsidRPr="00BA5C07">
          <w:rPr>
            <w:rStyle w:val="Hipervnculo"/>
          </w:rPr>
          <w:t>https://proceso.hn/por-amenazas-salio-del-pais-ex-magistrado-jose-antonio-gutierrez-navas/#:~:text=Tegucigalpa%2D%20El%20ex%20magistrado%20de,amenazas%20por%20la%20v%C3%ADa%20telef%C3%B3nica</w:t>
        </w:r>
      </w:hyperlink>
      <w:r w:rsidRPr="00BA5C07">
        <w:t xml:space="preserve">. </w:t>
      </w:r>
      <w:r w:rsidRPr="0069691A">
        <w:t>Annex to the petitioners’ brief of November 20, 2018.</w:t>
      </w:r>
    </w:p>
  </w:footnote>
  <w:footnote w:id="43">
    <w:p w14:paraId="45FE9962" w14:textId="0CB32039" w:rsidR="00E6692A" w:rsidRPr="007910BB" w:rsidRDefault="00E6692A" w:rsidP="00E6692A">
      <w:pPr>
        <w:pStyle w:val="Textonotapie"/>
      </w:pPr>
      <w:r>
        <w:rPr>
          <w:rStyle w:val="Refdenotaalpie"/>
        </w:rPr>
        <w:footnoteRef/>
      </w:r>
      <w:r w:rsidRPr="00BA5C07">
        <w:t xml:space="preserve"> </w:t>
      </w:r>
      <w:r w:rsidR="00177DB9" w:rsidRPr="00BA5C07">
        <w:t xml:space="preserve">Annex 33. </w:t>
      </w:r>
      <w:r w:rsidRPr="00BA5C07">
        <w:t xml:space="preserve">Press report, </w:t>
      </w:r>
      <w:r w:rsidRPr="00BA5C07">
        <w:rPr>
          <w:i/>
          <w:iCs/>
        </w:rPr>
        <w:t>La Tribuna</w:t>
      </w:r>
      <w:r w:rsidRPr="00BA5C07">
        <w:t xml:space="preserve">: </w:t>
      </w:r>
      <w:r w:rsidRPr="00BA5C07">
        <w:rPr>
          <w:i/>
          <w:iCs/>
        </w:rPr>
        <w:t>Ex magistrado abandona el país por amenaza de muerte</w:t>
      </w:r>
      <w:r w:rsidRPr="00BA5C07">
        <w:t xml:space="preserve">, December 18, 2012. </w:t>
      </w:r>
      <w:r w:rsidRPr="00544BD8">
        <w:t xml:space="preserve">Annex to the petitioners’ </w:t>
      </w:r>
      <w:r>
        <w:t>brief</w:t>
      </w:r>
      <w:r w:rsidRPr="00544BD8">
        <w:t xml:space="preserve"> of</w:t>
      </w:r>
      <w:r w:rsidRPr="00FC4244">
        <w:t xml:space="preserve"> N</w:t>
      </w:r>
      <w:r>
        <w:t xml:space="preserve">ovember </w:t>
      </w:r>
      <w:r w:rsidRPr="00FC4244">
        <w:t>20</w:t>
      </w:r>
      <w:r>
        <w:t xml:space="preserve">, </w:t>
      </w:r>
      <w:r w:rsidRPr="00FC4244">
        <w:t>2018</w:t>
      </w:r>
      <w:r w:rsidRPr="007910BB">
        <w:t>.</w:t>
      </w:r>
    </w:p>
  </w:footnote>
  <w:footnote w:id="44">
    <w:p w14:paraId="534F1A65" w14:textId="15ACC79A" w:rsidR="00E6692A" w:rsidRPr="007910BB" w:rsidRDefault="00E6692A" w:rsidP="00E6692A">
      <w:pPr>
        <w:pStyle w:val="Textonotapie"/>
        <w:ind w:left="720" w:hanging="720"/>
      </w:pPr>
      <w:r>
        <w:rPr>
          <w:rStyle w:val="Refdenotaalpie"/>
        </w:rPr>
        <w:footnoteRef/>
      </w:r>
      <w:r w:rsidRPr="007910BB">
        <w:t xml:space="preserve"> </w:t>
      </w:r>
      <w:r w:rsidR="005C23AF">
        <w:t xml:space="preserve">Annex 34. </w:t>
      </w:r>
      <w:r w:rsidRPr="007910BB">
        <w:t>Complaint to COFADEH on August 19,</w:t>
      </w:r>
      <w:r>
        <w:t xml:space="preserve"> </w:t>
      </w:r>
      <w:r w:rsidRPr="007910BB">
        <w:t>2014. Annex to the petitioners’ brief of No</w:t>
      </w:r>
      <w:r>
        <w:t xml:space="preserve">vember </w:t>
      </w:r>
      <w:r w:rsidRPr="007910BB">
        <w:t>20</w:t>
      </w:r>
      <w:r>
        <w:t xml:space="preserve">, </w:t>
      </w:r>
      <w:r w:rsidRPr="007910BB">
        <w:t>2018.</w:t>
      </w:r>
    </w:p>
  </w:footnote>
  <w:footnote w:id="45">
    <w:p w14:paraId="1CB46DB5" w14:textId="4C10DA54" w:rsidR="00E6692A" w:rsidRPr="00336C88" w:rsidRDefault="00E6692A" w:rsidP="00E6692A">
      <w:pPr>
        <w:pStyle w:val="Textonotapie"/>
      </w:pPr>
      <w:r>
        <w:rPr>
          <w:rStyle w:val="Refdenotaalpie"/>
        </w:rPr>
        <w:footnoteRef/>
      </w:r>
      <w:r w:rsidRPr="00220C78">
        <w:t xml:space="preserve"> </w:t>
      </w:r>
      <w:r w:rsidR="005C23AF">
        <w:t xml:space="preserve">Annex 35. </w:t>
      </w:r>
      <w:r w:rsidRPr="00220C78">
        <w:t xml:space="preserve">Complaint by Justice Rosalinda Cruz to the National Human Rights Commission, February 22, 2013. </w:t>
      </w:r>
      <w:r w:rsidRPr="007910BB">
        <w:t>Annex to the petitioners’ brief of No</w:t>
      </w:r>
      <w:r>
        <w:t xml:space="preserve">vember </w:t>
      </w:r>
      <w:r w:rsidRPr="007910BB">
        <w:t>20</w:t>
      </w:r>
      <w:r>
        <w:t xml:space="preserve">, </w:t>
      </w:r>
      <w:r w:rsidRPr="007910BB">
        <w:t>2018</w:t>
      </w:r>
      <w:r w:rsidRPr="00336C88">
        <w:t>.</w:t>
      </w:r>
    </w:p>
  </w:footnote>
  <w:footnote w:id="46">
    <w:p w14:paraId="50E18A80" w14:textId="77777777" w:rsidR="00E6692A" w:rsidRPr="00D848A4" w:rsidRDefault="00E6692A" w:rsidP="00E6692A">
      <w:pPr>
        <w:pStyle w:val="Textonotapie"/>
      </w:pPr>
      <w:r>
        <w:rPr>
          <w:rStyle w:val="Refdenotaalpie"/>
        </w:rPr>
        <w:footnoteRef/>
      </w:r>
      <w:r w:rsidRPr="00D848A4">
        <w:t xml:space="preserve"> Petitioners’ brief of November 20, 2018.</w:t>
      </w:r>
    </w:p>
  </w:footnote>
  <w:footnote w:id="47">
    <w:p w14:paraId="778B30DB" w14:textId="77777777" w:rsidR="00E6692A" w:rsidRPr="00F51BB3" w:rsidRDefault="00E6692A" w:rsidP="00E6692A">
      <w:pPr>
        <w:pStyle w:val="Textonotapie"/>
        <w:rPr>
          <w:color w:val="auto"/>
        </w:rPr>
      </w:pPr>
      <w:r w:rsidRPr="00BE6681">
        <w:rPr>
          <w:rStyle w:val="Refdenotaalpie"/>
          <w:color w:val="auto"/>
        </w:rPr>
        <w:footnoteRef/>
      </w:r>
      <w:r w:rsidRPr="00F51BB3">
        <w:rPr>
          <w:color w:val="auto"/>
        </w:rPr>
        <w:t xml:space="preserve"> IACHR, Report No. 65/11, Case 12.600, Merits, Hugo Quintana </w:t>
      </w:r>
      <w:proofErr w:type="spellStart"/>
      <w:r w:rsidRPr="00F51BB3">
        <w:rPr>
          <w:color w:val="auto"/>
        </w:rPr>
        <w:t>Coello</w:t>
      </w:r>
      <w:proofErr w:type="spellEnd"/>
      <w:r w:rsidRPr="00F51BB3">
        <w:rPr>
          <w:color w:val="auto"/>
        </w:rPr>
        <w:t xml:space="preserve"> and Others, “Justices of the Supreme Court,” Ecuador, March 31</w:t>
      </w:r>
      <w:r>
        <w:rPr>
          <w:color w:val="auto"/>
        </w:rPr>
        <w:t xml:space="preserve">, </w:t>
      </w:r>
      <w:r w:rsidRPr="00F51BB3">
        <w:rPr>
          <w:color w:val="auto"/>
        </w:rPr>
        <w:t>2011, p</w:t>
      </w:r>
      <w:r>
        <w:rPr>
          <w:color w:val="auto"/>
        </w:rPr>
        <w:t>ar</w:t>
      </w:r>
      <w:r w:rsidRPr="00F51BB3">
        <w:rPr>
          <w:color w:val="auto"/>
        </w:rPr>
        <w:t xml:space="preserve">. 102; </w:t>
      </w:r>
      <w:r>
        <w:rPr>
          <w:color w:val="auto"/>
        </w:rPr>
        <w:t>I/A Court H.R.,</w:t>
      </w:r>
      <w:r w:rsidRPr="00F51BB3">
        <w:rPr>
          <w:color w:val="auto"/>
        </w:rPr>
        <w:t xml:space="preserve"> </w:t>
      </w:r>
      <w:hyperlink r:id="rId6" w:history="1">
        <w:r w:rsidRPr="00E4132B">
          <w:rPr>
            <w:rStyle w:val="Hipervnculo"/>
            <w:rFonts w:cs="Arial"/>
            <w:i/>
            <w:iCs/>
            <w:color w:val="auto"/>
            <w:u w:val="none"/>
            <w:shd w:val="clear" w:color="auto" w:fill="FFFFFF"/>
          </w:rPr>
          <w:t xml:space="preserve">Case of </w:t>
        </w:r>
        <w:proofErr w:type="spellStart"/>
        <w:r w:rsidRPr="00E4132B">
          <w:rPr>
            <w:rStyle w:val="Hipervnculo"/>
            <w:rFonts w:cs="Arial"/>
            <w:i/>
            <w:iCs/>
            <w:color w:val="auto"/>
            <w:u w:val="none"/>
            <w:shd w:val="clear" w:color="auto" w:fill="FFFFFF"/>
          </w:rPr>
          <w:t>Baena</w:t>
        </w:r>
        <w:proofErr w:type="spellEnd"/>
        <w:r w:rsidRPr="00E4132B">
          <w:rPr>
            <w:rStyle w:val="Hipervnculo"/>
            <w:rFonts w:cs="Arial"/>
            <w:i/>
            <w:iCs/>
            <w:color w:val="auto"/>
            <w:u w:val="none"/>
            <w:shd w:val="clear" w:color="auto" w:fill="FFFFFF"/>
          </w:rPr>
          <w:t xml:space="preserve"> Ricardo et al. v. Panama</w:t>
        </w:r>
        <w:r>
          <w:rPr>
            <w:rStyle w:val="Hipervnculo"/>
            <w:rFonts w:cs="Arial"/>
            <w:color w:val="auto"/>
            <w:u w:val="none"/>
            <w:shd w:val="clear" w:color="auto" w:fill="FFFFFF"/>
          </w:rPr>
          <w:t xml:space="preserve">, Merits, Reparations, and Costs, Judgment of February 2, </w:t>
        </w:r>
        <w:r w:rsidRPr="00F51BB3">
          <w:rPr>
            <w:rStyle w:val="Hipervnculo"/>
            <w:rFonts w:cs="Arial"/>
            <w:color w:val="auto"/>
            <w:u w:val="none"/>
            <w:shd w:val="clear" w:color="auto" w:fill="FFFFFF"/>
          </w:rPr>
          <w:t>2001</w:t>
        </w:r>
        <w:r>
          <w:rPr>
            <w:rStyle w:val="Hipervnculo"/>
            <w:rFonts w:cs="Arial"/>
            <w:color w:val="auto"/>
            <w:u w:val="none"/>
            <w:shd w:val="clear" w:color="auto" w:fill="FFFFFF"/>
          </w:rPr>
          <w:t>,</w:t>
        </w:r>
        <w:r w:rsidRPr="00F51BB3">
          <w:rPr>
            <w:rStyle w:val="Hipervnculo"/>
            <w:rFonts w:cs="Arial"/>
            <w:color w:val="auto"/>
            <w:u w:val="none"/>
            <w:shd w:val="clear" w:color="auto" w:fill="FFFFFF"/>
          </w:rPr>
          <w:t xml:space="preserve"> Series C No. 72</w:t>
        </w:r>
      </w:hyperlink>
      <w:r w:rsidRPr="00F51BB3">
        <w:rPr>
          <w:color w:val="auto"/>
        </w:rPr>
        <w:t xml:space="preserve">, </w:t>
      </w:r>
      <w:r>
        <w:rPr>
          <w:color w:val="auto"/>
        </w:rPr>
        <w:t>paras</w:t>
      </w:r>
      <w:r w:rsidRPr="00F51BB3">
        <w:rPr>
          <w:color w:val="auto"/>
        </w:rPr>
        <w:t xml:space="preserve">. 126-127; </w:t>
      </w:r>
      <w:hyperlink r:id="rId7" w:history="1">
        <w:r w:rsidRPr="00E4132B">
          <w:rPr>
            <w:rStyle w:val="Hipervnculo"/>
            <w:rFonts w:cs="Arial"/>
            <w:i/>
            <w:iCs/>
            <w:color w:val="auto"/>
            <w:u w:val="none"/>
            <w:shd w:val="clear" w:color="auto" w:fill="FFFFFF"/>
          </w:rPr>
          <w:t>Case of the Constitutional Court v. Peru</w:t>
        </w:r>
        <w:r w:rsidRPr="00F51BB3">
          <w:rPr>
            <w:rStyle w:val="Hipervnculo"/>
            <w:rFonts w:cs="Arial"/>
            <w:color w:val="auto"/>
            <w:u w:val="none"/>
            <w:shd w:val="clear" w:color="auto" w:fill="FFFFFF"/>
          </w:rPr>
          <w:t>, Merits, Reparations, and Costs, Judgment of January 31,</w:t>
        </w:r>
        <w:r>
          <w:rPr>
            <w:rStyle w:val="Hipervnculo"/>
            <w:rFonts w:cs="Arial"/>
            <w:color w:val="auto"/>
            <w:u w:val="none"/>
            <w:shd w:val="clear" w:color="auto" w:fill="FFFFFF"/>
          </w:rPr>
          <w:t xml:space="preserve"> 2001, Series </w:t>
        </w:r>
        <w:r w:rsidRPr="00F51BB3">
          <w:rPr>
            <w:rStyle w:val="Hipervnculo"/>
            <w:rFonts w:cs="Arial"/>
            <w:color w:val="auto"/>
            <w:u w:val="none"/>
            <w:shd w:val="clear" w:color="auto" w:fill="FFFFFF"/>
          </w:rPr>
          <w:t>C No. 71</w:t>
        </w:r>
      </w:hyperlink>
      <w:r w:rsidRPr="00F51BB3">
        <w:rPr>
          <w:color w:val="auto"/>
        </w:rPr>
        <w:t xml:space="preserve">, </w:t>
      </w:r>
      <w:r>
        <w:rPr>
          <w:color w:val="auto"/>
        </w:rPr>
        <w:t>paras</w:t>
      </w:r>
      <w:r w:rsidRPr="00F51BB3">
        <w:rPr>
          <w:color w:val="auto"/>
        </w:rPr>
        <w:t xml:space="preserve">. 69-70; and </w:t>
      </w:r>
      <w:hyperlink r:id="rId8" w:history="1">
        <w:r w:rsidRPr="00E4132B">
          <w:rPr>
            <w:rStyle w:val="Hipervnculo"/>
            <w:rFonts w:cs="Arial"/>
            <w:i/>
            <w:iCs/>
            <w:color w:val="auto"/>
            <w:u w:val="none"/>
            <w:shd w:val="clear" w:color="auto" w:fill="FFFFFF"/>
          </w:rPr>
          <w:t>Case of López Mendoza v. Venezuela</w:t>
        </w:r>
        <w:r w:rsidRPr="00F51BB3">
          <w:rPr>
            <w:rStyle w:val="Hipervnculo"/>
            <w:rFonts w:cs="Arial"/>
            <w:color w:val="auto"/>
            <w:u w:val="none"/>
            <w:shd w:val="clear" w:color="auto" w:fill="FFFFFF"/>
          </w:rPr>
          <w:t>, Merits, Reparations, and Costs, Judgment of</w:t>
        </w:r>
        <w:r>
          <w:rPr>
            <w:rStyle w:val="Hipervnculo"/>
            <w:rFonts w:cs="Arial"/>
            <w:color w:val="auto"/>
            <w:u w:val="none"/>
            <w:shd w:val="clear" w:color="auto" w:fill="FFFFFF"/>
          </w:rPr>
          <w:t xml:space="preserve"> September 1, </w:t>
        </w:r>
        <w:r w:rsidRPr="00F51BB3">
          <w:rPr>
            <w:rStyle w:val="Hipervnculo"/>
            <w:rFonts w:cs="Arial"/>
            <w:color w:val="auto"/>
            <w:u w:val="none"/>
            <w:shd w:val="clear" w:color="auto" w:fill="FFFFFF"/>
          </w:rPr>
          <w:t>2011</w:t>
        </w:r>
        <w:r>
          <w:rPr>
            <w:rStyle w:val="Hipervnculo"/>
            <w:rFonts w:cs="Arial"/>
            <w:color w:val="auto"/>
            <w:u w:val="none"/>
            <w:shd w:val="clear" w:color="auto" w:fill="FFFFFF"/>
          </w:rPr>
          <w:t>,</w:t>
        </w:r>
        <w:r w:rsidRPr="00F51BB3">
          <w:rPr>
            <w:rStyle w:val="Hipervnculo"/>
            <w:rFonts w:cs="Arial"/>
            <w:color w:val="auto"/>
            <w:u w:val="none"/>
            <w:shd w:val="clear" w:color="auto" w:fill="FFFFFF"/>
          </w:rPr>
          <w:t xml:space="preserve"> Serie</w:t>
        </w:r>
        <w:r>
          <w:rPr>
            <w:rStyle w:val="Hipervnculo"/>
            <w:rFonts w:cs="Arial"/>
            <w:color w:val="auto"/>
            <w:u w:val="none"/>
            <w:shd w:val="clear" w:color="auto" w:fill="FFFFFF"/>
          </w:rPr>
          <w:t>s</w:t>
        </w:r>
        <w:r w:rsidRPr="00F51BB3">
          <w:rPr>
            <w:rStyle w:val="Hipervnculo"/>
            <w:rFonts w:cs="Arial"/>
            <w:color w:val="auto"/>
            <w:u w:val="none"/>
            <w:shd w:val="clear" w:color="auto" w:fill="FFFFFF"/>
          </w:rPr>
          <w:t xml:space="preserve"> C No. 233</w:t>
        </w:r>
      </w:hyperlink>
      <w:r w:rsidRPr="00F51BB3">
        <w:rPr>
          <w:color w:val="auto"/>
        </w:rPr>
        <w:t xml:space="preserve">, </w:t>
      </w:r>
      <w:r>
        <w:rPr>
          <w:color w:val="auto"/>
        </w:rPr>
        <w:t>par</w:t>
      </w:r>
      <w:r w:rsidRPr="00F51BB3">
        <w:rPr>
          <w:color w:val="auto"/>
        </w:rPr>
        <w:t xml:space="preserve">. 111. </w:t>
      </w:r>
    </w:p>
  </w:footnote>
  <w:footnote w:id="48">
    <w:p w14:paraId="31DE3207" w14:textId="77777777" w:rsidR="00E6692A" w:rsidRPr="00D848A4" w:rsidRDefault="00E6692A" w:rsidP="00E6692A">
      <w:pPr>
        <w:pStyle w:val="Textonotapie"/>
        <w:rPr>
          <w:color w:val="auto"/>
        </w:rPr>
      </w:pPr>
      <w:r w:rsidRPr="00BE6681">
        <w:rPr>
          <w:rStyle w:val="Refdenotaalpie"/>
          <w:color w:val="auto"/>
        </w:rPr>
        <w:footnoteRef/>
      </w:r>
      <w:r w:rsidRPr="00B24BC7">
        <w:rPr>
          <w:color w:val="auto"/>
        </w:rPr>
        <w:t xml:space="preserve"> IACHR, </w:t>
      </w:r>
      <w:r w:rsidRPr="002315C2">
        <w:rPr>
          <w:i/>
          <w:iCs/>
          <w:color w:val="auto"/>
        </w:rPr>
        <w:t>Access to Justice as a Guarantee of Economic, Social, and Cultural Rights. A Review of the Standards Adopted by the Inter-American System of Human Rights</w:t>
      </w:r>
      <w:r>
        <w:rPr>
          <w:color w:val="auto"/>
        </w:rPr>
        <w:t xml:space="preserve">, </w:t>
      </w:r>
      <w:r w:rsidRPr="00B24BC7">
        <w:rPr>
          <w:color w:val="auto"/>
        </w:rPr>
        <w:t>OEA/</w:t>
      </w:r>
      <w:proofErr w:type="spellStart"/>
      <w:r w:rsidRPr="00B24BC7">
        <w:rPr>
          <w:color w:val="auto"/>
        </w:rPr>
        <w:t>Ser.L</w:t>
      </w:r>
      <w:proofErr w:type="spellEnd"/>
      <w:r w:rsidRPr="00B24BC7">
        <w:rPr>
          <w:color w:val="auto"/>
        </w:rPr>
        <w:t>/V/II.129</w:t>
      </w:r>
      <w:r>
        <w:rPr>
          <w:color w:val="auto"/>
        </w:rPr>
        <w:t>, September</w:t>
      </w:r>
      <w:r w:rsidRPr="00B24BC7">
        <w:rPr>
          <w:color w:val="auto"/>
        </w:rPr>
        <w:t xml:space="preserve"> 7</w:t>
      </w:r>
      <w:r>
        <w:rPr>
          <w:color w:val="auto"/>
        </w:rPr>
        <w:t xml:space="preserve">, </w:t>
      </w:r>
      <w:r w:rsidRPr="00B24BC7">
        <w:rPr>
          <w:color w:val="auto"/>
        </w:rPr>
        <w:t xml:space="preserve">2007, </w:t>
      </w:r>
      <w:r>
        <w:rPr>
          <w:color w:val="auto"/>
        </w:rPr>
        <w:t>paras</w:t>
      </w:r>
      <w:r w:rsidRPr="00B24BC7">
        <w:rPr>
          <w:color w:val="auto"/>
        </w:rPr>
        <w:t xml:space="preserve">. </w:t>
      </w:r>
      <w:r w:rsidRPr="005F5E5D">
        <w:rPr>
          <w:color w:val="auto"/>
        </w:rPr>
        <w:t xml:space="preserve">98-123; and Case No. 12.828, Report 112/12, Marcel </w:t>
      </w:r>
      <w:proofErr w:type="spellStart"/>
      <w:r w:rsidRPr="005F5E5D">
        <w:rPr>
          <w:color w:val="auto"/>
        </w:rPr>
        <w:t>Granier</w:t>
      </w:r>
      <w:proofErr w:type="spellEnd"/>
      <w:r w:rsidRPr="005F5E5D">
        <w:rPr>
          <w:color w:val="auto"/>
        </w:rPr>
        <w:t xml:space="preserve"> et al., Venezuela, Merits, November 9, 2012, par. </w:t>
      </w:r>
      <w:r w:rsidRPr="00BE6681">
        <w:rPr>
          <w:color w:val="auto"/>
          <w:lang w:val="pt-BR"/>
        </w:rPr>
        <w:t xml:space="preserve">188; </w:t>
      </w:r>
      <w:r>
        <w:rPr>
          <w:color w:val="auto"/>
          <w:lang w:val="pt-BR"/>
        </w:rPr>
        <w:t xml:space="preserve">IACHR, </w:t>
      </w:r>
      <w:proofErr w:type="spellStart"/>
      <w:r>
        <w:rPr>
          <w:color w:val="auto"/>
          <w:lang w:val="pt-BR"/>
        </w:rPr>
        <w:t>Report</w:t>
      </w:r>
      <w:proofErr w:type="spellEnd"/>
      <w:r>
        <w:rPr>
          <w:color w:val="auto"/>
          <w:lang w:val="pt-BR"/>
        </w:rPr>
        <w:t xml:space="preserve"> </w:t>
      </w:r>
      <w:r w:rsidRPr="00BE6681">
        <w:rPr>
          <w:color w:val="auto"/>
          <w:lang w:val="pt-BR"/>
        </w:rPr>
        <w:t>No. 42/14</w:t>
      </w:r>
      <w:r>
        <w:rPr>
          <w:color w:val="auto"/>
          <w:lang w:val="pt-BR"/>
        </w:rPr>
        <w:t>,</w:t>
      </w:r>
      <w:r w:rsidRPr="00BE6681">
        <w:rPr>
          <w:color w:val="auto"/>
          <w:lang w:val="pt-BR"/>
        </w:rPr>
        <w:t xml:space="preserve"> Cas</w:t>
      </w:r>
      <w:r>
        <w:rPr>
          <w:color w:val="auto"/>
          <w:lang w:val="pt-BR"/>
        </w:rPr>
        <w:t>e</w:t>
      </w:r>
      <w:r w:rsidRPr="00BE6681">
        <w:rPr>
          <w:color w:val="auto"/>
          <w:lang w:val="pt-BR"/>
        </w:rPr>
        <w:t xml:space="preserve"> 12.453</w:t>
      </w:r>
      <w:r>
        <w:rPr>
          <w:color w:val="auto"/>
          <w:lang w:val="pt-BR"/>
        </w:rPr>
        <w:t xml:space="preserve">, </w:t>
      </w:r>
      <w:proofErr w:type="spellStart"/>
      <w:r>
        <w:rPr>
          <w:color w:val="auto"/>
          <w:lang w:val="pt-BR"/>
        </w:rPr>
        <w:t>Merits</w:t>
      </w:r>
      <w:proofErr w:type="spellEnd"/>
      <w:r>
        <w:rPr>
          <w:color w:val="auto"/>
          <w:lang w:val="pt-BR"/>
        </w:rPr>
        <w:t>,</w:t>
      </w:r>
      <w:r w:rsidRPr="00BE6681">
        <w:rPr>
          <w:color w:val="auto"/>
          <w:lang w:val="pt-BR"/>
        </w:rPr>
        <w:t xml:space="preserve"> Olga Yolanda Maldonado </w:t>
      </w:r>
      <w:proofErr w:type="spellStart"/>
      <w:r w:rsidRPr="00BE6681">
        <w:rPr>
          <w:color w:val="auto"/>
          <w:lang w:val="pt-BR"/>
        </w:rPr>
        <w:t>Ordoñez</w:t>
      </w:r>
      <w:proofErr w:type="spellEnd"/>
      <w:r>
        <w:rPr>
          <w:color w:val="auto"/>
          <w:lang w:val="pt-BR"/>
        </w:rPr>
        <w:t>,</w:t>
      </w:r>
      <w:r w:rsidRPr="00BE6681">
        <w:rPr>
          <w:color w:val="auto"/>
          <w:lang w:val="pt-BR"/>
        </w:rPr>
        <w:t xml:space="preserve"> Guatemala</w:t>
      </w:r>
      <w:r>
        <w:rPr>
          <w:color w:val="auto"/>
          <w:lang w:val="pt-BR"/>
        </w:rPr>
        <w:t xml:space="preserve">, July </w:t>
      </w:r>
      <w:r w:rsidRPr="00BE6681">
        <w:rPr>
          <w:color w:val="auto"/>
          <w:lang w:val="pt-BR"/>
        </w:rPr>
        <w:t>17</w:t>
      </w:r>
      <w:r>
        <w:rPr>
          <w:color w:val="auto"/>
          <w:lang w:val="pt-BR"/>
        </w:rPr>
        <w:t>,</w:t>
      </w:r>
      <w:r w:rsidRPr="00BE6681">
        <w:rPr>
          <w:color w:val="auto"/>
          <w:lang w:val="pt-BR"/>
        </w:rPr>
        <w:t xml:space="preserve"> 2014</w:t>
      </w:r>
      <w:r>
        <w:rPr>
          <w:color w:val="auto"/>
          <w:lang w:val="pt-BR"/>
        </w:rPr>
        <w:t xml:space="preserve">, par. </w:t>
      </w:r>
      <w:r w:rsidRPr="00BE6681">
        <w:rPr>
          <w:color w:val="auto"/>
          <w:lang w:val="pt-BR"/>
        </w:rPr>
        <w:t xml:space="preserve">69; </w:t>
      </w:r>
      <w:r>
        <w:rPr>
          <w:color w:val="auto"/>
        </w:rPr>
        <w:t>I/A Court H.R.,</w:t>
      </w:r>
      <w:r w:rsidRPr="00F51BB3">
        <w:rPr>
          <w:color w:val="auto"/>
        </w:rPr>
        <w:t xml:space="preserve"> </w:t>
      </w:r>
      <w:hyperlink r:id="rId9" w:history="1">
        <w:r w:rsidRPr="008340D4">
          <w:rPr>
            <w:rStyle w:val="Hipervnculo"/>
            <w:rFonts w:cs="Arial"/>
            <w:i/>
            <w:iCs/>
            <w:color w:val="auto"/>
            <w:u w:val="none"/>
            <w:shd w:val="clear" w:color="auto" w:fill="FFFFFF"/>
          </w:rPr>
          <w:t xml:space="preserve">Case of </w:t>
        </w:r>
        <w:proofErr w:type="spellStart"/>
        <w:r w:rsidRPr="008340D4">
          <w:rPr>
            <w:rStyle w:val="Hipervnculo"/>
            <w:rFonts w:cs="Arial"/>
            <w:i/>
            <w:iCs/>
            <w:color w:val="auto"/>
            <w:u w:val="none"/>
            <w:shd w:val="clear" w:color="auto" w:fill="FFFFFF"/>
          </w:rPr>
          <w:t>Baena</w:t>
        </w:r>
        <w:proofErr w:type="spellEnd"/>
        <w:r w:rsidRPr="008340D4">
          <w:rPr>
            <w:rStyle w:val="Hipervnculo"/>
            <w:rFonts w:cs="Arial"/>
            <w:i/>
            <w:iCs/>
            <w:color w:val="auto"/>
            <w:u w:val="none"/>
            <w:shd w:val="clear" w:color="auto" w:fill="FFFFFF"/>
          </w:rPr>
          <w:t xml:space="preserve"> Ricardo et al. v. Panama</w:t>
        </w:r>
        <w:r>
          <w:rPr>
            <w:rStyle w:val="Hipervnculo"/>
            <w:rFonts w:cs="Arial"/>
            <w:color w:val="auto"/>
            <w:u w:val="none"/>
            <w:shd w:val="clear" w:color="auto" w:fill="FFFFFF"/>
          </w:rPr>
          <w:t xml:space="preserve">, Merits, Reparations, and Costs, Judgment of February 2, </w:t>
        </w:r>
        <w:r w:rsidRPr="00F51BB3">
          <w:rPr>
            <w:rStyle w:val="Hipervnculo"/>
            <w:rFonts w:cs="Arial"/>
            <w:color w:val="auto"/>
            <w:u w:val="none"/>
            <w:shd w:val="clear" w:color="auto" w:fill="FFFFFF"/>
          </w:rPr>
          <w:t>2001</w:t>
        </w:r>
        <w:r>
          <w:rPr>
            <w:rStyle w:val="Hipervnculo"/>
            <w:rFonts w:cs="Arial"/>
            <w:color w:val="auto"/>
            <w:u w:val="none"/>
            <w:shd w:val="clear" w:color="auto" w:fill="FFFFFF"/>
          </w:rPr>
          <w:t>,</w:t>
        </w:r>
        <w:r w:rsidRPr="00F51BB3">
          <w:rPr>
            <w:rStyle w:val="Hipervnculo"/>
            <w:rFonts w:cs="Arial"/>
            <w:color w:val="auto"/>
            <w:u w:val="none"/>
            <w:shd w:val="clear" w:color="auto" w:fill="FFFFFF"/>
          </w:rPr>
          <w:t xml:space="preserve"> Series C No. 72</w:t>
        </w:r>
      </w:hyperlink>
      <w:r w:rsidRPr="00F51BB3">
        <w:rPr>
          <w:color w:val="auto"/>
        </w:rPr>
        <w:t xml:space="preserve">, </w:t>
      </w:r>
      <w:r>
        <w:rPr>
          <w:color w:val="auto"/>
        </w:rPr>
        <w:t>paras</w:t>
      </w:r>
      <w:r w:rsidRPr="00F51BB3">
        <w:rPr>
          <w:color w:val="auto"/>
        </w:rPr>
        <w:t xml:space="preserve">. </w:t>
      </w:r>
      <w:r w:rsidRPr="00D848A4">
        <w:rPr>
          <w:color w:val="auto"/>
        </w:rPr>
        <w:t>126-127.</w:t>
      </w:r>
    </w:p>
  </w:footnote>
  <w:footnote w:id="49">
    <w:p w14:paraId="343202BF" w14:textId="77777777" w:rsidR="00E6692A" w:rsidRPr="00C378BF" w:rsidRDefault="00E6692A" w:rsidP="00E6692A">
      <w:pPr>
        <w:jc w:val="both"/>
        <w:rPr>
          <w:rFonts w:asciiTheme="majorHAnsi" w:eastAsia="Times New Roman" w:hAnsiTheme="majorHAnsi"/>
          <w:sz w:val="16"/>
          <w:szCs w:val="16"/>
        </w:rPr>
      </w:pPr>
      <w:r w:rsidRPr="00BE6681">
        <w:rPr>
          <w:rStyle w:val="Refdenotaalpie"/>
          <w:rFonts w:asciiTheme="majorHAnsi" w:hAnsiTheme="majorHAnsi"/>
          <w:sz w:val="16"/>
          <w:szCs w:val="16"/>
        </w:rPr>
        <w:footnoteRef/>
      </w:r>
      <w:r w:rsidRPr="0094176E">
        <w:rPr>
          <w:rFonts w:asciiTheme="majorHAnsi" w:hAnsiTheme="majorHAnsi"/>
          <w:sz w:val="16"/>
          <w:szCs w:val="16"/>
        </w:rPr>
        <w:t xml:space="preserve"> IACHR, Report </w:t>
      </w:r>
      <w:r>
        <w:rPr>
          <w:rFonts w:asciiTheme="majorHAnsi" w:hAnsiTheme="majorHAnsi"/>
          <w:sz w:val="16"/>
          <w:szCs w:val="16"/>
        </w:rPr>
        <w:t xml:space="preserve">on </w:t>
      </w:r>
      <w:r w:rsidRPr="0094176E">
        <w:rPr>
          <w:rFonts w:asciiTheme="majorHAnsi" w:hAnsiTheme="majorHAnsi"/>
          <w:sz w:val="16"/>
          <w:szCs w:val="16"/>
        </w:rPr>
        <w:t>Merits 12.816, Report No. 103/13, November 5, 2013, p</w:t>
      </w:r>
      <w:r>
        <w:rPr>
          <w:rFonts w:asciiTheme="majorHAnsi" w:hAnsiTheme="majorHAnsi"/>
          <w:sz w:val="16"/>
          <w:szCs w:val="16"/>
        </w:rPr>
        <w:t>ar</w:t>
      </w:r>
      <w:r w:rsidRPr="0094176E">
        <w:rPr>
          <w:rFonts w:asciiTheme="majorHAnsi" w:hAnsiTheme="majorHAnsi"/>
          <w:sz w:val="16"/>
          <w:szCs w:val="16"/>
        </w:rPr>
        <w:t>. 112</w:t>
      </w:r>
      <w:r>
        <w:rPr>
          <w:rFonts w:asciiTheme="majorHAnsi" w:hAnsiTheme="majorHAnsi"/>
          <w:sz w:val="16"/>
          <w:szCs w:val="16"/>
        </w:rPr>
        <w:t xml:space="preserve">, citing United Nations, Human Rights Committee, General Comment No. </w:t>
      </w:r>
      <w:r w:rsidRPr="0094176E">
        <w:rPr>
          <w:rFonts w:asciiTheme="majorHAnsi" w:eastAsia="Times New Roman" w:hAnsiTheme="majorHAnsi"/>
          <w:sz w:val="16"/>
          <w:szCs w:val="16"/>
        </w:rPr>
        <w:t>32, CCPR/C/GC/32, August 23, 2007, par.</w:t>
      </w:r>
      <w:r>
        <w:rPr>
          <w:rFonts w:asciiTheme="majorHAnsi" w:eastAsia="Times New Roman" w:hAnsiTheme="majorHAnsi"/>
          <w:sz w:val="16"/>
          <w:szCs w:val="16"/>
        </w:rPr>
        <w:t xml:space="preserve"> </w:t>
      </w:r>
      <w:r w:rsidRPr="0094176E">
        <w:rPr>
          <w:rFonts w:asciiTheme="majorHAnsi" w:eastAsia="Times New Roman" w:hAnsiTheme="majorHAnsi"/>
          <w:sz w:val="16"/>
          <w:szCs w:val="16"/>
        </w:rPr>
        <w:t xml:space="preserve">19. </w:t>
      </w:r>
      <w:r w:rsidRPr="005B0E0C">
        <w:rPr>
          <w:rFonts w:asciiTheme="majorHAnsi" w:eastAsia="Times New Roman" w:hAnsiTheme="majorHAnsi"/>
          <w:sz w:val="16"/>
          <w:szCs w:val="16"/>
        </w:rPr>
        <w:t xml:space="preserve">In that same connection, </w:t>
      </w:r>
      <w:r w:rsidRPr="00191D78">
        <w:rPr>
          <w:rFonts w:asciiTheme="majorHAnsi" w:eastAsia="Times New Roman" w:hAnsiTheme="majorHAnsi"/>
          <w:sz w:val="16"/>
          <w:szCs w:val="16"/>
        </w:rPr>
        <w:t>see I/A Court H.R.,</w:t>
      </w:r>
      <w:r>
        <w:rPr>
          <w:rFonts w:asciiTheme="majorHAnsi" w:eastAsia="Times New Roman" w:hAnsiTheme="majorHAnsi"/>
          <w:sz w:val="16"/>
          <w:szCs w:val="16"/>
        </w:rPr>
        <w:t xml:space="preserve"> </w:t>
      </w:r>
      <w:r w:rsidRPr="005B0E0C">
        <w:rPr>
          <w:rFonts w:asciiTheme="majorHAnsi" w:eastAsia="Times New Roman" w:hAnsiTheme="majorHAnsi"/>
          <w:i/>
          <w:iCs/>
          <w:sz w:val="16"/>
          <w:szCs w:val="16"/>
        </w:rPr>
        <w:t>Habeas Corpus in Emergency Situations (Arts. 27(2), 25(1) and 7(6) American Convention on Human Rights</w:t>
      </w:r>
      <w:r w:rsidRPr="005B0E0C">
        <w:rPr>
          <w:rFonts w:asciiTheme="majorHAnsi" w:eastAsia="Times New Roman" w:hAnsiTheme="majorHAnsi"/>
          <w:sz w:val="16"/>
          <w:szCs w:val="16"/>
        </w:rPr>
        <w:t>)</w:t>
      </w:r>
      <w:r>
        <w:rPr>
          <w:rFonts w:asciiTheme="majorHAnsi" w:eastAsia="Times New Roman" w:hAnsiTheme="majorHAnsi"/>
          <w:sz w:val="16"/>
          <w:szCs w:val="16"/>
        </w:rPr>
        <w:t xml:space="preserve">, Advisory Opinion </w:t>
      </w:r>
      <w:r w:rsidRPr="005B0E0C">
        <w:rPr>
          <w:rFonts w:asciiTheme="majorHAnsi" w:eastAsia="Times New Roman" w:hAnsiTheme="majorHAnsi"/>
          <w:sz w:val="16"/>
          <w:szCs w:val="16"/>
        </w:rPr>
        <w:t xml:space="preserve">OC-8/87 </w:t>
      </w:r>
      <w:r>
        <w:rPr>
          <w:rFonts w:asciiTheme="majorHAnsi" w:eastAsia="Times New Roman" w:hAnsiTheme="majorHAnsi"/>
          <w:sz w:val="16"/>
          <w:szCs w:val="16"/>
        </w:rPr>
        <w:t>of January 3</w:t>
      </w:r>
      <w:r w:rsidRPr="005B0E0C">
        <w:rPr>
          <w:rFonts w:asciiTheme="majorHAnsi" w:eastAsia="Times New Roman" w:hAnsiTheme="majorHAnsi"/>
          <w:sz w:val="16"/>
          <w:szCs w:val="16"/>
        </w:rPr>
        <w:t>0</w:t>
      </w:r>
      <w:r>
        <w:rPr>
          <w:rFonts w:asciiTheme="majorHAnsi" w:eastAsia="Times New Roman" w:hAnsiTheme="majorHAnsi"/>
          <w:sz w:val="16"/>
          <w:szCs w:val="16"/>
        </w:rPr>
        <w:t xml:space="preserve">, </w:t>
      </w:r>
      <w:r w:rsidRPr="005B0E0C">
        <w:rPr>
          <w:rFonts w:asciiTheme="majorHAnsi" w:eastAsia="Times New Roman" w:hAnsiTheme="majorHAnsi"/>
          <w:sz w:val="16"/>
          <w:szCs w:val="16"/>
        </w:rPr>
        <w:t>1987</w:t>
      </w:r>
      <w:r>
        <w:rPr>
          <w:rFonts w:asciiTheme="majorHAnsi" w:eastAsia="Times New Roman" w:hAnsiTheme="majorHAnsi"/>
          <w:sz w:val="16"/>
          <w:szCs w:val="16"/>
        </w:rPr>
        <w:t>,</w:t>
      </w:r>
      <w:r w:rsidRPr="005B0E0C">
        <w:rPr>
          <w:rFonts w:asciiTheme="majorHAnsi" w:eastAsia="Times New Roman" w:hAnsiTheme="majorHAnsi"/>
          <w:sz w:val="16"/>
          <w:szCs w:val="16"/>
        </w:rPr>
        <w:t xml:space="preserve"> Serie</w:t>
      </w:r>
      <w:r>
        <w:rPr>
          <w:rFonts w:asciiTheme="majorHAnsi" w:eastAsia="Times New Roman" w:hAnsiTheme="majorHAnsi"/>
          <w:sz w:val="16"/>
          <w:szCs w:val="16"/>
        </w:rPr>
        <w:t>s</w:t>
      </w:r>
      <w:r w:rsidRPr="005B0E0C">
        <w:rPr>
          <w:rFonts w:asciiTheme="majorHAnsi" w:eastAsia="Times New Roman" w:hAnsiTheme="majorHAnsi"/>
          <w:sz w:val="16"/>
          <w:szCs w:val="16"/>
        </w:rPr>
        <w:t xml:space="preserve"> A No. 8, </w:t>
      </w:r>
      <w:r>
        <w:rPr>
          <w:rFonts w:asciiTheme="majorHAnsi" w:eastAsia="Times New Roman" w:hAnsiTheme="majorHAnsi"/>
          <w:sz w:val="16"/>
          <w:szCs w:val="16"/>
        </w:rPr>
        <w:t>par</w:t>
      </w:r>
      <w:r w:rsidRPr="005B0E0C">
        <w:rPr>
          <w:rFonts w:asciiTheme="majorHAnsi" w:eastAsia="Times New Roman" w:hAnsiTheme="majorHAnsi"/>
          <w:sz w:val="16"/>
          <w:szCs w:val="16"/>
        </w:rPr>
        <w:t>. 30.</w:t>
      </w:r>
      <w:r w:rsidRPr="005B0E0C">
        <w:rPr>
          <w:rFonts w:asciiTheme="majorHAnsi" w:hAnsiTheme="majorHAnsi"/>
          <w:sz w:val="16"/>
          <w:szCs w:val="16"/>
        </w:rPr>
        <w:t xml:space="preserve"> See also IACHR, </w:t>
      </w:r>
      <w:r w:rsidRPr="005B0E0C">
        <w:rPr>
          <w:rFonts w:asciiTheme="majorHAnsi" w:hAnsiTheme="majorHAnsi"/>
          <w:i/>
          <w:iCs/>
          <w:sz w:val="16"/>
          <w:szCs w:val="16"/>
        </w:rPr>
        <w:t>Democracy and Human Rights in Venezuela</w:t>
      </w:r>
      <w:r w:rsidRPr="005B0E0C">
        <w:rPr>
          <w:rFonts w:asciiTheme="majorHAnsi" w:hAnsiTheme="majorHAnsi"/>
          <w:sz w:val="16"/>
          <w:szCs w:val="16"/>
        </w:rPr>
        <w:t xml:space="preserve">, </w:t>
      </w:r>
      <w:r>
        <w:rPr>
          <w:rFonts w:asciiTheme="majorHAnsi" w:hAnsiTheme="majorHAnsi"/>
          <w:sz w:val="16"/>
          <w:szCs w:val="16"/>
        </w:rPr>
        <w:t xml:space="preserve">Ch. </w:t>
      </w:r>
      <w:r w:rsidRPr="00C378BF">
        <w:rPr>
          <w:rFonts w:asciiTheme="majorHAnsi" w:hAnsiTheme="majorHAnsi"/>
          <w:sz w:val="16"/>
          <w:szCs w:val="16"/>
        </w:rPr>
        <w:t>III, Independence and Separation of Public Powers, December 30, 2009, par. 80.</w:t>
      </w:r>
    </w:p>
  </w:footnote>
  <w:footnote w:id="50">
    <w:p w14:paraId="7DA028CF" w14:textId="77777777" w:rsidR="00E6692A" w:rsidRPr="00CF514D" w:rsidRDefault="00E6692A" w:rsidP="00E6692A">
      <w:pPr>
        <w:pStyle w:val="Textonotapie"/>
      </w:pPr>
      <w:r w:rsidRPr="00BE6681">
        <w:rPr>
          <w:vertAlign w:val="superscript"/>
          <w:lang w:val="es-CO"/>
        </w:rPr>
        <w:footnoteRef/>
      </w:r>
      <w:r w:rsidRPr="00CF514D">
        <w:t xml:space="preserve"> I/A Court H.R., </w:t>
      </w:r>
      <w:r w:rsidRPr="00CF514D">
        <w:rPr>
          <w:i/>
          <w:iCs/>
        </w:rPr>
        <w:t xml:space="preserve">Case of </w:t>
      </w:r>
      <w:proofErr w:type="spellStart"/>
      <w:r w:rsidRPr="00CF514D">
        <w:rPr>
          <w:i/>
          <w:iCs/>
        </w:rPr>
        <w:t>Reverón</w:t>
      </w:r>
      <w:proofErr w:type="spellEnd"/>
      <w:r w:rsidRPr="00CF514D">
        <w:rPr>
          <w:i/>
          <w:iCs/>
        </w:rPr>
        <w:t xml:space="preserve"> Trujillo v. Venezuela</w:t>
      </w:r>
      <w:r w:rsidRPr="00CF514D">
        <w:t xml:space="preserve">, Preliminary Objection, Merits, Reparations, and Costs, Judgment of June 30, 2009, Series C No. 197, par. 67; IACHR, </w:t>
      </w:r>
      <w:r w:rsidRPr="00CF514D">
        <w:rPr>
          <w:i/>
          <w:iCs/>
        </w:rPr>
        <w:t>Democracy and Human Rights</w:t>
      </w:r>
      <w:r w:rsidRPr="00CF514D">
        <w:t xml:space="preserve">, December 30, 2009, par. 185; IACHR, </w:t>
      </w:r>
      <w:r w:rsidRPr="000F5E9C">
        <w:rPr>
          <w:i/>
          <w:iCs/>
        </w:rPr>
        <w:t xml:space="preserve">Second Report </w:t>
      </w:r>
      <w:proofErr w:type="gramStart"/>
      <w:r w:rsidRPr="000F5E9C">
        <w:rPr>
          <w:i/>
          <w:iCs/>
        </w:rPr>
        <w:t>on the Situation of</w:t>
      </w:r>
      <w:proofErr w:type="gramEnd"/>
      <w:r w:rsidRPr="000F5E9C">
        <w:rPr>
          <w:i/>
          <w:iCs/>
        </w:rPr>
        <w:t xml:space="preserve"> Human Rights Defenders in the Americas</w:t>
      </w:r>
      <w:r>
        <w:t xml:space="preserve">, December 31, </w:t>
      </w:r>
      <w:r w:rsidRPr="00CF514D">
        <w:t xml:space="preserve">2011, </w:t>
      </w:r>
      <w:r>
        <w:t>par</w:t>
      </w:r>
      <w:r w:rsidRPr="00CF514D">
        <w:t xml:space="preserve">. 359. </w:t>
      </w:r>
    </w:p>
  </w:footnote>
  <w:footnote w:id="51">
    <w:p w14:paraId="044A7BB9" w14:textId="77777777" w:rsidR="00E6692A" w:rsidRPr="009C74D1" w:rsidRDefault="00E6692A" w:rsidP="00E6692A">
      <w:pPr>
        <w:pStyle w:val="Textonotapie"/>
      </w:pPr>
      <w:r w:rsidRPr="00BE6681">
        <w:rPr>
          <w:vertAlign w:val="superscript"/>
          <w:lang w:val="es-CO"/>
        </w:rPr>
        <w:footnoteRef/>
      </w:r>
      <w:r w:rsidRPr="00A945E3">
        <w:t xml:space="preserve"> Thus, for example, the Inter-American Court has indicated that the State’s obligations toward parties before the courts result, at the same time, in “rights for the judges.” The Court has indicated, among other things, that “the guarantee that they will not be subject to a discretional removal implies that the disciplinary and punishing processes of </w:t>
      </w:r>
      <w:r w:rsidRPr="00191D78">
        <w:t xml:space="preserve">judges must necessarily respect the guarantees of the due process and shall offer those affected an effective remedy.” I/A Court H.R., </w:t>
      </w:r>
      <w:r w:rsidRPr="00191D78">
        <w:rPr>
          <w:i/>
          <w:iCs/>
        </w:rPr>
        <w:t xml:space="preserve">Case of </w:t>
      </w:r>
      <w:proofErr w:type="spellStart"/>
      <w:r w:rsidRPr="00191D78">
        <w:rPr>
          <w:i/>
          <w:iCs/>
        </w:rPr>
        <w:t>Reverón</w:t>
      </w:r>
      <w:proofErr w:type="spellEnd"/>
      <w:r w:rsidRPr="00191D78">
        <w:rPr>
          <w:i/>
          <w:iCs/>
        </w:rPr>
        <w:t xml:space="preserve"> Trujillo v. Venezuela</w:t>
      </w:r>
      <w:r w:rsidRPr="00191D78">
        <w:t>, Preliminary Objection, Merits, Reparations, and Costs, Judgment of June 30, 2009, Series C No. 197, par. 147.</w:t>
      </w:r>
    </w:p>
  </w:footnote>
  <w:footnote w:id="52">
    <w:p w14:paraId="387918B0" w14:textId="77777777" w:rsidR="00E6692A" w:rsidRPr="008048EA" w:rsidRDefault="00E6692A" w:rsidP="00E6692A">
      <w:pPr>
        <w:jc w:val="both"/>
        <w:rPr>
          <w:rFonts w:asciiTheme="majorHAnsi" w:eastAsia="Times New Roman" w:hAnsiTheme="majorHAnsi"/>
          <w:sz w:val="16"/>
          <w:szCs w:val="16"/>
        </w:rPr>
      </w:pPr>
      <w:r w:rsidRPr="00BE6681">
        <w:rPr>
          <w:rStyle w:val="Refdenotaalpie"/>
          <w:rFonts w:asciiTheme="majorHAnsi" w:hAnsiTheme="majorHAnsi"/>
          <w:sz w:val="16"/>
          <w:szCs w:val="16"/>
        </w:rPr>
        <w:footnoteRef/>
      </w:r>
      <w:r w:rsidRPr="00477508">
        <w:rPr>
          <w:rFonts w:asciiTheme="majorHAnsi" w:hAnsiTheme="majorHAnsi"/>
          <w:sz w:val="16"/>
          <w:szCs w:val="16"/>
        </w:rPr>
        <w:t xml:space="preserve">IACHR, </w:t>
      </w:r>
      <w:r w:rsidRPr="00477508">
        <w:rPr>
          <w:rFonts w:asciiTheme="majorHAnsi" w:hAnsiTheme="majorHAnsi"/>
          <w:i/>
          <w:iCs/>
          <w:sz w:val="16"/>
          <w:szCs w:val="16"/>
        </w:rPr>
        <w:t xml:space="preserve">Guarantees for the Independence of Justice Operators. </w:t>
      </w:r>
      <w:r w:rsidRPr="00D223B5">
        <w:rPr>
          <w:rFonts w:asciiTheme="majorHAnsi" w:hAnsiTheme="majorHAnsi"/>
          <w:i/>
          <w:iCs/>
          <w:sz w:val="16"/>
          <w:szCs w:val="16"/>
        </w:rPr>
        <w:t>Towards Strengthening Access to Justice and the Rule of Law in the Americas</w:t>
      </w:r>
      <w:r w:rsidRPr="00D223B5">
        <w:rPr>
          <w:rFonts w:asciiTheme="majorHAnsi" w:hAnsiTheme="majorHAnsi"/>
          <w:sz w:val="16"/>
          <w:szCs w:val="16"/>
        </w:rPr>
        <w:t xml:space="preserve">, December 5, 2013, </w:t>
      </w:r>
      <w:r>
        <w:rPr>
          <w:rFonts w:asciiTheme="majorHAnsi" w:hAnsiTheme="majorHAnsi"/>
          <w:sz w:val="16"/>
          <w:szCs w:val="16"/>
        </w:rPr>
        <w:t>paras</w:t>
      </w:r>
      <w:r w:rsidRPr="00D223B5">
        <w:rPr>
          <w:rFonts w:asciiTheme="majorHAnsi" w:hAnsiTheme="majorHAnsi"/>
          <w:sz w:val="16"/>
          <w:szCs w:val="16"/>
        </w:rPr>
        <w:t xml:space="preserve">. </w:t>
      </w:r>
      <w:r w:rsidRPr="008048EA">
        <w:rPr>
          <w:rFonts w:asciiTheme="majorHAnsi" w:hAnsiTheme="majorHAnsi"/>
          <w:sz w:val="16"/>
          <w:szCs w:val="16"/>
        </w:rPr>
        <w:t xml:space="preserve">56, 109, and 184; I/A Court H.R., </w:t>
      </w:r>
      <w:r w:rsidRPr="008048EA">
        <w:rPr>
          <w:rFonts w:asciiTheme="majorHAnsi" w:hAnsiTheme="majorHAnsi"/>
          <w:i/>
          <w:iCs/>
          <w:sz w:val="16"/>
          <w:szCs w:val="16"/>
        </w:rPr>
        <w:t>Case of</w:t>
      </w:r>
      <w:r w:rsidRPr="008048EA">
        <w:rPr>
          <w:rFonts w:asciiTheme="majorHAnsi" w:eastAsia="Times New Roman" w:hAnsiTheme="majorHAnsi"/>
          <w:bCs/>
          <w:i/>
          <w:iCs/>
          <w:sz w:val="16"/>
          <w:szCs w:val="16"/>
          <w:shd w:val="clear" w:color="auto" w:fill="FFFFFF"/>
        </w:rPr>
        <w:t xml:space="preserve"> López Lone et al. v. Honduras</w:t>
      </w:r>
      <w:r w:rsidRPr="008048EA">
        <w:rPr>
          <w:rFonts w:asciiTheme="majorHAnsi" w:eastAsia="Times New Roman" w:hAnsiTheme="majorHAnsi"/>
          <w:bCs/>
          <w:sz w:val="16"/>
          <w:szCs w:val="16"/>
          <w:shd w:val="clear" w:color="auto" w:fill="FFFFFF"/>
        </w:rPr>
        <w:t xml:space="preserve">, </w:t>
      </w:r>
      <w:r w:rsidRPr="00477508">
        <w:rPr>
          <w:rFonts w:asciiTheme="majorHAnsi" w:eastAsia="Times New Roman" w:hAnsiTheme="majorHAnsi"/>
          <w:bCs/>
          <w:sz w:val="16"/>
          <w:szCs w:val="16"/>
          <w:shd w:val="clear" w:color="auto" w:fill="FFFFFF"/>
        </w:rPr>
        <w:t>Preliminary Objection, Merits,</w:t>
      </w:r>
      <w:r>
        <w:rPr>
          <w:rFonts w:asciiTheme="majorHAnsi" w:eastAsia="Times New Roman" w:hAnsiTheme="majorHAnsi"/>
          <w:bCs/>
          <w:sz w:val="16"/>
          <w:szCs w:val="16"/>
          <w:shd w:val="clear" w:color="auto" w:fill="FFFFFF"/>
        </w:rPr>
        <w:t xml:space="preserve"> Reparations, and Costs, Judgment of October 5, </w:t>
      </w:r>
      <w:r w:rsidRPr="008048EA">
        <w:rPr>
          <w:rFonts w:asciiTheme="majorHAnsi" w:eastAsia="Times New Roman" w:hAnsiTheme="majorHAnsi"/>
          <w:bCs/>
          <w:sz w:val="16"/>
          <w:szCs w:val="16"/>
          <w:shd w:val="clear" w:color="auto" w:fill="FFFFFF"/>
        </w:rPr>
        <w:t>2015</w:t>
      </w:r>
      <w:r>
        <w:rPr>
          <w:rFonts w:asciiTheme="majorHAnsi" w:eastAsia="Times New Roman" w:hAnsiTheme="majorHAnsi"/>
          <w:bCs/>
          <w:sz w:val="16"/>
          <w:szCs w:val="16"/>
          <w:shd w:val="clear" w:color="auto" w:fill="FFFFFF"/>
        </w:rPr>
        <w:t>,</w:t>
      </w:r>
      <w:r w:rsidRPr="008048EA">
        <w:rPr>
          <w:rFonts w:asciiTheme="majorHAnsi" w:eastAsia="Times New Roman" w:hAnsiTheme="majorHAnsi"/>
          <w:bCs/>
          <w:sz w:val="16"/>
          <w:szCs w:val="16"/>
          <w:shd w:val="clear" w:color="auto" w:fill="FFFFFF"/>
        </w:rPr>
        <w:t xml:space="preserve"> Series C No. 302, </w:t>
      </w:r>
      <w:r>
        <w:rPr>
          <w:rFonts w:asciiTheme="majorHAnsi" w:eastAsia="Times New Roman" w:hAnsiTheme="majorHAnsi"/>
          <w:bCs/>
          <w:sz w:val="16"/>
          <w:szCs w:val="16"/>
          <w:shd w:val="clear" w:color="auto" w:fill="FFFFFF"/>
        </w:rPr>
        <w:t>par</w:t>
      </w:r>
      <w:r w:rsidRPr="008048EA">
        <w:rPr>
          <w:rFonts w:asciiTheme="majorHAnsi" w:eastAsia="Times New Roman" w:hAnsiTheme="majorHAnsi"/>
          <w:bCs/>
          <w:sz w:val="16"/>
          <w:szCs w:val="16"/>
          <w:shd w:val="clear" w:color="auto" w:fill="FFFFFF"/>
        </w:rPr>
        <w:t>. 19</w:t>
      </w:r>
      <w:r>
        <w:rPr>
          <w:rFonts w:asciiTheme="majorHAnsi" w:eastAsia="Times New Roman" w:hAnsiTheme="majorHAnsi"/>
          <w:bCs/>
          <w:sz w:val="16"/>
          <w:szCs w:val="16"/>
          <w:shd w:val="clear" w:color="auto" w:fill="FFFFFF"/>
        </w:rPr>
        <w:t>6</w:t>
      </w:r>
      <w:r w:rsidRPr="008048EA">
        <w:rPr>
          <w:rFonts w:asciiTheme="majorHAnsi" w:eastAsia="Times New Roman" w:hAnsiTheme="majorHAnsi"/>
          <w:bCs/>
          <w:sz w:val="16"/>
          <w:szCs w:val="16"/>
          <w:shd w:val="clear" w:color="auto" w:fill="FFFFFF"/>
        </w:rPr>
        <w:t>.</w:t>
      </w:r>
    </w:p>
  </w:footnote>
  <w:footnote w:id="53">
    <w:p w14:paraId="18B4DF6C" w14:textId="77777777" w:rsidR="00E6692A" w:rsidRPr="00296098" w:rsidRDefault="00E6692A" w:rsidP="00E6692A">
      <w:pPr>
        <w:jc w:val="both"/>
        <w:rPr>
          <w:rFonts w:asciiTheme="majorHAnsi" w:eastAsia="Times New Roman" w:hAnsiTheme="majorHAnsi"/>
          <w:sz w:val="16"/>
          <w:szCs w:val="16"/>
        </w:rPr>
      </w:pPr>
      <w:r w:rsidRPr="00BE6681">
        <w:rPr>
          <w:rStyle w:val="Refdenotaalpie"/>
          <w:rFonts w:asciiTheme="majorHAnsi" w:hAnsiTheme="majorHAnsi"/>
          <w:sz w:val="16"/>
          <w:szCs w:val="16"/>
        </w:rPr>
        <w:footnoteRef/>
      </w:r>
      <w:r w:rsidRPr="00296098">
        <w:rPr>
          <w:rFonts w:asciiTheme="majorHAnsi" w:hAnsiTheme="majorHAnsi"/>
          <w:sz w:val="16"/>
          <w:szCs w:val="16"/>
        </w:rPr>
        <w:t xml:space="preserve"> </w:t>
      </w:r>
      <w:r w:rsidRPr="008048EA">
        <w:rPr>
          <w:rFonts w:asciiTheme="majorHAnsi" w:hAnsiTheme="majorHAnsi"/>
          <w:sz w:val="16"/>
          <w:szCs w:val="16"/>
        </w:rPr>
        <w:t xml:space="preserve">I/A Court H.R., </w:t>
      </w:r>
      <w:r w:rsidRPr="008048EA">
        <w:rPr>
          <w:rFonts w:asciiTheme="majorHAnsi" w:hAnsiTheme="majorHAnsi"/>
          <w:i/>
          <w:iCs/>
          <w:sz w:val="16"/>
          <w:szCs w:val="16"/>
        </w:rPr>
        <w:t>Case of</w:t>
      </w:r>
      <w:r w:rsidRPr="008048EA">
        <w:rPr>
          <w:rFonts w:asciiTheme="majorHAnsi" w:eastAsia="Times New Roman" w:hAnsiTheme="majorHAnsi"/>
          <w:bCs/>
          <w:i/>
          <w:iCs/>
          <w:sz w:val="16"/>
          <w:szCs w:val="16"/>
          <w:shd w:val="clear" w:color="auto" w:fill="FFFFFF"/>
        </w:rPr>
        <w:t xml:space="preserve"> López Lone et al. v. Honduras</w:t>
      </w:r>
      <w:r w:rsidRPr="008048EA">
        <w:rPr>
          <w:rFonts w:asciiTheme="majorHAnsi" w:eastAsia="Times New Roman" w:hAnsiTheme="majorHAnsi"/>
          <w:bCs/>
          <w:sz w:val="16"/>
          <w:szCs w:val="16"/>
          <w:shd w:val="clear" w:color="auto" w:fill="FFFFFF"/>
        </w:rPr>
        <w:t>, Preliminary Object</w:t>
      </w:r>
      <w:r>
        <w:rPr>
          <w:rFonts w:asciiTheme="majorHAnsi" w:eastAsia="Times New Roman" w:hAnsiTheme="majorHAnsi"/>
          <w:bCs/>
          <w:sz w:val="16"/>
          <w:szCs w:val="16"/>
          <w:shd w:val="clear" w:color="auto" w:fill="FFFFFF"/>
        </w:rPr>
        <w:t xml:space="preserve">ion, Merits, Reparations, and Costs, Judgment of October 5, </w:t>
      </w:r>
      <w:r w:rsidRPr="008048EA">
        <w:rPr>
          <w:rFonts w:asciiTheme="majorHAnsi" w:eastAsia="Times New Roman" w:hAnsiTheme="majorHAnsi"/>
          <w:bCs/>
          <w:sz w:val="16"/>
          <w:szCs w:val="16"/>
          <w:shd w:val="clear" w:color="auto" w:fill="FFFFFF"/>
        </w:rPr>
        <w:t>2015</w:t>
      </w:r>
      <w:r>
        <w:rPr>
          <w:rFonts w:asciiTheme="majorHAnsi" w:eastAsia="Times New Roman" w:hAnsiTheme="majorHAnsi"/>
          <w:bCs/>
          <w:sz w:val="16"/>
          <w:szCs w:val="16"/>
          <w:shd w:val="clear" w:color="auto" w:fill="FFFFFF"/>
        </w:rPr>
        <w:t>,</w:t>
      </w:r>
      <w:r w:rsidRPr="008048EA">
        <w:rPr>
          <w:rFonts w:asciiTheme="majorHAnsi" w:eastAsia="Times New Roman" w:hAnsiTheme="majorHAnsi"/>
          <w:bCs/>
          <w:sz w:val="16"/>
          <w:szCs w:val="16"/>
          <w:shd w:val="clear" w:color="auto" w:fill="FFFFFF"/>
        </w:rPr>
        <w:t xml:space="preserve"> Series C No. 302, </w:t>
      </w:r>
      <w:r>
        <w:rPr>
          <w:rFonts w:asciiTheme="majorHAnsi" w:eastAsia="Times New Roman" w:hAnsiTheme="majorHAnsi"/>
          <w:bCs/>
          <w:sz w:val="16"/>
          <w:szCs w:val="16"/>
          <w:shd w:val="clear" w:color="auto" w:fill="FFFFFF"/>
        </w:rPr>
        <w:t>par</w:t>
      </w:r>
      <w:r w:rsidRPr="008048EA">
        <w:rPr>
          <w:rFonts w:asciiTheme="majorHAnsi" w:eastAsia="Times New Roman" w:hAnsiTheme="majorHAnsi"/>
          <w:bCs/>
          <w:sz w:val="16"/>
          <w:szCs w:val="16"/>
          <w:shd w:val="clear" w:color="auto" w:fill="FFFFFF"/>
        </w:rPr>
        <w:t>.</w:t>
      </w:r>
      <w:r w:rsidRPr="00296098">
        <w:rPr>
          <w:rFonts w:asciiTheme="majorHAnsi" w:eastAsia="Times New Roman" w:hAnsiTheme="majorHAnsi"/>
          <w:bCs/>
          <w:sz w:val="16"/>
          <w:szCs w:val="16"/>
          <w:shd w:val="clear" w:color="auto" w:fill="FFFFFF"/>
        </w:rPr>
        <w:t xml:space="preserve"> 192.</w:t>
      </w:r>
    </w:p>
  </w:footnote>
  <w:footnote w:id="54">
    <w:p w14:paraId="6DEBF0A6" w14:textId="77777777" w:rsidR="00E6692A" w:rsidRPr="00191D78" w:rsidRDefault="00E6692A" w:rsidP="00E6692A">
      <w:pPr>
        <w:jc w:val="both"/>
        <w:rPr>
          <w:rFonts w:asciiTheme="majorHAnsi" w:eastAsia="Times New Roman" w:hAnsiTheme="majorHAnsi"/>
          <w:sz w:val="16"/>
          <w:szCs w:val="16"/>
        </w:rPr>
      </w:pPr>
      <w:r w:rsidRPr="00BE6681">
        <w:rPr>
          <w:rStyle w:val="Refdenotaalpie"/>
          <w:rFonts w:asciiTheme="majorHAnsi" w:hAnsiTheme="majorHAnsi"/>
          <w:sz w:val="16"/>
          <w:szCs w:val="16"/>
        </w:rPr>
        <w:footnoteRef/>
      </w:r>
      <w:r w:rsidRPr="00296098">
        <w:rPr>
          <w:rFonts w:asciiTheme="majorHAnsi" w:hAnsiTheme="majorHAnsi"/>
          <w:sz w:val="16"/>
          <w:szCs w:val="16"/>
        </w:rPr>
        <w:t xml:space="preserve"> </w:t>
      </w:r>
      <w:r w:rsidRPr="008048EA">
        <w:rPr>
          <w:rFonts w:asciiTheme="majorHAnsi" w:hAnsiTheme="majorHAnsi"/>
          <w:sz w:val="16"/>
          <w:szCs w:val="16"/>
        </w:rPr>
        <w:t xml:space="preserve">I/A Court H.R., </w:t>
      </w:r>
      <w:r w:rsidRPr="008048EA">
        <w:rPr>
          <w:rFonts w:asciiTheme="majorHAnsi" w:hAnsiTheme="majorHAnsi"/>
          <w:i/>
          <w:iCs/>
          <w:sz w:val="16"/>
          <w:szCs w:val="16"/>
        </w:rPr>
        <w:t>Case of</w:t>
      </w:r>
      <w:r w:rsidRPr="008048EA">
        <w:rPr>
          <w:rFonts w:asciiTheme="majorHAnsi" w:eastAsia="Times New Roman" w:hAnsiTheme="majorHAnsi"/>
          <w:bCs/>
          <w:i/>
          <w:iCs/>
          <w:sz w:val="16"/>
          <w:szCs w:val="16"/>
          <w:shd w:val="clear" w:color="auto" w:fill="FFFFFF"/>
        </w:rPr>
        <w:t xml:space="preserve"> López Lone et al. v. Honduras</w:t>
      </w:r>
      <w:r w:rsidRPr="008048EA">
        <w:rPr>
          <w:rFonts w:asciiTheme="majorHAnsi" w:eastAsia="Times New Roman" w:hAnsiTheme="majorHAnsi"/>
          <w:bCs/>
          <w:sz w:val="16"/>
          <w:szCs w:val="16"/>
          <w:shd w:val="clear" w:color="auto" w:fill="FFFFFF"/>
        </w:rPr>
        <w:t>, Preliminary Object</w:t>
      </w:r>
      <w:r>
        <w:rPr>
          <w:rFonts w:asciiTheme="majorHAnsi" w:eastAsia="Times New Roman" w:hAnsiTheme="majorHAnsi"/>
          <w:bCs/>
          <w:sz w:val="16"/>
          <w:szCs w:val="16"/>
          <w:shd w:val="clear" w:color="auto" w:fill="FFFFFF"/>
        </w:rPr>
        <w:t xml:space="preserve">ion, Merits, Reparations, and Costs, Judgment of October 5, </w:t>
      </w:r>
      <w:r w:rsidRPr="008048EA">
        <w:rPr>
          <w:rFonts w:asciiTheme="majorHAnsi" w:eastAsia="Times New Roman" w:hAnsiTheme="majorHAnsi"/>
          <w:bCs/>
          <w:sz w:val="16"/>
          <w:szCs w:val="16"/>
          <w:shd w:val="clear" w:color="auto" w:fill="FFFFFF"/>
        </w:rPr>
        <w:t>2015</w:t>
      </w:r>
      <w:r>
        <w:rPr>
          <w:rFonts w:asciiTheme="majorHAnsi" w:eastAsia="Times New Roman" w:hAnsiTheme="majorHAnsi"/>
          <w:bCs/>
          <w:sz w:val="16"/>
          <w:szCs w:val="16"/>
          <w:shd w:val="clear" w:color="auto" w:fill="FFFFFF"/>
        </w:rPr>
        <w:t>,</w:t>
      </w:r>
      <w:r w:rsidRPr="008048EA">
        <w:rPr>
          <w:rFonts w:asciiTheme="majorHAnsi" w:eastAsia="Times New Roman" w:hAnsiTheme="majorHAnsi"/>
          <w:bCs/>
          <w:sz w:val="16"/>
          <w:szCs w:val="16"/>
          <w:shd w:val="clear" w:color="auto" w:fill="FFFFFF"/>
        </w:rPr>
        <w:t xml:space="preserve"> Series C </w:t>
      </w:r>
      <w:r w:rsidRPr="00191D78">
        <w:rPr>
          <w:rFonts w:asciiTheme="majorHAnsi" w:eastAsia="Times New Roman" w:hAnsiTheme="majorHAnsi"/>
          <w:bCs/>
          <w:sz w:val="16"/>
          <w:szCs w:val="16"/>
          <w:shd w:val="clear" w:color="auto" w:fill="FFFFFF"/>
        </w:rPr>
        <w:t>No. 302, par. 192.</w:t>
      </w:r>
    </w:p>
  </w:footnote>
  <w:footnote w:id="55">
    <w:p w14:paraId="0F7BF5E9" w14:textId="77777777" w:rsidR="00E6692A" w:rsidRPr="00191D78" w:rsidRDefault="00E6692A" w:rsidP="00E6692A">
      <w:pPr>
        <w:pStyle w:val="Textonotapie"/>
        <w:rPr>
          <w:lang w:val="pt-BR"/>
        </w:rPr>
      </w:pPr>
      <w:r w:rsidRPr="00191D78">
        <w:rPr>
          <w:rStyle w:val="Refdenotaalpie"/>
        </w:rPr>
        <w:footnoteRef/>
      </w:r>
      <w:r w:rsidRPr="00191D78">
        <w:t xml:space="preserve"> I/A Court H.R., </w:t>
      </w:r>
      <w:r w:rsidRPr="00191D78">
        <w:rPr>
          <w:i/>
          <w:iCs/>
        </w:rPr>
        <w:t>Case of</w:t>
      </w:r>
      <w:r w:rsidRPr="00191D78">
        <w:rPr>
          <w:rFonts w:eastAsia="Times New Roman"/>
          <w:bCs/>
          <w:i/>
          <w:iCs/>
          <w:shd w:val="clear" w:color="auto" w:fill="FFFFFF"/>
        </w:rPr>
        <w:t xml:space="preserve"> the Supreme Court of Justice (</w:t>
      </w:r>
      <w:r w:rsidRPr="00191D78">
        <w:rPr>
          <w:i/>
          <w:iCs/>
        </w:rPr>
        <w:t xml:space="preserve">Quintana </w:t>
      </w:r>
      <w:proofErr w:type="spellStart"/>
      <w:r w:rsidRPr="00191D78">
        <w:rPr>
          <w:i/>
          <w:iCs/>
        </w:rPr>
        <w:t>Coello</w:t>
      </w:r>
      <w:proofErr w:type="spellEnd"/>
      <w:r w:rsidRPr="00191D78">
        <w:rPr>
          <w:i/>
          <w:iCs/>
        </w:rPr>
        <w:t xml:space="preserve"> et al.) v. Ecuador</w:t>
      </w:r>
      <w:r w:rsidRPr="00191D78">
        <w:t xml:space="preserve">, Preliminary Objection, Merits, Reparations, and Costs, Judgment of August 23, 2013, </w:t>
      </w:r>
      <w:r w:rsidRPr="00191D78">
        <w:rPr>
          <w:lang w:val="pt-BR"/>
        </w:rPr>
        <w:t>Series C No. 266, par. 158.</w:t>
      </w:r>
    </w:p>
  </w:footnote>
  <w:footnote w:id="56">
    <w:p w14:paraId="2195AAD0" w14:textId="77777777" w:rsidR="00E6692A" w:rsidRPr="00191D78" w:rsidRDefault="00E6692A" w:rsidP="00E6692A">
      <w:pPr>
        <w:pStyle w:val="Textonotapie"/>
      </w:pPr>
      <w:r w:rsidRPr="00191D78">
        <w:rPr>
          <w:rStyle w:val="Refdenotaalpie"/>
        </w:rPr>
        <w:footnoteRef/>
      </w:r>
      <w:r w:rsidRPr="00191D78">
        <w:rPr>
          <w:rStyle w:val="Refdenotaalpie"/>
          <w:lang w:val="pt-BR"/>
        </w:rPr>
        <w:t xml:space="preserve"> </w:t>
      </w:r>
      <w:r w:rsidRPr="00191D78">
        <w:t xml:space="preserve">I/A Court H.R., </w:t>
      </w:r>
      <w:r w:rsidRPr="00191D78">
        <w:rPr>
          <w:i/>
          <w:iCs/>
          <w:noProof/>
          <w:lang w:val="pt-BR"/>
        </w:rPr>
        <w:t xml:space="preserve">Case of Barreto Leiva v. </w:t>
      </w:r>
      <w:r w:rsidRPr="00191D78">
        <w:rPr>
          <w:i/>
          <w:iCs/>
          <w:noProof/>
        </w:rPr>
        <w:t>Venezuela</w:t>
      </w:r>
      <w:r w:rsidRPr="00191D78">
        <w:rPr>
          <w:noProof/>
        </w:rPr>
        <w:t>, Merits, Reparations and Costs, Judgment of November 17, 2009, Series C No. 206, par. 75.</w:t>
      </w:r>
    </w:p>
  </w:footnote>
  <w:footnote w:id="57">
    <w:p w14:paraId="05C6A5C3" w14:textId="77777777" w:rsidR="00E6692A" w:rsidRPr="00BF34C3" w:rsidRDefault="00E6692A" w:rsidP="00E6692A">
      <w:pPr>
        <w:pStyle w:val="Textonotapie"/>
      </w:pPr>
      <w:r w:rsidRPr="00191D78">
        <w:rPr>
          <w:rStyle w:val="Refdenotaalpie"/>
        </w:rPr>
        <w:footnoteRef/>
      </w:r>
      <w:r w:rsidRPr="00191D78">
        <w:rPr>
          <w:rStyle w:val="Refdenotaalpie"/>
        </w:rPr>
        <w:t xml:space="preserve"> </w:t>
      </w:r>
      <w:r w:rsidRPr="00191D78">
        <w:t xml:space="preserve">I/A Court H.R., </w:t>
      </w:r>
      <w:r w:rsidRPr="00191D78">
        <w:rPr>
          <w:i/>
          <w:iCs/>
          <w:noProof/>
          <w:lang w:val="pt-BR"/>
        </w:rPr>
        <w:t xml:space="preserve">Case of Barreto Leiva v. </w:t>
      </w:r>
      <w:r w:rsidRPr="00191D78">
        <w:rPr>
          <w:i/>
          <w:iCs/>
          <w:noProof/>
        </w:rPr>
        <w:t>Venezuela</w:t>
      </w:r>
      <w:r w:rsidRPr="00191D78">
        <w:rPr>
          <w:noProof/>
        </w:rPr>
        <w:t>, Merits, Reparations and Costs, Judgment of November 17, 2009, Series C No. 206, par. 75.</w:t>
      </w:r>
    </w:p>
  </w:footnote>
  <w:footnote w:id="58">
    <w:p w14:paraId="30D1E629" w14:textId="77777777" w:rsidR="00E6692A" w:rsidRPr="00A661E8" w:rsidRDefault="00E6692A" w:rsidP="00E6692A">
      <w:pPr>
        <w:pStyle w:val="Textonotapie"/>
      </w:pPr>
      <w:r>
        <w:rPr>
          <w:rStyle w:val="Refdenotaalpie"/>
        </w:rPr>
        <w:footnoteRef/>
      </w:r>
      <w:r w:rsidRPr="00F03DDF">
        <w:t xml:space="preserve"> IACHR, Report No. 23/17, Case 12.311, Merits, Eduardo Benjamín </w:t>
      </w:r>
      <w:proofErr w:type="spellStart"/>
      <w:r w:rsidRPr="00F03DDF">
        <w:t>Colindres</w:t>
      </w:r>
      <w:proofErr w:type="spellEnd"/>
      <w:r w:rsidRPr="00F03DDF">
        <w:t xml:space="preserve">, El Salvador, March 18, 2017, par. 56; </w:t>
      </w:r>
      <w:r w:rsidRPr="001B6EB4">
        <w:t>I/A Court H.R</w:t>
      </w:r>
      <w:r w:rsidRPr="00191D78">
        <w:t xml:space="preserve">., </w:t>
      </w:r>
      <w:r w:rsidRPr="00191D78">
        <w:rPr>
          <w:i/>
          <w:iCs/>
        </w:rPr>
        <w:t>Case of the Constitutional Tribunal (</w:t>
      </w:r>
      <w:proofErr w:type="spellStart"/>
      <w:r w:rsidRPr="00191D78">
        <w:rPr>
          <w:i/>
          <w:iCs/>
        </w:rPr>
        <w:t>Camba</w:t>
      </w:r>
      <w:proofErr w:type="spellEnd"/>
      <w:r w:rsidRPr="00191D78">
        <w:rPr>
          <w:i/>
          <w:iCs/>
        </w:rPr>
        <w:t xml:space="preserve"> Campos et al.) v. Ecuador</w:t>
      </w:r>
      <w:r w:rsidRPr="00191D78">
        <w:t>, Preliminary Objection, Merits, Reparations, and Costs, Judgment o</w:t>
      </w:r>
      <w:r>
        <w:t xml:space="preserve">f August 28, </w:t>
      </w:r>
      <w:r w:rsidRPr="00F03DDF">
        <w:t xml:space="preserve">2013. </w:t>
      </w:r>
      <w:r w:rsidRPr="00D848A4">
        <w:t>Serie</w:t>
      </w:r>
      <w:r>
        <w:t>s</w:t>
      </w:r>
      <w:r w:rsidRPr="00D848A4">
        <w:t xml:space="preserve"> C No</w:t>
      </w:r>
      <w:r>
        <w:t>,</w:t>
      </w:r>
      <w:r w:rsidRPr="00D848A4">
        <w:t xml:space="preserve"> 268, </w:t>
      </w:r>
      <w:r>
        <w:t>par</w:t>
      </w:r>
      <w:r w:rsidRPr="00D848A4">
        <w:t xml:space="preserve">. </w:t>
      </w:r>
      <w:r w:rsidRPr="00A661E8">
        <w:t>223</w:t>
      </w:r>
      <w:r>
        <w:t xml:space="preserve">, and </w:t>
      </w:r>
      <w:r w:rsidRPr="008048EA">
        <w:rPr>
          <w:i/>
          <w:iCs/>
        </w:rPr>
        <w:t>Case of</w:t>
      </w:r>
      <w:r w:rsidRPr="008048EA">
        <w:rPr>
          <w:rFonts w:eastAsia="Times New Roman"/>
          <w:bCs/>
          <w:i/>
          <w:iCs/>
          <w:shd w:val="clear" w:color="auto" w:fill="FFFFFF"/>
        </w:rPr>
        <w:t xml:space="preserve"> López Lone et al. v. Honduras</w:t>
      </w:r>
      <w:r w:rsidRPr="008048EA">
        <w:rPr>
          <w:rFonts w:eastAsia="Times New Roman"/>
          <w:bCs/>
          <w:shd w:val="clear" w:color="auto" w:fill="FFFFFF"/>
        </w:rPr>
        <w:t>, Preliminary Object</w:t>
      </w:r>
      <w:r>
        <w:rPr>
          <w:rFonts w:eastAsia="Times New Roman"/>
          <w:bCs/>
          <w:shd w:val="clear" w:color="auto" w:fill="FFFFFF"/>
        </w:rPr>
        <w:t xml:space="preserve">ion, Merits, Reparations, and Costs, Judgment of October 5, </w:t>
      </w:r>
      <w:r w:rsidRPr="008048EA">
        <w:rPr>
          <w:rFonts w:eastAsia="Times New Roman"/>
          <w:bCs/>
          <w:shd w:val="clear" w:color="auto" w:fill="FFFFFF"/>
        </w:rPr>
        <w:t>2015</w:t>
      </w:r>
      <w:r>
        <w:rPr>
          <w:rFonts w:eastAsia="Times New Roman"/>
          <w:bCs/>
          <w:shd w:val="clear" w:color="auto" w:fill="FFFFFF"/>
        </w:rPr>
        <w:t>,</w:t>
      </w:r>
      <w:r w:rsidRPr="008048EA">
        <w:rPr>
          <w:rFonts w:eastAsia="Times New Roman"/>
          <w:bCs/>
          <w:shd w:val="clear" w:color="auto" w:fill="FFFFFF"/>
        </w:rPr>
        <w:t xml:space="preserve"> Series C No. 302, </w:t>
      </w:r>
      <w:r>
        <w:rPr>
          <w:rFonts w:eastAsia="Times New Roman"/>
          <w:bCs/>
          <w:shd w:val="clear" w:color="auto" w:fill="FFFFFF"/>
        </w:rPr>
        <w:t>par</w:t>
      </w:r>
      <w:r w:rsidRPr="00A661E8">
        <w:t>. 241.</w:t>
      </w:r>
    </w:p>
  </w:footnote>
  <w:footnote w:id="59">
    <w:p w14:paraId="7F776ED5" w14:textId="77777777" w:rsidR="00E6692A" w:rsidRPr="001B6EB4" w:rsidRDefault="00E6692A" w:rsidP="00E6692A">
      <w:pPr>
        <w:pStyle w:val="Textonotapie"/>
        <w:rPr>
          <w:color w:val="auto"/>
        </w:rPr>
      </w:pPr>
      <w:r w:rsidRPr="00BE6681">
        <w:rPr>
          <w:rStyle w:val="Refdenotaalpie"/>
          <w:color w:val="auto"/>
        </w:rPr>
        <w:footnoteRef/>
      </w:r>
      <w:r w:rsidRPr="001B6EB4">
        <w:rPr>
          <w:color w:val="auto"/>
        </w:rPr>
        <w:t xml:space="preserve"> Article 9 of the Convention establishes</w:t>
      </w:r>
      <w:r>
        <w:rPr>
          <w:color w:val="auto"/>
        </w:rPr>
        <w:t>: “N</w:t>
      </w:r>
      <w:r w:rsidRPr="001B6EB4">
        <w:rPr>
          <w:color w:val="auto"/>
        </w:rPr>
        <w:t>o one shall be convicted of any act or omission that did not constitute a criminal offense, under the applicable law, a</w:t>
      </w:r>
      <w:r>
        <w:rPr>
          <w:color w:val="auto"/>
        </w:rPr>
        <w:t xml:space="preserve">t the time it was committed. </w:t>
      </w:r>
      <w:r w:rsidRPr="001B6EB4">
        <w:rPr>
          <w:color w:val="auto"/>
        </w:rPr>
        <w:t>A heavier penalty shall not be imposed than the one that was applicable at the time the criminal of</w:t>
      </w:r>
      <w:r>
        <w:rPr>
          <w:color w:val="auto"/>
        </w:rPr>
        <w:t xml:space="preserve">fense was committed. </w:t>
      </w:r>
      <w:r w:rsidRPr="001B6EB4">
        <w:rPr>
          <w:color w:val="auto"/>
        </w:rPr>
        <w:t xml:space="preserve">If </w:t>
      </w:r>
      <w:proofErr w:type="gramStart"/>
      <w:r w:rsidRPr="001B6EB4">
        <w:rPr>
          <w:color w:val="auto"/>
        </w:rPr>
        <w:t>subsequent to</w:t>
      </w:r>
      <w:proofErr w:type="gramEnd"/>
      <w:r w:rsidRPr="001B6EB4">
        <w:rPr>
          <w:color w:val="auto"/>
        </w:rPr>
        <w:t xml:space="preserve"> the commission of the offense the law provides for the imposition of a ligh</w:t>
      </w:r>
      <w:r>
        <w:rPr>
          <w:color w:val="auto"/>
        </w:rPr>
        <w:t>ter punishment, the guilty person shall benefit therefrom.</w:t>
      </w:r>
      <w:r w:rsidRPr="001B6EB4">
        <w:rPr>
          <w:color w:val="auto"/>
        </w:rPr>
        <w:t>”</w:t>
      </w:r>
    </w:p>
  </w:footnote>
  <w:footnote w:id="60">
    <w:p w14:paraId="23E3ED92" w14:textId="77777777" w:rsidR="00E6692A" w:rsidRPr="00870B06" w:rsidRDefault="00E6692A" w:rsidP="00E6692A">
      <w:pPr>
        <w:jc w:val="both"/>
        <w:rPr>
          <w:rFonts w:asciiTheme="majorHAnsi" w:hAnsiTheme="majorHAnsi"/>
          <w:sz w:val="16"/>
          <w:szCs w:val="16"/>
        </w:rPr>
      </w:pPr>
      <w:r w:rsidRPr="00BE6681">
        <w:rPr>
          <w:rStyle w:val="Refdenotaalpie"/>
          <w:rFonts w:asciiTheme="majorHAnsi" w:hAnsiTheme="majorHAnsi"/>
          <w:sz w:val="16"/>
          <w:szCs w:val="16"/>
        </w:rPr>
        <w:footnoteRef/>
      </w:r>
      <w:r w:rsidRPr="00652403">
        <w:rPr>
          <w:rFonts w:asciiTheme="majorHAnsi" w:hAnsiTheme="majorHAnsi"/>
          <w:sz w:val="16"/>
          <w:szCs w:val="16"/>
        </w:rPr>
        <w:t xml:space="preserve"> IACHR, </w:t>
      </w:r>
      <w:r w:rsidRPr="00652403">
        <w:rPr>
          <w:rFonts w:asciiTheme="majorHAnsi" w:hAnsiTheme="majorHAnsi"/>
          <w:i/>
          <w:iCs/>
          <w:sz w:val="16"/>
          <w:szCs w:val="16"/>
        </w:rPr>
        <w:t>Criminalization of the Work of Human Rights Defenders</w:t>
      </w:r>
      <w:r w:rsidRPr="00652403">
        <w:rPr>
          <w:rFonts w:asciiTheme="majorHAnsi" w:hAnsiTheme="majorHAnsi"/>
          <w:sz w:val="16"/>
          <w:szCs w:val="16"/>
        </w:rPr>
        <w:t>, OEA/</w:t>
      </w:r>
      <w:proofErr w:type="spellStart"/>
      <w:r w:rsidRPr="00652403">
        <w:rPr>
          <w:rFonts w:asciiTheme="majorHAnsi" w:hAnsiTheme="majorHAnsi"/>
          <w:sz w:val="16"/>
          <w:szCs w:val="16"/>
        </w:rPr>
        <w:t>Ser.L</w:t>
      </w:r>
      <w:proofErr w:type="spellEnd"/>
      <w:r w:rsidRPr="00652403">
        <w:rPr>
          <w:rFonts w:asciiTheme="majorHAnsi" w:hAnsiTheme="majorHAnsi"/>
          <w:sz w:val="16"/>
          <w:szCs w:val="16"/>
        </w:rPr>
        <w:t xml:space="preserve">/V/Doc.49/15, </w:t>
      </w:r>
      <w:r>
        <w:rPr>
          <w:rFonts w:asciiTheme="majorHAnsi" w:hAnsiTheme="majorHAnsi"/>
          <w:sz w:val="16"/>
          <w:szCs w:val="16"/>
        </w:rPr>
        <w:t xml:space="preserve">December </w:t>
      </w:r>
      <w:r w:rsidRPr="00652403">
        <w:rPr>
          <w:rFonts w:asciiTheme="majorHAnsi" w:hAnsiTheme="majorHAnsi"/>
          <w:sz w:val="16"/>
          <w:szCs w:val="16"/>
        </w:rPr>
        <w:t>31</w:t>
      </w:r>
      <w:r>
        <w:rPr>
          <w:rFonts w:asciiTheme="majorHAnsi" w:hAnsiTheme="majorHAnsi"/>
          <w:sz w:val="16"/>
          <w:szCs w:val="16"/>
        </w:rPr>
        <w:t xml:space="preserve">, </w:t>
      </w:r>
      <w:r w:rsidRPr="00652403">
        <w:rPr>
          <w:rFonts w:asciiTheme="majorHAnsi" w:hAnsiTheme="majorHAnsi"/>
          <w:sz w:val="16"/>
          <w:szCs w:val="16"/>
        </w:rPr>
        <w:t>2015, p</w:t>
      </w:r>
      <w:r>
        <w:rPr>
          <w:rFonts w:asciiTheme="majorHAnsi" w:hAnsiTheme="majorHAnsi"/>
          <w:sz w:val="16"/>
          <w:szCs w:val="16"/>
        </w:rPr>
        <w:t>ar</w:t>
      </w:r>
      <w:r w:rsidRPr="00652403">
        <w:rPr>
          <w:rFonts w:asciiTheme="majorHAnsi" w:hAnsiTheme="majorHAnsi"/>
          <w:sz w:val="16"/>
          <w:szCs w:val="16"/>
        </w:rPr>
        <w:t xml:space="preserve">. </w:t>
      </w:r>
      <w:r w:rsidRPr="00870B06">
        <w:rPr>
          <w:rFonts w:asciiTheme="majorHAnsi" w:hAnsiTheme="majorHAnsi"/>
          <w:sz w:val="16"/>
          <w:szCs w:val="16"/>
        </w:rPr>
        <w:t>253.</w:t>
      </w:r>
    </w:p>
  </w:footnote>
  <w:footnote w:id="61">
    <w:p w14:paraId="7A1DCE2E" w14:textId="77777777" w:rsidR="00E6692A" w:rsidRPr="00D848A4" w:rsidRDefault="00E6692A" w:rsidP="00E6692A">
      <w:pPr>
        <w:pStyle w:val="Textonotapie"/>
        <w:tabs>
          <w:tab w:val="num" w:pos="0"/>
        </w:tabs>
      </w:pPr>
      <w:r w:rsidRPr="00BE6681">
        <w:rPr>
          <w:rStyle w:val="Refdenotaalpie"/>
          <w:color w:val="auto"/>
        </w:rPr>
        <w:footnoteRef/>
      </w:r>
      <w:r w:rsidRPr="00A661E8">
        <w:rPr>
          <w:color w:val="auto"/>
        </w:rPr>
        <w:t xml:space="preserve"> </w:t>
      </w:r>
      <w:r w:rsidRPr="008048EA">
        <w:t xml:space="preserve">I/A Court H.R., </w:t>
      </w:r>
      <w:r w:rsidRPr="008048EA">
        <w:rPr>
          <w:i/>
          <w:iCs/>
        </w:rPr>
        <w:t>Case of</w:t>
      </w:r>
      <w:r w:rsidRPr="008048EA">
        <w:rPr>
          <w:rFonts w:eastAsia="Times New Roman"/>
          <w:bCs/>
          <w:i/>
          <w:iCs/>
          <w:shd w:val="clear" w:color="auto" w:fill="FFFFFF"/>
        </w:rPr>
        <w:t xml:space="preserve"> López Lone et al. v. Honduras</w:t>
      </w:r>
      <w:r w:rsidRPr="008048EA">
        <w:rPr>
          <w:rFonts w:eastAsia="Times New Roman"/>
          <w:bCs/>
          <w:shd w:val="clear" w:color="auto" w:fill="FFFFFF"/>
        </w:rPr>
        <w:t>, Preliminary Object</w:t>
      </w:r>
      <w:r>
        <w:rPr>
          <w:rFonts w:eastAsia="Times New Roman"/>
          <w:bCs/>
          <w:shd w:val="clear" w:color="auto" w:fill="FFFFFF"/>
        </w:rPr>
        <w:t xml:space="preserve">ion, Merits, Reparations, and Costs, Judgment of October 5, </w:t>
      </w:r>
      <w:r w:rsidRPr="008048EA">
        <w:rPr>
          <w:rFonts w:eastAsia="Times New Roman"/>
          <w:bCs/>
          <w:shd w:val="clear" w:color="auto" w:fill="FFFFFF"/>
        </w:rPr>
        <w:t>2015</w:t>
      </w:r>
      <w:r>
        <w:rPr>
          <w:rFonts w:eastAsia="Times New Roman"/>
          <w:bCs/>
          <w:shd w:val="clear" w:color="auto" w:fill="FFFFFF"/>
        </w:rPr>
        <w:t>,</w:t>
      </w:r>
      <w:r w:rsidRPr="008048EA">
        <w:rPr>
          <w:rFonts w:eastAsia="Times New Roman"/>
          <w:bCs/>
          <w:shd w:val="clear" w:color="auto" w:fill="FFFFFF"/>
        </w:rPr>
        <w:t xml:space="preserve"> Series C No. 302, </w:t>
      </w:r>
      <w:r>
        <w:rPr>
          <w:rFonts w:eastAsia="Times New Roman"/>
          <w:bCs/>
          <w:shd w:val="clear" w:color="auto" w:fill="FFFFFF"/>
        </w:rPr>
        <w:t>par</w:t>
      </w:r>
      <w:r w:rsidRPr="008048EA">
        <w:rPr>
          <w:rFonts w:eastAsia="Times New Roman"/>
          <w:bCs/>
          <w:shd w:val="clear" w:color="auto" w:fill="FFFFFF"/>
        </w:rPr>
        <w:t xml:space="preserve">. </w:t>
      </w:r>
      <w:r>
        <w:rPr>
          <w:rFonts w:eastAsia="Times New Roman"/>
          <w:bCs/>
          <w:shd w:val="clear" w:color="auto" w:fill="FFFFFF"/>
        </w:rPr>
        <w:t xml:space="preserve">257; </w:t>
      </w:r>
      <w:r w:rsidRPr="00FC1041">
        <w:rPr>
          <w:i/>
          <w:iCs/>
          <w:color w:val="auto"/>
        </w:rPr>
        <w:t xml:space="preserve">Case of Maldonado </w:t>
      </w:r>
      <w:proofErr w:type="spellStart"/>
      <w:r w:rsidRPr="00FC1041">
        <w:rPr>
          <w:i/>
          <w:iCs/>
          <w:color w:val="auto"/>
        </w:rPr>
        <w:t>Ordoñez</w:t>
      </w:r>
      <w:proofErr w:type="spellEnd"/>
      <w:r w:rsidRPr="00FC1041">
        <w:rPr>
          <w:i/>
          <w:iCs/>
          <w:color w:val="auto"/>
        </w:rPr>
        <w:t xml:space="preserve"> v. Guatemala</w:t>
      </w:r>
      <w:r>
        <w:rPr>
          <w:color w:val="auto"/>
        </w:rPr>
        <w:t xml:space="preserve">, </w:t>
      </w:r>
      <w:r w:rsidRPr="008048EA">
        <w:rPr>
          <w:rFonts w:eastAsia="Times New Roman"/>
          <w:bCs/>
          <w:shd w:val="clear" w:color="auto" w:fill="FFFFFF"/>
        </w:rPr>
        <w:t>Preliminary Object</w:t>
      </w:r>
      <w:r>
        <w:rPr>
          <w:rFonts w:eastAsia="Times New Roman"/>
          <w:bCs/>
          <w:shd w:val="clear" w:color="auto" w:fill="FFFFFF"/>
        </w:rPr>
        <w:t>ion, Merits, Reparations, and Costs, Judgment of</w:t>
      </w:r>
      <w:r>
        <w:rPr>
          <w:color w:val="auto"/>
        </w:rPr>
        <w:t xml:space="preserve"> May</w:t>
      </w:r>
      <w:r w:rsidRPr="00870B06">
        <w:rPr>
          <w:color w:val="auto"/>
        </w:rPr>
        <w:t xml:space="preserve"> 3</w:t>
      </w:r>
      <w:r>
        <w:rPr>
          <w:color w:val="auto"/>
        </w:rPr>
        <w:t xml:space="preserve">, </w:t>
      </w:r>
      <w:r w:rsidRPr="00870B06">
        <w:rPr>
          <w:color w:val="auto"/>
        </w:rPr>
        <w:t>2016</w:t>
      </w:r>
      <w:r>
        <w:rPr>
          <w:color w:val="auto"/>
        </w:rPr>
        <w:t>,</w:t>
      </w:r>
      <w:r w:rsidRPr="00870B06">
        <w:rPr>
          <w:color w:val="auto"/>
        </w:rPr>
        <w:t xml:space="preserve"> </w:t>
      </w:r>
      <w:r w:rsidRPr="00D848A4">
        <w:rPr>
          <w:color w:val="auto"/>
        </w:rPr>
        <w:t>Serie</w:t>
      </w:r>
      <w:r>
        <w:rPr>
          <w:color w:val="auto"/>
        </w:rPr>
        <w:t>s</w:t>
      </w:r>
      <w:r w:rsidRPr="00D848A4">
        <w:rPr>
          <w:color w:val="auto"/>
        </w:rPr>
        <w:t xml:space="preserve"> C No. 311, </w:t>
      </w:r>
      <w:r>
        <w:rPr>
          <w:color w:val="auto"/>
        </w:rPr>
        <w:t>para</w:t>
      </w:r>
      <w:r w:rsidRPr="00D848A4">
        <w:rPr>
          <w:color w:val="auto"/>
        </w:rPr>
        <w:t xml:space="preserve">. </w:t>
      </w:r>
      <w:r w:rsidRPr="00A44E4B">
        <w:rPr>
          <w:color w:val="auto"/>
        </w:rPr>
        <w:t>89</w:t>
      </w:r>
      <w:r w:rsidRPr="00BE6681">
        <w:rPr>
          <w:color w:val="auto"/>
          <w:lang w:val="pt-BR"/>
        </w:rPr>
        <w:t xml:space="preserve">; </w:t>
      </w:r>
      <w:hyperlink r:id="rId10" w:history="1">
        <w:r w:rsidRPr="008340D4">
          <w:rPr>
            <w:rStyle w:val="Hipervnculo"/>
            <w:rFonts w:cs="Arial"/>
            <w:i/>
            <w:iCs/>
            <w:color w:val="auto"/>
            <w:u w:val="none"/>
            <w:shd w:val="clear" w:color="auto" w:fill="FFFFFF"/>
          </w:rPr>
          <w:t xml:space="preserve">Case of </w:t>
        </w:r>
        <w:proofErr w:type="spellStart"/>
        <w:r w:rsidRPr="008340D4">
          <w:rPr>
            <w:rStyle w:val="Hipervnculo"/>
            <w:rFonts w:cs="Arial"/>
            <w:i/>
            <w:iCs/>
            <w:color w:val="auto"/>
            <w:u w:val="none"/>
            <w:shd w:val="clear" w:color="auto" w:fill="FFFFFF"/>
          </w:rPr>
          <w:t>Baena</w:t>
        </w:r>
        <w:proofErr w:type="spellEnd"/>
        <w:r w:rsidRPr="008340D4">
          <w:rPr>
            <w:rStyle w:val="Hipervnculo"/>
            <w:rFonts w:cs="Arial"/>
            <w:i/>
            <w:iCs/>
            <w:color w:val="auto"/>
            <w:u w:val="none"/>
            <w:shd w:val="clear" w:color="auto" w:fill="FFFFFF"/>
          </w:rPr>
          <w:t xml:space="preserve"> Ricardo et al. v. Panama</w:t>
        </w:r>
        <w:r>
          <w:rPr>
            <w:rStyle w:val="Hipervnculo"/>
            <w:rFonts w:cs="Arial"/>
            <w:color w:val="auto"/>
            <w:u w:val="none"/>
            <w:shd w:val="clear" w:color="auto" w:fill="FFFFFF"/>
          </w:rPr>
          <w:t xml:space="preserve">, Merits, Reparations, and Costs, Judgment of February 2, </w:t>
        </w:r>
        <w:r w:rsidRPr="00F51BB3">
          <w:rPr>
            <w:rStyle w:val="Hipervnculo"/>
            <w:rFonts w:cs="Arial"/>
            <w:color w:val="auto"/>
            <w:u w:val="none"/>
            <w:shd w:val="clear" w:color="auto" w:fill="FFFFFF"/>
          </w:rPr>
          <w:t>2001</w:t>
        </w:r>
        <w:r>
          <w:rPr>
            <w:rStyle w:val="Hipervnculo"/>
            <w:rFonts w:cs="Arial"/>
            <w:color w:val="auto"/>
            <w:u w:val="none"/>
            <w:shd w:val="clear" w:color="auto" w:fill="FFFFFF"/>
          </w:rPr>
          <w:t>,</w:t>
        </w:r>
        <w:r w:rsidRPr="00F51BB3">
          <w:rPr>
            <w:rStyle w:val="Hipervnculo"/>
            <w:rFonts w:cs="Arial"/>
            <w:color w:val="auto"/>
            <w:u w:val="none"/>
            <w:shd w:val="clear" w:color="auto" w:fill="FFFFFF"/>
          </w:rPr>
          <w:t xml:space="preserve"> Series C No. 72</w:t>
        </w:r>
      </w:hyperlink>
      <w:r w:rsidRPr="00F51BB3">
        <w:rPr>
          <w:color w:val="auto"/>
        </w:rPr>
        <w:t xml:space="preserve">, </w:t>
      </w:r>
      <w:r>
        <w:rPr>
          <w:color w:val="auto"/>
        </w:rPr>
        <w:t>paras</w:t>
      </w:r>
      <w:r w:rsidRPr="00F51BB3">
        <w:rPr>
          <w:color w:val="auto"/>
        </w:rPr>
        <w:t xml:space="preserve">. </w:t>
      </w:r>
      <w:r w:rsidRPr="00D848A4">
        <w:rPr>
          <w:color w:val="auto"/>
        </w:rPr>
        <w:t>106 and108.</w:t>
      </w:r>
    </w:p>
  </w:footnote>
  <w:footnote w:id="62">
    <w:p w14:paraId="647BBA3D" w14:textId="77777777" w:rsidR="00E6692A" w:rsidRPr="00A44E4B" w:rsidRDefault="00E6692A" w:rsidP="00E6692A">
      <w:pPr>
        <w:pStyle w:val="Textonotapie"/>
      </w:pPr>
      <w:r>
        <w:rPr>
          <w:rStyle w:val="Refdenotaalpie"/>
        </w:rPr>
        <w:footnoteRef/>
      </w:r>
      <w:r w:rsidRPr="00A44E4B">
        <w:t xml:space="preserve"> </w:t>
      </w:r>
      <w:r w:rsidRPr="00477508">
        <w:t xml:space="preserve">IACHR, </w:t>
      </w:r>
      <w:r w:rsidRPr="00477508">
        <w:rPr>
          <w:i/>
          <w:iCs/>
        </w:rPr>
        <w:t xml:space="preserve">Guarantees for the Independence of Justice Operators. </w:t>
      </w:r>
      <w:r w:rsidRPr="00D223B5">
        <w:rPr>
          <w:i/>
          <w:iCs/>
        </w:rPr>
        <w:t>Towards Strengthening Access to Justice and the Rule of Law in the Americas</w:t>
      </w:r>
      <w:r w:rsidRPr="00D223B5">
        <w:t xml:space="preserve">, December 5, 2013, </w:t>
      </w:r>
      <w:r>
        <w:t>par</w:t>
      </w:r>
      <w:r w:rsidRPr="00D223B5">
        <w:t xml:space="preserve">. </w:t>
      </w:r>
      <w:r w:rsidRPr="00A44E4B">
        <w:t>187.</w:t>
      </w:r>
    </w:p>
  </w:footnote>
  <w:footnote w:id="63">
    <w:p w14:paraId="79A495FE" w14:textId="77777777" w:rsidR="00E6692A" w:rsidRPr="00A44E4B" w:rsidRDefault="00E6692A" w:rsidP="00E6692A">
      <w:pPr>
        <w:pStyle w:val="Textonotapie"/>
      </w:pPr>
      <w:r w:rsidRPr="00BE6681">
        <w:rPr>
          <w:rStyle w:val="Refdenotaalpie"/>
        </w:rPr>
        <w:footnoteRef/>
      </w:r>
      <w:r w:rsidRPr="00A44E4B">
        <w:rPr>
          <w:rStyle w:val="Refdenotaalpie"/>
        </w:rPr>
        <w:t xml:space="preserve"> </w:t>
      </w:r>
      <w:r w:rsidRPr="00477508">
        <w:t xml:space="preserve">IACHR, </w:t>
      </w:r>
      <w:r w:rsidRPr="00477508">
        <w:rPr>
          <w:i/>
          <w:iCs/>
        </w:rPr>
        <w:t xml:space="preserve">Guarantees for the Independence of Justice Operators. </w:t>
      </w:r>
      <w:r w:rsidRPr="00D223B5">
        <w:rPr>
          <w:i/>
          <w:iCs/>
        </w:rPr>
        <w:t>Towards Strengthening Access to Justice and the Rule of Law in the Americas</w:t>
      </w:r>
      <w:r w:rsidRPr="00D223B5">
        <w:t xml:space="preserve">, December 5, 2013, </w:t>
      </w:r>
      <w:r>
        <w:t>par</w:t>
      </w:r>
      <w:r w:rsidRPr="00D223B5">
        <w:t xml:space="preserve">. </w:t>
      </w:r>
      <w:r w:rsidRPr="00A44E4B">
        <w:t>208.</w:t>
      </w:r>
    </w:p>
  </w:footnote>
  <w:footnote w:id="64">
    <w:p w14:paraId="3A1B1754" w14:textId="77777777" w:rsidR="00E6692A" w:rsidRPr="006D5C5B" w:rsidRDefault="00E6692A" w:rsidP="00E6692A">
      <w:pPr>
        <w:pStyle w:val="Textonotapie"/>
        <w:tabs>
          <w:tab w:val="num" w:pos="0"/>
        </w:tabs>
      </w:pPr>
      <w:r w:rsidRPr="00BE6681">
        <w:rPr>
          <w:rStyle w:val="Refdenotaalpie"/>
        </w:rPr>
        <w:footnoteRef/>
      </w:r>
      <w:r w:rsidRPr="006D5C5B">
        <w:t xml:space="preserve"> </w:t>
      </w:r>
      <w:r w:rsidRPr="008048EA">
        <w:t xml:space="preserve">I/A Court H.R., </w:t>
      </w:r>
      <w:r w:rsidRPr="00EB4AD2">
        <w:rPr>
          <w:i/>
        </w:rPr>
        <w:t xml:space="preserve">Case of </w:t>
      </w:r>
      <w:proofErr w:type="spellStart"/>
      <w:r w:rsidRPr="00EB4AD2">
        <w:rPr>
          <w:i/>
        </w:rPr>
        <w:t>Kimel</w:t>
      </w:r>
      <w:proofErr w:type="spellEnd"/>
      <w:r w:rsidRPr="00EB4AD2">
        <w:rPr>
          <w:i/>
        </w:rPr>
        <w:t xml:space="preserve"> v. Argentina</w:t>
      </w:r>
      <w:r>
        <w:t xml:space="preserve">, Judgment of May </w:t>
      </w:r>
      <w:r w:rsidRPr="006D5C5B">
        <w:t>2</w:t>
      </w:r>
      <w:r>
        <w:t xml:space="preserve">, </w:t>
      </w:r>
      <w:r w:rsidRPr="006D5C5B">
        <w:t>2008</w:t>
      </w:r>
      <w:r>
        <w:t xml:space="preserve">, </w:t>
      </w:r>
      <w:r w:rsidRPr="006D5C5B">
        <w:t>Serie</w:t>
      </w:r>
      <w:r>
        <w:t>s</w:t>
      </w:r>
      <w:r w:rsidRPr="006D5C5B">
        <w:t xml:space="preserve"> C No. 177, </w:t>
      </w:r>
      <w:r>
        <w:t>paras</w:t>
      </w:r>
      <w:r w:rsidRPr="006D5C5B">
        <w:t xml:space="preserve">. 59 </w:t>
      </w:r>
      <w:r>
        <w:t>and following</w:t>
      </w:r>
      <w:r w:rsidRPr="006D5C5B">
        <w:t>.</w:t>
      </w:r>
    </w:p>
  </w:footnote>
  <w:footnote w:id="65">
    <w:p w14:paraId="3C5AB447" w14:textId="77777777" w:rsidR="00E6692A" w:rsidRPr="00191D78" w:rsidRDefault="00E6692A" w:rsidP="00E6692A">
      <w:pPr>
        <w:pStyle w:val="Textonotapie"/>
        <w:rPr>
          <w:b/>
        </w:rPr>
      </w:pPr>
      <w:r w:rsidRPr="00107D0E">
        <w:rPr>
          <w:rStyle w:val="Refdenotaalpie"/>
          <w:bCs/>
        </w:rPr>
        <w:footnoteRef/>
      </w:r>
      <w:r w:rsidRPr="00716B45">
        <w:rPr>
          <w:b/>
        </w:rPr>
        <w:t xml:space="preserve"> </w:t>
      </w:r>
      <w:r w:rsidRPr="00477508">
        <w:t xml:space="preserve">IACHR, </w:t>
      </w:r>
      <w:r w:rsidRPr="00477508">
        <w:rPr>
          <w:i/>
          <w:iCs/>
        </w:rPr>
        <w:t xml:space="preserve">Guarantees for </w:t>
      </w:r>
      <w:r w:rsidRPr="00191D78">
        <w:rPr>
          <w:i/>
          <w:iCs/>
        </w:rPr>
        <w:t>the Independence of Justice Operators. Towards Strengthening Access to Justice and the Rule of Law in the Americas</w:t>
      </w:r>
      <w:r w:rsidRPr="00191D78">
        <w:t xml:space="preserve">, December 5, 2013, par. </w:t>
      </w:r>
      <w:r w:rsidRPr="00191D78">
        <w:rPr>
          <w:rStyle w:val="Textoennegrita"/>
          <w:shd w:val="clear" w:color="auto" w:fill="FFFFFF"/>
        </w:rPr>
        <w:t>217.</w:t>
      </w:r>
    </w:p>
  </w:footnote>
  <w:footnote w:id="66">
    <w:p w14:paraId="7EC2DB8F" w14:textId="77777777" w:rsidR="00E6692A" w:rsidRPr="00191D78" w:rsidRDefault="00E6692A" w:rsidP="00E6692A">
      <w:pPr>
        <w:pStyle w:val="Textonotapie"/>
      </w:pPr>
      <w:r w:rsidRPr="00191D78">
        <w:rPr>
          <w:rStyle w:val="Refdenotaalpie"/>
        </w:rPr>
        <w:footnoteRef/>
      </w:r>
      <w:r w:rsidRPr="00191D78">
        <w:t xml:space="preserve"> I/A Court H.R., </w:t>
      </w:r>
      <w:r w:rsidRPr="00191D78">
        <w:rPr>
          <w:i/>
          <w:iCs/>
        </w:rPr>
        <w:t>Case of</w:t>
      </w:r>
      <w:r w:rsidRPr="00191D78">
        <w:rPr>
          <w:rFonts w:eastAsia="Times New Roman"/>
          <w:bCs/>
          <w:i/>
          <w:iCs/>
          <w:shd w:val="clear" w:color="auto" w:fill="FFFFFF"/>
        </w:rPr>
        <w:t xml:space="preserve"> López Lone et al. v. Honduras</w:t>
      </w:r>
      <w:r w:rsidRPr="00191D78">
        <w:rPr>
          <w:rFonts w:eastAsia="Times New Roman"/>
          <w:bCs/>
          <w:shd w:val="clear" w:color="auto" w:fill="FFFFFF"/>
        </w:rPr>
        <w:t xml:space="preserve">, Preliminary Objection, Merits, Reparations, and Costs, Judgment of October 5, 2015, Series C No. 302, par. </w:t>
      </w:r>
      <w:r w:rsidRPr="00191D78">
        <w:rPr>
          <w:color w:val="auto"/>
        </w:rPr>
        <w:t>264.</w:t>
      </w:r>
    </w:p>
  </w:footnote>
  <w:footnote w:id="67">
    <w:p w14:paraId="146E0000" w14:textId="77777777" w:rsidR="00E6692A" w:rsidRPr="00DF7569" w:rsidRDefault="00E6692A" w:rsidP="00E6692A">
      <w:pPr>
        <w:pStyle w:val="Textonotapie"/>
      </w:pPr>
      <w:r w:rsidRPr="00191D78">
        <w:rPr>
          <w:rStyle w:val="Refdenotaalpie"/>
        </w:rPr>
        <w:footnoteRef/>
      </w:r>
      <w:r w:rsidRPr="00191D78">
        <w:t xml:space="preserve"> </w:t>
      </w:r>
      <w:hyperlink r:id="rId11" w:history="1">
        <w:r w:rsidRPr="00191D78">
          <w:t xml:space="preserve"> I/A Court H.R., </w:t>
        </w:r>
        <w:r w:rsidRPr="00191D78">
          <w:rPr>
            <w:i/>
            <w:iCs/>
          </w:rPr>
          <w:t>Case of</w:t>
        </w:r>
        <w:r w:rsidRPr="00191D78">
          <w:rPr>
            <w:rFonts w:eastAsia="Times New Roman"/>
            <w:bCs/>
            <w:i/>
            <w:iCs/>
            <w:shd w:val="clear" w:color="auto" w:fill="FFFFFF"/>
          </w:rPr>
          <w:t xml:space="preserve"> López</w:t>
        </w:r>
        <w:r w:rsidRPr="00191D78">
          <w:rPr>
            <w:rStyle w:val="Hipervnculo"/>
            <w:rFonts w:cs="Arial"/>
            <w:i/>
            <w:iCs/>
            <w:color w:val="auto"/>
            <w:u w:val="none"/>
            <w:shd w:val="clear" w:color="auto" w:fill="FFFFFF"/>
          </w:rPr>
          <w:t xml:space="preserve"> Mendoza v. Venezuela</w:t>
        </w:r>
        <w:r w:rsidRPr="00191D78">
          <w:rPr>
            <w:rStyle w:val="Hipervnculo"/>
            <w:rFonts w:cs="Arial"/>
            <w:color w:val="auto"/>
            <w:u w:val="none"/>
            <w:shd w:val="clear" w:color="auto" w:fill="FFFFFF"/>
          </w:rPr>
          <w:t>, Merits, Reparations, and Costs, Judgment of September 1, 2011, Series C No. 233</w:t>
        </w:r>
      </w:hyperlink>
      <w:r w:rsidRPr="00DF7569">
        <w:rPr>
          <w:color w:val="auto"/>
        </w:rPr>
        <w:t xml:space="preserve">, </w:t>
      </w:r>
      <w:r>
        <w:rPr>
          <w:color w:val="auto"/>
        </w:rPr>
        <w:t>par</w:t>
      </w:r>
      <w:r w:rsidRPr="00DF7569">
        <w:rPr>
          <w:color w:val="auto"/>
        </w:rPr>
        <w:t>. 202.</w:t>
      </w:r>
    </w:p>
  </w:footnote>
  <w:footnote w:id="68">
    <w:p w14:paraId="5B02CE00" w14:textId="77777777" w:rsidR="00E6692A" w:rsidRPr="001D21EE" w:rsidRDefault="00E6692A" w:rsidP="00E6692A">
      <w:pPr>
        <w:pStyle w:val="Textonotapie"/>
      </w:pPr>
      <w:r>
        <w:rPr>
          <w:rStyle w:val="Refdenotaalpie"/>
        </w:rPr>
        <w:footnoteRef/>
      </w:r>
      <w:r w:rsidRPr="00C22DDB">
        <w:t xml:space="preserve"> </w:t>
      </w:r>
      <w:r w:rsidRPr="00C22DDB">
        <w:rPr>
          <w:rFonts w:ascii="Cambria" w:hAnsi="Cambria"/>
        </w:rPr>
        <w:t xml:space="preserve">Article 8(2) of the Convention establishes, in its </w:t>
      </w:r>
      <w:r>
        <w:rPr>
          <w:rFonts w:ascii="Cambria" w:hAnsi="Cambria"/>
        </w:rPr>
        <w:t>pertinent</w:t>
      </w:r>
      <w:r w:rsidRPr="00C22DDB">
        <w:rPr>
          <w:rFonts w:ascii="Cambria" w:hAnsi="Cambria"/>
        </w:rPr>
        <w:t xml:space="preserve"> sections: </w:t>
      </w:r>
      <w:r>
        <w:rPr>
          <w:rFonts w:ascii="Cambria" w:hAnsi="Cambria"/>
        </w:rPr>
        <w:t>“</w:t>
      </w:r>
      <w:r w:rsidRPr="00C22DDB">
        <w:rPr>
          <w:rFonts w:ascii="Cambria" w:hAnsi="Cambria"/>
        </w:rPr>
        <w:t xml:space="preserve">Every person accused of a criminal offense has the right to be presumed innocent so long as his guilt has </w:t>
      </w:r>
      <w:r>
        <w:rPr>
          <w:rFonts w:ascii="Cambria" w:hAnsi="Cambria"/>
        </w:rPr>
        <w:t>not been proven according to law</w:t>
      </w:r>
      <w:r w:rsidRPr="00C22DDB">
        <w:rPr>
          <w:rFonts w:ascii="Cambria" w:hAnsi="Cambria"/>
        </w:rPr>
        <w:t xml:space="preserve">. </w:t>
      </w:r>
      <w:r w:rsidRPr="001D21EE">
        <w:rPr>
          <w:rFonts w:ascii="Cambria" w:hAnsi="Cambria"/>
        </w:rPr>
        <w:t>During the proceedings, every person is entitled, with full equality, to the following minimum guarantees: …b. prior notification in detail to the accused of the charges against him; c. adequate time and means for the preparation of his defense; d. the right of the accused to defend himself personally or to be assisted by legal counsel of his own choosing</w:t>
      </w:r>
      <w:r>
        <w:rPr>
          <w:rFonts w:ascii="Cambria" w:hAnsi="Cambria"/>
        </w:rPr>
        <w:t>, and to communicate freely and privately with his counsel….”</w:t>
      </w:r>
    </w:p>
  </w:footnote>
  <w:footnote w:id="69">
    <w:p w14:paraId="15A5B337" w14:textId="77777777" w:rsidR="00E6692A" w:rsidRPr="00541538" w:rsidRDefault="00E6692A" w:rsidP="00E6692A">
      <w:pPr>
        <w:pStyle w:val="Textonotapie"/>
      </w:pPr>
      <w:r>
        <w:rPr>
          <w:rStyle w:val="Refdenotaalpie"/>
        </w:rPr>
        <w:footnoteRef/>
      </w:r>
      <w:r w:rsidRPr="00541538">
        <w:t xml:space="preserve"> Article 8(1) of the Convention establishes: “Every person has the right to a hearing, with due guarantees and within a reasonable time, by a competent, independent, and impartial tribunal, previously established by law, in the substantiation of any accusation of a criminal nature made against him or for the determination of his rights and obligations of </w:t>
      </w:r>
      <w:r>
        <w:t>a civil, labor, fiscal, or any other nature</w:t>
      </w:r>
      <w:r>
        <w:rPr>
          <w:rFonts w:cs="Tahoma"/>
        </w:rPr>
        <w:t>.”</w:t>
      </w:r>
    </w:p>
  </w:footnote>
  <w:footnote w:id="70">
    <w:p w14:paraId="10D8F6F6" w14:textId="77777777" w:rsidR="00E6692A" w:rsidRPr="00C961D2" w:rsidRDefault="00E6692A" w:rsidP="00E6692A">
      <w:pPr>
        <w:pStyle w:val="Textonotapie"/>
        <w:pBdr>
          <w:top w:val="none" w:sz="0" w:space="0" w:color="auto"/>
          <w:left w:val="none" w:sz="0" w:space="0" w:color="auto"/>
          <w:bottom w:val="none" w:sz="0" w:space="0" w:color="auto"/>
          <w:right w:val="none" w:sz="0" w:space="0" w:color="auto"/>
        </w:pBdr>
      </w:pPr>
      <w:r>
        <w:rPr>
          <w:vertAlign w:val="superscript"/>
        </w:rPr>
        <w:footnoteRef/>
      </w:r>
      <w:r w:rsidRPr="00B656CD">
        <w:t xml:space="preserve"> I/A Court H.R., </w:t>
      </w:r>
      <w:r w:rsidRPr="00FE18F0">
        <w:rPr>
          <w:i/>
          <w:iCs/>
        </w:rPr>
        <w:t>Juridical Condition and Rights of Undocumented Migrants</w:t>
      </w:r>
      <w:r>
        <w:t xml:space="preserve">, Advisory Opinion </w:t>
      </w:r>
      <w:r w:rsidRPr="00C961D2">
        <w:t>OC</w:t>
      </w:r>
      <w:r>
        <w:t>-</w:t>
      </w:r>
      <w:r w:rsidRPr="00C961D2">
        <w:t xml:space="preserve">18/03 </w:t>
      </w:r>
      <w:r>
        <w:t xml:space="preserve">of September </w:t>
      </w:r>
      <w:r w:rsidRPr="00C961D2">
        <w:t>17</w:t>
      </w:r>
      <w:r>
        <w:t xml:space="preserve">, </w:t>
      </w:r>
      <w:r w:rsidRPr="00C961D2">
        <w:t>2003</w:t>
      </w:r>
      <w:r>
        <w:t>,</w:t>
      </w:r>
      <w:r w:rsidRPr="00C961D2">
        <w:t xml:space="preserve"> Series A No. 18</w:t>
      </w:r>
      <w:r>
        <w:t xml:space="preserve">, par. </w:t>
      </w:r>
      <w:r w:rsidRPr="00C961D2">
        <w:t>121.</w:t>
      </w:r>
    </w:p>
  </w:footnote>
  <w:footnote w:id="71">
    <w:p w14:paraId="6E86F4C2" w14:textId="77777777" w:rsidR="00E6692A" w:rsidRPr="00432FEE" w:rsidRDefault="00E6692A" w:rsidP="00E6692A">
      <w:pPr>
        <w:pStyle w:val="Textonotapie"/>
        <w:pBdr>
          <w:top w:val="none" w:sz="0" w:space="0" w:color="auto"/>
          <w:left w:val="none" w:sz="0" w:space="0" w:color="auto"/>
          <w:bottom w:val="none" w:sz="0" w:space="0" w:color="auto"/>
          <w:right w:val="none" w:sz="0" w:space="0" w:color="auto"/>
        </w:pBdr>
      </w:pPr>
      <w:r>
        <w:rPr>
          <w:vertAlign w:val="superscript"/>
        </w:rPr>
        <w:footnoteRef/>
      </w:r>
      <w:r w:rsidRPr="00432FEE">
        <w:t xml:space="preserve"> </w:t>
      </w:r>
      <w:r w:rsidRPr="00477508">
        <w:t xml:space="preserve">IACHR, </w:t>
      </w:r>
      <w:r w:rsidRPr="00477508">
        <w:rPr>
          <w:i/>
          <w:iCs/>
        </w:rPr>
        <w:t xml:space="preserve">Guarantees for the Independence of Justice Operators. </w:t>
      </w:r>
      <w:r w:rsidRPr="00D223B5">
        <w:rPr>
          <w:i/>
          <w:iCs/>
        </w:rPr>
        <w:t>Towards Strengthening Access to Justice and the Rule of Law in the Americas</w:t>
      </w:r>
      <w:r w:rsidRPr="00D223B5">
        <w:t xml:space="preserve">, December 5, 2013, </w:t>
      </w:r>
      <w:r>
        <w:t>par</w:t>
      </w:r>
      <w:r w:rsidRPr="00432FEE">
        <w:rPr>
          <w:rFonts w:ascii="Cambria" w:hAnsi="Cambria"/>
        </w:rPr>
        <w:t>. 219.</w:t>
      </w:r>
    </w:p>
  </w:footnote>
  <w:footnote w:id="72">
    <w:p w14:paraId="4A68BBEC" w14:textId="77777777" w:rsidR="00E6692A" w:rsidRPr="00BB7BDC" w:rsidRDefault="00E6692A" w:rsidP="00E6692A">
      <w:pPr>
        <w:pStyle w:val="Textonotapie"/>
      </w:pPr>
      <w:r>
        <w:rPr>
          <w:rStyle w:val="Refdenotaalpie"/>
        </w:rPr>
        <w:footnoteRef/>
      </w:r>
      <w:r w:rsidRPr="00446A00">
        <w:t xml:space="preserve"> I/A Court H.R., </w:t>
      </w:r>
      <w:hyperlink r:id="rId12" w:history="1">
        <w:r w:rsidRPr="00191D78">
          <w:rPr>
            <w:rStyle w:val="Hipervnculo"/>
            <w:rFonts w:cs="Arial"/>
            <w:i/>
            <w:iCs/>
            <w:color w:val="auto"/>
            <w:u w:val="none"/>
            <w:shd w:val="clear" w:color="auto" w:fill="FFFFFF"/>
          </w:rPr>
          <w:t>Case of the Constitutional Court v. Peru</w:t>
        </w:r>
        <w:r w:rsidRPr="00191D78">
          <w:rPr>
            <w:rStyle w:val="Hipervnculo"/>
            <w:rFonts w:cs="Arial"/>
            <w:color w:val="auto"/>
            <w:u w:val="none"/>
            <w:shd w:val="clear" w:color="auto" w:fill="FFFFFF"/>
          </w:rPr>
          <w:t>, Merits, Reparations, and Costs, Judgment of January 31, 2001, Series C No. 71</w:t>
        </w:r>
      </w:hyperlink>
      <w:r w:rsidRPr="00191D78">
        <w:rPr>
          <w:color w:val="auto"/>
        </w:rPr>
        <w:t>,</w:t>
      </w:r>
      <w:r w:rsidRPr="00F51BB3">
        <w:rPr>
          <w:color w:val="auto"/>
        </w:rPr>
        <w:t xml:space="preserve"> </w:t>
      </w:r>
      <w:r>
        <w:rPr>
          <w:color w:val="auto"/>
        </w:rPr>
        <w:t>paras</w:t>
      </w:r>
      <w:r w:rsidRPr="00F51BB3">
        <w:rPr>
          <w:color w:val="auto"/>
        </w:rPr>
        <w:t xml:space="preserve">. </w:t>
      </w:r>
      <w:r>
        <w:rPr>
          <w:color w:val="auto"/>
        </w:rPr>
        <w:t>73-74</w:t>
      </w:r>
      <w:r w:rsidRPr="00BB7BDC">
        <w:t>.</w:t>
      </w:r>
    </w:p>
  </w:footnote>
  <w:footnote w:id="73">
    <w:p w14:paraId="2EFE39E8" w14:textId="77777777" w:rsidR="00E6692A" w:rsidRPr="00446A00" w:rsidRDefault="00E6692A" w:rsidP="00E6692A">
      <w:pPr>
        <w:pStyle w:val="Textonotapie"/>
      </w:pPr>
      <w:r>
        <w:rPr>
          <w:rStyle w:val="Refdenotaalpie"/>
        </w:rPr>
        <w:footnoteRef/>
      </w:r>
      <w:r w:rsidRPr="00446A00">
        <w:t xml:space="preserve"> European Commission for Democracy through Law (Venice Commission), Report on European Standards as regards the </w:t>
      </w:r>
      <w:r>
        <w:t>I</w:t>
      </w:r>
      <w:r w:rsidRPr="00446A00">
        <w:t>ndependence of</w:t>
      </w:r>
      <w:r>
        <w:t xml:space="preserve"> the Judicial System: Part II – The Prosecution Service. Adopted by the Venice Commission at its 85</w:t>
      </w:r>
      <w:r w:rsidRPr="00446A00">
        <w:rPr>
          <w:vertAlign w:val="superscript"/>
        </w:rPr>
        <w:t>th</w:t>
      </w:r>
      <w:r>
        <w:t xml:space="preserve"> plenary session (Venice, December 17-18, 2010), Strasbourg, January 3, 2011, par. </w:t>
      </w:r>
      <w:r w:rsidRPr="00446A00">
        <w:t>52.</w:t>
      </w:r>
    </w:p>
  </w:footnote>
  <w:footnote w:id="74">
    <w:p w14:paraId="6A0045B5" w14:textId="77777777" w:rsidR="00E6692A" w:rsidRPr="0098789A" w:rsidRDefault="00E6692A" w:rsidP="00E6692A">
      <w:pPr>
        <w:pStyle w:val="Textonotapie"/>
      </w:pPr>
      <w:r>
        <w:rPr>
          <w:rStyle w:val="Refdenotaalpie"/>
        </w:rPr>
        <w:footnoteRef/>
      </w:r>
      <w:r w:rsidRPr="0098789A">
        <w:t xml:space="preserve"> United Nations, Basic Principles on the Role of Lawyers, Eight</w:t>
      </w:r>
      <w:r>
        <w:t xml:space="preserve">h United Nations Congress on the Prevention of Crime and the Treatment of Defenders, Havana, August 27 to September 7, </w:t>
      </w:r>
      <w:r w:rsidRPr="0098789A">
        <w:t xml:space="preserve">1990, </w:t>
      </w:r>
      <w:r>
        <w:t>Principle</w:t>
      </w:r>
      <w:r w:rsidRPr="0098789A">
        <w:t xml:space="preserve"> 27.</w:t>
      </w:r>
    </w:p>
  </w:footnote>
  <w:footnote w:id="75">
    <w:p w14:paraId="277F1516" w14:textId="77777777" w:rsidR="00E6692A" w:rsidRPr="001C214F" w:rsidRDefault="00E6692A" w:rsidP="00E6692A">
      <w:pPr>
        <w:pStyle w:val="Textonotapie"/>
      </w:pPr>
      <w:r>
        <w:rPr>
          <w:rStyle w:val="Refdenotaalpie"/>
        </w:rPr>
        <w:footnoteRef/>
      </w:r>
      <w:r w:rsidRPr="001767F4">
        <w:t xml:space="preserve"> </w:t>
      </w:r>
      <w:r w:rsidRPr="00446A00">
        <w:t xml:space="preserve">I/A Court H.R., </w:t>
      </w:r>
      <w:hyperlink r:id="rId13" w:history="1">
        <w:r w:rsidRPr="00E4132B">
          <w:rPr>
            <w:rStyle w:val="Hipervnculo"/>
            <w:rFonts w:cs="Arial"/>
            <w:i/>
            <w:iCs/>
            <w:color w:val="auto"/>
            <w:u w:val="none"/>
            <w:shd w:val="clear" w:color="auto" w:fill="FFFFFF"/>
          </w:rPr>
          <w:t>Case of the Constitutional Court v. Peru</w:t>
        </w:r>
        <w:r w:rsidRPr="00F51BB3">
          <w:rPr>
            <w:rStyle w:val="Hipervnculo"/>
            <w:rFonts w:cs="Arial"/>
            <w:color w:val="auto"/>
            <w:u w:val="none"/>
            <w:shd w:val="clear" w:color="auto" w:fill="FFFFFF"/>
          </w:rPr>
          <w:t>, Merits, Reparations, and Costs, Judgment of January 31,</w:t>
        </w:r>
        <w:r>
          <w:rPr>
            <w:rStyle w:val="Hipervnculo"/>
            <w:rFonts w:cs="Arial"/>
            <w:color w:val="auto"/>
            <w:u w:val="none"/>
            <w:shd w:val="clear" w:color="auto" w:fill="FFFFFF"/>
          </w:rPr>
          <w:t xml:space="preserve"> 2001, Series </w:t>
        </w:r>
        <w:r w:rsidRPr="00F51BB3">
          <w:rPr>
            <w:rStyle w:val="Hipervnculo"/>
            <w:rFonts w:cs="Arial"/>
            <w:color w:val="auto"/>
            <w:u w:val="none"/>
            <w:shd w:val="clear" w:color="auto" w:fill="FFFFFF"/>
          </w:rPr>
          <w:t>C N</w:t>
        </w:r>
        <w:r w:rsidRPr="00602862">
          <w:rPr>
            <w:rStyle w:val="Hipervnculo"/>
            <w:rFonts w:cs="Arial"/>
            <w:color w:val="auto"/>
            <w:u w:val="none"/>
            <w:shd w:val="clear" w:color="auto" w:fill="FFFFFF"/>
          </w:rPr>
          <w:t>o. 71</w:t>
        </w:r>
      </w:hyperlink>
      <w:r w:rsidRPr="00F51BB3">
        <w:rPr>
          <w:color w:val="auto"/>
        </w:rPr>
        <w:t xml:space="preserve">, </w:t>
      </w:r>
      <w:r>
        <w:rPr>
          <w:color w:val="auto"/>
        </w:rPr>
        <w:t>paras</w:t>
      </w:r>
      <w:r w:rsidRPr="00F51BB3">
        <w:rPr>
          <w:color w:val="auto"/>
        </w:rPr>
        <w:t>.</w:t>
      </w:r>
      <w:r w:rsidRPr="001767F4">
        <w:t xml:space="preserve"> </w:t>
      </w:r>
      <w:r w:rsidRPr="001C214F">
        <w:t>81-83.</w:t>
      </w:r>
    </w:p>
  </w:footnote>
  <w:footnote w:id="76">
    <w:p w14:paraId="5158A8C9" w14:textId="77777777" w:rsidR="00E6692A" w:rsidRPr="005B1710" w:rsidRDefault="00E6692A" w:rsidP="00E6692A">
      <w:pPr>
        <w:pStyle w:val="Textonotapie"/>
      </w:pPr>
      <w:r w:rsidRPr="00BE6681">
        <w:rPr>
          <w:rStyle w:val="Refdenotaalpie"/>
        </w:rPr>
        <w:footnoteRef/>
      </w:r>
      <w:r w:rsidRPr="005B1710">
        <w:t xml:space="preserve"> IACHR, Report No. 72/17, Case 13.019, Report on Merits, Eduardo Rico, Argentina, July </w:t>
      </w:r>
      <w:r>
        <w:t xml:space="preserve">5, </w:t>
      </w:r>
      <w:r w:rsidRPr="005B1710">
        <w:t xml:space="preserve">2017, par. 116; and I/A Court H.R., </w:t>
      </w:r>
      <w:r w:rsidRPr="00FC1041">
        <w:rPr>
          <w:i/>
          <w:iCs/>
          <w:color w:val="auto"/>
        </w:rPr>
        <w:t xml:space="preserve">Case of Maldonado </w:t>
      </w:r>
      <w:proofErr w:type="spellStart"/>
      <w:r w:rsidRPr="00FC1041">
        <w:rPr>
          <w:i/>
          <w:iCs/>
          <w:color w:val="auto"/>
        </w:rPr>
        <w:t>Ordoñez</w:t>
      </w:r>
      <w:proofErr w:type="spellEnd"/>
      <w:r w:rsidRPr="00FC1041">
        <w:rPr>
          <w:i/>
          <w:iCs/>
          <w:color w:val="auto"/>
        </w:rPr>
        <w:t xml:space="preserve"> v. Guatemala</w:t>
      </w:r>
      <w:r>
        <w:rPr>
          <w:color w:val="auto"/>
        </w:rPr>
        <w:t xml:space="preserve">, </w:t>
      </w:r>
      <w:r w:rsidRPr="008048EA">
        <w:rPr>
          <w:rFonts w:eastAsia="Times New Roman"/>
          <w:bCs/>
          <w:shd w:val="clear" w:color="auto" w:fill="FFFFFF"/>
        </w:rPr>
        <w:t>Preliminary Object</w:t>
      </w:r>
      <w:r>
        <w:rPr>
          <w:rFonts w:eastAsia="Times New Roman"/>
          <w:bCs/>
          <w:shd w:val="clear" w:color="auto" w:fill="FFFFFF"/>
        </w:rPr>
        <w:t>ion, Merits, Reparations, and Costs, Judgment of</w:t>
      </w:r>
      <w:r>
        <w:rPr>
          <w:color w:val="auto"/>
        </w:rPr>
        <w:t xml:space="preserve"> May</w:t>
      </w:r>
      <w:r w:rsidRPr="00870B06">
        <w:rPr>
          <w:color w:val="auto"/>
        </w:rPr>
        <w:t xml:space="preserve"> 3</w:t>
      </w:r>
      <w:r>
        <w:rPr>
          <w:color w:val="auto"/>
        </w:rPr>
        <w:t xml:space="preserve">, </w:t>
      </w:r>
      <w:r w:rsidRPr="00870B06">
        <w:rPr>
          <w:color w:val="auto"/>
        </w:rPr>
        <w:t>2016</w:t>
      </w:r>
      <w:r>
        <w:rPr>
          <w:color w:val="auto"/>
        </w:rPr>
        <w:t>,</w:t>
      </w:r>
      <w:r w:rsidRPr="00870B06">
        <w:rPr>
          <w:color w:val="auto"/>
        </w:rPr>
        <w:t xml:space="preserve"> </w:t>
      </w:r>
      <w:r w:rsidRPr="00D848A4">
        <w:rPr>
          <w:color w:val="auto"/>
        </w:rPr>
        <w:t>Serie</w:t>
      </w:r>
      <w:r>
        <w:rPr>
          <w:color w:val="auto"/>
        </w:rPr>
        <w:t>s</w:t>
      </w:r>
      <w:r w:rsidRPr="00D848A4">
        <w:rPr>
          <w:color w:val="auto"/>
        </w:rPr>
        <w:t xml:space="preserve"> C No. 311, </w:t>
      </w:r>
      <w:r>
        <w:rPr>
          <w:color w:val="auto"/>
        </w:rPr>
        <w:t xml:space="preserve">par. </w:t>
      </w:r>
      <w:r w:rsidRPr="005B1710">
        <w:rPr>
          <w:noProof/>
        </w:rPr>
        <w:t>87.</w:t>
      </w:r>
    </w:p>
  </w:footnote>
  <w:footnote w:id="77">
    <w:p w14:paraId="514FFEE9" w14:textId="77777777" w:rsidR="00E6692A" w:rsidRPr="009B11F7" w:rsidRDefault="00E6692A" w:rsidP="00E6692A">
      <w:pPr>
        <w:pStyle w:val="Textonotapie"/>
        <w:rPr>
          <w:rFonts w:ascii="Cambria" w:hAnsi="Cambria"/>
        </w:rPr>
      </w:pPr>
      <w:r w:rsidRPr="00791C0C">
        <w:rPr>
          <w:rStyle w:val="Refdenotaalpie"/>
          <w:rFonts w:ascii="Cambria" w:hAnsi="Cambria"/>
        </w:rPr>
        <w:footnoteRef/>
      </w:r>
      <w:r w:rsidRPr="009B11F7">
        <w:rPr>
          <w:rFonts w:ascii="Cambria" w:hAnsi="Cambria"/>
        </w:rPr>
        <w:t xml:space="preserve"> </w:t>
      </w:r>
      <w:r w:rsidRPr="005B1710">
        <w:t xml:space="preserve">I/A Court H.R., </w:t>
      </w:r>
      <w:r w:rsidRPr="00FC1041">
        <w:rPr>
          <w:i/>
          <w:iCs/>
          <w:color w:val="auto"/>
        </w:rPr>
        <w:t xml:space="preserve">Case of </w:t>
      </w:r>
      <w:proofErr w:type="spellStart"/>
      <w:r w:rsidRPr="009B11F7">
        <w:rPr>
          <w:rFonts w:ascii="Cambria" w:hAnsi="Cambria"/>
          <w:bCs/>
          <w:i/>
          <w:iCs/>
        </w:rPr>
        <w:t>Chocrón</w:t>
      </w:r>
      <w:proofErr w:type="spellEnd"/>
      <w:r w:rsidRPr="009B11F7">
        <w:rPr>
          <w:rFonts w:ascii="Cambria" w:hAnsi="Cambria"/>
          <w:bCs/>
          <w:i/>
          <w:iCs/>
        </w:rPr>
        <w:t xml:space="preserve"> </w:t>
      </w:r>
      <w:proofErr w:type="spellStart"/>
      <w:r w:rsidRPr="009B11F7">
        <w:rPr>
          <w:rFonts w:ascii="Cambria" w:hAnsi="Cambria"/>
          <w:bCs/>
          <w:i/>
          <w:iCs/>
        </w:rPr>
        <w:t>Chocrón</w:t>
      </w:r>
      <w:proofErr w:type="spellEnd"/>
      <w:r w:rsidRPr="009B11F7">
        <w:rPr>
          <w:rFonts w:ascii="Cambria" w:hAnsi="Cambria"/>
          <w:bCs/>
          <w:i/>
          <w:iCs/>
        </w:rPr>
        <w:t xml:space="preserve"> v. Venezuela</w:t>
      </w:r>
      <w:r>
        <w:rPr>
          <w:rFonts w:ascii="Cambria" w:hAnsi="Cambria"/>
          <w:bCs/>
        </w:rPr>
        <w:t>,</w:t>
      </w:r>
      <w:r w:rsidRPr="009B11F7">
        <w:rPr>
          <w:rFonts w:ascii="Cambria" w:hAnsi="Cambria"/>
          <w:bCs/>
        </w:rPr>
        <w:t xml:space="preserve"> </w:t>
      </w:r>
      <w:r w:rsidRPr="008048EA">
        <w:rPr>
          <w:rFonts w:eastAsia="Times New Roman"/>
          <w:bCs/>
          <w:shd w:val="clear" w:color="auto" w:fill="FFFFFF"/>
        </w:rPr>
        <w:t>Preliminary Object</w:t>
      </w:r>
      <w:r>
        <w:rPr>
          <w:rFonts w:eastAsia="Times New Roman"/>
          <w:bCs/>
          <w:shd w:val="clear" w:color="auto" w:fill="FFFFFF"/>
        </w:rPr>
        <w:t>ion, Merits, Reparations, and Costs, Judgment of</w:t>
      </w:r>
      <w:r>
        <w:rPr>
          <w:color w:val="auto"/>
        </w:rPr>
        <w:t xml:space="preserve"> July 1,</w:t>
      </w:r>
      <w:r>
        <w:rPr>
          <w:rFonts w:ascii="Cambria" w:hAnsi="Cambria"/>
        </w:rPr>
        <w:t xml:space="preserve"> </w:t>
      </w:r>
      <w:r w:rsidRPr="009B11F7">
        <w:rPr>
          <w:rFonts w:ascii="Cambria" w:hAnsi="Cambria"/>
        </w:rPr>
        <w:t>2011</w:t>
      </w:r>
      <w:r>
        <w:rPr>
          <w:rFonts w:ascii="Cambria" w:hAnsi="Cambria"/>
        </w:rPr>
        <w:t>,</w:t>
      </w:r>
      <w:r w:rsidRPr="009B11F7">
        <w:rPr>
          <w:rFonts w:ascii="Cambria" w:hAnsi="Cambria"/>
        </w:rPr>
        <w:t xml:space="preserve"> Serie</w:t>
      </w:r>
      <w:r>
        <w:rPr>
          <w:rFonts w:ascii="Cambria" w:hAnsi="Cambria"/>
        </w:rPr>
        <w:t>s</w:t>
      </w:r>
      <w:r w:rsidRPr="009B11F7">
        <w:rPr>
          <w:rFonts w:ascii="Cambria" w:hAnsi="Cambria"/>
        </w:rPr>
        <w:t xml:space="preserve"> C No. 227, par. 118.</w:t>
      </w:r>
    </w:p>
  </w:footnote>
  <w:footnote w:id="78">
    <w:p w14:paraId="04F30CF6" w14:textId="77777777" w:rsidR="00E6692A" w:rsidRPr="00360AEA" w:rsidRDefault="00E6692A" w:rsidP="00E6692A">
      <w:pPr>
        <w:pStyle w:val="Textonotapie"/>
        <w:rPr>
          <w:rFonts w:ascii="Cambria" w:hAnsi="Cambria"/>
        </w:rPr>
      </w:pPr>
      <w:r w:rsidRPr="00791C0C">
        <w:rPr>
          <w:rStyle w:val="Refdenotaalpie"/>
          <w:rFonts w:ascii="Cambria" w:hAnsi="Cambria"/>
        </w:rPr>
        <w:footnoteRef/>
      </w:r>
      <w:r w:rsidRPr="00360AEA">
        <w:rPr>
          <w:rFonts w:ascii="Cambria" w:hAnsi="Cambria"/>
        </w:rPr>
        <w:t xml:space="preserve"> </w:t>
      </w:r>
      <w:r w:rsidRPr="005B1710">
        <w:t xml:space="preserve">I/A Court H.R., </w:t>
      </w:r>
      <w:r w:rsidRPr="00FC1041">
        <w:rPr>
          <w:i/>
          <w:iCs/>
          <w:color w:val="auto"/>
        </w:rPr>
        <w:t xml:space="preserve">Case of </w:t>
      </w:r>
      <w:proofErr w:type="spellStart"/>
      <w:r w:rsidRPr="009B11F7">
        <w:rPr>
          <w:rFonts w:ascii="Cambria" w:hAnsi="Cambria"/>
          <w:bCs/>
          <w:i/>
          <w:iCs/>
        </w:rPr>
        <w:t>Chocrón</w:t>
      </w:r>
      <w:proofErr w:type="spellEnd"/>
      <w:r w:rsidRPr="009B11F7">
        <w:rPr>
          <w:rFonts w:ascii="Cambria" w:hAnsi="Cambria"/>
          <w:bCs/>
          <w:i/>
          <w:iCs/>
        </w:rPr>
        <w:t xml:space="preserve"> </w:t>
      </w:r>
      <w:proofErr w:type="spellStart"/>
      <w:r w:rsidRPr="009B11F7">
        <w:rPr>
          <w:rFonts w:ascii="Cambria" w:hAnsi="Cambria"/>
          <w:bCs/>
          <w:i/>
          <w:iCs/>
        </w:rPr>
        <w:t>Chocrón</w:t>
      </w:r>
      <w:proofErr w:type="spellEnd"/>
      <w:r w:rsidRPr="009B11F7">
        <w:rPr>
          <w:rFonts w:ascii="Cambria" w:hAnsi="Cambria"/>
          <w:bCs/>
          <w:i/>
          <w:iCs/>
        </w:rPr>
        <w:t xml:space="preserve"> v. Venezuela</w:t>
      </w:r>
      <w:r>
        <w:rPr>
          <w:rFonts w:ascii="Cambria" w:hAnsi="Cambria"/>
          <w:bCs/>
        </w:rPr>
        <w:t>,</w:t>
      </w:r>
      <w:r w:rsidRPr="009B11F7">
        <w:rPr>
          <w:rFonts w:ascii="Cambria" w:hAnsi="Cambria"/>
          <w:bCs/>
        </w:rPr>
        <w:t xml:space="preserve"> </w:t>
      </w:r>
      <w:r w:rsidRPr="008048EA">
        <w:rPr>
          <w:rFonts w:eastAsia="Times New Roman"/>
          <w:bCs/>
          <w:shd w:val="clear" w:color="auto" w:fill="FFFFFF"/>
        </w:rPr>
        <w:t>Preliminary Object</w:t>
      </w:r>
      <w:r>
        <w:rPr>
          <w:rFonts w:eastAsia="Times New Roman"/>
          <w:bCs/>
          <w:shd w:val="clear" w:color="auto" w:fill="FFFFFF"/>
        </w:rPr>
        <w:t>ion, Merits, Reparations, and Costs, Judgment of</w:t>
      </w:r>
      <w:r>
        <w:rPr>
          <w:color w:val="auto"/>
        </w:rPr>
        <w:t xml:space="preserve"> July 1,</w:t>
      </w:r>
      <w:r>
        <w:rPr>
          <w:rFonts w:ascii="Cambria" w:hAnsi="Cambria"/>
        </w:rPr>
        <w:t xml:space="preserve"> </w:t>
      </w:r>
      <w:r w:rsidRPr="009B11F7">
        <w:rPr>
          <w:rFonts w:ascii="Cambria" w:hAnsi="Cambria"/>
        </w:rPr>
        <w:t>2011</w:t>
      </w:r>
      <w:r>
        <w:rPr>
          <w:rFonts w:ascii="Cambria" w:hAnsi="Cambria"/>
        </w:rPr>
        <w:t>,</w:t>
      </w:r>
      <w:r w:rsidRPr="009B11F7">
        <w:rPr>
          <w:rFonts w:ascii="Cambria" w:hAnsi="Cambria"/>
        </w:rPr>
        <w:t xml:space="preserve"> Serie</w:t>
      </w:r>
      <w:r>
        <w:rPr>
          <w:rFonts w:ascii="Cambria" w:hAnsi="Cambria"/>
        </w:rPr>
        <w:t>s</w:t>
      </w:r>
      <w:r w:rsidRPr="009B11F7">
        <w:rPr>
          <w:rFonts w:ascii="Cambria" w:hAnsi="Cambria"/>
        </w:rPr>
        <w:t xml:space="preserve"> C No. 227, par. </w:t>
      </w:r>
      <w:r w:rsidRPr="00360AEA">
        <w:rPr>
          <w:rFonts w:ascii="Cambria" w:hAnsi="Cambria"/>
        </w:rPr>
        <w:t xml:space="preserve">120. </w:t>
      </w:r>
    </w:p>
  </w:footnote>
  <w:footnote w:id="79">
    <w:p w14:paraId="7B44E473" w14:textId="77777777" w:rsidR="00E6692A" w:rsidRPr="00360AEA" w:rsidRDefault="00E6692A" w:rsidP="00E6692A">
      <w:pPr>
        <w:pStyle w:val="Textonotapie"/>
        <w:rPr>
          <w:rFonts w:ascii="Cambria" w:hAnsi="Cambria"/>
          <w:b/>
        </w:rPr>
      </w:pPr>
      <w:r w:rsidRPr="00791C0C">
        <w:rPr>
          <w:rStyle w:val="Refdenotaalpie"/>
          <w:rFonts w:ascii="Cambria" w:hAnsi="Cambria"/>
        </w:rPr>
        <w:footnoteRef/>
      </w:r>
      <w:r w:rsidRPr="00360AEA">
        <w:rPr>
          <w:rFonts w:ascii="Cambria" w:hAnsi="Cambria"/>
        </w:rPr>
        <w:t xml:space="preserve"> </w:t>
      </w:r>
      <w:r w:rsidRPr="005B1710">
        <w:t xml:space="preserve">I/A Court H.R., </w:t>
      </w:r>
      <w:r w:rsidRPr="00FC1041">
        <w:rPr>
          <w:i/>
          <w:iCs/>
          <w:color w:val="auto"/>
        </w:rPr>
        <w:t xml:space="preserve">Case of </w:t>
      </w:r>
      <w:proofErr w:type="spellStart"/>
      <w:r w:rsidRPr="009B11F7">
        <w:rPr>
          <w:rFonts w:ascii="Cambria" w:hAnsi="Cambria"/>
          <w:bCs/>
          <w:i/>
          <w:iCs/>
        </w:rPr>
        <w:t>Chocrón</w:t>
      </w:r>
      <w:proofErr w:type="spellEnd"/>
      <w:r w:rsidRPr="009B11F7">
        <w:rPr>
          <w:rFonts w:ascii="Cambria" w:hAnsi="Cambria"/>
          <w:bCs/>
          <w:i/>
          <w:iCs/>
        </w:rPr>
        <w:t xml:space="preserve"> </w:t>
      </w:r>
      <w:proofErr w:type="spellStart"/>
      <w:r w:rsidRPr="009B11F7">
        <w:rPr>
          <w:rFonts w:ascii="Cambria" w:hAnsi="Cambria"/>
          <w:bCs/>
          <w:i/>
          <w:iCs/>
        </w:rPr>
        <w:t>Chocrón</w:t>
      </w:r>
      <w:proofErr w:type="spellEnd"/>
      <w:r w:rsidRPr="009B11F7">
        <w:rPr>
          <w:rFonts w:ascii="Cambria" w:hAnsi="Cambria"/>
          <w:bCs/>
          <w:i/>
          <w:iCs/>
        </w:rPr>
        <w:t xml:space="preserve"> v. Venezuela</w:t>
      </w:r>
      <w:r>
        <w:rPr>
          <w:rFonts w:ascii="Cambria" w:hAnsi="Cambria"/>
          <w:bCs/>
        </w:rPr>
        <w:t>,</w:t>
      </w:r>
      <w:r w:rsidRPr="009B11F7">
        <w:rPr>
          <w:rFonts w:ascii="Cambria" w:hAnsi="Cambria"/>
          <w:bCs/>
        </w:rPr>
        <w:t xml:space="preserve"> </w:t>
      </w:r>
      <w:r w:rsidRPr="008048EA">
        <w:rPr>
          <w:rFonts w:eastAsia="Times New Roman"/>
          <w:bCs/>
          <w:shd w:val="clear" w:color="auto" w:fill="FFFFFF"/>
        </w:rPr>
        <w:t>Preliminary Object</w:t>
      </w:r>
      <w:r>
        <w:rPr>
          <w:rFonts w:eastAsia="Times New Roman"/>
          <w:bCs/>
          <w:shd w:val="clear" w:color="auto" w:fill="FFFFFF"/>
        </w:rPr>
        <w:t>ion, Merits, Reparations, and Costs, Judgment of</w:t>
      </w:r>
      <w:r>
        <w:rPr>
          <w:color w:val="auto"/>
        </w:rPr>
        <w:t xml:space="preserve"> July 1,</w:t>
      </w:r>
      <w:r>
        <w:rPr>
          <w:rFonts w:ascii="Cambria" w:hAnsi="Cambria"/>
        </w:rPr>
        <w:t xml:space="preserve"> </w:t>
      </w:r>
      <w:r w:rsidRPr="009B11F7">
        <w:rPr>
          <w:rFonts w:ascii="Cambria" w:hAnsi="Cambria"/>
        </w:rPr>
        <w:t>2011</w:t>
      </w:r>
      <w:r>
        <w:rPr>
          <w:rFonts w:ascii="Cambria" w:hAnsi="Cambria"/>
        </w:rPr>
        <w:t>,</w:t>
      </w:r>
      <w:r w:rsidRPr="009B11F7">
        <w:rPr>
          <w:rFonts w:ascii="Cambria" w:hAnsi="Cambria"/>
        </w:rPr>
        <w:t xml:space="preserve"> Serie</w:t>
      </w:r>
      <w:r>
        <w:rPr>
          <w:rFonts w:ascii="Cambria" w:hAnsi="Cambria"/>
        </w:rPr>
        <w:t>s</w:t>
      </w:r>
      <w:r w:rsidRPr="009B11F7">
        <w:rPr>
          <w:rFonts w:ascii="Cambria" w:hAnsi="Cambria"/>
        </w:rPr>
        <w:t xml:space="preserve"> C No. 227, par. </w:t>
      </w:r>
      <w:r w:rsidRPr="00360AEA">
        <w:rPr>
          <w:rFonts w:ascii="Cambria" w:hAnsi="Cambria"/>
        </w:rPr>
        <w:t xml:space="preserve">120. </w:t>
      </w:r>
    </w:p>
  </w:footnote>
  <w:footnote w:id="80">
    <w:p w14:paraId="1CFCFAA1" w14:textId="77777777" w:rsidR="00E6692A" w:rsidRPr="00722254" w:rsidRDefault="00E6692A" w:rsidP="00E6692A">
      <w:pPr>
        <w:tabs>
          <w:tab w:val="left" w:pos="720"/>
        </w:tabs>
        <w:jc w:val="both"/>
        <w:rPr>
          <w:rFonts w:asciiTheme="majorHAnsi" w:hAnsiTheme="majorHAnsi"/>
          <w:sz w:val="16"/>
          <w:szCs w:val="16"/>
        </w:rPr>
      </w:pPr>
      <w:r w:rsidRPr="00BE6681">
        <w:rPr>
          <w:rStyle w:val="Refdenotaalpie"/>
          <w:rFonts w:asciiTheme="majorHAnsi" w:hAnsiTheme="majorHAnsi"/>
          <w:sz w:val="16"/>
          <w:szCs w:val="16"/>
        </w:rPr>
        <w:footnoteRef/>
      </w:r>
      <w:r w:rsidRPr="00722254">
        <w:rPr>
          <w:rFonts w:asciiTheme="majorHAnsi" w:hAnsiTheme="majorHAnsi"/>
          <w:sz w:val="16"/>
          <w:szCs w:val="16"/>
        </w:rPr>
        <w:t xml:space="preserve"> Article 25(1) of the Convention establishes: “Everyone has the right to simple and prompt recourse, or any other effective recourse, to a competent court or tribunal for protection against acts that violate his fundamental rights recognized by the constitution or laws of the state concerned or by this Convention, even though such violation may have been committed by persons acting</w:t>
      </w:r>
      <w:r>
        <w:rPr>
          <w:rFonts w:asciiTheme="majorHAnsi" w:hAnsiTheme="majorHAnsi"/>
          <w:sz w:val="16"/>
          <w:szCs w:val="16"/>
        </w:rPr>
        <w:t xml:space="preserve"> in the course of their official duties.”</w:t>
      </w:r>
    </w:p>
  </w:footnote>
  <w:footnote w:id="81">
    <w:p w14:paraId="3027A6DD" w14:textId="77777777" w:rsidR="00E6692A" w:rsidRPr="00967EE8" w:rsidRDefault="00E6692A" w:rsidP="00E6692A">
      <w:pPr>
        <w:pStyle w:val="Textonotapie"/>
      </w:pPr>
      <w:r>
        <w:rPr>
          <w:rStyle w:val="Refdenotaalpie"/>
        </w:rPr>
        <w:footnoteRef/>
      </w:r>
      <w:r w:rsidRPr="00530C3C">
        <w:t xml:space="preserve"> </w:t>
      </w:r>
      <w:r w:rsidRPr="00541538">
        <w:t xml:space="preserve">Article 8(1) of the Convention establishes: “Every person has the right to </w:t>
      </w:r>
      <w:r w:rsidRPr="00967EE8">
        <w:t>a hearing, with due guarantees and within a reasonable time, by a competent, independent, and impartial tribunal, previously established by law, in the substantiation of any accusation of a criminal nature made against him or for the determination of his rights and obligations of a civil, labor, fiscal, or any other nature</w:t>
      </w:r>
      <w:r w:rsidRPr="00967EE8">
        <w:rPr>
          <w:rFonts w:cs="Tahoma"/>
        </w:rPr>
        <w:t>.”</w:t>
      </w:r>
    </w:p>
  </w:footnote>
  <w:footnote w:id="82">
    <w:p w14:paraId="7C3944D9" w14:textId="77777777" w:rsidR="00E6692A" w:rsidRPr="00967EE8" w:rsidRDefault="00E6692A" w:rsidP="00E6692A">
      <w:pPr>
        <w:tabs>
          <w:tab w:val="left" w:pos="180"/>
          <w:tab w:val="left" w:pos="900"/>
          <w:tab w:val="left" w:pos="1080"/>
        </w:tabs>
        <w:jc w:val="both"/>
        <w:rPr>
          <w:rFonts w:asciiTheme="majorHAnsi" w:hAnsiTheme="majorHAnsi"/>
          <w:sz w:val="16"/>
          <w:szCs w:val="16"/>
        </w:rPr>
      </w:pPr>
      <w:r w:rsidRPr="00967EE8">
        <w:rPr>
          <w:rStyle w:val="Refdenotaalpie"/>
          <w:rFonts w:asciiTheme="majorHAnsi" w:hAnsiTheme="majorHAnsi"/>
          <w:sz w:val="16"/>
          <w:szCs w:val="16"/>
        </w:rPr>
        <w:footnoteRef/>
      </w:r>
      <w:r w:rsidRPr="00967EE8">
        <w:rPr>
          <w:rFonts w:asciiTheme="majorHAnsi" w:hAnsiTheme="majorHAnsi"/>
          <w:color w:val="000000"/>
          <w:sz w:val="16"/>
          <w:szCs w:val="16"/>
        </w:rPr>
        <w:t xml:space="preserve">I/A Court H.R., </w:t>
      </w:r>
      <w:r w:rsidRPr="00967EE8">
        <w:rPr>
          <w:rFonts w:asciiTheme="majorHAnsi" w:hAnsiTheme="majorHAnsi"/>
          <w:i/>
          <w:iCs/>
          <w:color w:val="000000"/>
          <w:sz w:val="16"/>
          <w:szCs w:val="16"/>
        </w:rPr>
        <w:t xml:space="preserve">Case of the Dismissed Congressional Employees </w:t>
      </w:r>
      <w:r w:rsidRPr="00967EE8">
        <w:rPr>
          <w:rFonts w:asciiTheme="majorHAnsi" w:hAnsiTheme="majorHAnsi"/>
          <w:bCs/>
          <w:i/>
          <w:iCs/>
          <w:color w:val="000000"/>
          <w:sz w:val="16"/>
          <w:szCs w:val="16"/>
        </w:rPr>
        <w:t>(</w:t>
      </w:r>
      <w:proofErr w:type="spellStart"/>
      <w:r w:rsidRPr="00967EE8">
        <w:rPr>
          <w:rFonts w:asciiTheme="majorHAnsi" w:hAnsiTheme="majorHAnsi"/>
          <w:bCs/>
          <w:i/>
          <w:iCs/>
          <w:color w:val="000000"/>
          <w:sz w:val="16"/>
          <w:szCs w:val="16"/>
        </w:rPr>
        <w:t>Aguado</w:t>
      </w:r>
      <w:proofErr w:type="spellEnd"/>
      <w:r w:rsidRPr="00967EE8">
        <w:rPr>
          <w:rFonts w:asciiTheme="majorHAnsi" w:hAnsiTheme="majorHAnsi"/>
          <w:bCs/>
          <w:i/>
          <w:iCs/>
          <w:color w:val="000000"/>
          <w:sz w:val="16"/>
          <w:szCs w:val="16"/>
        </w:rPr>
        <w:t xml:space="preserve"> Alfaro et al.) v. Peru</w:t>
      </w:r>
      <w:r w:rsidRPr="00967EE8">
        <w:rPr>
          <w:rFonts w:asciiTheme="majorHAnsi" w:hAnsiTheme="majorHAnsi"/>
          <w:bCs/>
          <w:color w:val="000000"/>
          <w:sz w:val="16"/>
          <w:szCs w:val="16"/>
        </w:rPr>
        <w:t xml:space="preserve">, </w:t>
      </w:r>
      <w:r w:rsidRPr="00967EE8">
        <w:rPr>
          <w:rFonts w:asciiTheme="majorHAnsi" w:hAnsiTheme="majorHAnsi"/>
          <w:color w:val="000000"/>
          <w:sz w:val="16"/>
          <w:szCs w:val="16"/>
        </w:rPr>
        <w:t xml:space="preserve">Preliminary Objections, Merits, Reparations, and Costs, Judgment of November 24, 2006, Series C No. 158, par. 125; </w:t>
      </w:r>
      <w:r w:rsidRPr="00967EE8">
        <w:rPr>
          <w:rFonts w:asciiTheme="majorHAnsi" w:hAnsiTheme="majorHAnsi"/>
          <w:i/>
          <w:iCs/>
          <w:color w:val="000000"/>
          <w:sz w:val="16"/>
          <w:szCs w:val="16"/>
        </w:rPr>
        <w:t>Case of the</w:t>
      </w:r>
      <w:r w:rsidRPr="00967EE8">
        <w:rPr>
          <w:rFonts w:asciiTheme="majorHAnsi" w:hAnsiTheme="majorHAnsi"/>
          <w:bCs/>
          <w:i/>
          <w:iCs/>
          <w:color w:val="000000"/>
          <w:sz w:val="16"/>
          <w:szCs w:val="16"/>
        </w:rPr>
        <w:t xml:space="preserve"> </w:t>
      </w:r>
      <w:proofErr w:type="spellStart"/>
      <w:r w:rsidRPr="00967EE8">
        <w:rPr>
          <w:rFonts w:asciiTheme="majorHAnsi" w:hAnsiTheme="majorHAnsi"/>
          <w:bCs/>
          <w:i/>
          <w:iCs/>
          <w:color w:val="000000"/>
          <w:sz w:val="16"/>
          <w:szCs w:val="16"/>
        </w:rPr>
        <w:t>Yakye</w:t>
      </w:r>
      <w:proofErr w:type="spellEnd"/>
      <w:r w:rsidRPr="00967EE8">
        <w:rPr>
          <w:rFonts w:asciiTheme="majorHAnsi" w:hAnsiTheme="majorHAnsi"/>
          <w:bCs/>
          <w:i/>
          <w:iCs/>
          <w:color w:val="000000"/>
          <w:sz w:val="16"/>
          <w:szCs w:val="16"/>
        </w:rPr>
        <w:t xml:space="preserve"> </w:t>
      </w:r>
      <w:proofErr w:type="spellStart"/>
      <w:r w:rsidRPr="00967EE8">
        <w:rPr>
          <w:rFonts w:asciiTheme="majorHAnsi" w:hAnsiTheme="majorHAnsi"/>
          <w:bCs/>
          <w:i/>
          <w:iCs/>
          <w:color w:val="000000"/>
          <w:sz w:val="16"/>
          <w:szCs w:val="16"/>
        </w:rPr>
        <w:t>Axa</w:t>
      </w:r>
      <w:proofErr w:type="spellEnd"/>
      <w:r w:rsidRPr="00967EE8">
        <w:rPr>
          <w:rFonts w:asciiTheme="majorHAnsi" w:hAnsiTheme="majorHAnsi"/>
          <w:bCs/>
          <w:i/>
          <w:iCs/>
          <w:color w:val="000000"/>
          <w:sz w:val="16"/>
          <w:szCs w:val="16"/>
        </w:rPr>
        <w:t xml:space="preserve"> Indigenous Community v. Paraguay</w:t>
      </w:r>
      <w:r w:rsidRPr="00967EE8">
        <w:rPr>
          <w:rFonts w:asciiTheme="majorHAnsi" w:hAnsiTheme="majorHAnsi"/>
          <w:bCs/>
          <w:color w:val="000000"/>
          <w:sz w:val="16"/>
          <w:szCs w:val="16"/>
        </w:rPr>
        <w:t>, Merits, Reparations, and Costs, Judgment of June</w:t>
      </w:r>
      <w:r w:rsidRPr="00967EE8">
        <w:rPr>
          <w:rFonts w:asciiTheme="majorHAnsi" w:hAnsiTheme="majorHAnsi"/>
          <w:color w:val="000000"/>
          <w:sz w:val="16"/>
          <w:szCs w:val="16"/>
        </w:rPr>
        <w:t xml:space="preserve"> 17, 2005, Series C No. 125</w:t>
      </w:r>
      <w:r w:rsidRPr="00967EE8">
        <w:rPr>
          <w:rFonts w:asciiTheme="majorHAnsi" w:hAnsiTheme="majorHAnsi"/>
          <w:sz w:val="16"/>
          <w:szCs w:val="16"/>
        </w:rPr>
        <w:t xml:space="preserve">, par. 62; </w:t>
      </w:r>
      <w:r w:rsidRPr="00967EE8">
        <w:rPr>
          <w:rFonts w:asciiTheme="majorHAnsi" w:hAnsiTheme="majorHAnsi"/>
          <w:bCs/>
          <w:i/>
          <w:iCs/>
          <w:color w:val="000000"/>
          <w:sz w:val="16"/>
          <w:szCs w:val="16"/>
        </w:rPr>
        <w:t>Case of the “Five Pensioners” v. Peru</w:t>
      </w:r>
      <w:r w:rsidRPr="00967EE8">
        <w:rPr>
          <w:rFonts w:asciiTheme="majorHAnsi" w:hAnsiTheme="majorHAnsi"/>
          <w:bCs/>
          <w:color w:val="000000"/>
          <w:sz w:val="16"/>
          <w:szCs w:val="16"/>
        </w:rPr>
        <w:t>, Merits, Reparations, and Costs, Judgment of February</w:t>
      </w:r>
      <w:r w:rsidRPr="00967EE8">
        <w:rPr>
          <w:rFonts w:asciiTheme="majorHAnsi" w:hAnsiTheme="majorHAnsi"/>
          <w:color w:val="000000"/>
          <w:sz w:val="16"/>
          <w:szCs w:val="16"/>
        </w:rPr>
        <w:t xml:space="preserve"> 28, 2003, Series C No. 98, par. </w:t>
      </w:r>
      <w:r w:rsidRPr="00967EE8">
        <w:rPr>
          <w:rFonts w:asciiTheme="majorHAnsi" w:hAnsiTheme="majorHAnsi"/>
          <w:sz w:val="16"/>
          <w:szCs w:val="16"/>
        </w:rPr>
        <w:t>136.</w:t>
      </w:r>
    </w:p>
  </w:footnote>
  <w:footnote w:id="83">
    <w:p w14:paraId="3C132D7F" w14:textId="77777777" w:rsidR="00E6692A" w:rsidRPr="00967EE8" w:rsidRDefault="00E6692A" w:rsidP="00E6692A">
      <w:pPr>
        <w:pStyle w:val="Textonotapie"/>
        <w:pBdr>
          <w:top w:val="none" w:sz="0" w:space="0" w:color="auto"/>
          <w:left w:val="none" w:sz="0" w:space="0" w:color="auto"/>
          <w:bottom w:val="none" w:sz="0" w:space="0" w:color="auto"/>
          <w:right w:val="none" w:sz="0" w:space="0" w:color="auto"/>
        </w:pBdr>
      </w:pPr>
      <w:r w:rsidRPr="00967EE8">
        <w:rPr>
          <w:vertAlign w:val="superscript"/>
        </w:rPr>
        <w:footnoteRef/>
      </w:r>
      <w:r w:rsidRPr="00967EE8">
        <w:t xml:space="preserve"> I/A Court H.R., </w:t>
      </w:r>
      <w:r w:rsidRPr="00967EE8">
        <w:rPr>
          <w:i/>
          <w:iCs/>
          <w:noProof/>
          <w:lang w:val="pt-BR"/>
        </w:rPr>
        <w:t xml:space="preserve">Case of Barreto Leiva v. </w:t>
      </w:r>
      <w:r w:rsidRPr="00967EE8">
        <w:rPr>
          <w:i/>
          <w:iCs/>
          <w:noProof/>
        </w:rPr>
        <w:t>Venezuela</w:t>
      </w:r>
      <w:r w:rsidRPr="00967EE8">
        <w:rPr>
          <w:noProof/>
        </w:rPr>
        <w:t>, Merits, Reparations and Costs, Judgment of November 17, 2009, Series C No. 206, par.</w:t>
      </w:r>
      <w:r w:rsidRPr="00967EE8">
        <w:t xml:space="preserve"> 75.</w:t>
      </w:r>
    </w:p>
  </w:footnote>
  <w:footnote w:id="84">
    <w:p w14:paraId="46C533EF" w14:textId="77777777" w:rsidR="00E6692A" w:rsidRPr="00967EE8" w:rsidRDefault="00E6692A" w:rsidP="00E6692A">
      <w:pPr>
        <w:pStyle w:val="Textonotapie"/>
        <w:pBdr>
          <w:top w:val="none" w:sz="0" w:space="0" w:color="auto"/>
          <w:left w:val="none" w:sz="0" w:space="0" w:color="auto"/>
          <w:bottom w:val="none" w:sz="0" w:space="0" w:color="auto"/>
          <w:right w:val="none" w:sz="0" w:space="0" w:color="auto"/>
        </w:pBdr>
      </w:pPr>
      <w:r w:rsidRPr="00967EE8">
        <w:rPr>
          <w:vertAlign w:val="superscript"/>
        </w:rPr>
        <w:footnoteRef/>
      </w:r>
      <w:r w:rsidRPr="00967EE8">
        <w:t xml:space="preserve"> I/A Court H.R., </w:t>
      </w:r>
      <w:r w:rsidRPr="00967EE8">
        <w:rPr>
          <w:i/>
          <w:iCs/>
          <w:noProof/>
          <w:lang w:val="pt-BR"/>
        </w:rPr>
        <w:t xml:space="preserve">Case of </w:t>
      </w:r>
      <w:proofErr w:type="spellStart"/>
      <w:r w:rsidRPr="00967EE8">
        <w:rPr>
          <w:i/>
          <w:iCs/>
        </w:rPr>
        <w:t>Apitz</w:t>
      </w:r>
      <w:proofErr w:type="spellEnd"/>
      <w:r w:rsidRPr="00967EE8">
        <w:rPr>
          <w:i/>
          <w:iCs/>
        </w:rPr>
        <w:t xml:space="preserve"> Barbera et al. (“First Court of Administrative Disputes”) v. Venezuela</w:t>
      </w:r>
      <w:r w:rsidRPr="00967EE8">
        <w:t>, Preliminary Objection, Merits, Reparations, and Costs, Judgment of</w:t>
      </w:r>
      <w:r w:rsidRPr="00967EE8">
        <w:rPr>
          <w:rFonts w:ascii="Cambria" w:hAnsi="Cambria"/>
          <w:color w:val="auto"/>
        </w:rPr>
        <w:t xml:space="preserve"> August 5, 2008, Series C No 182</w:t>
      </w:r>
      <w:r w:rsidRPr="00967EE8">
        <w:t xml:space="preserve">, par. 55, and </w:t>
      </w:r>
      <w:r w:rsidRPr="00967EE8">
        <w:rPr>
          <w:i/>
          <w:iCs/>
        </w:rPr>
        <w:t>Case of the Constitutional Tribunal (</w:t>
      </w:r>
      <w:proofErr w:type="spellStart"/>
      <w:r w:rsidRPr="00967EE8">
        <w:rPr>
          <w:i/>
          <w:iCs/>
        </w:rPr>
        <w:t>Camba</w:t>
      </w:r>
      <w:proofErr w:type="spellEnd"/>
      <w:r w:rsidRPr="00967EE8">
        <w:rPr>
          <w:i/>
          <w:iCs/>
        </w:rPr>
        <w:t xml:space="preserve"> Campos et al.) v. Ecuador</w:t>
      </w:r>
      <w:r w:rsidRPr="00967EE8">
        <w:t>, Preliminary Objection, Merits, Reparations, and Costs, Judgment of August 28, 2013. Series C No, 268, par. 188.</w:t>
      </w:r>
    </w:p>
  </w:footnote>
  <w:footnote w:id="85">
    <w:p w14:paraId="166626A7" w14:textId="77777777" w:rsidR="00E6692A" w:rsidRPr="00967EE8" w:rsidRDefault="00E6692A" w:rsidP="00E6692A">
      <w:pPr>
        <w:pStyle w:val="Textonotapie"/>
        <w:pBdr>
          <w:top w:val="none" w:sz="0" w:space="0" w:color="auto"/>
          <w:left w:val="none" w:sz="0" w:space="0" w:color="auto"/>
          <w:bottom w:val="none" w:sz="0" w:space="0" w:color="auto"/>
          <w:right w:val="none" w:sz="0" w:space="0" w:color="auto"/>
        </w:pBdr>
        <w:rPr>
          <w:lang w:val="pt-BR"/>
        </w:rPr>
      </w:pPr>
      <w:r w:rsidRPr="00967EE8">
        <w:rPr>
          <w:vertAlign w:val="superscript"/>
        </w:rPr>
        <w:footnoteRef/>
      </w:r>
      <w:r w:rsidRPr="00967EE8">
        <w:t xml:space="preserve"> I/A Court H.R., </w:t>
      </w:r>
      <w:r w:rsidRPr="00967EE8">
        <w:rPr>
          <w:i/>
          <w:iCs/>
        </w:rPr>
        <w:t xml:space="preserve">Case of </w:t>
      </w:r>
      <w:proofErr w:type="spellStart"/>
      <w:r w:rsidRPr="00967EE8">
        <w:rPr>
          <w:i/>
          <w:iCs/>
        </w:rPr>
        <w:t>Reverón</w:t>
      </w:r>
      <w:proofErr w:type="spellEnd"/>
      <w:r w:rsidRPr="00967EE8">
        <w:rPr>
          <w:i/>
          <w:iCs/>
        </w:rPr>
        <w:t xml:space="preserve"> Trujillo v. Venezuela</w:t>
      </w:r>
      <w:r w:rsidRPr="00967EE8">
        <w:t>, Preliminary Objection, Merits, Reparations, and Costs, Judgment of June 30, 2009, Series C No. 197, par. 114, and</w:t>
      </w:r>
      <w:r w:rsidRPr="00967EE8">
        <w:rPr>
          <w:i/>
          <w:iCs/>
          <w:color w:val="auto"/>
        </w:rPr>
        <w:t xml:space="preserve"> Case of </w:t>
      </w:r>
      <w:proofErr w:type="spellStart"/>
      <w:r w:rsidRPr="00967EE8">
        <w:rPr>
          <w:rFonts w:ascii="Cambria" w:hAnsi="Cambria"/>
          <w:bCs/>
          <w:i/>
          <w:iCs/>
        </w:rPr>
        <w:t>Chocrón</w:t>
      </w:r>
      <w:proofErr w:type="spellEnd"/>
      <w:r w:rsidRPr="00967EE8">
        <w:rPr>
          <w:rFonts w:ascii="Cambria" w:hAnsi="Cambria"/>
          <w:bCs/>
          <w:i/>
          <w:iCs/>
        </w:rPr>
        <w:t xml:space="preserve"> </w:t>
      </w:r>
      <w:proofErr w:type="spellStart"/>
      <w:r w:rsidRPr="00967EE8">
        <w:rPr>
          <w:rFonts w:ascii="Cambria" w:hAnsi="Cambria"/>
          <w:bCs/>
          <w:i/>
          <w:iCs/>
        </w:rPr>
        <w:t>Chocrón</w:t>
      </w:r>
      <w:proofErr w:type="spellEnd"/>
      <w:r w:rsidRPr="00967EE8">
        <w:rPr>
          <w:rFonts w:ascii="Cambria" w:hAnsi="Cambria"/>
          <w:bCs/>
          <w:i/>
          <w:iCs/>
        </w:rPr>
        <w:t xml:space="preserve"> v. Venezuela</w:t>
      </w:r>
      <w:r w:rsidRPr="00967EE8">
        <w:rPr>
          <w:rFonts w:ascii="Cambria" w:hAnsi="Cambria"/>
          <w:bCs/>
        </w:rPr>
        <w:t xml:space="preserve">, </w:t>
      </w:r>
      <w:r w:rsidRPr="00967EE8">
        <w:rPr>
          <w:rFonts w:eastAsia="Times New Roman"/>
          <w:bCs/>
          <w:shd w:val="clear" w:color="auto" w:fill="FFFFFF"/>
        </w:rPr>
        <w:t>Preliminary Objection, Merits, Reparations, and Costs, Judgment of</w:t>
      </w:r>
      <w:r w:rsidRPr="00967EE8">
        <w:rPr>
          <w:color w:val="auto"/>
        </w:rPr>
        <w:t xml:space="preserve"> July 1,</w:t>
      </w:r>
      <w:r w:rsidRPr="00967EE8">
        <w:rPr>
          <w:rFonts w:ascii="Cambria" w:hAnsi="Cambria"/>
        </w:rPr>
        <w:t xml:space="preserve"> 2011, Series C No. 227, par. </w:t>
      </w:r>
      <w:r w:rsidRPr="00967EE8">
        <w:rPr>
          <w:lang w:val="pt-BR"/>
        </w:rPr>
        <w:t>103.</w:t>
      </w:r>
    </w:p>
  </w:footnote>
  <w:footnote w:id="86">
    <w:p w14:paraId="67E58B70" w14:textId="77777777" w:rsidR="00E6692A" w:rsidRPr="00710354" w:rsidRDefault="00E6692A" w:rsidP="00E6692A">
      <w:pPr>
        <w:pStyle w:val="Textonotapie"/>
        <w:pBdr>
          <w:top w:val="none" w:sz="0" w:space="0" w:color="auto"/>
          <w:left w:val="none" w:sz="0" w:space="0" w:color="auto"/>
          <w:bottom w:val="none" w:sz="0" w:space="0" w:color="auto"/>
          <w:right w:val="none" w:sz="0" w:space="0" w:color="auto"/>
        </w:pBdr>
      </w:pPr>
      <w:r w:rsidRPr="00967EE8">
        <w:rPr>
          <w:rFonts w:ascii="Cambria" w:hAnsi="Cambria"/>
          <w:vertAlign w:val="superscript"/>
        </w:rPr>
        <w:footnoteRef/>
      </w:r>
      <w:r w:rsidRPr="00967EE8">
        <w:rPr>
          <w:rFonts w:ascii="Cambria" w:hAnsi="Cambria"/>
          <w:lang w:val="pt-BR"/>
        </w:rPr>
        <w:t xml:space="preserve"> </w:t>
      </w:r>
      <w:r w:rsidRPr="00967EE8">
        <w:rPr>
          <w:lang w:val="pt-BR"/>
        </w:rPr>
        <w:t xml:space="preserve">I/A </w:t>
      </w:r>
      <w:proofErr w:type="spellStart"/>
      <w:r w:rsidRPr="00967EE8">
        <w:rPr>
          <w:lang w:val="pt-BR"/>
        </w:rPr>
        <w:t>Court</w:t>
      </w:r>
      <w:proofErr w:type="spellEnd"/>
      <w:r w:rsidRPr="00967EE8">
        <w:rPr>
          <w:lang w:val="pt-BR"/>
        </w:rPr>
        <w:t xml:space="preserve"> H.R., </w:t>
      </w:r>
      <w:r w:rsidRPr="00967EE8">
        <w:rPr>
          <w:i/>
          <w:iCs/>
          <w:lang w:val="pt-BR"/>
        </w:rPr>
        <w:t xml:space="preserve">Case </w:t>
      </w:r>
      <w:proofErr w:type="spellStart"/>
      <w:r w:rsidRPr="00967EE8">
        <w:rPr>
          <w:i/>
          <w:iCs/>
          <w:lang w:val="pt-BR"/>
        </w:rPr>
        <w:t>of</w:t>
      </w:r>
      <w:proofErr w:type="spellEnd"/>
      <w:r w:rsidRPr="00967EE8">
        <w:rPr>
          <w:i/>
          <w:iCs/>
          <w:lang w:val="pt-BR"/>
        </w:rPr>
        <w:t xml:space="preserve"> </w:t>
      </w:r>
      <w:proofErr w:type="spellStart"/>
      <w:r w:rsidRPr="00967EE8">
        <w:rPr>
          <w:rFonts w:ascii="Cambria" w:hAnsi="Cambria"/>
          <w:i/>
          <w:iCs/>
          <w:lang w:val="pt-BR"/>
        </w:rPr>
        <w:t>Palamara</w:t>
      </w:r>
      <w:proofErr w:type="spellEnd"/>
      <w:r w:rsidRPr="00967EE8">
        <w:rPr>
          <w:rFonts w:ascii="Cambria" w:hAnsi="Cambria"/>
          <w:i/>
          <w:iCs/>
          <w:lang w:val="pt-BR"/>
        </w:rPr>
        <w:t xml:space="preserve"> </w:t>
      </w:r>
      <w:proofErr w:type="spellStart"/>
      <w:r w:rsidRPr="00967EE8">
        <w:rPr>
          <w:rFonts w:ascii="Cambria" w:hAnsi="Cambria"/>
          <w:i/>
          <w:iCs/>
          <w:lang w:val="pt-BR"/>
        </w:rPr>
        <w:t>Iribarne</w:t>
      </w:r>
      <w:proofErr w:type="spellEnd"/>
      <w:r w:rsidRPr="00967EE8">
        <w:rPr>
          <w:rFonts w:ascii="Cambria" w:hAnsi="Cambria"/>
          <w:i/>
          <w:iCs/>
          <w:lang w:val="pt-BR"/>
        </w:rPr>
        <w:t xml:space="preserve"> v. Chile</w:t>
      </w:r>
      <w:r w:rsidRPr="00967EE8">
        <w:rPr>
          <w:rFonts w:ascii="Cambria" w:hAnsi="Cambria"/>
          <w:lang w:val="pt-BR"/>
        </w:rPr>
        <w:t xml:space="preserve">, </w:t>
      </w:r>
      <w:proofErr w:type="spellStart"/>
      <w:r w:rsidRPr="00967EE8">
        <w:rPr>
          <w:rFonts w:ascii="Cambria" w:hAnsi="Cambria"/>
          <w:lang w:val="pt-BR"/>
        </w:rPr>
        <w:t>Merits</w:t>
      </w:r>
      <w:proofErr w:type="spellEnd"/>
      <w:r w:rsidRPr="00967EE8">
        <w:rPr>
          <w:rFonts w:ascii="Cambria" w:hAnsi="Cambria"/>
          <w:lang w:val="pt-BR"/>
        </w:rPr>
        <w:t xml:space="preserve">, </w:t>
      </w:r>
      <w:proofErr w:type="spellStart"/>
      <w:r w:rsidRPr="00967EE8">
        <w:rPr>
          <w:rFonts w:ascii="Cambria" w:hAnsi="Cambria"/>
          <w:lang w:val="pt-BR"/>
        </w:rPr>
        <w:t>Reparations</w:t>
      </w:r>
      <w:proofErr w:type="spellEnd"/>
      <w:r w:rsidRPr="00967EE8">
        <w:rPr>
          <w:rFonts w:ascii="Cambria" w:hAnsi="Cambria"/>
          <w:lang w:val="pt-BR"/>
        </w:rPr>
        <w:t xml:space="preserve">, </w:t>
      </w:r>
      <w:proofErr w:type="spellStart"/>
      <w:r w:rsidRPr="00967EE8">
        <w:rPr>
          <w:rFonts w:ascii="Cambria" w:hAnsi="Cambria"/>
          <w:lang w:val="pt-BR"/>
        </w:rPr>
        <w:t>and</w:t>
      </w:r>
      <w:proofErr w:type="spellEnd"/>
      <w:r w:rsidRPr="00967EE8">
        <w:rPr>
          <w:rFonts w:ascii="Cambria" w:hAnsi="Cambria"/>
          <w:lang w:val="pt-BR"/>
        </w:rPr>
        <w:t xml:space="preserve"> </w:t>
      </w:r>
      <w:proofErr w:type="spellStart"/>
      <w:r w:rsidRPr="00967EE8">
        <w:rPr>
          <w:rFonts w:ascii="Cambria" w:hAnsi="Cambria"/>
          <w:lang w:val="pt-BR"/>
        </w:rPr>
        <w:t>Costs</w:t>
      </w:r>
      <w:proofErr w:type="spellEnd"/>
      <w:r w:rsidRPr="00967EE8">
        <w:rPr>
          <w:rFonts w:ascii="Cambria" w:hAnsi="Cambria"/>
          <w:lang w:val="pt-BR"/>
        </w:rPr>
        <w:t xml:space="preserve">, </w:t>
      </w:r>
      <w:proofErr w:type="spellStart"/>
      <w:r w:rsidRPr="00967EE8">
        <w:rPr>
          <w:rFonts w:ascii="Cambria" w:hAnsi="Cambria"/>
          <w:lang w:val="pt-BR"/>
        </w:rPr>
        <w:t>Judgment</w:t>
      </w:r>
      <w:proofErr w:type="spellEnd"/>
      <w:r>
        <w:rPr>
          <w:rFonts w:ascii="Cambria" w:hAnsi="Cambria"/>
          <w:lang w:val="pt-BR"/>
        </w:rPr>
        <w:t xml:space="preserve"> </w:t>
      </w:r>
      <w:proofErr w:type="spellStart"/>
      <w:r>
        <w:rPr>
          <w:rFonts w:ascii="Cambria" w:hAnsi="Cambria"/>
          <w:lang w:val="pt-BR"/>
        </w:rPr>
        <w:t>of</w:t>
      </w:r>
      <w:proofErr w:type="spellEnd"/>
      <w:r>
        <w:rPr>
          <w:rFonts w:ascii="Cambria" w:hAnsi="Cambria"/>
          <w:lang w:val="pt-BR"/>
        </w:rPr>
        <w:t xml:space="preserve"> </w:t>
      </w:r>
      <w:proofErr w:type="spellStart"/>
      <w:r>
        <w:rPr>
          <w:rFonts w:ascii="Cambria" w:hAnsi="Cambria"/>
          <w:lang w:val="pt-BR"/>
        </w:rPr>
        <w:t>November</w:t>
      </w:r>
      <w:proofErr w:type="spellEnd"/>
      <w:r>
        <w:rPr>
          <w:rFonts w:ascii="Cambria" w:hAnsi="Cambria"/>
          <w:lang w:val="pt-BR"/>
        </w:rPr>
        <w:t xml:space="preserve"> </w:t>
      </w:r>
      <w:r w:rsidRPr="00710354">
        <w:rPr>
          <w:rFonts w:ascii="Cambria" w:hAnsi="Cambria"/>
          <w:lang w:val="pt-BR"/>
        </w:rPr>
        <w:t>22</w:t>
      </w:r>
      <w:r>
        <w:rPr>
          <w:rFonts w:ascii="Cambria" w:hAnsi="Cambria"/>
          <w:lang w:val="pt-BR"/>
        </w:rPr>
        <w:t xml:space="preserve">, </w:t>
      </w:r>
      <w:r w:rsidRPr="00710354">
        <w:rPr>
          <w:rFonts w:ascii="Cambria" w:hAnsi="Cambria"/>
          <w:lang w:val="pt-BR"/>
        </w:rPr>
        <w:t>2005</w:t>
      </w:r>
      <w:r>
        <w:rPr>
          <w:rFonts w:ascii="Cambria" w:hAnsi="Cambria"/>
          <w:lang w:val="pt-BR"/>
        </w:rPr>
        <w:t>,</w:t>
      </w:r>
      <w:r w:rsidRPr="00710354">
        <w:rPr>
          <w:rFonts w:ascii="Cambria" w:hAnsi="Cambria"/>
          <w:lang w:val="pt-BR"/>
        </w:rPr>
        <w:t xml:space="preserve"> </w:t>
      </w:r>
      <w:r w:rsidRPr="00710354">
        <w:rPr>
          <w:rFonts w:ascii="Cambria" w:hAnsi="Cambria"/>
        </w:rPr>
        <w:t>Series C No. 135, p</w:t>
      </w:r>
      <w:r>
        <w:rPr>
          <w:rFonts w:ascii="Cambria" w:hAnsi="Cambria"/>
        </w:rPr>
        <w:t>ar</w:t>
      </w:r>
      <w:r w:rsidRPr="00710354">
        <w:rPr>
          <w:rFonts w:ascii="Cambria" w:hAnsi="Cambria"/>
        </w:rPr>
        <w:t>. 146.</w:t>
      </w:r>
    </w:p>
  </w:footnote>
  <w:footnote w:id="87">
    <w:p w14:paraId="6C233F6C" w14:textId="77777777" w:rsidR="00E6692A" w:rsidRPr="008C3944" w:rsidRDefault="00E6692A" w:rsidP="00E6692A">
      <w:pPr>
        <w:pBdr>
          <w:top w:val="none" w:sz="0" w:space="0" w:color="auto"/>
          <w:left w:val="none" w:sz="0" w:space="0" w:color="auto"/>
          <w:bottom w:val="none" w:sz="0" w:space="0" w:color="auto"/>
          <w:right w:val="none" w:sz="0" w:space="0" w:color="auto"/>
        </w:pBdr>
        <w:jc w:val="both"/>
      </w:pPr>
      <w:r w:rsidRPr="001E3078">
        <w:rPr>
          <w:rFonts w:ascii="Cambria" w:hAnsi="Cambria"/>
          <w:sz w:val="16"/>
          <w:szCs w:val="16"/>
          <w:vertAlign w:val="superscript"/>
        </w:rPr>
        <w:footnoteRef/>
      </w:r>
      <w:r w:rsidRPr="008C3944">
        <w:rPr>
          <w:rFonts w:ascii="Cambria" w:hAnsi="Cambria"/>
          <w:sz w:val="16"/>
          <w:szCs w:val="16"/>
        </w:rPr>
        <w:t xml:space="preserve"> See European Court of Human Rights, </w:t>
      </w:r>
      <w:r w:rsidRPr="008C3944">
        <w:rPr>
          <w:rFonts w:ascii="Cambria" w:hAnsi="Cambria"/>
          <w:i/>
          <w:iCs/>
          <w:sz w:val="16"/>
          <w:szCs w:val="16"/>
        </w:rPr>
        <w:t>Case of Thomann v. Switzerland</w:t>
      </w:r>
      <w:r w:rsidRPr="008C3944">
        <w:rPr>
          <w:rFonts w:ascii="Cambria" w:hAnsi="Cambria"/>
          <w:sz w:val="16"/>
          <w:szCs w:val="16"/>
        </w:rPr>
        <w:t>, Judgm</w:t>
      </w:r>
      <w:r>
        <w:rPr>
          <w:rFonts w:ascii="Cambria" w:hAnsi="Cambria"/>
          <w:sz w:val="16"/>
          <w:szCs w:val="16"/>
        </w:rPr>
        <w:t xml:space="preserve">ent of June 10, </w:t>
      </w:r>
      <w:r w:rsidRPr="008C3944">
        <w:rPr>
          <w:rFonts w:ascii="Cambria" w:hAnsi="Cambria"/>
          <w:sz w:val="16"/>
          <w:szCs w:val="16"/>
        </w:rPr>
        <w:t>1996, § 30.</w:t>
      </w:r>
    </w:p>
  </w:footnote>
  <w:footnote w:id="88">
    <w:p w14:paraId="1F44F61E" w14:textId="77777777" w:rsidR="00E6692A" w:rsidRPr="006963DB" w:rsidRDefault="00E6692A" w:rsidP="00E6692A">
      <w:pPr>
        <w:tabs>
          <w:tab w:val="left" w:pos="1440"/>
        </w:tabs>
        <w:jc w:val="both"/>
        <w:rPr>
          <w:rFonts w:asciiTheme="majorHAnsi" w:hAnsiTheme="majorHAnsi"/>
          <w:sz w:val="16"/>
          <w:szCs w:val="16"/>
        </w:rPr>
      </w:pPr>
      <w:r w:rsidRPr="00BE6681">
        <w:rPr>
          <w:rStyle w:val="Refdenotaalpie"/>
          <w:rFonts w:asciiTheme="majorHAnsi" w:hAnsiTheme="majorHAnsi"/>
          <w:sz w:val="16"/>
          <w:szCs w:val="16"/>
        </w:rPr>
        <w:footnoteRef/>
      </w:r>
      <w:r w:rsidRPr="006963DB">
        <w:rPr>
          <w:rFonts w:asciiTheme="majorHAnsi" w:hAnsiTheme="majorHAnsi"/>
          <w:sz w:val="16"/>
          <w:szCs w:val="16"/>
        </w:rPr>
        <w:t xml:space="preserve"> Article 23 of the American Convention (“Right to Participate in Government”) establishes, </w:t>
      </w:r>
      <w:r>
        <w:rPr>
          <w:rFonts w:asciiTheme="majorHAnsi" w:hAnsiTheme="majorHAnsi"/>
          <w:sz w:val="16"/>
          <w:szCs w:val="16"/>
        </w:rPr>
        <w:t xml:space="preserve">in its pertinent sections: “1. Every citizen shall enjoy the following rights and opportunities… </w:t>
      </w:r>
      <w:r w:rsidRPr="006963DB">
        <w:rPr>
          <w:rFonts w:asciiTheme="majorHAnsi" w:hAnsiTheme="majorHAnsi"/>
          <w:sz w:val="16"/>
          <w:szCs w:val="16"/>
        </w:rPr>
        <w:t xml:space="preserve">c. </w:t>
      </w:r>
      <w:r>
        <w:rPr>
          <w:rFonts w:asciiTheme="majorHAnsi" w:eastAsia="Times New Roman" w:hAnsiTheme="majorHAnsi"/>
          <w:sz w:val="16"/>
          <w:szCs w:val="16"/>
        </w:rPr>
        <w:t xml:space="preserve">to have access, under general conditions of equality, to the public service of his country. </w:t>
      </w:r>
      <w:r w:rsidRPr="006963DB">
        <w:rPr>
          <w:rFonts w:asciiTheme="majorHAnsi" w:eastAsia="Times New Roman" w:hAnsiTheme="majorHAnsi"/>
          <w:sz w:val="16"/>
          <w:szCs w:val="16"/>
        </w:rPr>
        <w:t>2. The law may regulate the exercise of the rights and opportu</w:t>
      </w:r>
      <w:r>
        <w:rPr>
          <w:rFonts w:asciiTheme="majorHAnsi" w:eastAsia="Times New Roman" w:hAnsiTheme="majorHAnsi"/>
          <w:sz w:val="16"/>
          <w:szCs w:val="16"/>
        </w:rPr>
        <w:t xml:space="preserve">nities referred to in the preceding paragraph only </w:t>
      </w:r>
      <w:proofErr w:type="gramStart"/>
      <w:r>
        <w:rPr>
          <w:rFonts w:asciiTheme="majorHAnsi" w:eastAsia="Times New Roman" w:hAnsiTheme="majorHAnsi"/>
          <w:sz w:val="16"/>
          <w:szCs w:val="16"/>
        </w:rPr>
        <w:t>on the basis of</w:t>
      </w:r>
      <w:proofErr w:type="gramEnd"/>
      <w:r>
        <w:rPr>
          <w:rFonts w:asciiTheme="majorHAnsi" w:eastAsia="Times New Roman" w:hAnsiTheme="majorHAnsi"/>
          <w:sz w:val="16"/>
          <w:szCs w:val="16"/>
        </w:rPr>
        <w:t xml:space="preserve"> age, nationality, residence, language, education, civil and mental capacity, or sentencing by a competent court in criminal proceedings.”</w:t>
      </w:r>
      <w:r w:rsidRPr="006963DB">
        <w:rPr>
          <w:rFonts w:asciiTheme="majorHAnsi" w:eastAsia="Times New Roman" w:hAnsiTheme="majorHAnsi"/>
          <w:sz w:val="16"/>
          <w:szCs w:val="16"/>
        </w:rPr>
        <w:t xml:space="preserve"> </w:t>
      </w:r>
    </w:p>
  </w:footnote>
  <w:footnote w:id="89">
    <w:p w14:paraId="33A29552" w14:textId="77777777" w:rsidR="00E6692A" w:rsidRPr="007A5ED1" w:rsidRDefault="00E6692A" w:rsidP="00E6692A">
      <w:pPr>
        <w:pStyle w:val="Textonotapie"/>
        <w:rPr>
          <w:lang w:val="pt-BR"/>
        </w:rPr>
      </w:pPr>
      <w:r>
        <w:rPr>
          <w:rStyle w:val="Refdenotaalpie"/>
        </w:rPr>
        <w:footnoteRef/>
      </w:r>
      <w:r w:rsidRPr="00A661E8">
        <w:t xml:space="preserve"> </w:t>
      </w:r>
      <w:r w:rsidRPr="00C27F9D">
        <w:t xml:space="preserve">I/A Court H.R., </w:t>
      </w:r>
      <w:r w:rsidRPr="00C27F9D">
        <w:rPr>
          <w:i/>
          <w:iCs/>
        </w:rPr>
        <w:t>Case of</w:t>
      </w:r>
      <w:r w:rsidRPr="00C27F9D">
        <w:rPr>
          <w:rFonts w:eastAsia="Times New Roman"/>
          <w:bCs/>
          <w:i/>
          <w:iCs/>
          <w:shd w:val="clear" w:color="auto" w:fill="FFFFFF"/>
        </w:rPr>
        <w:t xml:space="preserve"> the Supreme Court of Justice (</w:t>
      </w:r>
      <w:r w:rsidRPr="00C27F9D">
        <w:rPr>
          <w:i/>
          <w:iCs/>
        </w:rPr>
        <w:t xml:space="preserve">Quintana </w:t>
      </w:r>
      <w:proofErr w:type="spellStart"/>
      <w:r w:rsidRPr="00C27F9D">
        <w:rPr>
          <w:i/>
          <w:iCs/>
        </w:rPr>
        <w:t>Coello</w:t>
      </w:r>
      <w:proofErr w:type="spellEnd"/>
      <w:r w:rsidRPr="00C27F9D">
        <w:rPr>
          <w:i/>
          <w:iCs/>
        </w:rPr>
        <w:t xml:space="preserve"> et al.) v. Ecuador</w:t>
      </w:r>
      <w:r w:rsidRPr="00C27F9D">
        <w:t>, Preliminary Ob</w:t>
      </w:r>
      <w:r>
        <w:t xml:space="preserve">jection, Merits, Reparations, and Costs, Judgment of August 23, </w:t>
      </w:r>
      <w:r w:rsidRPr="00C27F9D">
        <w:t>2013</w:t>
      </w:r>
      <w:r>
        <w:t>,</w:t>
      </w:r>
      <w:r w:rsidRPr="00C27F9D">
        <w:t xml:space="preserve"> </w:t>
      </w:r>
      <w:r w:rsidRPr="00F82756">
        <w:rPr>
          <w:lang w:val="pt-BR"/>
        </w:rPr>
        <w:t>Serie</w:t>
      </w:r>
      <w:r>
        <w:rPr>
          <w:lang w:val="pt-BR"/>
        </w:rPr>
        <w:t>s</w:t>
      </w:r>
      <w:r w:rsidRPr="00F82756">
        <w:rPr>
          <w:lang w:val="pt-BR"/>
        </w:rPr>
        <w:t xml:space="preserve"> C No.</w:t>
      </w:r>
      <w:r>
        <w:rPr>
          <w:lang w:val="pt-BR"/>
        </w:rPr>
        <w:t xml:space="preserve"> </w:t>
      </w:r>
      <w:r w:rsidRPr="00F82756">
        <w:rPr>
          <w:lang w:val="pt-BR"/>
        </w:rPr>
        <w:t xml:space="preserve">266, </w:t>
      </w:r>
      <w:r>
        <w:rPr>
          <w:lang w:val="pt-BR"/>
        </w:rPr>
        <w:t>pa</w:t>
      </w:r>
      <w:r w:rsidRPr="00F82756">
        <w:rPr>
          <w:lang w:val="pt-BR"/>
        </w:rPr>
        <w:t xml:space="preserve">r. </w:t>
      </w:r>
      <w:r w:rsidRPr="007A5ED1">
        <w:rPr>
          <w:lang w:val="pt-BR"/>
        </w:rPr>
        <w:t>155.</w:t>
      </w:r>
    </w:p>
  </w:footnote>
  <w:footnote w:id="90">
    <w:p w14:paraId="7F473C02" w14:textId="77777777" w:rsidR="00E6692A" w:rsidRPr="00D848A4" w:rsidRDefault="00E6692A" w:rsidP="00E6692A">
      <w:pPr>
        <w:pStyle w:val="Textonotapie"/>
      </w:pPr>
      <w:r>
        <w:rPr>
          <w:rStyle w:val="Refdenotaalpie"/>
        </w:rPr>
        <w:footnoteRef/>
      </w:r>
      <w:r w:rsidRPr="00DB55CD">
        <w:rPr>
          <w:lang w:val="pt-BR"/>
        </w:rPr>
        <w:t xml:space="preserve"> </w:t>
      </w:r>
      <w:r w:rsidRPr="00C53B00">
        <w:rPr>
          <w:lang w:val="pt-BR"/>
        </w:rPr>
        <w:t xml:space="preserve">I/A </w:t>
      </w:r>
      <w:proofErr w:type="spellStart"/>
      <w:r w:rsidRPr="00C53B00">
        <w:rPr>
          <w:lang w:val="pt-BR"/>
        </w:rPr>
        <w:t>Court</w:t>
      </w:r>
      <w:proofErr w:type="spellEnd"/>
      <w:r w:rsidRPr="00C53B00">
        <w:rPr>
          <w:lang w:val="pt-BR"/>
        </w:rPr>
        <w:t xml:space="preserve"> H.R., </w:t>
      </w:r>
      <w:r w:rsidRPr="00E156BE">
        <w:rPr>
          <w:i/>
          <w:iCs/>
          <w:lang w:val="pt-BR"/>
        </w:rPr>
        <w:t xml:space="preserve">Case </w:t>
      </w:r>
      <w:proofErr w:type="spellStart"/>
      <w:r w:rsidRPr="00E156BE">
        <w:rPr>
          <w:i/>
          <w:iCs/>
          <w:lang w:val="pt-BR"/>
        </w:rPr>
        <w:t>of</w:t>
      </w:r>
      <w:proofErr w:type="spellEnd"/>
      <w:r w:rsidRPr="00E156BE">
        <w:rPr>
          <w:i/>
          <w:iCs/>
          <w:lang w:val="pt-BR"/>
        </w:rPr>
        <w:t xml:space="preserve"> </w:t>
      </w:r>
      <w:proofErr w:type="spellStart"/>
      <w:r w:rsidRPr="00E156BE">
        <w:rPr>
          <w:i/>
          <w:iCs/>
          <w:lang w:val="pt-BR"/>
        </w:rPr>
        <w:t>Colindres</w:t>
      </w:r>
      <w:proofErr w:type="spellEnd"/>
      <w:r w:rsidRPr="00E156BE">
        <w:rPr>
          <w:i/>
          <w:iCs/>
          <w:lang w:val="pt-BR"/>
        </w:rPr>
        <w:t xml:space="preserve"> </w:t>
      </w:r>
      <w:proofErr w:type="spellStart"/>
      <w:r w:rsidRPr="00E156BE">
        <w:rPr>
          <w:i/>
          <w:iCs/>
          <w:lang w:val="pt-BR"/>
        </w:rPr>
        <w:t>Schonenberg</w:t>
      </w:r>
      <w:proofErr w:type="spellEnd"/>
      <w:r w:rsidRPr="00E156BE">
        <w:rPr>
          <w:i/>
          <w:iCs/>
          <w:lang w:val="pt-BR"/>
        </w:rPr>
        <w:t xml:space="preserve"> v. El Salvador</w:t>
      </w:r>
      <w:r w:rsidRPr="00C53B00">
        <w:rPr>
          <w:lang w:val="pt-BR"/>
        </w:rPr>
        <w:t xml:space="preserve">, </w:t>
      </w:r>
      <w:proofErr w:type="spellStart"/>
      <w:r w:rsidRPr="00C53B00">
        <w:rPr>
          <w:lang w:val="pt-BR"/>
        </w:rPr>
        <w:t>Merits</w:t>
      </w:r>
      <w:proofErr w:type="spellEnd"/>
      <w:r w:rsidRPr="00C53B00">
        <w:rPr>
          <w:lang w:val="pt-BR"/>
        </w:rPr>
        <w:t xml:space="preserve">, </w:t>
      </w:r>
      <w:proofErr w:type="spellStart"/>
      <w:r w:rsidRPr="00C53B00">
        <w:rPr>
          <w:lang w:val="pt-BR"/>
        </w:rPr>
        <w:t>Reparations</w:t>
      </w:r>
      <w:proofErr w:type="spellEnd"/>
      <w:r w:rsidRPr="00C53B00">
        <w:rPr>
          <w:lang w:val="pt-BR"/>
        </w:rPr>
        <w:t xml:space="preserve">, </w:t>
      </w:r>
      <w:proofErr w:type="spellStart"/>
      <w:r w:rsidRPr="00C53B00">
        <w:rPr>
          <w:lang w:val="pt-BR"/>
        </w:rPr>
        <w:t>and</w:t>
      </w:r>
      <w:proofErr w:type="spellEnd"/>
      <w:r w:rsidRPr="00C53B00">
        <w:rPr>
          <w:lang w:val="pt-BR"/>
        </w:rPr>
        <w:t xml:space="preserve"> </w:t>
      </w:r>
      <w:proofErr w:type="spellStart"/>
      <w:r w:rsidRPr="00C53B00">
        <w:rPr>
          <w:lang w:val="pt-BR"/>
        </w:rPr>
        <w:t>Costs</w:t>
      </w:r>
      <w:proofErr w:type="spellEnd"/>
      <w:r w:rsidRPr="00C53B00">
        <w:rPr>
          <w:lang w:val="pt-BR"/>
        </w:rPr>
        <w:t xml:space="preserve">, </w:t>
      </w:r>
      <w:proofErr w:type="spellStart"/>
      <w:r w:rsidRPr="00C53B00">
        <w:rPr>
          <w:lang w:val="pt-BR"/>
        </w:rPr>
        <w:t>Ju</w:t>
      </w:r>
      <w:r>
        <w:rPr>
          <w:lang w:val="pt-BR"/>
        </w:rPr>
        <w:t>dgment</w:t>
      </w:r>
      <w:proofErr w:type="spellEnd"/>
      <w:r>
        <w:rPr>
          <w:lang w:val="pt-BR"/>
        </w:rPr>
        <w:t xml:space="preserve"> </w:t>
      </w:r>
      <w:proofErr w:type="spellStart"/>
      <w:r>
        <w:rPr>
          <w:lang w:val="pt-BR"/>
        </w:rPr>
        <w:t>of</w:t>
      </w:r>
      <w:proofErr w:type="spellEnd"/>
      <w:r>
        <w:rPr>
          <w:lang w:val="pt-BR"/>
        </w:rPr>
        <w:t xml:space="preserve"> </w:t>
      </w:r>
      <w:proofErr w:type="spellStart"/>
      <w:r>
        <w:rPr>
          <w:lang w:val="pt-BR"/>
        </w:rPr>
        <w:t>February</w:t>
      </w:r>
      <w:proofErr w:type="spellEnd"/>
      <w:r>
        <w:rPr>
          <w:lang w:val="pt-BR"/>
        </w:rPr>
        <w:t xml:space="preserve"> 4, </w:t>
      </w:r>
      <w:r w:rsidRPr="00C53B00">
        <w:t>2019</w:t>
      </w:r>
      <w:r>
        <w:t xml:space="preserve">, </w:t>
      </w:r>
      <w:r w:rsidRPr="00D848A4">
        <w:t>Serie</w:t>
      </w:r>
      <w:r>
        <w:t>s</w:t>
      </w:r>
      <w:r w:rsidRPr="00D848A4">
        <w:t xml:space="preserve"> C No. 373, </w:t>
      </w:r>
      <w:r>
        <w:t>paras</w:t>
      </w:r>
      <w:r w:rsidRPr="00D848A4">
        <w:t xml:space="preserve">. 93 </w:t>
      </w:r>
      <w:r>
        <w:t>and</w:t>
      </w:r>
      <w:r w:rsidRPr="00D848A4">
        <w:t xml:space="preserve"> 94.</w:t>
      </w:r>
    </w:p>
  </w:footnote>
  <w:footnote w:id="91">
    <w:p w14:paraId="6AD61508" w14:textId="77777777" w:rsidR="00E6692A" w:rsidRPr="00A661E8" w:rsidRDefault="00E6692A" w:rsidP="00E6692A">
      <w:pPr>
        <w:pStyle w:val="Textonotapie"/>
      </w:pPr>
      <w:r w:rsidRPr="00BE6681">
        <w:rPr>
          <w:rStyle w:val="Refdenotaalpie"/>
        </w:rPr>
        <w:footnoteRef/>
      </w:r>
      <w:r w:rsidRPr="00A661E8">
        <w:t xml:space="preserve"> </w:t>
      </w:r>
      <w:r w:rsidRPr="00C27F9D">
        <w:t xml:space="preserve">I/A Court H.R., </w:t>
      </w:r>
      <w:r w:rsidRPr="00C27F9D">
        <w:rPr>
          <w:i/>
          <w:iCs/>
        </w:rPr>
        <w:t>Case of</w:t>
      </w:r>
      <w:r w:rsidRPr="00C27F9D">
        <w:rPr>
          <w:rFonts w:eastAsia="Times New Roman"/>
          <w:bCs/>
          <w:i/>
          <w:iCs/>
          <w:shd w:val="clear" w:color="auto" w:fill="FFFFFF"/>
        </w:rPr>
        <w:t xml:space="preserve"> the Supreme Court of Justice (</w:t>
      </w:r>
      <w:r w:rsidRPr="00C27F9D">
        <w:rPr>
          <w:i/>
          <w:iCs/>
        </w:rPr>
        <w:t xml:space="preserve">Quintana </w:t>
      </w:r>
      <w:proofErr w:type="spellStart"/>
      <w:r w:rsidRPr="00C27F9D">
        <w:rPr>
          <w:i/>
          <w:iCs/>
        </w:rPr>
        <w:t>Coello</w:t>
      </w:r>
      <w:proofErr w:type="spellEnd"/>
      <w:r w:rsidRPr="00C27F9D">
        <w:rPr>
          <w:i/>
          <w:iCs/>
        </w:rPr>
        <w:t xml:space="preserve"> et al.) v. Ecuador</w:t>
      </w:r>
      <w:r w:rsidRPr="00C27F9D">
        <w:t>, Preliminary Ob</w:t>
      </w:r>
      <w:r>
        <w:t xml:space="preserve">jection, Merits, Reparations, and Costs, Judgment of August 23, </w:t>
      </w:r>
      <w:r w:rsidRPr="00C27F9D">
        <w:t>2013</w:t>
      </w:r>
      <w:r>
        <w:t>,</w:t>
      </w:r>
      <w:r w:rsidRPr="00C27F9D">
        <w:t xml:space="preserve"> </w:t>
      </w:r>
      <w:r w:rsidRPr="00F82756">
        <w:rPr>
          <w:lang w:val="pt-BR"/>
        </w:rPr>
        <w:t>Serie</w:t>
      </w:r>
      <w:r>
        <w:rPr>
          <w:lang w:val="pt-BR"/>
        </w:rPr>
        <w:t>s</w:t>
      </w:r>
      <w:r w:rsidRPr="00F82756">
        <w:rPr>
          <w:lang w:val="pt-BR"/>
        </w:rPr>
        <w:t xml:space="preserve"> C No.</w:t>
      </w:r>
      <w:r>
        <w:rPr>
          <w:lang w:val="pt-BR"/>
        </w:rPr>
        <w:t xml:space="preserve"> </w:t>
      </w:r>
      <w:r w:rsidRPr="00F82756">
        <w:rPr>
          <w:lang w:val="pt-BR"/>
        </w:rPr>
        <w:t xml:space="preserve">266, </w:t>
      </w:r>
      <w:r>
        <w:rPr>
          <w:lang w:val="pt-BR"/>
        </w:rPr>
        <w:t>pa</w:t>
      </w:r>
      <w:r w:rsidRPr="00F82756">
        <w:rPr>
          <w:lang w:val="pt-BR"/>
        </w:rPr>
        <w:t xml:space="preserve">r. </w:t>
      </w:r>
      <w:r w:rsidRPr="00A661E8">
        <w:t>180</w:t>
      </w:r>
      <w:r>
        <w:t>;</w:t>
      </w:r>
      <w:r w:rsidRPr="00A661E8">
        <w:t xml:space="preserve"> </w:t>
      </w:r>
      <w:r w:rsidRPr="005B1710">
        <w:t xml:space="preserve">IACHR, Report No. 72/17, Case 13.019, Report on Merits, Eduardo Rico, Argentina, July </w:t>
      </w:r>
      <w:r>
        <w:t xml:space="preserve">5, </w:t>
      </w:r>
      <w:r w:rsidRPr="005B1710">
        <w:t xml:space="preserve">2017, par. </w:t>
      </w:r>
      <w:r w:rsidRPr="00A661E8">
        <w:t xml:space="preserve">124; </w:t>
      </w:r>
      <w:r w:rsidRPr="008048EA">
        <w:t xml:space="preserve">I/A Court H.R., </w:t>
      </w:r>
      <w:r w:rsidRPr="008048EA">
        <w:rPr>
          <w:i/>
          <w:iCs/>
        </w:rPr>
        <w:t>Case of</w:t>
      </w:r>
      <w:r w:rsidRPr="008048EA">
        <w:rPr>
          <w:rFonts w:eastAsia="Times New Roman"/>
          <w:bCs/>
          <w:i/>
          <w:iCs/>
          <w:shd w:val="clear" w:color="auto" w:fill="FFFFFF"/>
        </w:rPr>
        <w:t xml:space="preserve"> López Lone et al. v. Honduras</w:t>
      </w:r>
      <w:r w:rsidRPr="008048EA">
        <w:rPr>
          <w:rFonts w:eastAsia="Times New Roman"/>
          <w:bCs/>
          <w:shd w:val="clear" w:color="auto" w:fill="FFFFFF"/>
        </w:rPr>
        <w:t>, Preliminary Object</w:t>
      </w:r>
      <w:r>
        <w:rPr>
          <w:rFonts w:eastAsia="Times New Roman"/>
          <w:bCs/>
          <w:shd w:val="clear" w:color="auto" w:fill="FFFFFF"/>
        </w:rPr>
        <w:t xml:space="preserve">ion, Merits, Reparations, and Costs, Judgment of October 5, </w:t>
      </w:r>
      <w:r w:rsidRPr="008048EA">
        <w:rPr>
          <w:rFonts w:eastAsia="Times New Roman"/>
          <w:bCs/>
          <w:shd w:val="clear" w:color="auto" w:fill="FFFFFF"/>
        </w:rPr>
        <w:t>2015</w:t>
      </w:r>
      <w:r>
        <w:rPr>
          <w:rFonts w:eastAsia="Times New Roman"/>
          <w:bCs/>
          <w:shd w:val="clear" w:color="auto" w:fill="FFFFFF"/>
        </w:rPr>
        <w:t>,</w:t>
      </w:r>
      <w:r w:rsidRPr="008048EA">
        <w:rPr>
          <w:rFonts w:eastAsia="Times New Roman"/>
          <w:bCs/>
          <w:shd w:val="clear" w:color="auto" w:fill="FFFFFF"/>
        </w:rPr>
        <w:t xml:space="preserve"> Series C No. 302, </w:t>
      </w:r>
      <w:r>
        <w:rPr>
          <w:rFonts w:eastAsia="Times New Roman"/>
          <w:bCs/>
          <w:shd w:val="clear" w:color="auto" w:fill="FFFFFF"/>
        </w:rPr>
        <w:t>par</w:t>
      </w:r>
      <w:r w:rsidRPr="008048EA">
        <w:rPr>
          <w:rFonts w:eastAsia="Times New Roman"/>
          <w:bCs/>
          <w:shd w:val="clear" w:color="auto" w:fill="FFFFFF"/>
        </w:rPr>
        <w:t xml:space="preserve">. </w:t>
      </w:r>
      <w:r w:rsidRPr="00A661E8">
        <w:rPr>
          <w:rFonts w:eastAsia="Times New Roman"/>
          <w:bCs/>
          <w:shd w:val="clear" w:color="auto" w:fill="FFFFFF"/>
        </w:rPr>
        <w:t>192.</w:t>
      </w:r>
    </w:p>
  </w:footnote>
  <w:footnote w:id="92">
    <w:p w14:paraId="31F1BAEF" w14:textId="77777777" w:rsidR="00E6692A" w:rsidRPr="00DE3D80" w:rsidRDefault="00E6692A" w:rsidP="00E6692A">
      <w:pPr>
        <w:pStyle w:val="Textonotapie"/>
        <w:pBdr>
          <w:top w:val="none" w:sz="0" w:space="0" w:color="auto"/>
          <w:left w:val="none" w:sz="0" w:space="0" w:color="auto"/>
          <w:bottom w:val="none" w:sz="0" w:space="0" w:color="auto"/>
          <w:right w:val="none" w:sz="0" w:space="0" w:color="auto"/>
        </w:pBdr>
        <w:rPr>
          <w:lang w:val="es-CO"/>
        </w:rPr>
      </w:pPr>
      <w:r w:rsidRPr="00C41E87">
        <w:rPr>
          <w:color w:val="auto"/>
          <w:vertAlign w:val="superscript"/>
        </w:rPr>
        <w:footnoteRef/>
      </w:r>
      <w:r w:rsidRPr="001F56DC">
        <w:rPr>
          <w:color w:val="auto"/>
        </w:rPr>
        <w:t xml:space="preserve"> </w:t>
      </w:r>
      <w:r w:rsidRPr="001F56DC">
        <w:t xml:space="preserve">I/A Court H.R., </w:t>
      </w:r>
      <w:r w:rsidRPr="00B15E3E">
        <w:rPr>
          <w:i/>
          <w:iCs/>
        </w:rPr>
        <w:t>Case of</w:t>
      </w:r>
      <w:r w:rsidRPr="00B15E3E">
        <w:rPr>
          <w:i/>
          <w:iCs/>
          <w:color w:val="auto"/>
        </w:rPr>
        <w:t xml:space="preserve"> </w:t>
      </w:r>
      <w:proofErr w:type="spellStart"/>
      <w:r w:rsidRPr="00B15E3E">
        <w:rPr>
          <w:i/>
          <w:iCs/>
          <w:color w:val="auto"/>
        </w:rPr>
        <w:t>Villaseñor</w:t>
      </w:r>
      <w:proofErr w:type="spellEnd"/>
      <w:r w:rsidRPr="00B15E3E">
        <w:rPr>
          <w:i/>
          <w:iCs/>
          <w:color w:val="auto"/>
        </w:rPr>
        <w:t xml:space="preserve"> Velarde et al. v. Guatemala</w:t>
      </w:r>
      <w:r w:rsidRPr="001F56DC">
        <w:rPr>
          <w:color w:val="auto"/>
        </w:rPr>
        <w:t>,</w:t>
      </w:r>
      <w:r w:rsidRPr="001F56DC">
        <w:t xml:space="preserve"> </w:t>
      </w:r>
      <w:r>
        <w:t>Merits, Reparations, and Costs, Judgment of February 5,</w:t>
      </w:r>
      <w:r>
        <w:rPr>
          <w:color w:val="auto"/>
        </w:rPr>
        <w:t xml:space="preserve"> </w:t>
      </w:r>
      <w:r w:rsidRPr="001F56DC">
        <w:rPr>
          <w:color w:val="auto"/>
        </w:rPr>
        <w:t>2019</w:t>
      </w:r>
      <w:r>
        <w:rPr>
          <w:color w:val="auto"/>
        </w:rPr>
        <w:t>,</w:t>
      </w:r>
      <w:r w:rsidRPr="001F56DC">
        <w:rPr>
          <w:color w:val="auto"/>
        </w:rPr>
        <w:t xml:space="preserve"> Series C </w:t>
      </w:r>
      <w:r>
        <w:rPr>
          <w:color w:val="auto"/>
        </w:rPr>
        <w:t>N</w:t>
      </w:r>
      <w:r w:rsidRPr="001F56DC">
        <w:rPr>
          <w:color w:val="auto"/>
        </w:rPr>
        <w:t xml:space="preserve">o. 374, </w:t>
      </w:r>
      <w:r>
        <w:rPr>
          <w:color w:val="auto"/>
        </w:rPr>
        <w:t>paras.</w:t>
      </w:r>
      <w:r w:rsidRPr="001F56DC">
        <w:rPr>
          <w:color w:val="auto"/>
        </w:rPr>
        <w:t xml:space="preserve"> </w:t>
      </w:r>
      <w:r w:rsidRPr="00DE3D80">
        <w:rPr>
          <w:color w:val="auto"/>
          <w:lang w:val="es-CO"/>
        </w:rPr>
        <w:t xml:space="preserve">110 and 111. </w:t>
      </w:r>
    </w:p>
  </w:footnote>
  <w:footnote w:id="93">
    <w:p w14:paraId="219D3360" w14:textId="77777777" w:rsidR="00E6692A" w:rsidRPr="00DE3D80" w:rsidRDefault="00E6692A" w:rsidP="00E6692A">
      <w:pPr>
        <w:pStyle w:val="Textonotapie"/>
      </w:pPr>
      <w:r>
        <w:rPr>
          <w:rStyle w:val="Refdenotaalpie"/>
        </w:rPr>
        <w:footnoteRef/>
      </w:r>
      <w:r w:rsidRPr="00DE3D80">
        <w:t xml:space="preserve"> Petitioners’ brief of November 20</w:t>
      </w:r>
      <w:r>
        <w:t xml:space="preserve">, </w:t>
      </w:r>
      <w:r w:rsidRPr="00DE3D80">
        <w:t>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51B5B" w14:textId="77777777" w:rsidR="00E6692A" w:rsidRDefault="00E6692A" w:rsidP="0028565C">
    <w:pPr>
      <w:pStyle w:val="Encabezado"/>
      <w:framePr w:wrap="around" w:vAnchor="text" w:hAnchor="margin" w:xAlign="center" w:y="1"/>
      <w:rPr>
        <w:rStyle w:val="Nmerodepgina"/>
        <w:rFonts w:eastAsia="Trebuchet MS"/>
      </w:rPr>
    </w:pPr>
    <w:r>
      <w:rPr>
        <w:rStyle w:val="Nmerodepgina"/>
        <w:rFonts w:eastAsia="Trebuchet MS"/>
        <w:lang w:val="en"/>
      </w:rPr>
      <w:fldChar w:fldCharType="begin"/>
    </w:r>
    <w:r>
      <w:rPr>
        <w:rStyle w:val="Nmerodepgina"/>
        <w:rFonts w:eastAsia="Trebuchet MS"/>
        <w:lang w:val="en"/>
      </w:rPr>
      <w:instrText xml:space="preserve">PAGE  </w:instrText>
    </w:r>
    <w:r>
      <w:rPr>
        <w:rStyle w:val="Nmerodepgina"/>
        <w:rFonts w:eastAsia="Trebuchet MS"/>
        <w:lang w:val="en"/>
      </w:rPr>
      <w:fldChar w:fldCharType="end"/>
    </w:r>
  </w:p>
  <w:p w14:paraId="0F074FCC" w14:textId="77777777" w:rsidR="00E6692A" w:rsidRDefault="00E6692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F74C7" w14:textId="685C4CCB" w:rsidR="00E6692A" w:rsidRPr="00EC7D62" w:rsidRDefault="00E6692A" w:rsidP="00A50FCF">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1" w15:restartNumberingAfterBreak="0">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 w15:restartNumberingAfterBreak="0">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 w15:restartNumberingAfterBreak="0">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4" w15:restartNumberingAfterBreak="0">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5" w15:restartNumberingAfterBreak="0">
    <w:nsid w:val="18A0629A"/>
    <w:multiLevelType w:val="hybridMultilevel"/>
    <w:tmpl w:val="0C1833AA"/>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62145B"/>
    <w:multiLevelType w:val="hybridMultilevel"/>
    <w:tmpl w:val="C46E6192"/>
    <w:lvl w:ilvl="0" w:tplc="A5BCB49E">
      <w:start w:val="1"/>
      <w:numFmt w:val="upperLetter"/>
      <w:lvlText w:val="%1."/>
      <w:lvlJc w:val="left"/>
      <w:pPr>
        <w:ind w:left="117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ind w:left="1890" w:hanging="360"/>
      </w:pPr>
    </w:lvl>
    <w:lvl w:ilvl="2" w:tplc="F12E0CEC">
      <w:start w:val="1"/>
      <w:numFmt w:val="bullet"/>
      <w:lvlText w:val="-"/>
      <w:lvlJc w:val="left"/>
      <w:pPr>
        <w:ind w:left="2790" w:hanging="360"/>
      </w:pPr>
      <w:rPr>
        <w:rFonts w:ascii="Cambria" w:eastAsia="Arial Unicode MS" w:hAnsi="Cambria" w:cs="Times New Roman" w:hint="default"/>
      </w:r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15:restartNumberingAfterBreak="0">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8" w15:restartNumberingAfterBreak="0">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9" w15:restartNumberingAfterBreak="0">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0" w15:restartNumberingAfterBreak="0">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1" w15:restartNumberingAfterBreak="0">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2" w15:restartNumberingAfterBreak="0">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3" w15:restartNumberingAfterBreak="0">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4" w15:restartNumberingAfterBreak="0">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5" w15:restartNumberingAfterBreak="0">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6" w15:restartNumberingAfterBreak="0">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7" w15:restartNumberingAfterBreak="0">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8" w15:restartNumberingAfterBreak="0">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15:restartNumberingAfterBreak="0">
    <w:nsid w:val="2D3D2E40"/>
    <w:multiLevelType w:val="hybridMultilevel"/>
    <w:tmpl w:val="14961C54"/>
    <w:lvl w:ilvl="0" w:tplc="0409000F">
      <w:start w:val="1"/>
      <w:numFmt w:val="decimal"/>
      <w:lvlText w:val="%1."/>
      <w:lvlJc w:val="left"/>
      <w:pPr>
        <w:tabs>
          <w:tab w:val="num" w:pos="795"/>
        </w:tabs>
        <w:ind w:left="795" w:hanging="360"/>
      </w:p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20" w15:restartNumberingAfterBreak="0">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1" w15:restartNumberingAfterBreak="0">
    <w:nsid w:val="2E0669FE"/>
    <w:multiLevelType w:val="hybridMultilevel"/>
    <w:tmpl w:val="BC5CC678"/>
    <w:lvl w:ilvl="0" w:tplc="7368EF6A">
      <w:start w:val="1"/>
      <w:numFmt w:val="upp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3" w15:restartNumberingAfterBreak="0">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4" w15:restartNumberingAfterBreak="0">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5" w15:restartNumberingAfterBreak="0">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6" w15:restartNumberingAfterBreak="0">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7" w15:restartNumberingAfterBreak="0">
    <w:nsid w:val="372A0BA1"/>
    <w:multiLevelType w:val="hybridMultilevel"/>
    <w:tmpl w:val="3C423AA6"/>
    <w:lvl w:ilvl="0" w:tplc="3F4245EA">
      <w:start w:val="1"/>
      <w:numFmt w:val="upperRoman"/>
      <w:lvlText w:val="%1."/>
      <w:lvlJc w:val="left"/>
      <w:pPr>
        <w:ind w:left="720" w:hanging="72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834517D"/>
    <w:multiLevelType w:val="hybridMultilevel"/>
    <w:tmpl w:val="F0022558"/>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0" w15:restartNumberingAfterBreak="0">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31" w15:restartNumberingAfterBreak="0">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32" w15:restartNumberingAfterBreak="0">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3" w15:restartNumberingAfterBreak="0">
    <w:nsid w:val="42DF19D7"/>
    <w:multiLevelType w:val="multilevel"/>
    <w:tmpl w:val="E7265BB0"/>
    <w:styleLink w:val="List51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4" w15:restartNumberingAfterBreak="0">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15:restartNumberingAfterBreak="0">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15:restartNumberingAfterBreak="0">
    <w:nsid w:val="455225E1"/>
    <w:multiLevelType w:val="hybridMultilevel"/>
    <w:tmpl w:val="422056B8"/>
    <w:lvl w:ilvl="0" w:tplc="66983E9E">
      <w:start w:val="1"/>
      <w:numFmt w:val="decimal"/>
      <w:lvlText w:val="%1."/>
      <w:lvlJc w:val="left"/>
      <w:pPr>
        <w:ind w:left="1080" w:hanging="360"/>
      </w:pPr>
      <w:rPr>
        <w:rFonts w:hint="default"/>
        <w:i w:val="0"/>
        <w:color w:val="auto"/>
        <w:lang w:val="es-C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8" w15:restartNumberingAfterBreak="0">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9" w15:restartNumberingAfterBreak="0">
    <w:nsid w:val="492723E7"/>
    <w:multiLevelType w:val="multilevel"/>
    <w:tmpl w:val="0CF8CC36"/>
    <w:styleLink w:val="List21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0" w15:restartNumberingAfterBreak="0">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41" w15:restartNumberingAfterBreak="0">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2" w15:restartNumberingAfterBreak="0">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3" w15:restartNumberingAfterBreak="0">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4" w15:restartNumberingAfterBreak="0">
    <w:nsid w:val="5087187A"/>
    <w:multiLevelType w:val="multilevel"/>
    <w:tmpl w:val="D5303458"/>
    <w:styleLink w:val="List21"/>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5" w15:restartNumberingAfterBreak="0">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6" w15:restartNumberingAfterBreak="0">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7" w15:restartNumberingAfterBreak="0">
    <w:nsid w:val="5BF62682"/>
    <w:multiLevelType w:val="multilevel"/>
    <w:tmpl w:val="44B09150"/>
    <w:styleLink w:val="List5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8" w15:restartNumberingAfterBreak="0">
    <w:nsid w:val="5C3360A6"/>
    <w:multiLevelType w:val="multilevel"/>
    <w:tmpl w:val="B3CE7A6E"/>
    <w:lvl w:ilvl="0">
      <w:start w:val="1"/>
      <w:numFmt w:val="decimal"/>
      <w:pStyle w:val="Ttulo3"/>
      <w:lvlText w:val="%1."/>
      <w:lvlJc w:val="left"/>
      <w:pPr>
        <w:ind w:left="720" w:hanging="360"/>
      </w:pPr>
      <w:rPr>
        <w:rFonts w:ascii="Cambria" w:hAnsi="Cambria" w:hint="default"/>
        <w:b/>
        <w:color w:val="auto"/>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5D7D4B9D"/>
    <w:multiLevelType w:val="hybridMultilevel"/>
    <w:tmpl w:val="402EB966"/>
    <w:lvl w:ilvl="0" w:tplc="3668A7D4">
      <w:start w:val="1"/>
      <w:numFmt w:val="decimal"/>
      <w:pStyle w:val="parrafos"/>
      <w:lvlText w:val="%1."/>
      <w:lvlJc w:val="left"/>
      <w:pPr>
        <w:ind w:left="360" w:hanging="360"/>
      </w:pPr>
      <w:rPr>
        <w:rFonts w:ascii="Cambria" w:hAnsi="Cambria" w:hint="default"/>
        <w:b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5FDF2ED9"/>
    <w:multiLevelType w:val="hybridMultilevel"/>
    <w:tmpl w:val="052CDC5E"/>
    <w:lvl w:ilvl="0" w:tplc="D92C12E8">
      <w:start w:val="1"/>
      <w:numFmt w:val="decimal"/>
      <w:lvlText w:val="%1."/>
      <w:lvlJc w:val="left"/>
      <w:pPr>
        <w:tabs>
          <w:tab w:val="num" w:pos="1860"/>
        </w:tabs>
        <w:ind w:left="186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019715A"/>
    <w:multiLevelType w:val="hybridMultilevel"/>
    <w:tmpl w:val="E854A5E0"/>
    <w:lvl w:ilvl="0" w:tplc="FC1E9A08">
      <w:start w:val="1"/>
      <w:numFmt w:val="upp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2" w15:restartNumberingAfterBreak="0">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3" w15:restartNumberingAfterBreak="0">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4" w15:restartNumberingAfterBreak="0">
    <w:nsid w:val="66A101BB"/>
    <w:multiLevelType w:val="hybridMultilevel"/>
    <w:tmpl w:val="C03C5D4C"/>
    <w:lvl w:ilvl="0" w:tplc="CB3E82CC">
      <w:start w:val="1"/>
      <w:numFmt w:val="upperRoman"/>
      <w:lvlText w:val="%1."/>
      <w:lvlJc w:val="left"/>
      <w:pPr>
        <w:tabs>
          <w:tab w:val="num" w:pos="1440"/>
        </w:tabs>
        <w:ind w:left="1440" w:hanging="720"/>
      </w:pPr>
      <w:rPr>
        <w:rFonts w:cs="Times New Roman" w:hint="default"/>
        <w:b/>
      </w:rPr>
    </w:lvl>
    <w:lvl w:ilvl="1" w:tplc="B5762098">
      <w:start w:val="1"/>
      <w:numFmt w:val="decimal"/>
      <w:lvlText w:val="%2."/>
      <w:lvlJc w:val="left"/>
      <w:pPr>
        <w:tabs>
          <w:tab w:val="num" w:pos="1800"/>
        </w:tabs>
        <w:ind w:left="1800" w:hanging="360"/>
      </w:pPr>
      <w:rPr>
        <w:rFonts w:cs="Times New Roman" w:hint="default"/>
        <w:b/>
        <w:color w:val="auto"/>
        <w:lang w:val="es-CO"/>
      </w:rPr>
    </w:lvl>
    <w:lvl w:ilvl="2" w:tplc="881EAA16">
      <w:start w:val="1"/>
      <w:numFmt w:val="lowerLetter"/>
      <w:lvlText w:val="%3)"/>
      <w:lvlJc w:val="left"/>
      <w:pPr>
        <w:tabs>
          <w:tab w:val="num" w:pos="2700"/>
        </w:tabs>
        <w:ind w:left="2700" w:hanging="360"/>
      </w:pPr>
      <w:rPr>
        <w:rFonts w:cs="Times New Roman" w:hint="default"/>
      </w:rPr>
    </w:lvl>
    <w:lvl w:ilvl="3" w:tplc="B87E3F4A">
      <w:start w:val="2"/>
      <w:numFmt w:val="upperLetter"/>
      <w:lvlText w:val="%4."/>
      <w:lvlJc w:val="left"/>
      <w:pPr>
        <w:tabs>
          <w:tab w:val="num" w:pos="3240"/>
        </w:tabs>
        <w:ind w:left="3240" w:hanging="360"/>
      </w:pPr>
      <w:rPr>
        <w:rFonts w:cs="Times New Roman" w:hint="default"/>
      </w:rPr>
    </w:lvl>
    <w:lvl w:ilvl="4" w:tplc="817A8DEA">
      <w:start w:val="5"/>
      <w:numFmt w:val="bullet"/>
      <w:lvlText w:val="-"/>
      <w:lvlJc w:val="left"/>
      <w:pPr>
        <w:ind w:left="3960" w:hanging="360"/>
      </w:pPr>
      <w:rPr>
        <w:rFonts w:ascii="Cambria" w:eastAsia="Arial Unicode MS" w:hAnsi="Cambria" w:cs="Times New Roman" w:hint="default"/>
      </w:rPr>
    </w:lvl>
    <w:lvl w:ilvl="5" w:tplc="4E58E810">
      <w:start w:val="2"/>
      <w:numFmt w:val="lowerLetter"/>
      <w:lvlText w:val="%6."/>
      <w:lvlJc w:val="left"/>
      <w:pPr>
        <w:ind w:left="4860" w:hanging="360"/>
      </w:pPr>
      <w:rPr>
        <w:rFonts w:hint="default"/>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5" w15:restartNumberingAfterBreak="0">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56" w15:restartNumberingAfterBreak="0">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7" w15:restartNumberingAfterBreak="0">
    <w:nsid w:val="745A711E"/>
    <w:multiLevelType w:val="multilevel"/>
    <w:tmpl w:val="ED88159C"/>
    <w:styleLink w:val="List41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8" w15:restartNumberingAfterBreak="0">
    <w:nsid w:val="78C26FCF"/>
    <w:multiLevelType w:val="multilevel"/>
    <w:tmpl w:val="2FCAD168"/>
    <w:styleLink w:val="List31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9" w15:restartNumberingAfterBreak="0">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60" w15:restartNumberingAfterBreak="0">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1" w15:restartNumberingAfterBreak="0">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2" w15:restartNumberingAfterBreak="0">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3" w15:restartNumberingAfterBreak="0">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4" w15:restartNumberingAfterBreak="0">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16cid:durableId="1752777708">
    <w:abstractNumId w:val="3"/>
  </w:num>
  <w:num w:numId="2" w16cid:durableId="1590044248">
    <w:abstractNumId w:val="4"/>
  </w:num>
  <w:num w:numId="3" w16cid:durableId="1827084222">
    <w:abstractNumId w:val="59"/>
  </w:num>
  <w:num w:numId="4" w16cid:durableId="1205024737">
    <w:abstractNumId w:val="23"/>
  </w:num>
  <w:num w:numId="5" w16cid:durableId="1151799256">
    <w:abstractNumId w:val="53"/>
  </w:num>
  <w:num w:numId="6" w16cid:durableId="1575117174">
    <w:abstractNumId w:val="30"/>
  </w:num>
  <w:num w:numId="7" w16cid:durableId="1742100408">
    <w:abstractNumId w:val="7"/>
  </w:num>
  <w:num w:numId="8" w16cid:durableId="2129199185">
    <w:abstractNumId w:val="17"/>
  </w:num>
  <w:num w:numId="9" w16cid:durableId="1018585592">
    <w:abstractNumId w:val="45"/>
  </w:num>
  <w:num w:numId="10" w16cid:durableId="1607930561">
    <w:abstractNumId w:val="0"/>
  </w:num>
  <w:num w:numId="11" w16cid:durableId="826215863">
    <w:abstractNumId w:val="40"/>
  </w:num>
  <w:num w:numId="12" w16cid:durableId="25328787">
    <w:abstractNumId w:val="41"/>
  </w:num>
  <w:num w:numId="13" w16cid:durableId="170948323">
    <w:abstractNumId w:val="46"/>
  </w:num>
  <w:num w:numId="14" w16cid:durableId="1964656545">
    <w:abstractNumId w:val="1"/>
  </w:num>
  <w:num w:numId="15" w16cid:durableId="1132023214">
    <w:abstractNumId w:val="2"/>
  </w:num>
  <w:num w:numId="16" w16cid:durableId="1096512635">
    <w:abstractNumId w:val="8"/>
  </w:num>
  <w:num w:numId="17" w16cid:durableId="1830905305">
    <w:abstractNumId w:val="9"/>
  </w:num>
  <w:num w:numId="18" w16cid:durableId="560753908">
    <w:abstractNumId w:val="10"/>
  </w:num>
  <w:num w:numId="19" w16cid:durableId="1617903713">
    <w:abstractNumId w:val="11"/>
  </w:num>
  <w:num w:numId="20" w16cid:durableId="1659529216">
    <w:abstractNumId w:val="12"/>
  </w:num>
  <w:num w:numId="21" w16cid:durableId="27419645">
    <w:abstractNumId w:val="13"/>
  </w:num>
  <w:num w:numId="22" w16cid:durableId="455414234">
    <w:abstractNumId w:val="14"/>
  </w:num>
  <w:num w:numId="23" w16cid:durableId="215090246">
    <w:abstractNumId w:val="15"/>
  </w:num>
  <w:num w:numId="24" w16cid:durableId="1756659622">
    <w:abstractNumId w:val="16"/>
  </w:num>
  <w:num w:numId="25" w16cid:durableId="288822411">
    <w:abstractNumId w:val="18"/>
  </w:num>
  <w:num w:numId="26" w16cid:durableId="1164903155">
    <w:abstractNumId w:val="20"/>
  </w:num>
  <w:num w:numId="27" w16cid:durableId="21367838">
    <w:abstractNumId w:val="24"/>
  </w:num>
  <w:num w:numId="28" w16cid:durableId="2101173934">
    <w:abstractNumId w:val="25"/>
  </w:num>
  <w:num w:numId="29" w16cid:durableId="1072193731">
    <w:abstractNumId w:val="26"/>
  </w:num>
  <w:num w:numId="30" w16cid:durableId="255480062">
    <w:abstractNumId w:val="29"/>
  </w:num>
  <w:num w:numId="31" w16cid:durableId="670060215">
    <w:abstractNumId w:val="31"/>
  </w:num>
  <w:num w:numId="32" w16cid:durableId="505948250">
    <w:abstractNumId w:val="32"/>
  </w:num>
  <w:num w:numId="33" w16cid:durableId="299069309">
    <w:abstractNumId w:val="33"/>
  </w:num>
  <w:num w:numId="34" w16cid:durableId="1312782954">
    <w:abstractNumId w:val="34"/>
  </w:num>
  <w:num w:numId="35" w16cid:durableId="1324427689">
    <w:abstractNumId w:val="35"/>
  </w:num>
  <w:num w:numId="36" w16cid:durableId="229275346">
    <w:abstractNumId w:val="37"/>
  </w:num>
  <w:num w:numId="37" w16cid:durableId="1074203860">
    <w:abstractNumId w:val="38"/>
  </w:num>
  <w:num w:numId="38" w16cid:durableId="617874781">
    <w:abstractNumId w:val="39"/>
  </w:num>
  <w:num w:numId="39" w16cid:durableId="1980721595">
    <w:abstractNumId w:val="42"/>
  </w:num>
  <w:num w:numId="40" w16cid:durableId="1617518731">
    <w:abstractNumId w:val="43"/>
  </w:num>
  <w:num w:numId="41" w16cid:durableId="732312169">
    <w:abstractNumId w:val="52"/>
  </w:num>
  <w:num w:numId="42" w16cid:durableId="1799447448">
    <w:abstractNumId w:val="55"/>
  </w:num>
  <w:num w:numId="43" w16cid:durableId="1962954372">
    <w:abstractNumId w:val="56"/>
  </w:num>
  <w:num w:numId="44" w16cid:durableId="205065560">
    <w:abstractNumId w:val="57"/>
  </w:num>
  <w:num w:numId="45" w16cid:durableId="409548069">
    <w:abstractNumId w:val="58"/>
  </w:num>
  <w:num w:numId="46" w16cid:durableId="1411662271">
    <w:abstractNumId w:val="60"/>
  </w:num>
  <w:num w:numId="47" w16cid:durableId="1990278719">
    <w:abstractNumId w:val="61"/>
  </w:num>
  <w:num w:numId="48" w16cid:durableId="648048714">
    <w:abstractNumId w:val="62"/>
  </w:num>
  <w:num w:numId="49" w16cid:durableId="2007978442">
    <w:abstractNumId w:val="63"/>
  </w:num>
  <w:num w:numId="50" w16cid:durableId="325209199">
    <w:abstractNumId w:val="64"/>
  </w:num>
  <w:num w:numId="51" w16cid:durableId="1167864553">
    <w:abstractNumId w:val="22"/>
  </w:num>
  <w:num w:numId="52" w16cid:durableId="757024917">
    <w:abstractNumId w:val="44"/>
  </w:num>
  <w:num w:numId="53" w16cid:durableId="698819658">
    <w:abstractNumId w:val="47"/>
  </w:num>
  <w:num w:numId="54" w16cid:durableId="868178414">
    <w:abstractNumId w:val="49"/>
  </w:num>
  <w:num w:numId="55" w16cid:durableId="1321301314">
    <w:abstractNumId w:val="51"/>
  </w:num>
  <w:num w:numId="56" w16cid:durableId="770734742">
    <w:abstractNumId w:val="48"/>
  </w:num>
  <w:num w:numId="57" w16cid:durableId="1156654349">
    <w:abstractNumId w:val="6"/>
    <w:lvlOverride w:ilvl="0">
      <w:startOverride w:val="1"/>
    </w:lvlOverride>
  </w:num>
  <w:num w:numId="58" w16cid:durableId="27728340">
    <w:abstractNumId w:val="5"/>
  </w:num>
  <w:num w:numId="59" w16cid:durableId="1254361856">
    <w:abstractNumId w:val="49"/>
    <w:lvlOverride w:ilvl="0">
      <w:startOverride w:val="1"/>
    </w:lvlOverride>
  </w:num>
  <w:num w:numId="60" w16cid:durableId="1722754681">
    <w:abstractNumId w:val="54"/>
  </w:num>
  <w:num w:numId="61" w16cid:durableId="1545748168">
    <w:abstractNumId w:val="21"/>
  </w:num>
  <w:num w:numId="62" w16cid:durableId="1168792844">
    <w:abstractNumId w:val="36"/>
  </w:num>
  <w:num w:numId="63" w16cid:durableId="1553809524">
    <w:abstractNumId w:val="50"/>
  </w:num>
  <w:num w:numId="64" w16cid:durableId="1483616257">
    <w:abstractNumId w:val="19"/>
  </w:num>
  <w:num w:numId="65" w16cid:durableId="1378629336">
    <w:abstractNumId w:val="27"/>
  </w:num>
  <w:num w:numId="66" w16cid:durableId="592975787">
    <w:abstractNumId w:val="28"/>
  </w:num>
  <w:num w:numId="67" w16cid:durableId="424810005">
    <w:abstractNumId w:val="49"/>
    <w:lvlOverride w:ilvl="0">
      <w:startOverride w:val="37"/>
    </w:lvlOverride>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D5C"/>
    <w:rsid w:val="0000036F"/>
    <w:rsid w:val="00000B31"/>
    <w:rsid w:val="00000CDA"/>
    <w:rsid w:val="0000302E"/>
    <w:rsid w:val="00006896"/>
    <w:rsid w:val="00006E1F"/>
    <w:rsid w:val="00006EF6"/>
    <w:rsid w:val="000070D7"/>
    <w:rsid w:val="000126F8"/>
    <w:rsid w:val="000158FD"/>
    <w:rsid w:val="0001788C"/>
    <w:rsid w:val="000220D5"/>
    <w:rsid w:val="00027A6B"/>
    <w:rsid w:val="00032214"/>
    <w:rsid w:val="00040C3A"/>
    <w:rsid w:val="00040CBD"/>
    <w:rsid w:val="00042C2F"/>
    <w:rsid w:val="00044112"/>
    <w:rsid w:val="000530D9"/>
    <w:rsid w:val="00054BE4"/>
    <w:rsid w:val="0006565A"/>
    <w:rsid w:val="00067A5D"/>
    <w:rsid w:val="000716C5"/>
    <w:rsid w:val="00071E20"/>
    <w:rsid w:val="00075E23"/>
    <w:rsid w:val="0008768F"/>
    <w:rsid w:val="0009344A"/>
    <w:rsid w:val="000A04E5"/>
    <w:rsid w:val="000A0693"/>
    <w:rsid w:val="000A392E"/>
    <w:rsid w:val="000A39E4"/>
    <w:rsid w:val="000A575F"/>
    <w:rsid w:val="000A576A"/>
    <w:rsid w:val="000B7F13"/>
    <w:rsid w:val="000C52CF"/>
    <w:rsid w:val="000D10DB"/>
    <w:rsid w:val="000D4189"/>
    <w:rsid w:val="000E0C8F"/>
    <w:rsid w:val="000E1971"/>
    <w:rsid w:val="000E5EB5"/>
    <w:rsid w:val="000E7833"/>
    <w:rsid w:val="000F351B"/>
    <w:rsid w:val="000F35ED"/>
    <w:rsid w:val="000F7AD9"/>
    <w:rsid w:val="00107093"/>
    <w:rsid w:val="00107131"/>
    <w:rsid w:val="0010736F"/>
    <w:rsid w:val="00113F73"/>
    <w:rsid w:val="00121CC2"/>
    <w:rsid w:val="00124478"/>
    <w:rsid w:val="00133EE5"/>
    <w:rsid w:val="00136952"/>
    <w:rsid w:val="001547AE"/>
    <w:rsid w:val="0015660F"/>
    <w:rsid w:val="00161D34"/>
    <w:rsid w:val="00166189"/>
    <w:rsid w:val="00167A34"/>
    <w:rsid w:val="00177DB9"/>
    <w:rsid w:val="00181F34"/>
    <w:rsid w:val="00182639"/>
    <w:rsid w:val="00182658"/>
    <w:rsid w:val="001877F0"/>
    <w:rsid w:val="001922A1"/>
    <w:rsid w:val="001A36FE"/>
    <w:rsid w:val="001A4D23"/>
    <w:rsid w:val="001A7870"/>
    <w:rsid w:val="001B510E"/>
    <w:rsid w:val="001B62CA"/>
    <w:rsid w:val="001C103F"/>
    <w:rsid w:val="001C1B41"/>
    <w:rsid w:val="001C40DD"/>
    <w:rsid w:val="001D0753"/>
    <w:rsid w:val="001D18C7"/>
    <w:rsid w:val="001D5771"/>
    <w:rsid w:val="001D65EF"/>
    <w:rsid w:val="001E15B6"/>
    <w:rsid w:val="001E6363"/>
    <w:rsid w:val="001F555A"/>
    <w:rsid w:val="00202589"/>
    <w:rsid w:val="00204B61"/>
    <w:rsid w:val="0022273F"/>
    <w:rsid w:val="00222E84"/>
    <w:rsid w:val="00223293"/>
    <w:rsid w:val="002250A3"/>
    <w:rsid w:val="00235217"/>
    <w:rsid w:val="00245488"/>
    <w:rsid w:val="00246D1F"/>
    <w:rsid w:val="00247403"/>
    <w:rsid w:val="00247542"/>
    <w:rsid w:val="00261A07"/>
    <w:rsid w:val="00266B61"/>
    <w:rsid w:val="0026712A"/>
    <w:rsid w:val="002704DB"/>
    <w:rsid w:val="00276DF8"/>
    <w:rsid w:val="00277EF9"/>
    <w:rsid w:val="002827DD"/>
    <w:rsid w:val="0028565C"/>
    <w:rsid w:val="0029423D"/>
    <w:rsid w:val="002A0AAE"/>
    <w:rsid w:val="002A5820"/>
    <w:rsid w:val="002B14FF"/>
    <w:rsid w:val="002B599B"/>
    <w:rsid w:val="002B7797"/>
    <w:rsid w:val="002D2B26"/>
    <w:rsid w:val="002D3CD5"/>
    <w:rsid w:val="002D429A"/>
    <w:rsid w:val="002D7EA2"/>
    <w:rsid w:val="002E1297"/>
    <w:rsid w:val="002E187C"/>
    <w:rsid w:val="002E24EF"/>
    <w:rsid w:val="002E4AEA"/>
    <w:rsid w:val="002E74DA"/>
    <w:rsid w:val="002E7CC4"/>
    <w:rsid w:val="002F3E51"/>
    <w:rsid w:val="00302733"/>
    <w:rsid w:val="00303D52"/>
    <w:rsid w:val="00305021"/>
    <w:rsid w:val="00307ABC"/>
    <w:rsid w:val="0031160D"/>
    <w:rsid w:val="00314078"/>
    <w:rsid w:val="0031535D"/>
    <w:rsid w:val="00320311"/>
    <w:rsid w:val="00320692"/>
    <w:rsid w:val="00322B86"/>
    <w:rsid w:val="0032742E"/>
    <w:rsid w:val="00327F16"/>
    <w:rsid w:val="0033028D"/>
    <w:rsid w:val="0033169F"/>
    <w:rsid w:val="00343F11"/>
    <w:rsid w:val="00346C95"/>
    <w:rsid w:val="00350B98"/>
    <w:rsid w:val="00356185"/>
    <w:rsid w:val="00360380"/>
    <w:rsid w:val="00361415"/>
    <w:rsid w:val="0036232B"/>
    <w:rsid w:val="00365872"/>
    <w:rsid w:val="00374455"/>
    <w:rsid w:val="0037519E"/>
    <w:rsid w:val="00376179"/>
    <w:rsid w:val="00381FE6"/>
    <w:rsid w:val="0038223F"/>
    <w:rsid w:val="00386CF0"/>
    <w:rsid w:val="0039717B"/>
    <w:rsid w:val="003A17D0"/>
    <w:rsid w:val="003A55BB"/>
    <w:rsid w:val="003B1D16"/>
    <w:rsid w:val="003C053F"/>
    <w:rsid w:val="003C676B"/>
    <w:rsid w:val="003D3BC2"/>
    <w:rsid w:val="003D61BE"/>
    <w:rsid w:val="003D67C7"/>
    <w:rsid w:val="003D7C03"/>
    <w:rsid w:val="003D7D64"/>
    <w:rsid w:val="003E432F"/>
    <w:rsid w:val="003E6CA1"/>
    <w:rsid w:val="003F2493"/>
    <w:rsid w:val="003F7F64"/>
    <w:rsid w:val="00403C18"/>
    <w:rsid w:val="00412456"/>
    <w:rsid w:val="004165C2"/>
    <w:rsid w:val="00417A1E"/>
    <w:rsid w:val="004211CE"/>
    <w:rsid w:val="00426114"/>
    <w:rsid w:val="00434C0B"/>
    <w:rsid w:val="00434DA4"/>
    <w:rsid w:val="00437655"/>
    <w:rsid w:val="00441ECB"/>
    <w:rsid w:val="004474A2"/>
    <w:rsid w:val="00454B5A"/>
    <w:rsid w:val="00456315"/>
    <w:rsid w:val="0046391A"/>
    <w:rsid w:val="00467B7E"/>
    <w:rsid w:val="00477592"/>
    <w:rsid w:val="00482EC8"/>
    <w:rsid w:val="00486F1C"/>
    <w:rsid w:val="0049419D"/>
    <w:rsid w:val="004953B8"/>
    <w:rsid w:val="004A75A9"/>
    <w:rsid w:val="004B291C"/>
    <w:rsid w:val="004C20D2"/>
    <w:rsid w:val="004C3538"/>
    <w:rsid w:val="004C4B62"/>
    <w:rsid w:val="004C54C9"/>
    <w:rsid w:val="004C64F3"/>
    <w:rsid w:val="004C74B3"/>
    <w:rsid w:val="004C790D"/>
    <w:rsid w:val="004D195F"/>
    <w:rsid w:val="004D2720"/>
    <w:rsid w:val="004D6025"/>
    <w:rsid w:val="004D6618"/>
    <w:rsid w:val="004E2649"/>
    <w:rsid w:val="004F47A6"/>
    <w:rsid w:val="004F627D"/>
    <w:rsid w:val="00501399"/>
    <w:rsid w:val="0050633D"/>
    <w:rsid w:val="00507BC4"/>
    <w:rsid w:val="005128E4"/>
    <w:rsid w:val="00512BE3"/>
    <w:rsid w:val="005133DB"/>
    <w:rsid w:val="00516B62"/>
    <w:rsid w:val="00525560"/>
    <w:rsid w:val="00526998"/>
    <w:rsid w:val="005354F3"/>
    <w:rsid w:val="005362B4"/>
    <w:rsid w:val="00536923"/>
    <w:rsid w:val="0054027B"/>
    <w:rsid w:val="005430CE"/>
    <w:rsid w:val="00544C49"/>
    <w:rsid w:val="005516A1"/>
    <w:rsid w:val="00554B5C"/>
    <w:rsid w:val="00555144"/>
    <w:rsid w:val="005572EF"/>
    <w:rsid w:val="00565744"/>
    <w:rsid w:val="0056637D"/>
    <w:rsid w:val="005703EE"/>
    <w:rsid w:val="0057402A"/>
    <w:rsid w:val="005771D0"/>
    <w:rsid w:val="00582B78"/>
    <w:rsid w:val="0058494D"/>
    <w:rsid w:val="005900B7"/>
    <w:rsid w:val="0059191A"/>
    <w:rsid w:val="005921FF"/>
    <w:rsid w:val="005937F1"/>
    <w:rsid w:val="00595C1D"/>
    <w:rsid w:val="005A6D0E"/>
    <w:rsid w:val="005B2258"/>
    <w:rsid w:val="005B52B0"/>
    <w:rsid w:val="005B6687"/>
    <w:rsid w:val="005B6806"/>
    <w:rsid w:val="005C07E8"/>
    <w:rsid w:val="005C0B22"/>
    <w:rsid w:val="005C1634"/>
    <w:rsid w:val="005C23AF"/>
    <w:rsid w:val="005C4225"/>
    <w:rsid w:val="005C4CA5"/>
    <w:rsid w:val="005D0DB1"/>
    <w:rsid w:val="005D327C"/>
    <w:rsid w:val="005D613F"/>
    <w:rsid w:val="005E46ED"/>
    <w:rsid w:val="005E4F85"/>
    <w:rsid w:val="005F0DAD"/>
    <w:rsid w:val="005F0F33"/>
    <w:rsid w:val="005F278A"/>
    <w:rsid w:val="005F309E"/>
    <w:rsid w:val="00600DEB"/>
    <w:rsid w:val="00604C10"/>
    <w:rsid w:val="006107F9"/>
    <w:rsid w:val="006125C3"/>
    <w:rsid w:val="00627C9F"/>
    <w:rsid w:val="006311E9"/>
    <w:rsid w:val="00632354"/>
    <w:rsid w:val="00636460"/>
    <w:rsid w:val="00640C93"/>
    <w:rsid w:val="00642810"/>
    <w:rsid w:val="00645038"/>
    <w:rsid w:val="00645348"/>
    <w:rsid w:val="00647FCE"/>
    <w:rsid w:val="00652333"/>
    <w:rsid w:val="00655B8E"/>
    <w:rsid w:val="006674FF"/>
    <w:rsid w:val="00676F24"/>
    <w:rsid w:val="0068009E"/>
    <w:rsid w:val="00692219"/>
    <w:rsid w:val="006A17D2"/>
    <w:rsid w:val="006A46E3"/>
    <w:rsid w:val="006A4B39"/>
    <w:rsid w:val="006A73E6"/>
    <w:rsid w:val="006B2D5C"/>
    <w:rsid w:val="006B4D40"/>
    <w:rsid w:val="006B7B99"/>
    <w:rsid w:val="006C02BE"/>
    <w:rsid w:val="006C1A20"/>
    <w:rsid w:val="006C3E91"/>
    <w:rsid w:val="006C4EB1"/>
    <w:rsid w:val="006D5B9F"/>
    <w:rsid w:val="006E0166"/>
    <w:rsid w:val="006E313E"/>
    <w:rsid w:val="006E39BD"/>
    <w:rsid w:val="006E7B34"/>
    <w:rsid w:val="006F1868"/>
    <w:rsid w:val="00703878"/>
    <w:rsid w:val="00704A9B"/>
    <w:rsid w:val="0070697F"/>
    <w:rsid w:val="007172E0"/>
    <w:rsid w:val="0072199C"/>
    <w:rsid w:val="0072289C"/>
    <w:rsid w:val="00722C9F"/>
    <w:rsid w:val="007253B8"/>
    <w:rsid w:val="00727475"/>
    <w:rsid w:val="0073587E"/>
    <w:rsid w:val="0073631B"/>
    <w:rsid w:val="0073741F"/>
    <w:rsid w:val="00757507"/>
    <w:rsid w:val="00763A5F"/>
    <w:rsid w:val="0076643F"/>
    <w:rsid w:val="00770798"/>
    <w:rsid w:val="00777F63"/>
    <w:rsid w:val="00787D95"/>
    <w:rsid w:val="007A55E9"/>
    <w:rsid w:val="007A5817"/>
    <w:rsid w:val="007B5CD9"/>
    <w:rsid w:val="007B60E9"/>
    <w:rsid w:val="007B6CC3"/>
    <w:rsid w:val="007C3334"/>
    <w:rsid w:val="007C756A"/>
    <w:rsid w:val="007D2B98"/>
    <w:rsid w:val="007D65B0"/>
    <w:rsid w:val="007E21BC"/>
    <w:rsid w:val="007E2A03"/>
    <w:rsid w:val="007E3A57"/>
    <w:rsid w:val="007E4C6A"/>
    <w:rsid w:val="007E573D"/>
    <w:rsid w:val="007E58BC"/>
    <w:rsid w:val="007F02A7"/>
    <w:rsid w:val="007F07B1"/>
    <w:rsid w:val="007F11AB"/>
    <w:rsid w:val="007F7E9A"/>
    <w:rsid w:val="00803F1C"/>
    <w:rsid w:val="0080600E"/>
    <w:rsid w:val="0081214D"/>
    <w:rsid w:val="00813005"/>
    <w:rsid w:val="00815021"/>
    <w:rsid w:val="00817612"/>
    <w:rsid w:val="008217E6"/>
    <w:rsid w:val="00824E67"/>
    <w:rsid w:val="008266A7"/>
    <w:rsid w:val="00830AB1"/>
    <w:rsid w:val="008338A4"/>
    <w:rsid w:val="00835116"/>
    <w:rsid w:val="00837C45"/>
    <w:rsid w:val="00840BB1"/>
    <w:rsid w:val="00844730"/>
    <w:rsid w:val="008457C2"/>
    <w:rsid w:val="00857A82"/>
    <w:rsid w:val="00861CDD"/>
    <w:rsid w:val="00865597"/>
    <w:rsid w:val="00871553"/>
    <w:rsid w:val="00873836"/>
    <w:rsid w:val="008850C5"/>
    <w:rsid w:val="00885737"/>
    <w:rsid w:val="00890650"/>
    <w:rsid w:val="00895CD3"/>
    <w:rsid w:val="00897E12"/>
    <w:rsid w:val="008A04AC"/>
    <w:rsid w:val="008A078F"/>
    <w:rsid w:val="008A08FC"/>
    <w:rsid w:val="008A7831"/>
    <w:rsid w:val="008A7E0F"/>
    <w:rsid w:val="008B12F5"/>
    <w:rsid w:val="008B3275"/>
    <w:rsid w:val="008B66BC"/>
    <w:rsid w:val="008B67BB"/>
    <w:rsid w:val="008C00F3"/>
    <w:rsid w:val="008C3098"/>
    <w:rsid w:val="008C7015"/>
    <w:rsid w:val="008D4510"/>
    <w:rsid w:val="008D702E"/>
    <w:rsid w:val="008D768D"/>
    <w:rsid w:val="008E2E59"/>
    <w:rsid w:val="008E3759"/>
    <w:rsid w:val="008F1912"/>
    <w:rsid w:val="008F1B28"/>
    <w:rsid w:val="008F44CC"/>
    <w:rsid w:val="008F5820"/>
    <w:rsid w:val="008F604B"/>
    <w:rsid w:val="008F6B67"/>
    <w:rsid w:val="009014A4"/>
    <w:rsid w:val="0090270B"/>
    <w:rsid w:val="009041DC"/>
    <w:rsid w:val="009042EC"/>
    <w:rsid w:val="00910791"/>
    <w:rsid w:val="009113FE"/>
    <w:rsid w:val="009143F2"/>
    <w:rsid w:val="00914740"/>
    <w:rsid w:val="00917B5A"/>
    <w:rsid w:val="00920A58"/>
    <w:rsid w:val="00920A8C"/>
    <w:rsid w:val="0092111F"/>
    <w:rsid w:val="0092732B"/>
    <w:rsid w:val="00934A2C"/>
    <w:rsid w:val="00935EF1"/>
    <w:rsid w:val="009379AA"/>
    <w:rsid w:val="00941C6B"/>
    <w:rsid w:val="0094623F"/>
    <w:rsid w:val="00951CBC"/>
    <w:rsid w:val="009537DE"/>
    <w:rsid w:val="00953F38"/>
    <w:rsid w:val="009609E8"/>
    <w:rsid w:val="0096706E"/>
    <w:rsid w:val="00973DC9"/>
    <w:rsid w:val="00975C4E"/>
    <w:rsid w:val="00981FBA"/>
    <w:rsid w:val="00990FA8"/>
    <w:rsid w:val="00991866"/>
    <w:rsid w:val="00992FCF"/>
    <w:rsid w:val="009963DC"/>
    <w:rsid w:val="00997BC5"/>
    <w:rsid w:val="009A0BE3"/>
    <w:rsid w:val="009A4F41"/>
    <w:rsid w:val="009B381B"/>
    <w:rsid w:val="009C2192"/>
    <w:rsid w:val="009C4EAA"/>
    <w:rsid w:val="009D1753"/>
    <w:rsid w:val="009D4AB1"/>
    <w:rsid w:val="009D7611"/>
    <w:rsid w:val="009E0B61"/>
    <w:rsid w:val="009E2F53"/>
    <w:rsid w:val="009E53DE"/>
    <w:rsid w:val="009F5952"/>
    <w:rsid w:val="00A02A0E"/>
    <w:rsid w:val="00A03A30"/>
    <w:rsid w:val="00A22268"/>
    <w:rsid w:val="00A2598E"/>
    <w:rsid w:val="00A328B3"/>
    <w:rsid w:val="00A32EA9"/>
    <w:rsid w:val="00A33B1E"/>
    <w:rsid w:val="00A47F90"/>
    <w:rsid w:val="00A5086F"/>
    <w:rsid w:val="00A50FCF"/>
    <w:rsid w:val="00A514C9"/>
    <w:rsid w:val="00A52691"/>
    <w:rsid w:val="00A528D1"/>
    <w:rsid w:val="00A610CD"/>
    <w:rsid w:val="00A66E7F"/>
    <w:rsid w:val="00A75E63"/>
    <w:rsid w:val="00A814FA"/>
    <w:rsid w:val="00A92D8C"/>
    <w:rsid w:val="00A9610B"/>
    <w:rsid w:val="00AA09A2"/>
    <w:rsid w:val="00AA3112"/>
    <w:rsid w:val="00AA53A2"/>
    <w:rsid w:val="00AA7996"/>
    <w:rsid w:val="00AB543C"/>
    <w:rsid w:val="00AC1820"/>
    <w:rsid w:val="00AC19CB"/>
    <w:rsid w:val="00AC55D4"/>
    <w:rsid w:val="00AD26B5"/>
    <w:rsid w:val="00AE5488"/>
    <w:rsid w:val="00AE6F91"/>
    <w:rsid w:val="00AF5571"/>
    <w:rsid w:val="00AF7988"/>
    <w:rsid w:val="00B01AF8"/>
    <w:rsid w:val="00B07184"/>
    <w:rsid w:val="00B07341"/>
    <w:rsid w:val="00B22919"/>
    <w:rsid w:val="00B24A55"/>
    <w:rsid w:val="00B30539"/>
    <w:rsid w:val="00B314DB"/>
    <w:rsid w:val="00B34CE7"/>
    <w:rsid w:val="00B34F5C"/>
    <w:rsid w:val="00B350F4"/>
    <w:rsid w:val="00B361F2"/>
    <w:rsid w:val="00B3718B"/>
    <w:rsid w:val="00B405AB"/>
    <w:rsid w:val="00B43D03"/>
    <w:rsid w:val="00B4632A"/>
    <w:rsid w:val="00B5107C"/>
    <w:rsid w:val="00B513B1"/>
    <w:rsid w:val="00B530F1"/>
    <w:rsid w:val="00B54A0C"/>
    <w:rsid w:val="00B60BE5"/>
    <w:rsid w:val="00B61BDE"/>
    <w:rsid w:val="00B632D6"/>
    <w:rsid w:val="00B67999"/>
    <w:rsid w:val="00B83144"/>
    <w:rsid w:val="00B911B6"/>
    <w:rsid w:val="00BA276C"/>
    <w:rsid w:val="00BA461E"/>
    <w:rsid w:val="00BA5C07"/>
    <w:rsid w:val="00BB306F"/>
    <w:rsid w:val="00BB5D01"/>
    <w:rsid w:val="00BC1180"/>
    <w:rsid w:val="00BD4B89"/>
    <w:rsid w:val="00BF02CB"/>
    <w:rsid w:val="00BF11D3"/>
    <w:rsid w:val="00BF1664"/>
    <w:rsid w:val="00BF6FD8"/>
    <w:rsid w:val="00C03680"/>
    <w:rsid w:val="00C03EDD"/>
    <w:rsid w:val="00C054DF"/>
    <w:rsid w:val="00C076EA"/>
    <w:rsid w:val="00C12D01"/>
    <w:rsid w:val="00C14A21"/>
    <w:rsid w:val="00C21762"/>
    <w:rsid w:val="00C24543"/>
    <w:rsid w:val="00C256A2"/>
    <w:rsid w:val="00C269CB"/>
    <w:rsid w:val="00C33C2B"/>
    <w:rsid w:val="00C36B72"/>
    <w:rsid w:val="00C40789"/>
    <w:rsid w:val="00C46EE5"/>
    <w:rsid w:val="00C50443"/>
    <w:rsid w:val="00C51515"/>
    <w:rsid w:val="00C51F6C"/>
    <w:rsid w:val="00C56297"/>
    <w:rsid w:val="00C5660B"/>
    <w:rsid w:val="00C62A75"/>
    <w:rsid w:val="00C6355E"/>
    <w:rsid w:val="00C66B72"/>
    <w:rsid w:val="00C72217"/>
    <w:rsid w:val="00C72A65"/>
    <w:rsid w:val="00C75282"/>
    <w:rsid w:val="00C810D8"/>
    <w:rsid w:val="00C81E66"/>
    <w:rsid w:val="00C86938"/>
    <w:rsid w:val="00C93BAC"/>
    <w:rsid w:val="00C9567A"/>
    <w:rsid w:val="00C963EE"/>
    <w:rsid w:val="00C97129"/>
    <w:rsid w:val="00CA41AF"/>
    <w:rsid w:val="00CB212D"/>
    <w:rsid w:val="00CB2583"/>
    <w:rsid w:val="00CB2660"/>
    <w:rsid w:val="00CB69BC"/>
    <w:rsid w:val="00CC5E90"/>
    <w:rsid w:val="00CC61C7"/>
    <w:rsid w:val="00CC63CF"/>
    <w:rsid w:val="00CC65B9"/>
    <w:rsid w:val="00CD046C"/>
    <w:rsid w:val="00CD36B9"/>
    <w:rsid w:val="00CD37DA"/>
    <w:rsid w:val="00CD49C6"/>
    <w:rsid w:val="00CE076C"/>
    <w:rsid w:val="00CE5199"/>
    <w:rsid w:val="00CE66D5"/>
    <w:rsid w:val="00CF4464"/>
    <w:rsid w:val="00CF637A"/>
    <w:rsid w:val="00D02A23"/>
    <w:rsid w:val="00D059DE"/>
    <w:rsid w:val="00D12193"/>
    <w:rsid w:val="00D13FCE"/>
    <w:rsid w:val="00D14922"/>
    <w:rsid w:val="00D17881"/>
    <w:rsid w:val="00D2611E"/>
    <w:rsid w:val="00D306D1"/>
    <w:rsid w:val="00D31D6E"/>
    <w:rsid w:val="00D34786"/>
    <w:rsid w:val="00D354F9"/>
    <w:rsid w:val="00D37BFC"/>
    <w:rsid w:val="00D41F9A"/>
    <w:rsid w:val="00D47A8E"/>
    <w:rsid w:val="00D50517"/>
    <w:rsid w:val="00D515D5"/>
    <w:rsid w:val="00D528D5"/>
    <w:rsid w:val="00D52D14"/>
    <w:rsid w:val="00D52F9C"/>
    <w:rsid w:val="00D55AF6"/>
    <w:rsid w:val="00D611BC"/>
    <w:rsid w:val="00D712D3"/>
    <w:rsid w:val="00D71422"/>
    <w:rsid w:val="00D72DC6"/>
    <w:rsid w:val="00D7558D"/>
    <w:rsid w:val="00D81D92"/>
    <w:rsid w:val="00D83D73"/>
    <w:rsid w:val="00D83FE6"/>
    <w:rsid w:val="00D96E66"/>
    <w:rsid w:val="00D979B7"/>
    <w:rsid w:val="00DA7B5F"/>
    <w:rsid w:val="00DB458A"/>
    <w:rsid w:val="00DC11E7"/>
    <w:rsid w:val="00DC6EAD"/>
    <w:rsid w:val="00DC7023"/>
    <w:rsid w:val="00DC769A"/>
    <w:rsid w:val="00DD3D86"/>
    <w:rsid w:val="00DE0F22"/>
    <w:rsid w:val="00DE2025"/>
    <w:rsid w:val="00DF1EC4"/>
    <w:rsid w:val="00DF450F"/>
    <w:rsid w:val="00E0340B"/>
    <w:rsid w:val="00E04A90"/>
    <w:rsid w:val="00E150C3"/>
    <w:rsid w:val="00E20806"/>
    <w:rsid w:val="00E219C7"/>
    <w:rsid w:val="00E3350C"/>
    <w:rsid w:val="00E41912"/>
    <w:rsid w:val="00E43157"/>
    <w:rsid w:val="00E45D60"/>
    <w:rsid w:val="00E461CE"/>
    <w:rsid w:val="00E5357B"/>
    <w:rsid w:val="00E6085C"/>
    <w:rsid w:val="00E6692A"/>
    <w:rsid w:val="00E6716B"/>
    <w:rsid w:val="00E720CA"/>
    <w:rsid w:val="00E74DEF"/>
    <w:rsid w:val="00E77BF3"/>
    <w:rsid w:val="00E810C3"/>
    <w:rsid w:val="00E821FB"/>
    <w:rsid w:val="00E84EB5"/>
    <w:rsid w:val="00E85662"/>
    <w:rsid w:val="00E8789F"/>
    <w:rsid w:val="00E87DF0"/>
    <w:rsid w:val="00E909AA"/>
    <w:rsid w:val="00E93FA0"/>
    <w:rsid w:val="00E94F44"/>
    <w:rsid w:val="00E9527F"/>
    <w:rsid w:val="00E97B71"/>
    <w:rsid w:val="00EA04F0"/>
    <w:rsid w:val="00EA3D34"/>
    <w:rsid w:val="00EA3DAE"/>
    <w:rsid w:val="00EB09B0"/>
    <w:rsid w:val="00EB454D"/>
    <w:rsid w:val="00EC0655"/>
    <w:rsid w:val="00ED11C8"/>
    <w:rsid w:val="00ED76BE"/>
    <w:rsid w:val="00EE4F2E"/>
    <w:rsid w:val="00EE6AD8"/>
    <w:rsid w:val="00EF619B"/>
    <w:rsid w:val="00F00B55"/>
    <w:rsid w:val="00F01129"/>
    <w:rsid w:val="00F02AD1"/>
    <w:rsid w:val="00F0341A"/>
    <w:rsid w:val="00F253CC"/>
    <w:rsid w:val="00F26BB4"/>
    <w:rsid w:val="00F36445"/>
    <w:rsid w:val="00F37106"/>
    <w:rsid w:val="00F46EFA"/>
    <w:rsid w:val="00F51839"/>
    <w:rsid w:val="00F519CF"/>
    <w:rsid w:val="00F551E4"/>
    <w:rsid w:val="00F56BA5"/>
    <w:rsid w:val="00F60E22"/>
    <w:rsid w:val="00F64519"/>
    <w:rsid w:val="00F73104"/>
    <w:rsid w:val="00F74F7F"/>
    <w:rsid w:val="00F805FB"/>
    <w:rsid w:val="00F81395"/>
    <w:rsid w:val="00F866F4"/>
    <w:rsid w:val="00F86F7C"/>
    <w:rsid w:val="00F902EB"/>
    <w:rsid w:val="00F917D1"/>
    <w:rsid w:val="00F9653B"/>
    <w:rsid w:val="00FB1110"/>
    <w:rsid w:val="00FB1AFB"/>
    <w:rsid w:val="00FB3535"/>
    <w:rsid w:val="00FB53C3"/>
    <w:rsid w:val="00FB62CF"/>
    <w:rsid w:val="00FC6D5C"/>
    <w:rsid w:val="00FD3C3B"/>
    <w:rsid w:val="00FD5A99"/>
    <w:rsid w:val="00FE07DD"/>
    <w:rsid w:val="00FE6B12"/>
    <w:rsid w:val="00FE6B45"/>
    <w:rsid w:val="00FF124D"/>
    <w:rsid w:val="00FF55F3"/>
    <w:rsid w:val="00FF5851"/>
    <w:rsid w:val="00FF7B7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CD9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paragraph" w:styleId="Ttulo1">
    <w:name w:val="heading 1"/>
    <w:basedOn w:val="Prrafodelista"/>
    <w:next w:val="Normal"/>
    <w:link w:val="Ttulo1Car"/>
    <w:autoRedefine/>
    <w:uiPriority w:val="9"/>
    <w:qFormat/>
    <w:rsid w:val="00C269CB"/>
    <w:pPr>
      <w:keepNext/>
      <w:pBdr>
        <w:top w:val="none" w:sz="0" w:space="0" w:color="auto"/>
        <w:left w:val="none" w:sz="0" w:space="0" w:color="auto"/>
        <w:bottom w:val="none" w:sz="0" w:space="0" w:color="auto"/>
        <w:right w:val="none" w:sz="0" w:space="0" w:color="auto"/>
        <w:between w:val="none" w:sz="0" w:space="0" w:color="auto"/>
        <w:bar w:val="none" w:sz="0" w:color="auto"/>
      </w:pBdr>
      <w:ind w:left="0" w:right="0"/>
      <w:jc w:val="left"/>
      <w:outlineLvl w:val="0"/>
    </w:pPr>
    <w:rPr>
      <w:rFonts w:asciiTheme="majorHAnsi" w:hAnsiTheme="majorHAnsi"/>
      <w:b/>
      <w:bCs/>
      <w:sz w:val="20"/>
      <w:szCs w:val="20"/>
      <w:lang w:val="en"/>
    </w:rPr>
  </w:style>
  <w:style w:type="paragraph" w:styleId="Ttulo2">
    <w:name w:val="heading 2"/>
    <w:basedOn w:val="Normal"/>
    <w:next w:val="Normal"/>
    <w:link w:val="Ttulo2Car"/>
    <w:autoRedefine/>
    <w:qFormat/>
    <w:rsid w:val="00C269CB"/>
    <w:pPr>
      <w:keepNext/>
      <w:pBdr>
        <w:top w:val="none" w:sz="0" w:space="0" w:color="auto"/>
        <w:left w:val="none" w:sz="0" w:space="0" w:color="auto"/>
        <w:bottom w:val="none" w:sz="0" w:space="0" w:color="auto"/>
        <w:right w:val="none" w:sz="0" w:space="0" w:color="auto"/>
        <w:between w:val="none" w:sz="0" w:space="0" w:color="auto"/>
        <w:bar w:val="none" w:sz="0" w:color="auto"/>
      </w:pBdr>
      <w:tabs>
        <w:tab w:val="left" w:pos="360"/>
      </w:tabs>
      <w:jc w:val="both"/>
      <w:outlineLvl w:val="1"/>
    </w:pPr>
    <w:rPr>
      <w:rFonts w:ascii="Cambria" w:eastAsia="Times New Roman" w:hAnsi="Cambria" w:cs="Arial"/>
      <w:b/>
      <w:bCs/>
      <w:sz w:val="20"/>
      <w:szCs w:val="28"/>
      <w:bdr w:val="none" w:sz="0" w:space="0" w:color="auto"/>
      <w:lang w:val="en"/>
    </w:rPr>
  </w:style>
  <w:style w:type="paragraph" w:styleId="Ttulo3">
    <w:name w:val="heading 3"/>
    <w:basedOn w:val="Normal"/>
    <w:next w:val="Normal"/>
    <w:link w:val="Ttulo3Car"/>
    <w:qFormat/>
    <w:rsid w:val="00161D34"/>
    <w:pPr>
      <w:keepNext/>
      <w:numPr>
        <w:numId w:val="56"/>
      </w:numPr>
      <w:pBdr>
        <w:top w:val="none" w:sz="0" w:space="0" w:color="auto"/>
        <w:left w:val="none" w:sz="0" w:space="0" w:color="auto"/>
        <w:bottom w:val="none" w:sz="0" w:space="0" w:color="auto"/>
        <w:right w:val="none" w:sz="0" w:space="0" w:color="auto"/>
        <w:between w:val="none" w:sz="0" w:space="0" w:color="auto"/>
        <w:bar w:val="none" w:sz="0" w:color="auto"/>
      </w:pBdr>
      <w:ind w:left="0" w:firstLine="0"/>
      <w:outlineLvl w:val="2"/>
    </w:pPr>
    <w:rPr>
      <w:rFonts w:asciiTheme="majorHAnsi" w:eastAsia="Times New Roman" w:hAnsiTheme="majorHAnsi" w:cs="Arial"/>
      <w:b/>
      <w:bCs/>
      <w:sz w:val="20"/>
      <w:szCs w:val="26"/>
      <w:bdr w:val="none" w:sz="0" w:space="0" w:color="aut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tabs>
        <w:tab w:val="right" w:pos="9020"/>
      </w:tabs>
    </w:pPr>
    <w:rPr>
      <w:rFonts w:ascii="Helvetica" w:hAnsi="Arial Unicode MS" w:cs="Arial Unicode MS"/>
      <w:color w:val="000000"/>
      <w:sz w:val="24"/>
      <w:szCs w:val="24"/>
    </w:rPr>
  </w:style>
  <w:style w:type="paragraph" w:styleId="Piedepgina">
    <w:name w:val="footer"/>
    <w:link w:val="PiedepginaCar"/>
    <w:uiPriority w:val="99"/>
    <w:pPr>
      <w:tabs>
        <w:tab w:val="center" w:pos="4513"/>
        <w:tab w:val="right" w:pos="9026"/>
      </w:tabs>
    </w:pPr>
    <w:rPr>
      <w:rFonts w:ascii="Cambria" w:eastAsia="Cambria" w:hAnsi="Cambria" w:cs="Cambria"/>
      <w:color w:val="000000"/>
      <w:sz w:val="24"/>
      <w:szCs w:val="24"/>
      <w:u w:color="000000"/>
      <w:lang w:val="en-US"/>
    </w:rPr>
  </w:style>
  <w:style w:type="paragraph" w:customStyle="1" w:styleId="Cuerpo">
    <w:name w:val="Cuerpo"/>
    <w:rPr>
      <w:rFonts w:ascii="Cambria" w:eastAsia="Cambria" w:hAnsi="Cambria" w:cs="Cambria"/>
      <w:color w:val="000000"/>
      <w:sz w:val="24"/>
      <w:szCs w:val="24"/>
      <w:u w:color="000000"/>
    </w:rPr>
  </w:style>
  <w:style w:type="paragraph" w:styleId="Sangradetextonormal">
    <w:name w:val="Body Text Indent"/>
    <w:link w:val="SangradetextonormalCar"/>
    <w:pPr>
      <w:ind w:left="2160" w:hanging="720"/>
    </w:pPr>
    <w:rPr>
      <w:rFonts w:eastAsia="Times New Roman"/>
      <w:color w:val="000000"/>
      <w:sz w:val="24"/>
      <w:szCs w:val="24"/>
      <w:u w:color="000000"/>
      <w:lang w:val="es-ES_tradnl"/>
    </w:rPr>
  </w:style>
  <w:style w:type="paragraph" w:styleId="Prrafodelista">
    <w:name w:val="List Paragraph"/>
    <w:aliases w:val="Párrafo de lista1,List Paragraph1,Colorful List - Accent 11,List Paragraph11,List Paragraph2,Medium Grid 1 - Accent 21,Colorful List - Accent 12,Lista vistosa - Énfasis 11"/>
    <w:link w:val="PrrafodelistaCar"/>
    <w:autoRedefine/>
    <w:uiPriority w:val="34"/>
    <w:qFormat/>
    <w:rsid w:val="00914740"/>
    <w:pPr>
      <w:ind w:left="360" w:right="360"/>
      <w:jc w:val="both"/>
    </w:pPr>
    <w:rPr>
      <w:rFonts w:ascii="Cambria" w:eastAsia="Cambria" w:hAnsi="Cambria" w:cs="Cambria"/>
      <w:color w:val="000000"/>
      <w:sz w:val="18"/>
      <w:szCs w:val="24"/>
      <w:u w:color="000000"/>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
    <w:name w:val="List 51"/>
    <w:basedOn w:val="Estiloimportado6"/>
    <w:pPr>
      <w:numPr>
        <w:numId w:val="53"/>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1">
    <w:name w:val="List 21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1">
    <w:name w:val="List 31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C"/>
    <w:link w:val="TextonotapieCar1"/>
    <w:qFormat/>
    <w:rsid w:val="00A03A30"/>
    <w:pPr>
      <w:jc w:val="both"/>
    </w:pPr>
    <w:rPr>
      <w:rFonts w:asciiTheme="majorHAnsi" w:eastAsia="Calibri" w:hAnsiTheme="majorHAnsi" w:cs="Calibri"/>
      <w:color w:val="000000"/>
      <w:sz w:val="16"/>
      <w:szCs w:val="16"/>
      <w:u w:color="000000"/>
      <w:lang w:val="en-U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1">
    <w:name w:val="List 41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1">
    <w:name w:val="List 51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basedOn w:val="Fuentedeprrafopredete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basedOn w:val="Fuentedeprrafopredeter"/>
    <w:link w:val="Ttulo1"/>
    <w:uiPriority w:val="9"/>
    <w:rsid w:val="00C269CB"/>
    <w:rPr>
      <w:rFonts w:asciiTheme="majorHAnsi" w:eastAsia="Cambria" w:hAnsiTheme="majorHAnsi" w:cs="Cambria"/>
      <w:b/>
      <w:bCs/>
      <w:color w:val="000000"/>
      <w:u w:color="000000"/>
      <w:lang w:val="en"/>
    </w:rPr>
  </w:style>
  <w:style w:type="table" w:styleId="Sombreadomedio1-nfasis1">
    <w:name w:val="Medium Shading 1 Accent 1"/>
    <w:basedOn w:val="Tablanormal"/>
    <w:uiPriority w:val="63"/>
    <w:rsid w:val="006A17D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5C4225"/>
    <w:pPr>
      <w:spacing w:after="100"/>
    </w:pPr>
    <w:rPr>
      <w:rFonts w:asciiTheme="minorHAnsi" w:hAnsiTheme="minorHAns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basedOn w:val="Fuentedeprrafopredeter"/>
    <w:link w:val="Piedepgina"/>
    <w:uiPriority w:val="99"/>
    <w:rsid w:val="00A50FCF"/>
    <w:rPr>
      <w:rFonts w:ascii="Cambria" w:eastAsia="Cambria" w:hAnsi="Cambria" w:cs="Cambria"/>
      <w:color w:val="000000"/>
      <w:sz w:val="24"/>
      <w:szCs w:val="24"/>
      <w:u w:color="000000"/>
      <w:lang w:val="en-US"/>
    </w:rPr>
  </w:style>
  <w:style w:type="character" w:styleId="Refdenotaalpie">
    <w:name w:val="footnote reference"/>
    <w:aliases w:val="Footnotes refss,Ref. de nota al pie.,Texto de nota al pie,Appel note de bas de page,referencia nota al pie,BVI fnr,Footnote number,f,f1,4_G,16 Point,Superscript 6 Point,Footnote symbol,Footnote,Texto nota al pie,Ref. de nota al pi"/>
    <w:basedOn w:val="Fuentedeprrafopredeter"/>
    <w:link w:val="FootnotesrefssChar1Char"/>
    <w:unhideWhenUsed/>
    <w:qFormat/>
    <w:rsid w:val="000F35ED"/>
    <w:rPr>
      <w:vertAlign w:val="superscript"/>
    </w:rPr>
  </w:style>
  <w:style w:type="paragraph" w:styleId="Sangra2detindependiente">
    <w:name w:val="Body Text Indent 2"/>
    <w:basedOn w:val="Normal"/>
    <w:link w:val="Sangra2detindependienteCar"/>
    <w:uiPriority w:val="99"/>
    <w:semiHidden/>
    <w:unhideWhenUsed/>
    <w:rsid w:val="000F35ED"/>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rsid w:val="000F35ED"/>
    <w:rPr>
      <w:sz w:val="24"/>
      <w:szCs w:val="24"/>
      <w:lang w:val="en-US" w:eastAsia="en-US"/>
    </w:rPr>
  </w:style>
  <w:style w:type="paragraph" w:styleId="Textoindependiente">
    <w:name w:val="Body Text"/>
    <w:basedOn w:val="Normal"/>
    <w:link w:val="TextoindependienteCar"/>
    <w:uiPriority w:val="99"/>
    <w:semiHidden/>
    <w:unhideWhenUsed/>
    <w:rsid w:val="0031535D"/>
    <w:pPr>
      <w:spacing w:after="120"/>
    </w:pPr>
  </w:style>
  <w:style w:type="character" w:customStyle="1" w:styleId="TextoindependienteCar">
    <w:name w:val="Texto independiente Car"/>
    <w:basedOn w:val="Fuentedeprrafopredeter"/>
    <w:link w:val="Textoindependiente"/>
    <w:uiPriority w:val="99"/>
    <w:semiHidden/>
    <w:rsid w:val="0031535D"/>
    <w:rPr>
      <w:sz w:val="24"/>
      <w:szCs w:val="24"/>
      <w:lang w:val="en-US" w:eastAsia="en-U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qFormat/>
    <w:locked/>
    <w:rsid w:val="00A03A30"/>
    <w:rPr>
      <w:rFonts w:asciiTheme="majorHAnsi" w:eastAsia="Calibri" w:hAnsiTheme="majorHAnsi" w:cs="Calibri"/>
      <w:color w:val="000000"/>
      <w:sz w:val="16"/>
      <w:szCs w:val="16"/>
      <w:u w:color="000000"/>
      <w:lang w:val="en-US"/>
    </w:rPr>
  </w:style>
  <w:style w:type="character" w:customStyle="1" w:styleId="Ttulo2Car">
    <w:name w:val="Título 2 Car"/>
    <w:basedOn w:val="Fuentedeprrafopredeter"/>
    <w:link w:val="Ttulo2"/>
    <w:rsid w:val="00C269CB"/>
    <w:rPr>
      <w:rFonts w:ascii="Cambria" w:eastAsia="Times New Roman" w:hAnsi="Cambria" w:cs="Arial"/>
      <w:b/>
      <w:bCs/>
      <w:szCs w:val="28"/>
      <w:bdr w:val="none" w:sz="0" w:space="0" w:color="auto"/>
      <w:lang w:val="en" w:eastAsia="en-US"/>
    </w:rPr>
  </w:style>
  <w:style w:type="character" w:customStyle="1" w:styleId="Ttulo3Car">
    <w:name w:val="Título 3 Car"/>
    <w:basedOn w:val="Fuentedeprrafopredeter"/>
    <w:link w:val="Ttulo3"/>
    <w:rsid w:val="00161D34"/>
    <w:rPr>
      <w:rFonts w:asciiTheme="majorHAnsi" w:eastAsia="Times New Roman" w:hAnsiTheme="majorHAnsi" w:cs="Arial"/>
      <w:b/>
      <w:bCs/>
      <w:szCs w:val="26"/>
      <w:bdr w:val="none" w:sz="0" w:space="0" w:color="auto"/>
      <w:lang w:val="en-US" w:eastAsia="en-US"/>
    </w:rPr>
  </w:style>
  <w:style w:type="paragraph" w:customStyle="1" w:styleId="Default">
    <w:name w:val="Default"/>
    <w:link w:val="DefaultChar"/>
    <w:rsid w:val="00DF1EC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olor w:val="000000"/>
      <w:sz w:val="24"/>
      <w:szCs w:val="24"/>
      <w:bdr w:val="none" w:sz="0" w:space="0" w:color="auto"/>
      <w:lang w:val="en-US" w:eastAsia="en-US"/>
    </w:rPr>
  </w:style>
  <w:style w:type="paragraph" w:styleId="Textonotaalfinal">
    <w:name w:val="endnote text"/>
    <w:basedOn w:val="Normal"/>
    <w:link w:val="TextonotaalfinalCar"/>
    <w:rsid w:val="00DF1E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basedOn w:val="Fuentedeprrafopredeter"/>
    <w:link w:val="Textonotaalfinal"/>
    <w:rsid w:val="00DF1EC4"/>
    <w:rPr>
      <w:rFonts w:eastAsia="Times New Roman"/>
      <w:sz w:val="24"/>
      <w:szCs w:val="24"/>
      <w:bdr w:val="none" w:sz="0" w:space="0" w:color="auto"/>
      <w:lang w:val="en-US" w:eastAsia="en-US"/>
    </w:rPr>
  </w:style>
  <w:style w:type="character" w:customStyle="1" w:styleId="DefaultChar">
    <w:name w:val="Default Char"/>
    <w:link w:val="Default"/>
    <w:rsid w:val="00DF1EC4"/>
    <w:rPr>
      <w:rFonts w:eastAsia="Times New Roman"/>
      <w:color w:val="000000"/>
      <w:sz w:val="24"/>
      <w:szCs w:val="24"/>
      <w:bdr w:val="none" w:sz="0" w:space="0" w:color="auto"/>
      <w:lang w:val="en-US" w:eastAsia="en-US"/>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link w:val="Refdenotaalpie"/>
    <w:uiPriority w:val="99"/>
    <w:qFormat/>
    <w:rsid w:val="009014A4"/>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sz w:val="20"/>
      <w:szCs w:val="20"/>
      <w:vertAlign w:val="superscript"/>
      <w:lang w:val="es-ES" w:eastAsia="es-ES"/>
    </w:rPr>
  </w:style>
  <w:style w:type="paragraph" w:customStyle="1" w:styleId="BVIfnrCar1CarCarCarCar">
    <w:name w:val="BVI fnr Car1 Car Car Car Car"/>
    <w:aliases w:val="ftref Car Car Car Car Car Car Car Car Car Car,BVI fnr Char Car Car Car Car Car Car Car Car Car Car Car,BVI fnr Char Car Car Car Car Car Car Car Car Car Car Car Car Car"/>
    <w:basedOn w:val="Normal"/>
    <w:uiPriority w:val="99"/>
    <w:rsid w:val="004D6618"/>
    <w:pPr>
      <w:pBdr>
        <w:top w:val="none" w:sz="0" w:space="0" w:color="auto"/>
        <w:left w:val="none" w:sz="0" w:space="0" w:color="auto"/>
        <w:bottom w:val="none" w:sz="0" w:space="0" w:color="auto"/>
        <w:right w:val="none" w:sz="0" w:space="0" w:color="auto"/>
        <w:between w:val="none" w:sz="0" w:space="0" w:color="auto"/>
        <w:bar w:val="none" w:sz="0" w:color="auto"/>
      </w:pBdr>
      <w:spacing w:before="200" w:after="160" w:line="240" w:lineRule="exact"/>
    </w:pPr>
    <w:rPr>
      <w:rFonts w:ascii="Verdana" w:hAnsi="Verdana"/>
      <w:sz w:val="22"/>
      <w:szCs w:val="20"/>
      <w:bdr w:val="none" w:sz="0" w:space="0" w:color="auto"/>
      <w:vertAlign w:val="superscript"/>
      <w:lang w:val="es-ES" w:eastAsia="es-ES"/>
    </w:rPr>
  </w:style>
  <w:style w:type="character" w:customStyle="1" w:styleId="PrrafodelistaCar">
    <w:name w:val="Párrafo de lista Car"/>
    <w:aliases w:val="Párrafo de lista1 Car,List Paragraph1 Car,Colorful List - Accent 11 Car,List Paragraph11 Car,List Paragraph2 Car,Medium Grid 1 - Accent 21 Car,Colorful List - Accent 12 Car,Lista vistosa - Énfasis 11 Car"/>
    <w:link w:val="Prrafodelista"/>
    <w:uiPriority w:val="34"/>
    <w:locked/>
    <w:rsid w:val="00914740"/>
    <w:rPr>
      <w:rFonts w:ascii="Cambria" w:eastAsia="Cambria" w:hAnsi="Cambria" w:cs="Cambria"/>
      <w:color w:val="000000"/>
      <w:sz w:val="18"/>
      <w:szCs w:val="24"/>
      <w:u w:color="000000"/>
    </w:rPr>
  </w:style>
  <w:style w:type="paragraph" w:styleId="Sinespaciado">
    <w:name w:val="No Spacing"/>
    <w:uiPriority w:val="1"/>
    <w:qFormat/>
    <w:rsid w:val="00161D34"/>
    <w:rPr>
      <w:sz w:val="24"/>
      <w:szCs w:val="24"/>
      <w:lang w:val="en-US" w:eastAsia="en-US"/>
    </w:rPr>
  </w:style>
  <w:style w:type="paragraph" w:customStyle="1" w:styleId="parrafos">
    <w:name w:val="parrafos"/>
    <w:basedOn w:val="Normal"/>
    <w:link w:val="parrafosChar"/>
    <w:qFormat/>
    <w:rsid w:val="00914740"/>
    <w:pPr>
      <w:numPr>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ind w:left="0" w:firstLine="0"/>
      <w:jc w:val="both"/>
    </w:pPr>
    <w:rPr>
      <w:rFonts w:asciiTheme="majorHAnsi" w:hAnsiTheme="majorHAnsi"/>
      <w:color w:val="000000" w:themeColor="text1"/>
      <w:sz w:val="20"/>
      <w:szCs w:val="20"/>
      <w:lang w:val="es-VE"/>
    </w:rPr>
  </w:style>
  <w:style w:type="paragraph" w:customStyle="1" w:styleId="citas">
    <w:name w:val="citas"/>
    <w:basedOn w:val="Prrafodelista"/>
    <w:link w:val="citasChar"/>
    <w:qFormat/>
    <w:rsid w:val="00914740"/>
  </w:style>
  <w:style w:type="character" w:customStyle="1" w:styleId="parrafosChar">
    <w:name w:val="parrafos Char"/>
    <w:basedOn w:val="Fuentedeprrafopredeter"/>
    <w:link w:val="parrafos"/>
    <w:rsid w:val="00914740"/>
    <w:rPr>
      <w:rFonts w:asciiTheme="majorHAnsi" w:hAnsiTheme="majorHAnsi"/>
      <w:color w:val="000000" w:themeColor="text1"/>
      <w:lang w:val="es-VE" w:eastAsia="en-US"/>
    </w:rPr>
  </w:style>
  <w:style w:type="character" w:customStyle="1" w:styleId="citasChar">
    <w:name w:val="citas Char"/>
    <w:basedOn w:val="PrrafodelistaCar"/>
    <w:link w:val="citas"/>
    <w:rsid w:val="00914740"/>
    <w:rPr>
      <w:rFonts w:ascii="Cambria" w:eastAsia="Cambria" w:hAnsi="Cambria" w:cs="Cambria"/>
      <w:color w:val="000000"/>
      <w:sz w:val="18"/>
      <w:szCs w:val="24"/>
      <w:u w:color="000000"/>
    </w:rPr>
  </w:style>
  <w:style w:type="character" w:customStyle="1" w:styleId="SangradetextonormalCar">
    <w:name w:val="Sangría de texto normal Car"/>
    <w:basedOn w:val="Fuentedeprrafopredeter"/>
    <w:link w:val="Sangradetextonormal"/>
    <w:rsid w:val="00124478"/>
    <w:rPr>
      <w:rFonts w:eastAsia="Times New Roman"/>
      <w:color w:val="000000"/>
      <w:sz w:val="24"/>
      <w:szCs w:val="24"/>
      <w:u w:color="000000"/>
      <w:lang w:val="es-ES_tradnl"/>
    </w:rPr>
  </w:style>
  <w:style w:type="paragraph" w:styleId="Textoindependiente3">
    <w:name w:val="Body Text 3"/>
    <w:basedOn w:val="Normal"/>
    <w:link w:val="Textoindependiente3Car"/>
    <w:uiPriority w:val="99"/>
    <w:unhideWhenUsed/>
    <w:rsid w:val="00FB53C3"/>
    <w:pPr>
      <w:spacing w:after="120"/>
    </w:pPr>
    <w:rPr>
      <w:sz w:val="16"/>
      <w:szCs w:val="16"/>
    </w:rPr>
  </w:style>
  <w:style w:type="character" w:customStyle="1" w:styleId="Textoindependiente3Car">
    <w:name w:val="Texto independiente 3 Car"/>
    <w:basedOn w:val="Fuentedeprrafopredeter"/>
    <w:link w:val="Textoindependiente3"/>
    <w:uiPriority w:val="99"/>
    <w:rsid w:val="00FB53C3"/>
    <w:rPr>
      <w:sz w:val="16"/>
      <w:szCs w:val="16"/>
      <w:lang w:val="en-US" w:eastAsia="en-US"/>
    </w:rPr>
  </w:style>
  <w:style w:type="character" w:styleId="Textoennegrita">
    <w:name w:val="Strong"/>
    <w:uiPriority w:val="22"/>
    <w:qFormat/>
    <w:rsid w:val="00FB53C3"/>
    <w:rPr>
      <w:b/>
      <w:bCs/>
    </w:rPr>
  </w:style>
  <w:style w:type="paragraph" w:styleId="TtuloTDC">
    <w:name w:val="TOC Heading"/>
    <w:basedOn w:val="Ttulo1"/>
    <w:next w:val="Normal"/>
    <w:uiPriority w:val="39"/>
    <w:unhideWhenUsed/>
    <w:qFormat/>
    <w:rsid w:val="00A92D8C"/>
    <w:pPr>
      <w:keepLines/>
      <w:spacing w:before="240" w:line="259" w:lineRule="auto"/>
      <w:outlineLvl w:val="9"/>
    </w:pPr>
    <w:rPr>
      <w:rFonts w:eastAsiaTheme="majorEastAsia" w:cstheme="majorBidi"/>
      <w:b w:val="0"/>
      <w:bCs w:val="0"/>
      <w:color w:val="365F91" w:themeColor="accent1" w:themeShade="BF"/>
      <w:sz w:val="32"/>
      <w:szCs w:val="32"/>
      <w:bdr w:val="none" w:sz="0" w:space="0" w:color="auto"/>
      <w:lang w:val="en-US" w:eastAsia="en-US"/>
    </w:rPr>
  </w:style>
  <w:style w:type="character" w:customStyle="1" w:styleId="Refdenotaalpie1Car">
    <w:name w:val="Ref. de nota al pie1 Car"/>
    <w:aliases w:val="Footnotes refss Car,Ref. de nota al pie. Car,Texto de nota al pie Car,Appel note de bas de page Car,referencia nota al pie Car,BVI fnr Car,Footnote number Car,f Car,f1 Car,4_G Car,16 Point Car,Footnote Car"/>
    <w:basedOn w:val="Fuentedeprrafopredeter"/>
    <w:uiPriority w:val="99"/>
    <w:qFormat/>
    <w:locked/>
    <w:rsid w:val="00E6692A"/>
    <w:rPr>
      <w:rFonts w:asciiTheme="majorHAnsi" w:eastAsia="Times New Roman" w:hAnsiTheme="majorHAnsi" w:cs="Calibri"/>
      <w:color w:val="000000"/>
      <w:sz w:val="16"/>
      <w:szCs w:val="16"/>
      <w:u w:color="000000"/>
      <w:lang w:val="en-US" w:eastAsia="x-none"/>
    </w:rPr>
  </w:style>
  <w:style w:type="character" w:customStyle="1" w:styleId="Mencinsinresolver1">
    <w:name w:val="Mención sin resolver1"/>
    <w:basedOn w:val="Fuentedeprrafopredeter"/>
    <w:uiPriority w:val="99"/>
    <w:semiHidden/>
    <w:unhideWhenUsed/>
    <w:rsid w:val="00E6692A"/>
    <w:rPr>
      <w:color w:val="605E5C"/>
      <w:shd w:val="clear" w:color="auto" w:fill="E1DFDD"/>
    </w:rPr>
  </w:style>
  <w:style w:type="paragraph" w:customStyle="1" w:styleId="1">
    <w:name w:val="1"/>
    <w:basedOn w:val="Normal"/>
    <w:rsid w:val="00E6692A"/>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eastAsia="MS Mincho"/>
      <w:sz w:val="20"/>
      <w:szCs w:val="20"/>
      <w:bdr w:val="none" w:sz="0" w:space="0" w:color="auto"/>
      <w:vertAlign w:val="superscript"/>
    </w:rPr>
  </w:style>
  <w:style w:type="character" w:styleId="Refdecomentario">
    <w:name w:val="annotation reference"/>
    <w:basedOn w:val="Fuentedeprrafopredeter"/>
    <w:uiPriority w:val="99"/>
    <w:semiHidden/>
    <w:unhideWhenUsed/>
    <w:rsid w:val="00E6692A"/>
    <w:rPr>
      <w:sz w:val="16"/>
      <w:szCs w:val="16"/>
    </w:rPr>
  </w:style>
  <w:style w:type="paragraph" w:styleId="Textocomentario">
    <w:name w:val="annotation text"/>
    <w:basedOn w:val="Normal"/>
    <w:link w:val="TextocomentarioCar"/>
    <w:uiPriority w:val="99"/>
    <w:semiHidden/>
    <w:unhideWhenUsed/>
    <w:rsid w:val="00E6692A"/>
    <w:rPr>
      <w:sz w:val="20"/>
      <w:szCs w:val="20"/>
    </w:rPr>
  </w:style>
  <w:style w:type="character" w:customStyle="1" w:styleId="TextocomentarioCar">
    <w:name w:val="Texto comentario Car"/>
    <w:basedOn w:val="Fuentedeprrafopredeter"/>
    <w:link w:val="Textocomentario"/>
    <w:uiPriority w:val="99"/>
    <w:semiHidden/>
    <w:rsid w:val="00E6692A"/>
    <w:rPr>
      <w:lang w:val="en-US" w:eastAsia="en-US"/>
    </w:rPr>
  </w:style>
  <w:style w:type="paragraph" w:styleId="Asuntodelcomentario">
    <w:name w:val="annotation subject"/>
    <w:basedOn w:val="Textocomentario"/>
    <w:next w:val="Textocomentario"/>
    <w:link w:val="AsuntodelcomentarioCar"/>
    <w:uiPriority w:val="99"/>
    <w:semiHidden/>
    <w:unhideWhenUsed/>
    <w:rsid w:val="00E6692A"/>
    <w:rPr>
      <w:b/>
      <w:bCs/>
    </w:rPr>
  </w:style>
  <w:style w:type="character" w:customStyle="1" w:styleId="AsuntodelcomentarioCar">
    <w:name w:val="Asunto del comentario Car"/>
    <w:basedOn w:val="TextocomentarioCar"/>
    <w:link w:val="Asuntodelcomentario"/>
    <w:uiPriority w:val="99"/>
    <w:semiHidden/>
    <w:rsid w:val="00E6692A"/>
    <w:rPr>
      <w:b/>
      <w:bCs/>
      <w:lang w:val="en-US" w:eastAsia="en-US"/>
    </w:rPr>
  </w:style>
  <w:style w:type="character" w:styleId="Mencinsinresolver">
    <w:name w:val="Unresolved Mention"/>
    <w:basedOn w:val="Fuentedeprrafopredeter"/>
    <w:uiPriority w:val="99"/>
    <w:semiHidden/>
    <w:unhideWhenUsed/>
    <w:rsid w:val="00E669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001336">
      <w:bodyDiv w:val="1"/>
      <w:marLeft w:val="0"/>
      <w:marRight w:val="0"/>
      <w:marTop w:val="0"/>
      <w:marBottom w:val="0"/>
      <w:divBdr>
        <w:top w:val="none" w:sz="0" w:space="0" w:color="auto"/>
        <w:left w:val="none" w:sz="0" w:space="0" w:color="auto"/>
        <w:bottom w:val="none" w:sz="0" w:space="0" w:color="auto"/>
        <w:right w:val="none" w:sz="0" w:space="0" w:color="auto"/>
      </w:divBdr>
    </w:div>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joomla.corteidh.or.cr:8080/joomla/es/casos-contenciosos/38-jurisprudencia/1450-corte-idh-caso-lopez-mendoza-vs-venezuela-fondo-reparaciones-y-costas-sentencia-de-1-de-septiembre-de-2011-serie-c-no-233" TargetMode="External"/><Relationship Id="rId13" Type="http://schemas.openxmlformats.org/officeDocument/2006/relationships/hyperlink" Target="http://joomla.corteidh.or.cr:8080/joomla/es/casos-contenciosos/38-jurisprudencia/475-corte-idh-caso-del-tribunal-constitucional-vs-peru-fondo-reparaciones-y-costas-sentencia-de-31-de-enero-de-2001-serie-c-no-71" TargetMode="External"/><Relationship Id="rId3" Type="http://schemas.openxmlformats.org/officeDocument/2006/relationships/hyperlink" Target="http://www.elheraldo.hn/Secciones-Principales/Al-Frente/Congreso-de-Honduras-asesta-golpe-tecnico-a-la-CSJ" TargetMode="External"/><Relationship Id="rId7" Type="http://schemas.openxmlformats.org/officeDocument/2006/relationships/hyperlink" Target="http://joomla.corteidh.or.cr:8080/joomla/es/casos-contenciosos/38-jurisprudencia/475-corte-idh-caso-del-tribunal-constitucional-vs-peru-fondo-reparaciones-y-costas-sentencia-de-31-de-enero-de-2001-serie-c-no-71" TargetMode="External"/><Relationship Id="rId12" Type="http://schemas.openxmlformats.org/officeDocument/2006/relationships/hyperlink" Target="http://joomla.corteidh.or.cr:8080/joomla/es/casos-contenciosos/38-jurisprudencia/475-corte-idh-caso-del-tribunal-constitucional-vs-peru-fondo-reparaciones-y-costas-sentencia-de-31-de-enero-de-2001-serie-c-no-71" TargetMode="External"/><Relationship Id="rId2" Type="http://schemas.openxmlformats.org/officeDocument/2006/relationships/hyperlink" Target="https://www.elheraldo.hn/pais/569202-214/pepe-contratara-comision-para-evaluar-fallos-de-la-corte-suprema-de-justicia" TargetMode="External"/><Relationship Id="rId1" Type="http://schemas.openxmlformats.org/officeDocument/2006/relationships/hyperlink" Target="https://www.elheraldo.hn/alfrente/565663-209/hechos-que-originaron-zarpazo-contra-el-poder-judicial" TargetMode="External"/><Relationship Id="rId6" Type="http://schemas.openxmlformats.org/officeDocument/2006/relationships/hyperlink" Target="http://joomla.corteidh.or.cr:8080/joomla/es/casos-contenciosos/38-jurisprudencia/476-corte-idh-caso-baena-ricardo-y-otros-vs-panama-fondo-reparaciones-y-costas-sentencia-de-2-de-febrero-de-2001-serie-c-no-72" TargetMode="External"/><Relationship Id="rId11" Type="http://schemas.openxmlformats.org/officeDocument/2006/relationships/hyperlink" Target="http://joomla.corteidh.or.cr:8080/joomla/es/casos-contenciosos/38-jurisprudencia/1450-corte-idh-caso-lopez-mendoza-vs-venezuela-fondo-reparaciones-y-costas-sentencia-de-1-de-septiembre-de-2011-serie-c-no-233" TargetMode="External"/><Relationship Id="rId5" Type="http://schemas.openxmlformats.org/officeDocument/2006/relationships/hyperlink" Target="https://proceso.hn/por-amenazas-salio-del-pais-ex-magistrado-jose-antonio-gutierrez-navas/" TargetMode="External"/><Relationship Id="rId10" Type="http://schemas.openxmlformats.org/officeDocument/2006/relationships/hyperlink" Target="http://joomla.corteidh.or.cr:8080/joomla/es/casos-contenciosos/38-jurisprudencia/476-corte-idh-caso-baena-ricardo-y-otros-vs-panama-fondo-reparaciones-y-costas-sentencia-de-2-de-febrero-de-2001-serie-c-no-72" TargetMode="External"/><Relationship Id="rId4" Type="http://schemas.openxmlformats.org/officeDocument/2006/relationships/hyperlink" Target="https://www.elheraldo.hn/alfrente/565674-209/aviles-concerto-propuestas-de-nuevos-magistrados" TargetMode="External"/><Relationship Id="rId9" Type="http://schemas.openxmlformats.org/officeDocument/2006/relationships/hyperlink" Target="http://joomla.corteidh.or.cr:8080/joomla/es/casos-contenciosos/38-jurisprudencia/476-corte-idh-caso-baena-ricardo-y-otros-vs-panama-fondo-reparaciones-y-costas-sentencia-de-2-de-febrero-de-2001-serie-c-no-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589DCDDB8A16B44BDC2A7128ECAC845" ma:contentTypeVersion="7" ma:contentTypeDescription="Create a new document." ma:contentTypeScope="" ma:versionID="8c2b60eeae7273e7a5183f83d6092771">
  <xsd:schema xmlns:xsd="http://www.w3.org/2001/XMLSchema" xmlns:xs="http://www.w3.org/2001/XMLSchema" xmlns:p="http://schemas.microsoft.com/office/2006/metadata/properties" xmlns:ns2="7ff2a89a-f9c3-4229-b04b-1f4abb2786a1" targetNamespace="http://schemas.microsoft.com/office/2006/metadata/properties" ma:root="true" ma:fieldsID="f989530acf2b57933063718d20c348ad" ns2:_="">
    <xsd:import namespace="7ff2a89a-f9c3-4229-b04b-1f4abb2786a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f2a89a-f9c3-4229-b04b-1f4abb2786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34BF9E-757A-4962-9EC9-E572D4AFEBA3}">
  <ds:schemaRefs>
    <ds:schemaRef ds:uri="http://schemas.microsoft.com/sharepoint/v3/contenttype/forms"/>
  </ds:schemaRefs>
</ds:datastoreItem>
</file>

<file path=customXml/itemProps2.xml><?xml version="1.0" encoding="utf-8"?>
<ds:datastoreItem xmlns:ds="http://schemas.openxmlformats.org/officeDocument/2006/customXml" ds:itemID="{45090264-7A54-46E4-A964-622B1F93D9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f2a89a-f9c3-4229-b04b-1f4abb2786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7CE6B0-1985-47FD-957E-002C2A2AB7F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FC58DCF-81EB-4A2F-9D60-8BD6871C4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11495</Words>
  <Characters>63223</Characters>
  <Application>Microsoft Office Word</Application>
  <DocSecurity>0</DocSecurity>
  <Lines>526</Lines>
  <Paragraphs>149</Paragraphs>
  <ScaleCrop>false</ScaleCrop>
  <Company/>
  <LinksUpToDate>false</LinksUpToDate>
  <CharactersWithSpaces>74569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2022-08-05T20:33:00Z</dcterms:created>
  <dcterms:modified xsi:type="dcterms:W3CDTF">2022-08-05T20:33:00Z</dcterms:modified>
</cp:coreProperties>
</file>