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B8C5" w14:textId="77777777" w:rsidR="00F959E9" w:rsidRDefault="00F959E9" w:rsidP="00E062D6">
      <w:pPr>
        <w:spacing w:after="0" w:line="240" w:lineRule="auto"/>
        <w:rPr>
          <w:rFonts w:ascii="Cambria" w:hAnsi="Cambria" w:cs="Calibri"/>
          <w:sz w:val="20"/>
          <w:szCs w:val="20"/>
          <w:lang w:val="es-ES"/>
        </w:rPr>
      </w:pPr>
    </w:p>
    <w:p w14:paraId="061B299F" w14:textId="77777777" w:rsidR="00F959E9" w:rsidRDefault="00F959E9" w:rsidP="00F959E9">
      <w:pPr>
        <w:spacing w:after="0" w:line="240" w:lineRule="auto"/>
        <w:ind w:left="6480"/>
        <w:rPr>
          <w:rFonts w:ascii="Cambria" w:hAnsi="Cambria" w:cs="Calibri"/>
          <w:sz w:val="20"/>
          <w:szCs w:val="20"/>
          <w:lang w:val="es-ES"/>
        </w:rPr>
      </w:pPr>
    </w:p>
    <w:p w14:paraId="5B187A3F" w14:textId="77777777" w:rsidR="00CA6D35" w:rsidRPr="00B374AE" w:rsidRDefault="00F959E9" w:rsidP="00F959E9">
      <w:pPr>
        <w:spacing w:after="0" w:line="240" w:lineRule="auto"/>
        <w:ind w:left="6480"/>
        <w:rPr>
          <w:rFonts w:ascii="Cambria" w:hAnsi="Cambria" w:cs="Calibri"/>
          <w:sz w:val="20"/>
          <w:szCs w:val="20"/>
          <w:lang w:val="es-ES"/>
        </w:rPr>
      </w:pPr>
      <w:r>
        <w:rPr>
          <w:rFonts w:ascii="Cambria" w:hAnsi="Cambria" w:cs="Calibri"/>
          <w:sz w:val="20"/>
          <w:szCs w:val="20"/>
          <w:lang w:val="es-ES"/>
        </w:rPr>
        <w:t xml:space="preserve">              </w:t>
      </w:r>
      <w:r w:rsidRPr="00B374AE">
        <w:rPr>
          <w:rFonts w:ascii="Cambria" w:hAnsi="Cambria" w:cs="Calibri"/>
          <w:sz w:val="20"/>
          <w:szCs w:val="20"/>
          <w:lang w:val="es-ES"/>
        </w:rPr>
        <w:t>30</w:t>
      </w:r>
      <w:r w:rsidR="00CA6D35" w:rsidRPr="00B374AE">
        <w:rPr>
          <w:rFonts w:ascii="Cambria" w:hAnsi="Cambria" w:cs="Calibri"/>
          <w:sz w:val="20"/>
          <w:szCs w:val="20"/>
          <w:lang w:val="es-ES"/>
        </w:rPr>
        <w:t xml:space="preserve"> de </w:t>
      </w:r>
      <w:r w:rsidR="00BB5793" w:rsidRPr="00B374AE">
        <w:rPr>
          <w:rFonts w:ascii="Cambria" w:hAnsi="Cambria" w:cs="Calibri"/>
          <w:sz w:val="20"/>
          <w:szCs w:val="20"/>
          <w:lang w:val="es-ES"/>
        </w:rPr>
        <w:t>septiembre</w:t>
      </w:r>
      <w:r w:rsidR="00162CE1" w:rsidRPr="00B374AE">
        <w:rPr>
          <w:rFonts w:ascii="Cambria" w:hAnsi="Cambria" w:cs="Calibri"/>
          <w:sz w:val="20"/>
          <w:szCs w:val="20"/>
          <w:lang w:val="es-ES"/>
        </w:rPr>
        <w:t xml:space="preserve"> de 20</w:t>
      </w:r>
      <w:r w:rsidR="0041669B" w:rsidRPr="00B374AE">
        <w:rPr>
          <w:rFonts w:ascii="Cambria" w:hAnsi="Cambria" w:cs="Calibri"/>
          <w:sz w:val="20"/>
          <w:szCs w:val="20"/>
          <w:lang w:val="es-ES"/>
        </w:rPr>
        <w:t>2</w:t>
      </w:r>
      <w:r w:rsidR="00A77DE5" w:rsidRPr="00B374AE">
        <w:rPr>
          <w:rFonts w:ascii="Cambria" w:hAnsi="Cambria" w:cs="Calibri"/>
          <w:sz w:val="20"/>
          <w:szCs w:val="20"/>
          <w:lang w:val="es-ES"/>
        </w:rPr>
        <w:t>1</w:t>
      </w:r>
    </w:p>
    <w:p w14:paraId="5516B9A6" w14:textId="77777777" w:rsidR="00F959E9" w:rsidRPr="00B374AE" w:rsidRDefault="00F959E9" w:rsidP="00F959E9">
      <w:pPr>
        <w:spacing w:after="0" w:line="240" w:lineRule="auto"/>
        <w:ind w:left="6480"/>
        <w:rPr>
          <w:rFonts w:ascii="Cambria" w:hAnsi="Cambria" w:cs="Calibri"/>
          <w:sz w:val="20"/>
          <w:szCs w:val="20"/>
          <w:lang w:val="es-ES"/>
        </w:rPr>
      </w:pPr>
    </w:p>
    <w:p w14:paraId="63DCEB52" w14:textId="77777777" w:rsidR="00162CE1" w:rsidRPr="00B374AE" w:rsidRDefault="0042403B" w:rsidP="007929FF">
      <w:pPr>
        <w:spacing w:after="0" w:line="240" w:lineRule="auto"/>
        <w:jc w:val="both"/>
        <w:rPr>
          <w:rFonts w:ascii="Cambria" w:hAnsi="Cambria" w:cs="Calibri"/>
          <w:b/>
          <w:sz w:val="20"/>
          <w:szCs w:val="20"/>
          <w:lang w:val="es-ES"/>
        </w:rPr>
      </w:pPr>
      <w:r w:rsidRPr="00B374AE">
        <w:rPr>
          <w:rFonts w:ascii="Cambria" w:hAnsi="Cambria" w:cs="Calibri"/>
          <w:b/>
          <w:sz w:val="20"/>
          <w:szCs w:val="20"/>
          <w:lang w:val="es-ES"/>
        </w:rPr>
        <w:t>REF</w:t>
      </w:r>
      <w:r w:rsidR="00162CE1" w:rsidRPr="00B374AE">
        <w:rPr>
          <w:rFonts w:ascii="Cambria" w:hAnsi="Cambria" w:cs="Calibri"/>
          <w:b/>
          <w:sz w:val="20"/>
          <w:szCs w:val="20"/>
          <w:lang w:val="es-ES"/>
        </w:rPr>
        <w:t>.:</w:t>
      </w:r>
      <w:bookmarkStart w:id="0" w:name="Peticion_n"/>
      <w:bookmarkEnd w:id="0"/>
      <w:r w:rsidR="00A2631B" w:rsidRPr="00B374AE">
        <w:rPr>
          <w:rFonts w:ascii="Cambria" w:hAnsi="Cambria" w:cs="Calibri"/>
          <w:b/>
          <w:sz w:val="20"/>
          <w:szCs w:val="20"/>
          <w:lang w:val="es-ES"/>
        </w:rPr>
        <w:tab/>
        <w:t>Caso Nº</w:t>
      </w:r>
      <w:r w:rsidR="00162CE1" w:rsidRPr="00B374AE">
        <w:rPr>
          <w:rFonts w:ascii="Cambria" w:hAnsi="Cambria" w:cs="Calibri"/>
          <w:b/>
          <w:sz w:val="20"/>
          <w:szCs w:val="20"/>
          <w:lang w:val="es-ES"/>
        </w:rPr>
        <w:t xml:space="preserve"> </w:t>
      </w:r>
      <w:r w:rsidR="00F959E9" w:rsidRPr="00B374AE">
        <w:rPr>
          <w:rFonts w:ascii="Cambria" w:hAnsi="Cambria" w:cs="Calibri"/>
          <w:b/>
          <w:sz w:val="20"/>
          <w:szCs w:val="20"/>
          <w:lang w:val="es-ES"/>
        </w:rPr>
        <w:t>13.045</w:t>
      </w:r>
    </w:p>
    <w:p w14:paraId="2D3C96B6" w14:textId="77777777" w:rsidR="00AF115F" w:rsidRPr="00B374AE" w:rsidRDefault="00AF115F" w:rsidP="000A06E9">
      <w:pPr>
        <w:spacing w:after="0" w:line="240" w:lineRule="auto"/>
        <w:ind w:firstLine="720"/>
        <w:jc w:val="both"/>
        <w:rPr>
          <w:rFonts w:ascii="Cambria" w:hAnsi="Cambria"/>
          <w:b/>
          <w:bCs/>
          <w:sz w:val="20"/>
          <w:szCs w:val="20"/>
          <w:lang w:val="es-CO"/>
        </w:rPr>
      </w:pPr>
      <w:r w:rsidRPr="00B374AE">
        <w:rPr>
          <w:rFonts w:ascii="Cambria" w:hAnsi="Cambria"/>
          <w:b/>
          <w:bCs/>
          <w:sz w:val="20"/>
          <w:szCs w:val="20"/>
          <w:lang w:val="es-ES"/>
        </w:rPr>
        <w:t>Saulo Arboleda Gómez</w:t>
      </w:r>
      <w:r w:rsidRPr="00B374AE">
        <w:rPr>
          <w:rFonts w:ascii="Cambria" w:hAnsi="Cambria"/>
          <w:b/>
          <w:bCs/>
          <w:sz w:val="20"/>
          <w:szCs w:val="20"/>
          <w:lang w:val="es-CO"/>
        </w:rPr>
        <w:t xml:space="preserve"> </w:t>
      </w:r>
    </w:p>
    <w:p w14:paraId="086E8981" w14:textId="77777777" w:rsidR="003D15F1" w:rsidRPr="00B374AE" w:rsidRDefault="00267588" w:rsidP="000A06E9">
      <w:pPr>
        <w:spacing w:after="0" w:line="240" w:lineRule="auto"/>
        <w:ind w:firstLine="720"/>
        <w:jc w:val="both"/>
        <w:rPr>
          <w:rFonts w:ascii="Cambria" w:hAnsi="Cambria" w:cs="Calibri"/>
          <w:b/>
          <w:sz w:val="20"/>
          <w:szCs w:val="20"/>
          <w:lang w:val="es-ES"/>
        </w:rPr>
      </w:pPr>
      <w:r w:rsidRPr="00B374AE">
        <w:rPr>
          <w:rFonts w:ascii="Cambria" w:hAnsi="Cambria" w:cs="Calibri"/>
          <w:b/>
          <w:sz w:val="20"/>
          <w:szCs w:val="20"/>
          <w:lang w:val="es-ES"/>
        </w:rPr>
        <w:t>Colombia</w:t>
      </w:r>
    </w:p>
    <w:p w14:paraId="139DD4FC" w14:textId="77777777" w:rsidR="000A06E9" w:rsidRPr="00B374AE" w:rsidRDefault="000A06E9" w:rsidP="000A06E9">
      <w:pPr>
        <w:spacing w:after="0" w:line="240" w:lineRule="auto"/>
        <w:ind w:firstLine="720"/>
        <w:jc w:val="both"/>
        <w:rPr>
          <w:rFonts w:ascii="Cambria" w:hAnsi="Cambria" w:cs="Calibri"/>
          <w:b/>
          <w:sz w:val="20"/>
          <w:szCs w:val="20"/>
          <w:lang w:val="es-ES"/>
        </w:rPr>
      </w:pPr>
    </w:p>
    <w:p w14:paraId="29008716" w14:textId="77777777" w:rsidR="00F959E9" w:rsidRPr="00B374AE" w:rsidRDefault="00F959E9" w:rsidP="000A06E9">
      <w:pPr>
        <w:spacing w:after="0" w:line="240" w:lineRule="auto"/>
        <w:ind w:firstLine="720"/>
        <w:jc w:val="both"/>
        <w:rPr>
          <w:rFonts w:ascii="Cambria" w:hAnsi="Cambria" w:cs="Calibri"/>
          <w:b/>
          <w:sz w:val="20"/>
          <w:szCs w:val="20"/>
          <w:lang w:val="es-ES"/>
        </w:rPr>
      </w:pPr>
    </w:p>
    <w:p w14:paraId="144B3208" w14:textId="77777777" w:rsidR="00162CE1" w:rsidRPr="00B374AE" w:rsidRDefault="00162CE1" w:rsidP="007929FF">
      <w:pPr>
        <w:spacing w:after="0" w:line="240" w:lineRule="auto"/>
        <w:jc w:val="both"/>
        <w:rPr>
          <w:rFonts w:ascii="Cambria" w:hAnsi="Cambria" w:cs="Calibri"/>
          <w:sz w:val="20"/>
          <w:szCs w:val="20"/>
          <w:lang w:val="es-ES"/>
        </w:rPr>
      </w:pPr>
      <w:r w:rsidRPr="00B374AE">
        <w:rPr>
          <w:rFonts w:ascii="Cambria" w:hAnsi="Cambria" w:cs="Calibri"/>
          <w:sz w:val="20"/>
          <w:szCs w:val="20"/>
          <w:lang w:val="es-ES"/>
        </w:rPr>
        <w:t>Señor Secretario:</w:t>
      </w:r>
    </w:p>
    <w:p w14:paraId="23CB2AFC" w14:textId="77777777" w:rsidR="00162CE1" w:rsidRPr="00B374AE" w:rsidRDefault="00162CE1" w:rsidP="007929FF">
      <w:pPr>
        <w:spacing w:after="0" w:line="240" w:lineRule="auto"/>
        <w:jc w:val="both"/>
        <w:rPr>
          <w:rFonts w:ascii="Cambria" w:hAnsi="Cambria" w:cs="Calibri"/>
          <w:sz w:val="20"/>
          <w:szCs w:val="20"/>
          <w:lang w:val="es-ES"/>
        </w:rPr>
      </w:pPr>
    </w:p>
    <w:p w14:paraId="443CC35D" w14:textId="77777777" w:rsidR="00667B72" w:rsidRPr="00B374AE" w:rsidRDefault="00CA6D35" w:rsidP="00667B72">
      <w:pPr>
        <w:pStyle w:val="parrafos"/>
        <w:tabs>
          <w:tab w:val="left" w:pos="360"/>
        </w:tabs>
        <w:rPr>
          <w:lang w:val="es-ES"/>
        </w:rPr>
      </w:pPr>
      <w:r w:rsidRPr="00B374AE">
        <w:rPr>
          <w:rFonts w:cs="Calibri"/>
          <w:lang w:val="es-ES"/>
        </w:rPr>
        <w:tab/>
      </w:r>
      <w:r w:rsidR="00713F7B" w:rsidRPr="00B374AE">
        <w:rPr>
          <w:rFonts w:cs="Calibri"/>
          <w:lang w:val="es-ES"/>
        </w:rPr>
        <w:tab/>
      </w:r>
      <w:r w:rsidR="00162CE1" w:rsidRPr="00B374AE">
        <w:rPr>
          <w:rFonts w:cs="Calibri"/>
          <w:lang w:val="es-ES"/>
        </w:rPr>
        <w:t>Tengo el agrado de dirigirme a usted</w:t>
      </w:r>
      <w:r w:rsidR="0042403B" w:rsidRPr="00B374AE">
        <w:rPr>
          <w:rFonts w:cs="Calibri"/>
          <w:lang w:val="es-ES"/>
        </w:rPr>
        <w:t>,</w:t>
      </w:r>
      <w:r w:rsidR="00162CE1" w:rsidRPr="00B374AE">
        <w:rPr>
          <w:rFonts w:cs="Calibri"/>
          <w:lang w:val="es-ES"/>
        </w:rPr>
        <w:t xml:space="preserve"> en nombre de la Comisión Interamericana de Derechos Humanos</w:t>
      </w:r>
      <w:r w:rsidR="0042403B" w:rsidRPr="00B374AE">
        <w:rPr>
          <w:rFonts w:cs="Calibri"/>
          <w:lang w:val="es-ES"/>
        </w:rPr>
        <w:t>,</w:t>
      </w:r>
      <w:r w:rsidR="00162CE1" w:rsidRPr="00B374AE">
        <w:rPr>
          <w:rFonts w:cs="Calibri"/>
          <w:lang w:val="es-ES"/>
        </w:rPr>
        <w:t xml:space="preserve"> con el objeto de someter a la jurisdicción de la Honorable Corte Interame</w:t>
      </w:r>
      <w:r w:rsidR="009E433A" w:rsidRPr="00B374AE">
        <w:rPr>
          <w:rFonts w:cs="Calibri"/>
          <w:lang w:val="es-ES"/>
        </w:rPr>
        <w:t>ricana de Derechos Humanos, el c</w:t>
      </w:r>
      <w:r w:rsidR="00162CE1" w:rsidRPr="00B374AE">
        <w:rPr>
          <w:rFonts w:cs="Calibri"/>
          <w:lang w:val="es-ES"/>
        </w:rPr>
        <w:t xml:space="preserve">aso No. </w:t>
      </w:r>
      <w:bookmarkStart w:id="1" w:name="Peticion_n1"/>
      <w:bookmarkEnd w:id="1"/>
      <w:r w:rsidR="00667B72" w:rsidRPr="00B374AE">
        <w:rPr>
          <w:rFonts w:cs="Calibri"/>
          <w:lang w:val="es-ES"/>
        </w:rPr>
        <w:t>13.045</w:t>
      </w:r>
      <w:r w:rsidR="00713F7B" w:rsidRPr="00B374AE">
        <w:rPr>
          <w:rFonts w:cs="Calibri"/>
          <w:lang w:val="es-ES"/>
        </w:rPr>
        <w:t xml:space="preserve"> </w:t>
      </w:r>
      <w:r w:rsidR="00E31CFC" w:rsidRPr="00B374AE">
        <w:rPr>
          <w:rFonts w:cs="Calibri"/>
          <w:lang w:val="es-ES"/>
        </w:rPr>
        <w:t>–</w:t>
      </w:r>
      <w:r w:rsidR="00162CE1" w:rsidRPr="00B374AE">
        <w:rPr>
          <w:rFonts w:cs="Calibri"/>
          <w:lang w:val="es-ES"/>
        </w:rPr>
        <w:t xml:space="preserve"> </w:t>
      </w:r>
      <w:r w:rsidR="00667B72" w:rsidRPr="00B374AE">
        <w:rPr>
          <w:lang w:val="es-ES"/>
        </w:rPr>
        <w:t>Saulo Arboleda Gómez</w:t>
      </w:r>
      <w:r w:rsidR="006634BE" w:rsidRPr="00B374AE">
        <w:rPr>
          <w:rFonts w:cs="Calibri"/>
          <w:lang w:val="es-ES"/>
        </w:rPr>
        <w:t>,</w:t>
      </w:r>
      <w:r w:rsidR="009E433A" w:rsidRPr="00B374AE">
        <w:rPr>
          <w:rFonts w:cs="Calibri"/>
          <w:lang w:val="es-ES"/>
        </w:rPr>
        <w:t xml:space="preserve"> </w:t>
      </w:r>
      <w:r w:rsidR="00314D82" w:rsidRPr="00B374AE">
        <w:rPr>
          <w:rFonts w:cs="Calibri"/>
          <w:lang w:val="es-ES"/>
        </w:rPr>
        <w:t xml:space="preserve">respecto </w:t>
      </w:r>
      <w:r w:rsidR="00CB0139" w:rsidRPr="00B374AE">
        <w:rPr>
          <w:rFonts w:cs="Calibri"/>
          <w:lang w:val="es-ES"/>
        </w:rPr>
        <w:t>de</w:t>
      </w:r>
      <w:r w:rsidR="004A2758" w:rsidRPr="00B374AE">
        <w:rPr>
          <w:rFonts w:cs="Calibri"/>
          <w:lang w:val="es-ES"/>
        </w:rPr>
        <w:t xml:space="preserve"> </w:t>
      </w:r>
      <w:r w:rsidR="009E433A" w:rsidRPr="00B374AE">
        <w:rPr>
          <w:rFonts w:cs="Calibri"/>
          <w:lang w:val="es-ES"/>
        </w:rPr>
        <w:t>l</w:t>
      </w:r>
      <w:r w:rsidR="004A2758" w:rsidRPr="00B374AE">
        <w:rPr>
          <w:rFonts w:cs="Calibri"/>
          <w:lang w:val="es-ES"/>
        </w:rPr>
        <w:t xml:space="preserve">a República </w:t>
      </w:r>
      <w:r w:rsidR="00FB4062" w:rsidRPr="00B374AE">
        <w:rPr>
          <w:rFonts w:cs="Calibri"/>
          <w:lang w:val="es-ES"/>
        </w:rPr>
        <w:t>de Colombia</w:t>
      </w:r>
      <w:r w:rsidR="00162CE1" w:rsidRPr="00B374AE">
        <w:rPr>
          <w:rFonts w:cs="Calibri"/>
          <w:lang w:val="es-ES"/>
        </w:rPr>
        <w:t xml:space="preserve"> (en adelante “el Estado”, “el Estado </w:t>
      </w:r>
      <w:r w:rsidR="00FB4062" w:rsidRPr="00B374AE">
        <w:rPr>
          <w:rFonts w:cs="Calibri"/>
          <w:lang w:val="es-ES"/>
        </w:rPr>
        <w:t>colombiano</w:t>
      </w:r>
      <w:r w:rsidR="00162CE1" w:rsidRPr="00B374AE">
        <w:rPr>
          <w:rFonts w:cs="Calibri"/>
          <w:lang w:val="es-ES"/>
        </w:rPr>
        <w:t>” o “</w:t>
      </w:r>
      <w:r w:rsidR="00FB4062" w:rsidRPr="00B374AE">
        <w:rPr>
          <w:rFonts w:cs="Calibri"/>
          <w:lang w:val="es-ES"/>
        </w:rPr>
        <w:t>Colombia</w:t>
      </w:r>
      <w:r w:rsidR="00841C56" w:rsidRPr="00B374AE">
        <w:rPr>
          <w:rFonts w:cs="Calibri"/>
          <w:lang w:val="es-ES"/>
        </w:rPr>
        <w:t>”)</w:t>
      </w:r>
      <w:r w:rsidR="00667B72" w:rsidRPr="00B374AE">
        <w:rPr>
          <w:rFonts w:cs="Calibri"/>
          <w:lang w:val="es-ES"/>
        </w:rPr>
        <w:t xml:space="preserve"> </w:t>
      </w:r>
      <w:r w:rsidR="00667B72" w:rsidRPr="00B374AE">
        <w:rPr>
          <w:lang w:val="es-ES_tradnl"/>
        </w:rPr>
        <w:t xml:space="preserve">por </w:t>
      </w:r>
      <w:r w:rsidR="00667B72" w:rsidRPr="00B374AE">
        <w:rPr>
          <w:lang w:val="es-ES"/>
        </w:rPr>
        <w:t xml:space="preserve">la </w:t>
      </w:r>
      <w:r w:rsidR="00667B72" w:rsidRPr="00B374AE">
        <w:t xml:space="preserve">vulneración de </w:t>
      </w:r>
      <w:r w:rsidR="00667B72" w:rsidRPr="00B374AE">
        <w:rPr>
          <w:lang w:val="es-ES"/>
        </w:rPr>
        <w:t>los</w:t>
      </w:r>
      <w:r w:rsidR="00667B72" w:rsidRPr="00B374AE">
        <w:t xml:space="preserve"> derechos a las garantías judiciales y  a la protección judicial </w:t>
      </w:r>
      <w:r w:rsidR="00667B72" w:rsidRPr="00B374AE">
        <w:rPr>
          <w:lang w:val="es-ES"/>
        </w:rPr>
        <w:t xml:space="preserve">de Saulo Arboleda Gómez, </w:t>
      </w:r>
      <w:r w:rsidR="00667B72" w:rsidRPr="00B374AE">
        <w:t>en el marco de un proceso penal</w:t>
      </w:r>
      <w:r w:rsidR="00667B72" w:rsidRPr="00B374AE">
        <w:rPr>
          <w:lang w:val="es-ES"/>
        </w:rPr>
        <w:t xml:space="preserve"> en su contra.</w:t>
      </w:r>
      <w:r w:rsidR="00667B72" w:rsidRPr="00B374AE">
        <w:rPr>
          <w:lang w:val="es-ES_tradnl"/>
        </w:rPr>
        <w:t xml:space="preserve"> </w:t>
      </w:r>
    </w:p>
    <w:p w14:paraId="6A1F9B01" w14:textId="77777777" w:rsidR="000776AD" w:rsidRPr="00B374AE" w:rsidRDefault="000776AD" w:rsidP="00713F7B">
      <w:pPr>
        <w:tabs>
          <w:tab w:val="left" w:pos="360"/>
        </w:tabs>
        <w:spacing w:after="0" w:line="240" w:lineRule="auto"/>
        <w:jc w:val="both"/>
        <w:rPr>
          <w:rFonts w:ascii="Cambria" w:hAnsi="Cambria" w:cs="Calibri"/>
          <w:sz w:val="20"/>
          <w:szCs w:val="20"/>
          <w:lang w:val="es-ES"/>
        </w:rPr>
      </w:pPr>
    </w:p>
    <w:p w14:paraId="598A557F" w14:textId="77777777" w:rsidR="00667B72" w:rsidRPr="00B374AE" w:rsidRDefault="00667B72" w:rsidP="00667B72">
      <w:pPr>
        <w:tabs>
          <w:tab w:val="left" w:pos="360"/>
          <w:tab w:val="left" w:pos="72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r>
      <w:r w:rsidRPr="00B374AE">
        <w:rPr>
          <w:rFonts w:ascii="Cambria" w:eastAsia="Arial Unicode MS" w:hAnsi="Cambria"/>
          <w:color w:val="000000"/>
          <w:sz w:val="20"/>
          <w:szCs w:val="20"/>
          <w:lang w:val="es-ES"/>
        </w:rPr>
        <w:tab/>
        <w:t xml:space="preserve">El 17 de agosto de 1997, varios medios de comunicación publicaron la transcripción de una grabación no consentida de una conversación entre Saulo Arboleda Gómez, quien se desempeñaba como Ministro de Comunicaciones de Colombia y el entonces Ministro de Minas y Energía, relativa al proceso de adjudicación de una emisora de radio. El 20 de agosto de 1997 el Fiscal General de la Nación abrió de oficio una investigación preliminar en contra de ambos ministros y el 21 de octubre de 1998 se emitió una acusación por el “delito de interés ilícito en celebración de contratos”. Frente al auto de acusación, el señor Arboleda interpuso un recurso de reposición, el cual fue rechazado el 17 de noviembre de 1997. </w:t>
      </w:r>
    </w:p>
    <w:p w14:paraId="2AFEC4B3" w14:textId="77777777" w:rsidR="00667B72" w:rsidRPr="00B374AE" w:rsidRDefault="00667B72" w:rsidP="00667B72">
      <w:pPr>
        <w:tabs>
          <w:tab w:val="left" w:pos="360"/>
          <w:tab w:val="left" w:pos="1440"/>
        </w:tabs>
        <w:spacing w:after="0" w:line="240" w:lineRule="auto"/>
        <w:jc w:val="both"/>
        <w:rPr>
          <w:rFonts w:ascii="Cambria" w:eastAsia="Arial Unicode MS" w:hAnsi="Cambria"/>
          <w:color w:val="000000"/>
          <w:sz w:val="20"/>
          <w:szCs w:val="20"/>
          <w:lang w:val="es-ES"/>
        </w:rPr>
      </w:pPr>
    </w:p>
    <w:p w14:paraId="0ACCDF85" w14:textId="77777777" w:rsidR="00667B72" w:rsidRPr="00B374AE" w:rsidRDefault="00667B72" w:rsidP="00667B72">
      <w:pPr>
        <w:tabs>
          <w:tab w:val="left" w:pos="360"/>
          <w:tab w:val="left" w:pos="72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r>
      <w:r w:rsidRPr="00B374AE">
        <w:rPr>
          <w:rFonts w:ascii="Cambria" w:eastAsia="Arial Unicode MS" w:hAnsi="Cambria"/>
          <w:color w:val="000000"/>
          <w:sz w:val="20"/>
          <w:szCs w:val="20"/>
          <w:lang w:val="es-ES"/>
        </w:rPr>
        <w:tab/>
        <w:t xml:space="preserve">El proceso fue tramitado ante la Sala de Casación Penal de la Corte Suprema de Justicia y culminó con una sentencia condenatoria en contra del señor Arboleda, emitida el 25 de octubre de 2000, con una pena de 54 meses de privación de libertad y 15 salarios mínimos legales mensuales vigentes a la época. Saulo Arboleda presentó una acción de tutela en contra de la sentencia y de la acusación fiscal, en donde alegó que el proceso penal vulneró su derecho al debido proceso, dado que la prueba fuente de la investigación, es decir, la antedicha grabación, así como todas las pruebas derivadas de ella, eran ilícitas de acuerdo con la Constitución Política de Colombia. El 1 de diciembre de 2000, la Sala Jurisdiccional Disciplinaria del Consejo Seccional de la Judicatura de Cundinamarca rechazó la acción de tutela. Esta última decisión fue recurrida, sin embargo, la Sala Jurisdiccional Disciplinaria del Consejo Superior de la Judicatura confirmó la sentencia impugnada. Luego de un recurso de insistencia para revisión de tutela interpuesto por el Defensor del Pueblo, la Corte Constitucional confirmó la decisión del 5 de febrero de 2001, quedando ejecutoriada el 6 de mayo de 2002. Adicionalmente, entre 2007 y 2017, el señor Arboleda presentó al menos cinco acciones de revisión en contra de la sentencia del 25 de octubre de 2000, ante la misma Sala de Casación Penal de la Corte Suprema, las cuales fueron rechazadas.  </w:t>
      </w:r>
    </w:p>
    <w:p w14:paraId="70A7B8A5" w14:textId="77777777" w:rsidR="00667B72" w:rsidRPr="00B374AE" w:rsidRDefault="00667B72" w:rsidP="00667B72">
      <w:pPr>
        <w:tabs>
          <w:tab w:val="left" w:pos="360"/>
          <w:tab w:val="left" w:pos="1440"/>
        </w:tabs>
        <w:spacing w:after="0" w:line="240" w:lineRule="auto"/>
        <w:jc w:val="both"/>
        <w:rPr>
          <w:rFonts w:ascii="Cambria" w:eastAsia="Arial Unicode MS" w:hAnsi="Cambria"/>
          <w:color w:val="000000"/>
          <w:sz w:val="20"/>
          <w:szCs w:val="20"/>
          <w:lang w:val="es-ES"/>
        </w:rPr>
      </w:pPr>
    </w:p>
    <w:p w14:paraId="6D638F25" w14:textId="77777777" w:rsidR="002A14D2" w:rsidRPr="00B374AE" w:rsidRDefault="00667B72" w:rsidP="00667B72">
      <w:pPr>
        <w:tabs>
          <w:tab w:val="left" w:pos="720"/>
          <w:tab w:val="left" w:pos="144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t xml:space="preserve">En su Informe de Fondo la Comisión </w:t>
      </w:r>
      <w:r w:rsidR="002A14D2" w:rsidRPr="00B374AE">
        <w:rPr>
          <w:rFonts w:ascii="Cambria" w:eastAsia="Arial Unicode MS" w:hAnsi="Cambria"/>
          <w:color w:val="000000"/>
          <w:sz w:val="20"/>
          <w:szCs w:val="20"/>
          <w:lang w:val="es-ES"/>
        </w:rPr>
        <w:t>recordó que</w:t>
      </w:r>
      <w:r w:rsidR="00E17692" w:rsidRPr="00B374AE">
        <w:rPr>
          <w:rFonts w:ascii="Cambria" w:eastAsia="Arial Unicode MS" w:hAnsi="Cambria"/>
          <w:color w:val="000000"/>
          <w:sz w:val="20"/>
          <w:szCs w:val="20"/>
          <w:lang w:val="es-ES"/>
        </w:rPr>
        <w:t>,</w:t>
      </w:r>
      <w:r w:rsidR="002A14D2" w:rsidRPr="00B374AE">
        <w:rPr>
          <w:rFonts w:ascii="Cambria" w:eastAsia="Arial Unicode MS" w:hAnsi="Cambria"/>
          <w:color w:val="000000"/>
          <w:sz w:val="20"/>
          <w:szCs w:val="20"/>
          <w:lang w:val="es-ES"/>
        </w:rPr>
        <w:t xml:space="preserve"> si bien los Estados tienen la obligación de prevenir, sancionar y actuar ante denuncias de corrupción, los Estados deben actuar en pleno respeto a los derechos humanos, asegurando el debido proceso. </w:t>
      </w:r>
    </w:p>
    <w:p w14:paraId="1F776C5D" w14:textId="77777777" w:rsidR="002A14D2" w:rsidRDefault="002A14D2"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4384F13E" w14:textId="77777777" w:rsidR="00E062D6" w:rsidRDefault="00E062D6"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5E27BFF9" w14:textId="77777777" w:rsidR="00E062D6" w:rsidRPr="00B374AE" w:rsidRDefault="00E062D6"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35FC953D" w14:textId="77777777" w:rsidR="002A14D2" w:rsidRPr="00B374AE" w:rsidRDefault="002A14D2" w:rsidP="002A14D2">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Señor</w:t>
      </w:r>
    </w:p>
    <w:p w14:paraId="35F62093" w14:textId="77777777" w:rsidR="002A14D2" w:rsidRPr="00B374AE" w:rsidRDefault="002A14D2" w:rsidP="002A14D2">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Pablo Saavedra Alessandri</w:t>
      </w:r>
    </w:p>
    <w:p w14:paraId="3E4C71F5" w14:textId="77777777" w:rsidR="002A14D2" w:rsidRPr="00B374AE" w:rsidRDefault="002A14D2" w:rsidP="002A14D2">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Secretario</w:t>
      </w:r>
    </w:p>
    <w:p w14:paraId="15BC9395" w14:textId="77777777" w:rsidR="002A14D2" w:rsidRPr="00B374AE" w:rsidRDefault="002A14D2" w:rsidP="002A14D2">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Corte Interamericana de Derechos Humanos</w:t>
      </w:r>
    </w:p>
    <w:p w14:paraId="7E766ADB" w14:textId="77777777" w:rsidR="002A14D2" w:rsidRPr="00B374AE" w:rsidRDefault="002A14D2" w:rsidP="002A14D2">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San José, Costa Rica</w:t>
      </w:r>
    </w:p>
    <w:p w14:paraId="1FEE4873" w14:textId="77777777" w:rsidR="002A14D2" w:rsidRDefault="002A14D2"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135E250B" w14:textId="77777777" w:rsidR="00E062D6" w:rsidRDefault="00E062D6"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1DBFD27E" w14:textId="77777777" w:rsidR="00E062D6" w:rsidRPr="00B374AE" w:rsidRDefault="00E062D6"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62FAE7CA" w14:textId="77777777" w:rsidR="00DF3C21" w:rsidRPr="00B374AE" w:rsidRDefault="00E17692" w:rsidP="00667B72">
      <w:pPr>
        <w:tabs>
          <w:tab w:val="left" w:pos="720"/>
          <w:tab w:val="left" w:pos="144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t>L</w:t>
      </w:r>
      <w:r w:rsidR="002A14D2" w:rsidRPr="00B374AE">
        <w:rPr>
          <w:rFonts w:ascii="Cambria" w:eastAsia="Arial Unicode MS" w:hAnsi="Cambria"/>
          <w:color w:val="000000"/>
          <w:sz w:val="20"/>
          <w:szCs w:val="20"/>
          <w:lang w:val="es-ES"/>
        </w:rPr>
        <w:t xml:space="preserve">a Comisión </w:t>
      </w:r>
      <w:r w:rsidR="00667B72" w:rsidRPr="00B374AE">
        <w:rPr>
          <w:rFonts w:ascii="Cambria" w:eastAsia="Arial Unicode MS" w:hAnsi="Cambria"/>
          <w:color w:val="000000"/>
          <w:sz w:val="20"/>
          <w:szCs w:val="20"/>
          <w:lang w:val="es-ES"/>
        </w:rPr>
        <w:t xml:space="preserve">analizó si la víctima contó con las garantías correspondientes en el proceso penal. </w:t>
      </w:r>
      <w:r w:rsidRPr="00B374AE">
        <w:rPr>
          <w:rFonts w:ascii="Cambria" w:eastAsia="Arial Unicode MS" w:hAnsi="Cambria"/>
          <w:color w:val="000000"/>
          <w:sz w:val="20"/>
          <w:szCs w:val="20"/>
          <w:lang w:val="es-ES"/>
        </w:rPr>
        <w:t>En ese sentido, indicó</w:t>
      </w:r>
      <w:r w:rsidR="00DF3C21" w:rsidRPr="00B374AE">
        <w:rPr>
          <w:rFonts w:ascii="Cambria" w:eastAsia="Arial Unicode MS" w:hAnsi="Cambria"/>
          <w:color w:val="000000"/>
          <w:sz w:val="20"/>
          <w:szCs w:val="20"/>
          <w:lang w:val="es-ES"/>
        </w:rPr>
        <w:t xml:space="preserve"> que independientemente del régimen o sistema recursivo que adopten los Estados Parte y de la denominación que den al medio de impugnación de la sentencia condenatoria, para que éste sea eficaz debe constituir un medio adecuado para procurar la corrección de una condena errónea, lo cual requiere que pueda analizar las cuestiones fácticas, probatorias y jurídicas en que se basa la sentencia impugnada. </w:t>
      </w:r>
    </w:p>
    <w:p w14:paraId="4E9B1D2E" w14:textId="77777777" w:rsidR="00DF3C21" w:rsidRPr="00B374AE" w:rsidRDefault="00DF3C21" w:rsidP="00667B72">
      <w:pPr>
        <w:tabs>
          <w:tab w:val="left" w:pos="720"/>
          <w:tab w:val="left" w:pos="1440"/>
        </w:tabs>
        <w:spacing w:after="0" w:line="240" w:lineRule="auto"/>
        <w:jc w:val="both"/>
        <w:rPr>
          <w:rFonts w:ascii="Cambria" w:eastAsia="Arial Unicode MS" w:hAnsi="Cambria"/>
          <w:color w:val="000000"/>
          <w:sz w:val="20"/>
          <w:szCs w:val="20"/>
          <w:lang w:val="es-ES"/>
        </w:rPr>
      </w:pPr>
    </w:p>
    <w:p w14:paraId="2FBB3DA9" w14:textId="77777777" w:rsidR="00667B72" w:rsidRPr="00B374AE" w:rsidRDefault="00DF3C21" w:rsidP="00667B72">
      <w:pPr>
        <w:tabs>
          <w:tab w:val="left" w:pos="720"/>
          <w:tab w:val="left" w:pos="144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t>En el asunto específico, la Comisión observó que no existió controversia entre las partes respecto de que, conforme al artículo 235 de la Constitución Política, el proceso penal seguido al señor Arboleda fue seguido ante la Corte Suprema de Justicia, en particular la Sala de Casación Penal. En este sentido, la CIDH determinó que</w:t>
      </w:r>
      <w:r w:rsidR="00667B72" w:rsidRPr="00B374AE">
        <w:rPr>
          <w:rFonts w:ascii="Cambria" w:eastAsia="Arial Unicode MS" w:hAnsi="Cambria"/>
          <w:color w:val="000000"/>
          <w:sz w:val="20"/>
          <w:szCs w:val="20"/>
          <w:lang w:val="es-ES"/>
        </w:rPr>
        <w:t xml:space="preserve"> el Estado colombiano </w:t>
      </w:r>
      <w:r w:rsidRPr="00B374AE">
        <w:rPr>
          <w:rFonts w:ascii="Cambria" w:eastAsia="Arial Unicode MS" w:hAnsi="Cambria"/>
          <w:color w:val="000000"/>
          <w:sz w:val="20"/>
          <w:szCs w:val="20"/>
          <w:lang w:val="es-ES"/>
        </w:rPr>
        <w:t>condenó en una</w:t>
      </w:r>
      <w:r w:rsidR="00667B72" w:rsidRPr="00B374AE">
        <w:rPr>
          <w:rFonts w:ascii="Cambria" w:eastAsia="Arial Unicode MS" w:hAnsi="Cambria"/>
          <w:color w:val="000000"/>
          <w:sz w:val="20"/>
          <w:szCs w:val="20"/>
          <w:lang w:val="es-ES"/>
        </w:rPr>
        <w:t xml:space="preserve"> instancia </w:t>
      </w:r>
      <w:r w:rsidRPr="00B374AE">
        <w:rPr>
          <w:rFonts w:ascii="Cambria" w:eastAsia="Arial Unicode MS" w:hAnsi="Cambria"/>
          <w:color w:val="000000"/>
          <w:sz w:val="20"/>
          <w:szCs w:val="20"/>
          <w:lang w:val="es-ES"/>
        </w:rPr>
        <w:t>a</w:t>
      </w:r>
      <w:r w:rsidR="00667B72" w:rsidRPr="00B374AE">
        <w:rPr>
          <w:rFonts w:ascii="Cambria" w:eastAsia="Arial Unicode MS" w:hAnsi="Cambria"/>
          <w:color w:val="000000"/>
          <w:sz w:val="20"/>
          <w:szCs w:val="20"/>
          <w:lang w:val="es-ES"/>
        </w:rPr>
        <w:t xml:space="preserve">l señor Arboleda, el cual no corresponde a un modelo compatible con la Convención Americana. </w:t>
      </w:r>
      <w:r w:rsidRPr="00B374AE">
        <w:rPr>
          <w:rFonts w:ascii="Cambria" w:eastAsia="Arial Unicode MS" w:hAnsi="Cambria"/>
          <w:color w:val="000000"/>
          <w:sz w:val="20"/>
          <w:szCs w:val="20"/>
          <w:lang w:val="es-ES"/>
        </w:rPr>
        <w:t xml:space="preserve"> </w:t>
      </w:r>
      <w:r w:rsidR="00667B72" w:rsidRPr="00B374AE">
        <w:rPr>
          <w:rFonts w:ascii="Cambria" w:eastAsia="Arial Unicode MS" w:hAnsi="Cambria"/>
          <w:color w:val="000000"/>
          <w:sz w:val="20"/>
          <w:szCs w:val="20"/>
          <w:lang w:val="es-ES"/>
        </w:rPr>
        <w:t>Sin perjuicio de ello, la Comisión examinó los recursos presentados por el señor Arboleda en contra de la sentencia emitida por la Sala de Casación Penal de la Corte Suprema</w:t>
      </w:r>
      <w:r w:rsidRPr="00B374AE">
        <w:rPr>
          <w:rFonts w:ascii="Cambria" w:eastAsia="Arial Unicode MS" w:hAnsi="Cambria"/>
          <w:color w:val="000000"/>
          <w:sz w:val="20"/>
          <w:szCs w:val="20"/>
          <w:lang w:val="es-ES"/>
        </w:rPr>
        <w:t xml:space="preserve"> para verificar si contó con la garantía establecida en el artículo 8.2h de la Convención</w:t>
      </w:r>
      <w:r w:rsidR="00667B72" w:rsidRPr="00B374AE">
        <w:rPr>
          <w:rFonts w:ascii="Cambria" w:eastAsia="Arial Unicode MS" w:hAnsi="Cambria"/>
          <w:color w:val="000000"/>
          <w:sz w:val="20"/>
          <w:szCs w:val="20"/>
          <w:lang w:val="es-ES"/>
        </w:rPr>
        <w:t xml:space="preserve">. </w:t>
      </w:r>
    </w:p>
    <w:p w14:paraId="3D394EF7" w14:textId="77777777" w:rsidR="00EC3D9D" w:rsidRPr="00B374AE" w:rsidRDefault="00EC3D9D" w:rsidP="00EC3D9D">
      <w:pPr>
        <w:spacing w:after="0" w:line="240" w:lineRule="auto"/>
        <w:jc w:val="both"/>
        <w:rPr>
          <w:rFonts w:ascii="Cambria" w:eastAsia="Arial Unicode MS" w:hAnsi="Cambria"/>
          <w:color w:val="000000"/>
          <w:sz w:val="20"/>
          <w:szCs w:val="20"/>
          <w:lang w:val="es-ES"/>
        </w:rPr>
      </w:pPr>
    </w:p>
    <w:p w14:paraId="5A973A03" w14:textId="77777777" w:rsidR="00667B72" w:rsidRPr="00B374AE" w:rsidRDefault="00EC3D9D" w:rsidP="00EC3D9D">
      <w:pPr>
        <w:tabs>
          <w:tab w:val="left" w:pos="720"/>
          <w:tab w:val="left" w:pos="810"/>
          <w:tab w:val="left" w:pos="144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r>
      <w:r w:rsidR="00667B72" w:rsidRPr="00B374AE">
        <w:rPr>
          <w:rFonts w:ascii="Cambria" w:eastAsia="Arial Unicode MS" w:hAnsi="Cambria"/>
          <w:color w:val="000000"/>
          <w:sz w:val="20"/>
          <w:szCs w:val="20"/>
          <w:lang w:val="es-ES"/>
        </w:rPr>
        <w:t>En relación con las acciones de revisión interpuestas, la Comisión manifestó que, dado su carácter excepcional y no ordinario, así como el haber sido conocidas por la misma instancia que emitió la sentencia, poseen una naturaleza y finalidad distintas a la garantía de doble conformidad de una sentencia condenatoria. Ello, toda vez que el procedimiento de revisión procede únicamente cuando la sentencia ya se encuentra firme y no satisface el requisito de ser un recurso amplio dado que no permiten un examen comprensivo de las cuestiones debatidas y analizadas por el tribunal que emitió la sentencia condenatoria.</w:t>
      </w:r>
      <w:r w:rsidR="00667B72" w:rsidRPr="00B374AE">
        <w:rPr>
          <w:lang w:val="es-ES_tradnl"/>
        </w:rPr>
        <w:t xml:space="preserve"> </w:t>
      </w:r>
    </w:p>
    <w:p w14:paraId="76996E96" w14:textId="77777777" w:rsidR="00667B72" w:rsidRPr="00B374AE" w:rsidRDefault="00667B72" w:rsidP="00667B72">
      <w:pPr>
        <w:tabs>
          <w:tab w:val="left" w:pos="360"/>
          <w:tab w:val="left" w:pos="1440"/>
        </w:tabs>
        <w:spacing w:after="0" w:line="240" w:lineRule="auto"/>
        <w:jc w:val="both"/>
        <w:rPr>
          <w:rFonts w:ascii="Cambria" w:eastAsia="Arial Unicode MS" w:hAnsi="Cambria"/>
          <w:color w:val="000000"/>
          <w:sz w:val="20"/>
          <w:szCs w:val="20"/>
          <w:lang w:val="es-ES"/>
        </w:rPr>
      </w:pPr>
    </w:p>
    <w:p w14:paraId="7734671A" w14:textId="77777777" w:rsidR="00667B72" w:rsidRPr="00B374AE" w:rsidRDefault="00FF256F" w:rsidP="00FF256F">
      <w:pPr>
        <w:tabs>
          <w:tab w:val="left" w:pos="360"/>
          <w:tab w:val="left" w:pos="72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r>
      <w:r w:rsidRPr="00B374AE">
        <w:rPr>
          <w:rFonts w:ascii="Cambria" w:eastAsia="Arial Unicode MS" w:hAnsi="Cambria"/>
          <w:color w:val="000000"/>
          <w:sz w:val="20"/>
          <w:szCs w:val="20"/>
          <w:lang w:val="es-ES"/>
        </w:rPr>
        <w:tab/>
      </w:r>
      <w:r w:rsidR="00667B72" w:rsidRPr="00B374AE">
        <w:rPr>
          <w:rFonts w:ascii="Cambria" w:eastAsia="Arial Unicode MS" w:hAnsi="Cambria"/>
          <w:color w:val="000000"/>
          <w:sz w:val="20"/>
          <w:szCs w:val="20"/>
          <w:lang w:val="es-ES"/>
        </w:rPr>
        <w:t>En cuanto a la acción de tutela, la Comisión estableció que ésta no garantizó un examen integral de la sentencia recurrida donde pudieran analizarse, ante un juez o tribunal superior, cuestiones fácticas, probatorias y jurídicas, resaltando además el carácter extraordinario de la misma. La Comisión también subrayó que la existencia de un recurso efectivo no se limita a estar previsto legalmente, sino que debe resultar idóneo para establecer si se ha incurrido en una violación a los derechos humanos y proveer lo necesario para remediarla. En virtud de lo señalado, la Comisión concluyó que el señor Arboleda no tuvo a su disposición un recurso que le permita garantizar su derecho a recurrir el fallo condenatorio ante un juez o tribunal superior, y que los recursos disponibles no resultaron adecuados ni efectivos para remediar la vulneración alegada.</w:t>
      </w:r>
    </w:p>
    <w:p w14:paraId="30643EF7" w14:textId="77777777" w:rsidR="00667B72" w:rsidRPr="00B374AE" w:rsidRDefault="00667B72" w:rsidP="00667B72">
      <w:pPr>
        <w:tabs>
          <w:tab w:val="left" w:pos="567"/>
          <w:tab w:val="left" w:pos="1440"/>
        </w:tabs>
        <w:spacing w:after="0" w:line="240" w:lineRule="auto"/>
        <w:jc w:val="both"/>
        <w:rPr>
          <w:rFonts w:ascii="Cambria" w:eastAsia="Arial Unicode MS" w:hAnsi="Cambria"/>
          <w:color w:val="000000"/>
          <w:sz w:val="20"/>
          <w:szCs w:val="20"/>
          <w:lang w:val="es-ES"/>
        </w:rPr>
      </w:pPr>
    </w:p>
    <w:p w14:paraId="10D06093" w14:textId="77777777" w:rsidR="004D7942" w:rsidRPr="00B374AE" w:rsidRDefault="00FF256F" w:rsidP="00DF3C21">
      <w:pPr>
        <w:tabs>
          <w:tab w:val="left" w:pos="720"/>
          <w:tab w:val="left" w:pos="1440"/>
        </w:tabs>
        <w:spacing w:after="0" w:line="240" w:lineRule="auto"/>
        <w:jc w:val="both"/>
        <w:rPr>
          <w:rFonts w:ascii="Cambria" w:eastAsia="Arial Unicode MS" w:hAnsi="Cambria"/>
          <w:color w:val="000000"/>
          <w:sz w:val="20"/>
          <w:szCs w:val="20"/>
          <w:lang w:val="es-ES"/>
        </w:rPr>
      </w:pPr>
      <w:r w:rsidRPr="00B374AE">
        <w:rPr>
          <w:rFonts w:ascii="Cambria" w:eastAsia="Arial Unicode MS" w:hAnsi="Cambria"/>
          <w:color w:val="000000"/>
          <w:sz w:val="20"/>
          <w:szCs w:val="20"/>
          <w:lang w:val="es-ES"/>
        </w:rPr>
        <w:tab/>
      </w:r>
      <w:r w:rsidR="00667B72" w:rsidRPr="00B374AE">
        <w:rPr>
          <w:rFonts w:ascii="Cambria" w:eastAsia="Arial Unicode MS" w:hAnsi="Cambria"/>
          <w:color w:val="000000"/>
          <w:sz w:val="20"/>
          <w:szCs w:val="20"/>
          <w:lang w:val="es-ES"/>
        </w:rPr>
        <w:t>Con base en dichas determinaciones, la Comisión concluyó que</w:t>
      </w:r>
      <w:r w:rsidR="00DF3C21" w:rsidRPr="00B374AE">
        <w:rPr>
          <w:rFonts w:ascii="Cambria" w:eastAsia="Arial Unicode MS" w:hAnsi="Cambria"/>
          <w:color w:val="000000"/>
          <w:sz w:val="20"/>
          <w:szCs w:val="20"/>
          <w:lang w:val="es-ES"/>
        </w:rPr>
        <w:t xml:space="preserve"> el Estado Colombia es responsable por la violación de los derechos establecidos en los artículos 8.2.h y 25.1 de la Convención Americana, en relación con los artículos 1.1 y 2 del mismo instrumento.</w:t>
      </w:r>
    </w:p>
    <w:p w14:paraId="2515AEE3" w14:textId="77777777" w:rsidR="00DF3C21" w:rsidRPr="00B374AE" w:rsidRDefault="00DF3C21" w:rsidP="00DF3C21">
      <w:pPr>
        <w:pStyle w:val="parrafos"/>
        <w:tabs>
          <w:tab w:val="left" w:pos="360"/>
        </w:tabs>
        <w:rPr>
          <w:lang w:val="es-ES"/>
        </w:rPr>
      </w:pPr>
    </w:p>
    <w:p w14:paraId="4BE2F8E1" w14:textId="77777777" w:rsidR="00DF3C21" w:rsidRPr="00B374AE" w:rsidRDefault="00DF3C21" w:rsidP="002A14D2">
      <w:pPr>
        <w:pStyle w:val="parrafos"/>
        <w:tabs>
          <w:tab w:val="left" w:pos="360"/>
        </w:tabs>
        <w:rPr>
          <w:lang w:val="es-ES_tradnl"/>
        </w:rPr>
      </w:pPr>
      <w:r w:rsidRPr="00B374AE">
        <w:rPr>
          <w:lang w:val="es-ES"/>
        </w:rPr>
        <w:tab/>
        <w:t xml:space="preserve">Finalmente, en su informe de fondo, la CIDH señaló no contar con elementos probatorios suficientes para determinar que </w:t>
      </w:r>
      <w:r w:rsidR="002A14D2" w:rsidRPr="00B374AE">
        <w:rPr>
          <w:lang w:val="es-ES"/>
        </w:rPr>
        <w:t xml:space="preserve">el señor Arboleda fuera afectado en su </w:t>
      </w:r>
      <w:r w:rsidRPr="00B374AE">
        <w:rPr>
          <w:lang w:val="es-ES_tradnl"/>
        </w:rPr>
        <w:t>derecho a contar con un juez, independiente e imparcial.</w:t>
      </w:r>
    </w:p>
    <w:p w14:paraId="5D72B557" w14:textId="77777777" w:rsidR="00DF3C21" w:rsidRPr="00B374AE" w:rsidRDefault="00DF3C21" w:rsidP="00DF3C21">
      <w:pPr>
        <w:tabs>
          <w:tab w:val="left" w:pos="720"/>
          <w:tab w:val="left" w:pos="1440"/>
        </w:tabs>
        <w:spacing w:after="0" w:line="240" w:lineRule="auto"/>
        <w:jc w:val="both"/>
        <w:rPr>
          <w:rFonts w:ascii="Cambria" w:eastAsia="Arial Unicode MS" w:hAnsi="Cambria"/>
          <w:color w:val="000000"/>
          <w:sz w:val="20"/>
          <w:szCs w:val="20"/>
          <w:lang w:val="es-ES"/>
        </w:rPr>
      </w:pPr>
    </w:p>
    <w:p w14:paraId="14A3B023" w14:textId="77777777" w:rsidR="00994D30" w:rsidRPr="00B374AE" w:rsidRDefault="00994D30" w:rsidP="007929FF">
      <w:pPr>
        <w:spacing w:after="0" w:line="240" w:lineRule="auto"/>
        <w:ind w:firstLine="720"/>
        <w:jc w:val="both"/>
        <w:rPr>
          <w:rFonts w:ascii="Cambria" w:hAnsi="Cambria"/>
          <w:sz w:val="20"/>
          <w:szCs w:val="20"/>
          <w:lang w:val="es-ES"/>
        </w:rPr>
      </w:pPr>
      <w:r w:rsidRPr="00B374AE">
        <w:rPr>
          <w:rFonts w:ascii="Cambria" w:hAnsi="Cambria" w:cs="Arial"/>
          <w:sz w:val="20"/>
          <w:szCs w:val="20"/>
          <w:lang w:val="es-CO"/>
        </w:rPr>
        <w:t xml:space="preserve">El </w:t>
      </w:r>
      <w:r w:rsidRPr="00B374AE">
        <w:rPr>
          <w:rFonts w:ascii="Cambria" w:hAnsi="Cambria"/>
          <w:sz w:val="20"/>
          <w:szCs w:val="20"/>
          <w:lang w:val="es-ES_tradnl"/>
        </w:rPr>
        <w:t>Estado</w:t>
      </w:r>
      <w:r w:rsidRPr="00B374AE">
        <w:rPr>
          <w:rFonts w:ascii="Cambria" w:hAnsi="Cambria" w:cs="Arial"/>
          <w:sz w:val="20"/>
          <w:szCs w:val="20"/>
          <w:lang w:val="es-CO"/>
        </w:rPr>
        <w:t xml:space="preserve"> de Colombia ratificó la Convención Americana sobre Derechos Humanos el 31 de julio de 1973 y aceptó la competencia contenciosa de la Corte el 21 de junio de 1985.</w:t>
      </w:r>
      <w:r w:rsidR="009C70A4" w:rsidRPr="00B374AE">
        <w:rPr>
          <w:rFonts w:ascii="Cambria" w:hAnsi="Cambria" w:cs="Arial"/>
          <w:sz w:val="20"/>
          <w:szCs w:val="20"/>
          <w:lang w:val="es-CO"/>
        </w:rPr>
        <w:t xml:space="preserve"> </w:t>
      </w:r>
    </w:p>
    <w:p w14:paraId="66A8E6E9" w14:textId="77777777" w:rsidR="00387D83" w:rsidRPr="00B374AE" w:rsidRDefault="00387D83" w:rsidP="007929FF">
      <w:pPr>
        <w:tabs>
          <w:tab w:val="left" w:pos="720"/>
          <w:tab w:val="left" w:pos="1440"/>
        </w:tabs>
        <w:spacing w:after="0" w:line="240" w:lineRule="auto"/>
        <w:jc w:val="both"/>
        <w:rPr>
          <w:rFonts w:ascii="Cambria" w:hAnsi="Cambria" w:cs="Calibri"/>
          <w:color w:val="FF0000"/>
          <w:sz w:val="20"/>
          <w:szCs w:val="20"/>
          <w:lang w:val="es-PE"/>
        </w:rPr>
      </w:pPr>
    </w:p>
    <w:p w14:paraId="78AF5B52" w14:textId="77777777" w:rsidR="00550A96" w:rsidRPr="00B374AE" w:rsidRDefault="00550A96" w:rsidP="00550A96">
      <w:pPr>
        <w:spacing w:after="0" w:line="240" w:lineRule="auto"/>
        <w:ind w:firstLine="720"/>
        <w:jc w:val="both"/>
        <w:rPr>
          <w:rFonts w:ascii="Cambria" w:hAnsi="Cambria" w:cs="Calibri"/>
          <w:color w:val="000000"/>
          <w:sz w:val="20"/>
          <w:szCs w:val="20"/>
          <w:lang w:val="es-ES"/>
        </w:rPr>
      </w:pPr>
      <w:r w:rsidRPr="00B374AE">
        <w:rPr>
          <w:rFonts w:ascii="Cambria" w:hAnsi="Cambria" w:cs="Calibri"/>
          <w:color w:val="000000"/>
          <w:sz w:val="20"/>
          <w:szCs w:val="20"/>
          <w:lang w:val="es-ES"/>
        </w:rPr>
        <w:t xml:space="preserve">La Comisión ha designado a la Comisionada Antonia Urrejola Noguera </w:t>
      </w:r>
      <w:r w:rsidR="00B7480B" w:rsidRPr="00B374AE">
        <w:rPr>
          <w:rFonts w:ascii="Cambria" w:hAnsi="Cambria" w:cs="Calibri"/>
          <w:color w:val="000000"/>
          <w:sz w:val="20"/>
          <w:szCs w:val="20"/>
          <w:lang w:val="es-ES"/>
        </w:rPr>
        <w:t xml:space="preserve">y la Secretaria Ejecutiva, Tania Reneaum, </w:t>
      </w:r>
      <w:r w:rsidR="00DD609C" w:rsidRPr="00B374AE">
        <w:rPr>
          <w:rFonts w:ascii="Cambria" w:hAnsi="Cambria" w:cs="Calibri"/>
          <w:color w:val="000000"/>
          <w:sz w:val="20"/>
          <w:szCs w:val="20"/>
          <w:lang w:val="es-ES"/>
        </w:rPr>
        <w:t>como su</w:t>
      </w:r>
      <w:r w:rsidR="00B7480B" w:rsidRPr="00B374AE">
        <w:rPr>
          <w:rFonts w:ascii="Cambria" w:hAnsi="Cambria" w:cs="Calibri"/>
          <w:color w:val="000000"/>
          <w:sz w:val="20"/>
          <w:szCs w:val="20"/>
          <w:lang w:val="es-ES"/>
        </w:rPr>
        <w:t>s</w:t>
      </w:r>
      <w:r w:rsidR="00DD609C" w:rsidRPr="00B374AE">
        <w:rPr>
          <w:rFonts w:ascii="Cambria" w:hAnsi="Cambria" w:cs="Calibri"/>
          <w:color w:val="000000"/>
          <w:sz w:val="20"/>
          <w:szCs w:val="20"/>
          <w:lang w:val="es-ES"/>
        </w:rPr>
        <w:t xml:space="preserve"> delegada</w:t>
      </w:r>
      <w:r w:rsidR="00B7480B" w:rsidRPr="00B374AE">
        <w:rPr>
          <w:rFonts w:ascii="Cambria" w:hAnsi="Cambria" w:cs="Calibri"/>
          <w:color w:val="000000"/>
          <w:sz w:val="20"/>
          <w:szCs w:val="20"/>
          <w:lang w:val="es-ES"/>
        </w:rPr>
        <w:t>s</w:t>
      </w:r>
      <w:r w:rsidRPr="00B374AE">
        <w:rPr>
          <w:rFonts w:ascii="Cambria" w:hAnsi="Cambria" w:cs="Calibri"/>
          <w:color w:val="000000"/>
          <w:sz w:val="20"/>
          <w:szCs w:val="20"/>
          <w:lang w:val="es-ES"/>
        </w:rPr>
        <w:t>. Asimismo, Marisol Blanchard Vera, Secretaria E</w:t>
      </w:r>
      <w:r w:rsidR="00825CC3" w:rsidRPr="00B374AE">
        <w:rPr>
          <w:rFonts w:ascii="Cambria" w:hAnsi="Cambria" w:cs="Calibri"/>
          <w:color w:val="000000"/>
          <w:sz w:val="20"/>
          <w:szCs w:val="20"/>
          <w:lang w:val="es-ES"/>
        </w:rPr>
        <w:t>jecutiva Adjunta</w:t>
      </w:r>
      <w:r w:rsidR="00621048" w:rsidRPr="00B374AE">
        <w:rPr>
          <w:rFonts w:ascii="Cambria" w:hAnsi="Cambria" w:cs="Calibri"/>
          <w:color w:val="000000"/>
          <w:sz w:val="20"/>
          <w:szCs w:val="20"/>
          <w:lang w:val="es-ES"/>
        </w:rPr>
        <w:t>,</w:t>
      </w:r>
      <w:r w:rsidR="00825CC3" w:rsidRPr="00B374AE">
        <w:rPr>
          <w:rFonts w:ascii="Cambria" w:hAnsi="Cambria" w:cs="Calibri"/>
          <w:color w:val="000000"/>
          <w:sz w:val="20"/>
          <w:szCs w:val="20"/>
          <w:lang w:val="es-ES"/>
        </w:rPr>
        <w:t xml:space="preserve"> </w:t>
      </w:r>
      <w:r w:rsidRPr="00B374AE">
        <w:rPr>
          <w:rFonts w:ascii="Cambria" w:hAnsi="Cambria" w:cs="Calibri"/>
          <w:color w:val="000000"/>
          <w:sz w:val="20"/>
          <w:szCs w:val="20"/>
          <w:lang w:val="es-ES"/>
        </w:rPr>
        <w:t>Jorge Humberto Meza Flores</w:t>
      </w:r>
      <w:r w:rsidR="00621048" w:rsidRPr="00B374AE">
        <w:rPr>
          <w:rFonts w:ascii="Cambria" w:hAnsi="Cambria" w:cs="Calibri"/>
          <w:color w:val="000000"/>
          <w:sz w:val="20"/>
          <w:szCs w:val="20"/>
          <w:lang w:val="es-ES"/>
        </w:rPr>
        <w:t xml:space="preserve"> y </w:t>
      </w:r>
      <w:r w:rsidR="00135F32" w:rsidRPr="00B374AE">
        <w:rPr>
          <w:rFonts w:ascii="Cambria" w:hAnsi="Cambria" w:cs="Calibri"/>
          <w:color w:val="000000"/>
          <w:sz w:val="20"/>
          <w:szCs w:val="20"/>
          <w:lang w:val="es-ES"/>
        </w:rPr>
        <w:t>Erick Acuña Pereda</w:t>
      </w:r>
      <w:r w:rsidRPr="00B374AE">
        <w:rPr>
          <w:rFonts w:ascii="Cambria" w:hAnsi="Cambria" w:cs="Calibri"/>
          <w:color w:val="000000"/>
          <w:sz w:val="20"/>
          <w:szCs w:val="20"/>
          <w:lang w:val="es-ES"/>
        </w:rPr>
        <w:t xml:space="preserve">, especialistas de la Secretaría Ejecutiva de la CIDH, </w:t>
      </w:r>
      <w:r w:rsidR="00DD609C" w:rsidRPr="00B374AE">
        <w:rPr>
          <w:rFonts w:ascii="Cambria" w:hAnsi="Cambria" w:cs="Calibri"/>
          <w:color w:val="000000"/>
          <w:sz w:val="20"/>
          <w:szCs w:val="20"/>
          <w:lang w:val="es-ES"/>
        </w:rPr>
        <w:t>actuarán como asesora y asesor</w:t>
      </w:r>
      <w:r w:rsidR="00B7480B" w:rsidRPr="00B374AE">
        <w:rPr>
          <w:rFonts w:ascii="Cambria" w:hAnsi="Cambria" w:cs="Calibri"/>
          <w:color w:val="000000"/>
          <w:sz w:val="20"/>
          <w:szCs w:val="20"/>
          <w:lang w:val="es-ES"/>
        </w:rPr>
        <w:t>es</w:t>
      </w:r>
      <w:r w:rsidR="00DD609C" w:rsidRPr="00B374AE">
        <w:rPr>
          <w:rFonts w:ascii="Cambria" w:hAnsi="Cambria" w:cs="Calibri"/>
          <w:color w:val="000000"/>
          <w:sz w:val="20"/>
          <w:szCs w:val="20"/>
          <w:lang w:val="es-ES"/>
        </w:rPr>
        <w:t xml:space="preserve"> legal</w:t>
      </w:r>
      <w:r w:rsidR="00621048" w:rsidRPr="00B374AE">
        <w:rPr>
          <w:rFonts w:ascii="Cambria" w:hAnsi="Cambria" w:cs="Calibri"/>
          <w:color w:val="000000"/>
          <w:sz w:val="20"/>
          <w:szCs w:val="20"/>
          <w:lang w:val="es-ES"/>
        </w:rPr>
        <w:t>es</w:t>
      </w:r>
      <w:r w:rsidR="00DD609C" w:rsidRPr="00B374AE">
        <w:rPr>
          <w:rFonts w:ascii="Cambria" w:hAnsi="Cambria" w:cs="Calibri"/>
          <w:color w:val="000000"/>
          <w:sz w:val="20"/>
          <w:szCs w:val="20"/>
          <w:lang w:val="es-ES"/>
        </w:rPr>
        <w:t>.</w:t>
      </w:r>
      <w:r w:rsidRPr="00B374AE">
        <w:rPr>
          <w:rFonts w:ascii="Cambria" w:hAnsi="Cambria" w:cs="Calibri"/>
          <w:color w:val="000000"/>
          <w:sz w:val="20"/>
          <w:szCs w:val="20"/>
          <w:lang w:val="es-ES"/>
        </w:rPr>
        <w:t xml:space="preserve"> </w:t>
      </w:r>
    </w:p>
    <w:p w14:paraId="7A4F6174" w14:textId="77777777" w:rsidR="00560F49" w:rsidRPr="00B374AE" w:rsidRDefault="00560F49" w:rsidP="007929FF">
      <w:pPr>
        <w:spacing w:after="0" w:line="240" w:lineRule="auto"/>
        <w:ind w:firstLine="720"/>
        <w:jc w:val="both"/>
        <w:rPr>
          <w:rFonts w:ascii="Cambria" w:hAnsi="Cambria" w:cs="Calibri"/>
          <w:color w:val="FF0000"/>
          <w:sz w:val="20"/>
          <w:szCs w:val="20"/>
          <w:lang w:val="es-ES"/>
        </w:rPr>
      </w:pPr>
    </w:p>
    <w:p w14:paraId="525AAB55" w14:textId="77777777" w:rsidR="00134158" w:rsidRPr="00B374AE" w:rsidRDefault="00134158" w:rsidP="00134158">
      <w:pPr>
        <w:tabs>
          <w:tab w:val="left" w:pos="360"/>
          <w:tab w:val="left" w:pos="720"/>
          <w:tab w:val="left" w:pos="2880"/>
        </w:tabs>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ab/>
      </w:r>
      <w:r w:rsidR="00621048" w:rsidRPr="00B374AE">
        <w:rPr>
          <w:rFonts w:ascii="Cambria" w:hAnsi="Cambria" w:cs="Calibri"/>
          <w:color w:val="000000"/>
          <w:sz w:val="20"/>
          <w:szCs w:val="20"/>
          <w:lang w:val="es-ES"/>
        </w:rPr>
        <w:tab/>
      </w:r>
      <w:r w:rsidRPr="00B374AE">
        <w:rPr>
          <w:rFonts w:ascii="Cambria" w:hAnsi="Cambria" w:cs="Calibri"/>
          <w:color w:val="000000"/>
          <w:sz w:val="20"/>
          <w:szCs w:val="20"/>
          <w:lang w:val="es-ES"/>
        </w:rPr>
        <w:t xml:space="preserve">De conformidad con el artículo 35 del Reglamento de la Corte Interamericana, la Comisión adjunta copia del Informe de Fondo No. </w:t>
      </w:r>
      <w:r w:rsidR="005261F9" w:rsidRPr="00B374AE">
        <w:rPr>
          <w:rFonts w:ascii="Cambria" w:hAnsi="Cambria" w:cs="Calibri"/>
          <w:color w:val="000000"/>
          <w:sz w:val="20"/>
          <w:szCs w:val="20"/>
          <w:lang w:val="es-ES"/>
        </w:rPr>
        <w:t>326</w:t>
      </w:r>
      <w:r w:rsidRPr="00B374AE">
        <w:rPr>
          <w:rFonts w:ascii="Cambria" w:hAnsi="Cambria" w:cs="Calibri"/>
          <w:color w:val="000000"/>
          <w:sz w:val="20"/>
          <w:szCs w:val="20"/>
          <w:lang w:val="es-ES"/>
        </w:rPr>
        <w:t>/</w:t>
      </w:r>
      <w:r w:rsidR="005261F9" w:rsidRPr="00B374AE">
        <w:rPr>
          <w:rFonts w:ascii="Cambria" w:hAnsi="Cambria" w:cs="Calibri"/>
          <w:color w:val="000000"/>
          <w:sz w:val="20"/>
          <w:szCs w:val="20"/>
          <w:lang w:val="es-ES"/>
        </w:rPr>
        <w:t>20</w:t>
      </w:r>
      <w:r w:rsidRPr="00B374AE">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w:t>
      </w:r>
      <w:r w:rsidR="00B7480B" w:rsidRPr="00B374AE">
        <w:rPr>
          <w:rFonts w:ascii="Cambria" w:hAnsi="Cambria" w:cs="Calibri"/>
          <w:color w:val="000000"/>
          <w:sz w:val="20"/>
          <w:szCs w:val="20"/>
          <w:lang w:val="es-ES"/>
        </w:rPr>
        <w:t xml:space="preserve">referido </w:t>
      </w:r>
      <w:r w:rsidRPr="00B374AE">
        <w:rPr>
          <w:rFonts w:ascii="Cambria" w:hAnsi="Cambria" w:cs="Calibri"/>
          <w:color w:val="000000"/>
          <w:sz w:val="20"/>
          <w:szCs w:val="20"/>
          <w:lang w:val="es-ES"/>
        </w:rPr>
        <w:t xml:space="preserve">informe (Anexos). </w:t>
      </w:r>
    </w:p>
    <w:p w14:paraId="7B6BB005" w14:textId="77777777" w:rsidR="00134158" w:rsidRDefault="00134158" w:rsidP="00134158">
      <w:pPr>
        <w:spacing w:after="0" w:line="240" w:lineRule="auto"/>
        <w:ind w:firstLine="720"/>
        <w:jc w:val="both"/>
        <w:rPr>
          <w:rFonts w:ascii="Cambria" w:hAnsi="Cambria" w:cs="Calibri"/>
          <w:color w:val="000000"/>
          <w:sz w:val="20"/>
          <w:szCs w:val="20"/>
          <w:lang w:val="es-ES"/>
        </w:rPr>
      </w:pPr>
    </w:p>
    <w:p w14:paraId="6D4CAF58" w14:textId="77777777" w:rsidR="00E062D6" w:rsidRPr="00B374AE" w:rsidRDefault="00E062D6" w:rsidP="00134158">
      <w:pPr>
        <w:spacing w:after="0" w:line="240" w:lineRule="auto"/>
        <w:ind w:firstLine="720"/>
        <w:jc w:val="both"/>
        <w:rPr>
          <w:rFonts w:ascii="Cambria" w:hAnsi="Cambria" w:cs="Calibri"/>
          <w:color w:val="000000"/>
          <w:sz w:val="20"/>
          <w:szCs w:val="20"/>
          <w:lang w:val="es-ES"/>
        </w:rPr>
      </w:pPr>
    </w:p>
    <w:p w14:paraId="31EFA2CE" w14:textId="77777777" w:rsidR="00134158" w:rsidRPr="00B374AE" w:rsidRDefault="00134158" w:rsidP="00220370">
      <w:pPr>
        <w:tabs>
          <w:tab w:val="left" w:pos="810"/>
        </w:tabs>
        <w:spacing w:after="0" w:line="240" w:lineRule="auto"/>
        <w:ind w:firstLine="720"/>
        <w:jc w:val="both"/>
        <w:rPr>
          <w:rFonts w:ascii="Cambria" w:hAnsi="Cambria" w:cs="Calibri"/>
          <w:color w:val="000000"/>
          <w:sz w:val="20"/>
          <w:szCs w:val="20"/>
          <w:lang w:val="es-AR"/>
        </w:rPr>
      </w:pPr>
      <w:r w:rsidRPr="00B374AE">
        <w:rPr>
          <w:rFonts w:ascii="Cambria" w:hAnsi="Cambria" w:cs="Calibri"/>
          <w:color w:val="000000"/>
          <w:sz w:val="20"/>
          <w:szCs w:val="20"/>
          <w:lang w:val="es-ES"/>
        </w:rPr>
        <w:t xml:space="preserve">Dicho Informe de Fondo fue notificado al Estado el </w:t>
      </w:r>
      <w:r w:rsidR="005261F9" w:rsidRPr="00B374AE">
        <w:rPr>
          <w:rFonts w:ascii="Cambria" w:hAnsi="Cambria" w:cs="Calibri"/>
          <w:color w:val="000000"/>
          <w:sz w:val="20"/>
          <w:szCs w:val="20"/>
          <w:lang w:val="es-ES"/>
        </w:rPr>
        <w:t>30 de diciembre de 2020</w:t>
      </w:r>
      <w:r w:rsidRPr="00B374AE">
        <w:rPr>
          <w:rFonts w:ascii="Cambria" w:hAnsi="Cambria" w:cs="Calibri"/>
          <w:color w:val="000000"/>
          <w:sz w:val="20"/>
          <w:szCs w:val="20"/>
          <w:lang w:val="es-ES"/>
        </w:rPr>
        <w:t xml:space="preserve">. </w:t>
      </w:r>
      <w:r w:rsidRPr="00B374AE">
        <w:rPr>
          <w:rFonts w:ascii="Cambria" w:hAnsi="Cambria" w:cs="Calibri"/>
          <w:color w:val="000000"/>
          <w:sz w:val="20"/>
          <w:szCs w:val="20"/>
          <w:lang w:val="es-AR"/>
        </w:rPr>
        <w:t xml:space="preserve">Tras el otorgamiento por parte de la CIDH de </w:t>
      </w:r>
      <w:r w:rsidR="00EB7F64" w:rsidRPr="00B374AE">
        <w:rPr>
          <w:rFonts w:ascii="Cambria" w:hAnsi="Cambria" w:cs="Calibri"/>
          <w:color w:val="000000"/>
          <w:sz w:val="20"/>
          <w:szCs w:val="20"/>
          <w:lang w:val="es-AR"/>
        </w:rPr>
        <w:t>dos</w:t>
      </w:r>
      <w:r w:rsidRPr="00B374AE">
        <w:rPr>
          <w:rFonts w:ascii="Cambria" w:hAnsi="Cambria" w:cs="Calibri"/>
          <w:color w:val="000000"/>
          <w:sz w:val="20"/>
          <w:szCs w:val="20"/>
          <w:lang w:val="es-AR"/>
        </w:rPr>
        <w:t xml:space="preserve"> prórroga</w:t>
      </w:r>
      <w:r w:rsidR="003F2A7D" w:rsidRPr="00B374AE">
        <w:rPr>
          <w:rFonts w:ascii="Cambria" w:hAnsi="Cambria" w:cs="Calibri"/>
          <w:color w:val="000000"/>
          <w:sz w:val="20"/>
          <w:szCs w:val="20"/>
          <w:lang w:val="es-AR"/>
        </w:rPr>
        <w:t>s</w:t>
      </w:r>
      <w:r w:rsidRPr="00B374AE">
        <w:rPr>
          <w:rFonts w:ascii="Cambria" w:hAnsi="Cambria" w:cs="Calibri"/>
          <w:color w:val="000000"/>
          <w:sz w:val="20"/>
          <w:szCs w:val="20"/>
          <w:lang w:val="es-AR"/>
        </w:rPr>
        <w:t xml:space="preserve">, el </w:t>
      </w:r>
      <w:r w:rsidR="00EB7F64" w:rsidRPr="00B374AE">
        <w:rPr>
          <w:rFonts w:ascii="Cambria" w:hAnsi="Cambria" w:cs="Calibri"/>
          <w:color w:val="000000"/>
          <w:sz w:val="20"/>
          <w:szCs w:val="20"/>
          <w:lang w:val="es-AR"/>
        </w:rPr>
        <w:t>16 de septiembre</w:t>
      </w:r>
      <w:r w:rsidRPr="00B374AE">
        <w:rPr>
          <w:rFonts w:ascii="Cambria" w:hAnsi="Cambria" w:cs="Calibri"/>
          <w:color w:val="000000"/>
          <w:sz w:val="20"/>
          <w:szCs w:val="20"/>
          <w:lang w:val="es-AR"/>
        </w:rPr>
        <w:t xml:space="preserve"> de 202</w:t>
      </w:r>
      <w:r w:rsidR="003F2A7D" w:rsidRPr="00B374AE">
        <w:rPr>
          <w:rFonts w:ascii="Cambria" w:hAnsi="Cambria" w:cs="Calibri"/>
          <w:color w:val="000000"/>
          <w:sz w:val="20"/>
          <w:szCs w:val="20"/>
          <w:lang w:val="es-AR"/>
        </w:rPr>
        <w:t>1</w:t>
      </w:r>
      <w:r w:rsidRPr="00B374AE">
        <w:rPr>
          <w:rFonts w:ascii="Cambria" w:hAnsi="Cambria" w:cs="Calibri"/>
          <w:color w:val="000000"/>
          <w:sz w:val="20"/>
          <w:szCs w:val="20"/>
          <w:lang w:val="es-AR"/>
        </w:rPr>
        <w:t xml:space="preserve"> el Estado </w:t>
      </w:r>
      <w:r w:rsidR="00EB7F64" w:rsidRPr="00B374AE">
        <w:rPr>
          <w:rFonts w:ascii="Cambria" w:hAnsi="Cambria" w:cs="Calibri"/>
          <w:color w:val="000000"/>
          <w:sz w:val="20"/>
          <w:szCs w:val="20"/>
          <w:lang w:val="es-AR"/>
        </w:rPr>
        <w:t xml:space="preserve">envió su tercer informe sobre el cumplimiento de las </w:t>
      </w:r>
      <w:r w:rsidR="00220370" w:rsidRPr="00B374AE">
        <w:rPr>
          <w:rFonts w:ascii="Cambria" w:hAnsi="Cambria" w:cs="Calibri"/>
          <w:color w:val="000000"/>
          <w:sz w:val="20"/>
          <w:szCs w:val="20"/>
          <w:lang w:val="es-AR"/>
        </w:rPr>
        <w:t>rec</w:t>
      </w:r>
      <w:r w:rsidR="00B04FEA" w:rsidRPr="00B374AE">
        <w:rPr>
          <w:rFonts w:ascii="Cambria" w:hAnsi="Cambria" w:cs="Calibri"/>
          <w:color w:val="000000"/>
          <w:sz w:val="20"/>
          <w:szCs w:val="20"/>
          <w:lang w:val="es-AR"/>
        </w:rPr>
        <w:t>o</w:t>
      </w:r>
      <w:r w:rsidR="00220370" w:rsidRPr="00B374AE">
        <w:rPr>
          <w:rFonts w:ascii="Cambria" w:hAnsi="Cambria" w:cs="Calibri"/>
          <w:color w:val="000000"/>
          <w:sz w:val="20"/>
          <w:szCs w:val="20"/>
          <w:lang w:val="es-AR"/>
        </w:rPr>
        <w:t>mendaciones.</w:t>
      </w:r>
      <w:r w:rsidRPr="00B374AE">
        <w:rPr>
          <w:rFonts w:ascii="Cambria" w:hAnsi="Cambria" w:cs="Calibri"/>
          <w:color w:val="000000"/>
          <w:sz w:val="20"/>
          <w:szCs w:val="20"/>
          <w:lang w:val="es-AR"/>
        </w:rPr>
        <w:t xml:space="preserve"> </w:t>
      </w:r>
      <w:r w:rsidR="00220370" w:rsidRPr="00B374AE">
        <w:rPr>
          <w:rFonts w:ascii="Cambria" w:hAnsi="Cambria" w:cs="Calibri"/>
          <w:color w:val="000000"/>
          <w:sz w:val="20"/>
          <w:szCs w:val="20"/>
          <w:lang w:val="es-AR"/>
        </w:rPr>
        <w:t xml:space="preserve">En dicho informe el Estado no solicitó una nueva prórroga y pidió a la CIDH </w:t>
      </w:r>
      <w:r w:rsidR="00220370" w:rsidRPr="00B374AE">
        <w:rPr>
          <w:rFonts w:ascii="Cambria" w:eastAsia="Times New Roman" w:hAnsi="Cambria" w:cs="Cambria"/>
          <w:sz w:val="20"/>
          <w:szCs w:val="20"/>
          <w:lang w:val="es-CO"/>
        </w:rPr>
        <w:t xml:space="preserve">que valore los esfuerzos que en materia normativa y jurisprudencial se han adelantado para asegurar el derecho a impugnar el primer fallo condenatorio en materia penal en Colombia. Tras evaluar la información aportada por las partes, la CIDH </w:t>
      </w:r>
      <w:r w:rsidR="002A14D2" w:rsidRPr="00B374AE">
        <w:rPr>
          <w:rFonts w:ascii="Cambria" w:eastAsia="Times New Roman" w:hAnsi="Cambria" w:cs="Cambria"/>
          <w:sz w:val="20"/>
          <w:szCs w:val="20"/>
          <w:lang w:val="es-CO"/>
        </w:rPr>
        <w:t xml:space="preserve">valoró </w:t>
      </w:r>
      <w:r w:rsidR="00220370" w:rsidRPr="00B374AE">
        <w:rPr>
          <w:rFonts w:ascii="Cambria" w:eastAsia="Times New Roman" w:hAnsi="Cambria" w:cs="Cambria"/>
          <w:sz w:val="20"/>
          <w:szCs w:val="20"/>
          <w:lang w:val="es-CO"/>
        </w:rPr>
        <w:t xml:space="preserve">que, en el caso concreto, </w:t>
      </w:r>
      <w:r w:rsidR="002A14D2" w:rsidRPr="00B374AE">
        <w:rPr>
          <w:rFonts w:ascii="Cambria" w:eastAsia="Times New Roman" w:hAnsi="Cambria" w:cs="Cambria"/>
          <w:sz w:val="20"/>
          <w:szCs w:val="20"/>
          <w:lang w:val="es-CO"/>
        </w:rPr>
        <w:t>si bien el Estado ha adoptado diversas medidas tendientes a garantizar el derecho contenido en el artículo 8.2h), tales medidas no habían tenido impacto en reparar las violaciones declaradas en el informe de fondo en perjuicio de la víctima, no existiendo avances sustantivos en ese sentido, ni</w:t>
      </w:r>
      <w:r w:rsidR="00220370" w:rsidRPr="00B374AE">
        <w:rPr>
          <w:rFonts w:ascii="Cambria" w:eastAsia="Times New Roman" w:hAnsi="Cambria" w:cs="Cambria"/>
          <w:sz w:val="20"/>
          <w:szCs w:val="20"/>
          <w:lang w:val="es-CO"/>
        </w:rPr>
        <w:t xml:space="preserve"> </w:t>
      </w:r>
      <w:r w:rsidR="002A14D2" w:rsidRPr="00B374AE">
        <w:rPr>
          <w:rFonts w:ascii="Cambria" w:eastAsia="Times New Roman" w:hAnsi="Cambria" w:cs="Cambria"/>
          <w:sz w:val="20"/>
          <w:szCs w:val="20"/>
          <w:lang w:val="es-CO"/>
        </w:rPr>
        <w:t>expect</w:t>
      </w:r>
      <w:r w:rsidR="002A14D2" w:rsidRPr="00B374AE">
        <w:rPr>
          <w:rFonts w:ascii="Cambria" w:hAnsi="Cambria"/>
          <w:sz w:val="20"/>
          <w:szCs w:val="20"/>
          <w:lang w:val="es-CO"/>
        </w:rPr>
        <w:t>ativa</w:t>
      </w:r>
      <w:r w:rsidR="00220370" w:rsidRPr="00B374AE">
        <w:rPr>
          <w:rFonts w:ascii="Cambria" w:hAnsi="Cambria"/>
          <w:sz w:val="20"/>
          <w:szCs w:val="20"/>
          <w:lang w:val="es-CO"/>
        </w:rPr>
        <w:t xml:space="preserve"> de cumplimiento integral ante la CIDH. En virtud de ello, teniendo en cuenta </w:t>
      </w:r>
      <w:r w:rsidR="00B04FEA" w:rsidRPr="00B374AE">
        <w:rPr>
          <w:rFonts w:ascii="Cambria" w:hAnsi="Cambria"/>
          <w:sz w:val="20"/>
          <w:szCs w:val="20"/>
          <w:lang w:val="es-CO"/>
        </w:rPr>
        <w:t xml:space="preserve">que el Estado no solicitó una nueva prórroga, así como </w:t>
      </w:r>
      <w:r w:rsidR="00220370" w:rsidRPr="00B374AE">
        <w:rPr>
          <w:rFonts w:ascii="Cambria" w:hAnsi="Cambria"/>
          <w:sz w:val="20"/>
          <w:szCs w:val="20"/>
          <w:lang w:val="es-CO"/>
        </w:rPr>
        <w:t xml:space="preserve">la necesidad de justicia y reparación para la víctima, </w:t>
      </w:r>
      <w:r w:rsidRPr="00B374AE">
        <w:rPr>
          <w:rFonts w:ascii="Cambria" w:eastAsia="Times New Roman" w:hAnsi="Cambria" w:cs="Cambria"/>
          <w:sz w:val="20"/>
          <w:szCs w:val="20"/>
          <w:lang w:val="es-CO"/>
        </w:rPr>
        <w:t>la Comisión</w:t>
      </w:r>
      <w:r w:rsidRPr="00B374AE">
        <w:rPr>
          <w:rFonts w:ascii="Cambria" w:eastAsia="Times New Roman" w:hAnsi="Cambria" w:cs="Courier New"/>
          <w:sz w:val="20"/>
          <w:szCs w:val="20"/>
          <w:lang w:val="es-ES"/>
        </w:rPr>
        <w:t xml:space="preserve"> Interamericana decidió someter el presente caso a la jurisdicción de la Corte Interamericana.</w:t>
      </w:r>
    </w:p>
    <w:p w14:paraId="51457899" w14:textId="77777777" w:rsidR="00134158" w:rsidRPr="00B374AE" w:rsidRDefault="00134158" w:rsidP="00134158">
      <w:pPr>
        <w:tabs>
          <w:tab w:val="left" w:pos="810"/>
        </w:tabs>
        <w:spacing w:after="0" w:line="240" w:lineRule="auto"/>
        <w:ind w:firstLine="720"/>
        <w:jc w:val="both"/>
        <w:rPr>
          <w:rFonts w:ascii="Cambria" w:hAnsi="Cambria" w:cs="Calibri"/>
          <w:color w:val="000000"/>
          <w:sz w:val="20"/>
          <w:szCs w:val="20"/>
          <w:lang w:val="es-AR"/>
        </w:rPr>
      </w:pPr>
    </w:p>
    <w:p w14:paraId="71307586" w14:textId="77777777" w:rsidR="00FB1831" w:rsidRPr="00B374AE" w:rsidRDefault="00134158" w:rsidP="00FB1831">
      <w:pPr>
        <w:tabs>
          <w:tab w:val="left" w:pos="720"/>
          <w:tab w:val="left" w:pos="1440"/>
        </w:tabs>
        <w:spacing w:after="0" w:line="240" w:lineRule="auto"/>
        <w:jc w:val="both"/>
        <w:rPr>
          <w:rFonts w:ascii="Cambria" w:hAnsi="Cambria"/>
          <w:sz w:val="20"/>
          <w:szCs w:val="20"/>
          <w:lang w:val="es-ES"/>
        </w:rPr>
      </w:pPr>
      <w:r w:rsidRPr="00B374AE">
        <w:rPr>
          <w:rFonts w:cs="Calibri"/>
          <w:lang w:val="es-CO"/>
        </w:rPr>
        <w:tab/>
      </w:r>
      <w:r w:rsidRPr="00B374AE">
        <w:rPr>
          <w:rFonts w:ascii="Cambria" w:hAnsi="Cambria" w:cs="Calibri"/>
          <w:color w:val="000000"/>
          <w:sz w:val="20"/>
          <w:szCs w:val="20"/>
          <w:lang w:val="es-ES"/>
        </w:rPr>
        <w:t xml:space="preserve">En ese sentido, la Comisión solicita a la Honorable Corte que concluya y declare que el Estado de Colombia es responsable por la violación </w:t>
      </w:r>
      <w:r w:rsidRPr="00B374AE">
        <w:rPr>
          <w:rFonts w:ascii="Cambria" w:hAnsi="Cambria"/>
          <w:sz w:val="20"/>
          <w:szCs w:val="20"/>
          <w:lang w:val="es-AR"/>
        </w:rPr>
        <w:t xml:space="preserve">de los </w:t>
      </w:r>
      <w:r w:rsidR="00FB1831" w:rsidRPr="00B374AE">
        <w:rPr>
          <w:rFonts w:ascii="Cambria" w:hAnsi="Cambria"/>
          <w:sz w:val="20"/>
          <w:szCs w:val="20"/>
          <w:lang w:val="es-ES"/>
        </w:rPr>
        <w:t xml:space="preserve">derechos a las garantías judiciales y a la protección judicial establecidos en los artículos 8 y 25 de la Convención Americana sobre Derechos Humanos, en relación con las obligaciones establecidas en su artículo 1.1. </w:t>
      </w:r>
      <w:r w:rsidR="00DF3C21" w:rsidRPr="00B374AE">
        <w:rPr>
          <w:rFonts w:ascii="Cambria" w:hAnsi="Cambria"/>
          <w:sz w:val="20"/>
          <w:szCs w:val="20"/>
          <w:lang w:val="es-ES"/>
        </w:rPr>
        <w:t>y 2 del mismo instrumento.</w:t>
      </w:r>
    </w:p>
    <w:p w14:paraId="6B197DC1" w14:textId="77777777" w:rsidR="00134158" w:rsidRPr="00B374AE" w:rsidRDefault="00134158" w:rsidP="00134158">
      <w:pPr>
        <w:tabs>
          <w:tab w:val="left" w:pos="360"/>
          <w:tab w:val="left" w:pos="720"/>
          <w:tab w:val="left" w:pos="1440"/>
        </w:tabs>
        <w:spacing w:after="0" w:line="240" w:lineRule="auto"/>
        <w:jc w:val="both"/>
        <w:rPr>
          <w:rFonts w:ascii="Cambria" w:hAnsi="Cambria" w:cs="Calibri"/>
          <w:color w:val="000000"/>
          <w:sz w:val="20"/>
          <w:szCs w:val="20"/>
          <w:lang w:val="es-ES"/>
        </w:rPr>
      </w:pPr>
    </w:p>
    <w:p w14:paraId="4BFA3A7E" w14:textId="77777777" w:rsidR="00134158" w:rsidRPr="00B374AE" w:rsidRDefault="00134158" w:rsidP="00134158">
      <w:pPr>
        <w:tabs>
          <w:tab w:val="left" w:pos="810"/>
        </w:tabs>
        <w:autoSpaceDE w:val="0"/>
        <w:autoSpaceDN w:val="0"/>
        <w:adjustRightInd w:val="0"/>
        <w:spacing w:after="0" w:line="240" w:lineRule="auto"/>
        <w:ind w:firstLine="720"/>
        <w:jc w:val="both"/>
        <w:rPr>
          <w:rFonts w:ascii="Cambria" w:hAnsi="Cambria" w:cs="Calibri"/>
          <w:color w:val="000000"/>
          <w:sz w:val="20"/>
          <w:szCs w:val="20"/>
          <w:lang w:val="es-CO"/>
        </w:rPr>
      </w:pPr>
      <w:r w:rsidRPr="00B374AE">
        <w:rPr>
          <w:rFonts w:ascii="Cambria" w:hAnsi="Cambria" w:cs="Calibri"/>
          <w:color w:val="000000"/>
          <w:sz w:val="20"/>
          <w:szCs w:val="20"/>
          <w:lang w:val="es-ES"/>
        </w:rPr>
        <w:t xml:space="preserve">En consecuencia, la Comisión solicita a la Corte Interamericana que </w:t>
      </w:r>
      <w:r w:rsidRPr="00B374AE">
        <w:rPr>
          <w:rFonts w:ascii="Cambria" w:hAnsi="Cambria" w:cs="Calibri"/>
          <w:color w:val="000000"/>
          <w:sz w:val="20"/>
          <w:szCs w:val="20"/>
          <w:lang w:val="es-CO"/>
        </w:rPr>
        <w:t>establezca las siguientes medidas de reparación:</w:t>
      </w:r>
    </w:p>
    <w:p w14:paraId="59A2C478" w14:textId="77777777" w:rsidR="00134158" w:rsidRPr="00B374AE" w:rsidRDefault="00134158" w:rsidP="00134158">
      <w:pPr>
        <w:spacing w:after="0" w:line="240" w:lineRule="auto"/>
        <w:ind w:firstLine="720"/>
        <w:jc w:val="both"/>
        <w:rPr>
          <w:rFonts w:ascii="Cambria" w:hAnsi="Cambria" w:cs="Calibri"/>
          <w:color w:val="000000"/>
          <w:sz w:val="20"/>
          <w:szCs w:val="20"/>
          <w:lang w:val="es-ES"/>
        </w:rPr>
      </w:pPr>
    </w:p>
    <w:p w14:paraId="5458217C" w14:textId="77777777" w:rsidR="00DA126E" w:rsidRPr="00B374AE" w:rsidRDefault="00DA126E" w:rsidP="00DA126E">
      <w:pPr>
        <w:spacing w:after="0" w:line="240" w:lineRule="auto"/>
        <w:ind w:left="720" w:right="720" w:firstLine="720"/>
        <w:jc w:val="both"/>
        <w:rPr>
          <w:rFonts w:ascii="Cambria" w:hAnsi="Cambria" w:cs="Calibri"/>
          <w:color w:val="000000"/>
          <w:sz w:val="20"/>
          <w:szCs w:val="20"/>
          <w:lang w:val="es-ES"/>
        </w:rPr>
      </w:pPr>
    </w:p>
    <w:p w14:paraId="54096F7B" w14:textId="77777777" w:rsidR="00FB1831" w:rsidRPr="00B374AE" w:rsidRDefault="00FB1831" w:rsidP="00326031">
      <w:pPr>
        <w:numPr>
          <w:ilvl w:val="1"/>
          <w:numId w:val="13"/>
        </w:numPr>
        <w:tabs>
          <w:tab w:val="left" w:pos="720"/>
          <w:tab w:val="left" w:pos="1080"/>
        </w:tabs>
        <w:suppressAutoHyphens/>
        <w:spacing w:after="0" w:line="240" w:lineRule="auto"/>
        <w:ind w:left="720" w:right="720" w:firstLine="0"/>
        <w:jc w:val="both"/>
        <w:rPr>
          <w:rFonts w:ascii="Cambria" w:hAnsi="Cambria"/>
          <w:sz w:val="20"/>
          <w:szCs w:val="20"/>
          <w:lang w:val="es-MX"/>
        </w:rPr>
      </w:pPr>
      <w:r w:rsidRPr="00B374AE">
        <w:rPr>
          <w:rFonts w:ascii="Cambria" w:hAnsi="Cambria"/>
          <w:sz w:val="20"/>
          <w:szCs w:val="20"/>
          <w:lang w:val="es-MX"/>
        </w:rPr>
        <w:t xml:space="preserve">Disponer una reparación integral por las violaciones declaradas en el informe de fondo, incluyendo una compensación adecuada a favor de Saulo Arboleda Gómez. </w:t>
      </w:r>
    </w:p>
    <w:p w14:paraId="0906AEEF" w14:textId="77777777" w:rsidR="00E270FF" w:rsidRPr="00B374AE" w:rsidRDefault="00E270FF" w:rsidP="00E270FF">
      <w:pPr>
        <w:tabs>
          <w:tab w:val="left" w:pos="720"/>
          <w:tab w:val="left" w:pos="1080"/>
        </w:tabs>
        <w:suppressAutoHyphens/>
        <w:spacing w:after="0" w:line="240" w:lineRule="auto"/>
        <w:ind w:left="720" w:right="720"/>
        <w:jc w:val="both"/>
        <w:rPr>
          <w:rFonts w:ascii="Cambria" w:hAnsi="Cambria"/>
          <w:sz w:val="20"/>
          <w:szCs w:val="20"/>
          <w:lang w:val="es-MX"/>
        </w:rPr>
      </w:pPr>
    </w:p>
    <w:p w14:paraId="6071B3DB" w14:textId="77777777" w:rsidR="00FB1831" w:rsidRPr="00B374AE" w:rsidRDefault="00FB1831" w:rsidP="00FB1831">
      <w:pPr>
        <w:numPr>
          <w:ilvl w:val="1"/>
          <w:numId w:val="13"/>
        </w:numPr>
        <w:tabs>
          <w:tab w:val="left" w:pos="720"/>
          <w:tab w:val="left" w:pos="1080"/>
        </w:tabs>
        <w:suppressAutoHyphens/>
        <w:spacing w:after="0" w:line="240" w:lineRule="auto"/>
        <w:ind w:left="720" w:right="720" w:firstLine="0"/>
        <w:jc w:val="both"/>
        <w:rPr>
          <w:rFonts w:ascii="Cambria" w:hAnsi="Cambria"/>
          <w:sz w:val="20"/>
          <w:szCs w:val="20"/>
          <w:lang w:val="es-MX"/>
        </w:rPr>
      </w:pPr>
      <w:r w:rsidRPr="00B374AE">
        <w:rPr>
          <w:rFonts w:ascii="Cambria" w:hAnsi="Cambria"/>
          <w:sz w:val="20"/>
          <w:szCs w:val="20"/>
          <w:lang w:val="es-MX"/>
        </w:rPr>
        <w:t>Disponer las medidas necesarias para que, a la brevedad posible Saulo Arboleda Gómez pueda interponer un recurso mediante el cual obtengan una revisión de su sentencia condenatoria, si así lo desea, en cumplimiento del artículo 8.2.h de la Convención Americana, conforme a los estándares establecidos en el informe de fondo.</w:t>
      </w:r>
    </w:p>
    <w:p w14:paraId="050DB8C5" w14:textId="77777777" w:rsidR="00FB1831" w:rsidRPr="00B374AE" w:rsidRDefault="00FB1831" w:rsidP="00FB1831">
      <w:pPr>
        <w:pStyle w:val="Prrafodelista"/>
        <w:tabs>
          <w:tab w:val="left" w:pos="720"/>
          <w:tab w:val="left" w:pos="1080"/>
        </w:tabs>
        <w:rPr>
          <w:sz w:val="20"/>
          <w:szCs w:val="20"/>
          <w:lang w:val="es-MX"/>
        </w:rPr>
      </w:pPr>
    </w:p>
    <w:p w14:paraId="7A7619BB" w14:textId="77777777" w:rsidR="00FB1831" w:rsidRPr="00B374AE" w:rsidRDefault="00FB1831" w:rsidP="00FB1831">
      <w:pPr>
        <w:numPr>
          <w:ilvl w:val="1"/>
          <w:numId w:val="13"/>
        </w:numPr>
        <w:tabs>
          <w:tab w:val="left" w:pos="720"/>
          <w:tab w:val="left" w:pos="1080"/>
        </w:tabs>
        <w:suppressAutoHyphens/>
        <w:spacing w:after="0" w:line="240" w:lineRule="auto"/>
        <w:ind w:left="720" w:right="720" w:firstLine="0"/>
        <w:jc w:val="both"/>
        <w:rPr>
          <w:rFonts w:ascii="Cambria" w:hAnsi="Cambria"/>
          <w:sz w:val="20"/>
          <w:szCs w:val="20"/>
          <w:lang w:val="es-MX"/>
        </w:rPr>
      </w:pPr>
      <w:r w:rsidRPr="00B374AE">
        <w:rPr>
          <w:rFonts w:ascii="Cambria" w:hAnsi="Cambria"/>
          <w:sz w:val="20"/>
          <w:szCs w:val="20"/>
          <w:lang w:val="es-MX"/>
        </w:rPr>
        <w:t>Adoptar las medidas legislativas a efectos de asegurar que su normativa sea compatible con el artículo 8.2.h de la Convención Americana, conforme a los estándares establecidos en el informe de fondo.</w:t>
      </w:r>
    </w:p>
    <w:p w14:paraId="1FC615AB" w14:textId="77777777" w:rsidR="00FB1831" w:rsidRPr="00B374AE" w:rsidRDefault="00FB1831" w:rsidP="00DA126E">
      <w:pPr>
        <w:spacing w:after="0" w:line="240" w:lineRule="auto"/>
        <w:ind w:left="720" w:right="720" w:firstLine="720"/>
        <w:jc w:val="both"/>
        <w:rPr>
          <w:rFonts w:ascii="Cambria" w:hAnsi="Cambria"/>
          <w:sz w:val="20"/>
          <w:szCs w:val="20"/>
          <w:lang w:val="es-MX"/>
        </w:rPr>
      </w:pPr>
    </w:p>
    <w:p w14:paraId="0D3A08FB" w14:textId="77777777" w:rsidR="00407FA4" w:rsidRPr="00B374AE" w:rsidRDefault="003F6D69" w:rsidP="003F6D69">
      <w:pPr>
        <w:pStyle w:val="Prrafodelista"/>
        <w:tabs>
          <w:tab w:val="left" w:pos="720"/>
        </w:tabs>
        <w:ind w:left="0"/>
        <w:jc w:val="both"/>
        <w:rPr>
          <w:rFonts w:cs="Calibri"/>
          <w:sz w:val="20"/>
          <w:szCs w:val="20"/>
          <w:lang w:val="es-ES"/>
        </w:rPr>
      </w:pPr>
      <w:r w:rsidRPr="00B374AE">
        <w:rPr>
          <w:rFonts w:cs="Calibri"/>
          <w:sz w:val="20"/>
          <w:szCs w:val="20"/>
          <w:lang w:val="es-ES"/>
        </w:rPr>
        <w:tab/>
      </w:r>
      <w:r w:rsidR="00134158" w:rsidRPr="00B374AE">
        <w:rPr>
          <w:rFonts w:cs="Calibri"/>
          <w:sz w:val="20"/>
          <w:szCs w:val="20"/>
          <w:lang w:val="es-ES"/>
        </w:rPr>
        <w:t xml:space="preserve">Además de la necesidad de obtención de justicia y reparación por la falta de cumplimiento de las recomendaciones del Informe de Fondo, la Comisión considera que el caso presenta cuestiones de orden público interamericano. </w:t>
      </w:r>
      <w:r w:rsidR="002634B8" w:rsidRPr="00B374AE">
        <w:rPr>
          <w:rFonts w:cs="Calibri"/>
          <w:sz w:val="20"/>
          <w:szCs w:val="20"/>
          <w:lang w:val="es-ES"/>
        </w:rPr>
        <w:t xml:space="preserve">El presente caso permitirá a la Corte Interamericana </w:t>
      </w:r>
      <w:r w:rsidRPr="00B374AE">
        <w:rPr>
          <w:rFonts w:cs="Calibri"/>
          <w:sz w:val="20"/>
          <w:szCs w:val="20"/>
          <w:lang w:val="es-ES"/>
        </w:rPr>
        <w:t xml:space="preserve">continuar desarrollando su jurisprudencia sobre los derechos a las garantías judiciales y a la protección judicial. En particular, </w:t>
      </w:r>
      <w:r w:rsidR="00407FA4" w:rsidRPr="00B374AE">
        <w:rPr>
          <w:rFonts w:cs="Calibri"/>
          <w:sz w:val="20"/>
          <w:szCs w:val="20"/>
          <w:lang w:val="es-ES"/>
        </w:rPr>
        <w:t xml:space="preserve">sobre </w:t>
      </w:r>
      <w:r w:rsidRPr="00B374AE">
        <w:rPr>
          <w:rFonts w:cs="Calibri"/>
          <w:sz w:val="20"/>
          <w:szCs w:val="20"/>
          <w:lang w:val="es-ES"/>
        </w:rPr>
        <w:t>los estándares relativos</w:t>
      </w:r>
      <w:r w:rsidR="00407FA4" w:rsidRPr="00B374AE">
        <w:rPr>
          <w:rFonts w:cs="Calibri"/>
          <w:sz w:val="20"/>
          <w:szCs w:val="20"/>
          <w:lang w:val="es-ES"/>
        </w:rPr>
        <w:t xml:space="preserve"> al derecho </w:t>
      </w:r>
      <w:r w:rsidR="00165C12" w:rsidRPr="00B374AE">
        <w:rPr>
          <w:rFonts w:cs="Calibri"/>
          <w:sz w:val="20"/>
          <w:szCs w:val="20"/>
          <w:lang w:val="es-ES"/>
        </w:rPr>
        <w:t>a</w:t>
      </w:r>
      <w:r w:rsidR="00407FA4" w:rsidRPr="00B374AE">
        <w:rPr>
          <w:rFonts w:cs="Calibri"/>
          <w:sz w:val="20"/>
          <w:szCs w:val="20"/>
          <w:lang w:val="es-ES"/>
        </w:rPr>
        <w:t xml:space="preserve"> recurrir una sentencia condenatoria </w:t>
      </w:r>
      <w:r w:rsidR="00165C12" w:rsidRPr="00B374AE">
        <w:rPr>
          <w:rFonts w:cs="Calibri"/>
          <w:sz w:val="20"/>
          <w:szCs w:val="20"/>
          <w:lang w:val="es-ES"/>
        </w:rPr>
        <w:t xml:space="preserve">dictada </w:t>
      </w:r>
      <w:r w:rsidR="00407FA4" w:rsidRPr="00B374AE">
        <w:rPr>
          <w:rFonts w:cs="Calibri"/>
          <w:sz w:val="20"/>
          <w:szCs w:val="20"/>
          <w:lang w:val="es-ES"/>
        </w:rPr>
        <w:t xml:space="preserve">en un proceso penal llevado a cabo ante una corte superior en única instancia. Asimismo, permitirá a la Corte pronunciarse sobre el momento </w:t>
      </w:r>
      <w:r w:rsidR="00165C12" w:rsidRPr="00B374AE">
        <w:rPr>
          <w:rFonts w:cs="Calibri"/>
          <w:sz w:val="20"/>
          <w:szCs w:val="20"/>
          <w:lang w:val="es-ES"/>
        </w:rPr>
        <w:t>a partir del cual surge la obligación del Estado de proporcionar un recurso que permita revisar una sentencia condenatoria de única instancia.</w:t>
      </w:r>
    </w:p>
    <w:p w14:paraId="06774015" w14:textId="77777777" w:rsidR="00134158" w:rsidRPr="00B374AE" w:rsidRDefault="00134158" w:rsidP="003F6D69">
      <w:pPr>
        <w:tabs>
          <w:tab w:val="left" w:pos="720"/>
        </w:tabs>
        <w:spacing w:after="0" w:line="240" w:lineRule="auto"/>
        <w:ind w:firstLine="720"/>
        <w:jc w:val="both"/>
        <w:rPr>
          <w:rFonts w:ascii="Cambria" w:eastAsia="Times New Roman" w:hAnsi="Cambria" w:cs="Cambria"/>
          <w:sz w:val="20"/>
          <w:szCs w:val="20"/>
          <w:lang w:val="es-ES"/>
        </w:rPr>
      </w:pPr>
    </w:p>
    <w:p w14:paraId="27E21044" w14:textId="77777777" w:rsidR="00134158" w:rsidRPr="00B374AE" w:rsidRDefault="00134158" w:rsidP="00134158">
      <w:pPr>
        <w:pStyle w:val="Encabezado"/>
        <w:tabs>
          <w:tab w:val="left" w:pos="720"/>
        </w:tabs>
        <w:jc w:val="both"/>
        <w:rPr>
          <w:rFonts w:ascii="Cambria" w:hAnsi="Cambria" w:cs="Calibri"/>
          <w:color w:val="000000"/>
          <w:sz w:val="20"/>
          <w:szCs w:val="20"/>
          <w:lang w:val="es-ES"/>
        </w:rPr>
      </w:pPr>
      <w:r w:rsidRPr="00B374AE">
        <w:rPr>
          <w:rFonts w:ascii="Cambria" w:hAnsi="Cambria" w:cs="Calibri"/>
          <w:color w:val="000000"/>
          <w:sz w:val="20"/>
          <w:szCs w:val="20"/>
          <w:lang w:val="es-ES"/>
        </w:rPr>
        <w:tab/>
        <w:t xml:space="preserve">En virtud de que estas cuestiones afectan de manera relevante el orden público interamericano, de conformidad con el artículo 35.1 f) del Reglamento de la Corte Interamericana, la Comisión se permite ofrecer la siguiente declaración pericial: </w:t>
      </w:r>
    </w:p>
    <w:p w14:paraId="2696C1BE" w14:textId="77777777" w:rsidR="00134158" w:rsidRPr="00B374AE" w:rsidRDefault="00134158" w:rsidP="00134158">
      <w:pPr>
        <w:spacing w:after="0" w:line="240" w:lineRule="auto"/>
        <w:ind w:firstLine="720"/>
        <w:jc w:val="both"/>
        <w:rPr>
          <w:rFonts w:ascii="Cambria" w:hAnsi="Cambria" w:cs="Calibri"/>
          <w:color w:val="000000"/>
          <w:sz w:val="20"/>
          <w:szCs w:val="20"/>
          <w:lang w:val="es-ES"/>
        </w:rPr>
      </w:pPr>
    </w:p>
    <w:p w14:paraId="009362FB" w14:textId="77777777" w:rsidR="007B40BC" w:rsidRPr="00B374AE" w:rsidRDefault="00B23917" w:rsidP="00B23917">
      <w:pPr>
        <w:pStyle w:val="Prrafodelista"/>
        <w:tabs>
          <w:tab w:val="left" w:pos="720"/>
        </w:tabs>
        <w:ind w:left="0"/>
        <w:jc w:val="both"/>
        <w:rPr>
          <w:rFonts w:cs="Calibri"/>
          <w:sz w:val="20"/>
          <w:szCs w:val="20"/>
          <w:lang w:val="es-ES"/>
        </w:rPr>
      </w:pPr>
      <w:r w:rsidRPr="00B374AE">
        <w:rPr>
          <w:rFonts w:cs="Calibri"/>
          <w:b/>
          <w:sz w:val="20"/>
          <w:szCs w:val="20"/>
          <w:lang w:val="es-ES"/>
        </w:rPr>
        <w:tab/>
      </w:r>
      <w:r w:rsidR="00134158" w:rsidRPr="00B374AE">
        <w:rPr>
          <w:rFonts w:cs="Calibri"/>
          <w:b/>
          <w:sz w:val="20"/>
          <w:szCs w:val="20"/>
          <w:lang w:val="es-ES"/>
        </w:rPr>
        <w:t>Perito/a, cuyo nombre será informado a la brevedad</w:t>
      </w:r>
      <w:r w:rsidR="00134158" w:rsidRPr="00B374AE">
        <w:rPr>
          <w:rFonts w:cs="Calibri"/>
          <w:sz w:val="20"/>
          <w:szCs w:val="20"/>
          <w:lang w:val="es-ES"/>
        </w:rPr>
        <w:t xml:space="preserve">, quien declarará </w:t>
      </w:r>
      <w:r w:rsidR="00A75B1C" w:rsidRPr="00B374AE">
        <w:rPr>
          <w:rFonts w:eastAsia="Times New Roman"/>
          <w:sz w:val="20"/>
          <w:szCs w:val="20"/>
          <w:lang w:val="es-CO"/>
        </w:rPr>
        <w:t>sobre</w:t>
      </w:r>
      <w:r w:rsidR="008655DF" w:rsidRPr="00B374AE">
        <w:rPr>
          <w:rFonts w:eastAsia="Times New Roman"/>
          <w:sz w:val="20"/>
          <w:szCs w:val="20"/>
          <w:lang w:val="es-CO"/>
        </w:rPr>
        <w:t xml:space="preserve"> </w:t>
      </w:r>
      <w:r w:rsidR="004E4F7C" w:rsidRPr="00B374AE">
        <w:rPr>
          <w:rFonts w:eastAsia="Times New Roman"/>
          <w:sz w:val="20"/>
          <w:szCs w:val="20"/>
          <w:lang w:val="es-CO"/>
        </w:rPr>
        <w:t xml:space="preserve">la obligación internacional del Estado de garantizar el derecho </w:t>
      </w:r>
      <w:r w:rsidR="004E4F7C" w:rsidRPr="00B374AE">
        <w:rPr>
          <w:rFonts w:cs="Calibri"/>
          <w:sz w:val="20"/>
          <w:szCs w:val="20"/>
          <w:lang w:val="es-ES"/>
        </w:rPr>
        <w:t xml:space="preserve">a recurrir </w:t>
      </w:r>
      <w:r w:rsidR="005E2A2C" w:rsidRPr="00B374AE">
        <w:rPr>
          <w:rFonts w:cs="Calibri"/>
          <w:sz w:val="20"/>
          <w:szCs w:val="20"/>
          <w:lang w:val="es-ES"/>
        </w:rPr>
        <w:t>s</w:t>
      </w:r>
      <w:r w:rsidR="004E4F7C" w:rsidRPr="00B374AE">
        <w:rPr>
          <w:rFonts w:cs="Calibri"/>
          <w:sz w:val="20"/>
          <w:szCs w:val="20"/>
          <w:lang w:val="es-ES"/>
        </w:rPr>
        <w:t>entencia</w:t>
      </w:r>
      <w:r w:rsidR="005E2A2C" w:rsidRPr="00B374AE">
        <w:rPr>
          <w:rFonts w:cs="Calibri"/>
          <w:sz w:val="20"/>
          <w:szCs w:val="20"/>
          <w:lang w:val="es-ES"/>
        </w:rPr>
        <w:t>s</w:t>
      </w:r>
      <w:r w:rsidR="004E4F7C" w:rsidRPr="00B374AE">
        <w:rPr>
          <w:rFonts w:cs="Calibri"/>
          <w:sz w:val="20"/>
          <w:szCs w:val="20"/>
          <w:lang w:val="es-ES"/>
        </w:rPr>
        <w:t xml:space="preserve"> condenatoria</w:t>
      </w:r>
      <w:r w:rsidR="005E2A2C" w:rsidRPr="00B374AE">
        <w:rPr>
          <w:rFonts w:cs="Calibri"/>
          <w:sz w:val="20"/>
          <w:szCs w:val="20"/>
          <w:lang w:val="es-ES"/>
        </w:rPr>
        <w:t>s</w:t>
      </w:r>
      <w:r w:rsidR="004E4F7C" w:rsidRPr="00B374AE">
        <w:rPr>
          <w:rFonts w:cs="Calibri"/>
          <w:sz w:val="20"/>
          <w:szCs w:val="20"/>
          <w:lang w:val="es-ES"/>
        </w:rPr>
        <w:t xml:space="preserve"> dictada</w:t>
      </w:r>
      <w:r w:rsidR="005E2A2C" w:rsidRPr="00B374AE">
        <w:rPr>
          <w:rFonts w:cs="Calibri"/>
          <w:sz w:val="20"/>
          <w:szCs w:val="20"/>
          <w:lang w:val="es-ES"/>
        </w:rPr>
        <w:t>s</w:t>
      </w:r>
      <w:r w:rsidR="004E4F7C" w:rsidRPr="00B374AE">
        <w:rPr>
          <w:rFonts w:cs="Calibri"/>
          <w:sz w:val="20"/>
          <w:szCs w:val="20"/>
          <w:lang w:val="es-ES"/>
        </w:rPr>
        <w:t xml:space="preserve"> en proceso</w:t>
      </w:r>
      <w:r w:rsidR="005E2A2C" w:rsidRPr="00B374AE">
        <w:rPr>
          <w:rFonts w:cs="Calibri"/>
          <w:sz w:val="20"/>
          <w:szCs w:val="20"/>
          <w:lang w:val="es-ES"/>
        </w:rPr>
        <w:t>s</w:t>
      </w:r>
      <w:r w:rsidR="004E4F7C" w:rsidRPr="00B374AE">
        <w:rPr>
          <w:rFonts w:cs="Calibri"/>
          <w:sz w:val="20"/>
          <w:szCs w:val="20"/>
          <w:lang w:val="es-ES"/>
        </w:rPr>
        <w:t xml:space="preserve"> penal</w:t>
      </w:r>
      <w:r w:rsidR="005E2A2C" w:rsidRPr="00B374AE">
        <w:rPr>
          <w:rFonts w:cs="Calibri"/>
          <w:sz w:val="20"/>
          <w:szCs w:val="20"/>
          <w:lang w:val="es-ES"/>
        </w:rPr>
        <w:t>es</w:t>
      </w:r>
      <w:r w:rsidR="004E4F7C" w:rsidRPr="00B374AE">
        <w:rPr>
          <w:rFonts w:cs="Calibri"/>
          <w:sz w:val="20"/>
          <w:szCs w:val="20"/>
          <w:lang w:val="es-ES"/>
        </w:rPr>
        <w:t xml:space="preserve"> </w:t>
      </w:r>
      <w:r w:rsidR="005E2A2C" w:rsidRPr="00B374AE">
        <w:rPr>
          <w:rFonts w:cs="Calibri"/>
          <w:sz w:val="20"/>
          <w:szCs w:val="20"/>
          <w:lang w:val="es-ES"/>
        </w:rPr>
        <w:t>de única instancia</w:t>
      </w:r>
      <w:r w:rsidR="00E17692" w:rsidRPr="00B374AE">
        <w:rPr>
          <w:rFonts w:cs="Calibri"/>
          <w:sz w:val="20"/>
          <w:szCs w:val="20"/>
          <w:lang w:val="es-ES"/>
        </w:rPr>
        <w:t>, inclusive cuando son juzgados por los tribunales de mayor jerarquía del Estado</w:t>
      </w:r>
      <w:r w:rsidR="004E4F7C" w:rsidRPr="00B374AE">
        <w:rPr>
          <w:rFonts w:cs="Calibri"/>
          <w:sz w:val="20"/>
          <w:szCs w:val="20"/>
          <w:lang w:val="es-ES"/>
        </w:rPr>
        <w:t xml:space="preserve">. </w:t>
      </w:r>
      <w:r w:rsidR="005E2A2C" w:rsidRPr="00B374AE">
        <w:rPr>
          <w:rFonts w:eastAsia="Times New Roman"/>
          <w:sz w:val="20"/>
          <w:szCs w:val="20"/>
          <w:lang w:val="es-CO"/>
        </w:rPr>
        <w:t>En particular, el/la perito/a se referirá al alcance de esta obligación y a</w:t>
      </w:r>
      <w:r w:rsidR="004E4F7C" w:rsidRPr="00B374AE">
        <w:rPr>
          <w:rFonts w:cs="Calibri"/>
          <w:sz w:val="20"/>
          <w:szCs w:val="20"/>
          <w:lang w:val="es-ES"/>
        </w:rPr>
        <w:t xml:space="preserve">l momento a partir del cual </w:t>
      </w:r>
      <w:r w:rsidR="005E2A2C" w:rsidRPr="00B374AE">
        <w:rPr>
          <w:rFonts w:cs="Calibri"/>
          <w:sz w:val="20"/>
          <w:szCs w:val="20"/>
          <w:lang w:val="es-ES"/>
        </w:rPr>
        <w:t xml:space="preserve">nace la </w:t>
      </w:r>
      <w:r w:rsidRPr="00B374AE">
        <w:rPr>
          <w:rFonts w:cs="Calibri"/>
          <w:sz w:val="20"/>
          <w:szCs w:val="20"/>
          <w:lang w:val="es-ES"/>
        </w:rPr>
        <w:t xml:space="preserve">obligación del Estado de proporcionar un recurso que permita revisar una sentencia condenatoria de única </w:t>
      </w:r>
      <w:r w:rsidRPr="00B374AE">
        <w:rPr>
          <w:rFonts w:cs="Calibri"/>
          <w:sz w:val="20"/>
          <w:szCs w:val="20"/>
          <w:lang w:val="es-ES"/>
        </w:rPr>
        <w:lastRenderedPageBreak/>
        <w:t>instancia</w:t>
      </w:r>
      <w:r w:rsidR="004E4F7C" w:rsidRPr="00B374AE">
        <w:rPr>
          <w:rFonts w:cs="Calibri"/>
          <w:sz w:val="20"/>
          <w:szCs w:val="20"/>
          <w:lang w:val="es-ES"/>
        </w:rPr>
        <w:t>.</w:t>
      </w:r>
      <w:r w:rsidR="00A75B1C" w:rsidRPr="00B374AE">
        <w:rPr>
          <w:rFonts w:eastAsia="Times New Roman"/>
          <w:sz w:val="20"/>
          <w:szCs w:val="20"/>
          <w:lang w:val="es-CO"/>
        </w:rPr>
        <w:t xml:space="preserve"> </w:t>
      </w:r>
      <w:r w:rsidR="007B40BC" w:rsidRPr="00B374AE">
        <w:rPr>
          <w:rFonts w:cs="Calibri"/>
          <w:sz w:val="20"/>
          <w:szCs w:val="20"/>
          <w:lang w:val="es-ES"/>
        </w:rPr>
        <w:t>Para ejemplificar el desarrollo de su peritaje, el/la perito/a podrá referirse a los hechos del caso.</w:t>
      </w:r>
      <w:r w:rsidR="007B40BC" w:rsidRPr="00B374AE">
        <w:rPr>
          <w:rFonts w:eastAsia="Times New Roman"/>
          <w:sz w:val="20"/>
          <w:szCs w:val="20"/>
          <w:lang w:val="es-ES"/>
        </w:rPr>
        <w:t xml:space="preserve"> </w:t>
      </w:r>
      <w:r w:rsidR="007B40BC" w:rsidRPr="00B374AE">
        <w:rPr>
          <w:rFonts w:cs="Calibri"/>
          <w:sz w:val="20"/>
          <w:szCs w:val="20"/>
          <w:lang w:val="es-ES"/>
        </w:rPr>
        <w:t>En la medida de lo pertinente, el/la perito/a se referirá a otros sistemas internacionales de protección de derechos humanos y al derecho comparado.</w:t>
      </w:r>
    </w:p>
    <w:p w14:paraId="3148D934" w14:textId="77777777" w:rsidR="008B1E59" w:rsidRPr="00B374AE" w:rsidRDefault="008B1E59" w:rsidP="00134158">
      <w:pPr>
        <w:spacing w:after="0" w:line="240" w:lineRule="auto"/>
        <w:jc w:val="both"/>
        <w:rPr>
          <w:rFonts w:ascii="Cambria" w:hAnsi="Cambria" w:cs="Calibri"/>
          <w:color w:val="000000"/>
          <w:sz w:val="20"/>
          <w:szCs w:val="20"/>
          <w:lang w:val="es-ES"/>
        </w:rPr>
      </w:pPr>
    </w:p>
    <w:p w14:paraId="52C16533" w14:textId="77777777" w:rsidR="00134158" w:rsidRPr="00B374AE" w:rsidRDefault="00134158" w:rsidP="008B1E59">
      <w:pPr>
        <w:spacing w:after="0" w:line="240" w:lineRule="auto"/>
        <w:ind w:firstLine="720"/>
        <w:jc w:val="both"/>
        <w:rPr>
          <w:rFonts w:ascii="Cambria" w:hAnsi="Cambria" w:cs="Calibri"/>
          <w:color w:val="000000"/>
          <w:sz w:val="20"/>
          <w:szCs w:val="20"/>
          <w:lang w:val="es-ES"/>
        </w:rPr>
      </w:pPr>
      <w:r w:rsidRPr="00B374AE">
        <w:rPr>
          <w:rFonts w:ascii="Cambria" w:hAnsi="Cambria" w:cs="Calibri"/>
          <w:color w:val="000000"/>
          <w:sz w:val="20"/>
          <w:szCs w:val="20"/>
          <w:lang w:val="es-ES"/>
        </w:rPr>
        <w:t>El CV del/</w:t>
      </w:r>
      <w:r w:rsidR="005E2A2C" w:rsidRPr="00B374AE">
        <w:rPr>
          <w:rFonts w:ascii="Cambria" w:hAnsi="Cambria" w:cs="Calibri"/>
          <w:color w:val="000000"/>
          <w:sz w:val="20"/>
          <w:szCs w:val="20"/>
          <w:lang w:val="es-ES"/>
        </w:rPr>
        <w:t>de la</w:t>
      </w:r>
      <w:r w:rsidRPr="00B374AE">
        <w:rPr>
          <w:rFonts w:ascii="Cambria" w:hAnsi="Cambria" w:cs="Calibri"/>
          <w:color w:val="000000"/>
          <w:sz w:val="20"/>
          <w:szCs w:val="20"/>
          <w:lang w:val="es-ES"/>
        </w:rPr>
        <w:t xml:space="preserve"> perito/</w:t>
      </w:r>
      <w:r w:rsidR="005E2A2C" w:rsidRPr="00B374AE">
        <w:rPr>
          <w:rFonts w:ascii="Cambria" w:hAnsi="Cambria" w:cs="Calibri"/>
          <w:color w:val="000000"/>
          <w:sz w:val="20"/>
          <w:szCs w:val="20"/>
          <w:lang w:val="es-ES"/>
        </w:rPr>
        <w:t>a</w:t>
      </w:r>
      <w:r w:rsidRPr="00B374AE">
        <w:rPr>
          <w:rFonts w:ascii="Cambria" w:hAnsi="Cambria" w:cs="Calibri"/>
          <w:color w:val="000000"/>
          <w:sz w:val="20"/>
          <w:szCs w:val="20"/>
          <w:lang w:val="es-ES"/>
        </w:rPr>
        <w:t xml:space="preserve"> propuesto/a será incluido en los anexos al Informe de Fondo No. </w:t>
      </w:r>
      <w:r w:rsidR="005E2A2C" w:rsidRPr="00B374AE">
        <w:rPr>
          <w:rFonts w:ascii="Cambria" w:hAnsi="Cambria" w:cs="Calibri"/>
          <w:color w:val="000000"/>
          <w:sz w:val="20"/>
          <w:szCs w:val="20"/>
          <w:lang w:val="es-ES"/>
        </w:rPr>
        <w:t>326/20</w:t>
      </w:r>
      <w:r w:rsidRPr="00B374AE">
        <w:rPr>
          <w:rFonts w:ascii="Cambria" w:hAnsi="Cambria" w:cs="Calibri"/>
          <w:color w:val="000000"/>
          <w:sz w:val="20"/>
          <w:szCs w:val="20"/>
          <w:lang w:val="es-ES"/>
        </w:rPr>
        <w:t xml:space="preserve">. </w:t>
      </w:r>
    </w:p>
    <w:p w14:paraId="60543B8A" w14:textId="77777777" w:rsidR="008B1E59" w:rsidRPr="00B374AE" w:rsidRDefault="008B1E59" w:rsidP="00134158">
      <w:pPr>
        <w:spacing w:after="0" w:line="240" w:lineRule="auto"/>
        <w:jc w:val="both"/>
        <w:rPr>
          <w:rFonts w:ascii="Cambria" w:hAnsi="Cambria" w:cs="Calibri"/>
          <w:color w:val="000000"/>
          <w:sz w:val="20"/>
          <w:szCs w:val="20"/>
          <w:lang w:val="es-ES"/>
        </w:rPr>
      </w:pPr>
    </w:p>
    <w:p w14:paraId="1A7D15C5" w14:textId="77777777" w:rsidR="00134158" w:rsidRPr="00B374AE" w:rsidRDefault="00134158" w:rsidP="00134158">
      <w:pPr>
        <w:spacing w:after="0" w:line="240" w:lineRule="auto"/>
        <w:jc w:val="both"/>
        <w:rPr>
          <w:rFonts w:ascii="Cambria" w:hAnsi="Cambria" w:cs="Calibri"/>
          <w:color w:val="000000"/>
          <w:sz w:val="20"/>
          <w:szCs w:val="20"/>
          <w:lang w:val="es-ES"/>
        </w:rPr>
      </w:pPr>
      <w:r w:rsidRPr="00B374AE">
        <w:rPr>
          <w:rFonts w:ascii="Cambria" w:hAnsi="Cambria"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4BB8EAFA" w14:textId="77777777" w:rsidR="00134158" w:rsidRPr="00B374AE" w:rsidRDefault="00134158" w:rsidP="00E062D6">
      <w:pPr>
        <w:spacing w:after="0" w:line="240" w:lineRule="auto"/>
        <w:jc w:val="center"/>
        <w:rPr>
          <w:rFonts w:ascii="Cambria" w:hAnsi="Cambria" w:cs="Calibri"/>
          <w:color w:val="000000"/>
          <w:sz w:val="20"/>
          <w:szCs w:val="20"/>
          <w:lang w:val="es-ES"/>
        </w:rPr>
      </w:pPr>
    </w:p>
    <w:p w14:paraId="101B4C72" w14:textId="77777777" w:rsidR="00E062D6" w:rsidRPr="00E062D6" w:rsidRDefault="00E062D6" w:rsidP="00E062D6">
      <w:pPr>
        <w:spacing w:after="0" w:line="240" w:lineRule="auto"/>
        <w:jc w:val="center"/>
        <w:rPr>
          <w:rFonts w:cs="Calibri"/>
          <w:bCs/>
          <w:iCs/>
          <w:lang w:val="es-ES"/>
        </w:rPr>
      </w:pPr>
      <w:r>
        <w:rPr>
          <w:rFonts w:cs="Calibri"/>
          <w:bCs/>
          <w:iCs/>
          <w:lang w:val="es-ES"/>
        </w:rPr>
        <w:t>Saulo Arboleda Gómez</w:t>
      </w:r>
    </w:p>
    <w:p w14:paraId="025059CE" w14:textId="77777777" w:rsidR="00E062D6" w:rsidRPr="00EE6B55" w:rsidRDefault="00EE6B55" w:rsidP="00E062D6">
      <w:pPr>
        <w:spacing w:after="0" w:line="240" w:lineRule="auto"/>
        <w:jc w:val="center"/>
        <w:rPr>
          <w:rFonts w:cs="Calibri"/>
          <w:bCs/>
          <w:iCs/>
          <w:highlight w:val="black"/>
          <w:lang w:val="es-ES"/>
        </w:rPr>
      </w:pPr>
      <w:r w:rsidRPr="00EE6B55">
        <w:rPr>
          <w:rFonts w:cs="Calibri"/>
          <w:bCs/>
          <w:iCs/>
          <w:highlight w:val="black"/>
          <w:lang w:val="es-ES"/>
        </w:rPr>
        <w:t>XXXXXXXXXXXXXXXXXXXXX</w:t>
      </w:r>
    </w:p>
    <w:p w14:paraId="5F91E3A3" w14:textId="77777777" w:rsidR="00E062D6" w:rsidRDefault="00E062D6" w:rsidP="00E062D6">
      <w:pPr>
        <w:spacing w:after="0" w:line="240" w:lineRule="auto"/>
        <w:jc w:val="center"/>
        <w:rPr>
          <w:lang w:val="es-ES"/>
        </w:rPr>
      </w:pPr>
    </w:p>
    <w:p w14:paraId="7AD6E012" w14:textId="77777777" w:rsidR="00E062D6" w:rsidRDefault="00E062D6" w:rsidP="00E062D6">
      <w:pPr>
        <w:spacing w:after="0" w:line="240" w:lineRule="auto"/>
        <w:jc w:val="center"/>
        <w:rPr>
          <w:rFonts w:cs="Calibri"/>
          <w:bCs/>
          <w:iCs/>
          <w:lang w:val="es-ES"/>
        </w:rPr>
      </w:pPr>
      <w:r>
        <w:rPr>
          <w:rFonts w:cs="Calibri"/>
          <w:bCs/>
          <w:iCs/>
          <w:lang w:val="es-ES"/>
        </w:rPr>
        <w:t>José Ernesto Rey Cantor</w:t>
      </w:r>
    </w:p>
    <w:p w14:paraId="205F0D0D" w14:textId="77777777" w:rsidR="00E062D6" w:rsidRPr="00EE6B55" w:rsidRDefault="00EE6B55" w:rsidP="00E062D6">
      <w:pPr>
        <w:spacing w:after="0" w:line="240" w:lineRule="auto"/>
        <w:jc w:val="center"/>
        <w:rPr>
          <w:rFonts w:cs="Calibri"/>
          <w:bCs/>
          <w:iCs/>
          <w:highlight w:val="black"/>
          <w:lang w:val="es-ES"/>
        </w:rPr>
      </w:pPr>
      <w:r w:rsidRPr="00EE6B55">
        <w:rPr>
          <w:rFonts w:cs="Calibri"/>
          <w:bCs/>
          <w:iCs/>
          <w:highlight w:val="black"/>
          <w:lang w:val="es-ES"/>
        </w:rPr>
        <w:t>XXXXXXXXXXXXXXXXXXXXXXXXXXXXX</w:t>
      </w:r>
    </w:p>
    <w:p w14:paraId="79845E99" w14:textId="77777777" w:rsidR="00E062D6" w:rsidRDefault="00E062D6" w:rsidP="00E062D6">
      <w:pPr>
        <w:spacing w:after="0" w:line="240" w:lineRule="auto"/>
        <w:jc w:val="center"/>
        <w:rPr>
          <w:lang w:val="es-ES"/>
        </w:rPr>
      </w:pPr>
    </w:p>
    <w:p w14:paraId="662DFA3B" w14:textId="77777777" w:rsidR="00E062D6" w:rsidRPr="00E062D6" w:rsidRDefault="00E062D6" w:rsidP="00E062D6">
      <w:pPr>
        <w:spacing w:after="0" w:line="240" w:lineRule="auto"/>
        <w:jc w:val="center"/>
        <w:rPr>
          <w:bCs/>
          <w:iCs/>
          <w:lang w:val="es-ES"/>
        </w:rPr>
      </w:pPr>
      <w:r>
        <w:rPr>
          <w:bCs/>
          <w:iCs/>
          <w:lang w:val="es-ES"/>
        </w:rPr>
        <w:t>Cesar Castro Garces</w:t>
      </w:r>
    </w:p>
    <w:p w14:paraId="0CE5A3F2" w14:textId="77777777" w:rsidR="00E062D6" w:rsidRPr="00EE6B55" w:rsidRDefault="00EE6B55" w:rsidP="00E062D6">
      <w:pPr>
        <w:spacing w:after="0" w:line="240" w:lineRule="auto"/>
        <w:jc w:val="center"/>
        <w:rPr>
          <w:highlight w:val="black"/>
          <w:lang w:val="es-ES"/>
        </w:rPr>
      </w:pPr>
      <w:r w:rsidRPr="00EE6B55">
        <w:rPr>
          <w:highlight w:val="black"/>
          <w:lang w:val="es-ES"/>
        </w:rPr>
        <w:t>XXXXXXXXXXXXXXXXX</w:t>
      </w:r>
    </w:p>
    <w:p w14:paraId="60CF2DB7" w14:textId="77777777" w:rsidR="00134158" w:rsidRPr="00B374AE" w:rsidRDefault="00134158" w:rsidP="00134158">
      <w:pPr>
        <w:spacing w:after="0" w:line="240" w:lineRule="auto"/>
        <w:ind w:firstLine="720"/>
        <w:jc w:val="both"/>
        <w:rPr>
          <w:rFonts w:ascii="Cambria" w:hAnsi="Cambria" w:cs="Calibri"/>
          <w:color w:val="000000"/>
          <w:sz w:val="20"/>
          <w:szCs w:val="20"/>
          <w:lang w:val="es-ES"/>
        </w:rPr>
      </w:pPr>
    </w:p>
    <w:p w14:paraId="0719A52B" w14:textId="77777777" w:rsidR="00134158" w:rsidRPr="00B374AE" w:rsidRDefault="00134158" w:rsidP="00134158">
      <w:pPr>
        <w:spacing w:after="0" w:line="240" w:lineRule="auto"/>
        <w:ind w:firstLine="720"/>
        <w:jc w:val="both"/>
        <w:rPr>
          <w:rFonts w:ascii="Cambria" w:hAnsi="Cambria" w:cs="Calibri"/>
          <w:color w:val="000000"/>
          <w:sz w:val="20"/>
          <w:szCs w:val="20"/>
          <w:lang w:val="es-ES"/>
        </w:rPr>
      </w:pPr>
      <w:r w:rsidRPr="00B374AE">
        <w:rPr>
          <w:rFonts w:ascii="Cambria" w:hAnsi="Cambria" w:cs="Calibri"/>
          <w:color w:val="000000"/>
          <w:sz w:val="20"/>
          <w:szCs w:val="20"/>
          <w:lang w:val="es-ES"/>
        </w:rPr>
        <w:t>Aprovecho la oportunidad para saludar a usted muy atentamente,</w:t>
      </w:r>
    </w:p>
    <w:p w14:paraId="7DE2145F" w14:textId="77777777" w:rsidR="00134158" w:rsidRPr="00B374AE" w:rsidRDefault="00134158" w:rsidP="00134158">
      <w:pPr>
        <w:tabs>
          <w:tab w:val="left" w:pos="0"/>
        </w:tabs>
        <w:spacing w:after="0" w:line="240" w:lineRule="auto"/>
        <w:jc w:val="center"/>
        <w:rPr>
          <w:rFonts w:ascii="Cambria" w:hAnsi="Cambria" w:cs="Calibri"/>
          <w:color w:val="000000"/>
          <w:sz w:val="20"/>
          <w:szCs w:val="20"/>
          <w:lang w:val="pt-BR"/>
        </w:rPr>
      </w:pPr>
    </w:p>
    <w:p w14:paraId="653471BA" w14:textId="77777777" w:rsidR="00134158" w:rsidRPr="00B374AE" w:rsidRDefault="00134158" w:rsidP="00134158">
      <w:pPr>
        <w:tabs>
          <w:tab w:val="left" w:pos="0"/>
        </w:tabs>
        <w:spacing w:after="0" w:line="240" w:lineRule="auto"/>
        <w:jc w:val="center"/>
        <w:rPr>
          <w:rFonts w:ascii="Cambria" w:hAnsi="Cambria" w:cs="Calibri"/>
          <w:i/>
          <w:color w:val="000000"/>
          <w:sz w:val="20"/>
          <w:szCs w:val="20"/>
          <w:lang w:val="pt-BR"/>
        </w:rPr>
      </w:pPr>
      <w:r w:rsidRPr="00B374AE">
        <w:rPr>
          <w:rFonts w:ascii="Cambria" w:hAnsi="Cambria" w:cs="Calibri"/>
          <w:color w:val="000000"/>
          <w:sz w:val="20"/>
          <w:szCs w:val="20"/>
          <w:lang w:val="pt-BR"/>
        </w:rPr>
        <w:t>Marisol Blanchard</w:t>
      </w:r>
    </w:p>
    <w:p w14:paraId="27FBD818" w14:textId="77777777" w:rsidR="00134158" w:rsidRPr="00B374AE" w:rsidRDefault="00134158" w:rsidP="00134158">
      <w:pPr>
        <w:tabs>
          <w:tab w:val="left" w:pos="810"/>
        </w:tabs>
        <w:suppressAutoHyphens/>
        <w:spacing w:after="0" w:line="240" w:lineRule="auto"/>
        <w:jc w:val="center"/>
        <w:rPr>
          <w:rFonts w:ascii="Cambria" w:hAnsi="Cambria" w:cs="Calibri"/>
          <w:color w:val="000000"/>
          <w:sz w:val="20"/>
          <w:szCs w:val="20"/>
          <w:lang w:val="pt-BR"/>
        </w:rPr>
      </w:pPr>
      <w:r w:rsidRPr="00B374AE">
        <w:rPr>
          <w:rFonts w:ascii="Cambria" w:hAnsi="Cambria" w:cs="Calibri"/>
          <w:color w:val="000000"/>
          <w:sz w:val="20"/>
          <w:szCs w:val="20"/>
          <w:lang w:val="pt-BR"/>
        </w:rPr>
        <w:t>Secretaria Ejecutiva Adjunta</w:t>
      </w:r>
    </w:p>
    <w:p w14:paraId="039DDD4D" w14:textId="77777777" w:rsidR="00134158" w:rsidRPr="00B374AE" w:rsidRDefault="00134158" w:rsidP="00290B57">
      <w:pPr>
        <w:spacing w:after="0" w:line="240" w:lineRule="auto"/>
        <w:jc w:val="center"/>
        <w:rPr>
          <w:rFonts w:ascii="Cambria" w:hAnsi="Cambria" w:cs="Calibri"/>
          <w:color w:val="000000"/>
          <w:sz w:val="20"/>
          <w:szCs w:val="20"/>
          <w:lang w:val="pt-BR"/>
        </w:rPr>
      </w:pPr>
      <w:bookmarkStart w:id="2" w:name="ministro"/>
      <w:bookmarkEnd w:id="2"/>
    </w:p>
    <w:p w14:paraId="5A3F7883" w14:textId="77777777" w:rsidR="00134158" w:rsidRPr="00B374AE" w:rsidRDefault="00134158" w:rsidP="00134158">
      <w:pPr>
        <w:spacing w:after="0" w:line="240" w:lineRule="auto"/>
        <w:jc w:val="both"/>
        <w:rPr>
          <w:rFonts w:ascii="Cambria" w:hAnsi="Cambria" w:cs="Calibri"/>
          <w:color w:val="000000"/>
          <w:sz w:val="20"/>
          <w:szCs w:val="20"/>
          <w:lang w:val="pt-BR"/>
        </w:rPr>
      </w:pPr>
    </w:p>
    <w:p w14:paraId="4FFF1381" w14:textId="77777777" w:rsidR="00237ECE" w:rsidRPr="00841C56" w:rsidRDefault="00134158" w:rsidP="003F752D">
      <w:pPr>
        <w:spacing w:after="0" w:line="240" w:lineRule="auto"/>
        <w:jc w:val="both"/>
        <w:rPr>
          <w:rFonts w:ascii="Cambria" w:hAnsi="Cambria" w:cs="Calibri"/>
          <w:sz w:val="20"/>
          <w:szCs w:val="20"/>
          <w:lang w:val="pt-BR"/>
        </w:rPr>
      </w:pPr>
      <w:r w:rsidRPr="00B374AE">
        <w:rPr>
          <w:rFonts w:ascii="Cambria" w:hAnsi="Cambria" w:cs="Calibri"/>
          <w:color w:val="000000"/>
          <w:sz w:val="20"/>
          <w:szCs w:val="20"/>
          <w:lang w:val="pt-BR"/>
        </w:rPr>
        <w:t>Anexo</w:t>
      </w:r>
    </w:p>
    <w:sectPr w:rsidR="00237ECE" w:rsidRPr="00841C56" w:rsidSect="00162CE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6C56" w14:textId="77777777" w:rsidR="00366B9D" w:rsidRDefault="00366B9D">
      <w:pPr>
        <w:spacing w:after="0" w:line="240" w:lineRule="auto"/>
      </w:pPr>
      <w:r>
        <w:separator/>
      </w:r>
    </w:p>
  </w:endnote>
  <w:endnote w:type="continuationSeparator" w:id="0">
    <w:p w14:paraId="7795FA74" w14:textId="77777777" w:rsidR="00366B9D" w:rsidRDefault="00366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FUIText-Regular">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D4A8" w14:textId="77777777" w:rsidR="00162CE1" w:rsidRPr="00290B57" w:rsidRDefault="00162CE1">
    <w:pPr>
      <w:pStyle w:val="Piedepgina"/>
      <w:jc w:val="center"/>
      <w:rPr>
        <w:rFonts w:ascii="Cambria" w:hAnsi="Cambria"/>
        <w:sz w:val="18"/>
        <w:szCs w:val="18"/>
      </w:rPr>
    </w:pPr>
    <w:r w:rsidRPr="00290B57">
      <w:rPr>
        <w:rFonts w:ascii="Cambria" w:hAnsi="Cambria"/>
        <w:sz w:val="18"/>
        <w:szCs w:val="18"/>
      </w:rPr>
      <w:fldChar w:fldCharType="begin"/>
    </w:r>
    <w:r w:rsidRPr="00290B57">
      <w:rPr>
        <w:rFonts w:ascii="Cambria" w:hAnsi="Cambria"/>
        <w:sz w:val="18"/>
        <w:szCs w:val="18"/>
      </w:rPr>
      <w:instrText xml:space="preserve"> PAGE   \* MERGEFORMAT </w:instrText>
    </w:r>
    <w:r w:rsidRPr="00290B57">
      <w:rPr>
        <w:rFonts w:ascii="Cambria" w:hAnsi="Cambria"/>
        <w:sz w:val="18"/>
        <w:szCs w:val="18"/>
      </w:rPr>
      <w:fldChar w:fldCharType="separate"/>
    </w:r>
    <w:r w:rsidR="00155476" w:rsidRPr="00290B57">
      <w:rPr>
        <w:rFonts w:ascii="Cambria" w:hAnsi="Cambria"/>
        <w:noProof/>
        <w:sz w:val="18"/>
        <w:szCs w:val="18"/>
      </w:rPr>
      <w:t>3</w:t>
    </w:r>
    <w:r w:rsidRPr="00290B57">
      <w:rPr>
        <w:rFonts w:ascii="Cambria" w:hAnsi="Cambria"/>
        <w:noProof/>
        <w:sz w:val="18"/>
        <w:szCs w:val="18"/>
      </w:rPr>
      <w:fldChar w:fldCharType="end"/>
    </w:r>
  </w:p>
  <w:p w14:paraId="6CFD25EB" w14:textId="77777777" w:rsidR="00E1313B" w:rsidRDefault="00E1313B" w:rsidP="00E1313B">
    <w:pPr>
      <w:pStyle w:val="Piedepgina"/>
      <w:spacing w:line="360" w:lineRule="auto"/>
    </w:pPr>
    <w:r>
      <w:pict w14:anchorId="3889BA97">
        <v:rect id="_x0000_i1026" style="width:0;height:1.5pt" o:hralign="center" o:hrstd="t" o:hr="t" fillcolor="#a0a0a0" stroked="f"/>
      </w:pict>
    </w:r>
  </w:p>
  <w:p w14:paraId="46A48FFF" w14:textId="3BF476D0" w:rsidR="00E1313B" w:rsidRDefault="009A7DE5" w:rsidP="00E1313B">
    <w:pPr>
      <w:pStyle w:val="Piedepgina"/>
      <w:jc w:val="center"/>
    </w:pPr>
    <w:r w:rsidRPr="008A5CB5">
      <w:rPr>
        <w:noProof/>
      </w:rPr>
      <w:drawing>
        <wp:inline distT="0" distB="0" distL="0" distR="0" wp14:anchorId="16C812B1" wp14:editId="5788F38E">
          <wp:extent cx="5114925" cy="323850"/>
          <wp:effectExtent l="0" t="0" r="0" b="0"/>
          <wp:docPr id="4"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1726" w14:textId="77777777" w:rsidR="00E1313B" w:rsidRDefault="00E1313B" w:rsidP="00E1313B">
    <w:pPr>
      <w:pStyle w:val="Piedepgina"/>
      <w:spacing w:line="360" w:lineRule="auto"/>
    </w:pPr>
    <w:r>
      <w:pict w14:anchorId="688F9B4C">
        <v:rect id="_x0000_i1025" style="width:0;height:1.5pt" o:hralign="center" o:hrstd="t" o:hr="t" fillcolor="#a0a0a0" stroked="f"/>
      </w:pict>
    </w:r>
  </w:p>
  <w:p w14:paraId="290DFED9" w14:textId="4BE9C0B2" w:rsidR="00E1313B" w:rsidRDefault="009A7DE5" w:rsidP="00E1313B">
    <w:pPr>
      <w:pStyle w:val="Piedepgina"/>
      <w:jc w:val="center"/>
    </w:pPr>
    <w:r w:rsidRPr="008A5CB5">
      <w:rPr>
        <w:noProof/>
      </w:rPr>
      <w:drawing>
        <wp:inline distT="0" distB="0" distL="0" distR="0" wp14:anchorId="68459789" wp14:editId="43847783">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723F" w14:textId="77777777" w:rsidR="00366B9D" w:rsidRDefault="00366B9D">
      <w:pPr>
        <w:spacing w:after="0" w:line="240" w:lineRule="auto"/>
      </w:pPr>
      <w:r>
        <w:separator/>
      </w:r>
    </w:p>
  </w:footnote>
  <w:footnote w:type="continuationSeparator" w:id="0">
    <w:p w14:paraId="2B5359A4" w14:textId="77777777" w:rsidR="00366B9D" w:rsidRDefault="00366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CDBC" w14:textId="4F18DBF3" w:rsidR="00E1313B" w:rsidRDefault="009A7DE5" w:rsidP="00E1313B">
    <w:pPr>
      <w:pStyle w:val="Encabezado"/>
      <w:jc w:val="center"/>
      <w:rPr>
        <w:noProof/>
        <w:lang w:val="es-ES_tradnl"/>
      </w:rPr>
    </w:pPr>
    <w:r>
      <w:rPr>
        <w:noProof/>
        <w:lang w:val="es-ES_tradnl"/>
      </w:rPr>
      <w:drawing>
        <wp:inline distT="0" distB="0" distL="0" distR="0" wp14:anchorId="7EEBD650" wp14:editId="5DA2F188">
          <wp:extent cx="2286000" cy="114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14300"/>
                  </a:xfrm>
                  <a:prstGeom prst="rect">
                    <a:avLst/>
                  </a:prstGeom>
                  <a:noFill/>
                  <a:ln>
                    <a:noFill/>
                  </a:ln>
                </pic:spPr>
              </pic:pic>
            </a:graphicData>
          </a:graphic>
        </wp:inline>
      </w:drawing>
    </w:r>
  </w:p>
  <w:p w14:paraId="0C7D6FDB" w14:textId="77777777" w:rsidR="00E1313B" w:rsidRPr="0058688A" w:rsidRDefault="00E1313B" w:rsidP="00E1313B">
    <w:pPr>
      <w:pStyle w:val="Encabezado"/>
      <w:rPr>
        <w:lang w:val="es-ES_tradnl"/>
      </w:rPr>
    </w:pPr>
    <w:r>
      <w:rPr>
        <w:noProof/>
        <w:lang w:val="es-ES_tradnl"/>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A307" w14:textId="4C0CCA33" w:rsidR="00162CE1" w:rsidRDefault="009A7DE5" w:rsidP="00162CE1">
    <w:pPr>
      <w:pStyle w:val="Encabezado"/>
    </w:pPr>
    <w:r w:rsidRPr="008A5CB5">
      <w:rPr>
        <w:noProof/>
      </w:rPr>
      <w:drawing>
        <wp:inline distT="0" distB="0" distL="0" distR="0" wp14:anchorId="1481CFFE" wp14:editId="37F4F94D">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531505E2" wp14:editId="035BC20F">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4C005DA" w14:textId="77777777" w:rsidR="00162CE1" w:rsidRDefault="00E1313B" w:rsidP="00162CE1">
    <w:pPr>
      <w:pStyle w:val="Encabezado"/>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B3FD0"/>
    <w:multiLevelType w:val="hybridMultilevel"/>
    <w:tmpl w:val="35FAFF90"/>
    <w:lvl w:ilvl="0" w:tplc="C5D8AC78">
      <w:start w:val="1"/>
      <w:numFmt w:val="decimal"/>
      <w:pStyle w:val="Textodeglobo"/>
      <w:lvlText w:val="%1."/>
      <w:lvlJc w:val="left"/>
      <w:pPr>
        <w:ind w:left="3330" w:hanging="360"/>
      </w:pPr>
      <w:rPr>
        <w:rFonts w:ascii="Cambria" w:hAnsi="Cambria" w:hint="default"/>
        <w:b w:val="0"/>
        <w:i w:val="0"/>
        <w:sz w:val="20"/>
      </w:rPr>
    </w:lvl>
    <w:lvl w:ilvl="1" w:tplc="F5C4EC74">
      <w:start w:val="1"/>
      <w:numFmt w:val="lowerLetter"/>
      <w:lvlText w:val="%2)"/>
      <w:lvlJc w:val="left"/>
      <w:pPr>
        <w:ind w:left="2074" w:hanging="360"/>
      </w:pPr>
      <w:rPr>
        <w:rFonts w:hint="default"/>
      </w:r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 w15:restartNumberingAfterBreak="0">
    <w:nsid w:val="1DA61E90"/>
    <w:multiLevelType w:val="multilevel"/>
    <w:tmpl w:val="15B63694"/>
    <w:lvl w:ilvl="0">
      <w:start w:val="1"/>
      <w:numFmt w:val="decimal"/>
      <w:lvlText w:val="%1."/>
      <w:lvlJc w:val="left"/>
      <w:rPr>
        <w:rFonts w:ascii="Cambria" w:eastAsia="Cambria" w:hAnsi="Cambria" w:cs="Cambria"/>
        <w:b w:val="0"/>
        <w:color w:val="000000"/>
        <w:position w:val="0"/>
        <w:u w:color="FF0000"/>
        <w:rtl w:val="0"/>
        <w:lang w:val="es-ES_tradnl"/>
      </w:rPr>
    </w:lvl>
    <w:lvl w:ilvl="1">
      <w:start w:val="1"/>
      <w:numFmt w:val="lowerLetter"/>
      <w:lvlText w:val="%2."/>
      <w:lvlJc w:val="left"/>
      <w:rPr>
        <w:rFonts w:ascii="Cambria" w:eastAsia="Cambria" w:hAnsi="Cambria" w:cs="Cambria"/>
        <w:color w:val="000000"/>
        <w:position w:val="0"/>
        <w:u w:color="000000"/>
        <w:rtl w:val="0"/>
        <w:lang w:val="es-ES_tradnl"/>
      </w:rPr>
    </w:lvl>
    <w:lvl w:ilvl="2">
      <w:start w:val="1"/>
      <w:numFmt w:val="lowerRoman"/>
      <w:lvlText w:val="%3."/>
      <w:lvlJc w:val="left"/>
      <w:rPr>
        <w:rFonts w:ascii="Cambria" w:eastAsia="Cambria" w:hAnsi="Cambria" w:cs="Cambria"/>
        <w:color w:val="000000"/>
        <w:position w:val="0"/>
        <w:u w:color="000000"/>
        <w:rtl w:val="0"/>
        <w:lang w:val="es-ES_tradnl"/>
      </w:rPr>
    </w:lvl>
    <w:lvl w:ilvl="3">
      <w:start w:val="1"/>
      <w:numFmt w:val="decimal"/>
      <w:lvlText w:val="%4."/>
      <w:lvlJc w:val="left"/>
      <w:rPr>
        <w:rFonts w:ascii="Cambria" w:eastAsia="Cambria" w:hAnsi="Cambria" w:cs="Cambria"/>
        <w:color w:val="000000"/>
        <w:position w:val="0"/>
        <w:u w:color="000000"/>
        <w:rtl w:val="0"/>
        <w:lang w:val="es-ES_tradnl"/>
      </w:rPr>
    </w:lvl>
    <w:lvl w:ilvl="4">
      <w:start w:val="1"/>
      <w:numFmt w:val="lowerLetter"/>
      <w:lvlText w:val="%5."/>
      <w:lvlJc w:val="left"/>
      <w:rPr>
        <w:rFonts w:ascii="Cambria" w:eastAsia="Cambria" w:hAnsi="Cambria" w:cs="Cambria"/>
        <w:color w:val="000000"/>
        <w:position w:val="0"/>
        <w:u w:color="000000"/>
        <w:rtl w:val="0"/>
        <w:lang w:val="es-ES_tradnl"/>
      </w:rPr>
    </w:lvl>
    <w:lvl w:ilvl="5">
      <w:start w:val="1"/>
      <w:numFmt w:val="lowerRoman"/>
      <w:lvlText w:val="%6."/>
      <w:lvlJc w:val="left"/>
      <w:rPr>
        <w:rFonts w:ascii="Cambria" w:eastAsia="Cambria" w:hAnsi="Cambria" w:cs="Cambria"/>
        <w:color w:val="000000"/>
        <w:position w:val="0"/>
        <w:u w:color="000000"/>
        <w:rtl w:val="0"/>
        <w:lang w:val="es-ES_tradnl"/>
      </w:rPr>
    </w:lvl>
    <w:lvl w:ilvl="6">
      <w:start w:val="1"/>
      <w:numFmt w:val="decimal"/>
      <w:lvlText w:val="%7."/>
      <w:lvlJc w:val="left"/>
      <w:rPr>
        <w:rFonts w:ascii="Cambria" w:eastAsia="Cambria" w:hAnsi="Cambria" w:cs="Cambria"/>
        <w:color w:val="000000"/>
        <w:position w:val="0"/>
        <w:u w:color="000000"/>
        <w:rtl w:val="0"/>
        <w:lang w:val="es-ES_tradnl"/>
      </w:rPr>
    </w:lvl>
    <w:lvl w:ilvl="7">
      <w:start w:val="1"/>
      <w:numFmt w:val="lowerLetter"/>
      <w:lvlText w:val="%8."/>
      <w:lvlJc w:val="left"/>
      <w:rPr>
        <w:rFonts w:ascii="Cambria" w:eastAsia="Cambria" w:hAnsi="Cambria" w:cs="Cambria"/>
        <w:color w:val="000000"/>
        <w:position w:val="0"/>
        <w:u w:color="000000"/>
        <w:rtl w:val="0"/>
        <w:lang w:val="es-ES_tradnl"/>
      </w:rPr>
    </w:lvl>
    <w:lvl w:ilvl="8">
      <w:start w:val="1"/>
      <w:numFmt w:val="lowerRoman"/>
      <w:lvlText w:val="%9."/>
      <w:lvlJc w:val="left"/>
      <w:rPr>
        <w:rFonts w:ascii="Cambria" w:eastAsia="Cambria" w:hAnsi="Cambria" w:cs="Cambria"/>
        <w:color w:val="000000"/>
        <w:position w:val="0"/>
        <w:u w:color="000000"/>
        <w:rtl w:val="0"/>
        <w:lang w:val="es-ES_tradnl"/>
      </w:rPr>
    </w:lvl>
  </w:abstractNum>
  <w:abstractNum w:abstractNumId="2"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412342E"/>
    <w:multiLevelType w:val="multilevel"/>
    <w:tmpl w:val="1ADE2FB2"/>
    <w:styleLink w:val="List19"/>
    <w:lvl w:ilvl="0">
      <w:start w:val="1"/>
      <w:numFmt w:val="decimal"/>
      <w:lvlText w:val="%1."/>
      <w:lvlJc w:val="left"/>
      <w:pPr>
        <w:tabs>
          <w:tab w:val="num" w:pos="806"/>
        </w:tabs>
        <w:ind w:left="806" w:hanging="806"/>
      </w:pPr>
      <w:rPr>
        <w:rFonts w:ascii="Cambria" w:eastAsia="Cambria" w:hAnsi="Cambria" w:cs="Cambria"/>
        <w:position w:val="0"/>
        <w:sz w:val="20"/>
        <w:szCs w:val="20"/>
        <w:rtl w:val="0"/>
        <w:lang w:val="es-ES_tradnl"/>
      </w:rPr>
    </w:lvl>
    <w:lvl w:ilvl="1">
      <w:start w:val="1"/>
      <w:numFmt w:val="lowerLetter"/>
      <w:lvlText w:val="%2."/>
      <w:lvlJc w:val="left"/>
      <w:pPr>
        <w:tabs>
          <w:tab w:val="num" w:pos="1740"/>
        </w:tabs>
        <w:ind w:left="1740" w:hanging="300"/>
      </w:pPr>
      <w:rPr>
        <w:rFonts w:ascii="Cambria" w:eastAsia="Cambria" w:hAnsi="Cambria" w:cs="Cambria"/>
        <w:position w:val="0"/>
        <w:sz w:val="20"/>
        <w:szCs w:val="20"/>
        <w:rtl w:val="0"/>
        <w:lang w:val="es-ES_tradnl"/>
      </w:rPr>
    </w:lvl>
    <w:lvl w:ilvl="2">
      <w:start w:val="1"/>
      <w:numFmt w:val="lowerRoman"/>
      <w:lvlText w:val="%3."/>
      <w:lvlJc w:val="left"/>
      <w:pPr>
        <w:tabs>
          <w:tab w:val="num" w:pos="2471"/>
        </w:tabs>
        <w:ind w:left="2471" w:hanging="247"/>
      </w:pPr>
      <w:rPr>
        <w:rFonts w:ascii="Cambria" w:eastAsia="Cambria" w:hAnsi="Cambria" w:cs="Cambria"/>
        <w:position w:val="0"/>
        <w:sz w:val="20"/>
        <w:szCs w:val="20"/>
        <w:rtl w:val="0"/>
        <w:lang w:val="es-ES_tradnl"/>
      </w:rPr>
    </w:lvl>
    <w:lvl w:ilvl="3">
      <w:start w:val="1"/>
      <w:numFmt w:val="decimal"/>
      <w:lvlText w:val="%4."/>
      <w:lvlJc w:val="left"/>
      <w:pPr>
        <w:tabs>
          <w:tab w:val="num" w:pos="3180"/>
        </w:tabs>
        <w:ind w:left="3180" w:hanging="300"/>
      </w:pPr>
      <w:rPr>
        <w:rFonts w:ascii="Cambria" w:eastAsia="Cambria" w:hAnsi="Cambria" w:cs="Cambria"/>
        <w:position w:val="0"/>
        <w:sz w:val="20"/>
        <w:szCs w:val="20"/>
        <w:rtl w:val="0"/>
        <w:lang w:val="es-ES_tradnl"/>
      </w:rPr>
    </w:lvl>
    <w:lvl w:ilvl="4">
      <w:start w:val="1"/>
      <w:numFmt w:val="lowerLetter"/>
      <w:lvlText w:val="%5."/>
      <w:lvlJc w:val="left"/>
      <w:pPr>
        <w:tabs>
          <w:tab w:val="num" w:pos="3900"/>
        </w:tabs>
        <w:ind w:left="3900" w:hanging="300"/>
      </w:pPr>
      <w:rPr>
        <w:rFonts w:ascii="Cambria" w:eastAsia="Cambria" w:hAnsi="Cambria" w:cs="Cambria"/>
        <w:position w:val="0"/>
        <w:sz w:val="20"/>
        <w:szCs w:val="20"/>
        <w:rtl w:val="0"/>
        <w:lang w:val="es-ES_tradnl"/>
      </w:rPr>
    </w:lvl>
    <w:lvl w:ilvl="5">
      <w:start w:val="1"/>
      <w:numFmt w:val="lowerRoman"/>
      <w:lvlText w:val="%6."/>
      <w:lvlJc w:val="left"/>
      <w:pPr>
        <w:tabs>
          <w:tab w:val="num" w:pos="4631"/>
        </w:tabs>
        <w:ind w:left="4631" w:hanging="247"/>
      </w:pPr>
      <w:rPr>
        <w:rFonts w:ascii="Cambria" w:eastAsia="Cambria" w:hAnsi="Cambria" w:cs="Cambria"/>
        <w:position w:val="0"/>
        <w:sz w:val="20"/>
        <w:szCs w:val="20"/>
        <w:rtl w:val="0"/>
        <w:lang w:val="es-ES_tradnl"/>
      </w:rPr>
    </w:lvl>
    <w:lvl w:ilvl="6">
      <w:start w:val="1"/>
      <w:numFmt w:val="decimal"/>
      <w:lvlText w:val="%7."/>
      <w:lvlJc w:val="left"/>
      <w:pPr>
        <w:tabs>
          <w:tab w:val="num" w:pos="5340"/>
        </w:tabs>
        <w:ind w:left="5340" w:hanging="300"/>
      </w:pPr>
      <w:rPr>
        <w:rFonts w:ascii="Cambria" w:eastAsia="Cambria" w:hAnsi="Cambria" w:cs="Cambria"/>
        <w:position w:val="0"/>
        <w:sz w:val="20"/>
        <w:szCs w:val="20"/>
        <w:rtl w:val="0"/>
        <w:lang w:val="es-ES_tradnl"/>
      </w:rPr>
    </w:lvl>
    <w:lvl w:ilvl="7">
      <w:start w:val="1"/>
      <w:numFmt w:val="lowerLetter"/>
      <w:lvlText w:val="%8."/>
      <w:lvlJc w:val="left"/>
      <w:pPr>
        <w:tabs>
          <w:tab w:val="num" w:pos="6060"/>
        </w:tabs>
        <w:ind w:left="6060" w:hanging="300"/>
      </w:pPr>
      <w:rPr>
        <w:rFonts w:ascii="Cambria" w:eastAsia="Cambria" w:hAnsi="Cambria" w:cs="Cambria"/>
        <w:position w:val="0"/>
        <w:sz w:val="20"/>
        <w:szCs w:val="20"/>
        <w:rtl w:val="0"/>
        <w:lang w:val="es-ES_tradnl"/>
      </w:rPr>
    </w:lvl>
    <w:lvl w:ilvl="8">
      <w:start w:val="1"/>
      <w:numFmt w:val="lowerRoman"/>
      <w:lvlText w:val="%9."/>
      <w:lvlJc w:val="left"/>
      <w:pPr>
        <w:tabs>
          <w:tab w:val="num" w:pos="6791"/>
        </w:tabs>
        <w:ind w:left="6791" w:hanging="247"/>
      </w:pPr>
      <w:rPr>
        <w:rFonts w:ascii="Cambria" w:eastAsia="Cambria" w:hAnsi="Cambria" w:cs="Cambria"/>
        <w:position w:val="0"/>
        <w:sz w:val="20"/>
        <w:szCs w:val="20"/>
        <w:rtl w:val="0"/>
        <w:lang w:val="es-ES_tradnl"/>
      </w:rPr>
    </w:lvl>
  </w:abstractNum>
  <w:abstractNum w:abstractNumId="6" w15:restartNumberingAfterBreak="0">
    <w:nsid w:val="45F178C2"/>
    <w:multiLevelType w:val="hybridMultilevel"/>
    <w:tmpl w:val="E82A0F86"/>
    <w:lvl w:ilvl="0" w:tplc="DD6E455C">
      <w:start w:val="1"/>
      <w:numFmt w:val="lowerLetter"/>
      <w:lvlText w:val="(%1)"/>
      <w:lvlJc w:val="left"/>
      <w:pPr>
        <w:tabs>
          <w:tab w:val="num" w:pos="1446"/>
        </w:tabs>
        <w:ind w:left="1446" w:hanging="360"/>
      </w:pPr>
      <w:rPr>
        <w:rFonts w:hint="default"/>
        <w:b w:val="0"/>
      </w:rPr>
    </w:lvl>
    <w:lvl w:ilvl="1" w:tplc="89EA4396">
      <w:start w:val="1"/>
      <w:numFmt w:val="decimal"/>
      <w:lvlText w:val="%2."/>
      <w:lvlJc w:val="left"/>
      <w:pPr>
        <w:tabs>
          <w:tab w:val="num" w:pos="1806"/>
        </w:tabs>
        <w:ind w:left="1086" w:firstLine="720"/>
      </w:pPr>
      <w:rPr>
        <w:rFonts w:hint="default"/>
        <w:b w:val="0"/>
      </w:rPr>
    </w:lvl>
    <w:lvl w:ilvl="2" w:tplc="0409001B" w:tentative="1">
      <w:start w:val="1"/>
      <w:numFmt w:val="lowerRoman"/>
      <w:lvlText w:val="%3."/>
      <w:lvlJc w:val="right"/>
      <w:pPr>
        <w:tabs>
          <w:tab w:val="num" w:pos="2886"/>
        </w:tabs>
        <w:ind w:left="2886" w:hanging="180"/>
      </w:pPr>
    </w:lvl>
    <w:lvl w:ilvl="3" w:tplc="0409000F" w:tentative="1">
      <w:start w:val="1"/>
      <w:numFmt w:val="decimal"/>
      <w:lvlText w:val="%4."/>
      <w:lvlJc w:val="left"/>
      <w:pPr>
        <w:tabs>
          <w:tab w:val="num" w:pos="3606"/>
        </w:tabs>
        <w:ind w:left="3606" w:hanging="360"/>
      </w:pPr>
    </w:lvl>
    <w:lvl w:ilvl="4" w:tplc="04090019" w:tentative="1">
      <w:start w:val="1"/>
      <w:numFmt w:val="lowerLetter"/>
      <w:lvlText w:val="%5."/>
      <w:lvlJc w:val="left"/>
      <w:pPr>
        <w:tabs>
          <w:tab w:val="num" w:pos="4326"/>
        </w:tabs>
        <w:ind w:left="4326" w:hanging="360"/>
      </w:pPr>
    </w:lvl>
    <w:lvl w:ilvl="5" w:tplc="0409001B" w:tentative="1">
      <w:start w:val="1"/>
      <w:numFmt w:val="lowerRoman"/>
      <w:lvlText w:val="%6."/>
      <w:lvlJc w:val="right"/>
      <w:pPr>
        <w:tabs>
          <w:tab w:val="num" w:pos="5046"/>
        </w:tabs>
        <w:ind w:left="5046" w:hanging="180"/>
      </w:pPr>
    </w:lvl>
    <w:lvl w:ilvl="6" w:tplc="0409000F" w:tentative="1">
      <w:start w:val="1"/>
      <w:numFmt w:val="decimal"/>
      <w:lvlText w:val="%7."/>
      <w:lvlJc w:val="left"/>
      <w:pPr>
        <w:tabs>
          <w:tab w:val="num" w:pos="5766"/>
        </w:tabs>
        <w:ind w:left="5766" w:hanging="360"/>
      </w:pPr>
    </w:lvl>
    <w:lvl w:ilvl="7" w:tplc="04090019" w:tentative="1">
      <w:start w:val="1"/>
      <w:numFmt w:val="lowerLetter"/>
      <w:lvlText w:val="%8."/>
      <w:lvlJc w:val="left"/>
      <w:pPr>
        <w:tabs>
          <w:tab w:val="num" w:pos="6486"/>
        </w:tabs>
        <w:ind w:left="6486" w:hanging="360"/>
      </w:pPr>
    </w:lvl>
    <w:lvl w:ilvl="8" w:tplc="0409001B" w:tentative="1">
      <w:start w:val="1"/>
      <w:numFmt w:val="lowerRoman"/>
      <w:lvlText w:val="%9."/>
      <w:lvlJc w:val="right"/>
      <w:pPr>
        <w:tabs>
          <w:tab w:val="num" w:pos="7206"/>
        </w:tabs>
        <w:ind w:left="7206" w:hanging="180"/>
      </w:pPr>
    </w:lvl>
  </w:abstractNum>
  <w:abstractNum w:abstractNumId="7"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7D4B9D"/>
    <w:multiLevelType w:val="hybridMultilevel"/>
    <w:tmpl w:val="6EC4B846"/>
    <w:lvl w:ilvl="0" w:tplc="9E0CAF0C">
      <w:start w:val="1"/>
      <w:numFmt w:val="decimal"/>
      <w:lvlText w:val="%1."/>
      <w:lvlJc w:val="left"/>
      <w:pPr>
        <w:ind w:left="45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FE016C6"/>
    <w:multiLevelType w:val="hybridMultilevel"/>
    <w:tmpl w:val="295E4BEA"/>
    <w:lvl w:ilvl="0" w:tplc="D8B420CA">
      <w:start w:val="1"/>
      <w:numFmt w:val="decimal"/>
      <w:lvlText w:val="%1."/>
      <w:lvlJc w:val="left"/>
      <w:pPr>
        <w:ind w:left="720" w:hanging="360"/>
      </w:pPr>
      <w:rPr>
        <w:rFonts w:ascii="Cambria" w:hAnsi="Cambria"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06667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12895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3781280">
    <w:abstractNumId w:val="9"/>
  </w:num>
  <w:num w:numId="4" w16cid:durableId="409692312">
    <w:abstractNumId w:val="7"/>
  </w:num>
  <w:num w:numId="5" w16cid:durableId="1872185361">
    <w:abstractNumId w:val="2"/>
  </w:num>
  <w:num w:numId="6" w16cid:durableId="1829981299">
    <w:abstractNumId w:val="4"/>
  </w:num>
  <w:num w:numId="7" w16cid:durableId="696584739">
    <w:abstractNumId w:val="5"/>
  </w:num>
  <w:num w:numId="8" w16cid:durableId="59638946">
    <w:abstractNumId w:val="1"/>
  </w:num>
  <w:num w:numId="9" w16cid:durableId="1913156412">
    <w:abstractNumId w:val="3"/>
  </w:num>
  <w:num w:numId="10" w16cid:durableId="138616400">
    <w:abstractNumId w:val="8"/>
  </w:num>
  <w:num w:numId="11" w16cid:durableId="743332721">
    <w:abstractNumId w:val="12"/>
  </w:num>
  <w:num w:numId="12" w16cid:durableId="1348370226">
    <w:abstractNumId w:val="0"/>
  </w:num>
  <w:num w:numId="13" w16cid:durableId="31928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114"/>
    <w:rsid w:val="00003368"/>
    <w:rsid w:val="00005ED3"/>
    <w:rsid w:val="00016A29"/>
    <w:rsid w:val="00017E7A"/>
    <w:rsid w:val="00021026"/>
    <w:rsid w:val="00026875"/>
    <w:rsid w:val="00026A1E"/>
    <w:rsid w:val="00031EB1"/>
    <w:rsid w:val="00032CBE"/>
    <w:rsid w:val="00043064"/>
    <w:rsid w:val="00046D26"/>
    <w:rsid w:val="00055A2D"/>
    <w:rsid w:val="00057832"/>
    <w:rsid w:val="000751DF"/>
    <w:rsid w:val="00076DBF"/>
    <w:rsid w:val="000776AD"/>
    <w:rsid w:val="00077DE5"/>
    <w:rsid w:val="00077FF7"/>
    <w:rsid w:val="00082168"/>
    <w:rsid w:val="00084078"/>
    <w:rsid w:val="0009268D"/>
    <w:rsid w:val="00095E4D"/>
    <w:rsid w:val="000A06E9"/>
    <w:rsid w:val="000A45AD"/>
    <w:rsid w:val="000A4754"/>
    <w:rsid w:val="000A4B14"/>
    <w:rsid w:val="000B1138"/>
    <w:rsid w:val="000B1B25"/>
    <w:rsid w:val="000B3053"/>
    <w:rsid w:val="000C140C"/>
    <w:rsid w:val="000C1C01"/>
    <w:rsid w:val="000C5BFC"/>
    <w:rsid w:val="000D164E"/>
    <w:rsid w:val="000D2623"/>
    <w:rsid w:val="000D26A9"/>
    <w:rsid w:val="000D4633"/>
    <w:rsid w:val="000D4AE6"/>
    <w:rsid w:val="000D7A87"/>
    <w:rsid w:val="000E0F2F"/>
    <w:rsid w:val="000E4D82"/>
    <w:rsid w:val="000F23FB"/>
    <w:rsid w:val="000F291B"/>
    <w:rsid w:val="00107B94"/>
    <w:rsid w:val="001217D9"/>
    <w:rsid w:val="001275B4"/>
    <w:rsid w:val="00131B3B"/>
    <w:rsid w:val="001328F7"/>
    <w:rsid w:val="00134158"/>
    <w:rsid w:val="00134946"/>
    <w:rsid w:val="00134CFC"/>
    <w:rsid w:val="00135F32"/>
    <w:rsid w:val="00140652"/>
    <w:rsid w:val="00141387"/>
    <w:rsid w:val="00143EB4"/>
    <w:rsid w:val="0014432C"/>
    <w:rsid w:val="00146EE3"/>
    <w:rsid w:val="0015496C"/>
    <w:rsid w:val="00155476"/>
    <w:rsid w:val="00157476"/>
    <w:rsid w:val="00162CE1"/>
    <w:rsid w:val="00165C12"/>
    <w:rsid w:val="00170E12"/>
    <w:rsid w:val="00176C72"/>
    <w:rsid w:val="001770EE"/>
    <w:rsid w:val="001904F6"/>
    <w:rsid w:val="00192DA3"/>
    <w:rsid w:val="001A7260"/>
    <w:rsid w:val="001A7EDF"/>
    <w:rsid w:val="001B08B2"/>
    <w:rsid w:val="001B08F9"/>
    <w:rsid w:val="001B3166"/>
    <w:rsid w:val="001B4185"/>
    <w:rsid w:val="001C2AED"/>
    <w:rsid w:val="001D0C4D"/>
    <w:rsid w:val="001E5256"/>
    <w:rsid w:val="001E59D8"/>
    <w:rsid w:val="001F7634"/>
    <w:rsid w:val="002005C7"/>
    <w:rsid w:val="00202F4B"/>
    <w:rsid w:val="00206412"/>
    <w:rsid w:val="00220370"/>
    <w:rsid w:val="00220BCF"/>
    <w:rsid w:val="002219A9"/>
    <w:rsid w:val="002248D7"/>
    <w:rsid w:val="00226454"/>
    <w:rsid w:val="00226BCD"/>
    <w:rsid w:val="00234AC6"/>
    <w:rsid w:val="00237ECE"/>
    <w:rsid w:val="002426D8"/>
    <w:rsid w:val="002451F8"/>
    <w:rsid w:val="00245F50"/>
    <w:rsid w:val="00246DB3"/>
    <w:rsid w:val="002534CD"/>
    <w:rsid w:val="00254F98"/>
    <w:rsid w:val="00256134"/>
    <w:rsid w:val="002634B8"/>
    <w:rsid w:val="00267588"/>
    <w:rsid w:val="0027604A"/>
    <w:rsid w:val="00290B57"/>
    <w:rsid w:val="0029746F"/>
    <w:rsid w:val="002A14D2"/>
    <w:rsid w:val="002A19E1"/>
    <w:rsid w:val="002B64DC"/>
    <w:rsid w:val="002C53A7"/>
    <w:rsid w:val="002D3DC9"/>
    <w:rsid w:val="002E24DF"/>
    <w:rsid w:val="002E48D6"/>
    <w:rsid w:val="002E7720"/>
    <w:rsid w:val="002F6526"/>
    <w:rsid w:val="0030700B"/>
    <w:rsid w:val="00314D82"/>
    <w:rsid w:val="00316C30"/>
    <w:rsid w:val="00316E75"/>
    <w:rsid w:val="003254D3"/>
    <w:rsid w:val="00326031"/>
    <w:rsid w:val="00327F22"/>
    <w:rsid w:val="00331129"/>
    <w:rsid w:val="00336D34"/>
    <w:rsid w:val="003406ED"/>
    <w:rsid w:val="00343EDF"/>
    <w:rsid w:val="00345680"/>
    <w:rsid w:val="0034625D"/>
    <w:rsid w:val="00355389"/>
    <w:rsid w:val="0035670C"/>
    <w:rsid w:val="0036203F"/>
    <w:rsid w:val="00362BCC"/>
    <w:rsid w:val="00363DA9"/>
    <w:rsid w:val="00366904"/>
    <w:rsid w:val="00366B9D"/>
    <w:rsid w:val="00374F28"/>
    <w:rsid w:val="00377262"/>
    <w:rsid w:val="00387D83"/>
    <w:rsid w:val="003904CF"/>
    <w:rsid w:val="00395866"/>
    <w:rsid w:val="003A6DEC"/>
    <w:rsid w:val="003A71C5"/>
    <w:rsid w:val="003D15F1"/>
    <w:rsid w:val="003D3F6E"/>
    <w:rsid w:val="003D4DD9"/>
    <w:rsid w:val="003E14A3"/>
    <w:rsid w:val="003E231C"/>
    <w:rsid w:val="003F2A7D"/>
    <w:rsid w:val="003F51D5"/>
    <w:rsid w:val="003F6D69"/>
    <w:rsid w:val="003F752D"/>
    <w:rsid w:val="004051B3"/>
    <w:rsid w:val="00407877"/>
    <w:rsid w:val="00407FA4"/>
    <w:rsid w:val="004103EC"/>
    <w:rsid w:val="00415488"/>
    <w:rsid w:val="0041669B"/>
    <w:rsid w:val="004173F3"/>
    <w:rsid w:val="0042403B"/>
    <w:rsid w:val="004300BE"/>
    <w:rsid w:val="00430608"/>
    <w:rsid w:val="00452270"/>
    <w:rsid w:val="00454019"/>
    <w:rsid w:val="00455E3F"/>
    <w:rsid w:val="00456DAA"/>
    <w:rsid w:val="00463AFE"/>
    <w:rsid w:val="0047698B"/>
    <w:rsid w:val="00491AB8"/>
    <w:rsid w:val="00495F11"/>
    <w:rsid w:val="00496C45"/>
    <w:rsid w:val="004A2758"/>
    <w:rsid w:val="004B6082"/>
    <w:rsid w:val="004C11AF"/>
    <w:rsid w:val="004C22C2"/>
    <w:rsid w:val="004D2EB3"/>
    <w:rsid w:val="004D3C19"/>
    <w:rsid w:val="004D7942"/>
    <w:rsid w:val="004D7DF0"/>
    <w:rsid w:val="004D7F1C"/>
    <w:rsid w:val="004E0C4F"/>
    <w:rsid w:val="004E0F5A"/>
    <w:rsid w:val="004E4DC9"/>
    <w:rsid w:val="004E4F7C"/>
    <w:rsid w:val="004E6A6C"/>
    <w:rsid w:val="004F13CD"/>
    <w:rsid w:val="004F3366"/>
    <w:rsid w:val="004F475F"/>
    <w:rsid w:val="004F651D"/>
    <w:rsid w:val="00501326"/>
    <w:rsid w:val="00506DE4"/>
    <w:rsid w:val="00510EF6"/>
    <w:rsid w:val="00517525"/>
    <w:rsid w:val="00520308"/>
    <w:rsid w:val="005226B0"/>
    <w:rsid w:val="005261F9"/>
    <w:rsid w:val="005266C2"/>
    <w:rsid w:val="00526C8F"/>
    <w:rsid w:val="005319E3"/>
    <w:rsid w:val="005334BE"/>
    <w:rsid w:val="0053664C"/>
    <w:rsid w:val="00541809"/>
    <w:rsid w:val="00550822"/>
    <w:rsid w:val="00550A96"/>
    <w:rsid w:val="00551DD6"/>
    <w:rsid w:val="00557B7E"/>
    <w:rsid w:val="00560F49"/>
    <w:rsid w:val="00563E22"/>
    <w:rsid w:val="00564608"/>
    <w:rsid w:val="005668C4"/>
    <w:rsid w:val="00566D01"/>
    <w:rsid w:val="0057349A"/>
    <w:rsid w:val="0057354D"/>
    <w:rsid w:val="00591180"/>
    <w:rsid w:val="0059345A"/>
    <w:rsid w:val="005A4E07"/>
    <w:rsid w:val="005A621F"/>
    <w:rsid w:val="005A7321"/>
    <w:rsid w:val="005B0414"/>
    <w:rsid w:val="005B4F61"/>
    <w:rsid w:val="005B6610"/>
    <w:rsid w:val="005C4A0A"/>
    <w:rsid w:val="005C5C37"/>
    <w:rsid w:val="005C7BDC"/>
    <w:rsid w:val="005C7C22"/>
    <w:rsid w:val="005C7F13"/>
    <w:rsid w:val="005D2B11"/>
    <w:rsid w:val="005E0E8D"/>
    <w:rsid w:val="005E2A2C"/>
    <w:rsid w:val="005E7AE9"/>
    <w:rsid w:val="005F3FF9"/>
    <w:rsid w:val="00600C67"/>
    <w:rsid w:val="0060615D"/>
    <w:rsid w:val="00607CA5"/>
    <w:rsid w:val="00612A1C"/>
    <w:rsid w:val="00621048"/>
    <w:rsid w:val="006238C4"/>
    <w:rsid w:val="00623A53"/>
    <w:rsid w:val="0062431D"/>
    <w:rsid w:val="006253E4"/>
    <w:rsid w:val="00625C17"/>
    <w:rsid w:val="00630213"/>
    <w:rsid w:val="006344F2"/>
    <w:rsid w:val="00641E26"/>
    <w:rsid w:val="0065299A"/>
    <w:rsid w:val="00657C5B"/>
    <w:rsid w:val="00661062"/>
    <w:rsid w:val="00662171"/>
    <w:rsid w:val="006634BE"/>
    <w:rsid w:val="0066634B"/>
    <w:rsid w:val="00667B72"/>
    <w:rsid w:val="00670828"/>
    <w:rsid w:val="006728D0"/>
    <w:rsid w:val="006773A6"/>
    <w:rsid w:val="00681D50"/>
    <w:rsid w:val="00686F7B"/>
    <w:rsid w:val="00686F7E"/>
    <w:rsid w:val="00691A97"/>
    <w:rsid w:val="006943A7"/>
    <w:rsid w:val="006A0DDA"/>
    <w:rsid w:val="006A1693"/>
    <w:rsid w:val="006B547D"/>
    <w:rsid w:val="006B7991"/>
    <w:rsid w:val="006C3E16"/>
    <w:rsid w:val="006D27D0"/>
    <w:rsid w:val="006D45B0"/>
    <w:rsid w:val="006D7A02"/>
    <w:rsid w:val="006E1718"/>
    <w:rsid w:val="006F434B"/>
    <w:rsid w:val="006F46B8"/>
    <w:rsid w:val="006F4B0C"/>
    <w:rsid w:val="006F539D"/>
    <w:rsid w:val="00707281"/>
    <w:rsid w:val="00713F7B"/>
    <w:rsid w:val="007233C3"/>
    <w:rsid w:val="00730B2B"/>
    <w:rsid w:val="007401E2"/>
    <w:rsid w:val="00743959"/>
    <w:rsid w:val="0074602A"/>
    <w:rsid w:val="00746A42"/>
    <w:rsid w:val="00751BC0"/>
    <w:rsid w:val="00770267"/>
    <w:rsid w:val="0077308C"/>
    <w:rsid w:val="00775598"/>
    <w:rsid w:val="00777515"/>
    <w:rsid w:val="007826DD"/>
    <w:rsid w:val="00782AEB"/>
    <w:rsid w:val="007929FF"/>
    <w:rsid w:val="007940B2"/>
    <w:rsid w:val="00796DD9"/>
    <w:rsid w:val="007A0D8E"/>
    <w:rsid w:val="007A593D"/>
    <w:rsid w:val="007B40BC"/>
    <w:rsid w:val="007B6D60"/>
    <w:rsid w:val="007B7696"/>
    <w:rsid w:val="007C15AB"/>
    <w:rsid w:val="007C42F0"/>
    <w:rsid w:val="007C5B64"/>
    <w:rsid w:val="007E3EF7"/>
    <w:rsid w:val="007E60EB"/>
    <w:rsid w:val="007E6CA0"/>
    <w:rsid w:val="007F14BB"/>
    <w:rsid w:val="007F290D"/>
    <w:rsid w:val="008046CC"/>
    <w:rsid w:val="0082191F"/>
    <w:rsid w:val="008254F3"/>
    <w:rsid w:val="00825CC3"/>
    <w:rsid w:val="00837A17"/>
    <w:rsid w:val="0084002E"/>
    <w:rsid w:val="0084069E"/>
    <w:rsid w:val="00841C56"/>
    <w:rsid w:val="00847BDC"/>
    <w:rsid w:val="00860B19"/>
    <w:rsid w:val="008613B7"/>
    <w:rsid w:val="00862AD4"/>
    <w:rsid w:val="00863302"/>
    <w:rsid w:val="00864E93"/>
    <w:rsid w:val="008655DF"/>
    <w:rsid w:val="0088196F"/>
    <w:rsid w:val="0088248A"/>
    <w:rsid w:val="00883E7F"/>
    <w:rsid w:val="00893093"/>
    <w:rsid w:val="00894B6C"/>
    <w:rsid w:val="00897164"/>
    <w:rsid w:val="008A11E8"/>
    <w:rsid w:val="008A1F21"/>
    <w:rsid w:val="008A422D"/>
    <w:rsid w:val="008A6113"/>
    <w:rsid w:val="008B021B"/>
    <w:rsid w:val="008B0596"/>
    <w:rsid w:val="008B1E59"/>
    <w:rsid w:val="008B3A73"/>
    <w:rsid w:val="008C0ECE"/>
    <w:rsid w:val="008C1F3B"/>
    <w:rsid w:val="008C7EBA"/>
    <w:rsid w:val="008D07A3"/>
    <w:rsid w:val="008D3F6B"/>
    <w:rsid w:val="008D5226"/>
    <w:rsid w:val="008D72C2"/>
    <w:rsid w:val="008E006A"/>
    <w:rsid w:val="008E3768"/>
    <w:rsid w:val="008F32EA"/>
    <w:rsid w:val="008F34BF"/>
    <w:rsid w:val="008F7152"/>
    <w:rsid w:val="008F7250"/>
    <w:rsid w:val="009025D4"/>
    <w:rsid w:val="0090766E"/>
    <w:rsid w:val="00910C01"/>
    <w:rsid w:val="00914042"/>
    <w:rsid w:val="00914A0A"/>
    <w:rsid w:val="0092092D"/>
    <w:rsid w:val="00924502"/>
    <w:rsid w:val="00932AD3"/>
    <w:rsid w:val="00941E93"/>
    <w:rsid w:val="00944E4E"/>
    <w:rsid w:val="009454B0"/>
    <w:rsid w:val="00953AF6"/>
    <w:rsid w:val="0095543E"/>
    <w:rsid w:val="00961B44"/>
    <w:rsid w:val="00967A6F"/>
    <w:rsid w:val="00970BC7"/>
    <w:rsid w:val="00977A5C"/>
    <w:rsid w:val="0098157D"/>
    <w:rsid w:val="00987694"/>
    <w:rsid w:val="00990F1C"/>
    <w:rsid w:val="009914FA"/>
    <w:rsid w:val="00992286"/>
    <w:rsid w:val="00994D30"/>
    <w:rsid w:val="009A0971"/>
    <w:rsid w:val="009A7DE5"/>
    <w:rsid w:val="009B333D"/>
    <w:rsid w:val="009C1EB7"/>
    <w:rsid w:val="009C70A4"/>
    <w:rsid w:val="009D4BAE"/>
    <w:rsid w:val="009E1F44"/>
    <w:rsid w:val="009E2CC2"/>
    <w:rsid w:val="009E2EBC"/>
    <w:rsid w:val="009E3BC0"/>
    <w:rsid w:val="009E433A"/>
    <w:rsid w:val="009E4343"/>
    <w:rsid w:val="009F06E0"/>
    <w:rsid w:val="009F4C73"/>
    <w:rsid w:val="009F4F6A"/>
    <w:rsid w:val="009F63B7"/>
    <w:rsid w:val="009F77AA"/>
    <w:rsid w:val="00A0199F"/>
    <w:rsid w:val="00A03F38"/>
    <w:rsid w:val="00A040CA"/>
    <w:rsid w:val="00A04B7C"/>
    <w:rsid w:val="00A06FAC"/>
    <w:rsid w:val="00A15067"/>
    <w:rsid w:val="00A15A9A"/>
    <w:rsid w:val="00A17138"/>
    <w:rsid w:val="00A2631B"/>
    <w:rsid w:val="00A4186A"/>
    <w:rsid w:val="00A44D63"/>
    <w:rsid w:val="00A532CA"/>
    <w:rsid w:val="00A54EEB"/>
    <w:rsid w:val="00A65452"/>
    <w:rsid w:val="00A71556"/>
    <w:rsid w:val="00A73E5E"/>
    <w:rsid w:val="00A7442D"/>
    <w:rsid w:val="00A75B1C"/>
    <w:rsid w:val="00A77923"/>
    <w:rsid w:val="00A77DE5"/>
    <w:rsid w:val="00A92321"/>
    <w:rsid w:val="00AB1A5D"/>
    <w:rsid w:val="00AB70F2"/>
    <w:rsid w:val="00AC403E"/>
    <w:rsid w:val="00AD5F3D"/>
    <w:rsid w:val="00AD6936"/>
    <w:rsid w:val="00AE314D"/>
    <w:rsid w:val="00AE46D2"/>
    <w:rsid w:val="00AE7491"/>
    <w:rsid w:val="00AF115F"/>
    <w:rsid w:val="00AF2B73"/>
    <w:rsid w:val="00AF4B54"/>
    <w:rsid w:val="00B0272F"/>
    <w:rsid w:val="00B03DD7"/>
    <w:rsid w:val="00B04FEA"/>
    <w:rsid w:val="00B23917"/>
    <w:rsid w:val="00B24A53"/>
    <w:rsid w:val="00B24C3E"/>
    <w:rsid w:val="00B374AE"/>
    <w:rsid w:val="00B4147B"/>
    <w:rsid w:val="00B4215C"/>
    <w:rsid w:val="00B44AD6"/>
    <w:rsid w:val="00B6469F"/>
    <w:rsid w:val="00B67019"/>
    <w:rsid w:val="00B67CD0"/>
    <w:rsid w:val="00B70B7C"/>
    <w:rsid w:val="00B7480B"/>
    <w:rsid w:val="00B8038E"/>
    <w:rsid w:val="00B82394"/>
    <w:rsid w:val="00B9285D"/>
    <w:rsid w:val="00B96B34"/>
    <w:rsid w:val="00BA1B6A"/>
    <w:rsid w:val="00BB0160"/>
    <w:rsid w:val="00BB136A"/>
    <w:rsid w:val="00BB2038"/>
    <w:rsid w:val="00BB4AB9"/>
    <w:rsid w:val="00BB5793"/>
    <w:rsid w:val="00BB720B"/>
    <w:rsid w:val="00BC27DE"/>
    <w:rsid w:val="00BD1F09"/>
    <w:rsid w:val="00BE21C5"/>
    <w:rsid w:val="00BE42DC"/>
    <w:rsid w:val="00BF3C98"/>
    <w:rsid w:val="00C04DDB"/>
    <w:rsid w:val="00C158C4"/>
    <w:rsid w:val="00C22D7B"/>
    <w:rsid w:val="00C24FF7"/>
    <w:rsid w:val="00C250DE"/>
    <w:rsid w:val="00C2673B"/>
    <w:rsid w:val="00C40437"/>
    <w:rsid w:val="00C427E5"/>
    <w:rsid w:val="00C44075"/>
    <w:rsid w:val="00C44C0E"/>
    <w:rsid w:val="00C459F8"/>
    <w:rsid w:val="00C51F92"/>
    <w:rsid w:val="00C52A3C"/>
    <w:rsid w:val="00C5331A"/>
    <w:rsid w:val="00C537EE"/>
    <w:rsid w:val="00C55ACC"/>
    <w:rsid w:val="00C57FBD"/>
    <w:rsid w:val="00C615C6"/>
    <w:rsid w:val="00C7184C"/>
    <w:rsid w:val="00C72601"/>
    <w:rsid w:val="00C82F29"/>
    <w:rsid w:val="00C86746"/>
    <w:rsid w:val="00C872C8"/>
    <w:rsid w:val="00C9629E"/>
    <w:rsid w:val="00CA1623"/>
    <w:rsid w:val="00CA6D35"/>
    <w:rsid w:val="00CB0139"/>
    <w:rsid w:val="00CB1F6A"/>
    <w:rsid w:val="00CB24C8"/>
    <w:rsid w:val="00CC0BCA"/>
    <w:rsid w:val="00CC23BC"/>
    <w:rsid w:val="00CC36C6"/>
    <w:rsid w:val="00CD33D8"/>
    <w:rsid w:val="00CE18E3"/>
    <w:rsid w:val="00CE18ED"/>
    <w:rsid w:val="00CE1CF7"/>
    <w:rsid w:val="00CE60A3"/>
    <w:rsid w:val="00CF0828"/>
    <w:rsid w:val="00CF68B8"/>
    <w:rsid w:val="00D12AD1"/>
    <w:rsid w:val="00D30790"/>
    <w:rsid w:val="00D31845"/>
    <w:rsid w:val="00D358CC"/>
    <w:rsid w:val="00D40531"/>
    <w:rsid w:val="00D41DD9"/>
    <w:rsid w:val="00D456E1"/>
    <w:rsid w:val="00D458E2"/>
    <w:rsid w:val="00D50C53"/>
    <w:rsid w:val="00D51BBF"/>
    <w:rsid w:val="00D55740"/>
    <w:rsid w:val="00D56275"/>
    <w:rsid w:val="00D618E7"/>
    <w:rsid w:val="00D61BA6"/>
    <w:rsid w:val="00D66EC6"/>
    <w:rsid w:val="00D73B7B"/>
    <w:rsid w:val="00D7730D"/>
    <w:rsid w:val="00D805B3"/>
    <w:rsid w:val="00D811EE"/>
    <w:rsid w:val="00D8378B"/>
    <w:rsid w:val="00D85AB8"/>
    <w:rsid w:val="00D92025"/>
    <w:rsid w:val="00D96806"/>
    <w:rsid w:val="00D96821"/>
    <w:rsid w:val="00DA126E"/>
    <w:rsid w:val="00DA29E7"/>
    <w:rsid w:val="00DB03F6"/>
    <w:rsid w:val="00DB77E1"/>
    <w:rsid w:val="00DD609C"/>
    <w:rsid w:val="00DE0E68"/>
    <w:rsid w:val="00DE7134"/>
    <w:rsid w:val="00DF3621"/>
    <w:rsid w:val="00DF3B7F"/>
    <w:rsid w:val="00DF3C21"/>
    <w:rsid w:val="00DF4A93"/>
    <w:rsid w:val="00DF7DE3"/>
    <w:rsid w:val="00E00544"/>
    <w:rsid w:val="00E062D6"/>
    <w:rsid w:val="00E073FA"/>
    <w:rsid w:val="00E07692"/>
    <w:rsid w:val="00E0780E"/>
    <w:rsid w:val="00E12B66"/>
    <w:rsid w:val="00E1313B"/>
    <w:rsid w:val="00E17692"/>
    <w:rsid w:val="00E17733"/>
    <w:rsid w:val="00E25B3F"/>
    <w:rsid w:val="00E26906"/>
    <w:rsid w:val="00E270FF"/>
    <w:rsid w:val="00E31CFC"/>
    <w:rsid w:val="00E3345C"/>
    <w:rsid w:val="00E405C0"/>
    <w:rsid w:val="00E461A7"/>
    <w:rsid w:val="00E54A1A"/>
    <w:rsid w:val="00E60D9E"/>
    <w:rsid w:val="00E6263B"/>
    <w:rsid w:val="00E64A57"/>
    <w:rsid w:val="00E67F09"/>
    <w:rsid w:val="00E7198B"/>
    <w:rsid w:val="00E80516"/>
    <w:rsid w:val="00E828A3"/>
    <w:rsid w:val="00E837C2"/>
    <w:rsid w:val="00E83947"/>
    <w:rsid w:val="00E85ECE"/>
    <w:rsid w:val="00E939BD"/>
    <w:rsid w:val="00EB7F64"/>
    <w:rsid w:val="00EC3D9D"/>
    <w:rsid w:val="00EC655F"/>
    <w:rsid w:val="00ED588B"/>
    <w:rsid w:val="00ED764A"/>
    <w:rsid w:val="00EE2E5E"/>
    <w:rsid w:val="00EE5095"/>
    <w:rsid w:val="00EE6B55"/>
    <w:rsid w:val="00EF2CA7"/>
    <w:rsid w:val="00EF3DD1"/>
    <w:rsid w:val="00F03BB7"/>
    <w:rsid w:val="00F07EE5"/>
    <w:rsid w:val="00F11C02"/>
    <w:rsid w:val="00F316AF"/>
    <w:rsid w:val="00F353B3"/>
    <w:rsid w:val="00F4501D"/>
    <w:rsid w:val="00F467D0"/>
    <w:rsid w:val="00F47068"/>
    <w:rsid w:val="00F50FF2"/>
    <w:rsid w:val="00F5130E"/>
    <w:rsid w:val="00F51BAF"/>
    <w:rsid w:val="00F5749D"/>
    <w:rsid w:val="00F616AB"/>
    <w:rsid w:val="00F64732"/>
    <w:rsid w:val="00F70939"/>
    <w:rsid w:val="00F759EB"/>
    <w:rsid w:val="00F75B73"/>
    <w:rsid w:val="00F84A74"/>
    <w:rsid w:val="00F84B4C"/>
    <w:rsid w:val="00F86E94"/>
    <w:rsid w:val="00F959E9"/>
    <w:rsid w:val="00F969DE"/>
    <w:rsid w:val="00FA44E7"/>
    <w:rsid w:val="00FA5645"/>
    <w:rsid w:val="00FB0B99"/>
    <w:rsid w:val="00FB1831"/>
    <w:rsid w:val="00FB23F4"/>
    <w:rsid w:val="00FB2BDF"/>
    <w:rsid w:val="00FB4062"/>
    <w:rsid w:val="00FC0A74"/>
    <w:rsid w:val="00FC221D"/>
    <w:rsid w:val="00FD5963"/>
    <w:rsid w:val="00FD64D1"/>
    <w:rsid w:val="00FD7341"/>
    <w:rsid w:val="00FE3CF9"/>
    <w:rsid w:val="00FF00F4"/>
    <w:rsid w:val="00FF25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6A2F1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link w:val="PiedepginaCar"/>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uiPriority w:val="72"/>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uiPriority w:val="99"/>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1">
    <w:name w:val="p1"/>
    <w:basedOn w:val="Normal"/>
    <w:rsid w:val="00C7184C"/>
    <w:pPr>
      <w:spacing w:after="0" w:line="240" w:lineRule="auto"/>
    </w:pPr>
    <w:rPr>
      <w:rFonts w:ascii=".SF UI Text" w:eastAsia="MS Mincho" w:hAnsi=".SF UI Text"/>
      <w:color w:val="454545"/>
      <w:sz w:val="26"/>
      <w:szCs w:val="26"/>
    </w:rPr>
  </w:style>
  <w:style w:type="character" w:customStyle="1" w:styleId="s1">
    <w:name w:val="s1"/>
    <w:rsid w:val="00C7184C"/>
    <w:rPr>
      <w:rFonts w:ascii=".SFUIText-Regular" w:hAnsi=".SFUIText-Regular" w:hint="default"/>
      <w:b w:val="0"/>
      <w:bCs w:val="0"/>
      <w:i w:val="0"/>
      <w:iCs w:val="0"/>
      <w:sz w:val="34"/>
      <w:szCs w:val="34"/>
    </w:rPr>
  </w:style>
  <w:style w:type="paragraph" w:customStyle="1" w:styleId="Body">
    <w:name w:val="Body"/>
    <w:rsid w:val="00D12AD1"/>
    <w:pPr>
      <w:pBdr>
        <w:top w:val="nil"/>
        <w:left w:val="nil"/>
        <w:bottom w:val="nil"/>
        <w:right w:val="nil"/>
        <w:between w:val="nil"/>
        <w:bar w:val="nil"/>
      </w:pBdr>
      <w:ind w:firstLine="634"/>
      <w:jc w:val="both"/>
    </w:pPr>
    <w:rPr>
      <w:rFonts w:ascii="Cambria" w:eastAsia="Cambria" w:hAnsi="Cambria" w:cs="Cambria"/>
      <w:color w:val="000000"/>
      <w:u w:color="000000"/>
      <w:bdr w:val="nil"/>
      <w:lang w:val="es-CL" w:eastAsia="es-CL"/>
    </w:rPr>
  </w:style>
  <w:style w:type="numbering" w:customStyle="1" w:styleId="List19">
    <w:name w:val="List 19"/>
    <w:basedOn w:val="Sinlista"/>
    <w:rsid w:val="00D12AD1"/>
    <w:pPr>
      <w:numPr>
        <w:numId w:val="7"/>
      </w:numPr>
    </w:pPr>
  </w:style>
  <w:style w:type="character" w:customStyle="1" w:styleId="PiedepginaCar">
    <w:name w:val="Pie de página Car"/>
    <w:link w:val="Piedepgina"/>
    <w:rsid w:val="00E1313B"/>
    <w:rPr>
      <w:rFonts w:ascii="Calibri" w:eastAsia="Calibri" w:hAnsi="Calibri"/>
      <w:sz w:val="22"/>
      <w:szCs w:val="22"/>
    </w:rPr>
  </w:style>
  <w:style w:type="character" w:customStyle="1" w:styleId="EncabezadoCar">
    <w:name w:val="Encabezado Car"/>
    <w:aliases w:val="encabezado Car"/>
    <w:link w:val="Encabezado"/>
    <w:rsid w:val="00E1313B"/>
    <w:rPr>
      <w:rFonts w:ascii="Calibri" w:eastAsia="Calibri" w:hAnsi="Calibri"/>
      <w:sz w:val="22"/>
      <w:szCs w:val="2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256134"/>
    <w:pPr>
      <w:pBdr>
        <w:top w:val="nil"/>
        <w:left w:val="nil"/>
        <w:bottom w:val="nil"/>
        <w:right w:val="nil"/>
        <w:between w:val="nil"/>
        <w:bar w:val="nil"/>
      </w:pBdr>
      <w:jc w:val="both"/>
    </w:pPr>
    <w:rPr>
      <w:rFonts w:ascii="Cambria" w:eastAsia="Calibri" w:hAnsi="Cambria" w:cs="Calibri"/>
      <w:color w:val="000000"/>
      <w:sz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256134"/>
    <w:rPr>
      <w:rFonts w:ascii="Cambria" w:eastAsia="Calibri" w:hAnsi="Cambria" w:cs="Calibri"/>
      <w:color w:val="000000"/>
      <w:sz w:val="16"/>
      <w:u w:color="000000"/>
      <w:bdr w:val="nil"/>
      <w:lang w:eastAsia="es-E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256134"/>
    <w:rPr>
      <w:rFonts w:ascii="Cambria" w:hAnsi="Cambria"/>
      <w:sz w:val="16"/>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256134"/>
    <w:pPr>
      <w:spacing w:after="0" w:line="240" w:lineRule="auto"/>
      <w:jc w:val="both"/>
    </w:pPr>
    <w:rPr>
      <w:rFonts w:ascii="Cambria" w:eastAsia="Times New Roman" w:hAnsi="Cambria"/>
      <w:sz w:val="16"/>
      <w:szCs w:val="20"/>
      <w:vertAlign w:val="superscript"/>
    </w:rPr>
  </w:style>
  <w:style w:type="numbering" w:customStyle="1" w:styleId="Estiloimportado1">
    <w:name w:val="Estilo importado 1"/>
    <w:rsid w:val="006F434B"/>
  </w:style>
  <w:style w:type="paragraph" w:customStyle="1" w:styleId="parrafos">
    <w:name w:val="parrafos"/>
    <w:basedOn w:val="Normal"/>
    <w:link w:val="parrafosChar"/>
    <w:qFormat/>
    <w:rsid w:val="00667B72"/>
    <w:pPr>
      <w:spacing w:after="0" w:line="240" w:lineRule="auto"/>
      <w:jc w:val="both"/>
    </w:pPr>
    <w:rPr>
      <w:rFonts w:ascii="Cambria" w:eastAsia="Arial Unicode MS" w:hAnsi="Cambria"/>
      <w:color w:val="000000"/>
      <w:sz w:val="20"/>
      <w:szCs w:val="20"/>
      <w:lang w:val="es-VE" w:eastAsia="x-none"/>
    </w:rPr>
  </w:style>
  <w:style w:type="character" w:customStyle="1" w:styleId="parrafosChar">
    <w:name w:val="parrafos Char"/>
    <w:link w:val="parrafos"/>
    <w:rsid w:val="00667B72"/>
    <w:rPr>
      <w:rFonts w:ascii="Cambria" w:eastAsia="Arial Unicode MS" w:hAnsi="Cambria"/>
      <w:color w:val="000000"/>
      <w:lang w:val="es-V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04417">
      <w:bodyDiv w:val="1"/>
      <w:marLeft w:val="0"/>
      <w:marRight w:val="0"/>
      <w:marTop w:val="0"/>
      <w:marBottom w:val="0"/>
      <w:divBdr>
        <w:top w:val="none" w:sz="0" w:space="0" w:color="auto"/>
        <w:left w:val="none" w:sz="0" w:space="0" w:color="auto"/>
        <w:bottom w:val="none" w:sz="0" w:space="0" w:color="auto"/>
        <w:right w:val="none" w:sz="0" w:space="0" w:color="auto"/>
      </w:divBdr>
    </w:div>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354650174">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68471-1401-4E41-B3F5-077F9EAB0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6F20B-6355-4009-B6C4-E260B35068EB}">
  <ds:schemaRefs>
    <ds:schemaRef ds:uri="http://schemas.microsoft.com/office/2006/metadata/longProperties"/>
  </ds:schemaRefs>
</ds:datastoreItem>
</file>

<file path=customXml/itemProps3.xml><?xml version="1.0" encoding="utf-8"?>
<ds:datastoreItem xmlns:ds="http://schemas.openxmlformats.org/officeDocument/2006/customXml" ds:itemID="{2B70833E-2267-4F5B-8201-8BE0D6AF302E}">
  <ds:schemaRefs>
    <ds:schemaRef ds:uri="http://schemas.openxmlformats.org/officeDocument/2006/bibliography"/>
  </ds:schemaRefs>
</ds:datastoreItem>
</file>

<file path=customXml/itemProps4.xml><?xml version="1.0" encoding="utf-8"?>
<ds:datastoreItem xmlns:ds="http://schemas.openxmlformats.org/officeDocument/2006/customXml" ds:itemID="{CAAE04E0-7446-46BD-A828-DF3167E98678}">
  <ds:schemaRefs>
    <ds:schemaRef ds:uri="http://schemas.microsoft.com/sharepoint/v3/contenttype/forms"/>
  </ds:schemaRefs>
</ds:datastoreItem>
</file>

<file path=customXml/itemProps5.xml><?xml version="1.0" encoding="utf-8"?>
<ds:datastoreItem xmlns:ds="http://schemas.openxmlformats.org/officeDocument/2006/customXml" ds:itemID="{D000490F-5ACA-45D1-B9A9-3B8525CFFA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1842</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2022-10-08T14:53:00Z</dcterms:created>
  <dcterms:modified xsi:type="dcterms:W3CDTF">2022-10-08T14:53:00Z</dcterms:modified>
</cp:coreProperties>
</file>