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0208F" w14:textId="77777777" w:rsidR="00F2205F" w:rsidRPr="00C42E74" w:rsidRDefault="00F2205F" w:rsidP="00B45B3C">
      <w:pPr>
        <w:spacing w:after="0" w:line="240" w:lineRule="auto"/>
        <w:jc w:val="right"/>
        <w:rPr>
          <w:rFonts w:ascii="Cambria" w:hAnsi="Cambria" w:cs="Calibri"/>
          <w:color w:val="000000"/>
          <w:sz w:val="20"/>
          <w:szCs w:val="20"/>
          <w:lang w:val="es-ES"/>
        </w:rPr>
      </w:pPr>
    </w:p>
    <w:p w14:paraId="428DF1AE" w14:textId="77777777" w:rsidR="00162CE1" w:rsidRDefault="00CA27A7" w:rsidP="00B45B3C">
      <w:pPr>
        <w:spacing w:after="0" w:line="240" w:lineRule="auto"/>
        <w:jc w:val="right"/>
        <w:rPr>
          <w:rFonts w:ascii="Cambria" w:hAnsi="Cambria" w:cs="Calibri"/>
          <w:color w:val="000000"/>
          <w:sz w:val="20"/>
          <w:szCs w:val="20"/>
          <w:lang w:val="es-ES"/>
        </w:rPr>
      </w:pPr>
      <w:r>
        <w:rPr>
          <w:rFonts w:ascii="Cambria" w:hAnsi="Cambria" w:cs="Calibri"/>
          <w:color w:val="000000"/>
          <w:sz w:val="20"/>
          <w:szCs w:val="20"/>
          <w:lang w:val="es-ES"/>
        </w:rPr>
        <w:t xml:space="preserve">21 de </w:t>
      </w:r>
      <w:r w:rsidR="00232B70">
        <w:rPr>
          <w:rFonts w:ascii="Cambria" w:hAnsi="Cambria" w:cs="Calibri"/>
          <w:color w:val="000000"/>
          <w:sz w:val="20"/>
          <w:szCs w:val="20"/>
          <w:lang w:val="es-ES"/>
        </w:rPr>
        <w:t>septiembre</w:t>
      </w:r>
      <w:r w:rsidR="00DE2CA0" w:rsidRPr="00C42E74">
        <w:rPr>
          <w:rFonts w:ascii="Cambria" w:hAnsi="Cambria" w:cs="Calibri"/>
          <w:color w:val="000000"/>
          <w:sz w:val="20"/>
          <w:szCs w:val="20"/>
          <w:lang w:val="es-ES"/>
        </w:rPr>
        <w:t xml:space="preserve"> de 202</w:t>
      </w:r>
      <w:r w:rsidR="00D66961" w:rsidRPr="00C42E74">
        <w:rPr>
          <w:rFonts w:ascii="Cambria" w:hAnsi="Cambria" w:cs="Calibri"/>
          <w:color w:val="000000"/>
          <w:sz w:val="20"/>
          <w:szCs w:val="20"/>
          <w:lang w:val="es-ES"/>
        </w:rPr>
        <w:t>1</w:t>
      </w:r>
    </w:p>
    <w:p w14:paraId="5A7D70FB" w14:textId="77777777" w:rsidR="00CA27A7" w:rsidRPr="00C42E74" w:rsidRDefault="00CA27A7" w:rsidP="00B45B3C">
      <w:pPr>
        <w:spacing w:after="0" w:line="240" w:lineRule="auto"/>
        <w:jc w:val="right"/>
        <w:rPr>
          <w:rFonts w:ascii="Cambria" w:hAnsi="Cambria" w:cs="Calibri"/>
          <w:color w:val="000000"/>
          <w:sz w:val="20"/>
          <w:szCs w:val="20"/>
          <w:lang w:val="es-ES"/>
        </w:rPr>
      </w:pPr>
    </w:p>
    <w:p w14:paraId="1964460C" w14:textId="77777777" w:rsidR="00162CE1" w:rsidRPr="00C42E74" w:rsidRDefault="0042403B" w:rsidP="002E628E">
      <w:pPr>
        <w:spacing w:after="0" w:line="240" w:lineRule="auto"/>
        <w:jc w:val="both"/>
        <w:rPr>
          <w:rFonts w:ascii="Cambria" w:hAnsi="Cambria" w:cs="Calibri"/>
          <w:b/>
          <w:color w:val="000000"/>
          <w:sz w:val="20"/>
          <w:szCs w:val="20"/>
          <w:lang w:val="pt-BR"/>
        </w:rPr>
      </w:pPr>
      <w:r w:rsidRPr="00C42E74">
        <w:rPr>
          <w:rFonts w:ascii="Cambria" w:hAnsi="Cambria" w:cs="Calibri"/>
          <w:b/>
          <w:color w:val="000000"/>
          <w:sz w:val="20"/>
          <w:szCs w:val="20"/>
          <w:lang w:val="pt-BR"/>
        </w:rPr>
        <w:t>REF</w:t>
      </w:r>
      <w:r w:rsidR="00162CE1" w:rsidRPr="00C42E74">
        <w:rPr>
          <w:rFonts w:ascii="Cambria" w:hAnsi="Cambria" w:cs="Calibri"/>
          <w:b/>
          <w:color w:val="000000"/>
          <w:sz w:val="20"/>
          <w:szCs w:val="20"/>
          <w:lang w:val="pt-BR"/>
        </w:rPr>
        <w:t>.:</w:t>
      </w:r>
      <w:bookmarkStart w:id="0" w:name="Peticion_n"/>
      <w:bookmarkEnd w:id="0"/>
      <w:r w:rsidR="00A2631B" w:rsidRPr="00C42E74">
        <w:rPr>
          <w:rFonts w:ascii="Cambria" w:hAnsi="Cambria" w:cs="Calibri"/>
          <w:b/>
          <w:color w:val="000000"/>
          <w:sz w:val="20"/>
          <w:szCs w:val="20"/>
          <w:lang w:val="pt-BR"/>
        </w:rPr>
        <w:tab/>
        <w:t>Caso Nº</w:t>
      </w:r>
      <w:r w:rsidR="00162CE1" w:rsidRPr="00C42E74">
        <w:rPr>
          <w:rFonts w:ascii="Cambria" w:hAnsi="Cambria" w:cs="Calibri"/>
          <w:b/>
          <w:color w:val="000000"/>
          <w:sz w:val="20"/>
          <w:szCs w:val="20"/>
          <w:lang w:val="pt-BR"/>
        </w:rPr>
        <w:t xml:space="preserve"> </w:t>
      </w:r>
      <w:r w:rsidR="00CA27A7">
        <w:rPr>
          <w:rFonts w:ascii="Cambria" w:hAnsi="Cambria" w:cs="Calibri"/>
          <w:b/>
          <w:color w:val="000000"/>
          <w:sz w:val="20"/>
          <w:szCs w:val="20"/>
          <w:lang w:val="pt-BR"/>
        </w:rPr>
        <w:t>11.774</w:t>
      </w:r>
    </w:p>
    <w:p w14:paraId="36DFED50" w14:textId="77777777" w:rsidR="00CA27A7" w:rsidRPr="00CA27A7" w:rsidRDefault="00CA27A7" w:rsidP="002E628E">
      <w:pPr>
        <w:spacing w:after="0" w:line="240" w:lineRule="auto"/>
        <w:ind w:firstLine="720"/>
        <w:jc w:val="both"/>
        <w:rPr>
          <w:rFonts w:ascii="Cambria" w:hAnsi="Cambria" w:cs="Calibri"/>
          <w:b/>
          <w:color w:val="000000"/>
          <w:sz w:val="20"/>
          <w:szCs w:val="20"/>
          <w:lang w:val="pt-BR"/>
        </w:rPr>
      </w:pPr>
      <w:r w:rsidRPr="00CA27A7">
        <w:rPr>
          <w:rFonts w:ascii="Cambria" w:hAnsi="Cambria" w:cs="Calibri"/>
          <w:b/>
          <w:color w:val="000000"/>
          <w:sz w:val="20"/>
          <w:szCs w:val="20"/>
          <w:lang w:val="pt-BR"/>
        </w:rPr>
        <w:t xml:space="preserve">Héctor Hugo Boleso </w:t>
      </w:r>
    </w:p>
    <w:p w14:paraId="479FDD52" w14:textId="77777777" w:rsidR="00DE2CA0" w:rsidRPr="00C42E74" w:rsidRDefault="00D66961" w:rsidP="002E628E">
      <w:pPr>
        <w:spacing w:after="0" w:line="240" w:lineRule="auto"/>
        <w:ind w:firstLine="720"/>
        <w:jc w:val="both"/>
        <w:rPr>
          <w:rFonts w:ascii="Cambria" w:hAnsi="Cambria" w:cs="Calibri"/>
          <w:b/>
          <w:color w:val="000000"/>
          <w:sz w:val="20"/>
          <w:szCs w:val="20"/>
          <w:lang w:val="es-ES"/>
        </w:rPr>
      </w:pPr>
      <w:r w:rsidRPr="00C42E74">
        <w:rPr>
          <w:rFonts w:ascii="Cambria" w:hAnsi="Cambria" w:cs="Calibri"/>
          <w:b/>
          <w:color w:val="000000"/>
          <w:sz w:val="20"/>
          <w:szCs w:val="20"/>
          <w:lang w:val="es-ES"/>
        </w:rPr>
        <w:t>Argentina</w:t>
      </w:r>
    </w:p>
    <w:p w14:paraId="5AFA62A9" w14:textId="77777777" w:rsidR="00F2205F" w:rsidRPr="00C42E74" w:rsidRDefault="00F2205F" w:rsidP="002E628E">
      <w:pPr>
        <w:spacing w:after="0" w:line="240" w:lineRule="auto"/>
        <w:jc w:val="both"/>
        <w:rPr>
          <w:rFonts w:ascii="Cambria" w:hAnsi="Cambria" w:cs="Calibri"/>
          <w:b/>
          <w:color w:val="000000"/>
          <w:sz w:val="20"/>
          <w:szCs w:val="20"/>
          <w:lang w:val="es-ES"/>
        </w:rPr>
      </w:pPr>
    </w:p>
    <w:p w14:paraId="52A7DF5C" w14:textId="77777777" w:rsidR="00355896" w:rsidRPr="00C42E74" w:rsidRDefault="00355896" w:rsidP="002E628E">
      <w:pPr>
        <w:spacing w:after="0" w:line="240" w:lineRule="auto"/>
        <w:jc w:val="both"/>
        <w:rPr>
          <w:rFonts w:ascii="Cambria" w:hAnsi="Cambria" w:cs="Calibri"/>
          <w:b/>
          <w:color w:val="000000"/>
          <w:sz w:val="20"/>
          <w:szCs w:val="20"/>
          <w:lang w:val="es-ES"/>
        </w:rPr>
      </w:pPr>
    </w:p>
    <w:p w14:paraId="0D30B0D4" w14:textId="77777777" w:rsidR="00162CE1" w:rsidRPr="00C42E74" w:rsidRDefault="00162CE1" w:rsidP="002E628E">
      <w:pPr>
        <w:spacing w:after="0" w:line="240" w:lineRule="auto"/>
        <w:jc w:val="both"/>
        <w:rPr>
          <w:rFonts w:ascii="Cambria" w:hAnsi="Cambria" w:cs="Calibri"/>
          <w:color w:val="000000"/>
          <w:sz w:val="20"/>
          <w:szCs w:val="20"/>
          <w:lang w:val="es-ES"/>
        </w:rPr>
      </w:pPr>
      <w:r w:rsidRPr="00C42E74">
        <w:rPr>
          <w:rFonts w:ascii="Cambria" w:hAnsi="Cambria" w:cs="Calibri"/>
          <w:color w:val="000000"/>
          <w:sz w:val="20"/>
          <w:szCs w:val="20"/>
          <w:lang w:val="es-ES"/>
        </w:rPr>
        <w:t>Señor Secretario:</w:t>
      </w:r>
    </w:p>
    <w:p w14:paraId="1FFC77C7" w14:textId="77777777" w:rsidR="00162CE1" w:rsidRPr="00C42E74" w:rsidRDefault="00162CE1" w:rsidP="002E628E">
      <w:pPr>
        <w:spacing w:after="0" w:line="240" w:lineRule="auto"/>
        <w:jc w:val="both"/>
        <w:rPr>
          <w:rFonts w:ascii="Cambria" w:hAnsi="Cambria" w:cs="Calibri"/>
          <w:color w:val="000000"/>
          <w:sz w:val="20"/>
          <w:szCs w:val="20"/>
          <w:lang w:val="es-ES"/>
        </w:rPr>
      </w:pPr>
    </w:p>
    <w:p w14:paraId="338BE110" w14:textId="77777777" w:rsidR="00CA27A7" w:rsidRDefault="003373BB" w:rsidP="00CA27A7">
      <w:pPr>
        <w:tabs>
          <w:tab w:val="left" w:pos="720"/>
          <w:tab w:val="left" w:pos="1440"/>
        </w:tabs>
        <w:spacing w:after="0" w:line="240" w:lineRule="auto"/>
        <w:jc w:val="both"/>
        <w:rPr>
          <w:rFonts w:ascii="Cambria" w:hAnsi="Cambria"/>
          <w:sz w:val="20"/>
          <w:szCs w:val="20"/>
          <w:lang w:val="es-ES"/>
        </w:rPr>
      </w:pPr>
      <w:r w:rsidRPr="00C42E74">
        <w:rPr>
          <w:rFonts w:ascii="Cambria" w:hAnsi="Cambria" w:cs="Calibri"/>
          <w:color w:val="000000"/>
          <w:sz w:val="20"/>
          <w:szCs w:val="20"/>
          <w:lang w:val="es-ES"/>
        </w:rPr>
        <w:tab/>
      </w:r>
      <w:r w:rsidR="00162CE1" w:rsidRPr="00C42E74">
        <w:rPr>
          <w:rFonts w:ascii="Cambria" w:hAnsi="Cambria" w:cs="Calibri"/>
          <w:color w:val="000000"/>
          <w:sz w:val="20"/>
          <w:szCs w:val="20"/>
          <w:lang w:val="es-ES"/>
        </w:rPr>
        <w:t>Tengo el agrado de dirigirme a usted</w:t>
      </w:r>
      <w:r w:rsidR="0042403B" w:rsidRPr="00C42E74">
        <w:rPr>
          <w:rFonts w:ascii="Cambria" w:hAnsi="Cambria" w:cs="Calibri"/>
          <w:color w:val="000000"/>
          <w:sz w:val="20"/>
          <w:szCs w:val="20"/>
          <w:lang w:val="es-ES"/>
        </w:rPr>
        <w:t>,</w:t>
      </w:r>
      <w:r w:rsidR="00162CE1" w:rsidRPr="00C42E74">
        <w:rPr>
          <w:rFonts w:ascii="Cambria" w:hAnsi="Cambria" w:cs="Calibri"/>
          <w:color w:val="000000"/>
          <w:sz w:val="20"/>
          <w:szCs w:val="20"/>
          <w:lang w:val="es-ES"/>
        </w:rPr>
        <w:t xml:space="preserve"> en nombre de la Comisión Interamericana de Derechos Humanos</w:t>
      </w:r>
      <w:r w:rsidR="0042403B" w:rsidRPr="00C42E74">
        <w:rPr>
          <w:rFonts w:ascii="Cambria" w:hAnsi="Cambria" w:cs="Calibri"/>
          <w:color w:val="000000"/>
          <w:sz w:val="20"/>
          <w:szCs w:val="20"/>
          <w:lang w:val="es-ES"/>
        </w:rPr>
        <w:t>,</w:t>
      </w:r>
      <w:r w:rsidR="00162CE1" w:rsidRPr="00C42E74">
        <w:rPr>
          <w:rFonts w:ascii="Cambria" w:hAnsi="Cambria" w:cs="Calibri"/>
          <w:color w:val="000000"/>
          <w:sz w:val="20"/>
          <w:szCs w:val="20"/>
          <w:lang w:val="es-ES"/>
        </w:rPr>
        <w:t xml:space="preserve"> con el objeto de someter a la jurisdicción de la Honorable Corte Interame</w:t>
      </w:r>
      <w:r w:rsidR="009E433A" w:rsidRPr="00C42E74">
        <w:rPr>
          <w:rFonts w:ascii="Cambria" w:hAnsi="Cambria" w:cs="Calibri"/>
          <w:color w:val="000000"/>
          <w:sz w:val="20"/>
          <w:szCs w:val="20"/>
          <w:lang w:val="es-ES"/>
        </w:rPr>
        <w:t xml:space="preserve">ricana de Derechos Humanos, el </w:t>
      </w:r>
      <w:r w:rsidR="002E628E" w:rsidRPr="00C42E74">
        <w:rPr>
          <w:rFonts w:ascii="Cambria" w:hAnsi="Cambria" w:cs="Calibri"/>
          <w:color w:val="000000"/>
          <w:sz w:val="20"/>
          <w:szCs w:val="20"/>
          <w:lang w:val="es-ES"/>
        </w:rPr>
        <w:t>C</w:t>
      </w:r>
      <w:r w:rsidR="00162CE1" w:rsidRPr="00C42E74">
        <w:rPr>
          <w:rFonts w:ascii="Cambria" w:hAnsi="Cambria" w:cs="Calibri"/>
          <w:color w:val="000000"/>
          <w:sz w:val="20"/>
          <w:szCs w:val="20"/>
          <w:lang w:val="es-ES"/>
        </w:rPr>
        <w:t xml:space="preserve">aso </w:t>
      </w:r>
      <w:bookmarkStart w:id="1" w:name="Peticion_n1"/>
      <w:bookmarkEnd w:id="1"/>
      <w:r w:rsidR="00CA27A7">
        <w:rPr>
          <w:rFonts w:ascii="Cambria" w:hAnsi="Cambria" w:cs="Calibri"/>
          <w:color w:val="000000"/>
          <w:sz w:val="20"/>
          <w:szCs w:val="20"/>
          <w:lang w:val="es-ES"/>
        </w:rPr>
        <w:t>11.774</w:t>
      </w:r>
      <w:r w:rsidR="009E433A" w:rsidRPr="00C42E74">
        <w:rPr>
          <w:rFonts w:ascii="Cambria" w:hAnsi="Cambria" w:cs="Calibri"/>
          <w:color w:val="000000"/>
          <w:sz w:val="20"/>
          <w:szCs w:val="20"/>
          <w:lang w:val="es-ES"/>
        </w:rPr>
        <w:t xml:space="preserve"> </w:t>
      </w:r>
      <w:r w:rsidR="00E31CFC" w:rsidRPr="00C42E74">
        <w:rPr>
          <w:rFonts w:ascii="Cambria" w:hAnsi="Cambria" w:cs="Calibri"/>
          <w:color w:val="000000"/>
          <w:sz w:val="20"/>
          <w:szCs w:val="20"/>
          <w:lang w:val="es-ES"/>
        </w:rPr>
        <w:t>–</w:t>
      </w:r>
      <w:r w:rsidR="00162CE1" w:rsidRPr="00C42E74">
        <w:rPr>
          <w:rFonts w:ascii="Cambria" w:hAnsi="Cambria" w:cs="Calibri"/>
          <w:color w:val="000000"/>
          <w:sz w:val="20"/>
          <w:szCs w:val="20"/>
          <w:lang w:val="es-ES"/>
        </w:rPr>
        <w:t xml:space="preserve"> </w:t>
      </w:r>
      <w:r w:rsidR="00CA27A7">
        <w:rPr>
          <w:rFonts w:ascii="Cambria" w:hAnsi="Cambria" w:cs="Calibri"/>
          <w:color w:val="000000"/>
          <w:sz w:val="20"/>
          <w:szCs w:val="20"/>
          <w:lang w:val="es-ES"/>
        </w:rPr>
        <w:t>Héctor Hugo Boleso</w:t>
      </w:r>
      <w:r w:rsidR="005C3BEB" w:rsidRPr="00C42E74">
        <w:rPr>
          <w:rFonts w:ascii="Cambria" w:hAnsi="Cambria" w:cs="Calibri"/>
          <w:color w:val="000000"/>
          <w:sz w:val="20"/>
          <w:szCs w:val="20"/>
          <w:lang w:val="es-ES"/>
        </w:rPr>
        <w:t xml:space="preserve"> respecto </w:t>
      </w:r>
      <w:r w:rsidR="00CB0139" w:rsidRPr="00C42E74">
        <w:rPr>
          <w:rFonts w:ascii="Cambria" w:hAnsi="Cambria" w:cs="Calibri"/>
          <w:color w:val="000000"/>
          <w:sz w:val="20"/>
          <w:szCs w:val="20"/>
          <w:lang w:val="es-ES"/>
        </w:rPr>
        <w:t>de</w:t>
      </w:r>
      <w:r w:rsidR="004A2758" w:rsidRPr="00C42E74">
        <w:rPr>
          <w:rFonts w:ascii="Cambria" w:hAnsi="Cambria" w:cs="Calibri"/>
          <w:color w:val="000000"/>
          <w:sz w:val="20"/>
          <w:szCs w:val="20"/>
          <w:lang w:val="es-ES"/>
        </w:rPr>
        <w:t xml:space="preserve"> </w:t>
      </w:r>
      <w:r w:rsidR="00333497" w:rsidRPr="00C42E74">
        <w:rPr>
          <w:rFonts w:ascii="Cambria" w:hAnsi="Cambria" w:cs="Calibri"/>
          <w:color w:val="000000"/>
          <w:sz w:val="20"/>
          <w:szCs w:val="20"/>
          <w:lang w:val="es-ES"/>
        </w:rPr>
        <w:t xml:space="preserve">la República </w:t>
      </w:r>
      <w:r w:rsidR="00D66961" w:rsidRPr="00C42E74">
        <w:rPr>
          <w:rFonts w:ascii="Cambria" w:hAnsi="Cambria" w:cs="Calibri"/>
          <w:color w:val="000000"/>
          <w:sz w:val="20"/>
          <w:szCs w:val="20"/>
          <w:lang w:val="es-ES"/>
        </w:rPr>
        <w:t>Argentina</w:t>
      </w:r>
      <w:r w:rsidR="00162CE1" w:rsidRPr="00C42E74">
        <w:rPr>
          <w:rFonts w:ascii="Cambria" w:hAnsi="Cambria" w:cs="Calibri"/>
          <w:color w:val="000000"/>
          <w:sz w:val="20"/>
          <w:szCs w:val="20"/>
          <w:lang w:val="es-ES"/>
        </w:rPr>
        <w:t xml:space="preserve"> (en adelante “el Estado”, “el Estado </w:t>
      </w:r>
      <w:r w:rsidR="00D66961" w:rsidRPr="00C42E74">
        <w:rPr>
          <w:rFonts w:ascii="Cambria" w:hAnsi="Cambria" w:cs="Calibri"/>
          <w:color w:val="000000"/>
          <w:sz w:val="20"/>
          <w:szCs w:val="20"/>
          <w:lang w:val="es-ES"/>
        </w:rPr>
        <w:t>argentin</w:t>
      </w:r>
      <w:r w:rsidR="00333497" w:rsidRPr="00C42E74">
        <w:rPr>
          <w:rFonts w:ascii="Cambria" w:hAnsi="Cambria" w:cs="Calibri"/>
          <w:color w:val="000000"/>
          <w:sz w:val="20"/>
          <w:szCs w:val="20"/>
          <w:lang w:val="es-ES"/>
        </w:rPr>
        <w:t>o</w:t>
      </w:r>
      <w:r w:rsidR="00162CE1" w:rsidRPr="00C42E74">
        <w:rPr>
          <w:rFonts w:ascii="Cambria" w:hAnsi="Cambria" w:cs="Calibri"/>
          <w:color w:val="000000"/>
          <w:sz w:val="20"/>
          <w:szCs w:val="20"/>
          <w:lang w:val="es-ES"/>
        </w:rPr>
        <w:t>” o “</w:t>
      </w:r>
      <w:r w:rsidR="00D66961" w:rsidRPr="00C42E74">
        <w:rPr>
          <w:rFonts w:ascii="Cambria" w:hAnsi="Cambria" w:cs="Calibri"/>
          <w:color w:val="000000"/>
          <w:sz w:val="20"/>
          <w:szCs w:val="20"/>
          <w:lang w:val="es-ES"/>
        </w:rPr>
        <w:t>Argentina</w:t>
      </w:r>
      <w:r w:rsidR="00162CE1" w:rsidRPr="00C42E74">
        <w:rPr>
          <w:rFonts w:ascii="Cambria" w:hAnsi="Cambria" w:cs="Calibri"/>
          <w:color w:val="000000"/>
          <w:sz w:val="20"/>
          <w:szCs w:val="20"/>
          <w:lang w:val="es-ES"/>
        </w:rPr>
        <w:t>”)</w:t>
      </w:r>
      <w:r w:rsidR="007E011B" w:rsidRPr="00C42E74">
        <w:rPr>
          <w:rFonts w:ascii="Cambria" w:hAnsi="Cambria" w:cs="Calibri"/>
          <w:color w:val="000000"/>
          <w:sz w:val="20"/>
          <w:szCs w:val="20"/>
          <w:lang w:val="es-ES"/>
        </w:rPr>
        <w:t xml:space="preserve">. El presente caso </w:t>
      </w:r>
      <w:r w:rsidR="00C31977" w:rsidRPr="00C42E74">
        <w:rPr>
          <w:rFonts w:ascii="Cambria" w:hAnsi="Cambria" w:cs="Calibri"/>
          <w:color w:val="000000"/>
          <w:sz w:val="20"/>
          <w:szCs w:val="20"/>
          <w:lang w:val="es-ES"/>
        </w:rPr>
        <w:t xml:space="preserve">se </w:t>
      </w:r>
      <w:r w:rsidR="00D66961" w:rsidRPr="00C42E74">
        <w:rPr>
          <w:rFonts w:ascii="Cambria" w:hAnsi="Cambria" w:cs="Calibri"/>
          <w:color w:val="000000"/>
          <w:sz w:val="20"/>
          <w:szCs w:val="20"/>
          <w:lang w:val="es-ES"/>
        </w:rPr>
        <w:t xml:space="preserve">refiere a </w:t>
      </w:r>
      <w:r w:rsidR="00CA27A7" w:rsidRPr="00397D35">
        <w:rPr>
          <w:rFonts w:ascii="Cambria" w:hAnsi="Cambria"/>
          <w:sz w:val="20"/>
          <w:szCs w:val="20"/>
          <w:lang w:val="es-ES"/>
        </w:rPr>
        <w:t xml:space="preserve">la responsabilidad internacional </w:t>
      </w:r>
      <w:r w:rsidR="00F87A1B">
        <w:rPr>
          <w:rFonts w:ascii="Cambria" w:hAnsi="Cambria"/>
          <w:sz w:val="20"/>
          <w:szCs w:val="20"/>
          <w:lang w:val="es-ES"/>
        </w:rPr>
        <w:t>del Estado</w:t>
      </w:r>
      <w:r w:rsidR="00CA27A7" w:rsidRPr="00397D35">
        <w:rPr>
          <w:rFonts w:ascii="Cambria" w:hAnsi="Cambria"/>
          <w:sz w:val="20"/>
          <w:szCs w:val="20"/>
          <w:lang w:val="es-ES"/>
        </w:rPr>
        <w:t xml:space="preserve"> </w:t>
      </w:r>
      <w:r w:rsidR="00CA27A7">
        <w:rPr>
          <w:rFonts w:ascii="Cambria" w:hAnsi="Cambria"/>
          <w:sz w:val="20"/>
          <w:szCs w:val="20"/>
          <w:lang w:val="es-ES"/>
        </w:rPr>
        <w:t xml:space="preserve">por el </w:t>
      </w:r>
      <w:r w:rsidR="00CA27A7" w:rsidRPr="00E65025">
        <w:rPr>
          <w:rFonts w:ascii="Cambria" w:hAnsi="Cambria"/>
          <w:sz w:val="20"/>
          <w:szCs w:val="20"/>
          <w:lang w:val="es-ES"/>
        </w:rPr>
        <w:t>retardo en la decisión de una acción de amparo</w:t>
      </w:r>
      <w:r w:rsidR="00CA27A7">
        <w:rPr>
          <w:rFonts w:ascii="Cambria" w:hAnsi="Cambria"/>
          <w:sz w:val="20"/>
          <w:szCs w:val="20"/>
          <w:lang w:val="es-ES"/>
        </w:rPr>
        <w:t xml:space="preserve"> relativa a la remuneración de un juez.</w:t>
      </w:r>
    </w:p>
    <w:p w14:paraId="1845FF80" w14:textId="77777777" w:rsidR="00CA27A7" w:rsidRDefault="00CA27A7" w:rsidP="00CA27A7">
      <w:pPr>
        <w:tabs>
          <w:tab w:val="left" w:pos="720"/>
          <w:tab w:val="left" w:pos="1440"/>
        </w:tabs>
        <w:spacing w:after="0" w:line="240" w:lineRule="auto"/>
        <w:jc w:val="both"/>
        <w:rPr>
          <w:rFonts w:ascii="Cambria" w:hAnsi="Cambria"/>
          <w:sz w:val="20"/>
          <w:szCs w:val="20"/>
          <w:lang w:val="es-ES"/>
        </w:rPr>
      </w:pPr>
    </w:p>
    <w:p w14:paraId="50679F6D" w14:textId="77777777" w:rsidR="00CA27A7" w:rsidRDefault="00CA27A7" w:rsidP="00CA27A7">
      <w:pPr>
        <w:tabs>
          <w:tab w:val="left" w:pos="720"/>
          <w:tab w:val="left" w:pos="1440"/>
        </w:tabs>
        <w:spacing w:after="0" w:line="240" w:lineRule="auto"/>
        <w:jc w:val="both"/>
        <w:rPr>
          <w:rFonts w:ascii="Cambria" w:hAnsi="Cambria"/>
          <w:sz w:val="20"/>
          <w:szCs w:val="20"/>
          <w:lang w:val="es-ES"/>
        </w:rPr>
      </w:pPr>
      <w:r>
        <w:rPr>
          <w:rFonts w:ascii="Cambria" w:hAnsi="Cambria"/>
          <w:sz w:val="20"/>
          <w:szCs w:val="20"/>
          <w:lang w:val="es-ES"/>
        </w:rPr>
        <w:tab/>
      </w:r>
      <w:r w:rsidRPr="00832E06">
        <w:rPr>
          <w:rFonts w:ascii="Cambria" w:hAnsi="Cambria"/>
          <w:sz w:val="20"/>
          <w:szCs w:val="20"/>
          <w:lang w:val="es-ES"/>
        </w:rPr>
        <w:t xml:space="preserve">El 21 de febrero de 1990 el señor Héctor Hugo Boleso, quien al momento era juez laboral de la Provincia de Corrientes, presentó una acción de amparo por considerar violado su derecho a la intangibilidad de su remuneración, </w:t>
      </w:r>
      <w:r w:rsidR="00F87A1B">
        <w:rPr>
          <w:rFonts w:ascii="Cambria" w:hAnsi="Cambria"/>
          <w:sz w:val="20"/>
          <w:szCs w:val="20"/>
          <w:lang w:val="es-ES"/>
        </w:rPr>
        <w:t xml:space="preserve">derecho </w:t>
      </w:r>
      <w:r w:rsidRPr="00832E06">
        <w:rPr>
          <w:rFonts w:ascii="Cambria" w:hAnsi="Cambria"/>
          <w:sz w:val="20"/>
          <w:szCs w:val="20"/>
          <w:lang w:val="es-ES"/>
        </w:rPr>
        <w:t xml:space="preserve">reconocido constitucionalmente. </w:t>
      </w:r>
      <w:r>
        <w:rPr>
          <w:rFonts w:ascii="Cambria" w:hAnsi="Cambria"/>
          <w:sz w:val="20"/>
          <w:szCs w:val="20"/>
          <w:lang w:val="es-ES"/>
        </w:rPr>
        <w:t xml:space="preserve">La sentencia </w:t>
      </w:r>
      <w:r w:rsidR="00F87A1B">
        <w:rPr>
          <w:rFonts w:ascii="Cambria" w:hAnsi="Cambria"/>
          <w:sz w:val="20"/>
          <w:szCs w:val="20"/>
          <w:lang w:val="es-ES"/>
        </w:rPr>
        <w:t>de</w:t>
      </w:r>
      <w:r>
        <w:rPr>
          <w:rFonts w:ascii="Cambria" w:hAnsi="Cambria"/>
          <w:sz w:val="20"/>
          <w:szCs w:val="20"/>
          <w:lang w:val="es-ES"/>
        </w:rPr>
        <w:t xml:space="preserve"> primera instancia del </w:t>
      </w:r>
      <w:r w:rsidRPr="00832E06">
        <w:rPr>
          <w:rFonts w:ascii="Cambria" w:hAnsi="Cambria"/>
          <w:sz w:val="20"/>
          <w:szCs w:val="20"/>
          <w:lang w:val="es-ES"/>
        </w:rPr>
        <w:t xml:space="preserve">18 de junio de 1991 </w:t>
      </w:r>
      <w:r w:rsidR="00F87A1B">
        <w:rPr>
          <w:rFonts w:ascii="Cambria" w:hAnsi="Cambria"/>
          <w:sz w:val="20"/>
          <w:szCs w:val="20"/>
          <w:lang w:val="es-ES"/>
        </w:rPr>
        <w:t>rechazó la acción. Sin embargo,</w:t>
      </w:r>
      <w:r w:rsidRPr="00832E06">
        <w:rPr>
          <w:rFonts w:ascii="Cambria" w:hAnsi="Cambria"/>
          <w:sz w:val="20"/>
          <w:szCs w:val="20"/>
          <w:lang w:val="es-ES"/>
        </w:rPr>
        <w:t xml:space="preserve"> </w:t>
      </w:r>
      <w:r w:rsidR="00F87A1B" w:rsidRPr="00832E06">
        <w:rPr>
          <w:rFonts w:ascii="Cambria" w:hAnsi="Cambria"/>
          <w:sz w:val="20"/>
          <w:szCs w:val="20"/>
          <w:lang w:val="es-ES"/>
        </w:rPr>
        <w:t xml:space="preserve">el 7 de agosto de 1992 el Superior Tribunal de Justicia de la Provincia de Corrientes </w:t>
      </w:r>
      <w:r w:rsidR="00F87A1B">
        <w:rPr>
          <w:rFonts w:ascii="Cambria" w:hAnsi="Cambria"/>
          <w:sz w:val="20"/>
          <w:szCs w:val="20"/>
          <w:lang w:val="es-ES"/>
        </w:rPr>
        <w:t>revocó dicha decisión</w:t>
      </w:r>
      <w:r w:rsidR="00232B70">
        <w:rPr>
          <w:rFonts w:ascii="Cambria" w:hAnsi="Cambria"/>
          <w:sz w:val="20"/>
          <w:szCs w:val="20"/>
          <w:lang w:val="es-ES"/>
        </w:rPr>
        <w:t xml:space="preserve"> en su integralidad</w:t>
      </w:r>
      <w:r w:rsidRPr="00832E06">
        <w:rPr>
          <w:rFonts w:ascii="Cambria" w:hAnsi="Cambria"/>
          <w:sz w:val="20"/>
          <w:szCs w:val="20"/>
          <w:lang w:val="es-ES"/>
        </w:rPr>
        <w:t>.</w:t>
      </w:r>
      <w:r>
        <w:rPr>
          <w:rFonts w:ascii="Cambria" w:hAnsi="Cambria"/>
          <w:sz w:val="20"/>
          <w:szCs w:val="20"/>
          <w:lang w:val="es-ES"/>
        </w:rPr>
        <w:t xml:space="preserve"> </w:t>
      </w:r>
      <w:r w:rsidRPr="004C5687">
        <w:rPr>
          <w:rFonts w:ascii="Cambria" w:hAnsi="Cambria"/>
          <w:sz w:val="20"/>
          <w:szCs w:val="20"/>
          <w:lang w:val="es-ES"/>
        </w:rPr>
        <w:t>El 28 de agosto de 1992 la Provincia de Corrientes interpuso recurso extraordinario federal, el cual fue rechazado el 4 de agosto de 1997.</w:t>
      </w:r>
    </w:p>
    <w:p w14:paraId="325BEED7" w14:textId="77777777" w:rsidR="00CA27A7" w:rsidRDefault="00CA27A7" w:rsidP="00CA27A7">
      <w:pPr>
        <w:spacing w:after="0" w:line="240" w:lineRule="auto"/>
        <w:jc w:val="both"/>
        <w:rPr>
          <w:rFonts w:ascii="Cambria" w:hAnsi="Cambria"/>
          <w:sz w:val="20"/>
          <w:szCs w:val="20"/>
          <w:lang w:val="es-ES"/>
        </w:rPr>
      </w:pPr>
    </w:p>
    <w:p w14:paraId="0BE68A92" w14:textId="77777777" w:rsidR="00CA27A7" w:rsidRDefault="00CA27A7" w:rsidP="00CA27A7">
      <w:pPr>
        <w:tabs>
          <w:tab w:val="left" w:pos="360"/>
          <w:tab w:val="left" w:pos="720"/>
          <w:tab w:val="num" w:pos="2040"/>
        </w:tabs>
        <w:spacing w:after="0" w:line="240" w:lineRule="auto"/>
        <w:jc w:val="both"/>
        <w:rPr>
          <w:rFonts w:ascii="Cambria" w:hAnsi="Cambria"/>
          <w:sz w:val="20"/>
          <w:szCs w:val="20"/>
          <w:lang w:val="es-ES"/>
        </w:rPr>
      </w:pPr>
      <w:r>
        <w:rPr>
          <w:rFonts w:ascii="Cambria" w:hAnsi="Cambria"/>
          <w:sz w:val="20"/>
          <w:szCs w:val="20"/>
          <w:lang w:val="es-ES"/>
        </w:rPr>
        <w:tab/>
      </w:r>
      <w:r>
        <w:rPr>
          <w:rFonts w:ascii="Cambria" w:hAnsi="Cambria"/>
          <w:sz w:val="20"/>
          <w:szCs w:val="20"/>
          <w:lang w:val="es-ES"/>
        </w:rPr>
        <w:tab/>
      </w:r>
      <w:r w:rsidRPr="003C0E05">
        <w:rPr>
          <w:rFonts w:ascii="Cambria" w:hAnsi="Cambria"/>
          <w:sz w:val="20"/>
          <w:szCs w:val="20"/>
          <w:lang w:val="es-ES"/>
        </w:rPr>
        <w:t xml:space="preserve">Posteriormente el señor Boleso intentó ejecutar la sentencia, formulando la correspondiente planilla para el pago, la cual fue impugnada por el Estado sobre la base de que la sentencia era solo declarativa y no condenaba al pago de </w:t>
      </w:r>
      <w:r w:rsidR="00F87A1B">
        <w:rPr>
          <w:rFonts w:ascii="Cambria" w:hAnsi="Cambria"/>
          <w:sz w:val="20"/>
          <w:szCs w:val="20"/>
          <w:lang w:val="es-ES"/>
        </w:rPr>
        <w:t xml:space="preserve">una </w:t>
      </w:r>
      <w:r w:rsidRPr="003C0E05">
        <w:rPr>
          <w:rFonts w:ascii="Cambria" w:hAnsi="Cambria"/>
          <w:sz w:val="20"/>
          <w:szCs w:val="20"/>
          <w:lang w:val="es-ES"/>
        </w:rPr>
        <w:t>suma. El 28 de septiembre de 1999 el Superior Tribunal de Justicia de Corrientes revocó la sentencia del 7 de agosto de 1992</w:t>
      </w:r>
      <w:r w:rsidR="00F87A1B">
        <w:rPr>
          <w:rFonts w:ascii="Cambria" w:hAnsi="Cambria"/>
          <w:sz w:val="20"/>
          <w:szCs w:val="20"/>
          <w:lang w:val="es-ES"/>
        </w:rPr>
        <w:t xml:space="preserve"> estableciendo</w:t>
      </w:r>
      <w:r w:rsidRPr="003C0E05">
        <w:rPr>
          <w:rFonts w:ascii="Cambria" w:hAnsi="Cambria"/>
          <w:sz w:val="20"/>
          <w:szCs w:val="20"/>
          <w:lang w:val="es-ES"/>
        </w:rPr>
        <w:t xml:space="preserve"> que la misma era meramente declarativa. El señor Boleso interpuso recurso extraordinario federal, </w:t>
      </w:r>
      <w:r w:rsidR="00F87A1B">
        <w:rPr>
          <w:rFonts w:ascii="Cambria" w:hAnsi="Cambria"/>
          <w:sz w:val="20"/>
          <w:szCs w:val="20"/>
          <w:lang w:val="es-ES"/>
        </w:rPr>
        <w:t xml:space="preserve">el cual </w:t>
      </w:r>
      <w:r w:rsidRPr="003C0E05">
        <w:rPr>
          <w:rFonts w:ascii="Cambria" w:hAnsi="Cambria"/>
          <w:sz w:val="20"/>
          <w:szCs w:val="20"/>
          <w:lang w:val="es-ES"/>
        </w:rPr>
        <w:t xml:space="preserve">fue desestimado. Posteriormente interpuso recurso de queja por denegación de recurso extraordinario federal. El 4 de junio de 2004, la Corte Suprema de Justicia </w:t>
      </w:r>
      <w:r w:rsidR="00F87A1B">
        <w:rPr>
          <w:rFonts w:ascii="Cambria" w:hAnsi="Cambria"/>
          <w:sz w:val="20"/>
          <w:szCs w:val="20"/>
          <w:lang w:val="es-ES"/>
        </w:rPr>
        <w:t xml:space="preserve">de la Nación </w:t>
      </w:r>
      <w:r w:rsidRPr="003C0E05">
        <w:rPr>
          <w:rFonts w:ascii="Cambria" w:hAnsi="Cambria"/>
          <w:sz w:val="20"/>
          <w:szCs w:val="20"/>
          <w:lang w:val="es-ES"/>
        </w:rPr>
        <w:t>hizo lugar parcialmente al recurso y ordenó reformular la planilla.</w:t>
      </w:r>
      <w:r>
        <w:rPr>
          <w:rFonts w:ascii="Cambria" w:hAnsi="Cambria"/>
          <w:sz w:val="20"/>
          <w:szCs w:val="20"/>
          <w:lang w:val="es-ES"/>
        </w:rPr>
        <w:t xml:space="preserve"> Luego de un recurso presentado por la víctima el 1 de noviembre de 2007 se dispuso la remisión de los antecedentes a primera instancia. </w:t>
      </w:r>
      <w:r w:rsidRPr="00EC6504">
        <w:rPr>
          <w:rFonts w:ascii="Cambria" w:hAnsi="Cambria"/>
          <w:sz w:val="20"/>
          <w:szCs w:val="20"/>
          <w:lang w:val="es-ES"/>
        </w:rPr>
        <w:t>El 12 de diciembre de 2008 el señor Boleso inició ante la Fiscalía el expediente administrativo de cobro de la suma reconocida judicialmente. El 2 de marzo de 2011 el Estado provincial realizó el pago, el cual fue cobrado por el peticionario el 1 de junio de 2011 por la suma de $92.016,30.</w:t>
      </w:r>
    </w:p>
    <w:p w14:paraId="265EBC10" w14:textId="77777777" w:rsidR="00CA27A7" w:rsidRDefault="00CA27A7" w:rsidP="00CA27A7">
      <w:pPr>
        <w:tabs>
          <w:tab w:val="left" w:pos="360"/>
          <w:tab w:val="left" w:pos="1440"/>
          <w:tab w:val="num" w:pos="2040"/>
        </w:tabs>
        <w:spacing w:after="0" w:line="240" w:lineRule="auto"/>
        <w:jc w:val="both"/>
        <w:rPr>
          <w:rFonts w:ascii="Cambria" w:hAnsi="Cambria"/>
          <w:sz w:val="20"/>
          <w:szCs w:val="20"/>
          <w:lang w:val="es-ES"/>
        </w:rPr>
      </w:pPr>
    </w:p>
    <w:p w14:paraId="1B616E0F" w14:textId="77777777" w:rsidR="00CA27A7" w:rsidRDefault="00CA27A7" w:rsidP="00CA27A7">
      <w:pPr>
        <w:tabs>
          <w:tab w:val="left" w:pos="360"/>
          <w:tab w:val="left" w:pos="720"/>
          <w:tab w:val="num" w:pos="2040"/>
        </w:tabs>
        <w:spacing w:after="0" w:line="240" w:lineRule="auto"/>
        <w:jc w:val="both"/>
        <w:rPr>
          <w:rFonts w:ascii="Cambria" w:hAnsi="Cambria"/>
          <w:sz w:val="20"/>
          <w:szCs w:val="20"/>
          <w:lang w:val="es-ES"/>
        </w:rPr>
      </w:pPr>
      <w:r>
        <w:rPr>
          <w:rFonts w:ascii="Cambria" w:hAnsi="Cambria"/>
          <w:sz w:val="20"/>
          <w:szCs w:val="20"/>
          <w:lang w:val="es-ES"/>
        </w:rPr>
        <w:tab/>
      </w:r>
      <w:r>
        <w:rPr>
          <w:rFonts w:ascii="Cambria" w:hAnsi="Cambria"/>
          <w:sz w:val="20"/>
          <w:szCs w:val="20"/>
          <w:lang w:val="es-ES"/>
        </w:rPr>
        <w:tab/>
        <w:t xml:space="preserve">En su Informe de Fondo la Comisión </w:t>
      </w:r>
      <w:r w:rsidR="00F87A1B">
        <w:rPr>
          <w:rFonts w:ascii="Cambria" w:hAnsi="Cambria"/>
          <w:sz w:val="20"/>
          <w:szCs w:val="20"/>
          <w:lang w:val="es-ES"/>
        </w:rPr>
        <w:t>destacó la importancia de</w:t>
      </w:r>
      <w:r w:rsidRPr="004C5BA7">
        <w:rPr>
          <w:rFonts w:ascii="Cambria" w:hAnsi="Cambria"/>
          <w:sz w:val="20"/>
          <w:szCs w:val="20"/>
          <w:lang w:val="es-ES"/>
        </w:rPr>
        <w:t xml:space="preserve"> la garantía de plazo razonable en procesos relacionados con remuneraciones de jueces</w:t>
      </w:r>
      <w:r w:rsidR="00232B70">
        <w:rPr>
          <w:rFonts w:ascii="Cambria" w:hAnsi="Cambria"/>
          <w:sz w:val="20"/>
          <w:szCs w:val="20"/>
          <w:lang w:val="es-ES"/>
        </w:rPr>
        <w:t xml:space="preserve"> y juezas</w:t>
      </w:r>
      <w:r w:rsidRPr="004C5BA7">
        <w:rPr>
          <w:rFonts w:ascii="Cambria" w:hAnsi="Cambria"/>
          <w:sz w:val="20"/>
          <w:szCs w:val="20"/>
          <w:lang w:val="es-ES"/>
        </w:rPr>
        <w:t xml:space="preserve"> teniendo en cuenta la relación </w:t>
      </w:r>
      <w:r w:rsidR="00F87A1B">
        <w:rPr>
          <w:rFonts w:ascii="Cambria" w:hAnsi="Cambria"/>
          <w:sz w:val="20"/>
          <w:szCs w:val="20"/>
          <w:lang w:val="es-ES"/>
        </w:rPr>
        <w:t>existente entre</w:t>
      </w:r>
      <w:r w:rsidRPr="004C5BA7">
        <w:rPr>
          <w:rFonts w:ascii="Cambria" w:hAnsi="Cambria"/>
          <w:sz w:val="20"/>
          <w:szCs w:val="20"/>
          <w:lang w:val="es-ES"/>
        </w:rPr>
        <w:t xml:space="preserve"> una adecuada remuneración</w:t>
      </w:r>
      <w:r w:rsidR="00F87A1B">
        <w:rPr>
          <w:rFonts w:ascii="Cambria" w:hAnsi="Cambria"/>
          <w:sz w:val="20"/>
          <w:szCs w:val="20"/>
          <w:lang w:val="es-ES"/>
        </w:rPr>
        <w:t>,</w:t>
      </w:r>
      <w:r w:rsidRPr="004C5BA7">
        <w:rPr>
          <w:rFonts w:ascii="Cambria" w:hAnsi="Cambria"/>
          <w:sz w:val="20"/>
          <w:szCs w:val="20"/>
          <w:lang w:val="es-ES"/>
        </w:rPr>
        <w:t xml:space="preserve"> las condiciones de servicio y la independencia que requieren jueces y juezas para sus actuaciones.</w:t>
      </w:r>
      <w:r>
        <w:rPr>
          <w:rFonts w:ascii="Cambria" w:hAnsi="Cambria"/>
          <w:sz w:val="20"/>
          <w:szCs w:val="20"/>
          <w:lang w:val="es-ES"/>
        </w:rPr>
        <w:t xml:space="preserve"> </w:t>
      </w:r>
      <w:r w:rsidRPr="00D853DC">
        <w:rPr>
          <w:rFonts w:ascii="Cambria" w:hAnsi="Cambria"/>
          <w:sz w:val="20"/>
          <w:szCs w:val="20"/>
          <w:lang w:val="es-ES"/>
        </w:rPr>
        <w:t>A efectos de evaluar el cumplimiento de la garantía de plazo razonable en el presente caso, la Comisión analizó los cuatro elementos establecidos por la jurisprudencia interamericana</w:t>
      </w:r>
      <w:r w:rsidR="00F87A1B">
        <w:rPr>
          <w:rFonts w:ascii="Cambria" w:hAnsi="Cambria"/>
          <w:sz w:val="20"/>
          <w:szCs w:val="20"/>
          <w:lang w:val="es-ES"/>
        </w:rPr>
        <w:t>:</w:t>
      </w:r>
      <w:r w:rsidRPr="00D853DC">
        <w:rPr>
          <w:rFonts w:ascii="Cambria" w:hAnsi="Cambria"/>
          <w:sz w:val="20"/>
          <w:szCs w:val="20"/>
          <w:lang w:val="es-ES"/>
        </w:rPr>
        <w:t xml:space="preserve"> a) complejidad del asunto; b) actividad procesal del interesado; c) conducta de las autoridades judiciales</w:t>
      </w:r>
      <w:r w:rsidR="00F87A1B">
        <w:rPr>
          <w:rFonts w:ascii="Cambria" w:hAnsi="Cambria"/>
          <w:sz w:val="20"/>
          <w:szCs w:val="20"/>
          <w:lang w:val="es-ES"/>
        </w:rPr>
        <w:t>;</w:t>
      </w:r>
      <w:r w:rsidRPr="00D853DC">
        <w:rPr>
          <w:rFonts w:ascii="Cambria" w:hAnsi="Cambria"/>
          <w:sz w:val="20"/>
          <w:szCs w:val="20"/>
          <w:lang w:val="es-ES"/>
        </w:rPr>
        <w:t xml:space="preserve"> y d) afectación generada en la situación jurídica de la persona involucrada en el proceso.</w:t>
      </w:r>
    </w:p>
    <w:p w14:paraId="03C7EA6D" w14:textId="77777777" w:rsidR="00CA27A7" w:rsidRDefault="00CA27A7" w:rsidP="00CA27A7">
      <w:pPr>
        <w:tabs>
          <w:tab w:val="left" w:pos="360"/>
          <w:tab w:val="left" w:pos="720"/>
          <w:tab w:val="num" w:pos="2040"/>
        </w:tabs>
        <w:spacing w:after="0" w:line="240" w:lineRule="auto"/>
        <w:jc w:val="both"/>
        <w:rPr>
          <w:rFonts w:ascii="Cambria" w:hAnsi="Cambria"/>
          <w:sz w:val="20"/>
          <w:szCs w:val="20"/>
          <w:lang w:val="es-ES"/>
        </w:rPr>
      </w:pPr>
    </w:p>
    <w:p w14:paraId="27791B2F" w14:textId="77777777" w:rsidR="00CA27A7" w:rsidRDefault="00CA27A7" w:rsidP="00CA27A7">
      <w:pPr>
        <w:tabs>
          <w:tab w:val="left" w:pos="360"/>
          <w:tab w:val="left" w:pos="720"/>
          <w:tab w:val="num" w:pos="2040"/>
        </w:tabs>
        <w:spacing w:after="0" w:line="240" w:lineRule="auto"/>
        <w:jc w:val="both"/>
        <w:rPr>
          <w:rFonts w:ascii="Cambria" w:hAnsi="Cambria"/>
          <w:sz w:val="20"/>
          <w:szCs w:val="20"/>
          <w:lang w:val="es-ES"/>
        </w:rPr>
      </w:pPr>
    </w:p>
    <w:p w14:paraId="6C14ADC4" w14:textId="77777777" w:rsidR="00CA27A7" w:rsidRPr="00C42E74" w:rsidRDefault="00CA27A7" w:rsidP="00CA27A7">
      <w:pPr>
        <w:spacing w:after="0" w:line="240" w:lineRule="auto"/>
        <w:jc w:val="both"/>
        <w:rPr>
          <w:rFonts w:ascii="Cambria" w:hAnsi="Cambria" w:cs="Calibri"/>
          <w:color w:val="000000"/>
          <w:sz w:val="20"/>
          <w:szCs w:val="20"/>
          <w:lang w:val="es-ES"/>
        </w:rPr>
      </w:pPr>
      <w:r w:rsidRPr="00C42E74">
        <w:rPr>
          <w:rFonts w:ascii="Cambria" w:hAnsi="Cambria" w:cs="Calibri"/>
          <w:color w:val="000000"/>
          <w:sz w:val="20"/>
          <w:szCs w:val="20"/>
          <w:lang w:val="es-ES"/>
        </w:rPr>
        <w:t>Señor</w:t>
      </w:r>
    </w:p>
    <w:p w14:paraId="705B3448" w14:textId="77777777" w:rsidR="00CA27A7" w:rsidRPr="00C42E74" w:rsidRDefault="00CA27A7" w:rsidP="00CA27A7">
      <w:pPr>
        <w:spacing w:after="0" w:line="240" w:lineRule="auto"/>
        <w:jc w:val="both"/>
        <w:rPr>
          <w:rFonts w:ascii="Cambria" w:hAnsi="Cambria" w:cs="Calibri"/>
          <w:color w:val="000000"/>
          <w:sz w:val="20"/>
          <w:szCs w:val="20"/>
          <w:lang w:val="es-ES"/>
        </w:rPr>
      </w:pPr>
      <w:r w:rsidRPr="00C42E74">
        <w:rPr>
          <w:rFonts w:ascii="Cambria" w:hAnsi="Cambria" w:cs="Calibri"/>
          <w:color w:val="000000"/>
          <w:sz w:val="20"/>
          <w:szCs w:val="20"/>
          <w:lang w:val="es-ES"/>
        </w:rPr>
        <w:t>Pablo Saavedra Alessandri</w:t>
      </w:r>
    </w:p>
    <w:p w14:paraId="75F1A690" w14:textId="77777777" w:rsidR="00CA27A7" w:rsidRPr="00C42E74" w:rsidRDefault="00CA27A7" w:rsidP="00CA27A7">
      <w:pPr>
        <w:spacing w:after="0" w:line="240" w:lineRule="auto"/>
        <w:jc w:val="both"/>
        <w:rPr>
          <w:rFonts w:ascii="Cambria" w:hAnsi="Cambria" w:cs="Calibri"/>
          <w:color w:val="000000"/>
          <w:sz w:val="20"/>
          <w:szCs w:val="20"/>
          <w:lang w:val="es-ES"/>
        </w:rPr>
      </w:pPr>
      <w:r w:rsidRPr="00C42E74">
        <w:rPr>
          <w:rFonts w:ascii="Cambria" w:hAnsi="Cambria" w:cs="Calibri"/>
          <w:color w:val="000000"/>
          <w:sz w:val="20"/>
          <w:szCs w:val="20"/>
          <w:lang w:val="es-ES"/>
        </w:rPr>
        <w:t>Secretario</w:t>
      </w:r>
    </w:p>
    <w:p w14:paraId="528FDE9E" w14:textId="77777777" w:rsidR="00CA27A7" w:rsidRPr="00C42E74" w:rsidRDefault="00CA27A7" w:rsidP="00CA27A7">
      <w:pPr>
        <w:spacing w:after="0" w:line="240" w:lineRule="auto"/>
        <w:jc w:val="both"/>
        <w:rPr>
          <w:rFonts w:ascii="Cambria" w:hAnsi="Cambria" w:cs="Calibri"/>
          <w:color w:val="000000"/>
          <w:sz w:val="20"/>
          <w:szCs w:val="20"/>
          <w:lang w:val="es-ES"/>
        </w:rPr>
      </w:pPr>
      <w:r w:rsidRPr="00C42E74">
        <w:rPr>
          <w:rFonts w:ascii="Cambria" w:hAnsi="Cambria" w:cs="Calibri"/>
          <w:color w:val="000000"/>
          <w:sz w:val="20"/>
          <w:szCs w:val="20"/>
          <w:lang w:val="es-ES"/>
        </w:rPr>
        <w:t>Corte Interamericana de Derechos Humanos</w:t>
      </w:r>
    </w:p>
    <w:p w14:paraId="745C3A6C" w14:textId="77777777" w:rsidR="00CA27A7" w:rsidRPr="00C42E74" w:rsidRDefault="00CA27A7" w:rsidP="00CA27A7">
      <w:pPr>
        <w:spacing w:after="0" w:line="240" w:lineRule="auto"/>
        <w:jc w:val="both"/>
        <w:rPr>
          <w:rFonts w:ascii="Cambria" w:hAnsi="Cambria" w:cs="Calibri"/>
          <w:color w:val="000000"/>
          <w:sz w:val="20"/>
          <w:szCs w:val="20"/>
          <w:lang w:val="es-ES"/>
        </w:rPr>
      </w:pPr>
      <w:r w:rsidRPr="00C42E74">
        <w:rPr>
          <w:rFonts w:ascii="Cambria" w:hAnsi="Cambria" w:cs="Calibri"/>
          <w:color w:val="000000"/>
          <w:sz w:val="20"/>
          <w:szCs w:val="20"/>
          <w:lang w:val="es-ES"/>
        </w:rPr>
        <w:t>San José, Costa Rica</w:t>
      </w:r>
    </w:p>
    <w:p w14:paraId="113A3813" w14:textId="77777777" w:rsidR="005870DA" w:rsidRDefault="00CA27A7" w:rsidP="005870DA">
      <w:pPr>
        <w:tabs>
          <w:tab w:val="left" w:pos="1440"/>
        </w:tabs>
        <w:spacing w:after="0" w:line="240" w:lineRule="auto"/>
        <w:ind w:firstLine="720"/>
        <w:jc w:val="both"/>
        <w:rPr>
          <w:rFonts w:ascii="Cambria" w:hAnsi="Cambria"/>
          <w:sz w:val="20"/>
          <w:szCs w:val="20"/>
          <w:lang w:val="es-ES"/>
        </w:rPr>
      </w:pPr>
      <w:r w:rsidRPr="00CA27A7">
        <w:rPr>
          <w:rFonts w:ascii="Cambria" w:hAnsi="Cambria"/>
          <w:sz w:val="20"/>
          <w:szCs w:val="20"/>
          <w:lang w:val="es-ES"/>
        </w:rPr>
        <w:br w:type="page"/>
      </w:r>
      <w:r>
        <w:rPr>
          <w:rFonts w:ascii="Cambria" w:hAnsi="Cambria"/>
          <w:sz w:val="20"/>
          <w:szCs w:val="20"/>
          <w:lang w:val="es-ES"/>
        </w:rPr>
        <w:lastRenderedPageBreak/>
        <w:t>E</w:t>
      </w:r>
      <w:r w:rsidRPr="003247E2">
        <w:rPr>
          <w:rFonts w:ascii="Cambria" w:hAnsi="Cambria"/>
          <w:sz w:val="20"/>
          <w:szCs w:val="20"/>
          <w:lang w:val="es-ES"/>
        </w:rPr>
        <w:t>n relación con la complejidad del procedimiento, la Comisión observ</w:t>
      </w:r>
      <w:r>
        <w:rPr>
          <w:rFonts w:ascii="Cambria" w:hAnsi="Cambria"/>
          <w:sz w:val="20"/>
          <w:szCs w:val="20"/>
          <w:lang w:val="es-ES"/>
        </w:rPr>
        <w:t>ó</w:t>
      </w:r>
      <w:r w:rsidRPr="003247E2">
        <w:rPr>
          <w:rFonts w:ascii="Cambria" w:hAnsi="Cambria"/>
          <w:sz w:val="20"/>
          <w:szCs w:val="20"/>
          <w:lang w:val="es-ES"/>
        </w:rPr>
        <w:t xml:space="preserve"> que el artículo 43 de la Constitución Nacional Argentina califica al amparo como una acción expedita y rápida. </w:t>
      </w:r>
      <w:r>
        <w:rPr>
          <w:rFonts w:ascii="Cambria" w:hAnsi="Cambria"/>
          <w:sz w:val="20"/>
          <w:szCs w:val="20"/>
          <w:lang w:val="es-ES"/>
        </w:rPr>
        <w:t>La Comisión estableció además que, t</w:t>
      </w:r>
      <w:r w:rsidRPr="003247E2">
        <w:rPr>
          <w:rFonts w:ascii="Cambria" w:hAnsi="Cambria"/>
          <w:sz w:val="20"/>
          <w:szCs w:val="20"/>
          <w:lang w:val="es-ES"/>
        </w:rPr>
        <w:t xml:space="preserve">eniendo en cuenta que </w:t>
      </w:r>
      <w:r>
        <w:rPr>
          <w:rFonts w:ascii="Cambria" w:hAnsi="Cambria"/>
          <w:sz w:val="20"/>
          <w:szCs w:val="20"/>
          <w:lang w:val="es-ES"/>
        </w:rPr>
        <w:t>la acción de amparo presentada por la víctima</w:t>
      </w:r>
      <w:r w:rsidRPr="003247E2">
        <w:rPr>
          <w:rFonts w:ascii="Cambria" w:hAnsi="Cambria"/>
          <w:sz w:val="20"/>
          <w:szCs w:val="20"/>
          <w:lang w:val="es-ES"/>
        </w:rPr>
        <w:t xml:space="preserve"> concluyó en una declaración del derecho que correspondía al señor Boleso en cuanto a la int</w:t>
      </w:r>
      <w:r>
        <w:rPr>
          <w:rFonts w:ascii="Cambria" w:hAnsi="Cambria"/>
          <w:sz w:val="20"/>
          <w:szCs w:val="20"/>
          <w:lang w:val="es-ES"/>
        </w:rPr>
        <w:t>a</w:t>
      </w:r>
      <w:r w:rsidRPr="003247E2">
        <w:rPr>
          <w:rFonts w:ascii="Cambria" w:hAnsi="Cambria"/>
          <w:sz w:val="20"/>
          <w:szCs w:val="20"/>
          <w:lang w:val="es-ES"/>
        </w:rPr>
        <w:t>ngibilidad de su remuneración</w:t>
      </w:r>
      <w:r>
        <w:rPr>
          <w:rFonts w:ascii="Cambria" w:hAnsi="Cambria"/>
          <w:sz w:val="20"/>
          <w:szCs w:val="20"/>
          <w:lang w:val="es-ES"/>
        </w:rPr>
        <w:t>, el procedimiento</w:t>
      </w:r>
      <w:r w:rsidRPr="003247E2">
        <w:rPr>
          <w:rFonts w:ascii="Cambria" w:hAnsi="Cambria"/>
          <w:sz w:val="20"/>
          <w:szCs w:val="20"/>
          <w:lang w:val="es-ES"/>
        </w:rPr>
        <w:t xml:space="preserve"> </w:t>
      </w:r>
      <w:r w:rsidR="005444D4">
        <w:rPr>
          <w:rFonts w:ascii="Cambria" w:hAnsi="Cambria"/>
          <w:sz w:val="20"/>
          <w:szCs w:val="20"/>
          <w:lang w:val="es-ES"/>
        </w:rPr>
        <w:t xml:space="preserve">no </w:t>
      </w:r>
      <w:r w:rsidRPr="003247E2">
        <w:rPr>
          <w:rFonts w:ascii="Cambria" w:hAnsi="Cambria"/>
          <w:sz w:val="20"/>
          <w:szCs w:val="20"/>
          <w:lang w:val="es-ES"/>
        </w:rPr>
        <w:t xml:space="preserve">revestía especial complejidad. </w:t>
      </w:r>
    </w:p>
    <w:p w14:paraId="0185E7AE" w14:textId="77777777" w:rsidR="005870DA" w:rsidRDefault="005870DA" w:rsidP="005870DA">
      <w:pPr>
        <w:tabs>
          <w:tab w:val="left" w:pos="1440"/>
        </w:tabs>
        <w:spacing w:after="0" w:line="240" w:lineRule="auto"/>
        <w:ind w:firstLine="720"/>
        <w:jc w:val="both"/>
        <w:rPr>
          <w:rFonts w:ascii="Cambria" w:hAnsi="Cambria"/>
          <w:sz w:val="20"/>
          <w:szCs w:val="20"/>
          <w:lang w:val="es-ES"/>
        </w:rPr>
      </w:pPr>
    </w:p>
    <w:p w14:paraId="0915A939" w14:textId="77777777" w:rsidR="005870DA" w:rsidRDefault="00CA27A7" w:rsidP="005870DA">
      <w:pPr>
        <w:tabs>
          <w:tab w:val="left" w:pos="1440"/>
        </w:tabs>
        <w:spacing w:after="0" w:line="240" w:lineRule="auto"/>
        <w:ind w:firstLine="720"/>
        <w:jc w:val="both"/>
        <w:rPr>
          <w:rFonts w:ascii="Cambria" w:hAnsi="Cambria"/>
          <w:sz w:val="20"/>
          <w:szCs w:val="20"/>
          <w:lang w:val="es-ES"/>
        </w:rPr>
      </w:pPr>
      <w:r w:rsidRPr="003247E2">
        <w:rPr>
          <w:rFonts w:ascii="Cambria" w:hAnsi="Cambria"/>
          <w:sz w:val="20"/>
          <w:szCs w:val="20"/>
          <w:lang w:val="es-ES"/>
        </w:rPr>
        <w:t xml:space="preserve">En cuanto a la conducta de las autoridades involucradas y </w:t>
      </w:r>
      <w:r>
        <w:rPr>
          <w:rFonts w:ascii="Cambria" w:hAnsi="Cambria"/>
          <w:sz w:val="20"/>
          <w:szCs w:val="20"/>
          <w:lang w:val="es-ES"/>
        </w:rPr>
        <w:t xml:space="preserve">a </w:t>
      </w:r>
      <w:r w:rsidRPr="003247E2">
        <w:rPr>
          <w:rFonts w:ascii="Cambria" w:hAnsi="Cambria"/>
          <w:sz w:val="20"/>
          <w:szCs w:val="20"/>
          <w:lang w:val="es-ES"/>
        </w:rPr>
        <w:t>la actividad del interesado, la Comisión observ</w:t>
      </w:r>
      <w:r>
        <w:rPr>
          <w:rFonts w:ascii="Cambria" w:hAnsi="Cambria"/>
          <w:sz w:val="20"/>
          <w:szCs w:val="20"/>
          <w:lang w:val="es-ES"/>
        </w:rPr>
        <w:t xml:space="preserve">ó </w:t>
      </w:r>
      <w:r w:rsidRPr="003247E2">
        <w:rPr>
          <w:rFonts w:ascii="Cambria" w:hAnsi="Cambria"/>
          <w:sz w:val="20"/>
          <w:szCs w:val="20"/>
          <w:lang w:val="es-ES"/>
        </w:rPr>
        <w:t>que el fallo</w:t>
      </w:r>
      <w:r>
        <w:rPr>
          <w:rFonts w:ascii="Cambria" w:hAnsi="Cambria"/>
          <w:sz w:val="20"/>
          <w:szCs w:val="20"/>
          <w:lang w:val="es-ES"/>
        </w:rPr>
        <w:t xml:space="preserve"> de primera instancia</w:t>
      </w:r>
      <w:r w:rsidRPr="003247E2">
        <w:rPr>
          <w:rFonts w:ascii="Cambria" w:hAnsi="Cambria"/>
          <w:sz w:val="20"/>
          <w:szCs w:val="20"/>
          <w:lang w:val="es-ES"/>
        </w:rPr>
        <w:t xml:space="preserve"> no fue emitido sino hasta un año y cuatro meses después de que el señor Boleso presentara el amparo. Asimismo, el Superior Tribunal de Justicia </w:t>
      </w:r>
      <w:r>
        <w:rPr>
          <w:rFonts w:ascii="Cambria" w:hAnsi="Cambria"/>
          <w:sz w:val="20"/>
          <w:szCs w:val="20"/>
          <w:lang w:val="es-ES"/>
        </w:rPr>
        <w:t xml:space="preserve">demoró cinco años en resolver el </w:t>
      </w:r>
      <w:r w:rsidRPr="003247E2">
        <w:rPr>
          <w:rFonts w:ascii="Cambria" w:hAnsi="Cambria"/>
          <w:sz w:val="20"/>
          <w:szCs w:val="20"/>
          <w:lang w:val="es-ES"/>
        </w:rPr>
        <w:t xml:space="preserve">recurso extraordinario </w:t>
      </w:r>
      <w:r>
        <w:rPr>
          <w:rFonts w:ascii="Cambria" w:hAnsi="Cambria"/>
          <w:sz w:val="20"/>
          <w:szCs w:val="20"/>
          <w:lang w:val="es-ES"/>
        </w:rPr>
        <w:t>interpuesto por</w:t>
      </w:r>
      <w:r w:rsidRPr="003247E2">
        <w:rPr>
          <w:rFonts w:ascii="Cambria" w:hAnsi="Cambria"/>
          <w:sz w:val="20"/>
          <w:szCs w:val="20"/>
          <w:lang w:val="es-ES"/>
        </w:rPr>
        <w:t xml:space="preserve"> la Provincia de Corrientes. </w:t>
      </w:r>
      <w:r>
        <w:rPr>
          <w:rFonts w:ascii="Cambria" w:hAnsi="Cambria"/>
          <w:sz w:val="20"/>
          <w:szCs w:val="20"/>
          <w:lang w:val="es-ES"/>
        </w:rPr>
        <w:t>La Comisión señaló que e</w:t>
      </w:r>
      <w:r w:rsidRPr="003247E2">
        <w:rPr>
          <w:rFonts w:ascii="Cambria" w:hAnsi="Cambria"/>
          <w:sz w:val="20"/>
          <w:szCs w:val="20"/>
          <w:lang w:val="es-ES"/>
        </w:rPr>
        <w:t xml:space="preserve">l Estado no ha presentado explicación que justifique </w:t>
      </w:r>
      <w:r>
        <w:rPr>
          <w:rFonts w:ascii="Cambria" w:hAnsi="Cambria"/>
          <w:sz w:val="20"/>
          <w:szCs w:val="20"/>
          <w:lang w:val="es-ES"/>
        </w:rPr>
        <w:t>dicho plazo</w:t>
      </w:r>
      <w:r w:rsidRPr="003247E2">
        <w:rPr>
          <w:rFonts w:ascii="Cambria" w:hAnsi="Cambria"/>
          <w:sz w:val="20"/>
          <w:szCs w:val="20"/>
          <w:lang w:val="es-ES"/>
        </w:rPr>
        <w:t xml:space="preserve"> de inactividad y, por el contrario, consta que, durante ese periodo, el </w:t>
      </w:r>
      <w:r w:rsidR="002F1B57" w:rsidRPr="003247E2">
        <w:rPr>
          <w:rFonts w:ascii="Cambria" w:hAnsi="Cambria"/>
          <w:sz w:val="20"/>
          <w:szCs w:val="20"/>
          <w:lang w:val="es-ES"/>
        </w:rPr>
        <w:t>señor Boleso</w:t>
      </w:r>
      <w:r w:rsidRPr="003247E2">
        <w:rPr>
          <w:rFonts w:ascii="Cambria" w:hAnsi="Cambria"/>
          <w:sz w:val="20"/>
          <w:szCs w:val="20"/>
          <w:lang w:val="es-ES"/>
        </w:rPr>
        <w:t xml:space="preserve"> presentó diversos escritos solicitando a la autoridad jurisdiccional que se pronunciara. </w:t>
      </w:r>
    </w:p>
    <w:p w14:paraId="1F09AD3A" w14:textId="77777777" w:rsidR="005870DA" w:rsidRDefault="005870DA" w:rsidP="005870DA">
      <w:pPr>
        <w:tabs>
          <w:tab w:val="left" w:pos="1440"/>
        </w:tabs>
        <w:spacing w:after="0" w:line="240" w:lineRule="auto"/>
        <w:ind w:firstLine="720"/>
        <w:jc w:val="both"/>
        <w:rPr>
          <w:rFonts w:ascii="Cambria" w:hAnsi="Cambria"/>
          <w:sz w:val="20"/>
          <w:szCs w:val="20"/>
          <w:lang w:val="es-ES"/>
        </w:rPr>
      </w:pPr>
    </w:p>
    <w:p w14:paraId="51474DEB" w14:textId="77777777" w:rsidR="005870DA" w:rsidRDefault="00CA27A7" w:rsidP="005870DA">
      <w:pPr>
        <w:tabs>
          <w:tab w:val="left" w:pos="1440"/>
        </w:tabs>
        <w:spacing w:after="0" w:line="240" w:lineRule="auto"/>
        <w:ind w:firstLine="720"/>
        <w:jc w:val="both"/>
        <w:rPr>
          <w:rFonts w:ascii="Cambria" w:hAnsi="Cambria"/>
          <w:sz w:val="20"/>
          <w:szCs w:val="20"/>
          <w:lang w:val="es-ES"/>
        </w:rPr>
      </w:pPr>
      <w:r>
        <w:rPr>
          <w:rFonts w:ascii="Cambria" w:hAnsi="Cambria"/>
          <w:sz w:val="20"/>
          <w:szCs w:val="20"/>
          <w:lang w:val="es-ES"/>
        </w:rPr>
        <w:t>Por otra parte, l</w:t>
      </w:r>
      <w:r w:rsidRPr="003247E2">
        <w:rPr>
          <w:rFonts w:ascii="Cambria" w:hAnsi="Cambria"/>
          <w:sz w:val="20"/>
          <w:szCs w:val="20"/>
          <w:lang w:val="es-ES"/>
        </w:rPr>
        <w:t>a Comisión observ</w:t>
      </w:r>
      <w:r>
        <w:rPr>
          <w:rFonts w:ascii="Cambria" w:hAnsi="Cambria"/>
          <w:sz w:val="20"/>
          <w:szCs w:val="20"/>
          <w:lang w:val="es-ES"/>
        </w:rPr>
        <w:t>ó</w:t>
      </w:r>
      <w:r w:rsidRPr="003247E2">
        <w:rPr>
          <w:rFonts w:ascii="Cambria" w:hAnsi="Cambria"/>
          <w:sz w:val="20"/>
          <w:szCs w:val="20"/>
          <w:lang w:val="es-ES"/>
        </w:rPr>
        <w:t xml:space="preserve"> que </w:t>
      </w:r>
      <w:r w:rsidR="002F1B57">
        <w:rPr>
          <w:rFonts w:ascii="Cambria" w:hAnsi="Cambria"/>
          <w:sz w:val="20"/>
          <w:szCs w:val="20"/>
          <w:lang w:val="es-ES"/>
        </w:rPr>
        <w:t xml:space="preserve">no fue </w:t>
      </w:r>
      <w:r w:rsidR="002F1B57" w:rsidRPr="003247E2">
        <w:rPr>
          <w:rFonts w:ascii="Cambria" w:hAnsi="Cambria"/>
          <w:sz w:val="20"/>
          <w:szCs w:val="20"/>
          <w:lang w:val="es-ES"/>
        </w:rPr>
        <w:t xml:space="preserve">sino hasta septiembre de 1999 que </w:t>
      </w:r>
      <w:r w:rsidR="002F1B57">
        <w:rPr>
          <w:rFonts w:ascii="Cambria" w:hAnsi="Cambria"/>
          <w:sz w:val="20"/>
          <w:szCs w:val="20"/>
          <w:lang w:val="es-ES"/>
        </w:rPr>
        <w:t xml:space="preserve">se estableció el carácter declarativo de </w:t>
      </w:r>
      <w:r w:rsidR="002F1B57" w:rsidRPr="003247E2">
        <w:rPr>
          <w:rFonts w:ascii="Cambria" w:hAnsi="Cambria"/>
          <w:sz w:val="20"/>
          <w:szCs w:val="20"/>
          <w:lang w:val="es-ES"/>
        </w:rPr>
        <w:t xml:space="preserve">la sentencia </w:t>
      </w:r>
      <w:r w:rsidRPr="003247E2">
        <w:rPr>
          <w:rFonts w:ascii="Cambria" w:hAnsi="Cambria"/>
          <w:sz w:val="20"/>
          <w:szCs w:val="20"/>
          <w:lang w:val="es-ES"/>
        </w:rPr>
        <w:t>de</w:t>
      </w:r>
      <w:r w:rsidR="002F1B57">
        <w:rPr>
          <w:rFonts w:ascii="Cambria" w:hAnsi="Cambria"/>
          <w:sz w:val="20"/>
          <w:szCs w:val="20"/>
          <w:lang w:val="es-ES"/>
        </w:rPr>
        <w:t xml:space="preserve">l 7 de agosto </w:t>
      </w:r>
      <w:r w:rsidRPr="003247E2">
        <w:rPr>
          <w:rFonts w:ascii="Cambria" w:hAnsi="Cambria"/>
          <w:sz w:val="20"/>
          <w:szCs w:val="20"/>
          <w:lang w:val="es-ES"/>
        </w:rPr>
        <w:t xml:space="preserve">1997, lo </w:t>
      </w:r>
      <w:r w:rsidR="002F1B57">
        <w:rPr>
          <w:rFonts w:ascii="Cambria" w:hAnsi="Cambria"/>
          <w:sz w:val="20"/>
          <w:szCs w:val="20"/>
          <w:lang w:val="es-ES"/>
        </w:rPr>
        <w:t>cual fue reiterado</w:t>
      </w:r>
      <w:r w:rsidRPr="003247E2">
        <w:rPr>
          <w:rFonts w:ascii="Cambria" w:hAnsi="Cambria"/>
          <w:sz w:val="20"/>
          <w:szCs w:val="20"/>
          <w:lang w:val="es-ES"/>
        </w:rPr>
        <w:t xml:space="preserve"> mediante resolución de recuso extraordinario de 8 de agosto de 2000. Esto es, diez años después </w:t>
      </w:r>
      <w:r>
        <w:rPr>
          <w:rFonts w:ascii="Cambria" w:hAnsi="Cambria"/>
          <w:sz w:val="20"/>
          <w:szCs w:val="20"/>
          <w:lang w:val="es-ES"/>
        </w:rPr>
        <w:t xml:space="preserve">de </w:t>
      </w:r>
      <w:r w:rsidRPr="003247E2">
        <w:rPr>
          <w:rFonts w:ascii="Cambria" w:hAnsi="Cambria"/>
          <w:sz w:val="20"/>
          <w:szCs w:val="20"/>
          <w:lang w:val="es-ES"/>
        </w:rPr>
        <w:t xml:space="preserve">que el señor Boleso presentara la acción de amparo. </w:t>
      </w:r>
      <w:r w:rsidR="002F1B57">
        <w:rPr>
          <w:rFonts w:ascii="Cambria" w:hAnsi="Cambria"/>
          <w:sz w:val="20"/>
          <w:szCs w:val="20"/>
          <w:lang w:val="es-ES"/>
        </w:rPr>
        <w:t>Posteriormente</w:t>
      </w:r>
      <w:r w:rsidRPr="003247E2">
        <w:rPr>
          <w:rFonts w:ascii="Cambria" w:hAnsi="Cambria"/>
          <w:sz w:val="20"/>
          <w:szCs w:val="20"/>
          <w:lang w:val="es-ES"/>
        </w:rPr>
        <w:t xml:space="preserve"> se presentaron nuevos recursos</w:t>
      </w:r>
      <w:r w:rsidR="002F1B57">
        <w:rPr>
          <w:rFonts w:ascii="Cambria" w:hAnsi="Cambria"/>
          <w:sz w:val="20"/>
          <w:szCs w:val="20"/>
          <w:lang w:val="es-ES"/>
        </w:rPr>
        <w:t>,</w:t>
      </w:r>
      <w:r w:rsidRPr="003247E2">
        <w:rPr>
          <w:rFonts w:ascii="Cambria" w:hAnsi="Cambria"/>
          <w:sz w:val="20"/>
          <w:szCs w:val="20"/>
          <w:lang w:val="es-ES"/>
        </w:rPr>
        <w:t xml:space="preserve"> hasta que en 2007 se devolvieron los antecedentes a primera instancia y después de iniciar un proceso administrativo, el señor Boleso recibió el pago de los sueldos adeudados, 21 años después</w:t>
      </w:r>
      <w:r w:rsidR="002F1B57">
        <w:rPr>
          <w:rFonts w:ascii="Cambria" w:hAnsi="Cambria"/>
          <w:sz w:val="20"/>
          <w:szCs w:val="20"/>
          <w:lang w:val="es-ES"/>
        </w:rPr>
        <w:t xml:space="preserve"> del inicio del reclamo</w:t>
      </w:r>
      <w:r w:rsidRPr="003247E2">
        <w:rPr>
          <w:rFonts w:ascii="Cambria" w:hAnsi="Cambria"/>
          <w:sz w:val="20"/>
          <w:szCs w:val="20"/>
          <w:lang w:val="es-ES"/>
        </w:rPr>
        <w:t xml:space="preserve">. </w:t>
      </w:r>
    </w:p>
    <w:p w14:paraId="37850946" w14:textId="77777777" w:rsidR="005870DA" w:rsidRDefault="005870DA" w:rsidP="005870DA">
      <w:pPr>
        <w:tabs>
          <w:tab w:val="left" w:pos="1440"/>
        </w:tabs>
        <w:spacing w:after="0" w:line="240" w:lineRule="auto"/>
        <w:ind w:firstLine="720"/>
        <w:jc w:val="both"/>
        <w:rPr>
          <w:rFonts w:ascii="Cambria" w:hAnsi="Cambria"/>
          <w:sz w:val="20"/>
          <w:szCs w:val="20"/>
          <w:lang w:val="es-ES"/>
        </w:rPr>
      </w:pPr>
    </w:p>
    <w:p w14:paraId="05C19CF2" w14:textId="77777777" w:rsidR="005870DA" w:rsidRDefault="00CA27A7" w:rsidP="005870DA">
      <w:pPr>
        <w:tabs>
          <w:tab w:val="left" w:pos="1440"/>
        </w:tabs>
        <w:spacing w:after="0" w:line="240" w:lineRule="auto"/>
        <w:ind w:firstLine="720"/>
        <w:jc w:val="both"/>
        <w:rPr>
          <w:rFonts w:ascii="Cambria" w:hAnsi="Cambria"/>
          <w:sz w:val="20"/>
          <w:szCs w:val="20"/>
          <w:lang w:val="es-ES"/>
        </w:rPr>
      </w:pPr>
      <w:r w:rsidRPr="003247E2">
        <w:rPr>
          <w:rFonts w:ascii="Cambria" w:hAnsi="Cambria"/>
          <w:sz w:val="20"/>
          <w:szCs w:val="20"/>
          <w:lang w:val="es-ES"/>
        </w:rPr>
        <w:t>La Comisión consider</w:t>
      </w:r>
      <w:r>
        <w:rPr>
          <w:rFonts w:ascii="Cambria" w:hAnsi="Cambria"/>
          <w:sz w:val="20"/>
          <w:szCs w:val="20"/>
          <w:lang w:val="es-ES"/>
        </w:rPr>
        <w:t>ó</w:t>
      </w:r>
      <w:r w:rsidRPr="003247E2">
        <w:rPr>
          <w:rFonts w:ascii="Cambria" w:hAnsi="Cambria"/>
          <w:sz w:val="20"/>
          <w:szCs w:val="20"/>
          <w:lang w:val="es-ES"/>
        </w:rPr>
        <w:t xml:space="preserve"> que la explicación del Estado respecto a las varias excusaciones de jueces y la necesidad de nombrar conjueces no es suficiente para justificar un retardo de tal magnitud, dentro de un proceso que por naturaleza debe ser expedito, máxime a la luz de la importancia que tiene el garantizar una adecuada remuneración tratándose de jueces y juezas. </w:t>
      </w:r>
    </w:p>
    <w:p w14:paraId="6FAEB392" w14:textId="77777777" w:rsidR="005870DA" w:rsidRDefault="005870DA" w:rsidP="005870DA">
      <w:pPr>
        <w:tabs>
          <w:tab w:val="left" w:pos="1440"/>
        </w:tabs>
        <w:spacing w:after="0" w:line="240" w:lineRule="auto"/>
        <w:ind w:firstLine="720"/>
        <w:jc w:val="both"/>
        <w:rPr>
          <w:rFonts w:ascii="Cambria" w:hAnsi="Cambria"/>
          <w:sz w:val="20"/>
          <w:szCs w:val="20"/>
          <w:lang w:val="es-ES"/>
        </w:rPr>
      </w:pPr>
    </w:p>
    <w:p w14:paraId="1C2BE911" w14:textId="77777777" w:rsidR="00CA27A7" w:rsidRPr="00C81781" w:rsidRDefault="00CA27A7" w:rsidP="005870DA">
      <w:pPr>
        <w:tabs>
          <w:tab w:val="left" w:pos="1440"/>
        </w:tabs>
        <w:spacing w:after="0" w:line="240" w:lineRule="auto"/>
        <w:ind w:firstLine="720"/>
        <w:jc w:val="both"/>
        <w:rPr>
          <w:rFonts w:ascii="Cambria" w:hAnsi="Cambria"/>
          <w:sz w:val="20"/>
          <w:szCs w:val="20"/>
          <w:lang w:val="es-ES"/>
        </w:rPr>
      </w:pPr>
      <w:r w:rsidRPr="00C81781">
        <w:rPr>
          <w:rFonts w:ascii="Cambria" w:hAnsi="Cambria"/>
          <w:sz w:val="20"/>
          <w:szCs w:val="20"/>
          <w:lang w:val="es-ES"/>
        </w:rPr>
        <w:t xml:space="preserve">Con base en dichas determinaciones, la Comisión concluyó que el Estado argentino vulneró la garantía del plazo razonable para hacer valer de manera efectiva los derechos del señor Boleso, por lo que es responsable por la violación </w:t>
      </w:r>
      <w:r w:rsidR="00B3705C">
        <w:rPr>
          <w:rFonts w:ascii="Cambria" w:hAnsi="Cambria"/>
          <w:sz w:val="20"/>
          <w:szCs w:val="20"/>
          <w:lang w:val="es-ES"/>
        </w:rPr>
        <w:t xml:space="preserve">de los derechos </w:t>
      </w:r>
      <w:r w:rsidRPr="00C81781">
        <w:rPr>
          <w:rFonts w:ascii="Cambria" w:hAnsi="Cambria"/>
          <w:sz w:val="20"/>
          <w:szCs w:val="20"/>
          <w:lang w:val="es-ES"/>
        </w:rPr>
        <w:t>a la</w:t>
      </w:r>
      <w:r w:rsidR="00B3705C">
        <w:rPr>
          <w:rFonts w:ascii="Cambria" w:hAnsi="Cambria"/>
          <w:sz w:val="20"/>
          <w:szCs w:val="20"/>
          <w:lang w:val="es-ES"/>
        </w:rPr>
        <w:t xml:space="preserve"> </w:t>
      </w:r>
      <w:r w:rsidRPr="00C81781">
        <w:rPr>
          <w:rFonts w:ascii="Cambria" w:hAnsi="Cambria"/>
          <w:sz w:val="20"/>
          <w:szCs w:val="20"/>
          <w:lang w:val="es-ES"/>
        </w:rPr>
        <w:t xml:space="preserve">protección judicial y </w:t>
      </w:r>
      <w:r w:rsidR="00232B70">
        <w:rPr>
          <w:rFonts w:ascii="Cambria" w:hAnsi="Cambria"/>
          <w:sz w:val="20"/>
          <w:szCs w:val="20"/>
          <w:lang w:val="es-ES"/>
        </w:rPr>
        <w:t xml:space="preserve">a las </w:t>
      </w:r>
      <w:r w:rsidRPr="00C81781">
        <w:rPr>
          <w:rFonts w:ascii="Cambria" w:hAnsi="Cambria"/>
          <w:sz w:val="20"/>
          <w:szCs w:val="20"/>
          <w:lang w:val="es-ES"/>
        </w:rPr>
        <w:t>garantías judiciales</w:t>
      </w:r>
      <w:r w:rsidR="00C3279C">
        <w:rPr>
          <w:rFonts w:ascii="Cambria" w:hAnsi="Cambria"/>
          <w:sz w:val="20"/>
          <w:szCs w:val="20"/>
          <w:lang w:val="es-ES"/>
        </w:rPr>
        <w:t xml:space="preserve"> reconocidos</w:t>
      </w:r>
      <w:r w:rsidRPr="00C81781">
        <w:rPr>
          <w:rFonts w:ascii="Cambria" w:hAnsi="Cambria"/>
          <w:sz w:val="20"/>
          <w:szCs w:val="20"/>
          <w:lang w:val="es-ES"/>
        </w:rPr>
        <w:t xml:space="preserve"> en los artículos 8.1 y 25.1 de la Convención Americana, en relación con sus obligaciones establecidas en el artículo 1.1, en perjuicio del señor Héctor Hugo Boleso.</w:t>
      </w:r>
    </w:p>
    <w:p w14:paraId="5B9902EC" w14:textId="77777777" w:rsidR="00F2205F" w:rsidRPr="00C42E74" w:rsidRDefault="00F2205F" w:rsidP="00CA27A7">
      <w:pPr>
        <w:tabs>
          <w:tab w:val="left" w:pos="360"/>
        </w:tabs>
        <w:spacing w:after="0" w:line="240" w:lineRule="auto"/>
        <w:jc w:val="both"/>
        <w:rPr>
          <w:rFonts w:ascii="Cambria" w:hAnsi="Cambria" w:cs="Calibri"/>
          <w:color w:val="000000"/>
          <w:sz w:val="20"/>
          <w:szCs w:val="20"/>
          <w:lang w:val="es-ES"/>
        </w:rPr>
      </w:pPr>
    </w:p>
    <w:p w14:paraId="1811F818" w14:textId="77777777" w:rsidR="00387D83" w:rsidRPr="00C42E74" w:rsidRDefault="003373BB" w:rsidP="00FB3C36">
      <w:pPr>
        <w:tabs>
          <w:tab w:val="left" w:pos="360"/>
        </w:tabs>
        <w:spacing w:after="0" w:line="240" w:lineRule="auto"/>
        <w:jc w:val="both"/>
        <w:rPr>
          <w:rFonts w:ascii="Cambria" w:hAnsi="Cambria" w:cs="Calibri"/>
          <w:color w:val="000000"/>
          <w:sz w:val="20"/>
          <w:szCs w:val="20"/>
          <w:lang w:val="es-ES"/>
        </w:rPr>
      </w:pPr>
      <w:r w:rsidRPr="00C42E74">
        <w:rPr>
          <w:rFonts w:ascii="Cambria" w:hAnsi="Cambria" w:cs="Calibri"/>
          <w:color w:val="000000"/>
          <w:sz w:val="20"/>
          <w:szCs w:val="20"/>
          <w:lang w:val="es-ES"/>
        </w:rPr>
        <w:tab/>
      </w:r>
      <w:r w:rsidR="003174D4" w:rsidRPr="00C42E74">
        <w:rPr>
          <w:rFonts w:ascii="Cambria" w:hAnsi="Cambria" w:cs="Calibri"/>
          <w:color w:val="000000"/>
          <w:sz w:val="20"/>
          <w:szCs w:val="20"/>
          <w:lang w:val="es-CL"/>
        </w:rPr>
        <w:tab/>
      </w:r>
      <w:r w:rsidR="00C31977" w:rsidRPr="00C42E74">
        <w:rPr>
          <w:rFonts w:ascii="Cambria" w:hAnsi="Cambria"/>
          <w:color w:val="000000"/>
          <w:sz w:val="20"/>
          <w:szCs w:val="20"/>
          <w:lang w:val="es-VE"/>
        </w:rPr>
        <w:t xml:space="preserve"> </w:t>
      </w:r>
      <w:r w:rsidR="00D66961" w:rsidRPr="00C42E74">
        <w:rPr>
          <w:rFonts w:ascii="Cambria" w:hAnsi="Cambria"/>
          <w:sz w:val="20"/>
          <w:szCs w:val="20"/>
          <w:lang w:val="es-PE"/>
        </w:rPr>
        <w:t>El Estado argentino depositó el instrumento de ratificación de la Convención Americana sobre Derechos Humanos y aceptó la competencia contenciosa de la Corte Interamericana el 5 de septiembre de 1984.</w:t>
      </w:r>
      <w:r w:rsidR="00347226" w:rsidRPr="00C42E74">
        <w:rPr>
          <w:rFonts w:ascii="Cambria" w:hAnsi="Cambria"/>
          <w:sz w:val="20"/>
          <w:szCs w:val="20"/>
          <w:lang w:val="es-PE"/>
        </w:rPr>
        <w:t xml:space="preserve"> </w:t>
      </w:r>
    </w:p>
    <w:p w14:paraId="04677AD4" w14:textId="77777777" w:rsidR="00D66961" w:rsidRPr="00C42E74" w:rsidRDefault="00D66961" w:rsidP="00D66961">
      <w:pPr>
        <w:tabs>
          <w:tab w:val="left" w:pos="720"/>
        </w:tabs>
        <w:spacing w:after="0" w:line="240" w:lineRule="auto"/>
        <w:jc w:val="both"/>
        <w:rPr>
          <w:rFonts w:ascii="Cambria" w:hAnsi="Cambria" w:cs="Calibri"/>
          <w:color w:val="000000"/>
          <w:sz w:val="20"/>
          <w:szCs w:val="20"/>
          <w:lang w:val="es-PE"/>
        </w:rPr>
      </w:pPr>
    </w:p>
    <w:p w14:paraId="10DFBCC8" w14:textId="77777777" w:rsidR="00560F49" w:rsidRPr="00C42E74" w:rsidRDefault="00560F49" w:rsidP="00F8734F">
      <w:pPr>
        <w:spacing w:after="0" w:line="240" w:lineRule="auto"/>
        <w:ind w:firstLine="720"/>
        <w:jc w:val="both"/>
        <w:rPr>
          <w:rFonts w:ascii="Cambria" w:hAnsi="Cambria" w:cs="Calibri"/>
          <w:color w:val="000000"/>
          <w:sz w:val="20"/>
          <w:szCs w:val="20"/>
          <w:lang w:val="es-ES"/>
        </w:rPr>
      </w:pPr>
      <w:r w:rsidRPr="00C42E74">
        <w:rPr>
          <w:rFonts w:ascii="Cambria" w:hAnsi="Cambria" w:cs="Calibri"/>
          <w:color w:val="000000"/>
          <w:sz w:val="20"/>
          <w:szCs w:val="20"/>
          <w:lang w:val="es-ES"/>
        </w:rPr>
        <w:t xml:space="preserve">La Comisión ha designado </w:t>
      </w:r>
      <w:r w:rsidR="00170E12" w:rsidRPr="00C42E74">
        <w:rPr>
          <w:rFonts w:ascii="Cambria" w:hAnsi="Cambria" w:cs="Calibri"/>
          <w:color w:val="000000"/>
          <w:sz w:val="20"/>
          <w:szCs w:val="20"/>
          <w:lang w:val="es-ES"/>
        </w:rPr>
        <w:t>a</w:t>
      </w:r>
      <w:r w:rsidR="00A77918" w:rsidRPr="00C42E74">
        <w:rPr>
          <w:rFonts w:ascii="Cambria" w:hAnsi="Cambria" w:cs="Calibri"/>
          <w:color w:val="000000"/>
          <w:sz w:val="20"/>
          <w:szCs w:val="20"/>
          <w:lang w:val="es-ES"/>
        </w:rPr>
        <w:t xml:space="preserve"> </w:t>
      </w:r>
      <w:r w:rsidR="00E7198B" w:rsidRPr="00C42E74">
        <w:rPr>
          <w:rFonts w:ascii="Cambria" w:hAnsi="Cambria" w:cs="Calibri"/>
          <w:color w:val="000000"/>
          <w:sz w:val="20"/>
          <w:szCs w:val="20"/>
          <w:lang w:val="es-ES"/>
        </w:rPr>
        <w:t>l</w:t>
      </w:r>
      <w:r w:rsidR="00A77918" w:rsidRPr="00C42E74">
        <w:rPr>
          <w:rFonts w:ascii="Cambria" w:hAnsi="Cambria" w:cs="Calibri"/>
          <w:color w:val="000000"/>
          <w:sz w:val="20"/>
          <w:szCs w:val="20"/>
          <w:lang w:val="es-ES"/>
        </w:rPr>
        <w:t>a Comisionada</w:t>
      </w:r>
      <w:r w:rsidR="007940B2" w:rsidRPr="00C42E74">
        <w:rPr>
          <w:rFonts w:ascii="Cambria" w:hAnsi="Cambria" w:cs="Calibri"/>
          <w:color w:val="000000"/>
          <w:sz w:val="20"/>
          <w:szCs w:val="20"/>
          <w:lang w:val="es-ES"/>
        </w:rPr>
        <w:t xml:space="preserve"> </w:t>
      </w:r>
      <w:r w:rsidR="00D66961" w:rsidRPr="00C42E74">
        <w:rPr>
          <w:rFonts w:ascii="Cambria" w:hAnsi="Cambria" w:cs="Calibri"/>
          <w:color w:val="000000"/>
          <w:sz w:val="20"/>
          <w:szCs w:val="20"/>
          <w:lang w:val="es-ES"/>
        </w:rPr>
        <w:t>Julissa Mantilla Falcón</w:t>
      </w:r>
      <w:r w:rsidR="00036FC7" w:rsidRPr="00C42E74">
        <w:rPr>
          <w:rFonts w:ascii="Cambria" w:hAnsi="Cambria" w:cs="Calibri"/>
          <w:color w:val="000000"/>
          <w:sz w:val="20"/>
          <w:szCs w:val="20"/>
          <w:lang w:val="es-ES"/>
        </w:rPr>
        <w:t xml:space="preserve"> </w:t>
      </w:r>
      <w:r w:rsidR="00580385" w:rsidRPr="00C42E74">
        <w:rPr>
          <w:rFonts w:ascii="Cambria" w:hAnsi="Cambria" w:cs="Calibri"/>
          <w:color w:val="000000"/>
          <w:sz w:val="20"/>
          <w:szCs w:val="20"/>
          <w:lang w:val="es-ES"/>
        </w:rPr>
        <w:t>como su delegada</w:t>
      </w:r>
      <w:r w:rsidRPr="00C42E74">
        <w:rPr>
          <w:rFonts w:ascii="Cambria" w:hAnsi="Cambria" w:cs="Calibri"/>
          <w:color w:val="000000"/>
          <w:sz w:val="20"/>
          <w:szCs w:val="20"/>
          <w:lang w:val="es-ES"/>
        </w:rPr>
        <w:t xml:space="preserve">. Asimismo, </w:t>
      </w:r>
      <w:r w:rsidR="000D4AE6" w:rsidRPr="00C42E74">
        <w:rPr>
          <w:rFonts w:ascii="Cambria" w:hAnsi="Cambria" w:cs="Calibri"/>
          <w:color w:val="000000"/>
          <w:sz w:val="20"/>
          <w:szCs w:val="20"/>
          <w:lang w:val="es-ES"/>
        </w:rPr>
        <w:t>Marisol Blanchard</w:t>
      </w:r>
      <w:r w:rsidR="00AB1A5D" w:rsidRPr="00C42E74">
        <w:rPr>
          <w:rFonts w:ascii="Cambria" w:hAnsi="Cambria" w:cs="Calibri"/>
          <w:color w:val="000000"/>
          <w:sz w:val="20"/>
          <w:szCs w:val="20"/>
          <w:lang w:val="es-ES"/>
        </w:rPr>
        <w:t xml:space="preserve"> Vera</w:t>
      </w:r>
      <w:r w:rsidR="000D4AE6" w:rsidRPr="00C42E74">
        <w:rPr>
          <w:rFonts w:ascii="Cambria" w:hAnsi="Cambria" w:cs="Calibri"/>
          <w:color w:val="000000"/>
          <w:sz w:val="20"/>
          <w:szCs w:val="20"/>
          <w:lang w:val="es-ES"/>
        </w:rPr>
        <w:t xml:space="preserve">, </w:t>
      </w:r>
      <w:r w:rsidR="00580385" w:rsidRPr="00C42E74">
        <w:rPr>
          <w:rFonts w:ascii="Cambria" w:hAnsi="Cambria" w:cs="Calibri"/>
          <w:color w:val="000000"/>
          <w:sz w:val="20"/>
          <w:szCs w:val="20"/>
          <w:lang w:val="es-ES"/>
        </w:rPr>
        <w:t>Secretaria Ejecutiva Adjunta</w:t>
      </w:r>
      <w:r w:rsidR="00B3705C">
        <w:rPr>
          <w:rFonts w:ascii="Cambria" w:hAnsi="Cambria" w:cs="Calibri"/>
          <w:color w:val="000000"/>
          <w:sz w:val="20"/>
          <w:szCs w:val="20"/>
          <w:lang w:val="es-ES"/>
        </w:rPr>
        <w:t xml:space="preserve"> y</w:t>
      </w:r>
      <w:r w:rsidR="00580385" w:rsidRPr="00C42E74">
        <w:rPr>
          <w:rFonts w:ascii="Cambria" w:hAnsi="Cambria" w:cs="Calibri"/>
          <w:color w:val="000000"/>
          <w:sz w:val="20"/>
          <w:szCs w:val="20"/>
          <w:lang w:val="es-ES"/>
        </w:rPr>
        <w:t xml:space="preserve"> </w:t>
      </w:r>
      <w:r w:rsidR="00362BCC" w:rsidRPr="00C42E74">
        <w:rPr>
          <w:rFonts w:ascii="Cambria" w:hAnsi="Cambria" w:cs="Calibri"/>
          <w:color w:val="000000"/>
          <w:sz w:val="20"/>
          <w:szCs w:val="20"/>
          <w:lang w:val="es-ES"/>
        </w:rPr>
        <w:t>Jorge Humberto Meza Flores</w:t>
      </w:r>
      <w:r w:rsidR="00FB3C36" w:rsidRPr="00C42E74">
        <w:rPr>
          <w:rFonts w:ascii="Cambria" w:hAnsi="Cambria" w:cs="Calibri"/>
          <w:color w:val="000000"/>
          <w:sz w:val="20"/>
          <w:szCs w:val="20"/>
          <w:lang w:val="es-ES"/>
        </w:rPr>
        <w:t>,</w:t>
      </w:r>
      <w:r w:rsidR="00580385" w:rsidRPr="00C42E74">
        <w:rPr>
          <w:rFonts w:ascii="Cambria" w:hAnsi="Cambria" w:cs="Calibri"/>
          <w:color w:val="000000"/>
          <w:sz w:val="20"/>
          <w:szCs w:val="20"/>
          <w:lang w:val="es-ES"/>
        </w:rPr>
        <w:t xml:space="preserve"> </w:t>
      </w:r>
      <w:r w:rsidR="00362BCC" w:rsidRPr="00C42E74">
        <w:rPr>
          <w:rFonts w:ascii="Cambria" w:hAnsi="Cambria" w:cs="Calibri"/>
          <w:color w:val="000000"/>
          <w:sz w:val="20"/>
          <w:szCs w:val="20"/>
          <w:lang w:val="es-ES"/>
        </w:rPr>
        <w:t>especialista</w:t>
      </w:r>
      <w:r w:rsidR="00580385" w:rsidRPr="00C42E74">
        <w:rPr>
          <w:rFonts w:ascii="Cambria" w:hAnsi="Cambria" w:cs="Calibri"/>
          <w:color w:val="000000"/>
          <w:sz w:val="20"/>
          <w:szCs w:val="20"/>
          <w:lang w:val="es-ES"/>
        </w:rPr>
        <w:t>s</w:t>
      </w:r>
      <w:r w:rsidR="00362BCC" w:rsidRPr="00C42E74">
        <w:rPr>
          <w:rFonts w:ascii="Cambria" w:hAnsi="Cambria" w:cs="Calibri"/>
          <w:color w:val="000000"/>
          <w:sz w:val="20"/>
          <w:szCs w:val="20"/>
          <w:lang w:val="es-ES"/>
        </w:rPr>
        <w:t xml:space="preserve"> </w:t>
      </w:r>
      <w:r w:rsidRPr="00C42E74">
        <w:rPr>
          <w:rFonts w:ascii="Cambria" w:hAnsi="Cambria" w:cs="Calibri"/>
          <w:color w:val="000000"/>
          <w:sz w:val="20"/>
          <w:szCs w:val="20"/>
          <w:lang w:val="es-ES"/>
        </w:rPr>
        <w:t>de la Secretaría Ejecutiva de la CIDH, actuará</w:t>
      </w:r>
      <w:r w:rsidR="00170E12" w:rsidRPr="00C42E74">
        <w:rPr>
          <w:rFonts w:ascii="Cambria" w:hAnsi="Cambria" w:cs="Calibri"/>
          <w:color w:val="000000"/>
          <w:sz w:val="20"/>
          <w:szCs w:val="20"/>
          <w:lang w:val="es-ES"/>
        </w:rPr>
        <w:t xml:space="preserve">n </w:t>
      </w:r>
      <w:r w:rsidR="00A77918" w:rsidRPr="00C42E74">
        <w:rPr>
          <w:rFonts w:ascii="Cambria" w:hAnsi="Cambria" w:cs="Calibri"/>
          <w:color w:val="000000"/>
          <w:sz w:val="20"/>
          <w:szCs w:val="20"/>
          <w:lang w:val="es-ES"/>
        </w:rPr>
        <w:t>como asesora</w:t>
      </w:r>
      <w:r w:rsidR="00036FC7" w:rsidRPr="00C42E74">
        <w:rPr>
          <w:rFonts w:ascii="Cambria" w:hAnsi="Cambria" w:cs="Calibri"/>
          <w:color w:val="000000"/>
          <w:sz w:val="20"/>
          <w:szCs w:val="20"/>
          <w:lang w:val="es-ES"/>
        </w:rPr>
        <w:t xml:space="preserve"> </w:t>
      </w:r>
      <w:r w:rsidR="00362BCC" w:rsidRPr="00C42E74">
        <w:rPr>
          <w:rFonts w:ascii="Cambria" w:hAnsi="Cambria" w:cs="Calibri"/>
          <w:color w:val="000000"/>
          <w:sz w:val="20"/>
          <w:szCs w:val="20"/>
          <w:lang w:val="es-ES"/>
        </w:rPr>
        <w:t xml:space="preserve">y asesor </w:t>
      </w:r>
      <w:r w:rsidRPr="00C42E74">
        <w:rPr>
          <w:rFonts w:ascii="Cambria" w:hAnsi="Cambria" w:cs="Calibri"/>
          <w:color w:val="000000"/>
          <w:sz w:val="20"/>
          <w:szCs w:val="20"/>
          <w:lang w:val="es-ES"/>
        </w:rPr>
        <w:t>legal.</w:t>
      </w:r>
      <w:r w:rsidR="00C872C8" w:rsidRPr="00C42E74">
        <w:rPr>
          <w:rFonts w:ascii="Cambria" w:hAnsi="Cambria" w:cs="Calibri"/>
          <w:color w:val="000000"/>
          <w:sz w:val="20"/>
          <w:szCs w:val="20"/>
          <w:lang w:val="es-ES"/>
        </w:rPr>
        <w:t xml:space="preserve"> </w:t>
      </w:r>
    </w:p>
    <w:p w14:paraId="725A0D1C" w14:textId="77777777" w:rsidR="00560F49" w:rsidRPr="00C42E74" w:rsidRDefault="00560F49" w:rsidP="00F8734F">
      <w:pPr>
        <w:spacing w:after="0" w:line="240" w:lineRule="auto"/>
        <w:ind w:firstLine="720"/>
        <w:jc w:val="both"/>
        <w:rPr>
          <w:rFonts w:ascii="Cambria" w:hAnsi="Cambria" w:cs="Calibri"/>
          <w:color w:val="000000"/>
          <w:sz w:val="20"/>
          <w:szCs w:val="20"/>
          <w:lang w:val="es-ES"/>
        </w:rPr>
      </w:pPr>
    </w:p>
    <w:p w14:paraId="03B5DDD1" w14:textId="77777777" w:rsidR="00DF3621" w:rsidRPr="00C42E74" w:rsidRDefault="0042403B" w:rsidP="00B024F4">
      <w:pPr>
        <w:spacing w:after="0" w:line="240" w:lineRule="auto"/>
        <w:ind w:firstLine="720"/>
        <w:jc w:val="both"/>
        <w:rPr>
          <w:rFonts w:ascii="Cambria" w:hAnsi="Cambria" w:cs="Calibri"/>
          <w:color w:val="000000"/>
          <w:sz w:val="20"/>
          <w:szCs w:val="20"/>
          <w:lang w:val="es-ES"/>
        </w:rPr>
      </w:pPr>
      <w:r w:rsidRPr="00C42E74">
        <w:rPr>
          <w:rFonts w:ascii="Cambria" w:hAnsi="Cambria" w:cs="Calibri"/>
          <w:color w:val="000000"/>
          <w:sz w:val="20"/>
          <w:szCs w:val="20"/>
          <w:lang w:val="es-ES"/>
        </w:rPr>
        <w:t>De conformidad con el artículo 35 del Reglamento de la Corte Interamericana,</w:t>
      </w:r>
      <w:r w:rsidR="0090766E" w:rsidRPr="00C42E74">
        <w:rPr>
          <w:rFonts w:ascii="Cambria" w:hAnsi="Cambria" w:cs="Calibri"/>
          <w:color w:val="000000"/>
          <w:sz w:val="20"/>
          <w:szCs w:val="20"/>
          <w:lang w:val="es-ES"/>
        </w:rPr>
        <w:t xml:space="preserve"> la Comisión adjunta copia del I</w:t>
      </w:r>
      <w:r w:rsidRPr="00C42E74">
        <w:rPr>
          <w:rFonts w:ascii="Cambria" w:hAnsi="Cambria" w:cs="Calibri"/>
          <w:color w:val="000000"/>
          <w:sz w:val="20"/>
          <w:szCs w:val="20"/>
          <w:lang w:val="es-ES"/>
        </w:rPr>
        <w:t>nforme</w:t>
      </w:r>
      <w:r w:rsidR="0090766E" w:rsidRPr="00C42E74">
        <w:rPr>
          <w:rFonts w:ascii="Cambria" w:hAnsi="Cambria" w:cs="Calibri"/>
          <w:color w:val="000000"/>
          <w:sz w:val="20"/>
          <w:szCs w:val="20"/>
          <w:lang w:val="es-ES"/>
        </w:rPr>
        <w:t xml:space="preserve"> de Fondo No.</w:t>
      </w:r>
      <w:r w:rsidRPr="00C42E74">
        <w:rPr>
          <w:rFonts w:ascii="Cambria" w:hAnsi="Cambria" w:cs="Calibri"/>
          <w:color w:val="000000"/>
          <w:sz w:val="20"/>
          <w:szCs w:val="20"/>
          <w:lang w:val="es-ES"/>
        </w:rPr>
        <w:t xml:space="preserve"> </w:t>
      </w:r>
      <w:r w:rsidR="001574DB" w:rsidRPr="00C42E74">
        <w:rPr>
          <w:rFonts w:ascii="Cambria" w:hAnsi="Cambria" w:cs="Calibri"/>
          <w:color w:val="000000"/>
          <w:sz w:val="20"/>
          <w:szCs w:val="20"/>
          <w:lang w:val="es-ES"/>
        </w:rPr>
        <w:t>2</w:t>
      </w:r>
      <w:r w:rsidR="00454A6B">
        <w:rPr>
          <w:rFonts w:ascii="Cambria" w:hAnsi="Cambria" w:cs="Calibri"/>
          <w:color w:val="000000"/>
          <w:sz w:val="20"/>
          <w:szCs w:val="20"/>
          <w:lang w:val="es-ES"/>
        </w:rPr>
        <w:t>45</w:t>
      </w:r>
      <w:r w:rsidRPr="00C42E74">
        <w:rPr>
          <w:rFonts w:ascii="Cambria" w:hAnsi="Cambria" w:cs="Calibri"/>
          <w:color w:val="000000"/>
          <w:sz w:val="20"/>
          <w:szCs w:val="20"/>
          <w:lang w:val="es-ES"/>
        </w:rPr>
        <w:t>/</w:t>
      </w:r>
      <w:r w:rsidR="00454A6B">
        <w:rPr>
          <w:rFonts w:ascii="Cambria" w:hAnsi="Cambria" w:cs="Calibri"/>
          <w:color w:val="000000"/>
          <w:sz w:val="20"/>
          <w:szCs w:val="20"/>
          <w:lang w:val="es-ES"/>
        </w:rPr>
        <w:t>20</w:t>
      </w:r>
      <w:r w:rsidRPr="00C42E74">
        <w:rPr>
          <w:rFonts w:ascii="Cambria" w:hAnsi="Cambria"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454A6B" w:rsidRPr="00C42E74">
        <w:rPr>
          <w:rFonts w:ascii="Cambria" w:hAnsi="Cambria" w:cs="Calibri"/>
          <w:color w:val="000000"/>
          <w:sz w:val="20"/>
          <w:szCs w:val="20"/>
          <w:lang w:val="es-ES"/>
        </w:rPr>
        <w:t>2</w:t>
      </w:r>
      <w:r w:rsidR="00454A6B">
        <w:rPr>
          <w:rFonts w:ascii="Cambria" w:hAnsi="Cambria" w:cs="Calibri"/>
          <w:color w:val="000000"/>
          <w:sz w:val="20"/>
          <w:szCs w:val="20"/>
          <w:lang w:val="es-ES"/>
        </w:rPr>
        <w:t>45</w:t>
      </w:r>
      <w:r w:rsidR="00454A6B" w:rsidRPr="00C42E74">
        <w:rPr>
          <w:rFonts w:ascii="Cambria" w:hAnsi="Cambria" w:cs="Calibri"/>
          <w:color w:val="000000"/>
          <w:sz w:val="20"/>
          <w:szCs w:val="20"/>
          <w:lang w:val="es-ES"/>
        </w:rPr>
        <w:t>/</w:t>
      </w:r>
      <w:r w:rsidR="00454A6B">
        <w:rPr>
          <w:rFonts w:ascii="Cambria" w:hAnsi="Cambria" w:cs="Calibri"/>
          <w:color w:val="000000"/>
          <w:sz w:val="20"/>
          <w:szCs w:val="20"/>
          <w:lang w:val="es-ES"/>
        </w:rPr>
        <w:t>20</w:t>
      </w:r>
      <w:r w:rsidR="00454A6B" w:rsidRPr="00C42E74">
        <w:rPr>
          <w:rFonts w:ascii="Cambria" w:hAnsi="Cambria" w:cs="Calibri"/>
          <w:color w:val="000000"/>
          <w:sz w:val="20"/>
          <w:szCs w:val="20"/>
          <w:lang w:val="es-ES"/>
        </w:rPr>
        <w:t xml:space="preserve"> </w:t>
      </w:r>
      <w:r w:rsidR="00F353B3" w:rsidRPr="00C42E74">
        <w:rPr>
          <w:rFonts w:ascii="Cambria" w:hAnsi="Cambria" w:cs="Calibri"/>
          <w:color w:val="000000"/>
          <w:sz w:val="20"/>
          <w:szCs w:val="20"/>
          <w:lang w:val="es-ES"/>
        </w:rPr>
        <w:t xml:space="preserve">(Anexos). </w:t>
      </w:r>
    </w:p>
    <w:p w14:paraId="730B4B1A" w14:textId="77777777" w:rsidR="00F2205F" w:rsidRPr="00C42E74" w:rsidRDefault="00F2205F" w:rsidP="00B024F4">
      <w:pPr>
        <w:spacing w:after="0" w:line="240" w:lineRule="auto"/>
        <w:ind w:firstLine="720"/>
        <w:jc w:val="both"/>
        <w:rPr>
          <w:rFonts w:ascii="Cambria" w:hAnsi="Cambria" w:cs="Calibri"/>
          <w:color w:val="000000"/>
          <w:sz w:val="20"/>
          <w:szCs w:val="20"/>
          <w:lang w:val="es-ES"/>
        </w:rPr>
      </w:pPr>
    </w:p>
    <w:p w14:paraId="134D1CC9" w14:textId="77777777" w:rsidR="009E5461" w:rsidRPr="00C42E74" w:rsidRDefault="00F353B3" w:rsidP="007B40D0">
      <w:pPr>
        <w:spacing w:after="0" w:line="240" w:lineRule="auto"/>
        <w:ind w:firstLine="720"/>
        <w:jc w:val="both"/>
        <w:rPr>
          <w:rFonts w:ascii="Cambria" w:hAnsi="Cambria" w:cs="Calibri"/>
          <w:color w:val="000000"/>
          <w:sz w:val="20"/>
          <w:szCs w:val="20"/>
          <w:lang w:val="es-ES"/>
        </w:rPr>
      </w:pPr>
      <w:r w:rsidRPr="00C42E74">
        <w:rPr>
          <w:rFonts w:ascii="Cambria" w:hAnsi="Cambria" w:cs="Calibri"/>
          <w:color w:val="000000"/>
          <w:sz w:val="20"/>
          <w:szCs w:val="20"/>
          <w:lang w:val="es-ES"/>
        </w:rPr>
        <w:t>Dicho Informe de F</w:t>
      </w:r>
      <w:r w:rsidR="0042403B" w:rsidRPr="00C42E74">
        <w:rPr>
          <w:rFonts w:ascii="Cambria" w:hAnsi="Cambria" w:cs="Calibri"/>
          <w:color w:val="000000"/>
          <w:sz w:val="20"/>
          <w:szCs w:val="20"/>
          <w:lang w:val="es-ES"/>
        </w:rPr>
        <w:t xml:space="preserve">ondo fue notificado al Estado </w:t>
      </w:r>
      <w:r w:rsidR="00DF3621" w:rsidRPr="00C42E74">
        <w:rPr>
          <w:rFonts w:ascii="Cambria" w:hAnsi="Cambria" w:cs="Calibri"/>
          <w:color w:val="000000"/>
          <w:sz w:val="20"/>
          <w:szCs w:val="20"/>
          <w:lang w:val="es-ES"/>
        </w:rPr>
        <w:t>el</w:t>
      </w:r>
      <w:r w:rsidR="00036FC7" w:rsidRPr="00C42E74">
        <w:rPr>
          <w:rFonts w:ascii="Cambria" w:hAnsi="Cambria" w:cs="Calibri"/>
          <w:color w:val="000000"/>
          <w:sz w:val="20"/>
          <w:szCs w:val="20"/>
          <w:lang w:val="es-ES"/>
        </w:rPr>
        <w:t xml:space="preserve"> </w:t>
      </w:r>
      <w:r w:rsidR="00CB45EC">
        <w:rPr>
          <w:rFonts w:ascii="Cambria" w:hAnsi="Cambria" w:cs="Calibri"/>
          <w:color w:val="000000"/>
          <w:sz w:val="20"/>
          <w:szCs w:val="20"/>
          <w:lang w:val="es-ES"/>
        </w:rPr>
        <w:t>21 de diciembre</w:t>
      </w:r>
      <w:r w:rsidR="00476573" w:rsidRPr="00C42E74">
        <w:rPr>
          <w:rFonts w:ascii="Cambria" w:hAnsi="Cambria" w:cs="Calibri"/>
          <w:color w:val="000000"/>
          <w:sz w:val="20"/>
          <w:szCs w:val="20"/>
          <w:lang w:val="es-ES"/>
        </w:rPr>
        <w:t xml:space="preserve"> de 2020</w:t>
      </w:r>
      <w:r w:rsidR="0042403B" w:rsidRPr="00C42E74">
        <w:rPr>
          <w:rFonts w:ascii="Cambria" w:hAnsi="Cambria" w:cs="Calibri"/>
          <w:color w:val="000000"/>
          <w:sz w:val="20"/>
          <w:szCs w:val="20"/>
          <w:lang w:val="es-ES"/>
        </w:rPr>
        <w:t xml:space="preserve">, otorgándole un plazo de dos meses para informar sobre el cumplimiento de las recomendaciones. </w:t>
      </w:r>
      <w:r w:rsidR="009E5461" w:rsidRPr="00C42E74">
        <w:rPr>
          <w:rFonts w:ascii="Cambria" w:hAnsi="Cambria" w:cs="Calibri"/>
          <w:color w:val="000000"/>
          <w:sz w:val="20"/>
          <w:szCs w:val="20"/>
          <w:lang w:val="es-ES"/>
        </w:rPr>
        <w:t xml:space="preserve">Con posterioridad al vencimiento de dicho plazo, la Comisión otorgó </w:t>
      </w:r>
      <w:r w:rsidR="00232B70">
        <w:rPr>
          <w:rFonts w:ascii="Cambria" w:hAnsi="Cambria" w:cs="Calibri"/>
          <w:color w:val="000000"/>
          <w:sz w:val="20"/>
          <w:szCs w:val="20"/>
          <w:lang w:val="es-ES"/>
        </w:rPr>
        <w:t>dos</w:t>
      </w:r>
      <w:r w:rsidR="009E5461" w:rsidRPr="00C42E74">
        <w:rPr>
          <w:rFonts w:ascii="Cambria" w:hAnsi="Cambria" w:cs="Calibri"/>
          <w:color w:val="000000"/>
          <w:sz w:val="20"/>
          <w:szCs w:val="20"/>
          <w:lang w:val="es-ES"/>
        </w:rPr>
        <w:t xml:space="preserve"> prórroga</w:t>
      </w:r>
      <w:r w:rsidR="00232B70">
        <w:rPr>
          <w:rFonts w:ascii="Cambria" w:hAnsi="Cambria" w:cs="Calibri"/>
          <w:color w:val="000000"/>
          <w:sz w:val="20"/>
          <w:szCs w:val="20"/>
          <w:lang w:val="es-ES"/>
        </w:rPr>
        <w:t>s</w:t>
      </w:r>
      <w:r w:rsidR="009E5461" w:rsidRPr="00C42E74">
        <w:rPr>
          <w:rFonts w:ascii="Cambria" w:hAnsi="Cambria" w:cs="Calibri"/>
          <w:color w:val="000000"/>
          <w:sz w:val="20"/>
          <w:szCs w:val="20"/>
          <w:lang w:val="es-ES"/>
        </w:rPr>
        <w:t xml:space="preserve"> para que el Estado contara con tiempo adicional para cumplir con las recomendaciones y avanzar en la implementación de medidas para reparar las consecuencias de las violaciones de los derechos humanos establecidas en el Informe de Fondo. </w:t>
      </w:r>
      <w:r w:rsidR="001574DB" w:rsidRPr="00C42E74">
        <w:rPr>
          <w:rFonts w:ascii="Cambria" w:hAnsi="Cambria" w:cs="Calibri"/>
          <w:color w:val="000000"/>
          <w:sz w:val="20"/>
          <w:szCs w:val="20"/>
          <w:lang w:val="es-ES"/>
        </w:rPr>
        <w:t xml:space="preserve">El </w:t>
      </w:r>
      <w:r w:rsidR="00B6447B">
        <w:rPr>
          <w:rFonts w:ascii="Cambria" w:hAnsi="Cambria" w:cs="Calibri"/>
          <w:color w:val="000000"/>
          <w:sz w:val="20"/>
          <w:szCs w:val="20"/>
          <w:lang w:val="es-ES"/>
        </w:rPr>
        <w:t>7 de septiembre</w:t>
      </w:r>
      <w:r w:rsidR="006D53CC">
        <w:rPr>
          <w:rFonts w:ascii="Cambria" w:hAnsi="Cambria" w:cs="Calibri"/>
          <w:color w:val="000000"/>
          <w:sz w:val="20"/>
          <w:szCs w:val="20"/>
          <w:lang w:val="es-ES"/>
        </w:rPr>
        <w:t xml:space="preserve"> </w:t>
      </w:r>
      <w:r w:rsidR="00476573" w:rsidRPr="00C42E74">
        <w:rPr>
          <w:rFonts w:ascii="Cambria" w:hAnsi="Cambria" w:cs="Calibri"/>
          <w:color w:val="000000"/>
          <w:sz w:val="20"/>
          <w:szCs w:val="20"/>
          <w:lang w:val="es-ES"/>
        </w:rPr>
        <w:t xml:space="preserve">de 2021 el Estado argentino solicitó una </w:t>
      </w:r>
      <w:r w:rsidR="00B6447B">
        <w:rPr>
          <w:rFonts w:ascii="Cambria" w:hAnsi="Cambria" w:cs="Calibri"/>
          <w:color w:val="000000"/>
          <w:sz w:val="20"/>
          <w:szCs w:val="20"/>
          <w:lang w:val="es-ES"/>
        </w:rPr>
        <w:t>tercer</w:t>
      </w:r>
      <w:r w:rsidR="006D53CC">
        <w:rPr>
          <w:rFonts w:ascii="Cambria" w:hAnsi="Cambria" w:cs="Calibri"/>
          <w:color w:val="000000"/>
          <w:sz w:val="20"/>
          <w:szCs w:val="20"/>
          <w:lang w:val="es-ES"/>
        </w:rPr>
        <w:t>a</w:t>
      </w:r>
      <w:r w:rsidR="00476573" w:rsidRPr="00C42E74">
        <w:rPr>
          <w:rFonts w:ascii="Cambria" w:hAnsi="Cambria" w:cs="Calibri"/>
          <w:color w:val="000000"/>
          <w:sz w:val="20"/>
          <w:szCs w:val="20"/>
          <w:lang w:val="es-ES"/>
        </w:rPr>
        <w:t xml:space="preserve"> prórroga. </w:t>
      </w:r>
      <w:r w:rsidR="00E85469" w:rsidRPr="00C42E74">
        <w:rPr>
          <w:rFonts w:ascii="Cambria" w:hAnsi="Cambria" w:cs="Calibri"/>
          <w:color w:val="000000"/>
          <w:sz w:val="20"/>
          <w:szCs w:val="20"/>
          <w:lang w:val="es-ES"/>
        </w:rPr>
        <w:t xml:space="preserve">Al momento de evaluar dicha solicitud, la Comisión </w:t>
      </w:r>
      <w:r w:rsidR="006D53CC">
        <w:rPr>
          <w:rFonts w:ascii="Cambria" w:hAnsi="Cambria" w:cs="Calibri"/>
          <w:color w:val="000000"/>
          <w:sz w:val="20"/>
          <w:szCs w:val="20"/>
          <w:lang w:val="es-ES"/>
        </w:rPr>
        <w:t xml:space="preserve">consideró que, a </w:t>
      </w:r>
      <w:r w:rsidR="00B6447B">
        <w:rPr>
          <w:rFonts w:ascii="Cambria" w:hAnsi="Cambria" w:cs="Calibri"/>
          <w:color w:val="000000"/>
          <w:sz w:val="20"/>
          <w:szCs w:val="20"/>
          <w:lang w:val="es-ES"/>
        </w:rPr>
        <w:t>nueve</w:t>
      </w:r>
      <w:r w:rsidR="006D53CC">
        <w:rPr>
          <w:rFonts w:ascii="Cambria" w:hAnsi="Cambria" w:cs="Calibri"/>
          <w:color w:val="000000"/>
          <w:sz w:val="20"/>
          <w:szCs w:val="20"/>
          <w:lang w:val="es-ES"/>
        </w:rPr>
        <w:t xml:space="preserve"> meses de notificado el Informe de Fondo, el Estado no informó sobre </w:t>
      </w:r>
      <w:r w:rsidR="00E26A5E">
        <w:rPr>
          <w:rFonts w:ascii="Cambria" w:hAnsi="Cambria" w:cs="Calibri"/>
          <w:color w:val="000000"/>
          <w:sz w:val="20"/>
          <w:szCs w:val="20"/>
          <w:lang w:val="es-ES"/>
        </w:rPr>
        <w:t xml:space="preserve">la adopción de </w:t>
      </w:r>
      <w:r w:rsidR="007B40D0">
        <w:rPr>
          <w:rFonts w:ascii="Cambria" w:hAnsi="Cambria" w:cs="Calibri"/>
          <w:color w:val="000000"/>
          <w:sz w:val="20"/>
          <w:szCs w:val="20"/>
          <w:lang w:val="es-ES"/>
        </w:rPr>
        <w:t xml:space="preserve">acciones </w:t>
      </w:r>
      <w:r w:rsidR="00E26A5E" w:rsidRPr="009746DA">
        <w:rPr>
          <w:rFonts w:ascii="Cambria" w:eastAsia="Times New Roman" w:hAnsi="Cambria" w:cs="Cambria"/>
          <w:sz w:val="20"/>
          <w:szCs w:val="20"/>
          <w:lang w:val="es-CO"/>
        </w:rPr>
        <w:t>concreta</w:t>
      </w:r>
      <w:r w:rsidR="007B40D0">
        <w:rPr>
          <w:rFonts w:ascii="Cambria" w:eastAsia="Times New Roman" w:hAnsi="Cambria" w:cs="Cambria"/>
          <w:sz w:val="20"/>
          <w:szCs w:val="20"/>
          <w:lang w:val="es-CO"/>
        </w:rPr>
        <w:t>s</w:t>
      </w:r>
      <w:r w:rsidR="00E26A5E" w:rsidRPr="009746DA">
        <w:rPr>
          <w:rFonts w:ascii="Cambria" w:eastAsia="Times New Roman" w:hAnsi="Cambria" w:cs="Cambria"/>
          <w:sz w:val="20"/>
          <w:szCs w:val="20"/>
          <w:lang w:val="es-CO"/>
        </w:rPr>
        <w:t xml:space="preserve"> e idónea</w:t>
      </w:r>
      <w:r w:rsidR="007B40D0">
        <w:rPr>
          <w:rFonts w:ascii="Cambria" w:eastAsia="Times New Roman" w:hAnsi="Cambria" w:cs="Cambria"/>
          <w:sz w:val="20"/>
          <w:szCs w:val="20"/>
          <w:lang w:val="es-CO"/>
        </w:rPr>
        <w:t>s</w:t>
      </w:r>
      <w:r w:rsidR="00E26A5E" w:rsidRPr="009746DA">
        <w:rPr>
          <w:rFonts w:ascii="Cambria" w:eastAsia="Times New Roman" w:hAnsi="Cambria" w:cs="Cambria"/>
          <w:sz w:val="20"/>
          <w:szCs w:val="20"/>
          <w:lang w:val="es-CO"/>
        </w:rPr>
        <w:t xml:space="preserve"> orientadas a</w:t>
      </w:r>
      <w:r w:rsidR="00E26A5E">
        <w:rPr>
          <w:rFonts w:ascii="Cambria" w:eastAsia="Times New Roman" w:hAnsi="Cambria" w:cs="Cambria"/>
          <w:sz w:val="20"/>
          <w:szCs w:val="20"/>
          <w:lang w:val="es-CO"/>
        </w:rPr>
        <w:t>l</w:t>
      </w:r>
      <w:r w:rsidR="00E26A5E" w:rsidRPr="009746DA">
        <w:rPr>
          <w:rFonts w:ascii="Cambria" w:eastAsia="Times New Roman" w:hAnsi="Cambria" w:cs="Cambria"/>
          <w:sz w:val="20"/>
          <w:szCs w:val="20"/>
          <w:lang w:val="es-CO"/>
        </w:rPr>
        <w:t xml:space="preserve"> cumplimiento</w:t>
      </w:r>
      <w:r w:rsidR="00E26A5E">
        <w:rPr>
          <w:rFonts w:ascii="Cambria" w:eastAsia="Times New Roman" w:hAnsi="Cambria" w:cs="Cambria"/>
          <w:sz w:val="20"/>
          <w:szCs w:val="20"/>
          <w:lang w:val="es-CO"/>
        </w:rPr>
        <w:t xml:space="preserve"> de las recomendaciones,</w:t>
      </w:r>
      <w:r w:rsidR="007B40D0">
        <w:rPr>
          <w:rFonts w:ascii="Cambria" w:eastAsia="Times New Roman" w:hAnsi="Cambria" w:cs="Cambria"/>
          <w:sz w:val="20"/>
          <w:szCs w:val="20"/>
          <w:lang w:val="es-CO"/>
        </w:rPr>
        <w:t xml:space="preserve"> de acuerdo con</w:t>
      </w:r>
      <w:r w:rsidR="00E26A5E">
        <w:rPr>
          <w:rFonts w:ascii="Cambria" w:eastAsia="Times New Roman" w:hAnsi="Cambria" w:cs="Cambria"/>
          <w:sz w:val="20"/>
          <w:szCs w:val="20"/>
          <w:lang w:val="es-CO"/>
        </w:rPr>
        <w:t xml:space="preserve"> en el artículo 46.1(a) del Reglamento de la CIDH.</w:t>
      </w:r>
      <w:r w:rsidR="00E26A5E">
        <w:rPr>
          <w:rFonts w:ascii="Cambria" w:hAnsi="Cambria" w:cs="Calibri"/>
          <w:color w:val="000000"/>
          <w:sz w:val="20"/>
          <w:szCs w:val="20"/>
          <w:lang w:val="es-ES"/>
        </w:rPr>
        <w:t xml:space="preserve"> </w:t>
      </w:r>
      <w:r w:rsidR="00E85469" w:rsidRPr="00C42E74">
        <w:rPr>
          <w:rFonts w:ascii="Cambria" w:hAnsi="Cambria" w:cs="Calibri"/>
          <w:color w:val="000000"/>
          <w:sz w:val="20"/>
          <w:szCs w:val="20"/>
          <w:lang w:val="es-ES"/>
        </w:rPr>
        <w:t>Por lo tanto, teniendo en cuenta l</w:t>
      </w:r>
      <w:r w:rsidR="00411FF5" w:rsidRPr="00C42E74">
        <w:rPr>
          <w:rFonts w:ascii="Cambria" w:hAnsi="Cambria" w:cs="Calibri"/>
          <w:color w:val="000000"/>
          <w:sz w:val="20"/>
          <w:szCs w:val="20"/>
          <w:lang w:val="es-ES"/>
        </w:rPr>
        <w:t xml:space="preserve">a necesidad de justicia </w:t>
      </w:r>
      <w:r w:rsidR="00E26A5E">
        <w:rPr>
          <w:rFonts w:ascii="Cambria" w:hAnsi="Cambria" w:cs="Calibri"/>
          <w:color w:val="000000"/>
          <w:sz w:val="20"/>
          <w:szCs w:val="20"/>
          <w:lang w:val="es-ES"/>
        </w:rPr>
        <w:t xml:space="preserve">y reparación </w:t>
      </w:r>
      <w:r w:rsidR="00411FF5" w:rsidRPr="00C42E74">
        <w:rPr>
          <w:rFonts w:ascii="Cambria" w:hAnsi="Cambria" w:cs="Calibri"/>
          <w:color w:val="000000"/>
          <w:sz w:val="20"/>
          <w:szCs w:val="20"/>
          <w:lang w:val="es-ES"/>
        </w:rPr>
        <w:t>para la</w:t>
      </w:r>
      <w:r w:rsidR="00E85469" w:rsidRPr="00C42E74">
        <w:rPr>
          <w:rFonts w:ascii="Cambria" w:hAnsi="Cambria" w:cs="Calibri"/>
          <w:color w:val="000000"/>
          <w:sz w:val="20"/>
          <w:szCs w:val="20"/>
          <w:lang w:val="es-ES"/>
        </w:rPr>
        <w:t xml:space="preserve"> </w:t>
      </w:r>
      <w:r w:rsidR="00E85469" w:rsidRPr="00C42E74">
        <w:rPr>
          <w:rFonts w:ascii="Cambria" w:hAnsi="Cambria" w:cs="Calibri"/>
          <w:color w:val="000000"/>
          <w:sz w:val="20"/>
          <w:szCs w:val="20"/>
          <w:lang w:val="es-ES"/>
        </w:rPr>
        <w:lastRenderedPageBreak/>
        <w:t xml:space="preserve">víctima, así como </w:t>
      </w:r>
      <w:r w:rsidR="00E26A5E">
        <w:rPr>
          <w:rFonts w:ascii="Cambria" w:hAnsi="Cambria" w:cs="Calibri"/>
          <w:color w:val="000000"/>
          <w:sz w:val="20"/>
          <w:szCs w:val="20"/>
          <w:lang w:val="es-ES"/>
        </w:rPr>
        <w:t xml:space="preserve">su </w:t>
      </w:r>
      <w:r w:rsidR="00E85469" w:rsidRPr="00C42E74">
        <w:rPr>
          <w:rFonts w:ascii="Cambria" w:hAnsi="Cambria" w:cs="Calibri"/>
          <w:color w:val="000000"/>
          <w:sz w:val="20"/>
          <w:szCs w:val="20"/>
          <w:lang w:val="es-ES"/>
        </w:rPr>
        <w:t>po</w:t>
      </w:r>
      <w:r w:rsidR="00411FF5" w:rsidRPr="00C42E74">
        <w:rPr>
          <w:rFonts w:ascii="Cambria" w:hAnsi="Cambria" w:cs="Calibri"/>
          <w:color w:val="000000"/>
          <w:sz w:val="20"/>
          <w:szCs w:val="20"/>
          <w:lang w:val="es-ES"/>
        </w:rPr>
        <w:t xml:space="preserve">sición </w:t>
      </w:r>
      <w:r w:rsidR="00E85469" w:rsidRPr="00C42E74">
        <w:rPr>
          <w:rFonts w:ascii="Cambria" w:hAnsi="Cambria" w:cs="Calibri"/>
          <w:color w:val="000000"/>
          <w:sz w:val="20"/>
          <w:szCs w:val="20"/>
          <w:lang w:val="es-ES"/>
        </w:rPr>
        <w:t>respecto del envío del caso a la Corte Interamericana, la Comisión decidió someter el presente caso a la jurisdicción de la Corte.</w:t>
      </w:r>
    </w:p>
    <w:p w14:paraId="1055F3B5" w14:textId="77777777" w:rsidR="009E5461" w:rsidRPr="00C42E74" w:rsidRDefault="009E5461" w:rsidP="00243FDD">
      <w:pPr>
        <w:tabs>
          <w:tab w:val="left" w:pos="810"/>
        </w:tabs>
        <w:spacing w:after="0" w:line="240" w:lineRule="auto"/>
        <w:jc w:val="both"/>
        <w:rPr>
          <w:rFonts w:ascii="Cambria" w:hAnsi="Cambria" w:cs="Calibri"/>
          <w:color w:val="000000"/>
          <w:sz w:val="20"/>
          <w:szCs w:val="20"/>
          <w:lang w:val="es-ES"/>
        </w:rPr>
      </w:pPr>
    </w:p>
    <w:p w14:paraId="4C73326E" w14:textId="77777777" w:rsidR="00E26A5E" w:rsidRPr="00E25D2E" w:rsidRDefault="00143EB4" w:rsidP="00E25D2E">
      <w:pPr>
        <w:tabs>
          <w:tab w:val="left" w:pos="1440"/>
        </w:tabs>
        <w:spacing w:after="0" w:line="240" w:lineRule="auto"/>
        <w:ind w:firstLine="720"/>
        <w:jc w:val="both"/>
        <w:rPr>
          <w:rFonts w:ascii="Cambria" w:hAnsi="Cambria"/>
          <w:sz w:val="20"/>
          <w:szCs w:val="20"/>
          <w:lang w:val="es-ES"/>
        </w:rPr>
      </w:pPr>
      <w:r w:rsidRPr="00C42E74">
        <w:rPr>
          <w:rFonts w:ascii="Cambria" w:hAnsi="Cambria" w:cs="Calibri"/>
          <w:color w:val="000000"/>
          <w:sz w:val="20"/>
          <w:szCs w:val="20"/>
          <w:lang w:val="es-ES"/>
        </w:rPr>
        <w:t xml:space="preserve">En </w:t>
      </w:r>
      <w:r w:rsidR="00A369C2" w:rsidRPr="00C42E74">
        <w:rPr>
          <w:rFonts w:ascii="Cambria" w:hAnsi="Cambria" w:cs="Calibri"/>
          <w:color w:val="000000"/>
          <w:sz w:val="20"/>
          <w:szCs w:val="20"/>
          <w:lang w:val="es-ES"/>
        </w:rPr>
        <w:t>particular</w:t>
      </w:r>
      <w:r w:rsidRPr="00C42E74">
        <w:rPr>
          <w:rFonts w:ascii="Cambria" w:hAnsi="Cambria" w:cs="Calibri"/>
          <w:color w:val="000000"/>
          <w:sz w:val="20"/>
          <w:szCs w:val="20"/>
          <w:lang w:val="es-ES"/>
        </w:rPr>
        <w:t xml:space="preserve">, la Comisión solicita a la </w:t>
      </w:r>
      <w:r w:rsidR="00707281" w:rsidRPr="00C42E74">
        <w:rPr>
          <w:rFonts w:ascii="Cambria" w:hAnsi="Cambria" w:cs="Calibri"/>
          <w:color w:val="000000"/>
          <w:sz w:val="20"/>
          <w:szCs w:val="20"/>
          <w:lang w:val="es-ES"/>
        </w:rPr>
        <w:t xml:space="preserve">Honorable </w:t>
      </w:r>
      <w:r w:rsidRPr="00C42E74">
        <w:rPr>
          <w:rFonts w:ascii="Cambria" w:hAnsi="Cambria" w:cs="Calibri"/>
          <w:color w:val="000000"/>
          <w:sz w:val="20"/>
          <w:szCs w:val="20"/>
          <w:lang w:val="es-ES"/>
        </w:rPr>
        <w:t xml:space="preserve">Corte que concluya y declare que el Estado de </w:t>
      </w:r>
      <w:r w:rsidR="006C5EA4" w:rsidRPr="00C42E74">
        <w:rPr>
          <w:rFonts w:ascii="Cambria" w:hAnsi="Cambria" w:cs="Calibri"/>
          <w:color w:val="000000"/>
          <w:sz w:val="20"/>
          <w:szCs w:val="20"/>
          <w:lang w:val="es-ES"/>
        </w:rPr>
        <w:t xml:space="preserve">Argentina es responsable por la violación de los </w:t>
      </w:r>
      <w:r w:rsidR="00E85469" w:rsidRPr="00C42E74">
        <w:rPr>
          <w:rFonts w:ascii="Cambria" w:hAnsi="Cambria" w:cs="Calibri"/>
          <w:color w:val="000000"/>
          <w:sz w:val="20"/>
          <w:szCs w:val="20"/>
          <w:lang w:val="es-ES"/>
        </w:rPr>
        <w:t xml:space="preserve">derechos </w:t>
      </w:r>
      <w:r w:rsidR="00E26A5E" w:rsidRPr="00C81781">
        <w:rPr>
          <w:rFonts w:ascii="Cambria" w:hAnsi="Cambria"/>
          <w:sz w:val="20"/>
          <w:szCs w:val="20"/>
          <w:lang w:val="es-ES"/>
        </w:rPr>
        <w:t>a la</w:t>
      </w:r>
      <w:r w:rsidR="00E26A5E">
        <w:rPr>
          <w:rFonts w:ascii="Cambria" w:hAnsi="Cambria"/>
          <w:sz w:val="20"/>
          <w:szCs w:val="20"/>
          <w:lang w:val="es-ES"/>
        </w:rPr>
        <w:t xml:space="preserve"> </w:t>
      </w:r>
      <w:r w:rsidR="00E26A5E" w:rsidRPr="00C81781">
        <w:rPr>
          <w:rFonts w:ascii="Cambria" w:hAnsi="Cambria"/>
          <w:sz w:val="20"/>
          <w:szCs w:val="20"/>
          <w:lang w:val="es-ES"/>
        </w:rPr>
        <w:t xml:space="preserve">protección judicial y </w:t>
      </w:r>
      <w:r w:rsidR="00B6447B">
        <w:rPr>
          <w:rFonts w:ascii="Cambria" w:hAnsi="Cambria"/>
          <w:sz w:val="20"/>
          <w:szCs w:val="20"/>
          <w:lang w:val="es-ES"/>
        </w:rPr>
        <w:t xml:space="preserve">a las </w:t>
      </w:r>
      <w:r w:rsidR="00E26A5E" w:rsidRPr="00C81781">
        <w:rPr>
          <w:rFonts w:ascii="Cambria" w:hAnsi="Cambria"/>
          <w:sz w:val="20"/>
          <w:szCs w:val="20"/>
          <w:lang w:val="es-ES"/>
        </w:rPr>
        <w:t xml:space="preserve">garantías judiciales </w:t>
      </w:r>
      <w:r w:rsidR="00C3279C">
        <w:rPr>
          <w:rFonts w:ascii="Cambria" w:hAnsi="Cambria"/>
          <w:sz w:val="20"/>
          <w:szCs w:val="20"/>
          <w:lang w:val="es-ES"/>
        </w:rPr>
        <w:t>reconocidos</w:t>
      </w:r>
      <w:r w:rsidR="00E26A5E" w:rsidRPr="00C81781">
        <w:rPr>
          <w:rFonts w:ascii="Cambria" w:hAnsi="Cambria"/>
          <w:sz w:val="20"/>
          <w:szCs w:val="20"/>
          <w:lang w:val="es-ES"/>
        </w:rPr>
        <w:t xml:space="preserve"> en los </w:t>
      </w:r>
      <w:r w:rsidR="00E26A5E" w:rsidRPr="00E25D2E">
        <w:rPr>
          <w:rFonts w:ascii="Cambria" w:hAnsi="Cambria"/>
          <w:sz w:val="20"/>
          <w:szCs w:val="20"/>
          <w:lang w:val="es-ES"/>
        </w:rPr>
        <w:t>artículos 8.1 y 25.1 de la Convención Americana, en relación con sus obligaciones establecidas en el artículo 1.1, en perjuicio del señor Héctor Hugo Boleso.</w:t>
      </w:r>
    </w:p>
    <w:p w14:paraId="7A629154" w14:textId="77777777" w:rsidR="005813B7" w:rsidRPr="00E25D2E" w:rsidRDefault="005813B7" w:rsidP="00E25D2E">
      <w:pPr>
        <w:tabs>
          <w:tab w:val="left" w:pos="360"/>
        </w:tabs>
        <w:spacing w:after="0" w:line="240" w:lineRule="auto"/>
        <w:jc w:val="both"/>
        <w:rPr>
          <w:rFonts w:ascii="Cambria" w:hAnsi="Cambria" w:cs="Calibri"/>
          <w:sz w:val="20"/>
          <w:szCs w:val="20"/>
          <w:lang w:val="es-ES"/>
        </w:rPr>
      </w:pPr>
    </w:p>
    <w:p w14:paraId="326E4EE2" w14:textId="77777777" w:rsidR="00670828" w:rsidRPr="00E25D2E" w:rsidRDefault="005813B7" w:rsidP="00E25D2E">
      <w:pPr>
        <w:pStyle w:val="Prrafodelista"/>
        <w:tabs>
          <w:tab w:val="left" w:pos="720"/>
          <w:tab w:val="left" w:pos="1440"/>
        </w:tabs>
        <w:ind w:left="0"/>
        <w:jc w:val="both"/>
        <w:rPr>
          <w:rFonts w:eastAsia="Calibri" w:cs="Calibri"/>
          <w:sz w:val="20"/>
          <w:szCs w:val="20"/>
          <w:bdr w:val="none" w:sz="0" w:space="0" w:color="auto"/>
          <w:lang w:val="es-ES" w:eastAsia="en-US"/>
        </w:rPr>
      </w:pPr>
      <w:r w:rsidRPr="00E25D2E">
        <w:rPr>
          <w:rFonts w:eastAsia="Calibri" w:cs="Calibri"/>
          <w:sz w:val="20"/>
          <w:szCs w:val="20"/>
          <w:bdr w:val="none" w:sz="0" w:space="0" w:color="auto"/>
          <w:lang w:val="es-ES" w:eastAsia="en-US"/>
        </w:rPr>
        <w:tab/>
      </w:r>
      <w:r w:rsidR="00162CE1" w:rsidRPr="00E25D2E">
        <w:rPr>
          <w:rFonts w:cs="Calibri"/>
          <w:sz w:val="20"/>
          <w:szCs w:val="20"/>
          <w:lang w:val="es-ES"/>
        </w:rPr>
        <w:t xml:space="preserve">En consecuencia, la Comisión solicita a la Corte Interamericana que </w:t>
      </w:r>
      <w:r w:rsidR="00670828" w:rsidRPr="00E25D2E">
        <w:rPr>
          <w:rFonts w:cs="Calibri"/>
          <w:sz w:val="20"/>
          <w:szCs w:val="20"/>
          <w:lang w:val="es-CO"/>
        </w:rPr>
        <w:t>establezca las siguientes medidas de reparación:</w:t>
      </w:r>
    </w:p>
    <w:p w14:paraId="4CD5083F" w14:textId="77777777" w:rsidR="00162CE1" w:rsidRPr="00E25D2E" w:rsidRDefault="00162CE1" w:rsidP="00E25D2E">
      <w:pPr>
        <w:spacing w:after="0" w:line="240" w:lineRule="auto"/>
        <w:ind w:firstLine="720"/>
        <w:jc w:val="both"/>
        <w:rPr>
          <w:rFonts w:ascii="Cambria" w:hAnsi="Cambria" w:cs="Calibri"/>
          <w:color w:val="000000"/>
          <w:sz w:val="20"/>
          <w:szCs w:val="20"/>
          <w:lang w:val="es-ES"/>
        </w:rPr>
      </w:pPr>
    </w:p>
    <w:p w14:paraId="23AA320E" w14:textId="77777777" w:rsidR="00E25D2E" w:rsidRPr="00E25D2E" w:rsidRDefault="00E25D2E" w:rsidP="00E25D2E">
      <w:pPr>
        <w:tabs>
          <w:tab w:val="left" w:pos="720"/>
          <w:tab w:val="left" w:pos="1080"/>
          <w:tab w:val="left" w:pos="1440"/>
        </w:tabs>
        <w:spacing w:after="0" w:line="240" w:lineRule="auto"/>
        <w:ind w:left="720" w:right="720"/>
        <w:jc w:val="both"/>
        <w:rPr>
          <w:rFonts w:ascii="Cambria" w:hAnsi="Cambria"/>
          <w:color w:val="000000"/>
          <w:sz w:val="20"/>
          <w:szCs w:val="20"/>
          <w:lang w:val="es-VE"/>
        </w:rPr>
      </w:pPr>
      <w:r w:rsidRPr="00E25D2E">
        <w:rPr>
          <w:rFonts w:ascii="Cambria" w:hAnsi="Cambria"/>
          <w:color w:val="000000"/>
          <w:sz w:val="20"/>
          <w:szCs w:val="20"/>
          <w:lang w:val="es-VE"/>
        </w:rPr>
        <w:t>1.</w:t>
      </w:r>
      <w:r w:rsidRPr="00E25D2E">
        <w:rPr>
          <w:rFonts w:ascii="Cambria" w:hAnsi="Cambria"/>
          <w:color w:val="000000"/>
          <w:sz w:val="20"/>
          <w:szCs w:val="20"/>
          <w:lang w:val="es-VE"/>
        </w:rPr>
        <w:tab/>
        <w:t xml:space="preserve">Pagar una indemnización específica por concepto de la violación a la garantía del plazo razonable.  El monto deberá tomar en cuenta las afectaciones de naturaleza patrimonial que el señor Boleso acredite fueron ocasionados como resultado de la demora en el proceso judicial. </w:t>
      </w:r>
    </w:p>
    <w:p w14:paraId="534EFC68" w14:textId="77777777" w:rsidR="00E25D2E" w:rsidRPr="00E25D2E" w:rsidRDefault="00E25D2E" w:rsidP="00E25D2E">
      <w:pPr>
        <w:tabs>
          <w:tab w:val="left" w:pos="720"/>
          <w:tab w:val="left" w:pos="1080"/>
          <w:tab w:val="left" w:pos="1440"/>
        </w:tabs>
        <w:spacing w:after="0" w:line="240" w:lineRule="auto"/>
        <w:ind w:left="720" w:right="720"/>
        <w:jc w:val="both"/>
        <w:rPr>
          <w:rFonts w:ascii="Cambria" w:hAnsi="Cambria"/>
          <w:color w:val="000000"/>
          <w:sz w:val="20"/>
          <w:szCs w:val="20"/>
          <w:lang w:val="es-VE"/>
        </w:rPr>
      </w:pPr>
    </w:p>
    <w:p w14:paraId="1835F9E6" w14:textId="77777777" w:rsidR="00E25D2E" w:rsidRPr="00E25D2E" w:rsidRDefault="00E25D2E" w:rsidP="00E25D2E">
      <w:pPr>
        <w:tabs>
          <w:tab w:val="left" w:pos="720"/>
          <w:tab w:val="left" w:pos="1080"/>
          <w:tab w:val="left" w:pos="1440"/>
        </w:tabs>
        <w:spacing w:after="0" w:line="240" w:lineRule="auto"/>
        <w:ind w:left="720" w:right="720"/>
        <w:jc w:val="both"/>
        <w:rPr>
          <w:rFonts w:ascii="Cambria" w:hAnsi="Cambria"/>
          <w:color w:val="000000"/>
          <w:sz w:val="20"/>
          <w:szCs w:val="20"/>
          <w:lang w:val="es-VE"/>
        </w:rPr>
      </w:pPr>
      <w:r w:rsidRPr="00E25D2E">
        <w:rPr>
          <w:rFonts w:ascii="Cambria" w:hAnsi="Cambria"/>
          <w:color w:val="000000"/>
          <w:sz w:val="20"/>
          <w:szCs w:val="20"/>
          <w:lang w:val="es-VE"/>
        </w:rPr>
        <w:t xml:space="preserve">2. </w:t>
      </w:r>
      <w:r w:rsidRPr="00E25D2E">
        <w:rPr>
          <w:rFonts w:ascii="Cambria" w:hAnsi="Cambria"/>
          <w:color w:val="000000"/>
          <w:sz w:val="20"/>
          <w:szCs w:val="20"/>
          <w:lang w:val="es-VE"/>
        </w:rPr>
        <w:tab/>
        <w:t>Adoptar las medidas necesarias para asegurar la no repetición de la violación declarada en el informe. En particular, el Estado deberá adoptar las medidas administrativas o de otra índole para asegurar que los procesos judiciales directamente relacionados con posibles controversias relacionadas con las remuneraciones a jueces, sean resueltos oportunamente y dentro de un plazo razonable teniendo en cuenta la necesaria independencia que requieren en el ejercicio de sus labores.</w:t>
      </w:r>
    </w:p>
    <w:p w14:paraId="69C0B768" w14:textId="77777777" w:rsidR="00D902D7" w:rsidRPr="00E25D2E" w:rsidRDefault="00D902D7" w:rsidP="00E25D2E">
      <w:pPr>
        <w:spacing w:after="0" w:line="240" w:lineRule="auto"/>
        <w:jc w:val="both"/>
        <w:rPr>
          <w:rFonts w:ascii="Cambria" w:eastAsia="Cambria" w:hAnsi="Cambria" w:cs="Cambria"/>
          <w:color w:val="000000"/>
          <w:sz w:val="20"/>
          <w:szCs w:val="20"/>
          <w:u w:color="000000"/>
          <w:lang w:val="es-VE" w:eastAsia="es-ES"/>
        </w:rPr>
      </w:pPr>
    </w:p>
    <w:p w14:paraId="2148FC3B" w14:textId="77777777" w:rsidR="00C53DFA" w:rsidRDefault="00E16ED1" w:rsidP="002125E9">
      <w:pPr>
        <w:spacing w:after="0" w:line="240" w:lineRule="auto"/>
        <w:jc w:val="both"/>
        <w:rPr>
          <w:rFonts w:ascii="Cambria" w:hAnsi="Cambria"/>
          <w:sz w:val="20"/>
          <w:szCs w:val="20"/>
          <w:lang w:val="es-ES"/>
        </w:rPr>
      </w:pPr>
      <w:r w:rsidRPr="00C42E74">
        <w:rPr>
          <w:rFonts w:ascii="Cambria" w:hAnsi="Cambria" w:cs="Calibri"/>
          <w:color w:val="000000"/>
          <w:sz w:val="20"/>
          <w:szCs w:val="20"/>
          <w:lang w:val="es-ES"/>
        </w:rPr>
        <w:tab/>
      </w:r>
      <w:r w:rsidR="00162CE1" w:rsidRPr="00C42E74">
        <w:rPr>
          <w:rFonts w:ascii="Cambria" w:hAnsi="Cambria" w:cs="Calibri"/>
          <w:color w:val="000000"/>
          <w:sz w:val="20"/>
          <w:szCs w:val="20"/>
          <w:lang w:val="es-ES"/>
        </w:rPr>
        <w:t>Además de la necesidad de obtención de justicia</w:t>
      </w:r>
      <w:r w:rsidR="00377262" w:rsidRPr="00C42E74">
        <w:rPr>
          <w:rFonts w:ascii="Cambria" w:hAnsi="Cambria" w:cs="Calibri"/>
          <w:color w:val="000000"/>
          <w:sz w:val="20"/>
          <w:szCs w:val="20"/>
          <w:lang w:val="es-ES"/>
        </w:rPr>
        <w:t xml:space="preserve"> y reparación</w:t>
      </w:r>
      <w:r w:rsidR="00162CE1" w:rsidRPr="00C42E74">
        <w:rPr>
          <w:rFonts w:ascii="Cambria" w:hAnsi="Cambria" w:cs="Calibri"/>
          <w:color w:val="000000"/>
          <w:sz w:val="20"/>
          <w:szCs w:val="20"/>
          <w:lang w:val="es-ES"/>
        </w:rPr>
        <w:t xml:space="preserve"> por la falta de cumplimie</w:t>
      </w:r>
      <w:r w:rsidR="009A0E8E" w:rsidRPr="00C42E74">
        <w:rPr>
          <w:rFonts w:ascii="Cambria" w:hAnsi="Cambria" w:cs="Calibri"/>
          <w:color w:val="000000"/>
          <w:sz w:val="20"/>
          <w:szCs w:val="20"/>
          <w:lang w:val="es-ES"/>
        </w:rPr>
        <w:t xml:space="preserve">nto de las </w:t>
      </w:r>
      <w:r w:rsidR="00274485" w:rsidRPr="00C42E74">
        <w:rPr>
          <w:rFonts w:ascii="Cambria" w:hAnsi="Cambria" w:cs="Calibri"/>
          <w:color w:val="000000"/>
          <w:sz w:val="20"/>
          <w:szCs w:val="20"/>
          <w:lang w:val="es-ES"/>
        </w:rPr>
        <w:t xml:space="preserve">mencionadas </w:t>
      </w:r>
      <w:r w:rsidR="009A0E8E" w:rsidRPr="00C42E74">
        <w:rPr>
          <w:rFonts w:ascii="Cambria" w:hAnsi="Cambria" w:cs="Calibri"/>
          <w:color w:val="000000"/>
          <w:sz w:val="20"/>
          <w:szCs w:val="20"/>
          <w:lang w:val="es-ES"/>
        </w:rPr>
        <w:t>recomendaciones del Informe de F</w:t>
      </w:r>
      <w:r w:rsidR="00162CE1" w:rsidRPr="00C42E74">
        <w:rPr>
          <w:rFonts w:ascii="Cambria" w:hAnsi="Cambria" w:cs="Calibri"/>
          <w:color w:val="000000"/>
          <w:sz w:val="20"/>
          <w:szCs w:val="20"/>
          <w:lang w:val="es-ES"/>
        </w:rPr>
        <w:t>ondo, la Comisión considera que el caso presenta cuestiones de orden público interamericano.</w:t>
      </w:r>
      <w:r w:rsidR="00245F50" w:rsidRPr="00C42E74">
        <w:rPr>
          <w:rFonts w:ascii="Cambria" w:hAnsi="Cambria" w:cs="Calibri"/>
          <w:color w:val="000000"/>
          <w:sz w:val="20"/>
          <w:szCs w:val="20"/>
          <w:lang w:val="es-ES"/>
        </w:rPr>
        <w:t xml:space="preserve"> </w:t>
      </w:r>
      <w:r w:rsidR="00A369C2" w:rsidRPr="00C42E74">
        <w:rPr>
          <w:rFonts w:ascii="Cambria" w:hAnsi="Cambria" w:cs="Calibri"/>
          <w:color w:val="000000"/>
          <w:sz w:val="20"/>
          <w:szCs w:val="20"/>
          <w:lang w:val="es-ES"/>
        </w:rPr>
        <w:t xml:space="preserve">El mismo permitirá a la </w:t>
      </w:r>
      <w:r w:rsidR="00411FF5" w:rsidRPr="00C42E74">
        <w:rPr>
          <w:rFonts w:ascii="Cambria" w:hAnsi="Cambria" w:cs="Calibri"/>
          <w:color w:val="000000"/>
          <w:sz w:val="20"/>
          <w:szCs w:val="20"/>
          <w:lang w:val="es-ES"/>
        </w:rPr>
        <w:t xml:space="preserve">Honorable </w:t>
      </w:r>
      <w:r w:rsidR="00A369C2" w:rsidRPr="00C42E74">
        <w:rPr>
          <w:rFonts w:ascii="Cambria" w:hAnsi="Cambria" w:cs="Calibri"/>
          <w:color w:val="000000"/>
          <w:sz w:val="20"/>
          <w:szCs w:val="20"/>
          <w:lang w:val="es-ES"/>
        </w:rPr>
        <w:t xml:space="preserve">Corte </w:t>
      </w:r>
      <w:r w:rsidR="002125E9">
        <w:rPr>
          <w:rFonts w:ascii="Cambria" w:hAnsi="Cambria" w:cs="Calibri"/>
          <w:color w:val="000000"/>
          <w:sz w:val="20"/>
          <w:szCs w:val="20"/>
          <w:lang w:val="es-ES"/>
        </w:rPr>
        <w:t>profundizar los estándares interamericanos</w:t>
      </w:r>
      <w:r w:rsidR="002125E9" w:rsidRPr="00712B1F">
        <w:rPr>
          <w:rFonts w:ascii="Cambria" w:hAnsi="Cambria" w:cs="Calibri"/>
          <w:color w:val="000000"/>
          <w:sz w:val="20"/>
          <w:szCs w:val="20"/>
          <w:lang w:val="es-ES"/>
        </w:rPr>
        <w:t xml:space="preserve"> </w:t>
      </w:r>
      <w:r w:rsidR="002125E9">
        <w:rPr>
          <w:rFonts w:ascii="Cambria" w:hAnsi="Cambria" w:cs="Calibri"/>
          <w:color w:val="000000"/>
          <w:sz w:val="20"/>
          <w:szCs w:val="20"/>
          <w:lang w:val="es-ES"/>
        </w:rPr>
        <w:t xml:space="preserve">relativos a la garantía de plazo razonable, en particular </w:t>
      </w:r>
      <w:r w:rsidR="002125E9" w:rsidRPr="004C5BA7">
        <w:rPr>
          <w:rFonts w:ascii="Cambria" w:hAnsi="Cambria"/>
          <w:sz w:val="20"/>
          <w:szCs w:val="20"/>
          <w:lang w:val="es-ES"/>
        </w:rPr>
        <w:t>en procesos relacionados con remuneraciones de jueces</w:t>
      </w:r>
      <w:r w:rsidR="00B6447B">
        <w:rPr>
          <w:rFonts w:ascii="Cambria" w:hAnsi="Cambria"/>
          <w:sz w:val="20"/>
          <w:szCs w:val="20"/>
          <w:lang w:val="es-ES"/>
        </w:rPr>
        <w:t xml:space="preserve"> y juezas</w:t>
      </w:r>
      <w:r w:rsidR="009D24B3">
        <w:rPr>
          <w:rFonts w:ascii="Cambria" w:hAnsi="Cambria"/>
          <w:sz w:val="20"/>
          <w:szCs w:val="20"/>
          <w:lang w:val="es-ES"/>
        </w:rPr>
        <w:t xml:space="preserve">, </w:t>
      </w:r>
      <w:r w:rsidR="00C53DFA" w:rsidRPr="004C5BA7">
        <w:rPr>
          <w:rFonts w:ascii="Cambria" w:hAnsi="Cambria"/>
          <w:sz w:val="20"/>
          <w:szCs w:val="20"/>
          <w:lang w:val="es-ES"/>
        </w:rPr>
        <w:t xml:space="preserve">teniendo en cuenta la relación </w:t>
      </w:r>
      <w:r w:rsidR="00C53DFA">
        <w:rPr>
          <w:rFonts w:ascii="Cambria" w:hAnsi="Cambria"/>
          <w:sz w:val="20"/>
          <w:szCs w:val="20"/>
          <w:lang w:val="es-ES"/>
        </w:rPr>
        <w:t>existente entre</w:t>
      </w:r>
      <w:r w:rsidR="00C53DFA" w:rsidRPr="004C5BA7">
        <w:rPr>
          <w:rFonts w:ascii="Cambria" w:hAnsi="Cambria"/>
          <w:sz w:val="20"/>
          <w:szCs w:val="20"/>
          <w:lang w:val="es-ES"/>
        </w:rPr>
        <w:t xml:space="preserve"> una adecuada remuneración</w:t>
      </w:r>
      <w:r w:rsidR="00C53DFA">
        <w:rPr>
          <w:rFonts w:ascii="Cambria" w:hAnsi="Cambria"/>
          <w:sz w:val="20"/>
          <w:szCs w:val="20"/>
          <w:lang w:val="es-ES"/>
        </w:rPr>
        <w:t>,</w:t>
      </w:r>
      <w:r w:rsidR="00C53DFA" w:rsidRPr="004C5BA7">
        <w:rPr>
          <w:rFonts w:ascii="Cambria" w:hAnsi="Cambria"/>
          <w:sz w:val="20"/>
          <w:szCs w:val="20"/>
          <w:lang w:val="es-ES"/>
        </w:rPr>
        <w:t xml:space="preserve"> las condiciones de servicio y la independencia que requieren para sus actuaciones.</w:t>
      </w:r>
    </w:p>
    <w:p w14:paraId="0801290C" w14:textId="77777777" w:rsidR="00FB0706" w:rsidRPr="00C42E74" w:rsidRDefault="00FB0706" w:rsidP="002E628E">
      <w:pPr>
        <w:spacing w:after="0" w:line="240" w:lineRule="auto"/>
        <w:jc w:val="both"/>
        <w:rPr>
          <w:rFonts w:ascii="Cambria" w:hAnsi="Cambria" w:cs="Calibri"/>
          <w:sz w:val="20"/>
          <w:szCs w:val="20"/>
          <w:lang w:val="es-ES"/>
        </w:rPr>
      </w:pPr>
    </w:p>
    <w:p w14:paraId="2F905B05" w14:textId="77777777" w:rsidR="002E628E" w:rsidRPr="00C42E74" w:rsidRDefault="002E628E" w:rsidP="002E628E">
      <w:pPr>
        <w:spacing w:after="0" w:line="240" w:lineRule="auto"/>
        <w:jc w:val="both"/>
        <w:rPr>
          <w:rFonts w:ascii="Cambria" w:hAnsi="Cambria" w:cs="Calibri"/>
          <w:color w:val="000000"/>
          <w:sz w:val="20"/>
          <w:szCs w:val="20"/>
          <w:lang w:val="es-ES"/>
        </w:rPr>
      </w:pPr>
      <w:r w:rsidRPr="00C42E74">
        <w:rPr>
          <w:rFonts w:ascii="Cambria" w:hAnsi="Cambria" w:cs="Calibri"/>
          <w:color w:val="000000"/>
          <w:sz w:val="20"/>
          <w:szCs w:val="20"/>
          <w:lang w:val="es-ES"/>
        </w:rPr>
        <w:tab/>
        <w:t xml:space="preserve">La Comisión pone en conocimiento de la Honorable Corte la </w:t>
      </w:r>
      <w:r w:rsidR="00594AE3" w:rsidRPr="00C42E74">
        <w:rPr>
          <w:rFonts w:ascii="Cambria" w:hAnsi="Cambria" w:cs="Calibri"/>
          <w:color w:val="000000"/>
          <w:sz w:val="20"/>
          <w:szCs w:val="20"/>
          <w:lang w:val="es-ES"/>
        </w:rPr>
        <w:t>siguiente información de quien</w:t>
      </w:r>
      <w:r w:rsidR="00F1599B" w:rsidRPr="00C42E74">
        <w:rPr>
          <w:rFonts w:ascii="Cambria" w:hAnsi="Cambria" w:cs="Calibri"/>
          <w:color w:val="000000"/>
          <w:sz w:val="20"/>
          <w:szCs w:val="20"/>
          <w:lang w:val="es-ES"/>
        </w:rPr>
        <w:t>es</w:t>
      </w:r>
      <w:r w:rsidR="00594AE3" w:rsidRPr="00C42E74">
        <w:rPr>
          <w:rFonts w:ascii="Cambria" w:hAnsi="Cambria" w:cs="Calibri"/>
          <w:color w:val="000000"/>
          <w:sz w:val="20"/>
          <w:szCs w:val="20"/>
          <w:lang w:val="es-ES"/>
        </w:rPr>
        <w:t xml:space="preserve"> actúa</w:t>
      </w:r>
      <w:r w:rsidR="00F1599B" w:rsidRPr="00C42E74">
        <w:rPr>
          <w:rFonts w:ascii="Cambria" w:hAnsi="Cambria" w:cs="Calibri"/>
          <w:color w:val="000000"/>
          <w:sz w:val="20"/>
          <w:szCs w:val="20"/>
          <w:lang w:val="es-ES"/>
        </w:rPr>
        <w:t>n</w:t>
      </w:r>
      <w:r w:rsidRPr="00C42E74">
        <w:rPr>
          <w:rFonts w:ascii="Cambria" w:hAnsi="Cambria" w:cs="Calibri"/>
          <w:color w:val="000000"/>
          <w:sz w:val="20"/>
          <w:szCs w:val="20"/>
          <w:lang w:val="es-ES"/>
        </w:rPr>
        <w:t xml:space="preserve"> como parte peticionaria en el trámite ante la CIDH conforme a la información más reciente:</w:t>
      </w:r>
    </w:p>
    <w:p w14:paraId="5000A85B" w14:textId="77777777" w:rsidR="00F1599B" w:rsidRPr="00C42E74" w:rsidRDefault="00F1599B" w:rsidP="002E628E">
      <w:pPr>
        <w:spacing w:after="0" w:line="240" w:lineRule="auto"/>
        <w:jc w:val="both"/>
        <w:rPr>
          <w:rFonts w:ascii="Cambria" w:hAnsi="Cambria" w:cs="Calibri"/>
          <w:color w:val="000000"/>
          <w:sz w:val="20"/>
          <w:szCs w:val="20"/>
          <w:lang w:val="es-ES"/>
        </w:rPr>
      </w:pPr>
    </w:p>
    <w:p w14:paraId="44478738" w14:textId="77777777" w:rsidR="00310C75" w:rsidRPr="00CB35F4" w:rsidRDefault="00310C75" w:rsidP="00310C75">
      <w:pPr>
        <w:spacing w:after="0" w:line="240" w:lineRule="auto"/>
        <w:jc w:val="center"/>
        <w:rPr>
          <w:rFonts w:cs="Calibri"/>
          <w:bCs/>
          <w:iCs/>
        </w:rPr>
      </w:pPr>
      <w:bookmarkStart w:id="2" w:name="email"/>
      <w:bookmarkEnd w:id="2"/>
      <w:r w:rsidRPr="00CB35F4">
        <w:rPr>
          <w:rFonts w:cs="Calibri"/>
          <w:bCs/>
          <w:iCs/>
        </w:rPr>
        <w:t>Héctor Hugo Boleso</w:t>
      </w:r>
    </w:p>
    <w:p w14:paraId="071B5939" w14:textId="77777777" w:rsidR="00C42E74" w:rsidRPr="00767CC2" w:rsidRDefault="00767CC2" w:rsidP="00310C75">
      <w:pPr>
        <w:tabs>
          <w:tab w:val="left" w:pos="1455"/>
        </w:tabs>
        <w:spacing w:after="0" w:line="240" w:lineRule="auto"/>
        <w:jc w:val="center"/>
        <w:rPr>
          <w:rFonts w:cs="Calibri"/>
          <w:bCs/>
          <w:iCs/>
          <w:highlight w:val="black"/>
        </w:rPr>
      </w:pPr>
      <w:r w:rsidRPr="00767CC2">
        <w:rPr>
          <w:rFonts w:cs="Calibri"/>
          <w:bCs/>
          <w:iCs/>
          <w:highlight w:val="black"/>
        </w:rPr>
        <w:t>XXXXXXXXXXXXXXXXXXXXXX</w:t>
      </w:r>
    </w:p>
    <w:p w14:paraId="3F3A8612" w14:textId="77777777" w:rsidR="00310C75" w:rsidRPr="00310C75" w:rsidRDefault="00310C75" w:rsidP="00310C75">
      <w:pPr>
        <w:tabs>
          <w:tab w:val="left" w:pos="1455"/>
        </w:tabs>
        <w:spacing w:after="0" w:line="240" w:lineRule="auto"/>
        <w:rPr>
          <w:rFonts w:ascii="Cambria" w:hAnsi="Cambria" w:cs="Calibri"/>
          <w:color w:val="000000"/>
          <w:sz w:val="20"/>
          <w:szCs w:val="20"/>
        </w:rPr>
      </w:pPr>
    </w:p>
    <w:p w14:paraId="43363A61" w14:textId="77777777" w:rsidR="00160008" w:rsidRPr="00C42E74" w:rsidRDefault="00160008" w:rsidP="00160008">
      <w:pPr>
        <w:spacing w:after="0" w:line="240" w:lineRule="auto"/>
        <w:ind w:firstLine="720"/>
        <w:jc w:val="both"/>
        <w:rPr>
          <w:rFonts w:ascii="Cambria" w:hAnsi="Cambria" w:cs="Calibri"/>
          <w:color w:val="000000"/>
          <w:sz w:val="20"/>
          <w:szCs w:val="20"/>
          <w:lang w:val="es-ES"/>
        </w:rPr>
      </w:pPr>
      <w:r w:rsidRPr="00C42E74">
        <w:rPr>
          <w:rFonts w:ascii="Cambria" w:hAnsi="Cambria" w:cs="Calibri"/>
          <w:color w:val="000000"/>
          <w:sz w:val="20"/>
          <w:szCs w:val="20"/>
          <w:lang w:val="es-ES"/>
        </w:rPr>
        <w:t>Aprovecho la oportunidad para saludar a usted muy atentamente,</w:t>
      </w:r>
    </w:p>
    <w:p w14:paraId="126A6CEA" w14:textId="77777777" w:rsidR="00454A6B" w:rsidRPr="00C42E74" w:rsidRDefault="00310C75" w:rsidP="00160008">
      <w:pPr>
        <w:tabs>
          <w:tab w:val="left" w:pos="0"/>
        </w:tabs>
        <w:spacing w:after="0" w:line="240" w:lineRule="auto"/>
        <w:jc w:val="center"/>
        <w:rPr>
          <w:rFonts w:cs="Calibri"/>
          <w:noProof/>
          <w:sz w:val="20"/>
          <w:szCs w:val="20"/>
          <w:lang w:val="es-ES"/>
        </w:rPr>
      </w:pPr>
      <w:r>
        <w:rPr>
          <w:rFonts w:ascii="Verdana" w:hAnsi="Verdana"/>
          <w:noProof/>
          <w:sz w:val="20"/>
          <w:szCs w:val="20"/>
        </w:rPr>
        <w:t xml:space="preserve">    </w:t>
      </w:r>
    </w:p>
    <w:p w14:paraId="17E10009" w14:textId="77777777" w:rsidR="00160008" w:rsidRPr="00C42E74" w:rsidRDefault="00160008" w:rsidP="00160008">
      <w:pPr>
        <w:tabs>
          <w:tab w:val="left" w:pos="0"/>
        </w:tabs>
        <w:spacing w:after="0" w:line="240" w:lineRule="auto"/>
        <w:jc w:val="center"/>
        <w:rPr>
          <w:rFonts w:ascii="Cambria" w:hAnsi="Cambria" w:cs="Calibri"/>
          <w:color w:val="000000"/>
          <w:sz w:val="20"/>
          <w:szCs w:val="20"/>
          <w:lang w:val="es-ES"/>
        </w:rPr>
      </w:pPr>
      <w:r w:rsidRPr="00C42E74">
        <w:rPr>
          <w:rFonts w:ascii="Cambria" w:hAnsi="Cambria" w:cs="Calibri"/>
          <w:color w:val="000000"/>
          <w:sz w:val="20"/>
          <w:szCs w:val="20"/>
          <w:lang w:val="es-ES"/>
        </w:rPr>
        <w:t>Marisol Blanchard</w:t>
      </w:r>
      <w:r w:rsidR="00AD01AD" w:rsidRPr="00C42E74">
        <w:rPr>
          <w:rFonts w:ascii="Cambria" w:hAnsi="Cambria" w:cs="Calibri"/>
          <w:color w:val="000000"/>
          <w:sz w:val="20"/>
          <w:szCs w:val="20"/>
          <w:lang w:val="es-ES"/>
        </w:rPr>
        <w:t xml:space="preserve"> Vera</w:t>
      </w:r>
    </w:p>
    <w:p w14:paraId="2DCB277F" w14:textId="77777777" w:rsidR="00160008" w:rsidRPr="00C42E74" w:rsidRDefault="00160008" w:rsidP="00160008">
      <w:pPr>
        <w:tabs>
          <w:tab w:val="left" w:pos="810"/>
        </w:tabs>
        <w:suppressAutoHyphens/>
        <w:spacing w:after="0" w:line="240" w:lineRule="auto"/>
        <w:jc w:val="center"/>
        <w:rPr>
          <w:rFonts w:ascii="Cambria" w:hAnsi="Cambria" w:cs="Calibri"/>
          <w:color w:val="000000"/>
          <w:sz w:val="20"/>
          <w:szCs w:val="20"/>
          <w:lang w:val="es-ES"/>
        </w:rPr>
      </w:pPr>
      <w:r w:rsidRPr="00C42E74">
        <w:rPr>
          <w:rFonts w:ascii="Cambria" w:hAnsi="Cambria" w:cs="Calibri"/>
          <w:color w:val="000000"/>
          <w:sz w:val="20"/>
          <w:szCs w:val="20"/>
          <w:lang w:val="es-ES"/>
        </w:rPr>
        <w:t>Secretaria Ejecutiva Adjunta</w:t>
      </w:r>
    </w:p>
    <w:p w14:paraId="65B6FEE3" w14:textId="77777777" w:rsidR="00411FF5" w:rsidRPr="00C42E74" w:rsidRDefault="00411FF5" w:rsidP="00160008">
      <w:pPr>
        <w:spacing w:after="0" w:line="240" w:lineRule="auto"/>
        <w:jc w:val="both"/>
        <w:rPr>
          <w:rFonts w:ascii="Cambria" w:hAnsi="Cambria" w:cs="Calibri"/>
          <w:color w:val="000000"/>
          <w:sz w:val="20"/>
          <w:szCs w:val="20"/>
          <w:lang w:val="pt-BR"/>
        </w:rPr>
      </w:pPr>
      <w:bookmarkStart w:id="3" w:name="ministro"/>
      <w:bookmarkEnd w:id="3"/>
    </w:p>
    <w:p w14:paraId="385D3CCE" w14:textId="77777777" w:rsidR="00160008" w:rsidRPr="00C42E74" w:rsidRDefault="00160008" w:rsidP="00160008">
      <w:pPr>
        <w:spacing w:after="0" w:line="240" w:lineRule="auto"/>
        <w:jc w:val="both"/>
        <w:rPr>
          <w:rFonts w:ascii="Cambria" w:hAnsi="Cambria" w:cs="Calibri"/>
          <w:color w:val="000000"/>
          <w:sz w:val="20"/>
          <w:szCs w:val="20"/>
          <w:lang w:val="pt-BR"/>
        </w:rPr>
      </w:pPr>
      <w:r w:rsidRPr="00C42E74">
        <w:rPr>
          <w:rFonts w:ascii="Cambria" w:hAnsi="Cambria" w:cs="Calibri"/>
          <w:color w:val="000000"/>
          <w:sz w:val="20"/>
          <w:szCs w:val="20"/>
          <w:lang w:val="pt-BR"/>
        </w:rPr>
        <w:t>Anexo</w:t>
      </w:r>
    </w:p>
    <w:sectPr w:rsidR="00160008" w:rsidRPr="00C42E74" w:rsidSect="00B6447B">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F627" w14:textId="77777777" w:rsidR="00403CE4" w:rsidRDefault="00403CE4">
      <w:pPr>
        <w:spacing w:after="0" w:line="240" w:lineRule="auto"/>
      </w:pPr>
      <w:r>
        <w:separator/>
      </w:r>
    </w:p>
  </w:endnote>
  <w:endnote w:type="continuationSeparator" w:id="0">
    <w:p w14:paraId="312246AC" w14:textId="77777777" w:rsidR="00403CE4" w:rsidRDefault="0040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BD06" w14:textId="77777777" w:rsidR="00B6447B" w:rsidRPr="00B6447B" w:rsidRDefault="00B6447B">
    <w:pPr>
      <w:pStyle w:val="Piedepgina"/>
      <w:jc w:val="center"/>
      <w:rPr>
        <w:rFonts w:ascii="Cambria" w:hAnsi="Cambria"/>
        <w:sz w:val="18"/>
        <w:szCs w:val="18"/>
      </w:rPr>
    </w:pPr>
    <w:r w:rsidRPr="00B6447B">
      <w:rPr>
        <w:rFonts w:ascii="Cambria" w:hAnsi="Cambria"/>
        <w:sz w:val="18"/>
        <w:szCs w:val="18"/>
      </w:rPr>
      <w:fldChar w:fldCharType="begin"/>
    </w:r>
    <w:r w:rsidRPr="00B6447B">
      <w:rPr>
        <w:rFonts w:ascii="Cambria" w:hAnsi="Cambria"/>
        <w:sz w:val="18"/>
        <w:szCs w:val="18"/>
      </w:rPr>
      <w:instrText xml:space="preserve"> PAGE   \* MERGEFORMAT </w:instrText>
    </w:r>
    <w:r w:rsidRPr="00B6447B">
      <w:rPr>
        <w:rFonts w:ascii="Cambria" w:hAnsi="Cambria"/>
        <w:sz w:val="18"/>
        <w:szCs w:val="18"/>
      </w:rPr>
      <w:fldChar w:fldCharType="separate"/>
    </w:r>
    <w:r w:rsidRPr="00B6447B">
      <w:rPr>
        <w:rFonts w:ascii="Cambria" w:hAnsi="Cambria"/>
        <w:noProof/>
        <w:sz w:val="18"/>
        <w:szCs w:val="18"/>
      </w:rPr>
      <w:t>2</w:t>
    </w:r>
    <w:r w:rsidRPr="00B6447B">
      <w:rPr>
        <w:rFonts w:ascii="Cambria" w:hAnsi="Cambria"/>
        <w:noProof/>
        <w:sz w:val="18"/>
        <w:szCs w:val="18"/>
      </w:rPr>
      <w:fldChar w:fldCharType="end"/>
    </w:r>
  </w:p>
  <w:p w14:paraId="38926EB7" w14:textId="77777777" w:rsidR="00162CE1" w:rsidRDefault="00162CE1" w:rsidP="00B6447B">
    <w:pPr>
      <w:pStyle w:val="Piedepgina"/>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6579" w14:textId="1FA254C3" w:rsidR="00162CE1" w:rsidRDefault="009A69B6" w:rsidP="00CA27A7">
    <w:pPr>
      <w:pStyle w:val="Piedepgina"/>
      <w:pBdr>
        <w:top w:val="single" w:sz="4" w:space="1" w:color="auto"/>
      </w:pBdr>
      <w:jc w:val="center"/>
    </w:pPr>
    <w:r w:rsidRPr="008A5CB5">
      <w:rPr>
        <w:noProof/>
      </w:rPr>
      <w:drawing>
        <wp:inline distT="0" distB="0" distL="0" distR="0" wp14:anchorId="1513668C" wp14:editId="78F9BBB0">
          <wp:extent cx="5114925" cy="314325"/>
          <wp:effectExtent l="0" t="0" r="0" b="0"/>
          <wp:docPr id="3"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143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A58CA" w14:textId="77777777" w:rsidR="00403CE4" w:rsidRDefault="00403CE4">
      <w:pPr>
        <w:spacing w:after="0" w:line="240" w:lineRule="auto"/>
      </w:pPr>
      <w:r>
        <w:separator/>
      </w:r>
    </w:p>
  </w:footnote>
  <w:footnote w:type="continuationSeparator" w:id="0">
    <w:p w14:paraId="02C2F9C4" w14:textId="77777777" w:rsidR="00403CE4" w:rsidRDefault="00403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3CF7" w14:textId="3C14B97D" w:rsidR="00162CE1" w:rsidRDefault="009A69B6" w:rsidP="00162CE1">
    <w:pPr>
      <w:pStyle w:val="Encabezado"/>
      <w:jc w:val="center"/>
      <w:rPr>
        <w:noProof/>
        <w:lang w:val="es-ES_tradnl"/>
      </w:rPr>
    </w:pPr>
    <w:r>
      <w:rPr>
        <w:noProof/>
        <w:lang w:val="es-ES_tradnl"/>
      </w:rPr>
      <w:drawing>
        <wp:inline distT="0" distB="0" distL="0" distR="0" wp14:anchorId="2451BFDC" wp14:editId="45FDFE61">
          <wp:extent cx="2286000" cy="114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14300"/>
                  </a:xfrm>
                  <a:prstGeom prst="rect">
                    <a:avLst/>
                  </a:prstGeom>
                  <a:noFill/>
                  <a:ln>
                    <a:noFill/>
                  </a:ln>
                </pic:spPr>
              </pic:pic>
            </a:graphicData>
          </a:graphic>
        </wp:inline>
      </w:drawing>
    </w:r>
  </w:p>
  <w:p w14:paraId="58006FA6" w14:textId="77777777" w:rsidR="0037643F" w:rsidRPr="0058688A" w:rsidRDefault="0037643F" w:rsidP="0037643F">
    <w:pPr>
      <w:pStyle w:val="Encabezado"/>
      <w:pBdr>
        <w:bottom w:val="single" w:sz="4" w:space="1" w:color="auto"/>
      </w:pBdr>
      <w:jc w:val="center"/>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227E" w14:textId="5DE74C5E" w:rsidR="00162CE1" w:rsidRDefault="009A69B6" w:rsidP="00514CAC">
    <w:pPr>
      <w:pStyle w:val="Encabezado"/>
      <w:pBdr>
        <w:bottom w:val="single" w:sz="4" w:space="1" w:color="auto"/>
      </w:pBdr>
      <w:rPr>
        <w:noProof/>
      </w:rPr>
    </w:pPr>
    <w:r w:rsidRPr="008A5CB5">
      <w:rPr>
        <w:noProof/>
      </w:rPr>
      <w:drawing>
        <wp:inline distT="0" distB="0" distL="0" distR="0" wp14:anchorId="7920342F" wp14:editId="31492398">
          <wp:extent cx="2352675" cy="457200"/>
          <wp:effectExtent l="0" t="0" r="0" b="0"/>
          <wp:docPr id="1"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637EDDE4" wp14:editId="0FE6202C">
          <wp:extent cx="1647825" cy="485775"/>
          <wp:effectExtent l="0" t="0" r="0" b="0"/>
          <wp:docPr id="2"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85775"/>
                  </a:xfrm>
                  <a:prstGeom prst="rect">
                    <a:avLst/>
                  </a:prstGeom>
                  <a:noFill/>
                  <a:ln>
                    <a:noFill/>
                  </a:ln>
                </pic:spPr>
              </pic:pic>
            </a:graphicData>
          </a:graphic>
        </wp:inline>
      </w:drawing>
    </w:r>
  </w:p>
  <w:p w14:paraId="18DC001C" w14:textId="77777777" w:rsidR="00514CAC" w:rsidRDefault="00514CAC" w:rsidP="00514CAC">
    <w:pPr>
      <w:pStyle w:val="Encabezado"/>
      <w:pBdr>
        <w:bottom w:val="single" w:sz="4" w:space="1" w:color="auto"/>
      </w:pBdr>
      <w:rPr>
        <w:noProof/>
      </w:rPr>
    </w:pPr>
  </w:p>
  <w:p w14:paraId="4AFCFED3" w14:textId="77777777" w:rsidR="00D20189" w:rsidRDefault="00D20189" w:rsidP="00CA27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4768"/>
    <w:multiLevelType w:val="multilevel"/>
    <w:tmpl w:val="0409001F"/>
    <w:lvl w:ilvl="0">
      <w:start w:val="1"/>
      <w:numFmt w:val="decimal"/>
      <w:lvlText w:val="%1."/>
      <w:lvlJc w:val="left"/>
      <w:pPr>
        <w:ind w:left="360" w:hanging="360"/>
      </w:pPr>
      <w:rPr>
        <w:rFonts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8943B1"/>
    <w:multiLevelType w:val="hybridMultilevel"/>
    <w:tmpl w:val="C3007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32E6E"/>
    <w:multiLevelType w:val="multilevel"/>
    <w:tmpl w:val="0409001F"/>
    <w:lvl w:ilvl="0">
      <w:start w:val="1"/>
      <w:numFmt w:val="decimal"/>
      <w:lvlText w:val="%1."/>
      <w:lvlJc w:val="left"/>
      <w:pPr>
        <w:ind w:left="360" w:hanging="360"/>
      </w:pPr>
      <w:rPr>
        <w:rFonts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795779"/>
    <w:multiLevelType w:val="singleLevel"/>
    <w:tmpl w:val="6DAE24D8"/>
    <w:lvl w:ilvl="0">
      <w:start w:val="3"/>
      <w:numFmt w:val="decimal"/>
      <w:lvlText w:val="%1."/>
      <w:lvlJc w:val="left"/>
      <w:pPr>
        <w:tabs>
          <w:tab w:val="num" w:pos="720"/>
        </w:tabs>
        <w:ind w:left="0" w:firstLine="720"/>
      </w:pPr>
      <w:rPr>
        <w:rFonts w:ascii="Cambria" w:hAnsi="Cambria" w:hint="default"/>
        <w:b w:val="0"/>
        <w:color w:val="auto"/>
        <w:sz w:val="20"/>
        <w:szCs w:val="20"/>
      </w:rPr>
    </w:lvl>
  </w:abstractNum>
  <w:abstractNum w:abstractNumId="6" w15:restartNumberingAfterBreak="0">
    <w:nsid w:val="3BBA7DE2"/>
    <w:multiLevelType w:val="hybridMultilevel"/>
    <w:tmpl w:val="650C0E9E"/>
    <w:lvl w:ilvl="0" w:tplc="02AE0C5E">
      <w:start w:val="1"/>
      <w:numFmt w:val="decimal"/>
      <w:lvlText w:val="%1."/>
      <w:lvlJc w:val="left"/>
      <w:pPr>
        <w:tabs>
          <w:tab w:val="num" w:pos="1980"/>
        </w:tabs>
        <w:ind w:left="1980" w:hanging="360"/>
      </w:pPr>
      <w:rPr>
        <w:rFonts w:ascii="Cambria" w:hAnsi="Cambria" w:hint="default"/>
        <w:b w:val="0"/>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991082E"/>
    <w:multiLevelType w:val="hybridMultilevel"/>
    <w:tmpl w:val="F2DC6340"/>
    <w:lvl w:ilvl="0" w:tplc="0B726994">
      <w:start w:val="1"/>
      <w:numFmt w:val="decimal"/>
      <w:lvlText w:val="%1."/>
      <w:lvlJc w:val="left"/>
      <w:pPr>
        <w:ind w:left="360" w:hanging="360"/>
      </w:pPr>
      <w:rPr>
        <w:rFonts w:ascii="Cambria" w:hAnsi="Cambria" w:hint="default"/>
        <w:b w:val="0"/>
        <w:i w:val="0"/>
        <w:color w:val="000000"/>
        <w:sz w:val="20"/>
        <w:lang w:val="es-CO"/>
      </w:rPr>
    </w:lvl>
    <w:lvl w:ilvl="1" w:tplc="240A0019" w:tentative="1">
      <w:start w:val="1"/>
      <w:numFmt w:val="lowerLetter"/>
      <w:lvlText w:val="%2."/>
      <w:lvlJc w:val="left"/>
      <w:pPr>
        <w:ind w:left="-450" w:hanging="360"/>
      </w:pPr>
    </w:lvl>
    <w:lvl w:ilvl="2" w:tplc="240A001B" w:tentative="1">
      <w:start w:val="1"/>
      <w:numFmt w:val="lowerRoman"/>
      <w:lvlText w:val="%3."/>
      <w:lvlJc w:val="right"/>
      <w:pPr>
        <w:ind w:left="270" w:hanging="180"/>
      </w:pPr>
    </w:lvl>
    <w:lvl w:ilvl="3" w:tplc="240A000F" w:tentative="1">
      <w:start w:val="1"/>
      <w:numFmt w:val="decimal"/>
      <w:lvlText w:val="%4."/>
      <w:lvlJc w:val="left"/>
      <w:pPr>
        <w:ind w:left="990" w:hanging="360"/>
      </w:pPr>
    </w:lvl>
    <w:lvl w:ilvl="4" w:tplc="240A0019" w:tentative="1">
      <w:start w:val="1"/>
      <w:numFmt w:val="lowerLetter"/>
      <w:lvlText w:val="%5."/>
      <w:lvlJc w:val="left"/>
      <w:pPr>
        <w:ind w:left="1710" w:hanging="360"/>
      </w:pPr>
    </w:lvl>
    <w:lvl w:ilvl="5" w:tplc="240A001B" w:tentative="1">
      <w:start w:val="1"/>
      <w:numFmt w:val="lowerRoman"/>
      <w:lvlText w:val="%6."/>
      <w:lvlJc w:val="right"/>
      <w:pPr>
        <w:ind w:left="2430" w:hanging="180"/>
      </w:pPr>
    </w:lvl>
    <w:lvl w:ilvl="6" w:tplc="240A000F" w:tentative="1">
      <w:start w:val="1"/>
      <w:numFmt w:val="decimal"/>
      <w:lvlText w:val="%7."/>
      <w:lvlJc w:val="left"/>
      <w:pPr>
        <w:ind w:left="3150" w:hanging="360"/>
      </w:pPr>
    </w:lvl>
    <w:lvl w:ilvl="7" w:tplc="240A0019" w:tentative="1">
      <w:start w:val="1"/>
      <w:numFmt w:val="lowerLetter"/>
      <w:lvlText w:val="%8."/>
      <w:lvlJc w:val="left"/>
      <w:pPr>
        <w:ind w:left="3870" w:hanging="360"/>
      </w:pPr>
    </w:lvl>
    <w:lvl w:ilvl="8" w:tplc="240A001B" w:tentative="1">
      <w:start w:val="1"/>
      <w:numFmt w:val="lowerRoman"/>
      <w:lvlText w:val="%9."/>
      <w:lvlJc w:val="right"/>
      <w:pPr>
        <w:ind w:left="4590" w:hanging="180"/>
      </w:pPr>
    </w:lvl>
  </w:abstractNum>
  <w:abstractNum w:abstractNumId="10"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7D4B9D"/>
    <w:multiLevelType w:val="hybridMultilevel"/>
    <w:tmpl w:val="88A6D808"/>
    <w:lvl w:ilvl="0" w:tplc="2C38E732">
      <w:start w:val="1"/>
      <w:numFmt w:val="decimal"/>
      <w:lvlText w:val="%1."/>
      <w:lvlJc w:val="left"/>
      <w:pPr>
        <w:ind w:left="990" w:hanging="360"/>
      </w:pPr>
      <w:rPr>
        <w:rFonts w:ascii="Cambria" w:hAnsi="Cambria" w:hint="default"/>
        <w:b w:val="0"/>
        <w:color w:val="auto"/>
        <w:sz w:val="20"/>
        <w:szCs w:val="20"/>
        <w:lang w:val="es-A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165814987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009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8217795">
    <w:abstractNumId w:val="13"/>
  </w:num>
  <w:num w:numId="4" w16cid:durableId="144052645">
    <w:abstractNumId w:val="10"/>
  </w:num>
  <w:num w:numId="5" w16cid:durableId="213930292">
    <w:abstractNumId w:val="4"/>
  </w:num>
  <w:num w:numId="6" w16cid:durableId="1908762183">
    <w:abstractNumId w:val="8"/>
  </w:num>
  <w:num w:numId="7" w16cid:durableId="273445077">
    <w:abstractNumId w:val="7"/>
  </w:num>
  <w:num w:numId="8" w16cid:durableId="1935241609">
    <w:abstractNumId w:val="3"/>
  </w:num>
  <w:num w:numId="9" w16cid:durableId="1378122568">
    <w:abstractNumId w:val="9"/>
  </w:num>
  <w:num w:numId="10" w16cid:durableId="1340887363">
    <w:abstractNumId w:val="11"/>
  </w:num>
  <w:num w:numId="11" w16cid:durableId="1281105760">
    <w:abstractNumId w:val="12"/>
  </w:num>
  <w:num w:numId="12" w16cid:durableId="1782335274">
    <w:abstractNumId w:val="5"/>
  </w:num>
  <w:num w:numId="13" w16cid:durableId="1209218488">
    <w:abstractNumId w:val="6"/>
  </w:num>
  <w:num w:numId="14" w16cid:durableId="20592493">
    <w:abstractNumId w:val="1"/>
  </w:num>
  <w:num w:numId="15" w16cid:durableId="140080450">
    <w:abstractNumId w:val="2"/>
  </w:num>
  <w:num w:numId="16" w16cid:durableId="734663976">
    <w:abstractNumId w:val="0"/>
  </w:num>
  <w:num w:numId="17" w16cid:durableId="1665091317">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144C7"/>
    <w:rsid w:val="00017E7A"/>
    <w:rsid w:val="00031EB1"/>
    <w:rsid w:val="00036FC7"/>
    <w:rsid w:val="000431E7"/>
    <w:rsid w:val="000471BC"/>
    <w:rsid w:val="00047385"/>
    <w:rsid w:val="000620BE"/>
    <w:rsid w:val="00063C27"/>
    <w:rsid w:val="00067780"/>
    <w:rsid w:val="00070F89"/>
    <w:rsid w:val="00074797"/>
    <w:rsid w:val="000751DF"/>
    <w:rsid w:val="00076DBF"/>
    <w:rsid w:val="000772B3"/>
    <w:rsid w:val="00077DE5"/>
    <w:rsid w:val="00077FF7"/>
    <w:rsid w:val="00084078"/>
    <w:rsid w:val="0009673A"/>
    <w:rsid w:val="000A2C28"/>
    <w:rsid w:val="000A45AD"/>
    <w:rsid w:val="000A4754"/>
    <w:rsid w:val="000A4B14"/>
    <w:rsid w:val="000B1138"/>
    <w:rsid w:val="000B3053"/>
    <w:rsid w:val="000C140C"/>
    <w:rsid w:val="000C4462"/>
    <w:rsid w:val="000C5BFC"/>
    <w:rsid w:val="000D164E"/>
    <w:rsid w:val="000D2623"/>
    <w:rsid w:val="000D26A9"/>
    <w:rsid w:val="000D4633"/>
    <w:rsid w:val="000D4AE6"/>
    <w:rsid w:val="000D61C2"/>
    <w:rsid w:val="000E0F2F"/>
    <w:rsid w:val="000E2431"/>
    <w:rsid w:val="000F23FB"/>
    <w:rsid w:val="000F291B"/>
    <w:rsid w:val="00101C8B"/>
    <w:rsid w:val="00107B94"/>
    <w:rsid w:val="001217D9"/>
    <w:rsid w:val="00131B3B"/>
    <w:rsid w:val="00134CFC"/>
    <w:rsid w:val="00140652"/>
    <w:rsid w:val="00141387"/>
    <w:rsid w:val="00142B28"/>
    <w:rsid w:val="00143EB4"/>
    <w:rsid w:val="0014432C"/>
    <w:rsid w:val="00146EE3"/>
    <w:rsid w:val="00150300"/>
    <w:rsid w:val="00151D6D"/>
    <w:rsid w:val="0015496C"/>
    <w:rsid w:val="00157476"/>
    <w:rsid w:val="001574DB"/>
    <w:rsid w:val="00160008"/>
    <w:rsid w:val="00162CE1"/>
    <w:rsid w:val="001648FF"/>
    <w:rsid w:val="00170E12"/>
    <w:rsid w:val="00176C72"/>
    <w:rsid w:val="001770EE"/>
    <w:rsid w:val="001904F6"/>
    <w:rsid w:val="00191769"/>
    <w:rsid w:val="001942E2"/>
    <w:rsid w:val="00196D6F"/>
    <w:rsid w:val="001A09CF"/>
    <w:rsid w:val="001A7EDF"/>
    <w:rsid w:val="001B08B2"/>
    <w:rsid w:val="001B08F9"/>
    <w:rsid w:val="001B38C5"/>
    <w:rsid w:val="001B528C"/>
    <w:rsid w:val="001C2AED"/>
    <w:rsid w:val="001D0C4D"/>
    <w:rsid w:val="001D5161"/>
    <w:rsid w:val="001E49E7"/>
    <w:rsid w:val="001E5256"/>
    <w:rsid w:val="001E59D8"/>
    <w:rsid w:val="001F14DF"/>
    <w:rsid w:val="001F7F30"/>
    <w:rsid w:val="00206412"/>
    <w:rsid w:val="002117E7"/>
    <w:rsid w:val="002125E9"/>
    <w:rsid w:val="0021546C"/>
    <w:rsid w:val="002219A9"/>
    <w:rsid w:val="00223A2F"/>
    <w:rsid w:val="002248FA"/>
    <w:rsid w:val="00225DD5"/>
    <w:rsid w:val="00226BCD"/>
    <w:rsid w:val="00231FB5"/>
    <w:rsid w:val="00232B70"/>
    <w:rsid w:val="00234AC6"/>
    <w:rsid w:val="00237ECE"/>
    <w:rsid w:val="002426D8"/>
    <w:rsid w:val="00242960"/>
    <w:rsid w:val="00243FDD"/>
    <w:rsid w:val="00245F50"/>
    <w:rsid w:val="002534CD"/>
    <w:rsid w:val="00254293"/>
    <w:rsid w:val="002568CD"/>
    <w:rsid w:val="00264260"/>
    <w:rsid w:val="00274485"/>
    <w:rsid w:val="0027604A"/>
    <w:rsid w:val="00290F8D"/>
    <w:rsid w:val="002A19E1"/>
    <w:rsid w:val="002B4C26"/>
    <w:rsid w:val="002B64DC"/>
    <w:rsid w:val="002D2985"/>
    <w:rsid w:val="002E48D6"/>
    <w:rsid w:val="002E57B6"/>
    <w:rsid w:val="002E628E"/>
    <w:rsid w:val="002E780D"/>
    <w:rsid w:val="002F1B57"/>
    <w:rsid w:val="002F6526"/>
    <w:rsid w:val="0030700B"/>
    <w:rsid w:val="00310C75"/>
    <w:rsid w:val="00312151"/>
    <w:rsid w:val="003145A0"/>
    <w:rsid w:val="00316C30"/>
    <w:rsid w:val="00316E75"/>
    <w:rsid w:val="003174D4"/>
    <w:rsid w:val="00324597"/>
    <w:rsid w:val="003254D3"/>
    <w:rsid w:val="00325553"/>
    <w:rsid w:val="003305ED"/>
    <w:rsid w:val="00331129"/>
    <w:rsid w:val="00333497"/>
    <w:rsid w:val="0033372D"/>
    <w:rsid w:val="00334318"/>
    <w:rsid w:val="00336D34"/>
    <w:rsid w:val="003373BB"/>
    <w:rsid w:val="003406ED"/>
    <w:rsid w:val="00343EDF"/>
    <w:rsid w:val="00347226"/>
    <w:rsid w:val="0035292C"/>
    <w:rsid w:val="00355896"/>
    <w:rsid w:val="00362BCC"/>
    <w:rsid w:val="00363DA9"/>
    <w:rsid w:val="00364620"/>
    <w:rsid w:val="0036640D"/>
    <w:rsid w:val="0037323D"/>
    <w:rsid w:val="00374F28"/>
    <w:rsid w:val="0037643F"/>
    <w:rsid w:val="00376DFE"/>
    <w:rsid w:val="00377262"/>
    <w:rsid w:val="00380AF9"/>
    <w:rsid w:val="003825FF"/>
    <w:rsid w:val="00387D83"/>
    <w:rsid w:val="003904CF"/>
    <w:rsid w:val="0039057E"/>
    <w:rsid w:val="003968A2"/>
    <w:rsid w:val="003A0E66"/>
    <w:rsid w:val="003A6DEC"/>
    <w:rsid w:val="003A71C5"/>
    <w:rsid w:val="003A7B52"/>
    <w:rsid w:val="003B3BF8"/>
    <w:rsid w:val="003D1A0C"/>
    <w:rsid w:val="003D207A"/>
    <w:rsid w:val="003D3F6E"/>
    <w:rsid w:val="003D4DD9"/>
    <w:rsid w:val="003D7F1C"/>
    <w:rsid w:val="003E14A3"/>
    <w:rsid w:val="003F198E"/>
    <w:rsid w:val="003F1B9C"/>
    <w:rsid w:val="003F3F84"/>
    <w:rsid w:val="003F6053"/>
    <w:rsid w:val="00403967"/>
    <w:rsid w:val="00403CE4"/>
    <w:rsid w:val="004051B3"/>
    <w:rsid w:val="00407877"/>
    <w:rsid w:val="004103EC"/>
    <w:rsid w:val="00411FF5"/>
    <w:rsid w:val="00415488"/>
    <w:rsid w:val="004173F3"/>
    <w:rsid w:val="00423148"/>
    <w:rsid w:val="0042403B"/>
    <w:rsid w:val="004306EF"/>
    <w:rsid w:val="00452270"/>
    <w:rsid w:val="00454722"/>
    <w:rsid w:val="00454A6B"/>
    <w:rsid w:val="00455283"/>
    <w:rsid w:val="00456C55"/>
    <w:rsid w:val="00456DAA"/>
    <w:rsid w:val="00462FA9"/>
    <w:rsid w:val="00475C19"/>
    <w:rsid w:val="00476573"/>
    <w:rsid w:val="0047698B"/>
    <w:rsid w:val="00480854"/>
    <w:rsid w:val="004808DC"/>
    <w:rsid w:val="004825F5"/>
    <w:rsid w:val="00487C46"/>
    <w:rsid w:val="00491AB8"/>
    <w:rsid w:val="00495918"/>
    <w:rsid w:val="00495F11"/>
    <w:rsid w:val="00496C45"/>
    <w:rsid w:val="004A2758"/>
    <w:rsid w:val="004B3981"/>
    <w:rsid w:val="004B77AC"/>
    <w:rsid w:val="004B7C0C"/>
    <w:rsid w:val="004C11AF"/>
    <w:rsid w:val="004C5616"/>
    <w:rsid w:val="004C5B2A"/>
    <w:rsid w:val="004C5C58"/>
    <w:rsid w:val="004D15E1"/>
    <w:rsid w:val="004D38DA"/>
    <w:rsid w:val="004D7DF0"/>
    <w:rsid w:val="004D7F1C"/>
    <w:rsid w:val="004E0C4F"/>
    <w:rsid w:val="004E0F5A"/>
    <w:rsid w:val="004E6A6C"/>
    <w:rsid w:val="004F13CD"/>
    <w:rsid w:val="004F2410"/>
    <w:rsid w:val="004F3366"/>
    <w:rsid w:val="004F475F"/>
    <w:rsid w:val="004F4E7F"/>
    <w:rsid w:val="004F651D"/>
    <w:rsid w:val="00501326"/>
    <w:rsid w:val="00506DE4"/>
    <w:rsid w:val="00513707"/>
    <w:rsid w:val="00514CAC"/>
    <w:rsid w:val="00517525"/>
    <w:rsid w:val="005266C2"/>
    <w:rsid w:val="00526C8F"/>
    <w:rsid w:val="00530164"/>
    <w:rsid w:val="005306F3"/>
    <w:rsid w:val="005319E3"/>
    <w:rsid w:val="005334BE"/>
    <w:rsid w:val="005374B4"/>
    <w:rsid w:val="005376D9"/>
    <w:rsid w:val="005444D4"/>
    <w:rsid w:val="00550822"/>
    <w:rsid w:val="00551DD6"/>
    <w:rsid w:val="005570AA"/>
    <w:rsid w:val="005572FE"/>
    <w:rsid w:val="00557B7E"/>
    <w:rsid w:val="00560F49"/>
    <w:rsid w:val="00561AF5"/>
    <w:rsid w:val="00563E22"/>
    <w:rsid w:val="00563EFC"/>
    <w:rsid w:val="00564608"/>
    <w:rsid w:val="00565122"/>
    <w:rsid w:val="005668C4"/>
    <w:rsid w:val="005722ED"/>
    <w:rsid w:val="0057328E"/>
    <w:rsid w:val="0057349A"/>
    <w:rsid w:val="0057354D"/>
    <w:rsid w:val="00574337"/>
    <w:rsid w:val="00580385"/>
    <w:rsid w:val="005813B7"/>
    <w:rsid w:val="005870DA"/>
    <w:rsid w:val="005927FD"/>
    <w:rsid w:val="00592806"/>
    <w:rsid w:val="0059345A"/>
    <w:rsid w:val="00594AE3"/>
    <w:rsid w:val="005A4E07"/>
    <w:rsid w:val="005A621F"/>
    <w:rsid w:val="005A7321"/>
    <w:rsid w:val="005B3981"/>
    <w:rsid w:val="005B4F61"/>
    <w:rsid w:val="005B6610"/>
    <w:rsid w:val="005C3BEB"/>
    <w:rsid w:val="005C5C37"/>
    <w:rsid w:val="005C73CD"/>
    <w:rsid w:val="005C7C22"/>
    <w:rsid w:val="005C7F13"/>
    <w:rsid w:val="005D2A75"/>
    <w:rsid w:val="005D2B11"/>
    <w:rsid w:val="005E0E8D"/>
    <w:rsid w:val="005E1FA3"/>
    <w:rsid w:val="005E7AE9"/>
    <w:rsid w:val="005F109F"/>
    <w:rsid w:val="005F3FF9"/>
    <w:rsid w:val="0060615D"/>
    <w:rsid w:val="00607CA5"/>
    <w:rsid w:val="0061176C"/>
    <w:rsid w:val="00612A1C"/>
    <w:rsid w:val="0062369E"/>
    <w:rsid w:val="006238C4"/>
    <w:rsid w:val="00624914"/>
    <w:rsid w:val="006253E4"/>
    <w:rsid w:val="00625C17"/>
    <w:rsid w:val="006344F2"/>
    <w:rsid w:val="00641E26"/>
    <w:rsid w:val="00644D1F"/>
    <w:rsid w:val="00647208"/>
    <w:rsid w:val="0065299A"/>
    <w:rsid w:val="00661062"/>
    <w:rsid w:val="006634BE"/>
    <w:rsid w:val="00667D8A"/>
    <w:rsid w:val="00670828"/>
    <w:rsid w:val="00681D50"/>
    <w:rsid w:val="00691A97"/>
    <w:rsid w:val="00692D1B"/>
    <w:rsid w:val="00693CBB"/>
    <w:rsid w:val="00694376"/>
    <w:rsid w:val="006943A7"/>
    <w:rsid w:val="006954F0"/>
    <w:rsid w:val="00695CF0"/>
    <w:rsid w:val="006A0DDA"/>
    <w:rsid w:val="006B075F"/>
    <w:rsid w:val="006C3E16"/>
    <w:rsid w:val="006C5EA4"/>
    <w:rsid w:val="006D45B0"/>
    <w:rsid w:val="006D53CC"/>
    <w:rsid w:val="006D60C7"/>
    <w:rsid w:val="006D7A02"/>
    <w:rsid w:val="006E284F"/>
    <w:rsid w:val="006E5C0B"/>
    <w:rsid w:val="006F46B8"/>
    <w:rsid w:val="006F4B0C"/>
    <w:rsid w:val="006F5300"/>
    <w:rsid w:val="006F539D"/>
    <w:rsid w:val="00706548"/>
    <w:rsid w:val="00707281"/>
    <w:rsid w:val="00721EB1"/>
    <w:rsid w:val="00730B2B"/>
    <w:rsid w:val="00737CAB"/>
    <w:rsid w:val="007401E2"/>
    <w:rsid w:val="00743959"/>
    <w:rsid w:val="00745695"/>
    <w:rsid w:val="0074602A"/>
    <w:rsid w:val="00746A42"/>
    <w:rsid w:val="00750687"/>
    <w:rsid w:val="00750D4A"/>
    <w:rsid w:val="00760449"/>
    <w:rsid w:val="0076701D"/>
    <w:rsid w:val="00767CC2"/>
    <w:rsid w:val="00770267"/>
    <w:rsid w:val="00775598"/>
    <w:rsid w:val="00777515"/>
    <w:rsid w:val="007824C0"/>
    <w:rsid w:val="00782AEB"/>
    <w:rsid w:val="00791ECB"/>
    <w:rsid w:val="007940B2"/>
    <w:rsid w:val="0079510B"/>
    <w:rsid w:val="00795EEE"/>
    <w:rsid w:val="00796DD9"/>
    <w:rsid w:val="007A20BB"/>
    <w:rsid w:val="007A6C50"/>
    <w:rsid w:val="007B22B5"/>
    <w:rsid w:val="007B40D0"/>
    <w:rsid w:val="007B7696"/>
    <w:rsid w:val="007C15AB"/>
    <w:rsid w:val="007C42F0"/>
    <w:rsid w:val="007D3F1E"/>
    <w:rsid w:val="007D6ED6"/>
    <w:rsid w:val="007E011B"/>
    <w:rsid w:val="007E3EF7"/>
    <w:rsid w:val="00800930"/>
    <w:rsid w:val="008079A6"/>
    <w:rsid w:val="0081065C"/>
    <w:rsid w:val="0082191F"/>
    <w:rsid w:val="00837A17"/>
    <w:rsid w:val="0084002E"/>
    <w:rsid w:val="0084069E"/>
    <w:rsid w:val="00841031"/>
    <w:rsid w:val="00847BDC"/>
    <w:rsid w:val="00854B6B"/>
    <w:rsid w:val="00862AD4"/>
    <w:rsid w:val="00863302"/>
    <w:rsid w:val="00864A83"/>
    <w:rsid w:val="00864E93"/>
    <w:rsid w:val="0088196F"/>
    <w:rsid w:val="008819C0"/>
    <w:rsid w:val="00883E7F"/>
    <w:rsid w:val="008851FA"/>
    <w:rsid w:val="0089265D"/>
    <w:rsid w:val="00893093"/>
    <w:rsid w:val="00893594"/>
    <w:rsid w:val="00895014"/>
    <w:rsid w:val="008A11E8"/>
    <w:rsid w:val="008A143D"/>
    <w:rsid w:val="008A15CF"/>
    <w:rsid w:val="008A1F21"/>
    <w:rsid w:val="008A29C7"/>
    <w:rsid w:val="008A422D"/>
    <w:rsid w:val="008A6113"/>
    <w:rsid w:val="008B3A73"/>
    <w:rsid w:val="008C0716"/>
    <w:rsid w:val="008C0E95"/>
    <w:rsid w:val="008C0ECE"/>
    <w:rsid w:val="008C7EBA"/>
    <w:rsid w:val="008D07A3"/>
    <w:rsid w:val="008D5226"/>
    <w:rsid w:val="008D53E2"/>
    <w:rsid w:val="008D72C2"/>
    <w:rsid w:val="008E006A"/>
    <w:rsid w:val="008E30DF"/>
    <w:rsid w:val="008E3768"/>
    <w:rsid w:val="008E41D1"/>
    <w:rsid w:val="008F34BF"/>
    <w:rsid w:val="008F7152"/>
    <w:rsid w:val="008F7250"/>
    <w:rsid w:val="00901F8E"/>
    <w:rsid w:val="009025D4"/>
    <w:rsid w:val="00906ADA"/>
    <w:rsid w:val="0090766E"/>
    <w:rsid w:val="009107C6"/>
    <w:rsid w:val="00910C01"/>
    <w:rsid w:val="00913034"/>
    <w:rsid w:val="00914042"/>
    <w:rsid w:val="0091457F"/>
    <w:rsid w:val="00917876"/>
    <w:rsid w:val="0092092D"/>
    <w:rsid w:val="00922C06"/>
    <w:rsid w:val="00923DD3"/>
    <w:rsid w:val="00926E2B"/>
    <w:rsid w:val="00932AD3"/>
    <w:rsid w:val="0093318E"/>
    <w:rsid w:val="00944E4E"/>
    <w:rsid w:val="0095543E"/>
    <w:rsid w:val="00955930"/>
    <w:rsid w:val="00961B44"/>
    <w:rsid w:val="00964074"/>
    <w:rsid w:val="00967A6F"/>
    <w:rsid w:val="00970BC7"/>
    <w:rsid w:val="0097437A"/>
    <w:rsid w:val="00977A5C"/>
    <w:rsid w:val="00977C5D"/>
    <w:rsid w:val="0099038C"/>
    <w:rsid w:val="00990F1C"/>
    <w:rsid w:val="009914FA"/>
    <w:rsid w:val="00992286"/>
    <w:rsid w:val="00993EAE"/>
    <w:rsid w:val="009A0971"/>
    <w:rsid w:val="009A0E8E"/>
    <w:rsid w:val="009A1FB0"/>
    <w:rsid w:val="009A69B6"/>
    <w:rsid w:val="009B0632"/>
    <w:rsid w:val="009B333D"/>
    <w:rsid w:val="009C1EB7"/>
    <w:rsid w:val="009D24B3"/>
    <w:rsid w:val="009D5542"/>
    <w:rsid w:val="009E23BD"/>
    <w:rsid w:val="009E2CC2"/>
    <w:rsid w:val="009E2EBC"/>
    <w:rsid w:val="009E3BC0"/>
    <w:rsid w:val="009E433A"/>
    <w:rsid w:val="009E5461"/>
    <w:rsid w:val="009F3C2C"/>
    <w:rsid w:val="009F4C73"/>
    <w:rsid w:val="009F4F6A"/>
    <w:rsid w:val="009F77AA"/>
    <w:rsid w:val="00A03F38"/>
    <w:rsid w:val="00A0467E"/>
    <w:rsid w:val="00A06FAC"/>
    <w:rsid w:val="00A07134"/>
    <w:rsid w:val="00A15067"/>
    <w:rsid w:val="00A15A9A"/>
    <w:rsid w:val="00A2631B"/>
    <w:rsid w:val="00A27809"/>
    <w:rsid w:val="00A369C2"/>
    <w:rsid w:val="00A4186A"/>
    <w:rsid w:val="00A44D63"/>
    <w:rsid w:val="00A500E8"/>
    <w:rsid w:val="00A532CA"/>
    <w:rsid w:val="00A54EEB"/>
    <w:rsid w:val="00A5727A"/>
    <w:rsid w:val="00A65452"/>
    <w:rsid w:val="00A7442D"/>
    <w:rsid w:val="00A77918"/>
    <w:rsid w:val="00A83897"/>
    <w:rsid w:val="00A92321"/>
    <w:rsid w:val="00A92B9A"/>
    <w:rsid w:val="00AB1A5D"/>
    <w:rsid w:val="00AB58C8"/>
    <w:rsid w:val="00AB70F2"/>
    <w:rsid w:val="00AB77F3"/>
    <w:rsid w:val="00AC087B"/>
    <w:rsid w:val="00AC2529"/>
    <w:rsid w:val="00AC3F36"/>
    <w:rsid w:val="00AC403E"/>
    <w:rsid w:val="00AC4FC1"/>
    <w:rsid w:val="00AD01AD"/>
    <w:rsid w:val="00AD2FC8"/>
    <w:rsid w:val="00AD5F3D"/>
    <w:rsid w:val="00AD6936"/>
    <w:rsid w:val="00AE10C6"/>
    <w:rsid w:val="00AE314D"/>
    <w:rsid w:val="00AE492A"/>
    <w:rsid w:val="00AE5935"/>
    <w:rsid w:val="00AE77CA"/>
    <w:rsid w:val="00AF06AA"/>
    <w:rsid w:val="00AF2B73"/>
    <w:rsid w:val="00AF4B54"/>
    <w:rsid w:val="00AF4C42"/>
    <w:rsid w:val="00AF5BCC"/>
    <w:rsid w:val="00B012C4"/>
    <w:rsid w:val="00B024F4"/>
    <w:rsid w:val="00B037A3"/>
    <w:rsid w:val="00B039F0"/>
    <w:rsid w:val="00B03DD7"/>
    <w:rsid w:val="00B05FFF"/>
    <w:rsid w:val="00B068C0"/>
    <w:rsid w:val="00B10A06"/>
    <w:rsid w:val="00B15E7F"/>
    <w:rsid w:val="00B2111B"/>
    <w:rsid w:val="00B24A53"/>
    <w:rsid w:val="00B30C05"/>
    <w:rsid w:val="00B327A6"/>
    <w:rsid w:val="00B3705C"/>
    <w:rsid w:val="00B4147B"/>
    <w:rsid w:val="00B44AD6"/>
    <w:rsid w:val="00B45B3C"/>
    <w:rsid w:val="00B51D76"/>
    <w:rsid w:val="00B51F92"/>
    <w:rsid w:val="00B53058"/>
    <w:rsid w:val="00B6447B"/>
    <w:rsid w:val="00B64E8E"/>
    <w:rsid w:val="00B67019"/>
    <w:rsid w:val="00B67CD0"/>
    <w:rsid w:val="00B67E8D"/>
    <w:rsid w:val="00B70B7C"/>
    <w:rsid w:val="00B8038E"/>
    <w:rsid w:val="00B81C3F"/>
    <w:rsid w:val="00B82394"/>
    <w:rsid w:val="00B92A57"/>
    <w:rsid w:val="00B96B34"/>
    <w:rsid w:val="00BB0160"/>
    <w:rsid w:val="00BB0637"/>
    <w:rsid w:val="00BB136A"/>
    <w:rsid w:val="00BB2038"/>
    <w:rsid w:val="00BB4AB9"/>
    <w:rsid w:val="00BB720B"/>
    <w:rsid w:val="00BC5BC4"/>
    <w:rsid w:val="00BD1E8C"/>
    <w:rsid w:val="00BD2575"/>
    <w:rsid w:val="00BD30E7"/>
    <w:rsid w:val="00BD74D7"/>
    <w:rsid w:val="00BE21C5"/>
    <w:rsid w:val="00BE50F8"/>
    <w:rsid w:val="00BE66B5"/>
    <w:rsid w:val="00BF207A"/>
    <w:rsid w:val="00BF3C98"/>
    <w:rsid w:val="00C04913"/>
    <w:rsid w:val="00C07EDA"/>
    <w:rsid w:val="00C15E31"/>
    <w:rsid w:val="00C162EB"/>
    <w:rsid w:val="00C22A45"/>
    <w:rsid w:val="00C22D7B"/>
    <w:rsid w:val="00C23A3B"/>
    <w:rsid w:val="00C24FF7"/>
    <w:rsid w:val="00C250DE"/>
    <w:rsid w:val="00C2673B"/>
    <w:rsid w:val="00C31977"/>
    <w:rsid w:val="00C3279C"/>
    <w:rsid w:val="00C40437"/>
    <w:rsid w:val="00C427E5"/>
    <w:rsid w:val="00C42E74"/>
    <w:rsid w:val="00C44075"/>
    <w:rsid w:val="00C44C0E"/>
    <w:rsid w:val="00C459F8"/>
    <w:rsid w:val="00C524EE"/>
    <w:rsid w:val="00C52A3C"/>
    <w:rsid w:val="00C5331A"/>
    <w:rsid w:val="00C53DFA"/>
    <w:rsid w:val="00C55C5B"/>
    <w:rsid w:val="00C615C6"/>
    <w:rsid w:val="00C741D1"/>
    <w:rsid w:val="00C746FE"/>
    <w:rsid w:val="00C82F29"/>
    <w:rsid w:val="00C849AA"/>
    <w:rsid w:val="00C86746"/>
    <w:rsid w:val="00C872C8"/>
    <w:rsid w:val="00C91702"/>
    <w:rsid w:val="00CA27A7"/>
    <w:rsid w:val="00CA2CBA"/>
    <w:rsid w:val="00CB0139"/>
    <w:rsid w:val="00CB45EC"/>
    <w:rsid w:val="00CD0A10"/>
    <w:rsid w:val="00CE0F49"/>
    <w:rsid w:val="00CE18E3"/>
    <w:rsid w:val="00CE18ED"/>
    <w:rsid w:val="00CE57D1"/>
    <w:rsid w:val="00CE60A3"/>
    <w:rsid w:val="00CE64E5"/>
    <w:rsid w:val="00CF68B8"/>
    <w:rsid w:val="00D00B99"/>
    <w:rsid w:val="00D0294C"/>
    <w:rsid w:val="00D04F89"/>
    <w:rsid w:val="00D15E8D"/>
    <w:rsid w:val="00D16675"/>
    <w:rsid w:val="00D20189"/>
    <w:rsid w:val="00D201B6"/>
    <w:rsid w:val="00D210E4"/>
    <w:rsid w:val="00D30790"/>
    <w:rsid w:val="00D3182E"/>
    <w:rsid w:val="00D34031"/>
    <w:rsid w:val="00D358CC"/>
    <w:rsid w:val="00D40531"/>
    <w:rsid w:val="00D41DD9"/>
    <w:rsid w:val="00D456E1"/>
    <w:rsid w:val="00D458E2"/>
    <w:rsid w:val="00D4689B"/>
    <w:rsid w:val="00D507B2"/>
    <w:rsid w:val="00D50C53"/>
    <w:rsid w:val="00D54583"/>
    <w:rsid w:val="00D55740"/>
    <w:rsid w:val="00D618E7"/>
    <w:rsid w:val="00D61BA6"/>
    <w:rsid w:val="00D639F7"/>
    <w:rsid w:val="00D66961"/>
    <w:rsid w:val="00D66EC6"/>
    <w:rsid w:val="00D73B7B"/>
    <w:rsid w:val="00D7730D"/>
    <w:rsid w:val="00D805B3"/>
    <w:rsid w:val="00D8378B"/>
    <w:rsid w:val="00D8780F"/>
    <w:rsid w:val="00D902D7"/>
    <w:rsid w:val="00D96806"/>
    <w:rsid w:val="00DA2907"/>
    <w:rsid w:val="00DB03F6"/>
    <w:rsid w:val="00DB56E1"/>
    <w:rsid w:val="00DB5E85"/>
    <w:rsid w:val="00DD3DD5"/>
    <w:rsid w:val="00DD466A"/>
    <w:rsid w:val="00DD4956"/>
    <w:rsid w:val="00DD5B20"/>
    <w:rsid w:val="00DE0816"/>
    <w:rsid w:val="00DE0E68"/>
    <w:rsid w:val="00DE2CA0"/>
    <w:rsid w:val="00DE7134"/>
    <w:rsid w:val="00DE75EC"/>
    <w:rsid w:val="00DE785E"/>
    <w:rsid w:val="00DE7CEC"/>
    <w:rsid w:val="00DF1C45"/>
    <w:rsid w:val="00DF3621"/>
    <w:rsid w:val="00DF3B7F"/>
    <w:rsid w:val="00DF46F3"/>
    <w:rsid w:val="00DF4A93"/>
    <w:rsid w:val="00DF7CA1"/>
    <w:rsid w:val="00DF7DE3"/>
    <w:rsid w:val="00E03877"/>
    <w:rsid w:val="00E06919"/>
    <w:rsid w:val="00E06CEF"/>
    <w:rsid w:val="00E073FA"/>
    <w:rsid w:val="00E0780E"/>
    <w:rsid w:val="00E12B66"/>
    <w:rsid w:val="00E16ED1"/>
    <w:rsid w:val="00E17733"/>
    <w:rsid w:val="00E21E08"/>
    <w:rsid w:val="00E25B3F"/>
    <w:rsid w:val="00E25D2E"/>
    <w:rsid w:val="00E26906"/>
    <w:rsid w:val="00E26A5E"/>
    <w:rsid w:val="00E26CD9"/>
    <w:rsid w:val="00E31CFC"/>
    <w:rsid w:val="00E35D60"/>
    <w:rsid w:val="00E37D88"/>
    <w:rsid w:val="00E405C0"/>
    <w:rsid w:val="00E41D66"/>
    <w:rsid w:val="00E42E3B"/>
    <w:rsid w:val="00E45768"/>
    <w:rsid w:val="00E5346E"/>
    <w:rsid w:val="00E54A1A"/>
    <w:rsid w:val="00E6263B"/>
    <w:rsid w:val="00E64266"/>
    <w:rsid w:val="00E6441F"/>
    <w:rsid w:val="00E66268"/>
    <w:rsid w:val="00E67F09"/>
    <w:rsid w:val="00E70E65"/>
    <w:rsid w:val="00E7198B"/>
    <w:rsid w:val="00E7430E"/>
    <w:rsid w:val="00E74D77"/>
    <w:rsid w:val="00E75ADF"/>
    <w:rsid w:val="00E77899"/>
    <w:rsid w:val="00E828A3"/>
    <w:rsid w:val="00E83947"/>
    <w:rsid w:val="00E85469"/>
    <w:rsid w:val="00E85ECE"/>
    <w:rsid w:val="00E91A6C"/>
    <w:rsid w:val="00E939BD"/>
    <w:rsid w:val="00EB07E0"/>
    <w:rsid w:val="00EC468B"/>
    <w:rsid w:val="00EC655F"/>
    <w:rsid w:val="00ED588B"/>
    <w:rsid w:val="00ED764A"/>
    <w:rsid w:val="00ED7C32"/>
    <w:rsid w:val="00EE2E5E"/>
    <w:rsid w:val="00EE32BF"/>
    <w:rsid w:val="00EE5095"/>
    <w:rsid w:val="00EF1C91"/>
    <w:rsid w:val="00EF2AB4"/>
    <w:rsid w:val="00EF2CA7"/>
    <w:rsid w:val="00EF33CE"/>
    <w:rsid w:val="00EF3DD1"/>
    <w:rsid w:val="00F03723"/>
    <w:rsid w:val="00F07EE5"/>
    <w:rsid w:val="00F11C02"/>
    <w:rsid w:val="00F1599B"/>
    <w:rsid w:val="00F2205F"/>
    <w:rsid w:val="00F221C0"/>
    <w:rsid w:val="00F25856"/>
    <w:rsid w:val="00F3515D"/>
    <w:rsid w:val="00F353B3"/>
    <w:rsid w:val="00F35BB1"/>
    <w:rsid w:val="00F37B23"/>
    <w:rsid w:val="00F449E4"/>
    <w:rsid w:val="00F4501D"/>
    <w:rsid w:val="00F467D0"/>
    <w:rsid w:val="00F47068"/>
    <w:rsid w:val="00F47777"/>
    <w:rsid w:val="00F50E29"/>
    <w:rsid w:val="00F5130E"/>
    <w:rsid w:val="00F51BAF"/>
    <w:rsid w:val="00F53913"/>
    <w:rsid w:val="00F5749D"/>
    <w:rsid w:val="00F60672"/>
    <w:rsid w:val="00F616AB"/>
    <w:rsid w:val="00F70939"/>
    <w:rsid w:val="00F73473"/>
    <w:rsid w:val="00F759EB"/>
    <w:rsid w:val="00F75B73"/>
    <w:rsid w:val="00F77075"/>
    <w:rsid w:val="00F808A9"/>
    <w:rsid w:val="00F827AC"/>
    <w:rsid w:val="00F84A74"/>
    <w:rsid w:val="00F84B4C"/>
    <w:rsid w:val="00F86E94"/>
    <w:rsid w:val="00F8734F"/>
    <w:rsid w:val="00F87A1B"/>
    <w:rsid w:val="00F969DE"/>
    <w:rsid w:val="00F972B3"/>
    <w:rsid w:val="00FA5645"/>
    <w:rsid w:val="00FA576A"/>
    <w:rsid w:val="00FA6C97"/>
    <w:rsid w:val="00FB0706"/>
    <w:rsid w:val="00FB0B22"/>
    <w:rsid w:val="00FB0B99"/>
    <w:rsid w:val="00FB23F4"/>
    <w:rsid w:val="00FB3C36"/>
    <w:rsid w:val="00FC0A74"/>
    <w:rsid w:val="00FC221D"/>
    <w:rsid w:val="00FC32E3"/>
    <w:rsid w:val="00FD53B4"/>
    <w:rsid w:val="00FD64D1"/>
    <w:rsid w:val="00FD7341"/>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B9689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link w:val="PiedepginaCar"/>
    <w:uiPriority w:val="99"/>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link w:val="TextonotapieCar1"/>
    <w:qFormat/>
    <w:rsid w:val="00290F8D"/>
    <w:pPr>
      <w:pBdr>
        <w:top w:val="nil"/>
        <w:left w:val="nil"/>
        <w:bottom w:val="nil"/>
        <w:right w:val="nil"/>
        <w:between w:val="nil"/>
        <w:bar w:val="nil"/>
      </w:pBdr>
    </w:pPr>
    <w:rPr>
      <w:rFonts w:ascii="Cambria" w:eastAsia="Calibri" w:hAnsi="Cambria" w:cs="Calibri"/>
      <w:color w:val="000000"/>
      <w:sz w:val="16"/>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290F8D"/>
    <w:rPr>
      <w:rFonts w:ascii="Cambria" w:eastAsia="Calibri" w:hAnsi="Cambria" w:cs="Calibri"/>
      <w:color w:val="000000"/>
      <w:sz w:val="16"/>
      <w:u w:color="000000"/>
      <w:bdr w:val="nil"/>
      <w:lang w:eastAsia="es-E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link w:val="FootnotesrefssChar1Char"/>
    <w:unhideWhenUsed/>
    <w:qFormat/>
    <w:rsid w:val="00290F8D"/>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290F8D"/>
    <w:pPr>
      <w:spacing w:after="160" w:line="240" w:lineRule="exact"/>
    </w:pPr>
    <w:rPr>
      <w:rFonts w:ascii="Times New Roman" w:eastAsia="Times New Roman" w:hAnsi="Times New Roman"/>
      <w:sz w:val="20"/>
      <w:szCs w:val="20"/>
      <w:vertAlign w:val="superscript"/>
    </w:rPr>
  </w:style>
  <w:style w:type="numbering" w:customStyle="1" w:styleId="Estiloimportado1">
    <w:name w:val="Estilo importado 1"/>
    <w:rsid w:val="00ED7C32"/>
  </w:style>
  <w:style w:type="paragraph" w:styleId="Textoindependiente3">
    <w:name w:val="Body Text 3"/>
    <w:basedOn w:val="Normal"/>
    <w:link w:val="Textoindependiente3Car"/>
    <w:uiPriority w:val="99"/>
    <w:unhideWhenUsed/>
    <w:rsid w:val="00AD01AD"/>
    <w:pPr>
      <w:pBdr>
        <w:top w:val="nil"/>
        <w:left w:val="nil"/>
        <w:bottom w:val="nil"/>
        <w:right w:val="nil"/>
        <w:between w:val="nil"/>
        <w:bar w:val="nil"/>
      </w:pBdr>
      <w:spacing w:after="120" w:line="240" w:lineRule="auto"/>
    </w:pPr>
    <w:rPr>
      <w:rFonts w:ascii="Cambria" w:eastAsia="Arial Unicode MS" w:hAnsi="Cambria"/>
      <w:sz w:val="16"/>
      <w:szCs w:val="16"/>
      <w:bdr w:val="nil"/>
      <w:lang w:val="es-ES" w:eastAsia="es-ES"/>
    </w:rPr>
  </w:style>
  <w:style w:type="character" w:customStyle="1" w:styleId="Textoindependiente3Car">
    <w:name w:val="Texto independiente 3 Car"/>
    <w:link w:val="Textoindependiente3"/>
    <w:uiPriority w:val="99"/>
    <w:rsid w:val="00AD01AD"/>
    <w:rPr>
      <w:rFonts w:ascii="Cambria" w:eastAsia="Arial Unicode MS" w:hAnsi="Cambria"/>
      <w:sz w:val="16"/>
      <w:szCs w:val="16"/>
      <w:bdr w:val="nil"/>
      <w:lang w:val="es-ES" w:eastAsia="es-ES"/>
    </w:rPr>
  </w:style>
  <w:style w:type="character" w:customStyle="1" w:styleId="sb8d990e2">
    <w:name w:val="sb8d990e2"/>
    <w:rsid w:val="00A92B9A"/>
  </w:style>
  <w:style w:type="paragraph" w:styleId="HTMLconformatoprevio">
    <w:name w:val="HTML Preformatted"/>
    <w:basedOn w:val="Normal"/>
    <w:link w:val="HTMLconformatoprevioCar"/>
    <w:uiPriority w:val="99"/>
    <w:semiHidden/>
    <w:unhideWhenUsed/>
    <w:rsid w:val="00347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link w:val="HTMLconformatoprevio"/>
    <w:uiPriority w:val="99"/>
    <w:semiHidden/>
    <w:rsid w:val="00347226"/>
    <w:rPr>
      <w:rFonts w:ascii="Courier New" w:hAnsi="Courier New" w:cs="Courier New"/>
    </w:rPr>
  </w:style>
  <w:style w:type="character" w:customStyle="1" w:styleId="PiedepginaCar">
    <w:name w:val="Pie de página Car"/>
    <w:link w:val="Piedepgina"/>
    <w:uiPriority w:val="99"/>
    <w:rsid w:val="00B6447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672298753">
      <w:bodyDiv w:val="1"/>
      <w:marLeft w:val="0"/>
      <w:marRight w:val="0"/>
      <w:marTop w:val="0"/>
      <w:marBottom w:val="0"/>
      <w:divBdr>
        <w:top w:val="none" w:sz="0" w:space="0" w:color="auto"/>
        <w:left w:val="none" w:sz="0" w:space="0" w:color="auto"/>
        <w:bottom w:val="none" w:sz="0" w:space="0" w:color="auto"/>
        <w:right w:val="none" w:sz="0" w:space="0" w:color="auto"/>
      </w:divBdr>
      <w:divsChild>
        <w:div w:id="37790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221286173">
      <w:bodyDiv w:val="1"/>
      <w:marLeft w:val="0"/>
      <w:marRight w:val="0"/>
      <w:marTop w:val="0"/>
      <w:marBottom w:val="0"/>
      <w:divBdr>
        <w:top w:val="none" w:sz="0" w:space="0" w:color="auto"/>
        <w:left w:val="none" w:sz="0" w:space="0" w:color="auto"/>
        <w:bottom w:val="none" w:sz="0" w:space="0" w:color="auto"/>
        <w:right w:val="none" w:sz="0" w:space="0" w:color="auto"/>
      </w:divBdr>
      <w:divsChild>
        <w:div w:id="1708410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9F806-4F78-42EB-A299-5D2C772DDB47}">
  <ds:schemaRefs>
    <ds:schemaRef ds:uri="http://schemas.openxmlformats.org/officeDocument/2006/bibliography"/>
  </ds:schemaRefs>
</ds:datastoreItem>
</file>

<file path=customXml/itemProps2.xml><?xml version="1.0" encoding="utf-8"?>
<ds:datastoreItem xmlns:ds="http://schemas.openxmlformats.org/officeDocument/2006/customXml" ds:itemID="{937F6024-4BDC-4E3B-BA17-71A3CFF2F871}">
  <ds:schemaRefs>
    <ds:schemaRef ds:uri="http://schemas.microsoft.com/sharepoint/v3/contenttype/forms"/>
  </ds:schemaRefs>
</ds:datastoreItem>
</file>

<file path=customXml/itemProps3.xml><?xml version="1.0" encoding="utf-8"?>
<ds:datastoreItem xmlns:ds="http://schemas.openxmlformats.org/officeDocument/2006/customXml" ds:itemID="{00129464-2118-4BFC-A239-CA8BB0663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F3499-90C5-4DAD-9E25-ACAA9BFFCA33}">
  <ds:schemaRefs>
    <ds:schemaRef ds:uri="http://schemas.microsoft.com/office/2006/metadata/longProperties"/>
  </ds:schemaRefs>
</ds:datastoreItem>
</file>

<file path=customXml/itemProps5.xml><?xml version="1.0" encoding="utf-8"?>
<ds:datastoreItem xmlns:ds="http://schemas.openxmlformats.org/officeDocument/2006/customXml" ds:itemID="{95E82717-CDFD-4B47-8048-109905A041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1528</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2022-10-08T17:36:00Z</dcterms:created>
  <dcterms:modified xsi:type="dcterms:W3CDTF">2022-10-08T17:36:00Z</dcterms:modified>
</cp:coreProperties>
</file>