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CCDB3" w14:textId="77777777" w:rsidR="00875385" w:rsidRDefault="00875385" w:rsidP="00B45B3C">
      <w:pPr>
        <w:spacing w:after="0" w:line="240" w:lineRule="auto"/>
        <w:jc w:val="right"/>
        <w:rPr>
          <w:rFonts w:ascii="Cambria" w:hAnsi="Cambria" w:cs="Calibri"/>
          <w:color w:val="000000"/>
          <w:sz w:val="20"/>
          <w:szCs w:val="20"/>
          <w:lang w:val="es-ES"/>
        </w:rPr>
      </w:pPr>
    </w:p>
    <w:p w14:paraId="445BFA09" w14:textId="77777777" w:rsidR="00162CE1" w:rsidRPr="00610219" w:rsidRDefault="00870457" w:rsidP="00B45B3C">
      <w:pPr>
        <w:spacing w:after="0" w:line="240" w:lineRule="auto"/>
        <w:jc w:val="right"/>
        <w:rPr>
          <w:rFonts w:ascii="Cambria" w:hAnsi="Cambria" w:cs="Calibri"/>
          <w:color w:val="000000"/>
          <w:sz w:val="20"/>
          <w:szCs w:val="20"/>
          <w:lang w:val="es-ES"/>
        </w:rPr>
      </w:pPr>
      <w:r>
        <w:rPr>
          <w:rFonts w:ascii="Cambria" w:hAnsi="Cambria" w:cs="Calibri"/>
          <w:color w:val="000000"/>
          <w:sz w:val="20"/>
          <w:szCs w:val="20"/>
          <w:lang w:val="es-ES"/>
        </w:rPr>
        <w:t>9 de septiembre</w:t>
      </w:r>
      <w:r w:rsidR="00DE2CA0" w:rsidRPr="00610219">
        <w:rPr>
          <w:rFonts w:ascii="Cambria" w:hAnsi="Cambria" w:cs="Calibri"/>
          <w:color w:val="000000"/>
          <w:sz w:val="20"/>
          <w:szCs w:val="20"/>
          <w:lang w:val="es-ES"/>
        </w:rPr>
        <w:t xml:space="preserve"> de 202</w:t>
      </w:r>
      <w:r w:rsidR="00D610D9">
        <w:rPr>
          <w:rFonts w:ascii="Cambria" w:hAnsi="Cambria" w:cs="Calibri"/>
          <w:color w:val="000000"/>
          <w:sz w:val="20"/>
          <w:szCs w:val="20"/>
          <w:lang w:val="es-ES"/>
        </w:rPr>
        <w:t>1</w:t>
      </w:r>
    </w:p>
    <w:p w14:paraId="1793F2FB" w14:textId="77777777" w:rsidR="004C11AF" w:rsidRDefault="004C11AF" w:rsidP="00F8734F">
      <w:pPr>
        <w:spacing w:after="0" w:line="240" w:lineRule="auto"/>
        <w:jc w:val="right"/>
        <w:rPr>
          <w:rFonts w:ascii="Cambria" w:hAnsi="Cambria" w:cs="Calibri"/>
          <w:color w:val="000000"/>
          <w:sz w:val="20"/>
          <w:szCs w:val="20"/>
          <w:lang w:val="es-ES"/>
        </w:rPr>
      </w:pPr>
    </w:p>
    <w:p w14:paraId="21DD3425" w14:textId="77777777" w:rsidR="00610219" w:rsidRPr="00610219" w:rsidRDefault="00610219" w:rsidP="00F8734F">
      <w:pPr>
        <w:spacing w:after="0" w:line="240" w:lineRule="auto"/>
        <w:jc w:val="right"/>
        <w:rPr>
          <w:rFonts w:ascii="Cambria" w:hAnsi="Cambria" w:cs="Calibri"/>
          <w:color w:val="000000"/>
          <w:sz w:val="20"/>
          <w:szCs w:val="20"/>
          <w:lang w:val="es-ES"/>
        </w:rPr>
      </w:pPr>
    </w:p>
    <w:p w14:paraId="3E262251" w14:textId="77777777" w:rsidR="00162CE1" w:rsidRPr="00B200AD" w:rsidRDefault="0042403B" w:rsidP="002E628E">
      <w:pPr>
        <w:spacing w:after="0" w:line="240" w:lineRule="auto"/>
        <w:jc w:val="both"/>
        <w:rPr>
          <w:rFonts w:ascii="Cambria" w:hAnsi="Cambria" w:cs="Calibri"/>
          <w:b/>
          <w:color w:val="000000"/>
          <w:sz w:val="20"/>
          <w:szCs w:val="20"/>
          <w:lang w:val="es-ES"/>
        </w:rPr>
      </w:pPr>
      <w:r w:rsidRPr="00610219">
        <w:rPr>
          <w:rFonts w:ascii="Cambria" w:hAnsi="Cambria" w:cs="Calibri"/>
          <w:b/>
          <w:color w:val="000000"/>
          <w:sz w:val="20"/>
          <w:szCs w:val="20"/>
          <w:lang w:val="es-ES"/>
        </w:rPr>
        <w:t>REF</w:t>
      </w:r>
      <w:r w:rsidR="00162CE1" w:rsidRPr="00610219">
        <w:rPr>
          <w:rFonts w:ascii="Cambria" w:hAnsi="Cambria" w:cs="Calibri"/>
          <w:b/>
          <w:color w:val="000000"/>
          <w:sz w:val="20"/>
          <w:szCs w:val="20"/>
          <w:lang w:val="es-ES"/>
        </w:rPr>
        <w:t>.:</w:t>
      </w:r>
      <w:bookmarkStart w:id="0" w:name="Peticion_n"/>
      <w:bookmarkEnd w:id="0"/>
      <w:r w:rsidR="00A2631B" w:rsidRPr="00610219">
        <w:rPr>
          <w:rFonts w:ascii="Cambria" w:hAnsi="Cambria" w:cs="Calibri"/>
          <w:b/>
          <w:color w:val="000000"/>
          <w:sz w:val="20"/>
          <w:szCs w:val="20"/>
          <w:lang w:val="es-ES"/>
        </w:rPr>
        <w:tab/>
        <w:t xml:space="preserve">Caso </w:t>
      </w:r>
      <w:r w:rsidR="00A2631B" w:rsidRPr="00B200AD">
        <w:rPr>
          <w:rFonts w:ascii="Cambria" w:hAnsi="Cambria" w:cs="Calibri"/>
          <w:b/>
          <w:color w:val="000000"/>
          <w:sz w:val="20"/>
          <w:szCs w:val="20"/>
          <w:lang w:val="es-ES"/>
        </w:rPr>
        <w:t>Nº</w:t>
      </w:r>
      <w:r w:rsidR="00162CE1" w:rsidRPr="00B200AD">
        <w:rPr>
          <w:rFonts w:ascii="Cambria" w:hAnsi="Cambria" w:cs="Calibri"/>
          <w:b/>
          <w:color w:val="000000"/>
          <w:sz w:val="20"/>
          <w:szCs w:val="20"/>
          <w:lang w:val="es-ES"/>
        </w:rPr>
        <w:t xml:space="preserve"> </w:t>
      </w:r>
      <w:r w:rsidR="007A20BB" w:rsidRPr="00B200AD">
        <w:rPr>
          <w:rFonts w:ascii="Cambria" w:hAnsi="Cambria" w:cs="Calibri"/>
          <w:b/>
          <w:color w:val="000000"/>
          <w:sz w:val="20"/>
          <w:szCs w:val="20"/>
          <w:lang w:val="es-ES"/>
        </w:rPr>
        <w:t>12.</w:t>
      </w:r>
      <w:r w:rsidR="00870457">
        <w:rPr>
          <w:rFonts w:ascii="Cambria" w:hAnsi="Cambria" w:cs="Calibri"/>
          <w:b/>
          <w:color w:val="000000"/>
          <w:sz w:val="20"/>
          <w:szCs w:val="20"/>
          <w:lang w:val="es-ES"/>
        </w:rPr>
        <w:t>363</w:t>
      </w:r>
    </w:p>
    <w:p w14:paraId="57FF6414" w14:textId="77777777" w:rsidR="00B200AD" w:rsidRPr="006719B9" w:rsidRDefault="00870457" w:rsidP="002E628E">
      <w:pPr>
        <w:spacing w:after="0" w:line="240" w:lineRule="auto"/>
        <w:ind w:firstLine="720"/>
        <w:jc w:val="both"/>
        <w:rPr>
          <w:rFonts w:ascii="Cambria" w:hAnsi="Cambria" w:cs="Calibri"/>
          <w:b/>
          <w:color w:val="000000"/>
          <w:sz w:val="20"/>
          <w:szCs w:val="20"/>
          <w:lang w:val="es-ES"/>
        </w:rPr>
      </w:pPr>
      <w:r>
        <w:rPr>
          <w:rFonts w:ascii="Cambria" w:hAnsi="Cambria" w:cs="Calibri"/>
          <w:b/>
          <w:color w:val="000000"/>
          <w:sz w:val="20"/>
          <w:szCs w:val="20"/>
          <w:lang w:val="es-ES"/>
        </w:rPr>
        <w:t>Juan José Meza</w:t>
      </w:r>
    </w:p>
    <w:p w14:paraId="7BAF2742" w14:textId="77777777" w:rsidR="00DE2CA0" w:rsidRPr="00B200AD" w:rsidRDefault="007A20BB" w:rsidP="002E628E">
      <w:pPr>
        <w:spacing w:after="0" w:line="240" w:lineRule="auto"/>
        <w:ind w:firstLine="720"/>
        <w:jc w:val="both"/>
        <w:rPr>
          <w:rFonts w:ascii="Cambria" w:hAnsi="Cambria" w:cs="Calibri"/>
          <w:b/>
          <w:color w:val="000000"/>
          <w:sz w:val="20"/>
          <w:szCs w:val="20"/>
          <w:lang w:val="es-CO"/>
        </w:rPr>
      </w:pPr>
      <w:r w:rsidRPr="00B200AD">
        <w:rPr>
          <w:rFonts w:ascii="Cambria" w:hAnsi="Cambria" w:cs="Calibri"/>
          <w:b/>
          <w:color w:val="000000"/>
          <w:sz w:val="20"/>
          <w:szCs w:val="20"/>
          <w:lang w:val="es-CO"/>
        </w:rPr>
        <w:t>Ecuador</w:t>
      </w:r>
    </w:p>
    <w:p w14:paraId="09820092" w14:textId="77777777" w:rsidR="00875385" w:rsidRDefault="00875385" w:rsidP="002E628E">
      <w:pPr>
        <w:spacing w:after="0" w:line="240" w:lineRule="auto"/>
        <w:jc w:val="both"/>
        <w:rPr>
          <w:rFonts w:ascii="Cambria" w:hAnsi="Cambria" w:cs="Calibri"/>
          <w:b/>
          <w:color w:val="000000"/>
          <w:sz w:val="20"/>
          <w:szCs w:val="20"/>
          <w:lang w:val="es-ES"/>
        </w:rPr>
      </w:pPr>
    </w:p>
    <w:p w14:paraId="5B5CA29A" w14:textId="77777777" w:rsidR="00162CE1" w:rsidRPr="00610219" w:rsidRDefault="00162CE1" w:rsidP="002E628E">
      <w:pPr>
        <w:spacing w:after="0" w:line="240" w:lineRule="auto"/>
        <w:jc w:val="both"/>
        <w:rPr>
          <w:rFonts w:ascii="Cambria" w:hAnsi="Cambria" w:cs="Calibri"/>
          <w:color w:val="000000"/>
          <w:sz w:val="20"/>
          <w:szCs w:val="20"/>
          <w:lang w:val="es-ES"/>
        </w:rPr>
      </w:pPr>
      <w:r w:rsidRPr="00610219">
        <w:rPr>
          <w:rFonts w:ascii="Cambria" w:hAnsi="Cambria" w:cs="Calibri"/>
          <w:color w:val="000000"/>
          <w:sz w:val="20"/>
          <w:szCs w:val="20"/>
          <w:lang w:val="es-ES"/>
        </w:rPr>
        <w:t>Señor Secretario:</w:t>
      </w:r>
    </w:p>
    <w:p w14:paraId="0BD6C551" w14:textId="77777777" w:rsidR="00162CE1" w:rsidRPr="00610219" w:rsidRDefault="00162CE1" w:rsidP="002E628E">
      <w:pPr>
        <w:spacing w:after="0" w:line="240" w:lineRule="auto"/>
        <w:jc w:val="both"/>
        <w:rPr>
          <w:rFonts w:ascii="Cambria" w:hAnsi="Cambria" w:cs="Calibri"/>
          <w:color w:val="000000"/>
          <w:sz w:val="20"/>
          <w:szCs w:val="20"/>
          <w:lang w:val="es-ES"/>
        </w:rPr>
      </w:pPr>
    </w:p>
    <w:p w14:paraId="495C5FF5" w14:textId="77777777" w:rsidR="00870457" w:rsidRPr="00604626" w:rsidRDefault="00913F25" w:rsidP="00870457">
      <w:pPr>
        <w:tabs>
          <w:tab w:val="left" w:pos="720"/>
          <w:tab w:val="left" w:pos="1440"/>
        </w:tabs>
        <w:spacing w:after="0" w:line="240" w:lineRule="auto"/>
        <w:jc w:val="both"/>
        <w:rPr>
          <w:rFonts w:ascii="Cambria" w:hAnsi="Cambria"/>
          <w:sz w:val="20"/>
          <w:szCs w:val="20"/>
          <w:lang w:val="es-ES_tradnl"/>
        </w:rPr>
      </w:pPr>
      <w:r>
        <w:rPr>
          <w:rFonts w:ascii="Cambria" w:hAnsi="Cambria" w:cs="Calibri"/>
          <w:color w:val="000000"/>
          <w:sz w:val="20"/>
          <w:szCs w:val="20"/>
          <w:lang w:val="es-ES"/>
        </w:rPr>
        <w:tab/>
      </w:r>
      <w:r w:rsidR="00162CE1" w:rsidRPr="00610219">
        <w:rPr>
          <w:rFonts w:ascii="Cambria" w:hAnsi="Cambria" w:cs="Calibri"/>
          <w:color w:val="000000"/>
          <w:sz w:val="20"/>
          <w:szCs w:val="20"/>
          <w:lang w:val="es-ES"/>
        </w:rPr>
        <w:t>Tengo el agrado de dirigirme a usted</w:t>
      </w:r>
      <w:r w:rsidR="0042403B" w:rsidRPr="00610219">
        <w:rPr>
          <w:rFonts w:ascii="Cambria" w:hAnsi="Cambria" w:cs="Calibri"/>
          <w:color w:val="000000"/>
          <w:sz w:val="20"/>
          <w:szCs w:val="20"/>
          <w:lang w:val="es-ES"/>
        </w:rPr>
        <w:t>,</w:t>
      </w:r>
      <w:r w:rsidR="00162CE1" w:rsidRPr="00610219">
        <w:rPr>
          <w:rFonts w:ascii="Cambria" w:hAnsi="Cambria" w:cs="Calibri"/>
          <w:color w:val="000000"/>
          <w:sz w:val="20"/>
          <w:szCs w:val="20"/>
          <w:lang w:val="es-ES"/>
        </w:rPr>
        <w:t xml:space="preserve"> en nombre de la Comisión Interamericana de Derechos Humanos</w:t>
      </w:r>
      <w:r w:rsidR="0042403B" w:rsidRPr="00610219">
        <w:rPr>
          <w:rFonts w:ascii="Cambria" w:hAnsi="Cambria" w:cs="Calibri"/>
          <w:color w:val="000000"/>
          <w:sz w:val="20"/>
          <w:szCs w:val="20"/>
          <w:lang w:val="es-ES"/>
        </w:rPr>
        <w:t>,</w:t>
      </w:r>
      <w:r w:rsidR="00162CE1" w:rsidRPr="00610219">
        <w:rPr>
          <w:rFonts w:ascii="Cambria" w:hAnsi="Cambria" w:cs="Calibri"/>
          <w:color w:val="000000"/>
          <w:sz w:val="20"/>
          <w:szCs w:val="20"/>
          <w:lang w:val="es-ES"/>
        </w:rPr>
        <w:t xml:space="preserve"> con el objeto de someter a la jurisdicción de la Honorable Corte Interame</w:t>
      </w:r>
      <w:r w:rsidR="009E433A" w:rsidRPr="00610219">
        <w:rPr>
          <w:rFonts w:ascii="Cambria" w:hAnsi="Cambria" w:cs="Calibri"/>
          <w:color w:val="000000"/>
          <w:sz w:val="20"/>
          <w:szCs w:val="20"/>
          <w:lang w:val="es-ES"/>
        </w:rPr>
        <w:t xml:space="preserve">ricana de Derechos Humanos el </w:t>
      </w:r>
      <w:r w:rsidR="002E628E" w:rsidRPr="00610219">
        <w:rPr>
          <w:rFonts w:ascii="Cambria" w:hAnsi="Cambria" w:cs="Calibri"/>
          <w:color w:val="000000"/>
          <w:sz w:val="20"/>
          <w:szCs w:val="20"/>
          <w:lang w:val="es-ES"/>
        </w:rPr>
        <w:t>C</w:t>
      </w:r>
      <w:r w:rsidR="00162CE1" w:rsidRPr="00610219">
        <w:rPr>
          <w:rFonts w:ascii="Cambria" w:hAnsi="Cambria" w:cs="Calibri"/>
          <w:color w:val="000000"/>
          <w:sz w:val="20"/>
          <w:szCs w:val="20"/>
          <w:lang w:val="es-ES"/>
        </w:rPr>
        <w:t xml:space="preserve">aso </w:t>
      </w:r>
      <w:bookmarkStart w:id="1" w:name="Peticion_n1"/>
      <w:bookmarkEnd w:id="1"/>
      <w:r w:rsidR="00DE2CA0" w:rsidRPr="00610219">
        <w:rPr>
          <w:rFonts w:ascii="Cambria" w:hAnsi="Cambria" w:cs="Calibri"/>
          <w:color w:val="000000"/>
          <w:sz w:val="20"/>
          <w:szCs w:val="20"/>
          <w:lang w:val="es-ES"/>
        </w:rPr>
        <w:t>12.</w:t>
      </w:r>
      <w:r w:rsidR="00870457">
        <w:rPr>
          <w:rFonts w:ascii="Cambria" w:hAnsi="Cambria" w:cs="Calibri"/>
          <w:color w:val="000000"/>
          <w:sz w:val="20"/>
          <w:szCs w:val="20"/>
          <w:lang w:val="es-ES"/>
        </w:rPr>
        <w:t>363</w:t>
      </w:r>
      <w:r w:rsidR="009E433A" w:rsidRPr="00610219">
        <w:rPr>
          <w:rFonts w:ascii="Cambria" w:hAnsi="Cambria" w:cs="Calibri"/>
          <w:color w:val="000000"/>
          <w:sz w:val="20"/>
          <w:szCs w:val="20"/>
          <w:lang w:val="es-ES"/>
        </w:rPr>
        <w:t xml:space="preserve"> </w:t>
      </w:r>
      <w:r w:rsidR="00E31CFC" w:rsidRPr="00610219">
        <w:rPr>
          <w:rFonts w:ascii="Cambria" w:hAnsi="Cambria" w:cs="Calibri"/>
          <w:color w:val="000000"/>
          <w:sz w:val="20"/>
          <w:szCs w:val="20"/>
          <w:lang w:val="es-ES"/>
        </w:rPr>
        <w:t>–</w:t>
      </w:r>
      <w:r w:rsidR="00162CE1" w:rsidRPr="00610219">
        <w:rPr>
          <w:rFonts w:ascii="Cambria" w:hAnsi="Cambria" w:cs="Calibri"/>
          <w:color w:val="000000"/>
          <w:sz w:val="20"/>
          <w:szCs w:val="20"/>
          <w:lang w:val="es-ES"/>
        </w:rPr>
        <w:t xml:space="preserve"> </w:t>
      </w:r>
      <w:r w:rsidR="00870457">
        <w:rPr>
          <w:rFonts w:ascii="Cambria" w:hAnsi="Cambria" w:cs="Calibri"/>
          <w:color w:val="000000"/>
          <w:sz w:val="20"/>
          <w:szCs w:val="20"/>
          <w:lang w:val="es-ES"/>
        </w:rPr>
        <w:t>Juan José Meza</w:t>
      </w:r>
      <w:r w:rsidR="006634BE" w:rsidRPr="00610219">
        <w:rPr>
          <w:rFonts w:ascii="Cambria" w:hAnsi="Cambria" w:cs="Calibri"/>
          <w:color w:val="000000"/>
          <w:sz w:val="20"/>
          <w:szCs w:val="20"/>
          <w:lang w:val="es-ES"/>
        </w:rPr>
        <w:t>,</w:t>
      </w:r>
      <w:r w:rsidR="009E433A" w:rsidRPr="00610219">
        <w:rPr>
          <w:rFonts w:ascii="Cambria" w:hAnsi="Cambria" w:cs="Calibri"/>
          <w:color w:val="000000"/>
          <w:sz w:val="20"/>
          <w:szCs w:val="20"/>
          <w:lang w:val="es-ES"/>
        </w:rPr>
        <w:t xml:space="preserve"> </w:t>
      </w:r>
      <w:r w:rsidR="00B200AD">
        <w:rPr>
          <w:rFonts w:ascii="Cambria" w:hAnsi="Cambria" w:cs="Calibri"/>
          <w:color w:val="000000"/>
          <w:sz w:val="20"/>
          <w:szCs w:val="20"/>
          <w:lang w:val="es-ES"/>
        </w:rPr>
        <w:t xml:space="preserve">respecto </w:t>
      </w:r>
      <w:r w:rsidR="00CB0139" w:rsidRPr="00610219">
        <w:rPr>
          <w:rFonts w:ascii="Cambria" w:hAnsi="Cambria" w:cs="Calibri"/>
          <w:color w:val="000000"/>
          <w:sz w:val="20"/>
          <w:szCs w:val="20"/>
          <w:lang w:val="es-ES"/>
        </w:rPr>
        <w:t>de</w:t>
      </w:r>
      <w:r w:rsidR="004A2758" w:rsidRPr="00610219">
        <w:rPr>
          <w:rFonts w:ascii="Cambria" w:hAnsi="Cambria" w:cs="Calibri"/>
          <w:color w:val="000000"/>
          <w:sz w:val="20"/>
          <w:szCs w:val="20"/>
          <w:lang w:val="es-ES"/>
        </w:rPr>
        <w:t xml:space="preserve"> </w:t>
      </w:r>
      <w:r w:rsidR="00333497" w:rsidRPr="00610219">
        <w:rPr>
          <w:rFonts w:ascii="Cambria" w:hAnsi="Cambria" w:cs="Calibri"/>
          <w:color w:val="000000"/>
          <w:sz w:val="20"/>
          <w:szCs w:val="20"/>
          <w:lang w:val="es-ES"/>
        </w:rPr>
        <w:t>la República de Ecuador</w:t>
      </w:r>
      <w:r w:rsidR="00162CE1" w:rsidRPr="00610219">
        <w:rPr>
          <w:rFonts w:ascii="Cambria" w:hAnsi="Cambria" w:cs="Calibri"/>
          <w:color w:val="000000"/>
          <w:sz w:val="20"/>
          <w:szCs w:val="20"/>
          <w:lang w:val="es-ES"/>
        </w:rPr>
        <w:t xml:space="preserve"> (en adelante “el Estado”, “el Estado </w:t>
      </w:r>
      <w:r w:rsidR="00333497" w:rsidRPr="00610219">
        <w:rPr>
          <w:rFonts w:ascii="Cambria" w:hAnsi="Cambria" w:cs="Calibri"/>
          <w:color w:val="000000"/>
          <w:sz w:val="20"/>
          <w:szCs w:val="20"/>
          <w:lang w:val="es-ES"/>
        </w:rPr>
        <w:t>ecuatoriano</w:t>
      </w:r>
      <w:r w:rsidR="00162CE1" w:rsidRPr="00610219">
        <w:rPr>
          <w:rFonts w:ascii="Cambria" w:hAnsi="Cambria" w:cs="Calibri"/>
          <w:color w:val="000000"/>
          <w:sz w:val="20"/>
          <w:szCs w:val="20"/>
          <w:lang w:val="es-ES"/>
        </w:rPr>
        <w:t>” o “</w:t>
      </w:r>
      <w:r w:rsidR="00333497" w:rsidRPr="00610219">
        <w:rPr>
          <w:rFonts w:ascii="Cambria" w:hAnsi="Cambria" w:cs="Calibri"/>
          <w:color w:val="000000"/>
          <w:sz w:val="20"/>
          <w:szCs w:val="20"/>
          <w:lang w:val="es-ES"/>
        </w:rPr>
        <w:t>Ecuador</w:t>
      </w:r>
      <w:r w:rsidR="00162CE1" w:rsidRPr="00610219">
        <w:rPr>
          <w:rFonts w:ascii="Cambria" w:hAnsi="Cambria" w:cs="Calibri"/>
          <w:color w:val="000000"/>
          <w:sz w:val="20"/>
          <w:szCs w:val="20"/>
          <w:lang w:val="es-ES"/>
        </w:rPr>
        <w:t>”) relacionado con</w:t>
      </w:r>
      <w:r w:rsidR="004C5616" w:rsidRPr="00610219">
        <w:rPr>
          <w:rFonts w:ascii="Cambria" w:hAnsi="Cambria" w:cs="Calibri"/>
          <w:color w:val="000000"/>
          <w:sz w:val="20"/>
          <w:szCs w:val="20"/>
          <w:lang w:val="es-ES"/>
        </w:rPr>
        <w:t xml:space="preserve"> </w:t>
      </w:r>
      <w:r w:rsidR="00870457" w:rsidRPr="00604626">
        <w:rPr>
          <w:rFonts w:ascii="Cambria" w:hAnsi="Cambria"/>
          <w:sz w:val="20"/>
          <w:szCs w:val="20"/>
          <w:lang w:val="es-ES_tradnl"/>
        </w:rPr>
        <w:t>las violaciones derivadas del incumplimiento de una decisión a nivel interno que ordenaba el pago al futbolista argentino Juan José Meza de salarios y compensaciones por parte del Club de Fútbol Sport Emelec.</w:t>
      </w:r>
    </w:p>
    <w:p w14:paraId="77DA284C" w14:textId="77777777" w:rsidR="00870457" w:rsidRPr="00604626" w:rsidRDefault="00870457" w:rsidP="00870457">
      <w:pPr>
        <w:tabs>
          <w:tab w:val="left" w:pos="360"/>
          <w:tab w:val="left" w:pos="1440"/>
        </w:tabs>
        <w:spacing w:after="0" w:line="240" w:lineRule="auto"/>
        <w:jc w:val="both"/>
        <w:rPr>
          <w:rFonts w:ascii="Cambria" w:hAnsi="Cambria"/>
          <w:sz w:val="20"/>
          <w:szCs w:val="20"/>
          <w:lang w:val="es-ES_tradnl"/>
        </w:rPr>
      </w:pPr>
    </w:p>
    <w:p w14:paraId="0748D3D7" w14:textId="77777777" w:rsidR="00870457" w:rsidRPr="00604626" w:rsidRDefault="00870457" w:rsidP="00870457">
      <w:pPr>
        <w:tabs>
          <w:tab w:val="left" w:pos="720"/>
          <w:tab w:val="left" w:pos="1440"/>
        </w:tabs>
        <w:spacing w:after="0" w:line="240" w:lineRule="auto"/>
        <w:jc w:val="both"/>
        <w:rPr>
          <w:rFonts w:ascii="Cambria" w:hAnsi="Cambria"/>
          <w:sz w:val="20"/>
          <w:szCs w:val="20"/>
          <w:lang w:val="es-ES_tradnl"/>
        </w:rPr>
      </w:pPr>
      <w:r>
        <w:rPr>
          <w:rFonts w:ascii="Cambria" w:hAnsi="Cambria"/>
          <w:sz w:val="20"/>
          <w:szCs w:val="20"/>
          <w:lang w:val="es-ES_tradnl"/>
        </w:rPr>
        <w:tab/>
      </w:r>
      <w:r w:rsidRPr="00604626">
        <w:rPr>
          <w:rFonts w:ascii="Cambria" w:hAnsi="Cambria"/>
          <w:sz w:val="20"/>
          <w:szCs w:val="20"/>
          <w:lang w:val="es-ES_tradnl"/>
        </w:rPr>
        <w:t xml:space="preserve">El 19 de noviembre de 1991 Juan José Meza interpuso una demanda de trabajo por despido intempestivo en contra del Club Sport Emelec. Ante el rechazo de la </w:t>
      </w:r>
      <w:r>
        <w:rPr>
          <w:rFonts w:ascii="Cambria" w:hAnsi="Cambria"/>
          <w:sz w:val="20"/>
          <w:szCs w:val="20"/>
          <w:lang w:val="es-ES_tradnl"/>
        </w:rPr>
        <w:t>demanda</w:t>
      </w:r>
      <w:r w:rsidRPr="00604626">
        <w:rPr>
          <w:rFonts w:ascii="Cambria" w:hAnsi="Cambria"/>
          <w:sz w:val="20"/>
          <w:szCs w:val="20"/>
          <w:lang w:val="es-ES_tradnl"/>
        </w:rPr>
        <w:t xml:space="preserve">, el señor Meza presentó recurso de apelación. El 24 de abril de 1996 la Primera Sala de la Corte Superior de Justicia de Guayaquil concedió el recurso en lo referente al pago de los valores adeudados, incluido el pago de la prima establecida en el contrato, y remitió el proceso al Juzgado Cuarto de Trabajo del Guayas para su ejecución. El peritaje que realizó la liquidación fue impugnado por ambas partes, por lo que el juzgado designó otra perita, la cual excluyó el rubro “primas” de la liquidación, pese a que se encontraba incluido en la decisión del 24 de abril de 1996. Luego de un recurso interpuesto por el señor Meza, la Corte Superior de Justicia revocó la decisión anterior y ordenó a la perita liquidar los valores indicados en la sentencia. Además, hizo notar que la jueza inferior se encontraba obligada a hacer cumplir la sentencia en esta parte y no aprobar una liquidación incompleta. Tras varias modificaciones posteriores de las liquidaciones de los montos a pagar, el proceso fue archivado el 28 de mayo de 2007. </w:t>
      </w:r>
    </w:p>
    <w:p w14:paraId="0FF385B2" w14:textId="77777777" w:rsidR="00870457" w:rsidRPr="00604626" w:rsidRDefault="00870457" w:rsidP="00870457">
      <w:pPr>
        <w:tabs>
          <w:tab w:val="left" w:pos="567"/>
          <w:tab w:val="left" w:pos="1440"/>
        </w:tabs>
        <w:spacing w:after="0" w:line="240" w:lineRule="auto"/>
        <w:jc w:val="both"/>
        <w:rPr>
          <w:rFonts w:ascii="Cambria" w:hAnsi="Cambria"/>
          <w:sz w:val="20"/>
          <w:szCs w:val="20"/>
          <w:lang w:val="es-ES_tradnl"/>
        </w:rPr>
      </w:pPr>
    </w:p>
    <w:p w14:paraId="0C5CC60C" w14:textId="77777777" w:rsidR="00870457" w:rsidRDefault="00870457" w:rsidP="00870457">
      <w:pPr>
        <w:tabs>
          <w:tab w:val="left" w:pos="720"/>
          <w:tab w:val="left" w:pos="1440"/>
        </w:tabs>
        <w:spacing w:after="0" w:line="240" w:lineRule="auto"/>
        <w:jc w:val="both"/>
        <w:rPr>
          <w:rFonts w:ascii="Cambria" w:hAnsi="Cambria"/>
          <w:sz w:val="20"/>
          <w:szCs w:val="20"/>
          <w:lang w:val="es-ES_tradnl"/>
        </w:rPr>
      </w:pPr>
      <w:r>
        <w:rPr>
          <w:rFonts w:ascii="Cambria" w:hAnsi="Cambria"/>
          <w:sz w:val="20"/>
          <w:szCs w:val="20"/>
          <w:lang w:val="es-ES_tradnl"/>
        </w:rPr>
        <w:tab/>
      </w:r>
      <w:r w:rsidRPr="00604626">
        <w:rPr>
          <w:rFonts w:ascii="Cambria" w:hAnsi="Cambria"/>
          <w:sz w:val="20"/>
          <w:szCs w:val="20"/>
          <w:lang w:val="es-ES_tradnl"/>
        </w:rPr>
        <w:t xml:space="preserve">En su Informe de Fondo la Comisión identificó dos obstáculos principales que durante un periodo prolongado de tiempo dificultaron el cumplimiento de la sentencia favorable al señor Meza: la emisión de decisiones que contravinieron la orden de dar cumplimiento a la sentencia de 24 de abril de 1996 y pagar a la presunta víctima todos los rubros contemplados en dicha sentencia, incluida la prima del contrato; y la concesión de posibilidades ilimitadas de recurrir en la etapa de ejecución. </w:t>
      </w:r>
    </w:p>
    <w:p w14:paraId="5E267FAB" w14:textId="77777777" w:rsidR="00870457" w:rsidRDefault="00870457" w:rsidP="00870457">
      <w:pPr>
        <w:tabs>
          <w:tab w:val="left" w:pos="720"/>
          <w:tab w:val="left" w:pos="1440"/>
        </w:tabs>
        <w:spacing w:after="0" w:line="240" w:lineRule="auto"/>
        <w:jc w:val="both"/>
        <w:rPr>
          <w:rFonts w:ascii="Cambria" w:hAnsi="Cambria"/>
          <w:sz w:val="20"/>
          <w:szCs w:val="20"/>
          <w:lang w:val="es-ES_tradnl"/>
        </w:rPr>
      </w:pPr>
    </w:p>
    <w:p w14:paraId="05FC9DA3" w14:textId="77777777" w:rsidR="00870457" w:rsidRDefault="00870457" w:rsidP="00870457">
      <w:pPr>
        <w:tabs>
          <w:tab w:val="left" w:pos="720"/>
          <w:tab w:val="left" w:pos="1440"/>
        </w:tabs>
        <w:spacing w:after="0" w:line="240" w:lineRule="auto"/>
        <w:jc w:val="both"/>
        <w:rPr>
          <w:rFonts w:ascii="Cambria" w:hAnsi="Cambria"/>
          <w:sz w:val="20"/>
          <w:szCs w:val="20"/>
          <w:lang w:val="es-ES_tradnl"/>
        </w:rPr>
      </w:pPr>
      <w:r>
        <w:rPr>
          <w:rFonts w:ascii="Cambria" w:hAnsi="Cambria"/>
          <w:sz w:val="20"/>
          <w:szCs w:val="20"/>
          <w:lang w:val="es-ES_tradnl"/>
        </w:rPr>
        <w:tab/>
      </w:r>
      <w:r w:rsidRPr="00604626">
        <w:rPr>
          <w:rFonts w:ascii="Cambria" w:hAnsi="Cambria"/>
          <w:sz w:val="20"/>
          <w:szCs w:val="20"/>
          <w:lang w:val="es-ES_tradnl"/>
        </w:rPr>
        <w:t xml:space="preserve">Sobre el primer aspecto, la CIDH subrayó que la primera liquidación fue anulada en apelación por no incluir la totalidad de los rubros declarados en la sentencia original. Sin embargo, el Juzgado Cuarto de Trabajo al emitir nueva liquidación nuevamente no incluyó el rubro “primas” ni el triple de remuneraciones impagas que había sido ordenado. La Comisión subrayó asimismo que la Comisión de Recursos Humanos sancionó a la Jueza Cuarta de Trabajo por incumplir las decisiones anteriores. Sobre el segundo aspecto, la Comisión estableció que la decisión del Juzgado Cuarto de Trabajo de emitir una decisión contraria a la resolución de 24 de abril de 1996 y la constante modificación de las liquidaciones de los montos a pagar a la víctima, generó una cadena de apelaciones que se prolongó por más de siete años adicionales a los tres que ya habían transcurrido desde la sentencia favorable al señor Meza, culminando con la decisión de 28 de mayo de 2007 que ordenó el archivo del proceso. </w:t>
      </w:r>
    </w:p>
    <w:p w14:paraId="473839E0" w14:textId="77777777" w:rsidR="00870457" w:rsidRDefault="00870457" w:rsidP="00870457">
      <w:pPr>
        <w:spacing w:after="0" w:line="240" w:lineRule="auto"/>
        <w:jc w:val="both"/>
        <w:rPr>
          <w:rFonts w:ascii="Cambria" w:hAnsi="Cambria" w:cs="Calibri"/>
          <w:color w:val="000000"/>
          <w:sz w:val="20"/>
          <w:szCs w:val="20"/>
          <w:lang w:val="es-ES"/>
        </w:rPr>
      </w:pPr>
    </w:p>
    <w:p w14:paraId="5311210A" w14:textId="77777777" w:rsidR="00870457" w:rsidRDefault="00870457" w:rsidP="00870457">
      <w:pPr>
        <w:spacing w:after="0" w:line="240" w:lineRule="auto"/>
        <w:jc w:val="both"/>
        <w:rPr>
          <w:rFonts w:ascii="Cambria" w:hAnsi="Cambria" w:cs="Calibri"/>
          <w:color w:val="000000"/>
          <w:sz w:val="20"/>
          <w:szCs w:val="20"/>
          <w:lang w:val="es-ES"/>
        </w:rPr>
      </w:pPr>
    </w:p>
    <w:p w14:paraId="532D4E3B" w14:textId="77777777" w:rsidR="00870457" w:rsidRPr="00610219" w:rsidRDefault="00870457" w:rsidP="00870457">
      <w:pPr>
        <w:spacing w:after="0" w:line="240" w:lineRule="auto"/>
        <w:jc w:val="both"/>
        <w:rPr>
          <w:rFonts w:ascii="Cambria" w:hAnsi="Cambria" w:cs="Calibri"/>
          <w:color w:val="000000"/>
          <w:sz w:val="20"/>
          <w:szCs w:val="20"/>
          <w:lang w:val="es-ES"/>
        </w:rPr>
      </w:pPr>
      <w:r w:rsidRPr="00610219">
        <w:rPr>
          <w:rFonts w:ascii="Cambria" w:hAnsi="Cambria" w:cs="Calibri"/>
          <w:color w:val="000000"/>
          <w:sz w:val="20"/>
          <w:szCs w:val="20"/>
          <w:lang w:val="es-ES"/>
        </w:rPr>
        <w:t>Señor</w:t>
      </w:r>
    </w:p>
    <w:p w14:paraId="0C1EFFDC" w14:textId="77777777" w:rsidR="00870457" w:rsidRPr="00610219" w:rsidRDefault="00870457" w:rsidP="00870457">
      <w:pPr>
        <w:spacing w:after="0" w:line="240" w:lineRule="auto"/>
        <w:jc w:val="both"/>
        <w:rPr>
          <w:rFonts w:ascii="Cambria" w:hAnsi="Cambria" w:cs="Calibri"/>
          <w:color w:val="000000"/>
          <w:sz w:val="20"/>
          <w:szCs w:val="20"/>
          <w:lang w:val="es-ES"/>
        </w:rPr>
      </w:pPr>
      <w:r w:rsidRPr="00610219">
        <w:rPr>
          <w:rFonts w:ascii="Cambria" w:hAnsi="Cambria" w:cs="Calibri"/>
          <w:color w:val="000000"/>
          <w:sz w:val="20"/>
          <w:szCs w:val="20"/>
          <w:lang w:val="es-ES"/>
        </w:rPr>
        <w:t>Pablo Saavedra Alessandri</w:t>
      </w:r>
    </w:p>
    <w:p w14:paraId="1C4A46E8" w14:textId="77777777" w:rsidR="00870457" w:rsidRPr="00610219" w:rsidRDefault="00870457" w:rsidP="00870457">
      <w:pPr>
        <w:spacing w:after="0" w:line="240" w:lineRule="auto"/>
        <w:jc w:val="both"/>
        <w:rPr>
          <w:rFonts w:ascii="Cambria" w:hAnsi="Cambria" w:cs="Calibri"/>
          <w:color w:val="000000"/>
          <w:sz w:val="20"/>
          <w:szCs w:val="20"/>
          <w:lang w:val="es-ES"/>
        </w:rPr>
      </w:pPr>
      <w:r w:rsidRPr="00610219">
        <w:rPr>
          <w:rFonts w:ascii="Cambria" w:hAnsi="Cambria" w:cs="Calibri"/>
          <w:color w:val="000000"/>
          <w:sz w:val="20"/>
          <w:szCs w:val="20"/>
          <w:lang w:val="es-ES"/>
        </w:rPr>
        <w:t>Secretario</w:t>
      </w:r>
    </w:p>
    <w:p w14:paraId="688EFDA8" w14:textId="77777777" w:rsidR="00870457" w:rsidRPr="00610219" w:rsidRDefault="00870457" w:rsidP="00870457">
      <w:pPr>
        <w:spacing w:after="0" w:line="240" w:lineRule="auto"/>
        <w:jc w:val="both"/>
        <w:rPr>
          <w:rFonts w:ascii="Cambria" w:hAnsi="Cambria" w:cs="Calibri"/>
          <w:color w:val="000000"/>
          <w:sz w:val="20"/>
          <w:szCs w:val="20"/>
          <w:lang w:val="es-ES"/>
        </w:rPr>
      </w:pPr>
      <w:r w:rsidRPr="00610219">
        <w:rPr>
          <w:rFonts w:ascii="Cambria" w:hAnsi="Cambria" w:cs="Calibri"/>
          <w:color w:val="000000"/>
          <w:sz w:val="20"/>
          <w:szCs w:val="20"/>
          <w:lang w:val="es-ES"/>
        </w:rPr>
        <w:t>Corte Interamericana de Derechos Humanos</w:t>
      </w:r>
    </w:p>
    <w:p w14:paraId="50A60BE5" w14:textId="77777777" w:rsidR="00870457" w:rsidRPr="00610219" w:rsidRDefault="00870457" w:rsidP="00870457">
      <w:pPr>
        <w:spacing w:after="0" w:line="240" w:lineRule="auto"/>
        <w:jc w:val="both"/>
        <w:rPr>
          <w:rFonts w:ascii="Cambria" w:hAnsi="Cambria" w:cs="Calibri"/>
          <w:color w:val="000000"/>
          <w:sz w:val="20"/>
          <w:szCs w:val="20"/>
          <w:lang w:val="es-ES"/>
        </w:rPr>
      </w:pPr>
      <w:r w:rsidRPr="00610219">
        <w:rPr>
          <w:rFonts w:ascii="Cambria" w:hAnsi="Cambria" w:cs="Calibri"/>
          <w:color w:val="000000"/>
          <w:sz w:val="20"/>
          <w:szCs w:val="20"/>
          <w:lang w:val="es-ES"/>
        </w:rPr>
        <w:t>San José, Costa Rica</w:t>
      </w:r>
    </w:p>
    <w:p w14:paraId="0D231F52" w14:textId="77777777" w:rsidR="00870457" w:rsidRPr="00604626" w:rsidRDefault="00870457" w:rsidP="00870457">
      <w:pPr>
        <w:tabs>
          <w:tab w:val="left" w:pos="720"/>
          <w:tab w:val="left" w:pos="1440"/>
        </w:tabs>
        <w:spacing w:after="0" w:line="240" w:lineRule="auto"/>
        <w:ind w:firstLine="720"/>
        <w:jc w:val="both"/>
        <w:rPr>
          <w:rFonts w:ascii="Cambria" w:hAnsi="Cambria"/>
          <w:sz w:val="20"/>
          <w:szCs w:val="20"/>
          <w:lang w:val="es-ES_tradnl"/>
        </w:rPr>
      </w:pPr>
      <w:r>
        <w:rPr>
          <w:rFonts w:ascii="Cambria" w:hAnsi="Cambria"/>
          <w:sz w:val="20"/>
          <w:szCs w:val="20"/>
          <w:lang w:val="es-ES_tradnl"/>
        </w:rPr>
        <w:br w:type="page"/>
      </w:r>
      <w:r w:rsidRPr="00604626">
        <w:rPr>
          <w:rFonts w:ascii="Cambria" w:hAnsi="Cambria"/>
          <w:sz w:val="20"/>
          <w:szCs w:val="20"/>
          <w:lang w:val="es-ES_tradnl"/>
        </w:rPr>
        <w:lastRenderedPageBreak/>
        <w:t>En virtud de dichas consideraciones, la CIDH concluyó que el Estado ecuatoriano es responsable por la violación de los derechos establecidos en los artículos 25.1 y 25.2 c) de la Convención Americana</w:t>
      </w:r>
      <w:r>
        <w:rPr>
          <w:rFonts w:ascii="Cambria" w:hAnsi="Cambria"/>
          <w:sz w:val="20"/>
          <w:szCs w:val="20"/>
          <w:lang w:val="es-ES_tradnl"/>
        </w:rPr>
        <w:t xml:space="preserve"> sobre Derechos Humanos,</w:t>
      </w:r>
      <w:r w:rsidRPr="00604626">
        <w:rPr>
          <w:rFonts w:ascii="Cambria" w:hAnsi="Cambria"/>
          <w:sz w:val="20"/>
          <w:szCs w:val="20"/>
          <w:lang w:val="es-ES_tradnl"/>
        </w:rPr>
        <w:t xml:space="preserve"> en relación con </w:t>
      </w:r>
      <w:r>
        <w:rPr>
          <w:rFonts w:ascii="Cambria" w:hAnsi="Cambria"/>
          <w:sz w:val="20"/>
          <w:szCs w:val="20"/>
          <w:lang w:val="es-ES_tradnl"/>
        </w:rPr>
        <w:t>su</w:t>
      </w:r>
      <w:r w:rsidRPr="00604626">
        <w:rPr>
          <w:rFonts w:ascii="Cambria" w:hAnsi="Cambria"/>
          <w:sz w:val="20"/>
          <w:szCs w:val="20"/>
          <w:lang w:val="es-ES_tradnl"/>
        </w:rPr>
        <w:t xml:space="preserve"> artículo 1.1, en perjuicio de Juan José Meza. </w:t>
      </w:r>
    </w:p>
    <w:p w14:paraId="17753913" w14:textId="77777777" w:rsidR="00DB2DE0" w:rsidRPr="00870457" w:rsidRDefault="00DB2DE0" w:rsidP="00870457">
      <w:pPr>
        <w:tabs>
          <w:tab w:val="left" w:pos="360"/>
          <w:tab w:val="left" w:pos="720"/>
          <w:tab w:val="left" w:pos="2880"/>
        </w:tabs>
        <w:spacing w:after="0" w:line="240" w:lineRule="auto"/>
        <w:jc w:val="both"/>
        <w:rPr>
          <w:rFonts w:ascii="Cambria" w:hAnsi="Cambria"/>
          <w:sz w:val="20"/>
          <w:szCs w:val="20"/>
          <w:lang w:val="es-ES_tradnl"/>
        </w:rPr>
      </w:pPr>
    </w:p>
    <w:p w14:paraId="071B4ECB" w14:textId="77777777" w:rsidR="00610219" w:rsidRPr="001E3EC1" w:rsidRDefault="00B200AD" w:rsidP="00610219">
      <w:pPr>
        <w:pStyle w:val="Sangradetextonormal"/>
        <w:tabs>
          <w:tab w:val="left" w:pos="720"/>
          <w:tab w:val="left" w:pos="2880"/>
        </w:tabs>
        <w:spacing w:after="0" w:line="240" w:lineRule="auto"/>
        <w:ind w:left="0"/>
        <w:jc w:val="both"/>
        <w:rPr>
          <w:rFonts w:ascii="Cambria" w:hAnsi="Cambria" w:cs="Calibri"/>
          <w:color w:val="000000"/>
          <w:sz w:val="20"/>
          <w:szCs w:val="20"/>
          <w:lang w:val="es-ES"/>
        </w:rPr>
      </w:pPr>
      <w:r>
        <w:rPr>
          <w:rFonts w:ascii="Cambria" w:hAnsi="Cambria" w:cs="Calibri"/>
          <w:color w:val="000000"/>
          <w:sz w:val="20"/>
          <w:szCs w:val="20"/>
          <w:lang w:val="es-ES"/>
        </w:rPr>
        <w:tab/>
      </w:r>
      <w:r w:rsidR="00610219" w:rsidRPr="00610219">
        <w:rPr>
          <w:rFonts w:ascii="Cambria" w:hAnsi="Cambria" w:cs="Calibri"/>
          <w:color w:val="000000"/>
          <w:sz w:val="20"/>
          <w:szCs w:val="20"/>
          <w:lang w:val="es-ES"/>
        </w:rPr>
        <w:t xml:space="preserve">El Estado de Ecuador </w:t>
      </w:r>
      <w:r w:rsidR="009F43AA">
        <w:rPr>
          <w:rFonts w:ascii="Cambria" w:hAnsi="Cambria" w:cs="Calibri"/>
          <w:color w:val="000000"/>
          <w:sz w:val="20"/>
          <w:szCs w:val="20"/>
          <w:lang w:val="es-ES"/>
        </w:rPr>
        <w:t>depositó el instrumento de ratificación de</w:t>
      </w:r>
      <w:r w:rsidR="00610219" w:rsidRPr="00610219">
        <w:rPr>
          <w:rFonts w:ascii="Cambria" w:hAnsi="Cambria" w:cs="Calibri"/>
          <w:color w:val="000000"/>
          <w:sz w:val="20"/>
          <w:szCs w:val="20"/>
          <w:lang w:val="es-ES"/>
        </w:rPr>
        <w:t xml:space="preserve"> la Convención Americana sobre Derechos Humanos el 28 de diciembre de 1977 y aceptó la competencia contenciosa de la Corte el 24 de julio de 1984.</w:t>
      </w:r>
      <w:r w:rsidR="00E42DEF">
        <w:rPr>
          <w:rFonts w:ascii="Cambria" w:hAnsi="Cambria" w:cs="Calibri"/>
          <w:color w:val="000000"/>
          <w:sz w:val="20"/>
          <w:szCs w:val="20"/>
          <w:lang w:val="es-ES"/>
        </w:rPr>
        <w:t xml:space="preserve"> </w:t>
      </w:r>
    </w:p>
    <w:p w14:paraId="3DAA80C3" w14:textId="77777777" w:rsidR="00610219" w:rsidRPr="001E3EC1" w:rsidRDefault="00610219" w:rsidP="00610219">
      <w:pPr>
        <w:tabs>
          <w:tab w:val="left" w:pos="720"/>
          <w:tab w:val="left" w:pos="1440"/>
        </w:tabs>
        <w:spacing w:after="0" w:line="240" w:lineRule="auto"/>
        <w:jc w:val="both"/>
        <w:rPr>
          <w:rFonts w:ascii="Cambria" w:hAnsi="Cambria" w:cs="Calibri"/>
          <w:color w:val="000000"/>
          <w:sz w:val="20"/>
          <w:szCs w:val="20"/>
          <w:lang w:val="es-ES"/>
        </w:rPr>
      </w:pPr>
    </w:p>
    <w:p w14:paraId="511A8976" w14:textId="77777777" w:rsidR="00610219" w:rsidRPr="00610219" w:rsidRDefault="00610219" w:rsidP="00610219">
      <w:pPr>
        <w:spacing w:after="0" w:line="240" w:lineRule="auto"/>
        <w:ind w:firstLine="720"/>
        <w:jc w:val="both"/>
        <w:rPr>
          <w:rFonts w:ascii="Cambria" w:hAnsi="Cambria" w:cs="Calibri"/>
          <w:color w:val="000000"/>
          <w:sz w:val="20"/>
          <w:szCs w:val="20"/>
          <w:lang w:val="es-ES"/>
        </w:rPr>
      </w:pPr>
      <w:r w:rsidRPr="00610219">
        <w:rPr>
          <w:rFonts w:ascii="Cambria" w:hAnsi="Cambria" w:cs="Calibri"/>
          <w:color w:val="000000"/>
          <w:sz w:val="20"/>
          <w:szCs w:val="20"/>
          <w:lang w:val="es-ES"/>
        </w:rPr>
        <w:t xml:space="preserve">La Comisión ha designado a la Comisionada Antonia Urrejola Noguera </w:t>
      </w:r>
      <w:r w:rsidR="001E3EC1">
        <w:rPr>
          <w:rFonts w:ascii="Cambria" w:hAnsi="Cambria" w:cs="Calibri"/>
          <w:color w:val="000000"/>
          <w:sz w:val="20"/>
          <w:szCs w:val="20"/>
          <w:lang w:val="es-ES"/>
        </w:rPr>
        <w:t xml:space="preserve">y a la Secretaria Ejecutiva Tania </w:t>
      </w:r>
      <w:r w:rsidR="001E3EC1" w:rsidRPr="001E3EC1">
        <w:rPr>
          <w:rFonts w:ascii="Cambria" w:hAnsi="Cambria" w:cs="Calibri"/>
          <w:color w:val="000000"/>
          <w:sz w:val="20"/>
          <w:szCs w:val="20"/>
          <w:lang w:val="es-ES"/>
        </w:rPr>
        <w:t>Reneaum Panszi</w:t>
      </w:r>
      <w:r w:rsidR="001E3EC1" w:rsidRPr="00610219">
        <w:rPr>
          <w:rFonts w:ascii="Cambria" w:hAnsi="Cambria" w:cs="Calibri"/>
          <w:color w:val="000000"/>
          <w:sz w:val="20"/>
          <w:szCs w:val="20"/>
          <w:lang w:val="es-ES"/>
        </w:rPr>
        <w:t xml:space="preserve"> </w:t>
      </w:r>
      <w:r w:rsidRPr="00610219">
        <w:rPr>
          <w:rFonts w:ascii="Cambria" w:hAnsi="Cambria" w:cs="Calibri"/>
          <w:color w:val="000000"/>
          <w:sz w:val="20"/>
          <w:szCs w:val="20"/>
          <w:lang w:val="es-ES"/>
        </w:rPr>
        <w:t>como su</w:t>
      </w:r>
      <w:r w:rsidR="001E3EC1">
        <w:rPr>
          <w:rFonts w:ascii="Cambria" w:hAnsi="Cambria" w:cs="Calibri"/>
          <w:color w:val="000000"/>
          <w:sz w:val="20"/>
          <w:szCs w:val="20"/>
          <w:lang w:val="es-ES"/>
        </w:rPr>
        <w:t>s</w:t>
      </w:r>
      <w:r w:rsidRPr="00610219">
        <w:rPr>
          <w:rFonts w:ascii="Cambria" w:hAnsi="Cambria" w:cs="Calibri"/>
          <w:color w:val="000000"/>
          <w:sz w:val="20"/>
          <w:szCs w:val="20"/>
          <w:lang w:val="es-ES"/>
        </w:rPr>
        <w:t xml:space="preserve"> delegad</w:t>
      </w:r>
      <w:r w:rsidR="00875385">
        <w:rPr>
          <w:rFonts w:ascii="Cambria" w:hAnsi="Cambria" w:cs="Calibri"/>
          <w:color w:val="000000"/>
          <w:sz w:val="20"/>
          <w:szCs w:val="20"/>
          <w:lang w:val="es-ES"/>
        </w:rPr>
        <w:t>a</w:t>
      </w:r>
      <w:r w:rsidR="001E3EC1">
        <w:rPr>
          <w:rFonts w:ascii="Cambria" w:hAnsi="Cambria" w:cs="Calibri"/>
          <w:color w:val="000000"/>
          <w:sz w:val="20"/>
          <w:szCs w:val="20"/>
          <w:lang w:val="es-ES"/>
        </w:rPr>
        <w:t>s</w:t>
      </w:r>
      <w:r w:rsidRPr="00610219">
        <w:rPr>
          <w:rFonts w:ascii="Cambria" w:hAnsi="Cambria" w:cs="Calibri"/>
          <w:color w:val="000000"/>
          <w:sz w:val="20"/>
          <w:szCs w:val="20"/>
          <w:lang w:val="es-ES"/>
        </w:rPr>
        <w:t>. Asimismo, Marisol Blanchard Vera, Secretaria</w:t>
      </w:r>
      <w:r w:rsidR="00B200AD">
        <w:rPr>
          <w:rFonts w:ascii="Cambria" w:hAnsi="Cambria" w:cs="Calibri"/>
          <w:color w:val="000000"/>
          <w:sz w:val="20"/>
          <w:szCs w:val="20"/>
          <w:lang w:val="es-ES"/>
        </w:rPr>
        <w:t xml:space="preserve"> </w:t>
      </w:r>
      <w:r w:rsidRPr="00610219">
        <w:rPr>
          <w:rFonts w:ascii="Cambria" w:hAnsi="Cambria" w:cs="Calibri"/>
          <w:color w:val="000000"/>
          <w:sz w:val="20"/>
          <w:szCs w:val="20"/>
          <w:lang w:val="es-ES"/>
        </w:rPr>
        <w:t xml:space="preserve">Ejecutiva Adjunta, Jorge Humberto Meza Flores y </w:t>
      </w:r>
      <w:r w:rsidR="001E3EC1">
        <w:rPr>
          <w:rFonts w:ascii="Cambria" w:hAnsi="Cambria" w:cs="Calibri"/>
          <w:color w:val="000000"/>
          <w:sz w:val="20"/>
          <w:szCs w:val="20"/>
          <w:lang w:val="es-ES"/>
        </w:rPr>
        <w:t>Christian González Chacón</w:t>
      </w:r>
      <w:r w:rsidRPr="00610219">
        <w:rPr>
          <w:rFonts w:ascii="Cambria" w:hAnsi="Cambria" w:cs="Calibri"/>
          <w:color w:val="000000"/>
          <w:sz w:val="20"/>
          <w:szCs w:val="20"/>
          <w:lang w:val="es-ES"/>
        </w:rPr>
        <w:t xml:space="preserve">, especialistas de la Secretaría Ejecutiva de la CIDH, actuarán como asesora y asesores legales. </w:t>
      </w:r>
    </w:p>
    <w:p w14:paraId="02185ECB" w14:textId="77777777" w:rsidR="004C5616" w:rsidRPr="00610219" w:rsidRDefault="004C5616" w:rsidP="00610219">
      <w:pPr>
        <w:tabs>
          <w:tab w:val="left" w:pos="720"/>
          <w:tab w:val="num" w:pos="2040"/>
        </w:tabs>
        <w:spacing w:after="0" w:line="240" w:lineRule="auto"/>
        <w:jc w:val="both"/>
        <w:rPr>
          <w:rFonts w:ascii="Cambria" w:hAnsi="Cambria" w:cs="Calibri"/>
          <w:color w:val="000000"/>
          <w:sz w:val="20"/>
          <w:szCs w:val="20"/>
          <w:lang w:val="es-ES_tradnl"/>
        </w:rPr>
      </w:pPr>
    </w:p>
    <w:p w14:paraId="7BF94CF0" w14:textId="77777777" w:rsidR="00DF3621" w:rsidRPr="00610219" w:rsidRDefault="0042403B" w:rsidP="00F8734F">
      <w:pPr>
        <w:spacing w:after="0" w:line="240" w:lineRule="auto"/>
        <w:ind w:firstLine="720"/>
        <w:jc w:val="both"/>
        <w:rPr>
          <w:rFonts w:ascii="Cambria" w:hAnsi="Cambria" w:cs="Calibri"/>
          <w:color w:val="000000"/>
          <w:sz w:val="20"/>
          <w:szCs w:val="20"/>
          <w:lang w:val="es-ES"/>
        </w:rPr>
      </w:pPr>
      <w:r w:rsidRPr="00610219">
        <w:rPr>
          <w:rFonts w:ascii="Cambria" w:hAnsi="Cambria" w:cs="Calibri"/>
          <w:color w:val="000000"/>
          <w:sz w:val="20"/>
          <w:szCs w:val="20"/>
          <w:lang w:val="es-ES"/>
        </w:rPr>
        <w:t>De conformidad con el artículo 35 del Reglamento de la Corte Interamericana,</w:t>
      </w:r>
      <w:r w:rsidR="0090766E" w:rsidRPr="00610219">
        <w:rPr>
          <w:rFonts w:ascii="Cambria" w:hAnsi="Cambria" w:cs="Calibri"/>
          <w:color w:val="000000"/>
          <w:sz w:val="20"/>
          <w:szCs w:val="20"/>
          <w:lang w:val="es-ES"/>
        </w:rPr>
        <w:t xml:space="preserve"> la Comisión adjunta copia del I</w:t>
      </w:r>
      <w:r w:rsidRPr="00610219">
        <w:rPr>
          <w:rFonts w:ascii="Cambria" w:hAnsi="Cambria" w:cs="Calibri"/>
          <w:color w:val="000000"/>
          <w:sz w:val="20"/>
          <w:szCs w:val="20"/>
          <w:lang w:val="es-ES"/>
        </w:rPr>
        <w:t>nforme</w:t>
      </w:r>
      <w:r w:rsidR="0090766E" w:rsidRPr="00610219">
        <w:rPr>
          <w:rFonts w:ascii="Cambria" w:hAnsi="Cambria" w:cs="Calibri"/>
          <w:color w:val="000000"/>
          <w:sz w:val="20"/>
          <w:szCs w:val="20"/>
          <w:lang w:val="es-ES"/>
        </w:rPr>
        <w:t xml:space="preserve"> de Fondo No.</w:t>
      </w:r>
      <w:r w:rsidRPr="00610219">
        <w:rPr>
          <w:rFonts w:ascii="Cambria" w:hAnsi="Cambria" w:cs="Calibri"/>
          <w:color w:val="000000"/>
          <w:sz w:val="20"/>
          <w:szCs w:val="20"/>
          <w:lang w:val="es-ES"/>
        </w:rPr>
        <w:t xml:space="preserve"> </w:t>
      </w:r>
      <w:r w:rsidR="003C0E78">
        <w:rPr>
          <w:rFonts w:ascii="Cambria" w:hAnsi="Cambria" w:cs="Calibri"/>
          <w:color w:val="000000"/>
          <w:sz w:val="20"/>
          <w:szCs w:val="20"/>
          <w:lang w:val="es-ES"/>
        </w:rPr>
        <w:t>150</w:t>
      </w:r>
      <w:r w:rsidRPr="00610219">
        <w:rPr>
          <w:rFonts w:ascii="Cambria" w:hAnsi="Cambria" w:cs="Calibri"/>
          <w:color w:val="000000"/>
          <w:sz w:val="20"/>
          <w:szCs w:val="20"/>
          <w:lang w:val="es-ES"/>
        </w:rPr>
        <w:t>/</w:t>
      </w:r>
      <w:r w:rsidR="00534596">
        <w:rPr>
          <w:rFonts w:ascii="Cambria" w:hAnsi="Cambria" w:cs="Calibri"/>
          <w:color w:val="000000"/>
          <w:sz w:val="20"/>
          <w:szCs w:val="20"/>
          <w:lang w:val="es-ES"/>
        </w:rPr>
        <w:t>1</w:t>
      </w:r>
      <w:r w:rsidR="00992F07">
        <w:rPr>
          <w:rFonts w:ascii="Cambria" w:hAnsi="Cambria" w:cs="Calibri"/>
          <w:color w:val="000000"/>
          <w:sz w:val="20"/>
          <w:szCs w:val="20"/>
          <w:lang w:val="es-ES"/>
        </w:rPr>
        <w:t>9</w:t>
      </w:r>
      <w:r w:rsidRPr="00610219">
        <w:rPr>
          <w:rFonts w:ascii="Cambria" w:hAnsi="Cambria" w:cs="Calibri"/>
          <w:color w:val="000000"/>
          <w:sz w:val="20"/>
          <w:szCs w:val="20"/>
          <w:lang w:val="es-ES"/>
        </w:rPr>
        <w:t xml:space="preserve"> elaborado en observancia del artículo 50 de la Convención, así como copia de la totalidad del expediente ante la Comisión Interamericana (Apéndice I) y los anexos utilizados en la elaboración del informe </w:t>
      </w:r>
      <w:r w:rsidR="003C0E78">
        <w:rPr>
          <w:rFonts w:ascii="Cambria" w:hAnsi="Cambria" w:cs="Calibri"/>
          <w:color w:val="000000"/>
          <w:sz w:val="20"/>
          <w:szCs w:val="20"/>
          <w:lang w:val="es-ES"/>
        </w:rPr>
        <w:t>150</w:t>
      </w:r>
      <w:r w:rsidR="00992F07" w:rsidRPr="00610219">
        <w:rPr>
          <w:rFonts w:ascii="Cambria" w:hAnsi="Cambria" w:cs="Calibri"/>
          <w:color w:val="000000"/>
          <w:sz w:val="20"/>
          <w:szCs w:val="20"/>
          <w:lang w:val="es-ES"/>
        </w:rPr>
        <w:t>/</w:t>
      </w:r>
      <w:r w:rsidR="00992F07">
        <w:rPr>
          <w:rFonts w:ascii="Cambria" w:hAnsi="Cambria" w:cs="Calibri"/>
          <w:color w:val="000000"/>
          <w:sz w:val="20"/>
          <w:szCs w:val="20"/>
          <w:lang w:val="es-ES"/>
        </w:rPr>
        <w:t>19</w:t>
      </w:r>
      <w:r w:rsidR="00992F07" w:rsidRPr="00610219">
        <w:rPr>
          <w:rFonts w:ascii="Cambria" w:hAnsi="Cambria" w:cs="Calibri"/>
          <w:color w:val="000000"/>
          <w:sz w:val="20"/>
          <w:szCs w:val="20"/>
          <w:lang w:val="es-ES"/>
        </w:rPr>
        <w:t xml:space="preserve"> </w:t>
      </w:r>
      <w:r w:rsidR="00F353B3" w:rsidRPr="00610219">
        <w:rPr>
          <w:rFonts w:ascii="Cambria" w:hAnsi="Cambria" w:cs="Calibri"/>
          <w:color w:val="000000"/>
          <w:sz w:val="20"/>
          <w:szCs w:val="20"/>
          <w:lang w:val="es-ES"/>
        </w:rPr>
        <w:t xml:space="preserve">(Anexos). </w:t>
      </w:r>
    </w:p>
    <w:p w14:paraId="26098010" w14:textId="77777777" w:rsidR="00DF3621" w:rsidRPr="00610219" w:rsidRDefault="00DF3621" w:rsidP="00F8734F">
      <w:pPr>
        <w:spacing w:after="0" w:line="240" w:lineRule="auto"/>
        <w:ind w:firstLine="720"/>
        <w:jc w:val="both"/>
        <w:rPr>
          <w:rFonts w:ascii="Cambria" w:hAnsi="Cambria" w:cs="Calibri"/>
          <w:color w:val="000000"/>
          <w:sz w:val="20"/>
          <w:szCs w:val="20"/>
          <w:lang w:val="es-ES"/>
        </w:rPr>
      </w:pPr>
    </w:p>
    <w:p w14:paraId="5582AD5E" w14:textId="77777777" w:rsidR="005376D9" w:rsidRPr="00610219" w:rsidRDefault="00F353B3" w:rsidP="00F8734F">
      <w:pPr>
        <w:tabs>
          <w:tab w:val="left" w:pos="810"/>
        </w:tabs>
        <w:spacing w:after="0" w:line="240" w:lineRule="auto"/>
        <w:ind w:firstLine="720"/>
        <w:jc w:val="both"/>
        <w:rPr>
          <w:rFonts w:ascii="Cambria" w:hAnsi="Cambria" w:cs="Calibri"/>
          <w:color w:val="000000"/>
          <w:sz w:val="20"/>
          <w:szCs w:val="20"/>
          <w:lang w:val="es-CO"/>
        </w:rPr>
      </w:pPr>
      <w:r w:rsidRPr="00610219">
        <w:rPr>
          <w:rFonts w:ascii="Cambria" w:hAnsi="Cambria" w:cs="Calibri"/>
          <w:color w:val="000000"/>
          <w:sz w:val="20"/>
          <w:szCs w:val="20"/>
          <w:lang w:val="es-ES"/>
        </w:rPr>
        <w:t>Dicho Informe de F</w:t>
      </w:r>
      <w:r w:rsidR="0042403B" w:rsidRPr="00610219">
        <w:rPr>
          <w:rFonts w:ascii="Cambria" w:hAnsi="Cambria" w:cs="Calibri"/>
          <w:color w:val="000000"/>
          <w:sz w:val="20"/>
          <w:szCs w:val="20"/>
          <w:lang w:val="es-ES"/>
        </w:rPr>
        <w:t xml:space="preserve">ondo fue notificado al Estado </w:t>
      </w:r>
      <w:r w:rsidR="00DF3621" w:rsidRPr="00610219">
        <w:rPr>
          <w:rFonts w:ascii="Cambria" w:hAnsi="Cambria" w:cs="Calibri"/>
          <w:color w:val="000000"/>
          <w:sz w:val="20"/>
          <w:szCs w:val="20"/>
          <w:lang w:val="es-ES"/>
        </w:rPr>
        <w:t>el</w:t>
      </w:r>
      <w:r w:rsidR="00036FC7" w:rsidRPr="00610219">
        <w:rPr>
          <w:rFonts w:ascii="Cambria" w:hAnsi="Cambria" w:cs="Calibri"/>
          <w:color w:val="000000"/>
          <w:sz w:val="20"/>
          <w:szCs w:val="20"/>
          <w:lang w:val="es-ES"/>
        </w:rPr>
        <w:t xml:space="preserve"> </w:t>
      </w:r>
      <w:r w:rsidR="00E528B0">
        <w:rPr>
          <w:rFonts w:ascii="Cambria" w:hAnsi="Cambria" w:cs="Calibri"/>
          <w:color w:val="000000"/>
          <w:sz w:val="20"/>
          <w:szCs w:val="20"/>
          <w:lang w:val="es-ES"/>
        </w:rPr>
        <w:t>9 de diciembre</w:t>
      </w:r>
      <w:r w:rsidR="00992F07">
        <w:rPr>
          <w:rFonts w:ascii="Cambria" w:hAnsi="Cambria" w:cs="Calibri"/>
          <w:color w:val="000000"/>
          <w:sz w:val="20"/>
          <w:szCs w:val="20"/>
          <w:lang w:val="es-ES"/>
        </w:rPr>
        <w:t xml:space="preserve"> de 2019</w:t>
      </w:r>
      <w:r w:rsidR="0042403B" w:rsidRPr="00610219">
        <w:rPr>
          <w:rFonts w:ascii="Cambria" w:hAnsi="Cambria" w:cs="Calibri"/>
          <w:color w:val="000000"/>
          <w:sz w:val="20"/>
          <w:szCs w:val="20"/>
          <w:lang w:val="es-ES"/>
        </w:rPr>
        <w:t>, otorgándole un plazo de dos meses para informar sobre el cumplimiento de la recomendaci</w:t>
      </w:r>
      <w:r w:rsidR="00E13F5D">
        <w:rPr>
          <w:rFonts w:ascii="Cambria" w:hAnsi="Cambria" w:cs="Calibri"/>
          <w:color w:val="000000"/>
          <w:sz w:val="20"/>
          <w:szCs w:val="20"/>
          <w:lang w:val="es-ES"/>
        </w:rPr>
        <w:t>ón</w:t>
      </w:r>
      <w:r w:rsidR="00B960DF">
        <w:rPr>
          <w:rFonts w:ascii="Cambria" w:hAnsi="Cambria" w:cs="Calibri"/>
          <w:color w:val="000000"/>
          <w:sz w:val="20"/>
          <w:szCs w:val="20"/>
          <w:lang w:val="es-ES"/>
        </w:rPr>
        <w:t xml:space="preserve"> formulada por la Comisión</w:t>
      </w:r>
      <w:r w:rsidR="0042403B" w:rsidRPr="00610219">
        <w:rPr>
          <w:rFonts w:ascii="Cambria" w:hAnsi="Cambria" w:cs="Calibri"/>
          <w:color w:val="000000"/>
          <w:sz w:val="20"/>
          <w:szCs w:val="20"/>
          <w:lang w:val="es-ES"/>
        </w:rPr>
        <w:t xml:space="preserve">. </w:t>
      </w:r>
      <w:r w:rsidR="00E21E08" w:rsidRPr="00CC5657">
        <w:rPr>
          <w:rFonts w:ascii="Cambria" w:hAnsi="Cambria" w:cs="Calibri"/>
          <w:color w:val="000000"/>
          <w:sz w:val="20"/>
          <w:szCs w:val="20"/>
          <w:lang w:val="es-ES"/>
        </w:rPr>
        <w:t>Tras el otorgamiento por parte de la CIDH de</w:t>
      </w:r>
      <w:r w:rsidR="00875385" w:rsidRPr="00CC5657">
        <w:rPr>
          <w:rFonts w:ascii="Cambria" w:hAnsi="Cambria" w:cs="Calibri"/>
          <w:color w:val="000000"/>
          <w:sz w:val="20"/>
          <w:szCs w:val="20"/>
          <w:lang w:val="es-ES"/>
        </w:rPr>
        <w:t xml:space="preserve"> </w:t>
      </w:r>
      <w:r w:rsidR="00B97A8F">
        <w:rPr>
          <w:rFonts w:ascii="Cambria" w:hAnsi="Cambria" w:cs="Calibri"/>
          <w:color w:val="000000"/>
          <w:sz w:val="20"/>
          <w:szCs w:val="20"/>
          <w:lang w:val="es-ES"/>
        </w:rPr>
        <w:t>seis</w:t>
      </w:r>
      <w:r w:rsidR="00875385" w:rsidRPr="00CC5657">
        <w:rPr>
          <w:rFonts w:ascii="Cambria" w:hAnsi="Cambria" w:cs="Calibri"/>
          <w:color w:val="000000"/>
          <w:sz w:val="20"/>
          <w:szCs w:val="20"/>
          <w:lang w:val="es-ES"/>
        </w:rPr>
        <w:t xml:space="preserve"> prórrogas</w:t>
      </w:r>
      <w:r w:rsidR="00B960DF" w:rsidRPr="00CC5657">
        <w:rPr>
          <w:rFonts w:ascii="Cambria" w:hAnsi="Cambria" w:cs="Calibri"/>
          <w:color w:val="000000"/>
          <w:sz w:val="20"/>
          <w:szCs w:val="20"/>
          <w:lang w:val="es-ES"/>
        </w:rPr>
        <w:t xml:space="preserve"> para que el Estado cumpla con dichas recomendaciones</w:t>
      </w:r>
      <w:r w:rsidR="00875385" w:rsidRPr="00CC5657">
        <w:rPr>
          <w:rFonts w:ascii="Cambria" w:hAnsi="Cambria" w:cs="Calibri"/>
          <w:color w:val="000000"/>
          <w:sz w:val="20"/>
          <w:szCs w:val="20"/>
          <w:lang w:val="es-ES"/>
        </w:rPr>
        <w:t xml:space="preserve">, el </w:t>
      </w:r>
      <w:r w:rsidR="00B53E2D">
        <w:rPr>
          <w:rFonts w:ascii="Cambria" w:hAnsi="Cambria" w:cs="Calibri"/>
          <w:color w:val="000000"/>
          <w:sz w:val="20"/>
          <w:szCs w:val="20"/>
          <w:lang w:val="es-ES"/>
        </w:rPr>
        <w:t>27 de agosto</w:t>
      </w:r>
      <w:r w:rsidR="00B96373" w:rsidRPr="00CC5657">
        <w:rPr>
          <w:rFonts w:ascii="Cambria" w:hAnsi="Cambria" w:cs="Calibri"/>
          <w:color w:val="000000"/>
          <w:sz w:val="20"/>
          <w:szCs w:val="20"/>
          <w:lang w:val="es-ES"/>
        </w:rPr>
        <w:t xml:space="preserve"> de 2021</w:t>
      </w:r>
      <w:r w:rsidR="00B960DF" w:rsidRPr="00CC5657">
        <w:rPr>
          <w:rFonts w:ascii="Cambria" w:hAnsi="Cambria" w:cs="Calibri"/>
          <w:color w:val="000000"/>
          <w:sz w:val="20"/>
          <w:szCs w:val="20"/>
          <w:lang w:val="es-ES"/>
        </w:rPr>
        <w:t xml:space="preserve"> el Estado solicitó una </w:t>
      </w:r>
      <w:r w:rsidR="00B53E2D">
        <w:rPr>
          <w:rFonts w:ascii="Cambria" w:hAnsi="Cambria" w:cs="Calibri"/>
          <w:color w:val="000000"/>
          <w:sz w:val="20"/>
          <w:szCs w:val="20"/>
          <w:lang w:val="es-ES"/>
        </w:rPr>
        <w:t>séptima</w:t>
      </w:r>
      <w:r w:rsidR="00B960DF" w:rsidRPr="00CC5657">
        <w:rPr>
          <w:rFonts w:ascii="Cambria" w:hAnsi="Cambria" w:cs="Calibri"/>
          <w:color w:val="000000"/>
          <w:sz w:val="20"/>
          <w:szCs w:val="20"/>
          <w:lang w:val="es-ES"/>
        </w:rPr>
        <w:t xml:space="preserve"> prórroga</w:t>
      </w:r>
      <w:r w:rsidR="00B96373" w:rsidRPr="00CC5657">
        <w:rPr>
          <w:rFonts w:ascii="Cambria" w:hAnsi="Cambria" w:cs="Calibri"/>
          <w:color w:val="000000"/>
          <w:sz w:val="20"/>
          <w:szCs w:val="20"/>
          <w:lang w:val="es-ES"/>
        </w:rPr>
        <w:t xml:space="preserve">. </w:t>
      </w:r>
      <w:r w:rsidR="00AA119E">
        <w:rPr>
          <w:rFonts w:ascii="Cambria" w:hAnsi="Cambria" w:cs="Calibri"/>
          <w:color w:val="000000"/>
          <w:sz w:val="20"/>
          <w:szCs w:val="20"/>
          <w:lang w:val="es-ES"/>
        </w:rPr>
        <w:t>T</w:t>
      </w:r>
      <w:r w:rsidR="00AA119E" w:rsidRPr="00AA119E">
        <w:rPr>
          <w:rFonts w:ascii="Cambria" w:hAnsi="Cambria" w:cs="Calibri"/>
          <w:color w:val="000000"/>
          <w:sz w:val="20"/>
          <w:szCs w:val="20"/>
          <w:lang w:val="es-ES"/>
        </w:rPr>
        <w:t xml:space="preserve">eniendo en cuenta la falta de avances sustantivos en el cumplimiento de la </w:t>
      </w:r>
      <w:r w:rsidR="00AA119E">
        <w:rPr>
          <w:rFonts w:ascii="Cambria" w:hAnsi="Cambria" w:cs="Calibri"/>
          <w:color w:val="000000"/>
          <w:sz w:val="20"/>
          <w:szCs w:val="20"/>
          <w:lang w:val="es-ES"/>
        </w:rPr>
        <w:t xml:space="preserve">única </w:t>
      </w:r>
      <w:r w:rsidR="00AA119E" w:rsidRPr="00AA119E">
        <w:rPr>
          <w:rFonts w:ascii="Cambria" w:hAnsi="Cambria" w:cs="Calibri"/>
          <w:color w:val="000000"/>
          <w:sz w:val="20"/>
          <w:szCs w:val="20"/>
          <w:lang w:val="es-ES"/>
        </w:rPr>
        <w:t xml:space="preserve">recomendación, el tiempo transcurrido desde la notificación del informe de fondo, así como </w:t>
      </w:r>
      <w:r w:rsidR="00B96373" w:rsidRPr="00CC5657">
        <w:rPr>
          <w:rFonts w:ascii="Cambria" w:hAnsi="Cambria" w:cs="Calibri"/>
          <w:color w:val="000000"/>
          <w:sz w:val="20"/>
          <w:szCs w:val="20"/>
          <w:lang w:val="es-ES"/>
        </w:rPr>
        <w:t>la necesidad de justicia y</w:t>
      </w:r>
      <w:r w:rsidR="00B96373" w:rsidRPr="00AA119E">
        <w:rPr>
          <w:rFonts w:ascii="Cambria" w:hAnsi="Cambria" w:cs="Calibri"/>
          <w:color w:val="000000"/>
          <w:sz w:val="20"/>
          <w:szCs w:val="20"/>
          <w:lang w:val="es-ES"/>
        </w:rPr>
        <w:t xml:space="preserve"> reparación para la víctima</w:t>
      </w:r>
      <w:r w:rsidR="004833F9" w:rsidRPr="00AA119E">
        <w:rPr>
          <w:rFonts w:ascii="Cambria" w:hAnsi="Cambria" w:cs="Calibri"/>
          <w:color w:val="000000"/>
          <w:sz w:val="20"/>
          <w:szCs w:val="20"/>
          <w:lang w:val="es-ES"/>
        </w:rPr>
        <w:t xml:space="preserve">, </w:t>
      </w:r>
      <w:r w:rsidR="00CC5657" w:rsidRPr="00AA119E">
        <w:rPr>
          <w:rFonts w:ascii="Cambria" w:hAnsi="Cambria" w:cs="Calibri"/>
          <w:color w:val="000000"/>
          <w:sz w:val="20"/>
          <w:szCs w:val="20"/>
          <w:lang w:val="es-ES"/>
        </w:rPr>
        <w:t xml:space="preserve">la Comisión </w:t>
      </w:r>
      <w:r w:rsidR="00B96373" w:rsidRPr="00AA119E">
        <w:rPr>
          <w:rFonts w:ascii="Cambria" w:hAnsi="Cambria" w:cs="Calibri"/>
          <w:color w:val="000000"/>
          <w:sz w:val="20"/>
          <w:szCs w:val="20"/>
          <w:lang w:val="es-ES"/>
        </w:rPr>
        <w:t>decidió enviar el caso a la jurisdicción de la Corte Interamericana.</w:t>
      </w:r>
      <w:r w:rsidR="00B960DF">
        <w:rPr>
          <w:rFonts w:ascii="Cambria" w:hAnsi="Cambria" w:cs="Calibri"/>
          <w:color w:val="000000"/>
          <w:sz w:val="20"/>
          <w:szCs w:val="20"/>
          <w:lang w:val="es-AR"/>
        </w:rPr>
        <w:t xml:space="preserve"> </w:t>
      </w:r>
    </w:p>
    <w:p w14:paraId="1141DAE6" w14:textId="77777777" w:rsidR="0036640D" w:rsidRPr="00610219" w:rsidRDefault="0036640D" w:rsidP="00F8734F">
      <w:pPr>
        <w:tabs>
          <w:tab w:val="left" w:pos="810"/>
        </w:tabs>
        <w:spacing w:after="0" w:line="240" w:lineRule="auto"/>
        <w:ind w:firstLine="720"/>
        <w:jc w:val="both"/>
        <w:rPr>
          <w:rFonts w:ascii="Cambria" w:hAnsi="Cambria" w:cs="Calibri"/>
          <w:color w:val="000000"/>
          <w:sz w:val="20"/>
          <w:szCs w:val="20"/>
          <w:lang w:val="es-CO"/>
        </w:rPr>
      </w:pPr>
    </w:p>
    <w:p w14:paraId="267764AD" w14:textId="77777777" w:rsidR="00E23506" w:rsidRPr="00152E74" w:rsidRDefault="00E23506" w:rsidP="00E23506">
      <w:pPr>
        <w:tabs>
          <w:tab w:val="left" w:pos="720"/>
          <w:tab w:val="left" w:pos="1440"/>
        </w:tabs>
        <w:spacing w:after="0" w:line="240" w:lineRule="auto"/>
        <w:jc w:val="both"/>
        <w:rPr>
          <w:rFonts w:ascii="Cambria" w:hAnsi="Cambria" w:cs="Verdana"/>
          <w:sz w:val="20"/>
          <w:szCs w:val="20"/>
          <w:lang w:val="es-VE"/>
        </w:rPr>
      </w:pPr>
      <w:r>
        <w:rPr>
          <w:rFonts w:ascii="Cambria" w:hAnsi="Cambria" w:cs="Calibri"/>
          <w:color w:val="000000"/>
          <w:sz w:val="20"/>
          <w:szCs w:val="20"/>
          <w:lang w:val="es-CO"/>
        </w:rPr>
        <w:tab/>
      </w:r>
      <w:r w:rsidR="00143EB4" w:rsidRPr="00610219">
        <w:rPr>
          <w:rFonts w:ascii="Cambria" w:hAnsi="Cambria" w:cs="Calibri"/>
          <w:color w:val="000000"/>
          <w:sz w:val="20"/>
          <w:szCs w:val="20"/>
          <w:lang w:val="es-CO"/>
        </w:rPr>
        <w:t xml:space="preserve">En ese sentido, la Comisión solicita a la </w:t>
      </w:r>
      <w:r w:rsidR="00707281" w:rsidRPr="00610219">
        <w:rPr>
          <w:rFonts w:ascii="Cambria" w:hAnsi="Cambria" w:cs="Calibri"/>
          <w:color w:val="000000"/>
          <w:sz w:val="20"/>
          <w:szCs w:val="20"/>
          <w:lang w:val="es-CO"/>
        </w:rPr>
        <w:t xml:space="preserve">Honorable </w:t>
      </w:r>
      <w:r w:rsidR="00143EB4" w:rsidRPr="00610219">
        <w:rPr>
          <w:rFonts w:ascii="Cambria" w:hAnsi="Cambria" w:cs="Calibri"/>
          <w:color w:val="000000"/>
          <w:sz w:val="20"/>
          <w:szCs w:val="20"/>
          <w:lang w:val="es-CO"/>
        </w:rPr>
        <w:t xml:space="preserve">Corte que concluya y declare que el Estado de </w:t>
      </w:r>
      <w:r w:rsidR="00D902D7" w:rsidRPr="00610219">
        <w:rPr>
          <w:rFonts w:ascii="Cambria" w:hAnsi="Cambria" w:cs="Calibri"/>
          <w:color w:val="000000"/>
          <w:sz w:val="20"/>
          <w:szCs w:val="20"/>
          <w:lang w:val="es-CO"/>
        </w:rPr>
        <w:t>Ecuador</w:t>
      </w:r>
      <w:r w:rsidR="00143EB4" w:rsidRPr="00610219">
        <w:rPr>
          <w:rFonts w:ascii="Cambria" w:hAnsi="Cambria" w:cs="Calibri"/>
          <w:color w:val="000000"/>
          <w:sz w:val="20"/>
          <w:szCs w:val="20"/>
          <w:lang w:val="es-CO"/>
        </w:rPr>
        <w:t xml:space="preserve"> </w:t>
      </w:r>
      <w:r w:rsidR="00D902D7" w:rsidRPr="00610219">
        <w:rPr>
          <w:rFonts w:ascii="Cambria" w:hAnsi="Cambria" w:cs="Calibri"/>
          <w:color w:val="000000"/>
          <w:sz w:val="20"/>
          <w:szCs w:val="20"/>
          <w:lang w:val="es-ES"/>
        </w:rPr>
        <w:t xml:space="preserve">es responsable por la violación </w:t>
      </w:r>
      <w:r w:rsidR="00955FC2" w:rsidRPr="00792C62">
        <w:rPr>
          <w:rFonts w:ascii="Cambria" w:hAnsi="Cambria"/>
          <w:sz w:val="20"/>
          <w:szCs w:val="20"/>
          <w:lang w:val="es-ES_tradnl"/>
        </w:rPr>
        <w:t>del</w:t>
      </w:r>
      <w:r w:rsidR="00B4628B">
        <w:rPr>
          <w:rFonts w:ascii="Cambria" w:hAnsi="Cambria"/>
          <w:sz w:val="20"/>
          <w:szCs w:val="20"/>
          <w:lang w:val="es-ES_tradnl"/>
        </w:rPr>
        <w:t xml:space="preserve"> </w:t>
      </w:r>
      <w:r w:rsidRPr="00152E74">
        <w:rPr>
          <w:rFonts w:ascii="Cambria" w:hAnsi="Cambria" w:cs="Verdana"/>
          <w:sz w:val="20"/>
          <w:szCs w:val="20"/>
          <w:lang w:val="es-VE"/>
        </w:rPr>
        <w:t>derecho</w:t>
      </w:r>
      <w:r w:rsidR="00B4628B">
        <w:rPr>
          <w:rFonts w:ascii="Cambria" w:hAnsi="Cambria" w:cs="Verdana"/>
          <w:sz w:val="20"/>
          <w:szCs w:val="20"/>
          <w:lang w:val="es-VE"/>
        </w:rPr>
        <w:t xml:space="preserve"> a la protección judicial </w:t>
      </w:r>
      <w:r w:rsidRPr="00152E74">
        <w:rPr>
          <w:rFonts w:ascii="Cambria" w:hAnsi="Cambria" w:cs="Verdana"/>
          <w:sz w:val="20"/>
          <w:szCs w:val="20"/>
          <w:lang w:val="es-VE"/>
        </w:rPr>
        <w:t xml:space="preserve">consagrado en los artículos </w:t>
      </w:r>
      <w:r w:rsidR="00B4628B" w:rsidRPr="00604626">
        <w:rPr>
          <w:rFonts w:ascii="Cambria" w:hAnsi="Cambria"/>
          <w:sz w:val="20"/>
          <w:szCs w:val="20"/>
          <w:lang w:val="es-ES_tradnl"/>
        </w:rPr>
        <w:t xml:space="preserve">25.1 y 25.2 c) </w:t>
      </w:r>
      <w:r w:rsidRPr="00152E74">
        <w:rPr>
          <w:rFonts w:ascii="Cambria" w:hAnsi="Cambria" w:cs="Verdana"/>
          <w:sz w:val="20"/>
          <w:szCs w:val="20"/>
          <w:lang w:val="es-VE"/>
        </w:rPr>
        <w:t xml:space="preserve">de la Convención Americana, en relación con </w:t>
      </w:r>
      <w:r>
        <w:rPr>
          <w:rFonts w:ascii="Cambria" w:hAnsi="Cambria" w:cs="Verdana"/>
          <w:sz w:val="20"/>
          <w:szCs w:val="20"/>
          <w:lang w:val="es-VE"/>
        </w:rPr>
        <w:t>su</w:t>
      </w:r>
      <w:r w:rsidRPr="00152E74">
        <w:rPr>
          <w:rFonts w:ascii="Cambria" w:hAnsi="Cambria" w:cs="Verdana"/>
          <w:sz w:val="20"/>
          <w:szCs w:val="20"/>
          <w:lang w:val="es-VE"/>
        </w:rPr>
        <w:t xml:space="preserve"> ar</w:t>
      </w:r>
      <w:r>
        <w:rPr>
          <w:rFonts w:ascii="Cambria" w:hAnsi="Cambria" w:cs="Verdana"/>
          <w:sz w:val="20"/>
          <w:szCs w:val="20"/>
          <w:lang w:val="es-VE"/>
        </w:rPr>
        <w:t>tículo</w:t>
      </w:r>
      <w:r w:rsidRPr="00152E74">
        <w:rPr>
          <w:rFonts w:ascii="Cambria" w:hAnsi="Cambria" w:cs="Verdana"/>
          <w:sz w:val="20"/>
          <w:szCs w:val="20"/>
          <w:lang w:val="es-VE"/>
        </w:rPr>
        <w:t xml:space="preserve"> 1.1, </w:t>
      </w:r>
      <w:r>
        <w:rPr>
          <w:rFonts w:ascii="Cambria" w:hAnsi="Cambria" w:cs="Verdana"/>
          <w:sz w:val="20"/>
          <w:szCs w:val="20"/>
          <w:lang w:val="es-VE"/>
        </w:rPr>
        <w:t xml:space="preserve">en perjuicio de </w:t>
      </w:r>
      <w:r w:rsidR="00B4628B">
        <w:rPr>
          <w:rFonts w:ascii="Cambria" w:hAnsi="Cambria" w:cs="Verdana"/>
          <w:sz w:val="20"/>
          <w:szCs w:val="20"/>
          <w:lang w:val="es-VE"/>
        </w:rPr>
        <w:t>Juan José Meza.</w:t>
      </w:r>
    </w:p>
    <w:p w14:paraId="4D5E0063" w14:textId="77777777" w:rsidR="004F4E7F" w:rsidRPr="00E23506" w:rsidRDefault="004F4E7F" w:rsidP="00E23506">
      <w:pPr>
        <w:tabs>
          <w:tab w:val="left" w:pos="720"/>
        </w:tabs>
        <w:spacing w:after="0" w:line="240" w:lineRule="auto"/>
        <w:ind w:firstLine="720"/>
        <w:jc w:val="both"/>
        <w:rPr>
          <w:rFonts w:ascii="Cambria" w:hAnsi="Cambria" w:cs="Calibri"/>
          <w:sz w:val="20"/>
          <w:szCs w:val="20"/>
          <w:lang w:val="es-VE"/>
        </w:rPr>
      </w:pPr>
    </w:p>
    <w:p w14:paraId="2A41B101" w14:textId="77777777" w:rsidR="00670828" w:rsidRPr="00610219" w:rsidRDefault="00162CE1" w:rsidP="00F8734F">
      <w:pPr>
        <w:tabs>
          <w:tab w:val="left" w:pos="810"/>
        </w:tabs>
        <w:autoSpaceDE w:val="0"/>
        <w:autoSpaceDN w:val="0"/>
        <w:adjustRightInd w:val="0"/>
        <w:spacing w:after="0" w:line="240" w:lineRule="auto"/>
        <w:ind w:firstLine="720"/>
        <w:jc w:val="both"/>
        <w:rPr>
          <w:rFonts w:ascii="Cambria" w:hAnsi="Cambria" w:cs="Calibri"/>
          <w:color w:val="000000"/>
          <w:sz w:val="20"/>
          <w:szCs w:val="20"/>
          <w:lang w:val="es-CO"/>
        </w:rPr>
      </w:pPr>
      <w:r w:rsidRPr="00610219">
        <w:rPr>
          <w:rFonts w:ascii="Cambria" w:hAnsi="Cambria" w:cs="Calibri"/>
          <w:color w:val="000000"/>
          <w:sz w:val="20"/>
          <w:szCs w:val="20"/>
          <w:lang w:val="es-ES"/>
        </w:rPr>
        <w:t xml:space="preserve">En consecuencia, la Comisión solicita a la Corte Interamericana que </w:t>
      </w:r>
      <w:r w:rsidR="00670828" w:rsidRPr="00610219">
        <w:rPr>
          <w:rFonts w:ascii="Cambria" w:hAnsi="Cambria" w:cs="Calibri"/>
          <w:color w:val="000000"/>
          <w:sz w:val="20"/>
          <w:szCs w:val="20"/>
          <w:lang w:val="es-CO"/>
        </w:rPr>
        <w:t>establezca la siguiente medida de reparación:</w:t>
      </w:r>
    </w:p>
    <w:p w14:paraId="35304171" w14:textId="77777777" w:rsidR="00162CE1" w:rsidRPr="00E23506" w:rsidRDefault="00162CE1" w:rsidP="00F8734F">
      <w:pPr>
        <w:spacing w:after="0" w:line="240" w:lineRule="auto"/>
        <w:ind w:firstLine="720"/>
        <w:jc w:val="both"/>
        <w:rPr>
          <w:rFonts w:ascii="Cambria" w:hAnsi="Cambria" w:cs="Calibri"/>
          <w:color w:val="000000"/>
          <w:sz w:val="20"/>
          <w:szCs w:val="20"/>
          <w:lang w:val="es-ES"/>
        </w:rPr>
      </w:pPr>
    </w:p>
    <w:p w14:paraId="174B49DF" w14:textId="77777777" w:rsidR="003074F0" w:rsidRPr="003074F0" w:rsidRDefault="003074F0" w:rsidP="003074F0">
      <w:pPr>
        <w:pStyle w:val="Textoindependiente3"/>
        <w:numPr>
          <w:ilvl w:val="0"/>
          <w:numId w:val="12"/>
        </w:numPr>
        <w:tabs>
          <w:tab w:val="left" w:pos="720"/>
          <w:tab w:val="left" w:pos="1080"/>
          <w:tab w:val="left" w:pos="1440"/>
          <w:tab w:val="left" w:pos="9360"/>
        </w:tabs>
        <w:spacing w:after="0" w:line="240" w:lineRule="auto"/>
        <w:ind w:left="720" w:firstLine="0"/>
        <w:jc w:val="both"/>
        <w:rPr>
          <w:rFonts w:ascii="Cambria" w:eastAsia="Arial Unicode MS" w:hAnsi="Cambria"/>
          <w:sz w:val="20"/>
          <w:szCs w:val="20"/>
          <w:bdr w:val="nil"/>
          <w:lang w:val="es-VE" w:eastAsia="es-ES"/>
        </w:rPr>
      </w:pPr>
      <w:r w:rsidRPr="003074F0">
        <w:rPr>
          <w:rFonts w:ascii="Cambria" w:eastAsia="Arial Unicode MS" w:hAnsi="Cambria"/>
          <w:sz w:val="20"/>
          <w:szCs w:val="20"/>
          <w:bdr w:val="nil"/>
          <w:lang w:val="es-VE" w:eastAsia="es-ES"/>
        </w:rPr>
        <w:t xml:space="preserve">Reparar integralmente las violaciones de derechos declaradas en el </w:t>
      </w:r>
      <w:r w:rsidR="003712C9">
        <w:rPr>
          <w:rFonts w:ascii="Cambria" w:eastAsia="Arial Unicode MS" w:hAnsi="Cambria"/>
          <w:sz w:val="20"/>
          <w:szCs w:val="20"/>
          <w:bdr w:val="nil"/>
          <w:lang w:val="es-VE" w:eastAsia="es-ES"/>
        </w:rPr>
        <w:t>I</w:t>
      </w:r>
      <w:r w:rsidRPr="003074F0">
        <w:rPr>
          <w:rFonts w:ascii="Cambria" w:eastAsia="Arial Unicode MS" w:hAnsi="Cambria"/>
          <w:sz w:val="20"/>
          <w:szCs w:val="20"/>
          <w:bdr w:val="nil"/>
          <w:lang w:val="es-VE" w:eastAsia="es-ES"/>
        </w:rPr>
        <w:t xml:space="preserve">nforme </w:t>
      </w:r>
      <w:r w:rsidR="003712C9">
        <w:rPr>
          <w:rFonts w:ascii="Cambria" w:eastAsia="Arial Unicode MS" w:hAnsi="Cambria"/>
          <w:sz w:val="20"/>
          <w:szCs w:val="20"/>
          <w:bdr w:val="nil"/>
          <w:lang w:val="es-VE" w:eastAsia="es-ES"/>
        </w:rPr>
        <w:t xml:space="preserve">de Fondo </w:t>
      </w:r>
      <w:r w:rsidRPr="003074F0">
        <w:rPr>
          <w:rFonts w:ascii="Cambria" w:eastAsia="Arial Unicode MS" w:hAnsi="Cambria"/>
          <w:sz w:val="20"/>
          <w:szCs w:val="20"/>
          <w:bdr w:val="nil"/>
          <w:lang w:val="es-VE" w:eastAsia="es-ES"/>
        </w:rPr>
        <w:t xml:space="preserve">relacionadas con el incumplimiento de fallos internos, la falta de protección judicial efectiva y la demora excesiva del proceso judicial, incluyendo en las reparaciones los aspectos materiales e inmateriales. </w:t>
      </w:r>
    </w:p>
    <w:p w14:paraId="3E5D9DDE" w14:textId="77777777" w:rsidR="00E23506" w:rsidRPr="003074F0" w:rsidRDefault="00E23506" w:rsidP="00E23506">
      <w:pPr>
        <w:tabs>
          <w:tab w:val="left" w:pos="1080"/>
        </w:tabs>
        <w:spacing w:after="0" w:line="240" w:lineRule="auto"/>
        <w:ind w:left="720" w:right="720"/>
        <w:jc w:val="both"/>
        <w:rPr>
          <w:rFonts w:ascii="Cambria" w:hAnsi="Cambria"/>
          <w:sz w:val="20"/>
          <w:szCs w:val="20"/>
          <w:lang w:val="es-VE"/>
        </w:rPr>
      </w:pPr>
    </w:p>
    <w:p w14:paraId="287E2DC8" w14:textId="77777777" w:rsidR="00D13A80" w:rsidRDefault="00E16ED1" w:rsidP="00760005">
      <w:pPr>
        <w:spacing w:after="0" w:line="240" w:lineRule="auto"/>
        <w:jc w:val="both"/>
        <w:rPr>
          <w:rFonts w:ascii="Cambria" w:eastAsia="Times New Roman" w:hAnsi="Cambria" w:cs="Cambria"/>
          <w:sz w:val="20"/>
          <w:szCs w:val="20"/>
          <w:lang w:val="es-ES_tradnl"/>
        </w:rPr>
      </w:pPr>
      <w:r w:rsidRPr="00610219">
        <w:rPr>
          <w:rFonts w:ascii="Cambria" w:hAnsi="Cambria" w:cs="Calibri"/>
          <w:color w:val="000000"/>
          <w:sz w:val="20"/>
          <w:szCs w:val="20"/>
          <w:lang w:val="es-ES"/>
        </w:rPr>
        <w:tab/>
      </w:r>
      <w:r w:rsidR="00162CE1" w:rsidRPr="00610219">
        <w:rPr>
          <w:rFonts w:ascii="Cambria" w:hAnsi="Cambria" w:cs="Calibri"/>
          <w:color w:val="000000"/>
          <w:sz w:val="20"/>
          <w:szCs w:val="20"/>
          <w:lang w:val="es-ES"/>
        </w:rPr>
        <w:t>Además de la necesidad de obtención de justicia</w:t>
      </w:r>
      <w:r w:rsidR="00377262" w:rsidRPr="00610219">
        <w:rPr>
          <w:rFonts w:ascii="Cambria" w:hAnsi="Cambria" w:cs="Calibri"/>
          <w:color w:val="000000"/>
          <w:sz w:val="20"/>
          <w:szCs w:val="20"/>
          <w:lang w:val="es-ES"/>
        </w:rPr>
        <w:t xml:space="preserve"> y reparación</w:t>
      </w:r>
      <w:r w:rsidR="00162CE1" w:rsidRPr="00610219">
        <w:rPr>
          <w:rFonts w:ascii="Cambria" w:hAnsi="Cambria" w:cs="Calibri"/>
          <w:color w:val="000000"/>
          <w:sz w:val="20"/>
          <w:szCs w:val="20"/>
          <w:lang w:val="es-ES"/>
        </w:rPr>
        <w:t xml:space="preserve"> por la falta de cumplimie</w:t>
      </w:r>
      <w:r w:rsidR="009A0E8E" w:rsidRPr="00610219">
        <w:rPr>
          <w:rFonts w:ascii="Cambria" w:hAnsi="Cambria" w:cs="Calibri"/>
          <w:color w:val="000000"/>
          <w:sz w:val="20"/>
          <w:szCs w:val="20"/>
          <w:lang w:val="es-ES"/>
        </w:rPr>
        <w:t>nto de la recomendaci</w:t>
      </w:r>
      <w:r w:rsidR="00E13F5D">
        <w:rPr>
          <w:rFonts w:ascii="Cambria" w:hAnsi="Cambria" w:cs="Calibri"/>
          <w:color w:val="000000"/>
          <w:sz w:val="20"/>
          <w:szCs w:val="20"/>
          <w:lang w:val="es-ES"/>
        </w:rPr>
        <w:t>ón</w:t>
      </w:r>
      <w:r w:rsidR="009A0E8E" w:rsidRPr="00610219">
        <w:rPr>
          <w:rFonts w:ascii="Cambria" w:hAnsi="Cambria" w:cs="Calibri"/>
          <w:color w:val="000000"/>
          <w:sz w:val="20"/>
          <w:szCs w:val="20"/>
          <w:lang w:val="es-ES"/>
        </w:rPr>
        <w:t xml:space="preserve"> del Informe de F</w:t>
      </w:r>
      <w:r w:rsidR="00162CE1" w:rsidRPr="00610219">
        <w:rPr>
          <w:rFonts w:ascii="Cambria" w:hAnsi="Cambria" w:cs="Calibri"/>
          <w:color w:val="000000"/>
          <w:sz w:val="20"/>
          <w:szCs w:val="20"/>
          <w:lang w:val="es-ES"/>
        </w:rPr>
        <w:t>ondo, la Comisión considera que el caso presenta cuestiones de orden público interamericano.</w:t>
      </w:r>
      <w:r w:rsidR="00245F50" w:rsidRPr="00610219">
        <w:rPr>
          <w:rFonts w:ascii="Cambria" w:hAnsi="Cambria" w:cs="Calibri"/>
          <w:color w:val="000000"/>
          <w:sz w:val="20"/>
          <w:szCs w:val="20"/>
          <w:lang w:val="es-ES"/>
        </w:rPr>
        <w:t xml:space="preserve"> </w:t>
      </w:r>
      <w:r w:rsidR="00B037A3" w:rsidRPr="00610219">
        <w:rPr>
          <w:rFonts w:ascii="Cambria" w:hAnsi="Cambria" w:cs="Calibri"/>
          <w:color w:val="000000"/>
          <w:sz w:val="20"/>
          <w:szCs w:val="20"/>
          <w:lang w:val="es-ES"/>
        </w:rPr>
        <w:t>E</w:t>
      </w:r>
      <w:r w:rsidR="00B037A3" w:rsidRPr="00760005">
        <w:rPr>
          <w:rFonts w:ascii="Cambria" w:hAnsi="Cambria" w:cs="Calibri"/>
          <w:color w:val="000000"/>
          <w:sz w:val="20"/>
          <w:szCs w:val="20"/>
          <w:lang w:val="es-ES"/>
        </w:rPr>
        <w:t xml:space="preserve">l mismo permitirá a la Honorable </w:t>
      </w:r>
      <w:r w:rsidR="00A27809" w:rsidRPr="00760005">
        <w:rPr>
          <w:rFonts w:ascii="Cambria" w:hAnsi="Cambria" w:cs="Calibri"/>
          <w:color w:val="000000"/>
          <w:sz w:val="20"/>
          <w:szCs w:val="20"/>
          <w:lang w:val="es-ES"/>
        </w:rPr>
        <w:t xml:space="preserve">Corte </w:t>
      </w:r>
      <w:r w:rsidR="00E13F5D" w:rsidRPr="00604626">
        <w:rPr>
          <w:rFonts w:ascii="Cambria" w:eastAsia="Times New Roman" w:hAnsi="Cambria" w:cs="Cambria"/>
          <w:sz w:val="20"/>
          <w:szCs w:val="20"/>
          <w:lang w:val="es-ES_tradnl"/>
        </w:rPr>
        <w:t>continuar desarrollando los estándares relativos a las obligaciones de los Estados en materia de tutela judicial efectiva y el cumplimiento de los fallos internos. En particular, la Corte podría profundizar respecto del principio de tutela judicial efectiva en los procedimientos de ejecución de sentencias relativas a pagos ordenados contra terceros.</w:t>
      </w:r>
    </w:p>
    <w:p w14:paraId="0BAF2D39" w14:textId="77777777" w:rsidR="00E13F5D" w:rsidRDefault="00E13F5D" w:rsidP="00760005">
      <w:pPr>
        <w:spacing w:after="0" w:line="240" w:lineRule="auto"/>
        <w:jc w:val="both"/>
        <w:rPr>
          <w:rFonts w:ascii="Cambria" w:eastAsia="Times New Roman" w:hAnsi="Cambria" w:cs="Cambria"/>
          <w:sz w:val="20"/>
          <w:szCs w:val="20"/>
          <w:lang w:val="es-CO"/>
        </w:rPr>
      </w:pPr>
    </w:p>
    <w:p w14:paraId="5A6695D5" w14:textId="77777777" w:rsidR="002E628E" w:rsidRPr="00610219" w:rsidRDefault="002E628E" w:rsidP="002E628E">
      <w:pPr>
        <w:spacing w:after="0" w:line="240" w:lineRule="auto"/>
        <w:jc w:val="both"/>
        <w:rPr>
          <w:rFonts w:ascii="Cambria" w:hAnsi="Cambria" w:cs="Calibri"/>
          <w:color w:val="000000"/>
          <w:sz w:val="20"/>
          <w:szCs w:val="20"/>
          <w:lang w:val="es-ES"/>
        </w:rPr>
      </w:pPr>
      <w:r w:rsidRPr="00610219">
        <w:rPr>
          <w:rFonts w:ascii="Cambria" w:hAnsi="Cambria" w:cs="Calibri"/>
          <w:color w:val="000000"/>
          <w:sz w:val="20"/>
          <w:szCs w:val="20"/>
          <w:lang w:val="es-ES"/>
        </w:rPr>
        <w:tab/>
        <w:t>La Comisión pone en conocimiento de la Honorable Corte la siguiente información de quienes actúan como parte peticionaria en el trámite ante la CIDH conforme a la información más reciente:</w:t>
      </w:r>
    </w:p>
    <w:p w14:paraId="2C8EFA13" w14:textId="77777777" w:rsidR="002E628E" w:rsidRPr="00D13A80" w:rsidRDefault="002E628E" w:rsidP="008272F6">
      <w:pPr>
        <w:spacing w:after="0" w:line="240" w:lineRule="auto"/>
        <w:jc w:val="both"/>
        <w:rPr>
          <w:rFonts w:ascii="Cambria" w:hAnsi="Cambria" w:cs="Calibri"/>
          <w:color w:val="000000"/>
          <w:sz w:val="20"/>
          <w:szCs w:val="20"/>
          <w:lang w:val="es-ES"/>
        </w:rPr>
      </w:pPr>
    </w:p>
    <w:p w14:paraId="041C81C0" w14:textId="77777777" w:rsidR="008272F6" w:rsidRDefault="003C666D" w:rsidP="003C666D">
      <w:pPr>
        <w:spacing w:after="0" w:line="240" w:lineRule="auto"/>
        <w:jc w:val="center"/>
        <w:rPr>
          <w:rFonts w:ascii="Cambria" w:hAnsi="Cambria" w:cs="Calibri"/>
          <w:color w:val="000000"/>
          <w:sz w:val="20"/>
          <w:szCs w:val="20"/>
          <w:lang w:val="es-ES"/>
        </w:rPr>
      </w:pPr>
      <w:r>
        <w:rPr>
          <w:rFonts w:ascii="Cambria" w:hAnsi="Cambria" w:cs="Calibri"/>
          <w:color w:val="000000"/>
          <w:sz w:val="20"/>
          <w:szCs w:val="20"/>
          <w:lang w:val="es-ES"/>
        </w:rPr>
        <w:t>Carlos Díaz Guzmán</w:t>
      </w:r>
    </w:p>
    <w:p w14:paraId="54AA43DE" w14:textId="77777777" w:rsidR="003C666D" w:rsidRDefault="003C666D" w:rsidP="003C666D">
      <w:pPr>
        <w:spacing w:after="0" w:line="240" w:lineRule="auto"/>
        <w:jc w:val="center"/>
        <w:rPr>
          <w:rFonts w:ascii="Cambria" w:hAnsi="Cambria" w:cs="Calibri"/>
          <w:color w:val="000000"/>
          <w:sz w:val="20"/>
          <w:szCs w:val="20"/>
          <w:lang w:val="es-ES"/>
        </w:rPr>
      </w:pPr>
      <w:r>
        <w:rPr>
          <w:rFonts w:ascii="Cambria" w:hAnsi="Cambria" w:cs="Calibri"/>
          <w:color w:val="000000"/>
          <w:sz w:val="20"/>
          <w:szCs w:val="20"/>
          <w:lang w:val="es-ES"/>
        </w:rPr>
        <w:t>Juan José Meza</w:t>
      </w:r>
    </w:p>
    <w:p w14:paraId="22FA806E" w14:textId="77777777" w:rsidR="003C666D" w:rsidRPr="009B304C" w:rsidRDefault="009B304C" w:rsidP="003C666D">
      <w:pPr>
        <w:spacing w:after="0" w:line="240" w:lineRule="auto"/>
        <w:jc w:val="center"/>
        <w:rPr>
          <w:rFonts w:ascii="Cambria" w:hAnsi="Cambria"/>
          <w:sz w:val="20"/>
          <w:szCs w:val="20"/>
          <w:highlight w:val="black"/>
          <w:lang w:val="es-US"/>
        </w:rPr>
      </w:pPr>
      <w:r w:rsidRPr="009B304C">
        <w:rPr>
          <w:rFonts w:ascii="Cambria" w:hAnsi="Cambria"/>
          <w:sz w:val="20"/>
          <w:szCs w:val="20"/>
          <w:highlight w:val="black"/>
          <w:lang w:val="es-US"/>
        </w:rPr>
        <w:t>XXXXXXXXXXXXXXXXXXXXXXXXX</w:t>
      </w:r>
    </w:p>
    <w:p w14:paraId="7F1DBB32" w14:textId="77777777" w:rsidR="003C666D" w:rsidRDefault="003C666D" w:rsidP="00321C97">
      <w:pPr>
        <w:spacing w:after="0" w:line="240" w:lineRule="auto"/>
        <w:ind w:firstLine="720"/>
        <w:jc w:val="both"/>
        <w:rPr>
          <w:rFonts w:ascii="Cambria" w:hAnsi="Cambria" w:cs="Calibri"/>
          <w:color w:val="000000"/>
          <w:sz w:val="20"/>
          <w:szCs w:val="20"/>
          <w:lang w:val="es-ES"/>
        </w:rPr>
      </w:pPr>
    </w:p>
    <w:p w14:paraId="32A3790E" w14:textId="77777777" w:rsidR="003C666D" w:rsidRDefault="003C666D" w:rsidP="00321C97">
      <w:pPr>
        <w:spacing w:after="0" w:line="240" w:lineRule="auto"/>
        <w:ind w:firstLine="720"/>
        <w:jc w:val="both"/>
        <w:rPr>
          <w:rFonts w:ascii="Cambria" w:hAnsi="Cambria" w:cs="Calibri"/>
          <w:color w:val="000000"/>
          <w:sz w:val="20"/>
          <w:szCs w:val="20"/>
          <w:lang w:val="es-ES"/>
        </w:rPr>
      </w:pPr>
    </w:p>
    <w:p w14:paraId="4467ECB8" w14:textId="77777777" w:rsidR="002E628E" w:rsidRDefault="002E628E" w:rsidP="00321C97">
      <w:pPr>
        <w:spacing w:after="0" w:line="240" w:lineRule="auto"/>
        <w:ind w:firstLine="720"/>
        <w:jc w:val="both"/>
        <w:rPr>
          <w:rFonts w:ascii="Cambria" w:hAnsi="Cambria" w:cs="Calibri"/>
          <w:color w:val="000000"/>
          <w:sz w:val="20"/>
          <w:szCs w:val="20"/>
          <w:lang w:val="es-ES"/>
        </w:rPr>
      </w:pPr>
      <w:r w:rsidRPr="00610219">
        <w:rPr>
          <w:rFonts w:ascii="Cambria" w:hAnsi="Cambria" w:cs="Calibri"/>
          <w:color w:val="000000"/>
          <w:sz w:val="20"/>
          <w:szCs w:val="20"/>
          <w:lang w:val="es-ES"/>
        </w:rPr>
        <w:lastRenderedPageBreak/>
        <w:t>Aprovecho la oportunidad para saludar a usted muy atentamente,</w:t>
      </w:r>
    </w:p>
    <w:p w14:paraId="61F1387E" w14:textId="77777777" w:rsidR="00D13A80" w:rsidRPr="008272F6" w:rsidRDefault="00CA4D98" w:rsidP="00CA4D98">
      <w:pPr>
        <w:spacing w:after="0" w:line="240" w:lineRule="auto"/>
        <w:ind w:left="2880" w:firstLine="720"/>
        <w:rPr>
          <w:rFonts w:ascii="Verdana" w:hAnsi="Verdana"/>
          <w:noProof/>
          <w:sz w:val="20"/>
          <w:szCs w:val="20"/>
          <w:lang w:val="es-ES"/>
        </w:rPr>
      </w:pPr>
      <w:r w:rsidRPr="008272F6">
        <w:rPr>
          <w:rFonts w:ascii="Verdana" w:hAnsi="Verdana"/>
          <w:noProof/>
          <w:sz w:val="20"/>
          <w:szCs w:val="20"/>
          <w:lang w:val="es-ES"/>
        </w:rPr>
        <w:t xml:space="preserve">    </w:t>
      </w:r>
    </w:p>
    <w:p w14:paraId="7E1117F4" w14:textId="77777777" w:rsidR="00D13A80" w:rsidRPr="003C666D" w:rsidRDefault="00D13A80" w:rsidP="003C666D">
      <w:pPr>
        <w:spacing w:after="0" w:line="240" w:lineRule="auto"/>
        <w:ind w:left="3150" w:firstLine="720"/>
        <w:rPr>
          <w:rFonts w:ascii="Verdana" w:hAnsi="Verdana"/>
          <w:noProof/>
          <w:sz w:val="20"/>
          <w:szCs w:val="20"/>
          <w:lang w:val="es-ES"/>
        </w:rPr>
      </w:pPr>
    </w:p>
    <w:p w14:paraId="70D0F834" w14:textId="77777777" w:rsidR="002E628E" w:rsidRPr="00610219" w:rsidRDefault="002E628E" w:rsidP="002E628E">
      <w:pPr>
        <w:tabs>
          <w:tab w:val="left" w:pos="0"/>
        </w:tabs>
        <w:spacing w:after="0" w:line="240" w:lineRule="auto"/>
        <w:jc w:val="center"/>
        <w:rPr>
          <w:rFonts w:ascii="Cambria" w:hAnsi="Cambria" w:cs="Calibri"/>
          <w:i/>
          <w:color w:val="000000"/>
          <w:sz w:val="20"/>
          <w:szCs w:val="20"/>
          <w:lang w:val="pt-BR"/>
        </w:rPr>
      </w:pPr>
      <w:r w:rsidRPr="00610219">
        <w:rPr>
          <w:rFonts w:ascii="Cambria" w:hAnsi="Cambria" w:cs="Calibri"/>
          <w:color w:val="000000"/>
          <w:sz w:val="20"/>
          <w:szCs w:val="20"/>
          <w:lang w:val="pt-BR"/>
        </w:rPr>
        <w:t>Marisol Blanchard</w:t>
      </w:r>
    </w:p>
    <w:p w14:paraId="1BCED9CE" w14:textId="77777777" w:rsidR="002E628E" w:rsidRPr="00610219" w:rsidRDefault="002E628E" w:rsidP="002E628E">
      <w:pPr>
        <w:tabs>
          <w:tab w:val="left" w:pos="810"/>
        </w:tabs>
        <w:suppressAutoHyphens/>
        <w:spacing w:after="0" w:line="240" w:lineRule="auto"/>
        <w:jc w:val="center"/>
        <w:rPr>
          <w:rFonts w:ascii="Cambria" w:hAnsi="Cambria" w:cs="Calibri"/>
          <w:color w:val="000000"/>
          <w:sz w:val="20"/>
          <w:szCs w:val="20"/>
          <w:lang w:val="pt-BR"/>
        </w:rPr>
      </w:pPr>
      <w:r w:rsidRPr="00610219">
        <w:rPr>
          <w:rFonts w:ascii="Cambria" w:hAnsi="Cambria" w:cs="Calibri"/>
          <w:color w:val="000000"/>
          <w:sz w:val="20"/>
          <w:szCs w:val="20"/>
          <w:lang w:val="pt-BR"/>
        </w:rPr>
        <w:t>Secretaria Ejecutiva Adjunta</w:t>
      </w:r>
    </w:p>
    <w:p w14:paraId="69867180" w14:textId="77777777" w:rsidR="002E628E" w:rsidRPr="00610219" w:rsidRDefault="002E628E" w:rsidP="002E628E">
      <w:pPr>
        <w:spacing w:after="0" w:line="240" w:lineRule="auto"/>
        <w:jc w:val="both"/>
        <w:rPr>
          <w:rFonts w:ascii="Cambria" w:hAnsi="Cambria" w:cs="Calibri"/>
          <w:color w:val="000000"/>
          <w:sz w:val="20"/>
          <w:szCs w:val="20"/>
          <w:lang w:val="pt-BR"/>
        </w:rPr>
      </w:pPr>
      <w:bookmarkStart w:id="2" w:name="ministro"/>
      <w:bookmarkEnd w:id="2"/>
    </w:p>
    <w:p w14:paraId="65BD2825" w14:textId="77777777" w:rsidR="00237ECE" w:rsidRPr="00610219" w:rsidRDefault="002E628E" w:rsidP="00321C97">
      <w:pPr>
        <w:spacing w:after="0" w:line="240" w:lineRule="auto"/>
        <w:jc w:val="both"/>
        <w:rPr>
          <w:rFonts w:ascii="Cambria" w:hAnsi="Cambria" w:cs="Calibri"/>
          <w:color w:val="000000"/>
          <w:sz w:val="20"/>
          <w:szCs w:val="20"/>
          <w:lang w:val="pt-BR"/>
        </w:rPr>
      </w:pPr>
      <w:r w:rsidRPr="00610219">
        <w:rPr>
          <w:rFonts w:ascii="Cambria" w:hAnsi="Cambria" w:cs="Calibri"/>
          <w:color w:val="000000"/>
          <w:sz w:val="20"/>
          <w:szCs w:val="20"/>
          <w:lang w:val="pt-BR"/>
        </w:rPr>
        <w:t>Anexo</w:t>
      </w:r>
    </w:p>
    <w:sectPr w:rsidR="00237ECE" w:rsidRPr="00610219" w:rsidSect="00162CE1">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3D88D" w14:textId="77777777" w:rsidR="008C3C4A" w:rsidRDefault="008C3C4A">
      <w:pPr>
        <w:spacing w:after="0" w:line="240" w:lineRule="auto"/>
      </w:pPr>
      <w:r>
        <w:separator/>
      </w:r>
    </w:p>
  </w:endnote>
  <w:endnote w:type="continuationSeparator" w:id="0">
    <w:p w14:paraId="4891C46F" w14:textId="77777777" w:rsidR="008C3C4A" w:rsidRDefault="008C3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5F60B" w14:textId="77777777" w:rsidR="00162CE1" w:rsidRPr="003255C4" w:rsidRDefault="00162CE1">
    <w:pPr>
      <w:pStyle w:val="Piedepgina"/>
      <w:jc w:val="center"/>
      <w:rPr>
        <w:rFonts w:ascii="Cambria" w:hAnsi="Cambria"/>
        <w:sz w:val="18"/>
        <w:szCs w:val="18"/>
      </w:rPr>
    </w:pPr>
    <w:r w:rsidRPr="003255C4">
      <w:rPr>
        <w:rFonts w:ascii="Cambria" w:hAnsi="Cambria"/>
        <w:sz w:val="18"/>
        <w:szCs w:val="18"/>
      </w:rPr>
      <w:fldChar w:fldCharType="begin"/>
    </w:r>
    <w:r w:rsidRPr="003255C4">
      <w:rPr>
        <w:rFonts w:ascii="Cambria" w:hAnsi="Cambria"/>
        <w:sz w:val="18"/>
        <w:szCs w:val="18"/>
      </w:rPr>
      <w:instrText xml:space="preserve"> PAGE   \* MERGEFORMAT </w:instrText>
    </w:r>
    <w:r w:rsidRPr="003255C4">
      <w:rPr>
        <w:rFonts w:ascii="Cambria" w:hAnsi="Cambria"/>
        <w:sz w:val="18"/>
        <w:szCs w:val="18"/>
      </w:rPr>
      <w:fldChar w:fldCharType="separate"/>
    </w:r>
    <w:r w:rsidR="00E53438" w:rsidRPr="003255C4">
      <w:rPr>
        <w:rFonts w:ascii="Cambria" w:hAnsi="Cambria"/>
        <w:noProof/>
        <w:sz w:val="18"/>
        <w:szCs w:val="18"/>
      </w:rPr>
      <w:t>2</w:t>
    </w:r>
    <w:r w:rsidRPr="003255C4">
      <w:rPr>
        <w:rFonts w:ascii="Cambria" w:hAnsi="Cambria"/>
        <w:noProof/>
        <w:sz w:val="18"/>
        <w:szCs w:val="18"/>
      </w:rPr>
      <w:fldChar w:fldCharType="end"/>
    </w:r>
  </w:p>
  <w:p w14:paraId="12BCCAA8" w14:textId="77777777" w:rsidR="002E628E" w:rsidRDefault="002E628E" w:rsidP="002E628E">
    <w:pPr>
      <w:pStyle w:val="Piedepgina"/>
      <w:spacing w:line="360" w:lineRule="auto"/>
    </w:pPr>
    <w:r>
      <w:pict w14:anchorId="715E3CC3">
        <v:rect id="_x0000_i1028" style="width:0;height:1.5pt" o:hralign="center" o:hrstd="t" o:hr="t" fillcolor="#a0a0a0" stroked="f"/>
      </w:pict>
    </w:r>
  </w:p>
  <w:p w14:paraId="6FB74D85" w14:textId="0CDE60F5" w:rsidR="00162CE1" w:rsidRDefault="00344413" w:rsidP="00F8734F">
    <w:pPr>
      <w:pStyle w:val="Piedepgina"/>
      <w:jc w:val="center"/>
    </w:pPr>
    <w:r w:rsidRPr="008A5CB5">
      <w:rPr>
        <w:noProof/>
      </w:rPr>
      <w:drawing>
        <wp:inline distT="0" distB="0" distL="0" distR="0" wp14:anchorId="61493EA0" wp14:editId="6464DF7B">
          <wp:extent cx="5114925" cy="323850"/>
          <wp:effectExtent l="0" t="0" r="0" b="0"/>
          <wp:docPr id="9"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CBAE2" w14:textId="77777777" w:rsidR="00162CE1" w:rsidRDefault="00162CE1" w:rsidP="00162CE1">
    <w:pPr>
      <w:pStyle w:val="Piedepgina"/>
      <w:spacing w:line="360" w:lineRule="auto"/>
    </w:pPr>
    <w:r>
      <w:pict w14:anchorId="14A62575">
        <v:rect id="_x0000_i1026" style="width:0;height:1.5pt" o:hralign="center" o:hrstd="t" o:hr="t" fillcolor="#a0a0a0" stroked="f"/>
      </w:pict>
    </w:r>
  </w:p>
  <w:p w14:paraId="53DA34E3" w14:textId="7EAE18F0" w:rsidR="00162CE1" w:rsidRDefault="00344413" w:rsidP="00162CE1">
    <w:pPr>
      <w:pStyle w:val="Piedepgina"/>
      <w:jc w:val="center"/>
    </w:pPr>
    <w:r w:rsidRPr="008A5CB5">
      <w:rPr>
        <w:noProof/>
      </w:rPr>
      <w:drawing>
        <wp:inline distT="0" distB="0" distL="0" distR="0" wp14:anchorId="75AED6AD" wp14:editId="7BAB88DA">
          <wp:extent cx="5114925" cy="323850"/>
          <wp:effectExtent l="0" t="0" r="0" b="0"/>
          <wp:docPr id="7"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BC345" w14:textId="77777777" w:rsidR="008C3C4A" w:rsidRDefault="008C3C4A">
      <w:pPr>
        <w:spacing w:after="0" w:line="240" w:lineRule="auto"/>
      </w:pPr>
      <w:r>
        <w:separator/>
      </w:r>
    </w:p>
  </w:footnote>
  <w:footnote w:type="continuationSeparator" w:id="0">
    <w:p w14:paraId="6A037C1C" w14:textId="77777777" w:rsidR="008C3C4A" w:rsidRDefault="008C3C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A6600" w14:textId="43F10760" w:rsidR="00162CE1" w:rsidRPr="0058688A" w:rsidRDefault="00344413" w:rsidP="00162CE1">
    <w:pPr>
      <w:pStyle w:val="Encabezado"/>
      <w:jc w:val="center"/>
      <w:rPr>
        <w:lang w:val="es-ES_tradnl"/>
      </w:rPr>
    </w:pPr>
    <w:r>
      <w:rPr>
        <w:noProof/>
        <w:lang w:val="es-ES_tradnl"/>
      </w:rPr>
      <w:drawing>
        <wp:inline distT="0" distB="0" distL="0" distR="0" wp14:anchorId="4F6E9B50" wp14:editId="3DA37CA1">
          <wp:extent cx="2286000" cy="12382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23825"/>
                  </a:xfrm>
                  <a:prstGeom prst="rect">
                    <a:avLst/>
                  </a:prstGeom>
                  <a:noFill/>
                  <a:ln>
                    <a:noFill/>
                  </a:ln>
                </pic:spPr>
              </pic:pic>
            </a:graphicData>
          </a:graphic>
        </wp:inline>
      </w:drawing>
    </w:r>
  </w:p>
  <w:p w14:paraId="75D80B47" w14:textId="77777777" w:rsidR="00162CE1" w:rsidRDefault="00162CE1">
    <w:pPr>
      <w:pStyle w:val="Encabezado"/>
    </w:pPr>
    <w:r>
      <w:pict w14:anchorId="2213EC55">
        <v:rect id="_x0000_i1027"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E8CF2" w14:textId="5FC18B78" w:rsidR="00162CE1" w:rsidRDefault="00344413" w:rsidP="00162CE1">
    <w:pPr>
      <w:pStyle w:val="Encabezado"/>
    </w:pPr>
    <w:r w:rsidRPr="008A5CB5">
      <w:rPr>
        <w:noProof/>
      </w:rPr>
      <w:drawing>
        <wp:inline distT="0" distB="0" distL="0" distR="0" wp14:anchorId="2DBF65F7" wp14:editId="151B9F78">
          <wp:extent cx="2352675" cy="457200"/>
          <wp:effectExtent l="0" t="0" r="0" b="0"/>
          <wp:docPr id="5"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162CE1">
      <w:tab/>
    </w:r>
    <w:r w:rsidR="00162CE1">
      <w:tab/>
    </w:r>
    <w:r w:rsidRPr="008A5CB5">
      <w:rPr>
        <w:noProof/>
      </w:rPr>
      <w:drawing>
        <wp:inline distT="0" distB="0" distL="0" distR="0" wp14:anchorId="22B7867B" wp14:editId="22140A3E">
          <wp:extent cx="1647825" cy="476250"/>
          <wp:effectExtent l="0" t="0" r="0" b="0"/>
          <wp:docPr id="6"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76250"/>
                  </a:xfrm>
                  <a:prstGeom prst="rect">
                    <a:avLst/>
                  </a:prstGeom>
                  <a:noFill/>
                  <a:ln>
                    <a:noFill/>
                  </a:ln>
                </pic:spPr>
              </pic:pic>
            </a:graphicData>
          </a:graphic>
        </wp:inline>
      </w:drawing>
    </w:r>
  </w:p>
  <w:p w14:paraId="7EB205D0" w14:textId="77777777" w:rsidR="00162CE1" w:rsidRDefault="00162CE1" w:rsidP="00162CE1">
    <w:pPr>
      <w:pStyle w:val="Encabezado"/>
    </w:pPr>
    <w:r>
      <w:pict w14:anchorId="474DF468">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42159"/>
    <w:multiLevelType w:val="hybridMultilevel"/>
    <w:tmpl w:val="EC2CFA68"/>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B6C5B1D"/>
    <w:multiLevelType w:val="hybridMultilevel"/>
    <w:tmpl w:val="ABF2DEFC"/>
    <w:lvl w:ilvl="0" w:tplc="90CC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553490"/>
    <w:multiLevelType w:val="hybridMultilevel"/>
    <w:tmpl w:val="98C2F8A2"/>
    <w:lvl w:ilvl="0" w:tplc="F788C15C">
      <w:start w:val="20"/>
      <w:numFmt w:val="decimal"/>
      <w:lvlText w:val="%1."/>
      <w:lvlJc w:val="left"/>
      <w:pPr>
        <w:ind w:left="720" w:hanging="360"/>
      </w:pPr>
      <w:rPr>
        <w:rFonts w:ascii="Cambria" w:hAnsi="Cambria"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D8B6462"/>
    <w:multiLevelType w:val="hybridMultilevel"/>
    <w:tmpl w:val="610EC480"/>
    <w:lvl w:ilvl="0" w:tplc="ED0447A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BA7DE2"/>
    <w:multiLevelType w:val="hybridMultilevel"/>
    <w:tmpl w:val="650C0E9E"/>
    <w:lvl w:ilvl="0" w:tplc="02AE0C5E">
      <w:start w:val="1"/>
      <w:numFmt w:val="decimal"/>
      <w:lvlText w:val="%1."/>
      <w:lvlJc w:val="left"/>
      <w:pPr>
        <w:tabs>
          <w:tab w:val="num" w:pos="1980"/>
        </w:tabs>
        <w:ind w:left="1980" w:hanging="360"/>
      </w:pPr>
      <w:rPr>
        <w:rFonts w:ascii="Cambria" w:hAnsi="Cambria" w:hint="default"/>
        <w:b w:val="0"/>
        <w:sz w:val="2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3DC61D90"/>
    <w:multiLevelType w:val="hybridMultilevel"/>
    <w:tmpl w:val="88B899B8"/>
    <w:lvl w:ilvl="0" w:tplc="C7EC2450">
      <w:start w:val="1"/>
      <w:numFmt w:val="decimal"/>
      <w:lvlText w:val="%1."/>
      <w:lvlJc w:val="left"/>
      <w:pPr>
        <w:tabs>
          <w:tab w:val="num" w:pos="1080"/>
        </w:tabs>
        <w:ind w:left="1080" w:hanging="360"/>
      </w:pPr>
      <w:rPr>
        <w:rFonts w:ascii="Cambria" w:hAnsi="Cambria" w:cs="Times New Roman" w:hint="default"/>
        <w:b w:val="0"/>
        <w:i w:val="0"/>
        <w:sz w:val="20"/>
        <w:szCs w:val="20"/>
        <w:lang w:val="es-CO"/>
      </w:rPr>
    </w:lvl>
    <w:lvl w:ilvl="1" w:tplc="41189D3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1A6212"/>
    <w:multiLevelType w:val="hybridMultilevel"/>
    <w:tmpl w:val="0E28989A"/>
    <w:lvl w:ilvl="0" w:tplc="9A5C2456">
      <w:start w:val="204"/>
      <w:numFmt w:val="decimal"/>
      <w:lvlText w:val="%1."/>
      <w:lvlJc w:val="left"/>
      <w:pPr>
        <w:ind w:left="360" w:hanging="360"/>
      </w:pPr>
      <w:rPr>
        <w:rFonts w:ascii="Cambria" w:hAnsi="Cambria"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D7D4B9D"/>
    <w:multiLevelType w:val="hybridMultilevel"/>
    <w:tmpl w:val="E00CCBDA"/>
    <w:lvl w:ilvl="0" w:tplc="EA4604FE">
      <w:start w:val="1"/>
      <w:numFmt w:val="decimal"/>
      <w:lvlText w:val="%1."/>
      <w:lvlJc w:val="left"/>
      <w:pPr>
        <w:ind w:left="1170" w:hanging="360"/>
      </w:pPr>
      <w:rPr>
        <w:rFonts w:ascii="Cambria" w:hAnsi="Cambri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BE5E6A"/>
    <w:multiLevelType w:val="hybridMultilevel"/>
    <w:tmpl w:val="C9D20C7E"/>
    <w:lvl w:ilvl="0" w:tplc="B47EC36A">
      <w:start w:val="1"/>
      <w:numFmt w:val="decimal"/>
      <w:lvlText w:val="%1."/>
      <w:lvlJc w:val="left"/>
      <w:pPr>
        <w:tabs>
          <w:tab w:val="num" w:pos="720"/>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B4460CA"/>
    <w:multiLevelType w:val="hybridMultilevel"/>
    <w:tmpl w:val="07B85AD8"/>
    <w:lvl w:ilvl="0" w:tplc="67D6E770">
      <w:start w:val="1"/>
      <w:numFmt w:val="decimal"/>
      <w:lvlText w:val="%1."/>
      <w:lvlJc w:val="left"/>
      <w:pPr>
        <w:tabs>
          <w:tab w:val="num" w:pos="720"/>
        </w:tabs>
        <w:ind w:left="720" w:hanging="360"/>
      </w:pPr>
      <w:rPr>
        <w:rFonts w:cs="Calibri"/>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7AFB3831"/>
    <w:multiLevelType w:val="hybridMultilevel"/>
    <w:tmpl w:val="1474E3CC"/>
    <w:lvl w:ilvl="0" w:tplc="5D1A316A">
      <w:start w:val="2"/>
      <w:numFmt w:val="upperLetter"/>
      <w:lvlText w:val="%1."/>
      <w:lvlJc w:val="left"/>
      <w:pPr>
        <w:tabs>
          <w:tab w:val="num" w:pos="1440"/>
        </w:tabs>
        <w:ind w:left="1440" w:hanging="720"/>
      </w:pPr>
    </w:lvl>
    <w:lvl w:ilvl="1" w:tplc="BD42056E">
      <w:start w:val="1"/>
      <w:numFmt w:val="decimal"/>
      <w:lvlText w:val="%2."/>
      <w:lvlJc w:val="left"/>
      <w:pPr>
        <w:tabs>
          <w:tab w:val="num" w:pos="1200"/>
        </w:tabs>
        <w:ind w:left="12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16cid:durableId="1663968277">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5972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5866549">
    <w:abstractNumId w:val="9"/>
  </w:num>
  <w:num w:numId="4" w16cid:durableId="1484200339">
    <w:abstractNumId w:val="7"/>
  </w:num>
  <w:num w:numId="5" w16cid:durableId="1522931762">
    <w:abstractNumId w:val="3"/>
  </w:num>
  <w:num w:numId="6" w16cid:durableId="2011712743">
    <w:abstractNumId w:val="6"/>
  </w:num>
  <w:num w:numId="7" w16cid:durableId="149441974">
    <w:abstractNumId w:val="5"/>
  </w:num>
  <w:num w:numId="8" w16cid:durableId="3749885">
    <w:abstractNumId w:val="2"/>
  </w:num>
  <w:num w:numId="9" w16cid:durableId="897860844">
    <w:abstractNumId w:val="8"/>
  </w:num>
  <w:num w:numId="10" w16cid:durableId="1261180127">
    <w:abstractNumId w:val="1"/>
  </w:num>
  <w:num w:numId="11" w16cid:durableId="1421410754">
    <w:abstractNumId w:val="4"/>
  </w:num>
  <w:num w:numId="12" w16cid:durableId="823011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06"/>
    <w:rsid w:val="000007A2"/>
    <w:rsid w:val="00003368"/>
    <w:rsid w:val="0000596F"/>
    <w:rsid w:val="00005ED3"/>
    <w:rsid w:val="000144C7"/>
    <w:rsid w:val="00017E7A"/>
    <w:rsid w:val="00031EB1"/>
    <w:rsid w:val="00036503"/>
    <w:rsid w:val="000368F8"/>
    <w:rsid w:val="00036FC7"/>
    <w:rsid w:val="000751DF"/>
    <w:rsid w:val="00076DBF"/>
    <w:rsid w:val="00077DE5"/>
    <w:rsid w:val="00077FF7"/>
    <w:rsid w:val="00084078"/>
    <w:rsid w:val="000A28D8"/>
    <w:rsid w:val="000A2C28"/>
    <w:rsid w:val="000A45AD"/>
    <w:rsid w:val="000A4754"/>
    <w:rsid w:val="000A4B14"/>
    <w:rsid w:val="000B1138"/>
    <w:rsid w:val="000B3053"/>
    <w:rsid w:val="000C140C"/>
    <w:rsid w:val="000C5BFC"/>
    <w:rsid w:val="000D164E"/>
    <w:rsid w:val="000D2623"/>
    <w:rsid w:val="000D26A9"/>
    <w:rsid w:val="000D4633"/>
    <w:rsid w:val="000D4AE6"/>
    <w:rsid w:val="000E0F2F"/>
    <w:rsid w:val="000E2431"/>
    <w:rsid w:val="000F23FB"/>
    <w:rsid w:val="000F291B"/>
    <w:rsid w:val="00107B94"/>
    <w:rsid w:val="00111CC1"/>
    <w:rsid w:val="001217D9"/>
    <w:rsid w:val="001254CD"/>
    <w:rsid w:val="00131B3B"/>
    <w:rsid w:val="00134CFC"/>
    <w:rsid w:val="00140652"/>
    <w:rsid w:val="00141387"/>
    <w:rsid w:val="00143EB4"/>
    <w:rsid w:val="0014432C"/>
    <w:rsid w:val="00146EE3"/>
    <w:rsid w:val="0015496C"/>
    <w:rsid w:val="00157476"/>
    <w:rsid w:val="00161B4A"/>
    <w:rsid w:val="00162CE1"/>
    <w:rsid w:val="001648FF"/>
    <w:rsid w:val="00170E12"/>
    <w:rsid w:val="00176C72"/>
    <w:rsid w:val="001770EE"/>
    <w:rsid w:val="001904F6"/>
    <w:rsid w:val="001942E2"/>
    <w:rsid w:val="00196D6F"/>
    <w:rsid w:val="001A7EDF"/>
    <w:rsid w:val="001B08B2"/>
    <w:rsid w:val="001B08F9"/>
    <w:rsid w:val="001C2AED"/>
    <w:rsid w:val="001D0C4D"/>
    <w:rsid w:val="001D5161"/>
    <w:rsid w:val="001E3EC1"/>
    <w:rsid w:val="001E5256"/>
    <w:rsid w:val="001E59D8"/>
    <w:rsid w:val="00206412"/>
    <w:rsid w:val="002219A9"/>
    <w:rsid w:val="00226BCD"/>
    <w:rsid w:val="00234AC6"/>
    <w:rsid w:val="00237ECE"/>
    <w:rsid w:val="002426D8"/>
    <w:rsid w:val="00245F50"/>
    <w:rsid w:val="002507CA"/>
    <w:rsid w:val="002534CD"/>
    <w:rsid w:val="002568CD"/>
    <w:rsid w:val="002754B0"/>
    <w:rsid w:val="0027604A"/>
    <w:rsid w:val="002A19E1"/>
    <w:rsid w:val="002B64DC"/>
    <w:rsid w:val="002C5BA6"/>
    <w:rsid w:val="002D2985"/>
    <w:rsid w:val="002E21B7"/>
    <w:rsid w:val="002E25AD"/>
    <w:rsid w:val="002E48D6"/>
    <w:rsid w:val="002E628E"/>
    <w:rsid w:val="002E780D"/>
    <w:rsid w:val="002F6526"/>
    <w:rsid w:val="0030700B"/>
    <w:rsid w:val="003074F0"/>
    <w:rsid w:val="00312151"/>
    <w:rsid w:val="00316C30"/>
    <w:rsid w:val="00316E75"/>
    <w:rsid w:val="00321C97"/>
    <w:rsid w:val="003254D3"/>
    <w:rsid w:val="00325553"/>
    <w:rsid w:val="003255C4"/>
    <w:rsid w:val="00331129"/>
    <w:rsid w:val="00333497"/>
    <w:rsid w:val="0033372D"/>
    <w:rsid w:val="00336D34"/>
    <w:rsid w:val="003406ED"/>
    <w:rsid w:val="00343EDF"/>
    <w:rsid w:val="00344413"/>
    <w:rsid w:val="0035292C"/>
    <w:rsid w:val="00362BCC"/>
    <w:rsid w:val="00363DA9"/>
    <w:rsid w:val="0036640D"/>
    <w:rsid w:val="003712C9"/>
    <w:rsid w:val="00374F28"/>
    <w:rsid w:val="00377262"/>
    <w:rsid w:val="00387D83"/>
    <w:rsid w:val="003904CF"/>
    <w:rsid w:val="003968A2"/>
    <w:rsid w:val="00397340"/>
    <w:rsid w:val="003A6DEC"/>
    <w:rsid w:val="003A71C5"/>
    <w:rsid w:val="003A7B52"/>
    <w:rsid w:val="003C0E78"/>
    <w:rsid w:val="003C666D"/>
    <w:rsid w:val="003D3F6E"/>
    <w:rsid w:val="003D4DD9"/>
    <w:rsid w:val="003E14A3"/>
    <w:rsid w:val="003F1B9C"/>
    <w:rsid w:val="00403967"/>
    <w:rsid w:val="004051B3"/>
    <w:rsid w:val="00407877"/>
    <w:rsid w:val="004103EC"/>
    <w:rsid w:val="00415488"/>
    <w:rsid w:val="004173F3"/>
    <w:rsid w:val="0042403B"/>
    <w:rsid w:val="00427B8C"/>
    <w:rsid w:val="00452270"/>
    <w:rsid w:val="00456DAA"/>
    <w:rsid w:val="00475C19"/>
    <w:rsid w:val="0047698B"/>
    <w:rsid w:val="004825F5"/>
    <w:rsid w:val="004833F9"/>
    <w:rsid w:val="00491AB8"/>
    <w:rsid w:val="00495F11"/>
    <w:rsid w:val="00496C45"/>
    <w:rsid w:val="004A125E"/>
    <w:rsid w:val="004A2758"/>
    <w:rsid w:val="004C11AF"/>
    <w:rsid w:val="004C5616"/>
    <w:rsid w:val="004D15E1"/>
    <w:rsid w:val="004D3513"/>
    <w:rsid w:val="004D7DF0"/>
    <w:rsid w:val="004D7ECD"/>
    <w:rsid w:val="004D7F1C"/>
    <w:rsid w:val="004E0C4F"/>
    <w:rsid w:val="004E0F5A"/>
    <w:rsid w:val="004E6A6C"/>
    <w:rsid w:val="004F13CD"/>
    <w:rsid w:val="004F3366"/>
    <w:rsid w:val="004F475F"/>
    <w:rsid w:val="004F4E7F"/>
    <w:rsid w:val="004F651D"/>
    <w:rsid w:val="00501326"/>
    <w:rsid w:val="00506DE4"/>
    <w:rsid w:val="00517525"/>
    <w:rsid w:val="005266C2"/>
    <w:rsid w:val="00526C8F"/>
    <w:rsid w:val="00530164"/>
    <w:rsid w:val="005306F3"/>
    <w:rsid w:val="005319E3"/>
    <w:rsid w:val="005334BE"/>
    <w:rsid w:val="00534596"/>
    <w:rsid w:val="005376D9"/>
    <w:rsid w:val="00550822"/>
    <w:rsid w:val="00551DD6"/>
    <w:rsid w:val="005570AA"/>
    <w:rsid w:val="00557B7E"/>
    <w:rsid w:val="00560F49"/>
    <w:rsid w:val="00563E22"/>
    <w:rsid w:val="00563EFC"/>
    <w:rsid w:val="00564608"/>
    <w:rsid w:val="005668C4"/>
    <w:rsid w:val="00572D4F"/>
    <w:rsid w:val="0057349A"/>
    <w:rsid w:val="0057354D"/>
    <w:rsid w:val="0059345A"/>
    <w:rsid w:val="005A4E07"/>
    <w:rsid w:val="005A621F"/>
    <w:rsid w:val="005A7315"/>
    <w:rsid w:val="005A7321"/>
    <w:rsid w:val="005B4F61"/>
    <w:rsid w:val="005B6610"/>
    <w:rsid w:val="005C3329"/>
    <w:rsid w:val="005C5C37"/>
    <w:rsid w:val="005C7C22"/>
    <w:rsid w:val="005C7F13"/>
    <w:rsid w:val="005D2B11"/>
    <w:rsid w:val="005E0E8D"/>
    <w:rsid w:val="005E7AE9"/>
    <w:rsid w:val="005F109F"/>
    <w:rsid w:val="005F3FF9"/>
    <w:rsid w:val="0060615D"/>
    <w:rsid w:val="00607CA5"/>
    <w:rsid w:val="00610219"/>
    <w:rsid w:val="00612A1C"/>
    <w:rsid w:val="00621AE7"/>
    <w:rsid w:val="006238C4"/>
    <w:rsid w:val="006253E4"/>
    <w:rsid w:val="00625C17"/>
    <w:rsid w:val="006312FF"/>
    <w:rsid w:val="006344F2"/>
    <w:rsid w:val="00641E26"/>
    <w:rsid w:val="0065299A"/>
    <w:rsid w:val="00661062"/>
    <w:rsid w:val="006634BE"/>
    <w:rsid w:val="00667753"/>
    <w:rsid w:val="00667D8A"/>
    <w:rsid w:val="00670828"/>
    <w:rsid w:val="006719B9"/>
    <w:rsid w:val="0067240E"/>
    <w:rsid w:val="00676BE6"/>
    <w:rsid w:val="0068167D"/>
    <w:rsid w:val="00681D50"/>
    <w:rsid w:val="00691A97"/>
    <w:rsid w:val="00693CBB"/>
    <w:rsid w:val="00694376"/>
    <w:rsid w:val="006943A7"/>
    <w:rsid w:val="006A0DDA"/>
    <w:rsid w:val="006C3E16"/>
    <w:rsid w:val="006D45B0"/>
    <w:rsid w:val="006D7A02"/>
    <w:rsid w:val="006E2D61"/>
    <w:rsid w:val="006E719E"/>
    <w:rsid w:val="006F46B8"/>
    <w:rsid w:val="006F4B0C"/>
    <w:rsid w:val="006F5300"/>
    <w:rsid w:val="006F539D"/>
    <w:rsid w:val="00705407"/>
    <w:rsid w:val="00707281"/>
    <w:rsid w:val="00726287"/>
    <w:rsid w:val="00730B2B"/>
    <w:rsid w:val="007401E2"/>
    <w:rsid w:val="00740915"/>
    <w:rsid w:val="00743959"/>
    <w:rsid w:val="0074602A"/>
    <w:rsid w:val="00746A42"/>
    <w:rsid w:val="00760005"/>
    <w:rsid w:val="00760449"/>
    <w:rsid w:val="00770267"/>
    <w:rsid w:val="00775598"/>
    <w:rsid w:val="00777515"/>
    <w:rsid w:val="0078142D"/>
    <w:rsid w:val="00782AEB"/>
    <w:rsid w:val="007940B2"/>
    <w:rsid w:val="007943CC"/>
    <w:rsid w:val="00795EEE"/>
    <w:rsid w:val="00796DD9"/>
    <w:rsid w:val="007A20BB"/>
    <w:rsid w:val="007B22B5"/>
    <w:rsid w:val="007B4B93"/>
    <w:rsid w:val="007B7696"/>
    <w:rsid w:val="007C15AB"/>
    <w:rsid w:val="007C42F0"/>
    <w:rsid w:val="007E3EF7"/>
    <w:rsid w:val="0082191F"/>
    <w:rsid w:val="008272F6"/>
    <w:rsid w:val="00837A17"/>
    <w:rsid w:val="0084002E"/>
    <w:rsid w:val="0084069E"/>
    <w:rsid w:val="00847BDC"/>
    <w:rsid w:val="00862AD4"/>
    <w:rsid w:val="00863302"/>
    <w:rsid w:val="00864E93"/>
    <w:rsid w:val="00870457"/>
    <w:rsid w:val="00875385"/>
    <w:rsid w:val="0088196F"/>
    <w:rsid w:val="00883E7F"/>
    <w:rsid w:val="00893093"/>
    <w:rsid w:val="00893594"/>
    <w:rsid w:val="008954DB"/>
    <w:rsid w:val="008A11E8"/>
    <w:rsid w:val="008A143D"/>
    <w:rsid w:val="008A1F21"/>
    <w:rsid w:val="008A39D2"/>
    <w:rsid w:val="008A422D"/>
    <w:rsid w:val="008A6113"/>
    <w:rsid w:val="008B3A73"/>
    <w:rsid w:val="008C0E95"/>
    <w:rsid w:val="008C0ECE"/>
    <w:rsid w:val="008C3C4A"/>
    <w:rsid w:val="008C4C57"/>
    <w:rsid w:val="008C7EBA"/>
    <w:rsid w:val="008D07A3"/>
    <w:rsid w:val="008D5226"/>
    <w:rsid w:val="008D53E2"/>
    <w:rsid w:val="008D72C2"/>
    <w:rsid w:val="008E006A"/>
    <w:rsid w:val="008E30DF"/>
    <w:rsid w:val="008E3768"/>
    <w:rsid w:val="008F34BF"/>
    <w:rsid w:val="008F7152"/>
    <w:rsid w:val="008F7250"/>
    <w:rsid w:val="009025D4"/>
    <w:rsid w:val="00906ADA"/>
    <w:rsid w:val="0090766E"/>
    <w:rsid w:val="00910C01"/>
    <w:rsid w:val="00913F25"/>
    <w:rsid w:val="00914042"/>
    <w:rsid w:val="0092092D"/>
    <w:rsid w:val="00932AD3"/>
    <w:rsid w:val="0093318E"/>
    <w:rsid w:val="00944E4E"/>
    <w:rsid w:val="0095543E"/>
    <w:rsid w:val="00955FC2"/>
    <w:rsid w:val="00961B44"/>
    <w:rsid w:val="00967A6F"/>
    <w:rsid w:val="00970BC7"/>
    <w:rsid w:val="00977A5C"/>
    <w:rsid w:val="0099038C"/>
    <w:rsid w:val="00990F1C"/>
    <w:rsid w:val="009914FA"/>
    <w:rsid w:val="00992286"/>
    <w:rsid w:val="00992F07"/>
    <w:rsid w:val="009A0971"/>
    <w:rsid w:val="009A0E8E"/>
    <w:rsid w:val="009B304C"/>
    <w:rsid w:val="009B333D"/>
    <w:rsid w:val="009C1EB7"/>
    <w:rsid w:val="009C2A34"/>
    <w:rsid w:val="009C6387"/>
    <w:rsid w:val="009E23BD"/>
    <w:rsid w:val="009E2CC2"/>
    <w:rsid w:val="009E2EBC"/>
    <w:rsid w:val="009E3BC0"/>
    <w:rsid w:val="009E433A"/>
    <w:rsid w:val="009F43AA"/>
    <w:rsid w:val="009F4C73"/>
    <w:rsid w:val="009F4F6A"/>
    <w:rsid w:val="009F77AA"/>
    <w:rsid w:val="00A03F38"/>
    <w:rsid w:val="00A04C2F"/>
    <w:rsid w:val="00A06488"/>
    <w:rsid w:val="00A06FAC"/>
    <w:rsid w:val="00A07134"/>
    <w:rsid w:val="00A14FC1"/>
    <w:rsid w:val="00A15067"/>
    <w:rsid w:val="00A15A9A"/>
    <w:rsid w:val="00A2631B"/>
    <w:rsid w:val="00A27809"/>
    <w:rsid w:val="00A36C28"/>
    <w:rsid w:val="00A4186A"/>
    <w:rsid w:val="00A44D63"/>
    <w:rsid w:val="00A500E8"/>
    <w:rsid w:val="00A532CA"/>
    <w:rsid w:val="00A54EEB"/>
    <w:rsid w:val="00A65452"/>
    <w:rsid w:val="00A7442D"/>
    <w:rsid w:val="00A77918"/>
    <w:rsid w:val="00A8561C"/>
    <w:rsid w:val="00A92321"/>
    <w:rsid w:val="00AA119E"/>
    <w:rsid w:val="00AB1A5D"/>
    <w:rsid w:val="00AB43FB"/>
    <w:rsid w:val="00AB70F2"/>
    <w:rsid w:val="00AC403E"/>
    <w:rsid w:val="00AD5E6F"/>
    <w:rsid w:val="00AD5F3D"/>
    <w:rsid w:val="00AD6936"/>
    <w:rsid w:val="00AE314D"/>
    <w:rsid w:val="00AE5935"/>
    <w:rsid w:val="00AE6632"/>
    <w:rsid w:val="00AF2B73"/>
    <w:rsid w:val="00AF4B54"/>
    <w:rsid w:val="00AF5BCC"/>
    <w:rsid w:val="00B012C4"/>
    <w:rsid w:val="00B037A3"/>
    <w:rsid w:val="00B03DD7"/>
    <w:rsid w:val="00B05FFF"/>
    <w:rsid w:val="00B200AD"/>
    <w:rsid w:val="00B2111B"/>
    <w:rsid w:val="00B24A53"/>
    <w:rsid w:val="00B30C05"/>
    <w:rsid w:val="00B4147B"/>
    <w:rsid w:val="00B44AD6"/>
    <w:rsid w:val="00B45B3C"/>
    <w:rsid w:val="00B4628B"/>
    <w:rsid w:val="00B50F49"/>
    <w:rsid w:val="00B53E2D"/>
    <w:rsid w:val="00B67019"/>
    <w:rsid w:val="00B67CD0"/>
    <w:rsid w:val="00B70B7C"/>
    <w:rsid w:val="00B8038E"/>
    <w:rsid w:val="00B82394"/>
    <w:rsid w:val="00B960DF"/>
    <w:rsid w:val="00B96373"/>
    <w:rsid w:val="00B96B34"/>
    <w:rsid w:val="00B97A8F"/>
    <w:rsid w:val="00BB0160"/>
    <w:rsid w:val="00BB136A"/>
    <w:rsid w:val="00BB2038"/>
    <w:rsid w:val="00BB4AB9"/>
    <w:rsid w:val="00BB720B"/>
    <w:rsid w:val="00BD0A96"/>
    <w:rsid w:val="00BD2575"/>
    <w:rsid w:val="00BE21C5"/>
    <w:rsid w:val="00BE3E96"/>
    <w:rsid w:val="00BE50F8"/>
    <w:rsid w:val="00BF207A"/>
    <w:rsid w:val="00BF3C98"/>
    <w:rsid w:val="00C065DF"/>
    <w:rsid w:val="00C22D7B"/>
    <w:rsid w:val="00C23A3B"/>
    <w:rsid w:val="00C24FF7"/>
    <w:rsid w:val="00C250DE"/>
    <w:rsid w:val="00C2673B"/>
    <w:rsid w:val="00C40437"/>
    <w:rsid w:val="00C41393"/>
    <w:rsid w:val="00C427E5"/>
    <w:rsid w:val="00C44075"/>
    <w:rsid w:val="00C44C0E"/>
    <w:rsid w:val="00C459F8"/>
    <w:rsid w:val="00C524EE"/>
    <w:rsid w:val="00C52A3C"/>
    <w:rsid w:val="00C5331A"/>
    <w:rsid w:val="00C615C6"/>
    <w:rsid w:val="00C82F29"/>
    <w:rsid w:val="00C86746"/>
    <w:rsid w:val="00C872C8"/>
    <w:rsid w:val="00CA4D98"/>
    <w:rsid w:val="00CB0139"/>
    <w:rsid w:val="00CB633D"/>
    <w:rsid w:val="00CC5657"/>
    <w:rsid w:val="00CE18E3"/>
    <w:rsid w:val="00CE18ED"/>
    <w:rsid w:val="00CE60A3"/>
    <w:rsid w:val="00CF68B8"/>
    <w:rsid w:val="00D00761"/>
    <w:rsid w:val="00D13A80"/>
    <w:rsid w:val="00D210E4"/>
    <w:rsid w:val="00D30790"/>
    <w:rsid w:val="00D358CC"/>
    <w:rsid w:val="00D35CAA"/>
    <w:rsid w:val="00D40531"/>
    <w:rsid w:val="00D41DD9"/>
    <w:rsid w:val="00D456E1"/>
    <w:rsid w:val="00D458E2"/>
    <w:rsid w:val="00D507B2"/>
    <w:rsid w:val="00D50C53"/>
    <w:rsid w:val="00D523B7"/>
    <w:rsid w:val="00D54583"/>
    <w:rsid w:val="00D55740"/>
    <w:rsid w:val="00D610D9"/>
    <w:rsid w:val="00D618E7"/>
    <w:rsid w:val="00D61BA6"/>
    <w:rsid w:val="00D62748"/>
    <w:rsid w:val="00D66EC6"/>
    <w:rsid w:val="00D73B7B"/>
    <w:rsid w:val="00D7730D"/>
    <w:rsid w:val="00D805B3"/>
    <w:rsid w:val="00D8378B"/>
    <w:rsid w:val="00D902D7"/>
    <w:rsid w:val="00D96806"/>
    <w:rsid w:val="00DA4425"/>
    <w:rsid w:val="00DB03F6"/>
    <w:rsid w:val="00DB2DE0"/>
    <w:rsid w:val="00DB56E1"/>
    <w:rsid w:val="00DB5E85"/>
    <w:rsid w:val="00DD3DD5"/>
    <w:rsid w:val="00DD466A"/>
    <w:rsid w:val="00DE0E68"/>
    <w:rsid w:val="00DE2CA0"/>
    <w:rsid w:val="00DE7134"/>
    <w:rsid w:val="00DF3621"/>
    <w:rsid w:val="00DF3B7F"/>
    <w:rsid w:val="00DF46F3"/>
    <w:rsid w:val="00DF4A93"/>
    <w:rsid w:val="00DF7DE3"/>
    <w:rsid w:val="00E073FA"/>
    <w:rsid w:val="00E0780E"/>
    <w:rsid w:val="00E12B66"/>
    <w:rsid w:val="00E13F5D"/>
    <w:rsid w:val="00E16ED1"/>
    <w:rsid w:val="00E17733"/>
    <w:rsid w:val="00E21E08"/>
    <w:rsid w:val="00E23506"/>
    <w:rsid w:val="00E25B3F"/>
    <w:rsid w:val="00E26906"/>
    <w:rsid w:val="00E26CD9"/>
    <w:rsid w:val="00E31CFC"/>
    <w:rsid w:val="00E35D60"/>
    <w:rsid w:val="00E405C0"/>
    <w:rsid w:val="00E42DEF"/>
    <w:rsid w:val="00E528B0"/>
    <w:rsid w:val="00E53438"/>
    <w:rsid w:val="00E5346E"/>
    <w:rsid w:val="00E54A1A"/>
    <w:rsid w:val="00E6263B"/>
    <w:rsid w:val="00E6441F"/>
    <w:rsid w:val="00E67F09"/>
    <w:rsid w:val="00E7198B"/>
    <w:rsid w:val="00E72BD1"/>
    <w:rsid w:val="00E828A3"/>
    <w:rsid w:val="00E83947"/>
    <w:rsid w:val="00E85ECE"/>
    <w:rsid w:val="00E91281"/>
    <w:rsid w:val="00E939BD"/>
    <w:rsid w:val="00EA0751"/>
    <w:rsid w:val="00EB3332"/>
    <w:rsid w:val="00EC468B"/>
    <w:rsid w:val="00EC655F"/>
    <w:rsid w:val="00ED588B"/>
    <w:rsid w:val="00ED764A"/>
    <w:rsid w:val="00EE2E5E"/>
    <w:rsid w:val="00EE5095"/>
    <w:rsid w:val="00EF2CA7"/>
    <w:rsid w:val="00EF3DD1"/>
    <w:rsid w:val="00F07EE5"/>
    <w:rsid w:val="00F11C02"/>
    <w:rsid w:val="00F25856"/>
    <w:rsid w:val="00F306AF"/>
    <w:rsid w:val="00F353B3"/>
    <w:rsid w:val="00F35BB1"/>
    <w:rsid w:val="00F4501D"/>
    <w:rsid w:val="00F467D0"/>
    <w:rsid w:val="00F47068"/>
    <w:rsid w:val="00F5130E"/>
    <w:rsid w:val="00F51BAF"/>
    <w:rsid w:val="00F5749D"/>
    <w:rsid w:val="00F616AB"/>
    <w:rsid w:val="00F70939"/>
    <w:rsid w:val="00F73473"/>
    <w:rsid w:val="00F759EB"/>
    <w:rsid w:val="00F75B73"/>
    <w:rsid w:val="00F808A9"/>
    <w:rsid w:val="00F827AC"/>
    <w:rsid w:val="00F84A74"/>
    <w:rsid w:val="00F84B4C"/>
    <w:rsid w:val="00F86E94"/>
    <w:rsid w:val="00F8734F"/>
    <w:rsid w:val="00F969DE"/>
    <w:rsid w:val="00FA5645"/>
    <w:rsid w:val="00FA576A"/>
    <w:rsid w:val="00FA6C97"/>
    <w:rsid w:val="00FB0B22"/>
    <w:rsid w:val="00FB0B99"/>
    <w:rsid w:val="00FB23F4"/>
    <w:rsid w:val="00FC0A74"/>
    <w:rsid w:val="00FC221D"/>
    <w:rsid w:val="00FC32E3"/>
    <w:rsid w:val="00FD64D1"/>
    <w:rsid w:val="00FD7341"/>
    <w:rsid w:val="00FE0B39"/>
    <w:rsid w:val="00FF149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CCDC9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3DE"/>
    <w:pPr>
      <w:spacing w:after="200" w:line="276" w:lineRule="auto"/>
    </w:pPr>
    <w:rPr>
      <w:rFonts w:ascii="Calibri" w:eastAsia="Calibri" w:hAnsi="Calibri"/>
      <w:sz w:val="22"/>
      <w:szCs w:val="22"/>
      <w:lang w:val="en-US" w:eastAsia="en-US"/>
    </w:rPr>
  </w:style>
  <w:style w:type="paragraph" w:styleId="Ttulo1">
    <w:name w:val="heading 1"/>
    <w:basedOn w:val="Normal"/>
    <w:next w:val="Normal"/>
    <w:link w:val="Ttulo1Car"/>
    <w:uiPriority w:val="9"/>
    <w:qFormat/>
    <w:rsid w:val="00E26CD9"/>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aliases w:val="encabezado"/>
    <w:basedOn w:val="Normal"/>
    <w:link w:val="EncabezadoCar"/>
    <w:unhideWhenUsed/>
    <w:rsid w:val="005A53DE"/>
    <w:pPr>
      <w:tabs>
        <w:tab w:val="center" w:pos="4680"/>
        <w:tab w:val="right" w:pos="9360"/>
      </w:tabs>
      <w:spacing w:after="0" w:line="240" w:lineRule="auto"/>
    </w:pPr>
  </w:style>
  <w:style w:type="paragraph" w:styleId="Piedepgina">
    <w:name w:val="footer"/>
    <w:basedOn w:val="Normal"/>
    <w:unhideWhenUsed/>
    <w:rsid w:val="005A53DE"/>
    <w:pPr>
      <w:tabs>
        <w:tab w:val="center" w:pos="4680"/>
        <w:tab w:val="right" w:pos="9360"/>
      </w:tabs>
      <w:spacing w:after="0" w:line="240" w:lineRule="auto"/>
    </w:pPr>
  </w:style>
  <w:style w:type="paragraph" w:customStyle="1" w:styleId="Default">
    <w:name w:val="Default"/>
    <w:rsid w:val="005A53DE"/>
    <w:pPr>
      <w:autoSpaceDE w:val="0"/>
      <w:autoSpaceDN w:val="0"/>
      <w:adjustRightInd w:val="0"/>
    </w:pPr>
    <w:rPr>
      <w:rFonts w:ascii="Arial" w:hAnsi="Arial" w:cs="Arial"/>
      <w:color w:val="000000"/>
      <w:sz w:val="24"/>
      <w:szCs w:val="24"/>
      <w:lang w:val="en-US" w:eastAsia="en-US"/>
    </w:rPr>
  </w:style>
  <w:style w:type="character" w:styleId="Hipervnculo">
    <w:name w:val="Hyperlink"/>
    <w:rsid w:val="005A53DE"/>
    <w:rPr>
      <w:color w:val="0000FF"/>
      <w:u w:val="single"/>
    </w:rPr>
  </w:style>
  <w:style w:type="paragraph" w:styleId="Textoindependiente">
    <w:name w:val="Body Text"/>
    <w:basedOn w:val="Normal"/>
    <w:semiHidden/>
    <w:unhideWhenUsed/>
    <w:rsid w:val="005A53DE"/>
    <w:pPr>
      <w:spacing w:after="120"/>
    </w:pPr>
  </w:style>
  <w:style w:type="paragraph" w:styleId="Textodeglobo">
    <w:name w:val="Balloon Text"/>
    <w:basedOn w:val="Normal"/>
    <w:link w:val="TextodegloboCar"/>
    <w:uiPriority w:val="99"/>
    <w:semiHidden/>
    <w:unhideWhenUsed/>
    <w:rsid w:val="0060615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0615D"/>
    <w:rPr>
      <w:rFonts w:ascii="Tahoma" w:eastAsia="Calibri" w:hAnsi="Tahoma" w:cs="Tahoma"/>
      <w:sz w:val="16"/>
      <w:szCs w:val="16"/>
    </w:rPr>
  </w:style>
  <w:style w:type="paragraph" w:styleId="Prrafodelista">
    <w:name w:val="List Paragraph"/>
    <w:aliases w:val="Párrafo de lista1,List Paragraph1,Colorful List - Accent 11,List Paragraph11,List Paragraph2,Lista vistosa - Énfasis 11,Medium Grid 1 - Accent 21,Colorful List - Accent 12"/>
    <w:link w:val="PrrafodelistaCar"/>
    <w:uiPriority w:val="99"/>
    <w:qFormat/>
    <w:rsid w:val="00B24A53"/>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customStyle="1" w:styleId="PrrafodelistaCar">
    <w:name w:val="Párrafo de lista Car"/>
    <w:aliases w:val="Párrafo de lista1 Car,List Paragraph1 Car,Colorful List - Accent 11 Car,List Paragraph11 Car,List Paragraph2 Car,Lista vistosa - Énfasis 11 Car,Medium Grid 1 - Accent 21 Car,Colorful List - Accent 12 Car"/>
    <w:link w:val="Prrafodelista"/>
    <w:uiPriority w:val="99"/>
    <w:locked/>
    <w:rsid w:val="00B24A53"/>
    <w:rPr>
      <w:rFonts w:ascii="Cambria" w:eastAsia="Cambria" w:hAnsi="Cambria" w:cs="Cambria"/>
      <w:color w:val="000000"/>
      <w:sz w:val="24"/>
      <w:szCs w:val="24"/>
      <w:u w:color="000000"/>
      <w:bdr w:val="nil"/>
      <w:lang w:eastAsia="es-ES"/>
    </w:rPr>
  </w:style>
  <w:style w:type="character" w:styleId="Refdecomentario">
    <w:name w:val="annotation reference"/>
    <w:uiPriority w:val="99"/>
    <w:semiHidden/>
    <w:unhideWhenUsed/>
    <w:rsid w:val="00DF7DE3"/>
    <w:rPr>
      <w:sz w:val="16"/>
      <w:szCs w:val="16"/>
    </w:rPr>
  </w:style>
  <w:style w:type="paragraph" w:styleId="Textocomentario">
    <w:name w:val="annotation text"/>
    <w:basedOn w:val="Normal"/>
    <w:link w:val="TextocomentarioCar"/>
    <w:uiPriority w:val="99"/>
    <w:semiHidden/>
    <w:unhideWhenUsed/>
    <w:rsid w:val="00DF7DE3"/>
    <w:rPr>
      <w:sz w:val="20"/>
      <w:szCs w:val="20"/>
    </w:rPr>
  </w:style>
  <w:style w:type="character" w:customStyle="1" w:styleId="TextocomentarioCar">
    <w:name w:val="Texto comentario Car"/>
    <w:link w:val="Textocomentario"/>
    <w:uiPriority w:val="99"/>
    <w:semiHidden/>
    <w:rsid w:val="00DF7DE3"/>
    <w:rPr>
      <w:rFonts w:ascii="Calibri" w:eastAsia="Calibri" w:hAnsi="Calibri"/>
    </w:rPr>
  </w:style>
  <w:style w:type="paragraph" w:styleId="Asuntodelcomentario">
    <w:name w:val="annotation subject"/>
    <w:basedOn w:val="Textocomentario"/>
    <w:next w:val="Textocomentario"/>
    <w:link w:val="AsuntodelcomentarioCar"/>
    <w:uiPriority w:val="99"/>
    <w:semiHidden/>
    <w:unhideWhenUsed/>
    <w:rsid w:val="00DF7DE3"/>
    <w:rPr>
      <w:b/>
      <w:bCs/>
    </w:rPr>
  </w:style>
  <w:style w:type="character" w:customStyle="1" w:styleId="AsuntodelcomentarioCar">
    <w:name w:val="Asunto del comentario Car"/>
    <w:link w:val="Asuntodelcomentario"/>
    <w:uiPriority w:val="99"/>
    <w:semiHidden/>
    <w:rsid w:val="00DF7DE3"/>
    <w:rPr>
      <w:rFonts w:ascii="Calibri" w:eastAsia="Calibri" w:hAnsi="Calibri"/>
      <w:b/>
      <w:bCs/>
    </w:rPr>
  </w:style>
  <w:style w:type="paragraph" w:styleId="NormalWeb">
    <w:name w:val="Normal (Web)"/>
    <w:basedOn w:val="Normal"/>
    <w:uiPriority w:val="99"/>
    <w:semiHidden/>
    <w:unhideWhenUsed/>
    <w:rsid w:val="004C11AF"/>
    <w:pPr>
      <w:spacing w:before="100" w:beforeAutospacing="1" w:after="100" w:afterAutospacing="1" w:line="240" w:lineRule="auto"/>
    </w:pPr>
    <w:rPr>
      <w:rFonts w:ascii="Times New Roman" w:hAnsi="Times New Roman"/>
      <w:sz w:val="24"/>
      <w:szCs w:val="24"/>
    </w:rPr>
  </w:style>
  <w:style w:type="paragraph" w:styleId="Sangradetextonormal">
    <w:name w:val="Body Text Indent"/>
    <w:basedOn w:val="Normal"/>
    <w:link w:val="SangradetextonormalCar"/>
    <w:uiPriority w:val="99"/>
    <w:unhideWhenUsed/>
    <w:rsid w:val="00A54EEB"/>
    <w:pPr>
      <w:spacing w:after="120"/>
      <w:ind w:left="360"/>
    </w:pPr>
  </w:style>
  <w:style w:type="character" w:customStyle="1" w:styleId="SangradetextonormalCar">
    <w:name w:val="Sangría de texto normal Car"/>
    <w:link w:val="Sangradetextonormal"/>
    <w:uiPriority w:val="99"/>
    <w:rsid w:val="00A54EEB"/>
    <w:rPr>
      <w:rFonts w:ascii="Calibri" w:eastAsia="Calibri" w:hAnsi="Calibri"/>
      <w:sz w:val="22"/>
      <w:szCs w:val="22"/>
    </w:rPr>
  </w:style>
  <w:style w:type="paragraph" w:customStyle="1" w:styleId="parrafos">
    <w:name w:val="parrafos"/>
    <w:basedOn w:val="Normal"/>
    <w:link w:val="parrafosChar"/>
    <w:qFormat/>
    <w:rsid w:val="00E26CD9"/>
    <w:pPr>
      <w:spacing w:after="0" w:line="240" w:lineRule="auto"/>
      <w:jc w:val="both"/>
    </w:pPr>
    <w:rPr>
      <w:rFonts w:ascii="Cambria" w:eastAsia="Arial Unicode MS" w:hAnsi="Cambria"/>
      <w:color w:val="000000"/>
      <w:sz w:val="20"/>
      <w:szCs w:val="20"/>
      <w:bdr w:val="nil"/>
      <w:lang w:val="es-VE"/>
    </w:rPr>
  </w:style>
  <w:style w:type="character" w:customStyle="1" w:styleId="parrafosChar">
    <w:name w:val="parrafos Char"/>
    <w:link w:val="parrafos"/>
    <w:rsid w:val="00E26CD9"/>
    <w:rPr>
      <w:rFonts w:ascii="Cambria" w:eastAsia="Arial Unicode MS" w:hAnsi="Cambria"/>
      <w:color w:val="000000"/>
      <w:bdr w:val="nil"/>
      <w:lang w:val="es-VE"/>
    </w:rPr>
  </w:style>
  <w:style w:type="character" w:customStyle="1" w:styleId="Ttulo1Car">
    <w:name w:val="Título 1 Car"/>
    <w:link w:val="Ttulo1"/>
    <w:uiPriority w:val="9"/>
    <w:rsid w:val="00E26CD9"/>
    <w:rPr>
      <w:rFonts w:ascii="Calibri Light" w:eastAsia="Times New Roman" w:hAnsi="Calibri Light" w:cs="Times New Roman"/>
      <w:b/>
      <w:bCs/>
      <w:kern w:val="32"/>
      <w:sz w:val="32"/>
      <w:szCs w:val="32"/>
    </w:rPr>
  </w:style>
  <w:style w:type="paragraph" w:styleId="TtuloTDC">
    <w:name w:val="TOC Heading"/>
    <w:basedOn w:val="Ttulo1"/>
    <w:next w:val="Normal"/>
    <w:uiPriority w:val="39"/>
    <w:unhideWhenUsed/>
    <w:qFormat/>
    <w:rsid w:val="00E26CD9"/>
    <w:pPr>
      <w:keepLines/>
      <w:spacing w:before="480" w:after="0"/>
      <w:outlineLvl w:val="9"/>
    </w:pPr>
    <w:rPr>
      <w:rFonts w:ascii="Cambria" w:eastAsia="MS Gothic" w:hAnsi="Cambria"/>
      <w:color w:val="365F91"/>
      <w:kern w:val="0"/>
      <w:sz w:val="28"/>
      <w:szCs w:val="28"/>
      <w:lang w:eastAsia="ja-JP"/>
    </w:rPr>
  </w:style>
  <w:style w:type="character" w:styleId="Textoennegrita">
    <w:name w:val="Strong"/>
    <w:uiPriority w:val="22"/>
    <w:qFormat/>
    <w:rsid w:val="00036FC7"/>
    <w:rPr>
      <w:b/>
      <w:bCs/>
    </w:rPr>
  </w:style>
  <w:style w:type="character" w:customStyle="1" w:styleId="EncabezadoCar">
    <w:name w:val="Encabezado Car"/>
    <w:aliases w:val="encabezado Car"/>
    <w:link w:val="Encabezado"/>
    <w:rsid w:val="00475C19"/>
    <w:rPr>
      <w:rFonts w:ascii="Calibri" w:eastAsia="Calibri" w:hAnsi="Calibri"/>
      <w:sz w:val="22"/>
      <w:szCs w:val="22"/>
    </w:rPr>
  </w:style>
  <w:style w:type="character" w:styleId="Mencinsinresolver">
    <w:name w:val="Unresolved Mention"/>
    <w:uiPriority w:val="99"/>
    <w:semiHidden/>
    <w:unhideWhenUsed/>
    <w:rsid w:val="00CA4D98"/>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qFormat/>
    <w:rsid w:val="00913F25"/>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rsid w:val="00913F25"/>
    <w:rPr>
      <w:rFonts w:ascii="Calibri" w:eastAsia="Calibri" w:hAnsi="Calibri" w:cs="Calibri"/>
      <w:color w:val="000000"/>
      <w:u w:color="000000"/>
      <w:bdr w:val="nil"/>
      <w:lang w:eastAsia="es-E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Footnote Reference Ch"/>
    <w:link w:val="FootnotesrefssChar1Char"/>
    <w:unhideWhenUsed/>
    <w:qFormat/>
    <w:rsid w:val="00913F25"/>
    <w:rPr>
      <w:vertAlign w:val="superscript"/>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913F25"/>
    <w:pPr>
      <w:spacing w:after="160" w:line="240" w:lineRule="exact"/>
    </w:pPr>
    <w:rPr>
      <w:rFonts w:ascii="Times New Roman" w:eastAsia="Times New Roman" w:hAnsi="Times New Roman"/>
      <w:sz w:val="20"/>
      <w:szCs w:val="20"/>
      <w:vertAlign w:val="superscript"/>
    </w:rPr>
  </w:style>
  <w:style w:type="paragraph" w:customStyle="1" w:styleId="p1">
    <w:name w:val="p1"/>
    <w:basedOn w:val="Normal"/>
    <w:rsid w:val="00913F25"/>
    <w:pPr>
      <w:spacing w:after="0" w:line="240" w:lineRule="auto"/>
    </w:pPr>
    <w:rPr>
      <w:rFonts w:ascii="Verdana" w:eastAsia="Arial Unicode MS" w:hAnsi="Verdana"/>
      <w:sz w:val="15"/>
      <w:szCs w:val="15"/>
    </w:rPr>
  </w:style>
  <w:style w:type="paragraph" w:styleId="Textoindependiente3">
    <w:name w:val="Body Text 3"/>
    <w:basedOn w:val="Normal"/>
    <w:link w:val="Textoindependiente3Car"/>
    <w:uiPriority w:val="99"/>
    <w:semiHidden/>
    <w:unhideWhenUsed/>
    <w:rsid w:val="003074F0"/>
    <w:pPr>
      <w:spacing w:after="120"/>
    </w:pPr>
    <w:rPr>
      <w:sz w:val="16"/>
      <w:szCs w:val="16"/>
    </w:rPr>
  </w:style>
  <w:style w:type="character" w:customStyle="1" w:styleId="Textoindependiente3Car">
    <w:name w:val="Texto independiente 3 Car"/>
    <w:link w:val="Textoindependiente3"/>
    <w:uiPriority w:val="99"/>
    <w:semiHidden/>
    <w:rsid w:val="003074F0"/>
    <w:rPr>
      <w:rFonts w:ascii="Calibri" w:eastAsia="Calibri" w:hAnsi="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228618">
      <w:bodyDiv w:val="1"/>
      <w:marLeft w:val="0"/>
      <w:marRight w:val="0"/>
      <w:marTop w:val="0"/>
      <w:marBottom w:val="0"/>
      <w:divBdr>
        <w:top w:val="none" w:sz="0" w:space="0" w:color="auto"/>
        <w:left w:val="none" w:sz="0" w:space="0" w:color="auto"/>
        <w:bottom w:val="none" w:sz="0" w:space="0" w:color="auto"/>
        <w:right w:val="none" w:sz="0" w:space="0" w:color="auto"/>
      </w:divBdr>
    </w:div>
    <w:div w:id="843789377">
      <w:bodyDiv w:val="1"/>
      <w:marLeft w:val="0"/>
      <w:marRight w:val="0"/>
      <w:marTop w:val="0"/>
      <w:marBottom w:val="0"/>
      <w:divBdr>
        <w:top w:val="none" w:sz="0" w:space="0" w:color="auto"/>
        <w:left w:val="none" w:sz="0" w:space="0" w:color="auto"/>
        <w:bottom w:val="none" w:sz="0" w:space="0" w:color="auto"/>
        <w:right w:val="none" w:sz="0" w:space="0" w:color="auto"/>
      </w:divBdr>
    </w:div>
    <w:div w:id="931162599">
      <w:bodyDiv w:val="1"/>
      <w:marLeft w:val="0"/>
      <w:marRight w:val="0"/>
      <w:marTop w:val="0"/>
      <w:marBottom w:val="0"/>
      <w:divBdr>
        <w:top w:val="none" w:sz="0" w:space="0" w:color="auto"/>
        <w:left w:val="none" w:sz="0" w:space="0" w:color="auto"/>
        <w:bottom w:val="none" w:sz="0" w:space="0" w:color="auto"/>
        <w:right w:val="none" w:sz="0" w:space="0" w:color="auto"/>
      </w:divBdr>
    </w:div>
    <w:div w:id="992294406">
      <w:bodyDiv w:val="1"/>
      <w:marLeft w:val="0"/>
      <w:marRight w:val="0"/>
      <w:marTop w:val="0"/>
      <w:marBottom w:val="0"/>
      <w:divBdr>
        <w:top w:val="none" w:sz="0" w:space="0" w:color="auto"/>
        <w:left w:val="none" w:sz="0" w:space="0" w:color="auto"/>
        <w:bottom w:val="none" w:sz="0" w:space="0" w:color="auto"/>
        <w:right w:val="none" w:sz="0" w:space="0" w:color="auto"/>
      </w:divBdr>
    </w:div>
    <w:div w:id="1474252416">
      <w:bodyDiv w:val="1"/>
      <w:marLeft w:val="0"/>
      <w:marRight w:val="0"/>
      <w:marTop w:val="0"/>
      <w:marBottom w:val="0"/>
      <w:divBdr>
        <w:top w:val="none" w:sz="0" w:space="0" w:color="auto"/>
        <w:left w:val="none" w:sz="0" w:space="0" w:color="auto"/>
        <w:bottom w:val="none" w:sz="0" w:space="0" w:color="auto"/>
        <w:right w:val="none" w:sz="0" w:space="0" w:color="auto"/>
      </w:divBdr>
    </w:div>
    <w:div w:id="1529416678">
      <w:bodyDiv w:val="1"/>
      <w:marLeft w:val="0"/>
      <w:marRight w:val="0"/>
      <w:marTop w:val="0"/>
      <w:marBottom w:val="0"/>
      <w:divBdr>
        <w:top w:val="none" w:sz="0" w:space="0" w:color="auto"/>
        <w:left w:val="none" w:sz="0" w:space="0" w:color="auto"/>
        <w:bottom w:val="none" w:sz="0" w:space="0" w:color="auto"/>
        <w:right w:val="none" w:sz="0" w:space="0" w:color="auto"/>
      </w:divBdr>
    </w:div>
    <w:div w:id="20862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589DCDDB8A16B44BDC2A7128ECAC845" ma:contentTypeVersion="13" ma:contentTypeDescription="Create a new document." ma:contentTypeScope="" ma:versionID="576f7d155c2f194fbc08dd29dd5bd01c">
  <xsd:schema xmlns:xsd="http://www.w3.org/2001/XMLSchema" xmlns:xs="http://www.w3.org/2001/XMLSchema" xmlns:p="http://schemas.microsoft.com/office/2006/metadata/properties" xmlns:ns2="7ff2a89a-f9c3-4229-b04b-1f4abb2786a1" xmlns:ns3="730f74aa-8393-4aa5-b2f8-3c7aae566a68" targetNamespace="http://schemas.microsoft.com/office/2006/metadata/properties" ma:root="true" ma:fieldsID="74e2f7944343de88d9341c5d439af048" ns2:_="" ns3:_="">
    <xsd:import namespace="7ff2a89a-f9c3-4229-b04b-1f4abb2786a1"/>
    <xsd:import namespace="730f74aa-8393-4aa5-b2f8-3c7aae566a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2a89a-f9c3-4229-b04b-1f4abb278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0f74aa-8393-4aa5-b2f8-3c7aae566a6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329125-CF49-4A80-824E-A25FE1AF91F6}">
  <ds:schemaRefs>
    <ds:schemaRef ds:uri="http://schemas.microsoft.com/office/2006/metadata/longProperties"/>
  </ds:schemaRefs>
</ds:datastoreItem>
</file>

<file path=customXml/itemProps2.xml><?xml version="1.0" encoding="utf-8"?>
<ds:datastoreItem xmlns:ds="http://schemas.openxmlformats.org/officeDocument/2006/customXml" ds:itemID="{95E9FE38-3197-49B7-AB31-FF6E0BC7BD83}">
  <ds:schemaRefs>
    <ds:schemaRef ds:uri="http://schemas.openxmlformats.org/officeDocument/2006/bibliography"/>
  </ds:schemaRefs>
</ds:datastoreItem>
</file>

<file path=customXml/itemProps3.xml><?xml version="1.0" encoding="utf-8"?>
<ds:datastoreItem xmlns:ds="http://schemas.openxmlformats.org/officeDocument/2006/customXml" ds:itemID="{C7087ECB-B6C8-4B2D-80BA-51603DE71D6D}">
  <ds:schemaRefs>
    <ds:schemaRef ds:uri="http://schemas.microsoft.com/sharepoint/v3/contenttype/forms"/>
  </ds:schemaRefs>
</ds:datastoreItem>
</file>

<file path=customXml/itemProps4.xml><?xml version="1.0" encoding="utf-8"?>
<ds:datastoreItem xmlns:ds="http://schemas.openxmlformats.org/officeDocument/2006/customXml" ds:itemID="{1F957DDA-7FEF-4CE3-8454-1635447B3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2a89a-f9c3-4229-b04b-1f4abb2786a1"/>
    <ds:schemaRef ds:uri="730f74aa-8393-4aa5-b2f8-3c7aae566a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789FB4-7037-4072-A6AB-90C4DAF388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1085</Words>
  <Characters>5971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2022-10-15T14:16:00Z</dcterms:created>
  <dcterms:modified xsi:type="dcterms:W3CDTF">2022-10-15T14:16:00Z</dcterms:modified>
</cp:coreProperties>
</file>