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6E251" w14:textId="77777777" w:rsidR="00FA4A9F" w:rsidRPr="00651637" w:rsidRDefault="006E0C8D" w:rsidP="004E08BA">
      <w:pPr>
        <w:tabs>
          <w:tab w:val="center" w:pos="5400"/>
        </w:tabs>
        <w:suppressAutoHyphens/>
        <w:jc w:val="center"/>
        <w:rPr>
          <w:rFonts w:ascii="Cambria" w:hAnsi="Cambria"/>
          <w:b/>
          <w:sz w:val="18"/>
          <w:szCs w:val="20"/>
          <w:lang w:val="es-ES"/>
        </w:rPr>
      </w:pPr>
      <w:r>
        <w:rPr>
          <w:rFonts w:ascii="Cambria" w:hAnsi="Cambria"/>
          <w:b/>
          <w:sz w:val="18"/>
          <w:szCs w:val="20"/>
          <w:lang w:val="es-ES"/>
        </w:rPr>
        <w:t>INFORME No. 60</w:t>
      </w:r>
      <w:r w:rsidR="00FA4A9F" w:rsidRPr="00651637">
        <w:rPr>
          <w:rFonts w:ascii="Cambria" w:hAnsi="Cambria"/>
          <w:b/>
          <w:sz w:val="18"/>
          <w:szCs w:val="20"/>
          <w:lang w:val="es-ES"/>
        </w:rPr>
        <w:t>/</w:t>
      </w:r>
      <w:r w:rsidR="005F3F52" w:rsidRPr="00651637">
        <w:rPr>
          <w:rFonts w:ascii="Cambria" w:hAnsi="Cambria"/>
          <w:b/>
          <w:sz w:val="18"/>
          <w:szCs w:val="20"/>
          <w:lang w:val="es-ES"/>
        </w:rPr>
        <w:t>19</w:t>
      </w:r>
    </w:p>
    <w:p w14:paraId="24752B1F" w14:textId="77777777" w:rsidR="00FA4A9F" w:rsidRPr="00651637" w:rsidRDefault="00FA4A9F" w:rsidP="004E08BA">
      <w:pPr>
        <w:tabs>
          <w:tab w:val="center" w:pos="5400"/>
        </w:tabs>
        <w:suppressAutoHyphens/>
        <w:jc w:val="center"/>
        <w:rPr>
          <w:rFonts w:ascii="Cambria" w:hAnsi="Cambria"/>
          <w:b/>
          <w:sz w:val="18"/>
          <w:szCs w:val="20"/>
          <w:lang w:val="es-ES"/>
        </w:rPr>
      </w:pPr>
      <w:r w:rsidRPr="00651637">
        <w:rPr>
          <w:rFonts w:ascii="Cambria" w:hAnsi="Cambria"/>
          <w:b/>
          <w:sz w:val="18"/>
          <w:szCs w:val="20"/>
          <w:lang w:val="es-ES"/>
        </w:rPr>
        <w:t>CASO 12.744</w:t>
      </w:r>
    </w:p>
    <w:p w14:paraId="3E041B1B" w14:textId="77777777" w:rsidR="00FA4A9F" w:rsidRPr="00651637" w:rsidRDefault="00FA4A9F" w:rsidP="004E08BA">
      <w:pPr>
        <w:tabs>
          <w:tab w:val="center" w:pos="5400"/>
        </w:tabs>
        <w:suppressAutoHyphens/>
        <w:jc w:val="center"/>
        <w:rPr>
          <w:rFonts w:ascii="Cambria" w:hAnsi="Cambria"/>
          <w:sz w:val="18"/>
          <w:szCs w:val="20"/>
          <w:lang w:val="es-ES"/>
        </w:rPr>
      </w:pPr>
      <w:r w:rsidRPr="00651637">
        <w:rPr>
          <w:rFonts w:ascii="Cambria" w:hAnsi="Cambria"/>
          <w:sz w:val="18"/>
          <w:szCs w:val="20"/>
          <w:lang w:val="es-ES"/>
        </w:rPr>
        <w:t>FONDO</w:t>
      </w:r>
    </w:p>
    <w:p w14:paraId="3E90A24A" w14:textId="77777777" w:rsidR="00FA4A9F" w:rsidRPr="00651637" w:rsidRDefault="00FA4A9F" w:rsidP="004E08BA">
      <w:pPr>
        <w:tabs>
          <w:tab w:val="center" w:pos="5400"/>
        </w:tabs>
        <w:suppressAutoHyphens/>
        <w:jc w:val="center"/>
        <w:rPr>
          <w:rFonts w:ascii="Cambria" w:hAnsi="Cambria"/>
          <w:sz w:val="18"/>
          <w:szCs w:val="20"/>
          <w:lang w:val="es-ES"/>
        </w:rPr>
      </w:pPr>
      <w:r w:rsidRPr="00651637">
        <w:rPr>
          <w:rFonts w:ascii="Cambria" w:hAnsi="Cambria"/>
          <w:sz w:val="18"/>
          <w:szCs w:val="20"/>
          <w:lang w:val="es-ES"/>
        </w:rPr>
        <w:t xml:space="preserve">FREDY MARCELO NUÑEZ </w:t>
      </w:r>
      <w:r w:rsidR="008C0671" w:rsidRPr="00651637">
        <w:rPr>
          <w:rFonts w:ascii="Cambria" w:hAnsi="Cambria"/>
          <w:sz w:val="18"/>
          <w:szCs w:val="20"/>
          <w:lang w:val="es-ES"/>
        </w:rPr>
        <w:t xml:space="preserve">NARANJO </w:t>
      </w:r>
      <w:r w:rsidRPr="00651637">
        <w:rPr>
          <w:rFonts w:ascii="Cambria" w:hAnsi="Cambria"/>
          <w:sz w:val="18"/>
          <w:szCs w:val="20"/>
          <w:lang w:val="es-ES"/>
        </w:rPr>
        <w:t>Y OTROS</w:t>
      </w:r>
    </w:p>
    <w:p w14:paraId="4DAED5A9" w14:textId="77777777" w:rsidR="00FA4A9F" w:rsidRPr="00651637" w:rsidRDefault="00FA4A9F" w:rsidP="004E08BA">
      <w:pPr>
        <w:tabs>
          <w:tab w:val="center" w:pos="5400"/>
        </w:tabs>
        <w:suppressAutoHyphens/>
        <w:jc w:val="center"/>
        <w:rPr>
          <w:rFonts w:ascii="Cambria" w:hAnsi="Cambria"/>
          <w:sz w:val="18"/>
          <w:szCs w:val="20"/>
          <w:lang w:val="es-ES"/>
        </w:rPr>
      </w:pPr>
      <w:r w:rsidRPr="00651637">
        <w:rPr>
          <w:rFonts w:ascii="Cambria" w:hAnsi="Cambria"/>
          <w:sz w:val="18"/>
          <w:szCs w:val="20"/>
          <w:lang w:val="es-ES"/>
        </w:rPr>
        <w:t>ECUADOR</w:t>
      </w:r>
    </w:p>
    <w:p w14:paraId="474799FF" w14:textId="77777777" w:rsidR="005937F1" w:rsidRPr="00651637" w:rsidRDefault="006E0C8D" w:rsidP="004E08BA">
      <w:pPr>
        <w:tabs>
          <w:tab w:val="center" w:pos="5400"/>
        </w:tabs>
        <w:suppressAutoHyphens/>
        <w:jc w:val="center"/>
        <w:rPr>
          <w:rFonts w:ascii="Cambria" w:hAnsi="Cambria"/>
          <w:sz w:val="18"/>
          <w:szCs w:val="20"/>
          <w:lang w:val="es-ES"/>
        </w:rPr>
      </w:pPr>
      <w:r>
        <w:rPr>
          <w:rFonts w:ascii="Cambria" w:hAnsi="Cambria"/>
          <w:sz w:val="18"/>
          <w:szCs w:val="20"/>
          <w:lang w:val="es-ES"/>
        </w:rPr>
        <w:t>4 DE MAYO 2019</w:t>
      </w:r>
    </w:p>
    <w:p w14:paraId="20EBB12B" w14:textId="77777777" w:rsidR="00D12193" w:rsidRPr="000A209E" w:rsidRDefault="00323B30" w:rsidP="002A35D9">
      <w:pPr>
        <w:pStyle w:val="Ttulo1"/>
        <w:numPr>
          <w:ilvl w:val="0"/>
          <w:numId w:val="55"/>
        </w:numPr>
        <w:ind w:left="0" w:firstLine="0"/>
        <w:jc w:val="both"/>
        <w:rPr>
          <w:rFonts w:ascii="Cambria" w:hAnsi="Cambria"/>
          <w:color w:val="000000" w:themeColor="text1"/>
          <w:sz w:val="20"/>
          <w:szCs w:val="20"/>
          <w:lang w:val="es-ES"/>
        </w:rPr>
      </w:pPr>
      <w:bookmarkStart w:id="0" w:name="_Toc5359020"/>
      <w:r w:rsidRPr="000A209E">
        <w:rPr>
          <w:rFonts w:ascii="Cambria" w:hAnsi="Cambria"/>
          <w:color w:val="000000" w:themeColor="text1"/>
          <w:sz w:val="20"/>
          <w:szCs w:val="20"/>
          <w:lang w:val="es-ES"/>
        </w:rPr>
        <w:t>INTRODUCCIÓN</w:t>
      </w:r>
      <w:bookmarkEnd w:id="0"/>
    </w:p>
    <w:p w14:paraId="0CF876D2" w14:textId="77777777" w:rsidR="005C4CA5" w:rsidRPr="000A209E" w:rsidRDefault="005C4CA5" w:rsidP="004E08BA">
      <w:pPr>
        <w:suppressAutoHyphens/>
        <w:ind w:left="360"/>
        <w:jc w:val="both"/>
        <w:rPr>
          <w:rFonts w:ascii="Cambria" w:hAnsi="Cambria"/>
          <w:b/>
          <w:color w:val="000000" w:themeColor="text1"/>
          <w:sz w:val="20"/>
          <w:szCs w:val="20"/>
          <w:lang w:val="es-ES"/>
        </w:rPr>
      </w:pPr>
    </w:p>
    <w:p w14:paraId="32F3129C" w14:textId="77777777" w:rsidR="002A35D9" w:rsidRDefault="005C4CA5"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VE"/>
        </w:rPr>
      </w:pPr>
      <w:r w:rsidRPr="002A35D9">
        <w:rPr>
          <w:rFonts w:ascii="Cambria" w:eastAsia="Calibri" w:hAnsi="Cambria"/>
          <w:sz w:val="20"/>
          <w:szCs w:val="20"/>
          <w:lang w:val="es-VE"/>
        </w:rPr>
        <w:t xml:space="preserve">El </w:t>
      </w:r>
      <w:r w:rsidR="00E93404" w:rsidRPr="002A35D9">
        <w:rPr>
          <w:rFonts w:ascii="Cambria" w:eastAsia="Calibri" w:hAnsi="Cambria"/>
          <w:sz w:val="20"/>
          <w:szCs w:val="20"/>
          <w:lang w:val="es-VE"/>
        </w:rPr>
        <w:t>1</w:t>
      </w:r>
      <w:r w:rsidRPr="002A35D9">
        <w:rPr>
          <w:rFonts w:ascii="Cambria" w:eastAsia="Calibri" w:hAnsi="Cambria"/>
          <w:sz w:val="20"/>
          <w:szCs w:val="20"/>
          <w:lang w:val="es-VE"/>
        </w:rPr>
        <w:t xml:space="preserve"> de </w:t>
      </w:r>
      <w:r w:rsidR="00722A51" w:rsidRPr="002A35D9">
        <w:rPr>
          <w:rFonts w:ascii="Cambria" w:eastAsia="Calibri" w:hAnsi="Cambria"/>
          <w:sz w:val="20"/>
          <w:szCs w:val="20"/>
          <w:lang w:val="es-VE"/>
        </w:rPr>
        <w:t>d</w:t>
      </w:r>
      <w:r w:rsidR="00E93404" w:rsidRPr="002A35D9">
        <w:rPr>
          <w:rFonts w:ascii="Cambria" w:eastAsia="Calibri" w:hAnsi="Cambria"/>
          <w:sz w:val="20"/>
          <w:szCs w:val="20"/>
          <w:lang w:val="es-VE"/>
        </w:rPr>
        <w:t>iciembre</w:t>
      </w:r>
      <w:r w:rsidR="00C629D3" w:rsidRPr="002A35D9">
        <w:rPr>
          <w:rFonts w:ascii="Cambria" w:eastAsia="Calibri" w:hAnsi="Cambria"/>
          <w:sz w:val="20"/>
          <w:szCs w:val="20"/>
          <w:lang w:val="es-VE"/>
        </w:rPr>
        <w:t xml:space="preserve"> </w:t>
      </w:r>
      <w:r w:rsidRPr="002A35D9">
        <w:rPr>
          <w:rFonts w:ascii="Cambria" w:eastAsia="Calibri" w:hAnsi="Cambria"/>
          <w:sz w:val="20"/>
          <w:szCs w:val="20"/>
          <w:lang w:val="es-VE"/>
        </w:rPr>
        <w:t xml:space="preserve">de </w:t>
      </w:r>
      <w:r w:rsidR="00E93404" w:rsidRPr="002A35D9">
        <w:rPr>
          <w:rFonts w:ascii="Cambria" w:eastAsia="Calibri" w:hAnsi="Cambria"/>
          <w:sz w:val="20"/>
          <w:szCs w:val="20"/>
          <w:lang w:val="es-VE"/>
        </w:rPr>
        <w:t xml:space="preserve">2003 </w:t>
      </w:r>
      <w:r w:rsidRPr="002A35D9">
        <w:rPr>
          <w:rFonts w:ascii="Cambria" w:eastAsia="Calibri" w:hAnsi="Cambria"/>
          <w:sz w:val="20"/>
          <w:szCs w:val="20"/>
          <w:lang w:val="es-VE"/>
        </w:rPr>
        <w:t xml:space="preserve">la Comisión Interamericana de Derechos Humanos (en adelante “la Comisión Interamericana”, “la Comisión” o “la CIDH”) recibió una petición presentada por </w:t>
      </w:r>
      <w:r w:rsidR="00E93404" w:rsidRPr="002A35D9">
        <w:rPr>
          <w:rFonts w:ascii="Cambria" w:eastAsia="Calibri" w:hAnsi="Cambria"/>
          <w:sz w:val="20"/>
          <w:szCs w:val="20"/>
          <w:lang w:val="es-VE"/>
        </w:rPr>
        <w:t xml:space="preserve">Sixto Rodríguez </w:t>
      </w:r>
      <w:r w:rsidR="00CA3BA8" w:rsidRPr="002A35D9">
        <w:rPr>
          <w:rFonts w:ascii="Cambria" w:eastAsia="Calibri" w:hAnsi="Cambria"/>
          <w:sz w:val="20"/>
          <w:szCs w:val="20"/>
          <w:lang w:val="es-VE"/>
        </w:rPr>
        <w:t>Núñez</w:t>
      </w:r>
      <w:r w:rsidR="00FE3B40" w:rsidRPr="002A35D9">
        <w:rPr>
          <w:rFonts w:ascii="Cambria" w:eastAsia="Calibri" w:hAnsi="Cambria"/>
          <w:sz w:val="20"/>
          <w:szCs w:val="20"/>
          <w:lang w:val="es-VE"/>
        </w:rPr>
        <w:t xml:space="preserve"> Naranjo, </w:t>
      </w:r>
      <w:r w:rsidR="00CA3BA8" w:rsidRPr="002A35D9">
        <w:rPr>
          <w:rFonts w:ascii="Cambria" w:eastAsia="Calibri" w:hAnsi="Cambria"/>
          <w:sz w:val="20"/>
          <w:szCs w:val="20"/>
          <w:lang w:val="es-VE"/>
        </w:rPr>
        <w:t>Napoleón</w:t>
      </w:r>
      <w:r w:rsidR="00E93404" w:rsidRPr="002A35D9">
        <w:rPr>
          <w:rFonts w:ascii="Cambria" w:eastAsia="Calibri" w:hAnsi="Cambria"/>
          <w:sz w:val="20"/>
          <w:szCs w:val="20"/>
          <w:lang w:val="es-VE"/>
        </w:rPr>
        <w:t xml:space="preserve"> Amores y </w:t>
      </w:r>
      <w:r w:rsidR="00CA3BA8" w:rsidRPr="002A35D9">
        <w:rPr>
          <w:rFonts w:ascii="Cambria" w:eastAsia="Calibri" w:hAnsi="Cambria"/>
          <w:sz w:val="20"/>
          <w:szCs w:val="20"/>
          <w:lang w:val="es-VE"/>
        </w:rPr>
        <w:t>José</w:t>
      </w:r>
      <w:r w:rsidR="00E93404" w:rsidRPr="002A35D9">
        <w:rPr>
          <w:rFonts w:ascii="Cambria" w:eastAsia="Calibri" w:hAnsi="Cambria"/>
          <w:sz w:val="20"/>
          <w:szCs w:val="20"/>
          <w:lang w:val="es-VE"/>
        </w:rPr>
        <w:t xml:space="preserve"> Santana</w:t>
      </w:r>
      <w:r w:rsidR="00030F5F" w:rsidRPr="002A35D9">
        <w:rPr>
          <w:rFonts w:ascii="Cambria" w:eastAsia="Calibri" w:hAnsi="Cambria"/>
          <w:sz w:val="20"/>
          <w:szCs w:val="20"/>
          <w:lang w:val="es-VE"/>
        </w:rPr>
        <w:t>,</w:t>
      </w:r>
      <w:r w:rsidRPr="002A35D9">
        <w:rPr>
          <w:rFonts w:ascii="Cambria" w:eastAsia="Calibri" w:hAnsi="Cambria"/>
          <w:sz w:val="20"/>
          <w:szCs w:val="20"/>
          <w:lang w:val="es-VE"/>
        </w:rPr>
        <w:t xml:space="preserve"> en la cual se alega la responsabilidad</w:t>
      </w:r>
      <w:r w:rsidR="00030F5F" w:rsidRPr="002A35D9">
        <w:rPr>
          <w:rFonts w:ascii="Cambria" w:eastAsia="Calibri" w:hAnsi="Cambria"/>
          <w:sz w:val="20"/>
          <w:szCs w:val="20"/>
          <w:lang w:val="es-VE"/>
        </w:rPr>
        <w:t xml:space="preserve"> internacional</w:t>
      </w:r>
      <w:r w:rsidRPr="002A35D9">
        <w:rPr>
          <w:rFonts w:ascii="Cambria" w:eastAsia="Calibri" w:hAnsi="Cambria"/>
          <w:sz w:val="20"/>
          <w:szCs w:val="20"/>
          <w:lang w:val="es-VE"/>
        </w:rPr>
        <w:t xml:space="preserve"> de</w:t>
      </w:r>
      <w:r w:rsidR="00A61602" w:rsidRPr="002A35D9">
        <w:rPr>
          <w:rFonts w:ascii="Cambria" w:eastAsia="Calibri" w:hAnsi="Cambria"/>
          <w:sz w:val="20"/>
          <w:szCs w:val="20"/>
          <w:lang w:val="es-VE"/>
        </w:rPr>
        <w:t xml:space="preserve"> la</w:t>
      </w:r>
      <w:r w:rsidRPr="002A35D9">
        <w:rPr>
          <w:rFonts w:ascii="Cambria" w:eastAsia="Calibri" w:hAnsi="Cambria"/>
          <w:sz w:val="20"/>
          <w:szCs w:val="20"/>
          <w:lang w:val="es-VE"/>
        </w:rPr>
        <w:t xml:space="preserve"> </w:t>
      </w:r>
      <w:r w:rsidR="00E93404" w:rsidRPr="002A35D9">
        <w:rPr>
          <w:rFonts w:ascii="Cambria" w:eastAsia="Calibri" w:hAnsi="Cambria"/>
          <w:sz w:val="20"/>
          <w:szCs w:val="20"/>
          <w:lang w:val="es-VE"/>
        </w:rPr>
        <w:t>Rep</w:t>
      </w:r>
      <w:r w:rsidR="00A61602" w:rsidRPr="002A35D9">
        <w:rPr>
          <w:rFonts w:ascii="Cambria" w:eastAsia="Calibri" w:hAnsi="Cambria"/>
          <w:sz w:val="20"/>
          <w:szCs w:val="20"/>
          <w:lang w:val="es-VE"/>
        </w:rPr>
        <w:t>ú</w:t>
      </w:r>
      <w:r w:rsidR="00E93404" w:rsidRPr="002A35D9">
        <w:rPr>
          <w:rFonts w:ascii="Cambria" w:eastAsia="Calibri" w:hAnsi="Cambria"/>
          <w:sz w:val="20"/>
          <w:szCs w:val="20"/>
          <w:lang w:val="es-VE"/>
        </w:rPr>
        <w:t>blica de</w:t>
      </w:r>
      <w:r w:rsidR="007444AF" w:rsidRPr="002A35D9">
        <w:rPr>
          <w:rFonts w:ascii="Cambria" w:eastAsia="Calibri" w:hAnsi="Cambria"/>
          <w:sz w:val="20"/>
          <w:szCs w:val="20"/>
          <w:lang w:val="es-VE"/>
        </w:rPr>
        <w:t>l</w:t>
      </w:r>
      <w:r w:rsidR="00E93404" w:rsidRPr="002A35D9">
        <w:rPr>
          <w:rFonts w:ascii="Cambria" w:eastAsia="Calibri" w:hAnsi="Cambria"/>
          <w:sz w:val="20"/>
          <w:szCs w:val="20"/>
          <w:lang w:val="es-VE"/>
        </w:rPr>
        <w:t xml:space="preserve"> Ecuador</w:t>
      </w:r>
      <w:r w:rsidRPr="002A35D9">
        <w:rPr>
          <w:rFonts w:ascii="Cambria" w:eastAsia="Calibri" w:hAnsi="Cambria"/>
          <w:sz w:val="20"/>
          <w:szCs w:val="20"/>
          <w:lang w:val="es-VE"/>
        </w:rPr>
        <w:t xml:space="preserve"> (en adelante “el Estado</w:t>
      </w:r>
      <w:r w:rsidR="007444AF" w:rsidRPr="002A35D9">
        <w:rPr>
          <w:rFonts w:ascii="Cambria" w:eastAsia="Calibri" w:hAnsi="Cambria"/>
          <w:sz w:val="20"/>
          <w:szCs w:val="20"/>
          <w:lang w:val="es-VE"/>
        </w:rPr>
        <w:t>”, “el Estado</w:t>
      </w:r>
      <w:r w:rsidRPr="002A35D9">
        <w:rPr>
          <w:rFonts w:ascii="Cambria" w:eastAsia="Calibri" w:hAnsi="Cambria"/>
          <w:sz w:val="20"/>
          <w:szCs w:val="20"/>
          <w:lang w:val="es-VE"/>
        </w:rPr>
        <w:t xml:space="preserve"> </w:t>
      </w:r>
      <w:r w:rsidR="00D01BDD" w:rsidRPr="002A35D9">
        <w:rPr>
          <w:rFonts w:ascii="Cambria" w:eastAsia="Calibri" w:hAnsi="Cambria"/>
          <w:sz w:val="20"/>
          <w:szCs w:val="20"/>
          <w:lang w:val="es-VE"/>
        </w:rPr>
        <w:t>e</w:t>
      </w:r>
      <w:r w:rsidR="00E93404" w:rsidRPr="002A35D9">
        <w:rPr>
          <w:rFonts w:ascii="Cambria" w:eastAsia="Calibri" w:hAnsi="Cambria"/>
          <w:sz w:val="20"/>
          <w:szCs w:val="20"/>
          <w:lang w:val="es-VE"/>
        </w:rPr>
        <w:t>cuatoriano</w:t>
      </w:r>
      <w:r w:rsidRPr="002A35D9">
        <w:rPr>
          <w:rFonts w:ascii="Cambria" w:eastAsia="Calibri" w:hAnsi="Cambria"/>
          <w:sz w:val="20"/>
          <w:szCs w:val="20"/>
          <w:lang w:val="es-VE"/>
        </w:rPr>
        <w:t>”, o “</w:t>
      </w:r>
      <w:r w:rsidR="00E93404" w:rsidRPr="002A35D9">
        <w:rPr>
          <w:rFonts w:ascii="Cambria" w:eastAsia="Calibri" w:hAnsi="Cambria"/>
          <w:sz w:val="20"/>
          <w:szCs w:val="20"/>
          <w:lang w:val="es-VE"/>
        </w:rPr>
        <w:t>Ecuador</w:t>
      </w:r>
      <w:r w:rsidRPr="002A35D9">
        <w:rPr>
          <w:rFonts w:ascii="Cambria" w:eastAsia="Calibri" w:hAnsi="Cambria"/>
          <w:sz w:val="20"/>
          <w:szCs w:val="20"/>
          <w:lang w:val="es-VE"/>
        </w:rPr>
        <w:t xml:space="preserve">”) en perjuicio de </w:t>
      </w:r>
      <w:r w:rsidR="00E93404" w:rsidRPr="002A35D9">
        <w:rPr>
          <w:rFonts w:ascii="Cambria" w:eastAsia="Calibri" w:hAnsi="Cambria"/>
          <w:sz w:val="20"/>
          <w:szCs w:val="20"/>
          <w:lang w:val="es-VE"/>
        </w:rPr>
        <w:t>Fredy Marcelo Núñez Naranjo</w:t>
      </w:r>
      <w:r w:rsidR="006D720A" w:rsidRPr="002A35D9">
        <w:rPr>
          <w:rFonts w:ascii="Cambria" w:eastAsia="Calibri" w:hAnsi="Cambria"/>
          <w:sz w:val="20"/>
          <w:szCs w:val="20"/>
          <w:lang w:val="es-VE"/>
        </w:rPr>
        <w:t xml:space="preserve"> por su </w:t>
      </w:r>
      <w:r w:rsidR="00030F5F" w:rsidRPr="002A35D9">
        <w:rPr>
          <w:rFonts w:ascii="Cambria" w:eastAsia="Calibri" w:hAnsi="Cambria"/>
          <w:sz w:val="20"/>
          <w:szCs w:val="20"/>
          <w:lang w:val="es-VE"/>
        </w:rPr>
        <w:t>alegada</w:t>
      </w:r>
      <w:r w:rsidR="006D720A" w:rsidRPr="002A35D9">
        <w:rPr>
          <w:rFonts w:ascii="Cambria" w:eastAsia="Calibri" w:hAnsi="Cambria"/>
          <w:sz w:val="20"/>
          <w:szCs w:val="20"/>
          <w:lang w:val="es-VE"/>
        </w:rPr>
        <w:t xml:space="preserve"> desaparición forzada. </w:t>
      </w:r>
    </w:p>
    <w:p w14:paraId="321DA69E"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Calibri" w:hAnsi="Cambria"/>
          <w:sz w:val="20"/>
          <w:szCs w:val="20"/>
          <w:lang w:val="es-VE"/>
        </w:rPr>
      </w:pPr>
    </w:p>
    <w:p w14:paraId="368DBADD" w14:textId="77777777" w:rsidR="00CE7BD0" w:rsidRPr="002A35D9" w:rsidRDefault="009014A4"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VE"/>
        </w:rPr>
      </w:pPr>
      <w:r w:rsidRPr="002A35D9">
        <w:rPr>
          <w:rFonts w:asciiTheme="majorHAnsi" w:hAnsiTheme="majorHAnsi"/>
          <w:color w:val="000000" w:themeColor="text1"/>
          <w:sz w:val="20"/>
          <w:szCs w:val="20"/>
          <w:lang w:val="es-ES"/>
        </w:rPr>
        <w:t xml:space="preserve">La Comisión aprobó el informe de admisibilidad No. </w:t>
      </w:r>
      <w:r w:rsidR="00E17DD0" w:rsidRPr="002A35D9">
        <w:rPr>
          <w:rFonts w:asciiTheme="majorHAnsi" w:hAnsiTheme="majorHAnsi"/>
          <w:color w:val="000000" w:themeColor="text1"/>
          <w:sz w:val="20"/>
          <w:szCs w:val="20"/>
          <w:lang w:val="es-ES"/>
        </w:rPr>
        <w:t>02</w:t>
      </w:r>
      <w:r w:rsidRPr="002A35D9">
        <w:rPr>
          <w:rFonts w:asciiTheme="majorHAnsi" w:hAnsiTheme="majorHAnsi"/>
          <w:color w:val="000000" w:themeColor="text1"/>
          <w:sz w:val="20"/>
          <w:szCs w:val="20"/>
          <w:lang w:val="es-ES"/>
        </w:rPr>
        <w:t>/</w:t>
      </w:r>
      <w:r w:rsidR="00E17DD0" w:rsidRPr="002A35D9">
        <w:rPr>
          <w:rFonts w:asciiTheme="majorHAnsi" w:hAnsiTheme="majorHAnsi"/>
          <w:color w:val="000000" w:themeColor="text1"/>
          <w:sz w:val="20"/>
          <w:szCs w:val="20"/>
          <w:lang w:val="es-ES"/>
        </w:rPr>
        <w:t>10</w:t>
      </w:r>
      <w:r w:rsidRPr="002A35D9">
        <w:rPr>
          <w:rFonts w:asciiTheme="majorHAnsi" w:hAnsiTheme="majorHAnsi"/>
          <w:color w:val="000000" w:themeColor="text1"/>
          <w:sz w:val="20"/>
          <w:szCs w:val="20"/>
          <w:lang w:val="es-ES"/>
        </w:rPr>
        <w:t xml:space="preserve"> el</w:t>
      </w:r>
      <w:r w:rsidR="00E17DD0" w:rsidRPr="002A35D9">
        <w:rPr>
          <w:rFonts w:asciiTheme="majorHAnsi" w:hAnsiTheme="majorHAnsi"/>
          <w:color w:val="000000" w:themeColor="text1"/>
          <w:sz w:val="20"/>
          <w:szCs w:val="20"/>
          <w:lang w:val="es-ES"/>
        </w:rPr>
        <w:t xml:space="preserve"> 15</w:t>
      </w:r>
      <w:r w:rsidRPr="002A35D9">
        <w:rPr>
          <w:rFonts w:asciiTheme="majorHAnsi" w:hAnsiTheme="majorHAnsi"/>
          <w:color w:val="000000" w:themeColor="text1"/>
          <w:sz w:val="20"/>
          <w:szCs w:val="20"/>
          <w:lang w:val="es-ES"/>
        </w:rPr>
        <w:t xml:space="preserve"> de </w:t>
      </w:r>
      <w:r w:rsidR="00E17DD0" w:rsidRPr="002A35D9">
        <w:rPr>
          <w:rFonts w:asciiTheme="majorHAnsi" w:hAnsiTheme="majorHAnsi"/>
          <w:color w:val="000000" w:themeColor="text1"/>
          <w:sz w:val="20"/>
          <w:szCs w:val="20"/>
          <w:lang w:val="es-ES"/>
        </w:rPr>
        <w:t>marzo</w:t>
      </w:r>
      <w:r w:rsidRPr="002A35D9">
        <w:rPr>
          <w:rFonts w:asciiTheme="majorHAnsi" w:hAnsiTheme="majorHAnsi"/>
          <w:color w:val="000000" w:themeColor="text1"/>
          <w:sz w:val="20"/>
          <w:szCs w:val="20"/>
          <w:lang w:val="es-ES"/>
        </w:rPr>
        <w:t xml:space="preserve"> de </w:t>
      </w:r>
      <w:r w:rsidR="00E17DD0" w:rsidRPr="002A35D9">
        <w:rPr>
          <w:rFonts w:asciiTheme="majorHAnsi" w:hAnsiTheme="majorHAnsi"/>
          <w:color w:val="000000" w:themeColor="text1"/>
          <w:sz w:val="20"/>
          <w:szCs w:val="20"/>
          <w:lang w:val="es-ES"/>
        </w:rPr>
        <w:t>2010</w:t>
      </w:r>
      <w:r w:rsidR="00334386" w:rsidRPr="00030F5F">
        <w:rPr>
          <w:rStyle w:val="Refdenotaalpie"/>
          <w:rFonts w:asciiTheme="majorHAnsi" w:hAnsiTheme="majorHAnsi"/>
          <w:color w:val="000000" w:themeColor="text1"/>
          <w:sz w:val="20"/>
          <w:szCs w:val="20"/>
          <w:lang w:val="es-ES"/>
        </w:rPr>
        <w:footnoteReference w:id="2"/>
      </w:r>
      <w:r w:rsidR="00A61602" w:rsidRPr="002A35D9">
        <w:rPr>
          <w:rFonts w:asciiTheme="majorHAnsi" w:hAnsiTheme="majorHAnsi"/>
          <w:color w:val="000000" w:themeColor="text1"/>
          <w:sz w:val="20"/>
          <w:szCs w:val="20"/>
          <w:lang w:val="es-ES"/>
        </w:rPr>
        <w:t>.</w:t>
      </w:r>
      <w:r w:rsidR="00AF7988" w:rsidRPr="002A35D9">
        <w:rPr>
          <w:rFonts w:asciiTheme="majorHAnsi" w:hAnsiTheme="majorHAnsi"/>
          <w:color w:val="000000" w:themeColor="text1"/>
          <w:sz w:val="20"/>
          <w:szCs w:val="20"/>
          <w:lang w:val="es-ES"/>
        </w:rPr>
        <w:t xml:space="preserve"> </w:t>
      </w:r>
      <w:r w:rsidRPr="002A35D9">
        <w:rPr>
          <w:rFonts w:asciiTheme="majorHAnsi" w:hAnsiTheme="majorHAnsi"/>
          <w:color w:val="000000" w:themeColor="text1"/>
          <w:sz w:val="20"/>
          <w:szCs w:val="20"/>
          <w:lang w:val="es-ES"/>
        </w:rPr>
        <w:t xml:space="preserve">El </w:t>
      </w:r>
      <w:r w:rsidR="006A4853" w:rsidRPr="002A35D9">
        <w:rPr>
          <w:rFonts w:asciiTheme="majorHAnsi" w:hAnsiTheme="majorHAnsi"/>
          <w:color w:val="000000" w:themeColor="text1"/>
          <w:sz w:val="20"/>
          <w:szCs w:val="20"/>
          <w:lang w:val="es-ES"/>
        </w:rPr>
        <w:t>30</w:t>
      </w:r>
      <w:r w:rsidRPr="002A35D9">
        <w:rPr>
          <w:rFonts w:asciiTheme="majorHAnsi" w:hAnsiTheme="majorHAnsi"/>
          <w:color w:val="000000" w:themeColor="text1"/>
          <w:sz w:val="20"/>
          <w:szCs w:val="20"/>
          <w:lang w:val="es-ES"/>
        </w:rPr>
        <w:t xml:space="preserve"> de </w:t>
      </w:r>
      <w:r w:rsidR="00512CB7" w:rsidRPr="002A35D9">
        <w:rPr>
          <w:rFonts w:asciiTheme="majorHAnsi" w:hAnsiTheme="majorHAnsi"/>
          <w:color w:val="000000" w:themeColor="text1"/>
          <w:sz w:val="20"/>
          <w:szCs w:val="20"/>
          <w:lang w:val="es-ES"/>
        </w:rPr>
        <w:t>marzo</w:t>
      </w:r>
      <w:r w:rsidRPr="002A35D9">
        <w:rPr>
          <w:rFonts w:asciiTheme="majorHAnsi" w:hAnsiTheme="majorHAnsi"/>
          <w:color w:val="000000" w:themeColor="text1"/>
          <w:sz w:val="20"/>
          <w:szCs w:val="20"/>
          <w:lang w:val="es-ES"/>
        </w:rPr>
        <w:t xml:space="preserve"> de </w:t>
      </w:r>
      <w:r w:rsidR="00512CB7" w:rsidRPr="002A35D9">
        <w:rPr>
          <w:rFonts w:asciiTheme="majorHAnsi" w:hAnsiTheme="majorHAnsi"/>
          <w:color w:val="000000" w:themeColor="text1"/>
          <w:sz w:val="20"/>
          <w:szCs w:val="20"/>
          <w:lang w:val="es-ES"/>
        </w:rPr>
        <w:t>2010</w:t>
      </w:r>
      <w:r w:rsidRPr="002A35D9">
        <w:rPr>
          <w:rFonts w:asciiTheme="majorHAnsi" w:hAnsiTheme="majorHAnsi"/>
          <w:color w:val="000000" w:themeColor="text1"/>
          <w:sz w:val="20"/>
          <w:szCs w:val="20"/>
          <w:lang w:val="es-ES"/>
        </w:rPr>
        <w:t xml:space="preserve"> la Comisión notificó dicho informe a las partes y se puso a su disposición a fin de llegar a una solución amistos</w:t>
      </w:r>
      <w:r w:rsidR="006800D0" w:rsidRPr="002A35D9">
        <w:rPr>
          <w:rFonts w:asciiTheme="majorHAnsi" w:hAnsiTheme="majorHAnsi"/>
          <w:color w:val="000000" w:themeColor="text1"/>
          <w:sz w:val="20"/>
          <w:szCs w:val="20"/>
          <w:lang w:val="es-ES"/>
        </w:rPr>
        <w:t>a, sin que se dieran las condiciones para iniciar dicho procedimiento.</w:t>
      </w:r>
      <w:r w:rsidRPr="002A35D9">
        <w:rPr>
          <w:rFonts w:asciiTheme="majorHAnsi" w:hAnsiTheme="majorHAnsi"/>
          <w:color w:val="000000" w:themeColor="text1"/>
          <w:sz w:val="20"/>
          <w:szCs w:val="20"/>
          <w:lang w:val="es-ES"/>
        </w:rPr>
        <w:t xml:space="preserve"> Las partes contaron con los plazos reglamentarios para presentar sus observaciones adicionales sobre el fondo. Toda la información recibida fue debidamente trasladada entre las partes.</w:t>
      </w:r>
    </w:p>
    <w:p w14:paraId="7646845A" w14:textId="77777777" w:rsidR="00410F4B" w:rsidRPr="00030F5F" w:rsidRDefault="00410F4B" w:rsidP="00410F4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sz w:val="20"/>
          <w:szCs w:val="20"/>
          <w:lang w:val="es-VE"/>
        </w:rPr>
      </w:pPr>
    </w:p>
    <w:p w14:paraId="0A506942" w14:textId="77777777" w:rsidR="00AB3F96" w:rsidRPr="000A209E" w:rsidRDefault="00C80161" w:rsidP="002A35D9">
      <w:pPr>
        <w:pStyle w:val="Ttulo1"/>
        <w:numPr>
          <w:ilvl w:val="0"/>
          <w:numId w:val="55"/>
        </w:numPr>
        <w:tabs>
          <w:tab w:val="left" w:pos="720"/>
        </w:tabs>
        <w:spacing w:before="0"/>
        <w:ind w:left="0" w:firstLine="0"/>
        <w:jc w:val="both"/>
        <w:rPr>
          <w:rFonts w:ascii="Cambria" w:hAnsi="Cambria"/>
          <w:color w:val="000000" w:themeColor="text1"/>
          <w:sz w:val="20"/>
          <w:szCs w:val="20"/>
          <w:lang w:val="es-ES"/>
        </w:rPr>
      </w:pPr>
      <w:bookmarkStart w:id="1" w:name="_Toc5359021"/>
      <w:r w:rsidRPr="000A209E">
        <w:rPr>
          <w:rFonts w:ascii="Cambria" w:hAnsi="Cambria"/>
          <w:color w:val="000000" w:themeColor="text1"/>
          <w:sz w:val="20"/>
          <w:szCs w:val="20"/>
          <w:lang w:val="es-ES"/>
        </w:rPr>
        <w:t>ALEGATOS</w:t>
      </w:r>
      <w:r w:rsidR="00323B30" w:rsidRPr="000A209E">
        <w:rPr>
          <w:rFonts w:ascii="Cambria" w:hAnsi="Cambria"/>
          <w:color w:val="000000" w:themeColor="text1"/>
          <w:sz w:val="20"/>
          <w:szCs w:val="20"/>
          <w:lang w:val="es-ES"/>
        </w:rPr>
        <w:t xml:space="preserve"> DE LAS PARTES</w:t>
      </w:r>
      <w:bookmarkEnd w:id="1"/>
    </w:p>
    <w:p w14:paraId="49E2C67E" w14:textId="77777777" w:rsidR="00B22E20" w:rsidRPr="000A209E" w:rsidRDefault="00B22E20" w:rsidP="004E08BA">
      <w:pPr>
        <w:jc w:val="both"/>
        <w:rPr>
          <w:rFonts w:ascii="Cambria" w:hAnsi="Cambria"/>
          <w:color w:val="000000" w:themeColor="text1"/>
          <w:sz w:val="20"/>
          <w:szCs w:val="20"/>
          <w:lang w:val="es-ES"/>
        </w:rPr>
      </w:pPr>
    </w:p>
    <w:p w14:paraId="1BE5AE7C" w14:textId="77777777" w:rsidR="00F625F5" w:rsidRPr="000A209E" w:rsidRDefault="00C60C22" w:rsidP="002A35D9">
      <w:pPr>
        <w:pStyle w:val="Ttulo2"/>
        <w:numPr>
          <w:ilvl w:val="0"/>
          <w:numId w:val="56"/>
        </w:numPr>
        <w:tabs>
          <w:tab w:val="left" w:pos="720"/>
        </w:tabs>
        <w:spacing w:before="0" w:after="0"/>
        <w:ind w:left="0" w:firstLine="0"/>
        <w:jc w:val="both"/>
        <w:rPr>
          <w:rFonts w:ascii="Cambria" w:hAnsi="Cambria"/>
          <w:i w:val="0"/>
          <w:color w:val="000000" w:themeColor="text1"/>
          <w:sz w:val="20"/>
          <w:szCs w:val="20"/>
          <w:lang w:val="es-ES"/>
        </w:rPr>
      </w:pPr>
      <w:bookmarkStart w:id="2" w:name="_Toc5359022"/>
      <w:r w:rsidRPr="000A209E">
        <w:rPr>
          <w:rFonts w:ascii="Cambria" w:hAnsi="Cambria"/>
          <w:i w:val="0"/>
          <w:color w:val="000000" w:themeColor="text1"/>
          <w:sz w:val="20"/>
          <w:szCs w:val="20"/>
          <w:lang w:val="es-ES"/>
        </w:rPr>
        <w:t xml:space="preserve">Parte </w:t>
      </w:r>
      <w:r w:rsidR="000C5D03">
        <w:rPr>
          <w:rFonts w:ascii="Cambria" w:hAnsi="Cambria"/>
          <w:i w:val="0"/>
          <w:color w:val="000000" w:themeColor="text1"/>
          <w:sz w:val="20"/>
          <w:szCs w:val="20"/>
          <w:lang w:val="es-ES"/>
        </w:rPr>
        <w:t>p</w:t>
      </w:r>
      <w:r w:rsidRPr="000A209E">
        <w:rPr>
          <w:rFonts w:ascii="Cambria" w:hAnsi="Cambria"/>
          <w:i w:val="0"/>
          <w:color w:val="000000" w:themeColor="text1"/>
          <w:sz w:val="20"/>
          <w:szCs w:val="20"/>
          <w:lang w:val="es-ES"/>
        </w:rPr>
        <w:t>eticionaria</w:t>
      </w:r>
      <w:bookmarkEnd w:id="2"/>
    </w:p>
    <w:p w14:paraId="5563954D" w14:textId="77777777" w:rsidR="00293783" w:rsidRPr="000A209E" w:rsidRDefault="00293783" w:rsidP="007A4895">
      <w:pPr>
        <w:rPr>
          <w:rFonts w:ascii="Cambria" w:hAnsi="Cambria"/>
          <w:sz w:val="20"/>
          <w:szCs w:val="20"/>
          <w:lang w:val="es-ES"/>
        </w:rPr>
      </w:pPr>
    </w:p>
    <w:p w14:paraId="68638509" w14:textId="77777777" w:rsidR="002A35D9" w:rsidRDefault="0001795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0A209E">
        <w:rPr>
          <w:rFonts w:ascii="Cambria" w:hAnsi="Cambria"/>
          <w:color w:val="000000" w:themeColor="text1"/>
          <w:sz w:val="20"/>
          <w:szCs w:val="20"/>
          <w:lang w:val="es-ES"/>
        </w:rPr>
        <w:t xml:space="preserve">La parte peticionaria indicó que el 15 de julio de 2001 Fredy Marcelo Núñez Naranjo se encontraba junto a su familia en el Salón </w:t>
      </w:r>
      <w:r w:rsidR="00C629D3">
        <w:rPr>
          <w:rFonts w:ascii="Cambria" w:hAnsi="Cambria"/>
          <w:color w:val="000000" w:themeColor="text1"/>
          <w:sz w:val="20"/>
          <w:szCs w:val="20"/>
          <w:lang w:val="es-ES"/>
        </w:rPr>
        <w:t>Billares</w:t>
      </w:r>
      <w:r w:rsidRPr="000A209E">
        <w:rPr>
          <w:rFonts w:ascii="Cambria" w:hAnsi="Cambria"/>
          <w:color w:val="000000" w:themeColor="text1"/>
          <w:sz w:val="20"/>
          <w:szCs w:val="20"/>
          <w:lang w:val="es-ES"/>
        </w:rPr>
        <w:t xml:space="preserve"> </w:t>
      </w:r>
      <w:r w:rsidR="00C629D3">
        <w:rPr>
          <w:rFonts w:ascii="Cambria" w:hAnsi="Cambria"/>
          <w:color w:val="000000" w:themeColor="text1"/>
          <w:sz w:val="20"/>
          <w:szCs w:val="20"/>
          <w:lang w:val="es-ES"/>
        </w:rPr>
        <w:t>“</w:t>
      </w:r>
      <w:r w:rsidRPr="000A209E">
        <w:rPr>
          <w:rFonts w:ascii="Cambria" w:hAnsi="Cambria"/>
          <w:color w:val="000000" w:themeColor="text1"/>
          <w:sz w:val="20"/>
          <w:szCs w:val="20"/>
          <w:lang w:val="es-ES"/>
        </w:rPr>
        <w:t>Latinos</w:t>
      </w:r>
      <w:r w:rsidR="00C629D3">
        <w:rPr>
          <w:rFonts w:ascii="Cambria" w:hAnsi="Cambria"/>
          <w:color w:val="000000" w:themeColor="text1"/>
          <w:sz w:val="20"/>
          <w:szCs w:val="20"/>
          <w:lang w:val="es-ES"/>
        </w:rPr>
        <w:t>”</w:t>
      </w:r>
      <w:r w:rsidRPr="000A209E">
        <w:rPr>
          <w:rFonts w:ascii="Cambria" w:hAnsi="Cambria"/>
          <w:color w:val="000000" w:themeColor="text1"/>
          <w:sz w:val="20"/>
          <w:szCs w:val="20"/>
          <w:lang w:val="es-ES"/>
        </w:rPr>
        <w:t xml:space="preserve"> propiedad de su </w:t>
      </w:r>
      <w:r w:rsidR="00444CE0" w:rsidRPr="000A209E">
        <w:rPr>
          <w:rFonts w:ascii="Cambria" w:hAnsi="Cambria"/>
          <w:color w:val="000000" w:themeColor="text1"/>
          <w:sz w:val="20"/>
          <w:szCs w:val="20"/>
          <w:lang w:val="es-ES"/>
        </w:rPr>
        <w:t>madre</w:t>
      </w:r>
      <w:r w:rsidRPr="000A209E">
        <w:rPr>
          <w:rFonts w:ascii="Cambria" w:hAnsi="Cambria"/>
          <w:color w:val="000000" w:themeColor="text1"/>
          <w:sz w:val="20"/>
          <w:szCs w:val="20"/>
          <w:lang w:val="es-ES"/>
        </w:rPr>
        <w:t>, ubicado en la</w:t>
      </w:r>
      <w:r w:rsidR="00CE75E6" w:rsidRPr="000A209E">
        <w:rPr>
          <w:rFonts w:ascii="Cambria" w:hAnsi="Cambria"/>
          <w:color w:val="000000" w:themeColor="text1"/>
          <w:sz w:val="20"/>
          <w:szCs w:val="20"/>
          <w:lang w:val="es-ES"/>
        </w:rPr>
        <w:t xml:space="preserve"> </w:t>
      </w:r>
      <w:r w:rsidRPr="000A209E">
        <w:rPr>
          <w:rFonts w:ascii="Cambria" w:hAnsi="Cambria"/>
          <w:color w:val="000000" w:themeColor="text1"/>
          <w:sz w:val="20"/>
          <w:szCs w:val="20"/>
          <w:lang w:val="es-ES"/>
        </w:rPr>
        <w:t>P</w:t>
      </w:r>
      <w:r w:rsidR="00A5199B" w:rsidRPr="000A209E">
        <w:rPr>
          <w:rFonts w:ascii="Cambria" w:hAnsi="Cambria"/>
          <w:color w:val="000000" w:themeColor="text1"/>
          <w:sz w:val="20"/>
          <w:szCs w:val="20"/>
          <w:lang w:val="es-ES"/>
        </w:rPr>
        <w:t>rovincia T</w:t>
      </w:r>
      <w:r w:rsidR="00005819" w:rsidRPr="000A209E">
        <w:rPr>
          <w:rFonts w:ascii="Cambria" w:hAnsi="Cambria"/>
          <w:color w:val="000000" w:themeColor="text1"/>
          <w:sz w:val="20"/>
          <w:szCs w:val="20"/>
          <w:lang w:val="es-ES"/>
        </w:rPr>
        <w:t>ungurahua</w:t>
      </w:r>
      <w:r w:rsidR="00A5199B" w:rsidRPr="000A209E">
        <w:rPr>
          <w:rFonts w:ascii="Cambria" w:hAnsi="Cambria"/>
          <w:color w:val="000000" w:themeColor="text1"/>
          <w:sz w:val="20"/>
          <w:szCs w:val="20"/>
          <w:lang w:val="es-ES"/>
        </w:rPr>
        <w:t>, Ecuador</w:t>
      </w:r>
      <w:r w:rsidR="001F374F" w:rsidRPr="000A209E">
        <w:rPr>
          <w:rFonts w:ascii="Cambria" w:hAnsi="Cambria"/>
          <w:color w:val="000000" w:themeColor="text1"/>
          <w:sz w:val="20"/>
          <w:szCs w:val="20"/>
          <w:lang w:val="es-ES"/>
        </w:rPr>
        <w:t>,</w:t>
      </w:r>
      <w:r w:rsidRPr="000A209E">
        <w:rPr>
          <w:rFonts w:ascii="Cambria" w:hAnsi="Cambria"/>
          <w:color w:val="000000" w:themeColor="text1"/>
          <w:sz w:val="20"/>
          <w:szCs w:val="20"/>
          <w:lang w:val="es-ES"/>
        </w:rPr>
        <w:t xml:space="preserve"> </w:t>
      </w:r>
      <w:r w:rsidR="00F67D39" w:rsidRPr="000A209E">
        <w:rPr>
          <w:rFonts w:ascii="Cambria" w:hAnsi="Cambria"/>
          <w:color w:val="000000" w:themeColor="text1"/>
          <w:sz w:val="20"/>
          <w:szCs w:val="20"/>
          <w:lang w:val="es-ES"/>
        </w:rPr>
        <w:t>cuando aproximadamente</w:t>
      </w:r>
      <w:r w:rsidR="00F02DE2" w:rsidRPr="000A209E">
        <w:rPr>
          <w:rFonts w:ascii="Cambria" w:hAnsi="Cambria"/>
          <w:color w:val="000000" w:themeColor="text1"/>
          <w:sz w:val="20"/>
          <w:szCs w:val="20"/>
          <w:lang w:val="es-ES"/>
        </w:rPr>
        <w:t xml:space="preserve"> a las </w:t>
      </w:r>
      <w:r w:rsidRPr="000A209E">
        <w:rPr>
          <w:rFonts w:ascii="Cambria" w:hAnsi="Cambria"/>
          <w:color w:val="000000" w:themeColor="text1"/>
          <w:sz w:val="20"/>
          <w:szCs w:val="20"/>
          <w:lang w:val="es-ES"/>
        </w:rPr>
        <w:t xml:space="preserve">cinco de la tarde </w:t>
      </w:r>
      <w:r w:rsidR="00F02DE2" w:rsidRPr="000A209E">
        <w:rPr>
          <w:rFonts w:ascii="Cambria" w:hAnsi="Cambria"/>
          <w:color w:val="000000" w:themeColor="text1"/>
          <w:sz w:val="20"/>
          <w:szCs w:val="20"/>
          <w:lang w:val="es-ES"/>
        </w:rPr>
        <w:t>ingresa</w:t>
      </w:r>
      <w:r w:rsidR="008022DB" w:rsidRPr="000A209E">
        <w:rPr>
          <w:rFonts w:ascii="Cambria" w:hAnsi="Cambria"/>
          <w:color w:val="000000" w:themeColor="text1"/>
          <w:sz w:val="20"/>
          <w:szCs w:val="20"/>
          <w:lang w:val="es-ES"/>
        </w:rPr>
        <w:t xml:space="preserve">ron </w:t>
      </w:r>
      <w:r w:rsidR="00977D92">
        <w:rPr>
          <w:rFonts w:ascii="Cambria" w:hAnsi="Cambria"/>
          <w:color w:val="000000" w:themeColor="text1"/>
          <w:sz w:val="20"/>
          <w:szCs w:val="20"/>
          <w:lang w:val="es-ES"/>
        </w:rPr>
        <w:t xml:space="preserve">al </w:t>
      </w:r>
      <w:r w:rsidRPr="000A209E">
        <w:rPr>
          <w:rFonts w:ascii="Cambria" w:hAnsi="Cambria"/>
          <w:color w:val="000000" w:themeColor="text1"/>
          <w:sz w:val="20"/>
          <w:szCs w:val="20"/>
          <w:lang w:val="es-ES"/>
        </w:rPr>
        <w:t>lugar varios sujetos</w:t>
      </w:r>
      <w:r w:rsidR="00F67D39" w:rsidRPr="000A209E">
        <w:rPr>
          <w:rFonts w:ascii="Cambria" w:hAnsi="Cambria"/>
          <w:color w:val="000000" w:themeColor="text1"/>
          <w:sz w:val="20"/>
          <w:szCs w:val="20"/>
          <w:lang w:val="es-ES"/>
        </w:rPr>
        <w:t xml:space="preserve"> en estado de embriaguez</w:t>
      </w:r>
      <w:r w:rsidR="008022DB" w:rsidRPr="000A209E">
        <w:rPr>
          <w:rFonts w:ascii="Cambria" w:hAnsi="Cambria"/>
          <w:color w:val="000000" w:themeColor="text1"/>
          <w:sz w:val="20"/>
          <w:szCs w:val="20"/>
          <w:lang w:val="es-ES"/>
        </w:rPr>
        <w:t>,</w:t>
      </w:r>
      <w:r w:rsidR="00A043F6" w:rsidRPr="000A209E">
        <w:rPr>
          <w:rFonts w:ascii="Cambria" w:hAnsi="Cambria"/>
          <w:color w:val="000000" w:themeColor="text1"/>
          <w:sz w:val="20"/>
          <w:szCs w:val="20"/>
          <w:lang w:val="es-ES"/>
        </w:rPr>
        <w:t xml:space="preserve"> </w:t>
      </w:r>
      <w:r w:rsidR="008022DB" w:rsidRPr="000A209E">
        <w:rPr>
          <w:rFonts w:ascii="Cambria" w:hAnsi="Cambria"/>
          <w:color w:val="000000" w:themeColor="text1"/>
          <w:sz w:val="20"/>
          <w:szCs w:val="20"/>
          <w:lang w:val="es-ES"/>
        </w:rPr>
        <w:t>entre ellos Octavio Morales, y</w:t>
      </w:r>
      <w:r w:rsidR="00F67D39" w:rsidRPr="000A209E">
        <w:rPr>
          <w:rFonts w:ascii="Cambria" w:hAnsi="Cambria"/>
          <w:color w:val="000000" w:themeColor="text1"/>
          <w:sz w:val="20"/>
          <w:szCs w:val="20"/>
          <w:lang w:val="es-ES"/>
        </w:rPr>
        <w:t xml:space="preserve"> ocasionaron daños </w:t>
      </w:r>
      <w:r w:rsidR="008022DB" w:rsidRPr="000A209E">
        <w:rPr>
          <w:rFonts w:ascii="Cambria" w:hAnsi="Cambria"/>
          <w:color w:val="000000" w:themeColor="text1"/>
          <w:sz w:val="20"/>
          <w:szCs w:val="20"/>
          <w:lang w:val="es-ES"/>
        </w:rPr>
        <w:t>materiales</w:t>
      </w:r>
      <w:r w:rsidR="00F67D39" w:rsidRPr="000A209E">
        <w:rPr>
          <w:rFonts w:ascii="Cambria" w:hAnsi="Cambria"/>
          <w:color w:val="000000" w:themeColor="text1"/>
          <w:sz w:val="20"/>
          <w:szCs w:val="20"/>
          <w:lang w:val="es-ES"/>
        </w:rPr>
        <w:t xml:space="preserve"> en la propiedad. Refirió </w:t>
      </w:r>
      <w:r w:rsidR="008022DB" w:rsidRPr="000A209E">
        <w:rPr>
          <w:rFonts w:ascii="Cambria" w:hAnsi="Cambria"/>
          <w:color w:val="000000" w:themeColor="text1"/>
          <w:sz w:val="20"/>
          <w:szCs w:val="20"/>
          <w:lang w:val="es-ES"/>
        </w:rPr>
        <w:t>que,</w:t>
      </w:r>
      <w:r w:rsidR="00F67D39" w:rsidRPr="000A209E">
        <w:rPr>
          <w:rFonts w:ascii="Cambria" w:hAnsi="Cambria"/>
          <w:color w:val="000000" w:themeColor="text1"/>
          <w:sz w:val="20"/>
          <w:szCs w:val="20"/>
          <w:lang w:val="es-ES"/>
        </w:rPr>
        <w:t xml:space="preserve"> frente a esto, la presunta víctima solicitó </w:t>
      </w:r>
      <w:r w:rsidR="00E54209">
        <w:rPr>
          <w:rFonts w:ascii="Cambria" w:hAnsi="Cambria"/>
          <w:color w:val="000000" w:themeColor="text1"/>
          <w:sz w:val="20"/>
          <w:szCs w:val="20"/>
          <w:lang w:val="es-ES"/>
        </w:rPr>
        <w:t xml:space="preserve">a dichas personas </w:t>
      </w:r>
      <w:r w:rsidR="00F67D39" w:rsidRPr="000A209E">
        <w:rPr>
          <w:rFonts w:ascii="Cambria" w:hAnsi="Cambria"/>
          <w:color w:val="000000" w:themeColor="text1"/>
          <w:sz w:val="20"/>
          <w:szCs w:val="20"/>
          <w:lang w:val="es-ES"/>
        </w:rPr>
        <w:t>la restitución de los daños ocasionados.</w:t>
      </w:r>
    </w:p>
    <w:p w14:paraId="4CF390D9"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color w:val="000000" w:themeColor="text1"/>
          <w:sz w:val="20"/>
          <w:szCs w:val="20"/>
          <w:lang w:val="es-ES"/>
        </w:rPr>
      </w:pPr>
    </w:p>
    <w:p w14:paraId="3708A1DC" w14:textId="77777777" w:rsidR="002A35D9" w:rsidRDefault="008022D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Cambria" w:hAnsi="Cambria"/>
          <w:color w:val="000000" w:themeColor="text1"/>
          <w:sz w:val="20"/>
          <w:szCs w:val="20"/>
          <w:lang w:val="es-ES"/>
        </w:rPr>
        <w:t>Argumentó</w:t>
      </w:r>
      <w:r w:rsidR="00F67D39" w:rsidRPr="002A35D9">
        <w:rPr>
          <w:rFonts w:ascii="Cambria" w:hAnsi="Cambria"/>
          <w:color w:val="000000" w:themeColor="text1"/>
          <w:sz w:val="20"/>
          <w:szCs w:val="20"/>
          <w:lang w:val="es-ES"/>
        </w:rPr>
        <w:t xml:space="preserve"> que dicho reclamo generó un conflicto que ameritó la presencia de la polic</w:t>
      </w:r>
      <w:r w:rsidR="008761E8" w:rsidRPr="002A35D9">
        <w:rPr>
          <w:rFonts w:ascii="Cambria" w:hAnsi="Cambria"/>
          <w:color w:val="000000" w:themeColor="text1"/>
          <w:sz w:val="20"/>
          <w:szCs w:val="20"/>
          <w:lang w:val="es-ES"/>
        </w:rPr>
        <w:t>ía y culminó con la detención</w:t>
      </w:r>
      <w:r w:rsidR="00F67D39" w:rsidRPr="002A35D9">
        <w:rPr>
          <w:rFonts w:ascii="Cambria" w:hAnsi="Cambria"/>
          <w:color w:val="000000" w:themeColor="text1"/>
          <w:sz w:val="20"/>
          <w:szCs w:val="20"/>
          <w:lang w:val="es-ES"/>
        </w:rPr>
        <w:t xml:space="preserve"> </w:t>
      </w:r>
      <w:r w:rsidR="008761E8" w:rsidRPr="002A35D9">
        <w:rPr>
          <w:rFonts w:ascii="Cambria" w:hAnsi="Cambria"/>
          <w:color w:val="000000" w:themeColor="text1"/>
          <w:sz w:val="20"/>
          <w:szCs w:val="20"/>
          <w:lang w:val="es-ES"/>
        </w:rPr>
        <w:t xml:space="preserve">de </w:t>
      </w:r>
      <w:r w:rsidR="00F67D39" w:rsidRPr="002A35D9">
        <w:rPr>
          <w:rFonts w:ascii="Cambria" w:hAnsi="Cambria"/>
          <w:color w:val="000000" w:themeColor="text1"/>
          <w:sz w:val="20"/>
          <w:szCs w:val="20"/>
          <w:lang w:val="es-ES"/>
        </w:rPr>
        <w:t xml:space="preserve">Fredy </w:t>
      </w:r>
      <w:r w:rsidR="008E3388" w:rsidRPr="002A35D9">
        <w:rPr>
          <w:rFonts w:ascii="Cambria" w:hAnsi="Cambria"/>
          <w:color w:val="000000" w:themeColor="text1"/>
          <w:sz w:val="20"/>
          <w:szCs w:val="20"/>
          <w:lang w:val="es-ES"/>
        </w:rPr>
        <w:t>Núñ</w:t>
      </w:r>
      <w:r w:rsidR="006B20BB" w:rsidRPr="002A35D9">
        <w:rPr>
          <w:rFonts w:ascii="Cambria" w:hAnsi="Cambria"/>
          <w:color w:val="000000" w:themeColor="text1"/>
          <w:sz w:val="20"/>
          <w:szCs w:val="20"/>
          <w:lang w:val="es-ES"/>
        </w:rPr>
        <w:t>ez</w:t>
      </w:r>
      <w:r w:rsidR="007467FB" w:rsidRPr="002A35D9">
        <w:rPr>
          <w:rFonts w:ascii="Cambria" w:hAnsi="Cambria"/>
          <w:color w:val="000000" w:themeColor="text1"/>
          <w:sz w:val="20"/>
          <w:szCs w:val="20"/>
          <w:lang w:val="es-ES"/>
        </w:rPr>
        <w:t xml:space="preserve"> </w:t>
      </w:r>
      <w:r w:rsidR="00D50DE6" w:rsidRPr="002A35D9">
        <w:rPr>
          <w:rFonts w:ascii="Cambria" w:hAnsi="Cambria"/>
          <w:color w:val="000000" w:themeColor="text1"/>
          <w:sz w:val="20"/>
          <w:szCs w:val="20"/>
          <w:lang w:val="es-ES"/>
        </w:rPr>
        <w:t>y</w:t>
      </w:r>
      <w:r w:rsidR="007467FB" w:rsidRPr="002A35D9">
        <w:rPr>
          <w:rFonts w:ascii="Cambria" w:hAnsi="Cambria"/>
          <w:color w:val="000000" w:themeColor="text1"/>
          <w:sz w:val="20"/>
          <w:szCs w:val="20"/>
          <w:lang w:val="es-ES"/>
        </w:rPr>
        <w:t xml:space="preserve"> Octavio Morales</w:t>
      </w:r>
      <w:r w:rsidRPr="002A35D9">
        <w:rPr>
          <w:rFonts w:ascii="Cambria" w:hAnsi="Cambria"/>
          <w:color w:val="000000" w:themeColor="text1"/>
          <w:sz w:val="20"/>
          <w:szCs w:val="20"/>
          <w:lang w:val="es-ES"/>
        </w:rPr>
        <w:t xml:space="preserve"> </w:t>
      </w:r>
      <w:r w:rsidR="006D720A" w:rsidRPr="002A35D9">
        <w:rPr>
          <w:rFonts w:ascii="Cambria" w:hAnsi="Cambria"/>
          <w:color w:val="000000" w:themeColor="text1"/>
          <w:sz w:val="20"/>
          <w:szCs w:val="20"/>
          <w:lang w:val="es-ES"/>
        </w:rPr>
        <w:t>en</w:t>
      </w:r>
      <w:r w:rsidR="00467916" w:rsidRPr="002A35D9">
        <w:rPr>
          <w:rFonts w:ascii="Cambria" w:hAnsi="Cambria"/>
          <w:color w:val="000000" w:themeColor="text1"/>
          <w:sz w:val="20"/>
          <w:szCs w:val="20"/>
          <w:lang w:val="es-ES"/>
        </w:rPr>
        <w:t xml:space="preserve"> los </w:t>
      </w:r>
      <w:r w:rsidR="00FF4E5F" w:rsidRPr="002A35D9">
        <w:rPr>
          <w:rFonts w:ascii="Cambria" w:hAnsi="Cambria"/>
          <w:color w:val="000000" w:themeColor="text1"/>
          <w:sz w:val="20"/>
          <w:szCs w:val="20"/>
          <w:lang w:val="es-ES"/>
        </w:rPr>
        <w:t>c</w:t>
      </w:r>
      <w:r w:rsidR="00467916" w:rsidRPr="002A35D9">
        <w:rPr>
          <w:rFonts w:ascii="Cambria" w:hAnsi="Cambria"/>
          <w:color w:val="000000" w:themeColor="text1"/>
          <w:sz w:val="20"/>
          <w:szCs w:val="20"/>
          <w:lang w:val="es-ES"/>
        </w:rPr>
        <w:t>alabozos del destacamento de policía del Cantón Quero</w:t>
      </w:r>
      <w:r w:rsidR="00444CE0" w:rsidRPr="002A35D9">
        <w:rPr>
          <w:rFonts w:ascii="Cambria" w:hAnsi="Cambria"/>
          <w:color w:val="000000" w:themeColor="text1"/>
          <w:sz w:val="20"/>
          <w:szCs w:val="20"/>
          <w:lang w:val="es-ES"/>
        </w:rPr>
        <w:t xml:space="preserve">. </w:t>
      </w:r>
      <w:r w:rsidR="00467916" w:rsidRPr="002A35D9">
        <w:rPr>
          <w:rFonts w:ascii="Cambria" w:hAnsi="Cambria"/>
          <w:color w:val="000000" w:themeColor="text1"/>
          <w:sz w:val="20"/>
          <w:szCs w:val="20"/>
          <w:lang w:val="es-ES"/>
        </w:rPr>
        <w:t xml:space="preserve">Refirió que </w:t>
      </w:r>
      <w:r w:rsidR="007467FB" w:rsidRPr="002A35D9">
        <w:rPr>
          <w:rFonts w:ascii="Cambria" w:hAnsi="Cambria"/>
          <w:color w:val="000000" w:themeColor="text1"/>
          <w:sz w:val="20"/>
          <w:szCs w:val="20"/>
          <w:lang w:val="es-ES"/>
        </w:rPr>
        <w:t>media hora después, aproximadamente 400</w:t>
      </w:r>
      <w:r w:rsidR="00444CE0" w:rsidRPr="002A35D9">
        <w:rPr>
          <w:rFonts w:ascii="Cambria" w:hAnsi="Cambria"/>
          <w:color w:val="000000" w:themeColor="text1"/>
          <w:sz w:val="20"/>
          <w:szCs w:val="20"/>
          <w:lang w:val="es-ES"/>
        </w:rPr>
        <w:t xml:space="preserve"> </w:t>
      </w:r>
      <w:r w:rsidR="00E54209" w:rsidRPr="002A35D9">
        <w:rPr>
          <w:rFonts w:ascii="Cambria" w:hAnsi="Cambria"/>
          <w:color w:val="000000" w:themeColor="text1"/>
          <w:sz w:val="20"/>
          <w:szCs w:val="20"/>
          <w:lang w:val="es-ES"/>
        </w:rPr>
        <w:t>personas</w:t>
      </w:r>
      <w:r w:rsidR="00794E1A" w:rsidRPr="002A35D9">
        <w:rPr>
          <w:rFonts w:ascii="Cambria" w:hAnsi="Cambria"/>
          <w:color w:val="000000" w:themeColor="text1"/>
          <w:sz w:val="20"/>
          <w:szCs w:val="20"/>
          <w:lang w:val="es-ES"/>
        </w:rPr>
        <w:t xml:space="preserve"> de la </w:t>
      </w:r>
      <w:r w:rsidR="00CD6689" w:rsidRPr="002A35D9">
        <w:rPr>
          <w:rFonts w:ascii="Cambria" w:hAnsi="Cambria"/>
          <w:color w:val="000000" w:themeColor="text1"/>
          <w:sz w:val="20"/>
          <w:szCs w:val="20"/>
          <w:lang w:val="es-ES"/>
        </w:rPr>
        <w:t>C</w:t>
      </w:r>
      <w:r w:rsidR="00794E1A" w:rsidRPr="002A35D9">
        <w:rPr>
          <w:rFonts w:ascii="Cambria" w:hAnsi="Cambria"/>
          <w:color w:val="000000" w:themeColor="text1"/>
          <w:sz w:val="20"/>
          <w:szCs w:val="20"/>
          <w:lang w:val="es-ES"/>
        </w:rPr>
        <w:t xml:space="preserve">omunidad </w:t>
      </w:r>
      <w:proofErr w:type="spellStart"/>
      <w:r w:rsidR="001C7F2A" w:rsidRPr="002A35D9">
        <w:rPr>
          <w:rFonts w:ascii="Cambria" w:hAnsi="Cambria"/>
          <w:color w:val="000000" w:themeColor="text1"/>
          <w:sz w:val="20"/>
          <w:szCs w:val="20"/>
          <w:lang w:val="es-ES"/>
        </w:rPr>
        <w:t>Puñachisag</w:t>
      </w:r>
      <w:proofErr w:type="spellEnd"/>
      <w:r w:rsidRPr="002A35D9">
        <w:rPr>
          <w:rFonts w:ascii="Cambria" w:hAnsi="Cambria"/>
          <w:color w:val="000000" w:themeColor="text1"/>
          <w:sz w:val="20"/>
          <w:szCs w:val="20"/>
          <w:lang w:val="es-ES"/>
        </w:rPr>
        <w:t>,</w:t>
      </w:r>
      <w:r w:rsidR="00E54209" w:rsidRPr="002A35D9">
        <w:rPr>
          <w:rFonts w:ascii="Cambria" w:hAnsi="Cambria"/>
          <w:color w:val="000000" w:themeColor="text1"/>
          <w:sz w:val="20"/>
          <w:szCs w:val="20"/>
          <w:lang w:val="es-ES"/>
        </w:rPr>
        <w:t xml:space="preserve"> miembros de las “Juntas de Defensa del Campesinado”</w:t>
      </w:r>
      <w:r w:rsidR="00F625F5" w:rsidRPr="002A35D9">
        <w:rPr>
          <w:rFonts w:ascii="Cambria" w:hAnsi="Cambria"/>
          <w:color w:val="000000" w:themeColor="text1"/>
          <w:sz w:val="20"/>
          <w:szCs w:val="20"/>
          <w:lang w:val="es-ES"/>
        </w:rPr>
        <w:t>,</w:t>
      </w:r>
      <w:r w:rsidR="00257034" w:rsidRPr="002A35D9">
        <w:rPr>
          <w:rFonts w:ascii="Cambria" w:hAnsi="Cambria"/>
          <w:color w:val="000000" w:themeColor="text1"/>
          <w:sz w:val="20"/>
          <w:szCs w:val="20"/>
          <w:lang w:val="es-ES"/>
        </w:rPr>
        <w:t xml:space="preserve"> ingres</w:t>
      </w:r>
      <w:r w:rsidR="00293783" w:rsidRPr="002A35D9">
        <w:rPr>
          <w:rFonts w:ascii="Cambria" w:hAnsi="Cambria"/>
          <w:color w:val="000000" w:themeColor="text1"/>
          <w:sz w:val="20"/>
          <w:szCs w:val="20"/>
          <w:lang w:val="es-ES"/>
        </w:rPr>
        <w:t>aron</w:t>
      </w:r>
      <w:r w:rsidR="00F625F5" w:rsidRPr="002A35D9">
        <w:rPr>
          <w:rFonts w:ascii="Cambria" w:hAnsi="Cambria"/>
          <w:color w:val="000000" w:themeColor="text1"/>
          <w:sz w:val="20"/>
          <w:szCs w:val="20"/>
          <w:lang w:val="es-ES"/>
        </w:rPr>
        <w:t xml:space="preserve"> a la cárcel por la fuerza</w:t>
      </w:r>
      <w:r w:rsidR="007467FB" w:rsidRPr="002A35D9">
        <w:rPr>
          <w:rFonts w:ascii="Cambria" w:hAnsi="Cambria"/>
          <w:color w:val="000000" w:themeColor="text1"/>
          <w:sz w:val="20"/>
          <w:szCs w:val="20"/>
          <w:lang w:val="es-ES"/>
        </w:rPr>
        <w:t xml:space="preserve"> y </w:t>
      </w:r>
      <w:r w:rsidR="009C0F27" w:rsidRPr="002A35D9">
        <w:rPr>
          <w:rFonts w:ascii="Cambria" w:hAnsi="Cambria"/>
          <w:color w:val="000000" w:themeColor="text1"/>
          <w:sz w:val="20"/>
          <w:szCs w:val="20"/>
          <w:lang w:val="es-ES"/>
        </w:rPr>
        <w:t>se llev</w:t>
      </w:r>
      <w:r w:rsidR="00293783" w:rsidRPr="002A35D9">
        <w:rPr>
          <w:rFonts w:ascii="Cambria" w:hAnsi="Cambria"/>
          <w:color w:val="000000" w:themeColor="text1"/>
          <w:sz w:val="20"/>
          <w:szCs w:val="20"/>
          <w:lang w:val="es-ES"/>
        </w:rPr>
        <w:t>aron</w:t>
      </w:r>
      <w:r w:rsidR="007467FB" w:rsidRPr="002A35D9">
        <w:rPr>
          <w:rFonts w:ascii="Cambria" w:hAnsi="Cambria"/>
          <w:color w:val="000000" w:themeColor="text1"/>
          <w:sz w:val="20"/>
          <w:szCs w:val="20"/>
          <w:lang w:val="es-ES"/>
        </w:rPr>
        <w:t xml:space="preserve"> a </w:t>
      </w:r>
      <w:r w:rsidRPr="002A35D9">
        <w:rPr>
          <w:rFonts w:ascii="Cambria" w:hAnsi="Cambria"/>
          <w:color w:val="000000" w:themeColor="text1"/>
          <w:sz w:val="20"/>
          <w:szCs w:val="20"/>
          <w:lang w:val="es-ES"/>
        </w:rPr>
        <w:t>los dos reclusos</w:t>
      </w:r>
      <w:r w:rsidR="005F6934" w:rsidRPr="002A35D9">
        <w:rPr>
          <w:rFonts w:ascii="Cambria" w:hAnsi="Cambria"/>
          <w:color w:val="000000" w:themeColor="text1"/>
          <w:sz w:val="20"/>
          <w:szCs w:val="20"/>
          <w:lang w:val="es-ES"/>
        </w:rPr>
        <w:t xml:space="preserve"> a la Comunidad </w:t>
      </w:r>
      <w:proofErr w:type="spellStart"/>
      <w:r w:rsidR="005F6934" w:rsidRPr="002A35D9">
        <w:rPr>
          <w:rFonts w:ascii="Cambria" w:hAnsi="Cambria"/>
          <w:color w:val="000000" w:themeColor="text1"/>
          <w:sz w:val="20"/>
          <w:szCs w:val="20"/>
          <w:lang w:val="es-ES"/>
        </w:rPr>
        <w:t>Shausi</w:t>
      </w:r>
      <w:proofErr w:type="spellEnd"/>
      <w:r w:rsidR="009C0F27" w:rsidRPr="002A35D9">
        <w:rPr>
          <w:rFonts w:ascii="Cambria" w:hAnsi="Cambria"/>
          <w:color w:val="000000" w:themeColor="text1"/>
          <w:sz w:val="20"/>
          <w:szCs w:val="20"/>
          <w:lang w:val="es-ES"/>
        </w:rPr>
        <w:t xml:space="preserve">, </w:t>
      </w:r>
      <w:r w:rsidRPr="002A35D9">
        <w:rPr>
          <w:rFonts w:ascii="Cambria" w:hAnsi="Cambria"/>
          <w:color w:val="000000" w:themeColor="text1"/>
          <w:sz w:val="20"/>
          <w:szCs w:val="20"/>
          <w:lang w:val="es-ES"/>
        </w:rPr>
        <w:t>junto con la</w:t>
      </w:r>
      <w:r w:rsidR="009C0F27" w:rsidRPr="002A35D9">
        <w:rPr>
          <w:rFonts w:ascii="Cambria" w:hAnsi="Cambria"/>
          <w:color w:val="000000" w:themeColor="text1"/>
          <w:sz w:val="20"/>
          <w:szCs w:val="20"/>
          <w:lang w:val="es-ES"/>
        </w:rPr>
        <w:t xml:space="preserve"> madre </w:t>
      </w:r>
      <w:r w:rsidR="00444CE0" w:rsidRPr="002A35D9">
        <w:rPr>
          <w:rFonts w:ascii="Cambria" w:hAnsi="Cambria"/>
          <w:color w:val="000000" w:themeColor="text1"/>
          <w:sz w:val="20"/>
          <w:szCs w:val="20"/>
          <w:lang w:val="es-ES"/>
        </w:rPr>
        <w:t>y</w:t>
      </w:r>
      <w:r w:rsidR="009E097E" w:rsidRPr="002A35D9">
        <w:rPr>
          <w:rFonts w:ascii="Cambria" w:hAnsi="Cambria"/>
          <w:color w:val="000000" w:themeColor="text1"/>
          <w:sz w:val="20"/>
          <w:szCs w:val="20"/>
          <w:lang w:val="es-ES"/>
        </w:rPr>
        <w:t xml:space="preserve"> </w:t>
      </w:r>
      <w:r w:rsidR="005F6934" w:rsidRPr="002A35D9">
        <w:rPr>
          <w:rFonts w:ascii="Cambria" w:hAnsi="Cambria"/>
          <w:color w:val="000000" w:themeColor="text1"/>
          <w:sz w:val="20"/>
          <w:szCs w:val="20"/>
          <w:lang w:val="es-ES"/>
        </w:rPr>
        <w:t xml:space="preserve">la </w:t>
      </w:r>
      <w:r w:rsidR="00444CE0" w:rsidRPr="002A35D9">
        <w:rPr>
          <w:rFonts w:ascii="Cambria" w:hAnsi="Cambria"/>
          <w:color w:val="000000" w:themeColor="text1"/>
          <w:sz w:val="20"/>
          <w:szCs w:val="20"/>
          <w:lang w:val="es-ES"/>
        </w:rPr>
        <w:t>hermana</w:t>
      </w:r>
      <w:r w:rsidRPr="002A35D9">
        <w:rPr>
          <w:rFonts w:ascii="Cambria" w:hAnsi="Cambria"/>
          <w:color w:val="000000" w:themeColor="text1"/>
          <w:sz w:val="20"/>
          <w:szCs w:val="20"/>
          <w:lang w:val="es-ES"/>
        </w:rPr>
        <w:t xml:space="preserve"> de Fredy Núñez,</w:t>
      </w:r>
      <w:r w:rsidR="009C0F27" w:rsidRPr="002A35D9">
        <w:rPr>
          <w:rFonts w:ascii="Cambria" w:hAnsi="Cambria"/>
          <w:color w:val="000000" w:themeColor="text1"/>
          <w:sz w:val="20"/>
          <w:szCs w:val="20"/>
          <w:lang w:val="es-ES"/>
        </w:rPr>
        <w:t xml:space="preserve"> quienes se encontraban buscando a su hijo</w:t>
      </w:r>
      <w:r w:rsidR="006D720A" w:rsidRPr="002A35D9">
        <w:rPr>
          <w:rFonts w:ascii="Cambria" w:hAnsi="Cambria"/>
          <w:color w:val="000000" w:themeColor="text1"/>
          <w:sz w:val="20"/>
          <w:szCs w:val="20"/>
          <w:lang w:val="es-ES"/>
        </w:rPr>
        <w:t xml:space="preserve"> en el lugar de detención</w:t>
      </w:r>
      <w:r w:rsidR="005F6934" w:rsidRPr="002A35D9">
        <w:rPr>
          <w:rFonts w:ascii="Cambria" w:hAnsi="Cambria"/>
          <w:color w:val="000000" w:themeColor="text1"/>
          <w:sz w:val="20"/>
          <w:szCs w:val="20"/>
          <w:lang w:val="es-ES"/>
        </w:rPr>
        <w:t>.</w:t>
      </w:r>
      <w:r w:rsidR="008761E8" w:rsidRPr="002A35D9">
        <w:rPr>
          <w:rFonts w:ascii="Cambria" w:hAnsi="Cambria"/>
          <w:color w:val="000000" w:themeColor="text1"/>
          <w:sz w:val="20"/>
          <w:szCs w:val="20"/>
          <w:lang w:val="es-ES"/>
        </w:rPr>
        <w:t xml:space="preserve"> </w:t>
      </w:r>
    </w:p>
    <w:p w14:paraId="61364445" w14:textId="77777777" w:rsidR="002A35D9" w:rsidRDefault="002A35D9" w:rsidP="002A35D9">
      <w:pPr>
        <w:pStyle w:val="Prrafodelista"/>
        <w:rPr>
          <w:color w:val="000000" w:themeColor="text1"/>
          <w:sz w:val="20"/>
          <w:szCs w:val="20"/>
          <w:lang w:val="es-ES"/>
        </w:rPr>
      </w:pPr>
    </w:p>
    <w:p w14:paraId="79E5F29D" w14:textId="77777777" w:rsidR="002A35D9" w:rsidRDefault="006D720A"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Cambria" w:hAnsi="Cambria"/>
          <w:color w:val="000000" w:themeColor="text1"/>
          <w:sz w:val="20"/>
          <w:szCs w:val="20"/>
          <w:lang w:val="es-ES"/>
        </w:rPr>
        <w:t>Indicó</w:t>
      </w:r>
      <w:r w:rsidR="009C0F27" w:rsidRPr="002A35D9">
        <w:rPr>
          <w:rFonts w:ascii="Cambria" w:hAnsi="Cambria"/>
          <w:color w:val="000000" w:themeColor="text1"/>
          <w:sz w:val="20"/>
          <w:szCs w:val="20"/>
          <w:lang w:val="es-ES"/>
        </w:rPr>
        <w:t xml:space="preserve"> que la policía se apersonó </w:t>
      </w:r>
      <w:r w:rsidRPr="002A35D9">
        <w:rPr>
          <w:rFonts w:ascii="Cambria" w:hAnsi="Cambria"/>
          <w:color w:val="000000" w:themeColor="text1"/>
          <w:sz w:val="20"/>
          <w:szCs w:val="20"/>
          <w:lang w:val="es-ES"/>
        </w:rPr>
        <w:t xml:space="preserve">a la Comunidad </w:t>
      </w:r>
      <w:proofErr w:type="spellStart"/>
      <w:r w:rsidRPr="002A35D9">
        <w:rPr>
          <w:rFonts w:ascii="Cambria" w:hAnsi="Cambria"/>
          <w:color w:val="000000" w:themeColor="text1"/>
          <w:sz w:val="20"/>
          <w:szCs w:val="20"/>
          <w:lang w:val="es-ES"/>
        </w:rPr>
        <w:t>Shausi</w:t>
      </w:r>
      <w:proofErr w:type="spellEnd"/>
      <w:r w:rsidR="009C0F27" w:rsidRPr="002A35D9">
        <w:rPr>
          <w:rFonts w:ascii="Cambria" w:hAnsi="Cambria"/>
          <w:color w:val="000000" w:themeColor="text1"/>
          <w:sz w:val="20"/>
          <w:szCs w:val="20"/>
          <w:lang w:val="es-ES"/>
        </w:rPr>
        <w:t xml:space="preserve"> y logró la liberación de la madre y </w:t>
      </w:r>
      <w:r w:rsidR="005F6934" w:rsidRPr="002A35D9">
        <w:rPr>
          <w:rFonts w:ascii="Cambria" w:hAnsi="Cambria"/>
          <w:color w:val="000000" w:themeColor="text1"/>
          <w:sz w:val="20"/>
          <w:szCs w:val="20"/>
          <w:lang w:val="es-ES"/>
        </w:rPr>
        <w:t xml:space="preserve">la </w:t>
      </w:r>
      <w:r w:rsidR="009C0F27" w:rsidRPr="002A35D9">
        <w:rPr>
          <w:rFonts w:ascii="Cambria" w:hAnsi="Cambria"/>
          <w:color w:val="000000" w:themeColor="text1"/>
          <w:sz w:val="20"/>
          <w:szCs w:val="20"/>
          <w:lang w:val="es-ES"/>
        </w:rPr>
        <w:t xml:space="preserve">hermana, </w:t>
      </w:r>
      <w:r w:rsidR="005F6934" w:rsidRPr="002A35D9">
        <w:rPr>
          <w:rFonts w:ascii="Cambria" w:hAnsi="Cambria"/>
          <w:color w:val="000000" w:themeColor="text1"/>
          <w:sz w:val="20"/>
          <w:szCs w:val="20"/>
          <w:lang w:val="es-ES"/>
        </w:rPr>
        <w:t>sin</w:t>
      </w:r>
      <w:r w:rsidR="008D56E6" w:rsidRPr="002A35D9">
        <w:rPr>
          <w:rFonts w:ascii="Cambria" w:hAnsi="Cambria"/>
          <w:color w:val="000000" w:themeColor="text1"/>
          <w:sz w:val="20"/>
          <w:szCs w:val="20"/>
          <w:lang w:val="es-ES"/>
        </w:rPr>
        <w:t xml:space="preserve"> lograr </w:t>
      </w:r>
      <w:r w:rsidR="009C0F27" w:rsidRPr="002A35D9">
        <w:rPr>
          <w:rFonts w:ascii="Cambria" w:hAnsi="Cambria"/>
          <w:color w:val="000000" w:themeColor="text1"/>
          <w:sz w:val="20"/>
          <w:szCs w:val="20"/>
          <w:lang w:val="es-ES"/>
        </w:rPr>
        <w:t>la liberación de</w:t>
      </w:r>
      <w:r w:rsidR="00D003C5" w:rsidRPr="002A35D9">
        <w:rPr>
          <w:rFonts w:ascii="Cambria" w:hAnsi="Cambria"/>
          <w:color w:val="000000" w:themeColor="text1"/>
          <w:sz w:val="20"/>
          <w:szCs w:val="20"/>
          <w:lang w:val="es-ES"/>
        </w:rPr>
        <w:t xml:space="preserve"> Fredy Núñez</w:t>
      </w:r>
      <w:r w:rsidR="00F35657" w:rsidRPr="002A35D9">
        <w:rPr>
          <w:rFonts w:ascii="Cambria" w:hAnsi="Cambria"/>
          <w:color w:val="000000" w:themeColor="text1"/>
          <w:sz w:val="20"/>
          <w:szCs w:val="20"/>
          <w:lang w:val="es-ES"/>
        </w:rPr>
        <w:t>.</w:t>
      </w:r>
      <w:r w:rsidR="00DA02EE" w:rsidRPr="002A35D9">
        <w:rPr>
          <w:rFonts w:ascii="Cambria" w:hAnsi="Cambria"/>
          <w:color w:val="000000" w:themeColor="text1"/>
          <w:sz w:val="20"/>
          <w:szCs w:val="20"/>
          <w:lang w:val="es-ES"/>
        </w:rPr>
        <w:t xml:space="preserve"> </w:t>
      </w:r>
      <w:r w:rsidR="00C012B7" w:rsidRPr="002A35D9">
        <w:rPr>
          <w:rFonts w:ascii="Cambria" w:hAnsi="Cambria"/>
          <w:color w:val="000000" w:themeColor="text1"/>
          <w:sz w:val="20"/>
          <w:szCs w:val="20"/>
          <w:lang w:val="es-ES"/>
        </w:rPr>
        <w:t xml:space="preserve">Refirió que después de permanecer por unas horas en la Comunidad </w:t>
      </w:r>
      <w:proofErr w:type="spellStart"/>
      <w:r w:rsidR="00C012B7" w:rsidRPr="002A35D9">
        <w:rPr>
          <w:rFonts w:ascii="Cambria" w:hAnsi="Cambria"/>
          <w:color w:val="000000" w:themeColor="text1"/>
          <w:sz w:val="20"/>
          <w:szCs w:val="20"/>
          <w:lang w:val="es-ES"/>
        </w:rPr>
        <w:t>Shausi</w:t>
      </w:r>
      <w:proofErr w:type="spellEnd"/>
      <w:r w:rsidR="00C012B7" w:rsidRPr="002A35D9">
        <w:rPr>
          <w:rFonts w:ascii="Cambria" w:hAnsi="Cambria"/>
          <w:color w:val="000000" w:themeColor="text1"/>
          <w:sz w:val="20"/>
          <w:szCs w:val="20"/>
          <w:lang w:val="es-ES"/>
        </w:rPr>
        <w:t xml:space="preserve">, fue subido a un vehículo y desde entonces se desconoce su paradero. </w:t>
      </w:r>
    </w:p>
    <w:p w14:paraId="0599724A" w14:textId="77777777" w:rsidR="002A35D9" w:rsidRDefault="002A35D9" w:rsidP="002A35D9">
      <w:pPr>
        <w:pStyle w:val="Prrafodelista"/>
        <w:rPr>
          <w:color w:val="000000" w:themeColor="text1"/>
          <w:sz w:val="20"/>
          <w:szCs w:val="20"/>
          <w:lang w:val="es-ES"/>
        </w:rPr>
      </w:pPr>
    </w:p>
    <w:p w14:paraId="6AC24118" w14:textId="77777777" w:rsidR="002A35D9" w:rsidRDefault="00DF3579"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Cambria" w:hAnsi="Cambria"/>
          <w:color w:val="000000" w:themeColor="text1"/>
          <w:sz w:val="20"/>
          <w:szCs w:val="20"/>
          <w:lang w:val="es-ES"/>
        </w:rPr>
        <w:t xml:space="preserve">La parte peticionaria argumentó que las “Juntas de Defensa del Campesinado” que perpetraron la desaparición de la presunta víctima actuaban con el auspicio de la </w:t>
      </w:r>
      <w:r w:rsidR="002C0F74" w:rsidRPr="002A35D9">
        <w:rPr>
          <w:rFonts w:ascii="Cambria" w:hAnsi="Cambria"/>
          <w:color w:val="000000" w:themeColor="text1"/>
          <w:sz w:val="20"/>
          <w:szCs w:val="20"/>
          <w:lang w:val="es-ES"/>
        </w:rPr>
        <w:t>F</w:t>
      </w:r>
      <w:r w:rsidRPr="002A35D9">
        <w:rPr>
          <w:rFonts w:ascii="Cambria" w:hAnsi="Cambria"/>
          <w:color w:val="000000" w:themeColor="text1"/>
          <w:sz w:val="20"/>
          <w:szCs w:val="20"/>
          <w:lang w:val="es-ES"/>
        </w:rPr>
        <w:t xml:space="preserve">iscalía </w:t>
      </w:r>
      <w:r w:rsidR="00A424EE" w:rsidRPr="002A35D9">
        <w:rPr>
          <w:rFonts w:ascii="Cambria" w:hAnsi="Cambria"/>
          <w:color w:val="000000" w:themeColor="text1"/>
          <w:sz w:val="20"/>
          <w:szCs w:val="20"/>
          <w:lang w:val="es-ES"/>
        </w:rPr>
        <w:t xml:space="preserve">pues existía una relación estrecha entre el </w:t>
      </w:r>
      <w:proofErr w:type="gramStart"/>
      <w:r w:rsidR="00A424EE" w:rsidRPr="002A35D9">
        <w:rPr>
          <w:rFonts w:ascii="Cambria" w:hAnsi="Cambria"/>
          <w:color w:val="000000" w:themeColor="text1"/>
          <w:sz w:val="20"/>
          <w:szCs w:val="20"/>
          <w:lang w:val="es-ES"/>
        </w:rPr>
        <w:t>Fiscal General</w:t>
      </w:r>
      <w:proofErr w:type="gramEnd"/>
      <w:r w:rsidR="00A424EE" w:rsidRPr="002A35D9">
        <w:rPr>
          <w:rFonts w:ascii="Cambria" w:hAnsi="Cambria"/>
          <w:color w:val="000000" w:themeColor="text1"/>
          <w:sz w:val="20"/>
          <w:szCs w:val="20"/>
          <w:lang w:val="es-ES"/>
        </w:rPr>
        <w:t xml:space="preserve"> de la Nación y </w:t>
      </w:r>
      <w:r w:rsidR="00494D4B" w:rsidRPr="002A35D9">
        <w:rPr>
          <w:rFonts w:ascii="Cambria" w:hAnsi="Cambria"/>
          <w:color w:val="000000" w:themeColor="text1"/>
          <w:sz w:val="20"/>
          <w:szCs w:val="20"/>
          <w:lang w:val="es-ES"/>
        </w:rPr>
        <w:t>aquellas</w:t>
      </w:r>
      <w:r w:rsidR="00A424EE" w:rsidRPr="002A35D9">
        <w:rPr>
          <w:rFonts w:ascii="Cambria" w:hAnsi="Cambria"/>
          <w:color w:val="000000" w:themeColor="text1"/>
          <w:sz w:val="20"/>
          <w:szCs w:val="20"/>
          <w:lang w:val="es-ES"/>
        </w:rPr>
        <w:t xml:space="preserve">, y el Estado mismo permitió su formación y auge. </w:t>
      </w:r>
    </w:p>
    <w:p w14:paraId="3948291C" w14:textId="77777777" w:rsidR="002A35D9" w:rsidRDefault="002A35D9" w:rsidP="002A35D9">
      <w:pPr>
        <w:pStyle w:val="Prrafodelista"/>
        <w:rPr>
          <w:color w:val="000000" w:themeColor="text1"/>
          <w:sz w:val="20"/>
          <w:szCs w:val="20"/>
          <w:lang w:val="es-ES"/>
        </w:rPr>
      </w:pPr>
    </w:p>
    <w:p w14:paraId="205DE686" w14:textId="77777777" w:rsidR="002A35D9" w:rsidRDefault="00143F09"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Cambria" w:hAnsi="Cambria"/>
          <w:color w:val="000000" w:themeColor="text1"/>
          <w:sz w:val="20"/>
          <w:szCs w:val="20"/>
          <w:lang w:val="es-ES"/>
        </w:rPr>
        <w:t>Por otra parte, argumentó que en el marco de las investigaciones el Estado cometió una serie de faltas al deber de debida diligencia.</w:t>
      </w:r>
      <w:r w:rsidR="004F6D06" w:rsidRPr="002A35D9">
        <w:rPr>
          <w:rFonts w:ascii="Cambria" w:hAnsi="Cambria"/>
          <w:color w:val="000000" w:themeColor="text1"/>
          <w:sz w:val="20"/>
          <w:szCs w:val="20"/>
          <w:lang w:val="es-ES"/>
        </w:rPr>
        <w:t xml:space="preserve"> </w:t>
      </w:r>
      <w:proofErr w:type="spellStart"/>
      <w:r w:rsidR="004F6D06" w:rsidRPr="002A35D9">
        <w:rPr>
          <w:rFonts w:ascii="Cambria" w:hAnsi="Cambria"/>
          <w:color w:val="000000" w:themeColor="text1"/>
          <w:sz w:val="20"/>
          <w:szCs w:val="20"/>
          <w:lang w:val="es-ES"/>
        </w:rPr>
        <w:t>Indic</w:t>
      </w:r>
      <w:r w:rsidR="004F6D06" w:rsidRPr="002A35D9">
        <w:rPr>
          <w:rFonts w:ascii="Cambria" w:hAnsi="Cambria"/>
          <w:color w:val="000000" w:themeColor="text1"/>
          <w:sz w:val="20"/>
          <w:szCs w:val="20"/>
          <w:lang w:val="es-VE"/>
        </w:rPr>
        <w:t>ó</w:t>
      </w:r>
      <w:proofErr w:type="spellEnd"/>
      <w:r w:rsidR="004F6D06" w:rsidRPr="002A35D9">
        <w:rPr>
          <w:rFonts w:ascii="Cambria" w:hAnsi="Cambria"/>
          <w:color w:val="000000" w:themeColor="text1"/>
          <w:sz w:val="20"/>
          <w:szCs w:val="20"/>
          <w:lang w:val="es-VE"/>
        </w:rPr>
        <w:t xml:space="preserve"> que el Estado vinculó a siete personas a la desaparición de la víctima, sin embargo, el 11 de diciembre de 2002 el Juzgado</w:t>
      </w:r>
      <w:r w:rsidR="00DD5EF0" w:rsidRPr="002A35D9">
        <w:rPr>
          <w:rFonts w:ascii="Cambria" w:hAnsi="Cambria"/>
          <w:color w:val="000000" w:themeColor="text1"/>
          <w:sz w:val="20"/>
          <w:szCs w:val="20"/>
          <w:lang w:val="es-ES"/>
        </w:rPr>
        <w:t xml:space="preserve"> Cuarto de lo Penal dictó auto de sobreseimiento provisional </w:t>
      </w:r>
      <w:r w:rsidR="004F6D06" w:rsidRPr="002A35D9">
        <w:rPr>
          <w:rFonts w:ascii="Cambria" w:hAnsi="Cambria"/>
          <w:color w:val="000000" w:themeColor="text1"/>
          <w:sz w:val="20"/>
          <w:szCs w:val="20"/>
          <w:lang w:val="es-ES"/>
        </w:rPr>
        <w:t xml:space="preserve">a su favor. Refirió </w:t>
      </w:r>
      <w:proofErr w:type="gramStart"/>
      <w:r w:rsidR="004F6D06" w:rsidRPr="002A35D9">
        <w:rPr>
          <w:rFonts w:ascii="Cambria" w:hAnsi="Cambria"/>
          <w:color w:val="000000" w:themeColor="text1"/>
          <w:sz w:val="20"/>
          <w:szCs w:val="20"/>
          <w:lang w:val="es-ES"/>
        </w:rPr>
        <w:t>que</w:t>
      </w:r>
      <w:proofErr w:type="gramEnd"/>
      <w:r w:rsidR="004F6D06" w:rsidRPr="002A35D9">
        <w:rPr>
          <w:rFonts w:ascii="Cambria" w:hAnsi="Cambria"/>
          <w:color w:val="000000" w:themeColor="text1"/>
          <w:sz w:val="20"/>
          <w:szCs w:val="20"/>
          <w:lang w:val="es-ES"/>
        </w:rPr>
        <w:t xml:space="preserve"> </w:t>
      </w:r>
      <w:r w:rsidR="00F743F6" w:rsidRPr="002A35D9">
        <w:rPr>
          <w:rFonts w:ascii="Cambria" w:hAnsi="Cambria"/>
          <w:color w:val="000000" w:themeColor="text1"/>
          <w:sz w:val="20"/>
          <w:szCs w:val="20"/>
          <w:lang w:val="es-ES"/>
        </w:rPr>
        <w:t xml:space="preserve">en su decisión, el Juzgado Cuarto de lo Penal le restó toda eficacia probatoria a la </w:t>
      </w:r>
      <w:r w:rsidR="00F743F6" w:rsidRPr="002A35D9">
        <w:rPr>
          <w:rFonts w:ascii="Cambria" w:hAnsi="Cambria"/>
          <w:color w:val="000000" w:themeColor="text1"/>
          <w:sz w:val="20"/>
          <w:szCs w:val="20"/>
          <w:lang w:val="es-ES"/>
        </w:rPr>
        <w:lastRenderedPageBreak/>
        <w:t xml:space="preserve">evidencia recabada por la Fiscalía en la etapa indagatoria, en virtud de que dicho órgano incumplió </w:t>
      </w:r>
      <w:r w:rsidR="00DD5EF0" w:rsidRPr="002A35D9">
        <w:rPr>
          <w:rFonts w:ascii="Cambria" w:hAnsi="Cambria"/>
          <w:color w:val="000000" w:themeColor="text1"/>
          <w:sz w:val="20"/>
          <w:szCs w:val="20"/>
          <w:lang w:val="es-ES"/>
        </w:rPr>
        <w:t>c</w:t>
      </w:r>
      <w:r w:rsidR="00F743F6" w:rsidRPr="002A35D9">
        <w:rPr>
          <w:rFonts w:ascii="Cambria" w:hAnsi="Cambria"/>
          <w:color w:val="000000" w:themeColor="text1"/>
          <w:sz w:val="20"/>
          <w:szCs w:val="20"/>
          <w:lang w:val="es-ES"/>
        </w:rPr>
        <w:t>on</w:t>
      </w:r>
      <w:r w:rsidR="00DA02EE" w:rsidRPr="002A35D9">
        <w:rPr>
          <w:rFonts w:ascii="Cambria" w:hAnsi="Cambria"/>
          <w:color w:val="000000" w:themeColor="text1"/>
          <w:sz w:val="20"/>
          <w:szCs w:val="20"/>
          <w:lang w:val="es-ES"/>
        </w:rPr>
        <w:t xml:space="preserve"> </w:t>
      </w:r>
      <w:r w:rsidR="00DD5EF0" w:rsidRPr="002A35D9">
        <w:rPr>
          <w:rFonts w:ascii="Cambria" w:hAnsi="Cambria"/>
          <w:color w:val="000000" w:themeColor="text1"/>
          <w:sz w:val="20"/>
          <w:szCs w:val="20"/>
          <w:lang w:val="es-ES"/>
        </w:rPr>
        <w:t xml:space="preserve">la Ley Orgánica del Ministerio Público que ordena citar a la defensa de los imputados para su intervención en las diligencias probatorias. </w:t>
      </w:r>
    </w:p>
    <w:p w14:paraId="4D6163DE" w14:textId="77777777" w:rsidR="002A35D9" w:rsidRDefault="002A35D9" w:rsidP="002A35D9">
      <w:pPr>
        <w:pStyle w:val="Prrafodelista"/>
        <w:rPr>
          <w:color w:val="000000" w:themeColor="text1"/>
          <w:sz w:val="20"/>
          <w:szCs w:val="20"/>
          <w:lang w:val="es-ES"/>
        </w:rPr>
      </w:pPr>
    </w:p>
    <w:p w14:paraId="2C41168A" w14:textId="77777777" w:rsidR="002A35D9" w:rsidRDefault="00EF443C"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Cambria" w:hAnsi="Cambria"/>
          <w:color w:val="000000" w:themeColor="text1"/>
          <w:sz w:val="20"/>
          <w:szCs w:val="20"/>
          <w:lang w:val="es-ES"/>
        </w:rPr>
        <w:t>Con respecto</w:t>
      </w:r>
      <w:r w:rsidR="00655415" w:rsidRPr="002A35D9">
        <w:rPr>
          <w:rFonts w:ascii="Cambria" w:hAnsi="Cambria"/>
          <w:color w:val="000000" w:themeColor="text1"/>
          <w:sz w:val="20"/>
          <w:szCs w:val="20"/>
          <w:lang w:val="es-ES"/>
        </w:rPr>
        <w:t xml:space="preserve"> a las diligencias de búsqueda para dar con el paradero de la presunta víctima refirió </w:t>
      </w:r>
      <w:r w:rsidR="00033184" w:rsidRPr="002A35D9">
        <w:rPr>
          <w:rFonts w:ascii="Cambria" w:hAnsi="Cambria"/>
          <w:color w:val="000000" w:themeColor="text1"/>
          <w:sz w:val="20"/>
          <w:szCs w:val="20"/>
          <w:lang w:val="es-ES"/>
        </w:rPr>
        <w:t xml:space="preserve">que el 18 de octubre de 2004 el Juzgado Cuarto de lo Penal certificó </w:t>
      </w:r>
      <w:proofErr w:type="gramStart"/>
      <w:r w:rsidR="00033184" w:rsidRPr="002A35D9">
        <w:rPr>
          <w:rFonts w:ascii="Cambria" w:hAnsi="Cambria"/>
          <w:color w:val="000000" w:themeColor="text1"/>
          <w:sz w:val="20"/>
          <w:szCs w:val="20"/>
          <w:lang w:val="es-ES"/>
        </w:rPr>
        <w:t>que</w:t>
      </w:r>
      <w:proofErr w:type="gramEnd"/>
      <w:r w:rsidR="00033184" w:rsidRPr="002A35D9">
        <w:rPr>
          <w:rFonts w:ascii="Cambria" w:hAnsi="Cambria"/>
          <w:color w:val="000000" w:themeColor="text1"/>
          <w:sz w:val="20"/>
          <w:szCs w:val="20"/>
          <w:lang w:val="es-ES"/>
        </w:rPr>
        <w:t xml:space="preserve"> desde la decisión de sobreseimiento provisional, no habría recibido ninguna solicitud de diligencias por parte de la Fiscalía. </w:t>
      </w:r>
    </w:p>
    <w:p w14:paraId="580A6C45" w14:textId="77777777" w:rsidR="002A35D9" w:rsidRDefault="002A35D9" w:rsidP="002A35D9">
      <w:pPr>
        <w:pStyle w:val="Prrafodelista"/>
        <w:rPr>
          <w:color w:val="000000" w:themeColor="text1"/>
          <w:sz w:val="20"/>
          <w:szCs w:val="20"/>
          <w:lang w:val="es-ES"/>
        </w:rPr>
      </w:pPr>
    </w:p>
    <w:p w14:paraId="22E87F7D" w14:textId="77777777" w:rsidR="002A35D9" w:rsidRDefault="00C012B7"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Cambria" w:hAnsi="Cambria"/>
          <w:color w:val="000000" w:themeColor="text1"/>
          <w:sz w:val="20"/>
          <w:szCs w:val="20"/>
          <w:lang w:val="es-ES"/>
        </w:rPr>
        <w:t>En c</w:t>
      </w:r>
      <w:r w:rsidR="00C830E1" w:rsidRPr="002A35D9">
        <w:rPr>
          <w:rFonts w:ascii="Cambria" w:hAnsi="Cambria"/>
          <w:color w:val="000000" w:themeColor="text1"/>
          <w:sz w:val="20"/>
          <w:szCs w:val="20"/>
          <w:lang w:val="es-ES"/>
        </w:rPr>
        <w:t xml:space="preserve">uanto al derecho, argumentó que </w:t>
      </w:r>
      <w:r w:rsidR="00A421D9" w:rsidRPr="002A35D9">
        <w:rPr>
          <w:rFonts w:ascii="Cambria" w:hAnsi="Cambria"/>
          <w:color w:val="000000" w:themeColor="text1"/>
          <w:sz w:val="20"/>
          <w:szCs w:val="20"/>
          <w:lang w:val="es-ES"/>
        </w:rPr>
        <w:t>se viol</w:t>
      </w:r>
      <w:r w:rsidR="00854F1D" w:rsidRPr="002A35D9">
        <w:rPr>
          <w:rFonts w:ascii="Cambria" w:hAnsi="Cambria"/>
          <w:color w:val="000000" w:themeColor="text1"/>
          <w:sz w:val="20"/>
          <w:szCs w:val="20"/>
          <w:lang w:val="es-ES"/>
        </w:rPr>
        <w:t xml:space="preserve">aron los </w:t>
      </w:r>
      <w:r w:rsidR="00A421D9" w:rsidRPr="002A35D9">
        <w:rPr>
          <w:rFonts w:ascii="Cambria" w:hAnsi="Cambria"/>
          <w:b/>
          <w:color w:val="000000" w:themeColor="text1"/>
          <w:sz w:val="20"/>
          <w:szCs w:val="20"/>
          <w:lang w:val="es-ES"/>
        </w:rPr>
        <w:t>derecho</w:t>
      </w:r>
      <w:r w:rsidR="00854F1D" w:rsidRPr="002A35D9">
        <w:rPr>
          <w:rFonts w:ascii="Cambria" w:hAnsi="Cambria"/>
          <w:b/>
          <w:color w:val="000000" w:themeColor="text1"/>
          <w:sz w:val="20"/>
          <w:szCs w:val="20"/>
          <w:lang w:val="es-ES"/>
        </w:rPr>
        <w:t>s</w:t>
      </w:r>
      <w:r w:rsidR="00A421D9" w:rsidRPr="002A35D9">
        <w:rPr>
          <w:rFonts w:ascii="Cambria" w:hAnsi="Cambria"/>
          <w:b/>
          <w:color w:val="000000" w:themeColor="text1"/>
          <w:sz w:val="20"/>
          <w:szCs w:val="20"/>
          <w:lang w:val="es-ES"/>
        </w:rPr>
        <w:t xml:space="preserve"> </w:t>
      </w:r>
      <w:r w:rsidR="00A421D9" w:rsidRPr="002A35D9">
        <w:rPr>
          <w:rFonts w:ascii="Cambria" w:hAnsi="Cambria"/>
          <w:b/>
          <w:bCs/>
          <w:sz w:val="20"/>
          <w:szCs w:val="20"/>
          <w:bdr w:val="none" w:sz="0" w:space="0" w:color="auto"/>
          <w:lang w:val="es-ES"/>
        </w:rPr>
        <w:t>a la vida</w:t>
      </w:r>
      <w:r w:rsidR="007A4895" w:rsidRPr="002A35D9">
        <w:rPr>
          <w:rFonts w:ascii="Cambria" w:hAnsi="Cambria"/>
          <w:b/>
          <w:bCs/>
          <w:sz w:val="20"/>
          <w:szCs w:val="20"/>
          <w:bdr w:val="none" w:sz="0" w:space="0" w:color="auto"/>
          <w:lang w:val="es-ES"/>
        </w:rPr>
        <w:t xml:space="preserve"> y libertad personal</w:t>
      </w:r>
      <w:r w:rsidR="0057217A" w:rsidRPr="002A35D9">
        <w:rPr>
          <w:rFonts w:ascii="Cambria" w:hAnsi="Cambria"/>
          <w:b/>
          <w:bCs/>
          <w:color w:val="1F497D" w:themeColor="text2"/>
          <w:sz w:val="20"/>
          <w:szCs w:val="20"/>
          <w:bdr w:val="none" w:sz="0" w:space="0" w:color="auto"/>
          <w:lang w:val="es-ES"/>
        </w:rPr>
        <w:t xml:space="preserve"> </w:t>
      </w:r>
      <w:r w:rsidR="0057217A" w:rsidRPr="002A35D9">
        <w:rPr>
          <w:rFonts w:ascii="Cambria" w:hAnsi="Cambria"/>
          <w:color w:val="000000" w:themeColor="text1"/>
          <w:sz w:val="20"/>
          <w:szCs w:val="20"/>
          <w:lang w:val="es-ES"/>
        </w:rPr>
        <w:t xml:space="preserve">porque han pasado más de 17 años desde que Fredy Núñez fue secuestrado </w:t>
      </w:r>
      <w:r w:rsidR="006023A8" w:rsidRPr="002A35D9">
        <w:rPr>
          <w:rFonts w:ascii="Cambria" w:hAnsi="Cambria"/>
          <w:color w:val="000000" w:themeColor="text1"/>
          <w:sz w:val="20"/>
          <w:szCs w:val="20"/>
          <w:lang w:val="es-ES"/>
        </w:rPr>
        <w:t>del destacamento de P</w:t>
      </w:r>
      <w:r w:rsidR="0057217A" w:rsidRPr="002A35D9">
        <w:rPr>
          <w:rFonts w:ascii="Cambria" w:hAnsi="Cambria"/>
          <w:color w:val="000000" w:themeColor="text1"/>
          <w:sz w:val="20"/>
          <w:szCs w:val="20"/>
          <w:lang w:val="es-ES"/>
        </w:rPr>
        <w:t>olicía y no se ha tenido conocimiento de su paradero.</w:t>
      </w:r>
    </w:p>
    <w:p w14:paraId="4C6FB1E1" w14:textId="77777777" w:rsidR="002A35D9" w:rsidRDefault="002A35D9" w:rsidP="002A35D9">
      <w:pPr>
        <w:pStyle w:val="Prrafodelista"/>
        <w:rPr>
          <w:rFonts w:asciiTheme="majorHAnsi" w:hAnsiTheme="majorHAnsi"/>
          <w:color w:val="000000" w:themeColor="text1"/>
          <w:sz w:val="20"/>
          <w:szCs w:val="20"/>
          <w:lang w:val="es-ES"/>
        </w:rPr>
      </w:pPr>
    </w:p>
    <w:p w14:paraId="7407EBE9" w14:textId="77777777" w:rsidR="002A35D9" w:rsidRDefault="00351D8D"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Theme="majorHAnsi" w:hAnsiTheme="majorHAnsi"/>
          <w:color w:val="000000" w:themeColor="text1"/>
          <w:sz w:val="20"/>
          <w:szCs w:val="20"/>
          <w:lang w:val="es-ES"/>
        </w:rPr>
        <w:t xml:space="preserve">Indicó que se violó </w:t>
      </w:r>
      <w:r w:rsidRPr="002A35D9">
        <w:rPr>
          <w:rFonts w:asciiTheme="majorHAnsi" w:hAnsiTheme="majorHAnsi"/>
          <w:b/>
          <w:bCs/>
          <w:sz w:val="20"/>
          <w:szCs w:val="20"/>
          <w:bdr w:val="none" w:sz="0" w:space="0" w:color="auto"/>
          <w:lang w:val="es-ES"/>
        </w:rPr>
        <w:t>el derecho a</w:t>
      </w:r>
      <w:r w:rsidR="00C260A3" w:rsidRPr="002A35D9">
        <w:rPr>
          <w:rFonts w:asciiTheme="majorHAnsi" w:hAnsiTheme="majorHAnsi"/>
          <w:b/>
          <w:bCs/>
          <w:sz w:val="20"/>
          <w:szCs w:val="20"/>
          <w:bdr w:val="none" w:sz="0" w:space="0" w:color="auto"/>
          <w:lang w:val="es-ES"/>
        </w:rPr>
        <w:t>l reconocimiento de</w:t>
      </w:r>
      <w:r w:rsidRPr="002A35D9">
        <w:rPr>
          <w:rFonts w:asciiTheme="majorHAnsi" w:hAnsiTheme="majorHAnsi"/>
          <w:b/>
          <w:bCs/>
          <w:sz w:val="20"/>
          <w:szCs w:val="20"/>
          <w:bdr w:val="none" w:sz="0" w:space="0" w:color="auto"/>
          <w:lang w:val="es-ES"/>
        </w:rPr>
        <w:t xml:space="preserve"> la personalidad jurídica</w:t>
      </w:r>
      <w:r w:rsidR="00F1616A" w:rsidRPr="002A35D9">
        <w:rPr>
          <w:rFonts w:asciiTheme="majorHAnsi" w:hAnsiTheme="majorHAnsi"/>
          <w:b/>
          <w:bCs/>
          <w:sz w:val="20"/>
          <w:szCs w:val="20"/>
          <w:bdr w:val="none" w:sz="0" w:space="0" w:color="auto"/>
          <w:lang w:val="es-ES"/>
        </w:rPr>
        <w:t xml:space="preserve">, </w:t>
      </w:r>
      <w:r w:rsidR="00F1616A" w:rsidRPr="002A35D9">
        <w:rPr>
          <w:rFonts w:asciiTheme="majorHAnsi" w:hAnsiTheme="majorHAnsi"/>
          <w:color w:val="000000" w:themeColor="text1"/>
          <w:sz w:val="20"/>
          <w:szCs w:val="20"/>
          <w:lang w:val="es-ES"/>
        </w:rPr>
        <w:t>porque la privación de libertad de la presunta víctima lo imposibilitó para ejercer sus derechos.</w:t>
      </w:r>
      <w:r w:rsidR="00F1616A" w:rsidRPr="002A35D9" w:rsidDel="00D45F2A">
        <w:rPr>
          <w:rFonts w:asciiTheme="majorHAnsi" w:hAnsiTheme="majorHAnsi"/>
          <w:color w:val="000000" w:themeColor="text1"/>
          <w:sz w:val="20"/>
          <w:szCs w:val="20"/>
          <w:lang w:val="es-ES"/>
        </w:rPr>
        <w:t xml:space="preserve"> </w:t>
      </w:r>
    </w:p>
    <w:p w14:paraId="6EF24E6A" w14:textId="77777777" w:rsidR="002A35D9" w:rsidRDefault="002A35D9" w:rsidP="002A35D9">
      <w:pPr>
        <w:pStyle w:val="Prrafodelista"/>
        <w:rPr>
          <w:rFonts w:asciiTheme="majorHAnsi" w:hAnsiTheme="majorHAnsi"/>
          <w:color w:val="000000" w:themeColor="text1"/>
          <w:sz w:val="20"/>
          <w:szCs w:val="20"/>
          <w:lang w:val="es-ES"/>
        </w:rPr>
      </w:pPr>
    </w:p>
    <w:p w14:paraId="60B7339D" w14:textId="77777777" w:rsidR="008C416C" w:rsidRPr="002A35D9" w:rsidRDefault="000E1FB2"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olor w:val="000000" w:themeColor="text1"/>
          <w:sz w:val="20"/>
          <w:szCs w:val="20"/>
          <w:lang w:val="es-ES"/>
        </w:rPr>
      </w:pPr>
      <w:r w:rsidRPr="002A35D9">
        <w:rPr>
          <w:rFonts w:asciiTheme="majorHAnsi" w:hAnsiTheme="majorHAnsi"/>
          <w:color w:val="000000" w:themeColor="text1"/>
          <w:sz w:val="20"/>
          <w:szCs w:val="20"/>
          <w:lang w:val="es-ES"/>
        </w:rPr>
        <w:t xml:space="preserve">Finalmente, </w:t>
      </w:r>
      <w:r w:rsidR="00D45F2A" w:rsidRPr="002A35D9">
        <w:rPr>
          <w:rFonts w:asciiTheme="majorHAnsi" w:hAnsiTheme="majorHAnsi"/>
          <w:color w:val="000000" w:themeColor="text1"/>
          <w:sz w:val="20"/>
          <w:szCs w:val="20"/>
          <w:lang w:val="es-ES"/>
        </w:rPr>
        <w:t xml:space="preserve">argumentó la violación del </w:t>
      </w:r>
      <w:r w:rsidR="00D45F2A" w:rsidRPr="002A35D9">
        <w:rPr>
          <w:rFonts w:asciiTheme="majorHAnsi" w:hAnsiTheme="majorHAnsi"/>
          <w:b/>
          <w:color w:val="000000" w:themeColor="text1"/>
          <w:sz w:val="20"/>
          <w:szCs w:val="20"/>
          <w:lang w:val="es-ES"/>
        </w:rPr>
        <w:t xml:space="preserve">derecho a las </w:t>
      </w:r>
      <w:proofErr w:type="gramStart"/>
      <w:r w:rsidR="00D45F2A" w:rsidRPr="002A35D9">
        <w:rPr>
          <w:rFonts w:asciiTheme="majorHAnsi" w:hAnsiTheme="majorHAnsi"/>
          <w:b/>
          <w:color w:val="000000" w:themeColor="text1"/>
          <w:sz w:val="20"/>
          <w:szCs w:val="20"/>
          <w:lang w:val="es-ES"/>
        </w:rPr>
        <w:t>garantías judiciales y protección judicial</w:t>
      </w:r>
      <w:proofErr w:type="gramEnd"/>
      <w:r w:rsidR="00D45F2A" w:rsidRPr="002A35D9">
        <w:rPr>
          <w:rFonts w:asciiTheme="majorHAnsi" w:hAnsiTheme="majorHAnsi"/>
          <w:color w:val="000000" w:themeColor="text1"/>
          <w:sz w:val="20"/>
          <w:szCs w:val="20"/>
          <w:lang w:val="es-ES"/>
        </w:rPr>
        <w:t xml:space="preserve"> </w:t>
      </w:r>
      <w:r w:rsidR="00C012B7" w:rsidRPr="002A35D9">
        <w:rPr>
          <w:rFonts w:asciiTheme="majorHAnsi" w:hAnsiTheme="majorHAnsi"/>
          <w:color w:val="000000" w:themeColor="text1"/>
          <w:sz w:val="20"/>
          <w:szCs w:val="20"/>
          <w:lang w:val="es-ES"/>
        </w:rPr>
        <w:t xml:space="preserve">por la falta de investigación adecuada de los hechos denunciados. </w:t>
      </w:r>
    </w:p>
    <w:p w14:paraId="6F43F8A8" w14:textId="77777777" w:rsidR="0053484E" w:rsidRPr="000A209E" w:rsidRDefault="0053484E" w:rsidP="004E08B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themeColor="text1"/>
          <w:sz w:val="20"/>
          <w:szCs w:val="20"/>
          <w:lang w:val="es-ES"/>
        </w:rPr>
      </w:pPr>
    </w:p>
    <w:p w14:paraId="1DA73115" w14:textId="77777777" w:rsidR="00D45F2A" w:rsidRPr="000A209E" w:rsidRDefault="00C60C22" w:rsidP="002A35D9">
      <w:pPr>
        <w:pStyle w:val="Ttulo2"/>
        <w:numPr>
          <w:ilvl w:val="0"/>
          <w:numId w:val="56"/>
        </w:numPr>
        <w:tabs>
          <w:tab w:val="left" w:pos="540"/>
        </w:tabs>
        <w:spacing w:before="0" w:after="0"/>
        <w:ind w:left="0" w:firstLine="0"/>
        <w:jc w:val="both"/>
        <w:rPr>
          <w:rFonts w:ascii="Cambria" w:hAnsi="Cambria"/>
          <w:i w:val="0"/>
          <w:color w:val="000000" w:themeColor="text1"/>
          <w:sz w:val="20"/>
          <w:szCs w:val="20"/>
          <w:lang w:val="es-ES"/>
        </w:rPr>
      </w:pPr>
      <w:bookmarkStart w:id="3" w:name="_Toc5359023"/>
      <w:r w:rsidRPr="000A209E">
        <w:rPr>
          <w:rFonts w:ascii="Cambria" w:hAnsi="Cambria"/>
          <w:i w:val="0"/>
          <w:color w:val="000000" w:themeColor="text1"/>
          <w:sz w:val="20"/>
          <w:szCs w:val="20"/>
          <w:lang w:val="es-ES"/>
        </w:rPr>
        <w:t>Estado</w:t>
      </w:r>
      <w:bookmarkEnd w:id="3"/>
    </w:p>
    <w:p w14:paraId="3212A369" w14:textId="77777777" w:rsidR="00D32CA9" w:rsidRPr="00B431F1" w:rsidRDefault="00D32CA9" w:rsidP="00D32CA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themeColor="text1"/>
          <w:sz w:val="20"/>
          <w:szCs w:val="20"/>
          <w:lang w:val="es-ES"/>
        </w:rPr>
      </w:pPr>
    </w:p>
    <w:p w14:paraId="1013B024" w14:textId="77777777" w:rsidR="002A35D9" w:rsidRDefault="001D382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B431F1">
        <w:rPr>
          <w:rFonts w:asciiTheme="majorHAnsi" w:hAnsiTheme="majorHAnsi"/>
          <w:color w:val="000000" w:themeColor="text1"/>
          <w:sz w:val="20"/>
          <w:szCs w:val="20"/>
          <w:lang w:val="es-ES"/>
        </w:rPr>
        <w:t>E</w:t>
      </w:r>
      <w:r w:rsidR="00C012B7" w:rsidRPr="00B431F1">
        <w:rPr>
          <w:rFonts w:asciiTheme="majorHAnsi" w:hAnsiTheme="majorHAnsi"/>
          <w:color w:val="000000" w:themeColor="text1"/>
          <w:sz w:val="20"/>
          <w:szCs w:val="20"/>
          <w:lang w:val="es-ES"/>
        </w:rPr>
        <w:t>l Estado</w:t>
      </w:r>
      <w:r w:rsidR="00C41237" w:rsidRPr="00B431F1">
        <w:rPr>
          <w:rFonts w:asciiTheme="majorHAnsi" w:hAnsiTheme="majorHAnsi"/>
          <w:color w:val="000000" w:themeColor="text1"/>
          <w:sz w:val="20"/>
          <w:szCs w:val="20"/>
          <w:lang w:val="es-ES"/>
        </w:rPr>
        <w:t xml:space="preserve"> </w:t>
      </w:r>
      <w:r w:rsidR="008B1EDD" w:rsidRPr="00B431F1">
        <w:rPr>
          <w:rFonts w:asciiTheme="majorHAnsi" w:hAnsiTheme="majorHAnsi"/>
          <w:color w:val="000000" w:themeColor="text1"/>
          <w:sz w:val="20"/>
          <w:szCs w:val="20"/>
          <w:lang w:val="es-ES"/>
        </w:rPr>
        <w:t>negó en primer lugar que los hechos configuren una desaparición forzada. Al respecto, indicó que agentes estatales</w:t>
      </w:r>
      <w:r w:rsidR="00593260">
        <w:rPr>
          <w:rFonts w:asciiTheme="majorHAnsi" w:hAnsiTheme="majorHAnsi"/>
          <w:color w:val="000000" w:themeColor="text1"/>
          <w:sz w:val="20"/>
          <w:szCs w:val="20"/>
          <w:lang w:val="es-ES"/>
        </w:rPr>
        <w:t xml:space="preserve"> no sustrajeron a la presunta víctima de la cárcel donde estaba detenida,</w:t>
      </w:r>
      <w:r w:rsidR="008F634D">
        <w:rPr>
          <w:rFonts w:asciiTheme="majorHAnsi" w:hAnsiTheme="majorHAnsi"/>
          <w:color w:val="000000" w:themeColor="text1"/>
          <w:sz w:val="20"/>
          <w:szCs w:val="20"/>
          <w:lang w:val="es-ES"/>
        </w:rPr>
        <w:t xml:space="preserve"> </w:t>
      </w:r>
      <w:r w:rsidR="008B1EDD" w:rsidRPr="00593260">
        <w:rPr>
          <w:rFonts w:asciiTheme="majorHAnsi" w:hAnsiTheme="majorHAnsi"/>
          <w:color w:val="000000" w:themeColor="text1"/>
          <w:sz w:val="20"/>
          <w:szCs w:val="20"/>
          <w:lang w:val="es-ES"/>
        </w:rPr>
        <w:t xml:space="preserve">y refirió que en la desaparición de la presunta víctima podrían estar involucrados </w:t>
      </w:r>
      <w:r w:rsidR="000A1DF9" w:rsidRPr="00593260">
        <w:rPr>
          <w:rFonts w:asciiTheme="majorHAnsi" w:hAnsiTheme="majorHAnsi"/>
          <w:color w:val="000000" w:themeColor="text1"/>
          <w:sz w:val="20"/>
          <w:szCs w:val="20"/>
          <w:lang w:val="es-ES"/>
        </w:rPr>
        <w:t>actores</w:t>
      </w:r>
      <w:r w:rsidR="008B1EDD" w:rsidRPr="00593260">
        <w:rPr>
          <w:rFonts w:asciiTheme="majorHAnsi" w:hAnsiTheme="majorHAnsi"/>
          <w:color w:val="000000" w:themeColor="text1"/>
          <w:sz w:val="20"/>
          <w:szCs w:val="20"/>
          <w:lang w:val="es-ES"/>
        </w:rPr>
        <w:t xml:space="preserve"> particulares</w:t>
      </w:r>
      <w:r w:rsidR="007D2FC6" w:rsidRPr="00593260">
        <w:rPr>
          <w:rFonts w:asciiTheme="majorHAnsi" w:hAnsiTheme="majorHAnsi"/>
          <w:color w:val="000000" w:themeColor="text1"/>
          <w:sz w:val="20"/>
          <w:szCs w:val="20"/>
          <w:lang w:val="es-ES"/>
        </w:rPr>
        <w:t xml:space="preserve">. Destacó que no existió participación de </w:t>
      </w:r>
      <w:r w:rsidR="008B1EDD" w:rsidRPr="00593260">
        <w:rPr>
          <w:rFonts w:asciiTheme="majorHAnsi" w:hAnsiTheme="majorHAnsi"/>
          <w:color w:val="000000" w:themeColor="text1"/>
          <w:sz w:val="20"/>
          <w:szCs w:val="20"/>
          <w:lang w:val="es-ES"/>
        </w:rPr>
        <w:t>ningún agente p</w:t>
      </w:r>
      <w:r w:rsidR="001201C2" w:rsidRPr="00593260">
        <w:rPr>
          <w:rFonts w:asciiTheme="majorHAnsi" w:hAnsiTheme="majorHAnsi"/>
          <w:color w:val="000000" w:themeColor="text1"/>
          <w:sz w:val="20"/>
          <w:szCs w:val="20"/>
          <w:lang w:val="es-ES"/>
        </w:rPr>
        <w:t xml:space="preserve">úblico ni activamente ni por tolerancia o aquiescencia. </w:t>
      </w:r>
      <w:r w:rsidR="008F634D">
        <w:rPr>
          <w:rFonts w:asciiTheme="majorHAnsi" w:hAnsiTheme="majorHAnsi"/>
          <w:color w:val="000000" w:themeColor="text1"/>
          <w:sz w:val="20"/>
          <w:szCs w:val="20"/>
          <w:lang w:val="es-ES"/>
        </w:rPr>
        <w:t xml:space="preserve"> </w:t>
      </w:r>
    </w:p>
    <w:p w14:paraId="5E590302"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Theme="majorHAnsi" w:hAnsiTheme="majorHAnsi"/>
          <w:color w:val="000000" w:themeColor="text1"/>
          <w:sz w:val="20"/>
          <w:szCs w:val="20"/>
          <w:lang w:val="es-ES"/>
        </w:rPr>
      </w:pPr>
    </w:p>
    <w:p w14:paraId="17D54AD5" w14:textId="77777777" w:rsidR="002A35D9" w:rsidRDefault="00FC1BAA"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Asimismo, indicó que </w:t>
      </w:r>
      <w:r w:rsidR="00F523E6" w:rsidRPr="002A35D9">
        <w:rPr>
          <w:rFonts w:asciiTheme="majorHAnsi" w:hAnsiTheme="majorHAnsi"/>
          <w:color w:val="000000" w:themeColor="text1"/>
          <w:sz w:val="20"/>
          <w:szCs w:val="20"/>
          <w:lang w:val="es-ES"/>
        </w:rPr>
        <w:t>la investigación de los hechos se ha desarrollado de manera completa e imparcial y con los estándares de debida diligencia requeridos. Indicó que desde el primer momento se ha permitido a los familiares de la presunta víctima participar activamente en el proceso</w:t>
      </w:r>
      <w:r w:rsidR="00247217" w:rsidRPr="002A35D9">
        <w:rPr>
          <w:rFonts w:asciiTheme="majorHAnsi" w:hAnsiTheme="majorHAnsi"/>
          <w:color w:val="000000" w:themeColor="text1"/>
          <w:sz w:val="20"/>
          <w:szCs w:val="20"/>
          <w:lang w:val="es-ES"/>
        </w:rPr>
        <w:t>, cuyas actuaciones han estado abiertas para ellos</w:t>
      </w:r>
      <w:r w:rsidR="00F523E6" w:rsidRPr="002A35D9">
        <w:rPr>
          <w:rFonts w:asciiTheme="majorHAnsi" w:hAnsiTheme="majorHAnsi"/>
          <w:color w:val="000000" w:themeColor="text1"/>
          <w:sz w:val="20"/>
          <w:szCs w:val="20"/>
          <w:lang w:val="es-ES"/>
        </w:rPr>
        <w:t>.</w:t>
      </w:r>
      <w:r w:rsidR="00DA02EE" w:rsidRPr="002A35D9">
        <w:rPr>
          <w:rFonts w:asciiTheme="majorHAnsi" w:hAnsiTheme="majorHAnsi"/>
          <w:color w:val="000000" w:themeColor="text1"/>
          <w:sz w:val="20"/>
          <w:szCs w:val="20"/>
          <w:lang w:val="es-ES"/>
        </w:rPr>
        <w:t xml:space="preserve"> </w:t>
      </w:r>
      <w:r w:rsidR="0029605A" w:rsidRPr="002A35D9">
        <w:rPr>
          <w:rFonts w:asciiTheme="majorHAnsi" w:hAnsiTheme="majorHAnsi"/>
          <w:color w:val="000000" w:themeColor="text1"/>
          <w:sz w:val="20"/>
          <w:szCs w:val="20"/>
          <w:lang w:val="es-ES"/>
        </w:rPr>
        <w:t xml:space="preserve">Refirió que el 16 de agosto de 2001 la Policía Nacional analizó indicios sobre amenazas realizadas por comuneros de </w:t>
      </w:r>
      <w:proofErr w:type="spellStart"/>
      <w:r w:rsidR="001C7F2A" w:rsidRPr="002A35D9">
        <w:rPr>
          <w:rFonts w:asciiTheme="majorHAnsi" w:hAnsiTheme="majorHAnsi"/>
          <w:color w:val="000000" w:themeColor="text1"/>
          <w:sz w:val="20"/>
          <w:szCs w:val="20"/>
          <w:lang w:val="es-ES"/>
        </w:rPr>
        <w:t>Puñachisag</w:t>
      </w:r>
      <w:proofErr w:type="spellEnd"/>
      <w:r w:rsidR="0029605A" w:rsidRPr="002A35D9">
        <w:rPr>
          <w:rFonts w:asciiTheme="majorHAnsi" w:hAnsiTheme="majorHAnsi"/>
          <w:color w:val="000000" w:themeColor="text1"/>
          <w:sz w:val="20"/>
          <w:szCs w:val="20"/>
          <w:lang w:val="es-ES"/>
        </w:rPr>
        <w:t xml:space="preserve"> y </w:t>
      </w:r>
      <w:proofErr w:type="spellStart"/>
      <w:r w:rsidR="0029605A" w:rsidRPr="002A35D9">
        <w:rPr>
          <w:rFonts w:asciiTheme="majorHAnsi" w:hAnsiTheme="majorHAnsi"/>
          <w:color w:val="000000" w:themeColor="text1"/>
          <w:sz w:val="20"/>
          <w:szCs w:val="20"/>
          <w:lang w:val="es-ES"/>
        </w:rPr>
        <w:t>Shausi</w:t>
      </w:r>
      <w:proofErr w:type="spellEnd"/>
      <w:r w:rsidR="0029605A" w:rsidRPr="002A35D9">
        <w:rPr>
          <w:rFonts w:asciiTheme="majorHAnsi" w:hAnsiTheme="majorHAnsi"/>
          <w:color w:val="000000" w:themeColor="text1"/>
          <w:sz w:val="20"/>
          <w:szCs w:val="20"/>
          <w:lang w:val="es-ES"/>
        </w:rPr>
        <w:t xml:space="preserve"> a los familiares de la presunta víctima.</w:t>
      </w:r>
    </w:p>
    <w:p w14:paraId="6CA47E74" w14:textId="77777777" w:rsidR="002A35D9" w:rsidRDefault="002A35D9" w:rsidP="002A35D9">
      <w:pPr>
        <w:pStyle w:val="Prrafodelista"/>
        <w:rPr>
          <w:rFonts w:asciiTheme="majorHAnsi" w:hAnsiTheme="majorHAnsi"/>
          <w:color w:val="000000" w:themeColor="text1"/>
          <w:sz w:val="20"/>
          <w:szCs w:val="20"/>
          <w:lang w:val="es-ES"/>
        </w:rPr>
      </w:pPr>
    </w:p>
    <w:p w14:paraId="7D94275E" w14:textId="77777777" w:rsidR="002A35D9" w:rsidRDefault="0029605A"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Expresó que el 21 de noviembre de 2001 el Agente Fiscal de la Provincia de Tungurahua decretó el inició de la indagación previa, el 8 de mayo de 2002 se abrió instrucción fiscal</w:t>
      </w:r>
      <w:r w:rsidR="00DA02EE" w:rsidRPr="002A35D9">
        <w:rPr>
          <w:rFonts w:asciiTheme="majorHAnsi" w:hAnsiTheme="majorHAnsi"/>
          <w:color w:val="000000" w:themeColor="text1"/>
          <w:sz w:val="20"/>
          <w:szCs w:val="20"/>
          <w:lang w:val="es-ES"/>
        </w:rPr>
        <w:t xml:space="preserve"> por el delito de plagio y el 10</w:t>
      </w:r>
      <w:r w:rsidRPr="002A35D9">
        <w:rPr>
          <w:rFonts w:asciiTheme="majorHAnsi" w:hAnsiTheme="majorHAnsi"/>
          <w:color w:val="000000" w:themeColor="text1"/>
          <w:sz w:val="20"/>
          <w:szCs w:val="20"/>
          <w:lang w:val="es-ES"/>
        </w:rPr>
        <w:t xml:space="preserve"> de </w:t>
      </w:r>
      <w:r w:rsidR="00DA02EE" w:rsidRPr="002A35D9">
        <w:rPr>
          <w:rFonts w:asciiTheme="majorHAnsi" w:hAnsiTheme="majorHAnsi"/>
          <w:color w:val="000000" w:themeColor="text1"/>
          <w:sz w:val="20"/>
          <w:szCs w:val="20"/>
          <w:lang w:val="es-ES"/>
        </w:rPr>
        <w:t>mayo</w:t>
      </w:r>
      <w:r w:rsidRPr="002A35D9">
        <w:rPr>
          <w:rFonts w:asciiTheme="majorHAnsi" w:hAnsiTheme="majorHAnsi"/>
          <w:color w:val="000000" w:themeColor="text1"/>
          <w:sz w:val="20"/>
          <w:szCs w:val="20"/>
          <w:lang w:val="es-ES"/>
        </w:rPr>
        <w:t xml:space="preserve"> de 2002 se dictó orden de detención contra siete personas. </w:t>
      </w:r>
    </w:p>
    <w:p w14:paraId="37B72B79" w14:textId="77777777" w:rsidR="002A35D9" w:rsidRDefault="002A35D9" w:rsidP="002A35D9">
      <w:pPr>
        <w:pStyle w:val="Prrafodelista"/>
        <w:rPr>
          <w:rFonts w:asciiTheme="majorHAnsi" w:hAnsiTheme="majorHAnsi"/>
          <w:color w:val="000000" w:themeColor="text1"/>
          <w:sz w:val="20"/>
          <w:szCs w:val="20"/>
          <w:lang w:val="es-ES"/>
        </w:rPr>
      </w:pPr>
    </w:p>
    <w:p w14:paraId="090B9135" w14:textId="77777777" w:rsidR="002A35D9" w:rsidRDefault="0040756E"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Añadió que el 11 de julio de 2002 las personas detenidas solicitaron amparo de libertad ante la Corte Superior de Justicia, la cual concedió dicha libertad por no existir indicios claros de su participación, ni grados de autoría en el delito por el que fueron acusados. </w:t>
      </w:r>
    </w:p>
    <w:p w14:paraId="1BCE6656" w14:textId="77777777" w:rsidR="002A35D9" w:rsidRDefault="002A35D9" w:rsidP="002A35D9">
      <w:pPr>
        <w:pStyle w:val="Prrafodelista"/>
        <w:rPr>
          <w:rFonts w:asciiTheme="majorHAnsi" w:hAnsiTheme="majorHAnsi"/>
          <w:color w:val="000000" w:themeColor="text1"/>
          <w:sz w:val="20"/>
          <w:szCs w:val="20"/>
          <w:lang w:val="es-ES"/>
        </w:rPr>
      </w:pPr>
    </w:p>
    <w:p w14:paraId="5838C10A" w14:textId="77777777" w:rsidR="002A35D9" w:rsidRDefault="0040756E"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Indicó que el 10 de diciembre de 2002 se realizó audiencia preliminar en el Juzgado Cuarto de lo Penal, el cual dictó auto de sobreseimiento provisional del proceso.</w:t>
      </w:r>
      <w:r w:rsidR="004C286F" w:rsidRPr="002A35D9">
        <w:rPr>
          <w:rFonts w:asciiTheme="majorHAnsi" w:hAnsiTheme="majorHAnsi"/>
          <w:color w:val="000000" w:themeColor="text1"/>
          <w:sz w:val="20"/>
          <w:szCs w:val="20"/>
          <w:lang w:val="es-ES"/>
        </w:rPr>
        <w:t xml:space="preserve"> </w:t>
      </w:r>
      <w:r w:rsidRPr="002A35D9">
        <w:rPr>
          <w:rFonts w:asciiTheme="majorHAnsi" w:hAnsiTheme="majorHAnsi"/>
          <w:color w:val="000000" w:themeColor="text1"/>
          <w:sz w:val="20"/>
          <w:szCs w:val="20"/>
          <w:lang w:val="es-ES"/>
        </w:rPr>
        <w:t>Subrayó que dicha decisión no fue apelada por la parte peticionaria, la cual tenía la oportunidad de presentar un recurso de apelación</w:t>
      </w:r>
      <w:r w:rsidR="00594D45" w:rsidRPr="002A35D9">
        <w:rPr>
          <w:rFonts w:asciiTheme="majorHAnsi" w:hAnsiTheme="majorHAnsi"/>
          <w:color w:val="000000" w:themeColor="text1"/>
          <w:sz w:val="20"/>
          <w:szCs w:val="20"/>
          <w:lang w:val="es-ES"/>
        </w:rPr>
        <w:t>.</w:t>
      </w:r>
      <w:r w:rsidRPr="002A35D9">
        <w:rPr>
          <w:rFonts w:asciiTheme="majorHAnsi" w:hAnsiTheme="majorHAnsi"/>
          <w:color w:val="000000" w:themeColor="text1"/>
          <w:sz w:val="20"/>
          <w:szCs w:val="20"/>
          <w:lang w:val="es-ES"/>
        </w:rPr>
        <w:t xml:space="preserve"> </w:t>
      </w:r>
    </w:p>
    <w:p w14:paraId="145287A2" w14:textId="77777777" w:rsidR="002A35D9" w:rsidRDefault="002A35D9" w:rsidP="002A35D9">
      <w:pPr>
        <w:pStyle w:val="Prrafodelista"/>
        <w:rPr>
          <w:rFonts w:asciiTheme="majorHAnsi" w:hAnsiTheme="majorHAnsi"/>
          <w:color w:val="000000" w:themeColor="text1"/>
          <w:sz w:val="20"/>
          <w:szCs w:val="20"/>
          <w:lang w:val="es-ES"/>
        </w:rPr>
      </w:pPr>
    </w:p>
    <w:p w14:paraId="3D2A1404" w14:textId="77777777" w:rsidR="002A35D9" w:rsidRDefault="0040756E"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Expresó </w:t>
      </w:r>
      <w:r w:rsidR="00D13366" w:rsidRPr="002A35D9">
        <w:rPr>
          <w:rFonts w:asciiTheme="majorHAnsi" w:hAnsiTheme="majorHAnsi"/>
          <w:color w:val="000000" w:themeColor="text1"/>
          <w:sz w:val="20"/>
          <w:szCs w:val="20"/>
          <w:lang w:val="es-ES"/>
        </w:rPr>
        <w:t>que,</w:t>
      </w:r>
      <w:r w:rsidRPr="002A35D9">
        <w:rPr>
          <w:rFonts w:asciiTheme="majorHAnsi" w:hAnsiTheme="majorHAnsi"/>
          <w:color w:val="000000" w:themeColor="text1"/>
          <w:sz w:val="20"/>
          <w:szCs w:val="20"/>
          <w:lang w:val="es-ES"/>
        </w:rPr>
        <w:t xml:space="preserve"> pese a lo anterior, el 15 de octubre de 2004</w:t>
      </w:r>
      <w:r w:rsidR="004920A9" w:rsidRPr="002A35D9">
        <w:rPr>
          <w:rFonts w:asciiTheme="majorHAnsi" w:hAnsiTheme="majorHAnsi"/>
          <w:color w:val="000000" w:themeColor="text1"/>
          <w:sz w:val="20"/>
          <w:szCs w:val="20"/>
          <w:lang w:val="es-ES"/>
        </w:rPr>
        <w:t>,</w:t>
      </w:r>
      <w:r w:rsidRPr="002A35D9">
        <w:rPr>
          <w:rFonts w:asciiTheme="majorHAnsi" w:hAnsiTheme="majorHAnsi"/>
          <w:color w:val="000000" w:themeColor="text1"/>
          <w:sz w:val="20"/>
          <w:szCs w:val="20"/>
          <w:lang w:val="es-ES"/>
        </w:rPr>
        <w:t xml:space="preserve"> el </w:t>
      </w:r>
      <w:r w:rsidR="00D13366" w:rsidRPr="002A35D9">
        <w:rPr>
          <w:rFonts w:asciiTheme="majorHAnsi" w:hAnsiTheme="majorHAnsi"/>
          <w:color w:val="000000" w:themeColor="text1"/>
          <w:sz w:val="20"/>
          <w:szCs w:val="20"/>
          <w:lang w:val="es-ES"/>
        </w:rPr>
        <w:t>jefe</w:t>
      </w:r>
      <w:r w:rsidRPr="002A35D9">
        <w:rPr>
          <w:rFonts w:asciiTheme="majorHAnsi" w:hAnsiTheme="majorHAnsi"/>
          <w:color w:val="000000" w:themeColor="text1"/>
          <w:sz w:val="20"/>
          <w:szCs w:val="20"/>
          <w:lang w:val="es-ES"/>
        </w:rPr>
        <w:t xml:space="preserve"> de la Policía Judicial indicó que continuaban las investigaciones para dar con el paradero de la presunta víctima. </w:t>
      </w:r>
      <w:r w:rsidR="00266789" w:rsidRPr="002A35D9">
        <w:rPr>
          <w:rFonts w:asciiTheme="majorHAnsi" w:hAnsiTheme="majorHAnsi"/>
          <w:color w:val="000000" w:themeColor="text1"/>
          <w:sz w:val="20"/>
          <w:szCs w:val="20"/>
          <w:lang w:val="es-ES"/>
        </w:rPr>
        <w:t xml:space="preserve">Sin embargo, el Estado no </w:t>
      </w:r>
      <w:r w:rsidR="00F72D39" w:rsidRPr="002A35D9">
        <w:rPr>
          <w:rFonts w:asciiTheme="majorHAnsi" w:hAnsiTheme="majorHAnsi"/>
          <w:color w:val="000000" w:themeColor="text1"/>
          <w:sz w:val="20"/>
          <w:szCs w:val="20"/>
          <w:lang w:val="es-ES"/>
        </w:rPr>
        <w:t>aportó detalle sobre diligencias concretas.</w:t>
      </w:r>
    </w:p>
    <w:p w14:paraId="124E9FD8" w14:textId="77777777" w:rsidR="002A35D9" w:rsidRDefault="002A35D9" w:rsidP="002A35D9">
      <w:pPr>
        <w:pStyle w:val="Prrafodelista"/>
        <w:rPr>
          <w:rFonts w:asciiTheme="majorHAnsi" w:hAnsiTheme="majorHAnsi"/>
          <w:sz w:val="20"/>
          <w:szCs w:val="20"/>
          <w:lang w:val="es-ES"/>
        </w:rPr>
      </w:pPr>
    </w:p>
    <w:p w14:paraId="6D56D265" w14:textId="77777777" w:rsidR="002A35D9" w:rsidRDefault="00AD3CF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sz w:val="20"/>
          <w:szCs w:val="20"/>
          <w:lang w:val="es-ES"/>
        </w:rPr>
        <w:t>E</w:t>
      </w:r>
      <w:r w:rsidR="004F5B92" w:rsidRPr="002A35D9">
        <w:rPr>
          <w:rFonts w:asciiTheme="majorHAnsi" w:hAnsiTheme="majorHAnsi"/>
          <w:sz w:val="20"/>
          <w:szCs w:val="20"/>
          <w:lang w:val="es-ES"/>
        </w:rPr>
        <w:t>n cuanto</w:t>
      </w:r>
      <w:r w:rsidR="004E14A3" w:rsidRPr="002A35D9">
        <w:rPr>
          <w:rFonts w:asciiTheme="majorHAnsi" w:hAnsiTheme="majorHAnsi"/>
          <w:sz w:val="20"/>
          <w:szCs w:val="20"/>
          <w:lang w:val="es-ES"/>
        </w:rPr>
        <w:t xml:space="preserve"> al derecho el Estado argumentó que </w:t>
      </w:r>
      <w:r w:rsidR="00FF6C52" w:rsidRPr="002A35D9">
        <w:rPr>
          <w:rFonts w:asciiTheme="majorHAnsi" w:hAnsiTheme="majorHAnsi"/>
          <w:sz w:val="20"/>
          <w:szCs w:val="20"/>
          <w:lang w:val="es-ES"/>
        </w:rPr>
        <w:t>no violó e</w:t>
      </w:r>
      <w:r w:rsidR="00FF6C52" w:rsidRPr="002A35D9">
        <w:rPr>
          <w:rFonts w:asciiTheme="majorHAnsi" w:hAnsiTheme="majorHAnsi"/>
          <w:b/>
          <w:sz w:val="20"/>
          <w:szCs w:val="20"/>
          <w:lang w:val="es-ES"/>
        </w:rPr>
        <w:t>l derecho a</w:t>
      </w:r>
      <w:r w:rsidR="004416A8" w:rsidRPr="002A35D9">
        <w:rPr>
          <w:rFonts w:asciiTheme="majorHAnsi" w:hAnsiTheme="majorHAnsi"/>
          <w:b/>
          <w:sz w:val="20"/>
          <w:szCs w:val="20"/>
          <w:lang w:val="es-ES"/>
        </w:rPr>
        <w:t>l reconocimiento de</w:t>
      </w:r>
      <w:r w:rsidR="00FF6C52" w:rsidRPr="002A35D9">
        <w:rPr>
          <w:rFonts w:asciiTheme="majorHAnsi" w:hAnsiTheme="majorHAnsi"/>
          <w:b/>
          <w:sz w:val="20"/>
          <w:szCs w:val="20"/>
          <w:lang w:val="es-ES"/>
        </w:rPr>
        <w:t xml:space="preserve"> la personalidad </w:t>
      </w:r>
      <w:r w:rsidR="00D13366" w:rsidRPr="002A35D9">
        <w:rPr>
          <w:rFonts w:asciiTheme="majorHAnsi" w:hAnsiTheme="majorHAnsi"/>
          <w:b/>
          <w:sz w:val="20"/>
          <w:szCs w:val="20"/>
          <w:lang w:val="es-ES"/>
        </w:rPr>
        <w:t>jurídica, el</w:t>
      </w:r>
      <w:r w:rsidR="00FF6C52" w:rsidRPr="002A35D9">
        <w:rPr>
          <w:rFonts w:asciiTheme="majorHAnsi" w:hAnsiTheme="majorHAnsi"/>
          <w:b/>
          <w:sz w:val="20"/>
          <w:szCs w:val="20"/>
          <w:lang w:val="es-ES"/>
        </w:rPr>
        <w:t xml:space="preserve"> derecho a la vida, </w:t>
      </w:r>
      <w:r w:rsidR="00D46866" w:rsidRPr="002A35D9">
        <w:rPr>
          <w:rFonts w:asciiTheme="majorHAnsi" w:hAnsiTheme="majorHAnsi"/>
          <w:b/>
          <w:sz w:val="20"/>
          <w:szCs w:val="20"/>
          <w:lang w:val="es-ES"/>
        </w:rPr>
        <w:t>el</w:t>
      </w:r>
      <w:r w:rsidR="00D46866" w:rsidRPr="002A35D9">
        <w:rPr>
          <w:rFonts w:asciiTheme="majorHAnsi" w:hAnsiTheme="majorHAnsi"/>
          <w:sz w:val="20"/>
          <w:szCs w:val="20"/>
          <w:lang w:val="es-ES"/>
        </w:rPr>
        <w:t xml:space="preserve"> </w:t>
      </w:r>
      <w:r w:rsidR="00D46866" w:rsidRPr="002A35D9">
        <w:rPr>
          <w:rFonts w:asciiTheme="majorHAnsi" w:hAnsiTheme="majorHAnsi"/>
          <w:b/>
          <w:sz w:val="20"/>
          <w:szCs w:val="20"/>
          <w:lang w:val="es-ES"/>
        </w:rPr>
        <w:t>derecho a la integridad personal</w:t>
      </w:r>
      <w:r w:rsidR="00D46866" w:rsidRPr="002A35D9">
        <w:rPr>
          <w:rFonts w:asciiTheme="majorHAnsi" w:hAnsiTheme="majorHAnsi"/>
          <w:sz w:val="20"/>
          <w:szCs w:val="20"/>
          <w:lang w:val="es-ES"/>
        </w:rPr>
        <w:t xml:space="preserve"> y el </w:t>
      </w:r>
      <w:r w:rsidR="00D46866" w:rsidRPr="002A35D9">
        <w:rPr>
          <w:rFonts w:asciiTheme="majorHAnsi" w:hAnsiTheme="majorHAnsi"/>
          <w:b/>
          <w:sz w:val="20"/>
          <w:szCs w:val="20"/>
          <w:lang w:val="es-ES"/>
        </w:rPr>
        <w:t xml:space="preserve">derecho a la libertad personal </w:t>
      </w:r>
      <w:r w:rsidR="005365FF" w:rsidRPr="002A35D9">
        <w:rPr>
          <w:rFonts w:asciiTheme="majorHAnsi" w:hAnsiTheme="majorHAnsi"/>
          <w:b/>
          <w:sz w:val="20"/>
          <w:szCs w:val="20"/>
          <w:lang w:val="es-ES"/>
        </w:rPr>
        <w:t xml:space="preserve">establecidos en la Convención Americana </w:t>
      </w:r>
      <w:r w:rsidR="00D46866" w:rsidRPr="002A35D9">
        <w:rPr>
          <w:rFonts w:asciiTheme="majorHAnsi" w:hAnsiTheme="majorHAnsi"/>
          <w:sz w:val="20"/>
          <w:szCs w:val="20"/>
          <w:lang w:val="es-ES"/>
        </w:rPr>
        <w:t xml:space="preserve">ni el artículo 1 de la Convención Interamericana sobre Desaparición </w:t>
      </w:r>
      <w:r w:rsidR="00D13366" w:rsidRPr="002A35D9">
        <w:rPr>
          <w:rFonts w:asciiTheme="majorHAnsi" w:hAnsiTheme="majorHAnsi"/>
          <w:sz w:val="20"/>
          <w:szCs w:val="20"/>
          <w:lang w:val="es-ES"/>
        </w:rPr>
        <w:t>Forzada, porque</w:t>
      </w:r>
      <w:r w:rsidR="00FF6C52" w:rsidRPr="002A35D9">
        <w:rPr>
          <w:rFonts w:asciiTheme="majorHAnsi" w:hAnsiTheme="majorHAnsi"/>
          <w:sz w:val="20"/>
          <w:szCs w:val="20"/>
          <w:lang w:val="es-ES"/>
        </w:rPr>
        <w:t xml:space="preserve"> no participó </w:t>
      </w:r>
      <w:r w:rsidR="00D46866" w:rsidRPr="002A35D9">
        <w:rPr>
          <w:rFonts w:asciiTheme="majorHAnsi" w:hAnsiTheme="majorHAnsi"/>
          <w:sz w:val="20"/>
          <w:szCs w:val="20"/>
          <w:lang w:val="es-ES"/>
        </w:rPr>
        <w:t xml:space="preserve">ni en la detención ni </w:t>
      </w:r>
      <w:r w:rsidR="00FF6C52" w:rsidRPr="002A35D9">
        <w:rPr>
          <w:rFonts w:asciiTheme="majorHAnsi" w:hAnsiTheme="majorHAnsi"/>
          <w:sz w:val="20"/>
          <w:szCs w:val="20"/>
          <w:lang w:val="es-ES"/>
        </w:rPr>
        <w:t>en la desaparición de la presunta víctima y</w:t>
      </w:r>
      <w:r w:rsidR="009A0C18" w:rsidRPr="002A35D9">
        <w:rPr>
          <w:rFonts w:asciiTheme="majorHAnsi" w:hAnsiTheme="majorHAnsi"/>
          <w:sz w:val="20"/>
          <w:szCs w:val="20"/>
          <w:lang w:val="es-ES"/>
        </w:rPr>
        <w:t xml:space="preserve"> no existen elementos que acrediten su aquiescencia en los hechos. </w:t>
      </w:r>
    </w:p>
    <w:p w14:paraId="36D25DFC" w14:textId="77777777" w:rsidR="002A35D9" w:rsidRDefault="002A35D9" w:rsidP="002A35D9">
      <w:pPr>
        <w:pStyle w:val="Prrafodelista"/>
        <w:rPr>
          <w:rFonts w:asciiTheme="majorHAnsi" w:hAnsiTheme="majorHAnsi"/>
          <w:color w:val="000000" w:themeColor="text1"/>
          <w:sz w:val="20"/>
          <w:szCs w:val="20"/>
          <w:lang w:val="es-ES"/>
        </w:rPr>
      </w:pPr>
    </w:p>
    <w:p w14:paraId="3F6C5899" w14:textId="77777777" w:rsidR="00BB6093" w:rsidRPr="002A35D9" w:rsidRDefault="00BB6093"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Con respecto a las </w:t>
      </w:r>
      <w:proofErr w:type="gramStart"/>
      <w:r w:rsidRPr="002A35D9">
        <w:rPr>
          <w:rFonts w:asciiTheme="majorHAnsi" w:hAnsiTheme="majorHAnsi"/>
          <w:b/>
          <w:color w:val="000000" w:themeColor="text1"/>
          <w:sz w:val="20"/>
          <w:szCs w:val="20"/>
          <w:lang w:val="es-ES"/>
        </w:rPr>
        <w:t>garantías judiciales y protección judicial</w:t>
      </w:r>
      <w:proofErr w:type="gramEnd"/>
      <w:r w:rsidRPr="002A35D9">
        <w:rPr>
          <w:rFonts w:asciiTheme="majorHAnsi" w:hAnsiTheme="majorHAnsi"/>
          <w:color w:val="000000" w:themeColor="text1"/>
          <w:sz w:val="20"/>
          <w:szCs w:val="20"/>
          <w:lang w:val="es-ES"/>
        </w:rPr>
        <w:t xml:space="preserve">, refirió que no se vulneraron dichos derechos pues </w:t>
      </w:r>
      <w:r w:rsidR="00D46866" w:rsidRPr="002A35D9">
        <w:rPr>
          <w:rFonts w:asciiTheme="majorHAnsi" w:hAnsiTheme="majorHAnsi"/>
          <w:color w:val="000000" w:themeColor="text1"/>
          <w:sz w:val="20"/>
          <w:szCs w:val="20"/>
          <w:lang w:val="es-ES"/>
        </w:rPr>
        <w:t xml:space="preserve">ha realizado una serie de diligencias para investigar a los responsables de los hechos, sin </w:t>
      </w:r>
      <w:r w:rsidR="00D13366" w:rsidRPr="002A35D9">
        <w:rPr>
          <w:rFonts w:asciiTheme="majorHAnsi" w:hAnsiTheme="majorHAnsi"/>
          <w:color w:val="000000" w:themeColor="text1"/>
          <w:sz w:val="20"/>
          <w:szCs w:val="20"/>
          <w:lang w:val="es-ES"/>
        </w:rPr>
        <w:lastRenderedPageBreak/>
        <w:t>embargo,</w:t>
      </w:r>
      <w:r w:rsidR="00D46866" w:rsidRPr="002A35D9">
        <w:rPr>
          <w:rFonts w:asciiTheme="majorHAnsi" w:hAnsiTheme="majorHAnsi"/>
          <w:color w:val="000000" w:themeColor="text1"/>
          <w:sz w:val="20"/>
          <w:szCs w:val="20"/>
          <w:lang w:val="es-ES"/>
        </w:rPr>
        <w:t xml:space="preserve"> se trata de una obligación de medio y no de resultado. Además, los familiares de la presunta víctima han tenido amplia participación en el proceso y contado con recursos para impugnar las decisiones </w:t>
      </w:r>
      <w:r w:rsidR="001966A6" w:rsidRPr="002A35D9">
        <w:rPr>
          <w:rFonts w:asciiTheme="majorHAnsi" w:hAnsiTheme="majorHAnsi"/>
          <w:color w:val="000000" w:themeColor="text1"/>
          <w:sz w:val="20"/>
          <w:szCs w:val="20"/>
          <w:lang w:val="es-ES"/>
        </w:rPr>
        <w:t xml:space="preserve">proferidas por los órganos jurisdiccionales. </w:t>
      </w:r>
    </w:p>
    <w:p w14:paraId="3A8FCD6F" w14:textId="77777777" w:rsidR="00843AD3" w:rsidRPr="00B431F1" w:rsidRDefault="00843AD3" w:rsidP="00843AD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themeColor="text1"/>
          <w:sz w:val="20"/>
          <w:szCs w:val="20"/>
          <w:lang w:val="es-ES"/>
        </w:rPr>
      </w:pPr>
    </w:p>
    <w:p w14:paraId="39C8EBB9" w14:textId="77777777" w:rsidR="003E7479" w:rsidRPr="000A209E" w:rsidRDefault="00A13B72" w:rsidP="002A35D9">
      <w:pPr>
        <w:pStyle w:val="Ttulo1"/>
        <w:numPr>
          <w:ilvl w:val="0"/>
          <w:numId w:val="55"/>
        </w:numPr>
        <w:tabs>
          <w:tab w:val="left" w:pos="540"/>
        </w:tabs>
        <w:spacing w:before="0"/>
        <w:ind w:left="0" w:firstLine="0"/>
        <w:jc w:val="both"/>
        <w:rPr>
          <w:rFonts w:ascii="Cambria" w:hAnsi="Cambria"/>
          <w:color w:val="000000" w:themeColor="text1"/>
          <w:sz w:val="20"/>
          <w:szCs w:val="20"/>
          <w:lang w:val="es-ES"/>
        </w:rPr>
      </w:pPr>
      <w:bookmarkStart w:id="4" w:name="_Toc5359024"/>
      <w:r w:rsidRPr="000A209E">
        <w:rPr>
          <w:rFonts w:ascii="Cambria" w:hAnsi="Cambria"/>
          <w:color w:val="000000" w:themeColor="text1"/>
          <w:sz w:val="20"/>
          <w:szCs w:val="20"/>
          <w:lang w:val="es-ES"/>
        </w:rPr>
        <w:t>DETERMINACIONES DE HECHO</w:t>
      </w:r>
      <w:bookmarkEnd w:id="4"/>
    </w:p>
    <w:p w14:paraId="6C07EE39" w14:textId="77777777" w:rsidR="00E4257C" w:rsidRDefault="00E4257C" w:rsidP="007D7ED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b/>
          <w:sz w:val="20"/>
          <w:szCs w:val="20"/>
          <w:lang w:val="es-ES"/>
        </w:rPr>
      </w:pPr>
    </w:p>
    <w:p w14:paraId="074AEEA1" w14:textId="77777777" w:rsidR="005B3815" w:rsidRPr="008F634D" w:rsidRDefault="00C07DE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Theme="majorHAnsi" w:hAnsiTheme="majorHAnsi"/>
          <w:color w:val="000000" w:themeColor="text1"/>
          <w:sz w:val="20"/>
          <w:szCs w:val="20"/>
          <w:lang w:val="es-ES"/>
        </w:rPr>
        <w:t>La</w:t>
      </w:r>
      <w:r w:rsidRPr="00CA5800">
        <w:rPr>
          <w:rFonts w:ascii="Cambria" w:hAnsi="Cambria"/>
          <w:sz w:val="20"/>
          <w:szCs w:val="20"/>
          <w:lang w:val="es-CO"/>
        </w:rPr>
        <w:t xml:space="preserve"> Comisión recuerda </w:t>
      </w:r>
      <w:proofErr w:type="gramStart"/>
      <w:r w:rsidRPr="00CA5800">
        <w:rPr>
          <w:rFonts w:ascii="Cambria" w:hAnsi="Cambria"/>
          <w:sz w:val="20"/>
          <w:szCs w:val="20"/>
          <w:lang w:val="es-CO"/>
        </w:rPr>
        <w:t>que</w:t>
      </w:r>
      <w:proofErr w:type="gramEnd"/>
      <w:r w:rsidRPr="00CA5800">
        <w:rPr>
          <w:rFonts w:ascii="Cambria" w:hAnsi="Cambria"/>
          <w:sz w:val="20"/>
          <w:szCs w:val="20"/>
          <w:lang w:val="es-CO"/>
        </w:rPr>
        <w:t xml:space="preserve"> tratándose de un caso de alegada desaparición forzada, la prueba indiciaria y presuntiva resulta de especial importancia ya que “esta forma de violación se caracteriza por procurar la supresión de todo elemento que permita comprobar la detención, el paradero y la suerte de las victimas</w:t>
      </w:r>
      <w:r w:rsidRPr="00CA5800">
        <w:rPr>
          <w:rFonts w:ascii="Cambria" w:hAnsi="Cambria"/>
          <w:sz w:val="20"/>
          <w:szCs w:val="20"/>
          <w:lang w:val="es-VE"/>
        </w:rPr>
        <w:t>”</w:t>
      </w:r>
      <w:r w:rsidRPr="00342CED">
        <w:rPr>
          <w:rFonts w:ascii="Cambria" w:hAnsi="Cambria"/>
          <w:sz w:val="20"/>
          <w:szCs w:val="20"/>
          <w:vertAlign w:val="superscript"/>
          <w:lang w:val="es-VE"/>
        </w:rPr>
        <w:footnoteReference w:id="3"/>
      </w:r>
      <w:r w:rsidRPr="00CA5800">
        <w:rPr>
          <w:rFonts w:ascii="Cambria" w:hAnsi="Cambria"/>
          <w:sz w:val="20"/>
          <w:szCs w:val="20"/>
          <w:lang w:val="es-VE"/>
        </w:rPr>
        <w:t>.</w:t>
      </w:r>
    </w:p>
    <w:p w14:paraId="60B15BF2" w14:textId="77777777" w:rsidR="008F634D" w:rsidRPr="008F634D" w:rsidRDefault="008F634D" w:rsidP="008F634D">
      <w:pPr>
        <w:pBdr>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0F213B5E" w14:textId="77777777" w:rsidR="00170726" w:rsidRPr="000A209E" w:rsidRDefault="00616AEF" w:rsidP="002A35D9">
      <w:pPr>
        <w:pStyle w:val="Ttulo2"/>
        <w:numPr>
          <w:ilvl w:val="0"/>
          <w:numId w:val="57"/>
        </w:numPr>
        <w:tabs>
          <w:tab w:val="left" w:pos="540"/>
        </w:tabs>
        <w:spacing w:before="0" w:after="0"/>
        <w:ind w:left="0" w:firstLine="0"/>
        <w:jc w:val="both"/>
        <w:rPr>
          <w:rFonts w:ascii="Cambria" w:hAnsi="Cambria"/>
          <w:i w:val="0"/>
          <w:color w:val="000000" w:themeColor="text1"/>
          <w:sz w:val="20"/>
          <w:szCs w:val="20"/>
          <w:lang w:val="es-ES"/>
        </w:rPr>
      </w:pPr>
      <w:bookmarkStart w:id="5" w:name="_Toc5359025"/>
      <w:r w:rsidRPr="000A209E">
        <w:rPr>
          <w:rFonts w:ascii="Cambria" w:hAnsi="Cambria"/>
          <w:i w:val="0"/>
          <w:color w:val="000000" w:themeColor="text1"/>
          <w:sz w:val="20"/>
          <w:szCs w:val="20"/>
          <w:lang w:val="es-ES"/>
        </w:rPr>
        <w:t>Antecedentes</w:t>
      </w:r>
      <w:r w:rsidR="00170726" w:rsidRPr="000A209E">
        <w:rPr>
          <w:rFonts w:ascii="Cambria" w:hAnsi="Cambria"/>
          <w:i w:val="0"/>
          <w:color w:val="000000" w:themeColor="text1"/>
          <w:sz w:val="20"/>
          <w:szCs w:val="20"/>
          <w:lang w:val="es-ES"/>
        </w:rPr>
        <w:t xml:space="preserve"> </w:t>
      </w:r>
      <w:r w:rsidR="00490F6B" w:rsidRPr="000A209E">
        <w:rPr>
          <w:rFonts w:ascii="Cambria" w:hAnsi="Cambria"/>
          <w:i w:val="0"/>
          <w:color w:val="000000" w:themeColor="text1"/>
          <w:sz w:val="20"/>
          <w:szCs w:val="20"/>
          <w:lang w:val="es-ES"/>
        </w:rPr>
        <w:t>sobre las Juntas de Defensa del Campesinado</w:t>
      </w:r>
      <w:bookmarkEnd w:id="5"/>
    </w:p>
    <w:p w14:paraId="08EF4092" w14:textId="77777777" w:rsidR="00B76B20" w:rsidRPr="000A209E" w:rsidRDefault="00B76B20" w:rsidP="00B76B20">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color w:val="000000" w:themeColor="text1"/>
          <w:sz w:val="20"/>
          <w:szCs w:val="20"/>
          <w:lang w:val="es-ES"/>
        </w:rPr>
      </w:pPr>
    </w:p>
    <w:p w14:paraId="5D8CD616" w14:textId="77777777" w:rsidR="002A35D9" w:rsidRDefault="007637D6"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Pr>
          <w:rFonts w:asciiTheme="majorHAnsi" w:hAnsiTheme="majorHAnsi"/>
          <w:color w:val="000000" w:themeColor="text1"/>
          <w:sz w:val="20"/>
          <w:szCs w:val="20"/>
          <w:lang w:val="es-ES"/>
        </w:rPr>
        <w:t xml:space="preserve">La parte peticionaria </w:t>
      </w:r>
      <w:r w:rsidR="009B52DB" w:rsidRPr="009B52DB">
        <w:rPr>
          <w:rFonts w:asciiTheme="majorHAnsi" w:hAnsiTheme="majorHAnsi"/>
          <w:color w:val="000000" w:themeColor="text1"/>
          <w:sz w:val="20"/>
          <w:szCs w:val="20"/>
          <w:lang w:val="es-ES"/>
        </w:rPr>
        <w:t xml:space="preserve">alega que la desaparición de la presunta víctima fue perpetrada por miembros de las Juntas del Campesinado. </w:t>
      </w:r>
    </w:p>
    <w:p w14:paraId="7EFDFAE8"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Theme="majorHAnsi" w:hAnsiTheme="majorHAnsi"/>
          <w:color w:val="000000" w:themeColor="text1"/>
          <w:sz w:val="20"/>
          <w:szCs w:val="20"/>
          <w:lang w:val="es-ES"/>
        </w:rPr>
      </w:pPr>
    </w:p>
    <w:p w14:paraId="708F8C37" w14:textId="77777777" w:rsidR="002A35D9" w:rsidRDefault="00B76B20"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Según </w:t>
      </w:r>
      <w:r w:rsidR="00594928" w:rsidRPr="002A35D9">
        <w:rPr>
          <w:rFonts w:asciiTheme="majorHAnsi" w:hAnsiTheme="majorHAnsi"/>
          <w:color w:val="000000" w:themeColor="text1"/>
          <w:sz w:val="20"/>
          <w:szCs w:val="20"/>
          <w:lang w:val="es-ES"/>
        </w:rPr>
        <w:t xml:space="preserve">la </w:t>
      </w:r>
      <w:r w:rsidRPr="002A35D9">
        <w:rPr>
          <w:rFonts w:asciiTheme="majorHAnsi" w:hAnsiTheme="majorHAnsi"/>
          <w:color w:val="000000" w:themeColor="text1"/>
          <w:sz w:val="20"/>
          <w:szCs w:val="20"/>
          <w:lang w:val="es-ES"/>
        </w:rPr>
        <w:t xml:space="preserve">información disponible las Juntas del </w:t>
      </w:r>
      <w:r w:rsidR="00EB05EA" w:rsidRPr="002A35D9">
        <w:rPr>
          <w:rFonts w:asciiTheme="majorHAnsi" w:hAnsiTheme="majorHAnsi"/>
          <w:color w:val="000000" w:themeColor="text1"/>
          <w:sz w:val="20"/>
          <w:szCs w:val="20"/>
          <w:lang w:val="es-ES"/>
        </w:rPr>
        <w:t>Campesinado</w:t>
      </w:r>
      <w:r w:rsidR="007F4501" w:rsidRPr="002A35D9">
        <w:rPr>
          <w:rFonts w:asciiTheme="majorHAnsi" w:hAnsiTheme="majorHAnsi"/>
          <w:color w:val="000000" w:themeColor="text1"/>
          <w:sz w:val="20"/>
          <w:szCs w:val="20"/>
          <w:lang w:val="es-ES"/>
        </w:rPr>
        <w:t xml:space="preserve"> son un sistema de justicia informal</w:t>
      </w:r>
      <w:r w:rsidR="007F4501" w:rsidRPr="009B52DB">
        <w:rPr>
          <w:rStyle w:val="Refdenotaalpie"/>
          <w:rFonts w:asciiTheme="majorHAnsi" w:hAnsiTheme="majorHAnsi"/>
          <w:color w:val="000000" w:themeColor="text1"/>
          <w:sz w:val="20"/>
          <w:szCs w:val="20"/>
          <w:lang w:val="es-ES"/>
        </w:rPr>
        <w:footnoteReference w:id="4"/>
      </w:r>
      <w:r w:rsidR="007F4501" w:rsidRPr="002A35D9">
        <w:rPr>
          <w:rFonts w:asciiTheme="majorHAnsi" w:hAnsiTheme="majorHAnsi"/>
          <w:color w:val="000000" w:themeColor="text1"/>
          <w:sz w:val="20"/>
          <w:szCs w:val="20"/>
          <w:lang w:val="es-ES"/>
        </w:rPr>
        <w:t xml:space="preserve"> que</w:t>
      </w:r>
      <w:r w:rsidR="00EB05EA" w:rsidRPr="002A35D9">
        <w:rPr>
          <w:rFonts w:asciiTheme="majorHAnsi" w:hAnsiTheme="majorHAnsi"/>
          <w:color w:val="000000" w:themeColor="text1"/>
          <w:sz w:val="20"/>
          <w:szCs w:val="20"/>
          <w:lang w:val="es-ES"/>
        </w:rPr>
        <w:t xml:space="preserve"> fueron creadas con el objeto de promover el desarrollo </w:t>
      </w:r>
      <w:r w:rsidR="00510D62" w:rsidRPr="002A35D9">
        <w:rPr>
          <w:rFonts w:asciiTheme="majorHAnsi" w:hAnsiTheme="majorHAnsi"/>
          <w:color w:val="000000" w:themeColor="text1"/>
          <w:sz w:val="20"/>
          <w:szCs w:val="20"/>
          <w:lang w:val="es-ES"/>
        </w:rPr>
        <w:t>y prevenir el robo de ganado y otros delitos comunes. Están organizada</w:t>
      </w:r>
      <w:r w:rsidR="00D13366" w:rsidRPr="002A35D9">
        <w:rPr>
          <w:rFonts w:asciiTheme="majorHAnsi" w:hAnsiTheme="majorHAnsi"/>
          <w:color w:val="000000" w:themeColor="text1"/>
          <w:sz w:val="20"/>
          <w:szCs w:val="20"/>
          <w:lang w:val="es-ES"/>
        </w:rPr>
        <w:t xml:space="preserve">s por parroquias y cuentan con </w:t>
      </w:r>
      <w:r w:rsidR="00510D62" w:rsidRPr="002A35D9">
        <w:rPr>
          <w:rFonts w:asciiTheme="majorHAnsi" w:hAnsiTheme="majorHAnsi"/>
          <w:color w:val="000000" w:themeColor="text1"/>
          <w:sz w:val="20"/>
          <w:szCs w:val="20"/>
          <w:lang w:val="es-ES"/>
        </w:rPr>
        <w:t xml:space="preserve">un presidente para cada localidad, elegido por los residentes. Las juntas pertenecen a una federación de juntas </w:t>
      </w:r>
      <w:r w:rsidR="00594928" w:rsidRPr="002A35D9">
        <w:rPr>
          <w:rFonts w:asciiTheme="majorHAnsi" w:hAnsiTheme="majorHAnsi"/>
          <w:color w:val="000000" w:themeColor="text1"/>
          <w:sz w:val="20"/>
          <w:szCs w:val="20"/>
          <w:lang w:val="es-ES"/>
        </w:rPr>
        <w:t xml:space="preserve">de orden </w:t>
      </w:r>
      <w:r w:rsidR="00510D62" w:rsidRPr="002A35D9">
        <w:rPr>
          <w:rFonts w:asciiTheme="majorHAnsi" w:hAnsiTheme="majorHAnsi"/>
          <w:color w:val="000000" w:themeColor="text1"/>
          <w:sz w:val="20"/>
          <w:szCs w:val="20"/>
          <w:lang w:val="es-ES"/>
        </w:rPr>
        <w:t xml:space="preserve">nacional. </w:t>
      </w:r>
      <w:r w:rsidR="00B85169" w:rsidRPr="002A35D9">
        <w:rPr>
          <w:rFonts w:asciiTheme="majorHAnsi" w:hAnsiTheme="majorHAnsi"/>
          <w:color w:val="000000" w:themeColor="text1"/>
          <w:sz w:val="20"/>
          <w:szCs w:val="20"/>
          <w:lang w:val="es-ES"/>
        </w:rPr>
        <w:t>Las juntas rurales son particularmente poderosas en las provincias de la sierra de Cotopaxi, Tungurahua, Chimborazo, Bolívar, y en algunas zonas de los Ríos</w:t>
      </w:r>
      <w:r w:rsidR="00F10860" w:rsidRPr="009B52DB">
        <w:rPr>
          <w:rStyle w:val="Refdenotaalpie"/>
          <w:rFonts w:asciiTheme="majorHAnsi" w:hAnsiTheme="majorHAnsi"/>
          <w:color w:val="000000" w:themeColor="text1"/>
          <w:sz w:val="20"/>
          <w:szCs w:val="20"/>
          <w:lang w:val="es-ES"/>
        </w:rPr>
        <w:footnoteReference w:id="5"/>
      </w:r>
      <w:r w:rsidR="00B85169" w:rsidRPr="002A35D9">
        <w:rPr>
          <w:rFonts w:asciiTheme="majorHAnsi" w:hAnsiTheme="majorHAnsi"/>
          <w:color w:val="000000" w:themeColor="text1"/>
          <w:sz w:val="20"/>
          <w:szCs w:val="20"/>
          <w:lang w:val="es-ES"/>
        </w:rPr>
        <w:t xml:space="preserve">. </w:t>
      </w:r>
    </w:p>
    <w:p w14:paraId="4E031696" w14:textId="77777777" w:rsidR="002A35D9" w:rsidRDefault="002A35D9" w:rsidP="002A35D9">
      <w:pPr>
        <w:pStyle w:val="Prrafodelista"/>
        <w:rPr>
          <w:rFonts w:asciiTheme="majorHAnsi" w:hAnsiTheme="majorHAnsi"/>
          <w:color w:val="000000" w:themeColor="text1"/>
          <w:sz w:val="20"/>
          <w:szCs w:val="20"/>
          <w:lang w:val="es-ES"/>
        </w:rPr>
      </w:pPr>
    </w:p>
    <w:p w14:paraId="67865507" w14:textId="77777777" w:rsidR="002A35D9" w:rsidRDefault="009B52D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O</w:t>
      </w:r>
      <w:r w:rsidR="00EB05EA" w:rsidRPr="002A35D9">
        <w:rPr>
          <w:rFonts w:asciiTheme="majorHAnsi" w:hAnsiTheme="majorHAnsi"/>
          <w:color w:val="000000" w:themeColor="text1"/>
          <w:sz w:val="20"/>
          <w:szCs w:val="20"/>
          <w:lang w:val="es-ES"/>
        </w:rPr>
        <w:t>rganismos nacionales e internacionales han reportado graves violaciones de derechos humanos cometid</w:t>
      </w:r>
      <w:r w:rsidR="004360F9" w:rsidRPr="002A35D9">
        <w:rPr>
          <w:rFonts w:asciiTheme="majorHAnsi" w:hAnsiTheme="majorHAnsi"/>
          <w:color w:val="000000" w:themeColor="text1"/>
          <w:sz w:val="20"/>
          <w:szCs w:val="20"/>
          <w:lang w:val="es-ES"/>
        </w:rPr>
        <w:t>a</w:t>
      </w:r>
      <w:r w:rsidR="00EB05EA" w:rsidRPr="002A35D9">
        <w:rPr>
          <w:rFonts w:asciiTheme="majorHAnsi" w:hAnsiTheme="majorHAnsi"/>
          <w:color w:val="000000" w:themeColor="text1"/>
          <w:sz w:val="20"/>
          <w:szCs w:val="20"/>
          <w:lang w:val="es-ES"/>
        </w:rPr>
        <w:t xml:space="preserve">s por las Juntas. </w:t>
      </w:r>
    </w:p>
    <w:p w14:paraId="2778D3E6" w14:textId="77777777" w:rsidR="002A35D9" w:rsidRDefault="002A35D9" w:rsidP="002A35D9">
      <w:pPr>
        <w:pStyle w:val="Prrafodelista"/>
        <w:rPr>
          <w:rFonts w:asciiTheme="majorHAnsi" w:hAnsiTheme="majorHAnsi"/>
          <w:color w:val="000000" w:themeColor="text1"/>
          <w:sz w:val="20"/>
          <w:szCs w:val="20"/>
          <w:lang w:val="es-ES"/>
        </w:rPr>
      </w:pPr>
    </w:p>
    <w:p w14:paraId="6165D6AD" w14:textId="77777777" w:rsidR="002A35D9" w:rsidRDefault="00AF2F94"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En 2007, el Grupo de Trabajo de Naciones Unidas sobre la utilización de mercenarios como medio de violar los derechos humanos y obstaculizar el ejercicio d</w:t>
      </w:r>
      <w:r w:rsidR="001D20FB" w:rsidRPr="002A35D9">
        <w:rPr>
          <w:rFonts w:asciiTheme="majorHAnsi" w:hAnsiTheme="majorHAnsi"/>
          <w:color w:val="000000" w:themeColor="text1"/>
          <w:sz w:val="20"/>
          <w:szCs w:val="20"/>
          <w:lang w:val="es-ES"/>
        </w:rPr>
        <w:t xml:space="preserve">el derecho de los pueblos a la libre determinación, indicó que organizaciones no gubernamentales le informaron que las Juntas de Defensa del Campesinado intervienen en casos de seguridad, </w:t>
      </w:r>
      <w:r w:rsidR="00E44274" w:rsidRPr="002A35D9">
        <w:rPr>
          <w:rFonts w:asciiTheme="majorHAnsi" w:hAnsiTheme="majorHAnsi"/>
          <w:color w:val="000000" w:themeColor="text1"/>
          <w:sz w:val="20"/>
          <w:szCs w:val="20"/>
          <w:lang w:val="es-ES"/>
        </w:rPr>
        <w:t xml:space="preserve">de </w:t>
      </w:r>
      <w:r w:rsidR="001D20FB" w:rsidRPr="002A35D9">
        <w:rPr>
          <w:rFonts w:asciiTheme="majorHAnsi" w:hAnsiTheme="majorHAnsi"/>
          <w:color w:val="000000" w:themeColor="text1"/>
          <w:sz w:val="20"/>
          <w:szCs w:val="20"/>
          <w:lang w:val="es-ES"/>
        </w:rPr>
        <w:t xml:space="preserve">litigios por tierras y </w:t>
      </w:r>
      <w:r w:rsidR="00E44274" w:rsidRPr="002A35D9">
        <w:rPr>
          <w:rFonts w:asciiTheme="majorHAnsi" w:hAnsiTheme="majorHAnsi"/>
          <w:color w:val="000000" w:themeColor="text1"/>
          <w:sz w:val="20"/>
          <w:szCs w:val="20"/>
          <w:lang w:val="es-ES"/>
        </w:rPr>
        <w:t xml:space="preserve">de </w:t>
      </w:r>
      <w:r w:rsidR="001D20FB" w:rsidRPr="002A35D9">
        <w:rPr>
          <w:rFonts w:asciiTheme="majorHAnsi" w:hAnsiTheme="majorHAnsi"/>
          <w:color w:val="000000" w:themeColor="text1"/>
          <w:sz w:val="20"/>
          <w:szCs w:val="20"/>
          <w:lang w:val="es-ES"/>
        </w:rPr>
        <w:t>delincuencia común, y que en muchos de estos casos “asumen las funciones de las autoridades públicas y hay acusaciones de abusos que incluyen violaciones del derecho de privacidad, actos de tortura y trato degradante, homicidios y desapariciones. Ilustra este problema el caso del Sr. Fredy Núñez que desapareció en 2001</w:t>
      </w:r>
      <w:r w:rsidR="00403E3D" w:rsidRPr="009B52DB">
        <w:rPr>
          <w:rStyle w:val="Refdenotaalpie"/>
          <w:rFonts w:asciiTheme="majorHAnsi" w:hAnsiTheme="majorHAnsi"/>
          <w:color w:val="000000" w:themeColor="text1"/>
          <w:sz w:val="20"/>
          <w:szCs w:val="20"/>
          <w:lang w:val="es-ES"/>
        </w:rPr>
        <w:footnoteReference w:id="6"/>
      </w:r>
      <w:r w:rsidR="00DE59F5" w:rsidRPr="002A35D9">
        <w:rPr>
          <w:rFonts w:asciiTheme="majorHAnsi" w:hAnsiTheme="majorHAnsi"/>
          <w:color w:val="000000" w:themeColor="text1"/>
          <w:sz w:val="20"/>
          <w:szCs w:val="20"/>
          <w:lang w:val="es-ES"/>
        </w:rPr>
        <w:t>”</w:t>
      </w:r>
      <w:r w:rsidR="001D20FB" w:rsidRPr="002A35D9">
        <w:rPr>
          <w:rFonts w:asciiTheme="majorHAnsi" w:hAnsiTheme="majorHAnsi"/>
          <w:color w:val="000000" w:themeColor="text1"/>
          <w:sz w:val="20"/>
          <w:szCs w:val="20"/>
          <w:lang w:val="es-ES"/>
        </w:rPr>
        <w:t>.</w:t>
      </w:r>
      <w:r w:rsidR="0074069D" w:rsidRPr="002A35D9">
        <w:rPr>
          <w:rFonts w:asciiTheme="majorHAnsi" w:hAnsiTheme="majorHAnsi"/>
          <w:color w:val="000000" w:themeColor="text1"/>
          <w:sz w:val="20"/>
          <w:szCs w:val="20"/>
          <w:lang w:val="es-ES"/>
        </w:rPr>
        <w:t xml:space="preserve"> Por ello, exhortó al Estado ecuatoriano a “</w:t>
      </w:r>
      <w:r w:rsidR="00F10860" w:rsidRPr="002A35D9">
        <w:rPr>
          <w:rFonts w:asciiTheme="majorHAnsi" w:hAnsiTheme="majorHAnsi"/>
          <w:color w:val="000000" w:themeColor="text1"/>
          <w:sz w:val="20"/>
          <w:szCs w:val="20"/>
          <w:lang w:val="es-ES"/>
        </w:rPr>
        <w:t>evitar que las Juntas de Defensa del Campesinado se conviertan en agentes paramilitares</w:t>
      </w:r>
      <w:r w:rsidR="00F10860" w:rsidRPr="009B52DB">
        <w:rPr>
          <w:rStyle w:val="Refdenotaalpie"/>
          <w:rFonts w:asciiTheme="majorHAnsi" w:hAnsiTheme="majorHAnsi"/>
          <w:color w:val="000000" w:themeColor="text1"/>
          <w:sz w:val="20"/>
          <w:szCs w:val="20"/>
          <w:lang w:val="es-ES"/>
        </w:rPr>
        <w:footnoteReference w:id="7"/>
      </w:r>
      <w:r w:rsidR="00F10860" w:rsidRPr="002A35D9">
        <w:rPr>
          <w:rFonts w:asciiTheme="majorHAnsi" w:hAnsiTheme="majorHAnsi"/>
          <w:color w:val="000000" w:themeColor="text1"/>
          <w:sz w:val="20"/>
          <w:szCs w:val="20"/>
          <w:lang w:val="es-ES"/>
        </w:rPr>
        <w:t>.</w:t>
      </w:r>
    </w:p>
    <w:p w14:paraId="1AE98690" w14:textId="77777777" w:rsidR="002A35D9" w:rsidRDefault="002A35D9" w:rsidP="002A35D9">
      <w:pPr>
        <w:pStyle w:val="Prrafodelista"/>
        <w:rPr>
          <w:rFonts w:asciiTheme="majorHAnsi" w:hAnsiTheme="majorHAnsi"/>
          <w:color w:val="000000" w:themeColor="text1"/>
          <w:sz w:val="20"/>
          <w:szCs w:val="20"/>
          <w:lang w:val="es-ES"/>
        </w:rPr>
      </w:pPr>
    </w:p>
    <w:p w14:paraId="0BDC0261" w14:textId="77777777" w:rsidR="002A35D9" w:rsidRDefault="00ED50B8"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En 2010, el Comité contra la Tortura </w:t>
      </w:r>
      <w:r w:rsidR="00EE12BE" w:rsidRPr="002A35D9">
        <w:rPr>
          <w:rFonts w:asciiTheme="majorHAnsi" w:hAnsiTheme="majorHAnsi"/>
          <w:color w:val="000000" w:themeColor="text1"/>
          <w:sz w:val="20"/>
          <w:szCs w:val="20"/>
          <w:lang w:val="es-ES"/>
        </w:rPr>
        <w:t xml:space="preserve">manifestó preocupación por </w:t>
      </w:r>
      <w:r w:rsidR="009B52DB" w:rsidRPr="002A35D9">
        <w:rPr>
          <w:rFonts w:asciiTheme="majorHAnsi" w:hAnsiTheme="majorHAnsi"/>
          <w:color w:val="000000" w:themeColor="text1"/>
          <w:sz w:val="20"/>
          <w:szCs w:val="20"/>
          <w:lang w:val="es-ES"/>
        </w:rPr>
        <w:t xml:space="preserve">la </w:t>
      </w:r>
      <w:proofErr w:type="gramStart"/>
      <w:r w:rsidR="009B52DB" w:rsidRPr="002A35D9">
        <w:rPr>
          <w:rFonts w:asciiTheme="majorHAnsi" w:hAnsiTheme="majorHAnsi"/>
          <w:color w:val="000000" w:themeColor="text1"/>
          <w:sz w:val="20"/>
          <w:szCs w:val="20"/>
          <w:lang w:val="es-ES"/>
        </w:rPr>
        <w:t>participación activa</w:t>
      </w:r>
      <w:proofErr w:type="gramEnd"/>
      <w:r w:rsidR="009B52DB" w:rsidRPr="002A35D9">
        <w:rPr>
          <w:rFonts w:asciiTheme="majorHAnsi" w:hAnsiTheme="majorHAnsi"/>
          <w:color w:val="000000" w:themeColor="text1"/>
          <w:sz w:val="20"/>
          <w:szCs w:val="20"/>
          <w:lang w:val="es-ES"/>
        </w:rPr>
        <w:t xml:space="preserve"> de las Juntas de Defensa del C</w:t>
      </w:r>
      <w:r w:rsidR="00EE12BE" w:rsidRPr="002A35D9">
        <w:rPr>
          <w:rFonts w:asciiTheme="majorHAnsi" w:hAnsiTheme="majorHAnsi"/>
          <w:color w:val="000000" w:themeColor="text1"/>
          <w:sz w:val="20"/>
          <w:szCs w:val="20"/>
          <w:lang w:val="es-ES"/>
        </w:rPr>
        <w:t>ampesinado en la seguridad en el medio rural</w:t>
      </w:r>
      <w:r w:rsidR="0092331D" w:rsidRPr="002A35D9">
        <w:rPr>
          <w:rFonts w:asciiTheme="majorHAnsi" w:hAnsiTheme="majorHAnsi"/>
          <w:color w:val="000000" w:themeColor="text1"/>
          <w:sz w:val="20"/>
          <w:szCs w:val="20"/>
          <w:lang w:val="es-ES"/>
        </w:rPr>
        <w:t xml:space="preserve">, refiriéndose a </w:t>
      </w:r>
      <w:r w:rsidR="00EE12BE" w:rsidRPr="002A35D9">
        <w:rPr>
          <w:rFonts w:asciiTheme="majorHAnsi" w:hAnsiTheme="majorHAnsi"/>
          <w:color w:val="000000" w:themeColor="text1"/>
          <w:sz w:val="20"/>
          <w:szCs w:val="20"/>
          <w:lang w:val="es-ES"/>
        </w:rPr>
        <w:t xml:space="preserve">abusos cometidos por algunos miembros </w:t>
      </w:r>
      <w:r w:rsidR="0074069D" w:rsidRPr="002A35D9">
        <w:rPr>
          <w:rFonts w:asciiTheme="majorHAnsi" w:hAnsiTheme="majorHAnsi"/>
          <w:color w:val="000000" w:themeColor="text1"/>
          <w:sz w:val="20"/>
          <w:szCs w:val="20"/>
          <w:lang w:val="es-ES"/>
        </w:rPr>
        <w:t xml:space="preserve">de dichas organizaciones, </w:t>
      </w:r>
      <w:r w:rsidR="00EE12BE" w:rsidRPr="002A35D9">
        <w:rPr>
          <w:rFonts w:asciiTheme="majorHAnsi" w:hAnsiTheme="majorHAnsi"/>
          <w:color w:val="000000" w:themeColor="text1"/>
          <w:sz w:val="20"/>
          <w:szCs w:val="20"/>
          <w:lang w:val="es-ES"/>
        </w:rPr>
        <w:t>los cuales incluyen linchamientos</w:t>
      </w:r>
      <w:r w:rsidR="0074069D" w:rsidRPr="009B52DB">
        <w:rPr>
          <w:rStyle w:val="Refdenotaalpie"/>
          <w:rFonts w:asciiTheme="majorHAnsi" w:hAnsiTheme="majorHAnsi"/>
          <w:color w:val="000000" w:themeColor="text1"/>
          <w:sz w:val="20"/>
          <w:szCs w:val="20"/>
          <w:lang w:val="es-ES"/>
        </w:rPr>
        <w:footnoteReference w:id="8"/>
      </w:r>
      <w:r w:rsidR="00EE12BE" w:rsidRPr="002A35D9">
        <w:rPr>
          <w:rFonts w:asciiTheme="majorHAnsi" w:hAnsiTheme="majorHAnsi"/>
          <w:color w:val="000000" w:themeColor="text1"/>
          <w:sz w:val="20"/>
          <w:szCs w:val="20"/>
          <w:lang w:val="es-ES"/>
        </w:rPr>
        <w:t>.</w:t>
      </w:r>
    </w:p>
    <w:p w14:paraId="12540255" w14:textId="77777777" w:rsidR="002A35D9" w:rsidRDefault="002A35D9" w:rsidP="002A35D9">
      <w:pPr>
        <w:pStyle w:val="Prrafodelista"/>
        <w:rPr>
          <w:rFonts w:asciiTheme="majorHAnsi" w:hAnsiTheme="majorHAnsi"/>
          <w:color w:val="000000" w:themeColor="text1"/>
          <w:sz w:val="20"/>
          <w:szCs w:val="20"/>
          <w:lang w:val="es-ES"/>
        </w:rPr>
      </w:pPr>
    </w:p>
    <w:p w14:paraId="3BEA281B" w14:textId="77777777" w:rsidR="002A35D9" w:rsidRDefault="00EB05EA"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En 2015, el Relator Especial de Naciones Unidas sobre las ejecuciones extrajudiciales, sumarias o arbitrarias indic</w:t>
      </w:r>
      <w:r w:rsidR="00854152" w:rsidRPr="002A35D9">
        <w:rPr>
          <w:rFonts w:asciiTheme="majorHAnsi" w:hAnsiTheme="majorHAnsi"/>
          <w:color w:val="000000" w:themeColor="text1"/>
          <w:sz w:val="20"/>
          <w:szCs w:val="20"/>
          <w:lang w:val="es-ES"/>
        </w:rPr>
        <w:t xml:space="preserve">ó </w:t>
      </w:r>
      <w:r w:rsidR="00B43F02" w:rsidRPr="002A35D9">
        <w:rPr>
          <w:rFonts w:asciiTheme="majorHAnsi" w:hAnsiTheme="majorHAnsi"/>
          <w:color w:val="000000" w:themeColor="text1"/>
          <w:sz w:val="20"/>
          <w:szCs w:val="20"/>
          <w:lang w:val="es-ES"/>
        </w:rPr>
        <w:t>luego</w:t>
      </w:r>
      <w:r w:rsidR="00854152" w:rsidRPr="002A35D9">
        <w:rPr>
          <w:rFonts w:asciiTheme="majorHAnsi" w:hAnsiTheme="majorHAnsi"/>
          <w:color w:val="000000" w:themeColor="text1"/>
          <w:sz w:val="20"/>
          <w:szCs w:val="20"/>
          <w:lang w:val="es-ES"/>
        </w:rPr>
        <w:t xml:space="preserve"> de su Misión a Ecuador que recibió información sobre amenazas, secuestros, torturas o muertes de personas a manos de las juntas</w:t>
      </w:r>
      <w:r w:rsidR="00B43F02" w:rsidRPr="002A35D9">
        <w:rPr>
          <w:rFonts w:asciiTheme="majorHAnsi" w:hAnsiTheme="majorHAnsi"/>
          <w:color w:val="000000" w:themeColor="text1"/>
          <w:sz w:val="20"/>
          <w:szCs w:val="20"/>
          <w:lang w:val="es-ES"/>
        </w:rPr>
        <w:t xml:space="preserve"> de defensa del campesinado</w:t>
      </w:r>
      <w:r w:rsidR="00854152" w:rsidRPr="002A35D9">
        <w:rPr>
          <w:rFonts w:asciiTheme="majorHAnsi" w:hAnsiTheme="majorHAnsi"/>
          <w:color w:val="000000" w:themeColor="text1"/>
          <w:sz w:val="20"/>
          <w:szCs w:val="20"/>
          <w:lang w:val="es-ES"/>
        </w:rPr>
        <w:t xml:space="preserve">. Indicó que según le fue indicado, </w:t>
      </w:r>
      <w:r w:rsidR="00854152" w:rsidRPr="002A35D9">
        <w:rPr>
          <w:rFonts w:asciiTheme="majorHAnsi" w:hAnsiTheme="majorHAnsi"/>
          <w:color w:val="000000" w:themeColor="text1"/>
          <w:sz w:val="20"/>
          <w:szCs w:val="20"/>
          <w:lang w:val="es-ES"/>
        </w:rPr>
        <w:lastRenderedPageBreak/>
        <w:t>las juntas han utilizado la fuerza para controlar el sistema de justicia penal y que los funcionarios rara vez respondían con eficacia a las denuncias sobre las actividades de las juntas, lo cual fue corroborado por el hecho de que “en general los funcionarios no quisieron o no pudieron responder a las preguntas sobre los abusos cometidos por las juntas, y mucho menos reconocieron la necesidad de investigarlas”</w:t>
      </w:r>
      <w:r w:rsidR="00854152" w:rsidRPr="009B52DB">
        <w:rPr>
          <w:rStyle w:val="Refdenotaalpie"/>
          <w:rFonts w:asciiTheme="majorHAnsi" w:hAnsiTheme="majorHAnsi"/>
          <w:color w:val="000000" w:themeColor="text1"/>
          <w:sz w:val="20"/>
          <w:szCs w:val="20"/>
          <w:lang w:val="es-ES"/>
        </w:rPr>
        <w:footnoteReference w:id="9"/>
      </w:r>
      <w:r w:rsidR="00854152" w:rsidRPr="002A35D9">
        <w:rPr>
          <w:rFonts w:asciiTheme="majorHAnsi" w:hAnsiTheme="majorHAnsi"/>
          <w:color w:val="000000" w:themeColor="text1"/>
          <w:sz w:val="20"/>
          <w:szCs w:val="20"/>
          <w:lang w:val="es-ES"/>
        </w:rPr>
        <w:t xml:space="preserve">. </w:t>
      </w:r>
    </w:p>
    <w:p w14:paraId="21117A9D" w14:textId="77777777" w:rsidR="002A35D9" w:rsidRDefault="002A35D9" w:rsidP="002A35D9">
      <w:pPr>
        <w:pStyle w:val="Prrafodelista"/>
        <w:rPr>
          <w:rFonts w:asciiTheme="majorHAnsi" w:hAnsiTheme="majorHAnsi"/>
          <w:color w:val="000000" w:themeColor="text1"/>
          <w:sz w:val="20"/>
          <w:szCs w:val="20"/>
          <w:lang w:val="es-ES"/>
        </w:rPr>
      </w:pPr>
    </w:p>
    <w:p w14:paraId="3699949B" w14:textId="77777777" w:rsidR="00490F6B" w:rsidRPr="002A35D9" w:rsidRDefault="003424D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2A35D9">
        <w:rPr>
          <w:rFonts w:asciiTheme="majorHAnsi" w:hAnsiTheme="majorHAnsi"/>
          <w:color w:val="000000" w:themeColor="text1"/>
          <w:sz w:val="20"/>
          <w:szCs w:val="20"/>
          <w:lang w:val="es-ES"/>
        </w:rPr>
        <w:t xml:space="preserve">Asimismo, el Estado de Ecuador reportó al Comité de Derechos Humanos en 2015 que recibió información sobre denuncias en contra de miembros de las juntas por violaciones de derechos humanos. Igualmente, indicó </w:t>
      </w:r>
      <w:r w:rsidR="00D13366" w:rsidRPr="002A35D9">
        <w:rPr>
          <w:rFonts w:asciiTheme="majorHAnsi" w:hAnsiTheme="majorHAnsi"/>
          <w:color w:val="000000" w:themeColor="text1"/>
          <w:sz w:val="20"/>
          <w:szCs w:val="20"/>
          <w:lang w:val="es-ES"/>
        </w:rPr>
        <w:t>que,</w:t>
      </w:r>
      <w:r w:rsidRPr="002A35D9">
        <w:rPr>
          <w:rFonts w:asciiTheme="majorHAnsi" w:hAnsiTheme="majorHAnsi"/>
          <w:color w:val="000000" w:themeColor="text1"/>
          <w:sz w:val="20"/>
          <w:szCs w:val="20"/>
          <w:lang w:val="es-ES"/>
        </w:rPr>
        <w:t xml:space="preserve"> en los numerosos procesos judiciales en Tungurahua, Chimborazo y Bolívar en contra del </w:t>
      </w:r>
      <w:r w:rsidR="00D13366" w:rsidRPr="002A35D9">
        <w:rPr>
          <w:rFonts w:asciiTheme="majorHAnsi" w:hAnsiTheme="majorHAnsi"/>
          <w:color w:val="000000" w:themeColor="text1"/>
          <w:sz w:val="20"/>
          <w:szCs w:val="20"/>
          <w:lang w:val="es-ES"/>
        </w:rPr>
        <w:t>presidente</w:t>
      </w:r>
      <w:r w:rsidRPr="002A35D9">
        <w:rPr>
          <w:rFonts w:asciiTheme="majorHAnsi" w:hAnsiTheme="majorHAnsi"/>
          <w:color w:val="000000" w:themeColor="text1"/>
          <w:sz w:val="20"/>
          <w:szCs w:val="20"/>
          <w:lang w:val="es-ES"/>
        </w:rPr>
        <w:t xml:space="preserve"> de las Juntas, han existido desestimaciones o se ha obtenido el sobreseimiento definitivo lo cual ha sucedido de forma análoga con todos los procesos relacionados con dichas Juntas. Por ello, indicó que se están ejecutando medidas para fortalecer los procesos de investigación sobre estos casos, como: 1) la implementación de indicadores que identifiquen los casos relacionados con las Juntas en el futuro; 2) la asignación de un Fiscal adicional a la Dirección de la Comisión de la Verdad para investigar los abusos cometidos por las juntas</w:t>
      </w:r>
      <w:r w:rsidR="009B52DB" w:rsidRPr="002A35D9">
        <w:rPr>
          <w:rFonts w:asciiTheme="majorHAnsi" w:hAnsiTheme="majorHAnsi"/>
          <w:color w:val="000000" w:themeColor="text1"/>
          <w:sz w:val="20"/>
          <w:szCs w:val="20"/>
          <w:lang w:val="es-ES"/>
        </w:rPr>
        <w:t>,</w:t>
      </w:r>
      <w:r w:rsidRPr="002A35D9">
        <w:rPr>
          <w:rFonts w:asciiTheme="majorHAnsi" w:hAnsiTheme="majorHAnsi"/>
          <w:color w:val="000000" w:themeColor="text1"/>
          <w:sz w:val="20"/>
          <w:szCs w:val="20"/>
          <w:lang w:val="es-ES"/>
        </w:rPr>
        <w:t xml:space="preserve"> y 3) la realización de un estudio para determinar qué casos de abusos de las Juntas pueden reabrirse como graves violaciones de derechos humanos, para evitar la impunidad</w:t>
      </w:r>
      <w:r w:rsidR="009E49EA" w:rsidRPr="009B52DB">
        <w:rPr>
          <w:rStyle w:val="Refdenotaalpie"/>
          <w:rFonts w:asciiTheme="majorHAnsi" w:hAnsiTheme="majorHAnsi"/>
          <w:color w:val="000000" w:themeColor="text1"/>
          <w:sz w:val="20"/>
          <w:szCs w:val="20"/>
          <w:lang w:val="es-ES"/>
        </w:rPr>
        <w:footnoteReference w:id="10"/>
      </w:r>
      <w:r w:rsidRPr="002A35D9">
        <w:rPr>
          <w:rFonts w:asciiTheme="majorHAnsi" w:hAnsiTheme="majorHAnsi"/>
          <w:color w:val="000000" w:themeColor="text1"/>
          <w:sz w:val="20"/>
          <w:szCs w:val="20"/>
          <w:lang w:val="es-ES"/>
        </w:rPr>
        <w:t xml:space="preserve">. </w:t>
      </w:r>
    </w:p>
    <w:p w14:paraId="3CE6C14C" w14:textId="77777777" w:rsidR="00490F6B" w:rsidRPr="000A209E" w:rsidRDefault="00490F6B" w:rsidP="00490F6B">
      <w:pPr>
        <w:rPr>
          <w:rFonts w:ascii="Cambria" w:hAnsi="Cambria"/>
          <w:sz w:val="20"/>
          <w:szCs w:val="20"/>
          <w:lang w:val="es-ES"/>
        </w:rPr>
      </w:pPr>
    </w:p>
    <w:p w14:paraId="7B9242EB" w14:textId="77777777" w:rsidR="00490F6B" w:rsidRPr="000A209E" w:rsidRDefault="00490F6B" w:rsidP="002A35D9">
      <w:pPr>
        <w:pStyle w:val="Ttulo2"/>
        <w:numPr>
          <w:ilvl w:val="0"/>
          <w:numId w:val="57"/>
        </w:numPr>
        <w:tabs>
          <w:tab w:val="left" w:pos="630"/>
        </w:tabs>
        <w:spacing w:before="0" w:after="0"/>
        <w:ind w:left="0" w:firstLine="0"/>
        <w:jc w:val="both"/>
        <w:rPr>
          <w:rFonts w:ascii="Cambria" w:hAnsi="Cambria"/>
          <w:i w:val="0"/>
          <w:color w:val="000000" w:themeColor="text1"/>
          <w:sz w:val="20"/>
          <w:szCs w:val="20"/>
          <w:lang w:val="es-ES"/>
        </w:rPr>
      </w:pPr>
      <w:bookmarkStart w:id="6" w:name="_Toc5359026"/>
      <w:r w:rsidRPr="000A209E">
        <w:rPr>
          <w:rFonts w:ascii="Cambria" w:hAnsi="Cambria"/>
          <w:i w:val="0"/>
          <w:color w:val="000000" w:themeColor="text1"/>
          <w:sz w:val="20"/>
          <w:szCs w:val="20"/>
          <w:lang w:val="es-ES"/>
        </w:rPr>
        <w:t>Sobre la presunta víctima y sus familiares</w:t>
      </w:r>
      <w:bookmarkEnd w:id="6"/>
      <w:r w:rsidRPr="000A209E">
        <w:rPr>
          <w:rFonts w:ascii="Cambria" w:hAnsi="Cambria"/>
          <w:i w:val="0"/>
          <w:color w:val="000000" w:themeColor="text1"/>
          <w:sz w:val="20"/>
          <w:szCs w:val="20"/>
          <w:lang w:val="es-ES"/>
        </w:rPr>
        <w:t xml:space="preserve"> </w:t>
      </w:r>
    </w:p>
    <w:p w14:paraId="351E280F" w14:textId="77777777" w:rsidR="00722111" w:rsidRPr="000A209E" w:rsidRDefault="00722111" w:rsidP="004D714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themeColor="text1"/>
          <w:sz w:val="20"/>
          <w:szCs w:val="20"/>
          <w:lang w:val="es-ES"/>
        </w:rPr>
      </w:pPr>
    </w:p>
    <w:p w14:paraId="60F3967F" w14:textId="77777777" w:rsidR="00616AEF" w:rsidRPr="007B580C" w:rsidRDefault="00490F6B"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color w:val="000000" w:themeColor="text1"/>
          <w:sz w:val="20"/>
          <w:szCs w:val="20"/>
          <w:lang w:val="es-ES"/>
        </w:rPr>
      </w:pPr>
      <w:r w:rsidRPr="000346C4">
        <w:rPr>
          <w:rFonts w:asciiTheme="majorHAnsi" w:hAnsiTheme="majorHAnsi"/>
          <w:color w:val="000000" w:themeColor="text1"/>
          <w:sz w:val="20"/>
          <w:szCs w:val="20"/>
          <w:lang w:val="es-ES"/>
        </w:rPr>
        <w:t xml:space="preserve">Según información disponible </w:t>
      </w:r>
      <w:r w:rsidR="00A22D65" w:rsidRPr="000346C4">
        <w:rPr>
          <w:rFonts w:asciiTheme="majorHAnsi" w:hAnsiTheme="majorHAnsi"/>
          <w:color w:val="000000" w:themeColor="text1"/>
          <w:sz w:val="20"/>
          <w:szCs w:val="20"/>
          <w:lang w:val="es-ES"/>
        </w:rPr>
        <w:t>al momento de los hechos, F</w:t>
      </w:r>
      <w:r w:rsidR="0096649A">
        <w:rPr>
          <w:rFonts w:asciiTheme="majorHAnsi" w:hAnsiTheme="majorHAnsi"/>
          <w:sz w:val="20"/>
          <w:szCs w:val="20"/>
          <w:bdr w:val="none" w:sz="0" w:space="0" w:color="auto"/>
          <w:lang w:val="es-ES"/>
        </w:rPr>
        <w:t>re</w:t>
      </w:r>
      <w:r w:rsidR="00A22D65" w:rsidRPr="000346C4">
        <w:rPr>
          <w:rFonts w:asciiTheme="majorHAnsi" w:hAnsiTheme="majorHAnsi"/>
          <w:sz w:val="20"/>
          <w:szCs w:val="20"/>
          <w:bdr w:val="none" w:sz="0" w:space="0" w:color="auto"/>
          <w:lang w:val="es-ES"/>
        </w:rPr>
        <w:t xml:space="preserve">dy Marcelo Núñez </w:t>
      </w:r>
      <w:r w:rsidR="00A22D65" w:rsidRPr="007B580C">
        <w:rPr>
          <w:rFonts w:asciiTheme="majorHAnsi" w:hAnsiTheme="majorHAnsi"/>
          <w:sz w:val="20"/>
          <w:szCs w:val="20"/>
          <w:bdr w:val="none" w:sz="0" w:space="0" w:color="auto"/>
          <w:lang w:val="es-ES"/>
        </w:rPr>
        <w:t>Naranjo tenía 27 años</w:t>
      </w:r>
      <w:r w:rsidR="001D18EA" w:rsidRPr="007B580C">
        <w:rPr>
          <w:rFonts w:asciiTheme="majorHAnsi" w:hAnsiTheme="majorHAnsi"/>
          <w:sz w:val="20"/>
          <w:szCs w:val="20"/>
          <w:bdr w:val="none" w:sz="0" w:space="0" w:color="auto"/>
          <w:lang w:val="es-ES"/>
        </w:rPr>
        <w:t>,</w:t>
      </w:r>
      <w:r w:rsidR="00A22D65" w:rsidRPr="007B580C">
        <w:rPr>
          <w:rFonts w:asciiTheme="majorHAnsi" w:hAnsiTheme="majorHAnsi"/>
          <w:sz w:val="20"/>
          <w:szCs w:val="20"/>
          <w:bdr w:val="none" w:sz="0" w:space="0" w:color="auto"/>
          <w:lang w:val="es-ES"/>
        </w:rPr>
        <w:t xml:space="preserve"> era divorciado y chofer de profesión. S</w:t>
      </w:r>
      <w:r w:rsidR="00493A17" w:rsidRPr="007B580C">
        <w:rPr>
          <w:rFonts w:asciiTheme="majorHAnsi" w:hAnsiTheme="majorHAnsi"/>
          <w:color w:val="000000" w:themeColor="text1"/>
          <w:sz w:val="20"/>
          <w:szCs w:val="20"/>
          <w:lang w:val="es-ES"/>
        </w:rPr>
        <w:t xml:space="preserve">u núcleo familiar </w:t>
      </w:r>
      <w:r w:rsidRPr="007B580C">
        <w:rPr>
          <w:rFonts w:asciiTheme="majorHAnsi" w:hAnsiTheme="majorHAnsi"/>
          <w:color w:val="000000" w:themeColor="text1"/>
          <w:sz w:val="20"/>
          <w:szCs w:val="20"/>
          <w:lang w:val="es-ES"/>
        </w:rPr>
        <w:t xml:space="preserve">está </w:t>
      </w:r>
      <w:r w:rsidR="00493A17" w:rsidRPr="007B580C">
        <w:rPr>
          <w:rFonts w:asciiTheme="majorHAnsi" w:hAnsiTheme="majorHAnsi"/>
          <w:color w:val="000000" w:themeColor="text1"/>
          <w:sz w:val="20"/>
          <w:szCs w:val="20"/>
          <w:lang w:val="es-ES"/>
        </w:rPr>
        <w:t>compuesto por</w:t>
      </w:r>
      <w:r w:rsidR="00FF0967" w:rsidRPr="007B580C">
        <w:rPr>
          <w:rFonts w:asciiTheme="majorHAnsi" w:hAnsiTheme="majorHAnsi"/>
          <w:color w:val="000000" w:themeColor="text1"/>
          <w:sz w:val="20"/>
          <w:szCs w:val="20"/>
          <w:lang w:val="es-ES"/>
        </w:rPr>
        <w:t>:</w:t>
      </w:r>
      <w:r w:rsidR="00493A17" w:rsidRPr="007B580C">
        <w:rPr>
          <w:rFonts w:asciiTheme="majorHAnsi" w:hAnsiTheme="majorHAnsi"/>
          <w:color w:val="000000" w:themeColor="text1"/>
          <w:sz w:val="20"/>
          <w:szCs w:val="20"/>
          <w:lang w:val="es-ES"/>
        </w:rPr>
        <w:t xml:space="preserve"> </w:t>
      </w:r>
      <w:r w:rsidR="00206211" w:rsidRPr="007B580C">
        <w:rPr>
          <w:rFonts w:asciiTheme="majorHAnsi" w:hAnsiTheme="majorHAnsi"/>
          <w:color w:val="000000" w:themeColor="text1"/>
          <w:sz w:val="20"/>
          <w:szCs w:val="20"/>
          <w:lang w:val="es-ES"/>
        </w:rPr>
        <w:t>sus padres, Sixto Núñez y</w:t>
      </w:r>
      <w:r w:rsidR="00493A17" w:rsidRPr="007B580C">
        <w:rPr>
          <w:rFonts w:asciiTheme="majorHAnsi" w:hAnsiTheme="majorHAnsi"/>
          <w:color w:val="000000" w:themeColor="text1"/>
          <w:sz w:val="20"/>
          <w:szCs w:val="20"/>
          <w:lang w:val="es-ES"/>
        </w:rPr>
        <w:t xml:space="preserve"> María Gregoria Naranjo</w:t>
      </w:r>
      <w:r w:rsidR="00C91D59">
        <w:rPr>
          <w:rFonts w:asciiTheme="majorHAnsi" w:hAnsiTheme="majorHAnsi"/>
          <w:color w:val="000000" w:themeColor="text1"/>
          <w:sz w:val="20"/>
          <w:szCs w:val="20"/>
          <w:lang w:val="es-ES"/>
        </w:rPr>
        <w:t>,</w:t>
      </w:r>
      <w:r w:rsidR="00F25E28">
        <w:rPr>
          <w:rFonts w:asciiTheme="majorHAnsi" w:hAnsiTheme="majorHAnsi"/>
          <w:color w:val="000000" w:themeColor="text1"/>
          <w:sz w:val="20"/>
          <w:szCs w:val="20"/>
          <w:lang w:val="es-ES"/>
        </w:rPr>
        <w:t xml:space="preserve"> </w:t>
      </w:r>
      <w:r w:rsidR="00206211" w:rsidRPr="007B580C">
        <w:rPr>
          <w:rFonts w:asciiTheme="majorHAnsi" w:hAnsiTheme="majorHAnsi"/>
          <w:color w:val="000000" w:themeColor="text1"/>
          <w:sz w:val="20"/>
          <w:szCs w:val="20"/>
          <w:lang w:val="es-ES"/>
        </w:rPr>
        <w:t>sus hermanas Marcia</w:t>
      </w:r>
      <w:r w:rsidR="00C91D59" w:rsidRPr="00C91D59">
        <w:rPr>
          <w:rFonts w:asciiTheme="majorHAnsi" w:hAnsiTheme="majorHAnsi"/>
          <w:color w:val="000000" w:themeColor="text1"/>
          <w:sz w:val="20"/>
          <w:szCs w:val="20"/>
          <w:lang w:val="es-ES"/>
        </w:rPr>
        <w:t xml:space="preserve"> </w:t>
      </w:r>
      <w:r w:rsidR="00C91D59" w:rsidRPr="007B580C">
        <w:rPr>
          <w:rFonts w:asciiTheme="majorHAnsi" w:hAnsiTheme="majorHAnsi"/>
          <w:color w:val="000000" w:themeColor="text1"/>
          <w:sz w:val="20"/>
          <w:szCs w:val="20"/>
          <w:lang w:val="es-ES"/>
        </w:rPr>
        <w:t>Núñez</w:t>
      </w:r>
      <w:r w:rsidR="00C91D59">
        <w:rPr>
          <w:rFonts w:asciiTheme="majorHAnsi" w:hAnsiTheme="majorHAnsi"/>
          <w:color w:val="000000" w:themeColor="text1"/>
          <w:sz w:val="20"/>
          <w:szCs w:val="20"/>
          <w:lang w:val="es-ES"/>
        </w:rPr>
        <w:t xml:space="preserve"> y su familia</w:t>
      </w:r>
      <w:r w:rsidR="00206211" w:rsidRPr="007B580C">
        <w:rPr>
          <w:rFonts w:asciiTheme="majorHAnsi" w:hAnsiTheme="majorHAnsi"/>
          <w:color w:val="000000" w:themeColor="text1"/>
          <w:sz w:val="20"/>
          <w:szCs w:val="20"/>
          <w:lang w:val="es-ES"/>
        </w:rPr>
        <w:t xml:space="preserve"> y Silvia Núñez </w:t>
      </w:r>
      <w:r w:rsidR="00C91D59">
        <w:rPr>
          <w:rFonts w:asciiTheme="majorHAnsi" w:hAnsiTheme="majorHAnsi"/>
          <w:color w:val="000000" w:themeColor="text1"/>
          <w:sz w:val="20"/>
          <w:szCs w:val="20"/>
          <w:lang w:val="es-ES"/>
        </w:rPr>
        <w:t>y su familia</w:t>
      </w:r>
      <w:r w:rsidR="000346C4" w:rsidRPr="007B580C">
        <w:rPr>
          <w:rStyle w:val="Refdenotaalpie"/>
          <w:rFonts w:asciiTheme="majorHAnsi" w:hAnsiTheme="majorHAnsi"/>
          <w:color w:val="000000" w:themeColor="text1"/>
          <w:sz w:val="20"/>
          <w:szCs w:val="20"/>
          <w:lang w:val="es-ES"/>
        </w:rPr>
        <w:footnoteReference w:id="11"/>
      </w:r>
      <w:r w:rsidR="00B469E5" w:rsidRPr="007B580C">
        <w:rPr>
          <w:rFonts w:asciiTheme="majorHAnsi" w:hAnsiTheme="majorHAnsi"/>
          <w:color w:val="000000" w:themeColor="text1"/>
          <w:sz w:val="20"/>
          <w:szCs w:val="20"/>
          <w:lang w:val="es-ES"/>
        </w:rPr>
        <w:t xml:space="preserve">. </w:t>
      </w:r>
    </w:p>
    <w:p w14:paraId="7BE1782D" w14:textId="77777777" w:rsidR="00490F6B" w:rsidRPr="007B580C" w:rsidRDefault="00490F6B" w:rsidP="00490F6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themeColor="text1"/>
          <w:sz w:val="20"/>
          <w:szCs w:val="20"/>
          <w:lang w:val="es-ES"/>
        </w:rPr>
      </w:pPr>
    </w:p>
    <w:p w14:paraId="13CC41B9" w14:textId="77777777" w:rsidR="00490F6B" w:rsidRPr="007B580C" w:rsidRDefault="00490F6B" w:rsidP="002A35D9">
      <w:pPr>
        <w:pStyle w:val="Ttulo2"/>
        <w:numPr>
          <w:ilvl w:val="0"/>
          <w:numId w:val="57"/>
        </w:numPr>
        <w:tabs>
          <w:tab w:val="left" w:pos="630"/>
        </w:tabs>
        <w:spacing w:before="0" w:after="0"/>
        <w:ind w:left="0" w:firstLine="0"/>
        <w:jc w:val="both"/>
        <w:rPr>
          <w:rFonts w:ascii="Cambria" w:hAnsi="Cambria"/>
          <w:i w:val="0"/>
          <w:color w:val="000000" w:themeColor="text1"/>
          <w:sz w:val="20"/>
          <w:szCs w:val="20"/>
          <w:lang w:val="es-ES"/>
        </w:rPr>
      </w:pPr>
      <w:bookmarkStart w:id="7" w:name="_Toc5359027"/>
      <w:r w:rsidRPr="007B580C">
        <w:rPr>
          <w:rFonts w:ascii="Cambria" w:hAnsi="Cambria"/>
          <w:i w:val="0"/>
          <w:color w:val="000000" w:themeColor="text1"/>
          <w:sz w:val="20"/>
          <w:szCs w:val="20"/>
          <w:lang w:val="es-ES"/>
        </w:rPr>
        <w:t>Hechos del caso</w:t>
      </w:r>
      <w:bookmarkEnd w:id="7"/>
    </w:p>
    <w:p w14:paraId="1E0214ED" w14:textId="77777777" w:rsidR="00103925" w:rsidRPr="000A209E" w:rsidRDefault="00103925" w:rsidP="0010392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olor w:val="000000" w:themeColor="text1"/>
          <w:sz w:val="20"/>
          <w:szCs w:val="20"/>
          <w:lang w:val="es-ES"/>
        </w:rPr>
      </w:pPr>
    </w:p>
    <w:p w14:paraId="50E97CD9" w14:textId="77777777" w:rsidR="002A35D9" w:rsidRDefault="000346C4"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bdr w:val="none" w:sz="0" w:space="0" w:color="auto"/>
          <w:lang w:val="es-ES"/>
        </w:rPr>
      </w:pPr>
      <w:r w:rsidRPr="002A35D9">
        <w:rPr>
          <w:rFonts w:asciiTheme="majorHAnsi" w:hAnsiTheme="majorHAnsi"/>
          <w:color w:val="000000" w:themeColor="text1"/>
          <w:sz w:val="20"/>
          <w:szCs w:val="20"/>
          <w:lang w:val="es-ES"/>
        </w:rPr>
        <w:t>Según</w:t>
      </w:r>
      <w:r w:rsidRPr="00D64D9D">
        <w:rPr>
          <w:rFonts w:asciiTheme="majorHAnsi" w:hAnsiTheme="majorHAnsi"/>
          <w:sz w:val="20"/>
          <w:szCs w:val="20"/>
          <w:bdr w:val="none" w:sz="0" w:space="0" w:color="auto"/>
          <w:lang w:val="es-ES"/>
        </w:rPr>
        <w:t xml:space="preserve"> consta en el expediente,</w:t>
      </w:r>
      <w:r w:rsidR="00F25E28">
        <w:rPr>
          <w:rFonts w:asciiTheme="majorHAnsi" w:hAnsiTheme="majorHAnsi"/>
          <w:sz w:val="20"/>
          <w:szCs w:val="20"/>
          <w:bdr w:val="none" w:sz="0" w:space="0" w:color="auto"/>
          <w:lang w:val="es-ES"/>
        </w:rPr>
        <w:t xml:space="preserve"> </w:t>
      </w:r>
      <w:r w:rsidR="008068BF" w:rsidRPr="00D64D9D">
        <w:rPr>
          <w:rFonts w:asciiTheme="majorHAnsi" w:hAnsiTheme="majorHAnsi"/>
          <w:sz w:val="20"/>
          <w:szCs w:val="20"/>
          <w:bdr w:val="none" w:sz="0" w:space="0" w:color="auto"/>
          <w:lang w:val="es-ES"/>
        </w:rPr>
        <w:t xml:space="preserve">el 15 de julio de 2001 el señor Octavio Morales, en compañía de otros </w:t>
      </w:r>
      <w:r w:rsidR="00D023B2" w:rsidRPr="00D64D9D">
        <w:rPr>
          <w:rFonts w:asciiTheme="majorHAnsi" w:hAnsiTheme="majorHAnsi"/>
          <w:sz w:val="20"/>
          <w:szCs w:val="20"/>
          <w:bdr w:val="none" w:sz="0" w:space="0" w:color="auto"/>
          <w:lang w:val="es-ES"/>
        </w:rPr>
        <w:t xml:space="preserve">sujetos en estado de ebriedad, </w:t>
      </w:r>
      <w:r w:rsidR="008068BF" w:rsidRPr="00D64D9D">
        <w:rPr>
          <w:rFonts w:asciiTheme="majorHAnsi" w:hAnsiTheme="majorHAnsi"/>
          <w:sz w:val="20"/>
          <w:szCs w:val="20"/>
          <w:bdr w:val="none" w:sz="0" w:space="0" w:color="auto"/>
          <w:lang w:val="es-ES"/>
        </w:rPr>
        <w:t>ingresaron al</w:t>
      </w:r>
      <w:r w:rsidR="00103925" w:rsidRPr="00D64D9D">
        <w:rPr>
          <w:rFonts w:asciiTheme="majorHAnsi" w:hAnsiTheme="majorHAnsi"/>
          <w:sz w:val="20"/>
          <w:szCs w:val="20"/>
          <w:bdr w:val="none" w:sz="0" w:space="0" w:color="auto"/>
          <w:lang w:val="es-ES"/>
        </w:rPr>
        <w:t xml:space="preserve"> salón</w:t>
      </w:r>
      <w:r w:rsidR="00311173" w:rsidRPr="00D64D9D">
        <w:rPr>
          <w:rFonts w:asciiTheme="majorHAnsi" w:hAnsiTheme="majorHAnsi"/>
          <w:sz w:val="20"/>
          <w:szCs w:val="20"/>
          <w:bdr w:val="none" w:sz="0" w:space="0" w:color="auto"/>
          <w:lang w:val="es-ES"/>
        </w:rPr>
        <w:t xml:space="preserve"> </w:t>
      </w:r>
      <w:r w:rsidR="00C36059">
        <w:rPr>
          <w:rFonts w:asciiTheme="majorHAnsi" w:hAnsiTheme="majorHAnsi"/>
          <w:sz w:val="20"/>
          <w:szCs w:val="20"/>
          <w:bdr w:val="none" w:sz="0" w:space="0" w:color="auto"/>
          <w:lang w:val="es-ES"/>
        </w:rPr>
        <w:t>de billares</w:t>
      </w:r>
      <w:r w:rsidR="00311173" w:rsidRPr="005265E4">
        <w:rPr>
          <w:rFonts w:asciiTheme="majorHAnsi" w:hAnsiTheme="majorHAnsi"/>
          <w:sz w:val="20"/>
          <w:szCs w:val="20"/>
          <w:bdr w:val="none" w:sz="0" w:space="0" w:color="auto"/>
          <w:lang w:val="es-ES"/>
        </w:rPr>
        <w:t xml:space="preserve"> </w:t>
      </w:r>
      <w:r w:rsidR="00103925" w:rsidRPr="005265E4">
        <w:rPr>
          <w:rFonts w:asciiTheme="majorHAnsi" w:hAnsiTheme="majorHAnsi"/>
          <w:sz w:val="20"/>
          <w:szCs w:val="20"/>
          <w:bdr w:val="none" w:sz="0" w:space="0" w:color="auto"/>
          <w:lang w:val="es-ES"/>
        </w:rPr>
        <w:t>“latinos”,</w:t>
      </w:r>
      <w:r w:rsidR="00103925" w:rsidRPr="00D64D9D">
        <w:rPr>
          <w:rFonts w:asciiTheme="majorHAnsi" w:hAnsiTheme="majorHAnsi"/>
          <w:sz w:val="20"/>
          <w:szCs w:val="20"/>
          <w:bdr w:val="none" w:sz="0" w:space="0" w:color="auto"/>
          <w:lang w:val="es-ES"/>
        </w:rPr>
        <w:t xml:space="preserve"> </w:t>
      </w:r>
      <w:r w:rsidR="00311173" w:rsidRPr="00D64D9D">
        <w:rPr>
          <w:rFonts w:asciiTheme="majorHAnsi" w:hAnsiTheme="majorHAnsi"/>
          <w:sz w:val="20"/>
          <w:szCs w:val="20"/>
          <w:bdr w:val="none" w:sz="0" w:space="0" w:color="auto"/>
          <w:lang w:val="es-ES"/>
        </w:rPr>
        <w:t xml:space="preserve">ubicado </w:t>
      </w:r>
      <w:r w:rsidR="00D023B2" w:rsidRPr="00D64D9D">
        <w:rPr>
          <w:rFonts w:asciiTheme="majorHAnsi" w:hAnsiTheme="majorHAnsi"/>
          <w:sz w:val="20"/>
          <w:szCs w:val="20"/>
          <w:bdr w:val="none" w:sz="0" w:space="0" w:color="auto"/>
          <w:lang w:val="es-ES"/>
        </w:rPr>
        <w:t>en las calles Eloy Alfaro y Juan León M</w:t>
      </w:r>
      <w:r w:rsidR="00103925" w:rsidRPr="00D64D9D">
        <w:rPr>
          <w:rFonts w:asciiTheme="majorHAnsi" w:hAnsiTheme="majorHAnsi"/>
          <w:sz w:val="20"/>
          <w:szCs w:val="20"/>
          <w:bdr w:val="none" w:sz="0" w:space="0" w:color="auto"/>
          <w:lang w:val="es-ES"/>
        </w:rPr>
        <w:t>era</w:t>
      </w:r>
      <w:r w:rsidR="00D023B2" w:rsidRPr="00D64D9D">
        <w:rPr>
          <w:rFonts w:asciiTheme="majorHAnsi" w:hAnsiTheme="majorHAnsi"/>
          <w:sz w:val="20"/>
          <w:szCs w:val="20"/>
          <w:bdr w:val="none" w:sz="0" w:space="0" w:color="auto"/>
          <w:lang w:val="es-ES"/>
        </w:rPr>
        <w:t>, del cantón Q</w:t>
      </w:r>
      <w:r w:rsidR="00103925" w:rsidRPr="00D64D9D">
        <w:rPr>
          <w:rFonts w:asciiTheme="majorHAnsi" w:hAnsiTheme="majorHAnsi"/>
          <w:sz w:val="20"/>
          <w:szCs w:val="20"/>
          <w:bdr w:val="none" w:sz="0" w:space="0" w:color="auto"/>
          <w:lang w:val="es-ES"/>
        </w:rPr>
        <w:t>uero,</w:t>
      </w:r>
      <w:r w:rsidR="00560FA6" w:rsidRPr="00D64D9D">
        <w:rPr>
          <w:rFonts w:asciiTheme="majorHAnsi" w:hAnsiTheme="majorHAnsi"/>
          <w:sz w:val="20"/>
          <w:szCs w:val="20"/>
          <w:bdr w:val="none" w:sz="0" w:space="0" w:color="auto"/>
          <w:lang w:val="es-ES"/>
        </w:rPr>
        <w:t xml:space="preserve"> con la intención</w:t>
      </w:r>
      <w:r w:rsidR="00D023B2" w:rsidRPr="00D64D9D">
        <w:rPr>
          <w:rFonts w:asciiTheme="majorHAnsi" w:hAnsiTheme="majorHAnsi"/>
          <w:sz w:val="20"/>
          <w:szCs w:val="20"/>
          <w:bdr w:val="none" w:sz="0" w:space="0" w:color="auto"/>
          <w:lang w:val="es-ES"/>
        </w:rPr>
        <w:t xml:space="preserve"> de </w:t>
      </w:r>
      <w:r w:rsidR="008068BF" w:rsidRPr="00D64D9D">
        <w:rPr>
          <w:rFonts w:asciiTheme="majorHAnsi" w:hAnsiTheme="majorHAnsi"/>
          <w:sz w:val="20"/>
          <w:szCs w:val="20"/>
          <w:bdr w:val="none" w:sz="0" w:space="0" w:color="auto"/>
          <w:lang w:val="es-ES"/>
        </w:rPr>
        <w:t>consumir alcohol, pero ante la negativa de la dueña del lugar Gregoria Naranjo, de venderles bebidas</w:t>
      </w:r>
      <w:r w:rsidR="00C94861" w:rsidRPr="00D64D9D">
        <w:rPr>
          <w:rFonts w:asciiTheme="majorHAnsi" w:hAnsiTheme="majorHAnsi"/>
          <w:sz w:val="20"/>
          <w:szCs w:val="20"/>
          <w:bdr w:val="none" w:sz="0" w:space="0" w:color="auto"/>
          <w:lang w:val="es-ES"/>
        </w:rPr>
        <w:t xml:space="preserve"> alcohólicas</w:t>
      </w:r>
      <w:r w:rsidR="008068BF" w:rsidRPr="00D64D9D">
        <w:rPr>
          <w:rFonts w:asciiTheme="majorHAnsi" w:hAnsiTheme="majorHAnsi"/>
          <w:sz w:val="20"/>
          <w:szCs w:val="20"/>
          <w:bdr w:val="none" w:sz="0" w:space="0" w:color="auto"/>
          <w:lang w:val="es-ES"/>
        </w:rPr>
        <w:t>, Morales destruyó la puerta y vidrios de una ventana del local, y abandonó el local</w:t>
      </w:r>
      <w:r w:rsidR="00560FA6" w:rsidRPr="00D64D9D">
        <w:rPr>
          <w:rStyle w:val="Refdenotaalpie"/>
          <w:rFonts w:asciiTheme="majorHAnsi" w:hAnsiTheme="majorHAnsi"/>
          <w:sz w:val="20"/>
          <w:szCs w:val="20"/>
          <w:bdr w:val="none" w:sz="0" w:space="0" w:color="auto"/>
          <w:lang w:val="es-ES"/>
        </w:rPr>
        <w:footnoteReference w:id="12"/>
      </w:r>
      <w:r w:rsidR="00560FA6" w:rsidRPr="00D64D9D">
        <w:rPr>
          <w:rFonts w:asciiTheme="majorHAnsi" w:hAnsiTheme="majorHAnsi"/>
          <w:sz w:val="20"/>
          <w:szCs w:val="20"/>
          <w:bdr w:val="none" w:sz="0" w:space="0" w:color="auto"/>
          <w:lang w:val="es-ES"/>
        </w:rPr>
        <w:t xml:space="preserve">. </w:t>
      </w:r>
    </w:p>
    <w:p w14:paraId="286765E1"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Theme="majorHAnsi" w:hAnsiTheme="majorHAnsi"/>
          <w:sz w:val="20"/>
          <w:szCs w:val="20"/>
          <w:bdr w:val="none" w:sz="0" w:space="0" w:color="auto"/>
          <w:lang w:val="es-ES"/>
        </w:rPr>
      </w:pPr>
    </w:p>
    <w:p w14:paraId="21BC226F" w14:textId="77777777" w:rsidR="002A35D9" w:rsidRDefault="008068BF"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bdr w:val="none" w:sz="0" w:space="0" w:color="auto"/>
          <w:lang w:val="es-ES"/>
        </w:rPr>
      </w:pPr>
      <w:r w:rsidRPr="002A35D9">
        <w:rPr>
          <w:rFonts w:asciiTheme="majorHAnsi" w:hAnsiTheme="majorHAnsi"/>
          <w:sz w:val="20"/>
          <w:szCs w:val="20"/>
          <w:bdr w:val="none" w:sz="0" w:space="0" w:color="auto"/>
          <w:lang w:val="es-ES"/>
        </w:rPr>
        <w:t>Con posterioridad Fredy Núñez, hijo de la propietaria, salió en busca de Morales y lo trajo de vuelta al salón, donde procedió a agredirlo</w:t>
      </w:r>
      <w:r w:rsidR="000A230E" w:rsidRPr="00D64D9D">
        <w:rPr>
          <w:rStyle w:val="Refdenotaalpie"/>
          <w:rFonts w:asciiTheme="majorHAnsi" w:hAnsiTheme="majorHAnsi"/>
          <w:sz w:val="20"/>
          <w:szCs w:val="20"/>
          <w:bdr w:val="none" w:sz="0" w:space="0" w:color="auto"/>
          <w:lang w:val="es-ES"/>
        </w:rPr>
        <w:footnoteReference w:id="13"/>
      </w:r>
      <w:r w:rsidR="006F56E5" w:rsidRPr="002A35D9">
        <w:rPr>
          <w:rFonts w:asciiTheme="majorHAnsi" w:hAnsiTheme="majorHAnsi"/>
          <w:sz w:val="20"/>
          <w:szCs w:val="20"/>
          <w:bdr w:val="none" w:sz="0" w:space="0" w:color="auto"/>
          <w:lang w:val="es-ES"/>
        </w:rPr>
        <w:t>.</w:t>
      </w:r>
      <w:r w:rsidR="00F25E28" w:rsidRPr="002A35D9">
        <w:rPr>
          <w:rFonts w:asciiTheme="majorHAnsi" w:hAnsiTheme="majorHAnsi"/>
          <w:sz w:val="20"/>
          <w:szCs w:val="20"/>
          <w:bdr w:val="none" w:sz="0" w:space="0" w:color="auto"/>
          <w:lang w:val="es-ES"/>
        </w:rPr>
        <w:t xml:space="preserve"> </w:t>
      </w:r>
      <w:r w:rsidR="009470FC" w:rsidRPr="002A35D9">
        <w:rPr>
          <w:rFonts w:asciiTheme="majorHAnsi" w:hAnsiTheme="majorHAnsi"/>
          <w:sz w:val="20"/>
          <w:szCs w:val="20"/>
          <w:bdr w:val="none" w:sz="0" w:space="0" w:color="auto"/>
          <w:lang w:val="es-ES"/>
        </w:rPr>
        <w:t>Frente a ello, la policía se apersonó al lugar</w:t>
      </w:r>
      <w:r w:rsidR="000E7881" w:rsidRPr="002A35D9">
        <w:rPr>
          <w:rFonts w:asciiTheme="majorHAnsi" w:hAnsiTheme="majorHAnsi"/>
          <w:sz w:val="20"/>
          <w:szCs w:val="20"/>
          <w:bdr w:val="none" w:sz="0" w:space="0" w:color="auto"/>
          <w:lang w:val="es-ES"/>
        </w:rPr>
        <w:t xml:space="preserve"> y detuvo a Fredy </w:t>
      </w:r>
      <w:r w:rsidR="0073598C" w:rsidRPr="002A35D9">
        <w:rPr>
          <w:rFonts w:asciiTheme="majorHAnsi" w:hAnsiTheme="majorHAnsi"/>
          <w:sz w:val="20"/>
          <w:szCs w:val="20"/>
          <w:bdr w:val="none" w:sz="0" w:space="0" w:color="auto"/>
          <w:lang w:val="es-ES"/>
        </w:rPr>
        <w:t>Núñez, Octavio Morales y Orlando Freire</w:t>
      </w:r>
      <w:r w:rsidR="000E7881" w:rsidRPr="002A35D9">
        <w:rPr>
          <w:rFonts w:asciiTheme="majorHAnsi" w:hAnsiTheme="majorHAnsi"/>
          <w:sz w:val="20"/>
          <w:szCs w:val="20"/>
          <w:bdr w:val="none" w:sz="0" w:space="0" w:color="auto"/>
          <w:lang w:val="es-ES"/>
        </w:rPr>
        <w:t>, un amigo</w:t>
      </w:r>
      <w:r w:rsidR="00CC3846" w:rsidRPr="002A35D9">
        <w:rPr>
          <w:rFonts w:asciiTheme="majorHAnsi" w:hAnsiTheme="majorHAnsi"/>
          <w:sz w:val="20"/>
          <w:szCs w:val="20"/>
          <w:bdr w:val="none" w:sz="0" w:space="0" w:color="auto"/>
          <w:lang w:val="es-ES"/>
        </w:rPr>
        <w:t xml:space="preserve"> de </w:t>
      </w:r>
      <w:r w:rsidR="0073598C" w:rsidRPr="002A35D9">
        <w:rPr>
          <w:rFonts w:asciiTheme="majorHAnsi" w:hAnsiTheme="majorHAnsi"/>
          <w:sz w:val="20"/>
          <w:szCs w:val="20"/>
          <w:bdr w:val="none" w:sz="0" w:space="0" w:color="auto"/>
          <w:lang w:val="es-ES"/>
        </w:rPr>
        <w:t>Octavio Morales</w:t>
      </w:r>
      <w:r w:rsidR="00C87951" w:rsidRPr="002A35D9">
        <w:rPr>
          <w:rFonts w:asciiTheme="majorHAnsi" w:hAnsiTheme="majorHAnsi"/>
          <w:sz w:val="20"/>
          <w:szCs w:val="20"/>
          <w:bdr w:val="none" w:sz="0" w:space="0" w:color="auto"/>
          <w:lang w:val="es-ES"/>
        </w:rPr>
        <w:t>,</w:t>
      </w:r>
      <w:r w:rsidR="000E7881" w:rsidRPr="002A35D9">
        <w:rPr>
          <w:rFonts w:asciiTheme="majorHAnsi" w:hAnsiTheme="majorHAnsi"/>
          <w:sz w:val="20"/>
          <w:szCs w:val="20"/>
          <w:bdr w:val="none" w:sz="0" w:space="0" w:color="auto"/>
          <w:lang w:val="es-ES"/>
        </w:rPr>
        <w:t xml:space="preserve"> que exigía su liberaci</w:t>
      </w:r>
      <w:r w:rsidR="00982BD8" w:rsidRPr="002A35D9">
        <w:rPr>
          <w:rFonts w:asciiTheme="majorHAnsi" w:hAnsiTheme="majorHAnsi"/>
          <w:sz w:val="20"/>
          <w:szCs w:val="20"/>
          <w:bdr w:val="none" w:sz="0" w:space="0" w:color="auto"/>
          <w:lang w:val="es-ES"/>
        </w:rPr>
        <w:t>ón y fueron conducidos a los Calabozos del Destacamento de Policía del Cantón Quero</w:t>
      </w:r>
      <w:r w:rsidR="00AD5F3A" w:rsidRPr="00D64D9D">
        <w:rPr>
          <w:rStyle w:val="Refdenotaalpie"/>
          <w:rFonts w:asciiTheme="majorHAnsi" w:hAnsiTheme="majorHAnsi"/>
          <w:sz w:val="20"/>
          <w:szCs w:val="20"/>
          <w:bdr w:val="none" w:sz="0" w:space="0" w:color="auto"/>
          <w:lang w:val="es-ES"/>
        </w:rPr>
        <w:footnoteReference w:id="14"/>
      </w:r>
      <w:r w:rsidR="00982BD8" w:rsidRPr="002A35D9">
        <w:rPr>
          <w:rFonts w:asciiTheme="majorHAnsi" w:hAnsiTheme="majorHAnsi"/>
          <w:sz w:val="20"/>
          <w:szCs w:val="20"/>
          <w:bdr w:val="none" w:sz="0" w:space="0" w:color="auto"/>
          <w:lang w:val="es-ES"/>
        </w:rPr>
        <w:t>.</w:t>
      </w:r>
      <w:r w:rsidR="00AD5F3A" w:rsidRPr="002A35D9">
        <w:rPr>
          <w:rFonts w:asciiTheme="majorHAnsi" w:hAnsiTheme="majorHAnsi"/>
          <w:sz w:val="20"/>
          <w:szCs w:val="20"/>
          <w:bdr w:val="none" w:sz="0" w:space="0" w:color="auto"/>
          <w:lang w:val="es-ES"/>
        </w:rPr>
        <w:t xml:space="preserve"> </w:t>
      </w:r>
    </w:p>
    <w:p w14:paraId="4981D0EB" w14:textId="77777777" w:rsidR="002A35D9" w:rsidRDefault="002A35D9" w:rsidP="002A35D9">
      <w:pPr>
        <w:pStyle w:val="Prrafodelista"/>
        <w:rPr>
          <w:rFonts w:asciiTheme="majorHAnsi" w:hAnsiTheme="majorHAnsi"/>
          <w:sz w:val="20"/>
          <w:szCs w:val="20"/>
          <w:bdr w:val="none" w:sz="0" w:space="0" w:color="auto"/>
          <w:lang w:val="es-ES"/>
        </w:rPr>
      </w:pPr>
    </w:p>
    <w:p w14:paraId="1438A3FC" w14:textId="77777777" w:rsidR="002A35D9" w:rsidRDefault="00DE59F5"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bdr w:val="none" w:sz="0" w:space="0" w:color="auto"/>
          <w:lang w:val="es-ES"/>
        </w:rPr>
      </w:pPr>
      <w:r w:rsidRPr="002A35D9">
        <w:rPr>
          <w:rFonts w:asciiTheme="majorHAnsi" w:hAnsiTheme="majorHAnsi"/>
          <w:sz w:val="20"/>
          <w:szCs w:val="20"/>
          <w:bdr w:val="none" w:sz="0" w:space="0" w:color="auto"/>
          <w:lang w:val="es-ES"/>
        </w:rPr>
        <w:t>Según consta en el Informe Policial, t</w:t>
      </w:r>
      <w:r w:rsidR="00AD5F3A" w:rsidRPr="002A35D9">
        <w:rPr>
          <w:rFonts w:asciiTheme="majorHAnsi" w:hAnsiTheme="majorHAnsi"/>
          <w:sz w:val="20"/>
          <w:szCs w:val="20"/>
          <w:bdr w:val="none" w:sz="0" w:space="0" w:color="auto"/>
          <w:lang w:val="es-ES"/>
        </w:rPr>
        <w:t xml:space="preserve">ranscurrida media hora, se presentaron a dicho </w:t>
      </w:r>
      <w:r w:rsidR="00C94861" w:rsidRPr="002A35D9">
        <w:rPr>
          <w:rFonts w:asciiTheme="majorHAnsi" w:hAnsiTheme="majorHAnsi"/>
          <w:sz w:val="20"/>
          <w:szCs w:val="20"/>
          <w:bdr w:val="none" w:sz="0" w:space="0" w:color="auto"/>
          <w:lang w:val="es-ES"/>
        </w:rPr>
        <w:t>destacamento</w:t>
      </w:r>
      <w:r w:rsidR="00AD5F3A" w:rsidRPr="002A35D9">
        <w:rPr>
          <w:rFonts w:asciiTheme="majorHAnsi" w:hAnsiTheme="majorHAnsi"/>
          <w:sz w:val="20"/>
          <w:szCs w:val="20"/>
          <w:bdr w:val="none" w:sz="0" w:space="0" w:color="auto"/>
          <w:lang w:val="es-ES"/>
        </w:rPr>
        <w:t xml:space="preserve"> </w:t>
      </w:r>
      <w:r w:rsidR="006E3649" w:rsidRPr="002A35D9">
        <w:rPr>
          <w:rFonts w:asciiTheme="majorHAnsi" w:hAnsiTheme="majorHAnsi"/>
          <w:sz w:val="20"/>
          <w:szCs w:val="20"/>
          <w:bdr w:val="none" w:sz="0" w:space="0" w:color="auto"/>
          <w:lang w:val="es-ES"/>
        </w:rPr>
        <w:t>cuatrocienta</w:t>
      </w:r>
      <w:r w:rsidR="00D41B6A" w:rsidRPr="002A35D9">
        <w:rPr>
          <w:rFonts w:asciiTheme="majorHAnsi" w:hAnsiTheme="majorHAnsi"/>
          <w:sz w:val="20"/>
          <w:szCs w:val="20"/>
          <w:bdr w:val="none" w:sz="0" w:space="0" w:color="auto"/>
          <w:lang w:val="es-ES"/>
        </w:rPr>
        <w:t xml:space="preserve">s </w:t>
      </w:r>
      <w:r w:rsidR="006E3649" w:rsidRPr="002A35D9">
        <w:rPr>
          <w:rFonts w:asciiTheme="majorHAnsi" w:hAnsiTheme="majorHAnsi"/>
          <w:sz w:val="20"/>
          <w:szCs w:val="20"/>
          <w:bdr w:val="none" w:sz="0" w:space="0" w:color="auto"/>
          <w:lang w:val="es-ES"/>
        </w:rPr>
        <w:t>personas</w:t>
      </w:r>
      <w:r w:rsidR="00D41B6A" w:rsidRPr="002A35D9">
        <w:rPr>
          <w:rFonts w:asciiTheme="majorHAnsi" w:hAnsiTheme="majorHAnsi"/>
          <w:sz w:val="20"/>
          <w:szCs w:val="20"/>
          <w:bdr w:val="none" w:sz="0" w:space="0" w:color="auto"/>
          <w:lang w:val="es-ES"/>
        </w:rPr>
        <w:t xml:space="preserve"> de la comunidad </w:t>
      </w:r>
      <w:proofErr w:type="spellStart"/>
      <w:r w:rsidR="001C7F2A" w:rsidRPr="002A35D9">
        <w:rPr>
          <w:rFonts w:asciiTheme="majorHAnsi" w:hAnsiTheme="majorHAnsi"/>
          <w:sz w:val="20"/>
          <w:szCs w:val="20"/>
          <w:bdr w:val="none" w:sz="0" w:space="0" w:color="auto"/>
          <w:lang w:val="es-ES"/>
        </w:rPr>
        <w:t>Puñachisag</w:t>
      </w:r>
      <w:proofErr w:type="spellEnd"/>
      <w:r w:rsidR="00103925" w:rsidRPr="002A35D9">
        <w:rPr>
          <w:rFonts w:asciiTheme="majorHAnsi" w:hAnsiTheme="majorHAnsi"/>
          <w:sz w:val="20"/>
          <w:szCs w:val="20"/>
          <w:bdr w:val="none" w:sz="0" w:space="0" w:color="auto"/>
          <w:lang w:val="es-ES"/>
        </w:rPr>
        <w:t xml:space="preserve">, </w:t>
      </w:r>
      <w:r w:rsidR="00AD5F3A" w:rsidRPr="002A35D9">
        <w:rPr>
          <w:rFonts w:asciiTheme="majorHAnsi" w:hAnsiTheme="majorHAnsi"/>
          <w:sz w:val="20"/>
          <w:szCs w:val="20"/>
          <w:bdr w:val="none" w:sz="0" w:space="0" w:color="auto"/>
          <w:lang w:val="es-ES"/>
        </w:rPr>
        <w:t>quienes i</w:t>
      </w:r>
      <w:r w:rsidR="00A75C60" w:rsidRPr="002A35D9">
        <w:rPr>
          <w:rFonts w:asciiTheme="majorHAnsi" w:hAnsiTheme="majorHAnsi"/>
          <w:sz w:val="20"/>
          <w:szCs w:val="20"/>
          <w:bdr w:val="none" w:sz="0" w:space="0" w:color="auto"/>
          <w:lang w:val="es-ES"/>
        </w:rPr>
        <w:t xml:space="preserve">ngresaron por la fuerza, </w:t>
      </w:r>
      <w:r w:rsidR="00AD5F3A" w:rsidRPr="002A35D9">
        <w:rPr>
          <w:rFonts w:asciiTheme="majorHAnsi" w:hAnsiTheme="majorHAnsi"/>
          <w:sz w:val="20"/>
          <w:szCs w:val="20"/>
          <w:bdr w:val="none" w:sz="0" w:space="0" w:color="auto"/>
          <w:lang w:val="es-ES"/>
        </w:rPr>
        <w:t xml:space="preserve">liberaron a </w:t>
      </w:r>
      <w:r w:rsidR="006E3649" w:rsidRPr="002A35D9">
        <w:rPr>
          <w:rFonts w:asciiTheme="majorHAnsi" w:hAnsiTheme="majorHAnsi"/>
          <w:sz w:val="20"/>
          <w:szCs w:val="20"/>
          <w:bdr w:val="none" w:sz="0" w:space="0" w:color="auto"/>
          <w:lang w:val="es-ES"/>
        </w:rPr>
        <w:t xml:space="preserve">Octavio </w:t>
      </w:r>
      <w:r w:rsidR="00C94861" w:rsidRPr="002A35D9">
        <w:rPr>
          <w:rFonts w:asciiTheme="majorHAnsi" w:hAnsiTheme="majorHAnsi"/>
          <w:sz w:val="20"/>
          <w:szCs w:val="20"/>
          <w:bdr w:val="none" w:sz="0" w:space="0" w:color="auto"/>
          <w:lang w:val="es-ES"/>
        </w:rPr>
        <w:t>Morales y Orlando Freire y tomaron</w:t>
      </w:r>
      <w:r w:rsidR="006E3649" w:rsidRPr="002A35D9">
        <w:rPr>
          <w:rFonts w:asciiTheme="majorHAnsi" w:hAnsiTheme="majorHAnsi"/>
          <w:sz w:val="20"/>
          <w:szCs w:val="20"/>
          <w:bdr w:val="none" w:sz="0" w:space="0" w:color="auto"/>
          <w:lang w:val="es-ES"/>
        </w:rPr>
        <w:t xml:space="preserve"> como rehenes a Fredy Núñez, Gregoria Naranjo y Marcia Núñez, madre y hermana del primero</w:t>
      </w:r>
      <w:r w:rsidR="00A9472E" w:rsidRPr="00D64D9D">
        <w:rPr>
          <w:rStyle w:val="Refdenotaalpie"/>
          <w:rFonts w:asciiTheme="majorHAnsi" w:hAnsiTheme="majorHAnsi"/>
          <w:sz w:val="20"/>
          <w:szCs w:val="20"/>
          <w:bdr w:val="none" w:sz="0" w:space="0" w:color="auto"/>
          <w:lang w:val="es-ES"/>
        </w:rPr>
        <w:footnoteReference w:id="15"/>
      </w:r>
      <w:r w:rsidR="00676500" w:rsidRPr="002A35D9">
        <w:rPr>
          <w:rFonts w:asciiTheme="majorHAnsi" w:hAnsiTheme="majorHAnsi"/>
          <w:sz w:val="20"/>
          <w:szCs w:val="20"/>
          <w:bdr w:val="none" w:sz="0" w:space="0" w:color="auto"/>
          <w:lang w:val="es-ES"/>
        </w:rPr>
        <w:t>.</w:t>
      </w:r>
      <w:r w:rsidR="00B431B3" w:rsidRPr="002A35D9">
        <w:rPr>
          <w:rFonts w:asciiTheme="majorHAnsi" w:hAnsiTheme="majorHAnsi"/>
          <w:sz w:val="20"/>
          <w:szCs w:val="20"/>
          <w:bdr w:val="none" w:sz="0" w:space="0" w:color="auto"/>
          <w:lang w:val="es-ES"/>
        </w:rPr>
        <w:t xml:space="preserve"> Según información del parte policial de 16 de agosto de 2001, el secuestro de la presunta víctima fue liderado por </w:t>
      </w:r>
      <w:r w:rsidR="000346C4" w:rsidRPr="002A35D9">
        <w:rPr>
          <w:rFonts w:asciiTheme="majorHAnsi" w:hAnsiTheme="majorHAnsi"/>
          <w:sz w:val="20"/>
          <w:szCs w:val="20"/>
          <w:bdr w:val="none" w:sz="0" w:space="0" w:color="auto"/>
          <w:lang w:val="es-ES"/>
        </w:rPr>
        <w:t>Ángel</w:t>
      </w:r>
      <w:r w:rsidR="000571B3" w:rsidRPr="002A35D9">
        <w:rPr>
          <w:rFonts w:asciiTheme="majorHAnsi" w:hAnsiTheme="majorHAnsi"/>
          <w:sz w:val="20"/>
          <w:szCs w:val="20"/>
          <w:bdr w:val="none" w:sz="0" w:space="0" w:color="auto"/>
          <w:lang w:val="es-ES"/>
        </w:rPr>
        <w:t xml:space="preserve"> Raúl Bayas </w:t>
      </w:r>
      <w:proofErr w:type="spellStart"/>
      <w:r w:rsidR="000571B3" w:rsidRPr="002A35D9">
        <w:rPr>
          <w:rFonts w:asciiTheme="majorHAnsi" w:hAnsiTheme="majorHAnsi"/>
          <w:sz w:val="20"/>
          <w:szCs w:val="20"/>
          <w:bdr w:val="none" w:sz="0" w:space="0" w:color="auto"/>
          <w:lang w:val="es-ES"/>
        </w:rPr>
        <w:t>Villacres</w:t>
      </w:r>
      <w:proofErr w:type="spellEnd"/>
      <w:r w:rsidR="000571B3" w:rsidRPr="002A35D9">
        <w:rPr>
          <w:rFonts w:asciiTheme="majorHAnsi" w:hAnsiTheme="majorHAnsi"/>
          <w:sz w:val="20"/>
          <w:szCs w:val="20"/>
          <w:bdr w:val="none" w:sz="0" w:space="0" w:color="auto"/>
          <w:lang w:val="es-ES"/>
        </w:rPr>
        <w:t xml:space="preserve"> </w:t>
      </w:r>
      <w:r w:rsidR="00CE51E7" w:rsidRPr="002A35D9">
        <w:rPr>
          <w:rFonts w:asciiTheme="majorHAnsi" w:hAnsiTheme="majorHAnsi"/>
          <w:sz w:val="20"/>
          <w:szCs w:val="20"/>
          <w:bdr w:val="none" w:sz="0" w:space="0" w:color="auto"/>
          <w:lang w:val="es-ES"/>
        </w:rPr>
        <w:t>quien se desempeñ</w:t>
      </w:r>
      <w:r w:rsidR="000571B3" w:rsidRPr="002A35D9">
        <w:rPr>
          <w:rFonts w:asciiTheme="majorHAnsi" w:hAnsiTheme="majorHAnsi"/>
          <w:sz w:val="20"/>
          <w:szCs w:val="20"/>
          <w:bdr w:val="none" w:sz="0" w:space="0" w:color="auto"/>
          <w:lang w:val="es-ES"/>
        </w:rPr>
        <w:t>a</w:t>
      </w:r>
      <w:r w:rsidR="00B431B3" w:rsidRPr="002A35D9">
        <w:rPr>
          <w:rFonts w:asciiTheme="majorHAnsi" w:hAnsiTheme="majorHAnsi"/>
          <w:sz w:val="20"/>
          <w:szCs w:val="20"/>
          <w:bdr w:val="none" w:sz="0" w:space="0" w:color="auto"/>
          <w:lang w:val="es-ES"/>
        </w:rPr>
        <w:t xml:space="preserve">ba como presidente de la </w:t>
      </w:r>
      <w:r w:rsidR="00B431B3" w:rsidRPr="002A35D9">
        <w:rPr>
          <w:rFonts w:asciiTheme="majorHAnsi" w:hAnsiTheme="majorHAnsi"/>
          <w:sz w:val="20"/>
          <w:szCs w:val="20"/>
          <w:bdr w:val="none" w:sz="0" w:space="0" w:color="auto"/>
          <w:lang w:val="es-ES"/>
        </w:rPr>
        <w:lastRenderedPageBreak/>
        <w:t>C</w:t>
      </w:r>
      <w:r w:rsidR="000571B3" w:rsidRPr="002A35D9">
        <w:rPr>
          <w:rFonts w:asciiTheme="majorHAnsi" w:hAnsiTheme="majorHAnsi"/>
          <w:sz w:val="20"/>
          <w:szCs w:val="20"/>
          <w:bdr w:val="none" w:sz="0" w:space="0" w:color="auto"/>
          <w:lang w:val="es-ES"/>
        </w:rPr>
        <w:t>entral de Juntas del Campesinado del Can</w:t>
      </w:r>
      <w:r w:rsidR="00C8530D" w:rsidRPr="002A35D9">
        <w:rPr>
          <w:rFonts w:asciiTheme="majorHAnsi" w:hAnsiTheme="majorHAnsi"/>
          <w:sz w:val="20"/>
          <w:szCs w:val="20"/>
          <w:bdr w:val="none" w:sz="0" w:space="0" w:color="auto"/>
          <w:lang w:val="es-ES"/>
        </w:rPr>
        <w:t xml:space="preserve">tón Quero, así como </w:t>
      </w:r>
      <w:r w:rsidR="00B431B3" w:rsidRPr="002A35D9">
        <w:rPr>
          <w:rFonts w:asciiTheme="majorHAnsi" w:hAnsiTheme="majorHAnsi"/>
          <w:sz w:val="20"/>
          <w:szCs w:val="20"/>
          <w:bdr w:val="none" w:sz="0" w:space="0" w:color="auto"/>
          <w:lang w:val="es-ES"/>
        </w:rPr>
        <w:t>otras personas</w:t>
      </w:r>
      <w:r w:rsidR="001467FC" w:rsidRPr="00D64D9D">
        <w:rPr>
          <w:rStyle w:val="Refdenotaalpie"/>
          <w:rFonts w:asciiTheme="majorHAnsi" w:hAnsiTheme="majorHAnsi"/>
          <w:sz w:val="20"/>
          <w:szCs w:val="20"/>
          <w:bdr w:val="none" w:sz="0" w:space="0" w:color="auto"/>
          <w:lang w:val="es-ES"/>
        </w:rPr>
        <w:footnoteReference w:id="16"/>
      </w:r>
      <w:r w:rsidR="001467FC" w:rsidRPr="002A35D9">
        <w:rPr>
          <w:rFonts w:asciiTheme="majorHAnsi" w:hAnsiTheme="majorHAnsi"/>
          <w:sz w:val="20"/>
          <w:szCs w:val="20"/>
          <w:bdr w:val="none" w:sz="0" w:space="0" w:color="auto"/>
          <w:lang w:val="es-ES"/>
        </w:rPr>
        <w:t>.</w:t>
      </w:r>
      <w:r w:rsidR="006B29E8" w:rsidRPr="002A35D9">
        <w:rPr>
          <w:rFonts w:asciiTheme="majorHAnsi" w:hAnsiTheme="majorHAnsi"/>
          <w:sz w:val="20"/>
          <w:szCs w:val="20"/>
          <w:bdr w:val="none" w:sz="0" w:space="0" w:color="auto"/>
          <w:lang w:val="es-ES"/>
        </w:rPr>
        <w:t xml:space="preserve"> El informe policial no da cuenta de </w:t>
      </w:r>
      <w:r w:rsidR="00A67896" w:rsidRPr="002A35D9">
        <w:rPr>
          <w:rFonts w:asciiTheme="majorHAnsi" w:hAnsiTheme="majorHAnsi"/>
          <w:sz w:val="20"/>
          <w:szCs w:val="20"/>
          <w:bdr w:val="none" w:sz="0" w:space="0" w:color="auto"/>
          <w:lang w:val="es-ES"/>
        </w:rPr>
        <w:t xml:space="preserve">las medidas adoptadas por el personal de custodia del destacamento para enfrentar el supuesto ingreso por la fuerza de las referidas personas ni para evitar que se llevaran secuestradas a detenidos bajo su custodia, entre otras personas. </w:t>
      </w:r>
    </w:p>
    <w:p w14:paraId="5BF7C181" w14:textId="77777777" w:rsidR="002A35D9" w:rsidRDefault="002A35D9" w:rsidP="002A35D9">
      <w:pPr>
        <w:pStyle w:val="Prrafodelista"/>
        <w:rPr>
          <w:rFonts w:asciiTheme="majorHAnsi" w:hAnsiTheme="majorHAnsi"/>
          <w:sz w:val="20"/>
          <w:szCs w:val="20"/>
          <w:bdr w:val="none" w:sz="0" w:space="0" w:color="auto"/>
          <w:lang w:val="es-ES"/>
        </w:rPr>
      </w:pPr>
    </w:p>
    <w:p w14:paraId="4AC74C3A" w14:textId="77777777" w:rsidR="002A35D9" w:rsidRDefault="00002235"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bdr w:val="none" w:sz="0" w:space="0" w:color="auto"/>
          <w:lang w:val="es-ES"/>
        </w:rPr>
      </w:pPr>
      <w:r w:rsidRPr="002A35D9">
        <w:rPr>
          <w:rFonts w:asciiTheme="majorHAnsi" w:hAnsiTheme="majorHAnsi"/>
          <w:sz w:val="20"/>
          <w:szCs w:val="20"/>
          <w:bdr w:val="none" w:sz="0" w:space="0" w:color="auto"/>
          <w:lang w:val="es-ES"/>
        </w:rPr>
        <w:t>Según un informe policial, l</w:t>
      </w:r>
      <w:r w:rsidR="00FF0967" w:rsidRPr="002A35D9">
        <w:rPr>
          <w:rFonts w:asciiTheme="majorHAnsi" w:hAnsiTheme="majorHAnsi"/>
          <w:sz w:val="20"/>
          <w:szCs w:val="20"/>
          <w:bdr w:val="none" w:sz="0" w:space="0" w:color="auto"/>
          <w:lang w:val="es-ES"/>
        </w:rPr>
        <w:t>uego de ser capturados como rehenes,</w:t>
      </w:r>
      <w:r w:rsidR="00E3057C" w:rsidRPr="002A35D9">
        <w:rPr>
          <w:rFonts w:asciiTheme="majorHAnsi" w:hAnsiTheme="majorHAnsi"/>
          <w:sz w:val="20"/>
          <w:szCs w:val="20"/>
          <w:bdr w:val="none" w:sz="0" w:space="0" w:color="auto"/>
          <w:lang w:val="es-ES"/>
        </w:rPr>
        <w:t xml:space="preserve"> </w:t>
      </w:r>
      <w:r w:rsidR="000C3F40" w:rsidRPr="002A35D9">
        <w:rPr>
          <w:rFonts w:asciiTheme="majorHAnsi" w:hAnsiTheme="majorHAnsi"/>
          <w:sz w:val="20"/>
          <w:szCs w:val="20"/>
          <w:bdr w:val="none" w:sz="0" w:space="0" w:color="auto"/>
          <w:lang w:val="es-ES"/>
        </w:rPr>
        <w:t>Fredy Núñez, Gregoria Naranjo y Marcia Núñez</w:t>
      </w:r>
      <w:r w:rsidR="00C94861" w:rsidRPr="002A35D9">
        <w:rPr>
          <w:rFonts w:asciiTheme="majorHAnsi" w:hAnsiTheme="majorHAnsi"/>
          <w:sz w:val="20"/>
          <w:szCs w:val="20"/>
          <w:bdr w:val="none" w:sz="0" w:space="0" w:color="auto"/>
          <w:lang w:val="es-ES"/>
        </w:rPr>
        <w:t xml:space="preserve"> </w:t>
      </w:r>
      <w:r w:rsidR="00A9472E" w:rsidRPr="002A35D9">
        <w:rPr>
          <w:rFonts w:asciiTheme="majorHAnsi" w:hAnsiTheme="majorHAnsi"/>
          <w:sz w:val="20"/>
          <w:szCs w:val="20"/>
          <w:bdr w:val="none" w:sz="0" w:space="0" w:color="auto"/>
          <w:lang w:val="es-ES"/>
        </w:rPr>
        <w:t>fueron trasladados a la c</w:t>
      </w:r>
      <w:r w:rsidR="00794E1A" w:rsidRPr="002A35D9">
        <w:rPr>
          <w:rFonts w:asciiTheme="majorHAnsi" w:hAnsiTheme="majorHAnsi"/>
          <w:sz w:val="20"/>
          <w:szCs w:val="20"/>
          <w:bdr w:val="none" w:sz="0" w:space="0" w:color="auto"/>
          <w:lang w:val="es-ES"/>
        </w:rPr>
        <w:t xml:space="preserve">omunidad </w:t>
      </w:r>
      <w:proofErr w:type="spellStart"/>
      <w:r w:rsidR="001C7F2A" w:rsidRPr="002A35D9">
        <w:rPr>
          <w:rFonts w:asciiTheme="majorHAnsi" w:hAnsiTheme="majorHAnsi"/>
          <w:sz w:val="20"/>
          <w:szCs w:val="20"/>
          <w:bdr w:val="none" w:sz="0" w:space="0" w:color="auto"/>
          <w:lang w:val="es-ES"/>
        </w:rPr>
        <w:t>Puñachisag</w:t>
      </w:r>
      <w:proofErr w:type="spellEnd"/>
      <w:r w:rsidR="000D3DF3" w:rsidRPr="002A35D9">
        <w:rPr>
          <w:rFonts w:asciiTheme="majorHAnsi" w:hAnsiTheme="majorHAnsi"/>
          <w:sz w:val="20"/>
          <w:szCs w:val="20"/>
          <w:bdr w:val="none" w:sz="0" w:space="0" w:color="auto"/>
          <w:lang w:val="es-ES"/>
        </w:rPr>
        <w:t xml:space="preserve">, </w:t>
      </w:r>
      <w:r w:rsidR="00705544" w:rsidRPr="002A35D9">
        <w:rPr>
          <w:rFonts w:asciiTheme="majorHAnsi" w:hAnsiTheme="majorHAnsi"/>
          <w:sz w:val="20"/>
          <w:szCs w:val="20"/>
          <w:bdr w:val="none" w:sz="0" w:space="0" w:color="auto"/>
          <w:lang w:val="es-ES"/>
        </w:rPr>
        <w:t xml:space="preserve">en donde </w:t>
      </w:r>
      <w:r w:rsidRPr="002A35D9">
        <w:rPr>
          <w:rFonts w:asciiTheme="majorHAnsi" w:hAnsiTheme="majorHAnsi"/>
          <w:sz w:val="20"/>
          <w:szCs w:val="20"/>
          <w:bdr w:val="none" w:sz="0" w:space="0" w:color="auto"/>
          <w:lang w:val="es-ES"/>
        </w:rPr>
        <w:t>fueron “flagelados”</w:t>
      </w:r>
      <w:r w:rsidR="0024615A" w:rsidRPr="00D64D9D">
        <w:rPr>
          <w:rStyle w:val="Refdenotaalpie"/>
          <w:rFonts w:asciiTheme="majorHAnsi" w:hAnsiTheme="majorHAnsi"/>
          <w:sz w:val="20"/>
          <w:szCs w:val="20"/>
          <w:bdr w:val="none" w:sz="0" w:space="0" w:color="auto"/>
          <w:lang w:val="es-ES"/>
        </w:rPr>
        <w:footnoteReference w:id="17"/>
      </w:r>
      <w:r w:rsidR="0024615A" w:rsidRPr="002A35D9">
        <w:rPr>
          <w:rFonts w:asciiTheme="majorHAnsi" w:hAnsiTheme="majorHAnsi"/>
          <w:sz w:val="20"/>
          <w:szCs w:val="20"/>
          <w:bdr w:val="none" w:sz="0" w:space="0" w:color="auto"/>
          <w:lang w:val="es-ES"/>
        </w:rPr>
        <w:t>.</w:t>
      </w:r>
      <w:r w:rsidR="003F1444" w:rsidRPr="002A35D9">
        <w:rPr>
          <w:rFonts w:asciiTheme="majorHAnsi" w:hAnsiTheme="majorHAnsi"/>
          <w:sz w:val="20"/>
          <w:szCs w:val="20"/>
          <w:bdr w:val="none" w:sz="0" w:space="0" w:color="auto"/>
          <w:lang w:val="es-ES"/>
        </w:rPr>
        <w:t xml:space="preserve"> </w:t>
      </w:r>
      <w:r w:rsidR="00FF0967" w:rsidRPr="002A35D9">
        <w:rPr>
          <w:rFonts w:asciiTheme="majorHAnsi" w:hAnsiTheme="majorHAnsi"/>
          <w:sz w:val="20"/>
          <w:szCs w:val="20"/>
          <w:bdr w:val="none" w:sz="0" w:space="0" w:color="auto"/>
          <w:lang w:val="es-ES"/>
        </w:rPr>
        <w:t xml:space="preserve">Según declaró </w:t>
      </w:r>
      <w:r w:rsidR="00672ABE" w:rsidRPr="002A35D9">
        <w:rPr>
          <w:rFonts w:asciiTheme="majorHAnsi" w:hAnsiTheme="majorHAnsi"/>
          <w:sz w:val="20"/>
          <w:szCs w:val="20"/>
          <w:bdr w:val="none" w:sz="0" w:space="0" w:color="auto"/>
          <w:lang w:val="es-ES"/>
        </w:rPr>
        <w:t>Sixto Núñez</w:t>
      </w:r>
      <w:r w:rsidR="006142A1" w:rsidRPr="002A35D9">
        <w:rPr>
          <w:rFonts w:asciiTheme="majorHAnsi" w:hAnsiTheme="majorHAnsi"/>
          <w:sz w:val="20"/>
          <w:szCs w:val="20"/>
          <w:bdr w:val="none" w:sz="0" w:space="0" w:color="auto"/>
          <w:lang w:val="es-ES"/>
        </w:rPr>
        <w:t xml:space="preserve">, </w:t>
      </w:r>
      <w:r w:rsidR="00206211" w:rsidRPr="002A35D9">
        <w:rPr>
          <w:rFonts w:asciiTheme="majorHAnsi" w:hAnsiTheme="majorHAnsi"/>
          <w:sz w:val="20"/>
          <w:szCs w:val="20"/>
          <w:bdr w:val="none" w:sz="0" w:space="0" w:color="auto"/>
          <w:lang w:val="es-ES"/>
        </w:rPr>
        <w:t>padre</w:t>
      </w:r>
      <w:r w:rsidR="006142A1" w:rsidRPr="002A35D9">
        <w:rPr>
          <w:rFonts w:asciiTheme="majorHAnsi" w:hAnsiTheme="majorHAnsi"/>
          <w:sz w:val="20"/>
          <w:szCs w:val="20"/>
          <w:bdr w:val="none" w:sz="0" w:space="0" w:color="auto"/>
          <w:lang w:val="es-ES"/>
        </w:rPr>
        <w:t xml:space="preserve"> de</w:t>
      </w:r>
      <w:r w:rsidR="002A2F18" w:rsidRPr="002A35D9">
        <w:rPr>
          <w:rFonts w:asciiTheme="majorHAnsi" w:hAnsiTheme="majorHAnsi"/>
          <w:sz w:val="20"/>
          <w:szCs w:val="20"/>
          <w:bdr w:val="none" w:sz="0" w:space="0" w:color="auto"/>
          <w:lang w:val="es-ES"/>
        </w:rPr>
        <w:t xml:space="preserve"> Fredy Núñez, éste, su madre y su hermana </w:t>
      </w:r>
      <w:r w:rsidR="00AC7EF4" w:rsidRPr="002A35D9">
        <w:rPr>
          <w:rFonts w:asciiTheme="majorHAnsi" w:hAnsiTheme="majorHAnsi"/>
          <w:sz w:val="20"/>
          <w:szCs w:val="20"/>
          <w:bdr w:val="none" w:sz="0" w:space="0" w:color="auto"/>
          <w:lang w:val="es-ES"/>
        </w:rPr>
        <w:t>Marcia fueron amarradas con alambres y azotadas y pinchadas con unas varillas con puntas</w:t>
      </w:r>
      <w:r w:rsidR="006D4B47" w:rsidRPr="00D64D9D">
        <w:rPr>
          <w:rStyle w:val="Refdenotaalpie"/>
          <w:rFonts w:asciiTheme="majorHAnsi" w:hAnsiTheme="majorHAnsi"/>
          <w:sz w:val="20"/>
          <w:szCs w:val="20"/>
          <w:bdr w:val="none" w:sz="0" w:space="0" w:color="auto"/>
          <w:lang w:val="es-ES"/>
        </w:rPr>
        <w:footnoteReference w:id="18"/>
      </w:r>
      <w:r w:rsidR="006D4B47" w:rsidRPr="002A35D9">
        <w:rPr>
          <w:rFonts w:asciiTheme="majorHAnsi" w:hAnsiTheme="majorHAnsi"/>
          <w:sz w:val="20"/>
          <w:szCs w:val="20"/>
          <w:bdr w:val="none" w:sz="0" w:space="0" w:color="auto"/>
          <w:lang w:val="es-ES"/>
        </w:rPr>
        <w:t xml:space="preserve">. </w:t>
      </w:r>
      <w:r w:rsidR="000B3BBC" w:rsidRPr="002A35D9">
        <w:rPr>
          <w:rFonts w:asciiTheme="majorHAnsi" w:hAnsiTheme="majorHAnsi"/>
          <w:sz w:val="20"/>
          <w:szCs w:val="20"/>
          <w:bdr w:val="none" w:sz="0" w:space="0" w:color="auto"/>
          <w:lang w:val="es-ES"/>
        </w:rPr>
        <w:t>Al respecto</w:t>
      </w:r>
      <w:r w:rsidR="00B0379E" w:rsidRPr="002A35D9">
        <w:rPr>
          <w:rFonts w:asciiTheme="majorHAnsi" w:hAnsiTheme="majorHAnsi"/>
          <w:sz w:val="20"/>
          <w:szCs w:val="20"/>
          <w:bdr w:val="none" w:sz="0" w:space="0" w:color="auto"/>
          <w:lang w:val="es-ES"/>
        </w:rPr>
        <w:t>,</w:t>
      </w:r>
      <w:r w:rsidR="000B3BBC" w:rsidRPr="002A35D9">
        <w:rPr>
          <w:rFonts w:asciiTheme="majorHAnsi" w:hAnsiTheme="majorHAnsi"/>
          <w:sz w:val="20"/>
          <w:szCs w:val="20"/>
          <w:bdr w:val="none" w:sz="0" w:space="0" w:color="auto"/>
          <w:lang w:val="es-ES"/>
        </w:rPr>
        <w:t xml:space="preserve"> un policía </w:t>
      </w:r>
      <w:proofErr w:type="spellStart"/>
      <w:r w:rsidR="000B3BBC" w:rsidRPr="002A35D9">
        <w:rPr>
          <w:rFonts w:asciiTheme="majorHAnsi" w:hAnsiTheme="majorHAnsi"/>
          <w:sz w:val="20"/>
          <w:szCs w:val="20"/>
          <w:bdr w:val="none" w:sz="0" w:space="0" w:color="auto"/>
          <w:lang w:val="es-ES"/>
        </w:rPr>
        <w:t>indic</w:t>
      </w:r>
      <w:r w:rsidR="000B3BBC" w:rsidRPr="002A35D9">
        <w:rPr>
          <w:rFonts w:asciiTheme="majorHAnsi" w:hAnsiTheme="majorHAnsi"/>
          <w:sz w:val="20"/>
          <w:szCs w:val="20"/>
          <w:bdr w:val="none" w:sz="0" w:space="0" w:color="auto"/>
          <w:lang w:val="es-VE"/>
        </w:rPr>
        <w:t>ó</w:t>
      </w:r>
      <w:proofErr w:type="spellEnd"/>
      <w:r w:rsidR="000B3BBC" w:rsidRPr="002A35D9">
        <w:rPr>
          <w:rFonts w:asciiTheme="majorHAnsi" w:hAnsiTheme="majorHAnsi"/>
          <w:sz w:val="20"/>
          <w:szCs w:val="20"/>
          <w:bdr w:val="none" w:sz="0" w:space="0" w:color="auto"/>
          <w:lang w:val="es-VE"/>
        </w:rPr>
        <w:t xml:space="preserve"> que las dos mujeres “fueron liberadas luego de haber sido castigadas”</w:t>
      </w:r>
      <w:r w:rsidR="000B3BBC">
        <w:rPr>
          <w:rStyle w:val="Refdenotaalpie"/>
          <w:rFonts w:asciiTheme="majorHAnsi" w:hAnsiTheme="majorHAnsi"/>
          <w:sz w:val="20"/>
          <w:szCs w:val="20"/>
          <w:bdr w:val="none" w:sz="0" w:space="0" w:color="auto"/>
          <w:lang w:val="es-VE"/>
        </w:rPr>
        <w:footnoteReference w:id="19"/>
      </w:r>
      <w:r w:rsidR="000B3BBC" w:rsidRPr="002A35D9">
        <w:rPr>
          <w:rFonts w:asciiTheme="majorHAnsi" w:hAnsiTheme="majorHAnsi"/>
          <w:sz w:val="20"/>
          <w:szCs w:val="20"/>
          <w:bdr w:val="none" w:sz="0" w:space="0" w:color="auto"/>
          <w:lang w:val="es-VE"/>
        </w:rPr>
        <w:t>.</w:t>
      </w:r>
      <w:r w:rsidR="000B3BBC" w:rsidRPr="002A35D9">
        <w:rPr>
          <w:rFonts w:asciiTheme="majorHAnsi" w:hAnsiTheme="majorHAnsi"/>
          <w:sz w:val="20"/>
          <w:szCs w:val="20"/>
          <w:bdr w:val="none" w:sz="0" w:space="0" w:color="auto"/>
          <w:lang w:val="es-ES"/>
        </w:rPr>
        <w:t xml:space="preserve"> </w:t>
      </w:r>
    </w:p>
    <w:p w14:paraId="5AC42928" w14:textId="77777777" w:rsidR="002A35D9" w:rsidRDefault="002A35D9" w:rsidP="002A35D9">
      <w:pPr>
        <w:pStyle w:val="Prrafodelista"/>
        <w:rPr>
          <w:rFonts w:asciiTheme="majorHAnsi" w:hAnsiTheme="majorHAnsi"/>
          <w:sz w:val="20"/>
          <w:szCs w:val="20"/>
          <w:bdr w:val="none" w:sz="0" w:space="0" w:color="auto"/>
          <w:lang w:val="es-ES"/>
        </w:rPr>
      </w:pPr>
    </w:p>
    <w:p w14:paraId="326BC670" w14:textId="77777777" w:rsidR="002A35D9" w:rsidRDefault="00B0379E"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bdr w:val="none" w:sz="0" w:space="0" w:color="auto"/>
          <w:lang w:val="es-ES"/>
        </w:rPr>
      </w:pPr>
      <w:r w:rsidRPr="002A35D9">
        <w:rPr>
          <w:rFonts w:asciiTheme="majorHAnsi" w:hAnsiTheme="majorHAnsi"/>
          <w:sz w:val="20"/>
          <w:szCs w:val="20"/>
          <w:bdr w:val="none" w:sz="0" w:space="0" w:color="auto"/>
          <w:lang w:val="es-ES"/>
        </w:rPr>
        <w:t xml:space="preserve">Con posterioridad, las tres personas fueron conducidas a la comunidad </w:t>
      </w:r>
      <w:proofErr w:type="spellStart"/>
      <w:r w:rsidRPr="002A35D9">
        <w:rPr>
          <w:rFonts w:asciiTheme="majorHAnsi" w:hAnsiTheme="majorHAnsi"/>
          <w:sz w:val="20"/>
          <w:szCs w:val="20"/>
          <w:bdr w:val="none" w:sz="0" w:space="0" w:color="auto"/>
          <w:lang w:val="es-ES"/>
        </w:rPr>
        <w:t>Shausi</w:t>
      </w:r>
      <w:proofErr w:type="spellEnd"/>
      <w:r w:rsidRPr="002A35D9">
        <w:rPr>
          <w:rFonts w:asciiTheme="majorHAnsi" w:hAnsiTheme="majorHAnsi"/>
          <w:sz w:val="20"/>
          <w:szCs w:val="20"/>
          <w:bdr w:val="none" w:sz="0" w:space="0" w:color="auto"/>
          <w:lang w:val="es-ES"/>
        </w:rPr>
        <w:t xml:space="preserve">. </w:t>
      </w:r>
      <w:r w:rsidR="00BC0F0C" w:rsidRPr="002A35D9">
        <w:rPr>
          <w:rFonts w:asciiTheme="majorHAnsi" w:hAnsiTheme="majorHAnsi"/>
          <w:sz w:val="20"/>
          <w:szCs w:val="20"/>
          <w:lang w:val="es-VE"/>
        </w:rPr>
        <w:t>Conforme al expediente</w:t>
      </w:r>
      <w:r w:rsidR="005265E4" w:rsidRPr="002A35D9">
        <w:rPr>
          <w:rFonts w:asciiTheme="majorHAnsi" w:hAnsiTheme="majorHAnsi"/>
          <w:sz w:val="20"/>
          <w:szCs w:val="20"/>
          <w:lang w:val="es-VE"/>
        </w:rPr>
        <w:t xml:space="preserve">, Gregoria Naranjo y </w:t>
      </w:r>
      <w:r w:rsidR="005265E4" w:rsidRPr="002A35D9">
        <w:rPr>
          <w:rFonts w:asciiTheme="majorHAnsi" w:hAnsiTheme="majorHAnsi"/>
          <w:sz w:val="20"/>
          <w:szCs w:val="20"/>
          <w:bdr w:val="none" w:sz="0" w:space="0" w:color="auto"/>
          <w:lang w:val="es-ES"/>
        </w:rPr>
        <w:t xml:space="preserve">Marcia Núñez fueron liberadas en </w:t>
      </w:r>
      <w:r w:rsidRPr="002A35D9">
        <w:rPr>
          <w:rFonts w:asciiTheme="majorHAnsi" w:hAnsiTheme="majorHAnsi"/>
          <w:sz w:val="20"/>
          <w:szCs w:val="20"/>
          <w:bdr w:val="none" w:sz="0" w:space="0" w:color="auto"/>
          <w:lang w:val="es-ES"/>
        </w:rPr>
        <w:t>dicha comunidad</w:t>
      </w:r>
      <w:r w:rsidR="005265E4" w:rsidRPr="00643B45">
        <w:rPr>
          <w:rStyle w:val="Refdenotaalpie"/>
          <w:rFonts w:asciiTheme="majorHAnsi" w:hAnsiTheme="majorHAnsi"/>
          <w:sz w:val="20"/>
          <w:szCs w:val="20"/>
          <w:bdr w:val="none" w:sz="0" w:space="0" w:color="auto"/>
          <w:lang w:val="es-ES"/>
        </w:rPr>
        <w:footnoteReference w:id="20"/>
      </w:r>
      <w:r w:rsidR="005265E4" w:rsidRPr="002A35D9">
        <w:rPr>
          <w:rFonts w:asciiTheme="majorHAnsi" w:hAnsiTheme="majorHAnsi"/>
          <w:sz w:val="20"/>
          <w:szCs w:val="20"/>
          <w:bdr w:val="none" w:sz="0" w:space="0" w:color="auto"/>
          <w:lang w:val="es-ES"/>
        </w:rPr>
        <w:t>.</w:t>
      </w:r>
      <w:r w:rsidR="00E3057C" w:rsidRPr="002A35D9">
        <w:rPr>
          <w:rFonts w:asciiTheme="majorHAnsi" w:hAnsiTheme="majorHAnsi"/>
          <w:sz w:val="20"/>
          <w:szCs w:val="20"/>
          <w:bdr w:val="none" w:sz="0" w:space="0" w:color="auto"/>
          <w:lang w:val="es-ES"/>
        </w:rPr>
        <w:t xml:space="preserve"> </w:t>
      </w:r>
      <w:r w:rsidR="00036A3E" w:rsidRPr="002A35D9">
        <w:rPr>
          <w:rFonts w:asciiTheme="majorHAnsi" w:hAnsiTheme="majorHAnsi"/>
          <w:sz w:val="20"/>
          <w:szCs w:val="20"/>
          <w:bdr w:val="none" w:sz="0" w:space="0" w:color="auto"/>
          <w:lang w:val="es-ES"/>
        </w:rPr>
        <w:t>Según indicaron las Juntas del Campesinado en un comunicado:</w:t>
      </w:r>
    </w:p>
    <w:p w14:paraId="6BA88788" w14:textId="77777777" w:rsidR="002A35D9" w:rsidRDefault="002A35D9" w:rsidP="002A35D9">
      <w:pPr>
        <w:pStyle w:val="Prrafodelista"/>
        <w:rPr>
          <w:rFonts w:asciiTheme="majorHAnsi" w:hAnsiTheme="majorHAnsi"/>
          <w:sz w:val="20"/>
          <w:szCs w:val="20"/>
          <w:bdr w:val="none" w:sz="0" w:space="0" w:color="auto"/>
          <w:lang w:val="es-ES"/>
        </w:rPr>
      </w:pPr>
    </w:p>
    <w:p w14:paraId="3B646C3C" w14:textId="77777777" w:rsidR="00036A3E" w:rsidRPr="002A35D9" w:rsidRDefault="00036A3E"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Theme="majorHAnsi" w:hAnsiTheme="majorHAnsi"/>
          <w:sz w:val="20"/>
          <w:szCs w:val="20"/>
          <w:bdr w:val="none" w:sz="0" w:space="0" w:color="auto"/>
          <w:lang w:val="es-ES"/>
        </w:rPr>
      </w:pPr>
      <w:r w:rsidRPr="002A35D9">
        <w:rPr>
          <w:rFonts w:asciiTheme="majorHAnsi" w:hAnsiTheme="majorHAnsi"/>
          <w:sz w:val="20"/>
          <w:szCs w:val="20"/>
          <w:bdr w:val="none" w:sz="0" w:space="0" w:color="auto"/>
          <w:lang w:val="es-ES"/>
        </w:rPr>
        <w:t xml:space="preserve">(…) si bien es cierto que el </w:t>
      </w:r>
      <w:proofErr w:type="gramStart"/>
      <w:r w:rsidRPr="002A35D9">
        <w:rPr>
          <w:rFonts w:asciiTheme="majorHAnsi" w:hAnsiTheme="majorHAnsi"/>
          <w:sz w:val="20"/>
          <w:szCs w:val="20"/>
          <w:bdr w:val="none" w:sz="0" w:space="0" w:color="auto"/>
          <w:lang w:val="es-ES"/>
        </w:rPr>
        <w:t>campesinado cansados</w:t>
      </w:r>
      <w:proofErr w:type="gramEnd"/>
      <w:r w:rsidRPr="002A35D9">
        <w:rPr>
          <w:rFonts w:asciiTheme="majorHAnsi" w:hAnsiTheme="majorHAnsi"/>
          <w:sz w:val="20"/>
          <w:szCs w:val="20"/>
          <w:bdr w:val="none" w:sz="0" w:space="0" w:color="auto"/>
          <w:lang w:val="es-ES"/>
        </w:rPr>
        <w:t xml:space="preserve"> de soportar los abusos, robos y asesinatos que venía cometiendo Fredy Marcelo Núñez Naranjo conjuntamente con su banda de asaltantes de carreteras lo habían llevado al calabozo del campesinado, y es cuando Fredy Marcelo Núñez aprovechándose de la rusticidad del calabozo y como buen delincuente rompe las seguridades del calabozo y se da a la fuga. (…)</w:t>
      </w:r>
      <w:r w:rsidR="00752826" w:rsidRPr="00643B45">
        <w:rPr>
          <w:rStyle w:val="Refdenotaalpie"/>
          <w:rFonts w:asciiTheme="majorHAnsi" w:hAnsiTheme="majorHAnsi"/>
          <w:sz w:val="20"/>
          <w:szCs w:val="20"/>
          <w:bdr w:val="none" w:sz="0" w:space="0" w:color="auto"/>
          <w:lang w:val="es-ES"/>
        </w:rPr>
        <w:footnoteReference w:id="21"/>
      </w:r>
      <w:r w:rsidR="00752826" w:rsidRPr="002A35D9">
        <w:rPr>
          <w:rFonts w:asciiTheme="majorHAnsi" w:hAnsiTheme="majorHAnsi"/>
          <w:sz w:val="20"/>
          <w:szCs w:val="20"/>
          <w:bdr w:val="none" w:sz="0" w:space="0" w:color="auto"/>
          <w:lang w:val="es-ES"/>
        </w:rPr>
        <w:t>.</w:t>
      </w:r>
    </w:p>
    <w:p w14:paraId="16990F25" w14:textId="77777777" w:rsidR="00EA7466" w:rsidRDefault="00EA7466" w:rsidP="00EA7466">
      <w:pPr>
        <w:pStyle w:val="Prrafodelista"/>
        <w:rPr>
          <w:rFonts w:asciiTheme="majorHAnsi" w:hAnsiTheme="majorHAnsi"/>
          <w:sz w:val="20"/>
          <w:szCs w:val="20"/>
          <w:bdr w:val="none" w:sz="0" w:space="0" w:color="auto"/>
          <w:lang w:val="es-ES"/>
        </w:rPr>
      </w:pPr>
    </w:p>
    <w:p w14:paraId="08E6ADA6" w14:textId="77777777" w:rsidR="001B2E71" w:rsidRDefault="005265E4"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bdr w:val="none" w:sz="0" w:space="0" w:color="auto"/>
          <w:lang w:val="es-ES"/>
        </w:rPr>
      </w:pPr>
      <w:r w:rsidRPr="00B0379E">
        <w:rPr>
          <w:rFonts w:asciiTheme="majorHAnsi" w:hAnsiTheme="majorHAnsi"/>
          <w:sz w:val="20"/>
          <w:szCs w:val="20"/>
          <w:bdr w:val="none" w:sz="0" w:space="0" w:color="auto"/>
          <w:lang w:val="es-ES"/>
        </w:rPr>
        <w:t xml:space="preserve">En cuanto la presunta víctima, según indicó su padre, luego de la liberación de las mujeres, </w:t>
      </w:r>
      <w:r w:rsidR="00643B45" w:rsidRPr="00B0379E">
        <w:rPr>
          <w:rFonts w:asciiTheme="majorHAnsi" w:hAnsiTheme="majorHAnsi"/>
          <w:sz w:val="20"/>
          <w:szCs w:val="20"/>
          <w:bdr w:val="none" w:sz="0" w:space="0" w:color="auto"/>
          <w:lang w:val="es-ES"/>
        </w:rPr>
        <w:t xml:space="preserve">uno de los miembros </w:t>
      </w:r>
      <w:r w:rsidRPr="00B0379E">
        <w:rPr>
          <w:rFonts w:asciiTheme="majorHAnsi" w:hAnsiTheme="majorHAnsi"/>
          <w:sz w:val="20"/>
          <w:szCs w:val="20"/>
          <w:bdr w:val="none" w:sz="0" w:space="0" w:color="auto"/>
          <w:lang w:val="es-ES"/>
        </w:rPr>
        <w:t xml:space="preserve">de la comunidad </w:t>
      </w:r>
      <w:proofErr w:type="spellStart"/>
      <w:r w:rsidR="001C7F2A">
        <w:rPr>
          <w:rFonts w:asciiTheme="majorHAnsi" w:hAnsiTheme="majorHAnsi"/>
          <w:sz w:val="20"/>
          <w:szCs w:val="20"/>
          <w:bdr w:val="none" w:sz="0" w:space="0" w:color="auto"/>
          <w:lang w:val="es-ES"/>
        </w:rPr>
        <w:t>Puñachisag</w:t>
      </w:r>
      <w:proofErr w:type="spellEnd"/>
      <w:r w:rsidRPr="00B0379E">
        <w:rPr>
          <w:rFonts w:asciiTheme="majorHAnsi" w:hAnsiTheme="majorHAnsi"/>
          <w:sz w:val="20"/>
          <w:szCs w:val="20"/>
          <w:bdr w:val="none" w:sz="0" w:space="0" w:color="auto"/>
          <w:lang w:val="es-ES"/>
        </w:rPr>
        <w:t>,</w:t>
      </w:r>
      <w:r w:rsidR="00E3057C">
        <w:rPr>
          <w:rFonts w:asciiTheme="majorHAnsi" w:hAnsiTheme="majorHAnsi"/>
          <w:sz w:val="20"/>
          <w:szCs w:val="20"/>
          <w:bdr w:val="none" w:sz="0" w:space="0" w:color="auto"/>
          <w:lang w:val="es-ES"/>
        </w:rPr>
        <w:t xml:space="preserve"> </w:t>
      </w:r>
      <w:r w:rsidR="0053086B" w:rsidRPr="00B0379E">
        <w:rPr>
          <w:rFonts w:asciiTheme="majorHAnsi" w:hAnsiTheme="majorHAnsi"/>
          <w:sz w:val="20"/>
          <w:szCs w:val="20"/>
          <w:bdr w:val="none" w:sz="0" w:space="0" w:color="auto"/>
          <w:lang w:val="es-ES"/>
        </w:rPr>
        <w:t>ordenó a cinco</w:t>
      </w:r>
      <w:r w:rsidR="00CD5BE1" w:rsidRPr="00B0379E">
        <w:rPr>
          <w:rFonts w:asciiTheme="majorHAnsi" w:hAnsiTheme="majorHAnsi"/>
          <w:sz w:val="20"/>
          <w:szCs w:val="20"/>
          <w:bdr w:val="none" w:sz="0" w:space="0" w:color="auto"/>
          <w:lang w:val="es-ES"/>
        </w:rPr>
        <w:t xml:space="preserve"> hombres encapuchados que </w:t>
      </w:r>
      <w:r w:rsidR="0096649A">
        <w:rPr>
          <w:rFonts w:asciiTheme="majorHAnsi" w:hAnsiTheme="majorHAnsi"/>
          <w:sz w:val="20"/>
          <w:szCs w:val="20"/>
          <w:bdr w:val="none" w:sz="0" w:space="0" w:color="auto"/>
          <w:lang w:val="es-ES"/>
        </w:rPr>
        <w:t>agarren a Fre</w:t>
      </w:r>
      <w:r w:rsidR="00790FB9" w:rsidRPr="00B0379E">
        <w:rPr>
          <w:rFonts w:asciiTheme="majorHAnsi" w:hAnsiTheme="majorHAnsi"/>
          <w:sz w:val="20"/>
          <w:szCs w:val="20"/>
          <w:bdr w:val="none" w:sz="0" w:space="0" w:color="auto"/>
          <w:lang w:val="es-ES"/>
        </w:rPr>
        <w:t xml:space="preserve">dy y lo interroguen, </w:t>
      </w:r>
      <w:r w:rsidR="00DE016A" w:rsidRPr="00B0379E">
        <w:rPr>
          <w:rFonts w:asciiTheme="majorHAnsi" w:hAnsiTheme="majorHAnsi"/>
          <w:sz w:val="20"/>
          <w:szCs w:val="20"/>
          <w:bdr w:val="none" w:sz="0" w:space="0" w:color="auto"/>
          <w:lang w:val="es-ES"/>
        </w:rPr>
        <w:t>y cada contestación estaba seguida de golpes, por lo que constantemente gritaba “hasta que todo quedó en silencio</w:t>
      </w:r>
      <w:r w:rsidR="00643B45" w:rsidRPr="00B0379E">
        <w:rPr>
          <w:rFonts w:asciiTheme="majorHAnsi" w:hAnsiTheme="majorHAnsi"/>
          <w:sz w:val="20"/>
          <w:szCs w:val="20"/>
          <w:bdr w:val="none" w:sz="0" w:space="0" w:color="auto"/>
          <w:lang w:val="es-ES"/>
        </w:rPr>
        <w:t>”</w:t>
      </w:r>
      <w:r w:rsidR="00DE016A" w:rsidRPr="00B0379E">
        <w:rPr>
          <w:rFonts w:asciiTheme="majorHAnsi" w:hAnsiTheme="majorHAnsi"/>
          <w:sz w:val="20"/>
          <w:szCs w:val="20"/>
          <w:bdr w:val="none" w:sz="0" w:space="0" w:color="auto"/>
          <w:lang w:val="es-ES"/>
        </w:rPr>
        <w:t>, y esto fue lo último que supo de su hijo</w:t>
      </w:r>
      <w:r w:rsidR="00DE016A" w:rsidRPr="00667638">
        <w:rPr>
          <w:rStyle w:val="Refdenotaalpie"/>
          <w:rFonts w:asciiTheme="majorHAnsi" w:hAnsiTheme="majorHAnsi"/>
          <w:sz w:val="20"/>
          <w:szCs w:val="20"/>
          <w:bdr w:val="none" w:sz="0" w:space="0" w:color="auto"/>
          <w:lang w:val="es-ES"/>
        </w:rPr>
        <w:footnoteReference w:id="22"/>
      </w:r>
      <w:r w:rsidR="00DE016A" w:rsidRPr="00B0379E">
        <w:rPr>
          <w:rFonts w:asciiTheme="majorHAnsi" w:hAnsiTheme="majorHAnsi"/>
          <w:sz w:val="20"/>
          <w:szCs w:val="20"/>
          <w:bdr w:val="none" w:sz="0" w:space="0" w:color="auto"/>
          <w:lang w:val="es-ES"/>
        </w:rPr>
        <w:t>.</w:t>
      </w:r>
      <w:r w:rsidR="00C629D3">
        <w:rPr>
          <w:rFonts w:asciiTheme="majorHAnsi" w:hAnsiTheme="majorHAnsi"/>
          <w:sz w:val="20"/>
          <w:szCs w:val="20"/>
          <w:bdr w:val="none" w:sz="0" w:space="0" w:color="auto"/>
          <w:lang w:val="es-ES"/>
        </w:rPr>
        <w:t xml:space="preserve"> </w:t>
      </w:r>
      <w:r w:rsidR="00A338DF" w:rsidRPr="00B0379E">
        <w:rPr>
          <w:rFonts w:asciiTheme="majorHAnsi" w:hAnsiTheme="majorHAnsi"/>
          <w:sz w:val="20"/>
          <w:szCs w:val="20"/>
          <w:bdr w:val="none" w:sz="0" w:space="0" w:color="auto"/>
          <w:lang w:val="es-ES"/>
        </w:rPr>
        <w:t xml:space="preserve">Refirió que ha escuchado </w:t>
      </w:r>
      <w:proofErr w:type="gramStart"/>
      <w:r w:rsidR="00A338DF" w:rsidRPr="00B0379E">
        <w:rPr>
          <w:rFonts w:asciiTheme="majorHAnsi" w:hAnsiTheme="majorHAnsi"/>
          <w:sz w:val="20"/>
          <w:szCs w:val="20"/>
          <w:bdr w:val="none" w:sz="0" w:space="0" w:color="auto"/>
          <w:lang w:val="es-ES"/>
        </w:rPr>
        <w:t>que</w:t>
      </w:r>
      <w:proofErr w:type="gramEnd"/>
      <w:r w:rsidR="00A338DF" w:rsidRPr="00B0379E">
        <w:rPr>
          <w:rFonts w:asciiTheme="majorHAnsi" w:hAnsiTheme="majorHAnsi"/>
          <w:sz w:val="20"/>
          <w:szCs w:val="20"/>
          <w:bdr w:val="none" w:sz="0" w:space="0" w:color="auto"/>
          <w:lang w:val="es-ES"/>
        </w:rPr>
        <w:t xml:space="preserve"> a su hijo, “le han quemado, que le han botado al agua y desde ahí no se sabe nada más y son nueve meses que ojalá le encontremos a mi hijo vivo o muerto”</w:t>
      </w:r>
      <w:r w:rsidR="00A338DF" w:rsidRPr="00B0379E">
        <w:rPr>
          <w:rStyle w:val="Refdenotaalpie"/>
          <w:rFonts w:asciiTheme="majorHAnsi" w:hAnsiTheme="majorHAnsi"/>
          <w:sz w:val="20"/>
          <w:szCs w:val="20"/>
          <w:bdr w:val="none" w:sz="0" w:space="0" w:color="auto"/>
          <w:lang w:val="es-ES"/>
        </w:rPr>
        <w:t xml:space="preserve"> </w:t>
      </w:r>
      <w:r w:rsidR="00A338DF" w:rsidRPr="00667638">
        <w:rPr>
          <w:rStyle w:val="Refdenotaalpie"/>
          <w:rFonts w:asciiTheme="majorHAnsi" w:hAnsiTheme="majorHAnsi"/>
          <w:sz w:val="20"/>
          <w:szCs w:val="20"/>
          <w:bdr w:val="none" w:sz="0" w:space="0" w:color="auto"/>
          <w:lang w:val="es-ES"/>
        </w:rPr>
        <w:footnoteReference w:id="23"/>
      </w:r>
      <w:r w:rsidR="00A338DF" w:rsidRPr="00B0379E">
        <w:rPr>
          <w:rFonts w:asciiTheme="majorHAnsi" w:hAnsiTheme="majorHAnsi"/>
          <w:sz w:val="20"/>
          <w:szCs w:val="20"/>
          <w:bdr w:val="none" w:sz="0" w:space="0" w:color="auto"/>
          <w:lang w:val="es-ES"/>
        </w:rPr>
        <w:t>.</w:t>
      </w:r>
      <w:r w:rsidR="00E3057C">
        <w:rPr>
          <w:rFonts w:asciiTheme="majorHAnsi" w:hAnsiTheme="majorHAnsi"/>
          <w:sz w:val="20"/>
          <w:szCs w:val="20"/>
          <w:bdr w:val="none" w:sz="0" w:space="0" w:color="auto"/>
          <w:lang w:val="es-ES"/>
        </w:rPr>
        <w:t xml:space="preserve"> </w:t>
      </w:r>
      <w:r w:rsidR="00E3057C" w:rsidRPr="00E3057C">
        <w:rPr>
          <w:rFonts w:asciiTheme="majorHAnsi" w:hAnsiTheme="majorHAnsi"/>
          <w:sz w:val="20"/>
          <w:szCs w:val="20"/>
          <w:bdr w:val="none" w:sz="0" w:space="0" w:color="auto"/>
          <w:lang w:val="es-ES"/>
        </w:rPr>
        <w:t>E</w:t>
      </w:r>
      <w:r w:rsidR="00DE016A" w:rsidRPr="00E3057C">
        <w:rPr>
          <w:rFonts w:asciiTheme="majorHAnsi" w:hAnsiTheme="majorHAnsi"/>
          <w:sz w:val="20"/>
          <w:szCs w:val="20"/>
          <w:bdr w:val="none" w:sz="0" w:space="0" w:color="auto"/>
          <w:lang w:val="es-ES"/>
        </w:rPr>
        <w:t>l Informe Policial</w:t>
      </w:r>
      <w:r w:rsidR="00206211" w:rsidRPr="00E3057C">
        <w:rPr>
          <w:rFonts w:asciiTheme="majorHAnsi" w:hAnsiTheme="majorHAnsi"/>
          <w:sz w:val="20"/>
          <w:szCs w:val="20"/>
          <w:bdr w:val="none" w:sz="0" w:space="0" w:color="auto"/>
          <w:lang w:val="es-ES"/>
        </w:rPr>
        <w:t xml:space="preserve"> indica </w:t>
      </w:r>
      <w:proofErr w:type="gramStart"/>
      <w:r w:rsidR="00206211" w:rsidRPr="00E3057C">
        <w:rPr>
          <w:rFonts w:asciiTheme="majorHAnsi" w:hAnsiTheme="majorHAnsi"/>
          <w:sz w:val="20"/>
          <w:szCs w:val="20"/>
          <w:bdr w:val="none" w:sz="0" w:space="0" w:color="auto"/>
          <w:lang w:val="es-ES"/>
        </w:rPr>
        <w:t>que</w:t>
      </w:r>
      <w:proofErr w:type="gramEnd"/>
      <w:r w:rsidR="00206211" w:rsidRPr="00E3057C">
        <w:rPr>
          <w:rFonts w:asciiTheme="majorHAnsi" w:hAnsiTheme="majorHAnsi"/>
          <w:sz w:val="20"/>
          <w:szCs w:val="20"/>
          <w:bdr w:val="none" w:sz="0" w:space="0" w:color="auto"/>
          <w:lang w:val="es-ES"/>
        </w:rPr>
        <w:t xml:space="preserve"> tras la liberación de las dos mujeres, la presunta víctima fue subid</w:t>
      </w:r>
      <w:r w:rsidR="0040707E">
        <w:rPr>
          <w:rFonts w:asciiTheme="majorHAnsi" w:hAnsiTheme="majorHAnsi"/>
          <w:sz w:val="20"/>
          <w:szCs w:val="20"/>
          <w:bdr w:val="none" w:sz="0" w:space="0" w:color="auto"/>
          <w:lang w:val="es-ES"/>
        </w:rPr>
        <w:t>a</w:t>
      </w:r>
      <w:r w:rsidR="00206211" w:rsidRPr="00E3057C">
        <w:rPr>
          <w:rFonts w:asciiTheme="majorHAnsi" w:hAnsiTheme="majorHAnsi"/>
          <w:sz w:val="20"/>
          <w:szCs w:val="20"/>
          <w:bdr w:val="none" w:sz="0" w:space="0" w:color="auto"/>
          <w:lang w:val="es-ES"/>
        </w:rPr>
        <w:t xml:space="preserve"> a un vehículo con rumbo desconocido</w:t>
      </w:r>
      <w:r w:rsidR="0024615A" w:rsidRPr="00667638">
        <w:rPr>
          <w:rStyle w:val="Refdenotaalpie"/>
          <w:rFonts w:asciiTheme="majorHAnsi" w:hAnsiTheme="majorHAnsi"/>
          <w:sz w:val="20"/>
          <w:szCs w:val="20"/>
          <w:bdr w:val="none" w:sz="0" w:space="0" w:color="auto"/>
          <w:lang w:val="es-ES"/>
        </w:rPr>
        <w:footnoteReference w:id="24"/>
      </w:r>
      <w:r w:rsidR="0024615A" w:rsidRPr="00E3057C">
        <w:rPr>
          <w:rFonts w:asciiTheme="majorHAnsi" w:hAnsiTheme="majorHAnsi"/>
          <w:sz w:val="20"/>
          <w:szCs w:val="20"/>
          <w:bdr w:val="none" w:sz="0" w:space="0" w:color="auto"/>
          <w:lang w:val="es-ES"/>
        </w:rPr>
        <w:t xml:space="preserve">. </w:t>
      </w:r>
    </w:p>
    <w:p w14:paraId="14A07D6B" w14:textId="77777777" w:rsidR="00620C03" w:rsidRPr="00620C03" w:rsidRDefault="00620C03" w:rsidP="00620C0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bdr w:val="none" w:sz="0" w:space="0" w:color="auto"/>
          <w:lang w:val="es-ES"/>
        </w:rPr>
      </w:pPr>
    </w:p>
    <w:p w14:paraId="6BF8299E" w14:textId="77777777" w:rsidR="004D7141" w:rsidRPr="000A209E" w:rsidRDefault="00A9472E" w:rsidP="002A35D9">
      <w:pPr>
        <w:pStyle w:val="Ttulo2"/>
        <w:numPr>
          <w:ilvl w:val="0"/>
          <w:numId w:val="57"/>
        </w:numPr>
        <w:tabs>
          <w:tab w:val="left" w:pos="630"/>
        </w:tabs>
        <w:spacing w:before="0" w:after="0"/>
        <w:ind w:left="0" w:firstLine="0"/>
        <w:jc w:val="both"/>
        <w:rPr>
          <w:rFonts w:ascii="Cambria" w:hAnsi="Cambria"/>
          <w:i w:val="0"/>
          <w:sz w:val="20"/>
          <w:szCs w:val="20"/>
          <w:lang w:val="es-ES"/>
        </w:rPr>
      </w:pPr>
      <w:bookmarkStart w:id="8" w:name="_Toc5359028"/>
      <w:r w:rsidRPr="000A209E">
        <w:rPr>
          <w:rFonts w:ascii="Cambria" w:hAnsi="Cambria"/>
          <w:i w:val="0"/>
          <w:sz w:val="20"/>
          <w:szCs w:val="20"/>
          <w:lang w:val="es-ES"/>
        </w:rPr>
        <w:t>Proceso penal</w:t>
      </w:r>
      <w:bookmarkEnd w:id="8"/>
      <w:r w:rsidRPr="000A209E">
        <w:rPr>
          <w:rFonts w:ascii="Cambria" w:hAnsi="Cambria"/>
          <w:i w:val="0"/>
          <w:sz w:val="20"/>
          <w:szCs w:val="20"/>
          <w:lang w:val="es-ES"/>
        </w:rPr>
        <w:t xml:space="preserve"> </w:t>
      </w:r>
    </w:p>
    <w:p w14:paraId="2A6171A2" w14:textId="77777777" w:rsidR="00D64D9D" w:rsidRPr="00D64D9D" w:rsidRDefault="00D64D9D" w:rsidP="00D64D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77512898" w14:textId="77777777" w:rsidR="002A35D9" w:rsidRDefault="006E3572"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Pr>
          <w:rFonts w:asciiTheme="majorHAnsi" w:hAnsiTheme="majorHAnsi"/>
          <w:sz w:val="20"/>
          <w:szCs w:val="20"/>
          <w:lang w:val="es-VE"/>
        </w:rPr>
        <w:t>El</w:t>
      </w:r>
      <w:r w:rsidR="00BE1B7E" w:rsidRPr="00D91923">
        <w:rPr>
          <w:rFonts w:ascii="Cambria" w:hAnsi="Cambria"/>
          <w:sz w:val="20"/>
          <w:szCs w:val="20"/>
          <w:lang w:val="es-ES"/>
        </w:rPr>
        <w:t xml:space="preserve"> 23 de julio del 2001 </w:t>
      </w:r>
      <w:r>
        <w:rPr>
          <w:rFonts w:ascii="Cambria" w:hAnsi="Cambria"/>
          <w:sz w:val="20"/>
          <w:szCs w:val="20"/>
          <w:lang w:val="es-ES"/>
        </w:rPr>
        <w:t xml:space="preserve">el padre de la presunta víctima presentó una denuncia por la desaparición </w:t>
      </w:r>
      <w:r w:rsidR="00643B45">
        <w:rPr>
          <w:rFonts w:ascii="Cambria" w:hAnsi="Cambria"/>
          <w:sz w:val="20"/>
          <w:szCs w:val="20"/>
          <w:lang w:val="es-ES"/>
        </w:rPr>
        <w:t>de su hijo</w:t>
      </w:r>
      <w:r>
        <w:rPr>
          <w:rFonts w:ascii="Cambria" w:hAnsi="Cambria"/>
          <w:sz w:val="20"/>
          <w:szCs w:val="20"/>
          <w:lang w:val="es-ES"/>
        </w:rPr>
        <w:t xml:space="preserve"> </w:t>
      </w:r>
      <w:r w:rsidR="0064745F">
        <w:rPr>
          <w:rFonts w:ascii="Cambria" w:hAnsi="Cambria"/>
          <w:sz w:val="20"/>
          <w:szCs w:val="20"/>
          <w:lang w:val="es-ES"/>
        </w:rPr>
        <w:t xml:space="preserve">ante la </w:t>
      </w:r>
      <w:r w:rsidR="00643B45">
        <w:rPr>
          <w:rFonts w:ascii="Cambria" w:hAnsi="Cambria"/>
          <w:sz w:val="20"/>
          <w:szCs w:val="20"/>
          <w:lang w:val="es-ES"/>
        </w:rPr>
        <w:t>Policía Judicial de Tungurahua</w:t>
      </w:r>
      <w:r w:rsidR="0064745F" w:rsidRPr="00D91923">
        <w:rPr>
          <w:rStyle w:val="Refdenotaalpie"/>
          <w:rFonts w:asciiTheme="majorHAnsi" w:hAnsiTheme="majorHAnsi"/>
          <w:color w:val="000000" w:themeColor="text1"/>
          <w:sz w:val="20"/>
          <w:szCs w:val="20"/>
          <w:lang w:val="es-ES"/>
        </w:rPr>
        <w:footnoteReference w:id="25"/>
      </w:r>
      <w:r w:rsidR="0064745F">
        <w:rPr>
          <w:rFonts w:ascii="Cambria" w:hAnsi="Cambria"/>
          <w:sz w:val="20"/>
          <w:szCs w:val="20"/>
          <w:lang w:val="es-ES"/>
        </w:rPr>
        <w:t xml:space="preserve">. </w:t>
      </w:r>
    </w:p>
    <w:p w14:paraId="7F8F39C3"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20"/>
          <w:szCs w:val="20"/>
          <w:lang w:val="es-ES"/>
        </w:rPr>
      </w:pPr>
    </w:p>
    <w:p w14:paraId="34A7F96F" w14:textId="77777777" w:rsidR="002A35D9" w:rsidRDefault="0064745F"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lastRenderedPageBreak/>
        <w:t>El 13 de agosto de 2001 el Inspector General de la Policía Nacional solicitó el inicio de las investigaciones</w:t>
      </w:r>
      <w:r w:rsidR="003B3606" w:rsidRPr="002A35D9">
        <w:rPr>
          <w:rFonts w:ascii="Cambria" w:hAnsi="Cambria"/>
          <w:sz w:val="20"/>
          <w:szCs w:val="20"/>
          <w:lang w:val="es-ES"/>
        </w:rPr>
        <w:t xml:space="preserve"> e incorporó </w:t>
      </w:r>
      <w:proofErr w:type="gramStart"/>
      <w:r w:rsidR="006472DD" w:rsidRPr="002A35D9">
        <w:rPr>
          <w:rFonts w:ascii="Cambria" w:hAnsi="Cambria"/>
          <w:sz w:val="20"/>
          <w:szCs w:val="20"/>
          <w:lang w:val="es-ES"/>
        </w:rPr>
        <w:t xml:space="preserve">cinco </w:t>
      </w:r>
      <w:r w:rsidR="003B3606" w:rsidRPr="002A35D9">
        <w:rPr>
          <w:rFonts w:ascii="Cambria" w:hAnsi="Cambria"/>
          <w:sz w:val="20"/>
          <w:szCs w:val="20"/>
          <w:lang w:val="es-ES"/>
        </w:rPr>
        <w:t xml:space="preserve"> partes</w:t>
      </w:r>
      <w:proofErr w:type="gramEnd"/>
      <w:r w:rsidR="003B3606" w:rsidRPr="002A35D9">
        <w:rPr>
          <w:rFonts w:ascii="Cambria" w:hAnsi="Cambria"/>
          <w:sz w:val="20"/>
          <w:szCs w:val="20"/>
          <w:lang w:val="es-ES"/>
        </w:rPr>
        <w:t xml:space="preserve"> policiales elaborados por diferentes oficiales de la policía que confirma</w:t>
      </w:r>
      <w:r w:rsidR="00643B45" w:rsidRPr="002A35D9">
        <w:rPr>
          <w:rFonts w:ascii="Cambria" w:hAnsi="Cambria"/>
          <w:sz w:val="20"/>
          <w:szCs w:val="20"/>
          <w:lang w:val="es-ES"/>
        </w:rPr>
        <w:t>n</w:t>
      </w:r>
      <w:r w:rsidR="003B3606" w:rsidRPr="002A35D9">
        <w:rPr>
          <w:rFonts w:ascii="Cambria" w:hAnsi="Cambria"/>
          <w:sz w:val="20"/>
          <w:szCs w:val="20"/>
          <w:lang w:val="es-ES"/>
        </w:rPr>
        <w:t xml:space="preserve"> la detención de </w:t>
      </w:r>
      <w:r w:rsidR="005B1E7B" w:rsidRPr="002A35D9">
        <w:rPr>
          <w:rFonts w:asciiTheme="majorHAnsi" w:hAnsiTheme="majorHAnsi"/>
          <w:color w:val="000000" w:themeColor="text1"/>
          <w:sz w:val="20"/>
          <w:szCs w:val="20"/>
          <w:lang w:val="es-ES"/>
        </w:rPr>
        <w:t xml:space="preserve">Fredy Núñez, Octavio Morales y Orlando Freire, </w:t>
      </w:r>
      <w:r w:rsidR="0095414C" w:rsidRPr="002A35D9">
        <w:rPr>
          <w:rFonts w:asciiTheme="majorHAnsi" w:hAnsiTheme="majorHAnsi"/>
          <w:color w:val="000000" w:themeColor="text1"/>
          <w:sz w:val="20"/>
          <w:szCs w:val="20"/>
          <w:lang w:val="es-ES"/>
        </w:rPr>
        <w:t xml:space="preserve">así como </w:t>
      </w:r>
      <w:r w:rsidR="005B1E7B" w:rsidRPr="002A35D9">
        <w:rPr>
          <w:rFonts w:asciiTheme="majorHAnsi" w:hAnsiTheme="majorHAnsi"/>
          <w:color w:val="000000" w:themeColor="text1"/>
          <w:sz w:val="20"/>
          <w:szCs w:val="20"/>
          <w:lang w:val="es-ES"/>
        </w:rPr>
        <w:t>los incidentes suscitados en las inst</w:t>
      </w:r>
      <w:r w:rsidR="0095414C" w:rsidRPr="002A35D9">
        <w:rPr>
          <w:rFonts w:asciiTheme="majorHAnsi" w:hAnsiTheme="majorHAnsi"/>
          <w:color w:val="000000" w:themeColor="text1"/>
          <w:sz w:val="20"/>
          <w:szCs w:val="20"/>
          <w:lang w:val="es-ES"/>
        </w:rPr>
        <w:t>alaciones del destacamento del Cantón Q</w:t>
      </w:r>
      <w:r w:rsidR="005B1E7B" w:rsidRPr="002A35D9">
        <w:rPr>
          <w:rFonts w:asciiTheme="majorHAnsi" w:hAnsiTheme="majorHAnsi"/>
          <w:color w:val="000000" w:themeColor="text1"/>
          <w:sz w:val="20"/>
          <w:szCs w:val="20"/>
          <w:lang w:val="es-ES"/>
        </w:rPr>
        <w:t>uero, y la posterior captura de Fredy Núñez</w:t>
      </w:r>
      <w:r w:rsidR="006472DD" w:rsidRPr="002A35D9">
        <w:rPr>
          <w:rFonts w:asciiTheme="majorHAnsi" w:hAnsiTheme="majorHAnsi"/>
          <w:color w:val="000000" w:themeColor="text1"/>
          <w:sz w:val="20"/>
          <w:szCs w:val="20"/>
          <w:lang w:val="es-ES"/>
        </w:rPr>
        <w:t xml:space="preserve"> por parte de quienes ingresaron a dicho lugar</w:t>
      </w:r>
      <w:r w:rsidR="00D91923" w:rsidRPr="00D91923">
        <w:rPr>
          <w:rStyle w:val="Refdenotaalpie"/>
          <w:rFonts w:asciiTheme="majorHAnsi" w:hAnsiTheme="majorHAnsi"/>
          <w:color w:val="000000" w:themeColor="text1"/>
          <w:sz w:val="20"/>
          <w:szCs w:val="20"/>
          <w:lang w:val="es-ES"/>
        </w:rPr>
        <w:footnoteReference w:id="26"/>
      </w:r>
      <w:r w:rsidR="005B1E7B" w:rsidRPr="002A35D9">
        <w:rPr>
          <w:rFonts w:ascii="Cambria" w:hAnsi="Cambria"/>
          <w:sz w:val="20"/>
          <w:szCs w:val="20"/>
          <w:lang w:val="es-ES"/>
        </w:rPr>
        <w:t xml:space="preserve">. </w:t>
      </w:r>
    </w:p>
    <w:p w14:paraId="2B18DA16" w14:textId="77777777" w:rsidR="002A35D9" w:rsidRDefault="002A35D9" w:rsidP="002A35D9">
      <w:pPr>
        <w:pStyle w:val="Prrafodelista"/>
        <w:rPr>
          <w:sz w:val="20"/>
          <w:szCs w:val="20"/>
          <w:lang w:val="es-ES"/>
        </w:rPr>
      </w:pPr>
    </w:p>
    <w:p w14:paraId="737351C2" w14:textId="77777777" w:rsidR="002A35D9" w:rsidRDefault="007E12A9"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El 15 de agosto de 2001 rindió declaración el policía Marcelo Fabian Velasco </w:t>
      </w:r>
      <w:proofErr w:type="spellStart"/>
      <w:r w:rsidRPr="002A35D9">
        <w:rPr>
          <w:rFonts w:ascii="Cambria" w:hAnsi="Cambria"/>
          <w:sz w:val="20"/>
          <w:szCs w:val="20"/>
          <w:lang w:val="es-ES"/>
        </w:rPr>
        <w:t>Jacome</w:t>
      </w:r>
      <w:proofErr w:type="spellEnd"/>
      <w:r w:rsidRPr="002A35D9">
        <w:rPr>
          <w:rFonts w:ascii="Cambria" w:hAnsi="Cambria"/>
          <w:sz w:val="20"/>
          <w:szCs w:val="20"/>
          <w:lang w:val="es-ES"/>
        </w:rPr>
        <w:t>, quien participó en la detención de la presunta víctima, y refirió que el 15 de julio de 2001, luego de la detención, alrededor de las cinco o cinco y media de la tarde, llegaron aproximadamente 400 personas</w:t>
      </w:r>
      <w:r w:rsidR="00E3057C" w:rsidRPr="002A35D9">
        <w:rPr>
          <w:rFonts w:ascii="Cambria" w:hAnsi="Cambria"/>
          <w:sz w:val="20"/>
          <w:szCs w:val="20"/>
          <w:lang w:val="es-ES"/>
        </w:rPr>
        <w:t xml:space="preserve"> </w:t>
      </w:r>
      <w:r w:rsidRPr="002A35D9">
        <w:rPr>
          <w:rFonts w:ascii="Cambria" w:hAnsi="Cambria"/>
          <w:sz w:val="20"/>
          <w:szCs w:val="20"/>
          <w:lang w:val="es-ES"/>
        </w:rPr>
        <w:t xml:space="preserve">al Destacamento “rompieron las seguridades del calabozo y pusieron en libertad a los dos miembros de la Comunidad </w:t>
      </w:r>
      <w:proofErr w:type="spellStart"/>
      <w:r w:rsidRPr="002A35D9">
        <w:rPr>
          <w:rFonts w:ascii="Cambria" w:hAnsi="Cambria"/>
          <w:sz w:val="20"/>
          <w:szCs w:val="20"/>
          <w:lang w:val="es-ES"/>
        </w:rPr>
        <w:t>Puñachisag</w:t>
      </w:r>
      <w:proofErr w:type="spellEnd"/>
      <w:r w:rsidRPr="002A35D9">
        <w:rPr>
          <w:rFonts w:ascii="Cambria" w:hAnsi="Cambria"/>
          <w:sz w:val="20"/>
          <w:szCs w:val="20"/>
          <w:lang w:val="es-ES"/>
        </w:rPr>
        <w:t>” (…)”</w:t>
      </w:r>
      <w:r w:rsidR="0096649A" w:rsidRPr="002A35D9">
        <w:rPr>
          <w:rFonts w:ascii="Cambria" w:hAnsi="Cambria"/>
          <w:sz w:val="20"/>
          <w:szCs w:val="20"/>
          <w:lang w:val="es-ES"/>
        </w:rPr>
        <w:t xml:space="preserve"> y se llevaron como rehén a Fre</w:t>
      </w:r>
      <w:r w:rsidRPr="002A35D9">
        <w:rPr>
          <w:rFonts w:ascii="Cambria" w:hAnsi="Cambria"/>
          <w:sz w:val="20"/>
          <w:szCs w:val="20"/>
          <w:lang w:val="es-ES"/>
        </w:rPr>
        <w:t>dy</w:t>
      </w:r>
      <w:r w:rsidR="00E3057C" w:rsidRPr="002A35D9">
        <w:rPr>
          <w:rFonts w:ascii="Cambria" w:hAnsi="Cambria"/>
          <w:sz w:val="20"/>
          <w:szCs w:val="20"/>
          <w:lang w:val="es-ES"/>
        </w:rPr>
        <w:t xml:space="preserve"> Marcelo Núñez Naranjo</w:t>
      </w:r>
      <w:r w:rsidRPr="002A35D9">
        <w:rPr>
          <w:rFonts w:ascii="Cambria" w:hAnsi="Cambria"/>
          <w:sz w:val="20"/>
          <w:szCs w:val="20"/>
          <w:lang w:val="es-ES"/>
        </w:rPr>
        <w:t xml:space="preserve">, a Gregoria Naranjo y a Marcia </w:t>
      </w:r>
      <w:r w:rsidR="00E3057C" w:rsidRPr="002A35D9">
        <w:rPr>
          <w:rFonts w:ascii="Cambria" w:hAnsi="Cambria"/>
          <w:sz w:val="20"/>
          <w:szCs w:val="20"/>
          <w:lang w:val="es-ES"/>
        </w:rPr>
        <w:t>Núñez</w:t>
      </w:r>
      <w:r w:rsidR="008C544B" w:rsidRPr="002A35D9">
        <w:rPr>
          <w:rFonts w:ascii="Cambria" w:hAnsi="Cambria"/>
          <w:sz w:val="20"/>
          <w:szCs w:val="20"/>
          <w:lang w:val="es-ES"/>
        </w:rPr>
        <w:t xml:space="preserve">. Al ser preguntado si el </w:t>
      </w:r>
      <w:proofErr w:type="gramStart"/>
      <w:r w:rsidR="008C544B" w:rsidRPr="002A35D9">
        <w:rPr>
          <w:rFonts w:ascii="Cambria" w:hAnsi="Cambria"/>
          <w:sz w:val="20"/>
          <w:szCs w:val="20"/>
          <w:lang w:val="es-ES"/>
        </w:rPr>
        <w:t>Comandante</w:t>
      </w:r>
      <w:proofErr w:type="gramEnd"/>
      <w:r w:rsidR="008C544B" w:rsidRPr="002A35D9">
        <w:rPr>
          <w:rFonts w:ascii="Cambria" w:hAnsi="Cambria"/>
          <w:sz w:val="20"/>
          <w:szCs w:val="20"/>
          <w:lang w:val="es-ES"/>
        </w:rPr>
        <w:t xml:space="preserve"> Provincial tiene conocimiento de lo que ha pasado con la presunta víctima indicó que “de esta novedad tiene conocimiento el señor Comandante Provincial, de igual manera, las autoridades de esta localidad no han tomado cartas en el asunto”</w:t>
      </w:r>
      <w:r w:rsidR="00B6772E" w:rsidRPr="00F17A3D">
        <w:rPr>
          <w:rStyle w:val="Refdenotaalpie"/>
          <w:rFonts w:ascii="Cambria" w:hAnsi="Cambria"/>
          <w:sz w:val="20"/>
          <w:szCs w:val="20"/>
          <w:lang w:val="es-ES"/>
        </w:rPr>
        <w:footnoteReference w:id="27"/>
      </w:r>
      <w:r w:rsidR="008C544B" w:rsidRPr="002A35D9">
        <w:rPr>
          <w:rFonts w:ascii="Cambria" w:hAnsi="Cambria"/>
          <w:sz w:val="20"/>
          <w:szCs w:val="20"/>
          <w:lang w:val="es-ES"/>
        </w:rPr>
        <w:t xml:space="preserve">. </w:t>
      </w:r>
    </w:p>
    <w:p w14:paraId="2A148287" w14:textId="77777777" w:rsidR="002A35D9" w:rsidRDefault="002A35D9" w:rsidP="002A35D9">
      <w:pPr>
        <w:pStyle w:val="Prrafodelista"/>
        <w:rPr>
          <w:sz w:val="20"/>
          <w:szCs w:val="20"/>
          <w:lang w:val="es-ES"/>
        </w:rPr>
      </w:pPr>
    </w:p>
    <w:p w14:paraId="6FE0430A" w14:textId="77777777" w:rsidR="002A35D9" w:rsidRDefault="00B6772E"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En la misma fecha rindió declaración el policía Luis Amable Paredes Valle, quien al ser preguntado sobre las acciones tomadas para investigar el paradero de la presunta víctima refirió que “se ha tomado contacto con las diferentes autoridades del Cantón, a fin de averiguar sobr</w:t>
      </w:r>
      <w:r w:rsidR="0096649A" w:rsidRPr="002A35D9">
        <w:rPr>
          <w:rFonts w:ascii="Cambria" w:hAnsi="Cambria"/>
          <w:sz w:val="20"/>
          <w:szCs w:val="20"/>
          <w:lang w:val="es-ES"/>
        </w:rPr>
        <w:t>e el paradero del ciudadano Fre</w:t>
      </w:r>
      <w:r w:rsidRPr="002A35D9">
        <w:rPr>
          <w:rFonts w:ascii="Cambria" w:hAnsi="Cambria"/>
          <w:sz w:val="20"/>
          <w:szCs w:val="20"/>
          <w:lang w:val="es-ES"/>
        </w:rPr>
        <w:t>dy Núñez Naranjo, sin que nadie colabore sobre este aspecto”</w:t>
      </w:r>
      <w:r w:rsidR="00C36059" w:rsidRPr="00F17A3D">
        <w:rPr>
          <w:rStyle w:val="Refdenotaalpie"/>
          <w:rFonts w:ascii="Cambria" w:hAnsi="Cambria"/>
          <w:sz w:val="20"/>
          <w:szCs w:val="20"/>
          <w:lang w:val="es-ES"/>
        </w:rPr>
        <w:footnoteReference w:id="28"/>
      </w:r>
      <w:r w:rsidR="00FB76EA" w:rsidRPr="002A35D9">
        <w:rPr>
          <w:rFonts w:ascii="Cambria" w:hAnsi="Cambria"/>
          <w:sz w:val="20"/>
          <w:szCs w:val="20"/>
          <w:lang w:val="es-ES"/>
        </w:rPr>
        <w:t>.</w:t>
      </w:r>
    </w:p>
    <w:p w14:paraId="0978DA36" w14:textId="77777777" w:rsidR="002A35D9" w:rsidRDefault="002A35D9" w:rsidP="002A35D9">
      <w:pPr>
        <w:pStyle w:val="Prrafodelista"/>
        <w:rPr>
          <w:rFonts w:asciiTheme="majorHAnsi" w:hAnsiTheme="majorHAnsi"/>
          <w:color w:val="000000" w:themeColor="text1"/>
          <w:sz w:val="20"/>
          <w:szCs w:val="20"/>
          <w:lang w:val="es-ES"/>
        </w:rPr>
      </w:pPr>
    </w:p>
    <w:p w14:paraId="7C57FB97" w14:textId="77777777" w:rsidR="002A35D9" w:rsidRDefault="00DD64A2"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Theme="majorHAnsi" w:hAnsiTheme="majorHAnsi"/>
          <w:color w:val="000000" w:themeColor="text1"/>
          <w:sz w:val="20"/>
          <w:szCs w:val="20"/>
          <w:lang w:val="es-ES"/>
        </w:rPr>
        <w:t>El 16 de agosto de 2001</w:t>
      </w:r>
      <w:r w:rsidR="00C23EFB" w:rsidRPr="002A35D9">
        <w:rPr>
          <w:rFonts w:asciiTheme="majorHAnsi" w:hAnsiTheme="majorHAnsi"/>
          <w:color w:val="000000" w:themeColor="text1"/>
          <w:sz w:val="20"/>
          <w:szCs w:val="20"/>
          <w:lang w:val="es-ES"/>
        </w:rPr>
        <w:t xml:space="preserve"> </w:t>
      </w:r>
      <w:r w:rsidR="00BE07CA" w:rsidRPr="002A35D9">
        <w:rPr>
          <w:rFonts w:ascii="Cambria" w:hAnsi="Cambria"/>
          <w:sz w:val="20"/>
          <w:szCs w:val="20"/>
          <w:lang w:val="es-ES"/>
        </w:rPr>
        <w:t>la Policía Nacional del Ecuador emitió un informe de investigación en el cual estableció que realizó una serie de diligencias en</w:t>
      </w:r>
      <w:r w:rsidR="0096649A" w:rsidRPr="002A35D9">
        <w:rPr>
          <w:rFonts w:ascii="Cambria" w:hAnsi="Cambria"/>
          <w:sz w:val="20"/>
          <w:szCs w:val="20"/>
          <w:lang w:val="es-ES"/>
        </w:rPr>
        <w:t xml:space="preserve"> torno a la desaparición de Fre</w:t>
      </w:r>
      <w:r w:rsidR="00BE07CA" w:rsidRPr="002A35D9">
        <w:rPr>
          <w:rFonts w:ascii="Cambria" w:hAnsi="Cambria"/>
          <w:sz w:val="20"/>
          <w:szCs w:val="20"/>
          <w:lang w:val="es-ES"/>
        </w:rPr>
        <w:t>dy Núñez Naranjo</w:t>
      </w:r>
      <w:r w:rsidRPr="002A35D9">
        <w:rPr>
          <w:rFonts w:ascii="Cambria" w:hAnsi="Cambria"/>
          <w:sz w:val="20"/>
          <w:szCs w:val="20"/>
          <w:lang w:val="es-ES"/>
        </w:rPr>
        <w:t xml:space="preserve">. En dicho informe se indica que el </w:t>
      </w:r>
      <w:proofErr w:type="gramStart"/>
      <w:r w:rsidRPr="002A35D9">
        <w:rPr>
          <w:rFonts w:ascii="Cambria" w:hAnsi="Cambria"/>
          <w:sz w:val="20"/>
          <w:szCs w:val="20"/>
          <w:lang w:val="es-ES"/>
        </w:rPr>
        <w:t>Presidente</w:t>
      </w:r>
      <w:proofErr w:type="gramEnd"/>
      <w:r w:rsidRPr="002A35D9">
        <w:rPr>
          <w:rFonts w:ascii="Cambria" w:hAnsi="Cambria"/>
          <w:sz w:val="20"/>
          <w:szCs w:val="20"/>
          <w:lang w:val="es-ES"/>
        </w:rPr>
        <w:t xml:space="preserve"> de las Juntas del Campesinado de Tungurahua refirió que </w:t>
      </w:r>
      <w:r w:rsidR="00293DD0" w:rsidRPr="002A35D9">
        <w:rPr>
          <w:rFonts w:ascii="Cambria" w:hAnsi="Cambria"/>
          <w:sz w:val="20"/>
          <w:szCs w:val="20"/>
          <w:lang w:val="es-ES"/>
        </w:rPr>
        <w:t>la presunta víctima se dio a la fuga de los calabozos de la misma comunidad el 15 de julio de 2001</w:t>
      </w:r>
      <w:r w:rsidR="009A2346" w:rsidRPr="002A35D9">
        <w:rPr>
          <w:rFonts w:ascii="Cambria" w:hAnsi="Cambria"/>
          <w:sz w:val="20"/>
          <w:szCs w:val="20"/>
          <w:lang w:val="es-ES"/>
        </w:rPr>
        <w:t>. Asimismo,</w:t>
      </w:r>
      <w:r w:rsidR="00016D0C" w:rsidRPr="002A35D9">
        <w:rPr>
          <w:rFonts w:ascii="Cambria" w:hAnsi="Cambria"/>
          <w:sz w:val="20"/>
          <w:szCs w:val="20"/>
          <w:lang w:val="es-ES"/>
        </w:rPr>
        <w:t xml:space="preserve"> indicó que no ha sido posible entrevistarse </w:t>
      </w:r>
      <w:r w:rsidR="009A2346" w:rsidRPr="002A35D9">
        <w:rPr>
          <w:rFonts w:ascii="Cambria" w:hAnsi="Cambria"/>
          <w:sz w:val="20"/>
          <w:szCs w:val="20"/>
          <w:lang w:val="es-ES"/>
        </w:rPr>
        <w:t xml:space="preserve">con los familiares de la presunta víctima porque han manifestado </w:t>
      </w:r>
      <w:r w:rsidR="006A0612" w:rsidRPr="002A35D9">
        <w:rPr>
          <w:rFonts w:ascii="Cambria" w:hAnsi="Cambria"/>
          <w:sz w:val="20"/>
          <w:szCs w:val="20"/>
          <w:lang w:val="es-ES"/>
        </w:rPr>
        <w:t xml:space="preserve">que no pueden dar </w:t>
      </w:r>
      <w:proofErr w:type="gramStart"/>
      <w:r w:rsidR="006A0612" w:rsidRPr="002A35D9">
        <w:rPr>
          <w:rFonts w:ascii="Cambria" w:hAnsi="Cambria"/>
          <w:sz w:val="20"/>
          <w:szCs w:val="20"/>
          <w:lang w:val="es-ES"/>
        </w:rPr>
        <w:t>mayor información</w:t>
      </w:r>
      <w:proofErr w:type="gramEnd"/>
      <w:r w:rsidR="006A0612" w:rsidRPr="002A35D9">
        <w:rPr>
          <w:rFonts w:ascii="Cambria" w:hAnsi="Cambria"/>
          <w:sz w:val="20"/>
          <w:szCs w:val="20"/>
          <w:lang w:val="es-ES"/>
        </w:rPr>
        <w:t xml:space="preserve"> por </w:t>
      </w:r>
      <w:r w:rsidR="00251F4D" w:rsidRPr="002A35D9">
        <w:rPr>
          <w:rFonts w:ascii="Cambria" w:hAnsi="Cambria"/>
          <w:sz w:val="20"/>
          <w:szCs w:val="20"/>
          <w:lang w:val="es-ES"/>
        </w:rPr>
        <w:t xml:space="preserve">temor a </w:t>
      </w:r>
      <w:r w:rsidR="006A0612" w:rsidRPr="002A35D9">
        <w:rPr>
          <w:rFonts w:ascii="Cambria" w:hAnsi="Cambria"/>
          <w:sz w:val="20"/>
          <w:szCs w:val="20"/>
          <w:lang w:val="es-ES"/>
        </w:rPr>
        <w:t>las represalias que la comunidad</w:t>
      </w:r>
      <w:r w:rsidR="0053086B" w:rsidRPr="002A35D9">
        <w:rPr>
          <w:rFonts w:ascii="Cambria" w:hAnsi="Cambria"/>
          <w:sz w:val="20"/>
          <w:szCs w:val="20"/>
          <w:lang w:val="es-ES"/>
        </w:rPr>
        <w:t xml:space="preserve"> </w:t>
      </w:r>
      <w:proofErr w:type="spellStart"/>
      <w:r w:rsidR="0053086B" w:rsidRPr="002A35D9">
        <w:rPr>
          <w:rFonts w:ascii="Cambria" w:hAnsi="Cambria"/>
          <w:sz w:val="20"/>
          <w:szCs w:val="20"/>
          <w:lang w:val="es-ES"/>
        </w:rPr>
        <w:t>Puñachisag</w:t>
      </w:r>
      <w:proofErr w:type="spellEnd"/>
      <w:r w:rsidR="0053086B" w:rsidRPr="002A35D9">
        <w:rPr>
          <w:rFonts w:ascii="Cambria" w:hAnsi="Cambria"/>
          <w:sz w:val="20"/>
          <w:szCs w:val="20"/>
          <w:lang w:val="es-ES"/>
        </w:rPr>
        <w:t xml:space="preserve"> y </w:t>
      </w:r>
      <w:proofErr w:type="spellStart"/>
      <w:r w:rsidR="0053086B" w:rsidRPr="002A35D9">
        <w:rPr>
          <w:rFonts w:ascii="Cambria" w:hAnsi="Cambria"/>
          <w:sz w:val="20"/>
          <w:szCs w:val="20"/>
          <w:lang w:val="es-ES"/>
        </w:rPr>
        <w:t>Shaushi</w:t>
      </w:r>
      <w:proofErr w:type="spellEnd"/>
      <w:r w:rsidR="006A0612" w:rsidRPr="002A35D9">
        <w:rPr>
          <w:rFonts w:ascii="Cambria" w:hAnsi="Cambria"/>
          <w:sz w:val="20"/>
          <w:szCs w:val="20"/>
          <w:lang w:val="es-ES"/>
        </w:rPr>
        <w:t xml:space="preserve"> pueda tomar en su contra</w:t>
      </w:r>
      <w:r w:rsidR="00672CBC">
        <w:rPr>
          <w:rStyle w:val="Refdenotaalpie"/>
          <w:rFonts w:ascii="Cambria" w:hAnsi="Cambria"/>
          <w:sz w:val="20"/>
          <w:szCs w:val="20"/>
          <w:lang w:val="es-ES"/>
        </w:rPr>
        <w:footnoteReference w:id="29"/>
      </w:r>
      <w:r w:rsidR="006A0612" w:rsidRPr="002A35D9">
        <w:rPr>
          <w:rFonts w:ascii="Cambria" w:hAnsi="Cambria"/>
          <w:sz w:val="20"/>
          <w:szCs w:val="20"/>
          <w:lang w:val="es-ES"/>
        </w:rPr>
        <w:t xml:space="preserve">. </w:t>
      </w:r>
    </w:p>
    <w:p w14:paraId="565BD5FA" w14:textId="77777777" w:rsidR="002A35D9" w:rsidRDefault="002A35D9" w:rsidP="002A35D9">
      <w:pPr>
        <w:pStyle w:val="Prrafodelista"/>
        <w:rPr>
          <w:sz w:val="20"/>
          <w:szCs w:val="20"/>
          <w:lang w:val="es-ES"/>
        </w:rPr>
      </w:pPr>
    </w:p>
    <w:p w14:paraId="1C2CB70F" w14:textId="77777777" w:rsidR="002A35D9" w:rsidRDefault="00672CBC"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En el informe se indicó que en la entrevista al señor Sixto Rodriguez Núñez Naranjo este refirió que el </w:t>
      </w:r>
      <w:proofErr w:type="gramStart"/>
      <w:r w:rsidRPr="002A35D9">
        <w:rPr>
          <w:rFonts w:ascii="Cambria" w:hAnsi="Cambria"/>
          <w:sz w:val="20"/>
          <w:szCs w:val="20"/>
          <w:lang w:val="es-ES"/>
        </w:rPr>
        <w:t>Comandante</w:t>
      </w:r>
      <w:proofErr w:type="gramEnd"/>
      <w:r w:rsidRPr="002A35D9">
        <w:rPr>
          <w:rFonts w:ascii="Cambria" w:hAnsi="Cambria"/>
          <w:sz w:val="20"/>
          <w:szCs w:val="20"/>
          <w:lang w:val="es-ES"/>
        </w:rPr>
        <w:t xml:space="preserve"> Provincial de Policía le indicó que “tome contacto con el señor Mayor de Policía Carlos Aguirre, a fin de que se logre coordinar con el doctor Manuel Gallegos para tratar de sacar información sobre el desaparecido, quien le ha manifestad</w:t>
      </w:r>
      <w:r w:rsidR="00C36059" w:rsidRPr="002A35D9">
        <w:rPr>
          <w:rFonts w:ascii="Cambria" w:hAnsi="Cambria"/>
          <w:sz w:val="20"/>
          <w:szCs w:val="20"/>
          <w:lang w:val="es-ES"/>
        </w:rPr>
        <w:t>o</w:t>
      </w:r>
      <w:r w:rsidR="0096649A" w:rsidRPr="002A35D9">
        <w:rPr>
          <w:rFonts w:ascii="Cambria" w:hAnsi="Cambria"/>
          <w:sz w:val="20"/>
          <w:szCs w:val="20"/>
          <w:lang w:val="es-ES"/>
        </w:rPr>
        <w:t xml:space="preserve"> que Fre</w:t>
      </w:r>
      <w:r w:rsidRPr="002A35D9">
        <w:rPr>
          <w:rFonts w:ascii="Cambria" w:hAnsi="Cambria"/>
          <w:sz w:val="20"/>
          <w:szCs w:val="20"/>
          <w:lang w:val="es-ES"/>
        </w:rPr>
        <w:t xml:space="preserve">dy Marcelo </w:t>
      </w:r>
      <w:r w:rsidR="00E3057C" w:rsidRPr="002A35D9">
        <w:rPr>
          <w:rFonts w:ascii="Cambria" w:hAnsi="Cambria"/>
          <w:sz w:val="20"/>
          <w:szCs w:val="20"/>
          <w:lang w:val="es-ES"/>
        </w:rPr>
        <w:t>Núñez</w:t>
      </w:r>
      <w:r w:rsidRPr="002A35D9">
        <w:rPr>
          <w:rFonts w:ascii="Cambria" w:hAnsi="Cambria"/>
          <w:sz w:val="20"/>
          <w:szCs w:val="20"/>
          <w:lang w:val="es-ES"/>
        </w:rPr>
        <w:t xml:space="preserve"> Naranjo, es integrante de una banda de facinerosos que se han encontrado haciendo de las suyas en el Cantón Quero (…)</w:t>
      </w:r>
      <w:r>
        <w:rPr>
          <w:rStyle w:val="Refdenotaalpie"/>
          <w:rFonts w:ascii="Cambria" w:hAnsi="Cambria"/>
          <w:sz w:val="20"/>
          <w:szCs w:val="20"/>
          <w:lang w:val="es-ES"/>
        </w:rPr>
        <w:footnoteReference w:id="30"/>
      </w:r>
      <w:r w:rsidRPr="002A35D9">
        <w:rPr>
          <w:rFonts w:ascii="Cambria" w:hAnsi="Cambria"/>
          <w:sz w:val="20"/>
          <w:szCs w:val="20"/>
          <w:lang w:val="es-ES"/>
        </w:rPr>
        <w:t>”. En el Informe se subraya como “trabajos pendientes” tratar de ubicar a la presunta víctima</w:t>
      </w:r>
      <w:r w:rsidR="00E53F48">
        <w:rPr>
          <w:rStyle w:val="Refdenotaalpie"/>
          <w:rFonts w:ascii="Cambria" w:hAnsi="Cambria"/>
          <w:sz w:val="20"/>
          <w:szCs w:val="20"/>
          <w:lang w:val="es-ES"/>
        </w:rPr>
        <w:footnoteReference w:id="31"/>
      </w:r>
      <w:r w:rsidR="009B56CC" w:rsidRPr="002A35D9">
        <w:rPr>
          <w:rFonts w:ascii="Cambria" w:hAnsi="Cambria"/>
          <w:sz w:val="20"/>
          <w:szCs w:val="20"/>
          <w:lang w:val="es-ES"/>
        </w:rPr>
        <w:t>.</w:t>
      </w:r>
    </w:p>
    <w:p w14:paraId="7A7768C0" w14:textId="77777777" w:rsidR="002A35D9" w:rsidRDefault="002A35D9" w:rsidP="002A35D9">
      <w:pPr>
        <w:pStyle w:val="Prrafodelista"/>
        <w:rPr>
          <w:rFonts w:asciiTheme="majorHAnsi" w:hAnsiTheme="majorHAnsi"/>
          <w:sz w:val="20"/>
          <w:szCs w:val="20"/>
          <w:lang w:val="es-VE"/>
        </w:rPr>
      </w:pPr>
    </w:p>
    <w:p w14:paraId="51FA97B1" w14:textId="77777777" w:rsidR="002A35D9" w:rsidRDefault="002D3E0D"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Theme="majorHAnsi" w:hAnsiTheme="majorHAnsi"/>
          <w:sz w:val="20"/>
          <w:szCs w:val="20"/>
          <w:lang w:val="es-VE"/>
        </w:rPr>
        <w:t>Finalmente, en el i</w:t>
      </w:r>
      <w:r w:rsidR="00DE5929" w:rsidRPr="002A35D9">
        <w:rPr>
          <w:rFonts w:asciiTheme="majorHAnsi" w:hAnsiTheme="majorHAnsi"/>
          <w:sz w:val="20"/>
          <w:szCs w:val="20"/>
          <w:lang w:val="es-VE"/>
        </w:rPr>
        <w:t xml:space="preserve">nforme se hace constar que el 29 de julio de 2001 más de </w:t>
      </w:r>
      <w:r w:rsidR="00095CDB" w:rsidRPr="002A35D9">
        <w:rPr>
          <w:rFonts w:asciiTheme="majorHAnsi" w:hAnsiTheme="majorHAnsi"/>
          <w:sz w:val="20"/>
          <w:szCs w:val="20"/>
          <w:lang w:val="es-VE"/>
        </w:rPr>
        <w:t>4000</w:t>
      </w:r>
      <w:r w:rsidR="00DE5929" w:rsidRPr="002A35D9">
        <w:rPr>
          <w:rFonts w:asciiTheme="majorHAnsi" w:hAnsiTheme="majorHAnsi"/>
          <w:sz w:val="20"/>
          <w:szCs w:val="20"/>
          <w:lang w:val="es-VE"/>
        </w:rPr>
        <w:t xml:space="preserve"> campesinos pertenecientes a las comunidades del Cantón Quero y que forman parte del </w:t>
      </w:r>
      <w:r w:rsidR="00F4799F" w:rsidRPr="002A35D9">
        <w:rPr>
          <w:rFonts w:asciiTheme="majorHAnsi" w:hAnsiTheme="majorHAnsi"/>
          <w:sz w:val="20"/>
          <w:szCs w:val="20"/>
          <w:lang w:val="es-VE"/>
        </w:rPr>
        <w:t>Consorcio de Juntas del Campesinado realizaron una marcha donde manifestaron que se encuentran cansados de abusos cometidos por delincuen</w:t>
      </w:r>
      <w:r w:rsidR="0096649A" w:rsidRPr="002A35D9">
        <w:rPr>
          <w:rFonts w:asciiTheme="majorHAnsi" w:hAnsiTheme="majorHAnsi"/>
          <w:sz w:val="20"/>
          <w:szCs w:val="20"/>
          <w:lang w:val="es-VE"/>
        </w:rPr>
        <w:t>tes, y que uno de ellos es Fred</w:t>
      </w:r>
      <w:r w:rsidR="00F4799F" w:rsidRPr="002A35D9">
        <w:rPr>
          <w:rFonts w:asciiTheme="majorHAnsi" w:hAnsiTheme="majorHAnsi"/>
          <w:sz w:val="20"/>
          <w:szCs w:val="20"/>
          <w:lang w:val="es-VE"/>
        </w:rPr>
        <w:t xml:space="preserve">y Marcelo </w:t>
      </w:r>
      <w:proofErr w:type="spellStart"/>
      <w:r w:rsidR="00F4799F" w:rsidRPr="002A35D9">
        <w:rPr>
          <w:rFonts w:asciiTheme="majorHAnsi" w:hAnsiTheme="majorHAnsi"/>
          <w:sz w:val="20"/>
          <w:szCs w:val="20"/>
          <w:lang w:val="es-VE"/>
        </w:rPr>
        <w:t>Nuñez</w:t>
      </w:r>
      <w:proofErr w:type="spellEnd"/>
      <w:r w:rsidR="00F4799F" w:rsidRPr="002A35D9">
        <w:rPr>
          <w:rFonts w:asciiTheme="majorHAnsi" w:hAnsiTheme="majorHAnsi"/>
          <w:sz w:val="20"/>
          <w:szCs w:val="20"/>
          <w:lang w:val="es-VE"/>
        </w:rPr>
        <w:t xml:space="preserve">, y refirieron que “están dispuestos a colaborar y </w:t>
      </w:r>
      <w:r w:rsidR="00F4799F" w:rsidRPr="002A35D9">
        <w:rPr>
          <w:rFonts w:asciiTheme="majorHAnsi" w:hAnsiTheme="majorHAnsi"/>
          <w:sz w:val="20"/>
          <w:szCs w:val="20"/>
          <w:lang w:val="es-VE"/>
        </w:rPr>
        <w:lastRenderedPageBreak/>
        <w:t>apoyar a los ocho policías quienes se encuentran detenidos en la ciudad de Riobamba, por luchar contra la delincuencia”</w:t>
      </w:r>
      <w:r w:rsidR="00F4799F" w:rsidRPr="00F4799F">
        <w:rPr>
          <w:rStyle w:val="Refdenotaalpie"/>
          <w:rFonts w:asciiTheme="majorHAnsi" w:hAnsiTheme="majorHAnsi"/>
          <w:sz w:val="20"/>
          <w:szCs w:val="20"/>
          <w:lang w:val="es-ES"/>
        </w:rPr>
        <w:footnoteReference w:id="32"/>
      </w:r>
      <w:r w:rsidR="00F4799F" w:rsidRPr="002A35D9">
        <w:rPr>
          <w:rFonts w:asciiTheme="majorHAnsi" w:hAnsiTheme="majorHAnsi"/>
          <w:sz w:val="20"/>
          <w:szCs w:val="20"/>
          <w:lang w:val="es-VE"/>
        </w:rPr>
        <w:t>.</w:t>
      </w:r>
    </w:p>
    <w:p w14:paraId="159A4A94" w14:textId="77777777" w:rsidR="002A35D9" w:rsidRDefault="002A35D9" w:rsidP="002A35D9">
      <w:pPr>
        <w:pStyle w:val="Prrafodelista"/>
        <w:rPr>
          <w:rFonts w:asciiTheme="majorHAnsi" w:hAnsiTheme="majorHAnsi"/>
          <w:color w:val="000000" w:themeColor="text1"/>
          <w:sz w:val="20"/>
          <w:szCs w:val="20"/>
          <w:lang w:val="es-ES"/>
        </w:rPr>
      </w:pPr>
    </w:p>
    <w:p w14:paraId="5B2BCB1C" w14:textId="77777777" w:rsidR="002A35D9" w:rsidRDefault="0041347D"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Style w:val="apple-converted-space"/>
          <w:rFonts w:ascii="Cambria" w:hAnsi="Cambria"/>
          <w:sz w:val="20"/>
          <w:szCs w:val="20"/>
          <w:lang w:val="es-ES"/>
        </w:rPr>
      </w:pPr>
      <w:r w:rsidRPr="002A35D9">
        <w:rPr>
          <w:rFonts w:asciiTheme="majorHAnsi" w:hAnsiTheme="majorHAnsi"/>
          <w:color w:val="000000" w:themeColor="text1"/>
          <w:sz w:val="20"/>
          <w:szCs w:val="20"/>
          <w:lang w:val="es-ES"/>
        </w:rPr>
        <w:t>El</w:t>
      </w:r>
      <w:r w:rsidRPr="002A35D9">
        <w:rPr>
          <w:rFonts w:ascii="Cambria" w:hAnsi="Cambria"/>
          <w:sz w:val="20"/>
          <w:szCs w:val="20"/>
          <w:lang w:val="es-ES"/>
        </w:rPr>
        <w:t xml:space="preserve"> 21 de noviembre de 2001 el padre de la supuesta víctima presentó </w:t>
      </w:r>
      <w:r w:rsidR="00B47BC1" w:rsidRPr="002A35D9">
        <w:rPr>
          <w:rFonts w:ascii="Cambria" w:hAnsi="Cambria"/>
          <w:sz w:val="20"/>
          <w:szCs w:val="20"/>
          <w:lang w:val="es-ES"/>
        </w:rPr>
        <w:t xml:space="preserve">otra </w:t>
      </w:r>
      <w:r w:rsidR="00BE07CA" w:rsidRPr="002A35D9">
        <w:rPr>
          <w:rFonts w:ascii="Cambria" w:hAnsi="Cambria"/>
          <w:sz w:val="20"/>
          <w:szCs w:val="20"/>
          <w:lang w:val="es-ES"/>
        </w:rPr>
        <w:t>denuncia ante el Fiscal D</w:t>
      </w:r>
      <w:r w:rsidRPr="002A35D9">
        <w:rPr>
          <w:rFonts w:ascii="Cambria" w:hAnsi="Cambria"/>
          <w:sz w:val="20"/>
          <w:szCs w:val="20"/>
          <w:lang w:val="es-ES"/>
        </w:rPr>
        <w:t xml:space="preserve">istrital de Tungurahua en la que alegó que su hijo </w:t>
      </w:r>
      <w:r w:rsidR="00706C91" w:rsidRPr="002A35D9">
        <w:rPr>
          <w:rFonts w:ascii="Cambria" w:hAnsi="Cambria"/>
          <w:sz w:val="20"/>
          <w:szCs w:val="20"/>
          <w:lang w:val="es-ES"/>
        </w:rPr>
        <w:t>fue desaparecido</w:t>
      </w:r>
      <w:r w:rsidR="00BE07CA" w:rsidRPr="002A35D9">
        <w:rPr>
          <w:rFonts w:ascii="Cambria" w:hAnsi="Cambria"/>
          <w:sz w:val="20"/>
          <w:szCs w:val="20"/>
          <w:lang w:val="es-ES"/>
        </w:rPr>
        <w:t xml:space="preserve"> por miembro</w:t>
      </w:r>
      <w:r w:rsidR="00794E1A" w:rsidRPr="002A35D9">
        <w:rPr>
          <w:rFonts w:ascii="Cambria" w:hAnsi="Cambria"/>
          <w:sz w:val="20"/>
          <w:szCs w:val="20"/>
          <w:lang w:val="es-ES"/>
        </w:rPr>
        <w:t xml:space="preserve">s de las comunidades de </w:t>
      </w:r>
      <w:proofErr w:type="spellStart"/>
      <w:r w:rsidR="001C7F2A" w:rsidRPr="002A35D9">
        <w:rPr>
          <w:rFonts w:ascii="Cambria" w:hAnsi="Cambria"/>
          <w:sz w:val="20"/>
          <w:szCs w:val="20"/>
          <w:lang w:val="es-ES"/>
        </w:rPr>
        <w:t>Puñachisag</w:t>
      </w:r>
      <w:proofErr w:type="spellEnd"/>
      <w:r w:rsidR="00BE07CA" w:rsidRPr="002A35D9">
        <w:rPr>
          <w:rFonts w:ascii="Cambria" w:hAnsi="Cambria"/>
          <w:sz w:val="20"/>
          <w:szCs w:val="20"/>
          <w:lang w:val="es-ES"/>
        </w:rPr>
        <w:t xml:space="preserve"> entre los que se encuentra Macario </w:t>
      </w:r>
      <w:r w:rsidR="006A706E" w:rsidRPr="002A35D9">
        <w:rPr>
          <w:rFonts w:ascii="Cambria" w:hAnsi="Cambria"/>
          <w:sz w:val="20"/>
          <w:szCs w:val="20"/>
          <w:lang w:val="es-ES"/>
        </w:rPr>
        <w:t>Raúl Bayas Villacré</w:t>
      </w:r>
      <w:r w:rsidR="00BE07CA" w:rsidRPr="002A35D9">
        <w:rPr>
          <w:rFonts w:ascii="Cambria" w:hAnsi="Cambria"/>
          <w:sz w:val="20"/>
          <w:szCs w:val="20"/>
          <w:lang w:val="es-ES"/>
        </w:rPr>
        <w:t xml:space="preserve">s y otras personas y solicitó que se realicen las debidas investigaciones para que </w:t>
      </w:r>
      <w:r w:rsidR="00602231" w:rsidRPr="002A35D9">
        <w:rPr>
          <w:rFonts w:ascii="Cambria" w:hAnsi="Cambria"/>
          <w:bCs/>
          <w:sz w:val="20"/>
          <w:szCs w:val="20"/>
          <w:lang w:val="es-ES"/>
        </w:rPr>
        <w:t>se pueda dar con los autores</w:t>
      </w:r>
      <w:r w:rsidR="001A6E20" w:rsidRPr="002A35D9">
        <w:rPr>
          <w:rFonts w:ascii="Cambria" w:hAnsi="Cambria"/>
          <w:bCs/>
          <w:sz w:val="20"/>
          <w:szCs w:val="20"/>
          <w:lang w:val="es-ES"/>
        </w:rPr>
        <w:t>,</w:t>
      </w:r>
      <w:r w:rsidR="00602231" w:rsidRPr="002A35D9">
        <w:rPr>
          <w:rFonts w:ascii="Cambria" w:hAnsi="Cambria"/>
          <w:bCs/>
          <w:sz w:val="20"/>
          <w:szCs w:val="20"/>
          <w:lang w:val="es-ES"/>
        </w:rPr>
        <w:t xml:space="preserve"> cómplices y encubridores del hecho</w:t>
      </w:r>
      <w:r w:rsidR="00602231" w:rsidRPr="000A209E">
        <w:rPr>
          <w:rStyle w:val="Refdenotaalpie"/>
          <w:rFonts w:ascii="Cambria" w:hAnsi="Cambria"/>
          <w:bCs/>
          <w:sz w:val="20"/>
          <w:szCs w:val="20"/>
          <w:lang w:val="es-ES"/>
        </w:rPr>
        <w:footnoteReference w:id="33"/>
      </w:r>
      <w:r w:rsidR="002B173F" w:rsidRPr="002A35D9">
        <w:rPr>
          <w:rFonts w:ascii="Cambria" w:hAnsi="Cambria"/>
          <w:bCs/>
          <w:sz w:val="20"/>
          <w:szCs w:val="20"/>
          <w:lang w:val="es-ES"/>
        </w:rPr>
        <w:t>.</w:t>
      </w:r>
      <w:r w:rsidR="008B1DB1" w:rsidRPr="002A35D9">
        <w:rPr>
          <w:rFonts w:ascii="Cambria" w:hAnsi="Cambria"/>
          <w:bCs/>
          <w:sz w:val="20"/>
          <w:szCs w:val="20"/>
          <w:lang w:val="es-ES"/>
        </w:rPr>
        <w:t xml:space="preserve"> </w:t>
      </w:r>
      <w:r w:rsidR="00401AD5" w:rsidRPr="002A35D9">
        <w:rPr>
          <w:rStyle w:val="apple-converted-space"/>
          <w:rFonts w:ascii="Cambria" w:hAnsi="Cambria"/>
          <w:bCs/>
          <w:sz w:val="20"/>
          <w:szCs w:val="20"/>
          <w:lang w:val="es-ES"/>
        </w:rPr>
        <w:t>Indicó que según el informe policial la desaparición de la presunta víctima se dio en respuesta a las lesiones físicas que le ocasionó a Octavio Morales</w:t>
      </w:r>
      <w:r w:rsidR="00200FE7" w:rsidRPr="000A209E">
        <w:rPr>
          <w:rStyle w:val="Refdenotaalpie"/>
          <w:rFonts w:ascii="Cambria" w:hAnsi="Cambria"/>
          <w:bCs/>
          <w:sz w:val="20"/>
          <w:szCs w:val="20"/>
          <w:lang w:val="es-ES"/>
        </w:rPr>
        <w:footnoteReference w:id="34"/>
      </w:r>
      <w:r w:rsidR="00B102BC" w:rsidRPr="002A35D9">
        <w:rPr>
          <w:rStyle w:val="apple-converted-space"/>
          <w:rFonts w:ascii="Cambria" w:hAnsi="Cambria"/>
          <w:bCs/>
          <w:sz w:val="20"/>
          <w:szCs w:val="20"/>
          <w:lang w:val="es-ES"/>
        </w:rPr>
        <w:t xml:space="preserve">. </w:t>
      </w:r>
    </w:p>
    <w:p w14:paraId="3A1BC59E" w14:textId="77777777" w:rsidR="002A35D9" w:rsidRDefault="002A35D9" w:rsidP="002A35D9">
      <w:pPr>
        <w:pStyle w:val="Prrafodelista"/>
        <w:rPr>
          <w:rStyle w:val="apple-converted-space"/>
          <w:rFonts w:asciiTheme="majorHAnsi" w:hAnsiTheme="majorHAnsi"/>
          <w:sz w:val="20"/>
          <w:szCs w:val="20"/>
          <w:lang w:val="es-VE"/>
        </w:rPr>
      </w:pPr>
    </w:p>
    <w:p w14:paraId="56790D12" w14:textId="77777777" w:rsidR="002A35D9" w:rsidRDefault="00401AD5"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Style w:val="apple-converted-space"/>
          <w:rFonts w:asciiTheme="majorHAnsi" w:hAnsiTheme="majorHAnsi"/>
          <w:sz w:val="20"/>
          <w:szCs w:val="20"/>
          <w:lang w:val="es-VE"/>
        </w:rPr>
        <w:t xml:space="preserve">El 26 de abril de 2002 se realizó un reconocimiento </w:t>
      </w:r>
      <w:r w:rsidR="00F92791" w:rsidRPr="002A35D9">
        <w:rPr>
          <w:rStyle w:val="apple-converted-space"/>
          <w:rFonts w:asciiTheme="majorHAnsi" w:hAnsiTheme="majorHAnsi"/>
          <w:sz w:val="20"/>
          <w:szCs w:val="20"/>
          <w:lang w:val="es-VE"/>
        </w:rPr>
        <w:t xml:space="preserve">en las instalaciones donde funcionaba la Policía Nacional de Cantón </w:t>
      </w:r>
      <w:r w:rsidR="007B7B36" w:rsidRPr="002A35D9">
        <w:rPr>
          <w:rStyle w:val="apple-converted-space"/>
          <w:rFonts w:asciiTheme="majorHAnsi" w:hAnsiTheme="majorHAnsi"/>
          <w:sz w:val="20"/>
          <w:szCs w:val="20"/>
          <w:lang w:val="es-VE"/>
        </w:rPr>
        <w:t xml:space="preserve">Quero, y del calabozo </w:t>
      </w:r>
      <w:r w:rsidR="00593971" w:rsidRPr="002A35D9">
        <w:rPr>
          <w:rStyle w:val="apple-converted-space"/>
          <w:rFonts w:asciiTheme="majorHAnsi" w:hAnsiTheme="majorHAnsi"/>
          <w:sz w:val="20"/>
          <w:szCs w:val="20"/>
          <w:lang w:val="es-VE"/>
        </w:rPr>
        <w:t>donde se encontraba detenida la presunta víctima, sin embargo</w:t>
      </w:r>
      <w:r w:rsidR="00834062" w:rsidRPr="002A35D9">
        <w:rPr>
          <w:rStyle w:val="apple-converted-space"/>
          <w:rFonts w:asciiTheme="majorHAnsi" w:hAnsiTheme="majorHAnsi"/>
          <w:sz w:val="20"/>
          <w:szCs w:val="20"/>
          <w:lang w:val="es-VE"/>
        </w:rPr>
        <w:t>,</w:t>
      </w:r>
      <w:r w:rsidR="00593971" w:rsidRPr="002A35D9">
        <w:rPr>
          <w:rStyle w:val="apple-converted-space"/>
          <w:rFonts w:asciiTheme="majorHAnsi" w:hAnsiTheme="majorHAnsi"/>
          <w:sz w:val="20"/>
          <w:szCs w:val="20"/>
          <w:lang w:val="es-VE"/>
        </w:rPr>
        <w:t xml:space="preserve"> no se encontraron daños materiales</w:t>
      </w:r>
      <w:r w:rsidR="00706C91" w:rsidRPr="000A209E">
        <w:rPr>
          <w:rStyle w:val="Refdenotaalpie"/>
          <w:rFonts w:ascii="Cambria" w:hAnsi="Cambria"/>
          <w:sz w:val="20"/>
          <w:szCs w:val="20"/>
          <w:lang w:val="es-ES"/>
        </w:rPr>
        <w:footnoteReference w:id="35"/>
      </w:r>
      <w:r w:rsidR="00157F7B" w:rsidRPr="002A35D9">
        <w:rPr>
          <w:rFonts w:ascii="Cambria" w:hAnsi="Cambria"/>
          <w:sz w:val="20"/>
          <w:szCs w:val="20"/>
          <w:lang w:val="es-ES"/>
        </w:rPr>
        <w:t>.</w:t>
      </w:r>
      <w:r w:rsidR="00A51CA3" w:rsidRPr="002A35D9">
        <w:rPr>
          <w:rFonts w:ascii="Cambria" w:hAnsi="Cambria"/>
          <w:sz w:val="20"/>
          <w:szCs w:val="20"/>
          <w:lang w:val="es-ES"/>
        </w:rPr>
        <w:t xml:space="preserve"> Cabe mencionar que d</w:t>
      </w:r>
      <w:r w:rsidR="002E674D" w:rsidRPr="002A35D9">
        <w:rPr>
          <w:rFonts w:ascii="Cambria" w:hAnsi="Cambria"/>
          <w:sz w:val="20"/>
          <w:szCs w:val="20"/>
          <w:lang w:val="es-ES"/>
        </w:rPr>
        <w:t>icho reconocimiento se realizó nueve meses después de ocurridos los hechos</w:t>
      </w:r>
      <w:r w:rsidR="00F42162" w:rsidRPr="000A209E">
        <w:rPr>
          <w:rStyle w:val="Refdenotaalpie"/>
          <w:rFonts w:ascii="Cambria" w:hAnsi="Cambria"/>
          <w:sz w:val="20"/>
          <w:szCs w:val="20"/>
          <w:lang w:val="es-ES"/>
        </w:rPr>
        <w:footnoteReference w:id="36"/>
      </w:r>
      <w:r w:rsidR="00F37728" w:rsidRPr="002A35D9">
        <w:rPr>
          <w:rFonts w:ascii="Cambria" w:hAnsi="Cambria"/>
          <w:sz w:val="20"/>
          <w:szCs w:val="20"/>
          <w:lang w:val="es-ES"/>
        </w:rPr>
        <w:t xml:space="preserve">. </w:t>
      </w:r>
    </w:p>
    <w:p w14:paraId="7CF76119" w14:textId="77777777" w:rsidR="002A35D9" w:rsidRDefault="002A35D9" w:rsidP="002A35D9">
      <w:pPr>
        <w:pStyle w:val="Prrafodelista"/>
        <w:rPr>
          <w:rFonts w:asciiTheme="majorHAnsi" w:hAnsiTheme="majorHAnsi"/>
          <w:sz w:val="20"/>
          <w:szCs w:val="20"/>
          <w:lang w:val="es-VE"/>
        </w:rPr>
      </w:pPr>
    </w:p>
    <w:p w14:paraId="3954FC0F" w14:textId="77777777" w:rsidR="002A35D9" w:rsidRDefault="00BA61B6"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Style w:val="apple-converted-space"/>
          <w:rFonts w:ascii="Cambria" w:hAnsi="Cambria"/>
          <w:sz w:val="20"/>
          <w:szCs w:val="20"/>
          <w:lang w:val="es-ES"/>
        </w:rPr>
      </w:pPr>
      <w:r w:rsidRPr="002A35D9">
        <w:rPr>
          <w:rFonts w:asciiTheme="majorHAnsi" w:hAnsiTheme="majorHAnsi"/>
          <w:sz w:val="20"/>
          <w:szCs w:val="20"/>
          <w:lang w:val="es-VE"/>
        </w:rPr>
        <w:t xml:space="preserve">El </w:t>
      </w:r>
      <w:r w:rsidR="002C3C33" w:rsidRPr="002A35D9">
        <w:rPr>
          <w:rFonts w:asciiTheme="majorHAnsi" w:hAnsiTheme="majorHAnsi"/>
          <w:sz w:val="20"/>
          <w:szCs w:val="20"/>
          <w:lang w:val="es-VE"/>
        </w:rPr>
        <w:t xml:space="preserve">8 de mayo de 2002 el Agente Fiscal del Distrito de Tungurahua formuló acusación por el tipo penal de plagio en contra de </w:t>
      </w:r>
      <w:r w:rsidR="002C3C33" w:rsidRPr="002A35D9">
        <w:rPr>
          <w:rFonts w:ascii="Cambria" w:hAnsi="Cambria"/>
          <w:sz w:val="20"/>
          <w:szCs w:val="20"/>
          <w:lang w:val="es-ES"/>
        </w:rPr>
        <w:t xml:space="preserve">Luis </w:t>
      </w:r>
      <w:proofErr w:type="spellStart"/>
      <w:r w:rsidR="002C3C33" w:rsidRPr="002A35D9">
        <w:rPr>
          <w:rFonts w:ascii="Cambria" w:hAnsi="Cambria"/>
          <w:sz w:val="20"/>
          <w:szCs w:val="20"/>
          <w:lang w:val="es-ES"/>
        </w:rPr>
        <w:t>Adan</w:t>
      </w:r>
      <w:proofErr w:type="spellEnd"/>
      <w:r w:rsidR="002C3C33" w:rsidRPr="002A35D9">
        <w:rPr>
          <w:rFonts w:ascii="Cambria" w:hAnsi="Cambria"/>
          <w:sz w:val="20"/>
          <w:szCs w:val="20"/>
          <w:lang w:val="es-ES"/>
        </w:rPr>
        <w:t xml:space="preserve"> Segundo </w:t>
      </w:r>
      <w:proofErr w:type="spellStart"/>
      <w:r w:rsidR="002C3C33" w:rsidRPr="002A35D9">
        <w:rPr>
          <w:rFonts w:ascii="Cambria" w:hAnsi="Cambria"/>
          <w:sz w:val="20"/>
          <w:szCs w:val="20"/>
          <w:lang w:val="es-ES"/>
        </w:rPr>
        <w:t>Bemos</w:t>
      </w:r>
      <w:proofErr w:type="spellEnd"/>
      <w:r w:rsidR="002C3C33" w:rsidRPr="002A35D9">
        <w:rPr>
          <w:rFonts w:ascii="Cambria" w:hAnsi="Cambria"/>
          <w:sz w:val="20"/>
          <w:szCs w:val="20"/>
          <w:lang w:val="es-ES"/>
        </w:rPr>
        <w:t xml:space="preserve"> Casa,</w:t>
      </w:r>
      <w:r w:rsidR="002C3C33" w:rsidRPr="002A35D9">
        <w:rPr>
          <w:rStyle w:val="apple-converted-space"/>
          <w:rFonts w:ascii="Cambria" w:hAnsi="Cambria"/>
          <w:sz w:val="20"/>
          <w:szCs w:val="20"/>
          <w:lang w:val="es-ES"/>
        </w:rPr>
        <w:t xml:space="preserve"> </w:t>
      </w:r>
      <w:r w:rsidR="002C3C33" w:rsidRPr="002A35D9">
        <w:rPr>
          <w:rFonts w:ascii="Cambria" w:hAnsi="Cambria"/>
          <w:sz w:val="20"/>
          <w:szCs w:val="20"/>
          <w:lang w:val="es-ES"/>
        </w:rPr>
        <w:t>Macario Raúl Bayas Villacrés,</w:t>
      </w:r>
      <w:r w:rsidR="002C3C33" w:rsidRPr="002A35D9">
        <w:rPr>
          <w:rStyle w:val="apple-converted-space"/>
          <w:rFonts w:ascii="Cambria" w:hAnsi="Cambria"/>
          <w:sz w:val="20"/>
          <w:szCs w:val="20"/>
          <w:lang w:val="es-ES"/>
        </w:rPr>
        <w:t xml:space="preserve"> </w:t>
      </w:r>
      <w:r w:rsidR="002C3C33" w:rsidRPr="002A35D9">
        <w:rPr>
          <w:rFonts w:ascii="Cambria" w:hAnsi="Cambria"/>
          <w:sz w:val="20"/>
          <w:szCs w:val="20"/>
          <w:lang w:val="es-ES"/>
        </w:rPr>
        <w:t xml:space="preserve">Luis </w:t>
      </w:r>
      <w:r w:rsidR="008C7A48" w:rsidRPr="002A35D9">
        <w:rPr>
          <w:rFonts w:ascii="Cambria" w:hAnsi="Cambria"/>
          <w:sz w:val="20"/>
          <w:szCs w:val="20"/>
          <w:lang w:val="es-ES"/>
        </w:rPr>
        <w:t>Bolívar</w:t>
      </w:r>
      <w:r w:rsidR="002C3C33" w:rsidRPr="002A35D9">
        <w:rPr>
          <w:rFonts w:ascii="Cambria" w:hAnsi="Cambria"/>
          <w:sz w:val="20"/>
          <w:szCs w:val="20"/>
          <w:lang w:val="es-ES"/>
        </w:rPr>
        <w:t xml:space="preserve"> </w:t>
      </w:r>
      <w:proofErr w:type="spellStart"/>
      <w:r w:rsidR="002C3C33" w:rsidRPr="002A35D9">
        <w:rPr>
          <w:rFonts w:ascii="Cambria" w:hAnsi="Cambria"/>
          <w:sz w:val="20"/>
          <w:szCs w:val="20"/>
          <w:lang w:val="es-ES"/>
        </w:rPr>
        <w:t>Tipan</w:t>
      </w:r>
      <w:proofErr w:type="spellEnd"/>
      <w:r w:rsidR="002C3C33" w:rsidRPr="002A35D9">
        <w:rPr>
          <w:rFonts w:ascii="Cambria" w:hAnsi="Cambria"/>
          <w:sz w:val="20"/>
          <w:szCs w:val="20"/>
          <w:lang w:val="es-ES"/>
        </w:rPr>
        <w:t xml:space="preserve"> Salan,</w:t>
      </w:r>
      <w:r w:rsidR="002C3C33" w:rsidRPr="002A35D9">
        <w:rPr>
          <w:rStyle w:val="apple-converted-space"/>
          <w:rFonts w:ascii="Cambria" w:hAnsi="Cambria"/>
          <w:sz w:val="20"/>
          <w:szCs w:val="20"/>
          <w:lang w:val="es-ES"/>
        </w:rPr>
        <w:t> </w:t>
      </w:r>
      <w:r w:rsidR="002C3C33" w:rsidRPr="002A35D9">
        <w:rPr>
          <w:rFonts w:ascii="Cambria" w:hAnsi="Cambria"/>
          <w:sz w:val="20"/>
          <w:szCs w:val="20"/>
          <w:lang w:val="es-ES"/>
        </w:rPr>
        <w:t xml:space="preserve">Holger Adán </w:t>
      </w:r>
      <w:proofErr w:type="spellStart"/>
      <w:r w:rsidR="002C3C33" w:rsidRPr="002A35D9">
        <w:rPr>
          <w:rFonts w:ascii="Cambria" w:hAnsi="Cambria"/>
          <w:sz w:val="20"/>
          <w:szCs w:val="20"/>
          <w:lang w:val="es-ES"/>
        </w:rPr>
        <w:t>Bemos</w:t>
      </w:r>
      <w:proofErr w:type="spellEnd"/>
      <w:r w:rsidR="002C3C33" w:rsidRPr="002A35D9">
        <w:rPr>
          <w:rFonts w:ascii="Cambria" w:hAnsi="Cambria"/>
          <w:sz w:val="20"/>
          <w:szCs w:val="20"/>
          <w:lang w:val="es-ES"/>
        </w:rPr>
        <w:t xml:space="preserve"> Sánchez,</w:t>
      </w:r>
      <w:r w:rsidR="002C3C33" w:rsidRPr="002A35D9">
        <w:rPr>
          <w:rStyle w:val="apple-converted-space"/>
          <w:rFonts w:ascii="Cambria" w:hAnsi="Cambria"/>
          <w:sz w:val="20"/>
          <w:szCs w:val="20"/>
          <w:lang w:val="es-ES"/>
        </w:rPr>
        <w:t> </w:t>
      </w:r>
      <w:r w:rsidR="002C3C33" w:rsidRPr="002A35D9">
        <w:rPr>
          <w:rFonts w:ascii="Cambria" w:hAnsi="Cambria"/>
          <w:sz w:val="20"/>
          <w:szCs w:val="20"/>
          <w:lang w:val="es-ES"/>
        </w:rPr>
        <w:t xml:space="preserve">Fausto Aníbal Jerez </w:t>
      </w:r>
      <w:proofErr w:type="spellStart"/>
      <w:r w:rsidR="002C3C33" w:rsidRPr="002A35D9">
        <w:rPr>
          <w:rFonts w:ascii="Cambria" w:hAnsi="Cambria"/>
          <w:sz w:val="20"/>
          <w:szCs w:val="20"/>
          <w:lang w:val="es-ES"/>
        </w:rPr>
        <w:t>Llamuca</w:t>
      </w:r>
      <w:proofErr w:type="spellEnd"/>
      <w:r w:rsidR="002C3C33" w:rsidRPr="002A35D9">
        <w:rPr>
          <w:rFonts w:ascii="Cambria" w:hAnsi="Cambria"/>
          <w:sz w:val="20"/>
          <w:szCs w:val="20"/>
          <w:lang w:val="es-ES"/>
        </w:rPr>
        <w:t>,</w:t>
      </w:r>
      <w:r w:rsidR="002C3C33" w:rsidRPr="002A35D9">
        <w:rPr>
          <w:rStyle w:val="apple-converted-space"/>
          <w:rFonts w:ascii="Cambria" w:hAnsi="Cambria"/>
          <w:sz w:val="20"/>
          <w:szCs w:val="20"/>
          <w:lang w:val="es-ES"/>
        </w:rPr>
        <w:t> </w:t>
      </w:r>
      <w:r w:rsidR="002C3C33" w:rsidRPr="002A35D9">
        <w:rPr>
          <w:rFonts w:ascii="Cambria" w:hAnsi="Cambria"/>
          <w:sz w:val="20"/>
          <w:szCs w:val="20"/>
          <w:lang w:val="es-ES"/>
        </w:rPr>
        <w:t xml:space="preserve">Edwin Absalón Cevallos </w:t>
      </w:r>
      <w:proofErr w:type="spellStart"/>
      <w:r w:rsidR="002C3C33" w:rsidRPr="002A35D9">
        <w:rPr>
          <w:rFonts w:ascii="Cambria" w:hAnsi="Cambria"/>
          <w:sz w:val="20"/>
          <w:szCs w:val="20"/>
          <w:lang w:val="es-ES"/>
        </w:rPr>
        <w:t>Villacres</w:t>
      </w:r>
      <w:proofErr w:type="spellEnd"/>
      <w:r w:rsidR="002C3C33" w:rsidRPr="002A35D9">
        <w:rPr>
          <w:rFonts w:ascii="Cambria" w:hAnsi="Cambria"/>
          <w:sz w:val="20"/>
          <w:szCs w:val="20"/>
          <w:lang w:val="es-ES"/>
        </w:rPr>
        <w:t xml:space="preserve"> y</w:t>
      </w:r>
      <w:r w:rsidR="002C3C33" w:rsidRPr="002A35D9">
        <w:rPr>
          <w:rStyle w:val="apple-converted-space"/>
          <w:rFonts w:ascii="Cambria" w:hAnsi="Cambria"/>
          <w:sz w:val="20"/>
          <w:szCs w:val="20"/>
          <w:lang w:val="es-ES"/>
        </w:rPr>
        <w:t> </w:t>
      </w:r>
      <w:r w:rsidR="002C3C33" w:rsidRPr="002A35D9">
        <w:rPr>
          <w:rFonts w:ascii="Cambria" w:hAnsi="Cambria"/>
          <w:sz w:val="20"/>
          <w:szCs w:val="20"/>
          <w:lang w:val="es-ES"/>
        </w:rPr>
        <w:t xml:space="preserve">María </w:t>
      </w:r>
      <w:proofErr w:type="spellStart"/>
      <w:r w:rsidR="002C3C33" w:rsidRPr="002A35D9">
        <w:rPr>
          <w:rFonts w:ascii="Cambria" w:hAnsi="Cambria"/>
          <w:sz w:val="20"/>
          <w:szCs w:val="20"/>
          <w:lang w:val="es-ES"/>
        </w:rPr>
        <w:t>Umbelina</w:t>
      </w:r>
      <w:proofErr w:type="spellEnd"/>
      <w:r w:rsidR="002C3C33" w:rsidRPr="002A35D9">
        <w:rPr>
          <w:rFonts w:ascii="Cambria" w:hAnsi="Cambria"/>
          <w:sz w:val="20"/>
          <w:szCs w:val="20"/>
          <w:lang w:val="es-ES"/>
        </w:rPr>
        <w:t xml:space="preserve"> Barreno Sánchez,</w:t>
      </w:r>
      <w:r w:rsidR="008C7A48" w:rsidRPr="002A35D9">
        <w:rPr>
          <w:rFonts w:ascii="Cambria" w:hAnsi="Cambria"/>
          <w:sz w:val="20"/>
          <w:szCs w:val="20"/>
          <w:lang w:val="es-ES"/>
        </w:rPr>
        <w:t xml:space="preserve"> </w:t>
      </w:r>
      <w:r w:rsidR="00716AC0" w:rsidRPr="002A35D9">
        <w:rPr>
          <w:rFonts w:ascii="Cambria" w:hAnsi="Cambria"/>
          <w:sz w:val="20"/>
          <w:szCs w:val="20"/>
          <w:lang w:val="es-ES"/>
        </w:rPr>
        <w:t xml:space="preserve">y </w:t>
      </w:r>
      <w:r w:rsidR="002C3C33" w:rsidRPr="002A35D9">
        <w:rPr>
          <w:rFonts w:ascii="Cambria" w:hAnsi="Cambria"/>
          <w:sz w:val="20"/>
          <w:szCs w:val="20"/>
          <w:lang w:val="es-ES"/>
        </w:rPr>
        <w:t>remiti</w:t>
      </w:r>
      <w:r w:rsidR="00716AC0" w:rsidRPr="002A35D9">
        <w:rPr>
          <w:rFonts w:ascii="Cambria" w:hAnsi="Cambria"/>
          <w:sz w:val="20"/>
          <w:szCs w:val="20"/>
          <w:lang w:val="es-ES"/>
        </w:rPr>
        <w:t>ó</w:t>
      </w:r>
      <w:r w:rsidR="002C3C33" w:rsidRPr="002A35D9">
        <w:rPr>
          <w:rFonts w:ascii="Cambria" w:hAnsi="Cambria"/>
          <w:sz w:val="20"/>
          <w:szCs w:val="20"/>
          <w:lang w:val="es-ES"/>
        </w:rPr>
        <w:t xml:space="preserve"> el proceso al Juzgado cuarto de lo penal de Tungurahua</w:t>
      </w:r>
      <w:r w:rsidR="007A5AFB" w:rsidRPr="002A35D9">
        <w:rPr>
          <w:rFonts w:ascii="Cambria" w:hAnsi="Cambria"/>
          <w:sz w:val="20"/>
          <w:szCs w:val="20"/>
          <w:lang w:val="es-ES"/>
        </w:rPr>
        <w:t xml:space="preserve"> en la misma fecha</w:t>
      </w:r>
      <w:r w:rsidR="002C3C33" w:rsidRPr="000A209E">
        <w:rPr>
          <w:rStyle w:val="Refdenotaalpie"/>
          <w:rFonts w:ascii="Cambria" w:hAnsi="Cambria"/>
          <w:sz w:val="20"/>
          <w:szCs w:val="20"/>
          <w:lang w:val="es-ES"/>
        </w:rPr>
        <w:footnoteReference w:id="37"/>
      </w:r>
      <w:r w:rsidR="002C3C33" w:rsidRPr="002A35D9">
        <w:rPr>
          <w:rFonts w:ascii="Cambria" w:hAnsi="Cambria"/>
          <w:sz w:val="20"/>
          <w:szCs w:val="20"/>
          <w:lang w:val="es-ES"/>
        </w:rPr>
        <w:t>.</w:t>
      </w:r>
    </w:p>
    <w:p w14:paraId="0C56AE95" w14:textId="77777777" w:rsidR="002A35D9" w:rsidRDefault="002A35D9" w:rsidP="002A35D9">
      <w:pPr>
        <w:pStyle w:val="Prrafodelista"/>
        <w:rPr>
          <w:sz w:val="20"/>
          <w:szCs w:val="20"/>
          <w:lang w:val="es-ES"/>
        </w:rPr>
      </w:pPr>
    </w:p>
    <w:p w14:paraId="74744984" w14:textId="77777777" w:rsidR="002A35D9" w:rsidRDefault="002F7D05"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E</w:t>
      </w:r>
      <w:r w:rsidR="006A3951" w:rsidRPr="002A35D9">
        <w:rPr>
          <w:rFonts w:ascii="Cambria" w:hAnsi="Cambria"/>
          <w:sz w:val="20"/>
          <w:szCs w:val="20"/>
          <w:lang w:val="es-ES"/>
        </w:rPr>
        <w:t>l 1</w:t>
      </w:r>
      <w:r w:rsidR="000C49DD" w:rsidRPr="002A35D9">
        <w:rPr>
          <w:rFonts w:ascii="Cambria" w:hAnsi="Cambria"/>
          <w:sz w:val="20"/>
          <w:szCs w:val="20"/>
          <w:lang w:val="es-ES"/>
        </w:rPr>
        <w:t>0</w:t>
      </w:r>
      <w:r w:rsidR="001A6E20" w:rsidRPr="002A35D9">
        <w:rPr>
          <w:rFonts w:ascii="Cambria" w:hAnsi="Cambria"/>
          <w:sz w:val="20"/>
          <w:szCs w:val="20"/>
          <w:lang w:val="es-ES"/>
        </w:rPr>
        <w:t xml:space="preserve"> de mayo </w:t>
      </w:r>
      <w:r w:rsidR="00CB515C" w:rsidRPr="002A35D9">
        <w:rPr>
          <w:rFonts w:ascii="Cambria" w:hAnsi="Cambria"/>
          <w:sz w:val="20"/>
          <w:szCs w:val="20"/>
          <w:lang w:val="es-ES"/>
        </w:rPr>
        <w:t xml:space="preserve">2002 </w:t>
      </w:r>
      <w:r w:rsidR="001A6E20" w:rsidRPr="002A35D9">
        <w:rPr>
          <w:rFonts w:ascii="Cambria" w:hAnsi="Cambria"/>
          <w:sz w:val="20"/>
          <w:szCs w:val="20"/>
          <w:lang w:val="es-ES"/>
        </w:rPr>
        <w:t xml:space="preserve">el </w:t>
      </w:r>
      <w:r w:rsidR="003A5367" w:rsidRPr="002A35D9">
        <w:rPr>
          <w:rFonts w:ascii="Cambria" w:hAnsi="Cambria"/>
          <w:sz w:val="20"/>
          <w:szCs w:val="20"/>
          <w:lang w:val="es-ES"/>
        </w:rPr>
        <w:t>J</w:t>
      </w:r>
      <w:r w:rsidR="00CB515C" w:rsidRPr="002A35D9">
        <w:rPr>
          <w:rFonts w:ascii="Cambria" w:hAnsi="Cambria"/>
          <w:sz w:val="20"/>
          <w:szCs w:val="20"/>
          <w:lang w:val="es-ES"/>
        </w:rPr>
        <w:t>uzgado Cuarto de lo P</w:t>
      </w:r>
      <w:r w:rsidR="001A6E20" w:rsidRPr="002A35D9">
        <w:rPr>
          <w:rFonts w:ascii="Cambria" w:hAnsi="Cambria"/>
          <w:sz w:val="20"/>
          <w:szCs w:val="20"/>
          <w:lang w:val="es-ES"/>
        </w:rPr>
        <w:t>enal</w:t>
      </w:r>
      <w:r w:rsidR="00CB515C" w:rsidRPr="002A35D9">
        <w:rPr>
          <w:rFonts w:ascii="Cambria" w:hAnsi="Cambria"/>
          <w:sz w:val="20"/>
          <w:szCs w:val="20"/>
          <w:lang w:val="es-ES"/>
        </w:rPr>
        <w:t xml:space="preserve"> de Tungurahua </w:t>
      </w:r>
      <w:r w:rsidR="003A5367" w:rsidRPr="002A35D9">
        <w:rPr>
          <w:rFonts w:ascii="Cambria" w:hAnsi="Cambria"/>
          <w:sz w:val="20"/>
          <w:szCs w:val="20"/>
          <w:lang w:val="es-ES"/>
        </w:rPr>
        <w:t>ordenó</w:t>
      </w:r>
      <w:r w:rsidR="00602231" w:rsidRPr="002A35D9">
        <w:rPr>
          <w:rFonts w:ascii="Cambria" w:hAnsi="Cambria"/>
          <w:sz w:val="20"/>
          <w:szCs w:val="20"/>
          <w:lang w:val="es-ES"/>
        </w:rPr>
        <w:t xml:space="preserve"> la prisión prev</w:t>
      </w:r>
      <w:r w:rsidR="00E23321" w:rsidRPr="002A35D9">
        <w:rPr>
          <w:rFonts w:ascii="Cambria" w:hAnsi="Cambria"/>
          <w:sz w:val="20"/>
          <w:szCs w:val="20"/>
          <w:lang w:val="es-ES"/>
        </w:rPr>
        <w:t>entiva de los siete imputados, c</w:t>
      </w:r>
      <w:r w:rsidR="00602231" w:rsidRPr="002A35D9">
        <w:rPr>
          <w:rFonts w:ascii="Cambria" w:hAnsi="Cambria"/>
          <w:sz w:val="20"/>
          <w:szCs w:val="20"/>
          <w:lang w:val="es-ES"/>
        </w:rPr>
        <w:t>omo autores de</w:t>
      </w:r>
      <w:r w:rsidR="005B1C3B" w:rsidRPr="002A35D9">
        <w:rPr>
          <w:rFonts w:ascii="Cambria" w:hAnsi="Cambria"/>
          <w:sz w:val="20"/>
          <w:szCs w:val="20"/>
          <w:lang w:val="es-ES"/>
        </w:rPr>
        <w:t>l del</w:t>
      </w:r>
      <w:r w:rsidR="00716AC0" w:rsidRPr="002A35D9">
        <w:rPr>
          <w:rFonts w:ascii="Cambria" w:hAnsi="Cambria"/>
          <w:sz w:val="20"/>
          <w:szCs w:val="20"/>
          <w:lang w:val="es-ES"/>
        </w:rPr>
        <w:t>ito de plagio y además los acusó</w:t>
      </w:r>
      <w:r w:rsidR="005B1C3B" w:rsidRPr="002A35D9">
        <w:rPr>
          <w:rFonts w:ascii="Cambria" w:hAnsi="Cambria"/>
          <w:sz w:val="20"/>
          <w:szCs w:val="20"/>
          <w:lang w:val="es-ES"/>
        </w:rPr>
        <w:t xml:space="preserve"> por el delito</w:t>
      </w:r>
      <w:r w:rsidR="00602231" w:rsidRPr="002A35D9">
        <w:rPr>
          <w:rFonts w:ascii="Cambria" w:hAnsi="Cambria"/>
          <w:sz w:val="20"/>
          <w:szCs w:val="20"/>
          <w:lang w:val="es-ES"/>
        </w:rPr>
        <w:t xml:space="preserve"> de conspiración para discordia civil</w:t>
      </w:r>
      <w:r w:rsidR="00602231" w:rsidRPr="000A209E">
        <w:rPr>
          <w:rStyle w:val="Refdenotaalpie"/>
          <w:rFonts w:ascii="Cambria" w:hAnsi="Cambria"/>
          <w:sz w:val="20"/>
          <w:szCs w:val="20"/>
          <w:lang w:val="es-ES"/>
        </w:rPr>
        <w:footnoteReference w:id="38"/>
      </w:r>
      <w:r w:rsidR="007B36D7" w:rsidRPr="002A35D9">
        <w:rPr>
          <w:rFonts w:ascii="Cambria" w:hAnsi="Cambria"/>
          <w:sz w:val="20"/>
          <w:szCs w:val="20"/>
          <w:lang w:val="es-ES"/>
        </w:rPr>
        <w:t>.</w:t>
      </w:r>
      <w:r w:rsidR="00D06796" w:rsidRPr="002A35D9">
        <w:rPr>
          <w:rFonts w:ascii="Cambria" w:hAnsi="Cambria"/>
          <w:sz w:val="20"/>
          <w:szCs w:val="20"/>
          <w:lang w:val="es-ES"/>
        </w:rPr>
        <w:t xml:space="preserve"> </w:t>
      </w:r>
    </w:p>
    <w:p w14:paraId="2C35406B" w14:textId="77777777" w:rsidR="002A35D9" w:rsidRDefault="002A35D9" w:rsidP="002A35D9">
      <w:pPr>
        <w:pStyle w:val="Prrafodelista"/>
        <w:rPr>
          <w:sz w:val="20"/>
          <w:szCs w:val="20"/>
          <w:lang w:val="es-ES"/>
        </w:rPr>
      </w:pPr>
    </w:p>
    <w:p w14:paraId="11F51F44" w14:textId="77777777" w:rsidR="002A35D9" w:rsidRDefault="00CE747A"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El 30 de junio de 2002 la Central de Juntas del Campesinado del </w:t>
      </w:r>
      <w:r w:rsidR="00E3057C" w:rsidRPr="002A35D9">
        <w:rPr>
          <w:rFonts w:ascii="Cambria" w:hAnsi="Cambria"/>
          <w:sz w:val="20"/>
          <w:szCs w:val="20"/>
          <w:lang w:val="es-ES"/>
        </w:rPr>
        <w:t>Cantón</w:t>
      </w:r>
      <w:r w:rsidRPr="002A35D9">
        <w:rPr>
          <w:rFonts w:ascii="Cambria" w:hAnsi="Cambria"/>
          <w:sz w:val="20"/>
          <w:szCs w:val="20"/>
          <w:lang w:val="es-ES"/>
        </w:rPr>
        <w:t xml:space="preserve"> Quero solicitó al </w:t>
      </w:r>
      <w:proofErr w:type="gramStart"/>
      <w:r w:rsidRPr="002A35D9">
        <w:rPr>
          <w:rFonts w:ascii="Cambria" w:hAnsi="Cambria"/>
          <w:sz w:val="20"/>
          <w:szCs w:val="20"/>
          <w:lang w:val="es-ES"/>
        </w:rPr>
        <w:t>Ministro</w:t>
      </w:r>
      <w:proofErr w:type="gramEnd"/>
      <w:r w:rsidRPr="002A35D9">
        <w:rPr>
          <w:rFonts w:ascii="Cambria" w:hAnsi="Cambria"/>
          <w:sz w:val="20"/>
          <w:szCs w:val="20"/>
          <w:lang w:val="es-ES"/>
        </w:rPr>
        <w:t xml:space="preserve"> Fiscal de Tungurahua la liberación de las personas detenidas argumentando su inocencia y refirió que </w:t>
      </w:r>
      <w:r w:rsidR="001D2179" w:rsidRPr="002A35D9">
        <w:rPr>
          <w:rFonts w:ascii="Cambria" w:hAnsi="Cambria"/>
          <w:sz w:val="20"/>
          <w:szCs w:val="20"/>
          <w:lang w:val="es-ES"/>
        </w:rPr>
        <w:t>si bien cansados de soportar los abusos que venía cometiendo la presunta víctima, fue llevada al calabozo del campesinado, esta se fugó de allí y ha pasado a formar parte</w:t>
      </w:r>
      <w:r w:rsidR="00E3057C" w:rsidRPr="002A35D9">
        <w:rPr>
          <w:rFonts w:ascii="Cambria" w:hAnsi="Cambria"/>
          <w:sz w:val="20"/>
          <w:szCs w:val="20"/>
          <w:lang w:val="es-ES"/>
        </w:rPr>
        <w:t xml:space="preserve"> </w:t>
      </w:r>
      <w:r w:rsidR="001D2179" w:rsidRPr="002A35D9">
        <w:rPr>
          <w:rFonts w:ascii="Cambria" w:hAnsi="Cambria"/>
          <w:sz w:val="20"/>
          <w:szCs w:val="20"/>
          <w:lang w:val="es-ES"/>
        </w:rPr>
        <w:t xml:space="preserve">de las FARC de Colombia. Indicó que además que, </w:t>
      </w:r>
      <w:r w:rsidRPr="002A35D9">
        <w:rPr>
          <w:rFonts w:ascii="Cambria" w:hAnsi="Cambria"/>
          <w:sz w:val="20"/>
          <w:szCs w:val="20"/>
          <w:lang w:val="es-ES"/>
        </w:rPr>
        <w:t>“por la favorable atención que sabrá dar a la presente seguros que no vamos a tener ningún inconveniente a nuestra petición porque caso contrario el alto respeto que tenemos a las altas autoridades y la</w:t>
      </w:r>
      <w:r w:rsidR="00852948" w:rsidRPr="002A35D9">
        <w:rPr>
          <w:rFonts w:ascii="Cambria" w:hAnsi="Cambria"/>
          <w:sz w:val="20"/>
          <w:szCs w:val="20"/>
          <w:lang w:val="es-ES"/>
        </w:rPr>
        <w:t xml:space="preserve"> </w:t>
      </w:r>
      <w:r w:rsidRPr="002A35D9">
        <w:rPr>
          <w:rFonts w:ascii="Cambria" w:hAnsi="Cambria"/>
          <w:sz w:val="20"/>
          <w:szCs w:val="20"/>
          <w:lang w:val="es-ES"/>
        </w:rPr>
        <w:t xml:space="preserve">Policía, no quisiéramos entrar en inconvenientes y peor llegar algún enfrentamiento”. Asimismo, refirió que “el único delito que cometemos es de vivir de nuestro trabajo y de algún modo </w:t>
      </w:r>
      <w:proofErr w:type="spellStart"/>
      <w:r w:rsidRPr="002A35D9">
        <w:rPr>
          <w:rFonts w:ascii="Cambria" w:hAnsi="Cambria"/>
          <w:sz w:val="20"/>
          <w:szCs w:val="20"/>
          <w:lang w:val="es-ES"/>
        </w:rPr>
        <w:t>convatir</w:t>
      </w:r>
      <w:proofErr w:type="spellEnd"/>
      <w:r w:rsidR="001D2179" w:rsidRPr="002A35D9">
        <w:rPr>
          <w:rFonts w:ascii="Cambria" w:hAnsi="Cambria"/>
          <w:sz w:val="20"/>
          <w:szCs w:val="20"/>
          <w:lang w:val="es-ES"/>
        </w:rPr>
        <w:t xml:space="preserve"> (sic)</w:t>
      </w:r>
      <w:r w:rsidRPr="002A35D9">
        <w:rPr>
          <w:rFonts w:ascii="Cambria" w:hAnsi="Cambria"/>
          <w:sz w:val="20"/>
          <w:szCs w:val="20"/>
          <w:lang w:val="es-ES"/>
        </w:rPr>
        <w:t xml:space="preserve"> al delincuente”</w:t>
      </w:r>
      <w:r w:rsidR="001D2179" w:rsidRPr="00F17A3D">
        <w:rPr>
          <w:rStyle w:val="Refdenotaalpie"/>
          <w:rFonts w:ascii="Cambria" w:hAnsi="Cambria"/>
          <w:sz w:val="20"/>
          <w:szCs w:val="20"/>
          <w:lang w:val="es-ES"/>
        </w:rPr>
        <w:footnoteReference w:id="39"/>
      </w:r>
      <w:r w:rsidRPr="002A35D9">
        <w:rPr>
          <w:rFonts w:ascii="Cambria" w:hAnsi="Cambria"/>
          <w:sz w:val="20"/>
          <w:szCs w:val="20"/>
          <w:lang w:val="es-ES"/>
        </w:rPr>
        <w:t xml:space="preserve">. </w:t>
      </w:r>
    </w:p>
    <w:p w14:paraId="03BD37BE" w14:textId="77777777" w:rsidR="002A35D9" w:rsidRDefault="002A35D9" w:rsidP="002A35D9">
      <w:pPr>
        <w:pStyle w:val="Prrafodelista"/>
        <w:rPr>
          <w:sz w:val="20"/>
          <w:szCs w:val="20"/>
          <w:lang w:val="es-ES"/>
        </w:rPr>
      </w:pPr>
    </w:p>
    <w:p w14:paraId="0D1024CE" w14:textId="77777777" w:rsidR="002A35D9" w:rsidRDefault="00183208"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El 11</w:t>
      </w:r>
      <w:r w:rsidR="0039497A" w:rsidRPr="002A35D9">
        <w:rPr>
          <w:rFonts w:ascii="Cambria" w:hAnsi="Cambria"/>
          <w:sz w:val="20"/>
          <w:szCs w:val="20"/>
          <w:lang w:val="es-ES"/>
        </w:rPr>
        <w:t xml:space="preserve"> de julio de 2002 los </w:t>
      </w:r>
      <w:r w:rsidR="00FF4075" w:rsidRPr="002A35D9">
        <w:rPr>
          <w:rFonts w:ascii="Cambria" w:hAnsi="Cambria"/>
          <w:sz w:val="20"/>
          <w:szCs w:val="20"/>
          <w:lang w:val="es-ES"/>
        </w:rPr>
        <w:t xml:space="preserve">imputados </w:t>
      </w:r>
      <w:r w:rsidR="0039497A" w:rsidRPr="002A35D9">
        <w:rPr>
          <w:rFonts w:ascii="Cambria" w:hAnsi="Cambria"/>
          <w:sz w:val="20"/>
          <w:szCs w:val="20"/>
          <w:lang w:val="es-ES"/>
        </w:rPr>
        <w:t>interpusieron</w:t>
      </w:r>
      <w:r w:rsidR="00EA5D72" w:rsidRPr="002A35D9">
        <w:rPr>
          <w:rFonts w:ascii="Cambria" w:hAnsi="Cambria"/>
          <w:sz w:val="20"/>
          <w:szCs w:val="20"/>
          <w:lang w:val="es-ES"/>
        </w:rPr>
        <w:t xml:space="preserve"> un </w:t>
      </w:r>
      <w:r w:rsidR="00FF4075" w:rsidRPr="002A35D9">
        <w:rPr>
          <w:rFonts w:ascii="Cambria" w:hAnsi="Cambria"/>
          <w:sz w:val="20"/>
          <w:szCs w:val="20"/>
          <w:lang w:val="es-ES"/>
        </w:rPr>
        <w:t xml:space="preserve">recurso de amparo de </w:t>
      </w:r>
      <w:r w:rsidR="00716AC0" w:rsidRPr="002A35D9">
        <w:rPr>
          <w:rFonts w:ascii="Cambria" w:hAnsi="Cambria"/>
          <w:sz w:val="20"/>
          <w:szCs w:val="20"/>
          <w:lang w:val="es-ES"/>
        </w:rPr>
        <w:t>libertad en contra de la Jueza Cuarto de lo P</w:t>
      </w:r>
      <w:r w:rsidR="00FF4075" w:rsidRPr="002A35D9">
        <w:rPr>
          <w:rFonts w:ascii="Cambria" w:hAnsi="Cambria"/>
          <w:sz w:val="20"/>
          <w:szCs w:val="20"/>
          <w:lang w:val="es-ES"/>
        </w:rPr>
        <w:t>enal de Tungurahua</w:t>
      </w:r>
      <w:r w:rsidR="003724EF" w:rsidRPr="000A209E">
        <w:rPr>
          <w:rStyle w:val="Refdenotaalpie"/>
          <w:rFonts w:ascii="Cambria" w:hAnsi="Cambria"/>
          <w:sz w:val="20"/>
          <w:szCs w:val="20"/>
          <w:lang w:val="es-ES"/>
        </w:rPr>
        <w:footnoteReference w:id="40"/>
      </w:r>
      <w:r w:rsidR="00716AC0" w:rsidRPr="002A35D9">
        <w:rPr>
          <w:rFonts w:ascii="Cambria" w:hAnsi="Cambria"/>
          <w:sz w:val="20"/>
          <w:szCs w:val="20"/>
          <w:lang w:val="es-ES"/>
        </w:rPr>
        <w:t xml:space="preserve"> ante la Corte Superior de Justicia de Tungurahua, argumentando la </w:t>
      </w:r>
      <w:r w:rsidR="00716AC0" w:rsidRPr="002A35D9">
        <w:rPr>
          <w:rFonts w:ascii="Cambria" w:hAnsi="Cambria"/>
          <w:sz w:val="20"/>
          <w:szCs w:val="20"/>
          <w:lang w:val="es-ES"/>
        </w:rPr>
        <w:lastRenderedPageBreak/>
        <w:t>falta de motivación de la Jueza al momento de expedir la orden captura, la cual generó violaciones al debido proceso y falta de seguridad jurídica</w:t>
      </w:r>
      <w:r w:rsidR="008B2AA3" w:rsidRPr="000A209E">
        <w:rPr>
          <w:rStyle w:val="Refdenotaalpie"/>
          <w:rFonts w:ascii="Cambria" w:hAnsi="Cambria"/>
          <w:sz w:val="20"/>
          <w:szCs w:val="20"/>
          <w:lang w:val="es-ES"/>
        </w:rPr>
        <w:footnoteReference w:id="41"/>
      </w:r>
      <w:r w:rsidR="008B2AA3" w:rsidRPr="002A35D9">
        <w:rPr>
          <w:rFonts w:ascii="Cambria" w:hAnsi="Cambria"/>
          <w:sz w:val="20"/>
          <w:szCs w:val="20"/>
          <w:lang w:val="es-ES"/>
        </w:rPr>
        <w:t xml:space="preserve">. </w:t>
      </w:r>
    </w:p>
    <w:p w14:paraId="3F60AFD4" w14:textId="77777777" w:rsidR="002A35D9" w:rsidRDefault="002A35D9" w:rsidP="002A35D9">
      <w:pPr>
        <w:pStyle w:val="Prrafodelista"/>
        <w:rPr>
          <w:rFonts w:asciiTheme="majorHAnsi" w:hAnsiTheme="majorHAnsi"/>
          <w:sz w:val="20"/>
          <w:szCs w:val="20"/>
          <w:lang w:val="es-VE"/>
        </w:rPr>
      </w:pPr>
    </w:p>
    <w:p w14:paraId="7B462C4F" w14:textId="77777777" w:rsidR="002A35D9" w:rsidRDefault="00716AC0"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Theme="majorHAnsi" w:hAnsiTheme="majorHAnsi"/>
          <w:sz w:val="20"/>
          <w:szCs w:val="20"/>
          <w:lang w:val="es-VE"/>
        </w:rPr>
        <w:t xml:space="preserve">El 17 de julio de 2002 </w:t>
      </w:r>
      <w:r w:rsidR="00515532" w:rsidRPr="002A35D9">
        <w:rPr>
          <w:rFonts w:asciiTheme="majorHAnsi" w:hAnsiTheme="majorHAnsi"/>
          <w:sz w:val="20"/>
          <w:szCs w:val="20"/>
          <w:lang w:val="es-ES"/>
        </w:rPr>
        <w:t xml:space="preserve">el </w:t>
      </w:r>
      <w:r w:rsidR="00C23DFB" w:rsidRPr="002A35D9">
        <w:rPr>
          <w:rFonts w:asciiTheme="majorHAnsi" w:hAnsiTheme="majorHAnsi"/>
          <w:sz w:val="20"/>
          <w:szCs w:val="20"/>
          <w:lang w:val="es-ES"/>
        </w:rPr>
        <w:t>Juzgado Cuarto de lo Penal de Tungurahua</w:t>
      </w:r>
      <w:r w:rsidR="00686985" w:rsidRPr="002A35D9">
        <w:rPr>
          <w:rFonts w:asciiTheme="majorHAnsi" w:hAnsiTheme="majorHAnsi"/>
          <w:sz w:val="20"/>
          <w:szCs w:val="20"/>
          <w:lang w:val="es-ES"/>
        </w:rPr>
        <w:t xml:space="preserve"> informó a la Corte Superior de Justicia de Tungurahua que la decisión de prisión preventiva se basó en cinco pruebas: la denuncia contra los supuestos autores por parte de la presunta víctima, el informe médico </w:t>
      </w:r>
      <w:r w:rsidR="00FE29BC" w:rsidRPr="002A35D9">
        <w:rPr>
          <w:rFonts w:asciiTheme="majorHAnsi" w:hAnsiTheme="majorHAnsi"/>
          <w:sz w:val="20"/>
          <w:szCs w:val="20"/>
          <w:lang w:val="es-ES"/>
        </w:rPr>
        <w:t>de Octavio Morales y fotografías que comprueban su detención al igual que la de Marcelo Núñez Naranjo en el destacamento del cantó</w:t>
      </w:r>
      <w:r w:rsidR="00686985" w:rsidRPr="002A35D9">
        <w:rPr>
          <w:rFonts w:asciiTheme="majorHAnsi" w:hAnsiTheme="majorHAnsi"/>
          <w:sz w:val="20"/>
          <w:szCs w:val="20"/>
          <w:lang w:val="es-ES"/>
        </w:rPr>
        <w:t>n Quero,</w:t>
      </w:r>
      <w:r w:rsidR="00EB4701" w:rsidRPr="002A35D9">
        <w:rPr>
          <w:rFonts w:asciiTheme="majorHAnsi" w:hAnsiTheme="majorHAnsi"/>
          <w:sz w:val="20"/>
          <w:szCs w:val="20"/>
          <w:lang w:val="es-ES"/>
        </w:rPr>
        <w:t xml:space="preserve"> el reconocimiento </w:t>
      </w:r>
      <w:r w:rsidR="00686985" w:rsidRPr="002A35D9">
        <w:rPr>
          <w:rFonts w:asciiTheme="majorHAnsi" w:hAnsiTheme="majorHAnsi"/>
          <w:sz w:val="20"/>
          <w:szCs w:val="20"/>
          <w:lang w:val="es-ES"/>
        </w:rPr>
        <w:t>en el</w:t>
      </w:r>
      <w:r w:rsidR="00E3057C" w:rsidRPr="002A35D9">
        <w:rPr>
          <w:rFonts w:asciiTheme="majorHAnsi" w:hAnsiTheme="majorHAnsi"/>
          <w:sz w:val="20"/>
          <w:szCs w:val="20"/>
          <w:lang w:val="es-ES"/>
        </w:rPr>
        <w:t xml:space="preserve"> </w:t>
      </w:r>
      <w:r w:rsidR="00686985" w:rsidRPr="002A35D9">
        <w:rPr>
          <w:rFonts w:asciiTheme="majorHAnsi" w:hAnsiTheme="majorHAnsi"/>
          <w:sz w:val="20"/>
          <w:szCs w:val="20"/>
          <w:lang w:val="es-ES"/>
        </w:rPr>
        <w:t>Destacamento de Policía del C</w:t>
      </w:r>
      <w:r w:rsidR="00EB4701" w:rsidRPr="002A35D9">
        <w:rPr>
          <w:rFonts w:asciiTheme="majorHAnsi" w:hAnsiTheme="majorHAnsi"/>
          <w:sz w:val="20"/>
          <w:szCs w:val="20"/>
          <w:lang w:val="es-ES"/>
        </w:rPr>
        <w:t>antón Quero</w:t>
      </w:r>
      <w:r w:rsidR="00686985" w:rsidRPr="002A35D9">
        <w:rPr>
          <w:rFonts w:asciiTheme="majorHAnsi" w:hAnsiTheme="majorHAnsi"/>
          <w:sz w:val="20"/>
          <w:szCs w:val="20"/>
          <w:lang w:val="es-ES"/>
        </w:rPr>
        <w:t>, los partes policiales que dejan constancia de los hechos, y la versión del denunciante. Refirió que lo anterior generó indicios suf</w:t>
      </w:r>
      <w:r w:rsidR="00D26754" w:rsidRPr="002A35D9">
        <w:rPr>
          <w:rFonts w:asciiTheme="majorHAnsi" w:hAnsiTheme="majorHAnsi"/>
          <w:sz w:val="20"/>
          <w:szCs w:val="20"/>
          <w:lang w:val="es-ES"/>
        </w:rPr>
        <w:t>icientes para la medida dictada</w:t>
      </w:r>
      <w:r w:rsidR="00BE0AD9" w:rsidRPr="00716AC0">
        <w:rPr>
          <w:rStyle w:val="Refdenotaalpie"/>
          <w:rFonts w:asciiTheme="majorHAnsi" w:hAnsiTheme="majorHAnsi"/>
          <w:sz w:val="20"/>
          <w:szCs w:val="20"/>
          <w:lang w:val="es-ES"/>
        </w:rPr>
        <w:footnoteReference w:id="42"/>
      </w:r>
      <w:r w:rsidR="00BE0AD9" w:rsidRPr="002A35D9">
        <w:rPr>
          <w:rFonts w:asciiTheme="majorHAnsi" w:hAnsiTheme="majorHAnsi"/>
          <w:sz w:val="20"/>
          <w:szCs w:val="20"/>
          <w:lang w:val="es-ES"/>
        </w:rPr>
        <w:t xml:space="preserve">. </w:t>
      </w:r>
    </w:p>
    <w:p w14:paraId="4E1EB9CD" w14:textId="77777777" w:rsidR="002A35D9" w:rsidRDefault="002A35D9" w:rsidP="002A35D9">
      <w:pPr>
        <w:pStyle w:val="Prrafodelista"/>
        <w:rPr>
          <w:sz w:val="20"/>
          <w:szCs w:val="20"/>
          <w:lang w:val="es-ES"/>
        </w:rPr>
      </w:pPr>
    </w:p>
    <w:p w14:paraId="0BCAC4EB" w14:textId="77777777" w:rsidR="002A35D9" w:rsidRDefault="00956270"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El 31 de julio de 2002, la </w:t>
      </w:r>
      <w:r w:rsidR="00D26754" w:rsidRPr="002A35D9">
        <w:rPr>
          <w:rFonts w:ascii="Cambria" w:hAnsi="Cambria"/>
          <w:sz w:val="20"/>
          <w:szCs w:val="20"/>
          <w:lang w:val="es-ES"/>
        </w:rPr>
        <w:t>Segunda S</w:t>
      </w:r>
      <w:r w:rsidR="00B71C28" w:rsidRPr="002A35D9">
        <w:rPr>
          <w:rFonts w:ascii="Cambria" w:hAnsi="Cambria"/>
          <w:sz w:val="20"/>
          <w:szCs w:val="20"/>
          <w:lang w:val="es-ES"/>
        </w:rPr>
        <w:t xml:space="preserve">ala de la </w:t>
      </w:r>
      <w:r w:rsidRPr="002A35D9">
        <w:rPr>
          <w:rFonts w:ascii="Cambria" w:hAnsi="Cambria"/>
          <w:sz w:val="20"/>
          <w:szCs w:val="20"/>
          <w:lang w:val="es-ES"/>
        </w:rPr>
        <w:t xml:space="preserve">Corte Superior de Justicia de Tungurahua </w:t>
      </w:r>
      <w:r w:rsidR="00D26754" w:rsidRPr="002A35D9">
        <w:rPr>
          <w:rFonts w:ascii="Cambria" w:hAnsi="Cambria"/>
          <w:sz w:val="20"/>
          <w:szCs w:val="20"/>
          <w:lang w:val="es-ES"/>
        </w:rPr>
        <w:t xml:space="preserve">otorgó el recurso de amparo de libertad argumentando </w:t>
      </w:r>
      <w:proofErr w:type="gramStart"/>
      <w:r w:rsidR="00D26754" w:rsidRPr="002A35D9">
        <w:rPr>
          <w:rFonts w:ascii="Cambria" w:hAnsi="Cambria"/>
          <w:sz w:val="20"/>
          <w:szCs w:val="20"/>
          <w:lang w:val="es-ES"/>
        </w:rPr>
        <w:t>que</w:t>
      </w:r>
      <w:proofErr w:type="gramEnd"/>
      <w:r w:rsidR="00D26754" w:rsidRPr="002A35D9">
        <w:rPr>
          <w:rFonts w:ascii="Cambria" w:hAnsi="Cambria"/>
          <w:sz w:val="20"/>
          <w:szCs w:val="20"/>
          <w:lang w:val="es-ES"/>
        </w:rPr>
        <w:t xml:space="preserve"> </w:t>
      </w:r>
      <w:r w:rsidR="000F7569" w:rsidRPr="002A35D9">
        <w:rPr>
          <w:rFonts w:ascii="Cambria" w:hAnsi="Cambria"/>
          <w:sz w:val="20"/>
          <w:szCs w:val="20"/>
          <w:lang w:val="es-ES"/>
        </w:rPr>
        <w:t>a</w:t>
      </w:r>
      <w:r w:rsidR="003C7C37" w:rsidRPr="002A35D9">
        <w:rPr>
          <w:rFonts w:ascii="Cambria" w:hAnsi="Cambria"/>
          <w:sz w:val="20"/>
          <w:szCs w:val="20"/>
          <w:lang w:val="es-ES"/>
        </w:rPr>
        <w:t>unque existan indicios suficientes para determinar que existió un delito de acción pública, hacen falta indicios claros y precisos para demostrar que los imputados fueron los autores o cómplices del mismo</w:t>
      </w:r>
      <w:r w:rsidR="000F7569" w:rsidRPr="002A35D9">
        <w:rPr>
          <w:rFonts w:ascii="Cambria" w:hAnsi="Cambria"/>
          <w:sz w:val="20"/>
          <w:szCs w:val="20"/>
          <w:lang w:val="es-ES"/>
        </w:rPr>
        <w:t>, pues considera que la información recae sobre un conglomerado humano que no permite individualizar a los actuantes</w:t>
      </w:r>
      <w:r w:rsidR="003C7C37" w:rsidRPr="000A209E">
        <w:rPr>
          <w:rStyle w:val="Refdenotaalpie"/>
          <w:rFonts w:ascii="Cambria" w:hAnsi="Cambria"/>
          <w:sz w:val="20"/>
          <w:szCs w:val="20"/>
          <w:lang w:val="es-ES"/>
        </w:rPr>
        <w:footnoteReference w:id="43"/>
      </w:r>
      <w:r w:rsidR="003C7C37" w:rsidRPr="002A35D9">
        <w:rPr>
          <w:rFonts w:ascii="Cambria" w:hAnsi="Cambria"/>
          <w:sz w:val="20"/>
          <w:szCs w:val="20"/>
          <w:lang w:val="es-ES"/>
        </w:rPr>
        <w:t xml:space="preserve">. </w:t>
      </w:r>
    </w:p>
    <w:p w14:paraId="7CF11DDF" w14:textId="77777777" w:rsidR="002A35D9" w:rsidRDefault="002A35D9" w:rsidP="002A35D9">
      <w:pPr>
        <w:pStyle w:val="Prrafodelista"/>
        <w:rPr>
          <w:sz w:val="20"/>
          <w:szCs w:val="20"/>
          <w:lang w:val="es-ES"/>
        </w:rPr>
      </w:pPr>
    </w:p>
    <w:p w14:paraId="4913DE2F" w14:textId="77777777" w:rsidR="002A35D9" w:rsidRDefault="002B2FB6"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El 10 de diciembre de 2002 se llevó a cabo la audiencia </w:t>
      </w:r>
      <w:r w:rsidR="007A0BEF" w:rsidRPr="002A35D9">
        <w:rPr>
          <w:rFonts w:ascii="Cambria" w:hAnsi="Cambria"/>
          <w:sz w:val="20"/>
          <w:szCs w:val="20"/>
          <w:lang w:val="es-ES"/>
        </w:rPr>
        <w:t>preliminar</w:t>
      </w:r>
      <w:r w:rsidRPr="000A209E">
        <w:rPr>
          <w:rStyle w:val="Refdenotaalpie"/>
          <w:rFonts w:ascii="Cambria" w:hAnsi="Cambria"/>
          <w:sz w:val="20"/>
          <w:szCs w:val="20"/>
          <w:lang w:val="es-ES"/>
        </w:rPr>
        <w:footnoteReference w:id="44"/>
      </w:r>
      <w:r w:rsidR="007A0BEF" w:rsidRPr="002A35D9">
        <w:rPr>
          <w:rFonts w:ascii="Cambria" w:hAnsi="Cambria"/>
          <w:sz w:val="20"/>
          <w:szCs w:val="20"/>
          <w:lang w:val="es-ES"/>
        </w:rPr>
        <w:t>.</w:t>
      </w:r>
    </w:p>
    <w:p w14:paraId="1A3F99C0" w14:textId="77777777" w:rsidR="002A35D9" w:rsidRDefault="002A35D9" w:rsidP="002A35D9">
      <w:pPr>
        <w:pStyle w:val="Prrafodelista"/>
        <w:rPr>
          <w:sz w:val="20"/>
          <w:szCs w:val="20"/>
          <w:lang w:val="es-ES"/>
        </w:rPr>
      </w:pPr>
    </w:p>
    <w:p w14:paraId="14FA2B13" w14:textId="77777777" w:rsidR="002A35D9" w:rsidRDefault="007A0BEF"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El 11 de diciembre de 2002 la Jueza Cuarta de lo Penal de Tungurahua decretó el sobreseimiento provisional </w:t>
      </w:r>
      <w:bookmarkStart w:id="9" w:name="_Toc519601824"/>
      <w:r w:rsidR="00BF7B26" w:rsidRPr="002A35D9">
        <w:rPr>
          <w:rFonts w:ascii="Cambria" w:hAnsi="Cambria"/>
          <w:sz w:val="20"/>
          <w:szCs w:val="20"/>
          <w:lang w:val="es-ES"/>
        </w:rPr>
        <w:t>subrayando que la prueba obtenida durante la etapa indagatoria no cumplió con la Ley Orgánica del Ministerio Público</w:t>
      </w:r>
      <w:r w:rsidR="000C4A9B" w:rsidRPr="002A35D9">
        <w:rPr>
          <w:rFonts w:ascii="Cambria" w:hAnsi="Cambria"/>
          <w:sz w:val="20"/>
          <w:szCs w:val="20"/>
          <w:lang w:val="es-ES"/>
        </w:rPr>
        <w:t xml:space="preserve"> y que en la etapa de instrucción no se realizó diligencia alguna</w:t>
      </w:r>
      <w:r w:rsidR="00BF7B26" w:rsidRPr="002A35D9">
        <w:rPr>
          <w:rFonts w:ascii="Cambria" w:hAnsi="Cambria"/>
          <w:sz w:val="20"/>
          <w:szCs w:val="20"/>
          <w:lang w:val="es-ES"/>
        </w:rPr>
        <w:t>. Al respecto indicó que:</w:t>
      </w:r>
    </w:p>
    <w:p w14:paraId="5C5346F3" w14:textId="77777777" w:rsidR="002A35D9" w:rsidRDefault="002A35D9" w:rsidP="002A35D9">
      <w:pPr>
        <w:pStyle w:val="Prrafodelista"/>
        <w:rPr>
          <w:sz w:val="20"/>
          <w:szCs w:val="20"/>
          <w:lang w:val="es-ES"/>
        </w:rPr>
      </w:pPr>
    </w:p>
    <w:p w14:paraId="01D5CA53" w14:textId="77777777" w:rsidR="00BF7B26" w:rsidRPr="002A35D9" w:rsidRDefault="00BF7B26"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720" w:right="720"/>
        <w:jc w:val="both"/>
        <w:rPr>
          <w:rFonts w:ascii="Cambria" w:hAnsi="Cambria"/>
          <w:sz w:val="20"/>
          <w:szCs w:val="20"/>
          <w:lang w:val="es-ES"/>
        </w:rPr>
      </w:pPr>
      <w:r w:rsidRPr="002A35D9">
        <w:rPr>
          <w:rFonts w:ascii="Cambria" w:hAnsi="Cambria"/>
          <w:sz w:val="20"/>
          <w:szCs w:val="20"/>
          <w:lang w:val="es-ES"/>
        </w:rPr>
        <w:t>(…) la etapa indagatoria es optativa del fiscal, y no es condición “sine qua non” para iniciar la Instrucción Fiscal, sin embargo si debe cumplir ciertos requisitos, al respecto el Art. 26 de la Ley Orgánica del Ministerio Público establece que el Ministerio Público debe garantizar la intervención de la defensa de los imputados en las indagaciones previas y las investigaciones procesales por delitos perseguibles de oficio quienes deberán ser citados y notificados para los efectos de intervenir en las diligencias probatorias (…)</w:t>
      </w:r>
    </w:p>
    <w:p w14:paraId="01BF70CD" w14:textId="77777777" w:rsidR="00BF7B26" w:rsidRDefault="00BF7B26"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
        </w:rPr>
      </w:pPr>
    </w:p>
    <w:p w14:paraId="2857271E" w14:textId="77777777" w:rsidR="00651637" w:rsidRDefault="00BF7B26"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
        </w:rPr>
      </w:pPr>
      <w:r>
        <w:rPr>
          <w:rFonts w:ascii="Cambria" w:hAnsi="Cambria"/>
          <w:sz w:val="20"/>
          <w:szCs w:val="20"/>
          <w:lang w:val="es-ES"/>
        </w:rPr>
        <w:t>(…) en el presente caso no existe constancia de que en la etapa indagatoria se haya cumplido con la citación</w:t>
      </w:r>
      <w:r w:rsidR="000C4A9B">
        <w:rPr>
          <w:rFonts w:ascii="Cambria" w:hAnsi="Cambria"/>
          <w:sz w:val="20"/>
          <w:szCs w:val="20"/>
          <w:lang w:val="es-ES"/>
        </w:rPr>
        <w:t xml:space="preserve"> establecida, en </w:t>
      </w:r>
      <w:proofErr w:type="gramStart"/>
      <w:r w:rsidR="000C4A9B">
        <w:rPr>
          <w:rFonts w:ascii="Cambria" w:hAnsi="Cambria"/>
          <w:sz w:val="20"/>
          <w:szCs w:val="20"/>
          <w:lang w:val="es-ES"/>
        </w:rPr>
        <w:t>consecuencia</w:t>
      </w:r>
      <w:proofErr w:type="gramEnd"/>
      <w:r w:rsidR="000C4A9B">
        <w:rPr>
          <w:rFonts w:ascii="Cambria" w:hAnsi="Cambria"/>
          <w:sz w:val="20"/>
          <w:szCs w:val="20"/>
          <w:lang w:val="es-ES"/>
        </w:rPr>
        <w:t xml:space="preserve"> toda esta evidencia carecería de eficacia probatoria, ya en la etapa de instrucción, no existe evidencia alguna ni de cargo ni de descargo, por lo que al no haber elementos que sustenten la presunción de existencia del delito (…) no se puede hablar de responsabilidad alguna</w:t>
      </w:r>
      <w:r w:rsidR="00E84AD3" w:rsidRPr="000A209E">
        <w:rPr>
          <w:rStyle w:val="Refdenotaalpie"/>
          <w:rFonts w:ascii="Cambria" w:hAnsi="Cambria"/>
          <w:sz w:val="20"/>
          <w:szCs w:val="20"/>
          <w:lang w:val="es-ES"/>
        </w:rPr>
        <w:footnoteReference w:id="45"/>
      </w:r>
      <w:r w:rsidR="00015E7C" w:rsidRPr="008F7809">
        <w:rPr>
          <w:rFonts w:ascii="Cambria" w:hAnsi="Cambria"/>
          <w:sz w:val="20"/>
          <w:szCs w:val="20"/>
          <w:lang w:val="es-ES"/>
        </w:rPr>
        <w:t>.</w:t>
      </w:r>
    </w:p>
    <w:p w14:paraId="32846EAE" w14:textId="77777777" w:rsidR="0065556E" w:rsidRPr="000A209E" w:rsidRDefault="00015E7C"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
        </w:rPr>
      </w:pPr>
      <w:r w:rsidRPr="008F7809">
        <w:rPr>
          <w:rFonts w:ascii="Cambria" w:hAnsi="Cambria"/>
          <w:sz w:val="20"/>
          <w:szCs w:val="20"/>
          <w:lang w:val="es-ES"/>
        </w:rPr>
        <w:t xml:space="preserve"> </w:t>
      </w:r>
    </w:p>
    <w:p w14:paraId="1D96D1AB" w14:textId="77777777" w:rsidR="002A35D9" w:rsidRDefault="00691312"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0A209E">
        <w:rPr>
          <w:rFonts w:ascii="Cambria" w:hAnsi="Cambria"/>
          <w:sz w:val="20"/>
          <w:szCs w:val="20"/>
          <w:lang w:val="es-ES"/>
        </w:rPr>
        <w:t xml:space="preserve">El 15 de octubre de 2004 el jefe de la policía </w:t>
      </w:r>
      <w:r w:rsidR="00BF2234">
        <w:rPr>
          <w:rFonts w:ascii="Cambria" w:hAnsi="Cambria"/>
          <w:sz w:val="20"/>
          <w:szCs w:val="20"/>
          <w:lang w:val="es-ES"/>
        </w:rPr>
        <w:t xml:space="preserve">informó </w:t>
      </w:r>
      <w:r w:rsidR="00A546D0">
        <w:rPr>
          <w:rFonts w:ascii="Cambria" w:hAnsi="Cambria"/>
          <w:sz w:val="20"/>
          <w:szCs w:val="20"/>
          <w:lang w:val="es-ES"/>
        </w:rPr>
        <w:t xml:space="preserve">que “continúa con </w:t>
      </w:r>
      <w:r w:rsidR="00173141" w:rsidRPr="00A546D0">
        <w:rPr>
          <w:rFonts w:ascii="Cambria" w:hAnsi="Cambria"/>
          <w:sz w:val="20"/>
          <w:szCs w:val="20"/>
          <w:lang w:val="es-ES"/>
        </w:rPr>
        <w:t xml:space="preserve">las investigaciones en el presente caso, con la finalidad de dar con el paradero del ciudadano desaparecido y el resultado de las investigaciones </w:t>
      </w:r>
      <w:r w:rsidR="008B2705">
        <w:rPr>
          <w:rFonts w:ascii="Cambria" w:hAnsi="Cambria"/>
          <w:sz w:val="20"/>
          <w:szCs w:val="20"/>
          <w:lang w:val="es-ES"/>
        </w:rPr>
        <w:t xml:space="preserve">se </w:t>
      </w:r>
      <w:r w:rsidR="00173141" w:rsidRPr="00A546D0">
        <w:rPr>
          <w:rFonts w:ascii="Cambria" w:hAnsi="Cambria"/>
          <w:sz w:val="20"/>
          <w:szCs w:val="20"/>
          <w:lang w:val="es-ES"/>
        </w:rPr>
        <w:t>ha</w:t>
      </w:r>
      <w:r w:rsidR="00BF2234">
        <w:rPr>
          <w:rFonts w:ascii="Cambria" w:hAnsi="Cambria"/>
          <w:sz w:val="20"/>
          <w:szCs w:val="20"/>
          <w:lang w:val="es-ES"/>
        </w:rPr>
        <w:t>rá</w:t>
      </w:r>
      <w:r w:rsidR="00173141" w:rsidRPr="00A546D0">
        <w:rPr>
          <w:rFonts w:ascii="Cambria" w:hAnsi="Cambria"/>
          <w:sz w:val="20"/>
          <w:szCs w:val="20"/>
          <w:lang w:val="es-ES"/>
        </w:rPr>
        <w:t xml:space="preserve"> conocer a la autoridad competente</w:t>
      </w:r>
      <w:r w:rsidR="00A546D0">
        <w:rPr>
          <w:rFonts w:ascii="Cambria" w:hAnsi="Cambria"/>
          <w:sz w:val="20"/>
          <w:szCs w:val="20"/>
          <w:lang w:val="es-ES"/>
        </w:rPr>
        <w:t>”</w:t>
      </w:r>
      <w:r w:rsidR="00B8289F">
        <w:rPr>
          <w:rStyle w:val="Refdenotaalpie"/>
          <w:rFonts w:ascii="Cambria" w:hAnsi="Cambria"/>
          <w:sz w:val="20"/>
          <w:szCs w:val="20"/>
          <w:lang w:val="es-ES"/>
        </w:rPr>
        <w:footnoteReference w:id="46"/>
      </w:r>
      <w:r w:rsidR="00173141" w:rsidRPr="00A546D0">
        <w:rPr>
          <w:rFonts w:ascii="Cambria" w:hAnsi="Cambria"/>
          <w:sz w:val="20"/>
          <w:szCs w:val="20"/>
          <w:lang w:val="es-ES"/>
        </w:rPr>
        <w:t>.</w:t>
      </w:r>
    </w:p>
    <w:p w14:paraId="3DF65966" w14:textId="77777777" w:rsidR="002A35D9" w:rsidRDefault="002A35D9" w:rsidP="002A35D9">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20"/>
          <w:szCs w:val="20"/>
          <w:lang w:val="es-ES"/>
        </w:rPr>
      </w:pPr>
    </w:p>
    <w:p w14:paraId="2ED07473" w14:textId="77777777" w:rsidR="002A35D9" w:rsidRDefault="00A546D0" w:rsidP="002A35D9">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Cambria" w:hAnsi="Cambria"/>
          <w:sz w:val="20"/>
          <w:szCs w:val="20"/>
          <w:lang w:val="es-ES"/>
        </w:rPr>
        <w:t xml:space="preserve">El 18 de octubre de 2004 el Juzgado Cuarto de lo Penal de Tungurahua indicó que </w:t>
      </w:r>
      <w:r w:rsidR="00691312" w:rsidRPr="002A35D9">
        <w:rPr>
          <w:rFonts w:ascii="Cambria" w:hAnsi="Cambria"/>
          <w:sz w:val="20"/>
          <w:szCs w:val="20"/>
          <w:lang w:val="es-ES"/>
        </w:rPr>
        <w:t xml:space="preserve">“con fecha 11 de diciembre del 2002, la señora Jueza suplente de la época, dicta auto de sobreseimiento provisional en el </w:t>
      </w:r>
      <w:r w:rsidR="00691312" w:rsidRPr="002A35D9">
        <w:rPr>
          <w:rFonts w:ascii="Cambria" w:hAnsi="Cambria"/>
          <w:sz w:val="20"/>
          <w:szCs w:val="20"/>
          <w:lang w:val="es-ES"/>
        </w:rPr>
        <w:lastRenderedPageBreak/>
        <w:t>proceso y de los imputados, mismo que se halla ejecutoriado por el ministerio de la ley. A partir de dicho auto no se ha recibido ninguna otra diligencia por</w:t>
      </w:r>
      <w:r w:rsidR="007547DB" w:rsidRPr="002A35D9">
        <w:rPr>
          <w:rFonts w:ascii="Cambria" w:hAnsi="Cambria"/>
          <w:sz w:val="20"/>
          <w:szCs w:val="20"/>
          <w:lang w:val="es-ES"/>
        </w:rPr>
        <w:t xml:space="preserve"> parte de la Fiscalía, hasta la </w:t>
      </w:r>
      <w:r w:rsidR="00691312" w:rsidRPr="002A35D9">
        <w:rPr>
          <w:rFonts w:ascii="Cambria" w:hAnsi="Cambria"/>
          <w:sz w:val="20"/>
          <w:szCs w:val="20"/>
          <w:lang w:val="es-ES"/>
        </w:rPr>
        <w:t>presente fecha”</w:t>
      </w:r>
      <w:r w:rsidR="00691312" w:rsidRPr="000A209E">
        <w:rPr>
          <w:rStyle w:val="Refdenotaalpie"/>
          <w:rFonts w:ascii="Cambria" w:hAnsi="Cambria"/>
          <w:sz w:val="20"/>
          <w:szCs w:val="20"/>
          <w:lang w:val="es-ES"/>
        </w:rPr>
        <w:footnoteReference w:id="47"/>
      </w:r>
      <w:bookmarkStart w:id="10" w:name="_Toc519601827"/>
      <w:bookmarkEnd w:id="9"/>
    </w:p>
    <w:p w14:paraId="0E1023D1" w14:textId="77777777" w:rsidR="002A35D9" w:rsidRDefault="002A35D9" w:rsidP="002A35D9">
      <w:pPr>
        <w:pStyle w:val="Prrafodelista"/>
        <w:rPr>
          <w:rFonts w:asciiTheme="majorHAnsi" w:hAnsiTheme="majorHAnsi"/>
          <w:sz w:val="20"/>
          <w:szCs w:val="20"/>
          <w:lang w:val="es-VE"/>
        </w:rPr>
      </w:pPr>
    </w:p>
    <w:p w14:paraId="1C3AB9B5" w14:textId="77777777" w:rsidR="001B2E71" w:rsidRPr="002A35D9" w:rsidRDefault="0065556E" w:rsidP="001B2E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A35D9">
        <w:rPr>
          <w:rFonts w:asciiTheme="majorHAnsi" w:hAnsiTheme="majorHAnsi"/>
          <w:sz w:val="20"/>
          <w:szCs w:val="20"/>
          <w:lang w:val="es-VE"/>
        </w:rPr>
        <w:t>Según consta en los informes policiales,</w:t>
      </w:r>
      <w:r w:rsidR="00E3057C" w:rsidRPr="002A35D9">
        <w:rPr>
          <w:rFonts w:asciiTheme="majorHAnsi" w:hAnsiTheme="majorHAnsi"/>
          <w:sz w:val="20"/>
          <w:szCs w:val="20"/>
          <w:lang w:val="es-VE"/>
        </w:rPr>
        <w:t xml:space="preserve"> </w:t>
      </w:r>
      <w:r w:rsidRPr="002A35D9">
        <w:rPr>
          <w:rFonts w:asciiTheme="majorHAnsi" w:hAnsiTheme="majorHAnsi"/>
          <w:sz w:val="20"/>
          <w:szCs w:val="20"/>
          <w:lang w:val="es-VE"/>
        </w:rPr>
        <w:t>y declaraciones testimoniales</w:t>
      </w:r>
      <w:r w:rsidRPr="00667638">
        <w:rPr>
          <w:rStyle w:val="Refdenotaalpie"/>
          <w:rFonts w:asciiTheme="majorHAnsi" w:hAnsiTheme="majorHAnsi"/>
          <w:sz w:val="20"/>
          <w:szCs w:val="20"/>
          <w:lang w:val="es-VE"/>
        </w:rPr>
        <w:footnoteReference w:id="48"/>
      </w:r>
      <w:r w:rsidRPr="002A35D9">
        <w:rPr>
          <w:rFonts w:asciiTheme="majorHAnsi" w:hAnsiTheme="majorHAnsi"/>
          <w:sz w:val="20"/>
          <w:szCs w:val="20"/>
          <w:lang w:val="es-VE"/>
        </w:rPr>
        <w:t>, como consecuencia de su búsqueda de justicia,</w:t>
      </w:r>
      <w:r w:rsidR="00F8382E" w:rsidRPr="002A35D9">
        <w:rPr>
          <w:rFonts w:asciiTheme="majorHAnsi" w:hAnsiTheme="majorHAnsi"/>
          <w:sz w:val="20"/>
          <w:szCs w:val="20"/>
          <w:lang w:val="es-VE"/>
        </w:rPr>
        <w:t xml:space="preserve"> </w:t>
      </w:r>
      <w:r w:rsidRPr="002A35D9">
        <w:rPr>
          <w:rFonts w:asciiTheme="majorHAnsi" w:hAnsiTheme="majorHAnsi"/>
          <w:sz w:val="20"/>
          <w:szCs w:val="20"/>
          <w:bdr w:val="none" w:sz="0" w:space="0" w:color="auto"/>
          <w:lang w:val="es-ES"/>
        </w:rPr>
        <w:t>Gregoria Naranjo y Sixto Núñez, padres de la presunta víctima, así como otros familiares han recibido amenazas para obligarles a que abandonen sus propiedades en el cantón Quero o de lo contrario quemarían sus bienes y sus vidas estarían en peligro</w:t>
      </w:r>
      <w:r w:rsidRPr="00667638">
        <w:rPr>
          <w:rStyle w:val="Refdenotaalpie"/>
          <w:rFonts w:asciiTheme="majorHAnsi" w:hAnsiTheme="majorHAnsi"/>
          <w:sz w:val="20"/>
          <w:szCs w:val="20"/>
          <w:bdr w:val="none" w:sz="0" w:space="0" w:color="auto"/>
          <w:lang w:val="es-ES"/>
        </w:rPr>
        <w:footnoteReference w:id="49"/>
      </w:r>
      <w:r w:rsidRPr="002A35D9">
        <w:rPr>
          <w:rFonts w:asciiTheme="majorHAnsi" w:hAnsiTheme="majorHAnsi"/>
          <w:sz w:val="20"/>
          <w:szCs w:val="20"/>
          <w:bdr w:val="none" w:sz="0" w:space="0" w:color="auto"/>
          <w:lang w:val="es-ES"/>
        </w:rPr>
        <w:t>.</w:t>
      </w:r>
      <w:r w:rsidR="005B78D7" w:rsidRPr="002A35D9">
        <w:rPr>
          <w:rFonts w:asciiTheme="majorHAnsi" w:hAnsiTheme="majorHAnsi"/>
          <w:sz w:val="20"/>
          <w:szCs w:val="20"/>
          <w:bdr w:val="none" w:sz="0" w:space="0" w:color="auto"/>
          <w:lang w:val="es-ES"/>
        </w:rPr>
        <w:t xml:space="preserve"> </w:t>
      </w:r>
      <w:r w:rsidRPr="002A35D9">
        <w:rPr>
          <w:rFonts w:asciiTheme="majorHAnsi" w:hAnsiTheme="majorHAnsi"/>
          <w:sz w:val="20"/>
          <w:szCs w:val="20"/>
          <w:bdr w:val="none" w:sz="0" w:space="0" w:color="auto"/>
          <w:lang w:val="es-ES"/>
        </w:rPr>
        <w:t>En dicho</w:t>
      </w:r>
      <w:r w:rsidR="00300E3F" w:rsidRPr="002A35D9">
        <w:rPr>
          <w:rFonts w:asciiTheme="majorHAnsi" w:hAnsiTheme="majorHAnsi"/>
          <w:sz w:val="20"/>
          <w:szCs w:val="20"/>
          <w:bdr w:val="none" w:sz="0" w:space="0" w:color="auto"/>
          <w:lang w:val="es-ES"/>
        </w:rPr>
        <w:t>s</w:t>
      </w:r>
      <w:r w:rsidRPr="002A35D9">
        <w:rPr>
          <w:rFonts w:asciiTheme="majorHAnsi" w:hAnsiTheme="majorHAnsi"/>
          <w:sz w:val="20"/>
          <w:szCs w:val="20"/>
          <w:bdr w:val="none" w:sz="0" w:space="0" w:color="auto"/>
          <w:lang w:val="es-ES"/>
        </w:rPr>
        <w:t xml:space="preserve"> informe</w:t>
      </w:r>
      <w:r w:rsidR="00300E3F" w:rsidRPr="002A35D9">
        <w:rPr>
          <w:rFonts w:asciiTheme="majorHAnsi" w:hAnsiTheme="majorHAnsi"/>
          <w:sz w:val="20"/>
          <w:szCs w:val="20"/>
          <w:bdr w:val="none" w:sz="0" w:space="0" w:color="auto"/>
          <w:lang w:val="es-ES"/>
        </w:rPr>
        <w:t>s</w:t>
      </w:r>
      <w:r w:rsidRPr="002A35D9">
        <w:rPr>
          <w:rFonts w:asciiTheme="majorHAnsi" w:hAnsiTheme="majorHAnsi"/>
          <w:sz w:val="20"/>
          <w:szCs w:val="20"/>
          <w:bdr w:val="none" w:sz="0" w:space="0" w:color="auto"/>
          <w:lang w:val="es-ES"/>
        </w:rPr>
        <w:t xml:space="preserve"> se indica que dichas amenazas provienen de miembros de la comunidad </w:t>
      </w:r>
      <w:proofErr w:type="spellStart"/>
      <w:r w:rsidR="001C7F2A" w:rsidRPr="002A35D9">
        <w:rPr>
          <w:rFonts w:asciiTheme="majorHAnsi" w:hAnsiTheme="majorHAnsi"/>
          <w:sz w:val="20"/>
          <w:szCs w:val="20"/>
          <w:bdr w:val="none" w:sz="0" w:space="0" w:color="auto"/>
          <w:lang w:val="es-ES"/>
        </w:rPr>
        <w:t>Puñachisag</w:t>
      </w:r>
      <w:proofErr w:type="spellEnd"/>
      <w:r w:rsidRPr="002A35D9">
        <w:rPr>
          <w:rStyle w:val="Refdenotaalpie"/>
          <w:rFonts w:asciiTheme="majorHAnsi" w:hAnsiTheme="majorHAnsi"/>
          <w:sz w:val="20"/>
          <w:szCs w:val="20"/>
          <w:bdr w:val="none" w:sz="0" w:space="0" w:color="auto"/>
          <w:lang w:val="es-ES"/>
        </w:rPr>
        <w:t xml:space="preserve"> </w:t>
      </w:r>
      <w:r w:rsidRPr="00667638">
        <w:rPr>
          <w:rStyle w:val="Refdenotaalpie"/>
          <w:rFonts w:asciiTheme="majorHAnsi" w:hAnsiTheme="majorHAnsi"/>
          <w:sz w:val="20"/>
          <w:szCs w:val="20"/>
          <w:bdr w:val="none" w:sz="0" w:space="0" w:color="auto"/>
          <w:lang w:val="es-ES"/>
        </w:rPr>
        <w:footnoteReference w:id="50"/>
      </w:r>
      <w:r w:rsidRPr="002A35D9">
        <w:rPr>
          <w:rFonts w:asciiTheme="majorHAnsi" w:hAnsiTheme="majorHAnsi"/>
          <w:sz w:val="20"/>
          <w:szCs w:val="20"/>
          <w:bdr w:val="none" w:sz="0" w:space="0" w:color="auto"/>
          <w:lang w:val="es-ES"/>
        </w:rPr>
        <w:t>.</w:t>
      </w:r>
      <w:r w:rsidR="004C4999" w:rsidRPr="002A35D9">
        <w:rPr>
          <w:rFonts w:asciiTheme="majorHAnsi" w:hAnsiTheme="majorHAnsi"/>
          <w:sz w:val="20"/>
          <w:szCs w:val="20"/>
          <w:bdr w:val="none" w:sz="0" w:space="0" w:color="auto"/>
          <w:lang w:val="es-ES"/>
        </w:rPr>
        <w:t xml:space="preserve"> </w:t>
      </w:r>
      <w:r w:rsidRPr="002A35D9">
        <w:rPr>
          <w:rFonts w:asciiTheme="majorHAnsi" w:hAnsiTheme="majorHAnsi"/>
          <w:sz w:val="20"/>
          <w:szCs w:val="20"/>
          <w:bdr w:val="none" w:sz="0" w:space="0" w:color="auto"/>
          <w:lang w:val="es-ES"/>
        </w:rPr>
        <w:t>No constan diligenci</w:t>
      </w:r>
      <w:r w:rsidR="003B5895" w:rsidRPr="002A35D9">
        <w:rPr>
          <w:rFonts w:asciiTheme="majorHAnsi" w:hAnsiTheme="majorHAnsi"/>
          <w:sz w:val="20"/>
          <w:szCs w:val="20"/>
          <w:bdr w:val="none" w:sz="0" w:space="0" w:color="auto"/>
          <w:lang w:val="es-ES"/>
        </w:rPr>
        <w:t>a alguna</w:t>
      </w:r>
      <w:r w:rsidRPr="002A35D9">
        <w:rPr>
          <w:rFonts w:asciiTheme="majorHAnsi" w:hAnsiTheme="majorHAnsi"/>
          <w:sz w:val="20"/>
          <w:szCs w:val="20"/>
          <w:bdr w:val="none" w:sz="0" w:space="0" w:color="auto"/>
          <w:lang w:val="es-ES"/>
        </w:rPr>
        <w:t xml:space="preserve"> realizadas por el Estado para brindar protección a los familiares de la presunta víctima por las amenazas denunciadas. </w:t>
      </w:r>
    </w:p>
    <w:p w14:paraId="13F311C0" w14:textId="77777777" w:rsidR="00180FAA" w:rsidRPr="001B2E71" w:rsidRDefault="00180FAA" w:rsidP="001B2E7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lang w:val="es-VE"/>
        </w:rPr>
      </w:pPr>
    </w:p>
    <w:p w14:paraId="6EFCA0AE" w14:textId="77777777" w:rsidR="002D3E0D" w:rsidRPr="009569DD" w:rsidRDefault="002D3E0D" w:rsidP="002E18FD">
      <w:pPr>
        <w:pStyle w:val="Ttulo1"/>
        <w:numPr>
          <w:ilvl w:val="0"/>
          <w:numId w:val="55"/>
        </w:numPr>
        <w:spacing w:before="0"/>
        <w:ind w:left="0" w:firstLine="0"/>
        <w:jc w:val="both"/>
        <w:rPr>
          <w:rFonts w:ascii="Cambria" w:hAnsi="Cambria"/>
          <w:color w:val="000000" w:themeColor="text1"/>
          <w:sz w:val="20"/>
          <w:szCs w:val="20"/>
          <w:lang w:val="es-ES"/>
        </w:rPr>
      </w:pPr>
      <w:bookmarkStart w:id="11" w:name="_Toc5359029"/>
      <w:r w:rsidRPr="009569DD">
        <w:rPr>
          <w:rFonts w:ascii="Cambria" w:hAnsi="Cambria"/>
          <w:color w:val="000000" w:themeColor="text1"/>
          <w:sz w:val="20"/>
          <w:szCs w:val="20"/>
          <w:lang w:val="es-ES"/>
        </w:rPr>
        <w:t>ANÁLISIS DE DERECHO</w:t>
      </w:r>
      <w:bookmarkEnd w:id="11"/>
    </w:p>
    <w:p w14:paraId="6CAD1A4F" w14:textId="77777777" w:rsidR="002D3E0D" w:rsidRPr="00EE23B2" w:rsidRDefault="002D3E0D" w:rsidP="002D3E0D">
      <w:pPr>
        <w:pBdr>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highlight w:val="yellow"/>
          <w:lang w:val="es-CO"/>
        </w:rPr>
      </w:pPr>
      <w:bookmarkStart w:id="12" w:name="_Toc423514425"/>
      <w:bookmarkStart w:id="13" w:name="_Toc441166737"/>
      <w:bookmarkStart w:id="14" w:name="_Toc477355361"/>
      <w:bookmarkStart w:id="15" w:name="_Toc519601825"/>
    </w:p>
    <w:p w14:paraId="47D74681" w14:textId="77777777" w:rsidR="0056056C" w:rsidRPr="00A347DA" w:rsidRDefault="0056056C" w:rsidP="002E18FD">
      <w:pPr>
        <w:pStyle w:val="Ttulo2"/>
        <w:keepNext w:val="0"/>
        <w:numPr>
          <w:ilvl w:val="0"/>
          <w:numId w:val="58"/>
        </w:numPr>
        <w:pBdr>
          <w:top w:val="nil"/>
          <w:left w:val="nil"/>
          <w:bottom w:val="nil"/>
          <w:right w:val="nil"/>
          <w:between w:val="nil"/>
          <w:bar w:val="nil"/>
        </w:pBdr>
        <w:spacing w:before="0" w:after="0"/>
        <w:ind w:left="630" w:hanging="540"/>
        <w:jc w:val="both"/>
        <w:rPr>
          <w:rFonts w:ascii="Cambria" w:hAnsi="Cambria"/>
          <w:i w:val="0"/>
          <w:sz w:val="20"/>
          <w:szCs w:val="20"/>
          <w:lang w:val="es-VE"/>
        </w:rPr>
      </w:pPr>
      <w:bookmarkStart w:id="16" w:name="_Toc1985289"/>
      <w:bookmarkStart w:id="17" w:name="_Toc5359030"/>
      <w:bookmarkEnd w:id="12"/>
      <w:bookmarkEnd w:id="13"/>
      <w:bookmarkEnd w:id="14"/>
      <w:bookmarkEnd w:id="15"/>
      <w:r w:rsidRPr="00152E74">
        <w:rPr>
          <w:rFonts w:ascii="Cambria" w:hAnsi="Cambria"/>
          <w:i w:val="0"/>
          <w:sz w:val="20"/>
          <w:szCs w:val="20"/>
          <w:lang w:val="es-VE"/>
        </w:rPr>
        <w:t>Derechos al reconocimiento de la personalidad jurídica, a la libertad personal, a la integridad personal, a la vida, a las garantías judiciales y</w:t>
      </w:r>
      <w:r>
        <w:rPr>
          <w:rFonts w:ascii="Cambria" w:hAnsi="Cambria"/>
          <w:i w:val="0"/>
          <w:sz w:val="20"/>
          <w:szCs w:val="20"/>
          <w:lang w:val="es-VE"/>
        </w:rPr>
        <w:t xml:space="preserve"> a</w:t>
      </w:r>
      <w:r w:rsidRPr="00152E74">
        <w:rPr>
          <w:rFonts w:ascii="Cambria" w:hAnsi="Cambria"/>
          <w:i w:val="0"/>
          <w:sz w:val="20"/>
          <w:szCs w:val="20"/>
          <w:lang w:val="es-VE"/>
        </w:rPr>
        <w:t xml:space="preserve"> la protección judicial (Artículos 3, 7, 5, </w:t>
      </w:r>
      <w:r>
        <w:rPr>
          <w:rFonts w:ascii="Cambria" w:hAnsi="Cambria"/>
          <w:i w:val="0"/>
          <w:sz w:val="20"/>
          <w:szCs w:val="20"/>
          <w:lang w:val="es-VE"/>
        </w:rPr>
        <w:t xml:space="preserve">y </w:t>
      </w:r>
      <w:r w:rsidRPr="00152E74">
        <w:rPr>
          <w:rFonts w:ascii="Cambria" w:hAnsi="Cambria"/>
          <w:i w:val="0"/>
          <w:sz w:val="20"/>
          <w:szCs w:val="20"/>
          <w:lang w:val="es-VE"/>
        </w:rPr>
        <w:t>4, de la Convención Americana) en relación con la obligación de respetar y garantizar los derechos (artículo 1.1 del mismo instrumento</w:t>
      </w:r>
      <w:r w:rsidRPr="00152E74">
        <w:rPr>
          <w:rStyle w:val="Refdenotaalpie"/>
          <w:rFonts w:ascii="Cambria" w:hAnsi="Cambria"/>
          <w:i w:val="0"/>
          <w:sz w:val="20"/>
          <w:szCs w:val="20"/>
          <w:lang w:val="es-VE"/>
        </w:rPr>
        <w:footnoteReference w:id="51"/>
      </w:r>
      <w:r w:rsidRPr="00152E74">
        <w:rPr>
          <w:rFonts w:ascii="Cambria" w:hAnsi="Cambria"/>
          <w:i w:val="0"/>
          <w:sz w:val="20"/>
          <w:szCs w:val="20"/>
          <w:lang w:val="es-VE"/>
        </w:rPr>
        <w:t>); y artículo I</w:t>
      </w:r>
      <w:r>
        <w:rPr>
          <w:rFonts w:ascii="Cambria" w:hAnsi="Cambria"/>
          <w:i w:val="0"/>
          <w:sz w:val="20"/>
          <w:szCs w:val="20"/>
          <w:lang w:val="es-VE"/>
        </w:rPr>
        <w:t xml:space="preserve"> </w:t>
      </w:r>
      <w:r w:rsidRPr="00152E74">
        <w:rPr>
          <w:rFonts w:ascii="Cambria" w:hAnsi="Cambria"/>
          <w:i w:val="0"/>
          <w:sz w:val="20"/>
          <w:szCs w:val="20"/>
          <w:lang w:val="es-VE"/>
        </w:rPr>
        <w:t xml:space="preserve">a) </w:t>
      </w:r>
      <w:r w:rsidRPr="00152E74">
        <w:rPr>
          <w:rStyle w:val="Refdenotaalpie"/>
          <w:rFonts w:ascii="Cambria" w:hAnsi="Cambria"/>
          <w:i w:val="0"/>
          <w:sz w:val="20"/>
          <w:szCs w:val="20"/>
          <w:lang w:val="es-VE"/>
        </w:rPr>
        <w:footnoteReference w:id="52"/>
      </w:r>
      <w:r w:rsidRPr="00152E74">
        <w:rPr>
          <w:rFonts w:ascii="Cambria" w:hAnsi="Cambria"/>
          <w:i w:val="0"/>
          <w:sz w:val="20"/>
          <w:szCs w:val="20"/>
          <w:lang w:val="es-VE"/>
        </w:rPr>
        <w:t xml:space="preserve"> de la CIDFP</w:t>
      </w:r>
      <w:bookmarkEnd w:id="16"/>
      <w:bookmarkEnd w:id="17"/>
    </w:p>
    <w:p w14:paraId="28B89BCE" w14:textId="77777777" w:rsidR="002D3E0D" w:rsidRPr="0056056C" w:rsidRDefault="002D3E0D" w:rsidP="002D3E0D">
      <w:pPr>
        <w:pStyle w:val="p1"/>
        <w:jc w:val="both"/>
        <w:rPr>
          <w:rFonts w:ascii="Cambria" w:hAnsi="Cambria"/>
          <w:sz w:val="20"/>
          <w:szCs w:val="20"/>
          <w:lang w:val="es-VE"/>
        </w:rPr>
      </w:pPr>
    </w:p>
    <w:p w14:paraId="4D3DF89D" w14:textId="77777777" w:rsidR="002E18FD" w:rsidRPr="005E6B01" w:rsidRDefault="006C522F"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152E74">
        <w:rPr>
          <w:rFonts w:ascii="Cambria" w:hAnsi="Cambria"/>
          <w:sz w:val="20"/>
          <w:szCs w:val="20"/>
          <w:lang w:val="es-CO"/>
        </w:rPr>
        <w:t xml:space="preserve">La jurisprudencia constante del Sistema Interamericano en casos de desaparición forzada de </w:t>
      </w:r>
      <w:proofErr w:type="gramStart"/>
      <w:r w:rsidRPr="00152E74">
        <w:rPr>
          <w:rFonts w:ascii="Cambria" w:hAnsi="Cambria"/>
          <w:sz w:val="20"/>
          <w:szCs w:val="20"/>
          <w:lang w:val="es-CO"/>
        </w:rPr>
        <w:t>personas,</w:t>
      </w:r>
      <w:proofErr w:type="gramEnd"/>
      <w:r w:rsidRPr="00152E74">
        <w:rPr>
          <w:rFonts w:ascii="Cambria" w:hAnsi="Cambria"/>
          <w:sz w:val="20"/>
          <w:szCs w:val="20"/>
          <w:lang w:val="es-CO"/>
        </w:rPr>
        <w:t xml:space="preserve"> ha indicado que constituye un hecho ilícito que genera una violación múltiple y continuada de varios derechos </w:t>
      </w:r>
      <w:r w:rsidRPr="00152E74">
        <w:rPr>
          <w:rFonts w:ascii="Cambria" w:hAnsi="Cambria" w:cs="Calibri"/>
          <w:color w:val="000000"/>
          <w:sz w:val="20"/>
          <w:szCs w:val="20"/>
          <w:lang w:val="es-ES"/>
        </w:rPr>
        <w:t>protegidos</w:t>
      </w:r>
      <w:r w:rsidRPr="00152E74">
        <w:rPr>
          <w:rFonts w:ascii="Cambria" w:hAnsi="Cambria"/>
          <w:sz w:val="20"/>
          <w:szCs w:val="20"/>
          <w:lang w:val="es-CO"/>
        </w:rPr>
        <w:t xml:space="preserve"> por la Convención Americana y coloca a la</w:t>
      </w:r>
      <w:r>
        <w:rPr>
          <w:rFonts w:ascii="Cambria" w:hAnsi="Cambria"/>
          <w:sz w:val="20"/>
          <w:szCs w:val="20"/>
          <w:lang w:val="es-CO"/>
        </w:rPr>
        <w:t>s</w:t>
      </w:r>
      <w:r w:rsidRPr="00152E74">
        <w:rPr>
          <w:rFonts w:ascii="Cambria" w:hAnsi="Cambria"/>
          <w:sz w:val="20"/>
          <w:szCs w:val="20"/>
          <w:lang w:val="es-CO"/>
        </w:rPr>
        <w:t xml:space="preserve"> víctima</w:t>
      </w:r>
      <w:r>
        <w:rPr>
          <w:rFonts w:ascii="Cambria" w:hAnsi="Cambria"/>
          <w:sz w:val="20"/>
          <w:szCs w:val="20"/>
          <w:lang w:val="es-CO"/>
        </w:rPr>
        <w:t>s</w:t>
      </w:r>
      <w:r w:rsidRPr="00152E74">
        <w:rPr>
          <w:rFonts w:ascii="Cambria" w:hAnsi="Cambria"/>
          <w:sz w:val="20"/>
          <w:szCs w:val="20"/>
          <w:lang w:val="es-CO"/>
        </w:rPr>
        <w:t xml:space="preserve"> en un estado de completa indefensión, acarreando otras violaciones conexas</w:t>
      </w:r>
      <w:r w:rsidRPr="00152E74">
        <w:rPr>
          <w:rFonts w:ascii="Cambria" w:hAnsi="Cambria"/>
          <w:sz w:val="20"/>
          <w:szCs w:val="20"/>
          <w:vertAlign w:val="superscript"/>
          <w:lang w:val="es-CO"/>
        </w:rPr>
        <w:footnoteReference w:id="53"/>
      </w:r>
      <w:r w:rsidRPr="00152E74">
        <w:rPr>
          <w:rFonts w:ascii="Cambria" w:hAnsi="Cambria"/>
          <w:sz w:val="20"/>
          <w:szCs w:val="20"/>
          <w:lang w:val="es-CO"/>
        </w:rPr>
        <w:t xml:space="preserve">. </w:t>
      </w:r>
    </w:p>
    <w:p w14:paraId="5D778383" w14:textId="77777777" w:rsidR="002E18FD" w:rsidRDefault="006C522F"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ES_tradnl"/>
        </w:rPr>
        <w:lastRenderedPageBreak/>
        <w:t xml:space="preserve">De acuerdo con su jurisprudencia consolidada, la Comisión considera que la desaparición forzada es una violación de derechos humanos compleja que continúa en el tiempo hasta tanto el paradero de la víctima o de </w:t>
      </w:r>
      <w:r w:rsidRPr="002E18FD">
        <w:rPr>
          <w:rFonts w:ascii="Cambria" w:eastAsia="Times New Roman" w:hAnsi="Cambria"/>
          <w:spacing w:val="-3"/>
          <w:sz w:val="20"/>
          <w:szCs w:val="20"/>
          <w:lang w:val="es-CR"/>
        </w:rPr>
        <w:t>sus</w:t>
      </w:r>
      <w:r w:rsidRPr="002E18FD">
        <w:rPr>
          <w:rFonts w:ascii="Cambria" w:hAnsi="Cambria"/>
          <w:sz w:val="20"/>
          <w:szCs w:val="20"/>
          <w:lang w:val="es-ES_tradnl"/>
        </w:rPr>
        <w:t xml:space="preserve"> restos continúa desconocido. La desaparición como tal sólo cesa cuando aparece la víctima o sus restos son ubicados</w:t>
      </w:r>
      <w:r w:rsidRPr="00152E74">
        <w:rPr>
          <w:rStyle w:val="Refdenotaalpie"/>
          <w:rFonts w:ascii="Cambria" w:hAnsi="Cambria"/>
          <w:sz w:val="20"/>
          <w:szCs w:val="20"/>
          <w:lang w:val="es-ES_tradnl"/>
        </w:rPr>
        <w:footnoteReference w:id="54"/>
      </w:r>
      <w:r w:rsidRPr="002E18FD">
        <w:rPr>
          <w:rFonts w:ascii="Cambria" w:hAnsi="Cambria"/>
          <w:sz w:val="20"/>
          <w:szCs w:val="20"/>
          <w:lang w:val="es-ES_tradnl"/>
        </w:rPr>
        <w:t xml:space="preserve">, </w:t>
      </w:r>
      <w:r w:rsidRPr="002E18FD">
        <w:rPr>
          <w:rFonts w:ascii="Cambria" w:hAnsi="Cambria" w:cs="Times"/>
          <w:sz w:val="20"/>
          <w:szCs w:val="20"/>
          <w:lang w:val="es-US" w:eastAsia="es-CR"/>
        </w:rPr>
        <w:t>de modo que se determine con certeza su identidad</w:t>
      </w:r>
      <w:r w:rsidRPr="00152E74">
        <w:rPr>
          <w:rFonts w:ascii="Cambria" w:hAnsi="Cambria"/>
          <w:spacing w:val="-2"/>
          <w:sz w:val="20"/>
          <w:szCs w:val="20"/>
          <w:vertAlign w:val="superscript"/>
          <w:lang w:eastAsia="es-CR"/>
        </w:rPr>
        <w:footnoteReference w:id="55"/>
      </w:r>
      <w:r w:rsidRPr="002E18FD">
        <w:rPr>
          <w:rFonts w:ascii="Cambria" w:hAnsi="Cambria"/>
          <w:sz w:val="20"/>
          <w:szCs w:val="20"/>
          <w:lang w:val="es-US" w:eastAsia="es-CR"/>
        </w:rPr>
        <w:t>.</w:t>
      </w:r>
    </w:p>
    <w:p w14:paraId="4CFD28AF" w14:textId="77777777" w:rsidR="002E18FD" w:rsidRDefault="002E18FD" w:rsidP="002E18FD">
      <w:pPr>
        <w:pStyle w:val="Prrafodelista"/>
        <w:rPr>
          <w:rFonts w:eastAsia="Times New Roman"/>
          <w:sz w:val="20"/>
          <w:szCs w:val="20"/>
          <w:lang w:val="es-CR"/>
        </w:rPr>
      </w:pPr>
    </w:p>
    <w:p w14:paraId="270E913A" w14:textId="77777777" w:rsidR="002E18FD" w:rsidRDefault="006C522F"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eastAsia="Times New Roman" w:hAnsi="Cambria"/>
          <w:sz w:val="20"/>
          <w:szCs w:val="20"/>
          <w:lang w:val="es-CR"/>
        </w:rPr>
        <w:t>Respecto a los derechos vulnerados,</w:t>
      </w:r>
      <w:r w:rsidRPr="002E18FD">
        <w:rPr>
          <w:rFonts w:ascii="Cambria" w:eastAsia="Times New Roman" w:hAnsi="Cambria"/>
          <w:sz w:val="20"/>
          <w:szCs w:val="20"/>
          <w:lang w:val="es-VE"/>
        </w:rPr>
        <w:t xml:space="preserve"> </w:t>
      </w:r>
      <w:r w:rsidRPr="002E18FD">
        <w:rPr>
          <w:rFonts w:ascii="Cambria" w:eastAsia="Times New Roman" w:hAnsi="Cambria"/>
          <w:sz w:val="20"/>
          <w:szCs w:val="20"/>
          <w:lang w:val="es-CR"/>
        </w:rPr>
        <w:t xml:space="preserve">la desaparición forzada vulnera el derecho a la libertad personal y </w:t>
      </w:r>
      <w:r w:rsidRPr="002E18FD">
        <w:rPr>
          <w:rFonts w:ascii="Cambria" w:hAnsi="Cambria"/>
          <w:sz w:val="20"/>
          <w:szCs w:val="20"/>
          <w:lang w:val="es-ES_tradnl"/>
        </w:rPr>
        <w:t>coloca</w:t>
      </w:r>
      <w:r w:rsidRPr="002E18FD">
        <w:rPr>
          <w:rFonts w:ascii="Cambria" w:eastAsia="Times New Roman" w:hAnsi="Cambria"/>
          <w:sz w:val="20"/>
          <w:szCs w:val="20"/>
          <w:lang w:val="es-CR"/>
        </w:rPr>
        <w:t xml:space="preserve"> a la víctima </w:t>
      </w:r>
      <w:r w:rsidRPr="002E18FD">
        <w:rPr>
          <w:rFonts w:ascii="Cambria" w:eastAsia="Times New Roman" w:hAnsi="Cambria"/>
          <w:sz w:val="20"/>
          <w:szCs w:val="20"/>
          <w:lang w:val="es-VE"/>
        </w:rPr>
        <w:t xml:space="preserve">en una grave situación de riesgo de sufrir daños irreparables a sus derechos a la integridad personal y a la vida. </w:t>
      </w:r>
      <w:r w:rsidRPr="002E18FD">
        <w:rPr>
          <w:rFonts w:ascii="Cambria" w:eastAsia="Times New Roman" w:hAnsi="Cambria"/>
          <w:sz w:val="20"/>
          <w:szCs w:val="20"/>
          <w:lang w:val="es-ES"/>
        </w:rPr>
        <w:t xml:space="preserve">La Corte ha indicado que la desaparición forzada viola el derecho a la integridad personal puesto que </w:t>
      </w:r>
      <w:r w:rsidRPr="002E18FD">
        <w:rPr>
          <w:rFonts w:ascii="Cambria" w:eastAsia="Times New Roman" w:hAnsi="Cambria"/>
          <w:sz w:val="20"/>
          <w:szCs w:val="20"/>
          <w:lang w:val="es-VE"/>
        </w:rPr>
        <w:t>“el solo hecho del aislamiento prolongado y de la incomunicación coactiva, representa un tratamiento cruel e inhumano”</w:t>
      </w:r>
      <w:r w:rsidRPr="00152E74">
        <w:rPr>
          <w:rFonts w:ascii="Cambria" w:eastAsia="Times New Roman" w:hAnsi="Cambria"/>
          <w:sz w:val="20"/>
          <w:szCs w:val="20"/>
          <w:vertAlign w:val="superscript"/>
        </w:rPr>
        <w:footnoteReference w:id="56"/>
      </w:r>
      <w:r w:rsidRPr="002E18FD">
        <w:rPr>
          <w:rFonts w:ascii="Cambria" w:eastAsia="Times New Roman" w:hAnsi="Cambria"/>
          <w:sz w:val="20"/>
          <w:szCs w:val="20"/>
          <w:lang w:val="es-VE"/>
        </w:rPr>
        <w:t xml:space="preserve">. La Comisión y la Corte </w:t>
      </w:r>
      <w:r w:rsidRPr="002E18FD">
        <w:rPr>
          <w:rFonts w:ascii="Cambria" w:hAnsi="Cambria"/>
          <w:sz w:val="20"/>
          <w:szCs w:val="20"/>
          <w:lang w:val="es-US"/>
        </w:rPr>
        <w:t>han establecido que resulta evidente que las víctimas de esta práctica se ven vulneradas en su integridad personal en todas sus dimensiones</w:t>
      </w:r>
      <w:r w:rsidRPr="00152E74">
        <w:rPr>
          <w:rStyle w:val="Refdenotaalpie"/>
          <w:rFonts w:ascii="Cambria" w:hAnsi="Cambria"/>
          <w:sz w:val="20"/>
          <w:szCs w:val="20"/>
        </w:rPr>
        <w:footnoteReference w:id="57"/>
      </w:r>
      <w:r w:rsidRPr="002E18FD">
        <w:rPr>
          <w:rFonts w:ascii="Cambria" w:hAnsi="Cambria"/>
          <w:sz w:val="20"/>
          <w:szCs w:val="20"/>
          <w:lang w:val="es-US"/>
        </w:rPr>
        <w:t xml:space="preserve">. </w:t>
      </w:r>
      <w:r w:rsidRPr="002E18FD">
        <w:rPr>
          <w:rFonts w:ascii="Cambria" w:eastAsia="Times New Roman" w:hAnsi="Cambria"/>
          <w:sz w:val="20"/>
          <w:szCs w:val="20"/>
          <w:lang w:val="es-VE"/>
        </w:rPr>
        <w:t xml:space="preserve">Asimismo, la Corte ha manifestado que </w:t>
      </w:r>
      <w:r w:rsidRPr="002E18FD">
        <w:rPr>
          <w:rFonts w:ascii="Cambria" w:eastAsia="Times New Roman" w:hAnsi="Cambria"/>
          <w:sz w:val="20"/>
          <w:szCs w:val="20"/>
          <w:lang w:val="es-ES"/>
        </w:rPr>
        <w:t xml:space="preserve">aún en el supuesto de que no puedan demostrarse los hechos de torturas o de privación de la vida de la persona víctima de desaparición en un caso concreto, </w:t>
      </w:r>
      <w:r w:rsidRPr="002E18FD">
        <w:rPr>
          <w:rFonts w:ascii="Cambria" w:eastAsia="Times New Roman" w:hAnsi="Cambria"/>
          <w:sz w:val="20"/>
          <w:szCs w:val="20"/>
          <w:lang w:val="es-VE"/>
        </w:rPr>
        <w:t xml:space="preserve">el sometimiento de detenidos a agentes estatales o </w:t>
      </w:r>
      <w:r w:rsidRPr="002E18FD">
        <w:rPr>
          <w:rFonts w:ascii="Cambria" w:eastAsia="Times New Roman" w:hAnsi="Cambria"/>
          <w:sz w:val="20"/>
          <w:szCs w:val="20"/>
          <w:lang w:val="es-ES"/>
        </w:rPr>
        <w:t>particulares que actúen con su aquiescencia o tolerancia que impunemente practiquen la tortura y el asesinato representa, por sí mismo, una infracción a los derechos a la integridad personal y a la vida</w:t>
      </w:r>
      <w:r w:rsidRPr="00152E74">
        <w:rPr>
          <w:rFonts w:ascii="Cambria" w:eastAsia="Times New Roman" w:hAnsi="Cambria"/>
          <w:sz w:val="20"/>
          <w:szCs w:val="20"/>
          <w:vertAlign w:val="superscript"/>
        </w:rPr>
        <w:footnoteReference w:id="58"/>
      </w:r>
      <w:r w:rsidRPr="002E18FD">
        <w:rPr>
          <w:rFonts w:ascii="Cambria" w:eastAsia="Times New Roman" w:hAnsi="Cambria"/>
          <w:sz w:val="20"/>
          <w:szCs w:val="20"/>
          <w:lang w:val="es-VE"/>
        </w:rPr>
        <w:t>.</w:t>
      </w:r>
    </w:p>
    <w:p w14:paraId="74E614C4" w14:textId="77777777" w:rsidR="002E18FD" w:rsidRDefault="002E18FD" w:rsidP="002E18FD">
      <w:pPr>
        <w:pStyle w:val="Prrafodelista"/>
        <w:rPr>
          <w:rFonts w:cs="Univers"/>
          <w:sz w:val="20"/>
          <w:szCs w:val="20"/>
          <w:lang w:val="es-MX"/>
        </w:rPr>
      </w:pPr>
    </w:p>
    <w:p w14:paraId="39B793F9" w14:textId="77777777" w:rsidR="002E18FD" w:rsidRDefault="006C522F"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proofErr w:type="gramStart"/>
      <w:r w:rsidRPr="002E18FD">
        <w:rPr>
          <w:rFonts w:ascii="Cambria" w:hAnsi="Cambria" w:cs="Univers"/>
          <w:sz w:val="20"/>
          <w:szCs w:val="20"/>
          <w:lang w:val="es-MX"/>
        </w:rPr>
        <w:t>De acuerdo a</w:t>
      </w:r>
      <w:proofErr w:type="gramEnd"/>
      <w:r w:rsidRPr="002E18FD">
        <w:rPr>
          <w:rFonts w:ascii="Cambria" w:hAnsi="Cambria" w:cs="Univers"/>
          <w:sz w:val="20"/>
          <w:szCs w:val="20"/>
          <w:lang w:val="es-MX"/>
        </w:rPr>
        <w:t xml:space="preserve"> la jurisprudencia de ambos órganos del sistema interamericano, la</w:t>
      </w:r>
      <w:r w:rsidRPr="002E18FD">
        <w:rPr>
          <w:rFonts w:ascii="Cambria" w:hAnsi="Cambria"/>
          <w:sz w:val="20"/>
          <w:szCs w:val="20"/>
          <w:lang w:val="es-ES_tradnl"/>
        </w:rPr>
        <w:t xml:space="preserve"> práctica de desapariciones ha implicado con frecuencia la ejecución de los detenidos, en secreto y sin fórmula de juicio, seguida del ocultamiento del </w:t>
      </w:r>
      <w:r w:rsidRPr="002E18FD">
        <w:rPr>
          <w:rFonts w:ascii="Cambria" w:hAnsi="Cambria" w:cs="Univers"/>
          <w:sz w:val="20"/>
          <w:szCs w:val="20"/>
          <w:lang w:val="es-MX"/>
        </w:rPr>
        <w:t>cadáver</w:t>
      </w:r>
      <w:r w:rsidRPr="002E18FD">
        <w:rPr>
          <w:rFonts w:ascii="Cambria" w:hAnsi="Cambria"/>
          <w:sz w:val="20"/>
          <w:szCs w:val="20"/>
          <w:lang w:val="es-ES_tradnl"/>
        </w:rPr>
        <w:t xml:space="preserve"> con el objeto de borrar toda huella material del crimen y de procurar la impunidad absoluta, lo que significa una brutal violación del derecho a la vida, reconocido en el artículo 4 de la Convención</w:t>
      </w:r>
      <w:r w:rsidRPr="00152E74">
        <w:rPr>
          <w:rStyle w:val="Refdenotaalpie"/>
          <w:rFonts w:ascii="Cambria" w:hAnsi="Cambria"/>
          <w:sz w:val="20"/>
          <w:szCs w:val="20"/>
        </w:rPr>
        <w:footnoteReference w:id="59"/>
      </w:r>
      <w:r w:rsidRPr="002E18FD">
        <w:rPr>
          <w:rFonts w:ascii="Cambria" w:hAnsi="Cambria"/>
          <w:sz w:val="20"/>
          <w:szCs w:val="20"/>
          <w:lang w:val="es-ES_tradnl"/>
        </w:rPr>
        <w:t xml:space="preserve">. La jurisprudencia también ha establecido que el hecho de que una persona esté desaparecida durante un largo </w:t>
      </w:r>
      <w:proofErr w:type="gramStart"/>
      <w:r w:rsidRPr="002E18FD">
        <w:rPr>
          <w:rFonts w:ascii="Cambria" w:hAnsi="Cambria"/>
          <w:sz w:val="20"/>
          <w:szCs w:val="20"/>
          <w:lang w:val="es-ES_tradnl"/>
        </w:rPr>
        <w:t>lapso de tiempo</w:t>
      </w:r>
      <w:proofErr w:type="gramEnd"/>
      <w:r w:rsidRPr="002E18FD">
        <w:rPr>
          <w:rFonts w:ascii="Cambria" w:hAnsi="Cambria"/>
          <w:sz w:val="20"/>
          <w:szCs w:val="20"/>
          <w:lang w:val="es-ES_tradnl"/>
        </w:rPr>
        <w:t xml:space="preserve"> y en un contexto de violencia es un indicio suficiente para concluir que la persona fue privada de su vida</w:t>
      </w:r>
      <w:r w:rsidRPr="00152E74">
        <w:rPr>
          <w:rStyle w:val="Refdenotaalpie"/>
          <w:rFonts w:ascii="Cambria" w:hAnsi="Cambria"/>
          <w:spacing w:val="-3"/>
          <w:sz w:val="20"/>
          <w:szCs w:val="20"/>
          <w:lang w:val="es-ES_tradnl"/>
        </w:rPr>
        <w:footnoteReference w:id="60"/>
      </w:r>
      <w:r w:rsidRPr="002E18FD">
        <w:rPr>
          <w:rFonts w:ascii="Cambria" w:hAnsi="Cambria"/>
          <w:sz w:val="20"/>
          <w:szCs w:val="20"/>
          <w:lang w:val="es-ES_tradnl"/>
        </w:rPr>
        <w:t xml:space="preserve">. </w:t>
      </w:r>
    </w:p>
    <w:p w14:paraId="52B4792B" w14:textId="77777777" w:rsidR="002E18FD" w:rsidRDefault="002E18FD" w:rsidP="002E18FD">
      <w:pPr>
        <w:pStyle w:val="Prrafodelista"/>
        <w:rPr>
          <w:sz w:val="20"/>
          <w:szCs w:val="20"/>
          <w:lang w:val="es-CO"/>
        </w:rPr>
      </w:pPr>
    </w:p>
    <w:p w14:paraId="70994BEC" w14:textId="77777777" w:rsidR="002E18FD" w:rsidRDefault="006C522F"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 xml:space="preserve">Adicionalmente, la Comisión ha señalado de manera consistente </w:t>
      </w:r>
      <w:proofErr w:type="gramStart"/>
      <w:r w:rsidRPr="002E18FD">
        <w:rPr>
          <w:rFonts w:ascii="Cambria" w:hAnsi="Cambria"/>
          <w:sz w:val="20"/>
          <w:szCs w:val="20"/>
          <w:lang w:val="es-CO"/>
        </w:rPr>
        <w:t>que</w:t>
      </w:r>
      <w:proofErr w:type="gramEnd"/>
      <w:r w:rsidRPr="002E18FD">
        <w:rPr>
          <w:rFonts w:ascii="Cambria" w:hAnsi="Cambria"/>
          <w:sz w:val="20"/>
          <w:szCs w:val="20"/>
          <w:lang w:val="es-CO"/>
        </w:rPr>
        <w:t xml:space="preserve"> en casos de desaparición </w:t>
      </w:r>
      <w:r w:rsidRPr="002E18FD">
        <w:rPr>
          <w:rFonts w:ascii="Cambria" w:hAnsi="Cambria" w:cs="Univers"/>
          <w:sz w:val="20"/>
          <w:szCs w:val="20"/>
          <w:lang w:val="es-MX"/>
        </w:rPr>
        <w:t>forzada</w:t>
      </w:r>
      <w:r w:rsidRPr="002E18FD">
        <w:rPr>
          <w:rFonts w:ascii="Cambria" w:hAnsi="Cambria"/>
          <w:sz w:val="20"/>
          <w:szCs w:val="20"/>
          <w:lang w:val="es-CO"/>
        </w:rPr>
        <w:t>, atendiendo al carácter múltiple y complejo de esta grave violación de derechos humanos, su ejecución genera la vulneración específica del derecho al reconocimiento de la personalidad jurídica</w:t>
      </w:r>
      <w:r w:rsidRPr="00152E74">
        <w:rPr>
          <w:rStyle w:val="Refdenotaalpie"/>
          <w:rFonts w:ascii="Cambria" w:hAnsi="Cambria"/>
          <w:sz w:val="20"/>
          <w:szCs w:val="20"/>
          <w:lang w:bidi="te-IN"/>
        </w:rPr>
        <w:footnoteReference w:id="61"/>
      </w:r>
      <w:r w:rsidRPr="002E18FD">
        <w:rPr>
          <w:rFonts w:ascii="Cambria" w:hAnsi="Cambria"/>
          <w:sz w:val="20"/>
          <w:szCs w:val="20"/>
          <w:lang w:val="es-CO"/>
        </w:rPr>
        <w:t>. Así lo ha reconocido también la Corte Interamericana</w:t>
      </w:r>
      <w:r w:rsidRPr="00152E74">
        <w:rPr>
          <w:rFonts w:ascii="Cambria" w:eastAsia="Times New Roman" w:hAnsi="Cambria"/>
          <w:sz w:val="20"/>
          <w:szCs w:val="20"/>
          <w:vertAlign w:val="superscript"/>
        </w:rPr>
        <w:footnoteReference w:id="62"/>
      </w:r>
      <w:r w:rsidRPr="002E18FD">
        <w:rPr>
          <w:rFonts w:ascii="Cambria" w:hAnsi="Cambria"/>
          <w:sz w:val="20"/>
          <w:szCs w:val="20"/>
          <w:lang w:val="es-CO"/>
        </w:rPr>
        <w:t xml:space="preserve">. </w:t>
      </w:r>
      <w:r w:rsidRPr="002E18FD">
        <w:rPr>
          <w:rFonts w:ascii="Cambria" w:eastAsia="Times New Roman" w:hAnsi="Cambria"/>
          <w:sz w:val="20"/>
          <w:szCs w:val="20"/>
          <w:lang w:val="es-VE"/>
        </w:rPr>
        <w:t xml:space="preserve">Ello se debe a que además de que la persona desaparecida </w:t>
      </w:r>
      <w:r w:rsidRPr="002E18FD">
        <w:rPr>
          <w:rFonts w:ascii="Cambria" w:eastAsia="Times New Roman" w:hAnsi="Cambria"/>
          <w:sz w:val="20"/>
          <w:szCs w:val="20"/>
          <w:lang w:val="es-ES"/>
        </w:rPr>
        <w:t xml:space="preserve">no puede continuar gozando y ejerciendo los derechos de los cuales es titular, la desaparición forzada busca </w:t>
      </w:r>
      <w:r w:rsidRPr="002E18FD">
        <w:rPr>
          <w:rFonts w:ascii="Cambria" w:eastAsia="Times New Roman" w:hAnsi="Cambria"/>
          <w:sz w:val="20"/>
          <w:szCs w:val="20"/>
          <w:lang w:val="es-VE"/>
        </w:rPr>
        <w:t>“</w:t>
      </w:r>
      <w:r w:rsidRPr="002E18FD">
        <w:rPr>
          <w:rFonts w:ascii="Cambria" w:eastAsia="Times New Roman" w:hAnsi="Cambria"/>
          <w:sz w:val="20"/>
          <w:szCs w:val="20"/>
          <w:lang w:val="es-ES"/>
        </w:rPr>
        <w:t xml:space="preserve">no sólo una de las más graves formas de sustracción de una persona de todo ámbito del ordenamiento jurídico, sino también negar </w:t>
      </w:r>
      <w:r w:rsidRPr="002E18FD">
        <w:rPr>
          <w:rFonts w:ascii="Cambria" w:eastAsia="Times New Roman" w:hAnsi="Cambria" w:cs="Verdana"/>
          <w:sz w:val="20"/>
          <w:szCs w:val="20"/>
          <w:lang w:val="es-VE"/>
        </w:rPr>
        <w:t xml:space="preserve">su existencia misma y dejarla en una suerte de limbo o situación de indeterminación jurídica </w:t>
      </w:r>
      <w:r w:rsidRPr="002E18FD">
        <w:rPr>
          <w:rFonts w:ascii="Cambria" w:eastAsia="Times New Roman" w:hAnsi="Cambria" w:cs="Verdana"/>
          <w:sz w:val="20"/>
          <w:szCs w:val="20"/>
          <w:lang w:val="es-VE"/>
        </w:rPr>
        <w:lastRenderedPageBreak/>
        <w:t>ante la sociedad y el Estado”</w:t>
      </w:r>
      <w:r w:rsidRPr="00152E74">
        <w:rPr>
          <w:rFonts w:ascii="Cambria" w:eastAsia="Times New Roman" w:hAnsi="Cambria" w:cs="Verdana"/>
          <w:sz w:val="20"/>
          <w:szCs w:val="20"/>
          <w:vertAlign w:val="superscript"/>
        </w:rPr>
        <w:footnoteReference w:id="63"/>
      </w:r>
      <w:r w:rsidRPr="002E18FD">
        <w:rPr>
          <w:rFonts w:ascii="Cambria" w:eastAsia="Times New Roman" w:hAnsi="Cambria" w:cs="Verdana"/>
          <w:sz w:val="20"/>
          <w:szCs w:val="20"/>
          <w:lang w:val="es-VE"/>
        </w:rPr>
        <w:t xml:space="preserve">. La Comisión considera que la desaparición forzada también implica una violación de los derechos a las </w:t>
      </w:r>
      <w:proofErr w:type="gramStart"/>
      <w:r w:rsidRPr="002E18FD">
        <w:rPr>
          <w:rFonts w:ascii="Cambria" w:eastAsia="Times New Roman" w:hAnsi="Cambria" w:cs="Verdana"/>
          <w:sz w:val="20"/>
          <w:szCs w:val="20"/>
          <w:lang w:val="es-VE"/>
        </w:rPr>
        <w:t>garantías judiciales y protección judicial</w:t>
      </w:r>
      <w:proofErr w:type="gramEnd"/>
      <w:r w:rsidRPr="002E18FD">
        <w:rPr>
          <w:rFonts w:ascii="Cambria" w:eastAsia="Times New Roman" w:hAnsi="Cambria" w:cs="Verdana"/>
          <w:sz w:val="20"/>
          <w:szCs w:val="20"/>
          <w:lang w:val="es-VE"/>
        </w:rPr>
        <w:t xml:space="preserve"> respecto de la víctima desaparecida, en cuanto a la falta de acciones de búsqueda de su paradero mediante investigaciones eficientes y a la imposibilidad de que se interpongan recursos en su favor ante la negativa del Estado del hecho de que se encuentra bajo su custodia. </w:t>
      </w:r>
    </w:p>
    <w:p w14:paraId="44028CC1"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20"/>
          <w:szCs w:val="20"/>
          <w:lang w:val="es-CO"/>
        </w:rPr>
      </w:pPr>
    </w:p>
    <w:p w14:paraId="30DE90DF" w14:textId="77777777" w:rsidR="002E18FD" w:rsidRDefault="006C522F"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eastAsia="Times New Roman" w:hAnsi="Cambria"/>
          <w:sz w:val="20"/>
          <w:szCs w:val="20"/>
          <w:lang w:val="es-ES" w:eastAsia="es-ES"/>
        </w:rPr>
        <w:t>Los elementos concurrentes y constitutivos para determinar que en un caso ocurrió una desaparición forzada son:</w:t>
      </w:r>
      <w:r w:rsidRPr="002E18FD">
        <w:rPr>
          <w:rFonts w:ascii="Cambria" w:eastAsia="Times New Roman" w:hAnsi="Cambria"/>
          <w:sz w:val="20"/>
          <w:szCs w:val="20"/>
          <w:lang w:val="es-VE"/>
        </w:rPr>
        <w:t xml:space="preserve"> i) la</w:t>
      </w:r>
      <w:r w:rsidRPr="002E18FD">
        <w:rPr>
          <w:rFonts w:ascii="Cambria" w:eastAsia="Times New Roman" w:hAnsi="Cambria"/>
          <w:b/>
          <w:sz w:val="20"/>
          <w:szCs w:val="20"/>
          <w:lang w:val="es-VE"/>
        </w:rPr>
        <w:t xml:space="preserve"> </w:t>
      </w:r>
      <w:r w:rsidRPr="002E18FD">
        <w:rPr>
          <w:rFonts w:ascii="Cambria" w:eastAsia="Times New Roman" w:hAnsi="Cambria"/>
          <w:sz w:val="20"/>
          <w:szCs w:val="20"/>
          <w:lang w:val="es-VE"/>
        </w:rPr>
        <w:t xml:space="preserve">privación de la libertad; </w:t>
      </w:r>
      <w:proofErr w:type="spellStart"/>
      <w:r w:rsidRPr="002E18FD">
        <w:rPr>
          <w:rFonts w:ascii="Cambria" w:eastAsia="Times New Roman" w:hAnsi="Cambria"/>
          <w:sz w:val="20"/>
          <w:szCs w:val="20"/>
          <w:lang w:val="es-VE"/>
        </w:rPr>
        <w:t>ii</w:t>
      </w:r>
      <w:proofErr w:type="spellEnd"/>
      <w:r w:rsidRPr="002E18FD">
        <w:rPr>
          <w:rFonts w:ascii="Cambria" w:eastAsia="Times New Roman" w:hAnsi="Cambria"/>
          <w:sz w:val="20"/>
          <w:szCs w:val="20"/>
          <w:lang w:val="es-VE"/>
        </w:rPr>
        <w:t xml:space="preserve">) la intervención directa de agentes estatales o la autorización, apoyo o aquiescencia de éstos; y </w:t>
      </w:r>
      <w:proofErr w:type="spellStart"/>
      <w:r w:rsidRPr="002E18FD">
        <w:rPr>
          <w:rFonts w:ascii="Cambria" w:eastAsia="Times New Roman" w:hAnsi="Cambria"/>
          <w:sz w:val="20"/>
          <w:szCs w:val="20"/>
          <w:lang w:val="es-VE"/>
        </w:rPr>
        <w:t>iii</w:t>
      </w:r>
      <w:proofErr w:type="spellEnd"/>
      <w:r w:rsidRPr="002E18FD">
        <w:rPr>
          <w:rFonts w:ascii="Cambria" w:eastAsia="Times New Roman" w:hAnsi="Cambria"/>
          <w:sz w:val="20"/>
          <w:szCs w:val="20"/>
          <w:lang w:val="es-VE"/>
        </w:rPr>
        <w:t>) la negativa de reconocer la detención o de revelar la suerte o paradero de la persona desaparecida</w:t>
      </w:r>
      <w:r w:rsidRPr="00152E74">
        <w:rPr>
          <w:rFonts w:ascii="Cambria" w:eastAsia="Times New Roman" w:hAnsi="Cambria"/>
          <w:sz w:val="20"/>
          <w:szCs w:val="20"/>
          <w:vertAlign w:val="superscript"/>
        </w:rPr>
        <w:footnoteReference w:id="64"/>
      </w:r>
      <w:r w:rsidRPr="002E18FD">
        <w:rPr>
          <w:rFonts w:ascii="Cambria" w:eastAsia="Times New Roman" w:hAnsi="Cambria"/>
          <w:sz w:val="20"/>
          <w:szCs w:val="20"/>
          <w:lang w:val="es-VE"/>
        </w:rPr>
        <w:t>.</w:t>
      </w:r>
    </w:p>
    <w:p w14:paraId="65687CCC" w14:textId="77777777" w:rsidR="002E18FD" w:rsidRDefault="002E18FD" w:rsidP="002E18FD">
      <w:pPr>
        <w:pStyle w:val="Prrafodelista"/>
        <w:rPr>
          <w:rFonts w:eastAsia="Times New Roman"/>
          <w:sz w:val="20"/>
          <w:szCs w:val="20"/>
          <w:lang w:val="es-ES"/>
        </w:rPr>
      </w:pPr>
    </w:p>
    <w:p w14:paraId="74888A61" w14:textId="77777777" w:rsidR="002E18FD" w:rsidRDefault="002D3E0D"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eastAsia="Times New Roman" w:hAnsi="Cambria"/>
          <w:sz w:val="20"/>
          <w:szCs w:val="20"/>
          <w:lang w:val="es-ES" w:eastAsia="es-ES"/>
        </w:rPr>
        <w:t>A continuación, la Comisión determinará si lo sucedido a Fredy Marcelo Núñez constituyó una desaparición forzada.</w:t>
      </w:r>
    </w:p>
    <w:p w14:paraId="35319723" w14:textId="77777777" w:rsidR="002E18FD" w:rsidRDefault="002E18FD" w:rsidP="002E18FD">
      <w:pPr>
        <w:pStyle w:val="Prrafodelista"/>
        <w:rPr>
          <w:sz w:val="20"/>
          <w:szCs w:val="20"/>
          <w:lang w:val="es-CO"/>
        </w:rPr>
      </w:pPr>
    </w:p>
    <w:p w14:paraId="4A7FE2C5" w14:textId="77777777" w:rsidR="002E18FD" w:rsidRDefault="002D3E0D"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En cuanto al primer elemento, referido a la privación de libertad, la Comisión hace notar que no existe controversia respecto a que la presunta víctima fue detenida el 15 de julio de 2001 por miembros de la Policía luego de un incidente que surgió en el Salón de billares “Latino</w:t>
      </w:r>
      <w:r w:rsidR="00124918" w:rsidRPr="002E18FD">
        <w:rPr>
          <w:rFonts w:ascii="Cambria" w:hAnsi="Cambria"/>
          <w:sz w:val="20"/>
          <w:szCs w:val="20"/>
          <w:lang w:val="es-CO"/>
        </w:rPr>
        <w:t>s</w:t>
      </w:r>
      <w:r w:rsidRPr="002E18FD">
        <w:rPr>
          <w:rFonts w:ascii="Cambria" w:hAnsi="Cambria"/>
          <w:sz w:val="20"/>
          <w:szCs w:val="20"/>
          <w:lang w:val="es-CO"/>
        </w:rPr>
        <w:t>” ubicado en el Cantón Quero. Igualmente, no existe controversia en cuanto a que ese mismo día, la presunta víctima fue extraída de la cárcel</w:t>
      </w:r>
      <w:r w:rsidR="00206A96" w:rsidRPr="002E18FD">
        <w:rPr>
          <w:rFonts w:ascii="Cambria" w:hAnsi="Cambria"/>
          <w:sz w:val="20"/>
          <w:szCs w:val="20"/>
          <w:lang w:val="es-CO"/>
        </w:rPr>
        <w:t xml:space="preserve"> </w:t>
      </w:r>
      <w:r w:rsidRPr="002E18FD">
        <w:rPr>
          <w:rFonts w:ascii="Cambria" w:hAnsi="Cambria"/>
          <w:sz w:val="20"/>
          <w:szCs w:val="20"/>
          <w:lang w:val="es-CO"/>
        </w:rPr>
        <w:t xml:space="preserve">donde se encontraba </w:t>
      </w:r>
      <w:r w:rsidR="00124918" w:rsidRPr="002E18FD">
        <w:rPr>
          <w:rFonts w:ascii="Cambria" w:hAnsi="Cambria"/>
          <w:sz w:val="20"/>
          <w:szCs w:val="20"/>
          <w:lang w:val="es-CO"/>
        </w:rPr>
        <w:t xml:space="preserve">detenida por </w:t>
      </w:r>
      <w:r w:rsidR="00131AA5" w:rsidRPr="002E18FD">
        <w:rPr>
          <w:rFonts w:ascii="Cambria" w:hAnsi="Cambria"/>
          <w:sz w:val="20"/>
          <w:szCs w:val="20"/>
          <w:lang w:val="es-CO"/>
        </w:rPr>
        <w:t xml:space="preserve">unos </w:t>
      </w:r>
      <w:r w:rsidR="00D32184" w:rsidRPr="002E18FD">
        <w:rPr>
          <w:rFonts w:ascii="Cambria" w:hAnsi="Cambria"/>
          <w:sz w:val="20"/>
          <w:szCs w:val="20"/>
          <w:lang w:val="es-CO"/>
        </w:rPr>
        <w:t>400</w:t>
      </w:r>
      <w:r w:rsidRPr="002E18FD">
        <w:rPr>
          <w:rFonts w:ascii="Cambria" w:hAnsi="Cambria"/>
          <w:sz w:val="20"/>
          <w:szCs w:val="20"/>
          <w:lang w:val="es-CO"/>
        </w:rPr>
        <w:t xml:space="preserve"> miembros de la comunidad, conducida a la comunidad</w:t>
      </w:r>
      <w:r w:rsidR="00206A96" w:rsidRPr="002E18FD">
        <w:rPr>
          <w:rFonts w:ascii="Cambria" w:hAnsi="Cambria"/>
          <w:sz w:val="20"/>
          <w:szCs w:val="20"/>
          <w:lang w:val="es-CO"/>
        </w:rPr>
        <w:t xml:space="preserve"> </w:t>
      </w:r>
      <w:proofErr w:type="spellStart"/>
      <w:r w:rsidR="00206A96" w:rsidRPr="002E18FD">
        <w:rPr>
          <w:rFonts w:ascii="Cambria" w:hAnsi="Cambria"/>
          <w:sz w:val="20"/>
          <w:szCs w:val="20"/>
          <w:lang w:val="es-CO"/>
        </w:rPr>
        <w:t>Puñachisag</w:t>
      </w:r>
      <w:proofErr w:type="spellEnd"/>
      <w:r w:rsidR="00206A96" w:rsidRPr="002E18FD">
        <w:rPr>
          <w:rFonts w:ascii="Cambria" w:hAnsi="Cambria"/>
          <w:sz w:val="20"/>
          <w:szCs w:val="20"/>
          <w:lang w:val="es-CO"/>
        </w:rPr>
        <w:t>, luego a la comunidad</w:t>
      </w:r>
      <w:r w:rsidRPr="002E18FD">
        <w:rPr>
          <w:rFonts w:ascii="Cambria" w:hAnsi="Cambria"/>
          <w:sz w:val="20"/>
          <w:szCs w:val="20"/>
          <w:lang w:val="es-CO"/>
        </w:rPr>
        <w:t xml:space="preserve"> </w:t>
      </w:r>
      <w:proofErr w:type="spellStart"/>
      <w:r w:rsidRPr="002E18FD">
        <w:rPr>
          <w:rFonts w:ascii="Cambria" w:hAnsi="Cambria"/>
          <w:sz w:val="20"/>
          <w:szCs w:val="20"/>
          <w:lang w:val="es-CO"/>
        </w:rPr>
        <w:t>Shausi</w:t>
      </w:r>
      <w:proofErr w:type="spellEnd"/>
      <w:r w:rsidR="007F4900" w:rsidRPr="002E18FD">
        <w:rPr>
          <w:rFonts w:ascii="Cambria" w:hAnsi="Cambria"/>
          <w:sz w:val="20"/>
          <w:szCs w:val="20"/>
          <w:lang w:val="es-CO"/>
        </w:rPr>
        <w:t xml:space="preserve">, donde existen versiones que indican que fue golpeado y quemado, así como que habría sido introducido a un vehículo. En todo caso, desde entonces se desconoce su paradero. </w:t>
      </w:r>
      <w:r w:rsidRPr="002E18FD">
        <w:rPr>
          <w:rFonts w:ascii="Cambria" w:hAnsi="Cambria"/>
          <w:sz w:val="20"/>
          <w:szCs w:val="20"/>
          <w:lang w:val="es-CO"/>
        </w:rPr>
        <w:t xml:space="preserve">En virtud de lo anterior, la Comisión estima que se encuentra probada la privación de libertad de </w:t>
      </w:r>
      <w:r w:rsidR="009C7690" w:rsidRPr="002E18FD">
        <w:rPr>
          <w:rFonts w:ascii="Cambria" w:hAnsi="Cambria"/>
          <w:sz w:val="20"/>
          <w:szCs w:val="20"/>
          <w:lang w:val="es-CO"/>
        </w:rPr>
        <w:t>Fredy Núñez</w:t>
      </w:r>
      <w:r w:rsidRPr="002E18FD">
        <w:rPr>
          <w:rFonts w:ascii="Cambria" w:hAnsi="Cambria"/>
          <w:sz w:val="20"/>
          <w:szCs w:val="20"/>
          <w:lang w:val="es-CO"/>
        </w:rPr>
        <w:t>.</w:t>
      </w:r>
    </w:p>
    <w:p w14:paraId="272B7D3B" w14:textId="77777777" w:rsidR="002E18FD" w:rsidRDefault="002E18FD" w:rsidP="002E18FD">
      <w:pPr>
        <w:pStyle w:val="Prrafodelista"/>
        <w:rPr>
          <w:sz w:val="20"/>
          <w:szCs w:val="20"/>
          <w:lang w:val="es-CO"/>
        </w:rPr>
      </w:pPr>
    </w:p>
    <w:p w14:paraId="4A6FF5DB" w14:textId="77777777" w:rsidR="002E18FD" w:rsidRDefault="002D3E0D"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Con respecto al segundo elemento, referido a la intervención directa de agentes o aquiescencia de estos,</w:t>
      </w:r>
      <w:r w:rsidR="00206A96" w:rsidRPr="002E18FD">
        <w:rPr>
          <w:rFonts w:ascii="Cambria" w:hAnsi="Cambria"/>
          <w:sz w:val="20"/>
          <w:szCs w:val="20"/>
          <w:lang w:val="es-CO"/>
        </w:rPr>
        <w:t xml:space="preserve"> </w:t>
      </w:r>
      <w:r w:rsidRPr="002E18FD">
        <w:rPr>
          <w:rFonts w:ascii="Cambria" w:hAnsi="Cambria"/>
          <w:sz w:val="20"/>
          <w:szCs w:val="20"/>
          <w:lang w:val="es-CO"/>
        </w:rPr>
        <w:t>la Comisión subraya que no existe controversia respecto a que fueron miembros de las Juntas del Campesinado quienes extrajeron a la presunta víctima de la cárcel</w:t>
      </w:r>
      <w:r w:rsidR="00A01075" w:rsidRPr="002E18FD">
        <w:rPr>
          <w:rFonts w:ascii="Cambria" w:hAnsi="Cambria"/>
          <w:sz w:val="20"/>
          <w:szCs w:val="20"/>
          <w:lang w:val="es-CO"/>
        </w:rPr>
        <w:t>. Esta autoría no solamente se desprende de diversas pruebas testimoniales y de los informes policiales, sino que fue reconocida por la propia Junta, como se indicó en la sección de hechos probados.</w:t>
      </w:r>
      <w:r w:rsidR="001A6CD1" w:rsidRPr="002E18FD">
        <w:rPr>
          <w:rFonts w:ascii="Cambria" w:hAnsi="Cambria"/>
          <w:sz w:val="20"/>
          <w:szCs w:val="20"/>
          <w:lang w:val="es-CO"/>
        </w:rPr>
        <w:t xml:space="preserve"> </w:t>
      </w:r>
      <w:r w:rsidRPr="002E18FD">
        <w:rPr>
          <w:rFonts w:ascii="Cambria" w:hAnsi="Cambria"/>
          <w:sz w:val="20"/>
          <w:szCs w:val="20"/>
          <w:lang w:val="es-CO"/>
        </w:rPr>
        <w:t>La Comisión hace notar que existen una serie de elementos que comprueban que las Juntas del Campesinado actuaban bajo</w:t>
      </w:r>
      <w:r w:rsidR="00965D82" w:rsidRPr="002E18FD">
        <w:rPr>
          <w:rFonts w:ascii="Cambria" w:hAnsi="Cambria"/>
          <w:sz w:val="20"/>
          <w:szCs w:val="20"/>
          <w:lang w:val="es-CO"/>
        </w:rPr>
        <w:t xml:space="preserve"> la</w:t>
      </w:r>
      <w:r w:rsidRPr="002E18FD">
        <w:rPr>
          <w:rFonts w:ascii="Cambria" w:hAnsi="Cambria"/>
          <w:sz w:val="20"/>
          <w:szCs w:val="20"/>
          <w:lang w:val="es-CO"/>
        </w:rPr>
        <w:t xml:space="preserve"> aquiescencia del Estado.</w:t>
      </w:r>
    </w:p>
    <w:p w14:paraId="4437BFF4" w14:textId="77777777" w:rsidR="002E18FD" w:rsidRDefault="002E18FD" w:rsidP="002E18FD">
      <w:pPr>
        <w:pStyle w:val="Prrafodelista"/>
        <w:rPr>
          <w:sz w:val="20"/>
          <w:szCs w:val="20"/>
          <w:lang w:val="es-CO"/>
        </w:rPr>
      </w:pPr>
    </w:p>
    <w:p w14:paraId="29CBD4F9" w14:textId="77777777" w:rsidR="002E18FD" w:rsidRDefault="008B538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 xml:space="preserve">En primer lugar, la CIDH recuerda el contexto referido, según el cual organismos nacionales e internacionales han indicado que las Juntas de Defensa del Campesinado han asumido funciones de </w:t>
      </w:r>
      <w:proofErr w:type="gramStart"/>
      <w:r w:rsidRPr="002E18FD">
        <w:rPr>
          <w:rFonts w:ascii="Cambria" w:hAnsi="Cambria"/>
          <w:sz w:val="20"/>
          <w:szCs w:val="20"/>
          <w:lang w:val="es-CO"/>
        </w:rPr>
        <w:t>autoridades públicas</w:t>
      </w:r>
      <w:proofErr w:type="gramEnd"/>
      <w:r w:rsidRPr="002E18FD">
        <w:rPr>
          <w:rFonts w:ascii="Cambria" w:hAnsi="Cambria"/>
          <w:sz w:val="20"/>
          <w:szCs w:val="20"/>
          <w:lang w:val="es-CO"/>
        </w:rPr>
        <w:t xml:space="preserve"> y existen acusaciones de graves violaciones de derechos humanos en su contra</w:t>
      </w:r>
      <w:r w:rsidR="00F7068E" w:rsidRPr="002E18FD">
        <w:rPr>
          <w:rFonts w:ascii="Cambria" w:hAnsi="Cambria"/>
          <w:sz w:val="20"/>
          <w:szCs w:val="20"/>
          <w:lang w:val="es-CO"/>
        </w:rPr>
        <w:t xml:space="preserve">. En efecto, esta situación ha llevado a que se exhorte </w:t>
      </w:r>
      <w:r w:rsidR="00831A19" w:rsidRPr="002E18FD">
        <w:rPr>
          <w:rFonts w:ascii="Cambria" w:hAnsi="Cambria"/>
          <w:sz w:val="20"/>
          <w:szCs w:val="20"/>
          <w:lang w:val="es-CO"/>
        </w:rPr>
        <w:t>al Estado a evitar que dichas Juntas se conviertan en agentes paramilitares.</w:t>
      </w:r>
      <w:r w:rsidR="0034380D" w:rsidRPr="002E18FD">
        <w:rPr>
          <w:rFonts w:ascii="Cambria" w:hAnsi="Cambria"/>
          <w:sz w:val="20"/>
          <w:szCs w:val="20"/>
          <w:lang w:val="es-CO"/>
        </w:rPr>
        <w:t xml:space="preserve"> Del expediente resulta evidente que el Estado estaba, al momento de los hechos, en pleno conocimiento del funcionamiento de las Juntas de Defensa del Campesinado</w:t>
      </w:r>
      <w:r w:rsidR="00F625D9" w:rsidRPr="002E18FD">
        <w:rPr>
          <w:rFonts w:ascii="Cambria" w:hAnsi="Cambria"/>
          <w:sz w:val="20"/>
          <w:szCs w:val="20"/>
          <w:lang w:val="es-CO"/>
        </w:rPr>
        <w:t xml:space="preserve"> y</w:t>
      </w:r>
      <w:r w:rsidR="0034380D" w:rsidRPr="002E18FD">
        <w:rPr>
          <w:rFonts w:ascii="Cambria" w:hAnsi="Cambria"/>
          <w:sz w:val="20"/>
          <w:szCs w:val="20"/>
          <w:lang w:val="es-CO"/>
        </w:rPr>
        <w:t xml:space="preserve"> de su rol e</w:t>
      </w:r>
      <w:r w:rsidR="00A61E19">
        <w:rPr>
          <w:rFonts w:ascii="Cambria" w:hAnsi="Cambria"/>
          <w:sz w:val="20"/>
          <w:szCs w:val="20"/>
          <w:lang w:val="es-CO"/>
        </w:rPr>
        <w:t>n funciones que les corresponde</w:t>
      </w:r>
      <w:r w:rsidR="0034380D" w:rsidRPr="002E18FD">
        <w:rPr>
          <w:rFonts w:ascii="Cambria" w:hAnsi="Cambria"/>
          <w:sz w:val="20"/>
          <w:szCs w:val="20"/>
          <w:lang w:val="es-CO"/>
        </w:rPr>
        <w:t xml:space="preserve"> a </w:t>
      </w:r>
      <w:proofErr w:type="gramStart"/>
      <w:r w:rsidR="0034380D" w:rsidRPr="002E18FD">
        <w:rPr>
          <w:rFonts w:ascii="Cambria" w:hAnsi="Cambria"/>
          <w:sz w:val="20"/>
          <w:szCs w:val="20"/>
          <w:lang w:val="es-CO"/>
        </w:rPr>
        <w:t>autoridades públicas</w:t>
      </w:r>
      <w:proofErr w:type="gramEnd"/>
      <w:r w:rsidR="00F625D9" w:rsidRPr="002E18FD">
        <w:rPr>
          <w:rFonts w:ascii="Cambria" w:hAnsi="Cambria"/>
          <w:sz w:val="20"/>
          <w:szCs w:val="20"/>
          <w:lang w:val="es-CO"/>
        </w:rPr>
        <w:t xml:space="preserve">. </w:t>
      </w:r>
      <w:r w:rsidR="00CE64C7" w:rsidRPr="002E18FD">
        <w:rPr>
          <w:rFonts w:ascii="Cambria" w:hAnsi="Cambria"/>
          <w:sz w:val="20"/>
          <w:szCs w:val="20"/>
          <w:lang w:val="es-CO"/>
        </w:rPr>
        <w:t xml:space="preserve">No consta información alguna en el expediente en la cual el Estado explique las razones de legitimidad de las Juntas del Campesinado en el cumplimiento de funciones públicas, ni mucho menos información sobre medidas dirigidas a erradicar tal situación. </w:t>
      </w:r>
      <w:r w:rsidR="00D32A10" w:rsidRPr="002E18FD">
        <w:rPr>
          <w:rFonts w:ascii="Cambria" w:hAnsi="Cambria"/>
          <w:sz w:val="20"/>
          <w:szCs w:val="20"/>
          <w:lang w:val="es-CO"/>
        </w:rPr>
        <w:t xml:space="preserve">De esta manera, la Comisión considera acreditado </w:t>
      </w:r>
      <w:proofErr w:type="gramStart"/>
      <w:r w:rsidR="00D32A10" w:rsidRPr="002E18FD">
        <w:rPr>
          <w:rFonts w:ascii="Cambria" w:hAnsi="Cambria"/>
          <w:sz w:val="20"/>
          <w:szCs w:val="20"/>
          <w:lang w:val="es-CO"/>
        </w:rPr>
        <w:t>que</w:t>
      </w:r>
      <w:proofErr w:type="gramEnd"/>
      <w:r w:rsidR="00D32A10" w:rsidRPr="002E18FD">
        <w:rPr>
          <w:rFonts w:ascii="Cambria" w:hAnsi="Cambria"/>
          <w:sz w:val="20"/>
          <w:szCs w:val="20"/>
          <w:lang w:val="es-CO"/>
        </w:rPr>
        <w:t xml:space="preserve"> al momento del inicio de ejecución de la desaparición de Fredy Núñez, las Juntas del Campesinado actuaban con pleno conocimiento del Estado y bajo su tolerancia y aquiescencia. </w:t>
      </w:r>
    </w:p>
    <w:p w14:paraId="0BB62C6D"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20"/>
          <w:szCs w:val="20"/>
          <w:lang w:val="es-CO"/>
        </w:rPr>
      </w:pPr>
    </w:p>
    <w:p w14:paraId="66D30E83" w14:textId="77777777" w:rsidR="002E18FD" w:rsidRDefault="001D1129"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Además, s</w:t>
      </w:r>
      <w:r w:rsidR="0020097B" w:rsidRPr="002E18FD">
        <w:rPr>
          <w:rFonts w:ascii="Cambria" w:hAnsi="Cambria"/>
          <w:sz w:val="20"/>
          <w:szCs w:val="20"/>
          <w:lang w:val="es-CO"/>
        </w:rPr>
        <w:t>egún se desprende del contexto, los funcionario</w:t>
      </w:r>
      <w:r w:rsidR="00206A96" w:rsidRPr="002E18FD">
        <w:rPr>
          <w:rFonts w:ascii="Cambria" w:hAnsi="Cambria"/>
          <w:sz w:val="20"/>
          <w:szCs w:val="20"/>
          <w:lang w:val="es-CO"/>
        </w:rPr>
        <w:t>s</w:t>
      </w:r>
      <w:r w:rsidR="0020097B" w:rsidRPr="002E18FD">
        <w:rPr>
          <w:rFonts w:ascii="Cambria" w:hAnsi="Cambria"/>
          <w:sz w:val="20"/>
          <w:szCs w:val="20"/>
          <w:lang w:val="es-CO"/>
        </w:rPr>
        <w:t xml:space="preserve"> estatales rara vez responden con eficacia las denuncias sobre actividades de las juntas. El Estado mismo reconoció en un informe al Comité de Derechos Humanos en 2015 que todos los procesos</w:t>
      </w:r>
      <w:r w:rsidR="00206A96" w:rsidRPr="002E18FD">
        <w:rPr>
          <w:rFonts w:ascii="Cambria" w:hAnsi="Cambria"/>
          <w:sz w:val="20"/>
          <w:szCs w:val="20"/>
          <w:lang w:val="es-CO"/>
        </w:rPr>
        <w:t xml:space="preserve"> </w:t>
      </w:r>
      <w:r w:rsidR="0020097B" w:rsidRPr="002E18FD">
        <w:rPr>
          <w:rFonts w:ascii="Cambria" w:hAnsi="Cambria"/>
          <w:sz w:val="20"/>
          <w:szCs w:val="20"/>
          <w:lang w:val="es-CO"/>
        </w:rPr>
        <w:t xml:space="preserve">judiciales contra miembros de las juntas por violaciones de derechos humanos en Tungurahua, </w:t>
      </w:r>
      <w:proofErr w:type="spellStart"/>
      <w:r w:rsidR="00DD2F83" w:rsidRPr="002E18FD">
        <w:rPr>
          <w:rFonts w:ascii="Cambria" w:hAnsi="Cambria"/>
          <w:sz w:val="20"/>
          <w:szCs w:val="20"/>
          <w:lang w:val="es-CO"/>
        </w:rPr>
        <w:t>Chimborazao</w:t>
      </w:r>
      <w:proofErr w:type="spellEnd"/>
      <w:r w:rsidR="00DD2F83" w:rsidRPr="002E18FD">
        <w:rPr>
          <w:rFonts w:ascii="Cambria" w:hAnsi="Cambria"/>
          <w:sz w:val="20"/>
          <w:szCs w:val="20"/>
          <w:lang w:val="es-CO"/>
        </w:rPr>
        <w:t xml:space="preserve"> y Bolí</w:t>
      </w:r>
      <w:r w:rsidR="00A61E19">
        <w:rPr>
          <w:rFonts w:ascii="Cambria" w:hAnsi="Cambria"/>
          <w:sz w:val="20"/>
          <w:szCs w:val="20"/>
          <w:lang w:val="es-CO"/>
        </w:rPr>
        <w:t>var han culminado con des</w:t>
      </w:r>
      <w:r w:rsidR="00DD2F83" w:rsidRPr="002E18FD">
        <w:rPr>
          <w:rFonts w:ascii="Cambria" w:hAnsi="Cambria"/>
          <w:sz w:val="20"/>
          <w:szCs w:val="20"/>
          <w:lang w:val="es-CO"/>
        </w:rPr>
        <w:t xml:space="preserve">estimaciones o sobreseimientos, </w:t>
      </w:r>
      <w:r w:rsidR="00D8295A" w:rsidRPr="002E18FD">
        <w:rPr>
          <w:rFonts w:ascii="Cambria" w:hAnsi="Cambria"/>
          <w:sz w:val="20"/>
          <w:szCs w:val="20"/>
          <w:lang w:val="es-CO"/>
        </w:rPr>
        <w:t>por lo que indicó que está tomando medidas para fortalece</w:t>
      </w:r>
      <w:r w:rsidR="00206A96" w:rsidRPr="002E18FD">
        <w:rPr>
          <w:rFonts w:ascii="Cambria" w:hAnsi="Cambria"/>
          <w:sz w:val="20"/>
          <w:szCs w:val="20"/>
          <w:lang w:val="es-CO"/>
        </w:rPr>
        <w:t xml:space="preserve">r los procesos de investigación. </w:t>
      </w:r>
      <w:r w:rsidR="00A61E19">
        <w:rPr>
          <w:rFonts w:ascii="Cambria" w:hAnsi="Cambria"/>
          <w:sz w:val="20"/>
          <w:szCs w:val="20"/>
          <w:lang w:val="es-CO"/>
        </w:rPr>
        <w:t>Esto</w:t>
      </w:r>
      <w:r w:rsidR="00453EAF" w:rsidRPr="002E18FD">
        <w:rPr>
          <w:rFonts w:ascii="Cambria" w:hAnsi="Cambria"/>
          <w:sz w:val="20"/>
          <w:szCs w:val="20"/>
          <w:lang w:val="es-CO"/>
        </w:rPr>
        <w:t xml:space="preserve"> constituye otro elemento que fortalece la conclusión sobre aquiescencia del Estado. </w:t>
      </w:r>
    </w:p>
    <w:p w14:paraId="49E0AB47" w14:textId="77777777" w:rsidR="002E18FD" w:rsidRDefault="002E18FD" w:rsidP="002E18FD">
      <w:pPr>
        <w:pStyle w:val="Prrafodelista"/>
        <w:rPr>
          <w:sz w:val="20"/>
          <w:szCs w:val="20"/>
          <w:lang w:val="es-CO"/>
        </w:rPr>
      </w:pPr>
    </w:p>
    <w:p w14:paraId="4B17AE04" w14:textId="77777777" w:rsidR="002E18FD" w:rsidRDefault="00667886"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 xml:space="preserve">En cuanto al tercer elemento, relacionado con la negativa de </w:t>
      </w:r>
      <w:r w:rsidR="00315C3A" w:rsidRPr="002E18FD">
        <w:rPr>
          <w:rFonts w:ascii="Cambria" w:hAnsi="Cambria"/>
          <w:sz w:val="20"/>
          <w:szCs w:val="20"/>
          <w:lang w:val="es-CO"/>
        </w:rPr>
        <w:t>reconocer la detención o de revelar la suerte o paradero de la presunta víctima, la Comisión hace not</w:t>
      </w:r>
      <w:r w:rsidR="00C81646" w:rsidRPr="002E18FD">
        <w:rPr>
          <w:rFonts w:ascii="Cambria" w:hAnsi="Cambria"/>
          <w:sz w:val="20"/>
          <w:szCs w:val="20"/>
          <w:lang w:val="es-CO"/>
        </w:rPr>
        <w:t xml:space="preserve">ar que </w:t>
      </w:r>
      <w:r w:rsidR="003626CE" w:rsidRPr="002E18FD">
        <w:rPr>
          <w:rFonts w:ascii="Cambria" w:hAnsi="Cambria"/>
          <w:sz w:val="20"/>
          <w:szCs w:val="20"/>
          <w:lang w:val="es-CO"/>
        </w:rPr>
        <w:t>las personas que secuestraron a Fredy Núñez si bien reconocieron que dicha persona fue sustraída de la cárcel, no brindaron información sobre su destino o paradero, limitándose a indicar que se había fugado de un Calabozo. E</w:t>
      </w:r>
      <w:r w:rsidR="00C81646" w:rsidRPr="002E18FD">
        <w:rPr>
          <w:rFonts w:ascii="Cambria" w:hAnsi="Cambria"/>
          <w:sz w:val="20"/>
          <w:szCs w:val="20"/>
          <w:lang w:val="es-CO"/>
        </w:rPr>
        <w:t>l Estado a través de su</w:t>
      </w:r>
      <w:r w:rsidR="00315C3A" w:rsidRPr="002E18FD">
        <w:rPr>
          <w:rFonts w:ascii="Cambria" w:hAnsi="Cambria"/>
          <w:sz w:val="20"/>
          <w:szCs w:val="20"/>
          <w:lang w:val="es-CO"/>
        </w:rPr>
        <w:t xml:space="preserve"> falta de actuación diligente permitió el encubrimiento del p</w:t>
      </w:r>
      <w:r w:rsidR="00A61E19">
        <w:rPr>
          <w:rFonts w:ascii="Cambria" w:hAnsi="Cambria"/>
          <w:sz w:val="20"/>
          <w:szCs w:val="20"/>
          <w:lang w:val="es-CO"/>
        </w:rPr>
        <w:t xml:space="preserve">aradero de la presunta víctima. </w:t>
      </w:r>
      <w:r w:rsidR="00315C3A" w:rsidRPr="002E18FD">
        <w:rPr>
          <w:rFonts w:ascii="Cambria" w:hAnsi="Cambria"/>
          <w:sz w:val="20"/>
          <w:szCs w:val="20"/>
          <w:lang w:val="es-CO"/>
        </w:rPr>
        <w:t>Especí</w:t>
      </w:r>
      <w:r w:rsidR="00C81646" w:rsidRPr="002E18FD">
        <w:rPr>
          <w:rFonts w:ascii="Cambria" w:hAnsi="Cambria"/>
          <w:sz w:val="20"/>
          <w:szCs w:val="20"/>
          <w:lang w:val="es-CO"/>
        </w:rPr>
        <w:t xml:space="preserve">ficamente, la Comisión hace notar </w:t>
      </w:r>
      <w:proofErr w:type="gramStart"/>
      <w:r w:rsidR="00C81646" w:rsidRPr="002E18FD">
        <w:rPr>
          <w:rFonts w:ascii="Cambria" w:hAnsi="Cambria"/>
          <w:sz w:val="20"/>
          <w:szCs w:val="20"/>
          <w:lang w:val="es-CO"/>
        </w:rPr>
        <w:t>que</w:t>
      </w:r>
      <w:proofErr w:type="gramEnd"/>
      <w:r w:rsidR="00C81646" w:rsidRPr="002E18FD">
        <w:rPr>
          <w:rFonts w:ascii="Cambria" w:hAnsi="Cambria"/>
          <w:sz w:val="20"/>
          <w:szCs w:val="20"/>
          <w:lang w:val="es-CO"/>
        </w:rPr>
        <w:t xml:space="preserve"> pese a que miembros de las Juntas del Campesinado reconocieron que la presunta víctima luego de ser </w:t>
      </w:r>
      <w:proofErr w:type="spellStart"/>
      <w:r w:rsidR="00C81646" w:rsidRPr="002E18FD">
        <w:rPr>
          <w:rFonts w:ascii="Cambria" w:hAnsi="Cambria"/>
          <w:sz w:val="20"/>
          <w:szCs w:val="20"/>
          <w:lang w:val="es-CO"/>
        </w:rPr>
        <w:t>sustraida</w:t>
      </w:r>
      <w:proofErr w:type="spellEnd"/>
      <w:r w:rsidR="00C81646" w:rsidRPr="002E18FD">
        <w:rPr>
          <w:rFonts w:ascii="Cambria" w:hAnsi="Cambria"/>
          <w:sz w:val="20"/>
          <w:szCs w:val="20"/>
          <w:lang w:val="es-CO"/>
        </w:rPr>
        <w:t xml:space="preserve"> de la cárcel y conducida a una comunidad, fue llevada a un Calabozo de dichas juntas, no realizó diligencia alguna en dicho lugar o en otros para determinar su paradero. Adicionalmente, la Comisión hace notar las faltas a la debida diligencia que se ana</w:t>
      </w:r>
      <w:r w:rsidR="00206A96" w:rsidRPr="002E18FD">
        <w:rPr>
          <w:rFonts w:ascii="Cambria" w:hAnsi="Cambria"/>
          <w:sz w:val="20"/>
          <w:szCs w:val="20"/>
          <w:lang w:val="es-CO"/>
        </w:rPr>
        <w:t>lizarán en la sección posterior</w:t>
      </w:r>
      <w:r w:rsidR="00C81646" w:rsidRPr="002E18FD">
        <w:rPr>
          <w:rFonts w:ascii="Cambria" w:hAnsi="Cambria"/>
          <w:sz w:val="20"/>
          <w:szCs w:val="20"/>
          <w:lang w:val="es-CO"/>
        </w:rPr>
        <w:t xml:space="preserve">, pero que demuestran en su conjunto que el proceso no estaba dirigido a determinar el paradero de la presunta víctima, sino </w:t>
      </w:r>
      <w:r w:rsidR="00B20FEB" w:rsidRPr="002E18FD">
        <w:rPr>
          <w:rFonts w:ascii="Cambria" w:hAnsi="Cambria"/>
          <w:sz w:val="20"/>
          <w:szCs w:val="20"/>
          <w:lang w:val="es-CO"/>
        </w:rPr>
        <w:t xml:space="preserve">que más bien contribuyó a permitir la </w:t>
      </w:r>
      <w:r w:rsidR="00C81646" w:rsidRPr="002E18FD">
        <w:rPr>
          <w:rFonts w:ascii="Cambria" w:hAnsi="Cambria"/>
          <w:sz w:val="20"/>
          <w:szCs w:val="20"/>
          <w:lang w:val="es-CO"/>
        </w:rPr>
        <w:t>perpet</w:t>
      </w:r>
      <w:r w:rsidR="00B20FEB" w:rsidRPr="002E18FD">
        <w:rPr>
          <w:rFonts w:ascii="Cambria" w:hAnsi="Cambria"/>
          <w:sz w:val="20"/>
          <w:szCs w:val="20"/>
          <w:lang w:val="es-CO"/>
        </w:rPr>
        <w:t>uac</w:t>
      </w:r>
      <w:r w:rsidR="00C81646" w:rsidRPr="002E18FD">
        <w:rPr>
          <w:rFonts w:ascii="Cambria" w:hAnsi="Cambria"/>
          <w:sz w:val="20"/>
          <w:szCs w:val="20"/>
          <w:lang w:val="es-CO"/>
        </w:rPr>
        <w:t>ión de una grave violación de derechos humanos por parte de las Juntas del Campesinado.</w:t>
      </w:r>
    </w:p>
    <w:p w14:paraId="667BA685"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20"/>
          <w:szCs w:val="20"/>
          <w:lang w:val="es-CO"/>
        </w:rPr>
      </w:pPr>
    </w:p>
    <w:p w14:paraId="30B018B4" w14:textId="77777777" w:rsidR="00315C3A" w:rsidRPr="002E18FD" w:rsidRDefault="00F82C29"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CO"/>
        </w:rPr>
      </w:pPr>
      <w:r w:rsidRPr="002E18FD">
        <w:rPr>
          <w:rFonts w:ascii="Cambria" w:hAnsi="Cambria"/>
          <w:sz w:val="20"/>
          <w:szCs w:val="20"/>
          <w:lang w:val="es-CO"/>
        </w:rPr>
        <w:t xml:space="preserve">Conforme a lo expuesto, la Comisión concluye que Fredy Marcelo </w:t>
      </w:r>
      <w:proofErr w:type="spellStart"/>
      <w:r w:rsidRPr="002E18FD">
        <w:rPr>
          <w:rFonts w:ascii="Cambria" w:hAnsi="Cambria"/>
          <w:sz w:val="20"/>
          <w:szCs w:val="20"/>
          <w:lang w:val="es-CO"/>
        </w:rPr>
        <w:t>Nuñez</w:t>
      </w:r>
      <w:proofErr w:type="spellEnd"/>
      <w:r w:rsidRPr="002E18FD">
        <w:rPr>
          <w:rFonts w:ascii="Cambria" w:hAnsi="Cambria"/>
          <w:sz w:val="20"/>
          <w:szCs w:val="20"/>
          <w:lang w:val="es-CO"/>
        </w:rPr>
        <w:t xml:space="preserve"> fue víctima de desaparición forzada a pa</w:t>
      </w:r>
      <w:r w:rsidR="00C61744" w:rsidRPr="002E18FD">
        <w:rPr>
          <w:rFonts w:ascii="Cambria" w:hAnsi="Cambria"/>
          <w:sz w:val="20"/>
          <w:szCs w:val="20"/>
          <w:lang w:val="es-CO"/>
        </w:rPr>
        <w:t>rtir del 15 de julio de 2001</w:t>
      </w:r>
      <w:r w:rsidRPr="002E18FD">
        <w:rPr>
          <w:rFonts w:ascii="Cambria" w:hAnsi="Cambria"/>
          <w:sz w:val="20"/>
          <w:szCs w:val="20"/>
          <w:lang w:val="es-CO"/>
        </w:rPr>
        <w:t xml:space="preserve">, por lo que el Estado ecuatoriano, violó en su perjuicio, los derechos establecidos en los artículos 3, 4.1, 5.1, 5.2 y 7 de la Convención Americana, en relación con el artículo 1.1 del mismo instrumento. Igualmente, el Estado violó </w:t>
      </w:r>
      <w:proofErr w:type="gramStart"/>
      <w:r w:rsidRPr="002E18FD">
        <w:rPr>
          <w:rFonts w:ascii="Cambria" w:hAnsi="Cambria"/>
          <w:sz w:val="20"/>
          <w:szCs w:val="20"/>
          <w:lang w:val="es-CO"/>
        </w:rPr>
        <w:t>el artículos</w:t>
      </w:r>
      <w:proofErr w:type="gramEnd"/>
      <w:r w:rsidRPr="002E18FD">
        <w:rPr>
          <w:rFonts w:ascii="Cambria" w:hAnsi="Cambria"/>
          <w:sz w:val="20"/>
          <w:szCs w:val="20"/>
          <w:lang w:val="es-CO"/>
        </w:rPr>
        <w:t xml:space="preserve"> 1.a) de la Convención Interamericana sobre Desaparición Forzada de Personas.</w:t>
      </w:r>
    </w:p>
    <w:p w14:paraId="6EB089CE" w14:textId="77777777" w:rsidR="002D3E0D" w:rsidRDefault="002D3E0D" w:rsidP="0065556E">
      <w:pPr>
        <w:pStyle w:val="p1"/>
        <w:jc w:val="both"/>
        <w:rPr>
          <w:rFonts w:asciiTheme="majorHAnsi" w:hAnsiTheme="majorHAnsi"/>
          <w:sz w:val="18"/>
          <w:szCs w:val="18"/>
          <w:lang w:val="es-ES"/>
        </w:rPr>
      </w:pPr>
    </w:p>
    <w:p w14:paraId="05A38A91" w14:textId="77777777" w:rsidR="00CB6CA4" w:rsidRPr="00152E74" w:rsidRDefault="00CB6CA4" w:rsidP="002E18FD">
      <w:pPr>
        <w:pStyle w:val="Ttulo2"/>
        <w:keepNext w:val="0"/>
        <w:numPr>
          <w:ilvl w:val="0"/>
          <w:numId w:val="58"/>
        </w:numPr>
        <w:pBdr>
          <w:top w:val="nil"/>
          <w:left w:val="nil"/>
          <w:bottom w:val="nil"/>
          <w:right w:val="nil"/>
          <w:between w:val="nil"/>
          <w:bar w:val="nil"/>
        </w:pBdr>
        <w:spacing w:before="0" w:after="0"/>
        <w:ind w:left="630" w:hanging="630"/>
        <w:jc w:val="both"/>
        <w:rPr>
          <w:rFonts w:ascii="Cambria" w:hAnsi="Cambria"/>
          <w:i w:val="0"/>
          <w:sz w:val="20"/>
          <w:szCs w:val="20"/>
          <w:lang w:val="es-VE"/>
        </w:rPr>
      </w:pPr>
      <w:bookmarkStart w:id="18" w:name="_Toc1985290"/>
      <w:bookmarkStart w:id="19" w:name="_Toc5359031"/>
      <w:r w:rsidRPr="00152E74">
        <w:rPr>
          <w:rFonts w:ascii="Cambria" w:hAnsi="Cambria"/>
          <w:i w:val="0"/>
          <w:sz w:val="20"/>
          <w:szCs w:val="20"/>
          <w:lang w:val="es-VE"/>
        </w:rPr>
        <w:t xml:space="preserve">Derecho a las garantías y la protección judicial (artículos 8.1 y 25.1 de la Convención Americana sobre Derechos Humanos) en relación con la obligación de respetar los derechos humanos y el deber de adoptar disposiciones de derecho interno (artículos 1.1 y 2 del mencionado instrumento) y los artículos </w:t>
      </w:r>
      <w:proofErr w:type="spellStart"/>
      <w:r w:rsidRPr="00152E74">
        <w:rPr>
          <w:rFonts w:ascii="Cambria" w:hAnsi="Cambria"/>
          <w:i w:val="0"/>
          <w:sz w:val="20"/>
          <w:szCs w:val="20"/>
          <w:lang w:val="es-VE"/>
        </w:rPr>
        <w:t>I.b</w:t>
      </w:r>
      <w:proofErr w:type="spellEnd"/>
      <w:r w:rsidRPr="00152E74">
        <w:rPr>
          <w:rFonts w:ascii="Cambria" w:hAnsi="Cambria"/>
          <w:i w:val="0"/>
          <w:sz w:val="20"/>
          <w:szCs w:val="20"/>
          <w:lang w:val="es-VE"/>
        </w:rPr>
        <w:t xml:space="preserve"> y III</w:t>
      </w:r>
      <w:r w:rsidRPr="00152E74">
        <w:rPr>
          <w:rStyle w:val="Refdenotaalpie"/>
          <w:rFonts w:ascii="Cambria" w:hAnsi="Cambria"/>
          <w:i w:val="0"/>
          <w:sz w:val="20"/>
          <w:szCs w:val="20"/>
          <w:lang w:val="es-VE"/>
        </w:rPr>
        <w:footnoteReference w:id="65"/>
      </w:r>
      <w:r w:rsidRPr="00152E74">
        <w:rPr>
          <w:rFonts w:ascii="Cambria" w:hAnsi="Cambria"/>
          <w:i w:val="0"/>
          <w:sz w:val="20"/>
          <w:szCs w:val="20"/>
          <w:lang w:val="es-VE"/>
        </w:rPr>
        <w:t xml:space="preserve"> de la CIDFP</w:t>
      </w:r>
      <w:bookmarkEnd w:id="18"/>
      <w:bookmarkEnd w:id="19"/>
      <w:r w:rsidRPr="00152E74">
        <w:rPr>
          <w:rFonts w:ascii="Cambria" w:hAnsi="Cambria"/>
          <w:i w:val="0"/>
          <w:sz w:val="20"/>
          <w:szCs w:val="20"/>
          <w:lang w:val="es-VE"/>
        </w:rPr>
        <w:t xml:space="preserve"> </w:t>
      </w:r>
    </w:p>
    <w:p w14:paraId="6E079159" w14:textId="77777777" w:rsidR="00CB6CA4" w:rsidRPr="00152E74" w:rsidRDefault="00CB6CA4" w:rsidP="00CB6CA4">
      <w:pPr>
        <w:tabs>
          <w:tab w:val="left" w:pos="1440"/>
        </w:tabs>
        <w:ind w:left="720"/>
        <w:jc w:val="both"/>
        <w:rPr>
          <w:rFonts w:ascii="Cambria" w:hAnsi="Cambria"/>
          <w:sz w:val="20"/>
          <w:szCs w:val="20"/>
          <w:lang w:val="es-VE"/>
        </w:rPr>
      </w:pPr>
    </w:p>
    <w:p w14:paraId="335FF7C6" w14:textId="77777777" w:rsidR="002E18FD" w:rsidRDefault="00CB6CA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152E74">
        <w:rPr>
          <w:rFonts w:ascii="Cambria" w:eastAsia="Times New Roman" w:hAnsi="Cambria"/>
          <w:sz w:val="20"/>
          <w:szCs w:val="20"/>
          <w:lang w:val="es-ES" w:eastAsia="es-ES"/>
        </w:rPr>
        <w:t xml:space="preserve">De la jurisprudencia interamericana resulta que, cuando se trata de la denuncia de la desaparición de una persona, existe un vínculo inescindible entre la respuesta estatal y la protección de la vida e integridad de la persona que se denuncia desaparecida. La naturaleza inmediata y exhaustiva de la respuesta </w:t>
      </w:r>
      <w:r w:rsidRPr="00152E74">
        <w:rPr>
          <w:rFonts w:ascii="Cambria" w:hAnsi="Cambria"/>
          <w:sz w:val="20"/>
          <w:szCs w:val="20"/>
          <w:lang w:val="es-ES"/>
        </w:rPr>
        <w:t>estatal</w:t>
      </w:r>
      <w:r w:rsidRPr="00152E74">
        <w:rPr>
          <w:rFonts w:ascii="Cambria" w:eastAsia="Times New Roman" w:hAnsi="Cambria"/>
          <w:sz w:val="20"/>
          <w:szCs w:val="20"/>
          <w:lang w:val="es-ES" w:eastAsia="es-ES"/>
        </w:rPr>
        <w:t xml:space="preserve"> es independiente de si se trata de una posible desaparición a manos de particulares o a manos de agentes estatales. La Comisión reitera que cuando haya motivos razonables para sospechar que una persona ha sido sometida a desaparición, es imprescindible la actuación pronta e inmediata de las autoridades fiscales y judiciales ordenando medidas oportunas y necesarias dirigidas a la determinación del paradero de la víctima o el lugar donde pueda encontrarse privada de libertad</w:t>
      </w:r>
      <w:r w:rsidRPr="00152E74">
        <w:rPr>
          <w:rFonts w:ascii="Cambria" w:eastAsia="Times New Roman" w:hAnsi="Cambria"/>
          <w:sz w:val="20"/>
          <w:szCs w:val="20"/>
          <w:vertAlign w:val="superscript"/>
          <w:lang w:val="es-ES" w:eastAsia="es-ES"/>
        </w:rPr>
        <w:footnoteReference w:id="66"/>
      </w:r>
      <w:r w:rsidRPr="00152E74">
        <w:rPr>
          <w:rFonts w:ascii="Cambria" w:eastAsia="Times New Roman" w:hAnsi="Cambria"/>
          <w:sz w:val="20"/>
          <w:szCs w:val="20"/>
          <w:lang w:val="es-ES" w:eastAsia="es-ES"/>
        </w:rPr>
        <w:t xml:space="preserve">. </w:t>
      </w:r>
    </w:p>
    <w:p w14:paraId="03B124E6"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hAnsi="Cambria"/>
          <w:sz w:val="20"/>
          <w:szCs w:val="20"/>
          <w:lang w:val="es-ES"/>
        </w:rPr>
      </w:pPr>
    </w:p>
    <w:p w14:paraId="3DE14759" w14:textId="77777777" w:rsidR="002E18FD" w:rsidRDefault="00CB6CA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E18FD">
        <w:rPr>
          <w:rFonts w:ascii="Cambria" w:hAnsi="Cambria"/>
          <w:spacing w:val="-2"/>
          <w:sz w:val="20"/>
          <w:szCs w:val="20"/>
          <w:lang w:val="es-CR"/>
        </w:rPr>
        <w:t xml:space="preserve">La Corte ha expresado que los Estados están obligados a proveer recursos judiciales efectivos a las víctimas de </w:t>
      </w:r>
      <w:r w:rsidRPr="002E18FD">
        <w:rPr>
          <w:rFonts w:ascii="Cambria" w:eastAsia="Times New Roman" w:hAnsi="Cambria"/>
          <w:sz w:val="20"/>
          <w:szCs w:val="20"/>
          <w:lang w:val="es-ES" w:eastAsia="es-ES"/>
        </w:rPr>
        <w:t>violaciones</w:t>
      </w:r>
      <w:r w:rsidRPr="002E18FD">
        <w:rPr>
          <w:rFonts w:ascii="Cambria" w:hAnsi="Cambria"/>
          <w:spacing w:val="-2"/>
          <w:sz w:val="20"/>
          <w:szCs w:val="20"/>
          <w:lang w:val="es-CR"/>
        </w:rPr>
        <w:t xml:space="preserve"> de derechos humanos (artículo 25), los cuales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152E74">
        <w:rPr>
          <w:rFonts w:ascii="Cambria" w:hAnsi="Cambria"/>
          <w:spacing w:val="-2"/>
          <w:sz w:val="20"/>
          <w:szCs w:val="20"/>
          <w:vertAlign w:val="superscript"/>
          <w:lang w:val="es-CR"/>
        </w:rPr>
        <w:footnoteReference w:id="67"/>
      </w:r>
      <w:r w:rsidRPr="002E18FD">
        <w:rPr>
          <w:rFonts w:ascii="Cambria" w:hAnsi="Cambria"/>
          <w:spacing w:val="-2"/>
          <w:sz w:val="20"/>
          <w:szCs w:val="20"/>
          <w:lang w:val="es-CR"/>
        </w:rPr>
        <w:t>.</w:t>
      </w:r>
    </w:p>
    <w:p w14:paraId="067AF93A" w14:textId="77777777" w:rsidR="002E18FD" w:rsidRDefault="002E18FD" w:rsidP="002E18FD">
      <w:pPr>
        <w:pStyle w:val="Prrafodelista"/>
        <w:rPr>
          <w:spacing w:val="-2"/>
          <w:sz w:val="20"/>
          <w:szCs w:val="20"/>
          <w:lang w:val="es-CR"/>
        </w:rPr>
      </w:pPr>
    </w:p>
    <w:p w14:paraId="36B7DC05" w14:textId="77777777" w:rsidR="002E18FD" w:rsidRDefault="00CB6CA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E18FD">
        <w:rPr>
          <w:rFonts w:ascii="Cambria" w:hAnsi="Cambria"/>
          <w:spacing w:val="-2"/>
          <w:sz w:val="20"/>
          <w:szCs w:val="20"/>
          <w:lang w:val="es-CR"/>
        </w:rPr>
        <w:t xml:space="preserve">Así la Corte ha señalado que la obligación de investigar implica que una vez que las autoridades estatales tengan conocimiento del hecho, </w:t>
      </w:r>
      <w:r w:rsidRPr="002E18FD">
        <w:rPr>
          <w:rFonts w:ascii="Cambria" w:hAnsi="Cambria"/>
          <w:bCs/>
          <w:spacing w:val="-2"/>
          <w:sz w:val="20"/>
          <w:szCs w:val="20"/>
          <w:lang w:val="es-CR"/>
        </w:rPr>
        <w:t>deben</w:t>
      </w:r>
      <w:r w:rsidRPr="002E18FD">
        <w:rPr>
          <w:rFonts w:ascii="Cambria" w:hAnsi="Cambria"/>
          <w:spacing w:val="-2"/>
          <w:sz w:val="20"/>
          <w:szCs w:val="20"/>
          <w:lang w:val="es-CR"/>
        </w:rPr>
        <w:t xml:space="preserve"> iniciar</w:t>
      </w:r>
      <w:r w:rsidRPr="002E18FD">
        <w:rPr>
          <w:rFonts w:ascii="Cambria" w:hAnsi="Cambria"/>
          <w:i/>
          <w:spacing w:val="-2"/>
          <w:sz w:val="20"/>
          <w:szCs w:val="20"/>
          <w:lang w:val="es-CR"/>
        </w:rPr>
        <w:t xml:space="preserve"> ex </w:t>
      </w:r>
      <w:proofErr w:type="spellStart"/>
      <w:r w:rsidRPr="002E18FD">
        <w:rPr>
          <w:rFonts w:ascii="Cambria" w:hAnsi="Cambria"/>
          <w:i/>
          <w:spacing w:val="-2"/>
          <w:sz w:val="20"/>
          <w:szCs w:val="20"/>
          <w:lang w:val="es-CR"/>
        </w:rPr>
        <w:t>officio</w:t>
      </w:r>
      <w:proofErr w:type="spellEnd"/>
      <w:r w:rsidRPr="002E18FD">
        <w:rPr>
          <w:rFonts w:ascii="Cambria" w:hAnsi="Cambria"/>
          <w:spacing w:val="-2"/>
          <w:sz w:val="20"/>
          <w:szCs w:val="20"/>
          <w:lang w:val="es-CR"/>
        </w:rPr>
        <w:t xml:space="preserve"> y sin dilación, una investigación seria, imparcial y efectiva por todos los medios legales disponibles y orientada a la determinación de la verdad y a la persecución, </w:t>
      </w:r>
      <w:r w:rsidRPr="002E18FD">
        <w:rPr>
          <w:rFonts w:ascii="Cambria" w:hAnsi="Cambria"/>
          <w:spacing w:val="-2"/>
          <w:sz w:val="20"/>
          <w:szCs w:val="20"/>
          <w:lang w:val="es-CR"/>
        </w:rPr>
        <w:lastRenderedPageBreak/>
        <w:t>captura, enjuiciamiento y eventual castigo de todos los autores de los hechos</w:t>
      </w:r>
      <w:r w:rsidRPr="00152E74">
        <w:rPr>
          <w:rFonts w:ascii="Cambria" w:hAnsi="Cambria"/>
          <w:spacing w:val="-2"/>
          <w:sz w:val="20"/>
          <w:szCs w:val="20"/>
          <w:vertAlign w:val="superscript"/>
          <w:lang w:val="es-CR"/>
        </w:rPr>
        <w:footnoteReference w:id="68"/>
      </w:r>
      <w:r w:rsidRPr="002E18FD">
        <w:rPr>
          <w:rFonts w:ascii="Cambria" w:hAnsi="Cambria"/>
          <w:spacing w:val="-2"/>
          <w:sz w:val="20"/>
          <w:szCs w:val="20"/>
          <w:lang w:val="es-CR"/>
        </w:rPr>
        <w:t>, especialmente cuando están o puedan estar involucrados agentes estatales</w:t>
      </w:r>
      <w:r w:rsidRPr="00152E74">
        <w:rPr>
          <w:rFonts w:ascii="Cambria" w:hAnsi="Cambria"/>
          <w:spacing w:val="-2"/>
          <w:sz w:val="20"/>
          <w:szCs w:val="20"/>
          <w:vertAlign w:val="superscript"/>
          <w:lang w:val="es-CR"/>
        </w:rPr>
        <w:footnoteReference w:id="69"/>
      </w:r>
      <w:r w:rsidRPr="002E18FD">
        <w:rPr>
          <w:rFonts w:ascii="Cambria" w:hAnsi="Cambria"/>
          <w:spacing w:val="-2"/>
          <w:sz w:val="20"/>
          <w:szCs w:val="20"/>
          <w:lang w:val="es-CR"/>
        </w:rPr>
        <w:t>. Este deber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152E74">
        <w:rPr>
          <w:rFonts w:ascii="Cambria" w:hAnsi="Cambria"/>
          <w:spacing w:val="-2"/>
          <w:sz w:val="20"/>
          <w:szCs w:val="20"/>
          <w:vertAlign w:val="superscript"/>
          <w:lang w:val="es-CR"/>
        </w:rPr>
        <w:footnoteReference w:id="70"/>
      </w:r>
      <w:r w:rsidRPr="002E18FD">
        <w:rPr>
          <w:rFonts w:ascii="Cambria" w:hAnsi="Cambria"/>
          <w:spacing w:val="-2"/>
          <w:sz w:val="20"/>
          <w:szCs w:val="20"/>
          <w:lang w:val="es-CR"/>
        </w:rPr>
        <w:t>. La obligación del Estado de investigar debe cumplirse diligentemente para evitar la impunidad y que este tipo de hechos vuelvan a repetirse</w:t>
      </w:r>
      <w:r w:rsidRPr="00152E74">
        <w:rPr>
          <w:rFonts w:ascii="Cambria" w:hAnsi="Cambria"/>
          <w:spacing w:val="-2"/>
          <w:sz w:val="20"/>
          <w:szCs w:val="20"/>
          <w:vertAlign w:val="superscript"/>
          <w:lang w:val="es-CR"/>
        </w:rPr>
        <w:footnoteReference w:id="71"/>
      </w:r>
      <w:r w:rsidRPr="002E18FD">
        <w:rPr>
          <w:rFonts w:ascii="Cambria" w:hAnsi="Cambria"/>
          <w:spacing w:val="-2"/>
          <w:sz w:val="20"/>
          <w:szCs w:val="20"/>
          <w:lang w:val="es-CR"/>
        </w:rPr>
        <w:t xml:space="preserve">. </w:t>
      </w:r>
    </w:p>
    <w:p w14:paraId="46807D43" w14:textId="77777777" w:rsidR="002E18FD" w:rsidRDefault="002E18FD" w:rsidP="002E18FD">
      <w:pPr>
        <w:pStyle w:val="Prrafodelista"/>
        <w:rPr>
          <w:rFonts w:cs="Arial"/>
          <w:sz w:val="20"/>
          <w:szCs w:val="20"/>
          <w:lang w:val="es-VE"/>
        </w:rPr>
      </w:pPr>
    </w:p>
    <w:p w14:paraId="4A525E30" w14:textId="77777777" w:rsidR="002E18FD" w:rsidRDefault="00CB6CA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E18FD">
        <w:rPr>
          <w:rFonts w:ascii="Cambria" w:hAnsi="Cambria" w:cs="Arial"/>
          <w:sz w:val="20"/>
          <w:szCs w:val="20"/>
          <w:lang w:val="es-VE"/>
        </w:rPr>
        <w:t>Además, en cuanto a la debida diligencia durante el desarrollo de la investigación, la Corte Interamericana ha establecido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152E74">
        <w:rPr>
          <w:rStyle w:val="Refdenotaalpie"/>
          <w:rFonts w:ascii="Cambria" w:hAnsi="Cambria"/>
          <w:sz w:val="20"/>
          <w:szCs w:val="20"/>
        </w:rPr>
        <w:footnoteReference w:id="72"/>
      </w:r>
      <w:r w:rsidRPr="002E18FD">
        <w:rPr>
          <w:rFonts w:ascii="Cambria" w:hAnsi="Cambria" w:cs="Arial"/>
          <w:sz w:val="20"/>
          <w:szCs w:val="20"/>
          <w:lang w:val="es-VE"/>
        </w:rPr>
        <w:t xml:space="preserve">. A </w:t>
      </w:r>
      <w:r w:rsidRPr="002E18FD">
        <w:rPr>
          <w:rFonts w:ascii="Cambria" w:hAnsi="Cambria"/>
          <w:sz w:val="20"/>
          <w:szCs w:val="20"/>
          <w:lang w:val="es-MX"/>
        </w:rPr>
        <w:t xml:space="preserve">ese respecto, el Estado tiene que </w:t>
      </w:r>
      <w:r w:rsidRPr="002E18FD">
        <w:rPr>
          <w:rFonts w:ascii="Cambria" w:hAnsi="Cambria"/>
          <w:spacing w:val="-2"/>
          <w:sz w:val="20"/>
          <w:szCs w:val="20"/>
          <w:lang w:val="es-MX"/>
        </w:rPr>
        <w:t>demostrar que ha realizado una investigación inmediata, exhaustiva, seria e imparcial</w:t>
      </w:r>
      <w:r w:rsidRPr="00152E74">
        <w:rPr>
          <w:rStyle w:val="Refdenotaalpie"/>
          <w:rFonts w:ascii="Cambria" w:hAnsi="Cambria"/>
          <w:sz w:val="20"/>
          <w:szCs w:val="20"/>
          <w:lang w:val="es-ES"/>
        </w:rPr>
        <w:footnoteReference w:id="73"/>
      </w:r>
      <w:r w:rsidRPr="002E18FD">
        <w:rPr>
          <w:rFonts w:ascii="Cambria" w:hAnsi="Cambria"/>
          <w:spacing w:val="-2"/>
          <w:sz w:val="20"/>
          <w:szCs w:val="20"/>
          <w:lang w:val="es-MX"/>
        </w:rPr>
        <w:t>,</w:t>
      </w:r>
      <w:r w:rsidRPr="002E18FD">
        <w:rPr>
          <w:rFonts w:ascii="Cambria" w:hAnsi="Cambria"/>
          <w:sz w:val="20"/>
          <w:szCs w:val="20"/>
          <w:lang w:val="es-MX"/>
        </w:rPr>
        <w:t xml:space="preserve"> la cual debe estar orientada a explorar </w:t>
      </w:r>
      <w:r w:rsidRPr="002E18FD">
        <w:rPr>
          <w:rFonts w:ascii="Cambria" w:hAnsi="Cambria"/>
          <w:sz w:val="20"/>
          <w:szCs w:val="20"/>
          <w:lang w:val="es-ES"/>
        </w:rPr>
        <w:t>todas</w:t>
      </w:r>
      <w:r w:rsidRPr="002E18FD">
        <w:rPr>
          <w:rFonts w:ascii="Cambria" w:hAnsi="Cambria"/>
          <w:sz w:val="20"/>
          <w:szCs w:val="20"/>
          <w:lang w:val="es-MX"/>
        </w:rPr>
        <w:t xml:space="preserve"> las líneas investigativas posibles</w:t>
      </w:r>
      <w:r w:rsidRPr="00152E74">
        <w:rPr>
          <w:rStyle w:val="Refdenotaalpie"/>
          <w:rFonts w:ascii="Cambria" w:hAnsi="Cambria" w:cs="Arial"/>
          <w:sz w:val="20"/>
          <w:szCs w:val="20"/>
          <w:lang w:val="es-ES"/>
        </w:rPr>
        <w:footnoteReference w:id="74"/>
      </w:r>
      <w:r w:rsidRPr="002E18FD">
        <w:rPr>
          <w:rFonts w:ascii="Cambria" w:hAnsi="Cambria"/>
          <w:sz w:val="20"/>
          <w:szCs w:val="20"/>
          <w:lang w:val="es-MX"/>
        </w:rPr>
        <w:t>. E</w:t>
      </w:r>
      <w:r w:rsidRPr="002E18FD">
        <w:rPr>
          <w:rFonts w:ascii="Cambria" w:hAnsi="Cambria"/>
          <w:sz w:val="20"/>
          <w:szCs w:val="20"/>
          <w:lang w:val="es-CO"/>
        </w:rPr>
        <w:t>l Estado puede ser responsable por no “ordenar, practicar o valorar pruebas” que pueden ser fundamentales para el debido esclarecimiento de los hechos</w:t>
      </w:r>
      <w:r w:rsidRPr="00152E74">
        <w:rPr>
          <w:rStyle w:val="Refdenotaalpie"/>
          <w:rFonts w:ascii="Cambria" w:hAnsi="Cambria"/>
          <w:sz w:val="20"/>
          <w:szCs w:val="20"/>
          <w:lang w:val="es-CO"/>
        </w:rPr>
        <w:footnoteReference w:id="75"/>
      </w:r>
      <w:r w:rsidRPr="002E18FD">
        <w:rPr>
          <w:rFonts w:ascii="Cambria" w:hAnsi="Cambria"/>
          <w:sz w:val="20"/>
          <w:szCs w:val="20"/>
          <w:lang w:val="es-CO"/>
        </w:rPr>
        <w:t>.</w:t>
      </w:r>
    </w:p>
    <w:p w14:paraId="54F43206" w14:textId="77777777" w:rsidR="002E18FD" w:rsidRDefault="002E18FD" w:rsidP="002E18FD">
      <w:pPr>
        <w:pStyle w:val="Prrafodelista"/>
        <w:rPr>
          <w:rFonts w:eastAsia="Times New Roman"/>
          <w:sz w:val="20"/>
          <w:szCs w:val="20"/>
          <w:lang w:val="es-ES"/>
        </w:rPr>
      </w:pPr>
    </w:p>
    <w:p w14:paraId="3730012C" w14:textId="77777777" w:rsidR="00874468" w:rsidRPr="002E18FD" w:rsidRDefault="00CB6CA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sz w:val="20"/>
          <w:szCs w:val="20"/>
          <w:lang w:val="es-ES"/>
        </w:rPr>
      </w:pPr>
      <w:r w:rsidRPr="002E18FD">
        <w:rPr>
          <w:rFonts w:ascii="Cambria" w:eastAsia="Times New Roman" w:hAnsi="Cambria"/>
          <w:sz w:val="20"/>
          <w:szCs w:val="20"/>
          <w:lang w:val="es-ES" w:eastAsia="es-ES"/>
        </w:rPr>
        <w:t xml:space="preserve">Por otra parte, el artículo 8.1 de la Convención Americana establece, como uno de los elementos del debido </w:t>
      </w:r>
      <w:r w:rsidRPr="002E18FD">
        <w:rPr>
          <w:rFonts w:ascii="Cambria" w:hAnsi="Cambria" w:cs="Arial"/>
          <w:sz w:val="20"/>
          <w:szCs w:val="20"/>
          <w:lang w:val="es-VE"/>
        </w:rPr>
        <w:t>proceso</w:t>
      </w:r>
      <w:r w:rsidRPr="002E18FD">
        <w:rPr>
          <w:rFonts w:ascii="Cambria" w:eastAsia="Times New Roman" w:hAnsi="Cambria"/>
          <w:sz w:val="20"/>
          <w:szCs w:val="20"/>
          <w:lang w:val="es-ES" w:eastAsia="es-ES"/>
        </w:rPr>
        <w:t xml:space="preserve">, que los tribunales decidan los casos sometidos a su conocimiento en un plazo razonable. Según los términos de dicha norma, la Comisión tomará en consideración, a la luz de las circunstancias concretas del caso, los elementos que los órganos del sistema interamericano han tomado en cuenta, a saber: i) la complejidad del asunto; </w:t>
      </w:r>
      <w:proofErr w:type="spellStart"/>
      <w:r w:rsidRPr="002E18FD">
        <w:rPr>
          <w:rFonts w:ascii="Cambria" w:eastAsia="Times New Roman" w:hAnsi="Cambria"/>
          <w:sz w:val="20"/>
          <w:szCs w:val="20"/>
          <w:lang w:val="es-ES" w:eastAsia="es-ES"/>
        </w:rPr>
        <w:t>ii</w:t>
      </w:r>
      <w:proofErr w:type="spellEnd"/>
      <w:r w:rsidRPr="002E18FD">
        <w:rPr>
          <w:rFonts w:ascii="Cambria" w:eastAsia="Times New Roman" w:hAnsi="Cambria"/>
          <w:sz w:val="20"/>
          <w:szCs w:val="20"/>
          <w:lang w:val="es-ES" w:eastAsia="es-ES"/>
        </w:rPr>
        <w:t xml:space="preserve">) la actividad procesal del interesado; y </w:t>
      </w:r>
      <w:proofErr w:type="spellStart"/>
      <w:r w:rsidRPr="002E18FD">
        <w:rPr>
          <w:rFonts w:ascii="Cambria" w:eastAsia="Times New Roman" w:hAnsi="Cambria"/>
          <w:sz w:val="20"/>
          <w:szCs w:val="20"/>
          <w:lang w:val="es-ES" w:eastAsia="es-ES"/>
        </w:rPr>
        <w:t>iii</w:t>
      </w:r>
      <w:proofErr w:type="spellEnd"/>
      <w:r w:rsidRPr="002E18FD">
        <w:rPr>
          <w:rFonts w:ascii="Cambria" w:eastAsia="Times New Roman" w:hAnsi="Cambria"/>
          <w:sz w:val="20"/>
          <w:szCs w:val="20"/>
          <w:lang w:val="es-ES" w:eastAsia="es-ES"/>
        </w:rPr>
        <w:t xml:space="preserve">) la conducta de las autoridades judiciales; y </w:t>
      </w:r>
      <w:proofErr w:type="spellStart"/>
      <w:r w:rsidRPr="002E18FD">
        <w:rPr>
          <w:rFonts w:ascii="Cambria" w:eastAsia="Times New Roman" w:hAnsi="Cambria"/>
          <w:sz w:val="20"/>
          <w:szCs w:val="20"/>
          <w:lang w:val="es-ES" w:eastAsia="es-ES"/>
        </w:rPr>
        <w:t>iv</w:t>
      </w:r>
      <w:proofErr w:type="spellEnd"/>
      <w:r w:rsidRPr="002E18FD">
        <w:rPr>
          <w:rFonts w:ascii="Cambria" w:eastAsia="Times New Roman" w:hAnsi="Cambria"/>
          <w:sz w:val="20"/>
          <w:szCs w:val="20"/>
          <w:lang w:val="es-ES" w:eastAsia="es-ES"/>
        </w:rPr>
        <w:t>) afectación generada en la situación jurídica de la persona involucrada en el proceso</w:t>
      </w:r>
      <w:r w:rsidRPr="00152E74">
        <w:rPr>
          <w:rFonts w:ascii="Cambria" w:eastAsia="Times New Roman" w:hAnsi="Cambria"/>
          <w:sz w:val="20"/>
          <w:szCs w:val="20"/>
          <w:vertAlign w:val="superscript"/>
          <w:lang w:val="es-ES" w:eastAsia="es-ES"/>
        </w:rPr>
        <w:footnoteReference w:id="76"/>
      </w:r>
      <w:r w:rsidRPr="002E18FD">
        <w:rPr>
          <w:rFonts w:ascii="Cambria" w:eastAsia="Times New Roman" w:hAnsi="Cambria"/>
          <w:sz w:val="20"/>
          <w:szCs w:val="20"/>
          <w:lang w:val="es-ES" w:eastAsia="es-ES"/>
        </w:rPr>
        <w:t>. La Corte Interamericana ha establecido que una demora prolongada puede llegar a constituir por sí misma una violación de las garantías judiciales</w:t>
      </w:r>
      <w:r w:rsidRPr="00152E74">
        <w:rPr>
          <w:rFonts w:ascii="Cambria" w:eastAsia="Times New Roman" w:hAnsi="Cambria"/>
          <w:sz w:val="20"/>
          <w:szCs w:val="20"/>
          <w:vertAlign w:val="superscript"/>
          <w:lang w:val="es-ES" w:eastAsia="es-ES"/>
        </w:rPr>
        <w:footnoteReference w:id="77"/>
      </w:r>
      <w:r w:rsidRPr="002E18FD">
        <w:rPr>
          <w:rFonts w:ascii="Cambria" w:eastAsia="Times New Roman" w:hAnsi="Cambria"/>
          <w:sz w:val="20"/>
          <w:szCs w:val="20"/>
          <w:lang w:val="es-ES" w:eastAsia="es-ES"/>
        </w:rPr>
        <w:t>, por lo cual, corresponde al Estado exponer y probar la razón por la cual se ha requerido más tiempo del razonable para dictar sentencia definitiva en un caso particular</w:t>
      </w:r>
      <w:r w:rsidRPr="00152E74">
        <w:rPr>
          <w:rFonts w:ascii="Cambria" w:eastAsia="Times New Roman" w:hAnsi="Cambria"/>
          <w:sz w:val="20"/>
          <w:szCs w:val="20"/>
          <w:vertAlign w:val="superscript"/>
          <w:lang w:val="es-ES" w:eastAsia="es-ES"/>
        </w:rPr>
        <w:footnoteReference w:id="78"/>
      </w:r>
      <w:r w:rsidRPr="002E18FD">
        <w:rPr>
          <w:rFonts w:ascii="Cambria" w:eastAsia="Times New Roman" w:hAnsi="Cambria"/>
          <w:sz w:val="20"/>
          <w:szCs w:val="20"/>
          <w:lang w:val="es-ES" w:eastAsia="es-ES"/>
        </w:rPr>
        <w:t>.</w:t>
      </w:r>
    </w:p>
    <w:p w14:paraId="47A9CB87" w14:textId="77777777" w:rsidR="00874468" w:rsidRDefault="00874468" w:rsidP="002E18FD">
      <w:pPr>
        <w:pStyle w:val="Ttulo3"/>
        <w:numPr>
          <w:ilvl w:val="0"/>
          <w:numId w:val="60"/>
        </w:numPr>
        <w:ind w:left="630" w:hanging="630"/>
        <w:rPr>
          <w:rFonts w:ascii="Cambria" w:eastAsia="Calibri" w:hAnsi="Cambria"/>
          <w:sz w:val="20"/>
          <w:szCs w:val="20"/>
          <w:lang w:val="es-ES"/>
        </w:rPr>
      </w:pPr>
      <w:bookmarkStart w:id="20" w:name="_Toc1985291"/>
      <w:bookmarkStart w:id="21" w:name="_Toc5359032"/>
      <w:r w:rsidRPr="00757849">
        <w:rPr>
          <w:rFonts w:ascii="Cambria" w:eastAsia="Calibri" w:hAnsi="Cambria"/>
          <w:sz w:val="20"/>
          <w:szCs w:val="20"/>
          <w:lang w:val="es-ES"/>
        </w:rPr>
        <w:lastRenderedPageBreak/>
        <w:t>La diligencia en la investigación</w:t>
      </w:r>
      <w:bookmarkEnd w:id="20"/>
      <w:bookmarkEnd w:id="21"/>
      <w:r w:rsidRPr="00757849">
        <w:rPr>
          <w:rFonts w:ascii="Cambria" w:eastAsia="Calibri" w:hAnsi="Cambria"/>
          <w:sz w:val="20"/>
          <w:szCs w:val="20"/>
          <w:lang w:val="es-ES"/>
        </w:rPr>
        <w:t xml:space="preserve"> </w:t>
      </w:r>
    </w:p>
    <w:p w14:paraId="57F1CC03" w14:textId="77777777" w:rsidR="00E35793" w:rsidRPr="00E35793" w:rsidRDefault="00E35793" w:rsidP="00E35793">
      <w:pPr>
        <w:rPr>
          <w:lang w:val="es-ES"/>
        </w:rPr>
      </w:pPr>
    </w:p>
    <w:p w14:paraId="722C845A" w14:textId="77777777" w:rsid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ES"/>
        </w:rPr>
      </w:pPr>
      <w:r w:rsidRPr="002E18FD">
        <w:rPr>
          <w:rFonts w:ascii="Cambria" w:eastAsia="Times New Roman" w:hAnsi="Cambria"/>
          <w:sz w:val="20"/>
          <w:szCs w:val="20"/>
          <w:lang w:val="es-ES" w:eastAsia="es-ES"/>
        </w:rPr>
        <w:t>La</w:t>
      </w:r>
      <w:r>
        <w:rPr>
          <w:rFonts w:ascii="Cambria" w:eastAsia="Calibri" w:hAnsi="Cambria"/>
          <w:sz w:val="20"/>
          <w:szCs w:val="20"/>
          <w:lang w:val="es-ES"/>
        </w:rPr>
        <w:t xml:space="preserve"> </w:t>
      </w:r>
      <w:proofErr w:type="spellStart"/>
      <w:r>
        <w:rPr>
          <w:rFonts w:ascii="Cambria" w:eastAsia="Calibri" w:hAnsi="Cambria"/>
          <w:sz w:val="20"/>
          <w:szCs w:val="20"/>
          <w:lang w:val="es-ES"/>
        </w:rPr>
        <w:t>Comisi</w:t>
      </w:r>
      <w:r>
        <w:rPr>
          <w:rFonts w:ascii="Cambria" w:eastAsia="Calibri" w:hAnsi="Cambria"/>
          <w:sz w:val="20"/>
          <w:szCs w:val="20"/>
          <w:lang w:val="es-VE"/>
        </w:rPr>
        <w:t>ón</w:t>
      </w:r>
      <w:proofErr w:type="spellEnd"/>
      <w:r>
        <w:rPr>
          <w:rFonts w:ascii="Cambria" w:eastAsia="Calibri" w:hAnsi="Cambria"/>
          <w:sz w:val="20"/>
          <w:szCs w:val="20"/>
          <w:lang w:val="es-VE"/>
        </w:rPr>
        <w:t xml:space="preserve"> rec</w:t>
      </w:r>
      <w:r w:rsidR="00D65276">
        <w:rPr>
          <w:rFonts w:ascii="Cambria" w:eastAsia="Calibri" w:hAnsi="Cambria"/>
          <w:sz w:val="20"/>
          <w:szCs w:val="20"/>
          <w:lang w:val="es-VE"/>
        </w:rPr>
        <w:t xml:space="preserve">uerda </w:t>
      </w:r>
      <w:proofErr w:type="gramStart"/>
      <w:r w:rsidR="00D65276">
        <w:rPr>
          <w:rFonts w:ascii="Cambria" w:eastAsia="Calibri" w:hAnsi="Cambria"/>
          <w:sz w:val="20"/>
          <w:szCs w:val="20"/>
          <w:lang w:val="es-VE"/>
        </w:rPr>
        <w:t>que</w:t>
      </w:r>
      <w:proofErr w:type="gramEnd"/>
      <w:r w:rsidR="00D65276">
        <w:rPr>
          <w:rFonts w:ascii="Cambria" w:eastAsia="Calibri" w:hAnsi="Cambria"/>
          <w:sz w:val="20"/>
          <w:szCs w:val="20"/>
          <w:lang w:val="es-VE"/>
        </w:rPr>
        <w:t xml:space="preserve"> en el presente caso, la presunta víctima fue secuestrada de la cárcel donde se encontraba detenida el 15 de </w:t>
      </w:r>
      <w:r w:rsidR="00353B1B">
        <w:rPr>
          <w:rFonts w:ascii="Cambria" w:eastAsia="Calibri" w:hAnsi="Cambria"/>
          <w:sz w:val="20"/>
          <w:szCs w:val="20"/>
          <w:lang w:val="es-VE"/>
        </w:rPr>
        <w:t xml:space="preserve">julio de 2001. Igualmente, los familiares presentaron al menos dos denuncias por su desaparición. </w:t>
      </w:r>
    </w:p>
    <w:p w14:paraId="30DE54CD"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Calibri" w:hAnsi="Cambria"/>
          <w:sz w:val="20"/>
          <w:szCs w:val="20"/>
          <w:lang w:val="es-ES"/>
        </w:rPr>
      </w:pPr>
    </w:p>
    <w:p w14:paraId="5C6809B9" w14:textId="77777777" w:rsidR="002E18FD" w:rsidRDefault="00353B1B"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ES"/>
        </w:rPr>
      </w:pPr>
      <w:r w:rsidRPr="002E18FD">
        <w:rPr>
          <w:rFonts w:ascii="Cambria" w:eastAsia="Calibri" w:hAnsi="Cambria"/>
          <w:sz w:val="20"/>
          <w:szCs w:val="20"/>
          <w:lang w:val="es-ES"/>
        </w:rPr>
        <w:t xml:space="preserve">La CIDH </w:t>
      </w:r>
      <w:r w:rsidR="00012A1E" w:rsidRPr="002E18FD">
        <w:rPr>
          <w:rFonts w:ascii="Cambria" w:eastAsia="Calibri" w:hAnsi="Cambria"/>
          <w:sz w:val="20"/>
          <w:szCs w:val="20"/>
          <w:lang w:val="es-ES"/>
        </w:rPr>
        <w:t>hace notar en primer lugar que dichos hechos no activaron una búsqueda inmediata para dar con el paradero de la presunta víctima ni tampoco una investigación</w:t>
      </w:r>
      <w:r w:rsidR="002042C0" w:rsidRPr="002E18FD">
        <w:rPr>
          <w:rFonts w:ascii="Cambria" w:eastAsia="Calibri" w:hAnsi="Cambria"/>
          <w:sz w:val="20"/>
          <w:szCs w:val="20"/>
          <w:lang w:val="es-ES"/>
        </w:rPr>
        <w:t xml:space="preserve">, </w:t>
      </w:r>
      <w:r w:rsidR="002042C0" w:rsidRPr="002E18FD">
        <w:rPr>
          <w:rFonts w:ascii="Cambria" w:eastAsia="Calibri" w:hAnsi="Cambria"/>
          <w:sz w:val="20"/>
          <w:szCs w:val="20"/>
          <w:lang w:val="es-VE"/>
        </w:rPr>
        <w:t xml:space="preserve">no </w:t>
      </w:r>
      <w:proofErr w:type="gramStart"/>
      <w:r w:rsidR="002042C0" w:rsidRPr="002E18FD">
        <w:rPr>
          <w:rFonts w:ascii="Cambria" w:eastAsia="Calibri" w:hAnsi="Cambria"/>
          <w:sz w:val="20"/>
          <w:szCs w:val="20"/>
          <w:lang w:val="es-VE"/>
        </w:rPr>
        <w:t>obstante</w:t>
      </w:r>
      <w:proofErr w:type="gramEnd"/>
      <w:r w:rsidR="002042C0" w:rsidRPr="002E18FD">
        <w:rPr>
          <w:rFonts w:ascii="Cambria" w:eastAsia="Calibri" w:hAnsi="Cambria"/>
          <w:sz w:val="20"/>
          <w:szCs w:val="20"/>
          <w:lang w:val="es-VE"/>
        </w:rPr>
        <w:t xml:space="preserve"> los indicios de que podía tratarse de una desaparición forzada, lo que exige una respuesta expedita y exhaustiva en las primeras horas tras el conocimiento de la situación.</w:t>
      </w:r>
      <w:r w:rsidR="00E35793" w:rsidRPr="002E18FD">
        <w:rPr>
          <w:rFonts w:ascii="Cambria" w:eastAsia="Calibri" w:hAnsi="Cambria"/>
          <w:sz w:val="20"/>
          <w:szCs w:val="20"/>
          <w:lang w:val="es-ES"/>
        </w:rPr>
        <w:t xml:space="preserve"> </w:t>
      </w:r>
      <w:r w:rsidR="00BF2234" w:rsidRPr="002E18FD">
        <w:rPr>
          <w:rFonts w:ascii="Cambria" w:eastAsia="Calibri" w:hAnsi="Cambria"/>
          <w:sz w:val="20"/>
          <w:szCs w:val="20"/>
          <w:lang w:val="es-ES"/>
        </w:rPr>
        <w:t>En el primer informe policial de los hechos, emitido un mes después de estos se identifica como tarea pendiente “tratar de ubicar a la presunta víctima</w:t>
      </w:r>
      <w:r w:rsidR="009B5153" w:rsidRPr="002E18FD">
        <w:rPr>
          <w:rFonts w:ascii="Cambria" w:eastAsia="Calibri" w:hAnsi="Cambria"/>
          <w:sz w:val="20"/>
          <w:szCs w:val="20"/>
          <w:lang w:val="es-ES"/>
        </w:rPr>
        <w:t>”</w:t>
      </w:r>
      <w:r w:rsidR="00BF2234" w:rsidRPr="002E18FD">
        <w:rPr>
          <w:rFonts w:ascii="Cambria" w:eastAsia="Calibri" w:hAnsi="Cambria"/>
          <w:sz w:val="20"/>
          <w:szCs w:val="20"/>
          <w:lang w:val="es-ES"/>
        </w:rPr>
        <w:t xml:space="preserve">. Asimismo, </w:t>
      </w:r>
      <w:r w:rsidR="00834D24" w:rsidRPr="002E18FD">
        <w:rPr>
          <w:rFonts w:ascii="Cambria" w:eastAsia="Calibri" w:hAnsi="Cambria"/>
          <w:sz w:val="20"/>
          <w:szCs w:val="20"/>
          <w:lang w:val="es-ES"/>
        </w:rPr>
        <w:t>s</w:t>
      </w:r>
      <w:r w:rsidR="00012A1E" w:rsidRPr="002E18FD">
        <w:rPr>
          <w:rFonts w:ascii="Cambria" w:eastAsia="Calibri" w:hAnsi="Cambria"/>
          <w:sz w:val="20"/>
          <w:szCs w:val="20"/>
          <w:lang w:val="es-ES"/>
        </w:rPr>
        <w:t>egún consta en el expediente, la investigación penal se inició más de un mes después de los hechos, en agosto de 2001, a solicitud del Inspector General de la Policía.</w:t>
      </w:r>
      <w:r w:rsidR="002042C0" w:rsidRPr="002E18FD">
        <w:rPr>
          <w:rFonts w:ascii="Cambria" w:eastAsia="Calibri" w:hAnsi="Cambria"/>
          <w:sz w:val="20"/>
          <w:szCs w:val="20"/>
          <w:lang w:val="es-ES"/>
        </w:rPr>
        <w:t xml:space="preserve"> </w:t>
      </w:r>
    </w:p>
    <w:p w14:paraId="1E49E277" w14:textId="77777777" w:rsidR="002E18FD" w:rsidRDefault="002E18FD" w:rsidP="002E18FD">
      <w:pPr>
        <w:pStyle w:val="Prrafodelista"/>
        <w:rPr>
          <w:rFonts w:eastAsia="Calibri"/>
          <w:sz w:val="20"/>
          <w:szCs w:val="20"/>
          <w:lang w:val="es-ES"/>
        </w:rPr>
      </w:pPr>
    </w:p>
    <w:p w14:paraId="1381A40F" w14:textId="77777777" w:rsidR="00012A1E" w:rsidRPr="002E18FD" w:rsidRDefault="002E18FD"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ES"/>
        </w:rPr>
      </w:pPr>
      <w:r w:rsidRPr="002E18FD">
        <w:rPr>
          <w:rFonts w:ascii="Cambria" w:eastAsia="Calibri" w:hAnsi="Cambria"/>
          <w:sz w:val="20"/>
          <w:szCs w:val="20"/>
          <w:lang w:val="es-ES"/>
        </w:rPr>
        <w:t>La</w:t>
      </w:r>
      <w:r w:rsidR="00012A1E" w:rsidRPr="002E18FD">
        <w:rPr>
          <w:rFonts w:ascii="Cambria" w:eastAsia="Calibri" w:hAnsi="Cambria"/>
          <w:sz w:val="20"/>
          <w:szCs w:val="20"/>
          <w:lang w:val="es-ES"/>
        </w:rPr>
        <w:t xml:space="preserve"> CIDH </w:t>
      </w:r>
      <w:r w:rsidR="008E3053" w:rsidRPr="002E18FD">
        <w:rPr>
          <w:rFonts w:ascii="Cambria" w:eastAsia="Calibri" w:hAnsi="Cambria"/>
          <w:sz w:val="20"/>
          <w:szCs w:val="20"/>
          <w:lang w:val="es-ES"/>
        </w:rPr>
        <w:t>hace notar adicionalmente que el Estado omitió realizar las diligencias más mínimas para ubicar el paradero de la presunta víctima e identificar a los responsables. En particular</w:t>
      </w:r>
      <w:r w:rsidR="00834D24" w:rsidRPr="002E18FD">
        <w:rPr>
          <w:rFonts w:ascii="Cambria" w:eastAsia="Calibri" w:hAnsi="Cambria"/>
          <w:sz w:val="20"/>
          <w:szCs w:val="20"/>
          <w:lang w:val="es-ES"/>
        </w:rPr>
        <w:t>:</w:t>
      </w:r>
    </w:p>
    <w:p w14:paraId="6F7F8918"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Cambria" w:eastAsia="Calibri" w:hAnsi="Cambria"/>
          <w:sz w:val="20"/>
          <w:szCs w:val="20"/>
          <w:lang w:val="es-ES"/>
        </w:rPr>
      </w:pPr>
    </w:p>
    <w:p w14:paraId="0ABB6006" w14:textId="77777777" w:rsidR="00834D24" w:rsidRDefault="008E3053"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eastAsia="Calibri" w:hAnsi="Cambria"/>
          <w:sz w:val="20"/>
          <w:szCs w:val="20"/>
          <w:lang w:val="es-ES"/>
        </w:rPr>
      </w:pPr>
      <w:r>
        <w:rPr>
          <w:rFonts w:ascii="Cambria" w:eastAsia="Calibri" w:hAnsi="Cambria"/>
          <w:sz w:val="20"/>
          <w:szCs w:val="20"/>
          <w:lang w:val="es-ES"/>
        </w:rPr>
        <w:t>-</w:t>
      </w:r>
      <w:r w:rsidR="00834D24">
        <w:rPr>
          <w:rFonts w:ascii="Cambria" w:eastAsia="Calibri" w:hAnsi="Cambria"/>
          <w:sz w:val="20"/>
          <w:szCs w:val="20"/>
          <w:lang w:val="es-ES"/>
        </w:rPr>
        <w:t xml:space="preserve">No consta ni una sola diligencia de búsqueda para dar con el paradero de la presunta víctima. </w:t>
      </w:r>
    </w:p>
    <w:p w14:paraId="515F74DC" w14:textId="77777777" w:rsidR="008E3053" w:rsidRDefault="00834D24"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eastAsia="Calibri" w:hAnsi="Cambria"/>
          <w:sz w:val="20"/>
          <w:szCs w:val="20"/>
          <w:lang w:val="es-ES"/>
        </w:rPr>
      </w:pPr>
      <w:r>
        <w:rPr>
          <w:rFonts w:ascii="Cambria" w:eastAsia="Calibri" w:hAnsi="Cambria"/>
          <w:sz w:val="20"/>
          <w:szCs w:val="20"/>
          <w:lang w:val="es-ES"/>
        </w:rPr>
        <w:t>-</w:t>
      </w:r>
      <w:r w:rsidR="008E3053">
        <w:rPr>
          <w:rFonts w:ascii="Cambria" w:eastAsia="Calibri" w:hAnsi="Cambria"/>
          <w:sz w:val="20"/>
          <w:szCs w:val="20"/>
          <w:lang w:val="es-ES"/>
        </w:rPr>
        <w:t xml:space="preserve">El reconocimiento de la cárcel donde la presunta víctima fue extraída se realizó nueve meses después </w:t>
      </w:r>
      <w:r>
        <w:rPr>
          <w:rFonts w:ascii="Cambria" w:eastAsia="Calibri" w:hAnsi="Cambria"/>
          <w:sz w:val="20"/>
          <w:szCs w:val="20"/>
          <w:lang w:val="es-ES"/>
        </w:rPr>
        <w:t>de los hechos, por lo que no se encontraron daños materiales ni se pudo determinar el uso de la fuerza en el momento en que fue retirada de la cárcel</w:t>
      </w:r>
      <w:r w:rsidR="00C318A4">
        <w:rPr>
          <w:rFonts w:ascii="Cambria" w:eastAsia="Calibri" w:hAnsi="Cambria"/>
          <w:sz w:val="20"/>
          <w:szCs w:val="20"/>
          <w:lang w:val="es-ES"/>
        </w:rPr>
        <w:t>.</w:t>
      </w:r>
    </w:p>
    <w:p w14:paraId="5612FBFB" w14:textId="77777777" w:rsidR="00834D24" w:rsidRDefault="00834D24"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eastAsia="Calibri" w:hAnsi="Cambria"/>
          <w:sz w:val="20"/>
          <w:szCs w:val="20"/>
          <w:lang w:val="es-ES"/>
        </w:rPr>
      </w:pPr>
      <w:r>
        <w:rPr>
          <w:rFonts w:ascii="Cambria" w:eastAsia="Calibri" w:hAnsi="Cambria"/>
          <w:sz w:val="20"/>
          <w:szCs w:val="20"/>
          <w:lang w:val="es-ES"/>
        </w:rPr>
        <w:t xml:space="preserve">-No consta que el Estado haya realizado una inspección en los Calabozos de las Juntas del Campesinado, pese a que la Centra de Juntas informó que la presunta víctima fue llevada a dicho lugar, pero que haciendo uso de la fuerza se fugó del mismo. </w:t>
      </w:r>
    </w:p>
    <w:p w14:paraId="3159A0C7" w14:textId="77777777" w:rsidR="00A65698" w:rsidRDefault="00834D24" w:rsidP="0065163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eastAsia="Calibri" w:hAnsi="Cambria"/>
          <w:sz w:val="20"/>
          <w:szCs w:val="20"/>
          <w:lang w:val="es-ES"/>
        </w:rPr>
      </w:pPr>
      <w:r>
        <w:rPr>
          <w:rFonts w:ascii="Cambria" w:eastAsia="Calibri" w:hAnsi="Cambria"/>
          <w:sz w:val="20"/>
          <w:szCs w:val="20"/>
          <w:lang w:val="es-ES"/>
        </w:rPr>
        <w:t xml:space="preserve">-No consta </w:t>
      </w:r>
      <w:proofErr w:type="gramStart"/>
      <w:r>
        <w:rPr>
          <w:rFonts w:ascii="Cambria" w:eastAsia="Calibri" w:hAnsi="Cambria"/>
          <w:sz w:val="20"/>
          <w:szCs w:val="20"/>
          <w:lang w:val="es-ES"/>
        </w:rPr>
        <w:t>que</w:t>
      </w:r>
      <w:proofErr w:type="gramEnd"/>
      <w:r>
        <w:rPr>
          <w:rFonts w:ascii="Cambria" w:eastAsia="Calibri" w:hAnsi="Cambria"/>
          <w:sz w:val="20"/>
          <w:szCs w:val="20"/>
          <w:lang w:val="es-ES"/>
        </w:rPr>
        <w:t xml:space="preserve"> por este hecho, los miembros de las Juntas hayan sido sometidos a proceso penal</w:t>
      </w:r>
      <w:r w:rsidR="0063270C">
        <w:rPr>
          <w:rFonts w:ascii="Cambria" w:eastAsia="Calibri" w:hAnsi="Cambria"/>
          <w:sz w:val="20"/>
          <w:szCs w:val="20"/>
          <w:lang w:val="es-ES"/>
        </w:rPr>
        <w:t xml:space="preserve">, no obstante reconocieron explícitamente haberse llevado al señor Núñez y haberlo detenido en un calabozo. </w:t>
      </w:r>
    </w:p>
    <w:p w14:paraId="5679CEE7" w14:textId="77777777" w:rsidR="00834D24" w:rsidRDefault="00834D24" w:rsidP="0065556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Cambria" w:eastAsia="Calibri" w:hAnsi="Cambria"/>
          <w:sz w:val="20"/>
          <w:szCs w:val="20"/>
          <w:lang w:val="es-ES"/>
        </w:rPr>
      </w:pPr>
    </w:p>
    <w:p w14:paraId="1A03613E" w14:textId="77777777" w:rsidR="002E18FD" w:rsidRDefault="00834D24"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VE"/>
        </w:rPr>
      </w:pPr>
      <w:r>
        <w:rPr>
          <w:rFonts w:ascii="Cambria" w:eastAsia="Calibri" w:hAnsi="Cambria"/>
          <w:sz w:val="20"/>
          <w:szCs w:val="20"/>
          <w:lang w:val="es-ES"/>
        </w:rPr>
        <w:t>Adicionalmente, la Comisión subraya las faltas a la debida diligencia que quedaron demostradas en la decisión de sobreseimiento</w:t>
      </w:r>
      <w:r w:rsidR="00A65698">
        <w:rPr>
          <w:rFonts w:ascii="Cambria" w:eastAsia="Calibri" w:hAnsi="Cambria"/>
          <w:sz w:val="20"/>
          <w:szCs w:val="20"/>
          <w:lang w:val="es-ES"/>
        </w:rPr>
        <w:t xml:space="preserve"> provisional</w:t>
      </w:r>
      <w:r>
        <w:rPr>
          <w:rFonts w:ascii="Cambria" w:eastAsia="Calibri" w:hAnsi="Cambria"/>
          <w:sz w:val="20"/>
          <w:szCs w:val="20"/>
          <w:lang w:val="es-ES"/>
        </w:rPr>
        <w:t>. Según se indicó en</w:t>
      </w:r>
      <w:r w:rsidR="00A65698">
        <w:rPr>
          <w:rFonts w:ascii="Cambria" w:eastAsia="Calibri" w:hAnsi="Cambria"/>
          <w:sz w:val="20"/>
          <w:szCs w:val="20"/>
          <w:lang w:val="es-ES"/>
        </w:rPr>
        <w:t xml:space="preserve"> tal resolución, la prueba obtenida durante la etapa indagatoria no cumplió con la Ley Orgánica del Ministerio Público porque no consta que se haya citado</w:t>
      </w:r>
      <w:r w:rsidR="00E35793">
        <w:rPr>
          <w:rFonts w:ascii="Cambria" w:eastAsia="Calibri" w:hAnsi="Cambria"/>
          <w:sz w:val="20"/>
          <w:szCs w:val="20"/>
          <w:lang w:val="es-ES"/>
        </w:rPr>
        <w:t xml:space="preserve"> </w:t>
      </w:r>
      <w:r w:rsidR="00A65698">
        <w:rPr>
          <w:rFonts w:ascii="Cambria" w:eastAsia="Calibri" w:hAnsi="Cambria"/>
          <w:sz w:val="20"/>
          <w:szCs w:val="20"/>
          <w:lang w:val="es-ES"/>
        </w:rPr>
        <w:t>a los imputados para la intervención en el momento de la recepción.</w:t>
      </w:r>
      <w:r w:rsidR="00E35793">
        <w:rPr>
          <w:rFonts w:ascii="Cambria" w:eastAsia="Calibri" w:hAnsi="Cambria"/>
          <w:sz w:val="20"/>
          <w:szCs w:val="20"/>
          <w:lang w:val="es-ES"/>
        </w:rPr>
        <w:t xml:space="preserve"> </w:t>
      </w:r>
      <w:r w:rsidR="00E749DA">
        <w:rPr>
          <w:rFonts w:ascii="Cambria" w:eastAsia="Calibri" w:hAnsi="Cambria"/>
          <w:sz w:val="20"/>
          <w:szCs w:val="20"/>
          <w:lang w:val="es-ES"/>
        </w:rPr>
        <w:t xml:space="preserve">Esta omisión, que impidió considerar la prueba practicada, resulta plenamente atribuible al Estado. Además, más allá de dejar constancia de esta situación, no se dispone medida alguna para </w:t>
      </w:r>
      <w:r w:rsidR="002C4E24">
        <w:rPr>
          <w:rFonts w:ascii="Cambria" w:eastAsia="Calibri" w:hAnsi="Cambria"/>
          <w:sz w:val="20"/>
          <w:szCs w:val="20"/>
          <w:lang w:val="es-ES"/>
        </w:rPr>
        <w:t>subsanar</w:t>
      </w:r>
      <w:r w:rsidR="00E749DA">
        <w:rPr>
          <w:rFonts w:ascii="Cambria" w:eastAsia="Calibri" w:hAnsi="Cambria"/>
          <w:sz w:val="20"/>
          <w:szCs w:val="20"/>
          <w:lang w:val="es-ES"/>
        </w:rPr>
        <w:t xml:space="preserve"> las omisiones referidas y reconducir el proceso, de manera que fuera posible el esclarecimiento de los hechos y la sanción de los responsables. </w:t>
      </w:r>
      <w:r w:rsidR="00A65698">
        <w:rPr>
          <w:rFonts w:ascii="Cambria" w:eastAsia="Calibri" w:hAnsi="Cambria"/>
          <w:sz w:val="20"/>
          <w:szCs w:val="20"/>
          <w:lang w:val="es-ES"/>
        </w:rPr>
        <w:t xml:space="preserve">Asimismo, hizo notar que en la etapa de instrucción no se incorporó ninguna evidencia. </w:t>
      </w:r>
    </w:p>
    <w:p w14:paraId="0EB63B87"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Calibri" w:hAnsi="Cambria"/>
          <w:sz w:val="20"/>
          <w:szCs w:val="20"/>
          <w:lang w:val="es-VE"/>
        </w:rPr>
      </w:pPr>
    </w:p>
    <w:p w14:paraId="00165FC5" w14:textId="77777777" w:rsidR="002E18FD" w:rsidRDefault="00A6569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VE"/>
        </w:rPr>
      </w:pPr>
      <w:r w:rsidRPr="002E18FD">
        <w:rPr>
          <w:rFonts w:ascii="Cambria" w:eastAsia="Calibri" w:hAnsi="Cambria"/>
          <w:sz w:val="20"/>
          <w:szCs w:val="20"/>
          <w:lang w:val="es-VE"/>
        </w:rPr>
        <w:t xml:space="preserve">Finalmente, la CIDH hace notar que pese a la información del </w:t>
      </w:r>
      <w:proofErr w:type="gramStart"/>
      <w:r w:rsidRPr="002E18FD">
        <w:rPr>
          <w:rFonts w:ascii="Cambria" w:eastAsia="Calibri" w:hAnsi="Cambria"/>
          <w:sz w:val="20"/>
          <w:szCs w:val="20"/>
          <w:lang w:val="es-VE"/>
        </w:rPr>
        <w:t>Jefe</w:t>
      </w:r>
      <w:proofErr w:type="gramEnd"/>
      <w:r w:rsidRPr="002E18FD">
        <w:rPr>
          <w:rFonts w:ascii="Cambria" w:eastAsia="Calibri" w:hAnsi="Cambria"/>
          <w:sz w:val="20"/>
          <w:szCs w:val="20"/>
          <w:lang w:val="es-VE"/>
        </w:rPr>
        <w:t xml:space="preserve"> de la P</w:t>
      </w:r>
      <w:r w:rsidR="002E18FD">
        <w:rPr>
          <w:rFonts w:ascii="Cambria" w:eastAsia="Calibri" w:hAnsi="Cambria"/>
          <w:sz w:val="20"/>
          <w:szCs w:val="20"/>
          <w:lang w:val="es-VE"/>
        </w:rPr>
        <w:t>olicía de 15 de octubre de 2004</w:t>
      </w:r>
      <w:r w:rsidRPr="002E18FD">
        <w:rPr>
          <w:rFonts w:ascii="Cambria" w:eastAsia="Calibri" w:hAnsi="Cambria"/>
          <w:sz w:val="20"/>
          <w:szCs w:val="20"/>
          <w:lang w:val="es-VE"/>
        </w:rPr>
        <w:t xml:space="preserve">, según la cual </w:t>
      </w:r>
      <w:proofErr w:type="spellStart"/>
      <w:r w:rsidRPr="002E18FD">
        <w:rPr>
          <w:rFonts w:ascii="Cambria" w:eastAsia="Calibri" w:hAnsi="Cambria"/>
          <w:sz w:val="20"/>
          <w:szCs w:val="20"/>
          <w:lang w:val="es-VE"/>
        </w:rPr>
        <w:t>continuan</w:t>
      </w:r>
      <w:proofErr w:type="spellEnd"/>
      <w:r w:rsidRPr="002E18FD">
        <w:rPr>
          <w:rFonts w:ascii="Cambria" w:eastAsia="Calibri" w:hAnsi="Cambria"/>
          <w:sz w:val="20"/>
          <w:szCs w:val="20"/>
          <w:lang w:val="es-VE"/>
        </w:rPr>
        <w:t xml:space="preserve"> con las investigaciones para dar con el paradero de la presunta víctima, el 18 de octubre de 2004 el Juzgado Cuarto de lo Penal informó que a partir de la decisión de sobreseimiento provisional, no se ha </w:t>
      </w:r>
      <w:proofErr w:type="spellStart"/>
      <w:r w:rsidRPr="002E18FD">
        <w:rPr>
          <w:rFonts w:ascii="Cambria" w:eastAsia="Calibri" w:hAnsi="Cambria"/>
          <w:sz w:val="20"/>
          <w:szCs w:val="20"/>
          <w:lang w:val="es-VE"/>
        </w:rPr>
        <w:t>recibidio</w:t>
      </w:r>
      <w:proofErr w:type="spellEnd"/>
      <w:r w:rsidRPr="002E18FD">
        <w:rPr>
          <w:rFonts w:ascii="Cambria" w:eastAsia="Calibri" w:hAnsi="Cambria"/>
          <w:sz w:val="20"/>
          <w:szCs w:val="20"/>
          <w:lang w:val="es-VE"/>
        </w:rPr>
        <w:t xml:space="preserve"> ninguna diligencia por parte de la fiscalía. Lo anterior demuestra que no se activó ninguna vía para revertir la decisión de sobreseimiento provisional</w:t>
      </w:r>
      <w:r w:rsidR="00E008F5" w:rsidRPr="002E18FD">
        <w:rPr>
          <w:rFonts w:ascii="Cambria" w:eastAsia="Calibri" w:hAnsi="Cambria"/>
          <w:sz w:val="20"/>
          <w:szCs w:val="20"/>
          <w:lang w:val="es-VE"/>
        </w:rPr>
        <w:t xml:space="preserve"> a pesar de las omisiones ya constatadas</w:t>
      </w:r>
      <w:r w:rsidR="003A53FF" w:rsidRPr="002E18FD">
        <w:rPr>
          <w:rFonts w:ascii="Cambria" w:eastAsia="Calibri" w:hAnsi="Cambria"/>
          <w:sz w:val="20"/>
          <w:szCs w:val="20"/>
          <w:lang w:val="es-VE"/>
        </w:rPr>
        <w:t>.</w:t>
      </w:r>
      <w:r w:rsidRPr="002E18FD">
        <w:rPr>
          <w:rFonts w:ascii="Cambria" w:eastAsia="Calibri" w:hAnsi="Cambria"/>
          <w:sz w:val="20"/>
          <w:szCs w:val="20"/>
          <w:lang w:val="es-VE"/>
        </w:rPr>
        <w:t xml:space="preserve"> </w:t>
      </w:r>
    </w:p>
    <w:p w14:paraId="7564C51B" w14:textId="77777777" w:rsidR="002E18FD" w:rsidRDefault="002E18FD" w:rsidP="002E18FD">
      <w:pPr>
        <w:pStyle w:val="Prrafodelista"/>
        <w:rPr>
          <w:rFonts w:eastAsia="Calibri"/>
          <w:sz w:val="20"/>
          <w:szCs w:val="20"/>
          <w:lang w:val="es-ES"/>
        </w:rPr>
      </w:pPr>
    </w:p>
    <w:p w14:paraId="35EA9406" w14:textId="77777777" w:rsidR="00874468" w:rsidRPr="004C5074"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Calibri" w:hAnsi="Cambria"/>
          <w:sz w:val="20"/>
          <w:szCs w:val="20"/>
          <w:lang w:val="es-VE"/>
        </w:rPr>
      </w:pPr>
      <w:r w:rsidRPr="002E18FD">
        <w:rPr>
          <w:rFonts w:ascii="Cambria" w:eastAsia="Calibri" w:hAnsi="Cambria"/>
          <w:sz w:val="20"/>
          <w:szCs w:val="20"/>
          <w:lang w:val="es-ES"/>
        </w:rPr>
        <w:t>Todos los anteriores elementos, tomados en su conjunto, permiten concluir que el Estado no ha investigado los hechos del presente caso con la debida diligencia, en violación de los derechos establecidos en los artículos 8.1 y 25.1 de la Convención American</w:t>
      </w:r>
      <w:r w:rsidR="004C5074">
        <w:rPr>
          <w:rFonts w:ascii="Cambria" w:eastAsia="Calibri" w:hAnsi="Cambria"/>
          <w:sz w:val="20"/>
          <w:szCs w:val="20"/>
          <w:lang w:val="es-ES"/>
        </w:rPr>
        <w:t>a en relación con el artículo</w:t>
      </w:r>
      <w:r w:rsidRPr="002E18FD">
        <w:rPr>
          <w:rFonts w:ascii="Cambria" w:eastAsia="Calibri" w:hAnsi="Cambria"/>
          <w:sz w:val="20"/>
          <w:szCs w:val="20"/>
          <w:lang w:val="es-ES"/>
        </w:rPr>
        <w:t xml:space="preserve"> 1.1 del mismo instrumento, así como el artículo </w:t>
      </w:r>
      <w:proofErr w:type="spellStart"/>
      <w:r w:rsidRPr="002E18FD">
        <w:rPr>
          <w:rFonts w:ascii="Cambria" w:eastAsia="Calibri" w:hAnsi="Cambria"/>
          <w:sz w:val="20"/>
          <w:szCs w:val="20"/>
          <w:lang w:val="es-ES"/>
        </w:rPr>
        <w:t>I.b</w:t>
      </w:r>
      <w:proofErr w:type="spellEnd"/>
      <w:r w:rsidRPr="002E18FD">
        <w:rPr>
          <w:rFonts w:ascii="Cambria" w:eastAsia="Calibri" w:hAnsi="Cambria"/>
          <w:sz w:val="20"/>
          <w:szCs w:val="20"/>
          <w:lang w:val="es-ES"/>
        </w:rPr>
        <w:t xml:space="preserve">) de la Convención Interamericana sobre Desaparición Forzada de Personas, en perjuicio de </w:t>
      </w:r>
      <w:r w:rsidR="00E978F6" w:rsidRPr="002E18FD">
        <w:rPr>
          <w:rFonts w:ascii="Cambria" w:eastAsia="Calibri" w:hAnsi="Cambria"/>
          <w:sz w:val="20"/>
          <w:szCs w:val="20"/>
          <w:lang w:val="es-ES"/>
        </w:rPr>
        <w:t xml:space="preserve">Fredy Marcelo </w:t>
      </w:r>
      <w:r w:rsidR="00E35793" w:rsidRPr="002E18FD">
        <w:rPr>
          <w:rFonts w:ascii="Cambria" w:eastAsia="Calibri" w:hAnsi="Cambria"/>
          <w:sz w:val="20"/>
          <w:szCs w:val="20"/>
          <w:lang w:val="es-ES"/>
        </w:rPr>
        <w:t>Núñez</w:t>
      </w:r>
      <w:r w:rsidRPr="002E18FD">
        <w:rPr>
          <w:rFonts w:ascii="Cambria" w:eastAsia="Calibri" w:hAnsi="Cambria"/>
          <w:sz w:val="20"/>
          <w:szCs w:val="20"/>
          <w:lang w:val="es-ES"/>
        </w:rPr>
        <w:t xml:space="preserve">, así como de sus familiares. </w:t>
      </w:r>
    </w:p>
    <w:p w14:paraId="033D6AFF" w14:textId="77777777" w:rsidR="004C5074" w:rsidRDefault="004C5074" w:rsidP="004C507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Calibri" w:hAnsi="Cambria" w:cs="Cambria"/>
          <w:color w:val="000000"/>
          <w:sz w:val="20"/>
          <w:szCs w:val="20"/>
          <w:u w:color="000000"/>
          <w:lang w:val="es-VE" w:eastAsia="es-ES"/>
        </w:rPr>
      </w:pPr>
    </w:p>
    <w:p w14:paraId="663E70AE" w14:textId="77777777" w:rsidR="004C5074" w:rsidRPr="002E18FD" w:rsidRDefault="004C5074" w:rsidP="004C507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Calibri" w:hAnsi="Cambria"/>
          <w:sz w:val="20"/>
          <w:szCs w:val="20"/>
          <w:lang w:val="es-VE"/>
        </w:rPr>
      </w:pPr>
    </w:p>
    <w:p w14:paraId="0475BE53" w14:textId="77777777" w:rsidR="00874468" w:rsidRPr="00A53A51" w:rsidRDefault="00874468" w:rsidP="002E18FD">
      <w:pPr>
        <w:pStyle w:val="Ttulo3"/>
        <w:numPr>
          <w:ilvl w:val="0"/>
          <w:numId w:val="60"/>
        </w:numPr>
        <w:ind w:left="630" w:hanging="540"/>
        <w:rPr>
          <w:rFonts w:ascii="Cambria" w:eastAsia="Arial Unicode MS" w:hAnsi="Cambria"/>
          <w:b w:val="0"/>
          <w:sz w:val="20"/>
          <w:szCs w:val="20"/>
          <w:lang w:val="es-ES"/>
        </w:rPr>
      </w:pPr>
      <w:bookmarkStart w:id="22" w:name="_Toc1985292"/>
      <w:bookmarkStart w:id="23" w:name="_Toc5359033"/>
      <w:r w:rsidRPr="00A53A51">
        <w:rPr>
          <w:rFonts w:ascii="Cambria" w:hAnsi="Cambria"/>
          <w:sz w:val="20"/>
          <w:szCs w:val="20"/>
          <w:lang w:val="es-ES"/>
        </w:rPr>
        <w:lastRenderedPageBreak/>
        <w:t>El plazo razonable</w:t>
      </w:r>
      <w:bookmarkEnd w:id="22"/>
      <w:bookmarkEnd w:id="23"/>
    </w:p>
    <w:p w14:paraId="34132AFA" w14:textId="77777777" w:rsidR="00874468" w:rsidRDefault="00874468" w:rsidP="0087446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eastAsia="Calibri" w:hAnsi="Cambria"/>
          <w:sz w:val="20"/>
          <w:szCs w:val="20"/>
          <w:lang w:val="es-ES"/>
        </w:rPr>
      </w:pPr>
    </w:p>
    <w:p w14:paraId="5E6494D5" w14:textId="77777777" w:rsid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eastAsia="Calibri"/>
          <w:sz w:val="20"/>
          <w:szCs w:val="20"/>
          <w:lang w:val="es-ES"/>
        </w:rPr>
      </w:pPr>
      <w:r>
        <w:rPr>
          <w:rFonts w:ascii="Cambria" w:eastAsia="Calibri" w:hAnsi="Cambria"/>
          <w:sz w:val="20"/>
          <w:szCs w:val="20"/>
          <w:lang w:val="es-ES"/>
        </w:rPr>
        <w:t>La Comisión analizará a continuación si el Estado cumplió con realizar la investigación de los hechos del presente caso en un plazo razonable, tomando en cuenta los elementos indicados con anterioridad.</w:t>
      </w:r>
    </w:p>
    <w:p w14:paraId="53AE8B51"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eastAsia="Calibri"/>
          <w:sz w:val="20"/>
          <w:szCs w:val="20"/>
          <w:lang w:val="es-ES"/>
        </w:rPr>
      </w:pPr>
    </w:p>
    <w:p w14:paraId="6A237764" w14:textId="77777777" w:rsid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eastAsia="Calibri"/>
          <w:sz w:val="20"/>
          <w:szCs w:val="20"/>
          <w:lang w:val="es-ES"/>
        </w:rPr>
      </w:pPr>
      <w:r w:rsidRPr="002E18FD">
        <w:rPr>
          <w:rFonts w:ascii="Cambria" w:eastAsia="Calibri" w:hAnsi="Cambria"/>
          <w:sz w:val="20"/>
          <w:szCs w:val="20"/>
          <w:lang w:val="es-ES"/>
        </w:rPr>
        <w:t xml:space="preserve">La CIDH hace notar que desde que el Estado tomó conocimiento de los hechos </w:t>
      </w:r>
      <w:r w:rsidR="00EA1433" w:rsidRPr="002E18FD">
        <w:rPr>
          <w:rFonts w:ascii="Cambria" w:eastAsia="Calibri" w:hAnsi="Cambria"/>
          <w:sz w:val="20"/>
          <w:szCs w:val="20"/>
          <w:lang w:val="es-ES"/>
        </w:rPr>
        <w:t xml:space="preserve">mediante la </w:t>
      </w:r>
      <w:r w:rsidR="000E53F0" w:rsidRPr="002E18FD">
        <w:rPr>
          <w:rFonts w:ascii="Cambria" w:eastAsia="Calibri" w:hAnsi="Cambria"/>
          <w:sz w:val="20"/>
          <w:szCs w:val="20"/>
          <w:lang w:val="es-ES"/>
        </w:rPr>
        <w:t xml:space="preserve">sustracción </w:t>
      </w:r>
      <w:r w:rsidR="00EA1433" w:rsidRPr="002E18FD">
        <w:rPr>
          <w:rFonts w:ascii="Cambria" w:eastAsia="Calibri" w:hAnsi="Cambria"/>
          <w:sz w:val="20"/>
          <w:szCs w:val="20"/>
          <w:lang w:val="es-ES"/>
        </w:rPr>
        <w:t>de la cárcel donde la presunta víctima se encontrab</w:t>
      </w:r>
      <w:r w:rsidR="00D65276" w:rsidRPr="002E18FD">
        <w:rPr>
          <w:rFonts w:ascii="Cambria" w:eastAsia="Calibri" w:hAnsi="Cambria"/>
          <w:sz w:val="20"/>
          <w:szCs w:val="20"/>
          <w:lang w:val="es-ES"/>
        </w:rPr>
        <w:t xml:space="preserve">a detenida, han pasado más de 17 años. </w:t>
      </w:r>
    </w:p>
    <w:p w14:paraId="6DA836C7" w14:textId="77777777" w:rsidR="002E18FD" w:rsidRDefault="002E18FD" w:rsidP="002E18FD">
      <w:pPr>
        <w:pStyle w:val="Prrafodelista"/>
        <w:rPr>
          <w:rFonts w:eastAsia="Calibri"/>
          <w:sz w:val="20"/>
          <w:szCs w:val="20"/>
          <w:lang w:val="es-ES"/>
        </w:rPr>
      </w:pPr>
    </w:p>
    <w:p w14:paraId="694A6F5F" w14:textId="77777777" w:rsid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eastAsia="Calibri"/>
          <w:sz w:val="20"/>
          <w:szCs w:val="20"/>
          <w:lang w:val="es-ES"/>
        </w:rPr>
      </w:pPr>
      <w:r w:rsidRPr="002E18FD">
        <w:rPr>
          <w:rFonts w:ascii="Cambria" w:eastAsia="Calibri" w:hAnsi="Cambria"/>
          <w:sz w:val="20"/>
          <w:szCs w:val="20"/>
          <w:lang w:val="es-ES"/>
        </w:rPr>
        <w:t>En cuanto al primer elemento, el caso puede entenderse, en principio, complejo</w:t>
      </w:r>
      <w:r w:rsidR="00D65276" w:rsidRPr="002E18FD">
        <w:rPr>
          <w:rFonts w:ascii="Cambria" w:eastAsia="Calibri" w:hAnsi="Cambria"/>
          <w:sz w:val="20"/>
          <w:szCs w:val="20"/>
          <w:lang w:val="es-ES"/>
        </w:rPr>
        <w:t>, tomando en cuenta las circunstancias de los hechos y el número de personas involucradas</w:t>
      </w:r>
      <w:r w:rsidRPr="002E18FD">
        <w:rPr>
          <w:rFonts w:ascii="Cambria" w:eastAsia="Calibri" w:hAnsi="Cambria"/>
          <w:sz w:val="20"/>
          <w:szCs w:val="20"/>
          <w:lang w:val="es-ES"/>
        </w:rPr>
        <w:t>.</w:t>
      </w:r>
      <w:r w:rsidR="00E35793" w:rsidRPr="002E18FD">
        <w:rPr>
          <w:rFonts w:ascii="Cambria" w:eastAsia="Calibri" w:hAnsi="Cambria"/>
          <w:sz w:val="20"/>
          <w:szCs w:val="20"/>
          <w:lang w:val="es-ES"/>
        </w:rPr>
        <w:t xml:space="preserve"> </w:t>
      </w:r>
      <w:r w:rsidRPr="002E18FD">
        <w:rPr>
          <w:rFonts w:ascii="Cambria" w:eastAsia="Calibri" w:hAnsi="Cambria"/>
          <w:sz w:val="20"/>
          <w:szCs w:val="20"/>
          <w:lang w:val="es-ES"/>
        </w:rPr>
        <w:t xml:space="preserve">No obstante, la Comisión recuerda que aún en casos </w:t>
      </w:r>
      <w:r w:rsidRPr="002E18FD">
        <w:rPr>
          <w:rFonts w:ascii="Cambria" w:hAnsi="Cambria"/>
          <w:sz w:val="20"/>
          <w:szCs w:val="20"/>
          <w:lang w:val="es-ES_tradnl"/>
        </w:rPr>
        <w:t>que puedan considerarse complejos por su propia naturaleza, resulta necesario que el Estado en cuestión argumente específicamente las razones por las cuales la complejidad ha afectado concretamente las investigaciones. La Comisión considera que ello no ha sucedido en el presente caso.</w:t>
      </w:r>
      <w:r w:rsidR="00E35793" w:rsidRPr="002E18FD">
        <w:rPr>
          <w:rFonts w:ascii="Cambria" w:hAnsi="Cambria"/>
          <w:sz w:val="20"/>
          <w:szCs w:val="20"/>
          <w:lang w:val="es-ES_tradnl"/>
        </w:rPr>
        <w:t xml:space="preserve"> </w:t>
      </w:r>
      <w:r w:rsidRPr="002E18FD">
        <w:rPr>
          <w:rFonts w:ascii="Cambria" w:hAnsi="Cambria"/>
          <w:sz w:val="20"/>
          <w:szCs w:val="20"/>
          <w:lang w:val="es-ES_tradnl"/>
        </w:rPr>
        <w:t xml:space="preserve">La Comisión considera que no fue la complejidad la que ha provocado que a la fecha no se haya identificado a los responsables de los hechos, esclarecido los hechos o impuesto las sanciones respectivas. Por el contrario, como fue descrito en la sección anterior, la investigación no ha sido realizada con la debida diligencia </w:t>
      </w:r>
      <w:r w:rsidR="005A3D8C" w:rsidRPr="002E18FD">
        <w:rPr>
          <w:rFonts w:ascii="Cambria" w:hAnsi="Cambria"/>
          <w:sz w:val="20"/>
          <w:szCs w:val="20"/>
          <w:lang w:val="es-ES_tradnl"/>
        </w:rPr>
        <w:t xml:space="preserve">ni </w:t>
      </w:r>
      <w:r w:rsidRPr="002E18FD">
        <w:rPr>
          <w:rFonts w:ascii="Cambria" w:hAnsi="Cambria"/>
          <w:sz w:val="20"/>
          <w:szCs w:val="20"/>
          <w:lang w:val="es-ES_tradnl"/>
        </w:rPr>
        <w:t xml:space="preserve">orientada a la averiguación de la verdad de los hechos, pese a los indicios que han sido aportados al expediente sobre posibles autores de los hechos, los cuales no han sido objeto de un seguimiento adecuado. </w:t>
      </w:r>
    </w:p>
    <w:p w14:paraId="679F6BBF" w14:textId="77777777" w:rsidR="002E18FD" w:rsidRDefault="002E18FD" w:rsidP="002E18FD">
      <w:pPr>
        <w:pStyle w:val="Prrafodelista"/>
        <w:rPr>
          <w:sz w:val="20"/>
          <w:szCs w:val="20"/>
          <w:lang w:val="es-ES_tradnl"/>
        </w:rPr>
      </w:pPr>
    </w:p>
    <w:p w14:paraId="69F56F3A" w14:textId="77777777" w:rsid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eastAsia="Calibri"/>
          <w:sz w:val="20"/>
          <w:szCs w:val="20"/>
          <w:lang w:val="es-ES"/>
        </w:rPr>
      </w:pPr>
      <w:r w:rsidRPr="002E18FD">
        <w:rPr>
          <w:rFonts w:ascii="Cambria" w:hAnsi="Cambria"/>
          <w:sz w:val="20"/>
          <w:szCs w:val="20"/>
          <w:lang w:val="es-ES_tradnl"/>
        </w:rPr>
        <w:t xml:space="preserve">Con respecto al segundo elemento relacionado con la actividad procesal del interesado, la Comisión subraya que los familiares de la presunta víctima denunciaron los hechos más de una vez ante las autoridades estatales pertinentes, por lo que correspondía al Estado impulsar adecuadamente las investigaciones. </w:t>
      </w:r>
    </w:p>
    <w:p w14:paraId="07B8F30B" w14:textId="77777777" w:rsidR="002E18FD" w:rsidRDefault="002E18FD" w:rsidP="002E18FD">
      <w:pPr>
        <w:pStyle w:val="Prrafodelista"/>
        <w:rPr>
          <w:sz w:val="20"/>
          <w:szCs w:val="20"/>
          <w:lang w:val="es-ES_tradnl"/>
        </w:rPr>
      </w:pPr>
    </w:p>
    <w:p w14:paraId="5D50A0D8" w14:textId="77777777" w:rsid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eastAsia="Calibri"/>
          <w:sz w:val="20"/>
          <w:szCs w:val="20"/>
          <w:lang w:val="es-ES"/>
        </w:rPr>
      </w:pPr>
      <w:r w:rsidRPr="002E18FD">
        <w:rPr>
          <w:rFonts w:ascii="Cambria" w:hAnsi="Cambria"/>
          <w:sz w:val="20"/>
          <w:szCs w:val="20"/>
          <w:lang w:val="es-ES_tradnl"/>
        </w:rPr>
        <w:t xml:space="preserve">En cuanto a la actuación de las autoridades estatales, la Comisión reitera las falencias descritas en la sección relativa a debida diligencia. La Comisión subraya los periodos de inactividad no justificados adecuadamente por parte del Estado, inmediatamente después de la desaparición, así como en el marco de la investigación, así como las escasas diligencias realizadas para determinar el paradero de la presunta víctima, </w:t>
      </w:r>
      <w:r w:rsidR="00797306" w:rsidRPr="002E18FD">
        <w:rPr>
          <w:rFonts w:ascii="Cambria" w:hAnsi="Cambria"/>
          <w:sz w:val="20"/>
          <w:szCs w:val="20"/>
          <w:lang w:val="es-ES_tradnl"/>
        </w:rPr>
        <w:t>e identificar,</w:t>
      </w:r>
      <w:r w:rsidRPr="002E18FD">
        <w:rPr>
          <w:rFonts w:ascii="Cambria" w:hAnsi="Cambria"/>
          <w:sz w:val="20"/>
          <w:szCs w:val="20"/>
          <w:lang w:val="es-ES_tradnl"/>
        </w:rPr>
        <w:t xml:space="preserve"> juzgar y sancionar a todos los responsables de los hechos.</w:t>
      </w:r>
    </w:p>
    <w:p w14:paraId="793772FB" w14:textId="77777777" w:rsidR="002E18FD" w:rsidRDefault="002E18FD" w:rsidP="002E18FD">
      <w:pPr>
        <w:pStyle w:val="Prrafodelista"/>
        <w:rPr>
          <w:sz w:val="20"/>
          <w:szCs w:val="20"/>
          <w:lang w:val="es-ES"/>
        </w:rPr>
      </w:pPr>
    </w:p>
    <w:p w14:paraId="5F42F254" w14:textId="77777777" w:rsidR="00874468" w:rsidRPr="002E18FD" w:rsidRDefault="00874468"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eastAsia="Calibri"/>
          <w:sz w:val="20"/>
          <w:szCs w:val="20"/>
          <w:lang w:val="es-ES"/>
        </w:rPr>
      </w:pPr>
      <w:r w:rsidRPr="002E18FD">
        <w:rPr>
          <w:rFonts w:ascii="Cambria" w:hAnsi="Cambria"/>
          <w:sz w:val="20"/>
          <w:szCs w:val="20"/>
          <w:lang w:val="es-ES"/>
        </w:rPr>
        <w:t xml:space="preserve">En virtud de </w:t>
      </w:r>
      <w:proofErr w:type="gramStart"/>
      <w:r w:rsidRPr="002E18FD">
        <w:rPr>
          <w:rFonts w:ascii="Cambria" w:hAnsi="Cambria"/>
          <w:sz w:val="20"/>
          <w:szCs w:val="20"/>
          <w:lang w:val="es-ES"/>
        </w:rPr>
        <w:t>los anteriores consideraciones</w:t>
      </w:r>
      <w:proofErr w:type="gramEnd"/>
      <w:r w:rsidRPr="002E18FD">
        <w:rPr>
          <w:rFonts w:ascii="Cambria" w:hAnsi="Cambria"/>
          <w:sz w:val="20"/>
          <w:szCs w:val="20"/>
          <w:lang w:val="es-ES"/>
        </w:rPr>
        <w:t xml:space="preserve">, la Comisión concluye que el Estado ha incumplido la garantía de plazo razonable en la investigación de los hechos del presente caso, en violación de los derechos establecidos en los </w:t>
      </w:r>
      <w:r w:rsidRPr="002E18FD">
        <w:rPr>
          <w:rFonts w:ascii="Cambria" w:hAnsi="Cambria"/>
          <w:sz w:val="20"/>
          <w:szCs w:val="20"/>
          <w:lang w:val="es-ES_tradnl"/>
        </w:rPr>
        <w:t xml:space="preserve">artículos 8.1 y 25.1 de </w:t>
      </w:r>
      <w:r w:rsidRPr="002E18FD">
        <w:rPr>
          <w:rFonts w:ascii="Cambria" w:eastAsia="Times New Roman" w:hAnsi="Cambria"/>
          <w:sz w:val="20"/>
          <w:szCs w:val="20"/>
          <w:lang w:val="es-ES" w:eastAsia="es-ES"/>
        </w:rPr>
        <w:t>la</w:t>
      </w:r>
      <w:r w:rsidRPr="002E18FD">
        <w:rPr>
          <w:rFonts w:ascii="Cambria" w:hAnsi="Cambria"/>
          <w:sz w:val="20"/>
          <w:szCs w:val="20"/>
          <w:lang w:val="es-ES_tradnl"/>
        </w:rPr>
        <w:t xml:space="preserve"> Convención Americana en relación con el artículo 1.1 del mismo instrumento, y el artículo </w:t>
      </w:r>
      <w:proofErr w:type="spellStart"/>
      <w:r w:rsidRPr="002E18FD">
        <w:rPr>
          <w:rFonts w:ascii="Cambria" w:hAnsi="Cambria"/>
          <w:sz w:val="20"/>
          <w:szCs w:val="20"/>
          <w:lang w:val="es-ES_tradnl"/>
        </w:rPr>
        <w:t>I.b</w:t>
      </w:r>
      <w:proofErr w:type="spellEnd"/>
      <w:r w:rsidRPr="002E18FD">
        <w:rPr>
          <w:rFonts w:ascii="Cambria" w:hAnsi="Cambria"/>
          <w:sz w:val="20"/>
          <w:szCs w:val="20"/>
          <w:lang w:val="es-ES_tradnl"/>
        </w:rPr>
        <w:t xml:space="preserve">) de la </w:t>
      </w:r>
      <w:r w:rsidRPr="002E18FD">
        <w:rPr>
          <w:rFonts w:ascii="Cambria" w:eastAsia="Calibri" w:hAnsi="Cambria"/>
          <w:sz w:val="20"/>
          <w:szCs w:val="20"/>
          <w:lang w:val="es-ES"/>
        </w:rPr>
        <w:t xml:space="preserve">Convención Interamericana sobre Desaparición Forzada de Personas en perjuicio de </w:t>
      </w:r>
      <w:r w:rsidR="00D65276" w:rsidRPr="002E18FD">
        <w:rPr>
          <w:rFonts w:ascii="Cambria" w:eastAsia="Calibri" w:hAnsi="Cambria"/>
          <w:sz w:val="20"/>
          <w:szCs w:val="20"/>
          <w:lang w:val="es-ES"/>
        </w:rPr>
        <w:t xml:space="preserve">Fredy Marcelo </w:t>
      </w:r>
      <w:r w:rsidR="00E35793" w:rsidRPr="002E18FD">
        <w:rPr>
          <w:rFonts w:ascii="Cambria" w:eastAsia="Calibri" w:hAnsi="Cambria"/>
          <w:sz w:val="20"/>
          <w:szCs w:val="20"/>
          <w:lang w:val="es-ES"/>
        </w:rPr>
        <w:t>Núñez</w:t>
      </w:r>
      <w:r w:rsidRPr="002E18FD">
        <w:rPr>
          <w:rFonts w:ascii="Cambria" w:eastAsia="Calibri" w:hAnsi="Cambria"/>
          <w:sz w:val="20"/>
          <w:szCs w:val="20"/>
          <w:lang w:val="es-ES"/>
        </w:rPr>
        <w:t xml:space="preserve"> y sus familiares. </w:t>
      </w:r>
    </w:p>
    <w:p w14:paraId="26577721" w14:textId="77777777" w:rsidR="00874468" w:rsidRDefault="00874468" w:rsidP="009F1C3B">
      <w:pPr>
        <w:pStyle w:val="p1"/>
        <w:ind w:left="720"/>
        <w:jc w:val="both"/>
        <w:rPr>
          <w:rFonts w:asciiTheme="majorHAnsi" w:hAnsiTheme="majorHAnsi"/>
          <w:sz w:val="18"/>
          <w:szCs w:val="18"/>
          <w:lang w:val="es-ES"/>
        </w:rPr>
      </w:pPr>
    </w:p>
    <w:p w14:paraId="0481F513" w14:textId="77777777" w:rsidR="002158B3" w:rsidRPr="00407C72" w:rsidRDefault="002158B3" w:rsidP="002E18FD">
      <w:pPr>
        <w:pStyle w:val="Ttulo2"/>
        <w:keepNext w:val="0"/>
        <w:numPr>
          <w:ilvl w:val="0"/>
          <w:numId w:val="58"/>
        </w:numPr>
        <w:pBdr>
          <w:top w:val="nil"/>
          <w:left w:val="nil"/>
          <w:bottom w:val="nil"/>
          <w:right w:val="nil"/>
          <w:between w:val="nil"/>
          <w:bar w:val="nil"/>
        </w:pBdr>
        <w:tabs>
          <w:tab w:val="left" w:pos="630"/>
        </w:tabs>
        <w:spacing w:before="0" w:after="0"/>
        <w:ind w:left="0" w:firstLine="0"/>
        <w:jc w:val="both"/>
        <w:rPr>
          <w:rFonts w:ascii="Cambria" w:hAnsi="Cambria"/>
          <w:i w:val="0"/>
          <w:sz w:val="20"/>
          <w:szCs w:val="20"/>
          <w:lang w:val="es-VE"/>
        </w:rPr>
      </w:pPr>
      <w:bookmarkStart w:id="24" w:name="_Toc423514427"/>
      <w:bookmarkStart w:id="25" w:name="_Toc441166739"/>
      <w:bookmarkStart w:id="26" w:name="_Toc477355363"/>
      <w:bookmarkStart w:id="27" w:name="_Toc519601831"/>
      <w:bookmarkStart w:id="28" w:name="_Toc1985293"/>
      <w:bookmarkStart w:id="29" w:name="_Toc5359034"/>
      <w:r w:rsidRPr="00152E74">
        <w:rPr>
          <w:rFonts w:ascii="Cambria" w:hAnsi="Cambria"/>
          <w:i w:val="0"/>
          <w:sz w:val="20"/>
          <w:szCs w:val="20"/>
          <w:lang w:val="es-VE"/>
        </w:rPr>
        <w:t>Derecho a la integridad personal de los familiares (artículo 5 en relación con el artículo 1.1 de la Convención Americana)</w:t>
      </w:r>
      <w:bookmarkEnd w:id="24"/>
      <w:bookmarkEnd w:id="25"/>
      <w:bookmarkEnd w:id="26"/>
      <w:bookmarkEnd w:id="27"/>
      <w:bookmarkEnd w:id="28"/>
      <w:bookmarkEnd w:id="29"/>
    </w:p>
    <w:p w14:paraId="08A38357" w14:textId="77777777" w:rsidR="00481A51" w:rsidRDefault="00407C72" w:rsidP="002E18FD">
      <w:pPr>
        <w:pStyle w:val="Ttulo3"/>
        <w:numPr>
          <w:ilvl w:val="1"/>
          <w:numId w:val="54"/>
        </w:numPr>
        <w:ind w:left="630" w:hanging="630"/>
        <w:rPr>
          <w:rFonts w:asciiTheme="majorHAnsi" w:hAnsiTheme="majorHAnsi"/>
          <w:sz w:val="20"/>
          <w:szCs w:val="20"/>
          <w:lang w:val="es-CO"/>
        </w:rPr>
      </w:pPr>
      <w:bookmarkStart w:id="30" w:name="_Toc5359035"/>
      <w:r w:rsidRPr="00407C72">
        <w:rPr>
          <w:rFonts w:asciiTheme="majorHAnsi" w:hAnsiTheme="majorHAnsi"/>
          <w:sz w:val="20"/>
          <w:szCs w:val="20"/>
          <w:lang w:val="es-CO"/>
        </w:rPr>
        <w:t>Derecho a la integridad personal como consecuencia de la desaparición forzada</w:t>
      </w:r>
      <w:bookmarkEnd w:id="30"/>
      <w:r w:rsidRPr="00407C72">
        <w:rPr>
          <w:rFonts w:asciiTheme="majorHAnsi" w:hAnsiTheme="majorHAnsi"/>
          <w:sz w:val="20"/>
          <w:szCs w:val="20"/>
          <w:lang w:val="es-CO"/>
        </w:rPr>
        <w:t xml:space="preserve"> </w:t>
      </w:r>
    </w:p>
    <w:p w14:paraId="03F2653E" w14:textId="77777777" w:rsidR="002E18FD" w:rsidRPr="002E18FD" w:rsidRDefault="002E18FD" w:rsidP="002E18FD">
      <w:pPr>
        <w:rPr>
          <w:lang w:val="es-CO"/>
        </w:rPr>
      </w:pPr>
    </w:p>
    <w:p w14:paraId="0522BDB0" w14:textId="77777777" w:rsidR="002E18FD" w:rsidRPr="002E18FD" w:rsidRDefault="002158B3"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Times New Roman" w:hAnsi="Cambria"/>
          <w:sz w:val="20"/>
          <w:szCs w:val="20"/>
          <w:lang w:val="es-ES" w:eastAsia="es-ES"/>
        </w:rPr>
      </w:pPr>
      <w:r w:rsidRPr="00152E74">
        <w:rPr>
          <w:rFonts w:ascii="Cambria" w:eastAsia="Times New Roman" w:hAnsi="Cambria"/>
          <w:sz w:val="20"/>
          <w:szCs w:val="20"/>
          <w:lang w:val="es-ES" w:eastAsia="es-ES"/>
        </w:rPr>
        <w:t xml:space="preserve">El derecho a la integridad personal, consagrado en el artículo 5.1 de la Convención Americana, </w:t>
      </w:r>
      <w:r w:rsidRPr="002E18FD">
        <w:rPr>
          <w:rFonts w:ascii="Cambria" w:hAnsi="Cambria"/>
          <w:sz w:val="20"/>
          <w:szCs w:val="20"/>
          <w:lang w:val="es-ES"/>
        </w:rPr>
        <w:t>establece</w:t>
      </w:r>
      <w:r w:rsidRPr="00152E74">
        <w:rPr>
          <w:rFonts w:ascii="Cambria" w:eastAsia="Times New Roman" w:hAnsi="Cambria"/>
          <w:sz w:val="20"/>
          <w:szCs w:val="20"/>
          <w:lang w:val="es-ES" w:eastAsia="es-ES"/>
        </w:rPr>
        <w:t xml:space="preserve"> que “toda persona tiene derecho a que se respete su integridad física, psíquica y moral.</w:t>
      </w:r>
      <w:r w:rsidR="00E35793">
        <w:rPr>
          <w:rFonts w:ascii="Cambria" w:eastAsia="Times New Roman" w:hAnsi="Cambria"/>
          <w:sz w:val="20"/>
          <w:szCs w:val="20"/>
          <w:lang w:val="es-ES" w:eastAsia="es-ES"/>
        </w:rPr>
        <w:t xml:space="preserve"> </w:t>
      </w:r>
      <w:r w:rsidRPr="00E35793">
        <w:rPr>
          <w:rFonts w:ascii="Cambria" w:hAnsi="Cambria"/>
          <w:sz w:val="20"/>
          <w:szCs w:val="20"/>
          <w:lang w:val="es-ES"/>
        </w:rPr>
        <w:t xml:space="preserve">Con respecto de los familiares de víctimas de ciertas violaciones de derechos humanos, la Comisión y la </w:t>
      </w:r>
      <w:r w:rsidRPr="00E35793">
        <w:rPr>
          <w:rFonts w:ascii="Cambria" w:eastAsia="Times New Roman" w:hAnsi="Cambria"/>
          <w:sz w:val="20"/>
          <w:szCs w:val="20"/>
          <w:lang w:val="es-ES" w:eastAsia="es-ES"/>
        </w:rPr>
        <w:t>Corte</w:t>
      </w:r>
      <w:r w:rsidRPr="00E35793">
        <w:rPr>
          <w:rFonts w:ascii="Cambria" w:hAnsi="Cambria"/>
          <w:sz w:val="20"/>
          <w:szCs w:val="20"/>
          <w:lang w:val="es-ES"/>
        </w:rPr>
        <w:t xml:space="preserve"> han indicado que éstos pueden ser considerados, a su vez, como víctimas</w:t>
      </w:r>
      <w:r w:rsidRPr="00152E74">
        <w:rPr>
          <w:rFonts w:ascii="Cambria" w:hAnsi="Cambria"/>
          <w:bCs/>
          <w:sz w:val="20"/>
          <w:szCs w:val="20"/>
          <w:vertAlign w:val="superscript"/>
          <w:lang w:val="es-VE"/>
        </w:rPr>
        <w:footnoteReference w:id="79"/>
      </w:r>
      <w:r w:rsidRPr="00E35793">
        <w:rPr>
          <w:rFonts w:ascii="Cambria" w:hAnsi="Cambria"/>
          <w:sz w:val="20"/>
          <w:szCs w:val="20"/>
          <w:lang w:val="es-ES"/>
        </w:rPr>
        <w:t>. Al respecto, la Corte ha dispuesto que pueden verse afectados en su integridad psíquica y moral como consecuencia de las situaciones particulares que padecieron las víctimas, y de las posteriores actuaciones u omisiones de las autoridades internas frente a estos hechos</w:t>
      </w:r>
      <w:r w:rsidRPr="00152E74">
        <w:rPr>
          <w:rStyle w:val="Refdenotaalpie"/>
          <w:rFonts w:ascii="Cambria" w:hAnsi="Cambria"/>
          <w:sz w:val="20"/>
          <w:szCs w:val="20"/>
        </w:rPr>
        <w:footnoteReference w:id="80"/>
      </w:r>
      <w:r w:rsidRPr="00E35793">
        <w:rPr>
          <w:rFonts w:ascii="Cambria" w:hAnsi="Cambria"/>
          <w:sz w:val="20"/>
          <w:szCs w:val="20"/>
          <w:lang w:val="es-ES"/>
        </w:rPr>
        <w:t>.</w:t>
      </w:r>
    </w:p>
    <w:p w14:paraId="20D3CB54"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Times New Roman" w:hAnsi="Cambria"/>
          <w:sz w:val="20"/>
          <w:szCs w:val="20"/>
          <w:lang w:val="es-ES" w:eastAsia="es-ES"/>
        </w:rPr>
      </w:pPr>
    </w:p>
    <w:p w14:paraId="782C0671" w14:textId="77777777" w:rsidR="002E18FD" w:rsidRDefault="002158B3"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Times New Roman" w:hAnsi="Cambria"/>
          <w:sz w:val="20"/>
          <w:szCs w:val="20"/>
          <w:lang w:val="es-ES" w:eastAsia="es-ES"/>
        </w:rPr>
      </w:pPr>
      <w:r w:rsidRPr="002E18FD">
        <w:rPr>
          <w:rFonts w:ascii="Cambria" w:hAnsi="Cambria"/>
          <w:sz w:val="20"/>
          <w:szCs w:val="20"/>
          <w:lang w:val="es-ES"/>
        </w:rPr>
        <w:lastRenderedPageBreak/>
        <w:t>La</w:t>
      </w:r>
      <w:r w:rsidRPr="002E18FD">
        <w:rPr>
          <w:rFonts w:ascii="Cambria" w:hAnsi="Cambria" w:cs="Verdana"/>
          <w:sz w:val="20"/>
          <w:szCs w:val="20"/>
          <w:lang w:val="es-VE"/>
        </w:rPr>
        <w:t xml:space="preserve"> Comisión nota que, conforme a la jurisprudencia de la Corte, “en casos que involucran la desaparición forzada de personas, es posible entender que la violación del derecho a la integridad psíquica y moral de los familiares de las víctimas es una consecuencia directa, precisamente, de ese fenómeno, que les causa un severo </w:t>
      </w:r>
      <w:r w:rsidRPr="002E18FD">
        <w:rPr>
          <w:rFonts w:ascii="Cambria" w:hAnsi="Cambria"/>
          <w:sz w:val="20"/>
          <w:szCs w:val="20"/>
          <w:lang w:val="es-VE"/>
        </w:rPr>
        <w:t>sufrimiento</w:t>
      </w:r>
      <w:r w:rsidRPr="002E18FD">
        <w:rPr>
          <w:rFonts w:ascii="Cambria" w:hAnsi="Cambria" w:cs="Verdana"/>
          <w:sz w:val="20"/>
          <w:szCs w:val="20"/>
          <w:lang w:val="es-VE"/>
        </w:rPr>
        <w:t xml:space="preserve"> por el hecho mismo, que se acrecienta, entre otros factores, por la constante negativa de las autoridades </w:t>
      </w:r>
      <w:r w:rsidRPr="002E18FD">
        <w:rPr>
          <w:rFonts w:ascii="Cambria" w:eastAsia="Times New Roman" w:hAnsi="Cambria"/>
          <w:sz w:val="20"/>
          <w:szCs w:val="20"/>
          <w:lang w:val="es-ES" w:eastAsia="es-ES"/>
        </w:rPr>
        <w:t>estatales</w:t>
      </w:r>
      <w:r w:rsidRPr="002E18FD">
        <w:rPr>
          <w:rFonts w:ascii="Cambria" w:hAnsi="Cambria" w:cs="Verdana"/>
          <w:sz w:val="20"/>
          <w:szCs w:val="20"/>
          <w:lang w:val="es-VE"/>
        </w:rPr>
        <w:t xml:space="preserve"> de proporcionar información acerca del paradero de la víctima o de iniciar una investigación eficaz para lograr el esclarecimiento de lo sucedido”</w:t>
      </w:r>
      <w:r w:rsidRPr="00152E74">
        <w:rPr>
          <w:rFonts w:ascii="Cambria" w:hAnsi="Cambria" w:cs="Verdana"/>
          <w:sz w:val="20"/>
          <w:szCs w:val="20"/>
          <w:vertAlign w:val="superscript"/>
          <w:lang w:val="es-VE"/>
        </w:rPr>
        <w:footnoteReference w:id="81"/>
      </w:r>
      <w:r w:rsidRPr="002E18FD">
        <w:rPr>
          <w:rFonts w:ascii="Cambria" w:hAnsi="Cambria" w:cs="Verdana"/>
          <w:sz w:val="20"/>
          <w:szCs w:val="20"/>
          <w:lang w:val="es-VE"/>
        </w:rPr>
        <w:t>.</w:t>
      </w:r>
    </w:p>
    <w:p w14:paraId="4C000E58"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Cambria" w:eastAsia="Times New Roman" w:hAnsi="Cambria"/>
          <w:sz w:val="20"/>
          <w:szCs w:val="20"/>
          <w:lang w:val="es-ES" w:eastAsia="es-ES"/>
        </w:rPr>
      </w:pPr>
    </w:p>
    <w:p w14:paraId="39331206" w14:textId="77777777" w:rsidR="002E18FD" w:rsidRDefault="002158B3"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Times New Roman" w:hAnsi="Cambria"/>
          <w:sz w:val="20"/>
          <w:szCs w:val="20"/>
          <w:lang w:val="es-ES" w:eastAsia="es-ES"/>
        </w:rPr>
      </w:pPr>
      <w:r w:rsidRPr="002E18FD">
        <w:rPr>
          <w:rFonts w:ascii="Cambria" w:eastAsia="Cambria" w:hAnsi="Cambria" w:cs="Verdana"/>
          <w:color w:val="000000"/>
          <w:sz w:val="20"/>
          <w:szCs w:val="20"/>
          <w:u w:color="000000"/>
          <w:lang w:val="es-ES" w:eastAsia="es-ES"/>
        </w:rPr>
        <w:t xml:space="preserve">En el presente caso, la Comisión considera que el sólo hecho de la desaparición forzada de la víctima, ha generado un profundo sentimiento de dolor, angustia e incertidumbre en sus familiares, el cual se ha </w:t>
      </w:r>
      <w:r w:rsidRPr="002E18FD">
        <w:rPr>
          <w:rFonts w:ascii="Cambria" w:hAnsi="Cambria" w:cs="Verdana"/>
          <w:sz w:val="20"/>
          <w:szCs w:val="20"/>
          <w:lang w:val="es-VE"/>
        </w:rPr>
        <w:t>venido</w:t>
      </w:r>
      <w:r w:rsidRPr="002E18FD">
        <w:rPr>
          <w:rFonts w:ascii="Cambria" w:eastAsia="Cambria" w:hAnsi="Cambria" w:cs="Verdana"/>
          <w:color w:val="000000"/>
          <w:sz w:val="20"/>
          <w:szCs w:val="20"/>
          <w:u w:color="000000"/>
          <w:lang w:val="es-ES" w:eastAsia="es-ES"/>
        </w:rPr>
        <w:t xml:space="preserve"> profundizando por las violaciones declaradas en la sección anterior, incluyendo su larga búsqueda de justicia, y la ausencia de esclarecimiento sobre lo ocurrido con su ser querido. </w:t>
      </w:r>
    </w:p>
    <w:p w14:paraId="774731AA" w14:textId="77777777" w:rsidR="002E18FD" w:rsidRDefault="002E18FD" w:rsidP="002E18FD">
      <w:pPr>
        <w:pStyle w:val="Prrafodelista"/>
        <w:rPr>
          <w:rFonts w:cs="Verdana"/>
          <w:sz w:val="20"/>
          <w:szCs w:val="20"/>
          <w:lang w:val="es-ES"/>
        </w:rPr>
      </w:pPr>
    </w:p>
    <w:p w14:paraId="01493D86" w14:textId="77777777" w:rsidR="002E18FD" w:rsidRDefault="0065556E"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Times New Roman" w:hAnsi="Cambria"/>
          <w:sz w:val="20"/>
          <w:szCs w:val="20"/>
          <w:lang w:val="es-ES" w:eastAsia="es-ES"/>
        </w:rPr>
      </w:pPr>
      <w:r w:rsidRPr="002E18FD">
        <w:rPr>
          <w:rFonts w:ascii="Cambria" w:eastAsia="Cambria" w:hAnsi="Cambria" w:cs="Verdana"/>
          <w:color w:val="000000"/>
          <w:sz w:val="20"/>
          <w:szCs w:val="20"/>
          <w:u w:color="000000"/>
          <w:lang w:val="es-ES" w:eastAsia="es-ES"/>
        </w:rPr>
        <w:t xml:space="preserve">Adicionalmente, la Comisión hace notar que según consta en </w:t>
      </w:r>
      <w:r w:rsidR="000F5180" w:rsidRPr="002E18FD">
        <w:rPr>
          <w:rFonts w:ascii="Cambria" w:eastAsia="Cambria" w:hAnsi="Cambria" w:cs="Verdana"/>
          <w:color w:val="000000"/>
          <w:sz w:val="20"/>
          <w:szCs w:val="20"/>
          <w:u w:color="000000"/>
          <w:lang w:val="es-ES" w:eastAsia="es-ES"/>
        </w:rPr>
        <w:t>informes policiales y declaraciones testimoniales,</w:t>
      </w:r>
      <w:r w:rsidR="00E35793" w:rsidRPr="002E18FD">
        <w:rPr>
          <w:rFonts w:ascii="Cambria" w:eastAsia="Cambria" w:hAnsi="Cambria" w:cs="Verdana"/>
          <w:color w:val="000000"/>
          <w:sz w:val="20"/>
          <w:szCs w:val="20"/>
          <w:u w:color="000000"/>
          <w:lang w:val="es-ES" w:eastAsia="es-ES"/>
        </w:rPr>
        <w:t xml:space="preserve"> </w:t>
      </w:r>
      <w:r w:rsidR="000F5180" w:rsidRPr="002E18FD">
        <w:rPr>
          <w:rFonts w:ascii="Cambria" w:eastAsia="Cambria" w:hAnsi="Cambria" w:cs="Verdana"/>
          <w:color w:val="000000"/>
          <w:sz w:val="20"/>
          <w:szCs w:val="20"/>
          <w:u w:color="000000"/>
          <w:lang w:val="es-ES" w:eastAsia="es-ES"/>
        </w:rPr>
        <w:t xml:space="preserve">como consecuencia de su búsqueda de justicia, los padres de la presunta víctima, Gregoria Naranjo y Sixto </w:t>
      </w:r>
      <w:r w:rsidR="00E35793" w:rsidRPr="002E18FD">
        <w:rPr>
          <w:rFonts w:ascii="Cambria" w:eastAsia="Cambria" w:hAnsi="Cambria" w:cs="Verdana"/>
          <w:color w:val="000000"/>
          <w:sz w:val="20"/>
          <w:szCs w:val="20"/>
          <w:u w:color="000000"/>
          <w:lang w:val="es-ES" w:eastAsia="es-ES"/>
        </w:rPr>
        <w:t>Núñez</w:t>
      </w:r>
      <w:r w:rsidR="000F5180" w:rsidRPr="002E18FD">
        <w:rPr>
          <w:rFonts w:ascii="Cambria" w:eastAsia="Cambria" w:hAnsi="Cambria" w:cs="Verdana"/>
          <w:color w:val="000000"/>
          <w:sz w:val="20"/>
          <w:szCs w:val="20"/>
          <w:u w:color="000000"/>
          <w:lang w:val="es-ES" w:eastAsia="es-ES"/>
        </w:rPr>
        <w:t xml:space="preserve">, han recibido amenazas para obligarles que abandonen sus propiedades o quemarían sus bienes y sus vidas estarían en peligro, sin que conste diligencia alguna realizada por el Estado para brindarles protección. </w:t>
      </w:r>
    </w:p>
    <w:p w14:paraId="71C9ED68" w14:textId="77777777" w:rsidR="002E18FD" w:rsidRDefault="002E18FD" w:rsidP="002E18FD">
      <w:pPr>
        <w:pStyle w:val="Prrafodelista"/>
        <w:rPr>
          <w:rFonts w:cs="Verdana"/>
          <w:sz w:val="20"/>
          <w:szCs w:val="20"/>
          <w:lang w:val="es-VE"/>
        </w:rPr>
      </w:pPr>
    </w:p>
    <w:p w14:paraId="6AA5A3AB" w14:textId="77777777" w:rsidR="00481A51" w:rsidRPr="002E18FD" w:rsidRDefault="002158B3"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eastAsia="Times New Roman" w:hAnsi="Cambria"/>
          <w:sz w:val="20"/>
          <w:szCs w:val="20"/>
          <w:lang w:val="es-ES" w:eastAsia="es-ES"/>
        </w:rPr>
      </w:pPr>
      <w:r w:rsidRPr="002E18FD">
        <w:rPr>
          <w:rFonts w:ascii="Cambria" w:hAnsi="Cambria" w:cs="Verdana"/>
          <w:sz w:val="20"/>
          <w:szCs w:val="20"/>
          <w:lang w:val="es-VE"/>
        </w:rPr>
        <w:t xml:space="preserve">En virtud de las anteriores consideraciones, la Comisión concluye que el Estado es responsable por la violación del derecho a la integridad psíquica y moral establecido en el artículo 5.1 de la Convención Americana en relación </w:t>
      </w:r>
      <w:r w:rsidRPr="002E18FD">
        <w:rPr>
          <w:rFonts w:ascii="Cambria" w:eastAsia="Cambria" w:hAnsi="Cambria" w:cs="Verdana"/>
          <w:color w:val="000000"/>
          <w:sz w:val="20"/>
          <w:szCs w:val="20"/>
          <w:u w:color="000000"/>
          <w:lang w:val="es-ES" w:eastAsia="es-ES"/>
        </w:rPr>
        <w:t>con</w:t>
      </w:r>
      <w:r w:rsidRPr="002E18FD">
        <w:rPr>
          <w:rFonts w:ascii="Cambria" w:hAnsi="Cambria" w:cs="Verdana"/>
          <w:sz w:val="20"/>
          <w:szCs w:val="20"/>
          <w:lang w:val="es-VE"/>
        </w:rPr>
        <w:t xml:space="preserve"> las obligaciones establecidas en el artículo 1.1 del mismo instrumento, en perjuicio de los familiares de </w:t>
      </w:r>
      <w:r w:rsidR="0063461E" w:rsidRPr="002E18FD">
        <w:rPr>
          <w:rFonts w:ascii="Cambria" w:hAnsi="Cambria" w:cs="Verdana"/>
          <w:sz w:val="20"/>
          <w:szCs w:val="20"/>
          <w:lang w:val="es-VE"/>
        </w:rPr>
        <w:t>Fredy Marcelo Núñez Naranjo identificado</w:t>
      </w:r>
      <w:r w:rsidRPr="002E18FD">
        <w:rPr>
          <w:rFonts w:ascii="Cambria" w:hAnsi="Cambria" w:cs="Verdana"/>
          <w:sz w:val="20"/>
          <w:szCs w:val="20"/>
          <w:lang w:val="es-VE"/>
        </w:rPr>
        <w:t>s en el presente informe.</w:t>
      </w:r>
    </w:p>
    <w:p w14:paraId="6F84CA49" w14:textId="77777777" w:rsidR="00481A51" w:rsidRDefault="00B7056E" w:rsidP="002E18FD">
      <w:pPr>
        <w:pStyle w:val="Ttulo3"/>
        <w:numPr>
          <w:ilvl w:val="0"/>
          <w:numId w:val="61"/>
        </w:numPr>
        <w:ind w:left="630" w:hanging="630"/>
        <w:rPr>
          <w:rFonts w:asciiTheme="majorHAnsi" w:hAnsiTheme="majorHAnsi"/>
          <w:sz w:val="20"/>
          <w:szCs w:val="20"/>
          <w:lang w:val="es-CO"/>
        </w:rPr>
      </w:pPr>
      <w:bookmarkStart w:id="31" w:name="_Toc5359036"/>
      <w:r>
        <w:rPr>
          <w:rFonts w:asciiTheme="majorHAnsi" w:hAnsiTheme="majorHAnsi"/>
          <w:sz w:val="20"/>
          <w:szCs w:val="20"/>
          <w:lang w:val="es-CO"/>
        </w:rPr>
        <w:t>Respecto de los hechos en cuanto a</w:t>
      </w:r>
      <w:r w:rsidR="00E35793">
        <w:rPr>
          <w:rFonts w:asciiTheme="majorHAnsi" w:hAnsiTheme="majorHAnsi"/>
          <w:sz w:val="20"/>
          <w:szCs w:val="20"/>
          <w:lang w:val="es-CO"/>
        </w:rPr>
        <w:t xml:space="preserve"> </w:t>
      </w:r>
      <w:r w:rsidR="00481A51">
        <w:rPr>
          <w:rFonts w:asciiTheme="majorHAnsi" w:hAnsiTheme="majorHAnsi"/>
          <w:sz w:val="20"/>
          <w:szCs w:val="20"/>
          <w:lang w:val="es-CO"/>
        </w:rPr>
        <w:t xml:space="preserve">Gregoria Naranjo y Marcia </w:t>
      </w:r>
      <w:r w:rsidR="00481A51" w:rsidRPr="00643B45">
        <w:rPr>
          <w:rFonts w:asciiTheme="majorHAnsi" w:hAnsiTheme="majorHAnsi"/>
          <w:sz w:val="20"/>
          <w:szCs w:val="20"/>
          <w:lang w:val="es-ES"/>
        </w:rPr>
        <w:t>Núñez</w:t>
      </w:r>
      <w:bookmarkEnd w:id="31"/>
    </w:p>
    <w:p w14:paraId="54513353" w14:textId="77777777" w:rsidR="00407C72" w:rsidRDefault="00407C72" w:rsidP="00407C7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Times New Roman" w:hAnsi="Cambria"/>
          <w:sz w:val="20"/>
          <w:szCs w:val="20"/>
          <w:lang w:val="es-ES" w:eastAsia="es-ES"/>
        </w:rPr>
      </w:pPr>
    </w:p>
    <w:p w14:paraId="4A2AEB11" w14:textId="77777777" w:rsidR="002E18FD" w:rsidRDefault="006350DA"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lang w:val="es-VE"/>
        </w:rPr>
      </w:pPr>
      <w:r>
        <w:rPr>
          <w:rFonts w:asciiTheme="majorHAnsi" w:hAnsiTheme="majorHAnsi"/>
          <w:sz w:val="20"/>
          <w:szCs w:val="20"/>
          <w:lang w:val="es-VE"/>
        </w:rPr>
        <w:t>La Comisión recuerda que el 15 de julio de 2001 cuando la presunta víctima fue sustraída de</w:t>
      </w:r>
      <w:r w:rsidR="00492044">
        <w:rPr>
          <w:rFonts w:asciiTheme="majorHAnsi" w:hAnsiTheme="majorHAnsi"/>
          <w:sz w:val="20"/>
          <w:szCs w:val="20"/>
          <w:lang w:val="es-VE"/>
        </w:rPr>
        <w:t xml:space="preserve"> </w:t>
      </w:r>
      <w:r>
        <w:rPr>
          <w:rFonts w:asciiTheme="majorHAnsi" w:hAnsiTheme="majorHAnsi"/>
          <w:sz w:val="20"/>
          <w:szCs w:val="20"/>
          <w:lang w:val="es-VE"/>
        </w:rPr>
        <w:t xml:space="preserve">la cárcel </w:t>
      </w:r>
      <w:r w:rsidRPr="002E18FD">
        <w:rPr>
          <w:rFonts w:ascii="Cambria" w:hAnsi="Cambria" w:cs="Verdana"/>
          <w:sz w:val="20"/>
          <w:szCs w:val="20"/>
          <w:lang w:val="es-VE"/>
        </w:rPr>
        <w:t>donde</w:t>
      </w:r>
      <w:r>
        <w:rPr>
          <w:rFonts w:asciiTheme="majorHAnsi" w:hAnsiTheme="majorHAnsi"/>
          <w:sz w:val="20"/>
          <w:szCs w:val="20"/>
          <w:lang w:val="es-VE"/>
        </w:rPr>
        <w:t xml:space="preserve"> se encontraba privada de libertad fue conducida junto a su madre Gregoria Naranjo y su hermana Marcia Núñez </w:t>
      </w:r>
      <w:r w:rsidR="00142EE4">
        <w:rPr>
          <w:rFonts w:asciiTheme="majorHAnsi" w:hAnsiTheme="majorHAnsi"/>
          <w:sz w:val="20"/>
          <w:szCs w:val="20"/>
          <w:lang w:val="es-VE"/>
        </w:rPr>
        <w:t xml:space="preserve">a la Comunidad </w:t>
      </w:r>
      <w:proofErr w:type="spellStart"/>
      <w:r w:rsidR="00C647A8">
        <w:rPr>
          <w:rFonts w:asciiTheme="majorHAnsi" w:hAnsiTheme="majorHAnsi"/>
          <w:sz w:val="20"/>
          <w:szCs w:val="20"/>
          <w:lang w:val="es-VE"/>
        </w:rPr>
        <w:t>Puñachisag</w:t>
      </w:r>
      <w:proofErr w:type="spellEnd"/>
      <w:r w:rsidR="00C647A8">
        <w:rPr>
          <w:rFonts w:asciiTheme="majorHAnsi" w:hAnsiTheme="majorHAnsi"/>
          <w:sz w:val="20"/>
          <w:szCs w:val="20"/>
          <w:lang w:val="es-VE"/>
        </w:rPr>
        <w:t xml:space="preserve"> </w:t>
      </w:r>
      <w:r w:rsidR="00F00741">
        <w:rPr>
          <w:rFonts w:asciiTheme="majorHAnsi" w:hAnsiTheme="majorHAnsi"/>
          <w:sz w:val="20"/>
          <w:szCs w:val="20"/>
          <w:lang w:val="es-VE"/>
        </w:rPr>
        <w:t xml:space="preserve">en donde según información que consta en la propia declaración del padre de la presunta víctima, el informe policial de 16 de agosto de 2001 y la indagación previa del fiscal, dichas personas fueron sometidas a </w:t>
      </w:r>
      <w:r w:rsidR="00E515D4">
        <w:rPr>
          <w:rFonts w:asciiTheme="majorHAnsi" w:hAnsiTheme="majorHAnsi"/>
          <w:sz w:val="20"/>
          <w:szCs w:val="20"/>
          <w:lang w:val="es-VE"/>
        </w:rPr>
        <w:t>“</w:t>
      </w:r>
      <w:r w:rsidR="00F00741">
        <w:rPr>
          <w:rFonts w:asciiTheme="majorHAnsi" w:hAnsiTheme="majorHAnsi"/>
          <w:sz w:val="20"/>
          <w:szCs w:val="20"/>
          <w:lang w:val="es-VE"/>
        </w:rPr>
        <w:t>flagelaciones</w:t>
      </w:r>
      <w:r w:rsidR="00E515D4">
        <w:rPr>
          <w:rFonts w:asciiTheme="majorHAnsi" w:hAnsiTheme="majorHAnsi"/>
          <w:sz w:val="20"/>
          <w:szCs w:val="20"/>
          <w:lang w:val="es-VE"/>
        </w:rPr>
        <w:t>”</w:t>
      </w:r>
      <w:r w:rsidR="00F00741">
        <w:rPr>
          <w:rFonts w:asciiTheme="majorHAnsi" w:hAnsiTheme="majorHAnsi"/>
          <w:sz w:val="20"/>
          <w:szCs w:val="20"/>
          <w:lang w:val="es-VE"/>
        </w:rPr>
        <w:t xml:space="preserve"> y malos tratos.</w:t>
      </w:r>
      <w:r w:rsidR="00E35793">
        <w:rPr>
          <w:rFonts w:asciiTheme="majorHAnsi" w:hAnsiTheme="majorHAnsi"/>
          <w:sz w:val="20"/>
          <w:szCs w:val="20"/>
          <w:lang w:val="es-VE"/>
        </w:rPr>
        <w:t xml:space="preserve"> </w:t>
      </w:r>
      <w:r w:rsidR="00D11493">
        <w:rPr>
          <w:rFonts w:asciiTheme="majorHAnsi" w:hAnsiTheme="majorHAnsi"/>
          <w:sz w:val="20"/>
          <w:szCs w:val="20"/>
          <w:lang w:val="es-VE"/>
        </w:rPr>
        <w:t xml:space="preserve">Pese a lo anterior, no consta que el Estado haya realizado investigación para identificar a los responsables de dichos malos tratos. </w:t>
      </w:r>
    </w:p>
    <w:p w14:paraId="6B88C4F0" w14:textId="77777777" w:rsidR="002E18FD" w:rsidRDefault="002E18FD" w:rsidP="002E18FD">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jc w:val="both"/>
        <w:rPr>
          <w:rFonts w:asciiTheme="majorHAnsi" w:hAnsiTheme="majorHAnsi"/>
          <w:sz w:val="20"/>
          <w:szCs w:val="20"/>
          <w:lang w:val="es-VE"/>
        </w:rPr>
      </w:pPr>
    </w:p>
    <w:p w14:paraId="78F81C40" w14:textId="77777777" w:rsidR="002E18FD" w:rsidRDefault="00D11493"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lang w:val="es-VE"/>
        </w:rPr>
      </w:pPr>
      <w:r w:rsidRPr="002E18FD">
        <w:rPr>
          <w:rFonts w:asciiTheme="majorHAnsi" w:hAnsiTheme="majorHAnsi"/>
          <w:sz w:val="20"/>
          <w:szCs w:val="20"/>
          <w:lang w:val="es-VE"/>
        </w:rPr>
        <w:t xml:space="preserve">Sobre este aspecto, </w:t>
      </w:r>
      <w:r w:rsidRPr="002E18FD">
        <w:rPr>
          <w:rFonts w:ascii="Cambria" w:hAnsi="Cambria" w:cs="Verdana"/>
          <w:sz w:val="20"/>
          <w:szCs w:val="20"/>
          <w:lang w:val="es-VE"/>
        </w:rPr>
        <w:t>l</w:t>
      </w:r>
      <w:r w:rsidR="000B3BBC" w:rsidRPr="002E18FD">
        <w:rPr>
          <w:rFonts w:ascii="Cambria" w:hAnsi="Cambria" w:cs="Verdana"/>
          <w:sz w:val="20"/>
          <w:szCs w:val="20"/>
          <w:lang w:val="es-VE"/>
        </w:rPr>
        <w:t>a</w:t>
      </w:r>
      <w:r w:rsidR="000B3BBC" w:rsidRPr="002E18FD">
        <w:rPr>
          <w:rFonts w:asciiTheme="majorHAnsi" w:hAnsiTheme="majorHAnsi"/>
          <w:sz w:val="20"/>
          <w:szCs w:val="20"/>
          <w:lang w:val="es-VE"/>
        </w:rPr>
        <w:t xml:space="preserve"> Comisión recuerda que cuando exist</w:t>
      </w:r>
      <w:r w:rsidR="00AC7EF4" w:rsidRPr="002E18FD">
        <w:rPr>
          <w:rFonts w:asciiTheme="majorHAnsi" w:hAnsiTheme="majorHAnsi"/>
          <w:sz w:val="20"/>
          <w:szCs w:val="20"/>
          <w:lang w:val="es-VE"/>
        </w:rPr>
        <w:t xml:space="preserve">e denuncia o razón fundada </w:t>
      </w:r>
      <w:r w:rsidR="000B3BBC" w:rsidRPr="002E18FD">
        <w:rPr>
          <w:rFonts w:ascii="Cambria" w:eastAsia="Times New Roman" w:hAnsi="Cambria"/>
          <w:sz w:val="20"/>
          <w:szCs w:val="20"/>
          <w:lang w:val="es-ES"/>
        </w:rPr>
        <w:t xml:space="preserve">para creer que se ha cometido un acto de tortura, existe una obligación estatal de iniciar de oficio e inmediatamente una investigación efectiva que permita identificar, juzgar y sancionar a los </w:t>
      </w:r>
      <w:r w:rsidR="000B3BBC" w:rsidRPr="002E18FD">
        <w:rPr>
          <w:rFonts w:ascii="Cambria" w:eastAsia="Times New Roman" w:hAnsi="Cambria"/>
          <w:sz w:val="20"/>
          <w:szCs w:val="20"/>
          <w:lang w:val="es-ES_tradnl"/>
        </w:rPr>
        <w:t>responsables</w:t>
      </w:r>
      <w:r w:rsidR="000B3BBC" w:rsidRPr="002E18FD">
        <w:rPr>
          <w:rFonts w:ascii="Cambria" w:eastAsia="Times New Roman" w:hAnsi="Cambria"/>
          <w:sz w:val="20"/>
          <w:szCs w:val="20"/>
          <w:lang w:val="es-ES"/>
        </w:rPr>
        <w:t>, conforme a la obligación general de garantizar a toda persona bajo su jurisdicción los derechos humanos consagrados en la Convención, establecida en el artículo 1.1. de la misma en conjunto con el derecho a la integridad personal</w:t>
      </w:r>
      <w:r w:rsidR="000B3BBC" w:rsidRPr="007F3D68">
        <w:rPr>
          <w:rFonts w:ascii="Cambria" w:eastAsia="Times New Roman" w:hAnsi="Cambria"/>
          <w:sz w:val="20"/>
          <w:szCs w:val="20"/>
          <w:vertAlign w:val="superscript"/>
          <w:lang w:val="es-ES"/>
        </w:rPr>
        <w:footnoteReference w:id="82"/>
      </w:r>
      <w:r w:rsidR="000B3BBC" w:rsidRPr="002E18FD">
        <w:rPr>
          <w:rFonts w:ascii="Cambria" w:eastAsia="Times New Roman" w:hAnsi="Cambria"/>
          <w:sz w:val="20"/>
          <w:szCs w:val="20"/>
          <w:lang w:val="es-ES"/>
        </w:rPr>
        <w:t>.</w:t>
      </w:r>
    </w:p>
    <w:p w14:paraId="6160C732" w14:textId="77777777" w:rsidR="002E18FD" w:rsidRDefault="002E18FD" w:rsidP="002E18FD">
      <w:pPr>
        <w:pStyle w:val="Prrafodelista"/>
        <w:rPr>
          <w:rFonts w:cs="Verdana"/>
          <w:sz w:val="20"/>
          <w:szCs w:val="20"/>
          <w:lang w:val="es-VE"/>
        </w:rPr>
      </w:pPr>
    </w:p>
    <w:p w14:paraId="58C6C46B" w14:textId="77777777" w:rsidR="00481A51" w:rsidRPr="002E18FD" w:rsidRDefault="00D2168D"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Theme="majorHAnsi" w:hAnsiTheme="majorHAnsi"/>
          <w:sz w:val="20"/>
          <w:szCs w:val="20"/>
          <w:lang w:val="es-VE"/>
        </w:rPr>
      </w:pPr>
      <w:r w:rsidRPr="002E18FD">
        <w:rPr>
          <w:rFonts w:ascii="Cambria" w:hAnsi="Cambria" w:cs="Verdana"/>
          <w:sz w:val="20"/>
          <w:szCs w:val="20"/>
          <w:lang w:val="es-VE"/>
        </w:rPr>
        <w:t>En virtud de las anteriores consideraciones, la Comisión concluye que en el Estado es responsable por la violación</w:t>
      </w:r>
      <w:r w:rsidR="00D22A34" w:rsidRPr="002E18FD">
        <w:rPr>
          <w:rFonts w:ascii="Cambria" w:hAnsi="Cambria" w:cs="Verdana"/>
          <w:sz w:val="20"/>
          <w:szCs w:val="20"/>
          <w:lang w:val="es-VE"/>
        </w:rPr>
        <w:t xml:space="preserve"> de los derechos </w:t>
      </w:r>
      <w:r w:rsidRPr="002E18FD">
        <w:rPr>
          <w:rFonts w:ascii="Cambria" w:hAnsi="Cambria" w:cs="Verdana"/>
          <w:sz w:val="20"/>
          <w:szCs w:val="20"/>
          <w:lang w:val="es-VE"/>
        </w:rPr>
        <w:t xml:space="preserve">a las </w:t>
      </w:r>
      <w:proofErr w:type="gramStart"/>
      <w:r w:rsidRPr="002E18FD">
        <w:rPr>
          <w:rFonts w:ascii="Cambria" w:hAnsi="Cambria" w:cs="Verdana"/>
          <w:sz w:val="20"/>
          <w:szCs w:val="20"/>
          <w:lang w:val="es-VE"/>
        </w:rPr>
        <w:t>garantías judiciales y protección judicial</w:t>
      </w:r>
      <w:proofErr w:type="gramEnd"/>
      <w:r w:rsidRPr="002E18FD">
        <w:rPr>
          <w:rFonts w:ascii="Cambria" w:hAnsi="Cambria" w:cs="Verdana"/>
          <w:sz w:val="20"/>
          <w:szCs w:val="20"/>
          <w:lang w:val="es-VE"/>
        </w:rPr>
        <w:t xml:space="preserve"> establecidos en los artículos 8.1 y 25.1 de la Convención Americana en relación </w:t>
      </w:r>
      <w:r w:rsidRPr="002E18FD">
        <w:rPr>
          <w:rFonts w:ascii="Cambria" w:eastAsia="Cambria" w:hAnsi="Cambria" w:cs="Verdana"/>
          <w:color w:val="000000"/>
          <w:sz w:val="20"/>
          <w:szCs w:val="20"/>
          <w:u w:color="000000"/>
          <w:lang w:val="es-ES" w:eastAsia="es-ES"/>
        </w:rPr>
        <w:t>con</w:t>
      </w:r>
      <w:r w:rsidR="00D26002" w:rsidRPr="002E18FD">
        <w:rPr>
          <w:rFonts w:ascii="Cambria" w:eastAsia="Cambria" w:hAnsi="Cambria" w:cs="Verdana"/>
          <w:color w:val="000000"/>
          <w:sz w:val="20"/>
          <w:szCs w:val="20"/>
          <w:u w:color="000000"/>
          <w:lang w:val="es-ES" w:eastAsia="es-ES"/>
        </w:rPr>
        <w:t xml:space="preserve"> el derecho a la integridad personal establecido en el artículo 5.1 así como con</w:t>
      </w:r>
      <w:r w:rsidRPr="002E18FD">
        <w:rPr>
          <w:rFonts w:ascii="Cambria" w:hAnsi="Cambria" w:cs="Verdana"/>
          <w:sz w:val="20"/>
          <w:szCs w:val="20"/>
          <w:lang w:val="es-VE"/>
        </w:rPr>
        <w:t xml:space="preserve"> las obligaciones establecidas en el artículo 1.1 del mismo instrumento, en perjuicio de Gregoria Naranjo y Marcia Núñez. </w:t>
      </w:r>
    </w:p>
    <w:p w14:paraId="5C6A355B" w14:textId="77777777" w:rsidR="00E35859" w:rsidRPr="00D2168D" w:rsidRDefault="00E35859" w:rsidP="00E3585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VE"/>
        </w:rPr>
      </w:pPr>
    </w:p>
    <w:p w14:paraId="718DC0E4" w14:textId="77777777" w:rsidR="002158B3" w:rsidRPr="00152E74" w:rsidRDefault="002158B3" w:rsidP="002E18FD">
      <w:pPr>
        <w:pStyle w:val="Ttulo1"/>
        <w:numPr>
          <w:ilvl w:val="0"/>
          <w:numId w:val="55"/>
        </w:numPr>
        <w:tabs>
          <w:tab w:val="left" w:pos="0"/>
          <w:tab w:val="left" w:pos="540"/>
        </w:tabs>
        <w:spacing w:before="0"/>
        <w:ind w:left="0" w:firstLine="0"/>
        <w:jc w:val="both"/>
        <w:rPr>
          <w:rFonts w:ascii="Cambria" w:hAnsi="Cambria"/>
          <w:color w:val="auto"/>
          <w:sz w:val="20"/>
          <w:szCs w:val="20"/>
          <w:lang w:val="es-ES_tradnl"/>
        </w:rPr>
      </w:pPr>
      <w:bookmarkStart w:id="32" w:name="_Toc519601832"/>
      <w:bookmarkStart w:id="33" w:name="_Toc1985294"/>
      <w:bookmarkStart w:id="34" w:name="_Toc5359037"/>
      <w:r w:rsidRPr="004E01CC">
        <w:rPr>
          <w:rFonts w:ascii="Cambria" w:hAnsi="Cambria"/>
          <w:color w:val="000000" w:themeColor="text1"/>
          <w:sz w:val="20"/>
          <w:szCs w:val="20"/>
          <w:lang w:val="es-ES"/>
        </w:rPr>
        <w:lastRenderedPageBreak/>
        <w:t>CONCLUSIONES</w:t>
      </w:r>
      <w:r w:rsidRPr="00152E74">
        <w:rPr>
          <w:rFonts w:ascii="Cambria" w:hAnsi="Cambria"/>
          <w:color w:val="auto"/>
          <w:sz w:val="20"/>
          <w:szCs w:val="20"/>
          <w:lang w:val="es-ES_tradnl"/>
        </w:rPr>
        <w:t xml:space="preserve"> Y RECOMENDACIONES</w:t>
      </w:r>
      <w:bookmarkEnd w:id="32"/>
      <w:bookmarkEnd w:id="33"/>
      <w:bookmarkEnd w:id="34"/>
      <w:r w:rsidRPr="00152E74">
        <w:rPr>
          <w:rFonts w:ascii="Cambria" w:hAnsi="Cambria"/>
          <w:color w:val="auto"/>
          <w:sz w:val="20"/>
          <w:szCs w:val="20"/>
          <w:lang w:val="es-ES_tradnl"/>
        </w:rPr>
        <w:t xml:space="preserve"> </w:t>
      </w:r>
    </w:p>
    <w:p w14:paraId="662DED0D" w14:textId="77777777" w:rsidR="002158B3" w:rsidRPr="00152E74" w:rsidRDefault="002158B3" w:rsidP="00E35859">
      <w:pPr>
        <w:suppressAutoHyphens/>
        <w:rPr>
          <w:rFonts w:ascii="Cambria" w:hAnsi="Cambria"/>
          <w:b/>
          <w:sz w:val="20"/>
          <w:szCs w:val="20"/>
          <w:lang w:val="es-ES_tradnl"/>
        </w:rPr>
      </w:pPr>
    </w:p>
    <w:p w14:paraId="0AEC003D" w14:textId="77777777" w:rsidR="002158B3" w:rsidRPr="00152E74" w:rsidRDefault="002158B3" w:rsidP="002E18FD">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440"/>
        </w:tabs>
        <w:ind w:left="0" w:firstLine="0"/>
        <w:jc w:val="both"/>
        <w:rPr>
          <w:rFonts w:ascii="Cambria" w:hAnsi="Cambria" w:cs="Verdana"/>
          <w:sz w:val="20"/>
          <w:szCs w:val="20"/>
          <w:lang w:val="es-VE"/>
        </w:rPr>
      </w:pPr>
      <w:r w:rsidRPr="00152E74">
        <w:rPr>
          <w:rFonts w:ascii="Cambria" w:hAnsi="Cambria" w:cs="Verdana"/>
          <w:sz w:val="20"/>
          <w:szCs w:val="20"/>
          <w:lang w:val="es-VE"/>
        </w:rPr>
        <w:t>La Comi</w:t>
      </w:r>
      <w:r w:rsidR="00E35793">
        <w:rPr>
          <w:rFonts w:ascii="Cambria" w:hAnsi="Cambria" w:cs="Verdana"/>
          <w:sz w:val="20"/>
          <w:szCs w:val="20"/>
          <w:lang w:val="es-VE"/>
        </w:rPr>
        <w:t>sión concluye que el Estado de Ecuador</w:t>
      </w:r>
      <w:r w:rsidRPr="00152E74">
        <w:rPr>
          <w:rFonts w:ascii="Cambria" w:hAnsi="Cambria" w:cs="Verdana"/>
          <w:sz w:val="20"/>
          <w:szCs w:val="20"/>
          <w:lang w:val="es-VE"/>
        </w:rPr>
        <w:t xml:space="preserve"> es responsable por la violación de los derechos al reconocimiento de la personalidad jurídica, a la vida, a la integridad personal, a la libertad person</w:t>
      </w:r>
      <w:r w:rsidR="00E35793">
        <w:rPr>
          <w:rFonts w:ascii="Cambria" w:hAnsi="Cambria" w:cs="Verdana"/>
          <w:sz w:val="20"/>
          <w:szCs w:val="20"/>
          <w:lang w:val="es-VE"/>
        </w:rPr>
        <w:t>al, a las garantías judiciales</w:t>
      </w:r>
      <w:r w:rsidRPr="00152E74">
        <w:rPr>
          <w:rFonts w:ascii="Cambria" w:hAnsi="Cambria" w:cs="Verdana"/>
          <w:sz w:val="20"/>
          <w:szCs w:val="20"/>
          <w:lang w:val="es-VE"/>
        </w:rPr>
        <w:t xml:space="preserve">, y a la protección judicial consagrados en los artículos 3, </w:t>
      </w:r>
      <w:r w:rsidR="00E35793">
        <w:rPr>
          <w:rFonts w:ascii="Cambria" w:hAnsi="Cambria" w:cs="Verdana"/>
          <w:sz w:val="20"/>
          <w:szCs w:val="20"/>
          <w:lang w:val="es-VE"/>
        </w:rPr>
        <w:t>4</w:t>
      </w:r>
      <w:r w:rsidR="009F1023">
        <w:rPr>
          <w:rFonts w:ascii="Cambria" w:hAnsi="Cambria" w:cs="Verdana"/>
          <w:sz w:val="20"/>
          <w:szCs w:val="20"/>
          <w:lang w:val="es-VE"/>
        </w:rPr>
        <w:t>.1</w:t>
      </w:r>
      <w:r w:rsidRPr="00152E74">
        <w:rPr>
          <w:rFonts w:ascii="Cambria" w:hAnsi="Cambria" w:cs="Verdana"/>
          <w:sz w:val="20"/>
          <w:szCs w:val="20"/>
          <w:lang w:val="es-VE"/>
        </w:rPr>
        <w:t>, 5</w:t>
      </w:r>
      <w:r w:rsidR="009F1023">
        <w:rPr>
          <w:rFonts w:ascii="Cambria" w:hAnsi="Cambria" w:cs="Verdana"/>
          <w:sz w:val="20"/>
          <w:szCs w:val="20"/>
          <w:lang w:val="es-VE"/>
        </w:rPr>
        <w:t>.1</w:t>
      </w:r>
      <w:r w:rsidRPr="00152E74">
        <w:rPr>
          <w:rFonts w:ascii="Cambria" w:hAnsi="Cambria" w:cs="Verdana"/>
          <w:sz w:val="20"/>
          <w:szCs w:val="20"/>
          <w:lang w:val="es-VE"/>
        </w:rPr>
        <w:t>,</w:t>
      </w:r>
      <w:r w:rsidR="009F1023">
        <w:rPr>
          <w:rFonts w:ascii="Cambria" w:hAnsi="Cambria" w:cs="Verdana"/>
          <w:sz w:val="20"/>
          <w:szCs w:val="20"/>
          <w:lang w:val="es-VE"/>
        </w:rPr>
        <w:t xml:space="preserve"> 5.2,</w:t>
      </w:r>
      <w:r w:rsidRPr="00152E74">
        <w:rPr>
          <w:rFonts w:ascii="Cambria" w:hAnsi="Cambria" w:cs="Verdana"/>
          <w:sz w:val="20"/>
          <w:szCs w:val="20"/>
          <w:lang w:val="es-VE"/>
        </w:rPr>
        <w:t xml:space="preserve"> </w:t>
      </w:r>
      <w:r w:rsidR="00E35793">
        <w:rPr>
          <w:rFonts w:ascii="Cambria" w:hAnsi="Cambria" w:cs="Verdana"/>
          <w:sz w:val="20"/>
          <w:szCs w:val="20"/>
          <w:lang w:val="es-VE"/>
        </w:rPr>
        <w:t>7,</w:t>
      </w:r>
      <w:r w:rsidRPr="00152E74">
        <w:rPr>
          <w:rFonts w:ascii="Cambria" w:hAnsi="Cambria" w:cs="Verdana"/>
          <w:sz w:val="20"/>
          <w:szCs w:val="20"/>
          <w:lang w:val="es-VE"/>
        </w:rPr>
        <w:t xml:space="preserve"> 8.1 y 25.1 de la Convención Americana, en relación con </w:t>
      </w:r>
      <w:r>
        <w:rPr>
          <w:rFonts w:ascii="Cambria" w:hAnsi="Cambria" w:cs="Verdana"/>
          <w:sz w:val="20"/>
          <w:szCs w:val="20"/>
          <w:lang w:val="es-VE"/>
        </w:rPr>
        <w:t>el</w:t>
      </w:r>
      <w:r w:rsidRPr="00152E74">
        <w:rPr>
          <w:rFonts w:ascii="Cambria" w:hAnsi="Cambria" w:cs="Verdana"/>
          <w:sz w:val="20"/>
          <w:szCs w:val="20"/>
          <w:lang w:val="es-VE"/>
        </w:rPr>
        <w:t xml:space="preserve"> ar</w:t>
      </w:r>
      <w:r>
        <w:rPr>
          <w:rFonts w:ascii="Cambria" w:hAnsi="Cambria" w:cs="Verdana"/>
          <w:sz w:val="20"/>
          <w:szCs w:val="20"/>
          <w:lang w:val="es-VE"/>
        </w:rPr>
        <w:t>tículo</w:t>
      </w:r>
      <w:r w:rsidRPr="00152E74">
        <w:rPr>
          <w:rFonts w:ascii="Cambria" w:hAnsi="Cambria" w:cs="Verdana"/>
          <w:sz w:val="20"/>
          <w:szCs w:val="20"/>
          <w:lang w:val="es-VE"/>
        </w:rPr>
        <w:t xml:space="preserve"> 1.1 del mismo instrumento, así como de los artículos </w:t>
      </w:r>
      <w:proofErr w:type="spellStart"/>
      <w:r w:rsidRPr="00152E74">
        <w:rPr>
          <w:rFonts w:ascii="Cambria" w:hAnsi="Cambria" w:cs="Verdana"/>
          <w:sz w:val="20"/>
          <w:szCs w:val="20"/>
          <w:lang w:val="es-VE"/>
        </w:rPr>
        <w:t>I.a</w:t>
      </w:r>
      <w:proofErr w:type="spellEnd"/>
      <w:r>
        <w:rPr>
          <w:rFonts w:ascii="Cambria" w:hAnsi="Cambria" w:cs="Verdana"/>
          <w:sz w:val="20"/>
          <w:szCs w:val="20"/>
          <w:lang w:val="es-VE"/>
        </w:rPr>
        <w:t>)</w:t>
      </w:r>
      <w:r w:rsidRPr="00152E74">
        <w:rPr>
          <w:rFonts w:ascii="Cambria" w:hAnsi="Cambria" w:cs="Verdana"/>
          <w:sz w:val="20"/>
          <w:szCs w:val="20"/>
          <w:lang w:val="es-VE"/>
        </w:rPr>
        <w:t xml:space="preserve"> y </w:t>
      </w:r>
      <w:proofErr w:type="spellStart"/>
      <w:r w:rsidRPr="00152E74">
        <w:rPr>
          <w:rFonts w:ascii="Cambria" w:hAnsi="Cambria" w:cs="Verdana"/>
          <w:sz w:val="20"/>
          <w:szCs w:val="20"/>
          <w:lang w:val="es-VE"/>
        </w:rPr>
        <w:t>I.b</w:t>
      </w:r>
      <w:proofErr w:type="spellEnd"/>
      <w:r>
        <w:rPr>
          <w:rFonts w:ascii="Cambria" w:hAnsi="Cambria" w:cs="Verdana"/>
          <w:sz w:val="20"/>
          <w:szCs w:val="20"/>
          <w:lang w:val="es-VE"/>
        </w:rPr>
        <w:t>)</w:t>
      </w:r>
      <w:r w:rsidRPr="00152E74">
        <w:rPr>
          <w:rFonts w:ascii="Cambria" w:hAnsi="Cambria" w:cs="Verdana"/>
          <w:sz w:val="20"/>
          <w:szCs w:val="20"/>
          <w:lang w:val="es-VE"/>
        </w:rPr>
        <w:t xml:space="preserve"> de la Convención Interamericana sobre Desaparición Forzada de Personas en perjuicio de las personas que se indican a lo largo del presente informe.</w:t>
      </w:r>
    </w:p>
    <w:p w14:paraId="1AD1E8F2" w14:textId="77777777" w:rsidR="002158B3" w:rsidRPr="00E35793" w:rsidRDefault="002158B3" w:rsidP="002158B3">
      <w:pPr>
        <w:suppressAutoHyphens/>
        <w:jc w:val="both"/>
        <w:rPr>
          <w:rFonts w:ascii="Cambria" w:hAnsi="Cambria"/>
          <w:sz w:val="20"/>
          <w:szCs w:val="20"/>
          <w:lang w:val="es-VE"/>
        </w:rPr>
      </w:pPr>
    </w:p>
    <w:p w14:paraId="01E25C04" w14:textId="77777777" w:rsidR="002158B3" w:rsidRPr="00152E74" w:rsidRDefault="002158B3" w:rsidP="002158B3">
      <w:pPr>
        <w:jc w:val="both"/>
        <w:rPr>
          <w:rFonts w:ascii="Cambria" w:hAnsi="Cambria"/>
          <w:b/>
          <w:sz w:val="20"/>
          <w:szCs w:val="20"/>
          <w:lang w:val="es-ES_tradnl"/>
        </w:rPr>
      </w:pPr>
      <w:r w:rsidRPr="00152E74">
        <w:rPr>
          <w:rFonts w:ascii="Cambria" w:hAnsi="Cambria"/>
          <w:b/>
          <w:sz w:val="20"/>
          <w:szCs w:val="20"/>
          <w:lang w:val="es-ES_tradnl"/>
        </w:rPr>
        <w:t xml:space="preserve">LA COMISIÓN INTERAMERICANA DE DERECHOS HUMANOS, RECOMIENDA AL ESTADO DE </w:t>
      </w:r>
      <w:r>
        <w:rPr>
          <w:rFonts w:ascii="Cambria" w:hAnsi="Cambria"/>
          <w:b/>
          <w:sz w:val="20"/>
          <w:szCs w:val="20"/>
          <w:lang w:val="es-ES_tradnl"/>
        </w:rPr>
        <w:t>ECUADOR</w:t>
      </w:r>
      <w:r w:rsidRPr="00152E74">
        <w:rPr>
          <w:rFonts w:ascii="Cambria" w:hAnsi="Cambria"/>
          <w:b/>
          <w:sz w:val="20"/>
          <w:szCs w:val="20"/>
          <w:lang w:val="es-ES_tradnl"/>
        </w:rPr>
        <w:t>:</w:t>
      </w:r>
    </w:p>
    <w:p w14:paraId="63F0BF98" w14:textId="77777777" w:rsidR="002158B3" w:rsidRPr="00152E74" w:rsidRDefault="002158B3" w:rsidP="002158B3">
      <w:pPr>
        <w:pBdr>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highlight w:val="yellow"/>
          <w:lang w:val="es-ES"/>
        </w:rPr>
      </w:pPr>
    </w:p>
    <w:p w14:paraId="25F328A1" w14:textId="77777777" w:rsidR="00EA3843" w:rsidRDefault="002158B3" w:rsidP="00DD5AD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630"/>
        </w:tabs>
        <w:ind w:left="0" w:firstLine="0"/>
        <w:jc w:val="both"/>
        <w:rPr>
          <w:rFonts w:ascii="Cambria" w:hAnsi="Cambria"/>
          <w:sz w:val="20"/>
          <w:szCs w:val="20"/>
          <w:lang w:val="es-ES"/>
        </w:rPr>
      </w:pPr>
      <w:r w:rsidRPr="00152E74">
        <w:rPr>
          <w:rFonts w:ascii="Cambria" w:hAnsi="Cambria"/>
          <w:sz w:val="20"/>
          <w:szCs w:val="20"/>
          <w:lang w:val="es-ES"/>
        </w:rPr>
        <w:t xml:space="preserve">Investigar de manera completa, imparcial y efectiva el paradero de </w:t>
      </w:r>
      <w:r w:rsidR="00FB038C">
        <w:rPr>
          <w:rFonts w:ascii="Cambria" w:hAnsi="Cambria" w:cs="Verdana"/>
          <w:sz w:val="20"/>
          <w:szCs w:val="20"/>
          <w:lang w:val="es-VE"/>
        </w:rPr>
        <w:t>Fred</w:t>
      </w:r>
      <w:r>
        <w:rPr>
          <w:rFonts w:ascii="Cambria" w:hAnsi="Cambria" w:cs="Verdana"/>
          <w:sz w:val="20"/>
          <w:szCs w:val="20"/>
          <w:lang w:val="es-VE"/>
        </w:rPr>
        <w:t xml:space="preserve">y Marcelo </w:t>
      </w:r>
      <w:proofErr w:type="spellStart"/>
      <w:r>
        <w:rPr>
          <w:rFonts w:ascii="Cambria" w:hAnsi="Cambria" w:cs="Verdana"/>
          <w:sz w:val="20"/>
          <w:szCs w:val="20"/>
          <w:lang w:val="es-VE"/>
        </w:rPr>
        <w:t>Nuñez</w:t>
      </w:r>
      <w:proofErr w:type="spellEnd"/>
      <w:r w:rsidRPr="00152E74">
        <w:rPr>
          <w:rFonts w:ascii="Cambria" w:eastAsia="Times New Roman" w:hAnsi="Cambria"/>
          <w:sz w:val="20"/>
          <w:szCs w:val="20"/>
          <w:lang w:val="es-ES" w:eastAsia="es-ES"/>
        </w:rPr>
        <w:t xml:space="preserve">, y de ser el caso, </w:t>
      </w:r>
      <w:r w:rsidRPr="00152E74">
        <w:rPr>
          <w:rFonts w:ascii="Cambria" w:hAnsi="Cambria"/>
          <w:sz w:val="20"/>
          <w:szCs w:val="20"/>
          <w:lang w:val="es-ES"/>
        </w:rPr>
        <w:t xml:space="preserve">adoptar las medidas necesarias para identificar y entregar a sus familiares los restos mortales según sus deseos. </w:t>
      </w:r>
    </w:p>
    <w:p w14:paraId="7C6A5D02" w14:textId="77777777" w:rsidR="00DD5AD0" w:rsidRPr="00DD5AD0" w:rsidRDefault="00DD5AD0" w:rsidP="00DD5A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14:paraId="177F2298" w14:textId="77777777" w:rsidR="00EA3843" w:rsidRPr="00152E74" w:rsidRDefault="00EA3843" w:rsidP="00DD5AD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ind w:left="0" w:firstLine="0"/>
        <w:jc w:val="both"/>
        <w:rPr>
          <w:rFonts w:ascii="Cambria" w:hAnsi="Cambria"/>
          <w:sz w:val="20"/>
          <w:szCs w:val="20"/>
          <w:lang w:val="es-ES"/>
        </w:rPr>
      </w:pPr>
      <w:r>
        <w:rPr>
          <w:rFonts w:ascii="Cambria" w:hAnsi="Cambria"/>
          <w:sz w:val="20"/>
          <w:szCs w:val="20"/>
          <w:lang w:val="es-ES"/>
        </w:rPr>
        <w:t xml:space="preserve">Investigar las lesiones sufridas por </w:t>
      </w:r>
      <w:r>
        <w:rPr>
          <w:rFonts w:asciiTheme="majorHAnsi" w:hAnsiTheme="majorHAnsi"/>
          <w:sz w:val="20"/>
          <w:szCs w:val="20"/>
          <w:lang w:val="es-CO"/>
        </w:rPr>
        <w:t xml:space="preserve">Gregoria Naranjo y Marcia </w:t>
      </w:r>
      <w:r w:rsidRPr="00643B45">
        <w:rPr>
          <w:rFonts w:asciiTheme="majorHAnsi" w:hAnsiTheme="majorHAnsi"/>
          <w:sz w:val="20"/>
          <w:szCs w:val="20"/>
          <w:lang w:val="es-ES"/>
        </w:rPr>
        <w:t>Núñez</w:t>
      </w:r>
      <w:r>
        <w:rPr>
          <w:rFonts w:asciiTheme="majorHAnsi" w:hAnsiTheme="majorHAnsi"/>
          <w:sz w:val="20"/>
          <w:szCs w:val="20"/>
          <w:lang w:val="es-ES"/>
        </w:rPr>
        <w:t xml:space="preserve"> de manera diligente, efectiva y en un plazo razonable con el objeto de esclarecer los hechos en forma completa, identificar a los autores e imponer las sanciones que correspondan. </w:t>
      </w:r>
    </w:p>
    <w:p w14:paraId="035EE748" w14:textId="77777777" w:rsidR="002158B3" w:rsidRPr="00152E74" w:rsidRDefault="002158B3" w:rsidP="00DD5AD0">
      <w:pPr>
        <w:tabs>
          <w:tab w:val="left" w:pos="630"/>
        </w:tabs>
        <w:jc w:val="both"/>
        <w:rPr>
          <w:rFonts w:ascii="Cambria" w:hAnsi="Cambria"/>
          <w:sz w:val="20"/>
          <w:szCs w:val="20"/>
          <w:lang w:val="es-ES"/>
        </w:rPr>
      </w:pPr>
    </w:p>
    <w:p w14:paraId="6ADB6243" w14:textId="77777777" w:rsidR="002158B3" w:rsidRPr="00152E74" w:rsidRDefault="002158B3" w:rsidP="00DD5AD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ind w:left="0" w:firstLine="0"/>
        <w:jc w:val="both"/>
        <w:rPr>
          <w:rFonts w:ascii="Cambria" w:hAnsi="Cambria"/>
          <w:sz w:val="20"/>
          <w:szCs w:val="20"/>
          <w:lang w:val="es-ES"/>
        </w:rPr>
      </w:pPr>
      <w:r w:rsidRPr="00152E74">
        <w:rPr>
          <w:rFonts w:ascii="Cambria" w:hAnsi="Cambria"/>
          <w:sz w:val="20"/>
          <w:szCs w:val="20"/>
          <w:lang w:val="es-ES"/>
        </w:rPr>
        <w:t xml:space="preserve">Llevar a cabo los procedimientos internos relacionados con las violaciones a los derechos humanos declaradas en el presente informe y conducir los procesos correspondientes por el delito de desaparición forzada de </w:t>
      </w:r>
      <w:r w:rsidR="00FB038C">
        <w:rPr>
          <w:rFonts w:ascii="Cambria" w:hAnsi="Cambria" w:cs="Verdana"/>
          <w:sz w:val="20"/>
          <w:szCs w:val="20"/>
          <w:lang w:val="es-VE"/>
        </w:rPr>
        <w:t>Fre</w:t>
      </w:r>
      <w:r>
        <w:rPr>
          <w:rFonts w:ascii="Cambria" w:hAnsi="Cambria" w:cs="Verdana"/>
          <w:sz w:val="20"/>
          <w:szCs w:val="20"/>
          <w:lang w:val="es-VE"/>
        </w:rPr>
        <w:t xml:space="preserve">dy Marcelo </w:t>
      </w:r>
      <w:proofErr w:type="spellStart"/>
      <w:r>
        <w:rPr>
          <w:rFonts w:ascii="Cambria" w:hAnsi="Cambria" w:cs="Verdana"/>
          <w:sz w:val="20"/>
          <w:szCs w:val="20"/>
          <w:lang w:val="es-VE"/>
        </w:rPr>
        <w:t>Nuñez</w:t>
      </w:r>
      <w:proofErr w:type="spellEnd"/>
      <w:r w:rsidRPr="00152E74">
        <w:rPr>
          <w:rFonts w:ascii="Cambria" w:hAnsi="Cambria"/>
          <w:sz w:val="20"/>
          <w:szCs w:val="20"/>
          <w:lang w:val="es-ES"/>
        </w:rPr>
        <w:t>, de manera imparcial, efectiva y dentro de un plazo razonable, con el objeto de esclarecer los hechos en forma completa, identificar a todos los responsables e imponer las sanciones que correspondan.</w:t>
      </w:r>
    </w:p>
    <w:p w14:paraId="7D558B83" w14:textId="77777777" w:rsidR="002158B3" w:rsidRPr="00152E74" w:rsidRDefault="002158B3" w:rsidP="00DD5AD0">
      <w:pPr>
        <w:tabs>
          <w:tab w:val="left" w:pos="630"/>
        </w:tabs>
        <w:jc w:val="both"/>
        <w:rPr>
          <w:rFonts w:ascii="Cambria" w:hAnsi="Cambria"/>
          <w:sz w:val="20"/>
          <w:szCs w:val="20"/>
          <w:lang w:val="es-ES"/>
        </w:rPr>
      </w:pPr>
    </w:p>
    <w:p w14:paraId="55D62570" w14:textId="77777777" w:rsidR="002158B3" w:rsidRPr="00152E74" w:rsidRDefault="002158B3" w:rsidP="00DD5AD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ind w:left="0" w:firstLine="0"/>
        <w:jc w:val="both"/>
        <w:rPr>
          <w:rFonts w:ascii="Cambria" w:hAnsi="Cambria"/>
          <w:sz w:val="20"/>
          <w:szCs w:val="20"/>
          <w:lang w:val="es-ES"/>
        </w:rPr>
      </w:pPr>
      <w:r w:rsidRPr="00152E74">
        <w:rPr>
          <w:rFonts w:ascii="Cambria" w:hAnsi="Cambria"/>
          <w:sz w:val="20"/>
          <w:szCs w:val="20"/>
          <w:lang w:val="es-ES"/>
        </w:rPr>
        <w:t>Reparar adecuadamente las violaciones de derechos humanos declaradas en el presente informe tanto en el aspecto material como moral, incluyendo una justa compensación, el establecimiento y difusión de la verdad histórica de los hechos</w:t>
      </w:r>
      <w:r w:rsidR="00DD5AD0">
        <w:rPr>
          <w:rFonts w:ascii="Cambria" w:hAnsi="Cambria"/>
          <w:sz w:val="20"/>
          <w:szCs w:val="20"/>
          <w:lang w:val="es-ES"/>
        </w:rPr>
        <w:t xml:space="preserve"> </w:t>
      </w:r>
      <w:r w:rsidRPr="00152E74">
        <w:rPr>
          <w:rFonts w:ascii="Cambria" w:hAnsi="Cambria"/>
          <w:sz w:val="20"/>
          <w:szCs w:val="20"/>
          <w:lang w:val="es-ES"/>
        </w:rPr>
        <w:t xml:space="preserve">y la implementación de un programa adecuado de atención a sus familiares, en consulta con estos. </w:t>
      </w:r>
    </w:p>
    <w:p w14:paraId="1367157A" w14:textId="77777777" w:rsidR="002158B3" w:rsidRPr="001B2E71" w:rsidRDefault="002158B3" w:rsidP="00DD5AD0">
      <w:pPr>
        <w:tabs>
          <w:tab w:val="left" w:pos="630"/>
        </w:tabs>
        <w:rPr>
          <w:sz w:val="20"/>
          <w:szCs w:val="20"/>
          <w:lang w:val="es-ES"/>
        </w:rPr>
      </w:pPr>
    </w:p>
    <w:p w14:paraId="74AFB059" w14:textId="77777777" w:rsidR="00C113BF" w:rsidRPr="00152E74" w:rsidRDefault="00C113BF" w:rsidP="00DD5AD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left" w:pos="630"/>
          <w:tab w:val="num" w:pos="720"/>
          <w:tab w:val="left" w:pos="1134"/>
        </w:tabs>
        <w:suppressAutoHyphens/>
        <w:ind w:left="0" w:firstLine="0"/>
        <w:jc w:val="both"/>
        <w:rPr>
          <w:rFonts w:ascii="Cambria" w:hAnsi="Cambria"/>
          <w:sz w:val="20"/>
          <w:szCs w:val="20"/>
          <w:lang w:val="es-ES"/>
        </w:rPr>
      </w:pPr>
      <w:r w:rsidRPr="00152E74">
        <w:rPr>
          <w:rFonts w:ascii="Cambria" w:hAnsi="Cambria"/>
          <w:sz w:val="20"/>
          <w:szCs w:val="20"/>
          <w:lang w:val="es-ES"/>
        </w:rPr>
        <w:t>Adoptar las medidas de no repetición necesarias para evitar que en el futuro se produzcan hechos similares. Las medidas de no repetición en el presente caso deberán incluir medidas legislativas, administrativas o de otra índole para</w:t>
      </w:r>
      <w:r w:rsidR="000F2B4D">
        <w:rPr>
          <w:rFonts w:ascii="Cambria" w:hAnsi="Cambria"/>
          <w:sz w:val="20"/>
          <w:szCs w:val="20"/>
          <w:lang w:val="es-ES"/>
        </w:rPr>
        <w:t xml:space="preserve"> erradicar las Juntas de Defensa del Campesinado como entidades que ejercen funciones públicas. Asimismo, para</w:t>
      </w:r>
      <w:r w:rsidRPr="00152E74">
        <w:rPr>
          <w:rFonts w:ascii="Cambria" w:hAnsi="Cambria"/>
          <w:sz w:val="20"/>
          <w:szCs w:val="20"/>
          <w:lang w:val="es-ES"/>
        </w:rPr>
        <w:t xml:space="preserve"> que las investigaciones sobre desaparición forzada de personas en</w:t>
      </w:r>
      <w:r w:rsidR="008713B4">
        <w:rPr>
          <w:rFonts w:ascii="Cambria" w:hAnsi="Cambria"/>
          <w:sz w:val="20"/>
          <w:szCs w:val="20"/>
          <w:lang w:val="es-ES"/>
        </w:rPr>
        <w:t xml:space="preserve"> Ecuador</w:t>
      </w:r>
      <w:r>
        <w:rPr>
          <w:rFonts w:ascii="Cambria" w:hAnsi="Cambria"/>
          <w:sz w:val="20"/>
          <w:szCs w:val="20"/>
          <w:lang w:val="es-ES"/>
        </w:rPr>
        <w:t>, incluyendo la investigación y procesos penales, así como los procesos de búsqueda de restos de personas desaparecidas,</w:t>
      </w:r>
      <w:r w:rsidRPr="00152E74">
        <w:rPr>
          <w:rFonts w:ascii="Cambria" w:hAnsi="Cambria"/>
          <w:sz w:val="20"/>
          <w:szCs w:val="20"/>
          <w:lang w:val="es-ES"/>
        </w:rPr>
        <w:t xml:space="preserve"> cumplan con los estándares descritos en el presente informe. </w:t>
      </w:r>
    </w:p>
    <w:p w14:paraId="130D4E08" w14:textId="77777777" w:rsidR="002158B3" w:rsidRPr="00152E74" w:rsidRDefault="002158B3" w:rsidP="002158B3">
      <w:pPr>
        <w:pBdr>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highlight w:val="yellow"/>
          <w:lang w:val="es-ES"/>
        </w:rPr>
      </w:pPr>
    </w:p>
    <w:p w14:paraId="00773A97" w14:textId="77777777" w:rsidR="002158B3" w:rsidRDefault="002158B3" w:rsidP="009F1C3B">
      <w:pPr>
        <w:pStyle w:val="p1"/>
        <w:ind w:left="720"/>
        <w:jc w:val="both"/>
        <w:rPr>
          <w:rFonts w:asciiTheme="majorHAnsi" w:hAnsiTheme="majorHAnsi"/>
          <w:sz w:val="18"/>
          <w:szCs w:val="18"/>
          <w:lang w:val="es-ES"/>
        </w:rPr>
      </w:pPr>
    </w:p>
    <w:bookmarkEnd w:id="10"/>
    <w:p w14:paraId="790F5060" w14:textId="77777777" w:rsidR="002D3E0D" w:rsidRPr="00A6003A" w:rsidRDefault="002D3E0D" w:rsidP="00CB6CA4">
      <w:pPr>
        <w:rPr>
          <w:rFonts w:asciiTheme="majorHAnsi" w:hAnsiTheme="majorHAnsi"/>
          <w:sz w:val="18"/>
          <w:szCs w:val="18"/>
          <w:lang w:val="es-CO"/>
        </w:rPr>
      </w:pPr>
    </w:p>
    <w:sectPr w:rsidR="002D3E0D" w:rsidRPr="00A6003A" w:rsidSect="007A4895">
      <w:headerReference w:type="first" r:id="rId11"/>
      <w:footerReference w:type="first" r:id="rId12"/>
      <w:type w:val="oddPage"/>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C45B5" w14:textId="77777777" w:rsidR="008522EB" w:rsidRDefault="008522EB">
      <w:r>
        <w:separator/>
      </w:r>
    </w:p>
  </w:endnote>
  <w:endnote w:type="continuationSeparator" w:id="0">
    <w:p w14:paraId="0E600F37" w14:textId="77777777" w:rsidR="008522EB" w:rsidRDefault="0085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394357"/>
      <w:docPartObj>
        <w:docPartGallery w:val="Page Numbers (Bottom of Page)"/>
        <w:docPartUnique/>
      </w:docPartObj>
    </w:sdtPr>
    <w:sdtContent>
      <w:p w14:paraId="7EA12552" w14:textId="771EBBE5" w:rsidR="00B1687F" w:rsidRDefault="00B1687F">
        <w:pPr>
          <w:pStyle w:val="Piedepgina"/>
          <w:jc w:val="right"/>
        </w:pPr>
        <w:r>
          <w:fldChar w:fldCharType="begin"/>
        </w:r>
        <w:r>
          <w:instrText>PAGE   \* MERGEFORMAT</w:instrText>
        </w:r>
        <w:r>
          <w:fldChar w:fldCharType="separate"/>
        </w:r>
        <w:r>
          <w:rPr>
            <w:lang w:val="es-ES"/>
          </w:rPr>
          <w:t>2</w:t>
        </w:r>
        <w:r>
          <w:fldChar w:fldCharType="end"/>
        </w:r>
      </w:p>
    </w:sdtContent>
  </w:sdt>
  <w:p w14:paraId="2C882932" w14:textId="77777777" w:rsidR="00B1687F" w:rsidRDefault="00B168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CFDFD" w14:textId="77777777" w:rsidR="008522EB" w:rsidRPr="000F35ED" w:rsidRDefault="008522EB">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6B0874D8" w14:textId="77777777" w:rsidR="008522EB" w:rsidRPr="000F35ED" w:rsidRDefault="008522EB" w:rsidP="000F35ED">
      <w:pPr>
        <w:rPr>
          <w:rFonts w:asciiTheme="majorHAnsi" w:hAnsiTheme="majorHAnsi"/>
          <w:sz w:val="16"/>
          <w:szCs w:val="16"/>
        </w:rPr>
      </w:pPr>
      <w:r w:rsidRPr="000F35ED">
        <w:rPr>
          <w:rFonts w:asciiTheme="majorHAnsi" w:hAnsiTheme="majorHAnsi"/>
          <w:sz w:val="16"/>
          <w:szCs w:val="16"/>
        </w:rPr>
        <w:separator/>
      </w:r>
    </w:p>
    <w:p w14:paraId="3E7762D4" w14:textId="77777777" w:rsidR="008522EB" w:rsidRPr="000F35ED" w:rsidRDefault="008522EB"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64971621" w14:textId="77777777" w:rsidR="008522EB" w:rsidRPr="000F35ED" w:rsidRDefault="008522EB"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750DB3AD"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CIDH, Informe No. 02/10, Petición P1011-03, Admisibilidad Fredy Marcelo Núñez Naranjo y otros, Ecuador, 15 de marzo de 2010, </w:t>
      </w:r>
      <w:proofErr w:type="spellStart"/>
      <w:r w:rsidRPr="00D139CD">
        <w:rPr>
          <w:rFonts w:asciiTheme="majorHAnsi" w:hAnsiTheme="majorHAnsi"/>
          <w:color w:val="000000" w:themeColor="text1"/>
          <w:sz w:val="16"/>
          <w:szCs w:val="16"/>
          <w:lang w:val="es-ES"/>
        </w:rPr>
        <w:t>párrs</w:t>
      </w:r>
      <w:proofErr w:type="spellEnd"/>
      <w:r w:rsidRPr="00D139CD">
        <w:rPr>
          <w:rFonts w:asciiTheme="majorHAnsi" w:hAnsiTheme="majorHAnsi"/>
          <w:color w:val="000000" w:themeColor="text1"/>
          <w:sz w:val="16"/>
          <w:szCs w:val="16"/>
          <w:lang w:val="es-ES"/>
        </w:rPr>
        <w:t>. 6-42. En dicho informe la CIDH declaró la petición admisible en cuanto a la posible violación de los derechos consagrados en los artículos 1(1), 3, 4, 5, 7, 8(1) y 25 de la Convención Americana</w:t>
      </w:r>
      <w:r>
        <w:rPr>
          <w:rFonts w:asciiTheme="majorHAnsi" w:hAnsiTheme="majorHAnsi"/>
          <w:color w:val="000000" w:themeColor="text1"/>
          <w:sz w:val="16"/>
          <w:szCs w:val="16"/>
          <w:lang w:val="es-ES"/>
        </w:rPr>
        <w:t xml:space="preserve"> y respecto del </w:t>
      </w:r>
      <w:r w:rsidRPr="00D139CD">
        <w:rPr>
          <w:rFonts w:asciiTheme="majorHAnsi" w:hAnsiTheme="majorHAnsi"/>
          <w:color w:val="000000" w:themeColor="text1"/>
          <w:sz w:val="16"/>
          <w:szCs w:val="16"/>
          <w:lang w:val="es-ES"/>
        </w:rPr>
        <w:t xml:space="preserve">artículo 1 de la Convención Interamericana sobre Desaparición Forzada de Personas. </w:t>
      </w:r>
    </w:p>
  </w:footnote>
  <w:footnote w:id="3">
    <w:p w14:paraId="29B2DE53" w14:textId="77777777" w:rsidR="00AF7404" w:rsidRPr="00D139CD" w:rsidRDefault="00AF7404" w:rsidP="00C07DEB">
      <w:pPr>
        <w:pStyle w:val="Textonotapie"/>
        <w:spacing w:after="120"/>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w:t>
      </w:r>
      <w:hyperlink r:id="rId1" w:history="1">
        <w:r w:rsidRPr="00D139CD">
          <w:rPr>
            <w:rStyle w:val="Hipervnculo"/>
            <w:rFonts w:asciiTheme="majorHAnsi" w:hAnsiTheme="majorHAnsi"/>
            <w:color w:val="000000" w:themeColor="text1"/>
            <w:sz w:val="16"/>
            <w:szCs w:val="16"/>
            <w:u w:val="none"/>
            <w:lang w:val="es-ES"/>
          </w:rPr>
          <w:t>Corte IDH.</w:t>
        </w:r>
        <w:r w:rsidRPr="00D139CD">
          <w:rPr>
            <w:rStyle w:val="Hipervnculo"/>
            <w:rFonts w:asciiTheme="majorHAnsi" w:hAnsiTheme="majorHAnsi"/>
            <w:iCs/>
            <w:color w:val="000000" w:themeColor="text1"/>
            <w:sz w:val="16"/>
            <w:szCs w:val="16"/>
            <w:u w:val="none"/>
            <w:lang w:val="es-ES"/>
          </w:rPr>
          <w:t xml:space="preserve"> Caso González Medina y familiares Vs. República Dominicana. </w:t>
        </w:r>
        <w:r w:rsidRPr="00D139CD">
          <w:rPr>
            <w:rStyle w:val="Hipervnculo"/>
            <w:rFonts w:asciiTheme="majorHAnsi" w:hAnsiTheme="majorHAnsi"/>
            <w:color w:val="000000" w:themeColor="text1"/>
            <w:sz w:val="16"/>
            <w:szCs w:val="16"/>
            <w:u w:val="none"/>
            <w:lang w:val="es-ES"/>
          </w:rPr>
          <w:t>Excepciones Preliminares, Fondo, Reparaciones y Costas. Sentencia de 27 de febrero de 2012 Serie C No. 240</w:t>
        </w:r>
      </w:hyperlink>
      <w:r w:rsidRPr="00D139CD">
        <w:rPr>
          <w:rFonts w:asciiTheme="majorHAnsi" w:hAnsiTheme="majorHAnsi"/>
          <w:color w:val="000000" w:themeColor="text1"/>
          <w:sz w:val="16"/>
          <w:szCs w:val="16"/>
          <w:lang w:val="es-ES"/>
        </w:rPr>
        <w:t>, párr. 134.</w:t>
      </w:r>
    </w:p>
  </w:footnote>
  <w:footnote w:id="4">
    <w:p w14:paraId="4E07CDF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Comité de Derechos Humanos, Examen de los informes presentados por los </w:t>
      </w:r>
      <w:proofErr w:type="gramStart"/>
      <w:r w:rsidRPr="00D139CD">
        <w:rPr>
          <w:rFonts w:asciiTheme="majorHAnsi" w:hAnsiTheme="majorHAnsi"/>
          <w:color w:val="000000" w:themeColor="text1"/>
          <w:sz w:val="16"/>
          <w:szCs w:val="16"/>
          <w:lang w:val="es-ES"/>
        </w:rPr>
        <w:t>Estados partes</w:t>
      </w:r>
      <w:proofErr w:type="gramEnd"/>
      <w:r w:rsidRPr="00D139CD">
        <w:rPr>
          <w:rFonts w:asciiTheme="majorHAnsi" w:hAnsiTheme="majorHAnsi"/>
          <w:color w:val="000000" w:themeColor="text1"/>
          <w:sz w:val="16"/>
          <w:szCs w:val="16"/>
          <w:lang w:val="es-ES"/>
        </w:rPr>
        <w:t xml:space="preserve"> en virtud del artículo 40d el Pacto con arreglo al procedimiento facultativo de presentación de informes, Ecuador, 6 de agosto de 2015, CCPR/C/ECU/6, párr. 164.</w:t>
      </w:r>
    </w:p>
  </w:footnote>
  <w:footnote w:id="5">
    <w:p w14:paraId="1C75AFA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Informe del Relator Especial sobre las ejecuciones extrajudiciales, sumarias o arbitrarias, Philip </w:t>
      </w:r>
      <w:proofErr w:type="spellStart"/>
      <w:r w:rsidRPr="00D139CD">
        <w:rPr>
          <w:rFonts w:asciiTheme="majorHAnsi" w:hAnsiTheme="majorHAnsi"/>
          <w:color w:val="000000" w:themeColor="text1"/>
          <w:sz w:val="16"/>
          <w:szCs w:val="16"/>
          <w:lang w:val="es-ES"/>
        </w:rPr>
        <w:t>Alston</w:t>
      </w:r>
      <w:proofErr w:type="spellEnd"/>
      <w:r w:rsidRPr="00D139CD">
        <w:rPr>
          <w:rFonts w:asciiTheme="majorHAnsi" w:hAnsiTheme="majorHAnsi"/>
          <w:color w:val="000000" w:themeColor="text1"/>
          <w:sz w:val="16"/>
          <w:szCs w:val="16"/>
          <w:lang w:val="es-ES"/>
        </w:rPr>
        <w:t>, A/HRC/17/28/Add.2, 9 de mayo de 2011.</w:t>
      </w:r>
    </w:p>
  </w:footnote>
  <w:footnote w:id="6">
    <w:p w14:paraId="69E0B6F1"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Consejo de Derechos Humanos, Informe del Grupo de Trabajo sobre la utilización de mercenarios como medio de violar los derechos humanos y obstaculizar el ejercicio del derecho de los pueblos a la libre determinación, 7 de febrero de 2007, A/HRC/4/42/Add.2, Párr.25. </w:t>
      </w:r>
    </w:p>
  </w:footnote>
  <w:footnote w:id="7">
    <w:p w14:paraId="6CD71F81"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Consejo de Derechos Humanos, Informe del Grupo de Trabajo sobre la utilización de mercenarios como medio de violar los derechos humanos y obstaculizar el ejercicio del derecho de los pueblos a la libre determinación, 7 de febrero de 2007, A/HRC/4/42/Add.2, Párr.53 e).</w:t>
      </w:r>
    </w:p>
  </w:footnote>
  <w:footnote w:id="8">
    <w:p w14:paraId="13E07D8B"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Comité contra la Tortura, Examen de los informes presentados por los Estados parte en virtud del artículo 19 de la Convención, Observaciones finales del Comité contra la Tortura, 7 de diciembre de 2010, párr.19, CAT/C/ECU/CO/4-6.</w:t>
      </w:r>
    </w:p>
  </w:footnote>
  <w:footnote w:id="9">
    <w:p w14:paraId="263D03B5"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Informe del Relator Especial sobre las ejecuciones extrajudiciales, sumarias o arbitrarias, Philip </w:t>
      </w:r>
      <w:proofErr w:type="spellStart"/>
      <w:r w:rsidRPr="00D139CD">
        <w:rPr>
          <w:rFonts w:asciiTheme="majorHAnsi" w:hAnsiTheme="majorHAnsi"/>
          <w:color w:val="000000" w:themeColor="text1"/>
          <w:sz w:val="16"/>
          <w:szCs w:val="16"/>
          <w:lang w:val="es-ES"/>
        </w:rPr>
        <w:t>Alston</w:t>
      </w:r>
      <w:proofErr w:type="spellEnd"/>
      <w:r w:rsidRPr="00D139CD">
        <w:rPr>
          <w:rFonts w:asciiTheme="majorHAnsi" w:hAnsiTheme="majorHAnsi"/>
          <w:color w:val="000000" w:themeColor="text1"/>
          <w:sz w:val="16"/>
          <w:szCs w:val="16"/>
          <w:lang w:val="es-ES"/>
        </w:rPr>
        <w:t xml:space="preserve">, A/HRC/17/28/Add.2, 9 de mayo de 2011, </w:t>
      </w:r>
      <w:proofErr w:type="spellStart"/>
      <w:r w:rsidRPr="00D139CD">
        <w:rPr>
          <w:rFonts w:asciiTheme="majorHAnsi" w:hAnsiTheme="majorHAnsi"/>
          <w:color w:val="000000" w:themeColor="text1"/>
          <w:sz w:val="16"/>
          <w:szCs w:val="16"/>
          <w:lang w:val="es-ES"/>
        </w:rPr>
        <w:t>Párrs</w:t>
      </w:r>
      <w:proofErr w:type="spellEnd"/>
      <w:r w:rsidRPr="00D139CD">
        <w:rPr>
          <w:rFonts w:asciiTheme="majorHAnsi" w:hAnsiTheme="majorHAnsi"/>
          <w:color w:val="000000" w:themeColor="text1"/>
          <w:sz w:val="16"/>
          <w:szCs w:val="16"/>
          <w:lang w:val="es-ES"/>
        </w:rPr>
        <w:t>. 44, 46, 50-51</w:t>
      </w:r>
      <w:r>
        <w:rPr>
          <w:rFonts w:asciiTheme="majorHAnsi" w:hAnsiTheme="majorHAnsi"/>
          <w:color w:val="000000" w:themeColor="text1"/>
          <w:sz w:val="16"/>
          <w:szCs w:val="16"/>
          <w:lang w:val="es-ES"/>
        </w:rPr>
        <w:t>.</w:t>
      </w:r>
    </w:p>
  </w:footnote>
  <w:footnote w:id="10">
    <w:p w14:paraId="0DC3F1CD"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Comité de Derechos Humanos, Examen de los informes presentados por los </w:t>
      </w:r>
      <w:proofErr w:type="gramStart"/>
      <w:r w:rsidRPr="00D139CD">
        <w:rPr>
          <w:rFonts w:asciiTheme="majorHAnsi" w:hAnsiTheme="majorHAnsi"/>
          <w:color w:val="000000" w:themeColor="text1"/>
          <w:sz w:val="16"/>
          <w:szCs w:val="16"/>
          <w:lang w:val="es-ES"/>
        </w:rPr>
        <w:t>Estados partes</w:t>
      </w:r>
      <w:proofErr w:type="gramEnd"/>
      <w:r w:rsidRPr="00D139CD">
        <w:rPr>
          <w:rFonts w:asciiTheme="majorHAnsi" w:hAnsiTheme="majorHAnsi"/>
          <w:color w:val="000000" w:themeColor="text1"/>
          <w:sz w:val="16"/>
          <w:szCs w:val="16"/>
          <w:lang w:val="es-ES"/>
        </w:rPr>
        <w:t xml:space="preserve"> en virtud del artículo 40d el Pacto con arreglo al procedimiento facultativo de presentación de informes, Ecuador, 6 de agosto de 2015, CCPR/C/ECU/6, párr. 166.</w:t>
      </w:r>
    </w:p>
  </w:footnote>
  <w:footnote w:id="11">
    <w:p w14:paraId="311FFE0B"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Anexo </w:t>
      </w:r>
      <w:r>
        <w:rPr>
          <w:rFonts w:asciiTheme="majorHAnsi" w:hAnsiTheme="majorHAnsi"/>
          <w:color w:val="000000" w:themeColor="text1"/>
          <w:sz w:val="16"/>
          <w:szCs w:val="16"/>
          <w:lang w:val="es-ES"/>
        </w:rPr>
        <w:t>1.</w:t>
      </w:r>
      <w:r w:rsidRPr="00D139CD">
        <w:rPr>
          <w:rFonts w:asciiTheme="majorHAnsi" w:hAnsiTheme="majorHAnsi"/>
          <w:color w:val="000000" w:themeColor="text1"/>
          <w:sz w:val="16"/>
          <w:szCs w:val="16"/>
          <w:lang w:val="es-ES"/>
        </w:rPr>
        <w:t xml:space="preserve"> Acusación particular de Sixto Núñez Naranjo a la jueza cuarta de lo penal, 23 de mayo de 2002. Anexo 3 al escrito de observaciones del peticionario del</w:t>
      </w:r>
      <w:r w:rsidRPr="00D139CD">
        <w:rPr>
          <w:rFonts w:asciiTheme="majorHAnsi" w:hAnsiTheme="majorHAnsi"/>
          <w:color w:val="000000" w:themeColor="text1"/>
          <w:sz w:val="16"/>
          <w:szCs w:val="16"/>
          <w:shd w:val="clear" w:color="auto" w:fill="FFFFFF"/>
          <w:lang w:val="es-ES"/>
        </w:rPr>
        <w:t xml:space="preserve"> 1 de diciembre de 2003. </w:t>
      </w:r>
    </w:p>
  </w:footnote>
  <w:footnote w:id="12">
    <w:p w14:paraId="3361CB28"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Anexo 2.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13">
    <w:p w14:paraId="49BB8B3B"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3</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Informe policial no. 1123-PJT-CP9-2001, 16 de agosto de 2001, que consta en el auto de sobreseimiento provisional de la Jueza Cuarta de lo Penal de Tungurahua, 11 de diciembre de2002. Anexo al escrito de observaciones del Estado de 31 de junio de 2005.</w:t>
      </w:r>
    </w:p>
  </w:footnote>
  <w:footnote w:id="14">
    <w:p w14:paraId="3AD93E23"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15">
    <w:p w14:paraId="3B31872D" w14:textId="77777777" w:rsidR="00AF7404" w:rsidRPr="00D139CD" w:rsidRDefault="00AF7404" w:rsidP="00D139CD">
      <w:pPr>
        <w:pStyle w:val="p1"/>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4.</w:t>
      </w:r>
      <w:r w:rsidRPr="00D139CD">
        <w:rPr>
          <w:rFonts w:asciiTheme="majorHAnsi" w:hAnsiTheme="majorHAnsi"/>
          <w:color w:val="000000" w:themeColor="text1"/>
          <w:sz w:val="16"/>
          <w:szCs w:val="16"/>
          <w:lang w:val="es-ES"/>
        </w:rPr>
        <w:t xml:space="preserve"> Informe efectuado por la Policía Técnica Judicial de Tungurahua (No. 1123-PJT-CP9-2001), que consta en el dictamen fiscal acusatorio (no. 53-2002), emitido por el Agente Fiscal del Distrito de Tungurahua, 8 de mayo de 2002. Anexo al escrito de observaciones del Estado de 31 de junio de 2005.</w:t>
      </w:r>
    </w:p>
  </w:footnote>
  <w:footnote w:id="16">
    <w:p w14:paraId="761BA79B" w14:textId="77777777" w:rsidR="00AF7404" w:rsidRPr="00D139CD" w:rsidRDefault="00AF7404" w:rsidP="00D139CD">
      <w:pPr>
        <w:pStyle w:val="p1"/>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5</w:t>
      </w:r>
      <w:r w:rsidRPr="00D139CD">
        <w:rPr>
          <w:rFonts w:asciiTheme="majorHAnsi" w:hAnsiTheme="majorHAnsi"/>
          <w:color w:val="000000" w:themeColor="text1"/>
          <w:sz w:val="16"/>
          <w:szCs w:val="16"/>
          <w:lang w:val="es-ES"/>
        </w:rPr>
        <w:t>. Informe investigativo ampliatorio de la policía técnica no. 1376-CP9-200</w:t>
      </w:r>
      <w:r>
        <w:rPr>
          <w:rFonts w:asciiTheme="majorHAnsi" w:hAnsiTheme="majorHAnsi"/>
          <w:color w:val="000000" w:themeColor="text1"/>
          <w:sz w:val="16"/>
          <w:szCs w:val="16"/>
          <w:lang w:val="es-ES"/>
        </w:rPr>
        <w:t>1</w:t>
      </w:r>
      <w:r w:rsidRPr="00D139CD">
        <w:rPr>
          <w:rFonts w:asciiTheme="majorHAnsi" w:hAnsiTheme="majorHAnsi"/>
          <w:color w:val="000000" w:themeColor="text1"/>
          <w:sz w:val="16"/>
          <w:szCs w:val="16"/>
          <w:lang w:val="es-ES"/>
        </w:rPr>
        <w:t>, que consta en el dictamen fiscal acusatorio (no. 53-2002), emitido por el Agente Fiscal del Distrito de Tungurahua, 8 de mayo de 2002. Anexo al escrito de observaciones del Estado de 31 de junio de 2005.</w:t>
      </w:r>
    </w:p>
  </w:footnote>
  <w:footnote w:id="17">
    <w:p w14:paraId="1DF9D27B"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3.</w:t>
      </w:r>
      <w:r w:rsidRPr="00D139CD">
        <w:rPr>
          <w:rFonts w:asciiTheme="majorHAnsi" w:hAnsiTheme="majorHAnsi"/>
          <w:color w:val="000000" w:themeColor="text1"/>
          <w:sz w:val="16"/>
          <w:szCs w:val="16"/>
          <w:lang w:val="es-ES"/>
        </w:rPr>
        <w:t xml:space="preserve"> Informe 1123-PJT-CP9-2001, 16 de agosto de 2001, que consta en el oficio 2070-PJT-CP9-2001 emitido por 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Distrital de Tungurahua, 17 de agosto de 2001. Anexo 3 al escrito de obs</w:t>
      </w:r>
      <w:r>
        <w:rPr>
          <w:rFonts w:asciiTheme="majorHAnsi" w:hAnsiTheme="majorHAnsi"/>
          <w:color w:val="000000" w:themeColor="text1"/>
          <w:sz w:val="16"/>
          <w:szCs w:val="16"/>
          <w:lang w:val="es-ES"/>
        </w:rPr>
        <w:t>ervaciones del peticionario de 1 de diciembre de 2001.</w:t>
      </w:r>
      <w:r w:rsidRPr="00D139CD">
        <w:rPr>
          <w:rFonts w:asciiTheme="majorHAnsi" w:hAnsiTheme="majorHAnsi"/>
          <w:color w:val="000000" w:themeColor="text1"/>
          <w:sz w:val="16"/>
          <w:szCs w:val="16"/>
          <w:lang w:val="es-ES"/>
        </w:rPr>
        <w:t xml:space="preserve"> </w:t>
      </w:r>
    </w:p>
  </w:footnote>
  <w:footnote w:id="18">
    <w:p w14:paraId="140C8530"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6</w:t>
      </w:r>
      <w:r w:rsidRPr="00D139CD">
        <w:rPr>
          <w:rFonts w:asciiTheme="majorHAnsi" w:hAnsiTheme="majorHAnsi"/>
          <w:color w:val="000000" w:themeColor="text1"/>
          <w:sz w:val="16"/>
          <w:szCs w:val="16"/>
          <w:lang w:val="es-ES"/>
        </w:rPr>
        <w:t>. Versión vertida por parte de Sixto Núñez el 29 de abril de 2002, dentro del Inicio de la indagación previa por parte del agente Fiscal el 21 de noviembre de 2001. Anexo 3 al escrito de observaciones del peticiona</w:t>
      </w:r>
      <w:r>
        <w:rPr>
          <w:rFonts w:asciiTheme="majorHAnsi" w:hAnsiTheme="majorHAnsi"/>
          <w:color w:val="000000" w:themeColor="text1"/>
          <w:sz w:val="16"/>
          <w:szCs w:val="16"/>
          <w:lang w:val="es-ES"/>
        </w:rPr>
        <w:t xml:space="preserve">rio de 01 de diciembre de 2003. </w:t>
      </w:r>
    </w:p>
  </w:footnote>
  <w:footnote w:id="19">
    <w:p w14:paraId="3F5E475F" w14:textId="77777777" w:rsidR="00AF7404" w:rsidRPr="000B3BBC" w:rsidRDefault="00AF7404">
      <w:pPr>
        <w:pStyle w:val="Textonotapie"/>
        <w:rPr>
          <w:rFonts w:asciiTheme="majorHAnsi" w:hAnsiTheme="majorHAnsi"/>
          <w:sz w:val="16"/>
          <w:szCs w:val="16"/>
          <w:lang w:val="es-VE"/>
        </w:rPr>
      </w:pPr>
      <w:r w:rsidRPr="000B3BBC">
        <w:rPr>
          <w:rStyle w:val="Refdenotaalpie"/>
          <w:rFonts w:asciiTheme="majorHAnsi" w:hAnsiTheme="majorHAnsi"/>
          <w:sz w:val="16"/>
          <w:szCs w:val="16"/>
        </w:rPr>
        <w:footnoteRef/>
      </w:r>
      <w:r w:rsidRPr="000B3BBC">
        <w:rPr>
          <w:rFonts w:asciiTheme="majorHAnsi" w:hAnsiTheme="majorHAnsi"/>
          <w:sz w:val="16"/>
          <w:szCs w:val="16"/>
          <w:lang w:val="es-ES"/>
        </w:rPr>
        <w:t xml:space="preserve"> </w:t>
      </w:r>
      <w:r>
        <w:rPr>
          <w:rFonts w:asciiTheme="majorHAnsi" w:hAnsiTheme="majorHAnsi"/>
          <w:sz w:val="16"/>
          <w:szCs w:val="16"/>
          <w:lang w:val="es-VE"/>
        </w:rPr>
        <w:t>Anexo 7</w:t>
      </w:r>
      <w:r w:rsidRPr="000B3BBC">
        <w:rPr>
          <w:rFonts w:asciiTheme="majorHAnsi" w:hAnsiTheme="majorHAnsi"/>
          <w:sz w:val="16"/>
          <w:szCs w:val="16"/>
          <w:lang w:val="es-VE"/>
        </w:rPr>
        <w:t>. Declaración testimonial de Marcelo Velasco. Anexo 3 de las observaciones del petici</w:t>
      </w:r>
      <w:r>
        <w:rPr>
          <w:rFonts w:asciiTheme="majorHAnsi" w:hAnsiTheme="majorHAnsi"/>
          <w:sz w:val="16"/>
          <w:szCs w:val="16"/>
          <w:lang w:val="es-VE"/>
        </w:rPr>
        <w:t>onario de 1 de diciembre de 2003</w:t>
      </w:r>
      <w:r w:rsidRPr="000B3BBC">
        <w:rPr>
          <w:rFonts w:asciiTheme="majorHAnsi" w:hAnsiTheme="majorHAnsi"/>
          <w:sz w:val="16"/>
          <w:szCs w:val="16"/>
          <w:lang w:val="es-VE"/>
        </w:rPr>
        <w:t xml:space="preserve">. </w:t>
      </w:r>
    </w:p>
  </w:footnote>
  <w:footnote w:id="20">
    <w:p w14:paraId="1EE4E58D"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8</w:t>
      </w:r>
      <w:r w:rsidRPr="00D139CD">
        <w:rPr>
          <w:rFonts w:asciiTheme="majorHAnsi" w:hAnsiTheme="majorHAnsi"/>
          <w:color w:val="000000" w:themeColor="text1"/>
          <w:sz w:val="16"/>
          <w:szCs w:val="16"/>
          <w:lang w:val="es-ES"/>
        </w:rPr>
        <w:t xml:space="preserve">. Oficio No. 2780–PJT-CP9-2001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19 de octubre de 2001. Anexo al escrito de observaciones del peticionario de 1 diciembre de 2003.</w:t>
      </w:r>
    </w:p>
  </w:footnote>
  <w:footnote w:id="21">
    <w:p w14:paraId="4E470420" w14:textId="77777777" w:rsidR="00AF7404" w:rsidRPr="00D139CD" w:rsidRDefault="00AF7404" w:rsidP="00752826">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9</w:t>
      </w:r>
      <w:r w:rsidRPr="00D139CD">
        <w:rPr>
          <w:rFonts w:asciiTheme="majorHAnsi" w:hAnsiTheme="majorHAnsi"/>
          <w:color w:val="000000" w:themeColor="text1"/>
          <w:sz w:val="16"/>
          <w:szCs w:val="16"/>
          <w:lang w:val="es-ES"/>
        </w:rPr>
        <w:t xml:space="preserve">. Oficio de la Central de Juntas del Campesinado No. 88CJDCQ-2002 al </w:t>
      </w:r>
      <w:proofErr w:type="gramStart"/>
      <w:r w:rsidRPr="00D139CD">
        <w:rPr>
          <w:rFonts w:asciiTheme="majorHAnsi" w:hAnsiTheme="majorHAnsi"/>
          <w:color w:val="000000" w:themeColor="text1"/>
          <w:sz w:val="16"/>
          <w:szCs w:val="16"/>
          <w:lang w:val="es-ES"/>
        </w:rPr>
        <w:t>Ministro</w:t>
      </w:r>
      <w:proofErr w:type="gramEnd"/>
      <w:r w:rsidRPr="00D139CD">
        <w:rPr>
          <w:rFonts w:asciiTheme="majorHAnsi" w:hAnsiTheme="majorHAnsi"/>
          <w:color w:val="000000" w:themeColor="text1"/>
          <w:sz w:val="16"/>
          <w:szCs w:val="16"/>
          <w:lang w:val="es-ES"/>
        </w:rPr>
        <w:t xml:space="preserve"> fiscal de Tungurahua, 30 de junio de 2002. Anexo al escrito de obs</w:t>
      </w:r>
      <w:r>
        <w:rPr>
          <w:rFonts w:asciiTheme="majorHAnsi" w:hAnsiTheme="majorHAnsi"/>
          <w:color w:val="000000" w:themeColor="text1"/>
          <w:sz w:val="16"/>
          <w:szCs w:val="16"/>
          <w:lang w:val="es-ES"/>
        </w:rPr>
        <w:t>ervaciones del peticionario de 1 de diciembre de 2003</w:t>
      </w:r>
      <w:r w:rsidRPr="00D139CD">
        <w:rPr>
          <w:rFonts w:asciiTheme="majorHAnsi" w:hAnsiTheme="majorHAnsi"/>
          <w:color w:val="000000" w:themeColor="text1"/>
          <w:sz w:val="16"/>
          <w:szCs w:val="16"/>
          <w:lang w:val="es-ES"/>
        </w:rPr>
        <w:t>.</w:t>
      </w:r>
    </w:p>
  </w:footnote>
  <w:footnote w:id="22">
    <w:p w14:paraId="1576186B"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10</w:t>
      </w:r>
      <w:r w:rsidRPr="00D139CD">
        <w:rPr>
          <w:rFonts w:asciiTheme="majorHAnsi" w:hAnsiTheme="majorHAnsi"/>
          <w:color w:val="000000" w:themeColor="text1"/>
          <w:sz w:val="16"/>
          <w:szCs w:val="16"/>
          <w:lang w:val="es-ES"/>
        </w:rPr>
        <w:t>. Denuncia presentada por Sixto Núñez, que consta en el auto de sobreseimiento provisional de la Jueza Cuarta de lo Penal de Tungurahua, 11 de diciembre de 2002. Anexo al escrito de observaciones del Estado de 31 de junio de 2005.</w:t>
      </w:r>
    </w:p>
  </w:footnote>
  <w:footnote w:id="23">
    <w:p w14:paraId="6E937DB6"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6</w:t>
      </w:r>
      <w:r w:rsidRPr="00D139CD">
        <w:rPr>
          <w:rFonts w:asciiTheme="majorHAnsi" w:hAnsiTheme="majorHAnsi"/>
          <w:color w:val="000000" w:themeColor="text1"/>
          <w:sz w:val="16"/>
          <w:szCs w:val="16"/>
          <w:lang w:val="es-ES"/>
        </w:rPr>
        <w:t>. Versión vertida por parte de Sixto Núñez el 29 de abril de 2002, dentro del Inicio de la indagación previa por parte del agente Fiscal el 21 de noviembre de 2001. Anexo 3 al escrito de obs</w:t>
      </w:r>
      <w:r>
        <w:rPr>
          <w:rFonts w:asciiTheme="majorHAnsi" w:hAnsiTheme="majorHAnsi"/>
          <w:color w:val="000000" w:themeColor="text1"/>
          <w:sz w:val="16"/>
          <w:szCs w:val="16"/>
          <w:lang w:val="es-ES"/>
        </w:rPr>
        <w:t>ervaciones del peticionario de 1 de diciembre de 2003</w:t>
      </w:r>
      <w:r w:rsidRPr="00D139CD">
        <w:rPr>
          <w:rFonts w:asciiTheme="majorHAnsi" w:hAnsiTheme="majorHAnsi"/>
          <w:color w:val="000000" w:themeColor="text1"/>
          <w:sz w:val="16"/>
          <w:szCs w:val="16"/>
          <w:lang w:val="es-ES"/>
        </w:rPr>
        <w:t xml:space="preserve">. </w:t>
      </w:r>
    </w:p>
  </w:footnote>
  <w:footnote w:id="24">
    <w:p w14:paraId="2B4A9BD7"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4.</w:t>
      </w:r>
      <w:r w:rsidRPr="00D139CD">
        <w:rPr>
          <w:rFonts w:asciiTheme="majorHAnsi" w:hAnsiTheme="majorHAnsi"/>
          <w:color w:val="000000" w:themeColor="text1"/>
          <w:sz w:val="16"/>
          <w:szCs w:val="16"/>
          <w:lang w:val="es-ES"/>
        </w:rPr>
        <w:t xml:space="preserve"> Informe 1123-PJT-CP9-2001, 16 de agosto de 2001, que consta en el oficio 2070-PJT-CP9-2001 emitido por 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Distrital de Tungurahua, 17 de agosto de 2001. Anexo 3 al escrito de obs</w:t>
      </w:r>
      <w:r>
        <w:rPr>
          <w:rFonts w:asciiTheme="majorHAnsi" w:hAnsiTheme="majorHAnsi"/>
          <w:color w:val="000000" w:themeColor="text1"/>
          <w:sz w:val="16"/>
          <w:szCs w:val="16"/>
          <w:lang w:val="es-ES"/>
        </w:rPr>
        <w:t>ervaciones del peticionario de 1 de diciembre de 2003</w:t>
      </w:r>
      <w:r w:rsidRPr="00D139CD">
        <w:rPr>
          <w:rFonts w:asciiTheme="majorHAnsi" w:hAnsiTheme="majorHAnsi"/>
          <w:color w:val="000000" w:themeColor="text1"/>
          <w:sz w:val="16"/>
          <w:szCs w:val="16"/>
          <w:lang w:val="es-ES"/>
        </w:rPr>
        <w:t>.</w:t>
      </w:r>
    </w:p>
  </w:footnote>
  <w:footnote w:id="25">
    <w:p w14:paraId="6849502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26">
    <w:p w14:paraId="5F95128E"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27">
    <w:p w14:paraId="74F5AD5F"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60704A">
        <w:rPr>
          <w:rFonts w:asciiTheme="majorHAnsi" w:hAnsiTheme="majorHAnsi"/>
          <w:color w:val="000000" w:themeColor="text1"/>
          <w:sz w:val="16"/>
          <w:szCs w:val="16"/>
          <w:lang w:val="pt-BR"/>
        </w:rPr>
        <w:t xml:space="preserve"> </w:t>
      </w:r>
      <w:r>
        <w:rPr>
          <w:rFonts w:asciiTheme="majorHAnsi" w:hAnsiTheme="majorHAnsi"/>
          <w:color w:val="000000" w:themeColor="text1"/>
          <w:sz w:val="16"/>
          <w:szCs w:val="16"/>
          <w:lang w:val="pt-BR"/>
        </w:rPr>
        <w:t xml:space="preserve">Anexo 2. </w:t>
      </w:r>
      <w:r w:rsidRPr="0060704A">
        <w:rPr>
          <w:rFonts w:asciiTheme="majorHAnsi" w:hAnsiTheme="majorHAnsi"/>
          <w:color w:val="000000" w:themeColor="text1"/>
          <w:sz w:val="16"/>
          <w:szCs w:val="16"/>
          <w:lang w:val="pt-BR"/>
        </w:rPr>
        <w:t xml:space="preserve">Informe policial no. 1123-PJT-CP9-2001, 17 de agosto de 2001. </w:t>
      </w:r>
      <w:r w:rsidRPr="00D139CD">
        <w:rPr>
          <w:rFonts w:asciiTheme="majorHAnsi" w:hAnsiTheme="majorHAnsi"/>
          <w:color w:val="000000" w:themeColor="text1"/>
          <w:sz w:val="16"/>
          <w:szCs w:val="16"/>
          <w:lang w:val="es-ES"/>
        </w:rPr>
        <w:t>Anexo al escrito de observaciones del peticionario de 1 diciembre de 2003.</w:t>
      </w:r>
    </w:p>
  </w:footnote>
  <w:footnote w:id="28">
    <w:p w14:paraId="100902E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29">
    <w:p w14:paraId="44C15F9D"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30">
    <w:p w14:paraId="497DE200"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31">
    <w:p w14:paraId="7D53FD47"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32">
    <w:p w14:paraId="1A28807C"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al escrito de observaciones del peticionario de 1 diciembre de 2003.</w:t>
      </w:r>
    </w:p>
  </w:footnote>
  <w:footnote w:id="33">
    <w:p w14:paraId="1ED5D9E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10</w:t>
      </w:r>
      <w:r w:rsidRPr="00D139CD">
        <w:rPr>
          <w:rFonts w:asciiTheme="majorHAnsi" w:hAnsiTheme="majorHAnsi"/>
          <w:color w:val="000000" w:themeColor="text1"/>
          <w:sz w:val="16"/>
          <w:szCs w:val="16"/>
          <w:lang w:val="es-ES"/>
        </w:rPr>
        <w:t>. Denuncia presentada por Sixto Núñez, que consta en el auto de sobreseimiento provisional de la Jueza Cuarta de lo Penal de Tungurahua, 11 de diciembre de 2002. Anexo al escrito de observaciones del Estado de 31 de junio de 2005.</w:t>
      </w:r>
    </w:p>
  </w:footnote>
  <w:footnote w:id="34">
    <w:p w14:paraId="0D15705A"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3 al escrito de observaciones del peticionario de 1 diciembre de 2003.</w:t>
      </w:r>
    </w:p>
  </w:footnote>
  <w:footnote w:id="35">
    <w:p w14:paraId="0A83E2B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2</w:t>
      </w:r>
      <w:r w:rsidRPr="00D139CD">
        <w:rPr>
          <w:rFonts w:asciiTheme="majorHAnsi" w:hAnsiTheme="majorHAnsi"/>
          <w:color w:val="000000" w:themeColor="text1"/>
          <w:sz w:val="16"/>
          <w:szCs w:val="16"/>
          <w:lang w:val="es-ES"/>
        </w:rPr>
        <w:t>.</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Oficio No. 2070–PJT-CP9-2001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17 de agosto de 2001. Anexo 3 al escrito de observaciones del peticionario de 1 diciembre de 2003.</w:t>
      </w:r>
    </w:p>
  </w:footnote>
  <w:footnote w:id="36">
    <w:p w14:paraId="009D8543"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Pr>
          <w:rFonts w:asciiTheme="majorHAnsi" w:hAnsiTheme="majorHAnsi"/>
          <w:color w:val="000000" w:themeColor="text1"/>
          <w:sz w:val="16"/>
          <w:szCs w:val="16"/>
          <w:lang w:val="es-ES"/>
        </w:rPr>
        <w:t xml:space="preserve"> Anexo 11</w:t>
      </w:r>
      <w:r w:rsidRPr="00D139CD">
        <w:rPr>
          <w:rFonts w:asciiTheme="majorHAnsi" w:hAnsiTheme="majorHAnsi"/>
          <w:color w:val="000000" w:themeColor="text1"/>
          <w:sz w:val="16"/>
          <w:szCs w:val="16"/>
          <w:lang w:val="es-ES"/>
        </w:rPr>
        <w:t>. Reconocimiento de las instalaciones de la policía nacional del cantón Quero efectuado por el Agente Fiscal del Distrito de Tungurahua, 16 abril de 2002. Anexo 3 al escrito de observaciones del peticionario de 1 diciembre de 2003.</w:t>
      </w:r>
    </w:p>
  </w:footnote>
  <w:footnote w:id="37">
    <w:p w14:paraId="360E1BB4"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w:t>
      </w:r>
      <w:r>
        <w:rPr>
          <w:rFonts w:asciiTheme="majorHAnsi" w:hAnsiTheme="majorHAnsi"/>
          <w:bCs/>
          <w:color w:val="000000" w:themeColor="text1"/>
          <w:sz w:val="16"/>
          <w:szCs w:val="16"/>
          <w:lang w:val="es-ES"/>
        </w:rPr>
        <w:t>Anexo 12</w:t>
      </w:r>
      <w:r w:rsidRPr="00D139CD">
        <w:rPr>
          <w:rFonts w:asciiTheme="majorHAnsi" w:hAnsiTheme="majorHAnsi"/>
          <w:bCs/>
          <w:color w:val="000000" w:themeColor="text1"/>
          <w:sz w:val="16"/>
          <w:szCs w:val="16"/>
          <w:lang w:val="es-ES"/>
        </w:rPr>
        <w:t>. Dictamen fiscal acusatorio No. 53-2002, por Agente Fiscal de Distrito de Tungurahua, 08 de mayo de 2002. Anexo al escrito de observaciones del Estado de 31 de junio de 2005.</w:t>
      </w:r>
    </w:p>
  </w:footnote>
  <w:footnote w:id="38">
    <w:p w14:paraId="5649A35B" w14:textId="77777777" w:rsidR="00AF7404" w:rsidRPr="00D139CD" w:rsidRDefault="00AF7404" w:rsidP="00D139CD">
      <w:pPr>
        <w:pStyle w:val="p1"/>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AF4A2C">
        <w:rPr>
          <w:rFonts w:asciiTheme="majorHAnsi" w:hAnsiTheme="majorHAnsi"/>
          <w:color w:val="000000" w:themeColor="text1"/>
          <w:sz w:val="16"/>
          <w:szCs w:val="16"/>
          <w:lang w:val="es-ES"/>
        </w:rPr>
        <w:t xml:space="preserve"> Anexo 13</w:t>
      </w:r>
      <w:r w:rsidRPr="00D139CD">
        <w:rPr>
          <w:rFonts w:asciiTheme="majorHAnsi" w:hAnsiTheme="majorHAnsi"/>
          <w:color w:val="000000" w:themeColor="text1"/>
          <w:sz w:val="16"/>
          <w:szCs w:val="16"/>
          <w:lang w:val="es-ES"/>
        </w:rPr>
        <w:t>. Resolución del Juzgado Cuarto de lo penal de Tungurahua, 10 de mayo de 2002. Anexo 3 al escrito de observaciones del peticionario de 1 diciembre de 2003.</w:t>
      </w:r>
    </w:p>
  </w:footnote>
  <w:footnote w:id="39">
    <w:p w14:paraId="620CACA1"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AF4A2C">
        <w:rPr>
          <w:rFonts w:asciiTheme="majorHAnsi" w:hAnsiTheme="majorHAnsi"/>
          <w:color w:val="000000" w:themeColor="text1"/>
          <w:sz w:val="16"/>
          <w:szCs w:val="16"/>
          <w:lang w:val="es-ES"/>
        </w:rPr>
        <w:t xml:space="preserve"> Anexo 9</w:t>
      </w:r>
      <w:r w:rsidRPr="00D139CD">
        <w:rPr>
          <w:rFonts w:asciiTheme="majorHAnsi" w:hAnsiTheme="majorHAnsi"/>
          <w:color w:val="000000" w:themeColor="text1"/>
          <w:sz w:val="16"/>
          <w:szCs w:val="16"/>
          <w:lang w:val="es-ES"/>
        </w:rPr>
        <w:t xml:space="preserve">. Oficio de la Central de Juntas del Campesinado No. 88CJDCQ-2002 al </w:t>
      </w:r>
      <w:proofErr w:type="gramStart"/>
      <w:r w:rsidRPr="00D139CD">
        <w:rPr>
          <w:rFonts w:asciiTheme="majorHAnsi" w:hAnsiTheme="majorHAnsi"/>
          <w:color w:val="000000" w:themeColor="text1"/>
          <w:sz w:val="16"/>
          <w:szCs w:val="16"/>
          <w:lang w:val="es-ES"/>
        </w:rPr>
        <w:t>Ministro</w:t>
      </w:r>
      <w:proofErr w:type="gramEnd"/>
      <w:r w:rsidRPr="00D139CD">
        <w:rPr>
          <w:rFonts w:asciiTheme="majorHAnsi" w:hAnsiTheme="majorHAnsi"/>
          <w:color w:val="000000" w:themeColor="text1"/>
          <w:sz w:val="16"/>
          <w:szCs w:val="16"/>
          <w:lang w:val="es-ES"/>
        </w:rPr>
        <w:t xml:space="preserve"> fiscal de Tungurahua, 30 de junio de 2002. Anexo al escrito de observaciones del peticio</w:t>
      </w:r>
      <w:r>
        <w:rPr>
          <w:rFonts w:asciiTheme="majorHAnsi" w:hAnsiTheme="majorHAnsi"/>
          <w:color w:val="000000" w:themeColor="text1"/>
          <w:sz w:val="16"/>
          <w:szCs w:val="16"/>
          <w:lang w:val="es-ES"/>
        </w:rPr>
        <w:t>nario de 01 de diciembre de 2003</w:t>
      </w:r>
      <w:r w:rsidRPr="00D139CD">
        <w:rPr>
          <w:rFonts w:asciiTheme="majorHAnsi" w:hAnsiTheme="majorHAnsi"/>
          <w:color w:val="000000" w:themeColor="text1"/>
          <w:sz w:val="16"/>
          <w:szCs w:val="16"/>
          <w:lang w:val="es-ES"/>
        </w:rPr>
        <w:t>.</w:t>
      </w:r>
    </w:p>
  </w:footnote>
  <w:footnote w:id="40">
    <w:p w14:paraId="1B477CC6"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AF4A2C">
        <w:rPr>
          <w:rFonts w:asciiTheme="majorHAnsi" w:hAnsiTheme="majorHAnsi"/>
          <w:color w:val="000000" w:themeColor="text1"/>
          <w:sz w:val="16"/>
          <w:szCs w:val="16"/>
          <w:lang w:val="es-ES"/>
        </w:rPr>
        <w:t xml:space="preserve"> Anexo 14</w:t>
      </w:r>
      <w:r w:rsidRPr="00D139CD">
        <w:rPr>
          <w:rFonts w:asciiTheme="majorHAnsi" w:hAnsiTheme="majorHAnsi"/>
          <w:color w:val="000000" w:themeColor="text1"/>
          <w:sz w:val="16"/>
          <w:szCs w:val="16"/>
          <w:lang w:val="es-ES"/>
        </w:rPr>
        <w:t>. Recurso de amparo de libertad en contra de la Jueza Cuarta de lo penal de Tungurahua ante la Corte superior de Tungurahua de 11 de julio 2002. Anexo 1 al escrito de observaciones del peticionario de 01 de diciembre de 200</w:t>
      </w:r>
      <w:r>
        <w:rPr>
          <w:rFonts w:asciiTheme="majorHAnsi" w:hAnsiTheme="majorHAnsi"/>
          <w:color w:val="000000" w:themeColor="text1"/>
          <w:sz w:val="16"/>
          <w:szCs w:val="16"/>
          <w:lang w:val="es-ES"/>
        </w:rPr>
        <w:t>3</w:t>
      </w:r>
      <w:r w:rsidRPr="00D139CD">
        <w:rPr>
          <w:rFonts w:asciiTheme="majorHAnsi" w:hAnsiTheme="majorHAnsi"/>
          <w:color w:val="000000" w:themeColor="text1"/>
          <w:sz w:val="16"/>
          <w:szCs w:val="16"/>
          <w:lang w:val="es-ES"/>
        </w:rPr>
        <w:t>.</w:t>
      </w:r>
    </w:p>
  </w:footnote>
  <w:footnote w:id="41">
    <w:p w14:paraId="208A7B11"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AF4A2C">
        <w:rPr>
          <w:rFonts w:asciiTheme="majorHAnsi" w:hAnsiTheme="majorHAnsi"/>
          <w:color w:val="000000" w:themeColor="text1"/>
          <w:sz w:val="16"/>
          <w:szCs w:val="16"/>
          <w:lang w:val="es-ES"/>
        </w:rPr>
        <w:t xml:space="preserve"> Anexo 14</w:t>
      </w:r>
      <w:r w:rsidRPr="00D139CD">
        <w:rPr>
          <w:rFonts w:asciiTheme="majorHAnsi" w:hAnsiTheme="majorHAnsi"/>
          <w:color w:val="000000" w:themeColor="text1"/>
          <w:sz w:val="16"/>
          <w:szCs w:val="16"/>
          <w:lang w:val="es-ES"/>
        </w:rPr>
        <w:t>. Recurso de amparo de libertad en contra de la Jueza Cuarta de lo pen</w:t>
      </w:r>
      <w:r w:rsidR="00AF4A2C">
        <w:rPr>
          <w:rFonts w:asciiTheme="majorHAnsi" w:hAnsiTheme="majorHAnsi"/>
          <w:color w:val="000000" w:themeColor="text1"/>
          <w:sz w:val="16"/>
          <w:szCs w:val="16"/>
          <w:lang w:val="es-ES"/>
        </w:rPr>
        <w:t>al de Tungurahua ante la Corte S</w:t>
      </w:r>
      <w:r w:rsidRPr="00D139CD">
        <w:rPr>
          <w:rFonts w:asciiTheme="majorHAnsi" w:hAnsiTheme="majorHAnsi"/>
          <w:color w:val="000000" w:themeColor="text1"/>
          <w:sz w:val="16"/>
          <w:szCs w:val="16"/>
          <w:lang w:val="es-ES"/>
        </w:rPr>
        <w:t>uperior de Tungurahua de 11 de julio 2002. Anexo 1 al escrito de obs</w:t>
      </w:r>
      <w:r>
        <w:rPr>
          <w:rFonts w:asciiTheme="majorHAnsi" w:hAnsiTheme="majorHAnsi"/>
          <w:color w:val="000000" w:themeColor="text1"/>
          <w:sz w:val="16"/>
          <w:szCs w:val="16"/>
          <w:lang w:val="es-ES"/>
        </w:rPr>
        <w:t>ervaciones del peticionario de 1 de diciembre de 2003</w:t>
      </w:r>
      <w:r w:rsidRPr="00D139CD">
        <w:rPr>
          <w:rFonts w:asciiTheme="majorHAnsi" w:hAnsiTheme="majorHAnsi"/>
          <w:color w:val="000000" w:themeColor="text1"/>
          <w:sz w:val="16"/>
          <w:szCs w:val="16"/>
          <w:lang w:val="es-ES"/>
        </w:rPr>
        <w:t>.</w:t>
      </w:r>
    </w:p>
  </w:footnote>
  <w:footnote w:id="42">
    <w:p w14:paraId="7BA00B6C"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AF4A2C">
        <w:rPr>
          <w:rFonts w:asciiTheme="majorHAnsi" w:hAnsiTheme="majorHAnsi"/>
          <w:color w:val="000000" w:themeColor="text1"/>
          <w:sz w:val="16"/>
          <w:szCs w:val="16"/>
          <w:lang w:val="es-ES"/>
        </w:rPr>
        <w:t xml:space="preserve"> Anexo 15</w:t>
      </w:r>
      <w:r w:rsidRPr="00D139CD">
        <w:rPr>
          <w:rFonts w:asciiTheme="majorHAnsi" w:hAnsiTheme="majorHAnsi"/>
          <w:color w:val="000000" w:themeColor="text1"/>
          <w:sz w:val="16"/>
          <w:szCs w:val="16"/>
          <w:lang w:val="es-ES"/>
        </w:rPr>
        <w:t xml:space="preserve">. Informe del Juzgado cuarto de lo penal de Tungurahua a la Corte Superior de Justicia de Tungurahua, 17 julio de 2002. Anexo 1 al escrito de las observaciones de los </w:t>
      </w:r>
      <w:r w:rsidRPr="00D139CD">
        <w:rPr>
          <w:rFonts w:asciiTheme="majorHAnsi" w:hAnsiTheme="majorHAnsi"/>
          <w:color w:val="000000" w:themeColor="text1"/>
          <w:sz w:val="16"/>
          <w:szCs w:val="16"/>
          <w:shd w:val="clear" w:color="auto" w:fill="FFFFFF"/>
          <w:lang w:val="es-ES"/>
        </w:rPr>
        <w:t xml:space="preserve">peticionarios </w:t>
      </w:r>
      <w:r>
        <w:rPr>
          <w:rFonts w:asciiTheme="majorHAnsi" w:hAnsiTheme="majorHAnsi"/>
          <w:color w:val="000000" w:themeColor="text1"/>
          <w:sz w:val="16"/>
          <w:szCs w:val="16"/>
          <w:lang w:val="es-ES"/>
        </w:rPr>
        <w:t>de 1 de diciembre de 2003</w:t>
      </w:r>
      <w:r w:rsidRPr="00D139CD">
        <w:rPr>
          <w:rFonts w:asciiTheme="majorHAnsi" w:hAnsiTheme="majorHAnsi"/>
          <w:color w:val="000000" w:themeColor="text1"/>
          <w:sz w:val="16"/>
          <w:szCs w:val="16"/>
          <w:lang w:val="es-ES"/>
        </w:rPr>
        <w:t>.</w:t>
      </w:r>
    </w:p>
  </w:footnote>
  <w:footnote w:id="43">
    <w:p w14:paraId="45E31CAE"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AF4A2C">
        <w:rPr>
          <w:rFonts w:asciiTheme="majorHAnsi" w:hAnsiTheme="majorHAnsi"/>
          <w:color w:val="000000" w:themeColor="text1"/>
          <w:sz w:val="16"/>
          <w:szCs w:val="16"/>
          <w:lang w:val="es-ES"/>
        </w:rPr>
        <w:t xml:space="preserve"> Anexo 16</w:t>
      </w:r>
      <w:r w:rsidRPr="00D139CD">
        <w:rPr>
          <w:rFonts w:asciiTheme="majorHAnsi" w:hAnsiTheme="majorHAnsi"/>
          <w:color w:val="000000" w:themeColor="text1"/>
          <w:sz w:val="16"/>
          <w:szCs w:val="16"/>
          <w:lang w:val="es-ES"/>
        </w:rPr>
        <w:t>. Resolución del trámite de Amparo Constitucional emitido por la segunda sala de la Corte Superior de Justicia de Tungurahua, 31 de julio de 2002. Anexo 1 al escrito de obs</w:t>
      </w:r>
      <w:r>
        <w:rPr>
          <w:rFonts w:asciiTheme="majorHAnsi" w:hAnsiTheme="majorHAnsi"/>
          <w:color w:val="000000" w:themeColor="text1"/>
          <w:sz w:val="16"/>
          <w:szCs w:val="16"/>
          <w:lang w:val="es-ES"/>
        </w:rPr>
        <w:t>ervaciones del peticionario de 1 de diciembre de 2003</w:t>
      </w:r>
      <w:r w:rsidRPr="00D139CD">
        <w:rPr>
          <w:rFonts w:asciiTheme="majorHAnsi" w:hAnsiTheme="majorHAnsi"/>
          <w:color w:val="000000" w:themeColor="text1"/>
          <w:sz w:val="16"/>
          <w:szCs w:val="16"/>
          <w:lang w:val="es-ES"/>
        </w:rPr>
        <w:t>.</w:t>
      </w:r>
    </w:p>
  </w:footnote>
  <w:footnote w:id="44">
    <w:p w14:paraId="34D00F29"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636D82">
        <w:rPr>
          <w:rFonts w:asciiTheme="majorHAnsi" w:hAnsiTheme="majorHAnsi"/>
          <w:color w:val="000000" w:themeColor="text1"/>
          <w:sz w:val="16"/>
          <w:szCs w:val="16"/>
          <w:lang w:val="es-ES"/>
        </w:rPr>
        <w:t xml:space="preserve"> Anexo 17</w:t>
      </w:r>
      <w:r w:rsidRPr="00D139CD">
        <w:rPr>
          <w:rFonts w:asciiTheme="majorHAnsi" w:hAnsiTheme="majorHAnsi"/>
          <w:color w:val="000000" w:themeColor="text1"/>
          <w:sz w:val="16"/>
          <w:szCs w:val="16"/>
          <w:lang w:val="es-ES"/>
        </w:rPr>
        <w:t xml:space="preserve">. Acta de audiencia preliminar del Juzgado Cuarto de lo </w:t>
      </w:r>
      <w:r w:rsidR="00636D82">
        <w:rPr>
          <w:rFonts w:asciiTheme="majorHAnsi" w:hAnsiTheme="majorHAnsi"/>
          <w:color w:val="000000" w:themeColor="text1"/>
          <w:sz w:val="16"/>
          <w:szCs w:val="16"/>
          <w:lang w:val="es-ES"/>
        </w:rPr>
        <w:t>P</w:t>
      </w:r>
      <w:r w:rsidRPr="00D139CD">
        <w:rPr>
          <w:rFonts w:asciiTheme="majorHAnsi" w:hAnsiTheme="majorHAnsi"/>
          <w:color w:val="000000" w:themeColor="text1"/>
          <w:sz w:val="16"/>
          <w:szCs w:val="16"/>
          <w:lang w:val="es-ES"/>
        </w:rPr>
        <w:t>enal de Tungurahua Suplente,</w:t>
      </w:r>
      <w:r w:rsidR="00636D82">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10 de diciembre de 2002. Anexo 4 al escrito de observaciones de los </w:t>
      </w:r>
      <w:r w:rsidRPr="00D139CD">
        <w:rPr>
          <w:rFonts w:asciiTheme="majorHAnsi" w:hAnsiTheme="majorHAnsi"/>
          <w:color w:val="000000" w:themeColor="text1"/>
          <w:sz w:val="16"/>
          <w:szCs w:val="16"/>
          <w:shd w:val="clear" w:color="auto" w:fill="FFFFFF"/>
          <w:lang w:val="es-ES"/>
        </w:rPr>
        <w:t xml:space="preserve">peticionarios </w:t>
      </w:r>
      <w:r>
        <w:rPr>
          <w:rFonts w:asciiTheme="majorHAnsi" w:hAnsiTheme="majorHAnsi"/>
          <w:color w:val="000000" w:themeColor="text1"/>
          <w:sz w:val="16"/>
          <w:szCs w:val="16"/>
          <w:lang w:val="es-ES"/>
        </w:rPr>
        <w:t>de 1 de diciembre de 2003</w:t>
      </w:r>
      <w:r w:rsidRPr="00D139CD">
        <w:rPr>
          <w:rFonts w:asciiTheme="majorHAnsi" w:hAnsiTheme="majorHAnsi"/>
          <w:color w:val="000000" w:themeColor="text1"/>
          <w:sz w:val="16"/>
          <w:szCs w:val="16"/>
          <w:lang w:val="es-ES"/>
        </w:rPr>
        <w:t>.</w:t>
      </w:r>
    </w:p>
  </w:footnote>
  <w:footnote w:id="45">
    <w:p w14:paraId="2CE26A78" w14:textId="77777777" w:rsidR="00AF7404" w:rsidRPr="00D139CD" w:rsidRDefault="00AF7404" w:rsidP="00D139CD">
      <w:pPr>
        <w:pStyle w:val="p1"/>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w:t>
      </w:r>
      <w:r w:rsidR="00636D82">
        <w:rPr>
          <w:rFonts w:asciiTheme="majorHAnsi" w:hAnsiTheme="majorHAnsi"/>
          <w:bCs/>
          <w:color w:val="000000" w:themeColor="text1"/>
          <w:sz w:val="16"/>
          <w:szCs w:val="16"/>
          <w:lang w:val="es-ES"/>
        </w:rPr>
        <w:t>Anexo 18.</w:t>
      </w:r>
      <w:r w:rsidRPr="00D139CD">
        <w:rPr>
          <w:rFonts w:asciiTheme="majorHAnsi" w:hAnsiTheme="majorHAnsi"/>
          <w:bCs/>
          <w:color w:val="000000" w:themeColor="text1"/>
          <w:sz w:val="16"/>
          <w:szCs w:val="16"/>
          <w:lang w:val="es-ES"/>
        </w:rPr>
        <w:t xml:space="preserve"> Auto de sobreseimiento provisional por la Jueza Cuarta de lo Penal de Tungurahua, 11 de diciembre de 2002. </w:t>
      </w:r>
      <w:r w:rsidRPr="00D139CD">
        <w:rPr>
          <w:rFonts w:asciiTheme="majorHAnsi" w:hAnsiTheme="majorHAnsi"/>
          <w:color w:val="000000" w:themeColor="text1"/>
          <w:sz w:val="16"/>
          <w:szCs w:val="16"/>
          <w:lang w:val="es-ES"/>
        </w:rPr>
        <w:t xml:space="preserve">Anexo 4 al escrito de observaciones de los </w:t>
      </w:r>
      <w:r w:rsidRPr="00D139CD">
        <w:rPr>
          <w:rFonts w:asciiTheme="majorHAnsi" w:hAnsiTheme="majorHAnsi"/>
          <w:color w:val="000000" w:themeColor="text1"/>
          <w:sz w:val="16"/>
          <w:szCs w:val="16"/>
          <w:shd w:val="clear" w:color="auto" w:fill="FFFFFF"/>
          <w:lang w:val="es-ES"/>
        </w:rPr>
        <w:t xml:space="preserve">peticionarios </w:t>
      </w:r>
      <w:r>
        <w:rPr>
          <w:rFonts w:asciiTheme="majorHAnsi" w:hAnsiTheme="majorHAnsi"/>
          <w:color w:val="000000" w:themeColor="text1"/>
          <w:sz w:val="16"/>
          <w:szCs w:val="16"/>
          <w:lang w:val="es-ES"/>
        </w:rPr>
        <w:t>de 1 de diciembre de 2003</w:t>
      </w:r>
      <w:r w:rsidRPr="00D139CD">
        <w:rPr>
          <w:rFonts w:asciiTheme="majorHAnsi" w:hAnsiTheme="majorHAnsi"/>
          <w:color w:val="000000" w:themeColor="text1"/>
          <w:sz w:val="16"/>
          <w:szCs w:val="16"/>
          <w:lang w:val="es-ES"/>
        </w:rPr>
        <w:t>.</w:t>
      </w:r>
    </w:p>
  </w:footnote>
  <w:footnote w:id="46">
    <w:p w14:paraId="051B3784"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636D82">
        <w:rPr>
          <w:rFonts w:asciiTheme="majorHAnsi" w:hAnsiTheme="majorHAnsi"/>
          <w:color w:val="000000" w:themeColor="text1"/>
          <w:sz w:val="16"/>
          <w:szCs w:val="16"/>
          <w:lang w:val="es-ES"/>
        </w:rPr>
        <w:t xml:space="preserve"> Anexo 19</w:t>
      </w:r>
      <w:r w:rsidRPr="00D139CD">
        <w:rPr>
          <w:rFonts w:asciiTheme="majorHAnsi" w:hAnsiTheme="majorHAnsi"/>
          <w:color w:val="000000" w:themeColor="text1"/>
          <w:sz w:val="16"/>
          <w:szCs w:val="16"/>
          <w:lang w:val="es-ES"/>
        </w:rPr>
        <w:t>. Oficio No. 3585-CP9-2004 del jefe de la Policía Judicial de Tungurahua, 15 octubre de 2004. Anexo al escrito del peticionario de 3 de noviembre de 2004.</w:t>
      </w:r>
    </w:p>
  </w:footnote>
  <w:footnote w:id="47">
    <w:p w14:paraId="002D8618"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Anex</w:t>
      </w:r>
      <w:r w:rsidR="005E6B01">
        <w:rPr>
          <w:rFonts w:asciiTheme="majorHAnsi" w:hAnsiTheme="majorHAnsi"/>
          <w:color w:val="000000" w:themeColor="text1"/>
          <w:sz w:val="16"/>
          <w:szCs w:val="16"/>
          <w:lang w:val="es-ES"/>
        </w:rPr>
        <w:t>o 20</w:t>
      </w:r>
      <w:r w:rsidRPr="00D139CD">
        <w:rPr>
          <w:rFonts w:asciiTheme="majorHAnsi" w:hAnsiTheme="majorHAnsi"/>
          <w:color w:val="000000" w:themeColor="text1"/>
          <w:sz w:val="16"/>
          <w:szCs w:val="16"/>
          <w:lang w:val="es-ES"/>
        </w:rPr>
        <w:t>. Resolución del Juzgado Cuarto de lo Penal de Tungurahua Suplente, 18 de octubre 2004. Anexo al escrito del peticionario de 3 de noviembre de 2004.</w:t>
      </w:r>
    </w:p>
  </w:footnote>
  <w:footnote w:id="48">
    <w:p w14:paraId="6D7DF09A" w14:textId="77777777" w:rsidR="00AF7404" w:rsidRPr="00D139CD" w:rsidRDefault="00AF7404" w:rsidP="0065556E">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w:t>
      </w:r>
      <w:proofErr w:type="gramStart"/>
      <w:r w:rsidRPr="00D139CD">
        <w:rPr>
          <w:rFonts w:asciiTheme="majorHAnsi" w:hAnsiTheme="majorHAnsi"/>
          <w:color w:val="000000" w:themeColor="text1"/>
          <w:sz w:val="16"/>
          <w:szCs w:val="16"/>
          <w:lang w:val="es-ES"/>
        </w:rPr>
        <w:t>Ver</w:t>
      </w:r>
      <w:proofErr w:type="gramEnd"/>
      <w:r w:rsidRPr="00D139CD">
        <w:rPr>
          <w:rFonts w:asciiTheme="majorHAnsi" w:hAnsiTheme="majorHAnsi"/>
          <w:color w:val="000000" w:themeColor="text1"/>
          <w:sz w:val="16"/>
          <w:szCs w:val="16"/>
          <w:lang w:val="es-ES"/>
        </w:rPr>
        <w:t xml:space="preserve"> por ejemplo, informe investigativo policial no. 1123-PJT-CP9-2001 e informe investigativo ampliatorio policial no. 1376-CP9-2001, de 16 de agosto de 2001 y 18 de octubre de 2001 respectivamente. Anexo 3 al escrito de las observaciones del </w:t>
      </w:r>
      <w:r w:rsidRPr="00D139CD">
        <w:rPr>
          <w:rFonts w:asciiTheme="majorHAnsi" w:hAnsiTheme="majorHAnsi"/>
          <w:color w:val="000000" w:themeColor="text1"/>
          <w:sz w:val="16"/>
          <w:szCs w:val="16"/>
          <w:shd w:val="clear" w:color="auto" w:fill="FFFFFF"/>
          <w:lang w:val="es-ES"/>
        </w:rPr>
        <w:t xml:space="preserve">peticionario del </w:t>
      </w:r>
      <w:r>
        <w:rPr>
          <w:rFonts w:asciiTheme="majorHAnsi" w:hAnsiTheme="majorHAnsi"/>
          <w:color w:val="000000" w:themeColor="text1"/>
          <w:sz w:val="16"/>
          <w:szCs w:val="16"/>
          <w:lang w:val="es-ES"/>
        </w:rPr>
        <w:t>1 de diciembre de 2003</w:t>
      </w:r>
      <w:r w:rsidRPr="00D139CD">
        <w:rPr>
          <w:rFonts w:asciiTheme="majorHAnsi" w:hAnsiTheme="majorHAnsi"/>
          <w:color w:val="000000" w:themeColor="text1"/>
          <w:sz w:val="16"/>
          <w:szCs w:val="16"/>
          <w:lang w:val="es-ES"/>
        </w:rPr>
        <w:t>.</w:t>
      </w:r>
    </w:p>
  </w:footnote>
  <w:footnote w:id="49">
    <w:p w14:paraId="13843265" w14:textId="77777777" w:rsidR="00AF7404" w:rsidRPr="00D139CD" w:rsidRDefault="00AF7404" w:rsidP="0065556E">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5E6B01">
        <w:rPr>
          <w:rFonts w:asciiTheme="majorHAnsi" w:hAnsiTheme="majorHAnsi"/>
          <w:color w:val="000000" w:themeColor="text1"/>
          <w:sz w:val="16"/>
          <w:szCs w:val="16"/>
          <w:lang w:val="es-ES"/>
        </w:rPr>
        <w:t xml:space="preserve"> Anexo 8</w:t>
      </w:r>
      <w:r w:rsidRPr="00D139CD">
        <w:rPr>
          <w:rFonts w:asciiTheme="majorHAnsi" w:hAnsiTheme="majorHAnsi"/>
          <w:color w:val="000000" w:themeColor="text1"/>
          <w:sz w:val="16"/>
          <w:szCs w:val="16"/>
          <w:lang w:val="es-ES"/>
        </w:rPr>
        <w:t xml:space="preserve">. Oficio No. 2780–PJT-CP9-2001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19 de octubre de 2001. Anexo al escrito de observaciones del peticionario de 1 diciembre de 2003.</w:t>
      </w:r>
    </w:p>
  </w:footnote>
  <w:footnote w:id="50">
    <w:p w14:paraId="518E0483" w14:textId="77777777" w:rsidR="00AF7404" w:rsidRPr="00D139CD" w:rsidRDefault="00AF7404" w:rsidP="0065556E">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005E6B01">
        <w:rPr>
          <w:rFonts w:asciiTheme="majorHAnsi" w:hAnsiTheme="majorHAnsi"/>
          <w:color w:val="000000" w:themeColor="text1"/>
          <w:sz w:val="16"/>
          <w:szCs w:val="16"/>
          <w:lang w:val="es-ES"/>
        </w:rPr>
        <w:t xml:space="preserve"> Anexo 8</w:t>
      </w:r>
      <w:r w:rsidRPr="00D139CD">
        <w:rPr>
          <w:rFonts w:asciiTheme="majorHAnsi" w:hAnsiTheme="majorHAnsi"/>
          <w:color w:val="000000" w:themeColor="text1"/>
          <w:sz w:val="16"/>
          <w:szCs w:val="16"/>
          <w:lang w:val="es-ES"/>
        </w:rPr>
        <w:t xml:space="preserve">. Oficio No. 2780–PJT-CP9-2001 del </w:t>
      </w:r>
      <w:proofErr w:type="gramStart"/>
      <w:r w:rsidRPr="00D139CD">
        <w:rPr>
          <w:rFonts w:asciiTheme="majorHAnsi" w:hAnsiTheme="majorHAnsi"/>
          <w:color w:val="000000" w:themeColor="text1"/>
          <w:sz w:val="16"/>
          <w:szCs w:val="16"/>
          <w:lang w:val="es-ES"/>
        </w:rPr>
        <w:t>Jefe</w:t>
      </w:r>
      <w:proofErr w:type="gramEnd"/>
      <w:r w:rsidRPr="00D139CD">
        <w:rPr>
          <w:rFonts w:asciiTheme="majorHAnsi" w:hAnsiTheme="majorHAnsi"/>
          <w:color w:val="000000" w:themeColor="text1"/>
          <w:sz w:val="16"/>
          <w:szCs w:val="16"/>
          <w:lang w:val="es-ES"/>
        </w:rPr>
        <w:t xml:space="preserve"> de la Policía Judicial de Tungurahua al Ministro Fiscal de Tungurahua que contiene el Informe policial no. 1123-PJT-CP9-2001, 19 de octubre de 2001. Anexo al escrito de observaciones del peticionario de 1 diciembre de 2003.</w:t>
      </w:r>
    </w:p>
  </w:footnote>
  <w:footnote w:id="51">
    <w:p w14:paraId="504FFBCB" w14:textId="77777777" w:rsidR="00AF7404" w:rsidRPr="0087668C" w:rsidRDefault="00AF7404" w:rsidP="0056056C">
      <w:pPr>
        <w:pStyle w:val="Textonotapie"/>
        <w:jc w:val="both"/>
        <w:rPr>
          <w:rFonts w:ascii="Cambria" w:hAnsi="Cambria"/>
          <w:sz w:val="16"/>
          <w:szCs w:val="16"/>
          <w:lang w:val="es-US"/>
        </w:rPr>
      </w:pPr>
      <w:r w:rsidRPr="0087668C">
        <w:rPr>
          <w:rStyle w:val="Refdenotaalpie"/>
          <w:rFonts w:ascii="Cambria" w:hAnsi="Cambria"/>
          <w:sz w:val="16"/>
          <w:szCs w:val="16"/>
        </w:rPr>
        <w:footnoteRef/>
      </w:r>
      <w:r w:rsidRPr="0087668C">
        <w:rPr>
          <w:rFonts w:ascii="Cambria" w:hAnsi="Cambria"/>
          <w:sz w:val="16"/>
          <w:szCs w:val="16"/>
          <w:lang w:val="es-US"/>
        </w:rPr>
        <w:t xml:space="preserve"> Los artículos de la Convención Americana referidos en el título arriba establecen lo siguiente:</w:t>
      </w:r>
    </w:p>
    <w:p w14:paraId="277B6B4C" w14:textId="77777777" w:rsidR="00AF7404" w:rsidRPr="0087668C" w:rsidRDefault="00AF7404" w:rsidP="0056056C">
      <w:pPr>
        <w:tabs>
          <w:tab w:val="left" w:pos="1440"/>
        </w:tabs>
        <w:jc w:val="both"/>
        <w:rPr>
          <w:rFonts w:ascii="Cambria" w:eastAsia="Times New Roman" w:hAnsi="Cambria"/>
          <w:sz w:val="16"/>
          <w:szCs w:val="16"/>
          <w:lang w:val="es-ES"/>
        </w:rPr>
      </w:pPr>
      <w:r w:rsidRPr="0087668C">
        <w:rPr>
          <w:rFonts w:ascii="Cambria" w:hAnsi="Cambria"/>
          <w:sz w:val="16"/>
          <w:szCs w:val="16"/>
          <w:lang w:val="es-CO"/>
        </w:rPr>
        <w:t xml:space="preserve">Artículo 3. Derecho al Reconocimiento de la Personalidad Jurídica: </w:t>
      </w:r>
      <w:r w:rsidRPr="0087668C">
        <w:rPr>
          <w:rFonts w:ascii="Cambria" w:eastAsia="Times New Roman" w:hAnsi="Cambria"/>
          <w:sz w:val="16"/>
          <w:szCs w:val="16"/>
          <w:lang w:val="es-ES"/>
        </w:rPr>
        <w:t xml:space="preserve">Toda persona tiene derecho al reconocimiento de su personalidad jurídica. </w:t>
      </w:r>
    </w:p>
    <w:p w14:paraId="44D00033" w14:textId="77777777" w:rsidR="00AF7404" w:rsidRPr="0087668C" w:rsidRDefault="00AF7404" w:rsidP="0056056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16"/>
          <w:szCs w:val="16"/>
          <w:lang w:val="es-ES" w:eastAsia="es-ES"/>
        </w:rPr>
      </w:pPr>
      <w:r w:rsidRPr="0087668C">
        <w:rPr>
          <w:rFonts w:ascii="Cambria" w:eastAsia="Times New Roman" w:hAnsi="Cambria"/>
          <w:sz w:val="16"/>
          <w:szCs w:val="16"/>
          <w:lang w:val="es-ES" w:eastAsia="es-ES"/>
        </w:rPr>
        <w:t>Artículo 4. Derecho a la Vida. 1. Toda persona tiene derecho a que se respete su vida. Este derecho estará protegido por la ley y, en general, a partir del momento de la concepción. Nadie puede ser privado de la vida arbitrariamente.</w:t>
      </w:r>
    </w:p>
    <w:p w14:paraId="7AA48A34" w14:textId="77777777" w:rsidR="00AF7404" w:rsidRPr="0087668C" w:rsidRDefault="00AF7404" w:rsidP="0056056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16"/>
          <w:szCs w:val="16"/>
          <w:lang w:val="es-ES" w:eastAsia="es-ES"/>
        </w:rPr>
      </w:pPr>
      <w:r w:rsidRPr="0087668C">
        <w:rPr>
          <w:rFonts w:ascii="Cambria" w:eastAsia="Times New Roman" w:hAnsi="Cambria"/>
          <w:sz w:val="16"/>
          <w:szCs w:val="16"/>
          <w:lang w:val="es-ES" w:eastAsia="es-ES"/>
        </w:rPr>
        <w:t>Artículo 5. Derecho a la Integridad Personal.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p w14:paraId="1556D964" w14:textId="77777777" w:rsidR="00AF7404" w:rsidRPr="0087668C" w:rsidRDefault="00AF7404" w:rsidP="0056056C">
      <w:pPr>
        <w:jc w:val="both"/>
        <w:rPr>
          <w:rFonts w:ascii="Cambria" w:eastAsia="Times New Roman" w:hAnsi="Cambria"/>
          <w:sz w:val="16"/>
          <w:szCs w:val="16"/>
          <w:lang w:val="es-ES" w:eastAsia="es-ES"/>
        </w:rPr>
      </w:pPr>
      <w:r w:rsidRPr="0087668C">
        <w:rPr>
          <w:rFonts w:ascii="Cambria" w:eastAsia="Times New Roman" w:hAnsi="Cambria"/>
          <w:sz w:val="16"/>
          <w:szCs w:val="16"/>
          <w:lang w:val="es-ES" w:eastAsia="es-ES"/>
        </w:rPr>
        <w:t xml:space="preserve">Artículo 7. Derecho a la Libertad Personal: </w:t>
      </w:r>
      <w:proofErr w:type="gramStart"/>
      <w:r w:rsidRPr="0087668C">
        <w:rPr>
          <w:rFonts w:ascii="Cambria" w:eastAsia="Times New Roman" w:hAnsi="Cambria"/>
          <w:sz w:val="16"/>
          <w:szCs w:val="16"/>
          <w:lang w:val="es-ES" w:eastAsia="es-ES"/>
        </w:rPr>
        <w:t>1.Toda</w:t>
      </w:r>
      <w:proofErr w:type="gramEnd"/>
      <w:r w:rsidRPr="0087668C">
        <w:rPr>
          <w:rFonts w:ascii="Cambria" w:eastAsia="Times New Roman" w:hAnsi="Cambria"/>
          <w:sz w:val="16"/>
          <w:szCs w:val="16"/>
          <w:lang w:val="es-ES" w:eastAsia="es-ES"/>
        </w:rPr>
        <w:t xml:space="preserve"> persona tiene derecho a la libertad y a la seguridad personales. </w:t>
      </w:r>
    </w:p>
    <w:p w14:paraId="3FDE8567" w14:textId="77777777" w:rsidR="00AF7404" w:rsidRPr="0087668C" w:rsidRDefault="00AF7404" w:rsidP="0056056C">
      <w:pPr>
        <w:jc w:val="both"/>
        <w:rPr>
          <w:rFonts w:ascii="Cambria" w:eastAsia="Times New Roman" w:hAnsi="Cambria"/>
          <w:sz w:val="16"/>
          <w:szCs w:val="16"/>
          <w:lang w:val="es-ES" w:eastAsia="es-ES"/>
        </w:rPr>
      </w:pPr>
      <w:r w:rsidRPr="0087668C">
        <w:rPr>
          <w:rFonts w:ascii="Cambria" w:hAnsi="Cambria"/>
          <w:sz w:val="16"/>
          <w:szCs w:val="16"/>
          <w:lang w:val="es-US"/>
        </w:rPr>
        <w:t xml:space="preserve">Artículo 8. Garantías Judiciales. 1. </w:t>
      </w:r>
      <w:r w:rsidRPr="0087668C">
        <w:rPr>
          <w:rFonts w:ascii="Cambria" w:eastAsia="Times New Roman" w:hAnsi="Cambria"/>
          <w:sz w:val="16"/>
          <w:szCs w:val="16"/>
          <w:lang w:val="es-ES" w:eastAsia="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56B0A379" w14:textId="77777777" w:rsidR="00AF7404" w:rsidRPr="0087668C" w:rsidRDefault="00AF7404" w:rsidP="0056056C">
      <w:pPr>
        <w:jc w:val="both"/>
        <w:rPr>
          <w:rFonts w:ascii="Cambria" w:eastAsia="Times New Roman" w:hAnsi="Cambria"/>
          <w:sz w:val="16"/>
          <w:szCs w:val="16"/>
          <w:lang w:val="es-ES"/>
        </w:rPr>
      </w:pPr>
      <w:r w:rsidRPr="0087668C">
        <w:rPr>
          <w:rFonts w:ascii="Cambria" w:hAnsi="Cambria"/>
          <w:sz w:val="16"/>
          <w:szCs w:val="16"/>
          <w:lang w:val="es-US"/>
        </w:rPr>
        <w:t xml:space="preserve">Artículo </w:t>
      </w:r>
      <w:r w:rsidRPr="0087668C">
        <w:rPr>
          <w:rFonts w:ascii="Cambria" w:hAnsi="Cambria"/>
          <w:spacing w:val="-2"/>
          <w:sz w:val="16"/>
          <w:szCs w:val="16"/>
          <w:lang w:val="es-US"/>
        </w:rPr>
        <w:t>25</w:t>
      </w:r>
      <w:r w:rsidRPr="0087668C">
        <w:rPr>
          <w:rFonts w:ascii="Cambria" w:hAnsi="Cambria"/>
          <w:sz w:val="16"/>
          <w:szCs w:val="16"/>
          <w:lang w:val="es-US"/>
        </w:rPr>
        <w:t xml:space="preserve">. Protección Judicial. 1. </w:t>
      </w:r>
      <w:r w:rsidRPr="0087668C">
        <w:rPr>
          <w:rFonts w:ascii="Cambria" w:eastAsia="Times New Roman" w:hAnsi="Cambria"/>
          <w:sz w:val="16"/>
          <w:szCs w:val="16"/>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517C37BE" w14:textId="77777777" w:rsidR="00AF7404" w:rsidRPr="0087668C" w:rsidRDefault="00AF7404" w:rsidP="0056056C">
      <w:pPr>
        <w:jc w:val="both"/>
        <w:rPr>
          <w:rFonts w:ascii="Cambria" w:hAnsi="Cambria"/>
          <w:sz w:val="16"/>
          <w:szCs w:val="16"/>
          <w:lang w:val="es-US"/>
        </w:rPr>
      </w:pPr>
      <w:r w:rsidRPr="0087668C">
        <w:rPr>
          <w:rFonts w:ascii="Cambria" w:eastAsia="Times New Roman" w:hAnsi="Cambria"/>
          <w:sz w:val="16"/>
          <w:szCs w:val="16"/>
          <w:lang w:val="es-ES" w:eastAsia="es-ES"/>
        </w:rPr>
        <w:t xml:space="preserve">Artículo 1.1. Los </w:t>
      </w:r>
      <w:proofErr w:type="gramStart"/>
      <w:r w:rsidRPr="0087668C">
        <w:rPr>
          <w:rFonts w:ascii="Cambria" w:eastAsia="Times New Roman" w:hAnsi="Cambria"/>
          <w:sz w:val="16"/>
          <w:szCs w:val="16"/>
          <w:lang w:val="es-ES" w:eastAsia="es-ES"/>
        </w:rPr>
        <w:t>Estados partes</w:t>
      </w:r>
      <w:proofErr w:type="gramEnd"/>
      <w:r w:rsidRPr="0087668C">
        <w:rPr>
          <w:rFonts w:ascii="Cambria" w:eastAsia="Times New Roman" w:hAnsi="Cambria"/>
          <w:sz w:val="16"/>
          <w:szCs w:val="16"/>
          <w:lang w:val="es-ES" w:eastAsia="es-ES"/>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52">
    <w:p w14:paraId="2573453F" w14:textId="77777777" w:rsidR="00AF7404" w:rsidRPr="0087668C" w:rsidRDefault="00AF7404" w:rsidP="0056056C">
      <w:pPr>
        <w:pStyle w:val="Textonotapie"/>
        <w:jc w:val="both"/>
        <w:rPr>
          <w:rFonts w:ascii="Cambria" w:hAnsi="Cambria"/>
          <w:sz w:val="16"/>
          <w:szCs w:val="16"/>
          <w:lang w:val="es-US"/>
        </w:rPr>
      </w:pPr>
      <w:r w:rsidRPr="0087668C">
        <w:rPr>
          <w:rStyle w:val="Refdenotaalpie"/>
          <w:rFonts w:ascii="Cambria" w:hAnsi="Cambria"/>
          <w:sz w:val="16"/>
          <w:szCs w:val="16"/>
        </w:rPr>
        <w:footnoteRef/>
      </w:r>
      <w:r w:rsidRPr="0087668C">
        <w:rPr>
          <w:rFonts w:ascii="Cambria" w:hAnsi="Cambria"/>
          <w:sz w:val="16"/>
          <w:szCs w:val="16"/>
          <w:lang w:val="es-US"/>
        </w:rPr>
        <w:t xml:space="preserve"> Dichos artículos establecen lo siguiente: </w:t>
      </w:r>
    </w:p>
    <w:p w14:paraId="523457D4" w14:textId="77777777" w:rsidR="00AF7404" w:rsidRPr="0087668C" w:rsidRDefault="00AF7404" w:rsidP="0056056C">
      <w:pPr>
        <w:pStyle w:val="Textonotapie"/>
        <w:jc w:val="both"/>
        <w:rPr>
          <w:rFonts w:ascii="Cambria" w:eastAsia="Times New Roman" w:hAnsi="Cambria"/>
          <w:sz w:val="16"/>
          <w:szCs w:val="16"/>
          <w:lang w:val="es-ES"/>
        </w:rPr>
      </w:pPr>
      <w:r w:rsidRPr="0087668C">
        <w:rPr>
          <w:rFonts w:ascii="Cambria" w:eastAsia="Times New Roman" w:hAnsi="Cambria"/>
          <w:sz w:val="16"/>
          <w:szCs w:val="16"/>
          <w:lang w:val="es-ES"/>
        </w:rPr>
        <w:t xml:space="preserve">Artículo I. Los </w:t>
      </w:r>
      <w:proofErr w:type="gramStart"/>
      <w:r w:rsidRPr="0087668C">
        <w:rPr>
          <w:rFonts w:ascii="Cambria" w:eastAsia="Times New Roman" w:hAnsi="Cambria"/>
          <w:sz w:val="16"/>
          <w:szCs w:val="16"/>
          <w:lang w:val="es-ES"/>
        </w:rPr>
        <w:t>Estados partes</w:t>
      </w:r>
      <w:proofErr w:type="gramEnd"/>
      <w:r w:rsidRPr="0087668C">
        <w:rPr>
          <w:rFonts w:ascii="Cambria" w:eastAsia="Times New Roman" w:hAnsi="Cambria"/>
          <w:sz w:val="16"/>
          <w:szCs w:val="16"/>
          <w:lang w:val="es-ES"/>
        </w:rPr>
        <w:t xml:space="preserve"> en esta Convención se comprometen a: a) No practicar, no permitir, ni tolerar la desaparición forzada de personas, ni aun en estado de emergencia, excepción o suspensión de garantías individuales; b) Sancionar en el ámbito de su jurisdicción a los autores, cómplices y encubridores del delito de desaparición forzada de personas, así como la tentativa de comisión del mismo. </w:t>
      </w:r>
    </w:p>
  </w:footnote>
  <w:footnote w:id="53">
    <w:p w14:paraId="3D1A46F8" w14:textId="77777777" w:rsidR="00AF7404" w:rsidRPr="0087668C" w:rsidRDefault="00AF7404" w:rsidP="006C522F">
      <w:pPr>
        <w:tabs>
          <w:tab w:val="left" w:pos="360"/>
        </w:tabs>
        <w:jc w:val="both"/>
        <w:rPr>
          <w:rFonts w:ascii="Cambria" w:hAnsi="Cambria"/>
          <w:sz w:val="16"/>
          <w:szCs w:val="16"/>
          <w:lang w:val="es-ES_tradnl"/>
        </w:rPr>
      </w:pPr>
      <w:r w:rsidRPr="0087668C">
        <w:rPr>
          <w:rStyle w:val="Refdenotaalpie"/>
          <w:rFonts w:ascii="Cambria" w:hAnsi="Cambria"/>
          <w:sz w:val="16"/>
          <w:szCs w:val="16"/>
        </w:rPr>
        <w:footnoteRef/>
      </w:r>
      <w:r w:rsidRPr="0087668C">
        <w:rPr>
          <w:rFonts w:ascii="Cambria" w:hAnsi="Cambria"/>
          <w:sz w:val="16"/>
          <w:szCs w:val="16"/>
          <w:lang w:val="es-CO"/>
        </w:rPr>
        <w:t xml:space="preserve"> </w:t>
      </w:r>
      <w:r w:rsidRPr="0087668C">
        <w:rPr>
          <w:rFonts w:ascii="Cambria" w:hAnsi="Cambria"/>
          <w:sz w:val="16"/>
          <w:szCs w:val="16"/>
          <w:lang w:val="es-ES_tradnl"/>
        </w:rPr>
        <w:t xml:space="preserve">CIDH. Informe 101/01. Caso 10.247 y otros. Ejecuciones extrajudiciales y desapariciones forzadas de personas. Perú. 10 de octubre de 2001. Párr. 178; </w:t>
      </w:r>
      <w:r w:rsidRPr="0087668C">
        <w:rPr>
          <w:rFonts w:ascii="Cambria" w:hAnsi="Cambria"/>
          <w:sz w:val="16"/>
          <w:szCs w:val="16"/>
          <w:lang w:val="de-DE"/>
        </w:rPr>
        <w:t xml:space="preserve">CIDH. </w:t>
      </w:r>
      <w:r w:rsidRPr="0087668C">
        <w:rPr>
          <w:rFonts w:ascii="Cambria" w:hAnsi="Cambria"/>
          <w:sz w:val="16"/>
          <w:szCs w:val="16"/>
          <w:lang w:val="de-DE"/>
        </w:rPr>
        <w:t xml:space="preserve">Demanda ante la Corte Interamericana, Caso No. 11.324, Narciso González y otros, República Domincana, 2 de mayo de 2010, párr. 103; CIDH. Demanda ante la Corte Interamericana, Caso No. 12.517, Gregoria Herminia Contreras y otros, El Salvador, 28 de junio de 2010, párr. 131; </w:t>
      </w:r>
      <w:r w:rsidRPr="0087668C">
        <w:rPr>
          <w:rFonts w:ascii="Cambria" w:hAnsi="Cambria"/>
          <w:sz w:val="16"/>
          <w:szCs w:val="16"/>
          <w:lang w:val="es-ES_tradnl"/>
        </w:rPr>
        <w:t xml:space="preserve">Corte IDH, </w:t>
      </w:r>
      <w:r w:rsidRPr="0087668C">
        <w:rPr>
          <w:rFonts w:ascii="Cambria" w:hAnsi="Cambria"/>
          <w:iCs/>
          <w:sz w:val="16"/>
          <w:szCs w:val="16"/>
          <w:lang w:val="es-ES_tradnl"/>
        </w:rPr>
        <w:t xml:space="preserve">Caso </w:t>
      </w:r>
      <w:proofErr w:type="spellStart"/>
      <w:r w:rsidRPr="0087668C">
        <w:rPr>
          <w:rFonts w:ascii="Cambria" w:hAnsi="Cambria"/>
          <w:iCs/>
          <w:sz w:val="16"/>
          <w:szCs w:val="16"/>
          <w:lang w:val="es-ES_tradnl"/>
        </w:rPr>
        <w:t>Goiburú</w:t>
      </w:r>
      <w:proofErr w:type="spellEnd"/>
      <w:r w:rsidRPr="0087668C">
        <w:rPr>
          <w:rFonts w:ascii="Cambria" w:hAnsi="Cambria"/>
          <w:iCs/>
          <w:sz w:val="16"/>
          <w:szCs w:val="16"/>
          <w:lang w:val="es-ES_tradnl"/>
        </w:rPr>
        <w:t xml:space="preserve"> y otros</w:t>
      </w:r>
      <w:r w:rsidRPr="0087668C">
        <w:rPr>
          <w:rFonts w:ascii="Cambria" w:hAnsi="Cambria"/>
          <w:sz w:val="16"/>
          <w:szCs w:val="16"/>
          <w:lang w:val="es-ES_tradnl"/>
        </w:rPr>
        <w:t xml:space="preserve">. Sentencia sobre Fondo, Reparaciones y Costas. Sentencia de 22 de septiembre de 2006. Serie C No. 153. Párr. </w:t>
      </w:r>
      <w:r w:rsidRPr="0087668C">
        <w:rPr>
          <w:rFonts w:ascii="Cambria" w:hAnsi="Cambria"/>
          <w:sz w:val="16"/>
          <w:szCs w:val="16"/>
          <w:lang w:val="es-CO"/>
        </w:rPr>
        <w:t xml:space="preserve">82; </w:t>
      </w:r>
      <w:r w:rsidRPr="0087668C">
        <w:rPr>
          <w:rFonts w:ascii="Cambria" w:hAnsi="Cambria"/>
          <w:sz w:val="16"/>
          <w:szCs w:val="16"/>
          <w:lang w:val="es-ES_tradnl"/>
        </w:rPr>
        <w:t xml:space="preserve">Corte IDH, </w:t>
      </w:r>
      <w:r w:rsidRPr="0087668C">
        <w:rPr>
          <w:rFonts w:ascii="Cambria" w:hAnsi="Cambria"/>
          <w:iCs/>
          <w:sz w:val="16"/>
          <w:szCs w:val="16"/>
          <w:lang w:val="es-ES_tradnl"/>
        </w:rPr>
        <w:t>Caso Gómez Palomino</w:t>
      </w:r>
      <w:r w:rsidRPr="0087668C">
        <w:rPr>
          <w:rFonts w:ascii="Cambria" w:hAnsi="Cambria"/>
          <w:sz w:val="16"/>
          <w:szCs w:val="16"/>
          <w:lang w:val="es-ES_tradnl"/>
        </w:rPr>
        <w:t xml:space="preserve">. Sentencia de 22 de noviembre de 2005. Serie C No. 136. </w:t>
      </w:r>
      <w:r w:rsidRPr="0087668C">
        <w:rPr>
          <w:rFonts w:ascii="Cambria" w:hAnsi="Cambria"/>
          <w:sz w:val="16"/>
          <w:szCs w:val="16"/>
          <w:lang w:val="es-CO"/>
        </w:rPr>
        <w:t xml:space="preserve">Párr. 92; </w:t>
      </w:r>
      <w:r w:rsidRPr="0087668C">
        <w:rPr>
          <w:rFonts w:ascii="Cambria" w:hAnsi="Cambria"/>
          <w:sz w:val="16"/>
          <w:szCs w:val="16"/>
          <w:lang w:val="es-ES_tradnl"/>
        </w:rPr>
        <w:t>Corte I.D.H.,</w:t>
      </w:r>
      <w:r w:rsidRPr="0087668C">
        <w:rPr>
          <w:rFonts w:ascii="Cambria" w:hAnsi="Cambria"/>
          <w:sz w:val="16"/>
          <w:szCs w:val="16"/>
          <w:lang w:val="es-CO"/>
        </w:rPr>
        <w:t xml:space="preserve"> </w:t>
      </w:r>
      <w:r w:rsidRPr="0087668C">
        <w:rPr>
          <w:rFonts w:ascii="Cambria" w:hAnsi="Cambria"/>
          <w:noProof/>
          <w:sz w:val="16"/>
          <w:szCs w:val="16"/>
          <w:lang w:val="es-CO"/>
        </w:rPr>
        <w:t xml:space="preserve">Caso de las Hermanas Serrano Cruz. Excepciones preliminares. </w:t>
      </w:r>
      <w:r w:rsidRPr="0087668C">
        <w:rPr>
          <w:rFonts w:ascii="Cambria" w:hAnsi="Cambria"/>
          <w:sz w:val="16"/>
          <w:szCs w:val="16"/>
          <w:lang w:val="es-CO"/>
        </w:rPr>
        <w:t xml:space="preserve">Sentencia de 23 de noviembre de 2004. </w:t>
      </w:r>
      <w:r w:rsidRPr="0087668C">
        <w:rPr>
          <w:rFonts w:ascii="Cambria" w:hAnsi="Cambria"/>
          <w:sz w:val="16"/>
          <w:szCs w:val="16"/>
          <w:lang w:val="es-ES_tradnl"/>
        </w:rPr>
        <w:t>Serie C No. 118</w:t>
      </w:r>
      <w:r w:rsidRPr="0087668C">
        <w:rPr>
          <w:rFonts w:ascii="Cambria" w:hAnsi="Cambria"/>
          <w:noProof/>
          <w:sz w:val="16"/>
          <w:szCs w:val="16"/>
          <w:lang w:val="es-ES_tradnl"/>
        </w:rPr>
        <w:t xml:space="preserve">, Párrs. 100 a 106; Corte IDH., </w:t>
      </w:r>
      <w:r w:rsidRPr="0087668C">
        <w:rPr>
          <w:rFonts w:ascii="Cambria" w:hAnsi="Cambria"/>
          <w:sz w:val="16"/>
          <w:szCs w:val="16"/>
          <w:lang w:val="es-ES_tradnl"/>
        </w:rPr>
        <w:t xml:space="preserve">Caso Molina </w:t>
      </w:r>
      <w:proofErr w:type="spellStart"/>
      <w:r w:rsidRPr="0087668C">
        <w:rPr>
          <w:rFonts w:ascii="Cambria" w:hAnsi="Cambria"/>
          <w:sz w:val="16"/>
          <w:szCs w:val="16"/>
          <w:lang w:val="es-ES_tradnl"/>
        </w:rPr>
        <w:t>Theissen</w:t>
      </w:r>
      <w:proofErr w:type="spellEnd"/>
      <w:r w:rsidRPr="0087668C">
        <w:rPr>
          <w:rFonts w:ascii="Cambria" w:hAnsi="Cambria"/>
          <w:sz w:val="16"/>
          <w:szCs w:val="16"/>
          <w:lang w:val="es-ES_tradnl"/>
        </w:rPr>
        <w:t xml:space="preserve">. </w:t>
      </w:r>
      <w:r w:rsidRPr="0087668C">
        <w:rPr>
          <w:rFonts w:ascii="Cambria" w:hAnsi="Cambria"/>
          <w:noProof/>
          <w:sz w:val="16"/>
          <w:szCs w:val="16"/>
          <w:lang w:val="es-ES_tradnl"/>
        </w:rPr>
        <w:t xml:space="preserve">Reparaciones (art. 63.1 Convención Americana sobre Derechos Humanos). </w:t>
      </w:r>
      <w:r w:rsidRPr="0087668C">
        <w:rPr>
          <w:rFonts w:ascii="Cambria" w:hAnsi="Cambria"/>
          <w:sz w:val="16"/>
          <w:szCs w:val="16"/>
          <w:lang w:val="es-ES_tradnl"/>
        </w:rPr>
        <w:t xml:space="preserve">Sentencia de 3 de julio de 2004, Serie C No. 108, Párr. 41. </w:t>
      </w:r>
    </w:p>
  </w:footnote>
  <w:footnote w:id="54">
    <w:p w14:paraId="34216199" w14:textId="77777777" w:rsidR="00AF7404" w:rsidRPr="0087668C" w:rsidRDefault="00AF7404" w:rsidP="006C522F">
      <w:pPr>
        <w:pStyle w:val="Textonotapie"/>
        <w:jc w:val="both"/>
        <w:rPr>
          <w:rFonts w:ascii="Cambria" w:hAnsi="Cambria"/>
          <w:sz w:val="16"/>
          <w:szCs w:val="16"/>
          <w:lang w:val="es-CO"/>
        </w:rPr>
      </w:pPr>
      <w:r w:rsidRPr="0087668C">
        <w:rPr>
          <w:rStyle w:val="Refdenotaalpie"/>
          <w:rFonts w:ascii="Cambria" w:hAnsi="Cambria"/>
          <w:sz w:val="16"/>
          <w:szCs w:val="16"/>
        </w:rPr>
        <w:footnoteRef/>
      </w:r>
      <w:r w:rsidRPr="0087668C">
        <w:rPr>
          <w:rFonts w:ascii="Cambria" w:hAnsi="Cambria"/>
          <w:sz w:val="16"/>
          <w:szCs w:val="16"/>
          <w:lang w:val="es-CO"/>
        </w:rPr>
        <w:t xml:space="preserve"> </w:t>
      </w:r>
      <w:r w:rsidRPr="0087668C">
        <w:rPr>
          <w:rFonts w:ascii="Cambria" w:hAnsi="Cambria"/>
          <w:sz w:val="16"/>
          <w:szCs w:val="16"/>
          <w:lang w:val="de-DE"/>
        </w:rPr>
        <w:t>CIDH. Demanda ante la Corte Interamericana, Caso No. 12.529, Rainer Ibsen Cárdenas y José Luis Ibsen Peña, Bolivia, Mayo 12, 2009, párr. 106.</w:t>
      </w:r>
    </w:p>
  </w:footnote>
  <w:footnote w:id="55">
    <w:p w14:paraId="7FAA0BAF" w14:textId="77777777" w:rsidR="00AF7404" w:rsidRPr="0087668C" w:rsidRDefault="00AF7404" w:rsidP="006C522F">
      <w:pPr>
        <w:pStyle w:val="Textonotapie"/>
        <w:tabs>
          <w:tab w:val="left" w:pos="450"/>
        </w:tabs>
        <w:contextualSpacing/>
        <w:jc w:val="both"/>
        <w:rPr>
          <w:rFonts w:ascii="Cambria" w:hAnsi="Cambria"/>
          <w:spacing w:val="-4"/>
          <w:sz w:val="16"/>
          <w:szCs w:val="16"/>
          <w:lang w:val="es-PR"/>
        </w:rPr>
      </w:pPr>
      <w:r w:rsidRPr="0087668C">
        <w:rPr>
          <w:rStyle w:val="Refdenotaalpie"/>
          <w:rFonts w:ascii="Cambria" w:hAnsi="Cambria"/>
          <w:sz w:val="16"/>
          <w:szCs w:val="16"/>
          <w:lang w:val="es-PR"/>
        </w:rPr>
        <w:footnoteRef/>
      </w:r>
      <w:r w:rsidRPr="0087668C">
        <w:rPr>
          <w:rFonts w:ascii="Cambria" w:hAnsi="Cambria"/>
          <w:spacing w:val="-4"/>
          <w:sz w:val="16"/>
          <w:szCs w:val="16"/>
          <w:lang w:val="es-PR"/>
        </w:rPr>
        <w:t xml:space="preserve"> Caso Velásquez Rodríguez Vs. Honduras. Fondo, supra, </w:t>
      </w:r>
      <w:r w:rsidRPr="0087668C">
        <w:rPr>
          <w:rFonts w:ascii="Cambria" w:hAnsi="Cambria"/>
          <w:noProof/>
          <w:spacing w:val="-4"/>
          <w:sz w:val="16"/>
          <w:szCs w:val="16"/>
          <w:lang w:val="es-PR"/>
        </w:rPr>
        <w:t xml:space="preserve">párrs. 155 a 157, y </w:t>
      </w:r>
      <w:r w:rsidRPr="0087668C">
        <w:rPr>
          <w:rFonts w:ascii="Cambria" w:hAnsi="Cambria"/>
          <w:spacing w:val="-4"/>
          <w:sz w:val="16"/>
          <w:szCs w:val="16"/>
          <w:lang w:val="es-PR"/>
        </w:rPr>
        <w:t>Caso Osorio Rivera y Familiares Vs. Perú, supra, párr. 31.</w:t>
      </w:r>
    </w:p>
  </w:footnote>
  <w:footnote w:id="56">
    <w:p w14:paraId="398F485D" w14:textId="77777777" w:rsidR="00AF7404" w:rsidRPr="0087668C" w:rsidRDefault="00AF7404" w:rsidP="006C522F">
      <w:pPr>
        <w:pStyle w:val="Textonotapie"/>
        <w:tabs>
          <w:tab w:val="left" w:pos="720"/>
        </w:tabs>
        <w:jc w:val="both"/>
        <w:rPr>
          <w:rFonts w:ascii="Cambria" w:hAnsi="Cambria"/>
          <w:sz w:val="16"/>
          <w:szCs w:val="16"/>
          <w:highlight w:val="red"/>
          <w:lang w:val="es-ES_tradnl"/>
        </w:rPr>
      </w:pPr>
      <w:r w:rsidRPr="0087668C">
        <w:rPr>
          <w:rStyle w:val="Refdenotaalpie"/>
          <w:rFonts w:ascii="Cambria" w:hAnsi="Cambria"/>
          <w:sz w:val="16"/>
          <w:szCs w:val="16"/>
        </w:rPr>
        <w:footnoteRef/>
      </w:r>
      <w:r w:rsidRPr="0087668C">
        <w:rPr>
          <w:rFonts w:ascii="Cambria" w:hAnsi="Cambria"/>
          <w:sz w:val="16"/>
          <w:szCs w:val="16"/>
          <w:lang w:val="es-ES_tradnl"/>
        </w:rPr>
        <w:t xml:space="preserve"> Corte IDH. Caso Chaparro Álvarez y Lapo Iñiguez Vs. Ecuador. Excepciones Preliminares, Fondo, Reparaciones y Costas. Sentencia de 21 de noviembre de 2007. Serie C No. 170, párr. 171; y Caso </w:t>
      </w:r>
      <w:proofErr w:type="spellStart"/>
      <w:r w:rsidRPr="0087668C">
        <w:rPr>
          <w:rFonts w:ascii="Cambria" w:hAnsi="Cambria"/>
          <w:sz w:val="16"/>
          <w:szCs w:val="16"/>
          <w:lang w:val="es-ES_tradnl"/>
        </w:rPr>
        <w:t>Anzualdo</w:t>
      </w:r>
      <w:proofErr w:type="spellEnd"/>
      <w:r w:rsidRPr="0087668C">
        <w:rPr>
          <w:rFonts w:ascii="Cambria" w:hAnsi="Cambria"/>
          <w:sz w:val="16"/>
          <w:szCs w:val="16"/>
          <w:lang w:val="es-ES_tradnl"/>
        </w:rPr>
        <w:t xml:space="preserve"> Castro Vs. Perú. Excepción Preliminar, Fondo, Reparaciones y Costas. Sentencia de 22 de septiembre de 2009. Serie C No. 202, párr. 85. </w:t>
      </w:r>
    </w:p>
  </w:footnote>
  <w:footnote w:id="57">
    <w:p w14:paraId="48D7E124" w14:textId="77777777" w:rsidR="00AF7404" w:rsidRPr="0087668C" w:rsidRDefault="00AF7404" w:rsidP="006C522F">
      <w:pPr>
        <w:pStyle w:val="Textonotapie"/>
        <w:jc w:val="both"/>
        <w:rPr>
          <w:rFonts w:ascii="Cambria" w:hAnsi="Cambria"/>
          <w:sz w:val="16"/>
          <w:szCs w:val="16"/>
          <w:lang w:val="es-MX"/>
        </w:rPr>
      </w:pPr>
      <w:r w:rsidRPr="0087668C">
        <w:rPr>
          <w:rStyle w:val="Refdenotaalpie"/>
          <w:rFonts w:ascii="Cambria" w:hAnsi="Cambria"/>
          <w:sz w:val="16"/>
          <w:szCs w:val="16"/>
        </w:rPr>
        <w:footnoteRef/>
      </w:r>
      <w:r w:rsidRPr="0087668C">
        <w:rPr>
          <w:rFonts w:ascii="Cambria" w:hAnsi="Cambria"/>
          <w:sz w:val="16"/>
          <w:szCs w:val="16"/>
          <w:lang w:val="es-MX"/>
        </w:rPr>
        <w:t xml:space="preserve"> </w:t>
      </w:r>
      <w:r w:rsidRPr="0087668C">
        <w:rPr>
          <w:rFonts w:ascii="Cambria" w:hAnsi="Cambria"/>
          <w:noProof/>
          <w:sz w:val="16"/>
          <w:szCs w:val="16"/>
          <w:lang w:val="es-ES"/>
        </w:rPr>
        <w:t>Corte IDH. Caso Ticona Estrada y otros Vs. Bolivia. Fondo, Reparaciones y Costas. Sentencia de 27 de noviembre de 2008. Serie C No. 191, párr. 58</w:t>
      </w:r>
      <w:r w:rsidRPr="0087668C">
        <w:rPr>
          <w:rFonts w:ascii="Cambria" w:hAnsi="Cambria"/>
          <w:noProof/>
          <w:color w:val="auto"/>
          <w:sz w:val="16"/>
          <w:szCs w:val="16"/>
          <w:lang w:val="es-ES"/>
        </w:rPr>
        <w:t xml:space="preserve">; y </w:t>
      </w:r>
      <w:r w:rsidRPr="0087668C">
        <w:rPr>
          <w:rFonts w:ascii="Cambria" w:hAnsi="Cambria"/>
          <w:color w:val="auto"/>
          <w:sz w:val="16"/>
          <w:szCs w:val="16"/>
          <w:lang w:val="es-US"/>
        </w:rPr>
        <w:t xml:space="preserve">CIDH, Informe No. </w:t>
      </w:r>
      <w:r w:rsidRPr="0087668C">
        <w:rPr>
          <w:rFonts w:ascii="Cambria" w:hAnsi="Cambria"/>
          <w:color w:val="auto"/>
          <w:sz w:val="16"/>
          <w:szCs w:val="16"/>
          <w:lang w:val="es-ES"/>
        </w:rPr>
        <w:t>5/16, Casos 11.053, 11.054, 12.224, 12.225, y 12.823. Fondo. Perú. 13 de abril de 2016, párr.</w:t>
      </w:r>
      <w:r w:rsidRPr="0087668C">
        <w:rPr>
          <w:rFonts w:ascii="Cambria" w:hAnsi="Cambria"/>
          <w:color w:val="auto"/>
          <w:sz w:val="16"/>
          <w:szCs w:val="16"/>
          <w:lang w:val="es-US"/>
        </w:rPr>
        <w:t xml:space="preserve"> </w:t>
      </w:r>
      <w:r w:rsidRPr="0087668C">
        <w:rPr>
          <w:rFonts w:ascii="Cambria" w:hAnsi="Cambria"/>
          <w:noProof/>
          <w:color w:val="auto"/>
          <w:sz w:val="16"/>
          <w:szCs w:val="16"/>
          <w:lang w:val="es-ES"/>
        </w:rPr>
        <w:t xml:space="preserve">167. </w:t>
      </w:r>
    </w:p>
  </w:footnote>
  <w:footnote w:id="58">
    <w:p w14:paraId="1CE4F540" w14:textId="77777777" w:rsidR="00AF7404" w:rsidRPr="0087668C" w:rsidRDefault="00AF7404" w:rsidP="006C522F">
      <w:pPr>
        <w:pStyle w:val="Textonotapie"/>
        <w:tabs>
          <w:tab w:val="left" w:pos="720"/>
        </w:tabs>
        <w:jc w:val="both"/>
        <w:rPr>
          <w:rFonts w:ascii="Cambria" w:hAnsi="Cambria"/>
          <w:sz w:val="16"/>
          <w:szCs w:val="16"/>
          <w:highlight w:val="red"/>
          <w:lang w:val="es-ES_tradnl"/>
        </w:rPr>
      </w:pPr>
      <w:r w:rsidRPr="0087668C">
        <w:rPr>
          <w:rStyle w:val="Refdenotaalpie"/>
          <w:rFonts w:ascii="Cambria" w:hAnsi="Cambria"/>
          <w:sz w:val="16"/>
          <w:szCs w:val="16"/>
        </w:rPr>
        <w:footnoteRef/>
      </w:r>
      <w:r w:rsidRPr="0087668C">
        <w:rPr>
          <w:rFonts w:ascii="Cambria" w:hAnsi="Cambria"/>
          <w:sz w:val="16"/>
          <w:szCs w:val="16"/>
          <w:lang w:val="es-VE"/>
        </w:rPr>
        <w:t xml:space="preserve"> Corte IDH. Caso Ticona Estrada Vs. </w:t>
      </w:r>
      <w:r w:rsidRPr="0087668C">
        <w:rPr>
          <w:rFonts w:ascii="Cambria" w:hAnsi="Cambria"/>
          <w:sz w:val="16"/>
          <w:szCs w:val="16"/>
          <w:lang w:val="es-CL"/>
        </w:rPr>
        <w:t xml:space="preserve">Bolivia. Fondo, Reparaciones y Costas. Sentencia de 27 de noviembre de 2008. Serie C No. 191, párr. 59; </w:t>
      </w:r>
      <w:r w:rsidRPr="0087668C">
        <w:rPr>
          <w:rFonts w:ascii="Cambria" w:hAnsi="Cambria"/>
          <w:sz w:val="16"/>
          <w:szCs w:val="16"/>
          <w:lang w:val="es-ES_tradnl"/>
        </w:rPr>
        <w:t xml:space="preserve">Caso </w:t>
      </w:r>
      <w:proofErr w:type="spellStart"/>
      <w:r w:rsidRPr="0087668C">
        <w:rPr>
          <w:rFonts w:ascii="Cambria" w:hAnsi="Cambria"/>
          <w:sz w:val="16"/>
          <w:szCs w:val="16"/>
          <w:lang w:val="es-ES_tradnl"/>
        </w:rPr>
        <w:t>Anzualdo</w:t>
      </w:r>
      <w:proofErr w:type="spellEnd"/>
      <w:r w:rsidRPr="0087668C">
        <w:rPr>
          <w:rFonts w:ascii="Cambria" w:hAnsi="Cambria"/>
          <w:sz w:val="16"/>
          <w:szCs w:val="16"/>
          <w:lang w:val="es-ES_tradnl"/>
        </w:rPr>
        <w:t xml:space="preserve"> Castro Vs. Perú. Excepción Preliminar, Fondo, Reparaciones y Costas. Sentencia de 22 de septiembre de 2009. Serie C No. 202, párr. </w:t>
      </w:r>
      <w:r w:rsidRPr="0087668C">
        <w:rPr>
          <w:rFonts w:ascii="Cambria" w:hAnsi="Cambria"/>
          <w:sz w:val="16"/>
          <w:szCs w:val="16"/>
          <w:lang w:val="es-CL"/>
        </w:rPr>
        <w:t xml:space="preserve">85; y </w:t>
      </w:r>
      <w:r w:rsidRPr="0087668C">
        <w:rPr>
          <w:rFonts w:ascii="Cambria" w:hAnsi="Cambria"/>
          <w:sz w:val="16"/>
          <w:szCs w:val="16"/>
          <w:lang w:val="es-ES_tradnl"/>
        </w:rPr>
        <w:t xml:space="preserve">Caso </w:t>
      </w:r>
      <w:r w:rsidRPr="0087668C">
        <w:rPr>
          <w:rFonts w:ascii="Cambria" w:hAnsi="Cambria"/>
          <w:sz w:val="16"/>
          <w:szCs w:val="16"/>
          <w:lang w:val="es-CR"/>
        </w:rPr>
        <w:t xml:space="preserve">Radilla Pacheco Vs. México. </w:t>
      </w:r>
      <w:r w:rsidRPr="0087668C">
        <w:rPr>
          <w:rFonts w:ascii="Cambria" w:hAnsi="Cambria"/>
          <w:sz w:val="16"/>
          <w:szCs w:val="16"/>
          <w:lang w:val="es-ES_tradnl"/>
        </w:rPr>
        <w:t>Excepciones Preliminares, Fondo, Reparaciones y Costas. Sentencia de 23 de noviembre de 2009. Serie C No. 209</w:t>
      </w:r>
      <w:r w:rsidRPr="0087668C">
        <w:rPr>
          <w:rFonts w:ascii="Cambria" w:hAnsi="Cambria"/>
          <w:sz w:val="16"/>
          <w:szCs w:val="16"/>
          <w:lang w:val="es-CL"/>
        </w:rPr>
        <w:t>, 154.</w:t>
      </w:r>
    </w:p>
  </w:footnote>
  <w:footnote w:id="59">
    <w:p w14:paraId="16A1638E" w14:textId="77777777" w:rsidR="00AF7404" w:rsidRPr="0087668C" w:rsidRDefault="00AF7404" w:rsidP="006C522F">
      <w:pPr>
        <w:tabs>
          <w:tab w:val="left" w:pos="360"/>
          <w:tab w:val="left" w:pos="1080"/>
        </w:tabs>
        <w:jc w:val="both"/>
        <w:rPr>
          <w:rFonts w:ascii="Cambria" w:hAnsi="Cambria"/>
          <w:sz w:val="16"/>
          <w:szCs w:val="16"/>
          <w:highlight w:val="red"/>
          <w:lang w:val="es-ES_tradnl"/>
        </w:rPr>
      </w:pPr>
      <w:r w:rsidRPr="0087668C">
        <w:rPr>
          <w:rStyle w:val="Refdenotaalpie"/>
          <w:rFonts w:ascii="Cambria" w:hAnsi="Cambria"/>
          <w:sz w:val="16"/>
          <w:szCs w:val="16"/>
        </w:rPr>
        <w:footnoteRef/>
      </w:r>
      <w:r w:rsidRPr="0087668C">
        <w:rPr>
          <w:rFonts w:ascii="Cambria" w:hAnsi="Cambria"/>
          <w:sz w:val="16"/>
          <w:szCs w:val="16"/>
          <w:lang w:val="es-ES_tradnl"/>
        </w:rPr>
        <w:t xml:space="preserve"> </w:t>
      </w:r>
      <w:r w:rsidRPr="0087668C">
        <w:rPr>
          <w:rFonts w:ascii="Cambria" w:hAnsi="Cambria"/>
          <w:color w:val="000000"/>
          <w:sz w:val="16"/>
          <w:szCs w:val="16"/>
          <w:lang w:val="es-ES_tradnl"/>
        </w:rPr>
        <w:t xml:space="preserve">Corte IDH. </w:t>
      </w:r>
      <w:r w:rsidRPr="0087668C">
        <w:rPr>
          <w:rFonts w:ascii="Cambria" w:hAnsi="Cambria"/>
          <w:iCs/>
          <w:color w:val="000000"/>
          <w:sz w:val="16"/>
          <w:szCs w:val="16"/>
          <w:lang w:val="es-ES_tradnl"/>
        </w:rPr>
        <w:t>Caso 19 Comerciantes</w:t>
      </w:r>
      <w:r w:rsidRPr="0087668C">
        <w:rPr>
          <w:rFonts w:ascii="Cambria" w:hAnsi="Cambria"/>
          <w:color w:val="000000"/>
          <w:sz w:val="16"/>
          <w:szCs w:val="16"/>
          <w:lang w:val="es-ES_tradnl"/>
        </w:rPr>
        <w:t>. Sentencia de 5 de julio de 2004. Serie C No. 109, párr.</w:t>
      </w:r>
      <w:r w:rsidRPr="0087668C">
        <w:rPr>
          <w:rFonts w:ascii="Cambria" w:hAnsi="Cambria"/>
          <w:sz w:val="16"/>
          <w:szCs w:val="16"/>
          <w:lang w:val="es-ES_tradnl"/>
        </w:rPr>
        <w:t xml:space="preserve">154; Corte IDH., </w:t>
      </w:r>
      <w:r w:rsidRPr="0087668C">
        <w:rPr>
          <w:rFonts w:ascii="Cambria" w:hAnsi="Cambria"/>
          <w:iCs/>
          <w:sz w:val="16"/>
          <w:szCs w:val="16"/>
          <w:lang w:val="es-ES_tradnl"/>
        </w:rPr>
        <w:t>Caso Bámaca Velásquez.</w:t>
      </w:r>
      <w:r w:rsidRPr="0087668C">
        <w:rPr>
          <w:rFonts w:ascii="Cambria" w:hAnsi="Cambria"/>
          <w:sz w:val="16"/>
          <w:szCs w:val="16"/>
          <w:lang w:val="es-ES_tradnl"/>
        </w:rPr>
        <w:t xml:space="preserve"> Sentencia de 25 de noviembre de 2000. Serie C No. 70, párr.130; y CIDH, Informe No. 44/00. Caso 10.820. Américo Zavala Martínez. Perú. 13 de abril de 2000, párr. 41. </w:t>
      </w:r>
    </w:p>
  </w:footnote>
  <w:footnote w:id="60">
    <w:p w14:paraId="4875071E" w14:textId="77777777" w:rsidR="00AF7404" w:rsidRPr="0087668C" w:rsidRDefault="00AF7404" w:rsidP="006C522F">
      <w:pPr>
        <w:pStyle w:val="Textonotapie"/>
        <w:tabs>
          <w:tab w:val="left" w:pos="-720"/>
          <w:tab w:val="left" w:pos="360"/>
          <w:tab w:val="left" w:pos="1080"/>
        </w:tabs>
        <w:jc w:val="both"/>
        <w:rPr>
          <w:rFonts w:ascii="Cambria" w:hAnsi="Cambria"/>
          <w:sz w:val="16"/>
          <w:szCs w:val="16"/>
          <w:highlight w:val="red"/>
          <w:lang w:val="es-ES_tradnl"/>
        </w:rPr>
      </w:pPr>
      <w:r w:rsidRPr="0087668C">
        <w:rPr>
          <w:rStyle w:val="Refdenotaalpie"/>
          <w:rFonts w:ascii="Cambria" w:hAnsi="Cambria"/>
          <w:spacing w:val="-2"/>
          <w:sz w:val="16"/>
          <w:szCs w:val="16"/>
          <w:lang w:val="es-ES_tradnl"/>
        </w:rPr>
        <w:footnoteRef/>
      </w:r>
      <w:r w:rsidRPr="0087668C">
        <w:rPr>
          <w:rFonts w:ascii="Cambria" w:hAnsi="Cambria"/>
          <w:spacing w:val="-2"/>
          <w:sz w:val="16"/>
          <w:szCs w:val="16"/>
          <w:lang w:val="es-ES_tradnl"/>
        </w:rPr>
        <w:t xml:space="preserve"> </w:t>
      </w:r>
      <w:r w:rsidRPr="0087668C">
        <w:rPr>
          <w:rFonts w:ascii="Cambria" w:hAnsi="Cambria"/>
          <w:sz w:val="16"/>
          <w:szCs w:val="16"/>
          <w:lang w:val="es-ES_tradnl"/>
        </w:rPr>
        <w:t xml:space="preserve">Corte I.D.H., </w:t>
      </w:r>
      <w:r w:rsidRPr="0087668C">
        <w:rPr>
          <w:rFonts w:ascii="Cambria" w:hAnsi="Cambria"/>
          <w:iCs/>
          <w:sz w:val="16"/>
          <w:szCs w:val="16"/>
          <w:lang w:val="es-ES_tradnl"/>
        </w:rPr>
        <w:t>Caso Velásquez Rodríguez</w:t>
      </w:r>
      <w:r w:rsidRPr="0087668C">
        <w:rPr>
          <w:rFonts w:ascii="Cambria" w:hAnsi="Cambria"/>
          <w:sz w:val="16"/>
          <w:szCs w:val="16"/>
          <w:lang w:val="es-ES_tradnl"/>
        </w:rPr>
        <w:t xml:space="preserve">. Sentencia de 29 de julio de 1988. </w:t>
      </w:r>
      <w:r w:rsidRPr="0087668C">
        <w:rPr>
          <w:rFonts w:ascii="Cambria" w:hAnsi="Cambria"/>
          <w:sz w:val="16"/>
          <w:szCs w:val="16"/>
          <w:lang w:val="es-US"/>
        </w:rPr>
        <w:t>Serie C No. 4</w:t>
      </w:r>
      <w:r w:rsidRPr="0087668C">
        <w:rPr>
          <w:rFonts w:ascii="Cambria" w:hAnsi="Cambria"/>
          <w:spacing w:val="-2"/>
          <w:sz w:val="16"/>
          <w:szCs w:val="16"/>
          <w:lang w:val="es-US"/>
        </w:rPr>
        <w:t xml:space="preserve">, párr. </w:t>
      </w:r>
      <w:r w:rsidRPr="0087668C">
        <w:rPr>
          <w:rFonts w:ascii="Cambria" w:hAnsi="Cambria"/>
          <w:spacing w:val="-2"/>
          <w:sz w:val="16"/>
          <w:szCs w:val="16"/>
          <w:lang w:val="es-AR"/>
        </w:rPr>
        <w:t xml:space="preserve">188; y CIDH. Demanda ante la Corte Interamericana en el caso 12.529. </w:t>
      </w:r>
      <w:r w:rsidRPr="0087668C">
        <w:rPr>
          <w:rFonts w:ascii="Cambria" w:hAnsi="Cambria"/>
          <w:sz w:val="16"/>
          <w:szCs w:val="16"/>
          <w:lang w:val="es-ES"/>
        </w:rPr>
        <w:t xml:space="preserve">Rainer Ibsen Cárdenas y José Luís Ibsen Peña vs. Bolivia. </w:t>
      </w:r>
      <w:r w:rsidRPr="0087668C">
        <w:rPr>
          <w:rFonts w:ascii="Cambria" w:hAnsi="Cambria"/>
          <w:sz w:val="16"/>
          <w:szCs w:val="16"/>
          <w:lang w:val="es-ES_tradnl"/>
        </w:rPr>
        <w:t xml:space="preserve">12 de mayo de 2009, párr. </w:t>
      </w:r>
      <w:r w:rsidRPr="0087668C">
        <w:rPr>
          <w:rFonts w:ascii="Cambria" w:hAnsi="Cambria"/>
          <w:spacing w:val="-2"/>
          <w:sz w:val="16"/>
          <w:szCs w:val="16"/>
          <w:lang w:val="es-AR"/>
        </w:rPr>
        <w:t xml:space="preserve">248. </w:t>
      </w:r>
    </w:p>
  </w:footnote>
  <w:footnote w:id="61">
    <w:p w14:paraId="4C9EDD25" w14:textId="77777777" w:rsidR="00AF7404" w:rsidRPr="0087668C" w:rsidRDefault="00AF7404" w:rsidP="006C522F">
      <w:pPr>
        <w:pStyle w:val="Textonotapie"/>
        <w:jc w:val="both"/>
        <w:rPr>
          <w:rFonts w:ascii="Cambria" w:hAnsi="Cambria"/>
          <w:sz w:val="16"/>
          <w:szCs w:val="16"/>
          <w:highlight w:val="red"/>
          <w:lang w:val="es-ES_tradnl"/>
        </w:rPr>
      </w:pPr>
      <w:r w:rsidRPr="0087668C">
        <w:rPr>
          <w:rStyle w:val="Refdenotaalpie"/>
          <w:rFonts w:ascii="Cambria" w:hAnsi="Cambria"/>
          <w:sz w:val="16"/>
          <w:szCs w:val="16"/>
        </w:rPr>
        <w:footnoteRef/>
      </w:r>
      <w:r w:rsidRPr="0087668C">
        <w:rPr>
          <w:rFonts w:ascii="Cambria" w:hAnsi="Cambria"/>
          <w:sz w:val="16"/>
          <w:szCs w:val="16"/>
          <w:lang w:val="es-ES_tradnl"/>
        </w:rPr>
        <w:t xml:space="preserve"> CIDH. Demandas ante la Corte Interamericana en los casos: Renato Ticona Estrada y otros (12.527),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153-165; Rosendo Radilla Pacheco (12.511),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138-145; Kenneth Ney </w:t>
      </w:r>
      <w:proofErr w:type="spellStart"/>
      <w:r w:rsidRPr="0087668C">
        <w:rPr>
          <w:rFonts w:ascii="Cambria" w:hAnsi="Cambria"/>
          <w:sz w:val="16"/>
          <w:szCs w:val="16"/>
          <w:lang w:val="es-ES_tradnl"/>
        </w:rPr>
        <w:t>Anzualdo</w:t>
      </w:r>
      <w:proofErr w:type="spellEnd"/>
      <w:r w:rsidRPr="0087668C">
        <w:rPr>
          <w:rFonts w:ascii="Cambria" w:hAnsi="Cambria"/>
          <w:sz w:val="16"/>
          <w:szCs w:val="16"/>
          <w:lang w:val="es-ES_tradnl"/>
        </w:rPr>
        <w:t xml:space="preserve"> Castro (11.385),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167-176; Julia Gómez Lund y otros (11.552),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208-220; Florencio </w:t>
      </w:r>
      <w:proofErr w:type="spellStart"/>
      <w:r w:rsidRPr="0087668C">
        <w:rPr>
          <w:rFonts w:ascii="Cambria" w:hAnsi="Cambria"/>
          <w:sz w:val="16"/>
          <w:szCs w:val="16"/>
          <w:lang w:val="es-ES_tradnl"/>
        </w:rPr>
        <w:t>Chitay</w:t>
      </w:r>
      <w:proofErr w:type="spellEnd"/>
      <w:r w:rsidRPr="0087668C">
        <w:rPr>
          <w:rFonts w:ascii="Cambria" w:hAnsi="Cambria"/>
          <w:sz w:val="16"/>
          <w:szCs w:val="16"/>
          <w:lang w:val="es-ES_tradnl"/>
        </w:rPr>
        <w:t xml:space="preserve"> </w:t>
      </w:r>
      <w:proofErr w:type="spellStart"/>
      <w:r w:rsidRPr="0087668C">
        <w:rPr>
          <w:rFonts w:ascii="Cambria" w:hAnsi="Cambria"/>
          <w:sz w:val="16"/>
          <w:szCs w:val="16"/>
          <w:lang w:val="es-ES_tradnl"/>
        </w:rPr>
        <w:t>Nech</w:t>
      </w:r>
      <w:proofErr w:type="spellEnd"/>
      <w:r w:rsidRPr="0087668C">
        <w:rPr>
          <w:rFonts w:ascii="Cambria" w:hAnsi="Cambria"/>
          <w:sz w:val="16"/>
          <w:szCs w:val="16"/>
          <w:lang w:val="es-ES_tradnl"/>
        </w:rPr>
        <w:t xml:space="preserve"> (12.599),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136-146; Rainer Ibsen Cárdenas y José Luís Ibsen Peña (12.529),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251-262; y Narciso González Medina y otros (11.324),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138-149.   </w:t>
      </w:r>
    </w:p>
  </w:footnote>
  <w:footnote w:id="62">
    <w:p w14:paraId="0596A6B7" w14:textId="77777777" w:rsidR="00AF7404" w:rsidRPr="0087668C" w:rsidRDefault="00AF7404" w:rsidP="006C522F">
      <w:pPr>
        <w:pStyle w:val="Textonotapie"/>
        <w:jc w:val="both"/>
        <w:rPr>
          <w:rFonts w:ascii="Cambria" w:hAnsi="Cambria"/>
          <w:sz w:val="16"/>
          <w:szCs w:val="16"/>
          <w:highlight w:val="red"/>
          <w:lang w:val="es-ES_tradnl"/>
        </w:rPr>
      </w:pPr>
      <w:r w:rsidRPr="0087668C">
        <w:rPr>
          <w:rStyle w:val="Refdenotaalpie"/>
          <w:rFonts w:ascii="Cambria" w:hAnsi="Cambria"/>
          <w:sz w:val="16"/>
          <w:szCs w:val="16"/>
        </w:rPr>
        <w:footnoteRef/>
      </w:r>
      <w:r w:rsidRPr="0087668C">
        <w:rPr>
          <w:rFonts w:ascii="Cambria" w:hAnsi="Cambria"/>
          <w:sz w:val="16"/>
          <w:szCs w:val="16"/>
          <w:lang w:val="es-US"/>
        </w:rPr>
        <w:t xml:space="preserve"> Corte IDH. Caso </w:t>
      </w:r>
      <w:proofErr w:type="spellStart"/>
      <w:r w:rsidRPr="0087668C">
        <w:rPr>
          <w:rFonts w:ascii="Cambria" w:hAnsi="Cambria"/>
          <w:sz w:val="16"/>
          <w:szCs w:val="16"/>
          <w:lang w:val="es-US"/>
        </w:rPr>
        <w:t>Anzualdo</w:t>
      </w:r>
      <w:proofErr w:type="spellEnd"/>
      <w:r w:rsidRPr="0087668C">
        <w:rPr>
          <w:rFonts w:ascii="Cambria" w:hAnsi="Cambria"/>
          <w:sz w:val="16"/>
          <w:szCs w:val="16"/>
          <w:lang w:val="es-US"/>
        </w:rPr>
        <w:t xml:space="preserve"> Castro Vs. </w:t>
      </w:r>
      <w:r w:rsidRPr="0087668C">
        <w:rPr>
          <w:rFonts w:ascii="Cambria" w:hAnsi="Cambria"/>
          <w:sz w:val="16"/>
          <w:szCs w:val="16"/>
          <w:lang w:val="es-ES_tradnl"/>
        </w:rPr>
        <w:t xml:space="preserve">Perú. Excepción Preliminar, Fondo, Reparaciones y Costas. Sentencia de 22 de septiembre de 2009. Serie C No. 202, </w:t>
      </w:r>
      <w:proofErr w:type="spellStart"/>
      <w:r w:rsidRPr="0087668C">
        <w:rPr>
          <w:rFonts w:ascii="Cambria" w:hAnsi="Cambria"/>
          <w:sz w:val="16"/>
          <w:szCs w:val="16"/>
          <w:lang w:val="es-ES_tradnl"/>
        </w:rPr>
        <w:t>párrs</w:t>
      </w:r>
      <w:proofErr w:type="spellEnd"/>
      <w:r w:rsidRPr="0087668C">
        <w:rPr>
          <w:rFonts w:ascii="Cambria" w:hAnsi="Cambria"/>
          <w:sz w:val="16"/>
          <w:szCs w:val="16"/>
          <w:lang w:val="es-ES_tradnl"/>
        </w:rPr>
        <w:t xml:space="preserve">. 91-92; Caso </w:t>
      </w:r>
      <w:r w:rsidRPr="0087668C">
        <w:rPr>
          <w:rFonts w:ascii="Cambria" w:hAnsi="Cambria"/>
          <w:sz w:val="16"/>
          <w:szCs w:val="16"/>
          <w:lang w:val="es-CR"/>
        </w:rPr>
        <w:t xml:space="preserve">Radilla Pacheco Vs. México. </w:t>
      </w:r>
      <w:r w:rsidRPr="0087668C">
        <w:rPr>
          <w:rFonts w:ascii="Cambria" w:hAnsi="Cambria"/>
          <w:sz w:val="16"/>
          <w:szCs w:val="16"/>
          <w:lang w:val="es-ES_tradnl"/>
        </w:rPr>
        <w:t xml:space="preserve">Excepciones Preliminares, Fondo, Reparaciones y Costas. Sentencia de 23 de noviembre de 2009. Serie C No. 209, párr. 157. </w:t>
      </w:r>
    </w:p>
  </w:footnote>
  <w:footnote w:id="63">
    <w:p w14:paraId="7F867EE3" w14:textId="77777777" w:rsidR="00AF7404" w:rsidRPr="0087668C" w:rsidRDefault="00AF7404" w:rsidP="006C522F">
      <w:pPr>
        <w:pStyle w:val="Textonotapie"/>
        <w:tabs>
          <w:tab w:val="left" w:pos="720"/>
        </w:tabs>
        <w:jc w:val="both"/>
        <w:rPr>
          <w:rFonts w:ascii="Cambria" w:hAnsi="Cambria"/>
          <w:sz w:val="16"/>
          <w:szCs w:val="16"/>
          <w:highlight w:val="red"/>
          <w:lang w:val="es-ES_tradnl"/>
        </w:rPr>
      </w:pPr>
      <w:r w:rsidRPr="0087668C">
        <w:rPr>
          <w:rStyle w:val="Refdenotaalpie"/>
          <w:rFonts w:ascii="Cambria" w:hAnsi="Cambria"/>
          <w:color w:val="auto"/>
          <w:sz w:val="16"/>
          <w:szCs w:val="16"/>
        </w:rPr>
        <w:footnoteRef/>
      </w:r>
      <w:r w:rsidRPr="0087668C">
        <w:rPr>
          <w:rFonts w:ascii="Cambria" w:hAnsi="Cambria"/>
          <w:color w:val="auto"/>
          <w:sz w:val="16"/>
          <w:szCs w:val="16"/>
          <w:lang w:val="es-VE"/>
        </w:rPr>
        <w:t xml:space="preserve"> Corte IDH. Caso </w:t>
      </w:r>
      <w:proofErr w:type="spellStart"/>
      <w:r w:rsidRPr="0087668C">
        <w:rPr>
          <w:rFonts w:ascii="Cambria" w:hAnsi="Cambria"/>
          <w:color w:val="auto"/>
          <w:sz w:val="16"/>
          <w:szCs w:val="16"/>
          <w:lang w:val="es-VE"/>
        </w:rPr>
        <w:t>Anzualdo</w:t>
      </w:r>
      <w:proofErr w:type="spellEnd"/>
      <w:r w:rsidRPr="0087668C">
        <w:rPr>
          <w:rFonts w:ascii="Cambria" w:hAnsi="Cambria"/>
          <w:color w:val="auto"/>
          <w:sz w:val="16"/>
          <w:szCs w:val="16"/>
          <w:lang w:val="es-VE"/>
        </w:rPr>
        <w:t xml:space="preserve"> Castro Vs. </w:t>
      </w:r>
      <w:r w:rsidRPr="0087668C">
        <w:rPr>
          <w:rFonts w:ascii="Cambria" w:hAnsi="Cambria"/>
          <w:color w:val="auto"/>
          <w:sz w:val="16"/>
          <w:szCs w:val="16"/>
          <w:lang w:val="es-ES_tradnl"/>
        </w:rPr>
        <w:t xml:space="preserve">Perú. Excepción Preliminar, Fondo, Reparaciones y Costas. Sentencia de 22 de septiembre de 2009. Serie C No. 202, párr. </w:t>
      </w:r>
      <w:r w:rsidRPr="0087668C">
        <w:rPr>
          <w:rFonts w:ascii="Cambria" w:hAnsi="Cambria"/>
          <w:color w:val="auto"/>
          <w:sz w:val="16"/>
          <w:szCs w:val="16"/>
          <w:lang w:val="es-VE"/>
        </w:rPr>
        <w:t xml:space="preserve">90. Ver también: </w:t>
      </w:r>
      <w:r w:rsidRPr="0087668C">
        <w:rPr>
          <w:rFonts w:ascii="Cambria" w:hAnsi="Cambria"/>
          <w:color w:val="auto"/>
          <w:sz w:val="16"/>
          <w:szCs w:val="16"/>
          <w:lang w:val="es-US"/>
        </w:rPr>
        <w:t xml:space="preserve">CIDH, Informe No. </w:t>
      </w:r>
      <w:r w:rsidRPr="0087668C">
        <w:rPr>
          <w:rFonts w:ascii="Cambria" w:hAnsi="Cambria"/>
          <w:color w:val="auto"/>
          <w:sz w:val="16"/>
          <w:szCs w:val="16"/>
          <w:lang w:val="es-ES"/>
        </w:rPr>
        <w:t xml:space="preserve">5/16, Casos 11.053, 11.054, 12.224, 12.225, y 12.823. Fondo. Perú. 13 de abril de 2016, párr. </w:t>
      </w:r>
      <w:r w:rsidRPr="0087668C">
        <w:rPr>
          <w:rFonts w:ascii="Cambria" w:hAnsi="Cambria"/>
          <w:color w:val="auto"/>
          <w:sz w:val="16"/>
          <w:szCs w:val="16"/>
          <w:lang w:val="es-VE"/>
        </w:rPr>
        <w:t xml:space="preserve">166. </w:t>
      </w:r>
    </w:p>
  </w:footnote>
  <w:footnote w:id="64">
    <w:p w14:paraId="65BEC472" w14:textId="77777777" w:rsidR="00AF7404" w:rsidRPr="0087668C" w:rsidRDefault="00AF7404" w:rsidP="006C522F">
      <w:pPr>
        <w:pStyle w:val="Textonotapie"/>
        <w:tabs>
          <w:tab w:val="left" w:pos="720"/>
        </w:tabs>
        <w:jc w:val="both"/>
        <w:rPr>
          <w:rFonts w:ascii="Cambria" w:hAnsi="Cambria"/>
          <w:sz w:val="16"/>
          <w:szCs w:val="16"/>
          <w:lang w:val="es-ES_tradnl"/>
        </w:rPr>
      </w:pPr>
      <w:r w:rsidRPr="0087668C">
        <w:rPr>
          <w:rStyle w:val="Refdenotaalpie"/>
          <w:rFonts w:ascii="Cambria" w:hAnsi="Cambria"/>
          <w:sz w:val="16"/>
          <w:szCs w:val="16"/>
        </w:rPr>
        <w:footnoteRef/>
      </w:r>
      <w:r w:rsidRPr="0087668C">
        <w:rPr>
          <w:rFonts w:ascii="Cambria" w:hAnsi="Cambria"/>
          <w:sz w:val="16"/>
          <w:szCs w:val="16"/>
          <w:lang w:val="es-VE"/>
        </w:rPr>
        <w:t xml:space="preserve"> </w:t>
      </w:r>
      <w:r w:rsidRPr="0087668C">
        <w:rPr>
          <w:rFonts w:ascii="Cambria" w:hAnsi="Cambria"/>
          <w:sz w:val="16"/>
          <w:szCs w:val="16"/>
          <w:lang w:val="es-MX"/>
        </w:rPr>
        <w:t xml:space="preserve">CIDH. Informe No. 111/09. Caso 11.324. </w:t>
      </w:r>
      <w:r w:rsidRPr="0087668C">
        <w:rPr>
          <w:rFonts w:ascii="Cambria" w:hAnsi="Cambria"/>
          <w:sz w:val="16"/>
          <w:szCs w:val="16"/>
          <w:lang w:val="es-CO"/>
        </w:rPr>
        <w:t>Fondo. Narciso González Medina. República Dominicana. 10 de noviembre de 2009. Párr. 130; y</w:t>
      </w:r>
      <w:r w:rsidRPr="0087668C">
        <w:rPr>
          <w:rFonts w:ascii="Cambria" w:hAnsi="Cambria"/>
          <w:sz w:val="16"/>
          <w:szCs w:val="16"/>
          <w:lang w:val="es-MX"/>
        </w:rPr>
        <w:t xml:space="preserve"> Corte I.D.H., </w:t>
      </w:r>
      <w:r w:rsidRPr="0087668C">
        <w:rPr>
          <w:rFonts w:ascii="Cambria" w:hAnsi="Cambria"/>
          <w:bCs/>
          <w:sz w:val="16"/>
          <w:szCs w:val="16"/>
          <w:lang w:val="es-MX"/>
        </w:rPr>
        <w:t xml:space="preserve">Caso </w:t>
      </w:r>
      <w:proofErr w:type="spellStart"/>
      <w:r w:rsidRPr="0087668C">
        <w:rPr>
          <w:rFonts w:ascii="Cambria" w:hAnsi="Cambria"/>
          <w:bCs/>
          <w:sz w:val="16"/>
          <w:szCs w:val="16"/>
          <w:lang w:val="es-MX"/>
        </w:rPr>
        <w:t>Anzualdo</w:t>
      </w:r>
      <w:proofErr w:type="spellEnd"/>
      <w:r w:rsidRPr="0087668C">
        <w:rPr>
          <w:rFonts w:ascii="Cambria" w:hAnsi="Cambria"/>
          <w:bCs/>
          <w:sz w:val="16"/>
          <w:szCs w:val="16"/>
          <w:lang w:val="es-MX"/>
        </w:rPr>
        <w:t xml:space="preserve"> Castro Vs. </w:t>
      </w:r>
      <w:r w:rsidRPr="0087668C">
        <w:rPr>
          <w:rFonts w:ascii="Cambria" w:hAnsi="Cambria"/>
          <w:bCs/>
          <w:sz w:val="16"/>
          <w:szCs w:val="16"/>
          <w:lang w:val="es-ES"/>
        </w:rPr>
        <w:t xml:space="preserve">Perú. </w:t>
      </w:r>
      <w:r w:rsidRPr="0087668C">
        <w:rPr>
          <w:rFonts w:ascii="Cambria" w:hAnsi="Cambria"/>
          <w:sz w:val="16"/>
          <w:szCs w:val="16"/>
          <w:lang w:val="es-ES"/>
        </w:rPr>
        <w:t xml:space="preserve">Excepción Preliminar, Fondo, Reparaciones y Costas. Sentencia de 22 de </w:t>
      </w:r>
      <w:proofErr w:type="gramStart"/>
      <w:r w:rsidRPr="0087668C">
        <w:rPr>
          <w:rFonts w:ascii="Cambria" w:hAnsi="Cambria"/>
          <w:sz w:val="16"/>
          <w:szCs w:val="16"/>
          <w:lang w:val="es-ES"/>
        </w:rPr>
        <w:t>Septiembre</w:t>
      </w:r>
      <w:proofErr w:type="gramEnd"/>
      <w:r w:rsidRPr="0087668C">
        <w:rPr>
          <w:rFonts w:ascii="Cambria" w:hAnsi="Cambria"/>
          <w:sz w:val="16"/>
          <w:szCs w:val="16"/>
          <w:lang w:val="es-ES"/>
        </w:rPr>
        <w:t xml:space="preserve"> de 2009. Serie C No. 202, párr. 60</w:t>
      </w:r>
      <w:r w:rsidRPr="0087668C">
        <w:rPr>
          <w:rFonts w:ascii="Cambria" w:hAnsi="Cambria"/>
          <w:sz w:val="16"/>
          <w:szCs w:val="16"/>
          <w:lang w:val="es-ES_tradnl"/>
        </w:rPr>
        <w:t>.</w:t>
      </w:r>
    </w:p>
  </w:footnote>
  <w:footnote w:id="65">
    <w:p w14:paraId="62833E86"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Dicho artículo establece que los </w:t>
      </w:r>
      <w:proofErr w:type="gramStart"/>
      <w:r w:rsidRPr="00D139CD">
        <w:rPr>
          <w:rFonts w:asciiTheme="majorHAnsi" w:hAnsiTheme="majorHAnsi"/>
          <w:color w:val="000000" w:themeColor="text1"/>
          <w:sz w:val="16"/>
          <w:szCs w:val="16"/>
          <w:lang w:val="es-ES"/>
        </w:rPr>
        <w:t>Estados partes</w:t>
      </w:r>
      <w:proofErr w:type="gramEnd"/>
      <w:r w:rsidRPr="00D139CD">
        <w:rPr>
          <w:rFonts w:asciiTheme="majorHAnsi" w:hAnsiTheme="majorHAnsi"/>
          <w:color w:val="000000" w:themeColor="text1"/>
          <w:sz w:val="16"/>
          <w:szCs w:val="16"/>
          <w:lang w:val="es-ES"/>
        </w:rPr>
        <w:t xml:space="preserve"> en dicha Convención se comprometen a “sancionar en el ámbito de su jurisdicción a los autores, cómplices y encubridores del delito de desaparición forzada de personas, así como la tentativa de comisión del mismo”. </w:t>
      </w:r>
    </w:p>
  </w:footnote>
  <w:footnote w:id="66">
    <w:p w14:paraId="60029735" w14:textId="77777777" w:rsidR="00AF7404" w:rsidRPr="00D139CD" w:rsidRDefault="00AF7404" w:rsidP="00D139CD">
      <w:pPr>
        <w:tabs>
          <w:tab w:val="left" w:pos="900"/>
          <w:tab w:val="left" w:pos="1080"/>
        </w:tabs>
        <w:autoSpaceDE w:val="0"/>
        <w:autoSpaceDN w:val="0"/>
        <w:adjustRightInd w:val="0"/>
        <w:jc w:val="both"/>
        <w:rPr>
          <w:rFonts w:asciiTheme="majorHAnsi" w:hAnsiTheme="majorHAnsi"/>
          <w:color w:val="000000" w:themeColor="text1"/>
          <w:sz w:val="16"/>
          <w:szCs w:val="16"/>
          <w:lang w:val="es-ES"/>
        </w:rPr>
      </w:pPr>
      <w:r w:rsidRPr="00D139CD">
        <w:rPr>
          <w:rFonts w:asciiTheme="majorHAnsi" w:hAnsiTheme="majorHAnsi"/>
          <w:color w:val="000000" w:themeColor="text1"/>
          <w:sz w:val="16"/>
          <w:szCs w:val="16"/>
          <w:lang w:val="es-ES"/>
        </w:rPr>
        <w:t xml:space="preserve"> </w:t>
      </w: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CIDH. Informe No. 111/09. Caso 11.324. Fondo. Narciso González Medina. República Dominicana. 10 de noviembre de 2009. Párr. 225; Corte IDH. Caso </w:t>
      </w:r>
      <w:proofErr w:type="spellStart"/>
      <w:r w:rsidRPr="00D139CD">
        <w:rPr>
          <w:rFonts w:asciiTheme="majorHAnsi" w:hAnsiTheme="majorHAnsi"/>
          <w:color w:val="000000" w:themeColor="text1"/>
          <w:sz w:val="16"/>
          <w:szCs w:val="16"/>
          <w:lang w:val="es-ES"/>
        </w:rPr>
        <w:t>Anzualdo</w:t>
      </w:r>
      <w:proofErr w:type="spellEnd"/>
      <w:r w:rsidRPr="00D139CD">
        <w:rPr>
          <w:rFonts w:asciiTheme="majorHAnsi" w:hAnsiTheme="majorHAnsi"/>
          <w:color w:val="000000" w:themeColor="text1"/>
          <w:sz w:val="16"/>
          <w:szCs w:val="16"/>
          <w:lang w:val="es-ES"/>
        </w:rPr>
        <w:t xml:space="preserve"> Castro Vs. Perú. Excepción Preliminar, Fondo, Reparaciones y Costas. Sentencia de 22 de </w:t>
      </w:r>
      <w:proofErr w:type="gramStart"/>
      <w:r w:rsidRPr="00D139CD">
        <w:rPr>
          <w:rFonts w:asciiTheme="majorHAnsi" w:hAnsiTheme="majorHAnsi"/>
          <w:color w:val="000000" w:themeColor="text1"/>
          <w:sz w:val="16"/>
          <w:szCs w:val="16"/>
          <w:lang w:val="es-ES"/>
        </w:rPr>
        <w:t>Septiembre</w:t>
      </w:r>
      <w:proofErr w:type="gramEnd"/>
      <w:r w:rsidRPr="00D139CD">
        <w:rPr>
          <w:rFonts w:asciiTheme="majorHAnsi" w:hAnsiTheme="majorHAnsi"/>
          <w:color w:val="000000" w:themeColor="text1"/>
          <w:sz w:val="16"/>
          <w:szCs w:val="16"/>
          <w:lang w:val="es-ES"/>
        </w:rPr>
        <w:t xml:space="preserve"> de 2009. Serie C No. 202, párr. 134; </w:t>
      </w:r>
      <w:r w:rsidRPr="00D139CD">
        <w:rPr>
          <w:rFonts w:asciiTheme="majorHAnsi" w:hAnsiTheme="majorHAnsi"/>
          <w:bCs/>
          <w:color w:val="000000" w:themeColor="text1"/>
          <w:sz w:val="16"/>
          <w:szCs w:val="16"/>
          <w:lang w:val="es-ES"/>
        </w:rPr>
        <w:t xml:space="preserve">Caso Radilla Pacheco Vs. México. </w:t>
      </w:r>
      <w:r w:rsidRPr="00D139CD">
        <w:rPr>
          <w:rFonts w:asciiTheme="majorHAnsi" w:hAnsiTheme="majorHAnsi"/>
          <w:color w:val="000000" w:themeColor="text1"/>
          <w:sz w:val="16"/>
          <w:szCs w:val="16"/>
          <w:lang w:val="es-ES"/>
        </w:rPr>
        <w:t xml:space="preserve">Excepciones Preliminares, Fondo, Reparaciones y Costas. Sentencia de 23 de </w:t>
      </w:r>
      <w:proofErr w:type="gramStart"/>
      <w:r w:rsidRPr="00D139CD">
        <w:rPr>
          <w:rFonts w:asciiTheme="majorHAnsi" w:hAnsiTheme="majorHAnsi"/>
          <w:color w:val="000000" w:themeColor="text1"/>
          <w:sz w:val="16"/>
          <w:szCs w:val="16"/>
          <w:lang w:val="es-ES"/>
        </w:rPr>
        <w:t>Noviembre</w:t>
      </w:r>
      <w:proofErr w:type="gramEnd"/>
      <w:r w:rsidRPr="00D139CD">
        <w:rPr>
          <w:rFonts w:asciiTheme="majorHAnsi" w:hAnsiTheme="majorHAnsi"/>
          <w:color w:val="000000" w:themeColor="text1"/>
          <w:sz w:val="16"/>
          <w:szCs w:val="16"/>
          <w:lang w:val="es-ES"/>
        </w:rPr>
        <w:t xml:space="preserve"> de 2009. Serie C No. 209, párr. 221, </w:t>
      </w:r>
      <w:r w:rsidRPr="00D139CD">
        <w:rPr>
          <w:rFonts w:asciiTheme="majorHAnsi" w:hAnsiTheme="majorHAnsi"/>
          <w:bCs/>
          <w:color w:val="000000" w:themeColor="text1"/>
          <w:sz w:val="16"/>
          <w:szCs w:val="16"/>
          <w:lang w:val="es-ES"/>
        </w:rPr>
        <w:t xml:space="preserve">Caso Ibsen Cárdenas e Ibsen Peña Vs. Bolivia. </w:t>
      </w:r>
      <w:r w:rsidRPr="00D139CD">
        <w:rPr>
          <w:rFonts w:asciiTheme="majorHAnsi" w:hAnsiTheme="majorHAnsi"/>
          <w:color w:val="000000" w:themeColor="text1"/>
          <w:sz w:val="16"/>
          <w:szCs w:val="16"/>
          <w:lang w:val="es-ES"/>
        </w:rPr>
        <w:t xml:space="preserve">Fondo, Reparaciones y Costas. Sentencia de 1 de septiembre de 2010. Serie C No. 217, párr. 167. Ver también Asunto Natera Balboa. Medida Provisionales respecto de Venezuela. Resolución de la Corte de 1 de febrero de 2010, Considerando decimotercero, y Asunto Guerrero </w:t>
      </w:r>
      <w:proofErr w:type="spellStart"/>
      <w:r w:rsidRPr="00D139CD">
        <w:rPr>
          <w:rFonts w:asciiTheme="majorHAnsi" w:hAnsiTheme="majorHAnsi"/>
          <w:color w:val="000000" w:themeColor="text1"/>
          <w:sz w:val="16"/>
          <w:szCs w:val="16"/>
          <w:lang w:val="es-ES"/>
        </w:rPr>
        <w:t>Larez</w:t>
      </w:r>
      <w:proofErr w:type="spellEnd"/>
      <w:r w:rsidRPr="00D139CD">
        <w:rPr>
          <w:rFonts w:asciiTheme="majorHAnsi" w:hAnsiTheme="majorHAnsi"/>
          <w:color w:val="000000" w:themeColor="text1"/>
          <w:sz w:val="16"/>
          <w:szCs w:val="16"/>
          <w:lang w:val="es-ES"/>
        </w:rPr>
        <w:t xml:space="preserve">. Medidas Provisionales respecto de Venezuela. Resolución de la Corte de 29 de agosto de 2013. Considerando sexto. </w:t>
      </w:r>
    </w:p>
  </w:footnote>
  <w:footnote w:id="67">
    <w:p w14:paraId="5E6FC81C"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Caso Velásquez Rodríguez Vs Honduras. Excepciones Preliminares. Sentencia de 26 de junio de 1987. Serie C No. 1, párr. 91; Caso </w:t>
      </w:r>
      <w:r w:rsidRPr="00D139CD">
        <w:rPr>
          <w:rStyle w:val="Textoennegrita"/>
          <w:rFonts w:asciiTheme="majorHAnsi" w:hAnsiTheme="majorHAnsi"/>
          <w:b w:val="0"/>
          <w:color w:val="000000" w:themeColor="text1"/>
          <w:sz w:val="16"/>
          <w:szCs w:val="16"/>
          <w:lang w:val="es-ES"/>
        </w:rPr>
        <w:t>Gutiérrez y Familia Vs. Argentina. Fondo, Reparaciones y Costas. Sentencia de 25 de noviembre de 2013. Serie C No. 271,</w:t>
      </w:r>
      <w:r>
        <w:rPr>
          <w:rStyle w:val="Textoennegrita"/>
          <w:rFonts w:asciiTheme="majorHAnsi" w:hAnsiTheme="majorHAnsi"/>
          <w:b w:val="0"/>
          <w:color w:val="000000" w:themeColor="text1"/>
          <w:sz w:val="16"/>
          <w:szCs w:val="16"/>
          <w:lang w:val="es-ES"/>
        </w:rPr>
        <w:t xml:space="preserve"> </w:t>
      </w:r>
      <w:r w:rsidRPr="00D139CD">
        <w:rPr>
          <w:rFonts w:asciiTheme="majorHAnsi" w:hAnsiTheme="majorHAnsi"/>
          <w:color w:val="000000" w:themeColor="text1"/>
          <w:sz w:val="16"/>
          <w:szCs w:val="16"/>
          <w:lang w:val="es-ES"/>
        </w:rPr>
        <w:t>párr. 97; y Caso Hermanos Landaeta Mejías y otros Vs. Venezuela. Excepciones</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Preliminares, Fondo, Reparaciones y Costas. Sentencia de 27 de agosto de 2014. Serie C No. 281, párr. 215. </w:t>
      </w:r>
    </w:p>
  </w:footnote>
  <w:footnote w:id="68">
    <w:p w14:paraId="015CBDAE" w14:textId="77777777" w:rsidR="00AF7404" w:rsidRPr="00D139CD" w:rsidRDefault="00AF7404" w:rsidP="00D139CD">
      <w:pPr>
        <w:widowControl w:val="0"/>
        <w:tabs>
          <w:tab w:val="left" w:pos="567"/>
        </w:tabs>
        <w:autoSpaceDE w:val="0"/>
        <w:autoSpaceDN w:val="0"/>
        <w:adjustRightInd w:val="0"/>
        <w:jc w:val="both"/>
        <w:rPr>
          <w:rFonts w:asciiTheme="majorHAnsi" w:hAnsiTheme="majorHAnsi" w:cs="Calibri"/>
          <w:color w:val="000000" w:themeColor="text1"/>
          <w:sz w:val="16"/>
          <w:szCs w:val="16"/>
          <w:lang w:val="es-ES" w:eastAsia="es-ES"/>
        </w:rPr>
      </w:pPr>
      <w:r w:rsidRPr="00D139CD">
        <w:rPr>
          <w:rStyle w:val="Refdenotaalpie"/>
          <w:rFonts w:asciiTheme="majorHAnsi" w:hAnsiTheme="majorHAnsi"/>
          <w:color w:val="000000" w:themeColor="text1"/>
          <w:spacing w:val="-6"/>
          <w:sz w:val="16"/>
          <w:szCs w:val="16"/>
          <w:lang w:val="es-ES"/>
        </w:rPr>
        <w:footnoteRef/>
      </w:r>
      <w:r w:rsidRPr="00D139CD">
        <w:rPr>
          <w:rFonts w:asciiTheme="majorHAnsi" w:hAnsiTheme="majorHAnsi"/>
          <w:color w:val="000000" w:themeColor="text1"/>
          <w:spacing w:val="-6"/>
          <w:sz w:val="16"/>
          <w:szCs w:val="16"/>
          <w:lang w:val="es-ES"/>
        </w:rPr>
        <w:t xml:space="preserve"> </w:t>
      </w:r>
      <w:r w:rsidRPr="00D139CD">
        <w:rPr>
          <w:rFonts w:asciiTheme="majorHAnsi" w:hAnsiTheme="majorHAnsi" w:cs="Calibri"/>
          <w:color w:val="000000" w:themeColor="text1"/>
          <w:sz w:val="16"/>
          <w:szCs w:val="16"/>
          <w:lang w:val="es-ES" w:eastAsia="es-ES"/>
        </w:rPr>
        <w:t>Corte IDH. Caso</w:t>
      </w:r>
      <w:r>
        <w:rPr>
          <w:rFonts w:asciiTheme="majorHAnsi" w:hAnsiTheme="majorHAnsi" w:cs="Calibri"/>
          <w:color w:val="000000" w:themeColor="text1"/>
          <w:sz w:val="16"/>
          <w:szCs w:val="16"/>
          <w:lang w:val="es-ES" w:eastAsia="es-ES"/>
        </w:rPr>
        <w:t xml:space="preserve"> </w:t>
      </w:r>
      <w:r w:rsidRPr="00D139CD">
        <w:rPr>
          <w:rFonts w:asciiTheme="majorHAnsi" w:hAnsiTheme="majorHAnsi" w:cs="Calibri"/>
          <w:color w:val="000000" w:themeColor="text1"/>
          <w:sz w:val="16"/>
          <w:szCs w:val="16"/>
          <w:lang w:val="es-ES" w:eastAsia="es-ES"/>
        </w:rPr>
        <w:t xml:space="preserve">Velásquez Rodríguez. Vs. Honduras. Fondo. Sentencia de 29 de julio de 1988. Serie C No. 1, párr. </w:t>
      </w:r>
      <w:proofErr w:type="gramStart"/>
      <w:r w:rsidRPr="00D139CD">
        <w:rPr>
          <w:rFonts w:asciiTheme="majorHAnsi" w:hAnsiTheme="majorHAnsi" w:cs="Calibri"/>
          <w:color w:val="000000" w:themeColor="text1"/>
          <w:sz w:val="16"/>
          <w:szCs w:val="16"/>
          <w:lang w:val="es-ES" w:eastAsia="es-ES"/>
        </w:rPr>
        <w:t>177;y</w:t>
      </w:r>
      <w:proofErr w:type="gramEnd"/>
      <w:r w:rsidRPr="00D139CD">
        <w:rPr>
          <w:rFonts w:asciiTheme="majorHAnsi" w:hAnsiTheme="majorHAnsi" w:cs="Calibri"/>
          <w:color w:val="000000" w:themeColor="text1"/>
          <w:sz w:val="16"/>
          <w:szCs w:val="16"/>
          <w:lang w:val="es-ES" w:eastAsia="es-ES"/>
        </w:rPr>
        <w:t xml:space="preserve"> Caso Veliz Franco y otros Vs. Guatemala. Excepciones Preliminares, Fondo, Reparaciones y Costas. Sentencia de 19 de mayo de 2014. Serie C No. 277, párr. 183.</w:t>
      </w:r>
    </w:p>
  </w:footnote>
  <w:footnote w:id="69">
    <w:p w14:paraId="5DE57814"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Caso Myrna Mack Chang Vs. Guatemala. Fondo, Reparaciones y Costas. Sentencia de 25 de noviembre de 2003. Serie C No. 101, párr. 156; y Caso de las Comunidades Afrodescendientes Desplazadas de la Cuenca del Río Cacarica (Operación Génesis) Vs. Colombia. Excepciones Preliminares, Fondo, Reparaciones y Costas. Sentencia de 20 de noviembre de 2013. Serie C No. 270, párr. 371.</w:t>
      </w:r>
    </w:p>
  </w:footnote>
  <w:footnote w:id="70">
    <w:p w14:paraId="473C7620" w14:textId="77777777" w:rsidR="00AF7404" w:rsidRPr="00D139CD" w:rsidRDefault="00AF7404" w:rsidP="00D139CD">
      <w:pPr>
        <w:tabs>
          <w:tab w:val="left" w:pos="567"/>
        </w:tabs>
        <w:jc w:val="both"/>
        <w:rPr>
          <w:rFonts w:asciiTheme="majorHAnsi" w:hAnsiTheme="majorHAnsi" w:cs="Calibri"/>
          <w:color w:val="000000" w:themeColor="text1"/>
          <w:sz w:val="16"/>
          <w:szCs w:val="16"/>
          <w:lang w:val="es-ES" w:eastAsia="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s="Calibri"/>
          <w:color w:val="000000" w:themeColor="text1"/>
          <w:sz w:val="16"/>
          <w:szCs w:val="16"/>
          <w:lang w:val="es-ES" w:eastAsia="es-ES"/>
        </w:rPr>
        <w:t xml:space="preserve"> Corte IDH. Caso Velásquez Rodríguez Vs. Honduras. Fondo. Sentencia de 29 de julio de 1988. Serie C No. 1, párr. </w:t>
      </w:r>
      <w:proofErr w:type="gramStart"/>
      <w:r w:rsidRPr="00D139CD">
        <w:rPr>
          <w:rFonts w:asciiTheme="majorHAnsi" w:hAnsiTheme="majorHAnsi" w:cs="Calibri"/>
          <w:color w:val="000000" w:themeColor="text1"/>
          <w:sz w:val="16"/>
          <w:szCs w:val="16"/>
          <w:lang w:val="es-ES" w:eastAsia="es-ES"/>
        </w:rPr>
        <w:t>177;y</w:t>
      </w:r>
      <w:proofErr w:type="gramEnd"/>
      <w:r w:rsidRPr="00D139CD">
        <w:rPr>
          <w:rFonts w:asciiTheme="majorHAnsi" w:hAnsiTheme="majorHAnsi" w:cs="Calibri"/>
          <w:color w:val="000000" w:themeColor="text1"/>
          <w:sz w:val="16"/>
          <w:szCs w:val="16"/>
          <w:lang w:val="es-ES" w:eastAsia="es-ES"/>
        </w:rPr>
        <w:t xml:space="preserve"> Caso Veliz Franco y otros Vs. Guatemala. Excepciones Preliminares. Fondo, Reparaciones y Costas. Sentencia de 19 de mayo de 2014. Serie C No. 277, párr.183.</w:t>
      </w:r>
    </w:p>
  </w:footnote>
  <w:footnote w:id="71">
    <w:p w14:paraId="758C8D47" w14:textId="77777777" w:rsidR="00AF7404" w:rsidRPr="00D139CD" w:rsidRDefault="00AF7404" w:rsidP="00D139CD">
      <w:pPr>
        <w:widowControl w:val="0"/>
        <w:tabs>
          <w:tab w:val="left" w:pos="567"/>
        </w:tabs>
        <w:autoSpaceDE w:val="0"/>
        <w:autoSpaceDN w:val="0"/>
        <w:adjustRightInd w:val="0"/>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Caso de las Masacres de Ituango vs. Colombia. Sentencia de 1 de julio de 2006, Serie C. No. 148, párr. </w:t>
      </w:r>
      <w:proofErr w:type="gramStart"/>
      <w:r w:rsidRPr="00D139CD">
        <w:rPr>
          <w:rFonts w:asciiTheme="majorHAnsi" w:hAnsiTheme="majorHAnsi"/>
          <w:color w:val="000000" w:themeColor="text1"/>
          <w:sz w:val="16"/>
          <w:szCs w:val="16"/>
          <w:lang w:val="es-ES"/>
        </w:rPr>
        <w:t>319;Caso</w:t>
      </w:r>
      <w:proofErr w:type="gramEnd"/>
      <w:r w:rsidRPr="00D139CD">
        <w:rPr>
          <w:rFonts w:asciiTheme="majorHAnsi" w:hAnsiTheme="majorHAnsi"/>
          <w:color w:val="000000" w:themeColor="text1"/>
          <w:sz w:val="16"/>
          <w:szCs w:val="16"/>
          <w:lang w:val="es-ES"/>
        </w:rPr>
        <w:t xml:space="preserve"> Veliz Franco </w:t>
      </w:r>
      <w:r w:rsidRPr="00D139CD">
        <w:rPr>
          <w:rFonts w:asciiTheme="majorHAnsi" w:hAnsiTheme="majorHAnsi" w:cs="Verdana"/>
          <w:color w:val="000000" w:themeColor="text1"/>
          <w:sz w:val="16"/>
          <w:szCs w:val="16"/>
          <w:lang w:val="es-ES"/>
        </w:rPr>
        <w:t xml:space="preserve">y otros Vs. Guatemala. Excepciones Preliminares, Fondo, Reparaciones y Costas. Sentencia de 19 de mayo de 2014. Serie C No. 277, párr. 183; y </w:t>
      </w:r>
      <w:r w:rsidRPr="00D139CD">
        <w:rPr>
          <w:rFonts w:asciiTheme="majorHAnsi" w:hAnsiTheme="majorHAnsi"/>
          <w:color w:val="000000" w:themeColor="text1"/>
          <w:sz w:val="16"/>
          <w:szCs w:val="16"/>
          <w:lang w:val="es-ES"/>
        </w:rPr>
        <w:t>Caso Hermanos Landaeta Mejías y otros Vs. Venezuela. Excepciones</w:t>
      </w:r>
      <w:r>
        <w:rPr>
          <w:rFonts w:asciiTheme="majorHAnsi" w:hAnsiTheme="majorHAnsi"/>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Preliminares, Fondo, Reparaciones y Costas. Sentencia de 27 de agosto de 2014. Serie C No. 281, párr., 216. </w:t>
      </w:r>
    </w:p>
  </w:footnote>
  <w:footnote w:id="72">
    <w:p w14:paraId="2C14CCF6"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Caso Cantoral Huamaní y García Santa Cruz Vs. Perú. Excepción Preliminar, Fondo, Reparaciones y Costas. Sentencia de 10 de julio de 2007. Serie C No. 167, párr. 131.</w:t>
      </w:r>
    </w:p>
  </w:footnote>
  <w:footnote w:id="73">
    <w:p w14:paraId="3507D00F" w14:textId="77777777" w:rsidR="00AF7404" w:rsidRPr="0060704A" w:rsidRDefault="00AF7404" w:rsidP="00D139CD">
      <w:pPr>
        <w:jc w:val="both"/>
        <w:rPr>
          <w:rFonts w:asciiTheme="majorHAnsi" w:hAnsiTheme="majorHAnsi"/>
          <w:color w:val="000000" w:themeColor="text1"/>
          <w:sz w:val="16"/>
          <w:szCs w:val="16"/>
          <w:lang w:val="pt-BR"/>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CIDH. Informe de Fondo, N˚ 55/97, Juan Carlos Abella y Otros (Argentina), 18 de noviembre de 1997, párr. </w:t>
      </w:r>
      <w:r w:rsidRPr="0060704A">
        <w:rPr>
          <w:rFonts w:asciiTheme="majorHAnsi" w:hAnsiTheme="majorHAnsi"/>
          <w:color w:val="000000" w:themeColor="text1"/>
          <w:sz w:val="16"/>
          <w:szCs w:val="16"/>
          <w:lang w:val="pt-BR"/>
        </w:rPr>
        <w:t>412.</w:t>
      </w:r>
    </w:p>
  </w:footnote>
  <w:footnote w:id="74">
    <w:p w14:paraId="07C5AF5C"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60704A">
        <w:rPr>
          <w:rFonts w:asciiTheme="majorHAnsi" w:hAnsiTheme="majorHAnsi"/>
          <w:color w:val="000000" w:themeColor="text1"/>
          <w:sz w:val="16"/>
          <w:szCs w:val="16"/>
          <w:lang w:val="pt-BR"/>
        </w:rPr>
        <w:t xml:space="preserve"> CIDH. Informe No. 25/09 </w:t>
      </w:r>
      <w:proofErr w:type="spellStart"/>
      <w:r w:rsidRPr="0060704A">
        <w:rPr>
          <w:rFonts w:asciiTheme="majorHAnsi" w:hAnsiTheme="majorHAnsi"/>
          <w:color w:val="000000" w:themeColor="text1"/>
          <w:sz w:val="16"/>
          <w:szCs w:val="16"/>
          <w:lang w:val="pt-BR"/>
        </w:rPr>
        <w:t>Fondo</w:t>
      </w:r>
      <w:proofErr w:type="spellEnd"/>
      <w:r w:rsidRPr="0060704A">
        <w:rPr>
          <w:rFonts w:asciiTheme="majorHAnsi" w:hAnsiTheme="majorHAnsi"/>
          <w:color w:val="000000" w:themeColor="text1"/>
          <w:sz w:val="16"/>
          <w:szCs w:val="16"/>
          <w:lang w:val="pt-BR"/>
        </w:rPr>
        <w:t xml:space="preserve"> (Sebastião Camargo Filho) Brasil, 19 de </w:t>
      </w:r>
      <w:proofErr w:type="spellStart"/>
      <w:r w:rsidRPr="0060704A">
        <w:rPr>
          <w:rFonts w:asciiTheme="majorHAnsi" w:hAnsiTheme="majorHAnsi"/>
          <w:color w:val="000000" w:themeColor="text1"/>
          <w:sz w:val="16"/>
          <w:szCs w:val="16"/>
          <w:lang w:val="pt-BR"/>
        </w:rPr>
        <w:t>marzo</w:t>
      </w:r>
      <w:proofErr w:type="spellEnd"/>
      <w:r w:rsidRPr="0060704A">
        <w:rPr>
          <w:rFonts w:asciiTheme="majorHAnsi" w:hAnsiTheme="majorHAnsi"/>
          <w:color w:val="000000" w:themeColor="text1"/>
          <w:sz w:val="16"/>
          <w:szCs w:val="16"/>
          <w:lang w:val="pt-BR"/>
        </w:rPr>
        <w:t xml:space="preserve"> de 2009, </w:t>
      </w:r>
      <w:proofErr w:type="spellStart"/>
      <w:r w:rsidRPr="0060704A">
        <w:rPr>
          <w:rFonts w:asciiTheme="majorHAnsi" w:hAnsiTheme="majorHAnsi"/>
          <w:color w:val="000000" w:themeColor="text1"/>
          <w:sz w:val="16"/>
          <w:szCs w:val="16"/>
          <w:lang w:val="pt-BR"/>
        </w:rPr>
        <w:t>párr</w:t>
      </w:r>
      <w:proofErr w:type="spellEnd"/>
      <w:r w:rsidRPr="0060704A">
        <w:rPr>
          <w:rFonts w:asciiTheme="majorHAnsi" w:hAnsiTheme="majorHAnsi"/>
          <w:color w:val="000000" w:themeColor="text1"/>
          <w:sz w:val="16"/>
          <w:szCs w:val="16"/>
          <w:lang w:val="pt-BR"/>
        </w:rPr>
        <w:t xml:space="preserve">. </w:t>
      </w:r>
      <w:r w:rsidRPr="00D139CD">
        <w:rPr>
          <w:rFonts w:asciiTheme="majorHAnsi" w:hAnsiTheme="majorHAnsi"/>
          <w:color w:val="000000" w:themeColor="text1"/>
          <w:sz w:val="16"/>
          <w:szCs w:val="16"/>
          <w:lang w:val="es-ES"/>
        </w:rPr>
        <w:t>109. Ver también, CIDH, Acceso a la Justicia para las Mujeres Víctimas de Violencia en las Américas, OEA/Ser. L/V/II. doc.68, 20 de enero de 2007, párr. 41.</w:t>
      </w:r>
    </w:p>
  </w:footnote>
  <w:footnote w:id="75">
    <w:p w14:paraId="45E52314"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w:t>
      </w:r>
      <w:r w:rsidRPr="00D139CD">
        <w:rPr>
          <w:rFonts w:asciiTheme="majorHAnsi" w:hAnsiTheme="majorHAnsi"/>
          <w:iCs/>
          <w:color w:val="000000" w:themeColor="text1"/>
          <w:sz w:val="16"/>
          <w:szCs w:val="16"/>
          <w:lang w:val="es-ES"/>
        </w:rPr>
        <w:t>Caso de los “Niños de la Calle” (Villagrán Morales y otros).</w:t>
      </w:r>
      <w:r w:rsidRPr="00D139CD">
        <w:rPr>
          <w:rFonts w:asciiTheme="majorHAnsi" w:hAnsiTheme="majorHAnsi"/>
          <w:color w:val="000000" w:themeColor="text1"/>
          <w:sz w:val="16"/>
          <w:szCs w:val="16"/>
          <w:lang w:val="es-ES"/>
        </w:rPr>
        <w:t xml:space="preserve"> Sentencia de 19 de noviembre de 1999. Serie C No. 63, párr. 230. Ver también, CIDH, Acceso a la Justicia para las Mujeres Víctimas de Violencia en las Américas, OEA/Ser. L/V/II. doc.68, 20 de enero de 2007, párr. 41.</w:t>
      </w:r>
    </w:p>
  </w:footnote>
  <w:footnote w:id="76">
    <w:p w14:paraId="027F9B20"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s="Arial"/>
          <w:color w:val="000000" w:themeColor="text1"/>
          <w:sz w:val="16"/>
          <w:szCs w:val="16"/>
          <w:lang w:val="es-ES"/>
        </w:rPr>
        <w:t xml:space="preserve"> CIDH. Informe No. 111/10, Caso 12.539, Fondo, Sebastián Claus </w:t>
      </w:r>
      <w:proofErr w:type="spellStart"/>
      <w:r w:rsidRPr="00D139CD">
        <w:rPr>
          <w:rFonts w:asciiTheme="majorHAnsi" w:hAnsiTheme="majorHAnsi" w:cs="Arial"/>
          <w:color w:val="000000" w:themeColor="text1"/>
          <w:sz w:val="16"/>
          <w:szCs w:val="16"/>
          <w:lang w:val="es-ES"/>
        </w:rPr>
        <w:t>Furlan</w:t>
      </w:r>
      <w:proofErr w:type="spellEnd"/>
      <w:r w:rsidRPr="00D139CD">
        <w:rPr>
          <w:rFonts w:asciiTheme="majorHAnsi" w:hAnsiTheme="majorHAnsi" w:cs="Arial"/>
          <w:color w:val="000000" w:themeColor="text1"/>
          <w:sz w:val="16"/>
          <w:szCs w:val="16"/>
          <w:lang w:val="es-ES"/>
        </w:rPr>
        <w:t xml:space="preserve"> y familia, Argentina, 21 de octubre de 2010, párr. 100. Corte IDH, </w:t>
      </w:r>
      <w:r w:rsidRPr="00D139CD">
        <w:rPr>
          <w:rFonts w:asciiTheme="majorHAnsi" w:hAnsiTheme="majorHAnsi" w:cs="Arial"/>
          <w:color w:val="000000" w:themeColor="text1"/>
          <w:sz w:val="16"/>
          <w:szCs w:val="16"/>
          <w:shd w:val="clear" w:color="auto" w:fill="FFFFFF"/>
          <w:lang w:val="es-ES"/>
        </w:rPr>
        <w:t>Caso Masacre de Santo Domingo Vs. Colombia. Excepciones Preliminares, Fondo y Reparaciones. Sentencia de 30 de noviembre de 2012. Serie C No. 259,</w:t>
      </w:r>
      <w:r w:rsidRPr="00D139CD">
        <w:rPr>
          <w:rFonts w:asciiTheme="majorHAnsi" w:hAnsiTheme="majorHAnsi" w:cs="Arial"/>
          <w:color w:val="000000" w:themeColor="text1"/>
          <w:sz w:val="16"/>
          <w:szCs w:val="16"/>
          <w:lang w:val="es-ES"/>
        </w:rPr>
        <w:t xml:space="preserve"> párr. 164.</w:t>
      </w:r>
    </w:p>
  </w:footnote>
  <w:footnote w:id="77">
    <w:p w14:paraId="746EBA77"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w:t>
      </w:r>
      <w:r w:rsidRPr="00D139CD">
        <w:rPr>
          <w:rFonts w:asciiTheme="majorHAnsi" w:hAnsiTheme="majorHAnsi"/>
          <w:iCs/>
          <w:color w:val="000000" w:themeColor="text1"/>
          <w:sz w:val="16"/>
          <w:szCs w:val="16"/>
          <w:lang w:val="es-ES"/>
        </w:rPr>
        <w:t xml:space="preserve">Caso García </w:t>
      </w:r>
      <w:proofErr w:type="spellStart"/>
      <w:r w:rsidRPr="00D139CD">
        <w:rPr>
          <w:rFonts w:asciiTheme="majorHAnsi" w:hAnsiTheme="majorHAnsi"/>
          <w:iCs/>
          <w:color w:val="000000" w:themeColor="text1"/>
          <w:sz w:val="16"/>
          <w:szCs w:val="16"/>
          <w:lang w:val="es-ES"/>
        </w:rPr>
        <w:t>Asto</w:t>
      </w:r>
      <w:proofErr w:type="spellEnd"/>
      <w:r w:rsidRPr="00D139CD">
        <w:rPr>
          <w:rFonts w:asciiTheme="majorHAnsi" w:hAnsiTheme="majorHAnsi"/>
          <w:iCs/>
          <w:color w:val="000000" w:themeColor="text1"/>
          <w:sz w:val="16"/>
          <w:szCs w:val="16"/>
          <w:lang w:val="es-ES"/>
        </w:rPr>
        <w:t xml:space="preserve"> y Ramírez Rojas Vs. Perú</w:t>
      </w:r>
      <w:r w:rsidRPr="00D139CD">
        <w:rPr>
          <w:rFonts w:asciiTheme="majorHAnsi" w:hAnsiTheme="majorHAnsi"/>
          <w:color w:val="000000" w:themeColor="text1"/>
          <w:sz w:val="16"/>
          <w:szCs w:val="16"/>
          <w:lang w:val="es-ES"/>
        </w:rPr>
        <w:t xml:space="preserve">. Sentencia de 25 de noviembre de 2005. Serie C No. 137, párr. 166; </w:t>
      </w:r>
      <w:r w:rsidRPr="00D139CD">
        <w:rPr>
          <w:rFonts w:asciiTheme="majorHAnsi" w:hAnsiTheme="majorHAnsi"/>
          <w:iCs/>
          <w:color w:val="000000" w:themeColor="text1"/>
          <w:sz w:val="16"/>
          <w:szCs w:val="16"/>
          <w:lang w:val="es-ES"/>
        </w:rPr>
        <w:t>Caso Gómez Palomino Vs. Perú</w:t>
      </w:r>
      <w:r w:rsidRPr="00D139CD">
        <w:rPr>
          <w:rFonts w:asciiTheme="majorHAnsi" w:hAnsiTheme="majorHAnsi"/>
          <w:color w:val="000000" w:themeColor="text1"/>
          <w:sz w:val="16"/>
          <w:szCs w:val="16"/>
          <w:lang w:val="es-ES"/>
        </w:rPr>
        <w:t xml:space="preserve">. Sentencia de 22 de noviembre de 2005. Serie C No. 136, párr. 85; </w:t>
      </w:r>
      <w:r w:rsidRPr="00D139CD">
        <w:rPr>
          <w:rFonts w:asciiTheme="majorHAnsi" w:hAnsiTheme="majorHAnsi"/>
          <w:iCs/>
          <w:color w:val="000000" w:themeColor="text1"/>
          <w:sz w:val="16"/>
          <w:szCs w:val="16"/>
          <w:lang w:val="es-ES"/>
        </w:rPr>
        <w:t xml:space="preserve">Caso de la Comunidad </w:t>
      </w:r>
      <w:proofErr w:type="spellStart"/>
      <w:r w:rsidRPr="00D139CD">
        <w:rPr>
          <w:rFonts w:asciiTheme="majorHAnsi" w:hAnsiTheme="majorHAnsi"/>
          <w:iCs/>
          <w:color w:val="000000" w:themeColor="text1"/>
          <w:sz w:val="16"/>
          <w:szCs w:val="16"/>
          <w:lang w:val="es-ES"/>
        </w:rPr>
        <w:t>Moiwana</w:t>
      </w:r>
      <w:proofErr w:type="spellEnd"/>
      <w:r w:rsidRPr="00D139CD">
        <w:rPr>
          <w:rFonts w:asciiTheme="majorHAnsi" w:hAnsiTheme="majorHAnsi"/>
          <w:iCs/>
          <w:color w:val="000000" w:themeColor="text1"/>
          <w:sz w:val="16"/>
          <w:szCs w:val="16"/>
          <w:lang w:val="es-ES"/>
        </w:rPr>
        <w:t xml:space="preserve"> Vs. Surinam</w:t>
      </w:r>
      <w:r w:rsidRPr="00D139CD">
        <w:rPr>
          <w:rFonts w:asciiTheme="majorHAnsi" w:hAnsiTheme="majorHAnsi"/>
          <w:color w:val="000000" w:themeColor="text1"/>
          <w:sz w:val="16"/>
          <w:szCs w:val="16"/>
          <w:lang w:val="es-ES"/>
        </w:rPr>
        <w:t>. Sentencia de 15 de junio de 2005. Serie C No. 124, párr. 160.</w:t>
      </w:r>
    </w:p>
  </w:footnote>
  <w:footnote w:id="78">
    <w:p w14:paraId="56F46F00"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Corte IDH. </w:t>
      </w:r>
      <w:r w:rsidRPr="00D139CD">
        <w:rPr>
          <w:rFonts w:asciiTheme="majorHAnsi" w:hAnsiTheme="majorHAnsi"/>
          <w:iCs/>
          <w:color w:val="000000" w:themeColor="text1"/>
          <w:sz w:val="16"/>
          <w:szCs w:val="16"/>
          <w:lang w:val="es-ES"/>
        </w:rPr>
        <w:t xml:space="preserve">Caso Ricardo </w:t>
      </w:r>
      <w:proofErr w:type="spellStart"/>
      <w:r w:rsidRPr="00D139CD">
        <w:rPr>
          <w:rFonts w:asciiTheme="majorHAnsi" w:hAnsiTheme="majorHAnsi"/>
          <w:iCs/>
          <w:color w:val="000000" w:themeColor="text1"/>
          <w:sz w:val="16"/>
          <w:szCs w:val="16"/>
          <w:lang w:val="es-ES"/>
        </w:rPr>
        <w:t>Canese</w:t>
      </w:r>
      <w:proofErr w:type="spellEnd"/>
      <w:r w:rsidRPr="00D139CD">
        <w:rPr>
          <w:rFonts w:asciiTheme="majorHAnsi" w:hAnsiTheme="majorHAnsi"/>
          <w:iCs/>
          <w:color w:val="000000" w:themeColor="text1"/>
          <w:sz w:val="16"/>
          <w:szCs w:val="16"/>
          <w:lang w:val="es-ES"/>
        </w:rPr>
        <w:t xml:space="preserve"> Vs. Paraguay</w:t>
      </w:r>
      <w:r w:rsidRPr="00D139CD">
        <w:rPr>
          <w:rFonts w:asciiTheme="majorHAnsi" w:hAnsiTheme="majorHAnsi"/>
          <w:color w:val="000000" w:themeColor="text1"/>
          <w:sz w:val="16"/>
          <w:szCs w:val="16"/>
          <w:lang w:val="es-ES"/>
        </w:rPr>
        <w:t xml:space="preserve">. Sentencia de 31 de agosto de 2004. Serie C No. 111, </w:t>
      </w:r>
      <w:r w:rsidRPr="00D139CD">
        <w:rPr>
          <w:rFonts w:asciiTheme="majorHAnsi" w:hAnsiTheme="majorHAnsi"/>
          <w:color w:val="000000" w:themeColor="text1"/>
          <w:sz w:val="16"/>
          <w:szCs w:val="16"/>
          <w:lang w:val="es-ES"/>
        </w:rPr>
        <w:br/>
        <w:t>párr. 142.</w:t>
      </w:r>
    </w:p>
    <w:p w14:paraId="7A534902" w14:textId="77777777" w:rsidR="00AF7404" w:rsidRPr="00D139CD" w:rsidRDefault="00AF7404" w:rsidP="00D139CD">
      <w:pPr>
        <w:pStyle w:val="Textonotapie"/>
        <w:jc w:val="both"/>
        <w:rPr>
          <w:rFonts w:asciiTheme="majorHAnsi" w:hAnsiTheme="majorHAnsi"/>
          <w:color w:val="000000" w:themeColor="text1"/>
          <w:sz w:val="16"/>
          <w:szCs w:val="16"/>
          <w:lang w:val="es-ES"/>
        </w:rPr>
      </w:pPr>
    </w:p>
    <w:p w14:paraId="6824D526" w14:textId="77777777" w:rsidR="00AF7404" w:rsidRPr="00D139CD" w:rsidRDefault="00AF7404" w:rsidP="00D139CD">
      <w:pPr>
        <w:pStyle w:val="Textonotapie"/>
        <w:jc w:val="both"/>
        <w:rPr>
          <w:rFonts w:asciiTheme="majorHAnsi" w:hAnsiTheme="majorHAnsi"/>
          <w:color w:val="000000" w:themeColor="text1"/>
          <w:sz w:val="16"/>
          <w:szCs w:val="16"/>
          <w:lang w:val="es-ES"/>
        </w:rPr>
      </w:pPr>
    </w:p>
  </w:footnote>
  <w:footnote w:id="79">
    <w:p w14:paraId="681203B8" w14:textId="77777777" w:rsidR="00AF7404" w:rsidRPr="00D139CD" w:rsidRDefault="00AF7404" w:rsidP="00D139CD">
      <w:pPr>
        <w:tabs>
          <w:tab w:val="left" w:pos="900"/>
          <w:tab w:val="left" w:pos="1080"/>
        </w:tabs>
        <w:jc w:val="both"/>
        <w:rPr>
          <w:rFonts w:asciiTheme="majorHAnsi" w:hAnsiTheme="majorHAnsi"/>
          <w:color w:val="000000" w:themeColor="text1"/>
          <w:sz w:val="16"/>
          <w:szCs w:val="16"/>
          <w:lang w:val="es-ES"/>
        </w:rPr>
      </w:pPr>
      <w:r w:rsidRPr="00D139CD">
        <w:rPr>
          <w:rStyle w:val="Refdenotaalpie"/>
          <w:rFonts w:asciiTheme="majorHAnsi" w:hAnsiTheme="majorHAnsi" w:cs="Arial"/>
          <w:color w:val="000000" w:themeColor="text1"/>
          <w:sz w:val="16"/>
          <w:szCs w:val="16"/>
          <w:lang w:val="es-ES"/>
        </w:rPr>
        <w:footnoteRef/>
      </w:r>
      <w:r w:rsidRPr="00D139CD">
        <w:rPr>
          <w:rFonts w:asciiTheme="majorHAnsi" w:hAnsiTheme="majorHAnsi" w:cs="Arial"/>
          <w:color w:val="000000" w:themeColor="text1"/>
          <w:sz w:val="16"/>
          <w:szCs w:val="16"/>
          <w:lang w:val="es-ES"/>
        </w:rPr>
        <w:t xml:space="preserve"> </w:t>
      </w:r>
      <w:r w:rsidRPr="00D139CD">
        <w:rPr>
          <w:rFonts w:asciiTheme="majorHAnsi" w:hAnsiTheme="majorHAnsi"/>
          <w:color w:val="000000" w:themeColor="text1"/>
          <w:sz w:val="16"/>
          <w:szCs w:val="16"/>
          <w:lang w:val="es-ES"/>
        </w:rPr>
        <w:t xml:space="preserve">CIDH. Informe No. 11/10. Caso 12.488. Fondo. Miembros de la Familia Barrios. Venezuela. 16 de marzo de 2010. 91. CIDH. Informe sobre Terrorismo y Derechos Humanos. Párr. 227; </w:t>
      </w:r>
      <w:r w:rsidRPr="00D139CD">
        <w:rPr>
          <w:rFonts w:asciiTheme="majorHAnsi" w:hAnsiTheme="majorHAnsi" w:cs="Arial"/>
          <w:color w:val="000000" w:themeColor="text1"/>
          <w:sz w:val="16"/>
          <w:szCs w:val="16"/>
          <w:lang w:val="es-ES"/>
        </w:rPr>
        <w:t xml:space="preserve">Corte IDH. </w:t>
      </w:r>
      <w:r w:rsidRPr="00D139CD">
        <w:rPr>
          <w:rFonts w:asciiTheme="majorHAnsi" w:hAnsiTheme="majorHAnsi" w:cs="Arial"/>
          <w:bCs/>
          <w:color w:val="000000" w:themeColor="text1"/>
          <w:sz w:val="16"/>
          <w:szCs w:val="16"/>
          <w:lang w:val="es-ES"/>
        </w:rPr>
        <w:t xml:space="preserve">Caso Cantoral Huamaní y García Santa Cruz Vs. Perú. </w:t>
      </w:r>
      <w:r w:rsidRPr="00D139CD">
        <w:rPr>
          <w:rFonts w:asciiTheme="majorHAnsi" w:hAnsiTheme="majorHAnsi" w:cs="Arial"/>
          <w:color w:val="000000" w:themeColor="text1"/>
          <w:sz w:val="16"/>
          <w:szCs w:val="16"/>
          <w:lang w:val="es-ES"/>
        </w:rPr>
        <w:t xml:space="preserve">Excepción Preliminar, Fondo, Reparaciones y Costas. Sentencia de 10 de julio de 2007. Serie C No. 167. párr. 112; y Caso Bueno Alves Vs. Argentina. Fondo, Reparaciones y Costas. Sentencia de 11 de mayo de 2007. Serie C. No. 164. párr. 102. </w:t>
      </w:r>
    </w:p>
  </w:footnote>
  <w:footnote w:id="80">
    <w:p w14:paraId="16259FC9" w14:textId="77777777" w:rsidR="00AF7404" w:rsidRPr="00D139CD" w:rsidRDefault="00AF7404" w:rsidP="00D139CD">
      <w:pPr>
        <w:tabs>
          <w:tab w:val="left" w:pos="1080"/>
        </w:tabs>
        <w:jc w:val="both"/>
        <w:rPr>
          <w:rFonts w:asciiTheme="majorHAnsi" w:hAnsiTheme="majorHAnsi"/>
          <w:color w:val="000000" w:themeColor="text1"/>
          <w:sz w:val="16"/>
          <w:szCs w:val="16"/>
          <w:lang w:val="es-ES"/>
        </w:rPr>
      </w:pPr>
      <w:r w:rsidRPr="00D139CD">
        <w:rPr>
          <w:rStyle w:val="Refdenotaalpie"/>
          <w:rFonts w:asciiTheme="majorHAnsi" w:hAnsiTheme="majorHAnsi" w:cs="Arial"/>
          <w:color w:val="000000" w:themeColor="text1"/>
          <w:sz w:val="16"/>
          <w:szCs w:val="16"/>
          <w:lang w:val="es-ES"/>
        </w:rPr>
        <w:footnoteRef/>
      </w:r>
      <w:r w:rsidRPr="00D139CD">
        <w:rPr>
          <w:rFonts w:asciiTheme="majorHAnsi" w:hAnsiTheme="majorHAnsi" w:cs="Arial"/>
          <w:color w:val="000000" w:themeColor="text1"/>
          <w:sz w:val="16"/>
          <w:szCs w:val="16"/>
          <w:lang w:val="es-ES"/>
        </w:rPr>
        <w:t xml:space="preserve"> Corte IDH. Caso Vargas Areco Vs. Paraguay. Sentencia de 26 de septiembre de 2006. Serie C No. 155. párr. 96.</w:t>
      </w:r>
    </w:p>
  </w:footnote>
  <w:footnote w:id="81">
    <w:p w14:paraId="3C6F91C0" w14:textId="77777777" w:rsidR="00AF7404" w:rsidRPr="00D139CD" w:rsidRDefault="00AF7404" w:rsidP="00D139CD">
      <w:pPr>
        <w:pStyle w:val="Textonotapie"/>
        <w:jc w:val="both"/>
        <w:rPr>
          <w:rFonts w:asciiTheme="majorHAnsi" w:hAnsiTheme="majorHAnsi"/>
          <w:color w:val="000000" w:themeColor="text1"/>
          <w:sz w:val="16"/>
          <w:szCs w:val="16"/>
          <w:lang w:val="es-ES"/>
        </w:rPr>
      </w:pPr>
      <w:r w:rsidRPr="00D139CD">
        <w:rPr>
          <w:rStyle w:val="Refdenotaalpie"/>
          <w:rFonts w:asciiTheme="majorHAnsi" w:hAnsiTheme="majorHAnsi"/>
          <w:color w:val="000000" w:themeColor="text1"/>
          <w:sz w:val="16"/>
          <w:szCs w:val="16"/>
          <w:lang w:val="es-ES"/>
        </w:rPr>
        <w:footnoteRef/>
      </w:r>
      <w:r w:rsidRPr="00D139CD">
        <w:rPr>
          <w:rFonts w:asciiTheme="majorHAnsi" w:hAnsiTheme="majorHAnsi"/>
          <w:color w:val="000000" w:themeColor="text1"/>
          <w:sz w:val="16"/>
          <w:szCs w:val="16"/>
          <w:lang w:val="es-ES"/>
        </w:rPr>
        <w:t xml:space="preserve"> Corte IDH. </w:t>
      </w:r>
      <w:r w:rsidRPr="00D139CD">
        <w:rPr>
          <w:rFonts w:asciiTheme="majorHAnsi" w:hAnsiTheme="majorHAnsi"/>
          <w:iCs/>
          <w:color w:val="000000" w:themeColor="text1"/>
          <w:sz w:val="16"/>
          <w:szCs w:val="16"/>
          <w:lang w:val="es-ES"/>
        </w:rPr>
        <w:t>Caso Blake Vs. Guatemala</w:t>
      </w:r>
      <w:r w:rsidRPr="00D139CD">
        <w:rPr>
          <w:rFonts w:asciiTheme="majorHAnsi" w:hAnsiTheme="majorHAnsi"/>
          <w:color w:val="000000" w:themeColor="text1"/>
          <w:sz w:val="16"/>
          <w:szCs w:val="16"/>
          <w:lang w:val="es-ES"/>
        </w:rPr>
        <w:t xml:space="preserve">. Fondo. Sentencia de 24 de enero de 1998. Serie C No. 36, párr. 114; </w:t>
      </w:r>
      <w:r w:rsidRPr="00D139CD">
        <w:rPr>
          <w:rFonts w:asciiTheme="majorHAnsi" w:hAnsiTheme="majorHAnsi"/>
          <w:iCs/>
          <w:color w:val="000000" w:themeColor="text1"/>
          <w:sz w:val="16"/>
          <w:szCs w:val="16"/>
          <w:lang w:val="es-ES"/>
        </w:rPr>
        <w:t>Caso Ticona Estrada Vs. Bolivia</w:t>
      </w:r>
      <w:r w:rsidRPr="00D139CD">
        <w:rPr>
          <w:rFonts w:asciiTheme="majorHAnsi" w:hAnsiTheme="majorHAnsi"/>
          <w:color w:val="000000" w:themeColor="text1"/>
          <w:sz w:val="16"/>
          <w:szCs w:val="16"/>
          <w:lang w:val="es-ES"/>
        </w:rPr>
        <w:t xml:space="preserve">. Fondo, Reparaciones y Costas. Sentencia de 27 de noviembre de 2008. Serie C No. 191, párr. 87; </w:t>
      </w:r>
      <w:r w:rsidRPr="00D139CD">
        <w:rPr>
          <w:rFonts w:asciiTheme="majorHAnsi" w:hAnsiTheme="majorHAnsi"/>
          <w:iCs/>
          <w:color w:val="000000" w:themeColor="text1"/>
          <w:sz w:val="16"/>
          <w:szCs w:val="16"/>
          <w:lang w:val="es-ES"/>
        </w:rPr>
        <w:t>Caso La Cantuta Vs. Perú</w:t>
      </w:r>
      <w:r w:rsidRPr="00D139CD">
        <w:rPr>
          <w:rFonts w:asciiTheme="majorHAnsi" w:hAnsiTheme="majorHAnsi"/>
          <w:color w:val="000000" w:themeColor="text1"/>
          <w:sz w:val="16"/>
          <w:szCs w:val="16"/>
          <w:lang w:val="es-ES"/>
        </w:rPr>
        <w:t xml:space="preserve">. Fondo, Reparaciones y Costas. Sentencia de 29 de 2006. Serie C No. 162, párr. 123 y </w:t>
      </w:r>
      <w:r w:rsidRPr="00D139CD">
        <w:rPr>
          <w:rFonts w:asciiTheme="majorHAnsi" w:hAnsiTheme="majorHAnsi"/>
          <w:iCs/>
          <w:color w:val="000000" w:themeColor="text1"/>
          <w:sz w:val="16"/>
          <w:szCs w:val="16"/>
          <w:lang w:val="es-ES"/>
        </w:rPr>
        <w:t xml:space="preserve">Caso </w:t>
      </w:r>
      <w:proofErr w:type="spellStart"/>
      <w:r w:rsidRPr="00D139CD">
        <w:rPr>
          <w:rFonts w:asciiTheme="majorHAnsi" w:hAnsiTheme="majorHAnsi"/>
          <w:iCs/>
          <w:color w:val="000000" w:themeColor="text1"/>
          <w:sz w:val="16"/>
          <w:szCs w:val="16"/>
          <w:lang w:val="es-ES"/>
        </w:rPr>
        <w:t>Anzualdo</w:t>
      </w:r>
      <w:proofErr w:type="spellEnd"/>
      <w:r w:rsidRPr="00D139CD">
        <w:rPr>
          <w:rFonts w:asciiTheme="majorHAnsi" w:hAnsiTheme="majorHAnsi"/>
          <w:iCs/>
          <w:color w:val="000000" w:themeColor="text1"/>
          <w:sz w:val="16"/>
          <w:szCs w:val="16"/>
          <w:lang w:val="es-ES"/>
        </w:rPr>
        <w:t xml:space="preserve"> Castro Vs. Perú</w:t>
      </w:r>
      <w:r w:rsidRPr="00D139CD">
        <w:rPr>
          <w:rFonts w:asciiTheme="majorHAnsi" w:hAnsiTheme="majorHAnsi"/>
          <w:color w:val="000000" w:themeColor="text1"/>
          <w:sz w:val="16"/>
          <w:szCs w:val="16"/>
          <w:lang w:val="es-ES"/>
        </w:rPr>
        <w:t>, Sentencia de 22 de septiembre de 2009, Serie C No. 202, párr. 105.</w:t>
      </w:r>
    </w:p>
  </w:footnote>
  <w:footnote w:id="82">
    <w:p w14:paraId="1F374147" w14:textId="77777777" w:rsidR="00AF7404" w:rsidRPr="007F3D68" w:rsidRDefault="00AF7404" w:rsidP="00722BB3">
      <w:pPr>
        <w:pStyle w:val="Textonotapie"/>
        <w:spacing w:after="120"/>
        <w:jc w:val="both"/>
        <w:rPr>
          <w:rFonts w:asciiTheme="majorHAnsi" w:hAnsiTheme="majorHAnsi"/>
          <w:sz w:val="16"/>
          <w:szCs w:val="16"/>
          <w:lang w:val="es-ES"/>
        </w:rPr>
      </w:pPr>
      <w:r w:rsidRPr="007F3D68">
        <w:rPr>
          <w:rStyle w:val="Refdenotaalpie"/>
          <w:rFonts w:asciiTheme="majorHAnsi" w:hAnsiTheme="majorHAnsi"/>
          <w:sz w:val="16"/>
          <w:szCs w:val="16"/>
          <w:lang w:val="es-ES"/>
        </w:rPr>
        <w:footnoteRef/>
      </w:r>
      <w:r w:rsidRPr="007F3D68">
        <w:rPr>
          <w:rFonts w:asciiTheme="majorHAnsi" w:hAnsiTheme="majorHAnsi"/>
          <w:sz w:val="16"/>
          <w:szCs w:val="16"/>
          <w:lang w:val="es-ES"/>
        </w:rPr>
        <w:t xml:space="preserve"> Corte IDH, </w:t>
      </w:r>
      <w:r w:rsidRPr="007F3D68">
        <w:rPr>
          <w:rFonts w:asciiTheme="majorHAnsi" w:hAnsiTheme="majorHAnsi"/>
          <w:bCs/>
          <w:i/>
          <w:sz w:val="16"/>
          <w:szCs w:val="16"/>
          <w:lang w:val="es-ES"/>
        </w:rPr>
        <w:t>Caso Baldeón García</w:t>
      </w:r>
      <w:r w:rsidRPr="007F3D68">
        <w:rPr>
          <w:rFonts w:asciiTheme="majorHAnsi" w:hAnsiTheme="majorHAnsi"/>
          <w:bCs/>
          <w:sz w:val="16"/>
          <w:szCs w:val="16"/>
          <w:lang w:val="es-ES"/>
        </w:rPr>
        <w:t>.</w:t>
      </w:r>
      <w:r w:rsidRPr="007F3D68">
        <w:rPr>
          <w:rFonts w:asciiTheme="majorHAnsi" w:hAnsiTheme="majorHAnsi"/>
          <w:b/>
          <w:bCs/>
          <w:sz w:val="16"/>
          <w:szCs w:val="16"/>
          <w:lang w:val="es-ES"/>
        </w:rPr>
        <w:t xml:space="preserve"> </w:t>
      </w:r>
      <w:r w:rsidRPr="007F3D68">
        <w:rPr>
          <w:rFonts w:asciiTheme="majorHAnsi" w:hAnsiTheme="majorHAnsi"/>
          <w:sz w:val="16"/>
          <w:szCs w:val="16"/>
          <w:lang w:val="es-ES"/>
        </w:rPr>
        <w:t xml:space="preserve">Fondo, Reparaciones y Costas. Sentencia de 6 de abril de 2006. Serie C No. 147, párr. 156; </w:t>
      </w:r>
      <w:r w:rsidRPr="007F3D68">
        <w:rPr>
          <w:rFonts w:asciiTheme="majorHAnsi" w:hAnsiTheme="majorHAnsi"/>
          <w:bCs/>
          <w:i/>
          <w:sz w:val="16"/>
          <w:szCs w:val="16"/>
          <w:lang w:val="es-ES"/>
        </w:rPr>
        <w:t>Caso Gutiérrez Soler</w:t>
      </w:r>
      <w:r w:rsidRPr="007F3D68">
        <w:rPr>
          <w:rFonts w:asciiTheme="majorHAnsi" w:hAnsiTheme="majorHAnsi"/>
          <w:bCs/>
          <w:sz w:val="16"/>
          <w:szCs w:val="16"/>
          <w:lang w:val="es-ES"/>
        </w:rPr>
        <w:t>.</w:t>
      </w:r>
      <w:r w:rsidRPr="007F3D68">
        <w:rPr>
          <w:rFonts w:asciiTheme="majorHAnsi" w:hAnsiTheme="majorHAnsi"/>
          <w:b/>
          <w:bCs/>
          <w:sz w:val="16"/>
          <w:szCs w:val="16"/>
          <w:lang w:val="es-ES"/>
        </w:rPr>
        <w:t xml:space="preserve"> </w:t>
      </w:r>
      <w:r w:rsidRPr="007F3D68">
        <w:rPr>
          <w:rFonts w:asciiTheme="majorHAnsi" w:hAnsiTheme="majorHAnsi"/>
          <w:sz w:val="16"/>
          <w:szCs w:val="16"/>
          <w:lang w:val="es-ES"/>
        </w:rPr>
        <w:t xml:space="preserve">Fondo, Reparaciones y Costas. Sentencia de 12 de septiembre de 2005. Serie C No. 132, párr. 54; </w:t>
      </w:r>
      <w:r w:rsidRPr="007F3D68">
        <w:rPr>
          <w:rFonts w:asciiTheme="majorHAnsi" w:hAnsiTheme="majorHAnsi"/>
          <w:i/>
          <w:sz w:val="16"/>
          <w:szCs w:val="16"/>
          <w:lang w:val="es-ES"/>
        </w:rPr>
        <w:t>Caso Tibi</w:t>
      </w:r>
      <w:r w:rsidRPr="007F3D68">
        <w:rPr>
          <w:rFonts w:asciiTheme="majorHAnsi" w:hAnsiTheme="majorHAnsi"/>
          <w:sz w:val="16"/>
          <w:szCs w:val="16"/>
          <w:lang w:val="es-ES"/>
        </w:rPr>
        <w:t xml:space="preserve">. Sentencia de 7 de septiembre de 2004. Serie C No. 114, párr. 159 y </w:t>
      </w:r>
      <w:r w:rsidRPr="007F3D68">
        <w:rPr>
          <w:rFonts w:asciiTheme="majorHAnsi" w:hAnsiTheme="majorHAnsi"/>
          <w:bCs/>
          <w:sz w:val="16"/>
          <w:szCs w:val="16"/>
          <w:lang w:val="es-ES"/>
        </w:rPr>
        <w:t xml:space="preserve">Caso </w:t>
      </w:r>
      <w:proofErr w:type="spellStart"/>
      <w:r w:rsidRPr="007F3D68">
        <w:rPr>
          <w:rFonts w:asciiTheme="majorHAnsi" w:hAnsiTheme="majorHAnsi"/>
          <w:bCs/>
          <w:sz w:val="16"/>
          <w:szCs w:val="16"/>
          <w:lang w:val="es-ES"/>
        </w:rPr>
        <w:t>Ximenes</w:t>
      </w:r>
      <w:proofErr w:type="spellEnd"/>
      <w:r w:rsidRPr="007F3D68">
        <w:rPr>
          <w:rFonts w:asciiTheme="majorHAnsi" w:hAnsiTheme="majorHAnsi"/>
          <w:bCs/>
          <w:sz w:val="16"/>
          <w:szCs w:val="16"/>
          <w:lang w:val="es-ES"/>
        </w:rPr>
        <w:t xml:space="preserve"> </w:t>
      </w:r>
      <w:proofErr w:type="spellStart"/>
      <w:r w:rsidRPr="007F3D68">
        <w:rPr>
          <w:rFonts w:asciiTheme="majorHAnsi" w:hAnsiTheme="majorHAnsi"/>
          <w:bCs/>
          <w:sz w:val="16"/>
          <w:szCs w:val="16"/>
          <w:lang w:val="es-ES"/>
        </w:rPr>
        <w:t>Lopes</w:t>
      </w:r>
      <w:proofErr w:type="spellEnd"/>
      <w:r w:rsidRPr="007F3D68">
        <w:rPr>
          <w:rFonts w:asciiTheme="majorHAnsi" w:hAnsiTheme="majorHAnsi"/>
          <w:bCs/>
          <w:sz w:val="16"/>
          <w:szCs w:val="16"/>
          <w:lang w:val="es-ES"/>
        </w:rPr>
        <w:t>.</w:t>
      </w:r>
      <w:r w:rsidRPr="007F3D68">
        <w:rPr>
          <w:rFonts w:asciiTheme="majorHAnsi" w:hAnsiTheme="majorHAnsi"/>
          <w:b/>
          <w:bCs/>
          <w:sz w:val="16"/>
          <w:szCs w:val="16"/>
          <w:lang w:val="es-ES"/>
        </w:rPr>
        <w:t xml:space="preserve"> </w:t>
      </w:r>
      <w:r w:rsidRPr="007F3D68">
        <w:rPr>
          <w:rFonts w:asciiTheme="majorHAnsi" w:hAnsiTheme="majorHAnsi"/>
          <w:sz w:val="16"/>
          <w:szCs w:val="16"/>
          <w:lang w:val="es-ES"/>
        </w:rPr>
        <w:t xml:space="preserve">Fondo, Reparaciones y Costas. Sentencia de 4 de julio de 2006. Serie C No. 149, párr. 148. En el mismo sentido, </w:t>
      </w:r>
      <w:proofErr w:type="spellStart"/>
      <w:r w:rsidRPr="007F3D68">
        <w:rPr>
          <w:rFonts w:asciiTheme="majorHAnsi" w:hAnsiTheme="majorHAnsi"/>
          <w:i/>
          <w:sz w:val="16"/>
          <w:szCs w:val="16"/>
          <w:lang w:val="es-ES"/>
        </w:rPr>
        <w:t>Eur.C.H.R</w:t>
      </w:r>
      <w:proofErr w:type="spellEnd"/>
      <w:r w:rsidRPr="007F3D68">
        <w:rPr>
          <w:rFonts w:asciiTheme="majorHAnsi" w:hAnsiTheme="majorHAnsi"/>
          <w:i/>
          <w:sz w:val="16"/>
          <w:szCs w:val="16"/>
          <w:lang w:val="es-ES"/>
        </w:rPr>
        <w:t>.</w:t>
      </w:r>
      <w:r w:rsidRPr="007F3D68">
        <w:rPr>
          <w:rFonts w:asciiTheme="majorHAnsi" w:hAnsiTheme="majorHAnsi"/>
          <w:sz w:val="16"/>
          <w:szCs w:val="16"/>
          <w:lang w:val="es-ES"/>
        </w:rPr>
        <w:t xml:space="preserve">, </w:t>
      </w:r>
      <w:proofErr w:type="spellStart"/>
      <w:r w:rsidRPr="007F3D68">
        <w:rPr>
          <w:rFonts w:asciiTheme="majorHAnsi" w:hAnsiTheme="majorHAnsi"/>
          <w:i/>
          <w:sz w:val="16"/>
          <w:szCs w:val="16"/>
          <w:lang w:val="es-ES"/>
        </w:rPr>
        <w:t>Assenov</w:t>
      </w:r>
      <w:proofErr w:type="spellEnd"/>
      <w:r w:rsidRPr="007F3D68">
        <w:rPr>
          <w:rFonts w:asciiTheme="majorHAnsi" w:hAnsiTheme="majorHAnsi"/>
          <w:i/>
          <w:sz w:val="16"/>
          <w:szCs w:val="16"/>
          <w:lang w:val="es-ES"/>
        </w:rPr>
        <w:t xml:space="preserve"> and </w:t>
      </w:r>
      <w:proofErr w:type="spellStart"/>
      <w:r w:rsidRPr="007F3D68">
        <w:rPr>
          <w:rFonts w:asciiTheme="majorHAnsi" w:hAnsiTheme="majorHAnsi"/>
          <w:i/>
          <w:sz w:val="16"/>
          <w:szCs w:val="16"/>
          <w:lang w:val="es-ES"/>
        </w:rPr>
        <w:t>others</w:t>
      </w:r>
      <w:proofErr w:type="spellEnd"/>
      <w:r w:rsidRPr="007F3D68">
        <w:rPr>
          <w:rFonts w:asciiTheme="majorHAnsi" w:hAnsiTheme="majorHAnsi"/>
          <w:i/>
          <w:sz w:val="16"/>
          <w:szCs w:val="16"/>
          <w:lang w:val="es-ES"/>
        </w:rPr>
        <w:t xml:space="preserve"> v. Bulgaria, </w:t>
      </w:r>
      <w:r w:rsidRPr="007F3D68">
        <w:rPr>
          <w:rFonts w:asciiTheme="majorHAnsi" w:hAnsiTheme="majorHAnsi"/>
          <w:sz w:val="16"/>
          <w:szCs w:val="16"/>
          <w:lang w:val="es-ES"/>
        </w:rPr>
        <w:t xml:space="preserve">no. 90/1997/874/1086, </w:t>
      </w:r>
      <w:proofErr w:type="spellStart"/>
      <w:r w:rsidRPr="007F3D68">
        <w:rPr>
          <w:rFonts w:asciiTheme="majorHAnsi" w:hAnsiTheme="majorHAnsi"/>
          <w:sz w:val="16"/>
          <w:szCs w:val="16"/>
          <w:lang w:val="es-ES"/>
        </w:rPr>
        <w:t>Judgment</w:t>
      </w:r>
      <w:proofErr w:type="spellEnd"/>
      <w:r w:rsidRPr="007F3D68">
        <w:rPr>
          <w:rFonts w:asciiTheme="majorHAnsi" w:hAnsiTheme="majorHAnsi"/>
          <w:sz w:val="16"/>
          <w:szCs w:val="16"/>
          <w:lang w:val="es-ES"/>
        </w:rPr>
        <w:t xml:space="preserve"> </w:t>
      </w:r>
      <w:proofErr w:type="spellStart"/>
      <w:r w:rsidRPr="007F3D68">
        <w:rPr>
          <w:rFonts w:asciiTheme="majorHAnsi" w:hAnsiTheme="majorHAnsi"/>
          <w:sz w:val="16"/>
          <w:szCs w:val="16"/>
          <w:lang w:val="es-ES"/>
        </w:rPr>
        <w:t>of</w:t>
      </w:r>
      <w:proofErr w:type="spellEnd"/>
      <w:r w:rsidRPr="007F3D68">
        <w:rPr>
          <w:rFonts w:asciiTheme="majorHAnsi" w:hAnsiTheme="majorHAnsi"/>
          <w:sz w:val="16"/>
          <w:szCs w:val="16"/>
          <w:lang w:val="es-ES"/>
        </w:rPr>
        <w:t xml:space="preserve"> 28 </w:t>
      </w:r>
      <w:proofErr w:type="spellStart"/>
      <w:r w:rsidRPr="007F3D68">
        <w:rPr>
          <w:rFonts w:asciiTheme="majorHAnsi" w:hAnsiTheme="majorHAnsi"/>
          <w:sz w:val="16"/>
          <w:szCs w:val="16"/>
          <w:lang w:val="es-ES"/>
        </w:rPr>
        <w:t>October</w:t>
      </w:r>
      <w:proofErr w:type="spellEnd"/>
      <w:r w:rsidRPr="007F3D68">
        <w:rPr>
          <w:rFonts w:asciiTheme="majorHAnsi" w:hAnsiTheme="majorHAnsi"/>
          <w:sz w:val="16"/>
          <w:szCs w:val="16"/>
          <w:lang w:val="es-ES"/>
        </w:rPr>
        <w:t xml:space="preserve"> 1998, par. 102 y </w:t>
      </w:r>
      <w:proofErr w:type="spellStart"/>
      <w:r w:rsidRPr="007F3D68">
        <w:rPr>
          <w:rFonts w:asciiTheme="majorHAnsi" w:hAnsiTheme="majorHAnsi"/>
          <w:i/>
          <w:sz w:val="16"/>
          <w:szCs w:val="16"/>
          <w:lang w:val="es-ES"/>
        </w:rPr>
        <w:t>Eur.C.H.R</w:t>
      </w:r>
      <w:proofErr w:type="spellEnd"/>
      <w:r w:rsidRPr="007F3D68">
        <w:rPr>
          <w:rFonts w:asciiTheme="majorHAnsi" w:hAnsiTheme="majorHAnsi"/>
          <w:i/>
          <w:sz w:val="16"/>
          <w:szCs w:val="16"/>
          <w:lang w:val="es-ES"/>
        </w:rPr>
        <w:t>.</w:t>
      </w:r>
      <w:r w:rsidRPr="007F3D68">
        <w:rPr>
          <w:rFonts w:asciiTheme="majorHAnsi" w:hAnsiTheme="majorHAnsi"/>
          <w:sz w:val="16"/>
          <w:szCs w:val="16"/>
          <w:lang w:val="es-ES"/>
        </w:rPr>
        <w:t xml:space="preserve">, </w:t>
      </w:r>
      <w:proofErr w:type="spellStart"/>
      <w:r w:rsidRPr="007F3D68">
        <w:rPr>
          <w:rFonts w:asciiTheme="majorHAnsi" w:hAnsiTheme="majorHAnsi"/>
          <w:i/>
          <w:sz w:val="16"/>
          <w:szCs w:val="16"/>
          <w:lang w:val="es-ES"/>
        </w:rPr>
        <w:t>Ilhan</w:t>
      </w:r>
      <w:proofErr w:type="spellEnd"/>
      <w:r w:rsidRPr="007F3D68">
        <w:rPr>
          <w:rFonts w:asciiTheme="majorHAnsi" w:hAnsiTheme="majorHAnsi"/>
          <w:i/>
          <w:sz w:val="16"/>
          <w:szCs w:val="16"/>
          <w:lang w:val="es-ES"/>
        </w:rPr>
        <w:t xml:space="preserve"> v. </w:t>
      </w:r>
      <w:proofErr w:type="spellStart"/>
      <w:r w:rsidRPr="007F3D68">
        <w:rPr>
          <w:rFonts w:asciiTheme="majorHAnsi" w:hAnsiTheme="majorHAnsi"/>
          <w:i/>
          <w:sz w:val="16"/>
          <w:szCs w:val="16"/>
          <w:lang w:val="es-ES"/>
        </w:rPr>
        <w:t>Turkey</w:t>
      </w:r>
      <w:proofErr w:type="spellEnd"/>
      <w:r w:rsidRPr="007F3D68">
        <w:rPr>
          <w:rFonts w:asciiTheme="majorHAnsi" w:hAnsiTheme="majorHAnsi"/>
          <w:i/>
          <w:sz w:val="16"/>
          <w:szCs w:val="16"/>
          <w:lang w:val="es-ES"/>
        </w:rPr>
        <w:t xml:space="preserve"> </w:t>
      </w:r>
      <w:r w:rsidRPr="007F3D68">
        <w:rPr>
          <w:rFonts w:asciiTheme="majorHAnsi" w:hAnsiTheme="majorHAnsi"/>
          <w:sz w:val="16"/>
          <w:szCs w:val="16"/>
          <w:lang w:val="es-ES"/>
        </w:rPr>
        <w:t>[GC]</w:t>
      </w:r>
      <w:r w:rsidRPr="007F3D68">
        <w:rPr>
          <w:rFonts w:asciiTheme="majorHAnsi" w:hAnsiTheme="majorHAnsi"/>
          <w:i/>
          <w:sz w:val="16"/>
          <w:szCs w:val="16"/>
          <w:lang w:val="es-ES"/>
        </w:rPr>
        <w:t xml:space="preserve">, </w:t>
      </w:r>
      <w:r w:rsidRPr="007F3D68">
        <w:rPr>
          <w:rFonts w:asciiTheme="majorHAnsi" w:hAnsiTheme="majorHAnsi"/>
          <w:sz w:val="16"/>
          <w:szCs w:val="16"/>
          <w:lang w:val="es-ES"/>
        </w:rPr>
        <w:t xml:space="preserve">no. 22277/93, </w:t>
      </w:r>
      <w:proofErr w:type="spellStart"/>
      <w:r w:rsidRPr="007F3D68">
        <w:rPr>
          <w:rFonts w:asciiTheme="majorHAnsi" w:hAnsiTheme="majorHAnsi"/>
          <w:sz w:val="16"/>
          <w:szCs w:val="16"/>
          <w:lang w:val="es-ES"/>
        </w:rPr>
        <w:t>Judgment</w:t>
      </w:r>
      <w:proofErr w:type="spellEnd"/>
      <w:r w:rsidRPr="007F3D68">
        <w:rPr>
          <w:rFonts w:asciiTheme="majorHAnsi" w:hAnsiTheme="majorHAnsi"/>
          <w:sz w:val="16"/>
          <w:szCs w:val="16"/>
          <w:lang w:val="es-ES"/>
        </w:rPr>
        <w:t xml:space="preserve"> </w:t>
      </w:r>
      <w:proofErr w:type="spellStart"/>
      <w:r w:rsidRPr="007F3D68">
        <w:rPr>
          <w:rFonts w:asciiTheme="majorHAnsi" w:hAnsiTheme="majorHAnsi"/>
          <w:sz w:val="16"/>
          <w:szCs w:val="16"/>
          <w:lang w:val="es-ES"/>
        </w:rPr>
        <w:t>of</w:t>
      </w:r>
      <w:proofErr w:type="spellEnd"/>
      <w:r w:rsidRPr="007F3D68">
        <w:rPr>
          <w:rFonts w:asciiTheme="majorHAnsi" w:hAnsiTheme="majorHAnsi"/>
          <w:sz w:val="16"/>
          <w:szCs w:val="16"/>
          <w:lang w:val="es-ES"/>
        </w:rPr>
        <w:t xml:space="preserve"> 27 June 2000, paras. 89-93.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181B" w14:textId="2A00DF0E" w:rsidR="00AF7404" w:rsidRPr="00EC7D62" w:rsidRDefault="00AF7404" w:rsidP="008C5F07">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0E7B488C"/>
    <w:multiLevelType w:val="hybridMultilevel"/>
    <w:tmpl w:val="F2AC6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9789D"/>
    <w:multiLevelType w:val="hybridMultilevel"/>
    <w:tmpl w:val="F2AC6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77063D1"/>
    <w:multiLevelType w:val="hybridMultilevel"/>
    <w:tmpl w:val="A732B664"/>
    <w:lvl w:ilvl="0" w:tplc="99DE726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2145B"/>
    <w:multiLevelType w:val="hybridMultilevel"/>
    <w:tmpl w:val="C46E6192"/>
    <w:lvl w:ilvl="0" w:tplc="A5BCB49E">
      <w:start w:val="1"/>
      <w:numFmt w:val="upperLetter"/>
      <w:lvlText w:val="%1."/>
      <w:lvlJc w:val="left"/>
      <w:pPr>
        <w:ind w:left="117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2B586E"/>
    <w:multiLevelType w:val="hybridMultilevel"/>
    <w:tmpl w:val="CBA2851E"/>
    <w:lvl w:ilvl="0" w:tplc="EFA8A028">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15:restartNumberingAfterBreak="0">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D7D4B9D"/>
    <w:multiLevelType w:val="hybridMultilevel"/>
    <w:tmpl w:val="E01AD6A6"/>
    <w:lvl w:ilvl="0" w:tplc="0F7E9838">
      <w:start w:val="1"/>
      <w:numFmt w:val="decimal"/>
      <w:lvlText w:val="%1."/>
      <w:lvlJc w:val="left"/>
      <w:pPr>
        <w:ind w:left="1080" w:hanging="360"/>
      </w:pPr>
      <w:rPr>
        <w:rFonts w:asciiTheme="majorHAnsi" w:hAnsiTheme="majorHAnsi" w:hint="default"/>
        <w:b w:val="0"/>
        <w:sz w:val="20"/>
        <w:szCs w:val="20"/>
      </w:rPr>
    </w:lvl>
    <w:lvl w:ilvl="1" w:tplc="0409000F">
      <w:start w:val="1"/>
      <w:numFmt w:val="decimal"/>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66BE5E6A"/>
    <w:multiLevelType w:val="hybridMultilevel"/>
    <w:tmpl w:val="C9D20C7E"/>
    <w:lvl w:ilvl="0" w:tplc="B47EC36A">
      <w:start w:val="1"/>
      <w:numFmt w:val="decimal"/>
      <w:lvlText w:val="%1."/>
      <w:lvlJc w:val="left"/>
      <w:pPr>
        <w:tabs>
          <w:tab w:val="num" w:pos="1440"/>
        </w:tabs>
        <w:ind w:left="720" w:firstLine="720"/>
      </w:pPr>
      <w:rPr>
        <w:rFonts w:hint="default"/>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1"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2" w15:restartNumberingAfterBreak="0">
    <w:nsid w:val="6B2B27BE"/>
    <w:multiLevelType w:val="hybridMultilevel"/>
    <w:tmpl w:val="F7ECD692"/>
    <w:lvl w:ilvl="0" w:tplc="5D4CB81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7"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16cid:durableId="246117393">
    <w:abstractNumId w:val="3"/>
  </w:num>
  <w:num w:numId="2" w16cid:durableId="621350100">
    <w:abstractNumId w:val="6"/>
  </w:num>
  <w:num w:numId="3" w16cid:durableId="1136727182">
    <w:abstractNumId w:val="56"/>
  </w:num>
  <w:num w:numId="4" w16cid:durableId="902376629">
    <w:abstractNumId w:val="24"/>
  </w:num>
  <w:num w:numId="5" w16cid:durableId="2003699417">
    <w:abstractNumId w:val="49"/>
  </w:num>
  <w:num w:numId="6" w16cid:durableId="805971800">
    <w:abstractNumId w:val="29"/>
  </w:num>
  <w:num w:numId="7" w16cid:durableId="764109437">
    <w:abstractNumId w:val="9"/>
  </w:num>
  <w:num w:numId="8" w16cid:durableId="1812864483">
    <w:abstractNumId w:val="20"/>
  </w:num>
  <w:num w:numId="9" w16cid:durableId="2113040573">
    <w:abstractNumId w:val="44"/>
  </w:num>
  <w:num w:numId="10" w16cid:durableId="657458693">
    <w:abstractNumId w:val="0"/>
  </w:num>
  <w:num w:numId="11" w16cid:durableId="1468934927">
    <w:abstractNumId w:val="39"/>
  </w:num>
  <w:num w:numId="12" w16cid:durableId="243302301">
    <w:abstractNumId w:val="40"/>
  </w:num>
  <w:num w:numId="13" w16cid:durableId="1835800097">
    <w:abstractNumId w:val="45"/>
  </w:num>
  <w:num w:numId="14" w16cid:durableId="699666229">
    <w:abstractNumId w:val="1"/>
  </w:num>
  <w:num w:numId="15" w16cid:durableId="928611924">
    <w:abstractNumId w:val="2"/>
  </w:num>
  <w:num w:numId="16" w16cid:durableId="1568415216">
    <w:abstractNumId w:val="10"/>
  </w:num>
  <w:num w:numId="17" w16cid:durableId="1702364897">
    <w:abstractNumId w:val="11"/>
  </w:num>
  <w:num w:numId="18" w16cid:durableId="1701006783">
    <w:abstractNumId w:val="12"/>
  </w:num>
  <w:num w:numId="19" w16cid:durableId="467015664">
    <w:abstractNumId w:val="13"/>
  </w:num>
  <w:num w:numId="20" w16cid:durableId="637150142">
    <w:abstractNumId w:val="14"/>
  </w:num>
  <w:num w:numId="21" w16cid:durableId="956760369">
    <w:abstractNumId w:val="15"/>
  </w:num>
  <w:num w:numId="22" w16cid:durableId="766582655">
    <w:abstractNumId w:val="16"/>
  </w:num>
  <w:num w:numId="23" w16cid:durableId="845553262">
    <w:abstractNumId w:val="17"/>
  </w:num>
  <w:num w:numId="24" w16cid:durableId="1347363920">
    <w:abstractNumId w:val="19"/>
  </w:num>
  <w:num w:numId="25" w16cid:durableId="611668701">
    <w:abstractNumId w:val="21"/>
  </w:num>
  <w:num w:numId="26" w16cid:durableId="2131169950">
    <w:abstractNumId w:val="22"/>
  </w:num>
  <w:num w:numId="27" w16cid:durableId="891844335">
    <w:abstractNumId w:val="25"/>
  </w:num>
  <w:num w:numId="28" w16cid:durableId="222301407">
    <w:abstractNumId w:val="26"/>
  </w:num>
  <w:num w:numId="29" w16cid:durableId="1288970956">
    <w:abstractNumId w:val="27"/>
  </w:num>
  <w:num w:numId="30" w16cid:durableId="683091260">
    <w:abstractNumId w:val="28"/>
  </w:num>
  <w:num w:numId="31" w16cid:durableId="595866792">
    <w:abstractNumId w:val="30"/>
  </w:num>
  <w:num w:numId="32" w16cid:durableId="1283807632">
    <w:abstractNumId w:val="32"/>
  </w:num>
  <w:num w:numId="33" w16cid:durableId="262804469">
    <w:abstractNumId w:val="33"/>
  </w:num>
  <w:num w:numId="34" w16cid:durableId="887648683">
    <w:abstractNumId w:val="34"/>
  </w:num>
  <w:num w:numId="35" w16cid:durableId="518738474">
    <w:abstractNumId w:val="35"/>
  </w:num>
  <w:num w:numId="36" w16cid:durableId="992560389">
    <w:abstractNumId w:val="36"/>
  </w:num>
  <w:num w:numId="37" w16cid:durableId="718896678">
    <w:abstractNumId w:val="37"/>
  </w:num>
  <w:num w:numId="38" w16cid:durableId="1708211931">
    <w:abstractNumId w:val="38"/>
  </w:num>
  <w:num w:numId="39" w16cid:durableId="536431309">
    <w:abstractNumId w:val="41"/>
  </w:num>
  <w:num w:numId="40" w16cid:durableId="1534226388">
    <w:abstractNumId w:val="42"/>
  </w:num>
  <w:num w:numId="41" w16cid:durableId="447508092">
    <w:abstractNumId w:val="48"/>
  </w:num>
  <w:num w:numId="42" w16cid:durableId="223880921">
    <w:abstractNumId w:val="51"/>
  </w:num>
  <w:num w:numId="43" w16cid:durableId="1924945704">
    <w:abstractNumId w:val="53"/>
  </w:num>
  <w:num w:numId="44" w16cid:durableId="1275210695">
    <w:abstractNumId w:val="54"/>
  </w:num>
  <w:num w:numId="45" w16cid:durableId="1929003362">
    <w:abstractNumId w:val="55"/>
  </w:num>
  <w:num w:numId="46" w16cid:durableId="942031567">
    <w:abstractNumId w:val="57"/>
  </w:num>
  <w:num w:numId="47" w16cid:durableId="674235434">
    <w:abstractNumId w:val="58"/>
  </w:num>
  <w:num w:numId="48" w16cid:durableId="531192276">
    <w:abstractNumId w:val="59"/>
  </w:num>
  <w:num w:numId="49" w16cid:durableId="72824334">
    <w:abstractNumId w:val="60"/>
  </w:num>
  <w:num w:numId="50" w16cid:durableId="101149605">
    <w:abstractNumId w:val="61"/>
  </w:num>
  <w:num w:numId="51" w16cid:durableId="1781996548">
    <w:abstractNumId w:val="23"/>
  </w:num>
  <w:num w:numId="52" w16cid:durableId="851187484">
    <w:abstractNumId w:val="43"/>
  </w:num>
  <w:num w:numId="53" w16cid:durableId="1355811431">
    <w:abstractNumId w:val="46"/>
  </w:num>
  <w:num w:numId="54" w16cid:durableId="1260988287">
    <w:abstractNumId w:val="47"/>
  </w:num>
  <w:num w:numId="55" w16cid:durableId="1738241643">
    <w:abstractNumId w:val="18"/>
  </w:num>
  <w:num w:numId="56" w16cid:durableId="1265846379">
    <w:abstractNumId w:val="4"/>
  </w:num>
  <w:num w:numId="57" w16cid:durableId="1962221857">
    <w:abstractNumId w:val="5"/>
  </w:num>
  <w:num w:numId="58" w16cid:durableId="1073311183">
    <w:abstractNumId w:val="8"/>
    <w:lvlOverride w:ilvl="0">
      <w:startOverride w:val="1"/>
    </w:lvlOverride>
  </w:num>
  <w:num w:numId="59" w16cid:durableId="1461070505">
    <w:abstractNumId w:val="50"/>
  </w:num>
  <w:num w:numId="60" w16cid:durableId="374618148">
    <w:abstractNumId w:val="7"/>
  </w:num>
  <w:num w:numId="61" w16cid:durableId="1319655020">
    <w:abstractNumId w:val="52"/>
  </w:num>
  <w:num w:numId="62" w16cid:durableId="554900511">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2235"/>
    <w:rsid w:val="00005819"/>
    <w:rsid w:val="00006896"/>
    <w:rsid w:val="00006E1F"/>
    <w:rsid w:val="000070D7"/>
    <w:rsid w:val="0000767A"/>
    <w:rsid w:val="000105EB"/>
    <w:rsid w:val="00012A1E"/>
    <w:rsid w:val="000131FF"/>
    <w:rsid w:val="000158FD"/>
    <w:rsid w:val="00015E7C"/>
    <w:rsid w:val="00016D0C"/>
    <w:rsid w:val="0001788C"/>
    <w:rsid w:val="0001795B"/>
    <w:rsid w:val="00021955"/>
    <w:rsid w:val="00022E3B"/>
    <w:rsid w:val="00023111"/>
    <w:rsid w:val="000258D8"/>
    <w:rsid w:val="00030F5F"/>
    <w:rsid w:val="0003153E"/>
    <w:rsid w:val="00032EF0"/>
    <w:rsid w:val="00033184"/>
    <w:rsid w:val="000346C4"/>
    <w:rsid w:val="00036A3E"/>
    <w:rsid w:val="00037678"/>
    <w:rsid w:val="00037DA1"/>
    <w:rsid w:val="000403F4"/>
    <w:rsid w:val="00040C3A"/>
    <w:rsid w:val="00041E2C"/>
    <w:rsid w:val="000421EB"/>
    <w:rsid w:val="00042AC9"/>
    <w:rsid w:val="00044290"/>
    <w:rsid w:val="00044EE2"/>
    <w:rsid w:val="00051696"/>
    <w:rsid w:val="00056AD5"/>
    <w:rsid w:val="000571B3"/>
    <w:rsid w:val="000631C3"/>
    <w:rsid w:val="0006538B"/>
    <w:rsid w:val="00067A5D"/>
    <w:rsid w:val="00070598"/>
    <w:rsid w:val="0007161E"/>
    <w:rsid w:val="000716C5"/>
    <w:rsid w:val="0007274F"/>
    <w:rsid w:val="00072AE3"/>
    <w:rsid w:val="00075E23"/>
    <w:rsid w:val="000762CE"/>
    <w:rsid w:val="00077F08"/>
    <w:rsid w:val="00085142"/>
    <w:rsid w:val="00085666"/>
    <w:rsid w:val="00086568"/>
    <w:rsid w:val="0008690C"/>
    <w:rsid w:val="0008768F"/>
    <w:rsid w:val="00093230"/>
    <w:rsid w:val="0009344A"/>
    <w:rsid w:val="0009438E"/>
    <w:rsid w:val="000953EC"/>
    <w:rsid w:val="00095CB8"/>
    <w:rsid w:val="00095CDB"/>
    <w:rsid w:val="0009603E"/>
    <w:rsid w:val="00096BDE"/>
    <w:rsid w:val="000A091F"/>
    <w:rsid w:val="000A11DD"/>
    <w:rsid w:val="000A1DF9"/>
    <w:rsid w:val="000A209E"/>
    <w:rsid w:val="000A230E"/>
    <w:rsid w:val="000A28D7"/>
    <w:rsid w:val="000A392E"/>
    <w:rsid w:val="000A575F"/>
    <w:rsid w:val="000A576A"/>
    <w:rsid w:val="000A60A0"/>
    <w:rsid w:val="000B0C3C"/>
    <w:rsid w:val="000B133B"/>
    <w:rsid w:val="000B3BBC"/>
    <w:rsid w:val="000B548D"/>
    <w:rsid w:val="000C10A9"/>
    <w:rsid w:val="000C132F"/>
    <w:rsid w:val="000C3F40"/>
    <w:rsid w:val="000C49DD"/>
    <w:rsid w:val="000C4A9B"/>
    <w:rsid w:val="000C562F"/>
    <w:rsid w:val="000C5D03"/>
    <w:rsid w:val="000C6368"/>
    <w:rsid w:val="000C75D5"/>
    <w:rsid w:val="000D10DB"/>
    <w:rsid w:val="000D3DF3"/>
    <w:rsid w:val="000D48E6"/>
    <w:rsid w:val="000D5049"/>
    <w:rsid w:val="000D518C"/>
    <w:rsid w:val="000E1FB2"/>
    <w:rsid w:val="000E2C44"/>
    <w:rsid w:val="000E3CBE"/>
    <w:rsid w:val="000E53F0"/>
    <w:rsid w:val="000E5C4B"/>
    <w:rsid w:val="000E5EB5"/>
    <w:rsid w:val="000E6EB4"/>
    <w:rsid w:val="000E7881"/>
    <w:rsid w:val="000F2B4D"/>
    <w:rsid w:val="000F35ED"/>
    <w:rsid w:val="000F4C46"/>
    <w:rsid w:val="000F5180"/>
    <w:rsid w:val="000F71D7"/>
    <w:rsid w:val="000F7569"/>
    <w:rsid w:val="0010234A"/>
    <w:rsid w:val="0010290C"/>
    <w:rsid w:val="00103925"/>
    <w:rsid w:val="00104012"/>
    <w:rsid w:val="001042AE"/>
    <w:rsid w:val="001065D7"/>
    <w:rsid w:val="001066C6"/>
    <w:rsid w:val="00107131"/>
    <w:rsid w:val="0010736F"/>
    <w:rsid w:val="001134B8"/>
    <w:rsid w:val="00113826"/>
    <w:rsid w:val="00113E24"/>
    <w:rsid w:val="00113F73"/>
    <w:rsid w:val="00115DDB"/>
    <w:rsid w:val="0012001D"/>
    <w:rsid w:val="001201C2"/>
    <w:rsid w:val="001210CC"/>
    <w:rsid w:val="001219F8"/>
    <w:rsid w:val="00121CC2"/>
    <w:rsid w:val="00123FD8"/>
    <w:rsid w:val="00124918"/>
    <w:rsid w:val="001260F5"/>
    <w:rsid w:val="001271DC"/>
    <w:rsid w:val="001309FF"/>
    <w:rsid w:val="00131AA5"/>
    <w:rsid w:val="00131D8D"/>
    <w:rsid w:val="0013246A"/>
    <w:rsid w:val="001326F2"/>
    <w:rsid w:val="00132A3E"/>
    <w:rsid w:val="00133EE5"/>
    <w:rsid w:val="00133FFB"/>
    <w:rsid w:val="00140637"/>
    <w:rsid w:val="001411BB"/>
    <w:rsid w:val="00142EE4"/>
    <w:rsid w:val="0014381A"/>
    <w:rsid w:val="00143F09"/>
    <w:rsid w:val="0014418F"/>
    <w:rsid w:val="0014491E"/>
    <w:rsid w:val="00144E6E"/>
    <w:rsid w:val="00145B05"/>
    <w:rsid w:val="001467FC"/>
    <w:rsid w:val="00153290"/>
    <w:rsid w:val="001551BB"/>
    <w:rsid w:val="00155B7D"/>
    <w:rsid w:val="00156E04"/>
    <w:rsid w:val="00157F7B"/>
    <w:rsid w:val="00161E5B"/>
    <w:rsid w:val="00166189"/>
    <w:rsid w:val="00167A34"/>
    <w:rsid w:val="00170726"/>
    <w:rsid w:val="00170D23"/>
    <w:rsid w:val="00172455"/>
    <w:rsid w:val="00173141"/>
    <w:rsid w:val="00173269"/>
    <w:rsid w:val="00173306"/>
    <w:rsid w:val="00175B8B"/>
    <w:rsid w:val="00180FAA"/>
    <w:rsid w:val="00181C68"/>
    <w:rsid w:val="00181F34"/>
    <w:rsid w:val="00183208"/>
    <w:rsid w:val="00191792"/>
    <w:rsid w:val="00192C2D"/>
    <w:rsid w:val="001932D0"/>
    <w:rsid w:val="00194785"/>
    <w:rsid w:val="00194CA0"/>
    <w:rsid w:val="001966A6"/>
    <w:rsid w:val="0019697F"/>
    <w:rsid w:val="0019726B"/>
    <w:rsid w:val="001A119B"/>
    <w:rsid w:val="001A121B"/>
    <w:rsid w:val="001A3619"/>
    <w:rsid w:val="001A4285"/>
    <w:rsid w:val="001A57A5"/>
    <w:rsid w:val="001A6CD1"/>
    <w:rsid w:val="001A6E20"/>
    <w:rsid w:val="001A72C0"/>
    <w:rsid w:val="001A763C"/>
    <w:rsid w:val="001A7870"/>
    <w:rsid w:val="001B047C"/>
    <w:rsid w:val="001B2E71"/>
    <w:rsid w:val="001B3C35"/>
    <w:rsid w:val="001B4D93"/>
    <w:rsid w:val="001B6C74"/>
    <w:rsid w:val="001B719E"/>
    <w:rsid w:val="001C026F"/>
    <w:rsid w:val="001C103F"/>
    <w:rsid w:val="001C1B41"/>
    <w:rsid w:val="001C4315"/>
    <w:rsid w:val="001C4F4F"/>
    <w:rsid w:val="001C5D23"/>
    <w:rsid w:val="001C7F2A"/>
    <w:rsid w:val="001D1129"/>
    <w:rsid w:val="001D18C7"/>
    <w:rsid w:val="001D18EA"/>
    <w:rsid w:val="001D20FB"/>
    <w:rsid w:val="001D2179"/>
    <w:rsid w:val="001D382B"/>
    <w:rsid w:val="001D5EA5"/>
    <w:rsid w:val="001D651E"/>
    <w:rsid w:val="001D65EF"/>
    <w:rsid w:val="001D7037"/>
    <w:rsid w:val="001E1405"/>
    <w:rsid w:val="001E15B6"/>
    <w:rsid w:val="001E3B57"/>
    <w:rsid w:val="001E7105"/>
    <w:rsid w:val="001F095B"/>
    <w:rsid w:val="001F11C9"/>
    <w:rsid w:val="001F374F"/>
    <w:rsid w:val="001F389A"/>
    <w:rsid w:val="001F4DB4"/>
    <w:rsid w:val="001F7791"/>
    <w:rsid w:val="0020097B"/>
    <w:rsid w:val="00200FE7"/>
    <w:rsid w:val="00202E4C"/>
    <w:rsid w:val="002042C0"/>
    <w:rsid w:val="00204B61"/>
    <w:rsid w:val="00204E18"/>
    <w:rsid w:val="00204E34"/>
    <w:rsid w:val="00206211"/>
    <w:rsid w:val="00206A96"/>
    <w:rsid w:val="0020738F"/>
    <w:rsid w:val="00210787"/>
    <w:rsid w:val="00215038"/>
    <w:rsid w:val="002158B3"/>
    <w:rsid w:val="002159EF"/>
    <w:rsid w:val="00221FCE"/>
    <w:rsid w:val="0022273F"/>
    <w:rsid w:val="002250A3"/>
    <w:rsid w:val="00230C73"/>
    <w:rsid w:val="00232666"/>
    <w:rsid w:val="00233401"/>
    <w:rsid w:val="0023460E"/>
    <w:rsid w:val="00235217"/>
    <w:rsid w:val="00236212"/>
    <w:rsid w:val="002422A2"/>
    <w:rsid w:val="002424D9"/>
    <w:rsid w:val="0024615A"/>
    <w:rsid w:val="00246D1F"/>
    <w:rsid w:val="00247217"/>
    <w:rsid w:val="00247403"/>
    <w:rsid w:val="00247542"/>
    <w:rsid w:val="0025033A"/>
    <w:rsid w:val="00251B3D"/>
    <w:rsid w:val="00251F4D"/>
    <w:rsid w:val="00254F3E"/>
    <w:rsid w:val="00255AAF"/>
    <w:rsid w:val="00255C99"/>
    <w:rsid w:val="00257034"/>
    <w:rsid w:val="002576C3"/>
    <w:rsid w:val="00257E83"/>
    <w:rsid w:val="002602E7"/>
    <w:rsid w:val="002603C5"/>
    <w:rsid w:val="00263106"/>
    <w:rsid w:val="00265FED"/>
    <w:rsid w:val="00266789"/>
    <w:rsid w:val="00266B61"/>
    <w:rsid w:val="0026712A"/>
    <w:rsid w:val="002704DB"/>
    <w:rsid w:val="002728B3"/>
    <w:rsid w:val="002735C2"/>
    <w:rsid w:val="00274077"/>
    <w:rsid w:val="00274565"/>
    <w:rsid w:val="00275F31"/>
    <w:rsid w:val="00276057"/>
    <w:rsid w:val="00276A11"/>
    <w:rsid w:val="00276DF8"/>
    <w:rsid w:val="00277EF9"/>
    <w:rsid w:val="00280614"/>
    <w:rsid w:val="00280E0A"/>
    <w:rsid w:val="00281876"/>
    <w:rsid w:val="002827DD"/>
    <w:rsid w:val="00284167"/>
    <w:rsid w:val="0028563D"/>
    <w:rsid w:val="002879EF"/>
    <w:rsid w:val="002900D7"/>
    <w:rsid w:val="00291453"/>
    <w:rsid w:val="00293783"/>
    <w:rsid w:val="00293DD0"/>
    <w:rsid w:val="0029605A"/>
    <w:rsid w:val="002962FD"/>
    <w:rsid w:val="002A0732"/>
    <w:rsid w:val="002A0994"/>
    <w:rsid w:val="002A0AAE"/>
    <w:rsid w:val="002A2E80"/>
    <w:rsid w:val="002A2F18"/>
    <w:rsid w:val="002A35D9"/>
    <w:rsid w:val="002A5820"/>
    <w:rsid w:val="002A686C"/>
    <w:rsid w:val="002A68E5"/>
    <w:rsid w:val="002A6C2F"/>
    <w:rsid w:val="002A6E9F"/>
    <w:rsid w:val="002B173F"/>
    <w:rsid w:val="002B2FB6"/>
    <w:rsid w:val="002B31E6"/>
    <w:rsid w:val="002B344D"/>
    <w:rsid w:val="002B447A"/>
    <w:rsid w:val="002B5231"/>
    <w:rsid w:val="002B6DD5"/>
    <w:rsid w:val="002B7540"/>
    <w:rsid w:val="002C0F74"/>
    <w:rsid w:val="002C2674"/>
    <w:rsid w:val="002C29A9"/>
    <w:rsid w:val="002C2B45"/>
    <w:rsid w:val="002C3C33"/>
    <w:rsid w:val="002C4E24"/>
    <w:rsid w:val="002D0764"/>
    <w:rsid w:val="002D1A2A"/>
    <w:rsid w:val="002D2B26"/>
    <w:rsid w:val="002D3E0D"/>
    <w:rsid w:val="002D43FE"/>
    <w:rsid w:val="002D59DF"/>
    <w:rsid w:val="002D5BDC"/>
    <w:rsid w:val="002D669E"/>
    <w:rsid w:val="002D69A2"/>
    <w:rsid w:val="002D7EA2"/>
    <w:rsid w:val="002E187C"/>
    <w:rsid w:val="002E18FD"/>
    <w:rsid w:val="002E3F3E"/>
    <w:rsid w:val="002E41A4"/>
    <w:rsid w:val="002E4AEA"/>
    <w:rsid w:val="002E5CF8"/>
    <w:rsid w:val="002E61DD"/>
    <w:rsid w:val="002E674D"/>
    <w:rsid w:val="002E732D"/>
    <w:rsid w:val="002F0D14"/>
    <w:rsid w:val="002F1207"/>
    <w:rsid w:val="002F3042"/>
    <w:rsid w:val="002F66B8"/>
    <w:rsid w:val="002F75C6"/>
    <w:rsid w:val="002F7D05"/>
    <w:rsid w:val="00300DCF"/>
    <w:rsid w:val="00300E3F"/>
    <w:rsid w:val="00302733"/>
    <w:rsid w:val="003033FA"/>
    <w:rsid w:val="00303D52"/>
    <w:rsid w:val="00305773"/>
    <w:rsid w:val="00307ABB"/>
    <w:rsid w:val="00307ABC"/>
    <w:rsid w:val="003100C5"/>
    <w:rsid w:val="003106D0"/>
    <w:rsid w:val="00311173"/>
    <w:rsid w:val="00312901"/>
    <w:rsid w:val="00314078"/>
    <w:rsid w:val="0031535D"/>
    <w:rsid w:val="00315C3A"/>
    <w:rsid w:val="0032324F"/>
    <w:rsid w:val="00323B30"/>
    <w:rsid w:val="00324591"/>
    <w:rsid w:val="00324D2B"/>
    <w:rsid w:val="0033028D"/>
    <w:rsid w:val="00330AA4"/>
    <w:rsid w:val="0033169F"/>
    <w:rsid w:val="00331831"/>
    <w:rsid w:val="00331AA8"/>
    <w:rsid w:val="003320FF"/>
    <w:rsid w:val="00333933"/>
    <w:rsid w:val="00334386"/>
    <w:rsid w:val="00341DD2"/>
    <w:rsid w:val="003423C0"/>
    <w:rsid w:val="003424DB"/>
    <w:rsid w:val="0034380D"/>
    <w:rsid w:val="0034574D"/>
    <w:rsid w:val="00346C95"/>
    <w:rsid w:val="003510BF"/>
    <w:rsid w:val="00351D8D"/>
    <w:rsid w:val="00353B1B"/>
    <w:rsid w:val="00354148"/>
    <w:rsid w:val="003542E9"/>
    <w:rsid w:val="00356185"/>
    <w:rsid w:val="003567AA"/>
    <w:rsid w:val="00356AC6"/>
    <w:rsid w:val="003577A2"/>
    <w:rsid w:val="00360380"/>
    <w:rsid w:val="003604FD"/>
    <w:rsid w:val="003606F1"/>
    <w:rsid w:val="00361415"/>
    <w:rsid w:val="003620E0"/>
    <w:rsid w:val="003626CE"/>
    <w:rsid w:val="003656FB"/>
    <w:rsid w:val="00365872"/>
    <w:rsid w:val="00366663"/>
    <w:rsid w:val="00366C4A"/>
    <w:rsid w:val="00366FE0"/>
    <w:rsid w:val="003724EF"/>
    <w:rsid w:val="00373ADC"/>
    <w:rsid w:val="00373B38"/>
    <w:rsid w:val="0037519E"/>
    <w:rsid w:val="00376E53"/>
    <w:rsid w:val="00377148"/>
    <w:rsid w:val="00381B3C"/>
    <w:rsid w:val="003855E9"/>
    <w:rsid w:val="00385B1B"/>
    <w:rsid w:val="00386CF0"/>
    <w:rsid w:val="00390152"/>
    <w:rsid w:val="00391811"/>
    <w:rsid w:val="00392AC4"/>
    <w:rsid w:val="00393C62"/>
    <w:rsid w:val="0039497A"/>
    <w:rsid w:val="00396D7E"/>
    <w:rsid w:val="003A3F9C"/>
    <w:rsid w:val="003A5367"/>
    <w:rsid w:val="003A53FF"/>
    <w:rsid w:val="003B30ED"/>
    <w:rsid w:val="003B3606"/>
    <w:rsid w:val="003B3C4F"/>
    <w:rsid w:val="003B546E"/>
    <w:rsid w:val="003B5895"/>
    <w:rsid w:val="003B6339"/>
    <w:rsid w:val="003C4D03"/>
    <w:rsid w:val="003C5F5C"/>
    <w:rsid w:val="003C676B"/>
    <w:rsid w:val="003C7C37"/>
    <w:rsid w:val="003C7E31"/>
    <w:rsid w:val="003D1B0B"/>
    <w:rsid w:val="003D3BC2"/>
    <w:rsid w:val="003D47B4"/>
    <w:rsid w:val="003D67C7"/>
    <w:rsid w:val="003D7C03"/>
    <w:rsid w:val="003E07DD"/>
    <w:rsid w:val="003E432F"/>
    <w:rsid w:val="003E46BB"/>
    <w:rsid w:val="003E5E90"/>
    <w:rsid w:val="003E6CA1"/>
    <w:rsid w:val="003E7479"/>
    <w:rsid w:val="003E78E4"/>
    <w:rsid w:val="003E7E1D"/>
    <w:rsid w:val="003F0239"/>
    <w:rsid w:val="003F10F2"/>
    <w:rsid w:val="003F1444"/>
    <w:rsid w:val="003F2854"/>
    <w:rsid w:val="003F602D"/>
    <w:rsid w:val="003F65B4"/>
    <w:rsid w:val="003F6E92"/>
    <w:rsid w:val="00401AD5"/>
    <w:rsid w:val="00403E3D"/>
    <w:rsid w:val="0040427F"/>
    <w:rsid w:val="00404903"/>
    <w:rsid w:val="0040707E"/>
    <w:rsid w:val="0040756E"/>
    <w:rsid w:val="00407C72"/>
    <w:rsid w:val="00410B7F"/>
    <w:rsid w:val="00410ECD"/>
    <w:rsid w:val="00410F4B"/>
    <w:rsid w:val="00410FBB"/>
    <w:rsid w:val="0041347D"/>
    <w:rsid w:val="00415D3F"/>
    <w:rsid w:val="004165C2"/>
    <w:rsid w:val="00417D1A"/>
    <w:rsid w:val="00420A5A"/>
    <w:rsid w:val="00421FA5"/>
    <w:rsid w:val="00425131"/>
    <w:rsid w:val="00426114"/>
    <w:rsid w:val="004273B9"/>
    <w:rsid w:val="00427847"/>
    <w:rsid w:val="00430833"/>
    <w:rsid w:val="0043145D"/>
    <w:rsid w:val="00434DA4"/>
    <w:rsid w:val="0043589F"/>
    <w:rsid w:val="00435AAA"/>
    <w:rsid w:val="004360F9"/>
    <w:rsid w:val="00437655"/>
    <w:rsid w:val="00441367"/>
    <w:rsid w:val="0044155E"/>
    <w:rsid w:val="004416A8"/>
    <w:rsid w:val="00441ECB"/>
    <w:rsid w:val="0044420F"/>
    <w:rsid w:val="00444CE0"/>
    <w:rsid w:val="004460EA"/>
    <w:rsid w:val="004462D3"/>
    <w:rsid w:val="00446D45"/>
    <w:rsid w:val="00450EBC"/>
    <w:rsid w:val="00452939"/>
    <w:rsid w:val="00453EAF"/>
    <w:rsid w:val="00455FDD"/>
    <w:rsid w:val="00456AB7"/>
    <w:rsid w:val="004625A2"/>
    <w:rsid w:val="004663CE"/>
    <w:rsid w:val="00466553"/>
    <w:rsid w:val="00467916"/>
    <w:rsid w:val="00467B7E"/>
    <w:rsid w:val="00467C77"/>
    <w:rsid w:val="00467EAF"/>
    <w:rsid w:val="00470089"/>
    <w:rsid w:val="00473592"/>
    <w:rsid w:val="00473BC7"/>
    <w:rsid w:val="0047599A"/>
    <w:rsid w:val="0047633C"/>
    <w:rsid w:val="004763B4"/>
    <w:rsid w:val="00476472"/>
    <w:rsid w:val="00477592"/>
    <w:rsid w:val="004807DC"/>
    <w:rsid w:val="004810FA"/>
    <w:rsid w:val="00481A51"/>
    <w:rsid w:val="00482EC8"/>
    <w:rsid w:val="00486F1C"/>
    <w:rsid w:val="0048720C"/>
    <w:rsid w:val="004875D9"/>
    <w:rsid w:val="00487AAC"/>
    <w:rsid w:val="00487DCA"/>
    <w:rsid w:val="004901A4"/>
    <w:rsid w:val="00490F6B"/>
    <w:rsid w:val="00492044"/>
    <w:rsid w:val="004920A9"/>
    <w:rsid w:val="00493A17"/>
    <w:rsid w:val="0049419D"/>
    <w:rsid w:val="00494D4B"/>
    <w:rsid w:val="004A0351"/>
    <w:rsid w:val="004A08FE"/>
    <w:rsid w:val="004A2266"/>
    <w:rsid w:val="004A2D5C"/>
    <w:rsid w:val="004A3650"/>
    <w:rsid w:val="004A38A2"/>
    <w:rsid w:val="004A61B6"/>
    <w:rsid w:val="004B349C"/>
    <w:rsid w:val="004B42DF"/>
    <w:rsid w:val="004B75A8"/>
    <w:rsid w:val="004C20D2"/>
    <w:rsid w:val="004C286F"/>
    <w:rsid w:val="004C3E7B"/>
    <w:rsid w:val="004C4999"/>
    <w:rsid w:val="004C4B62"/>
    <w:rsid w:val="004C5074"/>
    <w:rsid w:val="004C54C9"/>
    <w:rsid w:val="004C6091"/>
    <w:rsid w:val="004C790D"/>
    <w:rsid w:val="004C7B09"/>
    <w:rsid w:val="004D0F05"/>
    <w:rsid w:val="004D195F"/>
    <w:rsid w:val="004D24C6"/>
    <w:rsid w:val="004D2720"/>
    <w:rsid w:val="004D2EEC"/>
    <w:rsid w:val="004D4FFF"/>
    <w:rsid w:val="004D543B"/>
    <w:rsid w:val="004D6025"/>
    <w:rsid w:val="004D6618"/>
    <w:rsid w:val="004D7141"/>
    <w:rsid w:val="004E01CC"/>
    <w:rsid w:val="004E08BA"/>
    <w:rsid w:val="004E14A3"/>
    <w:rsid w:val="004E2649"/>
    <w:rsid w:val="004E7626"/>
    <w:rsid w:val="004F0765"/>
    <w:rsid w:val="004F47A6"/>
    <w:rsid w:val="004F5466"/>
    <w:rsid w:val="004F5B92"/>
    <w:rsid w:val="004F627D"/>
    <w:rsid w:val="004F6D06"/>
    <w:rsid w:val="004F715B"/>
    <w:rsid w:val="00500124"/>
    <w:rsid w:val="005012E7"/>
    <w:rsid w:val="00501399"/>
    <w:rsid w:val="00503F9B"/>
    <w:rsid w:val="00504236"/>
    <w:rsid w:val="0050633D"/>
    <w:rsid w:val="005074EB"/>
    <w:rsid w:val="00507BC4"/>
    <w:rsid w:val="00510D62"/>
    <w:rsid w:val="005128E4"/>
    <w:rsid w:val="00512CB7"/>
    <w:rsid w:val="005133DB"/>
    <w:rsid w:val="00515532"/>
    <w:rsid w:val="005203D8"/>
    <w:rsid w:val="00521068"/>
    <w:rsid w:val="00521BA2"/>
    <w:rsid w:val="005243BA"/>
    <w:rsid w:val="00525560"/>
    <w:rsid w:val="005265E4"/>
    <w:rsid w:val="005267BC"/>
    <w:rsid w:val="0053086B"/>
    <w:rsid w:val="00530B2E"/>
    <w:rsid w:val="00531F75"/>
    <w:rsid w:val="00532059"/>
    <w:rsid w:val="005320E7"/>
    <w:rsid w:val="0053235A"/>
    <w:rsid w:val="00533947"/>
    <w:rsid w:val="0053484E"/>
    <w:rsid w:val="005354F3"/>
    <w:rsid w:val="005357A8"/>
    <w:rsid w:val="005365FF"/>
    <w:rsid w:val="00536923"/>
    <w:rsid w:val="005404A0"/>
    <w:rsid w:val="00541F00"/>
    <w:rsid w:val="005430CE"/>
    <w:rsid w:val="00543745"/>
    <w:rsid w:val="00544C49"/>
    <w:rsid w:val="0055076E"/>
    <w:rsid w:val="005516A1"/>
    <w:rsid w:val="005519E7"/>
    <w:rsid w:val="00552815"/>
    <w:rsid w:val="00555CA2"/>
    <w:rsid w:val="00556F0D"/>
    <w:rsid w:val="0056056C"/>
    <w:rsid w:val="00560FA6"/>
    <w:rsid w:val="00561920"/>
    <w:rsid w:val="0056361C"/>
    <w:rsid w:val="00565744"/>
    <w:rsid w:val="00571053"/>
    <w:rsid w:val="0057217A"/>
    <w:rsid w:val="0057402A"/>
    <w:rsid w:val="005761B1"/>
    <w:rsid w:val="0057646E"/>
    <w:rsid w:val="005771D0"/>
    <w:rsid w:val="005773E1"/>
    <w:rsid w:val="00577797"/>
    <w:rsid w:val="005803A5"/>
    <w:rsid w:val="00580F18"/>
    <w:rsid w:val="00587D27"/>
    <w:rsid w:val="0059119B"/>
    <w:rsid w:val="0059191A"/>
    <w:rsid w:val="005921FF"/>
    <w:rsid w:val="00593260"/>
    <w:rsid w:val="005937F1"/>
    <w:rsid w:val="00593971"/>
    <w:rsid w:val="00594928"/>
    <w:rsid w:val="00594D45"/>
    <w:rsid w:val="00594E9A"/>
    <w:rsid w:val="00595C1D"/>
    <w:rsid w:val="00596D3C"/>
    <w:rsid w:val="005A050E"/>
    <w:rsid w:val="005A074A"/>
    <w:rsid w:val="005A1931"/>
    <w:rsid w:val="005A3686"/>
    <w:rsid w:val="005A3D8C"/>
    <w:rsid w:val="005A4341"/>
    <w:rsid w:val="005A4934"/>
    <w:rsid w:val="005A62AD"/>
    <w:rsid w:val="005A6D0E"/>
    <w:rsid w:val="005B0911"/>
    <w:rsid w:val="005B0959"/>
    <w:rsid w:val="005B0DD5"/>
    <w:rsid w:val="005B1C3B"/>
    <w:rsid w:val="005B1E7B"/>
    <w:rsid w:val="005B3503"/>
    <w:rsid w:val="005B3815"/>
    <w:rsid w:val="005B52B0"/>
    <w:rsid w:val="005B6806"/>
    <w:rsid w:val="005B753F"/>
    <w:rsid w:val="005B78D7"/>
    <w:rsid w:val="005C0166"/>
    <w:rsid w:val="005C4225"/>
    <w:rsid w:val="005C48FD"/>
    <w:rsid w:val="005C4CA5"/>
    <w:rsid w:val="005C5A22"/>
    <w:rsid w:val="005C65F4"/>
    <w:rsid w:val="005D0DB1"/>
    <w:rsid w:val="005D23D5"/>
    <w:rsid w:val="005D42C2"/>
    <w:rsid w:val="005D6C4A"/>
    <w:rsid w:val="005D7A16"/>
    <w:rsid w:val="005E2E8B"/>
    <w:rsid w:val="005E6B01"/>
    <w:rsid w:val="005E7E15"/>
    <w:rsid w:val="005F0DAD"/>
    <w:rsid w:val="005F0F33"/>
    <w:rsid w:val="005F309E"/>
    <w:rsid w:val="005F3F52"/>
    <w:rsid w:val="005F6934"/>
    <w:rsid w:val="005F776C"/>
    <w:rsid w:val="00600DEB"/>
    <w:rsid w:val="00602231"/>
    <w:rsid w:val="006023A8"/>
    <w:rsid w:val="00603F4D"/>
    <w:rsid w:val="00605F32"/>
    <w:rsid w:val="0060704A"/>
    <w:rsid w:val="006125C3"/>
    <w:rsid w:val="00612D66"/>
    <w:rsid w:val="006142A1"/>
    <w:rsid w:val="00616AEF"/>
    <w:rsid w:val="00620C03"/>
    <w:rsid w:val="00621D51"/>
    <w:rsid w:val="00622120"/>
    <w:rsid w:val="00623B4D"/>
    <w:rsid w:val="00623C8D"/>
    <w:rsid w:val="006243EC"/>
    <w:rsid w:val="00624D87"/>
    <w:rsid w:val="00627C9F"/>
    <w:rsid w:val="006311E9"/>
    <w:rsid w:val="0063189B"/>
    <w:rsid w:val="00632354"/>
    <w:rsid w:val="0063270C"/>
    <w:rsid w:val="00633933"/>
    <w:rsid w:val="0063461E"/>
    <w:rsid w:val="006350DA"/>
    <w:rsid w:val="00635E72"/>
    <w:rsid w:val="006366A9"/>
    <w:rsid w:val="00636D82"/>
    <w:rsid w:val="0063758F"/>
    <w:rsid w:val="006423BE"/>
    <w:rsid w:val="00642810"/>
    <w:rsid w:val="00643404"/>
    <w:rsid w:val="00643B45"/>
    <w:rsid w:val="00643C31"/>
    <w:rsid w:val="0064547F"/>
    <w:rsid w:val="006472DD"/>
    <w:rsid w:val="0064745F"/>
    <w:rsid w:val="00650FA9"/>
    <w:rsid w:val="00651637"/>
    <w:rsid w:val="00651D77"/>
    <w:rsid w:val="00652333"/>
    <w:rsid w:val="00653E3D"/>
    <w:rsid w:val="00654970"/>
    <w:rsid w:val="00655160"/>
    <w:rsid w:val="00655415"/>
    <w:rsid w:val="0065556E"/>
    <w:rsid w:val="00656E92"/>
    <w:rsid w:val="0066090F"/>
    <w:rsid w:val="00660E66"/>
    <w:rsid w:val="00663067"/>
    <w:rsid w:val="00663331"/>
    <w:rsid w:val="006649FA"/>
    <w:rsid w:val="00665F63"/>
    <w:rsid w:val="0066660D"/>
    <w:rsid w:val="00667638"/>
    <w:rsid w:val="00667886"/>
    <w:rsid w:val="00667971"/>
    <w:rsid w:val="00667A9E"/>
    <w:rsid w:val="00672ABE"/>
    <w:rsid w:val="00672CBC"/>
    <w:rsid w:val="006739F4"/>
    <w:rsid w:val="00676500"/>
    <w:rsid w:val="00677D37"/>
    <w:rsid w:val="0068009E"/>
    <w:rsid w:val="006800D0"/>
    <w:rsid w:val="00681C32"/>
    <w:rsid w:val="00681DA4"/>
    <w:rsid w:val="00684C63"/>
    <w:rsid w:val="00686985"/>
    <w:rsid w:val="0068779E"/>
    <w:rsid w:val="00691312"/>
    <w:rsid w:val="00691E7F"/>
    <w:rsid w:val="00692219"/>
    <w:rsid w:val="006959DD"/>
    <w:rsid w:val="006A0612"/>
    <w:rsid w:val="006A0ACC"/>
    <w:rsid w:val="006A12F7"/>
    <w:rsid w:val="006A17D2"/>
    <w:rsid w:val="006A3951"/>
    <w:rsid w:val="006A3B9D"/>
    <w:rsid w:val="006A4853"/>
    <w:rsid w:val="006A4B39"/>
    <w:rsid w:val="006A6A8A"/>
    <w:rsid w:val="006A6E95"/>
    <w:rsid w:val="006A706E"/>
    <w:rsid w:val="006A73E6"/>
    <w:rsid w:val="006B1ECA"/>
    <w:rsid w:val="006B20BB"/>
    <w:rsid w:val="006B22D0"/>
    <w:rsid w:val="006B29E8"/>
    <w:rsid w:val="006B2D5C"/>
    <w:rsid w:val="006B3367"/>
    <w:rsid w:val="006B37D9"/>
    <w:rsid w:val="006B3FCC"/>
    <w:rsid w:val="006B4130"/>
    <w:rsid w:val="006B4D40"/>
    <w:rsid w:val="006B600E"/>
    <w:rsid w:val="006C1A20"/>
    <w:rsid w:val="006C2C10"/>
    <w:rsid w:val="006C4EB1"/>
    <w:rsid w:val="006C522F"/>
    <w:rsid w:val="006C58D1"/>
    <w:rsid w:val="006D3607"/>
    <w:rsid w:val="006D4B47"/>
    <w:rsid w:val="006D646D"/>
    <w:rsid w:val="006D720A"/>
    <w:rsid w:val="006E0166"/>
    <w:rsid w:val="006E0C8D"/>
    <w:rsid w:val="006E16C7"/>
    <w:rsid w:val="006E3572"/>
    <w:rsid w:val="006E3649"/>
    <w:rsid w:val="006E783E"/>
    <w:rsid w:val="006E7B34"/>
    <w:rsid w:val="006F1496"/>
    <w:rsid w:val="006F2DDA"/>
    <w:rsid w:val="006F310F"/>
    <w:rsid w:val="006F4AE6"/>
    <w:rsid w:val="006F56E5"/>
    <w:rsid w:val="006F6297"/>
    <w:rsid w:val="006F710D"/>
    <w:rsid w:val="00700343"/>
    <w:rsid w:val="007011B0"/>
    <w:rsid w:val="007016F1"/>
    <w:rsid w:val="00703EC2"/>
    <w:rsid w:val="00704312"/>
    <w:rsid w:val="00704627"/>
    <w:rsid w:val="00705544"/>
    <w:rsid w:val="0070658D"/>
    <w:rsid w:val="0070697F"/>
    <w:rsid w:val="00706C91"/>
    <w:rsid w:val="00711210"/>
    <w:rsid w:val="007118A7"/>
    <w:rsid w:val="00713DDD"/>
    <w:rsid w:val="007148C7"/>
    <w:rsid w:val="00715409"/>
    <w:rsid w:val="007169D3"/>
    <w:rsid w:val="00716AC0"/>
    <w:rsid w:val="0072199C"/>
    <w:rsid w:val="00722111"/>
    <w:rsid w:val="00722149"/>
    <w:rsid w:val="00722A51"/>
    <w:rsid w:val="00722A89"/>
    <w:rsid w:val="00722BB3"/>
    <w:rsid w:val="00722C9F"/>
    <w:rsid w:val="007252A2"/>
    <w:rsid w:val="007253B8"/>
    <w:rsid w:val="007258F4"/>
    <w:rsid w:val="007271DF"/>
    <w:rsid w:val="00727CBF"/>
    <w:rsid w:val="00727DDA"/>
    <w:rsid w:val="00731281"/>
    <w:rsid w:val="00733E0C"/>
    <w:rsid w:val="0073598C"/>
    <w:rsid w:val="0073631B"/>
    <w:rsid w:val="0073741F"/>
    <w:rsid w:val="007375FD"/>
    <w:rsid w:val="007404E4"/>
    <w:rsid w:val="0074069D"/>
    <w:rsid w:val="00741383"/>
    <w:rsid w:val="00742F9A"/>
    <w:rsid w:val="007444AF"/>
    <w:rsid w:val="0074642E"/>
    <w:rsid w:val="0074669F"/>
    <w:rsid w:val="007467FB"/>
    <w:rsid w:val="007478E0"/>
    <w:rsid w:val="00747AC2"/>
    <w:rsid w:val="007504BF"/>
    <w:rsid w:val="00752826"/>
    <w:rsid w:val="007547DB"/>
    <w:rsid w:val="00755BEC"/>
    <w:rsid w:val="00756B36"/>
    <w:rsid w:val="007571EA"/>
    <w:rsid w:val="007576E7"/>
    <w:rsid w:val="00761139"/>
    <w:rsid w:val="00761AAF"/>
    <w:rsid w:val="007637D6"/>
    <w:rsid w:val="00763D39"/>
    <w:rsid w:val="00765556"/>
    <w:rsid w:val="00765831"/>
    <w:rsid w:val="0076643F"/>
    <w:rsid w:val="0077091E"/>
    <w:rsid w:val="00770E13"/>
    <w:rsid w:val="00772198"/>
    <w:rsid w:val="00773E3C"/>
    <w:rsid w:val="007751C5"/>
    <w:rsid w:val="007776AA"/>
    <w:rsid w:val="00777F63"/>
    <w:rsid w:val="00784CF8"/>
    <w:rsid w:val="00785214"/>
    <w:rsid w:val="007902EE"/>
    <w:rsid w:val="00790FB9"/>
    <w:rsid w:val="007925D6"/>
    <w:rsid w:val="00794E1A"/>
    <w:rsid w:val="0079524D"/>
    <w:rsid w:val="00795572"/>
    <w:rsid w:val="00797306"/>
    <w:rsid w:val="007A0BEF"/>
    <w:rsid w:val="007A2D2F"/>
    <w:rsid w:val="007A2E1F"/>
    <w:rsid w:val="007A4895"/>
    <w:rsid w:val="007A516D"/>
    <w:rsid w:val="007A5817"/>
    <w:rsid w:val="007A5AFB"/>
    <w:rsid w:val="007A6D46"/>
    <w:rsid w:val="007B16BB"/>
    <w:rsid w:val="007B1BFF"/>
    <w:rsid w:val="007B1DA6"/>
    <w:rsid w:val="007B3460"/>
    <w:rsid w:val="007B36D7"/>
    <w:rsid w:val="007B580C"/>
    <w:rsid w:val="007B60E9"/>
    <w:rsid w:val="007B6CC3"/>
    <w:rsid w:val="007B7B36"/>
    <w:rsid w:val="007C32E8"/>
    <w:rsid w:val="007C3334"/>
    <w:rsid w:val="007C3900"/>
    <w:rsid w:val="007C40B1"/>
    <w:rsid w:val="007C5E5A"/>
    <w:rsid w:val="007C756A"/>
    <w:rsid w:val="007D2B98"/>
    <w:rsid w:val="007D2FC6"/>
    <w:rsid w:val="007D3AE1"/>
    <w:rsid w:val="007D3E29"/>
    <w:rsid w:val="007D5056"/>
    <w:rsid w:val="007D5940"/>
    <w:rsid w:val="007D5C0F"/>
    <w:rsid w:val="007D650A"/>
    <w:rsid w:val="007D7206"/>
    <w:rsid w:val="007D7EDE"/>
    <w:rsid w:val="007E12A9"/>
    <w:rsid w:val="007E21BC"/>
    <w:rsid w:val="007E4A85"/>
    <w:rsid w:val="007E559F"/>
    <w:rsid w:val="007F27E9"/>
    <w:rsid w:val="007F38F1"/>
    <w:rsid w:val="007F4501"/>
    <w:rsid w:val="007F4900"/>
    <w:rsid w:val="007F4C07"/>
    <w:rsid w:val="007F600F"/>
    <w:rsid w:val="007F7E9A"/>
    <w:rsid w:val="00801690"/>
    <w:rsid w:val="00801A11"/>
    <w:rsid w:val="00801E01"/>
    <w:rsid w:val="008022DB"/>
    <w:rsid w:val="0080240A"/>
    <w:rsid w:val="00802DD7"/>
    <w:rsid w:val="00803F1C"/>
    <w:rsid w:val="0080600E"/>
    <w:rsid w:val="008065CF"/>
    <w:rsid w:val="008068BF"/>
    <w:rsid w:val="00807168"/>
    <w:rsid w:val="008121E5"/>
    <w:rsid w:val="008135F4"/>
    <w:rsid w:val="00815021"/>
    <w:rsid w:val="00817612"/>
    <w:rsid w:val="008217E6"/>
    <w:rsid w:val="00825B73"/>
    <w:rsid w:val="008266A7"/>
    <w:rsid w:val="008300EE"/>
    <w:rsid w:val="00831A19"/>
    <w:rsid w:val="008338A4"/>
    <w:rsid w:val="00833C38"/>
    <w:rsid w:val="00834062"/>
    <w:rsid w:val="00834D24"/>
    <w:rsid w:val="0083526D"/>
    <w:rsid w:val="00836D9C"/>
    <w:rsid w:val="00837157"/>
    <w:rsid w:val="00837C45"/>
    <w:rsid w:val="008425DF"/>
    <w:rsid w:val="00842F5F"/>
    <w:rsid w:val="00843AD3"/>
    <w:rsid w:val="00844730"/>
    <w:rsid w:val="0084508C"/>
    <w:rsid w:val="008457C2"/>
    <w:rsid w:val="008522EB"/>
    <w:rsid w:val="00852948"/>
    <w:rsid w:val="008531BF"/>
    <w:rsid w:val="00854152"/>
    <w:rsid w:val="00854F1D"/>
    <w:rsid w:val="008557D4"/>
    <w:rsid w:val="0085715F"/>
    <w:rsid w:val="00857A82"/>
    <w:rsid w:val="00860178"/>
    <w:rsid w:val="008614E4"/>
    <w:rsid w:val="00862C91"/>
    <w:rsid w:val="00865322"/>
    <w:rsid w:val="00865EEE"/>
    <w:rsid w:val="008713B4"/>
    <w:rsid w:val="00872749"/>
    <w:rsid w:val="00873191"/>
    <w:rsid w:val="00873836"/>
    <w:rsid w:val="00874468"/>
    <w:rsid w:val="008746B3"/>
    <w:rsid w:val="00874D05"/>
    <w:rsid w:val="008761E8"/>
    <w:rsid w:val="0087665D"/>
    <w:rsid w:val="00876E64"/>
    <w:rsid w:val="0088215A"/>
    <w:rsid w:val="00883578"/>
    <w:rsid w:val="0088487B"/>
    <w:rsid w:val="00885737"/>
    <w:rsid w:val="00887D3B"/>
    <w:rsid w:val="008901B5"/>
    <w:rsid w:val="00890650"/>
    <w:rsid w:val="0089076E"/>
    <w:rsid w:val="00890940"/>
    <w:rsid w:val="00890FFE"/>
    <w:rsid w:val="0089243A"/>
    <w:rsid w:val="00892FFA"/>
    <w:rsid w:val="00893487"/>
    <w:rsid w:val="00893FB0"/>
    <w:rsid w:val="00897E12"/>
    <w:rsid w:val="008A10AE"/>
    <w:rsid w:val="008A235F"/>
    <w:rsid w:val="008A3A9C"/>
    <w:rsid w:val="008A55E5"/>
    <w:rsid w:val="008A7D92"/>
    <w:rsid w:val="008A7E0F"/>
    <w:rsid w:val="008B12F5"/>
    <w:rsid w:val="008B1DB1"/>
    <w:rsid w:val="008B1E5E"/>
    <w:rsid w:val="008B1EDD"/>
    <w:rsid w:val="008B2705"/>
    <w:rsid w:val="008B2AA3"/>
    <w:rsid w:val="008B5384"/>
    <w:rsid w:val="008B5735"/>
    <w:rsid w:val="008C0671"/>
    <w:rsid w:val="008C1C5B"/>
    <w:rsid w:val="008C3098"/>
    <w:rsid w:val="008C3755"/>
    <w:rsid w:val="008C416C"/>
    <w:rsid w:val="008C493D"/>
    <w:rsid w:val="008C544B"/>
    <w:rsid w:val="008C5F07"/>
    <w:rsid w:val="008C5F8C"/>
    <w:rsid w:val="008C6084"/>
    <w:rsid w:val="008C69CA"/>
    <w:rsid w:val="008C71B4"/>
    <w:rsid w:val="008C7A48"/>
    <w:rsid w:val="008C7E5D"/>
    <w:rsid w:val="008D3D51"/>
    <w:rsid w:val="008D56E6"/>
    <w:rsid w:val="008D597A"/>
    <w:rsid w:val="008D678C"/>
    <w:rsid w:val="008D7091"/>
    <w:rsid w:val="008D768D"/>
    <w:rsid w:val="008E0FA1"/>
    <w:rsid w:val="008E146D"/>
    <w:rsid w:val="008E2763"/>
    <w:rsid w:val="008E2CCC"/>
    <w:rsid w:val="008E3053"/>
    <w:rsid w:val="008E3388"/>
    <w:rsid w:val="008E3759"/>
    <w:rsid w:val="008F0B5A"/>
    <w:rsid w:val="008F1452"/>
    <w:rsid w:val="008F1912"/>
    <w:rsid w:val="008F1B28"/>
    <w:rsid w:val="008F3D64"/>
    <w:rsid w:val="008F604B"/>
    <w:rsid w:val="008F634D"/>
    <w:rsid w:val="008F659B"/>
    <w:rsid w:val="008F7809"/>
    <w:rsid w:val="00901438"/>
    <w:rsid w:val="009014A4"/>
    <w:rsid w:val="00901BDB"/>
    <w:rsid w:val="0090270B"/>
    <w:rsid w:val="009041DC"/>
    <w:rsid w:val="00904736"/>
    <w:rsid w:val="00907832"/>
    <w:rsid w:val="009107E1"/>
    <w:rsid w:val="00912DF1"/>
    <w:rsid w:val="00915236"/>
    <w:rsid w:val="00917B5A"/>
    <w:rsid w:val="00920A58"/>
    <w:rsid w:val="00920A8C"/>
    <w:rsid w:val="0092111F"/>
    <w:rsid w:val="00921B5B"/>
    <w:rsid w:val="0092331D"/>
    <w:rsid w:val="00924F45"/>
    <w:rsid w:val="00926F7B"/>
    <w:rsid w:val="00927D4E"/>
    <w:rsid w:val="0093040B"/>
    <w:rsid w:val="009306BA"/>
    <w:rsid w:val="00931045"/>
    <w:rsid w:val="0093267E"/>
    <w:rsid w:val="00934A2C"/>
    <w:rsid w:val="00935196"/>
    <w:rsid w:val="00936D60"/>
    <w:rsid w:val="00936FAE"/>
    <w:rsid w:val="00937380"/>
    <w:rsid w:val="00941DA1"/>
    <w:rsid w:val="009422EF"/>
    <w:rsid w:val="009429AE"/>
    <w:rsid w:val="00942E94"/>
    <w:rsid w:val="009430A6"/>
    <w:rsid w:val="009432A8"/>
    <w:rsid w:val="00945B4E"/>
    <w:rsid w:val="009470FC"/>
    <w:rsid w:val="00950E1E"/>
    <w:rsid w:val="00951783"/>
    <w:rsid w:val="00951CBC"/>
    <w:rsid w:val="0095414C"/>
    <w:rsid w:val="0095457E"/>
    <w:rsid w:val="00956270"/>
    <w:rsid w:val="009568D5"/>
    <w:rsid w:val="00956987"/>
    <w:rsid w:val="009569DD"/>
    <w:rsid w:val="00957C94"/>
    <w:rsid w:val="009609E8"/>
    <w:rsid w:val="009622E9"/>
    <w:rsid w:val="0096231E"/>
    <w:rsid w:val="00965D82"/>
    <w:rsid w:val="0096649A"/>
    <w:rsid w:val="0096706E"/>
    <w:rsid w:val="009677A7"/>
    <w:rsid w:val="00967DDA"/>
    <w:rsid w:val="00967EBB"/>
    <w:rsid w:val="00971AD0"/>
    <w:rsid w:val="00971F44"/>
    <w:rsid w:val="00975C4E"/>
    <w:rsid w:val="00977D92"/>
    <w:rsid w:val="00981601"/>
    <w:rsid w:val="00981FBA"/>
    <w:rsid w:val="0098246E"/>
    <w:rsid w:val="00982BD8"/>
    <w:rsid w:val="009831A6"/>
    <w:rsid w:val="00983304"/>
    <w:rsid w:val="009839DF"/>
    <w:rsid w:val="009842F6"/>
    <w:rsid w:val="00985093"/>
    <w:rsid w:val="00987D24"/>
    <w:rsid w:val="00991CD4"/>
    <w:rsid w:val="00993A22"/>
    <w:rsid w:val="009955FF"/>
    <w:rsid w:val="00996910"/>
    <w:rsid w:val="00997BC5"/>
    <w:rsid w:val="009A038F"/>
    <w:rsid w:val="009A0BE3"/>
    <w:rsid w:val="009A0C18"/>
    <w:rsid w:val="009A2346"/>
    <w:rsid w:val="009A4F41"/>
    <w:rsid w:val="009A516F"/>
    <w:rsid w:val="009A536D"/>
    <w:rsid w:val="009A5D3F"/>
    <w:rsid w:val="009A6E5A"/>
    <w:rsid w:val="009A7B46"/>
    <w:rsid w:val="009B1F1F"/>
    <w:rsid w:val="009B270E"/>
    <w:rsid w:val="009B27ED"/>
    <w:rsid w:val="009B381B"/>
    <w:rsid w:val="009B4DE2"/>
    <w:rsid w:val="009B5153"/>
    <w:rsid w:val="009B52DB"/>
    <w:rsid w:val="009B56CC"/>
    <w:rsid w:val="009B7FA2"/>
    <w:rsid w:val="009C0F27"/>
    <w:rsid w:val="009C1211"/>
    <w:rsid w:val="009C2B51"/>
    <w:rsid w:val="009C4582"/>
    <w:rsid w:val="009C4EAA"/>
    <w:rsid w:val="009C6938"/>
    <w:rsid w:val="009C70E3"/>
    <w:rsid w:val="009C7690"/>
    <w:rsid w:val="009D098D"/>
    <w:rsid w:val="009D1753"/>
    <w:rsid w:val="009D44BD"/>
    <w:rsid w:val="009D46AB"/>
    <w:rsid w:val="009D5CB9"/>
    <w:rsid w:val="009D689C"/>
    <w:rsid w:val="009D7611"/>
    <w:rsid w:val="009D7B3D"/>
    <w:rsid w:val="009D7C58"/>
    <w:rsid w:val="009E014A"/>
    <w:rsid w:val="009E0201"/>
    <w:rsid w:val="009E097E"/>
    <w:rsid w:val="009E0B61"/>
    <w:rsid w:val="009E1309"/>
    <w:rsid w:val="009E1CA1"/>
    <w:rsid w:val="009E37C6"/>
    <w:rsid w:val="009E49EA"/>
    <w:rsid w:val="009E51EB"/>
    <w:rsid w:val="009E53DE"/>
    <w:rsid w:val="009E59FD"/>
    <w:rsid w:val="009E7EBC"/>
    <w:rsid w:val="009F0ED3"/>
    <w:rsid w:val="009F1023"/>
    <w:rsid w:val="009F1C3B"/>
    <w:rsid w:val="009F3670"/>
    <w:rsid w:val="00A01075"/>
    <w:rsid w:val="00A043F6"/>
    <w:rsid w:val="00A04978"/>
    <w:rsid w:val="00A077F5"/>
    <w:rsid w:val="00A12910"/>
    <w:rsid w:val="00A1333D"/>
    <w:rsid w:val="00A1396E"/>
    <w:rsid w:val="00A13B72"/>
    <w:rsid w:val="00A168A5"/>
    <w:rsid w:val="00A17EBE"/>
    <w:rsid w:val="00A22D65"/>
    <w:rsid w:val="00A2598E"/>
    <w:rsid w:val="00A267EB"/>
    <w:rsid w:val="00A26F7A"/>
    <w:rsid w:val="00A328B3"/>
    <w:rsid w:val="00A328F5"/>
    <w:rsid w:val="00A338DF"/>
    <w:rsid w:val="00A33B1E"/>
    <w:rsid w:val="00A33B47"/>
    <w:rsid w:val="00A3465B"/>
    <w:rsid w:val="00A347A3"/>
    <w:rsid w:val="00A4093B"/>
    <w:rsid w:val="00A421D9"/>
    <w:rsid w:val="00A424EE"/>
    <w:rsid w:val="00A43D08"/>
    <w:rsid w:val="00A453A2"/>
    <w:rsid w:val="00A46459"/>
    <w:rsid w:val="00A50FCF"/>
    <w:rsid w:val="00A5199B"/>
    <w:rsid w:val="00A51CA3"/>
    <w:rsid w:val="00A528D1"/>
    <w:rsid w:val="00A5331A"/>
    <w:rsid w:val="00A546A8"/>
    <w:rsid w:val="00A546D0"/>
    <w:rsid w:val="00A54842"/>
    <w:rsid w:val="00A55A96"/>
    <w:rsid w:val="00A56BCD"/>
    <w:rsid w:val="00A5746D"/>
    <w:rsid w:val="00A57BD7"/>
    <w:rsid w:val="00A6003A"/>
    <w:rsid w:val="00A610CD"/>
    <w:rsid w:val="00A61602"/>
    <w:rsid w:val="00A61E19"/>
    <w:rsid w:val="00A63881"/>
    <w:rsid w:val="00A65698"/>
    <w:rsid w:val="00A67896"/>
    <w:rsid w:val="00A70C2F"/>
    <w:rsid w:val="00A71BA1"/>
    <w:rsid w:val="00A727A2"/>
    <w:rsid w:val="00A73E50"/>
    <w:rsid w:val="00A755A0"/>
    <w:rsid w:val="00A75C60"/>
    <w:rsid w:val="00A75E63"/>
    <w:rsid w:val="00A802C6"/>
    <w:rsid w:val="00A814FA"/>
    <w:rsid w:val="00A825F4"/>
    <w:rsid w:val="00A838ED"/>
    <w:rsid w:val="00A83C95"/>
    <w:rsid w:val="00A866D2"/>
    <w:rsid w:val="00A86733"/>
    <w:rsid w:val="00A87F08"/>
    <w:rsid w:val="00A92417"/>
    <w:rsid w:val="00A9472E"/>
    <w:rsid w:val="00AA09A2"/>
    <w:rsid w:val="00AA0FDF"/>
    <w:rsid w:val="00AA1830"/>
    <w:rsid w:val="00AA1B0E"/>
    <w:rsid w:val="00AA6F88"/>
    <w:rsid w:val="00AA70A5"/>
    <w:rsid w:val="00AA7996"/>
    <w:rsid w:val="00AB1A81"/>
    <w:rsid w:val="00AB28D4"/>
    <w:rsid w:val="00AB3F96"/>
    <w:rsid w:val="00AB6146"/>
    <w:rsid w:val="00AC19CB"/>
    <w:rsid w:val="00AC55D4"/>
    <w:rsid w:val="00AC6C77"/>
    <w:rsid w:val="00AC7EF4"/>
    <w:rsid w:val="00AD18B0"/>
    <w:rsid w:val="00AD1EFF"/>
    <w:rsid w:val="00AD3B75"/>
    <w:rsid w:val="00AD3CFB"/>
    <w:rsid w:val="00AD4FAB"/>
    <w:rsid w:val="00AD5F3A"/>
    <w:rsid w:val="00AE0278"/>
    <w:rsid w:val="00AE14E0"/>
    <w:rsid w:val="00AE1AE9"/>
    <w:rsid w:val="00AE5488"/>
    <w:rsid w:val="00AE6F91"/>
    <w:rsid w:val="00AF22E3"/>
    <w:rsid w:val="00AF2F94"/>
    <w:rsid w:val="00AF4A2C"/>
    <w:rsid w:val="00AF5571"/>
    <w:rsid w:val="00AF7404"/>
    <w:rsid w:val="00AF771B"/>
    <w:rsid w:val="00AF7988"/>
    <w:rsid w:val="00B015C3"/>
    <w:rsid w:val="00B0379E"/>
    <w:rsid w:val="00B03D69"/>
    <w:rsid w:val="00B07184"/>
    <w:rsid w:val="00B07341"/>
    <w:rsid w:val="00B1024D"/>
    <w:rsid w:val="00B102BC"/>
    <w:rsid w:val="00B11103"/>
    <w:rsid w:val="00B15E91"/>
    <w:rsid w:val="00B1687F"/>
    <w:rsid w:val="00B20F88"/>
    <w:rsid w:val="00B20FEB"/>
    <w:rsid w:val="00B22E20"/>
    <w:rsid w:val="00B30335"/>
    <w:rsid w:val="00B30539"/>
    <w:rsid w:val="00B314DB"/>
    <w:rsid w:val="00B33B90"/>
    <w:rsid w:val="00B344B1"/>
    <w:rsid w:val="00B34B3D"/>
    <w:rsid w:val="00B34CE7"/>
    <w:rsid w:val="00B36173"/>
    <w:rsid w:val="00B361F2"/>
    <w:rsid w:val="00B3718B"/>
    <w:rsid w:val="00B405AB"/>
    <w:rsid w:val="00B431B3"/>
    <w:rsid w:val="00B431F1"/>
    <w:rsid w:val="00B43517"/>
    <w:rsid w:val="00B436D8"/>
    <w:rsid w:val="00B43F02"/>
    <w:rsid w:val="00B4632A"/>
    <w:rsid w:val="00B469E5"/>
    <w:rsid w:val="00B47BC1"/>
    <w:rsid w:val="00B513B1"/>
    <w:rsid w:val="00B516ED"/>
    <w:rsid w:val="00B530F1"/>
    <w:rsid w:val="00B54A0C"/>
    <w:rsid w:val="00B60176"/>
    <w:rsid w:val="00B632D6"/>
    <w:rsid w:val="00B6772E"/>
    <w:rsid w:val="00B67999"/>
    <w:rsid w:val="00B7056E"/>
    <w:rsid w:val="00B7066B"/>
    <w:rsid w:val="00B715BE"/>
    <w:rsid w:val="00B71C28"/>
    <w:rsid w:val="00B734E7"/>
    <w:rsid w:val="00B73671"/>
    <w:rsid w:val="00B76B20"/>
    <w:rsid w:val="00B77D28"/>
    <w:rsid w:val="00B80344"/>
    <w:rsid w:val="00B80468"/>
    <w:rsid w:val="00B8289F"/>
    <w:rsid w:val="00B85169"/>
    <w:rsid w:val="00B85DCA"/>
    <w:rsid w:val="00B90C19"/>
    <w:rsid w:val="00B92890"/>
    <w:rsid w:val="00B94526"/>
    <w:rsid w:val="00B97C68"/>
    <w:rsid w:val="00BA20F8"/>
    <w:rsid w:val="00BA276C"/>
    <w:rsid w:val="00BA461E"/>
    <w:rsid w:val="00BA52A7"/>
    <w:rsid w:val="00BA61B6"/>
    <w:rsid w:val="00BA7261"/>
    <w:rsid w:val="00BB19E7"/>
    <w:rsid w:val="00BB306F"/>
    <w:rsid w:val="00BB4072"/>
    <w:rsid w:val="00BB6093"/>
    <w:rsid w:val="00BB65D4"/>
    <w:rsid w:val="00BC0F0C"/>
    <w:rsid w:val="00BC1180"/>
    <w:rsid w:val="00BC2BB1"/>
    <w:rsid w:val="00BC33F5"/>
    <w:rsid w:val="00BC63B6"/>
    <w:rsid w:val="00BC7000"/>
    <w:rsid w:val="00BD37F1"/>
    <w:rsid w:val="00BD4B89"/>
    <w:rsid w:val="00BD58F8"/>
    <w:rsid w:val="00BD7D0E"/>
    <w:rsid w:val="00BE07CA"/>
    <w:rsid w:val="00BE0AD9"/>
    <w:rsid w:val="00BE172E"/>
    <w:rsid w:val="00BE1B7E"/>
    <w:rsid w:val="00BE1E19"/>
    <w:rsid w:val="00BE1F75"/>
    <w:rsid w:val="00BE2A85"/>
    <w:rsid w:val="00BE3EF5"/>
    <w:rsid w:val="00BE46B6"/>
    <w:rsid w:val="00BE6C41"/>
    <w:rsid w:val="00BF02CB"/>
    <w:rsid w:val="00BF0540"/>
    <w:rsid w:val="00BF11D3"/>
    <w:rsid w:val="00BF1664"/>
    <w:rsid w:val="00BF2234"/>
    <w:rsid w:val="00BF44B2"/>
    <w:rsid w:val="00BF6559"/>
    <w:rsid w:val="00BF6FD8"/>
    <w:rsid w:val="00BF7B26"/>
    <w:rsid w:val="00C00AB2"/>
    <w:rsid w:val="00C012B7"/>
    <w:rsid w:val="00C03680"/>
    <w:rsid w:val="00C0452C"/>
    <w:rsid w:val="00C04DBD"/>
    <w:rsid w:val="00C054DF"/>
    <w:rsid w:val="00C07DEB"/>
    <w:rsid w:val="00C11274"/>
    <w:rsid w:val="00C113BF"/>
    <w:rsid w:val="00C121F3"/>
    <w:rsid w:val="00C12A73"/>
    <w:rsid w:val="00C14997"/>
    <w:rsid w:val="00C150A5"/>
    <w:rsid w:val="00C16595"/>
    <w:rsid w:val="00C21762"/>
    <w:rsid w:val="00C22591"/>
    <w:rsid w:val="00C23864"/>
    <w:rsid w:val="00C23DFB"/>
    <w:rsid w:val="00C23EB8"/>
    <w:rsid w:val="00C23EFB"/>
    <w:rsid w:val="00C24543"/>
    <w:rsid w:val="00C25308"/>
    <w:rsid w:val="00C256A2"/>
    <w:rsid w:val="00C25E8B"/>
    <w:rsid w:val="00C260A3"/>
    <w:rsid w:val="00C2651E"/>
    <w:rsid w:val="00C26DB5"/>
    <w:rsid w:val="00C318A4"/>
    <w:rsid w:val="00C325F8"/>
    <w:rsid w:val="00C34BE7"/>
    <w:rsid w:val="00C354EE"/>
    <w:rsid w:val="00C36059"/>
    <w:rsid w:val="00C40789"/>
    <w:rsid w:val="00C41237"/>
    <w:rsid w:val="00C4180E"/>
    <w:rsid w:val="00C4396A"/>
    <w:rsid w:val="00C43E61"/>
    <w:rsid w:val="00C46EE5"/>
    <w:rsid w:val="00C51385"/>
    <w:rsid w:val="00C51515"/>
    <w:rsid w:val="00C52F70"/>
    <w:rsid w:val="00C5311C"/>
    <w:rsid w:val="00C537F1"/>
    <w:rsid w:val="00C55D0C"/>
    <w:rsid w:val="00C5660B"/>
    <w:rsid w:val="00C570B8"/>
    <w:rsid w:val="00C60C22"/>
    <w:rsid w:val="00C61744"/>
    <w:rsid w:val="00C629D3"/>
    <w:rsid w:val="00C62A75"/>
    <w:rsid w:val="00C63E70"/>
    <w:rsid w:val="00C640F6"/>
    <w:rsid w:val="00C647A8"/>
    <w:rsid w:val="00C66B72"/>
    <w:rsid w:val="00C67FAF"/>
    <w:rsid w:val="00C7041F"/>
    <w:rsid w:val="00C70B72"/>
    <w:rsid w:val="00C7300E"/>
    <w:rsid w:val="00C75282"/>
    <w:rsid w:val="00C7772D"/>
    <w:rsid w:val="00C80161"/>
    <w:rsid w:val="00C806AE"/>
    <w:rsid w:val="00C80CA1"/>
    <w:rsid w:val="00C810D8"/>
    <w:rsid w:val="00C81646"/>
    <w:rsid w:val="00C830E1"/>
    <w:rsid w:val="00C8530D"/>
    <w:rsid w:val="00C853BA"/>
    <w:rsid w:val="00C86DA4"/>
    <w:rsid w:val="00C87951"/>
    <w:rsid w:val="00C90FE0"/>
    <w:rsid w:val="00C91D59"/>
    <w:rsid w:val="00C94861"/>
    <w:rsid w:val="00C9567A"/>
    <w:rsid w:val="00C96B76"/>
    <w:rsid w:val="00C97129"/>
    <w:rsid w:val="00CA2562"/>
    <w:rsid w:val="00CA37B4"/>
    <w:rsid w:val="00CA3BA8"/>
    <w:rsid w:val="00CA5403"/>
    <w:rsid w:val="00CA748C"/>
    <w:rsid w:val="00CA7BF4"/>
    <w:rsid w:val="00CB212D"/>
    <w:rsid w:val="00CB236A"/>
    <w:rsid w:val="00CB2583"/>
    <w:rsid w:val="00CB2660"/>
    <w:rsid w:val="00CB296C"/>
    <w:rsid w:val="00CB2F94"/>
    <w:rsid w:val="00CB4AF7"/>
    <w:rsid w:val="00CB515C"/>
    <w:rsid w:val="00CB6CA4"/>
    <w:rsid w:val="00CC1DD6"/>
    <w:rsid w:val="00CC267A"/>
    <w:rsid w:val="00CC36A7"/>
    <w:rsid w:val="00CC3846"/>
    <w:rsid w:val="00CC46C0"/>
    <w:rsid w:val="00CC4D3C"/>
    <w:rsid w:val="00CC5E90"/>
    <w:rsid w:val="00CC63CF"/>
    <w:rsid w:val="00CC6767"/>
    <w:rsid w:val="00CC70CE"/>
    <w:rsid w:val="00CD046C"/>
    <w:rsid w:val="00CD2ABD"/>
    <w:rsid w:val="00CD3A52"/>
    <w:rsid w:val="00CD5BA6"/>
    <w:rsid w:val="00CD5BE1"/>
    <w:rsid w:val="00CD6689"/>
    <w:rsid w:val="00CE076C"/>
    <w:rsid w:val="00CE2CBD"/>
    <w:rsid w:val="00CE5199"/>
    <w:rsid w:val="00CE51E7"/>
    <w:rsid w:val="00CE64C7"/>
    <w:rsid w:val="00CE66D5"/>
    <w:rsid w:val="00CE6F17"/>
    <w:rsid w:val="00CE747A"/>
    <w:rsid w:val="00CE75E6"/>
    <w:rsid w:val="00CE7BD0"/>
    <w:rsid w:val="00CF442F"/>
    <w:rsid w:val="00CF6321"/>
    <w:rsid w:val="00CF637A"/>
    <w:rsid w:val="00CF7FB5"/>
    <w:rsid w:val="00D003C5"/>
    <w:rsid w:val="00D01BDD"/>
    <w:rsid w:val="00D023B2"/>
    <w:rsid w:val="00D02435"/>
    <w:rsid w:val="00D03278"/>
    <w:rsid w:val="00D059DE"/>
    <w:rsid w:val="00D05E75"/>
    <w:rsid w:val="00D06796"/>
    <w:rsid w:val="00D1096F"/>
    <w:rsid w:val="00D11493"/>
    <w:rsid w:val="00D12193"/>
    <w:rsid w:val="00D13366"/>
    <w:rsid w:val="00D139CD"/>
    <w:rsid w:val="00D13FCE"/>
    <w:rsid w:val="00D16BE2"/>
    <w:rsid w:val="00D2168D"/>
    <w:rsid w:val="00D22A34"/>
    <w:rsid w:val="00D26002"/>
    <w:rsid w:val="00D26754"/>
    <w:rsid w:val="00D270D0"/>
    <w:rsid w:val="00D27EEE"/>
    <w:rsid w:val="00D306D1"/>
    <w:rsid w:val="00D3083C"/>
    <w:rsid w:val="00D32184"/>
    <w:rsid w:val="00D32A10"/>
    <w:rsid w:val="00D32CA9"/>
    <w:rsid w:val="00D340F1"/>
    <w:rsid w:val="00D34786"/>
    <w:rsid w:val="00D3594D"/>
    <w:rsid w:val="00D37BFC"/>
    <w:rsid w:val="00D41B6A"/>
    <w:rsid w:val="00D41C25"/>
    <w:rsid w:val="00D45F2A"/>
    <w:rsid w:val="00D46866"/>
    <w:rsid w:val="00D4690F"/>
    <w:rsid w:val="00D4757B"/>
    <w:rsid w:val="00D4780A"/>
    <w:rsid w:val="00D47A8E"/>
    <w:rsid w:val="00D50A44"/>
    <w:rsid w:val="00D50D46"/>
    <w:rsid w:val="00D50DE6"/>
    <w:rsid w:val="00D51471"/>
    <w:rsid w:val="00D52D14"/>
    <w:rsid w:val="00D607E3"/>
    <w:rsid w:val="00D6114E"/>
    <w:rsid w:val="00D61682"/>
    <w:rsid w:val="00D64B2D"/>
    <w:rsid w:val="00D64D9D"/>
    <w:rsid w:val="00D65276"/>
    <w:rsid w:val="00D671FD"/>
    <w:rsid w:val="00D70ACF"/>
    <w:rsid w:val="00D712D3"/>
    <w:rsid w:val="00D71422"/>
    <w:rsid w:val="00D72DC6"/>
    <w:rsid w:val="00D730FC"/>
    <w:rsid w:val="00D7558D"/>
    <w:rsid w:val="00D77B85"/>
    <w:rsid w:val="00D80C96"/>
    <w:rsid w:val="00D81D92"/>
    <w:rsid w:val="00D82440"/>
    <w:rsid w:val="00D8295A"/>
    <w:rsid w:val="00D83D73"/>
    <w:rsid w:val="00D870EA"/>
    <w:rsid w:val="00D87920"/>
    <w:rsid w:val="00D90D25"/>
    <w:rsid w:val="00D91923"/>
    <w:rsid w:val="00D92881"/>
    <w:rsid w:val="00D944EE"/>
    <w:rsid w:val="00D96E66"/>
    <w:rsid w:val="00D9743B"/>
    <w:rsid w:val="00D9755A"/>
    <w:rsid w:val="00DA0027"/>
    <w:rsid w:val="00DA02EE"/>
    <w:rsid w:val="00DA17F4"/>
    <w:rsid w:val="00DA2C2F"/>
    <w:rsid w:val="00DA2E0E"/>
    <w:rsid w:val="00DA3ACB"/>
    <w:rsid w:val="00DA6E69"/>
    <w:rsid w:val="00DA6FC7"/>
    <w:rsid w:val="00DA7B5F"/>
    <w:rsid w:val="00DB0D66"/>
    <w:rsid w:val="00DB2DB6"/>
    <w:rsid w:val="00DB7678"/>
    <w:rsid w:val="00DB7ECB"/>
    <w:rsid w:val="00DC11E7"/>
    <w:rsid w:val="00DC4A02"/>
    <w:rsid w:val="00DC7023"/>
    <w:rsid w:val="00DC769A"/>
    <w:rsid w:val="00DD0B50"/>
    <w:rsid w:val="00DD0E9F"/>
    <w:rsid w:val="00DD2F83"/>
    <w:rsid w:val="00DD39EC"/>
    <w:rsid w:val="00DD3D86"/>
    <w:rsid w:val="00DD56E5"/>
    <w:rsid w:val="00DD5AD0"/>
    <w:rsid w:val="00DD5EF0"/>
    <w:rsid w:val="00DD64A2"/>
    <w:rsid w:val="00DE016A"/>
    <w:rsid w:val="00DE0ADC"/>
    <w:rsid w:val="00DE5929"/>
    <w:rsid w:val="00DE59F5"/>
    <w:rsid w:val="00DE783D"/>
    <w:rsid w:val="00DF0380"/>
    <w:rsid w:val="00DF1EC4"/>
    <w:rsid w:val="00DF3579"/>
    <w:rsid w:val="00DF3FB1"/>
    <w:rsid w:val="00DF4677"/>
    <w:rsid w:val="00DF5EE7"/>
    <w:rsid w:val="00E008F5"/>
    <w:rsid w:val="00E00FE3"/>
    <w:rsid w:val="00E0168A"/>
    <w:rsid w:val="00E032F0"/>
    <w:rsid w:val="00E0340B"/>
    <w:rsid w:val="00E04A90"/>
    <w:rsid w:val="00E067E5"/>
    <w:rsid w:val="00E1325A"/>
    <w:rsid w:val="00E13FAB"/>
    <w:rsid w:val="00E14770"/>
    <w:rsid w:val="00E168D5"/>
    <w:rsid w:val="00E17DD0"/>
    <w:rsid w:val="00E219C7"/>
    <w:rsid w:val="00E23321"/>
    <w:rsid w:val="00E27CD7"/>
    <w:rsid w:val="00E3057C"/>
    <w:rsid w:val="00E3161A"/>
    <w:rsid w:val="00E31CB2"/>
    <w:rsid w:val="00E3221B"/>
    <w:rsid w:val="00E336D1"/>
    <w:rsid w:val="00E35793"/>
    <w:rsid w:val="00E35859"/>
    <w:rsid w:val="00E36241"/>
    <w:rsid w:val="00E3758B"/>
    <w:rsid w:val="00E42230"/>
    <w:rsid w:val="00E4257C"/>
    <w:rsid w:val="00E42758"/>
    <w:rsid w:val="00E42923"/>
    <w:rsid w:val="00E43157"/>
    <w:rsid w:val="00E44274"/>
    <w:rsid w:val="00E444EE"/>
    <w:rsid w:val="00E45A18"/>
    <w:rsid w:val="00E461CE"/>
    <w:rsid w:val="00E47442"/>
    <w:rsid w:val="00E504F4"/>
    <w:rsid w:val="00E50DE7"/>
    <w:rsid w:val="00E515D4"/>
    <w:rsid w:val="00E517BD"/>
    <w:rsid w:val="00E51EA6"/>
    <w:rsid w:val="00E53F48"/>
    <w:rsid w:val="00E54209"/>
    <w:rsid w:val="00E56302"/>
    <w:rsid w:val="00E57E63"/>
    <w:rsid w:val="00E66849"/>
    <w:rsid w:val="00E66BBC"/>
    <w:rsid w:val="00E70446"/>
    <w:rsid w:val="00E720CA"/>
    <w:rsid w:val="00E726E5"/>
    <w:rsid w:val="00E749DA"/>
    <w:rsid w:val="00E75B10"/>
    <w:rsid w:val="00E77992"/>
    <w:rsid w:val="00E810C3"/>
    <w:rsid w:val="00E8167C"/>
    <w:rsid w:val="00E81D2D"/>
    <w:rsid w:val="00E82A46"/>
    <w:rsid w:val="00E83DDB"/>
    <w:rsid w:val="00E841A6"/>
    <w:rsid w:val="00E84AD3"/>
    <w:rsid w:val="00E84EB5"/>
    <w:rsid w:val="00E85662"/>
    <w:rsid w:val="00E85AB6"/>
    <w:rsid w:val="00E8789F"/>
    <w:rsid w:val="00E902A4"/>
    <w:rsid w:val="00E9032D"/>
    <w:rsid w:val="00E903C6"/>
    <w:rsid w:val="00E909AA"/>
    <w:rsid w:val="00E917C7"/>
    <w:rsid w:val="00E92F81"/>
    <w:rsid w:val="00E93404"/>
    <w:rsid w:val="00E93EF7"/>
    <w:rsid w:val="00E978F6"/>
    <w:rsid w:val="00E97B71"/>
    <w:rsid w:val="00EA1433"/>
    <w:rsid w:val="00EA3843"/>
    <w:rsid w:val="00EA3D34"/>
    <w:rsid w:val="00EA5D72"/>
    <w:rsid w:val="00EA7466"/>
    <w:rsid w:val="00EB05EA"/>
    <w:rsid w:val="00EB293C"/>
    <w:rsid w:val="00EB454D"/>
    <w:rsid w:val="00EB4701"/>
    <w:rsid w:val="00EB7C70"/>
    <w:rsid w:val="00EC1758"/>
    <w:rsid w:val="00EC2EF9"/>
    <w:rsid w:val="00EC6B03"/>
    <w:rsid w:val="00EC7694"/>
    <w:rsid w:val="00ED00C5"/>
    <w:rsid w:val="00ED50B8"/>
    <w:rsid w:val="00ED591F"/>
    <w:rsid w:val="00ED5F86"/>
    <w:rsid w:val="00ED6822"/>
    <w:rsid w:val="00ED732A"/>
    <w:rsid w:val="00ED76BE"/>
    <w:rsid w:val="00EE12BE"/>
    <w:rsid w:val="00EE1AED"/>
    <w:rsid w:val="00EE2944"/>
    <w:rsid w:val="00EE3FDA"/>
    <w:rsid w:val="00EE6550"/>
    <w:rsid w:val="00EE69EE"/>
    <w:rsid w:val="00EE6D8D"/>
    <w:rsid w:val="00EF0D36"/>
    <w:rsid w:val="00EF443C"/>
    <w:rsid w:val="00EF5185"/>
    <w:rsid w:val="00EF619B"/>
    <w:rsid w:val="00EF7AA6"/>
    <w:rsid w:val="00F00741"/>
    <w:rsid w:val="00F00B55"/>
    <w:rsid w:val="00F02AD1"/>
    <w:rsid w:val="00F02DE2"/>
    <w:rsid w:val="00F05703"/>
    <w:rsid w:val="00F05AFD"/>
    <w:rsid w:val="00F0609F"/>
    <w:rsid w:val="00F10860"/>
    <w:rsid w:val="00F11838"/>
    <w:rsid w:val="00F1413E"/>
    <w:rsid w:val="00F1525E"/>
    <w:rsid w:val="00F15AB7"/>
    <w:rsid w:val="00F1616A"/>
    <w:rsid w:val="00F17671"/>
    <w:rsid w:val="00F17A3D"/>
    <w:rsid w:val="00F17DC8"/>
    <w:rsid w:val="00F22B42"/>
    <w:rsid w:val="00F23E8D"/>
    <w:rsid w:val="00F23ED4"/>
    <w:rsid w:val="00F24E7B"/>
    <w:rsid w:val="00F253CC"/>
    <w:rsid w:val="00F25E28"/>
    <w:rsid w:val="00F2737F"/>
    <w:rsid w:val="00F3053F"/>
    <w:rsid w:val="00F30D01"/>
    <w:rsid w:val="00F3389D"/>
    <w:rsid w:val="00F34430"/>
    <w:rsid w:val="00F35657"/>
    <w:rsid w:val="00F36A10"/>
    <w:rsid w:val="00F37106"/>
    <w:rsid w:val="00F37728"/>
    <w:rsid w:val="00F42162"/>
    <w:rsid w:val="00F442AC"/>
    <w:rsid w:val="00F4712D"/>
    <w:rsid w:val="00F4799F"/>
    <w:rsid w:val="00F50D8D"/>
    <w:rsid w:val="00F519CF"/>
    <w:rsid w:val="00F523E6"/>
    <w:rsid w:val="00F54A5F"/>
    <w:rsid w:val="00F55771"/>
    <w:rsid w:val="00F5594F"/>
    <w:rsid w:val="00F56BA5"/>
    <w:rsid w:val="00F5799E"/>
    <w:rsid w:val="00F60E22"/>
    <w:rsid w:val="00F625D9"/>
    <w:rsid w:val="00F625F5"/>
    <w:rsid w:val="00F640EE"/>
    <w:rsid w:val="00F65E67"/>
    <w:rsid w:val="00F66FC5"/>
    <w:rsid w:val="00F676F4"/>
    <w:rsid w:val="00F67761"/>
    <w:rsid w:val="00F67C93"/>
    <w:rsid w:val="00F67D39"/>
    <w:rsid w:val="00F7068E"/>
    <w:rsid w:val="00F72545"/>
    <w:rsid w:val="00F72D39"/>
    <w:rsid w:val="00F73104"/>
    <w:rsid w:val="00F743F6"/>
    <w:rsid w:val="00F74504"/>
    <w:rsid w:val="00F74F2E"/>
    <w:rsid w:val="00F758A8"/>
    <w:rsid w:val="00F77CC8"/>
    <w:rsid w:val="00F805FB"/>
    <w:rsid w:val="00F81395"/>
    <w:rsid w:val="00F82C29"/>
    <w:rsid w:val="00F8382E"/>
    <w:rsid w:val="00F842EE"/>
    <w:rsid w:val="00F845DA"/>
    <w:rsid w:val="00F87488"/>
    <w:rsid w:val="00F902EB"/>
    <w:rsid w:val="00F916F2"/>
    <w:rsid w:val="00F917D1"/>
    <w:rsid w:val="00F92791"/>
    <w:rsid w:val="00F9653B"/>
    <w:rsid w:val="00F9688C"/>
    <w:rsid w:val="00FA4A9F"/>
    <w:rsid w:val="00FA521A"/>
    <w:rsid w:val="00FA61F4"/>
    <w:rsid w:val="00FB038C"/>
    <w:rsid w:val="00FB2B5B"/>
    <w:rsid w:val="00FB30F9"/>
    <w:rsid w:val="00FB5EB6"/>
    <w:rsid w:val="00FB62CF"/>
    <w:rsid w:val="00FB76EA"/>
    <w:rsid w:val="00FC0137"/>
    <w:rsid w:val="00FC096D"/>
    <w:rsid w:val="00FC1016"/>
    <w:rsid w:val="00FC1BAA"/>
    <w:rsid w:val="00FC38BA"/>
    <w:rsid w:val="00FC3B7C"/>
    <w:rsid w:val="00FC48AD"/>
    <w:rsid w:val="00FC57AA"/>
    <w:rsid w:val="00FC588E"/>
    <w:rsid w:val="00FD133A"/>
    <w:rsid w:val="00FD2105"/>
    <w:rsid w:val="00FD2160"/>
    <w:rsid w:val="00FD3365"/>
    <w:rsid w:val="00FD3C3B"/>
    <w:rsid w:val="00FD4311"/>
    <w:rsid w:val="00FD5A99"/>
    <w:rsid w:val="00FD7CF9"/>
    <w:rsid w:val="00FE01D8"/>
    <w:rsid w:val="00FE07DD"/>
    <w:rsid w:val="00FE08FF"/>
    <w:rsid w:val="00FE1C75"/>
    <w:rsid w:val="00FE29BC"/>
    <w:rsid w:val="00FE3B40"/>
    <w:rsid w:val="00FE4EDA"/>
    <w:rsid w:val="00FE6B45"/>
    <w:rsid w:val="00FF0967"/>
    <w:rsid w:val="00FF1693"/>
    <w:rsid w:val="00FF4038"/>
    <w:rsid w:val="00FF4075"/>
    <w:rsid w:val="00FF44F8"/>
    <w:rsid w:val="00FF4E5F"/>
    <w:rsid w:val="00FF55F3"/>
    <w:rsid w:val="00FF5851"/>
    <w:rsid w:val="00FF6C52"/>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2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ind w:left="240"/>
    </w:pPr>
    <w:rPr>
      <w:rFonts w:asciiTheme="minorHAnsi" w:hAnsiTheme="minorHAnsi"/>
      <w:b/>
      <w:bCs/>
      <w:sz w:val="22"/>
      <w:szCs w:val="22"/>
    </w:rPr>
  </w:style>
  <w:style w:type="paragraph" w:styleId="TDC1">
    <w:name w:val="toc 1"/>
    <w:basedOn w:val="Normal"/>
    <w:next w:val="Normal"/>
    <w:autoRedefine/>
    <w:uiPriority w:val="39"/>
    <w:unhideWhenUsed/>
    <w:rsid w:val="005C4225"/>
    <w:pPr>
      <w:spacing w:before="120"/>
    </w:pPr>
    <w:rPr>
      <w:rFonts w:asciiTheme="minorHAnsi" w:hAnsiTheme="minorHAnsi"/>
      <w:b/>
      <w:bCs/>
    </w:rPr>
  </w:style>
  <w:style w:type="paragraph" w:styleId="TDC3">
    <w:name w:val="toc 3"/>
    <w:basedOn w:val="Normal"/>
    <w:next w:val="Normal"/>
    <w:autoRedefine/>
    <w:uiPriority w:val="39"/>
    <w:unhideWhenUsed/>
    <w:rsid w:val="005C4225"/>
    <w:pPr>
      <w:ind w:left="480"/>
    </w:pPr>
    <w:rPr>
      <w:rFonts w:asciiTheme="minorHAnsi" w:hAnsiTheme="minorHAnsi"/>
      <w:sz w:val="22"/>
      <w:szCs w:val="22"/>
    </w:rPr>
  </w:style>
  <w:style w:type="paragraph" w:styleId="TDC4">
    <w:name w:val="toc 4"/>
    <w:basedOn w:val="Normal"/>
    <w:next w:val="Normal"/>
    <w:autoRedefine/>
    <w:uiPriority w:val="39"/>
    <w:unhideWhenUsed/>
    <w:rsid w:val="005C4225"/>
    <w:pPr>
      <w:ind w:left="720"/>
    </w:pPr>
    <w:rPr>
      <w:rFonts w:asciiTheme="minorHAnsi" w:hAnsiTheme="minorHAnsi"/>
      <w:sz w:val="20"/>
      <w:szCs w:val="20"/>
    </w:r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unhideWhenUsed/>
    <w:rsid w:val="0031535D"/>
    <w:pPr>
      <w:spacing w:after="120"/>
    </w:pPr>
  </w:style>
  <w:style w:type="character" w:customStyle="1" w:styleId="TextoindependienteCar">
    <w:name w:val="Texto independiente Car"/>
    <w:basedOn w:val="Fuentedeprrafopredeter"/>
    <w:link w:val="Textoindependiente"/>
    <w:uiPriority w:val="99"/>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99"/>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512CB7"/>
    <w:rPr>
      <w:sz w:val="16"/>
      <w:szCs w:val="16"/>
    </w:rPr>
  </w:style>
  <w:style w:type="paragraph" w:styleId="Textocomentario">
    <w:name w:val="annotation text"/>
    <w:basedOn w:val="Normal"/>
    <w:link w:val="TextocomentarioCar"/>
    <w:uiPriority w:val="99"/>
    <w:semiHidden/>
    <w:unhideWhenUsed/>
    <w:rsid w:val="00512CB7"/>
    <w:rPr>
      <w:sz w:val="20"/>
      <w:szCs w:val="20"/>
    </w:rPr>
  </w:style>
  <w:style w:type="character" w:customStyle="1" w:styleId="TextocomentarioCar">
    <w:name w:val="Texto comentario Car"/>
    <w:basedOn w:val="Fuentedeprrafopredeter"/>
    <w:link w:val="Textocomentario"/>
    <w:uiPriority w:val="99"/>
    <w:semiHidden/>
    <w:rsid w:val="00512CB7"/>
    <w:rPr>
      <w:lang w:val="en-US" w:eastAsia="en-US"/>
    </w:rPr>
  </w:style>
  <w:style w:type="paragraph" w:styleId="Asuntodelcomentario">
    <w:name w:val="annotation subject"/>
    <w:basedOn w:val="Textocomentario"/>
    <w:next w:val="Textocomentario"/>
    <w:link w:val="AsuntodelcomentarioCar"/>
    <w:uiPriority w:val="99"/>
    <w:semiHidden/>
    <w:unhideWhenUsed/>
    <w:rsid w:val="00512CB7"/>
    <w:rPr>
      <w:b/>
      <w:bCs/>
    </w:rPr>
  </w:style>
  <w:style w:type="character" w:customStyle="1" w:styleId="AsuntodelcomentarioCar">
    <w:name w:val="Asunto del comentario Car"/>
    <w:basedOn w:val="TextocomentarioCar"/>
    <w:link w:val="Asuntodelcomentario"/>
    <w:uiPriority w:val="99"/>
    <w:semiHidden/>
    <w:rsid w:val="00512CB7"/>
    <w:rPr>
      <w:b/>
      <w:bCs/>
      <w:lang w:val="en-US" w:eastAsia="en-US"/>
    </w:rPr>
  </w:style>
  <w:style w:type="paragraph" w:customStyle="1" w:styleId="p1">
    <w:name w:val="p1"/>
    <w:basedOn w:val="Normal"/>
    <w:rsid w:val="00E444EE"/>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sz w:val="15"/>
      <w:szCs w:val="15"/>
      <w:bdr w:val="none" w:sz="0" w:space="0" w:color="auto"/>
    </w:rPr>
  </w:style>
  <w:style w:type="character" w:customStyle="1" w:styleId="apple-converted-space">
    <w:name w:val="apple-converted-space"/>
    <w:basedOn w:val="Fuentedeprrafopredeter"/>
    <w:rsid w:val="00E444EE"/>
  </w:style>
  <w:style w:type="character" w:customStyle="1" w:styleId="s1">
    <w:name w:val="s1"/>
    <w:basedOn w:val="Fuentedeprrafopredeter"/>
    <w:rsid w:val="00005819"/>
    <w:rPr>
      <w:u w:val="single"/>
    </w:rPr>
  </w:style>
  <w:style w:type="paragraph" w:customStyle="1" w:styleId="p2">
    <w:name w:val="p2"/>
    <w:basedOn w:val="Normal"/>
    <w:rsid w:val="00F30D01"/>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eastAsiaTheme="minorHAnsi" w:hAnsi="Helvetica"/>
      <w:sz w:val="18"/>
      <w:szCs w:val="18"/>
      <w:bdr w:val="none" w:sz="0" w:space="0" w:color="auto"/>
    </w:rPr>
  </w:style>
  <w:style w:type="paragraph" w:customStyle="1" w:styleId="p3">
    <w:name w:val="p3"/>
    <w:basedOn w:val="Normal"/>
    <w:rsid w:val="00254F3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ADB"/>
    </w:pPr>
    <w:rPr>
      <w:rFonts w:ascii="Times" w:hAnsi="Times"/>
      <w:sz w:val="17"/>
      <w:szCs w:val="17"/>
      <w:bdr w:val="none" w:sz="0" w:space="0" w:color="auto"/>
    </w:rPr>
  </w:style>
  <w:style w:type="paragraph" w:customStyle="1" w:styleId="p4">
    <w:name w:val="p4"/>
    <w:basedOn w:val="Normal"/>
    <w:rsid w:val="00254F3E"/>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sz w:val="15"/>
      <w:szCs w:val="15"/>
      <w:bdr w:val="none" w:sz="0" w:space="0" w:color="auto"/>
    </w:rPr>
  </w:style>
  <w:style w:type="paragraph" w:customStyle="1" w:styleId="p5">
    <w:name w:val="p5"/>
    <w:basedOn w:val="Normal"/>
    <w:rsid w:val="00254F3E"/>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sz w:val="15"/>
      <w:szCs w:val="15"/>
      <w:bdr w:val="none" w:sz="0" w:space="0" w:color="auto"/>
    </w:rPr>
  </w:style>
  <w:style w:type="paragraph" w:customStyle="1" w:styleId="p6">
    <w:name w:val="p6"/>
    <w:basedOn w:val="Normal"/>
    <w:rsid w:val="00254F3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2F7B7"/>
    </w:pPr>
    <w:rPr>
      <w:rFonts w:ascii="Times" w:hAnsi="Times"/>
      <w:sz w:val="17"/>
      <w:szCs w:val="17"/>
      <w:bdr w:val="none" w:sz="0" w:space="0" w:color="auto"/>
    </w:rPr>
  </w:style>
  <w:style w:type="character" w:customStyle="1" w:styleId="s2">
    <w:name w:val="s2"/>
    <w:basedOn w:val="Fuentedeprrafopredeter"/>
    <w:rsid w:val="00254F3E"/>
    <w:rPr>
      <w:rFonts w:ascii="Times" w:hAnsi="Times" w:hint="default"/>
      <w:sz w:val="10"/>
      <w:szCs w:val="10"/>
      <w:u w:val="single"/>
    </w:rPr>
  </w:style>
  <w:style w:type="character" w:customStyle="1" w:styleId="s3">
    <w:name w:val="s3"/>
    <w:basedOn w:val="Fuentedeprrafopredeter"/>
    <w:rsid w:val="00254F3E"/>
    <w:rPr>
      <w:shd w:val="clear" w:color="auto" w:fill="F8FADB"/>
    </w:rPr>
  </w:style>
  <w:style w:type="character" w:customStyle="1" w:styleId="s4">
    <w:name w:val="s4"/>
    <w:basedOn w:val="Fuentedeprrafopredeter"/>
    <w:rsid w:val="00254F3E"/>
    <w:rPr>
      <w:shd w:val="clear" w:color="auto" w:fill="FEFCDD"/>
    </w:rPr>
  </w:style>
  <w:style w:type="character" w:customStyle="1" w:styleId="s5">
    <w:name w:val="s5"/>
    <w:basedOn w:val="Fuentedeprrafopredeter"/>
    <w:rsid w:val="00254F3E"/>
    <w:rPr>
      <w:rFonts w:ascii="Times" w:hAnsi="Times" w:hint="default"/>
      <w:sz w:val="17"/>
      <w:szCs w:val="17"/>
    </w:rPr>
  </w:style>
  <w:style w:type="character" w:customStyle="1" w:styleId="s6">
    <w:name w:val="s6"/>
    <w:basedOn w:val="Fuentedeprrafopredeter"/>
    <w:rsid w:val="00254F3E"/>
    <w:rPr>
      <w:shd w:val="clear" w:color="auto" w:fill="F2F7B7"/>
    </w:rPr>
  </w:style>
  <w:style w:type="paragraph" w:styleId="Revisin">
    <w:name w:val="Revision"/>
    <w:hidden/>
    <w:uiPriority w:val="99"/>
    <w:semiHidden/>
    <w:rsid w:val="00D4757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nrmar">
    <w:name w:val="nrmar"/>
    <w:basedOn w:val="Fuentedeprrafopredeter"/>
    <w:rsid w:val="003320FF"/>
  </w:style>
  <w:style w:type="character" w:customStyle="1" w:styleId="hit">
    <w:name w:val="hit"/>
    <w:basedOn w:val="Fuentedeprrafopredeter"/>
    <w:rsid w:val="003320FF"/>
  </w:style>
  <w:style w:type="character" w:customStyle="1" w:styleId="SangradetextonormalCar">
    <w:name w:val="Sangría de texto normal Car"/>
    <w:link w:val="Sangradetextonormal"/>
    <w:locked/>
    <w:rsid w:val="00D64B2D"/>
    <w:rPr>
      <w:rFonts w:eastAsia="Times New Roman"/>
      <w:color w:val="000000"/>
      <w:sz w:val="24"/>
      <w:szCs w:val="24"/>
      <w:u w:color="000000"/>
      <w:lang w:val="es-ES_tradnl"/>
    </w:rPr>
  </w:style>
  <w:style w:type="paragraph" w:customStyle="1" w:styleId="MediumGrid1-Accent21">
    <w:name w:val="Medium Grid 1 - Accent 21"/>
    <w:uiPriority w:val="34"/>
    <w:qFormat/>
    <w:rsid w:val="00F1413E"/>
    <w:pPr>
      <w:ind w:left="720"/>
    </w:pPr>
    <w:rPr>
      <w:rFonts w:ascii="Cambria" w:eastAsia="Cambria" w:hAnsi="Cambria" w:cs="Cambria"/>
      <w:color w:val="000000"/>
      <w:sz w:val="24"/>
      <w:szCs w:val="24"/>
      <w:u w:color="000000"/>
      <w:lang w:val="en-US"/>
    </w:rPr>
  </w:style>
  <w:style w:type="character" w:styleId="Textoennegrita">
    <w:name w:val="Strong"/>
    <w:basedOn w:val="Fuentedeprrafopredeter"/>
    <w:uiPriority w:val="22"/>
    <w:qFormat/>
    <w:rsid w:val="00825B73"/>
    <w:rPr>
      <w:rFonts w:cs="Times New Roman"/>
      <w:b/>
      <w:bCs/>
    </w:rPr>
  </w:style>
  <w:style w:type="paragraph" w:styleId="TtuloTDC">
    <w:name w:val="TOC Heading"/>
    <w:basedOn w:val="Ttulo1"/>
    <w:next w:val="Normal"/>
    <w:uiPriority w:val="39"/>
    <w:unhideWhenUsed/>
    <w:qFormat/>
    <w:rsid w:val="00794E1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rPr>
  </w:style>
  <w:style w:type="paragraph" w:styleId="TDC5">
    <w:name w:val="toc 5"/>
    <w:basedOn w:val="Normal"/>
    <w:next w:val="Normal"/>
    <w:autoRedefine/>
    <w:uiPriority w:val="39"/>
    <w:unhideWhenUsed/>
    <w:rsid w:val="00794E1A"/>
    <w:pPr>
      <w:ind w:left="960"/>
    </w:pPr>
    <w:rPr>
      <w:rFonts w:asciiTheme="minorHAnsi" w:hAnsiTheme="minorHAnsi"/>
      <w:sz w:val="20"/>
      <w:szCs w:val="20"/>
    </w:rPr>
  </w:style>
  <w:style w:type="paragraph" w:styleId="TDC6">
    <w:name w:val="toc 6"/>
    <w:basedOn w:val="Normal"/>
    <w:next w:val="Normal"/>
    <w:autoRedefine/>
    <w:uiPriority w:val="39"/>
    <w:unhideWhenUsed/>
    <w:rsid w:val="00794E1A"/>
    <w:pPr>
      <w:ind w:left="1200"/>
    </w:pPr>
    <w:rPr>
      <w:rFonts w:asciiTheme="minorHAnsi" w:hAnsiTheme="minorHAnsi"/>
      <w:sz w:val="20"/>
      <w:szCs w:val="20"/>
    </w:rPr>
  </w:style>
  <w:style w:type="paragraph" w:styleId="TDC7">
    <w:name w:val="toc 7"/>
    <w:basedOn w:val="Normal"/>
    <w:next w:val="Normal"/>
    <w:autoRedefine/>
    <w:uiPriority w:val="39"/>
    <w:unhideWhenUsed/>
    <w:rsid w:val="00794E1A"/>
    <w:pPr>
      <w:ind w:left="1440"/>
    </w:pPr>
    <w:rPr>
      <w:rFonts w:asciiTheme="minorHAnsi" w:hAnsiTheme="minorHAnsi"/>
      <w:sz w:val="20"/>
      <w:szCs w:val="20"/>
    </w:rPr>
  </w:style>
  <w:style w:type="paragraph" w:styleId="TDC8">
    <w:name w:val="toc 8"/>
    <w:basedOn w:val="Normal"/>
    <w:next w:val="Normal"/>
    <w:autoRedefine/>
    <w:uiPriority w:val="39"/>
    <w:unhideWhenUsed/>
    <w:rsid w:val="00794E1A"/>
    <w:pPr>
      <w:ind w:left="1680"/>
    </w:pPr>
    <w:rPr>
      <w:rFonts w:asciiTheme="minorHAnsi" w:hAnsiTheme="minorHAnsi"/>
      <w:sz w:val="20"/>
      <w:szCs w:val="20"/>
    </w:rPr>
  </w:style>
  <w:style w:type="paragraph" w:styleId="TDC9">
    <w:name w:val="toc 9"/>
    <w:basedOn w:val="Normal"/>
    <w:next w:val="Normal"/>
    <w:autoRedefine/>
    <w:uiPriority w:val="39"/>
    <w:unhideWhenUsed/>
    <w:rsid w:val="00794E1A"/>
    <w:pPr>
      <w:ind w:left="1920"/>
    </w:pPr>
    <w:rPr>
      <w:rFonts w:asciiTheme="minorHAnsi" w:hAnsiTheme="minorHAnsi"/>
      <w:sz w:val="20"/>
      <w:szCs w:val="20"/>
    </w:rPr>
  </w:style>
  <w:style w:type="paragraph" w:customStyle="1" w:styleId="1">
    <w:name w:val="1"/>
    <w:basedOn w:val="Normal"/>
    <w:rsid w:val="00CB6C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styleId="Hipervnculovisitado">
    <w:name w:val="FollowedHyperlink"/>
    <w:basedOn w:val="Fuentedeprrafopredeter"/>
    <w:uiPriority w:val="99"/>
    <w:semiHidden/>
    <w:unhideWhenUsed/>
    <w:rsid w:val="00623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710">
      <w:bodyDiv w:val="1"/>
      <w:marLeft w:val="0"/>
      <w:marRight w:val="0"/>
      <w:marTop w:val="0"/>
      <w:marBottom w:val="0"/>
      <w:divBdr>
        <w:top w:val="none" w:sz="0" w:space="0" w:color="auto"/>
        <w:left w:val="none" w:sz="0" w:space="0" w:color="auto"/>
        <w:bottom w:val="none" w:sz="0" w:space="0" w:color="auto"/>
        <w:right w:val="none" w:sz="0" w:space="0" w:color="auto"/>
      </w:divBdr>
    </w:div>
    <w:div w:id="29112452">
      <w:bodyDiv w:val="1"/>
      <w:marLeft w:val="0"/>
      <w:marRight w:val="0"/>
      <w:marTop w:val="0"/>
      <w:marBottom w:val="0"/>
      <w:divBdr>
        <w:top w:val="none" w:sz="0" w:space="0" w:color="auto"/>
        <w:left w:val="none" w:sz="0" w:space="0" w:color="auto"/>
        <w:bottom w:val="none" w:sz="0" w:space="0" w:color="auto"/>
        <w:right w:val="none" w:sz="0" w:space="0" w:color="auto"/>
      </w:divBdr>
    </w:div>
    <w:div w:id="74937622">
      <w:bodyDiv w:val="1"/>
      <w:marLeft w:val="0"/>
      <w:marRight w:val="0"/>
      <w:marTop w:val="0"/>
      <w:marBottom w:val="0"/>
      <w:divBdr>
        <w:top w:val="none" w:sz="0" w:space="0" w:color="auto"/>
        <w:left w:val="none" w:sz="0" w:space="0" w:color="auto"/>
        <w:bottom w:val="none" w:sz="0" w:space="0" w:color="auto"/>
        <w:right w:val="none" w:sz="0" w:space="0" w:color="auto"/>
      </w:divBdr>
    </w:div>
    <w:div w:id="164442322">
      <w:bodyDiv w:val="1"/>
      <w:marLeft w:val="0"/>
      <w:marRight w:val="0"/>
      <w:marTop w:val="0"/>
      <w:marBottom w:val="0"/>
      <w:divBdr>
        <w:top w:val="none" w:sz="0" w:space="0" w:color="auto"/>
        <w:left w:val="none" w:sz="0" w:space="0" w:color="auto"/>
        <w:bottom w:val="none" w:sz="0" w:space="0" w:color="auto"/>
        <w:right w:val="none" w:sz="0" w:space="0" w:color="auto"/>
      </w:divBdr>
    </w:div>
    <w:div w:id="176776687">
      <w:bodyDiv w:val="1"/>
      <w:marLeft w:val="0"/>
      <w:marRight w:val="0"/>
      <w:marTop w:val="0"/>
      <w:marBottom w:val="0"/>
      <w:divBdr>
        <w:top w:val="none" w:sz="0" w:space="0" w:color="auto"/>
        <w:left w:val="none" w:sz="0" w:space="0" w:color="auto"/>
        <w:bottom w:val="none" w:sz="0" w:space="0" w:color="auto"/>
        <w:right w:val="none" w:sz="0" w:space="0" w:color="auto"/>
      </w:divBdr>
    </w:div>
    <w:div w:id="243496268">
      <w:bodyDiv w:val="1"/>
      <w:marLeft w:val="0"/>
      <w:marRight w:val="0"/>
      <w:marTop w:val="0"/>
      <w:marBottom w:val="0"/>
      <w:divBdr>
        <w:top w:val="none" w:sz="0" w:space="0" w:color="auto"/>
        <w:left w:val="none" w:sz="0" w:space="0" w:color="auto"/>
        <w:bottom w:val="none" w:sz="0" w:space="0" w:color="auto"/>
        <w:right w:val="none" w:sz="0" w:space="0" w:color="auto"/>
      </w:divBdr>
    </w:div>
    <w:div w:id="267010014">
      <w:bodyDiv w:val="1"/>
      <w:marLeft w:val="0"/>
      <w:marRight w:val="0"/>
      <w:marTop w:val="0"/>
      <w:marBottom w:val="0"/>
      <w:divBdr>
        <w:top w:val="none" w:sz="0" w:space="0" w:color="auto"/>
        <w:left w:val="none" w:sz="0" w:space="0" w:color="auto"/>
        <w:bottom w:val="none" w:sz="0" w:space="0" w:color="auto"/>
        <w:right w:val="none" w:sz="0" w:space="0" w:color="auto"/>
      </w:divBdr>
    </w:div>
    <w:div w:id="278925220">
      <w:bodyDiv w:val="1"/>
      <w:marLeft w:val="0"/>
      <w:marRight w:val="0"/>
      <w:marTop w:val="0"/>
      <w:marBottom w:val="0"/>
      <w:divBdr>
        <w:top w:val="none" w:sz="0" w:space="0" w:color="auto"/>
        <w:left w:val="none" w:sz="0" w:space="0" w:color="auto"/>
        <w:bottom w:val="none" w:sz="0" w:space="0" w:color="auto"/>
        <w:right w:val="none" w:sz="0" w:space="0" w:color="auto"/>
      </w:divBdr>
    </w:div>
    <w:div w:id="336886134">
      <w:bodyDiv w:val="1"/>
      <w:marLeft w:val="0"/>
      <w:marRight w:val="0"/>
      <w:marTop w:val="0"/>
      <w:marBottom w:val="0"/>
      <w:divBdr>
        <w:top w:val="none" w:sz="0" w:space="0" w:color="auto"/>
        <w:left w:val="none" w:sz="0" w:space="0" w:color="auto"/>
        <w:bottom w:val="none" w:sz="0" w:space="0" w:color="auto"/>
        <w:right w:val="none" w:sz="0" w:space="0" w:color="auto"/>
      </w:divBdr>
    </w:div>
    <w:div w:id="415706791">
      <w:bodyDiv w:val="1"/>
      <w:marLeft w:val="0"/>
      <w:marRight w:val="0"/>
      <w:marTop w:val="0"/>
      <w:marBottom w:val="0"/>
      <w:divBdr>
        <w:top w:val="none" w:sz="0" w:space="0" w:color="auto"/>
        <w:left w:val="none" w:sz="0" w:space="0" w:color="auto"/>
        <w:bottom w:val="none" w:sz="0" w:space="0" w:color="auto"/>
        <w:right w:val="none" w:sz="0" w:space="0" w:color="auto"/>
      </w:divBdr>
    </w:div>
    <w:div w:id="437607972">
      <w:bodyDiv w:val="1"/>
      <w:marLeft w:val="0"/>
      <w:marRight w:val="0"/>
      <w:marTop w:val="0"/>
      <w:marBottom w:val="0"/>
      <w:divBdr>
        <w:top w:val="none" w:sz="0" w:space="0" w:color="auto"/>
        <w:left w:val="none" w:sz="0" w:space="0" w:color="auto"/>
        <w:bottom w:val="none" w:sz="0" w:space="0" w:color="auto"/>
        <w:right w:val="none" w:sz="0" w:space="0" w:color="auto"/>
      </w:divBdr>
    </w:div>
    <w:div w:id="439305164">
      <w:bodyDiv w:val="1"/>
      <w:marLeft w:val="0"/>
      <w:marRight w:val="0"/>
      <w:marTop w:val="0"/>
      <w:marBottom w:val="0"/>
      <w:divBdr>
        <w:top w:val="none" w:sz="0" w:space="0" w:color="auto"/>
        <w:left w:val="none" w:sz="0" w:space="0" w:color="auto"/>
        <w:bottom w:val="none" w:sz="0" w:space="0" w:color="auto"/>
        <w:right w:val="none" w:sz="0" w:space="0" w:color="auto"/>
      </w:divBdr>
    </w:div>
    <w:div w:id="482549304">
      <w:bodyDiv w:val="1"/>
      <w:marLeft w:val="0"/>
      <w:marRight w:val="0"/>
      <w:marTop w:val="0"/>
      <w:marBottom w:val="0"/>
      <w:divBdr>
        <w:top w:val="none" w:sz="0" w:space="0" w:color="auto"/>
        <w:left w:val="none" w:sz="0" w:space="0" w:color="auto"/>
        <w:bottom w:val="none" w:sz="0" w:space="0" w:color="auto"/>
        <w:right w:val="none" w:sz="0" w:space="0" w:color="auto"/>
      </w:divBdr>
    </w:div>
    <w:div w:id="511845857">
      <w:bodyDiv w:val="1"/>
      <w:marLeft w:val="0"/>
      <w:marRight w:val="0"/>
      <w:marTop w:val="0"/>
      <w:marBottom w:val="0"/>
      <w:divBdr>
        <w:top w:val="none" w:sz="0" w:space="0" w:color="auto"/>
        <w:left w:val="none" w:sz="0" w:space="0" w:color="auto"/>
        <w:bottom w:val="none" w:sz="0" w:space="0" w:color="auto"/>
        <w:right w:val="none" w:sz="0" w:space="0" w:color="auto"/>
      </w:divBdr>
    </w:div>
    <w:div w:id="555974640">
      <w:bodyDiv w:val="1"/>
      <w:marLeft w:val="0"/>
      <w:marRight w:val="0"/>
      <w:marTop w:val="0"/>
      <w:marBottom w:val="0"/>
      <w:divBdr>
        <w:top w:val="none" w:sz="0" w:space="0" w:color="auto"/>
        <w:left w:val="none" w:sz="0" w:space="0" w:color="auto"/>
        <w:bottom w:val="none" w:sz="0" w:space="0" w:color="auto"/>
        <w:right w:val="none" w:sz="0" w:space="0" w:color="auto"/>
      </w:divBdr>
    </w:div>
    <w:div w:id="565341184">
      <w:bodyDiv w:val="1"/>
      <w:marLeft w:val="0"/>
      <w:marRight w:val="0"/>
      <w:marTop w:val="0"/>
      <w:marBottom w:val="0"/>
      <w:divBdr>
        <w:top w:val="none" w:sz="0" w:space="0" w:color="auto"/>
        <w:left w:val="none" w:sz="0" w:space="0" w:color="auto"/>
        <w:bottom w:val="none" w:sz="0" w:space="0" w:color="auto"/>
        <w:right w:val="none" w:sz="0" w:space="0" w:color="auto"/>
      </w:divBdr>
    </w:div>
    <w:div w:id="617378376">
      <w:bodyDiv w:val="1"/>
      <w:marLeft w:val="0"/>
      <w:marRight w:val="0"/>
      <w:marTop w:val="0"/>
      <w:marBottom w:val="0"/>
      <w:divBdr>
        <w:top w:val="none" w:sz="0" w:space="0" w:color="auto"/>
        <w:left w:val="none" w:sz="0" w:space="0" w:color="auto"/>
        <w:bottom w:val="none" w:sz="0" w:space="0" w:color="auto"/>
        <w:right w:val="none" w:sz="0" w:space="0" w:color="auto"/>
      </w:divBdr>
    </w:div>
    <w:div w:id="645862990">
      <w:bodyDiv w:val="1"/>
      <w:marLeft w:val="0"/>
      <w:marRight w:val="0"/>
      <w:marTop w:val="0"/>
      <w:marBottom w:val="0"/>
      <w:divBdr>
        <w:top w:val="none" w:sz="0" w:space="0" w:color="auto"/>
        <w:left w:val="none" w:sz="0" w:space="0" w:color="auto"/>
        <w:bottom w:val="none" w:sz="0" w:space="0" w:color="auto"/>
        <w:right w:val="none" w:sz="0" w:space="0" w:color="auto"/>
      </w:divBdr>
    </w:div>
    <w:div w:id="730738763">
      <w:bodyDiv w:val="1"/>
      <w:marLeft w:val="0"/>
      <w:marRight w:val="0"/>
      <w:marTop w:val="0"/>
      <w:marBottom w:val="0"/>
      <w:divBdr>
        <w:top w:val="none" w:sz="0" w:space="0" w:color="auto"/>
        <w:left w:val="none" w:sz="0" w:space="0" w:color="auto"/>
        <w:bottom w:val="none" w:sz="0" w:space="0" w:color="auto"/>
        <w:right w:val="none" w:sz="0" w:space="0" w:color="auto"/>
      </w:divBdr>
    </w:div>
    <w:div w:id="739331900">
      <w:bodyDiv w:val="1"/>
      <w:marLeft w:val="0"/>
      <w:marRight w:val="0"/>
      <w:marTop w:val="0"/>
      <w:marBottom w:val="0"/>
      <w:divBdr>
        <w:top w:val="none" w:sz="0" w:space="0" w:color="auto"/>
        <w:left w:val="none" w:sz="0" w:space="0" w:color="auto"/>
        <w:bottom w:val="none" w:sz="0" w:space="0" w:color="auto"/>
        <w:right w:val="none" w:sz="0" w:space="0" w:color="auto"/>
      </w:divBdr>
    </w:div>
    <w:div w:id="743990602">
      <w:bodyDiv w:val="1"/>
      <w:marLeft w:val="0"/>
      <w:marRight w:val="0"/>
      <w:marTop w:val="0"/>
      <w:marBottom w:val="0"/>
      <w:divBdr>
        <w:top w:val="none" w:sz="0" w:space="0" w:color="auto"/>
        <w:left w:val="none" w:sz="0" w:space="0" w:color="auto"/>
        <w:bottom w:val="none" w:sz="0" w:space="0" w:color="auto"/>
        <w:right w:val="none" w:sz="0" w:space="0" w:color="auto"/>
      </w:divBdr>
    </w:div>
    <w:div w:id="755783529">
      <w:bodyDiv w:val="1"/>
      <w:marLeft w:val="0"/>
      <w:marRight w:val="0"/>
      <w:marTop w:val="0"/>
      <w:marBottom w:val="0"/>
      <w:divBdr>
        <w:top w:val="none" w:sz="0" w:space="0" w:color="auto"/>
        <w:left w:val="none" w:sz="0" w:space="0" w:color="auto"/>
        <w:bottom w:val="none" w:sz="0" w:space="0" w:color="auto"/>
        <w:right w:val="none" w:sz="0" w:space="0" w:color="auto"/>
      </w:divBdr>
    </w:div>
    <w:div w:id="800265336">
      <w:bodyDiv w:val="1"/>
      <w:marLeft w:val="0"/>
      <w:marRight w:val="0"/>
      <w:marTop w:val="0"/>
      <w:marBottom w:val="0"/>
      <w:divBdr>
        <w:top w:val="none" w:sz="0" w:space="0" w:color="auto"/>
        <w:left w:val="none" w:sz="0" w:space="0" w:color="auto"/>
        <w:bottom w:val="none" w:sz="0" w:space="0" w:color="auto"/>
        <w:right w:val="none" w:sz="0" w:space="0" w:color="auto"/>
      </w:divBdr>
      <w:divsChild>
        <w:div w:id="1475639823">
          <w:marLeft w:val="0"/>
          <w:marRight w:val="0"/>
          <w:marTop w:val="0"/>
          <w:marBottom w:val="0"/>
          <w:divBdr>
            <w:top w:val="none" w:sz="0" w:space="0" w:color="auto"/>
            <w:left w:val="none" w:sz="0" w:space="0" w:color="auto"/>
            <w:bottom w:val="none" w:sz="0" w:space="0" w:color="auto"/>
            <w:right w:val="none" w:sz="0" w:space="0" w:color="auto"/>
          </w:divBdr>
        </w:div>
      </w:divsChild>
    </w:div>
    <w:div w:id="854884151">
      <w:bodyDiv w:val="1"/>
      <w:marLeft w:val="0"/>
      <w:marRight w:val="0"/>
      <w:marTop w:val="0"/>
      <w:marBottom w:val="0"/>
      <w:divBdr>
        <w:top w:val="none" w:sz="0" w:space="0" w:color="auto"/>
        <w:left w:val="none" w:sz="0" w:space="0" w:color="auto"/>
        <w:bottom w:val="none" w:sz="0" w:space="0" w:color="auto"/>
        <w:right w:val="none" w:sz="0" w:space="0" w:color="auto"/>
      </w:divBdr>
    </w:div>
    <w:div w:id="1144735162">
      <w:bodyDiv w:val="1"/>
      <w:marLeft w:val="0"/>
      <w:marRight w:val="0"/>
      <w:marTop w:val="0"/>
      <w:marBottom w:val="0"/>
      <w:divBdr>
        <w:top w:val="none" w:sz="0" w:space="0" w:color="auto"/>
        <w:left w:val="none" w:sz="0" w:space="0" w:color="auto"/>
        <w:bottom w:val="none" w:sz="0" w:space="0" w:color="auto"/>
        <w:right w:val="none" w:sz="0" w:space="0" w:color="auto"/>
      </w:divBdr>
    </w:div>
    <w:div w:id="1151755276">
      <w:bodyDiv w:val="1"/>
      <w:marLeft w:val="0"/>
      <w:marRight w:val="0"/>
      <w:marTop w:val="0"/>
      <w:marBottom w:val="0"/>
      <w:divBdr>
        <w:top w:val="none" w:sz="0" w:space="0" w:color="auto"/>
        <w:left w:val="none" w:sz="0" w:space="0" w:color="auto"/>
        <w:bottom w:val="none" w:sz="0" w:space="0" w:color="auto"/>
        <w:right w:val="none" w:sz="0" w:space="0" w:color="auto"/>
      </w:divBdr>
    </w:div>
    <w:div w:id="1205946747">
      <w:bodyDiv w:val="1"/>
      <w:marLeft w:val="0"/>
      <w:marRight w:val="0"/>
      <w:marTop w:val="0"/>
      <w:marBottom w:val="0"/>
      <w:divBdr>
        <w:top w:val="none" w:sz="0" w:space="0" w:color="auto"/>
        <w:left w:val="none" w:sz="0" w:space="0" w:color="auto"/>
        <w:bottom w:val="none" w:sz="0" w:space="0" w:color="auto"/>
        <w:right w:val="none" w:sz="0" w:space="0" w:color="auto"/>
      </w:divBdr>
    </w:div>
    <w:div w:id="1232346298">
      <w:bodyDiv w:val="1"/>
      <w:marLeft w:val="0"/>
      <w:marRight w:val="0"/>
      <w:marTop w:val="0"/>
      <w:marBottom w:val="0"/>
      <w:divBdr>
        <w:top w:val="none" w:sz="0" w:space="0" w:color="auto"/>
        <w:left w:val="none" w:sz="0" w:space="0" w:color="auto"/>
        <w:bottom w:val="none" w:sz="0" w:space="0" w:color="auto"/>
        <w:right w:val="none" w:sz="0" w:space="0" w:color="auto"/>
      </w:divBdr>
    </w:div>
    <w:div w:id="1253511992">
      <w:bodyDiv w:val="1"/>
      <w:marLeft w:val="0"/>
      <w:marRight w:val="0"/>
      <w:marTop w:val="0"/>
      <w:marBottom w:val="0"/>
      <w:divBdr>
        <w:top w:val="none" w:sz="0" w:space="0" w:color="auto"/>
        <w:left w:val="none" w:sz="0" w:space="0" w:color="auto"/>
        <w:bottom w:val="none" w:sz="0" w:space="0" w:color="auto"/>
        <w:right w:val="none" w:sz="0" w:space="0" w:color="auto"/>
      </w:divBdr>
    </w:div>
    <w:div w:id="1275140402">
      <w:bodyDiv w:val="1"/>
      <w:marLeft w:val="0"/>
      <w:marRight w:val="0"/>
      <w:marTop w:val="0"/>
      <w:marBottom w:val="0"/>
      <w:divBdr>
        <w:top w:val="none" w:sz="0" w:space="0" w:color="auto"/>
        <w:left w:val="none" w:sz="0" w:space="0" w:color="auto"/>
        <w:bottom w:val="none" w:sz="0" w:space="0" w:color="auto"/>
        <w:right w:val="none" w:sz="0" w:space="0" w:color="auto"/>
      </w:divBdr>
    </w:div>
    <w:div w:id="1329869331">
      <w:bodyDiv w:val="1"/>
      <w:marLeft w:val="0"/>
      <w:marRight w:val="0"/>
      <w:marTop w:val="0"/>
      <w:marBottom w:val="0"/>
      <w:divBdr>
        <w:top w:val="none" w:sz="0" w:space="0" w:color="auto"/>
        <w:left w:val="none" w:sz="0" w:space="0" w:color="auto"/>
        <w:bottom w:val="none" w:sz="0" w:space="0" w:color="auto"/>
        <w:right w:val="none" w:sz="0" w:space="0" w:color="auto"/>
      </w:divBdr>
    </w:div>
    <w:div w:id="1363362036">
      <w:bodyDiv w:val="1"/>
      <w:marLeft w:val="0"/>
      <w:marRight w:val="0"/>
      <w:marTop w:val="0"/>
      <w:marBottom w:val="0"/>
      <w:divBdr>
        <w:top w:val="none" w:sz="0" w:space="0" w:color="auto"/>
        <w:left w:val="none" w:sz="0" w:space="0" w:color="auto"/>
        <w:bottom w:val="none" w:sz="0" w:space="0" w:color="auto"/>
        <w:right w:val="none" w:sz="0" w:space="0" w:color="auto"/>
      </w:divBdr>
    </w:div>
    <w:div w:id="1440104291">
      <w:bodyDiv w:val="1"/>
      <w:marLeft w:val="0"/>
      <w:marRight w:val="0"/>
      <w:marTop w:val="0"/>
      <w:marBottom w:val="0"/>
      <w:divBdr>
        <w:top w:val="none" w:sz="0" w:space="0" w:color="auto"/>
        <w:left w:val="none" w:sz="0" w:space="0" w:color="auto"/>
        <w:bottom w:val="none" w:sz="0" w:space="0" w:color="auto"/>
        <w:right w:val="none" w:sz="0" w:space="0" w:color="auto"/>
      </w:divBdr>
    </w:div>
    <w:div w:id="1613592191">
      <w:bodyDiv w:val="1"/>
      <w:marLeft w:val="0"/>
      <w:marRight w:val="0"/>
      <w:marTop w:val="0"/>
      <w:marBottom w:val="0"/>
      <w:divBdr>
        <w:top w:val="none" w:sz="0" w:space="0" w:color="auto"/>
        <w:left w:val="none" w:sz="0" w:space="0" w:color="auto"/>
        <w:bottom w:val="none" w:sz="0" w:space="0" w:color="auto"/>
        <w:right w:val="none" w:sz="0" w:space="0" w:color="auto"/>
      </w:divBdr>
    </w:div>
    <w:div w:id="1616407912">
      <w:bodyDiv w:val="1"/>
      <w:marLeft w:val="0"/>
      <w:marRight w:val="0"/>
      <w:marTop w:val="0"/>
      <w:marBottom w:val="0"/>
      <w:divBdr>
        <w:top w:val="none" w:sz="0" w:space="0" w:color="auto"/>
        <w:left w:val="none" w:sz="0" w:space="0" w:color="auto"/>
        <w:bottom w:val="none" w:sz="0" w:space="0" w:color="auto"/>
        <w:right w:val="none" w:sz="0" w:space="0" w:color="auto"/>
      </w:divBdr>
    </w:div>
    <w:div w:id="1675379287">
      <w:bodyDiv w:val="1"/>
      <w:marLeft w:val="0"/>
      <w:marRight w:val="0"/>
      <w:marTop w:val="0"/>
      <w:marBottom w:val="0"/>
      <w:divBdr>
        <w:top w:val="none" w:sz="0" w:space="0" w:color="auto"/>
        <w:left w:val="none" w:sz="0" w:space="0" w:color="auto"/>
        <w:bottom w:val="none" w:sz="0" w:space="0" w:color="auto"/>
        <w:right w:val="none" w:sz="0" w:space="0" w:color="auto"/>
      </w:divBdr>
    </w:div>
    <w:div w:id="1700273106">
      <w:bodyDiv w:val="1"/>
      <w:marLeft w:val="0"/>
      <w:marRight w:val="0"/>
      <w:marTop w:val="0"/>
      <w:marBottom w:val="0"/>
      <w:divBdr>
        <w:top w:val="none" w:sz="0" w:space="0" w:color="auto"/>
        <w:left w:val="none" w:sz="0" w:space="0" w:color="auto"/>
        <w:bottom w:val="none" w:sz="0" w:space="0" w:color="auto"/>
        <w:right w:val="none" w:sz="0" w:space="0" w:color="auto"/>
      </w:divBdr>
    </w:div>
    <w:div w:id="1706832589">
      <w:bodyDiv w:val="1"/>
      <w:marLeft w:val="0"/>
      <w:marRight w:val="0"/>
      <w:marTop w:val="0"/>
      <w:marBottom w:val="0"/>
      <w:divBdr>
        <w:top w:val="none" w:sz="0" w:space="0" w:color="auto"/>
        <w:left w:val="none" w:sz="0" w:space="0" w:color="auto"/>
        <w:bottom w:val="none" w:sz="0" w:space="0" w:color="auto"/>
        <w:right w:val="none" w:sz="0" w:space="0" w:color="auto"/>
      </w:divBdr>
    </w:div>
    <w:div w:id="1710565623">
      <w:bodyDiv w:val="1"/>
      <w:marLeft w:val="0"/>
      <w:marRight w:val="0"/>
      <w:marTop w:val="0"/>
      <w:marBottom w:val="0"/>
      <w:divBdr>
        <w:top w:val="none" w:sz="0" w:space="0" w:color="auto"/>
        <w:left w:val="none" w:sz="0" w:space="0" w:color="auto"/>
        <w:bottom w:val="none" w:sz="0" w:space="0" w:color="auto"/>
        <w:right w:val="none" w:sz="0" w:space="0" w:color="auto"/>
      </w:divBdr>
    </w:div>
    <w:div w:id="1738672049">
      <w:bodyDiv w:val="1"/>
      <w:marLeft w:val="0"/>
      <w:marRight w:val="0"/>
      <w:marTop w:val="0"/>
      <w:marBottom w:val="0"/>
      <w:divBdr>
        <w:top w:val="none" w:sz="0" w:space="0" w:color="auto"/>
        <w:left w:val="none" w:sz="0" w:space="0" w:color="auto"/>
        <w:bottom w:val="none" w:sz="0" w:space="0" w:color="auto"/>
        <w:right w:val="none" w:sz="0" w:space="0" w:color="auto"/>
      </w:divBdr>
    </w:div>
    <w:div w:id="1758015893">
      <w:bodyDiv w:val="1"/>
      <w:marLeft w:val="0"/>
      <w:marRight w:val="0"/>
      <w:marTop w:val="0"/>
      <w:marBottom w:val="0"/>
      <w:divBdr>
        <w:top w:val="none" w:sz="0" w:space="0" w:color="auto"/>
        <w:left w:val="none" w:sz="0" w:space="0" w:color="auto"/>
        <w:bottom w:val="none" w:sz="0" w:space="0" w:color="auto"/>
        <w:right w:val="none" w:sz="0" w:space="0" w:color="auto"/>
      </w:divBdr>
    </w:div>
    <w:div w:id="1785149597">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19760570">
      <w:bodyDiv w:val="1"/>
      <w:marLeft w:val="0"/>
      <w:marRight w:val="0"/>
      <w:marTop w:val="0"/>
      <w:marBottom w:val="0"/>
      <w:divBdr>
        <w:top w:val="none" w:sz="0" w:space="0" w:color="auto"/>
        <w:left w:val="none" w:sz="0" w:space="0" w:color="auto"/>
        <w:bottom w:val="none" w:sz="0" w:space="0" w:color="auto"/>
        <w:right w:val="none" w:sz="0" w:space="0" w:color="auto"/>
      </w:divBdr>
    </w:div>
    <w:div w:id="1933002660">
      <w:bodyDiv w:val="1"/>
      <w:marLeft w:val="0"/>
      <w:marRight w:val="0"/>
      <w:marTop w:val="0"/>
      <w:marBottom w:val="0"/>
      <w:divBdr>
        <w:top w:val="none" w:sz="0" w:space="0" w:color="auto"/>
        <w:left w:val="none" w:sz="0" w:space="0" w:color="auto"/>
        <w:bottom w:val="none" w:sz="0" w:space="0" w:color="auto"/>
        <w:right w:val="none" w:sz="0" w:space="0" w:color="auto"/>
      </w:divBdr>
    </w:div>
    <w:div w:id="2068453845">
      <w:bodyDiv w:val="1"/>
      <w:marLeft w:val="0"/>
      <w:marRight w:val="0"/>
      <w:marTop w:val="0"/>
      <w:marBottom w:val="0"/>
      <w:divBdr>
        <w:top w:val="none" w:sz="0" w:space="0" w:color="auto"/>
        <w:left w:val="none" w:sz="0" w:space="0" w:color="auto"/>
        <w:bottom w:val="none" w:sz="0" w:space="0" w:color="auto"/>
        <w:right w:val="none" w:sz="0" w:space="0" w:color="auto"/>
      </w:divBdr>
    </w:div>
    <w:div w:id="2074310304">
      <w:bodyDiv w:val="1"/>
      <w:marLeft w:val="0"/>
      <w:marRight w:val="0"/>
      <w:marTop w:val="0"/>
      <w:marBottom w:val="0"/>
      <w:divBdr>
        <w:top w:val="none" w:sz="0" w:space="0" w:color="auto"/>
        <w:left w:val="none" w:sz="0" w:space="0" w:color="auto"/>
        <w:bottom w:val="none" w:sz="0" w:space="0" w:color="auto"/>
        <w:right w:val="none" w:sz="0" w:space="0" w:color="auto"/>
      </w:divBdr>
    </w:div>
    <w:div w:id="212634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20611-986A-4B90-ADB1-483BB2C93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B3355-569C-4162-9146-9094588CAA62}">
  <ds:schemaRefs>
    <ds:schemaRef ds:uri="http://schemas.microsoft.com/sharepoint/v3/contenttype/forms"/>
  </ds:schemaRefs>
</ds:datastoreItem>
</file>

<file path=customXml/itemProps3.xml><?xml version="1.0" encoding="utf-8"?>
<ds:datastoreItem xmlns:ds="http://schemas.openxmlformats.org/officeDocument/2006/customXml" ds:itemID="{08EF3A1B-36B6-4192-92C4-5AE01E087E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2F2131-716B-4C82-9776-135CFE37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8080</Words>
  <Characters>44441</Characters>
  <Application>Microsoft Office Word</Application>
  <DocSecurity>0</DocSecurity>
  <Lines>370</Lines>
  <Paragraphs>104</Paragraphs>
  <ScaleCrop>false</ScaleCrop>
  <Company/>
  <LinksUpToDate>false</LinksUpToDate>
  <CharactersWithSpaces>52417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2022-10-15T15:39:00Z</dcterms:created>
  <dcterms:modified xsi:type="dcterms:W3CDTF">2022-10-15T15:39:00Z</dcterms:modified>
</cp:coreProperties>
</file>