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C06C0" w14:textId="77777777" w:rsidR="00F9177B" w:rsidRDefault="00F9177B" w:rsidP="00966636">
      <w:pPr>
        <w:spacing w:after="0" w:line="240" w:lineRule="auto"/>
        <w:ind w:left="7200"/>
        <w:rPr>
          <w:rFonts w:ascii="Cambria" w:hAnsi="Cambria" w:cs="Calibri"/>
          <w:sz w:val="20"/>
          <w:szCs w:val="20"/>
          <w:lang w:val="pt-BR"/>
        </w:rPr>
      </w:pPr>
    </w:p>
    <w:p w14:paraId="26FBC14D" w14:textId="77777777" w:rsidR="0017719E" w:rsidRDefault="0017719E" w:rsidP="00966636">
      <w:pPr>
        <w:spacing w:after="0" w:line="240" w:lineRule="auto"/>
        <w:ind w:left="7200"/>
        <w:rPr>
          <w:rFonts w:ascii="Cambria" w:hAnsi="Cambria" w:cs="Calibri"/>
          <w:sz w:val="20"/>
          <w:szCs w:val="20"/>
          <w:lang w:val="pt-BR"/>
        </w:rPr>
      </w:pPr>
    </w:p>
    <w:p w14:paraId="233380BD" w14:textId="77777777" w:rsidR="000007A2" w:rsidRPr="002832EC" w:rsidRDefault="00950B87" w:rsidP="0017719E">
      <w:pPr>
        <w:spacing w:after="0" w:line="240" w:lineRule="auto"/>
        <w:ind w:left="7200"/>
        <w:jc w:val="right"/>
        <w:rPr>
          <w:rFonts w:ascii="Cambria" w:hAnsi="Cambria" w:cs="Calibri"/>
          <w:sz w:val="20"/>
          <w:szCs w:val="20"/>
          <w:lang w:val="pt-BR"/>
        </w:rPr>
      </w:pPr>
      <w:r>
        <w:rPr>
          <w:rFonts w:ascii="Cambria" w:hAnsi="Cambria" w:cs="Calibri"/>
          <w:sz w:val="20"/>
          <w:szCs w:val="20"/>
          <w:lang w:val="pt-BR"/>
        </w:rPr>
        <w:t>23</w:t>
      </w:r>
      <w:r w:rsidR="00966636">
        <w:rPr>
          <w:rFonts w:ascii="Cambria" w:hAnsi="Cambria" w:cs="Calibri"/>
          <w:sz w:val="20"/>
          <w:szCs w:val="20"/>
          <w:lang w:val="pt-BR"/>
        </w:rPr>
        <w:t xml:space="preserve"> de mayo de 2021</w:t>
      </w:r>
    </w:p>
    <w:p w14:paraId="09DE9D5E" w14:textId="77777777" w:rsidR="00B06F3F" w:rsidRDefault="00B06F3F" w:rsidP="00040E55">
      <w:pPr>
        <w:spacing w:after="0" w:line="240" w:lineRule="auto"/>
        <w:ind w:left="5760" w:firstLine="720"/>
        <w:rPr>
          <w:rFonts w:ascii="Cambria" w:hAnsi="Cambria" w:cs="Calibri"/>
          <w:sz w:val="20"/>
          <w:szCs w:val="20"/>
          <w:lang w:val="pt-BR"/>
        </w:rPr>
      </w:pPr>
    </w:p>
    <w:p w14:paraId="3C47D64C" w14:textId="77777777" w:rsidR="00162CE1" w:rsidRPr="002832EC" w:rsidRDefault="0042403B" w:rsidP="00040E55">
      <w:pPr>
        <w:spacing w:after="0" w:line="240" w:lineRule="auto"/>
        <w:jc w:val="both"/>
        <w:rPr>
          <w:rFonts w:ascii="Cambria" w:hAnsi="Cambria" w:cs="Calibri"/>
          <w:b/>
          <w:sz w:val="20"/>
          <w:szCs w:val="20"/>
          <w:lang w:val="pt-BR"/>
        </w:rPr>
      </w:pPr>
      <w:r w:rsidRPr="002832EC">
        <w:rPr>
          <w:rFonts w:ascii="Cambria" w:hAnsi="Cambria" w:cs="Calibri"/>
          <w:b/>
          <w:sz w:val="20"/>
          <w:szCs w:val="20"/>
          <w:lang w:val="pt-BR"/>
        </w:rPr>
        <w:t>REF</w:t>
      </w:r>
      <w:r w:rsidR="00162CE1" w:rsidRPr="002832EC">
        <w:rPr>
          <w:rFonts w:ascii="Cambria" w:hAnsi="Cambria" w:cs="Calibri"/>
          <w:b/>
          <w:sz w:val="20"/>
          <w:szCs w:val="20"/>
          <w:lang w:val="pt-BR"/>
        </w:rPr>
        <w:t>.:</w:t>
      </w:r>
      <w:bookmarkStart w:id="0" w:name="Peticion_n"/>
      <w:bookmarkEnd w:id="0"/>
      <w:r w:rsidR="00A2631B" w:rsidRPr="002832EC">
        <w:rPr>
          <w:rFonts w:ascii="Cambria" w:hAnsi="Cambria" w:cs="Calibri"/>
          <w:b/>
          <w:sz w:val="20"/>
          <w:szCs w:val="20"/>
          <w:lang w:val="pt-BR"/>
        </w:rPr>
        <w:tab/>
        <w:t>Caso Nº</w:t>
      </w:r>
      <w:r w:rsidR="00162CE1" w:rsidRPr="002832EC">
        <w:rPr>
          <w:rFonts w:ascii="Cambria" w:hAnsi="Cambria" w:cs="Calibri"/>
          <w:b/>
          <w:sz w:val="20"/>
          <w:szCs w:val="20"/>
          <w:lang w:val="pt-BR"/>
        </w:rPr>
        <w:t xml:space="preserve"> </w:t>
      </w:r>
      <w:r w:rsidR="00040E55" w:rsidRPr="002832EC">
        <w:rPr>
          <w:rFonts w:ascii="Cambria" w:hAnsi="Cambria" w:cs="Calibri"/>
          <w:b/>
          <w:sz w:val="20"/>
          <w:szCs w:val="20"/>
          <w:lang w:val="pt-BR"/>
        </w:rPr>
        <w:t>1</w:t>
      </w:r>
      <w:r w:rsidR="00966636">
        <w:rPr>
          <w:rFonts w:ascii="Cambria" w:hAnsi="Cambria" w:cs="Calibri"/>
          <w:b/>
          <w:sz w:val="20"/>
          <w:szCs w:val="20"/>
          <w:lang w:val="pt-BR"/>
        </w:rPr>
        <w:t>3</w:t>
      </w:r>
      <w:r w:rsidR="00040E55" w:rsidRPr="002832EC">
        <w:rPr>
          <w:rFonts w:ascii="Cambria" w:hAnsi="Cambria" w:cs="Calibri"/>
          <w:b/>
          <w:sz w:val="20"/>
          <w:szCs w:val="20"/>
          <w:lang w:val="pt-BR"/>
        </w:rPr>
        <w:t>.</w:t>
      </w:r>
      <w:r w:rsidR="00966636">
        <w:rPr>
          <w:rFonts w:ascii="Cambria" w:hAnsi="Cambria" w:cs="Calibri"/>
          <w:b/>
          <w:sz w:val="20"/>
          <w:szCs w:val="20"/>
          <w:lang w:val="pt-BR"/>
        </w:rPr>
        <w:t>2</w:t>
      </w:r>
      <w:r w:rsidR="00950B87">
        <w:rPr>
          <w:rFonts w:ascii="Cambria" w:hAnsi="Cambria" w:cs="Calibri"/>
          <w:b/>
          <w:sz w:val="20"/>
          <w:szCs w:val="20"/>
          <w:lang w:val="pt-BR"/>
        </w:rPr>
        <w:t>63</w:t>
      </w:r>
    </w:p>
    <w:p w14:paraId="2AF4EF76" w14:textId="77777777" w:rsidR="00950B87" w:rsidRPr="00950B87" w:rsidRDefault="00950B87" w:rsidP="00040E55">
      <w:pPr>
        <w:spacing w:after="0" w:line="240" w:lineRule="auto"/>
        <w:ind w:firstLine="720"/>
        <w:jc w:val="both"/>
        <w:rPr>
          <w:rFonts w:ascii="Cambria" w:hAnsi="Cambria" w:cs="Calibri"/>
          <w:b/>
          <w:sz w:val="20"/>
          <w:szCs w:val="20"/>
          <w:lang w:val="pt-BR"/>
        </w:rPr>
      </w:pPr>
      <w:r w:rsidRPr="00950B87">
        <w:rPr>
          <w:rFonts w:ascii="Cambria" w:hAnsi="Cambria" w:cs="Calibri"/>
          <w:b/>
          <w:sz w:val="20"/>
          <w:szCs w:val="20"/>
          <w:lang w:val="pt-BR"/>
        </w:rPr>
        <w:t xml:space="preserve">Gino Ernesto Yangali Iparraguirre </w:t>
      </w:r>
    </w:p>
    <w:p w14:paraId="11935125" w14:textId="77777777" w:rsidR="00DE2CA0" w:rsidRPr="002832EC" w:rsidRDefault="006022CC" w:rsidP="00040E55">
      <w:pPr>
        <w:spacing w:after="0" w:line="240" w:lineRule="auto"/>
        <w:ind w:firstLine="720"/>
        <w:jc w:val="both"/>
        <w:rPr>
          <w:rFonts w:ascii="Cambria" w:hAnsi="Cambria"/>
          <w:b/>
          <w:sz w:val="20"/>
          <w:szCs w:val="20"/>
          <w:lang w:val="es-CO"/>
        </w:rPr>
      </w:pPr>
      <w:r w:rsidRPr="002832EC">
        <w:rPr>
          <w:rFonts w:ascii="Cambria" w:hAnsi="Cambria"/>
          <w:b/>
          <w:sz w:val="20"/>
          <w:szCs w:val="20"/>
          <w:lang w:val="es-CO"/>
        </w:rPr>
        <w:t>Perú</w:t>
      </w:r>
    </w:p>
    <w:p w14:paraId="5B9CB2A9" w14:textId="77777777" w:rsidR="00F9177B" w:rsidRDefault="00F9177B" w:rsidP="0017719E">
      <w:pPr>
        <w:spacing w:after="0" w:line="240" w:lineRule="auto"/>
        <w:jc w:val="both"/>
        <w:rPr>
          <w:rFonts w:ascii="Cambria" w:hAnsi="Cambria" w:cs="Calibri"/>
          <w:b/>
          <w:sz w:val="20"/>
          <w:szCs w:val="20"/>
          <w:lang w:val="es-ES"/>
        </w:rPr>
      </w:pPr>
    </w:p>
    <w:p w14:paraId="257EDC68" w14:textId="77777777" w:rsidR="000007A2" w:rsidRPr="002832EC" w:rsidRDefault="000007A2" w:rsidP="0017719E">
      <w:pPr>
        <w:spacing w:after="0" w:line="240" w:lineRule="auto"/>
        <w:jc w:val="both"/>
        <w:rPr>
          <w:rFonts w:ascii="Cambria" w:hAnsi="Cambria" w:cs="Calibri"/>
          <w:b/>
          <w:sz w:val="20"/>
          <w:szCs w:val="20"/>
          <w:lang w:val="es-ES"/>
        </w:rPr>
      </w:pPr>
    </w:p>
    <w:p w14:paraId="0EDA418C" w14:textId="77777777" w:rsidR="00162CE1" w:rsidRPr="002832EC" w:rsidRDefault="00162CE1" w:rsidP="00040E55">
      <w:pPr>
        <w:spacing w:after="0" w:line="240" w:lineRule="auto"/>
        <w:jc w:val="both"/>
        <w:rPr>
          <w:rFonts w:ascii="Cambria" w:hAnsi="Cambria" w:cs="Calibri"/>
          <w:sz w:val="20"/>
          <w:szCs w:val="20"/>
          <w:lang w:val="es-ES"/>
        </w:rPr>
      </w:pPr>
      <w:r w:rsidRPr="002832EC">
        <w:rPr>
          <w:rFonts w:ascii="Cambria" w:hAnsi="Cambria" w:cs="Calibri"/>
          <w:sz w:val="20"/>
          <w:szCs w:val="20"/>
          <w:lang w:val="es-ES"/>
        </w:rPr>
        <w:t>Señor Secretario:</w:t>
      </w:r>
    </w:p>
    <w:p w14:paraId="66116170" w14:textId="77777777" w:rsidR="00162CE1" w:rsidRPr="002832EC" w:rsidRDefault="00162CE1" w:rsidP="00040E55">
      <w:pPr>
        <w:spacing w:after="0" w:line="240" w:lineRule="auto"/>
        <w:jc w:val="both"/>
        <w:rPr>
          <w:rFonts w:ascii="Cambria" w:hAnsi="Cambria" w:cs="Calibri"/>
          <w:sz w:val="20"/>
          <w:szCs w:val="20"/>
          <w:lang w:val="es-ES"/>
        </w:rPr>
      </w:pPr>
    </w:p>
    <w:p w14:paraId="43D3EDC3" w14:textId="77777777" w:rsidR="00966636" w:rsidRPr="004506B5" w:rsidRDefault="00040E55" w:rsidP="00966636">
      <w:pPr>
        <w:tabs>
          <w:tab w:val="left" w:pos="720"/>
          <w:tab w:val="left" w:pos="1440"/>
        </w:tabs>
        <w:spacing w:after="0" w:line="240" w:lineRule="auto"/>
        <w:jc w:val="both"/>
        <w:rPr>
          <w:rFonts w:ascii="Cambria" w:hAnsi="Cambria"/>
          <w:sz w:val="20"/>
          <w:szCs w:val="20"/>
          <w:lang w:val="es-CO"/>
        </w:rPr>
      </w:pPr>
      <w:r w:rsidRPr="002832EC">
        <w:rPr>
          <w:rFonts w:ascii="Cambria" w:hAnsi="Cambria" w:cs="Calibri"/>
          <w:sz w:val="20"/>
          <w:szCs w:val="20"/>
          <w:lang w:val="es-ES"/>
        </w:rPr>
        <w:tab/>
      </w:r>
      <w:r w:rsidR="00162CE1" w:rsidRPr="002832EC">
        <w:rPr>
          <w:rFonts w:ascii="Cambria" w:hAnsi="Cambria" w:cs="Calibri"/>
          <w:sz w:val="20"/>
          <w:szCs w:val="20"/>
          <w:lang w:val="es-ES"/>
        </w:rPr>
        <w:t>Tengo el agrado de dirigirme a usted</w:t>
      </w:r>
      <w:r w:rsidR="0042403B" w:rsidRPr="002832EC">
        <w:rPr>
          <w:rFonts w:ascii="Cambria" w:hAnsi="Cambria" w:cs="Calibri"/>
          <w:sz w:val="20"/>
          <w:szCs w:val="20"/>
          <w:lang w:val="es-ES"/>
        </w:rPr>
        <w:t>,</w:t>
      </w:r>
      <w:r w:rsidR="00162CE1" w:rsidRPr="002832EC">
        <w:rPr>
          <w:rFonts w:ascii="Cambria" w:hAnsi="Cambria" w:cs="Calibri"/>
          <w:sz w:val="20"/>
          <w:szCs w:val="20"/>
          <w:lang w:val="es-ES"/>
        </w:rPr>
        <w:t xml:space="preserve"> en nombre de la Comisión Interamericana de Derechos Humanos</w:t>
      </w:r>
      <w:r w:rsidR="0042403B" w:rsidRPr="002832EC">
        <w:rPr>
          <w:rFonts w:ascii="Cambria" w:hAnsi="Cambria" w:cs="Calibri"/>
          <w:sz w:val="20"/>
          <w:szCs w:val="20"/>
          <w:lang w:val="es-ES"/>
        </w:rPr>
        <w:t>,</w:t>
      </w:r>
      <w:r w:rsidR="00162CE1" w:rsidRPr="002832EC">
        <w:rPr>
          <w:rFonts w:ascii="Cambria" w:hAnsi="Cambria" w:cs="Calibri"/>
          <w:sz w:val="20"/>
          <w:szCs w:val="20"/>
          <w:lang w:val="es-ES"/>
        </w:rPr>
        <w:t xml:space="preserve"> con el objeto de someter a la jurisdicción de la Honorable Corte Interame</w:t>
      </w:r>
      <w:r w:rsidR="00026ADD" w:rsidRPr="002832EC">
        <w:rPr>
          <w:rFonts w:ascii="Cambria" w:hAnsi="Cambria" w:cs="Calibri"/>
          <w:sz w:val="20"/>
          <w:szCs w:val="20"/>
          <w:lang w:val="es-ES"/>
        </w:rPr>
        <w:t>ricana de Derechos Humanos, el C</w:t>
      </w:r>
      <w:r w:rsidR="00162CE1" w:rsidRPr="002832EC">
        <w:rPr>
          <w:rFonts w:ascii="Cambria" w:hAnsi="Cambria" w:cs="Calibri"/>
          <w:sz w:val="20"/>
          <w:szCs w:val="20"/>
          <w:lang w:val="es-ES"/>
        </w:rPr>
        <w:t xml:space="preserve">aso No. </w:t>
      </w:r>
      <w:bookmarkStart w:id="1" w:name="Peticion_n1"/>
      <w:bookmarkEnd w:id="1"/>
      <w:r w:rsidR="00966636">
        <w:rPr>
          <w:rFonts w:ascii="Cambria" w:hAnsi="Cambria" w:cs="Calibri"/>
          <w:sz w:val="20"/>
          <w:szCs w:val="20"/>
          <w:lang w:val="es-ES"/>
        </w:rPr>
        <w:t>13.2</w:t>
      </w:r>
      <w:r w:rsidR="00960415">
        <w:rPr>
          <w:rFonts w:ascii="Cambria" w:hAnsi="Cambria" w:cs="Calibri"/>
          <w:sz w:val="20"/>
          <w:szCs w:val="20"/>
          <w:lang w:val="es-ES"/>
        </w:rPr>
        <w:t>63</w:t>
      </w:r>
      <w:r w:rsidR="009E433A" w:rsidRPr="002832EC">
        <w:rPr>
          <w:rFonts w:ascii="Cambria" w:hAnsi="Cambria" w:cs="Calibri"/>
          <w:sz w:val="20"/>
          <w:szCs w:val="20"/>
          <w:lang w:val="es-ES"/>
        </w:rPr>
        <w:t xml:space="preserve"> </w:t>
      </w:r>
      <w:r w:rsidR="00E31CFC" w:rsidRPr="002832EC">
        <w:rPr>
          <w:rFonts w:ascii="Cambria" w:hAnsi="Cambria" w:cs="Calibri"/>
          <w:sz w:val="20"/>
          <w:szCs w:val="20"/>
          <w:lang w:val="es-ES"/>
        </w:rPr>
        <w:t>–</w:t>
      </w:r>
      <w:r w:rsidR="00162CE1" w:rsidRPr="002832EC">
        <w:rPr>
          <w:rFonts w:ascii="Cambria" w:hAnsi="Cambria" w:cs="Calibri"/>
          <w:sz w:val="20"/>
          <w:szCs w:val="20"/>
          <w:lang w:val="es-ES"/>
        </w:rPr>
        <w:t xml:space="preserve"> </w:t>
      </w:r>
      <w:r w:rsidR="00960415" w:rsidRPr="00BE48EC">
        <w:rPr>
          <w:rFonts w:ascii="Cambria" w:eastAsia="Times New Roman" w:hAnsi="Cambria"/>
          <w:color w:val="000000"/>
          <w:sz w:val="20"/>
          <w:szCs w:val="20"/>
          <w:lang w:val="es-ES"/>
        </w:rPr>
        <w:t>Gino Ernesto Yangali Iparraguirre</w:t>
      </w:r>
      <w:r w:rsidR="006634BE" w:rsidRPr="002832EC">
        <w:rPr>
          <w:rFonts w:ascii="Cambria" w:hAnsi="Cambria" w:cs="Calibri"/>
          <w:sz w:val="20"/>
          <w:szCs w:val="20"/>
          <w:lang w:val="es-ES"/>
        </w:rPr>
        <w:t>,</w:t>
      </w:r>
      <w:r w:rsidR="009E433A" w:rsidRPr="002832EC">
        <w:rPr>
          <w:rFonts w:ascii="Cambria" w:hAnsi="Cambria" w:cs="Calibri"/>
          <w:sz w:val="20"/>
          <w:szCs w:val="20"/>
          <w:lang w:val="es-ES"/>
        </w:rPr>
        <w:t xml:space="preserve"> </w:t>
      </w:r>
      <w:r w:rsidR="006022CC" w:rsidRPr="002832EC">
        <w:rPr>
          <w:rFonts w:ascii="Cambria" w:hAnsi="Cambria" w:cs="Calibri"/>
          <w:sz w:val="20"/>
          <w:szCs w:val="20"/>
          <w:lang w:val="es-ES"/>
        </w:rPr>
        <w:t xml:space="preserve">respecto de la República de Perú (en adelante “el Estado”, “el Estado peruano” o “Perú”), </w:t>
      </w:r>
      <w:r w:rsidR="00162CE1" w:rsidRPr="002832EC">
        <w:rPr>
          <w:rFonts w:ascii="Cambria" w:hAnsi="Cambria" w:cs="Calibri"/>
          <w:sz w:val="20"/>
          <w:szCs w:val="20"/>
          <w:lang w:val="es-ES"/>
        </w:rPr>
        <w:t>relacionado</w:t>
      </w:r>
      <w:r w:rsidRPr="002832EC">
        <w:rPr>
          <w:rFonts w:ascii="Cambria" w:hAnsi="Cambria" w:cs="Calibri"/>
          <w:sz w:val="20"/>
          <w:szCs w:val="20"/>
          <w:lang w:val="es-ES"/>
        </w:rPr>
        <w:t xml:space="preserve"> con </w:t>
      </w:r>
      <w:r w:rsidR="00966636" w:rsidRPr="004506B5">
        <w:rPr>
          <w:rFonts w:ascii="Cambria" w:hAnsi="Cambria"/>
          <w:sz w:val="20"/>
          <w:szCs w:val="20"/>
          <w:lang w:val="es-CO"/>
        </w:rPr>
        <w:t xml:space="preserve">la responsabilidad internacional </w:t>
      </w:r>
      <w:r w:rsidR="00966636">
        <w:rPr>
          <w:rFonts w:ascii="Cambria" w:hAnsi="Cambria"/>
          <w:sz w:val="20"/>
          <w:szCs w:val="20"/>
          <w:lang w:val="es-CO"/>
        </w:rPr>
        <w:t>del Estado</w:t>
      </w:r>
      <w:r w:rsidR="00966636" w:rsidRPr="004506B5">
        <w:rPr>
          <w:rFonts w:ascii="Cambria" w:hAnsi="Cambria"/>
          <w:sz w:val="20"/>
          <w:szCs w:val="20"/>
          <w:lang w:val="es-CO"/>
        </w:rPr>
        <w:t xml:space="preserve"> por</w:t>
      </w:r>
      <w:r w:rsidR="00966636">
        <w:rPr>
          <w:rFonts w:ascii="Cambria" w:hAnsi="Cambria"/>
          <w:sz w:val="20"/>
          <w:szCs w:val="20"/>
          <w:lang w:val="es-CO"/>
        </w:rPr>
        <w:t xml:space="preserve"> </w:t>
      </w:r>
      <w:r w:rsidR="00960415" w:rsidRPr="00BE48EC">
        <w:rPr>
          <w:rFonts w:ascii="Cambria" w:eastAsia="Times New Roman" w:hAnsi="Cambria"/>
          <w:color w:val="000000"/>
          <w:sz w:val="20"/>
          <w:szCs w:val="20"/>
          <w:lang w:val="es-ES"/>
        </w:rPr>
        <w:t>la violación de los derechos a</w:t>
      </w:r>
      <w:r w:rsidR="00960415">
        <w:rPr>
          <w:rFonts w:ascii="Cambria" w:eastAsia="Times New Roman" w:hAnsi="Cambria"/>
          <w:color w:val="000000"/>
          <w:sz w:val="20"/>
          <w:szCs w:val="20"/>
          <w:lang w:val="es-ES"/>
        </w:rPr>
        <w:t xml:space="preserve"> las garantías y protección judiciales</w:t>
      </w:r>
      <w:r w:rsidR="00960415" w:rsidRPr="00BE48EC">
        <w:rPr>
          <w:rFonts w:ascii="Cambria" w:eastAsia="Times New Roman" w:hAnsi="Cambria"/>
          <w:color w:val="000000"/>
          <w:sz w:val="20"/>
          <w:szCs w:val="20"/>
          <w:lang w:val="es-ES"/>
        </w:rPr>
        <w:t xml:space="preserve"> de</w:t>
      </w:r>
      <w:r w:rsidR="00960415">
        <w:rPr>
          <w:rFonts w:ascii="Cambria" w:eastAsia="Times New Roman" w:hAnsi="Cambria"/>
          <w:color w:val="000000"/>
          <w:sz w:val="20"/>
          <w:szCs w:val="20"/>
          <w:lang w:val="es-ES"/>
        </w:rPr>
        <w:t>l señor</w:t>
      </w:r>
      <w:r w:rsidR="00960415" w:rsidRPr="00BE48EC">
        <w:rPr>
          <w:rFonts w:ascii="Cambria" w:eastAsia="Times New Roman" w:hAnsi="Cambria"/>
          <w:color w:val="000000"/>
          <w:sz w:val="20"/>
          <w:szCs w:val="20"/>
          <w:lang w:val="es-ES"/>
        </w:rPr>
        <w:t xml:space="preserve"> Yangali Iparraguirre como consecuencia de</w:t>
      </w:r>
      <w:r w:rsidR="00960415">
        <w:rPr>
          <w:rFonts w:ascii="Cambria" w:eastAsia="Times New Roman" w:hAnsi="Cambria"/>
          <w:color w:val="000000"/>
          <w:sz w:val="20"/>
          <w:szCs w:val="20"/>
          <w:lang w:val="es-ES"/>
        </w:rPr>
        <w:t>l incumplimiento de una sentencia judicial que ordenó el pago de una indemnización por daños y perjuicios a su favor por</w:t>
      </w:r>
      <w:r w:rsidR="00960415" w:rsidRPr="00BE48EC">
        <w:rPr>
          <w:rFonts w:ascii="Cambria" w:eastAsia="Times New Roman" w:hAnsi="Cambria"/>
          <w:color w:val="000000"/>
          <w:sz w:val="20"/>
          <w:szCs w:val="20"/>
          <w:lang w:val="es-ES"/>
        </w:rPr>
        <w:t xml:space="preserve"> la </w:t>
      </w:r>
      <w:r w:rsidR="00960415">
        <w:rPr>
          <w:rFonts w:ascii="Cambria" w:eastAsia="Times New Roman" w:hAnsi="Cambria"/>
          <w:color w:val="000000"/>
          <w:sz w:val="20"/>
          <w:szCs w:val="20"/>
          <w:lang w:val="es-ES"/>
        </w:rPr>
        <w:t>destitución</w:t>
      </w:r>
      <w:r w:rsidR="00960415" w:rsidRPr="00BE48EC">
        <w:rPr>
          <w:rFonts w:ascii="Cambria" w:eastAsia="Times New Roman" w:hAnsi="Cambria"/>
          <w:color w:val="000000"/>
          <w:sz w:val="20"/>
          <w:szCs w:val="20"/>
          <w:lang w:val="es-ES"/>
        </w:rPr>
        <w:t xml:space="preserve"> </w:t>
      </w:r>
      <w:r w:rsidR="00960415">
        <w:rPr>
          <w:rFonts w:ascii="Cambria" w:eastAsia="Times New Roman" w:hAnsi="Cambria"/>
          <w:color w:val="000000"/>
          <w:sz w:val="20"/>
          <w:szCs w:val="20"/>
          <w:lang w:val="es-ES"/>
        </w:rPr>
        <w:t xml:space="preserve">arbitraria </w:t>
      </w:r>
      <w:r w:rsidR="00960415" w:rsidRPr="00BE48EC">
        <w:rPr>
          <w:rFonts w:ascii="Cambria" w:eastAsia="Times New Roman" w:hAnsi="Cambria"/>
          <w:color w:val="000000"/>
          <w:sz w:val="20"/>
          <w:szCs w:val="20"/>
          <w:lang w:val="es-ES"/>
        </w:rPr>
        <w:t xml:space="preserve">de su cargo de magistrado de la Corte Superior de Justicia de Lima. </w:t>
      </w:r>
    </w:p>
    <w:p w14:paraId="34553725" w14:textId="77777777" w:rsidR="00966636" w:rsidRDefault="00966636" w:rsidP="00966636">
      <w:pPr>
        <w:spacing w:after="0" w:line="240" w:lineRule="auto"/>
        <w:jc w:val="both"/>
        <w:rPr>
          <w:rFonts w:ascii="Cambria" w:eastAsia="Times New Roman" w:hAnsi="Cambria" w:cs="Calibri"/>
          <w:sz w:val="20"/>
          <w:szCs w:val="20"/>
          <w:lang w:val="es-CO"/>
        </w:rPr>
      </w:pPr>
    </w:p>
    <w:p w14:paraId="44315019" w14:textId="77777777" w:rsidR="00F9177B" w:rsidRDefault="00F9177B" w:rsidP="00F9177B">
      <w:pPr>
        <w:pStyle w:val="parrafos"/>
        <w:ind w:firstLine="720"/>
      </w:pPr>
      <w:r>
        <w:rPr>
          <w:lang w:val="es-ES"/>
        </w:rPr>
        <w:t xml:space="preserve">En su Informe de Admisibilidad y Fondo </w:t>
      </w:r>
      <w:r w:rsidRPr="000165FD">
        <w:rPr>
          <w:lang w:val="es-ES"/>
        </w:rPr>
        <w:t xml:space="preserve">la Comisión </w:t>
      </w:r>
      <w:r>
        <w:rPr>
          <w:lang w:eastAsia="es-ES"/>
        </w:rPr>
        <w:t>estableció que no existe controversia que los tribunales nacionales reconocieron que el señor Yangali debía recibir una indemnización por daños y perjuicios, debido a la destitución de su cargo como juez</w:t>
      </w:r>
      <w:r w:rsidR="009D5590">
        <w:rPr>
          <w:lang w:eastAsia="es-ES"/>
        </w:rPr>
        <w:t xml:space="preserve"> el año 1992</w:t>
      </w:r>
      <w:r>
        <w:rPr>
          <w:lang w:eastAsia="es-ES"/>
        </w:rPr>
        <w:t>. E</w:t>
      </w:r>
      <w:r>
        <w:t xml:space="preserve">l 12 de mayo de 2014 </w:t>
      </w:r>
      <w:r>
        <w:rPr>
          <w:lang w:eastAsia="es-ES"/>
        </w:rPr>
        <w:t>e</w:t>
      </w:r>
      <w:r>
        <w:t xml:space="preserve">l Décimo Juzgado Civil de Lima declaró fundada la demanda presentada por </w:t>
      </w:r>
      <w:r>
        <w:rPr>
          <w:lang w:eastAsia="es-ES"/>
        </w:rPr>
        <w:t xml:space="preserve">el señor Yangali. Ante un recurso de apelación interpuesto por la víctima, el </w:t>
      </w:r>
      <w:r>
        <w:t>6 de abril de 2016</w:t>
      </w:r>
      <w:r>
        <w:rPr>
          <w:lang w:eastAsia="es-ES"/>
        </w:rPr>
        <w:t xml:space="preserve"> l</w:t>
      </w:r>
      <w:r>
        <w:t xml:space="preserve">a Primera Sala Civil de Lima confirmó la decisión estableciendo además que no debía efectuarse descuento alguno a las sumas establecidas en primera instancia. </w:t>
      </w:r>
    </w:p>
    <w:p w14:paraId="32DA97C3" w14:textId="77777777" w:rsidR="00F9177B" w:rsidRDefault="00F9177B" w:rsidP="00F9177B">
      <w:pPr>
        <w:pStyle w:val="parrafos"/>
      </w:pPr>
    </w:p>
    <w:p w14:paraId="06FCF507" w14:textId="77777777" w:rsidR="00F9177B" w:rsidRDefault="00F9177B" w:rsidP="00F9177B">
      <w:pPr>
        <w:pStyle w:val="parrafos"/>
        <w:ind w:firstLine="720"/>
      </w:pPr>
      <w:r>
        <w:t xml:space="preserve">Ante el incumplimiento de dicha decisión, el 5 de julio de 2018 el Décimo Juzgado Civil requirió a la Presidencia del Consejo de Ministros y al Poder Judicial que cumplan con la sentencia. Por otra parte, el Procurador Público del Poder Judicial informó a la Gerencia de Administración y Finanza el 19 de septiembre de 2018 que la obligación reconocida en favor del señor Yangali había obtenido la calidad de cosa juzgada y que no procedía recurso ulterior, detallando el monto que debía pagarse. Sin embargo, hasta la fecha la sentencia permanece incumplida. En su informe la Comisión observó que el 11 de enero de 2019 el Estado informó que el pago se efectuaría basado en criterios de priorización. </w:t>
      </w:r>
    </w:p>
    <w:p w14:paraId="3150B136" w14:textId="77777777" w:rsidR="00F9177B" w:rsidRDefault="00F9177B" w:rsidP="00F9177B">
      <w:pPr>
        <w:pStyle w:val="parrafos"/>
      </w:pPr>
    </w:p>
    <w:p w14:paraId="7FAB29C6" w14:textId="77777777" w:rsidR="00F9177B" w:rsidRDefault="00F9177B" w:rsidP="00F9177B">
      <w:pPr>
        <w:pStyle w:val="parrafos"/>
        <w:ind w:firstLine="720"/>
      </w:pPr>
      <w:r>
        <w:t xml:space="preserve">La Comisión observó que el Estado no adoptó ninguna medida desde la sentencia dictada en 2016 para el cumplimiento rápido y efectivo de lo ordenado por las autoridades judiciales, con el fin de garantizar la indemnización de daños y perjuicios reconocida judicialmente. La Comisión destacó además que en el presente caso se trata de una sola víctima y que ya existía una decisión judicial firme que debió haber sido cumplida, o en su defecto, ejecutada. </w:t>
      </w:r>
    </w:p>
    <w:p w14:paraId="646E83DE" w14:textId="77777777" w:rsidR="00F9177B" w:rsidRDefault="00F9177B" w:rsidP="00F9177B">
      <w:pPr>
        <w:pStyle w:val="parrafos"/>
      </w:pPr>
    </w:p>
    <w:p w14:paraId="7EC5CE0F" w14:textId="77777777" w:rsidR="00F9177B" w:rsidRDefault="00F9177B" w:rsidP="00F9177B">
      <w:pPr>
        <w:spacing w:after="0" w:line="240" w:lineRule="auto"/>
        <w:jc w:val="both"/>
        <w:rPr>
          <w:rFonts w:ascii="Cambria" w:hAnsi="Cambria" w:cs="Calibri"/>
          <w:sz w:val="20"/>
          <w:szCs w:val="20"/>
          <w:lang w:val="es-ES"/>
        </w:rPr>
      </w:pPr>
    </w:p>
    <w:p w14:paraId="057F23AB" w14:textId="77777777" w:rsidR="00F9177B" w:rsidRDefault="00F9177B" w:rsidP="00F9177B">
      <w:pPr>
        <w:spacing w:after="0" w:line="240" w:lineRule="auto"/>
        <w:jc w:val="both"/>
        <w:rPr>
          <w:rFonts w:ascii="Cambria" w:hAnsi="Cambria" w:cs="Calibri"/>
          <w:sz w:val="20"/>
          <w:szCs w:val="20"/>
          <w:lang w:val="es-ES"/>
        </w:rPr>
      </w:pPr>
    </w:p>
    <w:p w14:paraId="7988014D" w14:textId="77777777" w:rsidR="00F9177B" w:rsidRDefault="00F9177B" w:rsidP="00F9177B">
      <w:pPr>
        <w:spacing w:after="0" w:line="240" w:lineRule="auto"/>
        <w:jc w:val="both"/>
        <w:rPr>
          <w:rFonts w:ascii="Cambria" w:hAnsi="Cambria" w:cs="Calibri"/>
          <w:sz w:val="20"/>
          <w:szCs w:val="20"/>
          <w:lang w:val="es-ES"/>
        </w:rPr>
      </w:pPr>
    </w:p>
    <w:p w14:paraId="71A6F14A" w14:textId="77777777" w:rsidR="00F9177B" w:rsidRDefault="00F9177B" w:rsidP="00F9177B">
      <w:pPr>
        <w:spacing w:after="0" w:line="240" w:lineRule="auto"/>
        <w:jc w:val="both"/>
        <w:rPr>
          <w:rFonts w:ascii="Cambria" w:hAnsi="Cambria" w:cs="Calibri"/>
          <w:sz w:val="20"/>
          <w:szCs w:val="20"/>
          <w:lang w:val="es-ES"/>
        </w:rPr>
      </w:pPr>
    </w:p>
    <w:p w14:paraId="2C8389B6" w14:textId="77777777" w:rsidR="00F9177B" w:rsidRPr="002832EC" w:rsidRDefault="00F9177B" w:rsidP="00F9177B">
      <w:pPr>
        <w:spacing w:after="0" w:line="240" w:lineRule="auto"/>
        <w:jc w:val="both"/>
        <w:rPr>
          <w:rFonts w:ascii="Cambria" w:hAnsi="Cambria" w:cs="Calibri"/>
          <w:sz w:val="20"/>
          <w:szCs w:val="20"/>
          <w:lang w:val="es-ES"/>
        </w:rPr>
      </w:pPr>
      <w:r w:rsidRPr="002832EC">
        <w:rPr>
          <w:rFonts w:ascii="Cambria" w:hAnsi="Cambria" w:cs="Calibri"/>
          <w:sz w:val="20"/>
          <w:szCs w:val="20"/>
          <w:lang w:val="es-ES"/>
        </w:rPr>
        <w:t>Señor</w:t>
      </w:r>
    </w:p>
    <w:p w14:paraId="4D46DF43" w14:textId="77777777" w:rsidR="00F9177B" w:rsidRPr="002832EC" w:rsidRDefault="00F9177B" w:rsidP="00F9177B">
      <w:pPr>
        <w:spacing w:after="0" w:line="240" w:lineRule="auto"/>
        <w:jc w:val="both"/>
        <w:rPr>
          <w:rFonts w:ascii="Cambria" w:hAnsi="Cambria" w:cs="Calibri"/>
          <w:sz w:val="20"/>
          <w:szCs w:val="20"/>
          <w:lang w:val="es-ES"/>
        </w:rPr>
      </w:pPr>
      <w:r w:rsidRPr="002832EC">
        <w:rPr>
          <w:rFonts w:ascii="Cambria" w:hAnsi="Cambria" w:cs="Calibri"/>
          <w:sz w:val="20"/>
          <w:szCs w:val="20"/>
          <w:lang w:val="es-ES"/>
        </w:rPr>
        <w:t>Pablo Saavedra Alessandri</w:t>
      </w:r>
    </w:p>
    <w:p w14:paraId="32EFE681" w14:textId="77777777" w:rsidR="00F9177B" w:rsidRPr="002832EC" w:rsidRDefault="00F9177B" w:rsidP="00F9177B">
      <w:pPr>
        <w:spacing w:after="0" w:line="240" w:lineRule="auto"/>
        <w:jc w:val="both"/>
        <w:rPr>
          <w:rFonts w:ascii="Cambria" w:hAnsi="Cambria" w:cs="Calibri"/>
          <w:sz w:val="20"/>
          <w:szCs w:val="20"/>
          <w:lang w:val="es-ES"/>
        </w:rPr>
      </w:pPr>
      <w:r w:rsidRPr="002832EC">
        <w:rPr>
          <w:rFonts w:ascii="Cambria" w:hAnsi="Cambria" w:cs="Calibri"/>
          <w:sz w:val="20"/>
          <w:szCs w:val="20"/>
          <w:lang w:val="es-ES"/>
        </w:rPr>
        <w:t>Secretario</w:t>
      </w:r>
    </w:p>
    <w:p w14:paraId="386AC28C" w14:textId="77777777" w:rsidR="00F9177B" w:rsidRPr="002832EC" w:rsidRDefault="00F9177B" w:rsidP="00F9177B">
      <w:pPr>
        <w:spacing w:after="0" w:line="240" w:lineRule="auto"/>
        <w:jc w:val="both"/>
        <w:rPr>
          <w:rFonts w:ascii="Cambria" w:hAnsi="Cambria" w:cs="Calibri"/>
          <w:sz w:val="20"/>
          <w:szCs w:val="20"/>
          <w:lang w:val="es-ES"/>
        </w:rPr>
      </w:pPr>
      <w:r w:rsidRPr="002832EC">
        <w:rPr>
          <w:rFonts w:ascii="Cambria" w:hAnsi="Cambria" w:cs="Calibri"/>
          <w:sz w:val="20"/>
          <w:szCs w:val="20"/>
          <w:lang w:val="es-ES"/>
        </w:rPr>
        <w:t>Corte Interamericana de Derechos Humanos</w:t>
      </w:r>
    </w:p>
    <w:p w14:paraId="72B64CF9" w14:textId="77777777" w:rsidR="00F9177B" w:rsidRPr="002832EC" w:rsidRDefault="00F9177B" w:rsidP="00F9177B">
      <w:pPr>
        <w:spacing w:after="0" w:line="240" w:lineRule="auto"/>
        <w:jc w:val="both"/>
        <w:rPr>
          <w:rFonts w:ascii="Cambria" w:hAnsi="Cambria" w:cs="Calibri"/>
          <w:sz w:val="20"/>
          <w:szCs w:val="20"/>
          <w:lang w:val="es-ES"/>
        </w:rPr>
      </w:pPr>
      <w:r w:rsidRPr="002832EC">
        <w:rPr>
          <w:rFonts w:ascii="Cambria" w:hAnsi="Cambria" w:cs="Calibri"/>
          <w:sz w:val="20"/>
          <w:szCs w:val="20"/>
          <w:lang w:val="es-ES"/>
        </w:rPr>
        <w:t>San José, Costa Rica</w:t>
      </w:r>
    </w:p>
    <w:p w14:paraId="56B3DDAC" w14:textId="77777777" w:rsidR="00F9177B" w:rsidRDefault="00F9177B" w:rsidP="00F9177B">
      <w:pPr>
        <w:pStyle w:val="parrafos"/>
        <w:ind w:firstLine="720"/>
        <w:rPr>
          <w:lang w:val="es-ES"/>
        </w:rPr>
      </w:pPr>
    </w:p>
    <w:p w14:paraId="4D4BFB02" w14:textId="77777777" w:rsidR="0017719E" w:rsidRDefault="0017719E" w:rsidP="00F9177B">
      <w:pPr>
        <w:pStyle w:val="parrafos"/>
        <w:ind w:firstLine="720"/>
        <w:rPr>
          <w:lang w:val="es-ES"/>
        </w:rPr>
      </w:pPr>
    </w:p>
    <w:p w14:paraId="76E9484D" w14:textId="77777777" w:rsidR="0017719E" w:rsidRDefault="0017719E" w:rsidP="00F9177B">
      <w:pPr>
        <w:pStyle w:val="parrafos"/>
        <w:ind w:firstLine="720"/>
        <w:rPr>
          <w:lang w:val="es-ES"/>
        </w:rPr>
      </w:pPr>
    </w:p>
    <w:p w14:paraId="6E87A43C" w14:textId="77777777" w:rsidR="00F9177B" w:rsidRDefault="00166EA6" w:rsidP="00F9177B">
      <w:pPr>
        <w:pStyle w:val="parrafos"/>
        <w:ind w:firstLine="720"/>
      </w:pPr>
      <w:r>
        <w:t>L</w:t>
      </w:r>
      <w:r w:rsidR="00F9177B">
        <w:t xml:space="preserve">a Comisión </w:t>
      </w:r>
      <w:r>
        <w:t>notó</w:t>
      </w:r>
      <w:r w:rsidR="00F9177B">
        <w:t xml:space="preserve"> que existió un impulso procesal promovido por el señor Yangali durante todo el proceso de ejecución. Respecto a la conducta de las autoridades, estableció que las autoridades judiciales no lograron arbitrar los medios y tomar las medidas necesarias para lograr el cumplimento de la decisión judicial. Finalmente, en cuanto a la afectación generada en la situación jurídica de la víctima, la Comisión observó que la indemnización está relacionada con una reparación por la destitución arbitraria de su cargo como juez ocurrida en 1992 y los salarios y beneficios sociales dejados de percibir como consecuencia de ésta, hasta el año 2004 cuando fue restituido a sus funciones. La Comisión consideró que, por lo tanto, la prolongación de la ejecución de la sentencia tuvo un impacto en la situación jurídica del señor Yangali.</w:t>
      </w:r>
    </w:p>
    <w:p w14:paraId="64B49226" w14:textId="77777777" w:rsidR="00166EA6" w:rsidRDefault="00166EA6" w:rsidP="00F9177B">
      <w:pPr>
        <w:pStyle w:val="parrafos"/>
        <w:ind w:firstLine="720"/>
      </w:pPr>
    </w:p>
    <w:p w14:paraId="7E579B7C" w14:textId="77777777" w:rsidR="00166EA6" w:rsidRDefault="00166EA6" w:rsidP="00F9177B">
      <w:pPr>
        <w:pStyle w:val="parrafos"/>
        <w:ind w:firstLine="720"/>
      </w:pPr>
      <w:r w:rsidRPr="00366E52">
        <w:t xml:space="preserve">En vista de lo indicado, la Comisión concluyó en su Informe de Admisibilidad y Fondo la responsabilidad del Estado peruano por no haber garantizado la ejecución de la sentencia a favor de la víctima dentro de un plazo razonable. </w:t>
      </w:r>
      <w:r w:rsidRPr="00366E52">
        <w:rPr>
          <w:rFonts w:cs="Cambria"/>
          <w:lang w:val="es-ES"/>
        </w:rPr>
        <w:t>Lo anterior, en violación de</w:t>
      </w:r>
      <w:r w:rsidRPr="00366E52">
        <w:rPr>
          <w:lang w:eastAsia="es-ES"/>
        </w:rPr>
        <w:t xml:space="preserve"> los artículos 8.1 y 25.2 c) de la Convención Americana, en relación con las obligaciones establecidas en el artículo 1.1 del mismo instrumento</w:t>
      </w:r>
    </w:p>
    <w:p w14:paraId="01F4E288" w14:textId="77777777" w:rsidR="00F9177B" w:rsidRDefault="00F9177B" w:rsidP="00F9177B">
      <w:pPr>
        <w:pStyle w:val="parrafos"/>
        <w:ind w:firstLine="720"/>
        <w:rPr>
          <w:rFonts w:cs="Arial"/>
          <w:lang w:val="es-ES"/>
        </w:rPr>
      </w:pPr>
    </w:p>
    <w:p w14:paraId="2AA31FE6" w14:textId="77777777" w:rsidR="004C11AF" w:rsidRPr="002832EC" w:rsidRDefault="008A143D" w:rsidP="00F9177B">
      <w:pPr>
        <w:pStyle w:val="parrafos"/>
        <w:ind w:firstLine="720"/>
        <w:rPr>
          <w:lang w:val="es-PE"/>
        </w:rPr>
      </w:pPr>
      <w:r w:rsidRPr="002832EC">
        <w:rPr>
          <w:rFonts w:cs="Arial"/>
          <w:lang w:val="es-ES"/>
        </w:rPr>
        <w:t xml:space="preserve">El Estado de </w:t>
      </w:r>
      <w:r w:rsidR="00516A3B" w:rsidRPr="002832EC">
        <w:rPr>
          <w:rFonts w:cs="Arial"/>
          <w:lang w:val="es-ES"/>
        </w:rPr>
        <w:t>Perú</w:t>
      </w:r>
      <w:r w:rsidRPr="002832EC">
        <w:rPr>
          <w:rFonts w:cs="Arial"/>
          <w:lang w:val="es-ES"/>
        </w:rPr>
        <w:t xml:space="preserve"> ratificó la Convención Americana sobre Derechos Humanos el </w:t>
      </w:r>
      <w:r w:rsidR="00516A3B" w:rsidRPr="002832EC">
        <w:rPr>
          <w:rFonts w:cs="Arial"/>
          <w:lang w:val="es-ES"/>
        </w:rPr>
        <w:t>12 de julio de 1978</w:t>
      </w:r>
      <w:r w:rsidRPr="002832EC">
        <w:rPr>
          <w:rFonts w:cs="Arial"/>
          <w:lang w:val="es-ES"/>
        </w:rPr>
        <w:t xml:space="preserve"> y aceptó la competencia contenciosa de la Corte el </w:t>
      </w:r>
      <w:r w:rsidR="00516A3B" w:rsidRPr="002832EC">
        <w:rPr>
          <w:rFonts w:cs="Arial"/>
          <w:lang w:val="es-ES"/>
        </w:rPr>
        <w:t>21 de enero de 1981</w:t>
      </w:r>
      <w:r w:rsidRPr="002832EC">
        <w:rPr>
          <w:rFonts w:cs="Arial"/>
          <w:lang w:val="es-ES"/>
        </w:rPr>
        <w:t>.</w:t>
      </w:r>
    </w:p>
    <w:p w14:paraId="4F0B7FA4" w14:textId="77777777" w:rsidR="00387D83" w:rsidRPr="002832EC" w:rsidRDefault="00387D83" w:rsidP="00040E55">
      <w:pPr>
        <w:tabs>
          <w:tab w:val="left" w:pos="720"/>
          <w:tab w:val="left" w:pos="1440"/>
        </w:tabs>
        <w:spacing w:after="0" w:line="240" w:lineRule="auto"/>
        <w:jc w:val="both"/>
        <w:rPr>
          <w:rFonts w:ascii="Cambria" w:hAnsi="Cambria" w:cs="Calibri"/>
          <w:sz w:val="20"/>
          <w:szCs w:val="20"/>
          <w:lang w:val="es-PE"/>
        </w:rPr>
      </w:pPr>
    </w:p>
    <w:p w14:paraId="072C9331" w14:textId="77777777" w:rsidR="00560F49" w:rsidRPr="002832EC" w:rsidRDefault="00560F49" w:rsidP="00040E55">
      <w:pPr>
        <w:spacing w:after="0" w:line="240" w:lineRule="auto"/>
        <w:ind w:firstLine="720"/>
        <w:jc w:val="both"/>
        <w:rPr>
          <w:rFonts w:ascii="Cambria" w:hAnsi="Cambria" w:cs="Calibri"/>
          <w:sz w:val="20"/>
          <w:szCs w:val="20"/>
          <w:lang w:val="es-ES"/>
        </w:rPr>
      </w:pPr>
      <w:r w:rsidRPr="002832EC">
        <w:rPr>
          <w:rFonts w:ascii="Cambria" w:hAnsi="Cambria" w:cs="Calibri"/>
          <w:sz w:val="20"/>
          <w:szCs w:val="20"/>
          <w:lang w:val="es-ES"/>
        </w:rPr>
        <w:t xml:space="preserve">La Comisión ha designado </w:t>
      </w:r>
      <w:r w:rsidR="00170E12" w:rsidRPr="002832EC">
        <w:rPr>
          <w:rFonts w:ascii="Cambria" w:hAnsi="Cambria" w:cs="Calibri"/>
          <w:sz w:val="20"/>
          <w:szCs w:val="20"/>
          <w:lang w:val="es-ES"/>
        </w:rPr>
        <w:t>a</w:t>
      </w:r>
      <w:r w:rsidR="00E7198B" w:rsidRPr="002832EC">
        <w:rPr>
          <w:rFonts w:ascii="Cambria" w:hAnsi="Cambria" w:cs="Calibri"/>
          <w:sz w:val="20"/>
          <w:szCs w:val="20"/>
          <w:lang w:val="es-ES"/>
        </w:rPr>
        <w:t>l</w:t>
      </w:r>
      <w:r w:rsidR="00A77918" w:rsidRPr="002832EC">
        <w:rPr>
          <w:rFonts w:ascii="Cambria" w:hAnsi="Cambria" w:cs="Calibri"/>
          <w:sz w:val="20"/>
          <w:szCs w:val="20"/>
          <w:lang w:val="es-ES"/>
        </w:rPr>
        <w:t xml:space="preserve"> Comisionad</w:t>
      </w:r>
      <w:r w:rsidR="00CD1091" w:rsidRPr="002832EC">
        <w:rPr>
          <w:rFonts w:ascii="Cambria" w:hAnsi="Cambria" w:cs="Calibri"/>
          <w:sz w:val="20"/>
          <w:szCs w:val="20"/>
          <w:lang w:val="es-ES"/>
        </w:rPr>
        <w:t>o</w:t>
      </w:r>
      <w:r w:rsidR="007940B2" w:rsidRPr="002832EC">
        <w:rPr>
          <w:rFonts w:ascii="Cambria" w:hAnsi="Cambria" w:cs="Calibri"/>
          <w:sz w:val="20"/>
          <w:szCs w:val="20"/>
          <w:lang w:val="es-ES"/>
        </w:rPr>
        <w:t xml:space="preserve"> </w:t>
      </w:r>
      <w:r w:rsidR="00CD1091" w:rsidRPr="002832EC">
        <w:rPr>
          <w:rFonts w:ascii="Cambria" w:hAnsi="Cambria" w:cs="Calibri"/>
          <w:sz w:val="20"/>
          <w:szCs w:val="20"/>
          <w:lang w:val="es-ES"/>
        </w:rPr>
        <w:t xml:space="preserve">Edgar Stuardo Ralón Orellana </w:t>
      </w:r>
      <w:r w:rsidRPr="002832EC">
        <w:rPr>
          <w:rFonts w:ascii="Cambria" w:hAnsi="Cambria" w:cs="Arial"/>
          <w:sz w:val="20"/>
          <w:szCs w:val="20"/>
          <w:lang w:val="es-ES"/>
        </w:rPr>
        <w:t xml:space="preserve">como su delegado. Asimismo, </w:t>
      </w:r>
      <w:r w:rsidR="000D4AE6" w:rsidRPr="002832EC">
        <w:rPr>
          <w:rFonts w:ascii="Cambria" w:hAnsi="Cambria" w:cs="Arial"/>
          <w:sz w:val="20"/>
          <w:szCs w:val="20"/>
          <w:lang w:val="es-ES"/>
        </w:rPr>
        <w:t>Marisol Blanchard</w:t>
      </w:r>
      <w:r w:rsidR="00AB1A5D" w:rsidRPr="002832EC">
        <w:rPr>
          <w:rFonts w:ascii="Cambria" w:hAnsi="Cambria" w:cs="Arial"/>
          <w:sz w:val="20"/>
          <w:szCs w:val="20"/>
          <w:lang w:val="es-ES"/>
        </w:rPr>
        <w:t xml:space="preserve"> Vera</w:t>
      </w:r>
      <w:r w:rsidR="000D4AE6" w:rsidRPr="002832EC">
        <w:rPr>
          <w:rFonts w:ascii="Cambria" w:hAnsi="Cambria" w:cs="Arial"/>
          <w:sz w:val="20"/>
          <w:szCs w:val="20"/>
          <w:lang w:val="es-ES"/>
        </w:rPr>
        <w:t xml:space="preserve">, </w:t>
      </w:r>
      <w:r w:rsidR="008F7250" w:rsidRPr="002832EC">
        <w:rPr>
          <w:rFonts w:ascii="Cambria" w:hAnsi="Cambria" w:cs="Arial"/>
          <w:sz w:val="20"/>
          <w:szCs w:val="20"/>
          <w:lang w:val="es-ES"/>
        </w:rPr>
        <w:t>Secretaria Ejecutiva</w:t>
      </w:r>
      <w:r w:rsidR="008F7250" w:rsidRPr="002832EC">
        <w:rPr>
          <w:rFonts w:ascii="Cambria" w:hAnsi="Cambria" w:cs="Calibri"/>
          <w:sz w:val="20"/>
          <w:szCs w:val="20"/>
          <w:lang w:val="es-ES"/>
        </w:rPr>
        <w:t xml:space="preserve"> Adjunta, </w:t>
      </w:r>
      <w:r w:rsidR="00362BCC" w:rsidRPr="002832EC">
        <w:rPr>
          <w:rFonts w:ascii="Cambria" w:hAnsi="Cambria" w:cs="Calibri"/>
          <w:sz w:val="20"/>
          <w:szCs w:val="20"/>
          <w:lang w:val="es-ES"/>
        </w:rPr>
        <w:t>Jorge Humberto Meza Flores</w:t>
      </w:r>
      <w:r w:rsidR="00B52C9C">
        <w:rPr>
          <w:rFonts w:ascii="Cambria" w:hAnsi="Cambria" w:cs="Calibri"/>
          <w:sz w:val="20"/>
          <w:szCs w:val="20"/>
          <w:lang w:val="es-ES"/>
        </w:rPr>
        <w:t xml:space="preserve"> y Daniela Saavedra Murillo</w:t>
      </w:r>
      <w:r w:rsidR="00362BCC" w:rsidRPr="002832EC">
        <w:rPr>
          <w:rFonts w:ascii="Cambria" w:hAnsi="Cambria" w:cs="Calibri"/>
          <w:sz w:val="20"/>
          <w:szCs w:val="20"/>
          <w:lang w:val="es-ES"/>
        </w:rPr>
        <w:t>, especialista</w:t>
      </w:r>
      <w:r w:rsidR="00B52C9C">
        <w:rPr>
          <w:rFonts w:ascii="Cambria" w:hAnsi="Cambria" w:cs="Calibri"/>
          <w:sz w:val="20"/>
          <w:szCs w:val="20"/>
          <w:lang w:val="es-ES"/>
        </w:rPr>
        <w:t>s</w:t>
      </w:r>
      <w:r w:rsidR="00362BCC" w:rsidRPr="002832EC">
        <w:rPr>
          <w:rFonts w:ascii="Cambria" w:hAnsi="Cambria" w:cs="Calibri"/>
          <w:sz w:val="20"/>
          <w:szCs w:val="20"/>
          <w:lang w:val="es-ES"/>
        </w:rPr>
        <w:t xml:space="preserve"> </w:t>
      </w:r>
      <w:r w:rsidRPr="002832EC">
        <w:rPr>
          <w:rFonts w:ascii="Cambria" w:hAnsi="Cambria" w:cs="Calibri"/>
          <w:sz w:val="20"/>
          <w:szCs w:val="20"/>
          <w:lang w:val="es-ES"/>
        </w:rPr>
        <w:t>de la Secretaría Ejecutiva de la CIDH, actuará</w:t>
      </w:r>
      <w:r w:rsidR="00170E12" w:rsidRPr="002832EC">
        <w:rPr>
          <w:rFonts w:ascii="Cambria" w:hAnsi="Cambria" w:cs="Calibri"/>
          <w:sz w:val="20"/>
          <w:szCs w:val="20"/>
          <w:lang w:val="es-ES"/>
        </w:rPr>
        <w:t xml:space="preserve">n </w:t>
      </w:r>
      <w:r w:rsidR="00A77918" w:rsidRPr="002832EC">
        <w:rPr>
          <w:rFonts w:ascii="Cambria" w:hAnsi="Cambria" w:cs="Calibri"/>
          <w:sz w:val="20"/>
          <w:szCs w:val="20"/>
          <w:lang w:val="es-ES"/>
        </w:rPr>
        <w:t>como asesora</w:t>
      </w:r>
      <w:r w:rsidR="00B52C9C">
        <w:rPr>
          <w:rFonts w:ascii="Cambria" w:hAnsi="Cambria" w:cs="Calibri"/>
          <w:sz w:val="20"/>
          <w:szCs w:val="20"/>
          <w:lang w:val="es-ES"/>
        </w:rPr>
        <w:t>s</w:t>
      </w:r>
      <w:r w:rsidR="00036FC7" w:rsidRPr="002832EC">
        <w:rPr>
          <w:rFonts w:ascii="Cambria" w:hAnsi="Cambria" w:cs="Calibri"/>
          <w:sz w:val="20"/>
          <w:szCs w:val="20"/>
          <w:lang w:val="es-ES"/>
        </w:rPr>
        <w:t xml:space="preserve"> </w:t>
      </w:r>
      <w:r w:rsidR="00362BCC" w:rsidRPr="002832EC">
        <w:rPr>
          <w:rFonts w:ascii="Cambria" w:hAnsi="Cambria" w:cs="Calibri"/>
          <w:sz w:val="20"/>
          <w:szCs w:val="20"/>
          <w:lang w:val="es-ES"/>
        </w:rPr>
        <w:t xml:space="preserve">y asesor </w:t>
      </w:r>
      <w:r w:rsidRPr="002832EC">
        <w:rPr>
          <w:rFonts w:ascii="Cambria" w:hAnsi="Cambria" w:cs="Calibri"/>
          <w:sz w:val="20"/>
          <w:szCs w:val="20"/>
          <w:lang w:val="es-ES"/>
        </w:rPr>
        <w:t>legal</w:t>
      </w:r>
      <w:r w:rsidR="00170E12" w:rsidRPr="002832EC">
        <w:rPr>
          <w:rFonts w:ascii="Cambria" w:hAnsi="Cambria" w:cs="Calibri"/>
          <w:sz w:val="20"/>
          <w:szCs w:val="20"/>
          <w:lang w:val="es-ES"/>
        </w:rPr>
        <w:t>es</w:t>
      </w:r>
      <w:r w:rsidRPr="002832EC">
        <w:rPr>
          <w:rFonts w:ascii="Cambria" w:hAnsi="Cambria" w:cs="Calibri"/>
          <w:sz w:val="20"/>
          <w:szCs w:val="20"/>
          <w:lang w:val="es-ES"/>
        </w:rPr>
        <w:t>.</w:t>
      </w:r>
      <w:r w:rsidR="00C872C8" w:rsidRPr="002832EC">
        <w:rPr>
          <w:rFonts w:ascii="Cambria" w:hAnsi="Cambria" w:cs="Calibri"/>
          <w:sz w:val="20"/>
          <w:szCs w:val="20"/>
          <w:lang w:val="es-ES"/>
        </w:rPr>
        <w:t xml:space="preserve"> </w:t>
      </w:r>
    </w:p>
    <w:p w14:paraId="541785C2" w14:textId="77777777" w:rsidR="00DF3621" w:rsidRPr="002832EC" w:rsidRDefault="00DF3621" w:rsidP="00040E55">
      <w:pPr>
        <w:spacing w:after="0" w:line="240" w:lineRule="auto"/>
        <w:jc w:val="both"/>
        <w:rPr>
          <w:rFonts w:ascii="Cambria" w:hAnsi="Cambria" w:cs="Calibri"/>
          <w:sz w:val="20"/>
          <w:szCs w:val="20"/>
          <w:lang w:val="es-ES"/>
        </w:rPr>
      </w:pPr>
    </w:p>
    <w:p w14:paraId="25733DD8" w14:textId="77777777" w:rsidR="008666F3" w:rsidRPr="002832EC" w:rsidRDefault="008666F3" w:rsidP="00040E55">
      <w:pPr>
        <w:spacing w:after="0" w:line="240" w:lineRule="auto"/>
        <w:ind w:firstLine="720"/>
        <w:jc w:val="both"/>
        <w:rPr>
          <w:rFonts w:ascii="Cambria" w:hAnsi="Cambria" w:cs="Calibri"/>
          <w:sz w:val="20"/>
          <w:szCs w:val="20"/>
          <w:lang w:val="es-ES"/>
        </w:rPr>
      </w:pPr>
      <w:r w:rsidRPr="002832EC">
        <w:rPr>
          <w:rFonts w:ascii="Cambria" w:hAnsi="Cambria" w:cs="Calibri"/>
          <w:sz w:val="20"/>
          <w:szCs w:val="20"/>
          <w:lang w:val="es-ES"/>
        </w:rPr>
        <w:t xml:space="preserve">De conformidad con el artículo 35 del Reglamento de la Corte Interamericana, la Comisión adjunta copia del Informe de </w:t>
      </w:r>
      <w:r w:rsidR="000D7F10" w:rsidRPr="000D7F10">
        <w:rPr>
          <w:rFonts w:ascii="Cambria" w:hAnsi="Cambria" w:cs="Calibri"/>
          <w:sz w:val="20"/>
          <w:szCs w:val="20"/>
          <w:lang w:val="es-ES"/>
        </w:rPr>
        <w:t>Admisibilidad y</w:t>
      </w:r>
      <w:r w:rsidR="000D7F10" w:rsidRPr="002832EC">
        <w:rPr>
          <w:rFonts w:ascii="Cambria" w:hAnsi="Cambria" w:cs="Calibri"/>
          <w:sz w:val="20"/>
          <w:szCs w:val="20"/>
          <w:lang w:val="es-ES"/>
        </w:rPr>
        <w:t xml:space="preserve"> </w:t>
      </w:r>
      <w:r w:rsidRPr="002832EC">
        <w:rPr>
          <w:rFonts w:ascii="Cambria" w:hAnsi="Cambria" w:cs="Calibri"/>
          <w:sz w:val="20"/>
          <w:szCs w:val="20"/>
          <w:lang w:val="es-ES"/>
        </w:rPr>
        <w:t xml:space="preserve">Fondo No. </w:t>
      </w:r>
      <w:r w:rsidR="008377D8">
        <w:rPr>
          <w:rFonts w:ascii="Cambria" w:hAnsi="Cambria" w:cs="Calibri"/>
          <w:sz w:val="20"/>
          <w:szCs w:val="20"/>
          <w:lang w:val="es-ES"/>
        </w:rPr>
        <w:t>302</w:t>
      </w:r>
      <w:r w:rsidRPr="002832EC">
        <w:rPr>
          <w:rFonts w:ascii="Cambria" w:hAnsi="Cambria" w:cs="Calibri"/>
          <w:sz w:val="20"/>
          <w:szCs w:val="20"/>
          <w:lang w:val="es-ES"/>
        </w:rPr>
        <w:t>/</w:t>
      </w:r>
      <w:r w:rsidR="003231F3">
        <w:rPr>
          <w:rFonts w:ascii="Cambria" w:hAnsi="Cambria" w:cs="Calibri"/>
          <w:sz w:val="20"/>
          <w:szCs w:val="20"/>
          <w:lang w:val="es-ES"/>
        </w:rPr>
        <w:t>20</w:t>
      </w:r>
      <w:r w:rsidRPr="002832EC">
        <w:rPr>
          <w:rFonts w:ascii="Cambria" w:hAnsi="Cambria" w:cs="Calibri"/>
          <w:sz w:val="20"/>
          <w:szCs w:val="20"/>
          <w:lang w:val="es-ES"/>
        </w:rPr>
        <w:t xml:space="preserve"> elaborado en observancia del artículo 50 de la Convención, así como copia de la totalidad del expediente ante la Comisión Interamericana (Apéndice I) y los anexos utilizados en la elaboración del informe </w:t>
      </w:r>
      <w:r w:rsidR="008377D8">
        <w:rPr>
          <w:rFonts w:ascii="Cambria" w:hAnsi="Cambria" w:cs="Calibri"/>
          <w:sz w:val="20"/>
          <w:szCs w:val="20"/>
          <w:lang w:val="es-ES"/>
        </w:rPr>
        <w:t>302</w:t>
      </w:r>
      <w:r w:rsidRPr="002832EC">
        <w:rPr>
          <w:rFonts w:ascii="Cambria" w:hAnsi="Cambria" w:cs="Calibri"/>
          <w:sz w:val="20"/>
          <w:szCs w:val="20"/>
          <w:lang w:val="es-ES"/>
        </w:rPr>
        <w:t>/</w:t>
      </w:r>
      <w:r w:rsidR="003231F3">
        <w:rPr>
          <w:rFonts w:ascii="Cambria" w:hAnsi="Cambria" w:cs="Calibri"/>
          <w:sz w:val="20"/>
          <w:szCs w:val="20"/>
          <w:lang w:val="es-ES"/>
        </w:rPr>
        <w:t>20</w:t>
      </w:r>
      <w:r w:rsidRPr="002832EC">
        <w:rPr>
          <w:rFonts w:ascii="Cambria" w:hAnsi="Cambria" w:cs="Calibri"/>
          <w:sz w:val="20"/>
          <w:szCs w:val="20"/>
          <w:lang w:val="es-ES"/>
        </w:rPr>
        <w:t xml:space="preserve"> (Anexos). </w:t>
      </w:r>
    </w:p>
    <w:p w14:paraId="51183D31" w14:textId="77777777" w:rsidR="008666F3" w:rsidRPr="002832EC" w:rsidRDefault="008666F3" w:rsidP="00040E55">
      <w:pPr>
        <w:tabs>
          <w:tab w:val="left" w:pos="810"/>
        </w:tabs>
        <w:spacing w:after="0" w:line="240" w:lineRule="auto"/>
        <w:ind w:firstLine="720"/>
        <w:jc w:val="both"/>
        <w:rPr>
          <w:rFonts w:ascii="Cambria" w:hAnsi="Cambria" w:cs="Calibri"/>
          <w:sz w:val="20"/>
          <w:szCs w:val="20"/>
          <w:lang w:val="es-ES"/>
        </w:rPr>
      </w:pPr>
    </w:p>
    <w:p w14:paraId="29F063B5" w14:textId="77777777" w:rsidR="000D7F10" w:rsidRDefault="00F353B3" w:rsidP="008A6ADF">
      <w:pPr>
        <w:pStyle w:val="Default"/>
        <w:ind w:firstLine="720"/>
        <w:jc w:val="both"/>
        <w:rPr>
          <w:rFonts w:ascii="Cambria" w:hAnsi="Cambria"/>
          <w:sz w:val="20"/>
          <w:szCs w:val="20"/>
          <w:lang w:val="es-AR"/>
        </w:rPr>
      </w:pPr>
      <w:r w:rsidRPr="002832EC">
        <w:rPr>
          <w:rFonts w:ascii="Cambria" w:hAnsi="Cambria" w:cs="Calibri"/>
          <w:sz w:val="20"/>
          <w:szCs w:val="20"/>
          <w:lang w:val="es-ES"/>
        </w:rPr>
        <w:t xml:space="preserve">Dicho Informe de </w:t>
      </w:r>
      <w:r w:rsidR="000D7F10" w:rsidRPr="000D7F10">
        <w:rPr>
          <w:rFonts w:ascii="Cambria" w:hAnsi="Cambria" w:cs="Calibri"/>
          <w:sz w:val="20"/>
          <w:szCs w:val="20"/>
          <w:lang w:val="es-ES"/>
        </w:rPr>
        <w:t xml:space="preserve">Admisibilidad </w:t>
      </w:r>
      <w:r w:rsidR="002512E2">
        <w:rPr>
          <w:rFonts w:ascii="Cambria" w:hAnsi="Cambria" w:cs="Calibri"/>
          <w:sz w:val="20"/>
          <w:szCs w:val="20"/>
          <w:lang w:val="es-ES"/>
        </w:rPr>
        <w:t xml:space="preserve">y </w:t>
      </w:r>
      <w:r w:rsidRPr="002832EC">
        <w:rPr>
          <w:rFonts w:ascii="Cambria" w:hAnsi="Cambria" w:cs="Calibri"/>
          <w:sz w:val="20"/>
          <w:szCs w:val="20"/>
          <w:lang w:val="es-ES"/>
        </w:rPr>
        <w:t>F</w:t>
      </w:r>
      <w:r w:rsidR="0042403B" w:rsidRPr="002832EC">
        <w:rPr>
          <w:rFonts w:ascii="Cambria" w:hAnsi="Cambria" w:cs="Calibri"/>
          <w:sz w:val="20"/>
          <w:szCs w:val="20"/>
          <w:lang w:val="es-ES"/>
        </w:rPr>
        <w:t xml:space="preserve">ondo fue notificado al Estado </w:t>
      </w:r>
      <w:r w:rsidR="00DF3621" w:rsidRPr="002832EC">
        <w:rPr>
          <w:rFonts w:ascii="Cambria" w:hAnsi="Cambria" w:cs="Calibri"/>
          <w:sz w:val="20"/>
          <w:szCs w:val="20"/>
          <w:lang w:val="es-ES"/>
        </w:rPr>
        <w:t>el</w:t>
      </w:r>
      <w:r w:rsidR="00036FC7" w:rsidRPr="002832EC">
        <w:rPr>
          <w:rFonts w:ascii="Cambria" w:hAnsi="Cambria" w:cs="Calibri"/>
          <w:sz w:val="20"/>
          <w:szCs w:val="20"/>
          <w:lang w:val="es-ES"/>
        </w:rPr>
        <w:t xml:space="preserve"> </w:t>
      </w:r>
      <w:r w:rsidR="000D7F10">
        <w:rPr>
          <w:rFonts w:ascii="Cambria" w:hAnsi="Cambria" w:cs="Calibri"/>
          <w:sz w:val="20"/>
          <w:szCs w:val="20"/>
          <w:lang w:val="es-ES"/>
        </w:rPr>
        <w:t>23 de noviembre</w:t>
      </w:r>
      <w:r w:rsidR="003231F3">
        <w:rPr>
          <w:rFonts w:ascii="Cambria" w:hAnsi="Cambria" w:cs="Calibri"/>
          <w:sz w:val="20"/>
          <w:szCs w:val="20"/>
          <w:lang w:val="es-ES"/>
        </w:rPr>
        <w:t xml:space="preserve"> de 2020</w:t>
      </w:r>
      <w:r w:rsidR="0042403B" w:rsidRPr="002832EC">
        <w:rPr>
          <w:rFonts w:ascii="Cambria" w:hAnsi="Cambria" w:cs="Calibri"/>
          <w:sz w:val="20"/>
          <w:szCs w:val="20"/>
          <w:lang w:val="es-ES"/>
        </w:rPr>
        <w:t xml:space="preserve">, otorgándole un plazo de dos meses para informar sobre el </w:t>
      </w:r>
      <w:r w:rsidR="0042403B" w:rsidRPr="00E54B58">
        <w:rPr>
          <w:rFonts w:ascii="Cambria" w:hAnsi="Cambria" w:cs="Calibri"/>
          <w:sz w:val="20"/>
          <w:szCs w:val="20"/>
          <w:lang w:val="es-ES"/>
        </w:rPr>
        <w:t xml:space="preserve">cumplimiento de las recomendaciones. </w:t>
      </w:r>
      <w:r w:rsidR="00E21E08" w:rsidRPr="00E54B58">
        <w:rPr>
          <w:rFonts w:ascii="Cambria" w:hAnsi="Cambria"/>
          <w:sz w:val="20"/>
          <w:szCs w:val="20"/>
          <w:lang w:val="es-AR"/>
        </w:rPr>
        <w:t xml:space="preserve">Tras el otorgamiento por parte de la CIDH de </w:t>
      </w:r>
      <w:r w:rsidR="000D7F10">
        <w:rPr>
          <w:rFonts w:ascii="Cambria" w:hAnsi="Cambria"/>
          <w:sz w:val="20"/>
          <w:szCs w:val="20"/>
          <w:lang w:val="es-AR"/>
        </w:rPr>
        <w:t>una</w:t>
      </w:r>
      <w:r w:rsidR="00E21E08" w:rsidRPr="00E54B58">
        <w:rPr>
          <w:rFonts w:ascii="Cambria" w:hAnsi="Cambria"/>
          <w:sz w:val="20"/>
          <w:szCs w:val="20"/>
          <w:lang w:val="es-AR"/>
        </w:rPr>
        <w:t xml:space="preserve"> prórroga, el </w:t>
      </w:r>
      <w:r w:rsidR="000D7F10">
        <w:rPr>
          <w:rFonts w:ascii="Cambria" w:hAnsi="Cambria"/>
          <w:sz w:val="20"/>
          <w:szCs w:val="20"/>
          <w:lang w:val="es-AR"/>
        </w:rPr>
        <w:t>8 de mayo</w:t>
      </w:r>
      <w:r w:rsidR="003231F3" w:rsidRPr="00E54B58">
        <w:rPr>
          <w:rFonts w:ascii="Cambria" w:hAnsi="Cambria"/>
          <w:sz w:val="20"/>
          <w:szCs w:val="20"/>
          <w:lang w:val="es-AR"/>
        </w:rPr>
        <w:t xml:space="preserve"> de 2021</w:t>
      </w:r>
      <w:r w:rsidR="00E21E08" w:rsidRPr="00E54B58">
        <w:rPr>
          <w:rFonts w:ascii="Cambria" w:hAnsi="Cambria"/>
          <w:sz w:val="20"/>
          <w:szCs w:val="20"/>
          <w:lang w:val="es-AR"/>
        </w:rPr>
        <w:t xml:space="preserve"> el Estado </w:t>
      </w:r>
      <w:r w:rsidR="000D7F10">
        <w:rPr>
          <w:rFonts w:ascii="Cambria" w:hAnsi="Cambria"/>
          <w:sz w:val="20"/>
          <w:szCs w:val="20"/>
          <w:lang w:val="es-AR"/>
        </w:rPr>
        <w:t xml:space="preserve">solicitó una segunda prórroga. </w:t>
      </w:r>
      <w:r w:rsidR="00931C3F">
        <w:rPr>
          <w:rFonts w:ascii="Cambria" w:hAnsi="Cambria" w:cs="Calibri"/>
          <w:sz w:val="20"/>
          <w:szCs w:val="20"/>
          <w:lang w:val="es-AR"/>
        </w:rPr>
        <w:t xml:space="preserve">Al momento de evaluar dicha solicitud, la Comisión consideró que el Estado no ha demostrado avances sustantivos en el cumplimiento de las recomendaciones. En virtud de ello, y teniendo en cuenta la </w:t>
      </w:r>
      <w:r w:rsidR="002512E2">
        <w:rPr>
          <w:rFonts w:ascii="Cambria" w:hAnsi="Cambria" w:cs="Calibri"/>
          <w:sz w:val="20"/>
          <w:szCs w:val="20"/>
          <w:lang w:val="es-AR"/>
        </w:rPr>
        <w:t xml:space="preserve">posición expresada por la parte </w:t>
      </w:r>
      <w:r w:rsidR="00387767">
        <w:rPr>
          <w:rFonts w:ascii="Cambria" w:hAnsi="Cambria" w:cs="Calibri"/>
          <w:sz w:val="20"/>
          <w:szCs w:val="20"/>
          <w:lang w:val="es-AR"/>
        </w:rPr>
        <w:t>peticionaria,</w:t>
      </w:r>
      <w:r w:rsidR="002512E2">
        <w:rPr>
          <w:rFonts w:ascii="Cambria" w:hAnsi="Cambria" w:cs="Calibri"/>
          <w:sz w:val="20"/>
          <w:szCs w:val="20"/>
          <w:lang w:val="es-AR"/>
        </w:rPr>
        <w:t xml:space="preserve"> así como la </w:t>
      </w:r>
      <w:r w:rsidR="00931C3F">
        <w:rPr>
          <w:rFonts w:ascii="Cambria" w:hAnsi="Cambria" w:cs="Calibri"/>
          <w:sz w:val="20"/>
          <w:szCs w:val="20"/>
          <w:lang w:val="es-AR"/>
        </w:rPr>
        <w:t xml:space="preserve">necesidad de justicia y reparación para la víctima, </w:t>
      </w:r>
      <w:r w:rsidR="002512E2">
        <w:rPr>
          <w:rFonts w:ascii="Cambria" w:hAnsi="Cambria" w:cs="Calibri"/>
          <w:sz w:val="20"/>
          <w:szCs w:val="20"/>
          <w:lang w:val="es-AR"/>
        </w:rPr>
        <w:t xml:space="preserve">la Comisión </w:t>
      </w:r>
      <w:r w:rsidR="00931C3F">
        <w:rPr>
          <w:rFonts w:ascii="Cambria" w:hAnsi="Cambria" w:cs="Calibri"/>
          <w:sz w:val="20"/>
          <w:szCs w:val="20"/>
          <w:lang w:val="es-AR"/>
        </w:rPr>
        <w:t>decidió enviar el caso a la jurisdicción de la Corte Interamericana.</w:t>
      </w:r>
    </w:p>
    <w:p w14:paraId="062DE79B" w14:textId="77777777" w:rsidR="008A6ADF" w:rsidRDefault="008A6ADF" w:rsidP="008A6ADF">
      <w:pPr>
        <w:pStyle w:val="Default"/>
        <w:ind w:firstLine="720"/>
        <w:jc w:val="both"/>
        <w:rPr>
          <w:rFonts w:ascii="Cambria" w:hAnsi="Cambria" w:cs="Cambria"/>
          <w:sz w:val="20"/>
          <w:szCs w:val="20"/>
          <w:lang w:val="es-ES"/>
        </w:rPr>
      </w:pPr>
    </w:p>
    <w:p w14:paraId="2A1AD869" w14:textId="77777777" w:rsidR="00931C3F" w:rsidRPr="00176B31" w:rsidRDefault="00143EB4" w:rsidP="00931C3F">
      <w:pPr>
        <w:pStyle w:val="parrafos"/>
        <w:ind w:firstLine="720"/>
        <w:rPr>
          <w:lang w:eastAsia="es-ES"/>
        </w:rPr>
      </w:pPr>
      <w:r w:rsidRPr="008A6ADF">
        <w:rPr>
          <w:rFonts w:cs="Cambria"/>
          <w:lang w:val="es-ES"/>
        </w:rPr>
        <w:t xml:space="preserve">En ese sentido, la Comisión solicita a la </w:t>
      </w:r>
      <w:r w:rsidR="00707281" w:rsidRPr="008A6ADF">
        <w:rPr>
          <w:rFonts w:cs="Cambria"/>
          <w:lang w:val="es-ES"/>
        </w:rPr>
        <w:t xml:space="preserve">Honorable </w:t>
      </w:r>
      <w:r w:rsidRPr="008A6ADF">
        <w:rPr>
          <w:rFonts w:cs="Cambria"/>
          <w:lang w:val="es-ES"/>
        </w:rPr>
        <w:t xml:space="preserve">Corte que concluya y declare que el Estado de </w:t>
      </w:r>
      <w:r w:rsidR="003667FF" w:rsidRPr="008A6ADF">
        <w:rPr>
          <w:rFonts w:cs="Cambria"/>
          <w:lang w:val="es-ES"/>
        </w:rPr>
        <w:t>Perú</w:t>
      </w:r>
      <w:r w:rsidRPr="008A6ADF">
        <w:rPr>
          <w:rFonts w:cs="Cambria"/>
          <w:lang w:val="es-ES"/>
        </w:rPr>
        <w:t xml:space="preserve"> </w:t>
      </w:r>
      <w:r w:rsidR="00D902D7" w:rsidRPr="008A6ADF">
        <w:rPr>
          <w:rFonts w:cs="Cambria"/>
          <w:lang w:val="es-ES"/>
        </w:rPr>
        <w:t xml:space="preserve">es responsable por la </w:t>
      </w:r>
      <w:r w:rsidR="00780FAD" w:rsidRPr="008A6ADF">
        <w:rPr>
          <w:rFonts w:cs="Cambria"/>
          <w:lang w:val="es-ES"/>
        </w:rPr>
        <w:t xml:space="preserve">violación de los </w:t>
      </w:r>
      <w:r w:rsidR="00931C3F" w:rsidRPr="002F3A95">
        <w:rPr>
          <w:lang w:eastAsia="es-ES"/>
        </w:rPr>
        <w:t>derecho</w:t>
      </w:r>
      <w:r w:rsidR="00931C3F">
        <w:rPr>
          <w:lang w:eastAsia="es-ES"/>
        </w:rPr>
        <w:t>s</w:t>
      </w:r>
      <w:r w:rsidR="00931C3F" w:rsidRPr="002F3A95">
        <w:rPr>
          <w:lang w:eastAsia="es-ES"/>
        </w:rPr>
        <w:t xml:space="preserve"> establecido</w:t>
      </w:r>
      <w:r w:rsidR="00931C3F">
        <w:rPr>
          <w:lang w:eastAsia="es-ES"/>
        </w:rPr>
        <w:t>s</w:t>
      </w:r>
      <w:r w:rsidR="00931C3F" w:rsidRPr="002F3A95">
        <w:rPr>
          <w:lang w:eastAsia="es-ES"/>
        </w:rPr>
        <w:t xml:space="preserve"> en l</w:t>
      </w:r>
      <w:r w:rsidR="00931C3F">
        <w:rPr>
          <w:lang w:eastAsia="es-ES"/>
        </w:rPr>
        <w:t>os</w:t>
      </w:r>
      <w:r w:rsidR="00931C3F" w:rsidRPr="002F3A95">
        <w:rPr>
          <w:lang w:eastAsia="es-ES"/>
        </w:rPr>
        <w:t xml:space="preserve"> artículo</w:t>
      </w:r>
      <w:r w:rsidR="00931C3F">
        <w:rPr>
          <w:lang w:eastAsia="es-ES"/>
        </w:rPr>
        <w:t>s</w:t>
      </w:r>
      <w:r w:rsidR="00931C3F" w:rsidRPr="002F3A95">
        <w:rPr>
          <w:lang w:eastAsia="es-ES"/>
        </w:rPr>
        <w:t xml:space="preserve"> </w:t>
      </w:r>
      <w:r w:rsidR="00931C3F">
        <w:rPr>
          <w:lang w:eastAsia="es-ES"/>
        </w:rPr>
        <w:t xml:space="preserve">8.1 y </w:t>
      </w:r>
      <w:r w:rsidR="00931C3F" w:rsidRPr="002F3A95">
        <w:rPr>
          <w:lang w:eastAsia="es-ES"/>
        </w:rPr>
        <w:t>25.2 c) de la Convención Americana</w:t>
      </w:r>
      <w:r w:rsidR="00931C3F">
        <w:rPr>
          <w:lang w:eastAsia="es-ES"/>
        </w:rPr>
        <w:t>,</w:t>
      </w:r>
      <w:r w:rsidR="00931C3F" w:rsidRPr="002F3A95">
        <w:rPr>
          <w:lang w:eastAsia="es-ES"/>
        </w:rPr>
        <w:t xml:space="preserve"> en relación con las obligaciones establecidas en el artículo 1.1 del mismo instrumento en perjuicio de</w:t>
      </w:r>
      <w:r w:rsidR="00931C3F">
        <w:rPr>
          <w:lang w:eastAsia="es-ES"/>
        </w:rPr>
        <w:t xml:space="preserve"> </w:t>
      </w:r>
      <w:r w:rsidR="00931C3F" w:rsidRPr="00BE48EC">
        <w:rPr>
          <w:rFonts w:eastAsia="Times New Roman"/>
          <w:lang w:val="es-ES"/>
        </w:rPr>
        <w:t>Gin</w:t>
      </w:r>
      <w:r w:rsidR="00931C3F" w:rsidRPr="00176B31">
        <w:rPr>
          <w:rFonts w:eastAsia="Times New Roman"/>
          <w:lang w:val="es-ES"/>
        </w:rPr>
        <w:t xml:space="preserve">o Ernesto </w:t>
      </w:r>
      <w:r w:rsidR="00931C3F" w:rsidRPr="00176B31">
        <w:rPr>
          <w:lang w:eastAsia="es-ES"/>
        </w:rPr>
        <w:t xml:space="preserve">Yangali Iparraguirre. </w:t>
      </w:r>
    </w:p>
    <w:p w14:paraId="62ED0956" w14:textId="77777777" w:rsidR="00BD3AB3" w:rsidRPr="00176B31" w:rsidRDefault="00BD3AB3" w:rsidP="00931C3F">
      <w:pPr>
        <w:pStyle w:val="Default"/>
        <w:ind w:firstLine="720"/>
        <w:jc w:val="both"/>
        <w:rPr>
          <w:rFonts w:ascii="Cambria" w:hAnsi="Cambria"/>
          <w:sz w:val="20"/>
          <w:szCs w:val="20"/>
          <w:lang w:val="es-VE"/>
        </w:rPr>
      </w:pPr>
    </w:p>
    <w:p w14:paraId="3A8C163D" w14:textId="77777777" w:rsidR="00176B31" w:rsidRDefault="00162CE1" w:rsidP="00176B31">
      <w:pPr>
        <w:tabs>
          <w:tab w:val="left" w:pos="810"/>
          <w:tab w:val="left" w:pos="1080"/>
        </w:tabs>
        <w:autoSpaceDE w:val="0"/>
        <w:autoSpaceDN w:val="0"/>
        <w:adjustRightInd w:val="0"/>
        <w:spacing w:after="0" w:line="240" w:lineRule="auto"/>
        <w:ind w:firstLine="720"/>
        <w:jc w:val="both"/>
        <w:rPr>
          <w:rFonts w:ascii="Cambria" w:hAnsi="Cambria"/>
          <w:sz w:val="20"/>
          <w:szCs w:val="20"/>
          <w:lang w:val="es-CO"/>
        </w:rPr>
      </w:pPr>
      <w:r w:rsidRPr="00176B31">
        <w:rPr>
          <w:rFonts w:ascii="Cambria" w:hAnsi="Cambria" w:cs="Calibri"/>
          <w:sz w:val="20"/>
          <w:szCs w:val="20"/>
          <w:lang w:val="es-ES"/>
        </w:rPr>
        <w:t xml:space="preserve">En consecuencia, la Comisión solicita a la Corte Interamericana que </w:t>
      </w:r>
      <w:r w:rsidR="00670828" w:rsidRPr="00176B31">
        <w:rPr>
          <w:rFonts w:ascii="Cambria" w:hAnsi="Cambria"/>
          <w:sz w:val="20"/>
          <w:szCs w:val="20"/>
          <w:lang w:val="es-CO"/>
        </w:rPr>
        <w:t>establezca la</w:t>
      </w:r>
      <w:r w:rsidR="00541254" w:rsidRPr="00176B31">
        <w:rPr>
          <w:rFonts w:ascii="Cambria" w:hAnsi="Cambria"/>
          <w:sz w:val="20"/>
          <w:szCs w:val="20"/>
          <w:lang w:val="es-CO"/>
        </w:rPr>
        <w:t>s</w:t>
      </w:r>
      <w:r w:rsidR="00670828" w:rsidRPr="00176B31">
        <w:rPr>
          <w:rFonts w:ascii="Cambria" w:hAnsi="Cambria"/>
          <w:sz w:val="20"/>
          <w:szCs w:val="20"/>
          <w:lang w:val="es-CO"/>
        </w:rPr>
        <w:t xml:space="preserve"> siguiente</w:t>
      </w:r>
      <w:r w:rsidR="00541254" w:rsidRPr="00176B31">
        <w:rPr>
          <w:rFonts w:ascii="Cambria" w:hAnsi="Cambria"/>
          <w:sz w:val="20"/>
          <w:szCs w:val="20"/>
          <w:lang w:val="es-CO"/>
        </w:rPr>
        <w:t>s</w:t>
      </w:r>
      <w:r w:rsidR="00670828" w:rsidRPr="00176B31">
        <w:rPr>
          <w:rFonts w:ascii="Cambria" w:hAnsi="Cambria"/>
          <w:sz w:val="20"/>
          <w:szCs w:val="20"/>
          <w:lang w:val="es-CO"/>
        </w:rPr>
        <w:t xml:space="preserve"> medida</w:t>
      </w:r>
      <w:r w:rsidR="00541254" w:rsidRPr="00176B31">
        <w:rPr>
          <w:rFonts w:ascii="Cambria" w:hAnsi="Cambria"/>
          <w:sz w:val="20"/>
          <w:szCs w:val="20"/>
          <w:lang w:val="es-CO"/>
        </w:rPr>
        <w:t>s</w:t>
      </w:r>
      <w:r w:rsidR="00670828" w:rsidRPr="00176B31">
        <w:rPr>
          <w:rFonts w:ascii="Cambria" w:hAnsi="Cambria"/>
          <w:sz w:val="20"/>
          <w:szCs w:val="20"/>
          <w:lang w:val="es-CO"/>
        </w:rPr>
        <w:t xml:space="preserve"> de reparación:</w:t>
      </w:r>
      <w:bookmarkStart w:id="2" w:name="_Toc54190587"/>
      <w:bookmarkStart w:id="3" w:name="_Toc54203682"/>
      <w:bookmarkStart w:id="4" w:name="_Toc54203957"/>
    </w:p>
    <w:p w14:paraId="2B3DEE84" w14:textId="77777777" w:rsidR="00176B31" w:rsidRDefault="00176B31" w:rsidP="00176B31">
      <w:pPr>
        <w:tabs>
          <w:tab w:val="left" w:pos="810"/>
          <w:tab w:val="left" w:pos="1080"/>
        </w:tabs>
        <w:autoSpaceDE w:val="0"/>
        <w:autoSpaceDN w:val="0"/>
        <w:adjustRightInd w:val="0"/>
        <w:spacing w:after="0" w:line="240" w:lineRule="auto"/>
        <w:ind w:firstLine="720"/>
        <w:jc w:val="both"/>
        <w:rPr>
          <w:rFonts w:ascii="Cambria" w:hAnsi="Cambria"/>
          <w:sz w:val="20"/>
          <w:szCs w:val="20"/>
          <w:lang w:val="es-CO"/>
        </w:rPr>
      </w:pPr>
    </w:p>
    <w:p w14:paraId="01F3F4F4" w14:textId="77777777" w:rsidR="00176B31" w:rsidRPr="00176B31" w:rsidRDefault="00176B31" w:rsidP="00176B31">
      <w:pPr>
        <w:numPr>
          <w:ilvl w:val="0"/>
          <w:numId w:val="14"/>
        </w:numPr>
        <w:tabs>
          <w:tab w:val="left" w:pos="810"/>
          <w:tab w:val="left" w:pos="1080"/>
        </w:tabs>
        <w:autoSpaceDE w:val="0"/>
        <w:autoSpaceDN w:val="0"/>
        <w:adjustRightInd w:val="0"/>
        <w:spacing w:after="0" w:line="240" w:lineRule="auto"/>
        <w:ind w:right="720"/>
        <w:jc w:val="both"/>
        <w:rPr>
          <w:rFonts w:ascii="Cambria" w:hAnsi="Cambria" w:cs="Calibri"/>
          <w:sz w:val="20"/>
          <w:szCs w:val="20"/>
          <w:lang w:val="es-ES"/>
        </w:rPr>
      </w:pPr>
      <w:r w:rsidRPr="00176B31">
        <w:rPr>
          <w:rFonts w:ascii="Cambria" w:hAnsi="Cambria"/>
          <w:sz w:val="20"/>
          <w:szCs w:val="20"/>
          <w:lang w:val="es-ES"/>
        </w:rPr>
        <w:t>Adoptar las medidas necesarias para el cumplimiento de la decisión emitida el 12 de mayo de 2014 por parte del Poder Judicial y la Presidencia del Consejo de Ministros.</w:t>
      </w:r>
      <w:bookmarkEnd w:id="2"/>
      <w:bookmarkEnd w:id="3"/>
      <w:bookmarkEnd w:id="4"/>
      <w:r w:rsidRPr="00176B31">
        <w:rPr>
          <w:rFonts w:ascii="Cambria" w:hAnsi="Cambria"/>
          <w:sz w:val="20"/>
          <w:szCs w:val="20"/>
          <w:lang w:val="es-ES"/>
        </w:rPr>
        <w:t xml:space="preserve"> </w:t>
      </w:r>
      <w:bookmarkStart w:id="5" w:name="_Toc54190588"/>
      <w:bookmarkStart w:id="6" w:name="_Toc54203683"/>
      <w:bookmarkStart w:id="7" w:name="_Toc54203958"/>
    </w:p>
    <w:p w14:paraId="0708F48F" w14:textId="77777777" w:rsidR="00176B31" w:rsidRPr="00176B31" w:rsidRDefault="00176B31" w:rsidP="00176B31">
      <w:pPr>
        <w:tabs>
          <w:tab w:val="left" w:pos="810"/>
          <w:tab w:val="left" w:pos="1080"/>
        </w:tabs>
        <w:autoSpaceDE w:val="0"/>
        <w:autoSpaceDN w:val="0"/>
        <w:adjustRightInd w:val="0"/>
        <w:spacing w:after="0" w:line="240" w:lineRule="auto"/>
        <w:ind w:left="1080" w:right="720"/>
        <w:jc w:val="both"/>
        <w:rPr>
          <w:rFonts w:ascii="Cambria" w:hAnsi="Cambria" w:cs="Calibri"/>
          <w:sz w:val="20"/>
          <w:szCs w:val="20"/>
          <w:lang w:val="es-ES"/>
        </w:rPr>
      </w:pPr>
    </w:p>
    <w:p w14:paraId="7D9AC31A" w14:textId="77777777" w:rsidR="00176B31" w:rsidRPr="00176B31" w:rsidRDefault="00176B31" w:rsidP="00176B31">
      <w:pPr>
        <w:numPr>
          <w:ilvl w:val="0"/>
          <w:numId w:val="14"/>
        </w:numPr>
        <w:tabs>
          <w:tab w:val="left" w:pos="810"/>
          <w:tab w:val="left" w:pos="1080"/>
        </w:tabs>
        <w:autoSpaceDE w:val="0"/>
        <w:autoSpaceDN w:val="0"/>
        <w:adjustRightInd w:val="0"/>
        <w:spacing w:after="0" w:line="240" w:lineRule="auto"/>
        <w:ind w:right="720"/>
        <w:jc w:val="both"/>
        <w:rPr>
          <w:rFonts w:ascii="Cambria" w:hAnsi="Cambria" w:cs="Calibri"/>
          <w:sz w:val="20"/>
          <w:szCs w:val="20"/>
          <w:lang w:val="es-ES"/>
        </w:rPr>
      </w:pPr>
      <w:r w:rsidRPr="00176B31">
        <w:rPr>
          <w:rFonts w:ascii="Cambria" w:hAnsi="Cambria"/>
          <w:sz w:val="20"/>
          <w:szCs w:val="20"/>
          <w:lang w:val="es-ES"/>
        </w:rPr>
        <w:t>Adoptar el pago de una indemnización a la víctima por la violación declarada en el informe, específicamente, la omisión de adoptar medidas adecuadas para garantizar la ejecución de un fallo judicial.</w:t>
      </w:r>
      <w:bookmarkEnd w:id="5"/>
      <w:bookmarkEnd w:id="6"/>
      <w:bookmarkEnd w:id="7"/>
    </w:p>
    <w:p w14:paraId="353BB346" w14:textId="77777777" w:rsidR="00541254" w:rsidRPr="00176B31" w:rsidRDefault="00541254" w:rsidP="00541254">
      <w:pPr>
        <w:tabs>
          <w:tab w:val="left" w:pos="1080"/>
        </w:tabs>
        <w:spacing w:after="0" w:line="240" w:lineRule="auto"/>
        <w:ind w:left="720" w:right="720"/>
        <w:jc w:val="both"/>
        <w:rPr>
          <w:rFonts w:ascii="Cambria" w:hAnsi="Cambria" w:cs="Calibri"/>
          <w:sz w:val="20"/>
          <w:szCs w:val="20"/>
          <w:lang w:val="es-ES"/>
        </w:rPr>
      </w:pPr>
    </w:p>
    <w:p w14:paraId="4E595248" w14:textId="77777777" w:rsidR="00193898" w:rsidRDefault="00E16ED1" w:rsidP="005C4496">
      <w:pPr>
        <w:autoSpaceDE w:val="0"/>
        <w:autoSpaceDN w:val="0"/>
        <w:adjustRightInd w:val="0"/>
        <w:spacing w:after="0" w:line="240" w:lineRule="auto"/>
        <w:jc w:val="both"/>
        <w:rPr>
          <w:rFonts w:ascii="Cambria" w:hAnsi="Cambria" w:cs="Calibri"/>
          <w:sz w:val="20"/>
          <w:szCs w:val="20"/>
          <w:lang w:val="es-ES"/>
        </w:rPr>
      </w:pPr>
      <w:r w:rsidRPr="002832EC">
        <w:rPr>
          <w:rFonts w:ascii="Cambria" w:hAnsi="Cambria" w:cs="Calibri"/>
          <w:sz w:val="20"/>
          <w:szCs w:val="20"/>
          <w:lang w:val="es-ES"/>
        </w:rPr>
        <w:tab/>
      </w:r>
      <w:r w:rsidR="00162CE1" w:rsidRPr="002832EC">
        <w:rPr>
          <w:rFonts w:ascii="Cambria" w:hAnsi="Cambria" w:cs="Calibri"/>
          <w:sz w:val="20"/>
          <w:szCs w:val="20"/>
          <w:lang w:val="es-ES"/>
        </w:rPr>
        <w:t>Además</w:t>
      </w:r>
      <w:r w:rsidR="00162CE1" w:rsidRPr="002821F5">
        <w:rPr>
          <w:rFonts w:ascii="Cambria" w:hAnsi="Cambria" w:cs="Calibri"/>
          <w:sz w:val="20"/>
          <w:szCs w:val="20"/>
          <w:lang w:val="es-ES"/>
        </w:rPr>
        <w:t xml:space="preserve"> de la necesidad de obtención de justicia</w:t>
      </w:r>
      <w:r w:rsidR="00377262" w:rsidRPr="002821F5">
        <w:rPr>
          <w:rFonts w:ascii="Cambria" w:hAnsi="Cambria" w:cs="Calibri"/>
          <w:sz w:val="20"/>
          <w:szCs w:val="20"/>
          <w:lang w:val="es-ES"/>
        </w:rPr>
        <w:t xml:space="preserve"> y reparación</w:t>
      </w:r>
      <w:r w:rsidR="00162CE1" w:rsidRPr="002821F5">
        <w:rPr>
          <w:rFonts w:ascii="Cambria" w:hAnsi="Cambria" w:cs="Calibri"/>
          <w:sz w:val="20"/>
          <w:szCs w:val="20"/>
          <w:lang w:val="es-ES"/>
        </w:rPr>
        <w:t xml:space="preserve"> por la falta de cumplimie</w:t>
      </w:r>
      <w:r w:rsidR="009A0E8E" w:rsidRPr="002821F5">
        <w:rPr>
          <w:rFonts w:ascii="Cambria" w:hAnsi="Cambria" w:cs="Calibri"/>
          <w:sz w:val="20"/>
          <w:szCs w:val="20"/>
          <w:lang w:val="es-ES"/>
        </w:rPr>
        <w:t>nto de la</w:t>
      </w:r>
      <w:r w:rsidR="003667FF" w:rsidRPr="002821F5">
        <w:rPr>
          <w:rFonts w:ascii="Cambria" w:hAnsi="Cambria" w:cs="Calibri"/>
          <w:sz w:val="20"/>
          <w:szCs w:val="20"/>
          <w:lang w:val="es-ES"/>
        </w:rPr>
        <w:t xml:space="preserve"> recomendación</w:t>
      </w:r>
      <w:r w:rsidR="009A0E8E" w:rsidRPr="002821F5">
        <w:rPr>
          <w:rFonts w:ascii="Cambria" w:hAnsi="Cambria" w:cs="Calibri"/>
          <w:sz w:val="20"/>
          <w:szCs w:val="20"/>
          <w:lang w:val="es-ES"/>
        </w:rPr>
        <w:t xml:space="preserve"> del Informe de </w:t>
      </w:r>
      <w:r w:rsidR="00176B31">
        <w:rPr>
          <w:rFonts w:ascii="Cambria" w:hAnsi="Cambria" w:cs="Calibri"/>
          <w:sz w:val="20"/>
          <w:szCs w:val="20"/>
          <w:lang w:val="es-ES"/>
        </w:rPr>
        <w:t xml:space="preserve">Admisibilidad y </w:t>
      </w:r>
      <w:r w:rsidR="009A0E8E" w:rsidRPr="002821F5">
        <w:rPr>
          <w:rFonts w:ascii="Cambria" w:hAnsi="Cambria" w:cs="Calibri"/>
          <w:sz w:val="20"/>
          <w:szCs w:val="20"/>
          <w:lang w:val="es-ES"/>
        </w:rPr>
        <w:t>F</w:t>
      </w:r>
      <w:r w:rsidR="00162CE1" w:rsidRPr="002821F5">
        <w:rPr>
          <w:rFonts w:ascii="Cambria" w:hAnsi="Cambria" w:cs="Calibri"/>
          <w:sz w:val="20"/>
          <w:szCs w:val="20"/>
          <w:lang w:val="es-ES"/>
        </w:rPr>
        <w:t>ondo, la Comisión considera que el caso presenta cuestiones de orden público interamericano.</w:t>
      </w:r>
      <w:r w:rsidR="00245F50" w:rsidRPr="002821F5">
        <w:rPr>
          <w:rFonts w:ascii="Cambria" w:hAnsi="Cambria" w:cs="Calibri"/>
          <w:sz w:val="20"/>
          <w:szCs w:val="20"/>
          <w:lang w:val="es-ES"/>
        </w:rPr>
        <w:t xml:space="preserve"> </w:t>
      </w:r>
      <w:r w:rsidR="00176B31">
        <w:rPr>
          <w:rFonts w:ascii="Cambria" w:hAnsi="Cambria" w:cs="Calibri"/>
          <w:sz w:val="20"/>
          <w:szCs w:val="20"/>
          <w:lang w:val="es-ES"/>
        </w:rPr>
        <w:t>E</w:t>
      </w:r>
      <w:r w:rsidR="00D04EF2" w:rsidRPr="002821F5">
        <w:rPr>
          <w:rFonts w:ascii="Cambria" w:hAnsi="Cambria" w:cs="Calibri"/>
          <w:sz w:val="20"/>
          <w:szCs w:val="20"/>
          <w:lang w:val="es-ES"/>
        </w:rPr>
        <w:t xml:space="preserve">l presente caso </w:t>
      </w:r>
      <w:r w:rsidR="00007B19" w:rsidRPr="002821F5">
        <w:rPr>
          <w:rFonts w:ascii="Cambria" w:hAnsi="Cambria" w:cs="Calibri"/>
          <w:sz w:val="20"/>
          <w:szCs w:val="20"/>
          <w:lang w:val="es-ES"/>
        </w:rPr>
        <w:t xml:space="preserve">permitirá a la Honorable Corte continuar desarrollando </w:t>
      </w:r>
      <w:r w:rsidR="00193898">
        <w:rPr>
          <w:rFonts w:ascii="Cambria" w:hAnsi="Cambria" w:cs="Calibri"/>
          <w:sz w:val="20"/>
          <w:szCs w:val="20"/>
          <w:lang w:val="es-ES"/>
        </w:rPr>
        <w:t xml:space="preserve">los </w:t>
      </w:r>
      <w:r w:rsidR="00193898">
        <w:rPr>
          <w:rFonts w:ascii="Cambria" w:hAnsi="Cambria" w:cs="Calibri"/>
          <w:sz w:val="20"/>
          <w:szCs w:val="20"/>
          <w:lang w:val="es-ES"/>
        </w:rPr>
        <w:lastRenderedPageBreak/>
        <w:t xml:space="preserve">estándares interamericanos concernientes al derecho a la protección judicial, en particular al componente relativo a las garantías para el </w:t>
      </w:r>
      <w:r w:rsidR="00193898" w:rsidRPr="0049084F">
        <w:rPr>
          <w:rFonts w:ascii="Cambria" w:hAnsi="Cambria" w:cs="Calibri"/>
          <w:sz w:val="20"/>
          <w:szCs w:val="20"/>
          <w:lang w:val="es-ES"/>
        </w:rPr>
        <w:t xml:space="preserve">cumplimiento de </w:t>
      </w:r>
      <w:r w:rsidR="0049084F" w:rsidRPr="0049084F">
        <w:rPr>
          <w:rFonts w:ascii="Cambria" w:hAnsi="Cambria" w:cs="Calibri"/>
          <w:sz w:val="20"/>
          <w:szCs w:val="20"/>
          <w:lang w:val="es-ES"/>
        </w:rPr>
        <w:t xml:space="preserve">las </w:t>
      </w:r>
      <w:r w:rsidR="00193898" w:rsidRPr="0049084F">
        <w:rPr>
          <w:rFonts w:ascii="Cambria" w:hAnsi="Cambria" w:cs="Calibri"/>
          <w:sz w:val="20"/>
          <w:szCs w:val="20"/>
          <w:lang w:val="es-ES"/>
        </w:rPr>
        <w:t>decisiones judiciales.</w:t>
      </w:r>
      <w:r w:rsidR="0049084F" w:rsidRPr="0049084F">
        <w:rPr>
          <w:rFonts w:ascii="Cambria" w:hAnsi="Cambria" w:cs="Calibri"/>
          <w:sz w:val="20"/>
          <w:szCs w:val="20"/>
          <w:lang w:val="es-ES"/>
        </w:rPr>
        <w:t xml:space="preserve"> El caso permitirá además continuar profundizando la jurisprudencia relativa al deber del Estado de actuar con particular celeridad en la ejecución de decisiones internas</w:t>
      </w:r>
      <w:r w:rsidR="0049084F">
        <w:rPr>
          <w:rFonts w:ascii="Cambria" w:hAnsi="Cambria" w:cs="Calibri"/>
          <w:sz w:val="20"/>
          <w:szCs w:val="20"/>
          <w:lang w:val="es-ES"/>
        </w:rPr>
        <w:t xml:space="preserve">, especialmente tratándose de </w:t>
      </w:r>
      <w:r w:rsidR="002F5C38">
        <w:rPr>
          <w:rFonts w:ascii="Cambria" w:hAnsi="Cambria" w:cs="Calibri"/>
          <w:sz w:val="20"/>
          <w:szCs w:val="20"/>
          <w:lang w:val="es-ES"/>
        </w:rPr>
        <w:t>decisiones vinculadas al pago de indemnizaciones por parte del Estado</w:t>
      </w:r>
      <w:r w:rsidR="00166EA6">
        <w:rPr>
          <w:rFonts w:ascii="Cambria" w:hAnsi="Cambria" w:cs="Calibri"/>
          <w:sz w:val="20"/>
          <w:szCs w:val="20"/>
          <w:lang w:val="es-ES"/>
        </w:rPr>
        <w:t xml:space="preserve"> </w:t>
      </w:r>
      <w:r w:rsidR="00166EA6" w:rsidRPr="00366E52">
        <w:rPr>
          <w:rFonts w:ascii="Cambria" w:hAnsi="Cambria" w:cs="Calibri"/>
          <w:sz w:val="20"/>
          <w:szCs w:val="20"/>
          <w:lang w:val="es-ES"/>
        </w:rPr>
        <w:t>relacionadas con reparaciones por la destitución de jueces y juezas de sus cargos</w:t>
      </w:r>
      <w:r w:rsidR="002F5C38" w:rsidRPr="00366E52">
        <w:rPr>
          <w:rFonts w:ascii="Cambria" w:hAnsi="Cambria" w:cs="Calibri"/>
          <w:sz w:val="20"/>
          <w:szCs w:val="20"/>
          <w:lang w:val="es-ES"/>
        </w:rPr>
        <w:t>.</w:t>
      </w:r>
    </w:p>
    <w:p w14:paraId="53B6636E" w14:textId="77777777" w:rsidR="00166EA6" w:rsidRPr="0049084F" w:rsidRDefault="00166EA6" w:rsidP="005C4496">
      <w:pPr>
        <w:autoSpaceDE w:val="0"/>
        <w:autoSpaceDN w:val="0"/>
        <w:adjustRightInd w:val="0"/>
        <w:spacing w:after="0" w:line="240" w:lineRule="auto"/>
        <w:jc w:val="both"/>
        <w:rPr>
          <w:rFonts w:ascii="Cambria" w:hAnsi="Cambria" w:cs="Calibri"/>
          <w:color w:val="000000"/>
          <w:sz w:val="20"/>
          <w:szCs w:val="20"/>
          <w:lang w:val="es-ES"/>
        </w:rPr>
      </w:pPr>
    </w:p>
    <w:p w14:paraId="1711538C" w14:textId="77777777" w:rsidR="008658DA" w:rsidRPr="002821F5" w:rsidRDefault="008658DA" w:rsidP="008658DA">
      <w:pPr>
        <w:tabs>
          <w:tab w:val="left" w:pos="720"/>
          <w:tab w:val="left" w:pos="2880"/>
        </w:tabs>
        <w:spacing w:after="0" w:line="240" w:lineRule="auto"/>
        <w:jc w:val="both"/>
        <w:rPr>
          <w:rFonts w:ascii="Cambria" w:hAnsi="Cambria"/>
          <w:spacing w:val="-2"/>
          <w:sz w:val="20"/>
          <w:szCs w:val="20"/>
          <w:lang w:val="es-CO"/>
        </w:rPr>
      </w:pPr>
      <w:r w:rsidRPr="002821F5">
        <w:rPr>
          <w:rFonts w:ascii="Cambria" w:hAnsi="Cambria"/>
          <w:spacing w:val="-2"/>
          <w:sz w:val="20"/>
          <w:szCs w:val="20"/>
          <w:lang w:val="es-CO"/>
        </w:rPr>
        <w:tab/>
        <w:t>En virtud de que estas cuestiones afectan de manera relevante el orden público interamericano, de conformidad con el artículo 35.1 f) del Reglamento de la Corte Interamericana, la Comisión se permite ofrecer la siguiente declaración pericial:</w:t>
      </w:r>
    </w:p>
    <w:p w14:paraId="0EBEDA82" w14:textId="77777777" w:rsidR="008658DA" w:rsidRPr="002821F5" w:rsidRDefault="008658DA" w:rsidP="008658DA">
      <w:pPr>
        <w:tabs>
          <w:tab w:val="left" w:pos="720"/>
          <w:tab w:val="left" w:pos="2880"/>
        </w:tabs>
        <w:spacing w:after="0" w:line="240" w:lineRule="auto"/>
        <w:jc w:val="both"/>
        <w:rPr>
          <w:rFonts w:ascii="Cambria" w:hAnsi="Cambria"/>
          <w:spacing w:val="-2"/>
          <w:sz w:val="20"/>
          <w:szCs w:val="20"/>
          <w:lang w:val="es-CO"/>
        </w:rPr>
      </w:pPr>
    </w:p>
    <w:p w14:paraId="4AD16CFD" w14:textId="77777777" w:rsidR="005150C9" w:rsidRPr="0049084F" w:rsidRDefault="008658DA" w:rsidP="005150C9">
      <w:pPr>
        <w:autoSpaceDE w:val="0"/>
        <w:autoSpaceDN w:val="0"/>
        <w:adjustRightInd w:val="0"/>
        <w:spacing w:after="0" w:line="240" w:lineRule="auto"/>
        <w:jc w:val="both"/>
        <w:rPr>
          <w:rFonts w:ascii="Cambria" w:hAnsi="Cambria" w:cs="Calibri"/>
          <w:color w:val="000000"/>
          <w:sz w:val="20"/>
          <w:szCs w:val="20"/>
          <w:lang w:val="es-ES"/>
        </w:rPr>
      </w:pPr>
      <w:r w:rsidRPr="002821F5">
        <w:rPr>
          <w:rFonts w:ascii="Cambria" w:hAnsi="Cambria"/>
          <w:spacing w:val="-2"/>
          <w:sz w:val="20"/>
          <w:szCs w:val="20"/>
          <w:lang w:val="es-CO"/>
        </w:rPr>
        <w:tab/>
      </w:r>
      <w:r w:rsidRPr="002821F5">
        <w:rPr>
          <w:rFonts w:ascii="Cambria" w:hAnsi="Cambria"/>
          <w:b/>
          <w:spacing w:val="-2"/>
          <w:sz w:val="20"/>
          <w:szCs w:val="20"/>
          <w:lang w:val="es-CO"/>
        </w:rPr>
        <w:t>Perito/a cuyo nombre será informado a la brevedad</w:t>
      </w:r>
      <w:r w:rsidRPr="002821F5">
        <w:rPr>
          <w:rFonts w:ascii="Cambria" w:hAnsi="Cambria"/>
          <w:spacing w:val="-2"/>
          <w:sz w:val="20"/>
          <w:szCs w:val="20"/>
          <w:lang w:val="es-CO"/>
        </w:rPr>
        <w:t>, quien declarará sobre las</w:t>
      </w:r>
      <w:r w:rsidR="005150C9">
        <w:rPr>
          <w:rFonts w:ascii="Cambria" w:hAnsi="Cambria"/>
          <w:spacing w:val="-2"/>
          <w:sz w:val="20"/>
          <w:szCs w:val="20"/>
          <w:lang w:val="es-CO"/>
        </w:rPr>
        <w:t xml:space="preserve"> obligaciones generales de los Estados de adoptar medidas adecuadas para garantizar el </w:t>
      </w:r>
      <w:r w:rsidR="005150C9" w:rsidRPr="0049084F">
        <w:rPr>
          <w:rFonts w:ascii="Cambria" w:hAnsi="Cambria" w:cs="Calibri"/>
          <w:sz w:val="20"/>
          <w:szCs w:val="20"/>
          <w:lang w:val="es-ES"/>
        </w:rPr>
        <w:t xml:space="preserve">cumplimiento de </w:t>
      </w:r>
      <w:r w:rsidR="00570099">
        <w:rPr>
          <w:rFonts w:ascii="Cambria" w:hAnsi="Cambria" w:cs="Calibri"/>
          <w:sz w:val="20"/>
          <w:szCs w:val="20"/>
          <w:lang w:val="es-ES"/>
        </w:rPr>
        <w:t xml:space="preserve">las </w:t>
      </w:r>
      <w:r w:rsidR="005150C9" w:rsidRPr="0049084F">
        <w:rPr>
          <w:rFonts w:ascii="Cambria" w:hAnsi="Cambria" w:cs="Calibri"/>
          <w:sz w:val="20"/>
          <w:szCs w:val="20"/>
          <w:lang w:val="es-ES"/>
        </w:rPr>
        <w:t>decisiones judiciales</w:t>
      </w:r>
      <w:r w:rsidR="005150C9">
        <w:rPr>
          <w:rFonts w:ascii="Cambria" w:hAnsi="Cambria" w:cs="Calibri"/>
          <w:sz w:val="20"/>
          <w:szCs w:val="20"/>
          <w:lang w:val="es-ES"/>
        </w:rPr>
        <w:t>.  El/la perito/a declarará, en particular, sobre e</w:t>
      </w:r>
      <w:r w:rsidR="005150C9" w:rsidRPr="0049084F">
        <w:rPr>
          <w:rFonts w:ascii="Cambria" w:hAnsi="Cambria" w:cs="Calibri"/>
          <w:sz w:val="20"/>
          <w:szCs w:val="20"/>
          <w:lang w:val="es-ES"/>
        </w:rPr>
        <w:t xml:space="preserve">l deber de actuar con celeridad en la ejecución de </w:t>
      </w:r>
      <w:r w:rsidR="005150C9">
        <w:rPr>
          <w:rFonts w:ascii="Cambria" w:hAnsi="Cambria" w:cs="Calibri"/>
          <w:sz w:val="20"/>
          <w:szCs w:val="20"/>
          <w:lang w:val="es-ES"/>
        </w:rPr>
        <w:t xml:space="preserve">dichas </w:t>
      </w:r>
      <w:r w:rsidR="005150C9" w:rsidRPr="0049084F">
        <w:rPr>
          <w:rFonts w:ascii="Cambria" w:hAnsi="Cambria" w:cs="Calibri"/>
          <w:sz w:val="20"/>
          <w:szCs w:val="20"/>
          <w:lang w:val="es-ES"/>
        </w:rPr>
        <w:t>decisiones</w:t>
      </w:r>
      <w:r w:rsidR="005150C9">
        <w:rPr>
          <w:rFonts w:ascii="Cambria" w:hAnsi="Cambria" w:cs="Calibri"/>
          <w:sz w:val="20"/>
          <w:szCs w:val="20"/>
          <w:lang w:val="es-ES"/>
        </w:rPr>
        <w:t>, especialmente tratándose de fallos relativos al pago de indemnizaciones por parte del Estado</w:t>
      </w:r>
      <w:r w:rsidR="00166EA6" w:rsidRPr="00366E52">
        <w:rPr>
          <w:rFonts w:ascii="Cambria" w:hAnsi="Cambria" w:cs="Calibri"/>
          <w:sz w:val="20"/>
          <w:szCs w:val="20"/>
          <w:lang w:val="es-ES"/>
        </w:rPr>
        <w:t>, especialmente tratándose de decisiones vinculadas al pago de indemnizaciones por parte del Estado relacionadas con reparaciones por la destitución de jueces y juezas de sus cargos</w:t>
      </w:r>
      <w:r w:rsidR="005150C9" w:rsidRPr="00366E52">
        <w:rPr>
          <w:rFonts w:ascii="Cambria" w:hAnsi="Cambria" w:cs="Calibri"/>
          <w:sz w:val="20"/>
          <w:szCs w:val="20"/>
          <w:lang w:val="es-ES"/>
        </w:rPr>
        <w:t>. Para realizar</w:t>
      </w:r>
      <w:r w:rsidR="005150C9">
        <w:rPr>
          <w:rFonts w:ascii="Cambria" w:hAnsi="Cambria" w:cs="Calibri"/>
          <w:sz w:val="20"/>
          <w:szCs w:val="20"/>
          <w:lang w:val="es-ES"/>
        </w:rPr>
        <w:t xml:space="preserve"> su pericia, el/la perito/a podrá ejemplificar con el presente caso en la medida de lo pertinente.</w:t>
      </w:r>
    </w:p>
    <w:p w14:paraId="5F4F15DA" w14:textId="77777777" w:rsidR="005150C9" w:rsidRPr="005150C9" w:rsidRDefault="005150C9" w:rsidP="00B026E8">
      <w:pPr>
        <w:pStyle w:val="Textoindependiente3"/>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080"/>
          <w:tab w:val="left" w:pos="1440"/>
          <w:tab w:val="left" w:pos="9360"/>
        </w:tabs>
        <w:spacing w:after="0"/>
        <w:jc w:val="both"/>
        <w:rPr>
          <w:rFonts w:ascii="Cambria" w:hAnsi="Cambria"/>
          <w:spacing w:val="-2"/>
          <w:sz w:val="20"/>
          <w:szCs w:val="20"/>
          <w:lang w:val="es-ES"/>
        </w:rPr>
      </w:pPr>
    </w:p>
    <w:p w14:paraId="78063445" w14:textId="77777777" w:rsidR="0032794B" w:rsidRPr="00E41D66" w:rsidRDefault="0032794B" w:rsidP="0032794B">
      <w:pPr>
        <w:spacing w:after="0" w:line="240" w:lineRule="auto"/>
        <w:jc w:val="both"/>
        <w:rPr>
          <w:rFonts w:ascii="Cambria" w:hAnsi="Cambria" w:cs="Calibri"/>
          <w:color w:val="000000"/>
          <w:sz w:val="20"/>
          <w:szCs w:val="20"/>
          <w:lang w:val="es-ES"/>
        </w:rPr>
      </w:pPr>
      <w:r w:rsidRPr="00E41D66">
        <w:rPr>
          <w:rFonts w:ascii="Cambria" w:hAnsi="Cambria" w:cs="Calibri"/>
          <w:color w:val="000000"/>
          <w:sz w:val="20"/>
          <w:szCs w:val="20"/>
          <w:lang w:val="es-ES"/>
        </w:rPr>
        <w:tab/>
        <w:t xml:space="preserve">El CV del/a perito/a propuesto/a será incluido en los anexos al Informe de Fondo No. </w:t>
      </w:r>
      <w:r w:rsidR="005150C9">
        <w:rPr>
          <w:rFonts w:ascii="Cambria" w:hAnsi="Cambria" w:cs="Calibri"/>
          <w:sz w:val="20"/>
          <w:szCs w:val="20"/>
          <w:lang w:val="es-ES"/>
        </w:rPr>
        <w:t>302</w:t>
      </w:r>
      <w:r w:rsidR="00B026E8" w:rsidRPr="002832EC">
        <w:rPr>
          <w:rFonts w:ascii="Cambria" w:hAnsi="Cambria" w:cs="Calibri"/>
          <w:sz w:val="20"/>
          <w:szCs w:val="20"/>
          <w:lang w:val="es-ES"/>
        </w:rPr>
        <w:t>/</w:t>
      </w:r>
      <w:r w:rsidR="00B026E8">
        <w:rPr>
          <w:rFonts w:ascii="Cambria" w:hAnsi="Cambria" w:cs="Calibri"/>
          <w:sz w:val="20"/>
          <w:szCs w:val="20"/>
          <w:lang w:val="es-ES"/>
        </w:rPr>
        <w:t>20</w:t>
      </w:r>
      <w:r w:rsidRPr="00E41D66">
        <w:rPr>
          <w:rFonts w:ascii="Cambria" w:hAnsi="Cambria" w:cs="Calibri"/>
          <w:color w:val="000000"/>
          <w:sz w:val="20"/>
          <w:szCs w:val="20"/>
          <w:lang w:val="es-ES"/>
        </w:rPr>
        <w:t xml:space="preserve">. </w:t>
      </w:r>
    </w:p>
    <w:p w14:paraId="2110205F" w14:textId="77777777" w:rsidR="0032794B" w:rsidRPr="002832EC" w:rsidRDefault="0032794B" w:rsidP="00DC1B25">
      <w:pPr>
        <w:pStyle w:val="Encabezado"/>
        <w:tabs>
          <w:tab w:val="left" w:pos="720"/>
        </w:tabs>
        <w:jc w:val="both"/>
        <w:rPr>
          <w:rFonts w:ascii="Cambria" w:eastAsia="Times New Roman" w:hAnsi="Cambria" w:cs="Cambria"/>
          <w:sz w:val="20"/>
          <w:szCs w:val="20"/>
          <w:lang w:val="es-ES"/>
        </w:rPr>
      </w:pPr>
    </w:p>
    <w:p w14:paraId="02B6A62C" w14:textId="77777777" w:rsidR="00162CE1" w:rsidRPr="002832EC" w:rsidRDefault="00162CE1" w:rsidP="007942A1">
      <w:pPr>
        <w:spacing w:after="0" w:line="240" w:lineRule="auto"/>
        <w:ind w:firstLine="720"/>
        <w:jc w:val="both"/>
        <w:rPr>
          <w:rFonts w:ascii="Cambria" w:hAnsi="Cambria" w:cs="Calibri"/>
          <w:sz w:val="20"/>
          <w:szCs w:val="20"/>
          <w:lang w:val="es-ES"/>
        </w:rPr>
      </w:pPr>
      <w:r w:rsidRPr="002832EC">
        <w:rPr>
          <w:rFonts w:ascii="Cambria" w:hAnsi="Cambria" w:cs="Calibri"/>
          <w:sz w:val="20"/>
          <w:szCs w:val="20"/>
          <w:lang w:val="es-ES"/>
        </w:rPr>
        <w:t>La Comisión pone en conocimiento de la Honorable Corte la siguiente información de quien</w:t>
      </w:r>
      <w:r w:rsidR="0017719E">
        <w:rPr>
          <w:rFonts w:ascii="Cambria" w:hAnsi="Cambria" w:cs="Calibri"/>
          <w:sz w:val="20"/>
          <w:szCs w:val="20"/>
          <w:lang w:val="es-ES"/>
        </w:rPr>
        <w:t>es</w:t>
      </w:r>
      <w:r w:rsidRPr="002832EC">
        <w:rPr>
          <w:rFonts w:ascii="Cambria" w:hAnsi="Cambria" w:cs="Calibri"/>
          <w:sz w:val="20"/>
          <w:szCs w:val="20"/>
          <w:lang w:val="es-ES"/>
        </w:rPr>
        <w:t xml:space="preserve"> </w:t>
      </w:r>
      <w:r w:rsidR="009A0971" w:rsidRPr="002832EC">
        <w:rPr>
          <w:rFonts w:ascii="Cambria" w:hAnsi="Cambria" w:cs="Calibri"/>
          <w:sz w:val="20"/>
          <w:szCs w:val="20"/>
          <w:lang w:val="es-ES"/>
        </w:rPr>
        <w:t>actúa</w:t>
      </w:r>
      <w:r w:rsidR="0017719E">
        <w:rPr>
          <w:rFonts w:ascii="Cambria" w:hAnsi="Cambria" w:cs="Calibri"/>
          <w:sz w:val="20"/>
          <w:szCs w:val="20"/>
          <w:lang w:val="es-ES"/>
        </w:rPr>
        <w:t>n</w:t>
      </w:r>
      <w:r w:rsidR="009A0971" w:rsidRPr="002832EC">
        <w:rPr>
          <w:rFonts w:ascii="Cambria" w:hAnsi="Cambria" w:cs="Calibri"/>
          <w:sz w:val="20"/>
          <w:szCs w:val="20"/>
          <w:lang w:val="es-ES"/>
        </w:rPr>
        <w:t xml:space="preserve"> como parte peticionaria en el trámite ante la CIDH conforme a la información más reciente</w:t>
      </w:r>
      <w:r w:rsidR="00AB70F2" w:rsidRPr="002832EC">
        <w:rPr>
          <w:rFonts w:ascii="Cambria" w:hAnsi="Cambria" w:cs="Calibri"/>
          <w:sz w:val="20"/>
          <w:szCs w:val="20"/>
          <w:lang w:val="es-ES"/>
        </w:rPr>
        <w:t>:</w:t>
      </w:r>
    </w:p>
    <w:p w14:paraId="3411884D" w14:textId="77777777" w:rsidR="00005ED3" w:rsidRPr="002832EC" w:rsidRDefault="00005ED3" w:rsidP="00040E55">
      <w:pPr>
        <w:spacing w:after="0" w:line="240" w:lineRule="auto"/>
        <w:jc w:val="both"/>
        <w:rPr>
          <w:rFonts w:ascii="Cambria" w:hAnsi="Cambria" w:cs="Calibri"/>
          <w:sz w:val="20"/>
          <w:szCs w:val="20"/>
          <w:lang w:val="es-ES"/>
        </w:rPr>
      </w:pPr>
    </w:p>
    <w:p w14:paraId="1FA6D329" w14:textId="77777777" w:rsidR="0017719E" w:rsidRPr="008E4B4D" w:rsidRDefault="0017719E" w:rsidP="0017719E">
      <w:pPr>
        <w:spacing w:after="0" w:line="240" w:lineRule="auto"/>
        <w:jc w:val="center"/>
        <w:rPr>
          <w:bCs/>
          <w:iCs/>
          <w:lang w:val="es-ES"/>
        </w:rPr>
      </w:pPr>
      <w:r w:rsidRPr="008E4B4D">
        <w:rPr>
          <w:bCs/>
          <w:iCs/>
          <w:lang w:val="es-ES"/>
        </w:rPr>
        <w:t>Javier Mujica Petit</w:t>
      </w:r>
    </w:p>
    <w:p w14:paraId="5DFF8690" w14:textId="77777777" w:rsidR="0032794B" w:rsidRPr="00FA2D19" w:rsidRDefault="00FA2D19" w:rsidP="0017719E">
      <w:pPr>
        <w:tabs>
          <w:tab w:val="left" w:pos="1455"/>
        </w:tabs>
        <w:spacing w:after="0" w:line="240" w:lineRule="auto"/>
        <w:jc w:val="center"/>
        <w:rPr>
          <w:bCs/>
          <w:iCs/>
          <w:highlight w:val="black"/>
          <w:lang w:val="es-ES"/>
        </w:rPr>
      </w:pPr>
      <w:r w:rsidRPr="00FA2D19">
        <w:rPr>
          <w:bCs/>
          <w:iCs/>
          <w:highlight w:val="black"/>
          <w:lang w:val="es-ES"/>
        </w:rPr>
        <w:t>XXXXXXXXXXXXXXXXXXXXXXXXX</w:t>
      </w:r>
    </w:p>
    <w:p w14:paraId="2EDA24C5" w14:textId="77777777" w:rsidR="0017719E" w:rsidRDefault="0017719E" w:rsidP="0017719E">
      <w:pPr>
        <w:tabs>
          <w:tab w:val="left" w:pos="1455"/>
        </w:tabs>
        <w:spacing w:after="0" w:line="240" w:lineRule="auto"/>
        <w:jc w:val="center"/>
        <w:rPr>
          <w:bCs/>
          <w:iCs/>
          <w:lang w:val="es-ES"/>
        </w:rPr>
      </w:pPr>
    </w:p>
    <w:p w14:paraId="01C166F9" w14:textId="77777777" w:rsidR="0017719E" w:rsidRPr="008E4B4D" w:rsidRDefault="0017719E" w:rsidP="0017719E">
      <w:pPr>
        <w:spacing w:after="0" w:line="240" w:lineRule="auto"/>
        <w:jc w:val="center"/>
        <w:rPr>
          <w:bCs/>
          <w:iCs/>
          <w:lang w:val="es-ES"/>
        </w:rPr>
      </w:pPr>
      <w:r w:rsidRPr="008E4B4D">
        <w:rPr>
          <w:bCs/>
          <w:iCs/>
          <w:lang w:val="es-ES"/>
        </w:rPr>
        <w:t>Gino Ernesto Yangali Iparraguirre</w:t>
      </w:r>
    </w:p>
    <w:p w14:paraId="739803EB" w14:textId="77777777" w:rsidR="0017719E" w:rsidRPr="00FA2D19" w:rsidRDefault="00FA2D19" w:rsidP="0017719E">
      <w:pPr>
        <w:spacing w:after="0" w:line="240" w:lineRule="auto"/>
        <w:jc w:val="center"/>
        <w:rPr>
          <w:bCs/>
          <w:iCs/>
          <w:highlight w:val="black"/>
          <w:lang w:val="es-ES"/>
        </w:rPr>
      </w:pPr>
      <w:r w:rsidRPr="00FA2D19">
        <w:rPr>
          <w:bCs/>
          <w:iCs/>
          <w:highlight w:val="black"/>
          <w:lang w:val="es-ES"/>
        </w:rPr>
        <w:t>XXXXXXXXXXXXXXXXXXXXXXX</w:t>
      </w:r>
    </w:p>
    <w:p w14:paraId="29DB47AF" w14:textId="77777777" w:rsidR="0017719E" w:rsidRPr="00FA2D19" w:rsidRDefault="00FA2D19" w:rsidP="0017719E">
      <w:pPr>
        <w:spacing w:after="0" w:line="240" w:lineRule="auto"/>
        <w:jc w:val="center"/>
        <w:rPr>
          <w:bCs/>
          <w:iCs/>
          <w:highlight w:val="black"/>
          <w:lang w:val="es-ES"/>
        </w:rPr>
      </w:pPr>
      <w:r w:rsidRPr="00FA2D19">
        <w:rPr>
          <w:bCs/>
          <w:iCs/>
          <w:highlight w:val="black"/>
          <w:lang w:val="es-ES"/>
        </w:rPr>
        <w:t>XXXXXXXXXXXXXXXXXXXXXX</w:t>
      </w:r>
    </w:p>
    <w:p w14:paraId="5C59D1F9" w14:textId="77777777" w:rsidR="0017719E" w:rsidRPr="00FA2D19" w:rsidRDefault="00FA2D19" w:rsidP="0017719E">
      <w:pPr>
        <w:tabs>
          <w:tab w:val="left" w:pos="1455"/>
        </w:tabs>
        <w:spacing w:after="0" w:line="240" w:lineRule="auto"/>
        <w:jc w:val="center"/>
        <w:rPr>
          <w:bCs/>
          <w:iCs/>
          <w:highlight w:val="black"/>
          <w:lang w:val="es-ES"/>
        </w:rPr>
      </w:pPr>
      <w:r w:rsidRPr="00FA2D19">
        <w:rPr>
          <w:bCs/>
          <w:iCs/>
          <w:highlight w:val="black"/>
          <w:lang w:val="es-ES"/>
        </w:rPr>
        <w:t>XXXXXXXXXXXXXXXXXXXXXXXX</w:t>
      </w:r>
    </w:p>
    <w:p w14:paraId="7CD92FA5" w14:textId="77777777" w:rsidR="0017719E" w:rsidRPr="00BB7646" w:rsidRDefault="0017719E" w:rsidP="0017719E">
      <w:pPr>
        <w:tabs>
          <w:tab w:val="left" w:pos="1455"/>
        </w:tabs>
        <w:spacing w:after="0" w:line="240" w:lineRule="auto"/>
        <w:jc w:val="center"/>
        <w:rPr>
          <w:rFonts w:ascii="Cambria" w:hAnsi="Cambria" w:cs="Calibri"/>
          <w:sz w:val="20"/>
          <w:szCs w:val="20"/>
          <w:lang w:val="es-MX"/>
        </w:rPr>
      </w:pPr>
    </w:p>
    <w:p w14:paraId="3305C640" w14:textId="77777777" w:rsidR="00C82F29" w:rsidRPr="002832EC" w:rsidRDefault="00C82F29" w:rsidP="00040E55">
      <w:pPr>
        <w:spacing w:after="0" w:line="240" w:lineRule="auto"/>
        <w:ind w:firstLine="720"/>
        <w:jc w:val="both"/>
        <w:rPr>
          <w:rFonts w:ascii="Cambria" w:hAnsi="Cambria" w:cs="Calibri"/>
          <w:sz w:val="20"/>
          <w:szCs w:val="20"/>
          <w:lang w:val="es-ES"/>
        </w:rPr>
      </w:pPr>
      <w:r w:rsidRPr="002832EC">
        <w:rPr>
          <w:rFonts w:ascii="Cambria" w:hAnsi="Cambria" w:cs="Calibri"/>
          <w:sz w:val="20"/>
          <w:szCs w:val="20"/>
          <w:lang w:val="es-ES"/>
        </w:rPr>
        <w:t>Aprovecho la oportunidad para saludar a usted muy atentamente,</w:t>
      </w:r>
    </w:p>
    <w:p w14:paraId="7F936215" w14:textId="77777777" w:rsidR="0017719E" w:rsidRDefault="0017719E" w:rsidP="0017719E">
      <w:pPr>
        <w:tabs>
          <w:tab w:val="left" w:pos="0"/>
        </w:tabs>
        <w:spacing w:after="0" w:line="240" w:lineRule="auto"/>
        <w:jc w:val="center"/>
        <w:rPr>
          <w:rFonts w:cs="Calibri"/>
          <w:lang w:val="pt-BR"/>
        </w:rPr>
      </w:pPr>
      <w:r>
        <w:rPr>
          <w:rFonts w:cs="Calibri"/>
          <w:lang w:val="pt-BR"/>
        </w:rPr>
        <w:t xml:space="preserve">      </w:t>
      </w:r>
    </w:p>
    <w:p w14:paraId="5426C1DA" w14:textId="77777777" w:rsidR="00C82F29" w:rsidRPr="002832EC" w:rsidRDefault="00795EEE" w:rsidP="00040E55">
      <w:pPr>
        <w:tabs>
          <w:tab w:val="left" w:pos="4500"/>
        </w:tabs>
        <w:spacing w:after="0" w:line="240" w:lineRule="auto"/>
        <w:jc w:val="center"/>
        <w:rPr>
          <w:rFonts w:ascii="Cambria" w:hAnsi="Cambria" w:cs="Calibri"/>
          <w:sz w:val="20"/>
          <w:szCs w:val="20"/>
          <w:lang w:val="pt-BR"/>
        </w:rPr>
      </w:pPr>
      <w:r w:rsidRPr="002832EC">
        <w:rPr>
          <w:rFonts w:ascii="Cambria" w:hAnsi="Cambria" w:cs="Calibri"/>
          <w:sz w:val="20"/>
          <w:szCs w:val="20"/>
          <w:lang w:val="pt-BR"/>
        </w:rPr>
        <w:t>Marisol Blanchard Vera</w:t>
      </w:r>
    </w:p>
    <w:p w14:paraId="6DE7BCB5" w14:textId="77777777" w:rsidR="00C82F29" w:rsidRPr="002832EC" w:rsidRDefault="00795EEE" w:rsidP="00040E55">
      <w:pPr>
        <w:tabs>
          <w:tab w:val="left" w:pos="4500"/>
        </w:tabs>
        <w:spacing w:after="0" w:line="240" w:lineRule="auto"/>
        <w:jc w:val="center"/>
        <w:rPr>
          <w:rFonts w:ascii="Cambria" w:hAnsi="Cambria" w:cs="Calibri"/>
          <w:sz w:val="20"/>
          <w:szCs w:val="20"/>
          <w:lang w:val="pt-BR"/>
        </w:rPr>
      </w:pPr>
      <w:r w:rsidRPr="002832EC">
        <w:rPr>
          <w:rFonts w:ascii="Cambria" w:hAnsi="Cambria" w:cs="Calibri"/>
          <w:sz w:val="20"/>
          <w:szCs w:val="20"/>
          <w:lang w:val="pt-BR"/>
        </w:rPr>
        <w:t>Secretaria Ejecutiva Adjunta</w:t>
      </w:r>
    </w:p>
    <w:p w14:paraId="6E3F56E6" w14:textId="77777777" w:rsidR="00005ED3" w:rsidRPr="002832EC" w:rsidRDefault="00005ED3" w:rsidP="00040E55">
      <w:pPr>
        <w:spacing w:after="0" w:line="240" w:lineRule="auto"/>
        <w:jc w:val="both"/>
        <w:rPr>
          <w:rFonts w:ascii="Cambria" w:hAnsi="Cambria" w:cs="Calibri"/>
          <w:sz w:val="20"/>
          <w:szCs w:val="20"/>
          <w:lang w:val="pt-BR"/>
        </w:rPr>
      </w:pPr>
    </w:p>
    <w:p w14:paraId="0EF5AC2B" w14:textId="77777777" w:rsidR="00005ED3" w:rsidRPr="002832EC" w:rsidRDefault="00005ED3" w:rsidP="00040E55">
      <w:pPr>
        <w:spacing w:after="0" w:line="240" w:lineRule="auto"/>
        <w:jc w:val="both"/>
        <w:rPr>
          <w:rFonts w:ascii="Cambria" w:hAnsi="Cambria" w:cs="Calibri"/>
          <w:sz w:val="20"/>
          <w:szCs w:val="20"/>
          <w:lang w:val="pt-BR"/>
        </w:rPr>
      </w:pPr>
    </w:p>
    <w:p w14:paraId="01DAB5C8" w14:textId="77777777" w:rsidR="00237ECE" w:rsidRPr="00040E55" w:rsidRDefault="00C82F29" w:rsidP="00040E55">
      <w:pPr>
        <w:spacing w:after="0" w:line="240" w:lineRule="auto"/>
        <w:jc w:val="both"/>
        <w:rPr>
          <w:rFonts w:ascii="Cambria" w:hAnsi="Cambria" w:cs="Calibri"/>
          <w:sz w:val="20"/>
          <w:szCs w:val="20"/>
          <w:lang w:val="pt-BR"/>
        </w:rPr>
      </w:pPr>
      <w:r w:rsidRPr="002832EC">
        <w:rPr>
          <w:rFonts w:ascii="Cambria" w:hAnsi="Cambria" w:cs="Calibri"/>
          <w:sz w:val="20"/>
          <w:szCs w:val="20"/>
          <w:lang w:val="pt-BR"/>
        </w:rPr>
        <w:t>Anexo</w:t>
      </w:r>
    </w:p>
    <w:sectPr w:rsidR="00237ECE" w:rsidRPr="00040E55" w:rsidSect="00162CE1">
      <w:headerReference w:type="default" r:id="rId12"/>
      <w:footerReference w:type="default" r:id="rId13"/>
      <w:headerReference w:type="first" r:id="rId14"/>
      <w:footerReference w:type="first" r:id="rId15"/>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48487A" w14:textId="77777777" w:rsidR="00B56A4C" w:rsidRDefault="00B56A4C">
      <w:pPr>
        <w:spacing w:after="0" w:line="240" w:lineRule="auto"/>
      </w:pPr>
      <w:r>
        <w:separator/>
      </w:r>
    </w:p>
  </w:endnote>
  <w:endnote w:type="continuationSeparator" w:id="0">
    <w:p w14:paraId="79F7235B" w14:textId="77777777" w:rsidR="00B56A4C" w:rsidRDefault="00B56A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BEF49" w14:textId="77777777" w:rsidR="00162CE1" w:rsidRPr="0060615D" w:rsidRDefault="00162CE1">
    <w:pPr>
      <w:pStyle w:val="Piedepgina"/>
      <w:jc w:val="center"/>
      <w:rPr>
        <w:sz w:val="18"/>
        <w:szCs w:val="18"/>
      </w:rPr>
    </w:pPr>
    <w:r w:rsidRPr="0060615D">
      <w:rPr>
        <w:sz w:val="18"/>
        <w:szCs w:val="18"/>
      </w:rPr>
      <w:fldChar w:fldCharType="begin"/>
    </w:r>
    <w:r w:rsidRPr="0060615D">
      <w:rPr>
        <w:sz w:val="18"/>
        <w:szCs w:val="18"/>
      </w:rPr>
      <w:instrText xml:space="preserve"> PAGE   \* MERGEFORMAT </w:instrText>
    </w:r>
    <w:r w:rsidRPr="0060615D">
      <w:rPr>
        <w:sz w:val="18"/>
        <w:szCs w:val="18"/>
      </w:rPr>
      <w:fldChar w:fldCharType="separate"/>
    </w:r>
    <w:r w:rsidR="0032794B">
      <w:rPr>
        <w:noProof/>
        <w:sz w:val="18"/>
        <w:szCs w:val="18"/>
      </w:rPr>
      <w:t>4</w:t>
    </w:r>
    <w:r w:rsidRPr="0060615D">
      <w:rPr>
        <w:noProof/>
        <w:sz w:val="18"/>
        <w:szCs w:val="18"/>
      </w:rPr>
      <w:fldChar w:fldCharType="end"/>
    </w:r>
  </w:p>
  <w:p w14:paraId="2C978502" w14:textId="77777777" w:rsidR="00366E52" w:rsidRDefault="00366E52" w:rsidP="00366E52">
    <w:pPr>
      <w:pStyle w:val="Piedepgina"/>
      <w:spacing w:line="360" w:lineRule="auto"/>
    </w:pPr>
    <w:r>
      <w:pict w14:anchorId="16B2B26D">
        <v:rect id="_x0000_i1028" style="width:0;height:1.5pt" o:hralign="center" o:hrstd="t" o:hr="t" fillcolor="#a0a0a0" stroked="f"/>
      </w:pict>
    </w:r>
  </w:p>
  <w:p w14:paraId="4BD66E20" w14:textId="7F0AA978" w:rsidR="00366E52" w:rsidRDefault="005E45BB" w:rsidP="00366E52">
    <w:pPr>
      <w:pStyle w:val="Piedepgina"/>
      <w:jc w:val="center"/>
    </w:pPr>
    <w:r w:rsidRPr="008A5CB5">
      <w:rPr>
        <w:noProof/>
      </w:rPr>
      <w:drawing>
        <wp:inline distT="0" distB="0" distL="0" distR="0" wp14:anchorId="6073B28C" wp14:editId="6AA96167">
          <wp:extent cx="5114925" cy="323850"/>
          <wp:effectExtent l="0" t="0" r="0" b="0"/>
          <wp:docPr id="6" name="Picture 35" descr="C:\Users\mfontana\Documents\Eva Fontana\GRAFICA CIDH\cartas\logos\foote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mfontana\Documents\Eva Fontana\GRAFICA CIDH\cartas\logos\footer-e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14925" cy="32385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97DCA" w14:textId="77777777" w:rsidR="00162CE1" w:rsidRDefault="00162CE1" w:rsidP="00162CE1">
    <w:pPr>
      <w:pStyle w:val="Piedepgina"/>
      <w:spacing w:line="360" w:lineRule="auto"/>
    </w:pPr>
    <w:r>
      <w:pict w14:anchorId="715042B3">
        <v:rect id="_x0000_i1026" style="width:0;height:1.5pt" o:hralign="center" o:hrstd="t" o:hr="t" fillcolor="#a0a0a0" stroked="f"/>
      </w:pict>
    </w:r>
  </w:p>
  <w:p w14:paraId="5C9BAC09" w14:textId="54432B28" w:rsidR="00162CE1" w:rsidRDefault="005E45BB" w:rsidP="00162CE1">
    <w:pPr>
      <w:pStyle w:val="Piedepgina"/>
      <w:jc w:val="center"/>
    </w:pPr>
    <w:r w:rsidRPr="008A5CB5">
      <w:rPr>
        <w:noProof/>
      </w:rPr>
      <w:drawing>
        <wp:inline distT="0" distB="0" distL="0" distR="0" wp14:anchorId="2F1BBD20" wp14:editId="15CC28BA">
          <wp:extent cx="5114925" cy="323850"/>
          <wp:effectExtent l="0" t="0" r="0" b="0"/>
          <wp:docPr id="9" name="Picture 35" descr="C:\Users\mfontana\Documents\Eva Fontana\GRAFICA CIDH\cartas\logos\foote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mfontana\Documents\Eva Fontana\GRAFICA CIDH\cartas\logos\footer-e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14925" cy="3238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8866CB" w14:textId="77777777" w:rsidR="00B56A4C" w:rsidRDefault="00B56A4C">
      <w:pPr>
        <w:spacing w:after="0" w:line="240" w:lineRule="auto"/>
      </w:pPr>
      <w:r>
        <w:separator/>
      </w:r>
    </w:p>
  </w:footnote>
  <w:footnote w:type="continuationSeparator" w:id="0">
    <w:p w14:paraId="713A7644" w14:textId="77777777" w:rsidR="00B56A4C" w:rsidRDefault="00B56A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3B883" w14:textId="234D8E23" w:rsidR="00162CE1" w:rsidRPr="0058688A" w:rsidRDefault="005E45BB" w:rsidP="00162CE1">
    <w:pPr>
      <w:pStyle w:val="Encabezado"/>
      <w:jc w:val="center"/>
      <w:rPr>
        <w:lang w:val="es-ES_tradnl"/>
      </w:rPr>
    </w:pPr>
    <w:r>
      <w:rPr>
        <w:noProof/>
        <w:lang w:val="es-ES_tradnl"/>
      </w:rPr>
      <w:drawing>
        <wp:inline distT="0" distB="0" distL="0" distR="0" wp14:anchorId="31629787" wp14:editId="587BE002">
          <wp:extent cx="2286000" cy="1238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123825"/>
                  </a:xfrm>
                  <a:prstGeom prst="rect">
                    <a:avLst/>
                  </a:prstGeom>
                  <a:noFill/>
                  <a:ln>
                    <a:noFill/>
                  </a:ln>
                </pic:spPr>
              </pic:pic>
            </a:graphicData>
          </a:graphic>
        </wp:inline>
      </w:drawing>
    </w:r>
  </w:p>
  <w:p w14:paraId="733A6E2D" w14:textId="77777777" w:rsidR="00162CE1" w:rsidRDefault="00162CE1">
    <w:pPr>
      <w:pStyle w:val="Encabezado"/>
    </w:pPr>
    <w:r>
      <w:pict w14:anchorId="2E5BE6D1">
        <v:rect id="_x0000_i1027" style="width:0;height:1.5pt" o:hralign="center" o:hrstd="t" o:hr="t" fillcolor="#a0a0a0" strok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55C7F" w14:textId="2E1B46D2" w:rsidR="00162CE1" w:rsidRDefault="005E45BB" w:rsidP="00162CE1">
    <w:pPr>
      <w:pStyle w:val="Encabezado"/>
    </w:pPr>
    <w:r w:rsidRPr="008A5CB5">
      <w:rPr>
        <w:noProof/>
      </w:rPr>
      <w:drawing>
        <wp:inline distT="0" distB="0" distL="0" distR="0" wp14:anchorId="5195927B" wp14:editId="670E63E5">
          <wp:extent cx="2352675" cy="457200"/>
          <wp:effectExtent l="0" t="0" r="0" b="0"/>
          <wp:docPr id="7" name="Picture 1" descr="C:\Users\mfontana\Documents\Eva Fontana\GRAFICA CIDH\cartas\logos\cidh-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fontana\Documents\Eva Fontana\GRAFICA CIDH\cartas\logos\cidh-e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2675" cy="457200"/>
                  </a:xfrm>
                  <a:prstGeom prst="rect">
                    <a:avLst/>
                  </a:prstGeom>
                  <a:noFill/>
                  <a:ln>
                    <a:noFill/>
                  </a:ln>
                </pic:spPr>
              </pic:pic>
            </a:graphicData>
          </a:graphic>
        </wp:inline>
      </w:drawing>
    </w:r>
    <w:r w:rsidR="00162CE1">
      <w:tab/>
    </w:r>
    <w:r w:rsidR="00162CE1">
      <w:tab/>
    </w:r>
    <w:r w:rsidRPr="008A5CB5">
      <w:rPr>
        <w:noProof/>
      </w:rPr>
      <w:drawing>
        <wp:inline distT="0" distB="0" distL="0" distR="0" wp14:anchorId="7221488E" wp14:editId="039417D5">
          <wp:extent cx="1647825" cy="476250"/>
          <wp:effectExtent l="0" t="0" r="0" b="0"/>
          <wp:docPr id="8" name="Picture 2" descr="C:\Users\mfontana\Documents\Eva Fontana\GRAFICA CIDH\cartas\logos\oea-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fontana\Documents\Eva Fontana\GRAFICA CIDH\cartas\logos\oea-es.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47825" cy="476250"/>
                  </a:xfrm>
                  <a:prstGeom prst="rect">
                    <a:avLst/>
                  </a:prstGeom>
                  <a:noFill/>
                  <a:ln>
                    <a:noFill/>
                  </a:ln>
                </pic:spPr>
              </pic:pic>
            </a:graphicData>
          </a:graphic>
        </wp:inline>
      </w:drawing>
    </w:r>
  </w:p>
  <w:p w14:paraId="17BA5FF6" w14:textId="77777777" w:rsidR="00162CE1" w:rsidRDefault="00162CE1" w:rsidP="00162CE1">
    <w:pPr>
      <w:pStyle w:val="Encabezado"/>
    </w:pPr>
    <w:r>
      <w:pict w14:anchorId="01E9618E">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424AAD"/>
    <w:multiLevelType w:val="hybridMultilevel"/>
    <w:tmpl w:val="365CF948"/>
    <w:lvl w:ilvl="0" w:tplc="C232A3CC">
      <w:start w:val="93"/>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2D8B6462"/>
    <w:multiLevelType w:val="hybridMultilevel"/>
    <w:tmpl w:val="610EC480"/>
    <w:lvl w:ilvl="0" w:tplc="ED0447A6">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ACE229B"/>
    <w:multiLevelType w:val="hybridMultilevel"/>
    <w:tmpl w:val="802CBBC6"/>
    <w:lvl w:ilvl="0" w:tplc="62FE1AC6">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DC61D90"/>
    <w:multiLevelType w:val="hybridMultilevel"/>
    <w:tmpl w:val="88B899B8"/>
    <w:lvl w:ilvl="0" w:tplc="C7EC2450">
      <w:start w:val="1"/>
      <w:numFmt w:val="decimal"/>
      <w:lvlText w:val="%1."/>
      <w:lvlJc w:val="left"/>
      <w:pPr>
        <w:tabs>
          <w:tab w:val="num" w:pos="1080"/>
        </w:tabs>
        <w:ind w:left="1080" w:hanging="360"/>
      </w:pPr>
      <w:rPr>
        <w:rFonts w:ascii="Cambria" w:hAnsi="Cambria" w:cs="Times New Roman" w:hint="default"/>
        <w:b w:val="0"/>
        <w:i w:val="0"/>
        <w:sz w:val="20"/>
        <w:szCs w:val="20"/>
        <w:lang w:val="es-CO"/>
      </w:rPr>
    </w:lvl>
    <w:lvl w:ilvl="1" w:tplc="41189D36">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01A6212"/>
    <w:multiLevelType w:val="hybridMultilevel"/>
    <w:tmpl w:val="0E28989A"/>
    <w:lvl w:ilvl="0" w:tplc="9A5C2456">
      <w:start w:val="204"/>
      <w:numFmt w:val="decimal"/>
      <w:lvlText w:val="%1."/>
      <w:lvlJc w:val="left"/>
      <w:pPr>
        <w:ind w:left="360" w:hanging="360"/>
      </w:pPr>
      <w:rPr>
        <w:rFonts w:ascii="Cambria" w:hAnsi="Cambria" w:hint="default"/>
        <w:b w:val="0"/>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6BD03E6"/>
    <w:multiLevelType w:val="hybridMultilevel"/>
    <w:tmpl w:val="4CA83BF0"/>
    <w:lvl w:ilvl="0" w:tplc="58B8DB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A681F10"/>
    <w:multiLevelType w:val="hybridMultilevel"/>
    <w:tmpl w:val="41F4A2C8"/>
    <w:lvl w:ilvl="0" w:tplc="529A4590">
      <w:start w:val="1"/>
      <w:numFmt w:val="decimal"/>
      <w:lvlText w:val="%1."/>
      <w:lvlJc w:val="left"/>
      <w:pPr>
        <w:ind w:left="1425" w:hanging="705"/>
      </w:pPr>
      <w:rPr>
        <w:rFonts w:hint="default"/>
        <w:sz w:val="20"/>
        <w:szCs w:val="2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D7D4B9D"/>
    <w:multiLevelType w:val="hybridMultilevel"/>
    <w:tmpl w:val="1070178A"/>
    <w:lvl w:ilvl="0" w:tplc="6CB001C0">
      <w:start w:val="1"/>
      <w:numFmt w:val="decimal"/>
      <w:lvlText w:val="%1."/>
      <w:lvlJc w:val="left"/>
      <w:pPr>
        <w:ind w:left="360" w:hanging="360"/>
      </w:pPr>
      <w:rPr>
        <w:rFonts w:ascii="Cambria" w:hAnsi="Cambria" w:hint="default"/>
        <w:b w:val="0"/>
        <w:color w:val="auto"/>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5FDF2ED9"/>
    <w:multiLevelType w:val="hybridMultilevel"/>
    <w:tmpl w:val="052CDC5E"/>
    <w:lvl w:ilvl="0" w:tplc="D92C12E8">
      <w:start w:val="1"/>
      <w:numFmt w:val="decimal"/>
      <w:lvlText w:val="%1."/>
      <w:lvlJc w:val="left"/>
      <w:pPr>
        <w:tabs>
          <w:tab w:val="num" w:pos="1860"/>
        </w:tabs>
        <w:ind w:left="186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6BE5E6A"/>
    <w:multiLevelType w:val="hybridMultilevel"/>
    <w:tmpl w:val="C9D20C7E"/>
    <w:lvl w:ilvl="0" w:tplc="B47EC36A">
      <w:start w:val="1"/>
      <w:numFmt w:val="decimal"/>
      <w:lvlText w:val="%1."/>
      <w:lvlJc w:val="left"/>
      <w:pPr>
        <w:tabs>
          <w:tab w:val="num" w:pos="720"/>
        </w:tabs>
        <w:ind w:left="0" w:firstLine="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B4460CA"/>
    <w:multiLevelType w:val="hybridMultilevel"/>
    <w:tmpl w:val="07B85AD8"/>
    <w:lvl w:ilvl="0" w:tplc="67D6E770">
      <w:start w:val="1"/>
      <w:numFmt w:val="decimal"/>
      <w:lvlText w:val="%1."/>
      <w:lvlJc w:val="left"/>
      <w:pPr>
        <w:tabs>
          <w:tab w:val="num" w:pos="720"/>
        </w:tabs>
        <w:ind w:left="720" w:hanging="360"/>
      </w:pPr>
      <w:rPr>
        <w:rFonts w:cs="Calibri"/>
        <w:sz w:val="20"/>
        <w:szCs w:val="2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78AE0824"/>
    <w:multiLevelType w:val="hybridMultilevel"/>
    <w:tmpl w:val="FAB809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9F506ED"/>
    <w:multiLevelType w:val="hybridMultilevel"/>
    <w:tmpl w:val="FAB809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AFB3831"/>
    <w:multiLevelType w:val="hybridMultilevel"/>
    <w:tmpl w:val="1474E3CC"/>
    <w:lvl w:ilvl="0" w:tplc="5D1A316A">
      <w:start w:val="2"/>
      <w:numFmt w:val="upperLetter"/>
      <w:lvlText w:val="%1."/>
      <w:lvlJc w:val="left"/>
      <w:pPr>
        <w:tabs>
          <w:tab w:val="num" w:pos="1440"/>
        </w:tabs>
        <w:ind w:left="1440" w:hanging="720"/>
      </w:pPr>
    </w:lvl>
    <w:lvl w:ilvl="1" w:tplc="BD42056E">
      <w:start w:val="1"/>
      <w:numFmt w:val="decimal"/>
      <w:lvlText w:val="%2."/>
      <w:lvlJc w:val="left"/>
      <w:pPr>
        <w:tabs>
          <w:tab w:val="num" w:pos="1200"/>
        </w:tabs>
        <w:ind w:left="12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num w:numId="1" w16cid:durableId="1557426886">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4916129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98261019">
    <w:abstractNumId w:val="9"/>
  </w:num>
  <w:num w:numId="4" w16cid:durableId="788012642">
    <w:abstractNumId w:val="6"/>
  </w:num>
  <w:num w:numId="5" w16cid:durableId="1463844625">
    <w:abstractNumId w:val="1"/>
  </w:num>
  <w:num w:numId="6" w16cid:durableId="104421352">
    <w:abstractNumId w:val="4"/>
  </w:num>
  <w:num w:numId="7" w16cid:durableId="782924493">
    <w:abstractNumId w:val="3"/>
  </w:num>
  <w:num w:numId="8" w16cid:durableId="1864633242">
    <w:abstractNumId w:val="0"/>
  </w:num>
  <w:num w:numId="9" w16cid:durableId="990059605">
    <w:abstractNumId w:val="7"/>
  </w:num>
  <w:num w:numId="10" w16cid:durableId="833689802">
    <w:abstractNumId w:val="5"/>
  </w:num>
  <w:num w:numId="11" w16cid:durableId="679164445">
    <w:abstractNumId w:val="8"/>
  </w:num>
  <w:num w:numId="12" w16cid:durableId="677655755">
    <w:abstractNumId w:val="11"/>
  </w:num>
  <w:num w:numId="13" w16cid:durableId="468742004">
    <w:abstractNumId w:val="12"/>
  </w:num>
  <w:num w:numId="14" w16cid:durableId="19581026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806"/>
    <w:rsid w:val="000007A2"/>
    <w:rsid w:val="00003368"/>
    <w:rsid w:val="00005ED3"/>
    <w:rsid w:val="00007B19"/>
    <w:rsid w:val="00017E7A"/>
    <w:rsid w:val="00026ADD"/>
    <w:rsid w:val="00031EB1"/>
    <w:rsid w:val="00036FC7"/>
    <w:rsid w:val="00040E55"/>
    <w:rsid w:val="000751DF"/>
    <w:rsid w:val="00076DBF"/>
    <w:rsid w:val="00077DE5"/>
    <w:rsid w:val="00077FF7"/>
    <w:rsid w:val="00084078"/>
    <w:rsid w:val="000A45AD"/>
    <w:rsid w:val="000A4754"/>
    <w:rsid w:val="000A4B14"/>
    <w:rsid w:val="000B1138"/>
    <w:rsid w:val="000B3053"/>
    <w:rsid w:val="000C140C"/>
    <w:rsid w:val="000C5BFC"/>
    <w:rsid w:val="000D164E"/>
    <w:rsid w:val="000D2623"/>
    <w:rsid w:val="000D26A9"/>
    <w:rsid w:val="000D4633"/>
    <w:rsid w:val="000D4AE6"/>
    <w:rsid w:val="000D7F10"/>
    <w:rsid w:val="000E0F2F"/>
    <w:rsid w:val="000E2431"/>
    <w:rsid w:val="000E3841"/>
    <w:rsid w:val="000F08C6"/>
    <w:rsid w:val="000F23FB"/>
    <w:rsid w:val="000F291B"/>
    <w:rsid w:val="00107B94"/>
    <w:rsid w:val="001217D9"/>
    <w:rsid w:val="0013078C"/>
    <w:rsid w:val="00131B3B"/>
    <w:rsid w:val="00134CFC"/>
    <w:rsid w:val="00140652"/>
    <w:rsid w:val="00141387"/>
    <w:rsid w:val="00143EB4"/>
    <w:rsid w:val="0014432C"/>
    <w:rsid w:val="00144496"/>
    <w:rsid w:val="00146EE3"/>
    <w:rsid w:val="0015496C"/>
    <w:rsid w:val="00157476"/>
    <w:rsid w:val="00161D40"/>
    <w:rsid w:val="00162CE1"/>
    <w:rsid w:val="00163AA6"/>
    <w:rsid w:val="00166EA6"/>
    <w:rsid w:val="00170E12"/>
    <w:rsid w:val="00176B31"/>
    <w:rsid w:val="00176C72"/>
    <w:rsid w:val="001770EE"/>
    <w:rsid w:val="0017719E"/>
    <w:rsid w:val="00181D4B"/>
    <w:rsid w:val="001904F6"/>
    <w:rsid w:val="00193898"/>
    <w:rsid w:val="001942E2"/>
    <w:rsid w:val="00194815"/>
    <w:rsid w:val="00196D6F"/>
    <w:rsid w:val="001A1F7B"/>
    <w:rsid w:val="001A7EDF"/>
    <w:rsid w:val="001B08B2"/>
    <w:rsid w:val="001B08F9"/>
    <w:rsid w:val="001C1FC1"/>
    <w:rsid w:val="001C2AED"/>
    <w:rsid w:val="001D0C4D"/>
    <w:rsid w:val="001D5161"/>
    <w:rsid w:val="001E5256"/>
    <w:rsid w:val="001E59D8"/>
    <w:rsid w:val="00206412"/>
    <w:rsid w:val="00213F49"/>
    <w:rsid w:val="002219A9"/>
    <w:rsid w:val="00222D46"/>
    <w:rsid w:val="00226BCD"/>
    <w:rsid w:val="00231A5C"/>
    <w:rsid w:val="00234AC6"/>
    <w:rsid w:val="00237ECE"/>
    <w:rsid w:val="002426D8"/>
    <w:rsid w:val="00245F50"/>
    <w:rsid w:val="002512E2"/>
    <w:rsid w:val="002534CD"/>
    <w:rsid w:val="002568CD"/>
    <w:rsid w:val="0027604A"/>
    <w:rsid w:val="002821F5"/>
    <w:rsid w:val="002832EC"/>
    <w:rsid w:val="002A0432"/>
    <w:rsid w:val="002A19E1"/>
    <w:rsid w:val="002B64DC"/>
    <w:rsid w:val="002C5B1D"/>
    <w:rsid w:val="002D1F1A"/>
    <w:rsid w:val="002D2985"/>
    <w:rsid w:val="002D4670"/>
    <w:rsid w:val="002D632B"/>
    <w:rsid w:val="002E48D6"/>
    <w:rsid w:val="002E780D"/>
    <w:rsid w:val="002F2F75"/>
    <w:rsid w:val="002F5C38"/>
    <w:rsid w:val="002F6526"/>
    <w:rsid w:val="0030700B"/>
    <w:rsid w:val="00312151"/>
    <w:rsid w:val="00316C30"/>
    <w:rsid w:val="00316E75"/>
    <w:rsid w:val="003231F3"/>
    <w:rsid w:val="003254D3"/>
    <w:rsid w:val="00325553"/>
    <w:rsid w:val="0032794B"/>
    <w:rsid w:val="00331129"/>
    <w:rsid w:val="00333497"/>
    <w:rsid w:val="0033372D"/>
    <w:rsid w:val="00336D34"/>
    <w:rsid w:val="003406ED"/>
    <w:rsid w:val="00343EDF"/>
    <w:rsid w:val="0035292C"/>
    <w:rsid w:val="00362BCC"/>
    <w:rsid w:val="00363DA9"/>
    <w:rsid w:val="003667FF"/>
    <w:rsid w:val="00366E52"/>
    <w:rsid w:val="00374F28"/>
    <w:rsid w:val="00377262"/>
    <w:rsid w:val="00387767"/>
    <w:rsid w:val="00387D83"/>
    <w:rsid w:val="003904CF"/>
    <w:rsid w:val="003919EC"/>
    <w:rsid w:val="003968A2"/>
    <w:rsid w:val="003A233C"/>
    <w:rsid w:val="003A6DEC"/>
    <w:rsid w:val="003A71C5"/>
    <w:rsid w:val="003A7B52"/>
    <w:rsid w:val="003D3F6E"/>
    <w:rsid w:val="003D4DD9"/>
    <w:rsid w:val="003E14A3"/>
    <w:rsid w:val="003F6717"/>
    <w:rsid w:val="004051B3"/>
    <w:rsid w:val="00407877"/>
    <w:rsid w:val="004103EC"/>
    <w:rsid w:val="00415488"/>
    <w:rsid w:val="004173F3"/>
    <w:rsid w:val="004229FE"/>
    <w:rsid w:val="0042403B"/>
    <w:rsid w:val="00452270"/>
    <w:rsid w:val="00456A96"/>
    <w:rsid w:val="00456DAA"/>
    <w:rsid w:val="00464696"/>
    <w:rsid w:val="00471FAD"/>
    <w:rsid w:val="00475C19"/>
    <w:rsid w:val="0047698B"/>
    <w:rsid w:val="00477AB9"/>
    <w:rsid w:val="004825F5"/>
    <w:rsid w:val="0049084F"/>
    <w:rsid w:val="00491AB8"/>
    <w:rsid w:val="00495F11"/>
    <w:rsid w:val="00496C45"/>
    <w:rsid w:val="004A2758"/>
    <w:rsid w:val="004A40DD"/>
    <w:rsid w:val="004C11AF"/>
    <w:rsid w:val="004D15E1"/>
    <w:rsid w:val="004D7DF0"/>
    <w:rsid w:val="004D7F1C"/>
    <w:rsid w:val="004E0C4F"/>
    <w:rsid w:val="004E0F5A"/>
    <w:rsid w:val="004E3D5C"/>
    <w:rsid w:val="004E6A6C"/>
    <w:rsid w:val="004F13CD"/>
    <w:rsid w:val="004F3366"/>
    <w:rsid w:val="004F3E4B"/>
    <w:rsid w:val="004F475F"/>
    <w:rsid w:val="004F651D"/>
    <w:rsid w:val="00501326"/>
    <w:rsid w:val="00501558"/>
    <w:rsid w:val="00506DE4"/>
    <w:rsid w:val="005150C9"/>
    <w:rsid w:val="00516A3B"/>
    <w:rsid w:val="00517525"/>
    <w:rsid w:val="00520A6F"/>
    <w:rsid w:val="005266C2"/>
    <w:rsid w:val="00526C8F"/>
    <w:rsid w:val="00530164"/>
    <w:rsid w:val="005306F3"/>
    <w:rsid w:val="005319E3"/>
    <w:rsid w:val="005334BE"/>
    <w:rsid w:val="00541254"/>
    <w:rsid w:val="00550822"/>
    <w:rsid w:val="00551DD6"/>
    <w:rsid w:val="00555C78"/>
    <w:rsid w:val="005570AA"/>
    <w:rsid w:val="00557B7E"/>
    <w:rsid w:val="00560F49"/>
    <w:rsid w:val="00563E22"/>
    <w:rsid w:val="00563EFC"/>
    <w:rsid w:val="00564608"/>
    <w:rsid w:val="005668C4"/>
    <w:rsid w:val="00570099"/>
    <w:rsid w:val="0057349A"/>
    <w:rsid w:val="0057354D"/>
    <w:rsid w:val="00581B3C"/>
    <w:rsid w:val="0059345A"/>
    <w:rsid w:val="005A4E07"/>
    <w:rsid w:val="005A621F"/>
    <w:rsid w:val="005A7321"/>
    <w:rsid w:val="005B4F61"/>
    <w:rsid w:val="005B6610"/>
    <w:rsid w:val="005C4496"/>
    <w:rsid w:val="005C5C37"/>
    <w:rsid w:val="005C7C22"/>
    <w:rsid w:val="005C7F13"/>
    <w:rsid w:val="005D2B11"/>
    <w:rsid w:val="005E0E8D"/>
    <w:rsid w:val="005E45BB"/>
    <w:rsid w:val="005E7858"/>
    <w:rsid w:val="005E7AE9"/>
    <w:rsid w:val="005F109F"/>
    <w:rsid w:val="005F16E5"/>
    <w:rsid w:val="005F3FF9"/>
    <w:rsid w:val="006022CC"/>
    <w:rsid w:val="0060615D"/>
    <w:rsid w:val="00607CA5"/>
    <w:rsid w:val="00612A1C"/>
    <w:rsid w:val="006238C4"/>
    <w:rsid w:val="006253E4"/>
    <w:rsid w:val="00625C17"/>
    <w:rsid w:val="0063157A"/>
    <w:rsid w:val="006344F2"/>
    <w:rsid w:val="00635752"/>
    <w:rsid w:val="00641E26"/>
    <w:rsid w:val="0065299A"/>
    <w:rsid w:val="00661062"/>
    <w:rsid w:val="006634BE"/>
    <w:rsid w:val="00667D8A"/>
    <w:rsid w:val="00670828"/>
    <w:rsid w:val="00671CEB"/>
    <w:rsid w:val="00681D50"/>
    <w:rsid w:val="00684BFF"/>
    <w:rsid w:val="00691A97"/>
    <w:rsid w:val="00694376"/>
    <w:rsid w:val="006943A7"/>
    <w:rsid w:val="006A0DDA"/>
    <w:rsid w:val="006C058E"/>
    <w:rsid w:val="006C3E16"/>
    <w:rsid w:val="006D45B0"/>
    <w:rsid w:val="006D7A02"/>
    <w:rsid w:val="006F46B8"/>
    <w:rsid w:val="006F4B0C"/>
    <w:rsid w:val="006F5300"/>
    <w:rsid w:val="006F539D"/>
    <w:rsid w:val="00707281"/>
    <w:rsid w:val="00730B2B"/>
    <w:rsid w:val="007401E2"/>
    <w:rsid w:val="00743959"/>
    <w:rsid w:val="0074602A"/>
    <w:rsid w:val="00746A42"/>
    <w:rsid w:val="00770267"/>
    <w:rsid w:val="00775598"/>
    <w:rsid w:val="00777515"/>
    <w:rsid w:val="00780709"/>
    <w:rsid w:val="00780FAD"/>
    <w:rsid w:val="00782AEB"/>
    <w:rsid w:val="007940B2"/>
    <w:rsid w:val="007942A1"/>
    <w:rsid w:val="00795EEE"/>
    <w:rsid w:val="00796DD9"/>
    <w:rsid w:val="007A20BB"/>
    <w:rsid w:val="007A56AB"/>
    <w:rsid w:val="007B22B5"/>
    <w:rsid w:val="007B7696"/>
    <w:rsid w:val="007C15AB"/>
    <w:rsid w:val="007C212B"/>
    <w:rsid w:val="007C42F0"/>
    <w:rsid w:val="007C4501"/>
    <w:rsid w:val="007E3EF7"/>
    <w:rsid w:val="007F4186"/>
    <w:rsid w:val="007F6B0D"/>
    <w:rsid w:val="0082191F"/>
    <w:rsid w:val="00826FD9"/>
    <w:rsid w:val="008335A1"/>
    <w:rsid w:val="008377D8"/>
    <w:rsid w:val="00837A17"/>
    <w:rsid w:val="0084002E"/>
    <w:rsid w:val="0084069E"/>
    <w:rsid w:val="00847BDC"/>
    <w:rsid w:val="00852C62"/>
    <w:rsid w:val="00862AD4"/>
    <w:rsid w:val="008632A0"/>
    <w:rsid w:val="00863302"/>
    <w:rsid w:val="0086367F"/>
    <w:rsid w:val="00864E93"/>
    <w:rsid w:val="008658DA"/>
    <w:rsid w:val="008666F3"/>
    <w:rsid w:val="0088196F"/>
    <w:rsid w:val="00883E7F"/>
    <w:rsid w:val="00893093"/>
    <w:rsid w:val="00895CD9"/>
    <w:rsid w:val="008A11E8"/>
    <w:rsid w:val="008A143D"/>
    <w:rsid w:val="008A1F21"/>
    <w:rsid w:val="008A422D"/>
    <w:rsid w:val="008A6113"/>
    <w:rsid w:val="008A6ADF"/>
    <w:rsid w:val="008B3A73"/>
    <w:rsid w:val="008C0E95"/>
    <w:rsid w:val="008C0ECE"/>
    <w:rsid w:val="008C7EBA"/>
    <w:rsid w:val="008D07A3"/>
    <w:rsid w:val="008D5226"/>
    <w:rsid w:val="008D53E2"/>
    <w:rsid w:val="008D72C2"/>
    <w:rsid w:val="008E006A"/>
    <w:rsid w:val="008E3768"/>
    <w:rsid w:val="008F34BF"/>
    <w:rsid w:val="008F7152"/>
    <w:rsid w:val="008F7250"/>
    <w:rsid w:val="009025D4"/>
    <w:rsid w:val="0090766E"/>
    <w:rsid w:val="009078E5"/>
    <w:rsid w:val="00910C01"/>
    <w:rsid w:val="00913BA4"/>
    <w:rsid w:val="00914042"/>
    <w:rsid w:val="0092092D"/>
    <w:rsid w:val="00931C3F"/>
    <w:rsid w:val="00932AD3"/>
    <w:rsid w:val="009359C9"/>
    <w:rsid w:val="00944E4E"/>
    <w:rsid w:val="00950B87"/>
    <w:rsid w:val="0095543E"/>
    <w:rsid w:val="00960415"/>
    <w:rsid w:val="00961B44"/>
    <w:rsid w:val="00966636"/>
    <w:rsid w:val="00967A6F"/>
    <w:rsid w:val="00970BC7"/>
    <w:rsid w:val="00977A5C"/>
    <w:rsid w:val="0099038C"/>
    <w:rsid w:val="00990F1C"/>
    <w:rsid w:val="009914FA"/>
    <w:rsid w:val="00992286"/>
    <w:rsid w:val="009969E8"/>
    <w:rsid w:val="009A0971"/>
    <w:rsid w:val="009A0E8E"/>
    <w:rsid w:val="009B10D3"/>
    <w:rsid w:val="009B333D"/>
    <w:rsid w:val="009C1EB7"/>
    <w:rsid w:val="009D5590"/>
    <w:rsid w:val="009E0A11"/>
    <w:rsid w:val="009E23BD"/>
    <w:rsid w:val="009E2CC2"/>
    <w:rsid w:val="009E2EBC"/>
    <w:rsid w:val="009E3BC0"/>
    <w:rsid w:val="009E433A"/>
    <w:rsid w:val="009F4C73"/>
    <w:rsid w:val="009F4F6A"/>
    <w:rsid w:val="009F77AA"/>
    <w:rsid w:val="00A03F38"/>
    <w:rsid w:val="00A06FAC"/>
    <w:rsid w:val="00A15067"/>
    <w:rsid w:val="00A15A9A"/>
    <w:rsid w:val="00A2631B"/>
    <w:rsid w:val="00A30A74"/>
    <w:rsid w:val="00A4186A"/>
    <w:rsid w:val="00A44D63"/>
    <w:rsid w:val="00A500E8"/>
    <w:rsid w:val="00A52483"/>
    <w:rsid w:val="00A532CA"/>
    <w:rsid w:val="00A54EEB"/>
    <w:rsid w:val="00A65452"/>
    <w:rsid w:val="00A7442D"/>
    <w:rsid w:val="00A77918"/>
    <w:rsid w:val="00A92321"/>
    <w:rsid w:val="00A928C7"/>
    <w:rsid w:val="00A96A02"/>
    <w:rsid w:val="00AB1A5D"/>
    <w:rsid w:val="00AB1AF1"/>
    <w:rsid w:val="00AB70F2"/>
    <w:rsid w:val="00AC403E"/>
    <w:rsid w:val="00AC471C"/>
    <w:rsid w:val="00AD5F3D"/>
    <w:rsid w:val="00AD6936"/>
    <w:rsid w:val="00AE314D"/>
    <w:rsid w:val="00AE5935"/>
    <w:rsid w:val="00AF2B73"/>
    <w:rsid w:val="00AF4B54"/>
    <w:rsid w:val="00AF5BCC"/>
    <w:rsid w:val="00B026E8"/>
    <w:rsid w:val="00B037A3"/>
    <w:rsid w:val="00B03DD7"/>
    <w:rsid w:val="00B05FFF"/>
    <w:rsid w:val="00B06F3F"/>
    <w:rsid w:val="00B24A53"/>
    <w:rsid w:val="00B30C05"/>
    <w:rsid w:val="00B4147B"/>
    <w:rsid w:val="00B44AD6"/>
    <w:rsid w:val="00B52C9C"/>
    <w:rsid w:val="00B56A4C"/>
    <w:rsid w:val="00B67019"/>
    <w:rsid w:val="00B67CD0"/>
    <w:rsid w:val="00B70B7C"/>
    <w:rsid w:val="00B73900"/>
    <w:rsid w:val="00B8038E"/>
    <w:rsid w:val="00B82394"/>
    <w:rsid w:val="00B96B34"/>
    <w:rsid w:val="00BB0160"/>
    <w:rsid w:val="00BB136A"/>
    <w:rsid w:val="00BB2038"/>
    <w:rsid w:val="00BB4AB9"/>
    <w:rsid w:val="00BB720B"/>
    <w:rsid w:val="00BB7646"/>
    <w:rsid w:val="00BD3AB3"/>
    <w:rsid w:val="00BE1768"/>
    <w:rsid w:val="00BE21C5"/>
    <w:rsid w:val="00BE50F8"/>
    <w:rsid w:val="00BF3C98"/>
    <w:rsid w:val="00C22D7B"/>
    <w:rsid w:val="00C24FF7"/>
    <w:rsid w:val="00C250DE"/>
    <w:rsid w:val="00C2673B"/>
    <w:rsid w:val="00C40437"/>
    <w:rsid w:val="00C427E5"/>
    <w:rsid w:val="00C44075"/>
    <w:rsid w:val="00C44C0E"/>
    <w:rsid w:val="00C459F8"/>
    <w:rsid w:val="00C524EE"/>
    <w:rsid w:val="00C52A3C"/>
    <w:rsid w:val="00C5331A"/>
    <w:rsid w:val="00C615C6"/>
    <w:rsid w:val="00C82F29"/>
    <w:rsid w:val="00C86746"/>
    <w:rsid w:val="00C872C8"/>
    <w:rsid w:val="00CB0139"/>
    <w:rsid w:val="00CD1091"/>
    <w:rsid w:val="00CE1783"/>
    <w:rsid w:val="00CE18E3"/>
    <w:rsid w:val="00CE18ED"/>
    <w:rsid w:val="00CE60A3"/>
    <w:rsid w:val="00CF68B8"/>
    <w:rsid w:val="00D036CD"/>
    <w:rsid w:val="00D04EF2"/>
    <w:rsid w:val="00D210E4"/>
    <w:rsid w:val="00D30790"/>
    <w:rsid w:val="00D358CC"/>
    <w:rsid w:val="00D36B27"/>
    <w:rsid w:val="00D40531"/>
    <w:rsid w:val="00D41DD9"/>
    <w:rsid w:val="00D456E1"/>
    <w:rsid w:val="00D458E2"/>
    <w:rsid w:val="00D507B2"/>
    <w:rsid w:val="00D50C53"/>
    <w:rsid w:val="00D54583"/>
    <w:rsid w:val="00D55740"/>
    <w:rsid w:val="00D618E7"/>
    <w:rsid w:val="00D61BA6"/>
    <w:rsid w:val="00D66EC6"/>
    <w:rsid w:val="00D73B7B"/>
    <w:rsid w:val="00D7730D"/>
    <w:rsid w:val="00D805B3"/>
    <w:rsid w:val="00D8378B"/>
    <w:rsid w:val="00D902D7"/>
    <w:rsid w:val="00D90A04"/>
    <w:rsid w:val="00D9548A"/>
    <w:rsid w:val="00D96806"/>
    <w:rsid w:val="00DB03F6"/>
    <w:rsid w:val="00DB56E1"/>
    <w:rsid w:val="00DC1B25"/>
    <w:rsid w:val="00DE0E68"/>
    <w:rsid w:val="00DE2CA0"/>
    <w:rsid w:val="00DE7134"/>
    <w:rsid w:val="00DF3621"/>
    <w:rsid w:val="00DF3B7F"/>
    <w:rsid w:val="00DF46F3"/>
    <w:rsid w:val="00DF4A93"/>
    <w:rsid w:val="00DF7DE3"/>
    <w:rsid w:val="00E073FA"/>
    <w:rsid w:val="00E0780E"/>
    <w:rsid w:val="00E12B66"/>
    <w:rsid w:val="00E14CA1"/>
    <w:rsid w:val="00E16ED1"/>
    <w:rsid w:val="00E17733"/>
    <w:rsid w:val="00E21E08"/>
    <w:rsid w:val="00E25B3F"/>
    <w:rsid w:val="00E26906"/>
    <w:rsid w:val="00E26CD9"/>
    <w:rsid w:val="00E31CFC"/>
    <w:rsid w:val="00E35D60"/>
    <w:rsid w:val="00E405C0"/>
    <w:rsid w:val="00E5346E"/>
    <w:rsid w:val="00E54A1A"/>
    <w:rsid w:val="00E54B58"/>
    <w:rsid w:val="00E57A41"/>
    <w:rsid w:val="00E6263B"/>
    <w:rsid w:val="00E6441F"/>
    <w:rsid w:val="00E67F09"/>
    <w:rsid w:val="00E7198B"/>
    <w:rsid w:val="00E828A3"/>
    <w:rsid w:val="00E83947"/>
    <w:rsid w:val="00E85ECE"/>
    <w:rsid w:val="00E939BD"/>
    <w:rsid w:val="00EC01C4"/>
    <w:rsid w:val="00EC655F"/>
    <w:rsid w:val="00ED588B"/>
    <w:rsid w:val="00ED764A"/>
    <w:rsid w:val="00EE2E5E"/>
    <w:rsid w:val="00EE5095"/>
    <w:rsid w:val="00EF2CA7"/>
    <w:rsid w:val="00EF3DD1"/>
    <w:rsid w:val="00F07EE5"/>
    <w:rsid w:val="00F11C02"/>
    <w:rsid w:val="00F353B3"/>
    <w:rsid w:val="00F35BB1"/>
    <w:rsid w:val="00F4501D"/>
    <w:rsid w:val="00F467D0"/>
    <w:rsid w:val="00F47068"/>
    <w:rsid w:val="00F5130E"/>
    <w:rsid w:val="00F51BAF"/>
    <w:rsid w:val="00F5749D"/>
    <w:rsid w:val="00F616AB"/>
    <w:rsid w:val="00F70939"/>
    <w:rsid w:val="00F73473"/>
    <w:rsid w:val="00F759EB"/>
    <w:rsid w:val="00F75B73"/>
    <w:rsid w:val="00F82F6E"/>
    <w:rsid w:val="00F84A74"/>
    <w:rsid w:val="00F84B4C"/>
    <w:rsid w:val="00F86E94"/>
    <w:rsid w:val="00F9177B"/>
    <w:rsid w:val="00F969DE"/>
    <w:rsid w:val="00FA2D19"/>
    <w:rsid w:val="00FA5645"/>
    <w:rsid w:val="00FA576A"/>
    <w:rsid w:val="00FB0B22"/>
    <w:rsid w:val="00FB0B99"/>
    <w:rsid w:val="00FB23F4"/>
    <w:rsid w:val="00FC0A74"/>
    <w:rsid w:val="00FC221D"/>
    <w:rsid w:val="00FC32E3"/>
    <w:rsid w:val="00FD64D1"/>
    <w:rsid w:val="00FD7341"/>
    <w:rsid w:val="00FF149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0584A8E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AR" w:eastAsia="es-A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53DE"/>
    <w:pPr>
      <w:spacing w:after="200" w:line="276" w:lineRule="auto"/>
    </w:pPr>
    <w:rPr>
      <w:rFonts w:ascii="Calibri" w:eastAsia="Calibri" w:hAnsi="Calibri"/>
      <w:sz w:val="22"/>
      <w:szCs w:val="22"/>
      <w:lang w:val="en-US" w:eastAsia="en-US"/>
    </w:rPr>
  </w:style>
  <w:style w:type="paragraph" w:styleId="Ttulo1">
    <w:name w:val="heading 1"/>
    <w:basedOn w:val="Normal"/>
    <w:next w:val="Normal"/>
    <w:link w:val="Ttulo1Car"/>
    <w:uiPriority w:val="9"/>
    <w:qFormat/>
    <w:rsid w:val="00E26CD9"/>
    <w:pPr>
      <w:keepNext/>
      <w:spacing w:before="240" w:after="60"/>
      <w:outlineLvl w:val="0"/>
    </w:pPr>
    <w:rPr>
      <w:rFonts w:ascii="Calibri Light" w:eastAsia="Times New Roman" w:hAnsi="Calibri Light"/>
      <w:b/>
      <w:bCs/>
      <w:kern w:val="32"/>
      <w:sz w:val="32"/>
      <w:szCs w:val="32"/>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aliases w:val="encabezado"/>
    <w:basedOn w:val="Normal"/>
    <w:link w:val="EncabezadoCar"/>
    <w:unhideWhenUsed/>
    <w:rsid w:val="005A53DE"/>
    <w:pPr>
      <w:tabs>
        <w:tab w:val="center" w:pos="4680"/>
        <w:tab w:val="right" w:pos="9360"/>
      </w:tabs>
      <w:spacing w:after="0" w:line="240" w:lineRule="auto"/>
    </w:pPr>
  </w:style>
  <w:style w:type="paragraph" w:styleId="Piedepgina">
    <w:name w:val="footer"/>
    <w:basedOn w:val="Normal"/>
    <w:link w:val="PiedepginaCar"/>
    <w:unhideWhenUsed/>
    <w:rsid w:val="005A53DE"/>
    <w:pPr>
      <w:tabs>
        <w:tab w:val="center" w:pos="4680"/>
        <w:tab w:val="right" w:pos="9360"/>
      </w:tabs>
      <w:spacing w:after="0" w:line="240" w:lineRule="auto"/>
    </w:pPr>
  </w:style>
  <w:style w:type="paragraph" w:customStyle="1" w:styleId="Default">
    <w:name w:val="Default"/>
    <w:rsid w:val="005A53DE"/>
    <w:pPr>
      <w:autoSpaceDE w:val="0"/>
      <w:autoSpaceDN w:val="0"/>
      <w:adjustRightInd w:val="0"/>
    </w:pPr>
    <w:rPr>
      <w:rFonts w:ascii="Arial" w:hAnsi="Arial" w:cs="Arial"/>
      <w:color w:val="000000"/>
      <w:sz w:val="24"/>
      <w:szCs w:val="24"/>
      <w:lang w:val="en-US" w:eastAsia="en-US"/>
    </w:rPr>
  </w:style>
  <w:style w:type="character" w:styleId="Hipervnculo">
    <w:name w:val="Hyperlink"/>
    <w:rsid w:val="005A53DE"/>
    <w:rPr>
      <w:color w:val="0000FF"/>
      <w:u w:val="single"/>
    </w:rPr>
  </w:style>
  <w:style w:type="paragraph" w:styleId="Textoindependiente">
    <w:name w:val="Body Text"/>
    <w:basedOn w:val="Normal"/>
    <w:semiHidden/>
    <w:unhideWhenUsed/>
    <w:rsid w:val="005A53DE"/>
    <w:pPr>
      <w:spacing w:after="120"/>
    </w:pPr>
  </w:style>
  <w:style w:type="paragraph" w:styleId="Textodeglobo">
    <w:name w:val="Balloon Text"/>
    <w:basedOn w:val="Normal"/>
    <w:link w:val="TextodegloboCar"/>
    <w:uiPriority w:val="99"/>
    <w:semiHidden/>
    <w:unhideWhenUsed/>
    <w:rsid w:val="0060615D"/>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60615D"/>
    <w:rPr>
      <w:rFonts w:ascii="Tahoma" w:eastAsia="Calibri" w:hAnsi="Tahoma" w:cs="Tahoma"/>
      <w:sz w:val="16"/>
      <w:szCs w:val="16"/>
    </w:rPr>
  </w:style>
  <w:style w:type="paragraph" w:styleId="Prrafodelista">
    <w:name w:val="List Paragraph"/>
    <w:aliases w:val="Párrafo de lista1,List Paragraph1,Colorful List - Accent 11,List Paragraph11,List Paragraph2,Lista vistosa - Énfasis 11,Medium Grid 1 - Accent 21,Colorful List - Accent 12,Subtle Emphasis1,Footnote1,Parrafos"/>
    <w:link w:val="PrrafodelistaCar"/>
    <w:qFormat/>
    <w:rsid w:val="00B24A53"/>
    <w:pPr>
      <w:pBdr>
        <w:top w:val="nil"/>
        <w:left w:val="nil"/>
        <w:bottom w:val="nil"/>
        <w:right w:val="nil"/>
        <w:between w:val="nil"/>
        <w:bar w:val="nil"/>
      </w:pBdr>
      <w:ind w:left="720"/>
    </w:pPr>
    <w:rPr>
      <w:rFonts w:ascii="Cambria" w:eastAsia="Cambria" w:hAnsi="Cambria" w:cs="Cambria"/>
      <w:color w:val="000000"/>
      <w:sz w:val="24"/>
      <w:szCs w:val="24"/>
      <w:u w:color="000000"/>
      <w:bdr w:val="nil"/>
      <w:lang w:val="en-US" w:eastAsia="es-ES"/>
    </w:rPr>
  </w:style>
  <w:style w:type="character" w:customStyle="1" w:styleId="PrrafodelistaCar">
    <w:name w:val="Párrafo de lista Car"/>
    <w:aliases w:val="Párrafo de lista1 Car,List Paragraph1 Car,Colorful List - Accent 11 Car,List Paragraph11 Car,List Paragraph2 Car,Lista vistosa - Énfasis 11 Car,Medium Grid 1 - Accent 21 Car,Colorful List - Accent 12 Car,Subtle Emphasis1 Car"/>
    <w:link w:val="Prrafodelista"/>
    <w:locked/>
    <w:rsid w:val="00B24A53"/>
    <w:rPr>
      <w:rFonts w:ascii="Cambria" w:eastAsia="Cambria" w:hAnsi="Cambria" w:cs="Cambria"/>
      <w:color w:val="000000"/>
      <w:sz w:val="24"/>
      <w:szCs w:val="24"/>
      <w:u w:color="000000"/>
      <w:bdr w:val="nil"/>
      <w:lang w:eastAsia="es-ES"/>
    </w:rPr>
  </w:style>
  <w:style w:type="character" w:styleId="Refdecomentario">
    <w:name w:val="annotation reference"/>
    <w:uiPriority w:val="99"/>
    <w:semiHidden/>
    <w:unhideWhenUsed/>
    <w:rsid w:val="00DF7DE3"/>
    <w:rPr>
      <w:sz w:val="16"/>
      <w:szCs w:val="16"/>
    </w:rPr>
  </w:style>
  <w:style w:type="paragraph" w:styleId="Textocomentario">
    <w:name w:val="annotation text"/>
    <w:basedOn w:val="Normal"/>
    <w:link w:val="TextocomentarioCar"/>
    <w:uiPriority w:val="99"/>
    <w:semiHidden/>
    <w:unhideWhenUsed/>
    <w:rsid w:val="00DF7DE3"/>
    <w:rPr>
      <w:sz w:val="20"/>
      <w:szCs w:val="20"/>
    </w:rPr>
  </w:style>
  <w:style w:type="character" w:customStyle="1" w:styleId="TextocomentarioCar">
    <w:name w:val="Texto comentario Car"/>
    <w:link w:val="Textocomentario"/>
    <w:uiPriority w:val="99"/>
    <w:semiHidden/>
    <w:rsid w:val="00DF7DE3"/>
    <w:rPr>
      <w:rFonts w:ascii="Calibri" w:eastAsia="Calibri" w:hAnsi="Calibri"/>
    </w:rPr>
  </w:style>
  <w:style w:type="paragraph" w:styleId="Asuntodelcomentario">
    <w:name w:val="annotation subject"/>
    <w:basedOn w:val="Textocomentario"/>
    <w:next w:val="Textocomentario"/>
    <w:link w:val="AsuntodelcomentarioCar"/>
    <w:uiPriority w:val="99"/>
    <w:semiHidden/>
    <w:unhideWhenUsed/>
    <w:rsid w:val="00DF7DE3"/>
    <w:rPr>
      <w:b/>
      <w:bCs/>
    </w:rPr>
  </w:style>
  <w:style w:type="character" w:customStyle="1" w:styleId="AsuntodelcomentarioCar">
    <w:name w:val="Asunto del comentario Car"/>
    <w:link w:val="Asuntodelcomentario"/>
    <w:uiPriority w:val="99"/>
    <w:semiHidden/>
    <w:rsid w:val="00DF7DE3"/>
    <w:rPr>
      <w:rFonts w:ascii="Calibri" w:eastAsia="Calibri" w:hAnsi="Calibri"/>
      <w:b/>
      <w:bCs/>
    </w:rPr>
  </w:style>
  <w:style w:type="paragraph" w:styleId="NormalWeb">
    <w:name w:val="Normal (Web)"/>
    <w:basedOn w:val="Normal"/>
    <w:uiPriority w:val="99"/>
    <w:semiHidden/>
    <w:unhideWhenUsed/>
    <w:rsid w:val="004C11AF"/>
    <w:pPr>
      <w:spacing w:before="100" w:beforeAutospacing="1" w:after="100" w:afterAutospacing="1" w:line="240" w:lineRule="auto"/>
    </w:pPr>
    <w:rPr>
      <w:rFonts w:ascii="Times New Roman" w:hAnsi="Times New Roman"/>
      <w:sz w:val="24"/>
      <w:szCs w:val="24"/>
    </w:rPr>
  </w:style>
  <w:style w:type="paragraph" w:styleId="Sangradetextonormal">
    <w:name w:val="Body Text Indent"/>
    <w:basedOn w:val="Normal"/>
    <w:link w:val="SangradetextonormalCar"/>
    <w:uiPriority w:val="99"/>
    <w:unhideWhenUsed/>
    <w:rsid w:val="00A54EEB"/>
    <w:pPr>
      <w:spacing w:after="120"/>
      <w:ind w:left="360"/>
    </w:pPr>
  </w:style>
  <w:style w:type="character" w:customStyle="1" w:styleId="SangradetextonormalCar">
    <w:name w:val="Sangría de texto normal Car"/>
    <w:link w:val="Sangradetextonormal"/>
    <w:uiPriority w:val="99"/>
    <w:rsid w:val="00A54EEB"/>
    <w:rPr>
      <w:rFonts w:ascii="Calibri" w:eastAsia="Calibri" w:hAnsi="Calibri"/>
      <w:sz w:val="22"/>
      <w:szCs w:val="22"/>
    </w:rPr>
  </w:style>
  <w:style w:type="paragraph" w:customStyle="1" w:styleId="parrafos">
    <w:name w:val="parrafos"/>
    <w:basedOn w:val="Normal"/>
    <w:link w:val="parrafosChar"/>
    <w:qFormat/>
    <w:rsid w:val="00E26CD9"/>
    <w:pPr>
      <w:spacing w:after="0" w:line="240" w:lineRule="auto"/>
      <w:jc w:val="both"/>
    </w:pPr>
    <w:rPr>
      <w:rFonts w:ascii="Cambria" w:eastAsia="Arial Unicode MS" w:hAnsi="Cambria"/>
      <w:color w:val="000000"/>
      <w:sz w:val="20"/>
      <w:szCs w:val="20"/>
      <w:bdr w:val="nil"/>
      <w:lang w:val="es-VE"/>
    </w:rPr>
  </w:style>
  <w:style w:type="character" w:customStyle="1" w:styleId="parrafosChar">
    <w:name w:val="parrafos Char"/>
    <w:link w:val="parrafos"/>
    <w:rsid w:val="00E26CD9"/>
    <w:rPr>
      <w:rFonts w:ascii="Cambria" w:eastAsia="Arial Unicode MS" w:hAnsi="Cambria"/>
      <w:color w:val="000000"/>
      <w:bdr w:val="nil"/>
      <w:lang w:val="es-VE"/>
    </w:rPr>
  </w:style>
  <w:style w:type="character" w:customStyle="1" w:styleId="Ttulo1Car">
    <w:name w:val="Título 1 Car"/>
    <w:link w:val="Ttulo1"/>
    <w:uiPriority w:val="9"/>
    <w:rsid w:val="00E26CD9"/>
    <w:rPr>
      <w:rFonts w:ascii="Calibri Light" w:eastAsia="Times New Roman" w:hAnsi="Calibri Light" w:cs="Times New Roman"/>
      <w:b/>
      <w:bCs/>
      <w:kern w:val="32"/>
      <w:sz w:val="32"/>
      <w:szCs w:val="32"/>
    </w:rPr>
  </w:style>
  <w:style w:type="paragraph" w:styleId="TtuloTDC">
    <w:name w:val="TOC Heading"/>
    <w:basedOn w:val="Ttulo1"/>
    <w:next w:val="Normal"/>
    <w:uiPriority w:val="39"/>
    <w:unhideWhenUsed/>
    <w:qFormat/>
    <w:rsid w:val="00E26CD9"/>
    <w:pPr>
      <w:keepLines/>
      <w:spacing w:before="480" w:after="0"/>
      <w:outlineLvl w:val="9"/>
    </w:pPr>
    <w:rPr>
      <w:rFonts w:ascii="Cambria" w:eastAsia="MS Gothic" w:hAnsi="Cambria"/>
      <w:color w:val="365F91"/>
      <w:kern w:val="0"/>
      <w:sz w:val="28"/>
      <w:szCs w:val="28"/>
      <w:lang w:eastAsia="ja-JP"/>
    </w:rPr>
  </w:style>
  <w:style w:type="character" w:styleId="Textoennegrita">
    <w:name w:val="Strong"/>
    <w:uiPriority w:val="22"/>
    <w:qFormat/>
    <w:rsid w:val="00036FC7"/>
    <w:rPr>
      <w:b/>
      <w:bCs/>
    </w:rPr>
  </w:style>
  <w:style w:type="character" w:customStyle="1" w:styleId="EncabezadoCar">
    <w:name w:val="Encabezado Car"/>
    <w:aliases w:val="encabezado Car"/>
    <w:link w:val="Encabezado"/>
    <w:rsid w:val="00475C19"/>
    <w:rPr>
      <w:rFonts w:ascii="Calibri" w:eastAsia="Calibri" w:hAnsi="Calibri"/>
      <w:sz w:val="22"/>
      <w:szCs w:val="22"/>
    </w:rPr>
  </w:style>
  <w:style w:type="paragraph" w:styleId="Ttulo">
    <w:name w:val="Title"/>
    <w:basedOn w:val="Normal"/>
    <w:link w:val="TtuloCar"/>
    <w:qFormat/>
    <w:rsid w:val="004A40DD"/>
    <w:pPr>
      <w:spacing w:after="0" w:line="240" w:lineRule="auto"/>
      <w:jc w:val="center"/>
    </w:pPr>
    <w:rPr>
      <w:rFonts w:ascii="Garamond" w:eastAsia="Times New Roman" w:hAnsi="Garamond"/>
      <w:b/>
      <w:bCs/>
      <w:sz w:val="30"/>
      <w:szCs w:val="30"/>
      <w:lang w:val="en-GB" w:eastAsia="es-ES"/>
    </w:rPr>
  </w:style>
  <w:style w:type="character" w:customStyle="1" w:styleId="TtuloCar">
    <w:name w:val="Título Car"/>
    <w:link w:val="Ttulo"/>
    <w:rsid w:val="004A40DD"/>
    <w:rPr>
      <w:rFonts w:ascii="Garamond" w:hAnsi="Garamond"/>
      <w:b/>
      <w:bCs/>
      <w:sz w:val="30"/>
      <w:szCs w:val="30"/>
      <w:lang w:val="en-GB" w:eastAsia="es-ES"/>
    </w:rPr>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f"/>
    <w:basedOn w:val="Normal"/>
    <w:link w:val="TextonotapieCar1"/>
    <w:unhideWhenUsed/>
    <w:qFormat/>
    <w:rsid w:val="009078E5"/>
    <w:rPr>
      <w:sz w:val="20"/>
      <w:szCs w:val="20"/>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qFormat/>
    <w:rsid w:val="009078E5"/>
    <w:rPr>
      <w:rFonts w:ascii="Calibri" w:eastAsia="Calibri" w:hAnsi="Calibri"/>
    </w:rPr>
  </w:style>
  <w:style w:type="character" w:styleId="Refdenotaalpie">
    <w:name w:val="footnote reference"/>
    <w:aliases w:val="Footnotes refss,Ref. de nota al pie.,Texto de nota al pie,Appel note de bas de page,referencia nota al pie,BVI fnr,Footnote number,f,f1,4_G,16 Point,Superscript 6 Point,Footnote symbol,Footnote,Texto nota al pie,Footnote Reference Ch"/>
    <w:link w:val="FootnotesrefssChar1Char"/>
    <w:unhideWhenUsed/>
    <w:qFormat/>
    <w:rsid w:val="009078E5"/>
    <w:rPr>
      <w:vertAlign w:val="superscript"/>
    </w:rPr>
  </w:style>
  <w:style w:type="paragraph" w:customStyle="1" w:styleId="FootnotesrefssChar1Char">
    <w:name w:val="Footnotes refss Char1 Char"/>
    <w:aliases w:val="Texto de nota al pie Char1 Char,Appel note de bas de page Char1 Char,Footnote number Char1 Char,referencia nota al pie Char1 Char,BVI fnr Char1 Char,f Char1 Char,4_G Char1 Char,16 Point Char1 Char"/>
    <w:basedOn w:val="Normal"/>
    <w:link w:val="Refdenotaalpie"/>
    <w:uiPriority w:val="99"/>
    <w:qFormat/>
    <w:rsid w:val="009E0A11"/>
    <w:pPr>
      <w:spacing w:after="160" w:line="240" w:lineRule="exact"/>
    </w:pPr>
    <w:rPr>
      <w:rFonts w:ascii="Times New Roman" w:eastAsia="Times New Roman" w:hAnsi="Times New Roman"/>
      <w:sz w:val="20"/>
      <w:szCs w:val="20"/>
      <w:vertAlign w:val="superscript"/>
    </w:rPr>
  </w:style>
  <w:style w:type="paragraph" w:styleId="Textoindependiente3">
    <w:name w:val="Body Text 3"/>
    <w:basedOn w:val="Normal"/>
    <w:link w:val="Textoindependiente3Car"/>
    <w:uiPriority w:val="99"/>
    <w:unhideWhenUsed/>
    <w:rsid w:val="00231A5C"/>
    <w:pPr>
      <w:pBdr>
        <w:top w:val="nil"/>
        <w:left w:val="nil"/>
        <w:bottom w:val="nil"/>
        <w:right w:val="nil"/>
        <w:between w:val="nil"/>
        <w:bar w:val="nil"/>
      </w:pBdr>
      <w:spacing w:after="120" w:line="240" w:lineRule="auto"/>
    </w:pPr>
    <w:rPr>
      <w:rFonts w:ascii="Times New Roman" w:eastAsia="Arial Unicode MS" w:hAnsi="Times New Roman"/>
      <w:sz w:val="16"/>
      <w:szCs w:val="16"/>
      <w:bdr w:val="nil"/>
    </w:rPr>
  </w:style>
  <w:style w:type="character" w:customStyle="1" w:styleId="Textoindependiente3Car">
    <w:name w:val="Texto independiente 3 Car"/>
    <w:link w:val="Textoindependiente3"/>
    <w:uiPriority w:val="99"/>
    <w:rsid w:val="00231A5C"/>
    <w:rPr>
      <w:rFonts w:eastAsia="Arial Unicode MS"/>
      <w:sz w:val="16"/>
      <w:szCs w:val="16"/>
      <w:bdr w:val="nil"/>
    </w:rPr>
  </w:style>
  <w:style w:type="character" w:customStyle="1" w:styleId="PiedepginaCar">
    <w:name w:val="Pie de página Car"/>
    <w:link w:val="Piedepgina"/>
    <w:rsid w:val="00366E52"/>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228618">
      <w:bodyDiv w:val="1"/>
      <w:marLeft w:val="0"/>
      <w:marRight w:val="0"/>
      <w:marTop w:val="0"/>
      <w:marBottom w:val="0"/>
      <w:divBdr>
        <w:top w:val="none" w:sz="0" w:space="0" w:color="auto"/>
        <w:left w:val="none" w:sz="0" w:space="0" w:color="auto"/>
        <w:bottom w:val="none" w:sz="0" w:space="0" w:color="auto"/>
        <w:right w:val="none" w:sz="0" w:space="0" w:color="auto"/>
      </w:divBdr>
    </w:div>
    <w:div w:id="606470186">
      <w:bodyDiv w:val="1"/>
      <w:marLeft w:val="0"/>
      <w:marRight w:val="0"/>
      <w:marTop w:val="0"/>
      <w:marBottom w:val="0"/>
      <w:divBdr>
        <w:top w:val="none" w:sz="0" w:space="0" w:color="auto"/>
        <w:left w:val="none" w:sz="0" w:space="0" w:color="auto"/>
        <w:bottom w:val="none" w:sz="0" w:space="0" w:color="auto"/>
        <w:right w:val="none" w:sz="0" w:space="0" w:color="auto"/>
      </w:divBdr>
    </w:div>
    <w:div w:id="843789377">
      <w:bodyDiv w:val="1"/>
      <w:marLeft w:val="0"/>
      <w:marRight w:val="0"/>
      <w:marTop w:val="0"/>
      <w:marBottom w:val="0"/>
      <w:divBdr>
        <w:top w:val="none" w:sz="0" w:space="0" w:color="auto"/>
        <w:left w:val="none" w:sz="0" w:space="0" w:color="auto"/>
        <w:bottom w:val="none" w:sz="0" w:space="0" w:color="auto"/>
        <w:right w:val="none" w:sz="0" w:space="0" w:color="auto"/>
      </w:divBdr>
    </w:div>
    <w:div w:id="931162599">
      <w:bodyDiv w:val="1"/>
      <w:marLeft w:val="0"/>
      <w:marRight w:val="0"/>
      <w:marTop w:val="0"/>
      <w:marBottom w:val="0"/>
      <w:divBdr>
        <w:top w:val="none" w:sz="0" w:space="0" w:color="auto"/>
        <w:left w:val="none" w:sz="0" w:space="0" w:color="auto"/>
        <w:bottom w:val="none" w:sz="0" w:space="0" w:color="auto"/>
        <w:right w:val="none" w:sz="0" w:space="0" w:color="auto"/>
      </w:divBdr>
    </w:div>
    <w:div w:id="1474252416">
      <w:bodyDiv w:val="1"/>
      <w:marLeft w:val="0"/>
      <w:marRight w:val="0"/>
      <w:marTop w:val="0"/>
      <w:marBottom w:val="0"/>
      <w:divBdr>
        <w:top w:val="none" w:sz="0" w:space="0" w:color="auto"/>
        <w:left w:val="none" w:sz="0" w:space="0" w:color="auto"/>
        <w:bottom w:val="none" w:sz="0" w:space="0" w:color="auto"/>
        <w:right w:val="none" w:sz="0" w:space="0" w:color="auto"/>
      </w:divBdr>
    </w:div>
    <w:div w:id="1529416678">
      <w:bodyDiv w:val="1"/>
      <w:marLeft w:val="0"/>
      <w:marRight w:val="0"/>
      <w:marTop w:val="0"/>
      <w:marBottom w:val="0"/>
      <w:divBdr>
        <w:top w:val="none" w:sz="0" w:space="0" w:color="auto"/>
        <w:left w:val="none" w:sz="0" w:space="0" w:color="auto"/>
        <w:bottom w:val="none" w:sz="0" w:space="0" w:color="auto"/>
        <w:right w:val="none" w:sz="0" w:space="0" w:color="auto"/>
      </w:divBdr>
    </w:div>
    <w:div w:id="2086221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89DCDDB8A16B44BDC2A7128ECAC845" ma:contentTypeVersion="13" ma:contentTypeDescription="Create a new document." ma:contentTypeScope="" ma:versionID="576f7d155c2f194fbc08dd29dd5bd01c">
  <xsd:schema xmlns:xsd="http://www.w3.org/2001/XMLSchema" xmlns:xs="http://www.w3.org/2001/XMLSchema" xmlns:p="http://schemas.microsoft.com/office/2006/metadata/properties" xmlns:ns2="7ff2a89a-f9c3-4229-b04b-1f4abb2786a1" xmlns:ns3="730f74aa-8393-4aa5-b2f8-3c7aae566a68" targetNamespace="http://schemas.microsoft.com/office/2006/metadata/properties" ma:root="true" ma:fieldsID="74e2f7944343de88d9341c5d439af048" ns2:_="" ns3:_="">
    <xsd:import namespace="7ff2a89a-f9c3-4229-b04b-1f4abb2786a1"/>
    <xsd:import namespace="730f74aa-8393-4aa5-b2f8-3c7aae566a6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f2a89a-f9c3-4229-b04b-1f4abb2786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0f74aa-8393-4aa5-b2f8-3c7aae566a6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F80975-4553-4E31-8CA8-2D8FCDF594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f2a89a-f9c3-4229-b04b-1f4abb2786a1"/>
    <ds:schemaRef ds:uri="730f74aa-8393-4aa5-b2f8-3c7aae566a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27357A-A97D-4331-83A0-4ECC7B275F09}">
  <ds:schemaRefs>
    <ds:schemaRef ds:uri="http://schemas.openxmlformats.org/officeDocument/2006/bibliography"/>
  </ds:schemaRefs>
</ds:datastoreItem>
</file>

<file path=customXml/itemProps3.xml><?xml version="1.0" encoding="utf-8"?>
<ds:datastoreItem xmlns:ds="http://schemas.openxmlformats.org/officeDocument/2006/customXml" ds:itemID="{9943037C-F584-4D2B-99F9-C6D6EEAB1FEE}">
  <ds:schemaRefs>
    <ds:schemaRef ds:uri="http://schemas.microsoft.com/office/2006/metadata/longProperties"/>
  </ds:schemaRefs>
</ds:datastoreItem>
</file>

<file path=customXml/itemProps4.xml><?xml version="1.0" encoding="utf-8"?>
<ds:datastoreItem xmlns:ds="http://schemas.openxmlformats.org/officeDocument/2006/customXml" ds:itemID="{2E46C40D-C136-40F1-A7AD-61F36ABD78F0}">
  <ds:schemaRefs>
    <ds:schemaRef ds:uri="http://schemas.microsoft.com/sharepoint/v3/contenttype/forms"/>
  </ds:schemaRefs>
</ds:datastoreItem>
</file>

<file path=customXml/itemProps5.xml><?xml version="1.0" encoding="utf-8"?>
<ds:datastoreItem xmlns:ds="http://schemas.openxmlformats.org/officeDocument/2006/customXml" ds:itemID="{1F2248A3-5814-4EDC-9806-32688864786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1348</Words>
  <Characters>7415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2022-10-15T16:36:00Z</dcterms:created>
  <dcterms:modified xsi:type="dcterms:W3CDTF">2022-10-15T16:36:00Z</dcterms:modified>
</cp:coreProperties>
</file>