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48139" w14:textId="77777777" w:rsidR="0083415E" w:rsidRDefault="0083415E" w:rsidP="0083415E">
      <w:pPr>
        <w:tabs>
          <w:tab w:val="left" w:pos="567"/>
        </w:tabs>
        <w:spacing w:after="0" w:line="240" w:lineRule="auto"/>
        <w:ind w:left="567" w:hanging="567"/>
        <w:jc w:val="center"/>
        <w:rPr>
          <w:b/>
          <w:szCs w:val="20"/>
          <w:lang w:val="es-CR"/>
        </w:rPr>
      </w:pPr>
      <w:r>
        <w:rPr>
          <w:b/>
          <w:szCs w:val="20"/>
          <w:lang w:val="es-CR"/>
        </w:rPr>
        <w:t>RESOLUCIÓN DEL PRESIDENTE DE LA</w:t>
      </w:r>
    </w:p>
    <w:p w14:paraId="2E5E2FB7" w14:textId="77777777" w:rsidR="0083415E" w:rsidRDefault="0083415E" w:rsidP="0083415E">
      <w:pPr>
        <w:tabs>
          <w:tab w:val="left" w:pos="567"/>
        </w:tabs>
        <w:spacing w:after="0" w:line="240" w:lineRule="auto"/>
        <w:jc w:val="center"/>
        <w:rPr>
          <w:b/>
          <w:szCs w:val="20"/>
          <w:lang w:val="es-CR"/>
        </w:rPr>
      </w:pPr>
      <w:r>
        <w:rPr>
          <w:b/>
          <w:szCs w:val="20"/>
          <w:lang w:val="es-CR"/>
        </w:rPr>
        <w:t>CORTE INTERAMERICANA DE DERECHOS HUMANOS</w:t>
      </w:r>
    </w:p>
    <w:p w14:paraId="6E59484F" w14:textId="77777777" w:rsidR="0083415E" w:rsidRDefault="0083415E" w:rsidP="0083415E">
      <w:pPr>
        <w:tabs>
          <w:tab w:val="left" w:pos="567"/>
        </w:tabs>
        <w:spacing w:after="0" w:line="240" w:lineRule="auto"/>
        <w:jc w:val="center"/>
        <w:rPr>
          <w:b/>
          <w:szCs w:val="20"/>
          <w:lang w:val="es-CR"/>
        </w:rPr>
      </w:pPr>
    </w:p>
    <w:p w14:paraId="7237EDD1" w14:textId="025B3F8F" w:rsidR="0083415E" w:rsidRDefault="0083415E" w:rsidP="0083415E">
      <w:pPr>
        <w:tabs>
          <w:tab w:val="left" w:pos="567"/>
        </w:tabs>
        <w:spacing w:after="0" w:line="240" w:lineRule="auto"/>
        <w:jc w:val="center"/>
        <w:rPr>
          <w:b/>
          <w:szCs w:val="20"/>
          <w:lang w:val="es-CR"/>
        </w:rPr>
      </w:pPr>
      <w:r>
        <w:rPr>
          <w:b/>
          <w:szCs w:val="20"/>
          <w:lang w:val="es-CR"/>
        </w:rPr>
        <w:t xml:space="preserve">DE </w:t>
      </w:r>
      <w:r w:rsidR="00D771E7">
        <w:rPr>
          <w:b/>
          <w:szCs w:val="20"/>
          <w:lang w:val="es-CR"/>
        </w:rPr>
        <w:t>21</w:t>
      </w:r>
      <w:r>
        <w:rPr>
          <w:b/>
          <w:szCs w:val="20"/>
          <w:lang w:val="es-CR"/>
        </w:rPr>
        <w:t xml:space="preserve"> DE SEPTIEMBRE DE 2022</w:t>
      </w:r>
    </w:p>
    <w:p w14:paraId="66AB5326" w14:textId="77777777" w:rsidR="0083415E" w:rsidRDefault="0083415E" w:rsidP="0083415E">
      <w:pPr>
        <w:tabs>
          <w:tab w:val="left" w:pos="567"/>
        </w:tabs>
        <w:spacing w:after="0" w:line="240" w:lineRule="auto"/>
        <w:jc w:val="center"/>
        <w:rPr>
          <w:b/>
          <w:szCs w:val="20"/>
          <w:lang w:val="es-CR"/>
        </w:rPr>
      </w:pPr>
    </w:p>
    <w:p w14:paraId="55A1CC1E" w14:textId="10FC0BBB" w:rsidR="0083415E" w:rsidRDefault="0083415E" w:rsidP="0083415E">
      <w:pPr>
        <w:tabs>
          <w:tab w:val="left" w:pos="567"/>
        </w:tabs>
        <w:spacing w:after="0" w:line="240" w:lineRule="auto"/>
        <w:jc w:val="center"/>
        <w:rPr>
          <w:szCs w:val="20"/>
          <w:lang w:val="es-CR"/>
        </w:rPr>
      </w:pPr>
      <w:r>
        <w:rPr>
          <w:b/>
          <w:szCs w:val="20"/>
          <w:lang w:val="es-CR"/>
        </w:rPr>
        <w:t>CASO MARÍA Y OTRO VS. ARGENTIN</w:t>
      </w:r>
      <w:r w:rsidR="002C628F">
        <w:rPr>
          <w:b/>
          <w:szCs w:val="20"/>
          <w:lang w:val="es-CR"/>
        </w:rPr>
        <w:t>A</w:t>
      </w:r>
    </w:p>
    <w:p w14:paraId="3B2089A5" w14:textId="77777777" w:rsidR="0083415E" w:rsidRDefault="0083415E" w:rsidP="0083415E">
      <w:pPr>
        <w:tabs>
          <w:tab w:val="left" w:pos="567"/>
        </w:tabs>
        <w:spacing w:after="0" w:line="240" w:lineRule="auto"/>
        <w:rPr>
          <w:szCs w:val="20"/>
          <w:lang w:val="es-CR"/>
        </w:rPr>
      </w:pPr>
    </w:p>
    <w:p w14:paraId="6A4D443F" w14:textId="77777777" w:rsidR="0083415E" w:rsidRDefault="0083415E" w:rsidP="0083415E">
      <w:pPr>
        <w:tabs>
          <w:tab w:val="left" w:pos="567"/>
        </w:tabs>
        <w:spacing w:after="0" w:line="240" w:lineRule="auto"/>
        <w:rPr>
          <w:b/>
          <w:szCs w:val="20"/>
          <w:lang w:val="es-CR"/>
        </w:rPr>
      </w:pPr>
      <w:r>
        <w:rPr>
          <w:b/>
          <w:szCs w:val="20"/>
          <w:lang w:val="es-CR"/>
        </w:rPr>
        <w:t>VISTO:</w:t>
      </w:r>
    </w:p>
    <w:p w14:paraId="314025C4" w14:textId="28DD5218" w:rsidR="0083415E" w:rsidRPr="00547AF1" w:rsidRDefault="0083415E" w:rsidP="0083415E">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bookmarkStart w:id="0" w:name="_Ref393297742"/>
      <w:bookmarkStart w:id="1" w:name="_Ref352676460"/>
      <w:r>
        <w:rPr>
          <w:lang w:val="es-CR"/>
        </w:rPr>
        <w:t>El escrito de sometimiento del caso y el Informe de Fondo de la Comisión Interamericana de Derechos Humanos (en adelante “la Comisión Interamericana” o “la Comisión”)</w:t>
      </w:r>
      <w:bookmarkEnd w:id="0"/>
      <w:r>
        <w:rPr>
          <w:lang w:val="es-CR"/>
        </w:rPr>
        <w:t xml:space="preserve">; </w:t>
      </w:r>
      <w:bookmarkStart w:id="2" w:name="_Ref351983508"/>
      <w:bookmarkStart w:id="3" w:name="_Ref393297751"/>
      <w:bookmarkEnd w:id="1"/>
      <w:r>
        <w:rPr>
          <w:lang w:val="es-CR"/>
        </w:rPr>
        <w:t>el escrito de solicitudes, argumentos y pruebas (en adelante, “escrito de solicitudes y argumentos”) de las representantes de las presuntas víctimas</w:t>
      </w:r>
      <w:r>
        <w:rPr>
          <w:rStyle w:val="Refdenotaalpie"/>
          <w:lang w:val="es-CR"/>
        </w:rPr>
        <w:footnoteReference w:id="1"/>
      </w:r>
      <w:r>
        <w:rPr>
          <w:lang w:val="es-CR"/>
        </w:rPr>
        <w:t xml:space="preserve">; </w:t>
      </w:r>
      <w:bookmarkStart w:id="4" w:name="_Ref352676532"/>
      <w:bookmarkEnd w:id="2"/>
      <w:bookmarkEnd w:id="3"/>
      <w:r>
        <w:rPr>
          <w:lang w:val="es-CR"/>
        </w:rPr>
        <w:t xml:space="preserve">el escrito de </w:t>
      </w:r>
      <w:r w:rsidRPr="0099773D">
        <w:t>reconocimiento</w:t>
      </w:r>
      <w:r>
        <w:rPr>
          <w:lang w:val="es-CR"/>
        </w:rPr>
        <w:t xml:space="preserve"> de responsabilidad y de contestación al sometimiento del caso y al escrito de solicitudes y </w:t>
      </w:r>
      <w:r w:rsidRPr="00262956">
        <w:rPr>
          <w:color w:val="000000" w:themeColor="text1"/>
          <w:lang w:val="es-CR"/>
        </w:rPr>
        <w:t xml:space="preserve">argumentos </w:t>
      </w:r>
      <w:r>
        <w:rPr>
          <w:lang w:val="es-CR"/>
        </w:rPr>
        <w:t xml:space="preserve">(en adelante “escrito de contestación”) </w:t>
      </w:r>
      <w:bookmarkEnd w:id="4"/>
      <w:r>
        <w:rPr>
          <w:lang w:val="es-CR"/>
        </w:rPr>
        <w:t>de la República</w:t>
      </w:r>
      <w:r>
        <w:t xml:space="preserve"> Argentina</w:t>
      </w:r>
      <w:r>
        <w:rPr>
          <w:b/>
          <w:lang w:val="es-CR"/>
        </w:rPr>
        <w:t xml:space="preserve"> </w:t>
      </w:r>
      <w:r>
        <w:t>(en adelante “Argentina” o “el Estado”).</w:t>
      </w:r>
    </w:p>
    <w:p w14:paraId="4DA32122" w14:textId="27E7FC71" w:rsidR="00547AF1" w:rsidRPr="00073780" w:rsidRDefault="00547AF1" w:rsidP="0083415E">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r>
        <w:t>La nota de Secretaría de 8 de septiembre de 2022, mediante la cual, siguiendo instrucciones de la Presidencia, se declaró procedente la solicitud de las presuntas víctimas de acogerse al Fondo de Asistencia Legal de Víctimas de la Corte Interamericana de Derechos Humanos.</w:t>
      </w:r>
    </w:p>
    <w:p w14:paraId="2D0BBEE0" w14:textId="77777777" w:rsidR="0083415E" w:rsidRPr="00A761F2" w:rsidRDefault="0083415E" w:rsidP="0083415E">
      <w:pPr>
        <w:tabs>
          <w:tab w:val="left" w:pos="567"/>
        </w:tabs>
        <w:spacing w:after="0" w:line="240" w:lineRule="auto"/>
        <w:rPr>
          <w:b/>
          <w:szCs w:val="20"/>
          <w:lang w:val="es-CR"/>
        </w:rPr>
      </w:pPr>
      <w:r>
        <w:rPr>
          <w:b/>
          <w:szCs w:val="20"/>
          <w:lang w:val="es-CR"/>
        </w:rPr>
        <w:t>CONSIDERANDO QUE:</w:t>
      </w:r>
    </w:p>
    <w:p w14:paraId="36A669CC" w14:textId="0E17E8D5" w:rsidR="0083415E" w:rsidRDefault="0083415E" w:rsidP="0083415E">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lang w:val="es-CR"/>
        </w:rPr>
      </w:pPr>
      <w:r>
        <w:rPr>
          <w:lang w:val="es-CR"/>
        </w:rPr>
        <w:t>El ofrecimiento y la admisión de la prueba, así como la citación de declarantes se encuentran regulados en los artículos 35.1.f, 40.2.c, 41.1.c, 50, y 57 del Reglamento de la Corte Interamericana de Derechos Humanos (en adelante, “el Reglamento”).</w:t>
      </w:r>
    </w:p>
    <w:p w14:paraId="464BFCF5" w14:textId="184C7DE1" w:rsidR="00934DAA" w:rsidRDefault="00934DAA" w:rsidP="0083415E">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lang w:val="es-CR"/>
        </w:rPr>
      </w:pPr>
      <w:r>
        <w:rPr>
          <w:lang w:val="es-CR"/>
        </w:rPr>
        <w:t>En el presente caso, debido a los hecho</w:t>
      </w:r>
      <w:r w:rsidR="002C628F">
        <w:rPr>
          <w:lang w:val="es-CR"/>
        </w:rPr>
        <w:t>s</w:t>
      </w:r>
      <w:r>
        <w:rPr>
          <w:lang w:val="es-CR"/>
        </w:rPr>
        <w:t xml:space="preserve"> denunciados,</w:t>
      </w:r>
      <w:r w:rsidRPr="00934DAA">
        <w:rPr>
          <w:lang w:val="es-CR"/>
        </w:rPr>
        <w:t xml:space="preserve"> el mero transcurso del tiempo puede llegar a agravar la situación de las presuntas víctimas, por lo que resulta urgente su pronta resolució</w:t>
      </w:r>
      <w:r>
        <w:rPr>
          <w:lang w:val="es-CR"/>
        </w:rPr>
        <w:t>n.</w:t>
      </w:r>
    </w:p>
    <w:p w14:paraId="4985E3F3" w14:textId="3086B87F" w:rsidR="00D771E7" w:rsidRPr="00A761F2" w:rsidRDefault="00D771E7" w:rsidP="0083415E">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lang w:val="es-CR"/>
        </w:rPr>
      </w:pPr>
      <w:r>
        <w:rPr>
          <w:lang w:val="es-CR"/>
        </w:rPr>
        <w:t xml:space="preserve">En virtud de lo anterior, el </w:t>
      </w:r>
      <w:proofErr w:type="gramStart"/>
      <w:r>
        <w:rPr>
          <w:lang w:val="es-CR"/>
        </w:rPr>
        <w:t>Presidente</w:t>
      </w:r>
      <w:proofErr w:type="gramEnd"/>
      <w:r>
        <w:rPr>
          <w:lang w:val="es-CR"/>
        </w:rPr>
        <w:t xml:space="preserve"> de la Corte ha decidido que es necesario convocar a una audiencia pública durante la cual se recibirán las declaraciones que sean admitidas para tales efectos, así como los alegatos y observaciones finales orales de las partes y la Comisión Interamericana, respectivamente.</w:t>
      </w:r>
    </w:p>
    <w:p w14:paraId="0DB2659B" w14:textId="36AFFB67" w:rsidR="0083415E" w:rsidRPr="00D771E7" w:rsidRDefault="0083415E" w:rsidP="00D771E7">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szCs w:val="20"/>
          <w:lang w:val="es-CL"/>
        </w:rPr>
      </w:pPr>
      <w:r w:rsidRPr="00BB327F">
        <w:rPr>
          <w:szCs w:val="20"/>
        </w:rPr>
        <w:t xml:space="preserve">La Comisión ofreció como prueba </w:t>
      </w:r>
      <w:r w:rsidR="00547AF1">
        <w:rPr>
          <w:szCs w:val="20"/>
        </w:rPr>
        <w:t>una declaración pericial</w:t>
      </w:r>
      <w:r w:rsidRPr="00444DD8">
        <w:rPr>
          <w:rStyle w:val="Refdenotaalpie"/>
          <w:sz w:val="20"/>
          <w:szCs w:val="20"/>
        </w:rPr>
        <w:footnoteReference w:id="2"/>
      </w:r>
      <w:r>
        <w:rPr>
          <w:szCs w:val="20"/>
        </w:rPr>
        <w:t xml:space="preserve">. </w:t>
      </w:r>
      <w:r w:rsidRPr="00BB327F">
        <w:rPr>
          <w:szCs w:val="20"/>
        </w:rPr>
        <w:t xml:space="preserve"> </w:t>
      </w:r>
      <w:r>
        <w:rPr>
          <w:szCs w:val="20"/>
        </w:rPr>
        <w:t>L</w:t>
      </w:r>
      <w:r w:rsidR="00547AF1">
        <w:rPr>
          <w:szCs w:val="20"/>
        </w:rPr>
        <w:t>a</w:t>
      </w:r>
      <w:r>
        <w:rPr>
          <w:szCs w:val="20"/>
        </w:rPr>
        <w:t>s representantes, en su escrito de solicitudes y argumentos, ofrecieron la declaración de dos presuntas víctimas</w:t>
      </w:r>
      <w:r>
        <w:rPr>
          <w:rStyle w:val="Refdenotaalpie"/>
        </w:rPr>
        <w:footnoteReference w:id="3"/>
      </w:r>
      <w:r w:rsidR="007963A0">
        <w:rPr>
          <w:szCs w:val="20"/>
        </w:rPr>
        <w:t>, de cinco testigos</w:t>
      </w:r>
      <w:r w:rsidR="007963A0">
        <w:rPr>
          <w:rStyle w:val="Refdenotaalpie"/>
        </w:rPr>
        <w:footnoteReference w:id="4"/>
      </w:r>
      <w:r w:rsidR="007963A0">
        <w:rPr>
          <w:szCs w:val="20"/>
        </w:rPr>
        <w:t xml:space="preserve"> </w:t>
      </w:r>
      <w:r>
        <w:rPr>
          <w:szCs w:val="20"/>
        </w:rPr>
        <w:t xml:space="preserve">y </w:t>
      </w:r>
      <w:r w:rsidR="007963A0">
        <w:rPr>
          <w:szCs w:val="20"/>
        </w:rPr>
        <w:t>tres</w:t>
      </w:r>
      <w:r>
        <w:rPr>
          <w:szCs w:val="20"/>
        </w:rPr>
        <w:t xml:space="preserve"> peritajes</w:t>
      </w:r>
      <w:r>
        <w:rPr>
          <w:rStyle w:val="Refdenotaalpie"/>
        </w:rPr>
        <w:footnoteReference w:id="5"/>
      </w:r>
      <w:r>
        <w:rPr>
          <w:szCs w:val="20"/>
        </w:rPr>
        <w:t xml:space="preserve">. </w:t>
      </w:r>
      <w:r w:rsidR="007963A0">
        <w:rPr>
          <w:szCs w:val="20"/>
        </w:rPr>
        <w:t>El Estado no ofreció declarantes.</w:t>
      </w:r>
      <w:r w:rsidRPr="00BB327F">
        <w:rPr>
          <w:szCs w:val="20"/>
        </w:rPr>
        <w:t xml:space="preserve"> </w:t>
      </w:r>
    </w:p>
    <w:p w14:paraId="0FF09413" w14:textId="0883948B" w:rsidR="0083415E" w:rsidRPr="008D51C7" w:rsidRDefault="0083415E" w:rsidP="0083415E">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Esta Presidencia considera procedente recabar las declaraciones de las presuntas víctimas</w:t>
      </w:r>
      <w:r w:rsidR="00AA6298">
        <w:rPr>
          <w:lang w:val="es-CR"/>
        </w:rPr>
        <w:t>, de los testigos</w:t>
      </w:r>
      <w:r>
        <w:rPr>
          <w:lang w:val="es-CR"/>
        </w:rPr>
        <w:t xml:space="preserve"> y los peritajes ofrecidos por l</w:t>
      </w:r>
      <w:r w:rsidR="00AA6298">
        <w:rPr>
          <w:lang w:val="es-CR"/>
        </w:rPr>
        <w:t>a</w:t>
      </w:r>
      <w:r>
        <w:rPr>
          <w:lang w:val="es-CR"/>
        </w:rPr>
        <w:t xml:space="preserve">s representantes, a efecto de que </w:t>
      </w:r>
      <w:r>
        <w:rPr>
          <w:lang w:val="es-CR"/>
        </w:rPr>
        <w:lastRenderedPageBreak/>
        <w:t xml:space="preserve">el Tribunal aprecie su valor en la debida oportunidad procesal, dentro del contexto del acervo probatorio existente, y según las reglas de la sana crítica. Por consiguiente, el </w:t>
      </w:r>
      <w:proofErr w:type="gramStart"/>
      <w:r>
        <w:rPr>
          <w:lang w:val="es-CR"/>
        </w:rPr>
        <w:t>Presidente</w:t>
      </w:r>
      <w:proofErr w:type="gramEnd"/>
      <w:r>
        <w:rPr>
          <w:lang w:val="es-CR"/>
        </w:rPr>
        <w:t xml:space="preserve"> admite las declaraciones de las presuntas víctimas </w:t>
      </w:r>
      <w:r w:rsidR="00AA6298">
        <w:rPr>
          <w:lang w:val="es-CR"/>
        </w:rPr>
        <w:t xml:space="preserve">Micaela Belén Pavón y Laura Aquino, de las testigos Dolores Mariela Aquino, Fortunata Acosta, Alejandra Isabel </w:t>
      </w:r>
      <w:proofErr w:type="spellStart"/>
      <w:r w:rsidR="00AA6298">
        <w:rPr>
          <w:lang w:val="es-CR"/>
        </w:rPr>
        <w:t>Verdondoni</w:t>
      </w:r>
      <w:proofErr w:type="spellEnd"/>
      <w:r w:rsidR="00AA6298">
        <w:rPr>
          <w:lang w:val="es-CR"/>
        </w:rPr>
        <w:t xml:space="preserve">, Silvana Beatriz </w:t>
      </w:r>
      <w:proofErr w:type="spellStart"/>
      <w:r w:rsidR="00AA6298">
        <w:rPr>
          <w:lang w:val="es-CR"/>
        </w:rPr>
        <w:t>Bigón</w:t>
      </w:r>
      <w:proofErr w:type="spellEnd"/>
      <w:r w:rsidR="00AA6298">
        <w:rPr>
          <w:lang w:val="es-CR"/>
        </w:rPr>
        <w:t xml:space="preserve"> y Gloria </w:t>
      </w:r>
      <w:proofErr w:type="spellStart"/>
      <w:r w:rsidR="00AA6298">
        <w:rPr>
          <w:lang w:val="es-CR"/>
        </w:rPr>
        <w:t>Liñan</w:t>
      </w:r>
      <w:proofErr w:type="spellEnd"/>
      <w:r w:rsidR="00AA6298">
        <w:rPr>
          <w:lang w:val="es-CR"/>
        </w:rPr>
        <w:t>, as</w:t>
      </w:r>
      <w:r w:rsidR="008807D7">
        <w:rPr>
          <w:lang w:val="es-CR"/>
        </w:rPr>
        <w:t>í</w:t>
      </w:r>
      <w:r w:rsidR="00AA6298">
        <w:rPr>
          <w:lang w:val="es-CR"/>
        </w:rPr>
        <w:t xml:space="preserve"> como los peritajes de Marisa Herrera, Miguel Cillero </w:t>
      </w:r>
      <w:proofErr w:type="spellStart"/>
      <w:r w:rsidR="00AA6298">
        <w:rPr>
          <w:lang w:val="es-CR"/>
        </w:rPr>
        <w:t>Bruñol</w:t>
      </w:r>
      <w:proofErr w:type="spellEnd"/>
      <w:r w:rsidR="00AA6298">
        <w:rPr>
          <w:lang w:val="es-CR"/>
        </w:rPr>
        <w:t xml:space="preserve"> y Emilio García Méndez</w:t>
      </w:r>
      <w:r>
        <w:rPr>
          <w:lang w:val="es-CR"/>
        </w:rPr>
        <w:t>, todos propuestos por las representantes, según el objeto y modalidad determinados en la parte resolutiva de la presente Resolución (</w:t>
      </w:r>
      <w:r>
        <w:rPr>
          <w:i/>
          <w:iCs/>
          <w:lang w:val="es-CR"/>
        </w:rPr>
        <w:t xml:space="preserve">infra, </w:t>
      </w:r>
      <w:r>
        <w:rPr>
          <w:lang w:val="es-CR"/>
        </w:rPr>
        <w:t>punto</w:t>
      </w:r>
      <w:r w:rsidR="00AA6298">
        <w:rPr>
          <w:lang w:val="es-CR"/>
        </w:rPr>
        <w:t>s</w:t>
      </w:r>
      <w:r>
        <w:rPr>
          <w:lang w:val="es-CR"/>
        </w:rPr>
        <w:t xml:space="preserve"> resolutivo</w:t>
      </w:r>
      <w:r w:rsidR="00AA6298">
        <w:rPr>
          <w:lang w:val="es-CR"/>
        </w:rPr>
        <w:t>s</w:t>
      </w:r>
      <w:r>
        <w:rPr>
          <w:lang w:val="es-CR"/>
        </w:rPr>
        <w:t xml:space="preserve"> 1</w:t>
      </w:r>
      <w:r w:rsidR="00AA6298">
        <w:rPr>
          <w:lang w:val="es-CR"/>
        </w:rPr>
        <w:t xml:space="preserve"> y 3</w:t>
      </w:r>
      <w:r>
        <w:rPr>
          <w:lang w:val="es-CR"/>
        </w:rPr>
        <w:t>).</w:t>
      </w:r>
    </w:p>
    <w:p w14:paraId="1B6D4930" w14:textId="1A006C2F" w:rsidR="0083415E" w:rsidRPr="008807D7" w:rsidRDefault="00AA6298" w:rsidP="0083415E">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E</w:t>
      </w:r>
      <w:r w:rsidR="0083415E">
        <w:rPr>
          <w:lang w:val="es-CR"/>
        </w:rPr>
        <w:t xml:space="preserve">sta Presidencia procederá a examinar en forma particular </w:t>
      </w:r>
      <w:r>
        <w:rPr>
          <w:lang w:val="es-CR"/>
        </w:rPr>
        <w:t xml:space="preserve">a) </w:t>
      </w:r>
      <w:r w:rsidR="0083415E">
        <w:rPr>
          <w:lang w:val="es-CR"/>
        </w:rPr>
        <w:t>la admisibilidad de la prueba pericial ofrecida por la Comisión</w:t>
      </w:r>
      <w:r>
        <w:rPr>
          <w:lang w:val="es-CR"/>
        </w:rPr>
        <w:t xml:space="preserve"> y </w:t>
      </w:r>
      <w:r w:rsidR="008807D7">
        <w:rPr>
          <w:lang w:val="es-CR"/>
        </w:rPr>
        <w:t>b) la aplicación del Fondo de Asistencia Legal de Víctimas ante la Corte.</w:t>
      </w:r>
    </w:p>
    <w:p w14:paraId="1D430E8F" w14:textId="7DFCD48C" w:rsidR="008807D7" w:rsidRPr="008807D7" w:rsidRDefault="008807D7" w:rsidP="008807D7">
      <w:pPr>
        <w:pStyle w:val="Prrafodelista"/>
        <w:widowControl w:val="0"/>
        <w:numPr>
          <w:ilvl w:val="0"/>
          <w:numId w:val="7"/>
        </w:numPr>
        <w:tabs>
          <w:tab w:val="left" w:pos="567"/>
          <w:tab w:val="left" w:pos="810"/>
        </w:tabs>
        <w:autoSpaceDE w:val="0"/>
        <w:autoSpaceDN w:val="0"/>
        <w:adjustRightInd w:val="0"/>
        <w:spacing w:before="240" w:after="240" w:line="240" w:lineRule="auto"/>
        <w:ind w:right="22"/>
        <w:jc w:val="both"/>
        <w:rPr>
          <w:rFonts w:eastAsia="Times New Roman"/>
          <w:b/>
          <w:bCs/>
          <w:i/>
          <w:iCs/>
          <w:lang w:val="es-CL"/>
        </w:rPr>
      </w:pPr>
      <w:r>
        <w:rPr>
          <w:rFonts w:eastAsia="Times New Roman"/>
          <w:b/>
          <w:bCs/>
          <w:i/>
          <w:iCs/>
          <w:lang w:val="es-CL"/>
        </w:rPr>
        <w:t>Admisibilidad de la prueba pericial ofrecida por la Comisión</w:t>
      </w:r>
    </w:p>
    <w:p w14:paraId="69082891" w14:textId="334A5FC6" w:rsidR="008807D7" w:rsidRPr="008807D7" w:rsidRDefault="0083415E" w:rsidP="0083415E">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szCs w:val="20"/>
        </w:rPr>
      </w:pPr>
      <w:r>
        <w:t>La Comisión ofreció como prueba pericial el dictamen de</w:t>
      </w:r>
      <w:r w:rsidR="00ED3768">
        <w:t xml:space="preserve"> la perita</w:t>
      </w:r>
      <w:r>
        <w:t xml:space="preserve"> </w:t>
      </w:r>
      <w:r w:rsidR="008807D7">
        <w:t xml:space="preserve">Mónica González </w:t>
      </w:r>
      <w:proofErr w:type="spellStart"/>
      <w:r w:rsidR="008807D7">
        <w:t>Contró</w:t>
      </w:r>
      <w:proofErr w:type="spellEnd"/>
      <w:r>
        <w:t xml:space="preserve"> para declarar sobre</w:t>
      </w:r>
      <w:r w:rsidR="008807D7">
        <w:t>:</w:t>
      </w:r>
    </w:p>
    <w:p w14:paraId="4A9D7753" w14:textId="4F7D9DA6" w:rsidR="0083415E" w:rsidRPr="008807D7" w:rsidRDefault="008807D7" w:rsidP="008807D7">
      <w:pPr>
        <w:widowControl w:val="0"/>
        <w:tabs>
          <w:tab w:val="left" w:pos="567"/>
          <w:tab w:val="left" w:pos="810"/>
        </w:tabs>
        <w:autoSpaceDE w:val="0"/>
        <w:autoSpaceDN w:val="0"/>
        <w:adjustRightInd w:val="0"/>
        <w:spacing w:before="240" w:after="240" w:line="240" w:lineRule="auto"/>
        <w:ind w:left="567" w:right="567"/>
        <w:jc w:val="both"/>
        <w:rPr>
          <w:sz w:val="18"/>
          <w:szCs w:val="18"/>
        </w:rPr>
      </w:pPr>
      <w:r w:rsidRPr="008807D7">
        <w:rPr>
          <w:sz w:val="18"/>
          <w:szCs w:val="18"/>
        </w:rPr>
        <w:t>[L]os deberes que impone el derecho internacional a los Estados en materia del derecho a protección de la vida familiar y a los derechos a las garantías judiciales y a la protección judicial en el marco de procesos de guarda y adopción. En particular, el perito/a se referirá a las obligaciones estatales de garantizar asistencia jurídica oportuna y eficaz a madres adolescentes con carácter previo a la entrega en adopción de sus hijos e hijas y de generar las condiciones necesarias para el mantenimiento de un vínculo entre las madres, su familia extendida y sus hijas e hijos biológicos, en supuestos como los del presente caso. En la medida de lo pertinente, el/la perito/a se referirá a otros sistemas internacionales de protección de derechos humanos y al derecho comparado. Para ejemplificar el desarrollo de su peritaje, el/la perito/a podrá referirse a los hechos del caso.</w:t>
      </w:r>
    </w:p>
    <w:p w14:paraId="6954DBBE" w14:textId="3C787214" w:rsidR="0083415E" w:rsidRDefault="0083415E" w:rsidP="0083415E">
      <w:pPr>
        <w:widowControl w:val="0"/>
        <w:numPr>
          <w:ilvl w:val="0"/>
          <w:numId w:val="2"/>
        </w:numPr>
        <w:tabs>
          <w:tab w:val="left" w:pos="567"/>
          <w:tab w:val="left" w:pos="720"/>
          <w:tab w:val="left" w:pos="810"/>
        </w:tabs>
        <w:autoSpaceDE w:val="0"/>
        <w:autoSpaceDN w:val="0"/>
        <w:adjustRightInd w:val="0"/>
        <w:spacing w:before="240" w:after="240" w:line="240" w:lineRule="auto"/>
        <w:ind w:left="0" w:right="22" w:firstLine="0"/>
        <w:jc w:val="both"/>
        <w:rPr>
          <w:szCs w:val="20"/>
          <w:lang w:val="es-CR"/>
        </w:rPr>
      </w:pPr>
      <w:r w:rsidRPr="00E30C63">
        <w:rPr>
          <w:szCs w:val="20"/>
        </w:rPr>
        <w:t xml:space="preserve">El </w:t>
      </w:r>
      <w:proofErr w:type="gramStart"/>
      <w:r w:rsidRPr="00E30C63">
        <w:rPr>
          <w:b/>
          <w:bCs/>
          <w:i/>
          <w:iCs/>
          <w:szCs w:val="20"/>
        </w:rPr>
        <w:t>Presidente</w:t>
      </w:r>
      <w:proofErr w:type="gramEnd"/>
      <w:r w:rsidRPr="00E30C63">
        <w:rPr>
          <w:b/>
          <w:bCs/>
          <w:i/>
          <w:iCs/>
          <w:szCs w:val="20"/>
        </w:rPr>
        <w:t xml:space="preserve"> </w:t>
      </w:r>
      <w:r w:rsidRPr="00E30C63">
        <w:rPr>
          <w:szCs w:val="20"/>
        </w:rPr>
        <w:t>recuerda que, de acuerdo con lo establecido en el artículo 35.1.f) del Reglamento, la “eventual designación de peritos” podrá ser efectuada por la Comisión Interamericana “cuando se afecte de manera relevante el orden público interamericano de los derechos humanos”</w:t>
      </w:r>
      <w:r w:rsidRPr="001B2A42">
        <w:rPr>
          <w:rStyle w:val="Refdenotaalpie"/>
          <w:sz w:val="20"/>
          <w:szCs w:val="20"/>
        </w:rPr>
        <w:footnoteReference w:id="6"/>
      </w:r>
      <w:r w:rsidRPr="00E30C63">
        <w:rPr>
          <w:szCs w:val="20"/>
        </w:rPr>
        <w:t xml:space="preserve">. </w:t>
      </w:r>
      <w:r w:rsidR="008807D7">
        <w:rPr>
          <w:szCs w:val="20"/>
        </w:rPr>
        <w:t xml:space="preserve">En este caso, después de un examen </w:t>
      </w:r>
      <w:r w:rsidR="008807D7">
        <w:rPr>
          <w:i/>
          <w:iCs/>
          <w:szCs w:val="20"/>
        </w:rPr>
        <w:t xml:space="preserve">prima </w:t>
      </w:r>
      <w:r w:rsidR="008807D7" w:rsidRPr="00F70F2E">
        <w:rPr>
          <w:i/>
          <w:iCs/>
          <w:szCs w:val="20"/>
        </w:rPr>
        <w:t>facie</w:t>
      </w:r>
      <w:r w:rsidR="008807D7">
        <w:rPr>
          <w:szCs w:val="20"/>
        </w:rPr>
        <w:t>, se considera que el objeto del peritaje ofrecido por</w:t>
      </w:r>
      <w:r w:rsidRPr="00E30C63">
        <w:rPr>
          <w:szCs w:val="20"/>
          <w:lang w:val="es-CR"/>
        </w:rPr>
        <w:t xml:space="preserve"> la Comisión resulta relevante para el orden público interamericano, debido a que implica</w:t>
      </w:r>
      <w:r>
        <w:rPr>
          <w:szCs w:val="20"/>
          <w:lang w:val="es-CR"/>
        </w:rPr>
        <w:t>n</w:t>
      </w:r>
      <w:r w:rsidRPr="00E30C63">
        <w:rPr>
          <w:szCs w:val="20"/>
          <w:lang w:val="es-CR"/>
        </w:rPr>
        <w:t xml:space="preserve"> un análisis de estándares internacionales relativos </w:t>
      </w:r>
      <w:r w:rsidR="00F17089">
        <w:rPr>
          <w:szCs w:val="20"/>
          <w:lang w:val="es-CR"/>
        </w:rPr>
        <w:t>al derecho a la protección de la vida familiar y a las garantías y protección judicial en el marco de procesos de guarda y adopción</w:t>
      </w:r>
      <w:r w:rsidRPr="00E30C63">
        <w:rPr>
          <w:szCs w:val="20"/>
          <w:lang w:val="es-CR"/>
        </w:rPr>
        <w:t xml:space="preserve">. En ese sentido, el objeto </w:t>
      </w:r>
      <w:r>
        <w:rPr>
          <w:szCs w:val="20"/>
          <w:lang w:val="es-CR"/>
        </w:rPr>
        <w:t>de los peritajes</w:t>
      </w:r>
      <w:r w:rsidRPr="00E30C63">
        <w:rPr>
          <w:szCs w:val="20"/>
          <w:lang w:val="es-CR"/>
        </w:rPr>
        <w:t xml:space="preserve"> trasciende los intereses específicos de las partes en el proceso y puede, eventualmente, tener impacto sobre situaciones que se presentan en otros Estados Parte en la Convención</w:t>
      </w:r>
      <w:r w:rsidRPr="001B2A42">
        <w:rPr>
          <w:rStyle w:val="Refdenotaalpie"/>
          <w:sz w:val="20"/>
          <w:szCs w:val="20"/>
          <w:lang w:val="es-CR"/>
        </w:rPr>
        <w:footnoteReference w:id="7"/>
      </w:r>
      <w:r w:rsidRPr="00E30C63">
        <w:rPr>
          <w:szCs w:val="20"/>
          <w:lang w:val="es-CR"/>
        </w:rPr>
        <w:t xml:space="preserve">. En consecuencia, el </w:t>
      </w:r>
      <w:proofErr w:type="gramStart"/>
      <w:r w:rsidRPr="00E30C63">
        <w:rPr>
          <w:szCs w:val="20"/>
          <w:lang w:val="es-CR"/>
        </w:rPr>
        <w:t>Presidente</w:t>
      </w:r>
      <w:proofErr w:type="gramEnd"/>
      <w:r w:rsidRPr="00E30C63">
        <w:rPr>
          <w:szCs w:val="20"/>
          <w:lang w:val="es-CR"/>
        </w:rPr>
        <w:t xml:space="preserve"> estima pertinente admitir </w:t>
      </w:r>
      <w:r w:rsidR="00866F16">
        <w:rPr>
          <w:szCs w:val="20"/>
          <w:lang w:val="es-CR"/>
        </w:rPr>
        <w:t>el dictamen pericial</w:t>
      </w:r>
      <w:r>
        <w:rPr>
          <w:szCs w:val="20"/>
          <w:lang w:val="es-CR"/>
        </w:rPr>
        <w:t xml:space="preserve"> ofrecido</w:t>
      </w:r>
      <w:r w:rsidRPr="00E30C63">
        <w:rPr>
          <w:szCs w:val="20"/>
          <w:lang w:val="es-CR"/>
        </w:rPr>
        <w:t xml:space="preserve"> por la Comisión, según el objeto y modalidad determinados en la parte resolutiva de la presente decisión (</w:t>
      </w:r>
      <w:r w:rsidRPr="00E30C63">
        <w:rPr>
          <w:i/>
          <w:iCs/>
          <w:szCs w:val="20"/>
          <w:lang w:val="es-CR"/>
        </w:rPr>
        <w:t xml:space="preserve">infra, </w:t>
      </w:r>
      <w:r w:rsidRPr="00E30C63">
        <w:rPr>
          <w:szCs w:val="20"/>
          <w:lang w:val="es-CR"/>
        </w:rPr>
        <w:t>punto resolutivo</w:t>
      </w:r>
      <w:r>
        <w:rPr>
          <w:szCs w:val="20"/>
          <w:lang w:val="es-CR"/>
        </w:rPr>
        <w:t xml:space="preserve"> 3</w:t>
      </w:r>
      <w:r w:rsidRPr="00E30C63">
        <w:rPr>
          <w:szCs w:val="20"/>
          <w:lang w:val="es-CR"/>
        </w:rPr>
        <w:t xml:space="preserve">). </w:t>
      </w:r>
    </w:p>
    <w:p w14:paraId="47A1FDC4" w14:textId="6986ED96" w:rsidR="00866F16" w:rsidRPr="00866F16" w:rsidRDefault="00866F16" w:rsidP="00866F16">
      <w:pPr>
        <w:pStyle w:val="Prrafodelista"/>
        <w:widowControl w:val="0"/>
        <w:numPr>
          <w:ilvl w:val="0"/>
          <w:numId w:val="7"/>
        </w:numPr>
        <w:tabs>
          <w:tab w:val="left" w:pos="567"/>
          <w:tab w:val="left" w:pos="720"/>
          <w:tab w:val="left" w:pos="810"/>
        </w:tabs>
        <w:autoSpaceDE w:val="0"/>
        <w:autoSpaceDN w:val="0"/>
        <w:adjustRightInd w:val="0"/>
        <w:spacing w:before="240" w:after="240" w:line="240" w:lineRule="auto"/>
        <w:ind w:right="22"/>
        <w:jc w:val="both"/>
        <w:rPr>
          <w:b/>
          <w:bCs/>
          <w:i/>
          <w:iCs/>
          <w:szCs w:val="20"/>
          <w:lang w:val="es-CR"/>
        </w:rPr>
      </w:pPr>
      <w:r>
        <w:rPr>
          <w:b/>
          <w:bCs/>
          <w:i/>
          <w:iCs/>
          <w:szCs w:val="20"/>
          <w:lang w:val="es-CR"/>
        </w:rPr>
        <w:t>La aplicación del Fondo de Asistencia Legal de Víctimas de la Corte</w:t>
      </w:r>
    </w:p>
    <w:p w14:paraId="5EFDC62A" w14:textId="77777777" w:rsidR="00866F16" w:rsidRDefault="00866F16" w:rsidP="0083415E">
      <w:pPr>
        <w:widowControl w:val="0"/>
        <w:numPr>
          <w:ilvl w:val="0"/>
          <w:numId w:val="2"/>
        </w:numPr>
        <w:tabs>
          <w:tab w:val="left" w:pos="567"/>
          <w:tab w:val="left" w:pos="720"/>
          <w:tab w:val="left" w:pos="810"/>
        </w:tabs>
        <w:autoSpaceDE w:val="0"/>
        <w:autoSpaceDN w:val="0"/>
        <w:adjustRightInd w:val="0"/>
        <w:spacing w:before="240" w:after="240" w:line="240" w:lineRule="auto"/>
        <w:ind w:left="0" w:right="22" w:firstLine="0"/>
        <w:jc w:val="both"/>
        <w:rPr>
          <w:szCs w:val="20"/>
          <w:lang w:val="es-CR"/>
        </w:rPr>
      </w:pPr>
      <w:r>
        <w:rPr>
          <w:szCs w:val="20"/>
          <w:lang w:val="es-CR"/>
        </w:rPr>
        <w:t xml:space="preserve">Mediante nota de Secretaría de 8 de septiembre de 2022 se resolvió declarar </w:t>
      </w:r>
      <w:r>
        <w:rPr>
          <w:szCs w:val="20"/>
          <w:lang w:val="es-CR"/>
        </w:rPr>
        <w:lastRenderedPageBreak/>
        <w:t>procedente la solicitud realizada por las presuntas víctimas para acogerse al Fondo de Asistencia Legal de Víctimas, de modo que se otorgaría el apoyo económico necesario, con cargo al Fondo, para solventar los gastos de viaje y estadía de las presuntas víctimas Micaela Belén Pavón y Laura Isabel Aquino y de dos de sus representantes legales, con el fin de que comparezcan ante el Tribunal a presentar sus argumentos en la audiencia pública y para la presentación de un máximo de ocho declaraciones por affidávit.</w:t>
      </w:r>
    </w:p>
    <w:p w14:paraId="2B0D68C1" w14:textId="7318C416" w:rsidR="00866F16" w:rsidRDefault="00866F16" w:rsidP="0083415E">
      <w:pPr>
        <w:widowControl w:val="0"/>
        <w:numPr>
          <w:ilvl w:val="0"/>
          <w:numId w:val="2"/>
        </w:numPr>
        <w:tabs>
          <w:tab w:val="left" w:pos="567"/>
          <w:tab w:val="left" w:pos="720"/>
          <w:tab w:val="left" w:pos="810"/>
        </w:tabs>
        <w:autoSpaceDE w:val="0"/>
        <w:autoSpaceDN w:val="0"/>
        <w:adjustRightInd w:val="0"/>
        <w:spacing w:before="240" w:after="240" w:line="240" w:lineRule="auto"/>
        <w:ind w:left="0" w:right="22" w:firstLine="0"/>
        <w:jc w:val="both"/>
        <w:rPr>
          <w:szCs w:val="20"/>
          <w:lang w:val="es-CR"/>
        </w:rPr>
      </w:pPr>
      <w:r>
        <w:rPr>
          <w:szCs w:val="20"/>
          <w:lang w:val="es-CR"/>
        </w:rPr>
        <w:t xml:space="preserve">El </w:t>
      </w:r>
      <w:proofErr w:type="gramStart"/>
      <w:r>
        <w:rPr>
          <w:szCs w:val="20"/>
          <w:lang w:val="es-CR"/>
        </w:rPr>
        <w:t>Presidente</w:t>
      </w:r>
      <w:proofErr w:type="gramEnd"/>
      <w:r>
        <w:rPr>
          <w:szCs w:val="20"/>
          <w:lang w:val="es-CR"/>
        </w:rPr>
        <w:t xml:space="preserve"> dispone entonces que la asistencia económica</w:t>
      </w:r>
      <w:r w:rsidR="004C0C5D">
        <w:rPr>
          <w:szCs w:val="20"/>
          <w:lang w:val="es-CR"/>
        </w:rPr>
        <w:t xml:space="preserve"> estará asignada para cubrir los gastos de viaje y estadía necesaria de las presuntas víctimas Micaela Belén Pavón y Laura Isabel Aquino y de dos de las representantes legales. Los nombres de estas dos representantes deberán ser comunicados a la Corte en el plazo establecido en la parte resolutiva de la presente Resolución (</w:t>
      </w:r>
      <w:r w:rsidR="004C0C5D">
        <w:rPr>
          <w:i/>
          <w:iCs/>
          <w:szCs w:val="20"/>
          <w:lang w:val="es-CR"/>
        </w:rPr>
        <w:t xml:space="preserve">infra, </w:t>
      </w:r>
      <w:r w:rsidR="004C0C5D">
        <w:rPr>
          <w:szCs w:val="20"/>
          <w:lang w:val="es-CR"/>
        </w:rPr>
        <w:t xml:space="preserve">punto resolutivo </w:t>
      </w:r>
      <w:r w:rsidR="00B62ABC">
        <w:rPr>
          <w:szCs w:val="20"/>
          <w:lang w:val="es-CR"/>
        </w:rPr>
        <w:t>9</w:t>
      </w:r>
      <w:r w:rsidR="004C0C5D">
        <w:rPr>
          <w:szCs w:val="20"/>
          <w:lang w:val="es-CR"/>
        </w:rPr>
        <w:t>). Asimismo, esta Presidencia determina que los gastos razonables de formalización y envío del affidávit de las declaraciones de las cinco testigos y de los tres peritos ofrecidos por las representantes, podrá ser cubierto con recursos del Fondo de Asistencia Legal. Las representantes deberán remitir a la Corte la cotización del costo de la formalización de las referidas declaraciones ante fedatario público en el país de referencia de los declarantes y su envío, en el plazo establecido en la parte resolutiva de la presente Resolución.</w:t>
      </w:r>
    </w:p>
    <w:p w14:paraId="07CD2C0A" w14:textId="7A9BC5B3" w:rsidR="004C0C5D" w:rsidRDefault="004C0C5D" w:rsidP="0083415E">
      <w:pPr>
        <w:widowControl w:val="0"/>
        <w:numPr>
          <w:ilvl w:val="0"/>
          <w:numId w:val="2"/>
        </w:numPr>
        <w:tabs>
          <w:tab w:val="left" w:pos="567"/>
          <w:tab w:val="left" w:pos="720"/>
          <w:tab w:val="left" w:pos="810"/>
        </w:tabs>
        <w:autoSpaceDE w:val="0"/>
        <w:autoSpaceDN w:val="0"/>
        <w:adjustRightInd w:val="0"/>
        <w:spacing w:before="240" w:after="240" w:line="240" w:lineRule="auto"/>
        <w:ind w:left="0" w:right="22" w:firstLine="0"/>
        <w:jc w:val="both"/>
        <w:rPr>
          <w:szCs w:val="20"/>
          <w:lang w:val="es-CR"/>
        </w:rPr>
      </w:pPr>
      <w:r>
        <w:rPr>
          <w:szCs w:val="20"/>
          <w:lang w:val="es-CR"/>
        </w:rPr>
        <w:t>La Corte realizará las gestiones pertinentes y necesarias para cubrir los costos de traslado, alojamiento y manutención de las personas comparecientes y sus representantes con recursos provenientes del Fondo de Asistencia Legal de Víctimas.</w:t>
      </w:r>
    </w:p>
    <w:p w14:paraId="11B727E9" w14:textId="77777777" w:rsidR="00E96EDB" w:rsidRPr="00E96EDB" w:rsidRDefault="004C0C5D" w:rsidP="0083415E">
      <w:pPr>
        <w:widowControl w:val="0"/>
        <w:numPr>
          <w:ilvl w:val="0"/>
          <w:numId w:val="2"/>
        </w:numPr>
        <w:tabs>
          <w:tab w:val="left" w:pos="567"/>
          <w:tab w:val="left" w:pos="720"/>
          <w:tab w:val="left" w:pos="810"/>
        </w:tabs>
        <w:autoSpaceDE w:val="0"/>
        <w:autoSpaceDN w:val="0"/>
        <w:adjustRightInd w:val="0"/>
        <w:spacing w:before="240" w:after="240" w:line="240" w:lineRule="auto"/>
        <w:ind w:left="0" w:right="22" w:firstLine="0"/>
        <w:jc w:val="both"/>
        <w:rPr>
          <w:szCs w:val="20"/>
          <w:lang w:val="es-CR"/>
        </w:rPr>
      </w:pPr>
      <w:r>
        <w:t xml:space="preserve">Según lo requerido por el artículo 4 del Reglamento de la Corte sobre el Funcionamiento del Fondo de Asistencia Legal de Víctimas, se dispone que la Secretaría abra un expediente de gastos con el fin de llevar la contabilidad y en el cual se documentará cada una de las erogaciones que se realicen en relación con el referido Fondo. </w:t>
      </w:r>
    </w:p>
    <w:p w14:paraId="44FC5193" w14:textId="08F09CAC" w:rsidR="004C0C5D" w:rsidRPr="00312FCD" w:rsidRDefault="004C0C5D" w:rsidP="0083415E">
      <w:pPr>
        <w:widowControl w:val="0"/>
        <w:numPr>
          <w:ilvl w:val="0"/>
          <w:numId w:val="2"/>
        </w:numPr>
        <w:tabs>
          <w:tab w:val="left" w:pos="567"/>
          <w:tab w:val="left" w:pos="720"/>
          <w:tab w:val="left" w:pos="810"/>
        </w:tabs>
        <w:autoSpaceDE w:val="0"/>
        <w:autoSpaceDN w:val="0"/>
        <w:adjustRightInd w:val="0"/>
        <w:spacing w:before="240" w:after="240" w:line="240" w:lineRule="auto"/>
        <w:ind w:left="0" w:right="22" w:firstLine="0"/>
        <w:jc w:val="both"/>
        <w:rPr>
          <w:szCs w:val="20"/>
          <w:lang w:val="es-CR"/>
        </w:rPr>
      </w:pPr>
      <w:r>
        <w:t xml:space="preserve">Finalmente, el </w:t>
      </w:r>
      <w:proofErr w:type="gramStart"/>
      <w:r>
        <w:t>Presidente</w:t>
      </w:r>
      <w:proofErr w:type="gramEnd"/>
      <w:r>
        <w:t xml:space="preserve"> recuerda que, según el artículo 5 del Reglamento del Fondo, se informará oportunamente al Estado demandado las erogaciones realizadas en aplicación del Fondo de Asistencia Legal de Víctimas, para que presente sus observaciones, si así lo desea, dentro del plazo que se establezca al efecto.</w:t>
      </w:r>
    </w:p>
    <w:p w14:paraId="777EFCD5" w14:textId="77777777" w:rsidR="0083415E" w:rsidRDefault="0083415E" w:rsidP="0083415E">
      <w:pPr>
        <w:tabs>
          <w:tab w:val="left" w:pos="567"/>
        </w:tabs>
        <w:spacing w:after="0" w:line="240" w:lineRule="auto"/>
        <w:jc w:val="both"/>
        <w:rPr>
          <w:rFonts w:cs="Verdana"/>
          <w:b/>
          <w:bCs/>
          <w:szCs w:val="20"/>
          <w:lang w:val="es-CR"/>
        </w:rPr>
      </w:pPr>
      <w:r>
        <w:rPr>
          <w:rFonts w:cs="Verdana"/>
          <w:b/>
          <w:bCs/>
          <w:szCs w:val="20"/>
          <w:lang w:val="es-CR"/>
        </w:rPr>
        <w:t>POR TANTO:</w:t>
      </w:r>
    </w:p>
    <w:p w14:paraId="5DB67E66" w14:textId="77777777" w:rsidR="0083415E" w:rsidRDefault="0083415E" w:rsidP="0083415E">
      <w:pPr>
        <w:tabs>
          <w:tab w:val="left" w:pos="567"/>
        </w:tabs>
        <w:spacing w:after="0" w:line="240" w:lineRule="auto"/>
        <w:jc w:val="both"/>
        <w:rPr>
          <w:rFonts w:cs="Verdana"/>
          <w:b/>
          <w:bCs/>
          <w:szCs w:val="20"/>
          <w:lang w:val="es-CR"/>
        </w:rPr>
      </w:pPr>
    </w:p>
    <w:p w14:paraId="3D1BF52F" w14:textId="77777777" w:rsidR="0083415E" w:rsidRDefault="0083415E" w:rsidP="0083415E">
      <w:pPr>
        <w:tabs>
          <w:tab w:val="left" w:pos="567"/>
        </w:tabs>
        <w:spacing w:after="0" w:line="240" w:lineRule="auto"/>
        <w:jc w:val="both"/>
        <w:rPr>
          <w:rFonts w:cs="Verdana"/>
          <w:b/>
          <w:bCs/>
          <w:szCs w:val="20"/>
          <w:lang w:val="es-CR"/>
        </w:rPr>
      </w:pPr>
    </w:p>
    <w:p w14:paraId="7499D5A7" w14:textId="77777777" w:rsidR="0083415E" w:rsidRDefault="0083415E" w:rsidP="0083415E">
      <w:pPr>
        <w:tabs>
          <w:tab w:val="left" w:pos="567"/>
        </w:tabs>
        <w:spacing w:after="0" w:line="240" w:lineRule="auto"/>
        <w:jc w:val="both"/>
        <w:rPr>
          <w:rFonts w:cs="Verdana"/>
          <w:b/>
          <w:bCs/>
          <w:szCs w:val="20"/>
          <w:lang w:val="es-CR"/>
        </w:rPr>
      </w:pPr>
      <w:r>
        <w:rPr>
          <w:rFonts w:cs="Verdana"/>
          <w:b/>
          <w:bCs/>
          <w:szCs w:val="20"/>
          <w:lang w:val="es-CR"/>
        </w:rPr>
        <w:t xml:space="preserve">EL PRESIDENTE DE LA CORTE INTERAMERICANA DE DERECHOS HUMANOS, </w:t>
      </w:r>
    </w:p>
    <w:p w14:paraId="4CA64FBE" w14:textId="77777777" w:rsidR="0083415E" w:rsidRDefault="0083415E" w:rsidP="0083415E">
      <w:pPr>
        <w:tabs>
          <w:tab w:val="left" w:pos="567"/>
        </w:tabs>
        <w:spacing w:after="0" w:line="240" w:lineRule="auto"/>
        <w:jc w:val="both"/>
        <w:rPr>
          <w:rFonts w:cs="Verdana"/>
          <w:b/>
          <w:bCs/>
          <w:szCs w:val="20"/>
          <w:lang w:val="es-CR"/>
        </w:rPr>
      </w:pPr>
    </w:p>
    <w:p w14:paraId="234E1167" w14:textId="77777777" w:rsidR="0083415E" w:rsidRDefault="0083415E" w:rsidP="0083415E">
      <w:pPr>
        <w:tabs>
          <w:tab w:val="left" w:pos="567"/>
        </w:tabs>
        <w:spacing w:after="0" w:line="240" w:lineRule="auto"/>
        <w:jc w:val="both"/>
        <w:rPr>
          <w:rFonts w:cs="Verdana"/>
          <w:b/>
          <w:bCs/>
          <w:szCs w:val="20"/>
          <w:lang w:val="es-CR"/>
        </w:rPr>
      </w:pPr>
    </w:p>
    <w:p w14:paraId="04FE6D0B" w14:textId="15D692AA" w:rsidR="0083415E" w:rsidRDefault="0083415E" w:rsidP="0083415E">
      <w:pPr>
        <w:tabs>
          <w:tab w:val="left" w:pos="567"/>
        </w:tabs>
        <w:spacing w:after="0" w:line="240" w:lineRule="auto"/>
        <w:jc w:val="both"/>
        <w:rPr>
          <w:rFonts w:cs="Verdana"/>
          <w:szCs w:val="20"/>
          <w:lang w:val="es-CR"/>
        </w:rPr>
      </w:pPr>
      <w:r>
        <w:rPr>
          <w:rFonts w:cs="Verdana"/>
          <w:szCs w:val="20"/>
          <w:lang w:val="es-CR"/>
        </w:rPr>
        <w:t xml:space="preserve">de conformidad con los artículos 24.1 y 25.2 del Estatuto de la Corte y con los artículos 4, 15.1, 26.1, 31.2, 35.1, 40.2, 41.1, 45, 50 a 56 y 60 del Reglamento, </w:t>
      </w:r>
    </w:p>
    <w:p w14:paraId="2FAA038F" w14:textId="77777777" w:rsidR="0083415E" w:rsidRDefault="0083415E" w:rsidP="0083415E">
      <w:pPr>
        <w:tabs>
          <w:tab w:val="left" w:pos="567"/>
        </w:tabs>
        <w:spacing w:after="0" w:line="240" w:lineRule="auto"/>
        <w:jc w:val="both"/>
        <w:rPr>
          <w:rFonts w:cs="Verdana"/>
          <w:szCs w:val="20"/>
          <w:lang w:val="es-CR"/>
        </w:rPr>
      </w:pPr>
      <w:r>
        <w:rPr>
          <w:rFonts w:cs="Verdana"/>
          <w:szCs w:val="20"/>
          <w:lang w:val="es-CR"/>
        </w:rPr>
        <w:t xml:space="preserve"> </w:t>
      </w:r>
    </w:p>
    <w:p w14:paraId="28574025" w14:textId="77777777" w:rsidR="0083415E" w:rsidRDefault="0083415E" w:rsidP="0083415E">
      <w:pPr>
        <w:tabs>
          <w:tab w:val="left" w:pos="567"/>
        </w:tabs>
        <w:spacing w:after="0" w:line="240" w:lineRule="auto"/>
        <w:jc w:val="both"/>
        <w:rPr>
          <w:rFonts w:cs="Verdana"/>
          <w:b/>
          <w:bCs/>
          <w:szCs w:val="20"/>
          <w:lang w:val="es-CR"/>
        </w:rPr>
      </w:pPr>
      <w:r>
        <w:rPr>
          <w:rFonts w:cs="Verdana"/>
          <w:b/>
          <w:bCs/>
          <w:szCs w:val="20"/>
          <w:lang w:val="es-CR"/>
        </w:rPr>
        <w:t>RESUELVE:</w:t>
      </w:r>
    </w:p>
    <w:p w14:paraId="364491F3" w14:textId="77777777" w:rsidR="0083415E" w:rsidRDefault="0083415E" w:rsidP="0083415E">
      <w:pPr>
        <w:tabs>
          <w:tab w:val="left" w:pos="567"/>
        </w:tabs>
        <w:spacing w:after="0" w:line="240" w:lineRule="auto"/>
        <w:jc w:val="both"/>
        <w:rPr>
          <w:rFonts w:cs="Verdana"/>
          <w:color w:val="000000"/>
          <w:szCs w:val="20"/>
          <w:lang w:val="es-CR" w:eastAsia="es-ES"/>
        </w:rPr>
      </w:pPr>
      <w:bookmarkStart w:id="5" w:name="_Ref230577466"/>
    </w:p>
    <w:p w14:paraId="7F9FEE31" w14:textId="2E558F84" w:rsidR="0083415E" w:rsidRPr="00866E74" w:rsidRDefault="0083415E" w:rsidP="0083415E">
      <w:pPr>
        <w:tabs>
          <w:tab w:val="left" w:pos="567"/>
        </w:tabs>
        <w:spacing w:after="0" w:line="240" w:lineRule="auto"/>
        <w:jc w:val="both"/>
        <w:rPr>
          <w:szCs w:val="20"/>
          <w:lang w:val="es-CR"/>
        </w:rPr>
      </w:pPr>
      <w:r>
        <w:rPr>
          <w:szCs w:val="20"/>
          <w:lang w:val="es-CR"/>
        </w:rPr>
        <w:t xml:space="preserve">1. </w:t>
      </w:r>
      <w:r w:rsidRPr="00866E74">
        <w:rPr>
          <w:rFonts w:cs="Verdana"/>
          <w:color w:val="000000"/>
          <w:szCs w:val="20"/>
          <w:lang w:val="es-CR" w:eastAsia="es-ES"/>
        </w:rPr>
        <w:t>Convocar</w:t>
      </w:r>
      <w:r w:rsidRPr="00866E74">
        <w:rPr>
          <w:rFonts w:eastAsia="MS Mincho" w:cs="Times"/>
          <w:szCs w:val="20"/>
          <w:lang w:val="es-CR"/>
        </w:rPr>
        <w:t xml:space="preserve"> al Estado, </w:t>
      </w:r>
      <w:r>
        <w:rPr>
          <w:rFonts w:eastAsia="MS Mincho" w:cs="Times"/>
          <w:szCs w:val="20"/>
          <w:lang w:val="es-CR"/>
        </w:rPr>
        <w:t>a l</w:t>
      </w:r>
      <w:r w:rsidR="00356160">
        <w:rPr>
          <w:rFonts w:eastAsia="MS Mincho" w:cs="Times"/>
          <w:szCs w:val="20"/>
          <w:lang w:val="es-CR"/>
        </w:rPr>
        <w:t>a</w:t>
      </w:r>
      <w:r>
        <w:rPr>
          <w:rFonts w:eastAsia="MS Mincho" w:cs="Times"/>
          <w:szCs w:val="20"/>
          <w:lang w:val="es-CR"/>
        </w:rPr>
        <w:t>s representantes</w:t>
      </w:r>
      <w:r w:rsidRPr="00866E74">
        <w:rPr>
          <w:rFonts w:eastAsia="MS Mincho" w:cs="Times"/>
          <w:szCs w:val="20"/>
          <w:lang w:val="es-CR"/>
        </w:rPr>
        <w:t xml:space="preserve"> y a la Comisión Interamericana a una audiencia </w:t>
      </w:r>
      <w:r>
        <w:rPr>
          <w:rFonts w:eastAsia="MS Mincho" w:cs="Times"/>
          <w:szCs w:val="20"/>
          <w:lang w:val="es-CR"/>
        </w:rPr>
        <w:t xml:space="preserve">pública </w:t>
      </w:r>
      <w:r w:rsidRPr="00866E74">
        <w:rPr>
          <w:rFonts w:cs="Verdana"/>
          <w:szCs w:val="20"/>
          <w:lang w:val="es-CR"/>
        </w:rPr>
        <w:t xml:space="preserve">que se celebrará </w:t>
      </w:r>
      <w:r w:rsidR="00356160">
        <w:rPr>
          <w:rFonts w:cs="Verdana"/>
          <w:szCs w:val="20"/>
          <w:lang w:val="es-CR"/>
        </w:rPr>
        <w:t xml:space="preserve">el día </w:t>
      </w:r>
      <w:r w:rsidR="00D561A2">
        <w:rPr>
          <w:rFonts w:cs="Verdana"/>
          <w:szCs w:val="20"/>
          <w:lang w:val="es-CR"/>
        </w:rPr>
        <w:t xml:space="preserve">19 </w:t>
      </w:r>
      <w:r>
        <w:rPr>
          <w:rFonts w:cs="Verdana"/>
          <w:szCs w:val="20"/>
          <w:lang w:val="es-CR"/>
        </w:rPr>
        <w:t>de octubre de 2022</w:t>
      </w:r>
      <w:r w:rsidRPr="00866E74">
        <w:rPr>
          <w:rFonts w:cs="Verdana"/>
          <w:szCs w:val="20"/>
          <w:lang w:val="es-CR"/>
        </w:rPr>
        <w:t>, durante el 1</w:t>
      </w:r>
      <w:r>
        <w:rPr>
          <w:rFonts w:cs="Verdana"/>
          <w:szCs w:val="20"/>
          <w:lang w:val="es-CR"/>
        </w:rPr>
        <w:t>53</w:t>
      </w:r>
      <w:r w:rsidRPr="00866E74">
        <w:rPr>
          <w:rFonts w:cs="Verdana"/>
          <w:szCs w:val="20"/>
          <w:lang w:val="es-CR"/>
        </w:rPr>
        <w:t xml:space="preserve">° Período Ordinario de Sesiones, </w:t>
      </w:r>
      <w:r w:rsidRPr="00866E74">
        <w:rPr>
          <w:szCs w:val="20"/>
        </w:rPr>
        <w:t xml:space="preserve">que se llevará a cabo en </w:t>
      </w:r>
      <w:r w:rsidR="00D561A2">
        <w:rPr>
          <w:szCs w:val="20"/>
        </w:rPr>
        <w:t>Colonia</w:t>
      </w:r>
      <w:r>
        <w:rPr>
          <w:szCs w:val="20"/>
        </w:rPr>
        <w:t>, Uruguay</w:t>
      </w:r>
      <w:r w:rsidRPr="00866E74">
        <w:rPr>
          <w:rFonts w:cs="Verdana"/>
          <w:szCs w:val="20"/>
          <w:lang w:val="es-CR"/>
        </w:rPr>
        <w:t xml:space="preserve"> </w:t>
      </w:r>
      <w:r w:rsidRPr="00866E74">
        <w:rPr>
          <w:rFonts w:eastAsia="MS Mincho" w:cs="Times"/>
          <w:szCs w:val="20"/>
          <w:lang w:val="es-CR"/>
        </w:rPr>
        <w:t xml:space="preserve">para recibir sus alegatos y observaciones finales orales sobre </w:t>
      </w:r>
      <w:r>
        <w:rPr>
          <w:rFonts w:eastAsia="MS Mincho" w:cs="Times"/>
          <w:szCs w:val="20"/>
          <w:lang w:val="es-CR"/>
        </w:rPr>
        <w:t>el</w:t>
      </w:r>
      <w:r w:rsidR="00960772">
        <w:rPr>
          <w:rFonts w:eastAsia="MS Mincho" w:cs="Times"/>
          <w:szCs w:val="20"/>
          <w:lang w:val="es-CR"/>
        </w:rPr>
        <w:t xml:space="preserve"> reconocimiento de responsabilidad,</w:t>
      </w:r>
      <w:r w:rsidRPr="00866E74">
        <w:rPr>
          <w:rFonts w:eastAsia="MS Mincho" w:cs="Times"/>
          <w:szCs w:val="20"/>
          <w:lang w:val="es-CR"/>
        </w:rPr>
        <w:t xml:space="preserve"> fondo</w:t>
      </w:r>
      <w:r>
        <w:rPr>
          <w:rFonts w:eastAsia="MS Mincho" w:cs="Times"/>
          <w:szCs w:val="20"/>
          <w:lang w:val="es-CR"/>
        </w:rPr>
        <w:t xml:space="preserve"> y eventuales </w:t>
      </w:r>
      <w:r w:rsidRPr="00866E74">
        <w:rPr>
          <w:rFonts w:eastAsia="MS Mincho" w:cs="Times"/>
          <w:szCs w:val="20"/>
          <w:lang w:val="es-CR"/>
        </w:rPr>
        <w:t xml:space="preserve">reparaciones y costas, así como las declaraciones </w:t>
      </w:r>
      <w:bookmarkEnd w:id="5"/>
      <w:r w:rsidRPr="00866E74">
        <w:rPr>
          <w:rFonts w:eastAsia="MS Mincho" w:cs="Times"/>
          <w:szCs w:val="20"/>
          <w:lang w:val="es-CR"/>
        </w:rPr>
        <w:t xml:space="preserve">de las siguientes personas:   </w:t>
      </w:r>
    </w:p>
    <w:p w14:paraId="3581C29D" w14:textId="77777777" w:rsidR="0083415E" w:rsidRDefault="0083415E" w:rsidP="0083415E">
      <w:pPr>
        <w:tabs>
          <w:tab w:val="left" w:pos="567"/>
          <w:tab w:val="left" w:pos="851"/>
        </w:tabs>
        <w:autoSpaceDE w:val="0"/>
        <w:autoSpaceDN w:val="0"/>
        <w:adjustRightInd w:val="0"/>
        <w:spacing w:after="0" w:line="240" w:lineRule="auto"/>
        <w:ind w:left="851"/>
        <w:jc w:val="both"/>
        <w:rPr>
          <w:rFonts w:cs="Verdana"/>
          <w:szCs w:val="20"/>
          <w:lang w:val="es-CR"/>
        </w:rPr>
      </w:pPr>
    </w:p>
    <w:p w14:paraId="4E13E1C4" w14:textId="77777777" w:rsidR="0083415E" w:rsidRPr="005E3408" w:rsidRDefault="0083415E" w:rsidP="0083415E">
      <w:pPr>
        <w:numPr>
          <w:ilvl w:val="0"/>
          <w:numId w:val="3"/>
        </w:numPr>
        <w:tabs>
          <w:tab w:val="left" w:pos="567"/>
        </w:tabs>
        <w:spacing w:after="0" w:line="240" w:lineRule="auto"/>
        <w:ind w:left="567"/>
        <w:jc w:val="both"/>
        <w:rPr>
          <w:rFonts w:cs="Verdana"/>
          <w:b/>
          <w:szCs w:val="20"/>
          <w:lang w:val="es-CR"/>
        </w:rPr>
      </w:pPr>
      <w:r>
        <w:rPr>
          <w:rFonts w:cs="Verdana"/>
          <w:b/>
          <w:szCs w:val="20"/>
          <w:lang w:val="es-CR"/>
        </w:rPr>
        <w:lastRenderedPageBreak/>
        <w:t>Presuntas víctimas</w:t>
      </w:r>
    </w:p>
    <w:p w14:paraId="6BC90926" w14:textId="77777777" w:rsidR="0083415E" w:rsidRDefault="0083415E" w:rsidP="0083415E">
      <w:pPr>
        <w:tabs>
          <w:tab w:val="left" w:pos="567"/>
          <w:tab w:val="left" w:pos="1134"/>
        </w:tabs>
        <w:autoSpaceDE w:val="0"/>
        <w:autoSpaceDN w:val="0"/>
        <w:adjustRightInd w:val="0"/>
        <w:spacing w:after="0" w:line="240" w:lineRule="auto"/>
        <w:jc w:val="both"/>
        <w:rPr>
          <w:rFonts w:cs="Verdana"/>
          <w:szCs w:val="20"/>
          <w:lang w:val="es-ES"/>
        </w:rPr>
      </w:pPr>
    </w:p>
    <w:p w14:paraId="1A70D4B1" w14:textId="77777777" w:rsidR="0083415E" w:rsidRPr="004A7994" w:rsidRDefault="0083415E" w:rsidP="0083415E">
      <w:pPr>
        <w:tabs>
          <w:tab w:val="left" w:pos="567"/>
          <w:tab w:val="left" w:pos="1134"/>
        </w:tabs>
        <w:autoSpaceDE w:val="0"/>
        <w:autoSpaceDN w:val="0"/>
        <w:adjustRightInd w:val="0"/>
        <w:spacing w:after="0" w:line="240" w:lineRule="auto"/>
        <w:jc w:val="both"/>
        <w:rPr>
          <w:rFonts w:cs="Verdana"/>
          <w:i/>
          <w:iCs/>
          <w:szCs w:val="20"/>
          <w:lang w:val="es-ES"/>
        </w:rPr>
      </w:pPr>
      <w:r>
        <w:rPr>
          <w:rFonts w:cs="Verdana"/>
          <w:i/>
          <w:iCs/>
          <w:szCs w:val="20"/>
          <w:lang w:val="es-ES"/>
        </w:rPr>
        <w:t>(Propuestas por las representantes)</w:t>
      </w:r>
    </w:p>
    <w:p w14:paraId="759C54B4" w14:textId="77777777" w:rsidR="0083415E" w:rsidRDefault="0083415E" w:rsidP="0083415E">
      <w:pPr>
        <w:pStyle w:val="Prrafodelista"/>
        <w:tabs>
          <w:tab w:val="left" w:pos="567"/>
          <w:tab w:val="left" w:pos="1134"/>
        </w:tabs>
        <w:autoSpaceDE w:val="0"/>
        <w:autoSpaceDN w:val="0"/>
        <w:adjustRightInd w:val="0"/>
        <w:spacing w:after="0" w:line="240" w:lineRule="auto"/>
        <w:ind w:left="1440"/>
        <w:jc w:val="both"/>
        <w:rPr>
          <w:rFonts w:cs="Verdana"/>
          <w:szCs w:val="20"/>
          <w:lang w:val="es-ES"/>
        </w:rPr>
      </w:pPr>
    </w:p>
    <w:p w14:paraId="096A6565" w14:textId="006C39E4" w:rsidR="0083415E" w:rsidRDefault="00F6774B" w:rsidP="0083415E">
      <w:pPr>
        <w:pStyle w:val="Prrafodelista"/>
        <w:numPr>
          <w:ilvl w:val="1"/>
          <w:numId w:val="4"/>
        </w:numPr>
        <w:tabs>
          <w:tab w:val="left" w:pos="567"/>
          <w:tab w:val="left" w:pos="1134"/>
        </w:tabs>
        <w:autoSpaceDE w:val="0"/>
        <w:autoSpaceDN w:val="0"/>
        <w:adjustRightInd w:val="0"/>
        <w:spacing w:before="240" w:after="0" w:line="240" w:lineRule="auto"/>
        <w:jc w:val="both"/>
        <w:rPr>
          <w:rFonts w:cs="Verdana"/>
          <w:szCs w:val="20"/>
          <w:lang w:val="es-ES"/>
        </w:rPr>
      </w:pPr>
      <w:r>
        <w:rPr>
          <w:rFonts w:cs="Verdana"/>
          <w:i/>
          <w:iCs/>
          <w:szCs w:val="20"/>
          <w:lang w:val="es-ES"/>
        </w:rPr>
        <w:t>Micaela Belén Pavón</w:t>
      </w:r>
      <w:r w:rsidR="0083415E" w:rsidRPr="003F6276">
        <w:rPr>
          <w:rFonts w:cs="Verdana"/>
          <w:i/>
          <w:iCs/>
          <w:szCs w:val="20"/>
          <w:lang w:val="es-ES"/>
        </w:rPr>
        <w:t xml:space="preserve">, </w:t>
      </w:r>
      <w:r w:rsidR="0083415E" w:rsidRPr="003F6276">
        <w:rPr>
          <w:rFonts w:cs="Verdana"/>
          <w:szCs w:val="20"/>
          <w:lang w:val="es-ES"/>
        </w:rPr>
        <w:t>quien declarará sobre</w:t>
      </w:r>
      <w:r w:rsidR="00456531">
        <w:rPr>
          <w:rFonts w:cs="Verdana"/>
          <w:szCs w:val="20"/>
          <w:lang w:val="es-ES"/>
        </w:rPr>
        <w:t xml:space="preserve"> las circunstancias de modo, tiempo y lugar relacionadas con los hechos del caso. Sobre el impacto que tuv</w:t>
      </w:r>
      <w:r w:rsidR="00074439">
        <w:rPr>
          <w:rFonts w:cs="Verdana"/>
          <w:szCs w:val="20"/>
          <w:lang w:val="es-ES"/>
        </w:rPr>
        <w:t>ieron los hechos del caso</w:t>
      </w:r>
      <w:r w:rsidR="00456531">
        <w:rPr>
          <w:rFonts w:cs="Verdana"/>
          <w:szCs w:val="20"/>
          <w:lang w:val="es-ES"/>
        </w:rPr>
        <w:t xml:space="preserve"> en su integridad personal, su vida personal y familiar y su entorno vital</w:t>
      </w:r>
      <w:r w:rsidR="00074439">
        <w:rPr>
          <w:rFonts w:cs="Verdana"/>
          <w:szCs w:val="20"/>
          <w:lang w:val="es-ES"/>
        </w:rPr>
        <w:t>. Sobre el daño ocasionado, las circunstancias vividas antes, durante y después del nacimiento de su hijo</w:t>
      </w:r>
      <w:r w:rsidR="0026645E">
        <w:rPr>
          <w:rFonts w:cs="Verdana"/>
          <w:szCs w:val="20"/>
          <w:lang w:val="es-ES"/>
        </w:rPr>
        <w:t>,</w:t>
      </w:r>
      <w:r w:rsidR="00074439">
        <w:rPr>
          <w:rFonts w:cs="Verdana"/>
          <w:szCs w:val="20"/>
          <w:lang w:val="es-ES"/>
        </w:rPr>
        <w:t xml:space="preserve"> así como su situación actual en Argentina.</w:t>
      </w:r>
    </w:p>
    <w:p w14:paraId="51C08BA9" w14:textId="1CA2CB77" w:rsidR="0083415E" w:rsidRDefault="00074439" w:rsidP="0083415E">
      <w:pPr>
        <w:pStyle w:val="Prrafodelista"/>
        <w:numPr>
          <w:ilvl w:val="1"/>
          <w:numId w:val="4"/>
        </w:numPr>
        <w:tabs>
          <w:tab w:val="left" w:pos="567"/>
          <w:tab w:val="left" w:pos="1134"/>
        </w:tabs>
        <w:autoSpaceDE w:val="0"/>
        <w:autoSpaceDN w:val="0"/>
        <w:adjustRightInd w:val="0"/>
        <w:spacing w:after="0" w:line="240" w:lineRule="auto"/>
        <w:jc w:val="both"/>
        <w:rPr>
          <w:rFonts w:cs="Verdana"/>
          <w:szCs w:val="20"/>
          <w:lang w:val="es-ES"/>
        </w:rPr>
      </w:pPr>
      <w:r>
        <w:rPr>
          <w:rFonts w:cs="Verdana"/>
          <w:i/>
          <w:iCs/>
          <w:szCs w:val="20"/>
          <w:lang w:val="es-ES"/>
        </w:rPr>
        <w:t>Laura Aquino</w:t>
      </w:r>
      <w:r w:rsidR="0083415E">
        <w:rPr>
          <w:rFonts w:cs="Verdana"/>
          <w:i/>
          <w:iCs/>
          <w:szCs w:val="20"/>
          <w:lang w:val="es-ES"/>
        </w:rPr>
        <w:t xml:space="preserve">, </w:t>
      </w:r>
      <w:r w:rsidR="0083415E">
        <w:rPr>
          <w:rFonts w:cs="Verdana"/>
          <w:szCs w:val="20"/>
          <w:lang w:val="es-ES"/>
        </w:rPr>
        <w:t xml:space="preserve">quien declarará sobre </w:t>
      </w:r>
      <w:r w:rsidR="0026645E">
        <w:rPr>
          <w:rFonts w:cs="Verdana"/>
          <w:szCs w:val="20"/>
          <w:lang w:val="es-ES"/>
        </w:rPr>
        <w:t>las circunstancias de modo, tiempo y lugar relacionadas con los hechos del caso. Sobre las consecuencias de estos hechos en su vida personal, familiar y de relación. Sobre el daño ocasionado y las circunstancias vividas</w:t>
      </w:r>
      <w:r w:rsidR="00C03C61">
        <w:rPr>
          <w:rFonts w:cs="Verdana"/>
          <w:szCs w:val="20"/>
          <w:lang w:val="es-ES"/>
        </w:rPr>
        <w:t xml:space="preserve"> </w:t>
      </w:r>
      <w:proofErr w:type="gramStart"/>
      <w:r w:rsidR="00C03C61">
        <w:rPr>
          <w:rFonts w:cs="Verdana"/>
          <w:szCs w:val="20"/>
          <w:lang w:val="es-ES"/>
        </w:rPr>
        <w:t>en relación a</w:t>
      </w:r>
      <w:proofErr w:type="gramEnd"/>
      <w:r w:rsidR="00C03C61">
        <w:rPr>
          <w:rFonts w:cs="Verdana"/>
          <w:szCs w:val="20"/>
          <w:lang w:val="es-ES"/>
        </w:rPr>
        <w:t xml:space="preserve"> los hechos del caso.</w:t>
      </w:r>
    </w:p>
    <w:p w14:paraId="62BAC688" w14:textId="77777777" w:rsidR="0083415E" w:rsidRDefault="0083415E" w:rsidP="0083415E">
      <w:pPr>
        <w:tabs>
          <w:tab w:val="left" w:pos="567"/>
          <w:tab w:val="left" w:pos="1134"/>
        </w:tabs>
        <w:autoSpaceDE w:val="0"/>
        <w:autoSpaceDN w:val="0"/>
        <w:adjustRightInd w:val="0"/>
        <w:spacing w:after="0" w:line="240" w:lineRule="auto"/>
        <w:jc w:val="both"/>
        <w:rPr>
          <w:rFonts w:cs="Verdana"/>
          <w:szCs w:val="20"/>
          <w:lang w:val="es-ES"/>
        </w:rPr>
      </w:pPr>
    </w:p>
    <w:p w14:paraId="71FCAA62" w14:textId="77777777" w:rsidR="0083415E" w:rsidRDefault="0083415E" w:rsidP="0083415E">
      <w:pPr>
        <w:tabs>
          <w:tab w:val="left" w:pos="567"/>
        </w:tabs>
        <w:spacing w:after="0" w:line="240" w:lineRule="auto"/>
        <w:jc w:val="both"/>
        <w:rPr>
          <w:szCs w:val="20"/>
          <w:lang w:val="es-CR"/>
        </w:rPr>
      </w:pPr>
    </w:p>
    <w:p w14:paraId="052154BC" w14:textId="77777777" w:rsidR="0083415E" w:rsidRPr="001344B7" w:rsidRDefault="0083415E" w:rsidP="0083415E">
      <w:pPr>
        <w:numPr>
          <w:ilvl w:val="0"/>
          <w:numId w:val="5"/>
        </w:numPr>
        <w:tabs>
          <w:tab w:val="left" w:pos="567"/>
        </w:tabs>
        <w:spacing w:after="0" w:line="240" w:lineRule="auto"/>
        <w:jc w:val="both"/>
        <w:rPr>
          <w:szCs w:val="20"/>
          <w:lang w:val="es-CR"/>
        </w:rPr>
      </w:pPr>
      <w:r>
        <w:t>Solicitar al Estado del Uruguay, de conformidad con lo dispuesto en el artículo 26 incisos 1 y 3 del Reglamento de la Corte, su cooperación para llevar a cabo la audiencia pública sobre el fondo y eventuales reparaciones y costas, por celebrarse en ese país, convocada mediante la presente Resolución, así como para facilitar la entrada y salida de su territorio de las personas que fueron citadas a rendir su declaración ante la Corte Interamericana en la referida audiencia y de quienes representarán a la Comisión Interamericana, a la República de Argentina y a las presuntas víctimas, durante la misma. Para tal efecto se dispone que la Secretaría notifique la presente Resolución a la República Oriental del Uruguay.</w:t>
      </w:r>
    </w:p>
    <w:p w14:paraId="6ABC6FC2" w14:textId="77777777" w:rsidR="0083415E" w:rsidRPr="000B0402" w:rsidRDefault="0083415E" w:rsidP="0083415E">
      <w:pPr>
        <w:tabs>
          <w:tab w:val="left" w:pos="567"/>
        </w:tabs>
        <w:spacing w:after="0" w:line="240" w:lineRule="auto"/>
        <w:jc w:val="both"/>
        <w:rPr>
          <w:szCs w:val="20"/>
          <w:lang w:val="es-CR"/>
        </w:rPr>
      </w:pPr>
    </w:p>
    <w:p w14:paraId="5A185FE8" w14:textId="479DB557" w:rsidR="0083415E" w:rsidRDefault="0083415E" w:rsidP="0083415E">
      <w:pPr>
        <w:numPr>
          <w:ilvl w:val="0"/>
          <w:numId w:val="5"/>
        </w:numPr>
        <w:tabs>
          <w:tab w:val="left" w:pos="567"/>
        </w:tabs>
        <w:spacing w:after="0" w:line="240" w:lineRule="auto"/>
        <w:jc w:val="both"/>
        <w:rPr>
          <w:szCs w:val="20"/>
          <w:lang w:val="es-CR"/>
        </w:rPr>
      </w:pPr>
      <w:r>
        <w:rPr>
          <w:szCs w:val="20"/>
          <w:lang w:val="es-CR"/>
        </w:rPr>
        <w:t>Requerir, de conformidad con el principio de economía procesal y de la facultad que le otorga el artículo 50.1 del Reglamento de la Corte, que la</w:t>
      </w:r>
      <w:r w:rsidR="00C03C61">
        <w:rPr>
          <w:szCs w:val="20"/>
          <w:lang w:val="es-CR"/>
        </w:rPr>
        <w:t>s</w:t>
      </w:r>
      <w:r>
        <w:rPr>
          <w:szCs w:val="20"/>
          <w:lang w:val="es-CR"/>
        </w:rPr>
        <w:t xml:space="preserve"> siguiente</w:t>
      </w:r>
      <w:r w:rsidR="00C03C61">
        <w:rPr>
          <w:szCs w:val="20"/>
          <w:lang w:val="es-CR"/>
        </w:rPr>
        <w:t>s</w:t>
      </w:r>
      <w:r>
        <w:rPr>
          <w:szCs w:val="20"/>
          <w:lang w:val="es-CR"/>
        </w:rPr>
        <w:t xml:space="preserve"> persona</w:t>
      </w:r>
      <w:r w:rsidR="00C03C61">
        <w:rPr>
          <w:szCs w:val="20"/>
          <w:lang w:val="es-CR"/>
        </w:rPr>
        <w:t>s</w:t>
      </w:r>
      <w:r>
        <w:rPr>
          <w:szCs w:val="20"/>
          <w:lang w:val="es-CR"/>
        </w:rPr>
        <w:t xml:space="preserve"> preste</w:t>
      </w:r>
      <w:r w:rsidR="00C03C61">
        <w:rPr>
          <w:szCs w:val="20"/>
          <w:lang w:val="es-CR"/>
        </w:rPr>
        <w:t>n</w:t>
      </w:r>
      <w:r>
        <w:rPr>
          <w:szCs w:val="20"/>
          <w:lang w:val="es-CR"/>
        </w:rPr>
        <w:t xml:space="preserve"> su declaración ante fedatario público:</w:t>
      </w:r>
    </w:p>
    <w:p w14:paraId="74243FD7" w14:textId="77777777" w:rsidR="0083415E" w:rsidRDefault="0083415E" w:rsidP="0083415E">
      <w:pPr>
        <w:tabs>
          <w:tab w:val="left" w:pos="567"/>
          <w:tab w:val="left" w:pos="851"/>
        </w:tabs>
        <w:autoSpaceDE w:val="0"/>
        <w:autoSpaceDN w:val="0"/>
        <w:adjustRightInd w:val="0"/>
        <w:spacing w:after="0" w:line="240" w:lineRule="auto"/>
        <w:jc w:val="both"/>
        <w:rPr>
          <w:rFonts w:cs="Verdana"/>
          <w:bCs/>
          <w:i/>
          <w:iCs/>
          <w:szCs w:val="20"/>
          <w:lang w:val="es-CR"/>
        </w:rPr>
      </w:pPr>
    </w:p>
    <w:p w14:paraId="2DB1FEE9" w14:textId="77777777" w:rsidR="0083415E" w:rsidRPr="009E1489" w:rsidRDefault="0083415E" w:rsidP="0083415E">
      <w:pPr>
        <w:tabs>
          <w:tab w:val="left" w:pos="567"/>
          <w:tab w:val="left" w:pos="851"/>
        </w:tabs>
        <w:autoSpaceDE w:val="0"/>
        <w:autoSpaceDN w:val="0"/>
        <w:adjustRightInd w:val="0"/>
        <w:spacing w:after="0" w:line="240" w:lineRule="auto"/>
        <w:jc w:val="both"/>
        <w:rPr>
          <w:rFonts w:cs="Verdana"/>
          <w:bCs/>
          <w:szCs w:val="20"/>
          <w:lang w:val="es-CR"/>
        </w:rPr>
      </w:pPr>
    </w:p>
    <w:p w14:paraId="7D0239BC" w14:textId="7E9E0032" w:rsidR="00C03C61" w:rsidRDefault="00C03C61" w:rsidP="00C03C61">
      <w:pPr>
        <w:pStyle w:val="Prrafodelista"/>
        <w:numPr>
          <w:ilvl w:val="0"/>
          <w:numId w:val="8"/>
        </w:numPr>
        <w:tabs>
          <w:tab w:val="left" w:pos="567"/>
          <w:tab w:val="left" w:pos="851"/>
        </w:tabs>
        <w:autoSpaceDE w:val="0"/>
        <w:autoSpaceDN w:val="0"/>
        <w:adjustRightInd w:val="0"/>
        <w:spacing w:after="0" w:line="240" w:lineRule="auto"/>
        <w:jc w:val="both"/>
        <w:rPr>
          <w:rFonts w:cs="Verdana"/>
          <w:b/>
          <w:szCs w:val="20"/>
          <w:lang w:val="es-CR"/>
        </w:rPr>
      </w:pPr>
      <w:r>
        <w:rPr>
          <w:rFonts w:cs="Verdana"/>
          <w:b/>
          <w:szCs w:val="20"/>
          <w:lang w:val="es-CR"/>
        </w:rPr>
        <w:t>Testigos</w:t>
      </w:r>
    </w:p>
    <w:p w14:paraId="0E7A8710" w14:textId="39191440" w:rsidR="00656969" w:rsidRDefault="00656969" w:rsidP="00656969">
      <w:pPr>
        <w:tabs>
          <w:tab w:val="left" w:pos="567"/>
          <w:tab w:val="left" w:pos="851"/>
        </w:tabs>
        <w:autoSpaceDE w:val="0"/>
        <w:autoSpaceDN w:val="0"/>
        <w:adjustRightInd w:val="0"/>
        <w:spacing w:after="0" w:line="240" w:lineRule="auto"/>
        <w:jc w:val="both"/>
        <w:rPr>
          <w:rFonts w:cs="Verdana"/>
          <w:b/>
          <w:szCs w:val="20"/>
          <w:lang w:val="es-CR"/>
        </w:rPr>
      </w:pPr>
    </w:p>
    <w:p w14:paraId="122AA85B" w14:textId="5C545DF9" w:rsidR="00656969" w:rsidRPr="00656969" w:rsidRDefault="00656969" w:rsidP="00656969">
      <w:pPr>
        <w:tabs>
          <w:tab w:val="left" w:pos="567"/>
          <w:tab w:val="left" w:pos="851"/>
        </w:tabs>
        <w:autoSpaceDE w:val="0"/>
        <w:autoSpaceDN w:val="0"/>
        <w:adjustRightInd w:val="0"/>
        <w:spacing w:after="0" w:line="240" w:lineRule="auto"/>
        <w:jc w:val="both"/>
        <w:rPr>
          <w:rFonts w:cs="Verdana"/>
          <w:bCs/>
          <w:i/>
          <w:iCs/>
          <w:szCs w:val="20"/>
          <w:lang w:val="es-CR"/>
        </w:rPr>
      </w:pPr>
      <w:r>
        <w:rPr>
          <w:rFonts w:cs="Verdana"/>
          <w:b/>
          <w:szCs w:val="20"/>
          <w:lang w:val="es-CR"/>
        </w:rPr>
        <w:tab/>
      </w:r>
      <w:r>
        <w:rPr>
          <w:rFonts w:cs="Verdana"/>
          <w:bCs/>
          <w:i/>
          <w:iCs/>
          <w:szCs w:val="20"/>
          <w:lang w:val="es-CR"/>
        </w:rPr>
        <w:t>(propuestas por las representantes)</w:t>
      </w:r>
    </w:p>
    <w:p w14:paraId="04A961BA" w14:textId="04CD5B65" w:rsidR="00C03C61" w:rsidRDefault="00C03C61" w:rsidP="00C03C61">
      <w:pPr>
        <w:tabs>
          <w:tab w:val="left" w:pos="567"/>
          <w:tab w:val="left" w:pos="851"/>
        </w:tabs>
        <w:autoSpaceDE w:val="0"/>
        <w:autoSpaceDN w:val="0"/>
        <w:adjustRightInd w:val="0"/>
        <w:spacing w:after="0" w:line="240" w:lineRule="auto"/>
        <w:jc w:val="both"/>
        <w:rPr>
          <w:rFonts w:cs="Verdana"/>
          <w:b/>
          <w:szCs w:val="20"/>
          <w:lang w:val="es-CR"/>
        </w:rPr>
      </w:pPr>
    </w:p>
    <w:p w14:paraId="5537D1AF" w14:textId="3FD7D058" w:rsidR="00C03C61" w:rsidRPr="00656969" w:rsidRDefault="00656969" w:rsidP="00C03C61">
      <w:pPr>
        <w:pStyle w:val="Prrafodelista"/>
        <w:numPr>
          <w:ilvl w:val="0"/>
          <w:numId w:val="9"/>
        </w:numPr>
        <w:tabs>
          <w:tab w:val="left" w:pos="567"/>
          <w:tab w:val="left" w:pos="851"/>
        </w:tabs>
        <w:autoSpaceDE w:val="0"/>
        <w:autoSpaceDN w:val="0"/>
        <w:adjustRightInd w:val="0"/>
        <w:spacing w:after="0" w:line="240" w:lineRule="auto"/>
        <w:jc w:val="both"/>
        <w:rPr>
          <w:rFonts w:cs="Verdana"/>
          <w:bCs/>
          <w:szCs w:val="20"/>
          <w:lang w:val="es-CR"/>
        </w:rPr>
      </w:pPr>
      <w:r>
        <w:rPr>
          <w:rFonts w:cs="Verdana"/>
          <w:bCs/>
          <w:i/>
          <w:iCs/>
          <w:szCs w:val="20"/>
          <w:lang w:val="es-CR"/>
        </w:rPr>
        <w:t>Dolores Mariela Aquino</w:t>
      </w:r>
      <w:r w:rsidR="008561BD">
        <w:rPr>
          <w:rFonts w:cs="Verdana"/>
          <w:bCs/>
          <w:szCs w:val="20"/>
          <w:lang w:val="es-CR"/>
        </w:rPr>
        <w:t>, quien declarará sobre como los hechos del caso afectaron la vida personal, familiar, de relación y el proyecto de vida de las presuntas víctimas.</w:t>
      </w:r>
    </w:p>
    <w:p w14:paraId="192B7402" w14:textId="30200F62" w:rsidR="00656969" w:rsidRDefault="008561BD" w:rsidP="00C03C61">
      <w:pPr>
        <w:pStyle w:val="Prrafodelista"/>
        <w:numPr>
          <w:ilvl w:val="0"/>
          <w:numId w:val="9"/>
        </w:numPr>
        <w:tabs>
          <w:tab w:val="left" w:pos="567"/>
          <w:tab w:val="left" w:pos="851"/>
        </w:tabs>
        <w:autoSpaceDE w:val="0"/>
        <w:autoSpaceDN w:val="0"/>
        <w:adjustRightInd w:val="0"/>
        <w:spacing w:after="0" w:line="240" w:lineRule="auto"/>
        <w:jc w:val="both"/>
        <w:rPr>
          <w:rFonts w:cs="Verdana"/>
          <w:bCs/>
          <w:szCs w:val="20"/>
          <w:lang w:val="es-CR"/>
        </w:rPr>
      </w:pPr>
      <w:r>
        <w:rPr>
          <w:rFonts w:cs="Verdana"/>
          <w:bCs/>
          <w:i/>
          <w:iCs/>
          <w:szCs w:val="20"/>
          <w:lang w:val="es-CR"/>
        </w:rPr>
        <w:t xml:space="preserve">Fortunata Acosta, </w:t>
      </w:r>
      <w:r>
        <w:rPr>
          <w:rFonts w:cs="Verdana"/>
          <w:bCs/>
          <w:szCs w:val="20"/>
          <w:lang w:val="es-CR"/>
        </w:rPr>
        <w:t>quien declarará</w:t>
      </w:r>
      <w:r w:rsidR="004A2925">
        <w:rPr>
          <w:rFonts w:cs="Verdana"/>
          <w:bCs/>
          <w:szCs w:val="20"/>
          <w:lang w:val="es-CR"/>
        </w:rPr>
        <w:t xml:space="preserve"> sobre los hechos iniciales del caso que tuvieron como protagonista a su nieta Micaela Pavón, su hija Laura Aquino y su nieto “Mariano”. Sobre cómo los hechos del caso afectaron la vida personal, familiar, de relación y el proyecto de vida de las presuntas víctimas.</w:t>
      </w:r>
    </w:p>
    <w:p w14:paraId="58FAFCAA" w14:textId="14853F99" w:rsidR="004A2925" w:rsidRDefault="004A2925" w:rsidP="00C03C61">
      <w:pPr>
        <w:pStyle w:val="Prrafodelista"/>
        <w:numPr>
          <w:ilvl w:val="0"/>
          <w:numId w:val="9"/>
        </w:numPr>
        <w:tabs>
          <w:tab w:val="left" w:pos="567"/>
          <w:tab w:val="left" w:pos="851"/>
        </w:tabs>
        <w:autoSpaceDE w:val="0"/>
        <w:autoSpaceDN w:val="0"/>
        <w:adjustRightInd w:val="0"/>
        <w:spacing w:after="0" w:line="240" w:lineRule="auto"/>
        <w:jc w:val="both"/>
        <w:rPr>
          <w:rFonts w:cs="Verdana"/>
          <w:bCs/>
          <w:szCs w:val="20"/>
          <w:lang w:val="es-CR"/>
        </w:rPr>
      </w:pPr>
      <w:r>
        <w:rPr>
          <w:rFonts w:cs="Verdana"/>
          <w:bCs/>
          <w:i/>
          <w:iCs/>
          <w:szCs w:val="20"/>
          <w:lang w:val="es-CR"/>
        </w:rPr>
        <w:t xml:space="preserve">Alejandra Isabel </w:t>
      </w:r>
      <w:proofErr w:type="spellStart"/>
      <w:r>
        <w:rPr>
          <w:rFonts w:cs="Verdana"/>
          <w:bCs/>
          <w:i/>
          <w:iCs/>
          <w:szCs w:val="20"/>
          <w:lang w:val="es-CR"/>
        </w:rPr>
        <w:t>Verdondoni</w:t>
      </w:r>
      <w:proofErr w:type="spellEnd"/>
      <w:r>
        <w:rPr>
          <w:rFonts w:cs="Verdana"/>
          <w:bCs/>
          <w:i/>
          <w:iCs/>
          <w:szCs w:val="20"/>
          <w:lang w:val="es-CR"/>
        </w:rPr>
        <w:t xml:space="preserve">, </w:t>
      </w:r>
      <w:r>
        <w:rPr>
          <w:rFonts w:cs="Verdana"/>
          <w:bCs/>
          <w:szCs w:val="20"/>
          <w:lang w:val="es-CR"/>
        </w:rPr>
        <w:t>quien declarará de su papel como defensora oficial de Micaela</w:t>
      </w:r>
      <w:r w:rsidR="00054708">
        <w:rPr>
          <w:rFonts w:cs="Verdana"/>
          <w:bCs/>
          <w:szCs w:val="20"/>
          <w:lang w:val="es-CR"/>
        </w:rPr>
        <w:t xml:space="preserve"> en los procesos internos, y cómo los hechos del caso se desarrollaron, y la afectación a las presuntas víctimas.</w:t>
      </w:r>
    </w:p>
    <w:p w14:paraId="52703CBC" w14:textId="0C508138" w:rsidR="00054708" w:rsidRDefault="00054708" w:rsidP="00C03C61">
      <w:pPr>
        <w:pStyle w:val="Prrafodelista"/>
        <w:numPr>
          <w:ilvl w:val="0"/>
          <w:numId w:val="9"/>
        </w:numPr>
        <w:tabs>
          <w:tab w:val="left" w:pos="567"/>
          <w:tab w:val="left" w:pos="851"/>
        </w:tabs>
        <w:autoSpaceDE w:val="0"/>
        <w:autoSpaceDN w:val="0"/>
        <w:adjustRightInd w:val="0"/>
        <w:spacing w:after="0" w:line="240" w:lineRule="auto"/>
        <w:jc w:val="both"/>
        <w:rPr>
          <w:rFonts w:cs="Verdana"/>
          <w:bCs/>
          <w:szCs w:val="20"/>
          <w:lang w:val="es-CR"/>
        </w:rPr>
      </w:pPr>
      <w:r>
        <w:rPr>
          <w:rFonts w:cs="Verdana"/>
          <w:bCs/>
          <w:i/>
          <w:iCs/>
          <w:szCs w:val="20"/>
          <w:lang w:val="es-CR"/>
        </w:rPr>
        <w:t xml:space="preserve">Silvana Beatriz </w:t>
      </w:r>
      <w:proofErr w:type="spellStart"/>
      <w:r>
        <w:rPr>
          <w:rFonts w:cs="Verdana"/>
          <w:bCs/>
          <w:i/>
          <w:iCs/>
          <w:szCs w:val="20"/>
          <w:lang w:val="es-CR"/>
        </w:rPr>
        <w:t>Bigón</w:t>
      </w:r>
      <w:proofErr w:type="spellEnd"/>
      <w:r>
        <w:rPr>
          <w:rFonts w:cs="Verdana"/>
          <w:bCs/>
          <w:i/>
          <w:iCs/>
          <w:szCs w:val="20"/>
          <w:lang w:val="es-CR"/>
        </w:rPr>
        <w:t xml:space="preserve">, </w:t>
      </w:r>
      <w:r w:rsidR="00684CE9">
        <w:rPr>
          <w:rFonts w:cs="Verdana"/>
          <w:bCs/>
          <w:szCs w:val="20"/>
          <w:lang w:val="es-CR"/>
        </w:rPr>
        <w:t xml:space="preserve">quien declarará sobre su experiencia como parte del equipo de admisión </w:t>
      </w:r>
      <w:r w:rsidR="003D5105">
        <w:rPr>
          <w:rFonts w:cs="Verdana"/>
          <w:bCs/>
          <w:szCs w:val="20"/>
          <w:lang w:val="es-CR"/>
        </w:rPr>
        <w:t xml:space="preserve">de la Dirección Provincial de Promoción de los Derechos de la Niñez, Adolescencia y </w:t>
      </w:r>
      <w:r w:rsidR="00C74633">
        <w:rPr>
          <w:rFonts w:cs="Verdana"/>
          <w:bCs/>
          <w:szCs w:val="20"/>
          <w:lang w:val="es-CR"/>
        </w:rPr>
        <w:t>Familia, sobre cómo se desarrollaron los hechos del caso y como afectaron la integridad personal, vida personal y familiar y el proyecto de vida de las presuntas víctimas.</w:t>
      </w:r>
    </w:p>
    <w:p w14:paraId="077A0994" w14:textId="71B33EAD" w:rsidR="00C74633" w:rsidRDefault="00C74633" w:rsidP="00C03C61">
      <w:pPr>
        <w:pStyle w:val="Prrafodelista"/>
        <w:numPr>
          <w:ilvl w:val="0"/>
          <w:numId w:val="9"/>
        </w:numPr>
        <w:tabs>
          <w:tab w:val="left" w:pos="567"/>
          <w:tab w:val="left" w:pos="851"/>
        </w:tabs>
        <w:autoSpaceDE w:val="0"/>
        <w:autoSpaceDN w:val="0"/>
        <w:adjustRightInd w:val="0"/>
        <w:spacing w:after="0" w:line="240" w:lineRule="auto"/>
        <w:jc w:val="both"/>
        <w:rPr>
          <w:rFonts w:cs="Verdana"/>
          <w:bCs/>
          <w:szCs w:val="20"/>
          <w:lang w:val="es-CR"/>
        </w:rPr>
      </w:pPr>
      <w:r>
        <w:rPr>
          <w:rFonts w:cs="Verdana"/>
          <w:bCs/>
          <w:i/>
          <w:iCs/>
          <w:szCs w:val="20"/>
          <w:lang w:val="es-CR"/>
        </w:rPr>
        <w:t xml:space="preserve">Gloria </w:t>
      </w:r>
      <w:proofErr w:type="spellStart"/>
      <w:r>
        <w:rPr>
          <w:rFonts w:cs="Verdana"/>
          <w:bCs/>
          <w:i/>
          <w:iCs/>
          <w:szCs w:val="20"/>
          <w:lang w:val="es-CR"/>
        </w:rPr>
        <w:t>Liñan</w:t>
      </w:r>
      <w:proofErr w:type="spellEnd"/>
      <w:r>
        <w:rPr>
          <w:rFonts w:cs="Verdana"/>
          <w:bCs/>
          <w:i/>
          <w:iCs/>
          <w:szCs w:val="20"/>
          <w:lang w:val="es-CR"/>
        </w:rPr>
        <w:t xml:space="preserve">, </w:t>
      </w:r>
      <w:r>
        <w:rPr>
          <w:rFonts w:cs="Verdana"/>
          <w:bCs/>
          <w:szCs w:val="20"/>
          <w:lang w:val="es-CR"/>
        </w:rPr>
        <w:t xml:space="preserve">quien declarará sobre el acompañamiento psicológico dado a Micaela Pavón en la vinculación con su hijo, así como la forma en que se desarrollaron </w:t>
      </w:r>
      <w:r>
        <w:rPr>
          <w:rFonts w:cs="Verdana"/>
          <w:bCs/>
          <w:szCs w:val="20"/>
          <w:lang w:val="es-CR"/>
        </w:rPr>
        <w:lastRenderedPageBreak/>
        <w:t>los hechos del caso y como afectaron la integridad personal, vida personal y familiar y el proyecto de vida de las presuntas víctimas.</w:t>
      </w:r>
    </w:p>
    <w:p w14:paraId="04787394" w14:textId="77777777" w:rsidR="00C74633" w:rsidRPr="00C03C61" w:rsidRDefault="00C74633" w:rsidP="00C74633">
      <w:pPr>
        <w:pStyle w:val="Prrafodelista"/>
        <w:tabs>
          <w:tab w:val="left" w:pos="567"/>
          <w:tab w:val="left" w:pos="851"/>
        </w:tabs>
        <w:autoSpaceDE w:val="0"/>
        <w:autoSpaceDN w:val="0"/>
        <w:adjustRightInd w:val="0"/>
        <w:spacing w:after="0" w:line="240" w:lineRule="auto"/>
        <w:jc w:val="both"/>
        <w:rPr>
          <w:rFonts w:cs="Verdana"/>
          <w:bCs/>
          <w:szCs w:val="20"/>
          <w:lang w:val="es-CR"/>
        </w:rPr>
      </w:pPr>
    </w:p>
    <w:p w14:paraId="208D0863" w14:textId="32F60088" w:rsidR="0083415E" w:rsidRPr="00C03C61" w:rsidRDefault="0083415E" w:rsidP="00C03C61">
      <w:pPr>
        <w:pStyle w:val="Prrafodelista"/>
        <w:numPr>
          <w:ilvl w:val="0"/>
          <w:numId w:val="8"/>
        </w:numPr>
        <w:tabs>
          <w:tab w:val="left" w:pos="567"/>
          <w:tab w:val="left" w:pos="851"/>
        </w:tabs>
        <w:autoSpaceDE w:val="0"/>
        <w:autoSpaceDN w:val="0"/>
        <w:adjustRightInd w:val="0"/>
        <w:spacing w:after="0" w:line="240" w:lineRule="auto"/>
        <w:jc w:val="both"/>
        <w:rPr>
          <w:rFonts w:cs="Verdana"/>
          <w:b/>
          <w:szCs w:val="20"/>
          <w:lang w:val="es-CR"/>
        </w:rPr>
      </w:pPr>
      <w:r w:rsidRPr="00C03C61">
        <w:rPr>
          <w:rFonts w:cs="Verdana"/>
          <w:b/>
          <w:szCs w:val="20"/>
          <w:lang w:val="es-CR"/>
        </w:rPr>
        <w:t>Perito</w:t>
      </w:r>
      <w:r w:rsidR="00C03C61">
        <w:rPr>
          <w:rFonts w:cs="Verdana"/>
          <w:b/>
          <w:szCs w:val="20"/>
          <w:lang w:val="es-CR"/>
        </w:rPr>
        <w:t>s</w:t>
      </w:r>
    </w:p>
    <w:p w14:paraId="5D878C57" w14:textId="77777777" w:rsidR="0083415E" w:rsidRDefault="0083415E" w:rsidP="0083415E">
      <w:pPr>
        <w:tabs>
          <w:tab w:val="left" w:pos="567"/>
          <w:tab w:val="left" w:pos="851"/>
        </w:tabs>
        <w:autoSpaceDE w:val="0"/>
        <w:autoSpaceDN w:val="0"/>
        <w:adjustRightInd w:val="0"/>
        <w:spacing w:after="0" w:line="240" w:lineRule="auto"/>
        <w:jc w:val="both"/>
        <w:rPr>
          <w:rFonts w:cs="Verdana"/>
          <w:bCs/>
          <w:szCs w:val="20"/>
          <w:lang w:val="es-CR"/>
        </w:rPr>
      </w:pPr>
    </w:p>
    <w:p w14:paraId="60FD200E" w14:textId="56F25802" w:rsidR="00C74633" w:rsidRDefault="00C74633" w:rsidP="0083415E">
      <w:pPr>
        <w:tabs>
          <w:tab w:val="left" w:pos="567"/>
          <w:tab w:val="left" w:pos="851"/>
        </w:tabs>
        <w:autoSpaceDE w:val="0"/>
        <w:autoSpaceDN w:val="0"/>
        <w:adjustRightInd w:val="0"/>
        <w:spacing w:after="0" w:line="240" w:lineRule="auto"/>
        <w:jc w:val="both"/>
        <w:rPr>
          <w:rFonts w:cs="Verdana"/>
          <w:bCs/>
          <w:i/>
          <w:iCs/>
          <w:szCs w:val="20"/>
          <w:lang w:val="es-CR"/>
        </w:rPr>
      </w:pPr>
      <w:r>
        <w:rPr>
          <w:rFonts w:cs="Verdana"/>
          <w:bCs/>
          <w:i/>
          <w:iCs/>
          <w:szCs w:val="20"/>
          <w:lang w:val="es-CR"/>
        </w:rPr>
        <w:t>(propuestos por las representantes)</w:t>
      </w:r>
    </w:p>
    <w:p w14:paraId="2A272204" w14:textId="3A50AC66" w:rsidR="00C74633" w:rsidRDefault="00C74633" w:rsidP="0083415E">
      <w:pPr>
        <w:tabs>
          <w:tab w:val="left" w:pos="567"/>
          <w:tab w:val="left" w:pos="851"/>
        </w:tabs>
        <w:autoSpaceDE w:val="0"/>
        <w:autoSpaceDN w:val="0"/>
        <w:adjustRightInd w:val="0"/>
        <w:spacing w:after="0" w:line="240" w:lineRule="auto"/>
        <w:jc w:val="both"/>
        <w:rPr>
          <w:rFonts w:cs="Verdana"/>
          <w:bCs/>
          <w:i/>
          <w:iCs/>
          <w:szCs w:val="20"/>
          <w:lang w:val="es-CR"/>
        </w:rPr>
      </w:pPr>
    </w:p>
    <w:p w14:paraId="43F2A0B1" w14:textId="650D39F8" w:rsidR="00C74633" w:rsidRDefault="00C74633" w:rsidP="00C74633">
      <w:pPr>
        <w:pStyle w:val="Prrafodelista"/>
        <w:numPr>
          <w:ilvl w:val="0"/>
          <w:numId w:val="9"/>
        </w:numPr>
        <w:tabs>
          <w:tab w:val="left" w:pos="567"/>
          <w:tab w:val="left" w:pos="851"/>
        </w:tabs>
        <w:autoSpaceDE w:val="0"/>
        <w:autoSpaceDN w:val="0"/>
        <w:adjustRightInd w:val="0"/>
        <w:spacing w:after="0" w:line="240" w:lineRule="auto"/>
        <w:jc w:val="both"/>
        <w:rPr>
          <w:rFonts w:cs="Verdana"/>
          <w:bCs/>
          <w:szCs w:val="20"/>
          <w:lang w:val="es-CR"/>
        </w:rPr>
      </w:pPr>
      <w:r>
        <w:rPr>
          <w:rFonts w:cs="Verdana"/>
          <w:bCs/>
          <w:i/>
          <w:iCs/>
          <w:szCs w:val="20"/>
          <w:lang w:val="es-CR"/>
        </w:rPr>
        <w:t xml:space="preserve">Marisa Herrera, </w:t>
      </w:r>
      <w:r>
        <w:rPr>
          <w:rFonts w:cs="Verdana"/>
          <w:bCs/>
          <w:szCs w:val="20"/>
          <w:lang w:val="es-CR"/>
        </w:rPr>
        <w:t>Doctora en Derecho, quien declarará sobre los estándares internacionales en materia de derechos humanos de niñas, niños y adolescentes, relevantes y aplicables en los procesos sobre las medidas de protección de niñas, niños y adolescentes y los procesos de adopción. Así como sobre los estándares internacionales en materia de derechos humanos de las mujeres aplicables en los citados procesos.</w:t>
      </w:r>
    </w:p>
    <w:p w14:paraId="4775C3B9" w14:textId="3D1FE51D" w:rsidR="00C74633" w:rsidRDefault="00C74633" w:rsidP="00C74633">
      <w:pPr>
        <w:pStyle w:val="Prrafodelista"/>
        <w:numPr>
          <w:ilvl w:val="0"/>
          <w:numId w:val="9"/>
        </w:numPr>
        <w:tabs>
          <w:tab w:val="left" w:pos="567"/>
          <w:tab w:val="left" w:pos="851"/>
        </w:tabs>
        <w:autoSpaceDE w:val="0"/>
        <w:autoSpaceDN w:val="0"/>
        <w:adjustRightInd w:val="0"/>
        <w:spacing w:after="0" w:line="240" w:lineRule="auto"/>
        <w:jc w:val="both"/>
        <w:rPr>
          <w:rFonts w:cs="Verdana"/>
          <w:bCs/>
          <w:szCs w:val="20"/>
          <w:lang w:val="es-CR"/>
        </w:rPr>
      </w:pPr>
      <w:r>
        <w:rPr>
          <w:rFonts w:cs="Verdana"/>
          <w:bCs/>
          <w:i/>
          <w:iCs/>
          <w:szCs w:val="20"/>
          <w:lang w:val="es-CR"/>
        </w:rPr>
        <w:t xml:space="preserve">Miguel Cillero </w:t>
      </w:r>
      <w:proofErr w:type="spellStart"/>
      <w:r>
        <w:rPr>
          <w:rFonts w:cs="Verdana"/>
          <w:bCs/>
          <w:i/>
          <w:iCs/>
          <w:szCs w:val="20"/>
          <w:lang w:val="es-CR"/>
        </w:rPr>
        <w:t>Bruñol</w:t>
      </w:r>
      <w:proofErr w:type="spellEnd"/>
      <w:r>
        <w:rPr>
          <w:rFonts w:cs="Verdana"/>
          <w:bCs/>
          <w:i/>
          <w:iCs/>
          <w:szCs w:val="20"/>
          <w:lang w:val="es-CR"/>
        </w:rPr>
        <w:t xml:space="preserve">, </w:t>
      </w:r>
      <w:r>
        <w:rPr>
          <w:rFonts w:cs="Verdana"/>
          <w:bCs/>
          <w:szCs w:val="20"/>
          <w:lang w:val="es-CR"/>
        </w:rPr>
        <w:t xml:space="preserve">Doctor en Derecho, quien declarará sobre los estándares internacionales en materia de derechos humanos de niñas, niños y adolescentes relevantes </w:t>
      </w:r>
      <w:r w:rsidR="00A96309">
        <w:rPr>
          <w:rFonts w:cs="Verdana"/>
          <w:bCs/>
          <w:szCs w:val="20"/>
          <w:lang w:val="es-CR"/>
        </w:rPr>
        <w:t>en relación con el</w:t>
      </w:r>
      <w:r>
        <w:rPr>
          <w:rFonts w:cs="Verdana"/>
          <w:bCs/>
          <w:szCs w:val="20"/>
          <w:lang w:val="es-CR"/>
        </w:rPr>
        <w:t xml:space="preserve"> Interés Superior del Niño y la prohibición de discriminación.</w:t>
      </w:r>
    </w:p>
    <w:p w14:paraId="75B981E2" w14:textId="7E3789C5" w:rsidR="00C74633" w:rsidRDefault="00A96309" w:rsidP="00C74633">
      <w:pPr>
        <w:pStyle w:val="Prrafodelista"/>
        <w:numPr>
          <w:ilvl w:val="0"/>
          <w:numId w:val="9"/>
        </w:numPr>
        <w:tabs>
          <w:tab w:val="left" w:pos="567"/>
          <w:tab w:val="left" w:pos="851"/>
        </w:tabs>
        <w:autoSpaceDE w:val="0"/>
        <w:autoSpaceDN w:val="0"/>
        <w:adjustRightInd w:val="0"/>
        <w:spacing w:after="0" w:line="240" w:lineRule="auto"/>
        <w:jc w:val="both"/>
        <w:rPr>
          <w:rFonts w:cs="Verdana"/>
          <w:bCs/>
          <w:szCs w:val="20"/>
          <w:lang w:val="es-CR"/>
        </w:rPr>
      </w:pPr>
      <w:r>
        <w:rPr>
          <w:rFonts w:cs="Verdana"/>
          <w:bCs/>
          <w:i/>
          <w:iCs/>
          <w:szCs w:val="20"/>
          <w:lang w:val="es-CR"/>
        </w:rPr>
        <w:t xml:space="preserve">Emilio García Méndez, </w:t>
      </w:r>
      <w:r>
        <w:rPr>
          <w:rFonts w:cs="Verdana"/>
          <w:bCs/>
          <w:szCs w:val="20"/>
          <w:lang w:val="es-CR"/>
        </w:rPr>
        <w:t xml:space="preserve">Doctor en Derecho, quien declarará sobre los estándares internacionales de derechos humanos sobre la condición de </w:t>
      </w:r>
      <w:proofErr w:type="gramStart"/>
      <w:r>
        <w:rPr>
          <w:rFonts w:cs="Verdana"/>
          <w:bCs/>
          <w:szCs w:val="20"/>
          <w:lang w:val="es-CR"/>
        </w:rPr>
        <w:t>niñas y niños</w:t>
      </w:r>
      <w:proofErr w:type="gramEnd"/>
      <w:r>
        <w:rPr>
          <w:rFonts w:cs="Verdana"/>
          <w:bCs/>
          <w:szCs w:val="20"/>
          <w:lang w:val="es-CR"/>
        </w:rPr>
        <w:t xml:space="preserve"> como sujeto de derechos, el respeto al debido proceso y la tutela judicial efectiva en relación con el artículo 19 de la Convención Americana, el derecho a la familia de origen y el derecho a la integridad personal en referencial al derecho a la identidad.</w:t>
      </w:r>
    </w:p>
    <w:p w14:paraId="33AD35CA" w14:textId="77777777" w:rsidR="00A96309" w:rsidRPr="00C74633" w:rsidRDefault="00A96309" w:rsidP="00A96309">
      <w:pPr>
        <w:pStyle w:val="Prrafodelista"/>
        <w:tabs>
          <w:tab w:val="left" w:pos="567"/>
          <w:tab w:val="left" w:pos="851"/>
        </w:tabs>
        <w:autoSpaceDE w:val="0"/>
        <w:autoSpaceDN w:val="0"/>
        <w:adjustRightInd w:val="0"/>
        <w:spacing w:after="0" w:line="240" w:lineRule="auto"/>
        <w:jc w:val="both"/>
        <w:rPr>
          <w:rFonts w:cs="Verdana"/>
          <w:bCs/>
          <w:szCs w:val="20"/>
          <w:lang w:val="es-CR"/>
        </w:rPr>
      </w:pPr>
    </w:p>
    <w:p w14:paraId="341FBF4C" w14:textId="10307A27" w:rsidR="0083415E" w:rsidRDefault="0083415E" w:rsidP="0083415E">
      <w:pPr>
        <w:tabs>
          <w:tab w:val="left" w:pos="567"/>
          <w:tab w:val="left" w:pos="851"/>
        </w:tabs>
        <w:autoSpaceDE w:val="0"/>
        <w:autoSpaceDN w:val="0"/>
        <w:adjustRightInd w:val="0"/>
        <w:spacing w:after="0" w:line="240" w:lineRule="auto"/>
        <w:jc w:val="both"/>
        <w:rPr>
          <w:rFonts w:cs="Verdana"/>
          <w:bCs/>
          <w:i/>
          <w:iCs/>
          <w:szCs w:val="20"/>
          <w:lang w:val="es-CR"/>
        </w:rPr>
      </w:pPr>
      <w:r>
        <w:rPr>
          <w:rFonts w:cs="Verdana"/>
          <w:bCs/>
          <w:i/>
          <w:iCs/>
          <w:szCs w:val="20"/>
          <w:lang w:val="es-CR"/>
        </w:rPr>
        <w:t>(propuest</w:t>
      </w:r>
      <w:r w:rsidR="00853BAD">
        <w:rPr>
          <w:rFonts w:cs="Verdana"/>
          <w:bCs/>
          <w:i/>
          <w:iCs/>
          <w:szCs w:val="20"/>
          <w:lang w:val="es-CR"/>
        </w:rPr>
        <w:t>a</w:t>
      </w:r>
      <w:r>
        <w:rPr>
          <w:rFonts w:cs="Verdana"/>
          <w:bCs/>
          <w:i/>
          <w:iCs/>
          <w:szCs w:val="20"/>
          <w:lang w:val="es-CR"/>
        </w:rPr>
        <w:t xml:space="preserve"> por la Comisión)</w:t>
      </w:r>
    </w:p>
    <w:p w14:paraId="40FA8A58" w14:textId="77777777" w:rsidR="0083415E" w:rsidRPr="006F3751" w:rsidRDefault="0083415E" w:rsidP="0083415E">
      <w:pPr>
        <w:tabs>
          <w:tab w:val="left" w:pos="567"/>
          <w:tab w:val="left" w:pos="851"/>
        </w:tabs>
        <w:autoSpaceDE w:val="0"/>
        <w:autoSpaceDN w:val="0"/>
        <w:adjustRightInd w:val="0"/>
        <w:spacing w:after="0" w:line="240" w:lineRule="auto"/>
        <w:jc w:val="both"/>
        <w:rPr>
          <w:rFonts w:cs="Verdana"/>
          <w:bCs/>
          <w:i/>
          <w:iCs/>
          <w:szCs w:val="20"/>
          <w:lang w:val="es-CR"/>
        </w:rPr>
      </w:pPr>
    </w:p>
    <w:p w14:paraId="669A3399" w14:textId="12BB2282" w:rsidR="0083415E" w:rsidRPr="00A96309" w:rsidRDefault="00A96309" w:rsidP="00A96309">
      <w:pPr>
        <w:pStyle w:val="Prrafodelista"/>
        <w:numPr>
          <w:ilvl w:val="0"/>
          <w:numId w:val="9"/>
        </w:numPr>
        <w:tabs>
          <w:tab w:val="left" w:pos="567"/>
          <w:tab w:val="left" w:pos="851"/>
        </w:tabs>
        <w:autoSpaceDE w:val="0"/>
        <w:autoSpaceDN w:val="0"/>
        <w:adjustRightInd w:val="0"/>
        <w:spacing w:after="0" w:line="240" w:lineRule="auto"/>
        <w:jc w:val="both"/>
        <w:rPr>
          <w:rFonts w:cs="Verdana"/>
          <w:bCs/>
          <w:szCs w:val="20"/>
          <w:lang w:val="es-CR"/>
        </w:rPr>
      </w:pPr>
      <w:r>
        <w:rPr>
          <w:rFonts w:cs="Verdana"/>
          <w:bCs/>
          <w:i/>
          <w:iCs/>
          <w:szCs w:val="20"/>
          <w:lang w:val="es-CR"/>
        </w:rPr>
        <w:t xml:space="preserve">Mónica González </w:t>
      </w:r>
      <w:proofErr w:type="spellStart"/>
      <w:r>
        <w:rPr>
          <w:rFonts w:cs="Verdana"/>
          <w:bCs/>
          <w:i/>
          <w:iCs/>
          <w:szCs w:val="20"/>
          <w:lang w:val="es-CR"/>
        </w:rPr>
        <w:t>Contró</w:t>
      </w:r>
      <w:proofErr w:type="spellEnd"/>
      <w:r w:rsidR="0083415E" w:rsidRPr="00A96309">
        <w:rPr>
          <w:rFonts w:cs="Verdana"/>
          <w:bCs/>
          <w:i/>
          <w:iCs/>
          <w:szCs w:val="20"/>
          <w:lang w:val="es-CR"/>
        </w:rPr>
        <w:t xml:space="preserve">, </w:t>
      </w:r>
      <w:r w:rsidR="008C7187">
        <w:rPr>
          <w:rFonts w:cs="Verdana"/>
          <w:bCs/>
          <w:szCs w:val="20"/>
          <w:lang w:val="es-CR"/>
        </w:rPr>
        <w:t>Doctora en Derecho</w:t>
      </w:r>
      <w:r w:rsidR="0083415E" w:rsidRPr="00A96309">
        <w:rPr>
          <w:rFonts w:cs="Verdana"/>
          <w:bCs/>
          <w:szCs w:val="20"/>
          <w:lang w:val="es-CR"/>
        </w:rPr>
        <w:t xml:space="preserve">, quien declarará sobre </w:t>
      </w:r>
      <w:r w:rsidR="008C7187">
        <w:rPr>
          <w:rFonts w:cs="Verdana"/>
          <w:bCs/>
          <w:szCs w:val="20"/>
          <w:lang w:val="es-CR"/>
        </w:rPr>
        <w:t>l</w:t>
      </w:r>
      <w:r w:rsidR="008C7187" w:rsidRPr="008C7187">
        <w:rPr>
          <w:rFonts w:cs="Verdana"/>
          <w:bCs/>
          <w:szCs w:val="20"/>
          <w:lang w:val="es-CR"/>
        </w:rPr>
        <w:t>os deberes que impone el derecho internacional a los Estados en materia del derecho a protección de la vida familiar y a los derechos a las garantías judiciales y a la protección judicial en el marco de procesos de guarda y adopción. En particular, el perito/a se referirá a las obligaciones estatales de garantizar asistencia jurídica oportuna y eficaz a madres adolescentes con carácter previo a la entrega en adopción de sus hijos e hijas y de generar las condiciones necesarias para el mantenimiento de un vínculo entre las madres, su familia extendida y sus hijas e hijos biológicos, en supuestos como los del presente caso. En la medida de lo pertinente, el/la perito/a se referirá a otros sistemas internacionales de protección de derechos humanos y al derecho comparado. Para ejemplificar el desarrollo de su peritaje, el/la perito/a podrá referirse a los hechos del caso</w:t>
      </w:r>
      <w:r w:rsidR="0083415E" w:rsidRPr="00A96309">
        <w:rPr>
          <w:rFonts w:cs="Verdana"/>
          <w:bCs/>
          <w:szCs w:val="20"/>
          <w:lang w:val="es-CR"/>
        </w:rPr>
        <w:t>.</w:t>
      </w:r>
    </w:p>
    <w:p w14:paraId="44BA686C" w14:textId="243FBCE3" w:rsidR="0083415E" w:rsidRPr="00A50469" w:rsidRDefault="0083415E" w:rsidP="0083415E">
      <w:pPr>
        <w:numPr>
          <w:ilvl w:val="0"/>
          <w:numId w:val="5"/>
        </w:numPr>
        <w:tabs>
          <w:tab w:val="left" w:pos="567"/>
        </w:tabs>
        <w:spacing w:before="240" w:after="240" w:line="240" w:lineRule="auto"/>
        <w:jc w:val="both"/>
        <w:rPr>
          <w:rFonts w:eastAsia="MS Mincho" w:cs="Times"/>
          <w:szCs w:val="20"/>
          <w:lang w:val="es-CR"/>
        </w:rPr>
      </w:pPr>
      <w:bookmarkStart w:id="6" w:name="_Ref393464381"/>
      <w:r w:rsidRPr="001C4682">
        <w:rPr>
          <w:rFonts w:eastAsia="MS Mincho" w:cs="Times"/>
          <w:szCs w:val="20"/>
          <w:lang w:val="es-CR"/>
        </w:rPr>
        <w:t xml:space="preserve"> </w:t>
      </w:r>
      <w:r>
        <w:rPr>
          <w:rFonts w:cs="Verdana"/>
          <w:color w:val="000000"/>
          <w:szCs w:val="20"/>
          <w:lang w:val="es-CR" w:eastAsia="es-ES"/>
        </w:rPr>
        <w:t>Requerir a l</w:t>
      </w:r>
      <w:r w:rsidR="00464FCB">
        <w:rPr>
          <w:rFonts w:cs="Verdana"/>
          <w:color w:val="000000"/>
          <w:szCs w:val="20"/>
          <w:lang w:val="es-CR" w:eastAsia="es-ES"/>
        </w:rPr>
        <w:t>a</w:t>
      </w:r>
      <w:r>
        <w:rPr>
          <w:rFonts w:cs="Verdana"/>
          <w:color w:val="000000"/>
          <w:szCs w:val="20"/>
          <w:lang w:val="es-CR" w:eastAsia="es-ES"/>
        </w:rPr>
        <w:t xml:space="preserve">s representantes y a la Comisión que notifiquen la presente Resolución a los declarantes propuestos por ellos, de conformidad con lo dispuesto en los artículos 50.2 </w:t>
      </w:r>
      <w:r w:rsidRPr="00A50469">
        <w:rPr>
          <w:rFonts w:cs="Verdana"/>
          <w:color w:val="000000"/>
          <w:szCs w:val="20"/>
          <w:lang w:val="es-CR" w:eastAsia="es-ES"/>
        </w:rPr>
        <w:t xml:space="preserve">y 50.4 del Reglamento. </w:t>
      </w:r>
    </w:p>
    <w:p w14:paraId="3E44CA08" w14:textId="2A95B539" w:rsidR="0083415E" w:rsidRPr="00D771E7" w:rsidRDefault="0083415E" w:rsidP="0083415E">
      <w:pPr>
        <w:numPr>
          <w:ilvl w:val="0"/>
          <w:numId w:val="5"/>
        </w:numPr>
        <w:tabs>
          <w:tab w:val="left" w:pos="567"/>
        </w:tabs>
        <w:spacing w:before="240" w:after="240" w:line="240" w:lineRule="auto"/>
        <w:jc w:val="both"/>
        <w:rPr>
          <w:rFonts w:eastAsia="MS Mincho" w:cs="Times"/>
          <w:szCs w:val="20"/>
          <w:lang w:val="es-CR"/>
        </w:rPr>
      </w:pPr>
      <w:r w:rsidRPr="00D771E7">
        <w:rPr>
          <w:rFonts w:eastAsia="MS Mincho" w:cs="Times"/>
          <w:szCs w:val="20"/>
          <w:lang w:val="es-CR"/>
        </w:rPr>
        <w:t xml:space="preserve">Requerir a </w:t>
      </w:r>
      <w:r w:rsidRPr="00D771E7">
        <w:rPr>
          <w:rFonts w:eastAsia="MS Mincho" w:cs="Times"/>
          <w:color w:val="000000"/>
          <w:szCs w:val="20"/>
          <w:lang w:val="es-CR" w:eastAsia="es-ES"/>
        </w:rPr>
        <w:t xml:space="preserve">las partes </w:t>
      </w:r>
      <w:r w:rsidRPr="00D771E7">
        <w:rPr>
          <w:rFonts w:eastAsia="MS Mincho" w:cs="Times"/>
          <w:szCs w:val="20"/>
          <w:lang w:val="es-CR"/>
        </w:rPr>
        <w:t xml:space="preserve">que remitan, </w:t>
      </w:r>
      <w:r w:rsidRPr="00D771E7">
        <w:rPr>
          <w:szCs w:val="20"/>
          <w:lang w:val="es-CR"/>
        </w:rPr>
        <w:t>en los términos del artículo 50.5 del Reglamento y</w:t>
      </w:r>
      <w:r w:rsidRPr="00D771E7">
        <w:rPr>
          <w:rFonts w:eastAsia="MS Mincho" w:cs="Times"/>
          <w:szCs w:val="20"/>
          <w:lang w:val="es-CR"/>
        </w:rPr>
        <w:t xml:space="preserve"> de considerarlo pertinente, en lo que les corresponda y en el plazo</w:t>
      </w:r>
      <w:r w:rsidRPr="00D771E7">
        <w:rPr>
          <w:rFonts w:eastAsia="MS Mincho" w:cs="Verdana"/>
          <w:szCs w:val="20"/>
          <w:lang w:val="es-CR"/>
        </w:rPr>
        <w:t xml:space="preserve"> improrrogable que vence el </w:t>
      </w:r>
      <w:r w:rsidR="00891CF1" w:rsidRPr="00D771E7">
        <w:rPr>
          <w:szCs w:val="20"/>
          <w:lang w:val="es-CR"/>
        </w:rPr>
        <w:t>5 de octubre</w:t>
      </w:r>
      <w:r w:rsidRPr="00D771E7">
        <w:rPr>
          <w:szCs w:val="20"/>
          <w:lang w:val="es-CR"/>
        </w:rPr>
        <w:t xml:space="preserve"> de 2022</w:t>
      </w:r>
      <w:r w:rsidRPr="00D771E7">
        <w:rPr>
          <w:rFonts w:eastAsia="MS Mincho" w:cs="Verdana"/>
          <w:szCs w:val="20"/>
          <w:lang w:val="es-CR"/>
        </w:rPr>
        <w:t xml:space="preserve">, las preguntas que estimen pertinentes formular a través de la Corte Interamericana </w:t>
      </w:r>
      <w:r w:rsidR="00891CF1" w:rsidRPr="00D771E7">
        <w:rPr>
          <w:rFonts w:eastAsia="MS Mincho" w:cs="Verdana"/>
          <w:szCs w:val="20"/>
          <w:lang w:val="es-CR"/>
        </w:rPr>
        <w:t>a los declarantes indicados</w:t>
      </w:r>
      <w:r w:rsidRPr="00D771E7">
        <w:rPr>
          <w:rFonts w:eastAsia="MS Mincho" w:cs="Times"/>
          <w:szCs w:val="20"/>
          <w:lang w:val="es-CR"/>
        </w:rPr>
        <w:t xml:space="preserve"> en el punto resolutivo 3 de esta Resolución.</w:t>
      </w:r>
      <w:r w:rsidRPr="00D771E7">
        <w:rPr>
          <w:szCs w:val="20"/>
          <w:lang w:val="es-CR"/>
        </w:rPr>
        <w:t xml:space="preserve"> </w:t>
      </w:r>
      <w:bookmarkEnd w:id="6"/>
    </w:p>
    <w:p w14:paraId="700763BA" w14:textId="2B5E4F90" w:rsidR="0083415E" w:rsidRPr="00D771E7" w:rsidRDefault="0083415E" w:rsidP="0083415E">
      <w:pPr>
        <w:numPr>
          <w:ilvl w:val="0"/>
          <w:numId w:val="5"/>
        </w:numPr>
        <w:tabs>
          <w:tab w:val="left" w:pos="567"/>
        </w:tabs>
        <w:spacing w:before="240" w:after="240" w:line="240" w:lineRule="auto"/>
        <w:jc w:val="both"/>
        <w:rPr>
          <w:rFonts w:eastAsia="MS Mincho" w:cs="Times"/>
          <w:szCs w:val="20"/>
          <w:lang w:val="es-CR"/>
        </w:rPr>
      </w:pPr>
      <w:r w:rsidRPr="00D771E7">
        <w:rPr>
          <w:rFonts w:eastAsia="MS Mincho" w:cs="Times"/>
          <w:szCs w:val="20"/>
          <w:lang w:val="es-CR"/>
        </w:rPr>
        <w:t>Requerir a la Comisión</w:t>
      </w:r>
      <w:r w:rsidR="00A24757" w:rsidRPr="00D771E7">
        <w:rPr>
          <w:rFonts w:eastAsia="MS Mincho" w:cs="Times"/>
          <w:szCs w:val="20"/>
          <w:lang w:val="es-CR"/>
        </w:rPr>
        <w:t xml:space="preserve"> y a las representantes</w:t>
      </w:r>
      <w:r w:rsidRPr="00D771E7">
        <w:rPr>
          <w:rFonts w:eastAsia="MS Mincho" w:cs="Times"/>
          <w:szCs w:val="20"/>
          <w:lang w:val="es-CR"/>
        </w:rPr>
        <w:t xml:space="preserve"> que coordine</w:t>
      </w:r>
      <w:r w:rsidR="00A24757" w:rsidRPr="00D771E7">
        <w:rPr>
          <w:rFonts w:eastAsia="MS Mincho" w:cs="Times"/>
          <w:szCs w:val="20"/>
          <w:lang w:val="es-CR"/>
        </w:rPr>
        <w:t>n</w:t>
      </w:r>
      <w:r w:rsidRPr="00D771E7">
        <w:rPr>
          <w:rFonts w:eastAsia="MS Mincho" w:cs="Times"/>
          <w:szCs w:val="20"/>
          <w:lang w:val="es-CR"/>
        </w:rPr>
        <w:t xml:space="preserve"> y realice</w:t>
      </w:r>
      <w:r w:rsidR="00A24757" w:rsidRPr="00D771E7">
        <w:rPr>
          <w:rFonts w:eastAsia="MS Mincho" w:cs="Times"/>
          <w:szCs w:val="20"/>
          <w:lang w:val="es-CR"/>
        </w:rPr>
        <w:t>n</w:t>
      </w:r>
      <w:r w:rsidRPr="00D771E7">
        <w:rPr>
          <w:rFonts w:eastAsia="MS Mincho" w:cs="Times"/>
          <w:szCs w:val="20"/>
          <w:lang w:val="es-CR"/>
        </w:rPr>
        <w:t xml:space="preserve"> las diligencias necesarias para que, una vez recibidas las preguntas, si las hubiere, </w:t>
      </w:r>
      <w:r w:rsidR="00A24757" w:rsidRPr="00D771E7">
        <w:rPr>
          <w:rFonts w:eastAsia="MS Mincho" w:cs="Times"/>
          <w:szCs w:val="20"/>
          <w:lang w:val="es-CR"/>
        </w:rPr>
        <w:t>los declarantes</w:t>
      </w:r>
      <w:r w:rsidRPr="00D771E7">
        <w:rPr>
          <w:rFonts w:eastAsia="MS Mincho" w:cs="Times"/>
          <w:szCs w:val="20"/>
          <w:lang w:val="es-CR"/>
        </w:rPr>
        <w:t xml:space="preserve"> incluya</w:t>
      </w:r>
      <w:r w:rsidR="00A24757" w:rsidRPr="00D771E7">
        <w:rPr>
          <w:rFonts w:eastAsia="MS Mincho" w:cs="Times"/>
          <w:szCs w:val="20"/>
          <w:lang w:val="es-CR"/>
        </w:rPr>
        <w:t>n</w:t>
      </w:r>
      <w:r w:rsidRPr="00D771E7">
        <w:rPr>
          <w:rFonts w:eastAsia="MS Mincho" w:cs="Times"/>
          <w:szCs w:val="20"/>
          <w:lang w:val="es-CR"/>
        </w:rPr>
        <w:t xml:space="preserve"> las respuestas en su declaración rendida ante fedatario público, salvo que esta Presidencia disponga lo contrario, cuando la Secretaría las transmita. Las </w:t>
      </w:r>
      <w:r w:rsidRPr="00D771E7">
        <w:rPr>
          <w:rFonts w:eastAsia="MS Mincho" w:cs="Times"/>
          <w:szCs w:val="20"/>
          <w:lang w:val="es-CR"/>
        </w:rPr>
        <w:lastRenderedPageBreak/>
        <w:t xml:space="preserve">declaraciones requeridas deberán ser presentadas al Tribunal a más tardar el </w:t>
      </w:r>
      <w:r w:rsidR="00CF66C1" w:rsidRPr="00D771E7">
        <w:rPr>
          <w:rFonts w:eastAsia="MS Mincho" w:cs="Times"/>
          <w:szCs w:val="20"/>
          <w:lang w:val="es-CR"/>
        </w:rPr>
        <w:t>2</w:t>
      </w:r>
      <w:r w:rsidR="002D7804" w:rsidRPr="00D771E7">
        <w:rPr>
          <w:rFonts w:eastAsia="MS Mincho" w:cs="Times"/>
          <w:szCs w:val="20"/>
          <w:lang w:val="es-CR"/>
        </w:rPr>
        <w:t>1</w:t>
      </w:r>
      <w:r w:rsidR="00CF66C1" w:rsidRPr="00D771E7">
        <w:rPr>
          <w:rFonts w:eastAsia="MS Mincho" w:cs="Times"/>
          <w:szCs w:val="20"/>
          <w:lang w:val="es-CR"/>
        </w:rPr>
        <w:t xml:space="preserve"> de noviembre</w:t>
      </w:r>
      <w:r w:rsidRPr="00D771E7">
        <w:rPr>
          <w:rFonts w:eastAsia="MS Mincho" w:cs="Times"/>
          <w:szCs w:val="20"/>
          <w:lang w:val="es-CR"/>
        </w:rPr>
        <w:t xml:space="preserve"> de 2022.</w:t>
      </w:r>
    </w:p>
    <w:p w14:paraId="6689DA11" w14:textId="77777777" w:rsidR="0083415E" w:rsidRPr="00D771E7" w:rsidRDefault="0083415E" w:rsidP="0083415E">
      <w:pPr>
        <w:numPr>
          <w:ilvl w:val="0"/>
          <w:numId w:val="5"/>
        </w:numPr>
        <w:tabs>
          <w:tab w:val="left" w:pos="567"/>
        </w:tabs>
        <w:spacing w:before="240" w:after="240" w:line="240" w:lineRule="auto"/>
        <w:jc w:val="both"/>
        <w:rPr>
          <w:rFonts w:eastAsia="MS Mincho" w:cs="Times"/>
          <w:szCs w:val="20"/>
          <w:lang w:val="es-CR"/>
        </w:rPr>
      </w:pPr>
      <w:r w:rsidRPr="00D771E7">
        <w:t>Disponer, conforme al artículo 50.6 del Reglamento, que, una vez recibidas las declaraciones, la Secretaría las transmita a las partes y a la Comisión para que, si lo estiman necesario y en lo que les corresponda, presenten sus observaciones a más tardar con sus alegatos u observaciones finales escritas, respectivamente.</w:t>
      </w:r>
    </w:p>
    <w:p w14:paraId="517FB5FC" w14:textId="0BDE9B21" w:rsidR="0083415E" w:rsidRPr="00D771E7" w:rsidRDefault="0083415E" w:rsidP="0083415E">
      <w:pPr>
        <w:numPr>
          <w:ilvl w:val="0"/>
          <w:numId w:val="5"/>
        </w:numPr>
        <w:tabs>
          <w:tab w:val="left" w:pos="567"/>
        </w:tabs>
        <w:spacing w:before="240" w:after="240" w:line="240" w:lineRule="auto"/>
        <w:jc w:val="both"/>
        <w:rPr>
          <w:rFonts w:eastAsia="MS Mincho" w:cs="Times"/>
          <w:szCs w:val="20"/>
          <w:lang w:val="es-CR"/>
        </w:rPr>
      </w:pPr>
      <w:r w:rsidRPr="00D771E7">
        <w:t>Informar a las partes y a la Comisión que deben cubrir los gastos que ocasione la aportación de la prueba propuesta por ellos, de conformidad con lo dispuesto en el artículo 60 del Reglamento</w:t>
      </w:r>
      <w:r w:rsidR="00D0498F" w:rsidRPr="00D771E7">
        <w:t>, sin perjuicio de los que resulte pertinente en aplicación del Fondo de Asistencia Legal de Víctimas en el presente caso</w:t>
      </w:r>
      <w:r w:rsidRPr="00D771E7">
        <w:t>.</w:t>
      </w:r>
    </w:p>
    <w:p w14:paraId="69E810A4" w14:textId="3EF3DB22" w:rsidR="000C5B09" w:rsidRPr="00D771E7" w:rsidRDefault="000C5B09" w:rsidP="0083415E">
      <w:pPr>
        <w:numPr>
          <w:ilvl w:val="0"/>
          <w:numId w:val="5"/>
        </w:numPr>
        <w:tabs>
          <w:tab w:val="left" w:pos="567"/>
        </w:tabs>
        <w:spacing w:before="240" w:after="240" w:line="240" w:lineRule="auto"/>
        <w:jc w:val="both"/>
        <w:rPr>
          <w:rFonts w:eastAsia="MS Mincho" w:cs="Times"/>
          <w:szCs w:val="20"/>
          <w:lang w:val="es-CR"/>
        </w:rPr>
      </w:pPr>
      <w:r w:rsidRPr="00D771E7">
        <w:t xml:space="preserve">Requerir a las representantes que comuniquen a más tardar </w:t>
      </w:r>
      <w:r w:rsidR="00C4355F" w:rsidRPr="00D771E7">
        <w:t xml:space="preserve">el 23 de septiembre de 2022 el nombre de las representantes cuyos costos de viaje y estadía estarán cubiertos por el Fondo de Asistencia Legal de Víctimas. Asimismo, deberán </w:t>
      </w:r>
      <w:r w:rsidR="000D6D3B" w:rsidRPr="00D771E7">
        <w:t>comunicar y remitir a la Corte, a más tardar el 5 de octubre de 2022 una cotización del costo de la formalización de las ocho declaraciones ante fedatario público rendidas en el país de residencia de los declarantes que corres</w:t>
      </w:r>
      <w:r w:rsidR="00FC295C" w:rsidRPr="00D771E7">
        <w:t>pondan, y su respectivo envío, a fin de que dichos gastos sean cubiertos por el Fondo de Asisten</w:t>
      </w:r>
      <w:r w:rsidR="00F23D3F" w:rsidRPr="00D771E7">
        <w:t>cia</w:t>
      </w:r>
      <w:r w:rsidR="00FC295C" w:rsidRPr="00D771E7">
        <w:t>, de con</w:t>
      </w:r>
      <w:r w:rsidR="00F23D3F" w:rsidRPr="00D771E7">
        <w:t xml:space="preserve">formidad con lo establecido en la presente Resolución. Los representantes, a más tardar con sus alegatos finales escritos, que deberán ser presentados en la fecha señalada en el punto resolutivo </w:t>
      </w:r>
      <w:r w:rsidR="00B62ABC" w:rsidRPr="00D771E7">
        <w:t>14</w:t>
      </w:r>
      <w:r w:rsidR="00F23D3F" w:rsidRPr="00D771E7">
        <w:t>, deberán presentar los comprobantes que acrediten debidamente los gastos efectuados. El reintegro de los gastos se efectuará luego de la recepción de los comprobantes correspondientes.</w:t>
      </w:r>
    </w:p>
    <w:p w14:paraId="2B756F65" w14:textId="63ED262E" w:rsidR="0083415E" w:rsidRPr="00D771E7" w:rsidRDefault="0083415E" w:rsidP="0083415E">
      <w:pPr>
        <w:numPr>
          <w:ilvl w:val="0"/>
          <w:numId w:val="5"/>
        </w:numPr>
        <w:tabs>
          <w:tab w:val="left" w:pos="567"/>
        </w:tabs>
        <w:spacing w:before="240" w:after="240" w:line="240" w:lineRule="auto"/>
        <w:jc w:val="both"/>
        <w:rPr>
          <w:rFonts w:eastAsia="MS Mincho" w:cs="Times"/>
          <w:szCs w:val="20"/>
          <w:lang w:val="es-CR"/>
        </w:rPr>
      </w:pPr>
      <w:r w:rsidRPr="00D771E7">
        <w:t xml:space="preserve">Solicitar a las partes y a la Comisión que, a más tardar el </w:t>
      </w:r>
      <w:r w:rsidR="00BE1CEE" w:rsidRPr="00D771E7">
        <w:t>28</w:t>
      </w:r>
      <w:r w:rsidRPr="00D771E7">
        <w:t xml:space="preserve"> de septiembre de 2022, acrediten ante la Secretaría los nombres de las personas que estarán presentes durante la audiencia pública. Al respecto, en la misma comunicación que acrediten, deberán indicar los correos electrónicos y teléfonos de contacto de las personas que integran la delegación, y de las personas convocadas a declarar. </w:t>
      </w:r>
    </w:p>
    <w:p w14:paraId="533F5047" w14:textId="77777777" w:rsidR="0083415E" w:rsidRPr="00D771E7" w:rsidRDefault="0083415E" w:rsidP="0083415E">
      <w:pPr>
        <w:numPr>
          <w:ilvl w:val="0"/>
          <w:numId w:val="5"/>
        </w:numPr>
        <w:tabs>
          <w:tab w:val="left" w:pos="567"/>
        </w:tabs>
        <w:spacing w:before="240" w:after="240" w:line="240" w:lineRule="auto"/>
        <w:jc w:val="both"/>
        <w:rPr>
          <w:rFonts w:eastAsia="MS Mincho" w:cs="Times"/>
          <w:szCs w:val="20"/>
          <w:lang w:val="es-CR"/>
        </w:rPr>
      </w:pPr>
      <w:r w:rsidRPr="00D771E7">
        <w:t>Requerir a las partes y a la Comisión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3EF7A4C9" w14:textId="77777777" w:rsidR="0083415E" w:rsidRPr="00D771E7" w:rsidRDefault="0083415E" w:rsidP="0083415E">
      <w:pPr>
        <w:numPr>
          <w:ilvl w:val="0"/>
          <w:numId w:val="5"/>
        </w:numPr>
        <w:tabs>
          <w:tab w:val="left" w:pos="567"/>
        </w:tabs>
        <w:spacing w:before="240" w:after="240" w:line="240" w:lineRule="auto"/>
        <w:jc w:val="both"/>
        <w:rPr>
          <w:rFonts w:eastAsia="MS Mincho" w:cs="Times"/>
          <w:szCs w:val="20"/>
          <w:lang w:val="es-CR"/>
        </w:rPr>
      </w:pPr>
      <w:r w:rsidRPr="00D771E7">
        <w:t xml:space="preserve">Informar a las partes y a la Comisión que, al término de las declaraciones rendidas en la audiencia pública, podrán presentar ante el Tribunal sus alegatos finales orales y observaciones finales orales, respectivamente, sobre las excepciones preliminares y eventual fondo, reparaciones y costas en el presente caso. </w:t>
      </w:r>
    </w:p>
    <w:p w14:paraId="3D798990" w14:textId="77777777" w:rsidR="0083415E" w:rsidRPr="00D771E7" w:rsidRDefault="0083415E" w:rsidP="0083415E">
      <w:pPr>
        <w:numPr>
          <w:ilvl w:val="0"/>
          <w:numId w:val="5"/>
        </w:numPr>
        <w:tabs>
          <w:tab w:val="left" w:pos="567"/>
        </w:tabs>
        <w:spacing w:before="240" w:after="240" w:line="240" w:lineRule="auto"/>
        <w:jc w:val="both"/>
        <w:rPr>
          <w:rFonts w:eastAsia="MS Mincho" w:cs="Times"/>
          <w:szCs w:val="20"/>
          <w:lang w:val="es-CR"/>
        </w:rPr>
      </w:pPr>
      <w:r w:rsidRPr="00D771E7">
        <w:t xml:space="preserve">Disponer que la Secretaría de la Corte, de conformidad con lo dispuesto en el artículo 55.3 del Reglamento, indique a las partes y a la Comisión el enlace donde se encontrará disponible la grabación de la audiencia pública sobre las excepciones preliminares y eventual fondo, reparaciones y costas, a la brevedad posible luego de la celebración de la referida audiencia. </w:t>
      </w:r>
    </w:p>
    <w:p w14:paraId="7A9F2B48" w14:textId="69D308B9" w:rsidR="0083415E" w:rsidRPr="004E4383" w:rsidRDefault="0083415E" w:rsidP="004E4383">
      <w:pPr>
        <w:numPr>
          <w:ilvl w:val="0"/>
          <w:numId w:val="5"/>
        </w:numPr>
        <w:tabs>
          <w:tab w:val="left" w:pos="567"/>
        </w:tabs>
        <w:spacing w:after="0" w:line="240" w:lineRule="auto"/>
        <w:jc w:val="both"/>
        <w:rPr>
          <w:rFonts w:eastAsia="MS Mincho" w:cs="Times"/>
          <w:szCs w:val="20"/>
          <w:lang w:val="es-CR"/>
        </w:rPr>
      </w:pPr>
      <w:r w:rsidRPr="00D771E7">
        <w:t>Informar a las partes y a la Comisión que, en los términos del artículo 56 del Reglamento, cuentan con plazo hasta el 1</w:t>
      </w:r>
      <w:r w:rsidR="00022F34" w:rsidRPr="00D771E7">
        <w:t>9</w:t>
      </w:r>
      <w:r w:rsidRPr="00D771E7">
        <w:t xml:space="preserve"> de </w:t>
      </w:r>
      <w:r w:rsidR="00022F34" w:rsidRPr="00D771E7">
        <w:t>diciembre</w:t>
      </w:r>
      <w:r w:rsidRPr="00D771E7">
        <w:t xml:space="preserve"> de 2022, para presentar sus alegatos finales escritos y observaciones finales escritas, respectivamente, en relación</w:t>
      </w:r>
      <w:r w:rsidRPr="00A50469">
        <w:t xml:space="preserve"> </w:t>
      </w:r>
      <w:r w:rsidRPr="00A50469">
        <w:lastRenderedPageBreak/>
        <w:t xml:space="preserve">con </w:t>
      </w:r>
      <w:r w:rsidR="00742301">
        <w:t>el reconocimiento de responsabilidad,</w:t>
      </w:r>
      <w:r w:rsidRPr="00A50469">
        <w:t xml:space="preserve"> fondo</w:t>
      </w:r>
      <w:r w:rsidR="00742301">
        <w:t xml:space="preserve"> y eventuales</w:t>
      </w:r>
      <w:r w:rsidRPr="00A50469">
        <w:t xml:space="preserve"> reparaciones y costas en el presente caso. Este plazo es improrrogable. </w:t>
      </w:r>
    </w:p>
    <w:p w14:paraId="60028A68" w14:textId="77777777" w:rsidR="004E4383" w:rsidRPr="00A50469" w:rsidRDefault="004E4383" w:rsidP="004E4383">
      <w:pPr>
        <w:tabs>
          <w:tab w:val="left" w:pos="567"/>
        </w:tabs>
        <w:spacing w:after="0" w:line="240" w:lineRule="auto"/>
        <w:jc w:val="both"/>
        <w:rPr>
          <w:rFonts w:eastAsia="MS Mincho" w:cs="Times"/>
          <w:szCs w:val="20"/>
          <w:lang w:val="es-CR"/>
        </w:rPr>
      </w:pPr>
    </w:p>
    <w:p w14:paraId="474C5E6B" w14:textId="1436FB78" w:rsidR="0083415E" w:rsidRPr="00A50469" w:rsidRDefault="0083415E" w:rsidP="004E4383">
      <w:pPr>
        <w:numPr>
          <w:ilvl w:val="0"/>
          <w:numId w:val="5"/>
        </w:numPr>
        <w:tabs>
          <w:tab w:val="left" w:pos="567"/>
        </w:tabs>
        <w:spacing w:after="0" w:line="240" w:lineRule="auto"/>
        <w:jc w:val="both"/>
        <w:rPr>
          <w:rFonts w:eastAsia="MS Mincho" w:cs="Times"/>
          <w:szCs w:val="20"/>
          <w:lang w:val="es-CR"/>
        </w:rPr>
      </w:pPr>
      <w:r w:rsidRPr="00A50469">
        <w:t>Disponer que la Secretaría de la Corte Interamericana notifique la presente Resolución a la Comisión Interamericana de Derechos Humanos, a l</w:t>
      </w:r>
      <w:r>
        <w:t>a</w:t>
      </w:r>
      <w:r w:rsidRPr="00A50469">
        <w:t xml:space="preserve">s representantes de las presuntas víctimas </w:t>
      </w:r>
      <w:r>
        <w:t>y a la República de Argentina</w:t>
      </w:r>
      <w:r w:rsidRPr="00A50469">
        <w:t>.</w:t>
      </w:r>
    </w:p>
    <w:p w14:paraId="57CF130D" w14:textId="1454C037" w:rsidR="0083415E" w:rsidRDefault="0083415E" w:rsidP="004E4383">
      <w:pPr>
        <w:tabs>
          <w:tab w:val="left" w:pos="567"/>
        </w:tabs>
        <w:spacing w:after="0" w:line="240" w:lineRule="auto"/>
        <w:jc w:val="both"/>
        <w:rPr>
          <w:szCs w:val="20"/>
        </w:rPr>
      </w:pPr>
    </w:p>
    <w:p w14:paraId="3E1AADF1" w14:textId="13DF46FD" w:rsidR="0083415E" w:rsidRDefault="0083415E" w:rsidP="004E4383">
      <w:pPr>
        <w:tabs>
          <w:tab w:val="left" w:pos="567"/>
        </w:tabs>
        <w:spacing w:after="0" w:line="240" w:lineRule="auto"/>
        <w:jc w:val="both"/>
        <w:rPr>
          <w:rFonts w:cs="Verdana"/>
          <w:bCs/>
          <w:szCs w:val="20"/>
        </w:rPr>
      </w:pPr>
      <w:r w:rsidRPr="002C6480">
        <w:rPr>
          <w:rFonts w:cs="Verdana"/>
          <w:bCs/>
          <w:szCs w:val="20"/>
        </w:rPr>
        <w:t xml:space="preserve">Corte IDH. </w:t>
      </w:r>
      <w:r w:rsidRPr="0099773D">
        <w:rPr>
          <w:rFonts w:cs="Verdana"/>
          <w:bCs/>
          <w:i/>
          <w:iCs/>
          <w:szCs w:val="20"/>
        </w:rPr>
        <w:t xml:space="preserve">Caso </w:t>
      </w:r>
      <w:r w:rsidR="00D8569B">
        <w:rPr>
          <w:rFonts w:cs="Verdana"/>
          <w:bCs/>
          <w:i/>
          <w:iCs/>
          <w:szCs w:val="20"/>
        </w:rPr>
        <w:t>María y otro</w:t>
      </w:r>
      <w:r w:rsidRPr="0099773D">
        <w:rPr>
          <w:rFonts w:cs="Verdana"/>
          <w:bCs/>
          <w:i/>
          <w:iCs/>
          <w:szCs w:val="20"/>
        </w:rPr>
        <w:t xml:space="preserve"> Vs. Argentina</w:t>
      </w:r>
      <w:r w:rsidRPr="002C6480">
        <w:rPr>
          <w:rFonts w:cs="Verdana"/>
          <w:bCs/>
          <w:szCs w:val="20"/>
        </w:rPr>
        <w:t xml:space="preserve">. Resolución del </w:t>
      </w:r>
      <w:proofErr w:type="gramStart"/>
      <w:r w:rsidRPr="002C6480">
        <w:rPr>
          <w:rFonts w:cs="Verdana"/>
          <w:bCs/>
          <w:szCs w:val="20"/>
        </w:rPr>
        <w:t>Presidente</w:t>
      </w:r>
      <w:proofErr w:type="gramEnd"/>
      <w:r w:rsidRPr="002C6480">
        <w:rPr>
          <w:rFonts w:cs="Verdana"/>
          <w:bCs/>
          <w:szCs w:val="20"/>
        </w:rPr>
        <w:t xml:space="preserve"> de la Corte Interamericana de Derechos Humanos de </w:t>
      </w:r>
      <w:r w:rsidR="00D771E7">
        <w:rPr>
          <w:rFonts w:cs="Verdana"/>
          <w:bCs/>
          <w:szCs w:val="20"/>
        </w:rPr>
        <w:t>21</w:t>
      </w:r>
      <w:r w:rsidRPr="002C6480">
        <w:rPr>
          <w:rFonts w:cs="Verdana"/>
          <w:bCs/>
          <w:szCs w:val="20"/>
        </w:rPr>
        <w:t xml:space="preserve"> de </w:t>
      </w:r>
      <w:r>
        <w:rPr>
          <w:rFonts w:cs="Verdana"/>
          <w:bCs/>
          <w:szCs w:val="20"/>
        </w:rPr>
        <w:t>septiembre</w:t>
      </w:r>
      <w:r w:rsidRPr="002C6480">
        <w:rPr>
          <w:rFonts w:cs="Verdana"/>
          <w:bCs/>
          <w:szCs w:val="20"/>
        </w:rPr>
        <w:t xml:space="preserve"> de 2022.</w:t>
      </w:r>
    </w:p>
    <w:p w14:paraId="173527AA" w14:textId="68D01CDC" w:rsidR="004E4383" w:rsidRPr="004E4383" w:rsidRDefault="004E4383" w:rsidP="004E4383">
      <w:pPr>
        <w:spacing w:after="0" w:line="240" w:lineRule="auto"/>
        <w:rPr>
          <w:rFonts w:cs="Arial"/>
          <w:szCs w:val="20"/>
          <w:lang w:val="es-CR"/>
        </w:rPr>
      </w:pPr>
    </w:p>
    <w:p w14:paraId="6D3F5F6D" w14:textId="3CDECD3D" w:rsidR="004E4383" w:rsidRPr="004E4383" w:rsidRDefault="004E4383" w:rsidP="004E4383">
      <w:pPr>
        <w:spacing w:after="0"/>
        <w:rPr>
          <w:rFonts w:cs="Arial"/>
          <w:szCs w:val="20"/>
          <w:lang w:val="es-CR"/>
        </w:rPr>
      </w:pPr>
    </w:p>
    <w:p w14:paraId="333CBB0E" w14:textId="6CBE3317" w:rsidR="004E4383" w:rsidRPr="004E4383" w:rsidRDefault="004E4383" w:rsidP="004E4383">
      <w:pPr>
        <w:spacing w:after="0"/>
        <w:rPr>
          <w:rFonts w:cs="Arial"/>
          <w:szCs w:val="20"/>
          <w:lang w:val="es-CR"/>
        </w:rPr>
      </w:pPr>
    </w:p>
    <w:p w14:paraId="3BE0D5A3" w14:textId="7BAA0A5C" w:rsidR="004E4383" w:rsidRPr="004E4383" w:rsidRDefault="004E4383" w:rsidP="004E4383">
      <w:pPr>
        <w:spacing w:after="0"/>
        <w:rPr>
          <w:rFonts w:cs="Arial"/>
          <w:szCs w:val="20"/>
          <w:lang w:val="es-CR"/>
        </w:rPr>
      </w:pPr>
    </w:p>
    <w:p w14:paraId="3B70A7FB" w14:textId="12F023E7" w:rsidR="004E4383" w:rsidRPr="004E4383" w:rsidRDefault="004E4383" w:rsidP="004E4383">
      <w:pPr>
        <w:spacing w:after="0"/>
        <w:rPr>
          <w:rFonts w:cs="Arial"/>
          <w:szCs w:val="20"/>
          <w:lang w:val="es-CR"/>
        </w:rPr>
      </w:pPr>
    </w:p>
    <w:p w14:paraId="6BE912E2" w14:textId="23ED7D16" w:rsidR="004E4383" w:rsidRPr="004E4383" w:rsidRDefault="004E4383" w:rsidP="004E4383">
      <w:pPr>
        <w:spacing w:after="0"/>
        <w:ind w:left="4956"/>
        <w:jc w:val="center"/>
        <w:rPr>
          <w:rFonts w:cs="Arial"/>
          <w:szCs w:val="20"/>
          <w:lang w:val="es-CR"/>
        </w:rPr>
      </w:pPr>
      <w:r w:rsidRPr="004E4383">
        <w:rPr>
          <w:rFonts w:cs="Arial"/>
          <w:szCs w:val="20"/>
          <w:lang w:val="es-CR"/>
        </w:rPr>
        <w:t>Ricardo C. Pérez Manrique</w:t>
      </w:r>
    </w:p>
    <w:p w14:paraId="67866BF9" w14:textId="340EB34B" w:rsidR="004E4383" w:rsidRPr="004E4383" w:rsidRDefault="004E4383" w:rsidP="004E4383">
      <w:pPr>
        <w:spacing w:after="0"/>
        <w:ind w:left="4956" w:right="48"/>
        <w:jc w:val="center"/>
        <w:rPr>
          <w:rFonts w:cs="Arial"/>
          <w:szCs w:val="20"/>
          <w:lang w:val="es-CR"/>
        </w:rPr>
      </w:pPr>
      <w:r w:rsidRPr="004E4383">
        <w:rPr>
          <w:rFonts w:cs="Arial"/>
          <w:szCs w:val="20"/>
          <w:lang w:val="es-CR"/>
        </w:rPr>
        <w:t>Presidente</w:t>
      </w:r>
    </w:p>
    <w:p w14:paraId="2AE923AC" w14:textId="77777777" w:rsidR="004E4383" w:rsidRPr="004E4383" w:rsidRDefault="004E4383" w:rsidP="004E4383">
      <w:pPr>
        <w:spacing w:after="0"/>
        <w:rPr>
          <w:rFonts w:cs="Arial"/>
          <w:szCs w:val="20"/>
          <w:lang w:val="es-CR"/>
        </w:rPr>
      </w:pPr>
    </w:p>
    <w:p w14:paraId="4D0A4CC2" w14:textId="77777777" w:rsidR="004E4383" w:rsidRPr="004E4383" w:rsidRDefault="004E4383" w:rsidP="004E4383">
      <w:pPr>
        <w:spacing w:after="0"/>
        <w:rPr>
          <w:rFonts w:cs="Arial"/>
          <w:szCs w:val="20"/>
          <w:lang w:val="es-CR"/>
        </w:rPr>
      </w:pPr>
    </w:p>
    <w:p w14:paraId="1F2F8F10" w14:textId="77777777" w:rsidR="004E4383" w:rsidRPr="004E4383" w:rsidRDefault="004E4383" w:rsidP="004E4383">
      <w:pPr>
        <w:spacing w:after="0"/>
        <w:rPr>
          <w:rFonts w:cs="Arial"/>
          <w:szCs w:val="20"/>
          <w:lang w:val="es-CR"/>
        </w:rPr>
      </w:pPr>
    </w:p>
    <w:p w14:paraId="7E901174" w14:textId="77777777" w:rsidR="004E4383" w:rsidRPr="004E4383" w:rsidRDefault="004E4383" w:rsidP="004E4383">
      <w:pPr>
        <w:spacing w:after="0"/>
        <w:rPr>
          <w:rFonts w:cs="Arial"/>
          <w:szCs w:val="20"/>
          <w:lang w:val="es-CR"/>
        </w:rPr>
      </w:pPr>
    </w:p>
    <w:p w14:paraId="77FA9BA1" w14:textId="77777777" w:rsidR="004E4383" w:rsidRPr="004E4383" w:rsidRDefault="004E4383" w:rsidP="004E4383">
      <w:pPr>
        <w:tabs>
          <w:tab w:val="left" w:pos="8460"/>
          <w:tab w:val="left" w:pos="8640"/>
        </w:tabs>
        <w:spacing w:after="0"/>
        <w:rPr>
          <w:rFonts w:cs="Arial"/>
          <w:szCs w:val="20"/>
          <w:lang w:val="es-CR"/>
        </w:rPr>
      </w:pPr>
    </w:p>
    <w:p w14:paraId="64315F81" w14:textId="77777777" w:rsidR="004E4383" w:rsidRPr="004E4383" w:rsidRDefault="004E4383" w:rsidP="004E4383">
      <w:pPr>
        <w:spacing w:after="0"/>
        <w:rPr>
          <w:rFonts w:cs="Arial"/>
          <w:szCs w:val="20"/>
          <w:lang w:val="es-CR"/>
        </w:rPr>
      </w:pPr>
      <w:r w:rsidRPr="004E4383">
        <w:rPr>
          <w:rFonts w:cs="Arial"/>
          <w:szCs w:val="20"/>
          <w:lang w:val="es-CR"/>
        </w:rPr>
        <w:tab/>
        <w:t>Pablo Saavedra Alessandri</w:t>
      </w:r>
    </w:p>
    <w:p w14:paraId="5529C6FB" w14:textId="77777777" w:rsidR="004E4383" w:rsidRPr="004E4383" w:rsidRDefault="004E4383" w:rsidP="004E4383">
      <w:pPr>
        <w:spacing w:after="0"/>
        <w:rPr>
          <w:rFonts w:cs="Arial"/>
          <w:szCs w:val="20"/>
          <w:lang w:val="es-CR"/>
        </w:rPr>
      </w:pPr>
      <w:r w:rsidRPr="004E4383">
        <w:rPr>
          <w:rFonts w:cs="Arial"/>
          <w:szCs w:val="20"/>
          <w:lang w:val="es-CR"/>
        </w:rPr>
        <w:tab/>
        <w:t xml:space="preserve"> </w:t>
      </w:r>
      <w:r w:rsidRPr="004E4383">
        <w:rPr>
          <w:rFonts w:cs="Arial"/>
          <w:szCs w:val="20"/>
          <w:lang w:val="es-CR"/>
        </w:rPr>
        <w:tab/>
        <w:t>Secretario</w:t>
      </w:r>
    </w:p>
    <w:p w14:paraId="3EC37356" w14:textId="77777777" w:rsidR="004E4383" w:rsidRPr="004E4383" w:rsidRDefault="004E4383" w:rsidP="004E4383">
      <w:pPr>
        <w:spacing w:after="0"/>
        <w:rPr>
          <w:rFonts w:cs="Arial"/>
          <w:szCs w:val="20"/>
          <w:lang w:val="es-CR"/>
        </w:rPr>
      </w:pPr>
    </w:p>
    <w:p w14:paraId="6B2C7026" w14:textId="20BA0F91" w:rsidR="004E4383" w:rsidRPr="004E4383" w:rsidRDefault="004E4383" w:rsidP="004E4383">
      <w:pPr>
        <w:spacing w:after="0"/>
        <w:rPr>
          <w:rFonts w:cs="Arial"/>
          <w:szCs w:val="20"/>
          <w:lang w:val="es-CR"/>
        </w:rPr>
      </w:pPr>
    </w:p>
    <w:p w14:paraId="22D74DB4" w14:textId="2A11D430" w:rsidR="004E4383" w:rsidRPr="004E4383" w:rsidRDefault="004E4383" w:rsidP="004E4383">
      <w:pPr>
        <w:spacing w:after="0"/>
        <w:rPr>
          <w:rFonts w:cs="Arial"/>
          <w:szCs w:val="20"/>
          <w:lang w:val="es-CR"/>
        </w:rPr>
      </w:pPr>
    </w:p>
    <w:p w14:paraId="38CCBB72" w14:textId="7E72DFC3" w:rsidR="004E4383" w:rsidRPr="004E4383" w:rsidRDefault="004E4383" w:rsidP="004E4383">
      <w:pPr>
        <w:spacing w:after="0"/>
        <w:rPr>
          <w:rFonts w:cs="Arial"/>
          <w:szCs w:val="20"/>
          <w:lang w:val="es-CR"/>
        </w:rPr>
      </w:pPr>
    </w:p>
    <w:p w14:paraId="213FE214" w14:textId="42E8C796" w:rsidR="004E4383" w:rsidRPr="004E4383" w:rsidRDefault="004E4383" w:rsidP="004E4383">
      <w:pPr>
        <w:spacing w:after="0"/>
        <w:rPr>
          <w:rFonts w:cs="Arial"/>
          <w:szCs w:val="20"/>
          <w:lang w:val="es-CR"/>
        </w:rPr>
      </w:pPr>
    </w:p>
    <w:p w14:paraId="2AD0CEB1" w14:textId="12937339" w:rsidR="004E4383" w:rsidRPr="004E4383" w:rsidRDefault="004E4383" w:rsidP="004E4383">
      <w:pPr>
        <w:tabs>
          <w:tab w:val="left" w:pos="8460"/>
          <w:tab w:val="left" w:pos="8640"/>
        </w:tabs>
        <w:spacing w:after="0"/>
        <w:rPr>
          <w:rFonts w:cs="Arial"/>
          <w:szCs w:val="20"/>
          <w:lang w:val="es-CR"/>
        </w:rPr>
      </w:pPr>
      <w:r w:rsidRPr="004E4383">
        <w:rPr>
          <w:rFonts w:cs="Arial"/>
          <w:szCs w:val="20"/>
          <w:lang w:val="es-CR"/>
        </w:rPr>
        <w:t>Comuníquese y ejecútese,</w:t>
      </w:r>
    </w:p>
    <w:p w14:paraId="27962356" w14:textId="48194C54" w:rsidR="004E4383" w:rsidRPr="004E4383" w:rsidRDefault="004E4383" w:rsidP="004E4383">
      <w:pPr>
        <w:spacing w:after="0"/>
        <w:rPr>
          <w:rFonts w:cs="Arial"/>
          <w:szCs w:val="20"/>
          <w:lang w:val="es-CR"/>
        </w:rPr>
      </w:pPr>
    </w:p>
    <w:p w14:paraId="45D65536" w14:textId="53069981" w:rsidR="004E4383" w:rsidRPr="004E4383" w:rsidRDefault="004E4383" w:rsidP="004E4383">
      <w:pPr>
        <w:spacing w:after="0"/>
        <w:rPr>
          <w:rFonts w:cs="Arial"/>
          <w:szCs w:val="20"/>
          <w:lang w:val="es-CR"/>
        </w:rPr>
      </w:pPr>
    </w:p>
    <w:p w14:paraId="4A8FD095" w14:textId="1BE467FB" w:rsidR="004E4383" w:rsidRDefault="004E4383" w:rsidP="004E4383">
      <w:pPr>
        <w:spacing w:after="0"/>
        <w:rPr>
          <w:rFonts w:cs="Arial"/>
          <w:szCs w:val="20"/>
          <w:lang w:val="es-CR"/>
        </w:rPr>
      </w:pPr>
    </w:p>
    <w:p w14:paraId="64F5D0E1" w14:textId="4E0C84E6" w:rsidR="004E4383" w:rsidRPr="004E4383" w:rsidRDefault="004E4383" w:rsidP="004E4383">
      <w:pPr>
        <w:spacing w:after="0"/>
        <w:rPr>
          <w:rFonts w:cs="Arial"/>
          <w:szCs w:val="20"/>
          <w:lang w:val="es-CR"/>
        </w:rPr>
      </w:pPr>
    </w:p>
    <w:p w14:paraId="0A41C76A" w14:textId="219E11B0" w:rsidR="004E4383" w:rsidRPr="004E4383" w:rsidRDefault="004E4383" w:rsidP="004E4383">
      <w:pPr>
        <w:spacing w:after="0"/>
        <w:rPr>
          <w:rFonts w:cs="Arial"/>
          <w:szCs w:val="20"/>
          <w:lang w:val="es-CR"/>
        </w:rPr>
      </w:pPr>
    </w:p>
    <w:p w14:paraId="4762EAD1" w14:textId="77777777" w:rsidR="004E4383" w:rsidRPr="004E4383" w:rsidRDefault="004E4383" w:rsidP="004E4383">
      <w:pPr>
        <w:spacing w:after="0"/>
        <w:ind w:left="4956"/>
        <w:jc w:val="center"/>
        <w:rPr>
          <w:rFonts w:cs="Arial"/>
          <w:szCs w:val="20"/>
          <w:lang w:val="es-CR"/>
        </w:rPr>
      </w:pPr>
      <w:r w:rsidRPr="004E4383">
        <w:rPr>
          <w:rFonts w:cs="Arial"/>
          <w:szCs w:val="20"/>
          <w:lang w:val="es-CR"/>
        </w:rPr>
        <w:t>Ricardo C. Pérez Manrique</w:t>
      </w:r>
    </w:p>
    <w:p w14:paraId="38D72AFE" w14:textId="77777777" w:rsidR="004E4383" w:rsidRPr="004E4383" w:rsidRDefault="004E4383" w:rsidP="004E4383">
      <w:pPr>
        <w:spacing w:after="0"/>
        <w:ind w:left="4956" w:right="48"/>
        <w:jc w:val="center"/>
        <w:rPr>
          <w:rFonts w:cs="Arial"/>
          <w:szCs w:val="20"/>
          <w:lang w:val="es-CR"/>
        </w:rPr>
      </w:pPr>
      <w:r w:rsidRPr="004E4383">
        <w:rPr>
          <w:rFonts w:cs="Arial"/>
          <w:szCs w:val="20"/>
          <w:lang w:val="es-CR"/>
        </w:rPr>
        <w:t>Presidente</w:t>
      </w:r>
    </w:p>
    <w:p w14:paraId="31992EA9" w14:textId="77777777" w:rsidR="004E4383" w:rsidRPr="004E4383" w:rsidRDefault="004E4383" w:rsidP="004E4383">
      <w:pPr>
        <w:tabs>
          <w:tab w:val="left" w:pos="8460"/>
          <w:tab w:val="left" w:pos="8640"/>
        </w:tabs>
        <w:spacing w:after="0"/>
        <w:rPr>
          <w:rFonts w:cs="Arial"/>
          <w:szCs w:val="20"/>
          <w:lang w:val="es-CR"/>
        </w:rPr>
      </w:pPr>
    </w:p>
    <w:p w14:paraId="5C9FE1CF" w14:textId="77777777" w:rsidR="004E4383" w:rsidRPr="004E4383" w:rsidRDefault="004E4383" w:rsidP="004E4383">
      <w:pPr>
        <w:tabs>
          <w:tab w:val="left" w:pos="8460"/>
          <w:tab w:val="left" w:pos="8640"/>
        </w:tabs>
        <w:spacing w:after="0"/>
        <w:rPr>
          <w:rFonts w:cs="Arial"/>
          <w:szCs w:val="20"/>
          <w:lang w:val="es-CR"/>
        </w:rPr>
      </w:pPr>
    </w:p>
    <w:p w14:paraId="7CA6A8EC" w14:textId="77777777" w:rsidR="004E4383" w:rsidRPr="004E4383" w:rsidRDefault="004E4383" w:rsidP="004E4383">
      <w:pPr>
        <w:tabs>
          <w:tab w:val="left" w:pos="8460"/>
          <w:tab w:val="left" w:pos="8640"/>
        </w:tabs>
        <w:spacing w:after="0"/>
        <w:rPr>
          <w:rFonts w:cs="Arial"/>
          <w:szCs w:val="20"/>
          <w:lang w:val="es-CR"/>
        </w:rPr>
      </w:pPr>
    </w:p>
    <w:p w14:paraId="20AB6710" w14:textId="77777777" w:rsidR="004E4383" w:rsidRPr="004E4383" w:rsidRDefault="004E4383" w:rsidP="004E4383">
      <w:pPr>
        <w:tabs>
          <w:tab w:val="left" w:pos="8460"/>
          <w:tab w:val="left" w:pos="8640"/>
        </w:tabs>
        <w:spacing w:after="0"/>
        <w:rPr>
          <w:rFonts w:cs="Arial"/>
          <w:szCs w:val="20"/>
          <w:lang w:val="es-CR"/>
        </w:rPr>
      </w:pPr>
    </w:p>
    <w:p w14:paraId="6A9D9811" w14:textId="77777777" w:rsidR="004E4383" w:rsidRPr="004E4383" w:rsidRDefault="004E4383" w:rsidP="004E4383">
      <w:pPr>
        <w:tabs>
          <w:tab w:val="left" w:pos="8460"/>
          <w:tab w:val="left" w:pos="8640"/>
        </w:tabs>
        <w:spacing w:after="0"/>
        <w:rPr>
          <w:rFonts w:cs="Arial"/>
          <w:szCs w:val="20"/>
          <w:lang w:val="es-CR"/>
        </w:rPr>
      </w:pPr>
    </w:p>
    <w:p w14:paraId="3ADFBA6A" w14:textId="77777777" w:rsidR="004E4383" w:rsidRPr="004E4383" w:rsidRDefault="004E4383" w:rsidP="004E4383">
      <w:pPr>
        <w:spacing w:after="0"/>
        <w:ind w:firstLine="720"/>
        <w:rPr>
          <w:rFonts w:cs="Arial"/>
          <w:szCs w:val="20"/>
          <w:lang w:val="es-CR"/>
        </w:rPr>
      </w:pPr>
      <w:r w:rsidRPr="004E4383">
        <w:rPr>
          <w:rFonts w:cs="Arial"/>
          <w:szCs w:val="20"/>
          <w:lang w:val="es-CR"/>
        </w:rPr>
        <w:t>Pablo Saavedra Alessandri</w:t>
      </w:r>
    </w:p>
    <w:p w14:paraId="33FF401D" w14:textId="77777777" w:rsidR="004E4383" w:rsidRPr="004E4383" w:rsidRDefault="004E4383" w:rsidP="004E4383">
      <w:pPr>
        <w:spacing w:after="0"/>
        <w:rPr>
          <w:rFonts w:cs="Arial"/>
          <w:szCs w:val="20"/>
          <w:lang w:val="es-CR"/>
        </w:rPr>
      </w:pPr>
      <w:r w:rsidRPr="004E4383">
        <w:rPr>
          <w:rFonts w:cs="Arial"/>
          <w:szCs w:val="20"/>
          <w:lang w:val="es-CR"/>
        </w:rPr>
        <w:tab/>
        <w:t xml:space="preserve"> </w:t>
      </w:r>
      <w:r w:rsidRPr="004E4383">
        <w:rPr>
          <w:rFonts w:cs="Arial"/>
          <w:szCs w:val="20"/>
          <w:lang w:val="es-CR"/>
        </w:rPr>
        <w:tab/>
        <w:t>Secretario</w:t>
      </w:r>
    </w:p>
    <w:sectPr w:rsidR="004E4383" w:rsidRPr="004E4383">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A883" w14:textId="77777777" w:rsidR="00C4136B" w:rsidRDefault="00C4136B" w:rsidP="0083415E">
      <w:pPr>
        <w:spacing w:after="0" w:line="240" w:lineRule="auto"/>
      </w:pPr>
      <w:r>
        <w:separator/>
      </w:r>
    </w:p>
  </w:endnote>
  <w:endnote w:type="continuationSeparator" w:id="0">
    <w:p w14:paraId="192ED30C" w14:textId="77777777" w:rsidR="00C4136B" w:rsidRDefault="00C4136B" w:rsidP="00834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8802888"/>
      <w:docPartObj>
        <w:docPartGallery w:val="Page Numbers (Bottom of Page)"/>
        <w:docPartUnique/>
      </w:docPartObj>
    </w:sdtPr>
    <w:sdtContent>
      <w:p w14:paraId="3E2FDF26" w14:textId="77777777" w:rsidR="009325EF" w:rsidRDefault="005C17CD">
        <w:pPr>
          <w:pStyle w:val="Piedepgina"/>
          <w:jc w:val="center"/>
        </w:pPr>
        <w:r>
          <w:fldChar w:fldCharType="begin"/>
        </w:r>
        <w:r>
          <w:instrText>PAGE   \* MERGEFORMAT</w:instrText>
        </w:r>
        <w:r>
          <w:fldChar w:fldCharType="separate"/>
        </w:r>
        <w:r>
          <w:rPr>
            <w:lang w:val="es-ES"/>
          </w:rPr>
          <w:t>2</w:t>
        </w:r>
        <w:r>
          <w:fldChar w:fldCharType="end"/>
        </w:r>
      </w:p>
    </w:sdtContent>
  </w:sdt>
  <w:p w14:paraId="4D909A55" w14:textId="77777777" w:rsidR="009325EF"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707C1" w14:textId="77777777" w:rsidR="00C4136B" w:rsidRDefault="00C4136B" w:rsidP="0083415E">
      <w:pPr>
        <w:spacing w:after="0" w:line="240" w:lineRule="auto"/>
      </w:pPr>
      <w:r>
        <w:separator/>
      </w:r>
    </w:p>
  </w:footnote>
  <w:footnote w:type="continuationSeparator" w:id="0">
    <w:p w14:paraId="4CFB2171" w14:textId="77777777" w:rsidR="00C4136B" w:rsidRDefault="00C4136B" w:rsidP="0083415E">
      <w:pPr>
        <w:spacing w:after="0" w:line="240" w:lineRule="auto"/>
      </w:pPr>
      <w:r>
        <w:continuationSeparator/>
      </w:r>
    </w:p>
  </w:footnote>
  <w:footnote w:id="1">
    <w:p w14:paraId="492BD323" w14:textId="1D773402" w:rsidR="0083415E" w:rsidRPr="00771AC1" w:rsidRDefault="0083415E" w:rsidP="00525505">
      <w:pPr>
        <w:pStyle w:val="Textonotapie"/>
        <w:rPr>
          <w:b/>
          <w:bCs/>
        </w:rPr>
      </w:pPr>
      <w:r>
        <w:rPr>
          <w:rStyle w:val="Refdenotaalpie"/>
        </w:rPr>
        <w:footnoteRef/>
      </w:r>
      <w:r>
        <w:t xml:space="preserve"> </w:t>
      </w:r>
      <w:r>
        <w:tab/>
        <w:t xml:space="preserve">Las presuntas víctimas están representadas por </w:t>
      </w:r>
      <w:r w:rsidR="00547AF1">
        <w:t xml:space="preserve">Araceli Margarita Díaz, María Claudia Torrens, Marta Nora </w:t>
      </w:r>
      <w:proofErr w:type="spellStart"/>
      <w:r w:rsidR="00547AF1">
        <w:t>Haubenreich</w:t>
      </w:r>
      <w:proofErr w:type="spellEnd"/>
      <w:r w:rsidR="00547AF1">
        <w:t xml:space="preserve"> y Carmen María Maidagan.</w:t>
      </w:r>
    </w:p>
  </w:footnote>
  <w:footnote w:id="2">
    <w:p w14:paraId="314FBE35" w14:textId="76A59D7A" w:rsidR="0083415E" w:rsidRPr="00E04312" w:rsidRDefault="0083415E" w:rsidP="00525505">
      <w:pPr>
        <w:pStyle w:val="Textonotapie"/>
      </w:pPr>
      <w:r>
        <w:rPr>
          <w:rStyle w:val="Refdenotaalpie"/>
        </w:rPr>
        <w:footnoteRef/>
      </w:r>
      <w:r>
        <w:t xml:space="preserve"> </w:t>
      </w:r>
      <w:r>
        <w:tab/>
        <w:t xml:space="preserve">La Comisión ofreció la declaración pericial de </w:t>
      </w:r>
      <w:r w:rsidR="00547AF1">
        <w:t xml:space="preserve">Mónica González </w:t>
      </w:r>
      <w:proofErr w:type="spellStart"/>
      <w:r w:rsidR="00547AF1">
        <w:t>Contró</w:t>
      </w:r>
      <w:proofErr w:type="spellEnd"/>
      <w:r w:rsidR="00547AF1">
        <w:t>.</w:t>
      </w:r>
    </w:p>
  </w:footnote>
  <w:footnote w:id="3">
    <w:p w14:paraId="5B40BE96" w14:textId="6E9FAE07" w:rsidR="0083415E" w:rsidRPr="00263711" w:rsidRDefault="0083415E" w:rsidP="00525505">
      <w:pPr>
        <w:pStyle w:val="Textonotapie"/>
      </w:pPr>
      <w:r>
        <w:rPr>
          <w:rStyle w:val="Refdenotaalpie"/>
        </w:rPr>
        <w:footnoteRef/>
      </w:r>
      <w:r>
        <w:t xml:space="preserve"> </w:t>
      </w:r>
      <w:r>
        <w:tab/>
        <w:t xml:space="preserve">Las representantes ofrecieron la declaración de </w:t>
      </w:r>
      <w:r w:rsidR="007963A0">
        <w:t>Micaela Belén Pavón y Laura Aquino</w:t>
      </w:r>
      <w:r>
        <w:t>.</w:t>
      </w:r>
    </w:p>
  </w:footnote>
  <w:footnote w:id="4">
    <w:p w14:paraId="124C7451" w14:textId="111BACD7" w:rsidR="007963A0" w:rsidRPr="007963A0" w:rsidRDefault="007963A0" w:rsidP="00525505">
      <w:pPr>
        <w:pStyle w:val="Textonotapie"/>
      </w:pPr>
      <w:r>
        <w:rPr>
          <w:rStyle w:val="Refdenotaalpie"/>
        </w:rPr>
        <w:footnoteRef/>
      </w:r>
      <w:r>
        <w:t xml:space="preserve"> </w:t>
      </w:r>
      <w:r>
        <w:tab/>
        <w:t>Las representantes ofrecieron el testimonio de Dolores Mariel</w:t>
      </w:r>
      <w:r w:rsidR="00525505">
        <w:t>a</w:t>
      </w:r>
      <w:r>
        <w:t xml:space="preserve"> Aquino, Fortunata Acosta, Alejandra Isabel </w:t>
      </w:r>
      <w:proofErr w:type="spellStart"/>
      <w:proofErr w:type="gramStart"/>
      <w:r>
        <w:t>Verdondoni</w:t>
      </w:r>
      <w:proofErr w:type="spellEnd"/>
      <w:r>
        <w:t xml:space="preserve"> </w:t>
      </w:r>
      <w:r w:rsidR="00AA6298">
        <w:t>,</w:t>
      </w:r>
      <w:proofErr w:type="gramEnd"/>
      <w:r>
        <w:t xml:space="preserve"> Silvana Beatriz </w:t>
      </w:r>
      <w:proofErr w:type="spellStart"/>
      <w:r>
        <w:t>Bigón</w:t>
      </w:r>
      <w:proofErr w:type="spellEnd"/>
      <w:r w:rsidR="00AA6298">
        <w:t xml:space="preserve"> y Gloria </w:t>
      </w:r>
      <w:proofErr w:type="spellStart"/>
      <w:r w:rsidR="00AA6298">
        <w:t>Liñan</w:t>
      </w:r>
      <w:proofErr w:type="spellEnd"/>
      <w:r w:rsidR="00AA6298">
        <w:t>.</w:t>
      </w:r>
    </w:p>
  </w:footnote>
  <w:footnote w:id="5">
    <w:p w14:paraId="5DDC5755" w14:textId="622E8F72" w:rsidR="0083415E" w:rsidRPr="00263711" w:rsidRDefault="0083415E" w:rsidP="00525505">
      <w:pPr>
        <w:pStyle w:val="Textonotapie"/>
      </w:pPr>
      <w:r>
        <w:rPr>
          <w:rStyle w:val="Refdenotaalpie"/>
        </w:rPr>
        <w:footnoteRef/>
      </w:r>
      <w:r>
        <w:t xml:space="preserve"> </w:t>
      </w:r>
      <w:r>
        <w:tab/>
        <w:t xml:space="preserve">Las representantes ofrecieron los peritajes de </w:t>
      </w:r>
      <w:r w:rsidR="00AA6298">
        <w:t xml:space="preserve">Marisa Herrera, Miguel Cillero </w:t>
      </w:r>
      <w:proofErr w:type="spellStart"/>
      <w:r w:rsidR="00AA6298">
        <w:t>Bruñol</w:t>
      </w:r>
      <w:proofErr w:type="spellEnd"/>
      <w:r w:rsidR="00AA6298">
        <w:t xml:space="preserve"> y Emilio García Mendez.</w:t>
      </w:r>
      <w:r>
        <w:t xml:space="preserve"> </w:t>
      </w:r>
    </w:p>
  </w:footnote>
  <w:footnote w:id="6">
    <w:p w14:paraId="690F45B9" w14:textId="5786CFC7" w:rsidR="0083415E" w:rsidRDefault="0083415E" w:rsidP="00525505">
      <w:pPr>
        <w:pStyle w:val="Textonotapie"/>
        <w:rPr>
          <w:rFonts w:cs="Times New Roman"/>
          <w:lang w:val="es-CR"/>
        </w:rPr>
      </w:pPr>
      <w:r>
        <w:rPr>
          <w:rStyle w:val="Refdenotaalpie"/>
        </w:rPr>
        <w:footnoteRef/>
      </w:r>
      <w:r w:rsidRPr="00790182">
        <w:rPr>
          <w:lang w:val="pt-BR"/>
        </w:rPr>
        <w:t xml:space="preserve"> </w:t>
      </w:r>
      <w:r w:rsidRPr="00790182">
        <w:rPr>
          <w:lang w:val="pt-BR"/>
        </w:rPr>
        <w:tab/>
      </w:r>
      <w:r w:rsidRPr="00790182">
        <w:rPr>
          <w:i/>
          <w:lang w:val="pt-BR"/>
        </w:rPr>
        <w:t xml:space="preserve">Cfr. Caso Pedro Miguel Vera </w:t>
      </w:r>
      <w:proofErr w:type="spellStart"/>
      <w:r w:rsidRPr="00790182">
        <w:rPr>
          <w:i/>
          <w:lang w:val="pt-BR"/>
        </w:rPr>
        <w:t>Vera</w:t>
      </w:r>
      <w:proofErr w:type="spellEnd"/>
      <w:r w:rsidRPr="00790182">
        <w:rPr>
          <w:i/>
          <w:lang w:val="pt-BR"/>
        </w:rPr>
        <w:t xml:space="preserve"> y </w:t>
      </w:r>
      <w:proofErr w:type="spellStart"/>
      <w:r w:rsidRPr="00790182">
        <w:rPr>
          <w:i/>
          <w:lang w:val="pt-BR"/>
        </w:rPr>
        <w:t>otros</w:t>
      </w:r>
      <w:proofErr w:type="spellEnd"/>
      <w:r w:rsidRPr="00790182">
        <w:rPr>
          <w:i/>
          <w:lang w:val="pt-BR"/>
        </w:rPr>
        <w:t xml:space="preserve"> Vs. </w:t>
      </w:r>
      <w:r>
        <w:rPr>
          <w:i/>
        </w:rPr>
        <w:t>Ecuador</w:t>
      </w:r>
      <w:r>
        <w:t xml:space="preserve">. Resolución del </w:t>
      </w:r>
      <w:proofErr w:type="gramStart"/>
      <w:r>
        <w:t>Presidente</w:t>
      </w:r>
      <w:proofErr w:type="gramEnd"/>
      <w:r>
        <w:t xml:space="preserve"> de la Corte de 23 de diciembre de 2010, Considerando 9, y </w:t>
      </w:r>
      <w:r w:rsidRPr="001B2A42">
        <w:rPr>
          <w:i/>
          <w:iCs/>
        </w:rPr>
        <w:t xml:space="preserve">Caso </w:t>
      </w:r>
      <w:r w:rsidR="00F17089">
        <w:rPr>
          <w:i/>
          <w:iCs/>
        </w:rPr>
        <w:t>Comunidad de la Oroya Vs. Perú.</w:t>
      </w:r>
      <w:r w:rsidRPr="00E30C63">
        <w:t xml:space="preserve"> Resolución del </w:t>
      </w:r>
      <w:proofErr w:type="gramStart"/>
      <w:r w:rsidRPr="00E30C63">
        <w:t>Presidente</w:t>
      </w:r>
      <w:proofErr w:type="gramEnd"/>
      <w:r w:rsidRPr="00E30C63">
        <w:t xml:space="preserve"> de la Corte Interamericana de Derechos Humanos de </w:t>
      </w:r>
      <w:r w:rsidR="00F17089">
        <w:t>12</w:t>
      </w:r>
      <w:r w:rsidRPr="00E30C63">
        <w:t xml:space="preserve"> de </w:t>
      </w:r>
      <w:r w:rsidR="00866F16">
        <w:t>septiembre</w:t>
      </w:r>
      <w:r w:rsidRPr="00E30C63">
        <w:t xml:space="preserve"> de 2022</w:t>
      </w:r>
      <w:r>
        <w:rPr>
          <w:rStyle w:val="Textoennegrita"/>
          <w:b w:val="0"/>
          <w:color w:val="000000"/>
          <w:shd w:val="clear" w:color="auto" w:fill="FFFFFF"/>
        </w:rPr>
        <w:t xml:space="preserve">, Considerando </w:t>
      </w:r>
      <w:r w:rsidR="00F17089">
        <w:rPr>
          <w:rStyle w:val="Textoennegrita"/>
          <w:b w:val="0"/>
          <w:color w:val="000000"/>
          <w:shd w:val="clear" w:color="auto" w:fill="FFFFFF"/>
        </w:rPr>
        <w:t>32</w:t>
      </w:r>
      <w:r>
        <w:rPr>
          <w:rStyle w:val="Textoennegrita"/>
          <w:b w:val="0"/>
          <w:color w:val="000000"/>
          <w:shd w:val="clear" w:color="auto" w:fill="FFFFFF"/>
        </w:rPr>
        <w:t>.</w:t>
      </w:r>
    </w:p>
  </w:footnote>
  <w:footnote w:id="7">
    <w:p w14:paraId="09F2AEFD" w14:textId="47C96EA3" w:rsidR="0083415E" w:rsidRDefault="0083415E" w:rsidP="00525505">
      <w:pPr>
        <w:pStyle w:val="Textonotapie"/>
        <w:rPr>
          <w:lang w:val="es-CR"/>
        </w:rPr>
      </w:pPr>
      <w:r>
        <w:rPr>
          <w:rStyle w:val="Refdenotaalpie"/>
        </w:rPr>
        <w:footnoteRef/>
      </w:r>
      <w:r>
        <w:t xml:space="preserve"> </w:t>
      </w:r>
      <w:r>
        <w:tab/>
      </w:r>
      <w:r>
        <w:rPr>
          <w:i/>
        </w:rPr>
        <w:t>Cfr. Caso Pacheco Teruel y otros Vs. Honduras</w:t>
      </w:r>
      <w:r>
        <w:t xml:space="preserve">. Resolución del </w:t>
      </w:r>
      <w:proofErr w:type="gramStart"/>
      <w:r>
        <w:t>Presidente</w:t>
      </w:r>
      <w:proofErr w:type="gramEnd"/>
      <w:r>
        <w:t xml:space="preserve"> de 27 de enero de 2012. Considerando 9, y </w:t>
      </w:r>
      <w:r w:rsidR="00F17089" w:rsidRPr="001B2A42">
        <w:rPr>
          <w:i/>
          <w:iCs/>
        </w:rPr>
        <w:t xml:space="preserve">Caso </w:t>
      </w:r>
      <w:r w:rsidR="00F17089">
        <w:rPr>
          <w:i/>
          <w:iCs/>
        </w:rPr>
        <w:t>Asociación Civil Memoria Histórica Vs. Argentina</w:t>
      </w:r>
      <w:r w:rsidR="00F17089">
        <w:t xml:space="preserve">. Resolución del </w:t>
      </w:r>
      <w:proofErr w:type="gramStart"/>
      <w:r w:rsidR="00F17089">
        <w:t>Presidente</w:t>
      </w:r>
      <w:proofErr w:type="gramEnd"/>
      <w:r w:rsidR="00F17089">
        <w:t xml:space="preserve"> de la Corte Interamericana de Derechos Humanos de 5 de septiembre de 2022,</w:t>
      </w:r>
      <w:r>
        <w:rPr>
          <w:rStyle w:val="Textoennegrita"/>
          <w:b w:val="0"/>
          <w:color w:val="000000"/>
          <w:shd w:val="clear" w:color="auto" w:fill="FFFFFF"/>
        </w:rPr>
        <w:t xml:space="preserve"> Considerando </w:t>
      </w:r>
      <w:r w:rsidR="00866F16">
        <w:rPr>
          <w:rStyle w:val="Textoennegrita"/>
          <w:b w:val="0"/>
          <w:color w:val="000000"/>
          <w:shd w:val="clear" w:color="auto" w:fill="FFFFFF"/>
        </w:rPr>
        <w:t>12</w:t>
      </w:r>
      <w:r>
        <w:rPr>
          <w:rStyle w:val="Textoennegrita"/>
          <w:b w:val="0"/>
          <w:color w:val="000000"/>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80770"/>
    <w:multiLevelType w:val="hybridMultilevel"/>
    <w:tmpl w:val="D75ED614"/>
    <w:lvl w:ilvl="0" w:tplc="67E07D4A">
      <w:start w:val="1"/>
      <w:numFmt w:val="decimal"/>
      <w:lvlText w:val="%1."/>
      <w:lvlJc w:val="left"/>
      <w:pPr>
        <w:ind w:left="180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AC754BB"/>
    <w:multiLevelType w:val="hybridMultilevel"/>
    <w:tmpl w:val="0A108CAE"/>
    <w:lvl w:ilvl="0" w:tplc="04090015">
      <w:start w:val="1"/>
      <w:numFmt w:val="upperLetter"/>
      <w:lvlText w:val="%1."/>
      <w:lvlJc w:val="left"/>
      <w:pPr>
        <w:ind w:left="720" w:hanging="360"/>
      </w:pPr>
    </w:lvl>
    <w:lvl w:ilvl="1" w:tplc="565A301C">
      <w:start w:val="1"/>
      <w:numFmt w:val="decimal"/>
      <w:lvlText w:val="%2)"/>
      <w:lvlJc w:val="left"/>
      <w:pPr>
        <w:ind w:left="1440" w:hanging="360"/>
      </w:pPr>
      <w:rPr>
        <w:rFonts w:hint="default"/>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FC607F2"/>
    <w:multiLevelType w:val="hybridMultilevel"/>
    <w:tmpl w:val="D9E027E2"/>
    <w:lvl w:ilvl="0" w:tplc="47BA40A8">
      <w:start w:val="1"/>
      <w:numFmt w:val="decimal"/>
      <w:lvlText w:val="%1)"/>
      <w:lvlJc w:val="left"/>
      <w:pPr>
        <w:ind w:left="180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E0E41F5"/>
    <w:multiLevelType w:val="hybridMultilevel"/>
    <w:tmpl w:val="D8FA7244"/>
    <w:lvl w:ilvl="0" w:tplc="DD28CD12">
      <w:start w:val="1"/>
      <w:numFmt w:val="upperLetter"/>
      <w:lvlText w:val="%1."/>
      <w:lvlJc w:val="left"/>
      <w:pPr>
        <w:ind w:left="720" w:hanging="360"/>
      </w:pPr>
      <w:rPr>
        <w:rFonts w:eastAsia="Calibr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2D67737"/>
    <w:multiLevelType w:val="hybridMultilevel"/>
    <w:tmpl w:val="947A89D8"/>
    <w:lvl w:ilvl="0" w:tplc="834EAAA2">
      <w:start w:val="1"/>
      <w:numFmt w:val="upperLetter"/>
      <w:lvlText w:val="%1."/>
      <w:lvlJc w:val="left"/>
      <w:pPr>
        <w:ind w:left="930" w:hanging="360"/>
      </w:pPr>
      <w:rPr>
        <w:rFonts w:hint="default"/>
        <w:b/>
        <w:i w:val="0"/>
      </w:rPr>
    </w:lvl>
    <w:lvl w:ilvl="1" w:tplc="140A0019">
      <w:start w:val="1"/>
      <w:numFmt w:val="lowerLetter"/>
      <w:lvlText w:val="%2."/>
      <w:lvlJc w:val="left"/>
      <w:pPr>
        <w:ind w:left="1650" w:hanging="360"/>
      </w:pPr>
    </w:lvl>
    <w:lvl w:ilvl="2" w:tplc="140A001B">
      <w:start w:val="1"/>
      <w:numFmt w:val="lowerRoman"/>
      <w:lvlText w:val="%3."/>
      <w:lvlJc w:val="right"/>
      <w:pPr>
        <w:ind w:left="2370" w:hanging="180"/>
      </w:pPr>
    </w:lvl>
    <w:lvl w:ilvl="3" w:tplc="140A000F">
      <w:start w:val="1"/>
      <w:numFmt w:val="decimal"/>
      <w:lvlText w:val="%4."/>
      <w:lvlJc w:val="left"/>
      <w:pPr>
        <w:ind w:left="3090" w:hanging="360"/>
      </w:pPr>
    </w:lvl>
    <w:lvl w:ilvl="4" w:tplc="140A0019">
      <w:start w:val="1"/>
      <w:numFmt w:val="lowerLetter"/>
      <w:lvlText w:val="%5."/>
      <w:lvlJc w:val="left"/>
      <w:pPr>
        <w:ind w:left="3810" w:hanging="360"/>
      </w:pPr>
    </w:lvl>
    <w:lvl w:ilvl="5" w:tplc="140A001B">
      <w:start w:val="1"/>
      <w:numFmt w:val="lowerRoman"/>
      <w:lvlText w:val="%6."/>
      <w:lvlJc w:val="right"/>
      <w:pPr>
        <w:ind w:left="4530" w:hanging="180"/>
      </w:pPr>
    </w:lvl>
    <w:lvl w:ilvl="6" w:tplc="140A000F">
      <w:start w:val="1"/>
      <w:numFmt w:val="decimal"/>
      <w:lvlText w:val="%7."/>
      <w:lvlJc w:val="left"/>
      <w:pPr>
        <w:ind w:left="5250" w:hanging="360"/>
      </w:pPr>
    </w:lvl>
    <w:lvl w:ilvl="7" w:tplc="140A0019">
      <w:start w:val="1"/>
      <w:numFmt w:val="lowerLetter"/>
      <w:lvlText w:val="%8."/>
      <w:lvlJc w:val="left"/>
      <w:pPr>
        <w:ind w:left="5970" w:hanging="360"/>
      </w:pPr>
    </w:lvl>
    <w:lvl w:ilvl="8" w:tplc="140A001B">
      <w:start w:val="1"/>
      <w:numFmt w:val="lowerRoman"/>
      <w:lvlText w:val="%9."/>
      <w:lvlJc w:val="right"/>
      <w:pPr>
        <w:ind w:left="6690" w:hanging="180"/>
      </w:pPr>
    </w:lvl>
  </w:abstractNum>
  <w:abstractNum w:abstractNumId="6" w15:restartNumberingAfterBreak="0">
    <w:nsid w:val="644167C5"/>
    <w:multiLevelType w:val="hybridMultilevel"/>
    <w:tmpl w:val="56E2A2AE"/>
    <w:lvl w:ilvl="0" w:tplc="0FD0E226">
      <w:start w:val="2"/>
      <w:numFmt w:val="decimal"/>
      <w:lvlText w:val="%1."/>
      <w:lvlJc w:val="left"/>
      <w:pPr>
        <w:tabs>
          <w:tab w:val="num" w:pos="3600"/>
        </w:tabs>
        <w:ind w:left="0" w:firstLine="0"/>
      </w:pPr>
      <w:rPr>
        <w:rFonts w:ascii="Verdana" w:hAnsi="Verdana" w:cs="Times New Roman" w:hint="default"/>
        <w:b w:val="0"/>
        <w:i w:val="0"/>
        <w:sz w:val="20"/>
      </w:rPr>
    </w:lvl>
    <w:lvl w:ilvl="1" w:tplc="04090019">
      <w:start w:val="1"/>
      <w:numFmt w:val="lowerLetter"/>
      <w:lvlText w:val="%2."/>
      <w:lvlJc w:val="left"/>
      <w:pPr>
        <w:tabs>
          <w:tab w:val="num" w:pos="3600"/>
        </w:tabs>
        <w:ind w:left="3600" w:hanging="360"/>
      </w:pPr>
      <w:rPr>
        <w:rFonts w:cs="Times New Roman"/>
      </w:rPr>
    </w:lvl>
    <w:lvl w:ilvl="2" w:tplc="0409001B">
      <w:start w:val="1"/>
      <w:numFmt w:val="lowerRoman"/>
      <w:lvlText w:val="%3."/>
      <w:lvlJc w:val="right"/>
      <w:pPr>
        <w:tabs>
          <w:tab w:val="num" w:pos="4320"/>
        </w:tabs>
        <w:ind w:left="4320" w:hanging="180"/>
      </w:pPr>
      <w:rPr>
        <w:rFonts w:cs="Times New Roman"/>
      </w:rPr>
    </w:lvl>
    <w:lvl w:ilvl="3" w:tplc="0409000F">
      <w:start w:val="1"/>
      <w:numFmt w:val="decimal"/>
      <w:lvlText w:val="%4."/>
      <w:lvlJc w:val="left"/>
      <w:pPr>
        <w:tabs>
          <w:tab w:val="num" w:pos="5040"/>
        </w:tabs>
        <w:ind w:left="5040" w:hanging="360"/>
      </w:pPr>
      <w:rPr>
        <w:rFonts w:cs="Times New Roman"/>
      </w:rPr>
    </w:lvl>
    <w:lvl w:ilvl="4" w:tplc="04090019">
      <w:start w:val="1"/>
      <w:numFmt w:val="lowerLetter"/>
      <w:lvlText w:val="%5."/>
      <w:lvlJc w:val="left"/>
      <w:pPr>
        <w:tabs>
          <w:tab w:val="num" w:pos="5760"/>
        </w:tabs>
        <w:ind w:left="5760" w:hanging="360"/>
      </w:pPr>
      <w:rPr>
        <w:rFonts w:cs="Times New Roman"/>
      </w:rPr>
    </w:lvl>
    <w:lvl w:ilvl="5" w:tplc="0409001B">
      <w:start w:val="1"/>
      <w:numFmt w:val="lowerRoman"/>
      <w:lvlText w:val="%6."/>
      <w:lvlJc w:val="right"/>
      <w:pPr>
        <w:tabs>
          <w:tab w:val="num" w:pos="6480"/>
        </w:tabs>
        <w:ind w:left="6480" w:hanging="180"/>
      </w:pPr>
      <w:rPr>
        <w:rFonts w:cs="Times New Roman"/>
      </w:rPr>
    </w:lvl>
    <w:lvl w:ilvl="6" w:tplc="0409000F">
      <w:start w:val="1"/>
      <w:numFmt w:val="decimal"/>
      <w:lvlText w:val="%7."/>
      <w:lvlJc w:val="left"/>
      <w:pPr>
        <w:tabs>
          <w:tab w:val="num" w:pos="7200"/>
        </w:tabs>
        <w:ind w:left="7200" w:hanging="360"/>
      </w:pPr>
      <w:rPr>
        <w:rFonts w:cs="Times New Roman"/>
      </w:rPr>
    </w:lvl>
    <w:lvl w:ilvl="7" w:tplc="04090019">
      <w:start w:val="1"/>
      <w:numFmt w:val="lowerLetter"/>
      <w:lvlText w:val="%8."/>
      <w:lvlJc w:val="left"/>
      <w:pPr>
        <w:tabs>
          <w:tab w:val="num" w:pos="7920"/>
        </w:tabs>
        <w:ind w:left="7920" w:hanging="360"/>
      </w:pPr>
      <w:rPr>
        <w:rFonts w:cs="Times New Roman"/>
      </w:rPr>
    </w:lvl>
    <w:lvl w:ilvl="8" w:tplc="0409001B">
      <w:start w:val="1"/>
      <w:numFmt w:val="lowerRoman"/>
      <w:lvlText w:val="%9."/>
      <w:lvlJc w:val="right"/>
      <w:pPr>
        <w:tabs>
          <w:tab w:val="num" w:pos="8640"/>
        </w:tabs>
        <w:ind w:left="8640" w:hanging="180"/>
      </w:pPr>
      <w:rPr>
        <w:rFonts w:cs="Times New Roman"/>
      </w:rPr>
    </w:lvl>
  </w:abstractNum>
  <w:abstractNum w:abstractNumId="7" w15:restartNumberingAfterBreak="0">
    <w:nsid w:val="67E20BCD"/>
    <w:multiLevelType w:val="hybridMultilevel"/>
    <w:tmpl w:val="01EE7792"/>
    <w:lvl w:ilvl="0" w:tplc="1338CD0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74227B24"/>
    <w:multiLevelType w:val="hybridMultilevel"/>
    <w:tmpl w:val="2CCA8F9E"/>
    <w:lvl w:ilvl="0" w:tplc="8F204694">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16cid:durableId="14076060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2261991">
    <w:abstractNumId w:val="0"/>
  </w:num>
  <w:num w:numId="3" w16cid:durableId="1261719517">
    <w:abstractNumId w:val="5"/>
  </w:num>
  <w:num w:numId="4" w16cid:durableId="424154669">
    <w:abstractNumId w:val="1"/>
  </w:num>
  <w:num w:numId="5" w16cid:durableId="66358370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5308750">
    <w:abstractNumId w:val="2"/>
  </w:num>
  <w:num w:numId="7" w16cid:durableId="1208253784">
    <w:abstractNumId w:val="3"/>
  </w:num>
  <w:num w:numId="8" w16cid:durableId="553733229">
    <w:abstractNumId w:val="8"/>
  </w:num>
  <w:num w:numId="9" w16cid:durableId="6072801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15E"/>
    <w:rsid w:val="00022F34"/>
    <w:rsid w:val="00054708"/>
    <w:rsid w:val="00074439"/>
    <w:rsid w:val="000830D8"/>
    <w:rsid w:val="000C5B09"/>
    <w:rsid w:val="000D6D3B"/>
    <w:rsid w:val="001367F4"/>
    <w:rsid w:val="001A1BC7"/>
    <w:rsid w:val="002336BA"/>
    <w:rsid w:val="0026645E"/>
    <w:rsid w:val="002C628F"/>
    <w:rsid w:val="002D7804"/>
    <w:rsid w:val="00356160"/>
    <w:rsid w:val="003D36CF"/>
    <w:rsid w:val="003D5105"/>
    <w:rsid w:val="00426C77"/>
    <w:rsid w:val="00456531"/>
    <w:rsid w:val="00464FCB"/>
    <w:rsid w:val="004863D4"/>
    <w:rsid w:val="004A2925"/>
    <w:rsid w:val="004C0C5D"/>
    <w:rsid w:val="004E4383"/>
    <w:rsid w:val="005108BF"/>
    <w:rsid w:val="00525505"/>
    <w:rsid w:val="00547AF1"/>
    <w:rsid w:val="0055318A"/>
    <w:rsid w:val="005C17CD"/>
    <w:rsid w:val="00656969"/>
    <w:rsid w:val="0066699E"/>
    <w:rsid w:val="00684CE9"/>
    <w:rsid w:val="00690C43"/>
    <w:rsid w:val="006E2160"/>
    <w:rsid w:val="00742301"/>
    <w:rsid w:val="007963A0"/>
    <w:rsid w:val="0083415E"/>
    <w:rsid w:val="00853BAD"/>
    <w:rsid w:val="008561BD"/>
    <w:rsid w:val="00866F16"/>
    <w:rsid w:val="008807D7"/>
    <w:rsid w:val="00891CF1"/>
    <w:rsid w:val="008C7187"/>
    <w:rsid w:val="00934DAA"/>
    <w:rsid w:val="00960772"/>
    <w:rsid w:val="009772C7"/>
    <w:rsid w:val="00A24757"/>
    <w:rsid w:val="00A96309"/>
    <w:rsid w:val="00AA6298"/>
    <w:rsid w:val="00AB409C"/>
    <w:rsid w:val="00B256EA"/>
    <w:rsid w:val="00B62ABC"/>
    <w:rsid w:val="00BE1CEE"/>
    <w:rsid w:val="00C03C61"/>
    <w:rsid w:val="00C17468"/>
    <w:rsid w:val="00C4136B"/>
    <w:rsid w:val="00C4355F"/>
    <w:rsid w:val="00C628C6"/>
    <w:rsid w:val="00C74633"/>
    <w:rsid w:val="00C75D11"/>
    <w:rsid w:val="00C9482C"/>
    <w:rsid w:val="00CF66C1"/>
    <w:rsid w:val="00D0498F"/>
    <w:rsid w:val="00D561A2"/>
    <w:rsid w:val="00D771E7"/>
    <w:rsid w:val="00D8569B"/>
    <w:rsid w:val="00E35453"/>
    <w:rsid w:val="00E96EDB"/>
    <w:rsid w:val="00ED3768"/>
    <w:rsid w:val="00F17089"/>
    <w:rsid w:val="00F23D3F"/>
    <w:rsid w:val="00F25232"/>
    <w:rsid w:val="00F6774B"/>
    <w:rsid w:val="00F70F2E"/>
    <w:rsid w:val="00FC295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9B2FE"/>
  <w15:chartTrackingRefBased/>
  <w15:docId w15:val="{C239B5CB-4E34-43FB-B5E4-71A89DA29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15E"/>
    <w:pPr>
      <w:spacing w:after="200" w:line="276" w:lineRule="auto"/>
    </w:pPr>
    <w:rPr>
      <w:rFonts w:ascii="Verdana" w:eastAsia="Calibri" w:hAnsi="Verdana" w:cs="Calibri"/>
      <w:sz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A Fu Car1,Footnote Text Char Char Char Char Char Car,Footnote Text Char Char Char Char Car,Footnote reference Car,Footnote Text Char Char Char Car,FA Fu Car Car1,FA Fu Car Car Car,Footnote Text Cha Car,FA Fußnotentext Car,Ca Car"/>
    <w:link w:val="Textonotapie"/>
    <w:uiPriority w:val="99"/>
    <w:locked/>
    <w:rsid w:val="00525505"/>
    <w:rPr>
      <w:rFonts w:ascii="Verdana" w:hAnsi="Verdana"/>
      <w:sz w:val="16"/>
      <w:szCs w:val="16"/>
      <w:lang w:val="es-ES_tradnl" w:eastAsia="es-ES"/>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FA Fu?notente,C,ft"/>
    <w:basedOn w:val="Normal"/>
    <w:link w:val="TextonotapieCar1"/>
    <w:autoRedefine/>
    <w:uiPriority w:val="99"/>
    <w:unhideWhenUsed/>
    <w:qFormat/>
    <w:rsid w:val="00525505"/>
    <w:pPr>
      <w:spacing w:before="120" w:after="120" w:line="240" w:lineRule="auto"/>
      <w:jc w:val="both"/>
    </w:pPr>
    <w:rPr>
      <w:rFonts w:eastAsiaTheme="minorHAnsi" w:cstheme="minorBidi"/>
      <w:sz w:val="16"/>
      <w:szCs w:val="16"/>
      <w:lang w:val="es-ES_tradnl" w:eastAsia="es-ES"/>
    </w:rPr>
  </w:style>
  <w:style w:type="character" w:customStyle="1" w:styleId="TextonotapieCar">
    <w:name w:val="Texto nota pie Car"/>
    <w:basedOn w:val="Fuentedeprrafopredeter"/>
    <w:uiPriority w:val="99"/>
    <w:semiHidden/>
    <w:rsid w:val="0083415E"/>
    <w:rPr>
      <w:rFonts w:ascii="Verdana" w:eastAsia="Calibri" w:hAnsi="Verdana" w:cs="Calibri"/>
      <w:sz w:val="20"/>
      <w:szCs w:val="20"/>
      <w:lang w:val="es-MX"/>
    </w:rPr>
  </w:style>
  <w:style w:type="paragraph" w:styleId="Prrafodelista">
    <w:name w:val="List Paragraph"/>
    <w:basedOn w:val="Normal"/>
    <w:uiPriority w:val="34"/>
    <w:qFormat/>
    <w:rsid w:val="0083415E"/>
    <w:pPr>
      <w:ind w:left="720"/>
      <w:contextualSpacing/>
    </w:p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uiPriority w:val="99"/>
    <w:unhideWhenUsed/>
    <w:qFormat/>
    <w:rsid w:val="0083415E"/>
    <w:rPr>
      <w:rFonts w:ascii="Verdana" w:hAnsi="Verdana" w:cs="Verdana"/>
      <w:sz w:val="16"/>
      <w:szCs w:val="16"/>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3415E"/>
    <w:pPr>
      <w:spacing w:after="0" w:line="240" w:lineRule="auto"/>
      <w:jc w:val="both"/>
    </w:pPr>
    <w:rPr>
      <w:rFonts w:eastAsiaTheme="minorHAnsi" w:cs="Verdana"/>
      <w:sz w:val="16"/>
      <w:szCs w:val="16"/>
      <w:vertAlign w:val="superscript"/>
      <w:lang w:val="es-CR"/>
    </w:rPr>
  </w:style>
  <w:style w:type="character" w:styleId="Textoennegrita">
    <w:name w:val="Strong"/>
    <w:basedOn w:val="Fuentedeprrafopredeter"/>
    <w:uiPriority w:val="22"/>
    <w:qFormat/>
    <w:rsid w:val="0083415E"/>
    <w:rPr>
      <w:b/>
      <w:bCs/>
    </w:rPr>
  </w:style>
  <w:style w:type="paragraph" w:styleId="Piedepgina">
    <w:name w:val="footer"/>
    <w:basedOn w:val="Normal"/>
    <w:link w:val="PiedepginaCar"/>
    <w:uiPriority w:val="99"/>
    <w:unhideWhenUsed/>
    <w:rsid w:val="008341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415E"/>
    <w:rPr>
      <w:rFonts w:ascii="Verdana" w:eastAsia="Calibri" w:hAnsi="Verdana" w:cs="Calibri"/>
      <w:sz w:val="20"/>
      <w:lang w:val="es-MX"/>
    </w:rPr>
  </w:style>
  <w:style w:type="character" w:styleId="Refdecomentario">
    <w:name w:val="annotation reference"/>
    <w:basedOn w:val="Fuentedeprrafopredeter"/>
    <w:uiPriority w:val="99"/>
    <w:semiHidden/>
    <w:unhideWhenUsed/>
    <w:rsid w:val="00F70F2E"/>
    <w:rPr>
      <w:sz w:val="16"/>
      <w:szCs w:val="16"/>
    </w:rPr>
  </w:style>
  <w:style w:type="paragraph" w:styleId="Textocomentario">
    <w:name w:val="annotation text"/>
    <w:basedOn w:val="Normal"/>
    <w:link w:val="TextocomentarioCar"/>
    <w:uiPriority w:val="99"/>
    <w:unhideWhenUsed/>
    <w:rsid w:val="00F70F2E"/>
    <w:pPr>
      <w:spacing w:line="240" w:lineRule="auto"/>
    </w:pPr>
    <w:rPr>
      <w:szCs w:val="20"/>
    </w:rPr>
  </w:style>
  <w:style w:type="character" w:customStyle="1" w:styleId="TextocomentarioCar">
    <w:name w:val="Texto comentario Car"/>
    <w:basedOn w:val="Fuentedeprrafopredeter"/>
    <w:link w:val="Textocomentario"/>
    <w:uiPriority w:val="99"/>
    <w:rsid w:val="00F70F2E"/>
    <w:rPr>
      <w:rFonts w:ascii="Verdana" w:eastAsia="Calibri" w:hAnsi="Verdana"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F70F2E"/>
    <w:rPr>
      <w:b/>
      <w:bCs/>
    </w:rPr>
  </w:style>
  <w:style w:type="character" w:customStyle="1" w:styleId="AsuntodelcomentarioCar">
    <w:name w:val="Asunto del comentario Car"/>
    <w:basedOn w:val="TextocomentarioCar"/>
    <w:link w:val="Asuntodelcomentario"/>
    <w:uiPriority w:val="99"/>
    <w:semiHidden/>
    <w:rsid w:val="00F70F2E"/>
    <w:rPr>
      <w:rFonts w:ascii="Verdana" w:eastAsia="Calibri" w:hAnsi="Verdana" w:cs="Calibri"/>
      <w:b/>
      <w:bCs/>
      <w:sz w:val="20"/>
      <w:szCs w:val="20"/>
      <w:lang w:val="es-MX"/>
    </w:rPr>
  </w:style>
  <w:style w:type="paragraph" w:styleId="Revisin">
    <w:name w:val="Revision"/>
    <w:hidden/>
    <w:uiPriority w:val="99"/>
    <w:semiHidden/>
    <w:rsid w:val="00B256EA"/>
    <w:pPr>
      <w:spacing w:after="0" w:line="240" w:lineRule="auto"/>
    </w:pPr>
    <w:rPr>
      <w:rFonts w:ascii="Verdana" w:eastAsia="Calibri" w:hAnsi="Verdana" w:cs="Calibri"/>
      <w:sz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17C7D-3487-43F7-8FAF-EA1E13B19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2868</Words>
  <Characters>15779</Characters>
  <Application>Microsoft Office Word</Application>
  <DocSecurity>0</DocSecurity>
  <Lines>131</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2022-10-22T16:59:00Z</dcterms:created>
  <dcterms:modified xsi:type="dcterms:W3CDTF">2022-10-22T16:59:00Z</dcterms:modified>
</cp:coreProperties>
</file>