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41F90" w14:textId="6FE96A24" w:rsidR="00115208" w:rsidRDefault="00115208" w:rsidP="00115208">
      <w:pPr>
        <w:pStyle w:val="NormalWeb"/>
        <w:jc w:val="both"/>
        <w:rPr>
          <w:rFonts w:ascii="Verdana" w:hAnsi="Verdana" w:cs="Calibri"/>
          <w:b/>
          <w:color w:val="000000"/>
          <w:sz w:val="20"/>
          <w:szCs w:val="20"/>
        </w:rPr>
      </w:pPr>
    </w:p>
    <w:p w14:paraId="6899D5BF" w14:textId="382798F0" w:rsidR="0019120E" w:rsidRDefault="0019120E" w:rsidP="00115208">
      <w:pPr>
        <w:pStyle w:val="NormalWeb"/>
        <w:jc w:val="both"/>
        <w:rPr>
          <w:rFonts w:ascii="Verdana" w:hAnsi="Verdana" w:cs="Calibri"/>
          <w:b/>
          <w:color w:val="000000"/>
          <w:sz w:val="20"/>
          <w:szCs w:val="20"/>
        </w:rPr>
      </w:pPr>
    </w:p>
    <w:p w14:paraId="62230188" w14:textId="1ACE3E02" w:rsidR="0019120E" w:rsidRDefault="0019120E" w:rsidP="00115208">
      <w:pPr>
        <w:pStyle w:val="NormalWeb"/>
        <w:jc w:val="both"/>
        <w:rPr>
          <w:rFonts w:ascii="Verdana" w:hAnsi="Verdana" w:cs="Calibri"/>
          <w:b/>
          <w:color w:val="000000"/>
          <w:sz w:val="20"/>
          <w:szCs w:val="20"/>
        </w:rPr>
      </w:pPr>
    </w:p>
    <w:p w14:paraId="752D8899" w14:textId="5FC74AE1" w:rsidR="0019120E" w:rsidRDefault="0019120E" w:rsidP="00115208">
      <w:pPr>
        <w:pStyle w:val="NormalWeb"/>
        <w:jc w:val="both"/>
        <w:rPr>
          <w:rFonts w:ascii="Verdana" w:hAnsi="Verdana" w:cs="Calibri"/>
          <w:b/>
          <w:color w:val="000000"/>
          <w:sz w:val="20"/>
          <w:szCs w:val="20"/>
        </w:rPr>
      </w:pPr>
    </w:p>
    <w:p w14:paraId="7B907DC4" w14:textId="1767F5A4" w:rsidR="0019120E" w:rsidRDefault="0019120E" w:rsidP="00115208">
      <w:pPr>
        <w:pStyle w:val="NormalWeb"/>
        <w:jc w:val="both"/>
        <w:rPr>
          <w:rFonts w:ascii="Verdana" w:hAnsi="Verdana" w:cs="Calibri"/>
          <w:b/>
          <w:color w:val="000000"/>
          <w:sz w:val="20"/>
          <w:szCs w:val="20"/>
        </w:rPr>
      </w:pPr>
    </w:p>
    <w:p w14:paraId="0A476488" w14:textId="525E1E75" w:rsidR="0019120E" w:rsidRDefault="0019120E" w:rsidP="00115208">
      <w:pPr>
        <w:pStyle w:val="NormalWeb"/>
        <w:jc w:val="both"/>
        <w:rPr>
          <w:rFonts w:ascii="Verdana" w:hAnsi="Verdana" w:cs="Calibri"/>
          <w:b/>
          <w:color w:val="000000"/>
          <w:sz w:val="20"/>
          <w:szCs w:val="20"/>
        </w:rPr>
      </w:pPr>
    </w:p>
    <w:p w14:paraId="7FC359DF" w14:textId="77777777" w:rsidR="0019120E" w:rsidRPr="007D3A77" w:rsidRDefault="0019120E" w:rsidP="00115208">
      <w:pPr>
        <w:pStyle w:val="NormalWeb"/>
        <w:jc w:val="both"/>
        <w:rPr>
          <w:rFonts w:ascii="Verdana" w:hAnsi="Verdana" w:cs="Calibri"/>
          <w:b/>
          <w:color w:val="000000"/>
          <w:sz w:val="20"/>
          <w:szCs w:val="20"/>
        </w:rPr>
      </w:pPr>
    </w:p>
    <w:p w14:paraId="576BB845" w14:textId="0A584984" w:rsidR="00115208" w:rsidRPr="007D3A77" w:rsidRDefault="000F187A" w:rsidP="000F187A">
      <w:pPr>
        <w:pStyle w:val="NormalWeb"/>
        <w:tabs>
          <w:tab w:val="center" w:pos="4419"/>
          <w:tab w:val="right" w:pos="8838"/>
        </w:tabs>
        <w:rPr>
          <w:rFonts w:ascii="Verdana" w:hAnsi="Verdana" w:cs="Calibri"/>
          <w:b/>
          <w:color w:val="000000"/>
          <w:sz w:val="20"/>
          <w:szCs w:val="20"/>
        </w:rPr>
      </w:pPr>
      <w:r>
        <w:rPr>
          <w:rFonts w:ascii="Verdana" w:hAnsi="Verdana" w:cs="Calibri"/>
          <w:b/>
          <w:color w:val="000000"/>
          <w:sz w:val="20"/>
          <w:szCs w:val="20"/>
        </w:rPr>
        <w:tab/>
      </w:r>
      <w:r w:rsidR="00115208" w:rsidRPr="007D3A77">
        <w:rPr>
          <w:rFonts w:ascii="Verdana" w:hAnsi="Verdana" w:cs="Calibri"/>
          <w:b/>
          <w:color w:val="000000"/>
          <w:sz w:val="20"/>
          <w:szCs w:val="20"/>
        </w:rPr>
        <w:t>RESOLUCIÓN DE LA</w:t>
      </w:r>
      <w:r>
        <w:rPr>
          <w:rFonts w:ascii="Verdana" w:hAnsi="Verdana" w:cs="Calibri"/>
          <w:b/>
          <w:color w:val="000000"/>
          <w:sz w:val="20"/>
          <w:szCs w:val="20"/>
        </w:rPr>
        <w:tab/>
      </w:r>
    </w:p>
    <w:p w14:paraId="5A890A8D" w14:textId="2B85F020" w:rsidR="00115208" w:rsidRPr="007D3A77" w:rsidRDefault="00115208" w:rsidP="00115208">
      <w:pPr>
        <w:pStyle w:val="NormalWeb"/>
        <w:jc w:val="center"/>
        <w:rPr>
          <w:rFonts w:ascii="Verdana" w:hAnsi="Verdana" w:cs="Calibri"/>
          <w:b/>
          <w:color w:val="000000"/>
          <w:sz w:val="20"/>
          <w:szCs w:val="20"/>
        </w:rPr>
      </w:pPr>
      <w:r w:rsidRPr="007D3A77">
        <w:rPr>
          <w:rFonts w:ascii="Verdana" w:hAnsi="Verdana" w:cs="Calibri"/>
          <w:b/>
          <w:color w:val="000000"/>
          <w:sz w:val="20"/>
          <w:szCs w:val="20"/>
        </w:rPr>
        <w:t>CORTE INTERAMERICANA DE DERECHOS HUMANOS</w:t>
      </w:r>
      <w:r w:rsidR="00CE46B2" w:rsidRPr="00D235A6">
        <w:rPr>
          <w:rFonts w:ascii="Verdana" w:hAnsi="Verdana" w:cs="Calibri"/>
          <w:b/>
          <w:color w:val="000000"/>
          <w:sz w:val="20"/>
          <w:szCs w:val="20"/>
          <w:vertAlign w:val="superscript"/>
        </w:rPr>
        <w:t>*</w:t>
      </w:r>
    </w:p>
    <w:p w14:paraId="5666BB1B" w14:textId="77777777" w:rsidR="00115208" w:rsidRPr="007D3A77" w:rsidRDefault="00115208" w:rsidP="00115208">
      <w:pPr>
        <w:pStyle w:val="NormalWeb"/>
        <w:jc w:val="center"/>
        <w:rPr>
          <w:rFonts w:ascii="Verdana" w:hAnsi="Verdana" w:cs="Calibri"/>
          <w:b/>
          <w:color w:val="000000"/>
          <w:sz w:val="20"/>
          <w:szCs w:val="20"/>
        </w:rPr>
      </w:pPr>
    </w:p>
    <w:p w14:paraId="3E24ECA0" w14:textId="79892E88" w:rsidR="00115208" w:rsidRPr="007D3A77" w:rsidRDefault="00115208" w:rsidP="00115208">
      <w:pPr>
        <w:pStyle w:val="NormalWeb"/>
        <w:jc w:val="center"/>
        <w:rPr>
          <w:rFonts w:ascii="Verdana" w:hAnsi="Verdana" w:cs="Calibri"/>
          <w:b/>
          <w:color w:val="000000"/>
          <w:sz w:val="20"/>
          <w:szCs w:val="20"/>
        </w:rPr>
      </w:pPr>
      <w:r w:rsidRPr="007D3A77">
        <w:rPr>
          <w:rFonts w:ascii="Verdana" w:hAnsi="Verdana" w:cs="Calibri"/>
          <w:b/>
          <w:color w:val="000000"/>
          <w:sz w:val="20"/>
          <w:szCs w:val="20"/>
        </w:rPr>
        <w:t xml:space="preserve">DE </w:t>
      </w:r>
      <w:r w:rsidR="008D48A5">
        <w:rPr>
          <w:rFonts w:ascii="Verdana" w:hAnsi="Verdana" w:cs="Calibri"/>
          <w:b/>
          <w:color w:val="000000"/>
          <w:sz w:val="20"/>
          <w:szCs w:val="20"/>
        </w:rPr>
        <w:t>2</w:t>
      </w:r>
      <w:r>
        <w:rPr>
          <w:rFonts w:ascii="Verdana" w:hAnsi="Verdana" w:cs="Calibri"/>
          <w:b/>
          <w:color w:val="000000"/>
          <w:sz w:val="20"/>
          <w:szCs w:val="20"/>
        </w:rPr>
        <w:t xml:space="preserve"> </w:t>
      </w:r>
      <w:r w:rsidRPr="007D3A77">
        <w:rPr>
          <w:rFonts w:ascii="Verdana" w:hAnsi="Verdana" w:cs="Calibri"/>
          <w:b/>
          <w:color w:val="000000"/>
          <w:sz w:val="20"/>
          <w:szCs w:val="20"/>
        </w:rPr>
        <w:t xml:space="preserve">DE </w:t>
      </w:r>
      <w:r w:rsidR="00CE46B2">
        <w:rPr>
          <w:rFonts w:ascii="Verdana" w:hAnsi="Verdana" w:cs="Calibri"/>
          <w:b/>
          <w:color w:val="000000"/>
          <w:sz w:val="20"/>
          <w:szCs w:val="20"/>
        </w:rPr>
        <w:t>SEPTIEMBRE</w:t>
      </w:r>
      <w:r w:rsidR="00CE46B2" w:rsidRPr="007D3A77">
        <w:rPr>
          <w:rFonts w:ascii="Verdana" w:hAnsi="Verdana" w:cs="Calibri"/>
          <w:b/>
          <w:color w:val="000000"/>
          <w:sz w:val="20"/>
          <w:szCs w:val="20"/>
        </w:rPr>
        <w:t xml:space="preserve"> </w:t>
      </w:r>
      <w:r w:rsidRPr="007D3A77">
        <w:rPr>
          <w:rFonts w:ascii="Verdana" w:hAnsi="Verdana" w:cs="Calibri"/>
          <w:b/>
          <w:color w:val="000000"/>
          <w:sz w:val="20"/>
          <w:szCs w:val="20"/>
        </w:rPr>
        <w:t>DE 202</w:t>
      </w:r>
      <w:r>
        <w:rPr>
          <w:rFonts w:ascii="Verdana" w:hAnsi="Verdana" w:cs="Calibri"/>
          <w:b/>
          <w:color w:val="000000"/>
          <w:sz w:val="20"/>
          <w:szCs w:val="20"/>
        </w:rPr>
        <w:t>2</w:t>
      </w:r>
    </w:p>
    <w:p w14:paraId="29968C98" w14:textId="77777777" w:rsidR="00115208" w:rsidRPr="007D3A77" w:rsidRDefault="00115208" w:rsidP="00115208">
      <w:pPr>
        <w:pStyle w:val="NormalWeb"/>
        <w:jc w:val="center"/>
        <w:rPr>
          <w:rFonts w:ascii="Verdana" w:hAnsi="Verdana" w:cs="Calibri"/>
          <w:b/>
          <w:color w:val="000000"/>
          <w:sz w:val="20"/>
          <w:szCs w:val="20"/>
        </w:rPr>
      </w:pPr>
    </w:p>
    <w:p w14:paraId="0F9C6E3A" w14:textId="42466C3B" w:rsidR="00115208" w:rsidRPr="007D3A77" w:rsidRDefault="00115208" w:rsidP="00115208">
      <w:pPr>
        <w:pStyle w:val="NormalWeb"/>
        <w:jc w:val="center"/>
        <w:rPr>
          <w:rFonts w:ascii="Verdana" w:hAnsi="Verdana" w:cs="Calibri"/>
          <w:b/>
          <w:i/>
          <w:color w:val="000000"/>
          <w:sz w:val="20"/>
          <w:szCs w:val="20"/>
        </w:rPr>
      </w:pPr>
      <w:r w:rsidRPr="007D3A77">
        <w:rPr>
          <w:rFonts w:ascii="Verdana" w:hAnsi="Verdana" w:cs="Calibri"/>
          <w:b/>
          <w:i/>
          <w:color w:val="000000"/>
          <w:sz w:val="20"/>
          <w:szCs w:val="20"/>
        </w:rPr>
        <w:t xml:space="preserve">CASO </w:t>
      </w:r>
      <w:r w:rsidR="00456B76">
        <w:rPr>
          <w:rFonts w:ascii="Verdana" w:hAnsi="Verdana" w:cs="Calibri"/>
          <w:b/>
          <w:i/>
          <w:color w:val="000000"/>
          <w:sz w:val="20"/>
          <w:szCs w:val="20"/>
        </w:rPr>
        <w:t>VALLE AMBROSIO Y OTRO</w:t>
      </w:r>
      <w:r w:rsidR="00EA7AB8">
        <w:rPr>
          <w:rFonts w:ascii="Verdana" w:hAnsi="Verdana" w:cs="Calibri"/>
          <w:b/>
          <w:i/>
          <w:color w:val="000000"/>
          <w:sz w:val="20"/>
          <w:szCs w:val="20"/>
        </w:rPr>
        <w:t xml:space="preserve"> </w:t>
      </w:r>
      <w:r w:rsidRPr="007D3A77">
        <w:rPr>
          <w:rFonts w:ascii="Verdana" w:hAnsi="Verdana" w:cs="Calibri"/>
          <w:b/>
          <w:i/>
          <w:color w:val="000000"/>
          <w:sz w:val="20"/>
          <w:szCs w:val="20"/>
        </w:rPr>
        <w:t xml:space="preserve">VS. </w:t>
      </w:r>
      <w:r w:rsidR="00456B76">
        <w:rPr>
          <w:rFonts w:ascii="Verdana" w:hAnsi="Verdana" w:cs="Calibri"/>
          <w:b/>
          <w:i/>
          <w:color w:val="000000"/>
          <w:sz w:val="20"/>
          <w:szCs w:val="20"/>
        </w:rPr>
        <w:t>ARGENTINA</w:t>
      </w:r>
    </w:p>
    <w:p w14:paraId="7F3D53B9" w14:textId="77777777" w:rsidR="00115208" w:rsidRPr="007D3A77" w:rsidRDefault="00115208" w:rsidP="00115208">
      <w:pPr>
        <w:pStyle w:val="NormalWeb"/>
        <w:jc w:val="center"/>
        <w:rPr>
          <w:rFonts w:ascii="Verdana" w:hAnsi="Verdana" w:cs="Calibri"/>
          <w:b/>
          <w:color w:val="000000"/>
          <w:sz w:val="20"/>
          <w:szCs w:val="20"/>
        </w:rPr>
      </w:pPr>
    </w:p>
    <w:p w14:paraId="6EC1EA4C" w14:textId="77777777" w:rsidR="00115208" w:rsidRPr="007D3A77" w:rsidRDefault="00115208" w:rsidP="00115208">
      <w:pPr>
        <w:pStyle w:val="NormalWeb"/>
        <w:jc w:val="center"/>
        <w:rPr>
          <w:rFonts w:ascii="Verdana" w:hAnsi="Verdana" w:cs="Calibri"/>
          <w:b/>
          <w:color w:val="000000"/>
          <w:sz w:val="20"/>
          <w:szCs w:val="20"/>
        </w:rPr>
      </w:pPr>
      <w:r w:rsidRPr="007D3A77">
        <w:rPr>
          <w:rFonts w:ascii="Verdana" w:hAnsi="Verdana" w:cs="Calibri"/>
          <w:b/>
          <w:color w:val="000000"/>
          <w:sz w:val="20"/>
          <w:szCs w:val="20"/>
        </w:rPr>
        <w:t>SUPERVISIÓN DE CUMPLIMIENTO DE SENTENCIA</w:t>
      </w:r>
    </w:p>
    <w:p w14:paraId="20465CD3" w14:textId="77777777" w:rsidR="00115208" w:rsidRPr="007D3A77" w:rsidRDefault="00115208" w:rsidP="00115208">
      <w:pPr>
        <w:pStyle w:val="NormalWeb"/>
        <w:jc w:val="both"/>
        <w:rPr>
          <w:rFonts w:ascii="Verdana" w:hAnsi="Verdana" w:cs="Calibri"/>
          <w:color w:val="000000"/>
          <w:sz w:val="20"/>
          <w:szCs w:val="20"/>
        </w:rPr>
      </w:pPr>
    </w:p>
    <w:p w14:paraId="4663BDD4" w14:textId="77777777" w:rsidR="00115208" w:rsidRPr="007D3A77" w:rsidRDefault="00115208" w:rsidP="00115208">
      <w:pPr>
        <w:pStyle w:val="NormalWeb"/>
        <w:jc w:val="both"/>
        <w:rPr>
          <w:rFonts w:ascii="Verdana" w:hAnsi="Verdana" w:cs="Calibri"/>
          <w:b/>
          <w:color w:val="000000"/>
          <w:sz w:val="20"/>
          <w:szCs w:val="20"/>
        </w:rPr>
      </w:pPr>
      <w:r w:rsidRPr="007D3A77">
        <w:rPr>
          <w:rFonts w:ascii="Verdana" w:hAnsi="Verdana" w:cs="Calibri"/>
          <w:b/>
          <w:color w:val="000000"/>
          <w:sz w:val="20"/>
          <w:szCs w:val="20"/>
        </w:rPr>
        <w:t xml:space="preserve">VISTO: </w:t>
      </w:r>
    </w:p>
    <w:p w14:paraId="03C0B730" w14:textId="22636543" w:rsidR="00036063" w:rsidRDefault="00115208" w:rsidP="00036063">
      <w:pPr>
        <w:pStyle w:val="Prrafodelista"/>
        <w:numPr>
          <w:ilvl w:val="0"/>
          <w:numId w:val="2"/>
        </w:numPr>
        <w:spacing w:before="120" w:after="120"/>
        <w:ind w:left="0" w:firstLine="0"/>
        <w:jc w:val="both"/>
        <w:rPr>
          <w:rFonts w:ascii="Verdana" w:hAnsi="Verdana"/>
          <w:color w:val="000000"/>
          <w:sz w:val="20"/>
          <w:szCs w:val="20"/>
        </w:rPr>
      </w:pPr>
      <w:r w:rsidRPr="00AA38D6">
        <w:rPr>
          <w:rFonts w:ascii="Verdana" w:hAnsi="Verdana"/>
          <w:color w:val="000000"/>
          <w:sz w:val="20"/>
          <w:szCs w:val="20"/>
        </w:rPr>
        <w:t>La Sentencia de fondo</w:t>
      </w:r>
      <w:r w:rsidR="00456B76">
        <w:rPr>
          <w:rFonts w:ascii="Verdana" w:hAnsi="Verdana"/>
          <w:color w:val="000000"/>
          <w:sz w:val="20"/>
          <w:szCs w:val="20"/>
        </w:rPr>
        <w:t xml:space="preserve"> y</w:t>
      </w:r>
      <w:r w:rsidRPr="00AA38D6">
        <w:rPr>
          <w:rFonts w:ascii="Verdana" w:hAnsi="Verdana"/>
          <w:color w:val="000000"/>
          <w:sz w:val="20"/>
          <w:szCs w:val="20"/>
        </w:rPr>
        <w:t xml:space="preserve"> reparaciones dictada el </w:t>
      </w:r>
      <w:r w:rsidR="00EA7AB8" w:rsidRPr="00EA7AB8">
        <w:rPr>
          <w:rFonts w:ascii="Verdana" w:hAnsi="Verdana"/>
          <w:color w:val="000000"/>
          <w:sz w:val="20"/>
          <w:szCs w:val="20"/>
        </w:rPr>
        <w:t xml:space="preserve">20 de </w:t>
      </w:r>
      <w:r w:rsidR="00456B76">
        <w:rPr>
          <w:rFonts w:ascii="Verdana" w:hAnsi="Verdana"/>
          <w:color w:val="000000"/>
          <w:sz w:val="20"/>
          <w:szCs w:val="20"/>
        </w:rPr>
        <w:t>julio</w:t>
      </w:r>
      <w:r w:rsidR="00EA7AB8" w:rsidRPr="00EA7AB8">
        <w:rPr>
          <w:rFonts w:ascii="Verdana" w:hAnsi="Verdana"/>
          <w:color w:val="000000"/>
          <w:sz w:val="20"/>
          <w:szCs w:val="20"/>
        </w:rPr>
        <w:t xml:space="preserve"> de 20</w:t>
      </w:r>
      <w:r w:rsidR="00456B76">
        <w:rPr>
          <w:rFonts w:ascii="Verdana" w:hAnsi="Verdana"/>
          <w:color w:val="000000"/>
          <w:sz w:val="20"/>
          <w:szCs w:val="20"/>
        </w:rPr>
        <w:t>20</w:t>
      </w:r>
      <w:r w:rsidR="00EA7AB8">
        <w:rPr>
          <w:rFonts w:ascii="Verdana" w:hAnsi="Verdana"/>
          <w:color w:val="000000"/>
          <w:sz w:val="20"/>
          <w:szCs w:val="20"/>
        </w:rPr>
        <w:t xml:space="preserve"> </w:t>
      </w:r>
      <w:r w:rsidRPr="00AA38D6">
        <w:rPr>
          <w:rFonts w:ascii="Verdana" w:hAnsi="Verdana"/>
          <w:color w:val="000000"/>
          <w:sz w:val="20"/>
          <w:szCs w:val="20"/>
        </w:rPr>
        <w:t>(en adelante</w:t>
      </w:r>
      <w:r>
        <w:rPr>
          <w:rFonts w:ascii="Verdana" w:hAnsi="Verdana"/>
          <w:color w:val="000000"/>
          <w:sz w:val="20"/>
          <w:szCs w:val="20"/>
        </w:rPr>
        <w:t xml:space="preserve"> </w:t>
      </w:r>
      <w:r w:rsidRPr="00AA38D6">
        <w:rPr>
          <w:rFonts w:ascii="Verdana" w:hAnsi="Verdana"/>
          <w:color w:val="000000"/>
          <w:sz w:val="20"/>
          <w:szCs w:val="20"/>
        </w:rPr>
        <w:t>“la Sentencia”) por la Corte Interamericana de Derechos Humanos (en adelante “la Corte”, “la</w:t>
      </w:r>
      <w:r>
        <w:rPr>
          <w:rFonts w:ascii="Verdana" w:hAnsi="Verdana"/>
          <w:color w:val="000000"/>
          <w:sz w:val="20"/>
          <w:szCs w:val="20"/>
        </w:rPr>
        <w:t xml:space="preserve"> </w:t>
      </w:r>
      <w:r w:rsidRPr="00AA38D6">
        <w:rPr>
          <w:rFonts w:ascii="Verdana" w:hAnsi="Verdana"/>
          <w:color w:val="000000"/>
          <w:sz w:val="20"/>
          <w:szCs w:val="20"/>
        </w:rPr>
        <w:t>Corte Interamericana” o “el Tribunal”)</w:t>
      </w:r>
      <w:r>
        <w:rPr>
          <w:rStyle w:val="Refdenotaalpie"/>
          <w:rFonts w:ascii="Verdana" w:hAnsi="Verdana"/>
          <w:color w:val="000000"/>
          <w:sz w:val="20"/>
          <w:szCs w:val="20"/>
        </w:rPr>
        <w:footnoteReference w:id="1"/>
      </w:r>
      <w:r w:rsidRPr="00AA38D6">
        <w:rPr>
          <w:rFonts w:ascii="Verdana" w:hAnsi="Verdana"/>
          <w:color w:val="000000"/>
          <w:sz w:val="20"/>
          <w:szCs w:val="20"/>
        </w:rPr>
        <w:t xml:space="preserve">. </w:t>
      </w:r>
    </w:p>
    <w:p w14:paraId="6615ECD8" w14:textId="4B1B5285" w:rsidR="00036063" w:rsidRPr="0081052D" w:rsidRDefault="00036063" w:rsidP="00036063">
      <w:pPr>
        <w:pStyle w:val="Prrafodelista"/>
        <w:numPr>
          <w:ilvl w:val="0"/>
          <w:numId w:val="2"/>
        </w:numPr>
        <w:spacing w:before="120" w:after="120"/>
        <w:ind w:left="0" w:firstLine="0"/>
        <w:jc w:val="both"/>
        <w:rPr>
          <w:rFonts w:ascii="Verdana" w:hAnsi="Verdana"/>
          <w:color w:val="000000"/>
          <w:sz w:val="20"/>
          <w:szCs w:val="20"/>
        </w:rPr>
      </w:pPr>
      <w:r>
        <w:rPr>
          <w:rFonts w:ascii="Verdana" w:hAnsi="Verdana"/>
          <w:color w:val="000000"/>
          <w:sz w:val="20"/>
          <w:szCs w:val="20"/>
        </w:rPr>
        <w:t>Los</w:t>
      </w:r>
      <w:r w:rsidRPr="00036063">
        <w:rPr>
          <w:rFonts w:ascii="Verdana" w:hAnsi="Verdana"/>
          <w:bCs/>
          <w:sz w:val="20"/>
        </w:rPr>
        <w:t xml:space="preserve"> informes </w:t>
      </w:r>
      <w:r w:rsidR="00D07DD5">
        <w:rPr>
          <w:rFonts w:ascii="Verdana" w:hAnsi="Verdana"/>
          <w:bCs/>
          <w:sz w:val="20"/>
        </w:rPr>
        <w:t xml:space="preserve">y escritos </w:t>
      </w:r>
      <w:r w:rsidRPr="00036063">
        <w:rPr>
          <w:rFonts w:ascii="Verdana" w:hAnsi="Verdana"/>
          <w:bCs/>
          <w:sz w:val="20"/>
        </w:rPr>
        <w:t xml:space="preserve">presentados por la República </w:t>
      </w:r>
      <w:r w:rsidR="009570CA">
        <w:rPr>
          <w:rFonts w:ascii="Verdana" w:hAnsi="Verdana"/>
          <w:bCs/>
          <w:sz w:val="20"/>
        </w:rPr>
        <w:t>Argentina</w:t>
      </w:r>
      <w:r w:rsidRPr="00036063">
        <w:rPr>
          <w:rFonts w:ascii="Verdana" w:hAnsi="Verdana"/>
          <w:bCs/>
          <w:sz w:val="20"/>
        </w:rPr>
        <w:t xml:space="preserve"> (en adelante “el Estado” o “</w:t>
      </w:r>
      <w:r w:rsidR="009570CA">
        <w:rPr>
          <w:rFonts w:ascii="Verdana" w:hAnsi="Verdana"/>
          <w:bCs/>
          <w:sz w:val="20"/>
        </w:rPr>
        <w:t>Argentina</w:t>
      </w:r>
      <w:r w:rsidRPr="00036063">
        <w:rPr>
          <w:rFonts w:ascii="Verdana" w:hAnsi="Verdana"/>
          <w:bCs/>
          <w:sz w:val="20"/>
        </w:rPr>
        <w:t xml:space="preserve">”) entre </w:t>
      </w:r>
      <w:r w:rsidR="009570CA">
        <w:rPr>
          <w:rFonts w:ascii="Verdana" w:hAnsi="Verdana"/>
          <w:bCs/>
          <w:sz w:val="20"/>
        </w:rPr>
        <w:t>julio de 2021</w:t>
      </w:r>
      <w:r w:rsidRPr="00036063">
        <w:rPr>
          <w:rFonts w:ascii="Verdana" w:hAnsi="Verdana"/>
          <w:bCs/>
          <w:sz w:val="20"/>
        </w:rPr>
        <w:t xml:space="preserve"> y </w:t>
      </w:r>
      <w:r w:rsidR="00BF05D1">
        <w:rPr>
          <w:rFonts w:ascii="Verdana" w:hAnsi="Verdana"/>
          <w:bCs/>
          <w:sz w:val="20"/>
        </w:rPr>
        <w:t xml:space="preserve">julio </w:t>
      </w:r>
      <w:r>
        <w:rPr>
          <w:rFonts w:ascii="Verdana" w:hAnsi="Verdana"/>
          <w:bCs/>
          <w:sz w:val="20"/>
        </w:rPr>
        <w:t>de 2022</w:t>
      </w:r>
      <w:r w:rsidRPr="00036063">
        <w:rPr>
          <w:rFonts w:ascii="Verdana" w:hAnsi="Verdana"/>
          <w:bCs/>
          <w:sz w:val="20"/>
        </w:rPr>
        <w:t xml:space="preserve">, y los escritos de observaciones presentados por </w:t>
      </w:r>
      <w:r w:rsidR="002008B3">
        <w:rPr>
          <w:rFonts w:ascii="Verdana" w:hAnsi="Verdana"/>
          <w:bCs/>
          <w:sz w:val="20"/>
        </w:rPr>
        <w:t>los</w:t>
      </w:r>
      <w:r w:rsidRPr="00036063">
        <w:rPr>
          <w:rFonts w:ascii="Verdana" w:hAnsi="Verdana"/>
          <w:bCs/>
          <w:sz w:val="20"/>
        </w:rPr>
        <w:t xml:space="preserve"> representante</w:t>
      </w:r>
      <w:r w:rsidR="002008B3">
        <w:rPr>
          <w:rFonts w:ascii="Verdana" w:hAnsi="Verdana"/>
          <w:bCs/>
          <w:sz w:val="20"/>
        </w:rPr>
        <w:t>s</w:t>
      </w:r>
      <w:r w:rsidRPr="00036063">
        <w:rPr>
          <w:rFonts w:ascii="Verdana" w:hAnsi="Verdana"/>
          <w:bCs/>
          <w:sz w:val="20"/>
        </w:rPr>
        <w:t xml:space="preserve"> de las víctimas</w:t>
      </w:r>
      <w:r w:rsidR="006F2B84">
        <w:rPr>
          <w:rFonts w:ascii="Verdana" w:hAnsi="Verdana"/>
          <w:bCs/>
          <w:sz w:val="20"/>
        </w:rPr>
        <w:t xml:space="preserve"> (en adelante “los representantes”)</w:t>
      </w:r>
      <w:r>
        <w:rPr>
          <w:rStyle w:val="Refdenotaalpie"/>
        </w:rPr>
        <w:footnoteReference w:id="2"/>
      </w:r>
      <w:r w:rsidR="00F503C8">
        <w:rPr>
          <w:rFonts w:ascii="Verdana" w:hAnsi="Verdana"/>
          <w:b/>
          <w:sz w:val="16"/>
          <w:szCs w:val="16"/>
        </w:rPr>
        <w:t xml:space="preserve"> </w:t>
      </w:r>
      <w:r w:rsidR="006F2B84">
        <w:rPr>
          <w:rFonts w:ascii="Verdana" w:hAnsi="Verdana"/>
          <w:bCs/>
          <w:sz w:val="20"/>
          <w:szCs w:val="20"/>
        </w:rPr>
        <w:t xml:space="preserve">entre abril de 2021 </w:t>
      </w:r>
      <w:r w:rsidRPr="00036063">
        <w:rPr>
          <w:rFonts w:ascii="Verdana" w:hAnsi="Verdana"/>
          <w:bCs/>
          <w:sz w:val="20"/>
        </w:rPr>
        <w:t>y</w:t>
      </w:r>
      <w:r w:rsidR="006F2B84" w:rsidRPr="006F2B84">
        <w:rPr>
          <w:rFonts w:ascii="Verdana" w:hAnsi="Verdana"/>
          <w:bCs/>
          <w:sz w:val="20"/>
          <w:szCs w:val="20"/>
        </w:rPr>
        <w:t xml:space="preserve"> </w:t>
      </w:r>
      <w:r w:rsidR="006F2B84">
        <w:rPr>
          <w:rFonts w:ascii="Verdana" w:hAnsi="Verdana"/>
          <w:bCs/>
          <w:sz w:val="20"/>
          <w:szCs w:val="20"/>
        </w:rPr>
        <w:t>julio de 2022.</w:t>
      </w:r>
      <w:r w:rsidRPr="00036063">
        <w:rPr>
          <w:rFonts w:ascii="Verdana" w:hAnsi="Verdana"/>
          <w:bCs/>
          <w:sz w:val="20"/>
        </w:rPr>
        <w:t xml:space="preserve"> </w:t>
      </w:r>
      <w:r w:rsidR="006F2B84">
        <w:rPr>
          <w:rFonts w:ascii="Verdana" w:hAnsi="Verdana"/>
          <w:bCs/>
          <w:sz w:val="20"/>
        </w:rPr>
        <w:t>L</w:t>
      </w:r>
      <w:r w:rsidRPr="00036063">
        <w:rPr>
          <w:rFonts w:ascii="Verdana" w:hAnsi="Verdana"/>
          <w:bCs/>
          <w:sz w:val="20"/>
        </w:rPr>
        <w:t>a Comisión Interamericana de Derechos Humanos</w:t>
      </w:r>
      <w:r w:rsidR="006F2B84">
        <w:rPr>
          <w:rFonts w:ascii="Verdana" w:hAnsi="Verdana"/>
          <w:bCs/>
          <w:sz w:val="20"/>
        </w:rPr>
        <w:t xml:space="preserve"> no ha presentado observaciones</w:t>
      </w:r>
      <w:r w:rsidRPr="00036063">
        <w:rPr>
          <w:rFonts w:ascii="Verdana" w:hAnsi="Verdana"/>
          <w:bCs/>
          <w:sz w:val="20"/>
        </w:rPr>
        <w:t xml:space="preserve">. </w:t>
      </w:r>
    </w:p>
    <w:p w14:paraId="3BE40C35" w14:textId="366355B3" w:rsidR="00ED53EC" w:rsidRPr="00036063" w:rsidRDefault="00ED53EC" w:rsidP="00036063">
      <w:pPr>
        <w:pStyle w:val="Prrafodelista"/>
        <w:numPr>
          <w:ilvl w:val="0"/>
          <w:numId w:val="2"/>
        </w:numPr>
        <w:spacing w:before="120" w:after="120"/>
        <w:ind w:left="0" w:firstLine="0"/>
        <w:jc w:val="both"/>
        <w:rPr>
          <w:rFonts w:ascii="Verdana" w:hAnsi="Verdana"/>
          <w:color w:val="000000"/>
          <w:sz w:val="20"/>
          <w:szCs w:val="20"/>
        </w:rPr>
      </w:pPr>
      <w:r>
        <w:rPr>
          <w:rFonts w:ascii="Verdana" w:hAnsi="Verdana"/>
          <w:bCs/>
          <w:sz w:val="20"/>
        </w:rPr>
        <w:t>Las notas de la Secretarías de la Corte Interamericana de 22 de diciembre de 2021 y 5 de enero de 2022 (</w:t>
      </w:r>
      <w:r w:rsidRPr="0081052D">
        <w:rPr>
          <w:rFonts w:ascii="Verdana" w:hAnsi="Verdana"/>
          <w:bCs/>
          <w:i/>
          <w:iCs/>
          <w:sz w:val="20"/>
        </w:rPr>
        <w:t>infra</w:t>
      </w:r>
      <w:r>
        <w:rPr>
          <w:rFonts w:ascii="Verdana" w:hAnsi="Verdana"/>
          <w:bCs/>
          <w:sz w:val="20"/>
        </w:rPr>
        <w:t xml:space="preserve"> Considerando 7)</w:t>
      </w:r>
    </w:p>
    <w:p w14:paraId="0B61510A" w14:textId="77777777" w:rsidR="00115208" w:rsidRPr="00350154" w:rsidRDefault="00115208" w:rsidP="00115208">
      <w:pPr>
        <w:pStyle w:val="Prrafodelista"/>
        <w:spacing w:before="120" w:after="120"/>
        <w:ind w:left="0"/>
        <w:jc w:val="both"/>
        <w:rPr>
          <w:rFonts w:ascii="Verdana" w:hAnsi="Verdana"/>
          <w:color w:val="000000"/>
          <w:sz w:val="20"/>
          <w:szCs w:val="20"/>
        </w:rPr>
      </w:pPr>
    </w:p>
    <w:p w14:paraId="2F6E93D2" w14:textId="77777777" w:rsidR="00115208" w:rsidRPr="00E2565E" w:rsidRDefault="00115208" w:rsidP="00115208">
      <w:pPr>
        <w:pStyle w:val="Prrafodelista"/>
        <w:spacing w:before="120" w:after="120"/>
        <w:ind w:left="0"/>
        <w:jc w:val="both"/>
        <w:rPr>
          <w:rFonts w:ascii="Verdana" w:hAnsi="Verdana"/>
          <w:b/>
          <w:sz w:val="20"/>
        </w:rPr>
      </w:pPr>
      <w:r w:rsidRPr="00E2565E">
        <w:rPr>
          <w:rFonts w:ascii="Verdana" w:hAnsi="Verdana"/>
          <w:b/>
          <w:sz w:val="20"/>
        </w:rPr>
        <w:t xml:space="preserve">CONSIDERANDO QUE: </w:t>
      </w:r>
    </w:p>
    <w:p w14:paraId="1CEE4F76" w14:textId="5606753A" w:rsidR="00BD3923" w:rsidRPr="00703019" w:rsidRDefault="00115208" w:rsidP="00B04CF1">
      <w:pPr>
        <w:pStyle w:val="Prrafodelista"/>
        <w:numPr>
          <w:ilvl w:val="0"/>
          <w:numId w:val="4"/>
        </w:numPr>
        <w:spacing w:before="120" w:after="120"/>
        <w:ind w:left="0" w:firstLine="0"/>
        <w:jc w:val="both"/>
        <w:rPr>
          <w:rFonts w:ascii="Verdana" w:hAnsi="Verdana"/>
          <w:sz w:val="20"/>
          <w:szCs w:val="20"/>
        </w:rPr>
      </w:pPr>
      <w:r w:rsidRPr="00E2565E">
        <w:rPr>
          <w:rFonts w:ascii="Verdana" w:hAnsi="Verdana"/>
          <w:sz w:val="20"/>
        </w:rPr>
        <w:t>La Corte ha venido supervisando la ejecución de la Sentencia</w:t>
      </w:r>
      <w:r w:rsidRPr="00E2565E">
        <w:rPr>
          <w:rStyle w:val="Refdenotaalpie"/>
          <w:rFonts w:ascii="Verdana" w:hAnsi="Verdana"/>
          <w:sz w:val="20"/>
        </w:rPr>
        <w:footnoteReference w:id="3"/>
      </w:r>
      <w:r w:rsidRPr="00E2565E">
        <w:rPr>
          <w:rFonts w:ascii="Verdana" w:hAnsi="Verdana"/>
          <w:sz w:val="20"/>
        </w:rPr>
        <w:t xml:space="preserve"> (</w:t>
      </w:r>
      <w:r w:rsidRPr="00E2565E">
        <w:rPr>
          <w:rFonts w:ascii="Verdana" w:hAnsi="Verdana"/>
          <w:i/>
          <w:sz w:val="20"/>
        </w:rPr>
        <w:t>supra</w:t>
      </w:r>
      <w:r w:rsidRPr="00E2565E">
        <w:rPr>
          <w:rFonts w:ascii="Verdana" w:hAnsi="Verdana"/>
          <w:sz w:val="20"/>
        </w:rPr>
        <w:t xml:space="preserve"> Visto 1),</w:t>
      </w:r>
      <w:r w:rsidRPr="00E2565E">
        <w:rPr>
          <w:rFonts w:ascii="Verdana" w:hAnsi="Verdana"/>
          <w:bCs/>
          <w:sz w:val="20"/>
          <w:szCs w:val="20"/>
        </w:rPr>
        <w:t xml:space="preserve"> en la cual dispuso </w:t>
      </w:r>
      <w:r w:rsidR="00926FBE">
        <w:rPr>
          <w:rFonts w:ascii="Verdana" w:hAnsi="Verdana"/>
          <w:bCs/>
          <w:sz w:val="20"/>
          <w:szCs w:val="20"/>
        </w:rPr>
        <w:t>tres</w:t>
      </w:r>
      <w:r w:rsidR="001B1856">
        <w:rPr>
          <w:rFonts w:ascii="Verdana" w:hAnsi="Verdana"/>
          <w:bCs/>
          <w:sz w:val="20"/>
          <w:szCs w:val="20"/>
        </w:rPr>
        <w:t xml:space="preserve"> medidas de reparación</w:t>
      </w:r>
      <w:r w:rsidR="00926FBE">
        <w:rPr>
          <w:rFonts w:ascii="Verdana" w:hAnsi="Verdana"/>
          <w:bCs/>
          <w:sz w:val="20"/>
          <w:szCs w:val="20"/>
        </w:rPr>
        <w:t xml:space="preserve">. </w:t>
      </w:r>
      <w:r w:rsidR="00913257" w:rsidRPr="00913257">
        <w:rPr>
          <w:rFonts w:ascii="Verdana" w:hAnsi="Verdana"/>
          <w:sz w:val="20"/>
          <w:szCs w:val="20"/>
        </w:rPr>
        <w:t xml:space="preserve">En esta Resolución la Corte valorará la información sobre las medidas relativas a la publicación y difusión de la Sentencia y </w:t>
      </w:r>
      <w:r w:rsidR="006F2B84">
        <w:rPr>
          <w:rFonts w:ascii="Verdana" w:hAnsi="Verdana"/>
          <w:sz w:val="20"/>
          <w:szCs w:val="20"/>
        </w:rPr>
        <w:t xml:space="preserve">al </w:t>
      </w:r>
      <w:r w:rsidR="00913257" w:rsidRPr="00913257">
        <w:rPr>
          <w:rFonts w:ascii="Verdana" w:hAnsi="Verdana"/>
          <w:sz w:val="20"/>
          <w:szCs w:val="20"/>
        </w:rPr>
        <w:t xml:space="preserve">pago de </w:t>
      </w:r>
      <w:r w:rsidR="00926FBE">
        <w:rPr>
          <w:rFonts w:ascii="Verdana" w:hAnsi="Verdana"/>
          <w:sz w:val="20"/>
          <w:szCs w:val="20"/>
        </w:rPr>
        <w:t>la</w:t>
      </w:r>
      <w:r w:rsidR="004C1260">
        <w:rPr>
          <w:rFonts w:ascii="Verdana" w:hAnsi="Verdana"/>
          <w:sz w:val="20"/>
          <w:szCs w:val="20"/>
        </w:rPr>
        <w:t>s</w:t>
      </w:r>
      <w:r w:rsidR="00926FBE">
        <w:rPr>
          <w:rFonts w:ascii="Verdana" w:hAnsi="Verdana"/>
          <w:sz w:val="20"/>
          <w:szCs w:val="20"/>
        </w:rPr>
        <w:t xml:space="preserve"> </w:t>
      </w:r>
      <w:r w:rsidR="00913257" w:rsidRPr="00913257">
        <w:rPr>
          <w:rFonts w:ascii="Verdana" w:hAnsi="Verdana"/>
          <w:sz w:val="20"/>
          <w:szCs w:val="20"/>
        </w:rPr>
        <w:t>indemnizaci</w:t>
      </w:r>
      <w:r w:rsidR="004C1260">
        <w:rPr>
          <w:rFonts w:ascii="Verdana" w:hAnsi="Verdana"/>
          <w:sz w:val="20"/>
          <w:szCs w:val="20"/>
        </w:rPr>
        <w:t>ones</w:t>
      </w:r>
      <w:r w:rsidR="006F2B84">
        <w:rPr>
          <w:rFonts w:ascii="Verdana" w:hAnsi="Verdana"/>
          <w:sz w:val="20"/>
          <w:szCs w:val="20"/>
        </w:rPr>
        <w:t xml:space="preserve"> por concepto de daño inmaterial</w:t>
      </w:r>
      <w:r w:rsidR="004C1260">
        <w:rPr>
          <w:rFonts w:ascii="Verdana" w:hAnsi="Verdana"/>
          <w:sz w:val="20"/>
          <w:szCs w:val="20"/>
        </w:rPr>
        <w:t>.</w:t>
      </w:r>
      <w:r w:rsidR="00913257" w:rsidRPr="00913257">
        <w:rPr>
          <w:rFonts w:ascii="Verdana" w:hAnsi="Verdana"/>
          <w:sz w:val="20"/>
          <w:szCs w:val="20"/>
        </w:rPr>
        <w:t xml:space="preserve"> </w:t>
      </w:r>
      <w:r w:rsidR="0019120E">
        <w:rPr>
          <w:rFonts w:ascii="Verdana" w:hAnsi="Verdana"/>
          <w:sz w:val="20"/>
          <w:szCs w:val="20"/>
        </w:rPr>
        <w:t>En otra resolución</w:t>
      </w:r>
      <w:r w:rsidR="00002B2F">
        <w:rPr>
          <w:rFonts w:ascii="Verdana" w:hAnsi="Verdana"/>
          <w:sz w:val="20"/>
          <w:szCs w:val="20"/>
        </w:rPr>
        <w:t>, emitida el día de hoy,</w:t>
      </w:r>
      <w:r w:rsidR="0019120E">
        <w:rPr>
          <w:rFonts w:ascii="Verdana" w:hAnsi="Verdana"/>
          <w:sz w:val="20"/>
          <w:szCs w:val="20"/>
        </w:rPr>
        <w:t xml:space="preserve"> </w:t>
      </w:r>
      <w:r w:rsidR="00002B2F">
        <w:rPr>
          <w:rFonts w:ascii="Verdana" w:hAnsi="Verdana"/>
          <w:sz w:val="20"/>
          <w:szCs w:val="20"/>
        </w:rPr>
        <w:t xml:space="preserve">la Corte ha </w:t>
      </w:r>
      <w:r w:rsidR="0019120E">
        <w:rPr>
          <w:rFonts w:ascii="Verdana" w:hAnsi="Verdana"/>
          <w:sz w:val="20"/>
          <w:szCs w:val="20"/>
        </w:rPr>
        <w:t>valorad</w:t>
      </w:r>
      <w:r w:rsidR="00002B2F">
        <w:rPr>
          <w:rFonts w:ascii="Verdana" w:hAnsi="Verdana"/>
          <w:sz w:val="20"/>
          <w:szCs w:val="20"/>
        </w:rPr>
        <w:t>o</w:t>
      </w:r>
      <w:r w:rsidR="0019120E">
        <w:rPr>
          <w:rFonts w:ascii="Verdana" w:hAnsi="Verdana"/>
          <w:sz w:val="20"/>
          <w:szCs w:val="20"/>
        </w:rPr>
        <w:t xml:space="preserve"> l</w:t>
      </w:r>
      <w:r w:rsidR="00703019" w:rsidRPr="00703019">
        <w:rPr>
          <w:rFonts w:ascii="Verdana" w:hAnsi="Verdana"/>
          <w:sz w:val="20"/>
          <w:szCs w:val="20"/>
        </w:rPr>
        <w:t>a</w:t>
      </w:r>
      <w:r w:rsidR="00703019">
        <w:rPr>
          <w:rFonts w:ascii="Verdana" w:hAnsi="Verdana"/>
          <w:sz w:val="20"/>
          <w:szCs w:val="20"/>
        </w:rPr>
        <w:t xml:space="preserve"> </w:t>
      </w:r>
      <w:r w:rsidR="00703019" w:rsidRPr="00703019">
        <w:rPr>
          <w:rFonts w:ascii="Verdana" w:hAnsi="Verdana"/>
          <w:sz w:val="20"/>
          <w:szCs w:val="20"/>
        </w:rPr>
        <w:t>información aportada por las partes respecto de la garantía de no repetición relativa a adecuar</w:t>
      </w:r>
      <w:r w:rsidR="00703019">
        <w:rPr>
          <w:rFonts w:ascii="Verdana" w:hAnsi="Verdana"/>
          <w:sz w:val="20"/>
          <w:szCs w:val="20"/>
        </w:rPr>
        <w:t xml:space="preserve"> </w:t>
      </w:r>
      <w:r w:rsidR="00CC799B">
        <w:rPr>
          <w:rFonts w:ascii="Verdana" w:hAnsi="Verdana"/>
          <w:sz w:val="20"/>
          <w:szCs w:val="20"/>
        </w:rPr>
        <w:t>el</w:t>
      </w:r>
      <w:r w:rsidR="00703019" w:rsidRPr="00703019">
        <w:rPr>
          <w:rFonts w:ascii="Verdana" w:hAnsi="Verdana"/>
          <w:sz w:val="20"/>
          <w:szCs w:val="20"/>
        </w:rPr>
        <w:t xml:space="preserve"> ordenamiento jurídico interno a los</w:t>
      </w:r>
      <w:r w:rsidR="00703019">
        <w:rPr>
          <w:rFonts w:ascii="Verdana" w:hAnsi="Verdana"/>
          <w:sz w:val="20"/>
          <w:szCs w:val="20"/>
        </w:rPr>
        <w:t xml:space="preserve"> </w:t>
      </w:r>
      <w:r w:rsidR="00703019" w:rsidRPr="00703019">
        <w:rPr>
          <w:rFonts w:ascii="Verdana" w:hAnsi="Verdana"/>
          <w:sz w:val="20"/>
          <w:szCs w:val="20"/>
        </w:rPr>
        <w:t>parámetros establecidos en la Sentencia sobre el derecho a recurrir del fallo ante el</w:t>
      </w:r>
      <w:r w:rsidR="00703019">
        <w:rPr>
          <w:rFonts w:ascii="Verdana" w:hAnsi="Verdana"/>
          <w:sz w:val="20"/>
          <w:szCs w:val="20"/>
        </w:rPr>
        <w:t xml:space="preserve"> </w:t>
      </w:r>
      <w:r w:rsidR="00703019" w:rsidRPr="00703019">
        <w:rPr>
          <w:rFonts w:ascii="Verdana" w:hAnsi="Verdana"/>
          <w:sz w:val="20"/>
          <w:szCs w:val="20"/>
        </w:rPr>
        <w:t>juez o tribunal superior</w:t>
      </w:r>
      <w:r w:rsidR="00002B2F">
        <w:rPr>
          <w:rFonts w:ascii="Verdana" w:hAnsi="Verdana"/>
          <w:sz w:val="20"/>
          <w:szCs w:val="20"/>
        </w:rPr>
        <w:t>, lo cual fue realizado de forma conjunta con otros dos casos en que se ordenaron garantías de no repetición similares</w:t>
      </w:r>
      <w:r w:rsidR="0019120E">
        <w:rPr>
          <w:rFonts w:ascii="Verdana" w:hAnsi="Verdana"/>
          <w:sz w:val="20"/>
          <w:szCs w:val="20"/>
        </w:rPr>
        <w:t>.</w:t>
      </w:r>
      <w:r w:rsidRPr="00703019">
        <w:rPr>
          <w:rFonts w:ascii="Verdana" w:hAnsi="Verdana"/>
          <w:sz w:val="20"/>
          <w:szCs w:val="20"/>
        </w:rPr>
        <w:t xml:space="preserve"> </w:t>
      </w:r>
    </w:p>
    <w:p w14:paraId="6DDC0B8E" w14:textId="67FF9087" w:rsidR="00844E83" w:rsidRPr="008262A8" w:rsidRDefault="00BD3923" w:rsidP="008262A8">
      <w:pPr>
        <w:pStyle w:val="Ttulo1"/>
        <w:numPr>
          <w:ilvl w:val="0"/>
          <w:numId w:val="33"/>
        </w:numPr>
        <w:jc w:val="both"/>
        <w:rPr>
          <w:rFonts w:ascii="Verdana" w:hAnsi="Verdana"/>
          <w:b/>
          <w:bCs/>
          <w:i/>
          <w:iCs/>
          <w:color w:val="000000" w:themeColor="text1"/>
          <w:sz w:val="20"/>
        </w:rPr>
      </w:pPr>
      <w:bookmarkStart w:id="0" w:name="_Toc100140730"/>
      <w:r>
        <w:rPr>
          <w:rFonts w:ascii="Verdana" w:hAnsi="Verdana"/>
          <w:b/>
          <w:bCs/>
          <w:i/>
          <w:iCs/>
          <w:color w:val="000000" w:themeColor="text1"/>
          <w:sz w:val="20"/>
        </w:rPr>
        <w:lastRenderedPageBreak/>
        <w:t>Publicación de la Sentencia y su resumen oficial</w:t>
      </w:r>
      <w:bookmarkEnd w:id="0"/>
    </w:p>
    <w:p w14:paraId="2D85A13D" w14:textId="3E1F0C54" w:rsidR="00844E83" w:rsidRDefault="00340CCD" w:rsidP="00DB2CCE">
      <w:pPr>
        <w:pStyle w:val="Prrafodelista"/>
        <w:numPr>
          <w:ilvl w:val="0"/>
          <w:numId w:val="4"/>
        </w:numPr>
        <w:spacing w:before="120" w:after="120"/>
        <w:ind w:left="0" w:firstLine="0"/>
        <w:jc w:val="both"/>
        <w:rPr>
          <w:rFonts w:ascii="Verdana" w:hAnsi="Verdana"/>
          <w:sz w:val="20"/>
          <w:szCs w:val="20"/>
        </w:rPr>
      </w:pPr>
      <w:r w:rsidRPr="00340CCD">
        <w:rPr>
          <w:rFonts w:ascii="Verdana" w:hAnsi="Verdana"/>
          <w:sz w:val="20"/>
          <w:szCs w:val="20"/>
        </w:rPr>
        <w:t>Con base en</w:t>
      </w:r>
      <w:r w:rsidR="00CC799B">
        <w:rPr>
          <w:rFonts w:ascii="Verdana" w:hAnsi="Verdana"/>
          <w:sz w:val="20"/>
          <w:szCs w:val="20"/>
        </w:rPr>
        <w:t xml:space="preserve"> la información y</w:t>
      </w:r>
      <w:r w:rsidRPr="00340CCD">
        <w:rPr>
          <w:rFonts w:ascii="Verdana" w:hAnsi="Verdana"/>
          <w:sz w:val="20"/>
          <w:szCs w:val="20"/>
        </w:rPr>
        <w:t xml:space="preserve"> los comprobantes aportados por el Estado</w:t>
      </w:r>
      <w:r w:rsidRPr="00D235A6">
        <w:rPr>
          <w:rFonts w:ascii="Verdana" w:hAnsi="Verdana"/>
          <w:sz w:val="20"/>
          <w:szCs w:val="20"/>
        </w:rPr>
        <w:t xml:space="preserve">, </w:t>
      </w:r>
      <w:r w:rsidR="00761BE0" w:rsidRPr="00D235A6">
        <w:rPr>
          <w:rFonts w:ascii="Verdana" w:hAnsi="Verdana"/>
          <w:sz w:val="20"/>
          <w:szCs w:val="20"/>
        </w:rPr>
        <w:t xml:space="preserve">y lo observado por </w:t>
      </w:r>
      <w:r w:rsidR="00CC799B" w:rsidRPr="00D235A6">
        <w:rPr>
          <w:rFonts w:ascii="Verdana" w:hAnsi="Verdana"/>
          <w:sz w:val="20"/>
          <w:szCs w:val="20"/>
        </w:rPr>
        <w:t>los representantes</w:t>
      </w:r>
      <w:r w:rsidR="00CC799B" w:rsidRPr="00D235A6">
        <w:rPr>
          <w:rStyle w:val="Refdenotaalpie"/>
          <w:rFonts w:ascii="Verdana" w:hAnsi="Verdana"/>
          <w:sz w:val="20"/>
          <w:szCs w:val="20"/>
        </w:rPr>
        <w:footnoteReference w:id="4"/>
      </w:r>
      <w:r w:rsidR="00CC799B" w:rsidRPr="00D235A6">
        <w:rPr>
          <w:rFonts w:ascii="Verdana" w:hAnsi="Verdana"/>
          <w:sz w:val="20"/>
          <w:szCs w:val="20"/>
        </w:rPr>
        <w:t xml:space="preserve">, </w:t>
      </w:r>
      <w:r w:rsidRPr="00340CCD">
        <w:rPr>
          <w:rFonts w:ascii="Verdana" w:hAnsi="Verdana"/>
          <w:sz w:val="20"/>
          <w:szCs w:val="20"/>
        </w:rPr>
        <w:t xml:space="preserve">la Corte </w:t>
      </w:r>
      <w:r w:rsidRPr="006D27D7">
        <w:rPr>
          <w:rFonts w:ascii="Verdana" w:hAnsi="Verdana"/>
          <w:sz w:val="20"/>
          <w:szCs w:val="20"/>
        </w:rPr>
        <w:t xml:space="preserve">considera que </w:t>
      </w:r>
      <w:r w:rsidR="00CC799B">
        <w:rPr>
          <w:rFonts w:ascii="Verdana" w:hAnsi="Verdana"/>
          <w:sz w:val="20"/>
          <w:szCs w:val="20"/>
        </w:rPr>
        <w:t>Argentina</w:t>
      </w:r>
      <w:r w:rsidR="00CC799B" w:rsidRPr="006D27D7">
        <w:rPr>
          <w:rFonts w:ascii="Verdana" w:hAnsi="Verdana"/>
          <w:sz w:val="20"/>
          <w:szCs w:val="20"/>
        </w:rPr>
        <w:t xml:space="preserve"> </w:t>
      </w:r>
      <w:r w:rsidRPr="006D27D7">
        <w:rPr>
          <w:rFonts w:ascii="Verdana" w:hAnsi="Verdana"/>
          <w:sz w:val="20"/>
          <w:szCs w:val="20"/>
        </w:rPr>
        <w:t xml:space="preserve">ha dado cumplimiento a las medidas relativas a </w:t>
      </w:r>
      <w:r w:rsidR="003A795A">
        <w:rPr>
          <w:rFonts w:ascii="Verdana" w:hAnsi="Verdana"/>
          <w:sz w:val="20"/>
          <w:szCs w:val="20"/>
        </w:rPr>
        <w:t>la</w:t>
      </w:r>
      <w:r w:rsidRPr="006D27D7">
        <w:rPr>
          <w:rFonts w:ascii="Verdana" w:hAnsi="Verdana"/>
          <w:sz w:val="20"/>
          <w:szCs w:val="20"/>
        </w:rPr>
        <w:t xml:space="preserve"> publicación y difusión</w:t>
      </w:r>
      <w:r w:rsidR="005B6B4A">
        <w:rPr>
          <w:rFonts w:ascii="Verdana" w:hAnsi="Verdana"/>
          <w:sz w:val="20"/>
          <w:szCs w:val="20"/>
        </w:rPr>
        <w:t xml:space="preserve"> de la </w:t>
      </w:r>
      <w:r w:rsidR="00104A70">
        <w:rPr>
          <w:rFonts w:ascii="Verdana" w:hAnsi="Verdana"/>
          <w:sz w:val="20"/>
          <w:szCs w:val="20"/>
        </w:rPr>
        <w:t xml:space="preserve">Sentencia </w:t>
      </w:r>
      <w:r w:rsidR="005B6B4A">
        <w:rPr>
          <w:rFonts w:ascii="Verdana" w:hAnsi="Verdana"/>
          <w:sz w:val="20"/>
          <w:szCs w:val="20"/>
        </w:rPr>
        <w:t>y de su resumen oficial</w:t>
      </w:r>
      <w:r w:rsidRPr="006D27D7">
        <w:rPr>
          <w:rFonts w:ascii="Verdana" w:hAnsi="Verdana"/>
          <w:sz w:val="20"/>
          <w:szCs w:val="20"/>
        </w:rPr>
        <w:t xml:space="preserve">, ordenadas en su punto </w:t>
      </w:r>
      <w:r w:rsidR="005B6B4A">
        <w:rPr>
          <w:rFonts w:ascii="Verdana" w:hAnsi="Verdana"/>
          <w:sz w:val="20"/>
          <w:szCs w:val="20"/>
        </w:rPr>
        <w:t>resolutivo</w:t>
      </w:r>
      <w:r w:rsidR="005B6B4A" w:rsidRPr="006D27D7">
        <w:rPr>
          <w:rFonts w:ascii="Verdana" w:hAnsi="Verdana"/>
          <w:sz w:val="20"/>
          <w:szCs w:val="20"/>
        </w:rPr>
        <w:t xml:space="preserve"> </w:t>
      </w:r>
      <w:r w:rsidR="00D367A9" w:rsidRPr="006D27D7">
        <w:rPr>
          <w:rFonts w:ascii="Verdana" w:hAnsi="Verdana"/>
          <w:sz w:val="20"/>
          <w:szCs w:val="20"/>
        </w:rPr>
        <w:t>tercero</w:t>
      </w:r>
      <w:r w:rsidRPr="00340CCD">
        <w:rPr>
          <w:rFonts w:ascii="Verdana" w:hAnsi="Verdana"/>
          <w:sz w:val="20"/>
          <w:szCs w:val="20"/>
        </w:rPr>
        <w:t xml:space="preserve"> y en </w:t>
      </w:r>
      <w:r w:rsidR="003A795A">
        <w:rPr>
          <w:rFonts w:ascii="Verdana" w:hAnsi="Verdana"/>
          <w:sz w:val="20"/>
          <w:szCs w:val="20"/>
        </w:rPr>
        <w:t>el</w:t>
      </w:r>
      <w:r w:rsidRPr="00340CCD">
        <w:rPr>
          <w:rFonts w:ascii="Verdana" w:hAnsi="Verdana"/>
          <w:sz w:val="20"/>
          <w:szCs w:val="20"/>
        </w:rPr>
        <w:t xml:space="preserve"> párrafo </w:t>
      </w:r>
      <w:r w:rsidR="00D367A9">
        <w:rPr>
          <w:rFonts w:ascii="Verdana" w:hAnsi="Verdana"/>
          <w:sz w:val="20"/>
          <w:szCs w:val="20"/>
        </w:rPr>
        <w:t>63</w:t>
      </w:r>
      <w:r w:rsidR="003A795A">
        <w:rPr>
          <w:rFonts w:ascii="Verdana" w:hAnsi="Verdana"/>
          <w:sz w:val="20"/>
          <w:szCs w:val="20"/>
        </w:rPr>
        <w:t xml:space="preserve"> de la misma</w:t>
      </w:r>
      <w:r w:rsidRPr="00340CCD">
        <w:rPr>
          <w:rFonts w:ascii="Verdana" w:hAnsi="Verdana"/>
          <w:sz w:val="20"/>
          <w:szCs w:val="20"/>
        </w:rPr>
        <w:t>, ya que ha constatado que</w:t>
      </w:r>
      <w:r>
        <w:rPr>
          <w:rFonts w:ascii="Verdana" w:hAnsi="Verdana"/>
          <w:sz w:val="20"/>
          <w:szCs w:val="20"/>
        </w:rPr>
        <w:t xml:space="preserve"> </w:t>
      </w:r>
      <w:r w:rsidRPr="00340CCD">
        <w:rPr>
          <w:rFonts w:ascii="Verdana" w:hAnsi="Verdana"/>
          <w:sz w:val="20"/>
          <w:szCs w:val="20"/>
        </w:rPr>
        <w:t xml:space="preserve">publicó: i) el resumen oficial de la Sentencia elaborado por la Corte en </w:t>
      </w:r>
      <w:r w:rsidR="00F51AC0">
        <w:rPr>
          <w:rFonts w:ascii="Verdana" w:hAnsi="Verdana"/>
          <w:sz w:val="20"/>
          <w:szCs w:val="20"/>
        </w:rPr>
        <w:t xml:space="preserve">el </w:t>
      </w:r>
      <w:r w:rsidR="00F51AC0" w:rsidRPr="00F51AC0">
        <w:rPr>
          <w:rFonts w:ascii="Verdana" w:hAnsi="Verdana"/>
          <w:sz w:val="20"/>
          <w:szCs w:val="20"/>
        </w:rPr>
        <w:t>Boletín Oficial de la República Argentina</w:t>
      </w:r>
      <w:r w:rsidR="00971118">
        <w:rPr>
          <w:rStyle w:val="Refdenotaalpie"/>
          <w:rFonts w:ascii="Verdana" w:hAnsi="Verdana"/>
          <w:sz w:val="20"/>
          <w:szCs w:val="20"/>
        </w:rPr>
        <w:footnoteReference w:id="5"/>
      </w:r>
      <w:r w:rsidR="00F51AC0">
        <w:rPr>
          <w:rFonts w:ascii="Verdana" w:hAnsi="Verdana"/>
          <w:sz w:val="20"/>
          <w:szCs w:val="20"/>
        </w:rPr>
        <w:t>;</w:t>
      </w:r>
      <w:r w:rsidRPr="00340CCD">
        <w:rPr>
          <w:rFonts w:ascii="Verdana" w:hAnsi="Verdana"/>
          <w:sz w:val="20"/>
          <w:szCs w:val="20"/>
        </w:rPr>
        <w:t xml:space="preserve"> ii)</w:t>
      </w:r>
      <w:r w:rsidR="00F51AC0">
        <w:rPr>
          <w:rFonts w:ascii="Verdana" w:hAnsi="Verdana"/>
          <w:sz w:val="20"/>
          <w:szCs w:val="20"/>
        </w:rPr>
        <w:t xml:space="preserve"> </w:t>
      </w:r>
      <w:r w:rsidR="00F51AC0" w:rsidRPr="00340CCD">
        <w:rPr>
          <w:rFonts w:ascii="Verdana" w:hAnsi="Verdana"/>
          <w:sz w:val="20"/>
          <w:szCs w:val="20"/>
        </w:rPr>
        <w:t xml:space="preserve">el resumen oficial de la Sentencia elaborado por la Corte </w:t>
      </w:r>
      <w:r w:rsidR="00D41EA0" w:rsidRPr="00D41EA0">
        <w:rPr>
          <w:rFonts w:ascii="Verdana" w:hAnsi="Verdana"/>
          <w:sz w:val="20"/>
          <w:szCs w:val="20"/>
        </w:rPr>
        <w:t xml:space="preserve">en </w:t>
      </w:r>
      <w:r w:rsidR="00CE4640">
        <w:rPr>
          <w:rFonts w:ascii="Verdana" w:hAnsi="Verdana"/>
          <w:sz w:val="20"/>
          <w:szCs w:val="20"/>
        </w:rPr>
        <w:t>el</w:t>
      </w:r>
      <w:r w:rsidR="00D41EA0" w:rsidRPr="00D41EA0">
        <w:rPr>
          <w:rFonts w:ascii="Verdana" w:hAnsi="Verdana"/>
          <w:sz w:val="20"/>
          <w:szCs w:val="20"/>
        </w:rPr>
        <w:t xml:space="preserve"> diario</w:t>
      </w:r>
      <w:r w:rsidR="00542CC0">
        <w:rPr>
          <w:rFonts w:ascii="Verdana" w:hAnsi="Verdana"/>
          <w:sz w:val="20"/>
          <w:szCs w:val="20"/>
        </w:rPr>
        <w:t xml:space="preserve"> “La Voz”</w:t>
      </w:r>
      <w:r w:rsidR="00104A70">
        <w:rPr>
          <w:rFonts w:ascii="Verdana" w:hAnsi="Verdana"/>
          <w:sz w:val="20"/>
          <w:szCs w:val="20"/>
        </w:rPr>
        <w:t>,</w:t>
      </w:r>
      <w:r w:rsidR="00D41EA0" w:rsidRPr="00D41EA0">
        <w:rPr>
          <w:rFonts w:ascii="Verdana" w:hAnsi="Verdana"/>
          <w:sz w:val="20"/>
          <w:szCs w:val="20"/>
        </w:rPr>
        <w:t xml:space="preserve"> </w:t>
      </w:r>
      <w:r w:rsidR="00542CC0">
        <w:rPr>
          <w:rFonts w:ascii="Verdana" w:hAnsi="Verdana"/>
          <w:sz w:val="20"/>
          <w:szCs w:val="20"/>
        </w:rPr>
        <w:t xml:space="preserve">con </w:t>
      </w:r>
      <w:r w:rsidR="00D41EA0" w:rsidRPr="00D41EA0">
        <w:rPr>
          <w:rFonts w:ascii="Verdana" w:hAnsi="Verdana"/>
          <w:sz w:val="20"/>
          <w:szCs w:val="20"/>
        </w:rPr>
        <w:t>circulación en la provincia de Córdoba</w:t>
      </w:r>
      <w:r w:rsidR="00F51AC0">
        <w:rPr>
          <w:rStyle w:val="Refdenotaalpie"/>
          <w:rFonts w:ascii="Verdana" w:hAnsi="Verdana"/>
          <w:sz w:val="20"/>
          <w:szCs w:val="20"/>
        </w:rPr>
        <w:footnoteReference w:id="6"/>
      </w:r>
      <w:r w:rsidR="00F51AC0" w:rsidRPr="00D41EA0">
        <w:rPr>
          <w:rFonts w:ascii="Verdana" w:hAnsi="Verdana"/>
          <w:sz w:val="20"/>
          <w:szCs w:val="20"/>
        </w:rPr>
        <w:t>, y iii)</w:t>
      </w:r>
      <w:r w:rsidRPr="00D41EA0">
        <w:rPr>
          <w:rFonts w:ascii="Verdana" w:hAnsi="Verdana"/>
          <w:sz w:val="20"/>
          <w:szCs w:val="20"/>
        </w:rPr>
        <w:t xml:space="preserve"> el texto completo de la Sentencia en la página </w:t>
      </w:r>
      <w:r w:rsidRPr="00D235A6">
        <w:rPr>
          <w:rFonts w:ascii="Verdana" w:hAnsi="Verdana"/>
          <w:i/>
          <w:iCs/>
          <w:sz w:val="20"/>
          <w:szCs w:val="20"/>
        </w:rPr>
        <w:t>web</w:t>
      </w:r>
      <w:r w:rsidRPr="00D41EA0">
        <w:rPr>
          <w:rFonts w:ascii="Verdana" w:hAnsi="Verdana"/>
          <w:sz w:val="20"/>
          <w:szCs w:val="20"/>
        </w:rPr>
        <w:t xml:space="preserve"> de</w:t>
      </w:r>
      <w:r w:rsidR="00DB2CCE">
        <w:rPr>
          <w:rFonts w:ascii="Verdana" w:hAnsi="Verdana"/>
          <w:sz w:val="20"/>
          <w:szCs w:val="20"/>
        </w:rPr>
        <w:t xml:space="preserve">l </w:t>
      </w:r>
      <w:r w:rsidR="00DB2CCE" w:rsidRPr="00DB2CCE">
        <w:rPr>
          <w:rFonts w:ascii="Verdana" w:hAnsi="Verdana"/>
          <w:sz w:val="20"/>
          <w:szCs w:val="20"/>
        </w:rPr>
        <w:t>Ministerio de Justicia y Derechos Humanos</w:t>
      </w:r>
      <w:r w:rsidR="00CE4640">
        <w:rPr>
          <w:rFonts w:ascii="Verdana" w:hAnsi="Verdana"/>
          <w:sz w:val="20"/>
          <w:szCs w:val="20"/>
        </w:rPr>
        <w:t xml:space="preserve"> por el período de un año</w:t>
      </w:r>
      <w:r w:rsidR="00971118">
        <w:rPr>
          <w:rStyle w:val="Refdenotaalpie"/>
          <w:rFonts w:ascii="Verdana" w:hAnsi="Verdana"/>
          <w:sz w:val="20"/>
          <w:szCs w:val="20"/>
        </w:rPr>
        <w:footnoteReference w:id="7"/>
      </w:r>
      <w:r w:rsidRPr="00D41EA0">
        <w:rPr>
          <w:rFonts w:ascii="Verdana" w:hAnsi="Verdana"/>
          <w:sz w:val="20"/>
          <w:szCs w:val="20"/>
        </w:rPr>
        <w:t xml:space="preserve">. </w:t>
      </w:r>
      <w:r w:rsidR="00104A70">
        <w:rPr>
          <w:rFonts w:ascii="Verdana" w:hAnsi="Verdana"/>
          <w:sz w:val="20"/>
          <w:szCs w:val="20"/>
        </w:rPr>
        <w:t xml:space="preserve">La Corte valora positivamente que dichas publicaciones hayan sido realizadas </w:t>
      </w:r>
      <w:r w:rsidR="00104A70" w:rsidRPr="006D27D7">
        <w:rPr>
          <w:rFonts w:ascii="Verdana" w:hAnsi="Verdana"/>
          <w:sz w:val="20"/>
          <w:szCs w:val="20"/>
        </w:rPr>
        <w:t>dentro del plazo establecido en la Sentencia</w:t>
      </w:r>
      <w:r w:rsidR="00104A70">
        <w:rPr>
          <w:rStyle w:val="Refdenotaalpie"/>
          <w:rFonts w:ascii="Verdana" w:hAnsi="Verdana"/>
          <w:sz w:val="20"/>
          <w:szCs w:val="20"/>
        </w:rPr>
        <w:footnoteReference w:id="8"/>
      </w:r>
      <w:r w:rsidR="00104A70">
        <w:rPr>
          <w:rFonts w:ascii="Verdana" w:hAnsi="Verdana"/>
          <w:sz w:val="20"/>
          <w:szCs w:val="20"/>
        </w:rPr>
        <w:t>.</w:t>
      </w:r>
    </w:p>
    <w:p w14:paraId="1A6BA0FB" w14:textId="77777777" w:rsidR="00620C77" w:rsidRPr="00D41EA0" w:rsidRDefault="00620C77" w:rsidP="00620C77">
      <w:pPr>
        <w:pStyle w:val="Prrafodelista"/>
        <w:spacing w:before="120" w:after="120"/>
        <w:ind w:left="0"/>
        <w:jc w:val="both"/>
        <w:rPr>
          <w:rFonts w:ascii="Verdana" w:hAnsi="Verdana"/>
          <w:sz w:val="20"/>
          <w:szCs w:val="20"/>
        </w:rPr>
      </w:pPr>
    </w:p>
    <w:p w14:paraId="362FB684" w14:textId="488899E0" w:rsidR="00C33778" w:rsidRDefault="00F563A6" w:rsidP="00C33778">
      <w:pPr>
        <w:pStyle w:val="Ttulo1"/>
        <w:numPr>
          <w:ilvl w:val="0"/>
          <w:numId w:val="33"/>
        </w:numPr>
        <w:jc w:val="both"/>
        <w:rPr>
          <w:rFonts w:ascii="Verdana" w:hAnsi="Verdana"/>
          <w:b/>
          <w:bCs/>
          <w:i/>
          <w:iCs/>
          <w:color w:val="000000" w:themeColor="text1"/>
          <w:sz w:val="20"/>
        </w:rPr>
      </w:pPr>
      <w:bookmarkStart w:id="2" w:name="_Toc100140731"/>
      <w:r>
        <w:rPr>
          <w:rFonts w:ascii="Verdana" w:hAnsi="Verdana"/>
          <w:b/>
          <w:bCs/>
          <w:i/>
          <w:iCs/>
          <w:color w:val="000000" w:themeColor="text1"/>
          <w:sz w:val="20"/>
        </w:rPr>
        <w:t>Indemnizaciones por daño inmaterial</w:t>
      </w:r>
      <w:r w:rsidR="00BD3923">
        <w:rPr>
          <w:rFonts w:ascii="Verdana" w:hAnsi="Verdana"/>
          <w:b/>
          <w:bCs/>
          <w:i/>
          <w:iCs/>
          <w:color w:val="000000" w:themeColor="text1"/>
          <w:sz w:val="20"/>
        </w:rPr>
        <w:t xml:space="preserve"> </w:t>
      </w:r>
      <w:bookmarkEnd w:id="2"/>
    </w:p>
    <w:p w14:paraId="3B8403D0" w14:textId="1576E134" w:rsidR="006B119A" w:rsidRPr="006B119A" w:rsidRDefault="006B119A" w:rsidP="006B119A">
      <w:pPr>
        <w:spacing w:before="120" w:after="120"/>
        <w:ind w:left="357" w:firstLine="351"/>
        <w:rPr>
          <w:rFonts w:ascii="Verdana" w:hAnsi="Verdana"/>
          <w:i/>
          <w:iCs/>
          <w:sz w:val="20"/>
          <w:szCs w:val="20"/>
        </w:rPr>
      </w:pPr>
      <w:r w:rsidRPr="006B119A">
        <w:rPr>
          <w:rFonts w:ascii="Verdana" w:hAnsi="Verdana"/>
          <w:i/>
          <w:iCs/>
          <w:sz w:val="20"/>
          <w:szCs w:val="20"/>
        </w:rPr>
        <w:t>B.1. Medida ordenada por la Corte</w:t>
      </w:r>
    </w:p>
    <w:p w14:paraId="0419DAF4" w14:textId="67246DFF" w:rsidR="00BE567D" w:rsidRDefault="00E40EF5" w:rsidP="00D235A6">
      <w:pPr>
        <w:pStyle w:val="Prrafodelista"/>
        <w:numPr>
          <w:ilvl w:val="0"/>
          <w:numId w:val="4"/>
        </w:numPr>
        <w:spacing w:before="120" w:after="120"/>
        <w:ind w:left="0" w:firstLine="0"/>
        <w:jc w:val="both"/>
        <w:rPr>
          <w:rFonts w:ascii="Verdana" w:hAnsi="Verdana"/>
          <w:sz w:val="20"/>
          <w:szCs w:val="20"/>
        </w:rPr>
      </w:pPr>
      <w:r w:rsidRPr="00E40EF5">
        <w:rPr>
          <w:rFonts w:ascii="Verdana" w:hAnsi="Verdana"/>
          <w:sz w:val="20"/>
          <w:szCs w:val="20"/>
        </w:rPr>
        <w:t xml:space="preserve">En el punto </w:t>
      </w:r>
      <w:r w:rsidR="00EB5A35">
        <w:rPr>
          <w:rFonts w:ascii="Verdana" w:hAnsi="Verdana"/>
          <w:sz w:val="20"/>
          <w:szCs w:val="20"/>
        </w:rPr>
        <w:t xml:space="preserve">resolutivo </w:t>
      </w:r>
      <w:r>
        <w:rPr>
          <w:rFonts w:ascii="Verdana" w:hAnsi="Verdana"/>
          <w:sz w:val="20"/>
          <w:szCs w:val="20"/>
        </w:rPr>
        <w:t xml:space="preserve">quinto </w:t>
      </w:r>
      <w:r w:rsidRPr="00E40EF5">
        <w:rPr>
          <w:rFonts w:ascii="Verdana" w:hAnsi="Verdana"/>
          <w:sz w:val="20"/>
          <w:szCs w:val="20"/>
        </w:rPr>
        <w:t>de la Sentencia, la Corte</w:t>
      </w:r>
      <w:r>
        <w:rPr>
          <w:rFonts w:ascii="Verdana" w:hAnsi="Verdana"/>
          <w:sz w:val="20"/>
          <w:szCs w:val="20"/>
        </w:rPr>
        <w:t xml:space="preserve"> </w:t>
      </w:r>
      <w:r w:rsidRPr="00E40EF5">
        <w:rPr>
          <w:rFonts w:ascii="Verdana" w:hAnsi="Verdana"/>
          <w:sz w:val="20"/>
          <w:szCs w:val="20"/>
        </w:rPr>
        <w:t>dispuso</w:t>
      </w:r>
      <w:r w:rsidR="007645A5">
        <w:rPr>
          <w:rFonts w:ascii="Verdana" w:hAnsi="Verdana"/>
          <w:sz w:val="20"/>
          <w:szCs w:val="20"/>
        </w:rPr>
        <w:t xml:space="preserve"> que, en el plazo de un año, contado a partir de la notificación de la misma, el Estado debía pagar a las víctimas </w:t>
      </w:r>
      <w:r w:rsidR="007645A5" w:rsidRPr="002A5713">
        <w:rPr>
          <w:rFonts w:ascii="Verdana" w:hAnsi="Verdana"/>
          <w:sz w:val="20"/>
          <w:szCs w:val="20"/>
        </w:rPr>
        <w:t>Julio César Ramón del Valle Ambrosio</w:t>
      </w:r>
      <w:r w:rsidR="007645A5">
        <w:rPr>
          <w:rFonts w:ascii="Verdana" w:hAnsi="Verdana"/>
          <w:sz w:val="20"/>
          <w:szCs w:val="20"/>
        </w:rPr>
        <w:t xml:space="preserve"> y </w:t>
      </w:r>
      <w:r w:rsidR="007645A5" w:rsidRPr="002A5713">
        <w:rPr>
          <w:rFonts w:ascii="Verdana" w:hAnsi="Verdana"/>
          <w:sz w:val="20"/>
          <w:szCs w:val="20"/>
        </w:rPr>
        <w:t>Carlos Eduardo Domínguez Linares</w:t>
      </w:r>
      <w:r w:rsidR="007645A5">
        <w:rPr>
          <w:rFonts w:ascii="Verdana" w:hAnsi="Verdana"/>
          <w:sz w:val="20"/>
          <w:szCs w:val="20"/>
        </w:rPr>
        <w:t xml:space="preserve"> las cantidades fijadas en el párrafo 79 de la Sentencia </w:t>
      </w:r>
      <w:r w:rsidR="005B439F" w:rsidRPr="005B439F">
        <w:rPr>
          <w:rFonts w:ascii="Verdana" w:hAnsi="Verdana"/>
          <w:sz w:val="20"/>
          <w:szCs w:val="20"/>
        </w:rPr>
        <w:t>por concepto de daño inmaterial</w:t>
      </w:r>
      <w:r w:rsidR="002A5713">
        <w:rPr>
          <w:rFonts w:ascii="Verdana" w:hAnsi="Verdana"/>
          <w:sz w:val="20"/>
          <w:szCs w:val="20"/>
        </w:rPr>
        <w:t xml:space="preserve">. </w:t>
      </w:r>
      <w:r w:rsidR="007645A5" w:rsidRPr="00D235A6">
        <w:rPr>
          <w:rFonts w:ascii="Verdana" w:hAnsi="Verdana"/>
          <w:sz w:val="20"/>
          <w:szCs w:val="20"/>
        </w:rPr>
        <w:t>En los párrafos 82 a 87 de la Sentencia</w:t>
      </w:r>
      <w:r w:rsidR="00304A71">
        <w:rPr>
          <w:rFonts w:ascii="Verdana" w:hAnsi="Verdana"/>
          <w:sz w:val="20"/>
          <w:szCs w:val="20"/>
        </w:rPr>
        <w:t>,</w:t>
      </w:r>
      <w:r w:rsidR="007645A5" w:rsidRPr="00D235A6">
        <w:rPr>
          <w:rFonts w:ascii="Verdana" w:hAnsi="Verdana"/>
          <w:sz w:val="20"/>
          <w:szCs w:val="20"/>
        </w:rPr>
        <w:t xml:space="preserve"> el Tribunal estableció la modalidad de cumplimiento de dichos pagos.</w:t>
      </w:r>
      <w:r w:rsidR="00922BE9">
        <w:rPr>
          <w:rFonts w:ascii="Verdana" w:hAnsi="Verdana"/>
          <w:sz w:val="20"/>
          <w:szCs w:val="20"/>
        </w:rPr>
        <w:t xml:space="preserve"> </w:t>
      </w:r>
    </w:p>
    <w:p w14:paraId="7B9CB995" w14:textId="77777777" w:rsidR="00620C77" w:rsidRDefault="00620C77" w:rsidP="00620C77">
      <w:pPr>
        <w:pStyle w:val="Prrafodelista"/>
        <w:spacing w:before="120" w:after="120"/>
        <w:ind w:left="0"/>
        <w:jc w:val="both"/>
        <w:rPr>
          <w:rFonts w:ascii="Verdana" w:hAnsi="Verdana"/>
          <w:sz w:val="20"/>
          <w:szCs w:val="20"/>
        </w:rPr>
      </w:pPr>
    </w:p>
    <w:p w14:paraId="0FC229CF" w14:textId="70B59E22" w:rsidR="006B119A" w:rsidRPr="006B119A" w:rsidRDefault="006B119A" w:rsidP="006B119A">
      <w:pPr>
        <w:pStyle w:val="Prrafodelista"/>
        <w:spacing w:before="120" w:after="120"/>
        <w:ind w:left="708"/>
        <w:jc w:val="both"/>
        <w:rPr>
          <w:rFonts w:ascii="Verdana" w:hAnsi="Verdana"/>
          <w:i/>
          <w:iCs/>
          <w:sz w:val="20"/>
          <w:szCs w:val="20"/>
        </w:rPr>
      </w:pPr>
      <w:r w:rsidRPr="006B119A">
        <w:rPr>
          <w:rFonts w:ascii="Verdana" w:hAnsi="Verdana"/>
          <w:i/>
          <w:iCs/>
          <w:sz w:val="20"/>
          <w:szCs w:val="20"/>
        </w:rPr>
        <w:t xml:space="preserve">B.2. Consideraciones de la Corte </w:t>
      </w:r>
    </w:p>
    <w:p w14:paraId="3817D0D0" w14:textId="77777777" w:rsidR="00D22E5D" w:rsidRPr="00D22E5D" w:rsidRDefault="002551A5" w:rsidP="00D22E5D">
      <w:pPr>
        <w:pStyle w:val="Prrafodelista"/>
        <w:numPr>
          <w:ilvl w:val="0"/>
          <w:numId w:val="4"/>
        </w:numPr>
        <w:autoSpaceDE w:val="0"/>
        <w:autoSpaceDN w:val="0"/>
        <w:adjustRightInd w:val="0"/>
        <w:spacing w:before="120" w:after="120"/>
        <w:ind w:left="0" w:firstLine="0"/>
        <w:jc w:val="both"/>
        <w:rPr>
          <w:rFonts w:ascii="Times New Roman" w:hAnsi="Times New Roman" w:cs="Times New Roman"/>
          <w:sz w:val="21"/>
          <w:szCs w:val="21"/>
        </w:rPr>
      </w:pPr>
      <w:r w:rsidRPr="00FC025F">
        <w:rPr>
          <w:rFonts w:ascii="Verdana" w:hAnsi="Verdana"/>
          <w:sz w:val="20"/>
          <w:szCs w:val="20"/>
        </w:rPr>
        <w:t xml:space="preserve">La Corte observa que existe controversia entre el Estado y los representantes en cuanto al cumplimiento de esta medida. </w:t>
      </w:r>
    </w:p>
    <w:p w14:paraId="2C6D6C98" w14:textId="2CF4D09B" w:rsidR="00D22E5D" w:rsidRDefault="002551A5" w:rsidP="00D22E5D">
      <w:pPr>
        <w:pStyle w:val="Prrafodelista"/>
        <w:numPr>
          <w:ilvl w:val="0"/>
          <w:numId w:val="4"/>
        </w:numPr>
        <w:autoSpaceDE w:val="0"/>
        <w:autoSpaceDN w:val="0"/>
        <w:adjustRightInd w:val="0"/>
        <w:spacing w:before="120" w:after="120"/>
        <w:ind w:left="0" w:firstLine="0"/>
        <w:jc w:val="both"/>
        <w:rPr>
          <w:rFonts w:ascii="Times New Roman" w:hAnsi="Times New Roman" w:cs="Times New Roman"/>
          <w:sz w:val="21"/>
          <w:szCs w:val="21"/>
        </w:rPr>
      </w:pPr>
      <w:r w:rsidRPr="00FC025F">
        <w:rPr>
          <w:rFonts w:ascii="Verdana" w:hAnsi="Verdana"/>
          <w:i/>
          <w:iCs/>
          <w:sz w:val="20"/>
          <w:szCs w:val="20"/>
        </w:rPr>
        <w:t xml:space="preserve">Argentina </w:t>
      </w:r>
      <w:r w:rsidR="001C74F0" w:rsidRPr="00FC025F">
        <w:rPr>
          <w:rFonts w:ascii="Verdana" w:hAnsi="Verdana"/>
          <w:sz w:val="20"/>
          <w:szCs w:val="20"/>
        </w:rPr>
        <w:t>ha informado</w:t>
      </w:r>
      <w:r w:rsidR="00C51782" w:rsidRPr="00FC025F">
        <w:rPr>
          <w:rFonts w:ascii="Verdana" w:hAnsi="Verdana"/>
          <w:sz w:val="20"/>
          <w:szCs w:val="20"/>
        </w:rPr>
        <w:t xml:space="preserve"> reiteradamente</w:t>
      </w:r>
      <w:r w:rsidR="001C74F0" w:rsidRPr="00FC025F">
        <w:rPr>
          <w:rFonts w:ascii="Verdana" w:hAnsi="Verdana"/>
          <w:sz w:val="20"/>
          <w:szCs w:val="20"/>
        </w:rPr>
        <w:t xml:space="preserve"> que el pago de las indemnizaciones no se ha concretado por razones exclusivamente atribuibles a las víctimas, quienes “injustificada[mente]” no han completado los requisitos y formularios que requiere el Tesoro General de la Nación para efectuarles el pago</w:t>
      </w:r>
      <w:r w:rsidR="00B403A8" w:rsidRPr="00FC025F">
        <w:rPr>
          <w:rStyle w:val="Refdenotaalpie"/>
          <w:rFonts w:ascii="Verdana" w:hAnsi="Verdana"/>
          <w:sz w:val="20"/>
          <w:szCs w:val="20"/>
        </w:rPr>
        <w:footnoteReference w:id="9"/>
      </w:r>
      <w:r w:rsidR="001C74F0" w:rsidRPr="00FC025F">
        <w:rPr>
          <w:rFonts w:ascii="Verdana" w:hAnsi="Verdana"/>
          <w:sz w:val="20"/>
          <w:szCs w:val="20"/>
        </w:rPr>
        <w:t>,</w:t>
      </w:r>
      <w:r w:rsidR="00D22E5D">
        <w:rPr>
          <w:rFonts w:ascii="Verdana" w:hAnsi="Verdana"/>
          <w:sz w:val="20"/>
          <w:szCs w:val="20"/>
        </w:rPr>
        <w:t xml:space="preserve"> </w:t>
      </w:r>
      <w:r w:rsidR="001C74F0" w:rsidRPr="00FC025F">
        <w:rPr>
          <w:rFonts w:ascii="Verdana" w:hAnsi="Verdana"/>
          <w:sz w:val="20"/>
          <w:szCs w:val="20"/>
        </w:rPr>
        <w:t>a pesar de que los montos se encuentran disponibles y asegurados</w:t>
      </w:r>
      <w:r w:rsidR="00D15A8F" w:rsidRPr="00FC025F">
        <w:rPr>
          <w:rFonts w:ascii="Verdana" w:hAnsi="Verdana"/>
          <w:sz w:val="20"/>
          <w:szCs w:val="20"/>
        </w:rPr>
        <w:t>,</w:t>
      </w:r>
      <w:r w:rsidR="001C74F0" w:rsidRPr="00FC025F">
        <w:rPr>
          <w:rFonts w:ascii="Verdana" w:hAnsi="Verdana"/>
          <w:sz w:val="20"/>
          <w:szCs w:val="20"/>
        </w:rPr>
        <w:t xml:space="preserve"> </w:t>
      </w:r>
      <w:r w:rsidR="00D15A8F" w:rsidRPr="00FC025F">
        <w:rPr>
          <w:rFonts w:ascii="Verdana" w:hAnsi="Verdana"/>
          <w:sz w:val="20"/>
          <w:szCs w:val="20"/>
        </w:rPr>
        <w:t xml:space="preserve">desde agosto de 2021, </w:t>
      </w:r>
      <w:r w:rsidR="001C74F0" w:rsidRPr="00FC025F">
        <w:rPr>
          <w:rFonts w:ascii="Verdana" w:hAnsi="Verdana"/>
          <w:sz w:val="20"/>
          <w:szCs w:val="20"/>
        </w:rPr>
        <w:t xml:space="preserve">mediante las previsiones </w:t>
      </w:r>
      <w:r w:rsidR="001C74F0" w:rsidRPr="00FC025F">
        <w:rPr>
          <w:rFonts w:ascii="Verdana" w:hAnsi="Verdana"/>
          <w:sz w:val="20"/>
          <w:szCs w:val="20"/>
        </w:rPr>
        <w:lastRenderedPageBreak/>
        <w:t xml:space="preserve">contenidas en el Decreto No. 559 </w:t>
      </w:r>
      <w:r w:rsidR="006B7DC0">
        <w:rPr>
          <w:rFonts w:ascii="Verdana" w:hAnsi="Verdana"/>
          <w:sz w:val="20"/>
          <w:szCs w:val="20"/>
        </w:rPr>
        <w:t xml:space="preserve">de 24 de agosto de 2021 </w:t>
      </w:r>
      <w:r w:rsidR="001C74F0" w:rsidRPr="00FC025F">
        <w:rPr>
          <w:rFonts w:ascii="Verdana" w:hAnsi="Verdana"/>
          <w:sz w:val="20"/>
          <w:szCs w:val="20"/>
        </w:rPr>
        <w:t>que dispuso el pago de los montos ordenados en la Sentencia</w:t>
      </w:r>
      <w:r w:rsidR="00D15A8F" w:rsidRPr="00FC025F">
        <w:rPr>
          <w:rFonts w:ascii="Verdana" w:hAnsi="Verdana"/>
          <w:sz w:val="20"/>
          <w:szCs w:val="20"/>
        </w:rPr>
        <w:t xml:space="preserve"> de este caso</w:t>
      </w:r>
      <w:r w:rsidR="001C74F0" w:rsidRPr="00FC025F">
        <w:rPr>
          <w:rStyle w:val="Refdenotaalpie"/>
          <w:rFonts w:ascii="Verdana" w:hAnsi="Verdana"/>
          <w:sz w:val="20"/>
          <w:szCs w:val="20"/>
        </w:rPr>
        <w:footnoteReference w:id="10"/>
      </w:r>
      <w:r w:rsidR="001C74F0" w:rsidRPr="00FC025F">
        <w:rPr>
          <w:rFonts w:ascii="Verdana" w:hAnsi="Verdana"/>
          <w:sz w:val="20"/>
          <w:szCs w:val="20"/>
        </w:rPr>
        <w:t xml:space="preserve">. </w:t>
      </w:r>
      <w:r w:rsidR="00D22E5D">
        <w:rPr>
          <w:rFonts w:ascii="Verdana" w:hAnsi="Verdana"/>
          <w:sz w:val="20"/>
          <w:szCs w:val="20"/>
        </w:rPr>
        <w:t>Al respecto, el Estado ha solicitado a la Corte que: (i) considere que “</w:t>
      </w:r>
      <w:r w:rsidR="00D22E5D" w:rsidRPr="000341AC">
        <w:rPr>
          <w:rFonts w:ascii="Verdana" w:hAnsi="Verdana" w:cs="Times New Roman"/>
          <w:sz w:val="20"/>
          <w:szCs w:val="20"/>
        </w:rPr>
        <w:t>no solo no se encuentra en mora</w:t>
      </w:r>
      <w:r w:rsidR="00D22E5D">
        <w:rPr>
          <w:rFonts w:ascii="Verdana" w:hAnsi="Verdana" w:cs="Times New Roman"/>
          <w:sz w:val="20"/>
          <w:szCs w:val="20"/>
        </w:rPr>
        <w:t xml:space="preserve"> [en el pago de las indemnizaciones]</w:t>
      </w:r>
      <w:r w:rsidR="00D22E5D" w:rsidRPr="000341AC">
        <w:rPr>
          <w:rFonts w:ascii="Verdana" w:hAnsi="Verdana" w:cs="Times New Roman"/>
          <w:sz w:val="20"/>
          <w:szCs w:val="20"/>
        </w:rPr>
        <w:t>, sino que además no corresponde el devengamiento de intereses por el tiempo transcurrido</w:t>
      </w:r>
      <w:r w:rsidR="00D22E5D">
        <w:rPr>
          <w:rFonts w:ascii="Verdana" w:hAnsi="Verdana" w:cs="Times New Roman"/>
          <w:sz w:val="20"/>
          <w:szCs w:val="20"/>
        </w:rPr>
        <w:t>”</w:t>
      </w:r>
      <w:r w:rsidR="00304A71">
        <w:rPr>
          <w:rFonts w:ascii="Verdana" w:hAnsi="Verdana" w:cs="Times New Roman"/>
          <w:sz w:val="20"/>
          <w:szCs w:val="20"/>
        </w:rPr>
        <w:t>,</w:t>
      </w:r>
      <w:r w:rsidR="00620C77">
        <w:rPr>
          <w:rFonts w:ascii="Verdana" w:hAnsi="Verdana" w:cs="Times New Roman"/>
          <w:sz w:val="20"/>
          <w:szCs w:val="20"/>
        </w:rPr>
        <w:t xml:space="preserve"> </w:t>
      </w:r>
      <w:r w:rsidR="00D22E5D">
        <w:rPr>
          <w:rFonts w:ascii="Verdana" w:hAnsi="Verdana" w:cs="Times New Roman"/>
          <w:sz w:val="20"/>
          <w:szCs w:val="20"/>
        </w:rPr>
        <w:t>debido a que la falta de cobro no le es atribuible</w:t>
      </w:r>
      <w:r w:rsidR="00D22E5D" w:rsidRPr="000341AC">
        <w:rPr>
          <w:rFonts w:ascii="Verdana" w:hAnsi="Verdana" w:cs="Times New Roman"/>
          <w:sz w:val="20"/>
          <w:szCs w:val="20"/>
        </w:rPr>
        <w:t>, y (ii) “intime a la representación [de las víctimas] a la efectiva presentación de la documentación [necesaria para realizar el pago] en un breve plazo, bajo pena de dar por cumplida la sentencia”</w:t>
      </w:r>
      <w:r w:rsidR="00BE578B">
        <w:rPr>
          <w:rStyle w:val="Refdenotaalpie"/>
          <w:rFonts w:ascii="Verdana" w:hAnsi="Verdana" w:cs="Times New Roman"/>
          <w:sz w:val="20"/>
          <w:szCs w:val="20"/>
        </w:rPr>
        <w:footnoteReference w:id="11"/>
      </w:r>
      <w:r w:rsidR="00D22E5D" w:rsidRPr="000341AC">
        <w:rPr>
          <w:rFonts w:ascii="Verdana" w:hAnsi="Verdana" w:cs="Times New Roman"/>
          <w:sz w:val="20"/>
          <w:szCs w:val="20"/>
        </w:rPr>
        <w:t>.</w:t>
      </w:r>
      <w:r w:rsidR="00BE578B">
        <w:rPr>
          <w:rFonts w:ascii="Verdana" w:hAnsi="Verdana" w:cs="Times New Roman"/>
          <w:sz w:val="20"/>
          <w:szCs w:val="20"/>
        </w:rPr>
        <w:t xml:space="preserve"> </w:t>
      </w:r>
    </w:p>
    <w:p w14:paraId="31273610" w14:textId="278CF083" w:rsidR="00822601" w:rsidRPr="00822601" w:rsidRDefault="00D22E5D" w:rsidP="00822601">
      <w:pPr>
        <w:pStyle w:val="Prrafodelista"/>
        <w:numPr>
          <w:ilvl w:val="0"/>
          <w:numId w:val="4"/>
        </w:numPr>
        <w:autoSpaceDE w:val="0"/>
        <w:autoSpaceDN w:val="0"/>
        <w:adjustRightInd w:val="0"/>
        <w:spacing w:before="120" w:after="120"/>
        <w:ind w:left="0" w:firstLine="0"/>
        <w:jc w:val="both"/>
        <w:rPr>
          <w:rFonts w:ascii="Times New Roman" w:hAnsi="Times New Roman" w:cs="Times New Roman"/>
          <w:sz w:val="21"/>
          <w:szCs w:val="21"/>
        </w:rPr>
      </w:pPr>
      <w:r w:rsidRPr="00D22E5D">
        <w:rPr>
          <w:rFonts w:ascii="Verdana" w:hAnsi="Verdana"/>
          <w:sz w:val="20"/>
          <w:szCs w:val="20"/>
        </w:rPr>
        <w:t>Por su parte, l</w:t>
      </w:r>
      <w:r w:rsidR="001C74F0" w:rsidRPr="00D22E5D">
        <w:rPr>
          <w:rFonts w:ascii="Verdana" w:hAnsi="Verdana"/>
          <w:sz w:val="20"/>
          <w:szCs w:val="20"/>
        </w:rPr>
        <w:t xml:space="preserve">os </w:t>
      </w:r>
      <w:r w:rsidR="001C74F0" w:rsidRPr="00D22E5D">
        <w:rPr>
          <w:rFonts w:ascii="Verdana" w:hAnsi="Verdana"/>
          <w:i/>
          <w:iCs/>
          <w:sz w:val="20"/>
          <w:szCs w:val="20"/>
        </w:rPr>
        <w:t>representantes</w:t>
      </w:r>
      <w:r w:rsidR="001C74F0" w:rsidRPr="00D22E5D">
        <w:rPr>
          <w:rFonts w:ascii="Verdana" w:hAnsi="Verdana"/>
          <w:sz w:val="20"/>
          <w:szCs w:val="20"/>
        </w:rPr>
        <w:t xml:space="preserve"> </w:t>
      </w:r>
      <w:r w:rsidR="001F22EF" w:rsidRPr="00D22E5D">
        <w:rPr>
          <w:rFonts w:ascii="Verdana" w:hAnsi="Verdana"/>
          <w:sz w:val="20"/>
          <w:szCs w:val="20"/>
        </w:rPr>
        <w:t>han alegado</w:t>
      </w:r>
      <w:r w:rsidR="00C51782" w:rsidRPr="00D22E5D">
        <w:rPr>
          <w:rFonts w:ascii="Verdana" w:hAnsi="Verdana"/>
          <w:sz w:val="20"/>
          <w:szCs w:val="20"/>
        </w:rPr>
        <w:t xml:space="preserve"> reiteradamente</w:t>
      </w:r>
      <w:r w:rsidR="001F22EF" w:rsidRPr="00D22E5D">
        <w:rPr>
          <w:rFonts w:ascii="Verdana" w:hAnsi="Verdana"/>
          <w:sz w:val="20"/>
          <w:szCs w:val="20"/>
        </w:rPr>
        <w:t xml:space="preserve"> el incumplimiento de esta reparación</w:t>
      </w:r>
      <w:r w:rsidR="00C51782" w:rsidRPr="00D22E5D">
        <w:rPr>
          <w:rFonts w:ascii="Verdana" w:hAnsi="Verdana"/>
          <w:sz w:val="20"/>
          <w:szCs w:val="20"/>
        </w:rPr>
        <w:t>,</w:t>
      </w:r>
      <w:r w:rsidR="001F22EF" w:rsidRPr="00D22E5D">
        <w:rPr>
          <w:rFonts w:ascii="Verdana" w:hAnsi="Verdana"/>
          <w:sz w:val="20"/>
          <w:szCs w:val="20"/>
        </w:rPr>
        <w:t xml:space="preserve"> debido a que </w:t>
      </w:r>
      <w:r w:rsidR="000D6ADA">
        <w:rPr>
          <w:rFonts w:ascii="Verdana" w:hAnsi="Verdana"/>
          <w:sz w:val="20"/>
          <w:szCs w:val="20"/>
        </w:rPr>
        <w:t xml:space="preserve">las víctimas </w:t>
      </w:r>
      <w:r w:rsidR="00223F72">
        <w:rPr>
          <w:rFonts w:ascii="Verdana" w:hAnsi="Verdana"/>
          <w:sz w:val="20"/>
          <w:szCs w:val="20"/>
        </w:rPr>
        <w:t xml:space="preserve">no han recibido el pago </w:t>
      </w:r>
      <w:r w:rsidR="000D6ADA">
        <w:rPr>
          <w:rFonts w:ascii="Verdana" w:hAnsi="Verdana"/>
          <w:sz w:val="20"/>
          <w:szCs w:val="20"/>
        </w:rPr>
        <w:t xml:space="preserve">de las indemnizaciones </w:t>
      </w:r>
      <w:r w:rsidR="00223F72">
        <w:rPr>
          <w:rFonts w:ascii="Verdana" w:hAnsi="Verdana"/>
          <w:sz w:val="20"/>
          <w:szCs w:val="20"/>
        </w:rPr>
        <w:t xml:space="preserve">y </w:t>
      </w:r>
      <w:r w:rsidR="001F22EF" w:rsidRPr="00D22E5D">
        <w:rPr>
          <w:rFonts w:ascii="Verdana" w:hAnsi="Verdana"/>
          <w:sz w:val="20"/>
          <w:szCs w:val="20"/>
        </w:rPr>
        <w:t xml:space="preserve">ya venció el plazo </w:t>
      </w:r>
      <w:r w:rsidR="00C51782" w:rsidRPr="00D22E5D">
        <w:rPr>
          <w:rFonts w:ascii="Verdana" w:hAnsi="Verdana"/>
          <w:sz w:val="20"/>
          <w:szCs w:val="20"/>
        </w:rPr>
        <w:t xml:space="preserve">de un año </w:t>
      </w:r>
      <w:r w:rsidR="001F22EF" w:rsidRPr="00D22E5D">
        <w:rPr>
          <w:rFonts w:ascii="Verdana" w:hAnsi="Verdana"/>
          <w:sz w:val="20"/>
          <w:szCs w:val="20"/>
        </w:rPr>
        <w:t>otorgado en la Sentencia para</w:t>
      </w:r>
      <w:r w:rsidR="00223F72">
        <w:rPr>
          <w:rFonts w:ascii="Verdana" w:hAnsi="Verdana"/>
          <w:sz w:val="20"/>
          <w:szCs w:val="20"/>
        </w:rPr>
        <w:t xml:space="preserve"> su cumplimiento</w:t>
      </w:r>
      <w:r w:rsidR="001F22EF" w:rsidRPr="00D22E5D">
        <w:rPr>
          <w:rFonts w:ascii="Verdana" w:hAnsi="Verdana"/>
          <w:sz w:val="20"/>
          <w:szCs w:val="20"/>
        </w:rPr>
        <w:t xml:space="preserve">. También </w:t>
      </w:r>
      <w:r w:rsidR="00223F72">
        <w:rPr>
          <w:rFonts w:ascii="Verdana" w:hAnsi="Verdana"/>
          <w:sz w:val="20"/>
          <w:szCs w:val="20"/>
        </w:rPr>
        <w:t xml:space="preserve">comunicaron que </w:t>
      </w:r>
      <w:r w:rsidR="00C51782" w:rsidRPr="00D22E5D">
        <w:rPr>
          <w:rFonts w:ascii="Verdana" w:hAnsi="Verdana"/>
          <w:sz w:val="20"/>
          <w:szCs w:val="20"/>
        </w:rPr>
        <w:t>plantearon</w:t>
      </w:r>
      <w:r w:rsidR="00223F72">
        <w:rPr>
          <w:rFonts w:ascii="Verdana" w:hAnsi="Verdana"/>
          <w:sz w:val="20"/>
          <w:szCs w:val="20"/>
        </w:rPr>
        <w:t>,</w:t>
      </w:r>
      <w:r w:rsidR="00C51782" w:rsidRPr="00D22E5D">
        <w:rPr>
          <w:rFonts w:ascii="Verdana" w:hAnsi="Verdana"/>
          <w:sz w:val="20"/>
          <w:szCs w:val="20"/>
        </w:rPr>
        <w:t xml:space="preserve"> ante un juzgado federal de la Provincia de Córdoba, una demanda contra el “Estado Nacional” para la ejecución de la Sentencia</w:t>
      </w:r>
      <w:r w:rsidR="00C51782" w:rsidRPr="00FC025F">
        <w:rPr>
          <w:rStyle w:val="Refdenotaalpie"/>
          <w:rFonts w:ascii="Verdana" w:hAnsi="Verdana"/>
          <w:sz w:val="20"/>
          <w:szCs w:val="20"/>
        </w:rPr>
        <w:footnoteReference w:id="12"/>
      </w:r>
      <w:r w:rsidR="00C51782" w:rsidRPr="00D22E5D">
        <w:rPr>
          <w:rFonts w:ascii="Verdana" w:hAnsi="Verdana"/>
          <w:sz w:val="20"/>
          <w:szCs w:val="20"/>
        </w:rPr>
        <w:t xml:space="preserve"> y han solicitado que el pago se realice mediante “depósito judicial” o transferencia bancaria.</w:t>
      </w:r>
      <w:r w:rsidR="00C51782" w:rsidRPr="00D22E5D">
        <w:rPr>
          <w:rFonts w:ascii="Verdana" w:hAnsi="Verdana"/>
          <w:b/>
          <w:bCs/>
          <w:sz w:val="16"/>
          <w:szCs w:val="16"/>
        </w:rPr>
        <w:t xml:space="preserve"> </w:t>
      </w:r>
      <w:r w:rsidR="00D31173" w:rsidRPr="00D31173">
        <w:rPr>
          <w:rFonts w:ascii="Verdana" w:hAnsi="Verdana"/>
          <w:sz w:val="20"/>
          <w:szCs w:val="20"/>
        </w:rPr>
        <w:t xml:space="preserve">Los representantes no aportaron copia de la </w:t>
      </w:r>
      <w:r w:rsidR="000D6ADA">
        <w:rPr>
          <w:rFonts w:ascii="Verdana" w:hAnsi="Verdana"/>
          <w:sz w:val="20"/>
          <w:szCs w:val="20"/>
        </w:rPr>
        <w:t xml:space="preserve">referida </w:t>
      </w:r>
      <w:r w:rsidR="00D31173" w:rsidRPr="00D31173">
        <w:rPr>
          <w:rFonts w:ascii="Verdana" w:hAnsi="Verdana"/>
          <w:sz w:val="20"/>
          <w:szCs w:val="20"/>
        </w:rPr>
        <w:t>demanda que interpusieron a nivel interno.</w:t>
      </w:r>
    </w:p>
    <w:p w14:paraId="3A06F5BC" w14:textId="5F123DCA" w:rsidR="00922BE9" w:rsidRDefault="00374F3C" w:rsidP="006B7DC0">
      <w:pPr>
        <w:pStyle w:val="Prrafodelista"/>
        <w:numPr>
          <w:ilvl w:val="0"/>
          <w:numId w:val="4"/>
        </w:numPr>
        <w:autoSpaceDE w:val="0"/>
        <w:autoSpaceDN w:val="0"/>
        <w:adjustRightInd w:val="0"/>
        <w:spacing w:before="120" w:after="120"/>
        <w:ind w:left="0" w:firstLine="0"/>
        <w:jc w:val="both"/>
        <w:rPr>
          <w:rFonts w:ascii="Times New Roman" w:hAnsi="Times New Roman" w:cs="Times New Roman"/>
          <w:sz w:val="21"/>
          <w:szCs w:val="21"/>
        </w:rPr>
      </w:pPr>
      <w:r w:rsidRPr="00FC025F">
        <w:rPr>
          <w:rFonts w:ascii="Verdana" w:hAnsi="Verdana"/>
          <w:sz w:val="20"/>
          <w:szCs w:val="20"/>
        </w:rPr>
        <w:t xml:space="preserve">Tomando en cuenta las </w:t>
      </w:r>
      <w:r w:rsidR="003A795A">
        <w:rPr>
          <w:rFonts w:ascii="Verdana" w:hAnsi="Verdana"/>
          <w:sz w:val="20"/>
          <w:szCs w:val="20"/>
        </w:rPr>
        <w:t>mencionadas</w:t>
      </w:r>
      <w:r w:rsidRPr="00FC025F">
        <w:rPr>
          <w:rFonts w:ascii="Verdana" w:hAnsi="Verdana"/>
          <w:sz w:val="20"/>
          <w:szCs w:val="20"/>
        </w:rPr>
        <w:t xml:space="preserve"> dificultade</w:t>
      </w:r>
      <w:r w:rsidR="005057EE" w:rsidRPr="00FC025F">
        <w:rPr>
          <w:rFonts w:ascii="Verdana" w:hAnsi="Verdana"/>
          <w:sz w:val="20"/>
          <w:szCs w:val="20"/>
        </w:rPr>
        <w:t xml:space="preserve">s, mediante notas de la Secretaría de la Corte de diciembre de 2021 y enero </w:t>
      </w:r>
      <w:r w:rsidR="003A795A">
        <w:rPr>
          <w:rFonts w:ascii="Verdana" w:hAnsi="Verdana"/>
          <w:sz w:val="20"/>
          <w:szCs w:val="20"/>
        </w:rPr>
        <w:t xml:space="preserve">de </w:t>
      </w:r>
      <w:r w:rsidR="005057EE" w:rsidRPr="00FC025F">
        <w:rPr>
          <w:rFonts w:ascii="Verdana" w:hAnsi="Verdana"/>
          <w:sz w:val="20"/>
          <w:szCs w:val="20"/>
        </w:rPr>
        <w:t>2022, siguiendo instrucciones del Presidente del Tribunal, se indicó a las partes</w:t>
      </w:r>
      <w:r w:rsidR="00FC025F" w:rsidRPr="00FC025F">
        <w:rPr>
          <w:rFonts w:ascii="Verdana" w:hAnsi="Verdana"/>
          <w:sz w:val="20"/>
          <w:szCs w:val="20"/>
        </w:rPr>
        <w:t xml:space="preserve"> que</w:t>
      </w:r>
      <w:r w:rsidR="005057EE" w:rsidRPr="00FC025F">
        <w:rPr>
          <w:rFonts w:ascii="Verdana" w:hAnsi="Verdana"/>
          <w:sz w:val="20"/>
          <w:szCs w:val="20"/>
        </w:rPr>
        <w:t xml:space="preserve"> </w:t>
      </w:r>
      <w:r w:rsidR="005057EE" w:rsidRPr="00FC025F">
        <w:rPr>
          <w:rFonts w:ascii="Verdana" w:hAnsi="Verdana" w:cs="Verdana"/>
          <w:sz w:val="20"/>
          <w:szCs w:val="20"/>
        </w:rPr>
        <w:t xml:space="preserve">debían comunicarse directamente a efectos de avanzar con el cumplimiento de dicha reparación. Sin embargo, </w:t>
      </w:r>
      <w:r w:rsidR="00BD5F7D" w:rsidRPr="00FC025F">
        <w:rPr>
          <w:rFonts w:ascii="Verdana" w:hAnsi="Verdana" w:cs="Verdana"/>
          <w:sz w:val="20"/>
          <w:szCs w:val="20"/>
        </w:rPr>
        <w:t xml:space="preserve">la Corte constata que, </w:t>
      </w:r>
      <w:r w:rsidR="00EC41EE" w:rsidRPr="00FC025F">
        <w:rPr>
          <w:rFonts w:ascii="Verdana" w:hAnsi="Verdana" w:cs="Verdana"/>
          <w:sz w:val="20"/>
          <w:szCs w:val="20"/>
        </w:rPr>
        <w:t>a la fecha</w:t>
      </w:r>
      <w:r w:rsidR="00BD5F7D" w:rsidRPr="00FC025F">
        <w:rPr>
          <w:rFonts w:ascii="Verdana" w:hAnsi="Verdana" w:cs="Verdana"/>
          <w:sz w:val="20"/>
          <w:szCs w:val="20"/>
        </w:rPr>
        <w:t>,</w:t>
      </w:r>
      <w:r w:rsidR="00EC41EE" w:rsidRPr="00FC025F">
        <w:rPr>
          <w:rFonts w:ascii="Verdana" w:hAnsi="Verdana" w:cs="Verdana"/>
          <w:sz w:val="20"/>
          <w:szCs w:val="20"/>
        </w:rPr>
        <w:t xml:space="preserve"> el pago </w:t>
      </w:r>
      <w:r w:rsidR="00610863" w:rsidRPr="00FC025F">
        <w:rPr>
          <w:rFonts w:ascii="Verdana" w:hAnsi="Verdana" w:cs="Verdana"/>
          <w:sz w:val="20"/>
          <w:szCs w:val="20"/>
        </w:rPr>
        <w:t xml:space="preserve">de las indemnizaciones </w:t>
      </w:r>
      <w:r w:rsidR="00EC41EE" w:rsidRPr="00FC025F">
        <w:rPr>
          <w:rFonts w:ascii="Verdana" w:hAnsi="Verdana" w:cs="Verdana"/>
          <w:sz w:val="20"/>
          <w:szCs w:val="20"/>
        </w:rPr>
        <w:t>contin</w:t>
      </w:r>
      <w:r w:rsidR="00610863" w:rsidRPr="00FC025F">
        <w:rPr>
          <w:rFonts w:ascii="Verdana" w:hAnsi="Verdana" w:cs="Verdana"/>
          <w:sz w:val="20"/>
          <w:szCs w:val="20"/>
        </w:rPr>
        <w:t>ú</w:t>
      </w:r>
      <w:r w:rsidR="00EC41EE" w:rsidRPr="00FC025F">
        <w:rPr>
          <w:rFonts w:ascii="Verdana" w:hAnsi="Verdana" w:cs="Verdana"/>
          <w:sz w:val="20"/>
          <w:szCs w:val="20"/>
        </w:rPr>
        <w:t xml:space="preserve">a sin </w:t>
      </w:r>
      <w:r w:rsidR="00610863" w:rsidRPr="00FC025F">
        <w:rPr>
          <w:rFonts w:ascii="Verdana" w:hAnsi="Verdana" w:cs="Verdana"/>
          <w:sz w:val="20"/>
          <w:szCs w:val="20"/>
        </w:rPr>
        <w:t>hacerse efectivo</w:t>
      </w:r>
      <w:r w:rsidR="00FC025F" w:rsidRPr="00FC025F">
        <w:rPr>
          <w:rFonts w:ascii="Verdana" w:hAnsi="Verdana" w:cs="Verdana"/>
          <w:sz w:val="20"/>
          <w:szCs w:val="20"/>
        </w:rPr>
        <w:t xml:space="preserve"> y las partes </w:t>
      </w:r>
      <w:r w:rsidR="003A795A">
        <w:rPr>
          <w:rFonts w:ascii="Verdana" w:hAnsi="Verdana" w:cs="Verdana"/>
          <w:sz w:val="20"/>
          <w:szCs w:val="20"/>
        </w:rPr>
        <w:t>siguen</w:t>
      </w:r>
      <w:r w:rsidR="00FC025F" w:rsidRPr="00FC025F">
        <w:rPr>
          <w:rFonts w:ascii="Verdana" w:hAnsi="Verdana" w:cs="Verdana"/>
          <w:sz w:val="20"/>
          <w:szCs w:val="20"/>
        </w:rPr>
        <w:t xml:space="preserve"> reiterando los mismos argumentos</w:t>
      </w:r>
      <w:r w:rsidR="00610863" w:rsidRPr="00FC025F">
        <w:rPr>
          <w:rFonts w:ascii="Verdana" w:hAnsi="Verdana" w:cs="Verdana"/>
          <w:sz w:val="20"/>
          <w:szCs w:val="20"/>
        </w:rPr>
        <w:t xml:space="preserve">. </w:t>
      </w:r>
    </w:p>
    <w:p w14:paraId="53BD03D6" w14:textId="59D9685D" w:rsidR="006B7DC0" w:rsidRPr="00922BE9" w:rsidRDefault="00D22E5D" w:rsidP="006B7DC0">
      <w:pPr>
        <w:pStyle w:val="Prrafodelista"/>
        <w:numPr>
          <w:ilvl w:val="0"/>
          <w:numId w:val="4"/>
        </w:numPr>
        <w:autoSpaceDE w:val="0"/>
        <w:autoSpaceDN w:val="0"/>
        <w:adjustRightInd w:val="0"/>
        <w:spacing w:before="120" w:after="120"/>
        <w:ind w:left="0" w:firstLine="0"/>
        <w:jc w:val="both"/>
        <w:rPr>
          <w:rFonts w:ascii="Times New Roman" w:hAnsi="Times New Roman" w:cs="Times New Roman"/>
          <w:sz w:val="21"/>
          <w:szCs w:val="21"/>
        </w:rPr>
      </w:pPr>
      <w:r w:rsidRPr="00922BE9">
        <w:rPr>
          <w:rFonts w:ascii="Verdana" w:hAnsi="Verdana" w:cs="Times New Roman"/>
          <w:sz w:val="20"/>
          <w:szCs w:val="20"/>
        </w:rPr>
        <w:t xml:space="preserve">De la información que ha sido aportada no </w:t>
      </w:r>
      <w:r w:rsidR="00223F72" w:rsidRPr="00922BE9">
        <w:rPr>
          <w:rFonts w:ascii="Verdana" w:hAnsi="Verdana" w:cs="Times New Roman"/>
          <w:sz w:val="20"/>
          <w:szCs w:val="20"/>
        </w:rPr>
        <w:t xml:space="preserve">resulta posible entender el motivo por el cual </w:t>
      </w:r>
      <w:r w:rsidRPr="00922BE9">
        <w:rPr>
          <w:rFonts w:ascii="Verdana" w:hAnsi="Verdana" w:cs="Times New Roman"/>
          <w:sz w:val="20"/>
          <w:szCs w:val="20"/>
        </w:rPr>
        <w:t xml:space="preserve">los representantes insisten en que el pago </w:t>
      </w:r>
      <w:r w:rsidR="00F00056" w:rsidRPr="00922BE9">
        <w:rPr>
          <w:rFonts w:ascii="Verdana" w:hAnsi="Verdana" w:cs="Times New Roman"/>
          <w:sz w:val="20"/>
          <w:szCs w:val="20"/>
        </w:rPr>
        <w:t xml:space="preserve">de las indemnizaciones </w:t>
      </w:r>
      <w:r w:rsidRPr="00922BE9">
        <w:rPr>
          <w:rFonts w:ascii="Verdana" w:hAnsi="Verdana" w:cs="Times New Roman"/>
          <w:sz w:val="20"/>
          <w:szCs w:val="20"/>
        </w:rPr>
        <w:t>a las víctimas debe realizarse a través de un depósito judicial o, en su defecto, ser dispuest</w:t>
      </w:r>
      <w:r w:rsidR="00AB39B1" w:rsidRPr="00922BE9">
        <w:rPr>
          <w:rFonts w:ascii="Verdana" w:hAnsi="Verdana" w:cs="Times New Roman"/>
          <w:sz w:val="20"/>
          <w:szCs w:val="20"/>
        </w:rPr>
        <w:t>a su ejecución por un tribunal interno,</w:t>
      </w:r>
      <w:r w:rsidRPr="00922BE9">
        <w:rPr>
          <w:rFonts w:ascii="Verdana" w:hAnsi="Verdana" w:cs="Times New Roman"/>
          <w:sz w:val="20"/>
          <w:szCs w:val="20"/>
        </w:rPr>
        <w:t xml:space="preserve"> cuando desde agosto de 2021 tienen conocimiento </w:t>
      </w:r>
      <w:r w:rsidR="00AB39B1" w:rsidRPr="00922BE9">
        <w:rPr>
          <w:rFonts w:ascii="Verdana" w:hAnsi="Verdana" w:cs="Times New Roman"/>
          <w:sz w:val="20"/>
          <w:szCs w:val="20"/>
        </w:rPr>
        <w:t xml:space="preserve">de un procedimiento más sencillo y expedito, de carácter administrativo, </w:t>
      </w:r>
      <w:r w:rsidR="00F00056" w:rsidRPr="00922BE9">
        <w:rPr>
          <w:rFonts w:ascii="Verdana" w:hAnsi="Verdana" w:cs="Times New Roman"/>
          <w:sz w:val="20"/>
          <w:szCs w:val="20"/>
        </w:rPr>
        <w:t xml:space="preserve">y que </w:t>
      </w:r>
      <w:r w:rsidR="00F00056" w:rsidRPr="00922BE9">
        <w:rPr>
          <w:rFonts w:ascii="Verdana" w:hAnsi="Verdana"/>
          <w:sz w:val="20"/>
          <w:szCs w:val="20"/>
        </w:rPr>
        <w:t xml:space="preserve">es el utilizado </w:t>
      </w:r>
      <w:r w:rsidR="003A795A">
        <w:rPr>
          <w:rFonts w:ascii="Verdana" w:hAnsi="Verdana"/>
          <w:sz w:val="20"/>
          <w:szCs w:val="20"/>
        </w:rPr>
        <w:t xml:space="preserve">para el pago a </w:t>
      </w:r>
      <w:r w:rsidR="00F00056" w:rsidRPr="00922BE9">
        <w:rPr>
          <w:rFonts w:ascii="Verdana" w:hAnsi="Verdana"/>
          <w:sz w:val="20"/>
          <w:szCs w:val="20"/>
        </w:rPr>
        <w:t xml:space="preserve"> otras víctimas de casos contra Argentina conocidos por esta Corte,</w:t>
      </w:r>
      <w:r w:rsidR="00F00056" w:rsidRPr="00922BE9">
        <w:rPr>
          <w:rFonts w:ascii="Verdana" w:hAnsi="Verdana" w:cs="Times New Roman"/>
          <w:sz w:val="20"/>
          <w:szCs w:val="20"/>
        </w:rPr>
        <w:t xml:space="preserve"> </w:t>
      </w:r>
      <w:r w:rsidR="00AB39B1" w:rsidRPr="00922BE9">
        <w:rPr>
          <w:rFonts w:ascii="Verdana" w:hAnsi="Verdana" w:cs="Times New Roman"/>
          <w:sz w:val="20"/>
          <w:szCs w:val="20"/>
        </w:rPr>
        <w:t xml:space="preserve">según el cual las víctimas </w:t>
      </w:r>
      <w:r w:rsidR="00610863" w:rsidRPr="00922BE9">
        <w:rPr>
          <w:rFonts w:ascii="Verdana" w:hAnsi="Verdana" w:cs="Verdana"/>
          <w:sz w:val="20"/>
          <w:szCs w:val="20"/>
        </w:rPr>
        <w:t xml:space="preserve">solo requerirían entregar determinada documentación </w:t>
      </w:r>
      <w:r w:rsidR="000341AC" w:rsidRPr="00922BE9">
        <w:rPr>
          <w:rFonts w:ascii="Verdana" w:hAnsi="Verdana" w:cs="Verdana"/>
          <w:sz w:val="20"/>
          <w:szCs w:val="20"/>
        </w:rPr>
        <w:t xml:space="preserve">a la Tesorería General de la Nación </w:t>
      </w:r>
      <w:r w:rsidR="00A462A0" w:rsidRPr="00922BE9">
        <w:rPr>
          <w:rFonts w:ascii="Verdana" w:hAnsi="Verdana" w:cs="Verdana"/>
          <w:sz w:val="20"/>
          <w:szCs w:val="20"/>
        </w:rPr>
        <w:t xml:space="preserve">para hacer efectivo el </w:t>
      </w:r>
      <w:r w:rsidR="00405A8C" w:rsidRPr="00922BE9">
        <w:rPr>
          <w:rFonts w:ascii="Verdana" w:hAnsi="Verdana" w:cs="Verdana"/>
          <w:sz w:val="20"/>
          <w:szCs w:val="20"/>
        </w:rPr>
        <w:t>pago</w:t>
      </w:r>
      <w:r w:rsidR="00A462A0" w:rsidRPr="00922BE9">
        <w:rPr>
          <w:rFonts w:ascii="Verdana" w:hAnsi="Verdana" w:cs="Verdana"/>
          <w:sz w:val="20"/>
          <w:szCs w:val="20"/>
        </w:rPr>
        <w:t xml:space="preserve"> de la</w:t>
      </w:r>
      <w:r w:rsidR="00405A8C" w:rsidRPr="00922BE9">
        <w:rPr>
          <w:rFonts w:ascii="Verdana" w:hAnsi="Verdana" w:cs="Verdana"/>
          <w:sz w:val="20"/>
          <w:szCs w:val="20"/>
        </w:rPr>
        <w:t>s</w:t>
      </w:r>
      <w:r w:rsidR="00A462A0" w:rsidRPr="00922BE9">
        <w:rPr>
          <w:rFonts w:ascii="Verdana" w:hAnsi="Verdana" w:cs="Verdana"/>
          <w:sz w:val="20"/>
          <w:szCs w:val="20"/>
        </w:rPr>
        <w:t xml:space="preserve"> indemnizaci</w:t>
      </w:r>
      <w:r w:rsidR="00405A8C" w:rsidRPr="00922BE9">
        <w:rPr>
          <w:rFonts w:ascii="Verdana" w:hAnsi="Verdana" w:cs="Verdana"/>
          <w:sz w:val="20"/>
          <w:szCs w:val="20"/>
        </w:rPr>
        <w:t>o</w:t>
      </w:r>
      <w:r w:rsidR="00A462A0" w:rsidRPr="00922BE9">
        <w:rPr>
          <w:rFonts w:ascii="Verdana" w:hAnsi="Verdana" w:cs="Verdana"/>
          <w:sz w:val="20"/>
          <w:szCs w:val="20"/>
        </w:rPr>
        <w:t>n</w:t>
      </w:r>
      <w:r w:rsidR="00405A8C" w:rsidRPr="00922BE9">
        <w:rPr>
          <w:rFonts w:ascii="Verdana" w:hAnsi="Verdana" w:cs="Verdana"/>
          <w:sz w:val="20"/>
          <w:szCs w:val="20"/>
        </w:rPr>
        <w:t>es</w:t>
      </w:r>
      <w:r w:rsidR="00F00056" w:rsidRPr="00922BE9">
        <w:rPr>
          <w:rFonts w:ascii="Verdana" w:hAnsi="Verdana" w:cs="Verdana"/>
          <w:sz w:val="20"/>
          <w:szCs w:val="20"/>
        </w:rPr>
        <w:t>,</w:t>
      </w:r>
      <w:r w:rsidR="00A462A0" w:rsidRPr="00922BE9">
        <w:rPr>
          <w:rFonts w:ascii="Verdana" w:hAnsi="Verdana" w:cs="Verdana"/>
          <w:sz w:val="20"/>
          <w:szCs w:val="20"/>
        </w:rPr>
        <w:t xml:space="preserve"> que se encuentra</w:t>
      </w:r>
      <w:r w:rsidR="00AB39B1" w:rsidRPr="00922BE9">
        <w:rPr>
          <w:rFonts w:ascii="Verdana" w:hAnsi="Verdana" w:cs="Verdana"/>
          <w:sz w:val="20"/>
          <w:szCs w:val="20"/>
        </w:rPr>
        <w:t>n</w:t>
      </w:r>
      <w:r w:rsidR="00A462A0" w:rsidRPr="00922BE9">
        <w:rPr>
          <w:rFonts w:ascii="Verdana" w:hAnsi="Verdana" w:cs="Verdana"/>
          <w:sz w:val="20"/>
          <w:szCs w:val="20"/>
        </w:rPr>
        <w:t xml:space="preserve"> disponible</w:t>
      </w:r>
      <w:r w:rsidR="00AB39B1" w:rsidRPr="00922BE9">
        <w:rPr>
          <w:rFonts w:ascii="Verdana" w:hAnsi="Verdana" w:cs="Verdana"/>
          <w:sz w:val="20"/>
          <w:szCs w:val="20"/>
        </w:rPr>
        <w:t>s</w:t>
      </w:r>
      <w:r w:rsidR="00A462A0" w:rsidRPr="00922BE9">
        <w:rPr>
          <w:rFonts w:ascii="Verdana" w:hAnsi="Verdana" w:cs="Verdana"/>
          <w:sz w:val="20"/>
          <w:szCs w:val="20"/>
        </w:rPr>
        <w:t xml:space="preserve"> </w:t>
      </w:r>
      <w:r w:rsidR="00405A8C" w:rsidRPr="00922BE9">
        <w:rPr>
          <w:rFonts w:ascii="Verdana" w:hAnsi="Verdana" w:cs="Verdana"/>
          <w:sz w:val="20"/>
          <w:szCs w:val="20"/>
        </w:rPr>
        <w:t xml:space="preserve">desde </w:t>
      </w:r>
      <w:r w:rsidR="00AB39B1" w:rsidRPr="00922BE9">
        <w:rPr>
          <w:rFonts w:ascii="Verdana" w:hAnsi="Verdana" w:cs="Verdana"/>
          <w:sz w:val="20"/>
          <w:szCs w:val="20"/>
        </w:rPr>
        <w:t xml:space="preserve">la publicación del Decreto </w:t>
      </w:r>
      <w:r w:rsidR="00D00D49" w:rsidRPr="00922BE9">
        <w:rPr>
          <w:rFonts w:ascii="Verdana" w:hAnsi="Verdana" w:cs="Verdana"/>
          <w:sz w:val="20"/>
          <w:szCs w:val="20"/>
        </w:rPr>
        <w:t xml:space="preserve">de </w:t>
      </w:r>
      <w:r w:rsidR="00D00D49" w:rsidRPr="00922BE9">
        <w:rPr>
          <w:rFonts w:ascii="Verdana" w:hAnsi="Verdana"/>
          <w:sz w:val="20"/>
          <w:szCs w:val="20"/>
        </w:rPr>
        <w:t>24 de agosto de 2021</w:t>
      </w:r>
      <w:r w:rsidR="00922BE9">
        <w:rPr>
          <w:rFonts w:ascii="Verdana" w:hAnsi="Verdana"/>
          <w:sz w:val="20"/>
          <w:szCs w:val="20"/>
        </w:rPr>
        <w:t xml:space="preserve"> </w:t>
      </w:r>
      <w:r w:rsidR="00A462A0" w:rsidRPr="00922BE9">
        <w:rPr>
          <w:rFonts w:ascii="Verdana" w:hAnsi="Verdana" w:cs="Verdana"/>
          <w:sz w:val="20"/>
          <w:szCs w:val="20"/>
        </w:rPr>
        <w:t>(</w:t>
      </w:r>
      <w:r w:rsidR="00A462A0" w:rsidRPr="00922BE9">
        <w:rPr>
          <w:rFonts w:ascii="Verdana" w:hAnsi="Verdana" w:cs="Verdana"/>
          <w:i/>
          <w:iCs/>
          <w:sz w:val="20"/>
          <w:szCs w:val="20"/>
        </w:rPr>
        <w:t>supra</w:t>
      </w:r>
      <w:r w:rsidR="00A462A0" w:rsidRPr="00922BE9">
        <w:rPr>
          <w:rFonts w:ascii="Verdana" w:hAnsi="Verdana" w:cs="Verdana"/>
          <w:sz w:val="20"/>
          <w:szCs w:val="20"/>
        </w:rPr>
        <w:t xml:space="preserve"> Considerando </w:t>
      </w:r>
      <w:r w:rsidR="001D7687">
        <w:rPr>
          <w:rFonts w:ascii="Verdana" w:hAnsi="Verdana" w:cs="Verdana"/>
          <w:sz w:val="20"/>
          <w:szCs w:val="20"/>
        </w:rPr>
        <w:t>5</w:t>
      </w:r>
      <w:r w:rsidR="00A462A0" w:rsidRPr="00922BE9">
        <w:rPr>
          <w:rFonts w:ascii="Verdana" w:hAnsi="Verdana" w:cs="Verdana"/>
          <w:sz w:val="20"/>
          <w:szCs w:val="20"/>
        </w:rPr>
        <w:t>)</w:t>
      </w:r>
      <w:r w:rsidR="00AB39B1">
        <w:rPr>
          <w:rStyle w:val="Refdenotaalpie"/>
          <w:rFonts w:ascii="Verdana" w:hAnsi="Verdana" w:cs="Verdana"/>
          <w:sz w:val="20"/>
          <w:szCs w:val="20"/>
        </w:rPr>
        <w:footnoteReference w:id="13"/>
      </w:r>
      <w:r w:rsidR="00A462A0" w:rsidRPr="00922BE9">
        <w:rPr>
          <w:rFonts w:ascii="Verdana" w:hAnsi="Verdana" w:cs="Verdana"/>
          <w:sz w:val="20"/>
          <w:szCs w:val="20"/>
        </w:rPr>
        <w:t xml:space="preserve">. </w:t>
      </w:r>
      <w:r w:rsidR="006B7DC0" w:rsidRPr="00922BE9">
        <w:rPr>
          <w:rFonts w:ascii="Verdana" w:hAnsi="Verdana" w:cs="Verdana"/>
          <w:sz w:val="20"/>
          <w:szCs w:val="20"/>
        </w:rPr>
        <w:t xml:space="preserve">Por tanto, este Tribunal considera que el retraso en el cumplimiento de esta reparación no es atribuible al Estado, quien ha demostrado su </w:t>
      </w:r>
      <w:r w:rsidR="006B7DC0" w:rsidRPr="00922BE9">
        <w:rPr>
          <w:rFonts w:ascii="Verdana" w:hAnsi="Verdana"/>
          <w:sz w:val="20"/>
          <w:szCs w:val="20"/>
        </w:rPr>
        <w:t>voluntad de realizar el pago de las indemnizaciones a las víctimas</w:t>
      </w:r>
      <w:r w:rsidR="006B7DC0" w:rsidRPr="00922BE9">
        <w:rPr>
          <w:rFonts w:ascii="Verdana" w:hAnsi="Verdana" w:cs="Verdana"/>
          <w:sz w:val="20"/>
          <w:szCs w:val="20"/>
        </w:rPr>
        <w:t>.</w:t>
      </w:r>
    </w:p>
    <w:p w14:paraId="71F450F9" w14:textId="473C6E69" w:rsidR="00BE0DE4" w:rsidRDefault="00220071">
      <w:pPr>
        <w:pStyle w:val="Prrafodelista"/>
        <w:numPr>
          <w:ilvl w:val="0"/>
          <w:numId w:val="4"/>
        </w:numPr>
        <w:autoSpaceDE w:val="0"/>
        <w:autoSpaceDN w:val="0"/>
        <w:adjustRightInd w:val="0"/>
        <w:spacing w:before="120" w:after="120"/>
        <w:ind w:left="0" w:firstLine="0"/>
        <w:jc w:val="both"/>
        <w:rPr>
          <w:rFonts w:ascii="Verdana" w:hAnsi="Verdana" w:cs="Verdana"/>
          <w:sz w:val="20"/>
          <w:szCs w:val="20"/>
        </w:rPr>
      </w:pPr>
      <w:r w:rsidRPr="006B7DC0">
        <w:rPr>
          <w:rFonts w:ascii="Verdana" w:hAnsi="Verdana" w:cs="Verdana"/>
          <w:sz w:val="20"/>
          <w:szCs w:val="20"/>
        </w:rPr>
        <w:t xml:space="preserve">Si bien no es posible entender con claridad </w:t>
      </w:r>
      <w:r w:rsidR="00922BE9">
        <w:rPr>
          <w:rFonts w:ascii="Verdana" w:hAnsi="Verdana" w:cs="Verdana"/>
          <w:sz w:val="20"/>
          <w:szCs w:val="20"/>
        </w:rPr>
        <w:t>los</w:t>
      </w:r>
      <w:r w:rsidRPr="006B7DC0">
        <w:rPr>
          <w:rFonts w:ascii="Verdana" w:hAnsi="Verdana" w:cs="Verdana"/>
          <w:sz w:val="20"/>
          <w:szCs w:val="20"/>
        </w:rPr>
        <w:t xml:space="preserve"> motivo</w:t>
      </w:r>
      <w:r w:rsidR="00922BE9">
        <w:rPr>
          <w:rFonts w:ascii="Verdana" w:hAnsi="Verdana" w:cs="Verdana"/>
          <w:sz w:val="20"/>
          <w:szCs w:val="20"/>
        </w:rPr>
        <w:t>s</w:t>
      </w:r>
      <w:r w:rsidRPr="006B7DC0">
        <w:rPr>
          <w:rFonts w:ascii="Verdana" w:hAnsi="Verdana" w:cs="Verdana"/>
          <w:sz w:val="20"/>
          <w:szCs w:val="20"/>
        </w:rPr>
        <w:t xml:space="preserve"> por </w:t>
      </w:r>
      <w:r w:rsidR="00922BE9">
        <w:rPr>
          <w:rFonts w:ascii="Verdana" w:hAnsi="Verdana" w:cs="Verdana"/>
          <w:sz w:val="20"/>
          <w:szCs w:val="20"/>
        </w:rPr>
        <w:t xml:space="preserve">los </w:t>
      </w:r>
      <w:r w:rsidRPr="006B7DC0">
        <w:rPr>
          <w:rFonts w:ascii="Verdana" w:hAnsi="Verdana" w:cs="Verdana"/>
          <w:sz w:val="20"/>
          <w:szCs w:val="20"/>
        </w:rPr>
        <w:t>cual</w:t>
      </w:r>
      <w:r w:rsidR="00922BE9">
        <w:rPr>
          <w:rFonts w:ascii="Verdana" w:hAnsi="Verdana" w:cs="Verdana"/>
          <w:sz w:val="20"/>
          <w:szCs w:val="20"/>
        </w:rPr>
        <w:t>es</w:t>
      </w:r>
      <w:r w:rsidRPr="006B7DC0">
        <w:rPr>
          <w:rFonts w:ascii="Verdana" w:hAnsi="Verdana" w:cs="Verdana"/>
          <w:sz w:val="20"/>
          <w:szCs w:val="20"/>
        </w:rPr>
        <w:t xml:space="preserve"> </w:t>
      </w:r>
      <w:r w:rsidR="006B7DC0" w:rsidRPr="006B7DC0">
        <w:rPr>
          <w:rFonts w:ascii="Verdana" w:hAnsi="Verdana" w:cs="Verdana"/>
          <w:sz w:val="20"/>
          <w:szCs w:val="20"/>
        </w:rPr>
        <w:t xml:space="preserve">las víctimas </w:t>
      </w:r>
      <w:r w:rsidRPr="006B7DC0">
        <w:rPr>
          <w:rFonts w:ascii="Verdana" w:hAnsi="Verdana" w:cs="Verdana"/>
          <w:sz w:val="20"/>
          <w:szCs w:val="20"/>
        </w:rPr>
        <w:t xml:space="preserve">judicializaron </w:t>
      </w:r>
      <w:r w:rsidR="006B7DC0" w:rsidRPr="006B7DC0">
        <w:rPr>
          <w:rFonts w:ascii="Verdana" w:hAnsi="Verdana" w:cs="Verdana"/>
          <w:sz w:val="20"/>
          <w:szCs w:val="20"/>
        </w:rPr>
        <w:t>a nivel interno la ejecución del pago de las indemnizaciones dispuest</w:t>
      </w:r>
      <w:r w:rsidR="00922BE9">
        <w:rPr>
          <w:rFonts w:ascii="Verdana" w:hAnsi="Verdana" w:cs="Verdana"/>
          <w:sz w:val="20"/>
          <w:szCs w:val="20"/>
        </w:rPr>
        <w:t xml:space="preserve">as </w:t>
      </w:r>
      <w:r w:rsidR="006B7DC0" w:rsidRPr="006B7DC0">
        <w:rPr>
          <w:rFonts w:ascii="Verdana" w:hAnsi="Verdana" w:cs="Verdana"/>
          <w:sz w:val="20"/>
          <w:szCs w:val="20"/>
        </w:rPr>
        <w:t>en la Sentencia, la Corte observa, con base en el escrito presentado</w:t>
      </w:r>
      <w:r w:rsidR="00922BE9">
        <w:rPr>
          <w:rFonts w:ascii="Verdana" w:hAnsi="Verdana" w:cs="Verdana"/>
          <w:sz w:val="20"/>
          <w:szCs w:val="20"/>
        </w:rPr>
        <w:t xml:space="preserve"> </w:t>
      </w:r>
      <w:r w:rsidR="00922BE9" w:rsidRPr="006B7DC0">
        <w:rPr>
          <w:rFonts w:ascii="Verdana" w:hAnsi="Verdana" w:cs="Verdana"/>
          <w:sz w:val="20"/>
          <w:szCs w:val="20"/>
        </w:rPr>
        <w:t>por sus representante</w:t>
      </w:r>
      <w:r w:rsidR="00922BE9">
        <w:rPr>
          <w:rFonts w:ascii="Verdana" w:hAnsi="Verdana" w:cs="Verdana"/>
          <w:sz w:val="20"/>
          <w:szCs w:val="20"/>
        </w:rPr>
        <w:t>s</w:t>
      </w:r>
      <w:r w:rsidR="006B7DC0" w:rsidRPr="006B7DC0">
        <w:rPr>
          <w:rFonts w:ascii="Verdana" w:hAnsi="Verdana" w:cs="Verdana"/>
          <w:sz w:val="20"/>
          <w:szCs w:val="20"/>
        </w:rPr>
        <w:t xml:space="preserve"> en julio de 2022, que ello podría deberse a </w:t>
      </w:r>
      <w:r w:rsidR="006B7DC0">
        <w:rPr>
          <w:rFonts w:ascii="Verdana" w:hAnsi="Verdana" w:cs="Verdana"/>
          <w:sz w:val="20"/>
          <w:szCs w:val="20"/>
        </w:rPr>
        <w:t>una disconformidad con</w:t>
      </w:r>
      <w:r w:rsidR="006B7DC0" w:rsidRPr="006B7DC0">
        <w:rPr>
          <w:rFonts w:ascii="Verdana" w:hAnsi="Verdana" w:cs="Verdana"/>
          <w:sz w:val="20"/>
          <w:szCs w:val="20"/>
        </w:rPr>
        <w:t xml:space="preserve"> que tal pago se realice </w:t>
      </w:r>
      <w:r w:rsidR="006B7DC0">
        <w:rPr>
          <w:rFonts w:ascii="Verdana" w:hAnsi="Verdana" w:cs="Verdana"/>
          <w:sz w:val="20"/>
          <w:szCs w:val="20"/>
        </w:rPr>
        <w:t xml:space="preserve">en moneda </w:t>
      </w:r>
      <w:r w:rsidR="00BE0DE4">
        <w:rPr>
          <w:rFonts w:ascii="Verdana" w:hAnsi="Verdana" w:cs="Verdana"/>
          <w:sz w:val="20"/>
          <w:szCs w:val="20"/>
        </w:rPr>
        <w:t>argentina</w:t>
      </w:r>
      <w:r w:rsidR="006B7DC0" w:rsidRPr="006B7DC0">
        <w:rPr>
          <w:rFonts w:ascii="Verdana" w:hAnsi="Verdana" w:cs="Verdana"/>
          <w:sz w:val="20"/>
          <w:szCs w:val="20"/>
        </w:rPr>
        <w:t xml:space="preserve">. Al respecto, este Tribunal estima oportuno recordar que </w:t>
      </w:r>
      <w:r w:rsidR="006B7DC0">
        <w:rPr>
          <w:rFonts w:ascii="Verdana" w:hAnsi="Verdana" w:cs="Verdana"/>
          <w:sz w:val="20"/>
          <w:szCs w:val="20"/>
        </w:rPr>
        <w:t xml:space="preserve">en la </w:t>
      </w:r>
      <w:r w:rsidR="006B7DC0" w:rsidRPr="006B7DC0">
        <w:rPr>
          <w:rFonts w:ascii="Verdana" w:hAnsi="Verdana" w:cs="Verdana"/>
          <w:sz w:val="20"/>
          <w:szCs w:val="20"/>
        </w:rPr>
        <w:t xml:space="preserve">Sentencia se efectuaron previsiones específicas </w:t>
      </w:r>
      <w:r w:rsidR="00BE0DE4">
        <w:rPr>
          <w:rFonts w:ascii="Verdana" w:hAnsi="Verdana" w:cs="Verdana"/>
          <w:sz w:val="20"/>
          <w:szCs w:val="20"/>
        </w:rPr>
        <w:t xml:space="preserve">en cuanto a la modalidad de </w:t>
      </w:r>
      <w:r w:rsidR="00BE0DE4">
        <w:rPr>
          <w:rFonts w:ascii="Verdana" w:hAnsi="Verdana" w:cs="Verdana"/>
          <w:sz w:val="20"/>
          <w:szCs w:val="20"/>
        </w:rPr>
        <w:lastRenderedPageBreak/>
        <w:t>cumplimiento de los pagos</w:t>
      </w:r>
      <w:r w:rsidR="008C7B72">
        <w:rPr>
          <w:rFonts w:ascii="Verdana" w:hAnsi="Verdana" w:cs="Verdana"/>
          <w:sz w:val="20"/>
          <w:szCs w:val="20"/>
        </w:rPr>
        <w:t xml:space="preserve"> (</w:t>
      </w:r>
      <w:r w:rsidR="008C7B72" w:rsidRPr="0081052D">
        <w:rPr>
          <w:rFonts w:ascii="Verdana" w:hAnsi="Verdana" w:cs="Verdana"/>
          <w:i/>
          <w:iCs/>
          <w:sz w:val="20"/>
          <w:szCs w:val="20"/>
        </w:rPr>
        <w:t>supra</w:t>
      </w:r>
      <w:r w:rsidR="008C7B72">
        <w:rPr>
          <w:rFonts w:ascii="Verdana" w:hAnsi="Verdana" w:cs="Verdana"/>
          <w:sz w:val="20"/>
          <w:szCs w:val="20"/>
        </w:rPr>
        <w:t xml:space="preserve"> Considerando 3)</w:t>
      </w:r>
      <w:r w:rsidR="00BE0DE4">
        <w:rPr>
          <w:rFonts w:ascii="Verdana" w:hAnsi="Verdana" w:cs="Verdana"/>
          <w:sz w:val="20"/>
          <w:szCs w:val="20"/>
        </w:rPr>
        <w:t>, las cuales establecen</w:t>
      </w:r>
      <w:r w:rsidR="008C7B72">
        <w:rPr>
          <w:rFonts w:ascii="Verdana" w:hAnsi="Verdana" w:cs="Verdana"/>
          <w:sz w:val="20"/>
          <w:szCs w:val="20"/>
        </w:rPr>
        <w:t>, entre otros aspectos,</w:t>
      </w:r>
      <w:r w:rsidR="00BE0DE4">
        <w:rPr>
          <w:rFonts w:ascii="Verdana" w:hAnsi="Verdana" w:cs="Verdana"/>
          <w:sz w:val="20"/>
          <w:szCs w:val="20"/>
        </w:rPr>
        <w:t xml:space="preserve"> las condiciones bajo las cuales el Estado puede realizar el pago en moneda nacional</w:t>
      </w:r>
      <w:r w:rsidR="006B7DC0" w:rsidRPr="006B7DC0">
        <w:rPr>
          <w:rFonts w:ascii="Verdana" w:hAnsi="Verdana" w:cs="Verdana"/>
          <w:sz w:val="20"/>
          <w:szCs w:val="20"/>
        </w:rPr>
        <w:t>. En ese sentido, en el párrafo 84 del a Sentencia</w:t>
      </w:r>
      <w:r w:rsidR="00BE0DE4">
        <w:rPr>
          <w:rFonts w:ascii="Verdana" w:hAnsi="Verdana" w:cs="Verdana"/>
          <w:sz w:val="20"/>
          <w:szCs w:val="20"/>
        </w:rPr>
        <w:t>,</w:t>
      </w:r>
      <w:r w:rsidR="006B7DC0" w:rsidRPr="006B7DC0">
        <w:rPr>
          <w:rFonts w:ascii="Verdana" w:hAnsi="Verdana" w:cs="Verdana"/>
          <w:sz w:val="20"/>
          <w:szCs w:val="20"/>
        </w:rPr>
        <w:t xml:space="preserve"> se dispuso que: </w:t>
      </w:r>
    </w:p>
    <w:p w14:paraId="30A879FB" w14:textId="1746C9BA" w:rsidR="006B7DC0" w:rsidRPr="00695DEE" w:rsidRDefault="006B7DC0" w:rsidP="00BE0DE4">
      <w:pPr>
        <w:pStyle w:val="Prrafodelista"/>
        <w:autoSpaceDE w:val="0"/>
        <w:autoSpaceDN w:val="0"/>
        <w:adjustRightInd w:val="0"/>
        <w:spacing w:before="120" w:after="120"/>
        <w:ind w:left="567" w:right="474"/>
        <w:jc w:val="both"/>
        <w:rPr>
          <w:rFonts w:ascii="Verdana" w:hAnsi="Verdana"/>
          <w:i/>
          <w:iCs/>
          <w:sz w:val="16"/>
          <w:szCs w:val="16"/>
        </w:rPr>
      </w:pPr>
      <w:r w:rsidRPr="00BE0DE4">
        <w:rPr>
          <w:rFonts w:ascii="Verdana" w:hAnsi="Verdana" w:cs="Verdana"/>
          <w:sz w:val="16"/>
          <w:szCs w:val="16"/>
        </w:rPr>
        <w:t>[</w:t>
      </w:r>
      <w:r w:rsidRPr="00BE0DE4">
        <w:rPr>
          <w:rFonts w:ascii="Verdana" w:hAnsi="Verdana"/>
          <w:sz w:val="16"/>
          <w:szCs w:val="16"/>
        </w:rPr>
        <w:t xml:space="preserve">e]l Estado debe </w:t>
      </w:r>
      <w:r w:rsidRPr="00BE0DE4">
        <w:rPr>
          <w:rFonts w:ascii="Verdana" w:hAnsi="Verdana"/>
          <w:b/>
          <w:bCs/>
          <w:sz w:val="16"/>
          <w:szCs w:val="16"/>
        </w:rPr>
        <w:t>cumplir sus obligaciones monetarias mediante el pago en dólares</w:t>
      </w:r>
      <w:r w:rsidRPr="00BE0DE4">
        <w:rPr>
          <w:rFonts w:ascii="Verdana" w:hAnsi="Verdana"/>
          <w:sz w:val="16"/>
          <w:szCs w:val="16"/>
        </w:rPr>
        <w:t xml:space="preserve"> de los Estados Unidos de América o, </w:t>
      </w:r>
      <w:r w:rsidRPr="00BE0DE4">
        <w:rPr>
          <w:rFonts w:ascii="Verdana" w:hAnsi="Verdana"/>
          <w:b/>
          <w:bCs/>
          <w:sz w:val="16"/>
          <w:szCs w:val="16"/>
        </w:rPr>
        <w:t>de no ser esto posible, en su equivalente en moneda argentina, utilizando para el cálculo respectivo la tasa más alta y más beneficiosa para las personas beneficiarias que permita su ordenamiento interno</w:t>
      </w:r>
      <w:r w:rsidRPr="00BE0DE4">
        <w:rPr>
          <w:rFonts w:ascii="Verdana" w:hAnsi="Verdana"/>
          <w:sz w:val="16"/>
          <w:szCs w:val="16"/>
        </w:rPr>
        <w:t>, vigente al momento del pago</w:t>
      </w:r>
      <w:r w:rsidR="00BE0DE4">
        <w:rPr>
          <w:rFonts w:ascii="Verdana" w:hAnsi="Verdana"/>
          <w:sz w:val="16"/>
          <w:szCs w:val="16"/>
        </w:rPr>
        <w:t>. D</w:t>
      </w:r>
      <w:r w:rsidRPr="00BE0DE4">
        <w:rPr>
          <w:rFonts w:ascii="Verdana" w:hAnsi="Verdana"/>
          <w:sz w:val="16"/>
          <w:szCs w:val="16"/>
        </w:rPr>
        <w:t>urante la etapa de supervisión de cumplimento de la sentencia, la Corte podrá reajustar prudentemente el equivalente de estas cifras en moneda argentina, con el objeto de evitar que las variaciones cambiarias afecten sustancialmente el valor adquisitivo de esos montos.</w:t>
      </w:r>
      <w:r w:rsidR="00BE0DE4">
        <w:rPr>
          <w:rFonts w:ascii="Verdana" w:hAnsi="Verdana"/>
          <w:sz w:val="16"/>
          <w:szCs w:val="16"/>
        </w:rPr>
        <w:t xml:space="preserve"> </w:t>
      </w:r>
      <w:r w:rsidR="00BE0DE4" w:rsidRPr="00695DEE">
        <w:rPr>
          <w:rFonts w:ascii="Verdana" w:hAnsi="Verdana"/>
          <w:i/>
          <w:iCs/>
          <w:sz w:val="16"/>
          <w:szCs w:val="16"/>
        </w:rPr>
        <w:t>(Énfasis añadido)</w:t>
      </w:r>
    </w:p>
    <w:p w14:paraId="4D50A738" w14:textId="77777777" w:rsidR="00695DEE" w:rsidRPr="00BE0DE4" w:rsidRDefault="00695DEE" w:rsidP="00BE0DE4">
      <w:pPr>
        <w:pStyle w:val="Prrafodelista"/>
        <w:autoSpaceDE w:val="0"/>
        <w:autoSpaceDN w:val="0"/>
        <w:adjustRightInd w:val="0"/>
        <w:spacing w:before="120" w:after="120"/>
        <w:ind w:left="567" w:right="474"/>
        <w:jc w:val="both"/>
        <w:rPr>
          <w:rFonts w:ascii="Verdana" w:hAnsi="Verdana" w:cs="Verdana"/>
          <w:sz w:val="16"/>
          <w:szCs w:val="16"/>
        </w:rPr>
      </w:pPr>
    </w:p>
    <w:p w14:paraId="6F6DC9A0" w14:textId="11B593B4" w:rsidR="006B7DC0" w:rsidRDefault="006B7DC0" w:rsidP="006B7DC0">
      <w:pPr>
        <w:pStyle w:val="Prrafodelista"/>
        <w:numPr>
          <w:ilvl w:val="0"/>
          <w:numId w:val="4"/>
        </w:numPr>
        <w:spacing w:before="120" w:after="120"/>
        <w:ind w:left="0" w:firstLine="0"/>
        <w:jc w:val="both"/>
        <w:rPr>
          <w:rFonts w:ascii="Verdana" w:hAnsi="Verdana"/>
          <w:sz w:val="20"/>
          <w:szCs w:val="20"/>
        </w:rPr>
      </w:pPr>
      <w:r>
        <w:rPr>
          <w:rFonts w:ascii="Verdana" w:hAnsi="Verdana"/>
          <w:sz w:val="20"/>
          <w:szCs w:val="20"/>
        </w:rPr>
        <w:t>Por otra parte, en virtud de que el pago de las indemnizaciones no se ha efectivizado por razones que no son atribuibles a</w:t>
      </w:r>
      <w:r w:rsidR="003A795A">
        <w:rPr>
          <w:rFonts w:ascii="Verdana" w:hAnsi="Verdana"/>
          <w:sz w:val="20"/>
          <w:szCs w:val="20"/>
        </w:rPr>
        <w:t>l Estado</w:t>
      </w:r>
      <w:r>
        <w:rPr>
          <w:rFonts w:ascii="Verdana" w:hAnsi="Verdana"/>
          <w:sz w:val="20"/>
          <w:szCs w:val="20"/>
        </w:rPr>
        <w:t xml:space="preserve">, este Tribunal considera que </w:t>
      </w:r>
      <w:r w:rsidRPr="003A5850">
        <w:rPr>
          <w:rFonts w:ascii="Verdana" w:hAnsi="Verdana"/>
          <w:sz w:val="20"/>
          <w:szCs w:val="20"/>
        </w:rPr>
        <w:t xml:space="preserve">no </w:t>
      </w:r>
      <w:r>
        <w:rPr>
          <w:rFonts w:ascii="Verdana" w:hAnsi="Verdana"/>
          <w:sz w:val="20"/>
          <w:szCs w:val="20"/>
        </w:rPr>
        <w:t>se</w:t>
      </w:r>
      <w:r w:rsidRPr="003A5850">
        <w:rPr>
          <w:rFonts w:ascii="Verdana" w:hAnsi="Verdana"/>
          <w:sz w:val="20"/>
          <w:szCs w:val="20"/>
        </w:rPr>
        <w:t xml:space="preserve"> genera obligación de pagar intereses moratorios</w:t>
      </w:r>
      <w:r>
        <w:rPr>
          <w:rStyle w:val="Refdenotaalpie"/>
          <w:rFonts w:ascii="Verdana" w:hAnsi="Verdana"/>
          <w:sz w:val="20"/>
          <w:szCs w:val="20"/>
        </w:rPr>
        <w:footnoteReference w:id="14"/>
      </w:r>
      <w:r w:rsidRPr="003A5850">
        <w:rPr>
          <w:rFonts w:ascii="Verdana" w:hAnsi="Verdana"/>
          <w:sz w:val="20"/>
          <w:szCs w:val="20"/>
        </w:rPr>
        <w:t xml:space="preserve"> por el tiempo en que no incurrió en retraso</w:t>
      </w:r>
      <w:r>
        <w:rPr>
          <w:rStyle w:val="Refdenotaalpie"/>
          <w:rFonts w:ascii="Verdana" w:hAnsi="Verdana"/>
          <w:sz w:val="20"/>
          <w:szCs w:val="20"/>
        </w:rPr>
        <w:footnoteReference w:id="15"/>
      </w:r>
      <w:r>
        <w:rPr>
          <w:rFonts w:ascii="Verdana" w:hAnsi="Verdana"/>
          <w:sz w:val="20"/>
          <w:szCs w:val="20"/>
        </w:rPr>
        <w:t xml:space="preserve">. En ese sentido, Argentina únicamente deberá pagar los intereses moratorios que se hayan generado desde el 5 de agosto de 2021, </w:t>
      </w:r>
      <w:r w:rsidRPr="0017163E">
        <w:rPr>
          <w:rFonts w:ascii="Verdana" w:hAnsi="Verdana"/>
          <w:sz w:val="20"/>
          <w:szCs w:val="20"/>
        </w:rPr>
        <w:t>fecha de vencimiento del plazo</w:t>
      </w:r>
      <w:r>
        <w:rPr>
          <w:rFonts w:ascii="Verdana" w:hAnsi="Verdana"/>
          <w:sz w:val="20"/>
          <w:szCs w:val="20"/>
        </w:rPr>
        <w:t xml:space="preserve"> de un año</w:t>
      </w:r>
      <w:r w:rsidRPr="0017163E">
        <w:rPr>
          <w:rFonts w:ascii="Verdana" w:hAnsi="Verdana"/>
          <w:sz w:val="20"/>
          <w:szCs w:val="20"/>
        </w:rPr>
        <w:t xml:space="preserve"> dispuesto en la Sentencia para realizar </w:t>
      </w:r>
      <w:r>
        <w:rPr>
          <w:rFonts w:ascii="Verdana" w:hAnsi="Verdana"/>
          <w:sz w:val="20"/>
          <w:szCs w:val="20"/>
        </w:rPr>
        <w:t>los</w:t>
      </w:r>
      <w:r w:rsidRPr="0017163E">
        <w:rPr>
          <w:rFonts w:ascii="Verdana" w:hAnsi="Verdana"/>
          <w:sz w:val="20"/>
          <w:szCs w:val="20"/>
        </w:rPr>
        <w:t xml:space="preserve"> pago</w:t>
      </w:r>
      <w:r>
        <w:rPr>
          <w:rFonts w:ascii="Verdana" w:hAnsi="Verdana"/>
          <w:sz w:val="20"/>
          <w:szCs w:val="20"/>
        </w:rPr>
        <w:t>s,</w:t>
      </w:r>
      <w:r w:rsidR="00922BE9">
        <w:rPr>
          <w:rFonts w:ascii="Verdana" w:hAnsi="Verdana"/>
          <w:sz w:val="20"/>
          <w:szCs w:val="20"/>
        </w:rPr>
        <w:t xml:space="preserve"> </w:t>
      </w:r>
      <w:r>
        <w:rPr>
          <w:rFonts w:ascii="Verdana" w:hAnsi="Verdana"/>
          <w:sz w:val="20"/>
          <w:szCs w:val="20"/>
        </w:rPr>
        <w:t>hasta</w:t>
      </w:r>
      <w:r w:rsidRPr="0017163E">
        <w:rPr>
          <w:rFonts w:ascii="Verdana" w:hAnsi="Verdana"/>
          <w:sz w:val="20"/>
          <w:szCs w:val="20"/>
        </w:rPr>
        <w:t xml:space="preserve"> </w:t>
      </w:r>
      <w:r>
        <w:rPr>
          <w:rFonts w:ascii="Verdana" w:hAnsi="Verdana"/>
          <w:sz w:val="20"/>
          <w:szCs w:val="20"/>
        </w:rPr>
        <w:t xml:space="preserve">el 26 de agosto de 2021, </w:t>
      </w:r>
      <w:r w:rsidRPr="0017163E">
        <w:rPr>
          <w:rFonts w:ascii="Verdana" w:hAnsi="Verdana"/>
          <w:sz w:val="20"/>
          <w:szCs w:val="20"/>
        </w:rPr>
        <w:t xml:space="preserve">fecha en que comunicó </w:t>
      </w:r>
      <w:r>
        <w:rPr>
          <w:rFonts w:ascii="Verdana" w:hAnsi="Verdana"/>
          <w:sz w:val="20"/>
          <w:szCs w:val="20"/>
        </w:rPr>
        <w:t xml:space="preserve">por primera vez </w:t>
      </w:r>
      <w:r w:rsidRPr="0017163E">
        <w:rPr>
          <w:rFonts w:ascii="Verdana" w:hAnsi="Verdana"/>
          <w:sz w:val="20"/>
          <w:szCs w:val="20"/>
        </w:rPr>
        <w:t xml:space="preserve">a </w:t>
      </w:r>
      <w:r>
        <w:rPr>
          <w:rFonts w:ascii="Verdana" w:hAnsi="Verdana"/>
          <w:sz w:val="20"/>
          <w:szCs w:val="20"/>
        </w:rPr>
        <w:t xml:space="preserve">los </w:t>
      </w:r>
      <w:r w:rsidRPr="0017163E">
        <w:rPr>
          <w:rFonts w:ascii="Verdana" w:hAnsi="Verdana"/>
          <w:sz w:val="20"/>
          <w:szCs w:val="20"/>
        </w:rPr>
        <w:t xml:space="preserve">representantes </w:t>
      </w:r>
      <w:r>
        <w:rPr>
          <w:rFonts w:ascii="Verdana" w:hAnsi="Verdana"/>
          <w:sz w:val="20"/>
          <w:szCs w:val="20"/>
        </w:rPr>
        <w:t>“</w:t>
      </w:r>
      <w:r w:rsidRPr="0017163E">
        <w:rPr>
          <w:rFonts w:ascii="Verdana" w:hAnsi="Verdana"/>
          <w:sz w:val="20"/>
          <w:szCs w:val="20"/>
        </w:rPr>
        <w:t xml:space="preserve">que los pagos estaban a </w:t>
      </w:r>
      <w:r>
        <w:rPr>
          <w:rFonts w:ascii="Verdana" w:hAnsi="Verdana"/>
          <w:sz w:val="20"/>
          <w:szCs w:val="20"/>
        </w:rPr>
        <w:t>[…]</w:t>
      </w:r>
      <w:r w:rsidRPr="0017163E">
        <w:rPr>
          <w:rFonts w:ascii="Verdana" w:hAnsi="Verdana"/>
          <w:sz w:val="20"/>
          <w:szCs w:val="20"/>
        </w:rPr>
        <w:t xml:space="preserve"> plena disposición para ser retirados o hechos efectivos”</w:t>
      </w:r>
      <w:r>
        <w:rPr>
          <w:rStyle w:val="Refdenotaalpie"/>
          <w:rFonts w:ascii="Verdana" w:hAnsi="Verdana"/>
          <w:sz w:val="20"/>
          <w:szCs w:val="20"/>
        </w:rPr>
        <w:footnoteReference w:id="16"/>
      </w:r>
      <w:r>
        <w:rPr>
          <w:rFonts w:ascii="Verdana" w:hAnsi="Verdana"/>
          <w:sz w:val="20"/>
          <w:szCs w:val="20"/>
        </w:rPr>
        <w:t xml:space="preserve"> (</w:t>
      </w:r>
      <w:r w:rsidRPr="0012346B">
        <w:rPr>
          <w:rFonts w:ascii="Verdana" w:hAnsi="Verdana"/>
          <w:i/>
          <w:iCs/>
          <w:sz w:val="20"/>
          <w:szCs w:val="20"/>
        </w:rPr>
        <w:t>supra</w:t>
      </w:r>
      <w:r>
        <w:rPr>
          <w:rFonts w:ascii="Verdana" w:hAnsi="Verdana"/>
          <w:sz w:val="20"/>
          <w:szCs w:val="20"/>
        </w:rPr>
        <w:t xml:space="preserve"> Considerando </w:t>
      </w:r>
      <w:r w:rsidR="001D7687">
        <w:rPr>
          <w:rFonts w:ascii="Verdana" w:hAnsi="Verdana"/>
          <w:sz w:val="20"/>
          <w:szCs w:val="20"/>
        </w:rPr>
        <w:t>8</w:t>
      </w:r>
      <w:r w:rsidR="008C7B72">
        <w:rPr>
          <w:rFonts w:ascii="Verdana" w:hAnsi="Verdana"/>
          <w:sz w:val="20"/>
          <w:szCs w:val="20"/>
        </w:rPr>
        <w:t xml:space="preserve"> y nota al pie 14</w:t>
      </w:r>
      <w:r>
        <w:rPr>
          <w:rFonts w:ascii="Verdana" w:hAnsi="Verdana"/>
          <w:sz w:val="20"/>
          <w:szCs w:val="20"/>
        </w:rPr>
        <w:t>).</w:t>
      </w:r>
      <w:r w:rsidRPr="00930EF8">
        <w:rPr>
          <w:rFonts w:ascii="Verdana" w:hAnsi="Verdana"/>
          <w:sz w:val="20"/>
          <w:szCs w:val="20"/>
        </w:rPr>
        <w:t xml:space="preserve"> </w:t>
      </w:r>
    </w:p>
    <w:p w14:paraId="2923E18B" w14:textId="0968A94E" w:rsidR="009905A6" w:rsidRPr="009905A6" w:rsidRDefault="00F00056" w:rsidP="009905A6">
      <w:pPr>
        <w:pStyle w:val="Prrafodelista"/>
        <w:numPr>
          <w:ilvl w:val="0"/>
          <w:numId w:val="4"/>
        </w:numPr>
        <w:spacing w:before="120" w:after="120"/>
        <w:ind w:left="0" w:firstLine="0"/>
        <w:jc w:val="both"/>
        <w:rPr>
          <w:rFonts w:ascii="Verdana" w:hAnsi="Verdana"/>
          <w:sz w:val="20"/>
          <w:szCs w:val="20"/>
        </w:rPr>
      </w:pPr>
      <w:r>
        <w:rPr>
          <w:rFonts w:ascii="Verdana" w:hAnsi="Verdana"/>
          <w:sz w:val="20"/>
          <w:szCs w:val="20"/>
        </w:rPr>
        <w:t>Tomando en cuenta lo anterior,</w:t>
      </w:r>
      <w:r w:rsidR="007A325C">
        <w:rPr>
          <w:rFonts w:ascii="Verdana" w:hAnsi="Verdana"/>
          <w:sz w:val="20"/>
          <w:szCs w:val="20"/>
        </w:rPr>
        <w:t xml:space="preserve"> </w:t>
      </w:r>
      <w:r w:rsidR="006B08AA">
        <w:rPr>
          <w:rFonts w:ascii="Verdana" w:hAnsi="Verdana"/>
          <w:sz w:val="20"/>
          <w:szCs w:val="20"/>
        </w:rPr>
        <w:t xml:space="preserve">la Corte considera que el Estado </w:t>
      </w:r>
      <w:r>
        <w:rPr>
          <w:rFonts w:ascii="Verdana" w:hAnsi="Verdana"/>
          <w:sz w:val="20"/>
          <w:szCs w:val="20"/>
        </w:rPr>
        <w:t>h</w:t>
      </w:r>
      <w:r w:rsidR="006B08AA">
        <w:rPr>
          <w:rFonts w:ascii="Verdana" w:hAnsi="Verdana"/>
          <w:sz w:val="20"/>
          <w:szCs w:val="20"/>
        </w:rPr>
        <w:t xml:space="preserve">a </w:t>
      </w:r>
      <w:r w:rsidR="00AE1B46">
        <w:rPr>
          <w:rFonts w:ascii="Verdana" w:hAnsi="Verdana"/>
          <w:sz w:val="20"/>
          <w:szCs w:val="20"/>
        </w:rPr>
        <w:t>demostrado su voluntad de dar cumplimiento al pago de indemnizaciones por daño inmaterial ordenadas en el</w:t>
      </w:r>
      <w:r w:rsidR="006B08AA">
        <w:rPr>
          <w:rFonts w:ascii="Verdana" w:hAnsi="Verdana"/>
          <w:sz w:val="20"/>
          <w:szCs w:val="20"/>
        </w:rPr>
        <w:t xml:space="preserve"> punto resolutivo </w:t>
      </w:r>
      <w:r w:rsidR="00F13E0A">
        <w:rPr>
          <w:rFonts w:ascii="Verdana" w:hAnsi="Verdana"/>
          <w:sz w:val="20"/>
          <w:szCs w:val="20"/>
        </w:rPr>
        <w:t>quinto de la Sentencia</w:t>
      </w:r>
      <w:r>
        <w:rPr>
          <w:rFonts w:ascii="Verdana" w:hAnsi="Verdana"/>
          <w:sz w:val="20"/>
          <w:szCs w:val="20"/>
        </w:rPr>
        <w:t xml:space="preserve">, y </w:t>
      </w:r>
      <w:r w:rsidR="008D4AB7">
        <w:rPr>
          <w:rFonts w:ascii="Verdana" w:hAnsi="Verdana"/>
          <w:sz w:val="20"/>
          <w:szCs w:val="20"/>
        </w:rPr>
        <w:t xml:space="preserve">considera que las víctimas deben </w:t>
      </w:r>
      <w:r w:rsidR="007A0BE9" w:rsidRPr="00F00056">
        <w:rPr>
          <w:rFonts w:ascii="Verdana" w:hAnsi="Verdana"/>
          <w:sz w:val="20"/>
          <w:szCs w:val="20"/>
        </w:rPr>
        <w:t>present</w:t>
      </w:r>
      <w:r w:rsidR="008D4AB7">
        <w:rPr>
          <w:rFonts w:ascii="Verdana" w:hAnsi="Verdana"/>
          <w:sz w:val="20"/>
          <w:szCs w:val="20"/>
        </w:rPr>
        <w:t>ar</w:t>
      </w:r>
      <w:r w:rsidR="007A0BE9" w:rsidRPr="00F00056">
        <w:rPr>
          <w:rFonts w:ascii="Verdana" w:hAnsi="Verdana"/>
          <w:sz w:val="20"/>
          <w:szCs w:val="20"/>
        </w:rPr>
        <w:t xml:space="preserve"> la </w:t>
      </w:r>
      <w:r w:rsidR="009F1A80" w:rsidRPr="00F00056">
        <w:rPr>
          <w:rFonts w:ascii="Verdana" w:hAnsi="Verdana"/>
          <w:sz w:val="20"/>
          <w:szCs w:val="20"/>
        </w:rPr>
        <w:t xml:space="preserve">documentación requerida </w:t>
      </w:r>
      <w:r w:rsidR="007A0BE9" w:rsidRPr="00F00056">
        <w:rPr>
          <w:rFonts w:ascii="Verdana" w:hAnsi="Verdana"/>
          <w:sz w:val="20"/>
          <w:szCs w:val="20"/>
        </w:rPr>
        <w:t>por el Estado, sin mayores dilaciones</w:t>
      </w:r>
      <w:r w:rsidR="008D4AB7">
        <w:rPr>
          <w:rFonts w:ascii="Verdana" w:hAnsi="Verdana"/>
          <w:sz w:val="20"/>
          <w:szCs w:val="20"/>
        </w:rPr>
        <w:t>, para que pueda proceder con los pagos.</w:t>
      </w:r>
      <w:r w:rsidR="00922BE9">
        <w:rPr>
          <w:rFonts w:ascii="Verdana" w:hAnsi="Verdana"/>
          <w:sz w:val="20"/>
          <w:szCs w:val="20"/>
        </w:rPr>
        <w:t xml:space="preserve"> </w:t>
      </w:r>
      <w:r w:rsidR="008D4AB7" w:rsidRPr="005357A7">
        <w:rPr>
          <w:rFonts w:ascii="Verdana" w:hAnsi="Verdana"/>
          <w:sz w:val="20"/>
          <w:szCs w:val="20"/>
        </w:rPr>
        <w:t xml:space="preserve">En caso de </w:t>
      </w:r>
      <w:r w:rsidR="00976C36" w:rsidRPr="005357A7">
        <w:rPr>
          <w:rFonts w:ascii="Verdana" w:hAnsi="Verdana"/>
          <w:sz w:val="20"/>
          <w:szCs w:val="20"/>
        </w:rPr>
        <w:t xml:space="preserve">que, eventualmente, los representantes presenten observaciones </w:t>
      </w:r>
      <w:r w:rsidR="003A795A">
        <w:rPr>
          <w:rFonts w:ascii="Verdana" w:hAnsi="Verdana"/>
          <w:sz w:val="20"/>
          <w:szCs w:val="20"/>
        </w:rPr>
        <w:t xml:space="preserve">en este proceso internacional </w:t>
      </w:r>
      <w:r w:rsidR="00976C36" w:rsidRPr="005357A7">
        <w:rPr>
          <w:rFonts w:ascii="Verdana" w:hAnsi="Verdana"/>
          <w:sz w:val="20"/>
          <w:szCs w:val="20"/>
        </w:rPr>
        <w:t xml:space="preserve">sobre </w:t>
      </w:r>
      <w:r w:rsidR="003A795A">
        <w:rPr>
          <w:rFonts w:ascii="Verdana" w:hAnsi="Verdana"/>
          <w:sz w:val="20"/>
          <w:szCs w:val="20"/>
        </w:rPr>
        <w:t>la moneda de pago o el tipo de cambio</w:t>
      </w:r>
      <w:r w:rsidR="005A5B1A" w:rsidRPr="005357A7">
        <w:rPr>
          <w:rFonts w:ascii="Verdana" w:hAnsi="Verdana"/>
          <w:sz w:val="20"/>
          <w:szCs w:val="20"/>
        </w:rPr>
        <w:t>, ello sería</w:t>
      </w:r>
      <w:r w:rsidR="005357A7" w:rsidRPr="005357A7">
        <w:rPr>
          <w:rFonts w:ascii="Verdana" w:hAnsi="Verdana"/>
          <w:sz w:val="20"/>
          <w:szCs w:val="20"/>
        </w:rPr>
        <w:t xml:space="preserve"> </w:t>
      </w:r>
      <w:r w:rsidR="00976C36" w:rsidRPr="005357A7">
        <w:rPr>
          <w:rFonts w:ascii="Verdana" w:hAnsi="Verdana"/>
          <w:sz w:val="20"/>
          <w:szCs w:val="20"/>
        </w:rPr>
        <w:t>valorad</w:t>
      </w:r>
      <w:r w:rsidR="005A5B1A" w:rsidRPr="005357A7">
        <w:rPr>
          <w:rFonts w:ascii="Verdana" w:hAnsi="Verdana"/>
          <w:sz w:val="20"/>
          <w:szCs w:val="20"/>
        </w:rPr>
        <w:t>o</w:t>
      </w:r>
      <w:r w:rsidR="00976C36" w:rsidRPr="005357A7">
        <w:rPr>
          <w:rFonts w:ascii="Verdana" w:hAnsi="Verdana"/>
          <w:sz w:val="20"/>
          <w:szCs w:val="20"/>
        </w:rPr>
        <w:t xml:space="preserve"> por este Tribunal.</w:t>
      </w:r>
      <w:r w:rsidR="00FB2463" w:rsidRPr="005357A7">
        <w:rPr>
          <w:rFonts w:ascii="Verdana" w:hAnsi="Verdana"/>
          <w:sz w:val="20"/>
          <w:szCs w:val="20"/>
        </w:rPr>
        <w:t xml:space="preserve"> </w:t>
      </w:r>
      <w:r w:rsidR="008C4B53">
        <w:rPr>
          <w:rFonts w:ascii="Verdana" w:hAnsi="Verdana"/>
          <w:sz w:val="20"/>
          <w:szCs w:val="20"/>
        </w:rPr>
        <w:t>Además</w:t>
      </w:r>
      <w:r w:rsidR="009905A6" w:rsidRPr="009905A6">
        <w:rPr>
          <w:rFonts w:ascii="Verdana" w:hAnsi="Verdana"/>
          <w:sz w:val="20"/>
          <w:szCs w:val="20"/>
        </w:rPr>
        <w:t>,</w:t>
      </w:r>
      <w:r w:rsidR="008C4B53">
        <w:rPr>
          <w:rFonts w:ascii="Verdana" w:hAnsi="Verdana"/>
          <w:sz w:val="20"/>
          <w:szCs w:val="20"/>
        </w:rPr>
        <w:t xml:space="preserve"> si </w:t>
      </w:r>
      <w:r w:rsidR="009905A6" w:rsidRPr="009905A6">
        <w:rPr>
          <w:rFonts w:ascii="Verdana" w:hAnsi="Verdana"/>
          <w:sz w:val="20"/>
          <w:szCs w:val="20"/>
        </w:rPr>
        <w:t xml:space="preserve">transcurrido un plazo de dos meses, contado a partir de la notificación de la presente Resolución, las víctimas continuasen con su postura de no recibir un pago de forma directa hasta tanto no se resuelva el proceso judicial que plantearon, se requiere al Estado que indique si es posible una consignación judicial de los pagos </w:t>
      </w:r>
      <w:r w:rsidR="008C4B53">
        <w:rPr>
          <w:rFonts w:ascii="Verdana" w:hAnsi="Verdana"/>
          <w:sz w:val="20"/>
          <w:szCs w:val="20"/>
        </w:rPr>
        <w:t>de las indemnizaciones e intereses moratorios (</w:t>
      </w:r>
      <w:r w:rsidR="008C4B53" w:rsidRPr="0081052D">
        <w:rPr>
          <w:rFonts w:ascii="Verdana" w:hAnsi="Verdana"/>
          <w:i/>
          <w:iCs/>
          <w:sz w:val="20"/>
          <w:szCs w:val="20"/>
        </w:rPr>
        <w:t>supra</w:t>
      </w:r>
      <w:r w:rsidR="008C4B53">
        <w:rPr>
          <w:rFonts w:ascii="Verdana" w:hAnsi="Verdana"/>
          <w:sz w:val="20"/>
          <w:szCs w:val="20"/>
        </w:rPr>
        <w:t xml:space="preserve"> Considerando 10) </w:t>
      </w:r>
      <w:r w:rsidR="009905A6" w:rsidRPr="009905A6">
        <w:rPr>
          <w:rFonts w:ascii="Verdana" w:hAnsi="Verdana"/>
          <w:sz w:val="20"/>
          <w:szCs w:val="20"/>
        </w:rPr>
        <w:t>y realice la misma de ser posible, de forma tal que esta Corte pueda valorar el cumplimiento de la reparación.</w:t>
      </w:r>
    </w:p>
    <w:p w14:paraId="3206D27B" w14:textId="77777777" w:rsidR="00620C77" w:rsidRDefault="00620C77" w:rsidP="005357A7">
      <w:pPr>
        <w:pStyle w:val="Prrafodelista"/>
        <w:spacing w:before="120" w:after="120"/>
        <w:ind w:left="0"/>
        <w:jc w:val="center"/>
        <w:rPr>
          <w:rFonts w:ascii="Verdana" w:hAnsi="Verdana"/>
          <w:sz w:val="20"/>
          <w:szCs w:val="20"/>
        </w:rPr>
      </w:pPr>
    </w:p>
    <w:p w14:paraId="721B0123" w14:textId="380BA6B2" w:rsidR="005357A7" w:rsidRPr="005357A7" w:rsidRDefault="005357A7" w:rsidP="005357A7">
      <w:pPr>
        <w:pStyle w:val="Prrafodelista"/>
        <w:spacing w:before="120" w:after="120"/>
        <w:ind w:left="0"/>
        <w:jc w:val="center"/>
        <w:rPr>
          <w:rFonts w:ascii="Verdana" w:hAnsi="Verdana"/>
          <w:sz w:val="20"/>
          <w:szCs w:val="20"/>
        </w:rPr>
      </w:pPr>
      <w:r w:rsidRPr="005357A7">
        <w:rPr>
          <w:rFonts w:ascii="Verdana" w:hAnsi="Verdana"/>
          <w:sz w:val="20"/>
          <w:szCs w:val="20"/>
        </w:rPr>
        <w:t>***</w:t>
      </w:r>
    </w:p>
    <w:p w14:paraId="30C146D2" w14:textId="6CF79BDD" w:rsidR="005357A7" w:rsidRDefault="00606F0C" w:rsidP="00FB2463">
      <w:pPr>
        <w:pStyle w:val="Prrafodelista"/>
        <w:numPr>
          <w:ilvl w:val="0"/>
          <w:numId w:val="4"/>
        </w:numPr>
        <w:spacing w:before="120" w:after="120"/>
        <w:ind w:left="0" w:firstLine="0"/>
        <w:jc w:val="both"/>
        <w:rPr>
          <w:rFonts w:ascii="Verdana" w:hAnsi="Verdana"/>
          <w:sz w:val="20"/>
          <w:szCs w:val="20"/>
        </w:rPr>
      </w:pPr>
      <w:r w:rsidRPr="000E3CA1">
        <w:rPr>
          <w:rFonts w:ascii="Verdana" w:hAnsi="Verdana"/>
          <w:sz w:val="20"/>
          <w:szCs w:val="20"/>
        </w:rPr>
        <w:t xml:space="preserve">Finalmente, </w:t>
      </w:r>
      <w:r w:rsidR="00F028DA">
        <w:rPr>
          <w:rFonts w:ascii="Verdana" w:hAnsi="Verdana"/>
          <w:sz w:val="20"/>
          <w:szCs w:val="20"/>
        </w:rPr>
        <w:t>se hace notar que</w:t>
      </w:r>
      <w:r w:rsidR="000E3CA1" w:rsidRPr="000E3CA1">
        <w:rPr>
          <w:rFonts w:ascii="Verdana" w:hAnsi="Verdana"/>
          <w:sz w:val="20"/>
          <w:szCs w:val="20"/>
        </w:rPr>
        <w:t xml:space="preserve"> en va</w:t>
      </w:r>
      <w:r w:rsidR="000E3CA1">
        <w:rPr>
          <w:rFonts w:ascii="Verdana" w:hAnsi="Verdana"/>
          <w:sz w:val="20"/>
          <w:szCs w:val="20"/>
        </w:rPr>
        <w:t xml:space="preserve">rios escritos los representantes han hecho referencia a un alegado incumplimiento </w:t>
      </w:r>
      <w:r w:rsidR="009905A6">
        <w:rPr>
          <w:rFonts w:ascii="Verdana" w:hAnsi="Verdana"/>
          <w:sz w:val="20"/>
          <w:szCs w:val="20"/>
        </w:rPr>
        <w:t>de medidas</w:t>
      </w:r>
      <w:r w:rsidR="00F028DA">
        <w:rPr>
          <w:rFonts w:ascii="Verdana" w:hAnsi="Verdana"/>
          <w:sz w:val="20"/>
          <w:szCs w:val="20"/>
        </w:rPr>
        <w:t xml:space="preserve"> </w:t>
      </w:r>
      <w:r w:rsidR="009905A6">
        <w:rPr>
          <w:rFonts w:ascii="Verdana" w:hAnsi="Verdana"/>
          <w:sz w:val="20"/>
          <w:szCs w:val="20"/>
        </w:rPr>
        <w:t>que no</w:t>
      </w:r>
      <w:r w:rsidR="00F028DA">
        <w:rPr>
          <w:rFonts w:ascii="Verdana" w:hAnsi="Verdana"/>
          <w:sz w:val="20"/>
          <w:szCs w:val="20"/>
        </w:rPr>
        <w:t xml:space="preserve"> fueron ordenadas como reparaciones en la Sentencia del presente caso y</w:t>
      </w:r>
      <w:r w:rsidR="009905A6">
        <w:rPr>
          <w:rFonts w:ascii="Verdana" w:hAnsi="Verdana"/>
          <w:sz w:val="20"/>
          <w:szCs w:val="20"/>
        </w:rPr>
        <w:t xml:space="preserve"> que</w:t>
      </w:r>
      <w:r w:rsidR="00F028DA">
        <w:rPr>
          <w:rFonts w:ascii="Verdana" w:hAnsi="Verdana"/>
          <w:sz w:val="20"/>
          <w:szCs w:val="20"/>
        </w:rPr>
        <w:t>, por ende, no son objeto de la supervisión de cumplimiento que realiza este Tribunal.</w:t>
      </w:r>
    </w:p>
    <w:p w14:paraId="55612C50" w14:textId="0AE7D0D0" w:rsidR="00115208" w:rsidRDefault="00115208" w:rsidP="00115208">
      <w:pPr>
        <w:pStyle w:val="Prrafodelista"/>
        <w:spacing w:before="120" w:after="120"/>
        <w:ind w:left="0"/>
        <w:jc w:val="both"/>
        <w:rPr>
          <w:rFonts w:ascii="Verdana" w:hAnsi="Verdana"/>
          <w:sz w:val="16"/>
          <w:szCs w:val="16"/>
        </w:rPr>
      </w:pPr>
    </w:p>
    <w:p w14:paraId="7A42722F" w14:textId="7251DFD4" w:rsidR="008C4B53" w:rsidRDefault="008C4B53" w:rsidP="00115208">
      <w:pPr>
        <w:pStyle w:val="Prrafodelista"/>
        <w:spacing w:before="120" w:after="120"/>
        <w:ind w:left="0"/>
        <w:jc w:val="both"/>
        <w:rPr>
          <w:rFonts w:ascii="Verdana" w:hAnsi="Verdana"/>
          <w:sz w:val="16"/>
          <w:szCs w:val="16"/>
        </w:rPr>
      </w:pPr>
    </w:p>
    <w:p w14:paraId="4A04B7E2" w14:textId="77777777" w:rsidR="008C4B53" w:rsidRPr="000E3CA1" w:rsidRDefault="008C4B53" w:rsidP="00115208">
      <w:pPr>
        <w:pStyle w:val="Prrafodelista"/>
        <w:spacing w:before="120" w:after="120"/>
        <w:ind w:left="0"/>
        <w:jc w:val="both"/>
        <w:rPr>
          <w:rFonts w:ascii="Verdana" w:hAnsi="Verdana"/>
          <w:sz w:val="16"/>
          <w:szCs w:val="16"/>
        </w:rPr>
      </w:pPr>
    </w:p>
    <w:p w14:paraId="0BEDDF31" w14:textId="77777777" w:rsidR="00115208" w:rsidRPr="00CA0262" w:rsidRDefault="00115208" w:rsidP="00115208">
      <w:pPr>
        <w:pStyle w:val="Prrafodelista"/>
        <w:spacing w:before="120" w:after="120"/>
        <w:ind w:left="0"/>
        <w:jc w:val="both"/>
        <w:rPr>
          <w:rFonts w:ascii="Verdana" w:hAnsi="Verdana"/>
          <w:b/>
          <w:sz w:val="20"/>
          <w:szCs w:val="20"/>
        </w:rPr>
      </w:pPr>
      <w:r w:rsidRPr="00CA0262">
        <w:rPr>
          <w:rFonts w:ascii="Verdana" w:hAnsi="Verdana"/>
          <w:b/>
          <w:sz w:val="20"/>
          <w:szCs w:val="20"/>
        </w:rPr>
        <w:lastRenderedPageBreak/>
        <w:t xml:space="preserve">POR TANTO: </w:t>
      </w:r>
    </w:p>
    <w:p w14:paraId="3F982461" w14:textId="77777777" w:rsidR="00115208" w:rsidRPr="00CA0262" w:rsidRDefault="00115208" w:rsidP="00115208">
      <w:pPr>
        <w:pStyle w:val="Prrafodelista"/>
        <w:spacing w:before="120" w:after="120"/>
        <w:ind w:left="0"/>
        <w:jc w:val="both"/>
        <w:rPr>
          <w:rFonts w:ascii="Verdana" w:hAnsi="Verdana"/>
          <w:b/>
          <w:sz w:val="20"/>
          <w:szCs w:val="20"/>
        </w:rPr>
      </w:pPr>
      <w:r w:rsidRPr="00CA0262">
        <w:rPr>
          <w:rFonts w:ascii="Verdana" w:hAnsi="Verdana"/>
          <w:b/>
          <w:sz w:val="20"/>
          <w:szCs w:val="20"/>
        </w:rPr>
        <w:t xml:space="preserve">LA CORTE INTERAMERICANA DE DERECHOS HUMANOS, </w:t>
      </w:r>
    </w:p>
    <w:p w14:paraId="4AB88550" w14:textId="247BA91D" w:rsidR="00115208" w:rsidRPr="00CA0262" w:rsidRDefault="00115208" w:rsidP="00115208">
      <w:pPr>
        <w:pStyle w:val="Prrafodelista"/>
        <w:spacing w:before="120" w:after="120"/>
        <w:ind w:left="0"/>
        <w:jc w:val="both"/>
        <w:rPr>
          <w:rFonts w:ascii="Verdana" w:hAnsi="Verdana"/>
          <w:sz w:val="20"/>
          <w:szCs w:val="20"/>
        </w:rPr>
      </w:pPr>
      <w:r w:rsidRPr="00CA0262">
        <w:rPr>
          <w:rFonts w:ascii="Verdana" w:hAnsi="Verdana"/>
          <w:sz w:val="20"/>
          <w:szCs w:val="20"/>
        </w:rPr>
        <w:t>en el ejercicio de sus atribuciones de supervisión del cumplimiento de sus decisiones y de conformidad con los artículos 33, 62.1, 62.3, 65, 67 y 68.1 de la Convención Americana sobre Derechos Humanos, 24, 25 y 30 del Estatuto, y 31.2 y 69 de su Reglamento,</w:t>
      </w:r>
    </w:p>
    <w:p w14:paraId="23DF335E" w14:textId="77777777" w:rsidR="00115208" w:rsidRPr="00071C9E" w:rsidRDefault="00115208" w:rsidP="00115208">
      <w:pPr>
        <w:pStyle w:val="Prrafodelista"/>
        <w:spacing w:before="120" w:after="120"/>
        <w:ind w:left="0"/>
        <w:jc w:val="both"/>
        <w:rPr>
          <w:rFonts w:ascii="Verdana" w:hAnsi="Verdana"/>
          <w:sz w:val="20"/>
          <w:szCs w:val="20"/>
        </w:rPr>
      </w:pPr>
    </w:p>
    <w:p w14:paraId="44C266CE" w14:textId="77777777" w:rsidR="00115208" w:rsidRPr="00071C9E" w:rsidRDefault="00115208" w:rsidP="00115208">
      <w:pPr>
        <w:pStyle w:val="Prrafodelista"/>
        <w:spacing w:before="120" w:after="120"/>
        <w:ind w:left="0"/>
        <w:jc w:val="both"/>
        <w:rPr>
          <w:rFonts w:ascii="Verdana" w:hAnsi="Verdana"/>
          <w:b/>
          <w:sz w:val="20"/>
          <w:szCs w:val="20"/>
        </w:rPr>
      </w:pPr>
      <w:r w:rsidRPr="00071C9E">
        <w:rPr>
          <w:rFonts w:ascii="Verdana" w:hAnsi="Verdana"/>
          <w:b/>
          <w:sz w:val="20"/>
          <w:szCs w:val="20"/>
        </w:rPr>
        <w:t>RESUELVE:</w:t>
      </w:r>
    </w:p>
    <w:p w14:paraId="57C88F1A" w14:textId="752B26C9" w:rsidR="00527BC4" w:rsidRPr="001B596C" w:rsidRDefault="00115208" w:rsidP="003E71EE">
      <w:pPr>
        <w:pStyle w:val="Prrafodelista"/>
        <w:numPr>
          <w:ilvl w:val="0"/>
          <w:numId w:val="24"/>
        </w:numPr>
        <w:spacing w:before="120" w:after="120"/>
        <w:ind w:left="0" w:firstLine="0"/>
        <w:jc w:val="both"/>
        <w:rPr>
          <w:rFonts w:ascii="Verdana" w:hAnsi="Verdana"/>
          <w:sz w:val="20"/>
        </w:rPr>
      </w:pPr>
      <w:r w:rsidRPr="00C94CE0">
        <w:rPr>
          <w:rFonts w:ascii="Verdana" w:hAnsi="Verdana"/>
          <w:sz w:val="20"/>
          <w:szCs w:val="20"/>
        </w:rPr>
        <w:t>Declarar</w:t>
      </w:r>
      <w:r w:rsidR="004E6F40">
        <w:rPr>
          <w:rFonts w:ascii="Verdana" w:hAnsi="Verdana"/>
          <w:sz w:val="20"/>
          <w:szCs w:val="20"/>
        </w:rPr>
        <w:t xml:space="preserve">, de conformidad con lo señalado en el Considerando </w:t>
      </w:r>
      <w:r w:rsidR="001D7687">
        <w:rPr>
          <w:rFonts w:ascii="Verdana" w:hAnsi="Verdana"/>
          <w:sz w:val="20"/>
          <w:szCs w:val="20"/>
        </w:rPr>
        <w:t>2</w:t>
      </w:r>
      <w:r w:rsidR="004E6F40">
        <w:rPr>
          <w:rFonts w:ascii="Verdana" w:hAnsi="Verdana"/>
          <w:sz w:val="20"/>
          <w:szCs w:val="20"/>
        </w:rPr>
        <w:t xml:space="preserve"> de la presente Resolución,</w:t>
      </w:r>
      <w:r w:rsidRPr="00C94CE0">
        <w:rPr>
          <w:rFonts w:ascii="Verdana" w:hAnsi="Verdana"/>
          <w:sz w:val="20"/>
          <w:szCs w:val="20"/>
        </w:rPr>
        <w:t xml:space="preserve"> que el Estado ha dado cumplimiento total </w:t>
      </w:r>
      <w:r w:rsidR="003E71EE" w:rsidRPr="006075C7">
        <w:rPr>
          <w:rFonts w:ascii="Verdana" w:hAnsi="Verdana"/>
          <w:sz w:val="20"/>
          <w:szCs w:val="20"/>
        </w:rPr>
        <w:t>a la</w:t>
      </w:r>
      <w:r w:rsidR="004E6F40">
        <w:rPr>
          <w:rFonts w:ascii="Verdana" w:hAnsi="Verdana"/>
          <w:sz w:val="20"/>
          <w:szCs w:val="20"/>
        </w:rPr>
        <w:t>s</w:t>
      </w:r>
      <w:r w:rsidR="003E71EE" w:rsidRPr="006075C7">
        <w:rPr>
          <w:rFonts w:ascii="Verdana" w:hAnsi="Verdana"/>
          <w:sz w:val="20"/>
          <w:szCs w:val="20"/>
        </w:rPr>
        <w:t xml:space="preserve"> medida</w:t>
      </w:r>
      <w:r w:rsidR="004E6F40">
        <w:rPr>
          <w:rFonts w:ascii="Verdana" w:hAnsi="Verdana"/>
          <w:sz w:val="20"/>
          <w:szCs w:val="20"/>
        </w:rPr>
        <w:t>s</w:t>
      </w:r>
      <w:r w:rsidR="003E71EE" w:rsidRPr="006075C7">
        <w:rPr>
          <w:rFonts w:ascii="Verdana" w:hAnsi="Verdana"/>
          <w:sz w:val="20"/>
          <w:szCs w:val="20"/>
        </w:rPr>
        <w:t xml:space="preserve"> relativa</w:t>
      </w:r>
      <w:r w:rsidR="00FB76F9">
        <w:rPr>
          <w:rFonts w:ascii="Verdana" w:hAnsi="Verdana"/>
          <w:sz w:val="20"/>
          <w:szCs w:val="20"/>
        </w:rPr>
        <w:t>s</w:t>
      </w:r>
      <w:r w:rsidR="003E71EE" w:rsidRPr="006075C7">
        <w:rPr>
          <w:rFonts w:ascii="Verdana" w:hAnsi="Verdana"/>
          <w:sz w:val="20"/>
          <w:szCs w:val="20"/>
        </w:rPr>
        <w:t xml:space="preserve"> a realizar la publicaci</w:t>
      </w:r>
      <w:r w:rsidR="00FB2463">
        <w:rPr>
          <w:rFonts w:ascii="Verdana" w:hAnsi="Verdana"/>
          <w:sz w:val="20"/>
          <w:szCs w:val="20"/>
        </w:rPr>
        <w:t>ón y difusión</w:t>
      </w:r>
      <w:r w:rsidR="003E71EE" w:rsidRPr="006075C7">
        <w:rPr>
          <w:rFonts w:ascii="Verdana" w:hAnsi="Verdana"/>
          <w:sz w:val="20"/>
          <w:szCs w:val="20"/>
        </w:rPr>
        <w:t xml:space="preserve"> de la Sentencia y su resumen oficial </w:t>
      </w:r>
      <w:r w:rsidR="003E71EE" w:rsidRPr="006075C7">
        <w:rPr>
          <w:rFonts w:ascii="Verdana" w:hAnsi="Verdana"/>
          <w:i/>
          <w:iCs/>
          <w:sz w:val="20"/>
          <w:szCs w:val="20"/>
        </w:rPr>
        <w:t xml:space="preserve">(punto </w:t>
      </w:r>
      <w:r w:rsidR="004E6F40">
        <w:rPr>
          <w:rFonts w:ascii="Verdana" w:hAnsi="Verdana"/>
          <w:i/>
          <w:iCs/>
          <w:sz w:val="20"/>
          <w:szCs w:val="20"/>
        </w:rPr>
        <w:t>resolutivo</w:t>
      </w:r>
      <w:r w:rsidR="003E71EE" w:rsidRPr="006075C7">
        <w:rPr>
          <w:rFonts w:ascii="Verdana" w:hAnsi="Verdana"/>
          <w:i/>
          <w:iCs/>
          <w:sz w:val="20"/>
          <w:szCs w:val="20"/>
        </w:rPr>
        <w:t xml:space="preserve"> tercero</w:t>
      </w:r>
      <w:r w:rsidR="003E71EE">
        <w:rPr>
          <w:rFonts w:ascii="Verdana" w:hAnsi="Verdana"/>
          <w:sz w:val="20"/>
          <w:szCs w:val="20"/>
        </w:rPr>
        <w:t xml:space="preserve"> </w:t>
      </w:r>
      <w:r w:rsidR="003E71EE" w:rsidRPr="006075C7">
        <w:rPr>
          <w:rFonts w:ascii="Verdana" w:hAnsi="Verdana"/>
          <w:i/>
          <w:iCs/>
          <w:sz w:val="20"/>
          <w:szCs w:val="20"/>
        </w:rPr>
        <w:t>de la Sentencia)</w:t>
      </w:r>
      <w:r w:rsidR="004E6F40">
        <w:rPr>
          <w:rFonts w:ascii="Verdana" w:hAnsi="Verdana"/>
          <w:i/>
          <w:iCs/>
          <w:sz w:val="20"/>
          <w:szCs w:val="20"/>
        </w:rPr>
        <w:t>.</w:t>
      </w:r>
    </w:p>
    <w:p w14:paraId="52F8E597" w14:textId="6377484F" w:rsidR="004E6F40" w:rsidRDefault="004E6F40" w:rsidP="00527BC4">
      <w:pPr>
        <w:pStyle w:val="Prrafodelista"/>
        <w:numPr>
          <w:ilvl w:val="0"/>
          <w:numId w:val="24"/>
        </w:numPr>
        <w:spacing w:before="120" w:after="120"/>
        <w:ind w:left="0" w:firstLine="0"/>
        <w:jc w:val="both"/>
        <w:rPr>
          <w:rFonts w:ascii="Verdana" w:hAnsi="Verdana"/>
          <w:i/>
          <w:iCs/>
          <w:sz w:val="20"/>
          <w:szCs w:val="20"/>
        </w:rPr>
      </w:pPr>
      <w:r>
        <w:rPr>
          <w:rFonts w:ascii="Verdana" w:hAnsi="Verdana"/>
          <w:sz w:val="20"/>
          <w:szCs w:val="20"/>
        </w:rPr>
        <w:t xml:space="preserve">Declarar, de conformidad con lo señalado en </w:t>
      </w:r>
      <w:r w:rsidR="008C4B53">
        <w:rPr>
          <w:rFonts w:ascii="Verdana" w:hAnsi="Verdana"/>
          <w:sz w:val="20"/>
          <w:szCs w:val="20"/>
        </w:rPr>
        <w:t xml:space="preserve">los </w:t>
      </w:r>
      <w:r>
        <w:rPr>
          <w:rFonts w:ascii="Verdana" w:hAnsi="Verdana"/>
          <w:sz w:val="20"/>
          <w:szCs w:val="20"/>
        </w:rPr>
        <w:t>Considerando</w:t>
      </w:r>
      <w:r w:rsidR="007B5AC9">
        <w:rPr>
          <w:rFonts w:ascii="Verdana" w:hAnsi="Verdana"/>
          <w:sz w:val="20"/>
          <w:szCs w:val="20"/>
        </w:rPr>
        <w:t>s</w:t>
      </w:r>
      <w:r>
        <w:rPr>
          <w:rFonts w:ascii="Verdana" w:hAnsi="Verdana"/>
          <w:sz w:val="20"/>
          <w:szCs w:val="20"/>
        </w:rPr>
        <w:t xml:space="preserve"> </w:t>
      </w:r>
      <w:r w:rsidR="001D7687">
        <w:rPr>
          <w:rFonts w:ascii="Verdana" w:hAnsi="Verdana"/>
          <w:sz w:val="20"/>
          <w:szCs w:val="20"/>
        </w:rPr>
        <w:t>8 y 11</w:t>
      </w:r>
      <w:r>
        <w:rPr>
          <w:rFonts w:ascii="Verdana" w:hAnsi="Verdana"/>
          <w:sz w:val="20"/>
          <w:szCs w:val="20"/>
        </w:rPr>
        <w:t xml:space="preserve"> de la presente Resolución, que el Estado </w:t>
      </w:r>
      <w:r w:rsidR="005357A7">
        <w:rPr>
          <w:rFonts w:ascii="Verdana" w:hAnsi="Verdana"/>
          <w:sz w:val="20"/>
          <w:szCs w:val="20"/>
        </w:rPr>
        <w:t>ha demostrado su voluntad de dar cumplimiento</w:t>
      </w:r>
      <w:r>
        <w:rPr>
          <w:rFonts w:ascii="Verdana" w:hAnsi="Verdana"/>
          <w:sz w:val="20"/>
          <w:szCs w:val="20"/>
        </w:rPr>
        <w:t xml:space="preserve"> a la medida relativa a pagar las cantidades fijadas en la Sentencia por concepto de indemnización del daño inmaterial </w:t>
      </w:r>
      <w:r w:rsidRPr="004E6F40">
        <w:rPr>
          <w:rFonts w:ascii="Verdana" w:hAnsi="Verdana"/>
          <w:i/>
          <w:iCs/>
          <w:sz w:val="20"/>
          <w:szCs w:val="20"/>
        </w:rPr>
        <w:t>(punto resolutivo quinto de la Sentencia).</w:t>
      </w:r>
    </w:p>
    <w:p w14:paraId="23E18431" w14:textId="4C2A8E6F" w:rsidR="00A926C8" w:rsidRPr="00A926C8" w:rsidRDefault="00A926C8" w:rsidP="00A926C8">
      <w:pPr>
        <w:pStyle w:val="Prrafodelista"/>
        <w:numPr>
          <w:ilvl w:val="0"/>
          <w:numId w:val="24"/>
        </w:numPr>
        <w:spacing w:before="120" w:after="120"/>
        <w:ind w:left="0" w:firstLine="0"/>
        <w:jc w:val="both"/>
        <w:rPr>
          <w:rFonts w:ascii="Verdana" w:hAnsi="Verdana"/>
          <w:i/>
          <w:iCs/>
          <w:sz w:val="20"/>
          <w:szCs w:val="20"/>
        </w:rPr>
      </w:pPr>
      <w:r w:rsidRPr="00A926C8">
        <w:rPr>
          <w:rFonts w:ascii="Verdana" w:hAnsi="Verdana"/>
          <w:sz w:val="20"/>
          <w:szCs w:val="20"/>
        </w:rPr>
        <w:t>Decla</w:t>
      </w:r>
      <w:r w:rsidR="00D32D89" w:rsidRPr="00A926C8">
        <w:rPr>
          <w:rFonts w:ascii="Verdana" w:hAnsi="Verdana"/>
          <w:sz w:val="20"/>
          <w:szCs w:val="20"/>
        </w:rPr>
        <w:t>r</w:t>
      </w:r>
      <w:r w:rsidRPr="00A926C8">
        <w:rPr>
          <w:rFonts w:ascii="Verdana" w:hAnsi="Verdana"/>
          <w:sz w:val="20"/>
          <w:szCs w:val="20"/>
        </w:rPr>
        <w:t>ar</w:t>
      </w:r>
      <w:r w:rsidR="00D32D89" w:rsidRPr="00A926C8">
        <w:rPr>
          <w:rFonts w:ascii="Verdana" w:hAnsi="Verdana"/>
          <w:sz w:val="20"/>
          <w:szCs w:val="20"/>
        </w:rPr>
        <w:t>, de conformidad con lo señalado en el Considerando 1</w:t>
      </w:r>
      <w:r w:rsidRPr="00A926C8">
        <w:rPr>
          <w:rFonts w:ascii="Verdana" w:hAnsi="Verdana"/>
          <w:sz w:val="20"/>
          <w:szCs w:val="20"/>
        </w:rPr>
        <w:t xml:space="preserve"> de la presente Resolución, que la información aportada por las partes respecto de la garantía de no repetición relativa a adecuar su ordenamiento jurídico interno a los parámetros </w:t>
      </w:r>
      <w:r w:rsidRPr="00A926C8">
        <w:rPr>
          <w:rFonts w:ascii="Verdana" w:hAnsi="Verdana"/>
          <w:i/>
          <w:iCs/>
          <w:sz w:val="20"/>
          <w:szCs w:val="20"/>
        </w:rPr>
        <w:t>establecidos en la Sentencia sobre el derecho a recurrir del fallo ante juez o tribunal superior</w:t>
      </w:r>
      <w:r>
        <w:rPr>
          <w:rFonts w:ascii="Verdana" w:hAnsi="Verdana"/>
          <w:i/>
          <w:iCs/>
          <w:sz w:val="20"/>
          <w:szCs w:val="20"/>
        </w:rPr>
        <w:t xml:space="preserve"> (punto dispositivo cuarto de la Sentencia) </w:t>
      </w:r>
      <w:r w:rsidRPr="00A926C8">
        <w:rPr>
          <w:rFonts w:ascii="Verdana" w:hAnsi="Verdana"/>
          <w:sz w:val="20"/>
          <w:szCs w:val="20"/>
        </w:rPr>
        <w:t>ha sido valorada en otra Resolución emitida el día de hoy, de forma conjunta con otros dos casos en que se ordenaron garantías de no repetición similares.</w:t>
      </w:r>
    </w:p>
    <w:p w14:paraId="134A1406" w14:textId="438325B8" w:rsidR="006B5420" w:rsidRPr="00301411" w:rsidRDefault="00115208" w:rsidP="00A926C8">
      <w:pPr>
        <w:pStyle w:val="Prrafodelista"/>
        <w:numPr>
          <w:ilvl w:val="0"/>
          <w:numId w:val="24"/>
        </w:numPr>
        <w:spacing w:before="120" w:after="120"/>
        <w:ind w:left="0" w:firstLine="0"/>
        <w:jc w:val="both"/>
        <w:rPr>
          <w:rFonts w:ascii="Verdana" w:hAnsi="Verdana"/>
          <w:sz w:val="20"/>
        </w:rPr>
      </w:pPr>
      <w:r w:rsidRPr="00301411">
        <w:rPr>
          <w:rFonts w:ascii="Verdana" w:hAnsi="Verdana"/>
          <w:sz w:val="20"/>
          <w:szCs w:val="20"/>
        </w:rPr>
        <w:t>Mantener abierto el procedimiento de supervisión de cumplimiento</w:t>
      </w:r>
      <w:r w:rsidR="00301411" w:rsidRPr="00301411">
        <w:rPr>
          <w:rFonts w:ascii="Verdana" w:hAnsi="Verdana"/>
          <w:sz w:val="20"/>
          <w:szCs w:val="20"/>
        </w:rPr>
        <w:t xml:space="preserve"> </w:t>
      </w:r>
      <w:r w:rsidR="006B5420" w:rsidRPr="00301411">
        <w:rPr>
          <w:rFonts w:ascii="Verdana" w:hAnsi="Verdana"/>
          <w:sz w:val="20"/>
        </w:rPr>
        <w:t xml:space="preserve">en cuanto al </w:t>
      </w:r>
      <w:r w:rsidR="0091627B" w:rsidRPr="00301411">
        <w:rPr>
          <w:rFonts w:ascii="Verdana" w:hAnsi="Verdana"/>
          <w:sz w:val="20"/>
        </w:rPr>
        <w:t>pag</w:t>
      </w:r>
      <w:r w:rsidR="006B5420" w:rsidRPr="00301411">
        <w:rPr>
          <w:rFonts w:ascii="Verdana" w:hAnsi="Verdana"/>
          <w:sz w:val="20"/>
        </w:rPr>
        <w:t>o</w:t>
      </w:r>
      <w:r w:rsidR="0091627B" w:rsidRPr="00301411">
        <w:rPr>
          <w:rFonts w:ascii="Verdana" w:hAnsi="Verdana"/>
          <w:sz w:val="20"/>
        </w:rPr>
        <w:t xml:space="preserve"> las cantidades fijadas por concepto de indemnización del daño inmaterial </w:t>
      </w:r>
      <w:r w:rsidR="0091627B" w:rsidRPr="00301411">
        <w:rPr>
          <w:rFonts w:ascii="Verdana" w:hAnsi="Verdana"/>
          <w:i/>
          <w:iCs/>
          <w:sz w:val="20"/>
        </w:rPr>
        <w:t xml:space="preserve">(punto </w:t>
      </w:r>
      <w:r w:rsidR="0091627B" w:rsidRPr="00301411">
        <w:rPr>
          <w:rFonts w:ascii="Verdana" w:hAnsi="Verdana"/>
          <w:i/>
          <w:iCs/>
          <w:sz w:val="20"/>
          <w:szCs w:val="20"/>
        </w:rPr>
        <w:t xml:space="preserve">dispositivo quinto </w:t>
      </w:r>
      <w:r w:rsidR="0091627B" w:rsidRPr="00301411">
        <w:rPr>
          <w:rFonts w:ascii="Verdana" w:hAnsi="Verdana"/>
          <w:i/>
          <w:iCs/>
          <w:sz w:val="20"/>
        </w:rPr>
        <w:t>de la Sentencia)</w:t>
      </w:r>
      <w:r w:rsidR="006B5420" w:rsidRPr="00301411">
        <w:rPr>
          <w:rFonts w:ascii="Verdana" w:hAnsi="Verdana"/>
          <w:sz w:val="20"/>
        </w:rPr>
        <w:t xml:space="preserve">, </w:t>
      </w:r>
      <w:r w:rsidR="00002B2F" w:rsidRPr="00301411">
        <w:rPr>
          <w:rFonts w:ascii="Verdana" w:hAnsi="Verdana"/>
          <w:sz w:val="20"/>
        </w:rPr>
        <w:t xml:space="preserve">respecto a lo cual </w:t>
      </w:r>
      <w:r w:rsidR="006B5420" w:rsidRPr="00301411">
        <w:rPr>
          <w:rFonts w:ascii="Verdana" w:hAnsi="Verdana"/>
          <w:sz w:val="20"/>
        </w:rPr>
        <w:t xml:space="preserve">se dispone que los representantes de las víctimas presenten, a más tardar el </w:t>
      </w:r>
      <w:r w:rsidR="00BE0A74" w:rsidRPr="00301411">
        <w:rPr>
          <w:rFonts w:ascii="Verdana" w:hAnsi="Verdana"/>
          <w:sz w:val="20"/>
        </w:rPr>
        <w:t>3</w:t>
      </w:r>
      <w:r w:rsidR="00B24A99">
        <w:rPr>
          <w:rFonts w:ascii="Verdana" w:hAnsi="Verdana"/>
          <w:sz w:val="20"/>
        </w:rPr>
        <w:t>0</w:t>
      </w:r>
      <w:r w:rsidR="00BE0A74" w:rsidRPr="00301411">
        <w:rPr>
          <w:rFonts w:ascii="Verdana" w:hAnsi="Verdana"/>
          <w:sz w:val="20"/>
        </w:rPr>
        <w:t xml:space="preserve"> </w:t>
      </w:r>
      <w:r w:rsidR="006B5420" w:rsidRPr="00301411">
        <w:rPr>
          <w:rFonts w:ascii="Verdana" w:hAnsi="Verdana"/>
          <w:sz w:val="20"/>
        </w:rPr>
        <w:t xml:space="preserve">de </w:t>
      </w:r>
      <w:r w:rsidR="00002B2F" w:rsidRPr="00301411">
        <w:rPr>
          <w:rFonts w:ascii="Verdana" w:hAnsi="Verdana"/>
          <w:sz w:val="20"/>
        </w:rPr>
        <w:t>noviembre</w:t>
      </w:r>
      <w:r w:rsidR="00BE0A74" w:rsidRPr="00301411">
        <w:rPr>
          <w:rFonts w:ascii="Verdana" w:hAnsi="Verdana"/>
          <w:sz w:val="20"/>
        </w:rPr>
        <w:t xml:space="preserve"> </w:t>
      </w:r>
      <w:r w:rsidR="006B5420" w:rsidRPr="00301411">
        <w:rPr>
          <w:rFonts w:ascii="Verdana" w:hAnsi="Verdana"/>
          <w:sz w:val="20"/>
        </w:rPr>
        <w:t>de 2022, la información que ha sido requerida en el Considerando 11 de la presente Resolución.</w:t>
      </w:r>
    </w:p>
    <w:p w14:paraId="40F67EB7" w14:textId="7548A36C" w:rsidR="00D454B9" w:rsidRDefault="00115208" w:rsidP="00115208">
      <w:pPr>
        <w:pStyle w:val="Prrafodelista"/>
        <w:numPr>
          <w:ilvl w:val="0"/>
          <w:numId w:val="24"/>
        </w:numPr>
        <w:spacing w:before="120" w:after="120"/>
        <w:ind w:left="0" w:firstLine="0"/>
        <w:jc w:val="both"/>
        <w:rPr>
          <w:rFonts w:ascii="Verdana" w:hAnsi="Verdana"/>
          <w:sz w:val="20"/>
          <w:szCs w:val="20"/>
        </w:rPr>
      </w:pPr>
      <w:r w:rsidRPr="00C94CE0">
        <w:rPr>
          <w:rFonts w:ascii="Verdana" w:hAnsi="Verdana"/>
          <w:sz w:val="20"/>
          <w:szCs w:val="20"/>
        </w:rPr>
        <w:t>Disponer que la Secretaría de la Corte notifique la presente Resolución al Estado, a los representantes de las víctimas y a la Comisión Interamericana de Derechos Humanos.</w:t>
      </w:r>
    </w:p>
    <w:p w14:paraId="7EB25A72" w14:textId="77777777" w:rsidR="00D454B9" w:rsidRDefault="00D454B9">
      <w:pPr>
        <w:spacing w:after="160" w:line="259" w:lineRule="auto"/>
        <w:rPr>
          <w:rFonts w:ascii="Verdana" w:hAnsi="Verdana"/>
          <w:sz w:val="20"/>
          <w:szCs w:val="20"/>
        </w:rPr>
      </w:pPr>
      <w:r>
        <w:rPr>
          <w:rFonts w:ascii="Verdana" w:hAnsi="Verdana"/>
          <w:sz w:val="20"/>
          <w:szCs w:val="20"/>
        </w:rPr>
        <w:br w:type="page"/>
      </w:r>
    </w:p>
    <w:p w14:paraId="181367F7" w14:textId="77777777" w:rsidR="002A760C" w:rsidRPr="002D12F9" w:rsidRDefault="002A760C" w:rsidP="002A760C">
      <w:pPr>
        <w:jc w:val="both"/>
        <w:rPr>
          <w:rFonts w:ascii="Verdana" w:hAnsi="Verdana"/>
          <w:sz w:val="20"/>
          <w:lang w:val="es-ES"/>
        </w:rPr>
      </w:pPr>
      <w:r w:rsidRPr="002D12F9">
        <w:rPr>
          <w:rFonts w:ascii="Verdana" w:hAnsi="Verdana"/>
          <w:sz w:val="20"/>
          <w:lang w:val="es-ES"/>
        </w:rPr>
        <w:lastRenderedPageBreak/>
        <w:t xml:space="preserve">Corte IDH. </w:t>
      </w:r>
      <w:r w:rsidRPr="000304D5">
        <w:rPr>
          <w:rFonts w:ascii="Verdana" w:hAnsi="Verdana"/>
          <w:i/>
          <w:sz w:val="20"/>
          <w:lang w:val="es-ES"/>
        </w:rPr>
        <w:t xml:space="preserve">Caso </w:t>
      </w:r>
      <w:r>
        <w:rPr>
          <w:rFonts w:ascii="Verdana" w:hAnsi="Verdana"/>
          <w:i/>
          <w:iCs/>
          <w:sz w:val="20"/>
        </w:rPr>
        <w:t>Valle Ambrosio y otro Vs. Argentina.</w:t>
      </w:r>
      <w:r>
        <w:rPr>
          <w:rFonts w:ascii="Verdana" w:hAnsi="Verdana"/>
          <w:iCs/>
          <w:sz w:val="20"/>
        </w:rPr>
        <w:t xml:space="preserve"> </w:t>
      </w:r>
      <w:r w:rsidRPr="00ED3A0E">
        <w:rPr>
          <w:rFonts w:ascii="Verdana" w:hAnsi="Verdana" w:cs="Arial"/>
          <w:sz w:val="20"/>
        </w:rPr>
        <w:t>Supervisión de Cumplimiento de Sentencia</w:t>
      </w:r>
      <w:r>
        <w:rPr>
          <w:rFonts w:ascii="Verdana" w:hAnsi="Verdana"/>
          <w:iCs/>
          <w:sz w:val="20"/>
        </w:rPr>
        <w:t>. Resolución de la Corte Interamericana de Derechos Humanos de 2 de septiembre de 2022.  Resolución adoptada en sesión virtual.</w:t>
      </w:r>
    </w:p>
    <w:p w14:paraId="3B8828F3" w14:textId="77777777" w:rsidR="002A760C" w:rsidRDefault="002A760C" w:rsidP="002A760C">
      <w:pPr>
        <w:jc w:val="both"/>
        <w:rPr>
          <w:rFonts w:ascii="Verdana" w:hAnsi="Verdana"/>
          <w:sz w:val="20"/>
          <w:lang w:val="es-ES"/>
        </w:rPr>
      </w:pPr>
    </w:p>
    <w:p w14:paraId="7197D149" w14:textId="77777777" w:rsidR="002A760C" w:rsidRPr="00087C89" w:rsidRDefault="002A760C" w:rsidP="002A760C">
      <w:pPr>
        <w:jc w:val="both"/>
        <w:rPr>
          <w:rFonts w:ascii="Verdana" w:hAnsi="Verdana"/>
          <w:strike/>
          <w:sz w:val="20"/>
          <w:lang w:val="es-ES"/>
        </w:rPr>
      </w:pPr>
    </w:p>
    <w:p w14:paraId="6844C3A5" w14:textId="77777777" w:rsidR="002A760C" w:rsidRPr="00087C89" w:rsidRDefault="002A760C" w:rsidP="002A760C">
      <w:pPr>
        <w:jc w:val="center"/>
        <w:rPr>
          <w:rFonts w:ascii="Verdana" w:hAnsi="Verdana"/>
          <w:sz w:val="20"/>
        </w:rPr>
      </w:pPr>
    </w:p>
    <w:p w14:paraId="311280F6" w14:textId="77777777" w:rsidR="002A760C" w:rsidRPr="00087C89" w:rsidRDefault="002A760C" w:rsidP="002A760C">
      <w:pPr>
        <w:jc w:val="center"/>
        <w:rPr>
          <w:rFonts w:ascii="Verdana" w:hAnsi="Verdana"/>
          <w:sz w:val="20"/>
        </w:rPr>
      </w:pPr>
    </w:p>
    <w:p w14:paraId="2DEA260D" w14:textId="77777777" w:rsidR="002A760C" w:rsidRPr="00087C89" w:rsidRDefault="002A760C" w:rsidP="002A760C">
      <w:pPr>
        <w:jc w:val="center"/>
        <w:rPr>
          <w:rFonts w:ascii="Verdana" w:hAnsi="Verdana"/>
          <w:sz w:val="20"/>
        </w:rPr>
      </w:pPr>
    </w:p>
    <w:p w14:paraId="0AC27B8C" w14:textId="77777777" w:rsidR="002A760C" w:rsidRPr="00087C89" w:rsidRDefault="002A760C" w:rsidP="002A760C">
      <w:pPr>
        <w:jc w:val="center"/>
        <w:rPr>
          <w:rFonts w:ascii="Verdana" w:hAnsi="Verdana"/>
          <w:sz w:val="20"/>
        </w:rPr>
      </w:pPr>
      <w:r w:rsidRPr="00087C89">
        <w:rPr>
          <w:rFonts w:ascii="Verdana" w:hAnsi="Verdana"/>
          <w:sz w:val="20"/>
        </w:rPr>
        <w:t>Ricardo C. Pérez Manrique</w:t>
      </w:r>
    </w:p>
    <w:p w14:paraId="620A4D86" w14:textId="77777777" w:rsidR="002A760C" w:rsidRPr="00087C89" w:rsidRDefault="002A760C" w:rsidP="002A760C">
      <w:pPr>
        <w:jc w:val="center"/>
        <w:rPr>
          <w:rFonts w:ascii="Verdana" w:hAnsi="Verdana"/>
          <w:sz w:val="20"/>
        </w:rPr>
      </w:pPr>
      <w:r w:rsidRPr="00087C89">
        <w:rPr>
          <w:rFonts w:ascii="Verdana" w:hAnsi="Verdana"/>
          <w:sz w:val="20"/>
        </w:rPr>
        <w:t>Presidente</w:t>
      </w:r>
    </w:p>
    <w:p w14:paraId="404CF934" w14:textId="77777777" w:rsidR="002A760C" w:rsidRPr="00087C89" w:rsidRDefault="002A760C" w:rsidP="002A760C">
      <w:pPr>
        <w:jc w:val="center"/>
        <w:rPr>
          <w:rFonts w:ascii="Verdana" w:hAnsi="Verdana"/>
          <w:sz w:val="20"/>
        </w:rPr>
      </w:pPr>
    </w:p>
    <w:p w14:paraId="64010C77" w14:textId="77777777" w:rsidR="002A760C" w:rsidRPr="00087C89" w:rsidRDefault="002A760C" w:rsidP="002A760C">
      <w:pPr>
        <w:jc w:val="center"/>
        <w:rPr>
          <w:rFonts w:ascii="Verdana" w:hAnsi="Verdana"/>
          <w:sz w:val="20"/>
        </w:rPr>
      </w:pPr>
    </w:p>
    <w:p w14:paraId="17482380" w14:textId="77777777" w:rsidR="002A760C" w:rsidRPr="00087C89" w:rsidRDefault="002A760C" w:rsidP="002A760C">
      <w:pPr>
        <w:rPr>
          <w:rFonts w:ascii="Verdana" w:hAnsi="Verdana"/>
          <w:sz w:val="20"/>
        </w:rPr>
      </w:pPr>
    </w:p>
    <w:p w14:paraId="4586990D" w14:textId="77777777" w:rsidR="002A760C" w:rsidRPr="00087C89" w:rsidRDefault="002A760C" w:rsidP="002A760C">
      <w:pPr>
        <w:rPr>
          <w:rFonts w:ascii="Verdana" w:hAnsi="Verdana"/>
          <w:sz w:val="20"/>
        </w:rPr>
      </w:pPr>
    </w:p>
    <w:p w14:paraId="57AA605D" w14:textId="4AEB73A3" w:rsidR="002A760C" w:rsidRPr="00087C89" w:rsidRDefault="002A760C" w:rsidP="002A760C">
      <w:pPr>
        <w:rPr>
          <w:rFonts w:ascii="Verdana" w:hAnsi="Verdana"/>
          <w:sz w:val="20"/>
        </w:rPr>
      </w:pPr>
      <w:r w:rsidRPr="00087C89">
        <w:rPr>
          <w:rFonts w:ascii="Verdana" w:hAnsi="Verdana"/>
          <w:sz w:val="20"/>
        </w:rPr>
        <w:t>Humberto Antonio Sierra Porto</w:t>
      </w:r>
      <w:r w:rsidRPr="00087C89">
        <w:rPr>
          <w:rFonts w:ascii="Verdana" w:hAnsi="Verdana"/>
          <w:sz w:val="20"/>
        </w:rPr>
        <w:tab/>
      </w:r>
      <w:r w:rsidRPr="00087C89">
        <w:rPr>
          <w:rFonts w:ascii="Verdana" w:hAnsi="Verdana"/>
          <w:sz w:val="20"/>
        </w:rPr>
        <w:tab/>
      </w:r>
      <w:r w:rsidRPr="00087C89">
        <w:rPr>
          <w:rFonts w:ascii="Verdana" w:hAnsi="Verdana"/>
          <w:sz w:val="20"/>
        </w:rPr>
        <w:tab/>
        <w:t>Eduardo Ferrer Mac-Gregor Poisot</w:t>
      </w:r>
    </w:p>
    <w:p w14:paraId="3E3FA50E" w14:textId="77777777" w:rsidR="002A760C" w:rsidRPr="00087C89" w:rsidRDefault="002A760C" w:rsidP="002A760C">
      <w:pPr>
        <w:rPr>
          <w:rFonts w:ascii="Verdana" w:hAnsi="Verdana"/>
          <w:sz w:val="20"/>
        </w:rPr>
      </w:pPr>
    </w:p>
    <w:p w14:paraId="2AABD8B0" w14:textId="77777777" w:rsidR="002A760C" w:rsidRPr="00087C89" w:rsidRDefault="002A760C" w:rsidP="002A760C">
      <w:pPr>
        <w:rPr>
          <w:rFonts w:ascii="Verdana" w:hAnsi="Verdana"/>
          <w:sz w:val="20"/>
        </w:rPr>
      </w:pPr>
    </w:p>
    <w:p w14:paraId="1DA4A02C" w14:textId="77777777" w:rsidR="002A760C" w:rsidRPr="00087C89" w:rsidRDefault="002A760C" w:rsidP="002A760C">
      <w:pPr>
        <w:rPr>
          <w:rFonts w:ascii="Verdana" w:hAnsi="Verdana"/>
          <w:sz w:val="20"/>
        </w:rPr>
      </w:pPr>
    </w:p>
    <w:p w14:paraId="4FA16F5B" w14:textId="77777777" w:rsidR="002A760C" w:rsidRPr="00087C89" w:rsidRDefault="002A760C" w:rsidP="002A760C">
      <w:pPr>
        <w:rPr>
          <w:rFonts w:ascii="Verdana" w:hAnsi="Verdana"/>
          <w:sz w:val="20"/>
        </w:rPr>
      </w:pPr>
    </w:p>
    <w:p w14:paraId="7F39D8D0" w14:textId="77777777" w:rsidR="002A760C" w:rsidRPr="00400433" w:rsidRDefault="002A760C" w:rsidP="002A760C">
      <w:pPr>
        <w:rPr>
          <w:rFonts w:ascii="Verdana" w:hAnsi="Verdana"/>
          <w:sz w:val="20"/>
        </w:rPr>
      </w:pPr>
      <w:r w:rsidRPr="00400433">
        <w:rPr>
          <w:rFonts w:ascii="Verdana" w:hAnsi="Verdana"/>
          <w:sz w:val="20"/>
        </w:rPr>
        <w:t>Nancy Hernández López</w:t>
      </w:r>
      <w:r w:rsidRPr="00400433">
        <w:rPr>
          <w:rFonts w:ascii="Verdana" w:hAnsi="Verdana"/>
          <w:sz w:val="20"/>
        </w:rPr>
        <w:tab/>
      </w:r>
      <w:r w:rsidRPr="00400433">
        <w:rPr>
          <w:rFonts w:ascii="Verdana" w:hAnsi="Verdana"/>
          <w:sz w:val="20"/>
        </w:rPr>
        <w:tab/>
      </w:r>
      <w:r w:rsidRPr="00400433">
        <w:rPr>
          <w:rFonts w:ascii="Verdana" w:hAnsi="Verdana"/>
          <w:sz w:val="20"/>
        </w:rPr>
        <w:tab/>
      </w:r>
      <w:r w:rsidRPr="00400433">
        <w:rPr>
          <w:rFonts w:ascii="Verdana" w:hAnsi="Verdana"/>
          <w:sz w:val="20"/>
        </w:rPr>
        <w:tab/>
        <w:t xml:space="preserve">  </w:t>
      </w:r>
      <w:r>
        <w:rPr>
          <w:rFonts w:ascii="Verdana" w:hAnsi="Verdana"/>
          <w:sz w:val="20"/>
        </w:rPr>
        <w:tab/>
      </w:r>
      <w:r>
        <w:rPr>
          <w:rFonts w:ascii="Verdana" w:hAnsi="Verdana"/>
          <w:sz w:val="20"/>
        </w:rPr>
        <w:tab/>
      </w:r>
      <w:r w:rsidRPr="00AF3898">
        <w:rPr>
          <w:rFonts w:ascii="Verdana" w:hAnsi="Verdana"/>
          <w:sz w:val="20"/>
          <w:lang w:val="pt-BR"/>
        </w:rPr>
        <w:t>Patricia Pérez</w:t>
      </w:r>
      <w:r>
        <w:rPr>
          <w:rFonts w:ascii="Verdana" w:hAnsi="Verdana"/>
          <w:sz w:val="20"/>
          <w:lang w:val="pt-BR"/>
        </w:rPr>
        <w:t xml:space="preserve"> </w:t>
      </w:r>
      <w:r w:rsidRPr="00AF3898">
        <w:rPr>
          <w:rFonts w:ascii="Verdana" w:hAnsi="Verdana"/>
          <w:sz w:val="20"/>
          <w:lang w:val="pt-BR"/>
        </w:rPr>
        <w:t>Goldberg</w:t>
      </w:r>
    </w:p>
    <w:p w14:paraId="693F8CD6" w14:textId="77777777" w:rsidR="002A760C" w:rsidRPr="00400433" w:rsidRDefault="002A760C" w:rsidP="002A760C">
      <w:pPr>
        <w:rPr>
          <w:rFonts w:ascii="Verdana" w:hAnsi="Verdana"/>
          <w:sz w:val="20"/>
        </w:rPr>
      </w:pPr>
    </w:p>
    <w:p w14:paraId="460ACF86" w14:textId="77777777" w:rsidR="002A760C" w:rsidRPr="00400433" w:rsidRDefault="002A760C" w:rsidP="002A760C">
      <w:pPr>
        <w:rPr>
          <w:rFonts w:ascii="Verdana" w:hAnsi="Verdana"/>
          <w:sz w:val="20"/>
        </w:rPr>
      </w:pPr>
    </w:p>
    <w:p w14:paraId="27C82318" w14:textId="77777777" w:rsidR="002A760C" w:rsidRPr="00400433" w:rsidRDefault="002A760C" w:rsidP="002A760C">
      <w:pPr>
        <w:rPr>
          <w:rFonts w:ascii="Verdana" w:hAnsi="Verdana"/>
          <w:sz w:val="20"/>
        </w:rPr>
      </w:pPr>
    </w:p>
    <w:p w14:paraId="43F71A46" w14:textId="77777777" w:rsidR="002A760C" w:rsidRPr="00400433" w:rsidRDefault="002A760C" w:rsidP="002A760C">
      <w:pPr>
        <w:jc w:val="center"/>
        <w:rPr>
          <w:rFonts w:ascii="Verdana" w:hAnsi="Verdana"/>
          <w:sz w:val="20"/>
        </w:rPr>
      </w:pPr>
    </w:p>
    <w:p w14:paraId="79B7BF00" w14:textId="77777777" w:rsidR="002A760C" w:rsidRPr="00400433" w:rsidRDefault="002A760C" w:rsidP="002A760C">
      <w:pPr>
        <w:jc w:val="center"/>
        <w:rPr>
          <w:rFonts w:ascii="Verdana" w:hAnsi="Verdana"/>
          <w:sz w:val="20"/>
        </w:rPr>
      </w:pPr>
    </w:p>
    <w:p w14:paraId="19275F75" w14:textId="5399B617" w:rsidR="002A760C" w:rsidRPr="00AF3898" w:rsidRDefault="002A760C" w:rsidP="002A760C">
      <w:pPr>
        <w:jc w:val="center"/>
        <w:rPr>
          <w:rFonts w:ascii="Verdana" w:hAnsi="Verdana"/>
          <w:sz w:val="20"/>
          <w:lang w:val="pt-BR"/>
        </w:rPr>
      </w:pPr>
      <w:r>
        <w:rPr>
          <w:rFonts w:ascii="Verdana" w:hAnsi="Verdana" w:cs="Arial"/>
          <w:color w:val="212529"/>
          <w:sz w:val="20"/>
        </w:rPr>
        <w:t>Rodrigo de Bittencourt Mudrovitsch</w:t>
      </w:r>
    </w:p>
    <w:p w14:paraId="1685DA1B" w14:textId="77777777" w:rsidR="002A760C" w:rsidRPr="00AF3898" w:rsidRDefault="002A760C" w:rsidP="002A760C">
      <w:pPr>
        <w:jc w:val="both"/>
        <w:rPr>
          <w:rFonts w:ascii="Verdana" w:hAnsi="Verdana"/>
          <w:sz w:val="20"/>
          <w:lang w:val="pt-BR"/>
        </w:rPr>
      </w:pPr>
    </w:p>
    <w:p w14:paraId="280D060B" w14:textId="77777777" w:rsidR="002A760C" w:rsidRPr="00AF3898" w:rsidRDefault="002A760C" w:rsidP="002A760C">
      <w:pPr>
        <w:jc w:val="both"/>
        <w:rPr>
          <w:rFonts w:ascii="Verdana" w:hAnsi="Verdana"/>
          <w:sz w:val="20"/>
          <w:lang w:val="pt-BR"/>
        </w:rPr>
      </w:pPr>
    </w:p>
    <w:p w14:paraId="16AD8B5F" w14:textId="77777777" w:rsidR="002A760C" w:rsidRPr="00AF3898" w:rsidRDefault="002A760C" w:rsidP="002A760C">
      <w:pPr>
        <w:jc w:val="both"/>
        <w:rPr>
          <w:rFonts w:ascii="Verdana" w:hAnsi="Verdana"/>
          <w:sz w:val="20"/>
          <w:lang w:val="pt-BR"/>
        </w:rPr>
      </w:pPr>
    </w:p>
    <w:p w14:paraId="1AC877E8" w14:textId="77777777" w:rsidR="002A760C" w:rsidRPr="00AF3898" w:rsidRDefault="002A760C" w:rsidP="002A760C">
      <w:pPr>
        <w:jc w:val="both"/>
        <w:rPr>
          <w:rFonts w:ascii="Verdana" w:hAnsi="Verdana"/>
          <w:sz w:val="20"/>
          <w:lang w:val="pt-BR"/>
        </w:rPr>
      </w:pPr>
    </w:p>
    <w:p w14:paraId="17ACC232" w14:textId="77777777" w:rsidR="002A760C" w:rsidRPr="00AF3898" w:rsidRDefault="002A760C" w:rsidP="002A760C">
      <w:pPr>
        <w:jc w:val="both"/>
        <w:rPr>
          <w:rFonts w:ascii="Verdana" w:hAnsi="Verdana"/>
          <w:sz w:val="20"/>
          <w:lang w:val="pt-BR"/>
        </w:rPr>
      </w:pPr>
    </w:p>
    <w:p w14:paraId="59A2B382" w14:textId="77777777" w:rsidR="002A760C" w:rsidRPr="00AF3898" w:rsidRDefault="002A760C" w:rsidP="002A760C">
      <w:pPr>
        <w:jc w:val="both"/>
        <w:rPr>
          <w:rFonts w:ascii="Verdana" w:hAnsi="Verdana"/>
          <w:sz w:val="20"/>
          <w:lang w:val="pt-BR"/>
        </w:rPr>
      </w:pPr>
    </w:p>
    <w:p w14:paraId="51CD56AC" w14:textId="77777777" w:rsidR="002A760C" w:rsidRPr="00AF3898" w:rsidRDefault="002A760C" w:rsidP="002A760C">
      <w:pPr>
        <w:jc w:val="both"/>
        <w:rPr>
          <w:rFonts w:ascii="Verdana" w:hAnsi="Verdana"/>
          <w:sz w:val="20"/>
          <w:lang w:val="pt-BR"/>
        </w:rPr>
      </w:pPr>
    </w:p>
    <w:p w14:paraId="4D82D329" w14:textId="77777777" w:rsidR="002A760C" w:rsidRPr="00FC4051" w:rsidRDefault="002A760C" w:rsidP="002A760C">
      <w:pPr>
        <w:jc w:val="center"/>
        <w:rPr>
          <w:rFonts w:ascii="Verdana" w:hAnsi="Verdana"/>
          <w:sz w:val="20"/>
          <w:lang w:val="pt-BR"/>
        </w:rPr>
      </w:pPr>
      <w:r w:rsidRPr="00FC4051">
        <w:rPr>
          <w:rFonts w:ascii="Verdana" w:hAnsi="Verdana"/>
          <w:sz w:val="20"/>
          <w:lang w:val="pt-BR"/>
        </w:rPr>
        <w:t>Pablo Saavedra Alessandri</w:t>
      </w:r>
    </w:p>
    <w:p w14:paraId="2EEB9B18" w14:textId="77777777" w:rsidR="002A760C" w:rsidRDefault="002A760C" w:rsidP="002A760C">
      <w:pPr>
        <w:jc w:val="center"/>
        <w:rPr>
          <w:rFonts w:ascii="Verdana" w:hAnsi="Verdana"/>
          <w:sz w:val="20"/>
          <w:lang w:val="pt-BR"/>
        </w:rPr>
      </w:pPr>
      <w:r w:rsidRPr="00FC4051">
        <w:rPr>
          <w:rFonts w:ascii="Verdana" w:hAnsi="Verdana"/>
          <w:sz w:val="20"/>
          <w:lang w:val="pt-BR"/>
        </w:rPr>
        <w:t>Secret</w:t>
      </w:r>
      <w:r>
        <w:rPr>
          <w:rFonts w:ascii="Verdana" w:hAnsi="Verdana"/>
          <w:sz w:val="20"/>
          <w:lang w:val="pt-BR"/>
        </w:rPr>
        <w:t>a</w:t>
      </w:r>
      <w:r w:rsidRPr="00FC4051">
        <w:rPr>
          <w:rFonts w:ascii="Verdana" w:hAnsi="Verdana"/>
          <w:sz w:val="20"/>
          <w:lang w:val="pt-BR"/>
        </w:rPr>
        <w:t>rio</w:t>
      </w:r>
    </w:p>
    <w:p w14:paraId="1FA9C156" w14:textId="77777777" w:rsidR="002A760C" w:rsidRPr="00FC4051" w:rsidRDefault="002A760C" w:rsidP="002A760C">
      <w:pPr>
        <w:pStyle w:val="Textonotapie"/>
        <w:rPr>
          <w:rFonts w:ascii="Verdana" w:hAnsi="Verdana"/>
          <w:lang w:val="pt-BR"/>
        </w:rPr>
      </w:pPr>
    </w:p>
    <w:p w14:paraId="4E6ABD02" w14:textId="77777777" w:rsidR="002A760C" w:rsidRPr="00FC4051" w:rsidRDefault="002A760C" w:rsidP="002A760C">
      <w:pPr>
        <w:pStyle w:val="Textonotapie"/>
        <w:rPr>
          <w:rFonts w:ascii="Verdana" w:hAnsi="Verdana"/>
          <w:lang w:val="pt-BR"/>
        </w:rPr>
      </w:pPr>
    </w:p>
    <w:p w14:paraId="6FE1DB7A" w14:textId="77777777" w:rsidR="002A760C" w:rsidRPr="00FC4051" w:rsidRDefault="002A760C" w:rsidP="002A760C">
      <w:pPr>
        <w:jc w:val="both"/>
        <w:rPr>
          <w:rFonts w:ascii="Verdana" w:hAnsi="Verdana"/>
          <w:sz w:val="20"/>
          <w:lang w:val="pt-BR"/>
        </w:rPr>
      </w:pPr>
      <w:r>
        <w:rPr>
          <w:rFonts w:ascii="Verdana" w:hAnsi="Verdana"/>
          <w:sz w:val="20"/>
          <w:lang w:val="pt-BR"/>
        </w:rPr>
        <w:t>Comuníquese y ejecútese</w:t>
      </w:r>
      <w:r w:rsidRPr="00FC4051">
        <w:rPr>
          <w:rFonts w:ascii="Verdana" w:hAnsi="Verdana"/>
          <w:sz w:val="20"/>
          <w:lang w:val="pt-BR"/>
        </w:rPr>
        <w:t>,</w:t>
      </w:r>
    </w:p>
    <w:p w14:paraId="46ADCAC9" w14:textId="77777777" w:rsidR="002A760C" w:rsidRPr="00FC4051" w:rsidRDefault="002A760C" w:rsidP="002A760C">
      <w:pPr>
        <w:rPr>
          <w:rFonts w:ascii="Verdana" w:hAnsi="Verdana"/>
          <w:sz w:val="20"/>
          <w:lang w:val="pt-BR"/>
        </w:rPr>
      </w:pPr>
    </w:p>
    <w:p w14:paraId="1449576A" w14:textId="77777777" w:rsidR="002A760C" w:rsidRDefault="002A760C" w:rsidP="002A760C">
      <w:pPr>
        <w:jc w:val="center"/>
        <w:rPr>
          <w:rFonts w:ascii="Verdana" w:hAnsi="Verdana"/>
          <w:sz w:val="20"/>
          <w:lang w:val="pt-BR"/>
        </w:rPr>
      </w:pPr>
    </w:p>
    <w:p w14:paraId="5CAB418B" w14:textId="77777777" w:rsidR="002A760C" w:rsidRDefault="002A760C" w:rsidP="002A760C">
      <w:pPr>
        <w:jc w:val="center"/>
        <w:rPr>
          <w:rFonts w:ascii="Verdana" w:hAnsi="Verdana"/>
          <w:sz w:val="20"/>
          <w:lang w:val="pt-BR"/>
        </w:rPr>
      </w:pPr>
    </w:p>
    <w:p w14:paraId="30FE48A4" w14:textId="77777777" w:rsidR="002A760C" w:rsidRPr="00FC4051" w:rsidRDefault="002A760C" w:rsidP="002A760C">
      <w:pPr>
        <w:jc w:val="right"/>
        <w:rPr>
          <w:rFonts w:ascii="Verdana" w:hAnsi="Verdana"/>
          <w:sz w:val="20"/>
          <w:lang w:val="pt-BR"/>
        </w:rPr>
      </w:pPr>
    </w:p>
    <w:p w14:paraId="26357892" w14:textId="63B82785" w:rsidR="002A760C" w:rsidRDefault="002A760C" w:rsidP="002A760C">
      <w:pPr>
        <w:jc w:val="center"/>
        <w:rPr>
          <w:rFonts w:ascii="Verdana" w:hAnsi="Verdana"/>
          <w:sz w:val="20"/>
          <w:lang w:val="pt-BR"/>
        </w:rPr>
      </w:pPr>
      <w:r>
        <w:rPr>
          <w:rFonts w:ascii="Verdana" w:hAnsi="Verdana"/>
          <w:sz w:val="20"/>
          <w:lang w:val="pt-BR"/>
        </w:rPr>
        <w:t xml:space="preserve">                                                                                        Ricardo C. Pérez Manrique</w:t>
      </w:r>
    </w:p>
    <w:p w14:paraId="6C5F4D55" w14:textId="54B234A0" w:rsidR="002A760C" w:rsidRDefault="002A760C" w:rsidP="002A760C">
      <w:pPr>
        <w:ind w:left="6480" w:firstLine="720"/>
        <w:rPr>
          <w:rFonts w:ascii="Verdana" w:hAnsi="Verdana"/>
          <w:sz w:val="20"/>
          <w:lang w:val="pt-BR"/>
        </w:rPr>
      </w:pPr>
      <w:r>
        <w:rPr>
          <w:rFonts w:ascii="Verdana" w:hAnsi="Verdana"/>
          <w:sz w:val="20"/>
          <w:lang w:val="pt-BR"/>
        </w:rPr>
        <w:t>Presidente</w:t>
      </w:r>
    </w:p>
    <w:p w14:paraId="1F269CFC" w14:textId="77777777" w:rsidR="002A760C" w:rsidRPr="00FC4051" w:rsidRDefault="002A760C" w:rsidP="002A760C">
      <w:pPr>
        <w:jc w:val="both"/>
        <w:rPr>
          <w:rFonts w:ascii="Verdana" w:hAnsi="Verdana"/>
          <w:sz w:val="20"/>
          <w:lang w:val="pt-BR"/>
        </w:rPr>
      </w:pPr>
    </w:p>
    <w:p w14:paraId="276120A0" w14:textId="77777777" w:rsidR="002A760C" w:rsidRDefault="002A760C" w:rsidP="002A760C">
      <w:pPr>
        <w:jc w:val="both"/>
        <w:rPr>
          <w:rFonts w:ascii="Verdana" w:hAnsi="Verdana"/>
          <w:sz w:val="20"/>
          <w:lang w:val="pt-BR"/>
        </w:rPr>
      </w:pPr>
    </w:p>
    <w:p w14:paraId="542D72FD" w14:textId="77777777" w:rsidR="002A760C" w:rsidRDefault="002A760C" w:rsidP="002A760C">
      <w:pPr>
        <w:jc w:val="both"/>
        <w:rPr>
          <w:rFonts w:ascii="Verdana" w:hAnsi="Verdana"/>
          <w:sz w:val="20"/>
          <w:lang w:val="pt-BR"/>
        </w:rPr>
      </w:pPr>
    </w:p>
    <w:p w14:paraId="6EA13E15" w14:textId="77777777" w:rsidR="002A760C" w:rsidRDefault="002A760C" w:rsidP="002A760C">
      <w:pPr>
        <w:jc w:val="both"/>
        <w:rPr>
          <w:rFonts w:ascii="Verdana" w:hAnsi="Verdana"/>
          <w:sz w:val="20"/>
          <w:lang w:val="pt-BR"/>
        </w:rPr>
      </w:pPr>
    </w:p>
    <w:p w14:paraId="3AD7943B" w14:textId="77777777" w:rsidR="002A760C" w:rsidRPr="00FC4051" w:rsidRDefault="002A760C" w:rsidP="002A760C">
      <w:pPr>
        <w:jc w:val="both"/>
        <w:rPr>
          <w:rFonts w:ascii="Verdana" w:hAnsi="Verdana"/>
          <w:sz w:val="20"/>
          <w:lang w:val="pt-BR"/>
        </w:rPr>
      </w:pPr>
    </w:p>
    <w:p w14:paraId="7B5E64C9" w14:textId="77777777" w:rsidR="002A760C" w:rsidRPr="00FC4051" w:rsidRDefault="002A760C" w:rsidP="002A760C">
      <w:pPr>
        <w:jc w:val="both"/>
        <w:rPr>
          <w:rFonts w:ascii="Verdana" w:hAnsi="Verdana"/>
          <w:sz w:val="20"/>
          <w:lang w:val="pt-BR"/>
        </w:rPr>
      </w:pPr>
      <w:r w:rsidRPr="00FC4051">
        <w:rPr>
          <w:rFonts w:ascii="Verdana" w:hAnsi="Verdana"/>
          <w:sz w:val="20"/>
          <w:lang w:val="pt-BR"/>
        </w:rPr>
        <w:t>Pablo Saavedra Alessandri</w:t>
      </w:r>
    </w:p>
    <w:p w14:paraId="45B96AF2" w14:textId="20AE4D81" w:rsidR="00444433" w:rsidRPr="002A760C" w:rsidRDefault="002A760C" w:rsidP="002A760C">
      <w:pPr>
        <w:rPr>
          <w:lang w:val="pt-BR"/>
        </w:rPr>
      </w:pPr>
      <w:r>
        <w:rPr>
          <w:rFonts w:ascii="Verdana" w:hAnsi="Verdana"/>
          <w:sz w:val="20"/>
          <w:lang w:val="pt-BR"/>
        </w:rPr>
        <w:t xml:space="preserve">          </w:t>
      </w:r>
      <w:r w:rsidRPr="00400433">
        <w:rPr>
          <w:rFonts w:ascii="Verdana" w:hAnsi="Verdana"/>
          <w:sz w:val="20"/>
          <w:lang w:val="pt-BR"/>
        </w:rPr>
        <w:t>Secretario</w:t>
      </w:r>
    </w:p>
    <w:sectPr w:rsidR="00444433" w:rsidRPr="002A760C" w:rsidSect="0081052D">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708F5" w14:textId="77777777" w:rsidR="003A7044" w:rsidRDefault="003A7044" w:rsidP="006D2A2E">
      <w:r>
        <w:separator/>
      </w:r>
    </w:p>
  </w:endnote>
  <w:endnote w:type="continuationSeparator" w:id="0">
    <w:p w14:paraId="284CB6CC" w14:textId="77777777" w:rsidR="003A7044" w:rsidRDefault="003A7044" w:rsidP="006D2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7885870"/>
      <w:docPartObj>
        <w:docPartGallery w:val="Page Numbers (Bottom of Page)"/>
        <w:docPartUnique/>
      </w:docPartObj>
    </w:sdtPr>
    <w:sdtEndPr>
      <w:rPr>
        <w:rFonts w:ascii="Verdana" w:hAnsi="Verdana"/>
        <w:sz w:val="20"/>
        <w:szCs w:val="20"/>
      </w:rPr>
    </w:sdtEndPr>
    <w:sdtContent>
      <w:p w14:paraId="7E73CE32" w14:textId="311E9684" w:rsidR="00F70A84" w:rsidRDefault="00F70A84" w:rsidP="0037154F">
        <w:pPr>
          <w:pStyle w:val="Piedepgina"/>
          <w:jc w:val="center"/>
        </w:pPr>
        <w:r w:rsidRPr="00033B63">
          <w:rPr>
            <w:rFonts w:ascii="Verdana" w:hAnsi="Verdana"/>
            <w:sz w:val="20"/>
            <w:szCs w:val="20"/>
          </w:rPr>
          <w:t>-</w:t>
        </w:r>
        <w:r w:rsidRPr="00033B63">
          <w:rPr>
            <w:rFonts w:ascii="Verdana" w:hAnsi="Verdana"/>
            <w:sz w:val="20"/>
            <w:szCs w:val="20"/>
          </w:rPr>
          <w:fldChar w:fldCharType="begin"/>
        </w:r>
        <w:r w:rsidRPr="00033B63">
          <w:rPr>
            <w:rFonts w:ascii="Verdana" w:hAnsi="Verdana"/>
            <w:sz w:val="20"/>
            <w:szCs w:val="20"/>
          </w:rPr>
          <w:instrText>PAGE   \* MERGEFORMAT</w:instrText>
        </w:r>
        <w:r w:rsidRPr="00033B63">
          <w:rPr>
            <w:rFonts w:ascii="Verdana" w:hAnsi="Verdana"/>
            <w:sz w:val="20"/>
            <w:szCs w:val="20"/>
          </w:rPr>
          <w:fldChar w:fldCharType="separate"/>
        </w:r>
        <w:r w:rsidR="00670C90" w:rsidRPr="00670C90">
          <w:rPr>
            <w:rFonts w:ascii="Verdana" w:hAnsi="Verdana"/>
            <w:noProof/>
            <w:sz w:val="20"/>
            <w:szCs w:val="20"/>
            <w:lang w:val="es-ES"/>
          </w:rPr>
          <w:t>5</w:t>
        </w:r>
        <w:r w:rsidRPr="00033B63">
          <w:rPr>
            <w:rFonts w:ascii="Verdana" w:hAnsi="Verdana"/>
            <w:sz w:val="20"/>
            <w:szCs w:val="20"/>
          </w:rPr>
          <w:fldChar w:fldCharType="end"/>
        </w:r>
        <w:r w:rsidRPr="00033B63">
          <w:rPr>
            <w:rFonts w:ascii="Verdana" w:hAnsi="Verdana"/>
            <w:sz w:val="20"/>
            <w:szCs w:val="20"/>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640F2" w14:textId="77777777" w:rsidR="003A7044" w:rsidRDefault="003A7044" w:rsidP="006D2A2E">
      <w:r>
        <w:separator/>
      </w:r>
    </w:p>
  </w:footnote>
  <w:footnote w:type="continuationSeparator" w:id="0">
    <w:p w14:paraId="1CCD109E" w14:textId="77777777" w:rsidR="003A7044" w:rsidRDefault="003A7044" w:rsidP="006D2A2E">
      <w:r>
        <w:continuationSeparator/>
      </w:r>
    </w:p>
  </w:footnote>
  <w:footnote w:id="1">
    <w:p w14:paraId="0A7C055C" w14:textId="66111830" w:rsidR="00115208" w:rsidRPr="00EB37CE" w:rsidRDefault="00115208" w:rsidP="008D48A5">
      <w:pPr>
        <w:pStyle w:val="Textonotapie"/>
        <w:rPr>
          <w:szCs w:val="16"/>
        </w:rPr>
      </w:pPr>
      <w:r w:rsidRPr="00CD3A47">
        <w:rPr>
          <w:rFonts w:ascii="Verdana" w:hAnsi="Verdana"/>
          <w:sz w:val="16"/>
          <w:szCs w:val="16"/>
          <w:vertAlign w:val="superscript"/>
        </w:rPr>
        <w:t xml:space="preserve">* </w:t>
      </w:r>
      <w:r>
        <w:rPr>
          <w:rFonts w:ascii="Verdana" w:hAnsi="Verdana"/>
          <w:sz w:val="16"/>
          <w:szCs w:val="16"/>
          <w:vertAlign w:val="superscript"/>
        </w:rPr>
        <w:tab/>
      </w:r>
      <w:r w:rsidR="00995BC1" w:rsidRPr="00995BC1">
        <w:rPr>
          <w:rFonts w:ascii="Verdana" w:hAnsi="Verdana"/>
          <w:sz w:val="16"/>
          <w:szCs w:val="16"/>
        </w:rPr>
        <w:t>La Jueza Verónica Gómez, de nacionalidad argentina, no participó en la deliberación y firma de la presente</w:t>
      </w:r>
      <w:r w:rsidR="00995BC1">
        <w:rPr>
          <w:rFonts w:ascii="Verdana" w:hAnsi="Verdana"/>
          <w:sz w:val="16"/>
          <w:szCs w:val="16"/>
        </w:rPr>
        <w:t xml:space="preserve"> </w:t>
      </w:r>
      <w:r w:rsidR="00995BC1" w:rsidRPr="00995BC1">
        <w:rPr>
          <w:rFonts w:ascii="Verdana" w:hAnsi="Verdana"/>
          <w:sz w:val="16"/>
          <w:szCs w:val="16"/>
        </w:rPr>
        <w:t xml:space="preserve">Resolución, de conformidad con lo dispuesto en el artículo 19.1 del Reglamento de la Corte. </w:t>
      </w:r>
    </w:p>
    <w:p w14:paraId="52E64462" w14:textId="0BE8F52E" w:rsidR="00115208" w:rsidRPr="005A3511" w:rsidRDefault="00115208" w:rsidP="00115208">
      <w:pPr>
        <w:pStyle w:val="Textonotapie"/>
        <w:tabs>
          <w:tab w:val="left" w:pos="426"/>
        </w:tabs>
        <w:jc w:val="both"/>
        <w:rPr>
          <w:rFonts w:ascii="Verdana" w:hAnsi="Verdana"/>
          <w:sz w:val="16"/>
          <w:szCs w:val="16"/>
        </w:rPr>
      </w:pPr>
      <w:r w:rsidRPr="005A3511">
        <w:rPr>
          <w:rFonts w:ascii="Verdana" w:hAnsi="Verdana"/>
          <w:sz w:val="16"/>
          <w:szCs w:val="16"/>
        </w:rPr>
        <w:tab/>
      </w:r>
      <w:r w:rsidRPr="005A3511">
        <w:rPr>
          <w:rFonts w:ascii="Verdana" w:hAnsi="Verdana"/>
          <w:sz w:val="16"/>
          <w:szCs w:val="16"/>
        </w:rPr>
        <w:tab/>
      </w:r>
      <w:r w:rsidR="008D48A5">
        <w:rPr>
          <w:rFonts w:ascii="Verdana" w:hAnsi="Verdana"/>
          <w:sz w:val="16"/>
          <w:szCs w:val="16"/>
        </w:rPr>
        <w:t>E</w:t>
      </w:r>
      <w:r w:rsidRPr="005A3511">
        <w:rPr>
          <w:rFonts w:ascii="Verdana" w:hAnsi="Verdana"/>
          <w:sz w:val="16"/>
          <w:szCs w:val="16"/>
        </w:rPr>
        <w:t xml:space="preserve">sta Resolución fue deliberada y aprobada durante el </w:t>
      </w:r>
      <w:r w:rsidR="00094904" w:rsidRPr="005A3511">
        <w:rPr>
          <w:rFonts w:ascii="Verdana" w:hAnsi="Verdana"/>
          <w:sz w:val="16"/>
          <w:szCs w:val="16"/>
        </w:rPr>
        <w:t>1</w:t>
      </w:r>
      <w:r w:rsidR="00094904">
        <w:rPr>
          <w:rFonts w:ascii="Verdana" w:hAnsi="Verdana"/>
          <w:sz w:val="16"/>
          <w:szCs w:val="16"/>
        </w:rPr>
        <w:t>51</w:t>
      </w:r>
      <w:r w:rsidR="00094904" w:rsidRPr="005A3511">
        <w:rPr>
          <w:rFonts w:ascii="Verdana" w:hAnsi="Verdana"/>
          <w:sz w:val="16"/>
          <w:szCs w:val="16"/>
        </w:rPr>
        <w:t xml:space="preserve"> </w:t>
      </w:r>
      <w:r w:rsidRPr="005A3511">
        <w:rPr>
          <w:rFonts w:ascii="Verdana" w:hAnsi="Verdana"/>
          <w:sz w:val="16"/>
          <w:szCs w:val="16"/>
        </w:rPr>
        <w:t xml:space="preserve">Período Ordinario de Sesiones, </w:t>
      </w:r>
      <w:r w:rsidR="002D1268">
        <w:rPr>
          <w:rFonts w:ascii="Verdana" w:hAnsi="Verdana"/>
          <w:sz w:val="16"/>
          <w:szCs w:val="16"/>
        </w:rPr>
        <w:t>parte d</w:t>
      </w:r>
      <w:r w:rsidRPr="005A3511">
        <w:rPr>
          <w:rFonts w:ascii="Verdana" w:hAnsi="Verdana"/>
          <w:sz w:val="16"/>
          <w:szCs w:val="16"/>
        </w:rPr>
        <w:t xml:space="preserve">el cual se llevó a cabo de forma </w:t>
      </w:r>
      <w:r w:rsidR="00D32D89">
        <w:rPr>
          <w:rFonts w:ascii="Verdana" w:hAnsi="Verdana"/>
          <w:sz w:val="16"/>
          <w:szCs w:val="16"/>
        </w:rPr>
        <w:t>virtua</w:t>
      </w:r>
      <w:r w:rsidRPr="005A3511">
        <w:rPr>
          <w:rFonts w:ascii="Verdana" w:hAnsi="Verdana"/>
          <w:sz w:val="16"/>
          <w:szCs w:val="16"/>
        </w:rPr>
        <w:t>l, utilizando medios tecnológicos de conformidad con lo establecido en el Reglamento de la Corte.</w:t>
      </w:r>
    </w:p>
    <w:p w14:paraId="66DA32A6" w14:textId="296E1AE4" w:rsidR="00115208" w:rsidRPr="00DC278E" w:rsidRDefault="00115208" w:rsidP="005248C9">
      <w:pPr>
        <w:pStyle w:val="Textonotapie"/>
        <w:jc w:val="both"/>
        <w:rPr>
          <w:rFonts w:ascii="Verdana" w:hAnsi="Verdana"/>
          <w:b/>
          <w:bCs/>
          <w:sz w:val="16"/>
          <w:szCs w:val="16"/>
        </w:rPr>
      </w:pPr>
      <w:r w:rsidRPr="005A3511">
        <w:rPr>
          <w:rStyle w:val="Refdenotaalpie"/>
          <w:rFonts w:ascii="Verdana" w:hAnsi="Verdana"/>
          <w:sz w:val="16"/>
          <w:szCs w:val="16"/>
        </w:rPr>
        <w:footnoteRef/>
      </w:r>
      <w:r w:rsidRPr="005A3511">
        <w:rPr>
          <w:rFonts w:ascii="Verdana" w:hAnsi="Verdana"/>
          <w:sz w:val="16"/>
          <w:szCs w:val="16"/>
        </w:rPr>
        <w:t xml:space="preserve"> </w:t>
      </w:r>
      <w:r w:rsidRPr="005A3511">
        <w:rPr>
          <w:rFonts w:ascii="Verdana" w:hAnsi="Verdana"/>
          <w:sz w:val="16"/>
          <w:szCs w:val="16"/>
        </w:rPr>
        <w:tab/>
      </w:r>
      <w:r w:rsidR="005248C9" w:rsidRPr="005A3511">
        <w:rPr>
          <w:rFonts w:ascii="Verdana" w:hAnsi="Verdana"/>
          <w:i/>
          <w:iCs/>
          <w:sz w:val="16"/>
          <w:szCs w:val="16"/>
        </w:rPr>
        <w:t xml:space="preserve">Cfr. </w:t>
      </w:r>
      <w:r w:rsidR="00995BC1" w:rsidRPr="00995BC1">
        <w:rPr>
          <w:rFonts w:ascii="Verdana" w:hAnsi="Verdana"/>
          <w:i/>
          <w:iCs/>
          <w:sz w:val="16"/>
          <w:szCs w:val="16"/>
        </w:rPr>
        <w:t xml:space="preserve">Caso Valle Ambrosio y otro Vs. Argentina. Fondo y Reparaciones. </w:t>
      </w:r>
      <w:r w:rsidR="00995BC1" w:rsidRPr="00995BC1">
        <w:rPr>
          <w:rFonts w:ascii="Verdana" w:hAnsi="Verdana"/>
          <w:sz w:val="16"/>
          <w:szCs w:val="16"/>
        </w:rPr>
        <w:t>Sentencia de 20 de julio de 2020. Serie C No. 408.</w:t>
      </w:r>
      <w:r w:rsidR="00995BC1">
        <w:rPr>
          <w:rFonts w:ascii="Verdana" w:hAnsi="Verdana"/>
          <w:sz w:val="16"/>
          <w:szCs w:val="16"/>
        </w:rPr>
        <w:t xml:space="preserve"> </w:t>
      </w:r>
      <w:r w:rsidR="005248C9" w:rsidRPr="005A3511">
        <w:rPr>
          <w:rFonts w:ascii="Verdana" w:hAnsi="Verdana"/>
          <w:sz w:val="16"/>
          <w:szCs w:val="16"/>
        </w:rPr>
        <w:t xml:space="preserve">El texto íntegro de la Sentencia se encuentra disponible en: </w:t>
      </w:r>
      <w:hyperlink r:id="rId1" w:history="1">
        <w:r w:rsidR="0033164D" w:rsidRPr="000C0BFA">
          <w:rPr>
            <w:rStyle w:val="Hipervnculo"/>
            <w:rFonts w:ascii="Verdana" w:hAnsi="Verdana"/>
            <w:sz w:val="16"/>
            <w:szCs w:val="16"/>
          </w:rPr>
          <w:t>https://www.corteidh.or.cr/docs/casos/articulos/seriec_408_esp.pdf</w:t>
        </w:r>
      </w:hyperlink>
      <w:r w:rsidR="0033164D">
        <w:rPr>
          <w:rFonts w:ascii="Verdana" w:hAnsi="Verdana"/>
          <w:sz w:val="16"/>
          <w:szCs w:val="16"/>
        </w:rPr>
        <w:t>.</w:t>
      </w:r>
      <w:r w:rsidR="005248C9" w:rsidRPr="005A3511">
        <w:rPr>
          <w:rFonts w:ascii="Verdana" w:hAnsi="Verdana"/>
          <w:sz w:val="16"/>
          <w:szCs w:val="16"/>
        </w:rPr>
        <w:t xml:space="preserve"> La Sentencia fue notificada al Estado el </w:t>
      </w:r>
      <w:r w:rsidR="00DC278E">
        <w:rPr>
          <w:rFonts w:ascii="Verdana" w:hAnsi="Verdana"/>
          <w:sz w:val="16"/>
          <w:szCs w:val="16"/>
        </w:rPr>
        <w:t xml:space="preserve">5 de agosto de 2020. </w:t>
      </w:r>
    </w:p>
  </w:footnote>
  <w:footnote w:id="2">
    <w:p w14:paraId="41544515" w14:textId="76A3DB8E" w:rsidR="00036063" w:rsidRPr="001B6A79" w:rsidRDefault="00036063" w:rsidP="002008B3">
      <w:pPr>
        <w:pStyle w:val="Textonotapie"/>
        <w:jc w:val="both"/>
        <w:rPr>
          <w:rFonts w:ascii="Verdana" w:hAnsi="Verdana"/>
          <w:sz w:val="16"/>
          <w:szCs w:val="16"/>
        </w:rPr>
      </w:pPr>
      <w:r w:rsidRPr="005A3511">
        <w:rPr>
          <w:rStyle w:val="Refdenotaalpie"/>
          <w:rFonts w:ascii="Verdana" w:hAnsi="Verdana"/>
          <w:sz w:val="16"/>
          <w:szCs w:val="16"/>
        </w:rPr>
        <w:footnoteRef/>
      </w:r>
      <w:r w:rsidRPr="005A3511">
        <w:rPr>
          <w:rFonts w:ascii="Verdana" w:hAnsi="Verdana"/>
          <w:sz w:val="16"/>
          <w:szCs w:val="16"/>
        </w:rPr>
        <w:t xml:space="preserve"> </w:t>
      </w:r>
      <w:r w:rsidRPr="005A3511">
        <w:rPr>
          <w:rFonts w:ascii="Verdana" w:hAnsi="Verdana"/>
          <w:sz w:val="16"/>
          <w:szCs w:val="16"/>
        </w:rPr>
        <w:tab/>
      </w:r>
      <w:r w:rsidR="002008B3">
        <w:rPr>
          <w:rFonts w:ascii="Verdana" w:hAnsi="Verdana"/>
          <w:sz w:val="16"/>
          <w:szCs w:val="16"/>
        </w:rPr>
        <w:t xml:space="preserve">Los señores </w:t>
      </w:r>
      <w:r w:rsidR="002008B3" w:rsidRPr="002008B3">
        <w:rPr>
          <w:rFonts w:ascii="Verdana" w:hAnsi="Verdana"/>
          <w:sz w:val="16"/>
          <w:szCs w:val="16"/>
        </w:rPr>
        <w:t>Juan Carlos Vega</w:t>
      </w:r>
      <w:r w:rsidR="0033164D" w:rsidRPr="0033164D">
        <w:rPr>
          <w:rFonts w:ascii="Verdana" w:hAnsi="Verdana"/>
          <w:sz w:val="16"/>
          <w:szCs w:val="16"/>
        </w:rPr>
        <w:t xml:space="preserve"> </w:t>
      </w:r>
      <w:r w:rsidR="0033164D">
        <w:rPr>
          <w:rFonts w:ascii="Verdana" w:hAnsi="Verdana"/>
          <w:sz w:val="16"/>
          <w:szCs w:val="16"/>
        </w:rPr>
        <w:t xml:space="preserve">y </w:t>
      </w:r>
      <w:r w:rsidR="0033164D" w:rsidRPr="002008B3">
        <w:rPr>
          <w:rFonts w:ascii="Verdana" w:hAnsi="Verdana"/>
          <w:sz w:val="16"/>
          <w:szCs w:val="16"/>
        </w:rPr>
        <w:t>Víctor Pérsico</w:t>
      </w:r>
      <w:r w:rsidR="001B6A79" w:rsidRPr="001B6A79">
        <w:rPr>
          <w:rFonts w:ascii="Verdana" w:hAnsi="Verdana"/>
          <w:sz w:val="16"/>
          <w:szCs w:val="16"/>
        </w:rPr>
        <w:t>.</w:t>
      </w:r>
    </w:p>
  </w:footnote>
  <w:footnote w:id="3">
    <w:p w14:paraId="3B3EA757" w14:textId="77777777" w:rsidR="00115208" w:rsidRPr="0031623B" w:rsidRDefault="00115208" w:rsidP="00115208">
      <w:pPr>
        <w:pStyle w:val="Textonotapie"/>
        <w:jc w:val="both"/>
        <w:rPr>
          <w:lang w:val="es-ES"/>
        </w:rPr>
      </w:pPr>
      <w:r w:rsidRPr="001B6A79">
        <w:rPr>
          <w:rStyle w:val="Refdenotaalpie"/>
        </w:rPr>
        <w:footnoteRef/>
      </w:r>
      <w:r w:rsidRPr="001B6A79">
        <w:t xml:space="preserve"> </w:t>
      </w:r>
      <w:r w:rsidRPr="001B6A79">
        <w:rPr>
          <w:lang w:val="es-ES"/>
        </w:rPr>
        <w:tab/>
      </w:r>
      <w:r w:rsidRPr="001B6A79">
        <w:rPr>
          <w:rFonts w:ascii="Verdana" w:hAnsi="Verdana"/>
          <w:sz w:val="16"/>
          <w:szCs w:val="16"/>
        </w:rPr>
        <w:t>Facultad que además</w:t>
      </w:r>
      <w:r w:rsidRPr="00D573FD">
        <w:rPr>
          <w:rFonts w:ascii="Verdana" w:hAnsi="Verdana"/>
          <w:sz w:val="16"/>
          <w:szCs w:val="16"/>
        </w:rPr>
        <w:t xml:space="preserve"> se desprende de lo dispuesto en los artículos 33, 62.1, 62.3 y 65 de la Convención Americana sobre Derechos Humanos y 30 de su Estatuto y se encuentra regulada en el artículo 69 de su Reglamento.</w:t>
      </w:r>
    </w:p>
  </w:footnote>
  <w:footnote w:id="4">
    <w:p w14:paraId="5E159DE9" w14:textId="7DFD4F55" w:rsidR="00CC799B" w:rsidRPr="00D235A6" w:rsidRDefault="00CC799B" w:rsidP="00D235A6">
      <w:pPr>
        <w:pStyle w:val="Textonotapie"/>
        <w:jc w:val="both"/>
        <w:rPr>
          <w:rFonts w:ascii="Verdana" w:hAnsi="Verdana"/>
          <w:sz w:val="16"/>
          <w:szCs w:val="16"/>
        </w:rPr>
      </w:pPr>
      <w:r w:rsidRPr="00D235A6">
        <w:rPr>
          <w:rStyle w:val="Refdenotaalpie"/>
          <w:rFonts w:ascii="Verdana" w:hAnsi="Verdana"/>
          <w:sz w:val="16"/>
          <w:szCs w:val="16"/>
        </w:rPr>
        <w:footnoteRef/>
      </w:r>
      <w:r w:rsidRPr="00D235A6">
        <w:rPr>
          <w:rFonts w:ascii="Verdana" w:hAnsi="Verdana"/>
          <w:sz w:val="16"/>
          <w:szCs w:val="16"/>
        </w:rPr>
        <w:t xml:space="preserve"> </w:t>
      </w:r>
      <w:r w:rsidR="00761BE0" w:rsidRPr="00761BE0">
        <w:rPr>
          <w:rFonts w:ascii="Verdana" w:hAnsi="Verdana"/>
          <w:sz w:val="16"/>
          <w:szCs w:val="16"/>
        </w:rPr>
        <w:tab/>
        <w:t>En su escrito de observaciones de 2 de julio de 2022</w:t>
      </w:r>
      <w:r w:rsidR="00104A70">
        <w:rPr>
          <w:rFonts w:ascii="Verdana" w:hAnsi="Verdana"/>
          <w:sz w:val="16"/>
          <w:szCs w:val="16"/>
        </w:rPr>
        <w:t>,</w:t>
      </w:r>
      <w:r w:rsidR="00761BE0" w:rsidRPr="00761BE0">
        <w:rPr>
          <w:rFonts w:ascii="Verdana" w:hAnsi="Verdana"/>
          <w:sz w:val="16"/>
          <w:szCs w:val="16"/>
        </w:rPr>
        <w:t xml:space="preserve"> indicaron que reconocen </w:t>
      </w:r>
      <w:r w:rsidR="00761BE0" w:rsidRPr="00D235A6">
        <w:rPr>
          <w:rStyle w:val="cf01"/>
          <w:rFonts w:ascii="Verdana" w:hAnsi="Verdana"/>
          <w:sz w:val="16"/>
          <w:szCs w:val="16"/>
        </w:rPr>
        <w:t>el cumplimiento de la obligación de publicar la Sentencia.</w:t>
      </w:r>
    </w:p>
  </w:footnote>
  <w:footnote w:id="5">
    <w:p w14:paraId="1BD59546" w14:textId="000A660A" w:rsidR="00971118" w:rsidRPr="009D6D78" w:rsidRDefault="00971118" w:rsidP="00956AD8">
      <w:pPr>
        <w:pStyle w:val="Textonotapie"/>
        <w:jc w:val="both"/>
        <w:rPr>
          <w:rFonts w:ascii="Verdana" w:hAnsi="Verdana"/>
          <w:sz w:val="16"/>
          <w:szCs w:val="16"/>
        </w:rPr>
      </w:pPr>
      <w:r w:rsidRPr="009D6D78">
        <w:rPr>
          <w:rStyle w:val="Refdenotaalpie"/>
          <w:rFonts w:ascii="Verdana" w:hAnsi="Verdana"/>
          <w:sz w:val="16"/>
          <w:szCs w:val="16"/>
        </w:rPr>
        <w:footnoteRef/>
      </w:r>
      <w:r w:rsidRPr="009D6D78">
        <w:rPr>
          <w:rFonts w:ascii="Verdana" w:hAnsi="Verdana"/>
          <w:sz w:val="16"/>
          <w:szCs w:val="16"/>
        </w:rPr>
        <w:t xml:space="preserve"> </w:t>
      </w:r>
      <w:r w:rsidR="00956AD8" w:rsidRPr="009D6D78">
        <w:rPr>
          <w:rFonts w:ascii="Verdana" w:hAnsi="Verdana"/>
          <w:sz w:val="16"/>
          <w:szCs w:val="16"/>
        </w:rPr>
        <w:tab/>
      </w:r>
      <w:r w:rsidR="00956AD8" w:rsidRPr="009D6D78">
        <w:rPr>
          <w:rFonts w:ascii="Verdana" w:hAnsi="Verdana"/>
          <w:i/>
          <w:iCs/>
          <w:sz w:val="16"/>
          <w:szCs w:val="16"/>
        </w:rPr>
        <w:t>Cfr.</w:t>
      </w:r>
      <w:r w:rsidR="00956AD8" w:rsidRPr="009D6D78">
        <w:rPr>
          <w:rFonts w:ascii="Verdana" w:hAnsi="Verdana"/>
          <w:sz w:val="16"/>
          <w:szCs w:val="16"/>
        </w:rPr>
        <w:t xml:space="preserve"> Copia de la publicación del resumen oficial de la Sentencia en el </w:t>
      </w:r>
      <w:bookmarkStart w:id="1" w:name="_Hlk106787318"/>
      <w:r w:rsidR="00594AA8" w:rsidRPr="009D6D78">
        <w:rPr>
          <w:rFonts w:ascii="Verdana" w:hAnsi="Verdana"/>
          <w:sz w:val="16"/>
          <w:szCs w:val="16"/>
        </w:rPr>
        <w:t>Boletín Oficial de la República Argentina</w:t>
      </w:r>
      <w:bookmarkEnd w:id="1"/>
      <w:r w:rsidR="00104A70">
        <w:rPr>
          <w:rFonts w:ascii="Verdana" w:hAnsi="Verdana"/>
          <w:sz w:val="16"/>
          <w:szCs w:val="16"/>
        </w:rPr>
        <w:t>,</w:t>
      </w:r>
      <w:r w:rsidR="00DB2531" w:rsidRPr="009D6D78">
        <w:rPr>
          <w:rFonts w:ascii="Verdana" w:hAnsi="Verdana"/>
          <w:sz w:val="16"/>
          <w:szCs w:val="16"/>
        </w:rPr>
        <w:t xml:space="preserve"> Edición No. 63019/20 de 14 de diciembre de 2020</w:t>
      </w:r>
      <w:r w:rsidR="00956AD8" w:rsidRPr="009D6D78">
        <w:rPr>
          <w:rFonts w:ascii="Verdana" w:hAnsi="Verdana"/>
          <w:sz w:val="16"/>
          <w:szCs w:val="16"/>
        </w:rPr>
        <w:t xml:space="preserve"> (anexo al informe estatal </w:t>
      </w:r>
      <w:r w:rsidR="00F51AC0" w:rsidRPr="009D6D78">
        <w:rPr>
          <w:rFonts w:ascii="Verdana" w:hAnsi="Verdana"/>
          <w:sz w:val="16"/>
          <w:szCs w:val="16"/>
        </w:rPr>
        <w:t>de 5 de agosto de 2021</w:t>
      </w:r>
      <w:r w:rsidR="00956AD8" w:rsidRPr="009D6D78">
        <w:rPr>
          <w:rFonts w:ascii="Verdana" w:hAnsi="Verdana"/>
          <w:sz w:val="16"/>
          <w:szCs w:val="16"/>
        </w:rPr>
        <w:t>).</w:t>
      </w:r>
    </w:p>
  </w:footnote>
  <w:footnote w:id="6">
    <w:p w14:paraId="17CAB0F7" w14:textId="345FD16E" w:rsidR="00F51AC0" w:rsidRPr="009D6D78" w:rsidRDefault="00F51AC0" w:rsidP="00F51AC0">
      <w:pPr>
        <w:pStyle w:val="Textonotapie"/>
        <w:jc w:val="both"/>
        <w:rPr>
          <w:rFonts w:ascii="Verdana" w:hAnsi="Verdana"/>
          <w:sz w:val="16"/>
          <w:szCs w:val="16"/>
        </w:rPr>
      </w:pPr>
      <w:r w:rsidRPr="009D6D78">
        <w:rPr>
          <w:rStyle w:val="Refdenotaalpie"/>
          <w:rFonts w:ascii="Verdana" w:hAnsi="Verdana"/>
          <w:sz w:val="16"/>
          <w:szCs w:val="16"/>
        </w:rPr>
        <w:footnoteRef/>
      </w:r>
      <w:r w:rsidRPr="009D6D78">
        <w:rPr>
          <w:rFonts w:ascii="Verdana" w:hAnsi="Verdana"/>
          <w:sz w:val="16"/>
          <w:szCs w:val="16"/>
        </w:rPr>
        <w:t xml:space="preserve"> </w:t>
      </w:r>
      <w:r w:rsidRPr="009D6D78">
        <w:rPr>
          <w:rFonts w:ascii="Verdana" w:hAnsi="Verdana"/>
          <w:sz w:val="16"/>
          <w:szCs w:val="16"/>
        </w:rPr>
        <w:tab/>
      </w:r>
      <w:r w:rsidRPr="009D6D78">
        <w:rPr>
          <w:rFonts w:ascii="Verdana" w:hAnsi="Verdana"/>
          <w:i/>
          <w:iCs/>
          <w:sz w:val="16"/>
          <w:szCs w:val="16"/>
        </w:rPr>
        <w:t>Cfr.</w:t>
      </w:r>
      <w:r w:rsidRPr="009D6D78">
        <w:rPr>
          <w:rFonts w:ascii="Verdana" w:hAnsi="Verdana"/>
          <w:sz w:val="16"/>
          <w:szCs w:val="16"/>
        </w:rPr>
        <w:t xml:space="preserve"> Copia de la publicación del resumen oficial de la Sentencia en el </w:t>
      </w:r>
      <w:r w:rsidR="00D41EA0" w:rsidRPr="009D6D78">
        <w:rPr>
          <w:rFonts w:ascii="Verdana" w:hAnsi="Verdana"/>
          <w:sz w:val="16"/>
          <w:szCs w:val="16"/>
        </w:rPr>
        <w:t xml:space="preserve">diario </w:t>
      </w:r>
      <w:r w:rsidR="00104A70">
        <w:rPr>
          <w:rFonts w:ascii="Verdana" w:hAnsi="Verdana"/>
          <w:sz w:val="16"/>
          <w:szCs w:val="16"/>
        </w:rPr>
        <w:t>“</w:t>
      </w:r>
      <w:r w:rsidR="00D41EA0" w:rsidRPr="009D6D78">
        <w:rPr>
          <w:rFonts w:ascii="Verdana" w:hAnsi="Verdana"/>
          <w:sz w:val="16"/>
          <w:szCs w:val="16"/>
        </w:rPr>
        <w:t>La Voz</w:t>
      </w:r>
      <w:r w:rsidR="00104A70">
        <w:rPr>
          <w:rFonts w:ascii="Verdana" w:hAnsi="Verdana"/>
          <w:sz w:val="16"/>
          <w:szCs w:val="16"/>
        </w:rPr>
        <w:t>”</w:t>
      </w:r>
      <w:r w:rsidR="00D41EA0" w:rsidRPr="009D6D78">
        <w:rPr>
          <w:rFonts w:ascii="Verdana" w:hAnsi="Verdana"/>
          <w:sz w:val="16"/>
          <w:szCs w:val="16"/>
        </w:rPr>
        <w:t xml:space="preserve"> de 27 de enero de 2021, pág. 3</w:t>
      </w:r>
      <w:r w:rsidRPr="009D6D78">
        <w:rPr>
          <w:rFonts w:ascii="Verdana" w:hAnsi="Verdana"/>
          <w:sz w:val="16"/>
          <w:szCs w:val="16"/>
        </w:rPr>
        <w:t xml:space="preserve"> (anexo al informe estatal de</w:t>
      </w:r>
      <w:r w:rsidR="00D41EA0" w:rsidRPr="009D6D78">
        <w:rPr>
          <w:rFonts w:ascii="Verdana" w:hAnsi="Verdana"/>
          <w:sz w:val="16"/>
          <w:szCs w:val="16"/>
        </w:rPr>
        <w:t xml:space="preserve"> 15 de junio de 2022</w:t>
      </w:r>
      <w:r w:rsidRPr="009D6D78">
        <w:rPr>
          <w:rFonts w:ascii="Verdana" w:hAnsi="Verdana"/>
          <w:sz w:val="16"/>
          <w:szCs w:val="16"/>
        </w:rPr>
        <w:t>).</w:t>
      </w:r>
    </w:p>
  </w:footnote>
  <w:footnote w:id="7">
    <w:p w14:paraId="7FFD17B4" w14:textId="5AF2408D" w:rsidR="003B1386" w:rsidRPr="0019120E" w:rsidRDefault="00971118" w:rsidP="006F5BAE">
      <w:pPr>
        <w:pStyle w:val="Textonotapie"/>
        <w:jc w:val="both"/>
        <w:rPr>
          <w:rFonts w:ascii="Calibri" w:hAnsi="Calibri" w:cs="Times New Roman"/>
        </w:rPr>
      </w:pPr>
      <w:r w:rsidRPr="009D6D78">
        <w:rPr>
          <w:rStyle w:val="Refdenotaalpie"/>
          <w:rFonts w:ascii="Verdana" w:hAnsi="Verdana"/>
          <w:sz w:val="16"/>
          <w:szCs w:val="16"/>
        </w:rPr>
        <w:footnoteRef/>
      </w:r>
      <w:r w:rsidRPr="009D6D78">
        <w:rPr>
          <w:rFonts w:ascii="Verdana" w:hAnsi="Verdana"/>
          <w:sz w:val="16"/>
          <w:szCs w:val="16"/>
        </w:rPr>
        <w:t xml:space="preserve"> </w:t>
      </w:r>
      <w:r w:rsidR="000329DE" w:rsidRPr="009D6D78">
        <w:rPr>
          <w:rFonts w:ascii="Verdana" w:hAnsi="Verdana"/>
          <w:sz w:val="16"/>
          <w:szCs w:val="16"/>
        </w:rPr>
        <w:tab/>
      </w:r>
      <w:r w:rsidR="006F5BAE" w:rsidRPr="009D6D78">
        <w:rPr>
          <w:rFonts w:ascii="Verdana" w:hAnsi="Verdana"/>
          <w:sz w:val="16"/>
          <w:szCs w:val="16"/>
        </w:rPr>
        <w:t>E</w:t>
      </w:r>
      <w:r w:rsidR="001B51EE" w:rsidRPr="009D6D78">
        <w:rPr>
          <w:rFonts w:ascii="Verdana" w:hAnsi="Verdana"/>
          <w:sz w:val="16"/>
          <w:szCs w:val="16"/>
        </w:rPr>
        <w:t>n su informe de 5 de agosto de 2021, e</w:t>
      </w:r>
      <w:r w:rsidR="006F5BAE" w:rsidRPr="009D6D78">
        <w:rPr>
          <w:rFonts w:ascii="Verdana" w:hAnsi="Verdana"/>
          <w:sz w:val="16"/>
          <w:szCs w:val="16"/>
        </w:rPr>
        <w:t>l</w:t>
      </w:r>
      <w:r w:rsidR="000329DE" w:rsidRPr="009D6D78">
        <w:rPr>
          <w:rFonts w:ascii="Verdana" w:hAnsi="Verdana"/>
          <w:sz w:val="16"/>
          <w:szCs w:val="16"/>
        </w:rPr>
        <w:t xml:space="preserve"> </w:t>
      </w:r>
      <w:r w:rsidR="000329DE" w:rsidRPr="009D6D78">
        <w:rPr>
          <w:rFonts w:ascii="Verdana" w:hAnsi="Verdana"/>
          <w:i/>
          <w:iCs/>
          <w:sz w:val="16"/>
          <w:szCs w:val="16"/>
        </w:rPr>
        <w:t xml:space="preserve">Estado </w:t>
      </w:r>
      <w:r w:rsidR="00CE4640">
        <w:rPr>
          <w:rFonts w:ascii="Verdana" w:hAnsi="Verdana"/>
          <w:sz w:val="16"/>
          <w:szCs w:val="16"/>
        </w:rPr>
        <w:t>comunicó</w:t>
      </w:r>
      <w:r w:rsidR="000329DE" w:rsidRPr="009D6D78">
        <w:rPr>
          <w:rFonts w:ascii="Verdana" w:hAnsi="Verdana"/>
          <w:sz w:val="16"/>
          <w:szCs w:val="16"/>
        </w:rPr>
        <w:t xml:space="preserve"> que el texto íntegro de la Sentencia se encuentra disponible </w:t>
      </w:r>
      <w:r w:rsidR="006F5BAE" w:rsidRPr="009D6D78">
        <w:rPr>
          <w:rFonts w:ascii="Verdana" w:hAnsi="Verdana"/>
          <w:sz w:val="16"/>
          <w:szCs w:val="16"/>
        </w:rPr>
        <w:t xml:space="preserve">en el sitio </w:t>
      </w:r>
      <w:r w:rsidR="006F5BAE" w:rsidRPr="0019120E">
        <w:rPr>
          <w:rFonts w:ascii="Verdana" w:hAnsi="Verdana"/>
          <w:i/>
          <w:iCs/>
          <w:sz w:val="16"/>
          <w:szCs w:val="16"/>
        </w:rPr>
        <w:t>web</w:t>
      </w:r>
      <w:r w:rsidR="006F5BAE" w:rsidRPr="009D6D78">
        <w:rPr>
          <w:rFonts w:ascii="Verdana" w:hAnsi="Verdana"/>
          <w:sz w:val="16"/>
          <w:szCs w:val="16"/>
        </w:rPr>
        <w:t xml:space="preserve"> del Ministerio de Justicia y Derechos Humanos en</w:t>
      </w:r>
      <w:r w:rsidR="000329DE" w:rsidRPr="009D6D78">
        <w:rPr>
          <w:rFonts w:ascii="Verdana" w:hAnsi="Verdana"/>
          <w:sz w:val="16"/>
          <w:szCs w:val="16"/>
        </w:rPr>
        <w:t xml:space="preserve"> el siguiente enlace:</w:t>
      </w:r>
      <w:r w:rsidR="006F5BAE" w:rsidRPr="009D6D78">
        <w:rPr>
          <w:rFonts w:ascii="Verdana" w:hAnsi="Verdana"/>
          <w:sz w:val="16"/>
          <w:szCs w:val="16"/>
        </w:rPr>
        <w:t xml:space="preserve"> </w:t>
      </w:r>
      <w:hyperlink r:id="rId2" w:history="1">
        <w:r w:rsidR="006F5BAE" w:rsidRPr="009D6D78">
          <w:rPr>
            <w:rStyle w:val="Hipervnculo"/>
            <w:rFonts w:ascii="Verdana" w:hAnsi="Verdana"/>
            <w:sz w:val="16"/>
            <w:szCs w:val="16"/>
          </w:rPr>
          <w:t>https://www.argentina.gob.ar/justicia/Publicaciones-CIDH</w:t>
        </w:r>
      </w:hyperlink>
      <w:r w:rsidR="006F5BAE" w:rsidRPr="009D6D78">
        <w:rPr>
          <w:rFonts w:ascii="Verdana" w:hAnsi="Verdana"/>
          <w:sz w:val="16"/>
          <w:szCs w:val="16"/>
        </w:rPr>
        <w:t xml:space="preserve">. </w:t>
      </w:r>
      <w:r w:rsidR="000E1F37">
        <w:rPr>
          <w:rFonts w:ascii="Verdana" w:hAnsi="Verdana"/>
          <w:sz w:val="16"/>
          <w:szCs w:val="16"/>
        </w:rPr>
        <w:t>La última vez que la Corte consultó el referido enlace electrónico, se pudo constatar que la publicación de la Sentencia de este caso seguía disponible (visitado por última vez el 2 de septiembre de 2022).</w:t>
      </w:r>
    </w:p>
  </w:footnote>
  <w:footnote w:id="8">
    <w:p w14:paraId="2AFA2ECD" w14:textId="77777777" w:rsidR="00104A70" w:rsidRPr="009D6D78" w:rsidRDefault="00104A70" w:rsidP="00104A70">
      <w:pPr>
        <w:pStyle w:val="Textonotapie"/>
        <w:rPr>
          <w:rFonts w:ascii="Verdana" w:hAnsi="Verdana"/>
          <w:sz w:val="16"/>
          <w:szCs w:val="16"/>
        </w:rPr>
      </w:pPr>
      <w:r w:rsidRPr="009D6D78">
        <w:rPr>
          <w:rStyle w:val="Refdenotaalpie"/>
          <w:rFonts w:ascii="Verdana" w:hAnsi="Verdana"/>
          <w:sz w:val="16"/>
          <w:szCs w:val="16"/>
        </w:rPr>
        <w:footnoteRef/>
      </w:r>
      <w:r w:rsidRPr="009D6D78">
        <w:rPr>
          <w:rFonts w:ascii="Verdana" w:hAnsi="Verdana"/>
          <w:sz w:val="16"/>
          <w:szCs w:val="16"/>
        </w:rPr>
        <w:t xml:space="preserve"> </w:t>
      </w:r>
      <w:r w:rsidRPr="009D6D78">
        <w:rPr>
          <w:rFonts w:ascii="Verdana" w:hAnsi="Verdana"/>
          <w:sz w:val="16"/>
          <w:szCs w:val="16"/>
        </w:rPr>
        <w:tab/>
        <w:t xml:space="preserve"> Se otorgó un plazo de seis meses, contado a partir de la notificación de la Sentencia.</w:t>
      </w:r>
    </w:p>
  </w:footnote>
  <w:footnote w:id="9">
    <w:p w14:paraId="0442C9E7" w14:textId="1AA34807" w:rsidR="00B403A8" w:rsidRPr="009D6D78" w:rsidRDefault="00B403A8" w:rsidP="00B403A8">
      <w:pPr>
        <w:autoSpaceDE w:val="0"/>
        <w:autoSpaceDN w:val="0"/>
        <w:adjustRightInd w:val="0"/>
        <w:jc w:val="both"/>
        <w:rPr>
          <w:rFonts w:ascii="Verdana" w:hAnsi="Verdana" w:cs="Times New Roman"/>
          <w:sz w:val="16"/>
          <w:szCs w:val="16"/>
        </w:rPr>
      </w:pPr>
      <w:r w:rsidRPr="009D6D78">
        <w:rPr>
          <w:rStyle w:val="Refdenotaalpie"/>
          <w:rFonts w:ascii="Verdana" w:hAnsi="Verdana"/>
          <w:sz w:val="16"/>
          <w:szCs w:val="16"/>
        </w:rPr>
        <w:footnoteRef/>
      </w:r>
      <w:r w:rsidRPr="009D6D78">
        <w:rPr>
          <w:rFonts w:ascii="Verdana" w:hAnsi="Verdana"/>
          <w:sz w:val="16"/>
          <w:szCs w:val="16"/>
        </w:rPr>
        <w:t xml:space="preserve"> </w:t>
      </w:r>
      <w:r w:rsidRPr="009D6D78">
        <w:rPr>
          <w:rFonts w:ascii="Verdana" w:hAnsi="Verdana"/>
          <w:sz w:val="16"/>
          <w:szCs w:val="16"/>
        </w:rPr>
        <w:tab/>
        <w:t xml:space="preserve">El </w:t>
      </w:r>
      <w:r w:rsidRPr="009D6D78">
        <w:rPr>
          <w:rFonts w:ascii="Verdana" w:hAnsi="Verdana"/>
          <w:i/>
          <w:iCs/>
          <w:sz w:val="16"/>
          <w:szCs w:val="16"/>
        </w:rPr>
        <w:t>Estado</w:t>
      </w:r>
      <w:r w:rsidRPr="009D6D78">
        <w:rPr>
          <w:rFonts w:ascii="Verdana" w:hAnsi="Verdana"/>
          <w:sz w:val="16"/>
          <w:szCs w:val="16"/>
        </w:rPr>
        <w:t xml:space="preserve"> explicó que este es “</w:t>
      </w:r>
      <w:r w:rsidRPr="009D6D78">
        <w:rPr>
          <w:rFonts w:ascii="Verdana" w:hAnsi="Verdana" w:cs="Times New Roman"/>
          <w:sz w:val="16"/>
          <w:szCs w:val="16"/>
        </w:rPr>
        <w:t>el único procedimiento para la concreción de los pagos”, el cual “se trata de un trámite sencillo</w:t>
      </w:r>
      <w:r w:rsidRPr="0019120E">
        <w:rPr>
          <w:rFonts w:ascii="Verdana" w:hAnsi="Verdana" w:cs="Times New Roman"/>
          <w:sz w:val="16"/>
          <w:szCs w:val="16"/>
        </w:rPr>
        <w:t xml:space="preserve"> </w:t>
      </w:r>
      <w:r w:rsidRPr="009D6D78">
        <w:rPr>
          <w:rFonts w:ascii="Verdana" w:hAnsi="Verdana" w:cs="Times New Roman"/>
          <w:sz w:val="16"/>
          <w:szCs w:val="16"/>
        </w:rPr>
        <w:t xml:space="preserve">requerido por la Secretaría de Hacienda de la Nación, consistente en la presentación de unos formularios completos con datos de identidad y bancarios y documentación (Fotocopias del DNI, Constancia de inscripción en la AFIP -en caso de que correspondiera- y- Constancia de CUIL/CUIT, impreso desde la página de ANSES). De esta forma la Jurisdicción 91- Obligaciones a Cargo del Tesoro que tiene a su cargo el pago de las sentencias (cfr. artículo 2º del Decreto nº 559/21) conforma el alta del beneficiario en el sistema, procede al cálculo de intereses moratorios –si correspondiera- y emite la orden de pago que ejecuta finalmente la Tesorería General de la Nación, mediante una transferencia bancaria a la cuenta previamente informada por el beneficiario”. </w:t>
      </w:r>
    </w:p>
  </w:footnote>
  <w:footnote w:id="10">
    <w:p w14:paraId="30465E1D" w14:textId="0A4415FF" w:rsidR="001C74F0" w:rsidRPr="009D6D78" w:rsidRDefault="001C74F0" w:rsidP="001C74F0">
      <w:pPr>
        <w:pStyle w:val="Textonotapie"/>
        <w:jc w:val="both"/>
        <w:rPr>
          <w:rFonts w:ascii="Verdana" w:hAnsi="Verdana"/>
          <w:sz w:val="16"/>
          <w:szCs w:val="16"/>
          <w:highlight w:val="yellow"/>
        </w:rPr>
      </w:pPr>
      <w:r w:rsidRPr="009D6D78">
        <w:rPr>
          <w:rStyle w:val="Refdenotaalpie"/>
          <w:rFonts w:ascii="Verdana" w:hAnsi="Verdana"/>
          <w:sz w:val="16"/>
          <w:szCs w:val="16"/>
        </w:rPr>
        <w:footnoteRef/>
      </w:r>
      <w:r w:rsidRPr="009D6D78">
        <w:rPr>
          <w:rFonts w:ascii="Verdana" w:hAnsi="Verdana"/>
          <w:sz w:val="16"/>
          <w:szCs w:val="16"/>
        </w:rPr>
        <w:t xml:space="preserve"> </w:t>
      </w:r>
      <w:r w:rsidRPr="009D6D78">
        <w:rPr>
          <w:rFonts w:ascii="Verdana" w:hAnsi="Verdana"/>
          <w:sz w:val="16"/>
          <w:szCs w:val="16"/>
        </w:rPr>
        <w:tab/>
      </w:r>
      <w:r w:rsidRPr="009D6D78">
        <w:rPr>
          <w:rFonts w:ascii="Verdana" w:hAnsi="Verdana"/>
          <w:i/>
          <w:iCs/>
          <w:sz w:val="16"/>
          <w:szCs w:val="16"/>
        </w:rPr>
        <w:t>Cfr.</w:t>
      </w:r>
      <w:r w:rsidRPr="009D6D78">
        <w:rPr>
          <w:rFonts w:ascii="Verdana" w:hAnsi="Verdana"/>
          <w:sz w:val="16"/>
          <w:szCs w:val="16"/>
        </w:rPr>
        <w:t xml:space="preserve"> Decreto No. 559/2021 de 24 de agosto de 2021, publicado en el Boletín Oficial de la República Argentina el 25 de agosto de 2021 (anexo al informe estatal de 11 de julio de 2022).</w:t>
      </w:r>
      <w:r w:rsidR="00304A71">
        <w:rPr>
          <w:rFonts w:ascii="Verdana" w:hAnsi="Verdana"/>
          <w:sz w:val="16"/>
          <w:szCs w:val="16"/>
        </w:rPr>
        <w:t xml:space="preserve"> </w:t>
      </w:r>
    </w:p>
  </w:footnote>
  <w:footnote w:id="11">
    <w:p w14:paraId="3EE23B68" w14:textId="3A28B149" w:rsidR="00BE578B" w:rsidRPr="0019120E" w:rsidRDefault="00BE578B" w:rsidP="0019120E">
      <w:pPr>
        <w:pStyle w:val="Textonotapie"/>
        <w:jc w:val="both"/>
        <w:rPr>
          <w:rFonts w:ascii="Verdana" w:hAnsi="Verdana"/>
          <w:sz w:val="16"/>
          <w:szCs w:val="16"/>
        </w:rPr>
      </w:pPr>
      <w:r w:rsidRPr="0019120E">
        <w:rPr>
          <w:rStyle w:val="Refdenotaalpie"/>
          <w:rFonts w:ascii="Verdana" w:hAnsi="Verdana"/>
          <w:sz w:val="16"/>
          <w:szCs w:val="16"/>
        </w:rPr>
        <w:footnoteRef/>
      </w:r>
      <w:r w:rsidRPr="0019120E">
        <w:rPr>
          <w:rFonts w:ascii="Verdana" w:hAnsi="Verdana"/>
          <w:sz w:val="16"/>
          <w:szCs w:val="16"/>
        </w:rPr>
        <w:t xml:space="preserve"> </w:t>
      </w:r>
      <w:r w:rsidR="007E75AA" w:rsidRPr="0019120E">
        <w:rPr>
          <w:rFonts w:ascii="Verdana" w:hAnsi="Verdana"/>
          <w:sz w:val="16"/>
          <w:szCs w:val="16"/>
        </w:rPr>
        <w:tab/>
      </w:r>
      <w:r w:rsidR="007E75AA" w:rsidRPr="0019120E">
        <w:rPr>
          <w:rFonts w:ascii="Verdana" w:hAnsi="Verdana"/>
          <w:i/>
          <w:iCs/>
          <w:sz w:val="16"/>
          <w:szCs w:val="16"/>
        </w:rPr>
        <w:t xml:space="preserve">Cfr. </w:t>
      </w:r>
      <w:r w:rsidRPr="0019120E">
        <w:rPr>
          <w:rFonts w:ascii="Verdana" w:hAnsi="Verdana"/>
          <w:sz w:val="16"/>
          <w:szCs w:val="16"/>
        </w:rPr>
        <w:t>Informe estatal de 11 de julio de 2022</w:t>
      </w:r>
      <w:r w:rsidR="000D6ADA" w:rsidRPr="0019120E">
        <w:rPr>
          <w:rFonts w:ascii="Verdana" w:hAnsi="Verdana"/>
          <w:sz w:val="16"/>
          <w:szCs w:val="16"/>
        </w:rPr>
        <w:t>.</w:t>
      </w:r>
    </w:p>
  </w:footnote>
  <w:footnote w:id="12">
    <w:p w14:paraId="2E9B8DFF" w14:textId="43ED2A21" w:rsidR="009D6D78" w:rsidRPr="009D6D78" w:rsidRDefault="00C51782" w:rsidP="00C51782">
      <w:pPr>
        <w:pStyle w:val="Textonotapie"/>
        <w:jc w:val="both"/>
        <w:rPr>
          <w:rFonts w:ascii="Verdana" w:hAnsi="Verdana" w:cs="Times New Roman"/>
          <w:sz w:val="16"/>
          <w:szCs w:val="16"/>
        </w:rPr>
      </w:pPr>
      <w:r w:rsidRPr="009D6D78">
        <w:rPr>
          <w:rStyle w:val="Refdenotaalpie"/>
          <w:rFonts w:ascii="Verdana" w:hAnsi="Verdana"/>
          <w:sz w:val="16"/>
          <w:szCs w:val="16"/>
        </w:rPr>
        <w:footnoteRef/>
      </w:r>
      <w:r w:rsidRPr="009D6D78">
        <w:rPr>
          <w:rFonts w:ascii="Verdana" w:hAnsi="Verdana"/>
          <w:sz w:val="16"/>
          <w:szCs w:val="16"/>
        </w:rPr>
        <w:t xml:space="preserve"> </w:t>
      </w:r>
      <w:r w:rsidRPr="009D6D78">
        <w:rPr>
          <w:rFonts w:ascii="Verdana" w:hAnsi="Verdana"/>
          <w:sz w:val="16"/>
          <w:szCs w:val="16"/>
        </w:rPr>
        <w:tab/>
        <w:t xml:space="preserve">Se trata de “los </w:t>
      </w:r>
      <w:r w:rsidRPr="009D6D78">
        <w:rPr>
          <w:rFonts w:ascii="Verdana" w:hAnsi="Verdana" w:cs="Times New Roman"/>
          <w:sz w:val="16"/>
          <w:szCs w:val="16"/>
        </w:rPr>
        <w:t>autos caratulados ‘DOMINGUEZ LINARES, Carlos Eduardo y otro c/Estado Nacional Argentino s/Ejecuciones Varias’ que tramita por Expediente nº 7465/21 el Juzgado Federal n°3 de la Ciudad de Córdoba</w:t>
      </w:r>
      <w:r w:rsidR="000D6ADA">
        <w:rPr>
          <w:rFonts w:ascii="Verdana" w:hAnsi="Verdana" w:cs="Times New Roman"/>
          <w:sz w:val="16"/>
          <w:szCs w:val="16"/>
        </w:rPr>
        <w:t>”</w:t>
      </w:r>
      <w:r w:rsidRPr="009D6D78">
        <w:rPr>
          <w:rFonts w:ascii="Verdana" w:hAnsi="Verdana" w:cs="Times New Roman"/>
          <w:sz w:val="16"/>
          <w:szCs w:val="16"/>
        </w:rPr>
        <w:t>.</w:t>
      </w:r>
      <w:r w:rsidR="009D6D78" w:rsidRPr="009D6D78">
        <w:rPr>
          <w:rFonts w:ascii="Verdana" w:hAnsi="Verdana" w:cs="Times New Roman"/>
          <w:sz w:val="16"/>
          <w:szCs w:val="16"/>
        </w:rPr>
        <w:t xml:space="preserve"> En cuanto a este proceso, el Estado </w:t>
      </w:r>
      <w:r w:rsidR="009D6D78" w:rsidRPr="009D6D78">
        <w:rPr>
          <w:rFonts w:ascii="Verdana" w:hAnsi="Verdana"/>
          <w:sz w:val="16"/>
          <w:szCs w:val="16"/>
        </w:rPr>
        <w:t xml:space="preserve">aportó una copia de la respuesta que dio, en noviembre de 2021, a una primera prevención que le realizó el juzgado interno, así como una copia de la contestación a la demanda de las víctimas. </w:t>
      </w:r>
      <w:r w:rsidR="009D6D78" w:rsidRPr="009D6D78">
        <w:rPr>
          <w:rFonts w:ascii="Verdana" w:hAnsi="Verdana"/>
          <w:i/>
          <w:iCs/>
          <w:sz w:val="16"/>
          <w:szCs w:val="16"/>
        </w:rPr>
        <w:t>Cfr.</w:t>
      </w:r>
      <w:r w:rsidR="009D6D78" w:rsidRPr="009D6D78">
        <w:rPr>
          <w:rFonts w:ascii="Verdana" w:hAnsi="Verdana"/>
          <w:sz w:val="16"/>
          <w:szCs w:val="16"/>
        </w:rPr>
        <w:t xml:space="preserve"> Anexo al informe de diciembre de 2021, y Contestación de la demanda presentada por el Estado bajo el expediente No 7465/2021 (anexo al informe estatal de 31 de mayo de 2022).</w:t>
      </w:r>
    </w:p>
  </w:footnote>
  <w:footnote w:id="13">
    <w:p w14:paraId="2A81807E" w14:textId="0CBDFCAB" w:rsidR="00AB39B1" w:rsidRPr="00695DEE" w:rsidRDefault="00AB39B1" w:rsidP="00695DEE">
      <w:pPr>
        <w:autoSpaceDE w:val="0"/>
        <w:autoSpaceDN w:val="0"/>
        <w:adjustRightInd w:val="0"/>
        <w:jc w:val="both"/>
        <w:rPr>
          <w:rFonts w:ascii="Verdana" w:hAnsi="Verdana"/>
          <w:sz w:val="16"/>
          <w:szCs w:val="16"/>
        </w:rPr>
      </w:pPr>
      <w:r w:rsidRPr="00730447">
        <w:rPr>
          <w:rStyle w:val="Refdenotaalpie"/>
          <w:rFonts w:ascii="Verdana" w:hAnsi="Verdana"/>
          <w:sz w:val="16"/>
          <w:szCs w:val="16"/>
        </w:rPr>
        <w:footnoteRef/>
      </w:r>
      <w:r w:rsidRPr="00730447">
        <w:rPr>
          <w:rFonts w:ascii="Verdana" w:hAnsi="Verdana"/>
          <w:sz w:val="16"/>
          <w:szCs w:val="16"/>
        </w:rPr>
        <w:t xml:space="preserve"> </w:t>
      </w:r>
      <w:r w:rsidRPr="00730447">
        <w:rPr>
          <w:rFonts w:ascii="Verdana" w:hAnsi="Verdana"/>
          <w:sz w:val="16"/>
          <w:szCs w:val="16"/>
        </w:rPr>
        <w:tab/>
      </w:r>
      <w:r w:rsidRPr="00730447">
        <w:rPr>
          <w:rFonts w:ascii="Verdana" w:hAnsi="Verdana"/>
          <w:i/>
          <w:iCs/>
          <w:sz w:val="16"/>
          <w:szCs w:val="16"/>
        </w:rPr>
        <w:t>Cfr.</w:t>
      </w:r>
      <w:r w:rsidRPr="00730447">
        <w:rPr>
          <w:rFonts w:ascii="Verdana" w:hAnsi="Verdana"/>
          <w:sz w:val="16"/>
          <w:szCs w:val="16"/>
        </w:rPr>
        <w:t xml:space="preserve"> </w:t>
      </w:r>
      <w:r w:rsidRPr="00730447">
        <w:rPr>
          <w:rFonts w:ascii="Verdana" w:hAnsi="Verdana" w:cs="Times New Roman"/>
          <w:sz w:val="16"/>
          <w:szCs w:val="16"/>
        </w:rPr>
        <w:t xml:space="preserve">Notificación efectuada por el Estado vía correo electrónico al representante Juan Carlos Vega el 26 de agosto de 2021 y reiterada el 2 de enero y 7 de febrero de 2022 (anexos al informe estatal de </w:t>
      </w:r>
      <w:r w:rsidR="00730447" w:rsidRPr="00730447">
        <w:rPr>
          <w:rFonts w:ascii="Verdana" w:hAnsi="Verdana" w:cs="Times New Roman"/>
          <w:sz w:val="16"/>
          <w:szCs w:val="16"/>
        </w:rPr>
        <w:t>11 de julio de 2022).</w:t>
      </w:r>
      <w:r w:rsidR="00075AD4">
        <w:rPr>
          <w:rFonts w:ascii="Verdana" w:hAnsi="Verdana" w:cs="Times New Roman"/>
          <w:sz w:val="16"/>
          <w:szCs w:val="16"/>
        </w:rPr>
        <w:t xml:space="preserve"> </w:t>
      </w:r>
    </w:p>
  </w:footnote>
  <w:footnote w:id="14">
    <w:p w14:paraId="727ED666" w14:textId="77777777" w:rsidR="006B7DC0" w:rsidRPr="0012346B" w:rsidRDefault="006B7DC0" w:rsidP="006B7DC0">
      <w:pPr>
        <w:pStyle w:val="Textonotapie"/>
        <w:jc w:val="both"/>
        <w:rPr>
          <w:rFonts w:ascii="Verdana" w:hAnsi="Verdana"/>
          <w:sz w:val="16"/>
          <w:szCs w:val="16"/>
          <w:lang w:val="es-ES"/>
        </w:rPr>
      </w:pPr>
      <w:r w:rsidRPr="0012346B">
        <w:rPr>
          <w:rStyle w:val="Refdenotaalpie"/>
          <w:rFonts w:ascii="Verdana" w:hAnsi="Verdana"/>
          <w:sz w:val="16"/>
          <w:szCs w:val="16"/>
        </w:rPr>
        <w:footnoteRef/>
      </w:r>
      <w:r w:rsidRPr="0012346B">
        <w:rPr>
          <w:rFonts w:ascii="Verdana" w:hAnsi="Verdana"/>
          <w:sz w:val="16"/>
          <w:szCs w:val="16"/>
        </w:rPr>
        <w:t xml:space="preserve"> </w:t>
      </w:r>
      <w:r w:rsidRPr="0012346B">
        <w:rPr>
          <w:rFonts w:ascii="Verdana" w:hAnsi="Verdana"/>
          <w:sz w:val="16"/>
          <w:szCs w:val="16"/>
          <w:lang w:val="es-ES"/>
        </w:rPr>
        <w:tab/>
        <w:t>En el párrafo 87 de la Sentencia se dispuso que “[e]</w:t>
      </w:r>
      <w:r w:rsidRPr="0012346B">
        <w:rPr>
          <w:rFonts w:ascii="Verdana" w:hAnsi="Verdana"/>
          <w:sz w:val="16"/>
          <w:szCs w:val="16"/>
        </w:rPr>
        <w:t>n caso de que el Estado incurriera en mora deberá pagar un interés sobre la cantidad adeudada, correspondiente al interés bancario moratorio en la República Argentina”.</w:t>
      </w:r>
    </w:p>
  </w:footnote>
  <w:footnote w:id="15">
    <w:p w14:paraId="06F40BFB" w14:textId="77777777" w:rsidR="006B7DC0" w:rsidRPr="003A5850" w:rsidRDefault="006B7DC0" w:rsidP="006B7DC0">
      <w:pPr>
        <w:pStyle w:val="Textonotapie"/>
        <w:jc w:val="both"/>
        <w:rPr>
          <w:rFonts w:ascii="Verdana" w:hAnsi="Verdana"/>
          <w:sz w:val="16"/>
          <w:szCs w:val="16"/>
        </w:rPr>
      </w:pPr>
      <w:r w:rsidRPr="003A5850">
        <w:rPr>
          <w:rStyle w:val="Refdenotaalpie"/>
          <w:rFonts w:ascii="Verdana" w:hAnsi="Verdana"/>
          <w:sz w:val="16"/>
          <w:szCs w:val="16"/>
        </w:rPr>
        <w:footnoteRef/>
      </w:r>
      <w:r w:rsidRPr="002551A5">
        <w:rPr>
          <w:rFonts w:ascii="Verdana" w:hAnsi="Verdana"/>
          <w:sz w:val="16"/>
          <w:szCs w:val="16"/>
          <w:lang w:val="pt-BR"/>
        </w:rPr>
        <w:t xml:space="preserve"> </w:t>
      </w:r>
      <w:r w:rsidRPr="002551A5">
        <w:rPr>
          <w:rFonts w:ascii="Verdana" w:hAnsi="Verdana"/>
          <w:sz w:val="16"/>
          <w:szCs w:val="16"/>
          <w:lang w:val="pt-BR"/>
        </w:rPr>
        <w:tab/>
      </w:r>
      <w:r w:rsidRPr="002551A5">
        <w:rPr>
          <w:rFonts w:ascii="Verdana" w:hAnsi="Verdana"/>
          <w:i/>
          <w:iCs/>
          <w:sz w:val="16"/>
          <w:szCs w:val="16"/>
          <w:lang w:val="pt-BR"/>
        </w:rPr>
        <w:t xml:space="preserve">Cfr. Caso Jenkins Vs. Argentina. </w:t>
      </w:r>
      <w:r w:rsidRPr="003A5850">
        <w:rPr>
          <w:rFonts w:ascii="Verdana" w:hAnsi="Verdana"/>
          <w:i/>
          <w:iCs/>
          <w:sz w:val="16"/>
          <w:szCs w:val="16"/>
        </w:rPr>
        <w:t>Supervisión de Cumplimiento de Sentencia</w:t>
      </w:r>
      <w:r w:rsidRPr="003A5850">
        <w:rPr>
          <w:rFonts w:ascii="Verdana" w:hAnsi="Verdana"/>
          <w:sz w:val="16"/>
          <w:szCs w:val="16"/>
        </w:rPr>
        <w:t>. Resolución de la Corte Interamericana de Derechos Humanos de 12 de mayo de 2022</w:t>
      </w:r>
      <w:r>
        <w:rPr>
          <w:rFonts w:ascii="Verdana" w:hAnsi="Verdana"/>
          <w:sz w:val="16"/>
          <w:szCs w:val="16"/>
        </w:rPr>
        <w:t>, Considerando 2.</w:t>
      </w:r>
    </w:p>
  </w:footnote>
  <w:footnote w:id="16">
    <w:p w14:paraId="5B7C58A6" w14:textId="77777777" w:rsidR="006B7DC0" w:rsidRPr="003B1158" w:rsidRDefault="006B7DC0" w:rsidP="006B7DC0">
      <w:pPr>
        <w:pStyle w:val="Textonotapie"/>
        <w:jc w:val="both"/>
        <w:rPr>
          <w:rFonts w:ascii="Verdana" w:hAnsi="Verdana"/>
          <w:sz w:val="16"/>
          <w:szCs w:val="16"/>
        </w:rPr>
      </w:pPr>
      <w:r w:rsidRPr="003B1158">
        <w:rPr>
          <w:rStyle w:val="Refdenotaalpie"/>
          <w:rFonts w:ascii="Verdana" w:hAnsi="Verdana"/>
          <w:sz w:val="16"/>
          <w:szCs w:val="16"/>
        </w:rPr>
        <w:footnoteRef/>
      </w:r>
      <w:r w:rsidRPr="003B1158">
        <w:rPr>
          <w:rFonts w:ascii="Verdana" w:hAnsi="Verdana"/>
          <w:sz w:val="16"/>
          <w:szCs w:val="16"/>
        </w:rPr>
        <w:t xml:space="preserve"> </w:t>
      </w:r>
      <w:r w:rsidRPr="003B1158">
        <w:rPr>
          <w:rFonts w:ascii="Verdana" w:hAnsi="Verdana"/>
          <w:sz w:val="16"/>
          <w:szCs w:val="16"/>
        </w:rPr>
        <w:tab/>
      </w:r>
      <w:r w:rsidRPr="003B1158">
        <w:rPr>
          <w:rFonts w:ascii="Verdana" w:hAnsi="Verdana"/>
          <w:i/>
          <w:iCs/>
          <w:sz w:val="16"/>
          <w:szCs w:val="16"/>
        </w:rPr>
        <w:t>Cfr. Caso de la Masacre de Pueblo Bello Vs. Colombia. Supervisión de Cumplimiento de Sentencia</w:t>
      </w:r>
      <w:r w:rsidRPr="003B1158">
        <w:rPr>
          <w:rFonts w:ascii="Verdana" w:hAnsi="Verdana"/>
          <w:sz w:val="16"/>
          <w:szCs w:val="16"/>
        </w:rPr>
        <w:t>. Resolución de la Corte Interamericana de Derechos Humanos de 9 de julio de 2009, Considerando 67.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F5A7A" w14:textId="3DC35764" w:rsidR="00F70A84" w:rsidRPr="000D5C03" w:rsidRDefault="00F70A84" w:rsidP="00A97521">
    <w:pPr>
      <w:pStyle w:val="Encabezado"/>
      <w:jc w:val="right"/>
      <w:rPr>
        <w:rFonts w:ascii="Verdana" w:hAnsi="Verdana"/>
        <w:b/>
        <w:bCs/>
        <w:i/>
        <w:i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1BEF"/>
    <w:multiLevelType w:val="hybridMultilevel"/>
    <w:tmpl w:val="0C9877C6"/>
    <w:lvl w:ilvl="0" w:tplc="610EEE36">
      <w:start w:val="1"/>
      <w:numFmt w:val="decimal"/>
      <w:lvlText w:val="%1."/>
      <w:lvlJc w:val="left"/>
      <w:pPr>
        <w:ind w:left="218" w:hanging="360"/>
      </w:pPr>
      <w:rPr>
        <w:rFonts w:hint="default"/>
        <w:b w:val="0"/>
        <w:sz w:val="20"/>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1" w15:restartNumberingAfterBreak="0">
    <w:nsid w:val="05E133AD"/>
    <w:multiLevelType w:val="hybridMultilevel"/>
    <w:tmpl w:val="85885B98"/>
    <w:lvl w:ilvl="0" w:tplc="C2D27498">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79225B6"/>
    <w:multiLevelType w:val="hybridMultilevel"/>
    <w:tmpl w:val="0C94E966"/>
    <w:lvl w:ilvl="0" w:tplc="2BC22E4A">
      <w:start w:val="1"/>
      <w:numFmt w:val="decimal"/>
      <w:lvlText w:val="%1."/>
      <w:lvlJc w:val="left"/>
      <w:pPr>
        <w:ind w:left="1211" w:hanging="360"/>
      </w:pPr>
      <w:rPr>
        <w:rFonts w:ascii="Verdana" w:hAnsi="Verdana"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9DA3413"/>
    <w:multiLevelType w:val="hybridMultilevel"/>
    <w:tmpl w:val="9446B23E"/>
    <w:lvl w:ilvl="0" w:tplc="5C92A2F2">
      <w:start w:val="1"/>
      <w:numFmt w:val="lowerLetter"/>
      <w:lvlText w:val="%1)"/>
      <w:lvlJc w:val="left"/>
      <w:pPr>
        <w:ind w:left="720" w:hanging="360"/>
      </w:pPr>
      <w:rPr>
        <w:rFonts w:eastAsiaTheme="minorHAnsi" w:cs="Calibri"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A77285B"/>
    <w:multiLevelType w:val="hybridMultilevel"/>
    <w:tmpl w:val="14EAB56A"/>
    <w:lvl w:ilvl="0" w:tplc="26A040A2">
      <w:start w:val="1"/>
      <w:numFmt w:val="lowerLetter"/>
      <w:lvlText w:val="%1)"/>
      <w:lvlJc w:val="left"/>
      <w:pPr>
        <w:ind w:left="720" w:hanging="360"/>
      </w:pPr>
      <w:rPr>
        <w:b w:val="0"/>
        <w:sz w:val="19"/>
        <w:szCs w:val="19"/>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0F266062"/>
    <w:multiLevelType w:val="hybridMultilevel"/>
    <w:tmpl w:val="2AAC7FFC"/>
    <w:lvl w:ilvl="0" w:tplc="5C964E14">
      <w:start w:val="1"/>
      <w:numFmt w:val="lowerRoman"/>
      <w:lvlText w:val="%1)"/>
      <w:lvlJc w:val="left"/>
      <w:pPr>
        <w:ind w:left="1080" w:hanging="720"/>
      </w:pPr>
      <w:rPr>
        <w:rFonts w:hint="default"/>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6" w15:restartNumberingAfterBreak="0">
    <w:nsid w:val="12AE41B6"/>
    <w:multiLevelType w:val="hybridMultilevel"/>
    <w:tmpl w:val="12CA46BC"/>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43162D7"/>
    <w:multiLevelType w:val="hybridMultilevel"/>
    <w:tmpl w:val="E5EAEB62"/>
    <w:lvl w:ilvl="0" w:tplc="C80E681E">
      <w:start w:val="1"/>
      <w:numFmt w:val="upperLetter"/>
      <w:lvlText w:val="%1."/>
      <w:lvlJc w:val="left"/>
      <w:pPr>
        <w:ind w:left="72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82E6234"/>
    <w:multiLevelType w:val="hybridMultilevel"/>
    <w:tmpl w:val="42869EE2"/>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194E698D"/>
    <w:multiLevelType w:val="hybridMultilevel"/>
    <w:tmpl w:val="CA70AB2C"/>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20DD6F17"/>
    <w:multiLevelType w:val="hybridMultilevel"/>
    <w:tmpl w:val="B8E8110C"/>
    <w:lvl w:ilvl="0" w:tplc="E78A1E7A">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1185F3C"/>
    <w:multiLevelType w:val="hybridMultilevel"/>
    <w:tmpl w:val="FBEE6E1C"/>
    <w:lvl w:ilvl="0" w:tplc="C42EAADE">
      <w:start w:val="1"/>
      <w:numFmt w:val="decimal"/>
      <w:lvlText w:val="%1."/>
      <w:lvlJc w:val="left"/>
      <w:pPr>
        <w:ind w:left="360" w:hanging="360"/>
      </w:pPr>
      <w:rPr>
        <w:rFonts w:hint="default"/>
        <w:b w:val="0"/>
        <w:i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228169A8"/>
    <w:multiLevelType w:val="hybridMultilevel"/>
    <w:tmpl w:val="2F74FBE0"/>
    <w:lvl w:ilvl="0" w:tplc="F484010A">
      <w:start w:val="1"/>
      <w:numFmt w:val="lowerRoman"/>
      <w:lvlText w:val="(%1)"/>
      <w:lvlJc w:val="left"/>
      <w:pPr>
        <w:ind w:left="720" w:hanging="360"/>
      </w:pPr>
      <w:rPr>
        <w:rFonts w:eastAsiaTheme="minorHAnsi" w:cs="Calibri"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289D40D0"/>
    <w:multiLevelType w:val="hybridMultilevel"/>
    <w:tmpl w:val="3134FC26"/>
    <w:lvl w:ilvl="0" w:tplc="E296564C">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2A373F4A"/>
    <w:multiLevelType w:val="hybridMultilevel"/>
    <w:tmpl w:val="D780D138"/>
    <w:lvl w:ilvl="0" w:tplc="19AAF962">
      <w:start w:val="1"/>
      <w:numFmt w:val="lowerRoman"/>
      <w:lvlText w:val="%1)"/>
      <w:lvlJc w:val="left"/>
      <w:pPr>
        <w:ind w:left="1440" w:hanging="72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5" w15:restartNumberingAfterBreak="0">
    <w:nsid w:val="2E9B1B9E"/>
    <w:multiLevelType w:val="hybridMultilevel"/>
    <w:tmpl w:val="68E0D99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3075352E"/>
    <w:multiLevelType w:val="hybridMultilevel"/>
    <w:tmpl w:val="CB307D92"/>
    <w:lvl w:ilvl="0" w:tplc="EA36A9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7B12FA"/>
    <w:multiLevelType w:val="hybridMultilevel"/>
    <w:tmpl w:val="4DEE0820"/>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8" w15:restartNumberingAfterBreak="0">
    <w:nsid w:val="324B21DE"/>
    <w:multiLevelType w:val="hybridMultilevel"/>
    <w:tmpl w:val="F7B8FE0C"/>
    <w:lvl w:ilvl="0" w:tplc="8D3823B6">
      <w:start w:val="1"/>
      <w:numFmt w:val="decimal"/>
      <w:lvlText w:val="%1."/>
      <w:lvlJc w:val="center"/>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3D800511"/>
    <w:multiLevelType w:val="hybridMultilevel"/>
    <w:tmpl w:val="BF8C01C0"/>
    <w:lvl w:ilvl="0" w:tplc="75D03326">
      <w:start w:val="1"/>
      <w:numFmt w:val="lowerLetter"/>
      <w:lvlText w:val="%1)"/>
      <w:lvlJc w:val="left"/>
      <w:pPr>
        <w:ind w:left="720" w:hanging="360"/>
      </w:pPr>
      <w:rPr>
        <w:sz w:val="19"/>
        <w:szCs w:val="19"/>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419115D4"/>
    <w:multiLevelType w:val="hybridMultilevel"/>
    <w:tmpl w:val="54EC6AC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43124C99"/>
    <w:multiLevelType w:val="hybridMultilevel"/>
    <w:tmpl w:val="92CE6B3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43962092"/>
    <w:multiLevelType w:val="hybridMultilevel"/>
    <w:tmpl w:val="D136C552"/>
    <w:lvl w:ilvl="0" w:tplc="5C964E14">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48343497"/>
    <w:multiLevelType w:val="hybridMultilevel"/>
    <w:tmpl w:val="0658D498"/>
    <w:lvl w:ilvl="0" w:tplc="D02A88A0">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497F5E2B"/>
    <w:multiLevelType w:val="hybridMultilevel"/>
    <w:tmpl w:val="4038F95A"/>
    <w:lvl w:ilvl="0" w:tplc="A2261DD0">
      <w:start w:val="1"/>
      <w:numFmt w:val="decimal"/>
      <w:lvlText w:val="%1."/>
      <w:lvlJc w:val="left"/>
      <w:pPr>
        <w:ind w:left="3479" w:hanging="360"/>
      </w:pPr>
      <w:rPr>
        <w:rFonts w:hint="default"/>
        <w:b w:val="0"/>
        <w:i w:val="0"/>
        <w:iCs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4B3450A0"/>
    <w:multiLevelType w:val="hybridMultilevel"/>
    <w:tmpl w:val="2116BECC"/>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4D550C3D"/>
    <w:multiLevelType w:val="hybridMultilevel"/>
    <w:tmpl w:val="6B761196"/>
    <w:lvl w:ilvl="0" w:tplc="73AE4932">
      <w:start w:val="1"/>
      <w:numFmt w:val="lowerLetter"/>
      <w:lvlText w:val="%1)"/>
      <w:lvlJc w:val="left"/>
      <w:pPr>
        <w:ind w:left="435" w:hanging="360"/>
      </w:pPr>
      <w:rPr>
        <w:rFonts w:hint="default"/>
      </w:rPr>
    </w:lvl>
    <w:lvl w:ilvl="1" w:tplc="140A0019" w:tentative="1">
      <w:start w:val="1"/>
      <w:numFmt w:val="lowerLetter"/>
      <w:lvlText w:val="%2."/>
      <w:lvlJc w:val="left"/>
      <w:pPr>
        <w:ind w:left="1155" w:hanging="360"/>
      </w:pPr>
    </w:lvl>
    <w:lvl w:ilvl="2" w:tplc="140A001B" w:tentative="1">
      <w:start w:val="1"/>
      <w:numFmt w:val="lowerRoman"/>
      <w:lvlText w:val="%3."/>
      <w:lvlJc w:val="right"/>
      <w:pPr>
        <w:ind w:left="1875" w:hanging="180"/>
      </w:pPr>
    </w:lvl>
    <w:lvl w:ilvl="3" w:tplc="140A000F" w:tentative="1">
      <w:start w:val="1"/>
      <w:numFmt w:val="decimal"/>
      <w:lvlText w:val="%4."/>
      <w:lvlJc w:val="left"/>
      <w:pPr>
        <w:ind w:left="2595" w:hanging="360"/>
      </w:pPr>
    </w:lvl>
    <w:lvl w:ilvl="4" w:tplc="140A0019" w:tentative="1">
      <w:start w:val="1"/>
      <w:numFmt w:val="lowerLetter"/>
      <w:lvlText w:val="%5."/>
      <w:lvlJc w:val="left"/>
      <w:pPr>
        <w:ind w:left="3315" w:hanging="360"/>
      </w:pPr>
    </w:lvl>
    <w:lvl w:ilvl="5" w:tplc="140A001B" w:tentative="1">
      <w:start w:val="1"/>
      <w:numFmt w:val="lowerRoman"/>
      <w:lvlText w:val="%6."/>
      <w:lvlJc w:val="right"/>
      <w:pPr>
        <w:ind w:left="4035" w:hanging="180"/>
      </w:pPr>
    </w:lvl>
    <w:lvl w:ilvl="6" w:tplc="140A000F" w:tentative="1">
      <w:start w:val="1"/>
      <w:numFmt w:val="decimal"/>
      <w:lvlText w:val="%7."/>
      <w:lvlJc w:val="left"/>
      <w:pPr>
        <w:ind w:left="4755" w:hanging="360"/>
      </w:pPr>
    </w:lvl>
    <w:lvl w:ilvl="7" w:tplc="140A0019" w:tentative="1">
      <w:start w:val="1"/>
      <w:numFmt w:val="lowerLetter"/>
      <w:lvlText w:val="%8."/>
      <w:lvlJc w:val="left"/>
      <w:pPr>
        <w:ind w:left="5475" w:hanging="360"/>
      </w:pPr>
    </w:lvl>
    <w:lvl w:ilvl="8" w:tplc="140A001B" w:tentative="1">
      <w:start w:val="1"/>
      <w:numFmt w:val="lowerRoman"/>
      <w:lvlText w:val="%9."/>
      <w:lvlJc w:val="right"/>
      <w:pPr>
        <w:ind w:left="6195" w:hanging="180"/>
      </w:pPr>
    </w:lvl>
  </w:abstractNum>
  <w:abstractNum w:abstractNumId="27" w15:restartNumberingAfterBreak="0">
    <w:nsid w:val="4E5E3430"/>
    <w:multiLevelType w:val="hybridMultilevel"/>
    <w:tmpl w:val="12CA46B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874510"/>
    <w:multiLevelType w:val="hybridMultilevel"/>
    <w:tmpl w:val="2EE8D32E"/>
    <w:lvl w:ilvl="0" w:tplc="F484010A">
      <w:start w:val="1"/>
      <w:numFmt w:val="lowerRoman"/>
      <w:lvlText w:val="(%1)"/>
      <w:lvlJc w:val="left"/>
      <w:pPr>
        <w:ind w:left="1440" w:hanging="1080"/>
      </w:pPr>
      <w:rPr>
        <w:rFonts w:eastAsiaTheme="minorHAnsi" w:cs="Calibri"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4E9909EF"/>
    <w:multiLevelType w:val="hybridMultilevel"/>
    <w:tmpl w:val="A3569E9E"/>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55770552"/>
    <w:multiLevelType w:val="hybridMultilevel"/>
    <w:tmpl w:val="3E769782"/>
    <w:lvl w:ilvl="0" w:tplc="4D6A43E6">
      <w:start w:val="1"/>
      <w:numFmt w:val="bullet"/>
      <w:lvlText w:val="-"/>
      <w:lvlJc w:val="left"/>
      <w:pPr>
        <w:ind w:left="720" w:hanging="360"/>
      </w:pPr>
      <w:rPr>
        <w:rFonts w:ascii="Verdana" w:eastAsia="Times New Roman" w:hAnsi="Verdana"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574E1079"/>
    <w:multiLevelType w:val="hybridMultilevel"/>
    <w:tmpl w:val="D01E98FE"/>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5B5E7B83"/>
    <w:multiLevelType w:val="hybridMultilevel"/>
    <w:tmpl w:val="7236EC92"/>
    <w:lvl w:ilvl="0" w:tplc="95AA2276">
      <w:start w:val="1"/>
      <w:numFmt w:val="upperRoman"/>
      <w:lvlText w:val="%1."/>
      <w:lvlJc w:val="left"/>
      <w:pPr>
        <w:ind w:left="1800" w:hanging="72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33" w15:restartNumberingAfterBreak="0">
    <w:nsid w:val="5D2065B4"/>
    <w:multiLevelType w:val="hybridMultilevel"/>
    <w:tmpl w:val="C6C86EFE"/>
    <w:lvl w:ilvl="0" w:tplc="5C964E14">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60557346"/>
    <w:multiLevelType w:val="hybridMultilevel"/>
    <w:tmpl w:val="12CA46B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1F71744"/>
    <w:multiLevelType w:val="hybridMultilevel"/>
    <w:tmpl w:val="6A0A8BC2"/>
    <w:lvl w:ilvl="0" w:tplc="71D0C580">
      <w:start w:val="1"/>
      <w:numFmt w:val="decimal"/>
      <w:lvlText w:val="%1."/>
      <w:lvlJc w:val="left"/>
      <w:pPr>
        <w:ind w:left="720" w:hanging="360"/>
      </w:pPr>
      <w:rPr>
        <w:rFonts w:hint="default"/>
        <w:b w:val="0"/>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6878155E"/>
    <w:multiLevelType w:val="hybridMultilevel"/>
    <w:tmpl w:val="C3B461CC"/>
    <w:lvl w:ilvl="0" w:tplc="4800A362">
      <w:start w:val="1"/>
      <w:numFmt w:val="decimal"/>
      <w:lvlText w:val="%1."/>
      <w:lvlJc w:val="left"/>
      <w:pPr>
        <w:ind w:left="100" w:hanging="720"/>
      </w:pPr>
      <w:rPr>
        <w:rFonts w:ascii="Verdana" w:eastAsia="Verdana" w:hAnsi="Verdana" w:cs="Verdana" w:hint="default"/>
        <w:w w:val="99"/>
        <w:sz w:val="20"/>
        <w:szCs w:val="20"/>
        <w:lang w:val="es-ES" w:eastAsia="en-US" w:bidi="ar-SA"/>
      </w:rPr>
    </w:lvl>
    <w:lvl w:ilvl="1" w:tplc="4E36D37A">
      <w:start w:val="1"/>
      <w:numFmt w:val="upperLetter"/>
      <w:lvlText w:val="%2."/>
      <w:lvlJc w:val="left"/>
      <w:pPr>
        <w:ind w:left="808" w:hanging="425"/>
      </w:pPr>
      <w:rPr>
        <w:rFonts w:ascii="Verdana" w:eastAsia="Verdana" w:hAnsi="Verdana" w:cs="Verdana" w:hint="default"/>
        <w:i/>
        <w:iCs/>
        <w:spacing w:val="-1"/>
        <w:w w:val="100"/>
        <w:sz w:val="18"/>
        <w:szCs w:val="18"/>
        <w:lang w:val="es-ES" w:eastAsia="en-US" w:bidi="ar-SA"/>
      </w:rPr>
    </w:lvl>
    <w:lvl w:ilvl="2" w:tplc="AE0EFA8A">
      <w:numFmt w:val="bullet"/>
      <w:lvlText w:val="•"/>
      <w:lvlJc w:val="left"/>
      <w:pPr>
        <w:ind w:left="1775" w:hanging="425"/>
      </w:pPr>
      <w:rPr>
        <w:rFonts w:hint="default"/>
        <w:lang w:val="es-ES" w:eastAsia="en-US" w:bidi="ar-SA"/>
      </w:rPr>
    </w:lvl>
    <w:lvl w:ilvl="3" w:tplc="36081EF8">
      <w:numFmt w:val="bullet"/>
      <w:lvlText w:val="•"/>
      <w:lvlJc w:val="left"/>
      <w:pPr>
        <w:ind w:left="2751" w:hanging="425"/>
      </w:pPr>
      <w:rPr>
        <w:rFonts w:hint="default"/>
        <w:lang w:val="es-ES" w:eastAsia="en-US" w:bidi="ar-SA"/>
      </w:rPr>
    </w:lvl>
    <w:lvl w:ilvl="4" w:tplc="758E6B9A">
      <w:numFmt w:val="bullet"/>
      <w:lvlText w:val="•"/>
      <w:lvlJc w:val="left"/>
      <w:pPr>
        <w:ind w:left="3726" w:hanging="425"/>
      </w:pPr>
      <w:rPr>
        <w:rFonts w:hint="default"/>
        <w:lang w:val="es-ES" w:eastAsia="en-US" w:bidi="ar-SA"/>
      </w:rPr>
    </w:lvl>
    <w:lvl w:ilvl="5" w:tplc="8D162F10">
      <w:numFmt w:val="bullet"/>
      <w:lvlText w:val="•"/>
      <w:lvlJc w:val="left"/>
      <w:pPr>
        <w:ind w:left="4702" w:hanging="425"/>
      </w:pPr>
      <w:rPr>
        <w:rFonts w:hint="default"/>
        <w:lang w:val="es-ES" w:eastAsia="en-US" w:bidi="ar-SA"/>
      </w:rPr>
    </w:lvl>
    <w:lvl w:ilvl="6" w:tplc="D5F6C5C8">
      <w:numFmt w:val="bullet"/>
      <w:lvlText w:val="•"/>
      <w:lvlJc w:val="left"/>
      <w:pPr>
        <w:ind w:left="5677" w:hanging="425"/>
      </w:pPr>
      <w:rPr>
        <w:rFonts w:hint="default"/>
        <w:lang w:val="es-ES" w:eastAsia="en-US" w:bidi="ar-SA"/>
      </w:rPr>
    </w:lvl>
    <w:lvl w:ilvl="7" w:tplc="0394AEE4">
      <w:numFmt w:val="bullet"/>
      <w:lvlText w:val="•"/>
      <w:lvlJc w:val="left"/>
      <w:pPr>
        <w:ind w:left="6653" w:hanging="425"/>
      </w:pPr>
      <w:rPr>
        <w:rFonts w:hint="default"/>
        <w:lang w:val="es-ES" w:eastAsia="en-US" w:bidi="ar-SA"/>
      </w:rPr>
    </w:lvl>
    <w:lvl w:ilvl="8" w:tplc="FCBC7816">
      <w:numFmt w:val="bullet"/>
      <w:lvlText w:val="•"/>
      <w:lvlJc w:val="left"/>
      <w:pPr>
        <w:ind w:left="7628" w:hanging="425"/>
      </w:pPr>
      <w:rPr>
        <w:rFonts w:hint="default"/>
        <w:lang w:val="es-ES" w:eastAsia="en-US" w:bidi="ar-SA"/>
      </w:rPr>
    </w:lvl>
  </w:abstractNum>
  <w:abstractNum w:abstractNumId="37" w15:restartNumberingAfterBreak="0">
    <w:nsid w:val="68D44DEC"/>
    <w:multiLevelType w:val="hybridMultilevel"/>
    <w:tmpl w:val="12CA46BC"/>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763E79CD"/>
    <w:multiLevelType w:val="hybridMultilevel"/>
    <w:tmpl w:val="B7B048E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15:restartNumberingAfterBreak="0">
    <w:nsid w:val="76753A80"/>
    <w:multiLevelType w:val="hybridMultilevel"/>
    <w:tmpl w:val="D0A6F9AA"/>
    <w:lvl w:ilvl="0" w:tplc="B37AF7BC">
      <w:start w:val="1"/>
      <w:numFmt w:val="decimal"/>
      <w:lvlText w:val="%1."/>
      <w:lvlJc w:val="left"/>
      <w:pPr>
        <w:ind w:left="0" w:firstLine="0"/>
      </w:pPr>
      <w:rPr>
        <w:rFonts w:ascii="Verdana" w:hAnsi="Verdana" w:hint="default"/>
        <w:b w:val="0"/>
        <w:i w:val="0"/>
        <w:sz w:val="20"/>
        <w:szCs w:val="20"/>
      </w:rPr>
    </w:lvl>
    <w:lvl w:ilvl="1" w:tplc="080A0019">
      <w:start w:val="1"/>
      <w:numFmt w:val="lowerLetter"/>
      <w:lvlText w:val="%2."/>
      <w:lvlJc w:val="left"/>
      <w:pPr>
        <w:ind w:left="1298" w:hanging="360"/>
      </w:pPr>
      <w:rPr>
        <w:rFonts w:hint="default"/>
      </w:rPr>
    </w:lvl>
    <w:lvl w:ilvl="2" w:tplc="080A001B">
      <w:start w:val="1"/>
      <w:numFmt w:val="lowerRoman"/>
      <w:lvlText w:val="%3."/>
      <w:lvlJc w:val="right"/>
      <w:pPr>
        <w:ind w:left="2018" w:hanging="180"/>
      </w:pPr>
    </w:lvl>
    <w:lvl w:ilvl="3" w:tplc="080A000F" w:tentative="1">
      <w:start w:val="1"/>
      <w:numFmt w:val="decimal"/>
      <w:lvlText w:val="%4."/>
      <w:lvlJc w:val="left"/>
      <w:pPr>
        <w:ind w:left="2738" w:hanging="360"/>
      </w:pPr>
    </w:lvl>
    <w:lvl w:ilvl="4" w:tplc="080A0019" w:tentative="1">
      <w:start w:val="1"/>
      <w:numFmt w:val="lowerLetter"/>
      <w:lvlText w:val="%5."/>
      <w:lvlJc w:val="left"/>
      <w:pPr>
        <w:ind w:left="3458" w:hanging="360"/>
      </w:pPr>
    </w:lvl>
    <w:lvl w:ilvl="5" w:tplc="080A001B" w:tentative="1">
      <w:start w:val="1"/>
      <w:numFmt w:val="lowerRoman"/>
      <w:lvlText w:val="%6."/>
      <w:lvlJc w:val="right"/>
      <w:pPr>
        <w:ind w:left="4178" w:hanging="180"/>
      </w:pPr>
    </w:lvl>
    <w:lvl w:ilvl="6" w:tplc="080A000F" w:tentative="1">
      <w:start w:val="1"/>
      <w:numFmt w:val="decimal"/>
      <w:lvlText w:val="%7."/>
      <w:lvlJc w:val="left"/>
      <w:pPr>
        <w:ind w:left="4898" w:hanging="360"/>
      </w:pPr>
    </w:lvl>
    <w:lvl w:ilvl="7" w:tplc="080A0019" w:tentative="1">
      <w:start w:val="1"/>
      <w:numFmt w:val="lowerLetter"/>
      <w:lvlText w:val="%8."/>
      <w:lvlJc w:val="left"/>
      <w:pPr>
        <w:ind w:left="5618" w:hanging="360"/>
      </w:pPr>
    </w:lvl>
    <w:lvl w:ilvl="8" w:tplc="080A001B" w:tentative="1">
      <w:start w:val="1"/>
      <w:numFmt w:val="lowerRoman"/>
      <w:lvlText w:val="%9."/>
      <w:lvlJc w:val="right"/>
      <w:pPr>
        <w:ind w:left="6338" w:hanging="180"/>
      </w:pPr>
    </w:lvl>
  </w:abstractNum>
  <w:abstractNum w:abstractNumId="40" w15:restartNumberingAfterBreak="0">
    <w:nsid w:val="78D422CF"/>
    <w:multiLevelType w:val="hybridMultilevel"/>
    <w:tmpl w:val="27766658"/>
    <w:lvl w:ilvl="0" w:tplc="8D3823B6">
      <w:start w:val="1"/>
      <w:numFmt w:val="decimal"/>
      <w:lvlText w:val="%1."/>
      <w:lvlJc w:val="center"/>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 w15:restartNumberingAfterBreak="0">
    <w:nsid w:val="79D00155"/>
    <w:multiLevelType w:val="hybridMultilevel"/>
    <w:tmpl w:val="0C9877C6"/>
    <w:lvl w:ilvl="0" w:tplc="610EEE36">
      <w:start w:val="1"/>
      <w:numFmt w:val="decimal"/>
      <w:lvlText w:val="%1."/>
      <w:lvlJc w:val="left"/>
      <w:pPr>
        <w:ind w:left="218" w:hanging="360"/>
      </w:pPr>
      <w:rPr>
        <w:rFonts w:hint="default"/>
        <w:b w:val="0"/>
        <w:sz w:val="20"/>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42" w15:restartNumberingAfterBreak="0">
    <w:nsid w:val="7BC626CD"/>
    <w:multiLevelType w:val="hybridMultilevel"/>
    <w:tmpl w:val="15887A02"/>
    <w:lvl w:ilvl="0" w:tplc="E296564C">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3" w15:restartNumberingAfterBreak="0">
    <w:nsid w:val="7DF57C3C"/>
    <w:multiLevelType w:val="hybridMultilevel"/>
    <w:tmpl w:val="E28A5E7C"/>
    <w:lvl w:ilvl="0" w:tplc="F302286A">
      <w:start w:val="75"/>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823475999">
    <w:abstractNumId w:val="17"/>
  </w:num>
  <w:num w:numId="2" w16cid:durableId="666830111">
    <w:abstractNumId w:val="35"/>
  </w:num>
  <w:num w:numId="3" w16cid:durableId="1408385425">
    <w:abstractNumId w:val="17"/>
  </w:num>
  <w:num w:numId="4" w16cid:durableId="1733695962">
    <w:abstractNumId w:val="2"/>
  </w:num>
  <w:num w:numId="5" w16cid:durableId="2010980378">
    <w:abstractNumId w:val="16"/>
  </w:num>
  <w:num w:numId="6" w16cid:durableId="1094278273">
    <w:abstractNumId w:val="29"/>
  </w:num>
  <w:num w:numId="7" w16cid:durableId="486940810">
    <w:abstractNumId w:val="26"/>
  </w:num>
  <w:num w:numId="8" w16cid:durableId="1211962961">
    <w:abstractNumId w:val="3"/>
  </w:num>
  <w:num w:numId="9" w16cid:durableId="632060174">
    <w:abstractNumId w:val="9"/>
  </w:num>
  <w:num w:numId="10" w16cid:durableId="1309019983">
    <w:abstractNumId w:val="23"/>
  </w:num>
  <w:num w:numId="11" w16cid:durableId="1688602564">
    <w:abstractNumId w:val="32"/>
  </w:num>
  <w:num w:numId="12" w16cid:durableId="1020855996">
    <w:abstractNumId w:val="7"/>
  </w:num>
  <w:num w:numId="13" w16cid:durableId="1141658202">
    <w:abstractNumId w:val="28"/>
  </w:num>
  <w:num w:numId="14" w16cid:durableId="1677878552">
    <w:abstractNumId w:val="25"/>
  </w:num>
  <w:num w:numId="15" w16cid:durableId="182407369">
    <w:abstractNumId w:val="13"/>
  </w:num>
  <w:num w:numId="16" w16cid:durableId="1204252358">
    <w:abstractNumId w:val="42"/>
  </w:num>
  <w:num w:numId="17" w16cid:durableId="1020886981">
    <w:abstractNumId w:val="39"/>
  </w:num>
  <w:num w:numId="18" w16cid:durableId="1296914860">
    <w:abstractNumId w:val="43"/>
  </w:num>
  <w:num w:numId="19" w16cid:durableId="956761147">
    <w:abstractNumId w:val="30"/>
  </w:num>
  <w:num w:numId="20" w16cid:durableId="1020349605">
    <w:abstractNumId w:val="22"/>
  </w:num>
  <w:num w:numId="21" w16cid:durableId="4365636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20888354">
    <w:abstractNumId w:val="5"/>
  </w:num>
  <w:num w:numId="23" w16cid:durableId="1657611234">
    <w:abstractNumId w:val="5"/>
  </w:num>
  <w:num w:numId="24" w16cid:durableId="1439175746">
    <w:abstractNumId w:val="24"/>
  </w:num>
  <w:num w:numId="25" w16cid:durableId="1850368028">
    <w:abstractNumId w:val="15"/>
  </w:num>
  <w:num w:numId="26" w16cid:durableId="226497663">
    <w:abstractNumId w:val="33"/>
  </w:num>
  <w:num w:numId="27" w16cid:durableId="1556431151">
    <w:abstractNumId w:val="20"/>
  </w:num>
  <w:num w:numId="28" w16cid:durableId="1955600691">
    <w:abstractNumId w:val="4"/>
  </w:num>
  <w:num w:numId="29" w16cid:durableId="487329248">
    <w:abstractNumId w:val="8"/>
  </w:num>
  <w:num w:numId="30" w16cid:durableId="564342983">
    <w:abstractNumId w:val="19"/>
  </w:num>
  <w:num w:numId="31" w16cid:durableId="628515703">
    <w:abstractNumId w:val="38"/>
  </w:num>
  <w:num w:numId="32" w16cid:durableId="1936671686">
    <w:abstractNumId w:val="14"/>
  </w:num>
  <w:num w:numId="33" w16cid:durableId="826432846">
    <w:abstractNumId w:val="6"/>
  </w:num>
  <w:num w:numId="34" w16cid:durableId="66803193">
    <w:abstractNumId w:val="11"/>
  </w:num>
  <w:num w:numId="35" w16cid:durableId="496649025">
    <w:abstractNumId w:val="37"/>
  </w:num>
  <w:num w:numId="36" w16cid:durableId="1577204949">
    <w:abstractNumId w:val="12"/>
  </w:num>
  <w:num w:numId="37" w16cid:durableId="65419589">
    <w:abstractNumId w:val="21"/>
  </w:num>
  <w:num w:numId="38" w16cid:durableId="652756150">
    <w:abstractNumId w:val="36"/>
  </w:num>
  <w:num w:numId="39" w16cid:durableId="561720450">
    <w:abstractNumId w:val="18"/>
  </w:num>
  <w:num w:numId="40" w16cid:durableId="647709033">
    <w:abstractNumId w:val="40"/>
  </w:num>
  <w:num w:numId="41" w16cid:durableId="843275958">
    <w:abstractNumId w:val="27"/>
  </w:num>
  <w:num w:numId="42" w16cid:durableId="1434403564">
    <w:abstractNumId w:val="34"/>
  </w:num>
  <w:num w:numId="43" w16cid:durableId="562065454">
    <w:abstractNumId w:val="31"/>
  </w:num>
  <w:num w:numId="44" w16cid:durableId="804394023">
    <w:abstractNumId w:val="0"/>
  </w:num>
  <w:num w:numId="45" w16cid:durableId="136147534">
    <w:abstractNumId w:val="1"/>
  </w:num>
  <w:num w:numId="46" w16cid:durableId="1433820042">
    <w:abstractNumId w:val="10"/>
  </w:num>
  <w:num w:numId="47" w16cid:durableId="622006853">
    <w:abstractNumId w:val="41"/>
  </w:num>
  <w:num w:numId="48" w16cid:durableId="5555545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5092950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FA4"/>
    <w:rsid w:val="00000F09"/>
    <w:rsid w:val="00001869"/>
    <w:rsid w:val="00001CAC"/>
    <w:rsid w:val="00002B2F"/>
    <w:rsid w:val="000044F7"/>
    <w:rsid w:val="00004975"/>
    <w:rsid w:val="00006E26"/>
    <w:rsid w:val="000119B3"/>
    <w:rsid w:val="0001443E"/>
    <w:rsid w:val="000151FA"/>
    <w:rsid w:val="00016DE0"/>
    <w:rsid w:val="00017000"/>
    <w:rsid w:val="00021211"/>
    <w:rsid w:val="00021FA4"/>
    <w:rsid w:val="00023B2C"/>
    <w:rsid w:val="000264DC"/>
    <w:rsid w:val="00027D33"/>
    <w:rsid w:val="0003000D"/>
    <w:rsid w:val="0003051A"/>
    <w:rsid w:val="00031AB2"/>
    <w:rsid w:val="000329DE"/>
    <w:rsid w:val="00033B63"/>
    <w:rsid w:val="00033FB4"/>
    <w:rsid w:val="000341AC"/>
    <w:rsid w:val="00035C1B"/>
    <w:rsid w:val="00036063"/>
    <w:rsid w:val="000365A2"/>
    <w:rsid w:val="00037F22"/>
    <w:rsid w:val="00040E46"/>
    <w:rsid w:val="00041546"/>
    <w:rsid w:val="000443F8"/>
    <w:rsid w:val="00045CA5"/>
    <w:rsid w:val="000468E7"/>
    <w:rsid w:val="000471EC"/>
    <w:rsid w:val="00047B47"/>
    <w:rsid w:val="00051BD3"/>
    <w:rsid w:val="00053247"/>
    <w:rsid w:val="00053D9B"/>
    <w:rsid w:val="00054BB1"/>
    <w:rsid w:val="00055772"/>
    <w:rsid w:val="00060651"/>
    <w:rsid w:val="000659BB"/>
    <w:rsid w:val="0006658D"/>
    <w:rsid w:val="00066B3D"/>
    <w:rsid w:val="00067219"/>
    <w:rsid w:val="00067B4E"/>
    <w:rsid w:val="000720F7"/>
    <w:rsid w:val="00073C8C"/>
    <w:rsid w:val="00074C26"/>
    <w:rsid w:val="00075A9B"/>
    <w:rsid w:val="00075AD4"/>
    <w:rsid w:val="00075E84"/>
    <w:rsid w:val="0007631D"/>
    <w:rsid w:val="00081E23"/>
    <w:rsid w:val="00082B79"/>
    <w:rsid w:val="00084C4F"/>
    <w:rsid w:val="00087B5D"/>
    <w:rsid w:val="0009275C"/>
    <w:rsid w:val="0009409F"/>
    <w:rsid w:val="00094904"/>
    <w:rsid w:val="00095A1C"/>
    <w:rsid w:val="000975B3"/>
    <w:rsid w:val="00097BAC"/>
    <w:rsid w:val="000A0D86"/>
    <w:rsid w:val="000A18FD"/>
    <w:rsid w:val="000A37E0"/>
    <w:rsid w:val="000A3ACB"/>
    <w:rsid w:val="000A62B0"/>
    <w:rsid w:val="000B17F8"/>
    <w:rsid w:val="000B3435"/>
    <w:rsid w:val="000B5B6C"/>
    <w:rsid w:val="000C00C3"/>
    <w:rsid w:val="000C1D9B"/>
    <w:rsid w:val="000D0EE3"/>
    <w:rsid w:val="000D5C03"/>
    <w:rsid w:val="000D5D39"/>
    <w:rsid w:val="000D6ADA"/>
    <w:rsid w:val="000E0EF1"/>
    <w:rsid w:val="000E1F37"/>
    <w:rsid w:val="000E2B49"/>
    <w:rsid w:val="000E2F8A"/>
    <w:rsid w:val="000E3CA1"/>
    <w:rsid w:val="000E6006"/>
    <w:rsid w:val="000E76F8"/>
    <w:rsid w:val="000F00D2"/>
    <w:rsid w:val="000F0B8C"/>
    <w:rsid w:val="000F101B"/>
    <w:rsid w:val="000F187A"/>
    <w:rsid w:val="000F2A7F"/>
    <w:rsid w:val="000F5F81"/>
    <w:rsid w:val="000F7C6C"/>
    <w:rsid w:val="00100CAC"/>
    <w:rsid w:val="0010107E"/>
    <w:rsid w:val="00102159"/>
    <w:rsid w:val="00103DD6"/>
    <w:rsid w:val="00103F5C"/>
    <w:rsid w:val="00103F78"/>
    <w:rsid w:val="00103FDA"/>
    <w:rsid w:val="00104A70"/>
    <w:rsid w:val="001134EA"/>
    <w:rsid w:val="00113FB3"/>
    <w:rsid w:val="00115208"/>
    <w:rsid w:val="0011689E"/>
    <w:rsid w:val="00120547"/>
    <w:rsid w:val="00121A36"/>
    <w:rsid w:val="0012346B"/>
    <w:rsid w:val="001235C7"/>
    <w:rsid w:val="001239C6"/>
    <w:rsid w:val="00126351"/>
    <w:rsid w:val="00126645"/>
    <w:rsid w:val="001307E6"/>
    <w:rsid w:val="0013080B"/>
    <w:rsid w:val="001319CE"/>
    <w:rsid w:val="00131F61"/>
    <w:rsid w:val="00132D80"/>
    <w:rsid w:val="001351D2"/>
    <w:rsid w:val="00136878"/>
    <w:rsid w:val="00137513"/>
    <w:rsid w:val="00140D0E"/>
    <w:rsid w:val="00143D5D"/>
    <w:rsid w:val="00144A30"/>
    <w:rsid w:val="00146798"/>
    <w:rsid w:val="001502CF"/>
    <w:rsid w:val="00151C79"/>
    <w:rsid w:val="00156A25"/>
    <w:rsid w:val="001617AF"/>
    <w:rsid w:val="00162B16"/>
    <w:rsid w:val="00165039"/>
    <w:rsid w:val="00165964"/>
    <w:rsid w:val="0017163E"/>
    <w:rsid w:val="00171D19"/>
    <w:rsid w:val="00172EB3"/>
    <w:rsid w:val="00175202"/>
    <w:rsid w:val="00175500"/>
    <w:rsid w:val="00185B16"/>
    <w:rsid w:val="00187370"/>
    <w:rsid w:val="00187FA4"/>
    <w:rsid w:val="0019120E"/>
    <w:rsid w:val="00193393"/>
    <w:rsid w:val="001936CD"/>
    <w:rsid w:val="00194154"/>
    <w:rsid w:val="001949D1"/>
    <w:rsid w:val="00197D97"/>
    <w:rsid w:val="001A213E"/>
    <w:rsid w:val="001A21EB"/>
    <w:rsid w:val="001A61F4"/>
    <w:rsid w:val="001A6476"/>
    <w:rsid w:val="001A6D7F"/>
    <w:rsid w:val="001B1856"/>
    <w:rsid w:val="001B4A02"/>
    <w:rsid w:val="001B51EE"/>
    <w:rsid w:val="001B596C"/>
    <w:rsid w:val="001B6A79"/>
    <w:rsid w:val="001B7730"/>
    <w:rsid w:val="001C03B3"/>
    <w:rsid w:val="001C0C3E"/>
    <w:rsid w:val="001C352C"/>
    <w:rsid w:val="001C74F0"/>
    <w:rsid w:val="001C759E"/>
    <w:rsid w:val="001D0856"/>
    <w:rsid w:val="001D3ADB"/>
    <w:rsid w:val="001D6323"/>
    <w:rsid w:val="001D7687"/>
    <w:rsid w:val="001D78BE"/>
    <w:rsid w:val="001E0DF5"/>
    <w:rsid w:val="001E0E4D"/>
    <w:rsid w:val="001E1D4F"/>
    <w:rsid w:val="001E1E04"/>
    <w:rsid w:val="001E2509"/>
    <w:rsid w:val="001E2E43"/>
    <w:rsid w:val="001E5192"/>
    <w:rsid w:val="001E5BA0"/>
    <w:rsid w:val="001E6BF4"/>
    <w:rsid w:val="001F0771"/>
    <w:rsid w:val="001F22EF"/>
    <w:rsid w:val="001F2542"/>
    <w:rsid w:val="001F745D"/>
    <w:rsid w:val="002008B3"/>
    <w:rsid w:val="00200F3D"/>
    <w:rsid w:val="00201743"/>
    <w:rsid w:val="002018DC"/>
    <w:rsid w:val="0020356B"/>
    <w:rsid w:val="00206524"/>
    <w:rsid w:val="0021404E"/>
    <w:rsid w:val="00220071"/>
    <w:rsid w:val="0022037E"/>
    <w:rsid w:val="002203E9"/>
    <w:rsid w:val="002216C2"/>
    <w:rsid w:val="00223F72"/>
    <w:rsid w:val="00223FE5"/>
    <w:rsid w:val="00224A81"/>
    <w:rsid w:val="002260E2"/>
    <w:rsid w:val="00226FD3"/>
    <w:rsid w:val="002317EF"/>
    <w:rsid w:val="00232AF6"/>
    <w:rsid w:val="002333F2"/>
    <w:rsid w:val="00235FA3"/>
    <w:rsid w:val="0024075F"/>
    <w:rsid w:val="0024364D"/>
    <w:rsid w:val="00245453"/>
    <w:rsid w:val="00246851"/>
    <w:rsid w:val="00246BD6"/>
    <w:rsid w:val="00250026"/>
    <w:rsid w:val="00250F04"/>
    <w:rsid w:val="00252AFD"/>
    <w:rsid w:val="00254147"/>
    <w:rsid w:val="002551A5"/>
    <w:rsid w:val="002577CE"/>
    <w:rsid w:val="00257B13"/>
    <w:rsid w:val="00260C3A"/>
    <w:rsid w:val="002646A7"/>
    <w:rsid w:val="0026591E"/>
    <w:rsid w:val="00265C5A"/>
    <w:rsid w:val="0026620C"/>
    <w:rsid w:val="002672A6"/>
    <w:rsid w:val="00270C00"/>
    <w:rsid w:val="00272291"/>
    <w:rsid w:val="002740FD"/>
    <w:rsid w:val="0027422E"/>
    <w:rsid w:val="002762B9"/>
    <w:rsid w:val="00276A54"/>
    <w:rsid w:val="002811FD"/>
    <w:rsid w:val="00281BB0"/>
    <w:rsid w:val="00282089"/>
    <w:rsid w:val="00282383"/>
    <w:rsid w:val="00282E23"/>
    <w:rsid w:val="0028402F"/>
    <w:rsid w:val="002846AB"/>
    <w:rsid w:val="002853C6"/>
    <w:rsid w:val="00285DC1"/>
    <w:rsid w:val="00285F10"/>
    <w:rsid w:val="00286FB8"/>
    <w:rsid w:val="00290C23"/>
    <w:rsid w:val="00290D2A"/>
    <w:rsid w:val="00291BB1"/>
    <w:rsid w:val="0029440E"/>
    <w:rsid w:val="00295ACE"/>
    <w:rsid w:val="00296825"/>
    <w:rsid w:val="00297684"/>
    <w:rsid w:val="002A0154"/>
    <w:rsid w:val="002A1A09"/>
    <w:rsid w:val="002A2B92"/>
    <w:rsid w:val="002A3C38"/>
    <w:rsid w:val="002A5713"/>
    <w:rsid w:val="002A6787"/>
    <w:rsid w:val="002A760C"/>
    <w:rsid w:val="002A76A3"/>
    <w:rsid w:val="002B08B5"/>
    <w:rsid w:val="002B55A5"/>
    <w:rsid w:val="002B5ABF"/>
    <w:rsid w:val="002B657C"/>
    <w:rsid w:val="002B7056"/>
    <w:rsid w:val="002C07B1"/>
    <w:rsid w:val="002C08D4"/>
    <w:rsid w:val="002C090D"/>
    <w:rsid w:val="002C10F1"/>
    <w:rsid w:val="002C1289"/>
    <w:rsid w:val="002C13B0"/>
    <w:rsid w:val="002C255F"/>
    <w:rsid w:val="002C60AD"/>
    <w:rsid w:val="002C6AA9"/>
    <w:rsid w:val="002C7D68"/>
    <w:rsid w:val="002D10B1"/>
    <w:rsid w:val="002D1268"/>
    <w:rsid w:val="002D181E"/>
    <w:rsid w:val="002D3092"/>
    <w:rsid w:val="002D3CD9"/>
    <w:rsid w:val="002D6006"/>
    <w:rsid w:val="002E02CC"/>
    <w:rsid w:val="002E1641"/>
    <w:rsid w:val="002E19D5"/>
    <w:rsid w:val="002E23D8"/>
    <w:rsid w:val="002E2D26"/>
    <w:rsid w:val="002E6113"/>
    <w:rsid w:val="002E71E3"/>
    <w:rsid w:val="002F00AE"/>
    <w:rsid w:val="002F0C5D"/>
    <w:rsid w:val="00300B73"/>
    <w:rsid w:val="00301411"/>
    <w:rsid w:val="00302FD4"/>
    <w:rsid w:val="0030347D"/>
    <w:rsid w:val="00304A71"/>
    <w:rsid w:val="0030569D"/>
    <w:rsid w:val="00305AB1"/>
    <w:rsid w:val="00305CDC"/>
    <w:rsid w:val="00305E1A"/>
    <w:rsid w:val="003105CC"/>
    <w:rsid w:val="00310B9C"/>
    <w:rsid w:val="00317500"/>
    <w:rsid w:val="00320041"/>
    <w:rsid w:val="00322104"/>
    <w:rsid w:val="00326CA3"/>
    <w:rsid w:val="00327089"/>
    <w:rsid w:val="0033164D"/>
    <w:rsid w:val="00331703"/>
    <w:rsid w:val="00333183"/>
    <w:rsid w:val="003354AD"/>
    <w:rsid w:val="003361C9"/>
    <w:rsid w:val="00337648"/>
    <w:rsid w:val="003409D5"/>
    <w:rsid w:val="00340CCD"/>
    <w:rsid w:val="003412D6"/>
    <w:rsid w:val="003420C7"/>
    <w:rsid w:val="00342330"/>
    <w:rsid w:val="00342717"/>
    <w:rsid w:val="00342EF9"/>
    <w:rsid w:val="00344800"/>
    <w:rsid w:val="00345948"/>
    <w:rsid w:val="00346DE7"/>
    <w:rsid w:val="003509E4"/>
    <w:rsid w:val="00352F42"/>
    <w:rsid w:val="00353D9D"/>
    <w:rsid w:val="003545FB"/>
    <w:rsid w:val="003557B4"/>
    <w:rsid w:val="00355C06"/>
    <w:rsid w:val="003576F3"/>
    <w:rsid w:val="00363AE2"/>
    <w:rsid w:val="00367C92"/>
    <w:rsid w:val="00370C2E"/>
    <w:rsid w:val="0037154F"/>
    <w:rsid w:val="00373EA8"/>
    <w:rsid w:val="00374F3C"/>
    <w:rsid w:val="00375C1D"/>
    <w:rsid w:val="00377DA9"/>
    <w:rsid w:val="0038268A"/>
    <w:rsid w:val="0038479E"/>
    <w:rsid w:val="00384FD3"/>
    <w:rsid w:val="003859AC"/>
    <w:rsid w:val="00386DE6"/>
    <w:rsid w:val="003902D1"/>
    <w:rsid w:val="00390AB4"/>
    <w:rsid w:val="00390E21"/>
    <w:rsid w:val="00391931"/>
    <w:rsid w:val="003921B8"/>
    <w:rsid w:val="003925E9"/>
    <w:rsid w:val="00395D84"/>
    <w:rsid w:val="003A4517"/>
    <w:rsid w:val="003A4F1A"/>
    <w:rsid w:val="003A5850"/>
    <w:rsid w:val="003A633B"/>
    <w:rsid w:val="003A63AE"/>
    <w:rsid w:val="003A6C7B"/>
    <w:rsid w:val="003A7044"/>
    <w:rsid w:val="003A724D"/>
    <w:rsid w:val="003A795A"/>
    <w:rsid w:val="003B07B2"/>
    <w:rsid w:val="003B1158"/>
    <w:rsid w:val="003B1386"/>
    <w:rsid w:val="003B1D5B"/>
    <w:rsid w:val="003B5C8B"/>
    <w:rsid w:val="003B5F26"/>
    <w:rsid w:val="003C15B1"/>
    <w:rsid w:val="003C3EF5"/>
    <w:rsid w:val="003C653D"/>
    <w:rsid w:val="003C6773"/>
    <w:rsid w:val="003C708F"/>
    <w:rsid w:val="003D07A7"/>
    <w:rsid w:val="003D3245"/>
    <w:rsid w:val="003E0107"/>
    <w:rsid w:val="003E1996"/>
    <w:rsid w:val="003E28E4"/>
    <w:rsid w:val="003E309D"/>
    <w:rsid w:val="003E4D12"/>
    <w:rsid w:val="003E6963"/>
    <w:rsid w:val="003E71EE"/>
    <w:rsid w:val="003E729A"/>
    <w:rsid w:val="003E7647"/>
    <w:rsid w:val="003F04BA"/>
    <w:rsid w:val="003F17E5"/>
    <w:rsid w:val="003F383C"/>
    <w:rsid w:val="003F7A9B"/>
    <w:rsid w:val="00400496"/>
    <w:rsid w:val="004016D2"/>
    <w:rsid w:val="00401FD8"/>
    <w:rsid w:val="00403C5B"/>
    <w:rsid w:val="00405A8C"/>
    <w:rsid w:val="004105DB"/>
    <w:rsid w:val="004124C6"/>
    <w:rsid w:val="00412CF9"/>
    <w:rsid w:val="0041360A"/>
    <w:rsid w:val="00413AD3"/>
    <w:rsid w:val="00414AEA"/>
    <w:rsid w:val="00417137"/>
    <w:rsid w:val="00417733"/>
    <w:rsid w:val="00420177"/>
    <w:rsid w:val="00423B8D"/>
    <w:rsid w:val="00424176"/>
    <w:rsid w:val="00426849"/>
    <w:rsid w:val="00427002"/>
    <w:rsid w:val="004270A3"/>
    <w:rsid w:val="004309E7"/>
    <w:rsid w:val="00434E21"/>
    <w:rsid w:val="00436DD2"/>
    <w:rsid w:val="004374AC"/>
    <w:rsid w:val="00437707"/>
    <w:rsid w:val="00440F16"/>
    <w:rsid w:val="004419DB"/>
    <w:rsid w:val="00443538"/>
    <w:rsid w:val="004436DD"/>
    <w:rsid w:val="00444433"/>
    <w:rsid w:val="00444F47"/>
    <w:rsid w:val="00447954"/>
    <w:rsid w:val="0045028B"/>
    <w:rsid w:val="00454C43"/>
    <w:rsid w:val="0045594F"/>
    <w:rsid w:val="004569E0"/>
    <w:rsid w:val="00456B58"/>
    <w:rsid w:val="00456B76"/>
    <w:rsid w:val="00460CCE"/>
    <w:rsid w:val="004626D3"/>
    <w:rsid w:val="00463DF1"/>
    <w:rsid w:val="00464775"/>
    <w:rsid w:val="0046644B"/>
    <w:rsid w:val="004676F3"/>
    <w:rsid w:val="00470D53"/>
    <w:rsid w:val="00472B0A"/>
    <w:rsid w:val="00472DB5"/>
    <w:rsid w:val="004735A2"/>
    <w:rsid w:val="00475791"/>
    <w:rsid w:val="00477423"/>
    <w:rsid w:val="00480D27"/>
    <w:rsid w:val="00481AF5"/>
    <w:rsid w:val="00482A18"/>
    <w:rsid w:val="00484B3F"/>
    <w:rsid w:val="00484DD1"/>
    <w:rsid w:val="0048518C"/>
    <w:rsid w:val="00485FBB"/>
    <w:rsid w:val="00486874"/>
    <w:rsid w:val="00486CB4"/>
    <w:rsid w:val="00487174"/>
    <w:rsid w:val="00487345"/>
    <w:rsid w:val="00492C1F"/>
    <w:rsid w:val="00494788"/>
    <w:rsid w:val="00496EA7"/>
    <w:rsid w:val="004A0687"/>
    <w:rsid w:val="004A0EF2"/>
    <w:rsid w:val="004A2228"/>
    <w:rsid w:val="004A5A00"/>
    <w:rsid w:val="004A74F2"/>
    <w:rsid w:val="004B3D67"/>
    <w:rsid w:val="004B4664"/>
    <w:rsid w:val="004B644E"/>
    <w:rsid w:val="004B70E5"/>
    <w:rsid w:val="004B7131"/>
    <w:rsid w:val="004B7400"/>
    <w:rsid w:val="004C0D89"/>
    <w:rsid w:val="004C1260"/>
    <w:rsid w:val="004C384B"/>
    <w:rsid w:val="004C477C"/>
    <w:rsid w:val="004C4921"/>
    <w:rsid w:val="004C4A2C"/>
    <w:rsid w:val="004C770A"/>
    <w:rsid w:val="004D146C"/>
    <w:rsid w:val="004D1648"/>
    <w:rsid w:val="004D46E9"/>
    <w:rsid w:val="004D5431"/>
    <w:rsid w:val="004D671C"/>
    <w:rsid w:val="004D6C1D"/>
    <w:rsid w:val="004E11E5"/>
    <w:rsid w:val="004E1C76"/>
    <w:rsid w:val="004E52C6"/>
    <w:rsid w:val="004E5969"/>
    <w:rsid w:val="004E5E39"/>
    <w:rsid w:val="004E67E2"/>
    <w:rsid w:val="004E6F40"/>
    <w:rsid w:val="004E70AA"/>
    <w:rsid w:val="004E7BE0"/>
    <w:rsid w:val="004F0FF5"/>
    <w:rsid w:val="004F26E8"/>
    <w:rsid w:val="004F3D64"/>
    <w:rsid w:val="004F5F98"/>
    <w:rsid w:val="004F5FAB"/>
    <w:rsid w:val="004F7410"/>
    <w:rsid w:val="004F7F00"/>
    <w:rsid w:val="00501D08"/>
    <w:rsid w:val="00503659"/>
    <w:rsid w:val="005057EE"/>
    <w:rsid w:val="00505EA8"/>
    <w:rsid w:val="005066C7"/>
    <w:rsid w:val="00507C3D"/>
    <w:rsid w:val="005116A0"/>
    <w:rsid w:val="00512B47"/>
    <w:rsid w:val="00512D5E"/>
    <w:rsid w:val="00514EDE"/>
    <w:rsid w:val="00517CDE"/>
    <w:rsid w:val="00521769"/>
    <w:rsid w:val="005248C9"/>
    <w:rsid w:val="005253F2"/>
    <w:rsid w:val="00527BC4"/>
    <w:rsid w:val="005357A7"/>
    <w:rsid w:val="0053674E"/>
    <w:rsid w:val="00536B32"/>
    <w:rsid w:val="005415A2"/>
    <w:rsid w:val="00542CC0"/>
    <w:rsid w:val="00544AC9"/>
    <w:rsid w:val="005452DC"/>
    <w:rsid w:val="005457BA"/>
    <w:rsid w:val="0054790F"/>
    <w:rsid w:val="0055591C"/>
    <w:rsid w:val="00556E9F"/>
    <w:rsid w:val="005609E0"/>
    <w:rsid w:val="00560C29"/>
    <w:rsid w:val="005641BE"/>
    <w:rsid w:val="005658B0"/>
    <w:rsid w:val="00565FF7"/>
    <w:rsid w:val="00566B37"/>
    <w:rsid w:val="00571817"/>
    <w:rsid w:val="005723BA"/>
    <w:rsid w:val="005723FF"/>
    <w:rsid w:val="005724C9"/>
    <w:rsid w:val="00573508"/>
    <w:rsid w:val="00575596"/>
    <w:rsid w:val="005758AB"/>
    <w:rsid w:val="00581372"/>
    <w:rsid w:val="005832EE"/>
    <w:rsid w:val="005839D6"/>
    <w:rsid w:val="00584D74"/>
    <w:rsid w:val="00585505"/>
    <w:rsid w:val="00586EF7"/>
    <w:rsid w:val="00587BE7"/>
    <w:rsid w:val="00594AA8"/>
    <w:rsid w:val="00596ECD"/>
    <w:rsid w:val="00597833"/>
    <w:rsid w:val="005A0B33"/>
    <w:rsid w:val="005A1275"/>
    <w:rsid w:val="005A2D2E"/>
    <w:rsid w:val="005A30A0"/>
    <w:rsid w:val="005A3511"/>
    <w:rsid w:val="005A4B54"/>
    <w:rsid w:val="005A5B1A"/>
    <w:rsid w:val="005A6280"/>
    <w:rsid w:val="005A786D"/>
    <w:rsid w:val="005B439F"/>
    <w:rsid w:val="005B5D61"/>
    <w:rsid w:val="005B6B4A"/>
    <w:rsid w:val="005B724C"/>
    <w:rsid w:val="005B766D"/>
    <w:rsid w:val="005C0AA4"/>
    <w:rsid w:val="005C18B2"/>
    <w:rsid w:val="005C2D91"/>
    <w:rsid w:val="005C51ED"/>
    <w:rsid w:val="005D0143"/>
    <w:rsid w:val="005D44CA"/>
    <w:rsid w:val="005D4C60"/>
    <w:rsid w:val="005D7A21"/>
    <w:rsid w:val="005D7AC5"/>
    <w:rsid w:val="005E058A"/>
    <w:rsid w:val="005E20CA"/>
    <w:rsid w:val="005E32C2"/>
    <w:rsid w:val="005E32E8"/>
    <w:rsid w:val="005E475E"/>
    <w:rsid w:val="005E4E6E"/>
    <w:rsid w:val="005E6785"/>
    <w:rsid w:val="005E72FE"/>
    <w:rsid w:val="005F1788"/>
    <w:rsid w:val="005F24A4"/>
    <w:rsid w:val="005F3D85"/>
    <w:rsid w:val="005F3E63"/>
    <w:rsid w:val="005F55EB"/>
    <w:rsid w:val="005F5B55"/>
    <w:rsid w:val="005F5F65"/>
    <w:rsid w:val="005F7AAD"/>
    <w:rsid w:val="00602366"/>
    <w:rsid w:val="0060310C"/>
    <w:rsid w:val="00603AFF"/>
    <w:rsid w:val="00604F97"/>
    <w:rsid w:val="00606F0C"/>
    <w:rsid w:val="006075C7"/>
    <w:rsid w:val="00610863"/>
    <w:rsid w:val="006127AF"/>
    <w:rsid w:val="00613F94"/>
    <w:rsid w:val="00620C77"/>
    <w:rsid w:val="00621B45"/>
    <w:rsid w:val="006254C8"/>
    <w:rsid w:val="00626C38"/>
    <w:rsid w:val="00632CA5"/>
    <w:rsid w:val="00634D30"/>
    <w:rsid w:val="006367BB"/>
    <w:rsid w:val="006404D7"/>
    <w:rsid w:val="00640D1F"/>
    <w:rsid w:val="00641F51"/>
    <w:rsid w:val="006425B9"/>
    <w:rsid w:val="006464AB"/>
    <w:rsid w:val="00646C8F"/>
    <w:rsid w:val="00652373"/>
    <w:rsid w:val="006532F1"/>
    <w:rsid w:val="00654705"/>
    <w:rsid w:val="00655717"/>
    <w:rsid w:val="00661365"/>
    <w:rsid w:val="006621C7"/>
    <w:rsid w:val="00663185"/>
    <w:rsid w:val="00664025"/>
    <w:rsid w:val="006662D7"/>
    <w:rsid w:val="00666FE9"/>
    <w:rsid w:val="00670C90"/>
    <w:rsid w:val="00673C97"/>
    <w:rsid w:val="00674973"/>
    <w:rsid w:val="00675DA9"/>
    <w:rsid w:val="006770EC"/>
    <w:rsid w:val="006803C5"/>
    <w:rsid w:val="00685E0D"/>
    <w:rsid w:val="00685ECB"/>
    <w:rsid w:val="0068688D"/>
    <w:rsid w:val="00690AB5"/>
    <w:rsid w:val="00694503"/>
    <w:rsid w:val="00694E1E"/>
    <w:rsid w:val="00695B26"/>
    <w:rsid w:val="00695DEE"/>
    <w:rsid w:val="00697069"/>
    <w:rsid w:val="006A216A"/>
    <w:rsid w:val="006A31F6"/>
    <w:rsid w:val="006A6551"/>
    <w:rsid w:val="006A731D"/>
    <w:rsid w:val="006B08AA"/>
    <w:rsid w:val="006B119A"/>
    <w:rsid w:val="006B2405"/>
    <w:rsid w:val="006B26CF"/>
    <w:rsid w:val="006B4186"/>
    <w:rsid w:val="006B5168"/>
    <w:rsid w:val="006B5420"/>
    <w:rsid w:val="006B7DC0"/>
    <w:rsid w:val="006C2BE3"/>
    <w:rsid w:val="006D1AEC"/>
    <w:rsid w:val="006D1B27"/>
    <w:rsid w:val="006D27D7"/>
    <w:rsid w:val="006D2A2E"/>
    <w:rsid w:val="006D3001"/>
    <w:rsid w:val="006D3E27"/>
    <w:rsid w:val="006D4617"/>
    <w:rsid w:val="006D46AE"/>
    <w:rsid w:val="006D4F7A"/>
    <w:rsid w:val="006D71DC"/>
    <w:rsid w:val="006E05F5"/>
    <w:rsid w:val="006E13FA"/>
    <w:rsid w:val="006E2A40"/>
    <w:rsid w:val="006E4B30"/>
    <w:rsid w:val="006E7A87"/>
    <w:rsid w:val="006F08CC"/>
    <w:rsid w:val="006F2B84"/>
    <w:rsid w:val="006F4913"/>
    <w:rsid w:val="006F574E"/>
    <w:rsid w:val="006F5BAE"/>
    <w:rsid w:val="006F6017"/>
    <w:rsid w:val="006F6727"/>
    <w:rsid w:val="006F6A31"/>
    <w:rsid w:val="006F6B1A"/>
    <w:rsid w:val="00701303"/>
    <w:rsid w:val="00702E91"/>
    <w:rsid w:val="00703019"/>
    <w:rsid w:val="00703CA3"/>
    <w:rsid w:val="0070435F"/>
    <w:rsid w:val="0070490E"/>
    <w:rsid w:val="00705D72"/>
    <w:rsid w:val="0070634F"/>
    <w:rsid w:val="00707142"/>
    <w:rsid w:val="007071E0"/>
    <w:rsid w:val="00711A8B"/>
    <w:rsid w:val="00715093"/>
    <w:rsid w:val="00715A8E"/>
    <w:rsid w:val="00717BC2"/>
    <w:rsid w:val="0072063E"/>
    <w:rsid w:val="00720EB3"/>
    <w:rsid w:val="0072191D"/>
    <w:rsid w:val="00721C4B"/>
    <w:rsid w:val="007223A7"/>
    <w:rsid w:val="007224DB"/>
    <w:rsid w:val="00722810"/>
    <w:rsid w:val="00722922"/>
    <w:rsid w:val="00722BDB"/>
    <w:rsid w:val="007232E9"/>
    <w:rsid w:val="00725F21"/>
    <w:rsid w:val="00726A5A"/>
    <w:rsid w:val="00726F14"/>
    <w:rsid w:val="00730447"/>
    <w:rsid w:val="007311BB"/>
    <w:rsid w:val="00732B02"/>
    <w:rsid w:val="00742194"/>
    <w:rsid w:val="00742248"/>
    <w:rsid w:val="0074279E"/>
    <w:rsid w:val="00742980"/>
    <w:rsid w:val="00742BD2"/>
    <w:rsid w:val="00742CC7"/>
    <w:rsid w:val="0074400A"/>
    <w:rsid w:val="00746001"/>
    <w:rsid w:val="00746CB6"/>
    <w:rsid w:val="00747493"/>
    <w:rsid w:val="007527A3"/>
    <w:rsid w:val="0075280C"/>
    <w:rsid w:val="0075295C"/>
    <w:rsid w:val="00754ED7"/>
    <w:rsid w:val="007577BB"/>
    <w:rsid w:val="00757E07"/>
    <w:rsid w:val="00761BE0"/>
    <w:rsid w:val="007627B1"/>
    <w:rsid w:val="00764505"/>
    <w:rsid w:val="007645A5"/>
    <w:rsid w:val="0076705A"/>
    <w:rsid w:val="00772B4B"/>
    <w:rsid w:val="00772EA0"/>
    <w:rsid w:val="007735CE"/>
    <w:rsid w:val="007755E5"/>
    <w:rsid w:val="0077681C"/>
    <w:rsid w:val="00781EBF"/>
    <w:rsid w:val="00782666"/>
    <w:rsid w:val="00784091"/>
    <w:rsid w:val="00786776"/>
    <w:rsid w:val="00792B4E"/>
    <w:rsid w:val="00795EBC"/>
    <w:rsid w:val="0079656A"/>
    <w:rsid w:val="00796574"/>
    <w:rsid w:val="00796992"/>
    <w:rsid w:val="007971E8"/>
    <w:rsid w:val="00797F29"/>
    <w:rsid w:val="007A0A52"/>
    <w:rsid w:val="007A0BE9"/>
    <w:rsid w:val="007A325C"/>
    <w:rsid w:val="007A47B4"/>
    <w:rsid w:val="007A6571"/>
    <w:rsid w:val="007B025C"/>
    <w:rsid w:val="007B04C4"/>
    <w:rsid w:val="007B38C8"/>
    <w:rsid w:val="007B5AC9"/>
    <w:rsid w:val="007B7413"/>
    <w:rsid w:val="007C4B8F"/>
    <w:rsid w:val="007C6557"/>
    <w:rsid w:val="007C66E4"/>
    <w:rsid w:val="007C6825"/>
    <w:rsid w:val="007C7EB9"/>
    <w:rsid w:val="007D21F6"/>
    <w:rsid w:val="007D3A77"/>
    <w:rsid w:val="007D4462"/>
    <w:rsid w:val="007D51F3"/>
    <w:rsid w:val="007D5781"/>
    <w:rsid w:val="007D60B4"/>
    <w:rsid w:val="007D727A"/>
    <w:rsid w:val="007D73C7"/>
    <w:rsid w:val="007D73F6"/>
    <w:rsid w:val="007E049A"/>
    <w:rsid w:val="007E0C06"/>
    <w:rsid w:val="007E0DE1"/>
    <w:rsid w:val="007E1EA4"/>
    <w:rsid w:val="007E51C7"/>
    <w:rsid w:val="007E5BB9"/>
    <w:rsid w:val="007E68F7"/>
    <w:rsid w:val="007E75AA"/>
    <w:rsid w:val="007E7B4C"/>
    <w:rsid w:val="007F532A"/>
    <w:rsid w:val="007F5AD6"/>
    <w:rsid w:val="007F70BB"/>
    <w:rsid w:val="007F7A4C"/>
    <w:rsid w:val="00803113"/>
    <w:rsid w:val="00804A4E"/>
    <w:rsid w:val="00804B04"/>
    <w:rsid w:val="008073A9"/>
    <w:rsid w:val="008076AA"/>
    <w:rsid w:val="0081052D"/>
    <w:rsid w:val="00811D0B"/>
    <w:rsid w:val="008127EA"/>
    <w:rsid w:val="00813791"/>
    <w:rsid w:val="00813F36"/>
    <w:rsid w:val="00814795"/>
    <w:rsid w:val="008147D9"/>
    <w:rsid w:val="008164E5"/>
    <w:rsid w:val="00816DD5"/>
    <w:rsid w:val="00822248"/>
    <w:rsid w:val="00822601"/>
    <w:rsid w:val="008262A8"/>
    <w:rsid w:val="008308E5"/>
    <w:rsid w:val="00831219"/>
    <w:rsid w:val="00832992"/>
    <w:rsid w:val="00833497"/>
    <w:rsid w:val="00833C7C"/>
    <w:rsid w:val="00836209"/>
    <w:rsid w:val="008374F5"/>
    <w:rsid w:val="00837A2C"/>
    <w:rsid w:val="0084391F"/>
    <w:rsid w:val="00844E83"/>
    <w:rsid w:val="008463AA"/>
    <w:rsid w:val="008471D7"/>
    <w:rsid w:val="00854123"/>
    <w:rsid w:val="00854872"/>
    <w:rsid w:val="00856324"/>
    <w:rsid w:val="0086150D"/>
    <w:rsid w:val="00861EC4"/>
    <w:rsid w:val="008629FE"/>
    <w:rsid w:val="00864318"/>
    <w:rsid w:val="0086625A"/>
    <w:rsid w:val="00866688"/>
    <w:rsid w:val="00867F2E"/>
    <w:rsid w:val="00870CFD"/>
    <w:rsid w:val="0087201F"/>
    <w:rsid w:val="00872F31"/>
    <w:rsid w:val="008734BE"/>
    <w:rsid w:val="00874A7A"/>
    <w:rsid w:val="00875934"/>
    <w:rsid w:val="00877C9D"/>
    <w:rsid w:val="008806A8"/>
    <w:rsid w:val="00880F7B"/>
    <w:rsid w:val="00881951"/>
    <w:rsid w:val="00884216"/>
    <w:rsid w:val="00890A53"/>
    <w:rsid w:val="00890C93"/>
    <w:rsid w:val="00891A24"/>
    <w:rsid w:val="0089255C"/>
    <w:rsid w:val="00892F49"/>
    <w:rsid w:val="0089465E"/>
    <w:rsid w:val="00894B77"/>
    <w:rsid w:val="00895FF2"/>
    <w:rsid w:val="008A5F0A"/>
    <w:rsid w:val="008B024B"/>
    <w:rsid w:val="008B2565"/>
    <w:rsid w:val="008B4BF4"/>
    <w:rsid w:val="008B6A9E"/>
    <w:rsid w:val="008B6EBD"/>
    <w:rsid w:val="008C0F6E"/>
    <w:rsid w:val="008C2253"/>
    <w:rsid w:val="008C2285"/>
    <w:rsid w:val="008C30AA"/>
    <w:rsid w:val="008C4400"/>
    <w:rsid w:val="008C4B53"/>
    <w:rsid w:val="008C4D20"/>
    <w:rsid w:val="008C59BE"/>
    <w:rsid w:val="008C6363"/>
    <w:rsid w:val="008C7B2C"/>
    <w:rsid w:val="008C7B72"/>
    <w:rsid w:val="008D11D6"/>
    <w:rsid w:val="008D147C"/>
    <w:rsid w:val="008D2300"/>
    <w:rsid w:val="008D23C3"/>
    <w:rsid w:val="008D39FA"/>
    <w:rsid w:val="008D48A5"/>
    <w:rsid w:val="008D4AB7"/>
    <w:rsid w:val="008D5FE8"/>
    <w:rsid w:val="008D63D5"/>
    <w:rsid w:val="008E063B"/>
    <w:rsid w:val="008E15B2"/>
    <w:rsid w:val="008E35A2"/>
    <w:rsid w:val="008E4049"/>
    <w:rsid w:val="008E40E7"/>
    <w:rsid w:val="008E4E42"/>
    <w:rsid w:val="008F1299"/>
    <w:rsid w:val="008F1E4C"/>
    <w:rsid w:val="008F5704"/>
    <w:rsid w:val="008F7B47"/>
    <w:rsid w:val="009003DB"/>
    <w:rsid w:val="00900FB7"/>
    <w:rsid w:val="00902B1F"/>
    <w:rsid w:val="009050D0"/>
    <w:rsid w:val="00906B03"/>
    <w:rsid w:val="00906E82"/>
    <w:rsid w:val="009075CD"/>
    <w:rsid w:val="00911160"/>
    <w:rsid w:val="00911514"/>
    <w:rsid w:val="00912A75"/>
    <w:rsid w:val="00913257"/>
    <w:rsid w:val="00916129"/>
    <w:rsid w:val="0091627B"/>
    <w:rsid w:val="00921E27"/>
    <w:rsid w:val="00922475"/>
    <w:rsid w:val="00922550"/>
    <w:rsid w:val="00922BE9"/>
    <w:rsid w:val="00926FBE"/>
    <w:rsid w:val="00927235"/>
    <w:rsid w:val="00927296"/>
    <w:rsid w:val="00927661"/>
    <w:rsid w:val="009277FF"/>
    <w:rsid w:val="00930EF8"/>
    <w:rsid w:val="009316A0"/>
    <w:rsid w:val="00931DB8"/>
    <w:rsid w:val="00932B07"/>
    <w:rsid w:val="00937B15"/>
    <w:rsid w:val="00940406"/>
    <w:rsid w:val="00941466"/>
    <w:rsid w:val="00944649"/>
    <w:rsid w:val="009454FC"/>
    <w:rsid w:val="009478B1"/>
    <w:rsid w:val="0095094B"/>
    <w:rsid w:val="00955D05"/>
    <w:rsid w:val="0095697A"/>
    <w:rsid w:val="00956AD8"/>
    <w:rsid w:val="009570CA"/>
    <w:rsid w:val="009602D1"/>
    <w:rsid w:val="009628C7"/>
    <w:rsid w:val="00962B82"/>
    <w:rsid w:val="009635A2"/>
    <w:rsid w:val="00970A66"/>
    <w:rsid w:val="00971118"/>
    <w:rsid w:val="00971B17"/>
    <w:rsid w:val="00971D71"/>
    <w:rsid w:val="00972E70"/>
    <w:rsid w:val="00976BC6"/>
    <w:rsid w:val="00976C36"/>
    <w:rsid w:val="00976E68"/>
    <w:rsid w:val="00980304"/>
    <w:rsid w:val="009808F5"/>
    <w:rsid w:val="00983073"/>
    <w:rsid w:val="00983584"/>
    <w:rsid w:val="00985B12"/>
    <w:rsid w:val="009905A6"/>
    <w:rsid w:val="00990E71"/>
    <w:rsid w:val="009916C6"/>
    <w:rsid w:val="009937F0"/>
    <w:rsid w:val="00994743"/>
    <w:rsid w:val="00995834"/>
    <w:rsid w:val="00995BC1"/>
    <w:rsid w:val="00997C40"/>
    <w:rsid w:val="009A02CC"/>
    <w:rsid w:val="009A0858"/>
    <w:rsid w:val="009A1D99"/>
    <w:rsid w:val="009A3A4C"/>
    <w:rsid w:val="009A5C34"/>
    <w:rsid w:val="009B1836"/>
    <w:rsid w:val="009B2E8F"/>
    <w:rsid w:val="009B362F"/>
    <w:rsid w:val="009B5EBC"/>
    <w:rsid w:val="009C1FD2"/>
    <w:rsid w:val="009C3C32"/>
    <w:rsid w:val="009C40B9"/>
    <w:rsid w:val="009D1F10"/>
    <w:rsid w:val="009D353A"/>
    <w:rsid w:val="009D4062"/>
    <w:rsid w:val="009D6D78"/>
    <w:rsid w:val="009D7657"/>
    <w:rsid w:val="009D786B"/>
    <w:rsid w:val="009E30A3"/>
    <w:rsid w:val="009E372F"/>
    <w:rsid w:val="009E3811"/>
    <w:rsid w:val="009E4517"/>
    <w:rsid w:val="009E5F9D"/>
    <w:rsid w:val="009E6E1E"/>
    <w:rsid w:val="009E739E"/>
    <w:rsid w:val="009F1A80"/>
    <w:rsid w:val="009F6742"/>
    <w:rsid w:val="00A012DF"/>
    <w:rsid w:val="00A064E8"/>
    <w:rsid w:val="00A07516"/>
    <w:rsid w:val="00A120EB"/>
    <w:rsid w:val="00A1412D"/>
    <w:rsid w:val="00A178FC"/>
    <w:rsid w:val="00A21E5C"/>
    <w:rsid w:val="00A2204E"/>
    <w:rsid w:val="00A220E7"/>
    <w:rsid w:val="00A26DC7"/>
    <w:rsid w:val="00A2768E"/>
    <w:rsid w:val="00A30598"/>
    <w:rsid w:val="00A31295"/>
    <w:rsid w:val="00A316CA"/>
    <w:rsid w:val="00A31CAB"/>
    <w:rsid w:val="00A33413"/>
    <w:rsid w:val="00A366E6"/>
    <w:rsid w:val="00A367BD"/>
    <w:rsid w:val="00A36CAE"/>
    <w:rsid w:val="00A37AB2"/>
    <w:rsid w:val="00A40317"/>
    <w:rsid w:val="00A41270"/>
    <w:rsid w:val="00A419FD"/>
    <w:rsid w:val="00A41D4F"/>
    <w:rsid w:val="00A429B1"/>
    <w:rsid w:val="00A43B39"/>
    <w:rsid w:val="00A452F9"/>
    <w:rsid w:val="00A462A0"/>
    <w:rsid w:val="00A51F74"/>
    <w:rsid w:val="00A533EF"/>
    <w:rsid w:val="00A53D71"/>
    <w:rsid w:val="00A540FB"/>
    <w:rsid w:val="00A54BEF"/>
    <w:rsid w:val="00A55549"/>
    <w:rsid w:val="00A63776"/>
    <w:rsid w:val="00A64704"/>
    <w:rsid w:val="00A665A1"/>
    <w:rsid w:val="00A66A35"/>
    <w:rsid w:val="00A6770A"/>
    <w:rsid w:val="00A67863"/>
    <w:rsid w:val="00A7242F"/>
    <w:rsid w:val="00A7283D"/>
    <w:rsid w:val="00A73686"/>
    <w:rsid w:val="00A74BA6"/>
    <w:rsid w:val="00A7605D"/>
    <w:rsid w:val="00A7641E"/>
    <w:rsid w:val="00A7702D"/>
    <w:rsid w:val="00A77111"/>
    <w:rsid w:val="00A775C7"/>
    <w:rsid w:val="00A82939"/>
    <w:rsid w:val="00A83D1E"/>
    <w:rsid w:val="00A85FFA"/>
    <w:rsid w:val="00A86F91"/>
    <w:rsid w:val="00A872A4"/>
    <w:rsid w:val="00A873C6"/>
    <w:rsid w:val="00A926C8"/>
    <w:rsid w:val="00A9646D"/>
    <w:rsid w:val="00A97269"/>
    <w:rsid w:val="00A97521"/>
    <w:rsid w:val="00AA1D6E"/>
    <w:rsid w:val="00AA32FE"/>
    <w:rsid w:val="00AA5EC0"/>
    <w:rsid w:val="00AA61E2"/>
    <w:rsid w:val="00AA7FCA"/>
    <w:rsid w:val="00AB0405"/>
    <w:rsid w:val="00AB0798"/>
    <w:rsid w:val="00AB0EE0"/>
    <w:rsid w:val="00AB308F"/>
    <w:rsid w:val="00AB39B1"/>
    <w:rsid w:val="00AB4228"/>
    <w:rsid w:val="00AC0C57"/>
    <w:rsid w:val="00AC0DF5"/>
    <w:rsid w:val="00AC1119"/>
    <w:rsid w:val="00AC14F5"/>
    <w:rsid w:val="00AC2C9E"/>
    <w:rsid w:val="00AC2E3B"/>
    <w:rsid w:val="00AC2E60"/>
    <w:rsid w:val="00AC4EFA"/>
    <w:rsid w:val="00AC599A"/>
    <w:rsid w:val="00AD0248"/>
    <w:rsid w:val="00AD09B7"/>
    <w:rsid w:val="00AD4F86"/>
    <w:rsid w:val="00AD53A7"/>
    <w:rsid w:val="00AD6561"/>
    <w:rsid w:val="00AD665C"/>
    <w:rsid w:val="00AD705C"/>
    <w:rsid w:val="00AD7DAD"/>
    <w:rsid w:val="00AE17C5"/>
    <w:rsid w:val="00AE1B46"/>
    <w:rsid w:val="00AE1B7D"/>
    <w:rsid w:val="00AE29D0"/>
    <w:rsid w:val="00AE3FD5"/>
    <w:rsid w:val="00AE4D8A"/>
    <w:rsid w:val="00AE73F1"/>
    <w:rsid w:val="00AE752E"/>
    <w:rsid w:val="00AE7899"/>
    <w:rsid w:val="00AF29D7"/>
    <w:rsid w:val="00AF7390"/>
    <w:rsid w:val="00B01BCA"/>
    <w:rsid w:val="00B0393A"/>
    <w:rsid w:val="00B04A9E"/>
    <w:rsid w:val="00B04CF1"/>
    <w:rsid w:val="00B0686A"/>
    <w:rsid w:val="00B0708E"/>
    <w:rsid w:val="00B113CE"/>
    <w:rsid w:val="00B141D1"/>
    <w:rsid w:val="00B17738"/>
    <w:rsid w:val="00B22D9D"/>
    <w:rsid w:val="00B23C2A"/>
    <w:rsid w:val="00B24A99"/>
    <w:rsid w:val="00B25AB6"/>
    <w:rsid w:val="00B3268C"/>
    <w:rsid w:val="00B32B13"/>
    <w:rsid w:val="00B32E3E"/>
    <w:rsid w:val="00B33EEF"/>
    <w:rsid w:val="00B34694"/>
    <w:rsid w:val="00B403A8"/>
    <w:rsid w:val="00B43E78"/>
    <w:rsid w:val="00B45659"/>
    <w:rsid w:val="00B45F4F"/>
    <w:rsid w:val="00B45FE2"/>
    <w:rsid w:val="00B464F5"/>
    <w:rsid w:val="00B5334A"/>
    <w:rsid w:val="00B54127"/>
    <w:rsid w:val="00B553F1"/>
    <w:rsid w:val="00B57BDD"/>
    <w:rsid w:val="00B614B8"/>
    <w:rsid w:val="00B64E84"/>
    <w:rsid w:val="00B67C4D"/>
    <w:rsid w:val="00B71B6A"/>
    <w:rsid w:val="00B72509"/>
    <w:rsid w:val="00B74EC9"/>
    <w:rsid w:val="00B75444"/>
    <w:rsid w:val="00B81920"/>
    <w:rsid w:val="00B8229A"/>
    <w:rsid w:val="00B83D71"/>
    <w:rsid w:val="00B84B82"/>
    <w:rsid w:val="00B93B83"/>
    <w:rsid w:val="00B953C2"/>
    <w:rsid w:val="00B95B5A"/>
    <w:rsid w:val="00B96ED8"/>
    <w:rsid w:val="00B97455"/>
    <w:rsid w:val="00BA22DE"/>
    <w:rsid w:val="00BA4AB3"/>
    <w:rsid w:val="00BA51CE"/>
    <w:rsid w:val="00BA6BFF"/>
    <w:rsid w:val="00BA6E63"/>
    <w:rsid w:val="00BB2BC6"/>
    <w:rsid w:val="00BB6DCE"/>
    <w:rsid w:val="00BC25EC"/>
    <w:rsid w:val="00BC271A"/>
    <w:rsid w:val="00BC29BA"/>
    <w:rsid w:val="00BD082D"/>
    <w:rsid w:val="00BD0E25"/>
    <w:rsid w:val="00BD3923"/>
    <w:rsid w:val="00BD48DC"/>
    <w:rsid w:val="00BD4E4C"/>
    <w:rsid w:val="00BD5C3E"/>
    <w:rsid w:val="00BD5F7D"/>
    <w:rsid w:val="00BD74B8"/>
    <w:rsid w:val="00BD7776"/>
    <w:rsid w:val="00BE04C2"/>
    <w:rsid w:val="00BE0A74"/>
    <w:rsid w:val="00BE0DE4"/>
    <w:rsid w:val="00BE12DC"/>
    <w:rsid w:val="00BE23EF"/>
    <w:rsid w:val="00BE2DAE"/>
    <w:rsid w:val="00BE4CBF"/>
    <w:rsid w:val="00BE5411"/>
    <w:rsid w:val="00BE567D"/>
    <w:rsid w:val="00BE578B"/>
    <w:rsid w:val="00BE5A26"/>
    <w:rsid w:val="00BE5D59"/>
    <w:rsid w:val="00BE6534"/>
    <w:rsid w:val="00BF016A"/>
    <w:rsid w:val="00BF05D1"/>
    <w:rsid w:val="00BF131D"/>
    <w:rsid w:val="00BF41E1"/>
    <w:rsid w:val="00BF47C8"/>
    <w:rsid w:val="00BF6A73"/>
    <w:rsid w:val="00BF6D1F"/>
    <w:rsid w:val="00BF710A"/>
    <w:rsid w:val="00C04454"/>
    <w:rsid w:val="00C04B44"/>
    <w:rsid w:val="00C0614B"/>
    <w:rsid w:val="00C06810"/>
    <w:rsid w:val="00C10C52"/>
    <w:rsid w:val="00C11AAF"/>
    <w:rsid w:val="00C13EFC"/>
    <w:rsid w:val="00C15A5B"/>
    <w:rsid w:val="00C179A9"/>
    <w:rsid w:val="00C17CA7"/>
    <w:rsid w:val="00C23235"/>
    <w:rsid w:val="00C239E8"/>
    <w:rsid w:val="00C27659"/>
    <w:rsid w:val="00C27D1E"/>
    <w:rsid w:val="00C301EA"/>
    <w:rsid w:val="00C30B39"/>
    <w:rsid w:val="00C330B8"/>
    <w:rsid w:val="00C33778"/>
    <w:rsid w:val="00C364DB"/>
    <w:rsid w:val="00C404CD"/>
    <w:rsid w:val="00C43261"/>
    <w:rsid w:val="00C44AEE"/>
    <w:rsid w:val="00C45684"/>
    <w:rsid w:val="00C45B08"/>
    <w:rsid w:val="00C45F95"/>
    <w:rsid w:val="00C50463"/>
    <w:rsid w:val="00C51656"/>
    <w:rsid w:val="00C51782"/>
    <w:rsid w:val="00C5243D"/>
    <w:rsid w:val="00C529FF"/>
    <w:rsid w:val="00C54CFA"/>
    <w:rsid w:val="00C553D1"/>
    <w:rsid w:val="00C556DE"/>
    <w:rsid w:val="00C55BF6"/>
    <w:rsid w:val="00C55E30"/>
    <w:rsid w:val="00C56492"/>
    <w:rsid w:val="00C56FDD"/>
    <w:rsid w:val="00C57540"/>
    <w:rsid w:val="00C634E8"/>
    <w:rsid w:val="00C67AE8"/>
    <w:rsid w:val="00C71412"/>
    <w:rsid w:val="00C71749"/>
    <w:rsid w:val="00C71D9E"/>
    <w:rsid w:val="00C72857"/>
    <w:rsid w:val="00C73239"/>
    <w:rsid w:val="00C76C4D"/>
    <w:rsid w:val="00C80028"/>
    <w:rsid w:val="00C81421"/>
    <w:rsid w:val="00C8403B"/>
    <w:rsid w:val="00C84435"/>
    <w:rsid w:val="00C84EAE"/>
    <w:rsid w:val="00C85DE5"/>
    <w:rsid w:val="00C90571"/>
    <w:rsid w:val="00C923AB"/>
    <w:rsid w:val="00C92444"/>
    <w:rsid w:val="00C92C26"/>
    <w:rsid w:val="00C9588D"/>
    <w:rsid w:val="00C959FF"/>
    <w:rsid w:val="00C96DE4"/>
    <w:rsid w:val="00C9755A"/>
    <w:rsid w:val="00CA0EFC"/>
    <w:rsid w:val="00CA14B8"/>
    <w:rsid w:val="00CA523D"/>
    <w:rsid w:val="00CA6E42"/>
    <w:rsid w:val="00CA7222"/>
    <w:rsid w:val="00CB024B"/>
    <w:rsid w:val="00CB2A83"/>
    <w:rsid w:val="00CB38DB"/>
    <w:rsid w:val="00CB531E"/>
    <w:rsid w:val="00CB7E45"/>
    <w:rsid w:val="00CB7F9C"/>
    <w:rsid w:val="00CC005D"/>
    <w:rsid w:val="00CC0548"/>
    <w:rsid w:val="00CC17B6"/>
    <w:rsid w:val="00CC4D9A"/>
    <w:rsid w:val="00CC550D"/>
    <w:rsid w:val="00CC55BD"/>
    <w:rsid w:val="00CC5BA7"/>
    <w:rsid w:val="00CC799B"/>
    <w:rsid w:val="00CC7CBB"/>
    <w:rsid w:val="00CD224D"/>
    <w:rsid w:val="00CD4975"/>
    <w:rsid w:val="00CD57D5"/>
    <w:rsid w:val="00CD5804"/>
    <w:rsid w:val="00CD6793"/>
    <w:rsid w:val="00CD6803"/>
    <w:rsid w:val="00CE1D56"/>
    <w:rsid w:val="00CE332D"/>
    <w:rsid w:val="00CE4640"/>
    <w:rsid w:val="00CE46B2"/>
    <w:rsid w:val="00CE6469"/>
    <w:rsid w:val="00CF02D2"/>
    <w:rsid w:val="00CF41CC"/>
    <w:rsid w:val="00D004F6"/>
    <w:rsid w:val="00D0084C"/>
    <w:rsid w:val="00D00D49"/>
    <w:rsid w:val="00D00D4A"/>
    <w:rsid w:val="00D0229C"/>
    <w:rsid w:val="00D07DD5"/>
    <w:rsid w:val="00D11FE1"/>
    <w:rsid w:val="00D12239"/>
    <w:rsid w:val="00D12DD0"/>
    <w:rsid w:val="00D1319D"/>
    <w:rsid w:val="00D143CD"/>
    <w:rsid w:val="00D15791"/>
    <w:rsid w:val="00D15A8F"/>
    <w:rsid w:val="00D214D4"/>
    <w:rsid w:val="00D21925"/>
    <w:rsid w:val="00D22E5D"/>
    <w:rsid w:val="00D235A6"/>
    <w:rsid w:val="00D3069C"/>
    <w:rsid w:val="00D31173"/>
    <w:rsid w:val="00D32D89"/>
    <w:rsid w:val="00D33CED"/>
    <w:rsid w:val="00D33F69"/>
    <w:rsid w:val="00D367A9"/>
    <w:rsid w:val="00D37189"/>
    <w:rsid w:val="00D40E4B"/>
    <w:rsid w:val="00D418D8"/>
    <w:rsid w:val="00D41EA0"/>
    <w:rsid w:val="00D44C0D"/>
    <w:rsid w:val="00D44F59"/>
    <w:rsid w:val="00D454B9"/>
    <w:rsid w:val="00D45665"/>
    <w:rsid w:val="00D4569E"/>
    <w:rsid w:val="00D50796"/>
    <w:rsid w:val="00D51DDA"/>
    <w:rsid w:val="00D54709"/>
    <w:rsid w:val="00D54FC9"/>
    <w:rsid w:val="00D5620F"/>
    <w:rsid w:val="00D563D7"/>
    <w:rsid w:val="00D564D5"/>
    <w:rsid w:val="00D573FD"/>
    <w:rsid w:val="00D57F0D"/>
    <w:rsid w:val="00D60164"/>
    <w:rsid w:val="00D617BB"/>
    <w:rsid w:val="00D62638"/>
    <w:rsid w:val="00D63E90"/>
    <w:rsid w:val="00D6538A"/>
    <w:rsid w:val="00D664A3"/>
    <w:rsid w:val="00D67277"/>
    <w:rsid w:val="00D71708"/>
    <w:rsid w:val="00D72031"/>
    <w:rsid w:val="00D726D5"/>
    <w:rsid w:val="00D72CFB"/>
    <w:rsid w:val="00D72F09"/>
    <w:rsid w:val="00D8084A"/>
    <w:rsid w:val="00D8291F"/>
    <w:rsid w:val="00D83B5E"/>
    <w:rsid w:val="00D86AC3"/>
    <w:rsid w:val="00D87F46"/>
    <w:rsid w:val="00D90142"/>
    <w:rsid w:val="00D924D2"/>
    <w:rsid w:val="00D9259B"/>
    <w:rsid w:val="00D9329E"/>
    <w:rsid w:val="00D943CF"/>
    <w:rsid w:val="00D95987"/>
    <w:rsid w:val="00D96E90"/>
    <w:rsid w:val="00DA2626"/>
    <w:rsid w:val="00DA3F55"/>
    <w:rsid w:val="00DA5DE0"/>
    <w:rsid w:val="00DA5F01"/>
    <w:rsid w:val="00DA7B16"/>
    <w:rsid w:val="00DA7DB6"/>
    <w:rsid w:val="00DB0F90"/>
    <w:rsid w:val="00DB22E3"/>
    <w:rsid w:val="00DB2531"/>
    <w:rsid w:val="00DB2CCE"/>
    <w:rsid w:val="00DB5F27"/>
    <w:rsid w:val="00DB79EB"/>
    <w:rsid w:val="00DC008D"/>
    <w:rsid w:val="00DC0A50"/>
    <w:rsid w:val="00DC1131"/>
    <w:rsid w:val="00DC141F"/>
    <w:rsid w:val="00DC278E"/>
    <w:rsid w:val="00DD1AA3"/>
    <w:rsid w:val="00DD2349"/>
    <w:rsid w:val="00DD2384"/>
    <w:rsid w:val="00DD2456"/>
    <w:rsid w:val="00DD3079"/>
    <w:rsid w:val="00DD560E"/>
    <w:rsid w:val="00DD6C0F"/>
    <w:rsid w:val="00DE04CF"/>
    <w:rsid w:val="00DE18BE"/>
    <w:rsid w:val="00DE3AB2"/>
    <w:rsid w:val="00DE3DD6"/>
    <w:rsid w:val="00DE7725"/>
    <w:rsid w:val="00DE7A0A"/>
    <w:rsid w:val="00DF2224"/>
    <w:rsid w:val="00DF319B"/>
    <w:rsid w:val="00DF3EBE"/>
    <w:rsid w:val="00DF54BF"/>
    <w:rsid w:val="00DF552A"/>
    <w:rsid w:val="00DF6077"/>
    <w:rsid w:val="00DF6DEF"/>
    <w:rsid w:val="00DF745D"/>
    <w:rsid w:val="00E00D27"/>
    <w:rsid w:val="00E0414B"/>
    <w:rsid w:val="00E047BB"/>
    <w:rsid w:val="00E04C28"/>
    <w:rsid w:val="00E06FD1"/>
    <w:rsid w:val="00E10A6F"/>
    <w:rsid w:val="00E13DBF"/>
    <w:rsid w:val="00E1449A"/>
    <w:rsid w:val="00E14EF1"/>
    <w:rsid w:val="00E155B5"/>
    <w:rsid w:val="00E15ED0"/>
    <w:rsid w:val="00E17641"/>
    <w:rsid w:val="00E20A00"/>
    <w:rsid w:val="00E26408"/>
    <w:rsid w:val="00E264C3"/>
    <w:rsid w:val="00E30EC5"/>
    <w:rsid w:val="00E31BB7"/>
    <w:rsid w:val="00E32ADA"/>
    <w:rsid w:val="00E3338A"/>
    <w:rsid w:val="00E34705"/>
    <w:rsid w:val="00E3494D"/>
    <w:rsid w:val="00E34C4C"/>
    <w:rsid w:val="00E37165"/>
    <w:rsid w:val="00E40653"/>
    <w:rsid w:val="00E40EF5"/>
    <w:rsid w:val="00E41AE1"/>
    <w:rsid w:val="00E41C08"/>
    <w:rsid w:val="00E425AF"/>
    <w:rsid w:val="00E429E1"/>
    <w:rsid w:val="00E45737"/>
    <w:rsid w:val="00E45814"/>
    <w:rsid w:val="00E469E5"/>
    <w:rsid w:val="00E4782E"/>
    <w:rsid w:val="00E51454"/>
    <w:rsid w:val="00E5257D"/>
    <w:rsid w:val="00E5352F"/>
    <w:rsid w:val="00E536E9"/>
    <w:rsid w:val="00E549AD"/>
    <w:rsid w:val="00E552F2"/>
    <w:rsid w:val="00E562F7"/>
    <w:rsid w:val="00E564B0"/>
    <w:rsid w:val="00E56874"/>
    <w:rsid w:val="00E571EF"/>
    <w:rsid w:val="00E57A7A"/>
    <w:rsid w:val="00E61A4C"/>
    <w:rsid w:val="00E63964"/>
    <w:rsid w:val="00E74294"/>
    <w:rsid w:val="00E80DA8"/>
    <w:rsid w:val="00E81D6A"/>
    <w:rsid w:val="00E82C15"/>
    <w:rsid w:val="00E847E5"/>
    <w:rsid w:val="00E862F9"/>
    <w:rsid w:val="00E86509"/>
    <w:rsid w:val="00E86708"/>
    <w:rsid w:val="00E868F4"/>
    <w:rsid w:val="00E8696A"/>
    <w:rsid w:val="00E86B88"/>
    <w:rsid w:val="00E872E0"/>
    <w:rsid w:val="00E90003"/>
    <w:rsid w:val="00E902C7"/>
    <w:rsid w:val="00E92B26"/>
    <w:rsid w:val="00E93DA2"/>
    <w:rsid w:val="00E94703"/>
    <w:rsid w:val="00E96ED7"/>
    <w:rsid w:val="00E97C46"/>
    <w:rsid w:val="00EA1D1D"/>
    <w:rsid w:val="00EA2380"/>
    <w:rsid w:val="00EA28DD"/>
    <w:rsid w:val="00EA787C"/>
    <w:rsid w:val="00EA7A52"/>
    <w:rsid w:val="00EA7AB8"/>
    <w:rsid w:val="00EB0A67"/>
    <w:rsid w:val="00EB0B6A"/>
    <w:rsid w:val="00EB1F50"/>
    <w:rsid w:val="00EB2640"/>
    <w:rsid w:val="00EB37CE"/>
    <w:rsid w:val="00EB5A35"/>
    <w:rsid w:val="00EC2DF2"/>
    <w:rsid w:val="00EC41EE"/>
    <w:rsid w:val="00EC423D"/>
    <w:rsid w:val="00ED0675"/>
    <w:rsid w:val="00ED0DB7"/>
    <w:rsid w:val="00ED3E3C"/>
    <w:rsid w:val="00ED4105"/>
    <w:rsid w:val="00ED410A"/>
    <w:rsid w:val="00ED53EC"/>
    <w:rsid w:val="00ED6D24"/>
    <w:rsid w:val="00EE0008"/>
    <w:rsid w:val="00EE1207"/>
    <w:rsid w:val="00EE17DF"/>
    <w:rsid w:val="00EE3A9F"/>
    <w:rsid w:val="00EE4D48"/>
    <w:rsid w:val="00EE6E04"/>
    <w:rsid w:val="00EE7BA0"/>
    <w:rsid w:val="00EE7E3F"/>
    <w:rsid w:val="00EF3807"/>
    <w:rsid w:val="00EF4262"/>
    <w:rsid w:val="00EF4857"/>
    <w:rsid w:val="00EF68DC"/>
    <w:rsid w:val="00F00056"/>
    <w:rsid w:val="00F00218"/>
    <w:rsid w:val="00F025BC"/>
    <w:rsid w:val="00F026CF"/>
    <w:rsid w:val="00F028DA"/>
    <w:rsid w:val="00F03120"/>
    <w:rsid w:val="00F03467"/>
    <w:rsid w:val="00F058BA"/>
    <w:rsid w:val="00F12ECB"/>
    <w:rsid w:val="00F13E0A"/>
    <w:rsid w:val="00F14274"/>
    <w:rsid w:val="00F14664"/>
    <w:rsid w:val="00F16264"/>
    <w:rsid w:val="00F16B8E"/>
    <w:rsid w:val="00F21210"/>
    <w:rsid w:val="00F224DD"/>
    <w:rsid w:val="00F22EF5"/>
    <w:rsid w:val="00F23000"/>
    <w:rsid w:val="00F23710"/>
    <w:rsid w:val="00F24C8D"/>
    <w:rsid w:val="00F25488"/>
    <w:rsid w:val="00F26E30"/>
    <w:rsid w:val="00F27DC0"/>
    <w:rsid w:val="00F313DD"/>
    <w:rsid w:val="00F32937"/>
    <w:rsid w:val="00F33F57"/>
    <w:rsid w:val="00F34149"/>
    <w:rsid w:val="00F36EEF"/>
    <w:rsid w:val="00F41CD9"/>
    <w:rsid w:val="00F43E6B"/>
    <w:rsid w:val="00F503C8"/>
    <w:rsid w:val="00F50455"/>
    <w:rsid w:val="00F50B0C"/>
    <w:rsid w:val="00F51AC0"/>
    <w:rsid w:val="00F535C9"/>
    <w:rsid w:val="00F54CCF"/>
    <w:rsid w:val="00F56334"/>
    <w:rsid w:val="00F563A6"/>
    <w:rsid w:val="00F56C24"/>
    <w:rsid w:val="00F56DB8"/>
    <w:rsid w:val="00F571F9"/>
    <w:rsid w:val="00F578C1"/>
    <w:rsid w:val="00F60B39"/>
    <w:rsid w:val="00F62777"/>
    <w:rsid w:val="00F64779"/>
    <w:rsid w:val="00F651FE"/>
    <w:rsid w:val="00F70075"/>
    <w:rsid w:val="00F7007E"/>
    <w:rsid w:val="00F7036A"/>
    <w:rsid w:val="00F70A84"/>
    <w:rsid w:val="00F73610"/>
    <w:rsid w:val="00F74FE2"/>
    <w:rsid w:val="00F7544F"/>
    <w:rsid w:val="00F77E3B"/>
    <w:rsid w:val="00F81404"/>
    <w:rsid w:val="00F8242E"/>
    <w:rsid w:val="00F82802"/>
    <w:rsid w:val="00F83C2A"/>
    <w:rsid w:val="00F86786"/>
    <w:rsid w:val="00F875CC"/>
    <w:rsid w:val="00F9306A"/>
    <w:rsid w:val="00F937C0"/>
    <w:rsid w:val="00F9381A"/>
    <w:rsid w:val="00F94007"/>
    <w:rsid w:val="00F955CB"/>
    <w:rsid w:val="00F96684"/>
    <w:rsid w:val="00F96A43"/>
    <w:rsid w:val="00F9764B"/>
    <w:rsid w:val="00FA01E7"/>
    <w:rsid w:val="00FA0E8C"/>
    <w:rsid w:val="00FA0EEE"/>
    <w:rsid w:val="00FA2B5C"/>
    <w:rsid w:val="00FA3747"/>
    <w:rsid w:val="00FA479C"/>
    <w:rsid w:val="00FA4D17"/>
    <w:rsid w:val="00FA6D63"/>
    <w:rsid w:val="00FA757C"/>
    <w:rsid w:val="00FB0F63"/>
    <w:rsid w:val="00FB2463"/>
    <w:rsid w:val="00FB2819"/>
    <w:rsid w:val="00FB2E29"/>
    <w:rsid w:val="00FB43BC"/>
    <w:rsid w:val="00FB4489"/>
    <w:rsid w:val="00FB76F9"/>
    <w:rsid w:val="00FC025F"/>
    <w:rsid w:val="00FC07C8"/>
    <w:rsid w:val="00FC113D"/>
    <w:rsid w:val="00FC1194"/>
    <w:rsid w:val="00FC193F"/>
    <w:rsid w:val="00FC3A82"/>
    <w:rsid w:val="00FC49A4"/>
    <w:rsid w:val="00FC5502"/>
    <w:rsid w:val="00FC68AF"/>
    <w:rsid w:val="00FD261D"/>
    <w:rsid w:val="00FD41C8"/>
    <w:rsid w:val="00FD42F9"/>
    <w:rsid w:val="00FD527E"/>
    <w:rsid w:val="00FD5E06"/>
    <w:rsid w:val="00FD6441"/>
    <w:rsid w:val="00FE1BFC"/>
    <w:rsid w:val="00FE2259"/>
    <w:rsid w:val="00FF0060"/>
    <w:rsid w:val="00FF2158"/>
    <w:rsid w:val="00FF2CC9"/>
    <w:rsid w:val="00FF30A7"/>
    <w:rsid w:val="00FF410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696C5"/>
  <w15:docId w15:val="{036AE7F4-5F14-4316-BBAA-8FF426B35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FA4"/>
    <w:pPr>
      <w:spacing w:after="0" w:line="240" w:lineRule="auto"/>
    </w:pPr>
    <w:rPr>
      <w:rFonts w:ascii="Calibri" w:hAnsi="Calibri" w:cs="Calibri"/>
    </w:rPr>
  </w:style>
  <w:style w:type="paragraph" w:styleId="Ttulo1">
    <w:name w:val="heading 1"/>
    <w:basedOn w:val="Normal"/>
    <w:next w:val="Normal"/>
    <w:link w:val="Ttulo1Car"/>
    <w:uiPriority w:val="9"/>
    <w:qFormat/>
    <w:rsid w:val="0017550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qFormat/>
    <w:rsid w:val="00836209"/>
    <w:pPr>
      <w:keepNext/>
      <w:spacing w:before="240" w:after="60" w:line="276" w:lineRule="auto"/>
      <w:outlineLvl w:val="1"/>
    </w:pPr>
    <w:rPr>
      <w:rFonts w:ascii="Cambria" w:eastAsia="Times New Roman" w:hAnsi="Cambria" w:cs="Times New Roman"/>
      <w:b/>
      <w:bCs/>
      <w:i/>
      <w:iCs/>
      <w:sz w:val="28"/>
      <w:szCs w:val="28"/>
      <w:lang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List Paragraph1,Colorful List - Accent 11,Párrafo de lista1,Cuadrícula clara - Énfasis 31,List Paragraph2,Lista vistosa - Énfasis 11,Lista clara - Énfasis 51"/>
    <w:basedOn w:val="Normal"/>
    <w:uiPriority w:val="99"/>
    <w:qFormat/>
    <w:rsid w:val="00021FA4"/>
    <w:pPr>
      <w:ind w:left="720"/>
    </w:pPr>
  </w:style>
  <w:style w:type="paragraph" w:styleId="NormalWeb">
    <w:name w:val="Normal (Web)"/>
    <w:basedOn w:val="Normal"/>
    <w:uiPriority w:val="99"/>
    <w:unhideWhenUsed/>
    <w:rsid w:val="006D2A2E"/>
    <w:rPr>
      <w:rFonts w:ascii="Times New Roman" w:hAnsi="Times New Roman" w:cs="Times New Roman"/>
      <w:sz w:val="24"/>
      <w:szCs w:val="24"/>
      <w:lang w:eastAsia="es-CR"/>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t,C,FA Fu?notente"/>
    <w:basedOn w:val="Normal"/>
    <w:link w:val="TextonotapieCar"/>
    <w:unhideWhenUsed/>
    <w:qFormat/>
    <w:rsid w:val="006D2A2E"/>
    <w:rPr>
      <w:rFonts w:asciiTheme="minorHAnsi" w:hAnsiTheme="minorHAnsi" w:cstheme="minorBidi"/>
      <w:sz w:val="20"/>
      <w:szCs w:val="20"/>
    </w:rPr>
  </w:style>
  <w:style w:type="character" w:customStyle="1" w:styleId="TextonotapieCar">
    <w:name w:val="Texto nota pie Car"/>
    <w:aliases w:val="Footnote Text Char Char Char Char Char Car1,Footnote Text Char Char Char Char Car1,Footnote reference Car1,FA Fu Car1,Footnote Text Char Char Char Car1,Footnote Text Cha Car1,FA Fußnotentext Car1,FA Fuﬂnotentext Car1,Ca Car,ft Car"/>
    <w:basedOn w:val="Fuentedeprrafopredeter"/>
    <w:link w:val="Textonotapie"/>
    <w:qFormat/>
    <w:rsid w:val="006D2A2E"/>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nhideWhenUsed/>
    <w:qFormat/>
    <w:rsid w:val="006D2A2E"/>
    <w:rPr>
      <w:vertAlign w:val="superscript"/>
    </w:rPr>
  </w:style>
  <w:style w:type="character" w:styleId="Hipervnculo">
    <w:name w:val="Hyperlink"/>
    <w:basedOn w:val="Fuentedeprrafopredeter"/>
    <w:uiPriority w:val="99"/>
    <w:unhideWhenUsed/>
    <w:rsid w:val="00BE04C2"/>
    <w:rPr>
      <w:color w:val="0563C1" w:themeColor="hyperlink"/>
      <w:u w:val="single"/>
    </w:rPr>
  </w:style>
  <w:style w:type="table" w:styleId="Tablaconcuadrcula">
    <w:name w:val="Table Grid"/>
    <w:basedOn w:val="Tablanormal"/>
    <w:uiPriority w:val="59"/>
    <w:rsid w:val="00746001"/>
    <w:pPr>
      <w:spacing w:after="0" w:line="240" w:lineRule="auto"/>
    </w:pPr>
    <w:rPr>
      <w:rFonts w:ascii="Calibri" w:eastAsia="Times New Roman" w:hAnsi="Calibri" w:cs="Times New Roman"/>
      <w:sz w:val="20"/>
      <w:szCs w:val="20"/>
      <w:lang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qFormat/>
    <w:rsid w:val="007D4462"/>
    <w:rPr>
      <w:rFonts w:eastAsia="Times New Roman"/>
      <w:sz w:val="20"/>
      <w:szCs w:val="20"/>
      <w:lang w:val="es-CR" w:eastAsia="es-CR"/>
    </w:rPr>
  </w:style>
  <w:style w:type="character" w:customStyle="1" w:styleId="Ttulo2Car">
    <w:name w:val="Título 2 Car"/>
    <w:basedOn w:val="Fuentedeprrafopredeter"/>
    <w:link w:val="Ttulo2"/>
    <w:uiPriority w:val="9"/>
    <w:rsid w:val="00836209"/>
    <w:rPr>
      <w:rFonts w:ascii="Cambria" w:eastAsia="Times New Roman" w:hAnsi="Cambria" w:cs="Times New Roman"/>
      <w:b/>
      <w:bCs/>
      <w:i/>
      <w:iCs/>
      <w:sz w:val="28"/>
      <w:szCs w:val="28"/>
      <w:lang w:eastAsia="es-CR"/>
    </w:rPr>
  </w:style>
  <w:style w:type="character" w:customStyle="1" w:styleId="Listavistosa-nfasis1Car">
    <w:name w:val="Lista vistosa - Énfasis 1 Car"/>
    <w:aliases w:val="Colorful List - Accent 11 Car,Párrafo de lista Car1,Footnote Car,List Paragraph1 Car,Párrafo de lista Car,Párrafo de lista1 Car,Cuadrícula clara - Énfasis 31 Car,List Paragraph2 Car,Lista vistosa - Énfasis 11 Car"/>
    <w:link w:val="Listavistosa-nfasis1"/>
    <w:uiPriority w:val="99"/>
    <w:locked/>
    <w:rsid w:val="00796574"/>
    <w:rPr>
      <w:rFonts w:eastAsia="Times New Roman"/>
      <w:sz w:val="22"/>
      <w:szCs w:val="22"/>
      <w:lang w:val="es-MX" w:eastAsia="es-MX"/>
    </w:rPr>
  </w:style>
  <w:style w:type="table" w:styleId="Listavistosa-nfasis1">
    <w:name w:val="Colorful List Accent 1"/>
    <w:basedOn w:val="Tablanormal"/>
    <w:link w:val="Listavistosa-nfasis1Car"/>
    <w:uiPriority w:val="34"/>
    <w:semiHidden/>
    <w:unhideWhenUsed/>
    <w:rsid w:val="00796574"/>
    <w:pPr>
      <w:spacing w:after="0" w:line="240" w:lineRule="auto"/>
    </w:pPr>
    <w:rPr>
      <w:rFonts w:eastAsia="Times New Roman"/>
      <w:lang w:val="es-MX" w:eastAsia="es-MX"/>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character" w:styleId="Refdecomentario">
    <w:name w:val="annotation reference"/>
    <w:basedOn w:val="Fuentedeprrafopredeter"/>
    <w:uiPriority w:val="99"/>
    <w:semiHidden/>
    <w:unhideWhenUsed/>
    <w:rsid w:val="00C06810"/>
    <w:rPr>
      <w:sz w:val="16"/>
      <w:szCs w:val="16"/>
    </w:rPr>
  </w:style>
  <w:style w:type="paragraph" w:styleId="Textocomentario">
    <w:name w:val="annotation text"/>
    <w:basedOn w:val="Normal"/>
    <w:link w:val="TextocomentarioCar"/>
    <w:uiPriority w:val="99"/>
    <w:unhideWhenUsed/>
    <w:rsid w:val="00C06810"/>
    <w:rPr>
      <w:sz w:val="20"/>
      <w:szCs w:val="20"/>
    </w:rPr>
  </w:style>
  <w:style w:type="character" w:customStyle="1" w:styleId="TextocomentarioCar">
    <w:name w:val="Texto comentario Car"/>
    <w:basedOn w:val="Fuentedeprrafopredeter"/>
    <w:link w:val="Textocomentario"/>
    <w:uiPriority w:val="99"/>
    <w:rsid w:val="00C06810"/>
    <w:rPr>
      <w:rFonts w:ascii="Calibri" w:hAnsi="Calibri" w:cs="Calibri"/>
      <w:sz w:val="20"/>
      <w:szCs w:val="20"/>
    </w:rPr>
  </w:style>
  <w:style w:type="paragraph" w:styleId="Asuntodelcomentario">
    <w:name w:val="annotation subject"/>
    <w:basedOn w:val="Textocomentario"/>
    <w:next w:val="Textocomentario"/>
    <w:link w:val="AsuntodelcomentarioCar"/>
    <w:uiPriority w:val="99"/>
    <w:semiHidden/>
    <w:unhideWhenUsed/>
    <w:rsid w:val="00C06810"/>
    <w:rPr>
      <w:b/>
      <w:bCs/>
    </w:rPr>
  </w:style>
  <w:style w:type="character" w:customStyle="1" w:styleId="AsuntodelcomentarioCar">
    <w:name w:val="Asunto del comentario Car"/>
    <w:basedOn w:val="TextocomentarioCar"/>
    <w:link w:val="Asuntodelcomentario"/>
    <w:uiPriority w:val="99"/>
    <w:semiHidden/>
    <w:rsid w:val="00C06810"/>
    <w:rPr>
      <w:rFonts w:ascii="Calibri" w:hAnsi="Calibri" w:cs="Calibri"/>
      <w:b/>
      <w:bCs/>
      <w:sz w:val="20"/>
      <w:szCs w:val="20"/>
    </w:rPr>
  </w:style>
  <w:style w:type="paragraph" w:styleId="Textodeglobo">
    <w:name w:val="Balloon Text"/>
    <w:basedOn w:val="Normal"/>
    <w:link w:val="TextodegloboCar"/>
    <w:uiPriority w:val="99"/>
    <w:semiHidden/>
    <w:unhideWhenUsed/>
    <w:rsid w:val="00C0681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06810"/>
    <w:rPr>
      <w:rFonts w:ascii="Segoe UI" w:hAnsi="Segoe UI" w:cs="Segoe UI"/>
      <w:sz w:val="18"/>
      <w:szCs w:val="18"/>
    </w:rPr>
  </w:style>
  <w:style w:type="paragraph" w:styleId="Encabezado">
    <w:name w:val="header"/>
    <w:aliases w:val="encabezado"/>
    <w:basedOn w:val="Normal"/>
    <w:link w:val="EncabezadoCar"/>
    <w:uiPriority w:val="99"/>
    <w:unhideWhenUsed/>
    <w:rsid w:val="004374AC"/>
    <w:pPr>
      <w:tabs>
        <w:tab w:val="center" w:pos="4419"/>
        <w:tab w:val="right" w:pos="8838"/>
      </w:tabs>
    </w:pPr>
  </w:style>
  <w:style w:type="character" w:customStyle="1" w:styleId="EncabezadoCar">
    <w:name w:val="Encabezado Car"/>
    <w:aliases w:val="encabezado Car"/>
    <w:basedOn w:val="Fuentedeprrafopredeter"/>
    <w:link w:val="Encabezado"/>
    <w:uiPriority w:val="99"/>
    <w:rsid w:val="004374AC"/>
    <w:rPr>
      <w:rFonts w:ascii="Calibri" w:hAnsi="Calibri" w:cs="Calibri"/>
    </w:rPr>
  </w:style>
  <w:style w:type="paragraph" w:styleId="Piedepgina">
    <w:name w:val="footer"/>
    <w:basedOn w:val="Normal"/>
    <w:link w:val="PiedepginaCar"/>
    <w:uiPriority w:val="99"/>
    <w:unhideWhenUsed/>
    <w:rsid w:val="004374AC"/>
    <w:pPr>
      <w:tabs>
        <w:tab w:val="center" w:pos="4419"/>
        <w:tab w:val="right" w:pos="8838"/>
      </w:tabs>
    </w:pPr>
  </w:style>
  <w:style w:type="character" w:customStyle="1" w:styleId="PiedepginaCar">
    <w:name w:val="Pie de página Car"/>
    <w:basedOn w:val="Fuentedeprrafopredeter"/>
    <w:link w:val="Piedepgina"/>
    <w:uiPriority w:val="99"/>
    <w:rsid w:val="004374AC"/>
    <w:rPr>
      <w:rFonts w:ascii="Calibri" w:hAnsi="Calibri" w:cs="Calibri"/>
    </w:rPr>
  </w:style>
  <w:style w:type="paragraph" w:styleId="Revisin">
    <w:name w:val="Revision"/>
    <w:hidden/>
    <w:uiPriority w:val="99"/>
    <w:semiHidden/>
    <w:rsid w:val="00711A8B"/>
    <w:pPr>
      <w:spacing w:after="0" w:line="240" w:lineRule="auto"/>
    </w:pPr>
    <w:rPr>
      <w:rFonts w:ascii="Calibri" w:hAnsi="Calibri" w:cs="Calibri"/>
    </w:rPr>
  </w:style>
  <w:style w:type="paragraph" w:styleId="TDC1">
    <w:name w:val="toc 1"/>
    <w:basedOn w:val="Normal"/>
    <w:next w:val="Normal"/>
    <w:autoRedefine/>
    <w:uiPriority w:val="39"/>
    <w:unhideWhenUsed/>
    <w:rsid w:val="00175500"/>
    <w:pPr>
      <w:spacing w:after="100"/>
    </w:pPr>
  </w:style>
  <w:style w:type="character" w:customStyle="1" w:styleId="Ttulo1Car">
    <w:name w:val="Título 1 Car"/>
    <w:basedOn w:val="Fuentedeprrafopredeter"/>
    <w:link w:val="Ttulo1"/>
    <w:uiPriority w:val="9"/>
    <w:rsid w:val="00175500"/>
    <w:rPr>
      <w:rFonts w:asciiTheme="majorHAnsi" w:eastAsiaTheme="majorEastAsia" w:hAnsiTheme="majorHAnsi" w:cstheme="majorBidi"/>
      <w:color w:val="2E74B5" w:themeColor="accent1" w:themeShade="BF"/>
      <w:sz w:val="32"/>
      <w:szCs w:val="32"/>
    </w:rPr>
  </w:style>
  <w:style w:type="character" w:styleId="Nmerodelnea">
    <w:name w:val="line number"/>
    <w:basedOn w:val="Fuentedeprrafopredeter"/>
    <w:uiPriority w:val="99"/>
    <w:semiHidden/>
    <w:unhideWhenUsed/>
    <w:rsid w:val="00D71708"/>
  </w:style>
  <w:style w:type="paragraph" w:styleId="TtuloTDC">
    <w:name w:val="TOC Heading"/>
    <w:basedOn w:val="Ttulo1"/>
    <w:next w:val="Normal"/>
    <w:uiPriority w:val="39"/>
    <w:unhideWhenUsed/>
    <w:qFormat/>
    <w:rsid w:val="00F96A43"/>
    <w:pPr>
      <w:spacing w:line="259" w:lineRule="auto"/>
      <w:outlineLvl w:val="9"/>
    </w:pPr>
    <w:rPr>
      <w:lang w:eastAsia="es-CR"/>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C43261"/>
    <w:pPr>
      <w:jc w:val="both"/>
    </w:pPr>
    <w:rPr>
      <w:rFonts w:asciiTheme="minorHAnsi" w:hAnsiTheme="minorHAnsi" w:cstheme="minorBidi"/>
      <w:vertAlign w:val="superscript"/>
    </w:rPr>
  </w:style>
  <w:style w:type="character" w:styleId="Hipervnculovisitado">
    <w:name w:val="FollowedHyperlink"/>
    <w:basedOn w:val="Fuentedeprrafopredeter"/>
    <w:uiPriority w:val="99"/>
    <w:semiHidden/>
    <w:unhideWhenUsed/>
    <w:rsid w:val="009E4517"/>
    <w:rPr>
      <w:color w:val="954F72" w:themeColor="followedHyperlink"/>
      <w:u w:val="single"/>
    </w:rPr>
  </w:style>
  <w:style w:type="character" w:styleId="Mencinsinresolver">
    <w:name w:val="Unresolved Mention"/>
    <w:basedOn w:val="Fuentedeprrafopredeter"/>
    <w:uiPriority w:val="99"/>
    <w:semiHidden/>
    <w:unhideWhenUsed/>
    <w:rsid w:val="00556E9F"/>
    <w:rPr>
      <w:color w:val="605E5C"/>
      <w:shd w:val="clear" w:color="auto" w:fill="E1DFDD"/>
    </w:rPr>
  </w:style>
  <w:style w:type="character" w:customStyle="1" w:styleId="cf01">
    <w:name w:val="cf01"/>
    <w:basedOn w:val="Fuentedeprrafopredeter"/>
    <w:rsid w:val="00761BE0"/>
    <w:rPr>
      <w:rFonts w:ascii="Segoe UI" w:hAnsi="Segoe UI" w:cs="Segoe UI" w:hint="default"/>
      <w:sz w:val="18"/>
      <w:szCs w:val="18"/>
    </w:rPr>
  </w:style>
  <w:style w:type="paragraph" w:customStyle="1" w:styleId="Default">
    <w:name w:val="Default"/>
    <w:rsid w:val="00E425AF"/>
    <w:pPr>
      <w:autoSpaceDE w:val="0"/>
      <w:autoSpaceDN w:val="0"/>
      <w:adjustRightInd w:val="0"/>
      <w:spacing w:after="0" w:line="240" w:lineRule="auto"/>
    </w:pPr>
    <w:rPr>
      <w:rFonts w:ascii="Segoe UI" w:hAnsi="Segoe UI" w:cs="Segoe UI"/>
      <w:color w:val="000000"/>
      <w:sz w:val="24"/>
      <w:szCs w:val="24"/>
    </w:rPr>
  </w:style>
  <w:style w:type="character" w:customStyle="1" w:styleId="s29">
    <w:name w:val="s29"/>
    <w:basedOn w:val="Fuentedeprrafopredeter"/>
    <w:rsid w:val="006B5420"/>
  </w:style>
  <w:style w:type="character" w:customStyle="1" w:styleId="apple-converted-space">
    <w:name w:val="apple-converted-space"/>
    <w:basedOn w:val="Fuentedeprrafopredeter"/>
    <w:rsid w:val="006B5420"/>
  </w:style>
  <w:style w:type="character" w:customStyle="1" w:styleId="bumpedfont20">
    <w:name w:val="bumpedfont20"/>
    <w:basedOn w:val="Fuentedeprrafopredeter"/>
    <w:rsid w:val="006B54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753228">
      <w:bodyDiv w:val="1"/>
      <w:marLeft w:val="0"/>
      <w:marRight w:val="0"/>
      <w:marTop w:val="0"/>
      <w:marBottom w:val="0"/>
      <w:divBdr>
        <w:top w:val="none" w:sz="0" w:space="0" w:color="auto"/>
        <w:left w:val="none" w:sz="0" w:space="0" w:color="auto"/>
        <w:bottom w:val="none" w:sz="0" w:space="0" w:color="auto"/>
        <w:right w:val="none" w:sz="0" w:space="0" w:color="auto"/>
      </w:divBdr>
    </w:div>
    <w:div w:id="519978843">
      <w:bodyDiv w:val="1"/>
      <w:marLeft w:val="0"/>
      <w:marRight w:val="0"/>
      <w:marTop w:val="0"/>
      <w:marBottom w:val="0"/>
      <w:divBdr>
        <w:top w:val="none" w:sz="0" w:space="0" w:color="auto"/>
        <w:left w:val="none" w:sz="0" w:space="0" w:color="auto"/>
        <w:bottom w:val="none" w:sz="0" w:space="0" w:color="auto"/>
        <w:right w:val="none" w:sz="0" w:space="0" w:color="auto"/>
      </w:divBdr>
    </w:div>
    <w:div w:id="545341142">
      <w:bodyDiv w:val="1"/>
      <w:marLeft w:val="0"/>
      <w:marRight w:val="0"/>
      <w:marTop w:val="0"/>
      <w:marBottom w:val="0"/>
      <w:divBdr>
        <w:top w:val="none" w:sz="0" w:space="0" w:color="auto"/>
        <w:left w:val="none" w:sz="0" w:space="0" w:color="auto"/>
        <w:bottom w:val="none" w:sz="0" w:space="0" w:color="auto"/>
        <w:right w:val="none" w:sz="0" w:space="0" w:color="auto"/>
      </w:divBdr>
    </w:div>
    <w:div w:id="570777642">
      <w:bodyDiv w:val="1"/>
      <w:marLeft w:val="0"/>
      <w:marRight w:val="0"/>
      <w:marTop w:val="0"/>
      <w:marBottom w:val="0"/>
      <w:divBdr>
        <w:top w:val="none" w:sz="0" w:space="0" w:color="auto"/>
        <w:left w:val="none" w:sz="0" w:space="0" w:color="auto"/>
        <w:bottom w:val="none" w:sz="0" w:space="0" w:color="auto"/>
        <w:right w:val="none" w:sz="0" w:space="0" w:color="auto"/>
      </w:divBdr>
    </w:div>
    <w:div w:id="646671712">
      <w:bodyDiv w:val="1"/>
      <w:marLeft w:val="0"/>
      <w:marRight w:val="0"/>
      <w:marTop w:val="0"/>
      <w:marBottom w:val="0"/>
      <w:divBdr>
        <w:top w:val="none" w:sz="0" w:space="0" w:color="auto"/>
        <w:left w:val="none" w:sz="0" w:space="0" w:color="auto"/>
        <w:bottom w:val="none" w:sz="0" w:space="0" w:color="auto"/>
        <w:right w:val="none" w:sz="0" w:space="0" w:color="auto"/>
      </w:divBdr>
    </w:div>
    <w:div w:id="1169827313">
      <w:bodyDiv w:val="1"/>
      <w:marLeft w:val="0"/>
      <w:marRight w:val="0"/>
      <w:marTop w:val="0"/>
      <w:marBottom w:val="0"/>
      <w:divBdr>
        <w:top w:val="none" w:sz="0" w:space="0" w:color="auto"/>
        <w:left w:val="none" w:sz="0" w:space="0" w:color="auto"/>
        <w:bottom w:val="none" w:sz="0" w:space="0" w:color="auto"/>
        <w:right w:val="none" w:sz="0" w:space="0" w:color="auto"/>
      </w:divBdr>
    </w:div>
    <w:div w:id="1322587681">
      <w:bodyDiv w:val="1"/>
      <w:marLeft w:val="0"/>
      <w:marRight w:val="0"/>
      <w:marTop w:val="0"/>
      <w:marBottom w:val="0"/>
      <w:divBdr>
        <w:top w:val="none" w:sz="0" w:space="0" w:color="auto"/>
        <w:left w:val="none" w:sz="0" w:space="0" w:color="auto"/>
        <w:bottom w:val="none" w:sz="0" w:space="0" w:color="auto"/>
        <w:right w:val="none" w:sz="0" w:space="0" w:color="auto"/>
      </w:divBdr>
    </w:div>
    <w:div w:id="1527602228">
      <w:bodyDiv w:val="1"/>
      <w:marLeft w:val="0"/>
      <w:marRight w:val="0"/>
      <w:marTop w:val="0"/>
      <w:marBottom w:val="0"/>
      <w:divBdr>
        <w:top w:val="none" w:sz="0" w:space="0" w:color="auto"/>
        <w:left w:val="none" w:sz="0" w:space="0" w:color="auto"/>
        <w:bottom w:val="none" w:sz="0" w:space="0" w:color="auto"/>
        <w:right w:val="none" w:sz="0" w:space="0" w:color="auto"/>
      </w:divBdr>
    </w:div>
    <w:div w:id="1569220758">
      <w:bodyDiv w:val="1"/>
      <w:marLeft w:val="0"/>
      <w:marRight w:val="0"/>
      <w:marTop w:val="0"/>
      <w:marBottom w:val="0"/>
      <w:divBdr>
        <w:top w:val="none" w:sz="0" w:space="0" w:color="auto"/>
        <w:left w:val="none" w:sz="0" w:space="0" w:color="auto"/>
        <w:bottom w:val="none" w:sz="0" w:space="0" w:color="auto"/>
        <w:right w:val="none" w:sz="0" w:space="0" w:color="auto"/>
      </w:divBdr>
    </w:div>
    <w:div w:id="1612123936">
      <w:bodyDiv w:val="1"/>
      <w:marLeft w:val="0"/>
      <w:marRight w:val="0"/>
      <w:marTop w:val="0"/>
      <w:marBottom w:val="0"/>
      <w:divBdr>
        <w:top w:val="none" w:sz="0" w:space="0" w:color="auto"/>
        <w:left w:val="none" w:sz="0" w:space="0" w:color="auto"/>
        <w:bottom w:val="none" w:sz="0" w:space="0" w:color="auto"/>
        <w:right w:val="none" w:sz="0" w:space="0" w:color="auto"/>
      </w:divBdr>
    </w:div>
    <w:div w:id="1738285215">
      <w:bodyDiv w:val="1"/>
      <w:marLeft w:val="0"/>
      <w:marRight w:val="0"/>
      <w:marTop w:val="0"/>
      <w:marBottom w:val="0"/>
      <w:divBdr>
        <w:top w:val="none" w:sz="0" w:space="0" w:color="auto"/>
        <w:left w:val="none" w:sz="0" w:space="0" w:color="auto"/>
        <w:bottom w:val="none" w:sz="0" w:space="0" w:color="auto"/>
        <w:right w:val="none" w:sz="0" w:space="0" w:color="auto"/>
      </w:divBdr>
    </w:div>
    <w:div w:id="2095852768">
      <w:bodyDiv w:val="1"/>
      <w:marLeft w:val="0"/>
      <w:marRight w:val="0"/>
      <w:marTop w:val="0"/>
      <w:marBottom w:val="0"/>
      <w:divBdr>
        <w:top w:val="none" w:sz="0" w:space="0" w:color="auto"/>
        <w:left w:val="none" w:sz="0" w:space="0" w:color="auto"/>
        <w:bottom w:val="none" w:sz="0" w:space="0" w:color="auto"/>
        <w:right w:val="none" w:sz="0" w:space="0" w:color="auto"/>
      </w:divBdr>
    </w:div>
    <w:div w:id="21233046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argentina.gob.ar/justicia/Publicaciones-CIDH" TargetMode="External"/><Relationship Id="rId1" Type="http://schemas.openxmlformats.org/officeDocument/2006/relationships/hyperlink" Target="https://www.corteidh.or.cr/docs/casos/articulos/seriec_408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1B227-EA09-4A79-B41E-063ADE309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1931</Words>
  <Characters>10621</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dcterms:created xsi:type="dcterms:W3CDTF">2023-01-03T18:30:00Z</dcterms:created>
  <dcterms:modified xsi:type="dcterms:W3CDTF">2023-01-03T18:30:00Z</dcterms:modified>
</cp:coreProperties>
</file>