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5D2C5" w14:textId="0D354229" w:rsidR="008F08B1" w:rsidRPr="008B0691" w:rsidRDefault="008F08B1" w:rsidP="008B6F0B">
      <w:pPr>
        <w:tabs>
          <w:tab w:val="left" w:pos="709"/>
        </w:tabs>
        <w:spacing w:before="240" w:after="120"/>
        <w:jc w:val="center"/>
        <w:rPr>
          <w:rFonts w:ascii="Verdana" w:hAnsi="Verdana"/>
          <w:b/>
          <w:sz w:val="20"/>
          <w:szCs w:val="20"/>
        </w:rPr>
      </w:pPr>
      <w:r w:rsidRPr="008B0691">
        <w:rPr>
          <w:rFonts w:ascii="Verdana" w:hAnsi="Verdana"/>
          <w:b/>
          <w:sz w:val="20"/>
          <w:szCs w:val="20"/>
        </w:rPr>
        <w:t xml:space="preserve">VOTO </w:t>
      </w:r>
      <w:r w:rsidR="001A5132">
        <w:rPr>
          <w:rFonts w:ascii="Verdana" w:hAnsi="Verdana"/>
          <w:b/>
          <w:sz w:val="20"/>
          <w:szCs w:val="20"/>
        </w:rPr>
        <w:t>PARCIALMENTE DISIDENTE</w:t>
      </w:r>
      <w:r w:rsidR="001A5132" w:rsidRPr="008B0691">
        <w:rPr>
          <w:rFonts w:ascii="Verdana" w:hAnsi="Verdana"/>
          <w:b/>
          <w:sz w:val="20"/>
          <w:szCs w:val="20"/>
        </w:rPr>
        <w:t xml:space="preserve"> </w:t>
      </w:r>
      <w:r w:rsidRPr="008B0691">
        <w:rPr>
          <w:rFonts w:ascii="Verdana" w:hAnsi="Verdana"/>
          <w:b/>
          <w:sz w:val="20"/>
          <w:szCs w:val="20"/>
        </w:rPr>
        <w:t xml:space="preserve">DEL </w:t>
      </w:r>
    </w:p>
    <w:p w14:paraId="55F37C73" w14:textId="77777777" w:rsidR="008F08B1" w:rsidRPr="008B0691" w:rsidRDefault="008F08B1" w:rsidP="008B6F0B">
      <w:pPr>
        <w:tabs>
          <w:tab w:val="left" w:pos="709"/>
        </w:tabs>
        <w:spacing w:before="240" w:after="120"/>
        <w:jc w:val="center"/>
        <w:rPr>
          <w:rFonts w:ascii="Verdana" w:hAnsi="Verdana"/>
          <w:b/>
          <w:sz w:val="20"/>
          <w:szCs w:val="20"/>
        </w:rPr>
      </w:pPr>
      <w:r w:rsidRPr="008B0691">
        <w:rPr>
          <w:rFonts w:ascii="Verdana" w:hAnsi="Verdana"/>
          <w:b/>
          <w:sz w:val="20"/>
          <w:szCs w:val="20"/>
        </w:rPr>
        <w:t>JUEZ HUMBERTO ANTONIO SIERRA PORTO</w:t>
      </w:r>
    </w:p>
    <w:p w14:paraId="78FA1A0C" w14:textId="77777777" w:rsidR="008F08B1" w:rsidRPr="008B0691" w:rsidRDefault="008F08B1" w:rsidP="008B6F0B">
      <w:pPr>
        <w:tabs>
          <w:tab w:val="left" w:pos="709"/>
        </w:tabs>
        <w:spacing w:before="240" w:after="120"/>
        <w:jc w:val="center"/>
        <w:rPr>
          <w:rFonts w:ascii="Verdana" w:hAnsi="Verdana"/>
          <w:b/>
          <w:sz w:val="20"/>
          <w:szCs w:val="20"/>
        </w:rPr>
      </w:pPr>
    </w:p>
    <w:p w14:paraId="09D6D834" w14:textId="30E9CA25" w:rsidR="001C5880" w:rsidRPr="001C5880" w:rsidRDefault="00827381" w:rsidP="008B6F0B">
      <w:pPr>
        <w:spacing w:before="240" w:after="120"/>
        <w:jc w:val="center"/>
        <w:rPr>
          <w:rFonts w:ascii="Verdana" w:eastAsia="Times New Roman" w:hAnsi="Verdana" w:cs="Times New Roman"/>
          <w:b/>
          <w:bCs/>
          <w:sz w:val="20"/>
          <w:szCs w:val="20"/>
          <w:lang w:val="es-ES" w:eastAsia="es-ES_tradnl"/>
        </w:rPr>
      </w:pPr>
      <w:r w:rsidRPr="00827381">
        <w:rPr>
          <w:rFonts w:ascii="Verdana" w:eastAsia="Times New Roman" w:hAnsi="Verdana" w:cs="Times New Roman"/>
          <w:b/>
          <w:bCs/>
          <w:sz w:val="20"/>
          <w:szCs w:val="20"/>
          <w:lang w:val="es-ES" w:eastAsia="es-ES_tradnl"/>
        </w:rPr>
        <w:t>CASO MINA CUERO VS. ECUADOR</w:t>
      </w:r>
    </w:p>
    <w:p w14:paraId="7DD24A03" w14:textId="57FC52E7" w:rsidR="001C5880" w:rsidRPr="009F7599" w:rsidRDefault="009F7599" w:rsidP="008B6F0B">
      <w:pPr>
        <w:spacing w:before="240" w:after="120"/>
        <w:jc w:val="center"/>
        <w:rPr>
          <w:rFonts w:ascii="Verdana" w:eastAsia="Times New Roman" w:hAnsi="Verdana" w:cs="Times New Roman"/>
          <w:b/>
          <w:bCs/>
          <w:sz w:val="20"/>
          <w:szCs w:val="20"/>
          <w:lang w:eastAsia="es-ES_tradnl"/>
        </w:rPr>
      </w:pPr>
      <w:r w:rsidRPr="009F7599">
        <w:rPr>
          <w:rFonts w:ascii="Verdana" w:eastAsia="Times New Roman" w:hAnsi="Verdana" w:cs="Times New Roman"/>
          <w:b/>
          <w:bCs/>
          <w:sz w:val="20"/>
          <w:szCs w:val="20"/>
          <w:lang w:val="es-ES" w:eastAsia="es-ES_tradnl"/>
        </w:rPr>
        <w:t xml:space="preserve">SENTENCIA DE </w:t>
      </w:r>
      <w:r w:rsidR="00AE61D4">
        <w:rPr>
          <w:rFonts w:ascii="Verdana" w:eastAsia="Times New Roman" w:hAnsi="Verdana" w:cs="Times New Roman"/>
          <w:b/>
          <w:bCs/>
          <w:sz w:val="20"/>
          <w:szCs w:val="20"/>
          <w:lang w:val="es-ES" w:eastAsia="es-ES_tradnl"/>
        </w:rPr>
        <w:t>7</w:t>
      </w:r>
      <w:r w:rsidRPr="009F7599">
        <w:rPr>
          <w:rFonts w:ascii="Verdana" w:eastAsia="Times New Roman" w:hAnsi="Verdana" w:cs="Times New Roman"/>
          <w:b/>
          <w:bCs/>
          <w:sz w:val="20"/>
          <w:szCs w:val="20"/>
          <w:lang w:val="es-ES" w:eastAsia="es-ES_tradnl"/>
        </w:rPr>
        <w:t xml:space="preserve"> DE </w:t>
      </w:r>
      <w:r w:rsidR="00AE61D4">
        <w:rPr>
          <w:rFonts w:ascii="Verdana" w:eastAsia="Times New Roman" w:hAnsi="Verdana" w:cs="Times New Roman"/>
          <w:b/>
          <w:bCs/>
          <w:sz w:val="20"/>
          <w:szCs w:val="20"/>
          <w:lang w:val="es-ES" w:eastAsia="es-ES_tradnl"/>
        </w:rPr>
        <w:t>SEPTIEMBRE</w:t>
      </w:r>
      <w:r w:rsidRPr="009F7599">
        <w:rPr>
          <w:rFonts w:ascii="Verdana" w:eastAsia="Times New Roman" w:hAnsi="Verdana" w:cs="Times New Roman"/>
          <w:b/>
          <w:bCs/>
          <w:sz w:val="20"/>
          <w:szCs w:val="20"/>
          <w:lang w:val="es-ES" w:eastAsia="es-ES_tradnl"/>
        </w:rPr>
        <w:t xml:space="preserve"> DE 2022</w:t>
      </w:r>
    </w:p>
    <w:p w14:paraId="076E512D" w14:textId="35A2ECF1" w:rsidR="001C5880" w:rsidRDefault="001C5880" w:rsidP="008B6F0B">
      <w:pPr>
        <w:spacing w:before="240" w:after="120"/>
        <w:jc w:val="center"/>
        <w:rPr>
          <w:rFonts w:ascii="Verdana" w:eastAsia="Times New Roman" w:hAnsi="Verdana" w:cs="Times New Roman"/>
          <w:b/>
          <w:bCs/>
          <w:i/>
          <w:iCs/>
          <w:sz w:val="20"/>
          <w:szCs w:val="20"/>
          <w:lang w:val="es-ES" w:eastAsia="es-ES_tradnl"/>
        </w:rPr>
      </w:pPr>
      <w:r w:rsidRPr="001C5880">
        <w:rPr>
          <w:rFonts w:ascii="Verdana" w:eastAsia="Times New Roman" w:hAnsi="Verdana" w:cs="Times New Roman"/>
          <w:b/>
          <w:bCs/>
          <w:i/>
          <w:iCs/>
          <w:sz w:val="20"/>
          <w:szCs w:val="20"/>
          <w:lang w:val="es-ES" w:eastAsia="es-ES_tradnl"/>
        </w:rPr>
        <w:t>(Excepci</w:t>
      </w:r>
      <w:r w:rsidR="009609C8">
        <w:rPr>
          <w:rFonts w:ascii="Verdana" w:eastAsia="Times New Roman" w:hAnsi="Verdana" w:cs="Times New Roman"/>
          <w:b/>
          <w:bCs/>
          <w:i/>
          <w:iCs/>
          <w:sz w:val="20"/>
          <w:szCs w:val="20"/>
          <w:lang w:val="es-ES" w:eastAsia="es-ES_tradnl"/>
        </w:rPr>
        <w:t>ó</w:t>
      </w:r>
      <w:r w:rsidRPr="001C5880">
        <w:rPr>
          <w:rFonts w:ascii="Verdana" w:eastAsia="Times New Roman" w:hAnsi="Verdana" w:cs="Times New Roman"/>
          <w:b/>
          <w:bCs/>
          <w:i/>
          <w:iCs/>
          <w:sz w:val="20"/>
          <w:szCs w:val="20"/>
          <w:lang w:val="es-ES" w:eastAsia="es-ES_tradnl"/>
        </w:rPr>
        <w:t xml:space="preserve">n </w:t>
      </w:r>
      <w:r w:rsidR="009609C8">
        <w:rPr>
          <w:rFonts w:ascii="Verdana" w:eastAsia="Times New Roman" w:hAnsi="Verdana" w:cs="Times New Roman"/>
          <w:b/>
          <w:bCs/>
          <w:i/>
          <w:iCs/>
          <w:sz w:val="20"/>
          <w:szCs w:val="20"/>
          <w:lang w:val="es-ES" w:eastAsia="es-ES_tradnl"/>
        </w:rPr>
        <w:t>P</w:t>
      </w:r>
      <w:r w:rsidRPr="001C5880">
        <w:rPr>
          <w:rFonts w:ascii="Verdana" w:eastAsia="Times New Roman" w:hAnsi="Verdana" w:cs="Times New Roman"/>
          <w:b/>
          <w:bCs/>
          <w:i/>
          <w:iCs/>
          <w:sz w:val="20"/>
          <w:szCs w:val="20"/>
          <w:lang w:val="es-ES" w:eastAsia="es-ES_tradnl"/>
        </w:rPr>
        <w:t xml:space="preserve">reliminar, </w:t>
      </w:r>
      <w:r w:rsidR="009609C8">
        <w:rPr>
          <w:rFonts w:ascii="Verdana" w:eastAsia="Times New Roman" w:hAnsi="Verdana" w:cs="Times New Roman"/>
          <w:b/>
          <w:bCs/>
          <w:i/>
          <w:iCs/>
          <w:sz w:val="20"/>
          <w:szCs w:val="20"/>
          <w:lang w:val="es-ES" w:eastAsia="es-ES_tradnl"/>
        </w:rPr>
        <w:t>F</w:t>
      </w:r>
      <w:r w:rsidRPr="001C5880">
        <w:rPr>
          <w:rFonts w:ascii="Verdana" w:eastAsia="Times New Roman" w:hAnsi="Verdana" w:cs="Times New Roman"/>
          <w:b/>
          <w:bCs/>
          <w:i/>
          <w:iCs/>
          <w:sz w:val="20"/>
          <w:szCs w:val="20"/>
          <w:lang w:val="es-ES" w:eastAsia="es-ES_tradnl"/>
        </w:rPr>
        <w:t>ondo</w:t>
      </w:r>
      <w:r w:rsidR="009609C8">
        <w:rPr>
          <w:rFonts w:ascii="Verdana" w:eastAsia="Times New Roman" w:hAnsi="Verdana" w:cs="Times New Roman"/>
          <w:b/>
          <w:bCs/>
          <w:i/>
          <w:iCs/>
          <w:sz w:val="20"/>
          <w:szCs w:val="20"/>
          <w:lang w:val="es-ES" w:eastAsia="es-ES_tradnl"/>
        </w:rPr>
        <w:t>, R</w:t>
      </w:r>
      <w:r w:rsidRPr="001C5880">
        <w:rPr>
          <w:rFonts w:ascii="Verdana" w:eastAsia="Times New Roman" w:hAnsi="Verdana" w:cs="Times New Roman"/>
          <w:b/>
          <w:bCs/>
          <w:i/>
          <w:iCs/>
          <w:sz w:val="20"/>
          <w:szCs w:val="20"/>
          <w:lang w:val="es-ES" w:eastAsia="es-ES_tradnl"/>
        </w:rPr>
        <w:t>eparaciones</w:t>
      </w:r>
      <w:r w:rsidR="009609C8">
        <w:rPr>
          <w:rFonts w:ascii="Verdana" w:eastAsia="Times New Roman" w:hAnsi="Verdana" w:cs="Times New Roman"/>
          <w:b/>
          <w:bCs/>
          <w:i/>
          <w:iCs/>
          <w:sz w:val="20"/>
          <w:szCs w:val="20"/>
          <w:lang w:val="es-ES" w:eastAsia="es-ES_tradnl"/>
        </w:rPr>
        <w:t xml:space="preserve"> y Costas</w:t>
      </w:r>
      <w:r w:rsidRPr="001C5880">
        <w:rPr>
          <w:rFonts w:ascii="Verdana" w:eastAsia="Times New Roman" w:hAnsi="Verdana" w:cs="Times New Roman"/>
          <w:b/>
          <w:bCs/>
          <w:i/>
          <w:iCs/>
          <w:sz w:val="20"/>
          <w:szCs w:val="20"/>
          <w:lang w:val="es-ES" w:eastAsia="es-ES_tradnl"/>
        </w:rPr>
        <w:t>)</w:t>
      </w:r>
    </w:p>
    <w:p w14:paraId="3D88CD33" w14:textId="77777777" w:rsidR="009F7599" w:rsidRPr="001C5880" w:rsidRDefault="009F7599" w:rsidP="008B6F0B">
      <w:pPr>
        <w:spacing w:before="240" w:after="120"/>
        <w:jc w:val="center"/>
        <w:rPr>
          <w:rFonts w:ascii="Verdana" w:eastAsia="Times New Roman" w:hAnsi="Verdana" w:cs="Times New Roman"/>
          <w:b/>
          <w:bCs/>
          <w:i/>
          <w:iCs/>
          <w:sz w:val="20"/>
          <w:szCs w:val="20"/>
          <w:lang w:val="es-ES" w:eastAsia="es-ES_tradnl"/>
        </w:rPr>
      </w:pPr>
    </w:p>
    <w:p w14:paraId="0FE45FBF" w14:textId="77777777" w:rsidR="00AC4481" w:rsidRPr="00AC4481" w:rsidRDefault="00DA53BC" w:rsidP="008B6F0B">
      <w:pPr>
        <w:pStyle w:val="Prrafodelista"/>
        <w:numPr>
          <w:ilvl w:val="0"/>
          <w:numId w:val="2"/>
        </w:numPr>
        <w:autoSpaceDE w:val="0"/>
        <w:autoSpaceDN w:val="0"/>
        <w:adjustRightInd w:val="0"/>
        <w:spacing w:before="240" w:after="120" w:line="240" w:lineRule="auto"/>
        <w:ind w:left="0" w:firstLine="0"/>
        <w:contextualSpacing w:val="0"/>
        <w:jc w:val="both"/>
        <w:rPr>
          <w:rFonts w:ascii="Verdana" w:hAnsi="Verdana"/>
          <w:sz w:val="20"/>
          <w:szCs w:val="20"/>
          <w:lang w:val="es-CR"/>
        </w:rPr>
      </w:pPr>
      <w:r w:rsidRPr="008B0691">
        <w:rPr>
          <w:rFonts w:ascii="Verdana" w:hAnsi="Verdana" w:cs="Times New Roman"/>
          <w:sz w:val="20"/>
          <w:szCs w:val="20"/>
          <w:lang w:val="es-CR"/>
        </w:rPr>
        <w:t>Con</w:t>
      </w:r>
      <w:r w:rsidRPr="008B0691">
        <w:rPr>
          <w:rFonts w:ascii="Verdana" w:hAnsi="Verdana"/>
          <w:sz w:val="20"/>
          <w:szCs w:val="20"/>
        </w:rPr>
        <w:t xml:space="preserve"> el acostumbrado respeto por las decisiones mayoritarias de la Corte Interamericana de Derechos Humanos (en adelante la Corte o el Tribunal), </w:t>
      </w:r>
      <w:r w:rsidR="0051508E" w:rsidRPr="008B0691">
        <w:rPr>
          <w:rFonts w:ascii="Verdana" w:hAnsi="Verdana"/>
          <w:sz w:val="20"/>
          <w:szCs w:val="20"/>
        </w:rPr>
        <w:t xml:space="preserve">el presente voto tiene por objeto explicar mi </w:t>
      </w:r>
      <w:r w:rsidR="00D66692">
        <w:rPr>
          <w:rFonts w:ascii="Verdana" w:hAnsi="Verdana"/>
          <w:sz w:val="20"/>
          <w:szCs w:val="20"/>
        </w:rPr>
        <w:t>disidencia</w:t>
      </w:r>
      <w:r w:rsidR="00CC6B60" w:rsidRPr="008B0691">
        <w:rPr>
          <w:rFonts w:ascii="Verdana" w:hAnsi="Verdana"/>
          <w:sz w:val="20"/>
          <w:szCs w:val="20"/>
        </w:rPr>
        <w:t xml:space="preserve"> </w:t>
      </w:r>
      <w:r w:rsidR="0051508E" w:rsidRPr="008B0691">
        <w:rPr>
          <w:rFonts w:ascii="Verdana" w:hAnsi="Verdana"/>
          <w:sz w:val="20"/>
          <w:szCs w:val="20"/>
        </w:rPr>
        <w:t>frente al punto resolutivo</w:t>
      </w:r>
      <w:r w:rsidR="007B29B7" w:rsidRPr="008B0691">
        <w:rPr>
          <w:rFonts w:ascii="Verdana" w:hAnsi="Verdana"/>
          <w:sz w:val="20"/>
          <w:szCs w:val="20"/>
        </w:rPr>
        <w:t xml:space="preserve"> </w:t>
      </w:r>
      <w:r w:rsidR="0047289D" w:rsidRPr="008B0691">
        <w:rPr>
          <w:rFonts w:ascii="Verdana" w:hAnsi="Verdana"/>
          <w:sz w:val="20"/>
          <w:szCs w:val="20"/>
        </w:rPr>
        <w:t>5</w:t>
      </w:r>
      <w:r w:rsidR="0051508E" w:rsidRPr="008B0691">
        <w:rPr>
          <w:rFonts w:ascii="Verdana" w:hAnsi="Verdana"/>
          <w:sz w:val="20"/>
          <w:szCs w:val="20"/>
        </w:rPr>
        <w:t xml:space="preserve"> en el que se declaró la responsabilidad internacional del Estado de </w:t>
      </w:r>
      <w:r w:rsidR="00BD1F8E">
        <w:rPr>
          <w:rFonts w:ascii="Verdana" w:hAnsi="Verdana"/>
          <w:sz w:val="20"/>
          <w:szCs w:val="20"/>
        </w:rPr>
        <w:t>Ecuador</w:t>
      </w:r>
      <w:r w:rsidR="0051508E" w:rsidRPr="008B0691">
        <w:rPr>
          <w:rFonts w:ascii="Verdana" w:hAnsi="Verdana"/>
          <w:sz w:val="20"/>
          <w:szCs w:val="20"/>
        </w:rPr>
        <w:t xml:space="preserve"> (en adelante “el Estado” o </w:t>
      </w:r>
      <w:r w:rsidR="00FD3442">
        <w:rPr>
          <w:rFonts w:ascii="Verdana" w:hAnsi="Verdana"/>
          <w:sz w:val="20"/>
          <w:szCs w:val="20"/>
        </w:rPr>
        <w:t>Ecuador</w:t>
      </w:r>
      <w:r w:rsidR="0051508E" w:rsidRPr="008B0691">
        <w:rPr>
          <w:rFonts w:ascii="Verdana" w:hAnsi="Verdana"/>
          <w:sz w:val="20"/>
          <w:szCs w:val="20"/>
        </w:rPr>
        <w:t>) por la violación de</w:t>
      </w:r>
      <w:r w:rsidR="00FD3442">
        <w:rPr>
          <w:rFonts w:ascii="Verdana" w:hAnsi="Verdana"/>
          <w:sz w:val="20"/>
          <w:szCs w:val="20"/>
        </w:rPr>
        <w:t xml:space="preserve">l </w:t>
      </w:r>
      <w:r w:rsidR="0051508E" w:rsidRPr="008B0691">
        <w:rPr>
          <w:rFonts w:ascii="Verdana" w:hAnsi="Verdana"/>
          <w:sz w:val="20"/>
          <w:szCs w:val="20"/>
        </w:rPr>
        <w:t>derecho a</w:t>
      </w:r>
      <w:r w:rsidR="00215609" w:rsidRPr="008B0691">
        <w:rPr>
          <w:rFonts w:ascii="Verdana" w:hAnsi="Verdana"/>
          <w:sz w:val="20"/>
          <w:szCs w:val="20"/>
        </w:rPr>
        <w:t>l trabajo</w:t>
      </w:r>
      <w:r w:rsidR="00C426EA" w:rsidRPr="008B0691">
        <w:rPr>
          <w:rFonts w:ascii="Verdana" w:hAnsi="Verdana"/>
          <w:sz w:val="20"/>
          <w:szCs w:val="20"/>
        </w:rPr>
        <w:t>, en perjuicio de</w:t>
      </w:r>
      <w:r w:rsidR="00FD3442">
        <w:rPr>
          <w:rFonts w:ascii="Verdana" w:hAnsi="Verdana"/>
          <w:sz w:val="20"/>
          <w:szCs w:val="20"/>
        </w:rPr>
        <w:t xml:space="preserve">l señor </w:t>
      </w:r>
      <w:r w:rsidR="00F36F2E" w:rsidRPr="00F36F2E">
        <w:rPr>
          <w:rFonts w:ascii="Verdana" w:hAnsi="Verdana"/>
          <w:sz w:val="20"/>
          <w:szCs w:val="20"/>
        </w:rPr>
        <w:t>Víctor Henrry Mina Cuero</w:t>
      </w:r>
      <w:r w:rsidR="0051508E" w:rsidRPr="008B0691">
        <w:rPr>
          <w:rFonts w:ascii="Verdana" w:hAnsi="Verdana"/>
          <w:sz w:val="20"/>
          <w:szCs w:val="20"/>
        </w:rPr>
        <w:t xml:space="preserve">. </w:t>
      </w:r>
    </w:p>
    <w:p w14:paraId="1B8042DF" w14:textId="662F8A15" w:rsidR="009A4492" w:rsidRPr="008B3B98" w:rsidRDefault="008B3B98" w:rsidP="008B6F0B">
      <w:pPr>
        <w:pStyle w:val="Prrafodelista"/>
        <w:numPr>
          <w:ilvl w:val="0"/>
          <w:numId w:val="2"/>
        </w:numPr>
        <w:autoSpaceDE w:val="0"/>
        <w:autoSpaceDN w:val="0"/>
        <w:adjustRightInd w:val="0"/>
        <w:spacing w:before="240" w:after="120" w:line="240" w:lineRule="auto"/>
        <w:ind w:left="0" w:firstLine="0"/>
        <w:contextualSpacing w:val="0"/>
        <w:jc w:val="both"/>
        <w:rPr>
          <w:rFonts w:ascii="Verdana" w:hAnsi="Verdana"/>
          <w:sz w:val="20"/>
          <w:szCs w:val="20"/>
          <w:lang w:val="es-CR"/>
        </w:rPr>
      </w:pPr>
      <w:r w:rsidRPr="000A2A89">
        <w:rPr>
          <w:rFonts w:ascii="Verdana" w:hAnsi="Verdana"/>
          <w:sz w:val="20"/>
          <w:szCs w:val="20"/>
          <w:lang w:val="es-CR"/>
        </w:rPr>
        <w:t xml:space="preserve">Este voto complementa la posición ya expresada en mis votos parcialmente disidentes a los </w:t>
      </w:r>
      <w:r w:rsidRPr="008B6F0B">
        <w:rPr>
          <w:rFonts w:ascii="Verdana" w:hAnsi="Verdana"/>
          <w:i/>
          <w:iCs/>
          <w:sz w:val="20"/>
          <w:szCs w:val="20"/>
          <w:lang w:val="es-CR"/>
        </w:rPr>
        <w:t>casos Lagos del Campo Vs. Perú</w:t>
      </w:r>
      <w:r w:rsidRPr="008B6F0B">
        <w:rPr>
          <w:rStyle w:val="Refdenotaalpie"/>
          <w:rFonts w:ascii="Verdana" w:hAnsi="Verdana"/>
          <w:i/>
          <w:iCs/>
          <w:sz w:val="20"/>
          <w:szCs w:val="20"/>
          <w:lang w:val="es-CR"/>
        </w:rPr>
        <w:footnoteReference w:id="1"/>
      </w:r>
      <w:r w:rsidRPr="008B6F0B">
        <w:rPr>
          <w:rFonts w:ascii="Verdana" w:hAnsi="Verdana"/>
          <w:i/>
          <w:iCs/>
          <w:sz w:val="20"/>
          <w:szCs w:val="20"/>
          <w:lang w:val="es-CR"/>
        </w:rPr>
        <w:t>, Trabajadores Cesados de Petroperú y otros Vs. Perú</w:t>
      </w:r>
      <w:r w:rsidRPr="008B6F0B">
        <w:rPr>
          <w:rStyle w:val="Refdenotaalpie"/>
          <w:rFonts w:ascii="Verdana" w:hAnsi="Verdana"/>
          <w:i/>
          <w:iCs/>
          <w:sz w:val="20"/>
          <w:szCs w:val="20"/>
          <w:lang w:val="es-CR"/>
        </w:rPr>
        <w:footnoteReference w:id="2"/>
      </w:r>
      <w:r w:rsidRPr="008B6F0B">
        <w:rPr>
          <w:rFonts w:ascii="Verdana" w:hAnsi="Verdana"/>
          <w:i/>
          <w:iCs/>
          <w:sz w:val="20"/>
          <w:szCs w:val="20"/>
          <w:lang w:val="es-CR"/>
        </w:rPr>
        <w:t>, San Miguel Sosa y otras Vs. Venezuela</w:t>
      </w:r>
      <w:r w:rsidRPr="008B6F0B">
        <w:rPr>
          <w:rStyle w:val="Refdenotaalpie"/>
          <w:rFonts w:ascii="Verdana" w:hAnsi="Verdana"/>
          <w:i/>
          <w:iCs/>
          <w:sz w:val="20"/>
          <w:szCs w:val="20"/>
          <w:lang w:val="es-CR"/>
        </w:rPr>
        <w:footnoteReference w:id="3"/>
      </w:r>
      <w:r w:rsidRPr="008B6F0B">
        <w:rPr>
          <w:rFonts w:ascii="Verdana" w:hAnsi="Verdana"/>
          <w:i/>
          <w:iCs/>
          <w:sz w:val="20"/>
          <w:szCs w:val="20"/>
          <w:lang w:val="es-CR"/>
        </w:rPr>
        <w:t>, Muelle Flores Vs. Perú</w:t>
      </w:r>
      <w:r w:rsidRPr="008B6F0B">
        <w:rPr>
          <w:rStyle w:val="Refdenotaalpie"/>
          <w:rFonts w:ascii="Verdana" w:hAnsi="Verdana"/>
          <w:i/>
          <w:iCs/>
          <w:sz w:val="20"/>
          <w:szCs w:val="20"/>
          <w:lang w:val="es-CR"/>
        </w:rPr>
        <w:footnoteReference w:id="4"/>
      </w:r>
      <w:r w:rsidRPr="008B6F0B">
        <w:rPr>
          <w:rFonts w:ascii="Verdana" w:hAnsi="Verdana"/>
          <w:i/>
          <w:iCs/>
          <w:sz w:val="20"/>
          <w:szCs w:val="20"/>
          <w:lang w:val="es-CR"/>
        </w:rPr>
        <w:t>, Hernández Vs. Argentina</w:t>
      </w:r>
      <w:r w:rsidRPr="008B6F0B">
        <w:rPr>
          <w:rStyle w:val="Refdenotaalpie"/>
          <w:rFonts w:ascii="Verdana" w:hAnsi="Verdana"/>
          <w:i/>
          <w:iCs/>
          <w:sz w:val="20"/>
          <w:szCs w:val="20"/>
          <w:lang w:val="es-CR"/>
        </w:rPr>
        <w:footnoteReference w:id="5"/>
      </w:r>
      <w:r w:rsidRPr="008B6F0B">
        <w:rPr>
          <w:rFonts w:ascii="Verdana" w:hAnsi="Verdana"/>
          <w:i/>
          <w:iCs/>
          <w:sz w:val="20"/>
          <w:szCs w:val="20"/>
          <w:lang w:val="es-CR"/>
        </w:rPr>
        <w:t>, ANCEJUB-SUNAT Vs. Perú</w:t>
      </w:r>
      <w:r w:rsidRPr="008B6F0B">
        <w:rPr>
          <w:rStyle w:val="Refdenotaalpie"/>
          <w:rFonts w:ascii="Verdana" w:hAnsi="Verdana"/>
          <w:i/>
          <w:iCs/>
          <w:sz w:val="20"/>
          <w:szCs w:val="20"/>
          <w:lang w:val="es-CR"/>
        </w:rPr>
        <w:footnoteReference w:id="6"/>
      </w:r>
      <w:r w:rsidRPr="008B6F0B">
        <w:rPr>
          <w:rFonts w:ascii="Verdana" w:hAnsi="Verdana"/>
          <w:i/>
          <w:iCs/>
          <w:sz w:val="20"/>
          <w:szCs w:val="20"/>
          <w:lang w:val="es-CR"/>
        </w:rPr>
        <w:t xml:space="preserve">, Comunidades Indígenas Miembros de la Asociación </w:t>
      </w:r>
      <w:proofErr w:type="spellStart"/>
      <w:r w:rsidRPr="008B6F0B">
        <w:rPr>
          <w:rFonts w:ascii="Verdana" w:hAnsi="Verdana"/>
          <w:i/>
          <w:iCs/>
          <w:sz w:val="20"/>
          <w:szCs w:val="20"/>
          <w:lang w:val="es-CR"/>
        </w:rPr>
        <w:t>Lhaka</w:t>
      </w:r>
      <w:proofErr w:type="spellEnd"/>
      <w:r w:rsidRPr="008B6F0B">
        <w:rPr>
          <w:rFonts w:ascii="Verdana" w:hAnsi="Verdana"/>
          <w:i/>
          <w:iCs/>
          <w:sz w:val="20"/>
          <w:szCs w:val="20"/>
          <w:lang w:val="es-CR"/>
        </w:rPr>
        <w:t xml:space="preserve"> </w:t>
      </w:r>
      <w:proofErr w:type="spellStart"/>
      <w:r w:rsidRPr="008B6F0B">
        <w:rPr>
          <w:rFonts w:ascii="Verdana" w:hAnsi="Verdana"/>
          <w:i/>
          <w:iCs/>
          <w:sz w:val="20"/>
          <w:szCs w:val="20"/>
          <w:lang w:val="es-CR"/>
        </w:rPr>
        <w:t>Honhat</w:t>
      </w:r>
      <w:proofErr w:type="spellEnd"/>
      <w:r w:rsidRPr="008B6F0B">
        <w:rPr>
          <w:rFonts w:ascii="Verdana" w:hAnsi="Verdana"/>
          <w:i/>
          <w:iCs/>
          <w:sz w:val="20"/>
          <w:szCs w:val="20"/>
          <w:lang w:val="es-CR"/>
        </w:rPr>
        <w:t xml:space="preserve"> (Nuestra Tierra) Vs. Argentina</w:t>
      </w:r>
      <w:r w:rsidRPr="008B6F0B">
        <w:rPr>
          <w:rStyle w:val="Refdenotaalpie"/>
          <w:rFonts w:ascii="Verdana" w:hAnsi="Verdana"/>
          <w:i/>
          <w:iCs/>
          <w:sz w:val="20"/>
          <w:szCs w:val="20"/>
          <w:lang w:val="es-CR"/>
        </w:rPr>
        <w:footnoteReference w:id="7"/>
      </w:r>
      <w:r w:rsidRPr="008B6F0B">
        <w:rPr>
          <w:rFonts w:ascii="Verdana" w:hAnsi="Verdana"/>
          <w:i/>
          <w:iCs/>
          <w:sz w:val="20"/>
          <w:szCs w:val="20"/>
          <w:lang w:val="es-CR"/>
        </w:rPr>
        <w:t>, Empleados de la Fábrica de Fuegos de Santo Antônio de Jesus Vs. Brasil</w:t>
      </w:r>
      <w:r w:rsidRPr="008B6F0B">
        <w:rPr>
          <w:rStyle w:val="Refdenotaalpie"/>
          <w:rFonts w:ascii="Verdana" w:hAnsi="Verdana"/>
          <w:i/>
          <w:iCs/>
          <w:sz w:val="20"/>
          <w:szCs w:val="20"/>
          <w:lang w:val="es-CR"/>
        </w:rPr>
        <w:footnoteReference w:id="8"/>
      </w:r>
      <w:r w:rsidRPr="008B6F0B">
        <w:rPr>
          <w:rFonts w:ascii="Verdana" w:hAnsi="Verdana"/>
          <w:i/>
          <w:iCs/>
          <w:sz w:val="20"/>
          <w:szCs w:val="20"/>
        </w:rPr>
        <w:t>, Casa Nina Vs. Perú</w:t>
      </w:r>
      <w:r w:rsidRPr="008B6F0B">
        <w:rPr>
          <w:rStyle w:val="Refdenotaalpie"/>
          <w:rFonts w:ascii="Verdana" w:hAnsi="Verdana"/>
          <w:i/>
          <w:iCs/>
          <w:sz w:val="20"/>
          <w:szCs w:val="20"/>
        </w:rPr>
        <w:footnoteReference w:id="9"/>
      </w:r>
      <w:r w:rsidRPr="008B6F0B">
        <w:rPr>
          <w:rFonts w:ascii="Verdana" w:hAnsi="Verdana"/>
          <w:i/>
          <w:iCs/>
          <w:sz w:val="20"/>
          <w:szCs w:val="20"/>
        </w:rPr>
        <w:t xml:space="preserve">, </w:t>
      </w:r>
      <w:proofErr w:type="spellStart"/>
      <w:r w:rsidRPr="008B6F0B">
        <w:rPr>
          <w:rFonts w:ascii="Verdana" w:hAnsi="Verdana"/>
          <w:i/>
          <w:iCs/>
          <w:sz w:val="20"/>
          <w:szCs w:val="20"/>
        </w:rPr>
        <w:t>Guachalá</w:t>
      </w:r>
      <w:proofErr w:type="spellEnd"/>
      <w:r w:rsidRPr="008B6F0B">
        <w:rPr>
          <w:rFonts w:ascii="Verdana" w:hAnsi="Verdana"/>
          <w:i/>
          <w:iCs/>
          <w:sz w:val="20"/>
          <w:szCs w:val="20"/>
        </w:rPr>
        <w:t xml:space="preserve"> </w:t>
      </w:r>
      <w:r w:rsidRPr="008B6F0B">
        <w:rPr>
          <w:rFonts w:ascii="Verdana" w:hAnsi="Verdana"/>
          <w:i/>
          <w:iCs/>
          <w:sz w:val="20"/>
          <w:szCs w:val="20"/>
        </w:rPr>
        <w:lastRenderedPageBreak/>
        <w:t>Chimbo Vs. Ecuador</w:t>
      </w:r>
      <w:r w:rsidRPr="008B6F0B">
        <w:rPr>
          <w:rStyle w:val="Refdenotaalpie"/>
          <w:rFonts w:ascii="Verdana" w:hAnsi="Verdana"/>
          <w:i/>
          <w:iCs/>
          <w:sz w:val="20"/>
          <w:szCs w:val="20"/>
        </w:rPr>
        <w:footnoteReference w:id="10"/>
      </w:r>
      <w:r w:rsidRPr="008B6F0B">
        <w:rPr>
          <w:rFonts w:ascii="Verdana" w:hAnsi="Verdana"/>
          <w:i/>
          <w:iCs/>
          <w:sz w:val="20"/>
          <w:szCs w:val="20"/>
        </w:rPr>
        <w:t>, FEMAPOR Vs. Perú</w:t>
      </w:r>
      <w:r w:rsidRPr="008B6F0B">
        <w:rPr>
          <w:rStyle w:val="Refdenotaalpie"/>
          <w:rFonts w:ascii="Verdana" w:hAnsi="Verdana"/>
          <w:i/>
          <w:iCs/>
          <w:sz w:val="20"/>
          <w:szCs w:val="20"/>
        </w:rPr>
        <w:footnoteReference w:id="11"/>
      </w:r>
      <w:r w:rsidR="002C4B8A">
        <w:rPr>
          <w:rFonts w:ascii="Verdana" w:hAnsi="Verdana"/>
          <w:sz w:val="20"/>
          <w:szCs w:val="20"/>
        </w:rPr>
        <w:t xml:space="preserve">, </w:t>
      </w:r>
      <w:r w:rsidR="002C4B8A" w:rsidRPr="008B3B98">
        <w:rPr>
          <w:rFonts w:ascii="Verdana" w:hAnsi="Verdana"/>
          <w:sz w:val="20"/>
          <w:szCs w:val="20"/>
          <w:lang w:val="es-CR"/>
        </w:rPr>
        <w:t xml:space="preserve">y </w:t>
      </w:r>
      <w:r w:rsidR="002C4B8A" w:rsidRPr="008B6F0B">
        <w:rPr>
          <w:rFonts w:ascii="Verdana" w:hAnsi="Verdana"/>
          <w:i/>
          <w:iCs/>
          <w:sz w:val="20"/>
          <w:szCs w:val="20"/>
          <w:lang w:val="es-CR"/>
        </w:rPr>
        <w:t>Guevara Díaz Vs. Costa Rica</w:t>
      </w:r>
      <w:r w:rsidR="002C4B8A" w:rsidRPr="000A2A89">
        <w:rPr>
          <w:rStyle w:val="Refdenotaalpie"/>
          <w:rFonts w:ascii="Verdana" w:hAnsi="Verdana"/>
          <w:sz w:val="20"/>
          <w:szCs w:val="20"/>
          <w:lang w:val="es-CR"/>
        </w:rPr>
        <w:footnoteReference w:id="12"/>
      </w:r>
      <w:r w:rsidRPr="000A2A89">
        <w:rPr>
          <w:rFonts w:ascii="Verdana" w:hAnsi="Verdana"/>
          <w:sz w:val="20"/>
          <w:szCs w:val="20"/>
          <w:lang w:val="es-CR"/>
        </w:rPr>
        <w:t xml:space="preserve">; así como en mis votos concurrentes de los casos </w:t>
      </w:r>
      <w:r w:rsidRPr="008B6F0B">
        <w:rPr>
          <w:rFonts w:ascii="Verdana" w:hAnsi="Verdana"/>
          <w:i/>
          <w:iCs/>
          <w:sz w:val="20"/>
          <w:szCs w:val="20"/>
          <w:lang w:val="es-CR"/>
        </w:rPr>
        <w:t xml:space="preserve">Gonzales </w:t>
      </w:r>
      <w:proofErr w:type="spellStart"/>
      <w:r w:rsidRPr="008B6F0B">
        <w:rPr>
          <w:rFonts w:ascii="Verdana" w:hAnsi="Verdana"/>
          <w:i/>
          <w:iCs/>
          <w:sz w:val="20"/>
          <w:szCs w:val="20"/>
          <w:lang w:val="es-CR"/>
        </w:rPr>
        <w:t>Lluy</w:t>
      </w:r>
      <w:proofErr w:type="spellEnd"/>
      <w:r w:rsidRPr="008B6F0B">
        <w:rPr>
          <w:rFonts w:ascii="Verdana" w:hAnsi="Verdana"/>
          <w:i/>
          <w:iCs/>
          <w:sz w:val="20"/>
          <w:szCs w:val="20"/>
          <w:lang w:val="es-CR"/>
        </w:rPr>
        <w:t xml:space="preserve"> y otros Vs. Ecuador</w:t>
      </w:r>
      <w:r w:rsidRPr="008B6F0B">
        <w:rPr>
          <w:rStyle w:val="Refdenotaalpie"/>
          <w:rFonts w:ascii="Verdana" w:hAnsi="Verdana"/>
          <w:i/>
          <w:iCs/>
          <w:sz w:val="20"/>
          <w:szCs w:val="20"/>
          <w:lang w:val="es-CR"/>
        </w:rPr>
        <w:footnoteReference w:id="13"/>
      </w:r>
      <w:r w:rsidRPr="008B6F0B">
        <w:rPr>
          <w:rFonts w:ascii="Verdana" w:hAnsi="Verdana"/>
          <w:i/>
          <w:iCs/>
          <w:sz w:val="20"/>
          <w:szCs w:val="20"/>
          <w:lang w:val="es-CR"/>
        </w:rPr>
        <w:t>, Poblete Vilches y Otros Vs. Chile</w:t>
      </w:r>
      <w:r w:rsidRPr="008B6F0B">
        <w:rPr>
          <w:rStyle w:val="Refdenotaalpie"/>
          <w:rFonts w:ascii="Verdana" w:hAnsi="Verdana"/>
          <w:i/>
          <w:iCs/>
          <w:sz w:val="20"/>
          <w:szCs w:val="20"/>
          <w:lang w:val="es-CR"/>
        </w:rPr>
        <w:footnoteReference w:id="14"/>
      </w:r>
      <w:r w:rsidRPr="008B6F0B">
        <w:rPr>
          <w:rFonts w:ascii="Verdana" w:hAnsi="Verdana"/>
          <w:i/>
          <w:iCs/>
          <w:sz w:val="20"/>
          <w:szCs w:val="20"/>
          <w:lang w:val="es-CR"/>
        </w:rPr>
        <w:t>, Cuscul Pivaral y otros Vs. Guatemala</w:t>
      </w:r>
      <w:r w:rsidRPr="008B6F0B">
        <w:rPr>
          <w:rStyle w:val="Refdenotaalpie"/>
          <w:rFonts w:ascii="Verdana" w:hAnsi="Verdana"/>
          <w:i/>
          <w:iCs/>
          <w:sz w:val="20"/>
          <w:szCs w:val="20"/>
          <w:lang w:val="es-CR"/>
        </w:rPr>
        <w:footnoteReference w:id="15"/>
      </w:r>
      <w:r w:rsidRPr="008B6F0B">
        <w:rPr>
          <w:rFonts w:ascii="Verdana" w:hAnsi="Verdana"/>
          <w:i/>
          <w:iCs/>
          <w:sz w:val="20"/>
          <w:szCs w:val="20"/>
          <w:lang w:val="es-CR"/>
        </w:rPr>
        <w:t xml:space="preserve">, </w:t>
      </w:r>
      <w:r w:rsidRPr="008B6F0B">
        <w:rPr>
          <w:rFonts w:ascii="Verdana" w:hAnsi="Verdana"/>
          <w:i/>
          <w:iCs/>
          <w:sz w:val="20"/>
          <w:szCs w:val="20"/>
        </w:rPr>
        <w:t>Buzos Miskitos Vs. Honduras</w:t>
      </w:r>
      <w:r w:rsidRPr="008B6F0B">
        <w:rPr>
          <w:rStyle w:val="Refdenotaalpie"/>
          <w:rFonts w:ascii="Verdana" w:hAnsi="Verdana"/>
          <w:i/>
          <w:iCs/>
          <w:sz w:val="20"/>
          <w:szCs w:val="20"/>
        </w:rPr>
        <w:footnoteReference w:id="16"/>
      </w:r>
      <w:r w:rsidRPr="008B6F0B">
        <w:rPr>
          <w:rFonts w:ascii="Verdana" w:hAnsi="Verdana"/>
          <w:i/>
          <w:iCs/>
          <w:sz w:val="20"/>
          <w:szCs w:val="20"/>
        </w:rPr>
        <w:t>, Vera Rojas y otros vs. Chile</w:t>
      </w:r>
      <w:r w:rsidRPr="00F759F9">
        <w:rPr>
          <w:rFonts w:ascii="Verdana" w:hAnsi="Verdana"/>
          <w:i/>
          <w:iCs/>
          <w:sz w:val="20"/>
          <w:szCs w:val="20"/>
          <w:vertAlign w:val="superscript"/>
        </w:rPr>
        <w:footnoteReference w:id="17"/>
      </w:r>
      <w:r w:rsidRPr="00F759F9">
        <w:rPr>
          <w:rFonts w:ascii="Verdana" w:hAnsi="Verdana"/>
          <w:i/>
          <w:iCs/>
          <w:sz w:val="20"/>
          <w:szCs w:val="20"/>
        </w:rPr>
        <w:t xml:space="preserve">, </w:t>
      </w:r>
      <w:r w:rsidRPr="008B6F0B">
        <w:rPr>
          <w:rFonts w:ascii="Verdana" w:hAnsi="Verdana"/>
          <w:i/>
          <w:iCs/>
          <w:sz w:val="20"/>
          <w:szCs w:val="20"/>
        </w:rPr>
        <w:t>Manuela y otros vs. El Salvador</w:t>
      </w:r>
      <w:r w:rsidRPr="00F759F9">
        <w:rPr>
          <w:rFonts w:ascii="Verdana" w:hAnsi="Verdana"/>
          <w:i/>
          <w:iCs/>
          <w:sz w:val="20"/>
          <w:szCs w:val="20"/>
          <w:vertAlign w:val="superscript"/>
        </w:rPr>
        <w:footnoteReference w:id="18"/>
      </w:r>
      <w:r w:rsidRPr="00F759F9">
        <w:rPr>
          <w:rFonts w:ascii="Verdana" w:hAnsi="Verdana"/>
          <w:i/>
          <w:iCs/>
          <w:sz w:val="20"/>
          <w:szCs w:val="20"/>
        </w:rPr>
        <w:t xml:space="preserve">, </w:t>
      </w:r>
      <w:r w:rsidRPr="008B6F0B">
        <w:rPr>
          <w:rFonts w:ascii="Verdana" w:hAnsi="Verdana"/>
          <w:i/>
          <w:iCs/>
          <w:sz w:val="20"/>
          <w:szCs w:val="20"/>
        </w:rPr>
        <w:t>Extrabajadores del Organismo Judicial Vs. Guatemala</w:t>
      </w:r>
      <w:r w:rsidRPr="00F759F9">
        <w:rPr>
          <w:rStyle w:val="Refdenotaalpie"/>
          <w:rFonts w:ascii="Verdana" w:hAnsi="Verdana"/>
          <w:i/>
          <w:iCs/>
          <w:sz w:val="20"/>
          <w:szCs w:val="20"/>
        </w:rPr>
        <w:footnoteReference w:id="19"/>
      </w:r>
      <w:r w:rsidRPr="00F759F9">
        <w:rPr>
          <w:rFonts w:ascii="Verdana" w:hAnsi="Verdana"/>
          <w:i/>
          <w:iCs/>
          <w:sz w:val="20"/>
          <w:szCs w:val="20"/>
        </w:rPr>
        <w:t xml:space="preserve">, </w:t>
      </w:r>
      <w:r w:rsidRPr="008B6F0B">
        <w:rPr>
          <w:rFonts w:ascii="Verdana" w:hAnsi="Verdana"/>
          <w:i/>
          <w:iCs/>
          <w:sz w:val="20"/>
          <w:szCs w:val="20"/>
          <w:lang w:val="es-CR"/>
        </w:rPr>
        <w:t>Palacio Urrutia Vs. Ecuador</w:t>
      </w:r>
      <w:r w:rsidRPr="008B6F0B">
        <w:rPr>
          <w:rStyle w:val="Refdenotaalpie"/>
          <w:rFonts w:ascii="Verdana" w:hAnsi="Verdana"/>
          <w:i/>
          <w:iCs/>
          <w:sz w:val="20"/>
          <w:szCs w:val="20"/>
          <w:lang w:val="es-CR"/>
        </w:rPr>
        <w:footnoteReference w:id="20"/>
      </w:r>
      <w:r w:rsidRPr="000A2A89">
        <w:rPr>
          <w:rFonts w:ascii="Verdana" w:hAnsi="Verdana"/>
          <w:sz w:val="20"/>
          <w:szCs w:val="20"/>
          <w:lang w:val="es-CR"/>
        </w:rPr>
        <w:t xml:space="preserve"> y </w:t>
      </w:r>
      <w:proofErr w:type="spellStart"/>
      <w:r w:rsidRPr="008B6F0B">
        <w:rPr>
          <w:rFonts w:ascii="Verdana" w:hAnsi="Verdana"/>
          <w:i/>
          <w:iCs/>
          <w:sz w:val="20"/>
          <w:szCs w:val="20"/>
          <w:lang w:val="es-CR"/>
        </w:rPr>
        <w:t>Pavez</w:t>
      </w:r>
      <w:proofErr w:type="spellEnd"/>
      <w:r w:rsidRPr="008B6F0B">
        <w:rPr>
          <w:rFonts w:ascii="Verdana" w:hAnsi="Verdana"/>
          <w:i/>
          <w:iCs/>
          <w:sz w:val="20"/>
          <w:szCs w:val="20"/>
          <w:lang w:val="es-CR"/>
        </w:rPr>
        <w:t xml:space="preserve"> </w:t>
      </w:r>
      <w:proofErr w:type="spellStart"/>
      <w:r w:rsidRPr="008B6F0B">
        <w:rPr>
          <w:rFonts w:ascii="Verdana" w:hAnsi="Verdana"/>
          <w:i/>
          <w:iCs/>
          <w:sz w:val="20"/>
          <w:szCs w:val="20"/>
          <w:lang w:val="es-CR"/>
        </w:rPr>
        <w:t>Pavez</w:t>
      </w:r>
      <w:proofErr w:type="spellEnd"/>
      <w:r w:rsidRPr="008B6F0B">
        <w:rPr>
          <w:rFonts w:ascii="Verdana" w:hAnsi="Verdana"/>
          <w:i/>
          <w:iCs/>
          <w:sz w:val="20"/>
          <w:szCs w:val="20"/>
          <w:lang w:val="es-CR"/>
        </w:rPr>
        <w:t xml:space="preserve"> Vs. Chile</w:t>
      </w:r>
      <w:r w:rsidRPr="008B6F0B">
        <w:rPr>
          <w:rStyle w:val="Refdenotaalpie"/>
          <w:rFonts w:ascii="Verdana" w:hAnsi="Verdana"/>
          <w:i/>
          <w:iCs/>
          <w:sz w:val="20"/>
          <w:szCs w:val="20"/>
          <w:lang w:val="es-CR"/>
        </w:rPr>
        <w:footnoteReference w:id="21"/>
      </w:r>
      <w:r w:rsidR="002C4B8A">
        <w:rPr>
          <w:rFonts w:ascii="Verdana" w:hAnsi="Verdana"/>
          <w:sz w:val="20"/>
          <w:szCs w:val="20"/>
          <w:lang w:val="es-CR"/>
        </w:rPr>
        <w:t xml:space="preserve">, </w:t>
      </w:r>
      <w:r w:rsidR="00AC4481" w:rsidRPr="008B3B98">
        <w:rPr>
          <w:rFonts w:ascii="Verdana" w:hAnsi="Verdana"/>
          <w:iCs/>
          <w:sz w:val="20"/>
          <w:szCs w:val="20"/>
        </w:rPr>
        <w:t xml:space="preserve">en relación con la justiciabilidad </w:t>
      </w:r>
      <w:r w:rsidR="00AC4481" w:rsidRPr="008B3B98">
        <w:rPr>
          <w:rFonts w:ascii="Verdana" w:hAnsi="Verdana"/>
          <w:bCs/>
          <w:iCs/>
          <w:sz w:val="20"/>
          <w:szCs w:val="20"/>
          <w:lang w:val="es-ES"/>
        </w:rPr>
        <w:t xml:space="preserve">de </w:t>
      </w:r>
      <w:r w:rsidR="00AC4481" w:rsidRPr="008B3B98">
        <w:rPr>
          <w:rFonts w:ascii="Verdana" w:hAnsi="Verdana"/>
          <w:sz w:val="20"/>
          <w:szCs w:val="20"/>
        </w:rPr>
        <w:t xml:space="preserve">los derechos económicos, sociales, culturales y ambientales (en adelante “DESCA”) </w:t>
      </w:r>
      <w:r w:rsidR="00AC4481" w:rsidRPr="008B3B98">
        <w:rPr>
          <w:rFonts w:ascii="Verdana" w:hAnsi="Verdana"/>
          <w:iCs/>
          <w:sz w:val="20"/>
          <w:szCs w:val="20"/>
        </w:rPr>
        <w:t xml:space="preserve">a través del artículo 26 de la </w:t>
      </w:r>
      <w:r w:rsidR="00AC4481" w:rsidRPr="008B3B98">
        <w:rPr>
          <w:rFonts w:ascii="Verdana" w:hAnsi="Verdana"/>
          <w:sz w:val="20"/>
          <w:szCs w:val="20"/>
        </w:rPr>
        <w:t>Convención Americana sobre Derechos Humanos (en adelante “la Convención” o “CADH)”</w:t>
      </w:r>
      <w:r w:rsidR="00AC4481" w:rsidRPr="008B3B98">
        <w:rPr>
          <w:rFonts w:ascii="Verdana" w:hAnsi="Verdana"/>
          <w:iCs/>
          <w:sz w:val="20"/>
          <w:szCs w:val="20"/>
          <w:lang w:val="es-CR"/>
        </w:rPr>
        <w:t xml:space="preserve">.  </w:t>
      </w:r>
    </w:p>
    <w:p w14:paraId="5252361A" w14:textId="4917CD10" w:rsidR="00FD0A39" w:rsidRDefault="009352C0" w:rsidP="008B6F0B">
      <w:pPr>
        <w:pStyle w:val="Prrafodelista"/>
        <w:numPr>
          <w:ilvl w:val="0"/>
          <w:numId w:val="2"/>
        </w:numPr>
        <w:autoSpaceDE w:val="0"/>
        <w:autoSpaceDN w:val="0"/>
        <w:adjustRightInd w:val="0"/>
        <w:spacing w:before="240" w:after="120" w:line="240" w:lineRule="auto"/>
        <w:ind w:left="0" w:firstLine="0"/>
        <w:contextualSpacing w:val="0"/>
        <w:jc w:val="both"/>
        <w:rPr>
          <w:rFonts w:ascii="Verdana" w:hAnsi="Verdana"/>
          <w:bCs/>
          <w:sz w:val="20"/>
          <w:szCs w:val="20"/>
        </w:rPr>
      </w:pPr>
      <w:r w:rsidRPr="00C41F65">
        <w:rPr>
          <w:rFonts w:ascii="Verdana" w:hAnsi="Verdana"/>
          <w:sz w:val="20"/>
          <w:szCs w:val="20"/>
          <w:lang w:val="es-CR"/>
        </w:rPr>
        <w:t>En previas</w:t>
      </w:r>
      <w:r w:rsidR="009D73F9">
        <w:rPr>
          <w:rFonts w:ascii="Verdana" w:hAnsi="Verdana"/>
          <w:sz w:val="20"/>
          <w:szCs w:val="20"/>
          <w:lang w:val="es-CR"/>
        </w:rPr>
        <w:t xml:space="preserve"> oportunidades</w:t>
      </w:r>
      <w:r>
        <w:rPr>
          <w:rFonts w:ascii="Verdana" w:hAnsi="Verdana"/>
          <w:sz w:val="20"/>
          <w:szCs w:val="20"/>
          <w:lang w:val="es-CR"/>
        </w:rPr>
        <w:t>,</w:t>
      </w:r>
      <w:r w:rsidRPr="00C41F65">
        <w:rPr>
          <w:rFonts w:ascii="Verdana" w:hAnsi="Verdana"/>
          <w:sz w:val="20"/>
          <w:szCs w:val="20"/>
          <w:lang w:val="es-CR"/>
        </w:rPr>
        <w:t xml:space="preserve"> he expresado las razones por las cuales considero que existen inconsistencias lógicas y jurídicas en la posición jurisprudencial asumida por la mayoría de la Corte</w:t>
      </w:r>
      <w:r>
        <w:rPr>
          <w:rFonts w:ascii="Verdana" w:hAnsi="Verdana"/>
          <w:sz w:val="20"/>
          <w:szCs w:val="20"/>
          <w:lang w:val="es-CR"/>
        </w:rPr>
        <w:t>,</w:t>
      </w:r>
      <w:r w:rsidRPr="00C41F65">
        <w:rPr>
          <w:rFonts w:ascii="Verdana" w:hAnsi="Verdana"/>
          <w:sz w:val="20"/>
          <w:szCs w:val="20"/>
          <w:lang w:val="es-CR"/>
        </w:rPr>
        <w:t xml:space="preserve"> sobre la justiciabilidad directa y autónoma de los DESC</w:t>
      </w:r>
      <w:r>
        <w:rPr>
          <w:rFonts w:ascii="Verdana" w:hAnsi="Verdana"/>
          <w:sz w:val="20"/>
          <w:szCs w:val="20"/>
          <w:lang w:val="es-CR"/>
        </w:rPr>
        <w:t>A</w:t>
      </w:r>
      <w:r w:rsidRPr="00C41F65">
        <w:rPr>
          <w:rFonts w:ascii="Verdana" w:hAnsi="Verdana"/>
          <w:sz w:val="20"/>
          <w:szCs w:val="20"/>
          <w:lang w:val="es-CR"/>
        </w:rPr>
        <w:t xml:space="preserve"> a través del artículo 26 de la Convención. Esta posición </w:t>
      </w:r>
      <w:r w:rsidRPr="00C41F65">
        <w:rPr>
          <w:rFonts w:ascii="Verdana" w:hAnsi="Verdana"/>
          <w:iCs/>
          <w:sz w:val="20"/>
          <w:szCs w:val="20"/>
          <w:lang w:val="es-CR"/>
        </w:rPr>
        <w:t>desconoce las reglas de interpretación de la Convención de Viena sobre el Derechos de los Tratados</w:t>
      </w:r>
      <w:r w:rsidRPr="00C41F65">
        <w:rPr>
          <w:rStyle w:val="Refdenotaalpie"/>
          <w:iCs/>
          <w:lang w:val="es-CR"/>
        </w:rPr>
        <w:footnoteReference w:id="22"/>
      </w:r>
      <w:r w:rsidRPr="00C41F65">
        <w:rPr>
          <w:rFonts w:ascii="Verdana" w:hAnsi="Verdana"/>
          <w:iCs/>
          <w:sz w:val="20"/>
          <w:szCs w:val="20"/>
          <w:lang w:val="es-CR"/>
        </w:rPr>
        <w:t>,</w:t>
      </w:r>
      <w:r w:rsidRPr="00C41F65">
        <w:rPr>
          <w:rFonts w:ascii="Verdana" w:hAnsi="Verdana"/>
          <w:i/>
          <w:sz w:val="20"/>
          <w:szCs w:val="20"/>
          <w:lang w:val="es-CR"/>
        </w:rPr>
        <w:t xml:space="preserve"> </w:t>
      </w:r>
      <w:r w:rsidRPr="00C41F65">
        <w:rPr>
          <w:rFonts w:ascii="Verdana" w:hAnsi="Verdana"/>
          <w:iCs/>
          <w:sz w:val="20"/>
          <w:szCs w:val="20"/>
          <w:lang w:val="es-CR"/>
        </w:rPr>
        <w:t>cambia la naturaleza de la obligación de progresividad</w:t>
      </w:r>
      <w:r w:rsidRPr="00C41F65">
        <w:rPr>
          <w:rStyle w:val="Refdenotaalpie"/>
          <w:iCs/>
          <w:lang w:val="es-CR"/>
        </w:rPr>
        <w:footnoteReference w:id="23"/>
      </w:r>
      <w:r w:rsidRPr="00C41F65">
        <w:rPr>
          <w:rFonts w:ascii="Verdana" w:hAnsi="Verdana"/>
          <w:iCs/>
          <w:sz w:val="20"/>
          <w:szCs w:val="20"/>
          <w:lang w:val="es-CR"/>
        </w:rPr>
        <w:t>, ignora la voluntad de los Estados plasmada en el Protocolo de San Salvador</w:t>
      </w:r>
      <w:r w:rsidRPr="00C41F65">
        <w:rPr>
          <w:rStyle w:val="Refdenotaalpie"/>
          <w:iCs/>
          <w:lang w:val="es-CR"/>
        </w:rPr>
        <w:footnoteReference w:id="24"/>
      </w:r>
      <w:r w:rsidRPr="00C41F65">
        <w:rPr>
          <w:rFonts w:ascii="Verdana" w:hAnsi="Verdana"/>
          <w:iCs/>
          <w:sz w:val="20"/>
          <w:szCs w:val="20"/>
          <w:lang w:val="es-CR"/>
        </w:rPr>
        <w:t xml:space="preserve"> y mina la legitimidad del Tribunal</w:t>
      </w:r>
      <w:r w:rsidRPr="00C41F65">
        <w:rPr>
          <w:rStyle w:val="Refdenotaalpie"/>
          <w:iCs/>
          <w:lang w:val="es-CR"/>
        </w:rPr>
        <w:footnoteReference w:id="25"/>
      </w:r>
      <w:r w:rsidRPr="00C41F65">
        <w:rPr>
          <w:rFonts w:ascii="Verdana" w:hAnsi="Verdana"/>
          <w:iCs/>
          <w:sz w:val="20"/>
          <w:szCs w:val="20"/>
          <w:lang w:val="es-CR"/>
        </w:rPr>
        <w:t>; solo por mencionar algunos argumentos.</w:t>
      </w:r>
      <w:r w:rsidR="00FD0A39">
        <w:rPr>
          <w:rFonts w:ascii="Verdana" w:hAnsi="Verdana"/>
          <w:bCs/>
          <w:sz w:val="20"/>
          <w:szCs w:val="20"/>
        </w:rPr>
        <w:t xml:space="preserve"> No obstante, mi propósito en esta ocasión es poner de manifiesto la irrelevancia del análisis del artículo 26</w:t>
      </w:r>
      <w:r w:rsidR="00E27BEC">
        <w:rPr>
          <w:rFonts w:ascii="Verdana" w:hAnsi="Verdana"/>
          <w:bCs/>
          <w:sz w:val="20"/>
          <w:szCs w:val="20"/>
        </w:rPr>
        <w:t xml:space="preserve"> tratándose de un caso que se refiere </w:t>
      </w:r>
      <w:r w:rsidR="00E27BEC">
        <w:rPr>
          <w:rFonts w:ascii="Verdana" w:hAnsi="Verdana"/>
          <w:bCs/>
          <w:sz w:val="20"/>
          <w:szCs w:val="20"/>
        </w:rPr>
        <w:lastRenderedPageBreak/>
        <w:t xml:space="preserve">específicamente a funcionarios públicos, y que como consecuencia podía abordarse con suficiente profundidad a partir del artículo 23 de la Convención. </w:t>
      </w:r>
    </w:p>
    <w:p w14:paraId="2D647EAA" w14:textId="38F898E7" w:rsidR="00037F29" w:rsidRDefault="004F3395" w:rsidP="008B6F0B">
      <w:pPr>
        <w:pStyle w:val="Prrafodelista"/>
        <w:numPr>
          <w:ilvl w:val="0"/>
          <w:numId w:val="2"/>
        </w:numPr>
        <w:autoSpaceDE w:val="0"/>
        <w:autoSpaceDN w:val="0"/>
        <w:adjustRightInd w:val="0"/>
        <w:spacing w:before="240" w:after="120" w:line="240" w:lineRule="auto"/>
        <w:ind w:left="0" w:firstLine="0"/>
        <w:contextualSpacing w:val="0"/>
        <w:jc w:val="both"/>
        <w:rPr>
          <w:rFonts w:ascii="Verdana" w:hAnsi="Verdana"/>
          <w:bCs/>
          <w:sz w:val="20"/>
          <w:szCs w:val="20"/>
        </w:rPr>
      </w:pPr>
      <w:r>
        <w:rPr>
          <w:rFonts w:ascii="Verdana" w:hAnsi="Verdana"/>
          <w:bCs/>
          <w:iCs/>
          <w:sz w:val="20"/>
          <w:szCs w:val="20"/>
          <w:lang w:val="es-ES"/>
        </w:rPr>
        <w:t>En el caso, a</w:t>
      </w:r>
      <w:r w:rsidRPr="004F3395">
        <w:rPr>
          <w:rFonts w:ascii="Verdana" w:hAnsi="Verdana"/>
          <w:bCs/>
          <w:iCs/>
          <w:sz w:val="20"/>
          <w:szCs w:val="20"/>
          <w:lang w:val="es-ES"/>
        </w:rPr>
        <w:t xml:space="preserve">demás de </w:t>
      </w:r>
      <w:r w:rsidR="002A1284">
        <w:rPr>
          <w:rFonts w:ascii="Verdana" w:hAnsi="Verdana"/>
          <w:bCs/>
          <w:iCs/>
          <w:sz w:val="20"/>
          <w:szCs w:val="20"/>
          <w:lang w:val="es-ES"/>
        </w:rPr>
        <w:t>fundamentar</w:t>
      </w:r>
      <w:r w:rsidRPr="004F3395">
        <w:rPr>
          <w:rFonts w:ascii="Verdana" w:hAnsi="Verdana"/>
          <w:bCs/>
          <w:iCs/>
          <w:sz w:val="20"/>
          <w:szCs w:val="20"/>
          <w:lang w:val="es-ES"/>
        </w:rPr>
        <w:t xml:space="preserve"> las violaciones a las garantías judiciales, las cuales comparto plenamente, </w:t>
      </w:r>
      <w:r w:rsidR="00D218E0" w:rsidRPr="004F3395">
        <w:rPr>
          <w:rFonts w:ascii="Verdana" w:hAnsi="Verdana"/>
          <w:bCs/>
          <w:iCs/>
          <w:sz w:val="20"/>
          <w:szCs w:val="20"/>
          <w:lang w:val="es-ES"/>
        </w:rPr>
        <w:t>la Corte consideró que hubo una violación del derecho</w:t>
      </w:r>
      <w:r w:rsidR="00DF30D9" w:rsidRPr="004F3395">
        <w:rPr>
          <w:rFonts w:ascii="Verdana" w:hAnsi="Verdana"/>
          <w:bCs/>
          <w:iCs/>
          <w:sz w:val="20"/>
          <w:szCs w:val="20"/>
          <w:lang w:val="es-ES"/>
        </w:rPr>
        <w:t xml:space="preserve"> </w:t>
      </w:r>
      <w:r w:rsidR="00106C3F" w:rsidRPr="004F3395">
        <w:rPr>
          <w:rFonts w:ascii="Verdana" w:hAnsi="Verdana"/>
          <w:bCs/>
          <w:iCs/>
          <w:sz w:val="20"/>
          <w:szCs w:val="20"/>
          <w:lang w:val="es-ES"/>
        </w:rPr>
        <w:t>de acceso a la función pública en condiciones de igualdad del artículo 23.1 c)</w:t>
      </w:r>
      <w:r w:rsidR="00330F30">
        <w:rPr>
          <w:rFonts w:ascii="Verdana" w:hAnsi="Verdana"/>
          <w:bCs/>
          <w:iCs/>
          <w:sz w:val="20"/>
          <w:szCs w:val="20"/>
          <w:lang w:val="es-ES"/>
        </w:rPr>
        <w:t xml:space="preserve"> y al trabajo artículo 26 CADH</w:t>
      </w:r>
      <w:r>
        <w:rPr>
          <w:rFonts w:ascii="Verdana" w:hAnsi="Verdana"/>
          <w:bCs/>
          <w:iCs/>
          <w:sz w:val="20"/>
          <w:szCs w:val="20"/>
          <w:lang w:val="es-ES"/>
        </w:rPr>
        <w:t xml:space="preserve">. </w:t>
      </w:r>
      <w:r w:rsidR="00330F30">
        <w:rPr>
          <w:rFonts w:ascii="Verdana" w:hAnsi="Verdana"/>
          <w:bCs/>
          <w:iCs/>
          <w:sz w:val="20"/>
          <w:szCs w:val="20"/>
          <w:lang w:val="es-ES"/>
        </w:rPr>
        <w:t>H</w:t>
      </w:r>
      <w:r w:rsidR="00861552">
        <w:rPr>
          <w:rFonts w:ascii="Verdana" w:hAnsi="Verdana"/>
          <w:bCs/>
          <w:iCs/>
          <w:sz w:val="20"/>
          <w:szCs w:val="20"/>
          <w:lang w:val="es-ES"/>
        </w:rPr>
        <w:t xml:space="preserve">aciendo uso del principio </w:t>
      </w:r>
      <w:r w:rsidR="00861552" w:rsidRPr="00861552">
        <w:rPr>
          <w:rFonts w:ascii="Verdana" w:hAnsi="Verdana"/>
          <w:bCs/>
          <w:i/>
          <w:sz w:val="20"/>
          <w:szCs w:val="20"/>
          <w:lang w:val="es-ES"/>
        </w:rPr>
        <w:t>iura novit curia</w:t>
      </w:r>
      <w:r w:rsidR="00861552">
        <w:rPr>
          <w:rFonts w:ascii="Verdana" w:hAnsi="Verdana"/>
          <w:bCs/>
          <w:iCs/>
          <w:sz w:val="20"/>
          <w:szCs w:val="20"/>
          <w:lang w:val="es-ES"/>
        </w:rPr>
        <w:t xml:space="preserve">, </w:t>
      </w:r>
      <w:r w:rsidR="00330F30">
        <w:rPr>
          <w:rFonts w:ascii="Verdana" w:hAnsi="Verdana"/>
          <w:bCs/>
          <w:iCs/>
          <w:sz w:val="20"/>
          <w:szCs w:val="20"/>
          <w:lang w:val="es-ES"/>
        </w:rPr>
        <w:t xml:space="preserve">señaló </w:t>
      </w:r>
      <w:r w:rsidR="00861552">
        <w:rPr>
          <w:rFonts w:ascii="Verdana" w:hAnsi="Verdana"/>
          <w:bCs/>
          <w:iCs/>
          <w:sz w:val="20"/>
          <w:szCs w:val="20"/>
          <w:lang w:val="es-ES"/>
        </w:rPr>
        <w:t>que la desvinculación del señor Mina Cuero afectó arbitrariamente su permanencia en el cargo de policía</w:t>
      </w:r>
      <w:r w:rsidR="0011248A">
        <w:rPr>
          <w:rFonts w:ascii="Verdana" w:hAnsi="Verdana"/>
          <w:bCs/>
          <w:iCs/>
          <w:sz w:val="20"/>
          <w:szCs w:val="20"/>
          <w:lang w:val="es-ES"/>
        </w:rPr>
        <w:t xml:space="preserve"> y como consecuencia </w:t>
      </w:r>
      <w:r w:rsidR="007C7124">
        <w:rPr>
          <w:rFonts w:ascii="Verdana" w:hAnsi="Verdana"/>
          <w:bCs/>
          <w:iCs/>
          <w:sz w:val="20"/>
          <w:szCs w:val="20"/>
          <w:lang w:val="es-ES"/>
        </w:rPr>
        <w:t>desconoció</w:t>
      </w:r>
      <w:r w:rsidR="00037F29">
        <w:rPr>
          <w:rFonts w:ascii="Verdana" w:hAnsi="Verdana"/>
          <w:bCs/>
          <w:iCs/>
          <w:sz w:val="20"/>
          <w:szCs w:val="20"/>
          <w:lang w:val="es-ES"/>
        </w:rPr>
        <w:t xml:space="preserve"> </w:t>
      </w:r>
      <w:r w:rsidR="0011248A">
        <w:rPr>
          <w:rFonts w:ascii="Verdana" w:hAnsi="Verdana"/>
          <w:bCs/>
          <w:iCs/>
          <w:sz w:val="20"/>
          <w:szCs w:val="20"/>
          <w:lang w:val="es-ES"/>
        </w:rPr>
        <w:t>la obligación de garantía de la</w:t>
      </w:r>
      <w:r w:rsidR="00037F29">
        <w:rPr>
          <w:rFonts w:ascii="Verdana" w:hAnsi="Verdana"/>
          <w:bCs/>
          <w:iCs/>
          <w:sz w:val="20"/>
          <w:szCs w:val="20"/>
          <w:lang w:val="es-ES"/>
        </w:rPr>
        <w:t xml:space="preserve"> estabilidad en el cargo</w:t>
      </w:r>
      <w:r w:rsidR="00F125D3">
        <w:rPr>
          <w:rStyle w:val="Refdenotaalpie"/>
          <w:rFonts w:ascii="Verdana" w:hAnsi="Verdana"/>
          <w:bCs/>
          <w:iCs/>
          <w:sz w:val="20"/>
          <w:szCs w:val="20"/>
          <w:lang w:val="es-ES"/>
        </w:rPr>
        <w:footnoteReference w:id="26"/>
      </w:r>
      <w:r w:rsidR="00037F29">
        <w:rPr>
          <w:rFonts w:ascii="Verdana" w:hAnsi="Verdana"/>
          <w:bCs/>
          <w:iCs/>
          <w:sz w:val="20"/>
          <w:szCs w:val="20"/>
          <w:lang w:val="es-ES"/>
        </w:rPr>
        <w:t xml:space="preserve">. </w:t>
      </w:r>
      <w:r w:rsidR="00037F29">
        <w:rPr>
          <w:rFonts w:ascii="Verdana" w:hAnsi="Verdana"/>
          <w:bCs/>
          <w:sz w:val="20"/>
          <w:szCs w:val="20"/>
        </w:rPr>
        <w:t>Ad</w:t>
      </w:r>
      <w:r w:rsidR="00E43CD6">
        <w:rPr>
          <w:rFonts w:ascii="Verdana" w:hAnsi="Verdana"/>
          <w:bCs/>
          <w:sz w:val="20"/>
          <w:szCs w:val="20"/>
        </w:rPr>
        <w:t>emás, la Corte exp</w:t>
      </w:r>
      <w:r w:rsidR="007C7124">
        <w:rPr>
          <w:rFonts w:ascii="Verdana" w:hAnsi="Verdana"/>
          <w:bCs/>
          <w:sz w:val="20"/>
          <w:szCs w:val="20"/>
        </w:rPr>
        <w:t>uso</w:t>
      </w:r>
      <w:r w:rsidR="00E43CD6">
        <w:rPr>
          <w:rFonts w:ascii="Verdana" w:hAnsi="Verdana"/>
          <w:bCs/>
          <w:sz w:val="20"/>
          <w:szCs w:val="20"/>
        </w:rPr>
        <w:t xml:space="preserve"> que se violó el derecho al trabajo, </w:t>
      </w:r>
      <w:r w:rsidR="003D4250">
        <w:rPr>
          <w:rFonts w:ascii="Verdana" w:hAnsi="Verdana"/>
          <w:bCs/>
          <w:sz w:val="20"/>
          <w:szCs w:val="20"/>
        </w:rPr>
        <w:t xml:space="preserve">porque </w:t>
      </w:r>
      <w:r w:rsidR="00835C14">
        <w:rPr>
          <w:rFonts w:ascii="Verdana" w:hAnsi="Verdana"/>
          <w:bCs/>
          <w:sz w:val="20"/>
          <w:szCs w:val="20"/>
        </w:rPr>
        <w:t xml:space="preserve">no se otorgaron las garantías necesarias para que el despido </w:t>
      </w:r>
      <w:r w:rsidR="00694F60">
        <w:rPr>
          <w:rFonts w:ascii="Verdana" w:hAnsi="Verdana"/>
          <w:bCs/>
          <w:sz w:val="20"/>
          <w:szCs w:val="20"/>
        </w:rPr>
        <w:t>no fuera arbitrario y se realizara bajo causas justificadas. Reiteró a su vez que</w:t>
      </w:r>
      <w:r w:rsidR="007C7124">
        <w:rPr>
          <w:rFonts w:ascii="Verdana" w:hAnsi="Verdana"/>
          <w:bCs/>
          <w:sz w:val="20"/>
          <w:szCs w:val="20"/>
        </w:rPr>
        <w:t xml:space="preserve"> tal como se indicó en el</w:t>
      </w:r>
      <w:r w:rsidR="00694F60">
        <w:rPr>
          <w:rFonts w:ascii="Verdana" w:hAnsi="Verdana"/>
          <w:bCs/>
          <w:sz w:val="20"/>
          <w:szCs w:val="20"/>
        </w:rPr>
        <w:t xml:space="preserve"> </w:t>
      </w:r>
      <w:r w:rsidR="00726E3B">
        <w:rPr>
          <w:rFonts w:ascii="Verdana" w:hAnsi="Verdana"/>
          <w:bCs/>
          <w:sz w:val="20"/>
          <w:szCs w:val="20"/>
        </w:rPr>
        <w:t>“</w:t>
      </w:r>
      <w:r w:rsidR="007C7124">
        <w:rPr>
          <w:rFonts w:ascii="Verdana" w:hAnsi="Verdana"/>
          <w:bCs/>
          <w:i/>
          <w:iCs/>
          <w:sz w:val="20"/>
          <w:szCs w:val="20"/>
          <w:lang w:val="es-GT"/>
        </w:rPr>
        <w:t xml:space="preserve">[…] </w:t>
      </w:r>
      <w:r w:rsidR="00726E3B" w:rsidRPr="00726E3B">
        <w:rPr>
          <w:rFonts w:ascii="Verdana" w:hAnsi="Verdana"/>
          <w:bCs/>
          <w:i/>
          <w:iCs/>
          <w:sz w:val="20"/>
          <w:szCs w:val="20"/>
          <w:lang w:val="es-GT"/>
        </w:rPr>
        <w:t xml:space="preserve">caso San Miguel Sosa y otras Vs. Venezuela </w:t>
      </w:r>
      <w:r w:rsidR="007C7124">
        <w:rPr>
          <w:rFonts w:ascii="Verdana" w:hAnsi="Verdana"/>
          <w:bCs/>
          <w:i/>
          <w:iCs/>
          <w:sz w:val="20"/>
          <w:szCs w:val="20"/>
          <w:lang w:val="es-GT"/>
        </w:rPr>
        <w:t>[…]</w:t>
      </w:r>
      <w:r w:rsidR="00726E3B" w:rsidRPr="00726E3B">
        <w:rPr>
          <w:rFonts w:ascii="Verdana" w:hAnsi="Verdana"/>
          <w:bCs/>
          <w:i/>
          <w:iCs/>
          <w:sz w:val="20"/>
          <w:szCs w:val="20"/>
          <w:lang w:val="es-GT"/>
        </w:rPr>
        <w:t xml:space="preserve"> el Estado incumple con su obligación de garantizar el derecho al trabajo y, por ende, a la estabilidad laboral, cuando no protege a sus funcionarios estatales de separaciones arbitrarias de su empleo</w:t>
      </w:r>
      <w:r w:rsidR="00726E3B">
        <w:rPr>
          <w:rFonts w:ascii="Verdana" w:hAnsi="Verdana"/>
          <w:bCs/>
          <w:sz w:val="20"/>
          <w:szCs w:val="20"/>
        </w:rPr>
        <w:t>”</w:t>
      </w:r>
      <w:r w:rsidR="00726E3B">
        <w:rPr>
          <w:rStyle w:val="Refdenotaalpie"/>
          <w:rFonts w:ascii="Verdana" w:hAnsi="Verdana"/>
          <w:bCs/>
          <w:sz w:val="20"/>
          <w:szCs w:val="20"/>
        </w:rPr>
        <w:footnoteReference w:id="27"/>
      </w:r>
      <w:r w:rsidR="00726E3B">
        <w:rPr>
          <w:rFonts w:ascii="Verdana" w:hAnsi="Verdana"/>
          <w:bCs/>
          <w:sz w:val="20"/>
          <w:szCs w:val="20"/>
        </w:rPr>
        <w:t xml:space="preserve">. </w:t>
      </w:r>
      <w:r w:rsidR="00EA6BBB">
        <w:rPr>
          <w:rFonts w:ascii="Verdana" w:hAnsi="Verdana"/>
          <w:bCs/>
          <w:sz w:val="20"/>
          <w:szCs w:val="20"/>
        </w:rPr>
        <w:t xml:space="preserve">De manera que, es evidente que se trata de una misma argumentación fáctica y jurídica, </w:t>
      </w:r>
      <w:r w:rsidR="006158F2">
        <w:rPr>
          <w:rFonts w:ascii="Verdana" w:hAnsi="Verdana"/>
          <w:bCs/>
          <w:sz w:val="20"/>
          <w:szCs w:val="20"/>
        </w:rPr>
        <w:t>pero con</w:t>
      </w:r>
      <w:r w:rsidR="00EA6BBB">
        <w:rPr>
          <w:rFonts w:ascii="Verdana" w:hAnsi="Verdana"/>
          <w:bCs/>
          <w:sz w:val="20"/>
          <w:szCs w:val="20"/>
        </w:rPr>
        <w:t xml:space="preserve"> un fundamento normativo diferente, de una parte</w:t>
      </w:r>
      <w:r w:rsidR="00F759F9">
        <w:rPr>
          <w:rFonts w:ascii="Verdana" w:hAnsi="Verdana"/>
          <w:bCs/>
          <w:sz w:val="20"/>
          <w:szCs w:val="20"/>
        </w:rPr>
        <w:t>,</w:t>
      </w:r>
      <w:r w:rsidR="00EA6BBB">
        <w:rPr>
          <w:rFonts w:ascii="Verdana" w:hAnsi="Verdana"/>
          <w:bCs/>
          <w:sz w:val="20"/>
          <w:szCs w:val="20"/>
        </w:rPr>
        <w:t xml:space="preserve"> el artículo 23.1 c) y</w:t>
      </w:r>
      <w:r w:rsidR="00F759F9">
        <w:rPr>
          <w:rFonts w:ascii="Verdana" w:hAnsi="Verdana"/>
          <w:bCs/>
          <w:sz w:val="20"/>
          <w:szCs w:val="20"/>
        </w:rPr>
        <w:t>,</w:t>
      </w:r>
      <w:r w:rsidR="00EA6BBB">
        <w:rPr>
          <w:rFonts w:ascii="Verdana" w:hAnsi="Verdana"/>
          <w:bCs/>
          <w:sz w:val="20"/>
          <w:szCs w:val="20"/>
        </w:rPr>
        <w:t xml:space="preserve"> de otra</w:t>
      </w:r>
      <w:r w:rsidR="00F759F9">
        <w:rPr>
          <w:rFonts w:ascii="Verdana" w:hAnsi="Verdana"/>
          <w:bCs/>
          <w:sz w:val="20"/>
          <w:szCs w:val="20"/>
        </w:rPr>
        <w:t>,</w:t>
      </w:r>
      <w:r w:rsidR="00EA6BBB">
        <w:rPr>
          <w:rFonts w:ascii="Verdana" w:hAnsi="Verdana"/>
          <w:bCs/>
          <w:sz w:val="20"/>
          <w:szCs w:val="20"/>
        </w:rPr>
        <w:t xml:space="preserve"> el artículo 26</w:t>
      </w:r>
      <w:r w:rsidR="00452B55">
        <w:rPr>
          <w:rFonts w:ascii="Verdana" w:hAnsi="Verdana"/>
          <w:bCs/>
          <w:sz w:val="20"/>
          <w:szCs w:val="20"/>
        </w:rPr>
        <w:t xml:space="preserve"> de la Convención</w:t>
      </w:r>
      <w:r w:rsidR="00EA6BBB">
        <w:rPr>
          <w:rFonts w:ascii="Verdana" w:hAnsi="Verdana"/>
          <w:bCs/>
          <w:sz w:val="20"/>
          <w:szCs w:val="20"/>
        </w:rPr>
        <w:t xml:space="preserve">. </w:t>
      </w:r>
    </w:p>
    <w:p w14:paraId="59988BA3" w14:textId="34684263" w:rsidR="00D218E0" w:rsidRDefault="00452B55" w:rsidP="008B6F0B">
      <w:pPr>
        <w:pStyle w:val="Prrafodelista"/>
        <w:numPr>
          <w:ilvl w:val="0"/>
          <w:numId w:val="2"/>
        </w:numPr>
        <w:autoSpaceDE w:val="0"/>
        <w:autoSpaceDN w:val="0"/>
        <w:adjustRightInd w:val="0"/>
        <w:spacing w:before="240" w:after="120" w:line="240" w:lineRule="auto"/>
        <w:ind w:left="0" w:firstLine="0"/>
        <w:contextualSpacing w:val="0"/>
        <w:jc w:val="both"/>
        <w:rPr>
          <w:rFonts w:ascii="Verdana" w:hAnsi="Verdana"/>
          <w:bCs/>
          <w:sz w:val="20"/>
          <w:szCs w:val="20"/>
        </w:rPr>
      </w:pPr>
      <w:r>
        <w:rPr>
          <w:rFonts w:ascii="Verdana" w:hAnsi="Verdana"/>
          <w:bCs/>
          <w:sz w:val="20"/>
          <w:szCs w:val="20"/>
        </w:rPr>
        <w:t>Creo que l</w:t>
      </w:r>
      <w:r w:rsidR="00360DBC">
        <w:rPr>
          <w:rFonts w:ascii="Verdana" w:hAnsi="Verdana"/>
          <w:bCs/>
          <w:sz w:val="20"/>
          <w:szCs w:val="20"/>
        </w:rPr>
        <w:t xml:space="preserve">o adecuado era referirse exclusivamente al artículo 23. </w:t>
      </w:r>
      <w:r w:rsidR="008E194D">
        <w:rPr>
          <w:rFonts w:ascii="Verdana" w:hAnsi="Verdana"/>
          <w:bCs/>
          <w:sz w:val="20"/>
          <w:szCs w:val="20"/>
        </w:rPr>
        <w:t>Como bien señala la sentencia e</w:t>
      </w:r>
      <w:r w:rsidR="00D218E0">
        <w:rPr>
          <w:rFonts w:ascii="Verdana" w:hAnsi="Verdana"/>
          <w:bCs/>
          <w:sz w:val="20"/>
          <w:szCs w:val="20"/>
        </w:rPr>
        <w:t>l artículo 23.1 c) CADH dispone que “</w:t>
      </w:r>
      <w:r w:rsidR="00D218E0" w:rsidRPr="00F95B7C">
        <w:rPr>
          <w:rFonts w:ascii="Verdana" w:hAnsi="Verdana"/>
          <w:bCs/>
          <w:i/>
          <w:iCs/>
          <w:sz w:val="20"/>
          <w:szCs w:val="20"/>
        </w:rPr>
        <w:t>1. Todos los ciudadanos deben gozar de los siguientes derechos y oportunidades: […] c) de tener acceso, en condiciones generales de igualdad, a las funciones públicas de su país</w:t>
      </w:r>
      <w:r w:rsidR="00D218E0">
        <w:rPr>
          <w:rFonts w:ascii="Verdana" w:hAnsi="Verdana"/>
          <w:bCs/>
          <w:sz w:val="20"/>
          <w:szCs w:val="20"/>
        </w:rPr>
        <w:t xml:space="preserve">”. </w:t>
      </w:r>
      <w:r w:rsidR="008E194D">
        <w:rPr>
          <w:rFonts w:ascii="Verdana" w:hAnsi="Verdana"/>
          <w:bCs/>
          <w:sz w:val="20"/>
          <w:szCs w:val="20"/>
        </w:rPr>
        <w:t>La Corte acierta en esta ocasión al incluir el análisis de este artículo</w:t>
      </w:r>
      <w:r w:rsidR="00D77A9E">
        <w:rPr>
          <w:rFonts w:ascii="Verdana" w:hAnsi="Verdana"/>
          <w:bCs/>
          <w:sz w:val="20"/>
          <w:szCs w:val="20"/>
        </w:rPr>
        <w:t xml:space="preserve"> y declarar la violación del </w:t>
      </w:r>
      <w:r w:rsidR="00392DA9">
        <w:rPr>
          <w:rFonts w:ascii="Verdana" w:hAnsi="Verdana"/>
          <w:bCs/>
          <w:sz w:val="20"/>
          <w:szCs w:val="20"/>
        </w:rPr>
        <w:t>derecho a acceder a la función pública en condiciones de igualdad</w:t>
      </w:r>
      <w:r w:rsidR="008E194D">
        <w:rPr>
          <w:rFonts w:ascii="Verdana" w:hAnsi="Verdana"/>
          <w:bCs/>
          <w:sz w:val="20"/>
          <w:szCs w:val="20"/>
        </w:rPr>
        <w:t>, pues resulta evidente que</w:t>
      </w:r>
      <w:r w:rsidR="00F759F9">
        <w:rPr>
          <w:rFonts w:ascii="Verdana" w:hAnsi="Verdana"/>
          <w:bCs/>
          <w:sz w:val="20"/>
          <w:szCs w:val="20"/>
        </w:rPr>
        <w:t>,</w:t>
      </w:r>
      <w:r w:rsidR="008E194D">
        <w:rPr>
          <w:rFonts w:ascii="Verdana" w:hAnsi="Verdana"/>
          <w:bCs/>
          <w:sz w:val="20"/>
          <w:szCs w:val="20"/>
        </w:rPr>
        <w:t xml:space="preserve"> </w:t>
      </w:r>
      <w:r w:rsidR="00D218E0">
        <w:rPr>
          <w:rFonts w:ascii="Verdana" w:hAnsi="Verdana"/>
          <w:bCs/>
          <w:sz w:val="20"/>
          <w:szCs w:val="20"/>
        </w:rPr>
        <w:t xml:space="preserve">tratándose de un cargo </w:t>
      </w:r>
      <w:r w:rsidR="008E194D">
        <w:rPr>
          <w:rFonts w:ascii="Verdana" w:hAnsi="Verdana"/>
          <w:bCs/>
          <w:sz w:val="20"/>
          <w:szCs w:val="20"/>
        </w:rPr>
        <w:t>en la Policía Nacional</w:t>
      </w:r>
      <w:r w:rsidR="00D218E0">
        <w:rPr>
          <w:rFonts w:ascii="Verdana" w:hAnsi="Verdana"/>
          <w:bCs/>
          <w:sz w:val="20"/>
          <w:szCs w:val="20"/>
        </w:rPr>
        <w:t>,</w:t>
      </w:r>
      <w:r w:rsidR="00392DA9">
        <w:rPr>
          <w:rFonts w:ascii="Verdana" w:hAnsi="Verdana"/>
          <w:bCs/>
          <w:sz w:val="20"/>
          <w:szCs w:val="20"/>
        </w:rPr>
        <w:t xml:space="preserve"> el señor Mira Cuero era un funcionario público</w:t>
      </w:r>
      <w:r w:rsidR="00D218E0">
        <w:rPr>
          <w:rFonts w:ascii="Verdana" w:hAnsi="Verdana"/>
          <w:bCs/>
          <w:sz w:val="20"/>
          <w:szCs w:val="20"/>
        </w:rPr>
        <w:t>. En efecto, según ha señalado esta Corte, siguiendo lo previsto en la Observación General 25 del Comité de Derechos Humanos de las Naciones Unidas</w:t>
      </w:r>
      <w:r w:rsidR="00D218E0">
        <w:rPr>
          <w:rStyle w:val="Refdenotaalpie"/>
          <w:rFonts w:ascii="Verdana" w:hAnsi="Verdana"/>
          <w:bCs/>
          <w:sz w:val="20"/>
          <w:szCs w:val="20"/>
        </w:rPr>
        <w:footnoteReference w:id="28"/>
      </w:r>
      <w:r w:rsidR="00D218E0">
        <w:rPr>
          <w:rFonts w:ascii="Verdana" w:hAnsi="Verdana"/>
          <w:bCs/>
          <w:sz w:val="20"/>
          <w:szCs w:val="20"/>
        </w:rPr>
        <w:t>, el artículo 23.1 c) no consagra</w:t>
      </w:r>
      <w:r w:rsidR="006454AB">
        <w:rPr>
          <w:rFonts w:ascii="Verdana" w:hAnsi="Verdana"/>
          <w:bCs/>
          <w:sz w:val="20"/>
          <w:szCs w:val="20"/>
        </w:rPr>
        <w:t xml:space="preserve"> </w:t>
      </w:r>
      <w:r w:rsidR="0009404A">
        <w:rPr>
          <w:rFonts w:ascii="Verdana" w:hAnsi="Verdana"/>
          <w:bCs/>
          <w:sz w:val="20"/>
          <w:szCs w:val="20"/>
        </w:rPr>
        <w:t>exclusivamente el</w:t>
      </w:r>
      <w:r w:rsidR="00D218E0">
        <w:rPr>
          <w:rFonts w:ascii="Verdana" w:hAnsi="Verdana"/>
          <w:bCs/>
          <w:sz w:val="20"/>
          <w:szCs w:val="20"/>
        </w:rPr>
        <w:t xml:space="preserve"> derecho a acceder a un cargo público, sino a hacerlo en condiciones de igualdad</w:t>
      </w:r>
      <w:r w:rsidR="000517B3">
        <w:rPr>
          <w:rFonts w:ascii="Verdana" w:hAnsi="Verdana"/>
          <w:bCs/>
          <w:sz w:val="20"/>
          <w:szCs w:val="20"/>
        </w:rPr>
        <w:t xml:space="preserve"> y a permanecer en el empleo</w:t>
      </w:r>
      <w:r w:rsidR="00D218E0">
        <w:rPr>
          <w:rFonts w:ascii="Verdana" w:hAnsi="Verdana"/>
          <w:bCs/>
          <w:sz w:val="20"/>
          <w:szCs w:val="20"/>
        </w:rPr>
        <w:t xml:space="preserve">. Esto implica que se respeten y garanticen criterios y procedimientos razonables y objetivos para nombramiento, ascenso, suspensión y destitución, y que las personas no sean objeto de discriminación en el desarrollo de </w:t>
      </w:r>
      <w:r w:rsidR="006454AB">
        <w:rPr>
          <w:rFonts w:ascii="Verdana" w:hAnsi="Verdana"/>
          <w:bCs/>
          <w:sz w:val="20"/>
          <w:szCs w:val="20"/>
        </w:rPr>
        <w:t>dichos</w:t>
      </w:r>
      <w:r w:rsidR="00D218E0">
        <w:rPr>
          <w:rFonts w:ascii="Verdana" w:hAnsi="Verdana"/>
          <w:bCs/>
          <w:sz w:val="20"/>
          <w:szCs w:val="20"/>
        </w:rPr>
        <w:t xml:space="preserve"> procedimientos</w:t>
      </w:r>
      <w:r w:rsidR="00D218E0">
        <w:rPr>
          <w:rStyle w:val="Refdenotaalpie"/>
          <w:rFonts w:ascii="Verdana" w:hAnsi="Verdana"/>
          <w:bCs/>
          <w:sz w:val="20"/>
          <w:szCs w:val="20"/>
        </w:rPr>
        <w:footnoteReference w:id="29"/>
      </w:r>
      <w:r w:rsidR="00D218E0">
        <w:rPr>
          <w:rFonts w:ascii="Verdana" w:hAnsi="Verdana"/>
          <w:bCs/>
          <w:sz w:val="20"/>
          <w:szCs w:val="20"/>
        </w:rPr>
        <w:t>. Este fue precisamente el contenido obligacional infringido en el caso, porque</w:t>
      </w:r>
      <w:r w:rsidR="000B0EE7">
        <w:rPr>
          <w:rFonts w:ascii="Verdana" w:hAnsi="Verdana"/>
          <w:bCs/>
          <w:sz w:val="20"/>
          <w:szCs w:val="20"/>
        </w:rPr>
        <w:t xml:space="preserve"> el señor Mina Cuero fue destituido de su cargo sin que se cumpliera un procedimiento razonable y objetivo</w:t>
      </w:r>
      <w:r w:rsidR="00D218E0">
        <w:rPr>
          <w:rFonts w:ascii="Verdana" w:hAnsi="Verdana"/>
          <w:bCs/>
          <w:sz w:val="20"/>
          <w:szCs w:val="20"/>
        </w:rPr>
        <w:t xml:space="preserve">.  </w:t>
      </w:r>
    </w:p>
    <w:p w14:paraId="1D47060A" w14:textId="1628CFFB" w:rsidR="009E0E06" w:rsidRPr="000827F3" w:rsidRDefault="00D218E0" w:rsidP="008B6F0B">
      <w:pPr>
        <w:pStyle w:val="Prrafodelista"/>
        <w:numPr>
          <w:ilvl w:val="0"/>
          <w:numId w:val="2"/>
        </w:numPr>
        <w:autoSpaceDE w:val="0"/>
        <w:autoSpaceDN w:val="0"/>
        <w:adjustRightInd w:val="0"/>
        <w:spacing w:before="240" w:after="120" w:line="240" w:lineRule="auto"/>
        <w:ind w:left="0" w:firstLine="0"/>
        <w:contextualSpacing w:val="0"/>
        <w:jc w:val="both"/>
        <w:rPr>
          <w:rFonts w:ascii="Verdana" w:hAnsi="Verdana"/>
          <w:bCs/>
          <w:sz w:val="20"/>
          <w:szCs w:val="20"/>
        </w:rPr>
      </w:pPr>
      <w:r>
        <w:rPr>
          <w:rFonts w:ascii="Verdana" w:hAnsi="Verdana"/>
          <w:bCs/>
          <w:iCs/>
          <w:sz w:val="20"/>
          <w:szCs w:val="20"/>
          <w:lang w:val="es-CR"/>
        </w:rPr>
        <w:t xml:space="preserve">Lo anterior no es una distinción meramente nominal, pues como he dicho en otros votos separados, utilizar el artículo 26 de la Convención para declarar la responsabilidad del Estado, es jurídicamente inadecuado y afecta la legitimidad de la decisión. De manera que, determinar la responsabilidad de </w:t>
      </w:r>
      <w:r w:rsidR="00360DBC">
        <w:rPr>
          <w:rFonts w:ascii="Verdana" w:hAnsi="Verdana"/>
          <w:bCs/>
          <w:iCs/>
          <w:sz w:val="20"/>
          <w:szCs w:val="20"/>
          <w:lang w:val="es-CR"/>
        </w:rPr>
        <w:t>Ecuador</w:t>
      </w:r>
      <w:r>
        <w:rPr>
          <w:rFonts w:ascii="Verdana" w:hAnsi="Verdana"/>
          <w:bCs/>
          <w:iCs/>
          <w:sz w:val="20"/>
          <w:szCs w:val="20"/>
          <w:lang w:val="es-CR"/>
        </w:rPr>
        <w:t xml:space="preserve"> </w:t>
      </w:r>
      <w:r w:rsidR="00360DBC">
        <w:rPr>
          <w:rFonts w:ascii="Verdana" w:hAnsi="Verdana"/>
          <w:bCs/>
          <w:iCs/>
          <w:sz w:val="20"/>
          <w:szCs w:val="20"/>
          <w:lang w:val="es-CR"/>
        </w:rPr>
        <w:t xml:space="preserve">exclusivamente </w:t>
      </w:r>
      <w:r>
        <w:rPr>
          <w:rFonts w:ascii="Verdana" w:hAnsi="Verdana"/>
          <w:bCs/>
          <w:iCs/>
          <w:sz w:val="20"/>
          <w:szCs w:val="20"/>
          <w:lang w:val="es-CR"/>
        </w:rPr>
        <w:t xml:space="preserve">a partir del artículo 23.1 c) CADH, no solo respondía de manera más precisa a la situación fáctica del señor </w:t>
      </w:r>
      <w:r w:rsidR="002E2270">
        <w:rPr>
          <w:rFonts w:ascii="Verdana" w:hAnsi="Verdana"/>
          <w:bCs/>
          <w:iCs/>
          <w:sz w:val="20"/>
          <w:szCs w:val="20"/>
          <w:lang w:val="es-CR"/>
        </w:rPr>
        <w:t>Mira Cuero</w:t>
      </w:r>
      <w:r>
        <w:rPr>
          <w:rFonts w:ascii="Verdana" w:hAnsi="Verdana"/>
          <w:bCs/>
          <w:iCs/>
          <w:sz w:val="20"/>
          <w:szCs w:val="20"/>
          <w:lang w:val="es-CR"/>
        </w:rPr>
        <w:t xml:space="preserve"> y permitía a la Corte avanzar en su jurisprudencia sobre el alcance de este derecho contenido en la Convención Americana; sino que hubiere evitado afectar la efectividad de la decisión </w:t>
      </w:r>
      <w:r w:rsidR="008A233A">
        <w:rPr>
          <w:rFonts w:ascii="Verdana" w:hAnsi="Verdana"/>
          <w:bCs/>
          <w:iCs/>
          <w:sz w:val="20"/>
          <w:szCs w:val="20"/>
          <w:lang w:val="es-CR"/>
        </w:rPr>
        <w:t>debido a las inconsistencias de</w:t>
      </w:r>
      <w:r>
        <w:rPr>
          <w:rFonts w:ascii="Verdana" w:hAnsi="Verdana"/>
          <w:bCs/>
          <w:iCs/>
          <w:sz w:val="20"/>
          <w:szCs w:val="20"/>
          <w:lang w:val="es-CR"/>
        </w:rPr>
        <w:t xml:space="preserve"> la justiciabilidad directa del artículo 26 </w:t>
      </w:r>
      <w:r>
        <w:rPr>
          <w:rFonts w:ascii="Verdana" w:hAnsi="Verdana"/>
          <w:bCs/>
          <w:iCs/>
          <w:sz w:val="20"/>
          <w:szCs w:val="20"/>
          <w:lang w:val="es-CR"/>
        </w:rPr>
        <w:lastRenderedPageBreak/>
        <w:t>CADH.</w:t>
      </w:r>
      <w:r w:rsidR="0068247C">
        <w:rPr>
          <w:rFonts w:ascii="Verdana" w:hAnsi="Verdana"/>
          <w:bCs/>
          <w:iCs/>
          <w:sz w:val="20"/>
          <w:szCs w:val="20"/>
          <w:lang w:val="es-CR"/>
        </w:rPr>
        <w:t xml:space="preserve"> </w:t>
      </w:r>
      <w:r w:rsidR="00351153">
        <w:rPr>
          <w:rFonts w:ascii="Verdana" w:hAnsi="Verdana"/>
          <w:bCs/>
          <w:iCs/>
          <w:sz w:val="20"/>
          <w:szCs w:val="20"/>
          <w:lang w:val="es-CR"/>
        </w:rPr>
        <w:t>Así, queda demostrado una vez más que</w:t>
      </w:r>
      <w:r w:rsidR="00456CD2">
        <w:rPr>
          <w:rFonts w:ascii="Verdana" w:hAnsi="Verdana"/>
          <w:bCs/>
          <w:iCs/>
          <w:sz w:val="20"/>
          <w:szCs w:val="20"/>
          <w:lang w:val="es-CR"/>
        </w:rPr>
        <w:t>, la utilización de</w:t>
      </w:r>
      <w:r w:rsidR="00101F96">
        <w:rPr>
          <w:rFonts w:ascii="Verdana" w:hAnsi="Verdana"/>
          <w:bCs/>
          <w:iCs/>
          <w:sz w:val="20"/>
          <w:szCs w:val="20"/>
          <w:lang w:val="es-CR"/>
        </w:rPr>
        <w:t xml:space="preserve"> esta disposición convencional tiene como </w:t>
      </w:r>
      <w:r w:rsidR="00E624D3">
        <w:rPr>
          <w:rFonts w:ascii="Verdana" w:hAnsi="Verdana"/>
          <w:bCs/>
          <w:iCs/>
          <w:sz w:val="20"/>
          <w:szCs w:val="20"/>
          <w:lang w:val="es-CR"/>
        </w:rPr>
        <w:t xml:space="preserve">único </w:t>
      </w:r>
      <w:r w:rsidR="00101F96">
        <w:rPr>
          <w:rFonts w:ascii="Verdana" w:hAnsi="Verdana"/>
          <w:bCs/>
          <w:iCs/>
          <w:sz w:val="20"/>
          <w:szCs w:val="20"/>
          <w:lang w:val="es-CR"/>
        </w:rPr>
        <w:t xml:space="preserve">propósito reafirmar una </w:t>
      </w:r>
      <w:r w:rsidR="00E624D3">
        <w:rPr>
          <w:rFonts w:ascii="Verdana" w:hAnsi="Verdana"/>
          <w:bCs/>
          <w:iCs/>
          <w:sz w:val="20"/>
          <w:szCs w:val="20"/>
          <w:lang w:val="es-CR"/>
        </w:rPr>
        <w:t>línea</w:t>
      </w:r>
      <w:r w:rsidR="00101F96">
        <w:rPr>
          <w:rFonts w:ascii="Verdana" w:hAnsi="Verdana"/>
          <w:bCs/>
          <w:iCs/>
          <w:sz w:val="20"/>
          <w:szCs w:val="20"/>
          <w:lang w:val="es-CR"/>
        </w:rPr>
        <w:t xml:space="preserve"> jurisprudencial </w:t>
      </w:r>
      <w:r w:rsidR="007A694D">
        <w:rPr>
          <w:rFonts w:ascii="Verdana" w:hAnsi="Verdana"/>
          <w:bCs/>
          <w:iCs/>
          <w:sz w:val="20"/>
          <w:szCs w:val="20"/>
          <w:lang w:val="es-CR"/>
        </w:rPr>
        <w:t xml:space="preserve">sobre los DESCA, con independencia de que esta sea pertinente o necesaria a los efectos de garantizar la justicia del caso concreto. </w:t>
      </w:r>
      <w:r w:rsidR="00351153">
        <w:rPr>
          <w:rFonts w:ascii="Verdana" w:hAnsi="Verdana"/>
          <w:bCs/>
          <w:iCs/>
          <w:sz w:val="20"/>
          <w:szCs w:val="20"/>
          <w:lang w:val="es-CR"/>
        </w:rPr>
        <w:t xml:space="preserve"> </w:t>
      </w:r>
    </w:p>
    <w:p w14:paraId="36BF805D" w14:textId="47957F06" w:rsidR="000827F3" w:rsidRDefault="000827F3" w:rsidP="000827F3">
      <w:pPr>
        <w:autoSpaceDE w:val="0"/>
        <w:autoSpaceDN w:val="0"/>
        <w:adjustRightInd w:val="0"/>
        <w:spacing w:before="240" w:after="120"/>
        <w:jc w:val="both"/>
        <w:rPr>
          <w:rFonts w:ascii="Verdana" w:hAnsi="Verdana"/>
          <w:bCs/>
          <w:sz w:val="20"/>
          <w:szCs w:val="20"/>
        </w:rPr>
      </w:pPr>
    </w:p>
    <w:p w14:paraId="2B7DC1C4" w14:textId="4D36D83B" w:rsidR="000827F3" w:rsidRDefault="000827F3" w:rsidP="000827F3">
      <w:pPr>
        <w:autoSpaceDE w:val="0"/>
        <w:autoSpaceDN w:val="0"/>
        <w:adjustRightInd w:val="0"/>
        <w:spacing w:before="240" w:after="120"/>
        <w:jc w:val="both"/>
        <w:rPr>
          <w:rFonts w:ascii="Verdana" w:hAnsi="Verdana"/>
          <w:bCs/>
          <w:sz w:val="20"/>
          <w:szCs w:val="20"/>
        </w:rPr>
      </w:pPr>
    </w:p>
    <w:p w14:paraId="382EEB86" w14:textId="50A99F02" w:rsidR="000827F3" w:rsidRDefault="000827F3" w:rsidP="000827F3">
      <w:pPr>
        <w:autoSpaceDE w:val="0"/>
        <w:autoSpaceDN w:val="0"/>
        <w:adjustRightInd w:val="0"/>
        <w:spacing w:before="240" w:after="120"/>
        <w:jc w:val="both"/>
        <w:rPr>
          <w:rFonts w:ascii="Verdana" w:hAnsi="Verdana"/>
          <w:bCs/>
          <w:sz w:val="20"/>
          <w:szCs w:val="20"/>
        </w:rPr>
      </w:pPr>
    </w:p>
    <w:p w14:paraId="6499CD64" w14:textId="19A39838" w:rsidR="000827F3" w:rsidRDefault="000827F3" w:rsidP="000827F3">
      <w:pPr>
        <w:pStyle w:val="Prrafodelista"/>
        <w:autoSpaceDE w:val="0"/>
        <w:autoSpaceDN w:val="0"/>
        <w:adjustRightInd w:val="0"/>
        <w:spacing w:before="80" w:after="120" w:line="276" w:lineRule="auto"/>
        <w:ind w:left="5664"/>
        <w:jc w:val="both"/>
        <w:outlineLvl w:val="0"/>
        <w:rPr>
          <w:rFonts w:ascii="Verdana" w:eastAsia="Times" w:hAnsi="Verdana" w:cs="Times"/>
          <w:sz w:val="20"/>
          <w:szCs w:val="20"/>
          <w:lang w:val="pt-BR"/>
        </w:rPr>
      </w:pPr>
      <w:bookmarkStart w:id="0" w:name="_Hlk121912493"/>
      <w:r w:rsidRPr="00180731">
        <w:rPr>
          <w:rFonts w:ascii="Verdana" w:eastAsia="Times" w:hAnsi="Verdana" w:cs="Times"/>
          <w:sz w:val="20"/>
          <w:szCs w:val="20"/>
          <w:lang w:val="pt-BR"/>
        </w:rPr>
        <w:t xml:space="preserve">Humberto </w:t>
      </w:r>
      <w:proofErr w:type="spellStart"/>
      <w:r w:rsidRPr="00180731">
        <w:rPr>
          <w:rFonts w:ascii="Verdana" w:eastAsia="Times" w:hAnsi="Verdana" w:cs="Times"/>
          <w:sz w:val="20"/>
          <w:szCs w:val="20"/>
          <w:lang w:val="pt-BR"/>
        </w:rPr>
        <w:t>Antonio</w:t>
      </w:r>
      <w:proofErr w:type="spellEnd"/>
      <w:r w:rsidRPr="00180731">
        <w:rPr>
          <w:rFonts w:ascii="Verdana" w:eastAsia="Times" w:hAnsi="Verdana" w:cs="Times"/>
          <w:sz w:val="20"/>
          <w:szCs w:val="20"/>
          <w:lang w:val="pt-BR"/>
        </w:rPr>
        <w:t xml:space="preserve"> </w:t>
      </w:r>
      <w:proofErr w:type="spellStart"/>
      <w:r w:rsidRPr="00180731">
        <w:rPr>
          <w:rFonts w:ascii="Verdana" w:eastAsia="Times" w:hAnsi="Verdana" w:cs="Times"/>
          <w:sz w:val="20"/>
          <w:szCs w:val="20"/>
          <w:lang w:val="pt-BR"/>
        </w:rPr>
        <w:t>Sierra</w:t>
      </w:r>
      <w:proofErr w:type="spellEnd"/>
      <w:r w:rsidRPr="00180731">
        <w:rPr>
          <w:rFonts w:ascii="Verdana" w:eastAsia="Times" w:hAnsi="Verdana" w:cs="Times"/>
          <w:sz w:val="20"/>
          <w:szCs w:val="20"/>
          <w:lang w:val="pt-BR"/>
        </w:rPr>
        <w:t xml:space="preserve"> Porto</w:t>
      </w:r>
    </w:p>
    <w:p w14:paraId="7B6965F1" w14:textId="77777777" w:rsidR="000827F3" w:rsidRDefault="000827F3" w:rsidP="000827F3">
      <w:pPr>
        <w:pStyle w:val="Prrafodelista"/>
        <w:autoSpaceDE w:val="0"/>
        <w:autoSpaceDN w:val="0"/>
        <w:adjustRightInd w:val="0"/>
        <w:spacing w:before="80" w:after="120" w:line="276" w:lineRule="auto"/>
        <w:ind w:left="5664"/>
        <w:jc w:val="both"/>
        <w:outlineLvl w:val="0"/>
        <w:rPr>
          <w:rFonts w:ascii="Verdana" w:eastAsia="Times" w:hAnsi="Verdana" w:cs="Times"/>
          <w:sz w:val="20"/>
          <w:szCs w:val="20"/>
          <w:lang w:val="pt-BR"/>
        </w:rPr>
      </w:pPr>
      <w:r>
        <w:rPr>
          <w:rFonts w:ascii="Verdana" w:eastAsia="Times" w:hAnsi="Verdana" w:cs="Times"/>
          <w:sz w:val="20"/>
          <w:szCs w:val="20"/>
          <w:lang w:val="pt-BR"/>
        </w:rPr>
        <w:t xml:space="preserve">                 </w:t>
      </w:r>
      <w:proofErr w:type="spellStart"/>
      <w:r>
        <w:rPr>
          <w:rFonts w:ascii="Verdana" w:eastAsia="Times" w:hAnsi="Verdana" w:cs="Times"/>
          <w:sz w:val="20"/>
          <w:szCs w:val="20"/>
          <w:lang w:val="pt-BR"/>
        </w:rPr>
        <w:t>Juez</w:t>
      </w:r>
      <w:proofErr w:type="spellEnd"/>
    </w:p>
    <w:p w14:paraId="1578CEFB" w14:textId="77777777" w:rsidR="000827F3" w:rsidRDefault="000827F3" w:rsidP="000827F3">
      <w:pPr>
        <w:rPr>
          <w:rFonts w:ascii="Verdana" w:eastAsia="Times" w:hAnsi="Verdana" w:cs="Times"/>
          <w:sz w:val="20"/>
          <w:szCs w:val="20"/>
          <w:lang w:val="pt-BR"/>
        </w:rPr>
      </w:pPr>
    </w:p>
    <w:p w14:paraId="56A9338C" w14:textId="77777777" w:rsidR="000827F3" w:rsidRDefault="000827F3" w:rsidP="000827F3">
      <w:pPr>
        <w:rPr>
          <w:rFonts w:ascii="Verdana" w:eastAsia="Times" w:hAnsi="Verdana" w:cs="Times"/>
          <w:sz w:val="20"/>
          <w:szCs w:val="20"/>
          <w:lang w:val="pt-BR"/>
        </w:rPr>
      </w:pPr>
    </w:p>
    <w:p w14:paraId="342B5CD3" w14:textId="77777777" w:rsidR="000827F3" w:rsidRPr="00180731" w:rsidRDefault="000827F3" w:rsidP="000827F3">
      <w:pPr>
        <w:rPr>
          <w:rFonts w:ascii="Verdana" w:eastAsia="Times" w:hAnsi="Verdana" w:cs="Times"/>
          <w:sz w:val="20"/>
          <w:szCs w:val="20"/>
          <w:lang w:val="pt-BR"/>
        </w:rPr>
      </w:pPr>
      <w:r w:rsidRPr="00180731">
        <w:rPr>
          <w:rFonts w:ascii="Verdana" w:eastAsia="Times" w:hAnsi="Verdana" w:cs="Times"/>
          <w:sz w:val="20"/>
          <w:szCs w:val="20"/>
          <w:lang w:val="pt-BR"/>
        </w:rPr>
        <w:t>Pablo Saavedra Alessandri</w:t>
      </w:r>
    </w:p>
    <w:p w14:paraId="7E94D1C1" w14:textId="77777777" w:rsidR="000827F3" w:rsidRPr="00180731" w:rsidRDefault="000827F3" w:rsidP="000827F3">
      <w:pPr>
        <w:rPr>
          <w:rFonts w:ascii="Verdana" w:eastAsia="Times" w:hAnsi="Verdana" w:cs="Times"/>
          <w:sz w:val="20"/>
          <w:szCs w:val="20"/>
          <w:lang w:val="pt-BR"/>
        </w:rPr>
      </w:pPr>
      <w:r>
        <w:rPr>
          <w:rFonts w:ascii="Verdana" w:eastAsia="Times" w:hAnsi="Verdana" w:cs="Times"/>
          <w:sz w:val="20"/>
          <w:szCs w:val="20"/>
          <w:lang w:val="pt-BR"/>
        </w:rPr>
        <w:t xml:space="preserve">            </w:t>
      </w:r>
      <w:r w:rsidRPr="00180731">
        <w:rPr>
          <w:rFonts w:ascii="Verdana" w:eastAsia="Times" w:hAnsi="Verdana" w:cs="Times"/>
          <w:sz w:val="20"/>
          <w:szCs w:val="20"/>
          <w:lang w:val="pt-BR"/>
        </w:rPr>
        <w:t>Secretario</w:t>
      </w:r>
    </w:p>
    <w:p w14:paraId="2E3FE7C7" w14:textId="77777777" w:rsidR="000827F3" w:rsidRPr="007F43BB" w:rsidRDefault="000827F3" w:rsidP="000827F3">
      <w:pPr>
        <w:autoSpaceDE w:val="0"/>
        <w:autoSpaceDN w:val="0"/>
        <w:adjustRightInd w:val="0"/>
        <w:spacing w:before="80" w:after="120" w:line="276" w:lineRule="auto"/>
        <w:jc w:val="both"/>
        <w:outlineLvl w:val="0"/>
        <w:rPr>
          <w:rFonts w:ascii="Verdana" w:hAnsi="Verdana" w:cs="Arial"/>
          <w:bCs/>
          <w:sz w:val="20"/>
          <w:szCs w:val="20"/>
        </w:rPr>
      </w:pPr>
    </w:p>
    <w:bookmarkEnd w:id="0"/>
    <w:p w14:paraId="6F928F8B" w14:textId="77777777" w:rsidR="000827F3" w:rsidRPr="000827F3" w:rsidRDefault="000827F3" w:rsidP="000827F3">
      <w:pPr>
        <w:autoSpaceDE w:val="0"/>
        <w:autoSpaceDN w:val="0"/>
        <w:adjustRightInd w:val="0"/>
        <w:spacing w:before="240" w:after="120"/>
        <w:jc w:val="both"/>
        <w:rPr>
          <w:rFonts w:ascii="Verdana" w:hAnsi="Verdana"/>
          <w:bCs/>
          <w:sz w:val="20"/>
          <w:szCs w:val="20"/>
        </w:rPr>
      </w:pPr>
    </w:p>
    <w:sectPr w:rsidR="000827F3" w:rsidRPr="000827F3" w:rsidSect="00A671F6">
      <w:footerReference w:type="default" r:id="rId8"/>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92976" w14:textId="77777777" w:rsidR="00F96F77" w:rsidRDefault="00F96F77" w:rsidP="00DE3B1C">
      <w:r>
        <w:separator/>
      </w:r>
    </w:p>
  </w:endnote>
  <w:endnote w:type="continuationSeparator" w:id="0">
    <w:p w14:paraId="0A9D4617" w14:textId="77777777" w:rsidR="00F96F77" w:rsidRDefault="00F96F77" w:rsidP="00DE3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784964"/>
      <w:docPartObj>
        <w:docPartGallery w:val="Page Numbers (Bottom of Page)"/>
        <w:docPartUnique/>
      </w:docPartObj>
    </w:sdtPr>
    <w:sdtContent>
      <w:p w14:paraId="1D03BC4B" w14:textId="167B6ED3" w:rsidR="00A671F6" w:rsidRDefault="00A671F6">
        <w:pPr>
          <w:pStyle w:val="Piedepgina"/>
          <w:jc w:val="right"/>
        </w:pPr>
        <w:r>
          <w:fldChar w:fldCharType="begin"/>
        </w:r>
        <w:r>
          <w:instrText>PAGE   \* MERGEFORMAT</w:instrText>
        </w:r>
        <w:r>
          <w:fldChar w:fldCharType="separate"/>
        </w:r>
        <w:r w:rsidR="00DB72A3" w:rsidRPr="00DB72A3">
          <w:rPr>
            <w:noProof/>
            <w:lang w:val="es-ES"/>
          </w:rPr>
          <w:t>7</w:t>
        </w:r>
        <w:r>
          <w:fldChar w:fldCharType="end"/>
        </w:r>
      </w:p>
    </w:sdtContent>
  </w:sdt>
  <w:p w14:paraId="7F5BDB3A" w14:textId="77777777" w:rsidR="00A671F6" w:rsidRDefault="00A671F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0A649" w14:textId="77777777" w:rsidR="00F96F77" w:rsidRDefault="00F96F77" w:rsidP="00DE3B1C">
      <w:r>
        <w:separator/>
      </w:r>
    </w:p>
  </w:footnote>
  <w:footnote w:type="continuationSeparator" w:id="0">
    <w:p w14:paraId="51913845" w14:textId="77777777" w:rsidR="00F96F77" w:rsidRDefault="00F96F77" w:rsidP="00DE3B1C">
      <w:r>
        <w:continuationSeparator/>
      </w:r>
    </w:p>
  </w:footnote>
  <w:footnote w:id="1">
    <w:p w14:paraId="351F1066" w14:textId="77777777" w:rsidR="008B3B98" w:rsidRPr="008B6F0B" w:rsidRDefault="008B3B98" w:rsidP="002D2C61">
      <w:pPr>
        <w:pStyle w:val="Textonotapie"/>
        <w:jc w:val="both"/>
        <w:rPr>
          <w:rFonts w:ascii="Verdana" w:hAnsi="Verdana"/>
          <w:sz w:val="16"/>
          <w:szCs w:val="16"/>
          <w:lang w:val="es-ES_tradnl"/>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Caso Lagos del Campo Vs. Perú. Excepciones Preliminares, Fondo, Reparaciones y Costas</w:t>
      </w:r>
      <w:r w:rsidRPr="008B6F0B">
        <w:rPr>
          <w:rFonts w:ascii="Verdana" w:hAnsi="Verdana"/>
          <w:sz w:val="16"/>
          <w:szCs w:val="16"/>
        </w:rPr>
        <w:t xml:space="preserve">. Sentencia de 31 de agosto de 2017. Serie C No. 340. Voto parcialmente disidente del Juez Humberto Antonio Sierra Porto. </w:t>
      </w:r>
    </w:p>
  </w:footnote>
  <w:footnote w:id="2">
    <w:p w14:paraId="03C4F61F" w14:textId="77777777" w:rsidR="008B3B98" w:rsidRPr="008B6F0B" w:rsidRDefault="008B3B98" w:rsidP="002D2C61">
      <w:pPr>
        <w:pStyle w:val="Textonotapie"/>
        <w:jc w:val="both"/>
        <w:rPr>
          <w:rFonts w:ascii="Verdana" w:hAnsi="Verdana"/>
          <w:sz w:val="16"/>
          <w:szCs w:val="16"/>
          <w:lang w:val="es-ES_tradnl"/>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Caso Trabajadores Cesados de Petroperú y otros Vs. Perú. Excepciones Preliminares, Fondo, Reparaciones y Costas</w:t>
      </w:r>
      <w:r w:rsidRPr="008B6F0B">
        <w:rPr>
          <w:rFonts w:ascii="Verdana" w:hAnsi="Verdana"/>
          <w:sz w:val="16"/>
          <w:szCs w:val="16"/>
        </w:rPr>
        <w:t>. Sentencia de 23 de noviembre de 2017. Serie C No. 344. Voto parcialmente disidente del Juez Humberto Antonio Sierra Porto.</w:t>
      </w:r>
    </w:p>
  </w:footnote>
  <w:footnote w:id="3">
    <w:p w14:paraId="3622A74E" w14:textId="77777777" w:rsidR="008B3B98" w:rsidRPr="008B6F0B" w:rsidRDefault="008B3B98" w:rsidP="002D2C61">
      <w:pPr>
        <w:pStyle w:val="Textonotapie"/>
        <w:jc w:val="both"/>
        <w:rPr>
          <w:rFonts w:ascii="Verdana" w:hAnsi="Verdana"/>
          <w:sz w:val="16"/>
          <w:szCs w:val="16"/>
          <w:lang w:val="es-ES_tradnl"/>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Caso San Miguel Sosa y otras Vs. Venezuela. Fondo, Reparaciones y Costas</w:t>
      </w:r>
      <w:r w:rsidRPr="008B6F0B">
        <w:rPr>
          <w:rFonts w:ascii="Verdana" w:hAnsi="Verdana"/>
          <w:sz w:val="16"/>
          <w:szCs w:val="16"/>
        </w:rPr>
        <w:t>. Sentencia de 8 de febrero de 2018. Serie C No. 348. Voto parcialmente disidente del Juez Humberto Antonio Sierra Porto.</w:t>
      </w:r>
    </w:p>
  </w:footnote>
  <w:footnote w:id="4">
    <w:p w14:paraId="6A791CF9" w14:textId="77777777" w:rsidR="008B3B98" w:rsidRPr="008B6F0B" w:rsidRDefault="008B3B98" w:rsidP="002D2C61">
      <w:pPr>
        <w:pStyle w:val="Textonotapie"/>
        <w:jc w:val="both"/>
        <w:rPr>
          <w:rFonts w:ascii="Verdana" w:hAnsi="Verdana"/>
          <w:sz w:val="16"/>
          <w:szCs w:val="16"/>
          <w:lang w:val="es-ES_tradnl"/>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Caso Muelle Flores Vs. Perú. Excepciones Preliminares, Fondo, Reparaciones y Costas</w:t>
      </w:r>
      <w:r w:rsidRPr="008B6F0B">
        <w:rPr>
          <w:rFonts w:ascii="Verdana" w:hAnsi="Verdana"/>
          <w:sz w:val="16"/>
          <w:szCs w:val="16"/>
        </w:rPr>
        <w:t>. Sentencia de 6 de marzo de 2019. Serie C No. 375. Voto parcialmente disidente del Juez Humberto Antonio Sierra Porto.</w:t>
      </w:r>
    </w:p>
  </w:footnote>
  <w:footnote w:id="5">
    <w:p w14:paraId="43595ACB" w14:textId="77777777" w:rsidR="008B3B98" w:rsidRPr="008B6F0B" w:rsidRDefault="008B3B98" w:rsidP="002D2C61">
      <w:pPr>
        <w:pStyle w:val="Textonotapie"/>
        <w:jc w:val="both"/>
        <w:rPr>
          <w:rFonts w:ascii="Verdana" w:hAnsi="Verdana"/>
          <w:sz w:val="16"/>
          <w:szCs w:val="16"/>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Caso Hernández Vs. Argentina. Excepción Preliminar, Fondo, Reparaciones y Costas</w:t>
      </w:r>
      <w:r w:rsidRPr="008B6F0B">
        <w:rPr>
          <w:rFonts w:ascii="Verdana" w:hAnsi="Verdana"/>
          <w:sz w:val="16"/>
          <w:szCs w:val="16"/>
        </w:rPr>
        <w:t>. Sentencia de 22 de noviembre de 2019. Serie C No. 395. Voto parcialmente disidente del Juez Humberto Antonio Sierra Porto.</w:t>
      </w:r>
    </w:p>
  </w:footnote>
  <w:footnote w:id="6">
    <w:p w14:paraId="55FCEB85" w14:textId="77777777" w:rsidR="008B3B98" w:rsidRPr="008B6F0B" w:rsidRDefault="008B3B98" w:rsidP="002D2C61">
      <w:pPr>
        <w:pStyle w:val="Textonotapie"/>
        <w:jc w:val="both"/>
        <w:rPr>
          <w:rFonts w:ascii="Verdana" w:hAnsi="Verdana"/>
          <w:sz w:val="16"/>
          <w:szCs w:val="16"/>
          <w:lang w:val="es-ES_tradnl"/>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Caso Asociación Nacional de Cesantes y Jubilados de la Superintendencia Nacional de Administración Tributaria (ANCEJUB-SUNAT) Vs. Perú</w:t>
      </w:r>
      <w:r w:rsidRPr="008B6F0B">
        <w:rPr>
          <w:rFonts w:ascii="Verdana" w:hAnsi="Verdana"/>
          <w:sz w:val="16"/>
          <w:szCs w:val="16"/>
        </w:rPr>
        <w:t>. Excepciones Preliminares, Fondo, Reparaciones y Costas. Sentencia de 21 de noviembre de 2019. Serie C No. 39. Voto parcialmente disidente del Juez Humberto Antonio Sierra Porto.</w:t>
      </w:r>
    </w:p>
  </w:footnote>
  <w:footnote w:id="7">
    <w:p w14:paraId="62E43BFC" w14:textId="77777777" w:rsidR="008B3B98" w:rsidRPr="008B6F0B" w:rsidRDefault="008B3B98" w:rsidP="002D2C61">
      <w:pPr>
        <w:pStyle w:val="Textonotapie"/>
        <w:jc w:val="both"/>
        <w:rPr>
          <w:rFonts w:ascii="Verdana" w:hAnsi="Verdana"/>
          <w:sz w:val="16"/>
          <w:szCs w:val="16"/>
          <w:lang w:val="es-ES_tradnl"/>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 xml:space="preserve">Caso Comunidades Indígenas Miembros de la Asociación </w:t>
      </w:r>
      <w:proofErr w:type="spellStart"/>
      <w:r w:rsidRPr="008B6F0B">
        <w:rPr>
          <w:rFonts w:ascii="Verdana" w:hAnsi="Verdana"/>
          <w:i/>
          <w:iCs/>
          <w:sz w:val="16"/>
          <w:szCs w:val="16"/>
        </w:rPr>
        <w:t>Lhaka</w:t>
      </w:r>
      <w:proofErr w:type="spellEnd"/>
      <w:r w:rsidRPr="008B6F0B">
        <w:rPr>
          <w:rFonts w:ascii="Verdana" w:hAnsi="Verdana"/>
          <w:i/>
          <w:iCs/>
          <w:sz w:val="16"/>
          <w:szCs w:val="16"/>
        </w:rPr>
        <w:t xml:space="preserve"> </w:t>
      </w:r>
      <w:proofErr w:type="spellStart"/>
      <w:r w:rsidRPr="008B6F0B">
        <w:rPr>
          <w:rFonts w:ascii="Verdana" w:hAnsi="Verdana"/>
          <w:i/>
          <w:iCs/>
          <w:sz w:val="16"/>
          <w:szCs w:val="16"/>
        </w:rPr>
        <w:t>Honhat</w:t>
      </w:r>
      <w:proofErr w:type="spellEnd"/>
      <w:r w:rsidRPr="008B6F0B">
        <w:rPr>
          <w:rFonts w:ascii="Verdana" w:hAnsi="Verdana"/>
          <w:i/>
          <w:iCs/>
          <w:sz w:val="16"/>
          <w:szCs w:val="16"/>
        </w:rPr>
        <w:t xml:space="preserve"> (Nuestra Tierra) Vs. Argentina</w:t>
      </w:r>
      <w:r w:rsidRPr="008B6F0B">
        <w:rPr>
          <w:rFonts w:ascii="Verdana" w:hAnsi="Verdana"/>
          <w:sz w:val="16"/>
          <w:szCs w:val="16"/>
        </w:rPr>
        <w:t xml:space="preserve">. </w:t>
      </w:r>
      <w:r w:rsidRPr="008B6F0B">
        <w:rPr>
          <w:rFonts w:ascii="Verdana" w:hAnsi="Verdana"/>
          <w:i/>
          <w:iCs/>
          <w:sz w:val="16"/>
          <w:szCs w:val="16"/>
        </w:rPr>
        <w:t>Fondo, Reparaciones y Costas.</w:t>
      </w:r>
      <w:r w:rsidRPr="008B6F0B">
        <w:rPr>
          <w:rFonts w:ascii="Verdana" w:hAnsi="Verdana"/>
          <w:sz w:val="16"/>
          <w:szCs w:val="16"/>
        </w:rPr>
        <w:t xml:space="preserve"> Sentencia de 6 de febrero de 2020. Serie C No. 400. Voto parcialmente disidente del Juez Humberto Antonio Sierra Porto.</w:t>
      </w:r>
    </w:p>
  </w:footnote>
  <w:footnote w:id="8">
    <w:p w14:paraId="68DE1740" w14:textId="77777777" w:rsidR="008B3B98" w:rsidRPr="008B6F0B" w:rsidRDefault="008B3B98" w:rsidP="002D2C61">
      <w:pPr>
        <w:pStyle w:val="Textonotapie"/>
        <w:jc w:val="both"/>
        <w:rPr>
          <w:rFonts w:ascii="Verdana" w:hAnsi="Verdana"/>
          <w:sz w:val="16"/>
          <w:szCs w:val="16"/>
          <w:lang w:val="es-ES_tradnl"/>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Caso de los Empleados de la Fábrica de Fuegos de Santo Antônio de Jesus Vs. Brasil</w:t>
      </w:r>
      <w:r w:rsidRPr="008B6F0B">
        <w:rPr>
          <w:rFonts w:ascii="Verdana" w:hAnsi="Verdana"/>
          <w:sz w:val="16"/>
          <w:szCs w:val="16"/>
        </w:rPr>
        <w:t xml:space="preserve">. </w:t>
      </w:r>
      <w:r w:rsidRPr="008B6F0B">
        <w:rPr>
          <w:rFonts w:ascii="Verdana" w:hAnsi="Verdana"/>
          <w:i/>
          <w:iCs/>
          <w:sz w:val="16"/>
          <w:szCs w:val="16"/>
        </w:rPr>
        <w:t>Excepciones Preliminares, Fondo, Reparaciones y Costas</w:t>
      </w:r>
      <w:r w:rsidRPr="008B6F0B">
        <w:rPr>
          <w:rFonts w:ascii="Verdana" w:hAnsi="Verdana"/>
          <w:sz w:val="16"/>
          <w:szCs w:val="16"/>
        </w:rPr>
        <w:t>. Sentencia de 15 de julio de 2020. Serie C No. 407. Voto parcialmente disidente del Juez Humberto Antonio Sierra Porto.</w:t>
      </w:r>
    </w:p>
  </w:footnote>
  <w:footnote w:id="9">
    <w:p w14:paraId="2B2ED0E3" w14:textId="77777777" w:rsidR="008B3B98" w:rsidRPr="008B6F0B" w:rsidRDefault="008B3B98" w:rsidP="002D2C61">
      <w:pPr>
        <w:pStyle w:val="Textonotapie"/>
        <w:jc w:val="both"/>
        <w:rPr>
          <w:rFonts w:ascii="Verdana" w:hAnsi="Verdana"/>
          <w:sz w:val="16"/>
          <w:szCs w:val="16"/>
          <w:lang w:val="es-ES_tradnl"/>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Caso Casa Nina Vs. Perú. Excepciones Preliminares, Fondo, Reparaciones y Costas</w:t>
      </w:r>
      <w:r w:rsidRPr="008B6F0B">
        <w:rPr>
          <w:rFonts w:ascii="Verdana" w:hAnsi="Verdana"/>
          <w:sz w:val="16"/>
          <w:szCs w:val="16"/>
        </w:rPr>
        <w:t>. Sentencia de 24 de noviembre de 2020. Serie C No. 419. Voto concurrente y parcialmente disidente del Juez Humberto Antonio Sierra Porto.</w:t>
      </w:r>
    </w:p>
  </w:footnote>
  <w:footnote w:id="10">
    <w:p w14:paraId="3E1057C0" w14:textId="77777777" w:rsidR="008B3B98" w:rsidRPr="008B6F0B" w:rsidRDefault="008B3B98" w:rsidP="002D2C61">
      <w:pPr>
        <w:pStyle w:val="Textonotapie"/>
        <w:jc w:val="both"/>
        <w:rPr>
          <w:rFonts w:ascii="Verdana" w:hAnsi="Verdana"/>
          <w:sz w:val="16"/>
          <w:szCs w:val="16"/>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 xml:space="preserve">Caso </w:t>
      </w:r>
      <w:proofErr w:type="spellStart"/>
      <w:r w:rsidRPr="008B6F0B">
        <w:rPr>
          <w:rFonts w:ascii="Verdana" w:hAnsi="Verdana"/>
          <w:i/>
          <w:iCs/>
          <w:sz w:val="16"/>
          <w:szCs w:val="16"/>
        </w:rPr>
        <w:t>Guachalá</w:t>
      </w:r>
      <w:proofErr w:type="spellEnd"/>
      <w:r w:rsidRPr="008B6F0B">
        <w:rPr>
          <w:rFonts w:ascii="Verdana" w:hAnsi="Verdana"/>
          <w:i/>
          <w:iCs/>
          <w:sz w:val="16"/>
          <w:szCs w:val="16"/>
        </w:rPr>
        <w:t xml:space="preserve"> Chimbo y otros Vs. Ecuador. Fondo, Reparaciones y Costas</w:t>
      </w:r>
      <w:r w:rsidRPr="008B6F0B">
        <w:rPr>
          <w:rFonts w:ascii="Verdana" w:hAnsi="Verdana"/>
          <w:sz w:val="16"/>
          <w:szCs w:val="16"/>
        </w:rPr>
        <w:t>. Sentencia de 26 de marzo de 2021. Serie C No. 423. Voto concurrente y parcialmente disidente del Juez Humberto Antonio Sierra Porto.</w:t>
      </w:r>
    </w:p>
  </w:footnote>
  <w:footnote w:id="11">
    <w:p w14:paraId="14033EF0" w14:textId="77777777" w:rsidR="008B3B98" w:rsidRPr="008B6F0B" w:rsidRDefault="008B3B98" w:rsidP="002D2C61">
      <w:pPr>
        <w:pStyle w:val="Textonotapie"/>
        <w:jc w:val="both"/>
        <w:rPr>
          <w:rFonts w:ascii="Verdana" w:hAnsi="Verdana"/>
          <w:sz w:val="16"/>
          <w:szCs w:val="16"/>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Caso Federación Nacional de Trabajadores Marítimos y Portuarios (FEMAPOR) Vs. Perú. Excepciones Preliminares, Fondo y Reparaciones</w:t>
      </w:r>
      <w:r w:rsidRPr="008B6F0B">
        <w:rPr>
          <w:rFonts w:ascii="Verdana" w:hAnsi="Verdana"/>
          <w:sz w:val="16"/>
          <w:szCs w:val="16"/>
        </w:rPr>
        <w:t>. Sentencia de 1 de febrero de 2022. Serie C No. 448. Voto parcialmente disidente del Juez Humberto Antonio Sierra Porto.</w:t>
      </w:r>
    </w:p>
  </w:footnote>
  <w:footnote w:id="12">
    <w:p w14:paraId="54AF5A7F" w14:textId="783578F4" w:rsidR="002C4B8A" w:rsidRPr="008B6F0B" w:rsidRDefault="002C4B8A" w:rsidP="002D2C61">
      <w:pPr>
        <w:pStyle w:val="Textonotapie"/>
        <w:jc w:val="both"/>
        <w:rPr>
          <w:rFonts w:ascii="Verdana" w:hAnsi="Verdana"/>
          <w:sz w:val="16"/>
          <w:szCs w:val="16"/>
          <w:lang w:val="es-ES_tradnl"/>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lang w:val="es-ES_tradnl"/>
        </w:rPr>
        <w:tab/>
      </w:r>
      <w:r w:rsidRPr="008B6F0B">
        <w:rPr>
          <w:rFonts w:ascii="Verdana" w:hAnsi="Verdana"/>
          <w:i/>
          <w:iCs/>
          <w:sz w:val="16"/>
          <w:szCs w:val="16"/>
        </w:rPr>
        <w:t>Caso Guevara Díaz Vs. Costa Rica. Fondo, Reparaciones y Costas</w:t>
      </w:r>
      <w:r w:rsidRPr="008B6F0B">
        <w:rPr>
          <w:rFonts w:ascii="Verdana" w:hAnsi="Verdana"/>
          <w:sz w:val="16"/>
          <w:szCs w:val="16"/>
        </w:rPr>
        <w:t>. Sentencia de 22 de junio de 2022. Serie C No. 453</w:t>
      </w:r>
      <w:r w:rsidRPr="008B6F0B">
        <w:rPr>
          <w:rFonts w:ascii="Verdana" w:hAnsi="Verdana"/>
          <w:sz w:val="16"/>
          <w:szCs w:val="16"/>
          <w:lang w:val="es-ES_tradnl"/>
        </w:rPr>
        <w:t xml:space="preserve">. </w:t>
      </w:r>
      <w:r w:rsidRPr="008B6F0B">
        <w:rPr>
          <w:rFonts w:ascii="Verdana" w:hAnsi="Verdana"/>
          <w:sz w:val="16"/>
          <w:szCs w:val="16"/>
        </w:rPr>
        <w:t>Voto concurrente y parcialmente disidente del Juez Humberto Antonio Sierra Porto.</w:t>
      </w:r>
    </w:p>
  </w:footnote>
  <w:footnote w:id="13">
    <w:p w14:paraId="5B923D06" w14:textId="77777777" w:rsidR="008B3B98" w:rsidRPr="008B6F0B" w:rsidRDefault="008B3B98" w:rsidP="002D2C61">
      <w:pPr>
        <w:pStyle w:val="Textonotapie"/>
        <w:jc w:val="both"/>
        <w:rPr>
          <w:rFonts w:ascii="Verdana" w:hAnsi="Verdana"/>
          <w:sz w:val="16"/>
          <w:szCs w:val="16"/>
          <w:lang w:val="es-ES_tradnl"/>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 xml:space="preserve">Caso Gonzales </w:t>
      </w:r>
      <w:proofErr w:type="spellStart"/>
      <w:r w:rsidRPr="008B6F0B">
        <w:rPr>
          <w:rFonts w:ascii="Verdana" w:hAnsi="Verdana"/>
          <w:i/>
          <w:iCs/>
          <w:sz w:val="16"/>
          <w:szCs w:val="16"/>
        </w:rPr>
        <w:t>Lluy</w:t>
      </w:r>
      <w:proofErr w:type="spellEnd"/>
      <w:r w:rsidRPr="008B6F0B">
        <w:rPr>
          <w:rFonts w:ascii="Verdana" w:hAnsi="Verdana"/>
          <w:i/>
          <w:iCs/>
          <w:sz w:val="16"/>
          <w:szCs w:val="16"/>
        </w:rPr>
        <w:t xml:space="preserve"> y otros Vs. Ecuador. Excepciones Preliminares, Fondo, Reparaciones y Costas.</w:t>
      </w:r>
      <w:r w:rsidRPr="008B6F0B">
        <w:rPr>
          <w:rFonts w:ascii="Verdana" w:hAnsi="Verdana"/>
          <w:sz w:val="16"/>
          <w:szCs w:val="16"/>
        </w:rPr>
        <w:t xml:space="preserve"> Sentencia de 1 de septiembre de 2015. Serie C No. 298. Voto concurrente del Juez Humberto Antonio Sierra Porto. </w:t>
      </w:r>
    </w:p>
  </w:footnote>
  <w:footnote w:id="14">
    <w:p w14:paraId="143C0618" w14:textId="77777777" w:rsidR="008B3B98" w:rsidRPr="008B6F0B" w:rsidRDefault="008B3B98" w:rsidP="002D2C61">
      <w:pPr>
        <w:pStyle w:val="Textonotapie"/>
        <w:jc w:val="both"/>
        <w:rPr>
          <w:rFonts w:ascii="Verdana" w:hAnsi="Verdana"/>
          <w:sz w:val="16"/>
          <w:szCs w:val="16"/>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Caso Poblete Vilches y otros Vs. Chile. Fondo, Reparaciones y Costas</w:t>
      </w:r>
      <w:r w:rsidRPr="008B6F0B">
        <w:rPr>
          <w:rFonts w:ascii="Verdana" w:hAnsi="Verdana"/>
          <w:sz w:val="16"/>
          <w:szCs w:val="16"/>
        </w:rPr>
        <w:t>. Sentencia de 8 de marzo de 2018. Serie C No. 349. Voto concurrente del Juez Humberto Antonio Sierra Porto.</w:t>
      </w:r>
    </w:p>
  </w:footnote>
  <w:footnote w:id="15">
    <w:p w14:paraId="5DC2844F" w14:textId="77777777" w:rsidR="008B3B98" w:rsidRPr="008B6F0B" w:rsidRDefault="008B3B98" w:rsidP="002D2C61">
      <w:pPr>
        <w:pStyle w:val="Textonotapie"/>
        <w:jc w:val="both"/>
        <w:rPr>
          <w:rFonts w:ascii="Verdana" w:hAnsi="Verdana"/>
          <w:sz w:val="16"/>
          <w:szCs w:val="16"/>
          <w:lang w:val="es-ES_tradnl"/>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 xml:space="preserve">Caso Cuscul Pivaral y otros Vs. Guatemala. Excepción Preliminar, Fondo, Reparaciones y Costas. </w:t>
      </w:r>
      <w:r w:rsidRPr="008B6F0B">
        <w:rPr>
          <w:rFonts w:ascii="Verdana" w:hAnsi="Verdana"/>
          <w:sz w:val="16"/>
          <w:szCs w:val="16"/>
        </w:rPr>
        <w:t>Sentencia de 23 de agosto de 2018. Serie C No. 359. Voto concurrente del Juez Humberto Antonio Sierra Porto.</w:t>
      </w:r>
    </w:p>
  </w:footnote>
  <w:footnote w:id="16">
    <w:p w14:paraId="0A5AB061" w14:textId="77777777" w:rsidR="008B3B98" w:rsidRPr="008B6F0B" w:rsidRDefault="008B3B98" w:rsidP="002D2C61">
      <w:pPr>
        <w:pStyle w:val="Textonotapie"/>
        <w:jc w:val="both"/>
        <w:rPr>
          <w:rFonts w:ascii="Verdana" w:hAnsi="Verdana"/>
          <w:sz w:val="16"/>
          <w:szCs w:val="16"/>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Caso de los Buzos Miskitos (Lemoth Morris y otros) Vs. Honduras</w:t>
      </w:r>
      <w:r w:rsidRPr="008B6F0B">
        <w:rPr>
          <w:rFonts w:ascii="Verdana" w:hAnsi="Verdana"/>
          <w:sz w:val="16"/>
          <w:szCs w:val="16"/>
        </w:rPr>
        <w:t xml:space="preserve">. Sentencia de 31 de agosto de 2021. Serie C No. 432. Voto concurrente </w:t>
      </w:r>
      <w:r w:rsidRPr="008B6F0B">
        <w:rPr>
          <w:rStyle w:val="Textoennegrita"/>
          <w:rFonts w:ascii="Verdana" w:hAnsi="Verdana"/>
          <w:b w:val="0"/>
          <w:bCs w:val="0"/>
          <w:sz w:val="16"/>
          <w:szCs w:val="16"/>
        </w:rPr>
        <w:t>del Juez Humberto Antonio Sierra Porto.</w:t>
      </w:r>
    </w:p>
  </w:footnote>
  <w:footnote w:id="17">
    <w:p w14:paraId="542D3F5F" w14:textId="77777777" w:rsidR="008B3B98" w:rsidRPr="008B6F0B" w:rsidRDefault="008B3B98" w:rsidP="002D2C61">
      <w:pPr>
        <w:pStyle w:val="Textonotapie"/>
        <w:spacing w:after="120"/>
        <w:jc w:val="both"/>
        <w:rPr>
          <w:rFonts w:ascii="Verdana" w:hAnsi="Verdana"/>
          <w:sz w:val="16"/>
          <w:szCs w:val="16"/>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Caso Vera Rojas y otros vs. Chile. Excepciones preliminares, fondo, reparaciones y costas</w:t>
      </w:r>
      <w:r w:rsidRPr="008B6F0B">
        <w:rPr>
          <w:rFonts w:ascii="Verdana" w:hAnsi="Verdana"/>
          <w:sz w:val="16"/>
          <w:szCs w:val="16"/>
        </w:rPr>
        <w:t xml:space="preserve">. Sentencia de 1 de septiembre de 2021. Serie C No. Voto concurrente </w:t>
      </w:r>
      <w:r w:rsidRPr="008B6F0B">
        <w:rPr>
          <w:rStyle w:val="Textoennegrita"/>
          <w:rFonts w:ascii="Verdana" w:hAnsi="Verdana"/>
          <w:b w:val="0"/>
          <w:bCs w:val="0"/>
          <w:sz w:val="16"/>
          <w:szCs w:val="16"/>
        </w:rPr>
        <w:t>del Juez Humberto Antonio Sierra Porto.</w:t>
      </w:r>
    </w:p>
  </w:footnote>
  <w:footnote w:id="18">
    <w:p w14:paraId="66E4F9F3" w14:textId="77777777" w:rsidR="008B3B98" w:rsidRPr="008B6F0B" w:rsidRDefault="008B3B98" w:rsidP="002D2C61">
      <w:pPr>
        <w:pStyle w:val="Textonotapie"/>
        <w:spacing w:after="120"/>
        <w:jc w:val="both"/>
        <w:rPr>
          <w:rFonts w:ascii="Verdana" w:hAnsi="Verdana"/>
          <w:sz w:val="16"/>
          <w:szCs w:val="16"/>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 xml:space="preserve">Caso Manuela y otros Vs. El Salvador. Excepciones preliminares, Fondo, Reparaciones y Costas. </w:t>
      </w:r>
      <w:r w:rsidRPr="008B6F0B">
        <w:rPr>
          <w:rFonts w:ascii="Verdana" w:hAnsi="Verdana"/>
          <w:sz w:val="16"/>
          <w:szCs w:val="16"/>
        </w:rPr>
        <w:t xml:space="preserve">Sentencia de 2 de noviembre de 2021. Serie C No. 441. Voto concurrente </w:t>
      </w:r>
      <w:r w:rsidRPr="008B6F0B">
        <w:rPr>
          <w:rStyle w:val="Textoennegrita"/>
          <w:rFonts w:ascii="Verdana" w:hAnsi="Verdana"/>
          <w:b w:val="0"/>
          <w:bCs w:val="0"/>
          <w:sz w:val="16"/>
          <w:szCs w:val="16"/>
        </w:rPr>
        <w:t>del Juez Humberto Antonio Sierra Porto.</w:t>
      </w:r>
    </w:p>
  </w:footnote>
  <w:footnote w:id="19">
    <w:p w14:paraId="7955C254" w14:textId="77777777" w:rsidR="008B3B98" w:rsidRPr="008B6F0B" w:rsidRDefault="008B3B98" w:rsidP="002D2C61">
      <w:pPr>
        <w:pStyle w:val="Textonotapie"/>
        <w:jc w:val="both"/>
        <w:rPr>
          <w:rFonts w:ascii="Verdana" w:hAnsi="Verdana"/>
          <w:sz w:val="16"/>
          <w:szCs w:val="16"/>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Caso Extrabajadores del Organismo Judicial Vs. Guatemala. Excepciones Preliminares, Fondo y Reparaciones.</w:t>
      </w:r>
      <w:r w:rsidRPr="008B6F0B">
        <w:rPr>
          <w:rFonts w:ascii="Verdana" w:hAnsi="Verdana"/>
          <w:sz w:val="16"/>
          <w:szCs w:val="16"/>
        </w:rPr>
        <w:t xml:space="preserve"> Sentencia de 17 de noviembre de 2021. Serie C No. 445. Voto concurrente </w:t>
      </w:r>
      <w:r w:rsidRPr="008B6F0B">
        <w:rPr>
          <w:rStyle w:val="Textoennegrita"/>
          <w:rFonts w:ascii="Verdana" w:hAnsi="Verdana"/>
          <w:b w:val="0"/>
          <w:bCs w:val="0"/>
          <w:sz w:val="16"/>
          <w:szCs w:val="16"/>
        </w:rPr>
        <w:t>del Juez Humberto Antonio Sierra Porto.</w:t>
      </w:r>
    </w:p>
  </w:footnote>
  <w:footnote w:id="20">
    <w:p w14:paraId="6A0D15A9" w14:textId="77777777" w:rsidR="008B3B98" w:rsidRPr="008B6F0B" w:rsidRDefault="008B3B98" w:rsidP="002D2C61">
      <w:pPr>
        <w:pStyle w:val="Textonotapie"/>
        <w:jc w:val="both"/>
        <w:rPr>
          <w:rFonts w:ascii="Verdana" w:hAnsi="Verdana"/>
          <w:sz w:val="16"/>
          <w:szCs w:val="16"/>
          <w:lang w:val="es-ES_tradnl"/>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lang w:val="es-ES_tradnl"/>
        </w:rPr>
        <w:tab/>
      </w:r>
      <w:r w:rsidRPr="008B6F0B">
        <w:rPr>
          <w:rFonts w:ascii="Verdana" w:hAnsi="Verdana"/>
          <w:i/>
          <w:iCs/>
          <w:sz w:val="16"/>
          <w:szCs w:val="16"/>
          <w:lang w:val="es-ES_tradnl"/>
        </w:rPr>
        <w:t>Caso Palacio Urrutia y otros Vs. Ecuador. Fondo, Reparaciones y Costas</w:t>
      </w:r>
      <w:r w:rsidRPr="008B6F0B">
        <w:rPr>
          <w:rFonts w:ascii="Verdana" w:hAnsi="Verdana"/>
          <w:sz w:val="16"/>
          <w:szCs w:val="16"/>
          <w:lang w:val="es-ES_tradnl"/>
        </w:rPr>
        <w:t xml:space="preserve">. Sentencia de 24 de noviembre de 2021. Serie C No. 446. </w:t>
      </w:r>
      <w:r w:rsidRPr="008B6F0B">
        <w:rPr>
          <w:rFonts w:ascii="Verdana" w:hAnsi="Verdana"/>
          <w:sz w:val="16"/>
          <w:szCs w:val="16"/>
        </w:rPr>
        <w:t>Voto concurrente del Juez Humberto Antonio Sierra Porto.</w:t>
      </w:r>
    </w:p>
  </w:footnote>
  <w:footnote w:id="21">
    <w:p w14:paraId="1304EC0F" w14:textId="77777777" w:rsidR="008B3B98" w:rsidRPr="008B6F0B" w:rsidRDefault="008B3B98" w:rsidP="002D2C61">
      <w:pPr>
        <w:pStyle w:val="Textonotapie"/>
        <w:jc w:val="both"/>
        <w:rPr>
          <w:rFonts w:ascii="Verdana" w:hAnsi="Verdana"/>
          <w:sz w:val="16"/>
          <w:szCs w:val="16"/>
          <w:lang w:val="es-ES_tradnl"/>
        </w:rPr>
      </w:pPr>
      <w:r w:rsidRPr="008B6F0B">
        <w:rPr>
          <w:rStyle w:val="Refdenotaalpie"/>
          <w:rFonts w:ascii="Verdana" w:hAnsi="Verdana"/>
          <w:sz w:val="16"/>
          <w:szCs w:val="16"/>
        </w:rPr>
        <w:footnoteRef/>
      </w:r>
      <w:r w:rsidRPr="000827F3">
        <w:rPr>
          <w:rFonts w:ascii="Verdana" w:hAnsi="Verdana"/>
          <w:sz w:val="16"/>
          <w:szCs w:val="16"/>
          <w:lang w:val="pt-BR"/>
        </w:rPr>
        <w:t xml:space="preserve"> </w:t>
      </w:r>
      <w:r w:rsidRPr="000827F3">
        <w:rPr>
          <w:rFonts w:ascii="Verdana" w:hAnsi="Verdana"/>
          <w:sz w:val="16"/>
          <w:szCs w:val="16"/>
          <w:lang w:val="pt-BR"/>
        </w:rPr>
        <w:tab/>
      </w:r>
      <w:r w:rsidRPr="000827F3">
        <w:rPr>
          <w:rFonts w:ascii="Verdana" w:hAnsi="Verdana"/>
          <w:i/>
          <w:iCs/>
          <w:sz w:val="16"/>
          <w:szCs w:val="16"/>
          <w:lang w:val="pt-BR"/>
        </w:rPr>
        <w:t xml:space="preserve">Caso Pavez Pavez Vs. Chile. </w:t>
      </w:r>
      <w:r w:rsidRPr="008B6F0B">
        <w:rPr>
          <w:rFonts w:ascii="Verdana" w:hAnsi="Verdana"/>
          <w:i/>
          <w:iCs/>
          <w:sz w:val="16"/>
          <w:szCs w:val="16"/>
          <w:lang w:val="es-ES_tradnl"/>
        </w:rPr>
        <w:t>Fondo, Reparaciones y Costas</w:t>
      </w:r>
      <w:r w:rsidRPr="008B6F0B">
        <w:rPr>
          <w:rFonts w:ascii="Verdana" w:hAnsi="Verdana"/>
          <w:sz w:val="16"/>
          <w:szCs w:val="16"/>
          <w:lang w:val="es-ES_tradnl"/>
        </w:rPr>
        <w:t xml:space="preserve">. Sentencia de 4 de febrero de 2022. Serie C No. 449. </w:t>
      </w:r>
      <w:r w:rsidRPr="008B6F0B">
        <w:rPr>
          <w:rFonts w:ascii="Verdana" w:hAnsi="Verdana"/>
          <w:sz w:val="16"/>
          <w:szCs w:val="16"/>
        </w:rPr>
        <w:t>Voto concurrente del Juez Humberto Antonio Sierra Porto.</w:t>
      </w:r>
    </w:p>
  </w:footnote>
  <w:footnote w:id="22">
    <w:p w14:paraId="44074E31" w14:textId="77777777" w:rsidR="009352C0" w:rsidRPr="002D2C61" w:rsidRDefault="009352C0" w:rsidP="002D2C61">
      <w:pPr>
        <w:pStyle w:val="Textonotapie"/>
        <w:jc w:val="both"/>
        <w:rPr>
          <w:rFonts w:ascii="Verdana" w:hAnsi="Verdana"/>
          <w:sz w:val="16"/>
          <w:szCs w:val="16"/>
          <w:lang w:val="es-ES_tradnl"/>
        </w:rPr>
      </w:pPr>
      <w:r w:rsidRPr="008B6F0B">
        <w:rPr>
          <w:rStyle w:val="Refdenotaalpie"/>
          <w:rFonts w:ascii="Verdana" w:hAnsi="Verdana"/>
          <w:sz w:val="16"/>
          <w:szCs w:val="16"/>
        </w:rPr>
        <w:footnoteRef/>
      </w:r>
      <w:r w:rsidRPr="002D2C61">
        <w:rPr>
          <w:rFonts w:ascii="Verdana" w:hAnsi="Verdana"/>
          <w:sz w:val="16"/>
          <w:szCs w:val="16"/>
        </w:rPr>
        <w:t xml:space="preserve"> </w:t>
      </w:r>
      <w:r w:rsidRPr="002D2C61">
        <w:rPr>
          <w:rFonts w:ascii="Verdana" w:hAnsi="Verdana"/>
          <w:sz w:val="16"/>
          <w:szCs w:val="16"/>
        </w:rPr>
        <w:tab/>
      </w:r>
      <w:r w:rsidRPr="002D2C61">
        <w:rPr>
          <w:rFonts w:ascii="Verdana" w:hAnsi="Verdana"/>
          <w:i/>
          <w:iCs/>
          <w:sz w:val="16"/>
          <w:szCs w:val="16"/>
        </w:rPr>
        <w:t>Cfr.</w:t>
      </w:r>
      <w:r w:rsidRPr="002D2C61">
        <w:rPr>
          <w:rFonts w:ascii="Verdana" w:hAnsi="Verdana"/>
          <w:sz w:val="16"/>
          <w:szCs w:val="16"/>
        </w:rPr>
        <w:t xml:space="preserve"> </w:t>
      </w:r>
      <w:r w:rsidRPr="002D2C61">
        <w:rPr>
          <w:rFonts w:ascii="Verdana" w:hAnsi="Verdana"/>
          <w:i/>
          <w:iCs/>
          <w:sz w:val="16"/>
          <w:szCs w:val="16"/>
        </w:rPr>
        <w:t>Caso Muelle Flores Vs. Perú. Excepciones Preliminares, Fondo, Reparaciones y Costas</w:t>
      </w:r>
      <w:r w:rsidRPr="002D2C61">
        <w:rPr>
          <w:rFonts w:ascii="Verdana" w:hAnsi="Verdana"/>
          <w:sz w:val="16"/>
          <w:szCs w:val="16"/>
        </w:rPr>
        <w:t>. Sentencia de 6 de marzo de 2019. Serie C No. 375. Voto parcialmente disidente del Juez Humberto Antonio Sierra Porto.</w:t>
      </w:r>
    </w:p>
  </w:footnote>
  <w:footnote w:id="23">
    <w:p w14:paraId="674F981F" w14:textId="77777777" w:rsidR="009352C0" w:rsidRPr="002D2C61" w:rsidRDefault="009352C0" w:rsidP="002D2C61">
      <w:pPr>
        <w:pStyle w:val="Textonotapie"/>
        <w:jc w:val="both"/>
        <w:rPr>
          <w:rFonts w:ascii="Verdana" w:hAnsi="Verdana"/>
          <w:sz w:val="16"/>
          <w:szCs w:val="16"/>
        </w:rPr>
      </w:pPr>
      <w:r w:rsidRPr="008B6F0B">
        <w:rPr>
          <w:rStyle w:val="Refdenotaalpie"/>
          <w:rFonts w:ascii="Verdana" w:hAnsi="Verdana"/>
          <w:sz w:val="16"/>
          <w:szCs w:val="16"/>
        </w:rPr>
        <w:footnoteRef/>
      </w:r>
      <w:r w:rsidRPr="002D2C61">
        <w:rPr>
          <w:rFonts w:ascii="Verdana" w:hAnsi="Verdana"/>
          <w:sz w:val="16"/>
          <w:szCs w:val="16"/>
        </w:rPr>
        <w:t xml:space="preserve"> </w:t>
      </w:r>
      <w:r w:rsidRPr="002D2C61">
        <w:rPr>
          <w:rFonts w:ascii="Verdana" w:hAnsi="Verdana"/>
          <w:sz w:val="16"/>
          <w:szCs w:val="16"/>
        </w:rPr>
        <w:tab/>
      </w:r>
      <w:r w:rsidRPr="002D2C61">
        <w:rPr>
          <w:rFonts w:ascii="Verdana" w:hAnsi="Verdana"/>
          <w:i/>
          <w:iCs/>
          <w:sz w:val="16"/>
          <w:szCs w:val="16"/>
        </w:rPr>
        <w:t>Cfr.</w:t>
      </w:r>
      <w:r w:rsidRPr="002D2C61">
        <w:rPr>
          <w:rFonts w:ascii="Verdana" w:hAnsi="Verdana"/>
          <w:sz w:val="16"/>
          <w:szCs w:val="16"/>
        </w:rPr>
        <w:t xml:space="preserve"> </w:t>
      </w:r>
      <w:r w:rsidRPr="002D2C61">
        <w:rPr>
          <w:rFonts w:ascii="Verdana" w:hAnsi="Verdana"/>
          <w:i/>
          <w:iCs/>
          <w:sz w:val="16"/>
          <w:szCs w:val="16"/>
        </w:rPr>
        <w:t>Caso Cuscul Pivaral y otros Vs. Guatemala. Excepción Preliminar, Fondo, Reparaciones y Costas</w:t>
      </w:r>
      <w:r w:rsidRPr="002D2C61">
        <w:rPr>
          <w:rFonts w:ascii="Verdana" w:hAnsi="Verdana"/>
          <w:sz w:val="16"/>
          <w:szCs w:val="16"/>
        </w:rPr>
        <w:t>. Sentencia de 23 de agosto de 2018. Serie C No. 359. Voto concurrente del Juez Humberto Antonio Sierra Porto.</w:t>
      </w:r>
    </w:p>
  </w:footnote>
  <w:footnote w:id="24">
    <w:p w14:paraId="738BD3CC" w14:textId="77777777" w:rsidR="009352C0" w:rsidRPr="002D2C61" w:rsidRDefault="009352C0" w:rsidP="002D2C61">
      <w:pPr>
        <w:pStyle w:val="Textonotapie"/>
        <w:jc w:val="both"/>
        <w:rPr>
          <w:rFonts w:ascii="Verdana" w:hAnsi="Verdana"/>
          <w:sz w:val="16"/>
          <w:szCs w:val="16"/>
        </w:rPr>
      </w:pPr>
      <w:r w:rsidRPr="008B6F0B">
        <w:rPr>
          <w:rStyle w:val="Refdenotaalpie"/>
          <w:rFonts w:ascii="Verdana" w:hAnsi="Verdana"/>
          <w:sz w:val="16"/>
          <w:szCs w:val="16"/>
        </w:rPr>
        <w:footnoteRef/>
      </w:r>
      <w:r w:rsidRPr="002D2C61">
        <w:rPr>
          <w:rFonts w:ascii="Verdana" w:hAnsi="Verdana"/>
          <w:sz w:val="16"/>
          <w:szCs w:val="16"/>
        </w:rPr>
        <w:t xml:space="preserve"> </w:t>
      </w:r>
      <w:r w:rsidRPr="002D2C61">
        <w:rPr>
          <w:rFonts w:ascii="Verdana" w:hAnsi="Verdana"/>
          <w:sz w:val="16"/>
          <w:szCs w:val="16"/>
        </w:rPr>
        <w:tab/>
      </w:r>
      <w:r w:rsidRPr="002D2C61">
        <w:rPr>
          <w:rFonts w:ascii="Verdana" w:hAnsi="Verdana"/>
          <w:i/>
          <w:iCs/>
          <w:sz w:val="16"/>
          <w:szCs w:val="16"/>
        </w:rPr>
        <w:t>Cfr.</w:t>
      </w:r>
      <w:r w:rsidRPr="002D2C61">
        <w:rPr>
          <w:rFonts w:ascii="Verdana" w:hAnsi="Verdana"/>
          <w:sz w:val="16"/>
          <w:szCs w:val="16"/>
        </w:rPr>
        <w:t xml:space="preserve"> </w:t>
      </w:r>
      <w:r w:rsidRPr="002D2C61">
        <w:rPr>
          <w:rFonts w:ascii="Verdana" w:hAnsi="Verdana"/>
          <w:i/>
          <w:iCs/>
          <w:sz w:val="16"/>
          <w:szCs w:val="16"/>
        </w:rPr>
        <w:t>Caso Poblete Vilches y otros Vs. Chile. Fondo, Reparaciones y Costas</w:t>
      </w:r>
      <w:r w:rsidRPr="002D2C61">
        <w:rPr>
          <w:rFonts w:ascii="Verdana" w:hAnsi="Verdana"/>
          <w:sz w:val="16"/>
          <w:szCs w:val="16"/>
        </w:rPr>
        <w:t>. Sentencia de 8 de marzo de 2018. Serie C No. 349. Voto concurrente del Juez Humberto Antonio Sierra Porto.</w:t>
      </w:r>
    </w:p>
  </w:footnote>
  <w:footnote w:id="25">
    <w:p w14:paraId="56492096" w14:textId="77777777" w:rsidR="009352C0" w:rsidRPr="002D2C61" w:rsidRDefault="009352C0" w:rsidP="002D2C61">
      <w:pPr>
        <w:pStyle w:val="Textonotapie"/>
        <w:jc w:val="both"/>
        <w:rPr>
          <w:rFonts w:ascii="Verdana" w:hAnsi="Verdana"/>
          <w:sz w:val="16"/>
          <w:szCs w:val="16"/>
          <w:lang w:val="es-ES_tradnl"/>
        </w:rPr>
      </w:pPr>
      <w:r w:rsidRPr="008B6F0B">
        <w:rPr>
          <w:rStyle w:val="Refdenotaalpie"/>
          <w:rFonts w:ascii="Verdana" w:hAnsi="Verdana"/>
          <w:sz w:val="16"/>
          <w:szCs w:val="16"/>
        </w:rPr>
        <w:footnoteRef/>
      </w:r>
      <w:r w:rsidRPr="002D2C61">
        <w:rPr>
          <w:rFonts w:ascii="Verdana" w:hAnsi="Verdana"/>
          <w:sz w:val="16"/>
          <w:szCs w:val="16"/>
        </w:rPr>
        <w:t xml:space="preserve"> </w:t>
      </w:r>
      <w:r w:rsidRPr="002D2C61">
        <w:rPr>
          <w:rFonts w:ascii="Verdana" w:hAnsi="Verdana"/>
          <w:sz w:val="16"/>
          <w:szCs w:val="16"/>
        </w:rPr>
        <w:tab/>
      </w:r>
      <w:r w:rsidRPr="002D2C61">
        <w:rPr>
          <w:rFonts w:ascii="Verdana" w:hAnsi="Verdana"/>
          <w:i/>
          <w:iCs/>
          <w:sz w:val="16"/>
          <w:szCs w:val="16"/>
        </w:rPr>
        <w:t>Cfr.</w:t>
      </w:r>
      <w:r w:rsidRPr="002D2C61">
        <w:rPr>
          <w:rFonts w:ascii="Verdana" w:hAnsi="Verdana"/>
          <w:sz w:val="16"/>
          <w:szCs w:val="16"/>
        </w:rPr>
        <w:t xml:space="preserve"> </w:t>
      </w:r>
      <w:r w:rsidRPr="002D2C61">
        <w:rPr>
          <w:rFonts w:ascii="Verdana" w:hAnsi="Verdana"/>
          <w:i/>
          <w:iCs/>
          <w:sz w:val="16"/>
          <w:szCs w:val="16"/>
        </w:rPr>
        <w:t>Caso Trabajadores Cesados de Petroperú y otros Vs. Perú</w:t>
      </w:r>
      <w:r w:rsidRPr="002D2C61">
        <w:rPr>
          <w:rFonts w:ascii="Verdana" w:hAnsi="Verdana"/>
          <w:sz w:val="16"/>
          <w:szCs w:val="16"/>
        </w:rPr>
        <w:t>. Excepciones Preliminares, Fondo, Reparaciones y Costas. Sentencia de 23 de noviembre de 2017. Serie C No. 344. Voto parcialmente disidente del Juez Humberto Antonio Sierra Porto.</w:t>
      </w:r>
    </w:p>
  </w:footnote>
  <w:footnote w:id="26">
    <w:p w14:paraId="68CED257" w14:textId="1844F0A5" w:rsidR="00F125D3" w:rsidRPr="008B6F0B" w:rsidRDefault="00F125D3" w:rsidP="008B6F0B">
      <w:pPr>
        <w:pStyle w:val="Textonotapie"/>
        <w:jc w:val="both"/>
        <w:rPr>
          <w:rFonts w:ascii="Verdana" w:hAnsi="Verdana"/>
          <w:sz w:val="16"/>
          <w:szCs w:val="16"/>
        </w:rPr>
      </w:pPr>
      <w:r w:rsidRPr="008B6F0B">
        <w:rPr>
          <w:rStyle w:val="Refdenotaalpie"/>
          <w:rFonts w:ascii="Verdana" w:hAnsi="Verdana"/>
          <w:sz w:val="16"/>
          <w:szCs w:val="16"/>
        </w:rPr>
        <w:footnoteRef/>
      </w:r>
      <w:r w:rsidRPr="008B6F0B">
        <w:rPr>
          <w:rFonts w:ascii="Verdana" w:hAnsi="Verdana"/>
          <w:sz w:val="16"/>
          <w:szCs w:val="16"/>
        </w:rPr>
        <w:t xml:space="preserve"> </w:t>
      </w:r>
      <w:r w:rsidR="00EF0F72" w:rsidRPr="008B6F0B">
        <w:rPr>
          <w:rFonts w:ascii="Verdana" w:hAnsi="Verdana"/>
          <w:sz w:val="16"/>
          <w:szCs w:val="16"/>
        </w:rPr>
        <w:tab/>
      </w:r>
      <w:r w:rsidR="00EF0F72" w:rsidRPr="008B6F0B">
        <w:rPr>
          <w:rFonts w:ascii="Verdana" w:hAnsi="Verdana"/>
          <w:i/>
          <w:iCs/>
          <w:sz w:val="16"/>
          <w:szCs w:val="16"/>
        </w:rPr>
        <w:t>Caso Mina Cuervo vs. Ecuador.</w:t>
      </w:r>
      <w:r w:rsidR="008B6F0B">
        <w:rPr>
          <w:rFonts w:ascii="Verdana" w:hAnsi="Verdana"/>
          <w:sz w:val="16"/>
          <w:szCs w:val="16"/>
        </w:rPr>
        <w:t xml:space="preserve"> </w:t>
      </w:r>
      <w:r w:rsidR="008B6F0B" w:rsidRPr="008B6F0B">
        <w:rPr>
          <w:rFonts w:ascii="Verdana" w:hAnsi="Verdana"/>
          <w:i/>
          <w:iCs/>
          <w:sz w:val="16"/>
          <w:szCs w:val="16"/>
        </w:rPr>
        <w:t>Excepción Preliminar, Fondo, Reparaciones y Costas</w:t>
      </w:r>
      <w:r w:rsidR="008B6F0B" w:rsidRPr="008B6F0B">
        <w:rPr>
          <w:rFonts w:ascii="Verdana" w:hAnsi="Verdana"/>
          <w:sz w:val="16"/>
          <w:szCs w:val="16"/>
        </w:rPr>
        <w:t>. Sentencia de 5 de agosto de 2008.</w:t>
      </w:r>
      <w:r w:rsidR="008B6F0B">
        <w:rPr>
          <w:rFonts w:ascii="Verdana" w:hAnsi="Verdana"/>
          <w:sz w:val="16"/>
          <w:szCs w:val="16"/>
        </w:rPr>
        <w:t xml:space="preserve"> Sentencia de 7 de septiembre de 2022, p</w:t>
      </w:r>
      <w:r w:rsidR="00EF0F72" w:rsidRPr="008B6F0B">
        <w:rPr>
          <w:rFonts w:ascii="Verdana" w:hAnsi="Verdana"/>
          <w:sz w:val="16"/>
          <w:szCs w:val="16"/>
        </w:rPr>
        <w:t xml:space="preserve">árr. 110. </w:t>
      </w:r>
    </w:p>
  </w:footnote>
  <w:footnote w:id="27">
    <w:p w14:paraId="2D6AA658" w14:textId="184FE7CB" w:rsidR="00726E3B" w:rsidRPr="008B6F0B" w:rsidRDefault="00726E3B" w:rsidP="008B6F0B">
      <w:pPr>
        <w:pStyle w:val="Textonotapie"/>
        <w:jc w:val="both"/>
        <w:rPr>
          <w:rFonts w:ascii="Verdana" w:hAnsi="Verdana"/>
          <w:sz w:val="16"/>
          <w:szCs w:val="16"/>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Caso Mina Cuervo vs. Ecuador</w:t>
      </w:r>
      <w:r w:rsidR="00416C1E" w:rsidRPr="008B6F0B">
        <w:rPr>
          <w:rFonts w:ascii="Verdana" w:hAnsi="Verdana"/>
          <w:i/>
          <w:iCs/>
          <w:sz w:val="16"/>
          <w:szCs w:val="16"/>
        </w:rPr>
        <w:t>.</w:t>
      </w:r>
      <w:r w:rsidR="008B6F0B">
        <w:rPr>
          <w:rFonts w:ascii="Verdana" w:hAnsi="Verdana"/>
          <w:sz w:val="16"/>
          <w:szCs w:val="16"/>
        </w:rPr>
        <w:t xml:space="preserve"> </w:t>
      </w:r>
      <w:r w:rsidR="008B6F0B" w:rsidRPr="008B6F0B">
        <w:rPr>
          <w:rFonts w:ascii="Verdana" w:hAnsi="Verdana"/>
          <w:i/>
          <w:iCs/>
          <w:sz w:val="16"/>
          <w:szCs w:val="16"/>
        </w:rPr>
        <w:t>Excepción Preliminar, Fondo, Reparaciones y Costas</w:t>
      </w:r>
      <w:r w:rsidR="008B6F0B" w:rsidRPr="008B6F0B">
        <w:rPr>
          <w:rFonts w:ascii="Verdana" w:hAnsi="Verdana"/>
          <w:sz w:val="16"/>
          <w:szCs w:val="16"/>
        </w:rPr>
        <w:t>. Sentencia de 5 de agosto de 2008</w:t>
      </w:r>
      <w:r w:rsidR="008B6F0B">
        <w:rPr>
          <w:rFonts w:ascii="Verdana" w:hAnsi="Verdana"/>
          <w:sz w:val="16"/>
          <w:szCs w:val="16"/>
        </w:rPr>
        <w:t>. Sentencia de 7 de septiembre de 2022, p</w:t>
      </w:r>
      <w:r w:rsidR="00416C1E" w:rsidRPr="008B6F0B">
        <w:rPr>
          <w:rFonts w:ascii="Verdana" w:hAnsi="Verdana"/>
          <w:sz w:val="16"/>
          <w:szCs w:val="16"/>
        </w:rPr>
        <w:t>árr. 13</w:t>
      </w:r>
      <w:r w:rsidR="008B6F0B">
        <w:rPr>
          <w:rFonts w:ascii="Verdana" w:hAnsi="Verdana"/>
          <w:sz w:val="16"/>
          <w:szCs w:val="16"/>
        </w:rPr>
        <w:t>4</w:t>
      </w:r>
      <w:r w:rsidR="00416C1E" w:rsidRPr="008B6F0B">
        <w:rPr>
          <w:rFonts w:ascii="Verdana" w:hAnsi="Verdana"/>
          <w:sz w:val="16"/>
          <w:szCs w:val="16"/>
        </w:rPr>
        <w:t xml:space="preserve">. </w:t>
      </w:r>
    </w:p>
  </w:footnote>
  <w:footnote w:id="28">
    <w:p w14:paraId="3577E7CB" w14:textId="77777777" w:rsidR="00D218E0" w:rsidRPr="008B6F0B" w:rsidRDefault="00D218E0" w:rsidP="008B6F0B">
      <w:pPr>
        <w:pStyle w:val="Textonotapie"/>
        <w:jc w:val="both"/>
        <w:rPr>
          <w:rFonts w:ascii="Verdana" w:hAnsi="Verdana"/>
          <w:sz w:val="16"/>
          <w:szCs w:val="16"/>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025E9D">
        <w:rPr>
          <w:rFonts w:ascii="Verdana" w:hAnsi="Verdana"/>
          <w:i/>
          <w:iCs/>
          <w:sz w:val="16"/>
          <w:szCs w:val="16"/>
        </w:rPr>
        <w:t>Cfr</w:t>
      </w:r>
      <w:r w:rsidRPr="008B6F0B">
        <w:rPr>
          <w:rFonts w:ascii="Verdana" w:hAnsi="Verdana"/>
          <w:sz w:val="16"/>
          <w:szCs w:val="16"/>
        </w:rPr>
        <w:t>.  Naciones Unidas. Comité de Derechos Humanos. Observación General No. 25, Artículo 25: La Participación en los Asuntos Públicos y el Derecho de Voto, CCPR/C/21/Rev. 1/</w:t>
      </w:r>
      <w:proofErr w:type="spellStart"/>
      <w:r w:rsidRPr="008B6F0B">
        <w:rPr>
          <w:rFonts w:ascii="Verdana" w:hAnsi="Verdana"/>
          <w:sz w:val="16"/>
          <w:szCs w:val="16"/>
        </w:rPr>
        <w:t>Add</w:t>
      </w:r>
      <w:proofErr w:type="spellEnd"/>
      <w:r w:rsidRPr="008B6F0B">
        <w:rPr>
          <w:rFonts w:ascii="Verdana" w:hAnsi="Verdana"/>
          <w:sz w:val="16"/>
          <w:szCs w:val="16"/>
        </w:rPr>
        <w:t>. 7, 12 de julio de 1996, párr. 23.</w:t>
      </w:r>
    </w:p>
  </w:footnote>
  <w:footnote w:id="29">
    <w:p w14:paraId="54042C03" w14:textId="77777777" w:rsidR="00D218E0" w:rsidRPr="008B6F0B" w:rsidRDefault="00D218E0" w:rsidP="008B6F0B">
      <w:pPr>
        <w:pStyle w:val="Textonotapie"/>
        <w:jc w:val="both"/>
        <w:rPr>
          <w:rFonts w:ascii="Verdana" w:hAnsi="Verdana"/>
          <w:sz w:val="16"/>
          <w:szCs w:val="16"/>
        </w:rPr>
      </w:pPr>
      <w:r w:rsidRPr="008B6F0B">
        <w:rPr>
          <w:rStyle w:val="Refdenotaalpie"/>
          <w:rFonts w:ascii="Verdana" w:hAnsi="Verdana"/>
          <w:sz w:val="16"/>
          <w:szCs w:val="16"/>
        </w:rPr>
        <w:footnoteRef/>
      </w:r>
      <w:r w:rsidRPr="008B6F0B">
        <w:rPr>
          <w:rFonts w:ascii="Verdana" w:hAnsi="Verdana"/>
          <w:sz w:val="16"/>
          <w:szCs w:val="16"/>
        </w:rPr>
        <w:t xml:space="preserve"> </w:t>
      </w:r>
      <w:r w:rsidRPr="008B6F0B">
        <w:rPr>
          <w:rFonts w:ascii="Verdana" w:hAnsi="Verdana"/>
          <w:sz w:val="16"/>
          <w:szCs w:val="16"/>
        </w:rPr>
        <w:tab/>
      </w:r>
      <w:r w:rsidRPr="008B6F0B">
        <w:rPr>
          <w:rFonts w:ascii="Verdana" w:hAnsi="Verdana"/>
          <w:i/>
          <w:iCs/>
          <w:sz w:val="16"/>
          <w:szCs w:val="16"/>
        </w:rPr>
        <w:t>Cfr. Caso Apitz Barbera y otros (“Corte Primera de lo Contencioso Administrativo”) Vs. Venezuela. Excepción Preliminar, Fondo, Reparaciones y Costas</w:t>
      </w:r>
      <w:r w:rsidRPr="008B6F0B">
        <w:rPr>
          <w:rFonts w:ascii="Verdana" w:hAnsi="Verdana"/>
          <w:sz w:val="16"/>
          <w:szCs w:val="16"/>
        </w:rPr>
        <w:t>. Sentencia de 5 de agosto de 2008. Serie C No. 182, párr. 206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F6B66"/>
    <w:multiLevelType w:val="hybridMultilevel"/>
    <w:tmpl w:val="3104AD0E"/>
    <w:lvl w:ilvl="0" w:tplc="1C64AA6A">
      <w:start w:val="1"/>
      <w:numFmt w:val="decimal"/>
      <w:lvlText w:val="%1."/>
      <w:lvlJc w:val="left"/>
      <w:pPr>
        <w:ind w:left="5053" w:hanging="360"/>
      </w:pPr>
      <w:rPr>
        <w:rFonts w:hint="default"/>
        <w:b w:val="0"/>
        <w:i w:val="0"/>
        <w:strike w:val="0"/>
        <w:color w:val="auto"/>
        <w:sz w:val="20"/>
        <w:szCs w:val="20"/>
        <w:vertAlign w:val="baseline"/>
        <w:lang w:val="es-CR"/>
      </w:rPr>
    </w:lvl>
    <w:lvl w:ilvl="1" w:tplc="140A0019">
      <w:start w:val="1"/>
      <w:numFmt w:val="lowerLetter"/>
      <w:lvlText w:val="%2."/>
      <w:lvlJc w:val="left"/>
      <w:pPr>
        <w:ind w:left="1363" w:hanging="360"/>
      </w:pPr>
    </w:lvl>
    <w:lvl w:ilvl="2" w:tplc="140A001B" w:tentative="1">
      <w:start w:val="1"/>
      <w:numFmt w:val="lowerRoman"/>
      <w:lvlText w:val="%3."/>
      <w:lvlJc w:val="right"/>
      <w:pPr>
        <w:ind w:left="2083" w:hanging="180"/>
      </w:pPr>
    </w:lvl>
    <w:lvl w:ilvl="3" w:tplc="140A000F" w:tentative="1">
      <w:start w:val="1"/>
      <w:numFmt w:val="decimal"/>
      <w:lvlText w:val="%4."/>
      <w:lvlJc w:val="left"/>
      <w:pPr>
        <w:ind w:left="2803" w:hanging="360"/>
      </w:pPr>
    </w:lvl>
    <w:lvl w:ilvl="4" w:tplc="140A0019" w:tentative="1">
      <w:start w:val="1"/>
      <w:numFmt w:val="lowerLetter"/>
      <w:lvlText w:val="%5."/>
      <w:lvlJc w:val="left"/>
      <w:pPr>
        <w:ind w:left="3523" w:hanging="360"/>
      </w:pPr>
    </w:lvl>
    <w:lvl w:ilvl="5" w:tplc="140A001B" w:tentative="1">
      <w:start w:val="1"/>
      <w:numFmt w:val="lowerRoman"/>
      <w:lvlText w:val="%6."/>
      <w:lvlJc w:val="right"/>
      <w:pPr>
        <w:ind w:left="4243" w:hanging="180"/>
      </w:pPr>
    </w:lvl>
    <w:lvl w:ilvl="6" w:tplc="140A000F" w:tentative="1">
      <w:start w:val="1"/>
      <w:numFmt w:val="decimal"/>
      <w:lvlText w:val="%7."/>
      <w:lvlJc w:val="left"/>
      <w:pPr>
        <w:ind w:left="4963" w:hanging="360"/>
      </w:pPr>
    </w:lvl>
    <w:lvl w:ilvl="7" w:tplc="140A0019" w:tentative="1">
      <w:start w:val="1"/>
      <w:numFmt w:val="lowerLetter"/>
      <w:lvlText w:val="%8."/>
      <w:lvlJc w:val="left"/>
      <w:pPr>
        <w:ind w:left="5683" w:hanging="360"/>
      </w:pPr>
    </w:lvl>
    <w:lvl w:ilvl="8" w:tplc="140A001B" w:tentative="1">
      <w:start w:val="1"/>
      <w:numFmt w:val="lowerRoman"/>
      <w:lvlText w:val="%9."/>
      <w:lvlJc w:val="right"/>
      <w:pPr>
        <w:ind w:left="6403" w:hanging="180"/>
      </w:pPr>
    </w:lvl>
  </w:abstractNum>
  <w:abstractNum w:abstractNumId="1" w15:restartNumberingAfterBreak="0">
    <w:nsid w:val="05FC320B"/>
    <w:multiLevelType w:val="hybridMultilevel"/>
    <w:tmpl w:val="73E6A92E"/>
    <w:lvl w:ilvl="0" w:tplc="8A1612C2">
      <w:start w:val="1"/>
      <w:numFmt w:val="decimal"/>
      <w:lvlText w:val="%1."/>
      <w:lvlJc w:val="left"/>
      <w:pPr>
        <w:ind w:left="720" w:hanging="360"/>
      </w:pPr>
      <w:rPr>
        <w:rFonts w:ascii="Verdana" w:hAnsi="Verdana" w:hint="default"/>
        <w:sz w:val="20"/>
        <w:szCs w:val="20"/>
        <w:lang w:val="es-AR"/>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2" w15:restartNumberingAfterBreak="0">
    <w:nsid w:val="0A2F5E98"/>
    <w:multiLevelType w:val="hybridMultilevel"/>
    <w:tmpl w:val="D5DE6144"/>
    <w:lvl w:ilvl="0" w:tplc="02189AA0">
      <w:start w:val="1"/>
      <w:numFmt w:val="decimal"/>
      <w:lvlText w:val="%1."/>
      <w:lvlJc w:val="left"/>
      <w:pPr>
        <w:ind w:left="2061" w:hanging="360"/>
      </w:pPr>
      <w:rPr>
        <w:rFonts w:cs="Times New Roman" w:hint="default"/>
        <w:b w:val="0"/>
        <w:bCs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40122A5B"/>
    <w:multiLevelType w:val="hybridMultilevel"/>
    <w:tmpl w:val="5550558C"/>
    <w:lvl w:ilvl="0" w:tplc="240A0013">
      <w:start w:val="1"/>
      <w:numFmt w:val="upperRoman"/>
      <w:lvlText w:val="%1."/>
      <w:lvlJc w:val="righ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40C91444"/>
    <w:multiLevelType w:val="multilevel"/>
    <w:tmpl w:val="754E99E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705A6F5C"/>
    <w:multiLevelType w:val="hybridMultilevel"/>
    <w:tmpl w:val="1012E60E"/>
    <w:lvl w:ilvl="0" w:tplc="6722D962">
      <w:start w:val="1"/>
      <w:numFmt w:val="decimal"/>
      <w:pStyle w:val="Numberedparagraphs"/>
      <w:lvlText w:val="%1."/>
      <w:lvlJc w:val="left"/>
      <w:pPr>
        <w:tabs>
          <w:tab w:val="num" w:pos="720"/>
        </w:tabs>
        <w:ind w:left="0" w:firstLine="0"/>
      </w:pPr>
      <w:rPr>
        <w:rFonts w:ascii="Verdana" w:hAnsi="Verdana" w:hint="default"/>
        <w:b w:val="0"/>
        <w:i w:val="0"/>
        <w:strike w:val="0"/>
        <w:color w:val="auto"/>
        <w:sz w:val="20"/>
        <w:szCs w:val="20"/>
        <w:lang w:val="es-AR"/>
      </w:rPr>
    </w:lvl>
    <w:lvl w:ilvl="1" w:tplc="5C6C0158">
      <w:start w:val="7"/>
      <w:numFmt w:val="decimal"/>
      <w:lvlText w:val="%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646013958">
    <w:abstractNumId w:val="3"/>
  </w:num>
  <w:num w:numId="2" w16cid:durableId="2001884857">
    <w:abstractNumId w:val="2"/>
  </w:num>
  <w:num w:numId="3" w16cid:durableId="1450584158">
    <w:abstractNumId w:val="0"/>
  </w:num>
  <w:num w:numId="4" w16cid:durableId="14959562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0639674">
    <w:abstractNumId w:val="5"/>
  </w:num>
  <w:num w:numId="6" w16cid:durableId="758448559">
    <w:abstractNumId w:val="1"/>
  </w:num>
  <w:num w:numId="7" w16cid:durableId="1228960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B1C"/>
    <w:rsid w:val="0000050E"/>
    <w:rsid w:val="0000135D"/>
    <w:rsid w:val="00003242"/>
    <w:rsid w:val="000254A6"/>
    <w:rsid w:val="00025E9D"/>
    <w:rsid w:val="00037F29"/>
    <w:rsid w:val="000517B3"/>
    <w:rsid w:val="0005374E"/>
    <w:rsid w:val="000574BB"/>
    <w:rsid w:val="00064255"/>
    <w:rsid w:val="00066FBB"/>
    <w:rsid w:val="00075BA1"/>
    <w:rsid w:val="000827F3"/>
    <w:rsid w:val="0008517E"/>
    <w:rsid w:val="00090BBE"/>
    <w:rsid w:val="00093726"/>
    <w:rsid w:val="0009404A"/>
    <w:rsid w:val="000A1640"/>
    <w:rsid w:val="000A2F16"/>
    <w:rsid w:val="000A37CD"/>
    <w:rsid w:val="000B0EE7"/>
    <w:rsid w:val="000B0F95"/>
    <w:rsid w:val="000B17AA"/>
    <w:rsid w:val="000B38BD"/>
    <w:rsid w:val="000B51DD"/>
    <w:rsid w:val="000C4B76"/>
    <w:rsid w:val="000C6668"/>
    <w:rsid w:val="000D3989"/>
    <w:rsid w:val="000D552F"/>
    <w:rsid w:val="000D64AB"/>
    <w:rsid w:val="000D767A"/>
    <w:rsid w:val="00100662"/>
    <w:rsid w:val="00101F96"/>
    <w:rsid w:val="00106C3F"/>
    <w:rsid w:val="0011060C"/>
    <w:rsid w:val="0011248A"/>
    <w:rsid w:val="001125DE"/>
    <w:rsid w:val="00112706"/>
    <w:rsid w:val="00113417"/>
    <w:rsid w:val="00115889"/>
    <w:rsid w:val="00126CFB"/>
    <w:rsid w:val="00130C1E"/>
    <w:rsid w:val="0015587E"/>
    <w:rsid w:val="00161119"/>
    <w:rsid w:val="0016118C"/>
    <w:rsid w:val="00164CED"/>
    <w:rsid w:val="00176830"/>
    <w:rsid w:val="001772A0"/>
    <w:rsid w:val="001856DB"/>
    <w:rsid w:val="00187B4C"/>
    <w:rsid w:val="00195F77"/>
    <w:rsid w:val="001A5132"/>
    <w:rsid w:val="001B190E"/>
    <w:rsid w:val="001B2269"/>
    <w:rsid w:val="001B5DEF"/>
    <w:rsid w:val="001C5880"/>
    <w:rsid w:val="001C6F82"/>
    <w:rsid w:val="001D1640"/>
    <w:rsid w:val="001E5464"/>
    <w:rsid w:val="001F5D23"/>
    <w:rsid w:val="00200612"/>
    <w:rsid w:val="0020639D"/>
    <w:rsid w:val="00207B67"/>
    <w:rsid w:val="002125AA"/>
    <w:rsid w:val="00213128"/>
    <w:rsid w:val="00215609"/>
    <w:rsid w:val="002217F7"/>
    <w:rsid w:val="00222B1E"/>
    <w:rsid w:val="002254C5"/>
    <w:rsid w:val="0022574A"/>
    <w:rsid w:val="00236842"/>
    <w:rsid w:val="0024478B"/>
    <w:rsid w:val="00246920"/>
    <w:rsid w:val="002539A4"/>
    <w:rsid w:val="002601AB"/>
    <w:rsid w:val="00260BAB"/>
    <w:rsid w:val="00261DBD"/>
    <w:rsid w:val="00264400"/>
    <w:rsid w:val="0026627F"/>
    <w:rsid w:val="002744F1"/>
    <w:rsid w:val="002760AA"/>
    <w:rsid w:val="00282856"/>
    <w:rsid w:val="002831A7"/>
    <w:rsid w:val="002918C4"/>
    <w:rsid w:val="002A1284"/>
    <w:rsid w:val="002A23FD"/>
    <w:rsid w:val="002B05DD"/>
    <w:rsid w:val="002B6F9E"/>
    <w:rsid w:val="002C03D1"/>
    <w:rsid w:val="002C0A41"/>
    <w:rsid w:val="002C3523"/>
    <w:rsid w:val="002C467B"/>
    <w:rsid w:val="002C4B8A"/>
    <w:rsid w:val="002D2C61"/>
    <w:rsid w:val="002D3575"/>
    <w:rsid w:val="002D6FE8"/>
    <w:rsid w:val="002E2270"/>
    <w:rsid w:val="002E4A43"/>
    <w:rsid w:val="002F2AD8"/>
    <w:rsid w:val="002F7D60"/>
    <w:rsid w:val="003049C5"/>
    <w:rsid w:val="0031448C"/>
    <w:rsid w:val="0031581D"/>
    <w:rsid w:val="00323BC1"/>
    <w:rsid w:val="0032511C"/>
    <w:rsid w:val="00327172"/>
    <w:rsid w:val="00330F30"/>
    <w:rsid w:val="003340BC"/>
    <w:rsid w:val="003369B0"/>
    <w:rsid w:val="00351153"/>
    <w:rsid w:val="003528FA"/>
    <w:rsid w:val="003602D2"/>
    <w:rsid w:val="00360DBC"/>
    <w:rsid w:val="0038560D"/>
    <w:rsid w:val="0039018E"/>
    <w:rsid w:val="00392DA9"/>
    <w:rsid w:val="00394610"/>
    <w:rsid w:val="00397261"/>
    <w:rsid w:val="003A5075"/>
    <w:rsid w:val="003A6319"/>
    <w:rsid w:val="003B36C3"/>
    <w:rsid w:val="003B7D51"/>
    <w:rsid w:val="003C214C"/>
    <w:rsid w:val="003C3A3B"/>
    <w:rsid w:val="003D1D0B"/>
    <w:rsid w:val="003D2AA3"/>
    <w:rsid w:val="003D4250"/>
    <w:rsid w:val="003D52EC"/>
    <w:rsid w:val="003E2FE5"/>
    <w:rsid w:val="003E447C"/>
    <w:rsid w:val="003E5AC4"/>
    <w:rsid w:val="003F1CA8"/>
    <w:rsid w:val="003F2B52"/>
    <w:rsid w:val="003F49B9"/>
    <w:rsid w:val="00400D5F"/>
    <w:rsid w:val="00410C22"/>
    <w:rsid w:val="00416C1E"/>
    <w:rsid w:val="004201E3"/>
    <w:rsid w:val="00420A64"/>
    <w:rsid w:val="00423F7F"/>
    <w:rsid w:val="004255AB"/>
    <w:rsid w:val="004366B4"/>
    <w:rsid w:val="0044594D"/>
    <w:rsid w:val="00445F67"/>
    <w:rsid w:val="00447813"/>
    <w:rsid w:val="00452B55"/>
    <w:rsid w:val="00456CD2"/>
    <w:rsid w:val="00462B4D"/>
    <w:rsid w:val="00471911"/>
    <w:rsid w:val="0047289D"/>
    <w:rsid w:val="00473DCC"/>
    <w:rsid w:val="0047488E"/>
    <w:rsid w:val="004766DF"/>
    <w:rsid w:val="00477421"/>
    <w:rsid w:val="00477AC5"/>
    <w:rsid w:val="0049109F"/>
    <w:rsid w:val="004B01DC"/>
    <w:rsid w:val="004B446F"/>
    <w:rsid w:val="004B6475"/>
    <w:rsid w:val="004C4622"/>
    <w:rsid w:val="004C5D9C"/>
    <w:rsid w:val="004D164B"/>
    <w:rsid w:val="004D20F7"/>
    <w:rsid w:val="004E0711"/>
    <w:rsid w:val="004F0166"/>
    <w:rsid w:val="004F2B38"/>
    <w:rsid w:val="004F3395"/>
    <w:rsid w:val="004F78B0"/>
    <w:rsid w:val="0050099A"/>
    <w:rsid w:val="00500DFD"/>
    <w:rsid w:val="005064CB"/>
    <w:rsid w:val="00513171"/>
    <w:rsid w:val="0051508E"/>
    <w:rsid w:val="00517BAC"/>
    <w:rsid w:val="0052203C"/>
    <w:rsid w:val="0052499F"/>
    <w:rsid w:val="0053136C"/>
    <w:rsid w:val="005334B4"/>
    <w:rsid w:val="00533893"/>
    <w:rsid w:val="00550ED2"/>
    <w:rsid w:val="00554958"/>
    <w:rsid w:val="00562326"/>
    <w:rsid w:val="00566643"/>
    <w:rsid w:val="00570497"/>
    <w:rsid w:val="00582043"/>
    <w:rsid w:val="00583106"/>
    <w:rsid w:val="005901E8"/>
    <w:rsid w:val="005908B6"/>
    <w:rsid w:val="00596F7D"/>
    <w:rsid w:val="005971B7"/>
    <w:rsid w:val="005A118A"/>
    <w:rsid w:val="005B2194"/>
    <w:rsid w:val="005B377D"/>
    <w:rsid w:val="005B64A2"/>
    <w:rsid w:val="005C0B9E"/>
    <w:rsid w:val="005C175F"/>
    <w:rsid w:val="005D12B9"/>
    <w:rsid w:val="005D4671"/>
    <w:rsid w:val="005E1701"/>
    <w:rsid w:val="005F38FF"/>
    <w:rsid w:val="006003C3"/>
    <w:rsid w:val="00605B9C"/>
    <w:rsid w:val="00606E5E"/>
    <w:rsid w:val="006158F2"/>
    <w:rsid w:val="006227C1"/>
    <w:rsid w:val="00623352"/>
    <w:rsid w:val="00624F52"/>
    <w:rsid w:val="006438FA"/>
    <w:rsid w:val="006454AB"/>
    <w:rsid w:val="00650A5B"/>
    <w:rsid w:val="006521DA"/>
    <w:rsid w:val="00660139"/>
    <w:rsid w:val="00664C51"/>
    <w:rsid w:val="00681806"/>
    <w:rsid w:val="0068247C"/>
    <w:rsid w:val="00685874"/>
    <w:rsid w:val="00687775"/>
    <w:rsid w:val="00687B58"/>
    <w:rsid w:val="00694F60"/>
    <w:rsid w:val="006A65C7"/>
    <w:rsid w:val="006A7394"/>
    <w:rsid w:val="006B0A8D"/>
    <w:rsid w:val="006B134A"/>
    <w:rsid w:val="006B6F7E"/>
    <w:rsid w:val="006C3DAA"/>
    <w:rsid w:val="006D4CCD"/>
    <w:rsid w:val="006E111C"/>
    <w:rsid w:val="006E6BBD"/>
    <w:rsid w:val="006E6EF2"/>
    <w:rsid w:val="006F0B97"/>
    <w:rsid w:val="006F3FD5"/>
    <w:rsid w:val="006F645B"/>
    <w:rsid w:val="006F7E7E"/>
    <w:rsid w:val="007016C7"/>
    <w:rsid w:val="00706799"/>
    <w:rsid w:val="007162F5"/>
    <w:rsid w:val="007208CD"/>
    <w:rsid w:val="007235F2"/>
    <w:rsid w:val="00723B35"/>
    <w:rsid w:val="00726E3B"/>
    <w:rsid w:val="00730127"/>
    <w:rsid w:val="007302AE"/>
    <w:rsid w:val="00730CEA"/>
    <w:rsid w:val="007322AA"/>
    <w:rsid w:val="007339B0"/>
    <w:rsid w:val="00743723"/>
    <w:rsid w:val="00754919"/>
    <w:rsid w:val="00755DDA"/>
    <w:rsid w:val="00757F8D"/>
    <w:rsid w:val="00760225"/>
    <w:rsid w:val="00761E7B"/>
    <w:rsid w:val="00764050"/>
    <w:rsid w:val="007640AC"/>
    <w:rsid w:val="00774132"/>
    <w:rsid w:val="007770E6"/>
    <w:rsid w:val="007A2C8E"/>
    <w:rsid w:val="007A2E26"/>
    <w:rsid w:val="007A694D"/>
    <w:rsid w:val="007B1BCA"/>
    <w:rsid w:val="007B29B7"/>
    <w:rsid w:val="007B2DA1"/>
    <w:rsid w:val="007B6163"/>
    <w:rsid w:val="007C68D0"/>
    <w:rsid w:val="007C7124"/>
    <w:rsid w:val="007D3E61"/>
    <w:rsid w:val="007D5799"/>
    <w:rsid w:val="007F0120"/>
    <w:rsid w:val="00803E1B"/>
    <w:rsid w:val="0080497A"/>
    <w:rsid w:val="00825E06"/>
    <w:rsid w:val="00827381"/>
    <w:rsid w:val="00835C14"/>
    <w:rsid w:val="00836062"/>
    <w:rsid w:val="0084290D"/>
    <w:rsid w:val="008520AA"/>
    <w:rsid w:val="008549E2"/>
    <w:rsid w:val="00857A5D"/>
    <w:rsid w:val="00861552"/>
    <w:rsid w:val="00865145"/>
    <w:rsid w:val="00873024"/>
    <w:rsid w:val="00874B6D"/>
    <w:rsid w:val="00882BB2"/>
    <w:rsid w:val="008908BB"/>
    <w:rsid w:val="008921EC"/>
    <w:rsid w:val="008936BF"/>
    <w:rsid w:val="00897421"/>
    <w:rsid w:val="008A233A"/>
    <w:rsid w:val="008A7201"/>
    <w:rsid w:val="008B0691"/>
    <w:rsid w:val="008B113D"/>
    <w:rsid w:val="008B3B98"/>
    <w:rsid w:val="008B4394"/>
    <w:rsid w:val="008B4835"/>
    <w:rsid w:val="008B6F0B"/>
    <w:rsid w:val="008C44A2"/>
    <w:rsid w:val="008C7A13"/>
    <w:rsid w:val="008D7BA8"/>
    <w:rsid w:val="008E194D"/>
    <w:rsid w:val="008F08B1"/>
    <w:rsid w:val="008F65FC"/>
    <w:rsid w:val="00917CB7"/>
    <w:rsid w:val="00926073"/>
    <w:rsid w:val="009320B5"/>
    <w:rsid w:val="00934DDF"/>
    <w:rsid w:val="009352C0"/>
    <w:rsid w:val="00942C11"/>
    <w:rsid w:val="00950E42"/>
    <w:rsid w:val="00953766"/>
    <w:rsid w:val="009609C8"/>
    <w:rsid w:val="00965EEA"/>
    <w:rsid w:val="0097201E"/>
    <w:rsid w:val="0097246A"/>
    <w:rsid w:val="00984380"/>
    <w:rsid w:val="00985B9A"/>
    <w:rsid w:val="00986357"/>
    <w:rsid w:val="009941E9"/>
    <w:rsid w:val="009A4492"/>
    <w:rsid w:val="009C3AC7"/>
    <w:rsid w:val="009C4D25"/>
    <w:rsid w:val="009C7031"/>
    <w:rsid w:val="009D4490"/>
    <w:rsid w:val="009D5C7A"/>
    <w:rsid w:val="009D6994"/>
    <w:rsid w:val="009D73F9"/>
    <w:rsid w:val="009E0E06"/>
    <w:rsid w:val="009E1C71"/>
    <w:rsid w:val="009E4EC8"/>
    <w:rsid w:val="009E64EE"/>
    <w:rsid w:val="009E76A9"/>
    <w:rsid w:val="009E76F7"/>
    <w:rsid w:val="009F30A2"/>
    <w:rsid w:val="009F7599"/>
    <w:rsid w:val="00A00DB3"/>
    <w:rsid w:val="00A06B29"/>
    <w:rsid w:val="00A14E3D"/>
    <w:rsid w:val="00A1786A"/>
    <w:rsid w:val="00A209F2"/>
    <w:rsid w:val="00A256FB"/>
    <w:rsid w:val="00A3067C"/>
    <w:rsid w:val="00A558E9"/>
    <w:rsid w:val="00A561D0"/>
    <w:rsid w:val="00A634C8"/>
    <w:rsid w:val="00A6423A"/>
    <w:rsid w:val="00A66F76"/>
    <w:rsid w:val="00A671F6"/>
    <w:rsid w:val="00A708B4"/>
    <w:rsid w:val="00A7790C"/>
    <w:rsid w:val="00A80700"/>
    <w:rsid w:val="00A82243"/>
    <w:rsid w:val="00A828D9"/>
    <w:rsid w:val="00A83A20"/>
    <w:rsid w:val="00A84D2E"/>
    <w:rsid w:val="00A86922"/>
    <w:rsid w:val="00A87209"/>
    <w:rsid w:val="00A90A70"/>
    <w:rsid w:val="00A91413"/>
    <w:rsid w:val="00A96515"/>
    <w:rsid w:val="00AB3BB6"/>
    <w:rsid w:val="00AC036C"/>
    <w:rsid w:val="00AC4481"/>
    <w:rsid w:val="00AD00B2"/>
    <w:rsid w:val="00AD492A"/>
    <w:rsid w:val="00AE0B85"/>
    <w:rsid w:val="00AE61D4"/>
    <w:rsid w:val="00AF0BD7"/>
    <w:rsid w:val="00AF1213"/>
    <w:rsid w:val="00AF68E8"/>
    <w:rsid w:val="00B0130C"/>
    <w:rsid w:val="00B02A26"/>
    <w:rsid w:val="00B25D9E"/>
    <w:rsid w:val="00B2750F"/>
    <w:rsid w:val="00B31CCC"/>
    <w:rsid w:val="00B328D1"/>
    <w:rsid w:val="00B41AE3"/>
    <w:rsid w:val="00B41F9E"/>
    <w:rsid w:val="00B42F7C"/>
    <w:rsid w:val="00B44BEC"/>
    <w:rsid w:val="00B4739F"/>
    <w:rsid w:val="00B5288A"/>
    <w:rsid w:val="00B54B8E"/>
    <w:rsid w:val="00B56182"/>
    <w:rsid w:val="00B565C5"/>
    <w:rsid w:val="00B56D42"/>
    <w:rsid w:val="00B57632"/>
    <w:rsid w:val="00B61C65"/>
    <w:rsid w:val="00B622C6"/>
    <w:rsid w:val="00B6341C"/>
    <w:rsid w:val="00B64D15"/>
    <w:rsid w:val="00B6512A"/>
    <w:rsid w:val="00B717BD"/>
    <w:rsid w:val="00B7198D"/>
    <w:rsid w:val="00B74962"/>
    <w:rsid w:val="00B7719E"/>
    <w:rsid w:val="00B776F1"/>
    <w:rsid w:val="00B8255B"/>
    <w:rsid w:val="00B85518"/>
    <w:rsid w:val="00B97917"/>
    <w:rsid w:val="00BA1946"/>
    <w:rsid w:val="00BA21B7"/>
    <w:rsid w:val="00BA411E"/>
    <w:rsid w:val="00BB0894"/>
    <w:rsid w:val="00BB1229"/>
    <w:rsid w:val="00BB4306"/>
    <w:rsid w:val="00BB685B"/>
    <w:rsid w:val="00BC185E"/>
    <w:rsid w:val="00BC4474"/>
    <w:rsid w:val="00BC72C5"/>
    <w:rsid w:val="00BD1F8E"/>
    <w:rsid w:val="00BD6D91"/>
    <w:rsid w:val="00BD7E92"/>
    <w:rsid w:val="00BE4143"/>
    <w:rsid w:val="00BE4F10"/>
    <w:rsid w:val="00C04156"/>
    <w:rsid w:val="00C209E2"/>
    <w:rsid w:val="00C426EA"/>
    <w:rsid w:val="00C55310"/>
    <w:rsid w:val="00C55D43"/>
    <w:rsid w:val="00C57197"/>
    <w:rsid w:val="00C866EF"/>
    <w:rsid w:val="00CA3BE0"/>
    <w:rsid w:val="00CA5686"/>
    <w:rsid w:val="00CA6B49"/>
    <w:rsid w:val="00CB33F3"/>
    <w:rsid w:val="00CC4CA3"/>
    <w:rsid w:val="00CC6B60"/>
    <w:rsid w:val="00CD321D"/>
    <w:rsid w:val="00CD7347"/>
    <w:rsid w:val="00CE4D2A"/>
    <w:rsid w:val="00CE7260"/>
    <w:rsid w:val="00CF1787"/>
    <w:rsid w:val="00CF500D"/>
    <w:rsid w:val="00D049F5"/>
    <w:rsid w:val="00D16586"/>
    <w:rsid w:val="00D17B85"/>
    <w:rsid w:val="00D20D77"/>
    <w:rsid w:val="00D218E0"/>
    <w:rsid w:val="00D239F6"/>
    <w:rsid w:val="00D24635"/>
    <w:rsid w:val="00D300EC"/>
    <w:rsid w:val="00D33D89"/>
    <w:rsid w:val="00D40548"/>
    <w:rsid w:val="00D41AAE"/>
    <w:rsid w:val="00D436F6"/>
    <w:rsid w:val="00D47D4C"/>
    <w:rsid w:val="00D5083F"/>
    <w:rsid w:val="00D6326A"/>
    <w:rsid w:val="00D65597"/>
    <w:rsid w:val="00D66692"/>
    <w:rsid w:val="00D73DCE"/>
    <w:rsid w:val="00D74392"/>
    <w:rsid w:val="00D77A9E"/>
    <w:rsid w:val="00D8305B"/>
    <w:rsid w:val="00D86A5E"/>
    <w:rsid w:val="00D90C42"/>
    <w:rsid w:val="00D94608"/>
    <w:rsid w:val="00DA53BC"/>
    <w:rsid w:val="00DB1546"/>
    <w:rsid w:val="00DB3797"/>
    <w:rsid w:val="00DB5AA3"/>
    <w:rsid w:val="00DB72A3"/>
    <w:rsid w:val="00DC01FF"/>
    <w:rsid w:val="00DC25F9"/>
    <w:rsid w:val="00DE0AC9"/>
    <w:rsid w:val="00DE3B1C"/>
    <w:rsid w:val="00DE6AD9"/>
    <w:rsid w:val="00DF30D9"/>
    <w:rsid w:val="00DF397F"/>
    <w:rsid w:val="00DF4F86"/>
    <w:rsid w:val="00DF7471"/>
    <w:rsid w:val="00E0429C"/>
    <w:rsid w:val="00E05F1A"/>
    <w:rsid w:val="00E06E76"/>
    <w:rsid w:val="00E2085C"/>
    <w:rsid w:val="00E213D1"/>
    <w:rsid w:val="00E216CB"/>
    <w:rsid w:val="00E27BEC"/>
    <w:rsid w:val="00E34436"/>
    <w:rsid w:val="00E43CD6"/>
    <w:rsid w:val="00E44380"/>
    <w:rsid w:val="00E57E83"/>
    <w:rsid w:val="00E601E5"/>
    <w:rsid w:val="00E60E25"/>
    <w:rsid w:val="00E624D3"/>
    <w:rsid w:val="00E62693"/>
    <w:rsid w:val="00E70622"/>
    <w:rsid w:val="00E759A3"/>
    <w:rsid w:val="00E75D64"/>
    <w:rsid w:val="00E97799"/>
    <w:rsid w:val="00EA6BBB"/>
    <w:rsid w:val="00EA730E"/>
    <w:rsid w:val="00EB22D1"/>
    <w:rsid w:val="00EB5005"/>
    <w:rsid w:val="00EC4782"/>
    <w:rsid w:val="00EC478D"/>
    <w:rsid w:val="00ED1C85"/>
    <w:rsid w:val="00ED304E"/>
    <w:rsid w:val="00ED5729"/>
    <w:rsid w:val="00ED600D"/>
    <w:rsid w:val="00ED7302"/>
    <w:rsid w:val="00EE0971"/>
    <w:rsid w:val="00EE77D4"/>
    <w:rsid w:val="00EF0F72"/>
    <w:rsid w:val="00EF6A10"/>
    <w:rsid w:val="00EF6D43"/>
    <w:rsid w:val="00F024E3"/>
    <w:rsid w:val="00F05165"/>
    <w:rsid w:val="00F05866"/>
    <w:rsid w:val="00F125D3"/>
    <w:rsid w:val="00F12BF7"/>
    <w:rsid w:val="00F16B98"/>
    <w:rsid w:val="00F27FCE"/>
    <w:rsid w:val="00F3058F"/>
    <w:rsid w:val="00F30BD0"/>
    <w:rsid w:val="00F359DD"/>
    <w:rsid w:val="00F36F2E"/>
    <w:rsid w:val="00F371D1"/>
    <w:rsid w:val="00F43C20"/>
    <w:rsid w:val="00F46C87"/>
    <w:rsid w:val="00F52798"/>
    <w:rsid w:val="00F54B9A"/>
    <w:rsid w:val="00F5668F"/>
    <w:rsid w:val="00F5737B"/>
    <w:rsid w:val="00F57533"/>
    <w:rsid w:val="00F63539"/>
    <w:rsid w:val="00F64FFC"/>
    <w:rsid w:val="00F65679"/>
    <w:rsid w:val="00F70507"/>
    <w:rsid w:val="00F759F9"/>
    <w:rsid w:val="00F86830"/>
    <w:rsid w:val="00F92523"/>
    <w:rsid w:val="00F92A87"/>
    <w:rsid w:val="00F93FA9"/>
    <w:rsid w:val="00F96F77"/>
    <w:rsid w:val="00FA024D"/>
    <w:rsid w:val="00FB2042"/>
    <w:rsid w:val="00FB4DF7"/>
    <w:rsid w:val="00FB632F"/>
    <w:rsid w:val="00FB717A"/>
    <w:rsid w:val="00FD07F6"/>
    <w:rsid w:val="00FD0A39"/>
    <w:rsid w:val="00FD21F5"/>
    <w:rsid w:val="00FD2436"/>
    <w:rsid w:val="00FD3442"/>
    <w:rsid w:val="00FD40A7"/>
    <w:rsid w:val="00FD7A30"/>
    <w:rsid w:val="00FF0157"/>
    <w:rsid w:val="00FF661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598F6"/>
  <w15:chartTrackingRefBased/>
  <w15:docId w15:val="{FF0C5291-D220-0146-88BC-5C5B05CA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semiHidden/>
    <w:unhideWhenUsed/>
    <w:qFormat/>
    <w:rsid w:val="001C6F8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Ttulo2"/>
    <w:next w:val="Normal"/>
    <w:link w:val="Ttulo3Car"/>
    <w:uiPriority w:val="9"/>
    <w:unhideWhenUsed/>
    <w:qFormat/>
    <w:rsid w:val="001C6F82"/>
    <w:pPr>
      <w:widowControl w:val="0"/>
      <w:adjustRightInd w:val="0"/>
      <w:spacing w:before="0"/>
      <w:ind w:left="993" w:firstLine="348"/>
      <w:jc w:val="both"/>
      <w:textAlignment w:val="baseline"/>
      <w:outlineLvl w:val="2"/>
    </w:pPr>
    <w:rPr>
      <w:rFonts w:ascii="Verdana" w:hAnsi="Verdana"/>
      <w:b/>
      <w:i/>
      <w:color w:val="000000" w:themeColor="text1"/>
      <w:sz w:val="20"/>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Colorful List - Accent 11,Lista vistosa - Énfasis 11,Footnote,List Paragraph1,Párrafo de lista1,List Paragraph2,Subtle Emphasis1,Footnote1"/>
    <w:basedOn w:val="Normal"/>
    <w:link w:val="PrrafodelistaCar"/>
    <w:uiPriority w:val="34"/>
    <w:qFormat/>
    <w:rsid w:val="00DE3B1C"/>
    <w:pPr>
      <w:spacing w:after="160" w:line="259" w:lineRule="auto"/>
      <w:ind w:left="720"/>
      <w:contextualSpacing/>
    </w:pPr>
    <w:rPr>
      <w:sz w:val="22"/>
      <w:szCs w:val="22"/>
    </w:rPr>
  </w:style>
  <w:style w:type="character" w:customStyle="1" w:styleId="PrrafodelistaCar">
    <w:name w:val="Párrafo de lista Car"/>
    <w:aliases w:val="Colorful List - Accent 11 Car,Lista vistosa - Énfasis 11 Car,Footnote Car,List Paragraph1 Car,Párrafo de lista1 Car,List Paragraph2 Car,Subtle Emphasis1 Car,Footnote1 Car"/>
    <w:basedOn w:val="Fuentedeprrafopredeter"/>
    <w:link w:val="Prrafodelista"/>
    <w:locked/>
    <w:rsid w:val="00DE3B1C"/>
    <w:rPr>
      <w:sz w:val="22"/>
      <w:szCs w:val="22"/>
    </w:rPr>
  </w:style>
  <w:style w:type="paragraph" w:styleId="Textonotapie">
    <w:name w:val="footnote text"/>
    <w:aliases w:val="FA Fu,Footnote Text Char Char Char Char Char,Footnote Text Char Char Char Char,Footnote reference,Footnote Text Char Char Char,FA Fu Car,FA Fu Car Car,Footnote Text Cha,FA Fußnotentext,FA Fuﬂnotentext,FA Fu?notentext,Ca,FA Fu?notente,C,ft"/>
    <w:basedOn w:val="Normal"/>
    <w:link w:val="TextonotapieCar"/>
    <w:unhideWhenUsed/>
    <w:qFormat/>
    <w:rsid w:val="00DE3B1C"/>
    <w:rPr>
      <w:sz w:val="20"/>
      <w:szCs w:val="20"/>
    </w:rPr>
  </w:style>
  <w:style w:type="character" w:customStyle="1" w:styleId="TextonotapieCar">
    <w:name w:val="Texto nota pie Car"/>
    <w:aliases w:val="FA Fu Car1,Footnote Text Char Char Char Char Char Car,Footnote Text Char Char Char Char Car,Footnote reference Car,Footnote Text Char Char Char Car,FA Fu Car Car1,FA Fu Car Car Car,Footnote Text Cha Car,FA Fußnotentext Car,Ca Car"/>
    <w:basedOn w:val="Fuentedeprrafopredeter"/>
    <w:link w:val="Textonotapie"/>
    <w:uiPriority w:val="99"/>
    <w:qFormat/>
    <w:rsid w:val="00DE3B1C"/>
    <w:rPr>
      <w:sz w:val="20"/>
      <w:szCs w:val="20"/>
    </w:rPr>
  </w:style>
  <w:style w:type="character" w:styleId="Refdenotaalpie">
    <w:name w:val="footnote reference"/>
    <w:aliases w:val="Texto de nota al pie,Appel note de bas de page,Footnotes refss,Footnote number,referencia nota al pie,BVI fnr,f,4_G,16 Point,Superscript 6 Point,Footnote Reference Char3,Footnote Reference Char1 Char,Footnote Reference Char Char Char"/>
    <w:basedOn w:val="Fuentedeprrafopredeter"/>
    <w:link w:val="4GChar"/>
    <w:uiPriority w:val="99"/>
    <w:unhideWhenUsed/>
    <w:qFormat/>
    <w:rsid w:val="00DE3B1C"/>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DE3B1C"/>
    <w:pPr>
      <w:jc w:val="both"/>
    </w:pPr>
    <w:rPr>
      <w:vertAlign w:val="superscript"/>
    </w:rPr>
  </w:style>
  <w:style w:type="paragraph" w:styleId="NormalWeb">
    <w:name w:val="Normal (Web)"/>
    <w:basedOn w:val="Normal"/>
    <w:uiPriority w:val="99"/>
    <w:unhideWhenUsed/>
    <w:rsid w:val="008F08B1"/>
    <w:pPr>
      <w:spacing w:before="100" w:beforeAutospacing="1" w:after="100" w:afterAutospacing="1"/>
    </w:pPr>
    <w:rPr>
      <w:rFonts w:ascii="Times New Roman" w:eastAsia="Times New Roman" w:hAnsi="Times New Roman" w:cs="Times New Roman"/>
      <w:lang w:eastAsia="es-ES_tradnl"/>
    </w:rPr>
  </w:style>
  <w:style w:type="character" w:styleId="Textoennegrita">
    <w:name w:val="Strong"/>
    <w:aliases w:val="Heading 2.1"/>
    <w:basedOn w:val="Fuentedeprrafopredeter"/>
    <w:uiPriority w:val="22"/>
    <w:qFormat/>
    <w:rsid w:val="00DA53BC"/>
    <w:rPr>
      <w:b/>
      <w:bCs/>
    </w:rPr>
  </w:style>
  <w:style w:type="paragraph" w:customStyle="1" w:styleId="Default">
    <w:name w:val="Default"/>
    <w:rsid w:val="002217F7"/>
    <w:pPr>
      <w:autoSpaceDE w:val="0"/>
      <w:autoSpaceDN w:val="0"/>
      <w:adjustRightInd w:val="0"/>
    </w:pPr>
    <w:rPr>
      <w:rFonts w:ascii="Verdana" w:hAnsi="Verdana" w:cs="Verdana"/>
      <w:color w:val="000000"/>
    </w:rPr>
  </w:style>
  <w:style w:type="character" w:customStyle="1" w:styleId="Ttulo3Car">
    <w:name w:val="Título 3 Car"/>
    <w:basedOn w:val="Fuentedeprrafopredeter"/>
    <w:link w:val="Ttulo3"/>
    <w:uiPriority w:val="9"/>
    <w:rsid w:val="001C6F82"/>
    <w:rPr>
      <w:rFonts w:ascii="Verdana" w:eastAsiaTheme="majorEastAsia" w:hAnsi="Verdana" w:cstheme="majorBidi"/>
      <w:b/>
      <w:i/>
      <w:color w:val="000000" w:themeColor="text1"/>
      <w:sz w:val="20"/>
      <w:szCs w:val="20"/>
      <w:lang w:val="es-ES"/>
    </w:rPr>
  </w:style>
  <w:style w:type="character" w:customStyle="1" w:styleId="Ttulo2Car">
    <w:name w:val="Título 2 Car"/>
    <w:basedOn w:val="Fuentedeprrafopredeter"/>
    <w:link w:val="Ttulo2"/>
    <w:uiPriority w:val="9"/>
    <w:semiHidden/>
    <w:rsid w:val="001C6F82"/>
    <w:rPr>
      <w:rFonts w:asciiTheme="majorHAnsi" w:eastAsiaTheme="majorEastAsia" w:hAnsiTheme="majorHAnsi" w:cstheme="majorBidi"/>
      <w:color w:val="2F5496" w:themeColor="accent1" w:themeShade="BF"/>
      <w:sz w:val="26"/>
      <w:szCs w:val="26"/>
    </w:rPr>
  </w:style>
  <w:style w:type="paragraph" w:styleId="Encabezado">
    <w:name w:val="header"/>
    <w:basedOn w:val="Normal"/>
    <w:link w:val="EncabezadoCar"/>
    <w:uiPriority w:val="99"/>
    <w:unhideWhenUsed/>
    <w:rsid w:val="00A671F6"/>
    <w:pPr>
      <w:tabs>
        <w:tab w:val="center" w:pos="4419"/>
        <w:tab w:val="right" w:pos="8838"/>
      </w:tabs>
    </w:pPr>
  </w:style>
  <w:style w:type="character" w:customStyle="1" w:styleId="EncabezadoCar">
    <w:name w:val="Encabezado Car"/>
    <w:basedOn w:val="Fuentedeprrafopredeter"/>
    <w:link w:val="Encabezado"/>
    <w:uiPriority w:val="99"/>
    <w:rsid w:val="00A671F6"/>
  </w:style>
  <w:style w:type="paragraph" w:styleId="Piedepgina">
    <w:name w:val="footer"/>
    <w:basedOn w:val="Normal"/>
    <w:link w:val="PiedepginaCar"/>
    <w:uiPriority w:val="99"/>
    <w:unhideWhenUsed/>
    <w:rsid w:val="00A671F6"/>
    <w:pPr>
      <w:tabs>
        <w:tab w:val="center" w:pos="4419"/>
        <w:tab w:val="right" w:pos="8838"/>
      </w:tabs>
    </w:pPr>
  </w:style>
  <w:style w:type="character" w:customStyle="1" w:styleId="PiedepginaCar">
    <w:name w:val="Pie de página Car"/>
    <w:basedOn w:val="Fuentedeprrafopredeter"/>
    <w:link w:val="Piedepgina"/>
    <w:uiPriority w:val="99"/>
    <w:rsid w:val="00A671F6"/>
  </w:style>
  <w:style w:type="character" w:styleId="Refdecomentario">
    <w:name w:val="annotation reference"/>
    <w:basedOn w:val="Fuentedeprrafopredeter"/>
    <w:uiPriority w:val="99"/>
    <w:semiHidden/>
    <w:unhideWhenUsed/>
    <w:rsid w:val="007016C7"/>
    <w:rPr>
      <w:sz w:val="16"/>
      <w:szCs w:val="16"/>
    </w:rPr>
  </w:style>
  <w:style w:type="paragraph" w:styleId="Textocomentario">
    <w:name w:val="annotation text"/>
    <w:basedOn w:val="Normal"/>
    <w:link w:val="TextocomentarioCar"/>
    <w:uiPriority w:val="99"/>
    <w:semiHidden/>
    <w:unhideWhenUsed/>
    <w:rsid w:val="007016C7"/>
    <w:rPr>
      <w:sz w:val="20"/>
      <w:szCs w:val="20"/>
    </w:rPr>
  </w:style>
  <w:style w:type="character" w:customStyle="1" w:styleId="TextocomentarioCar">
    <w:name w:val="Texto comentario Car"/>
    <w:basedOn w:val="Fuentedeprrafopredeter"/>
    <w:link w:val="Textocomentario"/>
    <w:uiPriority w:val="99"/>
    <w:semiHidden/>
    <w:rsid w:val="007016C7"/>
    <w:rPr>
      <w:sz w:val="20"/>
      <w:szCs w:val="20"/>
    </w:rPr>
  </w:style>
  <w:style w:type="paragraph" w:styleId="Asuntodelcomentario">
    <w:name w:val="annotation subject"/>
    <w:basedOn w:val="Textocomentario"/>
    <w:next w:val="Textocomentario"/>
    <w:link w:val="AsuntodelcomentarioCar"/>
    <w:uiPriority w:val="99"/>
    <w:semiHidden/>
    <w:unhideWhenUsed/>
    <w:rsid w:val="007016C7"/>
    <w:rPr>
      <w:b/>
      <w:bCs/>
    </w:rPr>
  </w:style>
  <w:style w:type="character" w:customStyle="1" w:styleId="AsuntodelcomentarioCar">
    <w:name w:val="Asunto del comentario Car"/>
    <w:basedOn w:val="TextocomentarioCar"/>
    <w:link w:val="Asuntodelcomentario"/>
    <w:uiPriority w:val="99"/>
    <w:semiHidden/>
    <w:rsid w:val="007016C7"/>
    <w:rPr>
      <w:b/>
      <w:bCs/>
      <w:sz w:val="20"/>
      <w:szCs w:val="20"/>
    </w:rPr>
  </w:style>
  <w:style w:type="paragraph" w:styleId="Textodeglobo">
    <w:name w:val="Balloon Text"/>
    <w:basedOn w:val="Normal"/>
    <w:link w:val="TextodegloboCar"/>
    <w:uiPriority w:val="99"/>
    <w:semiHidden/>
    <w:unhideWhenUsed/>
    <w:rsid w:val="007016C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016C7"/>
    <w:rPr>
      <w:rFonts w:ascii="Segoe UI" w:hAnsi="Segoe UI" w:cs="Segoe UI"/>
      <w:sz w:val="18"/>
      <w:szCs w:val="18"/>
    </w:rPr>
  </w:style>
  <w:style w:type="paragraph" w:styleId="Revisin">
    <w:name w:val="Revision"/>
    <w:hidden/>
    <w:uiPriority w:val="99"/>
    <w:semiHidden/>
    <w:rsid w:val="003E2FE5"/>
  </w:style>
  <w:style w:type="paragraph" w:customStyle="1" w:styleId="Numberedparagraphs">
    <w:name w:val="Numbered paragraphs"/>
    <w:basedOn w:val="Normal"/>
    <w:qFormat/>
    <w:rsid w:val="00A80700"/>
    <w:pPr>
      <w:numPr>
        <w:numId w:val="5"/>
      </w:numPr>
      <w:jc w:val="both"/>
    </w:pPr>
    <w:rPr>
      <w:rFonts w:ascii="Verdana" w:eastAsia="MS Mincho" w:hAnsi="Verdana" w:cs="Times New Roman"/>
      <w:color w:val="000000"/>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17873">
      <w:bodyDiv w:val="1"/>
      <w:marLeft w:val="0"/>
      <w:marRight w:val="0"/>
      <w:marTop w:val="0"/>
      <w:marBottom w:val="0"/>
      <w:divBdr>
        <w:top w:val="none" w:sz="0" w:space="0" w:color="auto"/>
        <w:left w:val="none" w:sz="0" w:space="0" w:color="auto"/>
        <w:bottom w:val="none" w:sz="0" w:space="0" w:color="auto"/>
        <w:right w:val="none" w:sz="0" w:space="0" w:color="auto"/>
      </w:divBdr>
      <w:divsChild>
        <w:div w:id="1346402569">
          <w:marLeft w:val="0"/>
          <w:marRight w:val="0"/>
          <w:marTop w:val="0"/>
          <w:marBottom w:val="0"/>
          <w:divBdr>
            <w:top w:val="none" w:sz="0" w:space="0" w:color="auto"/>
            <w:left w:val="none" w:sz="0" w:space="0" w:color="auto"/>
            <w:bottom w:val="none" w:sz="0" w:space="0" w:color="auto"/>
            <w:right w:val="none" w:sz="0" w:space="0" w:color="auto"/>
          </w:divBdr>
          <w:divsChild>
            <w:div w:id="840120533">
              <w:marLeft w:val="0"/>
              <w:marRight w:val="0"/>
              <w:marTop w:val="0"/>
              <w:marBottom w:val="0"/>
              <w:divBdr>
                <w:top w:val="none" w:sz="0" w:space="0" w:color="auto"/>
                <w:left w:val="none" w:sz="0" w:space="0" w:color="auto"/>
                <w:bottom w:val="none" w:sz="0" w:space="0" w:color="auto"/>
                <w:right w:val="none" w:sz="0" w:space="0" w:color="auto"/>
              </w:divBdr>
              <w:divsChild>
                <w:div w:id="60909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89322">
      <w:bodyDiv w:val="1"/>
      <w:marLeft w:val="0"/>
      <w:marRight w:val="0"/>
      <w:marTop w:val="0"/>
      <w:marBottom w:val="0"/>
      <w:divBdr>
        <w:top w:val="none" w:sz="0" w:space="0" w:color="auto"/>
        <w:left w:val="none" w:sz="0" w:space="0" w:color="auto"/>
        <w:bottom w:val="none" w:sz="0" w:space="0" w:color="auto"/>
        <w:right w:val="none" w:sz="0" w:space="0" w:color="auto"/>
      </w:divBdr>
    </w:div>
    <w:div w:id="481459747">
      <w:bodyDiv w:val="1"/>
      <w:marLeft w:val="0"/>
      <w:marRight w:val="0"/>
      <w:marTop w:val="0"/>
      <w:marBottom w:val="0"/>
      <w:divBdr>
        <w:top w:val="none" w:sz="0" w:space="0" w:color="auto"/>
        <w:left w:val="none" w:sz="0" w:space="0" w:color="auto"/>
        <w:bottom w:val="none" w:sz="0" w:space="0" w:color="auto"/>
        <w:right w:val="none" w:sz="0" w:space="0" w:color="auto"/>
      </w:divBdr>
    </w:div>
    <w:div w:id="505752446">
      <w:bodyDiv w:val="1"/>
      <w:marLeft w:val="0"/>
      <w:marRight w:val="0"/>
      <w:marTop w:val="0"/>
      <w:marBottom w:val="0"/>
      <w:divBdr>
        <w:top w:val="none" w:sz="0" w:space="0" w:color="auto"/>
        <w:left w:val="none" w:sz="0" w:space="0" w:color="auto"/>
        <w:bottom w:val="none" w:sz="0" w:space="0" w:color="auto"/>
        <w:right w:val="none" w:sz="0" w:space="0" w:color="auto"/>
      </w:divBdr>
    </w:div>
    <w:div w:id="706293712">
      <w:bodyDiv w:val="1"/>
      <w:marLeft w:val="0"/>
      <w:marRight w:val="0"/>
      <w:marTop w:val="0"/>
      <w:marBottom w:val="0"/>
      <w:divBdr>
        <w:top w:val="none" w:sz="0" w:space="0" w:color="auto"/>
        <w:left w:val="none" w:sz="0" w:space="0" w:color="auto"/>
        <w:bottom w:val="none" w:sz="0" w:space="0" w:color="auto"/>
        <w:right w:val="none" w:sz="0" w:space="0" w:color="auto"/>
      </w:divBdr>
      <w:divsChild>
        <w:div w:id="97457114">
          <w:marLeft w:val="0"/>
          <w:marRight w:val="0"/>
          <w:marTop w:val="0"/>
          <w:marBottom w:val="0"/>
          <w:divBdr>
            <w:top w:val="none" w:sz="0" w:space="0" w:color="auto"/>
            <w:left w:val="none" w:sz="0" w:space="0" w:color="auto"/>
            <w:bottom w:val="none" w:sz="0" w:space="0" w:color="auto"/>
            <w:right w:val="none" w:sz="0" w:space="0" w:color="auto"/>
          </w:divBdr>
          <w:divsChild>
            <w:div w:id="1973365089">
              <w:marLeft w:val="0"/>
              <w:marRight w:val="0"/>
              <w:marTop w:val="0"/>
              <w:marBottom w:val="0"/>
              <w:divBdr>
                <w:top w:val="none" w:sz="0" w:space="0" w:color="auto"/>
                <w:left w:val="none" w:sz="0" w:space="0" w:color="auto"/>
                <w:bottom w:val="none" w:sz="0" w:space="0" w:color="auto"/>
                <w:right w:val="none" w:sz="0" w:space="0" w:color="auto"/>
              </w:divBdr>
              <w:divsChild>
                <w:div w:id="188959334">
                  <w:marLeft w:val="0"/>
                  <w:marRight w:val="0"/>
                  <w:marTop w:val="0"/>
                  <w:marBottom w:val="0"/>
                  <w:divBdr>
                    <w:top w:val="none" w:sz="0" w:space="0" w:color="auto"/>
                    <w:left w:val="none" w:sz="0" w:space="0" w:color="auto"/>
                    <w:bottom w:val="none" w:sz="0" w:space="0" w:color="auto"/>
                    <w:right w:val="none" w:sz="0" w:space="0" w:color="auto"/>
                  </w:divBdr>
                  <w:divsChild>
                    <w:div w:id="1340962254">
                      <w:marLeft w:val="0"/>
                      <w:marRight w:val="0"/>
                      <w:marTop w:val="0"/>
                      <w:marBottom w:val="0"/>
                      <w:divBdr>
                        <w:top w:val="none" w:sz="0" w:space="0" w:color="auto"/>
                        <w:left w:val="none" w:sz="0" w:space="0" w:color="auto"/>
                        <w:bottom w:val="none" w:sz="0" w:space="0" w:color="auto"/>
                        <w:right w:val="none" w:sz="0" w:space="0" w:color="auto"/>
                      </w:divBdr>
                    </w:div>
                  </w:divsChild>
                </w:div>
                <w:div w:id="2131625981">
                  <w:marLeft w:val="0"/>
                  <w:marRight w:val="0"/>
                  <w:marTop w:val="0"/>
                  <w:marBottom w:val="0"/>
                  <w:divBdr>
                    <w:top w:val="none" w:sz="0" w:space="0" w:color="auto"/>
                    <w:left w:val="none" w:sz="0" w:space="0" w:color="auto"/>
                    <w:bottom w:val="none" w:sz="0" w:space="0" w:color="auto"/>
                    <w:right w:val="none" w:sz="0" w:space="0" w:color="auto"/>
                  </w:divBdr>
                  <w:divsChild>
                    <w:div w:id="127659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538036">
      <w:bodyDiv w:val="1"/>
      <w:marLeft w:val="0"/>
      <w:marRight w:val="0"/>
      <w:marTop w:val="0"/>
      <w:marBottom w:val="0"/>
      <w:divBdr>
        <w:top w:val="none" w:sz="0" w:space="0" w:color="auto"/>
        <w:left w:val="none" w:sz="0" w:space="0" w:color="auto"/>
        <w:bottom w:val="none" w:sz="0" w:space="0" w:color="auto"/>
        <w:right w:val="none" w:sz="0" w:space="0" w:color="auto"/>
      </w:divBdr>
    </w:div>
    <w:div w:id="832453822">
      <w:bodyDiv w:val="1"/>
      <w:marLeft w:val="0"/>
      <w:marRight w:val="0"/>
      <w:marTop w:val="0"/>
      <w:marBottom w:val="0"/>
      <w:divBdr>
        <w:top w:val="none" w:sz="0" w:space="0" w:color="auto"/>
        <w:left w:val="none" w:sz="0" w:space="0" w:color="auto"/>
        <w:bottom w:val="none" w:sz="0" w:space="0" w:color="auto"/>
        <w:right w:val="none" w:sz="0" w:space="0" w:color="auto"/>
      </w:divBdr>
    </w:div>
    <w:div w:id="891424643">
      <w:bodyDiv w:val="1"/>
      <w:marLeft w:val="0"/>
      <w:marRight w:val="0"/>
      <w:marTop w:val="0"/>
      <w:marBottom w:val="0"/>
      <w:divBdr>
        <w:top w:val="none" w:sz="0" w:space="0" w:color="auto"/>
        <w:left w:val="none" w:sz="0" w:space="0" w:color="auto"/>
        <w:bottom w:val="none" w:sz="0" w:space="0" w:color="auto"/>
        <w:right w:val="none" w:sz="0" w:space="0" w:color="auto"/>
      </w:divBdr>
    </w:div>
    <w:div w:id="1052540724">
      <w:bodyDiv w:val="1"/>
      <w:marLeft w:val="0"/>
      <w:marRight w:val="0"/>
      <w:marTop w:val="0"/>
      <w:marBottom w:val="0"/>
      <w:divBdr>
        <w:top w:val="none" w:sz="0" w:space="0" w:color="auto"/>
        <w:left w:val="none" w:sz="0" w:space="0" w:color="auto"/>
        <w:bottom w:val="none" w:sz="0" w:space="0" w:color="auto"/>
        <w:right w:val="none" w:sz="0" w:space="0" w:color="auto"/>
      </w:divBdr>
      <w:divsChild>
        <w:div w:id="1985155428">
          <w:marLeft w:val="0"/>
          <w:marRight w:val="0"/>
          <w:marTop w:val="0"/>
          <w:marBottom w:val="0"/>
          <w:divBdr>
            <w:top w:val="none" w:sz="0" w:space="0" w:color="auto"/>
            <w:left w:val="none" w:sz="0" w:space="0" w:color="auto"/>
            <w:bottom w:val="none" w:sz="0" w:space="0" w:color="auto"/>
            <w:right w:val="none" w:sz="0" w:space="0" w:color="auto"/>
          </w:divBdr>
          <w:divsChild>
            <w:div w:id="17629811">
              <w:marLeft w:val="0"/>
              <w:marRight w:val="0"/>
              <w:marTop w:val="0"/>
              <w:marBottom w:val="0"/>
              <w:divBdr>
                <w:top w:val="none" w:sz="0" w:space="0" w:color="auto"/>
                <w:left w:val="none" w:sz="0" w:space="0" w:color="auto"/>
                <w:bottom w:val="none" w:sz="0" w:space="0" w:color="auto"/>
                <w:right w:val="none" w:sz="0" w:space="0" w:color="auto"/>
              </w:divBdr>
              <w:divsChild>
                <w:div w:id="1070883165">
                  <w:marLeft w:val="0"/>
                  <w:marRight w:val="0"/>
                  <w:marTop w:val="0"/>
                  <w:marBottom w:val="0"/>
                  <w:divBdr>
                    <w:top w:val="none" w:sz="0" w:space="0" w:color="auto"/>
                    <w:left w:val="none" w:sz="0" w:space="0" w:color="auto"/>
                    <w:bottom w:val="none" w:sz="0" w:space="0" w:color="auto"/>
                    <w:right w:val="none" w:sz="0" w:space="0" w:color="auto"/>
                  </w:divBdr>
                  <w:divsChild>
                    <w:div w:id="760952357">
                      <w:marLeft w:val="0"/>
                      <w:marRight w:val="0"/>
                      <w:marTop w:val="0"/>
                      <w:marBottom w:val="0"/>
                      <w:divBdr>
                        <w:top w:val="none" w:sz="0" w:space="0" w:color="auto"/>
                        <w:left w:val="none" w:sz="0" w:space="0" w:color="auto"/>
                        <w:bottom w:val="none" w:sz="0" w:space="0" w:color="auto"/>
                        <w:right w:val="none" w:sz="0" w:space="0" w:color="auto"/>
                      </w:divBdr>
                    </w:div>
                  </w:divsChild>
                </w:div>
                <w:div w:id="963541864">
                  <w:marLeft w:val="0"/>
                  <w:marRight w:val="0"/>
                  <w:marTop w:val="0"/>
                  <w:marBottom w:val="0"/>
                  <w:divBdr>
                    <w:top w:val="none" w:sz="0" w:space="0" w:color="auto"/>
                    <w:left w:val="none" w:sz="0" w:space="0" w:color="auto"/>
                    <w:bottom w:val="none" w:sz="0" w:space="0" w:color="auto"/>
                    <w:right w:val="none" w:sz="0" w:space="0" w:color="auto"/>
                  </w:divBdr>
                  <w:divsChild>
                    <w:div w:id="166412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931524">
      <w:bodyDiv w:val="1"/>
      <w:marLeft w:val="0"/>
      <w:marRight w:val="0"/>
      <w:marTop w:val="0"/>
      <w:marBottom w:val="0"/>
      <w:divBdr>
        <w:top w:val="none" w:sz="0" w:space="0" w:color="auto"/>
        <w:left w:val="none" w:sz="0" w:space="0" w:color="auto"/>
        <w:bottom w:val="none" w:sz="0" w:space="0" w:color="auto"/>
        <w:right w:val="none" w:sz="0" w:space="0" w:color="auto"/>
      </w:divBdr>
      <w:divsChild>
        <w:div w:id="432409009">
          <w:marLeft w:val="0"/>
          <w:marRight w:val="0"/>
          <w:marTop w:val="0"/>
          <w:marBottom w:val="0"/>
          <w:divBdr>
            <w:top w:val="none" w:sz="0" w:space="0" w:color="auto"/>
            <w:left w:val="none" w:sz="0" w:space="0" w:color="auto"/>
            <w:bottom w:val="none" w:sz="0" w:space="0" w:color="auto"/>
            <w:right w:val="none" w:sz="0" w:space="0" w:color="auto"/>
          </w:divBdr>
          <w:divsChild>
            <w:div w:id="481777844">
              <w:marLeft w:val="0"/>
              <w:marRight w:val="0"/>
              <w:marTop w:val="0"/>
              <w:marBottom w:val="0"/>
              <w:divBdr>
                <w:top w:val="none" w:sz="0" w:space="0" w:color="auto"/>
                <w:left w:val="none" w:sz="0" w:space="0" w:color="auto"/>
                <w:bottom w:val="none" w:sz="0" w:space="0" w:color="auto"/>
                <w:right w:val="none" w:sz="0" w:space="0" w:color="auto"/>
              </w:divBdr>
              <w:divsChild>
                <w:div w:id="145039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091733">
      <w:bodyDiv w:val="1"/>
      <w:marLeft w:val="0"/>
      <w:marRight w:val="0"/>
      <w:marTop w:val="0"/>
      <w:marBottom w:val="0"/>
      <w:divBdr>
        <w:top w:val="none" w:sz="0" w:space="0" w:color="auto"/>
        <w:left w:val="none" w:sz="0" w:space="0" w:color="auto"/>
        <w:bottom w:val="none" w:sz="0" w:space="0" w:color="auto"/>
        <w:right w:val="none" w:sz="0" w:space="0" w:color="auto"/>
      </w:divBdr>
    </w:div>
    <w:div w:id="1183933635">
      <w:bodyDiv w:val="1"/>
      <w:marLeft w:val="0"/>
      <w:marRight w:val="0"/>
      <w:marTop w:val="0"/>
      <w:marBottom w:val="0"/>
      <w:divBdr>
        <w:top w:val="none" w:sz="0" w:space="0" w:color="auto"/>
        <w:left w:val="none" w:sz="0" w:space="0" w:color="auto"/>
        <w:bottom w:val="none" w:sz="0" w:space="0" w:color="auto"/>
        <w:right w:val="none" w:sz="0" w:space="0" w:color="auto"/>
      </w:divBdr>
      <w:divsChild>
        <w:div w:id="1502236019">
          <w:marLeft w:val="0"/>
          <w:marRight w:val="0"/>
          <w:marTop w:val="0"/>
          <w:marBottom w:val="0"/>
          <w:divBdr>
            <w:top w:val="none" w:sz="0" w:space="0" w:color="auto"/>
            <w:left w:val="none" w:sz="0" w:space="0" w:color="auto"/>
            <w:bottom w:val="none" w:sz="0" w:space="0" w:color="auto"/>
            <w:right w:val="none" w:sz="0" w:space="0" w:color="auto"/>
          </w:divBdr>
          <w:divsChild>
            <w:div w:id="1156650595">
              <w:marLeft w:val="0"/>
              <w:marRight w:val="0"/>
              <w:marTop w:val="0"/>
              <w:marBottom w:val="0"/>
              <w:divBdr>
                <w:top w:val="none" w:sz="0" w:space="0" w:color="auto"/>
                <w:left w:val="none" w:sz="0" w:space="0" w:color="auto"/>
                <w:bottom w:val="none" w:sz="0" w:space="0" w:color="auto"/>
                <w:right w:val="none" w:sz="0" w:space="0" w:color="auto"/>
              </w:divBdr>
              <w:divsChild>
                <w:div w:id="192899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039770">
      <w:bodyDiv w:val="1"/>
      <w:marLeft w:val="0"/>
      <w:marRight w:val="0"/>
      <w:marTop w:val="0"/>
      <w:marBottom w:val="0"/>
      <w:divBdr>
        <w:top w:val="none" w:sz="0" w:space="0" w:color="auto"/>
        <w:left w:val="none" w:sz="0" w:space="0" w:color="auto"/>
        <w:bottom w:val="none" w:sz="0" w:space="0" w:color="auto"/>
        <w:right w:val="none" w:sz="0" w:space="0" w:color="auto"/>
      </w:divBdr>
    </w:div>
    <w:div w:id="1359427056">
      <w:bodyDiv w:val="1"/>
      <w:marLeft w:val="0"/>
      <w:marRight w:val="0"/>
      <w:marTop w:val="0"/>
      <w:marBottom w:val="0"/>
      <w:divBdr>
        <w:top w:val="none" w:sz="0" w:space="0" w:color="auto"/>
        <w:left w:val="none" w:sz="0" w:space="0" w:color="auto"/>
        <w:bottom w:val="none" w:sz="0" w:space="0" w:color="auto"/>
        <w:right w:val="none" w:sz="0" w:space="0" w:color="auto"/>
      </w:divBdr>
    </w:div>
    <w:div w:id="1495339812">
      <w:bodyDiv w:val="1"/>
      <w:marLeft w:val="0"/>
      <w:marRight w:val="0"/>
      <w:marTop w:val="0"/>
      <w:marBottom w:val="0"/>
      <w:divBdr>
        <w:top w:val="none" w:sz="0" w:space="0" w:color="auto"/>
        <w:left w:val="none" w:sz="0" w:space="0" w:color="auto"/>
        <w:bottom w:val="none" w:sz="0" w:space="0" w:color="auto"/>
        <w:right w:val="none" w:sz="0" w:space="0" w:color="auto"/>
      </w:divBdr>
      <w:divsChild>
        <w:div w:id="1412431877">
          <w:marLeft w:val="0"/>
          <w:marRight w:val="0"/>
          <w:marTop w:val="0"/>
          <w:marBottom w:val="0"/>
          <w:divBdr>
            <w:top w:val="none" w:sz="0" w:space="0" w:color="auto"/>
            <w:left w:val="none" w:sz="0" w:space="0" w:color="auto"/>
            <w:bottom w:val="none" w:sz="0" w:space="0" w:color="auto"/>
            <w:right w:val="none" w:sz="0" w:space="0" w:color="auto"/>
          </w:divBdr>
          <w:divsChild>
            <w:div w:id="1567373078">
              <w:marLeft w:val="0"/>
              <w:marRight w:val="0"/>
              <w:marTop w:val="0"/>
              <w:marBottom w:val="0"/>
              <w:divBdr>
                <w:top w:val="none" w:sz="0" w:space="0" w:color="auto"/>
                <w:left w:val="none" w:sz="0" w:space="0" w:color="auto"/>
                <w:bottom w:val="none" w:sz="0" w:space="0" w:color="auto"/>
                <w:right w:val="none" w:sz="0" w:space="0" w:color="auto"/>
              </w:divBdr>
              <w:divsChild>
                <w:div w:id="1784883165">
                  <w:marLeft w:val="0"/>
                  <w:marRight w:val="0"/>
                  <w:marTop w:val="0"/>
                  <w:marBottom w:val="0"/>
                  <w:divBdr>
                    <w:top w:val="none" w:sz="0" w:space="0" w:color="auto"/>
                    <w:left w:val="none" w:sz="0" w:space="0" w:color="auto"/>
                    <w:bottom w:val="none" w:sz="0" w:space="0" w:color="auto"/>
                    <w:right w:val="none" w:sz="0" w:space="0" w:color="auto"/>
                  </w:divBdr>
                  <w:divsChild>
                    <w:div w:id="80763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192625">
      <w:bodyDiv w:val="1"/>
      <w:marLeft w:val="0"/>
      <w:marRight w:val="0"/>
      <w:marTop w:val="0"/>
      <w:marBottom w:val="0"/>
      <w:divBdr>
        <w:top w:val="none" w:sz="0" w:space="0" w:color="auto"/>
        <w:left w:val="none" w:sz="0" w:space="0" w:color="auto"/>
        <w:bottom w:val="none" w:sz="0" w:space="0" w:color="auto"/>
        <w:right w:val="none" w:sz="0" w:space="0" w:color="auto"/>
      </w:divBdr>
    </w:div>
    <w:div w:id="1507138295">
      <w:bodyDiv w:val="1"/>
      <w:marLeft w:val="0"/>
      <w:marRight w:val="0"/>
      <w:marTop w:val="0"/>
      <w:marBottom w:val="0"/>
      <w:divBdr>
        <w:top w:val="none" w:sz="0" w:space="0" w:color="auto"/>
        <w:left w:val="none" w:sz="0" w:space="0" w:color="auto"/>
        <w:bottom w:val="none" w:sz="0" w:space="0" w:color="auto"/>
        <w:right w:val="none" w:sz="0" w:space="0" w:color="auto"/>
      </w:divBdr>
      <w:divsChild>
        <w:div w:id="1866944713">
          <w:marLeft w:val="0"/>
          <w:marRight w:val="0"/>
          <w:marTop w:val="0"/>
          <w:marBottom w:val="0"/>
          <w:divBdr>
            <w:top w:val="none" w:sz="0" w:space="0" w:color="auto"/>
            <w:left w:val="none" w:sz="0" w:space="0" w:color="auto"/>
            <w:bottom w:val="none" w:sz="0" w:space="0" w:color="auto"/>
            <w:right w:val="none" w:sz="0" w:space="0" w:color="auto"/>
          </w:divBdr>
          <w:divsChild>
            <w:div w:id="728040267">
              <w:marLeft w:val="0"/>
              <w:marRight w:val="0"/>
              <w:marTop w:val="0"/>
              <w:marBottom w:val="0"/>
              <w:divBdr>
                <w:top w:val="none" w:sz="0" w:space="0" w:color="auto"/>
                <w:left w:val="none" w:sz="0" w:space="0" w:color="auto"/>
                <w:bottom w:val="none" w:sz="0" w:space="0" w:color="auto"/>
                <w:right w:val="none" w:sz="0" w:space="0" w:color="auto"/>
              </w:divBdr>
              <w:divsChild>
                <w:div w:id="2117016998">
                  <w:marLeft w:val="0"/>
                  <w:marRight w:val="0"/>
                  <w:marTop w:val="0"/>
                  <w:marBottom w:val="0"/>
                  <w:divBdr>
                    <w:top w:val="none" w:sz="0" w:space="0" w:color="auto"/>
                    <w:left w:val="none" w:sz="0" w:space="0" w:color="auto"/>
                    <w:bottom w:val="none" w:sz="0" w:space="0" w:color="auto"/>
                    <w:right w:val="none" w:sz="0" w:space="0" w:color="auto"/>
                  </w:divBdr>
                  <w:divsChild>
                    <w:div w:id="566770292">
                      <w:marLeft w:val="0"/>
                      <w:marRight w:val="0"/>
                      <w:marTop w:val="0"/>
                      <w:marBottom w:val="0"/>
                      <w:divBdr>
                        <w:top w:val="none" w:sz="0" w:space="0" w:color="auto"/>
                        <w:left w:val="none" w:sz="0" w:space="0" w:color="auto"/>
                        <w:bottom w:val="none" w:sz="0" w:space="0" w:color="auto"/>
                        <w:right w:val="none" w:sz="0" w:space="0" w:color="auto"/>
                      </w:divBdr>
                    </w:div>
                  </w:divsChild>
                </w:div>
                <w:div w:id="1987976048">
                  <w:marLeft w:val="0"/>
                  <w:marRight w:val="0"/>
                  <w:marTop w:val="0"/>
                  <w:marBottom w:val="0"/>
                  <w:divBdr>
                    <w:top w:val="none" w:sz="0" w:space="0" w:color="auto"/>
                    <w:left w:val="none" w:sz="0" w:space="0" w:color="auto"/>
                    <w:bottom w:val="none" w:sz="0" w:space="0" w:color="auto"/>
                    <w:right w:val="none" w:sz="0" w:space="0" w:color="auto"/>
                  </w:divBdr>
                  <w:divsChild>
                    <w:div w:id="14925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253521">
      <w:bodyDiv w:val="1"/>
      <w:marLeft w:val="0"/>
      <w:marRight w:val="0"/>
      <w:marTop w:val="0"/>
      <w:marBottom w:val="0"/>
      <w:divBdr>
        <w:top w:val="none" w:sz="0" w:space="0" w:color="auto"/>
        <w:left w:val="none" w:sz="0" w:space="0" w:color="auto"/>
        <w:bottom w:val="none" w:sz="0" w:space="0" w:color="auto"/>
        <w:right w:val="none" w:sz="0" w:space="0" w:color="auto"/>
      </w:divBdr>
    </w:div>
    <w:div w:id="1667631134">
      <w:bodyDiv w:val="1"/>
      <w:marLeft w:val="0"/>
      <w:marRight w:val="0"/>
      <w:marTop w:val="0"/>
      <w:marBottom w:val="0"/>
      <w:divBdr>
        <w:top w:val="none" w:sz="0" w:space="0" w:color="auto"/>
        <w:left w:val="none" w:sz="0" w:space="0" w:color="auto"/>
        <w:bottom w:val="none" w:sz="0" w:space="0" w:color="auto"/>
        <w:right w:val="none" w:sz="0" w:space="0" w:color="auto"/>
      </w:divBdr>
      <w:divsChild>
        <w:div w:id="724568564">
          <w:marLeft w:val="0"/>
          <w:marRight w:val="0"/>
          <w:marTop w:val="0"/>
          <w:marBottom w:val="0"/>
          <w:divBdr>
            <w:top w:val="none" w:sz="0" w:space="0" w:color="auto"/>
            <w:left w:val="none" w:sz="0" w:space="0" w:color="auto"/>
            <w:bottom w:val="none" w:sz="0" w:space="0" w:color="auto"/>
            <w:right w:val="none" w:sz="0" w:space="0" w:color="auto"/>
          </w:divBdr>
          <w:divsChild>
            <w:div w:id="2081516609">
              <w:marLeft w:val="0"/>
              <w:marRight w:val="0"/>
              <w:marTop w:val="0"/>
              <w:marBottom w:val="0"/>
              <w:divBdr>
                <w:top w:val="none" w:sz="0" w:space="0" w:color="auto"/>
                <w:left w:val="none" w:sz="0" w:space="0" w:color="auto"/>
                <w:bottom w:val="none" w:sz="0" w:space="0" w:color="auto"/>
                <w:right w:val="none" w:sz="0" w:space="0" w:color="auto"/>
              </w:divBdr>
              <w:divsChild>
                <w:div w:id="1788499437">
                  <w:marLeft w:val="0"/>
                  <w:marRight w:val="0"/>
                  <w:marTop w:val="0"/>
                  <w:marBottom w:val="0"/>
                  <w:divBdr>
                    <w:top w:val="none" w:sz="0" w:space="0" w:color="auto"/>
                    <w:left w:val="none" w:sz="0" w:space="0" w:color="auto"/>
                    <w:bottom w:val="none" w:sz="0" w:space="0" w:color="auto"/>
                    <w:right w:val="none" w:sz="0" w:space="0" w:color="auto"/>
                  </w:divBdr>
                  <w:divsChild>
                    <w:div w:id="174667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010502">
      <w:bodyDiv w:val="1"/>
      <w:marLeft w:val="0"/>
      <w:marRight w:val="0"/>
      <w:marTop w:val="0"/>
      <w:marBottom w:val="0"/>
      <w:divBdr>
        <w:top w:val="none" w:sz="0" w:space="0" w:color="auto"/>
        <w:left w:val="none" w:sz="0" w:space="0" w:color="auto"/>
        <w:bottom w:val="none" w:sz="0" w:space="0" w:color="auto"/>
        <w:right w:val="none" w:sz="0" w:space="0" w:color="auto"/>
      </w:divBdr>
    </w:div>
    <w:div w:id="1808158527">
      <w:bodyDiv w:val="1"/>
      <w:marLeft w:val="0"/>
      <w:marRight w:val="0"/>
      <w:marTop w:val="0"/>
      <w:marBottom w:val="0"/>
      <w:divBdr>
        <w:top w:val="none" w:sz="0" w:space="0" w:color="auto"/>
        <w:left w:val="none" w:sz="0" w:space="0" w:color="auto"/>
        <w:bottom w:val="none" w:sz="0" w:space="0" w:color="auto"/>
        <w:right w:val="none" w:sz="0" w:space="0" w:color="auto"/>
      </w:divBdr>
    </w:div>
    <w:div w:id="1911117363">
      <w:bodyDiv w:val="1"/>
      <w:marLeft w:val="0"/>
      <w:marRight w:val="0"/>
      <w:marTop w:val="0"/>
      <w:marBottom w:val="0"/>
      <w:divBdr>
        <w:top w:val="none" w:sz="0" w:space="0" w:color="auto"/>
        <w:left w:val="none" w:sz="0" w:space="0" w:color="auto"/>
        <w:bottom w:val="none" w:sz="0" w:space="0" w:color="auto"/>
        <w:right w:val="none" w:sz="0" w:space="0" w:color="auto"/>
      </w:divBdr>
    </w:div>
    <w:div w:id="2085177226">
      <w:bodyDiv w:val="1"/>
      <w:marLeft w:val="0"/>
      <w:marRight w:val="0"/>
      <w:marTop w:val="0"/>
      <w:marBottom w:val="0"/>
      <w:divBdr>
        <w:top w:val="none" w:sz="0" w:space="0" w:color="auto"/>
        <w:left w:val="none" w:sz="0" w:space="0" w:color="auto"/>
        <w:bottom w:val="none" w:sz="0" w:space="0" w:color="auto"/>
        <w:right w:val="none" w:sz="0" w:space="0" w:color="auto"/>
      </w:divBdr>
      <w:divsChild>
        <w:div w:id="4402623">
          <w:marLeft w:val="0"/>
          <w:marRight w:val="0"/>
          <w:marTop w:val="0"/>
          <w:marBottom w:val="0"/>
          <w:divBdr>
            <w:top w:val="none" w:sz="0" w:space="0" w:color="auto"/>
            <w:left w:val="none" w:sz="0" w:space="0" w:color="auto"/>
            <w:bottom w:val="none" w:sz="0" w:space="0" w:color="auto"/>
            <w:right w:val="none" w:sz="0" w:space="0" w:color="auto"/>
          </w:divBdr>
          <w:divsChild>
            <w:div w:id="1602689473">
              <w:marLeft w:val="0"/>
              <w:marRight w:val="0"/>
              <w:marTop w:val="0"/>
              <w:marBottom w:val="0"/>
              <w:divBdr>
                <w:top w:val="none" w:sz="0" w:space="0" w:color="auto"/>
                <w:left w:val="none" w:sz="0" w:space="0" w:color="auto"/>
                <w:bottom w:val="none" w:sz="0" w:space="0" w:color="auto"/>
                <w:right w:val="none" w:sz="0" w:space="0" w:color="auto"/>
              </w:divBdr>
              <w:divsChild>
                <w:div w:id="30339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EBF0E-CED9-4A0F-B9B6-51614C3E9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978</Words>
  <Characters>5380</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Corte IDH</dc:creator>
  <cp:keywords/>
  <dc:description/>
  <cp:lastModifiedBy>Liliana Tojo</cp:lastModifiedBy>
  <cp:revision>2</cp:revision>
  <dcterms:created xsi:type="dcterms:W3CDTF">2023-01-03T18:24:00Z</dcterms:created>
  <dcterms:modified xsi:type="dcterms:W3CDTF">2023-01-03T18:24:00Z</dcterms:modified>
</cp:coreProperties>
</file>